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BA7C3FB">
      <w:pPr>
        <w:jc w:val="center"/>
        <w:rPr>
          <w:rFonts w:hint="eastAsia" w:ascii="方正小标宋简体" w:eastAsia="方正小标宋简体" w:cs="仿宋_GB2312"/>
          <w:bCs/>
          <w:color w:val="000000"/>
          <w:sz w:val="36"/>
          <w:szCs w:val="32"/>
        </w:rPr>
      </w:pPr>
      <w:r>
        <w:rPr>
          <w:rFonts w:hint="eastAsia" w:ascii="方正小标宋简体" w:eastAsia="方正小标宋简体" w:cs="仿宋_GB2312"/>
          <w:bCs/>
          <w:color w:val="000000"/>
          <w:sz w:val="36"/>
          <w:szCs w:val="32"/>
        </w:rPr>
        <w:t>团体标准《</w:t>
      </w:r>
      <w:bookmarkStart w:id="0" w:name="OLE_LINK6"/>
      <w:r>
        <w:rPr>
          <w:rFonts w:hint="eastAsia" w:ascii="方正小标宋简体" w:eastAsia="方正小标宋简体" w:cs="仿宋_GB2312"/>
          <w:bCs/>
          <w:color w:val="000000"/>
          <w:sz w:val="36"/>
          <w:szCs w:val="32"/>
        </w:rPr>
        <w:t>老年便秘患者腹部八卦推拿联合脐灸技术操作</w:t>
      </w:r>
      <w:bookmarkEnd w:id="0"/>
      <w:r>
        <w:rPr>
          <w:rFonts w:hint="eastAsia" w:ascii="方正小标宋简体" w:eastAsia="方正小标宋简体" w:cs="仿宋_GB2312"/>
          <w:bCs/>
          <w:color w:val="000000"/>
          <w:sz w:val="36"/>
          <w:szCs w:val="32"/>
        </w:rPr>
        <w:t>规范》（征求意见稿）编制说明</w:t>
      </w:r>
    </w:p>
    <w:p w14:paraId="3E16342C">
      <w:pPr>
        <w:jc w:val="center"/>
        <w:rPr>
          <w:rFonts w:hint="eastAsia" w:ascii="方正小标宋简体" w:eastAsia="方正小标宋简体" w:cs="仿宋_GB2312"/>
          <w:bCs/>
          <w:color w:val="000000"/>
          <w:sz w:val="18"/>
          <w:szCs w:val="18"/>
        </w:rPr>
      </w:pPr>
    </w:p>
    <w:p w14:paraId="74DC5A77">
      <w:pPr>
        <w:spacing w:line="520" w:lineRule="exact"/>
        <w:ind w:firstLine="640"/>
        <w:rPr>
          <w:rFonts w:hint="eastAsia" w:ascii="黑体" w:eastAsia="黑体" w:cs="仿宋_GB2312"/>
          <w:bCs/>
          <w:sz w:val="32"/>
          <w:szCs w:val="32"/>
        </w:rPr>
      </w:pPr>
      <w:r>
        <w:rPr>
          <w:rFonts w:hint="eastAsia" w:ascii="黑体" w:eastAsia="黑体" w:cs="仿宋_GB2312"/>
          <w:sz w:val="32"/>
          <w:szCs w:val="32"/>
        </w:rPr>
        <w:t>一、任务来源、起草单位、主要起草人</w:t>
      </w:r>
    </w:p>
    <w:p w14:paraId="4487894E">
      <w:pPr>
        <w:spacing w:line="520" w:lineRule="exact"/>
        <w:ind w:firstLine="560"/>
        <w:rPr>
          <w:rFonts w:hint="eastAsia"/>
          <w:color w:val="auto"/>
          <w:szCs w:val="28"/>
        </w:rPr>
      </w:pPr>
      <w:r>
        <w:rPr>
          <w:rFonts w:hint="eastAsia"/>
          <w:color w:val="auto"/>
          <w:szCs w:val="28"/>
        </w:rPr>
        <w:t>根据《广西标准化协会关于下达202</w:t>
      </w:r>
      <w:r>
        <w:rPr>
          <w:rFonts w:hint="eastAsia"/>
          <w:color w:val="auto"/>
          <w:szCs w:val="28"/>
          <w:lang w:val="en-US" w:eastAsia="zh-CN"/>
        </w:rPr>
        <w:t>5</w:t>
      </w:r>
      <w:r>
        <w:rPr>
          <w:rFonts w:hint="eastAsia"/>
          <w:color w:val="auto"/>
          <w:szCs w:val="28"/>
        </w:rPr>
        <w:t>年第</w:t>
      </w:r>
      <w:r>
        <w:rPr>
          <w:rFonts w:hint="eastAsia"/>
          <w:color w:val="auto"/>
          <w:szCs w:val="28"/>
          <w:lang w:eastAsia="zh-CN"/>
        </w:rPr>
        <w:t>十三</w:t>
      </w:r>
      <w:r>
        <w:rPr>
          <w:rFonts w:hint="eastAsia"/>
          <w:color w:val="auto"/>
          <w:szCs w:val="28"/>
        </w:rPr>
        <w:t>批团体标准制修订项目计划的通知》（桂标协〔202</w:t>
      </w:r>
      <w:r>
        <w:rPr>
          <w:rFonts w:hint="eastAsia"/>
          <w:color w:val="auto"/>
          <w:szCs w:val="28"/>
          <w:lang w:val="en-US" w:eastAsia="zh-CN"/>
        </w:rPr>
        <w:t>5</w:t>
      </w:r>
      <w:r>
        <w:rPr>
          <w:rFonts w:hint="eastAsia"/>
          <w:color w:val="auto"/>
          <w:szCs w:val="28"/>
        </w:rPr>
        <w:t>〕</w:t>
      </w:r>
      <w:r>
        <w:rPr>
          <w:rFonts w:hint="eastAsia"/>
          <w:color w:val="auto"/>
          <w:szCs w:val="28"/>
          <w:lang w:val="en-US" w:eastAsia="zh-CN"/>
        </w:rPr>
        <w:t>106</w:t>
      </w:r>
      <w:r>
        <w:rPr>
          <w:rFonts w:hint="eastAsia"/>
          <w:color w:val="auto"/>
          <w:szCs w:val="28"/>
        </w:rPr>
        <w:t>号）精神，由广西护理学会提出，广西中医药大学附属瑞康医院、海口市中医医院、江西中医药大学附属医院、深圳市罗湖区中医院、桂林市中医医院、玉林市中医医院、柳州市中</w:t>
      </w:r>
      <w:r>
        <w:rPr>
          <w:rFonts w:hint="eastAsia"/>
          <w:color w:val="auto"/>
          <w:szCs w:val="28"/>
          <w:lang w:eastAsia="zh-CN"/>
        </w:rPr>
        <w:t>医</w:t>
      </w:r>
      <w:r>
        <w:rPr>
          <w:rFonts w:hint="eastAsia"/>
          <w:color w:val="auto"/>
          <w:szCs w:val="28"/>
        </w:rPr>
        <w:t>医院、青岛惠德轩健康管理有限公司等单位共同起草的团体标准《老年便秘患者腹部八卦推拿联合脐灸技术操作规范》（项目编号：202</w:t>
      </w:r>
      <w:r>
        <w:rPr>
          <w:rFonts w:hint="eastAsia"/>
          <w:color w:val="auto"/>
          <w:szCs w:val="28"/>
          <w:lang w:val="en-US" w:eastAsia="zh-CN"/>
        </w:rPr>
        <w:t>5</w:t>
      </w:r>
      <w:r>
        <w:rPr>
          <w:rFonts w:hint="eastAsia"/>
          <w:color w:val="auto"/>
          <w:szCs w:val="28"/>
        </w:rPr>
        <w:t>-</w:t>
      </w:r>
      <w:r>
        <w:rPr>
          <w:rFonts w:hint="eastAsia"/>
          <w:color w:val="auto"/>
          <w:szCs w:val="28"/>
          <w:lang w:val="en-US" w:eastAsia="zh-CN"/>
        </w:rPr>
        <w:t>1303</w:t>
      </w:r>
      <w:r>
        <w:rPr>
          <w:rFonts w:hint="eastAsia"/>
          <w:color w:val="auto"/>
          <w:szCs w:val="28"/>
        </w:rPr>
        <w:t>），已获立项。</w:t>
      </w:r>
    </w:p>
    <w:p w14:paraId="1EAB5BC4">
      <w:pPr>
        <w:spacing w:line="520" w:lineRule="exact"/>
        <w:ind w:firstLine="560"/>
        <w:rPr>
          <w:rFonts w:hint="eastAsia"/>
          <w:sz w:val="32"/>
          <w:szCs w:val="32"/>
        </w:rPr>
      </w:pPr>
      <w:r>
        <w:rPr>
          <w:rFonts w:hint="eastAsia"/>
          <w:szCs w:val="28"/>
        </w:rPr>
        <w:t>为高质量编制团体标准《老年便秘患者腹部八卦推拿联合脐灸技术操作规范》，由起草单位成立标准编制工作组并进行如下分工：</w:t>
      </w:r>
    </w:p>
    <w:tbl>
      <w:tblPr>
        <w:tblStyle w:val="13"/>
        <w:tblW w:w="93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1426"/>
        <w:gridCol w:w="1212"/>
        <w:gridCol w:w="2038"/>
        <w:gridCol w:w="3674"/>
      </w:tblGrid>
      <w:tr w14:paraId="1EE16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EEC2D4B">
            <w:pPr>
              <w:keepNext w:val="0"/>
              <w:keepLines w:val="0"/>
              <w:suppressLineNumbers w:val="0"/>
              <w:spacing w:before="0" w:beforeAutospacing="0" w:after="0" w:afterAutospacing="0"/>
              <w:ind w:left="0" w:right="0" w:firstLine="0" w:firstLineChars="0"/>
              <w:jc w:val="center"/>
              <w:rPr>
                <w:rFonts w:hint="eastAsia"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姓名</w:t>
            </w:r>
          </w:p>
        </w:tc>
        <w:tc>
          <w:tcPr>
            <w:tcW w:w="1426" w:type="dxa"/>
            <w:tcBorders>
              <w:top w:val="single" w:color="auto" w:sz="4" w:space="0"/>
              <w:left w:val="single" w:color="auto" w:sz="4" w:space="0"/>
              <w:bottom w:val="single" w:color="auto" w:sz="4" w:space="0"/>
              <w:right w:val="single" w:color="auto" w:sz="4" w:space="0"/>
            </w:tcBorders>
            <w:vAlign w:val="center"/>
          </w:tcPr>
          <w:p w14:paraId="35926DD7">
            <w:pPr>
              <w:keepNext w:val="0"/>
              <w:keepLines w:val="0"/>
              <w:suppressLineNumbers w:val="0"/>
              <w:spacing w:before="0" w:beforeAutospacing="0" w:after="0" w:afterAutospacing="0"/>
              <w:ind w:left="0" w:right="0" w:firstLine="0" w:firstLineChars="0"/>
              <w:jc w:val="center"/>
              <w:rPr>
                <w:rFonts w:hint="eastAsia"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职务/职称</w:t>
            </w:r>
          </w:p>
        </w:tc>
        <w:tc>
          <w:tcPr>
            <w:tcW w:w="1212" w:type="dxa"/>
            <w:tcBorders>
              <w:top w:val="single" w:color="auto" w:sz="4" w:space="0"/>
              <w:left w:val="single" w:color="auto" w:sz="4" w:space="0"/>
              <w:bottom w:val="single" w:color="auto" w:sz="4" w:space="0"/>
              <w:right w:val="single" w:color="auto" w:sz="4" w:space="0"/>
            </w:tcBorders>
            <w:vAlign w:val="center"/>
          </w:tcPr>
          <w:p w14:paraId="4D8C918B">
            <w:pPr>
              <w:keepNext w:val="0"/>
              <w:keepLines w:val="0"/>
              <w:suppressLineNumbers w:val="0"/>
              <w:spacing w:before="0" w:beforeAutospacing="0" w:after="0" w:afterAutospacing="0"/>
              <w:ind w:left="0" w:right="0" w:firstLine="0" w:firstLineChars="0"/>
              <w:jc w:val="center"/>
              <w:rPr>
                <w:rFonts w:hint="eastAsia"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从事专业</w:t>
            </w:r>
          </w:p>
        </w:tc>
        <w:tc>
          <w:tcPr>
            <w:tcW w:w="2038" w:type="dxa"/>
            <w:tcBorders>
              <w:top w:val="single" w:color="auto" w:sz="4" w:space="0"/>
              <w:left w:val="single" w:color="auto" w:sz="4" w:space="0"/>
              <w:bottom w:val="single" w:color="auto" w:sz="4" w:space="0"/>
              <w:right w:val="single" w:color="auto" w:sz="4" w:space="0"/>
            </w:tcBorders>
            <w:vAlign w:val="center"/>
          </w:tcPr>
          <w:p w14:paraId="24B8636E">
            <w:pPr>
              <w:keepNext w:val="0"/>
              <w:keepLines w:val="0"/>
              <w:suppressLineNumbers w:val="0"/>
              <w:spacing w:before="0" w:beforeAutospacing="0" w:after="0" w:afterAutospacing="0"/>
              <w:ind w:left="0" w:right="0" w:firstLine="0" w:firstLineChars="0"/>
              <w:jc w:val="center"/>
              <w:rPr>
                <w:rFonts w:hint="eastAsia" w:ascii="仿宋" w:hAnsi="仿宋" w:eastAsia="仿宋" w:cs="仿宋"/>
                <w:b/>
                <w:color w:val="000000" w:themeColor="text1"/>
                <w:sz w:val="24"/>
                <w14:textFill>
                  <w14:solidFill>
                    <w14:schemeClr w14:val="tx1"/>
                  </w14:solidFill>
                </w14:textFill>
              </w:rPr>
            </w:pPr>
            <w:r>
              <w:rPr>
                <w:rFonts w:hint="eastAsia" w:ascii="仿宋" w:hAnsi="仿宋" w:eastAsia="仿宋" w:cs="仿宋"/>
                <w:b/>
                <w:color w:val="000000" w:themeColor="text1"/>
                <w:sz w:val="24"/>
                <w14:textFill>
                  <w14:solidFill>
                    <w14:schemeClr w14:val="tx1"/>
                  </w14:solidFill>
                </w14:textFill>
              </w:rPr>
              <w:t>工作单位</w:t>
            </w:r>
          </w:p>
        </w:tc>
        <w:tc>
          <w:tcPr>
            <w:tcW w:w="3674" w:type="dxa"/>
            <w:tcBorders>
              <w:top w:val="single" w:color="auto" w:sz="4" w:space="0"/>
              <w:left w:val="single" w:color="auto" w:sz="4" w:space="0"/>
              <w:bottom w:val="single" w:color="auto" w:sz="4" w:space="0"/>
              <w:right w:val="single" w:color="auto" w:sz="4" w:space="0"/>
            </w:tcBorders>
            <w:vAlign w:val="center"/>
          </w:tcPr>
          <w:p w14:paraId="50CB35F2">
            <w:pPr>
              <w:keepNext w:val="0"/>
              <w:keepLines w:val="0"/>
              <w:suppressLineNumbers w:val="0"/>
              <w:spacing w:before="0" w:beforeAutospacing="0" w:after="0" w:afterAutospacing="0"/>
              <w:ind w:left="0" w:right="0" w:firstLine="241" w:firstLineChars="100"/>
              <w:jc w:val="left"/>
              <w:rPr>
                <w:rFonts w:hint="eastAsia" w:ascii="仿宋" w:hAnsi="仿宋" w:eastAsia="仿宋" w:cs="仿宋"/>
                <w:b/>
                <w:color w:val="0000FF"/>
                <w:sz w:val="24"/>
              </w:rPr>
            </w:pPr>
            <w:r>
              <w:rPr>
                <w:rFonts w:hint="eastAsia" w:ascii="仿宋" w:hAnsi="仿宋" w:eastAsia="仿宋" w:cs="仿宋"/>
                <w:b/>
                <w:sz w:val="24"/>
              </w:rPr>
              <w:t>主要负责工作</w:t>
            </w:r>
          </w:p>
        </w:tc>
      </w:tr>
      <w:tr w14:paraId="0523B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9360A2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吕婵</w:t>
            </w:r>
          </w:p>
        </w:tc>
        <w:tc>
          <w:tcPr>
            <w:tcW w:w="1426" w:type="dxa"/>
            <w:tcBorders>
              <w:top w:val="single" w:color="auto" w:sz="4" w:space="0"/>
              <w:left w:val="single" w:color="auto" w:sz="4" w:space="0"/>
              <w:bottom w:val="single" w:color="auto" w:sz="4" w:space="0"/>
              <w:right w:val="single" w:color="auto" w:sz="4" w:space="0"/>
            </w:tcBorders>
            <w:vAlign w:val="center"/>
          </w:tcPr>
          <w:p w14:paraId="393155C3">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34B3E585">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7478E453">
            <w:pPr>
              <w:keepNext w:val="0"/>
              <w:keepLines w:val="0"/>
              <w:suppressLineNumbers w:val="0"/>
              <w:spacing w:before="0" w:beforeAutospacing="0" w:after="0" w:afterAutospacing="0"/>
              <w:ind w:left="0" w:right="0" w:firstLine="0" w:firstLineChars="0"/>
              <w:jc w:val="center"/>
              <w:rPr>
                <w:rFonts w:hint="eastAsia" w:hAnsi="仿宋" w:cs="仿宋"/>
                <w:sz w:val="24"/>
              </w:rPr>
            </w:pPr>
            <w:bookmarkStart w:id="1" w:name="OLE_LINK1"/>
            <w:r>
              <w:rPr>
                <w:rFonts w:hint="eastAsia" w:hAnsi="仿宋" w:cs="仿宋"/>
                <w:sz w:val="24"/>
              </w:rPr>
              <w:t>广西中医药大学附属瑞康医院</w:t>
            </w:r>
            <w:bookmarkEnd w:id="1"/>
          </w:p>
        </w:tc>
        <w:tc>
          <w:tcPr>
            <w:tcW w:w="3674" w:type="dxa"/>
            <w:tcBorders>
              <w:top w:val="single" w:color="auto" w:sz="4" w:space="0"/>
              <w:left w:val="single" w:color="auto" w:sz="4" w:space="0"/>
              <w:bottom w:val="single" w:color="auto" w:sz="4" w:space="0"/>
              <w:right w:val="single" w:color="auto" w:sz="4" w:space="0"/>
            </w:tcBorders>
            <w:vAlign w:val="center"/>
          </w:tcPr>
          <w:p w14:paraId="5CDC2927">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统筹主持标准编制工作</w:t>
            </w:r>
          </w:p>
        </w:tc>
      </w:tr>
      <w:tr w14:paraId="425FAA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64A4103">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龙秀红</w:t>
            </w:r>
          </w:p>
        </w:tc>
        <w:tc>
          <w:tcPr>
            <w:tcW w:w="1426" w:type="dxa"/>
            <w:tcBorders>
              <w:top w:val="single" w:color="auto" w:sz="4" w:space="0"/>
              <w:left w:val="single" w:color="auto" w:sz="4" w:space="0"/>
              <w:bottom w:val="single" w:color="auto" w:sz="4" w:space="0"/>
              <w:right w:val="single" w:color="auto" w:sz="4" w:space="0"/>
            </w:tcBorders>
            <w:vAlign w:val="center"/>
          </w:tcPr>
          <w:p w14:paraId="29ACEFC6">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6A77570B">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7F533236">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vAlign w:val="center"/>
          </w:tcPr>
          <w:p w14:paraId="35BA2D11">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参与标准编制工作，组织人员进行标准发布后的宣贯培训</w:t>
            </w:r>
          </w:p>
        </w:tc>
      </w:tr>
      <w:tr w14:paraId="09071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B2D70C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林丽玲</w:t>
            </w:r>
          </w:p>
        </w:tc>
        <w:tc>
          <w:tcPr>
            <w:tcW w:w="1426" w:type="dxa"/>
            <w:tcBorders>
              <w:top w:val="single" w:color="auto" w:sz="4" w:space="0"/>
              <w:left w:val="single" w:color="auto" w:sz="4" w:space="0"/>
              <w:bottom w:val="single" w:color="auto" w:sz="4" w:space="0"/>
              <w:right w:val="single" w:color="auto" w:sz="4" w:space="0"/>
            </w:tcBorders>
            <w:vAlign w:val="center"/>
          </w:tcPr>
          <w:p w14:paraId="494CA051">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1BAF206A">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287B45F2">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vAlign w:val="center"/>
          </w:tcPr>
          <w:p w14:paraId="1C371AAD">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参与标准文本及编制说明编写，质量控制</w:t>
            </w:r>
          </w:p>
        </w:tc>
      </w:tr>
      <w:tr w14:paraId="66FB8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FF4E4B5">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张媛媛</w:t>
            </w:r>
          </w:p>
        </w:tc>
        <w:tc>
          <w:tcPr>
            <w:tcW w:w="1426" w:type="dxa"/>
            <w:tcBorders>
              <w:top w:val="single" w:color="auto" w:sz="4" w:space="0"/>
              <w:left w:val="single" w:color="auto" w:sz="4" w:space="0"/>
              <w:bottom w:val="single" w:color="auto" w:sz="4" w:space="0"/>
              <w:right w:val="single" w:color="auto" w:sz="4" w:space="0"/>
            </w:tcBorders>
            <w:vAlign w:val="center"/>
          </w:tcPr>
          <w:p w14:paraId="20F6F70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3D6FAA60">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7FE7EEC0">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vAlign w:val="center"/>
          </w:tcPr>
          <w:p w14:paraId="7FBF3FB2">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参与标准文本及编制说明的编写；组织开展标准征求意见会；对标准实施情况进行总结分析，不断对标准提出修正意见</w:t>
            </w:r>
          </w:p>
        </w:tc>
      </w:tr>
      <w:tr w14:paraId="52B0E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B0D51E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金婕</w:t>
            </w:r>
          </w:p>
        </w:tc>
        <w:tc>
          <w:tcPr>
            <w:tcW w:w="1426" w:type="dxa"/>
            <w:tcBorders>
              <w:top w:val="single" w:color="auto" w:sz="4" w:space="0"/>
              <w:left w:val="single" w:color="auto" w:sz="4" w:space="0"/>
              <w:bottom w:val="single" w:color="auto" w:sz="4" w:space="0"/>
              <w:right w:val="single" w:color="auto" w:sz="4" w:space="0"/>
            </w:tcBorders>
            <w:vAlign w:val="center"/>
          </w:tcPr>
          <w:p w14:paraId="290CFB44">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72103771">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732BDEC9">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750EC538">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参与标准文本及编制说明的编写；组织开展标准征求意见会；对标准实施情况进行总结分析，不断对标准提出修正意见</w:t>
            </w:r>
          </w:p>
        </w:tc>
      </w:tr>
      <w:tr w14:paraId="03FDF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8925B92">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邓科穗</w:t>
            </w:r>
          </w:p>
        </w:tc>
        <w:tc>
          <w:tcPr>
            <w:tcW w:w="1426" w:type="dxa"/>
            <w:tcBorders>
              <w:top w:val="single" w:color="auto" w:sz="4" w:space="0"/>
              <w:left w:val="single" w:color="auto" w:sz="4" w:space="0"/>
              <w:bottom w:val="single" w:color="auto" w:sz="4" w:space="0"/>
              <w:right w:val="single" w:color="auto" w:sz="4" w:space="0"/>
            </w:tcBorders>
            <w:vAlign w:val="center"/>
          </w:tcPr>
          <w:p w14:paraId="51CFE779">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2FEFFB54">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24898E59">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江西中医药大学附属医院</w:t>
            </w:r>
          </w:p>
        </w:tc>
        <w:tc>
          <w:tcPr>
            <w:tcW w:w="3674" w:type="dxa"/>
            <w:tcBorders>
              <w:top w:val="single" w:color="auto" w:sz="4" w:space="0"/>
              <w:left w:val="single" w:color="auto" w:sz="4" w:space="0"/>
              <w:bottom w:val="single" w:color="auto" w:sz="4" w:space="0"/>
              <w:right w:val="single" w:color="auto" w:sz="4" w:space="0"/>
            </w:tcBorders>
          </w:tcPr>
          <w:p w14:paraId="4C26B516">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参与标准文本及编制说明的编写；组织开展标准征求意见会；对标准实施情况进行总结分析，不断对标准提出修正意见</w:t>
            </w:r>
          </w:p>
        </w:tc>
      </w:tr>
      <w:tr w14:paraId="5855C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0B2525A">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马梦晖</w:t>
            </w:r>
          </w:p>
        </w:tc>
        <w:tc>
          <w:tcPr>
            <w:tcW w:w="1426" w:type="dxa"/>
            <w:tcBorders>
              <w:top w:val="single" w:color="auto" w:sz="4" w:space="0"/>
              <w:left w:val="single" w:color="auto" w:sz="4" w:space="0"/>
              <w:bottom w:val="single" w:color="auto" w:sz="4" w:space="0"/>
              <w:right w:val="single" w:color="auto" w:sz="4" w:space="0"/>
            </w:tcBorders>
            <w:vAlign w:val="center"/>
          </w:tcPr>
          <w:p w14:paraId="140E0C3B">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79F7FC7C">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399E2512">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深圳市罗湖区中医院</w:t>
            </w:r>
          </w:p>
        </w:tc>
        <w:tc>
          <w:tcPr>
            <w:tcW w:w="3674" w:type="dxa"/>
            <w:tcBorders>
              <w:top w:val="single" w:color="auto" w:sz="4" w:space="0"/>
              <w:left w:val="single" w:color="auto" w:sz="4" w:space="0"/>
              <w:bottom w:val="single" w:color="auto" w:sz="4" w:space="0"/>
              <w:right w:val="single" w:color="auto" w:sz="4" w:space="0"/>
            </w:tcBorders>
          </w:tcPr>
          <w:p w14:paraId="0300FF7B">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4C9B6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CBEAFF9">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贺应军</w:t>
            </w:r>
          </w:p>
        </w:tc>
        <w:tc>
          <w:tcPr>
            <w:tcW w:w="1426" w:type="dxa"/>
            <w:tcBorders>
              <w:top w:val="single" w:color="auto" w:sz="4" w:space="0"/>
              <w:left w:val="single" w:color="auto" w:sz="4" w:space="0"/>
              <w:bottom w:val="single" w:color="auto" w:sz="4" w:space="0"/>
              <w:right w:val="single" w:color="auto" w:sz="4" w:space="0"/>
            </w:tcBorders>
            <w:vAlign w:val="center"/>
          </w:tcPr>
          <w:p w14:paraId="6A71D32C">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2BBF389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61EAF17D">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柳州市中医医院</w:t>
            </w:r>
          </w:p>
        </w:tc>
        <w:tc>
          <w:tcPr>
            <w:tcW w:w="3674" w:type="dxa"/>
            <w:tcBorders>
              <w:top w:val="single" w:color="auto" w:sz="4" w:space="0"/>
              <w:left w:val="single" w:color="auto" w:sz="4" w:space="0"/>
              <w:bottom w:val="single" w:color="auto" w:sz="4" w:space="0"/>
              <w:right w:val="single" w:color="auto" w:sz="4" w:space="0"/>
            </w:tcBorders>
          </w:tcPr>
          <w:p w14:paraId="0D3F3330">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2EBEE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0992C6B">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彭志华</w:t>
            </w:r>
          </w:p>
        </w:tc>
        <w:tc>
          <w:tcPr>
            <w:tcW w:w="1426" w:type="dxa"/>
            <w:tcBorders>
              <w:top w:val="single" w:color="auto" w:sz="4" w:space="0"/>
              <w:left w:val="single" w:color="auto" w:sz="4" w:space="0"/>
              <w:bottom w:val="single" w:color="auto" w:sz="4" w:space="0"/>
              <w:right w:val="single" w:color="auto" w:sz="4" w:space="0"/>
            </w:tcBorders>
            <w:vAlign w:val="center"/>
          </w:tcPr>
          <w:p w14:paraId="0F49B4A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19A5265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6FBCC69C">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桂林市中医医院</w:t>
            </w:r>
          </w:p>
        </w:tc>
        <w:tc>
          <w:tcPr>
            <w:tcW w:w="3674" w:type="dxa"/>
            <w:tcBorders>
              <w:top w:val="single" w:color="auto" w:sz="4" w:space="0"/>
              <w:left w:val="single" w:color="auto" w:sz="4" w:space="0"/>
              <w:bottom w:val="single" w:color="auto" w:sz="4" w:space="0"/>
              <w:right w:val="single" w:color="auto" w:sz="4" w:space="0"/>
            </w:tcBorders>
          </w:tcPr>
          <w:p w14:paraId="381C3F8D">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067F9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C2E93E9">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张兆寿</w:t>
            </w:r>
          </w:p>
        </w:tc>
        <w:tc>
          <w:tcPr>
            <w:tcW w:w="1426" w:type="dxa"/>
            <w:tcBorders>
              <w:top w:val="single" w:color="auto" w:sz="4" w:space="0"/>
              <w:left w:val="single" w:color="auto" w:sz="4" w:space="0"/>
              <w:bottom w:val="single" w:color="auto" w:sz="4" w:space="0"/>
              <w:right w:val="single" w:color="auto" w:sz="4" w:space="0"/>
            </w:tcBorders>
            <w:vAlign w:val="center"/>
          </w:tcPr>
          <w:p w14:paraId="51ED535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中医确有专长师</w:t>
            </w:r>
          </w:p>
        </w:tc>
        <w:tc>
          <w:tcPr>
            <w:tcW w:w="1212" w:type="dxa"/>
            <w:tcBorders>
              <w:top w:val="single" w:color="auto" w:sz="4" w:space="0"/>
              <w:left w:val="single" w:color="auto" w:sz="4" w:space="0"/>
              <w:bottom w:val="single" w:color="auto" w:sz="4" w:space="0"/>
              <w:right w:val="single" w:color="auto" w:sz="4" w:space="0"/>
            </w:tcBorders>
            <w:vAlign w:val="center"/>
          </w:tcPr>
          <w:p w14:paraId="18A340FF">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中医内科</w:t>
            </w:r>
          </w:p>
        </w:tc>
        <w:tc>
          <w:tcPr>
            <w:tcW w:w="2038" w:type="dxa"/>
            <w:tcBorders>
              <w:top w:val="single" w:color="auto" w:sz="4" w:space="0"/>
              <w:left w:val="single" w:color="auto" w:sz="4" w:space="0"/>
              <w:bottom w:val="single" w:color="auto" w:sz="4" w:space="0"/>
              <w:right w:val="single" w:color="auto" w:sz="4" w:space="0"/>
            </w:tcBorders>
            <w:vAlign w:val="center"/>
          </w:tcPr>
          <w:p w14:paraId="4A012AF0">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青岛惠德轩健康管理有限公司</w:t>
            </w:r>
          </w:p>
        </w:tc>
        <w:tc>
          <w:tcPr>
            <w:tcW w:w="3674" w:type="dxa"/>
            <w:tcBorders>
              <w:top w:val="single" w:color="auto" w:sz="4" w:space="0"/>
              <w:left w:val="single" w:color="auto" w:sz="4" w:space="0"/>
              <w:bottom w:val="single" w:color="auto" w:sz="4" w:space="0"/>
              <w:right w:val="single" w:color="auto" w:sz="4" w:space="0"/>
            </w:tcBorders>
          </w:tcPr>
          <w:p w14:paraId="29D90AC9">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276198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7482865">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关清</w:t>
            </w:r>
          </w:p>
        </w:tc>
        <w:tc>
          <w:tcPr>
            <w:tcW w:w="1426" w:type="dxa"/>
            <w:tcBorders>
              <w:top w:val="single" w:color="auto" w:sz="4" w:space="0"/>
              <w:left w:val="single" w:color="auto" w:sz="4" w:space="0"/>
              <w:bottom w:val="single" w:color="auto" w:sz="4" w:space="0"/>
              <w:right w:val="single" w:color="auto" w:sz="4" w:space="0"/>
            </w:tcBorders>
            <w:vAlign w:val="center"/>
          </w:tcPr>
          <w:p w14:paraId="56429C6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54781DD2">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1F1CF6C7">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353402F1">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2374A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621E610">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范葵钰</w:t>
            </w:r>
          </w:p>
        </w:tc>
        <w:tc>
          <w:tcPr>
            <w:tcW w:w="1426" w:type="dxa"/>
            <w:tcBorders>
              <w:top w:val="single" w:color="auto" w:sz="4" w:space="0"/>
              <w:left w:val="single" w:color="auto" w:sz="4" w:space="0"/>
              <w:bottom w:val="single" w:color="auto" w:sz="4" w:space="0"/>
              <w:right w:val="single" w:color="auto" w:sz="4" w:space="0"/>
            </w:tcBorders>
            <w:vAlign w:val="center"/>
          </w:tcPr>
          <w:p w14:paraId="3D83EACD">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08D37F09">
            <w:pPr>
              <w:keepNext w:val="0"/>
              <w:keepLines w:val="0"/>
              <w:suppressLineNumbers w:val="0"/>
              <w:spacing w:before="0" w:beforeAutospacing="0" w:after="0" w:afterAutospacing="0"/>
              <w:ind w:left="0" w:right="0" w:firstLine="0" w:firstLineChars="0"/>
              <w:jc w:val="center"/>
              <w:rPr>
                <w:rFonts w:hint="eastAsia" w:hAnsi="仿宋" w:cs="仿宋"/>
                <w:sz w:val="24"/>
              </w:rPr>
            </w:pPr>
            <w:bookmarkStart w:id="2" w:name="OLE_LINK3"/>
            <w:r>
              <w:rPr>
                <w:rFonts w:hint="eastAsia" w:hAnsi="仿宋" w:cs="仿宋"/>
                <w:sz w:val="24"/>
              </w:rPr>
              <w:t>中医护</w:t>
            </w:r>
            <w:bookmarkEnd w:id="2"/>
            <w:r>
              <w:rPr>
                <w:rFonts w:hint="eastAsia" w:hAnsi="仿宋" w:cs="仿宋"/>
                <w:sz w:val="24"/>
              </w:rPr>
              <w:t>理</w:t>
            </w:r>
          </w:p>
        </w:tc>
        <w:tc>
          <w:tcPr>
            <w:tcW w:w="2038" w:type="dxa"/>
            <w:tcBorders>
              <w:top w:val="single" w:color="auto" w:sz="4" w:space="0"/>
              <w:left w:val="single" w:color="auto" w:sz="4" w:space="0"/>
              <w:bottom w:val="single" w:color="auto" w:sz="4" w:space="0"/>
              <w:right w:val="single" w:color="auto" w:sz="4" w:space="0"/>
            </w:tcBorders>
            <w:vAlign w:val="center"/>
          </w:tcPr>
          <w:p w14:paraId="34BD3777">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5A0596BD">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41166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D4DA737">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罗晴</w:t>
            </w:r>
          </w:p>
        </w:tc>
        <w:tc>
          <w:tcPr>
            <w:tcW w:w="1426" w:type="dxa"/>
            <w:tcBorders>
              <w:top w:val="single" w:color="auto" w:sz="4" w:space="0"/>
              <w:left w:val="single" w:color="auto" w:sz="4" w:space="0"/>
              <w:bottom w:val="single" w:color="auto" w:sz="4" w:space="0"/>
              <w:right w:val="single" w:color="auto" w:sz="4" w:space="0"/>
            </w:tcBorders>
            <w:vAlign w:val="center"/>
          </w:tcPr>
          <w:p w14:paraId="3714C9A4">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33885831">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10AC31CF">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38FF9C27">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63053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3BC51E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覃凡倩</w:t>
            </w:r>
          </w:p>
        </w:tc>
        <w:tc>
          <w:tcPr>
            <w:tcW w:w="1426" w:type="dxa"/>
            <w:tcBorders>
              <w:top w:val="single" w:color="auto" w:sz="4" w:space="0"/>
              <w:left w:val="single" w:color="auto" w:sz="4" w:space="0"/>
              <w:bottom w:val="single" w:color="auto" w:sz="4" w:space="0"/>
              <w:right w:val="single" w:color="auto" w:sz="4" w:space="0"/>
            </w:tcBorders>
            <w:vAlign w:val="center"/>
          </w:tcPr>
          <w:p w14:paraId="3A9EFCCF">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护师</w:t>
            </w:r>
          </w:p>
        </w:tc>
        <w:tc>
          <w:tcPr>
            <w:tcW w:w="1212" w:type="dxa"/>
            <w:tcBorders>
              <w:top w:val="single" w:color="auto" w:sz="4" w:space="0"/>
              <w:left w:val="single" w:color="auto" w:sz="4" w:space="0"/>
              <w:bottom w:val="single" w:color="auto" w:sz="4" w:space="0"/>
              <w:right w:val="single" w:color="auto" w:sz="4" w:space="0"/>
            </w:tcBorders>
            <w:vAlign w:val="center"/>
          </w:tcPr>
          <w:p w14:paraId="00556EA4">
            <w:pPr>
              <w:keepNext w:val="0"/>
              <w:keepLines w:val="0"/>
              <w:suppressLineNumbers w:val="0"/>
              <w:spacing w:before="0" w:beforeAutospacing="0" w:after="0" w:afterAutospacing="0"/>
              <w:ind w:left="0" w:right="0" w:firstLine="0" w:firstLineChars="0"/>
              <w:jc w:val="center"/>
              <w:rPr>
                <w:rFonts w:hint="eastAsia" w:hAnsi="仿宋" w:cs="仿宋"/>
                <w:sz w:val="24"/>
              </w:rPr>
            </w:pPr>
            <w:bookmarkStart w:id="3" w:name="OLE_LINK4"/>
            <w:r>
              <w:rPr>
                <w:rFonts w:hint="eastAsia" w:hAnsi="仿宋" w:cs="仿宋"/>
                <w:sz w:val="24"/>
              </w:rPr>
              <w:t>中医护理</w:t>
            </w:r>
            <w:bookmarkEnd w:id="3"/>
          </w:p>
        </w:tc>
        <w:tc>
          <w:tcPr>
            <w:tcW w:w="2038" w:type="dxa"/>
            <w:tcBorders>
              <w:top w:val="single" w:color="auto" w:sz="4" w:space="0"/>
              <w:left w:val="single" w:color="auto" w:sz="4" w:space="0"/>
              <w:bottom w:val="single" w:color="auto" w:sz="4" w:space="0"/>
              <w:right w:val="single" w:color="auto" w:sz="4" w:space="0"/>
            </w:tcBorders>
            <w:vAlign w:val="center"/>
          </w:tcPr>
          <w:p w14:paraId="68822A1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6495D47A">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215C6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AB200B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何泳</w:t>
            </w:r>
          </w:p>
        </w:tc>
        <w:tc>
          <w:tcPr>
            <w:tcW w:w="1426" w:type="dxa"/>
            <w:tcBorders>
              <w:top w:val="single" w:color="auto" w:sz="4" w:space="0"/>
              <w:left w:val="single" w:color="auto" w:sz="4" w:space="0"/>
              <w:bottom w:val="single" w:color="auto" w:sz="4" w:space="0"/>
              <w:right w:val="single" w:color="auto" w:sz="4" w:space="0"/>
            </w:tcBorders>
            <w:vAlign w:val="center"/>
          </w:tcPr>
          <w:p w14:paraId="79D35BC7">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3C74CA91">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678BFE75">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00ADA9EC">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r>
              <w:rPr>
                <w:rFonts w:hint="eastAsia" w:cs="仿宋_GB2312"/>
                <w:sz w:val="24"/>
                <w:lang w:bidi="ar"/>
              </w:rPr>
              <w:t>参与标准文本及编制说明的编写；组织开展标准征求意见会；对标准实施情况进行总结分析，不断对标准提出修正意见</w:t>
            </w:r>
          </w:p>
        </w:tc>
      </w:tr>
      <w:tr w14:paraId="29CEEF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0E561AC">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陆英俊</w:t>
            </w:r>
          </w:p>
        </w:tc>
        <w:tc>
          <w:tcPr>
            <w:tcW w:w="1426" w:type="dxa"/>
            <w:tcBorders>
              <w:top w:val="single" w:color="auto" w:sz="4" w:space="0"/>
              <w:left w:val="single" w:color="auto" w:sz="4" w:space="0"/>
              <w:bottom w:val="single" w:color="auto" w:sz="4" w:space="0"/>
              <w:right w:val="single" w:color="auto" w:sz="4" w:space="0"/>
            </w:tcBorders>
            <w:vAlign w:val="center"/>
          </w:tcPr>
          <w:p w14:paraId="2AE0E515">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10C10D8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针灸推拿</w:t>
            </w:r>
          </w:p>
        </w:tc>
        <w:tc>
          <w:tcPr>
            <w:tcW w:w="2038" w:type="dxa"/>
            <w:tcBorders>
              <w:top w:val="single" w:color="auto" w:sz="4" w:space="0"/>
              <w:left w:val="single" w:color="auto" w:sz="4" w:space="0"/>
              <w:bottom w:val="single" w:color="auto" w:sz="4" w:space="0"/>
              <w:right w:val="single" w:color="auto" w:sz="4" w:space="0"/>
            </w:tcBorders>
            <w:vAlign w:val="center"/>
          </w:tcPr>
          <w:p w14:paraId="5931B98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63A7720B">
            <w:pPr>
              <w:keepNext w:val="0"/>
              <w:keepLines w:val="0"/>
              <w:suppressLineNumbers w:val="0"/>
              <w:spacing w:before="0" w:beforeAutospacing="0" w:after="0" w:afterAutospacing="0"/>
              <w:ind w:left="0" w:right="0" w:firstLine="240" w:firstLineChars="100"/>
              <w:jc w:val="left"/>
              <w:rPr>
                <w:rFonts w:hint="default" w:ascii="Calibri" w:hAnsi="Calibri" w:cs="Times New Roman"/>
              </w:rPr>
            </w:pPr>
            <w:bookmarkStart w:id="4" w:name="OLE_LINK5"/>
            <w:r>
              <w:rPr>
                <w:rFonts w:hint="eastAsia" w:cs="仿宋_GB2312"/>
                <w:sz w:val="24"/>
                <w:lang w:bidi="ar"/>
              </w:rPr>
              <w:t>参与标准文本及编制说明的编写；组织开展标准征求意见会；对标准实施情况进行总结分析，不断对标准提出修正意见</w:t>
            </w:r>
            <w:bookmarkEnd w:id="4"/>
          </w:p>
        </w:tc>
      </w:tr>
      <w:tr w14:paraId="30B90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2C51EB8">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周邓蓉</w:t>
            </w:r>
          </w:p>
        </w:tc>
        <w:tc>
          <w:tcPr>
            <w:tcW w:w="1426" w:type="dxa"/>
            <w:tcBorders>
              <w:top w:val="single" w:color="auto" w:sz="4" w:space="0"/>
              <w:left w:val="single" w:color="auto" w:sz="4" w:space="0"/>
              <w:bottom w:val="single" w:color="auto" w:sz="4" w:space="0"/>
              <w:right w:val="single" w:color="auto" w:sz="4" w:space="0"/>
            </w:tcBorders>
            <w:vAlign w:val="center"/>
          </w:tcPr>
          <w:p w14:paraId="5F3829B2">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08A47BFE">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29358017">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海口市中医医院</w:t>
            </w:r>
          </w:p>
        </w:tc>
        <w:tc>
          <w:tcPr>
            <w:tcW w:w="3674" w:type="dxa"/>
            <w:tcBorders>
              <w:top w:val="single" w:color="auto" w:sz="4" w:space="0"/>
              <w:left w:val="single" w:color="auto" w:sz="4" w:space="0"/>
              <w:bottom w:val="single" w:color="auto" w:sz="4" w:space="0"/>
              <w:right w:val="single" w:color="auto" w:sz="4" w:space="0"/>
            </w:tcBorders>
          </w:tcPr>
          <w:p w14:paraId="047FAA68">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参与标准文本及编制说明的编写；组织开展标准征求意见会；对标准实施情况进行总结分析，不断对标准提出修正意见</w:t>
            </w:r>
          </w:p>
        </w:tc>
      </w:tr>
      <w:tr w14:paraId="06D1B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52E3D71">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陈霞</w:t>
            </w:r>
          </w:p>
        </w:tc>
        <w:tc>
          <w:tcPr>
            <w:tcW w:w="1426" w:type="dxa"/>
            <w:tcBorders>
              <w:top w:val="single" w:color="auto" w:sz="4" w:space="0"/>
              <w:left w:val="single" w:color="auto" w:sz="4" w:space="0"/>
              <w:bottom w:val="single" w:color="auto" w:sz="4" w:space="0"/>
              <w:right w:val="single" w:color="auto" w:sz="4" w:space="0"/>
            </w:tcBorders>
            <w:vAlign w:val="center"/>
          </w:tcPr>
          <w:p w14:paraId="19F7FD22">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59B6B61A">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中医护理</w:t>
            </w:r>
          </w:p>
        </w:tc>
        <w:tc>
          <w:tcPr>
            <w:tcW w:w="2038" w:type="dxa"/>
            <w:tcBorders>
              <w:top w:val="single" w:color="auto" w:sz="4" w:space="0"/>
              <w:left w:val="single" w:color="auto" w:sz="4" w:space="0"/>
              <w:bottom w:val="single" w:color="auto" w:sz="4" w:space="0"/>
              <w:right w:val="single" w:color="auto" w:sz="4" w:space="0"/>
            </w:tcBorders>
            <w:vAlign w:val="center"/>
          </w:tcPr>
          <w:p w14:paraId="5174D87D">
            <w:pPr>
              <w:keepNext w:val="0"/>
              <w:keepLines w:val="0"/>
              <w:suppressLineNumbers w:val="0"/>
              <w:spacing w:before="0" w:beforeAutospacing="0" w:after="0" w:afterAutospacing="0"/>
              <w:ind w:left="0" w:right="0" w:firstLine="0" w:firstLineChars="0"/>
              <w:jc w:val="center"/>
              <w:rPr>
                <w:rFonts w:hint="eastAsia" w:hAnsi="仿宋" w:cs="仿宋"/>
                <w:sz w:val="24"/>
              </w:rPr>
            </w:pPr>
            <w:r>
              <w:rPr>
                <w:rFonts w:hint="eastAsia" w:hAnsi="仿宋" w:cs="仿宋"/>
                <w:sz w:val="24"/>
              </w:rPr>
              <w:t>玉林市中医医院</w:t>
            </w:r>
          </w:p>
        </w:tc>
        <w:tc>
          <w:tcPr>
            <w:tcW w:w="3674" w:type="dxa"/>
            <w:tcBorders>
              <w:top w:val="single" w:color="auto" w:sz="4" w:space="0"/>
              <w:left w:val="single" w:color="auto" w:sz="4" w:space="0"/>
              <w:bottom w:val="single" w:color="auto" w:sz="4" w:space="0"/>
              <w:right w:val="single" w:color="auto" w:sz="4" w:space="0"/>
            </w:tcBorders>
          </w:tcPr>
          <w:p w14:paraId="0AA21379">
            <w:pPr>
              <w:keepNext w:val="0"/>
              <w:keepLines w:val="0"/>
              <w:suppressLineNumbers w:val="0"/>
              <w:spacing w:before="0" w:beforeAutospacing="0" w:after="0" w:afterAutospacing="0"/>
              <w:ind w:left="0" w:right="0" w:firstLine="240" w:firstLineChars="100"/>
              <w:jc w:val="left"/>
              <w:rPr>
                <w:rFonts w:hint="eastAsia" w:cs="仿宋_GB2312"/>
                <w:sz w:val="24"/>
                <w:lang w:bidi="ar"/>
              </w:rPr>
            </w:pPr>
            <w:r>
              <w:rPr>
                <w:rFonts w:hint="eastAsia" w:cs="仿宋_GB2312"/>
                <w:sz w:val="24"/>
                <w:lang w:bidi="ar"/>
              </w:rPr>
              <w:t>参与标准文本及编制说明的编写；组织开展标准征求意见会；对标准实施情况进行总结分析，不断对标准提出修正意见</w:t>
            </w:r>
          </w:p>
        </w:tc>
      </w:tr>
    </w:tbl>
    <w:p w14:paraId="366D890D">
      <w:pPr>
        <w:spacing w:line="520" w:lineRule="exact"/>
        <w:ind w:firstLine="640"/>
        <w:rPr>
          <w:rFonts w:hint="eastAsia" w:ascii="黑体" w:eastAsia="黑体" w:cs="仿宋_GB2312"/>
          <w:sz w:val="32"/>
          <w:szCs w:val="32"/>
        </w:rPr>
      </w:pPr>
      <w:r>
        <w:rPr>
          <w:rFonts w:hint="eastAsia" w:ascii="黑体" w:eastAsia="黑体" w:cs="仿宋_GB2312"/>
          <w:sz w:val="32"/>
          <w:szCs w:val="32"/>
        </w:rPr>
        <w:t>二、制定标准的必要性和意义</w:t>
      </w:r>
    </w:p>
    <w:p w14:paraId="232F7EAF">
      <w:pPr>
        <w:spacing w:line="520" w:lineRule="exact"/>
        <w:ind w:firstLine="560"/>
        <w:rPr>
          <w:rFonts w:hint="eastAsia"/>
          <w:szCs w:val="28"/>
        </w:rPr>
      </w:pPr>
      <w:r>
        <w:rPr>
          <w:rFonts w:hint="eastAsia"/>
          <w:szCs w:val="28"/>
        </w:rPr>
        <w:t>随着人口老龄化的加剧，老年便秘的发病率逐年上升。国外研究显示，美国60岁以上老年人中，便秘的发病率为20%</w:t>
      </w:r>
      <w:r>
        <w:rPr>
          <w:rFonts w:ascii="Times New Roman" w:hAnsi="Times New Roman" w:cs="Times New Roman"/>
          <w:szCs w:val="28"/>
        </w:rPr>
        <w:t>~</w:t>
      </w:r>
      <w:r>
        <w:rPr>
          <w:rFonts w:hint="eastAsia"/>
          <w:szCs w:val="28"/>
        </w:rPr>
        <w:t>25%，欧洲国家类似，60岁以上老年人中，便秘的发病率为18%</w:t>
      </w:r>
      <w:r>
        <w:rPr>
          <w:rFonts w:ascii="Times New Roman" w:hAnsi="Times New Roman" w:cs="Times New Roman"/>
          <w:szCs w:val="28"/>
        </w:rPr>
        <w:t>~</w:t>
      </w:r>
      <w:r>
        <w:rPr>
          <w:rFonts w:hint="eastAsia"/>
          <w:szCs w:val="28"/>
        </w:rPr>
        <w:t>22%。我国60岁以上老年人中，便秘的发病率为15%</w:t>
      </w:r>
      <w:r>
        <w:rPr>
          <w:rFonts w:ascii="Times New Roman" w:hAnsi="Times New Roman" w:cs="Times New Roman"/>
          <w:szCs w:val="28"/>
        </w:rPr>
        <w:t>~</w:t>
      </w:r>
      <w:r>
        <w:rPr>
          <w:rFonts w:hint="eastAsia"/>
          <w:szCs w:val="28"/>
        </w:rPr>
        <w:t>20%，且呈上升趋势。广西60岁以上老年人中，便秘的发病率为15%</w:t>
      </w:r>
      <w:r>
        <w:rPr>
          <w:rFonts w:ascii="Times New Roman" w:hAnsi="Times New Roman" w:cs="Times New Roman"/>
          <w:szCs w:val="28"/>
        </w:rPr>
        <w:t>~</w:t>
      </w:r>
      <w:r>
        <w:rPr>
          <w:rFonts w:hint="eastAsia"/>
          <w:szCs w:val="28"/>
        </w:rPr>
        <w:t>22%。老年便秘不仅影响患者的消化功能，还可能导致肠道感染、腹痛、食欲不振等并发症，严重影响患者的生活质量。长期便秘还可能引发肠道梗阻、痔疮、肛裂等疾病，增加患者的痛苦和医疗负担。《周易·说卦》载：“帝出乎震，齐乎巽，相见乎离，致役乎坤，说言乎兑，战乎乾，劳乎坎，成言乎艮。”后天八卦、五行与脏腑的关系为:震属阳木应肝，巽属阴木应胆，离属火应心与小肠，坤属阴土应脾，艮属阳土应胃，兑属阴金应肺，乾属阳金应大肠，坎属水应肾与膀胱。将肚脐视为一个后天八卦图，脐周不同部位分别对应人体不同的脏腑，脐周不同部位的异常可反映脏腑的病变，在脐特定部位推拿按摩可以治疗对应脏腑的疾病。便秘本位在乾，乾主大肠，兑为肺，艮为胃，坤为脾、为腹，艮位、兑位、乾位合用可令大便通畅腹部八卦推拿法融合了易学理论、脐内八卦全息理论与中医藏象学说，在后天八卦法的指导下对腹部进行推拿按摩，可起到健脾化湿、养血滋阴、润肠通腑的作用。脐灸具有温通经络、调气活血等功能。腹部八卦推拿联合脐灸技术是通过在相对应的脏腑上进行卦位推拿，选取艮位、兑位、乾位、坤位进行八卦推拿按摩可直接刺激脏腑经络功能，促进胃肠道的蠕动，减少粪便停留在肠道的时间，发挥通经活络、调节脏腑功能、滋补气血、平衡阴阳的作用，从而改善患者便秘的症状。此外，行八卦推拿按摩可健脾化湿，润肠通腑，并联合脐灸温经通络，调气活血，可使得胃肠蠕动加强，消化液分泌增多，在渗透压的影响下，大肠内的水分吸收增加，粪便变软，有利于排出的一种中医综合治疗方法。</w:t>
      </w:r>
    </w:p>
    <w:p w14:paraId="701BB392">
      <w:pPr>
        <w:spacing w:line="520" w:lineRule="exact"/>
        <w:ind w:firstLine="560"/>
        <w:rPr>
          <w:rFonts w:hint="eastAsia"/>
        </w:rPr>
      </w:pPr>
      <w:r>
        <w:rPr>
          <w:rFonts w:hint="eastAsia"/>
          <w:szCs w:val="28"/>
        </w:rPr>
        <w:t>目前广西共有100余家医院开展老年便秘患者腹部八卦推拿联合脐灸技术。然而，不同医院的操作方法和流程存在差异，缺乏统一的标准。为规范操作流程，提高治疗效果，降低并发症的发生，保障患者的安全，制定团体标准《老年便秘患者腹部八卦推拿联合脐灸技术操作规范》具有重要意义。</w:t>
      </w:r>
    </w:p>
    <w:p w14:paraId="71C4EA7D">
      <w:pPr>
        <w:autoSpaceDE w:val="0"/>
        <w:autoSpaceDN w:val="0"/>
        <w:adjustRightInd w:val="0"/>
        <w:spacing w:line="520" w:lineRule="exact"/>
        <w:ind w:firstLine="640"/>
        <w:jc w:val="left"/>
        <w:rPr>
          <w:rFonts w:hint="eastAsia" w:ascii="黑体" w:eastAsia="黑体" w:cs="仿宋_GB2312"/>
          <w:sz w:val="32"/>
          <w:szCs w:val="32"/>
        </w:rPr>
      </w:pPr>
      <w:r>
        <w:rPr>
          <w:rFonts w:hint="eastAsia" w:ascii="黑体" w:eastAsia="黑体" w:cs="仿宋_GB2312"/>
          <w:sz w:val="32"/>
          <w:szCs w:val="32"/>
        </w:rPr>
        <w:t>三、主要起草过程</w:t>
      </w:r>
    </w:p>
    <w:p w14:paraId="2A64A064">
      <w:pPr>
        <w:spacing w:line="520" w:lineRule="exact"/>
        <w:ind w:firstLine="562"/>
        <w:rPr>
          <w:rFonts w:hint="eastAsia"/>
          <w:szCs w:val="28"/>
        </w:rPr>
      </w:pPr>
      <w:r>
        <w:rPr>
          <w:rFonts w:hint="eastAsia" w:cs="仿宋_GB2312"/>
          <w:b/>
          <w:szCs w:val="28"/>
        </w:rPr>
        <w:t>（一）成立标准编制工作组</w:t>
      </w:r>
    </w:p>
    <w:p w14:paraId="7169F437">
      <w:pPr>
        <w:spacing w:line="520" w:lineRule="exact"/>
        <w:ind w:firstLine="560"/>
        <w:jc w:val="left"/>
        <w:rPr>
          <w:rFonts w:hint="eastAsia"/>
          <w:szCs w:val="28"/>
        </w:rPr>
      </w:pPr>
      <w:r>
        <w:rPr>
          <w:rFonts w:hint="eastAsia" w:hAnsi="宋体"/>
          <w:szCs w:val="28"/>
        </w:rPr>
        <w:t>团体标准</w:t>
      </w:r>
      <w:r>
        <w:rPr>
          <w:rFonts w:hint="eastAsia"/>
          <w:szCs w:val="28"/>
        </w:rPr>
        <w:t>《老年便秘患者腹部八卦推拿联合脐灸技术操作规范》项目任务下达后，由广西中医药大学附属瑞康医院牵头组织成立了标准编制工作组，制定了起草编写方案与进度安排，明确任务职责，确定工作技术路线，开展标准研制工作。具体标准编制工作由起草单位相关人员配合完成。</w:t>
      </w:r>
    </w:p>
    <w:p w14:paraId="08CAE4A9">
      <w:pPr>
        <w:spacing w:line="520" w:lineRule="exact"/>
        <w:ind w:firstLine="560"/>
        <w:rPr>
          <w:rFonts w:hint="eastAsia" w:cs="仿宋_GB2312"/>
          <w:szCs w:val="28"/>
        </w:rPr>
      </w:pPr>
      <w:r>
        <w:rPr>
          <w:rFonts w:hint="eastAsia"/>
          <w:szCs w:val="28"/>
        </w:rPr>
        <w:t>为了明确标准编制的任务职责，确定工作技术路线，开展标准研制工作。标准编制工作组下设二个组，分别是资料收集组、草案编写组。资料收集组负责国内外有关老年便秘患者腹部八卦推拿联合脐灸技术操作方面的文献资料的查询、收集和整理工作，查阅前期对老年便秘患者腹部八卦推拿联合脐灸技术操作方面的有关研究情况和目前科学界老年便秘患者腹部八卦推拿联合脐灸的研究进展；草案编写组负责起草标准草案及后续征求意见稿和标准编制说明、送审稿及编制说明等编写工作，包括后期召开征求意见会、网上征求意见，以及标准的不断修改和完善。</w:t>
      </w:r>
    </w:p>
    <w:p w14:paraId="6AB2D27A">
      <w:pPr>
        <w:spacing w:line="520" w:lineRule="exact"/>
        <w:ind w:firstLine="562"/>
        <w:rPr>
          <w:rFonts w:hint="eastAsia" w:cs="仿宋_GB2312"/>
          <w:b/>
          <w:szCs w:val="28"/>
        </w:rPr>
      </w:pPr>
      <w:r>
        <w:rPr>
          <w:rFonts w:hint="eastAsia" w:cs="仿宋_GB2312"/>
          <w:b/>
          <w:szCs w:val="28"/>
        </w:rPr>
        <w:t>（二）收集整理文献资料</w:t>
      </w:r>
    </w:p>
    <w:p w14:paraId="69417D2A">
      <w:pPr>
        <w:spacing w:line="520" w:lineRule="exact"/>
        <w:ind w:firstLine="560"/>
        <w:rPr>
          <w:rFonts w:hint="eastAsia"/>
          <w:szCs w:val="28"/>
        </w:rPr>
      </w:pPr>
      <w:r>
        <w:rPr>
          <w:rFonts w:hint="eastAsia"/>
          <w:szCs w:val="28"/>
        </w:rPr>
        <w:t>标准编制工作组收集了国内有关老年便秘患者腹部八卦推拿联合脐灸技术操作的相关文献资料。主要有：</w:t>
      </w:r>
    </w:p>
    <w:p w14:paraId="106BB536">
      <w:pPr>
        <w:spacing w:line="520" w:lineRule="exact"/>
        <w:ind w:firstLine="560"/>
        <w:rPr>
          <w:rFonts w:hint="eastAsia"/>
          <w:szCs w:val="28"/>
        </w:rPr>
      </w:pPr>
      <w:r>
        <w:rPr>
          <w:rFonts w:hint="eastAsia"/>
          <w:szCs w:val="28"/>
        </w:rPr>
        <w:t>[1]  GB/T 21709.1  针灸技术操作规范 第1部分：艾灸</w:t>
      </w:r>
    </w:p>
    <w:p w14:paraId="0F13A340">
      <w:pPr>
        <w:spacing w:line="520" w:lineRule="exact"/>
        <w:ind w:firstLine="560"/>
        <w:rPr>
          <w:rFonts w:hint="eastAsia"/>
          <w:szCs w:val="28"/>
        </w:rPr>
      </w:pPr>
      <w:r>
        <w:rPr>
          <w:rFonts w:hint="eastAsia"/>
          <w:szCs w:val="28"/>
        </w:rPr>
        <w:t>[2]  GB/T 40976  灸用艾绒</w:t>
      </w:r>
    </w:p>
    <w:p w14:paraId="7F6A7E6D">
      <w:pPr>
        <w:spacing w:line="520" w:lineRule="exact"/>
        <w:ind w:firstLine="560"/>
        <w:rPr>
          <w:rFonts w:hint="eastAsia"/>
          <w:szCs w:val="28"/>
        </w:rPr>
      </w:pPr>
      <w:r>
        <w:rPr>
          <w:rFonts w:hint="eastAsia"/>
          <w:szCs w:val="28"/>
        </w:rPr>
        <w:t>[3]  T/GXAS 729  胃脘痛脐灸技术操作规范</w:t>
      </w:r>
    </w:p>
    <w:p w14:paraId="338113EF">
      <w:pPr>
        <w:spacing w:line="520" w:lineRule="exact"/>
        <w:ind w:firstLine="560"/>
        <w:rPr>
          <w:rFonts w:hint="eastAsia"/>
          <w:szCs w:val="28"/>
        </w:rPr>
      </w:pPr>
      <w:r>
        <w:rPr>
          <w:rFonts w:hint="eastAsia"/>
          <w:szCs w:val="28"/>
        </w:rPr>
        <w:t>[4]  齐永.脐针入门[M].北京:人民卫生出版社,2015.</w:t>
      </w:r>
    </w:p>
    <w:p w14:paraId="79E686DF">
      <w:pPr>
        <w:spacing w:line="520" w:lineRule="exact"/>
        <w:ind w:firstLine="560"/>
        <w:rPr>
          <w:rFonts w:hint="eastAsia"/>
          <w:szCs w:val="28"/>
        </w:rPr>
      </w:pPr>
      <w:r>
        <w:rPr>
          <w:rFonts w:hint="eastAsia"/>
          <w:szCs w:val="28"/>
        </w:rPr>
        <w:t>[5]  吕婵,蒋娟,陈岩,等.腹部八卦推拿法联合脐灸在脑卒中便秘患者中的应用研究[J].广西中医药大学学报,2023,26(05):31-34.</w:t>
      </w:r>
    </w:p>
    <w:p w14:paraId="1BD10B0E">
      <w:pPr>
        <w:spacing w:line="520" w:lineRule="exact"/>
        <w:ind w:firstLine="560"/>
        <w:rPr>
          <w:rFonts w:hint="eastAsia"/>
          <w:color w:val="auto"/>
          <w:szCs w:val="28"/>
        </w:rPr>
      </w:pPr>
      <w:r>
        <w:rPr>
          <w:rFonts w:hint="eastAsia"/>
          <w:szCs w:val="28"/>
        </w:rPr>
        <w:t>[6]  程树</w:t>
      </w:r>
      <w:r>
        <w:rPr>
          <w:rFonts w:hint="eastAsia"/>
          <w:color w:val="auto"/>
          <w:szCs w:val="28"/>
        </w:rPr>
        <w:t>锦,钟美容,陈玉崟,等.腹部八卦推拿法联合脐灸治疗老年气虚型便秘疗效观察[J].现代中西医结合杂志,2024,33(16):2314-2318.</w:t>
      </w:r>
    </w:p>
    <w:p w14:paraId="3B27B502">
      <w:pPr>
        <w:spacing w:line="520" w:lineRule="exact"/>
        <w:ind w:firstLine="560"/>
        <w:rPr>
          <w:rFonts w:hint="eastAsia"/>
          <w:color w:val="auto"/>
          <w:szCs w:val="28"/>
        </w:rPr>
      </w:pPr>
      <w:r>
        <w:rPr>
          <w:rFonts w:hint="eastAsia"/>
          <w:color w:val="auto"/>
          <w:szCs w:val="28"/>
        </w:rPr>
        <w:t>[7]齐永.脐针疗法、脐全息与脐诊法[J].中国针灸,2004,(10):70-75.</w:t>
      </w:r>
    </w:p>
    <w:p w14:paraId="02AE7962">
      <w:pPr>
        <w:spacing w:line="520" w:lineRule="exact"/>
        <w:ind w:firstLine="560"/>
        <w:rPr>
          <w:rFonts w:hint="eastAsia"/>
          <w:color w:val="auto"/>
          <w:szCs w:val="28"/>
        </w:rPr>
      </w:pPr>
      <w:r>
        <w:rPr>
          <w:rFonts w:hint="eastAsia"/>
          <w:color w:val="auto"/>
          <w:szCs w:val="28"/>
        </w:rPr>
        <w:t>[8]陈红霞,张阳,程娟,等.基于“尚中重土”理论探讨腹部八卦推拿治疗慢性便秘的进展[J].世界中西医结合杂志,2024,19(11):2329-2332.</w:t>
      </w:r>
    </w:p>
    <w:p w14:paraId="6BB8C22E">
      <w:pPr>
        <w:spacing w:line="520" w:lineRule="exact"/>
        <w:ind w:firstLine="560"/>
        <w:rPr>
          <w:rFonts w:hint="eastAsia"/>
          <w:color w:val="auto"/>
          <w:szCs w:val="28"/>
        </w:rPr>
      </w:pPr>
      <w:r>
        <w:rPr>
          <w:rFonts w:hint="eastAsia"/>
          <w:color w:val="auto"/>
          <w:szCs w:val="28"/>
        </w:rPr>
        <w:t>[9]陈启仪,丁曙晴,杜晓泉,等.功能性便秘中西医结合诊疗专家共识(2025年)[J].中国中西医结合消化杂志,2025,33(03):195-216.</w:t>
      </w:r>
    </w:p>
    <w:p w14:paraId="592C96B3">
      <w:pPr>
        <w:spacing w:line="520" w:lineRule="exact"/>
        <w:ind w:firstLine="560"/>
        <w:rPr>
          <w:rFonts w:hint="eastAsia"/>
          <w:color w:val="auto"/>
          <w:szCs w:val="28"/>
        </w:rPr>
      </w:pPr>
      <w:r>
        <w:rPr>
          <w:rFonts w:hint="eastAsia"/>
          <w:color w:val="auto"/>
          <w:szCs w:val="28"/>
        </w:rPr>
        <w:t>[10]徐月彤.加味补中益气汤联合脐针治疗功能性便秘（气虚型）的临床研究[D].湖北中医药大学,2024.</w:t>
      </w:r>
    </w:p>
    <w:p w14:paraId="4EC75282">
      <w:pPr>
        <w:spacing w:line="520" w:lineRule="exact"/>
        <w:ind w:firstLine="560"/>
        <w:rPr>
          <w:rFonts w:hint="eastAsia"/>
          <w:color w:val="auto"/>
          <w:szCs w:val="28"/>
        </w:rPr>
      </w:pPr>
      <w:r>
        <w:rPr>
          <w:rFonts w:hint="eastAsia"/>
          <w:color w:val="auto"/>
          <w:szCs w:val="28"/>
        </w:rPr>
        <w:t>[11]T/SATCM 0007—2025《慢性疲劳综合征推拿服务规范》</w:t>
      </w:r>
    </w:p>
    <w:p w14:paraId="3B15F1BF">
      <w:pPr>
        <w:spacing w:line="520" w:lineRule="exact"/>
        <w:ind w:firstLine="560"/>
        <w:rPr>
          <w:rFonts w:hint="default" w:eastAsia="仿宋_GB2312"/>
          <w:color w:val="auto"/>
          <w:szCs w:val="28"/>
          <w:lang w:val="en-US" w:eastAsia="zh-CN"/>
        </w:rPr>
      </w:pPr>
      <w:r>
        <w:rPr>
          <w:rFonts w:hint="eastAsia"/>
          <w:color w:val="auto"/>
          <w:szCs w:val="28"/>
          <w:lang w:val="en-US" w:eastAsia="zh-CN"/>
        </w:rPr>
        <w:t>[12]T/CACM 1080—2018《中医治未病技术操作规范 脊柱推拿》</w:t>
      </w:r>
    </w:p>
    <w:p w14:paraId="3DA1DD3F">
      <w:pPr>
        <w:spacing w:line="520" w:lineRule="exact"/>
        <w:ind w:firstLine="562"/>
        <w:rPr>
          <w:rFonts w:hint="eastAsia" w:cs="仿宋_GB2312"/>
          <w:b/>
          <w:color w:val="auto"/>
          <w:szCs w:val="28"/>
        </w:rPr>
      </w:pPr>
      <w:r>
        <w:rPr>
          <w:rFonts w:hint="eastAsia" w:cs="仿宋_GB2312"/>
          <w:b/>
          <w:color w:val="auto"/>
          <w:szCs w:val="28"/>
        </w:rPr>
        <w:t>（三）研讨确定标准主体内容及标准创新点</w:t>
      </w:r>
    </w:p>
    <w:p w14:paraId="05B18678">
      <w:pPr>
        <w:pStyle w:val="29"/>
        <w:spacing w:line="520" w:lineRule="exact"/>
        <w:ind w:firstLine="560"/>
        <w:rPr>
          <w:rFonts w:ascii="仿宋_GB2312" w:eastAsia="仿宋_GB2312"/>
          <w:color w:val="auto"/>
          <w:sz w:val="28"/>
          <w:szCs w:val="28"/>
        </w:rPr>
      </w:pPr>
      <w:r>
        <w:rPr>
          <w:rFonts w:hint="eastAsia" w:ascii="仿宋_GB2312" w:eastAsia="仿宋_GB2312"/>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老年便秘患者腹部八卦推拿联合脐灸技术操作的人员要求、评估、施术前准备、施术方法及不良反应处理的技术要求。</w:t>
      </w:r>
    </w:p>
    <w:p w14:paraId="0368A545">
      <w:pPr>
        <w:pStyle w:val="29"/>
        <w:spacing w:line="520" w:lineRule="exact"/>
        <w:ind w:firstLine="560"/>
        <w:rPr>
          <w:rFonts w:ascii="仿宋_GB2312" w:eastAsia="仿宋_GB2312"/>
          <w:color w:val="auto"/>
          <w:sz w:val="28"/>
          <w:szCs w:val="28"/>
        </w:rPr>
      </w:pPr>
      <w:r>
        <w:rPr>
          <w:rFonts w:hint="eastAsia" w:ascii="仿宋_GB2312" w:eastAsia="仿宋_GB2312"/>
          <w:color w:val="auto"/>
          <w:sz w:val="28"/>
          <w:szCs w:val="28"/>
        </w:rPr>
        <w:t>标准创新点为：系统整合腹部八卦推拿手法与脐灸技术，形成针对老年便秘的联合治疗方案。引用脐内八卦全息理论（即八卦 - 脏腑对应理论），将腹部划分为“艮、坎、乾、震、兑、巽、坤、离”八方位分区进行分区域精准推拿，规定卦位拨揉顺序（艮→坎→乾→震→兑→巽→坤→离），腹部八卦推拿以太极揉腹为基础，通过顺时针与逆时针交替揉动（每组12圈×3组），再施以卦位的推拿，激活腹部经络气血；脐灸则借助神阙穴的枢纽作用，将辨证药粉与艾灸热力结合，增强药物渗透与温通效应。两者协同作用，形成 “脏腑气机疏导 + 穴位药物渗透” 的立体调节，既通过推拿改善肠道蠕动功能，又通过脐灸调节脏腑气机。</w:t>
      </w:r>
    </w:p>
    <w:p w14:paraId="6098FA57">
      <w:pPr>
        <w:spacing w:line="520" w:lineRule="exact"/>
        <w:ind w:firstLine="562"/>
        <w:rPr>
          <w:rFonts w:hint="eastAsia" w:cs="仿宋_GB2312"/>
          <w:b/>
          <w:szCs w:val="28"/>
        </w:rPr>
      </w:pPr>
      <w:r>
        <w:rPr>
          <w:rFonts w:hint="eastAsia" w:cs="仿宋_GB2312"/>
          <w:b/>
          <w:color w:val="auto"/>
          <w:szCs w:val="28"/>
        </w:rPr>
        <w:t>（四）调研及形成</w:t>
      </w:r>
      <w:r>
        <w:rPr>
          <w:rFonts w:hint="eastAsia" w:cs="仿宋_GB2312"/>
          <w:b/>
          <w:szCs w:val="28"/>
        </w:rPr>
        <w:t>草案、征求意见稿</w:t>
      </w:r>
    </w:p>
    <w:p w14:paraId="67C8D73C">
      <w:pPr>
        <w:spacing w:line="520" w:lineRule="exact"/>
        <w:ind w:firstLine="560"/>
        <w:rPr>
          <w:rFonts w:hint="eastAsia"/>
          <w:color w:val="auto"/>
          <w:kern w:val="0"/>
          <w:szCs w:val="28"/>
        </w:rPr>
      </w:pPr>
      <w:r>
        <w:rPr>
          <w:rFonts w:hint="eastAsia"/>
          <w:kern w:val="0"/>
          <w:szCs w:val="28"/>
        </w:rPr>
        <w:t>2025年3月，标准编制工作组查阅了大量的国内文献资料，对</w:t>
      </w:r>
      <w:r>
        <w:rPr>
          <w:rFonts w:hint="eastAsia"/>
          <w:szCs w:val="28"/>
        </w:rPr>
        <w:t>老年便秘患者腹部八卦推拿联合脐灸技术</w:t>
      </w:r>
      <w:r>
        <w:rPr>
          <w:rFonts w:hint="eastAsia"/>
          <w:kern w:val="0"/>
          <w:szCs w:val="28"/>
        </w:rPr>
        <w:t>相关的文件进行系统总结。形成了标准的基本</w:t>
      </w:r>
      <w:r>
        <w:rPr>
          <w:rFonts w:hint="eastAsia"/>
          <w:color w:val="auto"/>
          <w:kern w:val="0"/>
          <w:szCs w:val="28"/>
        </w:rPr>
        <w:t>构架，对主要内容进行了讨论并对项目的工作进行了部署和安排。</w:t>
      </w:r>
    </w:p>
    <w:p w14:paraId="1EF60DC3">
      <w:pPr>
        <w:spacing w:line="520" w:lineRule="exact"/>
        <w:ind w:firstLine="560"/>
        <w:rPr>
          <w:rFonts w:hint="eastAsia"/>
          <w:color w:val="auto"/>
          <w:szCs w:val="28"/>
        </w:rPr>
      </w:pPr>
      <w:r>
        <w:rPr>
          <w:rFonts w:hint="eastAsia"/>
          <w:color w:val="auto"/>
          <w:kern w:val="0"/>
          <w:szCs w:val="28"/>
        </w:rPr>
        <w:t>2024年</w:t>
      </w:r>
      <w:r>
        <w:rPr>
          <w:rFonts w:hint="eastAsia"/>
          <w:color w:val="auto"/>
          <w:kern w:val="0"/>
          <w:szCs w:val="28"/>
          <w:lang w:val="en-US" w:eastAsia="zh-CN"/>
        </w:rPr>
        <w:t>4</w:t>
      </w:r>
      <w:r>
        <w:rPr>
          <w:rFonts w:hint="eastAsia"/>
          <w:color w:val="auto"/>
          <w:kern w:val="0"/>
          <w:szCs w:val="28"/>
        </w:rPr>
        <w:t>月，团体标准《老年便秘患者腹部八卦推拿联合脐灸技术操作规范》</w:t>
      </w:r>
      <w:r>
        <w:rPr>
          <w:rFonts w:hint="eastAsia" w:hAnsi="宋体"/>
          <w:color w:val="auto"/>
          <w:szCs w:val="28"/>
        </w:rPr>
        <w:t>获批立项</w:t>
      </w:r>
      <w:r>
        <w:rPr>
          <w:rFonts w:hint="eastAsia"/>
          <w:color w:val="auto"/>
          <w:kern w:val="0"/>
          <w:szCs w:val="28"/>
        </w:rPr>
        <w:t>，</w:t>
      </w:r>
      <w:r>
        <w:rPr>
          <w:rFonts w:hint="eastAsia"/>
          <w:kern w:val="0"/>
          <w:szCs w:val="28"/>
        </w:rPr>
        <w:t>在前期工作的基础之上，通过理清逻辑脉络，整合已有参考资料中有关</w:t>
      </w:r>
      <w:r>
        <w:rPr>
          <w:rFonts w:hint="eastAsia"/>
          <w:szCs w:val="28"/>
        </w:rPr>
        <w:t>老年便秘患者腹部八卦推拿联合脐灸操作</w:t>
      </w:r>
      <w:r>
        <w:rPr>
          <w:rFonts w:hint="eastAsia"/>
          <w:kern w:val="0"/>
          <w:szCs w:val="28"/>
        </w:rPr>
        <w:t>的要求，并在目前</w:t>
      </w:r>
      <w:r>
        <w:rPr>
          <w:rFonts w:hint="eastAsia"/>
          <w:szCs w:val="28"/>
        </w:rPr>
        <w:t>老年便秘患者腹部八卦推拿联合脐灸</w:t>
      </w:r>
      <w:r>
        <w:rPr>
          <w:rFonts w:hint="eastAsia"/>
          <w:kern w:val="0"/>
          <w:szCs w:val="28"/>
        </w:rPr>
        <w:t>实际操作的基础上，按照简化、统一等原则编制完成团体标准《老年便秘患者腹部八卦推拿联合脐灸技术操作规范》（</w:t>
      </w:r>
      <w:r>
        <w:rPr>
          <w:rFonts w:hint="eastAsia"/>
          <w:color w:val="auto"/>
          <w:kern w:val="0"/>
          <w:szCs w:val="28"/>
        </w:rPr>
        <w:t>草案）。</w:t>
      </w:r>
    </w:p>
    <w:p w14:paraId="607ABA12">
      <w:pPr>
        <w:spacing w:line="520" w:lineRule="exact"/>
        <w:ind w:firstLine="560"/>
        <w:rPr>
          <w:rFonts w:hint="eastAsia"/>
          <w:kern w:val="0"/>
          <w:szCs w:val="28"/>
        </w:rPr>
      </w:pPr>
      <w:r>
        <w:rPr>
          <w:rFonts w:hint="eastAsia"/>
          <w:color w:val="auto"/>
          <w:kern w:val="0"/>
          <w:szCs w:val="28"/>
        </w:rPr>
        <w:t>2024年3月～2024年4月，标准编制工作组深入各地实施老年便秘患者腹部八卦推拿联合脐灸技术</w:t>
      </w:r>
      <w:r>
        <w:rPr>
          <w:rFonts w:hint="eastAsia" w:hAnsi="宋体"/>
          <w:color w:val="auto"/>
          <w:szCs w:val="28"/>
        </w:rPr>
        <w:t>的有代表性的中医医院，如广西中医药大学附属瑞康医院、玉林市中医医院、柳州市中医医院、桂林市中医医院、海口市中医医院、江西中医药大学附属医院、深圳市罗湖区中医院等单位</w:t>
      </w:r>
      <w:r>
        <w:rPr>
          <w:rFonts w:hint="eastAsia"/>
          <w:color w:val="auto"/>
          <w:kern w:val="0"/>
          <w:szCs w:val="28"/>
        </w:rPr>
        <w:t>进行实地调研，并组织广西中医药大学附属瑞康医院、玉林市中医医院、青岛惠德轩健康管理有限公司、柳州</w:t>
      </w:r>
      <w:r>
        <w:rPr>
          <w:rFonts w:hint="eastAsia"/>
          <w:kern w:val="0"/>
          <w:szCs w:val="28"/>
        </w:rPr>
        <w:t>市中医医院等召开标准研讨会，收集反馈了大量意见，对标准草案进行了反复修改和研究讨论，掌握了老年便秘患者腹部八卦推拿联合脐灸技术操作的基本情况以及要求，最终形成了</w:t>
      </w:r>
      <w:bookmarkStart w:id="5" w:name="_Hlk120181503"/>
      <w:r>
        <w:rPr>
          <w:rFonts w:hint="eastAsia"/>
          <w:kern w:val="0"/>
          <w:szCs w:val="28"/>
        </w:rPr>
        <w:t>团体标准《老年便秘患者腹部八卦推拿联合脐灸技术操作规范》（征求意见稿）及其编制说明。</w:t>
      </w:r>
      <w:bookmarkEnd w:id="5"/>
    </w:p>
    <w:p w14:paraId="5F412246">
      <w:pPr>
        <w:autoSpaceDE w:val="0"/>
        <w:autoSpaceDN w:val="0"/>
        <w:adjustRightInd w:val="0"/>
        <w:spacing w:line="520" w:lineRule="exact"/>
        <w:ind w:firstLine="640"/>
        <w:jc w:val="left"/>
        <w:rPr>
          <w:rFonts w:hint="eastAsia"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60CCBA2F">
      <w:pPr>
        <w:widowControl/>
        <w:tabs>
          <w:tab w:val="center" w:pos="4201"/>
          <w:tab w:val="right" w:leader="dot" w:pos="9298"/>
        </w:tabs>
        <w:autoSpaceDE w:val="0"/>
        <w:autoSpaceDN w:val="0"/>
        <w:spacing w:line="520" w:lineRule="exact"/>
        <w:ind w:firstLine="562"/>
        <w:outlineLvl w:val="1"/>
        <w:rPr>
          <w:rFonts w:hint="eastAsia"/>
          <w:b/>
          <w:bCs/>
          <w:kern w:val="0"/>
          <w:szCs w:val="28"/>
        </w:rPr>
      </w:pPr>
      <w:r>
        <w:rPr>
          <w:rFonts w:hint="eastAsia"/>
          <w:b/>
          <w:bCs/>
          <w:kern w:val="0"/>
          <w:szCs w:val="28"/>
        </w:rPr>
        <w:t>（一）编制原则</w:t>
      </w:r>
    </w:p>
    <w:p w14:paraId="290F865A">
      <w:pPr>
        <w:spacing w:line="520" w:lineRule="exact"/>
        <w:ind w:firstLine="562"/>
        <w:rPr>
          <w:rFonts w:hint="eastAsia"/>
          <w:b/>
          <w:szCs w:val="28"/>
        </w:rPr>
      </w:pPr>
      <w:r>
        <w:rPr>
          <w:rFonts w:hint="eastAsia"/>
          <w:b/>
          <w:szCs w:val="28"/>
        </w:rPr>
        <w:t>1、实用性原则</w:t>
      </w:r>
    </w:p>
    <w:p w14:paraId="53A1E60A">
      <w:pPr>
        <w:spacing w:line="520" w:lineRule="exact"/>
        <w:ind w:firstLine="560"/>
        <w:rPr>
          <w:rFonts w:hint="eastAsia" w:cs="仿宋"/>
          <w:szCs w:val="28"/>
        </w:rPr>
      </w:pPr>
      <w:r>
        <w:rPr>
          <w:rFonts w:hint="eastAsia" w:cs="仿宋"/>
          <w:szCs w:val="28"/>
        </w:rPr>
        <w:t>本标准是在充分收集国内外相关资料和文献、调研分析</w:t>
      </w:r>
      <w:r>
        <w:rPr>
          <w:rFonts w:hint="eastAsia"/>
          <w:kern w:val="0"/>
          <w:szCs w:val="28"/>
        </w:rPr>
        <w:t>老年便秘患者腹部八卦推拿联合脐灸技术操作</w:t>
      </w:r>
      <w:r>
        <w:rPr>
          <w:rFonts w:hint="eastAsia" w:cs="仿宋"/>
          <w:szCs w:val="28"/>
        </w:rPr>
        <w:t>现状，结合起草单位前期研究工作取得的研究成果及积累的中医实践经验，并借鉴国内</w:t>
      </w:r>
      <w:r>
        <w:rPr>
          <w:rFonts w:hint="eastAsia"/>
          <w:kern w:val="0"/>
          <w:szCs w:val="28"/>
        </w:rPr>
        <w:t>老年便秘患者腹部八卦推拿联合脐灸技术操作</w:t>
      </w:r>
      <w:r>
        <w:rPr>
          <w:rFonts w:hint="eastAsia" w:cs="仿宋"/>
          <w:szCs w:val="28"/>
        </w:rPr>
        <w:t>进行总结起草的，符合工作实际，利于</w:t>
      </w:r>
      <w:r>
        <w:rPr>
          <w:rFonts w:hint="eastAsia"/>
          <w:kern w:val="0"/>
          <w:szCs w:val="28"/>
        </w:rPr>
        <w:t>老年便秘患者腹部八卦推拿联合脐灸技术</w:t>
      </w:r>
      <w:r>
        <w:rPr>
          <w:rFonts w:hint="eastAsia" w:cs="仿宋"/>
          <w:szCs w:val="28"/>
        </w:rPr>
        <w:t>的实施与推广，具有可操作性和实用性。</w:t>
      </w:r>
    </w:p>
    <w:p w14:paraId="0502E215">
      <w:pPr>
        <w:spacing w:line="520" w:lineRule="exact"/>
        <w:ind w:firstLine="562"/>
        <w:rPr>
          <w:rFonts w:hint="eastAsia"/>
          <w:b/>
          <w:szCs w:val="28"/>
        </w:rPr>
      </w:pPr>
      <w:r>
        <w:rPr>
          <w:rFonts w:hint="eastAsia"/>
          <w:b/>
          <w:szCs w:val="28"/>
        </w:rPr>
        <w:t>2、协调性原则</w:t>
      </w:r>
    </w:p>
    <w:p w14:paraId="5AA7E7F0">
      <w:pPr>
        <w:spacing w:line="520" w:lineRule="exact"/>
        <w:ind w:firstLine="560"/>
        <w:rPr>
          <w:rFonts w:hint="eastAsia"/>
          <w:szCs w:val="28"/>
        </w:rPr>
      </w:pPr>
      <w:r>
        <w:rPr>
          <w:rFonts w:hint="eastAsia"/>
          <w:szCs w:val="28"/>
        </w:rPr>
        <w:t>本文件编写过程中注意了与</w:t>
      </w:r>
      <w:r>
        <w:rPr>
          <w:rFonts w:hint="eastAsia"/>
          <w:kern w:val="0"/>
          <w:szCs w:val="28"/>
        </w:rPr>
        <w:t>老年便秘患者腹部八卦推拿联合脐灸技术</w:t>
      </w:r>
      <w:r>
        <w:rPr>
          <w:rFonts w:hint="eastAsia"/>
          <w:szCs w:val="28"/>
        </w:rPr>
        <w:t>相关法律法规的协调问题，在内容上与现行法律法规、标准协调一致。</w:t>
      </w:r>
    </w:p>
    <w:p w14:paraId="7679D7BF">
      <w:pPr>
        <w:spacing w:line="520" w:lineRule="exact"/>
        <w:ind w:firstLine="562"/>
        <w:rPr>
          <w:rFonts w:hint="eastAsia"/>
          <w:b/>
          <w:szCs w:val="28"/>
        </w:rPr>
      </w:pPr>
      <w:r>
        <w:rPr>
          <w:rFonts w:hint="eastAsia"/>
          <w:b/>
          <w:szCs w:val="28"/>
        </w:rPr>
        <w:t>3、规范性原则</w:t>
      </w:r>
    </w:p>
    <w:p w14:paraId="3B56BA5D">
      <w:pPr>
        <w:spacing w:line="520" w:lineRule="exact"/>
        <w:ind w:firstLine="560"/>
        <w:rPr>
          <w:rFonts w:hint="eastAsia"/>
          <w:szCs w:val="28"/>
        </w:rPr>
      </w:pPr>
      <w:r>
        <w:rPr>
          <w:rFonts w:hint="eastAsia"/>
          <w:szCs w:val="28"/>
        </w:rPr>
        <w:t>本文件严格按照GB/T 1.1—2020《标准化工作导则  第1部分：标准化文件的结构和起草规则》编写本标准的内容，保证标准的编写质量。</w:t>
      </w:r>
    </w:p>
    <w:p w14:paraId="093864EB">
      <w:pPr>
        <w:spacing w:line="520" w:lineRule="exact"/>
        <w:ind w:firstLine="562"/>
        <w:rPr>
          <w:rFonts w:hint="eastAsia"/>
          <w:b/>
          <w:szCs w:val="28"/>
        </w:rPr>
      </w:pPr>
      <w:r>
        <w:rPr>
          <w:rFonts w:hint="eastAsia"/>
          <w:b/>
          <w:szCs w:val="28"/>
        </w:rPr>
        <w:t>4、前瞻性原则</w:t>
      </w:r>
    </w:p>
    <w:p w14:paraId="53844AC2">
      <w:pPr>
        <w:spacing w:line="520" w:lineRule="exact"/>
        <w:ind w:firstLine="560"/>
        <w:rPr>
          <w:rFonts w:hint="eastAsia"/>
          <w:szCs w:val="28"/>
        </w:rPr>
      </w:pPr>
      <w:r>
        <w:rPr>
          <w:rFonts w:hint="eastAsia"/>
          <w:szCs w:val="28"/>
        </w:rPr>
        <w:t>本文件在兼顾当前区内</w:t>
      </w:r>
      <w:r>
        <w:rPr>
          <w:rFonts w:hint="eastAsia"/>
          <w:kern w:val="0"/>
          <w:szCs w:val="28"/>
        </w:rPr>
        <w:t>老年便秘患者腹部八卦推拿联合脐灸技术</w:t>
      </w:r>
      <w:r>
        <w:rPr>
          <w:rFonts w:hint="eastAsia"/>
          <w:szCs w:val="28"/>
        </w:rPr>
        <w:t>现实情况的同时，还考虑到了</w:t>
      </w:r>
      <w:r>
        <w:rPr>
          <w:rFonts w:hint="eastAsia"/>
          <w:kern w:val="0"/>
          <w:szCs w:val="28"/>
        </w:rPr>
        <w:t>老年便秘患者腹部八卦推拿联合脐灸技术操作</w:t>
      </w:r>
      <w:r>
        <w:rPr>
          <w:rFonts w:hint="eastAsia"/>
          <w:szCs w:val="28"/>
        </w:rPr>
        <w:t>的需要，在标准中体现了个别特色性、前瞻性和先进性条款，作为对</w:t>
      </w:r>
      <w:r>
        <w:rPr>
          <w:rFonts w:hint="eastAsia"/>
          <w:kern w:val="0"/>
          <w:szCs w:val="28"/>
        </w:rPr>
        <w:t>老年便秘患者腹部八卦推拿联合脐灸技术</w:t>
      </w:r>
      <w:r>
        <w:rPr>
          <w:rFonts w:hint="eastAsia"/>
          <w:szCs w:val="28"/>
        </w:rPr>
        <w:t>发展的指导。</w:t>
      </w:r>
    </w:p>
    <w:p w14:paraId="1534E7F2">
      <w:pPr>
        <w:spacing w:line="520" w:lineRule="exact"/>
        <w:ind w:firstLine="562"/>
        <w:rPr>
          <w:rFonts w:hint="eastAsia"/>
          <w:b/>
          <w:bCs/>
          <w:szCs w:val="28"/>
        </w:rPr>
      </w:pPr>
      <w:r>
        <w:rPr>
          <w:rFonts w:hint="eastAsia"/>
          <w:b/>
          <w:bCs/>
          <w:szCs w:val="28"/>
        </w:rPr>
        <w:t>（二）编制依据</w:t>
      </w:r>
    </w:p>
    <w:p w14:paraId="29B2DEDF">
      <w:pPr>
        <w:spacing w:line="520" w:lineRule="exact"/>
        <w:ind w:firstLine="560"/>
        <w:rPr>
          <w:rFonts w:hint="eastAsia"/>
          <w:szCs w:val="28"/>
        </w:rPr>
      </w:pPr>
      <w:r>
        <w:rPr>
          <w:rFonts w:hint="eastAsia"/>
          <w:szCs w:val="28"/>
        </w:rPr>
        <w:t>本标准严格按照GB/T 1.1—2020《标准化工作导则  第1部分：标准化文件的结构和起草规则》的规则起草，标准主要内容依据起草单位在</w:t>
      </w:r>
      <w:r>
        <w:rPr>
          <w:rFonts w:hint="eastAsia"/>
          <w:kern w:val="0"/>
          <w:szCs w:val="28"/>
        </w:rPr>
        <w:t>老年便秘患者腹部八卦推拿联合脐灸技术</w:t>
      </w:r>
      <w:r>
        <w:rPr>
          <w:rFonts w:hint="eastAsia"/>
          <w:szCs w:val="28"/>
        </w:rPr>
        <w:t>研究应用过程中的实践经验确定。</w:t>
      </w:r>
    </w:p>
    <w:p w14:paraId="0CA04197">
      <w:pPr>
        <w:spacing w:line="520" w:lineRule="exact"/>
        <w:ind w:firstLine="562"/>
        <w:rPr>
          <w:rFonts w:hint="eastAsia"/>
          <w:b/>
          <w:bCs/>
          <w:szCs w:val="28"/>
        </w:rPr>
      </w:pPr>
    </w:p>
    <w:p w14:paraId="4E1CCE14">
      <w:pPr>
        <w:spacing w:line="520" w:lineRule="exact"/>
        <w:ind w:firstLine="562"/>
        <w:rPr>
          <w:rFonts w:hint="eastAsia"/>
          <w:b/>
          <w:bCs/>
          <w:szCs w:val="28"/>
        </w:rPr>
      </w:pPr>
      <w:r>
        <w:rPr>
          <w:rFonts w:hint="eastAsia"/>
          <w:b/>
          <w:bCs/>
          <w:szCs w:val="28"/>
        </w:rPr>
        <w:t>（三）与现行法律、法规的关系，与有关国家标准、行业标准的协调情况</w:t>
      </w:r>
    </w:p>
    <w:p w14:paraId="421AB087">
      <w:pPr>
        <w:spacing w:line="520" w:lineRule="exact"/>
        <w:ind w:firstLine="560"/>
        <w:rPr>
          <w:rFonts w:hint="eastAsia"/>
          <w:szCs w:val="28"/>
        </w:rPr>
      </w:pPr>
      <w:r>
        <w:rPr>
          <w:rFonts w:hint="eastAsia"/>
          <w:szCs w:val="28"/>
        </w:rPr>
        <w:t>本标准与相关法律法规、强制性标准协调一致，无冲突。</w:t>
      </w:r>
    </w:p>
    <w:p w14:paraId="14F30E07">
      <w:pPr>
        <w:adjustRightInd w:val="0"/>
        <w:snapToGrid w:val="0"/>
        <w:spacing w:line="520" w:lineRule="exact"/>
        <w:ind w:firstLine="560"/>
        <w:rPr>
          <w:rFonts w:hint="eastAsia" w:cs="仿宋"/>
          <w:bCs/>
          <w:szCs w:val="28"/>
        </w:rPr>
      </w:pPr>
      <w:r>
        <w:rPr>
          <w:rFonts w:hint="eastAsia" w:cs="仿宋"/>
          <w:bCs/>
          <w:szCs w:val="28"/>
        </w:rPr>
        <w:t>经查阅，目前国内与“便秘 推拿 脐灸”现行相关的团体以及地方标准有：T/GXAS 729—2024《胃脘痛脐灸技术操作规范》、广西地方标准《壮医脐灸治疗护理技术操作规范》（2022—1295）、广西地方标准《背俞指针疗法治疗功能性便秘技术操作规范》（2024—0120）。</w:t>
      </w:r>
    </w:p>
    <w:p w14:paraId="4B6DD3FF">
      <w:pPr>
        <w:adjustRightInd w:val="0"/>
        <w:snapToGrid w:val="0"/>
        <w:spacing w:line="520" w:lineRule="exact"/>
        <w:ind w:firstLine="560"/>
        <w:rPr>
          <w:rFonts w:hint="eastAsia" w:cs="仿宋"/>
          <w:bCs/>
          <w:szCs w:val="28"/>
        </w:rPr>
      </w:pPr>
      <w:r>
        <w:rPr>
          <w:rFonts w:hint="eastAsia" w:cs="仿宋"/>
          <w:bCs/>
          <w:szCs w:val="28"/>
        </w:rPr>
        <w:t>其中T/GXAS 729—2024《胃脘痛脐灸技术操作规范》规定了胃脘痛脐灸技术操作的人员要求、辨证、施术前准备、施术方法、疗程、注意事项、不良反应处理及禁忌的要求，不涉及腹部八卦推拿联合脐灸技术；《壮医脐灸治疗护理技术操作规范》（2022—1295）的对护理技术进行了规范，不涉及腹部八卦推拿联合脐灸技术；《背俞指针疗法治疗功能性便秘技术操作规范》（2024—0120）规定了背俞指针疗法治疗功能性便秘的人员要求、评估、施术前准备、施术方法及不良反应处理的技术要求，描述了对应的不良反应及处理的方法，不涉及腹部八卦推拿联合脐灸技术治疗老年便秘。以上标准均与本文件不同并且未涉及腹部八卦推拿法治疗老年便秘，本文件具有创新性和先进性。</w:t>
      </w:r>
    </w:p>
    <w:p w14:paraId="4F6AB2FB">
      <w:pPr>
        <w:adjustRightInd w:val="0"/>
        <w:snapToGrid w:val="0"/>
        <w:spacing w:line="520" w:lineRule="exact"/>
        <w:ind w:firstLine="560"/>
        <w:rPr>
          <w:rFonts w:hint="eastAsia"/>
        </w:rPr>
      </w:pPr>
      <w:r>
        <w:rPr>
          <w:rFonts w:hint="eastAsia" w:cs="仿宋"/>
          <w:bCs/>
          <w:szCs w:val="28"/>
        </w:rPr>
        <w:t>当前未制定有团体标准《老年便秘患者腹部八卦推拿联合脐灸技术操作规范》。</w:t>
      </w:r>
    </w:p>
    <w:p w14:paraId="4B611CC0">
      <w:pPr>
        <w:spacing w:before="240" w:after="60" w:line="520" w:lineRule="exact"/>
        <w:ind w:firstLine="640"/>
        <w:jc w:val="left"/>
        <w:outlineLvl w:val="0"/>
        <w:rPr>
          <w:rFonts w:hint="eastAsia" w:ascii="黑体" w:eastAsia="黑体"/>
          <w:bCs/>
          <w:sz w:val="32"/>
          <w:szCs w:val="32"/>
        </w:rPr>
      </w:pPr>
      <w:r>
        <w:rPr>
          <w:rFonts w:hint="eastAsia" w:ascii="黑体" w:eastAsia="黑体"/>
          <w:bCs/>
          <w:sz w:val="32"/>
          <w:szCs w:val="32"/>
        </w:rPr>
        <w:t>五、主要条款的说明</w:t>
      </w:r>
    </w:p>
    <w:p w14:paraId="6798DC39">
      <w:pPr>
        <w:pStyle w:val="29"/>
        <w:spacing w:line="520" w:lineRule="exact"/>
        <w:ind w:firstLine="562"/>
        <w:rPr>
          <w:rFonts w:ascii="仿宋_GB2312" w:eastAsia="仿宋_GB2312" w:cs="仿宋"/>
          <w:sz w:val="28"/>
          <w:szCs w:val="28"/>
        </w:rPr>
      </w:pPr>
      <w:r>
        <w:rPr>
          <w:rFonts w:hint="eastAsia" w:ascii="仿宋_GB2312" w:eastAsia="仿宋_GB2312" w:cs="仿宋"/>
          <w:b/>
          <w:bCs/>
          <w:sz w:val="28"/>
          <w:szCs w:val="28"/>
        </w:rPr>
        <w:t>标准技术内容规定了</w:t>
      </w:r>
      <w:r>
        <w:rPr>
          <w:rFonts w:hint="eastAsia" w:ascii="仿宋_GB2312" w:eastAsia="仿宋_GB2312" w:cs="仿宋"/>
          <w:sz w:val="28"/>
          <w:szCs w:val="28"/>
        </w:rPr>
        <w:t>老年便秘患者腹部八卦推拿联合脐灸技术操作的人员要求、评估、施术前准备、施术方法及不良反应处理的要求。</w:t>
      </w:r>
    </w:p>
    <w:p w14:paraId="6E4554D1">
      <w:pPr>
        <w:pStyle w:val="29"/>
        <w:spacing w:line="520" w:lineRule="exact"/>
        <w:ind w:firstLine="562"/>
        <w:rPr>
          <w:rFonts w:ascii="仿宋_GB2312" w:eastAsia="仿宋_GB2312" w:cs="仿宋"/>
          <w:b/>
          <w:bCs/>
          <w:color w:val="FF0000"/>
          <w:sz w:val="28"/>
          <w:szCs w:val="28"/>
        </w:rPr>
      </w:pPr>
      <w:r>
        <w:rPr>
          <w:rFonts w:hint="eastAsia" w:ascii="仿宋_GB2312" w:eastAsia="仿宋_GB2312" w:cs="仿宋"/>
          <w:b/>
          <w:bCs/>
          <w:sz w:val="28"/>
          <w:szCs w:val="28"/>
        </w:rPr>
        <w:t>（一）术语和定义</w:t>
      </w:r>
    </w:p>
    <w:p w14:paraId="74D3B528">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1.腹部八卦推拿</w:t>
      </w:r>
    </w:p>
    <w:p w14:paraId="69ECA2DD">
      <w:pPr>
        <w:pStyle w:val="29"/>
        <w:spacing w:line="520" w:lineRule="exact"/>
        <w:ind w:firstLine="562"/>
        <w:rPr>
          <w:rFonts w:hint="eastAsia" w:ascii="仿宋_GB2312" w:eastAsia="仿宋_GB2312" w:cs="仿宋"/>
          <w:bCs/>
          <w:color w:val="0000FF"/>
          <w:sz w:val="28"/>
          <w:szCs w:val="28"/>
          <w:lang w:eastAsia="zh-CN"/>
        </w:rPr>
      </w:pPr>
      <w:r>
        <w:rPr>
          <w:rFonts w:hint="eastAsia" w:ascii="仿宋_GB2312" w:eastAsia="仿宋_GB2312" w:cs="仿宋"/>
          <w:bCs/>
          <w:sz w:val="28"/>
          <w:szCs w:val="28"/>
        </w:rPr>
        <w:t>是以易学理论为根基，将人体视为一个有机整体，依据脐内八卦全息理论中八卦与人体脏腑、气血的对应关系，以脐部为中心将腹部划分出艮、坎、乾、震、巽、离、坤、兑八个卦位。通过揉、按、摩等特定中医推拿手法，对相应卦位进行精准刺激，激发经气运行，调节人体脏腑功能，从而达到调和阴阳、扶正祛邪、防病治病目的一种中医外治法。</w:t>
      </w:r>
      <w:r>
        <w:rPr>
          <w:rFonts w:hint="eastAsia" w:ascii="仿宋_GB2312" w:eastAsia="仿宋_GB2312" w:cs="仿宋"/>
          <w:bCs/>
          <w:sz w:val="28"/>
          <w:szCs w:val="28"/>
          <w:lang w:eastAsia="zh-CN"/>
        </w:rPr>
        <w:t>该术</w:t>
      </w:r>
      <w:r>
        <w:rPr>
          <w:rFonts w:hint="eastAsia" w:ascii="仿宋_GB2312" w:eastAsia="仿宋_GB2312" w:cs="仿宋"/>
          <w:bCs/>
          <w:color w:val="auto"/>
          <w:sz w:val="28"/>
          <w:szCs w:val="28"/>
          <w:lang w:eastAsia="zh-CN"/>
        </w:rPr>
        <w:t>语的定义</w:t>
      </w:r>
      <w:r>
        <w:rPr>
          <w:rFonts w:hint="eastAsia" w:ascii="仿宋_GB2312" w:eastAsia="仿宋_GB2312" w:cs="仿宋"/>
          <w:bCs/>
          <w:color w:val="auto"/>
          <w:sz w:val="28"/>
          <w:szCs w:val="28"/>
        </w:rPr>
        <w:t>主要参考了</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脐针疗法、脐全息与脐诊法</w:t>
      </w:r>
      <w:r>
        <w:rPr>
          <w:rFonts w:hint="eastAsia" w:ascii="仿宋_GB2312" w:eastAsia="仿宋_GB2312" w:cs="仿宋"/>
          <w:bCs/>
          <w:color w:val="auto"/>
          <w:sz w:val="28"/>
          <w:szCs w:val="28"/>
          <w:lang w:eastAsia="zh-CN"/>
        </w:rPr>
        <w:t>》和《</w:t>
      </w:r>
      <w:r>
        <w:rPr>
          <w:rFonts w:hint="eastAsia" w:ascii="仿宋_GB2312" w:eastAsia="仿宋_GB2312" w:cs="仿宋"/>
          <w:bCs/>
          <w:color w:val="auto"/>
          <w:sz w:val="28"/>
          <w:szCs w:val="28"/>
        </w:rPr>
        <w:t>基于“尚中重土”理论探讨腹部八卦推拿治疗慢性便秘的进展</w:t>
      </w:r>
      <w:r>
        <w:rPr>
          <w:rFonts w:hint="eastAsia" w:ascii="仿宋_GB2312" w:eastAsia="仿宋_GB2312" w:cs="仿宋"/>
          <w:bCs/>
          <w:color w:val="auto"/>
          <w:sz w:val="28"/>
          <w:szCs w:val="28"/>
          <w:lang w:eastAsia="zh-CN"/>
        </w:rPr>
        <w:t>》</w:t>
      </w:r>
      <w:r>
        <w:rPr>
          <w:rFonts w:hint="eastAsia" w:ascii="仿宋_GB2312" w:eastAsia="仿宋_GB2312" w:cs="仿宋"/>
          <w:bCs/>
          <w:color w:val="auto"/>
          <w:sz w:val="28"/>
          <w:szCs w:val="28"/>
        </w:rPr>
        <w:t>同时结合广西中医药大学附属瑞康医院老年便秘患者腹部八卦推拿联合脐灸技术经验</w:t>
      </w:r>
      <w:r>
        <w:rPr>
          <w:rFonts w:hint="eastAsia" w:ascii="仿宋_GB2312" w:eastAsia="仿宋_GB2312" w:cs="仿宋"/>
          <w:bCs/>
          <w:color w:val="auto"/>
          <w:sz w:val="28"/>
          <w:szCs w:val="28"/>
          <w:lang w:eastAsia="zh-CN"/>
        </w:rPr>
        <w:t>而确定。</w:t>
      </w:r>
    </w:p>
    <w:p w14:paraId="0A980030">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2.脐灸</w:t>
      </w:r>
    </w:p>
    <w:p w14:paraId="044BE7FD">
      <w:pPr>
        <w:pStyle w:val="29"/>
        <w:spacing w:line="520" w:lineRule="exact"/>
        <w:ind w:firstLine="562"/>
        <w:rPr>
          <w:rFonts w:ascii="仿宋_GB2312" w:eastAsia="仿宋_GB2312" w:cs="仿宋"/>
          <w:bCs/>
          <w:sz w:val="28"/>
          <w:szCs w:val="28"/>
        </w:rPr>
      </w:pPr>
      <w:r>
        <w:rPr>
          <w:rFonts w:hint="eastAsia" w:ascii="仿宋_GB2312" w:eastAsia="仿宋_GB2312" w:cs="仿宋"/>
          <w:bCs/>
          <w:sz w:val="28"/>
          <w:szCs w:val="28"/>
        </w:rPr>
        <w:t>“脐灸”的定义参考了GB/T 40976—2021《灸用艾绒》和T/GXAS 729《胃脘痛脐灸技术操作规范》</w:t>
      </w:r>
      <w:r>
        <w:rPr>
          <w:rFonts w:hint="eastAsia" w:ascii="仿宋_GB2312" w:eastAsia="仿宋_GB2312" w:cs="仿宋"/>
          <w:bCs/>
          <w:color w:val="auto"/>
          <w:sz w:val="28"/>
          <w:szCs w:val="28"/>
          <w:lang w:eastAsia="zh-CN"/>
        </w:rPr>
        <w:t>并</w:t>
      </w:r>
      <w:r>
        <w:rPr>
          <w:rFonts w:hint="eastAsia" w:ascii="仿宋_GB2312" w:eastAsia="仿宋_GB2312" w:cs="仿宋"/>
          <w:bCs/>
          <w:color w:val="auto"/>
          <w:sz w:val="28"/>
          <w:szCs w:val="28"/>
        </w:rPr>
        <w:t>结合广西中医药大学附属瑞康医院老年便秘患者腹部八卦推拿联合脐灸技术经验</w:t>
      </w:r>
      <w:r>
        <w:rPr>
          <w:rFonts w:hint="eastAsia" w:ascii="仿宋_GB2312" w:eastAsia="仿宋_GB2312" w:cs="仿宋"/>
          <w:bCs/>
          <w:sz w:val="28"/>
          <w:szCs w:val="28"/>
        </w:rPr>
        <w:t>，明确为：将药物制作成适当剂型（如散、丸、膏等）敷于脐部，并于脐部给予艾灸，通过施药或刺激于神阙穴，起到祛邪治病之功效的一种中医外治法。</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1ABB3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3F66A5C7">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szCs w:val="20"/>
              </w:rPr>
              <w:drawing>
                <wp:inline distT="0" distB="0" distL="114300" distR="114300">
                  <wp:extent cx="5686425" cy="720090"/>
                  <wp:effectExtent l="0" t="0" r="9525"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686425" cy="720090"/>
                          </a:xfrm>
                          <a:prstGeom prst="rect">
                            <a:avLst/>
                          </a:prstGeom>
                          <a:noFill/>
                          <a:ln>
                            <a:noFill/>
                          </a:ln>
                        </pic:spPr>
                      </pic:pic>
                    </a:graphicData>
                  </a:graphic>
                </wp:inline>
              </w:drawing>
            </w:r>
          </w:p>
        </w:tc>
      </w:tr>
      <w:tr w14:paraId="68A41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665F9EB3">
            <w:pPr>
              <w:pStyle w:val="29"/>
              <w:keepNext w:val="0"/>
              <w:keepLines w:val="0"/>
              <w:widowControl/>
              <w:suppressLineNumbers w:val="0"/>
              <w:spacing w:before="0" w:beforeAutospacing="0" w:after="0" w:afterAutospacing="0"/>
              <w:ind w:left="0" w:right="0" w:firstLine="0" w:firstLineChars="0"/>
              <w:jc w:val="center"/>
              <w:rPr>
                <w:rFonts w:hint="eastAsia" w:ascii="仿宋_GB2312" w:eastAsia="仿宋_GB2312" w:cs="仿宋"/>
                <w:b/>
                <w:sz w:val="28"/>
                <w:szCs w:val="28"/>
                <w:vertAlign w:val="baseline"/>
              </w:rPr>
            </w:pPr>
            <w:r>
              <w:rPr>
                <w:rFonts w:hint="eastAsia" w:ascii="黑体" w:hAnsi="黑体" w:eastAsia="黑体" w:cs="黑体"/>
                <w:bCs/>
                <w:szCs w:val="21"/>
              </w:rPr>
              <w:t>来源：T/GXAS 729  胃脘痛脐灸技术操作规范</w:t>
            </w:r>
          </w:p>
        </w:tc>
      </w:tr>
    </w:tbl>
    <w:p w14:paraId="3AB76D57">
      <w:pPr>
        <w:pStyle w:val="29"/>
        <w:keepNext w:val="0"/>
        <w:keepLines w:val="0"/>
        <w:pageBreakBefore w:val="0"/>
        <w:widowControl/>
        <w:kinsoku/>
        <w:wordWrap/>
        <w:overflowPunct/>
        <w:topLinePunct w:val="0"/>
        <w:autoSpaceDE w:val="0"/>
        <w:autoSpaceDN w:val="0"/>
        <w:bidi w:val="0"/>
        <w:adjustRightInd/>
        <w:snapToGrid/>
        <w:spacing w:line="240" w:lineRule="exact"/>
        <w:ind w:firstLine="562"/>
        <w:textAlignment w:val="auto"/>
        <w:rPr>
          <w:rFonts w:hint="eastAsia" w:ascii="仿宋_GB2312" w:eastAsia="仿宋_GB2312" w:cs="仿宋"/>
          <w:b/>
          <w:sz w:val="28"/>
          <w:szCs w:val="28"/>
        </w:rPr>
      </w:pPr>
    </w:p>
    <w:p w14:paraId="3D6C959C">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（二）</w:t>
      </w:r>
      <w:bookmarkStart w:id="6" w:name="_Toc130001562"/>
      <w:bookmarkStart w:id="7" w:name="_Toc130001751"/>
      <w:bookmarkStart w:id="8" w:name="_Toc129855215"/>
      <w:bookmarkStart w:id="9" w:name="_Toc129855049"/>
      <w:bookmarkStart w:id="10" w:name="_Toc130001592"/>
      <w:r>
        <w:rPr>
          <w:rFonts w:hint="eastAsia" w:ascii="仿宋_GB2312" w:eastAsia="仿宋_GB2312" w:cs="仿宋"/>
          <w:b/>
          <w:sz w:val="28"/>
          <w:szCs w:val="28"/>
        </w:rPr>
        <w:t>人员要求</w:t>
      </w:r>
    </w:p>
    <w:bookmarkEnd w:id="6"/>
    <w:bookmarkEnd w:id="7"/>
    <w:bookmarkEnd w:id="8"/>
    <w:bookmarkEnd w:id="9"/>
    <w:bookmarkEnd w:id="10"/>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1BAAD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72B39275">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szCs w:val="20"/>
              </w:rPr>
              <w:drawing>
                <wp:inline distT="0" distB="0" distL="114300" distR="114300">
                  <wp:extent cx="5305425" cy="561975"/>
                  <wp:effectExtent l="0" t="0" r="9525" b="952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5305425" cy="561975"/>
                          </a:xfrm>
                          <a:prstGeom prst="rect">
                            <a:avLst/>
                          </a:prstGeom>
                          <a:noFill/>
                          <a:ln>
                            <a:noFill/>
                          </a:ln>
                        </pic:spPr>
                      </pic:pic>
                    </a:graphicData>
                  </a:graphic>
                </wp:inline>
              </w:drawing>
            </w:r>
          </w:p>
        </w:tc>
      </w:tr>
      <w:tr w14:paraId="5771A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7FF06BC8">
            <w:pPr>
              <w:pStyle w:val="29"/>
              <w:keepNext w:val="0"/>
              <w:keepLines w:val="0"/>
              <w:widowControl/>
              <w:suppressLineNumbers w:val="0"/>
              <w:spacing w:before="0" w:beforeAutospacing="0" w:after="0" w:afterAutospacing="0"/>
              <w:ind w:left="0" w:right="0" w:firstLine="0" w:firstLineChars="0"/>
              <w:jc w:val="center"/>
              <w:rPr>
                <w:rFonts w:hint="eastAsia" w:ascii="仿宋_GB2312" w:eastAsia="仿宋_GB2312" w:cs="仿宋"/>
                <w:b/>
                <w:sz w:val="28"/>
                <w:szCs w:val="28"/>
                <w:vertAlign w:val="baseline"/>
              </w:rPr>
            </w:pPr>
            <w:r>
              <w:rPr>
                <w:rFonts w:hint="eastAsia" w:ascii="黑体" w:hAnsi="黑体" w:eastAsia="黑体" w:cs="黑体"/>
                <w:bCs/>
                <w:szCs w:val="21"/>
              </w:rPr>
              <w:t>来源：T/GXAS 729  胃脘痛脐灸技术操作规范</w:t>
            </w:r>
          </w:p>
        </w:tc>
      </w:tr>
    </w:tbl>
    <w:p w14:paraId="21928B30">
      <w:pPr>
        <w:pStyle w:val="29"/>
        <w:spacing w:line="520" w:lineRule="exact"/>
        <w:ind w:firstLine="560"/>
        <w:rPr>
          <w:rFonts w:ascii="仿宋_GB2312" w:eastAsia="仿宋_GB2312" w:cs="仿宋"/>
          <w:bCs/>
          <w:sz w:val="28"/>
          <w:szCs w:val="28"/>
        </w:rPr>
      </w:pPr>
      <w:r>
        <w:rPr>
          <w:rFonts w:hint="eastAsia" w:ascii="仿宋_GB2312" w:eastAsia="仿宋_GB2312" w:cs="仿宋"/>
          <w:b/>
          <w:bCs w:val="0"/>
          <w:sz w:val="28"/>
          <w:szCs w:val="28"/>
        </w:rPr>
        <w:t>人员要求</w:t>
      </w:r>
      <w:r>
        <w:rPr>
          <w:rFonts w:hint="eastAsia" w:ascii="仿宋_GB2312" w:eastAsia="仿宋_GB2312" w:cs="仿宋"/>
          <w:bCs/>
          <w:sz w:val="28"/>
          <w:szCs w:val="28"/>
        </w:rPr>
        <w:t>参考了T/GXAS 729《胃脘痛脐灸技术操作规范》并将其确认为：应为注册医生或注册护士，并经过相关中医知识及腹部八卦推拿联合脐灸技术基本原理和操作技能培训</w:t>
      </w:r>
      <w:bookmarkStart w:id="13" w:name="_GoBack"/>
      <w:bookmarkEnd w:id="13"/>
      <w:r>
        <w:rPr>
          <w:rFonts w:hint="eastAsia" w:ascii="仿宋_GB2312" w:eastAsia="仿宋_GB2312" w:cs="仿宋"/>
          <w:bCs/>
          <w:sz w:val="28"/>
          <w:szCs w:val="28"/>
        </w:rPr>
        <w:t>。</w:t>
      </w:r>
    </w:p>
    <w:p w14:paraId="0DF27F1E">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（三）评估</w:t>
      </w:r>
    </w:p>
    <w:p w14:paraId="2B034ABC">
      <w:pPr>
        <w:pStyle w:val="29"/>
        <w:ind w:firstLine="560"/>
        <w:rPr>
          <w:rFonts w:hint="eastAsia" w:ascii="仿宋_GB2312" w:hAnsi="仿宋_GB2312" w:eastAsia="仿宋_GB2312" w:cs="仿宋_GB2312"/>
          <w:sz w:val="28"/>
          <w:szCs w:val="28"/>
        </w:rPr>
      </w:pPr>
      <w:r>
        <w:rPr>
          <w:rFonts w:hint="eastAsia" w:ascii="仿宋_GB2312" w:hAnsi="仿宋_GB2312" w:eastAsia="仿宋_GB2312" w:cs="仿宋_GB2312"/>
          <w:b/>
          <w:bCs/>
          <w:sz w:val="28"/>
          <w:szCs w:val="28"/>
        </w:rPr>
        <w:t>禁忌症的排除</w:t>
      </w:r>
      <w:r>
        <w:rPr>
          <w:rFonts w:hint="eastAsia" w:ascii="仿宋_GB2312" w:hAnsi="仿宋_GB2312" w:eastAsia="仿宋_GB2312" w:cs="仿宋_GB2312"/>
          <w:sz w:val="28"/>
          <w:szCs w:val="28"/>
        </w:rPr>
        <w:t>参考T/GXAS 729</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胃脘痛脐灸技术操作规范</w:t>
      </w:r>
      <w:r>
        <w:rPr>
          <w:rFonts w:hint="eastAsia" w:ascii="仿宋_GB2312" w:hAnsi="仿宋_GB2312" w:eastAsia="仿宋_GB2312" w:cs="仿宋_GB2312"/>
          <w:sz w:val="28"/>
          <w:szCs w:val="28"/>
          <w:lang w:eastAsia="zh-CN"/>
        </w:rPr>
        <w:t>》并将其明确为：</w:t>
      </w:r>
    </w:p>
    <w:p w14:paraId="3856E7E9">
      <w:pPr>
        <w:pStyle w:val="29"/>
        <w:keepNext w:val="0"/>
        <w:keepLines w:val="0"/>
        <w:pageBreakBefore w:val="0"/>
        <w:widowControl/>
        <w:numPr>
          <w:ilvl w:val="0"/>
          <w:numId w:val="0"/>
        </w:numPr>
        <w:kinsoku/>
        <w:wordWrap/>
        <w:overflowPunct/>
        <w:topLinePunct w:val="0"/>
        <w:autoSpaceDE w:val="0"/>
        <w:autoSpaceDN w:val="0"/>
        <w:bidi w:val="0"/>
        <w:adjustRightInd/>
        <w:snapToGrid/>
        <w:spacing w:line="520" w:lineRule="exact"/>
        <w:ind w:left="0" w:leftChars="0"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rPr>
        <w:t>严重心脑血管疾病疾病、皮肤感染、出血倾向或近期手术患者。</w:t>
      </w:r>
    </w:p>
    <w:p w14:paraId="790BB8C6">
      <w:pPr>
        <w:pStyle w:val="29"/>
        <w:keepNext w:val="0"/>
        <w:keepLines w:val="0"/>
        <w:pageBreakBefore w:val="0"/>
        <w:widowControl/>
        <w:numPr>
          <w:ilvl w:val="0"/>
          <w:numId w:val="0"/>
        </w:numPr>
        <w:kinsoku/>
        <w:wordWrap/>
        <w:overflowPunct/>
        <w:topLinePunct w:val="0"/>
        <w:autoSpaceDE w:val="0"/>
        <w:autoSpaceDN w:val="0"/>
        <w:bidi w:val="0"/>
        <w:adjustRightInd/>
        <w:snapToGrid/>
        <w:spacing w:line="520" w:lineRule="exact"/>
        <w:ind w:left="0" w:leftChars="0"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rPr>
        <w:t>患者脐部或脐周处皮肤有破溃、炎症。</w:t>
      </w:r>
    </w:p>
    <w:p w14:paraId="51BC69AE">
      <w:pPr>
        <w:pStyle w:val="29"/>
        <w:keepNext w:val="0"/>
        <w:keepLines w:val="0"/>
        <w:pageBreakBefore w:val="0"/>
        <w:widowControl/>
        <w:numPr>
          <w:ilvl w:val="0"/>
          <w:numId w:val="0"/>
        </w:numPr>
        <w:kinsoku/>
        <w:wordWrap/>
        <w:overflowPunct/>
        <w:topLinePunct w:val="0"/>
        <w:autoSpaceDE w:val="0"/>
        <w:autoSpaceDN w:val="0"/>
        <w:bidi w:val="0"/>
        <w:adjustRightInd/>
        <w:snapToGrid/>
        <w:spacing w:line="520" w:lineRule="exact"/>
        <w:ind w:left="0" w:leftChars="0"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rPr>
        <w:t>严重器质性疾病，如肠梗阻、肠套叠、腹部肿瘤等。</w:t>
      </w:r>
    </w:p>
    <w:p w14:paraId="442F2BD3">
      <w:pPr>
        <w:pStyle w:val="29"/>
        <w:keepNext w:val="0"/>
        <w:keepLines w:val="0"/>
        <w:pageBreakBefore w:val="0"/>
        <w:widowControl/>
        <w:numPr>
          <w:ilvl w:val="0"/>
          <w:numId w:val="0"/>
        </w:numPr>
        <w:kinsoku/>
        <w:wordWrap/>
        <w:overflowPunct/>
        <w:topLinePunct w:val="0"/>
        <w:autoSpaceDE w:val="0"/>
        <w:autoSpaceDN w:val="0"/>
        <w:bidi w:val="0"/>
        <w:adjustRightInd/>
        <w:snapToGrid/>
        <w:spacing w:line="520" w:lineRule="exact"/>
        <w:ind w:left="0" w:leftChars="0"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4、</w:t>
      </w:r>
      <w:r>
        <w:rPr>
          <w:rFonts w:hint="eastAsia" w:ascii="仿宋_GB2312" w:hAnsi="仿宋_GB2312" w:eastAsia="仿宋_GB2312" w:cs="仿宋_GB2312"/>
          <w:sz w:val="28"/>
          <w:szCs w:val="28"/>
        </w:rPr>
        <w:t>对艾绒或药粉过敏者。</w:t>
      </w:r>
    </w:p>
    <w:p w14:paraId="60B121E8">
      <w:pPr>
        <w:pStyle w:val="29"/>
        <w:keepNext w:val="0"/>
        <w:keepLines w:val="0"/>
        <w:pageBreakBefore w:val="0"/>
        <w:widowControl/>
        <w:numPr>
          <w:ilvl w:val="0"/>
          <w:numId w:val="0"/>
        </w:numPr>
        <w:kinsoku/>
        <w:wordWrap/>
        <w:overflowPunct/>
        <w:topLinePunct w:val="0"/>
        <w:autoSpaceDE w:val="0"/>
        <w:autoSpaceDN w:val="0"/>
        <w:bidi w:val="0"/>
        <w:adjustRightInd/>
        <w:snapToGrid/>
        <w:spacing w:line="520" w:lineRule="exact"/>
        <w:ind w:left="0" w:leftChars="0" w:firstLine="560" w:firstLineChars="200"/>
        <w:textAlignment w:val="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5、</w:t>
      </w:r>
      <w:r>
        <w:rPr>
          <w:rFonts w:hint="eastAsia" w:ascii="仿宋_GB2312" w:hAnsi="仿宋_GB2312" w:eastAsia="仿宋_GB2312" w:cs="仿宋_GB2312"/>
          <w:sz w:val="28"/>
          <w:szCs w:val="28"/>
        </w:rPr>
        <w:t>患者精神紧张、高热、大汗、劳累后或饥饿时。</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6ECD7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003DA0D9">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szCs w:val="20"/>
              </w:rPr>
              <w:drawing>
                <wp:inline distT="0" distB="0" distL="114300" distR="114300">
                  <wp:extent cx="5513705" cy="1189355"/>
                  <wp:effectExtent l="0" t="0" r="10795" b="1079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9"/>
                          <a:stretch>
                            <a:fillRect/>
                          </a:stretch>
                        </pic:blipFill>
                        <pic:spPr>
                          <a:xfrm>
                            <a:off x="0" y="0"/>
                            <a:ext cx="5513705" cy="1189355"/>
                          </a:xfrm>
                          <a:prstGeom prst="rect">
                            <a:avLst/>
                          </a:prstGeom>
                          <a:noFill/>
                          <a:ln>
                            <a:noFill/>
                          </a:ln>
                        </pic:spPr>
                      </pic:pic>
                    </a:graphicData>
                  </a:graphic>
                </wp:inline>
              </w:drawing>
            </w:r>
          </w:p>
        </w:tc>
      </w:tr>
      <w:tr w14:paraId="2330CB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5790C0F6">
            <w:pPr>
              <w:pStyle w:val="29"/>
              <w:keepNext w:val="0"/>
              <w:keepLines w:val="0"/>
              <w:widowControl/>
              <w:suppressLineNumbers w:val="0"/>
              <w:spacing w:before="0" w:beforeAutospacing="0" w:after="0" w:afterAutospacing="0"/>
              <w:ind w:left="0" w:right="0" w:firstLine="0" w:firstLineChars="0"/>
              <w:jc w:val="center"/>
              <w:rPr>
                <w:rFonts w:hint="eastAsia" w:ascii="仿宋_GB2312" w:eastAsia="仿宋_GB2312" w:cs="仿宋"/>
                <w:b/>
                <w:sz w:val="28"/>
                <w:szCs w:val="28"/>
                <w:vertAlign w:val="baseline"/>
              </w:rPr>
            </w:pPr>
            <w:r>
              <w:rPr>
                <w:rFonts w:hint="eastAsia" w:ascii="黑体" w:hAnsi="黑体" w:eastAsia="黑体" w:cs="黑体"/>
                <w:bCs/>
                <w:szCs w:val="21"/>
              </w:rPr>
              <w:t>来源：T/GXAS 729  胃脘痛脐灸技术操作规范</w:t>
            </w:r>
          </w:p>
        </w:tc>
      </w:tr>
    </w:tbl>
    <w:p w14:paraId="69711EDA">
      <w:pPr>
        <w:spacing w:line="520" w:lineRule="exact"/>
        <w:rPr>
          <w:rFonts w:hint="eastAsia"/>
        </w:rPr>
      </w:pPr>
      <w:r>
        <w:rPr>
          <w:rFonts w:hint="eastAsia"/>
          <w:b/>
          <w:bCs/>
        </w:rPr>
        <w:t>辩证分型</w:t>
      </w:r>
      <w:r>
        <w:rPr>
          <w:rFonts w:hint="eastAsia" w:ascii="仿宋_GB2312" w:eastAsia="仿宋_GB2312" w:cs="仿宋"/>
          <w:bCs/>
          <w:color w:val="auto"/>
          <w:sz w:val="28"/>
          <w:szCs w:val="28"/>
        </w:rPr>
        <w:t>主要参考了</w:t>
      </w:r>
      <w:r>
        <w:rPr>
          <w:rFonts w:hint="eastAsia" w:cs="仿宋"/>
          <w:bCs/>
          <w:color w:val="auto"/>
          <w:sz w:val="28"/>
          <w:szCs w:val="28"/>
          <w:lang w:eastAsia="zh-CN"/>
        </w:rPr>
        <w:t>《功能性便秘中西医结合诊疗专家共识(2025年)》</w:t>
      </w:r>
      <w:r>
        <w:rPr>
          <w:rFonts w:hint="eastAsia" w:ascii="仿宋_GB2312" w:eastAsia="仿宋_GB2312" w:cs="仿宋"/>
          <w:bCs/>
          <w:color w:val="auto"/>
          <w:sz w:val="28"/>
          <w:szCs w:val="28"/>
          <w:lang w:eastAsia="zh-CN"/>
        </w:rPr>
        <w:t>并</w:t>
      </w:r>
      <w:r>
        <w:rPr>
          <w:rFonts w:hint="eastAsia" w:ascii="仿宋_GB2312" w:eastAsia="仿宋_GB2312" w:cs="仿宋"/>
          <w:bCs/>
          <w:color w:val="auto"/>
          <w:sz w:val="28"/>
          <w:szCs w:val="28"/>
        </w:rPr>
        <w:t>结合广西中医药大学附属瑞康医院老年便秘患者腹部八卦推拿联合脐灸技术经验</w:t>
      </w:r>
      <w:r>
        <w:rPr>
          <w:rFonts w:hint="eastAsia" w:cs="仿宋"/>
          <w:bCs/>
          <w:color w:val="auto"/>
          <w:sz w:val="28"/>
          <w:szCs w:val="28"/>
          <w:lang w:eastAsia="zh-CN"/>
        </w:rPr>
        <w:t>并确定为</w:t>
      </w:r>
      <w:r>
        <w:rPr>
          <w:rFonts w:hint="eastAsia"/>
        </w:rPr>
        <w:t>：</w:t>
      </w:r>
    </w:p>
    <w:p w14:paraId="33B990A6">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leftChars="0" w:firstLine="560" w:firstLineChars="200"/>
        <w:textAlignment w:val="auto"/>
        <w:rPr>
          <w:rFonts w:hint="eastAsia"/>
        </w:rPr>
      </w:pPr>
      <w:r>
        <w:rPr>
          <w:rFonts w:hint="eastAsia"/>
          <w:lang w:val="en-US" w:eastAsia="zh-CN"/>
        </w:rPr>
        <w:t>1、</w:t>
      </w:r>
      <w:r>
        <w:rPr>
          <w:rFonts w:hint="eastAsia"/>
        </w:rPr>
        <w:t>气虚秘:大便干或不干、虽有便意，但排出困难，用力努挣则汗出短气，便后乏力，面白神疲，肢倦懒言，舌淡苔白，脉弱。</w:t>
      </w:r>
    </w:p>
    <w:p w14:paraId="70EF0904">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leftChars="0" w:firstLine="560" w:firstLineChars="200"/>
        <w:textAlignment w:val="auto"/>
        <w:rPr>
          <w:rFonts w:hint="eastAsia"/>
        </w:rPr>
      </w:pPr>
      <w:r>
        <w:rPr>
          <w:rFonts w:hint="eastAsia"/>
          <w:lang w:val="en-US" w:eastAsia="zh-CN"/>
        </w:rPr>
        <w:t>2、</w:t>
      </w:r>
      <w:r>
        <w:rPr>
          <w:rFonts w:hint="eastAsia"/>
        </w:rPr>
        <w:t>血虚秘:大便干结、面色无华，皮肤干燥，头晕目眩，心悸气短，健忘少寐，口唇色淡，舌淡苔少，脉细。</w:t>
      </w:r>
    </w:p>
    <w:p w14:paraId="5A8A4542">
      <w:pPr>
        <w:keepNext w:val="0"/>
        <w:keepLines w:val="0"/>
        <w:pageBreakBefore w:val="0"/>
        <w:widowControl w:val="0"/>
        <w:numPr>
          <w:ilvl w:val="0"/>
          <w:numId w:val="0"/>
        </w:numPr>
        <w:kinsoku/>
        <w:wordWrap/>
        <w:overflowPunct/>
        <w:topLinePunct w:val="0"/>
        <w:autoSpaceDE/>
        <w:autoSpaceDN/>
        <w:bidi w:val="0"/>
        <w:adjustRightInd/>
        <w:snapToGrid/>
        <w:spacing w:line="520" w:lineRule="exact"/>
        <w:ind w:leftChars="0" w:firstLine="560" w:firstLineChars="200"/>
        <w:textAlignment w:val="auto"/>
        <w:rPr>
          <w:rFonts w:hint="eastAsia"/>
        </w:rPr>
      </w:pPr>
      <w:r>
        <w:rPr>
          <w:rFonts w:hint="eastAsia"/>
          <w:lang w:val="en-US" w:eastAsia="zh-CN"/>
        </w:rPr>
        <w:t>3、</w:t>
      </w:r>
      <w:r>
        <w:rPr>
          <w:rFonts w:hint="eastAsia"/>
        </w:rPr>
        <w:t>阳虚秘:大便干或不干，排出困难，小便清长，面色晄白，四肢不温，腹中冷痛，腰膝酸冷，舌淡苔白，脉沉迟。</w:t>
      </w:r>
    </w:p>
    <w:p w14:paraId="7D0BAAE8">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（四）施术前准备</w:t>
      </w:r>
    </w:p>
    <w:p w14:paraId="43A88E80">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物品准备：治疗车、治疗盘、250 g全麦面粉、艾绒、气虚证药粉、血虚证药粉、阳虚证药粉、底座模具、防火布、防火圈、一次性敷贴、纱布、烧伤膏。</w:t>
      </w:r>
    </w:p>
    <w:p w14:paraId="3A67B247">
      <w:pPr>
        <w:spacing w:line="520" w:lineRule="exact"/>
        <w:ind w:firstLine="562" w:firstLineChars="200"/>
        <w:rPr>
          <w:rFonts w:hint="eastAsia" w:ascii="仿宋_GB2312" w:eastAsia="仿宋_GB2312" w:cs="仿宋"/>
          <w:bCs/>
          <w:color w:val="FF0000"/>
          <w:sz w:val="28"/>
          <w:szCs w:val="28"/>
          <w:lang w:eastAsia="zh-CN"/>
        </w:rPr>
      </w:pPr>
      <w:r>
        <w:rPr>
          <w:rFonts w:hint="eastAsia" w:cs="仿宋"/>
          <w:b/>
          <w:bCs w:val="0"/>
          <w:szCs w:val="28"/>
        </w:rPr>
        <w:t>物品准备、全麦面碗、艾炷的制作</w:t>
      </w:r>
      <w:r>
        <w:rPr>
          <w:rFonts w:hint="eastAsia" w:cs="仿宋"/>
          <w:bCs/>
          <w:szCs w:val="28"/>
        </w:rPr>
        <w:t>主要参考T/GXAS 729  胃脘痛脐灸技术操作规范。</w:t>
      </w:r>
      <w:r>
        <w:rPr>
          <w:rFonts w:hint="eastAsia" w:cs="仿宋"/>
          <w:b/>
          <w:bCs w:val="0"/>
          <w:szCs w:val="28"/>
        </w:rPr>
        <w:t>气虚证药粉、血虚证</w:t>
      </w:r>
      <w:r>
        <w:rPr>
          <w:rFonts w:hint="eastAsia" w:cs="仿宋"/>
          <w:b/>
          <w:bCs w:val="0"/>
          <w:color w:val="auto"/>
          <w:szCs w:val="28"/>
        </w:rPr>
        <w:t>药粉、阳虚证药粉的使用</w:t>
      </w:r>
      <w:r>
        <w:rPr>
          <w:rFonts w:hint="eastAsia" w:cs="仿宋"/>
          <w:bCs/>
          <w:color w:val="auto"/>
          <w:szCs w:val="28"/>
          <w:lang w:eastAsia="zh-CN"/>
        </w:rPr>
        <w:t>参考了</w:t>
      </w:r>
      <w:r>
        <w:rPr>
          <w:rFonts w:hint="eastAsia"/>
          <w:color w:val="auto"/>
          <w:lang w:eastAsia="zh-CN"/>
        </w:rPr>
        <w:t>《功能性便秘中西医结合诊疗专家共识(2025年)》</w:t>
      </w:r>
      <w:r>
        <w:rPr>
          <w:rFonts w:hint="eastAsia" w:ascii="仿宋_GB2312" w:eastAsia="仿宋_GB2312" w:cs="仿宋"/>
          <w:bCs/>
          <w:color w:val="auto"/>
          <w:sz w:val="28"/>
          <w:szCs w:val="28"/>
          <w:lang w:eastAsia="zh-CN"/>
        </w:rPr>
        <w:t>并</w:t>
      </w:r>
      <w:r>
        <w:rPr>
          <w:rFonts w:hint="eastAsia" w:ascii="仿宋_GB2312" w:eastAsia="仿宋_GB2312" w:cs="仿宋"/>
          <w:bCs/>
          <w:color w:val="auto"/>
          <w:sz w:val="28"/>
          <w:szCs w:val="28"/>
        </w:rPr>
        <w:t>结合广西中医药大学附属瑞康医院老年便秘患者腹部八卦推拿联合脐灸技术经验</w:t>
      </w:r>
      <w:r>
        <w:rPr>
          <w:rFonts w:hint="eastAsia" w:cs="仿宋"/>
          <w:bCs/>
          <w:color w:val="auto"/>
          <w:sz w:val="28"/>
          <w:szCs w:val="28"/>
          <w:lang w:eastAsia="zh-CN"/>
        </w:rPr>
        <w:t>而确定。</w:t>
      </w:r>
    </w:p>
    <w:p w14:paraId="19E94A7D">
      <w:pPr>
        <w:pStyle w:val="29"/>
        <w:ind w:firstLine="0" w:firstLineChars="0"/>
        <w:jc w:val="center"/>
      </w:pP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73FF09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175B565E">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szCs w:val="20"/>
              </w:rPr>
              <w:drawing>
                <wp:inline distT="0" distB="0" distL="114300" distR="114300">
                  <wp:extent cx="4745990" cy="4319905"/>
                  <wp:effectExtent l="0" t="0" r="16510" b="444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0"/>
                          <a:stretch>
                            <a:fillRect/>
                          </a:stretch>
                        </pic:blipFill>
                        <pic:spPr>
                          <a:xfrm>
                            <a:off x="0" y="0"/>
                            <a:ext cx="4745990" cy="4319905"/>
                          </a:xfrm>
                          <a:prstGeom prst="rect">
                            <a:avLst/>
                          </a:prstGeom>
                          <a:noFill/>
                          <a:ln>
                            <a:noFill/>
                          </a:ln>
                        </pic:spPr>
                      </pic:pic>
                    </a:graphicData>
                  </a:graphic>
                </wp:inline>
              </w:drawing>
            </w:r>
          </w:p>
        </w:tc>
      </w:tr>
      <w:tr w14:paraId="50473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12F72CA7">
            <w:pPr>
              <w:pStyle w:val="29"/>
              <w:keepNext w:val="0"/>
              <w:keepLines w:val="0"/>
              <w:widowControl/>
              <w:suppressLineNumbers w:val="0"/>
              <w:spacing w:before="0" w:beforeAutospacing="0" w:after="0" w:afterAutospacing="0"/>
              <w:ind w:left="0" w:right="0" w:firstLine="0" w:firstLineChars="0"/>
              <w:jc w:val="center"/>
              <w:rPr>
                <w:rFonts w:hint="eastAsia" w:ascii="仿宋_GB2312" w:eastAsia="仿宋_GB2312" w:cs="仿宋"/>
                <w:b/>
                <w:sz w:val="28"/>
                <w:szCs w:val="28"/>
                <w:vertAlign w:val="baseline"/>
              </w:rPr>
            </w:pPr>
            <w:r>
              <w:rPr>
                <w:rFonts w:hint="eastAsia" w:ascii="黑体" w:hAnsi="黑体" w:eastAsia="黑体" w:cs="黑体"/>
                <w:bCs/>
                <w:szCs w:val="21"/>
              </w:rPr>
              <w:t>来源：T/GXAS 729  胃脘痛脐灸技术操作规范</w:t>
            </w:r>
          </w:p>
        </w:tc>
      </w:tr>
    </w:tbl>
    <w:p w14:paraId="776B2B87">
      <w:pPr>
        <w:pStyle w:val="29"/>
        <w:spacing w:line="520" w:lineRule="exact"/>
        <w:ind w:firstLine="0" w:firstLineChars="0"/>
        <w:rPr>
          <w:rFonts w:ascii="仿宋_GB2312" w:eastAsia="仿宋_GB2312" w:cs="仿宋"/>
          <w:b/>
          <w:sz w:val="28"/>
          <w:szCs w:val="28"/>
        </w:rPr>
      </w:pPr>
      <w:r>
        <w:rPr>
          <w:rFonts w:hint="eastAsia" w:ascii="仿宋_GB2312" w:eastAsia="仿宋_GB2312" w:cs="仿宋"/>
          <w:b/>
          <w:sz w:val="28"/>
          <w:szCs w:val="28"/>
        </w:rPr>
        <w:t>（五）施术方法</w:t>
      </w:r>
    </w:p>
    <w:p w14:paraId="6571C0B1">
      <w:pPr>
        <w:pStyle w:val="29"/>
        <w:spacing w:line="520" w:lineRule="exact"/>
        <w:ind w:firstLine="562"/>
        <w:rPr>
          <w:rFonts w:ascii="仿宋_GB2312" w:eastAsia="仿宋_GB2312" w:cs="仿宋"/>
          <w:b/>
          <w:sz w:val="28"/>
          <w:szCs w:val="28"/>
        </w:rPr>
      </w:pPr>
      <w:r>
        <w:rPr>
          <w:rFonts w:hint="eastAsia" w:ascii="仿宋_GB2312" w:eastAsia="仿宋_GB2312" w:cs="仿宋"/>
          <w:b/>
          <w:sz w:val="28"/>
          <w:szCs w:val="28"/>
        </w:rPr>
        <w:t>1.腹部八卦推拿</w:t>
      </w:r>
    </w:p>
    <w:p w14:paraId="57FA40CF">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1.1.以太极揉腹方法，搓热双手，以脐为中心，右手食指与中指分开轻放于脐壁（拇指自然屈曲），左手掌贴于右手背辅助用力,以顺时针方向揉动12圈，再逆时针方向揉动12圈，完成1组操作，重复3组。右手转为劳宫穴对准肚脐，贴于腹部皮肤，左手叠放于右手背，以顺时针方向揉动12圈,再以逆时针方向揉动12圈，完成1组操作，重复3组。</w:t>
      </w:r>
    </w:p>
    <w:p w14:paraId="36951E5D">
      <w:pPr>
        <w:pStyle w:val="29"/>
        <w:spacing w:line="520" w:lineRule="exact"/>
        <w:ind w:firstLine="442"/>
        <w:rPr>
          <w:rFonts w:ascii="仿宋_GB2312" w:eastAsia="仿宋_GB2312" w:cs="仿宋"/>
          <w:b/>
          <w:sz w:val="22"/>
          <w:szCs w:val="22"/>
        </w:rPr>
      </w:pPr>
      <w:r>
        <w:rPr>
          <w:rFonts w:hint="eastAsia" w:ascii="仿宋_GB2312" w:eastAsia="仿宋_GB2312" w:cs="仿宋"/>
          <w:b/>
          <w:sz w:val="22"/>
          <w:szCs w:val="22"/>
        </w:rPr>
        <w:t>注：太极揉腹：以肚脐（神阙穴）为中心，通过手指或手掌在腹部进行顺时针与逆时针方向交替按揉，模仿太极阴阳流转的动作，旨在推动中焦气机运转。</w:t>
      </w:r>
    </w:p>
    <w:p w14:paraId="11BAB579">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1.2.依照脐内八卦，以患者脐为中心，双手掌相叠，用示指、中指、无名指为着力点从脐壁向操作者端进行拨揉，按揉卦位顺序为：艮→坎→乾→震→兑→巽→坤→离，推拿范围上至巨阙穴，下至中极穴，左右至大横穴，按照卦位顺序进行，每卦位推拨1 min～2 min。</w:t>
      </w:r>
    </w:p>
    <w:p w14:paraId="67B29D2B">
      <w:pPr>
        <w:pStyle w:val="29"/>
        <w:spacing w:line="520" w:lineRule="exact"/>
        <w:ind w:firstLine="560"/>
        <w:rPr>
          <w:rFonts w:hint="eastAsia" w:ascii="仿宋_GB2312" w:eastAsia="仿宋_GB2312" w:cs="仿宋"/>
          <w:bCs/>
          <w:color w:val="FF0000"/>
          <w:sz w:val="28"/>
          <w:szCs w:val="28"/>
          <w:lang w:eastAsia="zh-CN"/>
        </w:rPr>
      </w:pPr>
      <w:r>
        <w:rPr>
          <w:rFonts w:hint="eastAsia" w:ascii="仿宋_GB2312" w:eastAsia="仿宋_GB2312" w:cs="仿宋"/>
          <w:bCs/>
          <w:sz w:val="28"/>
          <w:szCs w:val="28"/>
        </w:rPr>
        <w:t>1.3.在基础卦位上，遵医嘱辨证选取卦位，适用证型及卦位选择见表1</w:t>
      </w:r>
      <w:r>
        <w:rPr>
          <w:rFonts w:hint="eastAsia" w:ascii="仿宋_GB2312" w:eastAsia="仿宋_GB2312" w:cs="仿宋"/>
          <w:bCs/>
          <w:color w:val="auto"/>
          <w:sz w:val="28"/>
          <w:szCs w:val="28"/>
        </w:rPr>
        <w:t>。</w:t>
      </w:r>
      <w:r>
        <w:rPr>
          <w:rFonts w:hint="eastAsia" w:ascii="仿宋_GB2312" w:eastAsia="仿宋_GB2312" w:cs="仿宋"/>
          <w:b/>
          <w:bCs w:val="0"/>
          <w:color w:val="auto"/>
          <w:sz w:val="28"/>
          <w:szCs w:val="28"/>
        </w:rPr>
        <w:t>卦位</w:t>
      </w:r>
      <w:r>
        <w:rPr>
          <w:rFonts w:hint="eastAsia" w:ascii="仿宋_GB2312" w:eastAsia="仿宋_GB2312" w:cs="仿宋"/>
          <w:b/>
          <w:bCs w:val="0"/>
          <w:color w:val="auto"/>
          <w:sz w:val="28"/>
          <w:szCs w:val="28"/>
          <w:lang w:eastAsia="zh-CN"/>
        </w:rPr>
        <w:t>选择</w:t>
      </w:r>
      <w:r>
        <w:rPr>
          <w:rFonts w:hint="eastAsia" w:ascii="仿宋_GB2312" w:eastAsia="仿宋_GB2312" w:cs="仿宋"/>
          <w:bCs/>
          <w:color w:val="auto"/>
          <w:sz w:val="28"/>
          <w:szCs w:val="28"/>
          <w:lang w:eastAsia="zh-CN"/>
        </w:rPr>
        <w:t>主要参考了《加味补中益气汤联合脐针治疗功能性便秘（气虚型）的临床研究》和人民卫生出版社《脐针入门》（2015）并</w:t>
      </w:r>
      <w:r>
        <w:rPr>
          <w:rFonts w:hint="eastAsia" w:ascii="仿宋_GB2312" w:eastAsia="仿宋_GB2312" w:cs="仿宋"/>
          <w:bCs/>
          <w:color w:val="auto"/>
          <w:sz w:val="28"/>
          <w:szCs w:val="28"/>
        </w:rPr>
        <w:t>结合广西中医药大学附属瑞康医院老年便秘患者腹部八卦推拿联合脐灸技术经验</w:t>
      </w:r>
      <w:r>
        <w:rPr>
          <w:rFonts w:hint="eastAsia" w:ascii="仿宋_GB2312" w:eastAsia="仿宋_GB2312" w:cs="仿宋"/>
          <w:bCs/>
          <w:color w:val="auto"/>
          <w:sz w:val="28"/>
          <w:szCs w:val="28"/>
          <w:lang w:eastAsia="zh-CN"/>
        </w:rPr>
        <w:t>而确定。</w:t>
      </w:r>
    </w:p>
    <w:p w14:paraId="7F68AF1A">
      <w:pPr>
        <w:pStyle w:val="29"/>
        <w:spacing w:line="520" w:lineRule="exact"/>
        <w:ind w:firstLine="480"/>
        <w:jc w:val="center"/>
        <w:rPr>
          <w:rFonts w:hint="eastAsia" w:ascii="黑体" w:hAnsi="黑体" w:eastAsia="黑体" w:cs="黑体"/>
          <w:bCs/>
          <w:sz w:val="24"/>
          <w:szCs w:val="24"/>
        </w:rPr>
      </w:pPr>
      <w:r>
        <w:rPr>
          <w:rFonts w:hint="eastAsia" w:ascii="黑体" w:hAnsi="黑体" w:eastAsia="黑体" w:cs="黑体"/>
          <w:bCs/>
          <w:sz w:val="24"/>
          <w:szCs w:val="24"/>
        </w:rPr>
        <w:t>适用证型及卦位选择</w:t>
      </w:r>
    </w:p>
    <w:tbl>
      <w:tblPr>
        <w:tblStyle w:val="14"/>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3273"/>
        <w:gridCol w:w="5705"/>
      </w:tblGrid>
      <w:tr w14:paraId="3939A5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3392" w:type="dxa"/>
            <w:tcBorders>
              <w:top w:val="single" w:color="auto" w:sz="8" w:space="0"/>
              <w:left w:val="single" w:color="auto" w:sz="8" w:space="0"/>
              <w:bottom w:val="single" w:color="auto" w:sz="8" w:space="0"/>
              <w:right w:val="single" w:color="auto" w:sz="4" w:space="0"/>
            </w:tcBorders>
            <w:shd w:val="clear" w:color="auto" w:fill="auto"/>
          </w:tcPr>
          <w:p w14:paraId="6E126ED4">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r>
              <w:rPr>
                <w:rFonts w:ascii="仿宋_GB2312" w:hAnsi="仿宋_GB2312" w:eastAsia="仿宋_GB2312" w:cs="仿宋_GB2312"/>
                <w:sz w:val="24"/>
                <w:szCs w:val="24"/>
              </w:rPr>
              <w:t>证型</w:t>
            </w:r>
          </w:p>
        </w:tc>
        <w:tc>
          <w:tcPr>
            <w:tcW w:w="5942" w:type="dxa"/>
            <w:tcBorders>
              <w:top w:val="single" w:color="auto" w:sz="8" w:space="0"/>
              <w:left w:val="single" w:color="auto" w:sz="4" w:space="0"/>
              <w:bottom w:val="single" w:color="auto" w:sz="8" w:space="0"/>
              <w:right w:val="single" w:color="auto" w:sz="8" w:space="0"/>
            </w:tcBorders>
            <w:shd w:val="clear" w:color="auto" w:fill="auto"/>
          </w:tcPr>
          <w:p w14:paraId="5432BAEB">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r>
              <w:rPr>
                <w:rFonts w:ascii="仿宋_GB2312" w:hAnsi="仿宋_GB2312" w:eastAsia="仿宋_GB2312" w:cs="仿宋_GB2312"/>
                <w:sz w:val="24"/>
                <w:szCs w:val="24"/>
              </w:rPr>
              <w:t>卦位选择</w:t>
            </w:r>
          </w:p>
        </w:tc>
      </w:tr>
      <w:tr w14:paraId="72DBA23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3392" w:type="dxa"/>
            <w:tcBorders>
              <w:top w:val="single" w:color="auto" w:sz="8" w:space="0"/>
              <w:left w:val="single" w:color="auto" w:sz="8" w:space="0"/>
              <w:bottom w:val="single" w:color="auto" w:sz="4" w:space="0"/>
              <w:right w:val="single" w:color="auto" w:sz="4" w:space="0"/>
            </w:tcBorders>
            <w:shd w:val="clear" w:color="auto" w:fill="auto"/>
          </w:tcPr>
          <w:p w14:paraId="73931C26">
            <w:pPr>
              <w:pStyle w:val="57"/>
              <w:keepNext w:val="0"/>
              <w:keepLines w:val="0"/>
              <w:suppressLineNumbers w:val="0"/>
              <w:spacing w:before="0" w:beforeAutospacing="0" w:after="0" w:afterAutospacing="0"/>
              <w:ind w:left="0" w:right="0"/>
              <w:rPr>
                <w:rFonts w:hint="eastAsia" w:ascii="仿宋_GB2312" w:hAnsi="仿宋_GB2312" w:eastAsia="仿宋_GB2312" w:cs="仿宋_GB2312"/>
                <w:sz w:val="24"/>
                <w:szCs w:val="24"/>
                <w:lang w:val="en-US" w:eastAsia="zh-CN"/>
              </w:rPr>
            </w:pPr>
            <w:r>
              <w:rPr>
                <w:rFonts w:ascii="仿宋_GB2312" w:hAnsi="仿宋_GB2312" w:eastAsia="仿宋_GB2312" w:cs="仿宋_GB2312"/>
                <w:sz w:val="24"/>
                <w:szCs w:val="24"/>
              </w:rPr>
              <w:t>气虚</w:t>
            </w:r>
            <w:r>
              <w:rPr>
                <w:rFonts w:hint="eastAsia" w:ascii="仿宋_GB2312" w:hAnsi="仿宋_GB2312" w:eastAsia="仿宋_GB2312" w:cs="仿宋_GB2312"/>
                <w:sz w:val="24"/>
                <w:szCs w:val="24"/>
                <w:lang w:eastAsia="zh-CN"/>
              </w:rPr>
              <w:t>秘</w:t>
            </w:r>
          </w:p>
        </w:tc>
        <w:tc>
          <w:tcPr>
            <w:tcW w:w="5942" w:type="dxa"/>
            <w:tcBorders>
              <w:top w:val="single" w:color="auto" w:sz="8" w:space="0"/>
              <w:left w:val="single" w:color="auto" w:sz="4" w:space="0"/>
              <w:bottom w:val="single" w:color="auto" w:sz="4" w:space="0"/>
              <w:right w:val="single" w:color="auto" w:sz="8" w:space="0"/>
            </w:tcBorders>
            <w:shd w:val="clear" w:color="auto" w:fill="auto"/>
          </w:tcPr>
          <w:p w14:paraId="6DABCCC5">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bookmarkStart w:id="11" w:name="OLE_LINK10"/>
            <w:r>
              <w:rPr>
                <w:rFonts w:ascii="仿宋_GB2312" w:hAnsi="仿宋_GB2312" w:eastAsia="仿宋_GB2312" w:cs="仿宋_GB2312"/>
                <w:sz w:val="24"/>
                <w:szCs w:val="24"/>
              </w:rPr>
              <w:t>山泽通气（艮、兑）＋</w:t>
            </w:r>
            <w:bookmarkEnd w:id="11"/>
            <w:r>
              <w:rPr>
                <w:rFonts w:ascii="仿宋_GB2312" w:hAnsi="仿宋_GB2312" w:eastAsia="仿宋_GB2312" w:cs="仿宋_GB2312"/>
                <w:sz w:val="24"/>
                <w:szCs w:val="24"/>
              </w:rPr>
              <w:t>坤、乾</w:t>
            </w:r>
          </w:p>
        </w:tc>
      </w:tr>
      <w:tr w14:paraId="3E4B778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392" w:type="dxa"/>
            <w:tcBorders>
              <w:top w:val="single" w:color="auto" w:sz="4" w:space="0"/>
              <w:left w:val="single" w:color="auto" w:sz="8" w:space="0"/>
              <w:bottom w:val="single" w:color="auto" w:sz="4" w:space="0"/>
              <w:right w:val="single" w:color="auto" w:sz="4" w:space="0"/>
            </w:tcBorders>
            <w:shd w:val="clear" w:color="auto" w:fill="auto"/>
          </w:tcPr>
          <w:p w14:paraId="6EEB1389">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r>
              <w:rPr>
                <w:rFonts w:ascii="仿宋_GB2312" w:hAnsi="仿宋_GB2312" w:eastAsia="仿宋_GB2312" w:cs="仿宋_GB2312"/>
                <w:sz w:val="24"/>
                <w:szCs w:val="24"/>
              </w:rPr>
              <w:t>血虚</w:t>
            </w:r>
            <w:r>
              <w:rPr>
                <w:rFonts w:hint="eastAsia" w:ascii="仿宋_GB2312" w:hAnsi="仿宋_GB2312" w:eastAsia="仿宋_GB2312" w:cs="仿宋_GB2312"/>
                <w:sz w:val="24"/>
                <w:szCs w:val="24"/>
                <w:lang w:eastAsia="zh-CN"/>
              </w:rPr>
              <w:t>秘</w:t>
            </w:r>
          </w:p>
        </w:tc>
        <w:tc>
          <w:tcPr>
            <w:tcW w:w="5942" w:type="dxa"/>
            <w:tcBorders>
              <w:top w:val="single" w:color="auto" w:sz="4" w:space="0"/>
              <w:left w:val="single" w:color="auto" w:sz="4" w:space="0"/>
              <w:bottom w:val="single" w:color="auto" w:sz="4" w:space="0"/>
              <w:right w:val="single" w:color="auto" w:sz="8" w:space="0"/>
            </w:tcBorders>
            <w:shd w:val="clear" w:color="auto" w:fill="auto"/>
          </w:tcPr>
          <w:p w14:paraId="4B595CD7">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r>
              <w:rPr>
                <w:rFonts w:ascii="仿宋_GB2312" w:hAnsi="仿宋_GB2312" w:eastAsia="仿宋_GB2312" w:cs="仿宋_GB2312"/>
                <w:sz w:val="24"/>
                <w:szCs w:val="24"/>
              </w:rPr>
              <w:t>山泽通气（艮、兑）＋震、坤、乾</w:t>
            </w:r>
          </w:p>
        </w:tc>
      </w:tr>
      <w:tr w14:paraId="12DECFF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392" w:type="dxa"/>
            <w:tcBorders>
              <w:top w:val="single" w:color="auto" w:sz="4" w:space="0"/>
              <w:left w:val="single" w:color="auto" w:sz="8" w:space="0"/>
              <w:bottom w:val="single" w:color="auto" w:sz="8" w:space="0"/>
              <w:right w:val="single" w:color="auto" w:sz="4" w:space="0"/>
            </w:tcBorders>
            <w:shd w:val="clear" w:color="auto" w:fill="auto"/>
          </w:tcPr>
          <w:p w14:paraId="703449B5">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r>
              <w:rPr>
                <w:rFonts w:ascii="仿宋_GB2312" w:hAnsi="仿宋_GB2312" w:eastAsia="仿宋_GB2312" w:cs="仿宋_GB2312"/>
                <w:sz w:val="24"/>
                <w:szCs w:val="24"/>
              </w:rPr>
              <w:t>阳虚</w:t>
            </w:r>
            <w:r>
              <w:rPr>
                <w:rFonts w:hint="eastAsia" w:ascii="仿宋_GB2312" w:hAnsi="仿宋_GB2312" w:eastAsia="仿宋_GB2312" w:cs="仿宋_GB2312"/>
                <w:sz w:val="24"/>
                <w:szCs w:val="24"/>
                <w:lang w:eastAsia="zh-CN"/>
              </w:rPr>
              <w:t>秘</w:t>
            </w:r>
          </w:p>
        </w:tc>
        <w:tc>
          <w:tcPr>
            <w:tcW w:w="5942" w:type="dxa"/>
            <w:tcBorders>
              <w:top w:val="single" w:color="auto" w:sz="4" w:space="0"/>
              <w:left w:val="single" w:color="auto" w:sz="4" w:space="0"/>
              <w:bottom w:val="single" w:color="auto" w:sz="8" w:space="0"/>
              <w:right w:val="single" w:color="auto" w:sz="8" w:space="0"/>
            </w:tcBorders>
            <w:shd w:val="clear" w:color="auto" w:fill="auto"/>
          </w:tcPr>
          <w:p w14:paraId="20FC8749">
            <w:pPr>
              <w:pStyle w:val="57"/>
              <w:keepNext w:val="0"/>
              <w:keepLines w:val="0"/>
              <w:suppressLineNumbers w:val="0"/>
              <w:spacing w:before="0" w:beforeAutospacing="0" w:after="0" w:afterAutospacing="0"/>
              <w:ind w:left="0" w:right="0"/>
              <w:rPr>
                <w:rFonts w:ascii="仿宋_GB2312" w:hAnsi="仿宋_GB2312" w:eastAsia="仿宋_GB2312" w:cs="仿宋_GB2312"/>
                <w:sz w:val="24"/>
                <w:szCs w:val="24"/>
              </w:rPr>
            </w:pPr>
            <w:r>
              <w:rPr>
                <w:rFonts w:ascii="仿宋_GB2312" w:hAnsi="仿宋_GB2312" w:eastAsia="仿宋_GB2312" w:cs="仿宋_GB2312"/>
                <w:sz w:val="24"/>
                <w:szCs w:val="24"/>
              </w:rPr>
              <w:t>山泽通气（艮、兑）＋坎、坤、乾</w:t>
            </w:r>
          </w:p>
        </w:tc>
      </w:tr>
    </w:tbl>
    <w:p w14:paraId="08DD0569">
      <w:pPr>
        <w:pStyle w:val="29"/>
        <w:spacing w:line="520" w:lineRule="exact"/>
        <w:ind w:firstLine="560"/>
        <w:rPr>
          <w:rFonts w:ascii="仿宋_GB2312" w:eastAsia="仿宋_GB2312" w:cs="仿宋"/>
          <w:bCs/>
          <w:sz w:val="28"/>
          <w:szCs w:val="28"/>
        </w:rPr>
      </w:pPr>
      <w:r>
        <w:rPr>
          <w:rFonts w:hint="eastAsia" w:ascii="仿宋_GB2312" w:eastAsia="仿宋_GB2312" w:cs="仿宋"/>
          <w:bCs/>
          <w:sz w:val="28"/>
          <w:szCs w:val="28"/>
        </w:rPr>
        <w:t>1.4.推揉力度应顺应患者气机动态变化，硬结气机阻滞处手法稍重以散结破瘀，松软塌陷气虚处动作轻缓以温养，整个过程以患者耐受为宜，不可强行按压。</w:t>
      </w:r>
    </w:p>
    <w:p w14:paraId="222535FC">
      <w:pPr>
        <w:pStyle w:val="29"/>
        <w:spacing w:line="520" w:lineRule="exact"/>
        <w:ind w:firstLine="560"/>
        <w:rPr>
          <w:rFonts w:hint="eastAsia" w:ascii="仿宋_GB2312" w:eastAsia="仿宋_GB2312" w:cs="仿宋"/>
          <w:bCs/>
          <w:sz w:val="28"/>
          <w:szCs w:val="28"/>
        </w:rPr>
      </w:pPr>
      <w:r>
        <w:rPr>
          <w:rFonts w:hint="eastAsia" w:ascii="仿宋_GB2312" w:eastAsia="仿宋_GB2312" w:cs="仿宋"/>
          <w:bCs/>
          <w:sz w:val="28"/>
          <w:szCs w:val="28"/>
        </w:rPr>
        <w:t>1.5.推揉至腹部硬结、紧绷感消失，触之柔软润滑且富有弹性，腹部皮肤温度由凉转温，皮肤微微泛红，患者感觉舒适，出现肠鸣、温热感，或产生便意但无腹痛为度，此时气机已初步通畅，可进行脐灸操作。腹部八卦推拿与脐灸技术联合的核心是“以推拿开通路，以脐灸补能量”，二者协同解决老年便秘的本虚标实问题。</w:t>
      </w:r>
    </w:p>
    <w:p w14:paraId="0894B7CD">
      <w:pPr>
        <w:pStyle w:val="29"/>
        <w:spacing w:line="520" w:lineRule="exact"/>
        <w:ind w:firstLine="0" w:firstLineChars="0"/>
        <w:jc w:val="center"/>
        <w:rPr>
          <w:rFonts w:ascii="仿宋_GB2312" w:eastAsia="仿宋_GB2312" w:cs="仿宋"/>
          <w:bCs/>
          <w:sz w:val="28"/>
          <w:szCs w:val="28"/>
        </w:rPr>
      </w:pPr>
      <w:r>
        <w:rPr>
          <w:rFonts w:hint="eastAsia" w:ascii="黑体" w:hAnsi="黑体" w:eastAsia="黑体" w:cs="黑体"/>
          <w:bCs/>
          <w:sz w:val="24"/>
          <w:szCs w:val="24"/>
        </w:rPr>
        <w:t>老年便秘病例外治法治疗记录</w:t>
      </w:r>
    </w:p>
    <w:tbl>
      <w:tblPr>
        <w:tblStyle w:val="14"/>
        <w:tblW w:w="94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1"/>
        <w:gridCol w:w="4935"/>
        <w:gridCol w:w="1542"/>
        <w:gridCol w:w="1754"/>
      </w:tblGrid>
      <w:tr w14:paraId="4712D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1201" w:type="dxa"/>
            <w:vAlign w:val="center"/>
          </w:tcPr>
          <w:p w14:paraId="4C5BF03D">
            <w:pPr>
              <w:pStyle w:val="29"/>
              <w:keepNext w:val="0"/>
              <w:keepLines w:val="0"/>
              <w:widowControl w:val="0"/>
              <w:suppressLineNumbers w:val="0"/>
              <w:spacing w:before="0" w:beforeAutospacing="0" w:after="0" w:afterAutospacing="0" w:line="400" w:lineRule="exact"/>
              <w:ind w:left="0" w:right="0" w:firstLine="0" w:firstLineChars="0"/>
              <w:jc w:val="center"/>
              <w:rPr>
                <w:rFonts w:hint="default" w:ascii="仿宋_GB2312" w:eastAsia="仿宋_GB2312" w:cs="仿宋"/>
                <w:bCs/>
                <w:sz w:val="24"/>
                <w:szCs w:val="24"/>
              </w:rPr>
            </w:pPr>
            <w:r>
              <w:rPr>
                <w:rFonts w:hint="eastAsia" w:ascii="仿宋_GB2312" w:eastAsia="仿宋_GB2312" w:cs="仿宋"/>
                <w:bCs/>
                <w:sz w:val="24"/>
                <w:szCs w:val="24"/>
              </w:rPr>
              <w:t>年份</w:t>
            </w:r>
          </w:p>
        </w:tc>
        <w:tc>
          <w:tcPr>
            <w:tcW w:w="4935" w:type="dxa"/>
            <w:vAlign w:val="center"/>
          </w:tcPr>
          <w:p w14:paraId="7E1C39E9">
            <w:pPr>
              <w:pStyle w:val="29"/>
              <w:keepNext w:val="0"/>
              <w:keepLines w:val="0"/>
              <w:widowControl w:val="0"/>
              <w:suppressLineNumbers w:val="0"/>
              <w:spacing w:before="0" w:beforeAutospacing="0" w:after="0" w:afterAutospacing="0" w:line="400" w:lineRule="exact"/>
              <w:ind w:left="0" w:right="0" w:firstLine="0" w:firstLineChars="0"/>
              <w:jc w:val="center"/>
              <w:rPr>
                <w:rFonts w:hint="default" w:ascii="仿宋_GB2312" w:eastAsia="仿宋_GB2312" w:cs="仿宋"/>
                <w:bCs/>
                <w:sz w:val="24"/>
                <w:szCs w:val="24"/>
              </w:rPr>
            </w:pPr>
            <w:r>
              <w:rPr>
                <w:rFonts w:hint="eastAsia" w:ascii="仿宋_GB2312" w:eastAsia="仿宋_GB2312" w:cs="仿宋"/>
                <w:bCs/>
                <w:sz w:val="24"/>
                <w:szCs w:val="24"/>
              </w:rPr>
              <w:t>实际治疗方法</w:t>
            </w:r>
          </w:p>
        </w:tc>
        <w:tc>
          <w:tcPr>
            <w:tcW w:w="1542" w:type="dxa"/>
            <w:vAlign w:val="center"/>
          </w:tcPr>
          <w:p w14:paraId="1BE6931D">
            <w:pPr>
              <w:pStyle w:val="29"/>
              <w:keepNext w:val="0"/>
              <w:keepLines w:val="0"/>
              <w:widowControl w:val="0"/>
              <w:suppressLineNumbers w:val="0"/>
              <w:spacing w:before="0" w:beforeAutospacing="0" w:after="0" w:afterAutospacing="0" w:line="400" w:lineRule="exact"/>
              <w:ind w:left="0" w:right="0" w:firstLine="0" w:firstLineChars="0"/>
              <w:jc w:val="center"/>
              <w:rPr>
                <w:rFonts w:hint="default" w:ascii="仿宋_GB2312" w:eastAsia="仿宋_GB2312" w:cs="仿宋"/>
                <w:bCs/>
                <w:sz w:val="24"/>
                <w:szCs w:val="24"/>
              </w:rPr>
            </w:pPr>
            <w:r>
              <w:rPr>
                <w:rFonts w:hint="eastAsia" w:ascii="仿宋_GB2312" w:eastAsia="仿宋_GB2312" w:cs="仿宋"/>
                <w:bCs/>
                <w:sz w:val="24"/>
                <w:szCs w:val="24"/>
              </w:rPr>
              <w:t>治疗效果</w:t>
            </w:r>
          </w:p>
        </w:tc>
        <w:tc>
          <w:tcPr>
            <w:tcW w:w="1754" w:type="dxa"/>
            <w:vAlign w:val="center"/>
          </w:tcPr>
          <w:p w14:paraId="77A66F90">
            <w:pPr>
              <w:pStyle w:val="29"/>
              <w:keepNext w:val="0"/>
              <w:keepLines w:val="0"/>
              <w:widowControl w:val="0"/>
              <w:suppressLineNumbers w:val="0"/>
              <w:spacing w:before="0" w:beforeAutospacing="0" w:after="0" w:afterAutospacing="0" w:line="400" w:lineRule="exact"/>
              <w:ind w:left="0" w:right="0" w:firstLine="0" w:firstLineChars="0"/>
              <w:jc w:val="center"/>
              <w:rPr>
                <w:rFonts w:hint="default" w:ascii="仿宋_GB2312" w:eastAsia="仿宋_GB2312" w:cs="仿宋"/>
                <w:bCs/>
                <w:sz w:val="24"/>
                <w:szCs w:val="24"/>
              </w:rPr>
            </w:pPr>
            <w:r>
              <w:rPr>
                <w:rFonts w:hint="eastAsia" w:ascii="仿宋_GB2312" w:eastAsia="仿宋_GB2312" w:cs="仿宋"/>
                <w:bCs/>
                <w:sz w:val="24"/>
                <w:szCs w:val="24"/>
              </w:rPr>
              <w:t>核心指标的分析确定</w:t>
            </w:r>
          </w:p>
        </w:tc>
      </w:tr>
      <w:tr w14:paraId="1D573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201" w:type="dxa"/>
            <w:vAlign w:val="center"/>
          </w:tcPr>
          <w:p w14:paraId="38040A42">
            <w:pPr>
              <w:pStyle w:val="29"/>
              <w:keepNext w:val="0"/>
              <w:keepLines w:val="0"/>
              <w:widowControl w:val="0"/>
              <w:suppressLineNumbers w:val="0"/>
              <w:spacing w:before="0" w:beforeAutospacing="0" w:after="0" w:afterAutospacing="0" w:line="400" w:lineRule="exact"/>
              <w:ind w:left="0" w:right="0" w:firstLine="0" w:firstLineChars="0"/>
              <w:jc w:val="center"/>
              <w:rPr>
                <w:rFonts w:hint="default" w:ascii="仿宋_GB2312" w:eastAsia="仿宋_GB2312" w:cs="仿宋"/>
                <w:bCs/>
                <w:sz w:val="24"/>
                <w:szCs w:val="24"/>
                <w:lang w:val="en-US" w:eastAsia="zh-CN"/>
              </w:rPr>
            </w:pPr>
            <w:r>
              <w:rPr>
                <w:rFonts w:hint="eastAsia" w:ascii="仿宋_GB2312" w:eastAsia="仿宋_GB2312" w:cs="仿宋"/>
                <w:bCs/>
                <w:sz w:val="24"/>
                <w:szCs w:val="24"/>
                <w:lang w:val="en-US" w:eastAsia="zh-CN"/>
              </w:rPr>
              <w:t>2023</w:t>
            </w:r>
            <w:r>
              <w:rPr>
                <w:rFonts w:hint="default" w:ascii="Times New Roman" w:hAnsi="Times New Roman" w:eastAsia="仿宋_GB2312" w:cs="Times New Roman"/>
                <w:bCs/>
                <w:sz w:val="24"/>
                <w:szCs w:val="24"/>
                <w:lang w:val="en-US" w:eastAsia="zh-CN"/>
              </w:rPr>
              <w:t>~</w:t>
            </w:r>
            <w:r>
              <w:rPr>
                <w:rFonts w:hint="eastAsia" w:ascii="仿宋_GB2312" w:eastAsia="仿宋_GB2312" w:cs="仿宋"/>
                <w:bCs/>
                <w:sz w:val="24"/>
                <w:szCs w:val="24"/>
                <w:lang w:val="en-US" w:eastAsia="zh-CN"/>
              </w:rPr>
              <w:t>2024年</w:t>
            </w:r>
          </w:p>
        </w:tc>
        <w:tc>
          <w:tcPr>
            <w:tcW w:w="4935" w:type="dxa"/>
            <w:vAlign w:val="center"/>
          </w:tcPr>
          <w:p w14:paraId="0E0A6956">
            <w:pPr>
              <w:pStyle w:val="29"/>
              <w:keepNext w:val="0"/>
              <w:keepLines w:val="0"/>
              <w:widowControl w:val="0"/>
              <w:suppressLineNumbers w:val="0"/>
              <w:spacing w:before="0" w:beforeAutospacing="0" w:after="0" w:afterAutospacing="0" w:line="400" w:lineRule="exact"/>
              <w:ind w:left="0" w:right="0" w:firstLine="240" w:firstLineChars="100"/>
              <w:rPr>
                <w:rFonts w:hint="default" w:ascii="仿宋_GB2312" w:eastAsia="仿宋_GB2312" w:cs="仿宋"/>
                <w:bCs/>
                <w:sz w:val="24"/>
                <w:szCs w:val="24"/>
              </w:rPr>
            </w:pPr>
            <w:r>
              <w:rPr>
                <w:rFonts w:hint="eastAsia" w:ascii="仿宋_GB2312" w:eastAsia="仿宋_GB2312" w:cs="仿宋"/>
                <w:bCs/>
                <w:sz w:val="24"/>
                <w:szCs w:val="24"/>
              </w:rPr>
              <w:t>1.以太极揉腹方法，搓热双手，以脐为中心，右手食指与中指分开轻放于脐壁（拇指自然屈曲），左手掌贴于右手背辅助用力,以顺时针方向揉动12圈，再逆时针方向揉动12圈，完成1组操作，重复3组。右手转为劳宫穴对准肚脐，贴于腹部皮肤，左手叠放于右手背，以顺时针方向揉动12圈,再以逆时针方向揉动12圈，完成1组操作，重复3组。</w:t>
            </w:r>
          </w:p>
          <w:p w14:paraId="4077B62C">
            <w:pPr>
              <w:pStyle w:val="29"/>
              <w:keepNext w:val="0"/>
              <w:keepLines w:val="0"/>
              <w:widowControl w:val="0"/>
              <w:suppressLineNumbers w:val="0"/>
              <w:spacing w:before="0" w:beforeAutospacing="0" w:after="0" w:afterAutospacing="0" w:line="400" w:lineRule="exact"/>
              <w:ind w:left="0" w:right="0" w:firstLine="240" w:firstLineChars="100"/>
              <w:rPr>
                <w:rFonts w:hint="default" w:ascii="仿宋_GB2312" w:eastAsia="仿宋_GB2312" w:cs="仿宋"/>
                <w:bCs/>
                <w:sz w:val="24"/>
                <w:szCs w:val="24"/>
              </w:rPr>
            </w:pPr>
            <w:r>
              <w:rPr>
                <w:rFonts w:hint="eastAsia" w:ascii="仿宋_GB2312" w:eastAsia="仿宋_GB2312" w:cs="仿宋"/>
                <w:bCs/>
                <w:sz w:val="24"/>
                <w:szCs w:val="24"/>
              </w:rPr>
              <w:t>2.依照脐内八卦，以患者脐为中心，双手掌相叠，用示指、中指、无名指为着力点从脐壁向操作者端进行拨揉，按揉卦位顺序为：艮→坎→乾→震→兑→巽→坤→离，推拿范围上至巨阙穴，下至中极穴，左右至大横穴，按照卦位顺序进行，每卦位推拨1 min～2 min。</w:t>
            </w:r>
          </w:p>
          <w:p w14:paraId="4B949D16">
            <w:pPr>
              <w:pStyle w:val="29"/>
              <w:keepNext w:val="0"/>
              <w:keepLines w:val="0"/>
              <w:widowControl w:val="0"/>
              <w:suppressLineNumbers w:val="0"/>
              <w:spacing w:before="0" w:beforeAutospacing="0" w:after="0" w:afterAutospacing="0" w:line="400" w:lineRule="exact"/>
              <w:ind w:left="0" w:right="0" w:firstLine="240" w:firstLineChars="100"/>
              <w:rPr>
                <w:rFonts w:hint="default" w:ascii="仿宋_GB2312" w:eastAsia="仿宋_GB2312" w:cs="仿宋"/>
                <w:bCs/>
                <w:sz w:val="24"/>
                <w:szCs w:val="24"/>
              </w:rPr>
            </w:pPr>
            <w:r>
              <w:rPr>
                <w:rFonts w:hint="eastAsia" w:ascii="仿宋_GB2312" w:eastAsia="仿宋_GB2312" w:cs="仿宋"/>
                <w:bCs/>
                <w:sz w:val="24"/>
                <w:szCs w:val="24"/>
              </w:rPr>
              <w:t>3.在基础卦位上，遵医嘱辨证选取卦位。</w:t>
            </w:r>
          </w:p>
          <w:p w14:paraId="1F5B2C70">
            <w:pPr>
              <w:pStyle w:val="29"/>
              <w:keepNext w:val="0"/>
              <w:keepLines w:val="0"/>
              <w:widowControl w:val="0"/>
              <w:suppressLineNumbers w:val="0"/>
              <w:spacing w:before="0" w:beforeAutospacing="0" w:after="0" w:afterAutospacing="0" w:line="400" w:lineRule="exact"/>
              <w:ind w:left="0" w:right="0" w:firstLine="240" w:firstLineChars="100"/>
              <w:rPr>
                <w:rFonts w:hint="default" w:ascii="仿宋_GB2312" w:eastAsia="仿宋_GB2312" w:cs="仿宋"/>
                <w:bCs/>
                <w:sz w:val="24"/>
                <w:szCs w:val="24"/>
              </w:rPr>
            </w:pPr>
            <w:r>
              <w:rPr>
                <w:rFonts w:hint="default" w:ascii="仿宋_GB2312" w:eastAsia="仿宋_GB2312" w:cs="仿宋"/>
                <w:bCs/>
                <w:sz w:val="24"/>
                <w:szCs w:val="24"/>
              </w:rPr>
              <w:t>4.推揉力度应顺应患者气机动态变化，硬结气机阻滞处手法稍重以散结破瘀，松软塌陷气虚处动作轻缓以温养，整个过程以患者耐受为宜，不可强行按压。</w:t>
            </w:r>
          </w:p>
          <w:p w14:paraId="07C47731">
            <w:pPr>
              <w:pStyle w:val="29"/>
              <w:keepNext w:val="0"/>
              <w:keepLines w:val="0"/>
              <w:widowControl w:val="0"/>
              <w:suppressLineNumbers w:val="0"/>
              <w:spacing w:before="0" w:beforeAutospacing="0" w:after="0" w:afterAutospacing="0" w:line="400" w:lineRule="exact"/>
              <w:ind w:left="0" w:right="0" w:firstLine="240" w:firstLineChars="100"/>
              <w:rPr>
                <w:rFonts w:hint="default" w:ascii="仿宋_GB2312" w:eastAsia="仿宋_GB2312" w:cs="仿宋"/>
                <w:bCs/>
                <w:sz w:val="24"/>
                <w:szCs w:val="24"/>
              </w:rPr>
            </w:pPr>
            <w:r>
              <w:rPr>
                <w:rFonts w:hint="default" w:ascii="仿宋_GB2312" w:eastAsia="仿宋_GB2312" w:cs="仿宋"/>
                <w:bCs/>
                <w:sz w:val="24"/>
                <w:szCs w:val="24"/>
              </w:rPr>
              <w:t>5.推揉至腹部硬结、紧绷感消失，触之柔软润滑且富有弹性，腹部皮肤温度由凉转温，皮肤微微泛红，患者感觉舒适，出现肠鸣、温热感，或产生便意但无腹痛为度，此时气机已初步通畅，可进行脐灸操作。腹部八卦推拿与脐灸技术联合的核心是“以推拿开通路，以脐灸补能量”，二者协同解决老年便秘的本虚标实问题。</w:t>
            </w:r>
          </w:p>
        </w:tc>
        <w:tc>
          <w:tcPr>
            <w:tcW w:w="1542" w:type="dxa"/>
            <w:vAlign w:val="center"/>
          </w:tcPr>
          <w:p w14:paraId="171D569D">
            <w:pPr>
              <w:pStyle w:val="29"/>
              <w:keepNext w:val="0"/>
              <w:keepLines w:val="0"/>
              <w:widowControl w:val="0"/>
              <w:suppressLineNumbers w:val="0"/>
              <w:spacing w:before="0" w:beforeAutospacing="0" w:after="0" w:afterAutospacing="0" w:line="400" w:lineRule="exact"/>
              <w:ind w:left="0" w:right="0" w:firstLine="0" w:firstLineChars="0"/>
              <w:rPr>
                <w:rFonts w:hint="default" w:ascii="仿宋_GB2312" w:eastAsia="仿宋_GB2312" w:cs="仿宋"/>
                <w:bCs/>
                <w:sz w:val="24"/>
                <w:szCs w:val="24"/>
              </w:rPr>
            </w:pPr>
            <w:r>
              <w:rPr>
                <w:rFonts w:hint="eastAsia" w:ascii="仿宋_GB2312" w:eastAsia="仿宋_GB2312" w:cs="仿宋"/>
                <w:bCs/>
                <w:color w:val="auto"/>
                <w:sz w:val="24"/>
                <w:szCs w:val="24"/>
              </w:rPr>
              <w:t>共治疗</w:t>
            </w:r>
            <w:r>
              <w:rPr>
                <w:rFonts w:hint="eastAsia" w:ascii="仿宋_GB2312" w:hAnsi="仿宋_GB2312" w:eastAsia="仿宋_GB2312"/>
                <w:color w:val="auto"/>
                <w:kern w:val="2"/>
                <w:sz w:val="24"/>
                <w:szCs w:val="24"/>
              </w:rPr>
              <w:t>300例</w:t>
            </w:r>
            <w:r>
              <w:rPr>
                <w:rFonts w:hint="eastAsia" w:ascii="仿宋_GB2312" w:eastAsia="仿宋_GB2312" w:cs="仿宋"/>
                <w:bCs/>
                <w:color w:val="auto"/>
                <w:sz w:val="24"/>
                <w:szCs w:val="24"/>
              </w:rPr>
              <w:t>患者，其中痊愈</w:t>
            </w:r>
            <w:r>
              <w:rPr>
                <w:rFonts w:hint="eastAsia" w:ascii="仿宋_GB2312" w:hAnsi="仿宋_GB2312" w:eastAsia="仿宋_GB2312"/>
                <w:color w:val="auto"/>
                <w:kern w:val="2"/>
                <w:sz w:val="24"/>
                <w:szCs w:val="24"/>
              </w:rPr>
              <w:t>21</w:t>
            </w:r>
            <w:r>
              <w:rPr>
                <w:rFonts w:hint="eastAsia" w:ascii="仿宋_GB2312" w:eastAsia="仿宋_GB2312" w:cs="仿宋"/>
                <w:bCs/>
                <w:color w:val="auto"/>
                <w:sz w:val="24"/>
                <w:szCs w:val="24"/>
              </w:rPr>
              <w:t>例，显效</w:t>
            </w:r>
            <w:r>
              <w:rPr>
                <w:rFonts w:hint="eastAsia" w:ascii="仿宋_GB2312" w:hAnsi="仿宋_GB2312" w:eastAsia="仿宋_GB2312"/>
                <w:color w:val="auto"/>
                <w:kern w:val="2"/>
                <w:sz w:val="24"/>
                <w:szCs w:val="24"/>
              </w:rPr>
              <w:t>75</w:t>
            </w:r>
            <w:r>
              <w:rPr>
                <w:rFonts w:hint="eastAsia" w:ascii="仿宋_GB2312" w:eastAsia="仿宋_GB2312" w:cs="仿宋"/>
                <w:bCs/>
                <w:color w:val="auto"/>
                <w:sz w:val="24"/>
                <w:szCs w:val="24"/>
              </w:rPr>
              <w:t>例，有效</w:t>
            </w:r>
            <w:r>
              <w:rPr>
                <w:rFonts w:hint="eastAsia" w:ascii="仿宋_GB2312" w:hAnsi="仿宋_GB2312" w:eastAsia="仿宋_GB2312"/>
                <w:color w:val="auto"/>
                <w:kern w:val="2"/>
                <w:sz w:val="24"/>
                <w:szCs w:val="24"/>
              </w:rPr>
              <w:t>192例</w:t>
            </w:r>
            <w:r>
              <w:rPr>
                <w:rFonts w:hint="eastAsia" w:ascii="仿宋_GB2312" w:eastAsia="仿宋_GB2312" w:cs="仿宋"/>
                <w:bCs/>
                <w:color w:val="auto"/>
                <w:sz w:val="24"/>
                <w:szCs w:val="24"/>
              </w:rPr>
              <w:t>，无效</w:t>
            </w:r>
            <w:r>
              <w:rPr>
                <w:rFonts w:hint="eastAsia" w:ascii="仿宋_GB2312" w:hAnsi="仿宋_GB2312" w:eastAsia="仿宋_GB2312"/>
                <w:color w:val="auto"/>
                <w:kern w:val="2"/>
                <w:sz w:val="24"/>
                <w:szCs w:val="24"/>
              </w:rPr>
              <w:t>12例</w:t>
            </w:r>
            <w:r>
              <w:rPr>
                <w:rFonts w:hint="eastAsia" w:ascii="仿宋_GB2312" w:eastAsia="仿宋_GB2312" w:cs="仿宋"/>
                <w:bCs/>
                <w:color w:val="auto"/>
                <w:sz w:val="24"/>
                <w:szCs w:val="24"/>
              </w:rPr>
              <w:t>，总有效率</w:t>
            </w:r>
            <w:r>
              <w:rPr>
                <w:rFonts w:hint="eastAsia" w:ascii="仿宋_GB2312" w:hAnsi="仿宋_GB2312" w:eastAsia="仿宋_GB2312"/>
                <w:color w:val="auto"/>
                <w:kern w:val="2"/>
                <w:sz w:val="24"/>
                <w:szCs w:val="24"/>
              </w:rPr>
              <w:t>96</w:t>
            </w:r>
            <w:r>
              <w:rPr>
                <w:rFonts w:hint="eastAsia" w:ascii="仿宋_GB2312" w:eastAsia="仿宋_GB2312" w:cs="仿宋"/>
                <w:bCs/>
                <w:color w:val="auto"/>
                <w:sz w:val="24"/>
                <w:szCs w:val="24"/>
              </w:rPr>
              <w:t>%。</w:t>
            </w:r>
          </w:p>
        </w:tc>
        <w:tc>
          <w:tcPr>
            <w:tcW w:w="1754" w:type="dxa"/>
            <w:vAlign w:val="center"/>
          </w:tcPr>
          <w:p w14:paraId="5B908745">
            <w:pPr>
              <w:pStyle w:val="29"/>
              <w:keepNext w:val="0"/>
              <w:keepLines w:val="0"/>
              <w:widowControl w:val="0"/>
              <w:suppressLineNumbers w:val="0"/>
              <w:spacing w:before="0" w:beforeAutospacing="0" w:after="0" w:afterAutospacing="0" w:line="400" w:lineRule="exact"/>
              <w:ind w:left="0" w:right="0" w:firstLine="0" w:firstLineChars="0"/>
              <w:jc w:val="left"/>
              <w:rPr>
                <w:rFonts w:hint="eastAsia" w:ascii="仿宋_GB2312" w:hAnsi="仿宋_GB2312" w:eastAsia="仿宋_GB2312"/>
                <w:color w:val="auto"/>
                <w:kern w:val="2"/>
                <w:sz w:val="24"/>
                <w:szCs w:val="22"/>
              </w:rPr>
            </w:pPr>
            <w:r>
              <w:rPr>
                <w:rFonts w:hint="eastAsia" w:ascii="仿宋_GB2312" w:hAnsi="仿宋_GB2312" w:eastAsia="仿宋_GB2312"/>
                <w:color w:val="auto"/>
                <w:kern w:val="2"/>
                <w:sz w:val="24"/>
                <w:szCs w:val="22"/>
              </w:rPr>
              <w:t>1）粪便性状</w:t>
            </w:r>
          </w:p>
          <w:p w14:paraId="52A251C9">
            <w:pPr>
              <w:pStyle w:val="29"/>
              <w:keepNext w:val="0"/>
              <w:keepLines w:val="0"/>
              <w:widowControl w:val="0"/>
              <w:suppressLineNumbers w:val="0"/>
              <w:spacing w:before="0" w:beforeAutospacing="0" w:after="0" w:afterAutospacing="0" w:line="400" w:lineRule="exact"/>
              <w:ind w:left="0" w:right="0" w:firstLine="0" w:firstLineChars="0"/>
              <w:jc w:val="left"/>
              <w:rPr>
                <w:rFonts w:hint="eastAsia" w:ascii="仿宋_GB2312" w:hAnsi="仿宋_GB2312" w:eastAsia="仿宋_GB2312"/>
                <w:color w:val="auto"/>
                <w:kern w:val="2"/>
                <w:sz w:val="24"/>
                <w:szCs w:val="22"/>
              </w:rPr>
            </w:pPr>
            <w:r>
              <w:rPr>
                <w:rFonts w:hint="eastAsia" w:ascii="仿宋_GB2312" w:hAnsi="仿宋_GB2312" w:eastAsia="仿宋_GB2312"/>
                <w:color w:val="auto"/>
                <w:kern w:val="2"/>
                <w:sz w:val="24"/>
                <w:szCs w:val="22"/>
              </w:rPr>
              <w:t>2）排便频率</w:t>
            </w:r>
          </w:p>
          <w:p w14:paraId="38285F31">
            <w:pPr>
              <w:pStyle w:val="29"/>
              <w:keepNext w:val="0"/>
              <w:keepLines w:val="0"/>
              <w:widowControl w:val="0"/>
              <w:suppressLineNumbers w:val="0"/>
              <w:spacing w:before="0" w:beforeAutospacing="0" w:after="0" w:afterAutospacing="0" w:line="400" w:lineRule="exact"/>
              <w:ind w:left="0" w:right="0" w:firstLine="0" w:firstLineChars="0"/>
              <w:jc w:val="left"/>
              <w:rPr>
                <w:rFonts w:hint="eastAsia" w:ascii="仿宋_GB2312" w:hAnsi="仿宋_GB2312" w:eastAsia="仿宋_GB2312"/>
                <w:color w:val="auto"/>
                <w:kern w:val="2"/>
                <w:sz w:val="24"/>
                <w:szCs w:val="22"/>
              </w:rPr>
            </w:pPr>
            <w:r>
              <w:rPr>
                <w:rFonts w:hint="eastAsia" w:ascii="仿宋_GB2312" w:hAnsi="仿宋_GB2312" w:eastAsia="仿宋_GB2312"/>
                <w:color w:val="auto"/>
                <w:kern w:val="2"/>
                <w:sz w:val="24"/>
                <w:szCs w:val="22"/>
              </w:rPr>
              <w:t>3）排便时间</w:t>
            </w:r>
          </w:p>
          <w:p w14:paraId="7FD8A61A">
            <w:pPr>
              <w:pStyle w:val="29"/>
              <w:keepNext w:val="0"/>
              <w:keepLines w:val="0"/>
              <w:widowControl w:val="0"/>
              <w:suppressLineNumbers w:val="0"/>
              <w:spacing w:before="0" w:beforeAutospacing="0" w:after="0" w:afterAutospacing="0" w:line="400" w:lineRule="exact"/>
              <w:ind w:left="0" w:right="0" w:firstLine="0" w:firstLineChars="0"/>
              <w:jc w:val="left"/>
              <w:rPr>
                <w:rFonts w:hint="eastAsia" w:ascii="仿宋_GB2312" w:hAnsi="仿宋_GB2312" w:eastAsia="仿宋_GB2312"/>
                <w:color w:val="auto"/>
                <w:kern w:val="2"/>
                <w:sz w:val="24"/>
                <w:szCs w:val="22"/>
              </w:rPr>
            </w:pPr>
            <w:r>
              <w:rPr>
                <w:rFonts w:hint="eastAsia" w:ascii="仿宋_GB2312" w:hAnsi="仿宋_GB2312" w:eastAsia="仿宋_GB2312"/>
                <w:color w:val="auto"/>
                <w:kern w:val="2"/>
                <w:sz w:val="24"/>
                <w:szCs w:val="22"/>
              </w:rPr>
              <w:t>4）排便困难、过度用力</w:t>
            </w:r>
          </w:p>
          <w:p w14:paraId="35692257">
            <w:pPr>
              <w:pStyle w:val="29"/>
              <w:keepNext w:val="0"/>
              <w:keepLines w:val="0"/>
              <w:widowControl w:val="0"/>
              <w:suppressLineNumbers w:val="0"/>
              <w:spacing w:before="0" w:beforeAutospacing="0" w:after="0" w:afterAutospacing="0" w:line="400" w:lineRule="exact"/>
              <w:ind w:left="0" w:right="0" w:firstLine="0" w:firstLineChars="0"/>
              <w:jc w:val="left"/>
              <w:rPr>
                <w:rFonts w:hint="default" w:ascii="仿宋_GB2312" w:eastAsia="仿宋_GB2312" w:cs="仿宋"/>
                <w:bCs/>
                <w:sz w:val="24"/>
                <w:szCs w:val="24"/>
              </w:rPr>
            </w:pPr>
            <w:r>
              <w:rPr>
                <w:rFonts w:hint="eastAsia" w:ascii="仿宋_GB2312" w:hAnsi="仿宋_GB2312" w:eastAsia="仿宋_GB2312"/>
                <w:color w:val="auto"/>
                <w:kern w:val="2"/>
                <w:sz w:val="24"/>
                <w:szCs w:val="22"/>
              </w:rPr>
              <w:t>5）腹胀评分</w:t>
            </w:r>
          </w:p>
        </w:tc>
      </w:tr>
    </w:tbl>
    <w:p w14:paraId="6523D8EF">
      <w:pPr>
        <w:rPr>
          <w:rFonts w:hint="eastAsia"/>
        </w:rPr>
      </w:pPr>
      <w:r>
        <w:rPr>
          <w:rFonts w:hint="eastAsia"/>
          <w:b/>
          <w:bCs/>
        </w:rPr>
        <w:t>2.脐灸</w:t>
      </w:r>
    </w:p>
    <w:p w14:paraId="2B463625">
      <w:pPr>
        <w:rPr>
          <w:rFonts w:hint="eastAsia"/>
        </w:rPr>
      </w:pPr>
      <w:r>
        <w:rPr>
          <w:rFonts w:hint="eastAsia"/>
          <w:b/>
          <w:bCs/>
        </w:rPr>
        <w:t>脐灸操作</w:t>
      </w:r>
      <w:r>
        <w:rPr>
          <w:rFonts w:hint="eastAsia"/>
          <w:lang w:eastAsia="zh-CN"/>
        </w:rPr>
        <w:t>参考了T/GXAS 729</w:t>
      </w:r>
      <w:r>
        <w:rPr>
          <w:rFonts w:hint="eastAsia" w:ascii="仿宋_GB2312" w:eastAsia="仿宋_GB2312" w:cs="仿宋"/>
          <w:bCs/>
          <w:sz w:val="28"/>
          <w:szCs w:val="28"/>
        </w:rPr>
        <w:t>《胃脘痛脐灸技术操作规范》</w:t>
      </w:r>
      <w:r>
        <w:rPr>
          <w:rFonts w:hint="eastAsia"/>
        </w:rPr>
        <w:t>。</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40035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6B1C73C5">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szCs w:val="20"/>
              </w:rPr>
              <w:drawing>
                <wp:inline distT="0" distB="0" distL="114300" distR="114300">
                  <wp:extent cx="5514975" cy="1592580"/>
                  <wp:effectExtent l="0" t="0" r="9525" b="762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1"/>
                          <a:stretch>
                            <a:fillRect/>
                          </a:stretch>
                        </pic:blipFill>
                        <pic:spPr>
                          <a:xfrm>
                            <a:off x="0" y="0"/>
                            <a:ext cx="5514975" cy="1592580"/>
                          </a:xfrm>
                          <a:prstGeom prst="rect">
                            <a:avLst/>
                          </a:prstGeom>
                          <a:noFill/>
                          <a:ln>
                            <a:noFill/>
                          </a:ln>
                        </pic:spPr>
                      </pic:pic>
                    </a:graphicData>
                  </a:graphic>
                </wp:inline>
              </w:drawing>
            </w:r>
          </w:p>
        </w:tc>
      </w:tr>
      <w:tr w14:paraId="7D864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7E06F65A">
            <w:pPr>
              <w:pStyle w:val="29"/>
              <w:keepNext w:val="0"/>
              <w:keepLines w:val="0"/>
              <w:widowControl/>
              <w:suppressLineNumbers w:val="0"/>
              <w:spacing w:before="0" w:beforeAutospacing="0" w:after="0" w:afterAutospacing="0"/>
              <w:ind w:left="0" w:right="0" w:firstLine="0" w:firstLineChars="0"/>
              <w:jc w:val="center"/>
              <w:rPr>
                <w:rFonts w:hint="eastAsia" w:ascii="仿宋_GB2312" w:eastAsia="仿宋_GB2312" w:cs="仿宋"/>
                <w:b/>
                <w:sz w:val="28"/>
                <w:szCs w:val="28"/>
                <w:vertAlign w:val="baseline"/>
              </w:rPr>
            </w:pPr>
            <w:r>
              <w:rPr>
                <w:rFonts w:hint="eastAsia" w:ascii="黑体" w:hAnsi="黑体" w:eastAsia="黑体" w:cs="黑体"/>
                <w:bCs/>
                <w:szCs w:val="21"/>
              </w:rPr>
              <w:t>来源：T/GXAS 729  胃脘痛脐灸技术操作规范</w:t>
            </w:r>
          </w:p>
        </w:tc>
      </w:tr>
    </w:tbl>
    <w:p w14:paraId="5D402DA3">
      <w:pPr>
        <w:pStyle w:val="29"/>
        <w:spacing w:line="520" w:lineRule="exact"/>
        <w:ind w:firstLine="0" w:firstLineChars="0"/>
        <w:rPr>
          <w:rFonts w:hint="eastAsia" w:ascii="仿宋_GB2312" w:eastAsia="仿宋_GB2312" w:cs="仿宋"/>
          <w:b/>
          <w:color w:val="FF0000"/>
          <w:sz w:val="28"/>
          <w:szCs w:val="28"/>
          <w:lang w:eastAsia="zh-CN"/>
        </w:rPr>
      </w:pPr>
      <w:r>
        <w:rPr>
          <w:rFonts w:hint="eastAsia" w:ascii="仿宋_GB2312" w:eastAsia="仿宋_GB2312" w:cs="仿宋"/>
          <w:b/>
          <w:sz w:val="28"/>
          <w:szCs w:val="28"/>
        </w:rPr>
        <w:t>（六）注意事项和不良反应</w:t>
      </w:r>
      <w:r>
        <w:rPr>
          <w:rFonts w:hint="eastAsia" w:ascii="仿宋_GB2312" w:eastAsia="仿宋_GB2312" w:cs="仿宋"/>
          <w:b/>
          <w:sz w:val="28"/>
          <w:szCs w:val="28"/>
          <w:lang w:eastAsia="zh-CN"/>
        </w:rPr>
        <w:t>处理</w:t>
      </w:r>
    </w:p>
    <w:p w14:paraId="5F6CCE03">
      <w:pPr>
        <w:jc w:val="left"/>
        <w:rPr>
          <w:rFonts w:hint="eastAsia"/>
          <w:color w:val="auto"/>
          <w:lang w:eastAsia="zh-CN"/>
        </w:rPr>
      </w:pPr>
      <w:r>
        <w:rPr>
          <w:rFonts w:hint="eastAsia"/>
          <w:b/>
          <w:bCs/>
        </w:rPr>
        <w:t>腹部八卦推拿</w:t>
      </w:r>
      <w:r>
        <w:rPr>
          <w:rFonts w:hint="eastAsia"/>
          <w:b/>
          <w:bCs/>
          <w:color w:val="auto"/>
        </w:rPr>
        <w:t>的</w:t>
      </w:r>
      <w:r>
        <w:rPr>
          <w:rFonts w:hint="eastAsia"/>
          <w:b/>
          <w:bCs/>
          <w:color w:val="auto"/>
          <w:lang w:val="en-US" w:eastAsia="zh-CN"/>
        </w:rPr>
        <w:t>注意事项</w:t>
      </w:r>
      <w:r>
        <w:rPr>
          <w:rFonts w:hint="eastAsia"/>
          <w:color w:val="auto"/>
        </w:rPr>
        <w:t>主要参考了</w:t>
      </w:r>
      <w:bookmarkStart w:id="12" w:name="OLE_LINK9"/>
      <w:r>
        <w:rPr>
          <w:rFonts w:hint="eastAsia"/>
          <w:color w:val="auto"/>
        </w:rPr>
        <w:t>T/SATCM 0007—2025</w:t>
      </w:r>
      <w:r>
        <w:rPr>
          <w:rFonts w:hint="eastAsia"/>
          <w:color w:val="auto"/>
          <w:lang w:val="en-US" w:eastAsia="zh-CN"/>
        </w:rPr>
        <w:t>《</w:t>
      </w:r>
      <w:r>
        <w:rPr>
          <w:rFonts w:hint="eastAsia"/>
          <w:color w:val="auto"/>
        </w:rPr>
        <w:t>慢性疲劳综合征推拿服务规范</w:t>
      </w:r>
      <w:bookmarkEnd w:id="12"/>
      <w:r>
        <w:rPr>
          <w:rFonts w:hint="eastAsia"/>
          <w:color w:val="auto"/>
          <w:lang w:val="en-US" w:eastAsia="zh-CN"/>
        </w:rPr>
        <w:t>》</w:t>
      </w:r>
      <w:r>
        <w:rPr>
          <w:rFonts w:hint="eastAsia"/>
          <w:color w:val="auto"/>
          <w:lang w:eastAsia="zh-CN"/>
        </w:rPr>
        <w:t>并结合广西中医药大学附属瑞康医院老年便秘患者腹部八卦推拿联合脐灸技术经验而确定。</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41808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174" w:type="dxa"/>
          </w:tcPr>
          <w:p w14:paraId="110AAE06">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color w:val="auto"/>
                <w:szCs w:val="20"/>
              </w:rPr>
              <w:drawing>
                <wp:inline distT="0" distB="0" distL="114300" distR="114300">
                  <wp:extent cx="5687060" cy="2162810"/>
                  <wp:effectExtent l="0" t="0" r="8890" b="889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2"/>
                          <a:stretch>
                            <a:fillRect/>
                          </a:stretch>
                        </pic:blipFill>
                        <pic:spPr>
                          <a:xfrm>
                            <a:off x="0" y="0"/>
                            <a:ext cx="5687060" cy="2162810"/>
                          </a:xfrm>
                          <a:prstGeom prst="rect">
                            <a:avLst/>
                          </a:prstGeom>
                          <a:noFill/>
                          <a:ln>
                            <a:noFill/>
                          </a:ln>
                        </pic:spPr>
                      </pic:pic>
                    </a:graphicData>
                  </a:graphic>
                </wp:inline>
              </w:drawing>
            </w:r>
          </w:p>
        </w:tc>
      </w:tr>
      <w:tr w14:paraId="32B39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5A3BD2E4">
            <w:pPr>
              <w:keepNext w:val="0"/>
              <w:keepLines w:val="0"/>
              <w:suppressLineNumbers w:val="0"/>
              <w:spacing w:before="0" w:beforeAutospacing="0" w:after="0" w:afterAutospacing="0"/>
              <w:ind w:left="0" w:right="0"/>
              <w:jc w:val="center"/>
              <w:rPr>
                <w:rFonts w:hint="eastAsia" w:ascii="仿宋_GB2312" w:eastAsia="仿宋_GB2312" w:cs="仿宋"/>
                <w:b/>
                <w:sz w:val="28"/>
                <w:szCs w:val="28"/>
                <w:vertAlign w:val="baseline"/>
              </w:rPr>
            </w:pPr>
            <w:r>
              <w:rPr>
                <w:rFonts w:hint="eastAsia" w:ascii="黑体" w:hAnsi="黑体" w:eastAsia="黑体" w:cs="黑体"/>
                <w:color w:val="auto"/>
                <w:sz w:val="21"/>
                <w:szCs w:val="20"/>
              </w:rPr>
              <w:t>来源：T/SATCM 0007—2025  慢性疲劳综合征推拿服务规范</w:t>
            </w:r>
          </w:p>
        </w:tc>
      </w:tr>
    </w:tbl>
    <w:p w14:paraId="678EECEA">
      <w:pPr>
        <w:rPr>
          <w:rFonts w:hint="eastAsia"/>
          <w:color w:val="auto"/>
        </w:rPr>
      </w:pPr>
      <w:r>
        <w:rPr>
          <w:rFonts w:hint="eastAsia"/>
          <w:b/>
          <w:bCs/>
          <w:color w:val="auto"/>
        </w:rPr>
        <w:t>腹部八卦推拿的不良反应</w:t>
      </w:r>
      <w:r>
        <w:rPr>
          <w:rFonts w:hint="eastAsia"/>
          <w:b/>
          <w:bCs/>
          <w:color w:val="auto"/>
          <w:lang w:eastAsia="zh-CN"/>
        </w:rPr>
        <w:t>处理</w:t>
      </w:r>
      <w:r>
        <w:rPr>
          <w:rFonts w:hint="eastAsia"/>
          <w:color w:val="auto"/>
          <w:lang w:val="en-US" w:eastAsia="zh-CN"/>
        </w:rPr>
        <w:t>主要参考</w:t>
      </w:r>
      <w:r>
        <w:rPr>
          <w:rFonts w:hint="eastAsia"/>
          <w:color w:val="auto"/>
        </w:rPr>
        <w:t>T/CACM 1080—2018</w:t>
      </w:r>
      <w:r>
        <w:rPr>
          <w:rFonts w:hint="eastAsia"/>
          <w:color w:val="auto"/>
          <w:lang w:eastAsia="zh-CN"/>
        </w:rPr>
        <w:t>《</w:t>
      </w:r>
      <w:r>
        <w:rPr>
          <w:rFonts w:hint="eastAsia"/>
          <w:color w:val="auto"/>
        </w:rPr>
        <w:t>中医治未病技术操作规范 脊柱推拿</w:t>
      </w:r>
      <w:r>
        <w:rPr>
          <w:rFonts w:hint="eastAsia"/>
          <w:color w:val="auto"/>
          <w:lang w:eastAsia="zh-CN"/>
        </w:rPr>
        <w:t>》并结合广西中医药大学附属瑞康医院老年便秘患者腹部八卦推拿联合脐灸技术经验而确定。</w:t>
      </w:r>
    </w:p>
    <w:p w14:paraId="2D23B0B2">
      <w:pPr>
        <w:rPr>
          <w:rFonts w:hint="eastAsia"/>
        </w:rPr>
      </w:pPr>
      <w:r>
        <w:rPr>
          <w:rFonts w:hint="eastAsia"/>
          <w:b/>
          <w:bCs/>
        </w:rPr>
        <w:t>脐灸的注意事项和不良反应</w:t>
      </w:r>
      <w:r>
        <w:rPr>
          <w:rFonts w:hint="eastAsia"/>
          <w:b/>
          <w:bCs/>
          <w:lang w:eastAsia="zh-CN"/>
        </w:rPr>
        <w:t>处理</w:t>
      </w:r>
      <w:r>
        <w:rPr>
          <w:rFonts w:hint="eastAsia"/>
        </w:rPr>
        <w:t>主要参考T/GXAS 729</w:t>
      </w:r>
      <w:r>
        <w:rPr>
          <w:rFonts w:hint="eastAsia" w:ascii="仿宋_GB2312" w:eastAsia="仿宋_GB2312" w:cs="仿宋"/>
          <w:bCs/>
          <w:sz w:val="28"/>
          <w:szCs w:val="28"/>
        </w:rPr>
        <w:t>《胃脘痛脐灸技术操作规范》</w:t>
      </w:r>
      <w:r>
        <w:rPr>
          <w:rFonts w:hint="eastAsia"/>
        </w:rPr>
        <w:t>。</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4"/>
      </w:tblGrid>
      <w:tr w14:paraId="5365E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434175F8">
            <w:pPr>
              <w:pStyle w:val="29"/>
              <w:keepNext w:val="0"/>
              <w:keepLines w:val="0"/>
              <w:widowControl/>
              <w:suppressLineNumbers w:val="0"/>
              <w:spacing w:before="0" w:beforeAutospacing="0" w:after="0" w:afterAutospacing="0" w:line="240" w:lineRule="auto"/>
              <w:ind w:left="0" w:leftChars="0" w:right="0" w:firstLine="0" w:firstLineChars="0"/>
              <w:jc w:val="center"/>
              <w:rPr>
                <w:rFonts w:hint="eastAsia" w:ascii="仿宋_GB2312" w:eastAsia="仿宋_GB2312" w:cs="仿宋"/>
                <w:b/>
                <w:sz w:val="28"/>
                <w:szCs w:val="28"/>
                <w:vertAlign w:val="baseline"/>
              </w:rPr>
            </w:pPr>
            <w:r>
              <w:rPr>
                <w:rFonts w:hint="default"/>
                <w:szCs w:val="20"/>
              </w:rPr>
              <w:drawing>
                <wp:inline distT="0" distB="0" distL="114300" distR="114300">
                  <wp:extent cx="5617210" cy="2882900"/>
                  <wp:effectExtent l="0" t="0" r="2540" b="1270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3"/>
                          <a:stretch>
                            <a:fillRect/>
                          </a:stretch>
                        </pic:blipFill>
                        <pic:spPr>
                          <a:xfrm>
                            <a:off x="0" y="0"/>
                            <a:ext cx="5617210" cy="2882900"/>
                          </a:xfrm>
                          <a:prstGeom prst="rect">
                            <a:avLst/>
                          </a:prstGeom>
                          <a:noFill/>
                          <a:ln>
                            <a:noFill/>
                          </a:ln>
                        </pic:spPr>
                      </pic:pic>
                    </a:graphicData>
                  </a:graphic>
                </wp:inline>
              </w:drawing>
            </w:r>
          </w:p>
        </w:tc>
      </w:tr>
      <w:tr w14:paraId="70182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4" w:type="dxa"/>
          </w:tcPr>
          <w:p w14:paraId="33787FF4">
            <w:pPr>
              <w:pStyle w:val="29"/>
              <w:keepNext w:val="0"/>
              <w:keepLines w:val="0"/>
              <w:widowControl/>
              <w:suppressLineNumbers w:val="0"/>
              <w:spacing w:before="0" w:beforeAutospacing="0" w:after="0" w:afterAutospacing="0"/>
              <w:ind w:left="0" w:right="0" w:firstLine="0" w:firstLineChars="0"/>
              <w:jc w:val="center"/>
              <w:rPr>
                <w:rFonts w:hint="eastAsia" w:ascii="仿宋_GB2312" w:eastAsia="仿宋_GB2312" w:cs="仿宋"/>
                <w:b/>
                <w:sz w:val="28"/>
                <w:szCs w:val="28"/>
                <w:vertAlign w:val="baseline"/>
              </w:rPr>
            </w:pPr>
            <w:r>
              <w:rPr>
                <w:rFonts w:hint="eastAsia" w:ascii="黑体" w:hAnsi="黑体" w:eastAsia="黑体" w:cs="黑体"/>
                <w:bCs/>
                <w:szCs w:val="21"/>
              </w:rPr>
              <w:t>来源：T/GXAS 729  胃脘痛脐灸技术操作规范</w:t>
            </w:r>
          </w:p>
        </w:tc>
      </w:tr>
    </w:tbl>
    <w:p w14:paraId="2496AD81">
      <w:pPr>
        <w:ind w:firstLine="0" w:firstLineChars="0"/>
        <w:jc w:val="center"/>
        <w:rPr>
          <w:rFonts w:hint="eastAsia" w:ascii="黑体" w:hAnsi="黑体" w:eastAsia="黑体" w:cs="黑体"/>
          <w:bCs/>
          <w:sz w:val="21"/>
          <w:szCs w:val="21"/>
        </w:rPr>
      </w:pPr>
    </w:p>
    <w:p w14:paraId="22E9E462">
      <w:pPr>
        <w:pStyle w:val="31"/>
        <w:numPr>
          <w:ilvl w:val="0"/>
          <w:numId w:val="0"/>
        </w:numPr>
        <w:spacing w:beforeLines="0" w:afterLines="0" w:line="360" w:lineRule="auto"/>
        <w:ind w:firstLine="643" w:firstLineChars="200"/>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01EB37AE">
      <w:pPr>
        <w:spacing w:line="520" w:lineRule="exact"/>
        <w:ind w:firstLine="560"/>
        <w:rPr>
          <w:rFonts w:hint="eastAsia"/>
          <w:szCs w:val="28"/>
        </w:rPr>
      </w:pPr>
      <w:r>
        <w:rPr>
          <w:rFonts w:hint="eastAsia"/>
          <w:szCs w:val="28"/>
        </w:rPr>
        <w:t>本标准研制过程中无重大分歧意见。</w:t>
      </w:r>
    </w:p>
    <w:p w14:paraId="37C3CAE7">
      <w:pPr>
        <w:autoSpaceDE w:val="0"/>
        <w:autoSpaceDN w:val="0"/>
        <w:adjustRightInd w:val="0"/>
        <w:spacing w:before="156" w:beforeLines="50" w:after="156" w:afterLines="50" w:line="520" w:lineRule="exact"/>
        <w:ind w:firstLine="640"/>
        <w:outlineLvl w:val="0"/>
        <w:rPr>
          <w:rFonts w:hint="eastAsia" w:eastAsia="黑体"/>
          <w:sz w:val="32"/>
          <w:szCs w:val="32"/>
        </w:rPr>
      </w:pPr>
      <w:r>
        <w:rPr>
          <w:rFonts w:hint="eastAsia" w:ascii="黑体" w:eastAsia="黑体"/>
          <w:bCs/>
          <w:sz w:val="32"/>
          <w:szCs w:val="32"/>
        </w:rPr>
        <w:t>七、</w:t>
      </w:r>
      <w:r>
        <w:rPr>
          <w:rFonts w:hint="eastAsia" w:eastAsia="黑体"/>
          <w:sz w:val="32"/>
          <w:szCs w:val="32"/>
        </w:rPr>
        <w:t>实施标准的措施</w:t>
      </w:r>
    </w:p>
    <w:p w14:paraId="6D4BDEB4">
      <w:pPr>
        <w:spacing w:line="500" w:lineRule="exact"/>
        <w:ind w:firstLine="562"/>
        <w:rPr>
          <w:rFonts w:hint="eastAsia" w:cs="仿宋_GB2312"/>
          <w:b/>
          <w:szCs w:val="28"/>
        </w:rPr>
      </w:pPr>
      <w:r>
        <w:rPr>
          <w:rFonts w:hint="eastAsia" w:cs="仿宋_GB2312"/>
          <w:b/>
          <w:szCs w:val="28"/>
        </w:rPr>
        <w:t>（一）标准报批发布后，成立标准宣贯工作组</w:t>
      </w:r>
    </w:p>
    <w:p w14:paraId="12AB879E">
      <w:pPr>
        <w:spacing w:line="500" w:lineRule="exact"/>
        <w:ind w:firstLine="560"/>
        <w:rPr>
          <w:rFonts w:hint="eastAsia"/>
          <w:szCs w:val="28"/>
        </w:rPr>
      </w:pPr>
      <w:r>
        <w:rPr>
          <w:rFonts w:hint="eastAsia"/>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597E8559">
      <w:pPr>
        <w:spacing w:line="500" w:lineRule="exact"/>
        <w:ind w:firstLine="562"/>
        <w:rPr>
          <w:rFonts w:hint="eastAsia"/>
          <w:b/>
          <w:szCs w:val="28"/>
        </w:rPr>
      </w:pPr>
      <w:r>
        <w:rPr>
          <w:rFonts w:hint="eastAsia"/>
          <w:b/>
          <w:szCs w:val="28"/>
        </w:rPr>
        <w:t>（二）组织开展标准宣贯培训</w:t>
      </w:r>
    </w:p>
    <w:p w14:paraId="65CE9613">
      <w:pPr>
        <w:spacing w:line="500" w:lineRule="exact"/>
        <w:ind w:firstLine="560"/>
        <w:rPr>
          <w:rFonts w:hint="eastAsia"/>
          <w:szCs w:val="28"/>
        </w:rPr>
      </w:pPr>
      <w:r>
        <w:rPr>
          <w:rFonts w:hint="eastAsia"/>
          <w:szCs w:val="28"/>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中医技术高质量发展。</w:t>
      </w:r>
    </w:p>
    <w:p w14:paraId="41604293">
      <w:pPr>
        <w:spacing w:line="500" w:lineRule="exact"/>
        <w:ind w:firstLine="562"/>
        <w:rPr>
          <w:rFonts w:hint="eastAsia"/>
          <w:b/>
          <w:szCs w:val="28"/>
        </w:rPr>
      </w:pPr>
      <w:r>
        <w:rPr>
          <w:rFonts w:hint="eastAsia"/>
          <w:b/>
          <w:szCs w:val="28"/>
        </w:rPr>
        <w:t>（三）开展标准实施交流会，收集标准实施反馈信息</w:t>
      </w:r>
    </w:p>
    <w:p w14:paraId="24E6DBEB">
      <w:pPr>
        <w:spacing w:line="500" w:lineRule="exact"/>
        <w:ind w:firstLine="560"/>
        <w:rPr>
          <w:rFonts w:hint="eastAsia"/>
          <w:szCs w:val="28"/>
        </w:rPr>
      </w:pPr>
      <w:r>
        <w:rPr>
          <w:rFonts w:hint="eastAsia"/>
          <w:szCs w:val="28"/>
        </w:rPr>
        <w:t>标准起草小组深入各市县医疗机构组织医师和医护人员召开标准实施交流会，听取标准实施过程中存在的问题并做好记录和解答，对存在的问题组织专家团队进行研讨，为标准的复审修订做准备。</w:t>
      </w:r>
    </w:p>
    <w:p w14:paraId="478F8A08">
      <w:pPr>
        <w:spacing w:line="500" w:lineRule="exact"/>
        <w:ind w:firstLine="562"/>
        <w:rPr>
          <w:rFonts w:hint="eastAsia"/>
          <w:b/>
          <w:szCs w:val="28"/>
        </w:rPr>
      </w:pPr>
      <w:r>
        <w:rPr>
          <w:rFonts w:hint="eastAsia"/>
          <w:b/>
          <w:szCs w:val="28"/>
        </w:rPr>
        <w:t>（四）开展标准实施效果评估</w:t>
      </w:r>
    </w:p>
    <w:p w14:paraId="68AF2F91">
      <w:pPr>
        <w:spacing w:line="500" w:lineRule="exact"/>
        <w:ind w:firstLine="560"/>
        <w:rPr>
          <w:rFonts w:hint="eastAsia"/>
          <w:szCs w:val="28"/>
        </w:rPr>
      </w:pPr>
      <w:r>
        <w:rPr>
          <w:rFonts w:hint="eastAsia"/>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23C0C5A3">
      <w:pPr>
        <w:spacing w:before="240" w:after="60" w:line="520" w:lineRule="exact"/>
        <w:ind w:firstLine="640"/>
        <w:outlineLvl w:val="0"/>
        <w:rPr>
          <w:rFonts w:hint="eastAsia" w:ascii="黑体" w:eastAsia="黑体"/>
          <w:bCs/>
          <w:sz w:val="32"/>
          <w:szCs w:val="32"/>
        </w:rPr>
      </w:pPr>
      <w:r>
        <w:rPr>
          <w:rFonts w:hint="eastAsia" w:ascii="黑体" w:eastAsia="黑体"/>
          <w:bCs/>
          <w:sz w:val="32"/>
          <w:szCs w:val="32"/>
        </w:rPr>
        <w:t>八、其他应当说明的事项</w:t>
      </w:r>
    </w:p>
    <w:p w14:paraId="356AD0A3">
      <w:pPr>
        <w:spacing w:line="520" w:lineRule="exact"/>
        <w:ind w:firstLine="560"/>
        <w:rPr>
          <w:rFonts w:hint="eastAsia"/>
          <w:szCs w:val="28"/>
        </w:rPr>
      </w:pPr>
      <w:r>
        <w:rPr>
          <w:rFonts w:hint="eastAsia"/>
          <w:szCs w:val="28"/>
        </w:rPr>
        <w:t>无。</w:t>
      </w:r>
    </w:p>
    <w:p w14:paraId="5DD2CF8F">
      <w:pPr>
        <w:autoSpaceDE w:val="0"/>
        <w:autoSpaceDN w:val="0"/>
        <w:adjustRightInd w:val="0"/>
        <w:spacing w:before="156" w:beforeLines="50" w:after="156" w:afterLines="50" w:line="520" w:lineRule="exact"/>
        <w:ind w:firstLine="640"/>
        <w:outlineLvl w:val="0"/>
        <w:rPr>
          <w:rFonts w:hint="eastAsia" w:eastAsia="黑体"/>
          <w:sz w:val="32"/>
          <w:szCs w:val="32"/>
        </w:rPr>
      </w:pPr>
      <w:r>
        <w:rPr>
          <w:rFonts w:hint="eastAsia" w:eastAsia="黑体"/>
          <w:sz w:val="32"/>
          <w:szCs w:val="32"/>
        </w:rPr>
        <w:t>九、自我承诺</w:t>
      </w:r>
    </w:p>
    <w:p w14:paraId="7B7192B0">
      <w:pPr>
        <w:spacing w:line="520" w:lineRule="exact"/>
        <w:ind w:firstLine="560"/>
        <w:rPr>
          <w:rFonts w:hint="eastAsia"/>
          <w:szCs w:val="28"/>
        </w:rPr>
      </w:pPr>
      <w:r>
        <w:rPr>
          <w:rFonts w:hint="eastAsia"/>
          <w:szCs w:val="28"/>
        </w:rPr>
        <w:t>该标准的内容符合国家相关法律法规，技术要求不低于强制性国家标准的相关技术要求，与相关的国家、行业推荐性标准协调一致，标准的编写符合GB/T 1.1-2020的要求。</w:t>
      </w:r>
    </w:p>
    <w:p w14:paraId="4F155FCD">
      <w:pPr>
        <w:spacing w:before="240" w:after="60" w:line="520" w:lineRule="exact"/>
        <w:jc w:val="right"/>
        <w:outlineLvl w:val="0"/>
        <w:rPr>
          <w:rFonts w:hint="eastAsia"/>
          <w:szCs w:val="28"/>
        </w:rPr>
      </w:pPr>
      <w:r>
        <w:rPr>
          <w:rFonts w:hint="eastAsia"/>
          <w:szCs w:val="28"/>
        </w:rPr>
        <w:t>团体标准《老年便秘患者腹部八卦推拿联合脐灸技术操作规范》</w:t>
      </w:r>
    </w:p>
    <w:p w14:paraId="02090AAD">
      <w:pPr>
        <w:spacing w:line="520" w:lineRule="exact"/>
        <w:ind w:right="1120"/>
        <w:jc w:val="center"/>
        <w:rPr>
          <w:rFonts w:hint="eastAsia"/>
          <w:szCs w:val="28"/>
        </w:rPr>
      </w:pPr>
      <w:r>
        <w:rPr>
          <w:rFonts w:hint="eastAsia"/>
          <w:szCs w:val="28"/>
        </w:rPr>
        <w:t xml:space="preserve">                                  标准编制工作组</w:t>
      </w:r>
    </w:p>
    <w:p w14:paraId="2FEB421A">
      <w:pPr>
        <w:spacing w:line="520" w:lineRule="exact"/>
        <w:ind w:firstLine="640"/>
        <w:rPr>
          <w:rFonts w:hint="eastAsia"/>
          <w:szCs w:val="28"/>
        </w:rPr>
      </w:pPr>
      <w:r>
        <w:rPr>
          <w:rFonts w:hint="eastAsia"/>
          <w:sz w:val="32"/>
          <w:szCs w:val="28"/>
        </w:rPr>
        <w:t xml:space="preserve">                           </w:t>
      </w:r>
      <w:r>
        <w:rPr>
          <w:rFonts w:hint="eastAsia"/>
          <w:sz w:val="32"/>
          <w:szCs w:val="28"/>
          <w:lang w:val="en-US" w:eastAsia="zh-CN"/>
        </w:rPr>
        <w:t xml:space="preserve"> </w:t>
      </w:r>
      <w:r>
        <w:rPr>
          <w:rFonts w:hint="eastAsia"/>
          <w:sz w:val="32"/>
          <w:szCs w:val="28"/>
        </w:rPr>
        <w:t xml:space="preserve">  </w:t>
      </w:r>
      <w:r>
        <w:rPr>
          <w:rFonts w:hint="eastAsia"/>
          <w:szCs w:val="28"/>
        </w:rPr>
        <w:t>2025年4月</w:t>
      </w:r>
      <w:r>
        <w:rPr>
          <w:rFonts w:hint="eastAsia"/>
          <w:color w:val="auto"/>
          <w:szCs w:val="28"/>
          <w:lang w:val="en-US" w:eastAsia="zh-CN"/>
        </w:rPr>
        <w:t>30</w:t>
      </w:r>
      <w:r>
        <w:rPr>
          <w:rFonts w:hint="eastAsia"/>
          <w:szCs w:val="28"/>
        </w:rPr>
        <w:t>日</w:t>
      </w:r>
    </w:p>
    <w:sectPr>
      <w:footerReference r:id="rId5" w:type="default"/>
      <w:pgSz w:w="11906" w:h="16838"/>
      <w:pgMar w:top="1474" w:right="1474" w:bottom="1474" w:left="1474" w:header="851" w:footer="992"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C1DD5B8-F13D-4C13-B9AA-127566C072F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13B139AE-E831-407C-A293-04A63D4E6E00}"/>
  </w:font>
  <w:font w:name="仿宋_GB2312">
    <w:panose1 w:val="02010609030101010101"/>
    <w:charset w:val="86"/>
    <w:family w:val="modern"/>
    <w:pitch w:val="default"/>
    <w:sig w:usb0="00000001" w:usb1="080E0000" w:usb2="00000000" w:usb3="00000000" w:csb0="00040000" w:csb1="00000000"/>
    <w:embedRegular r:id="rId3" w:fontKey="{66B1778F-EF73-45CB-8453-4EB8995BC9BF}"/>
  </w:font>
  <w:font w:name="等线">
    <w:panose1 w:val="02010600030101010101"/>
    <w:charset w:val="86"/>
    <w:family w:val="auto"/>
    <w:pitch w:val="default"/>
    <w:sig w:usb0="A00002BF" w:usb1="38CF7CFA" w:usb2="00000016" w:usb3="00000000" w:csb0="0004000F" w:csb1="00000000"/>
  </w:font>
  <w:font w:name="方正小标宋简体">
    <w:panose1 w:val="02010601030101010101"/>
    <w:charset w:val="86"/>
    <w:family w:val="script"/>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4" w:fontKey="{3262DFAA-8901-4408-9F9C-E793CA356FE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3BF30B">
    <w:pPr>
      <w:pStyle w:val="8"/>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42AEB217">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42AEB217">
                    <w:pPr>
                      <w:pStyle w:val="8"/>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560"/>
      </w:pPr>
      <w:r>
        <w:separator/>
      </w:r>
    </w:p>
  </w:footnote>
  <w:footnote w:type="continuationSeparator" w:id="1">
    <w:p>
      <w:pPr>
        <w:ind w:firstLine="56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CCD0087F"/>
    <w:multiLevelType w:val="multilevel"/>
    <w:tmpl w:val="CCD0087F"/>
    <w:lvl w:ilvl="0" w:tentative="0">
      <w:start w:val="1"/>
      <w:numFmt w:val="none"/>
      <w:pStyle w:val="56"/>
      <w:lvlText w:val="%1注："/>
      <w:lvlJc w:val="left"/>
      <w:pPr>
        <w:ind w:left="737" w:hanging="374"/>
      </w:pPr>
      <w:rPr>
        <w:rFonts w:hint="eastAsia" w:ascii="黑体" w:hAnsi="Times New Roman" w:eastAsia="黑体" w:cs="黑体"/>
        <w:b w:val="0"/>
        <w:i w:val="0"/>
        <w:sz w:val="18"/>
      </w:rPr>
    </w:lvl>
    <w:lvl w:ilvl="1" w:tentative="0">
      <w:start w:val="1"/>
      <w:numFmt w:val="lowerLetter"/>
      <w:lvlText w:val="%2)"/>
      <w:lvlJc w:val="left"/>
      <w:pPr>
        <w:tabs>
          <w:tab w:val="left" w:pos="1140"/>
        </w:tabs>
        <w:ind w:left="726" w:hanging="363"/>
      </w:pPr>
    </w:lvl>
    <w:lvl w:ilvl="2" w:tentative="0">
      <w:start w:val="1"/>
      <w:numFmt w:val="lowerRoman"/>
      <w:lvlText w:val="%3."/>
      <w:lvlJc w:val="right"/>
      <w:pPr>
        <w:tabs>
          <w:tab w:val="left" w:pos="1140"/>
        </w:tabs>
        <w:ind w:left="726" w:hanging="363"/>
      </w:pPr>
    </w:lvl>
    <w:lvl w:ilvl="3" w:tentative="0">
      <w:start w:val="1"/>
      <w:numFmt w:val="decimal"/>
      <w:lvlText w:val="%4."/>
      <w:lvlJc w:val="left"/>
      <w:pPr>
        <w:tabs>
          <w:tab w:val="left" w:pos="1140"/>
        </w:tabs>
        <w:ind w:left="726" w:hanging="363"/>
      </w:pPr>
    </w:lvl>
    <w:lvl w:ilvl="4" w:tentative="0">
      <w:start w:val="1"/>
      <w:numFmt w:val="lowerLetter"/>
      <w:lvlText w:val="%5)"/>
      <w:lvlJc w:val="left"/>
      <w:pPr>
        <w:tabs>
          <w:tab w:val="left" w:pos="1140"/>
        </w:tabs>
        <w:ind w:left="726" w:hanging="363"/>
      </w:pPr>
    </w:lvl>
    <w:lvl w:ilvl="5" w:tentative="0">
      <w:start w:val="1"/>
      <w:numFmt w:val="lowerRoman"/>
      <w:lvlText w:val="%6."/>
      <w:lvlJc w:val="right"/>
      <w:pPr>
        <w:tabs>
          <w:tab w:val="left" w:pos="1140"/>
        </w:tabs>
        <w:ind w:left="726" w:hanging="363"/>
      </w:pPr>
    </w:lvl>
    <w:lvl w:ilvl="6" w:tentative="0">
      <w:start w:val="1"/>
      <w:numFmt w:val="decimal"/>
      <w:lvlText w:val="%7."/>
      <w:lvlJc w:val="left"/>
      <w:pPr>
        <w:tabs>
          <w:tab w:val="left" w:pos="1140"/>
        </w:tabs>
        <w:ind w:left="726" w:hanging="363"/>
      </w:pPr>
    </w:lvl>
    <w:lvl w:ilvl="7" w:tentative="0">
      <w:start w:val="1"/>
      <w:numFmt w:val="lowerLetter"/>
      <w:lvlText w:val="%8)"/>
      <w:lvlJc w:val="left"/>
      <w:pPr>
        <w:tabs>
          <w:tab w:val="left" w:pos="1140"/>
        </w:tabs>
        <w:ind w:left="726" w:hanging="363"/>
      </w:pPr>
    </w:lvl>
    <w:lvl w:ilvl="8" w:tentative="0">
      <w:start w:val="1"/>
      <w:numFmt w:val="lowerRoman"/>
      <w:lvlText w:val="%9."/>
      <w:lvlJc w:val="right"/>
      <w:pPr>
        <w:tabs>
          <w:tab w:val="left" w:pos="1140"/>
        </w:tabs>
        <w:ind w:left="726" w:hanging="363"/>
      </w:pPr>
    </w:lvl>
  </w:abstractNum>
  <w:abstractNum w:abstractNumId="2">
    <w:nsid w:val="0FFFFF7E"/>
    <w:multiLevelType w:val="singleLevel"/>
    <w:tmpl w:val="0FFFFF7E"/>
    <w:lvl w:ilvl="0" w:tentative="0">
      <w:start w:val="1"/>
      <w:numFmt w:val="decimal"/>
      <w:lvlText w:val="%1."/>
      <w:lvlJc w:val="left"/>
      <w:pPr>
        <w:tabs>
          <w:tab w:val="left" w:pos="1200"/>
        </w:tabs>
        <w:ind w:left="1200" w:hanging="360"/>
      </w:pPr>
    </w:lvl>
  </w:abstractNum>
  <w:abstractNum w:abstractNumId="3">
    <w:nsid w:val="0FFFFF7F"/>
    <w:multiLevelType w:val="singleLevel"/>
    <w:tmpl w:val="0FFFFF7F"/>
    <w:lvl w:ilvl="0" w:tentative="0">
      <w:start w:val="1"/>
      <w:numFmt w:val="decimal"/>
      <w:lvlText w:val="%1."/>
      <w:lvlJc w:val="left"/>
      <w:pPr>
        <w:tabs>
          <w:tab w:val="left" w:pos="780"/>
        </w:tabs>
        <w:ind w:left="780" w:hanging="360"/>
      </w:pPr>
    </w:lvl>
  </w:abstractNum>
  <w:abstractNum w:abstractNumId="4">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5">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6">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6"/>
  </w:num>
  <w:num w:numId="2">
    <w:abstractNumId w:val="0"/>
  </w:num>
  <w:num w:numId="3">
    <w:abstractNumId w:val="3"/>
  </w:num>
  <w:num w:numId="4">
    <w:abstractNumId w:val="2"/>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JiMDJlZWZlY2I0YWYyNzg4ODk0YmIxNWMwMmQyY2UifQ=="/>
  </w:docVars>
  <w:rsids>
    <w:rsidRoot w:val="000D75AA"/>
    <w:rsid w:val="000068A2"/>
    <w:rsid w:val="00014983"/>
    <w:rsid w:val="000178C8"/>
    <w:rsid w:val="00055442"/>
    <w:rsid w:val="00072103"/>
    <w:rsid w:val="00075653"/>
    <w:rsid w:val="00082613"/>
    <w:rsid w:val="000C517B"/>
    <w:rsid w:val="000D75AA"/>
    <w:rsid w:val="000E53EA"/>
    <w:rsid w:val="001133E6"/>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15B82"/>
    <w:rsid w:val="0051755E"/>
    <w:rsid w:val="00533B2A"/>
    <w:rsid w:val="005514B4"/>
    <w:rsid w:val="00554B7D"/>
    <w:rsid w:val="00564A0C"/>
    <w:rsid w:val="00576405"/>
    <w:rsid w:val="005A23F9"/>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714DDE"/>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7632"/>
    <w:rsid w:val="00895F4A"/>
    <w:rsid w:val="008973E6"/>
    <w:rsid w:val="008A6DE3"/>
    <w:rsid w:val="008B6B5F"/>
    <w:rsid w:val="008E1EB5"/>
    <w:rsid w:val="008F65F2"/>
    <w:rsid w:val="00926E1B"/>
    <w:rsid w:val="00932BA3"/>
    <w:rsid w:val="00947EBA"/>
    <w:rsid w:val="009718CC"/>
    <w:rsid w:val="009A4141"/>
    <w:rsid w:val="009E3161"/>
    <w:rsid w:val="00A16A3E"/>
    <w:rsid w:val="00A263D3"/>
    <w:rsid w:val="00A365A2"/>
    <w:rsid w:val="00A37FDF"/>
    <w:rsid w:val="00A42C5E"/>
    <w:rsid w:val="00A75476"/>
    <w:rsid w:val="00A87F41"/>
    <w:rsid w:val="00AA4963"/>
    <w:rsid w:val="00AC57C3"/>
    <w:rsid w:val="00AD0172"/>
    <w:rsid w:val="00B07A8A"/>
    <w:rsid w:val="00B2729B"/>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7F07"/>
    <w:rsid w:val="00D9142A"/>
    <w:rsid w:val="00D9735E"/>
    <w:rsid w:val="00DB7F6F"/>
    <w:rsid w:val="00DF4FB8"/>
    <w:rsid w:val="00E2266D"/>
    <w:rsid w:val="00E27034"/>
    <w:rsid w:val="00E32D4B"/>
    <w:rsid w:val="00E41116"/>
    <w:rsid w:val="00E414EF"/>
    <w:rsid w:val="00E455A5"/>
    <w:rsid w:val="00E835A1"/>
    <w:rsid w:val="00E83E2D"/>
    <w:rsid w:val="00EA3A93"/>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DC2156"/>
    <w:rsid w:val="036C0D75"/>
    <w:rsid w:val="03CC3F79"/>
    <w:rsid w:val="057B7A05"/>
    <w:rsid w:val="05CD222A"/>
    <w:rsid w:val="06084616"/>
    <w:rsid w:val="06A9292B"/>
    <w:rsid w:val="06CB54AE"/>
    <w:rsid w:val="07BE53C7"/>
    <w:rsid w:val="08EF7A39"/>
    <w:rsid w:val="09EB05D3"/>
    <w:rsid w:val="0A5844F0"/>
    <w:rsid w:val="0B927BA2"/>
    <w:rsid w:val="0EE41D10"/>
    <w:rsid w:val="11386E78"/>
    <w:rsid w:val="11B73ED3"/>
    <w:rsid w:val="12277661"/>
    <w:rsid w:val="12B94EC3"/>
    <w:rsid w:val="133D4C82"/>
    <w:rsid w:val="13D12EE6"/>
    <w:rsid w:val="13EE1CEA"/>
    <w:rsid w:val="13F37300"/>
    <w:rsid w:val="174D6D27"/>
    <w:rsid w:val="18933D98"/>
    <w:rsid w:val="18CE5C46"/>
    <w:rsid w:val="1A2A2D28"/>
    <w:rsid w:val="1B9C64CF"/>
    <w:rsid w:val="1C5E2638"/>
    <w:rsid w:val="1D931894"/>
    <w:rsid w:val="1E6C7E3E"/>
    <w:rsid w:val="1EEE7042"/>
    <w:rsid w:val="20346CD6"/>
    <w:rsid w:val="206E043A"/>
    <w:rsid w:val="21B75E11"/>
    <w:rsid w:val="2443573A"/>
    <w:rsid w:val="25496D80"/>
    <w:rsid w:val="27095D8A"/>
    <w:rsid w:val="277B51EB"/>
    <w:rsid w:val="279E6744"/>
    <w:rsid w:val="2BAD2B02"/>
    <w:rsid w:val="2E0C3040"/>
    <w:rsid w:val="2E40384E"/>
    <w:rsid w:val="2F083808"/>
    <w:rsid w:val="2F0B058C"/>
    <w:rsid w:val="2F454A5C"/>
    <w:rsid w:val="2F7C5FA4"/>
    <w:rsid w:val="2F82534F"/>
    <w:rsid w:val="302723B3"/>
    <w:rsid w:val="360F0344"/>
    <w:rsid w:val="3C0E4A13"/>
    <w:rsid w:val="3C9A5E26"/>
    <w:rsid w:val="3D6C58AA"/>
    <w:rsid w:val="403F2E01"/>
    <w:rsid w:val="41505E15"/>
    <w:rsid w:val="431A1904"/>
    <w:rsid w:val="44F56185"/>
    <w:rsid w:val="45413951"/>
    <w:rsid w:val="46E47FFF"/>
    <w:rsid w:val="4779601E"/>
    <w:rsid w:val="481B0E08"/>
    <w:rsid w:val="493E1AE1"/>
    <w:rsid w:val="4ABB2AFC"/>
    <w:rsid w:val="4B2238EC"/>
    <w:rsid w:val="4DDD59C1"/>
    <w:rsid w:val="4F8F53EF"/>
    <w:rsid w:val="512841B5"/>
    <w:rsid w:val="51FB0B52"/>
    <w:rsid w:val="526220A7"/>
    <w:rsid w:val="531F075A"/>
    <w:rsid w:val="56C63E25"/>
    <w:rsid w:val="57A01936"/>
    <w:rsid w:val="57A57FD6"/>
    <w:rsid w:val="57F01F2D"/>
    <w:rsid w:val="58743842"/>
    <w:rsid w:val="58D367F3"/>
    <w:rsid w:val="592C1295"/>
    <w:rsid w:val="593F2EFE"/>
    <w:rsid w:val="59DD74BB"/>
    <w:rsid w:val="5A8C449C"/>
    <w:rsid w:val="5B571FFB"/>
    <w:rsid w:val="5BFB00CD"/>
    <w:rsid w:val="5C452F47"/>
    <w:rsid w:val="5C867919"/>
    <w:rsid w:val="5D086F45"/>
    <w:rsid w:val="5D4D6706"/>
    <w:rsid w:val="60252B89"/>
    <w:rsid w:val="60431755"/>
    <w:rsid w:val="604F4E8B"/>
    <w:rsid w:val="60AB1DE6"/>
    <w:rsid w:val="616C2448"/>
    <w:rsid w:val="63DF2082"/>
    <w:rsid w:val="654A16B4"/>
    <w:rsid w:val="660F1D12"/>
    <w:rsid w:val="67277FC8"/>
    <w:rsid w:val="677C2407"/>
    <w:rsid w:val="68C47A98"/>
    <w:rsid w:val="68C53F3C"/>
    <w:rsid w:val="6A233377"/>
    <w:rsid w:val="6CC80E6D"/>
    <w:rsid w:val="6F2C0891"/>
    <w:rsid w:val="6F887445"/>
    <w:rsid w:val="70096E04"/>
    <w:rsid w:val="710B6BAC"/>
    <w:rsid w:val="71CC633B"/>
    <w:rsid w:val="71F238C8"/>
    <w:rsid w:val="72534367"/>
    <w:rsid w:val="738A5B9F"/>
    <w:rsid w:val="741F6AAA"/>
    <w:rsid w:val="74A0585D"/>
    <w:rsid w:val="761D09AE"/>
    <w:rsid w:val="77A7157C"/>
    <w:rsid w:val="78B143BF"/>
    <w:rsid w:val="790042E4"/>
    <w:rsid w:val="7A035425"/>
    <w:rsid w:val="7A937FAF"/>
    <w:rsid w:val="7AB465B7"/>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720" w:firstLineChars="200"/>
      <w:jc w:val="both"/>
    </w:pPr>
    <w:rPr>
      <w:rFonts w:ascii="仿宋_GB2312" w:hAnsi="仿宋_GB2312" w:eastAsia="仿宋_GB2312" w:cs="Calibri"/>
      <w:kern w:val="2"/>
      <w:sz w:val="28"/>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rPr>
  </w:style>
  <w:style w:type="paragraph" w:styleId="3">
    <w:name w:val="heading 2"/>
    <w:basedOn w:val="1"/>
    <w:next w:val="1"/>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qFormat/>
    <w:uiPriority w:val="0"/>
    <w:pPr>
      <w:keepNext/>
      <w:keepLines/>
      <w:spacing w:before="260" w:after="260" w:line="415" w:lineRule="auto"/>
      <w:outlineLvl w:val="2"/>
    </w:pPr>
    <w:rPr>
      <w:b/>
      <w:sz w:val="32"/>
    </w:rPr>
  </w:style>
  <w:style w:type="paragraph" w:styleId="5">
    <w:name w:val="heading 7"/>
    <w:basedOn w:val="1"/>
    <w:next w:val="1"/>
    <w:link w:val="23"/>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annotation text"/>
    <w:basedOn w:val="1"/>
    <w:link w:val="24"/>
    <w:unhideWhenUsed/>
    <w:qFormat/>
    <w:uiPriority w:val="99"/>
    <w:pPr>
      <w:adjustRightInd w:val="0"/>
      <w:spacing w:line="400" w:lineRule="exact"/>
      <w:jc w:val="left"/>
    </w:pPr>
    <w:rPr>
      <w:rFonts w:ascii="Calibri" w:hAnsi="Calibri"/>
      <w:szCs w:val="21"/>
    </w:rPr>
  </w:style>
  <w:style w:type="paragraph" w:styleId="7">
    <w:name w:val="Balloon Text"/>
    <w:basedOn w:val="1"/>
    <w:link w:val="25"/>
    <w:unhideWhenUsed/>
    <w:qFormat/>
    <w:uiPriority w:val="99"/>
    <w:rPr>
      <w:sz w:val="18"/>
      <w:szCs w:val="18"/>
    </w:rPr>
  </w:style>
  <w:style w:type="paragraph" w:styleId="8">
    <w:name w:val="footer"/>
    <w:basedOn w:val="1"/>
    <w:link w:val="26"/>
    <w:qFormat/>
    <w:uiPriority w:val="99"/>
    <w:pPr>
      <w:tabs>
        <w:tab w:val="center" w:pos="4153"/>
        <w:tab w:val="right" w:pos="8306"/>
      </w:tabs>
      <w:snapToGrid w:val="0"/>
      <w:jc w:val="left"/>
    </w:pPr>
    <w:rPr>
      <w:sz w:val="18"/>
      <w:szCs w:val="18"/>
    </w:rPr>
  </w:style>
  <w:style w:type="paragraph" w:styleId="9">
    <w:name w:val="envelope return"/>
    <w:basedOn w:val="1"/>
    <w:qFormat/>
    <w:uiPriority w:val="0"/>
    <w:pPr>
      <w:snapToGrid w:val="0"/>
    </w:pPr>
    <w:rPr>
      <w:rFonts w:ascii="Times New Roman" w:hAnsi="Times New Roman"/>
    </w:rPr>
  </w:style>
  <w:style w:type="paragraph" w:styleId="10">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unhideWhenUsed/>
    <w:qFormat/>
    <w:uiPriority w:val="39"/>
    <w:pPr>
      <w:tabs>
        <w:tab w:val="right" w:leader="dot" w:pos="9344"/>
      </w:tabs>
      <w:adjustRightInd w:val="0"/>
      <w:spacing w:line="300" w:lineRule="exact"/>
      <w:ind w:left="629"/>
    </w:pPr>
    <w:rPr>
      <w:rFonts w:ascii="宋体" w:hAnsi="Calibri"/>
      <w:szCs w:val="21"/>
    </w:rPr>
  </w:style>
  <w:style w:type="paragraph" w:styleId="12">
    <w:name w:val="Normal (Web)"/>
    <w:basedOn w:val="1"/>
    <w:semiHidden/>
    <w:unhideWhenUsed/>
    <w:qFormat/>
    <w:uiPriority w:val="99"/>
    <w:rPr>
      <w:sz w:val="24"/>
    </w:rPr>
  </w:style>
  <w:style w:type="table" w:styleId="14">
    <w:name w:val="Table Grid"/>
    <w:basedOn w:val="13"/>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6">
    <w:name w:val="Strong"/>
    <w:basedOn w:val="15"/>
    <w:qFormat/>
    <w:uiPriority w:val="22"/>
    <w:rPr>
      <w:b/>
    </w:rPr>
  </w:style>
  <w:style w:type="character" w:styleId="17">
    <w:name w:val="line number"/>
    <w:qFormat/>
    <w:uiPriority w:val="0"/>
  </w:style>
  <w:style w:type="character" w:styleId="18">
    <w:name w:val="Hyperlink"/>
    <w:qFormat/>
    <w:uiPriority w:val="0"/>
    <w:rPr>
      <w:rFonts w:ascii="宋体" w:eastAsia="宋体"/>
      <w:color w:val="auto"/>
      <w:spacing w:val="0"/>
      <w:w w:val="100"/>
      <w:position w:val="0"/>
      <w:sz w:val="21"/>
      <w:u w:val="none"/>
      <w:vertAlign w:val="baseline"/>
    </w:rPr>
  </w:style>
  <w:style w:type="character" w:styleId="19">
    <w:name w:val="annotation reference"/>
    <w:qFormat/>
    <w:uiPriority w:val="99"/>
    <w:rPr>
      <w:sz w:val="21"/>
    </w:rPr>
  </w:style>
  <w:style w:type="character" w:styleId="20">
    <w:name w:val="footnote reference"/>
    <w:qFormat/>
    <w:uiPriority w:val="0"/>
    <w:rPr>
      <w:vertAlign w:val="superscript"/>
    </w:rPr>
  </w:style>
  <w:style w:type="paragraph" w:customStyle="1" w:styleId="21">
    <w:name w:val="BodyText2"/>
    <w:basedOn w:val="1"/>
    <w:qFormat/>
    <w:uiPriority w:val="0"/>
    <w:pPr>
      <w:spacing w:after="120" w:line="480" w:lineRule="auto"/>
      <w:textAlignment w:val="baseline"/>
    </w:pPr>
    <w:rPr>
      <w:rFonts w:ascii="Calibri" w:hAnsi="Calibri" w:eastAsia="宋体" w:cs="Times New Roman"/>
      <w:sz w:val="32"/>
      <w:szCs w:val="32"/>
    </w:rPr>
  </w:style>
  <w:style w:type="paragraph" w:customStyle="1" w:styleId="22">
    <w:name w:val="正文-公1"/>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qFormat/>
    <w:uiPriority w:val="0"/>
    <w:rPr>
      <w:rFonts w:eastAsia="宋体"/>
      <w:b/>
      <w:bCs/>
      <w:kern w:val="2"/>
      <w:sz w:val="24"/>
      <w:szCs w:val="24"/>
    </w:rPr>
  </w:style>
  <w:style w:type="character" w:customStyle="1" w:styleId="24">
    <w:name w:val="批注文字 字符"/>
    <w:link w:val="6"/>
    <w:semiHidden/>
    <w:qFormat/>
    <w:uiPriority w:val="99"/>
    <w:rPr>
      <w:rFonts w:ascii="Calibri" w:hAnsi="Calibri" w:eastAsia="宋体"/>
      <w:kern w:val="2"/>
      <w:sz w:val="21"/>
      <w:szCs w:val="21"/>
    </w:rPr>
  </w:style>
  <w:style w:type="character" w:customStyle="1" w:styleId="25">
    <w:name w:val="批注框文本 字符"/>
    <w:link w:val="7"/>
    <w:semiHidden/>
    <w:qFormat/>
    <w:uiPriority w:val="99"/>
    <w:rPr>
      <w:rFonts w:eastAsia="宋体"/>
      <w:kern w:val="2"/>
      <w:sz w:val="18"/>
      <w:szCs w:val="18"/>
    </w:rPr>
  </w:style>
  <w:style w:type="character" w:customStyle="1" w:styleId="26">
    <w:name w:val="页脚 字符"/>
    <w:link w:val="8"/>
    <w:qFormat/>
    <w:locked/>
    <w:uiPriority w:val="99"/>
    <w:rPr>
      <w:rFonts w:eastAsia="宋体"/>
      <w:kern w:val="2"/>
      <w:sz w:val="18"/>
      <w:szCs w:val="18"/>
    </w:rPr>
  </w:style>
  <w:style w:type="paragraph" w:customStyle="1" w:styleId="27">
    <w:name w:val="其他标准称谓"/>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0">
    <w:name w:val="标准文件_段 Char"/>
    <w:link w:val="29"/>
    <w:qFormat/>
    <w:uiPriority w:val="0"/>
    <w:rPr>
      <w:rFonts w:ascii="宋体" w:eastAsia="宋体"/>
      <w:sz w:val="21"/>
    </w:rPr>
  </w:style>
  <w:style w:type="paragraph" w:customStyle="1" w:styleId="31">
    <w:name w:val="标准文件_章标题"/>
    <w:next w:val="29"/>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qFormat/>
    <w:uiPriority w:val="0"/>
    <w:pPr>
      <w:numPr>
        <w:ilvl w:val="2"/>
      </w:numPr>
      <w:spacing w:before="50" w:beforeLines="0" w:after="50" w:afterLines="0"/>
      <w:outlineLvl w:val="1"/>
    </w:pPr>
  </w:style>
  <w:style w:type="paragraph" w:customStyle="1" w:styleId="34">
    <w:name w:val="标准文件_三级条标题"/>
    <w:basedOn w:val="32"/>
    <w:next w:val="29"/>
    <w:qFormat/>
    <w:uiPriority w:val="0"/>
    <w:pPr>
      <w:outlineLvl w:val="3"/>
    </w:pPr>
  </w:style>
  <w:style w:type="paragraph" w:customStyle="1" w:styleId="35">
    <w:name w:val="标准文件_四级条标题"/>
    <w:next w:val="29"/>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qFormat/>
    <w:uiPriority w:val="0"/>
    <w:pPr>
      <w:numPr>
        <w:ilvl w:val="5"/>
        <w:numId w:val="1"/>
      </w:numPr>
    </w:pPr>
    <w:rPr>
      <w:rFonts w:ascii="宋体" w:eastAsia="宋体"/>
      <w:szCs w:val="52"/>
    </w:rPr>
  </w:style>
  <w:style w:type="paragraph" w:customStyle="1" w:styleId="39">
    <w:name w:val="标准文件_三级无标题"/>
    <w:basedOn w:val="34"/>
    <w:qFormat/>
    <w:uiPriority w:val="0"/>
    <w:pPr>
      <w:numPr>
        <w:ilvl w:val="4"/>
        <w:numId w:val="1"/>
      </w:numPr>
    </w:pPr>
    <w:rPr>
      <w:rFonts w:ascii="宋体" w:eastAsia="宋体"/>
    </w:rPr>
  </w:style>
  <w:style w:type="paragraph" w:customStyle="1" w:styleId="40">
    <w:name w:val="标准文件_正文表标题"/>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qFormat/>
    <w:uiPriority w:val="0"/>
    <w:rPr>
      <w:rFonts w:ascii="等线" w:eastAsia="等线"/>
      <w:b/>
      <w:bCs/>
      <w:color w:val="FF0000"/>
      <w:sz w:val="22"/>
      <w:szCs w:val="22"/>
      <w:u w:val="none"/>
    </w:rPr>
  </w:style>
  <w:style w:type="character" w:customStyle="1" w:styleId="42">
    <w:name w:val="font01"/>
    <w:qFormat/>
    <w:uiPriority w:val="0"/>
    <w:rPr>
      <w:rFonts w:ascii="等线" w:eastAsia="等线"/>
      <w:color w:val="000000"/>
      <w:sz w:val="22"/>
      <w:szCs w:val="22"/>
      <w:u w:val="none"/>
    </w:rPr>
  </w:style>
  <w:style w:type="paragraph" w:customStyle="1" w:styleId="43">
    <w:name w:val="段"/>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qFormat/>
    <w:uiPriority w:val="0"/>
  </w:style>
  <w:style w:type="paragraph" w:customStyle="1" w:styleId="47">
    <w:name w:val="标准文件_数字编号列项（二级）"/>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qFormat/>
    <w:uiPriority w:val="0"/>
    <w:pPr>
      <w:widowControl/>
    </w:pPr>
    <w:rPr>
      <w:rFonts w:ascii="宋体"/>
      <w:kern w:val="0"/>
      <w:szCs w:val="20"/>
    </w:rPr>
  </w:style>
  <w:style w:type="paragraph" w:customStyle="1" w:styleId="51">
    <w:name w:val="abstract"/>
    <w:basedOn w:val="1"/>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qFormat/>
    <w:uiPriority w:val="0"/>
    <w:pPr>
      <w:widowControl/>
      <w:spacing w:before="100" w:beforeAutospacing="1" w:after="100" w:afterAutospacing="1"/>
      <w:jc w:val="left"/>
    </w:pPr>
    <w:rPr>
      <w:rFonts w:ascii="宋体" w:hAnsi="宋体" w:cs="宋体"/>
      <w:kern w:val="0"/>
      <w:sz w:val="24"/>
    </w:rPr>
  </w:style>
  <w:style w:type="paragraph" w:styleId="53">
    <w:name w:val="No Spacing"/>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标准文件_一级无标题"/>
    <w:basedOn w:val="33"/>
    <w:qFormat/>
    <w:uiPriority w:val="0"/>
    <w:pPr>
      <w:spacing w:before="0" w:after="0"/>
      <w:outlineLvl w:val="9"/>
    </w:pPr>
    <w:rPr>
      <w:rFonts w:ascii="宋体" w:eastAsia="宋体"/>
    </w:rPr>
  </w:style>
  <w:style w:type="paragraph" w:customStyle="1" w:styleId="56">
    <w:name w:val="标准文件_注："/>
    <w:basedOn w:val="1"/>
    <w:next w:val="1"/>
    <w:qFormat/>
    <w:uiPriority w:val="0"/>
    <w:pPr>
      <w:numPr>
        <w:ilvl w:val="0"/>
        <w:numId w:val="7"/>
      </w:numPr>
      <w:autoSpaceDE w:val="0"/>
      <w:autoSpaceDN w:val="0"/>
    </w:pPr>
    <w:rPr>
      <w:rFonts w:hint="eastAsia" w:ascii="宋体" w:hAnsi="Times New Roman" w:eastAsia="宋体" w:cs="Times New Roman"/>
      <w:kern w:val="0"/>
      <w:sz w:val="18"/>
      <w:szCs w:val="18"/>
    </w:rPr>
  </w:style>
  <w:style w:type="paragraph" w:customStyle="1" w:styleId="57">
    <w:name w:val="标准文件_表格"/>
    <w:basedOn w:val="1"/>
    <w:qFormat/>
    <w:uiPriority w:val="0"/>
    <w:pPr>
      <w:widowControl/>
      <w:autoSpaceDE w:val="0"/>
      <w:autoSpaceDN w:val="0"/>
      <w:jc w:val="center"/>
    </w:pPr>
    <w:rPr>
      <w:rFonts w:hint="eastAsia" w:ascii="宋体" w:hAnsi="Times New Roman" w:eastAsia="宋体" w:cs="Times New Roman"/>
      <w:kern w:val="0"/>
      <w:sz w:val="18"/>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5855</Words>
  <Characters>6216</Characters>
  <Lines>70</Lines>
  <Paragraphs>19</Paragraphs>
  <TotalTime>0</TotalTime>
  <ScaleCrop>false</ScaleCrop>
  <LinksUpToDate>false</LinksUpToDate>
  <CharactersWithSpaces>6265</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2025-04-29T14:48:00Z</dcterms:created>
  <dc:creator>Administrator</dc:creator>
  <cp:lastModifiedBy>对方正在输入...</cp:lastModifiedBy>
  <dcterms:modified xsi:type="dcterms:W3CDTF">2025-04-30T12:59:17Z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9BD52B24D8F74EBB9714F98BF0398638_13</vt:lpwstr>
  </property>
  <property fmtid="{D5CDD505-2E9C-101B-9397-08002B2CF9AE}" pid="4" name="KSOTemplateDocerSaveRecord">
    <vt:lpwstr>eyJoZGlkIjoiMzhlOGIwMzlkMDIxZDFjNzViNjdmMjg1MjI2YWRhNTIiLCJ1c2VySWQiOiIzMjAyMTY5NjkifQ==</vt:lpwstr>
  </property>
</Properties>
</file>