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9DC2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8DCC8AE">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75B8F2A">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03.140</w:t>
            </w:r>
            <w:r>
              <w:rPr>
                <w:rFonts w:ascii="黑体" w:hAnsi="黑体" w:eastAsia="黑体"/>
                <w:sz w:val="21"/>
                <w:szCs w:val="21"/>
              </w:rPr>
              <w:fldChar w:fldCharType="end"/>
            </w:r>
            <w:bookmarkEnd w:id="0"/>
          </w:p>
        </w:tc>
      </w:tr>
      <w:tr w14:paraId="755C6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3531B27">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BC678A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96239E6">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63B0E716">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00</w:t>
            </w:r>
            <w:r>
              <w:rPr>
                <w:rFonts w:ascii="黑体" w:hAnsi="黑体" w:eastAsia="黑体"/>
                <w:sz w:val="21"/>
                <w:szCs w:val="21"/>
              </w:rPr>
              <w:fldChar w:fldCharType="end"/>
            </w:r>
            <w:bookmarkEnd w:id="2"/>
          </w:p>
        </w:tc>
      </w:tr>
    </w:tbl>
    <w:p w14:paraId="50076676">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2F65B504">
      <w:pPr>
        <w:pStyle w:val="198"/>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74D904CC">
      <w:pPr>
        <w:pStyle w:val="19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3C9C03C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C80E706">
      <w:pPr>
        <w:pStyle w:val="53"/>
        <w:framePr w:w="9639" w:h="6976" w:hRule="exact" w:hSpace="0" w:vSpace="0" w:wrap="around" w:hAnchor="page" w:y="6408"/>
        <w:jc w:val="center"/>
        <w:rPr>
          <w:rFonts w:ascii="黑体" w:hAnsi="黑体" w:eastAsia="黑体"/>
          <w:b w:val="0"/>
          <w:bCs w:val="0"/>
          <w:w w:val="100"/>
        </w:rPr>
      </w:pPr>
    </w:p>
    <w:p w14:paraId="3B9FA195">
      <w:pPr>
        <w:pStyle w:val="20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预包装南宁老友粉出口指南  非洲地区</w:t>
      </w:r>
      <w:r>
        <w:fldChar w:fldCharType="end"/>
      </w:r>
      <w:bookmarkEnd w:id="8"/>
    </w:p>
    <w:p w14:paraId="7CE40E7E">
      <w:pPr>
        <w:framePr w:w="9639" w:h="6974" w:hRule="exact" w:wrap="around" w:vAnchor="page" w:hAnchor="page" w:x="1419" w:y="6408" w:anchorLock="1"/>
        <w:ind w:left="-1418"/>
      </w:pPr>
    </w:p>
    <w:p w14:paraId="4911C168">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Guidance for prepackaged Nanning Laoyoufen export-Africa</w:t>
      </w:r>
      <w:r>
        <w:rPr>
          <w:rFonts w:ascii="黑体" w:hAnsi="黑体" w:eastAsia="黑体"/>
          <w:szCs w:val="28"/>
        </w:rPr>
        <w:fldChar w:fldCharType="end"/>
      </w:r>
      <w:bookmarkEnd w:id="9"/>
    </w:p>
    <w:p w14:paraId="3FE32E2A">
      <w:pPr>
        <w:framePr w:w="9639" w:h="6974" w:hRule="exact" w:wrap="around" w:vAnchor="page" w:hAnchor="page" w:x="1419" w:y="6408" w:anchorLock="1"/>
        <w:spacing w:line="760" w:lineRule="exact"/>
        <w:ind w:left="-1418"/>
      </w:pPr>
    </w:p>
    <w:p w14:paraId="41CBEABA">
      <w:pPr>
        <w:pStyle w:val="128"/>
        <w:framePr w:w="9639" w:h="6974" w:hRule="exact" w:wrap="around" w:vAnchor="page" w:hAnchor="page" w:x="1419" w:y="6408" w:anchorLock="1"/>
        <w:textAlignment w:val="bottom"/>
        <w:rPr>
          <w:rFonts w:eastAsia="黑体"/>
          <w:szCs w:val="28"/>
        </w:rPr>
      </w:pPr>
    </w:p>
    <w:p w14:paraId="38E9EB89">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68C82E2E">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5005BF01">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0CD916ED">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198CFC35">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4F74C1C6">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0CDE36D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BF8821E">
      <w:pPr>
        <w:pStyle w:val="92"/>
        <w:spacing w:after="360"/>
      </w:pPr>
      <w:bookmarkStart w:id="20" w:name="_Toc180760459"/>
      <w:bookmarkStart w:id="21" w:name="_Toc181179935"/>
      <w:bookmarkStart w:id="22" w:name="_Toc181179839"/>
      <w:bookmarkStart w:id="23" w:name="_Toc181862633"/>
      <w:bookmarkStart w:id="24" w:name="BookMark2"/>
      <w:r>
        <w:rPr>
          <w:spacing w:val="320"/>
        </w:rPr>
        <w:t>前</w:t>
      </w:r>
      <w:r>
        <w:t>言</w:t>
      </w:r>
      <w:bookmarkEnd w:id="20"/>
      <w:bookmarkEnd w:id="21"/>
      <w:bookmarkEnd w:id="22"/>
      <w:bookmarkEnd w:id="23"/>
    </w:p>
    <w:p w14:paraId="2FD94B61">
      <w:pPr>
        <w:pStyle w:val="59"/>
        <w:ind w:firstLine="420"/>
      </w:pPr>
      <w:r>
        <w:rPr>
          <w:rFonts w:hint="eastAsia"/>
        </w:rPr>
        <w:t>本文件参照GB/T 1.1—2020《标准化工作导则  第1部分：标准化文件的结构和起草规则》的规定起草。</w:t>
      </w:r>
    </w:p>
    <w:p w14:paraId="7677C0F4">
      <w:pPr>
        <w:pStyle w:val="59"/>
        <w:ind w:firstLine="420"/>
      </w:pPr>
      <w:r>
        <w:rPr>
          <w:rFonts w:hint="eastAsia"/>
        </w:rPr>
        <w:t>请注意本文件的某些内容可能涉及专利。本文件的发布机构不承担识别专利的责任。</w:t>
      </w:r>
    </w:p>
    <w:p w14:paraId="02F81733">
      <w:pPr>
        <w:pStyle w:val="59"/>
        <w:ind w:firstLine="420"/>
      </w:pPr>
      <w:r>
        <w:rPr>
          <w:rFonts w:hint="eastAsia"/>
        </w:rPr>
        <w:t>本文件由南宁市老友粉协会提出、归口并宣贯。</w:t>
      </w:r>
    </w:p>
    <w:p w14:paraId="793F7620">
      <w:pPr>
        <w:pStyle w:val="59"/>
        <w:ind w:firstLine="420"/>
      </w:pPr>
      <w:r>
        <w:rPr>
          <w:rFonts w:hint="eastAsia"/>
        </w:rPr>
        <w:t>本文件起草单位：</w:t>
      </w:r>
      <w:r>
        <w:rPr>
          <w:rFonts w:hint="eastAsia"/>
          <w:bCs/>
        </w:rPr>
        <w:t>南宁海关技术中心</w:t>
      </w:r>
      <w:r>
        <w:rPr>
          <w:bCs/>
        </w:rPr>
        <w:t>、</w:t>
      </w:r>
      <w:r>
        <w:rPr>
          <w:rFonts w:hint="eastAsia"/>
          <w:bCs/>
        </w:rPr>
        <w:t>广西壮族自治区亚热带作物研究所</w:t>
      </w:r>
      <w:r>
        <w:rPr>
          <w:bCs/>
        </w:rPr>
        <w:t>、</w:t>
      </w:r>
      <w:r>
        <w:rPr>
          <w:rFonts w:hint="eastAsia"/>
          <w:bCs/>
        </w:rPr>
        <w:t>邕州海关</w:t>
      </w:r>
      <w:r>
        <w:rPr>
          <w:bCs/>
        </w:rPr>
        <w:t>、</w:t>
      </w:r>
      <w:r>
        <w:rPr>
          <w:rFonts w:hint="eastAsia"/>
          <w:bCs/>
        </w:rPr>
        <w:t>广西农业职业技术大学</w:t>
      </w:r>
      <w:r>
        <w:rPr>
          <w:bCs/>
        </w:rPr>
        <w:t>、</w:t>
      </w:r>
      <w:r>
        <w:rPr>
          <w:rFonts w:hint="eastAsia"/>
          <w:bCs/>
        </w:rPr>
        <w:t>南宁市老友粉协会</w:t>
      </w:r>
      <w:r>
        <w:rPr>
          <w:bCs/>
        </w:rPr>
        <w:t>、</w:t>
      </w:r>
      <w:r>
        <w:rPr>
          <w:rFonts w:hint="eastAsia"/>
          <w:bCs/>
        </w:rPr>
        <w:t>广西工商职业技术学院</w:t>
      </w:r>
      <w:r>
        <w:rPr>
          <w:bCs/>
        </w:rPr>
        <w:t>、</w:t>
      </w:r>
      <w:r>
        <w:rPr>
          <w:rFonts w:hint="eastAsia"/>
          <w:bCs/>
        </w:rPr>
        <w:t>广西生态工程职业技术学院、南宁市消费者权益保护中心、南宁市食品药品审评查验中心</w:t>
      </w:r>
      <w:r>
        <w:rPr>
          <w:rFonts w:hint="eastAsia"/>
        </w:rPr>
        <w:t>。</w:t>
      </w:r>
    </w:p>
    <w:p w14:paraId="550B4492">
      <w:pPr>
        <w:pStyle w:val="59"/>
        <w:ind w:firstLine="420"/>
      </w:pPr>
      <w:r>
        <w:rPr>
          <w:rFonts w:hint="eastAsia"/>
        </w:rPr>
        <w:t>本文件主要起草人：</w:t>
      </w:r>
      <w:r>
        <w:rPr>
          <w:rFonts w:hint="eastAsia"/>
          <w:lang w:val="en-US" w:eastAsia="zh-CN"/>
        </w:rPr>
        <w:t>赵永锋</w:t>
      </w:r>
      <w:r>
        <w:rPr>
          <w:rFonts w:hint="eastAsia"/>
          <w:lang w:eastAsia="zh-CN"/>
        </w:rPr>
        <w:t>、</w:t>
      </w:r>
      <w:r>
        <w:rPr>
          <w:rFonts w:hint="eastAsia"/>
          <w:lang w:val="en-US" w:eastAsia="zh-CN"/>
        </w:rPr>
        <w:t>陈智理</w:t>
      </w:r>
      <w:r>
        <w:rPr>
          <w:rFonts w:hint="eastAsia"/>
          <w:lang w:eastAsia="zh-CN"/>
        </w:rPr>
        <w:t>、</w:t>
      </w:r>
      <w:r>
        <w:rPr>
          <w:rFonts w:hint="eastAsia"/>
          <w:lang w:val="en-US" w:eastAsia="zh-CN"/>
        </w:rPr>
        <w:t>李华婷</w:t>
      </w:r>
      <w:r>
        <w:rPr>
          <w:rFonts w:hint="eastAsia"/>
          <w:lang w:eastAsia="zh-CN"/>
        </w:rPr>
        <w:t>、</w:t>
      </w:r>
      <w:r>
        <w:rPr>
          <w:rFonts w:hint="eastAsia"/>
          <w:lang w:val="en-US" w:eastAsia="zh-CN"/>
        </w:rPr>
        <w:t>王秋明</w:t>
      </w:r>
      <w:r>
        <w:rPr>
          <w:rFonts w:hint="eastAsia"/>
          <w:lang w:eastAsia="zh-CN"/>
        </w:rPr>
        <w:t>、</w:t>
      </w:r>
      <w:r>
        <w:rPr>
          <w:rFonts w:hint="eastAsia"/>
          <w:lang w:val="en-US" w:eastAsia="zh-CN"/>
        </w:rPr>
        <w:t>罗添添</w:t>
      </w:r>
      <w:r>
        <w:rPr>
          <w:rFonts w:hint="eastAsia"/>
          <w:lang w:eastAsia="zh-CN"/>
        </w:rPr>
        <w:t>、</w:t>
      </w:r>
      <w:r>
        <w:rPr>
          <w:rFonts w:hint="eastAsia"/>
          <w:lang w:val="en-US" w:eastAsia="zh-CN"/>
        </w:rPr>
        <w:t>朱春红</w:t>
      </w:r>
      <w:r>
        <w:rPr>
          <w:rFonts w:hint="eastAsia"/>
          <w:lang w:eastAsia="zh-CN"/>
        </w:rPr>
        <w:t>、</w:t>
      </w:r>
      <w:r>
        <w:rPr>
          <w:rFonts w:hint="eastAsia"/>
          <w:lang w:val="en-US" w:eastAsia="zh-CN"/>
        </w:rPr>
        <w:t>吕丽兰</w:t>
      </w:r>
      <w:r>
        <w:rPr>
          <w:rFonts w:hint="eastAsia"/>
          <w:lang w:eastAsia="zh-CN"/>
        </w:rPr>
        <w:t>、</w:t>
      </w:r>
      <w:r>
        <w:rPr>
          <w:rFonts w:hint="eastAsia"/>
          <w:lang w:val="en-US" w:eastAsia="zh-CN"/>
        </w:rPr>
        <w:t>陈学</w:t>
      </w:r>
      <w:r>
        <w:rPr>
          <w:rFonts w:hint="eastAsia"/>
          <w:lang w:eastAsia="zh-CN"/>
        </w:rPr>
        <w:t>、</w:t>
      </w:r>
      <w:r>
        <w:rPr>
          <w:rFonts w:hint="eastAsia"/>
          <w:lang w:val="en-US" w:eastAsia="zh-CN"/>
        </w:rPr>
        <w:t>范燕霞</w:t>
      </w:r>
      <w:r>
        <w:rPr>
          <w:rFonts w:hint="eastAsia"/>
          <w:lang w:eastAsia="zh-CN"/>
        </w:rPr>
        <w:t>、</w:t>
      </w:r>
      <w:r>
        <w:rPr>
          <w:rFonts w:hint="eastAsia"/>
          <w:lang w:val="en-US" w:eastAsia="zh-CN"/>
        </w:rPr>
        <w:t>吴金阳</w:t>
      </w:r>
      <w:r>
        <w:rPr>
          <w:rFonts w:hint="eastAsia"/>
          <w:lang w:eastAsia="zh-CN"/>
        </w:rPr>
        <w:t>、</w:t>
      </w:r>
      <w:r>
        <w:rPr>
          <w:rFonts w:hint="eastAsia"/>
          <w:lang w:val="en-US" w:eastAsia="zh-CN"/>
        </w:rPr>
        <w:t>吕春秋</w:t>
      </w:r>
      <w:r>
        <w:rPr>
          <w:rFonts w:hint="eastAsia"/>
          <w:lang w:eastAsia="zh-CN"/>
        </w:rPr>
        <w:t>、</w:t>
      </w:r>
      <w:r>
        <w:rPr>
          <w:rFonts w:hint="eastAsia"/>
          <w:lang w:val="en-US" w:eastAsia="zh-CN"/>
        </w:rPr>
        <w:t>干莉娜</w:t>
      </w:r>
      <w:r>
        <w:rPr>
          <w:rFonts w:hint="eastAsia"/>
          <w:lang w:eastAsia="zh-CN"/>
        </w:rPr>
        <w:t>、</w:t>
      </w:r>
      <w:r>
        <w:rPr>
          <w:rFonts w:hint="eastAsia"/>
          <w:lang w:val="en-US" w:eastAsia="zh-CN"/>
        </w:rPr>
        <w:t>林跃华</w:t>
      </w:r>
      <w:r>
        <w:rPr>
          <w:rFonts w:hint="eastAsia"/>
          <w:lang w:eastAsia="zh-CN"/>
        </w:rPr>
        <w:t>、</w:t>
      </w:r>
      <w:r>
        <w:rPr>
          <w:rFonts w:hint="eastAsia"/>
          <w:lang w:val="en-US" w:eastAsia="zh-CN"/>
        </w:rPr>
        <w:t>黄昊</w:t>
      </w:r>
      <w:r>
        <w:rPr>
          <w:rFonts w:hint="eastAsia"/>
        </w:rPr>
        <w:t>。</w:t>
      </w:r>
      <w:bookmarkStart w:id="100" w:name="_GoBack"/>
      <w:bookmarkEnd w:id="100"/>
    </w:p>
    <w:p w14:paraId="11B6DA11">
      <w:pPr>
        <w:pStyle w:val="59"/>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4"/>
    <w:p w14:paraId="22F4B02E">
      <w:pPr>
        <w:spacing w:line="20" w:lineRule="exact"/>
        <w:jc w:val="center"/>
        <w:rPr>
          <w:rFonts w:ascii="黑体" w:hAnsi="黑体" w:eastAsia="黑体"/>
          <w:sz w:val="32"/>
          <w:szCs w:val="32"/>
        </w:rPr>
      </w:pPr>
      <w:bookmarkStart w:id="25" w:name="BookMark4"/>
    </w:p>
    <w:p w14:paraId="0CE27E5D">
      <w:pPr>
        <w:spacing w:line="20" w:lineRule="exact"/>
        <w:jc w:val="center"/>
        <w:rPr>
          <w:rFonts w:ascii="黑体" w:hAnsi="黑体" w:eastAsia="黑体"/>
          <w:sz w:val="32"/>
          <w:szCs w:val="32"/>
        </w:rPr>
      </w:pPr>
    </w:p>
    <w:sdt>
      <w:sdtPr>
        <w:tag w:val="NEW_STAND_NAME"/>
        <w:id w:val="595910757"/>
        <w:lock w:val="sdtLocked"/>
        <w:placeholder>
          <w:docPart w:val="CD4172F3ACCC454081F8AD3A346862CE"/>
        </w:placeholder>
      </w:sdtPr>
      <w:sdtContent>
        <w:p w14:paraId="03BBBA96">
          <w:pPr>
            <w:pStyle w:val="180"/>
            <w:spacing w:before="2" w:beforeLines="1" w:after="528" w:afterLines="220"/>
          </w:pPr>
          <w:bookmarkStart w:id="26" w:name="NEW_STAND_NAME"/>
          <w:r>
            <w:rPr>
              <w:rFonts w:hint="eastAsia"/>
            </w:rPr>
            <w:t>预包装南宁老友粉出口指南</w:t>
          </w:r>
          <w:r>
            <w:t xml:space="preserve">  非洲地区</w:t>
          </w:r>
        </w:p>
      </w:sdtContent>
    </w:sdt>
    <w:bookmarkEnd w:id="26"/>
    <w:p w14:paraId="3A30DA91">
      <w:pPr>
        <w:pStyle w:val="107"/>
        <w:spacing w:before="240" w:after="240"/>
      </w:pPr>
      <w:bookmarkStart w:id="27" w:name="_Toc26648465"/>
      <w:bookmarkStart w:id="28" w:name="_Toc181179840"/>
      <w:bookmarkStart w:id="29" w:name="_Toc24884218"/>
      <w:bookmarkStart w:id="30" w:name="_Toc26718930"/>
      <w:bookmarkStart w:id="31" w:name="_Toc181179936"/>
      <w:bookmarkStart w:id="32" w:name="_Toc26986530"/>
      <w:bookmarkStart w:id="33" w:name="_Toc17233325"/>
      <w:bookmarkStart w:id="34" w:name="_Toc181862634"/>
      <w:bookmarkStart w:id="35" w:name="_Toc17233333"/>
      <w:bookmarkStart w:id="36" w:name="_Toc26986771"/>
      <w:bookmarkStart w:id="37" w:name="_Toc24884211"/>
      <w:bookmarkStart w:id="38" w:name="_Toc180760460"/>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4AB5FAB6">
      <w:pPr>
        <w:pStyle w:val="59"/>
        <w:ind w:firstLine="420"/>
      </w:pPr>
      <w:bookmarkStart w:id="39" w:name="_Toc24884212"/>
      <w:bookmarkStart w:id="40" w:name="_Toc17233326"/>
      <w:bookmarkStart w:id="41" w:name="_Toc17233334"/>
      <w:bookmarkStart w:id="42" w:name="_Toc24884219"/>
      <w:bookmarkStart w:id="43" w:name="_Toc26648466"/>
      <w:r>
        <w:rPr>
          <w:rFonts w:hint="eastAsia"/>
        </w:rPr>
        <w:t>本文件界定了预包装南宁老友粉出口非洲地区涉及的术语和定义及</w:t>
      </w:r>
      <w:r>
        <w:t>缩略语</w:t>
      </w:r>
      <w:r>
        <w:rPr>
          <w:rFonts w:hint="eastAsia"/>
        </w:rPr>
        <w:t>，确立了预包装南宁老友粉出口的总则，提供了预包装南宁老友粉出口非洲地区需考虑因素以及出口操作的指导。</w:t>
      </w:r>
    </w:p>
    <w:p w14:paraId="257779B6">
      <w:pPr>
        <w:pStyle w:val="59"/>
        <w:ind w:firstLine="420"/>
      </w:pPr>
      <w:r>
        <w:rPr>
          <w:rFonts w:hint="eastAsia"/>
        </w:rPr>
        <w:t>本文件适用于预包装南宁老友粉出口非洲地区的指导。</w:t>
      </w:r>
    </w:p>
    <w:p w14:paraId="4AAD4182">
      <w:pPr>
        <w:pStyle w:val="107"/>
        <w:spacing w:before="240" w:after="240"/>
      </w:pPr>
      <w:bookmarkStart w:id="44" w:name="_Toc181179841"/>
      <w:bookmarkStart w:id="45" w:name="_Toc26718931"/>
      <w:bookmarkStart w:id="46" w:name="_Toc181862635"/>
      <w:bookmarkStart w:id="47" w:name="_Toc26986772"/>
      <w:bookmarkStart w:id="48" w:name="_Toc181179937"/>
      <w:bookmarkStart w:id="49" w:name="_Toc26986531"/>
      <w:bookmarkStart w:id="50" w:name="_Toc180760461"/>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6181EEE">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6BF23D1">
      <w:pPr>
        <w:pStyle w:val="59"/>
        <w:ind w:firstLine="420"/>
      </w:pPr>
      <w:r>
        <w:t xml:space="preserve">GB 4806.7  </w:t>
      </w:r>
      <w:r>
        <w:rPr>
          <w:rFonts w:hint="eastAsia"/>
        </w:rPr>
        <w:t>食品安全国家标准 食品接触用塑料材料及制品</w:t>
      </w:r>
    </w:p>
    <w:p w14:paraId="3F19797E">
      <w:pPr>
        <w:pStyle w:val="59"/>
        <w:ind w:firstLine="420"/>
      </w:pPr>
      <w:r>
        <w:t xml:space="preserve">GB 4806.13  </w:t>
      </w:r>
      <w:r>
        <w:rPr>
          <w:rFonts w:hint="eastAsia"/>
        </w:rPr>
        <w:t>食品安全国家标准 食品接触用复合材料及制品</w:t>
      </w:r>
    </w:p>
    <w:p w14:paraId="5B25AB52">
      <w:pPr>
        <w:pStyle w:val="59"/>
        <w:ind w:firstLine="420"/>
      </w:pPr>
      <w:r>
        <w:t xml:space="preserve">GB/T 19142  </w:t>
      </w:r>
      <w:r>
        <w:rPr>
          <w:rFonts w:hint="eastAsia"/>
        </w:rPr>
        <w:t xml:space="preserve">出口商品包装 </w:t>
      </w:r>
      <w:r>
        <w:t xml:space="preserve"> </w:t>
      </w:r>
      <w:r>
        <w:rPr>
          <w:rFonts w:hint="eastAsia"/>
        </w:rPr>
        <w:t>通则</w:t>
      </w:r>
    </w:p>
    <w:p w14:paraId="2C68F801">
      <w:pPr>
        <w:pStyle w:val="59"/>
        <w:ind w:firstLine="420"/>
      </w:pPr>
      <w:r>
        <w:rPr>
          <w:rFonts w:hint="eastAsia"/>
        </w:rPr>
        <w:t>GB/T 27320  食品防护计划及其应用指南  食品生产企业</w:t>
      </w:r>
    </w:p>
    <w:p w14:paraId="446245FB">
      <w:pPr>
        <w:pStyle w:val="59"/>
        <w:ind w:firstLine="420"/>
      </w:pPr>
      <w:r>
        <w:t xml:space="preserve">GB 28050  </w:t>
      </w:r>
      <w:r>
        <w:rPr>
          <w:rFonts w:hint="eastAsia"/>
        </w:rPr>
        <w:t>食品安全国家标准 预包装食品营养标签通则</w:t>
      </w:r>
    </w:p>
    <w:p w14:paraId="61A3AE90">
      <w:pPr>
        <w:pStyle w:val="59"/>
        <w:ind w:firstLine="420"/>
      </w:pPr>
      <w:r>
        <w:t xml:space="preserve">SN/T 0395  </w:t>
      </w:r>
      <w:r>
        <w:rPr>
          <w:rFonts w:hint="eastAsia"/>
        </w:rPr>
        <w:t>进出口米粉检验规程</w:t>
      </w:r>
    </w:p>
    <w:p w14:paraId="28823599">
      <w:pPr>
        <w:pStyle w:val="59"/>
        <w:ind w:firstLine="420"/>
      </w:pPr>
      <w:r>
        <w:rPr>
          <w:rFonts w:hint="eastAsia"/>
        </w:rPr>
        <w:t xml:space="preserve">DBS45/ 053 </w:t>
      </w:r>
      <w:r>
        <w:t xml:space="preserve"> </w:t>
      </w:r>
      <w:r>
        <w:rPr>
          <w:rFonts w:hint="eastAsia"/>
        </w:rPr>
        <w:t>食品安全地方标准  南宁老友粉</w:t>
      </w:r>
    </w:p>
    <w:p w14:paraId="6DA8825E">
      <w:pPr>
        <w:pStyle w:val="59"/>
        <w:ind w:firstLine="420"/>
      </w:pPr>
      <w:r>
        <w:rPr>
          <w:rFonts w:hint="eastAsia"/>
        </w:rPr>
        <w:t>DB45/T 2560  预包装南宁老友粉生产规范</w:t>
      </w:r>
    </w:p>
    <w:p w14:paraId="26FDF2F2">
      <w:pPr>
        <w:pStyle w:val="107"/>
        <w:spacing w:before="240" w:after="240"/>
      </w:pPr>
      <w:bookmarkStart w:id="51" w:name="_Toc181179842"/>
      <w:bookmarkStart w:id="52" w:name="_Toc181179938"/>
      <w:bookmarkStart w:id="53" w:name="_Toc180760462"/>
      <w:bookmarkStart w:id="54" w:name="_Toc181862636"/>
      <w:r>
        <w:rPr>
          <w:rFonts w:hint="eastAsia"/>
          <w:szCs w:val="21"/>
        </w:rPr>
        <w:t>术语和定义</w:t>
      </w:r>
      <w:bookmarkEnd w:id="51"/>
      <w:bookmarkEnd w:id="52"/>
      <w:bookmarkEnd w:id="53"/>
      <w:bookmarkEnd w:id="54"/>
    </w:p>
    <w:p w14:paraId="2B633C63">
      <w:pPr>
        <w:pStyle w:val="59"/>
        <w:ind w:firstLine="420"/>
      </w:pPr>
      <w:bookmarkStart w:id="55" w:name="_Toc26986532"/>
      <w:bookmarkEnd w:id="55"/>
      <w:sdt>
        <w:sdt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DBS45/ 053界定的以及下列术语和定义适用于本文件。</w:t>
          </w:r>
        </w:sdtContent>
      </w:sdt>
    </w:p>
    <w:p w14:paraId="7A7A1126">
      <w:pPr>
        <w:pStyle w:val="226"/>
        <w:ind w:left="420" w:hanging="420" w:hangingChars="200"/>
        <w:rPr>
          <w:rFonts w:ascii="黑体" w:hAnsi="黑体" w:eastAsia="黑体"/>
        </w:rPr>
      </w:pPr>
      <w:bookmarkStart w:id="56" w:name="_Hlk196080480"/>
      <w:bookmarkStart w:id="57" w:name="_Toc181179939"/>
      <w:bookmarkStart w:id="58" w:name="_Toc180776749"/>
      <w:bookmarkStart w:id="59" w:name="_Toc181179843"/>
      <w:bookmarkStart w:id="60" w:name="_Toc181862637"/>
      <w:bookmarkStart w:id="61" w:name="_Toc180760463"/>
      <w:r>
        <w:rPr>
          <w:rFonts w:ascii="黑体" w:hAnsi="黑体" w:eastAsia="黑体"/>
        </w:rPr>
        <w:br w:type="textWrapping"/>
      </w:r>
      <w:r>
        <w:rPr>
          <w:rFonts w:hint="eastAsia" w:ascii="黑体" w:hAnsi="黑体" w:eastAsia="黑体"/>
        </w:rPr>
        <w:t>出口预包装南宁老友粉  export prepackaged Nanning Laoyoufen</w:t>
      </w:r>
    </w:p>
    <w:p w14:paraId="7484AC3D">
      <w:pPr>
        <w:pStyle w:val="59"/>
        <w:ind w:firstLine="420"/>
      </w:pPr>
      <w:r>
        <w:rPr>
          <w:rFonts w:hint="eastAsia"/>
        </w:rPr>
        <w:t>以独立包装的干制米粉（或冲泡型米粉）为主要原料，添加老友粉料包或独立包装的酸笋、豆豉、辣椒、大蒜等辅料，经组合、包装制成的，食用时需经水煮熟制或煮沸热水（≥85</w:t>
      </w:r>
      <w:r>
        <w:rPr>
          <w:rFonts w:hint="eastAsia"/>
          <w:vertAlign w:val="superscript"/>
        </w:rPr>
        <w:t xml:space="preserve"> </w:t>
      </w:r>
      <w:r>
        <w:rPr>
          <w:rFonts w:hint="eastAsia"/>
        </w:rPr>
        <w:t>℃）简单冲泡便可食用的具有地方特色的出口南宁老友粉（包括水煮型出口南宁老友粉和冲泡型出口南宁老友粉）。</w:t>
      </w:r>
    </w:p>
    <w:p w14:paraId="4AEC7FC2">
      <w:pPr>
        <w:pStyle w:val="59"/>
        <w:ind w:firstLine="420"/>
      </w:pPr>
      <w:r>
        <w:rPr>
          <w:rFonts w:hint="eastAsia"/>
        </w:rPr>
        <w:t>[来源：DBS45/ 053—2024，3.1，有修改]</w:t>
      </w:r>
      <w:bookmarkEnd w:id="56"/>
    </w:p>
    <w:p w14:paraId="3B3C0A57">
      <w:pPr>
        <w:pStyle w:val="107"/>
        <w:spacing w:before="240" w:after="240"/>
        <w:rPr>
          <w:rFonts w:hint="eastAsia"/>
        </w:rPr>
      </w:pPr>
      <w:r>
        <w:rPr>
          <w:rFonts w:hint="eastAsia"/>
        </w:rPr>
        <w:t>缩略语</w:t>
      </w:r>
    </w:p>
    <w:p w14:paraId="33B32275">
      <w:pPr>
        <w:pStyle w:val="59"/>
        <w:ind w:firstLine="420"/>
      </w:pPr>
      <w:r>
        <w:rPr>
          <w:rFonts w:hint="eastAsia"/>
        </w:rPr>
        <w:t>下列缩略语适用于本文件。</w:t>
      </w:r>
    </w:p>
    <w:p w14:paraId="6EB97CD5">
      <w:pPr>
        <w:pStyle w:val="59"/>
        <w:ind w:firstLine="420"/>
        <w:rPr>
          <w:rFonts w:hint="eastAsia"/>
        </w:rPr>
      </w:pPr>
      <w:r>
        <w:t>SONCAP</w:t>
      </w:r>
      <w:r>
        <w:rPr>
          <w:rFonts w:hint="eastAsia"/>
        </w:rPr>
        <w:t>：尼日利亚标准局符合性评估计划（Standards Organization of Nigeria Conformity Assessment Program）</w:t>
      </w:r>
    </w:p>
    <w:p w14:paraId="21AFEB71">
      <w:pPr>
        <w:pStyle w:val="59"/>
        <w:ind w:firstLine="420"/>
        <w:rPr>
          <w:rFonts w:hint="eastAsia"/>
        </w:rPr>
      </w:pPr>
      <w:r>
        <w:t>FORM M</w:t>
      </w:r>
      <w:r>
        <w:rPr>
          <w:rFonts w:hint="eastAsia"/>
        </w:rPr>
        <w:t>：外汇申报表M（</w:t>
      </w:r>
      <w:r>
        <w:t>Foreign Exchange Form M</w:t>
      </w:r>
      <w:r>
        <w:rPr>
          <w:rFonts w:hint="eastAsia"/>
        </w:rPr>
        <w:t>）</w:t>
      </w:r>
    </w:p>
    <w:p w14:paraId="0E007EDE">
      <w:pPr>
        <w:pStyle w:val="59"/>
        <w:ind w:firstLine="420"/>
        <w:rPr>
          <w:rFonts w:hint="eastAsia"/>
        </w:rPr>
      </w:pPr>
      <w:r>
        <w:t>NAFDAC</w:t>
      </w:r>
      <w:r>
        <w:rPr>
          <w:rFonts w:hint="eastAsia"/>
        </w:rPr>
        <w:t>：尼日利亚国家食品药品管理控制局（</w:t>
      </w:r>
      <w:r>
        <w:t>National Agency for Food and Drug Administration and Control</w:t>
      </w:r>
      <w:r>
        <w:rPr>
          <w:rFonts w:hint="eastAsia"/>
        </w:rPr>
        <w:t>）</w:t>
      </w:r>
    </w:p>
    <w:p w14:paraId="66775DF4">
      <w:pPr>
        <w:pStyle w:val="59"/>
        <w:ind w:firstLine="420"/>
      </w:pPr>
      <w:r>
        <w:t>KEBS</w:t>
      </w:r>
      <w:r>
        <w:rPr>
          <w:rFonts w:hint="eastAsia"/>
        </w:rPr>
        <w:t>：肯尼亚标准局（</w:t>
      </w:r>
      <w:r>
        <w:t>Kenya Bureau of Standards</w:t>
      </w:r>
      <w:r>
        <w:rPr>
          <w:rFonts w:hint="eastAsia"/>
        </w:rPr>
        <w:t>）</w:t>
      </w:r>
    </w:p>
    <w:p w14:paraId="761EBE3A">
      <w:pPr>
        <w:pStyle w:val="59"/>
        <w:ind w:firstLine="420"/>
        <w:rPr>
          <w:rFonts w:hint="eastAsia"/>
        </w:rPr>
      </w:pPr>
      <w:r>
        <w:t>CTN</w:t>
      </w:r>
      <w:r>
        <w:rPr>
          <w:rFonts w:hint="eastAsia"/>
        </w:rPr>
        <w:t>：货物跟踪单（Cargo Tracking Note）</w:t>
      </w:r>
    </w:p>
    <w:p w14:paraId="6E88281F">
      <w:pPr>
        <w:pStyle w:val="107"/>
        <w:spacing w:before="240" w:after="240"/>
      </w:pPr>
      <w:r>
        <w:rPr>
          <w:rFonts w:hint="eastAsia"/>
        </w:rPr>
        <w:t>总则</w:t>
      </w:r>
      <w:bookmarkEnd w:id="57"/>
      <w:bookmarkEnd w:id="58"/>
      <w:bookmarkEnd w:id="59"/>
      <w:bookmarkEnd w:id="60"/>
    </w:p>
    <w:p w14:paraId="45B535D5">
      <w:pPr>
        <w:pStyle w:val="108"/>
        <w:spacing w:before="120" w:after="120"/>
        <w:ind w:left="0"/>
      </w:pPr>
      <w:r>
        <w:rPr>
          <w:rFonts w:hint="eastAsia"/>
        </w:rPr>
        <w:t>质量安全优先</w:t>
      </w:r>
    </w:p>
    <w:p w14:paraId="31946753">
      <w:pPr>
        <w:pStyle w:val="59"/>
        <w:ind w:firstLine="420"/>
      </w:pPr>
      <w:r>
        <w:rPr>
          <w:rFonts w:hint="eastAsia"/>
        </w:rPr>
        <w:t>出口企业需严格遵守中国及食品安全法规，建立以危害分析和预防控制为核心的食品安全卫生控制体系，确保生产、加工、储存环节符合中非两国标准。实施质量安全追溯机制，确保问题产品可快速召回。</w:t>
      </w:r>
    </w:p>
    <w:p w14:paraId="79627A61">
      <w:pPr>
        <w:pStyle w:val="108"/>
        <w:spacing w:before="120" w:after="120"/>
        <w:ind w:left="0"/>
      </w:pPr>
      <w:r>
        <w:rPr>
          <w:rFonts w:hint="eastAsia"/>
        </w:rPr>
        <w:t>标签规范透明</w:t>
      </w:r>
    </w:p>
    <w:p w14:paraId="041F6AB3">
      <w:pPr>
        <w:pStyle w:val="59"/>
        <w:ind w:firstLine="420"/>
      </w:pPr>
      <w:r>
        <w:rPr>
          <w:rFonts w:hint="eastAsia"/>
        </w:rPr>
        <w:t>食品标签需全面满足非洲地区法律法规及合同要求。</w:t>
      </w:r>
    </w:p>
    <w:p w14:paraId="1A290874">
      <w:pPr>
        <w:pStyle w:val="108"/>
        <w:spacing w:before="120" w:after="120"/>
        <w:ind w:left="0"/>
      </w:pPr>
      <w:r>
        <w:rPr>
          <w:rFonts w:hint="eastAsia"/>
        </w:rPr>
        <w:t>合法证件齐备</w:t>
      </w:r>
    </w:p>
    <w:p w14:paraId="37CE2A02">
      <w:pPr>
        <w:pStyle w:val="59"/>
        <w:ind w:firstLine="420"/>
      </w:pPr>
      <w:r>
        <w:rPr>
          <w:rFonts w:hint="eastAsia"/>
        </w:rPr>
        <w:t>出口企业须依法办理中非双方要求的全部合法证件，确保出口流程符合非洲地区法规要求。</w:t>
      </w:r>
    </w:p>
    <w:p w14:paraId="74267E10">
      <w:pPr>
        <w:pStyle w:val="108"/>
        <w:spacing w:before="120" w:after="120"/>
        <w:ind w:left="0"/>
      </w:pPr>
      <w:r>
        <w:rPr>
          <w:rFonts w:hint="eastAsia"/>
        </w:rPr>
        <w:t>物流运输保障</w:t>
      </w:r>
    </w:p>
    <w:p w14:paraId="4E59FEBB">
      <w:pPr>
        <w:pStyle w:val="59"/>
        <w:ind w:firstLine="420"/>
      </w:pPr>
      <w:r>
        <w:rPr>
          <w:rFonts w:hint="eastAsia"/>
        </w:rPr>
        <w:t>以合规性和风险防控为核心，确保物流运输包装材料符合中非双方要求，宜建立可追溯的运输体系，动态适应非洲地区法规变化，保障全程运输安全高效。</w:t>
      </w:r>
    </w:p>
    <w:p w14:paraId="42E8368F">
      <w:pPr>
        <w:pStyle w:val="108"/>
        <w:spacing w:before="120" w:after="120"/>
        <w:ind w:left="0"/>
      </w:pPr>
      <w:r>
        <w:rPr>
          <w:rFonts w:hint="eastAsia"/>
        </w:rPr>
        <w:t>全程合规管理</w:t>
      </w:r>
    </w:p>
    <w:p w14:paraId="01176FF9">
      <w:pPr>
        <w:pStyle w:val="59"/>
        <w:ind w:firstLine="420"/>
      </w:pPr>
      <w:r>
        <w:rPr>
          <w:rFonts w:hint="eastAsia"/>
        </w:rPr>
        <w:t>出口企业需主动适应非洲地区动态法规变化，定期更新管理体系，通过第三方检测验证产品质量，确保从原料种植、生产加工到物流交付的全链条合规性。</w:t>
      </w:r>
    </w:p>
    <w:p w14:paraId="02C139EF">
      <w:pPr>
        <w:pStyle w:val="107"/>
        <w:spacing w:before="240" w:after="240"/>
      </w:pPr>
      <w:bookmarkStart w:id="62" w:name="_Toc181862638"/>
      <w:bookmarkStart w:id="63" w:name="_Toc180776750"/>
      <w:bookmarkStart w:id="64" w:name="_Toc181179940"/>
      <w:bookmarkStart w:id="65" w:name="_Toc181179844"/>
      <w:r>
        <w:rPr>
          <w:rFonts w:hint="eastAsia"/>
        </w:rPr>
        <w:t>需考虑因素</w:t>
      </w:r>
      <w:bookmarkEnd w:id="62"/>
      <w:bookmarkEnd w:id="63"/>
      <w:bookmarkEnd w:id="64"/>
      <w:bookmarkEnd w:id="65"/>
    </w:p>
    <w:p w14:paraId="26316CF9">
      <w:pPr>
        <w:pStyle w:val="108"/>
        <w:spacing w:before="120" w:after="120"/>
        <w:ind w:left="0"/>
      </w:pPr>
      <w:bookmarkStart w:id="66" w:name="_Toc181862639"/>
      <w:r>
        <w:rPr>
          <w:rFonts w:hint="eastAsia"/>
        </w:rPr>
        <w:t>食品质量安全</w:t>
      </w:r>
      <w:bookmarkEnd w:id="66"/>
    </w:p>
    <w:p w14:paraId="2EE83550">
      <w:pPr>
        <w:pStyle w:val="168"/>
        <w:ind w:left="0"/>
        <w:rPr>
          <w:color w:val="auto"/>
        </w:rPr>
      </w:pPr>
      <w:r>
        <w:rPr>
          <w:rFonts w:hint="eastAsia"/>
        </w:rPr>
        <w:t>需要</w:t>
      </w:r>
      <w:r>
        <w:rPr>
          <w:rFonts w:hint="eastAsia"/>
          <w:color w:val="auto"/>
        </w:rPr>
        <w:t>考虑了解非洲地区的法律法规以及相关产品标准，非洲国家对花生、芝麻等油料作物中的黄曲霉毒素B</w:t>
      </w:r>
      <w:r>
        <w:rPr>
          <w:rFonts w:hint="eastAsia"/>
          <w:color w:val="auto"/>
          <w:vertAlign w:val="subscript"/>
        </w:rPr>
        <w:t>1</w:t>
      </w:r>
      <w:r>
        <w:rPr>
          <w:rFonts w:hint="eastAsia"/>
          <w:color w:val="auto"/>
        </w:rPr>
        <w:t>限量要求严格，部分非洲国家对沙门氏菌、大肠杆菌等致病微生物有明确限量要求，需根据目标国标准进行针对性检测和监控。</w:t>
      </w:r>
    </w:p>
    <w:p w14:paraId="317CEE2B">
      <w:pPr>
        <w:pStyle w:val="168"/>
        <w:ind w:left="0"/>
        <w:rPr>
          <w:color w:val="auto"/>
        </w:rPr>
      </w:pPr>
      <w:r>
        <w:rPr>
          <w:rFonts w:hint="eastAsia"/>
          <w:color w:val="auto"/>
        </w:rPr>
        <w:t>需考虑非洲多国对农药残留、对铅、镉等重金属的限量要求。</w:t>
      </w:r>
    </w:p>
    <w:p w14:paraId="52F32581">
      <w:pPr>
        <w:pStyle w:val="168"/>
        <w:ind w:left="0"/>
        <w:rPr>
          <w:color w:val="auto"/>
        </w:rPr>
      </w:pPr>
      <w:r>
        <w:rPr>
          <w:rFonts w:hint="eastAsia" w:hAnsi="宋体"/>
          <w:color w:val="auto"/>
        </w:rPr>
        <w:t>宜</w:t>
      </w:r>
      <w:r>
        <w:rPr>
          <w:rFonts w:hAnsi="宋体"/>
          <w:color w:val="auto"/>
        </w:rPr>
        <w:t>建立</w:t>
      </w:r>
      <w:r>
        <w:rPr>
          <w:rFonts w:hint="eastAsia" w:hAnsi="宋体"/>
          <w:color w:val="auto"/>
        </w:rPr>
        <w:t>预包装</w:t>
      </w:r>
      <w:r>
        <w:rPr>
          <w:rFonts w:hAnsi="宋体"/>
          <w:color w:val="auto"/>
        </w:rPr>
        <w:t>南宁老友粉</w:t>
      </w:r>
      <w:r>
        <w:rPr>
          <w:rFonts w:hint="eastAsia" w:hAnsi="宋体"/>
          <w:color w:val="auto"/>
        </w:rPr>
        <w:t>出口</w:t>
      </w:r>
      <w:r>
        <w:rPr>
          <w:rFonts w:hAnsi="宋体"/>
          <w:color w:val="auto"/>
        </w:rPr>
        <w:t>产品</w:t>
      </w:r>
      <w:r>
        <w:rPr>
          <w:rFonts w:hint="eastAsia" w:hAnsi="宋体"/>
          <w:color w:val="auto"/>
        </w:rPr>
        <w:t>数字化</w:t>
      </w:r>
      <w:r>
        <w:rPr>
          <w:rFonts w:hAnsi="宋体"/>
          <w:color w:val="auto"/>
        </w:rPr>
        <w:t>追溯系统，</w:t>
      </w:r>
      <w:r>
        <w:rPr>
          <w:rFonts w:hint="eastAsia" w:hAnsi="宋体"/>
          <w:color w:val="auto"/>
        </w:rPr>
        <w:t>确保问题产品可及时召回。</w:t>
      </w:r>
    </w:p>
    <w:p w14:paraId="51ACC5E1">
      <w:pPr>
        <w:pStyle w:val="168"/>
        <w:ind w:left="0"/>
        <w:rPr>
          <w:szCs w:val="21"/>
        </w:rPr>
      </w:pPr>
      <w:r>
        <w:rPr>
          <w:rFonts w:hint="eastAsia"/>
          <w:color w:val="auto"/>
        </w:rPr>
        <w:t>出口预包装南宁老友粉生产</w:t>
      </w:r>
      <w:r>
        <w:rPr>
          <w:rFonts w:hint="eastAsia"/>
        </w:rPr>
        <w:t>企业需考虑建立和实施以危害分析和预防控制措施为核心的食品安全卫生控制体系与</w:t>
      </w:r>
      <w:r>
        <w:t>食品防护计划</w:t>
      </w:r>
      <w:r>
        <w:rPr>
          <w:rFonts w:hint="eastAsia"/>
        </w:rPr>
        <w:t>，并保证其有效运行，并保证体系有效运行，确保出口食品生产、加工、储存过程持续符合我国有关法定要求和相关进口国（地区）的法律法规要求以及出口食品生产企业安全卫生要求。</w:t>
      </w:r>
    </w:p>
    <w:p w14:paraId="69343C41">
      <w:pPr>
        <w:pStyle w:val="168"/>
        <w:ind w:left="0"/>
        <w:rPr>
          <w:color w:val="auto"/>
          <w:szCs w:val="21"/>
        </w:rPr>
      </w:pPr>
      <w:r>
        <w:rPr>
          <w:rFonts w:hint="eastAsia"/>
        </w:rPr>
        <w:t>其他需要</w:t>
      </w:r>
      <w:r>
        <w:rPr>
          <w:rFonts w:hint="eastAsia"/>
          <w:color w:val="auto"/>
        </w:rPr>
        <w:t>关注的信息见附录A.1。</w:t>
      </w:r>
    </w:p>
    <w:p w14:paraId="775FFFB7">
      <w:pPr>
        <w:pStyle w:val="108"/>
        <w:spacing w:before="120" w:after="120"/>
        <w:ind w:left="0"/>
        <w:rPr>
          <w:color w:val="auto"/>
        </w:rPr>
      </w:pPr>
      <w:bookmarkStart w:id="67" w:name="_Toc181862640"/>
      <w:r>
        <w:rPr>
          <w:rFonts w:hint="eastAsia"/>
          <w:color w:val="auto"/>
        </w:rPr>
        <w:t>食品</w:t>
      </w:r>
      <w:bookmarkEnd w:id="67"/>
      <w:r>
        <w:rPr>
          <w:rFonts w:hint="eastAsia"/>
          <w:color w:val="auto"/>
        </w:rPr>
        <w:t>标签</w:t>
      </w:r>
    </w:p>
    <w:p w14:paraId="15F52ADC">
      <w:pPr>
        <w:pStyle w:val="59"/>
        <w:ind w:firstLine="420"/>
        <w:rPr>
          <w:color w:val="auto"/>
        </w:rPr>
      </w:pPr>
      <w:r>
        <w:rPr>
          <w:rFonts w:hint="eastAsia"/>
          <w:color w:val="auto"/>
        </w:rPr>
        <w:t>针对非洲高温气候，加强食品耐储存性控制，控制运输中微生物滋生，同时</w:t>
      </w:r>
      <w:r>
        <w:rPr>
          <w:color w:val="auto"/>
        </w:rPr>
        <w:t>要考虑</w:t>
      </w:r>
      <w:r>
        <w:rPr>
          <w:rFonts w:hint="eastAsia"/>
          <w:color w:val="auto"/>
        </w:rPr>
        <w:t>标签对原产国的标注信息、语言要求（如阿拉伯</w:t>
      </w:r>
      <w:r>
        <w:rPr>
          <w:color w:val="auto"/>
        </w:rPr>
        <w:t>语</w:t>
      </w:r>
      <w:r>
        <w:rPr>
          <w:rFonts w:hint="eastAsia"/>
          <w:color w:val="auto"/>
        </w:rPr>
        <w:t>、英语、法语或葡萄牙语）、营养标签内容等</w:t>
      </w:r>
      <w:r>
        <w:rPr>
          <w:color w:val="auto"/>
        </w:rPr>
        <w:t>信息，</w:t>
      </w:r>
      <w:r>
        <w:rPr>
          <w:rFonts w:hint="eastAsia"/>
          <w:color w:val="auto"/>
        </w:rPr>
        <w:t>保证预包装南宁老友粉的包装符合非洲地区有关标准规定或者合同要求，预包装南宁老友粉出口非洲地区需要关注的食品包装信息见附录A.2。</w:t>
      </w:r>
    </w:p>
    <w:p w14:paraId="281D2B88">
      <w:pPr>
        <w:pStyle w:val="108"/>
        <w:spacing w:before="120" w:after="120"/>
        <w:ind w:left="0"/>
        <w:rPr>
          <w:color w:val="auto"/>
        </w:rPr>
      </w:pPr>
      <w:bookmarkStart w:id="68" w:name="OLE_LINK10"/>
      <w:bookmarkStart w:id="69" w:name="OLE_LINK9"/>
      <w:bookmarkStart w:id="70" w:name="_Toc181862641"/>
      <w:r>
        <w:rPr>
          <w:rFonts w:hint="eastAsia"/>
        </w:rPr>
        <w:t>合法</w:t>
      </w:r>
      <w:r>
        <w:rPr>
          <w:rFonts w:hint="eastAsia"/>
          <w:color w:val="auto"/>
        </w:rPr>
        <w:t>证件</w:t>
      </w:r>
      <w:bookmarkEnd w:id="68"/>
      <w:bookmarkEnd w:id="69"/>
      <w:bookmarkEnd w:id="70"/>
    </w:p>
    <w:p w14:paraId="15FA33C8">
      <w:pPr>
        <w:pStyle w:val="59"/>
        <w:ind w:firstLine="420"/>
        <w:rPr>
          <w:color w:val="auto"/>
        </w:rPr>
      </w:pPr>
      <w:r>
        <w:rPr>
          <w:rFonts w:hint="eastAsia"/>
          <w:color w:val="auto"/>
        </w:rPr>
        <w:t>在预包装南宁老友粉出口非洲地区过程中，需要考虑提供包括进</w:t>
      </w:r>
      <w:bookmarkStart w:id="71" w:name="OLE_LINK8"/>
      <w:bookmarkStart w:id="72" w:name="OLE_LINK7"/>
      <w:r>
        <w:rPr>
          <w:rFonts w:hint="eastAsia"/>
          <w:color w:val="auto"/>
        </w:rPr>
        <w:t>出口货物报关单</w:t>
      </w:r>
      <w:bookmarkEnd w:id="71"/>
      <w:bookmarkEnd w:id="72"/>
      <w:r>
        <w:rPr>
          <w:rFonts w:hint="eastAsia"/>
          <w:color w:val="auto"/>
        </w:rPr>
        <w:t>、卫生证书产地证明、检验检疫证明、符合性认证（COC/PVOC/SONCAP）、电子货物跟踪单（ECTN）、进口商资质等相关证件，保证出口的预包装南宁老友粉符合非洲地区的法律法规与要求，预包装南宁老友粉出口非洲地区需要关注的合法证件信息见附录A.3。</w:t>
      </w:r>
    </w:p>
    <w:p w14:paraId="2A9A56DD">
      <w:pPr>
        <w:pStyle w:val="108"/>
        <w:spacing w:before="120" w:after="120"/>
        <w:ind w:left="0"/>
      </w:pPr>
      <w:bookmarkStart w:id="73" w:name="_Toc181862642"/>
      <w:r>
        <w:rPr>
          <w:rFonts w:hint="eastAsia"/>
        </w:rPr>
        <w:t>物流运输</w:t>
      </w:r>
      <w:bookmarkEnd w:id="73"/>
    </w:p>
    <w:p w14:paraId="2F79BF8E">
      <w:pPr>
        <w:pStyle w:val="168"/>
        <w:ind w:left="0"/>
        <w:rPr>
          <w:color w:val="auto"/>
        </w:rPr>
      </w:pPr>
      <w:r>
        <w:rPr>
          <w:rFonts w:hint="eastAsia"/>
        </w:rPr>
        <w:t>预包装南宁老友粉出口美国的物流运输包装需根据GB/T 19142和DBS45/ 053的规定进行，并清晰标示产品名</w:t>
      </w:r>
      <w:r>
        <w:rPr>
          <w:rFonts w:hint="eastAsia"/>
          <w:color w:val="auto"/>
        </w:rPr>
        <w:t>称、食品生产企业备案号、生产日期、生产批号标识。</w:t>
      </w:r>
    </w:p>
    <w:p w14:paraId="45F73DB9">
      <w:pPr>
        <w:pStyle w:val="168"/>
        <w:ind w:left="0"/>
      </w:pPr>
      <w:r>
        <w:rPr>
          <w:rFonts w:hint="eastAsia"/>
          <w:color w:val="auto"/>
        </w:rPr>
        <w:t>需要考虑选择合适的物流公司以及运输方式、非洲地区主要港口（尼日利亚拉各斯港、埃及塞德港、科特迪瓦阿比让港坦桑尼亚达累斯萨拉姆港）、季节及天气因素等信息，以确</w:t>
      </w:r>
      <w:r>
        <w:rPr>
          <w:rFonts w:hint="eastAsia"/>
        </w:rPr>
        <w:t>保食品在运输过程中安全无阻，预包装南宁老友粉出口非洲地区需要关注的物流运输信息见附录A.4。</w:t>
      </w:r>
    </w:p>
    <w:p w14:paraId="5C5AC023">
      <w:pPr>
        <w:pStyle w:val="107"/>
        <w:spacing w:before="240" w:after="240"/>
      </w:pPr>
      <w:bookmarkStart w:id="74" w:name="_Toc181179947"/>
      <w:bookmarkStart w:id="75" w:name="_Toc181179851"/>
      <w:bookmarkStart w:id="76" w:name="_Toc181862643"/>
      <w:bookmarkStart w:id="77" w:name="_Toc180776755"/>
      <w:r>
        <w:rPr>
          <w:rFonts w:hint="eastAsia"/>
        </w:rPr>
        <w:t>出口操作</w:t>
      </w:r>
      <w:bookmarkEnd w:id="61"/>
      <w:bookmarkEnd w:id="74"/>
      <w:bookmarkEnd w:id="75"/>
      <w:bookmarkEnd w:id="76"/>
      <w:bookmarkEnd w:id="77"/>
    </w:p>
    <w:p w14:paraId="118419F8">
      <w:pPr>
        <w:pStyle w:val="108"/>
        <w:spacing w:before="120" w:after="120"/>
        <w:ind w:left="0"/>
      </w:pPr>
      <w:r>
        <w:rPr>
          <w:rFonts w:hint="eastAsia"/>
        </w:rPr>
        <w:t>备案</w:t>
      </w:r>
    </w:p>
    <w:p w14:paraId="774A6257">
      <w:pPr>
        <w:pStyle w:val="68"/>
        <w:spacing w:before="120" w:after="120"/>
        <w:ind w:left="0"/>
      </w:pPr>
      <w:r>
        <w:rPr>
          <w:rFonts w:hint="eastAsia"/>
        </w:rPr>
        <w:t>出口原料种植场备案</w:t>
      </w:r>
    </w:p>
    <w:p w14:paraId="46D82EB6">
      <w:pPr>
        <w:pStyle w:val="167"/>
        <w:ind w:left="0"/>
      </w:pPr>
      <w:r>
        <w:rPr>
          <w:rFonts w:hint="eastAsia"/>
        </w:rPr>
        <w:t>企业向所在地海关申请办理预包装南宁老友粉原</w:t>
      </w:r>
      <w:r>
        <w:rPr>
          <w:rFonts w:hint="eastAsia"/>
          <w:color w:val="auto"/>
        </w:rPr>
        <w:t>料涉及的大米原料品种种植场备案，</w:t>
      </w:r>
      <w:r>
        <w:rPr>
          <w:rFonts w:hint="eastAsia"/>
        </w:rPr>
        <w:t>其他蔬菜产品可根据需要另行备案。出口食品原料种植场备案提交材料目录见附录B。</w:t>
      </w:r>
    </w:p>
    <w:p w14:paraId="2032524D">
      <w:pPr>
        <w:pStyle w:val="167"/>
        <w:ind w:left="0"/>
      </w:pPr>
      <w:r>
        <w:rPr>
          <w:rFonts w:hint="eastAsia"/>
        </w:rPr>
        <w:t>有合法经营原料种植用地的证明文件。</w:t>
      </w:r>
    </w:p>
    <w:p w14:paraId="3F8C3141">
      <w:pPr>
        <w:pStyle w:val="167"/>
        <w:ind w:left="0"/>
      </w:pPr>
      <w:r>
        <w:rPr>
          <w:rFonts w:hint="eastAsia"/>
        </w:rPr>
        <w:t>土地相对固定连片，周围具有天然或者人工的隔离带（网），符合当地出口食品原料种植场监管部门根据实际情况确定的土地面积要求。</w:t>
      </w:r>
    </w:p>
    <w:p w14:paraId="2E61A5C5">
      <w:pPr>
        <w:pStyle w:val="167"/>
        <w:ind w:left="0"/>
      </w:pPr>
      <w:r>
        <w:rPr>
          <w:rFonts w:hint="eastAsia"/>
        </w:rPr>
        <w:t>大气、土壤和灌溉用水符合国家有关标准的要求，种植场及周边无影响种植原料质量安全的污染源。</w:t>
      </w:r>
    </w:p>
    <w:p w14:paraId="06A80328">
      <w:pPr>
        <w:pStyle w:val="167"/>
        <w:ind w:left="0"/>
      </w:pPr>
      <w:r>
        <w:rPr>
          <w:rFonts w:hint="eastAsia"/>
        </w:rPr>
        <w:t>有专门部门或者专人负责农药等农业投入品的管理，有适宜的农业投入品存放场所，农业投入品符合中国或者进口国家（地区）有关法规要求。</w:t>
      </w:r>
    </w:p>
    <w:p w14:paraId="18732138">
      <w:pPr>
        <w:pStyle w:val="167"/>
        <w:ind w:left="0"/>
      </w:pPr>
      <w:r>
        <w:rPr>
          <w:rFonts w:hint="eastAsia"/>
        </w:rPr>
        <w:t>有完善的质量安全管理制度，包括组织机构、农业投入品使用管理制度、疫情疫病监测制度、有毒有害物质控制制度、生产和追溯记录制度等。</w:t>
      </w:r>
    </w:p>
    <w:p w14:paraId="0A86A647">
      <w:pPr>
        <w:pStyle w:val="167"/>
        <w:ind w:left="0"/>
      </w:pPr>
      <w:r>
        <w:rPr>
          <w:rFonts w:hint="eastAsia"/>
        </w:rPr>
        <w:t>配置与生产规模相适应、具有植物保护基本知识的专职或者兼职植保员。</w:t>
      </w:r>
    </w:p>
    <w:p w14:paraId="3E8A9DFE">
      <w:pPr>
        <w:pStyle w:val="167"/>
        <w:ind w:left="0"/>
      </w:pPr>
      <w:r>
        <w:rPr>
          <w:rFonts w:hint="eastAsia"/>
        </w:rPr>
        <w:t>法律法规规定的其他条件。</w:t>
      </w:r>
    </w:p>
    <w:p w14:paraId="23176379">
      <w:pPr>
        <w:pStyle w:val="68"/>
        <w:spacing w:before="120" w:after="120"/>
        <w:ind w:left="0"/>
      </w:pPr>
      <w:bookmarkStart w:id="78" w:name="_Toc181862646"/>
      <w:bookmarkStart w:id="79" w:name="_Toc181862645"/>
      <w:r>
        <w:rPr>
          <w:rFonts w:hint="eastAsia"/>
        </w:rPr>
        <w:t>出口食品生产企业备案</w:t>
      </w:r>
    </w:p>
    <w:p w14:paraId="3DD5032E">
      <w:pPr>
        <w:pStyle w:val="97"/>
        <w:spacing w:before="120" w:after="120"/>
        <w:ind w:left="0"/>
      </w:pPr>
      <w:r>
        <w:rPr>
          <w:rFonts w:hint="eastAsia"/>
        </w:rPr>
        <w:t>证照</w:t>
      </w:r>
      <w:bookmarkEnd w:id="78"/>
      <w:r>
        <w:rPr>
          <w:rFonts w:hint="eastAsia"/>
        </w:rPr>
        <w:t>申请</w:t>
      </w:r>
    </w:p>
    <w:p w14:paraId="3E9C56B5">
      <w:pPr>
        <w:pStyle w:val="101"/>
        <w:spacing w:before="120" w:after="120"/>
      </w:pPr>
      <w:r>
        <w:rPr>
          <w:rFonts w:hint="eastAsia"/>
        </w:rPr>
        <w:t>营业执照</w:t>
      </w:r>
    </w:p>
    <w:p w14:paraId="3D27263F">
      <w:pPr>
        <w:pStyle w:val="59"/>
        <w:ind w:firstLine="420"/>
      </w:pPr>
      <w:r>
        <w:rPr>
          <w:rFonts w:hint="eastAsia"/>
        </w:rPr>
        <w:t>企业向县级以上地方人民政府承担市场主体登记工作的部门申请办理市场主体登记（营业执照），出口时向所在地海关出具。</w:t>
      </w:r>
    </w:p>
    <w:p w14:paraId="2B2B4D09">
      <w:pPr>
        <w:pStyle w:val="101"/>
        <w:spacing w:before="120" w:after="120"/>
      </w:pPr>
      <w:r>
        <w:rPr>
          <w:rFonts w:hint="eastAsia"/>
        </w:rPr>
        <w:t>食品生产许可证</w:t>
      </w:r>
    </w:p>
    <w:p w14:paraId="3166E1B2">
      <w:pPr>
        <w:pStyle w:val="59"/>
        <w:ind w:firstLine="420"/>
      </w:pPr>
      <w:r>
        <w:rPr>
          <w:rFonts w:hint="eastAsia"/>
        </w:rPr>
        <w:t>企业向市场监督管理部门申请办理食品生产许可，出口时向所在地海关出具。</w:t>
      </w:r>
    </w:p>
    <w:p w14:paraId="4AAD4821">
      <w:pPr>
        <w:pStyle w:val="182"/>
        <w:ind w:left="0"/>
      </w:pPr>
      <w:r>
        <w:rPr>
          <w:rFonts w:hint="eastAsia"/>
        </w:rPr>
        <w:t>出口加工区内的食品生产企业，及出口加工区外的食品生产企业仅以出口为目的，均无需办理食品《食品生产许可证》。</w:t>
      </w:r>
    </w:p>
    <w:p w14:paraId="1BF77620">
      <w:pPr>
        <w:pStyle w:val="101"/>
        <w:spacing w:before="120" w:after="120"/>
      </w:pPr>
      <w:r>
        <w:rPr>
          <w:rFonts w:hint="eastAsia"/>
        </w:rPr>
        <w:t>出口食品生产企业备案证明</w:t>
      </w:r>
    </w:p>
    <w:p w14:paraId="6B1159FD">
      <w:pPr>
        <w:pStyle w:val="59"/>
        <w:ind w:firstLine="420"/>
      </w:pPr>
      <w:r>
        <w:rPr>
          <w:rFonts w:hint="eastAsia"/>
        </w:rPr>
        <w:t>企业向所在地海关申请办理，出口食品生产企业备案提交材料目录见附录C。</w:t>
      </w:r>
    </w:p>
    <w:p w14:paraId="5545AEEF">
      <w:pPr>
        <w:pStyle w:val="97"/>
        <w:spacing w:before="120" w:after="120"/>
        <w:ind w:left="0"/>
        <w:rPr>
          <w:color w:val="auto"/>
        </w:rPr>
      </w:pPr>
      <w:bookmarkStart w:id="80" w:name="OLE_LINK1"/>
      <w:bookmarkStart w:id="81" w:name="OLE_LINK2"/>
      <w:r>
        <w:rPr>
          <w:rFonts w:hint="eastAsia"/>
          <w:color w:val="auto"/>
        </w:rPr>
        <w:t>生产加工过程管理</w:t>
      </w:r>
    </w:p>
    <w:p w14:paraId="1E2E8C34">
      <w:pPr>
        <w:pStyle w:val="101"/>
        <w:spacing w:before="120" w:after="120"/>
      </w:pPr>
      <w:r>
        <w:rPr>
          <w:rFonts w:hint="eastAsia"/>
        </w:rPr>
        <w:t>预包装南宁老友粉加工与检验</w:t>
      </w:r>
    </w:p>
    <w:p w14:paraId="6E51DE9A">
      <w:pPr>
        <w:pStyle w:val="59"/>
        <w:ind w:firstLine="420"/>
        <w:rPr>
          <w:color w:val="auto"/>
        </w:rPr>
      </w:pPr>
      <w:r>
        <w:rPr>
          <w:rFonts w:hint="eastAsia"/>
        </w:rPr>
        <w:t>宜</w:t>
      </w:r>
      <w:r>
        <w:rPr>
          <w:rFonts w:hint="eastAsia"/>
          <w:color w:val="000000" w:themeColor="text1"/>
          <w14:textFill>
            <w14:solidFill>
              <w14:schemeClr w14:val="tx1"/>
            </w14:solidFill>
          </w14:textFill>
        </w:rPr>
        <w:t>按</w:t>
      </w:r>
      <w:r>
        <w:rPr>
          <w:rFonts w:hint="eastAsia"/>
        </w:rPr>
        <w:t>DB45/T 2560、</w:t>
      </w:r>
      <w:r>
        <w:rPr>
          <w:color w:val="000000" w:themeColor="text1"/>
          <w14:textFill>
            <w14:solidFill>
              <w14:schemeClr w14:val="tx1"/>
            </w14:solidFill>
          </w14:textFill>
        </w:rPr>
        <w:t>SN/T 0395</w:t>
      </w:r>
      <w:r>
        <w:rPr>
          <w:rFonts w:hint="eastAsia"/>
          <w:color w:val="000000" w:themeColor="text1"/>
          <w14:textFill>
            <w14:solidFill>
              <w14:schemeClr w14:val="tx1"/>
            </w14:solidFill>
          </w14:textFill>
        </w:rPr>
        <w:t>、</w:t>
      </w:r>
      <w:r>
        <w:rPr>
          <w:rFonts w:hint="eastAsia"/>
        </w:rPr>
        <w:t>DBS45/</w:t>
      </w:r>
      <w:r>
        <w:rPr>
          <w:rFonts w:hint="eastAsia"/>
          <w:color w:val="auto"/>
        </w:rPr>
        <w:t xml:space="preserve"> 053执行。微生物限量和食品添加剂限量</w:t>
      </w:r>
      <w:r>
        <w:rPr>
          <w:rFonts w:hint="eastAsia"/>
          <w:color w:val="auto"/>
          <w:lang w:eastAsia="zh-CN"/>
        </w:rPr>
        <w:t>信息</w:t>
      </w:r>
      <w:r>
        <w:rPr>
          <w:rFonts w:hint="eastAsia"/>
          <w:color w:val="auto"/>
        </w:rPr>
        <w:t>见附录A。</w:t>
      </w:r>
    </w:p>
    <w:p w14:paraId="3821A119">
      <w:pPr>
        <w:pStyle w:val="101"/>
        <w:spacing w:before="120" w:after="120"/>
        <w:rPr>
          <w:color w:val="auto"/>
        </w:rPr>
      </w:pPr>
      <w:r>
        <w:rPr>
          <w:rFonts w:hint="eastAsia"/>
          <w:color w:val="auto"/>
        </w:rPr>
        <w:t>建立食品防护计划</w:t>
      </w:r>
    </w:p>
    <w:p w14:paraId="0390B1D5">
      <w:pPr>
        <w:pStyle w:val="59"/>
        <w:ind w:firstLine="420"/>
      </w:pPr>
      <w:r>
        <w:rPr>
          <w:rFonts w:hint="eastAsia"/>
          <w:color w:val="auto"/>
        </w:rPr>
        <w:t>企业宜采取有效措施防止故意污染和蓄意破坏行为的发生，宜按GB/T 2</w:t>
      </w:r>
      <w:r>
        <w:rPr>
          <w:rFonts w:hint="eastAsia"/>
        </w:rPr>
        <w:t>7320的要求成立食品安全防护小组。</w:t>
      </w:r>
    </w:p>
    <w:p w14:paraId="16E39F01">
      <w:pPr>
        <w:pStyle w:val="68"/>
        <w:spacing w:before="120" w:after="120"/>
        <w:ind w:left="0"/>
      </w:pPr>
      <w:r>
        <w:rPr>
          <w:rFonts w:hint="eastAsia"/>
        </w:rPr>
        <w:t>进出口货物收发货人备案</w:t>
      </w:r>
      <w:bookmarkEnd w:id="80"/>
      <w:bookmarkEnd w:id="81"/>
    </w:p>
    <w:p w14:paraId="524E74A8">
      <w:pPr>
        <w:pStyle w:val="59"/>
        <w:ind w:firstLine="420"/>
      </w:pPr>
      <w:r>
        <w:rPr>
          <w:rFonts w:hint="eastAsia"/>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bookmarkEnd w:id="79"/>
    <w:p w14:paraId="0F0DDF83">
      <w:pPr>
        <w:pStyle w:val="108"/>
        <w:spacing w:before="120" w:after="120"/>
        <w:ind w:left="0"/>
      </w:pPr>
      <w:bookmarkStart w:id="82" w:name="_Toc181862647"/>
      <w:r>
        <w:rPr>
          <w:rFonts w:hint="eastAsia"/>
        </w:rPr>
        <w:t>出口申报</w:t>
      </w:r>
      <w:bookmarkEnd w:id="82"/>
    </w:p>
    <w:p w14:paraId="0C57B334">
      <w:pPr>
        <w:pStyle w:val="68"/>
        <w:spacing w:before="120" w:after="120"/>
        <w:ind w:left="0"/>
      </w:pPr>
      <w:r>
        <w:rPr>
          <w:rFonts w:hint="eastAsia"/>
        </w:rPr>
        <w:t>申请出口商品信息填写</w:t>
      </w:r>
    </w:p>
    <w:p w14:paraId="68F1654C">
      <w:pPr>
        <w:pStyle w:val="59"/>
        <w:ind w:firstLine="420"/>
      </w:pPr>
      <w:r>
        <w:rPr>
          <w:rFonts w:hint="eastAsia"/>
        </w:rPr>
        <w:t>出口报关申请商品信息的填写，首先登录《“互联网+海关”一体化平台》或《中国（广西）国际贸易单一窗口》，按系统界面提示要求逐项填写商品信息，再将附件资料上传到海关相关《业务平台》，附件资料种类及要求详见附录D。</w:t>
      </w:r>
    </w:p>
    <w:p w14:paraId="04ECD6BE">
      <w:pPr>
        <w:pStyle w:val="68"/>
        <w:spacing w:before="120" w:after="120"/>
        <w:ind w:left="0"/>
      </w:pPr>
      <w:r>
        <w:rPr>
          <w:rFonts w:hint="eastAsia"/>
        </w:rPr>
        <w:t>申请资料审核受理</w:t>
      </w:r>
    </w:p>
    <w:p w14:paraId="467C9B1C">
      <w:pPr>
        <w:pStyle w:val="59"/>
        <w:ind w:firstLine="420"/>
      </w:pPr>
      <w:r>
        <w:rPr>
          <w:rFonts w:hint="eastAsia"/>
        </w:rPr>
        <w:t>协助海关按规定对申请资料进行审核。</w:t>
      </w:r>
    </w:p>
    <w:p w14:paraId="4BE489F5">
      <w:pPr>
        <w:pStyle w:val="68"/>
        <w:spacing w:before="120" w:after="120"/>
        <w:ind w:left="0"/>
      </w:pPr>
      <w:r>
        <w:rPr>
          <w:rFonts w:hint="eastAsia"/>
        </w:rPr>
        <w:t>检验检疫</w:t>
      </w:r>
    </w:p>
    <w:p w14:paraId="4BF0C763">
      <w:pPr>
        <w:pStyle w:val="59"/>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pPr>
      <w:r>
        <w:rPr>
          <w:rFonts w:hint="eastAsia"/>
        </w:rPr>
        <w:t>协助海关按“业务管理系统”布控要求进行查验、抽检（检验检疫），对于非洲地区提出要求海关出具的检验检疫要求，出具《检疫处理工作记录单》《处理结果报告单》等材料。</w:t>
      </w:r>
    </w:p>
    <w:bookmarkEnd w:id="25"/>
    <w:p w14:paraId="3797C3D5">
      <w:pPr>
        <w:pStyle w:val="201"/>
      </w:pPr>
      <w:bookmarkStart w:id="83" w:name="BookMark5"/>
    </w:p>
    <w:p w14:paraId="0DA0BC36">
      <w:pPr>
        <w:pStyle w:val="202"/>
      </w:pPr>
    </w:p>
    <w:p w14:paraId="78267742">
      <w:pPr>
        <w:pStyle w:val="79"/>
        <w:spacing w:before="60" w:after="120"/>
      </w:pPr>
      <w:r>
        <w:br w:type="textWrapping"/>
      </w:r>
      <w:r>
        <w:rPr>
          <w:rFonts w:hint="eastAsia"/>
        </w:rPr>
        <w:t>（资料性）</w:t>
      </w:r>
      <w:r>
        <w:br w:type="textWrapping"/>
      </w:r>
      <w:r>
        <w:rPr>
          <w:rFonts w:hint="eastAsia"/>
        </w:rPr>
        <w:t>预包装南宁老友粉出口非洲地区需要关注的信息</w:t>
      </w:r>
    </w:p>
    <w:p w14:paraId="21B68E0B">
      <w:pPr>
        <w:numPr>
          <w:ilvl w:val="1"/>
          <w:numId w:val="33"/>
        </w:numPr>
        <w:adjustRightInd/>
        <w:spacing w:before="120" w:beforeLines="50" w:after="120" w:afterLines="50" w:line="240" w:lineRule="auto"/>
        <w:outlineLvl w:val="2"/>
        <w:rPr>
          <w:rFonts w:ascii="黑体" w:hAnsi="黑体" w:eastAsia="黑体"/>
          <w:color w:val="auto"/>
          <w:kern w:val="21"/>
        </w:rPr>
      </w:pPr>
      <w:r>
        <w:rPr>
          <w:rFonts w:hint="eastAsia" w:ascii="黑体" w:hAnsi="黑体" w:eastAsia="黑体"/>
          <w:kern w:val="21"/>
        </w:rPr>
        <w:t>食品质</w:t>
      </w:r>
      <w:r>
        <w:rPr>
          <w:rFonts w:hint="eastAsia" w:ascii="黑体" w:hAnsi="黑体" w:eastAsia="黑体"/>
          <w:color w:val="auto"/>
          <w:kern w:val="21"/>
        </w:rPr>
        <w:t>量信息</w:t>
      </w:r>
    </w:p>
    <w:p w14:paraId="14096613">
      <w:pPr>
        <w:pStyle w:val="82"/>
        <w:spacing w:before="120" w:after="120"/>
        <w:rPr>
          <w:color w:val="auto"/>
        </w:rPr>
      </w:pPr>
      <w:r>
        <w:rPr>
          <w:color w:val="auto"/>
        </w:rPr>
        <w:t>微生物限量</w:t>
      </w:r>
    </w:p>
    <w:p w14:paraId="0C20484C">
      <w:pPr>
        <w:pStyle w:val="215"/>
        <w:numPr>
          <w:ilvl w:val="2"/>
          <w:numId w:val="0"/>
        </w:numPr>
        <w:ind w:firstLine="420" w:firstLineChars="200"/>
        <w:rPr>
          <w:color w:val="auto"/>
        </w:rPr>
      </w:pPr>
      <w:r>
        <w:rPr>
          <w:color w:val="auto"/>
        </w:rPr>
        <w:t>非洲国家普遍要求食品符合卫生与植物卫生（SPS）标准，例如：</w:t>
      </w:r>
    </w:p>
    <w:p w14:paraId="0CED2BAF">
      <w:pPr>
        <w:pStyle w:val="135"/>
        <w:rPr>
          <w:color w:val="auto"/>
        </w:rPr>
      </w:pPr>
      <w:r>
        <w:rPr>
          <w:color w:val="auto"/>
        </w:rPr>
        <w:t>南非：依据《食品安全法》和《卫生法》，进口食品需提供卫生检验证书，</w:t>
      </w:r>
      <w:r>
        <w:rPr>
          <w:rFonts w:hint="eastAsia"/>
          <w:color w:val="auto"/>
          <w:kern w:val="21"/>
        </w:rPr>
        <w:t>确保</w:t>
      </w:r>
      <w:r>
        <w:rPr>
          <w:color w:val="auto"/>
          <w:kern w:val="21"/>
        </w:rPr>
        <w:t>致病微生物（如沙门氏菌、大肠杆菌）</w:t>
      </w:r>
      <w:r>
        <w:rPr>
          <w:rFonts w:hint="eastAsia"/>
          <w:color w:val="auto"/>
          <w:kern w:val="21"/>
        </w:rPr>
        <w:t>符合规定；</w:t>
      </w:r>
    </w:p>
    <w:p w14:paraId="2A4C53B9">
      <w:pPr>
        <w:pStyle w:val="135"/>
        <w:rPr>
          <w:color w:val="auto"/>
        </w:rPr>
      </w:pPr>
      <w:r>
        <w:rPr>
          <w:color w:val="auto"/>
        </w:rPr>
        <w:t>尼日利亚：NAFDAC要求食品通过微生物安全检测</w:t>
      </w:r>
      <w:r>
        <w:rPr>
          <w:rFonts w:hint="eastAsia"/>
          <w:color w:val="auto"/>
        </w:rPr>
        <w:t>；</w:t>
      </w:r>
    </w:p>
    <w:p w14:paraId="7969509F">
      <w:pPr>
        <w:pStyle w:val="135"/>
        <w:rPr>
          <w:color w:val="auto"/>
        </w:rPr>
      </w:pPr>
      <w:r>
        <w:rPr>
          <w:color w:val="auto"/>
        </w:rPr>
        <w:t>肯尼亚：KEBS规定食品需通过微生物指标检测，如水产品、乳制品需符合国际食品法典（Codex）标准</w:t>
      </w:r>
      <w:r>
        <w:rPr>
          <w:rFonts w:hint="eastAsia"/>
          <w:color w:val="auto"/>
        </w:rPr>
        <w:t>；</w:t>
      </w:r>
    </w:p>
    <w:p w14:paraId="01C9101D">
      <w:pPr>
        <w:pStyle w:val="135"/>
        <w:rPr>
          <w:color w:val="auto"/>
        </w:rPr>
      </w:pPr>
      <w:r>
        <w:rPr>
          <w:rFonts w:hint="eastAsia"/>
          <w:color w:val="auto"/>
        </w:rPr>
        <w:t>部分国家要求食品符合国际标准（如ISO）或本地技术法规（如肯尼亚PVOC认证需提供产品测试报告）。</w:t>
      </w:r>
    </w:p>
    <w:p w14:paraId="3D726AE1">
      <w:pPr>
        <w:pStyle w:val="82"/>
        <w:spacing w:before="120" w:after="120"/>
        <w:rPr>
          <w:color w:val="auto"/>
        </w:rPr>
      </w:pPr>
      <w:r>
        <w:rPr>
          <w:color w:val="auto"/>
        </w:rPr>
        <w:t>农药残留</w:t>
      </w:r>
    </w:p>
    <w:p w14:paraId="252B2F53">
      <w:pPr>
        <w:pStyle w:val="216"/>
        <w:rPr>
          <w:rFonts w:hint="eastAsia"/>
          <w:color w:val="auto"/>
        </w:rPr>
      </w:pPr>
      <w:r>
        <w:rPr>
          <w:rFonts w:hint="eastAsia"/>
          <w:color w:val="auto"/>
        </w:rPr>
        <w:t>非洲多国对农药残留的限量标准严苛，需优化种植管理，减少高残留农药使用；出口前需依据进口国标准进行全项检测，</w:t>
      </w:r>
      <w:r>
        <w:rPr>
          <w:color w:val="auto"/>
        </w:rPr>
        <w:t>如</w:t>
      </w:r>
      <w:r>
        <w:rPr>
          <w:rFonts w:hint="eastAsia"/>
          <w:color w:val="auto"/>
        </w:rPr>
        <w:t>埃及、肯尼亚要求提供农药残留检测报告，但部分农药如草甘膦、吡虫啉的限量低于我国</w:t>
      </w:r>
      <w:r>
        <w:rPr>
          <w:rFonts w:hint="eastAsia"/>
          <w:color w:val="auto"/>
          <w:lang w:eastAsia="zh-CN"/>
        </w:rPr>
        <w:t>。</w:t>
      </w:r>
    </w:p>
    <w:p w14:paraId="7C6A084D">
      <w:pPr>
        <w:pStyle w:val="216"/>
        <w:rPr>
          <w:color w:val="auto"/>
        </w:rPr>
      </w:pPr>
      <w:r>
        <w:rPr>
          <w:rFonts w:hint="eastAsia"/>
          <w:color w:val="auto"/>
        </w:rPr>
        <w:t>肯尼亚KEBS对水果、蔬菜中的农药残留（如乙烯利）设定限量，参考欧盟标准，例如香蕉中乙烯利残留不得超过2mg/kg</w:t>
      </w:r>
      <w:r>
        <w:rPr>
          <w:rFonts w:hint="eastAsia"/>
          <w:color w:val="auto"/>
          <w:lang w:eastAsia="zh-CN"/>
        </w:rPr>
        <w:t>；</w:t>
      </w:r>
      <w:r>
        <w:rPr>
          <w:rFonts w:hint="eastAsia"/>
          <w:color w:val="auto"/>
        </w:rPr>
        <w:t>埃及</w:t>
      </w:r>
      <w:r>
        <w:rPr>
          <w:color w:val="auto"/>
        </w:rPr>
        <w:t>NFSA要求进口食品需附农药残留检测证明，重点管控有机氯杀虫剂（如林丹）</w:t>
      </w:r>
      <w:r>
        <w:rPr>
          <w:rFonts w:hint="eastAsia"/>
          <w:color w:val="auto"/>
        </w:rPr>
        <w:t>。</w:t>
      </w:r>
    </w:p>
    <w:p w14:paraId="269EF8E2">
      <w:pPr>
        <w:pStyle w:val="216"/>
        <w:rPr>
          <w:color w:val="auto"/>
        </w:rPr>
      </w:pPr>
      <w:r>
        <w:rPr>
          <w:rFonts w:hint="eastAsia"/>
          <w:color w:val="auto"/>
          <w:lang w:val="en-US" w:eastAsia="zh-CN"/>
        </w:rPr>
        <w:t>农药通用标准可参考非洲联盟《农药管理示范法》（2018版），或查询非洲农药残留数据库等官方网站。</w:t>
      </w:r>
    </w:p>
    <w:p w14:paraId="7E37D7A9">
      <w:pPr>
        <w:pStyle w:val="82"/>
        <w:spacing w:before="120" w:after="120"/>
        <w:rPr>
          <w:color w:val="auto"/>
        </w:rPr>
      </w:pPr>
      <w:r>
        <w:rPr>
          <w:color w:val="auto"/>
        </w:rPr>
        <w:t>金属含量</w:t>
      </w:r>
    </w:p>
    <w:p w14:paraId="5BA5836E">
      <w:pPr>
        <w:pStyle w:val="216"/>
        <w:rPr>
          <w:color w:val="auto"/>
        </w:rPr>
      </w:pPr>
      <w:r>
        <w:rPr>
          <w:color w:val="auto"/>
        </w:rPr>
        <w:t>南非：依据SABS标准，对食品中铅、镉、汞等重金属设定严格限量，如谷物、水产品需符合国际食品法典的污染物标准</w:t>
      </w:r>
      <w:r>
        <w:rPr>
          <w:rFonts w:hint="eastAsia"/>
          <w:color w:val="auto"/>
        </w:rPr>
        <w:t>。</w:t>
      </w:r>
    </w:p>
    <w:p w14:paraId="242831D4">
      <w:pPr>
        <w:pStyle w:val="216"/>
        <w:rPr>
          <w:color w:val="auto"/>
        </w:rPr>
      </w:pPr>
      <w:r>
        <w:rPr>
          <w:color w:val="auto"/>
        </w:rPr>
        <w:t>尼日利亚：NAFDAC要求进口食品提供重金属检测报告。</w:t>
      </w:r>
    </w:p>
    <w:p w14:paraId="4BBFDEB1">
      <w:pPr>
        <w:pStyle w:val="216"/>
      </w:pPr>
      <w:r>
        <w:rPr>
          <w:rFonts w:hint="eastAsia"/>
          <w:color w:val="auto"/>
        </w:rPr>
        <w:t>其他非洲国家对铅、镉等重金属的限量要求严格，出口企业需加强原料产地环境监测。</w:t>
      </w:r>
    </w:p>
    <w:p w14:paraId="3A1098BD">
      <w:pPr>
        <w:pStyle w:val="82"/>
        <w:spacing w:before="120" w:after="120"/>
        <w:rPr>
          <w:color w:val="auto"/>
        </w:rPr>
      </w:pPr>
      <w:r>
        <w:rPr>
          <w:rFonts w:hint="eastAsia"/>
          <w:color w:val="auto"/>
        </w:rPr>
        <w:t>食品添加剂</w:t>
      </w:r>
    </w:p>
    <w:p w14:paraId="0FD3D270">
      <w:pPr>
        <w:pStyle w:val="59"/>
        <w:ind w:firstLine="420"/>
        <w:rPr>
          <w:color w:val="auto"/>
        </w:rPr>
      </w:pPr>
      <w:r>
        <w:rPr>
          <w:color w:val="auto"/>
        </w:rPr>
        <w:t>允许使用的添加剂类型</w:t>
      </w:r>
      <w:r>
        <w:rPr>
          <w:rFonts w:hint="eastAsia"/>
          <w:color w:val="auto"/>
        </w:rPr>
        <w:t>：</w:t>
      </w:r>
    </w:p>
    <w:p w14:paraId="7BE19E74">
      <w:pPr>
        <w:pStyle w:val="135"/>
        <w:rPr>
          <w:color w:val="auto"/>
        </w:rPr>
      </w:pPr>
      <w:r>
        <w:rPr>
          <w:color w:val="auto"/>
        </w:rPr>
        <w:t>南非：允许使用国际通用的防腐剂、甜味剂（如甜菊糖苷）、乳化剂等，但需在标签中明确标注</w:t>
      </w:r>
      <w:r>
        <w:rPr>
          <w:rFonts w:hint="eastAsia"/>
          <w:color w:val="auto"/>
        </w:rPr>
        <w:t>；</w:t>
      </w:r>
    </w:p>
    <w:p w14:paraId="5756498E">
      <w:pPr>
        <w:pStyle w:val="135"/>
        <w:rPr>
          <w:color w:val="auto"/>
        </w:rPr>
      </w:pPr>
      <w:r>
        <w:rPr>
          <w:color w:val="auto"/>
        </w:rPr>
        <w:t>尼日利亚：</w:t>
      </w:r>
      <w:r>
        <w:rPr>
          <w:rFonts w:hint="eastAsia"/>
          <w:color w:val="auto"/>
        </w:rPr>
        <w:t>需符合</w:t>
      </w:r>
      <w:r>
        <w:rPr>
          <w:color w:val="auto"/>
        </w:rPr>
        <w:t>NAFDAC发布合法添加剂清单，禁止人工合成甜味剂（如糖精）用于特定食品</w:t>
      </w:r>
      <w:r>
        <w:rPr>
          <w:rFonts w:hint="eastAsia"/>
          <w:color w:val="auto"/>
        </w:rPr>
        <w:t>；</w:t>
      </w:r>
    </w:p>
    <w:p w14:paraId="05EC8363">
      <w:pPr>
        <w:pStyle w:val="135"/>
        <w:rPr>
          <w:color w:val="auto"/>
        </w:rPr>
      </w:pPr>
      <w:r>
        <w:rPr>
          <w:color w:val="auto"/>
        </w:rPr>
        <w:t>加纳：鼓励使用天然添加剂（如海藻酸钠），禁止未注册的合成添加剂</w:t>
      </w:r>
      <w:r>
        <w:rPr>
          <w:rFonts w:hint="eastAsia"/>
          <w:color w:val="auto"/>
        </w:rPr>
        <w:t>；</w:t>
      </w:r>
    </w:p>
    <w:p w14:paraId="200322D3">
      <w:pPr>
        <w:pStyle w:val="135"/>
        <w:rPr>
          <w:color w:val="auto"/>
        </w:rPr>
      </w:pPr>
      <w:r>
        <w:rPr>
          <w:color w:val="auto"/>
        </w:rPr>
        <w:t>非洲市场（尤其是南非）对清洁标签需求增加，要求减少人工添加剂，优先使用天然成分（如植物提取物）</w:t>
      </w:r>
      <w:r>
        <w:rPr>
          <w:rFonts w:hint="eastAsia"/>
          <w:color w:val="auto"/>
        </w:rPr>
        <w:t>。</w:t>
      </w:r>
    </w:p>
    <w:p w14:paraId="34465E6B">
      <w:pPr>
        <w:pStyle w:val="81"/>
        <w:spacing w:before="120" w:after="120"/>
        <w:rPr>
          <w:color w:val="auto"/>
        </w:rPr>
      </w:pPr>
      <w:r>
        <w:rPr>
          <w:rFonts w:hint="eastAsia"/>
        </w:rPr>
        <w:t>食</w:t>
      </w:r>
      <w:r>
        <w:rPr>
          <w:rFonts w:hint="eastAsia"/>
          <w:color w:val="auto"/>
        </w:rPr>
        <w:t>品标签信息</w:t>
      </w:r>
    </w:p>
    <w:p w14:paraId="02846EBB">
      <w:pPr>
        <w:pStyle w:val="82"/>
        <w:spacing w:before="120" w:after="120"/>
        <w:rPr>
          <w:color w:val="auto"/>
        </w:rPr>
      </w:pPr>
      <w:r>
        <w:rPr>
          <w:rFonts w:hint="eastAsia"/>
          <w:color w:val="auto"/>
        </w:rPr>
        <w:t>语言文字</w:t>
      </w:r>
    </w:p>
    <w:p w14:paraId="55D48189">
      <w:pPr>
        <w:pStyle w:val="59"/>
        <w:ind w:firstLine="420"/>
        <w:rPr>
          <w:color w:val="auto"/>
        </w:rPr>
      </w:pPr>
      <w:r>
        <w:rPr>
          <w:rFonts w:hint="eastAsia"/>
          <w:color w:val="auto"/>
          <w:kern w:val="21"/>
        </w:rPr>
        <w:t>南非、尼日利亚需英语标签；埃及需阿拉伯语标签；肯尼亚、坦桑尼亚接受英语或斯瓦希里语标签。其他国家应符合官方语言要求，</w:t>
      </w:r>
      <w:r>
        <w:rPr>
          <w:rFonts w:hint="eastAsia"/>
          <w:color w:val="auto"/>
        </w:rPr>
        <w:t>部分国家可能要求双语或多语标签。</w:t>
      </w:r>
    </w:p>
    <w:p w14:paraId="09D27865">
      <w:pPr>
        <w:pStyle w:val="82"/>
        <w:spacing w:before="120" w:after="120"/>
        <w:rPr>
          <w:color w:val="auto"/>
        </w:rPr>
      </w:pPr>
      <w:r>
        <w:rPr>
          <w:rFonts w:hint="eastAsia"/>
          <w:color w:val="auto"/>
        </w:rPr>
        <w:t>基本信息</w:t>
      </w:r>
    </w:p>
    <w:p w14:paraId="2FD96607">
      <w:pPr>
        <w:pStyle w:val="216"/>
        <w:rPr>
          <w:color w:val="auto"/>
        </w:rPr>
      </w:pPr>
      <w:r>
        <w:rPr>
          <w:rFonts w:hint="eastAsia"/>
          <w:color w:val="auto"/>
        </w:rPr>
        <w:t>产品</w:t>
      </w:r>
      <w:r>
        <w:rPr>
          <w:color w:val="auto"/>
        </w:rPr>
        <w:t>名称</w:t>
      </w:r>
      <w:r>
        <w:rPr>
          <w:rFonts w:hint="eastAsia"/>
          <w:color w:val="auto"/>
        </w:rPr>
        <w:t>：使用通用名称或标准名称合法证件信息。</w:t>
      </w:r>
    </w:p>
    <w:p w14:paraId="3B75A8D7">
      <w:pPr>
        <w:pStyle w:val="216"/>
        <w:rPr>
          <w:color w:val="auto"/>
        </w:rPr>
      </w:pPr>
      <w:r>
        <w:rPr>
          <w:rFonts w:hint="eastAsia"/>
          <w:color w:val="auto"/>
        </w:rPr>
        <w:t>配料表：按质量从高到低列出所有成分。非洲部分国家要求标示过敏原（如小麦、大豆、花生等），部分穆斯林国家需标注清真认证（Halal）。</w:t>
      </w:r>
    </w:p>
    <w:p w14:paraId="4C076941">
      <w:pPr>
        <w:pStyle w:val="216"/>
        <w:rPr>
          <w:color w:val="auto"/>
        </w:rPr>
      </w:pPr>
      <w:r>
        <w:rPr>
          <w:rFonts w:hint="eastAsia"/>
          <w:color w:val="auto"/>
        </w:rPr>
        <w:t>原产国：非洲地区要求强制标注原产国。</w:t>
      </w:r>
    </w:p>
    <w:p w14:paraId="2B829FC1">
      <w:pPr>
        <w:pStyle w:val="216"/>
        <w:rPr>
          <w:color w:val="auto"/>
        </w:rPr>
      </w:pPr>
      <w:r>
        <w:rPr>
          <w:rFonts w:hint="eastAsia"/>
          <w:color w:val="auto"/>
        </w:rPr>
        <w:t>生产商/进口商信息：名称、地址及联系方式（电话/邮箱）。</w:t>
      </w:r>
    </w:p>
    <w:p w14:paraId="48DD01BA">
      <w:pPr>
        <w:pStyle w:val="216"/>
        <w:rPr>
          <w:color w:val="auto"/>
        </w:rPr>
      </w:pPr>
      <w:r>
        <w:rPr>
          <w:rFonts w:hint="eastAsia"/>
          <w:color w:val="auto"/>
        </w:rPr>
        <w:t>营养成分标签：</w:t>
      </w:r>
    </w:p>
    <w:p w14:paraId="0332811A">
      <w:pPr>
        <w:pStyle w:val="135"/>
        <w:rPr>
          <w:color w:val="auto"/>
        </w:rPr>
      </w:pPr>
      <w:r>
        <w:rPr>
          <w:rFonts w:hint="eastAsia"/>
          <w:color w:val="auto"/>
        </w:rPr>
        <w:t>包括标示能量、蛋白质、脂肪、碳水化合物和钠的含量及其占每日参考值（NRV）的百分比等，以每100</w:t>
      </w:r>
      <w:r>
        <w:rPr>
          <w:rFonts w:hint="eastAsia"/>
          <w:color w:val="auto"/>
          <w:vertAlign w:val="subscript"/>
        </w:rPr>
        <w:t xml:space="preserve"> </w:t>
      </w:r>
      <w:r>
        <w:rPr>
          <w:rFonts w:hint="eastAsia"/>
          <w:color w:val="auto"/>
        </w:rPr>
        <w:t>g或100</w:t>
      </w:r>
      <w:r>
        <w:rPr>
          <w:color w:val="auto"/>
          <w:vertAlign w:val="superscript"/>
        </w:rPr>
        <w:t xml:space="preserve"> </w:t>
      </w:r>
      <w:r>
        <w:rPr>
          <w:rFonts w:hint="eastAsia"/>
          <w:color w:val="auto"/>
        </w:rPr>
        <w:t>mL为单位。可选择补充每份食品的具体含量，但需注明“份”的定义（如每份重量或体积）。</w:t>
      </w:r>
    </w:p>
    <w:p w14:paraId="358B7700">
      <w:pPr>
        <w:pStyle w:val="135"/>
        <w:rPr>
          <w:color w:val="auto"/>
        </w:rPr>
      </w:pPr>
      <w:r>
        <w:rPr>
          <w:rFonts w:hint="eastAsia"/>
          <w:color w:val="auto"/>
        </w:rPr>
        <w:t>若老友粉含氢化植物油，需强制标示反式脂肪酸含量。若添加维生素、矿物质等强化剂，需注明具体含量及NRV%。</w:t>
      </w:r>
      <w:r>
        <w:rPr>
          <w:rFonts w:hint="eastAsia"/>
          <w:color w:val="auto"/>
          <w:lang w:bidi="ar"/>
        </w:rPr>
        <w:t>其他应符合GB 28050和非洲地区出口</w:t>
      </w:r>
      <w:r>
        <w:rPr>
          <w:color w:val="auto"/>
          <w:lang w:bidi="ar"/>
        </w:rPr>
        <w:t>国</w:t>
      </w:r>
      <w:r>
        <w:rPr>
          <w:rFonts w:hint="eastAsia"/>
          <w:color w:val="auto"/>
          <w:lang w:bidi="ar"/>
        </w:rPr>
        <w:t>的要求</w:t>
      </w:r>
      <w:r>
        <w:rPr>
          <w:rFonts w:hint="eastAsia"/>
          <w:color w:val="auto"/>
        </w:rPr>
        <w:t>。</w:t>
      </w:r>
    </w:p>
    <w:p w14:paraId="551A4A39">
      <w:pPr>
        <w:pStyle w:val="216"/>
        <w:rPr>
          <w:color w:val="auto"/>
        </w:rPr>
      </w:pPr>
      <w:r>
        <w:rPr>
          <w:rFonts w:hint="eastAsia"/>
          <w:color w:val="auto"/>
        </w:rPr>
        <w:t>净含量：以公制单位(克、毫升等)标注。</w:t>
      </w:r>
    </w:p>
    <w:p w14:paraId="265CE123">
      <w:pPr>
        <w:pStyle w:val="216"/>
        <w:rPr>
          <w:color w:val="auto"/>
        </w:rPr>
      </w:pPr>
      <w:r>
        <w:rPr>
          <w:rFonts w:hint="eastAsia"/>
          <w:color w:val="auto"/>
        </w:rPr>
        <w:t>其他</w:t>
      </w:r>
      <w:r>
        <w:rPr>
          <w:color w:val="auto"/>
        </w:rPr>
        <w:t>：</w:t>
      </w:r>
      <w:r>
        <w:rPr>
          <w:rFonts w:hint="eastAsia"/>
          <w:color w:val="auto"/>
        </w:rPr>
        <w:t>生产日期、保质期、</w:t>
      </w:r>
      <w:r>
        <w:rPr>
          <w:rFonts w:hint="eastAsia" w:ascii="Calibri" w:hAnsi="Calibri"/>
          <w:color w:val="auto"/>
          <w:kern w:val="2"/>
          <w:szCs w:val="21"/>
          <w:lang w:bidi="ar"/>
        </w:rPr>
        <w:t>贮存条件。</w:t>
      </w:r>
    </w:p>
    <w:p w14:paraId="1DCB73B8">
      <w:pPr>
        <w:pStyle w:val="81"/>
        <w:spacing w:before="120" w:after="120"/>
        <w:rPr>
          <w:color w:val="auto"/>
        </w:rPr>
      </w:pPr>
      <w:r>
        <w:rPr>
          <w:rFonts w:hint="eastAsia"/>
          <w:color w:val="auto"/>
        </w:rPr>
        <w:t>合法证件信息</w:t>
      </w:r>
    </w:p>
    <w:p w14:paraId="444B852E">
      <w:pPr>
        <w:pStyle w:val="215"/>
        <w:rPr>
          <w:color w:val="auto"/>
        </w:rPr>
      </w:pPr>
      <w:r>
        <w:rPr>
          <w:rFonts w:hint="eastAsia"/>
          <w:color w:val="auto"/>
        </w:rPr>
        <w:t>商业发票、装箱单、提单（海运/空运提单）、合同等贸易文件。</w:t>
      </w:r>
    </w:p>
    <w:p w14:paraId="29200B46">
      <w:pPr>
        <w:pStyle w:val="215"/>
        <w:rPr>
          <w:color w:val="auto"/>
        </w:rPr>
      </w:pPr>
      <w:r>
        <w:rPr>
          <w:rFonts w:hint="eastAsia"/>
          <w:color w:val="auto"/>
        </w:rPr>
        <w:t>原产地证（用于关税优惠）和卫生证书（证明符合食品安全标准）。</w:t>
      </w:r>
    </w:p>
    <w:p w14:paraId="329362FF">
      <w:pPr>
        <w:pStyle w:val="215"/>
        <w:rPr>
          <w:color w:val="auto"/>
        </w:rPr>
      </w:pPr>
      <w:r>
        <w:rPr>
          <w:rFonts w:hint="eastAsia"/>
          <w:color w:val="auto"/>
        </w:rPr>
        <w:t>部分国家（如安哥拉）需提前取得装货证书编号并显示在提单上，否则无法清关。</w:t>
      </w:r>
    </w:p>
    <w:p w14:paraId="058B3D93">
      <w:pPr>
        <w:pStyle w:val="215"/>
        <w:rPr>
          <w:color w:val="auto"/>
        </w:rPr>
      </w:pPr>
      <w:r>
        <w:rPr>
          <w:rFonts w:hint="eastAsia"/>
          <w:color w:val="auto"/>
        </w:rPr>
        <w:t>北非国家（如阿尔及利亚、埃及亚历山大港）要求装运前检验检疫证明。西非港口（如拉各斯、科托努）需提供进口许可证号，且不可随意更改，否则面临高额罚金。</w:t>
      </w:r>
    </w:p>
    <w:p w14:paraId="65F64EF7">
      <w:pPr>
        <w:pStyle w:val="215"/>
        <w:rPr>
          <w:color w:val="auto"/>
          <w:highlight w:val="none"/>
        </w:rPr>
      </w:pPr>
      <w:r>
        <w:rPr>
          <w:rFonts w:hint="eastAsia"/>
          <w:color w:val="auto"/>
          <w:highlight w:val="none"/>
        </w:rPr>
        <w:t>符合性认证：如出口尼日利亚需办理产品符合性认证（SONCAP）证书；肯尼亚实施出口前符合性评定方案（PVOC），出口到肯尼亚的货物需随附一张产品符合性证书（COC）；出口坦桑尼亚需PVOC证书等，通过装船前验货和文件审核。具体宜参照目标出口国的官方网站或系统获取相关办理信息。</w:t>
      </w:r>
    </w:p>
    <w:p w14:paraId="211594E6">
      <w:pPr>
        <w:pStyle w:val="215"/>
        <w:rPr>
          <w:color w:val="auto"/>
          <w:highlight w:val="none"/>
        </w:rPr>
      </w:pPr>
      <w:r>
        <w:rPr>
          <w:rFonts w:hint="eastAsia"/>
          <w:color w:val="auto"/>
          <w:highlight w:val="none"/>
        </w:rPr>
        <w:t>电子货物跟踪单（ECTN）：西非多国（如加纳、科特迪瓦）要求装运前申请跟踪号，否则无法清关。</w:t>
      </w:r>
    </w:p>
    <w:p w14:paraId="6ED76A88">
      <w:pPr>
        <w:pStyle w:val="215"/>
      </w:pPr>
      <w:r>
        <w:rPr>
          <w:rFonts w:hint="eastAsia"/>
          <w:color w:val="auto"/>
          <w:highlight w:val="none"/>
        </w:rPr>
        <w:t>企业资质：部分国</w:t>
      </w:r>
      <w:r>
        <w:rPr>
          <w:rFonts w:hint="eastAsia"/>
          <w:color w:val="auto"/>
        </w:rPr>
        <w:t>家要求进口商在当地完成注册（如安哥拉需申请“安哥拉发货人委员会装载证书号码”（angolese shipper’s council loading certificate number），</w:t>
      </w:r>
      <w:r>
        <w:rPr>
          <w:rFonts w:hint="eastAsia"/>
        </w:rPr>
        <w:t>并在相关文件中注明。货物的包装、标签等需符合安哥拉的规定）。</w:t>
      </w:r>
    </w:p>
    <w:p w14:paraId="69703871">
      <w:pPr>
        <w:pStyle w:val="81"/>
        <w:spacing w:before="120" w:after="120"/>
      </w:pPr>
      <w:r>
        <w:rPr>
          <w:rFonts w:hint="eastAsia"/>
        </w:rPr>
        <w:t>物流运输信息</w:t>
      </w:r>
    </w:p>
    <w:p w14:paraId="6EDAC816">
      <w:pPr>
        <w:pStyle w:val="215"/>
        <w:rPr>
          <w:color w:val="auto"/>
        </w:rPr>
      </w:pPr>
      <w:r>
        <w:rPr>
          <w:rFonts w:hint="eastAsia"/>
        </w:rPr>
        <w:t>宜</w:t>
      </w:r>
      <w:r>
        <w:rPr>
          <w:rFonts w:hint="eastAsia"/>
          <w:color w:val="auto"/>
        </w:rPr>
        <w:t>根据产品保质期选择合适的物流运输方式，物流运输符合非洲地区的相关要求，能够保证货物在运输过程中的安全，避免损坏和泄漏。</w:t>
      </w:r>
    </w:p>
    <w:p w14:paraId="1873DDD6">
      <w:pPr>
        <w:pStyle w:val="216"/>
        <w:rPr>
          <w:color w:val="auto"/>
        </w:rPr>
      </w:pPr>
      <w:r>
        <w:rPr>
          <w:rFonts w:hint="eastAsia"/>
          <w:color w:val="auto"/>
        </w:rPr>
        <w:t>包装</w:t>
      </w:r>
      <w:r>
        <w:rPr>
          <w:color w:val="auto"/>
        </w:rPr>
        <w:t>材料</w:t>
      </w:r>
      <w:r>
        <w:rPr>
          <w:rFonts w:hint="eastAsia"/>
          <w:color w:val="auto"/>
        </w:rPr>
        <w:t>符合GB</w:t>
      </w:r>
      <w:r>
        <w:rPr>
          <w:color w:val="auto"/>
        </w:rPr>
        <w:t xml:space="preserve"> </w:t>
      </w:r>
      <w:r>
        <w:rPr>
          <w:rFonts w:hint="eastAsia"/>
          <w:color w:val="auto"/>
        </w:rPr>
        <w:t>4806.7和GB</w:t>
      </w:r>
      <w:r>
        <w:rPr>
          <w:color w:val="auto"/>
        </w:rPr>
        <w:t xml:space="preserve"> </w:t>
      </w:r>
      <w:r>
        <w:rPr>
          <w:rFonts w:hint="eastAsia"/>
          <w:color w:val="auto"/>
        </w:rPr>
        <w:t>4806.13的要求，</w:t>
      </w:r>
      <w:r>
        <w:rPr>
          <w:rFonts w:hint="eastAsia" w:hAnsi="宋体"/>
          <w:color w:val="auto"/>
          <w:kern w:val="0"/>
        </w:rPr>
        <w:t>需具备耐高温、防潮、抗压性能，适应非洲长途运输的颠簸和气候条件（如雨季潮湿），</w:t>
      </w:r>
      <w:r>
        <w:rPr>
          <w:rFonts w:hint="eastAsia"/>
          <w:color w:val="auto"/>
        </w:rPr>
        <w:t>包装需标注耐高温标识。包装需符合出口国法规（如尼日利亚标准组织认证），部分国家要求标注生产企业备案号。</w:t>
      </w:r>
    </w:p>
    <w:p w14:paraId="76516599">
      <w:pPr>
        <w:pStyle w:val="215"/>
        <w:rPr>
          <w:color w:val="auto"/>
        </w:rPr>
      </w:pPr>
      <w:r>
        <w:rPr>
          <w:rFonts w:hint="eastAsia"/>
          <w:color w:val="auto"/>
        </w:rPr>
        <w:t>宜选择做非洲专线的货运代理公司。非洲港口分为东非、西非、南非、北非四大区域，小批量货物可选择海运拼箱，但需确保货物信息准确。大件货可选择海运双清包税或者是空运双清包税的方式将货物运输到非洲。非洲专线的空运双清的时效为5</w:t>
      </w:r>
      <w:r>
        <w:rPr>
          <w:rFonts w:hint="eastAsia"/>
          <w:color w:val="auto"/>
          <w:vertAlign w:val="superscript"/>
        </w:rPr>
        <w:t xml:space="preserve"> </w:t>
      </w:r>
      <w:r>
        <w:rPr>
          <w:rFonts w:hint="eastAsia"/>
          <w:color w:val="auto"/>
        </w:rPr>
        <w:t>d～15</w:t>
      </w:r>
      <w:r>
        <w:rPr>
          <w:rFonts w:hint="eastAsia"/>
          <w:color w:val="auto"/>
          <w:vertAlign w:val="superscript"/>
        </w:rPr>
        <w:t xml:space="preserve"> </w:t>
      </w:r>
      <w:r>
        <w:rPr>
          <w:rFonts w:hint="eastAsia"/>
          <w:color w:val="auto"/>
        </w:rPr>
        <w:t>d，海运双清的时效为50</w:t>
      </w:r>
      <w:r>
        <w:rPr>
          <w:rFonts w:hint="eastAsia"/>
          <w:color w:val="auto"/>
          <w:vertAlign w:val="superscript"/>
        </w:rPr>
        <w:t xml:space="preserve"> </w:t>
      </w:r>
      <w:r>
        <w:rPr>
          <w:rFonts w:hint="eastAsia"/>
          <w:color w:val="auto"/>
        </w:rPr>
        <w:t>d～60</w:t>
      </w:r>
      <w:r>
        <w:rPr>
          <w:rFonts w:hint="eastAsia"/>
          <w:color w:val="auto"/>
          <w:vertAlign w:val="superscript"/>
        </w:rPr>
        <w:t xml:space="preserve"> </w:t>
      </w:r>
      <w:r>
        <w:rPr>
          <w:rFonts w:hint="eastAsia"/>
          <w:color w:val="auto"/>
        </w:rPr>
        <w:t>d。</w:t>
      </w:r>
    </w:p>
    <w:p w14:paraId="666540DF">
      <w:pPr>
        <w:pStyle w:val="215"/>
        <w:rPr>
          <w:color w:val="auto"/>
        </w:rPr>
      </w:pPr>
      <w:r>
        <w:rPr>
          <w:rFonts w:hint="eastAsia"/>
          <w:color w:val="auto"/>
        </w:rPr>
        <w:t>主要港口清关与物流要求。</w:t>
      </w:r>
    </w:p>
    <w:p w14:paraId="75C7607F">
      <w:pPr>
        <w:pStyle w:val="135"/>
        <w:rPr>
          <w:color w:val="auto"/>
        </w:rPr>
      </w:pPr>
      <w:r>
        <w:rPr>
          <w:rFonts w:hint="eastAsia"/>
          <w:color w:val="auto"/>
        </w:rPr>
        <w:t>尼日利亚拉各斯港：</w:t>
      </w:r>
    </w:p>
    <w:p w14:paraId="64CC33DE">
      <w:pPr>
        <w:pStyle w:val="190"/>
      </w:pPr>
      <w:r>
        <w:rPr>
          <w:rFonts w:hint="eastAsia"/>
        </w:rPr>
        <w:t>单证要求：需</w:t>
      </w:r>
      <w:r>
        <w:rPr>
          <w:rFonts w:hint="eastAsia"/>
          <w:color w:val="auto"/>
        </w:rPr>
        <w:t>提供SONCAP认证（COC认证）、FORM M号</w:t>
      </w:r>
      <w:r>
        <w:rPr>
          <w:rFonts w:hint="eastAsia"/>
        </w:rPr>
        <w:t>码（清关时需显示在提单上）、CRI检验编号（起运港商检后获得），否则货物可能被原船退回；</w:t>
      </w:r>
    </w:p>
    <w:p w14:paraId="69B03ABB">
      <w:pPr>
        <w:pStyle w:val="190"/>
      </w:pPr>
      <w:r>
        <w:rPr>
          <w:rFonts w:hint="eastAsia"/>
        </w:rPr>
        <w:t>特殊商品证明：食品需附制造和自由销售联合证书、放射性证明和成分分析证明书，含酒精饮料需酿造年代证书。</w:t>
      </w:r>
    </w:p>
    <w:p w14:paraId="71ADFFF0">
      <w:pPr>
        <w:pStyle w:val="135"/>
      </w:pPr>
      <w:r>
        <w:rPr>
          <w:rFonts w:hint="eastAsia"/>
        </w:rPr>
        <w:t>埃及塞德港：提单规范：承运条款为“CY-CY”时，需按特定格式填写卸货港，提单交货地需空白；若收货人自行安排内陆运输，品名描述栏需注明。</w:t>
      </w:r>
    </w:p>
    <w:p w14:paraId="63BEC15F">
      <w:pPr>
        <w:pStyle w:val="135"/>
      </w:pPr>
      <w:r>
        <w:rPr>
          <w:rFonts w:hint="eastAsia"/>
        </w:rPr>
        <w:t>科特迪瓦阿比让港：对预检有要求。需提供BIVAC/COTECNA（必维国际检验集团/瑞士检验集团）预检号码并标注于提单，否则面临海关罚款；过境货物需注明“科特迪瓦过境”以享受免税。</w:t>
      </w:r>
    </w:p>
    <w:p w14:paraId="0E3BF779">
      <w:pPr>
        <w:pStyle w:val="135"/>
        <w:rPr>
          <w:color w:val="0070C0"/>
        </w:rPr>
      </w:pPr>
      <w:r>
        <w:rPr>
          <w:rFonts w:hint="eastAsia"/>
        </w:rPr>
        <w:t>坦桑尼亚达累斯萨拉姆港：所有转运货物需提前提交箱单、发票和提单复印件办理转关手续，但目的国仍需二次清关；海关可能审查货值，货值过低需更改发票；集装箱限重13.5吨/20尺柜、27吨/40尺柜。</w:t>
      </w:r>
    </w:p>
    <w:p w14:paraId="0CBF868C">
      <w:pPr>
        <w:pStyle w:val="215"/>
        <w:rPr>
          <w:color w:val="auto"/>
        </w:rPr>
      </w:pPr>
      <w:r>
        <w:rPr>
          <w:rFonts w:hint="eastAsia"/>
          <w:color w:val="auto"/>
        </w:rPr>
        <w:t>其他西非港口：</w:t>
      </w:r>
    </w:p>
    <w:p w14:paraId="76383C89">
      <w:pPr>
        <w:pStyle w:val="135"/>
      </w:pPr>
      <w:r>
        <w:rPr>
          <w:rFonts w:hint="eastAsia"/>
          <w:color w:val="auto"/>
        </w:rPr>
        <w:t>贝宁科托努港、多哥</w:t>
      </w:r>
      <w:r>
        <w:rPr>
          <w:rFonts w:hint="eastAsia"/>
        </w:rPr>
        <w:t>洛美港：需提供CTN/BSC号码（货物追踪号），由收货人申请并显示于提单；</w:t>
      </w:r>
    </w:p>
    <w:p w14:paraId="55F45CE5">
      <w:pPr>
        <w:pStyle w:val="135"/>
      </w:pPr>
      <w:r>
        <w:rPr>
          <w:rFonts w:hint="eastAsia"/>
        </w:rPr>
        <w:t>刚果黑角港：需提前申请ECTN（电子货物追踪号），否则无法清关；</w:t>
      </w:r>
    </w:p>
    <w:p w14:paraId="57702050">
      <w:pPr>
        <w:pStyle w:val="135"/>
      </w:pPr>
      <w:r>
        <w:rPr>
          <w:rFonts w:hint="eastAsia"/>
        </w:rPr>
        <w:t>加纳特马港：需提供IDF号码（进口申报表编号）；</w:t>
      </w:r>
    </w:p>
    <w:p w14:paraId="7752E48F">
      <w:pPr>
        <w:pStyle w:val="135"/>
      </w:pPr>
      <w:r>
        <w:rPr>
          <w:rFonts w:hint="eastAsia"/>
        </w:rPr>
        <w:t>南非德班港等对内陆转运货重限制严格，超重将加收转运费；</w:t>
      </w:r>
    </w:p>
    <w:p w14:paraId="57670E04">
      <w:pPr>
        <w:pStyle w:val="135"/>
      </w:pPr>
      <w:r>
        <w:rPr>
          <w:rFonts w:hint="eastAsia"/>
        </w:rPr>
        <w:t>东非港口转运需预留时间办理转关手续，避免延误。</w:t>
      </w:r>
    </w:p>
    <w:p w14:paraId="101A2C7F">
      <w:pPr>
        <w:pStyle w:val="168"/>
        <w:numPr>
          <w:ilvl w:val="0"/>
          <w:numId w:val="0"/>
        </w:numPr>
        <w:sectPr>
          <w:pgSz w:w="11906" w:h="16838"/>
          <w:pgMar w:top="2410" w:right="1134" w:bottom="1134" w:left="1134" w:header="1418" w:footer="1134" w:gutter="284"/>
          <w:cols w:space="425" w:num="1"/>
          <w:formProt w:val="0"/>
          <w:docGrid w:linePitch="312" w:charSpace="0"/>
        </w:sectPr>
      </w:pPr>
    </w:p>
    <w:p w14:paraId="1831D2AD">
      <w:pPr>
        <w:pStyle w:val="79"/>
        <w:spacing w:before="60" w:after="120"/>
      </w:pPr>
      <w:r>
        <w:br w:type="textWrapping"/>
      </w:r>
      <w:bookmarkStart w:id="84" w:name="_Toc121234820"/>
      <w:bookmarkStart w:id="85" w:name="_Toc121234873"/>
      <w:bookmarkStart w:id="86" w:name="_Toc122339433"/>
      <w:bookmarkStart w:id="87" w:name="_Toc181862659"/>
      <w:r>
        <w:rPr>
          <w:rFonts w:hint="eastAsia"/>
        </w:rPr>
        <w:t>（资料性）</w:t>
      </w:r>
      <w:r>
        <w:br w:type="textWrapping"/>
      </w:r>
      <w:r>
        <w:rPr>
          <w:rFonts w:hint="eastAsia"/>
        </w:rPr>
        <w:t>出口食品原料种植（养殖）场备案申办</w:t>
      </w:r>
      <w:bookmarkEnd w:id="84"/>
      <w:bookmarkEnd w:id="85"/>
      <w:r>
        <w:rPr>
          <w:rFonts w:hint="eastAsia"/>
        </w:rPr>
        <w:t>提交材料目录</w:t>
      </w:r>
      <w:bookmarkEnd w:id="86"/>
      <w:bookmarkEnd w:id="87"/>
    </w:p>
    <w:p w14:paraId="170EC57A">
      <w:pPr>
        <w:pStyle w:val="59"/>
        <w:ind w:firstLine="420"/>
      </w:pPr>
      <w:r>
        <w:rPr>
          <w:rFonts w:hint="eastAsia"/>
        </w:rPr>
        <w:t>见表</w:t>
      </w:r>
      <w:r>
        <w:t>B</w:t>
      </w:r>
      <w:r>
        <w:rPr>
          <w:rFonts w:hint="eastAsia"/>
        </w:rPr>
        <w:t>.1。</w:t>
      </w:r>
    </w:p>
    <w:p w14:paraId="5EBBF32B">
      <w:pPr>
        <w:pStyle w:val="80"/>
        <w:numPr>
          <w:ilvl w:val="1"/>
          <w:numId w:val="0"/>
        </w:numPr>
        <w:spacing w:before="120" w:after="120"/>
      </w:pPr>
      <w:r>
        <w:rPr>
          <w:rFonts w:hint="eastAsia"/>
        </w:rPr>
        <w:t>表</w:t>
      </w:r>
      <w:r>
        <w:t>B</w:t>
      </w:r>
      <w:r>
        <w:rPr>
          <w:rFonts w:hint="eastAsia"/>
        </w:rPr>
        <w:t>.1</w:t>
      </w:r>
      <w:r>
        <w:t xml:space="preserve"> </w:t>
      </w:r>
      <w:r>
        <w:rPr>
          <w:rFonts w:hint="eastAsia"/>
        </w:rPr>
        <w:t>提交材料目录</w:t>
      </w:r>
    </w:p>
    <w:tbl>
      <w:tblPr>
        <w:tblStyle w:val="30"/>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77"/>
        <w:gridCol w:w="2269"/>
        <w:gridCol w:w="1987"/>
        <w:gridCol w:w="988"/>
        <w:gridCol w:w="992"/>
        <w:gridCol w:w="1845"/>
        <w:gridCol w:w="716"/>
      </w:tblGrid>
      <w:tr w14:paraId="091E40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tcBorders>
              <w:top w:val="single" w:color="auto" w:sz="8" w:space="0"/>
              <w:bottom w:val="single" w:color="auto" w:sz="8" w:space="0"/>
            </w:tcBorders>
            <w:vAlign w:val="center"/>
          </w:tcPr>
          <w:p w14:paraId="0E146C2C">
            <w:pPr>
              <w:widowControl/>
              <w:spacing w:line="240" w:lineRule="exact"/>
              <w:jc w:val="center"/>
              <w:rPr>
                <w:rFonts w:ascii="宋体" w:hAnsi="宋体" w:cs="宋体"/>
                <w:kern w:val="0"/>
                <w:sz w:val="18"/>
                <w:szCs w:val="18"/>
              </w:rPr>
            </w:pPr>
            <w:r>
              <w:rPr>
                <w:rFonts w:hint="eastAsia" w:ascii="宋体" w:hAnsi="宋体" w:cs="宋体"/>
                <w:kern w:val="0"/>
                <w:sz w:val="18"/>
                <w:szCs w:val="18"/>
              </w:rPr>
              <w:t>序号</w:t>
            </w:r>
          </w:p>
        </w:tc>
        <w:tc>
          <w:tcPr>
            <w:tcW w:w="1210" w:type="pct"/>
            <w:tcBorders>
              <w:top w:val="single" w:color="auto" w:sz="8" w:space="0"/>
              <w:bottom w:val="single" w:color="auto" w:sz="8" w:space="0"/>
            </w:tcBorders>
            <w:shd w:val="clear" w:color="auto" w:fill="auto"/>
            <w:vAlign w:val="center"/>
          </w:tcPr>
          <w:p w14:paraId="0FD1E57E">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材料名称</w:t>
            </w:r>
          </w:p>
        </w:tc>
        <w:tc>
          <w:tcPr>
            <w:tcW w:w="1060" w:type="pct"/>
            <w:tcBorders>
              <w:top w:val="single" w:color="auto" w:sz="8" w:space="0"/>
              <w:bottom w:val="single" w:color="auto" w:sz="8" w:space="0"/>
            </w:tcBorders>
            <w:shd w:val="clear" w:color="auto" w:fill="auto"/>
            <w:vAlign w:val="center"/>
          </w:tcPr>
          <w:p w14:paraId="591D437A">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材料填写样本</w:t>
            </w:r>
          </w:p>
        </w:tc>
        <w:tc>
          <w:tcPr>
            <w:tcW w:w="527" w:type="pct"/>
            <w:tcBorders>
              <w:top w:val="single" w:color="auto" w:sz="8" w:space="0"/>
              <w:bottom w:val="single" w:color="auto" w:sz="8" w:space="0"/>
            </w:tcBorders>
            <w:shd w:val="clear" w:color="auto" w:fill="auto"/>
            <w:vAlign w:val="center"/>
          </w:tcPr>
          <w:p w14:paraId="0E47BC07">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材料类型</w:t>
            </w:r>
          </w:p>
        </w:tc>
        <w:tc>
          <w:tcPr>
            <w:tcW w:w="529" w:type="pct"/>
            <w:tcBorders>
              <w:top w:val="single" w:color="auto" w:sz="8" w:space="0"/>
              <w:bottom w:val="single" w:color="auto" w:sz="8" w:space="0"/>
            </w:tcBorders>
            <w:shd w:val="clear" w:color="auto" w:fill="auto"/>
            <w:vAlign w:val="center"/>
          </w:tcPr>
          <w:p w14:paraId="5D7CF1C2">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来源渠道</w:t>
            </w:r>
          </w:p>
        </w:tc>
        <w:tc>
          <w:tcPr>
            <w:tcW w:w="984" w:type="pct"/>
            <w:tcBorders>
              <w:top w:val="single" w:color="auto" w:sz="8" w:space="0"/>
              <w:bottom w:val="single" w:color="auto" w:sz="8" w:space="0"/>
            </w:tcBorders>
            <w:shd w:val="clear" w:color="auto" w:fill="auto"/>
            <w:vAlign w:val="center"/>
          </w:tcPr>
          <w:p w14:paraId="650B270D">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材料份数</w:t>
            </w:r>
          </w:p>
        </w:tc>
        <w:tc>
          <w:tcPr>
            <w:tcW w:w="382" w:type="pct"/>
            <w:tcBorders>
              <w:top w:val="single" w:color="auto" w:sz="8" w:space="0"/>
              <w:bottom w:val="single" w:color="auto" w:sz="8" w:space="0"/>
            </w:tcBorders>
            <w:shd w:val="clear" w:color="auto" w:fill="auto"/>
            <w:vAlign w:val="center"/>
          </w:tcPr>
          <w:p w14:paraId="5A58F52C">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材料必要性</w:t>
            </w:r>
          </w:p>
        </w:tc>
      </w:tr>
      <w:tr w14:paraId="585050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tcBorders>
              <w:top w:val="single" w:color="auto" w:sz="8" w:space="0"/>
            </w:tcBorders>
            <w:vAlign w:val="center"/>
          </w:tcPr>
          <w:p w14:paraId="5C4E640A">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210" w:type="pct"/>
            <w:tcBorders>
              <w:top w:val="single" w:color="auto" w:sz="8" w:space="0"/>
            </w:tcBorders>
            <w:shd w:val="clear" w:color="auto" w:fill="auto"/>
            <w:vAlign w:val="center"/>
          </w:tcPr>
          <w:p w14:paraId="01B8474D">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出口食品原料种植场备案申请表</w:t>
            </w:r>
          </w:p>
        </w:tc>
        <w:tc>
          <w:tcPr>
            <w:tcW w:w="1060" w:type="pct"/>
            <w:tcBorders>
              <w:top w:val="single" w:color="auto" w:sz="8" w:space="0"/>
            </w:tcBorders>
            <w:shd w:val="clear" w:color="auto" w:fill="auto"/>
          </w:tcPr>
          <w:p w14:paraId="061535D0">
            <w:pPr>
              <w:widowControl/>
              <w:spacing w:line="240" w:lineRule="exact"/>
              <w:jc w:val="left"/>
              <w:rPr>
                <w:rFonts w:ascii="宋体" w:hAnsi="宋体" w:cs="宋体"/>
                <w:kern w:val="0"/>
                <w:sz w:val="18"/>
                <w:szCs w:val="18"/>
              </w:rPr>
            </w:pPr>
            <w:r>
              <w:rPr>
                <w:rFonts w:hint="eastAsia" w:ascii="宋体" w:hAnsi="宋体"/>
                <w:sz w:val="18"/>
                <w:szCs w:val="18"/>
              </w:rPr>
              <w:t>下载空白表格、示例样表网址：http://online.customs.gov.cn/static/pages/treeGuide.html</w:t>
            </w:r>
          </w:p>
        </w:tc>
        <w:tc>
          <w:tcPr>
            <w:tcW w:w="527" w:type="pct"/>
            <w:tcBorders>
              <w:top w:val="single" w:color="auto" w:sz="8" w:space="0"/>
            </w:tcBorders>
            <w:shd w:val="clear" w:color="auto" w:fill="auto"/>
            <w:vAlign w:val="center"/>
          </w:tcPr>
          <w:p w14:paraId="0B43A050">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tcBorders>
              <w:top w:val="single" w:color="auto" w:sz="8" w:space="0"/>
            </w:tcBorders>
            <w:shd w:val="clear" w:color="auto" w:fill="auto"/>
            <w:vAlign w:val="center"/>
          </w:tcPr>
          <w:p w14:paraId="51CCD8BF">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tcBorders>
              <w:top w:val="single" w:color="auto" w:sz="8" w:space="0"/>
            </w:tcBorders>
            <w:shd w:val="clear" w:color="auto" w:fill="auto"/>
            <w:vAlign w:val="center"/>
          </w:tcPr>
          <w:p w14:paraId="5E0C04E6">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tcBorders>
              <w:top w:val="single" w:color="auto" w:sz="8" w:space="0"/>
            </w:tcBorders>
            <w:shd w:val="clear" w:color="auto" w:fill="auto"/>
            <w:vAlign w:val="center"/>
          </w:tcPr>
          <w:p w14:paraId="184EE094">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67F0B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12A8A273">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210" w:type="pct"/>
            <w:shd w:val="clear" w:color="auto" w:fill="auto"/>
            <w:vAlign w:val="center"/>
          </w:tcPr>
          <w:p w14:paraId="120EE85B">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种植场平面图</w:t>
            </w:r>
          </w:p>
        </w:tc>
        <w:tc>
          <w:tcPr>
            <w:tcW w:w="1060" w:type="pct"/>
            <w:shd w:val="clear" w:color="auto" w:fill="auto"/>
            <w:vAlign w:val="center"/>
          </w:tcPr>
          <w:p w14:paraId="3825C41C">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0D07F0A2">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5B9F1233">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2B6C8BDB">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5F40EBE5">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005A2B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3563805B">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210" w:type="pct"/>
            <w:shd w:val="clear" w:color="auto" w:fill="auto"/>
            <w:vAlign w:val="center"/>
          </w:tcPr>
          <w:p w14:paraId="6B7D5041">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出口食品原料种植场要求种植场建立的各项质量安全管理制度，包括组织机构、农业投入品管理制度、疫情疫病监测制度、有毒有害物质控制制度、生产和追溯记录制度等</w:t>
            </w:r>
          </w:p>
        </w:tc>
        <w:tc>
          <w:tcPr>
            <w:tcW w:w="1060" w:type="pct"/>
            <w:shd w:val="clear" w:color="auto" w:fill="auto"/>
            <w:vAlign w:val="center"/>
          </w:tcPr>
          <w:p w14:paraId="67C40DCD">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570225EA">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7EC77FA4">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567C25B8">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6EDF7B5C">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0428A6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34C4ECF4">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210" w:type="pct"/>
            <w:shd w:val="clear" w:color="auto" w:fill="auto"/>
            <w:vAlign w:val="center"/>
          </w:tcPr>
          <w:p w14:paraId="568D4B84">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种植场负责人或者经营者身份证</w:t>
            </w:r>
          </w:p>
        </w:tc>
        <w:tc>
          <w:tcPr>
            <w:tcW w:w="1060" w:type="pct"/>
            <w:shd w:val="clear" w:color="auto" w:fill="auto"/>
            <w:vAlign w:val="center"/>
          </w:tcPr>
          <w:p w14:paraId="6F2E4988">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0E223843">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复印件</w:t>
            </w:r>
          </w:p>
        </w:tc>
        <w:tc>
          <w:tcPr>
            <w:tcW w:w="529" w:type="pct"/>
            <w:shd w:val="clear" w:color="auto" w:fill="auto"/>
            <w:vAlign w:val="center"/>
          </w:tcPr>
          <w:p w14:paraId="475525DA">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政府部门核发</w:t>
            </w:r>
          </w:p>
        </w:tc>
        <w:tc>
          <w:tcPr>
            <w:tcW w:w="984" w:type="pct"/>
            <w:shd w:val="clear" w:color="auto" w:fill="auto"/>
            <w:vAlign w:val="center"/>
          </w:tcPr>
          <w:p w14:paraId="4ABFD910">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6BCB0E1D">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15F889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70D72704">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10" w:type="pct"/>
            <w:shd w:val="clear" w:color="auto" w:fill="auto"/>
            <w:vAlign w:val="center"/>
          </w:tcPr>
          <w:p w14:paraId="04E7DD8B">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种植场常用农业化学品清单</w:t>
            </w:r>
          </w:p>
        </w:tc>
        <w:tc>
          <w:tcPr>
            <w:tcW w:w="1060" w:type="pct"/>
            <w:shd w:val="clear" w:color="auto" w:fill="auto"/>
            <w:vAlign w:val="center"/>
          </w:tcPr>
          <w:p w14:paraId="10FE1A2F">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486DCE41">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24DAC30C">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404DACC8">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7F14FB76">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163EDD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3891F7B6">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10" w:type="pct"/>
            <w:shd w:val="clear" w:color="auto" w:fill="auto"/>
            <w:vAlign w:val="center"/>
          </w:tcPr>
          <w:p w14:paraId="7267CAF9">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种植基地示意图、平面图</w:t>
            </w:r>
          </w:p>
        </w:tc>
        <w:tc>
          <w:tcPr>
            <w:tcW w:w="1060" w:type="pct"/>
            <w:shd w:val="clear" w:color="auto" w:fill="auto"/>
            <w:vAlign w:val="center"/>
          </w:tcPr>
          <w:p w14:paraId="1710D781">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0FC8094C">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4F2FBA72">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64167351">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3B52A657">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bl>
    <w:p w14:paraId="4C1AB206">
      <w:pPr>
        <w:pStyle w:val="59"/>
        <w:ind w:firstLine="420"/>
        <w:sectPr>
          <w:headerReference r:id="rId19" w:type="default"/>
          <w:footerReference r:id="rId21" w:type="default"/>
          <w:headerReference r:id="rId20" w:type="even"/>
          <w:footerReference r:id="rId22" w:type="even"/>
          <w:pgSz w:w="11906" w:h="16838"/>
          <w:pgMar w:top="2410" w:right="1134" w:bottom="1134" w:left="1134" w:header="1418" w:footer="1134" w:gutter="284"/>
          <w:cols w:space="425" w:num="1"/>
          <w:formProt w:val="0"/>
          <w:docGrid w:linePitch="312" w:charSpace="0"/>
        </w:sectPr>
      </w:pPr>
    </w:p>
    <w:p w14:paraId="04A4D29E">
      <w:pPr>
        <w:pStyle w:val="79"/>
        <w:spacing w:before="60" w:after="120"/>
      </w:pPr>
      <w:r>
        <w:br w:type="textWrapping"/>
      </w:r>
      <w:bookmarkStart w:id="88" w:name="_Toc121234823"/>
      <w:bookmarkStart w:id="89" w:name="_Toc121234874"/>
      <w:bookmarkStart w:id="90" w:name="_Toc122339434"/>
      <w:bookmarkStart w:id="91" w:name="_Toc181862662"/>
      <w:r>
        <w:rPr>
          <w:rFonts w:hint="eastAsia"/>
        </w:rPr>
        <w:t>（资料性）</w:t>
      </w:r>
      <w:r>
        <w:br w:type="textWrapping"/>
      </w:r>
      <w:r>
        <w:rPr>
          <w:rFonts w:hint="eastAsia"/>
        </w:rPr>
        <w:t>出口食品生产企业备案申办</w:t>
      </w:r>
      <w:bookmarkEnd w:id="88"/>
      <w:bookmarkEnd w:id="89"/>
      <w:r>
        <w:rPr>
          <w:rFonts w:hint="eastAsia"/>
        </w:rPr>
        <w:t>提交材料目录</w:t>
      </w:r>
      <w:bookmarkEnd w:id="90"/>
      <w:bookmarkEnd w:id="91"/>
    </w:p>
    <w:p w14:paraId="5F02CCE4">
      <w:pPr>
        <w:pStyle w:val="59"/>
        <w:ind w:firstLine="420"/>
      </w:pPr>
      <w:r>
        <w:rPr>
          <w:rFonts w:hint="eastAsia"/>
        </w:rPr>
        <w:t>见表</w:t>
      </w:r>
      <w:r>
        <w:t>C</w:t>
      </w:r>
      <w:r>
        <w:rPr>
          <w:rFonts w:hint="eastAsia"/>
        </w:rPr>
        <w:t>.1。</w:t>
      </w:r>
    </w:p>
    <w:p w14:paraId="6894A5EB">
      <w:pPr>
        <w:pStyle w:val="59"/>
        <w:ind w:firstLine="420"/>
      </w:pPr>
    </w:p>
    <w:p w14:paraId="5F9BC397">
      <w:pPr>
        <w:pStyle w:val="80"/>
        <w:numPr>
          <w:ilvl w:val="1"/>
          <w:numId w:val="0"/>
        </w:numPr>
        <w:spacing w:before="120" w:after="120"/>
        <w:ind w:firstLine="420"/>
      </w:pPr>
      <w:r>
        <w:rPr>
          <w:rFonts w:hint="eastAsia"/>
        </w:rPr>
        <w:t>表</w:t>
      </w:r>
      <w:r>
        <w:t>C</w:t>
      </w:r>
      <w:r>
        <w:rPr>
          <w:rFonts w:hint="eastAsia"/>
        </w:rPr>
        <w:t>.1 提交材料目录</w:t>
      </w:r>
    </w:p>
    <w:tbl>
      <w:tblPr>
        <w:tblStyle w:val="30"/>
        <w:tblW w:w="936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442"/>
        <w:gridCol w:w="2384"/>
        <w:gridCol w:w="971"/>
        <w:gridCol w:w="1108"/>
        <w:gridCol w:w="1237"/>
        <w:gridCol w:w="1222"/>
      </w:tblGrid>
      <w:tr w14:paraId="54D2DB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442" w:type="dxa"/>
            <w:tcBorders>
              <w:top w:val="single" w:color="auto" w:sz="8" w:space="0"/>
              <w:bottom w:val="single" w:color="auto" w:sz="8" w:space="0"/>
            </w:tcBorders>
            <w:shd w:val="clear" w:color="auto" w:fill="auto"/>
            <w:vAlign w:val="center"/>
          </w:tcPr>
          <w:p w14:paraId="59C6EE8C">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材料名称</w:t>
            </w:r>
          </w:p>
        </w:tc>
        <w:tc>
          <w:tcPr>
            <w:tcW w:w="2384" w:type="dxa"/>
            <w:tcBorders>
              <w:top w:val="single" w:color="auto" w:sz="8" w:space="0"/>
              <w:bottom w:val="single" w:color="auto" w:sz="8" w:space="0"/>
            </w:tcBorders>
            <w:shd w:val="clear" w:color="auto" w:fill="auto"/>
            <w:vAlign w:val="center"/>
          </w:tcPr>
          <w:p w14:paraId="13716F98">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材料填写样本</w:t>
            </w:r>
          </w:p>
        </w:tc>
        <w:tc>
          <w:tcPr>
            <w:tcW w:w="971" w:type="dxa"/>
            <w:tcBorders>
              <w:top w:val="single" w:color="auto" w:sz="8" w:space="0"/>
              <w:bottom w:val="single" w:color="auto" w:sz="8" w:space="0"/>
            </w:tcBorders>
            <w:shd w:val="clear" w:color="auto" w:fill="auto"/>
            <w:vAlign w:val="center"/>
          </w:tcPr>
          <w:p w14:paraId="5FAF3E17">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材料类型</w:t>
            </w:r>
          </w:p>
        </w:tc>
        <w:tc>
          <w:tcPr>
            <w:tcW w:w="1108" w:type="dxa"/>
            <w:tcBorders>
              <w:top w:val="single" w:color="auto" w:sz="8" w:space="0"/>
              <w:bottom w:val="single" w:color="auto" w:sz="8" w:space="0"/>
            </w:tcBorders>
            <w:shd w:val="clear" w:color="auto" w:fill="auto"/>
            <w:vAlign w:val="center"/>
          </w:tcPr>
          <w:p w14:paraId="19738D58">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来源渠道</w:t>
            </w:r>
          </w:p>
        </w:tc>
        <w:tc>
          <w:tcPr>
            <w:tcW w:w="1237" w:type="dxa"/>
            <w:tcBorders>
              <w:top w:val="single" w:color="auto" w:sz="8" w:space="0"/>
              <w:bottom w:val="single" w:color="auto" w:sz="8" w:space="0"/>
            </w:tcBorders>
            <w:shd w:val="clear" w:color="auto" w:fill="auto"/>
            <w:vAlign w:val="center"/>
          </w:tcPr>
          <w:p w14:paraId="10979A08">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材料份数</w:t>
            </w:r>
          </w:p>
        </w:tc>
        <w:tc>
          <w:tcPr>
            <w:tcW w:w="1222" w:type="dxa"/>
            <w:tcBorders>
              <w:top w:val="single" w:color="auto" w:sz="8" w:space="0"/>
              <w:bottom w:val="single" w:color="auto" w:sz="8" w:space="0"/>
            </w:tcBorders>
            <w:shd w:val="clear" w:color="auto" w:fill="auto"/>
            <w:vAlign w:val="center"/>
          </w:tcPr>
          <w:p w14:paraId="4B37D11A">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材料必要性</w:t>
            </w:r>
          </w:p>
        </w:tc>
      </w:tr>
      <w:tr w14:paraId="5B7A1D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442" w:type="dxa"/>
            <w:tcBorders>
              <w:top w:val="single" w:color="auto" w:sz="8" w:space="0"/>
              <w:bottom w:val="single" w:color="auto" w:sz="8" w:space="0"/>
            </w:tcBorders>
            <w:shd w:val="clear" w:color="auto" w:fill="auto"/>
            <w:vAlign w:val="center"/>
          </w:tcPr>
          <w:p w14:paraId="73CF56C5">
            <w:pPr>
              <w:widowControl/>
              <w:spacing w:line="240" w:lineRule="exact"/>
              <w:rPr>
                <w:rFonts w:ascii="宋体" w:hAnsi="宋体" w:cs="宋体"/>
                <w:sz w:val="18"/>
                <w:shd w:val="clear" w:color="auto" w:fill="FFFFFF"/>
              </w:rPr>
            </w:pPr>
            <w:r>
              <w:rPr>
                <w:rFonts w:hint="eastAsia" w:ascii="宋体" w:hAnsi="宋体" w:cs="宋体"/>
                <w:kern w:val="0"/>
                <w:sz w:val="18"/>
              </w:rPr>
              <w:t>出口食品生产企业备案申请书</w:t>
            </w:r>
          </w:p>
        </w:tc>
        <w:tc>
          <w:tcPr>
            <w:tcW w:w="2384" w:type="dxa"/>
            <w:tcBorders>
              <w:top w:val="single" w:color="auto" w:sz="8" w:space="0"/>
              <w:bottom w:val="single" w:color="auto" w:sz="8" w:space="0"/>
            </w:tcBorders>
            <w:shd w:val="clear" w:color="auto" w:fill="auto"/>
            <w:vAlign w:val="center"/>
          </w:tcPr>
          <w:p w14:paraId="599EDA8B">
            <w:pPr>
              <w:widowControl/>
              <w:spacing w:line="240" w:lineRule="exact"/>
              <w:jc w:val="left"/>
              <w:rPr>
                <w:rFonts w:ascii="宋体" w:hAnsi="宋体" w:cs="宋体"/>
                <w:sz w:val="18"/>
                <w:shd w:val="clear" w:color="auto" w:fill="FFFFFF"/>
              </w:rPr>
            </w:pPr>
            <w:r>
              <w:rPr>
                <w:rFonts w:hint="eastAsia"/>
                <w:sz w:val="18"/>
                <w:szCs w:val="18"/>
              </w:rPr>
              <w:t>下</w:t>
            </w:r>
            <w:r>
              <w:rPr>
                <w:rFonts w:hint="eastAsia" w:ascii="宋体" w:hAnsi="宋体" w:cs="宋体"/>
                <w:sz w:val="18"/>
                <w:szCs w:val="18"/>
              </w:rPr>
              <w:t>载空白表格、示例样表网址： http://online.customs.gov.cn/static/pages/treeGuide.html</w:t>
            </w:r>
          </w:p>
        </w:tc>
        <w:tc>
          <w:tcPr>
            <w:tcW w:w="971" w:type="dxa"/>
            <w:tcBorders>
              <w:top w:val="single" w:color="auto" w:sz="8" w:space="0"/>
              <w:bottom w:val="single" w:color="auto" w:sz="8" w:space="0"/>
            </w:tcBorders>
            <w:shd w:val="clear" w:color="auto" w:fill="auto"/>
            <w:vAlign w:val="center"/>
          </w:tcPr>
          <w:p w14:paraId="61ECCCD4">
            <w:pPr>
              <w:widowControl/>
              <w:spacing w:line="240" w:lineRule="exact"/>
              <w:jc w:val="center"/>
              <w:rPr>
                <w:rFonts w:ascii="宋体" w:hAnsi="宋体" w:cs="宋体"/>
                <w:sz w:val="18"/>
                <w:shd w:val="clear" w:color="auto" w:fill="FFFFFF"/>
              </w:rPr>
            </w:pPr>
            <w:r>
              <w:rPr>
                <w:rFonts w:hint="eastAsia" w:ascii="宋体" w:hAnsi="宋体" w:cs="宋体"/>
                <w:kern w:val="0"/>
                <w:sz w:val="18"/>
              </w:rPr>
              <w:t>原件</w:t>
            </w:r>
          </w:p>
        </w:tc>
        <w:tc>
          <w:tcPr>
            <w:tcW w:w="1108" w:type="dxa"/>
            <w:tcBorders>
              <w:top w:val="single" w:color="auto" w:sz="8" w:space="0"/>
              <w:bottom w:val="single" w:color="auto" w:sz="8" w:space="0"/>
            </w:tcBorders>
            <w:shd w:val="clear" w:color="auto" w:fill="auto"/>
            <w:vAlign w:val="center"/>
          </w:tcPr>
          <w:p w14:paraId="6EF33C78">
            <w:pPr>
              <w:widowControl/>
              <w:spacing w:line="240" w:lineRule="exact"/>
              <w:jc w:val="center"/>
              <w:rPr>
                <w:rFonts w:ascii="宋体" w:hAnsi="宋体" w:cs="宋体"/>
                <w:sz w:val="18"/>
                <w:shd w:val="clear" w:color="auto" w:fill="FFFFFF"/>
              </w:rPr>
            </w:pPr>
            <w:r>
              <w:rPr>
                <w:rFonts w:hint="eastAsia" w:ascii="宋体" w:hAnsi="宋体" w:cs="宋体"/>
                <w:kern w:val="0"/>
                <w:sz w:val="18"/>
              </w:rPr>
              <w:t>申请人自备</w:t>
            </w:r>
          </w:p>
        </w:tc>
        <w:tc>
          <w:tcPr>
            <w:tcW w:w="1237" w:type="dxa"/>
            <w:tcBorders>
              <w:top w:val="single" w:color="auto" w:sz="8" w:space="0"/>
              <w:bottom w:val="single" w:color="auto" w:sz="8" w:space="0"/>
            </w:tcBorders>
            <w:shd w:val="clear" w:color="auto" w:fill="auto"/>
            <w:vAlign w:val="center"/>
          </w:tcPr>
          <w:p w14:paraId="27C4649D">
            <w:pPr>
              <w:widowControl/>
              <w:spacing w:line="240" w:lineRule="exact"/>
              <w:jc w:val="center"/>
              <w:rPr>
                <w:rFonts w:ascii="宋体" w:hAnsi="宋体" w:cs="宋体"/>
                <w:sz w:val="18"/>
                <w:shd w:val="clear" w:color="auto" w:fill="FFFFFF"/>
              </w:rPr>
            </w:pPr>
            <w:r>
              <w:rPr>
                <w:rFonts w:hint="eastAsia" w:ascii="宋体" w:hAnsi="宋体" w:cs="宋体"/>
                <w:kern w:val="0"/>
                <w:sz w:val="18"/>
              </w:rPr>
              <w:t>电子1份</w:t>
            </w:r>
          </w:p>
        </w:tc>
        <w:tc>
          <w:tcPr>
            <w:tcW w:w="1222" w:type="dxa"/>
            <w:tcBorders>
              <w:top w:val="single" w:color="auto" w:sz="8" w:space="0"/>
              <w:bottom w:val="single" w:color="auto" w:sz="8" w:space="0"/>
            </w:tcBorders>
            <w:shd w:val="clear" w:color="auto" w:fill="auto"/>
            <w:vAlign w:val="center"/>
          </w:tcPr>
          <w:p w14:paraId="2F3A8FAF">
            <w:pPr>
              <w:widowControl/>
              <w:spacing w:line="240" w:lineRule="exact"/>
              <w:jc w:val="center"/>
              <w:rPr>
                <w:rFonts w:ascii="宋体" w:hAnsi="宋体" w:cs="宋体"/>
                <w:sz w:val="18"/>
                <w:shd w:val="clear" w:color="auto" w:fill="FFFFFF"/>
              </w:rPr>
            </w:pPr>
            <w:r>
              <w:rPr>
                <w:rFonts w:hint="eastAsia" w:ascii="宋体" w:hAnsi="宋体" w:cs="宋体"/>
                <w:kern w:val="0"/>
                <w:sz w:val="18"/>
              </w:rPr>
              <w:t>必要</w:t>
            </w:r>
          </w:p>
        </w:tc>
      </w:tr>
    </w:tbl>
    <w:p w14:paraId="04371EDC">
      <w:pPr>
        <w:pStyle w:val="59"/>
        <w:ind w:firstLine="420"/>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linePitch="312" w:charSpace="0"/>
        </w:sectPr>
      </w:pPr>
    </w:p>
    <w:p w14:paraId="49B796B0">
      <w:pPr>
        <w:pStyle w:val="79"/>
        <w:spacing w:before="60" w:after="120"/>
      </w:pPr>
      <w:r>
        <w:br w:type="textWrapping"/>
      </w:r>
      <w:bookmarkStart w:id="92" w:name="_Toc122339444"/>
      <w:bookmarkStart w:id="93" w:name="_Toc181862674"/>
      <w:r>
        <w:rPr>
          <w:rFonts w:hint="eastAsia"/>
        </w:rPr>
        <w:t>（资料性）</w:t>
      </w:r>
      <w:r>
        <w:br w:type="textWrapping"/>
      </w:r>
      <w:r>
        <w:rPr>
          <w:rFonts w:hint="eastAsia"/>
        </w:rPr>
        <w:t>产品出口申报附件资料种类及要求</w:t>
      </w:r>
      <w:bookmarkEnd w:id="92"/>
      <w:bookmarkEnd w:id="93"/>
    </w:p>
    <w:p w14:paraId="4E6E5FEA">
      <w:pPr>
        <w:pStyle w:val="59"/>
        <w:ind w:firstLine="420"/>
        <w:rPr>
          <w:rFonts w:ascii="黑体" w:eastAsia="黑体"/>
          <w:vanish/>
        </w:rPr>
      </w:pPr>
      <w:r>
        <w:rPr>
          <w:rFonts w:hint="eastAsia"/>
        </w:rPr>
        <w:t>见表</w:t>
      </w:r>
      <w:r>
        <w:t>D</w:t>
      </w:r>
      <w:r>
        <w:rPr>
          <w:rFonts w:hint="eastAsia"/>
        </w:rPr>
        <w:t>.1。</w:t>
      </w:r>
    </w:p>
    <w:p w14:paraId="5E042636">
      <w:pPr>
        <w:pStyle w:val="80"/>
        <w:numPr>
          <w:ilvl w:val="0"/>
          <w:numId w:val="0"/>
        </w:numPr>
        <w:spacing w:before="120" w:after="120"/>
      </w:pPr>
      <w:r>
        <w:rPr>
          <w:rFonts w:hint="eastAsia"/>
        </w:rPr>
        <w:t>表</w:t>
      </w:r>
      <w:r>
        <w:t>D</w:t>
      </w:r>
      <w:r>
        <w:rPr>
          <w:rFonts w:hint="eastAsia"/>
        </w:rPr>
        <w:t>.1</w:t>
      </w:r>
      <w:r>
        <w:t xml:space="preserve"> </w:t>
      </w:r>
      <w:r>
        <w:rPr>
          <w:rFonts w:hint="eastAsia"/>
        </w:rPr>
        <w:t>产品出口申报附件资料种类及要求</w:t>
      </w:r>
    </w:p>
    <w:tbl>
      <w:tblPr>
        <w:tblStyle w:val="29"/>
        <w:tblpPr w:leftFromText="180" w:rightFromText="180" w:vertAnchor="text" w:horzAnchor="page" w:tblpX="1256" w:tblpY="187"/>
        <w:tblOverlap w:val="never"/>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96"/>
        <w:gridCol w:w="2656"/>
        <w:gridCol w:w="1210"/>
        <w:gridCol w:w="1070"/>
        <w:gridCol w:w="855"/>
        <w:gridCol w:w="3135"/>
      </w:tblGrid>
      <w:tr w14:paraId="2B989F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vMerge w:val="restart"/>
            <w:shd w:val="clear" w:color="auto" w:fill="auto"/>
            <w:noWrap/>
            <w:vAlign w:val="center"/>
          </w:tcPr>
          <w:p w14:paraId="7AABC8FB">
            <w:pPr>
              <w:pStyle w:val="238"/>
              <w:spacing w:line="240" w:lineRule="exact"/>
              <w:jc w:val="center"/>
              <w:rPr>
                <w:rFonts w:ascii="宋体" w:hAnsi="宋体" w:cs="宋体"/>
                <w:bCs/>
                <w:sz w:val="18"/>
                <w:szCs w:val="18"/>
              </w:rPr>
            </w:pPr>
            <w:r>
              <w:rPr>
                <w:rFonts w:hint="eastAsia" w:ascii="宋体" w:hAnsi="宋体" w:cs="宋体"/>
                <w:bCs/>
                <w:sz w:val="18"/>
                <w:szCs w:val="18"/>
              </w:rPr>
              <w:t>序号</w:t>
            </w:r>
          </w:p>
        </w:tc>
        <w:tc>
          <w:tcPr>
            <w:tcW w:w="2656" w:type="dxa"/>
            <w:vMerge w:val="restart"/>
            <w:shd w:val="clear" w:color="auto" w:fill="auto"/>
            <w:noWrap/>
            <w:vAlign w:val="center"/>
          </w:tcPr>
          <w:p w14:paraId="10D73F08">
            <w:pPr>
              <w:pStyle w:val="239"/>
              <w:spacing w:line="240" w:lineRule="exact"/>
              <w:jc w:val="center"/>
              <w:rPr>
                <w:rFonts w:ascii="宋体" w:hAnsi="宋体" w:cs="宋体"/>
                <w:bCs/>
                <w:sz w:val="18"/>
                <w:szCs w:val="18"/>
              </w:rPr>
            </w:pPr>
            <w:r>
              <w:rPr>
                <w:rFonts w:hint="eastAsia" w:ascii="宋体" w:hAnsi="宋体" w:cs="宋体"/>
                <w:bCs/>
                <w:sz w:val="18"/>
                <w:szCs w:val="18"/>
              </w:rPr>
              <w:t>附件资料名称</w:t>
            </w:r>
          </w:p>
        </w:tc>
        <w:tc>
          <w:tcPr>
            <w:tcW w:w="3135" w:type="dxa"/>
            <w:gridSpan w:val="3"/>
            <w:shd w:val="clear" w:color="auto" w:fill="auto"/>
            <w:noWrap/>
            <w:vAlign w:val="center"/>
          </w:tcPr>
          <w:p w14:paraId="63F8373C">
            <w:pPr>
              <w:pStyle w:val="240"/>
              <w:spacing w:line="240" w:lineRule="exact"/>
              <w:jc w:val="center"/>
              <w:rPr>
                <w:rFonts w:ascii="宋体" w:hAnsi="宋体" w:cs="宋体"/>
                <w:bCs/>
                <w:sz w:val="18"/>
                <w:szCs w:val="18"/>
              </w:rPr>
            </w:pPr>
            <w:r>
              <w:rPr>
                <w:rFonts w:hint="eastAsia" w:ascii="宋体" w:hAnsi="宋体" w:cs="宋体"/>
                <w:bCs/>
                <w:sz w:val="18"/>
                <w:szCs w:val="18"/>
              </w:rPr>
              <w:t>要 求</w:t>
            </w:r>
          </w:p>
        </w:tc>
        <w:tc>
          <w:tcPr>
            <w:tcW w:w="3135" w:type="dxa"/>
            <w:vMerge w:val="restart"/>
            <w:shd w:val="clear" w:color="auto" w:fill="auto"/>
            <w:noWrap/>
            <w:vAlign w:val="center"/>
          </w:tcPr>
          <w:p w14:paraId="14F6DF50">
            <w:pPr>
              <w:pStyle w:val="241"/>
              <w:spacing w:line="240" w:lineRule="exact"/>
              <w:jc w:val="center"/>
              <w:rPr>
                <w:rFonts w:ascii="宋体" w:hAnsi="宋体" w:cs="宋体"/>
                <w:bCs/>
                <w:sz w:val="18"/>
                <w:szCs w:val="18"/>
              </w:rPr>
            </w:pPr>
            <w:r>
              <w:rPr>
                <w:rFonts w:hint="eastAsia" w:ascii="宋体" w:hAnsi="宋体" w:cs="宋体"/>
                <w:bCs/>
                <w:sz w:val="18"/>
                <w:szCs w:val="18"/>
              </w:rPr>
              <w:t>备  注</w:t>
            </w:r>
          </w:p>
        </w:tc>
      </w:tr>
      <w:tr w14:paraId="1F2490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vMerge w:val="continue"/>
            <w:tcBorders>
              <w:bottom w:val="single" w:color="auto" w:sz="8" w:space="0"/>
            </w:tcBorders>
            <w:shd w:val="clear" w:color="auto" w:fill="auto"/>
            <w:noWrap/>
            <w:vAlign w:val="center"/>
          </w:tcPr>
          <w:p w14:paraId="5C42A9B2">
            <w:pPr>
              <w:spacing w:line="240" w:lineRule="exact"/>
              <w:rPr>
                <w:rFonts w:ascii="宋体" w:hAnsi="宋体" w:cs="宋体"/>
                <w:sz w:val="18"/>
                <w:szCs w:val="18"/>
              </w:rPr>
            </w:pPr>
          </w:p>
        </w:tc>
        <w:tc>
          <w:tcPr>
            <w:tcW w:w="2656" w:type="dxa"/>
            <w:vMerge w:val="continue"/>
            <w:tcBorders>
              <w:bottom w:val="single" w:color="auto" w:sz="8" w:space="0"/>
            </w:tcBorders>
            <w:shd w:val="clear" w:color="auto" w:fill="auto"/>
            <w:noWrap/>
            <w:vAlign w:val="center"/>
          </w:tcPr>
          <w:p w14:paraId="013D15A1">
            <w:pPr>
              <w:spacing w:line="240" w:lineRule="exact"/>
              <w:rPr>
                <w:rFonts w:ascii="宋体" w:hAnsi="宋体" w:cs="宋体"/>
                <w:sz w:val="18"/>
                <w:szCs w:val="18"/>
              </w:rPr>
            </w:pPr>
          </w:p>
        </w:tc>
        <w:tc>
          <w:tcPr>
            <w:tcW w:w="1210" w:type="dxa"/>
            <w:tcBorders>
              <w:bottom w:val="single" w:color="auto" w:sz="8" w:space="0"/>
            </w:tcBorders>
            <w:shd w:val="clear" w:color="auto" w:fill="auto"/>
            <w:noWrap/>
            <w:vAlign w:val="center"/>
          </w:tcPr>
          <w:p w14:paraId="3843BAAE">
            <w:pPr>
              <w:pStyle w:val="242"/>
              <w:spacing w:line="240" w:lineRule="exact"/>
              <w:jc w:val="center"/>
              <w:rPr>
                <w:rFonts w:ascii="宋体" w:hAnsi="宋体" w:cs="宋体"/>
                <w:bCs/>
                <w:sz w:val="18"/>
                <w:szCs w:val="18"/>
              </w:rPr>
            </w:pPr>
            <w:r>
              <w:rPr>
                <w:rFonts w:hint="eastAsia" w:ascii="宋体" w:hAnsi="宋体" w:cs="宋体"/>
                <w:bCs/>
                <w:sz w:val="18"/>
                <w:szCs w:val="18"/>
              </w:rPr>
              <w:t>含有出口的品种/规格</w:t>
            </w:r>
          </w:p>
        </w:tc>
        <w:tc>
          <w:tcPr>
            <w:tcW w:w="1070" w:type="dxa"/>
            <w:tcBorders>
              <w:bottom w:val="single" w:color="auto" w:sz="8" w:space="0"/>
            </w:tcBorders>
            <w:shd w:val="clear" w:color="auto" w:fill="auto"/>
            <w:noWrap/>
            <w:vAlign w:val="center"/>
          </w:tcPr>
          <w:p w14:paraId="166AF99D">
            <w:pPr>
              <w:pStyle w:val="243"/>
              <w:spacing w:before="120" w:after="120" w:line="240" w:lineRule="exact"/>
              <w:jc w:val="center"/>
              <w:rPr>
                <w:rFonts w:ascii="宋体" w:hAnsi="宋体" w:cs="宋体"/>
                <w:bCs/>
                <w:sz w:val="18"/>
                <w:szCs w:val="18"/>
              </w:rPr>
            </w:pPr>
            <w:r>
              <w:rPr>
                <w:rFonts w:hint="eastAsia" w:ascii="宋体" w:hAnsi="宋体" w:cs="宋体"/>
                <w:bCs/>
                <w:sz w:val="18"/>
                <w:szCs w:val="18"/>
              </w:rPr>
              <w:t>完整/有效</w:t>
            </w:r>
          </w:p>
        </w:tc>
        <w:tc>
          <w:tcPr>
            <w:tcW w:w="855" w:type="dxa"/>
            <w:tcBorders>
              <w:bottom w:val="single" w:color="auto" w:sz="8" w:space="0"/>
            </w:tcBorders>
            <w:shd w:val="clear" w:color="auto" w:fill="auto"/>
            <w:noWrap/>
            <w:vAlign w:val="center"/>
          </w:tcPr>
          <w:p w14:paraId="0AA927A7">
            <w:pPr>
              <w:pStyle w:val="244"/>
              <w:spacing w:line="240" w:lineRule="exact"/>
              <w:jc w:val="center"/>
              <w:rPr>
                <w:rFonts w:ascii="宋体" w:hAnsi="宋体" w:cs="宋体"/>
                <w:bCs/>
                <w:sz w:val="18"/>
                <w:szCs w:val="18"/>
              </w:rPr>
            </w:pPr>
            <w:r>
              <w:rPr>
                <w:rFonts w:hint="eastAsia" w:ascii="宋体" w:hAnsi="宋体" w:cs="宋体"/>
                <w:bCs/>
                <w:sz w:val="18"/>
                <w:szCs w:val="18"/>
              </w:rPr>
              <w:t>盖公章或签字</w:t>
            </w:r>
          </w:p>
        </w:tc>
        <w:tc>
          <w:tcPr>
            <w:tcW w:w="3135" w:type="dxa"/>
            <w:vMerge w:val="continue"/>
            <w:tcBorders>
              <w:bottom w:val="single" w:color="auto" w:sz="8" w:space="0"/>
            </w:tcBorders>
            <w:shd w:val="clear" w:color="auto" w:fill="auto"/>
            <w:noWrap/>
            <w:vAlign w:val="center"/>
          </w:tcPr>
          <w:p w14:paraId="4D14430C">
            <w:pPr>
              <w:spacing w:line="240" w:lineRule="exact"/>
              <w:rPr>
                <w:rFonts w:ascii="宋体" w:hAnsi="宋体" w:cs="宋体"/>
                <w:sz w:val="18"/>
                <w:szCs w:val="18"/>
              </w:rPr>
            </w:pPr>
          </w:p>
        </w:tc>
      </w:tr>
      <w:tr w14:paraId="2283A5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tcBorders>
              <w:top w:val="single" w:color="auto" w:sz="8" w:space="0"/>
              <w:bottom w:val="single" w:color="auto" w:sz="4" w:space="0"/>
            </w:tcBorders>
            <w:shd w:val="clear" w:color="auto" w:fill="auto"/>
            <w:noWrap/>
            <w:vAlign w:val="center"/>
          </w:tcPr>
          <w:p w14:paraId="2B6DBD77">
            <w:pPr>
              <w:pStyle w:val="245"/>
              <w:spacing w:line="240" w:lineRule="exact"/>
              <w:jc w:val="center"/>
              <w:rPr>
                <w:rFonts w:ascii="宋体" w:hAnsi="宋体" w:cs="宋体"/>
                <w:sz w:val="18"/>
                <w:szCs w:val="18"/>
              </w:rPr>
            </w:pPr>
            <w:r>
              <w:rPr>
                <w:rFonts w:hint="eastAsia" w:ascii="宋体" w:hAnsi="宋体" w:cs="宋体"/>
                <w:sz w:val="18"/>
                <w:szCs w:val="18"/>
              </w:rPr>
              <w:t>1</w:t>
            </w:r>
          </w:p>
        </w:tc>
        <w:tc>
          <w:tcPr>
            <w:tcW w:w="2656" w:type="dxa"/>
            <w:tcBorders>
              <w:top w:val="single" w:color="auto" w:sz="8" w:space="0"/>
              <w:bottom w:val="single" w:color="auto" w:sz="4" w:space="0"/>
            </w:tcBorders>
            <w:shd w:val="clear" w:color="auto" w:fill="auto"/>
            <w:noWrap/>
            <w:vAlign w:val="center"/>
          </w:tcPr>
          <w:p w14:paraId="582B71A8">
            <w:pPr>
              <w:pStyle w:val="246"/>
              <w:spacing w:line="240" w:lineRule="exact"/>
              <w:rPr>
                <w:rFonts w:ascii="宋体" w:hAnsi="宋体" w:cs="宋体"/>
                <w:sz w:val="18"/>
                <w:szCs w:val="18"/>
              </w:rPr>
            </w:pPr>
            <w:r>
              <w:rPr>
                <w:rFonts w:hint="eastAsia" w:ascii="宋体" w:hAnsi="宋体" w:cs="宋体"/>
                <w:sz w:val="18"/>
                <w:szCs w:val="18"/>
              </w:rPr>
              <w:t>对外贸易合同,或成交确认书或函电</w:t>
            </w:r>
          </w:p>
        </w:tc>
        <w:tc>
          <w:tcPr>
            <w:tcW w:w="1210" w:type="dxa"/>
            <w:tcBorders>
              <w:top w:val="single" w:color="auto" w:sz="8" w:space="0"/>
              <w:bottom w:val="single" w:color="auto" w:sz="4" w:space="0"/>
            </w:tcBorders>
            <w:shd w:val="clear" w:color="auto" w:fill="auto"/>
            <w:noWrap/>
            <w:vAlign w:val="center"/>
          </w:tcPr>
          <w:p w14:paraId="47BBA1CE">
            <w:pPr>
              <w:pStyle w:val="247"/>
              <w:spacing w:line="240" w:lineRule="exact"/>
              <w:jc w:val="center"/>
              <w:rPr>
                <w:rFonts w:ascii="宋体" w:hAnsi="宋体" w:cs="宋体"/>
                <w:sz w:val="18"/>
                <w:szCs w:val="18"/>
              </w:rPr>
            </w:pPr>
            <w:r>
              <w:rPr>
                <w:rFonts w:hint="eastAsia" w:ascii="宋体" w:hAnsi="宋体" w:cs="宋体"/>
                <w:sz w:val="18"/>
                <w:szCs w:val="18"/>
              </w:rPr>
              <w:t>√</w:t>
            </w:r>
          </w:p>
        </w:tc>
        <w:tc>
          <w:tcPr>
            <w:tcW w:w="1070" w:type="dxa"/>
            <w:tcBorders>
              <w:top w:val="single" w:color="auto" w:sz="8" w:space="0"/>
              <w:bottom w:val="single" w:color="auto" w:sz="4" w:space="0"/>
            </w:tcBorders>
            <w:shd w:val="clear" w:color="auto" w:fill="auto"/>
            <w:noWrap/>
            <w:vAlign w:val="center"/>
          </w:tcPr>
          <w:p w14:paraId="5CF5301D">
            <w:pPr>
              <w:pStyle w:val="248"/>
              <w:spacing w:line="240" w:lineRule="exact"/>
              <w:jc w:val="center"/>
              <w:rPr>
                <w:rFonts w:ascii="宋体" w:hAnsi="宋体" w:cs="宋体"/>
                <w:sz w:val="18"/>
                <w:szCs w:val="18"/>
              </w:rPr>
            </w:pPr>
            <w:r>
              <w:rPr>
                <w:rFonts w:hint="eastAsia" w:ascii="宋体" w:hAnsi="宋体" w:cs="宋体"/>
                <w:sz w:val="18"/>
                <w:szCs w:val="18"/>
              </w:rPr>
              <w:t>√</w:t>
            </w:r>
          </w:p>
        </w:tc>
        <w:tc>
          <w:tcPr>
            <w:tcW w:w="855" w:type="dxa"/>
            <w:tcBorders>
              <w:top w:val="single" w:color="auto" w:sz="8" w:space="0"/>
              <w:bottom w:val="single" w:color="auto" w:sz="4" w:space="0"/>
            </w:tcBorders>
            <w:shd w:val="clear" w:color="auto" w:fill="auto"/>
            <w:noWrap/>
            <w:vAlign w:val="center"/>
          </w:tcPr>
          <w:p w14:paraId="587DD572">
            <w:pPr>
              <w:pStyle w:val="249"/>
              <w:spacing w:line="240" w:lineRule="exact"/>
              <w:jc w:val="center"/>
              <w:rPr>
                <w:rFonts w:ascii="宋体" w:hAnsi="宋体" w:cs="宋体"/>
                <w:sz w:val="18"/>
                <w:szCs w:val="18"/>
              </w:rPr>
            </w:pPr>
            <w:r>
              <w:rPr>
                <w:rFonts w:hint="eastAsia" w:ascii="宋体" w:hAnsi="宋体" w:cs="宋体"/>
                <w:sz w:val="18"/>
                <w:szCs w:val="18"/>
              </w:rPr>
              <w:t>√</w:t>
            </w:r>
          </w:p>
        </w:tc>
        <w:tc>
          <w:tcPr>
            <w:tcW w:w="3135" w:type="dxa"/>
            <w:tcBorders>
              <w:top w:val="single" w:color="auto" w:sz="8" w:space="0"/>
              <w:bottom w:val="single" w:color="auto" w:sz="4" w:space="0"/>
            </w:tcBorders>
            <w:shd w:val="clear" w:color="auto" w:fill="auto"/>
            <w:noWrap/>
            <w:vAlign w:val="center"/>
          </w:tcPr>
          <w:p w14:paraId="04B59FAB">
            <w:pPr>
              <w:pStyle w:val="250"/>
              <w:spacing w:before="120" w:after="120" w:line="240" w:lineRule="exact"/>
              <w:rPr>
                <w:rFonts w:ascii="宋体" w:hAnsi="宋体" w:cs="宋体"/>
                <w:sz w:val="18"/>
                <w:szCs w:val="18"/>
              </w:rPr>
            </w:pPr>
            <w:r>
              <w:rPr>
                <w:rFonts w:hint="eastAsia" w:ascii="宋体" w:hAnsi="宋体" w:cs="宋体"/>
                <w:sz w:val="18"/>
                <w:szCs w:val="18"/>
              </w:rPr>
              <w:t>完整、清晰</w:t>
            </w:r>
          </w:p>
        </w:tc>
      </w:tr>
      <w:tr w14:paraId="1A5CC1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tcBorders>
              <w:top w:val="single" w:color="auto" w:sz="4" w:space="0"/>
            </w:tcBorders>
            <w:shd w:val="clear" w:color="auto" w:fill="auto"/>
            <w:noWrap/>
            <w:vAlign w:val="center"/>
          </w:tcPr>
          <w:p w14:paraId="205B7884">
            <w:pPr>
              <w:pStyle w:val="251"/>
              <w:spacing w:line="240" w:lineRule="exact"/>
              <w:jc w:val="center"/>
              <w:rPr>
                <w:rFonts w:ascii="宋体" w:hAnsi="宋体" w:cs="宋体"/>
                <w:sz w:val="18"/>
                <w:szCs w:val="18"/>
              </w:rPr>
            </w:pPr>
            <w:r>
              <w:rPr>
                <w:rFonts w:hint="eastAsia" w:ascii="宋体" w:hAnsi="宋体" w:cs="宋体"/>
                <w:sz w:val="18"/>
                <w:szCs w:val="18"/>
              </w:rPr>
              <w:t>2</w:t>
            </w:r>
          </w:p>
        </w:tc>
        <w:tc>
          <w:tcPr>
            <w:tcW w:w="2656" w:type="dxa"/>
            <w:tcBorders>
              <w:top w:val="single" w:color="auto" w:sz="4" w:space="0"/>
            </w:tcBorders>
            <w:shd w:val="clear" w:color="auto" w:fill="auto"/>
            <w:noWrap/>
            <w:vAlign w:val="center"/>
          </w:tcPr>
          <w:p w14:paraId="5CD48712">
            <w:pPr>
              <w:pStyle w:val="252"/>
              <w:spacing w:line="240" w:lineRule="exact"/>
              <w:rPr>
                <w:rFonts w:ascii="宋体" w:hAnsi="宋体" w:cs="宋体"/>
                <w:sz w:val="18"/>
                <w:szCs w:val="18"/>
              </w:rPr>
            </w:pPr>
            <w:r>
              <w:rPr>
                <w:rFonts w:hint="eastAsia" w:ascii="宋体" w:hAnsi="宋体" w:cs="宋体"/>
                <w:sz w:val="18"/>
                <w:szCs w:val="18"/>
              </w:rPr>
              <w:t>发票</w:t>
            </w:r>
          </w:p>
        </w:tc>
        <w:tc>
          <w:tcPr>
            <w:tcW w:w="1210" w:type="dxa"/>
            <w:tcBorders>
              <w:top w:val="single" w:color="auto" w:sz="4" w:space="0"/>
            </w:tcBorders>
            <w:shd w:val="clear" w:color="auto" w:fill="auto"/>
            <w:noWrap/>
            <w:vAlign w:val="center"/>
          </w:tcPr>
          <w:p w14:paraId="6008A517">
            <w:pPr>
              <w:pStyle w:val="253"/>
              <w:spacing w:line="240" w:lineRule="exact"/>
              <w:jc w:val="center"/>
              <w:rPr>
                <w:rFonts w:ascii="宋体" w:hAnsi="宋体" w:cs="宋体"/>
                <w:sz w:val="18"/>
                <w:szCs w:val="18"/>
              </w:rPr>
            </w:pPr>
            <w:r>
              <w:rPr>
                <w:rFonts w:hint="eastAsia" w:ascii="宋体" w:hAnsi="宋体" w:cs="宋体"/>
                <w:sz w:val="18"/>
                <w:szCs w:val="18"/>
              </w:rPr>
              <w:t>√</w:t>
            </w:r>
          </w:p>
        </w:tc>
        <w:tc>
          <w:tcPr>
            <w:tcW w:w="1070" w:type="dxa"/>
            <w:tcBorders>
              <w:top w:val="single" w:color="auto" w:sz="4" w:space="0"/>
            </w:tcBorders>
            <w:shd w:val="clear" w:color="auto" w:fill="auto"/>
            <w:noWrap/>
            <w:vAlign w:val="center"/>
          </w:tcPr>
          <w:p w14:paraId="134ED69B">
            <w:pPr>
              <w:pStyle w:val="254"/>
              <w:spacing w:line="240" w:lineRule="exact"/>
              <w:jc w:val="center"/>
              <w:rPr>
                <w:rFonts w:ascii="宋体" w:hAnsi="宋体" w:cs="宋体"/>
                <w:sz w:val="18"/>
                <w:szCs w:val="18"/>
              </w:rPr>
            </w:pPr>
            <w:r>
              <w:rPr>
                <w:rFonts w:hint="eastAsia" w:ascii="宋体" w:hAnsi="宋体" w:cs="宋体"/>
                <w:sz w:val="18"/>
                <w:szCs w:val="18"/>
              </w:rPr>
              <w:t>√</w:t>
            </w:r>
          </w:p>
        </w:tc>
        <w:tc>
          <w:tcPr>
            <w:tcW w:w="855" w:type="dxa"/>
            <w:tcBorders>
              <w:top w:val="single" w:color="auto" w:sz="4" w:space="0"/>
            </w:tcBorders>
            <w:shd w:val="clear" w:color="auto" w:fill="auto"/>
            <w:noWrap/>
            <w:vAlign w:val="center"/>
          </w:tcPr>
          <w:p w14:paraId="2438CD4B">
            <w:pPr>
              <w:pStyle w:val="255"/>
              <w:spacing w:line="240" w:lineRule="exact"/>
              <w:jc w:val="center"/>
              <w:rPr>
                <w:rFonts w:ascii="宋体" w:hAnsi="宋体" w:cs="宋体"/>
                <w:sz w:val="18"/>
                <w:szCs w:val="18"/>
              </w:rPr>
            </w:pPr>
            <w:r>
              <w:rPr>
                <w:rFonts w:hint="eastAsia" w:ascii="宋体" w:hAnsi="宋体" w:cs="宋体"/>
                <w:sz w:val="18"/>
                <w:szCs w:val="18"/>
              </w:rPr>
              <w:t>√</w:t>
            </w:r>
          </w:p>
        </w:tc>
        <w:tc>
          <w:tcPr>
            <w:tcW w:w="3135" w:type="dxa"/>
            <w:tcBorders>
              <w:top w:val="single" w:color="auto" w:sz="4" w:space="0"/>
            </w:tcBorders>
            <w:shd w:val="clear" w:color="auto" w:fill="auto"/>
            <w:noWrap/>
            <w:vAlign w:val="center"/>
          </w:tcPr>
          <w:p w14:paraId="5C890B76">
            <w:pPr>
              <w:pStyle w:val="256"/>
              <w:spacing w:line="240" w:lineRule="exact"/>
              <w:rPr>
                <w:rFonts w:ascii="宋体" w:hAnsi="宋体" w:cs="宋体"/>
                <w:sz w:val="18"/>
                <w:szCs w:val="18"/>
              </w:rPr>
            </w:pPr>
            <w:r>
              <w:rPr>
                <w:rFonts w:hint="eastAsia" w:ascii="宋体" w:hAnsi="宋体" w:cs="宋体"/>
                <w:sz w:val="18"/>
                <w:szCs w:val="18"/>
              </w:rPr>
              <w:t>完整、清晰</w:t>
            </w:r>
          </w:p>
        </w:tc>
      </w:tr>
      <w:tr w14:paraId="67E446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shd w:val="clear" w:color="auto" w:fill="auto"/>
            <w:noWrap/>
            <w:vAlign w:val="center"/>
          </w:tcPr>
          <w:p w14:paraId="52542847">
            <w:pPr>
              <w:pStyle w:val="257"/>
              <w:spacing w:line="240" w:lineRule="exact"/>
              <w:jc w:val="center"/>
              <w:rPr>
                <w:rFonts w:ascii="宋体" w:hAnsi="宋体" w:cs="宋体"/>
                <w:sz w:val="18"/>
                <w:szCs w:val="18"/>
              </w:rPr>
            </w:pPr>
            <w:r>
              <w:rPr>
                <w:rFonts w:hint="eastAsia" w:ascii="宋体" w:hAnsi="宋体" w:cs="宋体"/>
                <w:sz w:val="18"/>
                <w:szCs w:val="18"/>
              </w:rPr>
              <w:t>3</w:t>
            </w:r>
          </w:p>
        </w:tc>
        <w:tc>
          <w:tcPr>
            <w:tcW w:w="2656" w:type="dxa"/>
            <w:shd w:val="clear" w:color="auto" w:fill="auto"/>
            <w:noWrap/>
            <w:vAlign w:val="center"/>
          </w:tcPr>
          <w:p w14:paraId="429986CF">
            <w:pPr>
              <w:pStyle w:val="258"/>
              <w:spacing w:line="240" w:lineRule="exact"/>
              <w:rPr>
                <w:rFonts w:ascii="宋体" w:hAnsi="宋体" w:cs="宋体"/>
                <w:sz w:val="18"/>
                <w:szCs w:val="18"/>
              </w:rPr>
            </w:pPr>
            <w:r>
              <w:rPr>
                <w:rFonts w:hint="eastAsia" w:ascii="宋体" w:hAnsi="宋体" w:cs="宋体"/>
                <w:sz w:val="18"/>
                <w:szCs w:val="18"/>
              </w:rPr>
              <w:t>装箱单</w:t>
            </w:r>
          </w:p>
        </w:tc>
        <w:tc>
          <w:tcPr>
            <w:tcW w:w="1210" w:type="dxa"/>
            <w:shd w:val="clear" w:color="auto" w:fill="auto"/>
            <w:noWrap/>
            <w:vAlign w:val="center"/>
          </w:tcPr>
          <w:p w14:paraId="2812C868">
            <w:pPr>
              <w:pStyle w:val="259"/>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7D554507">
            <w:pPr>
              <w:pStyle w:val="260"/>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4269DBC4">
            <w:pPr>
              <w:pStyle w:val="261"/>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5B51D9D5">
            <w:pPr>
              <w:pStyle w:val="262"/>
              <w:spacing w:line="240" w:lineRule="exact"/>
              <w:rPr>
                <w:rFonts w:ascii="宋体" w:hAnsi="宋体" w:cs="宋体"/>
                <w:sz w:val="18"/>
                <w:szCs w:val="18"/>
              </w:rPr>
            </w:pPr>
            <w:r>
              <w:rPr>
                <w:rFonts w:hint="eastAsia" w:ascii="宋体" w:hAnsi="宋体" w:cs="宋体"/>
                <w:sz w:val="18"/>
                <w:szCs w:val="18"/>
              </w:rPr>
              <w:t>完整、清晰</w:t>
            </w:r>
          </w:p>
        </w:tc>
      </w:tr>
      <w:tr w14:paraId="58EE71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70E60AAE">
            <w:pPr>
              <w:pStyle w:val="263"/>
              <w:spacing w:line="240" w:lineRule="exact"/>
              <w:jc w:val="center"/>
              <w:rPr>
                <w:rFonts w:ascii="宋体" w:hAnsi="宋体" w:cs="宋体"/>
                <w:sz w:val="18"/>
                <w:szCs w:val="18"/>
              </w:rPr>
            </w:pPr>
            <w:r>
              <w:rPr>
                <w:rFonts w:hint="eastAsia" w:ascii="宋体" w:hAnsi="宋体" w:cs="宋体"/>
                <w:sz w:val="18"/>
                <w:szCs w:val="18"/>
              </w:rPr>
              <w:t>4</w:t>
            </w:r>
          </w:p>
        </w:tc>
        <w:tc>
          <w:tcPr>
            <w:tcW w:w="2656" w:type="dxa"/>
            <w:shd w:val="clear" w:color="auto" w:fill="auto"/>
            <w:noWrap/>
            <w:vAlign w:val="center"/>
          </w:tcPr>
          <w:p w14:paraId="66C64A33">
            <w:pPr>
              <w:pStyle w:val="264"/>
              <w:spacing w:line="240" w:lineRule="exact"/>
              <w:rPr>
                <w:rFonts w:ascii="宋体" w:hAnsi="宋体" w:cs="宋体"/>
                <w:sz w:val="18"/>
                <w:szCs w:val="18"/>
              </w:rPr>
            </w:pPr>
            <w:r>
              <w:rPr>
                <w:rFonts w:hint="eastAsia" w:ascii="宋体" w:hAnsi="宋体" w:cs="宋体"/>
                <w:sz w:val="18"/>
                <w:szCs w:val="18"/>
              </w:rPr>
              <w:t>《出口食品生产企业备案证明》</w:t>
            </w:r>
          </w:p>
        </w:tc>
        <w:tc>
          <w:tcPr>
            <w:tcW w:w="1210" w:type="dxa"/>
            <w:shd w:val="clear" w:color="auto" w:fill="auto"/>
            <w:noWrap/>
            <w:vAlign w:val="center"/>
          </w:tcPr>
          <w:p w14:paraId="6E8C8261">
            <w:pPr>
              <w:pStyle w:val="265"/>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76D27186">
            <w:pPr>
              <w:pStyle w:val="266"/>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65C8AD90">
            <w:pPr>
              <w:pStyle w:val="268"/>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49B37C1C">
            <w:pPr>
              <w:pStyle w:val="269"/>
              <w:spacing w:line="240" w:lineRule="exact"/>
              <w:rPr>
                <w:rFonts w:ascii="宋体" w:hAnsi="宋体" w:cs="宋体"/>
                <w:sz w:val="18"/>
                <w:szCs w:val="18"/>
              </w:rPr>
            </w:pPr>
            <w:r>
              <w:rPr>
                <w:rFonts w:hint="eastAsia" w:ascii="宋体" w:hAnsi="宋体" w:cs="宋体"/>
                <w:sz w:val="18"/>
                <w:szCs w:val="18"/>
              </w:rPr>
              <w:t>完整、清晰</w:t>
            </w:r>
          </w:p>
        </w:tc>
      </w:tr>
      <w:tr w14:paraId="5201ED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96" w:type="dxa"/>
            <w:shd w:val="clear" w:color="auto" w:fill="auto"/>
            <w:noWrap/>
            <w:vAlign w:val="center"/>
          </w:tcPr>
          <w:p w14:paraId="062D3FDF">
            <w:pPr>
              <w:pStyle w:val="271"/>
              <w:spacing w:line="240" w:lineRule="exact"/>
              <w:jc w:val="center"/>
              <w:rPr>
                <w:rFonts w:ascii="宋体" w:hAnsi="宋体" w:cs="宋体"/>
                <w:sz w:val="18"/>
                <w:szCs w:val="18"/>
              </w:rPr>
            </w:pPr>
            <w:r>
              <w:rPr>
                <w:rFonts w:hint="eastAsia" w:ascii="宋体" w:hAnsi="宋体" w:cs="宋体"/>
                <w:sz w:val="18"/>
                <w:szCs w:val="18"/>
              </w:rPr>
              <w:t>5</w:t>
            </w:r>
          </w:p>
        </w:tc>
        <w:tc>
          <w:tcPr>
            <w:tcW w:w="2656" w:type="dxa"/>
            <w:shd w:val="clear" w:color="auto" w:fill="auto"/>
            <w:noWrap/>
            <w:vAlign w:val="center"/>
          </w:tcPr>
          <w:p w14:paraId="555BCCE3">
            <w:pPr>
              <w:pStyle w:val="273"/>
              <w:spacing w:line="240" w:lineRule="exact"/>
              <w:rPr>
                <w:rFonts w:ascii="宋体" w:hAnsi="宋体" w:cs="宋体"/>
                <w:sz w:val="18"/>
                <w:szCs w:val="18"/>
              </w:rPr>
            </w:pPr>
            <w:r>
              <w:rPr>
                <w:rFonts w:hint="eastAsia" w:ascii="宋体" w:hAnsi="宋体" w:cs="宋体"/>
                <w:sz w:val="18"/>
                <w:szCs w:val="18"/>
              </w:rPr>
              <w:t>厂检单</w:t>
            </w:r>
          </w:p>
        </w:tc>
        <w:tc>
          <w:tcPr>
            <w:tcW w:w="1210" w:type="dxa"/>
            <w:shd w:val="clear" w:color="auto" w:fill="auto"/>
            <w:noWrap/>
            <w:vAlign w:val="center"/>
          </w:tcPr>
          <w:p w14:paraId="30429E01">
            <w:pPr>
              <w:pStyle w:val="275"/>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466A3B37">
            <w:pPr>
              <w:pStyle w:val="276"/>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4F4BADB2">
            <w:pPr>
              <w:pStyle w:val="277"/>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6B8B289F">
            <w:pPr>
              <w:pStyle w:val="278"/>
              <w:spacing w:line="240" w:lineRule="exact"/>
              <w:rPr>
                <w:rFonts w:ascii="宋体" w:hAnsi="宋体" w:cs="宋体"/>
                <w:sz w:val="18"/>
                <w:szCs w:val="18"/>
              </w:rPr>
            </w:pPr>
            <w:r>
              <w:rPr>
                <w:rFonts w:hint="eastAsia" w:ascii="宋体" w:hAnsi="宋体" w:cs="宋体"/>
                <w:sz w:val="18"/>
                <w:szCs w:val="18"/>
              </w:rPr>
              <w:t>检验内容具体，有检验结论，有检验员、厂领导或实验室领导签字。</w:t>
            </w:r>
          </w:p>
        </w:tc>
      </w:tr>
      <w:tr w14:paraId="6C859C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7E905504">
            <w:pPr>
              <w:pStyle w:val="279"/>
              <w:spacing w:line="240" w:lineRule="exact"/>
              <w:jc w:val="center"/>
              <w:rPr>
                <w:rFonts w:ascii="宋体" w:hAnsi="宋体" w:cs="宋体"/>
                <w:sz w:val="18"/>
                <w:szCs w:val="18"/>
              </w:rPr>
            </w:pPr>
            <w:r>
              <w:rPr>
                <w:rFonts w:hint="eastAsia" w:ascii="宋体" w:hAnsi="宋体" w:cs="宋体"/>
                <w:sz w:val="18"/>
                <w:szCs w:val="18"/>
              </w:rPr>
              <w:t>6</w:t>
            </w:r>
          </w:p>
        </w:tc>
        <w:tc>
          <w:tcPr>
            <w:tcW w:w="2656" w:type="dxa"/>
            <w:shd w:val="clear" w:color="auto" w:fill="auto"/>
            <w:noWrap/>
            <w:vAlign w:val="center"/>
          </w:tcPr>
          <w:p w14:paraId="2A072CEA">
            <w:pPr>
              <w:pStyle w:val="280"/>
              <w:spacing w:line="240" w:lineRule="exact"/>
              <w:rPr>
                <w:rFonts w:ascii="宋体" w:hAnsi="宋体" w:cs="宋体"/>
                <w:sz w:val="18"/>
                <w:szCs w:val="18"/>
              </w:rPr>
            </w:pPr>
            <w:r>
              <w:rPr>
                <w:rFonts w:hint="eastAsia" w:ascii="宋体" w:hAnsi="宋体" w:cs="宋体"/>
                <w:sz w:val="18"/>
                <w:szCs w:val="18"/>
              </w:rPr>
              <w:t>出入境货物收/发货人质量安全合格保证</w:t>
            </w:r>
          </w:p>
        </w:tc>
        <w:tc>
          <w:tcPr>
            <w:tcW w:w="1210" w:type="dxa"/>
            <w:shd w:val="clear" w:color="auto" w:fill="auto"/>
            <w:noWrap/>
            <w:vAlign w:val="center"/>
          </w:tcPr>
          <w:p w14:paraId="106FF125">
            <w:pPr>
              <w:pStyle w:val="281"/>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1EE69BC0">
            <w:pPr>
              <w:pStyle w:val="282"/>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2F4EAB4D">
            <w:pPr>
              <w:pStyle w:val="283"/>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2BC779E7">
            <w:pPr>
              <w:pStyle w:val="284"/>
              <w:spacing w:line="240" w:lineRule="exact"/>
              <w:rPr>
                <w:rFonts w:ascii="宋体" w:hAnsi="宋体" w:cs="宋体"/>
                <w:sz w:val="18"/>
                <w:szCs w:val="18"/>
              </w:rPr>
            </w:pPr>
            <w:r>
              <w:rPr>
                <w:rFonts w:hint="eastAsia" w:ascii="宋体" w:hAnsi="宋体" w:cs="宋体"/>
                <w:sz w:val="18"/>
                <w:szCs w:val="18"/>
              </w:rPr>
              <w:t>申请企业(发货人)可一次性上传到《中国无纸化应用支撑平台》之“备案单据管理”模块，企业签字之日起一年内有效，否则每批都要上传。</w:t>
            </w:r>
          </w:p>
        </w:tc>
      </w:tr>
      <w:tr w14:paraId="7C4DB1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96" w:type="dxa"/>
            <w:shd w:val="clear" w:color="auto" w:fill="auto"/>
            <w:noWrap/>
            <w:vAlign w:val="center"/>
          </w:tcPr>
          <w:p w14:paraId="6F7A834F">
            <w:pPr>
              <w:pStyle w:val="285"/>
              <w:spacing w:line="240" w:lineRule="exact"/>
              <w:jc w:val="center"/>
              <w:rPr>
                <w:rFonts w:ascii="宋体" w:hAnsi="宋体" w:cs="宋体"/>
                <w:sz w:val="18"/>
                <w:szCs w:val="18"/>
              </w:rPr>
            </w:pPr>
            <w:r>
              <w:rPr>
                <w:rFonts w:hint="eastAsia" w:ascii="宋体" w:hAnsi="宋体" w:cs="宋体"/>
                <w:sz w:val="18"/>
                <w:szCs w:val="18"/>
              </w:rPr>
              <w:t>7</w:t>
            </w:r>
          </w:p>
        </w:tc>
        <w:tc>
          <w:tcPr>
            <w:tcW w:w="2656" w:type="dxa"/>
            <w:shd w:val="clear" w:color="auto" w:fill="auto"/>
            <w:noWrap/>
            <w:vAlign w:val="center"/>
          </w:tcPr>
          <w:p w14:paraId="47B9ED14">
            <w:pPr>
              <w:pStyle w:val="286"/>
              <w:spacing w:line="240" w:lineRule="exact"/>
              <w:rPr>
                <w:rFonts w:ascii="宋体" w:hAnsi="宋体" w:cs="宋体"/>
                <w:sz w:val="18"/>
                <w:szCs w:val="18"/>
              </w:rPr>
            </w:pPr>
            <w:r>
              <w:rPr>
                <w:rFonts w:hint="eastAsia" w:ascii="宋体" w:hAnsi="宋体" w:cs="宋体"/>
                <w:sz w:val="18"/>
                <w:szCs w:val="18"/>
              </w:rPr>
              <w:t>外文标签样张和中文标签样张</w:t>
            </w:r>
          </w:p>
        </w:tc>
        <w:tc>
          <w:tcPr>
            <w:tcW w:w="1210" w:type="dxa"/>
            <w:shd w:val="clear" w:color="auto" w:fill="auto"/>
            <w:noWrap/>
            <w:vAlign w:val="center"/>
          </w:tcPr>
          <w:p w14:paraId="526C668C">
            <w:pPr>
              <w:pStyle w:val="287"/>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3A2C7729">
            <w:pPr>
              <w:pStyle w:val="288"/>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571655A4">
            <w:pPr>
              <w:pStyle w:val="289"/>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4015EED2">
            <w:pPr>
              <w:pStyle w:val="290"/>
              <w:spacing w:line="240" w:lineRule="exact"/>
              <w:rPr>
                <w:rFonts w:ascii="宋体" w:hAnsi="宋体" w:cs="宋体"/>
                <w:sz w:val="18"/>
                <w:szCs w:val="18"/>
              </w:rPr>
            </w:pPr>
            <w:r>
              <w:rPr>
                <w:rFonts w:hint="eastAsia" w:ascii="宋体" w:hAnsi="宋体" w:cs="宋体"/>
                <w:sz w:val="18"/>
                <w:szCs w:val="18"/>
              </w:rPr>
              <w:t>与《预包装食品标签符合性声明》内容相一致,由发货人提供。</w:t>
            </w:r>
          </w:p>
        </w:tc>
      </w:tr>
      <w:tr w14:paraId="71FC88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96" w:type="dxa"/>
            <w:shd w:val="clear" w:color="auto" w:fill="auto"/>
            <w:noWrap/>
            <w:vAlign w:val="center"/>
          </w:tcPr>
          <w:p w14:paraId="454A919F">
            <w:pPr>
              <w:pStyle w:val="291"/>
              <w:spacing w:line="240" w:lineRule="exact"/>
              <w:jc w:val="center"/>
              <w:rPr>
                <w:rFonts w:ascii="宋体" w:hAnsi="宋体" w:cs="宋体"/>
                <w:sz w:val="18"/>
                <w:szCs w:val="18"/>
              </w:rPr>
            </w:pPr>
          </w:p>
        </w:tc>
        <w:tc>
          <w:tcPr>
            <w:tcW w:w="2656" w:type="dxa"/>
            <w:shd w:val="clear" w:color="auto" w:fill="auto"/>
            <w:noWrap/>
            <w:vAlign w:val="center"/>
          </w:tcPr>
          <w:p w14:paraId="094323FD">
            <w:pPr>
              <w:pStyle w:val="292"/>
              <w:spacing w:line="240" w:lineRule="exact"/>
              <w:rPr>
                <w:rFonts w:ascii="宋体" w:hAnsi="宋体" w:cs="宋体"/>
                <w:sz w:val="18"/>
                <w:szCs w:val="18"/>
              </w:rPr>
            </w:pPr>
            <w:r>
              <w:rPr>
                <w:rFonts w:hint="eastAsia" w:ascii="宋体" w:hAnsi="宋体" w:cs="宋体"/>
                <w:sz w:val="18"/>
                <w:szCs w:val="18"/>
              </w:rPr>
              <w:t>有其他特殊情况才需要的材料</w:t>
            </w:r>
          </w:p>
        </w:tc>
        <w:tc>
          <w:tcPr>
            <w:tcW w:w="1210" w:type="dxa"/>
            <w:shd w:val="clear" w:color="auto" w:fill="auto"/>
            <w:noWrap/>
            <w:vAlign w:val="center"/>
          </w:tcPr>
          <w:p w14:paraId="5B808F3B">
            <w:pPr>
              <w:pStyle w:val="293"/>
              <w:spacing w:line="240" w:lineRule="exact"/>
              <w:jc w:val="center"/>
              <w:rPr>
                <w:rFonts w:ascii="宋体" w:hAnsi="宋体" w:cs="宋体"/>
                <w:sz w:val="18"/>
                <w:szCs w:val="18"/>
              </w:rPr>
            </w:pPr>
          </w:p>
        </w:tc>
        <w:tc>
          <w:tcPr>
            <w:tcW w:w="1070" w:type="dxa"/>
            <w:shd w:val="clear" w:color="auto" w:fill="auto"/>
            <w:noWrap/>
            <w:vAlign w:val="center"/>
          </w:tcPr>
          <w:p w14:paraId="3D626572">
            <w:pPr>
              <w:pStyle w:val="294"/>
              <w:spacing w:line="240" w:lineRule="exact"/>
              <w:jc w:val="center"/>
              <w:rPr>
                <w:rFonts w:ascii="宋体" w:hAnsi="宋体" w:cs="宋体"/>
                <w:sz w:val="18"/>
                <w:szCs w:val="18"/>
              </w:rPr>
            </w:pPr>
          </w:p>
        </w:tc>
        <w:tc>
          <w:tcPr>
            <w:tcW w:w="855" w:type="dxa"/>
            <w:shd w:val="clear" w:color="auto" w:fill="auto"/>
            <w:noWrap/>
            <w:vAlign w:val="center"/>
          </w:tcPr>
          <w:p w14:paraId="379B60F9">
            <w:pPr>
              <w:pStyle w:val="295"/>
              <w:spacing w:line="240" w:lineRule="exact"/>
              <w:jc w:val="center"/>
              <w:rPr>
                <w:rFonts w:ascii="宋体" w:hAnsi="宋体" w:cs="宋体"/>
                <w:sz w:val="18"/>
                <w:szCs w:val="18"/>
              </w:rPr>
            </w:pPr>
          </w:p>
        </w:tc>
        <w:tc>
          <w:tcPr>
            <w:tcW w:w="3135" w:type="dxa"/>
            <w:shd w:val="clear" w:color="auto" w:fill="auto"/>
            <w:noWrap/>
            <w:vAlign w:val="center"/>
          </w:tcPr>
          <w:p w14:paraId="45F54951">
            <w:pPr>
              <w:pStyle w:val="296"/>
              <w:spacing w:line="240" w:lineRule="exact"/>
              <w:rPr>
                <w:rFonts w:ascii="宋体" w:hAnsi="宋体" w:cs="宋体"/>
                <w:sz w:val="18"/>
                <w:szCs w:val="18"/>
              </w:rPr>
            </w:pPr>
          </w:p>
        </w:tc>
      </w:tr>
      <w:tr w14:paraId="43FC21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96" w:type="dxa"/>
            <w:shd w:val="clear" w:color="auto" w:fill="auto"/>
            <w:noWrap/>
            <w:vAlign w:val="center"/>
          </w:tcPr>
          <w:p w14:paraId="0930431C">
            <w:pPr>
              <w:pStyle w:val="291"/>
              <w:spacing w:line="240" w:lineRule="exact"/>
              <w:jc w:val="center"/>
              <w:rPr>
                <w:rFonts w:ascii="宋体" w:hAnsi="宋体" w:cs="宋体"/>
                <w:sz w:val="18"/>
                <w:szCs w:val="18"/>
              </w:rPr>
            </w:pPr>
            <w:r>
              <w:rPr>
                <w:rFonts w:hint="eastAsia" w:ascii="宋体" w:hAnsi="宋体" w:cs="宋体"/>
                <w:sz w:val="18"/>
                <w:szCs w:val="18"/>
              </w:rPr>
              <w:t>8</w:t>
            </w:r>
          </w:p>
        </w:tc>
        <w:tc>
          <w:tcPr>
            <w:tcW w:w="2656" w:type="dxa"/>
            <w:shd w:val="clear" w:color="auto" w:fill="auto"/>
            <w:noWrap/>
            <w:vAlign w:val="center"/>
          </w:tcPr>
          <w:p w14:paraId="2F703539">
            <w:pPr>
              <w:pStyle w:val="292"/>
              <w:spacing w:line="240" w:lineRule="exact"/>
              <w:rPr>
                <w:rFonts w:ascii="宋体" w:hAnsi="宋体" w:cs="宋体"/>
                <w:sz w:val="18"/>
                <w:szCs w:val="18"/>
              </w:rPr>
            </w:pPr>
            <w:r>
              <w:rPr>
                <w:rFonts w:hint="eastAsia" w:ascii="宋体" w:hAnsi="宋体" w:cs="宋体"/>
                <w:sz w:val="18"/>
                <w:szCs w:val="18"/>
              </w:rPr>
              <w:t>《代理报检委托书》</w:t>
            </w:r>
          </w:p>
        </w:tc>
        <w:tc>
          <w:tcPr>
            <w:tcW w:w="1210" w:type="dxa"/>
            <w:shd w:val="clear" w:color="auto" w:fill="auto"/>
            <w:noWrap/>
            <w:vAlign w:val="center"/>
          </w:tcPr>
          <w:p w14:paraId="3B22FBED">
            <w:pPr>
              <w:pStyle w:val="293"/>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3C04C4FF">
            <w:pPr>
              <w:pStyle w:val="294"/>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3049DB49">
            <w:pPr>
              <w:pStyle w:val="295"/>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1940DB6B">
            <w:pPr>
              <w:pStyle w:val="296"/>
              <w:spacing w:line="240" w:lineRule="exact"/>
              <w:rPr>
                <w:rFonts w:ascii="宋体" w:hAnsi="宋体" w:cs="宋体"/>
                <w:sz w:val="18"/>
                <w:szCs w:val="18"/>
              </w:rPr>
            </w:pPr>
            <w:r>
              <w:rPr>
                <w:rFonts w:hint="eastAsia" w:ascii="宋体" w:hAnsi="宋体" w:cs="宋体"/>
                <w:sz w:val="18"/>
                <w:szCs w:val="18"/>
              </w:rPr>
              <w:t>属于委托申请才需要,由发货人提供。</w:t>
            </w:r>
          </w:p>
        </w:tc>
      </w:tr>
      <w:tr w14:paraId="1B4EB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3472187F">
            <w:pPr>
              <w:pStyle w:val="297"/>
              <w:spacing w:line="240" w:lineRule="exact"/>
              <w:jc w:val="center"/>
              <w:rPr>
                <w:rFonts w:ascii="宋体" w:hAnsi="宋体" w:cs="宋体"/>
                <w:sz w:val="18"/>
                <w:szCs w:val="18"/>
              </w:rPr>
            </w:pPr>
            <w:r>
              <w:rPr>
                <w:rFonts w:hint="eastAsia" w:ascii="宋体" w:hAnsi="宋体" w:cs="宋体"/>
                <w:sz w:val="18"/>
                <w:szCs w:val="18"/>
              </w:rPr>
              <w:t>9</w:t>
            </w:r>
          </w:p>
        </w:tc>
        <w:tc>
          <w:tcPr>
            <w:tcW w:w="2656" w:type="dxa"/>
            <w:shd w:val="clear" w:color="auto" w:fill="auto"/>
            <w:noWrap/>
            <w:vAlign w:val="center"/>
          </w:tcPr>
          <w:p w14:paraId="0FF8AF41">
            <w:pPr>
              <w:pStyle w:val="298"/>
              <w:spacing w:line="240" w:lineRule="exact"/>
              <w:jc w:val="left"/>
              <w:rPr>
                <w:rFonts w:ascii="宋体" w:hAnsi="宋体" w:cs="宋体"/>
                <w:sz w:val="18"/>
                <w:szCs w:val="18"/>
              </w:rPr>
            </w:pPr>
            <w:r>
              <w:rPr>
                <w:rFonts w:hint="eastAsia" w:ascii="宋体" w:hAnsi="宋体" w:cs="宋体"/>
                <w:sz w:val="18"/>
                <w:szCs w:val="18"/>
              </w:rPr>
              <w:t>预包装食品标签符合性声明</w:t>
            </w:r>
          </w:p>
        </w:tc>
        <w:tc>
          <w:tcPr>
            <w:tcW w:w="1210" w:type="dxa"/>
            <w:shd w:val="clear" w:color="auto" w:fill="auto"/>
            <w:noWrap/>
            <w:vAlign w:val="center"/>
          </w:tcPr>
          <w:p w14:paraId="735C41EC">
            <w:pPr>
              <w:pStyle w:val="299"/>
              <w:spacing w:line="240" w:lineRule="exact"/>
              <w:ind w:left="720" w:hanging="300"/>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50415C92">
            <w:pPr>
              <w:pStyle w:val="300"/>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0831FC1E">
            <w:pPr>
              <w:pStyle w:val="301"/>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283A5CCA">
            <w:pPr>
              <w:pStyle w:val="302"/>
              <w:spacing w:line="240" w:lineRule="exact"/>
              <w:rPr>
                <w:rFonts w:ascii="宋体" w:hAnsi="宋体" w:cs="宋体"/>
                <w:sz w:val="18"/>
                <w:szCs w:val="18"/>
              </w:rPr>
            </w:pPr>
            <w:r>
              <w:rPr>
                <w:rFonts w:hint="eastAsia" w:ascii="宋体" w:hAnsi="宋体" w:cs="宋体"/>
                <w:sz w:val="18"/>
                <w:szCs w:val="18"/>
              </w:rPr>
              <w:t>属于“预包装食品”才需要,由发货人提供。</w:t>
            </w:r>
          </w:p>
        </w:tc>
      </w:tr>
      <w:tr w14:paraId="04881F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4582C76E">
            <w:pPr>
              <w:pStyle w:val="303"/>
              <w:spacing w:line="240" w:lineRule="exact"/>
              <w:jc w:val="center"/>
              <w:rPr>
                <w:rFonts w:ascii="宋体" w:hAnsi="宋体" w:cs="宋体"/>
                <w:sz w:val="18"/>
                <w:szCs w:val="18"/>
              </w:rPr>
            </w:pPr>
            <w:r>
              <w:rPr>
                <w:rFonts w:hint="eastAsia" w:ascii="宋体" w:hAnsi="宋体" w:cs="宋体"/>
                <w:sz w:val="18"/>
                <w:szCs w:val="18"/>
              </w:rPr>
              <w:t>10</w:t>
            </w:r>
          </w:p>
        </w:tc>
        <w:tc>
          <w:tcPr>
            <w:tcW w:w="2656" w:type="dxa"/>
            <w:shd w:val="clear" w:color="auto" w:fill="auto"/>
            <w:noWrap/>
            <w:vAlign w:val="center"/>
          </w:tcPr>
          <w:p w14:paraId="0E7EBB0B">
            <w:pPr>
              <w:pStyle w:val="304"/>
              <w:spacing w:line="240" w:lineRule="exact"/>
              <w:rPr>
                <w:rFonts w:ascii="宋体" w:hAnsi="宋体" w:cs="宋体"/>
                <w:sz w:val="18"/>
                <w:szCs w:val="18"/>
              </w:rPr>
            </w:pPr>
            <w:r>
              <w:rPr>
                <w:rFonts w:hint="eastAsia" w:ascii="宋体" w:hAnsi="宋体" w:cs="宋体"/>
                <w:sz w:val="18"/>
                <w:szCs w:val="18"/>
              </w:rPr>
              <w:t>《供货证明》</w:t>
            </w:r>
          </w:p>
        </w:tc>
        <w:tc>
          <w:tcPr>
            <w:tcW w:w="1210" w:type="dxa"/>
            <w:shd w:val="clear" w:color="auto" w:fill="auto"/>
            <w:noWrap/>
            <w:vAlign w:val="center"/>
          </w:tcPr>
          <w:p w14:paraId="56799712">
            <w:pPr>
              <w:pStyle w:val="305"/>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03E8FCF1">
            <w:pPr>
              <w:pStyle w:val="306"/>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62B2C911">
            <w:pPr>
              <w:pStyle w:val="307"/>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09FCEC9E">
            <w:pPr>
              <w:pStyle w:val="308"/>
              <w:spacing w:line="240" w:lineRule="exact"/>
              <w:rPr>
                <w:rFonts w:hAnsi="宋体" w:cs="宋体"/>
                <w:sz w:val="18"/>
                <w:szCs w:val="18"/>
              </w:rPr>
            </w:pPr>
            <w:r>
              <w:rPr>
                <w:rFonts w:hint="eastAsia" w:hAnsi="宋体" w:cs="宋体"/>
                <w:sz w:val="18"/>
                <w:szCs w:val="18"/>
              </w:rPr>
              <w:t>其中“出口食品原料种植场备案号”与《行政相对人统一管理系统》中的对应备案明号相一致，核销数/重量正确无误。</w:t>
            </w:r>
          </w:p>
        </w:tc>
      </w:tr>
    </w:tbl>
    <w:p w14:paraId="40682704">
      <w:pPr>
        <w:pStyle w:val="59"/>
        <w:ind w:firstLine="420"/>
      </w:pPr>
    </w:p>
    <w:p w14:paraId="6D8F5A1D">
      <w:pPr>
        <w:pStyle w:val="59"/>
        <w:ind w:firstLine="420"/>
      </w:pPr>
    </w:p>
    <w:p w14:paraId="59CEB064">
      <w:pPr>
        <w:pStyle w:val="59"/>
        <w:ind w:firstLine="420"/>
      </w:pPr>
    </w:p>
    <w:p w14:paraId="791E0C89">
      <w:pPr>
        <w:pStyle w:val="59"/>
        <w:ind w:firstLine="420"/>
      </w:pPr>
    </w:p>
    <w:p w14:paraId="2CE77E5A">
      <w:pPr>
        <w:pStyle w:val="59"/>
        <w:ind w:firstLine="420"/>
      </w:pPr>
    </w:p>
    <w:p w14:paraId="6D62B429">
      <w:pPr>
        <w:pStyle w:val="59"/>
        <w:ind w:firstLine="420"/>
      </w:pPr>
    </w:p>
    <w:p w14:paraId="5F06967A">
      <w:pPr>
        <w:pStyle w:val="59"/>
        <w:ind w:firstLine="420"/>
      </w:pPr>
    </w:p>
    <w:p w14:paraId="089D7580">
      <w:pPr>
        <w:pStyle w:val="59"/>
        <w:ind w:firstLine="420"/>
      </w:pPr>
    </w:p>
    <w:p w14:paraId="376B1142">
      <w:pPr>
        <w:pStyle w:val="59"/>
        <w:ind w:firstLine="420"/>
      </w:pPr>
    </w:p>
    <w:p w14:paraId="2D66A8A5">
      <w:pPr>
        <w:pStyle w:val="59"/>
        <w:ind w:firstLine="420"/>
      </w:pPr>
    </w:p>
    <w:p w14:paraId="7AB234D3">
      <w:pPr>
        <w:pStyle w:val="59"/>
        <w:ind w:firstLine="420"/>
      </w:pPr>
    </w:p>
    <w:p w14:paraId="044DF2E8">
      <w:pPr>
        <w:pStyle w:val="59"/>
        <w:ind w:firstLine="420"/>
      </w:pPr>
    </w:p>
    <w:p w14:paraId="478411A7">
      <w:pPr>
        <w:pStyle w:val="59"/>
        <w:ind w:firstLine="420"/>
      </w:pPr>
    </w:p>
    <w:p w14:paraId="1C85A994">
      <w:pPr>
        <w:pStyle w:val="59"/>
        <w:ind w:firstLine="420"/>
      </w:pPr>
    </w:p>
    <w:p w14:paraId="004C0F12">
      <w:pPr>
        <w:pStyle w:val="59"/>
        <w:ind w:firstLine="420"/>
      </w:pPr>
    </w:p>
    <w:bookmarkEnd w:id="83"/>
    <w:p w14:paraId="57973F14">
      <w:pPr>
        <w:pStyle w:val="66"/>
        <w:spacing w:before="96" w:after="120"/>
      </w:pPr>
      <w:bookmarkStart w:id="94" w:name="_Toc180760481"/>
      <w:bookmarkStart w:id="95" w:name="_Toc181862684"/>
      <w:bookmarkStart w:id="96" w:name="_Toc181179955"/>
      <w:bookmarkStart w:id="97" w:name="_Toc181179859"/>
      <w:bookmarkStart w:id="98" w:name="BookMark6"/>
      <w:r>
        <w:rPr>
          <w:rFonts w:hint="eastAsia"/>
          <w:spacing w:val="105"/>
        </w:rPr>
        <w:t>参考文</w:t>
      </w:r>
      <w:r>
        <w:rPr>
          <w:rFonts w:hint="eastAsia"/>
        </w:rPr>
        <w:t>献</w:t>
      </w:r>
      <w:bookmarkEnd w:id="94"/>
      <w:bookmarkEnd w:id="95"/>
      <w:bookmarkEnd w:id="96"/>
      <w:bookmarkEnd w:id="97"/>
    </w:p>
    <w:p w14:paraId="221B7BB5">
      <w:pPr>
        <w:pStyle w:val="59"/>
        <w:ind w:firstLine="420"/>
        <w:jc w:val="left"/>
        <w:rPr>
          <w:rFonts w:hAnsi="宋体" w:cs="宋体"/>
          <w:szCs w:val="21"/>
        </w:rPr>
      </w:pPr>
      <w:r>
        <w:rPr>
          <w:rFonts w:hint="eastAsia"/>
        </w:rPr>
        <w:t>[</w:t>
      </w:r>
      <w:r>
        <w:t>1</w:t>
      </w:r>
      <w:r>
        <w:rPr>
          <w:rFonts w:hint="eastAsia"/>
        </w:rPr>
        <w:t xml:space="preserve">]  </w:t>
      </w:r>
      <w:r>
        <w:rPr>
          <w:rFonts w:hint="eastAsia" w:hAnsi="宋体" w:cs="宋体"/>
          <w:szCs w:val="21"/>
        </w:rPr>
        <w:t>中华人民共和国市场主体登记管理条例（国务院令第746号）</w:t>
      </w:r>
    </w:p>
    <w:p w14:paraId="3DFE2E65">
      <w:pPr>
        <w:pStyle w:val="59"/>
        <w:ind w:firstLine="420"/>
        <w:jc w:val="left"/>
      </w:pPr>
      <w:r>
        <w:rPr>
          <w:rFonts w:hint="eastAsia"/>
        </w:rPr>
        <w:t>[</w:t>
      </w:r>
      <w:r>
        <w:t>2</w:t>
      </w:r>
      <w:r>
        <w:rPr>
          <w:rFonts w:hint="eastAsia"/>
        </w:rPr>
        <w:t>]  中华人民共和国市场主体登记管理条例实施细则（国家市场监督管理总局令第52号）</w:t>
      </w:r>
    </w:p>
    <w:p w14:paraId="6FB0A4A7">
      <w:pPr>
        <w:pStyle w:val="59"/>
        <w:ind w:firstLine="420"/>
        <w:jc w:val="left"/>
      </w:pPr>
      <w:r>
        <w:rPr>
          <w:rFonts w:hint="eastAsia"/>
        </w:rPr>
        <w:t>[</w:t>
      </w:r>
      <w:r>
        <w:t>3</w:t>
      </w:r>
      <w:r>
        <w:rPr>
          <w:rFonts w:hint="eastAsia"/>
        </w:rPr>
        <w:t>]  中华人民共和国行政许可法（中华人民共和国主席令第七号）</w:t>
      </w:r>
    </w:p>
    <w:p w14:paraId="6CCFDC7B">
      <w:pPr>
        <w:pStyle w:val="59"/>
        <w:ind w:firstLine="420"/>
        <w:jc w:val="left"/>
        <w:rPr>
          <w:rFonts w:hAnsi="宋体" w:cs="宋体"/>
          <w:szCs w:val="21"/>
        </w:rPr>
      </w:pPr>
      <w:r>
        <w:rPr>
          <w:rFonts w:hint="eastAsia" w:hAnsi="宋体" w:cs="宋体"/>
          <w:szCs w:val="21"/>
        </w:rPr>
        <w:t>[</w:t>
      </w:r>
      <w:r>
        <w:rPr>
          <w:rFonts w:hAnsi="宋体" w:cs="宋体"/>
          <w:szCs w:val="21"/>
        </w:rPr>
        <w:t>4</w:t>
      </w:r>
      <w:r>
        <w:rPr>
          <w:rFonts w:hint="eastAsia" w:hAnsi="宋体" w:cs="宋体"/>
          <w:szCs w:val="21"/>
        </w:rPr>
        <w:t>]  食品生产许可管理办法（国家市场监督管理总局令第24号）</w:t>
      </w:r>
    </w:p>
    <w:p w14:paraId="1EF194B3">
      <w:pPr>
        <w:pStyle w:val="59"/>
        <w:ind w:firstLine="420"/>
        <w:jc w:val="left"/>
      </w:pPr>
      <w:r>
        <w:rPr>
          <w:rFonts w:hint="eastAsia"/>
        </w:rPr>
        <w:t>[</w:t>
      </w:r>
      <w:r>
        <w:t>5</w:t>
      </w:r>
      <w:r>
        <w:rPr>
          <w:rFonts w:hint="eastAsia"/>
        </w:rPr>
        <w:t>]  关于发布《出口食品生产企业安全卫生要求和产品目录》的公告（2011年第23号公告）</w:t>
      </w:r>
    </w:p>
    <w:p w14:paraId="7175B26D">
      <w:pPr>
        <w:pStyle w:val="59"/>
        <w:ind w:firstLine="420"/>
        <w:jc w:val="left"/>
        <w:rPr>
          <w:rFonts w:hAnsi="宋体"/>
          <w:szCs w:val="21"/>
        </w:rPr>
      </w:pPr>
      <w:r>
        <w:rPr>
          <w:rFonts w:hint="eastAsia" w:hAnsi="宋体"/>
          <w:szCs w:val="21"/>
        </w:rPr>
        <w:t>[</w:t>
      </w:r>
      <w:r>
        <w:rPr>
          <w:rFonts w:hAnsi="宋体"/>
          <w:szCs w:val="21"/>
        </w:rPr>
        <w:t>6</w:t>
      </w:r>
      <w:r>
        <w:rPr>
          <w:rFonts w:hint="eastAsia" w:hAnsi="宋体"/>
          <w:szCs w:val="21"/>
        </w:rPr>
        <w:t>]  国家质量监督检验检疫总局关于发布《出口食品原料种植场备案管理规定》的公告（2012年第56号）</w:t>
      </w:r>
    </w:p>
    <w:p w14:paraId="3F0786D5">
      <w:pPr>
        <w:pStyle w:val="59"/>
        <w:ind w:firstLine="420"/>
        <w:jc w:val="left"/>
      </w:pPr>
      <w:r>
        <w:rPr>
          <w:rFonts w:hint="eastAsia" w:hAnsi="宋体"/>
          <w:szCs w:val="21"/>
        </w:rPr>
        <w:t>[</w:t>
      </w:r>
      <w:r>
        <w:rPr>
          <w:rFonts w:hint="eastAsia" w:hAnsi="宋体"/>
          <w:szCs w:val="21"/>
          <w:lang w:val="en-US" w:eastAsia="zh-CN"/>
        </w:rPr>
        <w:t>7</w:t>
      </w:r>
      <w:r>
        <w:rPr>
          <w:rFonts w:hint="eastAsia" w:hAnsi="宋体"/>
          <w:szCs w:val="21"/>
        </w:rPr>
        <w:t xml:space="preserve">]  </w:t>
      </w:r>
      <w:r>
        <w:rPr>
          <w:rFonts w:hint="eastAsia"/>
        </w:rPr>
        <w:t>关于公布《中华人民共和国进出口食品安全管理办法》的令（海关总署第249号令）</w:t>
      </w:r>
    </w:p>
    <w:p w14:paraId="07FB1E41">
      <w:pPr>
        <w:pStyle w:val="59"/>
        <w:ind w:firstLine="420"/>
        <w:jc w:val="left"/>
        <w:rPr>
          <w:rFonts w:hint="eastAsia" w:hAnsi="宋体" w:eastAsia="宋体"/>
          <w:color w:val="auto"/>
          <w:szCs w:val="21"/>
          <w:lang w:eastAsia="zh-CN"/>
        </w:rPr>
      </w:pPr>
      <w:r>
        <w:rPr>
          <w:rFonts w:hint="eastAsia"/>
          <w:color w:val="auto"/>
        </w:rPr>
        <w:t>[</w:t>
      </w:r>
      <w:r>
        <w:rPr>
          <w:rFonts w:hint="eastAsia"/>
          <w:color w:val="auto"/>
          <w:lang w:val="en-US" w:eastAsia="zh-CN"/>
        </w:rPr>
        <w:t>8</w:t>
      </w:r>
      <w:r>
        <w:rPr>
          <w:rFonts w:hint="eastAsia"/>
          <w:color w:val="auto"/>
        </w:rPr>
        <w:t>]  出口食品生产企业备案管理规定</w:t>
      </w:r>
      <w:r>
        <w:rPr>
          <w:rFonts w:hint="eastAsia"/>
          <w:color w:val="auto"/>
          <w:lang w:eastAsia="zh-CN"/>
        </w:rPr>
        <w:t>（国家质量监督检验检疫总局令第192号）</w:t>
      </w:r>
    </w:p>
    <w:p w14:paraId="1B6E018C">
      <w:pPr>
        <w:tabs>
          <w:tab w:val="left" w:pos="420"/>
          <w:tab w:val="left" w:pos="630"/>
        </w:tabs>
        <w:spacing w:line="240" w:lineRule="auto"/>
        <w:ind w:firstLine="420" w:firstLineChars="200"/>
        <w:jc w:val="left"/>
        <w:rPr>
          <w:rFonts w:ascii="宋体" w:hAnsi="宋体" w:cs="宋体"/>
        </w:rPr>
      </w:pPr>
      <w:r>
        <w:rPr>
          <w:rFonts w:hint="eastAsia" w:ascii="宋体" w:hAnsi="宋体" w:cs="宋体"/>
        </w:rPr>
        <w:t>[</w:t>
      </w:r>
      <w:r>
        <w:rPr>
          <w:rFonts w:hint="eastAsia" w:ascii="宋体" w:hAnsi="宋体" w:cs="宋体"/>
          <w:lang w:val="en-US" w:eastAsia="zh-CN"/>
        </w:rPr>
        <w:t>9</w:t>
      </w:r>
      <w:r>
        <w:rPr>
          <w:rFonts w:hint="eastAsia" w:ascii="宋体" w:hAnsi="宋体" w:cs="宋体"/>
        </w:rPr>
        <w:t>]  中华人民共和国海关报关单位备案管理规定（海关总署令第253号）</w:t>
      </w:r>
    </w:p>
    <w:p w14:paraId="26F5F49F">
      <w:pPr>
        <w:pStyle w:val="59"/>
        <w:ind w:firstLine="420"/>
        <w:jc w:val="left"/>
      </w:pPr>
      <w:r>
        <w:rPr>
          <w:rFonts w:hint="eastAsia"/>
        </w:rPr>
        <w:t>[</w:t>
      </w:r>
      <w:r>
        <w:rPr>
          <w:rFonts w:hint="eastAsia"/>
          <w:lang w:val="en-US" w:eastAsia="zh-CN"/>
        </w:rPr>
        <w:t>10</w:t>
      </w:r>
      <w:r>
        <w:rPr>
          <w:rFonts w:hint="eastAsia"/>
        </w:rPr>
        <w:t>]  “报关单位备案”政务服务事项办事指南</w:t>
      </w:r>
    </w:p>
    <w:p w14:paraId="69F501B3">
      <w:pPr>
        <w:pStyle w:val="59"/>
        <w:ind w:firstLine="420"/>
        <w:jc w:val="left"/>
      </w:pPr>
      <w:r>
        <w:rPr>
          <w:rFonts w:hint="eastAsia"/>
        </w:rPr>
        <w:t>[</w:t>
      </w:r>
      <w:r>
        <w:rPr>
          <w:rFonts w:hint="eastAsia"/>
          <w:lang w:val="en-US" w:eastAsia="zh-CN"/>
        </w:rPr>
        <w:t>11</w:t>
      </w:r>
      <w:r>
        <w:rPr>
          <w:rFonts w:hint="eastAsia"/>
        </w:rPr>
        <w:t>]  中华人民共和国海关报关单位备案管理规定（海关总署令第253号）</w:t>
      </w:r>
    </w:p>
    <w:p w14:paraId="53F444E1">
      <w:pPr>
        <w:pStyle w:val="59"/>
        <w:ind w:firstLine="420"/>
        <w:jc w:val="left"/>
        <w:rPr>
          <w:szCs w:val="21"/>
        </w:rPr>
      </w:pPr>
      <w:r>
        <w:rPr>
          <w:rFonts w:hint="eastAsia"/>
          <w:szCs w:val="21"/>
        </w:rPr>
        <w:t>[</w:t>
      </w:r>
      <w:r>
        <w:rPr>
          <w:rFonts w:hint="eastAsia"/>
          <w:szCs w:val="21"/>
          <w:lang w:val="en-US" w:eastAsia="zh-CN"/>
        </w:rPr>
        <w:t>12</w:t>
      </w:r>
      <w:r>
        <w:rPr>
          <w:rFonts w:hint="eastAsia"/>
          <w:szCs w:val="21"/>
        </w:rPr>
        <w:t xml:space="preserve">]  </w:t>
      </w:r>
      <w:r>
        <w:rPr>
          <w:rFonts w:hint="eastAsia" w:hAnsi="宋体" w:cs="宋体"/>
          <w:szCs w:val="21"/>
        </w:rPr>
        <w:t>中华人民共和国出口货物原产地证书签证管理办法(海关总署第270号令)</w:t>
      </w:r>
    </w:p>
    <w:p w14:paraId="7B61A401">
      <w:pPr>
        <w:pStyle w:val="59"/>
        <w:ind w:firstLine="420"/>
        <w:jc w:val="left"/>
      </w:pPr>
      <w:r>
        <w:rPr>
          <w:rFonts w:hint="eastAsia"/>
        </w:rPr>
        <w:t>[</w:t>
      </w:r>
      <w:r>
        <w:rPr>
          <w:rFonts w:hint="eastAsia"/>
          <w:lang w:val="en-US" w:eastAsia="zh-CN"/>
        </w:rPr>
        <w:t>13</w:t>
      </w:r>
      <w:r>
        <w:rPr>
          <w:rFonts w:hint="eastAsia"/>
        </w:rPr>
        <w:t>]  中华人民共和国知识产权海关保护条例（国务院令第395号）</w:t>
      </w:r>
    </w:p>
    <w:p w14:paraId="18830848">
      <w:pPr>
        <w:pStyle w:val="59"/>
        <w:ind w:firstLine="420"/>
        <w:jc w:val="left"/>
      </w:pPr>
      <w:r>
        <w:rPr>
          <w:rFonts w:hint="eastAsia"/>
        </w:rPr>
        <w:t>[</w:t>
      </w:r>
      <w:r>
        <w:rPr>
          <w:rFonts w:hint="eastAsia"/>
          <w:lang w:val="en-US" w:eastAsia="zh-CN"/>
        </w:rPr>
        <w:t>14</w:t>
      </w:r>
      <w:r>
        <w:rPr>
          <w:rFonts w:hint="eastAsia"/>
        </w:rPr>
        <w:t>]  中华人民共和国非优惠原产地证书签证管理办法（2018年修改）(原质检总局令第114号，海关总署第240号令修改）</w:t>
      </w:r>
    </w:p>
    <w:p w14:paraId="3CEE632B">
      <w:pPr>
        <w:pStyle w:val="59"/>
        <w:ind w:firstLine="420"/>
        <w:jc w:val="left"/>
      </w:pPr>
      <w:r>
        <w:rPr>
          <w:rFonts w:hint="eastAsia"/>
        </w:rPr>
        <w:t>[</w:t>
      </w:r>
      <w:r>
        <w:rPr>
          <w:rFonts w:hint="eastAsia"/>
          <w:lang w:val="en-US" w:eastAsia="zh-CN"/>
        </w:rPr>
        <w:t>15</w:t>
      </w:r>
      <w:r>
        <w:rPr>
          <w:rFonts w:hint="eastAsia"/>
        </w:rPr>
        <w:t>]  中华人民共和国进出口货物原产地条例（国务院令第416号，2019年修订）</w:t>
      </w:r>
    </w:p>
    <w:bookmarkEnd w:id="98"/>
    <w:p w14:paraId="6511F106">
      <w:pPr>
        <w:pStyle w:val="168"/>
        <w:numPr>
          <w:ilvl w:val="0"/>
          <w:numId w:val="0"/>
        </w:numPr>
        <w:jc w:val="center"/>
      </w:pPr>
      <w:bookmarkStart w:id="99"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4"/>
                    <a:stretch>
                      <a:fillRect/>
                    </a:stretch>
                  </pic:blipFill>
                  <pic:spPr>
                    <a:xfrm>
                      <a:off x="0" y="0"/>
                      <a:ext cx="1485900" cy="317500"/>
                    </a:xfrm>
                    <a:prstGeom prst="rect">
                      <a:avLst/>
                    </a:prstGeom>
                  </pic:spPr>
                </pic:pic>
              </a:graphicData>
            </a:graphic>
          </wp:inline>
        </w:drawing>
      </w:r>
      <w:bookmarkEnd w:id="99"/>
    </w:p>
    <w:sectPr>
      <w:headerReference r:id="rId27" w:type="default"/>
      <w:footerReference r:id="rId29" w:type="default"/>
      <w:headerReference r:id="rId28" w:type="even"/>
      <w:footerReference r:id="rId30" w:type="even"/>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7A98E">
    <w:pPr>
      <w:pStyle w:val="1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60B3F">
    <w:pPr>
      <w:pStyle w:val="55"/>
    </w:pPr>
    <w:r>
      <w:fldChar w:fldCharType="begin"/>
    </w:r>
    <w:r>
      <w:instrText xml:space="preserve">PAGE   \* MERGEFORMAT</w:instrText>
    </w:r>
    <w:r>
      <w:fldChar w:fldCharType="separate"/>
    </w:r>
    <w:r>
      <w:rPr>
        <w:lang w:val="zh-CN"/>
      </w:rPr>
      <w:t>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BA504">
    <w:pPr>
      <w:pStyle w:val="54"/>
    </w:pPr>
    <w:r>
      <w:fldChar w:fldCharType="begin"/>
    </w:r>
    <w:r>
      <w:instrText xml:space="preserve"> PAGE   \* MERGEFORMAT \* MERGEFORMAT </w:instrText>
    </w:r>
    <w:r>
      <w:fldChar w:fldCharType="separate"/>
    </w:r>
    <w: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C854B">
    <w:pPr>
      <w:pStyle w:val="55"/>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D7BB0">
    <w:pPr>
      <w:pStyle w:val="54"/>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4E025">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98E10">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05E05">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158C4">
    <w:pPr>
      <w:pStyle w:val="54"/>
    </w:pPr>
    <w:r>
      <w:fldChar w:fldCharType="begin"/>
    </w:r>
    <w:r>
      <w:instrText xml:space="preserve"> PAGE   \* MERGEFORMAT \* MERGEFORMAT </w:instrText>
    </w:r>
    <w:r>
      <w:fldChar w:fldCharType="separate"/>
    </w:r>
    <w:r>
      <w:t xml:space="preserve"> </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1E7A2">
    <w:pPr>
      <w:pStyle w:val="55"/>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5F14A">
    <w:pPr>
      <w:pStyle w:val="54"/>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65094">
    <w:pPr>
      <w:pStyle w:val="55"/>
    </w:pPr>
    <w:r>
      <w:fldChar w:fldCharType="begin"/>
    </w:r>
    <w:r>
      <w:instrText xml:space="preserve">PAGE   \* MERGEFORMAT</w:instrText>
    </w:r>
    <w:r>
      <w:fldChar w:fldCharType="separate"/>
    </w:r>
    <w:r>
      <w:rPr>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CACFE">
    <w:pPr>
      <w:pStyle w:val="54"/>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AC634">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99265">
    <w:pPr>
      <w:pStyle w:val="64"/>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5081C">
    <w:pPr>
      <w:pStyle w:val="65"/>
    </w:pPr>
    <w:r>
      <w:fldChar w:fldCharType="begin"/>
    </w:r>
    <w:r>
      <w:instrText xml:space="preserve"> STYLEREF  标准文件_文件编号 \* MERGEFORMAT </w:instrText>
    </w:r>
    <w:r>
      <w:fldChar w:fldCharType="separate"/>
    </w:r>
    <w:r>
      <w:t>T/GXAS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8824A">
    <w:pPr>
      <w:pStyle w:val="64"/>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EB60D">
    <w:pPr>
      <w:pStyle w:val="65"/>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CCDFF">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60550">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8B4EC">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60693">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15C80">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2A271">
    <w:pPr>
      <w:pStyle w:val="65"/>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86DBF">
    <w:pPr>
      <w:pStyle w:val="64"/>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E38CE">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13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3644E7"/>
    <w:multiLevelType w:val="multilevel"/>
    <w:tmpl w:val="2C3644E7"/>
    <w:lvl w:ilvl="0" w:tentative="0">
      <w:start w:val="1"/>
      <w:numFmt w:val="upperLetter"/>
      <w:suff w:val="nothing"/>
      <w:lvlText w:val="附录%1"/>
      <w:lvlJc w:val="left"/>
      <w:pPr>
        <w:ind w:left="0" w:firstLine="0"/>
      </w:pPr>
      <w:rPr>
        <w:rFonts w:hint="eastAsia" w:ascii="宋体" w:hAnsi="宋体" w:eastAsia="宋体"/>
        <w:spacing w:val="100"/>
      </w:rPr>
    </w:lvl>
    <w:lvl w:ilvl="1" w:tentative="0">
      <w:start w:val="1"/>
      <w:numFmt w:val="decimal"/>
      <w:suff w:val="nothing"/>
      <w:lvlText w:val="%1.%2　"/>
      <w:lvlJc w:val="left"/>
      <w:pPr>
        <w:ind w:left="0" w:firstLine="0"/>
      </w:pPr>
      <w:rPr>
        <w:rFonts w:hint="eastAsia" w:ascii="黑体" w:hAnsi="黑体" w:eastAsia="黑体"/>
        <w:b w:val="0"/>
        <w:i w:val="0"/>
        <w:sz w:val="21"/>
        <w:szCs w:val="21"/>
      </w:rPr>
    </w:lvl>
    <w:lvl w:ilvl="2" w:tentative="0">
      <w:start w:val="1"/>
      <w:numFmt w:val="decimal"/>
      <w:suff w:val="nothing"/>
      <w:lvlText w:val="%1.%2.%3　"/>
      <w:lvlJc w:val="left"/>
      <w:pPr>
        <w:ind w:left="0" w:firstLine="0"/>
      </w:pPr>
      <w:rPr>
        <w:rFonts w:hint="eastAsia" w:ascii="黑体" w:hAnsi="黑体" w:eastAsia="黑体"/>
        <w:b w:val="0"/>
        <w:i w:val="0"/>
        <w:sz w:val="21"/>
        <w:szCs w:val="21"/>
      </w:rPr>
    </w:lvl>
    <w:lvl w:ilvl="3" w:tentative="0">
      <w:start w:val="1"/>
      <w:numFmt w:val="decimal"/>
      <w:suff w:val="nothing"/>
      <w:lvlText w:val="%1.%2.%3.%4　"/>
      <w:lvlJc w:val="left"/>
      <w:pPr>
        <w:ind w:left="0" w:firstLine="0"/>
      </w:pPr>
      <w:rPr>
        <w:rFonts w:hint="eastAsia" w:ascii="黑体" w:hAnsi="黑体" w:eastAsia="黑体"/>
        <w:b w:val="0"/>
        <w:i w:val="0"/>
        <w:sz w:val="21"/>
        <w:szCs w:val="21"/>
      </w:rPr>
    </w:lvl>
    <w:lvl w:ilvl="4" w:tentative="0">
      <w:start w:val="1"/>
      <w:numFmt w:val="decimal"/>
      <w:suff w:val="nothing"/>
      <w:lvlText w:val="%1.%2.%3.%4.%5　"/>
      <w:lvlJc w:val="left"/>
      <w:pPr>
        <w:ind w:left="0" w:firstLine="0"/>
      </w:pPr>
      <w:rPr>
        <w:rFonts w:hint="eastAsia" w:ascii="黑体" w:hAnsi="黑体" w:eastAsia="黑体"/>
        <w:b w:val="0"/>
        <w:i w:val="0"/>
        <w:sz w:val="21"/>
        <w:szCs w:val="21"/>
      </w:rPr>
    </w:lvl>
    <w:lvl w:ilvl="5" w:tentative="0">
      <w:start w:val="1"/>
      <w:numFmt w:val="decimal"/>
      <w:suff w:val="nothing"/>
      <w:lvlText w:val="%1.%2.%3.%4.%5.%6　"/>
      <w:lvlJc w:val="left"/>
      <w:pPr>
        <w:ind w:left="0" w:firstLine="0"/>
      </w:pPr>
      <w:rPr>
        <w:rFonts w:hint="eastAsia" w:ascii="黑体" w:hAnsi="黑体" w:eastAsia="黑体"/>
        <w:b w:val="0"/>
        <w:i w:val="0"/>
        <w:sz w:val="21"/>
        <w:szCs w:val="21"/>
      </w:rPr>
    </w:lvl>
    <w:lvl w:ilvl="6" w:tentative="0">
      <w:start w:val="1"/>
      <w:numFmt w:val="decimal"/>
      <w:suff w:val="nothing"/>
      <w:lvlText w:val="%1.%2.%3.%4.%5.%6.%7　"/>
      <w:lvlJc w:val="left"/>
      <w:pPr>
        <w:ind w:left="0" w:firstLine="0"/>
      </w:pPr>
      <w:rPr>
        <w:rFonts w:hint="eastAsia" w:ascii="宋体" w:hAnsi="宋体" w:eastAsia="宋体"/>
      </w:rPr>
    </w:lvl>
    <w:lvl w:ilvl="7" w:tentative="0">
      <w:start w:val="1"/>
      <w:numFmt w:val="decimal"/>
      <w:lvlText w:val="%1.%2.%3.%4.%5.%6.%7.%8"/>
      <w:lvlJc w:val="left"/>
      <w:pPr>
        <w:tabs>
          <w:tab w:val="left" w:pos="4394"/>
        </w:tabs>
        <w:ind w:left="4394" w:hanging="1418"/>
      </w:pPr>
      <w:rPr>
        <w:rFonts w:hint="eastAsia" w:ascii="宋体" w:hAnsi="宋体" w:eastAsia="宋体"/>
      </w:rPr>
    </w:lvl>
    <w:lvl w:ilvl="8" w:tentative="0">
      <w:start w:val="1"/>
      <w:numFmt w:val="decimal"/>
      <w:lvlText w:val="%1.%2.%3.%4.%5.%6.%7.%8.%9"/>
      <w:lvlJc w:val="left"/>
      <w:pPr>
        <w:tabs>
          <w:tab w:val="left" w:pos="5102"/>
        </w:tabs>
        <w:ind w:left="5102" w:hanging="1700"/>
      </w:pPr>
      <w:rPr>
        <w:rFonts w:hint="eastAsia" w:ascii="宋体" w:hAnsi="宋体" w:eastAsia="宋体"/>
      </w:r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5103"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425" w:firstLine="0"/>
      </w:pPr>
      <w:rPr>
        <w:rFonts w:hint="eastAsia" w:ascii="黑体" w:eastAsia="黑体"/>
        <w:b w:val="0"/>
        <w:i w:val="0"/>
        <w:sz w:val="21"/>
      </w:rPr>
    </w:lvl>
    <w:lvl w:ilvl="4" w:tentative="0">
      <w:start w:val="1"/>
      <w:numFmt w:val="decimal"/>
      <w:pStyle w:val="97"/>
      <w:suff w:val="nothing"/>
      <w:lvlText w:val="%1%2.%3.%4.%5　"/>
      <w:lvlJc w:val="left"/>
      <w:pPr>
        <w:ind w:left="2268"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3"/>
  </w:num>
  <w:num w:numId="13">
    <w:abstractNumId w:val="14"/>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2"/>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dit="forms" w:enforcement="1" w:cryptProviderType="rsaAES" w:cryptAlgorithmClass="hash" w:cryptAlgorithmType="typeAny" w:cryptAlgorithmSid="14" w:cryptSpinCount="100000" w:hash="EzdBHR80YP4KNUI9QLsmvcdy6MA9I+0KwRNerNRFvehnQ+3YFnyDW540ZIgUVJmPOmpYEzYKPi050ql9SGikbg==" w:salt="J8rY5d44t2ua5U0YEt0Ngg=="/>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5846C0"/>
    <w:rsid w:val="000000FE"/>
    <w:rsid w:val="0000040A"/>
    <w:rsid w:val="00000A94"/>
    <w:rsid w:val="00001972"/>
    <w:rsid w:val="00001D9A"/>
    <w:rsid w:val="000047A7"/>
    <w:rsid w:val="00004CF7"/>
    <w:rsid w:val="0000758A"/>
    <w:rsid w:val="00007B3A"/>
    <w:rsid w:val="00007BB4"/>
    <w:rsid w:val="000107E0"/>
    <w:rsid w:val="00010F2B"/>
    <w:rsid w:val="00011FDE"/>
    <w:rsid w:val="00012FFD"/>
    <w:rsid w:val="00013716"/>
    <w:rsid w:val="00014162"/>
    <w:rsid w:val="00014340"/>
    <w:rsid w:val="000169A2"/>
    <w:rsid w:val="00016A9C"/>
    <w:rsid w:val="0002042C"/>
    <w:rsid w:val="00022184"/>
    <w:rsid w:val="00022762"/>
    <w:rsid w:val="00022D72"/>
    <w:rsid w:val="00023184"/>
    <w:rsid w:val="000238E0"/>
    <w:rsid w:val="00023FAD"/>
    <w:rsid w:val="000249DB"/>
    <w:rsid w:val="0002595E"/>
    <w:rsid w:val="000303C3"/>
    <w:rsid w:val="00031D59"/>
    <w:rsid w:val="000331D3"/>
    <w:rsid w:val="000335D2"/>
    <w:rsid w:val="00034515"/>
    <w:rsid w:val="000346A5"/>
    <w:rsid w:val="000359C3"/>
    <w:rsid w:val="00035A7D"/>
    <w:rsid w:val="000365ED"/>
    <w:rsid w:val="00036C8E"/>
    <w:rsid w:val="00040A3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E4C"/>
    <w:rsid w:val="000665C6"/>
    <w:rsid w:val="00066D98"/>
    <w:rsid w:val="00067279"/>
    <w:rsid w:val="000676CB"/>
    <w:rsid w:val="00067F1E"/>
    <w:rsid w:val="00071CC0"/>
    <w:rsid w:val="00071CFC"/>
    <w:rsid w:val="00073C8C"/>
    <w:rsid w:val="00075417"/>
    <w:rsid w:val="00077278"/>
    <w:rsid w:val="00077B64"/>
    <w:rsid w:val="00080600"/>
    <w:rsid w:val="00080A1C"/>
    <w:rsid w:val="00081815"/>
    <w:rsid w:val="0008213B"/>
    <w:rsid w:val="00082317"/>
    <w:rsid w:val="00082671"/>
    <w:rsid w:val="00083D2C"/>
    <w:rsid w:val="00084697"/>
    <w:rsid w:val="000854F3"/>
    <w:rsid w:val="00086AA1"/>
    <w:rsid w:val="000877EC"/>
    <w:rsid w:val="00087A77"/>
    <w:rsid w:val="00087BA2"/>
    <w:rsid w:val="00090CA6"/>
    <w:rsid w:val="000926A9"/>
    <w:rsid w:val="00092B2D"/>
    <w:rsid w:val="00092B8A"/>
    <w:rsid w:val="00092FB0"/>
    <w:rsid w:val="000934C5"/>
    <w:rsid w:val="00093D25"/>
    <w:rsid w:val="00093DAB"/>
    <w:rsid w:val="00094D73"/>
    <w:rsid w:val="000954AC"/>
    <w:rsid w:val="000956BD"/>
    <w:rsid w:val="00096D63"/>
    <w:rsid w:val="000A0B60"/>
    <w:rsid w:val="000A0EB8"/>
    <w:rsid w:val="000A19FC"/>
    <w:rsid w:val="000A296B"/>
    <w:rsid w:val="000A7311"/>
    <w:rsid w:val="000B060F"/>
    <w:rsid w:val="000B1295"/>
    <w:rsid w:val="000B1592"/>
    <w:rsid w:val="000B1FF2"/>
    <w:rsid w:val="000B3CDA"/>
    <w:rsid w:val="000B6A0B"/>
    <w:rsid w:val="000C0F6C"/>
    <w:rsid w:val="000C1150"/>
    <w:rsid w:val="000C11DB"/>
    <w:rsid w:val="000C1492"/>
    <w:rsid w:val="000C2FBD"/>
    <w:rsid w:val="000C4438"/>
    <w:rsid w:val="000C4B41"/>
    <w:rsid w:val="000C57D6"/>
    <w:rsid w:val="000C6362"/>
    <w:rsid w:val="000C66B1"/>
    <w:rsid w:val="000C7119"/>
    <w:rsid w:val="000C7666"/>
    <w:rsid w:val="000D0A9C"/>
    <w:rsid w:val="000D1795"/>
    <w:rsid w:val="000D321F"/>
    <w:rsid w:val="000D329A"/>
    <w:rsid w:val="000D4B9C"/>
    <w:rsid w:val="000D4EB6"/>
    <w:rsid w:val="000D5BDA"/>
    <w:rsid w:val="000D753B"/>
    <w:rsid w:val="000E45C2"/>
    <w:rsid w:val="000E4C9E"/>
    <w:rsid w:val="000E547F"/>
    <w:rsid w:val="000E6475"/>
    <w:rsid w:val="000E6670"/>
    <w:rsid w:val="000E6FD7"/>
    <w:rsid w:val="000E7DCE"/>
    <w:rsid w:val="000F06E1"/>
    <w:rsid w:val="000F0E3C"/>
    <w:rsid w:val="000F19D5"/>
    <w:rsid w:val="000F3AFB"/>
    <w:rsid w:val="000F4050"/>
    <w:rsid w:val="000F4AEA"/>
    <w:rsid w:val="000F67E9"/>
    <w:rsid w:val="00101599"/>
    <w:rsid w:val="001016F6"/>
    <w:rsid w:val="0010285E"/>
    <w:rsid w:val="00102FD7"/>
    <w:rsid w:val="00104926"/>
    <w:rsid w:val="00113B1E"/>
    <w:rsid w:val="00113EDE"/>
    <w:rsid w:val="001165FC"/>
    <w:rsid w:val="0011711C"/>
    <w:rsid w:val="00124E4F"/>
    <w:rsid w:val="001260B7"/>
    <w:rsid w:val="001265CB"/>
    <w:rsid w:val="00126885"/>
    <w:rsid w:val="001321C6"/>
    <w:rsid w:val="001325C4"/>
    <w:rsid w:val="00133010"/>
    <w:rsid w:val="001338EE"/>
    <w:rsid w:val="00133AAE"/>
    <w:rsid w:val="00135323"/>
    <w:rsid w:val="001356C4"/>
    <w:rsid w:val="00137565"/>
    <w:rsid w:val="00141114"/>
    <w:rsid w:val="00142969"/>
    <w:rsid w:val="001446C2"/>
    <w:rsid w:val="00144919"/>
    <w:rsid w:val="001457E7"/>
    <w:rsid w:val="00145C17"/>
    <w:rsid w:val="00145D9D"/>
    <w:rsid w:val="00146388"/>
    <w:rsid w:val="00146D8F"/>
    <w:rsid w:val="001529E5"/>
    <w:rsid w:val="00152FB3"/>
    <w:rsid w:val="00153C7E"/>
    <w:rsid w:val="0015509C"/>
    <w:rsid w:val="00156328"/>
    <w:rsid w:val="00156B25"/>
    <w:rsid w:val="00156E1A"/>
    <w:rsid w:val="00156EFC"/>
    <w:rsid w:val="00157894"/>
    <w:rsid w:val="00157B55"/>
    <w:rsid w:val="001642FA"/>
    <w:rsid w:val="001649EB"/>
    <w:rsid w:val="00164BAF"/>
    <w:rsid w:val="00164FA8"/>
    <w:rsid w:val="00165065"/>
    <w:rsid w:val="00165434"/>
    <w:rsid w:val="0016549B"/>
    <w:rsid w:val="0016580B"/>
    <w:rsid w:val="00165F49"/>
    <w:rsid w:val="00166B88"/>
    <w:rsid w:val="0016770A"/>
    <w:rsid w:val="00170291"/>
    <w:rsid w:val="00170804"/>
    <w:rsid w:val="001708E9"/>
    <w:rsid w:val="001726C8"/>
    <w:rsid w:val="0017340B"/>
    <w:rsid w:val="00173FB1"/>
    <w:rsid w:val="00176DFD"/>
    <w:rsid w:val="001774F2"/>
    <w:rsid w:val="00180575"/>
    <w:rsid w:val="00182071"/>
    <w:rsid w:val="00182930"/>
    <w:rsid w:val="0018384C"/>
    <w:rsid w:val="001852C9"/>
    <w:rsid w:val="00187A0B"/>
    <w:rsid w:val="00190087"/>
    <w:rsid w:val="001913C4"/>
    <w:rsid w:val="0019164F"/>
    <w:rsid w:val="001932E3"/>
    <w:rsid w:val="0019348F"/>
    <w:rsid w:val="00193A07"/>
    <w:rsid w:val="00194C95"/>
    <w:rsid w:val="00195AAA"/>
    <w:rsid w:val="00195C34"/>
    <w:rsid w:val="00196EF5"/>
    <w:rsid w:val="00197131"/>
    <w:rsid w:val="001A1A53"/>
    <w:rsid w:val="001A234A"/>
    <w:rsid w:val="001A4CF3"/>
    <w:rsid w:val="001A6696"/>
    <w:rsid w:val="001B06E8"/>
    <w:rsid w:val="001B0E2F"/>
    <w:rsid w:val="001B1359"/>
    <w:rsid w:val="001B1807"/>
    <w:rsid w:val="001B71D0"/>
    <w:rsid w:val="001B71EE"/>
    <w:rsid w:val="001C04A8"/>
    <w:rsid w:val="001C0801"/>
    <w:rsid w:val="001C1468"/>
    <w:rsid w:val="001C1C90"/>
    <w:rsid w:val="001C2C03"/>
    <w:rsid w:val="001C42F7"/>
    <w:rsid w:val="001C49E5"/>
    <w:rsid w:val="001C680C"/>
    <w:rsid w:val="001C7287"/>
    <w:rsid w:val="001C7C29"/>
    <w:rsid w:val="001C7FEA"/>
    <w:rsid w:val="001D03FC"/>
    <w:rsid w:val="001D0499"/>
    <w:rsid w:val="001D0BBE"/>
    <w:rsid w:val="001D0ED4"/>
    <w:rsid w:val="001D212F"/>
    <w:rsid w:val="001D21E1"/>
    <w:rsid w:val="001D29D7"/>
    <w:rsid w:val="001D2DE7"/>
    <w:rsid w:val="001D411C"/>
    <w:rsid w:val="001D6416"/>
    <w:rsid w:val="001D7AC9"/>
    <w:rsid w:val="001E1B6A"/>
    <w:rsid w:val="001E1CC5"/>
    <w:rsid w:val="001E2484"/>
    <w:rsid w:val="001E3CC4"/>
    <w:rsid w:val="001E467C"/>
    <w:rsid w:val="001E4882"/>
    <w:rsid w:val="001E69F9"/>
    <w:rsid w:val="001E73AB"/>
    <w:rsid w:val="001F092D"/>
    <w:rsid w:val="001F143A"/>
    <w:rsid w:val="001F1605"/>
    <w:rsid w:val="001F173E"/>
    <w:rsid w:val="001F1770"/>
    <w:rsid w:val="001F2508"/>
    <w:rsid w:val="001F4816"/>
    <w:rsid w:val="001F5818"/>
    <w:rsid w:val="001F69B4"/>
    <w:rsid w:val="001F77C7"/>
    <w:rsid w:val="00200183"/>
    <w:rsid w:val="00200333"/>
    <w:rsid w:val="0020107D"/>
    <w:rsid w:val="00201D6B"/>
    <w:rsid w:val="00202AA4"/>
    <w:rsid w:val="00202EBB"/>
    <w:rsid w:val="002030AB"/>
    <w:rsid w:val="002031F7"/>
    <w:rsid w:val="002040E6"/>
    <w:rsid w:val="0020485B"/>
    <w:rsid w:val="0020527B"/>
    <w:rsid w:val="00205F2C"/>
    <w:rsid w:val="00210B15"/>
    <w:rsid w:val="002142EA"/>
    <w:rsid w:val="00215ADD"/>
    <w:rsid w:val="002204BB"/>
    <w:rsid w:val="00221B79"/>
    <w:rsid w:val="00221C6B"/>
    <w:rsid w:val="00222A61"/>
    <w:rsid w:val="00223612"/>
    <w:rsid w:val="002253A1"/>
    <w:rsid w:val="00225CF8"/>
    <w:rsid w:val="002271C3"/>
    <w:rsid w:val="0022794E"/>
    <w:rsid w:val="00227B01"/>
    <w:rsid w:val="00233D64"/>
    <w:rsid w:val="0023482A"/>
    <w:rsid w:val="002359CB"/>
    <w:rsid w:val="00240887"/>
    <w:rsid w:val="00243540"/>
    <w:rsid w:val="0024497B"/>
    <w:rsid w:val="00244DE5"/>
    <w:rsid w:val="0024515B"/>
    <w:rsid w:val="00246021"/>
    <w:rsid w:val="0024666E"/>
    <w:rsid w:val="00247F52"/>
    <w:rsid w:val="00250B25"/>
    <w:rsid w:val="00250BBE"/>
    <w:rsid w:val="002515C2"/>
    <w:rsid w:val="0025194F"/>
    <w:rsid w:val="00251BF6"/>
    <w:rsid w:val="00257129"/>
    <w:rsid w:val="0026148A"/>
    <w:rsid w:val="00262696"/>
    <w:rsid w:val="002629EE"/>
    <w:rsid w:val="00263D25"/>
    <w:rsid w:val="002643C3"/>
    <w:rsid w:val="00264A0C"/>
    <w:rsid w:val="00266EEB"/>
    <w:rsid w:val="00267EF4"/>
    <w:rsid w:val="00270CB8"/>
    <w:rsid w:val="00272B08"/>
    <w:rsid w:val="00281BB8"/>
    <w:rsid w:val="00281E9E"/>
    <w:rsid w:val="00282405"/>
    <w:rsid w:val="00283463"/>
    <w:rsid w:val="002844FF"/>
    <w:rsid w:val="00285170"/>
    <w:rsid w:val="00285361"/>
    <w:rsid w:val="0028710E"/>
    <w:rsid w:val="00290E88"/>
    <w:rsid w:val="002914C7"/>
    <w:rsid w:val="00291F76"/>
    <w:rsid w:val="00292556"/>
    <w:rsid w:val="00292D60"/>
    <w:rsid w:val="00293621"/>
    <w:rsid w:val="00293B30"/>
    <w:rsid w:val="00293CE2"/>
    <w:rsid w:val="0029430B"/>
    <w:rsid w:val="0029492F"/>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D2D"/>
    <w:rsid w:val="002C1E06"/>
    <w:rsid w:val="002C27EE"/>
    <w:rsid w:val="002C2FE0"/>
    <w:rsid w:val="002C3787"/>
    <w:rsid w:val="002C3F07"/>
    <w:rsid w:val="002C4EEF"/>
    <w:rsid w:val="002C5278"/>
    <w:rsid w:val="002C7EBB"/>
    <w:rsid w:val="002D06C1"/>
    <w:rsid w:val="002D2803"/>
    <w:rsid w:val="002D42B5"/>
    <w:rsid w:val="002D4F1A"/>
    <w:rsid w:val="002D6EC6"/>
    <w:rsid w:val="002D79AC"/>
    <w:rsid w:val="002E039D"/>
    <w:rsid w:val="002E4D5A"/>
    <w:rsid w:val="002E6326"/>
    <w:rsid w:val="002F30E0"/>
    <w:rsid w:val="002F310A"/>
    <w:rsid w:val="002F35E4"/>
    <w:rsid w:val="002F3730"/>
    <w:rsid w:val="002F38E1"/>
    <w:rsid w:val="002F6500"/>
    <w:rsid w:val="002F6924"/>
    <w:rsid w:val="002F7AF6"/>
    <w:rsid w:val="00300E63"/>
    <w:rsid w:val="00302410"/>
    <w:rsid w:val="00302F5F"/>
    <w:rsid w:val="0030441D"/>
    <w:rsid w:val="0030546A"/>
    <w:rsid w:val="00306063"/>
    <w:rsid w:val="0031027D"/>
    <w:rsid w:val="00311AEE"/>
    <w:rsid w:val="00312720"/>
    <w:rsid w:val="00313B85"/>
    <w:rsid w:val="00313D89"/>
    <w:rsid w:val="00313F35"/>
    <w:rsid w:val="00316477"/>
    <w:rsid w:val="00317988"/>
    <w:rsid w:val="00317FB3"/>
    <w:rsid w:val="003221B4"/>
    <w:rsid w:val="0032245D"/>
    <w:rsid w:val="0032258D"/>
    <w:rsid w:val="00322E62"/>
    <w:rsid w:val="00324D13"/>
    <w:rsid w:val="00324EDD"/>
    <w:rsid w:val="003331E4"/>
    <w:rsid w:val="00335693"/>
    <w:rsid w:val="00336C64"/>
    <w:rsid w:val="00337162"/>
    <w:rsid w:val="003374C5"/>
    <w:rsid w:val="003377EC"/>
    <w:rsid w:val="0034192E"/>
    <w:rsid w:val="0034194F"/>
    <w:rsid w:val="00344605"/>
    <w:rsid w:val="003474AA"/>
    <w:rsid w:val="00350D1D"/>
    <w:rsid w:val="00352C83"/>
    <w:rsid w:val="00352F1A"/>
    <w:rsid w:val="0035415E"/>
    <w:rsid w:val="00355138"/>
    <w:rsid w:val="003557AF"/>
    <w:rsid w:val="0036107C"/>
    <w:rsid w:val="003615D2"/>
    <w:rsid w:val="00362052"/>
    <w:rsid w:val="003624CE"/>
    <w:rsid w:val="00362821"/>
    <w:rsid w:val="00363837"/>
    <w:rsid w:val="0036429C"/>
    <w:rsid w:val="00364A53"/>
    <w:rsid w:val="003654CB"/>
    <w:rsid w:val="00365AA9"/>
    <w:rsid w:val="00365F86"/>
    <w:rsid w:val="00365F87"/>
    <w:rsid w:val="00366E89"/>
    <w:rsid w:val="00366F49"/>
    <w:rsid w:val="003705F4"/>
    <w:rsid w:val="00370D58"/>
    <w:rsid w:val="00371316"/>
    <w:rsid w:val="00376713"/>
    <w:rsid w:val="003801EE"/>
    <w:rsid w:val="0038121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197B"/>
    <w:rsid w:val="003A1F38"/>
    <w:rsid w:val="003A203B"/>
    <w:rsid w:val="003A3D9C"/>
    <w:rsid w:val="003A4077"/>
    <w:rsid w:val="003A4AA7"/>
    <w:rsid w:val="003B09AD"/>
    <w:rsid w:val="003B1F18"/>
    <w:rsid w:val="003B38D2"/>
    <w:rsid w:val="003B595B"/>
    <w:rsid w:val="003B59D0"/>
    <w:rsid w:val="003B5BF0"/>
    <w:rsid w:val="003B60BF"/>
    <w:rsid w:val="003B63F7"/>
    <w:rsid w:val="003B6BE3"/>
    <w:rsid w:val="003B7DB2"/>
    <w:rsid w:val="003C010C"/>
    <w:rsid w:val="003C0A6C"/>
    <w:rsid w:val="003C14F8"/>
    <w:rsid w:val="003C5A43"/>
    <w:rsid w:val="003C6795"/>
    <w:rsid w:val="003D0519"/>
    <w:rsid w:val="003D0DE0"/>
    <w:rsid w:val="003D0FF6"/>
    <w:rsid w:val="003D262C"/>
    <w:rsid w:val="003D3403"/>
    <w:rsid w:val="003D6D61"/>
    <w:rsid w:val="003D796F"/>
    <w:rsid w:val="003E091D"/>
    <w:rsid w:val="003E1C53"/>
    <w:rsid w:val="003E26B9"/>
    <w:rsid w:val="003E2704"/>
    <w:rsid w:val="003E2A69"/>
    <w:rsid w:val="003E2D49"/>
    <w:rsid w:val="003E2FD4"/>
    <w:rsid w:val="003E396C"/>
    <w:rsid w:val="003E49F6"/>
    <w:rsid w:val="003E50E5"/>
    <w:rsid w:val="003E660F"/>
    <w:rsid w:val="003F0841"/>
    <w:rsid w:val="003F18ED"/>
    <w:rsid w:val="003F22C3"/>
    <w:rsid w:val="003F23D3"/>
    <w:rsid w:val="003F3F08"/>
    <w:rsid w:val="003F49F1"/>
    <w:rsid w:val="003F5427"/>
    <w:rsid w:val="003F6272"/>
    <w:rsid w:val="003F70FB"/>
    <w:rsid w:val="00400E72"/>
    <w:rsid w:val="00401400"/>
    <w:rsid w:val="00404869"/>
    <w:rsid w:val="00405884"/>
    <w:rsid w:val="00405CFC"/>
    <w:rsid w:val="00407D39"/>
    <w:rsid w:val="0041183C"/>
    <w:rsid w:val="00412149"/>
    <w:rsid w:val="004135A1"/>
    <w:rsid w:val="004145EA"/>
    <w:rsid w:val="0041477A"/>
    <w:rsid w:val="004167A3"/>
    <w:rsid w:val="0042114F"/>
    <w:rsid w:val="004278FF"/>
    <w:rsid w:val="00432DAA"/>
    <w:rsid w:val="00434305"/>
    <w:rsid w:val="004347D9"/>
    <w:rsid w:val="00435DF7"/>
    <w:rsid w:val="004368DA"/>
    <w:rsid w:val="00436B63"/>
    <w:rsid w:val="0044083F"/>
    <w:rsid w:val="00441AE7"/>
    <w:rsid w:val="00445574"/>
    <w:rsid w:val="004467FB"/>
    <w:rsid w:val="00450A65"/>
    <w:rsid w:val="00452023"/>
    <w:rsid w:val="00452D6B"/>
    <w:rsid w:val="00454484"/>
    <w:rsid w:val="00454CEE"/>
    <w:rsid w:val="0045517B"/>
    <w:rsid w:val="00463B77"/>
    <w:rsid w:val="00463C7B"/>
    <w:rsid w:val="004644A6"/>
    <w:rsid w:val="004659BD"/>
    <w:rsid w:val="0046664D"/>
    <w:rsid w:val="00470775"/>
    <w:rsid w:val="004716D7"/>
    <w:rsid w:val="004746B1"/>
    <w:rsid w:val="00475792"/>
    <w:rsid w:val="0047583F"/>
    <w:rsid w:val="00475D16"/>
    <w:rsid w:val="00475DE8"/>
    <w:rsid w:val="0048094D"/>
    <w:rsid w:val="004816D4"/>
    <w:rsid w:val="00481C44"/>
    <w:rsid w:val="00482842"/>
    <w:rsid w:val="00484188"/>
    <w:rsid w:val="00484936"/>
    <w:rsid w:val="00485C89"/>
    <w:rsid w:val="00486BE3"/>
    <w:rsid w:val="00487FC4"/>
    <w:rsid w:val="004905E4"/>
    <w:rsid w:val="00490A89"/>
    <w:rsid w:val="00490AB4"/>
    <w:rsid w:val="00492F02"/>
    <w:rsid w:val="00493363"/>
    <w:rsid w:val="004939AE"/>
    <w:rsid w:val="004A12DF"/>
    <w:rsid w:val="004A1BA8"/>
    <w:rsid w:val="004A4B57"/>
    <w:rsid w:val="004A4ECA"/>
    <w:rsid w:val="004A5137"/>
    <w:rsid w:val="004A63FA"/>
    <w:rsid w:val="004A6A3D"/>
    <w:rsid w:val="004B0272"/>
    <w:rsid w:val="004B2701"/>
    <w:rsid w:val="004B2E1B"/>
    <w:rsid w:val="004B3AA8"/>
    <w:rsid w:val="004B3E93"/>
    <w:rsid w:val="004B6D4D"/>
    <w:rsid w:val="004C1FBC"/>
    <w:rsid w:val="004C25A2"/>
    <w:rsid w:val="004C296E"/>
    <w:rsid w:val="004C3064"/>
    <w:rsid w:val="004C3F1D"/>
    <w:rsid w:val="004C458D"/>
    <w:rsid w:val="004C56F1"/>
    <w:rsid w:val="004C7556"/>
    <w:rsid w:val="004C7E8B"/>
    <w:rsid w:val="004C7E9D"/>
    <w:rsid w:val="004C7F67"/>
    <w:rsid w:val="004C7FD9"/>
    <w:rsid w:val="004D076D"/>
    <w:rsid w:val="004D0EF1"/>
    <w:rsid w:val="004D12BC"/>
    <w:rsid w:val="004D2253"/>
    <w:rsid w:val="004D2FBF"/>
    <w:rsid w:val="004D4406"/>
    <w:rsid w:val="004D7C42"/>
    <w:rsid w:val="004E0465"/>
    <w:rsid w:val="004E127B"/>
    <w:rsid w:val="004E1C0A"/>
    <w:rsid w:val="004E2CC0"/>
    <w:rsid w:val="004E30C5"/>
    <w:rsid w:val="004E45A9"/>
    <w:rsid w:val="004E4AA5"/>
    <w:rsid w:val="004E4AEE"/>
    <w:rsid w:val="004E59E3"/>
    <w:rsid w:val="004E67C0"/>
    <w:rsid w:val="004F391A"/>
    <w:rsid w:val="004F3CFB"/>
    <w:rsid w:val="004F6246"/>
    <w:rsid w:val="004F6456"/>
    <w:rsid w:val="004F696E"/>
    <w:rsid w:val="004F6C71"/>
    <w:rsid w:val="00501139"/>
    <w:rsid w:val="0050363E"/>
    <w:rsid w:val="005039BC"/>
    <w:rsid w:val="00503E35"/>
    <w:rsid w:val="005043BB"/>
    <w:rsid w:val="00504A3D"/>
    <w:rsid w:val="00505767"/>
    <w:rsid w:val="00505B36"/>
    <w:rsid w:val="005073F0"/>
    <w:rsid w:val="00510A7B"/>
    <w:rsid w:val="00511F4D"/>
    <w:rsid w:val="00512F6E"/>
    <w:rsid w:val="00513038"/>
    <w:rsid w:val="00514174"/>
    <w:rsid w:val="00516088"/>
    <w:rsid w:val="00516B0B"/>
    <w:rsid w:val="005220EC"/>
    <w:rsid w:val="00523F95"/>
    <w:rsid w:val="00524D1E"/>
    <w:rsid w:val="00524D65"/>
    <w:rsid w:val="00525B16"/>
    <w:rsid w:val="00527B9D"/>
    <w:rsid w:val="00531E69"/>
    <w:rsid w:val="00533D04"/>
    <w:rsid w:val="00533E36"/>
    <w:rsid w:val="00534804"/>
    <w:rsid w:val="00534BDF"/>
    <w:rsid w:val="005354EA"/>
    <w:rsid w:val="005356A8"/>
    <w:rsid w:val="0053585F"/>
    <w:rsid w:val="00535EC4"/>
    <w:rsid w:val="00535ED9"/>
    <w:rsid w:val="0053692B"/>
    <w:rsid w:val="00537D11"/>
    <w:rsid w:val="005414BF"/>
    <w:rsid w:val="00541853"/>
    <w:rsid w:val="00543ACE"/>
    <w:rsid w:val="00543BDA"/>
    <w:rsid w:val="005441CC"/>
    <w:rsid w:val="005470F2"/>
    <w:rsid w:val="005479DA"/>
    <w:rsid w:val="00547BCC"/>
    <w:rsid w:val="0055013B"/>
    <w:rsid w:val="00551F6F"/>
    <w:rsid w:val="00554114"/>
    <w:rsid w:val="00555044"/>
    <w:rsid w:val="00561475"/>
    <w:rsid w:val="00562308"/>
    <w:rsid w:val="0056487B"/>
    <w:rsid w:val="00564FB9"/>
    <w:rsid w:val="005664FE"/>
    <w:rsid w:val="00570F56"/>
    <w:rsid w:val="005716E5"/>
    <w:rsid w:val="00572166"/>
    <w:rsid w:val="00573D9E"/>
    <w:rsid w:val="00574869"/>
    <w:rsid w:val="005801E3"/>
    <w:rsid w:val="005804F2"/>
    <w:rsid w:val="00581802"/>
    <w:rsid w:val="005836A8"/>
    <w:rsid w:val="0058409C"/>
    <w:rsid w:val="00584262"/>
    <w:rsid w:val="005846C0"/>
    <w:rsid w:val="00584786"/>
    <w:rsid w:val="005862A6"/>
    <w:rsid w:val="00586630"/>
    <w:rsid w:val="00587ADD"/>
    <w:rsid w:val="00593A49"/>
    <w:rsid w:val="00596160"/>
    <w:rsid w:val="005966E2"/>
    <w:rsid w:val="00597007"/>
    <w:rsid w:val="005A0966"/>
    <w:rsid w:val="005A11B7"/>
    <w:rsid w:val="005A178A"/>
    <w:rsid w:val="005A17F4"/>
    <w:rsid w:val="005A260B"/>
    <w:rsid w:val="005A4A1B"/>
    <w:rsid w:val="005A7830"/>
    <w:rsid w:val="005A7FCE"/>
    <w:rsid w:val="005B0F3F"/>
    <w:rsid w:val="005B191C"/>
    <w:rsid w:val="005B4903"/>
    <w:rsid w:val="005B51CE"/>
    <w:rsid w:val="005B5885"/>
    <w:rsid w:val="005B5CD7"/>
    <w:rsid w:val="005B65AD"/>
    <w:rsid w:val="005B6A66"/>
    <w:rsid w:val="005B6BF8"/>
    <w:rsid w:val="005B6CF6"/>
    <w:rsid w:val="005B7422"/>
    <w:rsid w:val="005C29B8"/>
    <w:rsid w:val="005C41A6"/>
    <w:rsid w:val="005C5F21"/>
    <w:rsid w:val="005C7156"/>
    <w:rsid w:val="005D0B8D"/>
    <w:rsid w:val="005D0C75"/>
    <w:rsid w:val="005D4055"/>
    <w:rsid w:val="005D4171"/>
    <w:rsid w:val="005D6A95"/>
    <w:rsid w:val="005D6B2C"/>
    <w:rsid w:val="005D6D9C"/>
    <w:rsid w:val="005E2335"/>
    <w:rsid w:val="005E34CA"/>
    <w:rsid w:val="005E3C18"/>
    <w:rsid w:val="005E4250"/>
    <w:rsid w:val="005E6812"/>
    <w:rsid w:val="005E7881"/>
    <w:rsid w:val="005E78E0"/>
    <w:rsid w:val="005F0D9C"/>
    <w:rsid w:val="005F284E"/>
    <w:rsid w:val="005F2C76"/>
    <w:rsid w:val="005F3586"/>
    <w:rsid w:val="005F4A4C"/>
    <w:rsid w:val="00600C14"/>
    <w:rsid w:val="006015CE"/>
    <w:rsid w:val="00604784"/>
    <w:rsid w:val="0060566F"/>
    <w:rsid w:val="00606419"/>
    <w:rsid w:val="00606F61"/>
    <w:rsid w:val="00607D29"/>
    <w:rsid w:val="00612952"/>
    <w:rsid w:val="00614CC1"/>
    <w:rsid w:val="00615A9D"/>
    <w:rsid w:val="006167BE"/>
    <w:rsid w:val="00617387"/>
    <w:rsid w:val="006205D6"/>
    <w:rsid w:val="00624DDD"/>
    <w:rsid w:val="006252D8"/>
    <w:rsid w:val="006259BC"/>
    <w:rsid w:val="0062636B"/>
    <w:rsid w:val="00632182"/>
    <w:rsid w:val="00632AE0"/>
    <w:rsid w:val="00633C17"/>
    <w:rsid w:val="00634D9E"/>
    <w:rsid w:val="0063606A"/>
    <w:rsid w:val="006365E2"/>
    <w:rsid w:val="00636E3E"/>
    <w:rsid w:val="006379F7"/>
    <w:rsid w:val="00637E4D"/>
    <w:rsid w:val="006400FE"/>
    <w:rsid w:val="00640620"/>
    <w:rsid w:val="00641A1F"/>
    <w:rsid w:val="00645904"/>
    <w:rsid w:val="00651ACB"/>
    <w:rsid w:val="00651C47"/>
    <w:rsid w:val="00652AA6"/>
    <w:rsid w:val="00652AB2"/>
    <w:rsid w:val="00653FED"/>
    <w:rsid w:val="0065468A"/>
    <w:rsid w:val="00654EC0"/>
    <w:rsid w:val="0065525B"/>
    <w:rsid w:val="00655D4F"/>
    <w:rsid w:val="00656D29"/>
    <w:rsid w:val="00660C8E"/>
    <w:rsid w:val="006618F4"/>
    <w:rsid w:val="00663A32"/>
    <w:rsid w:val="006640E5"/>
    <w:rsid w:val="006646F1"/>
    <w:rsid w:val="00664929"/>
    <w:rsid w:val="00664F62"/>
    <w:rsid w:val="006655E1"/>
    <w:rsid w:val="00666A55"/>
    <w:rsid w:val="00670282"/>
    <w:rsid w:val="006702E8"/>
    <w:rsid w:val="00672060"/>
    <w:rsid w:val="006724A2"/>
    <w:rsid w:val="00672BFD"/>
    <w:rsid w:val="00674FA4"/>
    <w:rsid w:val="006770F4"/>
    <w:rsid w:val="00677A84"/>
    <w:rsid w:val="0068026D"/>
    <w:rsid w:val="00680A27"/>
    <w:rsid w:val="00680E72"/>
    <w:rsid w:val="006816A4"/>
    <w:rsid w:val="006819B8"/>
    <w:rsid w:val="00682B40"/>
    <w:rsid w:val="006840A6"/>
    <w:rsid w:val="006850CD"/>
    <w:rsid w:val="00685AAB"/>
    <w:rsid w:val="00690492"/>
    <w:rsid w:val="00695DC2"/>
    <w:rsid w:val="006A07AA"/>
    <w:rsid w:val="006A1E4F"/>
    <w:rsid w:val="006A25E5"/>
    <w:rsid w:val="006A2B46"/>
    <w:rsid w:val="006A336D"/>
    <w:rsid w:val="006A37B9"/>
    <w:rsid w:val="006B2672"/>
    <w:rsid w:val="006B54BF"/>
    <w:rsid w:val="006B5F44"/>
    <w:rsid w:val="006B5F90"/>
    <w:rsid w:val="006B62E4"/>
    <w:rsid w:val="006C1BBA"/>
    <w:rsid w:val="006C2079"/>
    <w:rsid w:val="006C374B"/>
    <w:rsid w:val="006C3B15"/>
    <w:rsid w:val="006C5A62"/>
    <w:rsid w:val="006C5D68"/>
    <w:rsid w:val="006C6051"/>
    <w:rsid w:val="006C65B2"/>
    <w:rsid w:val="006C6976"/>
    <w:rsid w:val="006C6DD0"/>
    <w:rsid w:val="006D04EA"/>
    <w:rsid w:val="006D16C4"/>
    <w:rsid w:val="006D3E96"/>
    <w:rsid w:val="006D4515"/>
    <w:rsid w:val="006D4BB1"/>
    <w:rsid w:val="006D6593"/>
    <w:rsid w:val="006D7AA7"/>
    <w:rsid w:val="006E0137"/>
    <w:rsid w:val="006E532D"/>
    <w:rsid w:val="006F03A8"/>
    <w:rsid w:val="006F18BD"/>
    <w:rsid w:val="006F279E"/>
    <w:rsid w:val="006F2ACA"/>
    <w:rsid w:val="006F2ADC"/>
    <w:rsid w:val="006F2BFE"/>
    <w:rsid w:val="006F31E9"/>
    <w:rsid w:val="006F5210"/>
    <w:rsid w:val="006F6284"/>
    <w:rsid w:val="007002C5"/>
    <w:rsid w:val="00703073"/>
    <w:rsid w:val="007041E6"/>
    <w:rsid w:val="00704387"/>
    <w:rsid w:val="00707669"/>
    <w:rsid w:val="00707744"/>
    <w:rsid w:val="00711CBA"/>
    <w:rsid w:val="00711FB5"/>
    <w:rsid w:val="00712A01"/>
    <w:rsid w:val="00714043"/>
    <w:rsid w:val="00714F58"/>
    <w:rsid w:val="0071760C"/>
    <w:rsid w:val="00720EA4"/>
    <w:rsid w:val="00721065"/>
    <w:rsid w:val="00722FBF"/>
    <w:rsid w:val="00722FC2"/>
    <w:rsid w:val="00723EBD"/>
    <w:rsid w:val="00724E1B"/>
    <w:rsid w:val="00725949"/>
    <w:rsid w:val="00726646"/>
    <w:rsid w:val="00727FA2"/>
    <w:rsid w:val="007322D9"/>
    <w:rsid w:val="00732BC0"/>
    <w:rsid w:val="00732F88"/>
    <w:rsid w:val="00734354"/>
    <w:rsid w:val="0073720F"/>
    <w:rsid w:val="00737796"/>
    <w:rsid w:val="0074165C"/>
    <w:rsid w:val="00742344"/>
    <w:rsid w:val="00742C35"/>
    <w:rsid w:val="007432CA"/>
    <w:rsid w:val="007439EB"/>
    <w:rsid w:val="00743CB4"/>
    <w:rsid w:val="00743F0A"/>
    <w:rsid w:val="00744086"/>
    <w:rsid w:val="007444E8"/>
    <w:rsid w:val="0074548E"/>
    <w:rsid w:val="00745773"/>
    <w:rsid w:val="00746800"/>
    <w:rsid w:val="007501A8"/>
    <w:rsid w:val="00750D61"/>
    <w:rsid w:val="00750EE1"/>
    <w:rsid w:val="00751C7E"/>
    <w:rsid w:val="00752B4D"/>
    <w:rsid w:val="00752C51"/>
    <w:rsid w:val="00755402"/>
    <w:rsid w:val="0075595B"/>
    <w:rsid w:val="00756B26"/>
    <w:rsid w:val="00756EDF"/>
    <w:rsid w:val="007600E3"/>
    <w:rsid w:val="00762047"/>
    <w:rsid w:val="00765C43"/>
    <w:rsid w:val="00765DFE"/>
    <w:rsid w:val="00765EFB"/>
    <w:rsid w:val="007671CA"/>
    <w:rsid w:val="00767C61"/>
    <w:rsid w:val="0077008A"/>
    <w:rsid w:val="00771EB8"/>
    <w:rsid w:val="00772E32"/>
    <w:rsid w:val="00773C1F"/>
    <w:rsid w:val="00774DA4"/>
    <w:rsid w:val="00776599"/>
    <w:rsid w:val="0078114B"/>
    <w:rsid w:val="00781DD2"/>
    <w:rsid w:val="0078353E"/>
    <w:rsid w:val="00783ECF"/>
    <w:rsid w:val="0078413A"/>
    <w:rsid w:val="007938AA"/>
    <w:rsid w:val="007959E8"/>
    <w:rsid w:val="00795E9C"/>
    <w:rsid w:val="007A0521"/>
    <w:rsid w:val="007A2E12"/>
    <w:rsid w:val="007A3475"/>
    <w:rsid w:val="007A41C8"/>
    <w:rsid w:val="007A54CE"/>
    <w:rsid w:val="007A6128"/>
    <w:rsid w:val="007A6FD9"/>
    <w:rsid w:val="007A7FFA"/>
    <w:rsid w:val="007B04EB"/>
    <w:rsid w:val="007B0D4F"/>
    <w:rsid w:val="007B1E7F"/>
    <w:rsid w:val="007B3B32"/>
    <w:rsid w:val="007B5A3D"/>
    <w:rsid w:val="007B5B95"/>
    <w:rsid w:val="007B6032"/>
    <w:rsid w:val="007B68EA"/>
    <w:rsid w:val="007B7453"/>
    <w:rsid w:val="007B77CC"/>
    <w:rsid w:val="007C2D89"/>
    <w:rsid w:val="007C4593"/>
    <w:rsid w:val="007C5309"/>
    <w:rsid w:val="007C6069"/>
    <w:rsid w:val="007C7DE0"/>
    <w:rsid w:val="007D04A0"/>
    <w:rsid w:val="007D06C4"/>
    <w:rsid w:val="007D1352"/>
    <w:rsid w:val="007D2508"/>
    <w:rsid w:val="007D27FB"/>
    <w:rsid w:val="007D346A"/>
    <w:rsid w:val="007D6518"/>
    <w:rsid w:val="007D6766"/>
    <w:rsid w:val="007D76BD"/>
    <w:rsid w:val="007E0BF1"/>
    <w:rsid w:val="007E3DAE"/>
    <w:rsid w:val="007E4F79"/>
    <w:rsid w:val="007E79C5"/>
    <w:rsid w:val="007F0ED8"/>
    <w:rsid w:val="007F0F63"/>
    <w:rsid w:val="007F20F3"/>
    <w:rsid w:val="007F35C7"/>
    <w:rsid w:val="007F376E"/>
    <w:rsid w:val="007F51CC"/>
    <w:rsid w:val="007F75CE"/>
    <w:rsid w:val="00800501"/>
    <w:rsid w:val="008007BB"/>
    <w:rsid w:val="0080101F"/>
    <w:rsid w:val="008013A4"/>
    <w:rsid w:val="008016F5"/>
    <w:rsid w:val="008027CE"/>
    <w:rsid w:val="00802F42"/>
    <w:rsid w:val="00803922"/>
    <w:rsid w:val="00804383"/>
    <w:rsid w:val="00804BB7"/>
    <w:rsid w:val="00804D41"/>
    <w:rsid w:val="00805911"/>
    <w:rsid w:val="00810257"/>
    <w:rsid w:val="008104F5"/>
    <w:rsid w:val="00810C26"/>
    <w:rsid w:val="00811015"/>
    <w:rsid w:val="00811072"/>
    <w:rsid w:val="00811238"/>
    <w:rsid w:val="00811369"/>
    <w:rsid w:val="00812650"/>
    <w:rsid w:val="00813AAE"/>
    <w:rsid w:val="00815419"/>
    <w:rsid w:val="008163C8"/>
    <w:rsid w:val="008164A1"/>
    <w:rsid w:val="00817325"/>
    <w:rsid w:val="008209E6"/>
    <w:rsid w:val="00821F12"/>
    <w:rsid w:val="00823303"/>
    <w:rsid w:val="008233B2"/>
    <w:rsid w:val="00823A9F"/>
    <w:rsid w:val="00823C85"/>
    <w:rsid w:val="00823F4A"/>
    <w:rsid w:val="00825138"/>
    <w:rsid w:val="008269DD"/>
    <w:rsid w:val="00826FDD"/>
    <w:rsid w:val="00830621"/>
    <w:rsid w:val="0083348C"/>
    <w:rsid w:val="008373D3"/>
    <w:rsid w:val="00840617"/>
    <w:rsid w:val="00840F84"/>
    <w:rsid w:val="00842A47"/>
    <w:rsid w:val="00842F17"/>
    <w:rsid w:val="00843C13"/>
    <w:rsid w:val="008446EF"/>
    <w:rsid w:val="0084475C"/>
    <w:rsid w:val="008454F8"/>
    <w:rsid w:val="0085173A"/>
    <w:rsid w:val="008552BB"/>
    <w:rsid w:val="00856179"/>
    <w:rsid w:val="008603CE"/>
    <w:rsid w:val="00860BAF"/>
    <w:rsid w:val="008620FC"/>
    <w:rsid w:val="008627A5"/>
    <w:rsid w:val="008632C9"/>
    <w:rsid w:val="00863E05"/>
    <w:rsid w:val="00865ACA"/>
    <w:rsid w:val="00865BF4"/>
    <w:rsid w:val="00865D28"/>
    <w:rsid w:val="00865F85"/>
    <w:rsid w:val="00867C10"/>
    <w:rsid w:val="00870439"/>
    <w:rsid w:val="00870DA1"/>
    <w:rsid w:val="008804A1"/>
    <w:rsid w:val="00882161"/>
    <w:rsid w:val="00883F93"/>
    <w:rsid w:val="00884DB3"/>
    <w:rsid w:val="00885A9D"/>
    <w:rsid w:val="008864F6"/>
    <w:rsid w:val="0089049D"/>
    <w:rsid w:val="00890507"/>
    <w:rsid w:val="00891019"/>
    <w:rsid w:val="008928C9"/>
    <w:rsid w:val="008930CB"/>
    <w:rsid w:val="008938DC"/>
    <w:rsid w:val="00893FD1"/>
    <w:rsid w:val="00894836"/>
    <w:rsid w:val="00895172"/>
    <w:rsid w:val="00895680"/>
    <w:rsid w:val="00896DFF"/>
    <w:rsid w:val="0089762C"/>
    <w:rsid w:val="0089796C"/>
    <w:rsid w:val="008A065E"/>
    <w:rsid w:val="008A173B"/>
    <w:rsid w:val="008A1893"/>
    <w:rsid w:val="008A23A2"/>
    <w:rsid w:val="008A57E6"/>
    <w:rsid w:val="008A5955"/>
    <w:rsid w:val="008A6ABB"/>
    <w:rsid w:val="008A6F81"/>
    <w:rsid w:val="008A7558"/>
    <w:rsid w:val="008A769A"/>
    <w:rsid w:val="008B0C9C"/>
    <w:rsid w:val="008B166D"/>
    <w:rsid w:val="008B17F4"/>
    <w:rsid w:val="008B3615"/>
    <w:rsid w:val="008B3719"/>
    <w:rsid w:val="008B4AC4"/>
    <w:rsid w:val="008B4F1C"/>
    <w:rsid w:val="008B50C8"/>
    <w:rsid w:val="008B5281"/>
    <w:rsid w:val="008B7E05"/>
    <w:rsid w:val="008C0048"/>
    <w:rsid w:val="008C1797"/>
    <w:rsid w:val="008C1DE6"/>
    <w:rsid w:val="008C219C"/>
    <w:rsid w:val="008C475E"/>
    <w:rsid w:val="008C619A"/>
    <w:rsid w:val="008D07D9"/>
    <w:rsid w:val="008D0CE8"/>
    <w:rsid w:val="008D2BA3"/>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EA4"/>
    <w:rsid w:val="008E6A84"/>
    <w:rsid w:val="008F0CDC"/>
    <w:rsid w:val="008F17A3"/>
    <w:rsid w:val="008F1ED3"/>
    <w:rsid w:val="008F4C29"/>
    <w:rsid w:val="008F63E6"/>
    <w:rsid w:val="008F70BD"/>
    <w:rsid w:val="008F788F"/>
    <w:rsid w:val="008F7EA2"/>
    <w:rsid w:val="009024A7"/>
    <w:rsid w:val="00902722"/>
    <w:rsid w:val="009027BC"/>
    <w:rsid w:val="009062E6"/>
    <w:rsid w:val="00906515"/>
    <w:rsid w:val="00911BE5"/>
    <w:rsid w:val="00912FF2"/>
    <w:rsid w:val="00913CA9"/>
    <w:rsid w:val="00913CC1"/>
    <w:rsid w:val="009145AE"/>
    <w:rsid w:val="009146CE"/>
    <w:rsid w:val="00914CA7"/>
    <w:rsid w:val="00915C3E"/>
    <w:rsid w:val="00916053"/>
    <w:rsid w:val="009161A8"/>
    <w:rsid w:val="00920766"/>
    <w:rsid w:val="009215F1"/>
    <w:rsid w:val="009245AE"/>
    <w:rsid w:val="009245F5"/>
    <w:rsid w:val="009249EC"/>
    <w:rsid w:val="00925C14"/>
    <w:rsid w:val="009273B3"/>
    <w:rsid w:val="0093036D"/>
    <w:rsid w:val="009305B5"/>
    <w:rsid w:val="00933362"/>
    <w:rsid w:val="00933548"/>
    <w:rsid w:val="0093433C"/>
    <w:rsid w:val="00934852"/>
    <w:rsid w:val="00934B24"/>
    <w:rsid w:val="009378DD"/>
    <w:rsid w:val="009407C6"/>
    <w:rsid w:val="009429D5"/>
    <w:rsid w:val="00942BF1"/>
    <w:rsid w:val="00945180"/>
    <w:rsid w:val="00945428"/>
    <w:rsid w:val="00946037"/>
    <w:rsid w:val="0094607B"/>
    <w:rsid w:val="0094654A"/>
    <w:rsid w:val="0095095A"/>
    <w:rsid w:val="00953604"/>
    <w:rsid w:val="00953D06"/>
    <w:rsid w:val="0095496B"/>
    <w:rsid w:val="00956DCA"/>
    <w:rsid w:val="00957EA3"/>
    <w:rsid w:val="00960F1E"/>
    <w:rsid w:val="009610DC"/>
    <w:rsid w:val="00961490"/>
    <w:rsid w:val="00961851"/>
    <w:rsid w:val="00961BEA"/>
    <w:rsid w:val="0096381A"/>
    <w:rsid w:val="00965E04"/>
    <w:rsid w:val="009674AD"/>
    <w:rsid w:val="00970CDC"/>
    <w:rsid w:val="009721B0"/>
    <w:rsid w:val="00975727"/>
    <w:rsid w:val="009765C8"/>
    <w:rsid w:val="00977010"/>
    <w:rsid w:val="00977D02"/>
    <w:rsid w:val="00977FF9"/>
    <w:rsid w:val="009809BB"/>
    <w:rsid w:val="00982652"/>
    <w:rsid w:val="0098364B"/>
    <w:rsid w:val="00987D80"/>
    <w:rsid w:val="009908A3"/>
    <w:rsid w:val="009911AF"/>
    <w:rsid w:val="00991875"/>
    <w:rsid w:val="00991F92"/>
    <w:rsid w:val="00992985"/>
    <w:rsid w:val="00993889"/>
    <w:rsid w:val="00994275"/>
    <w:rsid w:val="0099551B"/>
    <w:rsid w:val="0099584E"/>
    <w:rsid w:val="009968B9"/>
    <w:rsid w:val="00996BD2"/>
    <w:rsid w:val="00997BF1"/>
    <w:rsid w:val="009A089C"/>
    <w:rsid w:val="009A118E"/>
    <w:rsid w:val="009A180E"/>
    <w:rsid w:val="009A21CD"/>
    <w:rsid w:val="009A278C"/>
    <w:rsid w:val="009A2BC2"/>
    <w:rsid w:val="009A406D"/>
    <w:rsid w:val="009A4077"/>
    <w:rsid w:val="009A42C1"/>
    <w:rsid w:val="009A4BA3"/>
    <w:rsid w:val="009A5429"/>
    <w:rsid w:val="009A6740"/>
    <w:rsid w:val="009A72AD"/>
    <w:rsid w:val="009B09E0"/>
    <w:rsid w:val="009B0BC5"/>
    <w:rsid w:val="009B0CE5"/>
    <w:rsid w:val="009B1247"/>
    <w:rsid w:val="009B22FD"/>
    <w:rsid w:val="009B5F6B"/>
    <w:rsid w:val="009B6029"/>
    <w:rsid w:val="009B6971"/>
    <w:rsid w:val="009C23E6"/>
    <w:rsid w:val="009C27F1"/>
    <w:rsid w:val="009C2ED6"/>
    <w:rsid w:val="009C3152"/>
    <w:rsid w:val="009C3257"/>
    <w:rsid w:val="009C4CFA"/>
    <w:rsid w:val="009C5070"/>
    <w:rsid w:val="009C693E"/>
    <w:rsid w:val="009D05C7"/>
    <w:rsid w:val="009D0879"/>
    <w:rsid w:val="009D112C"/>
    <w:rsid w:val="009D1385"/>
    <w:rsid w:val="009D47FA"/>
    <w:rsid w:val="009D4C5B"/>
    <w:rsid w:val="009D50D2"/>
    <w:rsid w:val="009D6BCA"/>
    <w:rsid w:val="009D71E1"/>
    <w:rsid w:val="009E04B8"/>
    <w:rsid w:val="009E0F62"/>
    <w:rsid w:val="009E4A58"/>
    <w:rsid w:val="009E5A2D"/>
    <w:rsid w:val="009E5AB2"/>
    <w:rsid w:val="009E6219"/>
    <w:rsid w:val="009F03B3"/>
    <w:rsid w:val="009F235D"/>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A8"/>
    <w:rsid w:val="00A25E59"/>
    <w:rsid w:val="00A27EA9"/>
    <w:rsid w:val="00A27EE1"/>
    <w:rsid w:val="00A30032"/>
    <w:rsid w:val="00A30EFC"/>
    <w:rsid w:val="00A31984"/>
    <w:rsid w:val="00A32AFD"/>
    <w:rsid w:val="00A32D73"/>
    <w:rsid w:val="00A3367B"/>
    <w:rsid w:val="00A343BF"/>
    <w:rsid w:val="00A3597D"/>
    <w:rsid w:val="00A36607"/>
    <w:rsid w:val="00A36DD1"/>
    <w:rsid w:val="00A4006C"/>
    <w:rsid w:val="00A40091"/>
    <w:rsid w:val="00A4030F"/>
    <w:rsid w:val="00A41C79"/>
    <w:rsid w:val="00A41CB5"/>
    <w:rsid w:val="00A42ACC"/>
    <w:rsid w:val="00A42CDF"/>
    <w:rsid w:val="00A4452E"/>
    <w:rsid w:val="00A4472C"/>
    <w:rsid w:val="00A44E69"/>
    <w:rsid w:val="00A4661E"/>
    <w:rsid w:val="00A50F0F"/>
    <w:rsid w:val="00A55A1E"/>
    <w:rsid w:val="00A55BD6"/>
    <w:rsid w:val="00A55D50"/>
    <w:rsid w:val="00A57142"/>
    <w:rsid w:val="00A648CD"/>
    <w:rsid w:val="00A6537A"/>
    <w:rsid w:val="00A67866"/>
    <w:rsid w:val="00A70B07"/>
    <w:rsid w:val="00A723F8"/>
    <w:rsid w:val="00A75619"/>
    <w:rsid w:val="00A76455"/>
    <w:rsid w:val="00A77CCB"/>
    <w:rsid w:val="00A83D8D"/>
    <w:rsid w:val="00A8446B"/>
    <w:rsid w:val="00A8473F"/>
    <w:rsid w:val="00A862D6"/>
    <w:rsid w:val="00A8715E"/>
    <w:rsid w:val="00A87936"/>
    <w:rsid w:val="00A92732"/>
    <w:rsid w:val="00A9295B"/>
    <w:rsid w:val="00A93B09"/>
    <w:rsid w:val="00A952D7"/>
    <w:rsid w:val="00A963F7"/>
    <w:rsid w:val="00A96AD8"/>
    <w:rsid w:val="00AA052C"/>
    <w:rsid w:val="00AA0B76"/>
    <w:rsid w:val="00AA1CF0"/>
    <w:rsid w:val="00AA1E45"/>
    <w:rsid w:val="00AA27D1"/>
    <w:rsid w:val="00AA4286"/>
    <w:rsid w:val="00AA456B"/>
    <w:rsid w:val="00AA57F5"/>
    <w:rsid w:val="00AA5BC8"/>
    <w:rsid w:val="00AA672E"/>
    <w:rsid w:val="00AA6EC9"/>
    <w:rsid w:val="00AA72F6"/>
    <w:rsid w:val="00AB3842"/>
    <w:rsid w:val="00AB6309"/>
    <w:rsid w:val="00AB6327"/>
    <w:rsid w:val="00AB6C59"/>
    <w:rsid w:val="00AB6C5F"/>
    <w:rsid w:val="00AB7129"/>
    <w:rsid w:val="00AC15EA"/>
    <w:rsid w:val="00AC27A6"/>
    <w:rsid w:val="00AC30F7"/>
    <w:rsid w:val="00AC3A5A"/>
    <w:rsid w:val="00AC4D95"/>
    <w:rsid w:val="00AC5DF4"/>
    <w:rsid w:val="00AD0A0B"/>
    <w:rsid w:val="00AD0AEF"/>
    <w:rsid w:val="00AD0BBC"/>
    <w:rsid w:val="00AD11B7"/>
    <w:rsid w:val="00AD1A94"/>
    <w:rsid w:val="00AD1C05"/>
    <w:rsid w:val="00AD4126"/>
    <w:rsid w:val="00AD421C"/>
    <w:rsid w:val="00AD44FA"/>
    <w:rsid w:val="00AD7E94"/>
    <w:rsid w:val="00AE070A"/>
    <w:rsid w:val="00AE101C"/>
    <w:rsid w:val="00AE2A69"/>
    <w:rsid w:val="00AE37E5"/>
    <w:rsid w:val="00AE5D99"/>
    <w:rsid w:val="00AE5EB4"/>
    <w:rsid w:val="00AE7819"/>
    <w:rsid w:val="00AF0508"/>
    <w:rsid w:val="00AF0C18"/>
    <w:rsid w:val="00AF2622"/>
    <w:rsid w:val="00AF47C5"/>
    <w:rsid w:val="00AF5398"/>
    <w:rsid w:val="00B01174"/>
    <w:rsid w:val="00B04708"/>
    <w:rsid w:val="00B049AF"/>
    <w:rsid w:val="00B0720D"/>
    <w:rsid w:val="00B07242"/>
    <w:rsid w:val="00B10534"/>
    <w:rsid w:val="00B113DB"/>
    <w:rsid w:val="00B11C5D"/>
    <w:rsid w:val="00B11D8A"/>
    <w:rsid w:val="00B12981"/>
    <w:rsid w:val="00B147DD"/>
    <w:rsid w:val="00B156FD"/>
    <w:rsid w:val="00B15C23"/>
    <w:rsid w:val="00B20C55"/>
    <w:rsid w:val="00B21F61"/>
    <w:rsid w:val="00B227A2"/>
    <w:rsid w:val="00B261F1"/>
    <w:rsid w:val="00B265BC"/>
    <w:rsid w:val="00B26820"/>
    <w:rsid w:val="00B2793F"/>
    <w:rsid w:val="00B31FB1"/>
    <w:rsid w:val="00B33952"/>
    <w:rsid w:val="00B33C5E"/>
    <w:rsid w:val="00B342F4"/>
    <w:rsid w:val="00B34369"/>
    <w:rsid w:val="00B34DC2"/>
    <w:rsid w:val="00B378E5"/>
    <w:rsid w:val="00B4346D"/>
    <w:rsid w:val="00B440F4"/>
    <w:rsid w:val="00B447A5"/>
    <w:rsid w:val="00B4654C"/>
    <w:rsid w:val="00B47293"/>
    <w:rsid w:val="00B509A7"/>
    <w:rsid w:val="00B50E50"/>
    <w:rsid w:val="00B52120"/>
    <w:rsid w:val="00B52F1B"/>
    <w:rsid w:val="00B54ABC"/>
    <w:rsid w:val="00B555EB"/>
    <w:rsid w:val="00B56FBE"/>
    <w:rsid w:val="00B60ACF"/>
    <w:rsid w:val="00B61800"/>
    <w:rsid w:val="00B62B58"/>
    <w:rsid w:val="00B62BB2"/>
    <w:rsid w:val="00B65149"/>
    <w:rsid w:val="00B66567"/>
    <w:rsid w:val="00B66E2D"/>
    <w:rsid w:val="00B66F52"/>
    <w:rsid w:val="00B66FE5"/>
    <w:rsid w:val="00B719F3"/>
    <w:rsid w:val="00B72880"/>
    <w:rsid w:val="00B74556"/>
    <w:rsid w:val="00B758BF"/>
    <w:rsid w:val="00B77EC8"/>
    <w:rsid w:val="00B80059"/>
    <w:rsid w:val="00B827A6"/>
    <w:rsid w:val="00B831CE"/>
    <w:rsid w:val="00B83511"/>
    <w:rsid w:val="00B83E7F"/>
    <w:rsid w:val="00B86677"/>
    <w:rsid w:val="00B87131"/>
    <w:rsid w:val="00B939B1"/>
    <w:rsid w:val="00B96D40"/>
    <w:rsid w:val="00B97386"/>
    <w:rsid w:val="00BA061B"/>
    <w:rsid w:val="00BA176E"/>
    <w:rsid w:val="00BA263B"/>
    <w:rsid w:val="00BA2BBB"/>
    <w:rsid w:val="00BA42B2"/>
    <w:rsid w:val="00BA53CE"/>
    <w:rsid w:val="00BA58D4"/>
    <w:rsid w:val="00BA5B9E"/>
    <w:rsid w:val="00BA60C9"/>
    <w:rsid w:val="00BA6521"/>
    <w:rsid w:val="00BA66D8"/>
    <w:rsid w:val="00BA6C0B"/>
    <w:rsid w:val="00BA7C9A"/>
    <w:rsid w:val="00BB26F6"/>
    <w:rsid w:val="00BB5F8F"/>
    <w:rsid w:val="00BB657A"/>
    <w:rsid w:val="00BB6BCC"/>
    <w:rsid w:val="00BC020A"/>
    <w:rsid w:val="00BC1A4E"/>
    <w:rsid w:val="00BC34EE"/>
    <w:rsid w:val="00BC494E"/>
    <w:rsid w:val="00BC5DC7"/>
    <w:rsid w:val="00BC6B8B"/>
    <w:rsid w:val="00BC73D8"/>
    <w:rsid w:val="00BC78C7"/>
    <w:rsid w:val="00BD2994"/>
    <w:rsid w:val="00BD2A5E"/>
    <w:rsid w:val="00BD52D7"/>
    <w:rsid w:val="00BD5AD2"/>
    <w:rsid w:val="00BE22F3"/>
    <w:rsid w:val="00BE4FE8"/>
    <w:rsid w:val="00BE5655"/>
    <w:rsid w:val="00BE5B52"/>
    <w:rsid w:val="00BE65F7"/>
    <w:rsid w:val="00BE7B8D"/>
    <w:rsid w:val="00BF0993"/>
    <w:rsid w:val="00BF0FF6"/>
    <w:rsid w:val="00BF10A9"/>
    <w:rsid w:val="00BF1703"/>
    <w:rsid w:val="00BF231C"/>
    <w:rsid w:val="00BF3679"/>
    <w:rsid w:val="00BF4184"/>
    <w:rsid w:val="00BF4CA9"/>
    <w:rsid w:val="00BF51E5"/>
    <w:rsid w:val="00BF74A6"/>
    <w:rsid w:val="00C00410"/>
    <w:rsid w:val="00C013AD"/>
    <w:rsid w:val="00C014E6"/>
    <w:rsid w:val="00C04904"/>
    <w:rsid w:val="00C056B3"/>
    <w:rsid w:val="00C103E5"/>
    <w:rsid w:val="00C12A4A"/>
    <w:rsid w:val="00C13319"/>
    <w:rsid w:val="00C13EE9"/>
    <w:rsid w:val="00C143E1"/>
    <w:rsid w:val="00C1738F"/>
    <w:rsid w:val="00C204B6"/>
    <w:rsid w:val="00C21540"/>
    <w:rsid w:val="00C21906"/>
    <w:rsid w:val="00C21BFA"/>
    <w:rsid w:val="00C24C8D"/>
    <w:rsid w:val="00C25E2C"/>
    <w:rsid w:val="00C25FE2"/>
    <w:rsid w:val="00C26B53"/>
    <w:rsid w:val="00C279B2"/>
    <w:rsid w:val="00C31773"/>
    <w:rsid w:val="00C3202B"/>
    <w:rsid w:val="00C33E50"/>
    <w:rsid w:val="00C34C20"/>
    <w:rsid w:val="00C35A3E"/>
    <w:rsid w:val="00C366E8"/>
    <w:rsid w:val="00C42130"/>
    <w:rsid w:val="00C423A4"/>
    <w:rsid w:val="00C423E3"/>
    <w:rsid w:val="00C4437C"/>
    <w:rsid w:val="00C44BF5"/>
    <w:rsid w:val="00C521D6"/>
    <w:rsid w:val="00C55232"/>
    <w:rsid w:val="00C553A4"/>
    <w:rsid w:val="00C55A06"/>
    <w:rsid w:val="00C55D03"/>
    <w:rsid w:val="00C5737D"/>
    <w:rsid w:val="00C57BFE"/>
    <w:rsid w:val="00C57E83"/>
    <w:rsid w:val="00C601BC"/>
    <w:rsid w:val="00C60C38"/>
    <w:rsid w:val="00C6329F"/>
    <w:rsid w:val="00C63340"/>
    <w:rsid w:val="00C64061"/>
    <w:rsid w:val="00C643F9"/>
    <w:rsid w:val="00C64E95"/>
    <w:rsid w:val="00C71372"/>
    <w:rsid w:val="00C72410"/>
    <w:rsid w:val="00C7287F"/>
    <w:rsid w:val="00C744E2"/>
    <w:rsid w:val="00C77AB2"/>
    <w:rsid w:val="00C80CB8"/>
    <w:rsid w:val="00C819F8"/>
    <w:rsid w:val="00C8248C"/>
    <w:rsid w:val="00C831B2"/>
    <w:rsid w:val="00C8458B"/>
    <w:rsid w:val="00C84BEE"/>
    <w:rsid w:val="00C84E33"/>
    <w:rsid w:val="00C86D6F"/>
    <w:rsid w:val="00C905FC"/>
    <w:rsid w:val="00C92D03"/>
    <w:rsid w:val="00C9319C"/>
    <w:rsid w:val="00C9435D"/>
    <w:rsid w:val="00C945CA"/>
    <w:rsid w:val="00C94DF2"/>
    <w:rsid w:val="00C96741"/>
    <w:rsid w:val="00C97219"/>
    <w:rsid w:val="00CA0487"/>
    <w:rsid w:val="00CA22F5"/>
    <w:rsid w:val="00CA2D1B"/>
    <w:rsid w:val="00CA375D"/>
    <w:rsid w:val="00CA42F0"/>
    <w:rsid w:val="00CA662A"/>
    <w:rsid w:val="00CA6A5C"/>
    <w:rsid w:val="00CA7AFD"/>
    <w:rsid w:val="00CA7C3C"/>
    <w:rsid w:val="00CB0189"/>
    <w:rsid w:val="00CB0BA2"/>
    <w:rsid w:val="00CB103D"/>
    <w:rsid w:val="00CB1A42"/>
    <w:rsid w:val="00CB1B0C"/>
    <w:rsid w:val="00CB2C0B"/>
    <w:rsid w:val="00CB3271"/>
    <w:rsid w:val="00CB3460"/>
    <w:rsid w:val="00CB3D99"/>
    <w:rsid w:val="00CB517D"/>
    <w:rsid w:val="00CC038D"/>
    <w:rsid w:val="00CC08DB"/>
    <w:rsid w:val="00CC21F8"/>
    <w:rsid w:val="00CC39FF"/>
    <w:rsid w:val="00CC3C2F"/>
    <w:rsid w:val="00CC444C"/>
    <w:rsid w:val="00CC483E"/>
    <w:rsid w:val="00CC4AC8"/>
    <w:rsid w:val="00CC5233"/>
    <w:rsid w:val="00CC5DE6"/>
    <w:rsid w:val="00CC6E4E"/>
    <w:rsid w:val="00CC6FE8"/>
    <w:rsid w:val="00CC7202"/>
    <w:rsid w:val="00CD21F2"/>
    <w:rsid w:val="00CD2263"/>
    <w:rsid w:val="00CD2808"/>
    <w:rsid w:val="00CD28BF"/>
    <w:rsid w:val="00CD4092"/>
    <w:rsid w:val="00CD4A20"/>
    <w:rsid w:val="00CD50A1"/>
    <w:rsid w:val="00CD519E"/>
    <w:rsid w:val="00CD5E87"/>
    <w:rsid w:val="00CD5F38"/>
    <w:rsid w:val="00CE0C4F"/>
    <w:rsid w:val="00CE1689"/>
    <w:rsid w:val="00CE2E08"/>
    <w:rsid w:val="00CE30EA"/>
    <w:rsid w:val="00CF048A"/>
    <w:rsid w:val="00CF155A"/>
    <w:rsid w:val="00CF1ACE"/>
    <w:rsid w:val="00CF24AA"/>
    <w:rsid w:val="00CF2947"/>
    <w:rsid w:val="00CF3817"/>
    <w:rsid w:val="00CF4B92"/>
    <w:rsid w:val="00CF686F"/>
    <w:rsid w:val="00CF6E60"/>
    <w:rsid w:val="00CF760C"/>
    <w:rsid w:val="00CF7BCA"/>
    <w:rsid w:val="00D008FD"/>
    <w:rsid w:val="00D023F1"/>
    <w:rsid w:val="00D0321C"/>
    <w:rsid w:val="00D03521"/>
    <w:rsid w:val="00D035EC"/>
    <w:rsid w:val="00D04257"/>
    <w:rsid w:val="00D04ABD"/>
    <w:rsid w:val="00D06AB1"/>
    <w:rsid w:val="00D06FC1"/>
    <w:rsid w:val="00D072ED"/>
    <w:rsid w:val="00D07A16"/>
    <w:rsid w:val="00D1067E"/>
    <w:rsid w:val="00D10F50"/>
    <w:rsid w:val="00D11272"/>
    <w:rsid w:val="00D11820"/>
    <w:rsid w:val="00D126F5"/>
    <w:rsid w:val="00D1489E"/>
    <w:rsid w:val="00D17DB0"/>
    <w:rsid w:val="00D17DBF"/>
    <w:rsid w:val="00D20737"/>
    <w:rsid w:val="00D21E81"/>
    <w:rsid w:val="00D223DE"/>
    <w:rsid w:val="00D233AC"/>
    <w:rsid w:val="00D2466B"/>
    <w:rsid w:val="00D25E37"/>
    <w:rsid w:val="00D2601C"/>
    <w:rsid w:val="00D2661A"/>
    <w:rsid w:val="00D27036"/>
    <w:rsid w:val="00D27582"/>
    <w:rsid w:val="00D27EC4"/>
    <w:rsid w:val="00D314BE"/>
    <w:rsid w:val="00D31A9D"/>
    <w:rsid w:val="00D32719"/>
    <w:rsid w:val="00D33333"/>
    <w:rsid w:val="00D352A2"/>
    <w:rsid w:val="00D4162B"/>
    <w:rsid w:val="00D448A0"/>
    <w:rsid w:val="00D4514F"/>
    <w:rsid w:val="00D451E2"/>
    <w:rsid w:val="00D45CBD"/>
    <w:rsid w:val="00D45E89"/>
    <w:rsid w:val="00D45E8D"/>
    <w:rsid w:val="00D466AE"/>
    <w:rsid w:val="00D4734F"/>
    <w:rsid w:val="00D4740F"/>
    <w:rsid w:val="00D51BF3"/>
    <w:rsid w:val="00D609C5"/>
    <w:rsid w:val="00D666F6"/>
    <w:rsid w:val="00D66846"/>
    <w:rsid w:val="00D675FB"/>
    <w:rsid w:val="00D71F25"/>
    <w:rsid w:val="00D72A9C"/>
    <w:rsid w:val="00D730E6"/>
    <w:rsid w:val="00D73FFC"/>
    <w:rsid w:val="00D740BA"/>
    <w:rsid w:val="00D75582"/>
    <w:rsid w:val="00D77031"/>
    <w:rsid w:val="00D81651"/>
    <w:rsid w:val="00D84941"/>
    <w:rsid w:val="00D84FA1"/>
    <w:rsid w:val="00D851F0"/>
    <w:rsid w:val="00D86A7A"/>
    <w:rsid w:val="00D86DB7"/>
    <w:rsid w:val="00D87BF5"/>
    <w:rsid w:val="00D90721"/>
    <w:rsid w:val="00D926D0"/>
    <w:rsid w:val="00D93030"/>
    <w:rsid w:val="00D950E1"/>
    <w:rsid w:val="00D952A6"/>
    <w:rsid w:val="00D9629F"/>
    <w:rsid w:val="00D97F99"/>
    <w:rsid w:val="00DA1E08"/>
    <w:rsid w:val="00DA24F8"/>
    <w:rsid w:val="00DA28E8"/>
    <w:rsid w:val="00DA38D3"/>
    <w:rsid w:val="00DA3932"/>
    <w:rsid w:val="00DA3AFC"/>
    <w:rsid w:val="00DA4DFF"/>
    <w:rsid w:val="00DA64F8"/>
    <w:rsid w:val="00DA6C15"/>
    <w:rsid w:val="00DA747E"/>
    <w:rsid w:val="00DB0258"/>
    <w:rsid w:val="00DB11A7"/>
    <w:rsid w:val="00DB36E9"/>
    <w:rsid w:val="00DB38EE"/>
    <w:rsid w:val="00DB3E57"/>
    <w:rsid w:val="00DB498B"/>
    <w:rsid w:val="00DB5AFD"/>
    <w:rsid w:val="00DB66CA"/>
    <w:rsid w:val="00DB6BCA"/>
    <w:rsid w:val="00DB6F54"/>
    <w:rsid w:val="00DB73F7"/>
    <w:rsid w:val="00DC0321"/>
    <w:rsid w:val="00DC06DF"/>
    <w:rsid w:val="00DC3067"/>
    <w:rsid w:val="00DC370B"/>
    <w:rsid w:val="00DC5B90"/>
    <w:rsid w:val="00DD00FF"/>
    <w:rsid w:val="00DD0619"/>
    <w:rsid w:val="00DD07FB"/>
    <w:rsid w:val="00DD22E4"/>
    <w:rsid w:val="00DD25C6"/>
    <w:rsid w:val="00DD3C2B"/>
    <w:rsid w:val="00DD45B2"/>
    <w:rsid w:val="00DD4FE5"/>
    <w:rsid w:val="00DD54B0"/>
    <w:rsid w:val="00DD57EE"/>
    <w:rsid w:val="00DD6BCC"/>
    <w:rsid w:val="00DE0A4B"/>
    <w:rsid w:val="00DE1E25"/>
    <w:rsid w:val="00DE2410"/>
    <w:rsid w:val="00DE2939"/>
    <w:rsid w:val="00DE6E81"/>
    <w:rsid w:val="00DE703F"/>
    <w:rsid w:val="00DE7595"/>
    <w:rsid w:val="00DF11F3"/>
    <w:rsid w:val="00DF1961"/>
    <w:rsid w:val="00DF2121"/>
    <w:rsid w:val="00DF2F77"/>
    <w:rsid w:val="00DF44DE"/>
    <w:rsid w:val="00DF4ECF"/>
    <w:rsid w:val="00E01138"/>
    <w:rsid w:val="00E02DFB"/>
    <w:rsid w:val="00E030F9"/>
    <w:rsid w:val="00E0311A"/>
    <w:rsid w:val="00E03138"/>
    <w:rsid w:val="00E06404"/>
    <w:rsid w:val="00E11A85"/>
    <w:rsid w:val="00E12495"/>
    <w:rsid w:val="00E156B9"/>
    <w:rsid w:val="00E15CCD"/>
    <w:rsid w:val="00E16CA6"/>
    <w:rsid w:val="00E202EF"/>
    <w:rsid w:val="00E210B5"/>
    <w:rsid w:val="00E2250D"/>
    <w:rsid w:val="00E23D65"/>
    <w:rsid w:val="00E2552F"/>
    <w:rsid w:val="00E26D1F"/>
    <w:rsid w:val="00E30AC0"/>
    <w:rsid w:val="00E3137A"/>
    <w:rsid w:val="00E32CCF"/>
    <w:rsid w:val="00E34A98"/>
    <w:rsid w:val="00E35D1E"/>
    <w:rsid w:val="00E364F9"/>
    <w:rsid w:val="00E365FA"/>
    <w:rsid w:val="00E36789"/>
    <w:rsid w:val="00E408EE"/>
    <w:rsid w:val="00E422F3"/>
    <w:rsid w:val="00E43779"/>
    <w:rsid w:val="00E44A83"/>
    <w:rsid w:val="00E452D3"/>
    <w:rsid w:val="00E502C1"/>
    <w:rsid w:val="00E502DD"/>
    <w:rsid w:val="00E50D3A"/>
    <w:rsid w:val="00E511F5"/>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98A"/>
    <w:rsid w:val="00E77A03"/>
    <w:rsid w:val="00E77D86"/>
    <w:rsid w:val="00E801D5"/>
    <w:rsid w:val="00E813FC"/>
    <w:rsid w:val="00E822E8"/>
    <w:rsid w:val="00E82554"/>
    <w:rsid w:val="00E82606"/>
    <w:rsid w:val="00E82907"/>
    <w:rsid w:val="00E831C1"/>
    <w:rsid w:val="00E846C8"/>
    <w:rsid w:val="00E84957"/>
    <w:rsid w:val="00E84A55"/>
    <w:rsid w:val="00E85BFF"/>
    <w:rsid w:val="00E87213"/>
    <w:rsid w:val="00E87F5B"/>
    <w:rsid w:val="00E90391"/>
    <w:rsid w:val="00E906C2"/>
    <w:rsid w:val="00E9079C"/>
    <w:rsid w:val="00E9307A"/>
    <w:rsid w:val="00E9311F"/>
    <w:rsid w:val="00E934D1"/>
    <w:rsid w:val="00E94AF0"/>
    <w:rsid w:val="00E95D13"/>
    <w:rsid w:val="00E95DD3"/>
    <w:rsid w:val="00E966AA"/>
    <w:rsid w:val="00E969D5"/>
    <w:rsid w:val="00EA23BA"/>
    <w:rsid w:val="00EA58D1"/>
    <w:rsid w:val="00EA61BC"/>
    <w:rsid w:val="00EA681A"/>
    <w:rsid w:val="00EA735B"/>
    <w:rsid w:val="00EA75DF"/>
    <w:rsid w:val="00EB1E69"/>
    <w:rsid w:val="00EB2086"/>
    <w:rsid w:val="00EB31ED"/>
    <w:rsid w:val="00EB3EE5"/>
    <w:rsid w:val="00EB5860"/>
    <w:rsid w:val="00EB5EDF"/>
    <w:rsid w:val="00EB60FE"/>
    <w:rsid w:val="00EB74DB"/>
    <w:rsid w:val="00EC5359"/>
    <w:rsid w:val="00EC562A"/>
    <w:rsid w:val="00EC5E3C"/>
    <w:rsid w:val="00EC5F73"/>
    <w:rsid w:val="00EC6D0C"/>
    <w:rsid w:val="00ED067A"/>
    <w:rsid w:val="00ED2A59"/>
    <w:rsid w:val="00ED2B50"/>
    <w:rsid w:val="00ED551F"/>
    <w:rsid w:val="00ED6335"/>
    <w:rsid w:val="00EE0350"/>
    <w:rsid w:val="00EE0719"/>
    <w:rsid w:val="00EE0E80"/>
    <w:rsid w:val="00EE3480"/>
    <w:rsid w:val="00EE613F"/>
    <w:rsid w:val="00EE7295"/>
    <w:rsid w:val="00EE7869"/>
    <w:rsid w:val="00EF0052"/>
    <w:rsid w:val="00EF054A"/>
    <w:rsid w:val="00EF3235"/>
    <w:rsid w:val="00EF3FCA"/>
    <w:rsid w:val="00EF47CE"/>
    <w:rsid w:val="00EF4BAF"/>
    <w:rsid w:val="00EF671B"/>
    <w:rsid w:val="00EF7E72"/>
    <w:rsid w:val="00F06D37"/>
    <w:rsid w:val="00F07B9D"/>
    <w:rsid w:val="00F11586"/>
    <w:rsid w:val="00F1183B"/>
    <w:rsid w:val="00F11C9F"/>
    <w:rsid w:val="00F12263"/>
    <w:rsid w:val="00F1409D"/>
    <w:rsid w:val="00F14214"/>
    <w:rsid w:val="00F157A9"/>
    <w:rsid w:val="00F16F00"/>
    <w:rsid w:val="00F21E59"/>
    <w:rsid w:val="00F22808"/>
    <w:rsid w:val="00F25BB6"/>
    <w:rsid w:val="00F26B7E"/>
    <w:rsid w:val="00F26ECD"/>
    <w:rsid w:val="00F276C2"/>
    <w:rsid w:val="00F27A3B"/>
    <w:rsid w:val="00F30156"/>
    <w:rsid w:val="00F30625"/>
    <w:rsid w:val="00F33817"/>
    <w:rsid w:val="00F3591A"/>
    <w:rsid w:val="00F35C6C"/>
    <w:rsid w:val="00F420D5"/>
    <w:rsid w:val="00F451EA"/>
    <w:rsid w:val="00F45447"/>
    <w:rsid w:val="00F456C6"/>
    <w:rsid w:val="00F4577B"/>
    <w:rsid w:val="00F463FD"/>
    <w:rsid w:val="00F46496"/>
    <w:rsid w:val="00F46D81"/>
    <w:rsid w:val="00F4712C"/>
    <w:rsid w:val="00F474D0"/>
    <w:rsid w:val="00F50179"/>
    <w:rsid w:val="00F515EE"/>
    <w:rsid w:val="00F56511"/>
    <w:rsid w:val="00F6194E"/>
    <w:rsid w:val="00F61DC5"/>
    <w:rsid w:val="00F623AC"/>
    <w:rsid w:val="00F624E4"/>
    <w:rsid w:val="00F6401C"/>
    <w:rsid w:val="00F6412A"/>
    <w:rsid w:val="00F65893"/>
    <w:rsid w:val="00F660BC"/>
    <w:rsid w:val="00F66A4A"/>
    <w:rsid w:val="00F71E22"/>
    <w:rsid w:val="00F72142"/>
    <w:rsid w:val="00F72AE7"/>
    <w:rsid w:val="00F72BE0"/>
    <w:rsid w:val="00F75D54"/>
    <w:rsid w:val="00F77D8D"/>
    <w:rsid w:val="00F819BD"/>
    <w:rsid w:val="00F833BA"/>
    <w:rsid w:val="00F84FD0"/>
    <w:rsid w:val="00F859A8"/>
    <w:rsid w:val="00F86D87"/>
    <w:rsid w:val="00F877A5"/>
    <w:rsid w:val="00F9108B"/>
    <w:rsid w:val="00F91349"/>
    <w:rsid w:val="00F93A8A"/>
    <w:rsid w:val="00F9479F"/>
    <w:rsid w:val="00F94B63"/>
    <w:rsid w:val="00F94FD7"/>
    <w:rsid w:val="00F95248"/>
    <w:rsid w:val="00F956A9"/>
    <w:rsid w:val="00F963ED"/>
    <w:rsid w:val="00F966CF"/>
    <w:rsid w:val="00F96CAE"/>
    <w:rsid w:val="00F97C99"/>
    <w:rsid w:val="00FA0B45"/>
    <w:rsid w:val="00FA207C"/>
    <w:rsid w:val="00FA3A97"/>
    <w:rsid w:val="00FA4827"/>
    <w:rsid w:val="00FA662D"/>
    <w:rsid w:val="00FA73B1"/>
    <w:rsid w:val="00FB0CB9"/>
    <w:rsid w:val="00FB231D"/>
    <w:rsid w:val="00FB45F1"/>
    <w:rsid w:val="00FB4A72"/>
    <w:rsid w:val="00FB54E8"/>
    <w:rsid w:val="00FB7054"/>
    <w:rsid w:val="00FC17B7"/>
    <w:rsid w:val="00FC2CB7"/>
    <w:rsid w:val="00FC4090"/>
    <w:rsid w:val="00FC55B4"/>
    <w:rsid w:val="00FC7D6D"/>
    <w:rsid w:val="00FD00E6"/>
    <w:rsid w:val="00FD09A1"/>
    <w:rsid w:val="00FD14A6"/>
    <w:rsid w:val="00FD2A7C"/>
    <w:rsid w:val="00FD5886"/>
    <w:rsid w:val="00FD59EB"/>
    <w:rsid w:val="00FD7299"/>
    <w:rsid w:val="00FE010B"/>
    <w:rsid w:val="00FE1FBE"/>
    <w:rsid w:val="00FE3901"/>
    <w:rsid w:val="00FE39D3"/>
    <w:rsid w:val="00FE4BCE"/>
    <w:rsid w:val="00FE54AE"/>
    <w:rsid w:val="00FE576A"/>
    <w:rsid w:val="00FE7E79"/>
    <w:rsid w:val="00FF0FDA"/>
    <w:rsid w:val="00FF3E7D"/>
    <w:rsid w:val="00FF3F60"/>
    <w:rsid w:val="00FF5B99"/>
    <w:rsid w:val="00FF730C"/>
    <w:rsid w:val="00FF73F4"/>
    <w:rsid w:val="00FF7CE4"/>
    <w:rsid w:val="00FF7E39"/>
    <w:rsid w:val="017E2E02"/>
    <w:rsid w:val="031D66EF"/>
    <w:rsid w:val="04705FEA"/>
    <w:rsid w:val="07392CC3"/>
    <w:rsid w:val="07C30649"/>
    <w:rsid w:val="08E84516"/>
    <w:rsid w:val="09901A5D"/>
    <w:rsid w:val="0BBA2189"/>
    <w:rsid w:val="18CB2E7B"/>
    <w:rsid w:val="1ACC4407"/>
    <w:rsid w:val="1FA038AA"/>
    <w:rsid w:val="310C2E74"/>
    <w:rsid w:val="32267527"/>
    <w:rsid w:val="32600997"/>
    <w:rsid w:val="34B45107"/>
    <w:rsid w:val="39E96D75"/>
    <w:rsid w:val="39F6312D"/>
    <w:rsid w:val="3BDF32AC"/>
    <w:rsid w:val="3FDC6B0D"/>
    <w:rsid w:val="400903D3"/>
    <w:rsid w:val="42124FB7"/>
    <w:rsid w:val="4D414663"/>
    <w:rsid w:val="501752F9"/>
    <w:rsid w:val="57190820"/>
    <w:rsid w:val="5CDC0B6F"/>
    <w:rsid w:val="5D483150"/>
    <w:rsid w:val="618D58F5"/>
    <w:rsid w:val="63B16F42"/>
    <w:rsid w:val="6CD22105"/>
    <w:rsid w:val="6EA32167"/>
    <w:rsid w:val="772D6743"/>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adjustRightInd/>
      <w:spacing w:line="240" w:lineRule="auto"/>
      <w:ind w:firstLine="602" w:firstLineChars="200"/>
      <w:jc w:val="left"/>
    </w:pPr>
    <w:rPr>
      <w:rFonts w:ascii="仿宋" w:hAnsi="仿宋" w:eastAsia="仿宋"/>
      <w:color w:val="000000"/>
      <w:kern w:val="0"/>
      <w:sz w:val="30"/>
      <w:szCs w:val="30"/>
      <w:lang w:eastAsia="en-US" w:bidi="en-US"/>
    </w:rPr>
  </w:style>
  <w:style w:type="paragraph" w:styleId="12">
    <w:name w:val="toc 7"/>
    <w:basedOn w:val="1"/>
    <w:next w:val="1"/>
    <w:autoRedefine/>
    <w:unhideWhenUsed/>
    <w:qFormat/>
    <w:uiPriority w:val="39"/>
    <w:pPr>
      <w:tabs>
        <w:tab w:val="right" w:leader="dot" w:pos="9344"/>
      </w:tabs>
      <w:spacing w:line="300" w:lineRule="exact"/>
      <w:ind w:left="1259"/>
    </w:pPr>
    <w:rPr>
      <w:rFonts w:ascii="宋体"/>
    </w:rPr>
  </w:style>
  <w:style w:type="paragraph" w:styleId="13">
    <w:name w:val="table of authorities"/>
    <w:basedOn w:val="1"/>
    <w:next w:val="1"/>
    <w:semiHidden/>
    <w:unhideWhenUsed/>
    <w:qFormat/>
    <w:uiPriority w:val="99"/>
    <w:pPr>
      <w:ind w:left="420" w:leftChars="200"/>
    </w:pPr>
  </w:style>
  <w:style w:type="paragraph" w:styleId="14">
    <w:name w:val="Normal Indent"/>
    <w:basedOn w:val="1"/>
    <w:qFormat/>
    <w:uiPriority w:val="0"/>
    <w:pPr>
      <w:ind w:firstLine="420"/>
    </w:pPr>
  </w:style>
  <w:style w:type="paragraph" w:styleId="15">
    <w:name w:val="Body Text"/>
    <w:basedOn w:val="1"/>
    <w:link w:val="89"/>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0"/>
    <w:pPr>
      <w:adjustRightInd/>
      <w:spacing w:before="100" w:beforeAutospacing="1" w:after="100" w:afterAutospacing="1" w:line="240" w:lineRule="auto"/>
      <w:jc w:val="left"/>
    </w:pPr>
    <w:rPr>
      <w:rFonts w:ascii="Times New Roman" w:hAnsi="Times New Roman"/>
      <w:kern w:val="0"/>
      <w:sz w:val="24"/>
      <w:szCs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ind w:left="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5"/>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src"/>
    <w:basedOn w:val="31"/>
    <w:qFormat/>
    <w:uiPriority w:val="0"/>
  </w:style>
  <w:style w:type="paragraph" w:customStyle="1" w:styleId="234">
    <w:name w:val="一级条标题"/>
    <w:next w:val="235"/>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5">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正文 New"/>
    <w:basedOn w:val="1"/>
    <w:qFormat/>
    <w:uiPriority w:val="0"/>
    <w:pPr>
      <w:adjustRightInd/>
      <w:spacing w:line="240" w:lineRule="auto"/>
    </w:pPr>
    <w:rPr>
      <w:rFonts w:ascii="Times New Roman" w:hAnsi="Times New Roman"/>
      <w:szCs w:val="24"/>
    </w:rPr>
  </w:style>
  <w:style w:type="paragraph" w:styleId="237">
    <w:name w:val="List Paragraph"/>
    <w:basedOn w:val="1"/>
    <w:qFormat/>
    <w:uiPriority w:val="99"/>
    <w:pPr>
      <w:ind w:firstLine="420" w:firstLineChars="200"/>
    </w:pPr>
  </w:style>
  <w:style w:type="paragraph" w:customStyle="1" w:styleId="238">
    <w:name w:val="样式 559 10 磅"/>
    <w:next w:val="13"/>
    <w:qFormat/>
    <w:uiPriority w:val="0"/>
    <w:pPr>
      <w:widowControl w:val="0"/>
      <w:jc w:val="both"/>
    </w:pPr>
    <w:rPr>
      <w:rFonts w:ascii="Calibri" w:hAnsi="Calibri" w:eastAsia="宋体" w:cs="Arial"/>
      <w:kern w:val="2"/>
      <w:sz w:val="21"/>
      <w:szCs w:val="22"/>
      <w:lang w:val="en-US" w:eastAsia="zh-CN" w:bidi="ar-SA"/>
    </w:rPr>
  </w:style>
  <w:style w:type="paragraph" w:customStyle="1" w:styleId="239">
    <w:name w:val="样式 55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0">
    <w:name w:val="样式 55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1">
    <w:name w:val="样式 55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2">
    <w:name w:val="样式 55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3">
    <w:name w:val="样式 55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4">
    <w:name w:val="样式 55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5">
    <w:name w:val="样式 55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6">
    <w:name w:val="样式 55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7">
    <w:name w:val="样式 55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8">
    <w:name w:val="样式 54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9">
    <w:name w:val="样式 54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0">
    <w:name w:val="样式 54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1">
    <w:name w:val="样式 54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2">
    <w:name w:val="样式 54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3">
    <w:name w:val="样式 54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4">
    <w:name w:val="样式 54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5">
    <w:name w:val="样式 54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6">
    <w:name w:val="样式 54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7">
    <w:name w:val="样式 54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8">
    <w:name w:val="样式 53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9">
    <w:name w:val="样式 53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0">
    <w:name w:val="样式 53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1">
    <w:name w:val="样式 53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2">
    <w:name w:val="样式 53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3">
    <w:name w:val="样式 53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4">
    <w:name w:val="样式 53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5">
    <w:name w:val="样式 53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6">
    <w:name w:val="样式 531 10 磅"/>
    <w:next w:val="267"/>
    <w:qFormat/>
    <w:uiPriority w:val="0"/>
    <w:pPr>
      <w:widowControl w:val="0"/>
      <w:jc w:val="both"/>
    </w:pPr>
    <w:rPr>
      <w:rFonts w:ascii="Calibri" w:hAnsi="Calibri" w:eastAsia="宋体" w:cs="Arial"/>
      <w:kern w:val="2"/>
      <w:sz w:val="21"/>
      <w:szCs w:val="22"/>
      <w:lang w:val="en-US" w:eastAsia="zh-CN" w:bidi="ar-SA"/>
    </w:rPr>
  </w:style>
  <w:style w:type="paragraph" w:customStyle="1" w:styleId="267">
    <w:name w:val="样式 430 10 磅"/>
    <w:qFormat/>
    <w:uiPriority w:val="0"/>
    <w:pPr>
      <w:widowControl w:val="0"/>
      <w:jc w:val="both"/>
    </w:pPr>
    <w:rPr>
      <w:rFonts w:ascii="Calibri" w:hAnsi="Calibri" w:eastAsia="宋体" w:cs="Arial"/>
      <w:kern w:val="2"/>
      <w:sz w:val="21"/>
      <w:szCs w:val="22"/>
      <w:lang w:val="en-US" w:eastAsia="zh-CN" w:bidi="ar-SA"/>
    </w:rPr>
  </w:style>
  <w:style w:type="paragraph" w:customStyle="1" w:styleId="268">
    <w:name w:val="样式 53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9">
    <w:name w:val="样式 529 10 磅"/>
    <w:next w:val="270"/>
    <w:qFormat/>
    <w:uiPriority w:val="0"/>
    <w:pPr>
      <w:widowControl w:val="0"/>
      <w:jc w:val="both"/>
    </w:pPr>
    <w:rPr>
      <w:rFonts w:ascii="Calibri" w:hAnsi="Calibri" w:eastAsia="宋体" w:cs="Arial"/>
      <w:kern w:val="2"/>
      <w:sz w:val="21"/>
      <w:szCs w:val="22"/>
      <w:lang w:val="en-US" w:eastAsia="zh-CN" w:bidi="ar-SA"/>
    </w:rPr>
  </w:style>
  <w:style w:type="paragraph" w:customStyle="1" w:styleId="270">
    <w:name w:val="样式 428 10 磅"/>
    <w:qFormat/>
    <w:uiPriority w:val="0"/>
    <w:pPr>
      <w:widowControl w:val="0"/>
      <w:jc w:val="both"/>
    </w:pPr>
    <w:rPr>
      <w:rFonts w:ascii="Calibri" w:hAnsi="Calibri" w:eastAsia="宋体" w:cs="Arial"/>
      <w:kern w:val="2"/>
      <w:sz w:val="21"/>
      <w:szCs w:val="22"/>
      <w:lang w:val="en-US" w:eastAsia="zh-CN" w:bidi="ar-SA"/>
    </w:rPr>
  </w:style>
  <w:style w:type="paragraph" w:customStyle="1" w:styleId="271">
    <w:name w:val="样式 528 10 磅"/>
    <w:next w:val="272"/>
    <w:qFormat/>
    <w:uiPriority w:val="0"/>
    <w:pPr>
      <w:widowControl w:val="0"/>
      <w:jc w:val="both"/>
    </w:pPr>
    <w:rPr>
      <w:rFonts w:ascii="Calibri" w:hAnsi="Calibri" w:eastAsia="宋体" w:cs="Arial"/>
      <w:kern w:val="2"/>
      <w:sz w:val="21"/>
      <w:szCs w:val="22"/>
      <w:lang w:val="en-US" w:eastAsia="zh-CN" w:bidi="ar-SA"/>
    </w:rPr>
  </w:style>
  <w:style w:type="paragraph" w:customStyle="1" w:styleId="272">
    <w:name w:val="样式 427 10 磅"/>
    <w:qFormat/>
    <w:uiPriority w:val="0"/>
    <w:pPr>
      <w:widowControl w:val="0"/>
      <w:jc w:val="both"/>
    </w:pPr>
    <w:rPr>
      <w:rFonts w:ascii="Calibri" w:hAnsi="Calibri" w:eastAsia="宋体" w:cs="Arial"/>
      <w:kern w:val="2"/>
      <w:sz w:val="21"/>
      <w:szCs w:val="22"/>
      <w:lang w:val="en-US" w:eastAsia="zh-CN" w:bidi="ar-SA"/>
    </w:rPr>
  </w:style>
  <w:style w:type="paragraph" w:customStyle="1" w:styleId="273">
    <w:name w:val="样式 527 10 磅"/>
    <w:next w:val="274"/>
    <w:qFormat/>
    <w:uiPriority w:val="0"/>
    <w:pPr>
      <w:widowControl w:val="0"/>
      <w:jc w:val="both"/>
    </w:pPr>
    <w:rPr>
      <w:rFonts w:ascii="Calibri" w:hAnsi="Calibri" w:eastAsia="宋体" w:cs="Arial"/>
      <w:kern w:val="2"/>
      <w:sz w:val="21"/>
      <w:szCs w:val="22"/>
      <w:lang w:val="en-US" w:eastAsia="zh-CN" w:bidi="ar-SA"/>
    </w:rPr>
  </w:style>
  <w:style w:type="paragraph" w:customStyle="1" w:styleId="274">
    <w:name w:val="样式 426 10 磅"/>
    <w:qFormat/>
    <w:uiPriority w:val="0"/>
    <w:pPr>
      <w:widowControl w:val="0"/>
      <w:jc w:val="both"/>
    </w:pPr>
    <w:rPr>
      <w:rFonts w:ascii="Calibri" w:hAnsi="Calibri" w:eastAsia="宋体" w:cs="Arial"/>
      <w:kern w:val="2"/>
      <w:sz w:val="21"/>
      <w:szCs w:val="22"/>
      <w:lang w:val="en-US" w:eastAsia="zh-CN" w:bidi="ar-SA"/>
    </w:rPr>
  </w:style>
  <w:style w:type="paragraph" w:customStyle="1" w:styleId="275">
    <w:name w:val="样式 52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6">
    <w:name w:val="样式 52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7">
    <w:name w:val="样式 52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8">
    <w:name w:val="样式 52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9">
    <w:name w:val="样式 52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0">
    <w:name w:val="样式 52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1">
    <w:name w:val="样式 52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2">
    <w:name w:val="样式 51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3">
    <w:name w:val="样式 51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4">
    <w:name w:val="样式 51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5">
    <w:name w:val="样式 51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6">
    <w:name w:val="样式 51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7">
    <w:name w:val="样式 51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8">
    <w:name w:val="样式 51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9">
    <w:name w:val="样式 51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0">
    <w:name w:val="样式 51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1">
    <w:name w:val="样式 51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2">
    <w:name w:val="样式 50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3">
    <w:name w:val="样式 50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4">
    <w:name w:val="样式 50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5">
    <w:name w:val="样式 50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6">
    <w:name w:val="样式 50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7">
    <w:name w:val="样式 49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8">
    <w:name w:val="样式 49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9">
    <w:name w:val="样式 49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0">
    <w:name w:val="样式 49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1">
    <w:name w:val="样式 49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2">
    <w:name w:val="样式 49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3">
    <w:name w:val="样式 49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4">
    <w:name w:val="样式 463 10 磅"/>
    <w:qFormat/>
    <w:uiPriority w:val="0"/>
    <w:pPr>
      <w:widowControl w:val="0"/>
      <w:jc w:val="both"/>
    </w:pPr>
    <w:rPr>
      <w:rFonts w:ascii="Calibri" w:hAnsi="Calibri" w:eastAsia="宋体" w:cs="Arial"/>
      <w:kern w:val="2"/>
      <w:sz w:val="21"/>
      <w:szCs w:val="22"/>
      <w:lang w:val="en-US" w:eastAsia="zh-CN" w:bidi="ar-SA"/>
    </w:rPr>
  </w:style>
  <w:style w:type="paragraph" w:customStyle="1" w:styleId="305">
    <w:name w:val="样式 49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6">
    <w:name w:val="样式 48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7">
    <w:name w:val="样式 48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8">
    <w:name w:val="样式 3 小四"/>
    <w:qFormat/>
    <w:uiPriority w:val="0"/>
    <w:pPr>
      <w:widowControl w:val="0"/>
    </w:pPr>
    <w:rPr>
      <w:rFonts w:ascii="宋体" w:hAnsi="Times New Roman" w:eastAsia="宋体" w:cs="Times New Roman"/>
      <w:kern w:val="2"/>
      <w:sz w:val="24"/>
      <w:szCs w:val="21"/>
      <w:lang w:val="en-US" w:eastAsia="zh-CN" w:bidi="ar-SA"/>
    </w:rPr>
  </w:style>
  <w:style w:type="paragraph" w:customStyle="1" w:styleId="309">
    <w:name w:val="样式 566 10 磅"/>
    <w:next w:val="310"/>
    <w:qFormat/>
    <w:uiPriority w:val="0"/>
    <w:pPr>
      <w:widowControl w:val="0"/>
      <w:jc w:val="both"/>
    </w:pPr>
    <w:rPr>
      <w:rFonts w:ascii="Calibri" w:hAnsi="Calibri" w:eastAsia="宋体" w:cs="Arial"/>
      <w:kern w:val="2"/>
      <w:sz w:val="21"/>
      <w:szCs w:val="22"/>
      <w:lang w:val="en-US" w:eastAsia="zh-CN" w:bidi="ar-SA"/>
    </w:rPr>
  </w:style>
  <w:style w:type="paragraph" w:customStyle="1" w:styleId="310">
    <w:name w:val="样式 458 10 磅"/>
    <w:qFormat/>
    <w:uiPriority w:val="0"/>
    <w:pPr>
      <w:widowControl w:val="0"/>
      <w:jc w:val="both"/>
    </w:pPr>
    <w:rPr>
      <w:rFonts w:ascii="Calibri" w:hAnsi="Calibri" w:eastAsia="宋体" w:cs="Arial"/>
      <w:kern w:val="2"/>
      <w:sz w:val="21"/>
      <w:szCs w:val="22"/>
      <w:lang w:val="en-US" w:eastAsia="zh-CN" w:bidi="ar-SA"/>
    </w:rPr>
  </w:style>
  <w:style w:type="paragraph" w:customStyle="1" w:styleId="311">
    <w:name w:val="样式 45 10 磅"/>
    <w:next w:val="273"/>
    <w:qFormat/>
    <w:uiPriority w:val="0"/>
    <w:pPr>
      <w:widowControl w:val="0"/>
      <w:jc w:val="both"/>
    </w:pPr>
    <w:rPr>
      <w:rFonts w:ascii="Calibri" w:hAnsi="Calibri" w:eastAsia="宋体" w:cs="Arial"/>
      <w:kern w:val="2"/>
      <w:sz w:val="21"/>
      <w:szCs w:val="22"/>
      <w:lang w:val="en-US" w:eastAsia="zh-CN" w:bidi="ar-SA"/>
    </w:rPr>
  </w:style>
  <w:style w:type="paragraph" w:customStyle="1" w:styleId="312">
    <w:name w:val="样式 46 10 磅"/>
    <w:next w:val="271"/>
    <w:qFormat/>
    <w:uiPriority w:val="0"/>
    <w:pPr>
      <w:widowControl w:val="0"/>
      <w:jc w:val="both"/>
    </w:pPr>
    <w:rPr>
      <w:rFonts w:ascii="Calibri" w:hAnsi="Calibri" w:eastAsia="宋体" w:cs="Arial"/>
      <w:kern w:val="2"/>
      <w:sz w:val="21"/>
      <w:szCs w:val="22"/>
      <w:lang w:val="en-US" w:eastAsia="zh-CN" w:bidi="ar-SA"/>
    </w:rPr>
  </w:style>
  <w:style w:type="paragraph" w:customStyle="1" w:styleId="313">
    <w:name w:val="样式 47 10 磅"/>
    <w:next w:val="269"/>
    <w:qFormat/>
    <w:uiPriority w:val="0"/>
    <w:pPr>
      <w:widowControl w:val="0"/>
      <w:jc w:val="both"/>
    </w:pPr>
    <w:rPr>
      <w:rFonts w:ascii="Calibri" w:hAnsi="Calibri" w:eastAsia="宋体" w:cs="Arial"/>
      <w:kern w:val="2"/>
      <w:sz w:val="21"/>
      <w:szCs w:val="22"/>
      <w:lang w:val="en-US" w:eastAsia="zh-CN" w:bidi="ar-SA"/>
    </w:rPr>
  </w:style>
  <w:style w:type="paragraph" w:customStyle="1" w:styleId="314">
    <w:name w:val="样式 485 10 磅"/>
    <w:next w:val="315"/>
    <w:qFormat/>
    <w:uiPriority w:val="0"/>
    <w:pPr>
      <w:widowControl w:val="0"/>
      <w:jc w:val="both"/>
    </w:pPr>
    <w:rPr>
      <w:rFonts w:ascii="Calibri" w:hAnsi="Calibri" w:eastAsia="宋体" w:cs="Arial"/>
      <w:kern w:val="2"/>
      <w:sz w:val="21"/>
      <w:szCs w:val="22"/>
      <w:lang w:val="en-US" w:eastAsia="zh-CN" w:bidi="ar-SA"/>
    </w:rPr>
  </w:style>
  <w:style w:type="paragraph" w:customStyle="1" w:styleId="315">
    <w:name w:val="样式 384 10 磅"/>
    <w:qFormat/>
    <w:uiPriority w:val="0"/>
    <w:pPr>
      <w:widowControl w:val="0"/>
      <w:jc w:val="both"/>
    </w:pPr>
    <w:rPr>
      <w:rFonts w:ascii="Calibri" w:hAnsi="Calibri" w:eastAsia="宋体" w:cs="Arial"/>
      <w:kern w:val="2"/>
      <w:sz w:val="21"/>
      <w:szCs w:val="22"/>
      <w:lang w:val="en-US" w:eastAsia="zh-CN" w:bidi="ar-SA"/>
    </w:rPr>
  </w:style>
  <w:style w:type="paragraph" w:customStyle="1" w:styleId="316">
    <w:name w:val="样式 49 10 磅"/>
    <w:next w:val="266"/>
    <w:qFormat/>
    <w:uiPriority w:val="0"/>
    <w:pPr>
      <w:widowControl w:val="0"/>
      <w:jc w:val="both"/>
    </w:pPr>
    <w:rPr>
      <w:rFonts w:ascii="Calibri" w:hAnsi="Calibri" w:eastAsia="宋体" w:cs="Arial"/>
      <w:kern w:val="2"/>
      <w:sz w:val="21"/>
      <w:szCs w:val="22"/>
      <w:lang w:val="en-US" w:eastAsia="zh-CN" w:bidi="ar-SA"/>
    </w:rPr>
  </w:style>
  <w:style w:type="paragraph" w:customStyle="1" w:styleId="317">
    <w:name w:val="样式 573 10 磅"/>
    <w:next w:val="304"/>
    <w:qFormat/>
    <w:uiPriority w:val="0"/>
    <w:pPr>
      <w:widowControl w:val="0"/>
      <w:jc w:val="both"/>
    </w:pPr>
    <w:rPr>
      <w:rFonts w:ascii="Calibri" w:hAnsi="Calibri" w:eastAsia="宋体" w:cs="Arial"/>
      <w:kern w:val="2"/>
      <w:sz w:val="21"/>
      <w:szCs w:val="22"/>
      <w:lang w:val="en-US" w:eastAsia="zh-CN" w:bidi="ar-SA"/>
    </w:rPr>
  </w:style>
  <w:style w:type="paragraph" w:customStyle="1" w:styleId="318">
    <w:name w:val="样式 461 10 磅"/>
    <w:qFormat/>
    <w:uiPriority w:val="0"/>
    <w:pPr>
      <w:widowControl w:val="0"/>
      <w:jc w:val="both"/>
    </w:pPr>
    <w:rPr>
      <w:rFonts w:ascii="Calibri" w:hAnsi="Calibri" w:eastAsia="宋体" w:cs="Arial"/>
      <w:kern w:val="2"/>
      <w:sz w:val="21"/>
      <w:szCs w:val="22"/>
      <w:lang w:val="en-US" w:eastAsia="zh-CN" w:bidi="ar-SA"/>
    </w:rPr>
  </w:style>
  <w:style w:type="paragraph" w:customStyle="1" w:styleId="319">
    <w:name w:val="样式 63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20">
    <w:name w:val="样式 63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21">
    <w:name w:val="样式 63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22">
    <w:name w:val="样式 460 10 磅"/>
    <w:qFormat/>
    <w:uiPriority w:val="0"/>
    <w:pPr>
      <w:widowControl w:val="0"/>
      <w:jc w:val="both"/>
    </w:pPr>
    <w:rPr>
      <w:rFonts w:ascii="Calibri" w:hAnsi="Calibri" w:eastAsia="宋体" w:cs="Arial"/>
      <w:kern w:val="2"/>
      <w:sz w:val="21"/>
      <w:szCs w:val="22"/>
      <w:lang w:val="en-US" w:eastAsia="zh-CN" w:bidi="ar-SA"/>
    </w:rPr>
  </w:style>
  <w:style w:type="paragraph" w:customStyle="1" w:styleId="323">
    <w:name w:val="样式 581 10 磅"/>
    <w:qFormat/>
    <w:uiPriority w:val="0"/>
    <w:pPr>
      <w:widowControl w:val="0"/>
      <w:jc w:val="both"/>
    </w:pPr>
    <w:rPr>
      <w:rFonts w:ascii="Calibri" w:hAnsi="Calibri" w:eastAsia="宋体" w:cs="Arial"/>
      <w:kern w:val="2"/>
      <w:sz w:val="21"/>
      <w:szCs w:val="22"/>
      <w:lang w:val="en-US" w:eastAsia="zh-CN" w:bidi="ar-SA"/>
    </w:rPr>
  </w:style>
  <w:style w:type="paragraph" w:customStyle="1" w:styleId="324">
    <w:name w:val="样式 582 10 磅"/>
    <w:qFormat/>
    <w:uiPriority w:val="0"/>
    <w:pPr>
      <w:widowControl w:val="0"/>
      <w:jc w:val="both"/>
    </w:pPr>
    <w:rPr>
      <w:rFonts w:ascii="Calibri" w:hAnsi="Calibri" w:eastAsia="宋体" w:cs="Arial"/>
      <w:kern w:val="2"/>
      <w:sz w:val="21"/>
      <w:szCs w:val="22"/>
      <w:lang w:val="en-US" w:eastAsia="zh-CN" w:bidi="ar-SA"/>
    </w:rPr>
  </w:style>
  <w:style w:type="paragraph" w:customStyle="1" w:styleId="325">
    <w:name w:val="样式 583 10 磅"/>
    <w:qFormat/>
    <w:uiPriority w:val="0"/>
    <w:pPr>
      <w:widowControl w:val="0"/>
      <w:jc w:val="both"/>
    </w:pPr>
    <w:rPr>
      <w:rFonts w:ascii="Calibri" w:hAnsi="Calibri" w:eastAsia="宋体" w:cs="Arial"/>
      <w:kern w:val="2"/>
      <w:sz w:val="21"/>
      <w:szCs w:val="22"/>
      <w:lang w:val="en-US" w:eastAsia="zh-CN" w:bidi="ar-SA"/>
    </w:rPr>
  </w:style>
  <w:style w:type="paragraph" w:customStyle="1" w:styleId="326">
    <w:name w:val="样式 457 10 磅"/>
    <w:qFormat/>
    <w:uiPriority w:val="0"/>
    <w:pPr>
      <w:widowControl w:val="0"/>
      <w:jc w:val="both"/>
    </w:pPr>
    <w:rPr>
      <w:rFonts w:ascii="Calibri" w:hAnsi="Calibri" w:eastAsia="宋体" w:cs="Arial"/>
      <w:kern w:val="2"/>
      <w:sz w:val="21"/>
      <w:szCs w:val="22"/>
      <w:lang w:val="en-US" w:eastAsia="zh-CN" w:bidi="ar-SA"/>
    </w:rPr>
  </w:style>
  <w:style w:type="paragraph" w:customStyle="1" w:styleId="327">
    <w:name w:val="其他"/>
    <w:basedOn w:val="1"/>
    <w:qFormat/>
    <w:uiPriority w:val="0"/>
    <w:pPr>
      <w:adjustRightInd/>
      <w:spacing w:line="159" w:lineRule="exact"/>
    </w:pPr>
    <w:rPr>
      <w:rFonts w:ascii="宋体" w:hAnsi="宋体" w:cs="宋体"/>
      <w:sz w:val="11"/>
      <w:szCs w:val="11"/>
      <w:lang w:val="zh-CN" w:bidi="zh-CN"/>
    </w:rPr>
  </w:style>
  <w:style w:type="paragraph" w:customStyle="1" w:styleId="328">
    <w:name w:val="附录图标题"/>
    <w:basedOn w:val="1"/>
    <w:next w:val="235"/>
    <w:qFormat/>
    <w:uiPriority w:val="0"/>
    <w:pPr>
      <w:tabs>
        <w:tab w:val="left" w:pos="363"/>
      </w:tabs>
      <w:adjustRightInd/>
      <w:spacing w:beforeLines="50" w:afterLines="50" w:line="240" w:lineRule="auto"/>
      <w:jc w:val="center"/>
    </w:pPr>
    <w:rPr>
      <w:rFonts w:ascii="黑体" w:hAnsi="Times New Roman"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jpe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D4172F3ACCC454081F8AD3A346862CE"/>
        <w:style w:val=""/>
        <w:category>
          <w:name w:val="常规"/>
          <w:gallery w:val="placeholder"/>
        </w:category>
        <w:types>
          <w:type w:val="bbPlcHdr"/>
        </w:types>
        <w:behaviors>
          <w:behavior w:val="content"/>
        </w:behaviors>
        <w:description w:val=""/>
        <w:guid w:val="{6FA72235-85A2-42AA-B4DC-EDC670D30D53}"/>
      </w:docPartPr>
      <w:docPartBody>
        <w:p w14:paraId="5702F883">
          <w:pPr>
            <w:pStyle w:val="5"/>
          </w:pPr>
          <w:r>
            <w:rPr>
              <w:rStyle w:val="4"/>
              <w:rFonts w:hint="eastAsia"/>
            </w:rPr>
            <w:t>单击或点击此处输入文字。</w:t>
          </w:r>
        </w:p>
      </w:docPartBody>
    </w:docPart>
    <w:docPart>
      <w:docPartPr>
        <w:name w:val="84A4F50ED14F4FE487AB968890DDD19B"/>
        <w:style w:val=""/>
        <w:category>
          <w:name w:val="常规"/>
          <w:gallery w:val="placeholder"/>
        </w:category>
        <w:types>
          <w:type w:val="bbPlcHdr"/>
        </w:types>
        <w:behaviors>
          <w:behavior w:val="content"/>
        </w:behaviors>
        <w:description w:val=""/>
        <w:guid w:val="{6D8A45DC-43B3-456B-ACA3-5C64F93FD246}"/>
      </w:docPartPr>
      <w:docPartBody>
        <w:p w14:paraId="517C8994">
          <w:pPr>
            <w:pStyle w:val="6"/>
          </w:pPr>
          <w:r>
            <w:rPr>
              <w:rStyle w:val="4"/>
              <w:rFonts w:hint="eastAsia"/>
            </w:rPr>
            <w:t>选择一项。</w:t>
          </w:r>
        </w:p>
      </w:docPartBody>
    </w:docPart>
    <w:docPart>
      <w:docPartPr>
        <w:name w:val="BA0C8FD61CA349FDB3DD5D55A881F841"/>
        <w:style w:val=""/>
        <w:category>
          <w:name w:val="常规"/>
          <w:gallery w:val="placeholder"/>
        </w:category>
        <w:types>
          <w:type w:val="bbPlcHdr"/>
        </w:types>
        <w:behaviors>
          <w:behavior w:val="content"/>
        </w:behaviors>
        <w:description w:val=""/>
        <w:guid w:val="{2245B8DA-046E-43D8-9607-715EC2FA8793}"/>
      </w:docPartPr>
      <w:docPartBody>
        <w:p w14:paraId="20BBA48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06084"/>
    <w:rsid w:val="00023B0E"/>
    <w:rsid w:val="00064628"/>
    <w:rsid w:val="000D5A5A"/>
    <w:rsid w:val="001078D9"/>
    <w:rsid w:val="00193471"/>
    <w:rsid w:val="00195F64"/>
    <w:rsid w:val="001C568F"/>
    <w:rsid w:val="002D2445"/>
    <w:rsid w:val="003F4EC9"/>
    <w:rsid w:val="00442018"/>
    <w:rsid w:val="004A0C07"/>
    <w:rsid w:val="00511F4D"/>
    <w:rsid w:val="005239A6"/>
    <w:rsid w:val="00546244"/>
    <w:rsid w:val="00571702"/>
    <w:rsid w:val="0058654D"/>
    <w:rsid w:val="00595B77"/>
    <w:rsid w:val="00611F28"/>
    <w:rsid w:val="007926B6"/>
    <w:rsid w:val="00820F8F"/>
    <w:rsid w:val="00855D55"/>
    <w:rsid w:val="00867C95"/>
    <w:rsid w:val="008A5A6F"/>
    <w:rsid w:val="008F4E6B"/>
    <w:rsid w:val="00957DF5"/>
    <w:rsid w:val="009F5039"/>
    <w:rsid w:val="00A90211"/>
    <w:rsid w:val="00AA0052"/>
    <w:rsid w:val="00B0271A"/>
    <w:rsid w:val="00B100F3"/>
    <w:rsid w:val="00B256EA"/>
    <w:rsid w:val="00B92367"/>
    <w:rsid w:val="00BB093B"/>
    <w:rsid w:val="00BB37D3"/>
    <w:rsid w:val="00D10B14"/>
    <w:rsid w:val="00D1173F"/>
    <w:rsid w:val="00D34E1E"/>
    <w:rsid w:val="00EE267B"/>
    <w:rsid w:val="00EE5513"/>
    <w:rsid w:val="00EE74EC"/>
    <w:rsid w:val="00F463CE"/>
    <w:rsid w:val="00F67885"/>
    <w:rsid w:val="00F74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D4172F3ACCC454081F8AD3A346862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4A4F50ED14F4FE487AB968890DDD1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A0C8FD61CA349FDB3DD5D55A881F84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9E632D-E7A8-428A-9E2E-19CBEDF76AAA}">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16</Pages>
  <Words>6990</Words>
  <Characters>7794</Characters>
  <Lines>61</Lines>
  <Paragraphs>17</Paragraphs>
  <TotalTime>0</TotalTime>
  <ScaleCrop>false</ScaleCrop>
  <LinksUpToDate>false</LinksUpToDate>
  <CharactersWithSpaces>7942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2024-11-07T00:36:00Z</dcterms:created>
  <dc:creator>Administrator</dc:creator>
  <dc:description>&lt;config cover="true" show_menu="true" version="1.0.0" doctype="SDKXY"&gt;_x000d_
&lt;/config&gt;</dc:description>
  <cp:lastModifiedBy>树年强</cp:lastModifiedBy>
  <cp:lastPrinted>2024-11-07T11:56:00Z</cp:lastPrinted>
  <dcterms:modified xsi:type="dcterms:W3CDTF">2025-04-30T06:41:02Z</dcterms:modified>
  <dc:title>团体标准</dc:title>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3A75B26712234D8780BF841E5A1CA25B_13</vt:lpwstr>
  </property>
  <property fmtid="{D5CDD505-2E9C-101B-9397-08002B2CF9AE}" pid="17" name="KSOTemplateDocerSaveRecord">
    <vt:lpwstr>eyJoZGlkIjoiNmU0OWNhMGUyYzc2MTI5ZWY2NzM4MTVkMDAwODg0YzMiLCJ1c2VySWQiOiI2Mzk4NzAxMjYifQ==</vt:lpwstr>
  </property>
</Properties>
</file>