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F506C" w:rsidRDefault="0010606C">
      <w:pPr>
        <w:spacing w:line="600" w:lineRule="exact"/>
        <w:jc w:val="center"/>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团体标准《脓毒症心肌病中西医病机融通救治技术规范》（征求意见稿）</w:t>
      </w:r>
    </w:p>
    <w:p w:rsidR="00CF506C" w:rsidRDefault="0010606C">
      <w:pPr>
        <w:spacing w:line="600" w:lineRule="exact"/>
        <w:jc w:val="center"/>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编制说明</w:t>
      </w:r>
    </w:p>
    <w:p w:rsidR="00CF506C" w:rsidRDefault="0010606C">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一、任务来源、起草单位、主要起草人</w:t>
      </w:r>
    </w:p>
    <w:p w:rsidR="00CF506C" w:rsidRDefault="0010606C">
      <w:pPr>
        <w:spacing w:line="560" w:lineRule="exact"/>
        <w:ind w:firstLineChars="200" w:firstLine="640"/>
        <w:rPr>
          <w:rFonts w:ascii="仿宋_GB2312" w:eastAsia="仿宋_GB2312" w:hAnsi="仿宋"/>
          <w:sz w:val="32"/>
          <w:szCs w:val="32"/>
        </w:rPr>
      </w:pPr>
      <w:r>
        <w:rPr>
          <w:rFonts w:ascii="仿宋_GB2312" w:eastAsia="仿宋_GB2312" w:hAnsi="Calibri" w:hint="eastAsia"/>
          <w:sz w:val="32"/>
          <w:szCs w:val="32"/>
        </w:rPr>
        <w:t>根据《广西标准化协会关于下达202</w:t>
      </w:r>
      <w:r>
        <w:rPr>
          <w:rFonts w:ascii="仿宋_GB2312" w:eastAsia="仿宋_GB2312" w:hAnsi="Calibri"/>
          <w:sz w:val="32"/>
          <w:szCs w:val="32"/>
        </w:rPr>
        <w:t>4</w:t>
      </w:r>
      <w:r>
        <w:rPr>
          <w:rFonts w:ascii="仿宋_GB2312" w:eastAsia="仿宋_GB2312" w:hAnsi="Calibri" w:hint="eastAsia"/>
          <w:sz w:val="32"/>
          <w:szCs w:val="32"/>
        </w:rPr>
        <w:t>年第一批团体标准制修订项目计划的通知》（</w:t>
      </w:r>
      <w:proofErr w:type="gramStart"/>
      <w:r>
        <w:rPr>
          <w:rFonts w:ascii="仿宋_GB2312" w:eastAsia="仿宋_GB2312" w:hAnsi="Calibri" w:hint="eastAsia"/>
          <w:sz w:val="32"/>
          <w:szCs w:val="32"/>
        </w:rPr>
        <w:t>桂标协〔202</w:t>
      </w:r>
      <w:r>
        <w:rPr>
          <w:rFonts w:ascii="仿宋_GB2312" w:eastAsia="仿宋_GB2312" w:hAnsi="Calibri"/>
          <w:sz w:val="32"/>
          <w:szCs w:val="32"/>
        </w:rPr>
        <w:t>4</w:t>
      </w:r>
      <w:r>
        <w:rPr>
          <w:rFonts w:ascii="仿宋_GB2312" w:eastAsia="仿宋_GB2312" w:hAnsi="Calibri" w:hint="eastAsia"/>
          <w:sz w:val="32"/>
          <w:szCs w:val="32"/>
        </w:rPr>
        <w:t>〕</w:t>
      </w:r>
      <w:proofErr w:type="gramEnd"/>
      <w:r>
        <w:rPr>
          <w:rFonts w:ascii="仿宋_GB2312" w:eastAsia="仿宋_GB2312" w:hAnsi="Calibri"/>
          <w:sz w:val="32"/>
          <w:szCs w:val="32"/>
        </w:rPr>
        <w:t>8</w:t>
      </w:r>
      <w:r>
        <w:rPr>
          <w:rFonts w:ascii="仿宋_GB2312" w:eastAsia="仿宋_GB2312" w:hAnsi="Calibri" w:hint="eastAsia"/>
          <w:sz w:val="32"/>
          <w:szCs w:val="32"/>
        </w:rPr>
        <w:t>号）文件精神，由广西中医药大学第一附属医院提出，广西中医药大学第一附属医院、广西医科大学第一附属医院、玉林市中医医院、柳州市工人医院、上海市第七人民医院等单位共同起草的团体标准《脓毒症心肌病中西医病机融通救治技术规范》（项目编号：202</w:t>
      </w:r>
      <w:r>
        <w:rPr>
          <w:rFonts w:ascii="仿宋_GB2312" w:eastAsia="仿宋_GB2312" w:hAnsi="Calibri"/>
          <w:sz w:val="32"/>
          <w:szCs w:val="32"/>
        </w:rPr>
        <w:t>4</w:t>
      </w:r>
      <w:r>
        <w:rPr>
          <w:rFonts w:ascii="仿宋_GB2312" w:eastAsia="仿宋_GB2312" w:hAnsi="Calibri" w:hint="eastAsia"/>
          <w:sz w:val="32"/>
          <w:szCs w:val="32"/>
        </w:rPr>
        <w:t>-</w:t>
      </w:r>
      <w:r>
        <w:rPr>
          <w:rFonts w:ascii="仿宋_GB2312" w:eastAsia="仿宋_GB2312" w:hAnsi="Calibri"/>
          <w:sz w:val="32"/>
          <w:szCs w:val="32"/>
        </w:rPr>
        <w:t>012</w:t>
      </w:r>
      <w:r>
        <w:rPr>
          <w:rFonts w:ascii="仿宋_GB2312" w:eastAsia="仿宋_GB2312" w:hAnsi="Calibri" w:hint="eastAsia"/>
          <w:sz w:val="32"/>
          <w:szCs w:val="32"/>
        </w:rPr>
        <w:t>5）</w:t>
      </w:r>
      <w:r>
        <w:rPr>
          <w:rFonts w:ascii="仿宋_GB2312" w:eastAsia="仿宋_GB2312" w:hAnsi="仿宋" w:hint="eastAsia"/>
          <w:sz w:val="32"/>
          <w:szCs w:val="32"/>
        </w:rPr>
        <w:t>已获批立项。主要起草人姓名及分工情况如下：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992"/>
        <w:gridCol w:w="2172"/>
        <w:gridCol w:w="1478"/>
        <w:gridCol w:w="2950"/>
      </w:tblGrid>
      <w:tr w:rsidR="00CF506C" w:rsidTr="00AE34F4">
        <w:trPr>
          <w:cantSplit/>
          <w:trHeight w:val="576"/>
          <w:jc w:val="center"/>
        </w:trPr>
        <w:tc>
          <w:tcPr>
            <w:tcW w:w="424" w:type="pct"/>
            <w:vAlign w:val="center"/>
          </w:tcPr>
          <w:p w:rsidR="00CF506C" w:rsidRDefault="0010606C">
            <w:pPr>
              <w:jc w:val="center"/>
              <w:rPr>
                <w:rFonts w:asciiTheme="minorEastAsia" w:eastAsiaTheme="minorEastAsia" w:hAnsiTheme="minorEastAsia" w:cstheme="minorEastAsia"/>
                <w:bCs/>
                <w:sz w:val="24"/>
              </w:rPr>
            </w:pPr>
            <w:r>
              <w:rPr>
                <w:rFonts w:asciiTheme="minorEastAsia" w:eastAsiaTheme="minorEastAsia" w:hAnsiTheme="minorEastAsia" w:cstheme="minorEastAsia" w:hint="eastAsia"/>
                <w:b/>
                <w:bCs/>
                <w:sz w:val="24"/>
              </w:rPr>
              <w:t>序号</w:t>
            </w:r>
          </w:p>
        </w:tc>
        <w:tc>
          <w:tcPr>
            <w:tcW w:w="598" w:type="pct"/>
            <w:vAlign w:val="center"/>
          </w:tcPr>
          <w:p w:rsidR="00CF506C" w:rsidRDefault="0010606C">
            <w:pPr>
              <w:jc w:val="center"/>
              <w:rPr>
                <w:rFonts w:asciiTheme="minorEastAsia" w:eastAsiaTheme="minorEastAsia" w:hAnsiTheme="minorEastAsia" w:cstheme="minorEastAsia"/>
                <w:bCs/>
                <w:sz w:val="24"/>
              </w:rPr>
            </w:pPr>
            <w:r>
              <w:rPr>
                <w:rFonts w:asciiTheme="minorEastAsia" w:eastAsiaTheme="minorEastAsia" w:hAnsiTheme="minorEastAsia" w:cstheme="minorEastAsia" w:hint="eastAsia"/>
                <w:b/>
                <w:bCs/>
                <w:sz w:val="24"/>
              </w:rPr>
              <w:t>姓  名</w:t>
            </w:r>
          </w:p>
        </w:tc>
        <w:tc>
          <w:tcPr>
            <w:tcW w:w="1309" w:type="pct"/>
            <w:vAlign w:val="center"/>
          </w:tcPr>
          <w:p w:rsidR="00CF506C" w:rsidRDefault="0010606C">
            <w:pPr>
              <w:jc w:val="center"/>
              <w:rPr>
                <w:rFonts w:asciiTheme="minorEastAsia" w:eastAsiaTheme="minorEastAsia" w:hAnsiTheme="minorEastAsia" w:cstheme="minorEastAsia"/>
                <w:bCs/>
                <w:sz w:val="24"/>
              </w:rPr>
            </w:pPr>
            <w:r>
              <w:rPr>
                <w:rFonts w:asciiTheme="minorEastAsia" w:eastAsiaTheme="minorEastAsia" w:hAnsiTheme="minorEastAsia" w:cstheme="minorEastAsia" w:hint="eastAsia"/>
                <w:b/>
                <w:sz w:val="24"/>
              </w:rPr>
              <w:t>单位</w:t>
            </w:r>
          </w:p>
        </w:tc>
        <w:tc>
          <w:tcPr>
            <w:tcW w:w="891" w:type="pct"/>
            <w:vAlign w:val="center"/>
          </w:tcPr>
          <w:p w:rsidR="00CF506C" w:rsidRDefault="0010606C">
            <w:pPr>
              <w:jc w:val="center"/>
              <w:rPr>
                <w:rFonts w:asciiTheme="minorEastAsia" w:eastAsiaTheme="minorEastAsia" w:hAnsiTheme="minorEastAsia" w:cstheme="minorEastAsia"/>
                <w:bCs/>
                <w:sz w:val="24"/>
              </w:rPr>
            </w:pPr>
            <w:r>
              <w:rPr>
                <w:rFonts w:asciiTheme="minorEastAsia" w:eastAsiaTheme="minorEastAsia" w:hAnsiTheme="minorEastAsia" w:cstheme="minorEastAsia" w:hint="eastAsia"/>
                <w:b/>
                <w:bCs/>
                <w:sz w:val="24"/>
              </w:rPr>
              <w:t>职务/职称</w:t>
            </w:r>
          </w:p>
        </w:tc>
        <w:tc>
          <w:tcPr>
            <w:tcW w:w="1778" w:type="pct"/>
            <w:vAlign w:val="center"/>
          </w:tcPr>
          <w:p w:rsidR="00CF506C" w:rsidRDefault="0010606C">
            <w:pPr>
              <w:jc w:val="center"/>
              <w:rPr>
                <w:rFonts w:asciiTheme="minorEastAsia" w:eastAsiaTheme="minorEastAsia" w:hAnsiTheme="minorEastAsia" w:cstheme="minorEastAsia"/>
                <w:bCs/>
                <w:sz w:val="24"/>
              </w:rPr>
            </w:pPr>
            <w:r>
              <w:rPr>
                <w:rFonts w:asciiTheme="minorEastAsia" w:eastAsiaTheme="minorEastAsia" w:hAnsiTheme="minorEastAsia" w:cstheme="minorEastAsia" w:hint="eastAsia"/>
                <w:b/>
                <w:bCs/>
                <w:sz w:val="24"/>
              </w:rPr>
              <w:t>参与编制标准分工情况</w:t>
            </w:r>
          </w:p>
        </w:tc>
      </w:tr>
      <w:tr w:rsidR="00CF506C" w:rsidTr="00AE34F4">
        <w:trPr>
          <w:cantSplit/>
          <w:trHeight w:val="469"/>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jc w:val="center"/>
              <w:rPr>
                <w:rFonts w:asciiTheme="minorEastAsia" w:eastAsiaTheme="minorEastAsia" w:hAnsiTheme="minorEastAsia" w:cstheme="minorEastAsia"/>
                <w:bCs/>
                <w:color w:val="000000"/>
                <w:sz w:val="24"/>
              </w:rPr>
            </w:pPr>
            <w:proofErr w:type="gramStart"/>
            <w:r>
              <w:rPr>
                <w:rFonts w:asciiTheme="minorEastAsia" w:eastAsiaTheme="minorEastAsia" w:hAnsiTheme="minorEastAsia" w:cstheme="minorEastAsia" w:hint="eastAsia"/>
                <w:bCs/>
                <w:color w:val="000000"/>
                <w:sz w:val="24"/>
              </w:rPr>
              <w:t>谢胜</w:t>
            </w:r>
            <w:proofErr w:type="gramEnd"/>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jc w:val="center"/>
              <w:rPr>
                <w:rFonts w:asciiTheme="minorEastAsia" w:eastAsiaTheme="minorEastAsia" w:hAnsiTheme="minorEastAsia" w:cstheme="minorEastAsia"/>
                <w:color w:val="000000"/>
                <w:sz w:val="24"/>
                <w:lang w:val="en"/>
              </w:rPr>
            </w:pPr>
            <w:r>
              <w:rPr>
                <w:rFonts w:asciiTheme="minorEastAsia" w:eastAsiaTheme="minorEastAsia" w:hAnsiTheme="minorEastAsia" w:cstheme="minorEastAsia" w:hint="eastAsia"/>
                <w:color w:val="000000"/>
                <w:sz w:val="24"/>
                <w:lang w:val="en"/>
              </w:rPr>
              <w:t>主任医师</w:t>
            </w:r>
          </w:p>
        </w:tc>
        <w:tc>
          <w:tcPr>
            <w:tcW w:w="1778" w:type="pct"/>
            <w:vAlign w:val="center"/>
          </w:tcPr>
          <w:p w:rsidR="00CF506C" w:rsidRDefault="0010606C">
            <w:pPr>
              <w:suppressAutoHyphens/>
              <w:ind w:firstLineChars="100" w:firstLine="240"/>
              <w:jc w:val="left"/>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统筹规范编制工作，组织人员进行规范发布后的宣贯培训</w:t>
            </w:r>
          </w:p>
        </w:tc>
      </w:tr>
      <w:tr w:rsidR="00CF506C" w:rsidTr="00AE34F4">
        <w:trPr>
          <w:cantSplit/>
          <w:trHeight w:val="666"/>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jc w:val="center"/>
              <w:rPr>
                <w:rFonts w:asciiTheme="minorEastAsia" w:eastAsiaTheme="minorEastAsia" w:hAnsiTheme="minorEastAsia" w:cstheme="minorEastAsia"/>
                <w:bCs/>
                <w:color w:val="000000"/>
                <w:sz w:val="24"/>
              </w:rPr>
            </w:pPr>
            <w:r>
              <w:rPr>
                <w:rFonts w:asciiTheme="minorEastAsia" w:eastAsiaTheme="minorEastAsia" w:hAnsiTheme="minorEastAsia" w:cstheme="minorEastAsia" w:hint="eastAsia"/>
                <w:sz w:val="24"/>
              </w:rPr>
              <w:t>刘园</w:t>
            </w:r>
            <w:proofErr w:type="gramStart"/>
            <w:r>
              <w:rPr>
                <w:rFonts w:asciiTheme="minorEastAsia" w:eastAsiaTheme="minorEastAsia" w:hAnsiTheme="minorEastAsia" w:cstheme="minorEastAsia" w:hint="eastAsia"/>
                <w:sz w:val="24"/>
              </w:rPr>
              <w:t>园</w:t>
            </w:r>
            <w:proofErr w:type="gramEnd"/>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color w:val="000000"/>
                <w:sz w:val="24"/>
              </w:rPr>
              <w:t>副主任医师</w:t>
            </w:r>
          </w:p>
        </w:tc>
        <w:tc>
          <w:tcPr>
            <w:tcW w:w="1778" w:type="pct"/>
            <w:vAlign w:val="center"/>
          </w:tcPr>
          <w:p w:rsidR="00CF506C" w:rsidRDefault="0010606C">
            <w:pPr>
              <w:suppressAutoHyphens/>
              <w:ind w:firstLineChars="100" w:firstLine="240"/>
              <w:jc w:val="left"/>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指导规范文本及编制说明编写，质量控制</w:t>
            </w:r>
          </w:p>
        </w:tc>
      </w:tr>
      <w:tr w:rsidR="00CF506C" w:rsidTr="00AE34F4">
        <w:trPr>
          <w:cantSplit/>
          <w:trHeight w:val="278"/>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jc w:val="center"/>
              <w:rPr>
                <w:rFonts w:asciiTheme="minorEastAsia" w:eastAsiaTheme="minorEastAsia" w:hAnsiTheme="minorEastAsia" w:cstheme="minorEastAsia"/>
                <w:bCs/>
                <w:color w:val="000000"/>
                <w:sz w:val="24"/>
              </w:rPr>
            </w:pPr>
            <w:proofErr w:type="gramStart"/>
            <w:r>
              <w:rPr>
                <w:rFonts w:asciiTheme="minorEastAsia" w:eastAsiaTheme="minorEastAsia" w:hAnsiTheme="minorEastAsia" w:cstheme="minorEastAsia" w:hint="eastAsia"/>
                <w:sz w:val="24"/>
              </w:rPr>
              <w:t>刘礼剑</w:t>
            </w:r>
            <w:proofErr w:type="gramEnd"/>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color w:val="000000"/>
                <w:sz w:val="24"/>
                <w:lang w:val="en"/>
              </w:rPr>
              <w:t>主任医师</w:t>
            </w:r>
          </w:p>
        </w:tc>
        <w:tc>
          <w:tcPr>
            <w:tcW w:w="1778" w:type="pct"/>
            <w:vAlign w:val="center"/>
          </w:tcPr>
          <w:p w:rsidR="00CF506C" w:rsidRDefault="0010606C">
            <w:pPr>
              <w:suppressAutoHyphens/>
              <w:ind w:firstLineChars="100" w:firstLine="240"/>
              <w:jc w:val="left"/>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对规范实施情况进行总结分析，不断对规范提出修正意见</w:t>
            </w:r>
          </w:p>
        </w:tc>
      </w:tr>
      <w:tr w:rsidR="00CF506C" w:rsidTr="00AE34F4">
        <w:trPr>
          <w:cantSplit/>
          <w:trHeight w:val="60"/>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jc w:val="center"/>
              <w:rPr>
                <w:rFonts w:asciiTheme="minorEastAsia" w:eastAsiaTheme="minorEastAsia" w:hAnsiTheme="minorEastAsia" w:cstheme="minorEastAsia"/>
                <w:bCs/>
                <w:color w:val="000000"/>
                <w:sz w:val="24"/>
              </w:rPr>
            </w:pPr>
            <w:r>
              <w:rPr>
                <w:rFonts w:asciiTheme="minorEastAsia" w:eastAsiaTheme="minorEastAsia" w:hAnsiTheme="minorEastAsia" w:cstheme="minorEastAsia" w:hint="eastAsia"/>
                <w:sz w:val="24"/>
              </w:rPr>
              <w:t>黎丽群</w:t>
            </w:r>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color w:val="000000"/>
                <w:sz w:val="24"/>
              </w:rPr>
              <w:t>助理研究员</w:t>
            </w:r>
          </w:p>
        </w:tc>
        <w:tc>
          <w:tcPr>
            <w:tcW w:w="1778" w:type="pct"/>
            <w:vAlign w:val="center"/>
          </w:tcPr>
          <w:p w:rsidR="00CF506C" w:rsidRDefault="0010606C">
            <w:pPr>
              <w:suppressAutoHyphens/>
              <w:ind w:firstLineChars="100" w:firstLine="240"/>
              <w:jc w:val="left"/>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对规范实施情况进行总结分析，不断对规范提出修正意见</w:t>
            </w:r>
          </w:p>
        </w:tc>
      </w:tr>
      <w:tr w:rsidR="00CF506C" w:rsidTr="00AE34F4">
        <w:trPr>
          <w:cantSplit/>
          <w:trHeight w:val="79"/>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王荣辉</w:t>
            </w:r>
          </w:p>
        </w:tc>
        <w:tc>
          <w:tcPr>
            <w:tcW w:w="1309" w:type="pct"/>
            <w:vAlign w:val="center"/>
          </w:tcPr>
          <w:p w:rsidR="00CF506C" w:rsidRDefault="0010606C">
            <w:pPr>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color w:val="000000"/>
                <w:sz w:val="24"/>
                <w:lang w:val="en"/>
              </w:rPr>
              <w:t>主任医师</w:t>
            </w:r>
          </w:p>
        </w:tc>
        <w:tc>
          <w:tcPr>
            <w:tcW w:w="1778" w:type="pct"/>
            <w:vAlign w:val="center"/>
          </w:tcPr>
          <w:p w:rsidR="00CF506C" w:rsidRDefault="0010606C">
            <w:pPr>
              <w:ind w:firstLineChars="100" w:firstLine="240"/>
              <w:jc w:val="left"/>
              <w:rPr>
                <w:rFonts w:asciiTheme="minorEastAsia" w:eastAsiaTheme="minorEastAsia" w:hAnsiTheme="minorEastAsia" w:cstheme="minorEastAsia"/>
                <w:sz w:val="24"/>
              </w:rPr>
            </w:pPr>
            <w:r>
              <w:rPr>
                <w:rFonts w:asciiTheme="minorEastAsia" w:eastAsiaTheme="minorEastAsia" w:hAnsiTheme="minorEastAsia" w:cstheme="minorEastAsia" w:hint="eastAsia"/>
                <w:bCs/>
                <w:color w:val="000000"/>
                <w:sz w:val="24"/>
              </w:rPr>
              <w:t>协助起草规范草案，征求意见稿和规范编制说明，送审稿及编制说明的编写工作</w:t>
            </w:r>
          </w:p>
        </w:tc>
      </w:tr>
      <w:tr w:rsidR="00CF506C" w:rsidTr="00AE34F4">
        <w:trPr>
          <w:cantSplit/>
          <w:trHeight w:val="60"/>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suppressAutoHyphens/>
              <w:jc w:val="center"/>
              <w:rPr>
                <w:rFonts w:asciiTheme="minorEastAsia" w:eastAsiaTheme="minorEastAsia" w:hAnsiTheme="minorEastAsia" w:cstheme="minorEastAsia"/>
                <w:sz w:val="24"/>
              </w:rPr>
            </w:pPr>
            <w:proofErr w:type="gramStart"/>
            <w:r>
              <w:rPr>
                <w:rFonts w:asciiTheme="minorEastAsia" w:eastAsiaTheme="minorEastAsia" w:hAnsiTheme="minorEastAsia" w:cstheme="minorEastAsia" w:hint="eastAsia"/>
                <w:sz w:val="24"/>
              </w:rPr>
              <w:t>梁道业</w:t>
            </w:r>
            <w:proofErr w:type="gramEnd"/>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color w:val="000000"/>
                <w:sz w:val="24"/>
                <w:lang w:val="en"/>
              </w:rPr>
              <w:t>主任医师</w:t>
            </w:r>
          </w:p>
        </w:tc>
        <w:tc>
          <w:tcPr>
            <w:tcW w:w="1778" w:type="pct"/>
            <w:vAlign w:val="center"/>
          </w:tcPr>
          <w:p w:rsidR="00CF506C" w:rsidRDefault="0010606C">
            <w:pPr>
              <w:ind w:firstLineChars="100" w:firstLine="240"/>
              <w:jc w:val="left"/>
              <w:rPr>
                <w:rFonts w:asciiTheme="minorEastAsia" w:eastAsiaTheme="minorEastAsia" w:hAnsiTheme="minorEastAsia" w:cstheme="minorEastAsia"/>
                <w:sz w:val="24"/>
              </w:rPr>
            </w:pPr>
            <w:r>
              <w:rPr>
                <w:rFonts w:asciiTheme="minorEastAsia" w:eastAsiaTheme="minorEastAsia" w:hAnsiTheme="minorEastAsia" w:cstheme="minorEastAsia" w:hint="eastAsia"/>
                <w:bCs/>
                <w:color w:val="000000"/>
                <w:sz w:val="24"/>
              </w:rPr>
              <w:t>协助起草规范草案，征求意见稿和规范编制说明，送审稿及编制说明的编写工作</w:t>
            </w:r>
          </w:p>
        </w:tc>
      </w:tr>
      <w:tr w:rsidR="00CF506C" w:rsidTr="00AE34F4">
        <w:trPr>
          <w:cantSplit/>
          <w:trHeight w:val="274"/>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林化</w:t>
            </w:r>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color w:val="000000"/>
                <w:sz w:val="24"/>
                <w:lang w:val="en"/>
              </w:rPr>
              <w:t>主任医师</w:t>
            </w:r>
          </w:p>
        </w:tc>
        <w:tc>
          <w:tcPr>
            <w:tcW w:w="1778" w:type="pct"/>
            <w:vAlign w:val="center"/>
          </w:tcPr>
          <w:p w:rsidR="00CF506C" w:rsidRDefault="0010606C">
            <w:pPr>
              <w:ind w:firstLineChars="100" w:firstLine="240"/>
              <w:jc w:val="left"/>
              <w:rPr>
                <w:rFonts w:asciiTheme="minorEastAsia" w:eastAsiaTheme="minorEastAsia" w:hAnsiTheme="minorEastAsia" w:cstheme="minorEastAsia"/>
                <w:bCs/>
                <w:color w:val="000000"/>
                <w:sz w:val="24"/>
              </w:rPr>
            </w:pPr>
            <w:r>
              <w:rPr>
                <w:rFonts w:asciiTheme="minorEastAsia" w:eastAsiaTheme="minorEastAsia" w:hAnsiTheme="minorEastAsia" w:cstheme="minorEastAsia" w:hint="eastAsia"/>
                <w:bCs/>
                <w:color w:val="000000"/>
                <w:sz w:val="24"/>
              </w:rPr>
              <w:t>协助起草规范草案，征求意见稿和规范编制说明，送审稿及编制说明的编写工作</w:t>
            </w:r>
          </w:p>
        </w:tc>
      </w:tr>
      <w:tr w:rsidR="00CF506C" w:rsidTr="00AE34F4">
        <w:trPr>
          <w:cantSplit/>
          <w:trHeight w:val="60"/>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suppressAutoHyphens/>
              <w:jc w:val="center"/>
              <w:rPr>
                <w:rFonts w:asciiTheme="minorEastAsia" w:eastAsiaTheme="minorEastAsia" w:hAnsiTheme="minorEastAsia" w:cstheme="minorEastAsia"/>
                <w:sz w:val="24"/>
              </w:rPr>
            </w:pPr>
            <w:proofErr w:type="gramStart"/>
            <w:r>
              <w:rPr>
                <w:rFonts w:asciiTheme="minorEastAsia" w:eastAsiaTheme="minorEastAsia" w:hAnsiTheme="minorEastAsia" w:cstheme="minorEastAsia" w:hint="eastAsia"/>
                <w:sz w:val="24"/>
              </w:rPr>
              <w:t>刘祖露</w:t>
            </w:r>
            <w:proofErr w:type="gramEnd"/>
          </w:p>
        </w:tc>
        <w:tc>
          <w:tcPr>
            <w:tcW w:w="1309" w:type="pct"/>
            <w:vAlign w:val="center"/>
          </w:tcPr>
          <w:p w:rsidR="00CF506C" w:rsidRDefault="0010606C">
            <w:pPr>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color w:val="000000"/>
                <w:sz w:val="24"/>
                <w:lang w:val="en"/>
              </w:rPr>
              <w:t>主治医师</w:t>
            </w:r>
          </w:p>
        </w:tc>
        <w:tc>
          <w:tcPr>
            <w:tcW w:w="1778" w:type="pct"/>
            <w:vAlign w:val="center"/>
          </w:tcPr>
          <w:p w:rsidR="00CF506C" w:rsidRDefault="0010606C">
            <w:pPr>
              <w:ind w:firstLineChars="100" w:firstLine="240"/>
              <w:jc w:val="left"/>
              <w:rPr>
                <w:rFonts w:asciiTheme="minorEastAsia" w:eastAsiaTheme="minorEastAsia" w:hAnsiTheme="minorEastAsia" w:cstheme="minorEastAsia"/>
                <w:bCs/>
                <w:color w:val="000000"/>
                <w:sz w:val="24"/>
              </w:rPr>
            </w:pPr>
            <w:r>
              <w:rPr>
                <w:rFonts w:asciiTheme="minorEastAsia" w:eastAsiaTheme="minorEastAsia" w:hAnsiTheme="minorEastAsia" w:cstheme="minorEastAsia" w:hint="eastAsia"/>
                <w:bCs/>
                <w:color w:val="000000"/>
                <w:sz w:val="24"/>
              </w:rPr>
              <w:t>协助起草规范草案，征求意见稿和规范编制说明，送审稿及编制说明的编写工作</w:t>
            </w:r>
          </w:p>
        </w:tc>
      </w:tr>
      <w:tr w:rsidR="00CF506C" w:rsidTr="00AE34F4">
        <w:trPr>
          <w:cantSplit/>
          <w:trHeight w:val="60"/>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谢娟娟</w:t>
            </w:r>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主治医师</w:t>
            </w:r>
          </w:p>
        </w:tc>
        <w:tc>
          <w:tcPr>
            <w:tcW w:w="1778" w:type="pct"/>
            <w:vAlign w:val="center"/>
          </w:tcPr>
          <w:p w:rsidR="00CF506C" w:rsidRDefault="0010606C">
            <w:pPr>
              <w:ind w:firstLineChars="100" w:firstLine="240"/>
              <w:jc w:val="left"/>
              <w:rPr>
                <w:rFonts w:asciiTheme="minorEastAsia" w:eastAsiaTheme="minorEastAsia" w:hAnsiTheme="minorEastAsia" w:cstheme="minorEastAsia"/>
                <w:bCs/>
                <w:color w:val="000000"/>
                <w:sz w:val="24"/>
              </w:rPr>
            </w:pPr>
            <w:r>
              <w:rPr>
                <w:rFonts w:asciiTheme="minorEastAsia" w:eastAsiaTheme="minorEastAsia" w:hAnsiTheme="minorEastAsia" w:cstheme="minorEastAsia" w:hint="eastAsia"/>
                <w:bCs/>
                <w:color w:val="000000"/>
                <w:sz w:val="24"/>
              </w:rPr>
              <w:t>协助起草规范草案，征求意见稿和规范编制说明，送审稿及编制说明的编写工作</w:t>
            </w:r>
          </w:p>
        </w:tc>
      </w:tr>
      <w:tr w:rsidR="00CF506C" w:rsidTr="00AE34F4">
        <w:trPr>
          <w:cantSplit/>
          <w:trHeight w:val="60"/>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谭金晶</w:t>
            </w:r>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副主任医师</w:t>
            </w:r>
          </w:p>
        </w:tc>
        <w:tc>
          <w:tcPr>
            <w:tcW w:w="1778" w:type="pct"/>
            <w:vAlign w:val="center"/>
          </w:tcPr>
          <w:p w:rsidR="00CF506C" w:rsidRDefault="0010606C">
            <w:pPr>
              <w:ind w:firstLineChars="100" w:firstLine="240"/>
              <w:jc w:val="left"/>
              <w:rPr>
                <w:rFonts w:asciiTheme="minorEastAsia" w:eastAsiaTheme="minorEastAsia" w:hAnsiTheme="minorEastAsia" w:cstheme="minorEastAsia"/>
                <w:bCs/>
                <w:color w:val="000000"/>
                <w:sz w:val="24"/>
              </w:rPr>
            </w:pPr>
            <w:r>
              <w:rPr>
                <w:rFonts w:asciiTheme="minorEastAsia" w:eastAsiaTheme="minorEastAsia" w:hAnsiTheme="minorEastAsia" w:cstheme="minorEastAsia" w:hint="eastAsia"/>
                <w:bCs/>
                <w:color w:val="000000"/>
                <w:sz w:val="24"/>
              </w:rPr>
              <w:t>协助起草规范草案，征求意见稿和规范编制说明，送审稿及编制说明的编写工作</w:t>
            </w:r>
          </w:p>
        </w:tc>
      </w:tr>
      <w:tr w:rsidR="00CF506C" w:rsidTr="00AE34F4">
        <w:trPr>
          <w:cantSplit/>
          <w:trHeight w:val="629"/>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黄晓燕</w:t>
            </w:r>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主任医师</w:t>
            </w:r>
          </w:p>
        </w:tc>
        <w:tc>
          <w:tcPr>
            <w:tcW w:w="1778" w:type="pct"/>
            <w:vAlign w:val="center"/>
          </w:tcPr>
          <w:p w:rsidR="00CF506C" w:rsidRDefault="0010606C">
            <w:pPr>
              <w:ind w:firstLineChars="100" w:firstLine="240"/>
              <w:jc w:val="left"/>
              <w:rPr>
                <w:rFonts w:asciiTheme="minorEastAsia" w:eastAsiaTheme="minorEastAsia" w:hAnsiTheme="minorEastAsia" w:cstheme="minorEastAsia"/>
                <w:bCs/>
                <w:color w:val="000000"/>
                <w:sz w:val="24"/>
              </w:rPr>
            </w:pPr>
            <w:r>
              <w:rPr>
                <w:rFonts w:asciiTheme="minorEastAsia" w:eastAsiaTheme="minorEastAsia" w:hAnsiTheme="minorEastAsia" w:cstheme="minorEastAsia" w:hint="eastAsia"/>
                <w:bCs/>
                <w:color w:val="000000"/>
                <w:sz w:val="24"/>
              </w:rPr>
              <w:t>协助起草规范草案，征求意见稿和规范编制说明，送审稿及编制说明的编写工作</w:t>
            </w:r>
          </w:p>
        </w:tc>
      </w:tr>
      <w:tr w:rsidR="00CF506C" w:rsidTr="00AE34F4">
        <w:trPr>
          <w:cantSplit/>
          <w:trHeight w:val="60"/>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胡钦嗣</w:t>
            </w:r>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广西中医药大学第一附属医院</w:t>
            </w:r>
          </w:p>
        </w:tc>
        <w:tc>
          <w:tcPr>
            <w:tcW w:w="891"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color w:val="000000"/>
                <w:sz w:val="24"/>
                <w:lang w:val="en"/>
              </w:rPr>
              <w:t>主任医师</w:t>
            </w:r>
          </w:p>
        </w:tc>
        <w:tc>
          <w:tcPr>
            <w:tcW w:w="1778" w:type="pct"/>
            <w:vAlign w:val="center"/>
          </w:tcPr>
          <w:p w:rsidR="00CF506C" w:rsidRDefault="0010606C">
            <w:pPr>
              <w:ind w:firstLineChars="100" w:firstLine="240"/>
              <w:jc w:val="left"/>
              <w:rPr>
                <w:rFonts w:asciiTheme="minorEastAsia" w:eastAsiaTheme="minorEastAsia" w:hAnsiTheme="minorEastAsia" w:cstheme="minorEastAsia"/>
                <w:bCs/>
                <w:color w:val="000000"/>
                <w:sz w:val="24"/>
              </w:rPr>
            </w:pPr>
            <w:r>
              <w:rPr>
                <w:rFonts w:asciiTheme="minorEastAsia" w:eastAsiaTheme="minorEastAsia" w:hAnsiTheme="minorEastAsia" w:cstheme="minorEastAsia" w:hint="eastAsia"/>
                <w:bCs/>
                <w:color w:val="000000"/>
                <w:sz w:val="24"/>
              </w:rPr>
              <w:t>协助起草规范草案，征求意见稿和规范编制说明，送审稿及编制说明的编写工作</w:t>
            </w:r>
          </w:p>
        </w:tc>
      </w:tr>
      <w:tr w:rsidR="00CF506C" w:rsidTr="00AE34F4">
        <w:trPr>
          <w:cantSplit/>
          <w:trHeight w:val="60"/>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suppressAutoHyphens/>
              <w:jc w:val="center"/>
              <w:rPr>
                <w:rFonts w:asciiTheme="minorEastAsia" w:eastAsiaTheme="minorEastAsia" w:hAnsiTheme="minorEastAsia" w:cstheme="minorEastAsia"/>
                <w:sz w:val="24"/>
              </w:rPr>
            </w:pPr>
            <w:proofErr w:type="gramStart"/>
            <w:r>
              <w:rPr>
                <w:rFonts w:asciiTheme="minorEastAsia" w:eastAsiaTheme="minorEastAsia" w:hAnsiTheme="minorEastAsia" w:cstheme="minorEastAsia" w:hint="eastAsia"/>
                <w:sz w:val="24"/>
              </w:rPr>
              <w:t>胡军涛</w:t>
            </w:r>
            <w:proofErr w:type="gramEnd"/>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广西医科大学第一附属医院</w:t>
            </w:r>
          </w:p>
        </w:tc>
        <w:tc>
          <w:tcPr>
            <w:tcW w:w="891"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主任医师</w:t>
            </w:r>
          </w:p>
        </w:tc>
        <w:tc>
          <w:tcPr>
            <w:tcW w:w="1778" w:type="pct"/>
            <w:vAlign w:val="center"/>
          </w:tcPr>
          <w:p w:rsidR="00CF506C" w:rsidRDefault="0010606C">
            <w:pPr>
              <w:ind w:firstLineChars="100" w:firstLine="240"/>
              <w:jc w:val="left"/>
              <w:rPr>
                <w:rFonts w:asciiTheme="minorEastAsia" w:eastAsiaTheme="minorEastAsia" w:hAnsiTheme="minorEastAsia" w:cstheme="minorEastAsia"/>
                <w:bCs/>
                <w:color w:val="000000"/>
                <w:sz w:val="24"/>
              </w:rPr>
            </w:pPr>
            <w:r>
              <w:rPr>
                <w:rFonts w:asciiTheme="minorEastAsia" w:eastAsiaTheme="minorEastAsia" w:hAnsiTheme="minorEastAsia" w:cstheme="minorEastAsia" w:hint="eastAsia"/>
                <w:bCs/>
                <w:color w:val="000000"/>
                <w:sz w:val="24"/>
              </w:rPr>
              <w:t>协助起草规范草案，征求意见稿和规范编制说明，送审稿及编制说明的编写工作</w:t>
            </w:r>
          </w:p>
        </w:tc>
      </w:tr>
      <w:tr w:rsidR="00CF506C" w:rsidTr="00AE34F4">
        <w:trPr>
          <w:cantSplit/>
          <w:trHeight w:val="256"/>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林松</w:t>
            </w:r>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bCs/>
                <w:color w:val="000000"/>
                <w:sz w:val="24"/>
              </w:rPr>
              <w:t>柳州市工人医院</w:t>
            </w:r>
          </w:p>
        </w:tc>
        <w:tc>
          <w:tcPr>
            <w:tcW w:w="891"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color w:val="000000"/>
                <w:sz w:val="24"/>
                <w:lang w:val="en"/>
              </w:rPr>
              <w:t>主任医师</w:t>
            </w:r>
          </w:p>
        </w:tc>
        <w:tc>
          <w:tcPr>
            <w:tcW w:w="1778" w:type="pct"/>
            <w:vAlign w:val="center"/>
          </w:tcPr>
          <w:p w:rsidR="00CF506C" w:rsidRDefault="0010606C">
            <w:pPr>
              <w:ind w:firstLineChars="100" w:firstLine="240"/>
              <w:jc w:val="left"/>
              <w:rPr>
                <w:rFonts w:asciiTheme="minorEastAsia" w:eastAsiaTheme="minorEastAsia" w:hAnsiTheme="minorEastAsia" w:cstheme="minorEastAsia"/>
                <w:bCs/>
                <w:color w:val="000000"/>
                <w:sz w:val="24"/>
              </w:rPr>
            </w:pPr>
            <w:r>
              <w:rPr>
                <w:rFonts w:asciiTheme="minorEastAsia" w:eastAsiaTheme="minorEastAsia" w:hAnsiTheme="minorEastAsia" w:cstheme="minorEastAsia" w:hint="eastAsia"/>
                <w:bCs/>
                <w:color w:val="000000"/>
                <w:sz w:val="24"/>
              </w:rPr>
              <w:t>协助起草规范草案，征求意见稿和规范编制说明，送审稿及编制说明的编写工作</w:t>
            </w:r>
          </w:p>
        </w:tc>
      </w:tr>
      <w:tr w:rsidR="00CF506C" w:rsidTr="00AE34F4">
        <w:trPr>
          <w:cantSplit/>
          <w:trHeight w:val="60"/>
          <w:jc w:val="center"/>
        </w:trPr>
        <w:tc>
          <w:tcPr>
            <w:tcW w:w="424" w:type="pct"/>
            <w:vAlign w:val="center"/>
          </w:tcPr>
          <w:p w:rsidR="00CF506C" w:rsidRDefault="00CF506C">
            <w:pPr>
              <w:pStyle w:val="aff7"/>
              <w:numPr>
                <w:ilvl w:val="0"/>
                <w:numId w:val="6"/>
              </w:numPr>
              <w:tabs>
                <w:tab w:val="left" w:pos="420"/>
              </w:tabs>
              <w:suppressAutoHyphens/>
              <w:ind w:firstLineChars="0"/>
              <w:jc w:val="center"/>
              <w:rPr>
                <w:rFonts w:asciiTheme="minorEastAsia" w:eastAsiaTheme="minorEastAsia" w:hAnsiTheme="minorEastAsia" w:cstheme="minorEastAsia"/>
                <w:bCs/>
                <w:sz w:val="24"/>
              </w:rPr>
            </w:pPr>
          </w:p>
        </w:tc>
        <w:tc>
          <w:tcPr>
            <w:tcW w:w="598"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雷鸣</w:t>
            </w:r>
          </w:p>
        </w:tc>
        <w:tc>
          <w:tcPr>
            <w:tcW w:w="1309" w:type="pct"/>
            <w:vAlign w:val="center"/>
          </w:tcPr>
          <w:p w:rsidR="00CF506C" w:rsidRDefault="0010606C">
            <w:pPr>
              <w:jc w:val="center"/>
              <w:rPr>
                <w:rFonts w:asciiTheme="minorEastAsia" w:eastAsiaTheme="minorEastAsia" w:hAnsiTheme="minorEastAsia" w:cstheme="minorEastAsia"/>
                <w:color w:val="000000"/>
                <w:sz w:val="24"/>
              </w:rPr>
            </w:pPr>
            <w:r>
              <w:rPr>
                <w:rFonts w:asciiTheme="minorEastAsia" w:eastAsiaTheme="minorEastAsia" w:hAnsiTheme="minorEastAsia" w:cstheme="minorEastAsia" w:hint="eastAsia"/>
                <w:sz w:val="24"/>
              </w:rPr>
              <w:t>上海市第七人民医院</w:t>
            </w:r>
          </w:p>
        </w:tc>
        <w:tc>
          <w:tcPr>
            <w:tcW w:w="891" w:type="pct"/>
            <w:vAlign w:val="center"/>
          </w:tcPr>
          <w:p w:rsidR="00CF506C" w:rsidRDefault="0010606C">
            <w:pPr>
              <w:suppressAutoHyphens/>
              <w:jc w:val="center"/>
              <w:rPr>
                <w:rFonts w:asciiTheme="minorEastAsia" w:eastAsiaTheme="minorEastAsia" w:hAnsiTheme="minorEastAsia" w:cstheme="minorEastAsia"/>
                <w:sz w:val="24"/>
              </w:rPr>
            </w:pPr>
            <w:r>
              <w:rPr>
                <w:rFonts w:asciiTheme="minorEastAsia" w:eastAsiaTheme="minorEastAsia" w:hAnsiTheme="minorEastAsia" w:cstheme="minorEastAsia" w:hint="eastAsia"/>
                <w:color w:val="000000"/>
                <w:sz w:val="24"/>
                <w:lang w:val="en"/>
              </w:rPr>
              <w:t>主任医师</w:t>
            </w:r>
          </w:p>
        </w:tc>
        <w:tc>
          <w:tcPr>
            <w:tcW w:w="1778" w:type="pct"/>
            <w:vAlign w:val="center"/>
          </w:tcPr>
          <w:p w:rsidR="00CF506C" w:rsidRDefault="0010606C">
            <w:pPr>
              <w:ind w:firstLineChars="100" w:firstLine="240"/>
              <w:jc w:val="left"/>
              <w:rPr>
                <w:rFonts w:asciiTheme="minorEastAsia" w:eastAsiaTheme="minorEastAsia" w:hAnsiTheme="minorEastAsia" w:cstheme="minorEastAsia"/>
                <w:bCs/>
                <w:color w:val="000000"/>
                <w:sz w:val="24"/>
              </w:rPr>
            </w:pPr>
            <w:r>
              <w:rPr>
                <w:rFonts w:asciiTheme="minorEastAsia" w:eastAsiaTheme="minorEastAsia" w:hAnsiTheme="minorEastAsia" w:cstheme="minorEastAsia" w:hint="eastAsia"/>
                <w:bCs/>
                <w:color w:val="000000"/>
                <w:sz w:val="24"/>
              </w:rPr>
              <w:t>协助起草规范草案，征求意见稿和规范编制说明，送审稿及编制说明的编写工作</w:t>
            </w:r>
          </w:p>
        </w:tc>
      </w:tr>
    </w:tbl>
    <w:p w:rsidR="00CF506C" w:rsidRDefault="0010606C">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二、制定标准的必要性和意义</w:t>
      </w:r>
    </w:p>
    <w:p w:rsidR="00CF506C" w:rsidRDefault="0010606C">
      <w:pPr>
        <w:pStyle w:val="BodyText2"/>
        <w:spacing w:after="0" w:line="560" w:lineRule="exact"/>
        <w:ind w:firstLineChars="200" w:firstLine="640"/>
        <w:rPr>
          <w:rFonts w:ascii="仿宋_GB2312" w:eastAsia="仿宋_GB2312"/>
          <w:bCs/>
        </w:rPr>
      </w:pPr>
      <w:r>
        <w:rPr>
          <w:rFonts w:ascii="仿宋_GB2312" w:eastAsia="仿宋_GB2312" w:hint="eastAsia"/>
          <w:bCs/>
        </w:rPr>
        <w:t>中西医结合即将中医学和西医学的理论和实践结合起来，以满足全面的医疗需求。中西医结合不仅可以更好地提高治疗效果，而且可以提供更完善的健康保健服务，有助于</w:t>
      </w:r>
      <w:r>
        <w:rPr>
          <w:rFonts w:ascii="仿宋_GB2312" w:eastAsia="仿宋_GB2312" w:hint="eastAsia"/>
          <w:bCs/>
        </w:rPr>
        <w:lastRenderedPageBreak/>
        <w:t>提高全民健康水平，改善人们生活质量，从而提高社会的整体素质。国家一直十分重视。</w:t>
      </w:r>
    </w:p>
    <w:p w:rsidR="00CF506C" w:rsidRDefault="0010606C">
      <w:pPr>
        <w:pStyle w:val="BodyText2"/>
        <w:spacing w:after="0" w:line="560" w:lineRule="exact"/>
        <w:ind w:firstLineChars="200" w:firstLine="640"/>
        <w:rPr>
          <w:rFonts w:ascii="仿宋_GB2312" w:eastAsia="仿宋_GB2312"/>
          <w:bCs/>
        </w:rPr>
      </w:pPr>
      <w:r>
        <w:rPr>
          <w:rFonts w:ascii="仿宋_GB2312" w:eastAsia="仿宋_GB2312" w:hint="eastAsia"/>
          <w:bCs/>
        </w:rPr>
        <w:t>2019年，《中华人民共和国基本医疗卫生与健康促进法》第九条规定：国家大力发展中医药事业，坚持中西医并重、传承与创新相结合。2023年，国务院办公厅印发《中医药振兴发展重大工程实施方案》，指出各地要支持组建区域中西医协同医疗联合体，将中西医结合工作纳入医院等级评审和绩效考核。项目单位要把建立中西医协同机制和多学科诊疗体系纳入医院章程，将中西医联合查房、会诊纳入医院管理制度，在各主要临床科室配备中医医师，打造中西医协同团队。为创新中西医结合医疗模式，促进中医和西医强强联合、优势互补，做到中西医结合工作“有机制、有团队、有措施、有成效”。同年，国家中医药局、国家发展改革委、国家卫生健康委联合制定了《中西医协同“旗舰”医院建设试点项目管理办法》（国中医药</w:t>
      </w:r>
      <w:proofErr w:type="gramStart"/>
      <w:r>
        <w:rPr>
          <w:rFonts w:ascii="仿宋_GB2312" w:eastAsia="仿宋_GB2312" w:hint="eastAsia"/>
          <w:bCs/>
        </w:rPr>
        <w:t>综</w:t>
      </w:r>
      <w:proofErr w:type="gramEnd"/>
      <w:r>
        <w:rPr>
          <w:rFonts w:ascii="仿宋_GB2312" w:eastAsia="仿宋_GB2312" w:hint="eastAsia"/>
          <w:bCs/>
        </w:rPr>
        <w:t>结合发〔2023〕4号），中西医协同“旗舰”医院建设正式启动。</w:t>
      </w:r>
    </w:p>
    <w:p w:rsidR="00CF506C" w:rsidRDefault="0010606C">
      <w:pPr>
        <w:pStyle w:val="BodyText2"/>
        <w:spacing w:after="0" w:line="560" w:lineRule="exact"/>
        <w:ind w:firstLineChars="200" w:firstLine="640"/>
        <w:rPr>
          <w:rFonts w:ascii="仿宋_GB2312" w:eastAsia="仿宋_GB2312"/>
          <w:bCs/>
        </w:rPr>
      </w:pPr>
      <w:r>
        <w:rPr>
          <w:rFonts w:ascii="仿宋_GB2312" w:eastAsia="仿宋_GB2312" w:hint="eastAsia"/>
          <w:bCs/>
        </w:rPr>
        <w:t>脓毒症（sepsis）是由细菌等</w:t>
      </w:r>
      <w:hyperlink r:id="rId7" w:tgtFrame="_blank" w:history="1">
        <w:r>
          <w:rPr>
            <w:rStyle w:val="aff2"/>
            <w:rFonts w:ascii="仿宋_GB2312" w:eastAsia="仿宋_GB2312" w:hint="eastAsia"/>
            <w:bCs/>
            <w:color w:val="auto"/>
            <w:u w:val="none"/>
          </w:rPr>
          <w:t>病原微生物</w:t>
        </w:r>
      </w:hyperlink>
      <w:r>
        <w:rPr>
          <w:rFonts w:ascii="仿宋_GB2312" w:eastAsia="仿宋_GB2312" w:hint="eastAsia"/>
          <w:bCs/>
        </w:rPr>
        <w:t>侵入机体引起的全身</w:t>
      </w:r>
      <w:hyperlink r:id="rId8" w:tgtFrame="_blank" w:history="1">
        <w:r>
          <w:rPr>
            <w:rStyle w:val="aff2"/>
            <w:rFonts w:ascii="仿宋_GB2312" w:eastAsia="仿宋_GB2312" w:hint="eastAsia"/>
            <w:bCs/>
            <w:color w:val="auto"/>
            <w:u w:val="none"/>
          </w:rPr>
          <w:t>炎症反应</w:t>
        </w:r>
      </w:hyperlink>
      <w:r>
        <w:rPr>
          <w:rFonts w:ascii="仿宋_GB2312" w:eastAsia="仿宋_GB2312" w:hint="eastAsia"/>
          <w:bCs/>
        </w:rPr>
        <w:t>综合征。脓毒症</w:t>
      </w:r>
      <w:hyperlink r:id="rId9" w:tgtFrame="_blank" w:history="1">
        <w:r>
          <w:rPr>
            <w:rStyle w:val="aff2"/>
            <w:rFonts w:ascii="仿宋_GB2312" w:eastAsia="仿宋_GB2312" w:hint="eastAsia"/>
            <w:bCs/>
            <w:color w:val="auto"/>
            <w:u w:val="none"/>
          </w:rPr>
          <w:t>发生率</w:t>
        </w:r>
      </w:hyperlink>
      <w:r>
        <w:rPr>
          <w:rFonts w:ascii="仿宋_GB2312" w:eastAsia="仿宋_GB2312" w:hint="eastAsia"/>
          <w:bCs/>
        </w:rPr>
        <w:t>高，全球每年有超过1800万</w:t>
      </w:r>
      <w:hyperlink r:id="rId10" w:tgtFrame="_blank" w:history="1">
        <w:r>
          <w:rPr>
            <w:rStyle w:val="aff2"/>
            <w:rFonts w:ascii="仿宋_GB2312" w:eastAsia="仿宋_GB2312" w:hint="eastAsia"/>
            <w:bCs/>
            <w:color w:val="auto"/>
            <w:u w:val="none"/>
          </w:rPr>
          <w:t>严重脓毒症</w:t>
        </w:r>
      </w:hyperlink>
      <w:r>
        <w:rPr>
          <w:rFonts w:ascii="仿宋_GB2312" w:eastAsia="仿宋_GB2312" w:hint="eastAsia"/>
          <w:bCs/>
        </w:rPr>
        <w:t>病例，并且这一数字还以每年1.5％～8.0％的速度上升。脓毒症的病情凶险，</w:t>
      </w:r>
      <w:hyperlink r:id="rId11" w:tgtFrame="_blank" w:history="1">
        <w:r>
          <w:rPr>
            <w:rStyle w:val="aff2"/>
            <w:rFonts w:ascii="仿宋_GB2312" w:eastAsia="仿宋_GB2312" w:hint="eastAsia"/>
            <w:bCs/>
            <w:color w:val="auto"/>
            <w:u w:val="none"/>
          </w:rPr>
          <w:t>病死率</w:t>
        </w:r>
      </w:hyperlink>
      <w:r>
        <w:rPr>
          <w:rFonts w:ascii="仿宋_GB2312" w:eastAsia="仿宋_GB2312" w:hint="eastAsia"/>
          <w:bCs/>
        </w:rPr>
        <w:t>高，全球每天约14000人死于其</w:t>
      </w:r>
      <w:hyperlink r:id="rId12" w:tgtFrame="_blank" w:history="1">
        <w:r>
          <w:rPr>
            <w:rStyle w:val="aff2"/>
            <w:rFonts w:ascii="仿宋_GB2312" w:eastAsia="仿宋_GB2312" w:hint="eastAsia"/>
            <w:bCs/>
            <w:color w:val="auto"/>
            <w:u w:val="none"/>
          </w:rPr>
          <w:t>并发症</w:t>
        </w:r>
      </w:hyperlink>
      <w:r>
        <w:rPr>
          <w:rFonts w:ascii="仿宋_GB2312" w:eastAsia="仿宋_GB2312" w:hint="eastAsia"/>
          <w:bCs/>
        </w:rPr>
        <w:t>。据国外</w:t>
      </w:r>
      <w:hyperlink r:id="rId13" w:tgtFrame="_blank" w:history="1">
        <w:r>
          <w:rPr>
            <w:rStyle w:val="aff2"/>
            <w:rFonts w:ascii="仿宋_GB2312" w:eastAsia="仿宋_GB2312" w:hint="eastAsia"/>
            <w:bCs/>
            <w:color w:val="auto"/>
            <w:u w:val="none"/>
          </w:rPr>
          <w:t>流行病学调查</w:t>
        </w:r>
      </w:hyperlink>
      <w:r>
        <w:rPr>
          <w:rFonts w:ascii="仿宋_GB2312" w:eastAsia="仿宋_GB2312" w:hint="eastAsia"/>
          <w:bCs/>
        </w:rPr>
        <w:t>显示，脓毒症的病死率已经超过</w:t>
      </w:r>
      <w:hyperlink r:id="rId14" w:tgtFrame="_blank" w:history="1">
        <w:r>
          <w:rPr>
            <w:rStyle w:val="aff2"/>
            <w:rFonts w:ascii="仿宋_GB2312" w:eastAsia="仿宋_GB2312" w:hint="eastAsia"/>
            <w:bCs/>
            <w:color w:val="auto"/>
            <w:u w:val="none"/>
          </w:rPr>
          <w:t>心肌梗死</w:t>
        </w:r>
      </w:hyperlink>
      <w:r>
        <w:rPr>
          <w:rFonts w:ascii="仿宋_GB2312" w:eastAsia="仿宋_GB2312" w:hint="eastAsia"/>
          <w:bCs/>
        </w:rPr>
        <w:t>，成为</w:t>
      </w:r>
      <w:hyperlink r:id="rId15" w:tgtFrame="_blank" w:history="1">
        <w:r>
          <w:rPr>
            <w:rStyle w:val="aff2"/>
            <w:rFonts w:ascii="仿宋_GB2312" w:eastAsia="仿宋_GB2312" w:hint="eastAsia"/>
            <w:bCs/>
            <w:color w:val="auto"/>
            <w:u w:val="none"/>
          </w:rPr>
          <w:t>重症监护病房</w:t>
        </w:r>
      </w:hyperlink>
      <w:r>
        <w:rPr>
          <w:rFonts w:ascii="仿宋_GB2312" w:eastAsia="仿宋_GB2312" w:hint="eastAsia"/>
          <w:bCs/>
        </w:rPr>
        <w:t>内非心脏病人死亡的主要原因。近年来，尽管抗感染治疗和器官功能支持技术取得了长足的进步，脓毒症的病死率仍高达30％～</w:t>
      </w:r>
      <w:r>
        <w:rPr>
          <w:rFonts w:ascii="仿宋_GB2312" w:eastAsia="仿宋_GB2312" w:hint="eastAsia"/>
          <w:bCs/>
        </w:rPr>
        <w:lastRenderedPageBreak/>
        <w:t>70％。相关调查数据显示，我国在2017～2019年发生的6178318例脓毒</w:t>
      </w:r>
      <w:proofErr w:type="gramStart"/>
      <w:r>
        <w:rPr>
          <w:rFonts w:ascii="仿宋_GB2312" w:eastAsia="仿宋_GB2312" w:hint="eastAsia"/>
          <w:bCs/>
        </w:rPr>
        <w:t>症死亡</w:t>
      </w:r>
      <w:proofErr w:type="gramEnd"/>
      <w:r>
        <w:rPr>
          <w:rFonts w:ascii="仿宋_GB2312" w:eastAsia="仿宋_GB2312" w:hint="eastAsia"/>
          <w:bCs/>
        </w:rPr>
        <w:t>中，共有806728例(13.1％)为脓毒</w:t>
      </w:r>
      <w:proofErr w:type="gramStart"/>
      <w:r>
        <w:rPr>
          <w:rFonts w:ascii="仿宋_GB2312" w:eastAsia="仿宋_GB2312" w:hint="eastAsia"/>
          <w:bCs/>
        </w:rPr>
        <w:t>症相关</w:t>
      </w:r>
      <w:proofErr w:type="gramEnd"/>
      <w:r>
        <w:rPr>
          <w:rFonts w:ascii="仿宋_GB2312" w:eastAsia="仿宋_GB2312" w:hint="eastAsia"/>
          <w:bCs/>
        </w:rPr>
        <w:t>死亡，在脓毒</w:t>
      </w:r>
      <w:proofErr w:type="gramStart"/>
      <w:r>
        <w:rPr>
          <w:rFonts w:ascii="仿宋_GB2312" w:eastAsia="仿宋_GB2312" w:hint="eastAsia"/>
          <w:bCs/>
        </w:rPr>
        <w:t>症相关</w:t>
      </w:r>
      <w:proofErr w:type="gramEnd"/>
      <w:r>
        <w:rPr>
          <w:rFonts w:ascii="仿宋_GB2312" w:eastAsia="仿宋_GB2312" w:hint="eastAsia"/>
          <w:bCs/>
        </w:rPr>
        <w:t>死亡中，228852例(28.4％)发生在住院期间，而院内死亡比例以2017年的27.0％持续上升至2019年的30.0％。脓毒症治疗花费高，</w:t>
      </w:r>
      <w:hyperlink r:id="rId16" w:tgtFrame="_blank" w:history="1">
        <w:r>
          <w:rPr>
            <w:rStyle w:val="aff2"/>
            <w:rFonts w:ascii="仿宋_GB2312" w:eastAsia="仿宋_GB2312" w:hint="eastAsia"/>
            <w:bCs/>
            <w:color w:val="auto"/>
            <w:u w:val="none"/>
          </w:rPr>
          <w:t>医疗资源</w:t>
        </w:r>
      </w:hyperlink>
      <w:r>
        <w:rPr>
          <w:rFonts w:ascii="仿宋_GB2312" w:eastAsia="仿宋_GB2312" w:hint="eastAsia"/>
          <w:bCs/>
        </w:rPr>
        <w:t>消耗大，严重影响人类的</w:t>
      </w:r>
      <w:hyperlink r:id="rId17" w:tgtFrame="_blank" w:history="1">
        <w:r>
          <w:rPr>
            <w:rStyle w:val="aff2"/>
            <w:rFonts w:ascii="仿宋_GB2312" w:eastAsia="仿宋_GB2312" w:hint="eastAsia"/>
            <w:bCs/>
            <w:color w:val="auto"/>
            <w:u w:val="none"/>
          </w:rPr>
          <w:t>生活质量</w:t>
        </w:r>
      </w:hyperlink>
      <w:r>
        <w:rPr>
          <w:rFonts w:ascii="仿宋_GB2312" w:eastAsia="仿宋_GB2312" w:hint="eastAsia"/>
          <w:bCs/>
        </w:rPr>
        <w:t>，已经对人类健康造成巨大威胁。</w:t>
      </w:r>
    </w:p>
    <w:p w:rsidR="00CF506C" w:rsidRDefault="00AE34F4">
      <w:pPr>
        <w:pStyle w:val="BodyText2"/>
        <w:spacing w:after="0" w:line="560" w:lineRule="exact"/>
        <w:ind w:firstLineChars="200" w:firstLine="640"/>
        <w:rPr>
          <w:rFonts w:ascii="仿宋_GB2312" w:eastAsia="仿宋_GB2312"/>
          <w:bCs/>
        </w:rPr>
      </w:pPr>
      <w:r w:rsidRPr="00AE34F4">
        <w:rPr>
          <w:rFonts w:ascii="仿宋_GB2312" w:eastAsia="仿宋_GB2312" w:hint="eastAsia"/>
          <w:bCs/>
        </w:rPr>
        <w:t>脓毒症心肌损伤，是脓毒症中最严重的并发症及主要死因之一，直接影响脓毒症患者的预后。</w:t>
      </w:r>
      <w:proofErr w:type="gramStart"/>
      <w:r w:rsidRPr="00AE34F4">
        <w:rPr>
          <w:rFonts w:ascii="仿宋_GB2312" w:eastAsia="仿宋_GB2312" w:hint="eastAsia"/>
          <w:bCs/>
        </w:rPr>
        <w:t>脓</w:t>
      </w:r>
      <w:proofErr w:type="gramEnd"/>
      <w:r w:rsidRPr="00AE34F4">
        <w:rPr>
          <w:rFonts w:ascii="仿宋_GB2312" w:eastAsia="仿宋_GB2312" w:hint="eastAsia"/>
          <w:bCs/>
        </w:rPr>
        <w:t>毒性心肌病的特征是左室收缩力降低，最终与左室扩张相关，伴或不伴右心室衰竭。不幸的是，广泛的超声检查结果并不能反映对脓毒性心肌病的深刻理解，而是缺乏对其定义的共识。一些超声心动图参数本质上依赖于负荷条件(前负荷和后负荷)，因此可能很难区分哪些是原发的，哪些是由血流动力学紊乱引起的。有研究显示，伴有心功能障碍的脓毒症患者的病死率高达70%，而无心功能障碍的脓毒症患者病死率仅为20%。有效的心脏保护可改善脓毒症患者的预后，降低其病死率</w:t>
      </w:r>
      <w:r w:rsidR="0010606C">
        <w:rPr>
          <w:rFonts w:ascii="仿宋_GB2312" w:eastAsia="仿宋_GB2312" w:hint="eastAsia"/>
          <w:bCs/>
        </w:rPr>
        <w:t>。</w:t>
      </w:r>
    </w:p>
    <w:p w:rsidR="00CF506C" w:rsidRDefault="0010606C">
      <w:pPr>
        <w:pStyle w:val="BodyText2"/>
        <w:spacing w:after="0" w:line="560" w:lineRule="exact"/>
        <w:ind w:firstLineChars="200" w:firstLine="640"/>
        <w:rPr>
          <w:rFonts w:ascii="仿宋_GB2312" w:eastAsia="仿宋_GB2312"/>
          <w:bCs/>
        </w:rPr>
      </w:pPr>
      <w:r>
        <w:rPr>
          <w:rFonts w:ascii="仿宋_GB2312" w:eastAsia="仿宋_GB2312" w:hint="eastAsia"/>
          <w:bCs/>
        </w:rPr>
        <w:t>脓毒症发病率高，并发症多且重，病死率高，后遗症多，预后差。近年来，国家强调要充分发挥中医药在重大疾病治疗中的协同作用优势，但其优势未能充分发挥。研究脓毒症中西医病机及基于中西医病机融通进行中西医协同</w:t>
      </w:r>
      <w:proofErr w:type="gramStart"/>
      <w:r>
        <w:rPr>
          <w:rFonts w:ascii="仿宋_GB2312" w:eastAsia="仿宋_GB2312" w:hint="eastAsia"/>
          <w:bCs/>
        </w:rPr>
        <w:t>救治组</w:t>
      </w:r>
      <w:proofErr w:type="gramEnd"/>
      <w:r>
        <w:rPr>
          <w:rFonts w:ascii="仿宋_GB2312" w:eastAsia="仿宋_GB2312" w:hint="eastAsia"/>
          <w:bCs/>
        </w:rPr>
        <w:t>方，对降低该病病死率，改善预后意义重大。</w:t>
      </w:r>
    </w:p>
    <w:p w:rsidR="00CF506C" w:rsidRDefault="0010606C">
      <w:pPr>
        <w:pStyle w:val="BodyText2"/>
        <w:spacing w:after="0" w:line="560" w:lineRule="exact"/>
        <w:ind w:firstLineChars="200" w:firstLine="640"/>
        <w:rPr>
          <w:rFonts w:ascii="仿宋_GB2312" w:eastAsia="仿宋_GB2312"/>
          <w:bCs/>
        </w:rPr>
      </w:pPr>
      <w:r>
        <w:rPr>
          <w:rFonts w:ascii="仿宋_GB2312" w:eastAsia="仿宋_GB2312" w:hint="eastAsia"/>
          <w:bCs/>
        </w:rPr>
        <w:t>项目</w:t>
      </w:r>
      <w:proofErr w:type="gramStart"/>
      <w:r>
        <w:rPr>
          <w:rFonts w:ascii="仿宋_GB2312" w:eastAsia="仿宋_GB2312" w:hint="eastAsia"/>
          <w:bCs/>
        </w:rPr>
        <w:t>组应用</w:t>
      </w:r>
      <w:proofErr w:type="gramEnd"/>
      <w:r>
        <w:rPr>
          <w:rFonts w:ascii="仿宋_GB2312" w:eastAsia="仿宋_GB2312" w:hint="eastAsia"/>
          <w:bCs/>
        </w:rPr>
        <w:t>文献研究和德尔菲法专家共识的研究方法，建立实用性强、公认度高且操作方便的《基于西医病理机理与中医病机相融合救治脓毒症的中医组方模型》，推广应用</w:t>
      </w:r>
      <w:r>
        <w:rPr>
          <w:rFonts w:ascii="仿宋_GB2312" w:eastAsia="仿宋_GB2312" w:hint="eastAsia"/>
          <w:bCs/>
        </w:rPr>
        <w:lastRenderedPageBreak/>
        <w:t>于脓毒症及其并发症的中西医协同组方，以期降低病死率，改善预后。现已在区内20家医疗机构得到应用，147家医疗机构宣传推广，并获得众多医疗机构及行业专家好评。</w:t>
      </w:r>
    </w:p>
    <w:p w:rsidR="00CF506C" w:rsidRDefault="0010606C">
      <w:pPr>
        <w:pStyle w:val="BodyText2"/>
        <w:spacing w:after="0" w:line="560" w:lineRule="exact"/>
        <w:ind w:firstLineChars="200" w:firstLine="640"/>
        <w:rPr>
          <w:rFonts w:ascii="仿宋_GB2312" w:eastAsia="仿宋_GB2312"/>
          <w:b/>
          <w:bCs/>
        </w:rPr>
      </w:pPr>
      <w:r>
        <w:rPr>
          <w:rFonts w:ascii="仿宋_GB2312" w:eastAsia="仿宋_GB2312" w:hint="eastAsia"/>
          <w:bCs/>
        </w:rPr>
        <w:t>基于前期研究，针对脓毒</w:t>
      </w:r>
      <w:proofErr w:type="gramStart"/>
      <w:r>
        <w:rPr>
          <w:rFonts w:ascii="仿宋_GB2312" w:eastAsia="仿宋_GB2312" w:hint="eastAsia"/>
          <w:bCs/>
        </w:rPr>
        <w:t>症具体</w:t>
      </w:r>
      <w:proofErr w:type="gramEnd"/>
      <w:r>
        <w:rPr>
          <w:rFonts w:ascii="仿宋_GB2312" w:eastAsia="仿宋_GB2312" w:hint="eastAsia"/>
          <w:bCs/>
        </w:rPr>
        <w:t>并发症，通过制定团体标准《脓毒症</w:t>
      </w:r>
      <w:r w:rsidR="00AE34F4">
        <w:rPr>
          <w:rFonts w:ascii="仿宋_GB2312" w:eastAsia="仿宋_GB2312" w:hint="eastAsia"/>
          <w:bCs/>
        </w:rPr>
        <w:t>心肌病</w:t>
      </w:r>
      <w:r>
        <w:rPr>
          <w:rFonts w:ascii="仿宋_GB2312" w:eastAsia="仿宋_GB2312" w:hint="eastAsia"/>
          <w:bCs/>
        </w:rPr>
        <w:t>中西医病机融通救治技术规范》，以标准为抓手，统一规范脓毒症</w:t>
      </w:r>
      <w:r w:rsidR="00AE34F4">
        <w:rPr>
          <w:rFonts w:ascii="仿宋_GB2312" w:eastAsia="仿宋_GB2312" w:hint="eastAsia"/>
          <w:bCs/>
        </w:rPr>
        <w:t>心肌病</w:t>
      </w:r>
      <w:r>
        <w:rPr>
          <w:rFonts w:ascii="仿宋_GB2312" w:eastAsia="仿宋_GB2312" w:hint="eastAsia"/>
          <w:bCs/>
        </w:rPr>
        <w:t>中西医病机融通救治技术要求，对提高脓毒症</w:t>
      </w:r>
      <w:r w:rsidR="00AE34F4">
        <w:rPr>
          <w:rFonts w:ascii="仿宋_GB2312" w:eastAsia="仿宋_GB2312" w:hint="eastAsia"/>
          <w:bCs/>
        </w:rPr>
        <w:t>心肌病</w:t>
      </w:r>
      <w:r>
        <w:rPr>
          <w:rFonts w:ascii="仿宋_GB2312" w:eastAsia="仿宋_GB2312" w:hint="eastAsia"/>
          <w:bCs/>
        </w:rPr>
        <w:t>中西医病机融通救治技术水平，进一步提高该技术在全国的普适性、推广性，推进精准医学模式的研究与实践，巩固和发扬中西医结合优势，促进中西医医疗事业发展，维护人民健康具有积极意义</w:t>
      </w:r>
      <w:r>
        <w:rPr>
          <w:rFonts w:ascii="仿宋_GB2312" w:eastAsia="仿宋_GB2312" w:hint="eastAsia"/>
          <w:b/>
          <w:bCs/>
        </w:rPr>
        <w:t>。</w:t>
      </w:r>
    </w:p>
    <w:p w:rsidR="00CF506C" w:rsidRDefault="0010606C">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CF506C" w:rsidRDefault="0010606C">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技术规范》项目任务下达后，由广西中医药大学第一附属医院牵头组织成立了标准编制组，制定了标准编写方案，明确任务职责，确定工作技术路线，开展标准研制工作。具体编制工作由广西中医药大学第一附属医院、广西中医药大学第一附属医院、</w:t>
      </w:r>
      <w:r>
        <w:rPr>
          <w:rFonts w:ascii="仿宋_GB2312" w:eastAsia="仿宋_GB2312" w:hAnsi="宋体" w:hint="eastAsia"/>
          <w:bCs/>
          <w:sz w:val="32"/>
          <w:szCs w:val="32"/>
        </w:rPr>
        <w:t>玉林市中医医院、</w:t>
      </w:r>
      <w:r>
        <w:rPr>
          <w:rFonts w:ascii="仿宋_GB2312" w:eastAsia="仿宋_GB2312" w:hAnsi="宋体"/>
          <w:bCs/>
          <w:sz w:val="32"/>
          <w:szCs w:val="32"/>
        </w:rPr>
        <w:t>柳州市工人医院</w:t>
      </w:r>
      <w:r>
        <w:rPr>
          <w:rFonts w:ascii="仿宋_GB2312" w:eastAsia="仿宋_GB2312" w:hAnsi="宋体" w:hint="eastAsia"/>
          <w:sz w:val="32"/>
          <w:szCs w:val="32"/>
        </w:rPr>
        <w:t>组成的标准编制组负责。编制组下设三个小组，分别是资料收集组、草案编写组、标准实施组。</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资料收集组：负责国内关于脓毒症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中西医病机融通救治相关文献资料的查询、收集和整理工作，查阅现存关于相关研究以及国内相关标准的制定。</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w:t>
      </w:r>
      <w:r>
        <w:rPr>
          <w:rFonts w:ascii="仿宋_GB2312" w:eastAsia="仿宋_GB2312" w:hAnsi="宋体" w:hint="eastAsia"/>
          <w:sz w:val="32"/>
          <w:szCs w:val="32"/>
        </w:rPr>
        <w:lastRenderedPageBreak/>
        <w:t>阶段的标准文本及编制说明的起草工作，包括标准制定过程各阶段标准文本及相关材料的修改和完善。</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技术规范》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rsidR="00CF506C" w:rsidRDefault="0010606C">
      <w:pPr>
        <w:numPr>
          <w:ilvl w:val="0"/>
          <w:numId w:val="7"/>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CF506C" w:rsidRDefault="0010606C">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通过资料收集组对文献资料的收集和整理，草案编写组主要参考了以下国内相关的标准和期刊书籍：</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[1]  T/CRHA 022—2023  脓毒症诊断与治疗规范</w:t>
      </w:r>
    </w:p>
    <w:p w:rsidR="00BC34BC" w:rsidRPr="00BC34BC" w:rsidRDefault="00BC34BC" w:rsidP="00BC34B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sz w:val="32"/>
          <w:szCs w:val="32"/>
        </w:rPr>
        <w:t xml:space="preserve">2]  </w:t>
      </w:r>
      <w:r w:rsidRPr="00BC34BC">
        <w:rPr>
          <w:rFonts w:ascii="仿宋_GB2312" w:eastAsia="仿宋_GB2312" w:hAnsi="宋体" w:hint="eastAsia"/>
          <w:sz w:val="32"/>
          <w:szCs w:val="32"/>
        </w:rPr>
        <w:t>刘清泉, 李志军, 沈洪, et al. 脓毒症中西医结合诊治专家共识: 2008全国中西医结合危重病、急救医学学术会议[Z]. 中国天津: 20088.</w:t>
      </w:r>
    </w:p>
    <w:p w:rsidR="00BC34BC" w:rsidRDefault="00BC34BC" w:rsidP="00BC34BC">
      <w:pPr>
        <w:spacing w:line="560" w:lineRule="exact"/>
        <w:ind w:firstLineChars="200" w:firstLine="640"/>
        <w:rPr>
          <w:rFonts w:ascii="仿宋_GB2312" w:eastAsia="仿宋_GB2312" w:hAnsi="宋体"/>
          <w:sz w:val="32"/>
          <w:szCs w:val="32"/>
        </w:rPr>
      </w:pPr>
      <w:r w:rsidRPr="00BC34BC">
        <w:rPr>
          <w:rFonts w:ascii="仿宋_GB2312" w:eastAsia="仿宋_GB2312" w:hAnsi="宋体" w:hint="eastAsia"/>
          <w:sz w:val="32"/>
          <w:szCs w:val="32"/>
        </w:rPr>
        <w:t xml:space="preserve">[3] </w:t>
      </w:r>
      <w:proofErr w:type="gramStart"/>
      <w:r w:rsidRPr="00BC34BC">
        <w:rPr>
          <w:rFonts w:ascii="仿宋_GB2312" w:eastAsia="仿宋_GB2312" w:hAnsi="宋体" w:hint="eastAsia"/>
          <w:sz w:val="32"/>
          <w:szCs w:val="32"/>
        </w:rPr>
        <w:t>朱晴</w:t>
      </w:r>
      <w:proofErr w:type="gramEnd"/>
      <w:r w:rsidRPr="00BC34BC">
        <w:rPr>
          <w:rFonts w:ascii="仿宋_GB2312" w:eastAsia="仿宋_GB2312" w:hAnsi="宋体" w:hint="eastAsia"/>
          <w:sz w:val="32"/>
          <w:szCs w:val="32"/>
        </w:rPr>
        <w:t xml:space="preserve">, </w:t>
      </w:r>
      <w:proofErr w:type="gramStart"/>
      <w:r w:rsidRPr="00BC34BC">
        <w:rPr>
          <w:rFonts w:ascii="仿宋_GB2312" w:eastAsia="仿宋_GB2312" w:hAnsi="宋体" w:hint="eastAsia"/>
          <w:sz w:val="32"/>
          <w:szCs w:val="32"/>
        </w:rPr>
        <w:t>张逸雪</w:t>
      </w:r>
      <w:proofErr w:type="gramEnd"/>
      <w:r w:rsidRPr="00BC34BC">
        <w:rPr>
          <w:rFonts w:ascii="仿宋_GB2312" w:eastAsia="仿宋_GB2312" w:hAnsi="宋体" w:hint="eastAsia"/>
          <w:sz w:val="32"/>
          <w:szCs w:val="32"/>
        </w:rPr>
        <w:t xml:space="preserve">, 刘洋, et al. 脓毒症的病理生理机制研究进展[J]. 中华医院感染学杂志. 2022, 32(16): 2551-2555. </w:t>
      </w:r>
    </w:p>
    <w:p w:rsidR="00BC34BC" w:rsidRPr="00BC34BC" w:rsidRDefault="00BC34BC" w:rsidP="00BC34BC">
      <w:pPr>
        <w:spacing w:line="560" w:lineRule="exact"/>
        <w:ind w:firstLineChars="200" w:firstLine="640"/>
        <w:jc w:val="left"/>
        <w:rPr>
          <w:rFonts w:ascii="仿宋_GB2312" w:eastAsia="仿宋_GB2312" w:hAnsi="宋体"/>
          <w:sz w:val="32"/>
          <w:szCs w:val="32"/>
        </w:rPr>
      </w:pPr>
      <w:proofErr w:type="gramStart"/>
      <w:r w:rsidRPr="00BC34BC">
        <w:rPr>
          <w:rFonts w:ascii="仿宋_GB2312" w:eastAsia="仿宋_GB2312" w:hAnsi="宋体" w:hint="eastAsia"/>
          <w:sz w:val="32"/>
          <w:szCs w:val="32"/>
        </w:rPr>
        <w:t>廖</w:t>
      </w:r>
      <w:proofErr w:type="gramEnd"/>
      <w:r w:rsidRPr="00BC34BC">
        <w:rPr>
          <w:rFonts w:ascii="仿宋_GB2312" w:eastAsia="仿宋_GB2312" w:hAnsi="宋体" w:hint="eastAsia"/>
          <w:sz w:val="32"/>
          <w:szCs w:val="32"/>
        </w:rPr>
        <w:t>明喻, 刘雪健, 武免</w:t>
      </w:r>
      <w:proofErr w:type="gramStart"/>
      <w:r w:rsidRPr="00BC34BC">
        <w:rPr>
          <w:rFonts w:ascii="仿宋_GB2312" w:eastAsia="仿宋_GB2312" w:hAnsi="宋体" w:hint="eastAsia"/>
          <w:sz w:val="32"/>
          <w:szCs w:val="32"/>
        </w:rPr>
        <w:t>免</w:t>
      </w:r>
      <w:proofErr w:type="gramEnd"/>
      <w:r w:rsidRPr="00BC34BC">
        <w:rPr>
          <w:rFonts w:ascii="仿宋_GB2312" w:eastAsia="仿宋_GB2312" w:hAnsi="宋体" w:hint="eastAsia"/>
          <w:sz w:val="32"/>
          <w:szCs w:val="32"/>
        </w:rPr>
        <w:t>, et al.脓毒症病理生理机制及治疗新方法的探索[J]. 医学综述. 2019, 25(03): 475-479.</w:t>
      </w:r>
    </w:p>
    <w:p w:rsidR="00BC34BC" w:rsidRPr="00BC34B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hint="eastAsia"/>
          <w:sz w:val="32"/>
          <w:szCs w:val="32"/>
        </w:rPr>
        <w:t>[5] 师灵</w:t>
      </w:r>
      <w:proofErr w:type="gramStart"/>
      <w:r w:rsidRPr="00BC34BC">
        <w:rPr>
          <w:rFonts w:ascii="仿宋_GB2312" w:eastAsia="仿宋_GB2312" w:hAnsi="宋体" w:hint="eastAsia"/>
          <w:sz w:val="32"/>
          <w:szCs w:val="32"/>
        </w:rPr>
        <w:t>灵</w:t>
      </w:r>
      <w:proofErr w:type="gramEnd"/>
      <w:r w:rsidRPr="00BC34BC">
        <w:rPr>
          <w:rFonts w:ascii="仿宋_GB2312" w:eastAsia="仿宋_GB2312" w:hAnsi="宋体" w:hint="eastAsia"/>
          <w:sz w:val="32"/>
          <w:szCs w:val="32"/>
        </w:rPr>
        <w:t xml:space="preserve">, </w:t>
      </w:r>
      <w:proofErr w:type="gramStart"/>
      <w:r w:rsidRPr="00BC34BC">
        <w:rPr>
          <w:rFonts w:ascii="仿宋_GB2312" w:eastAsia="仿宋_GB2312" w:hAnsi="宋体" w:hint="eastAsia"/>
          <w:sz w:val="32"/>
          <w:szCs w:val="32"/>
        </w:rPr>
        <w:t>韩艳秋</w:t>
      </w:r>
      <w:proofErr w:type="gramEnd"/>
      <w:r w:rsidRPr="00BC34BC">
        <w:rPr>
          <w:rFonts w:ascii="仿宋_GB2312" w:eastAsia="仿宋_GB2312" w:hAnsi="宋体" w:hint="eastAsia"/>
          <w:sz w:val="32"/>
          <w:szCs w:val="32"/>
        </w:rPr>
        <w:t>, 任慧娟, et al. 脓毒症的病理生理机制研究进展[J]. 中华医院感染学杂志. 2016, 26(08): 1914-1916.</w:t>
      </w:r>
    </w:p>
    <w:p w:rsidR="00BC34BC" w:rsidRPr="00BC34B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hint="eastAsia"/>
          <w:sz w:val="32"/>
          <w:szCs w:val="32"/>
        </w:rPr>
        <w:lastRenderedPageBreak/>
        <w:t xml:space="preserve">[6] </w:t>
      </w:r>
      <w:proofErr w:type="gramStart"/>
      <w:r w:rsidRPr="00BC34BC">
        <w:rPr>
          <w:rFonts w:ascii="仿宋_GB2312" w:eastAsia="仿宋_GB2312" w:hAnsi="宋体" w:hint="eastAsia"/>
          <w:sz w:val="32"/>
          <w:szCs w:val="32"/>
        </w:rPr>
        <w:t>陈龙娇</w:t>
      </w:r>
      <w:proofErr w:type="gramEnd"/>
      <w:r w:rsidRPr="00BC34BC">
        <w:rPr>
          <w:rFonts w:ascii="仿宋_GB2312" w:eastAsia="仿宋_GB2312" w:hAnsi="宋体" w:hint="eastAsia"/>
          <w:sz w:val="32"/>
          <w:szCs w:val="32"/>
        </w:rPr>
        <w:t>. 《黄帝内经》“火”“热”释义[J]. 江西中医药. 2023, 54(07): 6-9.</w:t>
      </w:r>
    </w:p>
    <w:p w:rsidR="00CF506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hint="eastAsia"/>
          <w:sz w:val="32"/>
          <w:szCs w:val="32"/>
        </w:rPr>
        <w:t xml:space="preserve">[7] </w:t>
      </w:r>
      <w:proofErr w:type="gramStart"/>
      <w:r w:rsidRPr="00BC34BC">
        <w:rPr>
          <w:rFonts w:ascii="仿宋_GB2312" w:eastAsia="仿宋_GB2312" w:hAnsi="宋体" w:hint="eastAsia"/>
          <w:sz w:val="32"/>
          <w:szCs w:val="32"/>
        </w:rPr>
        <w:t>董坤</w:t>
      </w:r>
      <w:proofErr w:type="gramEnd"/>
      <w:r w:rsidRPr="00BC34BC">
        <w:rPr>
          <w:rFonts w:ascii="仿宋_GB2312" w:eastAsia="仿宋_GB2312" w:hAnsi="宋体" w:hint="eastAsia"/>
          <w:sz w:val="32"/>
          <w:szCs w:val="32"/>
        </w:rPr>
        <w:t>, 张哲. 毒邪致病中医症状探讨[J]. 亚太传统医药</w:t>
      </w:r>
      <w:r>
        <w:rPr>
          <w:rFonts w:ascii="仿宋_GB2312" w:eastAsia="仿宋_GB2312" w:hAnsi="宋体" w:hint="eastAsia"/>
          <w:sz w:val="32"/>
          <w:szCs w:val="32"/>
        </w:rPr>
        <w:t>. 2019, 15(05): 194-196</w:t>
      </w:r>
      <w:r w:rsidR="0010606C">
        <w:rPr>
          <w:rFonts w:ascii="仿宋_GB2312" w:eastAsia="仿宋_GB2312" w:hAnsi="宋体" w:hint="eastAsia"/>
          <w:sz w:val="32"/>
          <w:szCs w:val="32"/>
        </w:rPr>
        <w:t>.</w:t>
      </w:r>
    </w:p>
    <w:p w:rsidR="00BC34BC" w:rsidRPr="00BC34B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hint="eastAsia"/>
          <w:sz w:val="32"/>
          <w:szCs w:val="32"/>
        </w:rPr>
        <w:t>[</w:t>
      </w:r>
      <w:r>
        <w:rPr>
          <w:rFonts w:ascii="仿宋_GB2312" w:eastAsia="仿宋_GB2312" w:hAnsi="宋体"/>
          <w:sz w:val="32"/>
          <w:szCs w:val="32"/>
        </w:rPr>
        <w:t>8</w:t>
      </w:r>
      <w:r w:rsidRPr="00BC34BC">
        <w:rPr>
          <w:rFonts w:ascii="仿宋_GB2312" w:eastAsia="仿宋_GB2312" w:hAnsi="宋体" w:hint="eastAsia"/>
          <w:sz w:val="32"/>
          <w:szCs w:val="32"/>
        </w:rPr>
        <w:t>] 李湛, 贾春华. “六气皆从火化”的隐喻分析[J]. 中华中医药学刊. 2023: 1-13.</w:t>
      </w:r>
    </w:p>
    <w:p w:rsidR="00BC34BC" w:rsidRPr="00BC34B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hint="eastAsia"/>
          <w:sz w:val="32"/>
          <w:szCs w:val="32"/>
        </w:rPr>
        <w:t>[</w:t>
      </w:r>
      <w:r>
        <w:rPr>
          <w:rFonts w:ascii="仿宋_GB2312" w:eastAsia="仿宋_GB2312" w:hAnsi="宋体"/>
          <w:sz w:val="32"/>
          <w:szCs w:val="32"/>
        </w:rPr>
        <w:t>9</w:t>
      </w:r>
      <w:r w:rsidRPr="00BC34BC">
        <w:rPr>
          <w:rFonts w:ascii="仿宋_GB2312" w:eastAsia="仿宋_GB2312" w:hAnsi="宋体" w:hint="eastAsia"/>
          <w:sz w:val="32"/>
          <w:szCs w:val="32"/>
        </w:rPr>
        <w:t xml:space="preserve">] 樊新荣, </w:t>
      </w:r>
      <w:proofErr w:type="gramStart"/>
      <w:r w:rsidRPr="00BC34BC">
        <w:rPr>
          <w:rFonts w:ascii="仿宋_GB2312" w:eastAsia="仿宋_GB2312" w:hAnsi="宋体" w:hint="eastAsia"/>
          <w:sz w:val="32"/>
          <w:szCs w:val="32"/>
        </w:rPr>
        <w:t>唐农</w:t>
      </w:r>
      <w:proofErr w:type="gramEnd"/>
      <w:r w:rsidRPr="00BC34BC">
        <w:rPr>
          <w:rFonts w:ascii="仿宋_GB2312" w:eastAsia="仿宋_GB2312" w:hAnsi="宋体" w:hint="eastAsia"/>
          <w:sz w:val="32"/>
          <w:szCs w:val="32"/>
        </w:rPr>
        <w:t>, 纪云西, et al. 中医学“内生浊邪”本质探讨[J]. 中国中西医结合杂志. 2015, 35(08): 1011-1014.</w:t>
      </w:r>
    </w:p>
    <w:p w:rsidR="00BC34BC" w:rsidRPr="00BC34B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hint="eastAsia"/>
          <w:sz w:val="32"/>
          <w:szCs w:val="32"/>
        </w:rPr>
        <w:t>[1</w:t>
      </w:r>
      <w:r>
        <w:rPr>
          <w:rFonts w:ascii="仿宋_GB2312" w:eastAsia="仿宋_GB2312" w:hAnsi="宋体"/>
          <w:sz w:val="32"/>
          <w:szCs w:val="32"/>
        </w:rPr>
        <w:t>0</w:t>
      </w:r>
      <w:r w:rsidRPr="00BC34BC">
        <w:rPr>
          <w:rFonts w:ascii="仿宋_GB2312" w:eastAsia="仿宋_GB2312" w:hAnsi="宋体" w:hint="eastAsia"/>
          <w:sz w:val="32"/>
          <w:szCs w:val="32"/>
        </w:rPr>
        <w:t xml:space="preserve">] 汪海东, 冯强, </w:t>
      </w:r>
      <w:proofErr w:type="gramStart"/>
      <w:r w:rsidRPr="00BC34BC">
        <w:rPr>
          <w:rFonts w:ascii="仿宋_GB2312" w:eastAsia="仿宋_GB2312" w:hAnsi="宋体" w:hint="eastAsia"/>
          <w:sz w:val="32"/>
          <w:szCs w:val="32"/>
        </w:rPr>
        <w:t>楼旭丹</w:t>
      </w:r>
      <w:proofErr w:type="gramEnd"/>
      <w:r w:rsidRPr="00BC34BC">
        <w:rPr>
          <w:rFonts w:ascii="仿宋_GB2312" w:eastAsia="仿宋_GB2312" w:hAnsi="宋体" w:hint="eastAsia"/>
          <w:sz w:val="32"/>
          <w:szCs w:val="32"/>
        </w:rPr>
        <w:t>, et al. 中医学“火”的现代理解概说[J]. 中医杂志. 2016, 57(23): 2052-2056.</w:t>
      </w:r>
    </w:p>
    <w:p w:rsidR="00BC34B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hint="eastAsia"/>
          <w:sz w:val="32"/>
          <w:szCs w:val="32"/>
        </w:rPr>
        <w:t>[1</w:t>
      </w:r>
      <w:r>
        <w:rPr>
          <w:rFonts w:ascii="仿宋_GB2312" w:eastAsia="仿宋_GB2312" w:hAnsi="宋体"/>
          <w:sz w:val="32"/>
          <w:szCs w:val="32"/>
        </w:rPr>
        <w:t>1</w:t>
      </w:r>
      <w:r w:rsidRPr="00BC34BC">
        <w:rPr>
          <w:rFonts w:ascii="仿宋_GB2312" w:eastAsia="仿宋_GB2312" w:hAnsi="宋体" w:hint="eastAsia"/>
          <w:sz w:val="32"/>
          <w:szCs w:val="32"/>
        </w:rPr>
        <w:t xml:space="preserve">]中国中西医结合学会重症医学专业委员会,中国医师协会中西医结合医师分会心脏介入专业委员会. </w:t>
      </w:r>
      <w:proofErr w:type="gramStart"/>
      <w:r w:rsidRPr="00BC34BC">
        <w:rPr>
          <w:rFonts w:ascii="仿宋_GB2312" w:eastAsia="仿宋_GB2312" w:hAnsi="宋体" w:hint="eastAsia"/>
          <w:sz w:val="32"/>
          <w:szCs w:val="32"/>
        </w:rPr>
        <w:t>脓</w:t>
      </w:r>
      <w:proofErr w:type="gramEnd"/>
      <w:r w:rsidRPr="00BC34BC">
        <w:rPr>
          <w:rFonts w:ascii="仿宋_GB2312" w:eastAsia="仿宋_GB2312" w:hAnsi="宋体" w:hint="eastAsia"/>
          <w:sz w:val="32"/>
          <w:szCs w:val="32"/>
        </w:rPr>
        <w:t>毒性心肌病中西医结合诊治专家共识[J]. 中国中西医结合急救杂志,2022,29(1):1-6.</w:t>
      </w:r>
    </w:p>
    <w:p w:rsidR="00BC34BC" w:rsidRDefault="0010606C">
      <w:pPr>
        <w:spacing w:line="560" w:lineRule="exact"/>
        <w:ind w:firstLineChars="200" w:firstLine="640"/>
        <w:jc w:val="left"/>
        <w:rPr>
          <w:rFonts w:ascii="仿宋_GB2312" w:eastAsia="仿宋_GB2312" w:hAnsi="宋体"/>
          <w:sz w:val="32"/>
          <w:szCs w:val="32"/>
        </w:rPr>
      </w:pPr>
      <w:r>
        <w:rPr>
          <w:rFonts w:ascii="仿宋_GB2312" w:eastAsia="仿宋_GB2312" w:hAnsi="宋体"/>
          <w:sz w:val="32"/>
          <w:szCs w:val="32"/>
        </w:rPr>
        <w:t>[</w:t>
      </w:r>
      <w:r w:rsidR="00BC34BC">
        <w:rPr>
          <w:rFonts w:ascii="仿宋_GB2312" w:eastAsia="仿宋_GB2312" w:hAnsi="宋体"/>
          <w:sz w:val="32"/>
          <w:szCs w:val="32"/>
        </w:rPr>
        <w:t>12</w:t>
      </w:r>
      <w:proofErr w:type="gramStart"/>
      <w:r>
        <w:rPr>
          <w:rFonts w:ascii="仿宋_GB2312" w:eastAsia="仿宋_GB2312" w:hAnsi="宋体"/>
          <w:sz w:val="32"/>
          <w:szCs w:val="32"/>
        </w:rPr>
        <w:t xml:space="preserve">]  </w:t>
      </w:r>
      <w:r w:rsidR="00BC34BC" w:rsidRPr="00BC34BC">
        <w:rPr>
          <w:rFonts w:ascii="仿宋_GB2312" w:eastAsia="仿宋_GB2312" w:hAnsi="宋体"/>
          <w:sz w:val="32"/>
          <w:szCs w:val="32"/>
        </w:rPr>
        <w:t>Liang</w:t>
      </w:r>
      <w:proofErr w:type="gramEnd"/>
      <w:r w:rsidR="00BC34BC" w:rsidRPr="00BC34BC">
        <w:rPr>
          <w:rFonts w:ascii="仿宋_GB2312" w:eastAsia="仿宋_GB2312" w:hAnsi="宋体"/>
          <w:sz w:val="32"/>
          <w:szCs w:val="32"/>
        </w:rPr>
        <w:t xml:space="preserve"> Y W, Zhu Y F, Zhang R, et al. Incidence, prognosis, and risk factors of sepsis-induced cardiomyopathy[J]. World J Clin Cases. 2021, 9(31): 9452-9468.</w:t>
      </w:r>
    </w:p>
    <w:p w:rsidR="00CF506C" w:rsidRDefault="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sz w:val="32"/>
          <w:szCs w:val="32"/>
        </w:rPr>
        <w:t>[</w:t>
      </w:r>
      <w:r>
        <w:rPr>
          <w:rFonts w:ascii="仿宋_GB2312" w:eastAsia="仿宋_GB2312" w:hAnsi="宋体"/>
          <w:sz w:val="32"/>
          <w:szCs w:val="32"/>
        </w:rPr>
        <w:t>13</w:t>
      </w:r>
      <w:r w:rsidRPr="00BC34BC">
        <w:rPr>
          <w:rFonts w:ascii="仿宋_GB2312" w:eastAsia="仿宋_GB2312" w:hAnsi="宋体"/>
          <w:sz w:val="32"/>
          <w:szCs w:val="32"/>
        </w:rPr>
        <w:t xml:space="preserve">] Fleischmann-Struzek C, Mellhammar L, Rose N, et al. Incidence and mortality of hospital- and ICU-treated sepsis: results from </w:t>
      </w:r>
      <w:proofErr w:type="gramStart"/>
      <w:r w:rsidRPr="00BC34BC">
        <w:rPr>
          <w:rFonts w:ascii="仿宋_GB2312" w:eastAsia="仿宋_GB2312" w:hAnsi="宋体"/>
          <w:sz w:val="32"/>
          <w:szCs w:val="32"/>
        </w:rPr>
        <w:t>an  updated</w:t>
      </w:r>
      <w:proofErr w:type="gramEnd"/>
      <w:r w:rsidRPr="00BC34BC">
        <w:rPr>
          <w:rFonts w:ascii="仿宋_GB2312" w:eastAsia="仿宋_GB2312" w:hAnsi="宋体"/>
          <w:sz w:val="32"/>
          <w:szCs w:val="32"/>
        </w:rPr>
        <w:t xml:space="preserve"> and expanded systematic review and meta-analysis[J]. </w:t>
      </w:r>
      <w:r w:rsidRPr="00BC34BC">
        <w:rPr>
          <w:rFonts w:ascii="仿宋_GB2312" w:eastAsia="仿宋_GB2312" w:hAnsi="宋体"/>
          <w:sz w:val="32"/>
          <w:szCs w:val="32"/>
        </w:rPr>
        <w:lastRenderedPageBreak/>
        <w:t>Intensive Care Med. 2020, 46(8): 1552-1562</w:t>
      </w:r>
      <w:r w:rsidR="0010606C">
        <w:rPr>
          <w:rFonts w:ascii="仿宋_GB2312" w:eastAsia="仿宋_GB2312" w:hAnsi="宋体"/>
          <w:sz w:val="32"/>
          <w:szCs w:val="32"/>
        </w:rPr>
        <w:t>.</w:t>
      </w:r>
    </w:p>
    <w:p w:rsidR="00BC34BC" w:rsidRPr="00BC34B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sz w:val="32"/>
          <w:szCs w:val="32"/>
        </w:rPr>
        <w:t>[</w:t>
      </w:r>
      <w:r>
        <w:rPr>
          <w:rFonts w:ascii="仿宋_GB2312" w:eastAsia="仿宋_GB2312" w:hAnsi="宋体"/>
          <w:sz w:val="32"/>
          <w:szCs w:val="32"/>
        </w:rPr>
        <w:t>14</w:t>
      </w:r>
      <w:r w:rsidRPr="00BC34BC">
        <w:rPr>
          <w:rFonts w:ascii="仿宋_GB2312" w:eastAsia="仿宋_GB2312" w:hAnsi="宋体"/>
          <w:sz w:val="32"/>
          <w:szCs w:val="32"/>
        </w:rPr>
        <w:t>] Hollenberg S M, Singer M. Pathophysiology of sepsis-induced cardiomyopathy[J]. Nat Rev Cardiol. 2021, 18(6): 424-434.</w:t>
      </w:r>
    </w:p>
    <w:p w:rsidR="00BC34BC" w:rsidRPr="00BC34B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sz w:val="32"/>
          <w:szCs w:val="32"/>
        </w:rPr>
        <w:t>[1</w:t>
      </w:r>
      <w:r>
        <w:rPr>
          <w:rFonts w:ascii="仿宋_GB2312" w:eastAsia="仿宋_GB2312" w:hAnsi="宋体"/>
          <w:sz w:val="32"/>
          <w:szCs w:val="32"/>
        </w:rPr>
        <w:t>5</w:t>
      </w:r>
      <w:r w:rsidRPr="00BC34BC">
        <w:rPr>
          <w:rFonts w:ascii="仿宋_GB2312" w:eastAsia="仿宋_GB2312" w:hAnsi="宋体"/>
          <w:sz w:val="32"/>
          <w:szCs w:val="32"/>
        </w:rPr>
        <w:t xml:space="preserve">] Sato R, Kuriyama A, Takada T, et al. Prevalence and risk factors of sepsis-induced cardiomyopathy: A </w:t>
      </w:r>
      <w:proofErr w:type="gramStart"/>
      <w:r w:rsidRPr="00BC34BC">
        <w:rPr>
          <w:rFonts w:ascii="仿宋_GB2312" w:eastAsia="仿宋_GB2312" w:hAnsi="宋体"/>
          <w:sz w:val="32"/>
          <w:szCs w:val="32"/>
        </w:rPr>
        <w:t>retrospective  cohort</w:t>
      </w:r>
      <w:proofErr w:type="gramEnd"/>
      <w:r w:rsidRPr="00BC34BC">
        <w:rPr>
          <w:rFonts w:ascii="仿宋_GB2312" w:eastAsia="仿宋_GB2312" w:hAnsi="宋体"/>
          <w:sz w:val="32"/>
          <w:szCs w:val="32"/>
        </w:rPr>
        <w:t xml:space="preserve"> study[J]. Medicine (Baltimore). 2016, 95(39): e5031.</w:t>
      </w:r>
    </w:p>
    <w:p w:rsidR="00BC34BC" w:rsidRPr="00BC34B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sz w:val="32"/>
          <w:szCs w:val="32"/>
        </w:rPr>
        <w:t>[1</w:t>
      </w:r>
      <w:r>
        <w:rPr>
          <w:rFonts w:ascii="仿宋_GB2312" w:eastAsia="仿宋_GB2312" w:hAnsi="宋体"/>
          <w:sz w:val="32"/>
          <w:szCs w:val="32"/>
        </w:rPr>
        <w:t>6</w:t>
      </w:r>
      <w:r w:rsidRPr="00BC34BC">
        <w:rPr>
          <w:rFonts w:ascii="仿宋_GB2312" w:eastAsia="仿宋_GB2312" w:hAnsi="宋体"/>
          <w:sz w:val="32"/>
          <w:szCs w:val="32"/>
        </w:rPr>
        <w:t xml:space="preserve">] Driessen R, van de Poll M, Mol M F, et al. The influence of a change in septic shock definitions on intensive </w:t>
      </w:r>
      <w:proofErr w:type="gramStart"/>
      <w:r w:rsidRPr="00BC34BC">
        <w:rPr>
          <w:rFonts w:ascii="仿宋_GB2312" w:eastAsia="仿宋_GB2312" w:hAnsi="宋体"/>
          <w:sz w:val="32"/>
          <w:szCs w:val="32"/>
        </w:rPr>
        <w:t>care  epidemiology</w:t>
      </w:r>
      <w:proofErr w:type="gramEnd"/>
      <w:r w:rsidRPr="00BC34BC">
        <w:rPr>
          <w:rFonts w:ascii="仿宋_GB2312" w:eastAsia="仿宋_GB2312" w:hAnsi="宋体"/>
          <w:sz w:val="32"/>
          <w:szCs w:val="32"/>
        </w:rPr>
        <w:t xml:space="preserve"> and outcome: comparison of sepsis-2 and sepsis-3 definitions[J]. Infect Dis (Lond). 2018, 50(3): 207-213.</w:t>
      </w:r>
    </w:p>
    <w:p w:rsidR="00BC34BC" w:rsidRPr="00BC34B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sz w:val="32"/>
          <w:szCs w:val="32"/>
        </w:rPr>
        <w:t>[1</w:t>
      </w:r>
      <w:r>
        <w:rPr>
          <w:rFonts w:ascii="仿宋_GB2312" w:eastAsia="仿宋_GB2312" w:hAnsi="宋体"/>
          <w:sz w:val="32"/>
          <w:szCs w:val="32"/>
        </w:rPr>
        <w:t>7</w:t>
      </w:r>
      <w:r w:rsidRPr="00BC34BC">
        <w:rPr>
          <w:rFonts w:ascii="仿宋_GB2312" w:eastAsia="仿宋_GB2312" w:hAnsi="宋体"/>
          <w:sz w:val="32"/>
          <w:szCs w:val="32"/>
        </w:rPr>
        <w:t xml:space="preserve">] Lakbar I, Munoz M, Pauly V, et al. Septic shock: incidence, mortality and hospital readmission rates in </w:t>
      </w:r>
      <w:proofErr w:type="gramStart"/>
      <w:r w:rsidRPr="00BC34BC">
        <w:rPr>
          <w:rFonts w:ascii="仿宋_GB2312" w:eastAsia="仿宋_GB2312" w:hAnsi="宋体"/>
          <w:sz w:val="32"/>
          <w:szCs w:val="32"/>
        </w:rPr>
        <w:t>French  intensive</w:t>
      </w:r>
      <w:proofErr w:type="gramEnd"/>
      <w:r w:rsidRPr="00BC34BC">
        <w:rPr>
          <w:rFonts w:ascii="仿宋_GB2312" w:eastAsia="仿宋_GB2312" w:hAnsi="宋体"/>
          <w:sz w:val="32"/>
          <w:szCs w:val="32"/>
        </w:rPr>
        <w:t xml:space="preserve"> care units from 2014 to 2018[J]. Anaesth Crit Care Pain Med. 2022, 41(3): 101082.</w:t>
      </w:r>
    </w:p>
    <w:p w:rsidR="00BC34BC" w:rsidRPr="00BC34BC" w:rsidRDefault="00BC34BC" w:rsidP="00BC34BC">
      <w:pPr>
        <w:spacing w:line="560" w:lineRule="exact"/>
        <w:ind w:firstLineChars="200" w:firstLine="640"/>
        <w:jc w:val="left"/>
        <w:rPr>
          <w:rFonts w:ascii="仿宋_GB2312" w:eastAsia="仿宋_GB2312" w:hAnsi="宋体"/>
          <w:sz w:val="32"/>
          <w:szCs w:val="32"/>
        </w:rPr>
      </w:pPr>
      <w:r w:rsidRPr="00BC34BC">
        <w:rPr>
          <w:rFonts w:ascii="仿宋_GB2312" w:eastAsia="仿宋_GB2312" w:hAnsi="宋体"/>
          <w:sz w:val="32"/>
          <w:szCs w:val="32"/>
        </w:rPr>
        <w:t>[1</w:t>
      </w:r>
      <w:r>
        <w:rPr>
          <w:rFonts w:ascii="仿宋_GB2312" w:eastAsia="仿宋_GB2312" w:hAnsi="宋体"/>
          <w:sz w:val="32"/>
          <w:szCs w:val="32"/>
        </w:rPr>
        <w:t>8</w:t>
      </w:r>
      <w:r w:rsidRPr="00BC34BC">
        <w:rPr>
          <w:rFonts w:ascii="仿宋_GB2312" w:eastAsia="仿宋_GB2312" w:hAnsi="宋体"/>
          <w:sz w:val="32"/>
          <w:szCs w:val="32"/>
        </w:rPr>
        <w:t xml:space="preserve">] Incidence of severe sepsis and septic shock in German intensive care units: </w:t>
      </w:r>
      <w:proofErr w:type="gramStart"/>
      <w:r w:rsidRPr="00BC34BC">
        <w:rPr>
          <w:rFonts w:ascii="仿宋_GB2312" w:eastAsia="仿宋_GB2312" w:hAnsi="宋体"/>
          <w:sz w:val="32"/>
          <w:szCs w:val="32"/>
        </w:rPr>
        <w:t>the  prospective</w:t>
      </w:r>
      <w:proofErr w:type="gramEnd"/>
      <w:r w:rsidRPr="00BC34BC">
        <w:rPr>
          <w:rFonts w:ascii="仿宋_GB2312" w:eastAsia="仿宋_GB2312" w:hAnsi="宋体"/>
          <w:sz w:val="32"/>
          <w:szCs w:val="32"/>
        </w:rPr>
        <w:t>, multicentre INSEP study[J]. Intensive Care Med. 2016, 42(12): 1980-1989.</w:t>
      </w:r>
    </w:p>
    <w:p w:rsidR="00BC34BC" w:rsidRDefault="00BC34BC" w:rsidP="00BC34BC">
      <w:pPr>
        <w:spacing w:line="560" w:lineRule="exact"/>
        <w:ind w:firstLineChars="200" w:firstLine="640"/>
        <w:jc w:val="left"/>
        <w:rPr>
          <w:rFonts w:ascii="仿宋_GB2312" w:eastAsia="仿宋_GB2312" w:hAnsi="宋体"/>
          <w:sz w:val="32"/>
          <w:szCs w:val="32"/>
        </w:rPr>
      </w:pPr>
      <w:r>
        <w:rPr>
          <w:rFonts w:ascii="仿宋_GB2312" w:eastAsia="仿宋_GB2312" w:hAnsi="宋体"/>
          <w:sz w:val="32"/>
          <w:szCs w:val="32"/>
        </w:rPr>
        <w:t>[19</w:t>
      </w:r>
      <w:r w:rsidRPr="00BC34BC">
        <w:rPr>
          <w:rFonts w:ascii="仿宋_GB2312" w:eastAsia="仿宋_GB2312" w:hAnsi="宋体"/>
          <w:sz w:val="32"/>
          <w:szCs w:val="32"/>
        </w:rPr>
        <w:t xml:space="preserve">] Kadri S S, Rhee C, Strich J R, et al. </w:t>
      </w:r>
      <w:r w:rsidRPr="00BC34BC">
        <w:rPr>
          <w:rFonts w:ascii="仿宋_GB2312" w:eastAsia="仿宋_GB2312" w:hAnsi="宋体"/>
          <w:sz w:val="32"/>
          <w:szCs w:val="32"/>
        </w:rPr>
        <w:lastRenderedPageBreak/>
        <w:t xml:space="preserve">Estimating Ten-Year Trends in Septic Shock Incidence and Mortality in </w:t>
      </w:r>
      <w:proofErr w:type="gramStart"/>
      <w:r w:rsidRPr="00BC34BC">
        <w:rPr>
          <w:rFonts w:ascii="仿宋_GB2312" w:eastAsia="仿宋_GB2312" w:hAnsi="宋体"/>
          <w:sz w:val="32"/>
          <w:szCs w:val="32"/>
        </w:rPr>
        <w:t>United  States</w:t>
      </w:r>
      <w:proofErr w:type="gramEnd"/>
      <w:r w:rsidRPr="00BC34BC">
        <w:rPr>
          <w:rFonts w:ascii="仿宋_GB2312" w:eastAsia="仿宋_GB2312" w:hAnsi="宋体"/>
          <w:sz w:val="32"/>
          <w:szCs w:val="32"/>
        </w:rPr>
        <w:t xml:space="preserve"> Academic Medical Centers Using Clinical Data[J].</w:t>
      </w:r>
      <w:r>
        <w:rPr>
          <w:rFonts w:ascii="仿宋_GB2312" w:eastAsia="仿宋_GB2312" w:hAnsi="宋体"/>
          <w:sz w:val="32"/>
          <w:szCs w:val="32"/>
        </w:rPr>
        <w:t xml:space="preserve"> Chest. 2017, 151(2): 278-285.</w:t>
      </w:r>
    </w:p>
    <w:p w:rsidR="00CF506C" w:rsidRDefault="0010606C">
      <w:pPr>
        <w:spacing w:line="560" w:lineRule="exact"/>
        <w:ind w:firstLineChars="200" w:firstLine="643"/>
        <w:jc w:val="left"/>
        <w:rPr>
          <w:rFonts w:ascii="楷体" w:eastAsia="楷体" w:hAnsi="楷体" w:cs="仿宋_GB2312"/>
          <w:b/>
          <w:sz w:val="32"/>
          <w:szCs w:val="32"/>
        </w:rPr>
      </w:pPr>
      <w:r>
        <w:rPr>
          <w:rFonts w:ascii="楷体" w:eastAsia="楷体" w:hAnsi="楷体" w:cs="仿宋_GB2312" w:hint="eastAsia"/>
          <w:b/>
          <w:sz w:val="32"/>
          <w:szCs w:val="32"/>
        </w:rPr>
        <w:t>（三）研讨确定标准特色</w:t>
      </w:r>
      <w:r>
        <w:rPr>
          <w:rFonts w:ascii="楷体" w:eastAsia="楷体" w:hAnsi="楷体" w:cs="仿宋_GB2312"/>
          <w:b/>
          <w:sz w:val="32"/>
          <w:szCs w:val="32"/>
        </w:rPr>
        <w:t>、创新点和</w:t>
      </w:r>
      <w:r>
        <w:rPr>
          <w:rFonts w:ascii="楷体" w:eastAsia="楷体" w:hAnsi="楷体" w:cs="仿宋_GB2312" w:hint="eastAsia"/>
          <w:b/>
          <w:sz w:val="32"/>
          <w:szCs w:val="32"/>
        </w:rPr>
        <w:t>主体内容</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标准编制组在对收集的资料进行整理研究之后，标准编制组召开了标准编制会议，对标准的整体框架结构进行了研究，并对标准的特色</w:t>
      </w:r>
      <w:r>
        <w:rPr>
          <w:rFonts w:ascii="仿宋_GB2312" w:eastAsia="仿宋_GB2312" w:hAnsi="宋体"/>
          <w:sz w:val="32"/>
          <w:szCs w:val="32"/>
        </w:rPr>
        <w:t>、创新点</w:t>
      </w:r>
      <w:r>
        <w:rPr>
          <w:rFonts w:ascii="仿宋_GB2312" w:eastAsia="仿宋_GB2312" w:hAnsi="宋体" w:hint="eastAsia"/>
          <w:sz w:val="32"/>
          <w:szCs w:val="32"/>
        </w:rPr>
        <w:t>及关键性内容进行了初步探讨。经研究，标准</w:t>
      </w:r>
      <w:r>
        <w:rPr>
          <w:rFonts w:ascii="仿宋_GB2312" w:eastAsia="仿宋_GB2312" w:hAnsi="宋体"/>
          <w:sz w:val="32"/>
          <w:szCs w:val="32"/>
        </w:rPr>
        <w:t>的</w:t>
      </w:r>
      <w:r>
        <w:rPr>
          <w:rFonts w:ascii="仿宋_GB2312" w:eastAsia="仿宋_GB2312" w:hAnsi="宋体" w:hint="eastAsia"/>
          <w:sz w:val="32"/>
          <w:szCs w:val="32"/>
        </w:rPr>
        <w:t>特色</w:t>
      </w:r>
      <w:r>
        <w:rPr>
          <w:rFonts w:ascii="仿宋_GB2312" w:eastAsia="仿宋_GB2312" w:hAnsi="宋体"/>
          <w:sz w:val="32"/>
          <w:szCs w:val="32"/>
        </w:rPr>
        <w:t>、创新点</w:t>
      </w:r>
      <w:r>
        <w:rPr>
          <w:rFonts w:ascii="仿宋_GB2312" w:eastAsia="仿宋_GB2312" w:hAnsi="宋体" w:hint="eastAsia"/>
          <w:sz w:val="32"/>
          <w:szCs w:val="32"/>
        </w:rPr>
        <w:t>确定</w:t>
      </w:r>
      <w:r>
        <w:rPr>
          <w:rFonts w:ascii="仿宋_GB2312" w:eastAsia="仿宋_GB2312" w:hAnsi="宋体"/>
          <w:sz w:val="32"/>
          <w:szCs w:val="32"/>
        </w:rPr>
        <w:t>为</w:t>
      </w:r>
      <w:r>
        <w:rPr>
          <w:rFonts w:ascii="仿宋_GB2312" w:eastAsia="仿宋_GB2312" w:hAnsi="宋体" w:hint="eastAsia"/>
          <w:sz w:val="32"/>
          <w:szCs w:val="32"/>
        </w:rPr>
        <w:t>：针对脓毒</w:t>
      </w:r>
      <w:proofErr w:type="gramStart"/>
      <w:r>
        <w:rPr>
          <w:rFonts w:ascii="仿宋_GB2312" w:eastAsia="仿宋_GB2312" w:hAnsi="宋体" w:hint="eastAsia"/>
          <w:sz w:val="32"/>
          <w:szCs w:val="32"/>
        </w:rPr>
        <w:t>症具体</w:t>
      </w:r>
      <w:proofErr w:type="gramEnd"/>
      <w:r>
        <w:rPr>
          <w:rFonts w:ascii="仿宋_GB2312" w:eastAsia="仿宋_GB2312" w:hAnsi="宋体" w:hint="eastAsia"/>
          <w:sz w:val="32"/>
          <w:szCs w:val="32"/>
        </w:rPr>
        <w:t>并发症状——</w:t>
      </w:r>
      <w:r w:rsidR="00AE34F4">
        <w:rPr>
          <w:rFonts w:ascii="仿宋_GB2312" w:eastAsia="仿宋_GB2312" w:hAnsi="宋体" w:hint="eastAsia"/>
          <w:sz w:val="32"/>
          <w:szCs w:val="32"/>
        </w:rPr>
        <w:t>心肌病</w:t>
      </w:r>
      <w:r>
        <w:rPr>
          <w:rFonts w:ascii="仿宋_GB2312" w:eastAsia="仿宋_GB2312" w:hAnsi="宋体" w:hint="eastAsia"/>
          <w:sz w:val="32"/>
          <w:szCs w:val="32"/>
        </w:rPr>
        <w:t>，基于中西医病机融通分析，明确在现代医学救治原则和措施的基础上，给予基于中西医病机融通的中医组方救治，区别于传统中医或西医针对脓毒症的诊疗，本标准更具针对性，且经临床实践应用降低病死率明显，能够显著改善预后。</w:t>
      </w:r>
      <w:r w:rsidR="00A46FCF">
        <w:rPr>
          <w:rFonts w:ascii="仿宋_GB2312" w:eastAsia="仿宋_GB2312" w:hAnsi="宋体" w:hint="eastAsia"/>
          <w:sz w:val="32"/>
          <w:szCs w:val="32"/>
        </w:rPr>
        <w:t>基于对心肌病</w:t>
      </w:r>
      <w:r w:rsidR="00A46FCF" w:rsidRPr="00A46FCF">
        <w:rPr>
          <w:rFonts w:ascii="仿宋_GB2312" w:eastAsia="仿宋_GB2312" w:hAnsi="宋体" w:hint="eastAsia"/>
          <w:sz w:val="32"/>
          <w:szCs w:val="32"/>
        </w:rPr>
        <w:t>中西医病机融通分析</w:t>
      </w:r>
      <w:r w:rsidR="00A46FCF">
        <w:rPr>
          <w:rFonts w:ascii="仿宋_GB2312" w:eastAsia="仿宋_GB2312" w:hAnsi="宋体" w:hint="eastAsia"/>
          <w:sz w:val="32"/>
          <w:szCs w:val="32"/>
        </w:rPr>
        <w:t>提出了对心肌病</w:t>
      </w:r>
      <w:r w:rsidR="00A46FCF" w:rsidRPr="00A46FCF">
        <w:rPr>
          <w:rFonts w:ascii="仿宋_GB2312" w:eastAsia="仿宋_GB2312" w:hAnsi="宋体" w:hint="eastAsia"/>
          <w:sz w:val="32"/>
          <w:szCs w:val="32"/>
        </w:rPr>
        <w:t>中西医病机融通的中医救治</w:t>
      </w:r>
      <w:r w:rsidR="00A46FCF">
        <w:rPr>
          <w:rFonts w:ascii="仿宋_GB2312" w:eastAsia="仿宋_GB2312" w:hAnsi="宋体" w:hint="eastAsia"/>
          <w:sz w:val="32"/>
          <w:szCs w:val="32"/>
        </w:rPr>
        <w:t>：治法</w:t>
      </w:r>
      <w:r w:rsidR="00A46FCF" w:rsidRPr="00A46FCF">
        <w:rPr>
          <w:rFonts w:ascii="仿宋_GB2312" w:eastAsia="仿宋_GB2312" w:hAnsi="宋体" w:hint="eastAsia"/>
          <w:sz w:val="32"/>
          <w:szCs w:val="32"/>
        </w:rPr>
        <w:t>开宣心</w:t>
      </w:r>
      <w:proofErr w:type="gramStart"/>
      <w:r w:rsidR="00A46FCF" w:rsidRPr="00A46FCF">
        <w:rPr>
          <w:rFonts w:ascii="仿宋_GB2312" w:eastAsia="仿宋_GB2312" w:hAnsi="宋体" w:hint="eastAsia"/>
          <w:sz w:val="32"/>
          <w:szCs w:val="32"/>
        </w:rPr>
        <w:t>痹</w:t>
      </w:r>
      <w:proofErr w:type="gramEnd"/>
      <w:r w:rsidR="00A46FCF" w:rsidRPr="00A46FCF">
        <w:rPr>
          <w:rFonts w:ascii="仿宋_GB2312" w:eastAsia="仿宋_GB2312" w:hAnsi="宋体" w:hint="eastAsia"/>
          <w:sz w:val="32"/>
          <w:szCs w:val="32"/>
        </w:rPr>
        <w:t>，益气通络、熄风清火、化</w:t>
      </w:r>
      <w:proofErr w:type="gramStart"/>
      <w:r w:rsidR="00A46FCF" w:rsidRPr="00A46FCF">
        <w:rPr>
          <w:rFonts w:ascii="仿宋_GB2312" w:eastAsia="仿宋_GB2312" w:hAnsi="宋体" w:hint="eastAsia"/>
          <w:sz w:val="32"/>
          <w:szCs w:val="32"/>
        </w:rPr>
        <w:t>瘀</w:t>
      </w:r>
      <w:proofErr w:type="gramEnd"/>
      <w:r w:rsidR="00A46FCF" w:rsidRPr="00A46FCF">
        <w:rPr>
          <w:rFonts w:ascii="仿宋_GB2312" w:eastAsia="仿宋_GB2312" w:hAnsi="宋体" w:hint="eastAsia"/>
          <w:sz w:val="32"/>
          <w:szCs w:val="32"/>
        </w:rPr>
        <w:t>利水</w:t>
      </w:r>
      <w:r w:rsidR="00A46FCF">
        <w:rPr>
          <w:rFonts w:ascii="仿宋_GB2312" w:eastAsia="仿宋_GB2312" w:hAnsi="宋体" w:hint="eastAsia"/>
          <w:sz w:val="32"/>
          <w:szCs w:val="32"/>
        </w:rPr>
        <w:t>。</w:t>
      </w:r>
      <w:r w:rsidR="00A46FCF" w:rsidRPr="00A46FCF">
        <w:rPr>
          <w:rFonts w:ascii="仿宋_GB2312" w:eastAsia="仿宋_GB2312" w:hAnsi="宋体" w:hint="eastAsia"/>
          <w:sz w:val="32"/>
          <w:szCs w:val="32"/>
        </w:rPr>
        <w:t>基于中西医病机融通的中医组方</w:t>
      </w:r>
      <w:r w:rsidR="00A46FCF">
        <w:rPr>
          <w:rFonts w:ascii="仿宋_GB2312" w:eastAsia="仿宋_GB2312" w:hAnsi="宋体" w:hint="eastAsia"/>
          <w:sz w:val="32"/>
          <w:szCs w:val="32"/>
        </w:rPr>
        <w:t>：</w:t>
      </w:r>
      <w:r w:rsidR="00A46FCF" w:rsidRPr="00A46FCF">
        <w:rPr>
          <w:rFonts w:ascii="仿宋_GB2312" w:eastAsia="仿宋_GB2312" w:hAnsi="宋体" w:hint="eastAsia"/>
          <w:sz w:val="32"/>
          <w:szCs w:val="32"/>
        </w:rPr>
        <w:t>选择宣重症心</w:t>
      </w:r>
      <w:proofErr w:type="gramStart"/>
      <w:r w:rsidR="00A46FCF" w:rsidRPr="00A46FCF">
        <w:rPr>
          <w:rFonts w:ascii="仿宋_GB2312" w:eastAsia="仿宋_GB2312" w:hAnsi="宋体" w:hint="eastAsia"/>
          <w:sz w:val="32"/>
          <w:szCs w:val="32"/>
        </w:rPr>
        <w:t>痹</w:t>
      </w:r>
      <w:proofErr w:type="gramEnd"/>
      <w:r w:rsidR="00A46FCF" w:rsidRPr="00A46FCF">
        <w:rPr>
          <w:rFonts w:ascii="仿宋_GB2312" w:eastAsia="仿宋_GB2312" w:hAnsi="宋体" w:hint="eastAsia"/>
          <w:sz w:val="32"/>
          <w:szCs w:val="32"/>
        </w:rPr>
        <w:t>方：旋覆花（包煎）、茜草、升麻、醋鳖甲、芍药、当归、细辛、通草、醋郁金、射干、紫菀、瓜</w:t>
      </w:r>
      <w:proofErr w:type="gramStart"/>
      <w:r w:rsidR="00A46FCF" w:rsidRPr="00A46FCF">
        <w:rPr>
          <w:rFonts w:ascii="仿宋_GB2312" w:eastAsia="仿宋_GB2312" w:hAnsi="宋体" w:hint="eastAsia"/>
          <w:sz w:val="32"/>
          <w:szCs w:val="32"/>
        </w:rPr>
        <w:t>蒌</w:t>
      </w:r>
      <w:proofErr w:type="gramEnd"/>
      <w:r w:rsidR="00A46FCF" w:rsidRPr="00A46FCF">
        <w:rPr>
          <w:rFonts w:ascii="仿宋_GB2312" w:eastAsia="仿宋_GB2312" w:hAnsi="宋体" w:hint="eastAsia"/>
          <w:sz w:val="32"/>
          <w:szCs w:val="32"/>
        </w:rPr>
        <w:t>、</w:t>
      </w:r>
      <w:proofErr w:type="gramStart"/>
      <w:r w:rsidR="00A46FCF" w:rsidRPr="00A46FCF">
        <w:rPr>
          <w:rFonts w:ascii="仿宋_GB2312" w:eastAsia="仿宋_GB2312" w:hAnsi="宋体" w:hint="eastAsia"/>
          <w:sz w:val="32"/>
          <w:szCs w:val="32"/>
        </w:rPr>
        <w:t>薤</w:t>
      </w:r>
      <w:proofErr w:type="gramEnd"/>
      <w:r w:rsidR="00A46FCF" w:rsidRPr="00A46FCF">
        <w:rPr>
          <w:rFonts w:ascii="仿宋_GB2312" w:eastAsia="仿宋_GB2312" w:hAnsi="宋体" w:hint="eastAsia"/>
          <w:sz w:val="32"/>
          <w:szCs w:val="32"/>
        </w:rPr>
        <w:t>白、桂枝、法半夏、枳实、猪心血丹参、檀香（后下）、砂仁（后下）、姜竹茹、桑白皮、地骨皮、制何首乌、丹皮、柴胡</w:t>
      </w:r>
      <w:r w:rsidR="00A46FCF">
        <w:rPr>
          <w:rFonts w:ascii="仿宋_GB2312" w:eastAsia="仿宋_GB2312" w:hAnsi="宋体" w:hint="eastAsia"/>
          <w:sz w:val="32"/>
          <w:szCs w:val="32"/>
        </w:rPr>
        <w:t>、</w:t>
      </w:r>
      <w:r w:rsidR="00A46FCF" w:rsidRPr="00A46FCF">
        <w:rPr>
          <w:rFonts w:ascii="仿宋_GB2312" w:eastAsia="仿宋_GB2312" w:hAnsi="宋体" w:hint="eastAsia"/>
          <w:sz w:val="32"/>
          <w:szCs w:val="32"/>
        </w:rPr>
        <w:t>淡竹叶、连翘。以旋</w:t>
      </w:r>
      <w:proofErr w:type="gramStart"/>
      <w:r w:rsidR="00A46FCF" w:rsidRPr="00A46FCF">
        <w:rPr>
          <w:rFonts w:ascii="仿宋_GB2312" w:eastAsia="仿宋_GB2312" w:hAnsi="宋体" w:hint="eastAsia"/>
          <w:sz w:val="32"/>
          <w:szCs w:val="32"/>
        </w:rPr>
        <w:t>覆花降气</w:t>
      </w:r>
      <w:proofErr w:type="gramEnd"/>
      <w:r w:rsidR="00A46FCF" w:rsidRPr="00A46FCF">
        <w:rPr>
          <w:rFonts w:ascii="仿宋_GB2312" w:eastAsia="仿宋_GB2312" w:hAnsi="宋体" w:hint="eastAsia"/>
          <w:sz w:val="32"/>
          <w:szCs w:val="32"/>
        </w:rPr>
        <w:t>化痰、茜草活血通经为主药，辅以升麻升阳举陷、醋鳖甲软坚散结，共奏理气活血、化痰散结之效。细辛、桂枝温通心阳，</w:t>
      </w:r>
      <w:proofErr w:type="gramStart"/>
      <w:r w:rsidR="00A46FCF" w:rsidRPr="00A46FCF">
        <w:rPr>
          <w:rFonts w:ascii="仿宋_GB2312" w:eastAsia="仿宋_GB2312" w:hAnsi="宋体" w:hint="eastAsia"/>
          <w:sz w:val="32"/>
          <w:szCs w:val="32"/>
        </w:rPr>
        <w:t>薤</w:t>
      </w:r>
      <w:proofErr w:type="gramEnd"/>
      <w:r w:rsidR="00A46FCF" w:rsidRPr="00A46FCF">
        <w:rPr>
          <w:rFonts w:ascii="仿宋_GB2312" w:eastAsia="仿宋_GB2312" w:hAnsi="宋体" w:hint="eastAsia"/>
          <w:sz w:val="32"/>
          <w:szCs w:val="32"/>
        </w:rPr>
        <w:t>白、瓜</w:t>
      </w:r>
      <w:proofErr w:type="gramStart"/>
      <w:r w:rsidR="00A46FCF" w:rsidRPr="00A46FCF">
        <w:rPr>
          <w:rFonts w:ascii="仿宋_GB2312" w:eastAsia="仿宋_GB2312" w:hAnsi="宋体" w:hint="eastAsia"/>
          <w:sz w:val="32"/>
          <w:szCs w:val="32"/>
        </w:rPr>
        <w:t>蒌</w:t>
      </w:r>
      <w:proofErr w:type="gramEnd"/>
      <w:r w:rsidR="00A46FCF" w:rsidRPr="00A46FCF">
        <w:rPr>
          <w:rFonts w:ascii="仿宋_GB2312" w:eastAsia="仿宋_GB2312" w:hAnsi="宋体" w:hint="eastAsia"/>
          <w:sz w:val="32"/>
          <w:szCs w:val="32"/>
        </w:rPr>
        <w:t>、法半夏宽胸化痰（仿瓜</w:t>
      </w:r>
      <w:proofErr w:type="gramStart"/>
      <w:r w:rsidR="00A46FCF" w:rsidRPr="00A46FCF">
        <w:rPr>
          <w:rFonts w:ascii="仿宋_GB2312" w:eastAsia="仿宋_GB2312" w:hAnsi="宋体" w:hint="eastAsia"/>
          <w:sz w:val="32"/>
          <w:szCs w:val="32"/>
        </w:rPr>
        <w:t>蒌薤</w:t>
      </w:r>
      <w:proofErr w:type="gramEnd"/>
      <w:r w:rsidR="00A46FCF" w:rsidRPr="00A46FCF">
        <w:rPr>
          <w:rFonts w:ascii="仿宋_GB2312" w:eastAsia="仿宋_GB2312" w:hAnsi="宋体" w:hint="eastAsia"/>
          <w:sz w:val="32"/>
          <w:szCs w:val="32"/>
        </w:rPr>
        <w:t>白半夏汤意），共治胸</w:t>
      </w:r>
      <w:proofErr w:type="gramStart"/>
      <w:r w:rsidR="00A46FCF" w:rsidRPr="00A46FCF">
        <w:rPr>
          <w:rFonts w:ascii="仿宋_GB2312" w:eastAsia="仿宋_GB2312" w:hAnsi="宋体" w:hint="eastAsia"/>
          <w:sz w:val="32"/>
          <w:szCs w:val="32"/>
        </w:rPr>
        <w:t>痹</w:t>
      </w:r>
      <w:proofErr w:type="gramEnd"/>
      <w:r w:rsidR="00A46FCF" w:rsidRPr="00A46FCF">
        <w:rPr>
          <w:rFonts w:ascii="仿宋_GB2312" w:eastAsia="仿宋_GB2312" w:hAnsi="宋体" w:hint="eastAsia"/>
          <w:sz w:val="32"/>
          <w:szCs w:val="32"/>
        </w:rPr>
        <w:t>气滞痰阻。丹参、檀</w:t>
      </w:r>
      <w:r w:rsidR="00A46FCF" w:rsidRPr="00A46FCF">
        <w:rPr>
          <w:rFonts w:ascii="仿宋_GB2312" w:eastAsia="仿宋_GB2312" w:hAnsi="宋体" w:hint="eastAsia"/>
          <w:sz w:val="32"/>
          <w:szCs w:val="32"/>
        </w:rPr>
        <w:lastRenderedPageBreak/>
        <w:t>香、砂仁（丹参饮）活血行气，治心胃疼痛。桑白皮、地骨皮清肺降火，竹茹、连翘、淡竹叶清热化痰，兼顾上焦郁热。紫菀、射干宣肺利咽，通草通利水道，制何首乌、丹皮益肾凉血，</w:t>
      </w:r>
      <w:proofErr w:type="gramStart"/>
      <w:r w:rsidR="00A46FCF" w:rsidRPr="00A46FCF">
        <w:rPr>
          <w:rFonts w:ascii="仿宋_GB2312" w:eastAsia="仿宋_GB2312" w:hAnsi="宋体" w:hint="eastAsia"/>
          <w:sz w:val="32"/>
          <w:szCs w:val="32"/>
        </w:rPr>
        <w:t>防温燥</w:t>
      </w:r>
      <w:proofErr w:type="gramEnd"/>
      <w:r w:rsidR="00A46FCF" w:rsidRPr="00A46FCF">
        <w:rPr>
          <w:rFonts w:ascii="仿宋_GB2312" w:eastAsia="仿宋_GB2312" w:hAnsi="宋体" w:hint="eastAsia"/>
          <w:sz w:val="32"/>
          <w:szCs w:val="32"/>
        </w:rPr>
        <w:t>伤阴。全方兼顾气血痰</w:t>
      </w:r>
      <w:proofErr w:type="gramStart"/>
      <w:r w:rsidR="00A46FCF" w:rsidRPr="00A46FCF">
        <w:rPr>
          <w:rFonts w:ascii="仿宋_GB2312" w:eastAsia="仿宋_GB2312" w:hAnsi="宋体" w:hint="eastAsia"/>
          <w:sz w:val="32"/>
          <w:szCs w:val="32"/>
        </w:rPr>
        <w:t>瘀</w:t>
      </w:r>
      <w:proofErr w:type="gramEnd"/>
      <w:r w:rsidR="00A46FCF" w:rsidRPr="00A46FCF">
        <w:rPr>
          <w:rFonts w:ascii="仿宋_GB2312" w:eastAsia="仿宋_GB2312" w:hAnsi="宋体" w:hint="eastAsia"/>
          <w:sz w:val="32"/>
          <w:szCs w:val="32"/>
        </w:rPr>
        <w:t>，共奏宽胸化痰、活血通络、调和气血之效，适用于胸</w:t>
      </w:r>
      <w:proofErr w:type="gramStart"/>
      <w:r w:rsidR="00A46FCF" w:rsidRPr="00A46FCF">
        <w:rPr>
          <w:rFonts w:ascii="仿宋_GB2312" w:eastAsia="仿宋_GB2312" w:hAnsi="宋体" w:hint="eastAsia"/>
          <w:sz w:val="32"/>
          <w:szCs w:val="32"/>
        </w:rPr>
        <w:t>痹</w:t>
      </w:r>
      <w:proofErr w:type="gramEnd"/>
      <w:r w:rsidR="00A46FCF" w:rsidRPr="00A46FCF">
        <w:rPr>
          <w:rFonts w:ascii="仿宋_GB2312" w:eastAsia="仿宋_GB2312" w:hAnsi="宋体" w:hint="eastAsia"/>
          <w:sz w:val="32"/>
          <w:szCs w:val="32"/>
        </w:rPr>
        <w:t>心痛、痰</w:t>
      </w:r>
      <w:proofErr w:type="gramStart"/>
      <w:r w:rsidR="00A46FCF" w:rsidRPr="00A46FCF">
        <w:rPr>
          <w:rFonts w:ascii="仿宋_GB2312" w:eastAsia="仿宋_GB2312" w:hAnsi="宋体" w:hint="eastAsia"/>
          <w:sz w:val="32"/>
          <w:szCs w:val="32"/>
        </w:rPr>
        <w:t>瘀</w:t>
      </w:r>
      <w:proofErr w:type="gramEnd"/>
      <w:r w:rsidR="00A46FCF" w:rsidRPr="00A46FCF">
        <w:rPr>
          <w:rFonts w:ascii="仿宋_GB2312" w:eastAsia="仿宋_GB2312" w:hAnsi="宋体" w:hint="eastAsia"/>
          <w:sz w:val="32"/>
          <w:szCs w:val="32"/>
        </w:rPr>
        <w:t>互结兼气郁化热之证</w:t>
      </w:r>
      <w:r w:rsidR="00A46FCF">
        <w:rPr>
          <w:rFonts w:ascii="仿宋_GB2312" w:eastAsia="仿宋_GB2312" w:hAnsi="宋体" w:hint="eastAsia"/>
          <w:sz w:val="32"/>
          <w:szCs w:val="32"/>
        </w:rPr>
        <w:t>。</w:t>
      </w:r>
      <w:r>
        <w:rPr>
          <w:rFonts w:ascii="仿宋_GB2312" w:eastAsia="仿宋_GB2312" w:hAnsi="宋体" w:hint="eastAsia"/>
          <w:sz w:val="32"/>
          <w:szCs w:val="32"/>
        </w:rPr>
        <w:t>标准的主体内容确定为</w:t>
      </w:r>
      <w:bookmarkStart w:id="0" w:name="_Hlk132042510"/>
      <w:r>
        <w:rPr>
          <w:rFonts w:ascii="仿宋_GB2312" w:eastAsia="仿宋_GB2312" w:hAnsi="宋体" w:hint="eastAsia"/>
          <w:sz w:val="32"/>
          <w:szCs w:val="32"/>
        </w:rPr>
        <w:t>术语和定义、诊断、中西医病机融通救治、注意事项、不良反应处理</w:t>
      </w:r>
      <w:bookmarkEnd w:id="0"/>
      <w:r>
        <w:rPr>
          <w:rFonts w:ascii="仿宋_GB2312" w:eastAsia="仿宋_GB2312" w:hAnsi="宋体" w:hint="eastAsia"/>
          <w:sz w:val="32"/>
          <w:szCs w:val="32"/>
        </w:rPr>
        <w:t>。</w:t>
      </w:r>
    </w:p>
    <w:p w:rsidR="00CF506C" w:rsidRDefault="0010606C">
      <w:pPr>
        <w:numPr>
          <w:ilvl w:val="0"/>
          <w:numId w:val="8"/>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rsidR="00CF506C" w:rsidRDefault="0010606C">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1</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标准编制组通过</w:t>
      </w:r>
      <w:r>
        <w:rPr>
          <w:rFonts w:ascii="仿宋_GB2312" w:eastAsia="仿宋_GB2312" w:hAnsi="宋体" w:hint="eastAsia"/>
          <w:sz w:val="32"/>
          <w:szCs w:val="32"/>
        </w:rPr>
        <w:t>查阅了大量的国内外文献资料，对脓毒症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rsidR="00CF506C" w:rsidRDefault="0010606C">
      <w:pPr>
        <w:spacing w:line="560" w:lineRule="exact"/>
        <w:ind w:firstLineChars="200" w:firstLine="640"/>
        <w:rPr>
          <w:rFonts w:ascii="仿宋_GB2312" w:eastAsia="仿宋_GB2312" w:hAnsi="宋体"/>
          <w:color w:val="000000" w:themeColor="text1"/>
          <w:sz w:val="32"/>
          <w:szCs w:val="32"/>
        </w:rPr>
      </w:pPr>
      <w:bookmarkStart w:id="1" w:name="_Hlk132042443"/>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年</w:t>
      </w:r>
      <w:bookmarkEnd w:id="1"/>
      <w:r>
        <w:rPr>
          <w:rFonts w:ascii="仿宋_GB2312" w:eastAsia="仿宋_GB2312" w:hAnsi="宋体"/>
          <w:color w:val="000000" w:themeColor="text1"/>
          <w:sz w:val="32"/>
          <w:szCs w:val="32"/>
        </w:rPr>
        <w:t>2</w:t>
      </w:r>
      <w:r>
        <w:rPr>
          <w:rFonts w:ascii="仿宋_GB2312" w:eastAsia="仿宋_GB2312" w:hAnsi="宋体" w:hint="eastAsia"/>
          <w:color w:val="000000" w:themeColor="text1"/>
          <w:sz w:val="32"/>
          <w:szCs w:val="32"/>
        </w:rPr>
        <w:t>月～4，在前期工作的基础之上，通过理清逻辑脉络，整合已有参考资料中有关</w:t>
      </w:r>
      <w:r>
        <w:rPr>
          <w:rFonts w:ascii="仿宋_GB2312" w:eastAsia="仿宋_GB2312" w:hAnsi="宋体" w:hint="eastAsia"/>
          <w:sz w:val="32"/>
          <w:szCs w:val="32"/>
        </w:rPr>
        <w:t>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中西医病机融通救治的</w:t>
      </w:r>
      <w:r>
        <w:rPr>
          <w:rFonts w:ascii="仿宋_GB2312" w:eastAsia="仿宋_GB2312" w:hAnsi="宋体"/>
          <w:sz w:val="32"/>
          <w:szCs w:val="32"/>
        </w:rPr>
        <w:t>内容</w:t>
      </w:r>
      <w:r>
        <w:rPr>
          <w:rFonts w:ascii="仿宋_GB2312" w:eastAsia="仿宋_GB2312" w:hAnsi="宋体" w:hint="eastAsia"/>
          <w:color w:val="000000" w:themeColor="text1"/>
          <w:sz w:val="32"/>
          <w:szCs w:val="32"/>
        </w:rPr>
        <w:t>，并结合脓毒症</w:t>
      </w:r>
      <w:r w:rsidR="00AE34F4">
        <w:rPr>
          <w:rFonts w:ascii="仿宋_GB2312" w:eastAsia="仿宋_GB2312" w:hAnsi="宋体" w:hint="eastAsia"/>
          <w:color w:val="000000" w:themeColor="text1"/>
          <w:sz w:val="32"/>
          <w:szCs w:val="32"/>
        </w:rPr>
        <w:t>心肌病</w:t>
      </w:r>
      <w:r>
        <w:rPr>
          <w:rFonts w:ascii="仿宋_GB2312" w:eastAsia="仿宋_GB2312" w:hAnsi="宋体" w:hint="eastAsia"/>
          <w:color w:val="000000" w:themeColor="text1"/>
          <w:sz w:val="32"/>
          <w:szCs w:val="32"/>
        </w:rPr>
        <w:t>中西医病机融通救治实际要求的基础上，按照简化、统一等原则编制完成团体标准《脓毒症</w:t>
      </w:r>
      <w:r w:rsidR="00AE34F4">
        <w:rPr>
          <w:rFonts w:ascii="仿宋_GB2312" w:eastAsia="仿宋_GB2312" w:hAnsi="宋体" w:hint="eastAsia"/>
          <w:color w:val="000000" w:themeColor="text1"/>
          <w:sz w:val="32"/>
          <w:szCs w:val="32"/>
        </w:rPr>
        <w:t>心肌病</w:t>
      </w:r>
      <w:r>
        <w:rPr>
          <w:rFonts w:ascii="仿宋_GB2312" w:eastAsia="仿宋_GB2312" w:hAnsi="宋体" w:hint="eastAsia"/>
          <w:color w:val="000000" w:themeColor="text1"/>
          <w:sz w:val="32"/>
          <w:szCs w:val="32"/>
        </w:rPr>
        <w:t>中西医病机融通救治技术规范》（草案）。</w:t>
      </w:r>
    </w:p>
    <w:p w:rsidR="00CF506C" w:rsidRDefault="0010606C">
      <w:pPr>
        <w:spacing w:line="560" w:lineRule="exact"/>
        <w:ind w:firstLineChars="200" w:firstLine="640"/>
        <w:rPr>
          <w:rFonts w:ascii="仿宋_GB2312" w:eastAsia="仿宋_GB2312" w:hAnsi="仿宋"/>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5</w:t>
      </w:r>
      <w:r>
        <w:rPr>
          <w:rFonts w:ascii="仿宋_GB2312" w:eastAsia="仿宋_GB2312" w:hAnsi="宋体" w:hint="eastAsia"/>
          <w:color w:val="000000" w:themeColor="text1"/>
          <w:sz w:val="32"/>
          <w:szCs w:val="32"/>
        </w:rPr>
        <w:t>月</w:t>
      </w:r>
      <w:r>
        <w:rPr>
          <w:rFonts w:ascii="黑体" w:eastAsia="黑体" w:hAnsi="黑体" w:cs="仿宋_GB2312" w:hint="eastAsia"/>
          <w:sz w:val="32"/>
          <w:szCs w:val="32"/>
          <w:lang w:bidi="ar"/>
        </w:rPr>
        <w:t>～</w:t>
      </w:r>
      <w:r>
        <w:rPr>
          <w:rFonts w:ascii="仿宋_GB2312" w:eastAsia="仿宋_GB2312" w:hAnsi="宋体"/>
          <w:color w:val="000000" w:themeColor="text1"/>
          <w:sz w:val="32"/>
          <w:szCs w:val="32"/>
        </w:rPr>
        <w:t>12</w:t>
      </w:r>
      <w:r>
        <w:rPr>
          <w:rFonts w:ascii="仿宋_GB2312" w:eastAsia="仿宋_GB2312" w:hAnsi="宋体" w:hint="eastAsia"/>
          <w:color w:val="000000" w:themeColor="text1"/>
          <w:sz w:val="32"/>
          <w:szCs w:val="32"/>
        </w:rPr>
        <w:t>月，标准编制组</w:t>
      </w:r>
      <w:r>
        <w:rPr>
          <w:rFonts w:ascii="仿宋_GB2312" w:eastAsia="仿宋_GB2312" w:hAnsi="仿宋" w:hint="eastAsia"/>
          <w:sz w:val="32"/>
          <w:szCs w:val="32"/>
        </w:rPr>
        <w:t>组织广西中医药大学第一附属医院、</w:t>
      </w:r>
      <w:r>
        <w:rPr>
          <w:rFonts w:ascii="仿宋_GB2312" w:eastAsia="仿宋_GB2312" w:hAnsi="仿宋" w:hint="eastAsia"/>
          <w:bCs/>
          <w:sz w:val="32"/>
          <w:szCs w:val="32"/>
        </w:rPr>
        <w:t>玉林市中医医院、</w:t>
      </w:r>
      <w:r>
        <w:rPr>
          <w:rFonts w:ascii="仿宋_GB2312" w:eastAsia="仿宋_GB2312" w:hAnsi="仿宋"/>
          <w:bCs/>
          <w:sz w:val="32"/>
          <w:szCs w:val="32"/>
        </w:rPr>
        <w:t>柳州市工人医院</w:t>
      </w:r>
      <w:r>
        <w:rPr>
          <w:rFonts w:ascii="仿宋_GB2312" w:eastAsia="仿宋_GB2312" w:hAnsi="仿宋" w:hint="eastAsia"/>
          <w:sz w:val="32"/>
          <w:szCs w:val="32"/>
        </w:rPr>
        <w:t>等</w:t>
      </w:r>
      <w:r>
        <w:rPr>
          <w:rFonts w:ascii="仿宋_GB2312" w:eastAsia="仿宋_GB2312" w:hAnsi="仿宋"/>
          <w:sz w:val="32"/>
          <w:szCs w:val="32"/>
        </w:rPr>
        <w:t>单位</w:t>
      </w:r>
      <w:r>
        <w:rPr>
          <w:rFonts w:ascii="仿宋_GB2312" w:eastAsia="仿宋_GB2312" w:hAnsi="仿宋" w:hint="eastAsia"/>
          <w:sz w:val="32"/>
          <w:szCs w:val="32"/>
        </w:rPr>
        <w:t>多次召开标准研讨会，收集反馈了大量意见，掌握</w:t>
      </w:r>
      <w:r>
        <w:rPr>
          <w:rFonts w:ascii="仿宋_GB2312" w:eastAsia="仿宋_GB2312" w:hAnsi="宋体" w:hint="eastAsia"/>
          <w:sz w:val="32"/>
          <w:szCs w:val="32"/>
        </w:rPr>
        <w:t>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w:t>
      </w:r>
      <w:r>
        <w:rPr>
          <w:rFonts w:ascii="仿宋_GB2312" w:eastAsia="仿宋_GB2312" w:hAnsi="仿宋" w:hint="eastAsia"/>
          <w:sz w:val="32"/>
          <w:szCs w:val="32"/>
        </w:rPr>
        <w:t>的基本要求。标准编制组对标准草案进行了反复修改和研究讨论。最终形成</w:t>
      </w:r>
      <w:r>
        <w:rPr>
          <w:rFonts w:ascii="仿宋_GB2312" w:eastAsia="仿宋_GB2312" w:hAnsi="仿宋" w:hint="eastAsia"/>
          <w:color w:val="000000" w:themeColor="text1"/>
          <w:sz w:val="32"/>
          <w:szCs w:val="32"/>
        </w:rPr>
        <w:t>了</w:t>
      </w:r>
      <w:r>
        <w:rPr>
          <w:rFonts w:ascii="仿宋_GB2312" w:eastAsia="仿宋_GB2312" w:hAnsi="宋体" w:hint="eastAsia"/>
          <w:color w:val="000000" w:themeColor="text1"/>
          <w:sz w:val="32"/>
          <w:szCs w:val="32"/>
        </w:rPr>
        <w:t>团体标准《脓毒症</w:t>
      </w:r>
      <w:r w:rsidR="00AE34F4">
        <w:rPr>
          <w:rFonts w:ascii="仿宋_GB2312" w:eastAsia="仿宋_GB2312" w:hAnsi="宋体" w:hint="eastAsia"/>
          <w:color w:val="000000" w:themeColor="text1"/>
          <w:sz w:val="32"/>
          <w:szCs w:val="32"/>
        </w:rPr>
        <w:t>心肌病</w:t>
      </w:r>
      <w:r>
        <w:rPr>
          <w:rFonts w:ascii="仿宋_GB2312" w:eastAsia="仿宋_GB2312" w:hAnsi="宋体" w:hint="eastAsia"/>
          <w:color w:val="000000" w:themeColor="text1"/>
          <w:sz w:val="32"/>
          <w:szCs w:val="32"/>
        </w:rPr>
        <w:t>中西医病机融通救治技术规范》</w:t>
      </w:r>
      <w:r>
        <w:rPr>
          <w:rFonts w:ascii="仿宋_GB2312" w:eastAsia="仿宋_GB2312" w:hAnsi="仿宋" w:hint="eastAsia"/>
          <w:color w:val="000000" w:themeColor="text1"/>
          <w:sz w:val="32"/>
          <w:szCs w:val="32"/>
        </w:rPr>
        <w:t>（征求意见稿）及其编制说明</w:t>
      </w:r>
      <w:r>
        <w:rPr>
          <w:rFonts w:ascii="仿宋_GB2312" w:eastAsia="仿宋_GB2312" w:hAnsi="仿宋" w:hint="eastAsia"/>
          <w:sz w:val="32"/>
          <w:szCs w:val="32"/>
        </w:rPr>
        <w:t>。</w:t>
      </w:r>
      <w:bookmarkStart w:id="2" w:name="_Hlk137230187"/>
    </w:p>
    <w:p w:rsidR="00CF506C" w:rsidRDefault="0010606C">
      <w:pPr>
        <w:spacing w:line="560" w:lineRule="exact"/>
        <w:ind w:firstLineChars="200" w:firstLine="640"/>
        <w:outlineLvl w:val="0"/>
        <w:rPr>
          <w:rFonts w:ascii="黑体" w:eastAsia="黑体" w:hAnsi="黑体" w:cs="仿宋_GB2312"/>
          <w:sz w:val="32"/>
          <w:szCs w:val="32"/>
        </w:rPr>
      </w:pPr>
      <w:bookmarkStart w:id="3" w:name="_Toc526940083"/>
      <w:bookmarkEnd w:id="2"/>
      <w:r>
        <w:rPr>
          <w:rFonts w:ascii="黑体" w:eastAsia="黑体" w:hAnsi="黑体" w:cs="仿宋_GB2312" w:hint="eastAsia"/>
          <w:sz w:val="32"/>
          <w:szCs w:val="32"/>
        </w:rPr>
        <w:lastRenderedPageBreak/>
        <w:t>四、</w:t>
      </w:r>
      <w:bookmarkEnd w:id="3"/>
      <w:r>
        <w:rPr>
          <w:rFonts w:ascii="黑体" w:eastAsia="黑体" w:hAnsi="黑体" w:cs="仿宋_GB2312" w:hint="eastAsia"/>
          <w:sz w:val="32"/>
          <w:szCs w:val="32"/>
        </w:rPr>
        <w:t>制定标准的原则和依据，与现行法律、法规的关系，与有关国家标准、行业标准的协调情况</w:t>
      </w:r>
    </w:p>
    <w:p w:rsidR="00CF506C" w:rsidRDefault="0010606C">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Pr>
          <w:rFonts w:eastAsia="楷体"/>
          <w:b/>
          <w:bCs/>
          <w:kern w:val="0"/>
          <w:sz w:val="32"/>
          <w:szCs w:val="32"/>
        </w:rPr>
        <w:t>（一）</w:t>
      </w:r>
      <w:r>
        <w:rPr>
          <w:rFonts w:eastAsia="楷体" w:hint="eastAsia"/>
          <w:b/>
          <w:bCs/>
          <w:kern w:val="0"/>
          <w:sz w:val="32"/>
          <w:szCs w:val="32"/>
        </w:rPr>
        <w:t>编制原则</w:t>
      </w:r>
    </w:p>
    <w:p w:rsidR="00CF506C" w:rsidRDefault="0010606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1.实用性原则</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中西医病机融通救治相关内容的基础上，结合多年经验而总结起草的。符合当前脓毒症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中西医病机融通救治的需要，有利于行业的长远发展，具有较强的实用性和可操作性。</w:t>
      </w:r>
    </w:p>
    <w:p w:rsidR="00CF506C" w:rsidRDefault="0010606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2.协调性原则</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中西医病机融通救治相关法律法规的协调问题，在内容上与现行法律法规、标准协调一致。</w:t>
      </w:r>
    </w:p>
    <w:p w:rsidR="00CF506C" w:rsidRDefault="0010606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3.规范性原则</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本文件严格按照GB/T 1.1—2020《标准化工作导则 第1部分：标准化文件的结构和起草规则》的要求和规定编写本标准的内容，保证标准的编写质量。</w:t>
      </w:r>
    </w:p>
    <w:p w:rsidR="00CF506C" w:rsidRDefault="0010606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4.前瞻性原则</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本文件在兼顾当前脓毒症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中西医病机融通救治现实情况的同时，还考虑到了脓毒症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中西医病机融通救治快速发展的趋势和需要，在标准中体现了个别特色性、前瞻性和先进性条款，作为对开展脓毒症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中西医病机融通救治的指导。</w:t>
      </w:r>
    </w:p>
    <w:p w:rsidR="00CF506C" w:rsidRDefault="0010606C">
      <w:pPr>
        <w:tabs>
          <w:tab w:val="center" w:pos="4201"/>
          <w:tab w:val="right" w:leader="dot" w:pos="9298"/>
        </w:tabs>
        <w:autoSpaceDE w:val="0"/>
        <w:autoSpaceDN w:val="0"/>
        <w:spacing w:line="560" w:lineRule="exact"/>
        <w:ind w:firstLineChars="200" w:firstLine="643"/>
        <w:outlineLvl w:val="1"/>
        <w:rPr>
          <w:rFonts w:ascii="仿宋_GB2312" w:eastAsia="仿宋_GB2312" w:hAnsi="仿宋"/>
          <w:sz w:val="32"/>
          <w:szCs w:val="32"/>
        </w:rPr>
      </w:pPr>
      <w:r>
        <w:rPr>
          <w:rFonts w:eastAsia="楷体" w:hint="eastAsia"/>
          <w:b/>
          <w:bCs/>
          <w:kern w:val="0"/>
          <w:sz w:val="32"/>
          <w:szCs w:val="32"/>
        </w:rPr>
        <w:t>（二）与现行法律、法规的关系，与有关国家标准、行</w:t>
      </w:r>
      <w:r>
        <w:rPr>
          <w:rFonts w:eastAsia="楷体" w:hint="eastAsia"/>
          <w:b/>
          <w:bCs/>
          <w:kern w:val="0"/>
          <w:sz w:val="32"/>
          <w:szCs w:val="32"/>
        </w:rPr>
        <w:lastRenderedPageBreak/>
        <w:t>业标准的协调情况</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仿宋" w:hint="eastAsia"/>
          <w:sz w:val="32"/>
          <w:szCs w:val="32"/>
        </w:rPr>
        <w:t>本标准的内容与现行的法律、法规及强制性标准无冲突，</w:t>
      </w:r>
      <w:r>
        <w:rPr>
          <w:rFonts w:ascii="仿宋_GB2312" w:eastAsia="仿宋_GB2312" w:hAnsi="宋体" w:hint="eastAsia"/>
          <w:sz w:val="32"/>
          <w:szCs w:val="32"/>
        </w:rPr>
        <w:t>标准的编写符合GB/T 1.1—2020的要求。</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经查阅，目前国内尚无关于脓毒性</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中西医病机融通救治技术的标准。</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与“</w:t>
      </w:r>
      <w:r>
        <w:rPr>
          <w:rFonts w:ascii="仿宋_GB2312" w:eastAsia="仿宋_GB2312" w:hAnsi="宋体"/>
          <w:sz w:val="32"/>
          <w:szCs w:val="32"/>
        </w:rPr>
        <w:t>脓毒症</w:t>
      </w:r>
      <w:r>
        <w:rPr>
          <w:rFonts w:ascii="仿宋_GB2312" w:eastAsia="仿宋_GB2312" w:hAnsi="宋体" w:hint="eastAsia"/>
          <w:sz w:val="32"/>
          <w:szCs w:val="32"/>
        </w:rPr>
        <w:t>”</w:t>
      </w:r>
      <w:r>
        <w:rPr>
          <w:rFonts w:ascii="仿宋_GB2312" w:eastAsia="仿宋_GB2312" w:hAnsi="宋体"/>
          <w:sz w:val="32"/>
          <w:szCs w:val="32"/>
        </w:rPr>
        <w:t>相关的标准有：</w:t>
      </w:r>
      <w:r>
        <w:rPr>
          <w:rFonts w:ascii="仿宋_GB2312" w:eastAsia="仿宋_GB2312" w:hAnsi="宋体" w:hint="eastAsia"/>
          <w:sz w:val="32"/>
          <w:szCs w:val="32"/>
        </w:rPr>
        <w:t>T/CRHA 022—2023《脓毒症诊断与治疗规范》、T/CACM 1270—2019《中医内科临床诊疗指南 脓毒症》、T/CACM 012—2017《中医药单用/联合抗生素治疗常见感染性疾病临床实践指南 脓毒症》，但上述</w:t>
      </w:r>
      <w:r>
        <w:rPr>
          <w:rFonts w:ascii="仿宋_GB2312" w:eastAsia="仿宋_GB2312" w:hAnsi="宋体"/>
          <w:sz w:val="32"/>
          <w:szCs w:val="32"/>
        </w:rPr>
        <w:t>标准</w:t>
      </w:r>
      <w:r>
        <w:rPr>
          <w:rFonts w:ascii="仿宋_GB2312" w:eastAsia="仿宋_GB2312" w:hAnsi="宋体" w:hint="eastAsia"/>
          <w:sz w:val="32"/>
          <w:szCs w:val="32"/>
        </w:rPr>
        <w:t>并非具体治疗脓毒症</w:t>
      </w:r>
      <w:r w:rsidR="00AE34F4">
        <w:rPr>
          <w:rFonts w:ascii="仿宋_GB2312" w:eastAsia="仿宋_GB2312" w:hAnsi="宋体" w:hint="eastAsia"/>
          <w:sz w:val="32"/>
          <w:szCs w:val="32"/>
        </w:rPr>
        <w:t>心肌病</w:t>
      </w:r>
      <w:r>
        <w:rPr>
          <w:rFonts w:ascii="仿宋_GB2312" w:eastAsia="仿宋_GB2312" w:hAnsi="宋体" w:hint="eastAsia"/>
          <w:sz w:val="32"/>
          <w:szCs w:val="32"/>
        </w:rPr>
        <w:t>并发症，也未涉及</w:t>
      </w:r>
      <w:r>
        <w:rPr>
          <w:rFonts w:ascii="仿宋_GB2312" w:eastAsia="仿宋_GB2312" w:hAnsi="宋体"/>
          <w:sz w:val="32"/>
          <w:szCs w:val="32"/>
        </w:rPr>
        <w:t>中西医技术</w:t>
      </w:r>
      <w:r>
        <w:rPr>
          <w:rFonts w:ascii="仿宋_GB2312" w:eastAsia="仿宋_GB2312" w:hAnsi="宋体" w:hint="eastAsia"/>
          <w:sz w:val="32"/>
          <w:szCs w:val="32"/>
        </w:rPr>
        <w:t>联合应有。</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广西未制定有团体标准《脓毒症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中西医病机融通救治技术规范》。</w:t>
      </w:r>
    </w:p>
    <w:p w:rsidR="00CF506C" w:rsidRDefault="0010606C">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五、主要条款的说明，主要技术指标、参数、试验验证的论述</w:t>
      </w:r>
    </w:p>
    <w:p w:rsidR="00CF506C" w:rsidRDefault="0010606C">
      <w:pPr>
        <w:spacing w:line="560" w:lineRule="exact"/>
        <w:ind w:firstLineChars="200" w:firstLine="640"/>
        <w:rPr>
          <w:rFonts w:ascii="仿宋_GB2312" w:eastAsia="仿宋_GB2312" w:hAnsi="宋体"/>
          <w:color w:val="FF0000"/>
          <w:sz w:val="32"/>
          <w:szCs w:val="32"/>
        </w:rPr>
      </w:pPr>
      <w:r>
        <w:rPr>
          <w:rFonts w:ascii="仿宋_GB2312" w:eastAsia="仿宋_GB2312" w:hAnsi="宋体" w:hint="eastAsia"/>
          <w:sz w:val="32"/>
          <w:szCs w:val="32"/>
        </w:rPr>
        <w:t>本标准主要章节内容包括术语和定义、诊断、中西医病机融通救治、注意事项、不良反应处理。标准编制组在脓毒症救治方面已积累了10年工作经验，掌握了中西医</w:t>
      </w:r>
      <w:proofErr w:type="gramStart"/>
      <w:r>
        <w:rPr>
          <w:rFonts w:ascii="仿宋_GB2312" w:eastAsia="仿宋_GB2312" w:hAnsi="宋体" w:hint="eastAsia"/>
          <w:sz w:val="32"/>
          <w:szCs w:val="32"/>
        </w:rPr>
        <w:t>病机融对脓毒</w:t>
      </w:r>
      <w:proofErr w:type="gramEnd"/>
      <w:r>
        <w:rPr>
          <w:rFonts w:ascii="仿宋_GB2312" w:eastAsia="仿宋_GB2312" w:hAnsi="宋体" w:hint="eastAsia"/>
          <w:sz w:val="32"/>
          <w:szCs w:val="32"/>
        </w:rPr>
        <w:t>症进行中医组方治疗等危急重症救治技术，平均治愈率91.86％。标准编制组前期应用文献研究和德尔菲法专家共识的研究方法，建立实用性强、公认度高且操作方便的《基于西医病理机理与中医病机相融合救治脓毒症的中医组方模型》，推广应用于脓毒症及其并发症的中西医协同组方，以期降低病死率，改善预后。现已在区内20家医疗机构得到应</w:t>
      </w:r>
      <w:r>
        <w:rPr>
          <w:rFonts w:ascii="仿宋_GB2312" w:eastAsia="仿宋_GB2312" w:hAnsi="宋体" w:hint="eastAsia"/>
          <w:sz w:val="32"/>
          <w:szCs w:val="32"/>
        </w:rPr>
        <w:lastRenderedPageBreak/>
        <w:t>用，147家医疗机构宣传推广，并获得众多医疗机构及行业专家好评。标准编制组前期丰富的临床及实践情况，为本标准条款要求的确定奠定了坚实基础，本标准具体依据来源说明如下：</w:t>
      </w:r>
    </w:p>
    <w:p w:rsidR="00CF506C" w:rsidRDefault="0010606C">
      <w:pPr>
        <w:numPr>
          <w:ilvl w:val="0"/>
          <w:numId w:val="9"/>
        </w:numPr>
        <w:spacing w:line="560" w:lineRule="exact"/>
        <w:rPr>
          <w:rFonts w:ascii="楷体" w:eastAsia="楷体" w:hAnsi="楷体"/>
          <w:b/>
          <w:sz w:val="32"/>
          <w:szCs w:val="32"/>
        </w:rPr>
      </w:pPr>
      <w:r>
        <w:rPr>
          <w:rFonts w:ascii="楷体" w:eastAsia="楷体" w:hAnsi="楷体" w:hint="eastAsia"/>
          <w:b/>
          <w:sz w:val="32"/>
          <w:szCs w:val="32"/>
        </w:rPr>
        <w:t>术语和定义</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根据</w:t>
      </w:r>
      <w:r>
        <w:rPr>
          <w:rFonts w:ascii="仿宋_GB2312" w:eastAsia="仿宋_GB2312" w:hAnsi="宋体"/>
          <w:sz w:val="32"/>
          <w:szCs w:val="32"/>
        </w:rPr>
        <w:t>标准编制组</w:t>
      </w:r>
      <w:r>
        <w:rPr>
          <w:rFonts w:ascii="仿宋_GB2312" w:eastAsia="仿宋_GB2312" w:hAnsi="宋体" w:hint="eastAsia"/>
          <w:sz w:val="32"/>
          <w:szCs w:val="32"/>
        </w:rPr>
        <w:t>前期</w:t>
      </w:r>
      <w:r>
        <w:rPr>
          <w:rFonts w:ascii="仿宋_GB2312" w:eastAsia="仿宋_GB2312" w:hAnsi="宋体"/>
          <w:sz w:val="32"/>
          <w:szCs w:val="32"/>
        </w:rPr>
        <w:t>开展的</w:t>
      </w:r>
      <w:r>
        <w:rPr>
          <w:rFonts w:ascii="仿宋_GB2312" w:eastAsia="仿宋_GB2312" w:hAnsi="宋体" w:hint="eastAsia"/>
          <w:sz w:val="32"/>
          <w:szCs w:val="32"/>
        </w:rPr>
        <w:t>《从“五痹”切入探讨危急重症的中西医病机融通与组方思路</w:t>
      </w:r>
      <w:r>
        <w:rPr>
          <w:rFonts w:ascii="仿宋_GB2312" w:eastAsia="仿宋_GB2312" w:hAnsi="宋体"/>
          <w:sz w:val="32"/>
          <w:szCs w:val="32"/>
        </w:rPr>
        <w:t>》等相关研究，明确了</w:t>
      </w:r>
      <w:r>
        <w:rPr>
          <w:rFonts w:ascii="仿宋_GB2312" w:eastAsia="仿宋_GB2312" w:hAnsi="宋体"/>
          <w:sz w:val="32"/>
          <w:szCs w:val="32"/>
        </w:rPr>
        <w:t>“</w:t>
      </w:r>
      <w:r>
        <w:rPr>
          <w:rFonts w:ascii="仿宋_GB2312" w:eastAsia="仿宋_GB2312" w:hAnsi="宋体" w:hint="eastAsia"/>
          <w:sz w:val="32"/>
          <w:szCs w:val="32"/>
        </w:rPr>
        <w:t>中西医病机融通</w:t>
      </w:r>
      <w:r>
        <w:rPr>
          <w:rFonts w:ascii="仿宋_GB2312" w:eastAsia="仿宋_GB2312" w:hAnsi="宋体"/>
          <w:sz w:val="32"/>
          <w:szCs w:val="32"/>
        </w:rPr>
        <w:t>”</w:t>
      </w:r>
      <w:r>
        <w:rPr>
          <w:rFonts w:ascii="仿宋_GB2312" w:eastAsia="仿宋_GB2312" w:hAnsi="宋体" w:hint="eastAsia"/>
          <w:sz w:val="32"/>
          <w:szCs w:val="32"/>
        </w:rPr>
        <w:t>的</w:t>
      </w:r>
      <w:r>
        <w:rPr>
          <w:rFonts w:ascii="仿宋_GB2312" w:eastAsia="仿宋_GB2312" w:hAnsi="宋体"/>
          <w:sz w:val="32"/>
          <w:szCs w:val="32"/>
        </w:rPr>
        <w:t>定义为：</w:t>
      </w:r>
      <w:r>
        <w:rPr>
          <w:rFonts w:ascii="仿宋_GB2312" w:eastAsia="仿宋_GB2312" w:hAnsi="宋体" w:hint="eastAsia"/>
          <w:sz w:val="32"/>
          <w:szCs w:val="32"/>
        </w:rPr>
        <w:t>基于西医疾病的病理生理变化、病理机理、症状体征及理化检查的认识，应用中医理论分析其病因、归纳其证候，诠释中医病机的演变规律，以达到中西医病机互通的目的，科学指导中医辨证论治。</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根据T/CRHA 022—2023《脓毒症诊断与治疗规范》</w:t>
      </w:r>
      <w:r>
        <w:rPr>
          <w:rFonts w:ascii="仿宋_GB2312" w:eastAsia="仿宋_GB2312" w:hAnsi="宋体"/>
          <w:sz w:val="32"/>
          <w:szCs w:val="32"/>
        </w:rPr>
        <w:t>明确了</w:t>
      </w:r>
      <w:r>
        <w:rPr>
          <w:rFonts w:ascii="仿宋_GB2312" w:eastAsia="仿宋_GB2312" w:hAnsi="宋体"/>
          <w:sz w:val="32"/>
          <w:szCs w:val="32"/>
        </w:rPr>
        <w:t>“</w:t>
      </w:r>
      <w:r>
        <w:rPr>
          <w:rFonts w:ascii="仿宋_GB2312" w:eastAsia="仿宋_GB2312" w:hAnsi="宋体" w:hint="eastAsia"/>
          <w:sz w:val="32"/>
          <w:szCs w:val="32"/>
        </w:rPr>
        <w:t>脓毒症</w:t>
      </w:r>
      <w:r>
        <w:rPr>
          <w:rFonts w:ascii="仿宋_GB2312" w:eastAsia="仿宋_GB2312" w:hAnsi="宋体"/>
          <w:sz w:val="32"/>
          <w:szCs w:val="32"/>
        </w:rPr>
        <w:t>”</w:t>
      </w:r>
      <w:r>
        <w:rPr>
          <w:rFonts w:ascii="仿宋_GB2312" w:eastAsia="仿宋_GB2312" w:hAnsi="宋体" w:hint="eastAsia"/>
          <w:sz w:val="32"/>
          <w:szCs w:val="32"/>
        </w:rPr>
        <w:t>的</w:t>
      </w:r>
      <w:r>
        <w:rPr>
          <w:rFonts w:ascii="仿宋_GB2312" w:eastAsia="仿宋_GB2312" w:hAnsi="宋体"/>
          <w:sz w:val="32"/>
          <w:szCs w:val="32"/>
        </w:rPr>
        <w:t>定义为：</w:t>
      </w:r>
      <w:r>
        <w:rPr>
          <w:rFonts w:ascii="仿宋_GB2312" w:eastAsia="仿宋_GB2312" w:hAnsi="宋体" w:hint="eastAsia"/>
          <w:sz w:val="32"/>
          <w:szCs w:val="32"/>
        </w:rPr>
        <w:t>因感染引起的宿主反应失调导致的危及生命的器官功能障碍。</w:t>
      </w:r>
    </w:p>
    <w:p w:rsidR="00CF506C" w:rsidRDefault="0010606C">
      <w:pPr>
        <w:jc w:val="center"/>
        <w:rPr>
          <w:rFonts w:ascii="仿宋_GB2312" w:eastAsia="仿宋_GB2312" w:hAnsi="宋体"/>
          <w:sz w:val="32"/>
          <w:szCs w:val="32"/>
        </w:rPr>
      </w:pPr>
      <w:r>
        <w:rPr>
          <w:rFonts w:ascii="仿宋_GB2312" w:eastAsia="仿宋_GB2312" w:hAnsi="宋体" w:hint="eastAsia"/>
          <w:noProof/>
          <w:sz w:val="32"/>
          <w:szCs w:val="32"/>
        </w:rPr>
        <w:drawing>
          <wp:inline distT="0" distB="0" distL="0" distR="0">
            <wp:extent cx="4132580" cy="854710"/>
            <wp:effectExtent l="19050" t="19050" r="20320" b="21590"/>
            <wp:docPr id="2" name="图片 2" descr="C:\Users\Administrator\Desktop\微信截图_20241225094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Desktop\微信截图_2024122509411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132580" cy="854710"/>
                    </a:xfrm>
                    <a:prstGeom prst="rect">
                      <a:avLst/>
                    </a:prstGeom>
                    <a:noFill/>
                    <a:ln>
                      <a:solidFill>
                        <a:schemeClr val="tx1"/>
                      </a:solidFill>
                    </a:ln>
                  </pic:spPr>
                </pic:pic>
              </a:graphicData>
            </a:graphic>
          </wp:inline>
        </w:drawing>
      </w:r>
    </w:p>
    <w:p w:rsidR="00CF506C" w:rsidRDefault="0010606C">
      <w:pPr>
        <w:jc w:val="center"/>
        <w:rPr>
          <w:rFonts w:ascii="黑体" w:eastAsia="黑体" w:hAnsi="黑体"/>
          <w:sz w:val="24"/>
        </w:rPr>
      </w:pPr>
      <w:r>
        <w:rPr>
          <w:rFonts w:ascii="黑体" w:eastAsia="黑体" w:hAnsi="黑体" w:hint="eastAsia"/>
          <w:sz w:val="24"/>
        </w:rPr>
        <w:t>来源</w:t>
      </w:r>
      <w:r>
        <w:rPr>
          <w:rFonts w:ascii="黑体" w:eastAsia="黑体" w:hAnsi="黑体"/>
          <w:sz w:val="24"/>
        </w:rPr>
        <w:t>：</w:t>
      </w:r>
      <w:r>
        <w:rPr>
          <w:rFonts w:ascii="黑体" w:eastAsia="黑体" w:hAnsi="黑体" w:hint="eastAsia"/>
          <w:sz w:val="24"/>
        </w:rPr>
        <w:t>T/CRHA 022—2023《脓毒症诊断与治疗规范》</w:t>
      </w:r>
    </w:p>
    <w:p w:rsidR="00BC34BC" w:rsidRDefault="0010606C" w:rsidP="00BC34B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根据</w:t>
      </w:r>
      <w:r>
        <w:rPr>
          <w:rFonts w:ascii="仿宋_GB2312" w:eastAsia="仿宋_GB2312" w:hAnsi="宋体"/>
          <w:sz w:val="32"/>
          <w:szCs w:val="32"/>
        </w:rPr>
        <w:t>标准编制组</w:t>
      </w:r>
      <w:r>
        <w:rPr>
          <w:rFonts w:ascii="仿宋_GB2312" w:eastAsia="仿宋_GB2312" w:hAnsi="宋体" w:hint="eastAsia"/>
          <w:sz w:val="32"/>
          <w:szCs w:val="32"/>
        </w:rPr>
        <w:t>前期</w:t>
      </w:r>
      <w:r>
        <w:rPr>
          <w:rFonts w:ascii="仿宋_GB2312" w:eastAsia="仿宋_GB2312" w:hAnsi="宋体"/>
          <w:sz w:val="32"/>
          <w:szCs w:val="32"/>
        </w:rPr>
        <w:t>开展的相关研究</w:t>
      </w:r>
      <w:r>
        <w:rPr>
          <w:rFonts w:ascii="仿宋_GB2312" w:eastAsia="仿宋_GB2312" w:hAnsi="宋体" w:hint="eastAsia"/>
          <w:sz w:val="32"/>
          <w:szCs w:val="32"/>
        </w:rPr>
        <w:t>，</w:t>
      </w:r>
      <w:r>
        <w:rPr>
          <w:rFonts w:ascii="仿宋_GB2312" w:eastAsia="仿宋_GB2312" w:hAnsi="宋体"/>
          <w:sz w:val="32"/>
          <w:szCs w:val="32"/>
        </w:rPr>
        <w:t>明确了</w:t>
      </w:r>
      <w:r>
        <w:rPr>
          <w:rFonts w:ascii="仿宋_GB2312" w:eastAsia="仿宋_GB2312" w:hAnsi="宋体"/>
          <w:sz w:val="32"/>
          <w:szCs w:val="32"/>
        </w:rPr>
        <w:t>“</w:t>
      </w:r>
      <w:r>
        <w:rPr>
          <w:rFonts w:ascii="仿宋_GB2312" w:eastAsia="仿宋_GB2312" w:hAnsi="宋体" w:hint="eastAsia"/>
          <w:sz w:val="32"/>
          <w:szCs w:val="32"/>
        </w:rPr>
        <w:t>脓毒症</w:t>
      </w:r>
      <w:r w:rsidR="00AE34F4">
        <w:rPr>
          <w:rFonts w:ascii="仿宋_GB2312" w:eastAsia="仿宋_GB2312" w:hAnsi="宋体" w:hint="eastAsia"/>
          <w:sz w:val="32"/>
          <w:szCs w:val="32"/>
        </w:rPr>
        <w:t>心肌病</w:t>
      </w:r>
      <w:r>
        <w:rPr>
          <w:rFonts w:ascii="仿宋_GB2312" w:eastAsia="仿宋_GB2312" w:hAnsi="宋体"/>
          <w:sz w:val="32"/>
          <w:szCs w:val="32"/>
        </w:rPr>
        <w:t>”</w:t>
      </w:r>
      <w:r>
        <w:rPr>
          <w:rFonts w:ascii="仿宋_GB2312" w:eastAsia="仿宋_GB2312" w:hAnsi="宋体" w:hint="eastAsia"/>
          <w:sz w:val="32"/>
          <w:szCs w:val="32"/>
        </w:rPr>
        <w:t>的</w:t>
      </w:r>
      <w:r>
        <w:rPr>
          <w:rFonts w:ascii="仿宋_GB2312" w:eastAsia="仿宋_GB2312" w:hAnsi="宋体"/>
          <w:sz w:val="32"/>
          <w:szCs w:val="32"/>
        </w:rPr>
        <w:t>定义为：</w:t>
      </w:r>
      <w:r w:rsidR="00BC34BC" w:rsidRPr="00BC34BC">
        <w:rPr>
          <w:rFonts w:ascii="仿宋_GB2312" w:eastAsia="仿宋_GB2312" w:hAnsi="宋体" w:hint="eastAsia"/>
          <w:sz w:val="32"/>
          <w:szCs w:val="32"/>
        </w:rPr>
        <w:t>由脓毒症引发的全身性感染及炎症反应过程中，因过度炎症因子释放、氧化应激、微循环障碍、线粒体功能障碍及心肌细胞代谢紊乱等机制，导致心肌细胞结构或功能损害的一种病理状态。</w:t>
      </w:r>
      <w:r w:rsidR="00BC34BC">
        <w:rPr>
          <w:rFonts w:ascii="仿宋_GB2312" w:eastAsia="仿宋_GB2312" w:hAnsi="宋体" w:hint="eastAsia"/>
          <w:sz w:val="32"/>
          <w:szCs w:val="32"/>
        </w:rPr>
        <w:t>“</w:t>
      </w:r>
      <w:r w:rsidR="00BC34BC" w:rsidRPr="00BC34BC">
        <w:rPr>
          <w:rFonts w:ascii="仿宋_GB2312" w:eastAsia="仿宋_GB2312" w:hAnsi="宋体" w:hint="eastAsia"/>
          <w:sz w:val="32"/>
          <w:szCs w:val="32"/>
        </w:rPr>
        <w:t>心痹” 的定义为：由于因外邪侵袭、情志内伤、脏腑失调等导致心脉闭阻，气血运行不畅，从而引起心悸、突发气逆喘息、咽干、频繁嗳气，甚</w:t>
      </w:r>
      <w:r w:rsidR="00BC34BC" w:rsidRPr="00BC34BC">
        <w:rPr>
          <w:rFonts w:ascii="仿宋_GB2312" w:eastAsia="仿宋_GB2312" w:hAnsi="宋体" w:hint="eastAsia"/>
          <w:sz w:val="32"/>
          <w:szCs w:val="32"/>
        </w:rPr>
        <w:lastRenderedPageBreak/>
        <w:t>则气机上逆引发惊恐；或伴胸中积气、纳食受阻的一种病症</w:t>
      </w:r>
      <w:r w:rsidR="00BC34BC">
        <w:rPr>
          <w:rFonts w:ascii="仿宋_GB2312" w:eastAsia="仿宋_GB2312" w:hAnsi="宋体" w:hint="eastAsia"/>
          <w:sz w:val="32"/>
          <w:szCs w:val="32"/>
        </w:rPr>
        <w:t>。</w:t>
      </w:r>
    </w:p>
    <w:p w:rsidR="00CF506C" w:rsidRDefault="0010606C">
      <w:pPr>
        <w:pStyle w:val="aff7"/>
        <w:numPr>
          <w:ilvl w:val="0"/>
          <w:numId w:val="9"/>
        </w:numPr>
        <w:ind w:firstLineChars="0"/>
        <w:rPr>
          <w:rFonts w:ascii="楷体" w:eastAsia="楷体" w:hAnsi="楷体"/>
          <w:b/>
          <w:sz w:val="32"/>
          <w:szCs w:val="32"/>
        </w:rPr>
      </w:pPr>
      <w:r>
        <w:rPr>
          <w:rFonts w:ascii="楷体" w:eastAsia="楷体" w:hAnsi="楷体" w:hint="eastAsia"/>
          <w:b/>
          <w:sz w:val="32"/>
          <w:szCs w:val="32"/>
        </w:rPr>
        <w:t>诊断</w:t>
      </w:r>
    </w:p>
    <w:p w:rsidR="00CF506C" w:rsidRDefault="0010606C">
      <w:pPr>
        <w:spacing w:line="560" w:lineRule="exact"/>
        <w:ind w:firstLineChars="200" w:firstLine="643"/>
        <w:rPr>
          <w:rFonts w:ascii="仿宋_GB2312" w:eastAsia="仿宋_GB2312" w:hAnsi="宋体"/>
          <w:sz w:val="32"/>
          <w:szCs w:val="32"/>
        </w:rPr>
      </w:pPr>
      <w:r>
        <w:rPr>
          <w:rFonts w:ascii="仿宋_GB2312" w:eastAsia="仿宋_GB2312" w:hAnsi="宋体" w:hint="eastAsia"/>
          <w:b/>
          <w:sz w:val="32"/>
          <w:szCs w:val="32"/>
        </w:rPr>
        <w:t>西医诊断</w:t>
      </w:r>
      <w:r>
        <w:rPr>
          <w:rFonts w:ascii="仿宋_GB2312" w:eastAsia="仿宋_GB2312" w:hAnsi="宋体"/>
          <w:sz w:val="32"/>
          <w:szCs w:val="32"/>
        </w:rPr>
        <w:t>根据</w:t>
      </w:r>
      <w:r>
        <w:rPr>
          <w:rFonts w:ascii="仿宋_GB2312" w:eastAsia="仿宋_GB2312" w:hAnsi="宋体" w:hint="eastAsia"/>
          <w:sz w:val="32"/>
          <w:szCs w:val="32"/>
        </w:rPr>
        <w:t>《中国脓毒症/脓毒性休克急诊治疗指南(2018)》《脓毒症中西医结合诊治专家共识》，</w:t>
      </w:r>
      <w:r>
        <w:rPr>
          <w:rFonts w:ascii="仿宋_GB2312" w:eastAsia="仿宋_GB2312" w:hAnsi="宋体"/>
          <w:sz w:val="32"/>
          <w:szCs w:val="32"/>
        </w:rPr>
        <w:t>明确了</w:t>
      </w:r>
      <w:r>
        <w:rPr>
          <w:rFonts w:ascii="仿宋_GB2312" w:eastAsia="仿宋_GB2312" w:hAnsi="宋体" w:hint="eastAsia"/>
          <w:sz w:val="32"/>
          <w:szCs w:val="32"/>
        </w:rPr>
        <w:t>脓毒症及脓毒症</w:t>
      </w:r>
      <w:r w:rsidR="00AE34F4">
        <w:rPr>
          <w:rFonts w:ascii="仿宋_GB2312" w:eastAsia="仿宋_GB2312" w:hAnsi="宋体" w:hint="eastAsia"/>
          <w:sz w:val="32"/>
          <w:szCs w:val="32"/>
        </w:rPr>
        <w:t>心肌病</w:t>
      </w:r>
      <w:r>
        <w:rPr>
          <w:rFonts w:ascii="仿宋_GB2312" w:eastAsia="仿宋_GB2312" w:hAnsi="宋体" w:hint="eastAsia"/>
          <w:sz w:val="32"/>
          <w:szCs w:val="32"/>
        </w:rPr>
        <w:t>的</w:t>
      </w:r>
      <w:r>
        <w:rPr>
          <w:rFonts w:ascii="仿宋_GB2312" w:eastAsia="仿宋_GB2312" w:hAnsi="宋体"/>
          <w:sz w:val="32"/>
          <w:szCs w:val="32"/>
        </w:rPr>
        <w:t>诊断条件</w:t>
      </w:r>
      <w:r>
        <w:rPr>
          <w:rFonts w:ascii="仿宋_GB2312" w:eastAsia="仿宋_GB2312" w:hAnsi="宋体" w:hint="eastAsia"/>
          <w:sz w:val="32"/>
          <w:szCs w:val="32"/>
        </w:rPr>
        <w:t>。</w:t>
      </w:r>
    </w:p>
    <w:p w:rsidR="00BC34BC" w:rsidRDefault="00710BB4" w:rsidP="00BC34B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参考《</w:t>
      </w:r>
      <w:r w:rsidRPr="00710BB4">
        <w:rPr>
          <w:rFonts w:ascii="仿宋_GB2312" w:eastAsia="仿宋_GB2312" w:hAnsi="宋体" w:hint="eastAsia"/>
          <w:sz w:val="32"/>
          <w:szCs w:val="32"/>
        </w:rPr>
        <w:t>脓毒性心肌病中西医结合诊治专家共识》</w:t>
      </w:r>
      <w:r w:rsidR="00BC34BC" w:rsidRPr="00BC34BC">
        <w:rPr>
          <w:rFonts w:ascii="仿宋_GB2312" w:eastAsia="仿宋_GB2312" w:hAnsi="宋体" w:hint="eastAsia"/>
          <w:sz w:val="32"/>
          <w:szCs w:val="32"/>
        </w:rPr>
        <w:t>在脓毒症的基础上，满足以下条件之一，诊断为脓毒症心肌病</w:t>
      </w:r>
      <w:r w:rsidR="0010606C">
        <w:rPr>
          <w:rFonts w:ascii="仿宋_GB2312" w:eastAsia="仿宋_GB2312" w:hAnsi="宋体" w:hint="eastAsia"/>
          <w:sz w:val="32"/>
          <w:szCs w:val="32"/>
        </w:rPr>
        <w:t>：</w:t>
      </w:r>
    </w:p>
    <w:p w:rsidR="00BC34BC" w:rsidRPr="00BC34BC" w:rsidRDefault="00BC34BC" w:rsidP="00BC34BC">
      <w:pPr>
        <w:spacing w:line="560" w:lineRule="exact"/>
        <w:ind w:firstLineChars="200" w:firstLine="640"/>
        <w:rPr>
          <w:rFonts w:ascii="仿宋_GB2312" w:eastAsia="仿宋_GB2312" w:hAnsi="宋体"/>
          <w:sz w:val="32"/>
          <w:szCs w:val="32"/>
        </w:rPr>
      </w:pPr>
      <w:r w:rsidRPr="00BC34BC">
        <w:rPr>
          <w:rFonts w:ascii="仿宋_GB2312" w:eastAsia="仿宋_GB2312" w:hAnsi="宋体" w:hint="eastAsia"/>
          <w:sz w:val="32"/>
          <w:szCs w:val="32"/>
        </w:rPr>
        <w:t>a)</w:t>
      </w:r>
      <w:r w:rsidRPr="00BC34BC">
        <w:rPr>
          <w:rFonts w:ascii="仿宋_GB2312" w:eastAsia="仿宋_GB2312" w:hAnsi="宋体" w:hint="eastAsia"/>
          <w:sz w:val="32"/>
          <w:szCs w:val="32"/>
        </w:rPr>
        <w:tab/>
        <w:t>表现为急性全心功能障碍（收缩/舒张性），对液体复苏及儿茶酚胺反应差；</w:t>
      </w:r>
    </w:p>
    <w:p w:rsidR="00BC34BC" w:rsidRPr="00BC34BC" w:rsidRDefault="00BC34BC" w:rsidP="00BC34BC">
      <w:pPr>
        <w:spacing w:line="560" w:lineRule="exact"/>
        <w:ind w:firstLineChars="200" w:firstLine="640"/>
        <w:rPr>
          <w:rFonts w:ascii="仿宋_GB2312" w:eastAsia="仿宋_GB2312" w:hAnsi="宋体"/>
          <w:sz w:val="32"/>
          <w:szCs w:val="32"/>
        </w:rPr>
      </w:pPr>
      <w:r w:rsidRPr="00BC34BC">
        <w:rPr>
          <w:rFonts w:ascii="仿宋_GB2312" w:eastAsia="仿宋_GB2312" w:hAnsi="宋体" w:hint="eastAsia"/>
          <w:sz w:val="32"/>
          <w:szCs w:val="32"/>
        </w:rPr>
        <w:t>b)</w:t>
      </w:r>
      <w:r w:rsidRPr="00BC34BC">
        <w:rPr>
          <w:rFonts w:ascii="仿宋_GB2312" w:eastAsia="仿宋_GB2312" w:hAnsi="宋体" w:hint="eastAsia"/>
          <w:sz w:val="32"/>
          <w:szCs w:val="32"/>
        </w:rPr>
        <w:tab/>
        <w:t>心电图无特异性，常见窦速、房颤；</w:t>
      </w:r>
    </w:p>
    <w:p w:rsidR="00BC34BC" w:rsidRPr="00BC34BC" w:rsidRDefault="00BC34BC" w:rsidP="00BC34BC">
      <w:pPr>
        <w:spacing w:line="560" w:lineRule="exact"/>
        <w:ind w:firstLineChars="200" w:firstLine="640"/>
        <w:rPr>
          <w:rFonts w:ascii="仿宋_GB2312" w:eastAsia="仿宋_GB2312" w:hAnsi="宋体"/>
          <w:sz w:val="32"/>
          <w:szCs w:val="32"/>
        </w:rPr>
      </w:pPr>
      <w:r w:rsidRPr="00BC34BC">
        <w:rPr>
          <w:rFonts w:ascii="仿宋_GB2312" w:eastAsia="仿宋_GB2312" w:hAnsi="宋体" w:hint="eastAsia"/>
          <w:sz w:val="32"/>
          <w:szCs w:val="32"/>
        </w:rPr>
        <w:t>c)</w:t>
      </w:r>
      <w:r w:rsidRPr="00BC34BC">
        <w:rPr>
          <w:rFonts w:ascii="仿宋_GB2312" w:eastAsia="仿宋_GB2312" w:hAnsi="宋体" w:hint="eastAsia"/>
          <w:sz w:val="32"/>
          <w:szCs w:val="32"/>
        </w:rPr>
        <w:tab/>
        <w:t>超声心动图提示心脏收缩和/或舒张功能不全、心脏扩张、EF降低＜50％，需鉴别心包积液、ACS、左室流出通道梗阻等；</w:t>
      </w:r>
    </w:p>
    <w:p w:rsidR="00CF506C" w:rsidRDefault="00BC34BC" w:rsidP="00BC34BC">
      <w:pPr>
        <w:spacing w:line="560" w:lineRule="exact"/>
        <w:ind w:firstLineChars="200" w:firstLine="640"/>
        <w:rPr>
          <w:rFonts w:ascii="仿宋_GB2312" w:eastAsia="仿宋_GB2312" w:hAnsi="宋体"/>
          <w:sz w:val="32"/>
          <w:szCs w:val="32"/>
        </w:rPr>
      </w:pPr>
      <w:r w:rsidRPr="00BC34BC">
        <w:rPr>
          <w:rFonts w:ascii="仿宋_GB2312" w:eastAsia="仿宋_GB2312" w:hAnsi="宋体" w:hint="eastAsia"/>
          <w:sz w:val="32"/>
          <w:szCs w:val="32"/>
        </w:rPr>
        <w:t>d)</w:t>
      </w:r>
      <w:r w:rsidRPr="00BC34BC">
        <w:rPr>
          <w:rFonts w:ascii="仿宋_GB2312" w:eastAsia="仿宋_GB2312" w:hAnsi="宋体" w:hint="eastAsia"/>
          <w:sz w:val="32"/>
          <w:szCs w:val="32"/>
        </w:rPr>
        <w:tab/>
        <w:t>心肌标志物cTnI 及 BNP（或 NT-proBNP）异常升高</w:t>
      </w:r>
      <w:r w:rsidR="0010606C">
        <w:rPr>
          <w:rFonts w:ascii="仿宋_GB2312" w:eastAsia="仿宋_GB2312" w:hAnsi="宋体" w:hint="eastAsia"/>
          <w:sz w:val="32"/>
          <w:szCs w:val="32"/>
        </w:rPr>
        <w:t>。</w:t>
      </w:r>
    </w:p>
    <w:p w:rsidR="00710BB4" w:rsidRPr="00710BB4" w:rsidRDefault="0010606C" w:rsidP="00710BB4">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脓毒症</w:t>
      </w:r>
      <w:r w:rsidR="00AE34F4">
        <w:rPr>
          <w:rFonts w:ascii="仿宋_GB2312" w:eastAsia="仿宋_GB2312" w:hAnsi="宋体" w:hint="eastAsia"/>
          <w:sz w:val="32"/>
          <w:szCs w:val="32"/>
        </w:rPr>
        <w:t>心肌病</w:t>
      </w:r>
      <w:r w:rsidR="00710BB4" w:rsidRPr="00710BB4">
        <w:rPr>
          <w:rFonts w:ascii="仿宋_GB2312" w:eastAsia="仿宋_GB2312" w:hAnsi="宋体" w:hint="eastAsia"/>
          <w:sz w:val="32"/>
          <w:szCs w:val="32"/>
        </w:rPr>
        <w:t>参考《黄帝内经》《金匮要略》等典籍，结合“</w:t>
      </w:r>
      <w:proofErr w:type="gramStart"/>
      <w:r w:rsidR="00710BB4" w:rsidRPr="00710BB4">
        <w:rPr>
          <w:rFonts w:ascii="仿宋_GB2312" w:eastAsia="仿宋_GB2312" w:hAnsi="宋体" w:hint="eastAsia"/>
          <w:sz w:val="32"/>
          <w:szCs w:val="32"/>
        </w:rPr>
        <w:t>痹</w:t>
      </w:r>
      <w:proofErr w:type="gramEnd"/>
      <w:r w:rsidR="00710BB4" w:rsidRPr="00710BB4">
        <w:rPr>
          <w:rFonts w:ascii="仿宋_GB2312" w:eastAsia="仿宋_GB2312" w:hAnsi="宋体" w:hint="eastAsia"/>
          <w:sz w:val="32"/>
          <w:szCs w:val="32"/>
        </w:rPr>
        <w:t>证日久，内舍其合”的病机演变规律，阐明外邪侵袭、心脉</w:t>
      </w:r>
      <w:proofErr w:type="gramStart"/>
      <w:r w:rsidR="00710BB4" w:rsidRPr="00710BB4">
        <w:rPr>
          <w:rFonts w:ascii="仿宋_GB2312" w:eastAsia="仿宋_GB2312" w:hAnsi="宋体" w:hint="eastAsia"/>
          <w:sz w:val="32"/>
          <w:szCs w:val="32"/>
        </w:rPr>
        <w:t>痹</w:t>
      </w:r>
      <w:proofErr w:type="gramEnd"/>
      <w:r w:rsidR="00710BB4" w:rsidRPr="00710BB4">
        <w:rPr>
          <w:rFonts w:ascii="仿宋_GB2312" w:eastAsia="仿宋_GB2312" w:hAnsi="宋体" w:hint="eastAsia"/>
          <w:sz w:val="32"/>
          <w:szCs w:val="32"/>
        </w:rPr>
        <w:t>阻的病理过程。依据临床常见表现，总结心</w:t>
      </w:r>
      <w:proofErr w:type="gramStart"/>
      <w:r w:rsidR="00710BB4" w:rsidRPr="00710BB4">
        <w:rPr>
          <w:rFonts w:ascii="仿宋_GB2312" w:eastAsia="仿宋_GB2312" w:hAnsi="宋体" w:hint="eastAsia"/>
          <w:sz w:val="32"/>
          <w:szCs w:val="32"/>
        </w:rPr>
        <w:t>痹</w:t>
      </w:r>
      <w:proofErr w:type="gramEnd"/>
      <w:r w:rsidR="00710BB4" w:rsidRPr="00710BB4">
        <w:rPr>
          <w:rFonts w:ascii="仿宋_GB2312" w:eastAsia="仿宋_GB2312" w:hAnsi="宋体" w:hint="eastAsia"/>
          <w:sz w:val="32"/>
          <w:szCs w:val="32"/>
        </w:rPr>
        <w:t>的核心症状（如心悸、胸痛）及伴随症状（如情志异常、气机失调），并分析其病机关联。结合舌脉特征，提出分型及治疗方向，以“通补兼施”为原则，兼顾祛邪与扶正。</w:t>
      </w:r>
    </w:p>
    <w:p w:rsidR="00CF506C" w:rsidRDefault="0010606C">
      <w:pPr>
        <w:pStyle w:val="aff7"/>
        <w:numPr>
          <w:ilvl w:val="0"/>
          <w:numId w:val="9"/>
        </w:numPr>
        <w:ind w:firstLineChars="0"/>
        <w:rPr>
          <w:rFonts w:ascii="楷体" w:eastAsia="楷体" w:hAnsi="楷体"/>
          <w:b/>
          <w:sz w:val="32"/>
          <w:szCs w:val="32"/>
        </w:rPr>
      </w:pPr>
      <w:r>
        <w:rPr>
          <w:rFonts w:ascii="楷体" w:eastAsia="楷体" w:hAnsi="楷体" w:hint="eastAsia"/>
          <w:b/>
          <w:sz w:val="32"/>
          <w:szCs w:val="32"/>
        </w:rPr>
        <w:t>中西医病机融通救治</w:t>
      </w:r>
    </w:p>
    <w:p w:rsidR="00CF506C" w:rsidRDefault="0010606C">
      <w:pPr>
        <w:spacing w:line="560" w:lineRule="exact"/>
        <w:ind w:firstLineChars="200" w:firstLine="643"/>
        <w:rPr>
          <w:rFonts w:ascii="仿宋_GB2312" w:eastAsia="仿宋_GB2312" w:hAnsi="宋体"/>
          <w:b/>
          <w:sz w:val="32"/>
          <w:szCs w:val="32"/>
        </w:rPr>
      </w:pPr>
      <w:r>
        <w:rPr>
          <w:rFonts w:ascii="仿宋_GB2312" w:eastAsia="仿宋_GB2312" w:hAnsi="宋体" w:hint="eastAsia"/>
          <w:b/>
          <w:sz w:val="32"/>
          <w:szCs w:val="32"/>
        </w:rPr>
        <w:t>3</w:t>
      </w:r>
      <w:r>
        <w:rPr>
          <w:rFonts w:ascii="仿宋_GB2312" w:eastAsia="仿宋_GB2312" w:hAnsi="宋体"/>
          <w:b/>
          <w:sz w:val="32"/>
          <w:szCs w:val="32"/>
        </w:rPr>
        <w:t>.1</w:t>
      </w:r>
      <w:r>
        <w:rPr>
          <w:rFonts w:ascii="仿宋_GB2312" w:eastAsia="仿宋_GB2312" w:hAnsi="宋体" w:hint="eastAsia"/>
          <w:b/>
          <w:sz w:val="32"/>
          <w:szCs w:val="32"/>
        </w:rPr>
        <w:t>中西医病机融通分析</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标准编制组基于“中西医病机融通”对脓毒症进行中医</w:t>
      </w:r>
      <w:r>
        <w:rPr>
          <w:rFonts w:ascii="仿宋_GB2312" w:eastAsia="仿宋_GB2312" w:hAnsi="宋体" w:hint="eastAsia"/>
          <w:sz w:val="32"/>
          <w:szCs w:val="32"/>
        </w:rPr>
        <w:lastRenderedPageBreak/>
        <w:t>组方治疗的经验，并结合开展的《从“五痹”切入探讨危急重症的中西医病机融通与组方思路》等相关研究，明确了中西医病机融通的分析。</w:t>
      </w:r>
    </w:p>
    <w:p w:rsidR="00CF506C" w:rsidRDefault="0010606C">
      <w:pPr>
        <w:spacing w:line="560" w:lineRule="exact"/>
        <w:ind w:firstLineChars="200" w:firstLine="643"/>
        <w:rPr>
          <w:rFonts w:ascii="仿宋_GB2312" w:eastAsia="仿宋_GB2312" w:hAnsi="宋体"/>
          <w:b/>
          <w:sz w:val="32"/>
          <w:szCs w:val="32"/>
        </w:rPr>
      </w:pPr>
      <w:r>
        <w:rPr>
          <w:rFonts w:ascii="仿宋_GB2312" w:eastAsia="仿宋_GB2312" w:hAnsi="宋体" w:hint="eastAsia"/>
          <w:b/>
          <w:sz w:val="32"/>
          <w:szCs w:val="32"/>
        </w:rPr>
        <w:t>3.2中西医病机融通救治方法</w:t>
      </w:r>
    </w:p>
    <w:p w:rsidR="00CF506C" w:rsidRDefault="0010606C">
      <w:pPr>
        <w:spacing w:line="560" w:lineRule="exact"/>
        <w:ind w:firstLineChars="200" w:firstLine="643"/>
        <w:rPr>
          <w:rFonts w:ascii="仿宋_GB2312" w:eastAsia="仿宋_GB2312" w:hAnsi="宋体"/>
          <w:b/>
          <w:sz w:val="32"/>
          <w:szCs w:val="32"/>
        </w:rPr>
      </w:pPr>
      <w:r>
        <w:rPr>
          <w:rFonts w:ascii="仿宋_GB2312" w:eastAsia="仿宋_GB2312" w:hAnsi="宋体" w:hint="eastAsia"/>
          <w:b/>
          <w:sz w:val="32"/>
          <w:szCs w:val="32"/>
        </w:rPr>
        <w:t>3.2.1救治原则</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基于中西医病机融通分析，明确在现代医学救治原则和措施的基础上，给予基于中西医病机融通的中医组方救治。</w:t>
      </w:r>
    </w:p>
    <w:p w:rsidR="00CF506C" w:rsidRDefault="0010606C">
      <w:pPr>
        <w:spacing w:line="560" w:lineRule="exact"/>
        <w:ind w:firstLineChars="200" w:firstLine="643"/>
        <w:rPr>
          <w:rFonts w:ascii="仿宋_GB2312" w:eastAsia="仿宋_GB2312" w:hAnsi="宋体"/>
          <w:b/>
          <w:sz w:val="32"/>
          <w:szCs w:val="32"/>
        </w:rPr>
      </w:pPr>
      <w:r>
        <w:rPr>
          <w:rFonts w:ascii="仿宋_GB2312" w:eastAsia="仿宋_GB2312" w:hAnsi="宋体" w:hint="eastAsia"/>
          <w:b/>
          <w:sz w:val="32"/>
          <w:szCs w:val="32"/>
        </w:rPr>
        <w:t>3.2.2西医救治</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根据《</w:t>
      </w:r>
      <w:r w:rsidR="000F3A5A" w:rsidRPr="000F3A5A">
        <w:rPr>
          <w:rFonts w:ascii="仿宋_GB2312" w:eastAsia="仿宋_GB2312" w:hAnsi="宋体" w:hint="eastAsia"/>
          <w:sz w:val="32"/>
          <w:szCs w:val="32"/>
        </w:rPr>
        <w:t>脓毒症中西医结合诊治专家共识</w:t>
      </w:r>
      <w:r>
        <w:rPr>
          <w:rFonts w:ascii="仿宋_GB2312" w:eastAsia="仿宋_GB2312" w:hAnsi="宋体" w:hint="eastAsia"/>
          <w:sz w:val="32"/>
          <w:szCs w:val="32"/>
        </w:rPr>
        <w:t>》《</w:t>
      </w:r>
      <w:r w:rsidR="000F3A5A" w:rsidRPr="000F3A5A">
        <w:rPr>
          <w:rFonts w:ascii="仿宋_GB2312" w:eastAsia="仿宋_GB2312" w:hAnsi="宋体" w:hint="eastAsia"/>
          <w:sz w:val="32"/>
          <w:szCs w:val="32"/>
        </w:rPr>
        <w:t>脓毒性心肌病中西医结合诊治专家共识》</w:t>
      </w:r>
      <w:r>
        <w:rPr>
          <w:rFonts w:ascii="仿宋_GB2312" w:eastAsia="仿宋_GB2312" w:hAnsi="宋体"/>
          <w:sz w:val="32"/>
          <w:szCs w:val="32"/>
        </w:rPr>
        <w:t>明确</w:t>
      </w:r>
      <w:r>
        <w:rPr>
          <w:rFonts w:ascii="仿宋_GB2312" w:eastAsia="仿宋_GB2312" w:hAnsi="宋体" w:hint="eastAsia"/>
          <w:sz w:val="32"/>
          <w:szCs w:val="32"/>
        </w:rPr>
        <w:t>了控制感染源的要求快速明确感染部位、致病菌和尽早清除感染</w:t>
      </w:r>
      <w:proofErr w:type="gramStart"/>
      <w:r>
        <w:rPr>
          <w:rFonts w:ascii="仿宋_GB2312" w:eastAsia="仿宋_GB2312" w:hAnsi="宋体" w:hint="eastAsia"/>
          <w:sz w:val="32"/>
          <w:szCs w:val="32"/>
        </w:rPr>
        <w:t>灶或者感染灶充分</w:t>
      </w:r>
      <w:proofErr w:type="gramEnd"/>
      <w:r>
        <w:rPr>
          <w:rFonts w:ascii="仿宋_GB2312" w:eastAsia="仿宋_GB2312" w:hAnsi="宋体" w:hint="eastAsia"/>
          <w:sz w:val="32"/>
          <w:szCs w:val="32"/>
        </w:rPr>
        <w:t>引流。如皮肤软组织感染坏死感染应行清创术；脓肿或感染性积液应充分引流等，因为强调 “快速明确感染源、尽早控制感染灶” 是脓毒症救治的关键措施，感染灶的彻底清除或引流可显著降低病死率。其次明确了抗感染治疗的要求确诊脓毒症后应根据感染部位及可疑微生物，尽早启动经验性治疗，使用覆盖可能病原菌的抗菌药物。使用抗菌药物前，应留取相应部位病原学标本。获取微生物检查结果后应转为目标治疗，因为经验性抗感染治疗应基于感染部位、当地病原菌流行病学及耐药情况。微生物学检查是优化抗菌治疗的基础。</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还针对</w:t>
      </w:r>
      <w:r w:rsidR="00175A21" w:rsidRPr="00175A21">
        <w:rPr>
          <w:rFonts w:ascii="仿宋_GB2312" w:eastAsia="仿宋_GB2312" w:hAnsi="宋体" w:hint="eastAsia"/>
          <w:sz w:val="32"/>
          <w:szCs w:val="32"/>
        </w:rPr>
        <w:t>心肌靶</w:t>
      </w:r>
      <w:proofErr w:type="gramStart"/>
      <w:r w:rsidR="00175A21" w:rsidRPr="00175A21">
        <w:rPr>
          <w:rFonts w:ascii="仿宋_GB2312" w:eastAsia="仿宋_GB2312" w:hAnsi="宋体" w:hint="eastAsia"/>
          <w:sz w:val="32"/>
          <w:szCs w:val="32"/>
        </w:rPr>
        <w:t>向治疗</w:t>
      </w:r>
      <w:proofErr w:type="gramEnd"/>
      <w:r>
        <w:rPr>
          <w:rFonts w:ascii="仿宋_GB2312" w:eastAsia="仿宋_GB2312" w:hAnsi="宋体" w:hint="eastAsia"/>
          <w:sz w:val="32"/>
          <w:szCs w:val="32"/>
        </w:rPr>
        <w:t>提出了要求，包括</w:t>
      </w:r>
      <w:r w:rsidR="00175A21">
        <w:rPr>
          <w:rFonts w:ascii="仿宋_GB2312" w:eastAsia="仿宋_GB2312" w:hAnsi="宋体" w:hint="eastAsia"/>
          <w:sz w:val="32"/>
          <w:szCs w:val="32"/>
        </w:rPr>
        <w:t>药物和非药物治疗</w:t>
      </w:r>
      <w:r>
        <w:rPr>
          <w:rFonts w:ascii="仿宋_GB2312" w:eastAsia="仿宋_GB2312" w:hAnsi="宋体" w:hint="eastAsia"/>
          <w:sz w:val="32"/>
          <w:szCs w:val="32"/>
        </w:rPr>
        <w:t>。</w:t>
      </w:r>
      <w:r w:rsidR="00175A21" w:rsidRPr="00175A21">
        <w:rPr>
          <w:rFonts w:ascii="仿宋_GB2312" w:eastAsia="仿宋_GB2312" w:hAnsi="宋体" w:hint="eastAsia"/>
          <w:sz w:val="32"/>
          <w:szCs w:val="32"/>
        </w:rPr>
        <w:t>心肌靶</w:t>
      </w:r>
      <w:proofErr w:type="gramStart"/>
      <w:r w:rsidR="00175A21" w:rsidRPr="00175A21">
        <w:rPr>
          <w:rFonts w:ascii="仿宋_GB2312" w:eastAsia="仿宋_GB2312" w:hAnsi="宋体" w:hint="eastAsia"/>
          <w:sz w:val="32"/>
          <w:szCs w:val="32"/>
        </w:rPr>
        <w:t>向治疗</w:t>
      </w:r>
      <w:proofErr w:type="gramEnd"/>
      <w:r w:rsidR="00175A21" w:rsidRPr="00175A21">
        <w:rPr>
          <w:rFonts w:ascii="仿宋_GB2312" w:eastAsia="仿宋_GB2312" w:hAnsi="宋体" w:hint="eastAsia"/>
          <w:sz w:val="32"/>
          <w:szCs w:val="32"/>
        </w:rPr>
        <w:t>是针对心肌病变（如心力衰竭、心肌缺血等）的精准干预策略，旨在改善心脏功能并延缓疾病进展。药物治疗是核心手段，其中正性肌力药物通过增强心肌收缩</w:t>
      </w:r>
      <w:r w:rsidR="00175A21" w:rsidRPr="00175A21">
        <w:rPr>
          <w:rFonts w:ascii="仿宋_GB2312" w:eastAsia="仿宋_GB2312" w:hAnsi="宋体" w:hint="eastAsia"/>
          <w:sz w:val="32"/>
          <w:szCs w:val="32"/>
        </w:rPr>
        <w:lastRenderedPageBreak/>
        <w:t>力提升心输出量，适用于急性心衰；负性频率药物通过降低心率减少心肌耗氧，尤其适用于窦性心律过快的慢性心衰患者。他</w:t>
      </w:r>
      <w:proofErr w:type="gramStart"/>
      <w:r w:rsidR="00175A21" w:rsidRPr="00175A21">
        <w:rPr>
          <w:rFonts w:ascii="仿宋_GB2312" w:eastAsia="仿宋_GB2312" w:hAnsi="宋体" w:hint="eastAsia"/>
          <w:sz w:val="32"/>
          <w:szCs w:val="32"/>
        </w:rPr>
        <w:t>汀</w:t>
      </w:r>
      <w:proofErr w:type="gramEnd"/>
      <w:r w:rsidR="00175A21" w:rsidRPr="00175A21">
        <w:rPr>
          <w:rFonts w:ascii="仿宋_GB2312" w:eastAsia="仿宋_GB2312" w:hAnsi="宋体" w:hint="eastAsia"/>
          <w:sz w:val="32"/>
          <w:szCs w:val="32"/>
        </w:rPr>
        <w:t>类药物则通过调脂、抗炎及改善内皮功能发挥潜在心脏保护作用，部分研究显示其可降低</w:t>
      </w:r>
      <w:proofErr w:type="gramStart"/>
      <w:r w:rsidR="00175A21" w:rsidRPr="00175A21">
        <w:rPr>
          <w:rFonts w:ascii="仿宋_GB2312" w:eastAsia="仿宋_GB2312" w:hAnsi="宋体" w:hint="eastAsia"/>
          <w:sz w:val="32"/>
          <w:szCs w:val="32"/>
        </w:rPr>
        <w:t>心衰再</w:t>
      </w:r>
      <w:proofErr w:type="gramEnd"/>
      <w:r w:rsidR="00175A21" w:rsidRPr="00175A21">
        <w:rPr>
          <w:rFonts w:ascii="仿宋_GB2312" w:eastAsia="仿宋_GB2312" w:hAnsi="宋体" w:hint="eastAsia"/>
          <w:sz w:val="32"/>
          <w:szCs w:val="32"/>
        </w:rPr>
        <w:t>住院率。非药物治疗中，辅助循环技术如主动脉内球囊反搏通过机械辅助改善冠脉灌注，适用于心源性休克或高危PCI术支持；体外膜肺氧合则为终末期心衰或心脏术后患者提供临时心肺替代，为后续治疗争取时间。临床选择需基于病因、病情严重度及患者个体特征，联合多学科评估以优化疗效。</w:t>
      </w:r>
    </w:p>
    <w:p w:rsidR="00CF506C" w:rsidRDefault="0010606C">
      <w:pPr>
        <w:spacing w:line="560" w:lineRule="exact"/>
        <w:ind w:firstLineChars="200" w:firstLine="643"/>
        <w:rPr>
          <w:rFonts w:ascii="仿宋_GB2312" w:eastAsia="仿宋_GB2312" w:hAnsi="宋体"/>
          <w:b/>
          <w:sz w:val="32"/>
          <w:szCs w:val="32"/>
          <w:lang w:val="en"/>
        </w:rPr>
      </w:pPr>
      <w:r>
        <w:rPr>
          <w:rFonts w:ascii="仿宋_GB2312" w:eastAsia="仿宋_GB2312" w:hAnsi="宋体"/>
          <w:b/>
          <w:sz w:val="32"/>
          <w:szCs w:val="32"/>
          <w:lang w:val="en"/>
        </w:rPr>
        <w:t>3.2.3中西医病机融通的中医救治</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根据标准编制组“中西医病机融通”对脓毒症进行中医组方治疗的经验，并</w:t>
      </w:r>
      <w:r>
        <w:rPr>
          <w:rFonts w:ascii="仿宋_GB2312" w:eastAsia="仿宋_GB2312" w:hAnsi="宋体"/>
          <w:sz w:val="32"/>
          <w:szCs w:val="32"/>
        </w:rPr>
        <w:t>结合</w:t>
      </w:r>
      <w:r>
        <w:rPr>
          <w:rFonts w:ascii="仿宋_GB2312" w:eastAsia="仿宋_GB2312" w:hAnsi="宋体" w:hint="eastAsia"/>
          <w:sz w:val="32"/>
          <w:szCs w:val="32"/>
        </w:rPr>
        <w:t>《从“五痹”切入探讨危急重症的中西医病机融通与组方思路</w:t>
      </w:r>
      <w:r>
        <w:rPr>
          <w:rFonts w:ascii="仿宋_GB2312" w:eastAsia="仿宋_GB2312" w:hAnsi="宋体"/>
          <w:sz w:val="32"/>
          <w:szCs w:val="32"/>
        </w:rPr>
        <w:t>》等相关研究</w:t>
      </w:r>
      <w:r>
        <w:rPr>
          <w:rFonts w:ascii="仿宋_GB2312" w:eastAsia="仿宋_GB2312" w:hAnsi="宋体" w:hint="eastAsia"/>
          <w:sz w:val="32"/>
          <w:szCs w:val="32"/>
        </w:rPr>
        <w:t>及临床和基础实验情况</w:t>
      </w:r>
      <w:r>
        <w:rPr>
          <w:rFonts w:ascii="仿宋_GB2312" w:eastAsia="仿宋_GB2312" w:hAnsi="宋体"/>
          <w:sz w:val="32"/>
          <w:szCs w:val="32"/>
        </w:rPr>
        <w:t>，</w:t>
      </w:r>
      <w:r>
        <w:rPr>
          <w:rFonts w:ascii="仿宋_GB2312" w:eastAsia="仿宋_GB2312" w:hAnsi="宋体" w:hint="eastAsia"/>
          <w:sz w:val="32"/>
          <w:szCs w:val="32"/>
        </w:rPr>
        <w:t>明确治法：核心病机为“宣</w:t>
      </w:r>
      <w:proofErr w:type="gramStart"/>
      <w:r>
        <w:rPr>
          <w:rFonts w:ascii="仿宋_GB2312" w:eastAsia="仿宋_GB2312" w:hAnsi="宋体" w:hint="eastAsia"/>
          <w:sz w:val="32"/>
          <w:szCs w:val="32"/>
        </w:rPr>
        <w:t>痹</w:t>
      </w:r>
      <w:proofErr w:type="gramEnd"/>
      <w:r>
        <w:rPr>
          <w:rFonts w:ascii="仿宋_GB2312" w:eastAsia="仿宋_GB2312" w:hAnsi="宋体" w:hint="eastAsia"/>
          <w:sz w:val="32"/>
          <w:szCs w:val="32"/>
        </w:rPr>
        <w:t>清营、通</w:t>
      </w:r>
      <w:proofErr w:type="gramStart"/>
      <w:r>
        <w:rPr>
          <w:rFonts w:ascii="仿宋_GB2312" w:eastAsia="仿宋_GB2312" w:hAnsi="宋体" w:hint="eastAsia"/>
          <w:sz w:val="32"/>
          <w:szCs w:val="32"/>
        </w:rPr>
        <w:t>腑</w:t>
      </w:r>
      <w:proofErr w:type="gramEnd"/>
      <w:r>
        <w:rPr>
          <w:rFonts w:ascii="仿宋_GB2312" w:eastAsia="仿宋_GB2312" w:hAnsi="宋体" w:hint="eastAsia"/>
          <w:sz w:val="32"/>
          <w:szCs w:val="32"/>
        </w:rPr>
        <w:t>泻浊、化</w:t>
      </w:r>
      <w:proofErr w:type="gramStart"/>
      <w:r>
        <w:rPr>
          <w:rFonts w:ascii="仿宋_GB2312" w:eastAsia="仿宋_GB2312" w:hAnsi="宋体" w:hint="eastAsia"/>
          <w:sz w:val="32"/>
          <w:szCs w:val="32"/>
        </w:rPr>
        <w:t>瘀</w:t>
      </w:r>
      <w:proofErr w:type="gramEnd"/>
      <w:r>
        <w:rPr>
          <w:rFonts w:ascii="仿宋_GB2312" w:eastAsia="仿宋_GB2312" w:hAnsi="宋体" w:hint="eastAsia"/>
          <w:sz w:val="32"/>
          <w:szCs w:val="32"/>
        </w:rPr>
        <w:t>解毒”为法。</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w:t>
      </w:r>
      <w:r>
        <w:rPr>
          <w:rFonts w:ascii="仿宋_GB2312" w:eastAsia="仿宋_GB2312" w:hAnsi="宋体"/>
          <w:sz w:val="32"/>
          <w:szCs w:val="32"/>
        </w:rPr>
        <w:t>编制</w:t>
      </w:r>
      <w:r>
        <w:rPr>
          <w:rFonts w:ascii="仿宋_GB2312" w:eastAsia="仿宋_GB2312" w:hAnsi="宋体" w:hint="eastAsia"/>
          <w:sz w:val="32"/>
          <w:szCs w:val="32"/>
        </w:rPr>
        <w:t>组</w:t>
      </w:r>
      <w:r>
        <w:rPr>
          <w:rFonts w:ascii="仿宋_GB2312" w:eastAsia="仿宋_GB2312" w:hAnsi="宋体"/>
          <w:sz w:val="32"/>
          <w:szCs w:val="32"/>
        </w:rPr>
        <w:t>前期开展</w:t>
      </w:r>
      <w:r>
        <w:rPr>
          <w:rFonts w:ascii="仿宋_GB2312" w:eastAsia="仿宋_GB2312" w:hAnsi="宋体" w:hint="eastAsia"/>
          <w:sz w:val="32"/>
          <w:szCs w:val="32"/>
        </w:rPr>
        <w:t>了脓毒性</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中西医病机融通中药组方</w:t>
      </w:r>
      <w:bookmarkStart w:id="4" w:name="OLE_LINK73"/>
      <w:r w:rsidR="00175A21" w:rsidRPr="00175A21">
        <w:rPr>
          <w:rFonts w:ascii="仿宋_GB2312" w:eastAsia="仿宋_GB2312" w:hAnsi="宋体" w:hint="eastAsia"/>
          <w:sz w:val="32"/>
          <w:szCs w:val="32"/>
        </w:rPr>
        <w:t>选取于2022年05月至2025年1月之间就诊于广西中医药大学第一附属医院、南宁市第四人民医院、玉林市中医医院、南宁武鸣区中医医院、桂平市中医医院、柳州市工人医院、灵山县中医医院确诊为脓毒性心肌损伤40例，其中观察组20例，对照组20例。对照组男性12例、女性8例，年龄均值47.52±4.62岁，病程为4.62±1.76天；观察组男性9例、女性11例，年龄分布为46.71±4.85岁，病程为4.83±2.10天。两组患者在性别构成比、年龄差异及病程</w:t>
      </w:r>
      <w:r w:rsidR="00175A21" w:rsidRPr="00175A21">
        <w:rPr>
          <w:rFonts w:ascii="仿宋_GB2312" w:eastAsia="仿宋_GB2312" w:hAnsi="宋体" w:hint="eastAsia"/>
          <w:sz w:val="32"/>
          <w:szCs w:val="32"/>
        </w:rPr>
        <w:lastRenderedPageBreak/>
        <w:t>时长等方面均未呈现显著性差异（P＞0.05），满足临床对照研究可比性要求</w:t>
      </w:r>
      <w:r>
        <w:rPr>
          <w:rFonts w:ascii="仿宋_GB2312" w:eastAsia="仿宋_GB2312" w:hAnsi="宋体" w:hint="eastAsia"/>
          <w:sz w:val="32"/>
          <w:szCs w:val="32"/>
        </w:rPr>
        <w:t>。</w:t>
      </w:r>
    </w:p>
    <w:bookmarkEnd w:id="4"/>
    <w:p w:rsidR="00175A21" w:rsidRPr="00175A21" w:rsidRDefault="00175A21" w:rsidP="00175A21">
      <w:pPr>
        <w:spacing w:beforeLines="50" w:before="156" w:line="360" w:lineRule="auto"/>
        <w:rPr>
          <w:rFonts w:ascii="仿宋_GB2312" w:eastAsia="仿宋_GB2312" w:hAnsi="宋体"/>
          <w:sz w:val="32"/>
          <w:szCs w:val="32"/>
        </w:rPr>
      </w:pPr>
      <w:r w:rsidRPr="00175A21">
        <w:rPr>
          <w:rFonts w:ascii="仿宋_GB2312" w:eastAsia="仿宋_GB2312" w:hAnsi="宋体"/>
          <w:sz w:val="32"/>
          <w:szCs w:val="32"/>
        </w:rPr>
        <w:t>（1）7天临床疗效比较</w:t>
      </w:r>
    </w:p>
    <w:p w:rsidR="00175A21" w:rsidRPr="00175A21" w:rsidRDefault="00175A21" w:rsidP="00A46FCF">
      <w:pPr>
        <w:spacing w:beforeLines="50" w:before="156" w:line="360" w:lineRule="auto"/>
        <w:ind w:firstLineChars="200" w:firstLine="640"/>
        <w:rPr>
          <w:rFonts w:ascii="仿宋_GB2312" w:eastAsia="仿宋_GB2312" w:hAnsi="宋体"/>
          <w:sz w:val="32"/>
          <w:szCs w:val="32"/>
        </w:rPr>
      </w:pPr>
      <w:r w:rsidRPr="00175A21">
        <w:rPr>
          <w:rFonts w:ascii="仿宋_GB2312" w:eastAsia="仿宋_GB2312" w:hAnsi="宋体"/>
          <w:sz w:val="32"/>
          <w:szCs w:val="32"/>
        </w:rPr>
        <w:t>观察组显效13例，有效12例，无效5例，总有效率83.33%。对照组显效7例，有效10例，无效13例，总有效率56.67%。两组总临床有效率比较差异具有统计学意义（P＜0.05）。</w:t>
      </w:r>
    </w:p>
    <w:p w:rsidR="00175A21" w:rsidRPr="00175A21" w:rsidRDefault="00175A21" w:rsidP="00175A21">
      <w:pPr>
        <w:spacing w:beforeLines="50" w:before="156" w:line="360" w:lineRule="auto"/>
        <w:rPr>
          <w:rFonts w:ascii="仿宋_GB2312" w:eastAsia="仿宋_GB2312" w:hAnsi="宋体"/>
          <w:sz w:val="32"/>
          <w:szCs w:val="32"/>
        </w:rPr>
      </w:pPr>
      <w:r w:rsidRPr="00175A21">
        <w:rPr>
          <w:rFonts w:ascii="仿宋_GB2312" w:eastAsia="仿宋_GB2312" w:hAnsi="宋体"/>
          <w:sz w:val="32"/>
          <w:szCs w:val="32"/>
        </w:rPr>
        <w:t>（2） 7天炎症指标比较</w:t>
      </w:r>
    </w:p>
    <w:p w:rsidR="00175A21" w:rsidRPr="00175A21" w:rsidRDefault="00175A21" w:rsidP="00175A21">
      <w:pPr>
        <w:spacing w:beforeLines="50" w:before="156" w:line="360" w:lineRule="auto"/>
        <w:rPr>
          <w:rFonts w:ascii="仿宋_GB2312" w:eastAsia="仿宋_GB2312" w:hAnsi="宋体"/>
          <w:sz w:val="32"/>
          <w:szCs w:val="32"/>
        </w:rPr>
      </w:pPr>
      <w:r w:rsidRPr="00175A21">
        <w:rPr>
          <w:rFonts w:ascii="仿宋_GB2312" w:eastAsia="仿宋_GB2312" w:hAnsi="宋体"/>
          <w:sz w:val="32"/>
          <w:szCs w:val="32"/>
        </w:rPr>
        <w:t xml:space="preserve">    两种患者治疗前TNF-</w:t>
      </w:r>
      <w:r w:rsidRPr="00175A21">
        <w:rPr>
          <w:rFonts w:ascii="仿宋_GB2312" w:eastAsia="仿宋_GB2312" w:hAnsi="宋体"/>
          <w:sz w:val="32"/>
          <w:szCs w:val="32"/>
        </w:rPr>
        <w:t>α</w:t>
      </w:r>
      <w:r w:rsidRPr="00175A21">
        <w:rPr>
          <w:rFonts w:ascii="仿宋_GB2312" w:eastAsia="仿宋_GB2312" w:hAnsi="宋体"/>
          <w:sz w:val="32"/>
          <w:szCs w:val="32"/>
        </w:rPr>
        <w:t>和IL-6水平比较无统计学差异（P＞0.05）。观察组和对照</w:t>
      </w:r>
      <w:proofErr w:type="gramStart"/>
      <w:r w:rsidRPr="00175A21">
        <w:rPr>
          <w:rFonts w:ascii="仿宋_GB2312" w:eastAsia="仿宋_GB2312" w:hAnsi="宋体"/>
          <w:sz w:val="32"/>
          <w:szCs w:val="32"/>
        </w:rPr>
        <w:t>组治疗</w:t>
      </w:r>
      <w:proofErr w:type="gramEnd"/>
      <w:r w:rsidRPr="00175A21">
        <w:rPr>
          <w:rFonts w:ascii="仿宋_GB2312" w:eastAsia="仿宋_GB2312" w:hAnsi="宋体"/>
          <w:sz w:val="32"/>
          <w:szCs w:val="32"/>
        </w:rPr>
        <w:t>后的TNF-</w:t>
      </w:r>
      <w:r w:rsidRPr="00175A21">
        <w:rPr>
          <w:rFonts w:ascii="仿宋_GB2312" w:eastAsia="仿宋_GB2312" w:hAnsi="宋体"/>
          <w:sz w:val="32"/>
          <w:szCs w:val="32"/>
        </w:rPr>
        <w:t>α</w:t>
      </w:r>
      <w:r w:rsidRPr="00175A21">
        <w:rPr>
          <w:rFonts w:ascii="仿宋_GB2312" w:eastAsia="仿宋_GB2312" w:hAnsi="宋体"/>
          <w:sz w:val="32"/>
          <w:szCs w:val="32"/>
        </w:rPr>
        <w:t>和IL-6平均较治疗前降低，差异具有统计学意义（P＜0.05）。观察</w:t>
      </w:r>
      <w:proofErr w:type="gramStart"/>
      <w:r w:rsidRPr="00175A21">
        <w:rPr>
          <w:rFonts w:ascii="仿宋_GB2312" w:eastAsia="仿宋_GB2312" w:hAnsi="宋体"/>
          <w:sz w:val="32"/>
          <w:szCs w:val="32"/>
        </w:rPr>
        <w:t>组治疗</w:t>
      </w:r>
      <w:proofErr w:type="gramEnd"/>
      <w:r w:rsidRPr="00175A21">
        <w:rPr>
          <w:rFonts w:ascii="仿宋_GB2312" w:eastAsia="仿宋_GB2312" w:hAnsi="宋体"/>
          <w:sz w:val="32"/>
          <w:szCs w:val="32"/>
        </w:rPr>
        <w:t>后的TNF-</w:t>
      </w:r>
      <w:r w:rsidRPr="00175A21">
        <w:rPr>
          <w:rFonts w:ascii="仿宋_GB2312" w:eastAsia="仿宋_GB2312" w:hAnsi="宋体"/>
          <w:sz w:val="32"/>
          <w:szCs w:val="32"/>
        </w:rPr>
        <w:t>α</w:t>
      </w:r>
      <w:r w:rsidRPr="00175A21">
        <w:rPr>
          <w:rFonts w:ascii="仿宋_GB2312" w:eastAsia="仿宋_GB2312" w:hAnsi="宋体"/>
          <w:sz w:val="32"/>
          <w:szCs w:val="32"/>
        </w:rPr>
        <w:t>和IL-6水平均较对照</w:t>
      </w:r>
      <w:proofErr w:type="gramStart"/>
      <w:r w:rsidRPr="00175A21">
        <w:rPr>
          <w:rFonts w:ascii="仿宋_GB2312" w:eastAsia="仿宋_GB2312" w:hAnsi="宋体"/>
          <w:sz w:val="32"/>
          <w:szCs w:val="32"/>
        </w:rPr>
        <w:t>组治疗</w:t>
      </w:r>
      <w:proofErr w:type="gramEnd"/>
      <w:r w:rsidRPr="00175A21">
        <w:rPr>
          <w:rFonts w:ascii="仿宋_GB2312" w:eastAsia="仿宋_GB2312" w:hAnsi="宋体"/>
          <w:sz w:val="32"/>
          <w:szCs w:val="32"/>
        </w:rPr>
        <w:t>后的降低，差异具有统计学意义（P＜0.05）。详见表</w:t>
      </w:r>
      <w:r w:rsidRPr="00175A21">
        <w:rPr>
          <w:rFonts w:ascii="仿宋_GB2312" w:eastAsia="仿宋_GB2312" w:hAnsi="宋体" w:hint="eastAsia"/>
          <w:sz w:val="32"/>
          <w:szCs w:val="32"/>
        </w:rPr>
        <w:t>1</w:t>
      </w:r>
      <w:r w:rsidRPr="00175A21">
        <w:rPr>
          <w:rFonts w:ascii="仿宋_GB2312" w:eastAsia="仿宋_GB2312" w:hAnsi="宋体"/>
          <w:sz w:val="32"/>
          <w:szCs w:val="32"/>
        </w:rPr>
        <w:t>。</w:t>
      </w:r>
    </w:p>
    <w:p w:rsidR="00175A21" w:rsidRPr="00175A21" w:rsidRDefault="00175A21" w:rsidP="00175A21">
      <w:pPr>
        <w:spacing w:beforeLines="50" w:before="156" w:line="360" w:lineRule="auto"/>
        <w:jc w:val="center"/>
        <w:rPr>
          <w:szCs w:val="22"/>
        </w:rPr>
      </w:pPr>
      <w:r w:rsidRPr="00175A21">
        <w:rPr>
          <w:szCs w:val="22"/>
        </w:rPr>
        <w:t>表</w:t>
      </w:r>
      <w:r w:rsidRPr="00175A21">
        <w:rPr>
          <w:szCs w:val="22"/>
        </w:rPr>
        <w:t xml:space="preserve"> </w:t>
      </w:r>
      <w:r w:rsidRPr="00175A21">
        <w:rPr>
          <w:szCs w:val="22"/>
        </w:rPr>
        <w:fldChar w:fldCharType="begin"/>
      </w:r>
      <w:r w:rsidRPr="00175A21">
        <w:rPr>
          <w:szCs w:val="22"/>
        </w:rPr>
        <w:instrText xml:space="preserve"> SEQ </w:instrText>
      </w:r>
      <w:r w:rsidRPr="00175A21">
        <w:rPr>
          <w:szCs w:val="22"/>
        </w:rPr>
        <w:instrText>表</w:instrText>
      </w:r>
      <w:r w:rsidRPr="00175A21">
        <w:rPr>
          <w:szCs w:val="22"/>
        </w:rPr>
        <w:instrText xml:space="preserve"> \* ARABIC </w:instrText>
      </w:r>
      <w:r w:rsidRPr="00175A21">
        <w:rPr>
          <w:szCs w:val="22"/>
        </w:rPr>
        <w:fldChar w:fldCharType="separate"/>
      </w:r>
      <w:r>
        <w:rPr>
          <w:noProof/>
          <w:szCs w:val="22"/>
        </w:rPr>
        <w:t>1</w:t>
      </w:r>
      <w:r w:rsidRPr="00175A21">
        <w:rPr>
          <w:szCs w:val="22"/>
        </w:rPr>
        <w:fldChar w:fldCharType="end"/>
      </w:r>
      <w:r w:rsidRPr="00175A21">
        <w:rPr>
          <w:rFonts w:hint="eastAsia"/>
          <w:szCs w:val="22"/>
        </w:rPr>
        <w:t xml:space="preserve"> </w:t>
      </w:r>
      <w:r w:rsidRPr="00175A21">
        <w:rPr>
          <w:szCs w:val="22"/>
        </w:rPr>
        <w:t xml:space="preserve"> 7</w:t>
      </w:r>
      <w:r w:rsidRPr="00175A21">
        <w:rPr>
          <w:szCs w:val="22"/>
        </w:rPr>
        <w:t>天炎症指标比较</w:t>
      </w:r>
    </w:p>
    <w:tbl>
      <w:tblPr>
        <w:tblStyle w:val="10"/>
        <w:tblW w:w="8149" w:type="dxa"/>
        <w:jc w:val="center"/>
        <w:tblInd w:w="0" w:type="dxa"/>
        <w:tblBorders>
          <w:left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1124"/>
        <w:gridCol w:w="1225"/>
        <w:gridCol w:w="2675"/>
        <w:gridCol w:w="3125"/>
      </w:tblGrid>
      <w:tr w:rsidR="00175A21" w:rsidRPr="00175A21" w:rsidTr="00B2076E">
        <w:trPr>
          <w:jc w:val="center"/>
        </w:trPr>
        <w:tc>
          <w:tcPr>
            <w:tcW w:w="1124" w:type="dxa"/>
            <w:tcBorders>
              <w:bottom w:val="single" w:sz="4" w:space="0" w:color="auto"/>
            </w:tcBorders>
          </w:tcPr>
          <w:p w:rsidR="00175A21" w:rsidRPr="00175A21" w:rsidRDefault="00175A21" w:rsidP="00175A21">
            <w:pPr>
              <w:spacing w:line="360" w:lineRule="auto"/>
              <w:rPr>
                <w:sz w:val="18"/>
                <w:szCs w:val="18"/>
              </w:rPr>
            </w:pPr>
            <w:r w:rsidRPr="00175A21">
              <w:rPr>
                <w:sz w:val="18"/>
                <w:szCs w:val="18"/>
              </w:rPr>
              <w:t>组别</w:t>
            </w:r>
          </w:p>
        </w:tc>
        <w:tc>
          <w:tcPr>
            <w:tcW w:w="1225" w:type="dxa"/>
            <w:tcBorders>
              <w:bottom w:val="single" w:sz="4" w:space="0" w:color="auto"/>
            </w:tcBorders>
          </w:tcPr>
          <w:p w:rsidR="00175A21" w:rsidRPr="00175A21" w:rsidRDefault="00175A21" w:rsidP="00175A21">
            <w:pPr>
              <w:spacing w:line="360" w:lineRule="auto"/>
              <w:rPr>
                <w:sz w:val="18"/>
                <w:szCs w:val="18"/>
              </w:rPr>
            </w:pPr>
            <w:r w:rsidRPr="00175A21">
              <w:rPr>
                <w:sz w:val="18"/>
                <w:szCs w:val="18"/>
              </w:rPr>
              <w:t>治疗时间</w:t>
            </w:r>
          </w:p>
        </w:tc>
        <w:tc>
          <w:tcPr>
            <w:tcW w:w="2675" w:type="dxa"/>
            <w:tcBorders>
              <w:bottom w:val="single" w:sz="4" w:space="0" w:color="auto"/>
            </w:tcBorders>
          </w:tcPr>
          <w:p w:rsidR="00175A21" w:rsidRPr="00175A21" w:rsidRDefault="00175A21" w:rsidP="00175A21">
            <w:pPr>
              <w:spacing w:line="360" w:lineRule="auto"/>
              <w:rPr>
                <w:sz w:val="18"/>
                <w:szCs w:val="18"/>
              </w:rPr>
            </w:pPr>
            <w:r w:rsidRPr="00175A21">
              <w:rPr>
                <w:sz w:val="18"/>
                <w:szCs w:val="18"/>
              </w:rPr>
              <w:t>TNF-</w:t>
            </w:r>
            <w:r w:rsidRPr="00175A21">
              <w:rPr>
                <w:sz w:val="24"/>
              </w:rPr>
              <w:t>α</w:t>
            </w:r>
            <w:r w:rsidRPr="00175A21">
              <w:rPr>
                <w:sz w:val="18"/>
                <w:szCs w:val="18"/>
              </w:rPr>
              <w:t>(ng/L)</w:t>
            </w:r>
          </w:p>
        </w:tc>
        <w:tc>
          <w:tcPr>
            <w:tcW w:w="3125" w:type="dxa"/>
            <w:tcBorders>
              <w:bottom w:val="single" w:sz="4" w:space="0" w:color="auto"/>
            </w:tcBorders>
          </w:tcPr>
          <w:p w:rsidR="00175A21" w:rsidRPr="00175A21" w:rsidRDefault="00175A21" w:rsidP="00175A21">
            <w:pPr>
              <w:spacing w:line="360" w:lineRule="auto"/>
              <w:rPr>
                <w:sz w:val="18"/>
                <w:szCs w:val="18"/>
              </w:rPr>
            </w:pPr>
            <w:r w:rsidRPr="00175A21">
              <w:rPr>
                <w:sz w:val="18"/>
                <w:szCs w:val="18"/>
              </w:rPr>
              <w:t>IL-6(ng/L)</w:t>
            </w:r>
          </w:p>
        </w:tc>
      </w:tr>
      <w:tr w:rsidR="00175A21" w:rsidRPr="00175A21" w:rsidTr="00B2076E">
        <w:trPr>
          <w:jc w:val="center"/>
        </w:trPr>
        <w:tc>
          <w:tcPr>
            <w:tcW w:w="1124" w:type="dxa"/>
            <w:vMerge w:val="restart"/>
            <w:tcBorders>
              <w:top w:val="single" w:sz="4" w:space="0" w:color="auto"/>
              <w:tl2br w:val="nil"/>
              <w:tr2bl w:val="nil"/>
            </w:tcBorders>
          </w:tcPr>
          <w:p w:rsidR="00175A21" w:rsidRPr="00175A21" w:rsidRDefault="00175A21" w:rsidP="00175A21">
            <w:pPr>
              <w:spacing w:line="360" w:lineRule="auto"/>
              <w:rPr>
                <w:sz w:val="24"/>
              </w:rPr>
            </w:pPr>
            <w:r w:rsidRPr="00175A21">
              <w:rPr>
                <w:sz w:val="24"/>
              </w:rPr>
              <w:t>观察组</w:t>
            </w:r>
          </w:p>
        </w:tc>
        <w:tc>
          <w:tcPr>
            <w:tcW w:w="1225" w:type="dxa"/>
            <w:tcBorders>
              <w:top w:val="single" w:sz="4" w:space="0" w:color="auto"/>
              <w:tl2br w:val="nil"/>
              <w:tr2bl w:val="nil"/>
            </w:tcBorders>
          </w:tcPr>
          <w:p w:rsidR="00175A21" w:rsidRPr="00175A21" w:rsidRDefault="00175A21" w:rsidP="00175A21">
            <w:pPr>
              <w:spacing w:line="360" w:lineRule="auto"/>
              <w:rPr>
                <w:sz w:val="24"/>
              </w:rPr>
            </w:pPr>
            <w:r w:rsidRPr="00175A21">
              <w:rPr>
                <w:sz w:val="24"/>
              </w:rPr>
              <w:t>治疗前</w:t>
            </w:r>
          </w:p>
        </w:tc>
        <w:tc>
          <w:tcPr>
            <w:tcW w:w="2675" w:type="dxa"/>
            <w:tcBorders>
              <w:top w:val="single" w:sz="4" w:space="0" w:color="auto"/>
              <w:tl2br w:val="nil"/>
              <w:tr2bl w:val="nil"/>
            </w:tcBorders>
          </w:tcPr>
          <w:p w:rsidR="00175A21" w:rsidRPr="00175A21" w:rsidRDefault="00175A21" w:rsidP="00175A21">
            <w:pPr>
              <w:spacing w:beforeLines="50" w:before="156" w:line="360" w:lineRule="auto"/>
              <w:rPr>
                <w:sz w:val="24"/>
              </w:rPr>
            </w:pPr>
            <w:r w:rsidRPr="00175A21">
              <w:rPr>
                <w:sz w:val="24"/>
              </w:rPr>
              <w:t>16.38±3.44</w:t>
            </w:r>
          </w:p>
        </w:tc>
        <w:tc>
          <w:tcPr>
            <w:tcW w:w="3125" w:type="dxa"/>
            <w:tcBorders>
              <w:top w:val="single" w:sz="4" w:space="0" w:color="auto"/>
              <w:tl2br w:val="nil"/>
              <w:tr2bl w:val="nil"/>
            </w:tcBorders>
          </w:tcPr>
          <w:p w:rsidR="00175A21" w:rsidRPr="00175A21" w:rsidRDefault="00175A21" w:rsidP="00175A21">
            <w:pPr>
              <w:spacing w:beforeLines="50" w:before="156" w:line="360" w:lineRule="auto"/>
              <w:rPr>
                <w:sz w:val="24"/>
              </w:rPr>
            </w:pPr>
            <w:r w:rsidRPr="00175A21">
              <w:rPr>
                <w:sz w:val="24"/>
              </w:rPr>
              <w:t>95.97±14.01</w:t>
            </w:r>
          </w:p>
        </w:tc>
      </w:tr>
      <w:tr w:rsidR="00175A21" w:rsidRPr="00175A21" w:rsidTr="00B2076E">
        <w:trPr>
          <w:jc w:val="center"/>
        </w:trPr>
        <w:tc>
          <w:tcPr>
            <w:tcW w:w="1124" w:type="dxa"/>
            <w:vMerge/>
            <w:tcBorders>
              <w:tl2br w:val="nil"/>
              <w:tr2bl w:val="nil"/>
            </w:tcBorders>
          </w:tcPr>
          <w:p w:rsidR="00175A21" w:rsidRPr="00175A21" w:rsidRDefault="00175A21" w:rsidP="00175A21">
            <w:pPr>
              <w:spacing w:line="360" w:lineRule="auto"/>
              <w:rPr>
                <w:sz w:val="24"/>
              </w:rPr>
            </w:pPr>
          </w:p>
        </w:tc>
        <w:tc>
          <w:tcPr>
            <w:tcW w:w="1225" w:type="dxa"/>
            <w:tcBorders>
              <w:tl2br w:val="nil"/>
              <w:tr2bl w:val="nil"/>
            </w:tcBorders>
          </w:tcPr>
          <w:p w:rsidR="00175A21" w:rsidRPr="00175A21" w:rsidRDefault="00175A21" w:rsidP="00175A21">
            <w:pPr>
              <w:spacing w:line="360" w:lineRule="auto"/>
              <w:rPr>
                <w:sz w:val="24"/>
              </w:rPr>
            </w:pPr>
            <w:r w:rsidRPr="00175A21">
              <w:rPr>
                <w:sz w:val="24"/>
              </w:rPr>
              <w:t>治疗后</w:t>
            </w:r>
          </w:p>
        </w:tc>
        <w:tc>
          <w:tcPr>
            <w:tcW w:w="2675" w:type="dxa"/>
            <w:tcBorders>
              <w:tl2br w:val="nil"/>
              <w:tr2bl w:val="nil"/>
            </w:tcBorders>
          </w:tcPr>
          <w:p w:rsidR="00175A21" w:rsidRPr="00175A21" w:rsidRDefault="00175A21" w:rsidP="00175A21">
            <w:pPr>
              <w:spacing w:beforeLines="50" w:before="156" w:line="360" w:lineRule="auto"/>
              <w:rPr>
                <w:sz w:val="24"/>
              </w:rPr>
            </w:pPr>
            <w:r w:rsidRPr="00175A21">
              <w:rPr>
                <w:sz w:val="24"/>
              </w:rPr>
              <w:t>6.32±1.74</w:t>
            </w:r>
            <w:r w:rsidRPr="00175A21">
              <w:rPr>
                <w:sz w:val="24"/>
                <w:vertAlign w:val="superscript"/>
              </w:rPr>
              <w:t>*#</w:t>
            </w:r>
          </w:p>
        </w:tc>
        <w:tc>
          <w:tcPr>
            <w:tcW w:w="3125" w:type="dxa"/>
            <w:tcBorders>
              <w:tl2br w:val="nil"/>
              <w:tr2bl w:val="nil"/>
            </w:tcBorders>
          </w:tcPr>
          <w:p w:rsidR="00175A21" w:rsidRPr="00175A21" w:rsidRDefault="00175A21" w:rsidP="00175A21">
            <w:pPr>
              <w:spacing w:beforeLines="50" w:before="156" w:line="360" w:lineRule="auto"/>
              <w:rPr>
                <w:sz w:val="24"/>
              </w:rPr>
            </w:pPr>
            <w:r w:rsidRPr="00175A21">
              <w:rPr>
                <w:sz w:val="24"/>
              </w:rPr>
              <w:t>23.41±4.67</w:t>
            </w:r>
            <w:r w:rsidRPr="00175A21">
              <w:rPr>
                <w:sz w:val="24"/>
                <w:vertAlign w:val="superscript"/>
              </w:rPr>
              <w:t>*#</w:t>
            </w:r>
          </w:p>
        </w:tc>
      </w:tr>
      <w:tr w:rsidR="00175A21" w:rsidRPr="00175A21" w:rsidTr="00B2076E">
        <w:trPr>
          <w:jc w:val="center"/>
        </w:trPr>
        <w:tc>
          <w:tcPr>
            <w:tcW w:w="1124" w:type="dxa"/>
            <w:vMerge w:val="restart"/>
            <w:tcBorders>
              <w:tl2br w:val="nil"/>
              <w:tr2bl w:val="nil"/>
            </w:tcBorders>
          </w:tcPr>
          <w:p w:rsidR="00175A21" w:rsidRPr="00175A21" w:rsidRDefault="00175A21" w:rsidP="00175A21">
            <w:pPr>
              <w:spacing w:line="360" w:lineRule="auto"/>
              <w:rPr>
                <w:sz w:val="24"/>
              </w:rPr>
            </w:pPr>
            <w:r w:rsidRPr="00175A21">
              <w:rPr>
                <w:sz w:val="24"/>
              </w:rPr>
              <w:t>对照组</w:t>
            </w:r>
          </w:p>
        </w:tc>
        <w:tc>
          <w:tcPr>
            <w:tcW w:w="1225" w:type="dxa"/>
            <w:tcBorders>
              <w:tl2br w:val="nil"/>
              <w:tr2bl w:val="nil"/>
            </w:tcBorders>
          </w:tcPr>
          <w:p w:rsidR="00175A21" w:rsidRPr="00175A21" w:rsidRDefault="00175A21" w:rsidP="00175A21">
            <w:pPr>
              <w:spacing w:line="360" w:lineRule="auto"/>
              <w:rPr>
                <w:sz w:val="24"/>
              </w:rPr>
            </w:pPr>
            <w:r w:rsidRPr="00175A21">
              <w:rPr>
                <w:sz w:val="24"/>
              </w:rPr>
              <w:t>治疗前</w:t>
            </w:r>
          </w:p>
        </w:tc>
        <w:tc>
          <w:tcPr>
            <w:tcW w:w="2675" w:type="dxa"/>
            <w:tcBorders>
              <w:tl2br w:val="nil"/>
              <w:tr2bl w:val="nil"/>
            </w:tcBorders>
          </w:tcPr>
          <w:p w:rsidR="00175A21" w:rsidRPr="00175A21" w:rsidRDefault="00175A21" w:rsidP="00175A21">
            <w:pPr>
              <w:spacing w:beforeLines="50" w:before="156" w:line="360" w:lineRule="auto"/>
              <w:rPr>
                <w:sz w:val="24"/>
              </w:rPr>
            </w:pPr>
            <w:r w:rsidRPr="00175A21">
              <w:rPr>
                <w:sz w:val="24"/>
              </w:rPr>
              <w:t>15.46±3.41</w:t>
            </w:r>
          </w:p>
        </w:tc>
        <w:tc>
          <w:tcPr>
            <w:tcW w:w="3125" w:type="dxa"/>
            <w:tcBorders>
              <w:tl2br w:val="nil"/>
              <w:tr2bl w:val="nil"/>
            </w:tcBorders>
          </w:tcPr>
          <w:p w:rsidR="00175A21" w:rsidRPr="00175A21" w:rsidRDefault="00175A21" w:rsidP="00175A21">
            <w:pPr>
              <w:spacing w:beforeLines="50" w:before="156" w:line="360" w:lineRule="auto"/>
              <w:rPr>
                <w:sz w:val="24"/>
              </w:rPr>
            </w:pPr>
            <w:r w:rsidRPr="00175A21">
              <w:rPr>
                <w:sz w:val="24"/>
              </w:rPr>
              <w:t>96.13±14.64</w:t>
            </w:r>
          </w:p>
        </w:tc>
      </w:tr>
      <w:tr w:rsidR="00175A21" w:rsidRPr="00175A21" w:rsidTr="00B2076E">
        <w:trPr>
          <w:jc w:val="center"/>
        </w:trPr>
        <w:tc>
          <w:tcPr>
            <w:tcW w:w="1124" w:type="dxa"/>
            <w:vMerge/>
            <w:tcBorders>
              <w:tl2br w:val="nil"/>
              <w:tr2bl w:val="nil"/>
            </w:tcBorders>
          </w:tcPr>
          <w:p w:rsidR="00175A21" w:rsidRPr="00175A21" w:rsidRDefault="00175A21" w:rsidP="00175A21">
            <w:pPr>
              <w:spacing w:line="360" w:lineRule="auto"/>
              <w:rPr>
                <w:sz w:val="24"/>
              </w:rPr>
            </w:pPr>
          </w:p>
        </w:tc>
        <w:tc>
          <w:tcPr>
            <w:tcW w:w="1225" w:type="dxa"/>
            <w:tcBorders>
              <w:tl2br w:val="nil"/>
              <w:tr2bl w:val="nil"/>
            </w:tcBorders>
          </w:tcPr>
          <w:p w:rsidR="00175A21" w:rsidRPr="00175A21" w:rsidRDefault="00175A21" w:rsidP="00175A21">
            <w:pPr>
              <w:spacing w:line="360" w:lineRule="auto"/>
              <w:rPr>
                <w:sz w:val="24"/>
              </w:rPr>
            </w:pPr>
            <w:r w:rsidRPr="00175A21">
              <w:rPr>
                <w:sz w:val="24"/>
              </w:rPr>
              <w:t>治疗后</w:t>
            </w:r>
          </w:p>
        </w:tc>
        <w:tc>
          <w:tcPr>
            <w:tcW w:w="2675" w:type="dxa"/>
            <w:tcBorders>
              <w:tl2br w:val="nil"/>
              <w:tr2bl w:val="nil"/>
            </w:tcBorders>
          </w:tcPr>
          <w:p w:rsidR="00175A21" w:rsidRPr="00175A21" w:rsidRDefault="00175A21" w:rsidP="00175A21">
            <w:pPr>
              <w:spacing w:beforeLines="50" w:before="156" w:line="360" w:lineRule="auto"/>
              <w:rPr>
                <w:sz w:val="24"/>
              </w:rPr>
            </w:pPr>
            <w:r w:rsidRPr="00175A21">
              <w:rPr>
                <w:sz w:val="24"/>
              </w:rPr>
              <w:t>9.99±2.11</w:t>
            </w:r>
            <w:r w:rsidRPr="00175A21">
              <w:rPr>
                <w:sz w:val="24"/>
                <w:vertAlign w:val="superscript"/>
              </w:rPr>
              <w:t>*#</w:t>
            </w:r>
          </w:p>
        </w:tc>
        <w:tc>
          <w:tcPr>
            <w:tcW w:w="3125" w:type="dxa"/>
            <w:tcBorders>
              <w:tl2br w:val="nil"/>
              <w:tr2bl w:val="nil"/>
            </w:tcBorders>
          </w:tcPr>
          <w:p w:rsidR="00175A21" w:rsidRPr="00175A21" w:rsidRDefault="00175A21" w:rsidP="00175A21">
            <w:pPr>
              <w:spacing w:beforeLines="50" w:before="156" w:line="360" w:lineRule="auto"/>
              <w:rPr>
                <w:sz w:val="24"/>
              </w:rPr>
            </w:pPr>
            <w:r w:rsidRPr="00175A21">
              <w:rPr>
                <w:sz w:val="24"/>
              </w:rPr>
              <w:t>33.21±5.37</w:t>
            </w:r>
            <w:r w:rsidRPr="00175A21">
              <w:rPr>
                <w:sz w:val="24"/>
                <w:vertAlign w:val="superscript"/>
              </w:rPr>
              <w:t>*#</w:t>
            </w:r>
          </w:p>
        </w:tc>
      </w:tr>
    </w:tbl>
    <w:p w:rsidR="00175A21" w:rsidRPr="00175A21" w:rsidRDefault="00175A21" w:rsidP="00175A21">
      <w:pPr>
        <w:spacing w:line="360" w:lineRule="auto"/>
        <w:rPr>
          <w:color w:val="0000FF"/>
          <w:sz w:val="24"/>
        </w:rPr>
      </w:pPr>
    </w:p>
    <w:p w:rsidR="00175A21" w:rsidRPr="00175A21" w:rsidRDefault="00175A21" w:rsidP="00175A21">
      <w:pPr>
        <w:spacing w:beforeLines="50" w:before="156" w:line="360" w:lineRule="auto"/>
        <w:rPr>
          <w:rFonts w:ascii="仿宋_GB2312" w:eastAsia="仿宋_GB2312" w:hAnsi="宋体"/>
          <w:sz w:val="32"/>
          <w:szCs w:val="32"/>
        </w:rPr>
      </w:pPr>
      <w:r w:rsidRPr="00175A21">
        <w:rPr>
          <w:rFonts w:ascii="仿宋_GB2312" w:eastAsia="仿宋_GB2312" w:hAnsi="宋体"/>
          <w:sz w:val="32"/>
          <w:szCs w:val="32"/>
        </w:rPr>
        <w:t>（3）7天心肌功能指标比较</w:t>
      </w:r>
    </w:p>
    <w:p w:rsidR="00175A21" w:rsidRPr="00175A21" w:rsidRDefault="00175A21" w:rsidP="00175A21">
      <w:pPr>
        <w:spacing w:beforeLines="50" w:before="156" w:line="360" w:lineRule="auto"/>
        <w:rPr>
          <w:rFonts w:ascii="仿宋_GB2312" w:eastAsia="仿宋_GB2312" w:hAnsi="宋体"/>
          <w:sz w:val="32"/>
          <w:szCs w:val="32"/>
        </w:rPr>
      </w:pPr>
      <w:r w:rsidRPr="00175A21">
        <w:rPr>
          <w:rFonts w:ascii="仿宋_GB2312" w:eastAsia="仿宋_GB2312" w:hAnsi="宋体"/>
          <w:sz w:val="32"/>
          <w:szCs w:val="32"/>
        </w:rPr>
        <w:lastRenderedPageBreak/>
        <w:t xml:space="preserve">     两种患者治疗前CI、MAP和LVEF水平比较无统计学差异（P＞0.05）。观察组和对照</w:t>
      </w:r>
      <w:proofErr w:type="gramStart"/>
      <w:r w:rsidRPr="00175A21">
        <w:rPr>
          <w:rFonts w:ascii="仿宋_GB2312" w:eastAsia="仿宋_GB2312" w:hAnsi="宋体"/>
          <w:sz w:val="32"/>
          <w:szCs w:val="32"/>
        </w:rPr>
        <w:t>组治疗</w:t>
      </w:r>
      <w:proofErr w:type="gramEnd"/>
      <w:r w:rsidRPr="00175A21">
        <w:rPr>
          <w:rFonts w:ascii="仿宋_GB2312" w:eastAsia="仿宋_GB2312" w:hAnsi="宋体"/>
          <w:sz w:val="32"/>
          <w:szCs w:val="32"/>
        </w:rPr>
        <w:t>后的CI、MAP和LVEF水平均较治疗前升高，差异具有统计学意义（P＜0.05）。观察</w:t>
      </w:r>
      <w:proofErr w:type="gramStart"/>
      <w:r w:rsidRPr="00175A21">
        <w:rPr>
          <w:rFonts w:ascii="仿宋_GB2312" w:eastAsia="仿宋_GB2312" w:hAnsi="宋体"/>
          <w:sz w:val="32"/>
          <w:szCs w:val="32"/>
        </w:rPr>
        <w:t>组治疗</w:t>
      </w:r>
      <w:proofErr w:type="gramEnd"/>
      <w:r w:rsidRPr="00175A21">
        <w:rPr>
          <w:rFonts w:ascii="仿宋_GB2312" w:eastAsia="仿宋_GB2312" w:hAnsi="宋体"/>
          <w:sz w:val="32"/>
          <w:szCs w:val="32"/>
        </w:rPr>
        <w:t>后的CI、MAP和LVEF水平均较对照</w:t>
      </w:r>
      <w:proofErr w:type="gramStart"/>
      <w:r w:rsidRPr="00175A21">
        <w:rPr>
          <w:rFonts w:ascii="仿宋_GB2312" w:eastAsia="仿宋_GB2312" w:hAnsi="宋体"/>
          <w:sz w:val="32"/>
          <w:szCs w:val="32"/>
        </w:rPr>
        <w:t>组治疗</w:t>
      </w:r>
      <w:proofErr w:type="gramEnd"/>
      <w:r w:rsidRPr="00175A21">
        <w:rPr>
          <w:rFonts w:ascii="仿宋_GB2312" w:eastAsia="仿宋_GB2312" w:hAnsi="宋体"/>
          <w:sz w:val="32"/>
          <w:szCs w:val="32"/>
        </w:rPr>
        <w:t>后的升高，差异具有统计学意义（P＜0.05）。详见表</w:t>
      </w:r>
      <w:r>
        <w:rPr>
          <w:rFonts w:ascii="仿宋_GB2312" w:eastAsia="仿宋_GB2312" w:hAnsi="宋体"/>
          <w:sz w:val="32"/>
          <w:szCs w:val="32"/>
        </w:rPr>
        <w:t>2</w:t>
      </w:r>
      <w:r w:rsidRPr="00175A21">
        <w:rPr>
          <w:rFonts w:ascii="仿宋_GB2312" w:eastAsia="仿宋_GB2312" w:hAnsi="宋体"/>
          <w:sz w:val="32"/>
          <w:szCs w:val="32"/>
        </w:rPr>
        <w:t>。</w:t>
      </w:r>
    </w:p>
    <w:p w:rsidR="00175A21" w:rsidRPr="00175A21" w:rsidRDefault="00175A21" w:rsidP="00175A21">
      <w:pPr>
        <w:spacing w:line="360" w:lineRule="auto"/>
        <w:jc w:val="center"/>
        <w:rPr>
          <w:sz w:val="24"/>
        </w:rPr>
      </w:pPr>
      <w:r w:rsidRPr="00175A21">
        <w:rPr>
          <w:sz w:val="24"/>
        </w:rPr>
        <w:t>表</w:t>
      </w:r>
      <w:r w:rsidRPr="00175A21">
        <w:rPr>
          <w:sz w:val="24"/>
        </w:rPr>
        <w:t xml:space="preserve"> </w:t>
      </w:r>
      <w:r w:rsidRPr="00175A21">
        <w:rPr>
          <w:sz w:val="24"/>
        </w:rPr>
        <w:fldChar w:fldCharType="begin"/>
      </w:r>
      <w:r w:rsidRPr="00175A21">
        <w:rPr>
          <w:sz w:val="24"/>
        </w:rPr>
        <w:instrText xml:space="preserve"> SEQ </w:instrText>
      </w:r>
      <w:r w:rsidRPr="00175A21">
        <w:rPr>
          <w:sz w:val="24"/>
        </w:rPr>
        <w:instrText>表</w:instrText>
      </w:r>
      <w:r w:rsidRPr="00175A21">
        <w:rPr>
          <w:sz w:val="24"/>
        </w:rPr>
        <w:instrText xml:space="preserve"> \* ARABIC </w:instrText>
      </w:r>
      <w:r w:rsidRPr="00175A21">
        <w:rPr>
          <w:sz w:val="24"/>
        </w:rPr>
        <w:fldChar w:fldCharType="separate"/>
      </w:r>
      <w:r>
        <w:rPr>
          <w:noProof/>
          <w:sz w:val="24"/>
        </w:rPr>
        <w:t>2</w:t>
      </w:r>
      <w:r w:rsidRPr="00175A21">
        <w:rPr>
          <w:sz w:val="24"/>
        </w:rPr>
        <w:fldChar w:fldCharType="end"/>
      </w:r>
      <w:r w:rsidRPr="00175A21">
        <w:rPr>
          <w:sz w:val="24"/>
        </w:rPr>
        <w:t xml:space="preserve"> 7</w:t>
      </w:r>
      <w:r w:rsidRPr="00175A21">
        <w:rPr>
          <w:sz w:val="24"/>
        </w:rPr>
        <w:t>天心肌功能指标比较</w:t>
      </w:r>
    </w:p>
    <w:tbl>
      <w:tblPr>
        <w:tblStyle w:val="10"/>
        <w:tblW w:w="0" w:type="auto"/>
        <w:tblInd w:w="395" w:type="dxa"/>
        <w:tblBorders>
          <w:left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1278"/>
        <w:gridCol w:w="1236"/>
        <w:gridCol w:w="1896"/>
        <w:gridCol w:w="1755"/>
        <w:gridCol w:w="1746"/>
      </w:tblGrid>
      <w:tr w:rsidR="00175A21" w:rsidRPr="00175A21" w:rsidTr="00B2076E">
        <w:tc>
          <w:tcPr>
            <w:tcW w:w="1346" w:type="dxa"/>
            <w:tcBorders>
              <w:bottom w:val="single" w:sz="4" w:space="0" w:color="auto"/>
            </w:tcBorders>
          </w:tcPr>
          <w:p w:rsidR="00175A21" w:rsidRPr="00175A21" w:rsidRDefault="00175A21" w:rsidP="00175A21">
            <w:pPr>
              <w:spacing w:line="360" w:lineRule="auto"/>
              <w:rPr>
                <w:sz w:val="24"/>
              </w:rPr>
            </w:pPr>
            <w:r w:rsidRPr="00175A21">
              <w:rPr>
                <w:sz w:val="24"/>
              </w:rPr>
              <w:t>组别</w:t>
            </w:r>
          </w:p>
        </w:tc>
        <w:tc>
          <w:tcPr>
            <w:tcW w:w="1300" w:type="dxa"/>
            <w:tcBorders>
              <w:bottom w:val="single" w:sz="4" w:space="0" w:color="auto"/>
            </w:tcBorders>
          </w:tcPr>
          <w:p w:rsidR="00175A21" w:rsidRPr="00175A21" w:rsidRDefault="00175A21" w:rsidP="00175A21">
            <w:pPr>
              <w:spacing w:line="360" w:lineRule="auto"/>
              <w:rPr>
                <w:sz w:val="24"/>
              </w:rPr>
            </w:pPr>
            <w:r w:rsidRPr="00175A21">
              <w:rPr>
                <w:sz w:val="24"/>
              </w:rPr>
              <w:t>治疗时间</w:t>
            </w:r>
          </w:p>
        </w:tc>
        <w:tc>
          <w:tcPr>
            <w:tcW w:w="1941" w:type="dxa"/>
            <w:tcBorders>
              <w:bottom w:val="single" w:sz="4" w:space="0" w:color="auto"/>
            </w:tcBorders>
          </w:tcPr>
          <w:p w:rsidR="00175A21" w:rsidRPr="00175A21" w:rsidRDefault="00175A21" w:rsidP="00175A21">
            <w:pPr>
              <w:spacing w:line="360" w:lineRule="auto"/>
              <w:rPr>
                <w:sz w:val="24"/>
              </w:rPr>
            </w:pPr>
            <w:r w:rsidRPr="00175A21">
              <w:rPr>
                <w:sz w:val="24"/>
              </w:rPr>
              <w:t>CI(L/min/</w:t>
            </w:r>
            <w:r w:rsidRPr="00175A21">
              <w:rPr>
                <w:sz w:val="24"/>
              </w:rPr>
              <w:t>㎡</w:t>
            </w:r>
            <w:r w:rsidRPr="00175A21">
              <w:rPr>
                <w:sz w:val="24"/>
              </w:rPr>
              <w:t>)</w:t>
            </w:r>
          </w:p>
        </w:tc>
        <w:tc>
          <w:tcPr>
            <w:tcW w:w="1771" w:type="dxa"/>
            <w:tcBorders>
              <w:bottom w:val="single" w:sz="4" w:space="0" w:color="auto"/>
            </w:tcBorders>
          </w:tcPr>
          <w:p w:rsidR="00175A21" w:rsidRPr="00175A21" w:rsidRDefault="00175A21" w:rsidP="00175A21">
            <w:pPr>
              <w:spacing w:line="360" w:lineRule="auto"/>
              <w:rPr>
                <w:sz w:val="24"/>
              </w:rPr>
            </w:pPr>
            <w:proofErr w:type="gramStart"/>
            <w:r w:rsidRPr="00175A21">
              <w:rPr>
                <w:sz w:val="24"/>
              </w:rPr>
              <w:t>MAP(</w:t>
            </w:r>
            <w:proofErr w:type="gramEnd"/>
            <w:r w:rsidRPr="00175A21">
              <w:rPr>
                <w:sz w:val="24"/>
              </w:rPr>
              <w:t>mmHg)</w:t>
            </w:r>
          </w:p>
        </w:tc>
        <w:tc>
          <w:tcPr>
            <w:tcW w:w="1769" w:type="dxa"/>
            <w:tcBorders>
              <w:bottom w:val="single" w:sz="4" w:space="0" w:color="auto"/>
            </w:tcBorders>
          </w:tcPr>
          <w:p w:rsidR="00175A21" w:rsidRPr="00175A21" w:rsidRDefault="00175A21" w:rsidP="00175A21">
            <w:pPr>
              <w:spacing w:line="360" w:lineRule="auto"/>
              <w:rPr>
                <w:sz w:val="24"/>
              </w:rPr>
            </w:pPr>
            <w:proofErr w:type="gramStart"/>
            <w:r w:rsidRPr="00175A21">
              <w:rPr>
                <w:sz w:val="24"/>
              </w:rPr>
              <w:t>LVEF(</w:t>
            </w:r>
            <w:proofErr w:type="gramEnd"/>
            <w:r w:rsidRPr="00175A21">
              <w:rPr>
                <w:sz w:val="24"/>
              </w:rPr>
              <w:t>%)</w:t>
            </w:r>
          </w:p>
        </w:tc>
      </w:tr>
      <w:tr w:rsidR="00175A21" w:rsidRPr="00175A21" w:rsidTr="00B2076E">
        <w:tc>
          <w:tcPr>
            <w:tcW w:w="1346" w:type="dxa"/>
            <w:vMerge w:val="restart"/>
            <w:tcBorders>
              <w:top w:val="single" w:sz="4" w:space="0" w:color="auto"/>
              <w:tl2br w:val="nil"/>
              <w:tr2bl w:val="nil"/>
            </w:tcBorders>
          </w:tcPr>
          <w:p w:rsidR="00175A21" w:rsidRPr="00175A21" w:rsidRDefault="00175A21" w:rsidP="00175A21">
            <w:pPr>
              <w:spacing w:line="360" w:lineRule="auto"/>
              <w:rPr>
                <w:sz w:val="24"/>
              </w:rPr>
            </w:pPr>
            <w:r w:rsidRPr="00175A21">
              <w:rPr>
                <w:sz w:val="24"/>
              </w:rPr>
              <w:t>观察组</w:t>
            </w:r>
          </w:p>
        </w:tc>
        <w:tc>
          <w:tcPr>
            <w:tcW w:w="1300" w:type="dxa"/>
            <w:tcBorders>
              <w:top w:val="single" w:sz="4" w:space="0" w:color="auto"/>
              <w:tl2br w:val="nil"/>
              <w:tr2bl w:val="nil"/>
            </w:tcBorders>
          </w:tcPr>
          <w:p w:rsidR="00175A21" w:rsidRPr="00175A21" w:rsidRDefault="00175A21" w:rsidP="00175A21">
            <w:pPr>
              <w:spacing w:line="360" w:lineRule="auto"/>
              <w:rPr>
                <w:sz w:val="24"/>
              </w:rPr>
            </w:pPr>
            <w:r w:rsidRPr="00175A21">
              <w:rPr>
                <w:sz w:val="24"/>
              </w:rPr>
              <w:t>治疗前</w:t>
            </w:r>
          </w:p>
        </w:tc>
        <w:tc>
          <w:tcPr>
            <w:tcW w:w="1941" w:type="dxa"/>
            <w:tcBorders>
              <w:top w:val="single" w:sz="4" w:space="0" w:color="auto"/>
              <w:tl2br w:val="nil"/>
              <w:tr2bl w:val="nil"/>
            </w:tcBorders>
          </w:tcPr>
          <w:p w:rsidR="00175A21" w:rsidRPr="00175A21" w:rsidRDefault="00175A21" w:rsidP="00175A21">
            <w:pPr>
              <w:spacing w:beforeLines="50" w:before="156" w:line="360" w:lineRule="auto"/>
              <w:rPr>
                <w:sz w:val="24"/>
              </w:rPr>
            </w:pPr>
            <w:r w:rsidRPr="00175A21">
              <w:rPr>
                <w:sz w:val="24"/>
              </w:rPr>
              <w:t>2.17±0.64</w:t>
            </w:r>
          </w:p>
        </w:tc>
        <w:tc>
          <w:tcPr>
            <w:tcW w:w="1771" w:type="dxa"/>
            <w:tcBorders>
              <w:top w:val="single" w:sz="4" w:space="0" w:color="auto"/>
              <w:tl2br w:val="nil"/>
              <w:tr2bl w:val="nil"/>
            </w:tcBorders>
          </w:tcPr>
          <w:p w:rsidR="00175A21" w:rsidRPr="00175A21" w:rsidRDefault="00175A21" w:rsidP="00175A21">
            <w:pPr>
              <w:spacing w:beforeLines="50" w:before="156" w:line="360" w:lineRule="auto"/>
              <w:rPr>
                <w:sz w:val="24"/>
              </w:rPr>
            </w:pPr>
            <w:r w:rsidRPr="00175A21">
              <w:rPr>
                <w:sz w:val="24"/>
              </w:rPr>
              <w:t>43.13±4.37</w:t>
            </w:r>
          </w:p>
        </w:tc>
        <w:tc>
          <w:tcPr>
            <w:tcW w:w="1769" w:type="dxa"/>
            <w:tcBorders>
              <w:top w:val="single" w:sz="4" w:space="0" w:color="auto"/>
              <w:tl2br w:val="nil"/>
              <w:tr2bl w:val="nil"/>
            </w:tcBorders>
          </w:tcPr>
          <w:p w:rsidR="00175A21" w:rsidRPr="00175A21" w:rsidRDefault="00175A21" w:rsidP="00175A21">
            <w:pPr>
              <w:spacing w:beforeLines="50" w:before="156" w:line="360" w:lineRule="auto"/>
              <w:rPr>
                <w:sz w:val="24"/>
              </w:rPr>
            </w:pPr>
            <w:r w:rsidRPr="00175A21">
              <w:rPr>
                <w:sz w:val="24"/>
              </w:rPr>
              <w:t>43.78±4.91</w:t>
            </w:r>
          </w:p>
        </w:tc>
      </w:tr>
      <w:tr w:rsidR="00175A21" w:rsidRPr="00175A21" w:rsidTr="00B2076E">
        <w:tc>
          <w:tcPr>
            <w:tcW w:w="1346" w:type="dxa"/>
            <w:vMerge/>
            <w:tcBorders>
              <w:tl2br w:val="nil"/>
              <w:tr2bl w:val="nil"/>
            </w:tcBorders>
          </w:tcPr>
          <w:p w:rsidR="00175A21" w:rsidRPr="00175A21" w:rsidRDefault="00175A21" w:rsidP="00175A21">
            <w:pPr>
              <w:spacing w:line="360" w:lineRule="auto"/>
              <w:rPr>
                <w:sz w:val="24"/>
              </w:rPr>
            </w:pPr>
          </w:p>
        </w:tc>
        <w:tc>
          <w:tcPr>
            <w:tcW w:w="1300" w:type="dxa"/>
            <w:tcBorders>
              <w:tl2br w:val="nil"/>
              <w:tr2bl w:val="nil"/>
            </w:tcBorders>
          </w:tcPr>
          <w:p w:rsidR="00175A21" w:rsidRPr="00175A21" w:rsidRDefault="00175A21" w:rsidP="00175A21">
            <w:pPr>
              <w:spacing w:line="360" w:lineRule="auto"/>
              <w:rPr>
                <w:sz w:val="24"/>
              </w:rPr>
            </w:pPr>
            <w:r w:rsidRPr="00175A21">
              <w:rPr>
                <w:sz w:val="24"/>
              </w:rPr>
              <w:t>治疗后</w:t>
            </w:r>
          </w:p>
        </w:tc>
        <w:tc>
          <w:tcPr>
            <w:tcW w:w="1941" w:type="dxa"/>
            <w:tcBorders>
              <w:tl2br w:val="nil"/>
              <w:tr2bl w:val="nil"/>
            </w:tcBorders>
          </w:tcPr>
          <w:p w:rsidR="00175A21" w:rsidRPr="00175A21" w:rsidRDefault="00175A21" w:rsidP="00175A21">
            <w:pPr>
              <w:spacing w:beforeLines="50" w:before="156" w:line="360" w:lineRule="auto"/>
              <w:rPr>
                <w:sz w:val="24"/>
              </w:rPr>
            </w:pPr>
            <w:r w:rsidRPr="00175A21">
              <w:rPr>
                <w:sz w:val="24"/>
              </w:rPr>
              <w:t>4.73±0.79</w:t>
            </w:r>
            <w:r w:rsidRPr="00175A21">
              <w:rPr>
                <w:sz w:val="24"/>
                <w:vertAlign w:val="superscript"/>
              </w:rPr>
              <w:t>*#</w:t>
            </w:r>
          </w:p>
        </w:tc>
        <w:tc>
          <w:tcPr>
            <w:tcW w:w="1771" w:type="dxa"/>
            <w:tcBorders>
              <w:tl2br w:val="nil"/>
              <w:tr2bl w:val="nil"/>
            </w:tcBorders>
          </w:tcPr>
          <w:p w:rsidR="00175A21" w:rsidRPr="00175A21" w:rsidRDefault="00175A21" w:rsidP="00175A21">
            <w:pPr>
              <w:spacing w:beforeLines="50" w:before="156" w:line="360" w:lineRule="auto"/>
              <w:rPr>
                <w:sz w:val="24"/>
              </w:rPr>
            </w:pPr>
            <w:r w:rsidRPr="00175A21">
              <w:rPr>
                <w:sz w:val="24"/>
              </w:rPr>
              <w:t>64.35±5.32</w:t>
            </w:r>
            <w:r w:rsidRPr="00175A21">
              <w:rPr>
                <w:sz w:val="24"/>
                <w:vertAlign w:val="superscript"/>
              </w:rPr>
              <w:t>*#</w:t>
            </w:r>
          </w:p>
        </w:tc>
        <w:tc>
          <w:tcPr>
            <w:tcW w:w="1769" w:type="dxa"/>
            <w:tcBorders>
              <w:tl2br w:val="nil"/>
              <w:tr2bl w:val="nil"/>
            </w:tcBorders>
          </w:tcPr>
          <w:p w:rsidR="00175A21" w:rsidRPr="00175A21" w:rsidRDefault="00175A21" w:rsidP="00175A21">
            <w:pPr>
              <w:spacing w:beforeLines="50" w:before="156" w:line="360" w:lineRule="auto"/>
              <w:rPr>
                <w:sz w:val="24"/>
              </w:rPr>
            </w:pPr>
            <w:r w:rsidRPr="00175A21">
              <w:rPr>
                <w:sz w:val="24"/>
              </w:rPr>
              <w:t>64.88±5.24</w:t>
            </w:r>
            <w:r w:rsidRPr="00175A21">
              <w:rPr>
                <w:sz w:val="24"/>
                <w:vertAlign w:val="superscript"/>
              </w:rPr>
              <w:t>*#</w:t>
            </w:r>
          </w:p>
        </w:tc>
      </w:tr>
      <w:tr w:rsidR="00175A21" w:rsidRPr="00175A21" w:rsidTr="00B2076E">
        <w:tc>
          <w:tcPr>
            <w:tcW w:w="1346" w:type="dxa"/>
            <w:vMerge w:val="restart"/>
            <w:tcBorders>
              <w:tl2br w:val="nil"/>
              <w:tr2bl w:val="nil"/>
            </w:tcBorders>
          </w:tcPr>
          <w:p w:rsidR="00175A21" w:rsidRPr="00175A21" w:rsidRDefault="00175A21" w:rsidP="00175A21">
            <w:pPr>
              <w:spacing w:line="360" w:lineRule="auto"/>
              <w:rPr>
                <w:sz w:val="24"/>
              </w:rPr>
            </w:pPr>
            <w:r w:rsidRPr="00175A21">
              <w:rPr>
                <w:sz w:val="24"/>
              </w:rPr>
              <w:t>对照组</w:t>
            </w:r>
          </w:p>
        </w:tc>
        <w:tc>
          <w:tcPr>
            <w:tcW w:w="1300" w:type="dxa"/>
            <w:tcBorders>
              <w:tl2br w:val="nil"/>
              <w:tr2bl w:val="nil"/>
            </w:tcBorders>
          </w:tcPr>
          <w:p w:rsidR="00175A21" w:rsidRPr="00175A21" w:rsidRDefault="00175A21" w:rsidP="00175A21">
            <w:pPr>
              <w:spacing w:line="360" w:lineRule="auto"/>
              <w:rPr>
                <w:sz w:val="24"/>
              </w:rPr>
            </w:pPr>
            <w:r w:rsidRPr="00175A21">
              <w:rPr>
                <w:sz w:val="24"/>
              </w:rPr>
              <w:t>治疗前</w:t>
            </w:r>
          </w:p>
        </w:tc>
        <w:tc>
          <w:tcPr>
            <w:tcW w:w="1941" w:type="dxa"/>
            <w:tcBorders>
              <w:tl2br w:val="nil"/>
              <w:tr2bl w:val="nil"/>
            </w:tcBorders>
          </w:tcPr>
          <w:p w:rsidR="00175A21" w:rsidRPr="00175A21" w:rsidRDefault="00175A21" w:rsidP="00175A21">
            <w:pPr>
              <w:spacing w:beforeLines="50" w:before="156" w:line="360" w:lineRule="auto"/>
              <w:rPr>
                <w:sz w:val="24"/>
              </w:rPr>
            </w:pPr>
            <w:r w:rsidRPr="00175A21">
              <w:rPr>
                <w:sz w:val="24"/>
              </w:rPr>
              <w:t>2.19±0.39</w:t>
            </w:r>
          </w:p>
        </w:tc>
        <w:tc>
          <w:tcPr>
            <w:tcW w:w="1771" w:type="dxa"/>
            <w:tcBorders>
              <w:tl2br w:val="nil"/>
              <w:tr2bl w:val="nil"/>
            </w:tcBorders>
          </w:tcPr>
          <w:p w:rsidR="00175A21" w:rsidRPr="00175A21" w:rsidRDefault="00175A21" w:rsidP="00175A21">
            <w:pPr>
              <w:spacing w:beforeLines="50" w:before="156" w:line="360" w:lineRule="auto"/>
              <w:rPr>
                <w:sz w:val="24"/>
              </w:rPr>
            </w:pPr>
            <w:r w:rsidRPr="00175A21">
              <w:rPr>
                <w:sz w:val="24"/>
              </w:rPr>
              <w:t>43.87±5.12</w:t>
            </w:r>
          </w:p>
        </w:tc>
        <w:tc>
          <w:tcPr>
            <w:tcW w:w="1769" w:type="dxa"/>
            <w:tcBorders>
              <w:tl2br w:val="nil"/>
              <w:tr2bl w:val="nil"/>
            </w:tcBorders>
          </w:tcPr>
          <w:p w:rsidR="00175A21" w:rsidRPr="00175A21" w:rsidRDefault="00175A21" w:rsidP="00175A21">
            <w:pPr>
              <w:spacing w:beforeLines="50" w:before="156" w:line="360" w:lineRule="auto"/>
              <w:rPr>
                <w:sz w:val="24"/>
              </w:rPr>
            </w:pPr>
            <w:r w:rsidRPr="00175A21">
              <w:rPr>
                <w:sz w:val="24"/>
              </w:rPr>
              <w:t>44.39±5.47</w:t>
            </w:r>
          </w:p>
        </w:tc>
      </w:tr>
      <w:tr w:rsidR="00175A21" w:rsidRPr="00175A21" w:rsidTr="00B2076E">
        <w:tc>
          <w:tcPr>
            <w:tcW w:w="1346" w:type="dxa"/>
            <w:vMerge/>
            <w:tcBorders>
              <w:tl2br w:val="nil"/>
              <w:tr2bl w:val="nil"/>
            </w:tcBorders>
          </w:tcPr>
          <w:p w:rsidR="00175A21" w:rsidRPr="00175A21" w:rsidRDefault="00175A21" w:rsidP="00175A21">
            <w:pPr>
              <w:spacing w:line="360" w:lineRule="auto"/>
              <w:rPr>
                <w:sz w:val="24"/>
              </w:rPr>
            </w:pPr>
          </w:p>
        </w:tc>
        <w:tc>
          <w:tcPr>
            <w:tcW w:w="1300" w:type="dxa"/>
            <w:tcBorders>
              <w:tl2br w:val="nil"/>
              <w:tr2bl w:val="nil"/>
            </w:tcBorders>
          </w:tcPr>
          <w:p w:rsidR="00175A21" w:rsidRPr="00175A21" w:rsidRDefault="00175A21" w:rsidP="00175A21">
            <w:pPr>
              <w:spacing w:line="360" w:lineRule="auto"/>
              <w:rPr>
                <w:sz w:val="24"/>
              </w:rPr>
            </w:pPr>
            <w:r w:rsidRPr="00175A21">
              <w:rPr>
                <w:sz w:val="24"/>
              </w:rPr>
              <w:t>治疗后</w:t>
            </w:r>
          </w:p>
        </w:tc>
        <w:tc>
          <w:tcPr>
            <w:tcW w:w="1941" w:type="dxa"/>
            <w:tcBorders>
              <w:tl2br w:val="nil"/>
              <w:tr2bl w:val="nil"/>
            </w:tcBorders>
          </w:tcPr>
          <w:p w:rsidR="00175A21" w:rsidRPr="00175A21" w:rsidRDefault="00175A21" w:rsidP="00175A21">
            <w:pPr>
              <w:spacing w:beforeLines="50" w:before="156" w:line="360" w:lineRule="auto"/>
              <w:rPr>
                <w:sz w:val="24"/>
              </w:rPr>
            </w:pPr>
            <w:r w:rsidRPr="00175A21">
              <w:rPr>
                <w:sz w:val="24"/>
              </w:rPr>
              <w:t>3.57±0.57</w:t>
            </w:r>
            <w:r w:rsidRPr="00175A21">
              <w:rPr>
                <w:sz w:val="24"/>
                <w:vertAlign w:val="superscript"/>
              </w:rPr>
              <w:t>*#</w:t>
            </w:r>
          </w:p>
        </w:tc>
        <w:tc>
          <w:tcPr>
            <w:tcW w:w="1771" w:type="dxa"/>
            <w:tcBorders>
              <w:tl2br w:val="nil"/>
              <w:tr2bl w:val="nil"/>
            </w:tcBorders>
          </w:tcPr>
          <w:p w:rsidR="00175A21" w:rsidRPr="00175A21" w:rsidRDefault="00175A21" w:rsidP="00175A21">
            <w:pPr>
              <w:spacing w:beforeLines="50" w:before="156" w:line="360" w:lineRule="auto"/>
              <w:rPr>
                <w:sz w:val="24"/>
              </w:rPr>
            </w:pPr>
            <w:r w:rsidRPr="00175A21">
              <w:rPr>
                <w:sz w:val="24"/>
              </w:rPr>
              <w:t>56.72±6.84</w:t>
            </w:r>
            <w:r w:rsidRPr="00175A21">
              <w:rPr>
                <w:sz w:val="24"/>
                <w:vertAlign w:val="superscript"/>
              </w:rPr>
              <w:t>*#</w:t>
            </w:r>
          </w:p>
        </w:tc>
        <w:tc>
          <w:tcPr>
            <w:tcW w:w="1769" w:type="dxa"/>
            <w:tcBorders>
              <w:tl2br w:val="nil"/>
              <w:tr2bl w:val="nil"/>
            </w:tcBorders>
          </w:tcPr>
          <w:p w:rsidR="00175A21" w:rsidRPr="00175A21" w:rsidRDefault="00175A21" w:rsidP="00175A21">
            <w:pPr>
              <w:spacing w:beforeLines="50" w:before="156" w:line="360" w:lineRule="auto"/>
              <w:rPr>
                <w:sz w:val="24"/>
              </w:rPr>
            </w:pPr>
            <w:r w:rsidRPr="00175A21">
              <w:rPr>
                <w:sz w:val="24"/>
              </w:rPr>
              <w:t>58.33±6.32</w:t>
            </w:r>
            <w:r w:rsidRPr="00175A21">
              <w:rPr>
                <w:sz w:val="24"/>
                <w:vertAlign w:val="superscript"/>
              </w:rPr>
              <w:t>*#</w:t>
            </w:r>
          </w:p>
        </w:tc>
      </w:tr>
    </w:tbl>
    <w:p w:rsidR="00CF506C" w:rsidRDefault="0010606C">
      <w:pPr>
        <w:spacing w:line="560" w:lineRule="exact"/>
        <w:ind w:firstLineChars="200" w:firstLine="640"/>
        <w:rPr>
          <w:rFonts w:ascii="仿宋_GB2312" w:eastAsia="仿宋_GB2312" w:hAnsi="宋体"/>
          <w:bCs/>
          <w:sz w:val="32"/>
          <w:szCs w:val="32"/>
        </w:rPr>
      </w:pPr>
      <w:r>
        <w:rPr>
          <w:rFonts w:ascii="仿宋_GB2312" w:eastAsia="仿宋_GB2312" w:hAnsi="宋体" w:hint="eastAsia"/>
          <w:sz w:val="32"/>
          <w:szCs w:val="32"/>
        </w:rPr>
        <w:t>此外，标准编制组还进行了《</w:t>
      </w:r>
      <w:r w:rsidR="00175A21" w:rsidRPr="00175A21">
        <w:rPr>
          <w:rFonts w:ascii="仿宋_GB2312" w:eastAsia="仿宋_GB2312" w:hAnsi="宋体" w:hint="eastAsia"/>
          <w:bCs/>
          <w:sz w:val="32"/>
          <w:szCs w:val="32"/>
        </w:rPr>
        <w:t>脓毒性心肌损伤中西医病机融通中药组方的中药入血成分研究</w:t>
      </w:r>
      <w:r>
        <w:rPr>
          <w:rFonts w:ascii="仿宋_GB2312" w:eastAsia="仿宋_GB2312" w:hAnsi="宋体" w:hint="eastAsia"/>
          <w:bCs/>
          <w:sz w:val="32"/>
          <w:szCs w:val="32"/>
        </w:rPr>
        <w:t>》《</w:t>
      </w:r>
      <w:r w:rsidR="00175A21" w:rsidRPr="00175A21">
        <w:rPr>
          <w:rFonts w:ascii="仿宋_GB2312" w:eastAsia="仿宋_GB2312" w:hAnsi="宋体" w:hint="eastAsia"/>
          <w:bCs/>
          <w:sz w:val="32"/>
          <w:szCs w:val="32"/>
        </w:rPr>
        <w:t>脓毒性心肌损伤中西医病机融通中药组方的中药入血成分生物信息学研究</w:t>
      </w:r>
      <w:r>
        <w:rPr>
          <w:rFonts w:ascii="仿宋_GB2312" w:eastAsia="仿宋_GB2312" w:hAnsi="宋体"/>
          <w:bCs/>
          <w:sz w:val="32"/>
          <w:szCs w:val="32"/>
        </w:rPr>
        <w:t>》《</w:t>
      </w:r>
      <w:r w:rsidR="00175A21" w:rsidRPr="00175A21">
        <w:rPr>
          <w:rFonts w:ascii="仿宋_GB2312" w:eastAsia="仿宋_GB2312" w:hAnsi="宋体" w:hint="eastAsia"/>
          <w:bCs/>
          <w:sz w:val="32"/>
          <w:szCs w:val="32"/>
        </w:rPr>
        <w:t>脓毒性心肌损伤中西医病机融通中药组方的动物实验验证疗效研究</w:t>
      </w:r>
      <w:r>
        <w:rPr>
          <w:rFonts w:ascii="仿宋_GB2312" w:eastAsia="仿宋_GB2312" w:hAnsi="宋体"/>
          <w:bCs/>
          <w:sz w:val="32"/>
          <w:szCs w:val="32"/>
        </w:rPr>
        <w:t>》</w:t>
      </w:r>
      <w:r>
        <w:rPr>
          <w:rFonts w:ascii="仿宋_GB2312" w:eastAsia="仿宋_GB2312" w:hAnsi="宋体" w:hint="eastAsia"/>
          <w:bCs/>
          <w:sz w:val="32"/>
          <w:szCs w:val="32"/>
        </w:rPr>
        <w:t>，</w:t>
      </w:r>
      <w:r>
        <w:rPr>
          <w:rFonts w:ascii="仿宋_GB2312" w:eastAsia="仿宋_GB2312" w:hAnsi="宋体"/>
          <w:bCs/>
          <w:sz w:val="32"/>
          <w:szCs w:val="32"/>
        </w:rPr>
        <w:t>见附件</w:t>
      </w:r>
      <w:r>
        <w:rPr>
          <w:rFonts w:ascii="仿宋_GB2312" w:eastAsia="仿宋_GB2312" w:hAnsi="宋体" w:hint="eastAsia"/>
          <w:bCs/>
          <w:sz w:val="32"/>
          <w:szCs w:val="32"/>
        </w:rPr>
        <w:t>1。</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基于</w:t>
      </w:r>
      <w:r>
        <w:rPr>
          <w:rFonts w:ascii="仿宋_GB2312" w:eastAsia="仿宋_GB2312" w:hAnsi="宋体"/>
          <w:sz w:val="32"/>
          <w:szCs w:val="32"/>
        </w:rPr>
        <w:t>前期系列研究，</w:t>
      </w:r>
      <w:r>
        <w:rPr>
          <w:rFonts w:ascii="仿宋_GB2312" w:eastAsia="仿宋_GB2312" w:hAnsi="宋体" w:hint="eastAsia"/>
          <w:sz w:val="32"/>
          <w:szCs w:val="32"/>
        </w:rPr>
        <w:t>明确采用</w:t>
      </w:r>
      <w:r w:rsidR="00C4690C" w:rsidRPr="00C4690C">
        <w:rPr>
          <w:rFonts w:ascii="仿宋_GB2312" w:eastAsia="仿宋_GB2312" w:hAnsi="宋体" w:hint="eastAsia"/>
          <w:sz w:val="32"/>
          <w:szCs w:val="32"/>
        </w:rPr>
        <w:t>宣重症心</w:t>
      </w:r>
      <w:proofErr w:type="gramStart"/>
      <w:r w:rsidR="00C4690C" w:rsidRPr="00C4690C">
        <w:rPr>
          <w:rFonts w:ascii="仿宋_GB2312" w:eastAsia="仿宋_GB2312" w:hAnsi="宋体" w:hint="eastAsia"/>
          <w:sz w:val="32"/>
          <w:szCs w:val="32"/>
        </w:rPr>
        <w:t>痹</w:t>
      </w:r>
      <w:proofErr w:type="gramEnd"/>
      <w:r w:rsidR="00C4690C" w:rsidRPr="00C4690C">
        <w:rPr>
          <w:rFonts w:ascii="仿宋_GB2312" w:eastAsia="仿宋_GB2312" w:hAnsi="宋体" w:hint="eastAsia"/>
          <w:sz w:val="32"/>
          <w:szCs w:val="32"/>
        </w:rPr>
        <w:t>方</w:t>
      </w:r>
      <w:r>
        <w:rPr>
          <w:rFonts w:ascii="仿宋_GB2312" w:eastAsia="仿宋_GB2312" w:hAnsi="宋体" w:hint="eastAsia"/>
          <w:sz w:val="32"/>
          <w:szCs w:val="32"/>
        </w:rPr>
        <w:t>进行</w:t>
      </w:r>
      <w:r>
        <w:rPr>
          <w:rFonts w:ascii="仿宋_GB2312" w:eastAsia="仿宋_GB2312" w:hAnsi="宋体"/>
          <w:sz w:val="32"/>
          <w:szCs w:val="32"/>
        </w:rPr>
        <w:t>中医方药救治</w:t>
      </w:r>
      <w:r>
        <w:rPr>
          <w:rFonts w:ascii="仿宋_GB2312" w:eastAsia="仿宋_GB2312" w:hAnsi="宋体" w:hint="eastAsia"/>
          <w:sz w:val="32"/>
          <w:szCs w:val="32"/>
        </w:rPr>
        <w:t>，</w:t>
      </w:r>
      <w:r w:rsidR="00C4690C" w:rsidRPr="00C4690C">
        <w:rPr>
          <w:rFonts w:ascii="仿宋_GB2312" w:eastAsia="仿宋_GB2312" w:hAnsi="宋体" w:hint="eastAsia"/>
          <w:sz w:val="32"/>
          <w:szCs w:val="32"/>
        </w:rPr>
        <w:t>以旋</w:t>
      </w:r>
      <w:proofErr w:type="gramStart"/>
      <w:r w:rsidR="00C4690C" w:rsidRPr="00C4690C">
        <w:rPr>
          <w:rFonts w:ascii="仿宋_GB2312" w:eastAsia="仿宋_GB2312" w:hAnsi="宋体" w:hint="eastAsia"/>
          <w:sz w:val="32"/>
          <w:szCs w:val="32"/>
        </w:rPr>
        <w:t>覆花降气</w:t>
      </w:r>
      <w:proofErr w:type="gramEnd"/>
      <w:r w:rsidR="00C4690C" w:rsidRPr="00C4690C">
        <w:rPr>
          <w:rFonts w:ascii="仿宋_GB2312" w:eastAsia="仿宋_GB2312" w:hAnsi="宋体" w:hint="eastAsia"/>
          <w:sz w:val="32"/>
          <w:szCs w:val="32"/>
        </w:rPr>
        <w:t>化痰、茜草活血通经为主药，辅以升麻升阳举陷、醋鳖甲软坚散结，共奏理气活血、化痰散结之效。细辛、桂枝温通心阳，</w:t>
      </w:r>
      <w:proofErr w:type="gramStart"/>
      <w:r w:rsidR="00C4690C" w:rsidRPr="00C4690C">
        <w:rPr>
          <w:rFonts w:ascii="仿宋_GB2312" w:eastAsia="仿宋_GB2312" w:hAnsi="宋体" w:hint="eastAsia"/>
          <w:sz w:val="32"/>
          <w:szCs w:val="32"/>
        </w:rPr>
        <w:t>薤</w:t>
      </w:r>
      <w:proofErr w:type="gramEnd"/>
      <w:r w:rsidR="00C4690C" w:rsidRPr="00C4690C">
        <w:rPr>
          <w:rFonts w:ascii="仿宋_GB2312" w:eastAsia="仿宋_GB2312" w:hAnsi="宋体" w:hint="eastAsia"/>
          <w:sz w:val="32"/>
          <w:szCs w:val="32"/>
        </w:rPr>
        <w:t>白、瓜</w:t>
      </w:r>
      <w:proofErr w:type="gramStart"/>
      <w:r w:rsidR="00C4690C" w:rsidRPr="00C4690C">
        <w:rPr>
          <w:rFonts w:ascii="仿宋_GB2312" w:eastAsia="仿宋_GB2312" w:hAnsi="宋体" w:hint="eastAsia"/>
          <w:sz w:val="32"/>
          <w:szCs w:val="32"/>
        </w:rPr>
        <w:t>蒌</w:t>
      </w:r>
      <w:proofErr w:type="gramEnd"/>
      <w:r w:rsidR="00C4690C" w:rsidRPr="00C4690C">
        <w:rPr>
          <w:rFonts w:ascii="仿宋_GB2312" w:eastAsia="仿宋_GB2312" w:hAnsi="宋体" w:hint="eastAsia"/>
          <w:sz w:val="32"/>
          <w:szCs w:val="32"/>
        </w:rPr>
        <w:t>、法半夏宽胸化痰（仿瓜</w:t>
      </w:r>
      <w:proofErr w:type="gramStart"/>
      <w:r w:rsidR="00C4690C" w:rsidRPr="00C4690C">
        <w:rPr>
          <w:rFonts w:ascii="仿宋_GB2312" w:eastAsia="仿宋_GB2312" w:hAnsi="宋体" w:hint="eastAsia"/>
          <w:sz w:val="32"/>
          <w:szCs w:val="32"/>
        </w:rPr>
        <w:t>蒌薤</w:t>
      </w:r>
      <w:proofErr w:type="gramEnd"/>
      <w:r w:rsidR="00C4690C" w:rsidRPr="00C4690C">
        <w:rPr>
          <w:rFonts w:ascii="仿宋_GB2312" w:eastAsia="仿宋_GB2312" w:hAnsi="宋体" w:hint="eastAsia"/>
          <w:sz w:val="32"/>
          <w:szCs w:val="32"/>
        </w:rPr>
        <w:t>白半夏汤意），共治胸</w:t>
      </w:r>
      <w:proofErr w:type="gramStart"/>
      <w:r w:rsidR="00C4690C" w:rsidRPr="00C4690C">
        <w:rPr>
          <w:rFonts w:ascii="仿宋_GB2312" w:eastAsia="仿宋_GB2312" w:hAnsi="宋体" w:hint="eastAsia"/>
          <w:sz w:val="32"/>
          <w:szCs w:val="32"/>
        </w:rPr>
        <w:t>痹</w:t>
      </w:r>
      <w:proofErr w:type="gramEnd"/>
      <w:r w:rsidR="00C4690C" w:rsidRPr="00C4690C">
        <w:rPr>
          <w:rFonts w:ascii="仿宋_GB2312" w:eastAsia="仿宋_GB2312" w:hAnsi="宋体" w:hint="eastAsia"/>
          <w:sz w:val="32"/>
          <w:szCs w:val="32"/>
        </w:rPr>
        <w:t>气滞痰阻。丹参、檀香、砂仁（丹参饮）活血行气，治心胃疼痛；</w:t>
      </w:r>
      <w:bookmarkStart w:id="5" w:name="_GoBack"/>
      <w:bookmarkEnd w:id="5"/>
      <w:r w:rsidR="00C4690C" w:rsidRPr="00C4690C">
        <w:rPr>
          <w:rFonts w:ascii="仿宋_GB2312" w:eastAsia="仿宋_GB2312" w:hAnsi="宋体" w:hint="eastAsia"/>
          <w:sz w:val="32"/>
          <w:szCs w:val="32"/>
        </w:rPr>
        <w:t>桑白皮、地骨皮清肺降火，竹茹、连翘、淡竹叶清热化痰，兼顾上焦郁热。紫菀、射干宣肺利咽，通草通利水道，制何首乌、丹皮益肾凉血，</w:t>
      </w:r>
      <w:proofErr w:type="gramStart"/>
      <w:r w:rsidR="00C4690C" w:rsidRPr="00C4690C">
        <w:rPr>
          <w:rFonts w:ascii="仿宋_GB2312" w:eastAsia="仿宋_GB2312" w:hAnsi="宋体" w:hint="eastAsia"/>
          <w:sz w:val="32"/>
          <w:szCs w:val="32"/>
        </w:rPr>
        <w:lastRenderedPageBreak/>
        <w:t>防温燥</w:t>
      </w:r>
      <w:proofErr w:type="gramEnd"/>
      <w:r w:rsidR="00C4690C" w:rsidRPr="00C4690C">
        <w:rPr>
          <w:rFonts w:ascii="仿宋_GB2312" w:eastAsia="仿宋_GB2312" w:hAnsi="宋体" w:hint="eastAsia"/>
          <w:sz w:val="32"/>
          <w:szCs w:val="32"/>
        </w:rPr>
        <w:t>伤阴。全方兼顾气血痰</w:t>
      </w:r>
      <w:proofErr w:type="gramStart"/>
      <w:r w:rsidR="00C4690C" w:rsidRPr="00C4690C">
        <w:rPr>
          <w:rFonts w:ascii="仿宋_GB2312" w:eastAsia="仿宋_GB2312" w:hAnsi="宋体" w:hint="eastAsia"/>
          <w:sz w:val="32"/>
          <w:szCs w:val="32"/>
        </w:rPr>
        <w:t>瘀</w:t>
      </w:r>
      <w:proofErr w:type="gramEnd"/>
      <w:r w:rsidR="00C4690C" w:rsidRPr="00C4690C">
        <w:rPr>
          <w:rFonts w:ascii="仿宋_GB2312" w:eastAsia="仿宋_GB2312" w:hAnsi="宋体" w:hint="eastAsia"/>
          <w:sz w:val="32"/>
          <w:szCs w:val="32"/>
        </w:rPr>
        <w:t>，共奏宽胸化痰、活血通络、调和气血之效，适用于胸</w:t>
      </w:r>
      <w:proofErr w:type="gramStart"/>
      <w:r w:rsidR="00C4690C" w:rsidRPr="00C4690C">
        <w:rPr>
          <w:rFonts w:ascii="仿宋_GB2312" w:eastAsia="仿宋_GB2312" w:hAnsi="宋体" w:hint="eastAsia"/>
          <w:sz w:val="32"/>
          <w:szCs w:val="32"/>
        </w:rPr>
        <w:t>痹</w:t>
      </w:r>
      <w:proofErr w:type="gramEnd"/>
      <w:r w:rsidR="00C4690C" w:rsidRPr="00C4690C">
        <w:rPr>
          <w:rFonts w:ascii="仿宋_GB2312" w:eastAsia="仿宋_GB2312" w:hAnsi="宋体" w:hint="eastAsia"/>
          <w:sz w:val="32"/>
          <w:szCs w:val="32"/>
        </w:rPr>
        <w:t>心痛、痰</w:t>
      </w:r>
      <w:proofErr w:type="gramStart"/>
      <w:r w:rsidR="00C4690C" w:rsidRPr="00C4690C">
        <w:rPr>
          <w:rFonts w:ascii="仿宋_GB2312" w:eastAsia="仿宋_GB2312" w:hAnsi="宋体" w:hint="eastAsia"/>
          <w:sz w:val="32"/>
          <w:szCs w:val="32"/>
        </w:rPr>
        <w:t>瘀</w:t>
      </w:r>
      <w:proofErr w:type="gramEnd"/>
      <w:r w:rsidR="00C4690C" w:rsidRPr="00C4690C">
        <w:rPr>
          <w:rFonts w:ascii="仿宋_GB2312" w:eastAsia="仿宋_GB2312" w:hAnsi="宋体" w:hint="eastAsia"/>
          <w:sz w:val="32"/>
          <w:szCs w:val="32"/>
        </w:rPr>
        <w:t>互结兼气郁化热</w:t>
      </w:r>
      <w:r w:rsidR="00C4690C">
        <w:rPr>
          <w:rFonts w:ascii="仿宋_GB2312" w:eastAsia="仿宋_GB2312" w:hAnsi="宋体" w:hint="eastAsia"/>
          <w:sz w:val="32"/>
          <w:szCs w:val="32"/>
        </w:rPr>
        <w:t>之证</w:t>
      </w:r>
      <w:r>
        <w:rPr>
          <w:rFonts w:ascii="仿宋_GB2312" w:eastAsia="仿宋_GB2312" w:hAnsi="宋体" w:hint="eastAsia"/>
          <w:sz w:val="32"/>
          <w:szCs w:val="32"/>
        </w:rPr>
        <w:t>。</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标准编制组结合中西医病机融通救治</w:t>
      </w:r>
      <w:r w:rsidR="00AE34F4">
        <w:rPr>
          <w:rFonts w:ascii="仿宋_GB2312" w:eastAsia="仿宋_GB2312" w:hAnsi="宋体" w:hint="eastAsia"/>
          <w:sz w:val="32"/>
          <w:szCs w:val="32"/>
        </w:rPr>
        <w:t>心肌病</w:t>
      </w:r>
      <w:r>
        <w:rPr>
          <w:rFonts w:ascii="仿宋_GB2312" w:eastAsia="仿宋_GB2312" w:hAnsi="宋体" w:hint="eastAsia"/>
          <w:sz w:val="32"/>
          <w:szCs w:val="32"/>
        </w:rPr>
        <w:t>实际，明确了组方中各药材剂量并明确了无明确进食禁忌症，尽早予以100</w:t>
      </w:r>
      <w:r>
        <w:rPr>
          <w:rFonts w:ascii="仿宋_GB2312" w:eastAsia="仿宋_GB2312" w:hAnsi="宋体" w:hint="eastAsia"/>
          <w:sz w:val="32"/>
          <w:szCs w:val="32"/>
          <w:vertAlign w:val="superscript"/>
        </w:rPr>
        <w:t xml:space="preserve"> </w:t>
      </w:r>
      <w:r>
        <w:rPr>
          <w:rFonts w:ascii="仿宋_GB2312" w:eastAsia="仿宋_GB2312" w:hAnsi="宋体" w:hint="eastAsia"/>
          <w:sz w:val="32"/>
          <w:szCs w:val="32"/>
        </w:rPr>
        <w:t>mL/1次，1</w:t>
      </w:r>
      <w:r>
        <w:rPr>
          <w:rFonts w:ascii="仿宋_GB2312" w:eastAsia="仿宋_GB2312" w:hAnsi="宋体" w:hint="eastAsia"/>
          <w:sz w:val="32"/>
          <w:szCs w:val="32"/>
          <w:vertAlign w:val="superscript"/>
        </w:rPr>
        <w:t xml:space="preserve"> </w:t>
      </w:r>
      <w:r>
        <w:rPr>
          <w:rFonts w:ascii="仿宋_GB2312" w:eastAsia="仿宋_GB2312" w:hAnsi="宋体" w:hint="eastAsia"/>
          <w:sz w:val="32"/>
          <w:szCs w:val="32"/>
        </w:rPr>
        <w:t>d/2次鼻饲，鼻饲3</w:t>
      </w:r>
      <w:r>
        <w:rPr>
          <w:rFonts w:ascii="仿宋_GB2312" w:eastAsia="仿宋_GB2312" w:hAnsi="宋体" w:hint="eastAsia"/>
          <w:sz w:val="32"/>
          <w:szCs w:val="32"/>
          <w:vertAlign w:val="superscript"/>
        </w:rPr>
        <w:t xml:space="preserve"> </w:t>
      </w:r>
      <w:r>
        <w:rPr>
          <w:rFonts w:ascii="仿宋_GB2312" w:eastAsia="仿宋_GB2312" w:hAnsi="宋体" w:hint="eastAsia"/>
          <w:sz w:val="32"/>
          <w:szCs w:val="32"/>
        </w:rPr>
        <w:t>d～5</w:t>
      </w:r>
      <w:r>
        <w:rPr>
          <w:rFonts w:ascii="仿宋_GB2312" w:eastAsia="仿宋_GB2312" w:hAnsi="宋体" w:hint="eastAsia"/>
          <w:sz w:val="32"/>
          <w:szCs w:val="32"/>
          <w:vertAlign w:val="superscript"/>
        </w:rPr>
        <w:t xml:space="preserve"> </w:t>
      </w:r>
      <w:r>
        <w:rPr>
          <w:rFonts w:ascii="仿宋_GB2312" w:eastAsia="仿宋_GB2312" w:hAnsi="宋体" w:hint="eastAsia"/>
          <w:sz w:val="32"/>
          <w:szCs w:val="32"/>
        </w:rPr>
        <w:t>d再次予以评估的使用方法。</w:t>
      </w:r>
    </w:p>
    <w:p w:rsidR="00CF506C" w:rsidRDefault="0010606C">
      <w:pPr>
        <w:pStyle w:val="aff7"/>
        <w:numPr>
          <w:ilvl w:val="0"/>
          <w:numId w:val="9"/>
        </w:numPr>
        <w:ind w:firstLineChars="0"/>
        <w:rPr>
          <w:rFonts w:ascii="楷体" w:eastAsia="楷体" w:hAnsi="楷体"/>
          <w:b/>
          <w:sz w:val="32"/>
          <w:szCs w:val="32"/>
        </w:rPr>
      </w:pPr>
      <w:r>
        <w:rPr>
          <w:rFonts w:ascii="楷体" w:eastAsia="楷体" w:hAnsi="楷体" w:hint="eastAsia"/>
          <w:b/>
          <w:sz w:val="32"/>
          <w:szCs w:val="32"/>
        </w:rPr>
        <w:t>注意事项</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根据标准</w:t>
      </w:r>
      <w:r>
        <w:rPr>
          <w:rFonts w:ascii="仿宋_GB2312" w:eastAsia="仿宋_GB2312" w:hAnsi="宋体"/>
          <w:sz w:val="32"/>
          <w:szCs w:val="32"/>
        </w:rPr>
        <w:t>编制组</w:t>
      </w:r>
      <w:r>
        <w:rPr>
          <w:rFonts w:ascii="仿宋_GB2312" w:eastAsia="仿宋_GB2312" w:hAnsi="宋体" w:hint="eastAsia"/>
          <w:sz w:val="32"/>
          <w:szCs w:val="32"/>
        </w:rPr>
        <w:t>救治</w:t>
      </w:r>
      <w:r>
        <w:rPr>
          <w:rFonts w:ascii="仿宋_GB2312" w:eastAsia="仿宋_GB2312" w:hAnsi="宋体"/>
          <w:sz w:val="32"/>
          <w:szCs w:val="32"/>
        </w:rPr>
        <w:t>工作</w:t>
      </w:r>
      <w:r>
        <w:rPr>
          <w:rFonts w:ascii="仿宋_GB2312" w:eastAsia="仿宋_GB2312" w:hAnsi="宋体" w:hint="eastAsia"/>
          <w:sz w:val="32"/>
          <w:szCs w:val="32"/>
        </w:rPr>
        <w:t>经验，</w:t>
      </w:r>
      <w:r>
        <w:rPr>
          <w:rFonts w:ascii="仿宋_GB2312" w:eastAsia="仿宋_GB2312" w:hAnsi="宋体"/>
          <w:sz w:val="32"/>
          <w:szCs w:val="32"/>
        </w:rPr>
        <w:t>明确</w:t>
      </w:r>
      <w:r>
        <w:rPr>
          <w:rFonts w:ascii="仿宋_GB2312" w:eastAsia="仿宋_GB2312" w:hAnsi="宋体" w:hint="eastAsia"/>
          <w:sz w:val="32"/>
          <w:szCs w:val="32"/>
        </w:rPr>
        <w:t>了</w:t>
      </w:r>
      <w:r w:rsidR="00C4690C" w:rsidRPr="00C4690C">
        <w:rPr>
          <w:rFonts w:ascii="仿宋_GB2312" w:eastAsia="仿宋_GB2312" w:hAnsi="宋体" w:hint="eastAsia"/>
          <w:sz w:val="32"/>
          <w:szCs w:val="32"/>
        </w:rPr>
        <w:t>SIC液体复苏时采用“限制性补液策略”，30 mL/kg初始复苏后谨慎补液，应避免容量过负荷加重心衰</w:t>
      </w:r>
      <w:r>
        <w:rPr>
          <w:rFonts w:ascii="仿宋_GB2312" w:eastAsia="仿宋_GB2312" w:hAnsi="宋体"/>
          <w:sz w:val="32"/>
          <w:szCs w:val="32"/>
        </w:rPr>
        <w:t>。</w:t>
      </w:r>
    </w:p>
    <w:p w:rsidR="00CF506C" w:rsidRDefault="0010606C">
      <w:pPr>
        <w:pStyle w:val="aff7"/>
        <w:numPr>
          <w:ilvl w:val="0"/>
          <w:numId w:val="9"/>
        </w:numPr>
        <w:ind w:firstLineChars="0"/>
        <w:rPr>
          <w:rFonts w:ascii="楷体" w:eastAsia="楷体" w:hAnsi="楷体"/>
          <w:b/>
          <w:sz w:val="32"/>
          <w:szCs w:val="32"/>
        </w:rPr>
      </w:pPr>
      <w:r>
        <w:rPr>
          <w:rFonts w:ascii="楷体" w:eastAsia="楷体" w:hAnsi="楷体" w:hint="eastAsia"/>
          <w:b/>
          <w:sz w:val="32"/>
          <w:szCs w:val="32"/>
        </w:rPr>
        <w:t>不良反应处理</w:t>
      </w:r>
    </w:p>
    <w:p w:rsidR="00CF506C" w:rsidRDefault="0010606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针对中药治疗脓毒症</w:t>
      </w:r>
      <w:r w:rsidR="00AE34F4">
        <w:rPr>
          <w:rFonts w:ascii="仿宋_GB2312" w:eastAsia="仿宋_GB2312" w:hAnsi="宋体" w:hint="eastAsia"/>
          <w:sz w:val="32"/>
          <w:szCs w:val="32"/>
        </w:rPr>
        <w:t>心肌病</w:t>
      </w:r>
      <w:r>
        <w:rPr>
          <w:rFonts w:ascii="仿宋_GB2312" w:eastAsia="仿宋_GB2312" w:hAnsi="宋体" w:hint="eastAsia"/>
          <w:sz w:val="32"/>
          <w:szCs w:val="32"/>
        </w:rPr>
        <w:t>可能出现的腹泻和过敏反应，制定规范化处理措施，以确保用药安全。腹泻处理：减少剂量或暂停用药适用于持续腹泻者，以避免水电解质紊乱；过敏处理：对过敏体质患者应谨慎用药，并密切监测。本方案兼顾临床可操作性及患者安全性，确保中药治疗脓毒症</w:t>
      </w:r>
      <w:r w:rsidR="00AE34F4">
        <w:rPr>
          <w:rFonts w:ascii="仿宋_GB2312" w:eastAsia="仿宋_GB2312" w:hAnsi="宋体" w:hint="eastAsia"/>
          <w:sz w:val="32"/>
          <w:szCs w:val="32"/>
        </w:rPr>
        <w:t>心肌病</w:t>
      </w:r>
      <w:r>
        <w:rPr>
          <w:rFonts w:ascii="仿宋_GB2312" w:eastAsia="仿宋_GB2312" w:hAnsi="宋体" w:hint="eastAsia"/>
          <w:sz w:val="32"/>
          <w:szCs w:val="32"/>
        </w:rPr>
        <w:t>的合理应用。</w:t>
      </w:r>
    </w:p>
    <w:p w:rsidR="00CF506C" w:rsidRDefault="0010606C">
      <w:pPr>
        <w:spacing w:beforeLines="50" w:before="156" w:afterLines="50" w:after="156" w:line="560" w:lineRule="exact"/>
        <w:ind w:firstLineChars="200" w:firstLine="640"/>
        <w:outlineLvl w:val="0"/>
        <w:rPr>
          <w:rFonts w:ascii="黑体" w:eastAsia="黑体" w:hAnsi="宋体" w:cs="仿宋_GB2312"/>
          <w:sz w:val="32"/>
          <w:szCs w:val="32"/>
        </w:rPr>
      </w:pPr>
      <w:r>
        <w:rPr>
          <w:rFonts w:ascii="黑体" w:eastAsia="黑体" w:hAnsi="宋体" w:cs="仿宋_GB2312" w:hint="eastAsia"/>
          <w:sz w:val="32"/>
          <w:szCs w:val="32"/>
          <w:lang w:bidi="ar"/>
        </w:rPr>
        <w:t>六、重大意见分歧的处理依据和结果</w:t>
      </w:r>
    </w:p>
    <w:p w:rsidR="00CF506C" w:rsidRDefault="0010606C">
      <w:pPr>
        <w:spacing w:line="560" w:lineRule="exact"/>
        <w:ind w:firstLineChars="200" w:firstLine="640"/>
        <w:rPr>
          <w:rFonts w:ascii="仿宋_GB2312" w:eastAsia="仿宋_GB2312" w:hAnsi="仿宋" w:cs="仿宋_GB2312"/>
          <w:sz w:val="32"/>
          <w:szCs w:val="32"/>
        </w:rPr>
      </w:pPr>
      <w:r>
        <w:rPr>
          <w:rFonts w:ascii="仿宋_GB2312" w:eastAsia="仿宋_GB2312" w:hAnsi="仿宋" w:cs="仿宋_GB2312" w:hint="eastAsia"/>
          <w:sz w:val="32"/>
          <w:szCs w:val="32"/>
          <w:lang w:bidi="ar"/>
        </w:rPr>
        <w:t>本标准研制过程中无重大分歧意见。</w:t>
      </w:r>
    </w:p>
    <w:p w:rsidR="00CF506C" w:rsidRDefault="0010606C">
      <w:pPr>
        <w:spacing w:before="156" w:after="156"/>
        <w:ind w:firstLineChars="200" w:firstLine="640"/>
        <w:outlineLvl w:val="0"/>
        <w:rPr>
          <w:rFonts w:ascii="黑体" w:eastAsia="黑体" w:hAnsi="宋体" w:cs="黑体"/>
          <w:bCs/>
          <w:color w:val="FF0000"/>
          <w:sz w:val="32"/>
          <w:szCs w:val="32"/>
        </w:rPr>
      </w:pPr>
      <w:r>
        <w:rPr>
          <w:rFonts w:ascii="黑体" w:eastAsia="黑体" w:hAnsi="宋体" w:cs="黑体" w:hint="eastAsia"/>
          <w:bCs/>
          <w:sz w:val="32"/>
          <w:szCs w:val="32"/>
          <w:lang w:bidi="ar"/>
        </w:rPr>
        <w:t>七、实施标准的措施</w:t>
      </w:r>
    </w:p>
    <w:p w:rsidR="00CF506C" w:rsidRDefault="0010606C">
      <w:pPr>
        <w:spacing w:line="560" w:lineRule="exact"/>
        <w:ind w:firstLineChars="200" w:firstLine="640"/>
        <w:rPr>
          <w:rFonts w:ascii="仿宋_GB2312" w:eastAsia="仿宋_GB2312" w:hAnsi="仿宋" w:cs="仿宋_GB2312"/>
          <w:color w:val="000000"/>
          <w:sz w:val="32"/>
          <w:szCs w:val="32"/>
          <w:lang w:bidi="ar"/>
        </w:rPr>
      </w:pPr>
      <w:r>
        <w:rPr>
          <w:rFonts w:ascii="仿宋_GB2312" w:eastAsia="仿宋_GB2312" w:hAnsi="仿宋" w:cs="仿宋_GB2312" w:hint="eastAsia"/>
          <w:color w:val="000000"/>
          <w:sz w:val="32"/>
          <w:szCs w:val="32"/>
          <w:lang w:bidi="ar"/>
        </w:rPr>
        <w:t>团体标准《脓毒症</w:t>
      </w:r>
      <w:r w:rsidR="00AE34F4">
        <w:rPr>
          <w:rFonts w:ascii="仿宋_GB2312" w:eastAsia="仿宋_GB2312" w:hAnsi="仿宋" w:cs="仿宋_GB2312" w:hint="eastAsia"/>
          <w:color w:val="000000"/>
          <w:sz w:val="32"/>
          <w:szCs w:val="32"/>
          <w:lang w:bidi="ar"/>
        </w:rPr>
        <w:t>心肌病</w:t>
      </w:r>
      <w:r>
        <w:rPr>
          <w:rFonts w:ascii="仿宋_GB2312" w:eastAsia="仿宋_GB2312" w:hAnsi="仿宋" w:cs="仿宋_GB2312" w:hint="eastAsia"/>
          <w:color w:val="000000"/>
          <w:sz w:val="32"/>
          <w:szCs w:val="32"/>
          <w:lang w:bidi="ar"/>
        </w:rPr>
        <w:t>中西医病机融通救治技术规范》发布后，积极向各级相关行政部门、医疗机构宣传，向所有医疗机构推荐执行本标准。</w:t>
      </w:r>
    </w:p>
    <w:p w:rsidR="00CF506C" w:rsidRDefault="0010606C">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cs="黑体" w:hint="eastAsia"/>
          <w:sz w:val="32"/>
          <w:szCs w:val="32"/>
          <w:lang w:bidi="ar"/>
        </w:rPr>
        <w:lastRenderedPageBreak/>
        <w:t>八、其他应当说明的事项</w:t>
      </w:r>
    </w:p>
    <w:p w:rsidR="00CF506C" w:rsidRDefault="0010606C">
      <w:pPr>
        <w:widowControl/>
        <w:ind w:firstLineChars="200" w:firstLine="640"/>
        <w:jc w:val="left"/>
      </w:pPr>
      <w:r>
        <w:rPr>
          <w:rFonts w:ascii="仿宋_GB2312" w:eastAsia="仿宋_GB2312" w:hAnsi="Calibri" w:hint="eastAsia"/>
          <w:sz w:val="32"/>
          <w:szCs w:val="32"/>
          <w:lang w:bidi="ar"/>
        </w:rPr>
        <w:t>无。</w:t>
      </w:r>
    </w:p>
    <w:p w:rsidR="00CF506C" w:rsidRDefault="00CF506C">
      <w:pPr>
        <w:spacing w:line="560" w:lineRule="exact"/>
        <w:ind w:firstLineChars="200" w:firstLine="640"/>
        <w:rPr>
          <w:rFonts w:ascii="仿宋_GB2312" w:eastAsia="仿宋_GB2312" w:hAnsi="宋体"/>
          <w:sz w:val="32"/>
          <w:szCs w:val="32"/>
        </w:rPr>
      </w:pPr>
    </w:p>
    <w:p w:rsidR="00CF506C" w:rsidRDefault="00CF506C">
      <w:pPr>
        <w:spacing w:line="560" w:lineRule="exact"/>
        <w:ind w:firstLineChars="300" w:firstLine="960"/>
        <w:jc w:val="right"/>
        <w:rPr>
          <w:rFonts w:ascii="仿宋_GB2312" w:eastAsia="仿宋_GB2312" w:hAnsi="宋体"/>
          <w:sz w:val="32"/>
          <w:szCs w:val="32"/>
        </w:rPr>
      </w:pPr>
    </w:p>
    <w:p w:rsidR="00CF506C" w:rsidRDefault="0010606C">
      <w:pPr>
        <w:spacing w:line="560" w:lineRule="exact"/>
        <w:ind w:firstLineChars="1600" w:firstLine="5120"/>
        <w:jc w:val="left"/>
        <w:rPr>
          <w:rFonts w:ascii="仿宋_GB2312" w:eastAsia="仿宋_GB2312" w:hAnsi="宋体"/>
          <w:sz w:val="32"/>
          <w:szCs w:val="32"/>
        </w:rPr>
      </w:pPr>
      <w:r>
        <w:rPr>
          <w:rFonts w:ascii="仿宋_GB2312" w:eastAsia="仿宋_GB2312" w:hAnsi="宋体" w:hint="eastAsia"/>
          <w:sz w:val="32"/>
          <w:szCs w:val="32"/>
        </w:rPr>
        <w:t>团体标准</w:t>
      </w:r>
    </w:p>
    <w:p w:rsidR="00CF506C" w:rsidRDefault="0010606C">
      <w:pPr>
        <w:spacing w:line="560" w:lineRule="exact"/>
        <w:ind w:firstLineChars="300" w:firstLine="960"/>
        <w:jc w:val="right"/>
        <w:rPr>
          <w:rFonts w:ascii="仿宋_GB2312" w:eastAsia="仿宋_GB2312" w:hAnsi="宋体"/>
          <w:sz w:val="32"/>
          <w:szCs w:val="32"/>
        </w:rPr>
      </w:pPr>
      <w:proofErr w:type="gramStart"/>
      <w:r>
        <w:rPr>
          <w:rFonts w:ascii="仿宋_GB2312" w:eastAsia="仿宋_GB2312" w:hAnsi="宋体" w:hint="eastAsia"/>
          <w:sz w:val="32"/>
          <w:szCs w:val="32"/>
        </w:rPr>
        <w:t>《</w:t>
      </w:r>
      <w:proofErr w:type="gramEnd"/>
      <w:r>
        <w:rPr>
          <w:rFonts w:ascii="仿宋_GB2312" w:eastAsia="仿宋_GB2312" w:hAnsi="宋体" w:hint="eastAsia"/>
          <w:sz w:val="32"/>
          <w:szCs w:val="32"/>
        </w:rPr>
        <w:t>脓毒症</w:t>
      </w:r>
      <w:r w:rsidR="00AE34F4">
        <w:rPr>
          <w:rFonts w:ascii="仿宋_GB2312" w:eastAsia="仿宋_GB2312" w:hAnsi="宋体" w:hint="eastAsia"/>
          <w:sz w:val="32"/>
          <w:szCs w:val="32"/>
        </w:rPr>
        <w:t>心肌病</w:t>
      </w:r>
      <w:r>
        <w:rPr>
          <w:rFonts w:ascii="仿宋_GB2312" w:eastAsia="仿宋_GB2312" w:hAnsi="宋体" w:hint="eastAsia"/>
          <w:sz w:val="32"/>
          <w:szCs w:val="32"/>
        </w:rPr>
        <w:t>中西医病机融通</w:t>
      </w:r>
    </w:p>
    <w:p w:rsidR="00CF506C" w:rsidRDefault="0010606C">
      <w:pPr>
        <w:spacing w:line="560" w:lineRule="exact"/>
        <w:ind w:firstLineChars="1500" w:firstLine="4800"/>
        <w:jc w:val="left"/>
        <w:rPr>
          <w:rFonts w:ascii="仿宋_GB2312" w:eastAsia="仿宋_GB2312" w:hAnsi="宋体"/>
          <w:sz w:val="32"/>
          <w:szCs w:val="32"/>
        </w:rPr>
      </w:pPr>
      <w:r>
        <w:rPr>
          <w:rFonts w:ascii="仿宋_GB2312" w:eastAsia="仿宋_GB2312" w:hAnsi="宋体" w:hint="eastAsia"/>
          <w:sz w:val="32"/>
          <w:szCs w:val="32"/>
        </w:rPr>
        <w:t>救治技术规范》</w:t>
      </w:r>
    </w:p>
    <w:p w:rsidR="00CF506C" w:rsidRDefault="0010606C">
      <w:pPr>
        <w:spacing w:line="560" w:lineRule="exact"/>
        <w:ind w:right="640" w:firstLineChars="1600" w:firstLine="5120"/>
        <w:rPr>
          <w:rFonts w:ascii="仿宋_GB2312" w:eastAsia="仿宋_GB2312" w:hAnsi="宋体"/>
          <w:sz w:val="32"/>
          <w:szCs w:val="32"/>
        </w:rPr>
      </w:pPr>
      <w:r>
        <w:rPr>
          <w:rFonts w:ascii="仿宋_GB2312" w:eastAsia="仿宋_GB2312" w:hAnsi="宋体" w:hint="eastAsia"/>
          <w:sz w:val="32"/>
          <w:szCs w:val="32"/>
        </w:rPr>
        <w:t>标准编制组</w:t>
      </w:r>
    </w:p>
    <w:p w:rsidR="00CF506C" w:rsidRDefault="0010606C">
      <w:pPr>
        <w:spacing w:line="560" w:lineRule="exact"/>
        <w:ind w:right="640" w:firstLineChars="1500" w:firstLine="4800"/>
        <w:rPr>
          <w:rFonts w:ascii="仿宋_GB2312" w:eastAsia="仿宋_GB2312" w:hAnsi="宋体"/>
          <w:sz w:val="32"/>
          <w:szCs w:val="32"/>
        </w:rPr>
      </w:pPr>
      <w:r>
        <w:rPr>
          <w:rFonts w:ascii="仿宋_GB2312" w:eastAsia="仿宋_GB2312" w:hAnsi="宋体" w:hint="eastAsia"/>
          <w:sz w:val="32"/>
          <w:szCs w:val="32"/>
        </w:rPr>
        <w:t>2025年5月16日</w:t>
      </w:r>
    </w:p>
    <w:p w:rsidR="00CF506C" w:rsidRDefault="00CF506C">
      <w:pPr>
        <w:spacing w:line="560" w:lineRule="exact"/>
        <w:ind w:right="640" w:firstLineChars="1500" w:firstLine="4800"/>
        <w:rPr>
          <w:rFonts w:ascii="仿宋_GB2312" w:eastAsia="仿宋_GB2312" w:hAnsi="宋体"/>
          <w:sz w:val="32"/>
          <w:szCs w:val="32"/>
        </w:rPr>
      </w:pPr>
    </w:p>
    <w:p w:rsidR="00CF506C" w:rsidRDefault="00CF506C">
      <w:pPr>
        <w:spacing w:line="560" w:lineRule="exact"/>
        <w:ind w:right="640" w:firstLineChars="1500" w:firstLine="4800"/>
        <w:rPr>
          <w:rFonts w:ascii="仿宋_GB2312" w:eastAsia="仿宋_GB2312" w:hAnsi="宋体"/>
          <w:sz w:val="32"/>
          <w:szCs w:val="32"/>
        </w:rPr>
      </w:pPr>
    </w:p>
    <w:p w:rsidR="00CF506C" w:rsidRDefault="00CF506C">
      <w:pPr>
        <w:spacing w:line="560" w:lineRule="exact"/>
        <w:ind w:right="640" w:firstLineChars="1500" w:firstLine="4800"/>
        <w:rPr>
          <w:rFonts w:ascii="仿宋_GB2312" w:eastAsia="仿宋_GB2312" w:hAnsi="宋体"/>
          <w:sz w:val="32"/>
          <w:szCs w:val="32"/>
        </w:rPr>
      </w:pPr>
    </w:p>
    <w:p w:rsidR="00CF506C" w:rsidRDefault="00CF506C">
      <w:pPr>
        <w:spacing w:line="560" w:lineRule="exact"/>
        <w:ind w:right="640" w:firstLineChars="1500" w:firstLine="4800"/>
        <w:rPr>
          <w:rFonts w:ascii="仿宋_GB2312" w:eastAsia="仿宋_GB2312" w:hAnsi="宋体"/>
          <w:sz w:val="32"/>
          <w:szCs w:val="32"/>
        </w:rPr>
      </w:pPr>
    </w:p>
    <w:p w:rsidR="00C4690C" w:rsidRDefault="00C4690C">
      <w:pPr>
        <w:spacing w:line="560" w:lineRule="exact"/>
        <w:ind w:right="640" w:firstLineChars="1500" w:firstLine="4800"/>
        <w:rPr>
          <w:rFonts w:ascii="仿宋_GB2312" w:eastAsia="仿宋_GB2312" w:hAnsi="宋体"/>
          <w:sz w:val="32"/>
          <w:szCs w:val="32"/>
        </w:rPr>
      </w:pPr>
    </w:p>
    <w:p w:rsidR="00C4690C" w:rsidRDefault="00C4690C">
      <w:pPr>
        <w:spacing w:line="560" w:lineRule="exact"/>
        <w:ind w:right="640" w:firstLineChars="1500" w:firstLine="4800"/>
        <w:rPr>
          <w:rFonts w:ascii="仿宋_GB2312" w:eastAsia="仿宋_GB2312" w:hAnsi="宋体"/>
          <w:sz w:val="32"/>
          <w:szCs w:val="32"/>
        </w:rPr>
      </w:pPr>
    </w:p>
    <w:p w:rsidR="00C4690C" w:rsidRDefault="00C4690C">
      <w:pPr>
        <w:spacing w:line="560" w:lineRule="exact"/>
        <w:ind w:right="640" w:firstLineChars="1500" w:firstLine="4800"/>
        <w:rPr>
          <w:rFonts w:ascii="仿宋_GB2312" w:eastAsia="仿宋_GB2312" w:hAnsi="宋体"/>
          <w:sz w:val="32"/>
          <w:szCs w:val="32"/>
        </w:rPr>
      </w:pPr>
    </w:p>
    <w:p w:rsidR="00C4690C" w:rsidRDefault="00C4690C">
      <w:pPr>
        <w:spacing w:line="560" w:lineRule="exact"/>
        <w:ind w:right="640" w:firstLineChars="1500" w:firstLine="4800"/>
        <w:rPr>
          <w:rFonts w:ascii="仿宋_GB2312" w:eastAsia="仿宋_GB2312" w:hAnsi="宋体"/>
          <w:sz w:val="32"/>
          <w:szCs w:val="32"/>
        </w:rPr>
      </w:pPr>
    </w:p>
    <w:p w:rsidR="00CF506C" w:rsidRDefault="0010606C">
      <w:pPr>
        <w:spacing w:line="560" w:lineRule="exact"/>
        <w:ind w:right="640"/>
        <w:rPr>
          <w:rFonts w:ascii="仿宋_GB2312" w:eastAsia="仿宋_GB2312" w:hAnsi="宋体"/>
          <w:sz w:val="32"/>
          <w:szCs w:val="32"/>
        </w:rPr>
      </w:pPr>
      <w:r>
        <w:rPr>
          <w:rFonts w:ascii="仿宋_GB2312" w:eastAsia="仿宋_GB2312" w:hAnsi="宋体" w:hint="eastAsia"/>
          <w:sz w:val="32"/>
          <w:szCs w:val="32"/>
        </w:rPr>
        <w:t>附件1</w:t>
      </w:r>
    </w:p>
    <w:p w:rsidR="00CF506C" w:rsidRDefault="00C4690C">
      <w:pPr>
        <w:spacing w:beforeLines="50" w:before="156" w:line="360" w:lineRule="auto"/>
        <w:jc w:val="center"/>
        <w:outlineLvl w:val="2"/>
        <w:rPr>
          <w:rFonts w:cs="宋体"/>
          <w:b/>
          <w:bCs/>
          <w:sz w:val="24"/>
          <w:szCs w:val="32"/>
          <w:lang w:bidi="ar"/>
        </w:rPr>
      </w:pPr>
      <w:proofErr w:type="gramStart"/>
      <w:r w:rsidRPr="00C4690C">
        <w:rPr>
          <w:rFonts w:cs="宋体" w:hint="eastAsia"/>
          <w:b/>
          <w:bCs/>
          <w:sz w:val="24"/>
          <w:szCs w:val="32"/>
          <w:lang w:bidi="ar"/>
        </w:rPr>
        <w:t>脓</w:t>
      </w:r>
      <w:proofErr w:type="gramEnd"/>
      <w:r w:rsidRPr="00C4690C">
        <w:rPr>
          <w:rFonts w:cs="宋体" w:hint="eastAsia"/>
          <w:b/>
          <w:bCs/>
          <w:sz w:val="24"/>
          <w:szCs w:val="32"/>
          <w:lang w:bidi="ar"/>
        </w:rPr>
        <w:t>毒性心肌损伤中西医病机融通中药组方的中药入血成分研究</w:t>
      </w:r>
    </w:p>
    <w:p w:rsidR="00C4690C" w:rsidRDefault="0010606C" w:rsidP="00C4690C">
      <w:pPr>
        <w:spacing w:line="360" w:lineRule="auto"/>
        <w:rPr>
          <w:sz w:val="24"/>
        </w:rPr>
      </w:pPr>
      <w:r>
        <w:rPr>
          <w:rFonts w:cs="宋体" w:hint="eastAsia"/>
          <w:sz w:val="24"/>
          <w:szCs w:val="32"/>
          <w:lang w:bidi="ar"/>
        </w:rPr>
        <w:t>一、</w:t>
      </w:r>
      <w:r w:rsidR="00C4690C">
        <w:rPr>
          <w:sz w:val="24"/>
        </w:rPr>
        <w:t>资料与方法</w:t>
      </w:r>
    </w:p>
    <w:p w:rsidR="00C4690C" w:rsidRDefault="00C4690C" w:rsidP="00C4690C">
      <w:pPr>
        <w:spacing w:line="360" w:lineRule="auto"/>
        <w:rPr>
          <w:sz w:val="24"/>
        </w:rPr>
      </w:pPr>
      <w:r>
        <w:rPr>
          <w:sz w:val="24"/>
        </w:rPr>
        <w:t>（</w:t>
      </w:r>
      <w:r>
        <w:rPr>
          <w:sz w:val="24"/>
        </w:rPr>
        <w:t>1</w:t>
      </w:r>
      <w:r>
        <w:rPr>
          <w:sz w:val="24"/>
        </w:rPr>
        <w:t>）实验动物</w:t>
      </w:r>
    </w:p>
    <w:p w:rsidR="00C4690C" w:rsidRDefault="00C4690C" w:rsidP="00C4690C">
      <w:pPr>
        <w:spacing w:line="360" w:lineRule="auto"/>
        <w:ind w:firstLineChars="300" w:firstLine="720"/>
        <w:rPr>
          <w:sz w:val="24"/>
          <w:highlight w:val="red"/>
        </w:rPr>
      </w:pPr>
      <w:r>
        <w:rPr>
          <w:sz w:val="24"/>
        </w:rPr>
        <w:t>选取</w:t>
      </w:r>
      <w:r>
        <w:rPr>
          <w:sz w:val="24"/>
        </w:rPr>
        <w:t>6</w:t>
      </w:r>
      <w:r>
        <w:rPr>
          <w:sz w:val="24"/>
        </w:rPr>
        <w:t>只</w:t>
      </w:r>
      <w:r>
        <w:rPr>
          <w:sz w:val="24"/>
        </w:rPr>
        <w:t>SD</w:t>
      </w:r>
      <w:r>
        <w:rPr>
          <w:sz w:val="24"/>
        </w:rPr>
        <w:t>雄性</w:t>
      </w:r>
      <w:r>
        <w:rPr>
          <w:sz w:val="24"/>
        </w:rPr>
        <w:t>6-</w:t>
      </w:r>
      <w:proofErr w:type="gramStart"/>
      <w:r>
        <w:rPr>
          <w:sz w:val="24"/>
        </w:rPr>
        <w:t>8</w:t>
      </w:r>
      <w:r>
        <w:rPr>
          <w:sz w:val="24"/>
        </w:rPr>
        <w:t>周龄大鼠</w:t>
      </w:r>
      <w:proofErr w:type="gramEnd"/>
      <w:r>
        <w:rPr>
          <w:sz w:val="24"/>
        </w:rPr>
        <w:t>，体重</w:t>
      </w:r>
      <w:r>
        <w:rPr>
          <w:sz w:val="24"/>
        </w:rPr>
        <w:t>180~220g</w:t>
      </w:r>
      <w:r>
        <w:rPr>
          <w:sz w:val="24"/>
        </w:rPr>
        <w:t>，</w:t>
      </w:r>
      <w:proofErr w:type="gramStart"/>
      <w:r>
        <w:rPr>
          <w:sz w:val="24"/>
        </w:rPr>
        <w:t>均购自</w:t>
      </w:r>
      <w:proofErr w:type="gramEnd"/>
      <w:r>
        <w:rPr>
          <w:sz w:val="24"/>
        </w:rPr>
        <w:t>湖南</w:t>
      </w:r>
      <w:proofErr w:type="gramStart"/>
      <w:r>
        <w:rPr>
          <w:sz w:val="24"/>
        </w:rPr>
        <w:t>斯莱克景达实验</w:t>
      </w:r>
      <w:proofErr w:type="gramEnd"/>
      <w:r>
        <w:rPr>
          <w:sz w:val="24"/>
        </w:rPr>
        <w:t>动物有限公司。实验前在良好的饲养环境（温度</w:t>
      </w:r>
      <w:r>
        <w:rPr>
          <w:sz w:val="24"/>
        </w:rPr>
        <w:t>20~26℃</w:t>
      </w:r>
      <w:r>
        <w:rPr>
          <w:sz w:val="24"/>
        </w:rPr>
        <w:t>、湿度</w:t>
      </w:r>
      <w:r>
        <w:rPr>
          <w:sz w:val="24"/>
        </w:rPr>
        <w:t>50% ~60%</w:t>
      </w:r>
      <w:r>
        <w:rPr>
          <w:sz w:val="24"/>
        </w:rPr>
        <w:t>）下适应性喂养</w:t>
      </w:r>
      <w:r>
        <w:rPr>
          <w:sz w:val="24"/>
        </w:rPr>
        <w:t>7 d</w:t>
      </w:r>
      <w:r>
        <w:rPr>
          <w:sz w:val="24"/>
        </w:rPr>
        <w:t>，自由进食进水。采用随机数字表法，将</w:t>
      </w:r>
      <w:r>
        <w:rPr>
          <w:sz w:val="24"/>
        </w:rPr>
        <w:t>6</w:t>
      </w:r>
      <w:r>
        <w:rPr>
          <w:sz w:val="24"/>
        </w:rPr>
        <w:t>只大鼠随机分为宣</w:t>
      </w:r>
      <w:proofErr w:type="gramStart"/>
      <w:r>
        <w:rPr>
          <w:sz w:val="24"/>
        </w:rPr>
        <w:t>痹</w:t>
      </w:r>
      <w:proofErr w:type="gramEnd"/>
      <w:r>
        <w:rPr>
          <w:sz w:val="24"/>
        </w:rPr>
        <w:t>温胆汤入血成分测定空白组、宣</w:t>
      </w:r>
      <w:proofErr w:type="gramStart"/>
      <w:r>
        <w:rPr>
          <w:sz w:val="24"/>
        </w:rPr>
        <w:t>痹</w:t>
      </w:r>
      <w:proofErr w:type="gramEnd"/>
      <w:r>
        <w:rPr>
          <w:sz w:val="24"/>
        </w:rPr>
        <w:t>温胆汤入血成分测定中药组，每组各</w:t>
      </w:r>
      <w:r>
        <w:rPr>
          <w:sz w:val="24"/>
        </w:rPr>
        <w:t>3</w:t>
      </w:r>
      <w:r>
        <w:rPr>
          <w:sz w:val="24"/>
        </w:rPr>
        <w:t>只。</w:t>
      </w:r>
      <w:r>
        <w:rPr>
          <w:sz w:val="24"/>
        </w:rPr>
        <w:lastRenderedPageBreak/>
        <w:t>本实验获得广西中医药大学动物伦理委员会批准，所有实验动物均按照中华人民共和国科技部</w:t>
      </w:r>
      <w:r>
        <w:rPr>
          <w:sz w:val="24"/>
        </w:rPr>
        <w:t>2006</w:t>
      </w:r>
      <w:r>
        <w:rPr>
          <w:sz w:val="24"/>
        </w:rPr>
        <w:t>年颁布的《关于善待实验动物的指导性意见》中的相关规定进行合理操作。</w:t>
      </w:r>
    </w:p>
    <w:p w:rsidR="00C4690C" w:rsidRDefault="00C4690C" w:rsidP="00C4690C">
      <w:pPr>
        <w:spacing w:line="360" w:lineRule="auto"/>
        <w:rPr>
          <w:sz w:val="24"/>
        </w:rPr>
      </w:pPr>
      <w:r>
        <w:rPr>
          <w:sz w:val="24"/>
        </w:rPr>
        <w:t>（</w:t>
      </w:r>
      <w:r>
        <w:rPr>
          <w:sz w:val="24"/>
        </w:rPr>
        <w:t>2</w:t>
      </w:r>
      <w:r>
        <w:rPr>
          <w:sz w:val="24"/>
        </w:rPr>
        <w:t>）实验药物</w:t>
      </w:r>
    </w:p>
    <w:p w:rsidR="00C4690C" w:rsidRDefault="00C4690C" w:rsidP="00C4690C">
      <w:pPr>
        <w:spacing w:line="360" w:lineRule="auto"/>
        <w:ind w:firstLineChars="200" w:firstLine="480"/>
        <w:rPr>
          <w:sz w:val="24"/>
        </w:rPr>
      </w:pPr>
      <w:r>
        <w:rPr>
          <w:sz w:val="24"/>
        </w:rPr>
        <w:t xml:space="preserve"> </w:t>
      </w:r>
      <w:r>
        <w:rPr>
          <w:sz w:val="24"/>
        </w:rPr>
        <w:t>重症心</w:t>
      </w:r>
      <w:proofErr w:type="gramStart"/>
      <w:r>
        <w:rPr>
          <w:sz w:val="24"/>
        </w:rPr>
        <w:t>痹</w:t>
      </w:r>
      <w:proofErr w:type="gramEnd"/>
      <w:r>
        <w:rPr>
          <w:sz w:val="24"/>
        </w:rPr>
        <w:t>方：旋覆花</w:t>
      </w:r>
      <w:r>
        <w:rPr>
          <w:sz w:val="24"/>
        </w:rPr>
        <w:t>20g</w:t>
      </w:r>
      <w:r>
        <w:rPr>
          <w:sz w:val="24"/>
        </w:rPr>
        <w:t>（包煎）、茜草</w:t>
      </w:r>
      <w:r>
        <w:rPr>
          <w:sz w:val="24"/>
        </w:rPr>
        <w:t>15g</w:t>
      </w:r>
      <w:r>
        <w:rPr>
          <w:sz w:val="24"/>
        </w:rPr>
        <w:t>、升麻</w:t>
      </w:r>
      <w:r>
        <w:rPr>
          <w:sz w:val="24"/>
        </w:rPr>
        <w:t>15g</w:t>
      </w:r>
      <w:r>
        <w:rPr>
          <w:sz w:val="24"/>
        </w:rPr>
        <w:t>、醋鳖甲</w:t>
      </w:r>
      <w:r>
        <w:rPr>
          <w:sz w:val="24"/>
        </w:rPr>
        <w:t>10g</w:t>
      </w:r>
      <w:r>
        <w:rPr>
          <w:sz w:val="24"/>
        </w:rPr>
        <w:t>（先煎）、芍药</w:t>
      </w:r>
      <w:r>
        <w:rPr>
          <w:sz w:val="24"/>
        </w:rPr>
        <w:t>20g</w:t>
      </w:r>
      <w:r>
        <w:rPr>
          <w:sz w:val="24"/>
        </w:rPr>
        <w:t>、当归</w:t>
      </w:r>
      <w:r>
        <w:rPr>
          <w:sz w:val="24"/>
        </w:rPr>
        <w:t>15g</w:t>
      </w:r>
      <w:r>
        <w:rPr>
          <w:sz w:val="24"/>
        </w:rPr>
        <w:t>、细辛</w:t>
      </w:r>
      <w:r>
        <w:rPr>
          <w:sz w:val="24"/>
        </w:rPr>
        <w:t>10g</w:t>
      </w:r>
      <w:r>
        <w:rPr>
          <w:sz w:val="24"/>
        </w:rPr>
        <w:t>、通草</w:t>
      </w:r>
      <w:r>
        <w:rPr>
          <w:sz w:val="24"/>
        </w:rPr>
        <w:t>10g</w:t>
      </w:r>
      <w:r>
        <w:rPr>
          <w:sz w:val="24"/>
        </w:rPr>
        <w:t>、醋郁金</w:t>
      </w:r>
      <w:r>
        <w:rPr>
          <w:sz w:val="24"/>
        </w:rPr>
        <w:t>15g</w:t>
      </w:r>
      <w:r>
        <w:rPr>
          <w:sz w:val="24"/>
        </w:rPr>
        <w:t>、射干</w:t>
      </w:r>
      <w:r>
        <w:rPr>
          <w:sz w:val="24"/>
        </w:rPr>
        <w:t>15g</w:t>
      </w:r>
      <w:r>
        <w:rPr>
          <w:sz w:val="24"/>
        </w:rPr>
        <w:t>、紫菀</w:t>
      </w:r>
      <w:r>
        <w:rPr>
          <w:sz w:val="24"/>
        </w:rPr>
        <w:t>20g</w:t>
      </w:r>
      <w:r>
        <w:rPr>
          <w:sz w:val="24"/>
        </w:rPr>
        <w:t>、瓜</w:t>
      </w:r>
      <w:proofErr w:type="gramStart"/>
      <w:r>
        <w:rPr>
          <w:sz w:val="24"/>
        </w:rPr>
        <w:t>蒌</w:t>
      </w:r>
      <w:proofErr w:type="gramEnd"/>
      <w:r>
        <w:rPr>
          <w:sz w:val="24"/>
        </w:rPr>
        <w:t>15g</w:t>
      </w:r>
      <w:r>
        <w:rPr>
          <w:sz w:val="24"/>
        </w:rPr>
        <w:t>、</w:t>
      </w:r>
      <w:proofErr w:type="gramStart"/>
      <w:r>
        <w:rPr>
          <w:sz w:val="24"/>
        </w:rPr>
        <w:t>薤</w:t>
      </w:r>
      <w:proofErr w:type="gramEnd"/>
      <w:r>
        <w:rPr>
          <w:sz w:val="24"/>
        </w:rPr>
        <w:t>白</w:t>
      </w:r>
      <w:r>
        <w:rPr>
          <w:sz w:val="24"/>
        </w:rPr>
        <w:t>30g</w:t>
      </w:r>
      <w:r>
        <w:rPr>
          <w:sz w:val="24"/>
        </w:rPr>
        <w:t>、桂枝</w:t>
      </w:r>
      <w:r>
        <w:rPr>
          <w:sz w:val="24"/>
        </w:rPr>
        <w:t>15g</w:t>
      </w:r>
      <w:r>
        <w:rPr>
          <w:sz w:val="24"/>
        </w:rPr>
        <w:t>、法半夏</w:t>
      </w:r>
      <w:r>
        <w:rPr>
          <w:sz w:val="24"/>
        </w:rPr>
        <w:t>20g</w:t>
      </w:r>
      <w:r>
        <w:rPr>
          <w:sz w:val="24"/>
        </w:rPr>
        <w:t>、枳实</w:t>
      </w:r>
      <w:r>
        <w:rPr>
          <w:sz w:val="24"/>
        </w:rPr>
        <w:t>15g</w:t>
      </w:r>
      <w:r>
        <w:rPr>
          <w:sz w:val="24"/>
        </w:rPr>
        <w:t>、猪心血丹参</w:t>
      </w:r>
      <w:r>
        <w:rPr>
          <w:sz w:val="24"/>
        </w:rPr>
        <w:t>10g</w:t>
      </w:r>
      <w:r>
        <w:rPr>
          <w:sz w:val="24"/>
        </w:rPr>
        <w:t>、檀香</w:t>
      </w:r>
      <w:r>
        <w:rPr>
          <w:sz w:val="24"/>
        </w:rPr>
        <w:t>5g</w:t>
      </w:r>
      <w:r>
        <w:rPr>
          <w:sz w:val="24"/>
        </w:rPr>
        <w:t>（后下）、砂仁</w:t>
      </w:r>
      <w:r>
        <w:rPr>
          <w:sz w:val="24"/>
        </w:rPr>
        <w:t>5g</w:t>
      </w:r>
      <w:r>
        <w:rPr>
          <w:sz w:val="24"/>
        </w:rPr>
        <w:t>（后下）、姜竹茹</w:t>
      </w:r>
      <w:r>
        <w:rPr>
          <w:sz w:val="24"/>
        </w:rPr>
        <w:t>30g</w:t>
      </w:r>
      <w:r>
        <w:rPr>
          <w:sz w:val="24"/>
        </w:rPr>
        <w:t>、桑白皮</w:t>
      </w:r>
      <w:r>
        <w:rPr>
          <w:sz w:val="24"/>
        </w:rPr>
        <w:t>15g</w:t>
      </w:r>
      <w:r>
        <w:rPr>
          <w:sz w:val="24"/>
        </w:rPr>
        <w:t>、地骨皮</w:t>
      </w:r>
      <w:r>
        <w:rPr>
          <w:sz w:val="24"/>
        </w:rPr>
        <w:t>30g</w:t>
      </w:r>
      <w:r>
        <w:rPr>
          <w:sz w:val="24"/>
        </w:rPr>
        <w:t>、制何首乌</w:t>
      </w:r>
      <w:r>
        <w:rPr>
          <w:sz w:val="24"/>
        </w:rPr>
        <w:t>10g</w:t>
      </w:r>
      <w:r>
        <w:rPr>
          <w:sz w:val="24"/>
        </w:rPr>
        <w:t>、丹皮</w:t>
      </w:r>
      <w:r>
        <w:rPr>
          <w:sz w:val="24"/>
        </w:rPr>
        <w:t>20g</w:t>
      </w:r>
      <w:r>
        <w:rPr>
          <w:sz w:val="24"/>
        </w:rPr>
        <w:t>、柴胡</w:t>
      </w:r>
      <w:r>
        <w:rPr>
          <w:sz w:val="24"/>
        </w:rPr>
        <w:t>10g</w:t>
      </w:r>
      <w:r>
        <w:rPr>
          <w:sz w:val="24"/>
        </w:rPr>
        <w:t>、淡竹叶</w:t>
      </w:r>
      <w:r>
        <w:rPr>
          <w:sz w:val="24"/>
        </w:rPr>
        <w:t>10g</w:t>
      </w:r>
      <w:r>
        <w:rPr>
          <w:sz w:val="24"/>
        </w:rPr>
        <w:t>、连翘</w:t>
      </w:r>
      <w:r>
        <w:rPr>
          <w:sz w:val="24"/>
        </w:rPr>
        <w:t>10g</w:t>
      </w:r>
      <w:r>
        <w:rPr>
          <w:sz w:val="24"/>
        </w:rPr>
        <w:t>。以上中药均由广西中医药大学第一附属医院门诊中药房提供。制备方法：将上述中药浸泡于</w:t>
      </w:r>
      <w:r>
        <w:rPr>
          <w:sz w:val="24"/>
        </w:rPr>
        <w:t>5</w:t>
      </w:r>
      <w:r>
        <w:rPr>
          <w:sz w:val="24"/>
        </w:rPr>
        <w:t>倍体积水中浸泡</w:t>
      </w:r>
      <w:r>
        <w:rPr>
          <w:sz w:val="24"/>
        </w:rPr>
        <w:t>1h</w:t>
      </w:r>
      <w:r>
        <w:rPr>
          <w:sz w:val="24"/>
        </w:rPr>
        <w:t>，武火煎煮</w:t>
      </w:r>
      <w:r>
        <w:rPr>
          <w:sz w:val="24"/>
        </w:rPr>
        <w:t>10min</w:t>
      </w:r>
      <w:r>
        <w:rPr>
          <w:sz w:val="24"/>
        </w:rPr>
        <w:t>，文火再煎煮</w:t>
      </w:r>
      <w:r>
        <w:rPr>
          <w:sz w:val="24"/>
        </w:rPr>
        <w:t>20min</w:t>
      </w:r>
      <w:r>
        <w:rPr>
          <w:sz w:val="24"/>
        </w:rPr>
        <w:t>后过滤；再加入</w:t>
      </w:r>
      <w:r>
        <w:rPr>
          <w:sz w:val="24"/>
        </w:rPr>
        <w:t>3</w:t>
      </w:r>
      <w:r>
        <w:rPr>
          <w:sz w:val="24"/>
        </w:rPr>
        <w:t>倍水煎煮</w:t>
      </w:r>
      <w:r>
        <w:rPr>
          <w:sz w:val="24"/>
        </w:rPr>
        <w:t xml:space="preserve"> 20min </w:t>
      </w:r>
      <w:r>
        <w:rPr>
          <w:sz w:val="24"/>
        </w:rPr>
        <w:t>后过滤，两次过滤后的汤剂予以混合并浓缩至</w:t>
      </w:r>
      <w:r>
        <w:rPr>
          <w:sz w:val="24"/>
        </w:rPr>
        <w:t>2.04758</w:t>
      </w:r>
      <w:r>
        <w:rPr>
          <w:sz w:val="24"/>
        </w:rPr>
        <w:t>生药</w:t>
      </w:r>
      <w:r>
        <w:rPr>
          <w:sz w:val="24"/>
        </w:rPr>
        <w:t>/mL</w:t>
      </w:r>
      <w:r>
        <w:rPr>
          <w:sz w:val="24"/>
        </w:rPr>
        <w:t>药液。此外，将</w:t>
      </w:r>
      <w:r>
        <w:rPr>
          <w:sz w:val="24"/>
        </w:rPr>
        <w:t>10mL</w:t>
      </w:r>
      <w:r>
        <w:rPr>
          <w:sz w:val="24"/>
        </w:rPr>
        <w:t>的宣</w:t>
      </w:r>
      <w:proofErr w:type="gramStart"/>
      <w:r>
        <w:rPr>
          <w:sz w:val="24"/>
        </w:rPr>
        <w:t>痹</w:t>
      </w:r>
      <w:proofErr w:type="gramEnd"/>
      <w:r>
        <w:rPr>
          <w:sz w:val="24"/>
        </w:rPr>
        <w:t>温胆汤中药原液置于</w:t>
      </w:r>
      <w:r>
        <w:rPr>
          <w:sz w:val="24"/>
        </w:rPr>
        <w:t>4℃</w:t>
      </w:r>
      <w:r>
        <w:rPr>
          <w:sz w:val="24"/>
        </w:rPr>
        <w:t>冰箱，以便后续中药化学成分检测分析。</w:t>
      </w:r>
    </w:p>
    <w:p w:rsidR="00C4690C" w:rsidRDefault="00C4690C" w:rsidP="00C4690C">
      <w:pPr>
        <w:spacing w:line="360" w:lineRule="auto"/>
        <w:rPr>
          <w:sz w:val="24"/>
        </w:rPr>
      </w:pPr>
      <w:r>
        <w:rPr>
          <w:sz w:val="24"/>
        </w:rPr>
        <w:t>（</w:t>
      </w:r>
      <w:r>
        <w:rPr>
          <w:sz w:val="24"/>
        </w:rPr>
        <w:t>3</w:t>
      </w:r>
      <w:r>
        <w:rPr>
          <w:sz w:val="24"/>
        </w:rPr>
        <w:t>）主要实验仪器与试剂</w:t>
      </w:r>
    </w:p>
    <w:p w:rsidR="00C4690C" w:rsidRDefault="00C4690C" w:rsidP="00C4690C">
      <w:pPr>
        <w:spacing w:line="360" w:lineRule="auto"/>
        <w:ind w:firstLineChars="300" w:firstLine="720"/>
        <w:rPr>
          <w:sz w:val="24"/>
        </w:rPr>
      </w:pPr>
      <w:r>
        <w:rPr>
          <w:sz w:val="24"/>
        </w:rPr>
        <w:t>10%</w:t>
      </w:r>
      <w:r>
        <w:rPr>
          <w:sz w:val="24"/>
        </w:rPr>
        <w:t>水合氯醛（福州韦伯康生物科技公司）、生理盐水（青岛海博生物技术有限公司）、碘伏（唐派医疗有限公司）、酒精（唐派医疗有限公司）、</w:t>
      </w:r>
      <w:r>
        <w:rPr>
          <w:sz w:val="24"/>
        </w:rPr>
        <w:t>LC-MS/MS</w:t>
      </w:r>
      <w:r>
        <w:rPr>
          <w:sz w:val="24"/>
        </w:rPr>
        <w:t>系统组合型四</w:t>
      </w:r>
      <w:proofErr w:type="gramStart"/>
      <w:r>
        <w:rPr>
          <w:sz w:val="24"/>
        </w:rPr>
        <w:t>极</w:t>
      </w:r>
      <w:proofErr w:type="gramEnd"/>
      <w:r>
        <w:rPr>
          <w:sz w:val="24"/>
        </w:rPr>
        <w:t>杆</w:t>
      </w:r>
      <w:r>
        <w:rPr>
          <w:sz w:val="24"/>
        </w:rPr>
        <w:t>Orbitrap</w:t>
      </w:r>
      <w:r>
        <w:rPr>
          <w:sz w:val="24"/>
        </w:rPr>
        <w:t>质谱仪（美国</w:t>
      </w:r>
      <w:r>
        <w:rPr>
          <w:sz w:val="24"/>
        </w:rPr>
        <w:t>ThermoFisher</w:t>
      </w:r>
      <w:r>
        <w:rPr>
          <w:sz w:val="24"/>
        </w:rPr>
        <w:t>公司）。主要实验仪器与试剂详见表</w:t>
      </w:r>
      <w:r>
        <w:rPr>
          <w:sz w:val="24"/>
        </w:rPr>
        <w:t>3</w:t>
      </w:r>
      <w:r>
        <w:rPr>
          <w:rFonts w:hint="eastAsia"/>
          <w:sz w:val="24"/>
        </w:rPr>
        <w:t>-</w:t>
      </w:r>
      <w:r>
        <w:rPr>
          <w:sz w:val="24"/>
        </w:rPr>
        <w:t>4</w:t>
      </w:r>
      <w:r>
        <w:rPr>
          <w:sz w:val="24"/>
        </w:rPr>
        <w:t>。</w:t>
      </w:r>
    </w:p>
    <w:p w:rsidR="00C4690C" w:rsidRDefault="00C4690C" w:rsidP="00C4690C">
      <w:pPr>
        <w:pStyle w:val="af"/>
        <w:spacing w:line="360" w:lineRule="auto"/>
        <w:ind w:firstLine="480"/>
        <w:jc w:val="center"/>
        <w:rPr>
          <w:rFonts w:ascii="Times New Roman" w:eastAsia="宋体" w:hAnsi="Times New Roman"/>
          <w:sz w:val="24"/>
          <w:szCs w:val="24"/>
        </w:rPr>
      </w:pPr>
      <w:r>
        <w:rPr>
          <w:rFonts w:ascii="Times New Roman" w:eastAsia="宋体" w:hAnsi="Times New Roman"/>
          <w:sz w:val="24"/>
          <w:szCs w:val="24"/>
        </w:rPr>
        <w:t>表</w:t>
      </w:r>
      <w:r>
        <w:rPr>
          <w:rFonts w:ascii="Times New Roman" w:eastAsia="宋体" w:hAnsi="Times New Roman"/>
          <w:sz w:val="24"/>
          <w:szCs w:val="24"/>
        </w:rPr>
        <w:t xml:space="preserve"> </w:t>
      </w:r>
      <w:r>
        <w:rPr>
          <w:rFonts w:ascii="Times New Roman" w:eastAsia="宋体" w:hAnsi="Times New Roman"/>
          <w:sz w:val="24"/>
          <w:szCs w:val="24"/>
        </w:rPr>
        <w:fldChar w:fldCharType="begin"/>
      </w:r>
      <w:r>
        <w:rPr>
          <w:rFonts w:ascii="Times New Roman" w:eastAsia="宋体" w:hAnsi="Times New Roman"/>
          <w:sz w:val="24"/>
          <w:szCs w:val="24"/>
        </w:rPr>
        <w:instrText xml:space="preserve"> SEQ </w:instrText>
      </w:r>
      <w:r>
        <w:rPr>
          <w:rFonts w:ascii="Times New Roman" w:eastAsia="宋体" w:hAnsi="Times New Roman"/>
          <w:sz w:val="24"/>
          <w:szCs w:val="24"/>
        </w:rPr>
        <w:instrText>表</w:instrText>
      </w:r>
      <w:r>
        <w:rPr>
          <w:rFonts w:ascii="Times New Roman" w:eastAsia="宋体" w:hAnsi="Times New Roman"/>
          <w:sz w:val="24"/>
          <w:szCs w:val="24"/>
        </w:rPr>
        <w:instrText xml:space="preserve"> \* ARABIC </w:instrText>
      </w:r>
      <w:r>
        <w:rPr>
          <w:rFonts w:ascii="Times New Roman" w:eastAsia="宋体" w:hAnsi="Times New Roman"/>
          <w:sz w:val="24"/>
          <w:szCs w:val="24"/>
        </w:rPr>
        <w:fldChar w:fldCharType="separate"/>
      </w:r>
      <w:r>
        <w:rPr>
          <w:rFonts w:ascii="Times New Roman" w:eastAsia="宋体" w:hAnsi="Times New Roman"/>
          <w:noProof/>
          <w:sz w:val="24"/>
          <w:szCs w:val="24"/>
        </w:rPr>
        <w:t>3</w:t>
      </w:r>
      <w:r>
        <w:rPr>
          <w:rFonts w:ascii="Times New Roman" w:eastAsia="宋体" w:hAnsi="Times New Roman"/>
          <w:sz w:val="24"/>
          <w:szCs w:val="24"/>
        </w:rPr>
        <w:fldChar w:fldCharType="end"/>
      </w:r>
      <w:r>
        <w:rPr>
          <w:rFonts w:ascii="Times New Roman" w:eastAsia="宋体" w:hAnsi="Times New Roman"/>
          <w:sz w:val="24"/>
          <w:szCs w:val="24"/>
        </w:rPr>
        <w:t>实验试剂列表</w:t>
      </w:r>
    </w:p>
    <w:tbl>
      <w:tblPr>
        <w:tblStyle w:val="TableNormal"/>
        <w:tblW w:w="8746" w:type="dxa"/>
        <w:tblInd w:w="21" w:type="dxa"/>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ayout w:type="fixed"/>
        <w:tblLook w:val="0000" w:firstRow="0" w:lastRow="0" w:firstColumn="0" w:lastColumn="0" w:noHBand="0" w:noVBand="0"/>
      </w:tblPr>
      <w:tblGrid>
        <w:gridCol w:w="3392"/>
        <w:gridCol w:w="1606"/>
        <w:gridCol w:w="1422"/>
        <w:gridCol w:w="2326"/>
      </w:tblGrid>
      <w:tr w:rsidR="00C4690C" w:rsidTr="00B2076E">
        <w:trPr>
          <w:trHeight w:val="286"/>
        </w:trPr>
        <w:tc>
          <w:tcPr>
            <w:tcW w:w="3392" w:type="dxa"/>
            <w:tcBorders>
              <w:top w:val="single" w:sz="2" w:space="0" w:color="008CCE"/>
              <w:left w:val="single" w:sz="2" w:space="0" w:color="008CCE"/>
              <w:bottom w:val="single" w:sz="6" w:space="0" w:color="008CCE"/>
            </w:tcBorders>
            <w:shd w:val="clear" w:color="auto" w:fill="008CCE"/>
          </w:tcPr>
          <w:p w:rsidR="00C4690C" w:rsidRDefault="00C4690C" w:rsidP="00B2076E">
            <w:pPr>
              <w:pStyle w:val="TableText"/>
              <w:spacing w:before="67" w:line="360" w:lineRule="auto"/>
              <w:ind w:left="2053"/>
              <w:rPr>
                <w:rFonts w:ascii="Times New Roman" w:hAnsi="Times New Roman" w:cs="Times New Roman"/>
                <w:sz w:val="21"/>
                <w:szCs w:val="21"/>
              </w:rPr>
            </w:pPr>
            <w:r>
              <w:rPr>
                <w:rFonts w:ascii="Times New Roman" w:hAnsi="Times New Roman" w:cs="Times New Roman"/>
                <w:spacing w:val="2"/>
                <w:sz w:val="21"/>
                <w:szCs w:val="21"/>
              </w:rPr>
              <w:t>名称</w:t>
            </w:r>
          </w:p>
        </w:tc>
        <w:tc>
          <w:tcPr>
            <w:tcW w:w="1606" w:type="dxa"/>
            <w:tcBorders>
              <w:top w:val="single" w:sz="2" w:space="0" w:color="008CCE"/>
              <w:bottom w:val="single" w:sz="6" w:space="0" w:color="DDDDDD"/>
            </w:tcBorders>
            <w:shd w:val="clear" w:color="auto" w:fill="008CCE"/>
          </w:tcPr>
          <w:p w:rsidR="00C4690C" w:rsidRDefault="00C4690C" w:rsidP="00B2076E">
            <w:pPr>
              <w:pStyle w:val="TableText"/>
              <w:spacing w:before="88" w:line="360" w:lineRule="auto"/>
              <w:ind w:left="544"/>
              <w:rPr>
                <w:rFonts w:ascii="Times New Roman" w:hAnsi="Times New Roman" w:cs="Times New Roman"/>
                <w:sz w:val="21"/>
                <w:szCs w:val="21"/>
              </w:rPr>
            </w:pPr>
            <w:r>
              <w:rPr>
                <w:rFonts w:ascii="Times New Roman" w:hAnsi="Times New Roman" w:cs="Times New Roman"/>
                <w:spacing w:val="7"/>
                <w:sz w:val="21"/>
                <w:szCs w:val="21"/>
              </w:rPr>
              <w:t>CAS</w:t>
            </w:r>
          </w:p>
        </w:tc>
        <w:tc>
          <w:tcPr>
            <w:tcW w:w="1422" w:type="dxa"/>
            <w:tcBorders>
              <w:top w:val="single" w:sz="2" w:space="0" w:color="008CCE"/>
              <w:bottom w:val="single" w:sz="6" w:space="0" w:color="DDDDDD"/>
            </w:tcBorders>
            <w:shd w:val="clear" w:color="auto" w:fill="008CCE"/>
          </w:tcPr>
          <w:p w:rsidR="00C4690C" w:rsidRDefault="00C4690C" w:rsidP="00B2076E">
            <w:pPr>
              <w:pStyle w:val="TableText"/>
              <w:spacing w:before="67" w:line="360" w:lineRule="auto"/>
              <w:ind w:left="330"/>
              <w:rPr>
                <w:rFonts w:ascii="Times New Roman" w:hAnsi="Times New Roman" w:cs="Times New Roman"/>
                <w:sz w:val="21"/>
                <w:szCs w:val="21"/>
              </w:rPr>
            </w:pPr>
            <w:r>
              <w:rPr>
                <w:rFonts w:ascii="Times New Roman" w:hAnsi="Times New Roman" w:cs="Times New Roman"/>
                <w:spacing w:val="2"/>
                <w:sz w:val="21"/>
                <w:szCs w:val="21"/>
              </w:rPr>
              <w:t>纯度</w:t>
            </w:r>
          </w:p>
        </w:tc>
        <w:tc>
          <w:tcPr>
            <w:tcW w:w="2326" w:type="dxa"/>
            <w:tcBorders>
              <w:top w:val="single" w:sz="2" w:space="0" w:color="008CCE"/>
              <w:bottom w:val="single" w:sz="6" w:space="0" w:color="008CCE"/>
              <w:right w:val="single" w:sz="2" w:space="0" w:color="008CCE"/>
            </w:tcBorders>
            <w:shd w:val="clear" w:color="auto" w:fill="008CCE"/>
          </w:tcPr>
          <w:p w:rsidR="00C4690C" w:rsidRDefault="00C4690C" w:rsidP="00B2076E">
            <w:pPr>
              <w:pStyle w:val="TableText"/>
              <w:spacing w:before="67" w:line="360" w:lineRule="auto"/>
              <w:ind w:left="1211"/>
              <w:rPr>
                <w:rFonts w:ascii="Times New Roman" w:hAnsi="Times New Roman" w:cs="Times New Roman"/>
                <w:sz w:val="21"/>
                <w:szCs w:val="21"/>
              </w:rPr>
            </w:pPr>
            <w:r>
              <w:rPr>
                <w:rFonts w:ascii="Times New Roman" w:hAnsi="Times New Roman" w:cs="Times New Roman"/>
                <w:spacing w:val="-3"/>
                <w:sz w:val="21"/>
                <w:szCs w:val="21"/>
              </w:rPr>
              <w:t>品牌</w:t>
            </w:r>
          </w:p>
        </w:tc>
      </w:tr>
      <w:tr w:rsidR="00C4690C" w:rsidTr="00B2076E">
        <w:trPr>
          <w:trHeight w:val="272"/>
        </w:trPr>
        <w:tc>
          <w:tcPr>
            <w:tcW w:w="3392" w:type="dxa"/>
            <w:tcBorders>
              <w:top w:val="single" w:sz="6" w:space="0" w:color="DDDDDD"/>
              <w:left w:val="single" w:sz="2" w:space="0" w:color="DDDDDD"/>
              <w:bottom w:val="single" w:sz="2" w:space="0" w:color="DDDDDD"/>
            </w:tcBorders>
            <w:shd w:val="clear" w:color="auto" w:fill="B7DEE8"/>
          </w:tcPr>
          <w:p w:rsidR="00C4690C" w:rsidRDefault="00C4690C" w:rsidP="00B2076E">
            <w:pPr>
              <w:pStyle w:val="TableText"/>
              <w:spacing w:before="59" w:line="360" w:lineRule="auto"/>
              <w:jc w:val="center"/>
              <w:rPr>
                <w:rFonts w:ascii="Times New Roman" w:hAnsi="Times New Roman" w:cs="Times New Roman"/>
                <w:sz w:val="21"/>
                <w:szCs w:val="21"/>
              </w:rPr>
            </w:pPr>
            <w:r>
              <w:rPr>
                <w:rFonts w:ascii="Times New Roman" w:hAnsi="Times New Roman" w:cs="Times New Roman"/>
                <w:spacing w:val="4"/>
                <w:sz w:val="21"/>
                <w:szCs w:val="21"/>
              </w:rPr>
              <w:t>甲醇（</w:t>
            </w:r>
            <w:r>
              <w:rPr>
                <w:rFonts w:ascii="Times New Roman" w:hAnsi="Times New Roman" w:cs="Times New Roman"/>
                <w:sz w:val="21"/>
                <w:szCs w:val="21"/>
              </w:rPr>
              <w:t>Methanol</w:t>
            </w:r>
            <w:r>
              <w:rPr>
                <w:rFonts w:ascii="Times New Roman" w:hAnsi="Times New Roman" w:cs="Times New Roman"/>
                <w:spacing w:val="4"/>
                <w:sz w:val="21"/>
                <w:szCs w:val="21"/>
              </w:rPr>
              <w:t>）</w:t>
            </w:r>
          </w:p>
        </w:tc>
        <w:tc>
          <w:tcPr>
            <w:tcW w:w="1606" w:type="dxa"/>
            <w:tcBorders>
              <w:top w:val="single" w:sz="6" w:space="0" w:color="DDDDDD"/>
              <w:bottom w:val="single" w:sz="2" w:space="0" w:color="DDDDDD"/>
            </w:tcBorders>
            <w:shd w:val="clear" w:color="auto" w:fill="B7DEE8"/>
          </w:tcPr>
          <w:p w:rsidR="00C4690C" w:rsidRDefault="00C4690C" w:rsidP="00B2076E">
            <w:pPr>
              <w:pStyle w:val="TableText"/>
              <w:spacing w:before="81" w:line="360" w:lineRule="auto"/>
              <w:ind w:left="411"/>
              <w:rPr>
                <w:rFonts w:ascii="Times New Roman" w:hAnsi="Times New Roman" w:cs="Times New Roman"/>
                <w:sz w:val="21"/>
                <w:szCs w:val="21"/>
              </w:rPr>
            </w:pPr>
            <w:r>
              <w:rPr>
                <w:rFonts w:ascii="Times New Roman" w:hAnsi="Times New Roman" w:cs="Times New Roman"/>
                <w:spacing w:val="3"/>
                <w:sz w:val="21"/>
                <w:szCs w:val="21"/>
              </w:rPr>
              <w:t>67-56-1</w:t>
            </w:r>
          </w:p>
        </w:tc>
        <w:tc>
          <w:tcPr>
            <w:tcW w:w="1422" w:type="dxa"/>
            <w:tcBorders>
              <w:top w:val="single" w:sz="6" w:space="0" w:color="DDDDDD"/>
              <w:bottom w:val="single" w:sz="2" w:space="0" w:color="DDDDDD"/>
            </w:tcBorders>
            <w:shd w:val="clear" w:color="auto" w:fill="B7DEE8"/>
          </w:tcPr>
          <w:p w:rsidR="00C4690C" w:rsidRDefault="00C4690C" w:rsidP="00B2076E">
            <w:pPr>
              <w:pStyle w:val="TableText"/>
              <w:spacing w:before="58" w:line="360" w:lineRule="auto"/>
              <w:ind w:left="222"/>
              <w:jc w:val="center"/>
              <w:rPr>
                <w:rFonts w:ascii="Times New Roman" w:hAnsi="Times New Roman" w:cs="Times New Roman"/>
                <w:sz w:val="21"/>
                <w:szCs w:val="21"/>
              </w:rPr>
            </w:pPr>
            <w:r>
              <w:rPr>
                <w:rFonts w:ascii="Times New Roman" w:hAnsi="Times New Roman" w:cs="Times New Roman"/>
                <w:sz w:val="21"/>
                <w:szCs w:val="21"/>
              </w:rPr>
              <w:t>LC</w:t>
            </w:r>
            <w:r>
              <w:rPr>
                <w:rFonts w:ascii="Times New Roman" w:hAnsi="Times New Roman" w:cs="Times New Roman"/>
                <w:spacing w:val="10"/>
                <w:sz w:val="21"/>
                <w:szCs w:val="21"/>
              </w:rPr>
              <w:t>-</w:t>
            </w:r>
            <w:r>
              <w:rPr>
                <w:rFonts w:ascii="Times New Roman" w:hAnsi="Times New Roman" w:cs="Times New Roman"/>
                <w:sz w:val="21"/>
                <w:szCs w:val="21"/>
              </w:rPr>
              <w:t>MS</w:t>
            </w:r>
            <w:r>
              <w:rPr>
                <w:rFonts w:ascii="Times New Roman" w:hAnsi="Times New Roman" w:cs="Times New Roman"/>
                <w:spacing w:val="10"/>
                <w:sz w:val="21"/>
                <w:szCs w:val="21"/>
              </w:rPr>
              <w:t>级</w:t>
            </w:r>
          </w:p>
        </w:tc>
        <w:tc>
          <w:tcPr>
            <w:tcW w:w="2326" w:type="dxa"/>
            <w:tcBorders>
              <w:top w:val="single" w:sz="6" w:space="0" w:color="DDDDDD"/>
              <w:bottom w:val="single" w:sz="2" w:space="0" w:color="DDDDDD"/>
              <w:right w:val="single" w:sz="2" w:space="0" w:color="DDDDDD"/>
            </w:tcBorders>
            <w:shd w:val="clear" w:color="auto" w:fill="B7DEE8"/>
          </w:tcPr>
          <w:p w:rsidR="00C4690C" w:rsidRDefault="00C4690C" w:rsidP="00B2076E">
            <w:pPr>
              <w:pStyle w:val="TableText"/>
              <w:spacing w:before="58" w:line="360" w:lineRule="auto"/>
              <w:jc w:val="center"/>
              <w:rPr>
                <w:rFonts w:ascii="Times New Roman" w:hAnsi="Times New Roman" w:cs="Times New Roman"/>
                <w:sz w:val="21"/>
                <w:szCs w:val="21"/>
              </w:rPr>
            </w:pPr>
            <w:r>
              <w:rPr>
                <w:rFonts w:ascii="Times New Roman" w:hAnsi="Times New Roman" w:cs="Times New Roman"/>
                <w:spacing w:val="4"/>
                <w:sz w:val="21"/>
                <w:szCs w:val="21"/>
              </w:rPr>
              <w:t>CNWT</w:t>
            </w:r>
            <w:r>
              <w:rPr>
                <w:rFonts w:ascii="Times New Roman" w:hAnsi="Times New Roman" w:cs="Times New Roman"/>
                <w:spacing w:val="4"/>
                <w:sz w:val="21"/>
                <w:szCs w:val="21"/>
                <w:lang w:eastAsia="zh-CN"/>
              </w:rPr>
              <w:t xml:space="preserve"> </w:t>
            </w:r>
            <w:r>
              <w:rPr>
                <w:rFonts w:ascii="Times New Roman" w:hAnsi="Times New Roman" w:cs="Times New Roman"/>
                <w:spacing w:val="4"/>
                <w:sz w:val="21"/>
                <w:szCs w:val="21"/>
              </w:rPr>
              <w:t>echnologies</w:t>
            </w:r>
          </w:p>
        </w:tc>
      </w:tr>
      <w:tr w:rsidR="00C4690C" w:rsidTr="00B2076E">
        <w:trPr>
          <w:trHeight w:val="279"/>
        </w:trPr>
        <w:tc>
          <w:tcPr>
            <w:tcW w:w="3392" w:type="dxa"/>
            <w:tcBorders>
              <w:top w:val="single" w:sz="2" w:space="0" w:color="DDDDDD"/>
              <w:left w:val="single" w:sz="2" w:space="0" w:color="DDDDDD"/>
              <w:bottom w:val="single" w:sz="2" w:space="0" w:color="DDDDDD"/>
            </w:tcBorders>
            <w:shd w:val="clear" w:color="auto" w:fill="DAEEF3"/>
          </w:tcPr>
          <w:p w:rsidR="00C4690C" w:rsidRDefault="00C4690C" w:rsidP="00B2076E">
            <w:pPr>
              <w:pStyle w:val="TableText"/>
              <w:spacing w:before="67" w:line="360" w:lineRule="auto"/>
              <w:jc w:val="center"/>
              <w:rPr>
                <w:rFonts w:ascii="Times New Roman" w:hAnsi="Times New Roman" w:cs="Times New Roman"/>
                <w:sz w:val="21"/>
                <w:szCs w:val="21"/>
              </w:rPr>
            </w:pPr>
            <w:r>
              <w:rPr>
                <w:rFonts w:ascii="Times New Roman" w:hAnsi="Times New Roman" w:cs="Times New Roman"/>
                <w:spacing w:val="11"/>
                <w:sz w:val="21"/>
                <w:szCs w:val="21"/>
              </w:rPr>
              <w:t>乙腈（</w:t>
            </w:r>
            <w:r>
              <w:rPr>
                <w:rFonts w:ascii="Times New Roman" w:hAnsi="Times New Roman" w:cs="Times New Roman"/>
                <w:sz w:val="21"/>
                <w:szCs w:val="21"/>
              </w:rPr>
              <w:t>Acetonitrile</w:t>
            </w:r>
            <w:r>
              <w:rPr>
                <w:rFonts w:ascii="Times New Roman" w:hAnsi="Times New Roman" w:cs="Times New Roman"/>
                <w:spacing w:val="11"/>
                <w:sz w:val="21"/>
                <w:szCs w:val="21"/>
              </w:rPr>
              <w:t>）</w:t>
            </w:r>
          </w:p>
        </w:tc>
        <w:tc>
          <w:tcPr>
            <w:tcW w:w="1606" w:type="dxa"/>
            <w:tcBorders>
              <w:top w:val="single" w:sz="2" w:space="0" w:color="DDDDDD"/>
              <w:bottom w:val="single" w:sz="2" w:space="0" w:color="DDDDDD"/>
            </w:tcBorders>
            <w:shd w:val="clear" w:color="auto" w:fill="DAEEF3"/>
          </w:tcPr>
          <w:p w:rsidR="00C4690C" w:rsidRDefault="00C4690C" w:rsidP="00B2076E">
            <w:pPr>
              <w:pStyle w:val="TableText"/>
              <w:spacing w:before="89" w:line="360" w:lineRule="auto"/>
              <w:ind w:left="413"/>
              <w:rPr>
                <w:rFonts w:ascii="Times New Roman" w:hAnsi="Times New Roman" w:cs="Times New Roman"/>
                <w:sz w:val="21"/>
                <w:szCs w:val="21"/>
              </w:rPr>
            </w:pPr>
            <w:r>
              <w:rPr>
                <w:rFonts w:ascii="Times New Roman" w:hAnsi="Times New Roman" w:cs="Times New Roman"/>
                <w:spacing w:val="3"/>
                <w:sz w:val="21"/>
                <w:szCs w:val="21"/>
              </w:rPr>
              <w:t>75-05-8</w:t>
            </w:r>
          </w:p>
        </w:tc>
        <w:tc>
          <w:tcPr>
            <w:tcW w:w="1422" w:type="dxa"/>
            <w:tcBorders>
              <w:top w:val="single" w:sz="2" w:space="0" w:color="DDDDDD"/>
              <w:bottom w:val="single" w:sz="2" w:space="0" w:color="DDDDDD"/>
            </w:tcBorders>
            <w:shd w:val="clear" w:color="auto" w:fill="DAEEF3"/>
          </w:tcPr>
          <w:p w:rsidR="00C4690C" w:rsidRDefault="00C4690C" w:rsidP="00B2076E">
            <w:pPr>
              <w:pStyle w:val="TableText"/>
              <w:spacing w:before="66" w:line="360" w:lineRule="auto"/>
              <w:ind w:left="222"/>
              <w:jc w:val="center"/>
              <w:rPr>
                <w:rFonts w:ascii="Times New Roman" w:hAnsi="Times New Roman" w:cs="Times New Roman"/>
                <w:sz w:val="21"/>
                <w:szCs w:val="21"/>
              </w:rPr>
            </w:pPr>
            <w:r>
              <w:rPr>
                <w:rFonts w:ascii="Times New Roman" w:hAnsi="Times New Roman" w:cs="Times New Roman"/>
                <w:sz w:val="21"/>
                <w:szCs w:val="21"/>
              </w:rPr>
              <w:t>LC</w:t>
            </w:r>
            <w:r>
              <w:rPr>
                <w:rFonts w:ascii="Times New Roman" w:hAnsi="Times New Roman" w:cs="Times New Roman"/>
                <w:spacing w:val="10"/>
                <w:sz w:val="21"/>
                <w:szCs w:val="21"/>
              </w:rPr>
              <w:t>-</w:t>
            </w:r>
            <w:r>
              <w:rPr>
                <w:rFonts w:ascii="Times New Roman" w:hAnsi="Times New Roman" w:cs="Times New Roman"/>
                <w:sz w:val="21"/>
                <w:szCs w:val="21"/>
              </w:rPr>
              <w:t>MS</w:t>
            </w:r>
            <w:r>
              <w:rPr>
                <w:rFonts w:ascii="Times New Roman" w:hAnsi="Times New Roman" w:cs="Times New Roman"/>
                <w:spacing w:val="10"/>
                <w:sz w:val="21"/>
                <w:szCs w:val="21"/>
              </w:rPr>
              <w:t>级</w:t>
            </w:r>
          </w:p>
        </w:tc>
        <w:tc>
          <w:tcPr>
            <w:tcW w:w="2326" w:type="dxa"/>
            <w:tcBorders>
              <w:top w:val="single" w:sz="2" w:space="0" w:color="DDDDDD"/>
              <w:bottom w:val="single" w:sz="2" w:space="0" w:color="DDDDDD"/>
              <w:right w:val="single" w:sz="2" w:space="0" w:color="DDDDDD"/>
            </w:tcBorders>
            <w:shd w:val="clear" w:color="auto" w:fill="DAEEF3"/>
          </w:tcPr>
          <w:p w:rsidR="00C4690C" w:rsidRDefault="00C4690C" w:rsidP="00B2076E">
            <w:pPr>
              <w:pStyle w:val="TableText"/>
              <w:spacing w:before="66" w:line="360" w:lineRule="auto"/>
              <w:jc w:val="center"/>
              <w:rPr>
                <w:rFonts w:ascii="Times New Roman" w:hAnsi="Times New Roman" w:cs="Times New Roman"/>
                <w:sz w:val="21"/>
                <w:szCs w:val="21"/>
              </w:rPr>
            </w:pPr>
            <w:r>
              <w:rPr>
                <w:rFonts w:ascii="Times New Roman" w:hAnsi="Times New Roman" w:cs="Times New Roman"/>
                <w:spacing w:val="4"/>
                <w:sz w:val="21"/>
                <w:szCs w:val="21"/>
              </w:rPr>
              <w:t>CNWT</w:t>
            </w:r>
            <w:r>
              <w:rPr>
                <w:rFonts w:ascii="Times New Roman" w:hAnsi="Times New Roman" w:cs="Times New Roman"/>
                <w:spacing w:val="4"/>
                <w:sz w:val="21"/>
                <w:szCs w:val="21"/>
                <w:lang w:eastAsia="zh-CN"/>
              </w:rPr>
              <w:t xml:space="preserve"> </w:t>
            </w:r>
            <w:r>
              <w:rPr>
                <w:rFonts w:ascii="Times New Roman" w:hAnsi="Times New Roman" w:cs="Times New Roman"/>
                <w:spacing w:val="4"/>
                <w:sz w:val="21"/>
                <w:szCs w:val="21"/>
              </w:rPr>
              <w:t>echnologies</w:t>
            </w:r>
          </w:p>
        </w:tc>
      </w:tr>
      <w:tr w:rsidR="00C4690C" w:rsidTr="00B2076E">
        <w:trPr>
          <w:trHeight w:val="279"/>
        </w:trPr>
        <w:tc>
          <w:tcPr>
            <w:tcW w:w="3392" w:type="dxa"/>
            <w:tcBorders>
              <w:top w:val="single" w:sz="2" w:space="0" w:color="DDDDDD"/>
              <w:left w:val="single" w:sz="2" w:space="0" w:color="DDDDDD"/>
              <w:bottom w:val="single" w:sz="2" w:space="0" w:color="DDDDDD"/>
            </w:tcBorders>
            <w:shd w:val="clear" w:color="auto" w:fill="B7DEE8"/>
          </w:tcPr>
          <w:p w:rsidR="00C4690C" w:rsidRDefault="00C4690C" w:rsidP="00B2076E">
            <w:pPr>
              <w:pStyle w:val="TableText"/>
              <w:spacing w:before="67" w:line="360" w:lineRule="auto"/>
              <w:jc w:val="center"/>
              <w:rPr>
                <w:rFonts w:ascii="Times New Roman" w:hAnsi="Times New Roman" w:cs="Times New Roman"/>
                <w:sz w:val="21"/>
                <w:szCs w:val="21"/>
              </w:rPr>
            </w:pPr>
            <w:r>
              <w:rPr>
                <w:rFonts w:ascii="Times New Roman" w:hAnsi="Times New Roman" w:cs="Times New Roman"/>
                <w:spacing w:val="4"/>
                <w:sz w:val="21"/>
                <w:szCs w:val="21"/>
              </w:rPr>
              <w:t>甲酸（</w:t>
            </w:r>
            <w:r>
              <w:rPr>
                <w:rFonts w:ascii="Times New Roman" w:hAnsi="Times New Roman" w:cs="Times New Roman"/>
                <w:sz w:val="21"/>
                <w:szCs w:val="21"/>
              </w:rPr>
              <w:t>Formic</w:t>
            </w:r>
            <w:r>
              <w:rPr>
                <w:rFonts w:ascii="Times New Roman" w:hAnsi="Times New Roman" w:cs="Times New Roman"/>
                <w:spacing w:val="17"/>
                <w:sz w:val="21"/>
                <w:szCs w:val="21"/>
              </w:rPr>
              <w:t xml:space="preserve"> </w:t>
            </w:r>
            <w:r>
              <w:rPr>
                <w:rFonts w:ascii="Times New Roman" w:hAnsi="Times New Roman" w:cs="Times New Roman"/>
                <w:sz w:val="21"/>
                <w:szCs w:val="21"/>
              </w:rPr>
              <w:t>acid</w:t>
            </w:r>
            <w:r>
              <w:rPr>
                <w:rFonts w:ascii="Times New Roman" w:hAnsi="Times New Roman" w:cs="Times New Roman"/>
                <w:spacing w:val="4"/>
                <w:sz w:val="21"/>
                <w:szCs w:val="21"/>
              </w:rPr>
              <w:t>）</w:t>
            </w:r>
          </w:p>
        </w:tc>
        <w:tc>
          <w:tcPr>
            <w:tcW w:w="1606" w:type="dxa"/>
            <w:tcBorders>
              <w:top w:val="single" w:sz="2" w:space="0" w:color="DDDDDD"/>
              <w:bottom w:val="single" w:sz="2" w:space="0" w:color="DDDDDD"/>
            </w:tcBorders>
            <w:shd w:val="clear" w:color="auto" w:fill="B7DEE8"/>
          </w:tcPr>
          <w:p w:rsidR="00C4690C" w:rsidRDefault="00C4690C" w:rsidP="00B2076E">
            <w:pPr>
              <w:pStyle w:val="TableText"/>
              <w:spacing w:before="90" w:line="360" w:lineRule="auto"/>
              <w:ind w:left="411"/>
              <w:rPr>
                <w:rFonts w:ascii="Times New Roman" w:hAnsi="Times New Roman" w:cs="Times New Roman"/>
                <w:sz w:val="21"/>
                <w:szCs w:val="21"/>
              </w:rPr>
            </w:pPr>
            <w:r>
              <w:rPr>
                <w:rFonts w:ascii="Times New Roman" w:hAnsi="Times New Roman" w:cs="Times New Roman"/>
                <w:spacing w:val="3"/>
                <w:sz w:val="21"/>
                <w:szCs w:val="21"/>
              </w:rPr>
              <w:t>64-18-6</w:t>
            </w:r>
          </w:p>
        </w:tc>
        <w:tc>
          <w:tcPr>
            <w:tcW w:w="1422" w:type="dxa"/>
            <w:tcBorders>
              <w:top w:val="single" w:sz="2" w:space="0" w:color="DDDDDD"/>
              <w:bottom w:val="single" w:sz="2" w:space="0" w:color="DDDDDD"/>
            </w:tcBorders>
            <w:shd w:val="clear" w:color="auto" w:fill="B7DEE8"/>
          </w:tcPr>
          <w:p w:rsidR="00C4690C" w:rsidRDefault="00C4690C" w:rsidP="00B2076E">
            <w:pPr>
              <w:pStyle w:val="TableText"/>
              <w:spacing w:before="67" w:line="360" w:lineRule="auto"/>
              <w:ind w:left="222"/>
              <w:jc w:val="center"/>
              <w:rPr>
                <w:rFonts w:ascii="Times New Roman" w:hAnsi="Times New Roman" w:cs="Times New Roman"/>
                <w:sz w:val="21"/>
                <w:szCs w:val="21"/>
              </w:rPr>
            </w:pPr>
            <w:r>
              <w:rPr>
                <w:rFonts w:ascii="Times New Roman" w:hAnsi="Times New Roman" w:cs="Times New Roman"/>
                <w:sz w:val="21"/>
                <w:szCs w:val="21"/>
              </w:rPr>
              <w:t>LC</w:t>
            </w:r>
            <w:r>
              <w:rPr>
                <w:rFonts w:ascii="Times New Roman" w:hAnsi="Times New Roman" w:cs="Times New Roman"/>
                <w:spacing w:val="10"/>
                <w:sz w:val="21"/>
                <w:szCs w:val="21"/>
              </w:rPr>
              <w:t>-</w:t>
            </w:r>
            <w:r>
              <w:rPr>
                <w:rFonts w:ascii="Times New Roman" w:hAnsi="Times New Roman" w:cs="Times New Roman"/>
                <w:sz w:val="21"/>
                <w:szCs w:val="21"/>
              </w:rPr>
              <w:t>MS</w:t>
            </w:r>
            <w:r>
              <w:rPr>
                <w:rFonts w:ascii="Times New Roman" w:hAnsi="Times New Roman" w:cs="Times New Roman"/>
                <w:spacing w:val="10"/>
                <w:sz w:val="21"/>
                <w:szCs w:val="21"/>
              </w:rPr>
              <w:t>级</w:t>
            </w:r>
          </w:p>
        </w:tc>
        <w:tc>
          <w:tcPr>
            <w:tcW w:w="2326" w:type="dxa"/>
            <w:tcBorders>
              <w:top w:val="single" w:sz="2" w:space="0" w:color="DDDDDD"/>
              <w:bottom w:val="single" w:sz="2" w:space="0" w:color="DDDDDD"/>
              <w:right w:val="single" w:sz="2" w:space="0" w:color="DDDDDD"/>
            </w:tcBorders>
            <w:shd w:val="clear" w:color="auto" w:fill="B7DEE8"/>
          </w:tcPr>
          <w:p w:rsidR="00C4690C" w:rsidRDefault="00C4690C" w:rsidP="00B2076E">
            <w:pPr>
              <w:pStyle w:val="TableText"/>
              <w:spacing w:before="68" w:line="360" w:lineRule="auto"/>
              <w:jc w:val="center"/>
              <w:rPr>
                <w:rFonts w:ascii="Times New Roman" w:hAnsi="Times New Roman" w:cs="Times New Roman"/>
                <w:sz w:val="21"/>
                <w:szCs w:val="21"/>
              </w:rPr>
            </w:pPr>
            <w:r>
              <w:rPr>
                <w:rFonts w:ascii="Times New Roman" w:hAnsi="Times New Roman" w:cs="Times New Roman"/>
                <w:spacing w:val="2"/>
                <w:position w:val="1"/>
                <w:sz w:val="21"/>
                <w:szCs w:val="21"/>
              </w:rPr>
              <w:t>SIGMA</w:t>
            </w:r>
          </w:p>
        </w:tc>
      </w:tr>
      <w:tr w:rsidR="00C4690C" w:rsidTr="00B2076E">
        <w:trPr>
          <w:trHeight w:val="279"/>
        </w:trPr>
        <w:tc>
          <w:tcPr>
            <w:tcW w:w="3392" w:type="dxa"/>
            <w:tcBorders>
              <w:top w:val="single" w:sz="2" w:space="0" w:color="DDDDDD"/>
              <w:left w:val="single" w:sz="2" w:space="0" w:color="DDDDDD"/>
              <w:bottom w:val="single" w:sz="2" w:space="0" w:color="DDDDDD"/>
            </w:tcBorders>
            <w:shd w:val="clear" w:color="auto" w:fill="DAEEF3"/>
          </w:tcPr>
          <w:p w:rsidR="00C4690C" w:rsidRDefault="00C4690C" w:rsidP="00B2076E">
            <w:pPr>
              <w:pStyle w:val="TableText"/>
              <w:spacing w:before="69" w:line="360" w:lineRule="auto"/>
              <w:jc w:val="center"/>
              <w:rPr>
                <w:rFonts w:ascii="Times New Roman" w:hAnsi="Times New Roman" w:cs="Times New Roman"/>
                <w:sz w:val="21"/>
                <w:szCs w:val="21"/>
              </w:rPr>
            </w:pPr>
            <w:r>
              <w:rPr>
                <w:rFonts w:ascii="Times New Roman" w:hAnsi="Times New Roman" w:cs="Times New Roman"/>
                <w:spacing w:val="9"/>
                <w:sz w:val="21"/>
                <w:szCs w:val="21"/>
              </w:rPr>
              <w:t>L-2-</w:t>
            </w:r>
            <w:r>
              <w:rPr>
                <w:rFonts w:ascii="Times New Roman" w:hAnsi="Times New Roman" w:cs="Times New Roman"/>
                <w:spacing w:val="9"/>
                <w:sz w:val="21"/>
                <w:szCs w:val="21"/>
              </w:rPr>
              <w:t>氯苯丙氨酸（</w:t>
            </w:r>
            <w:r>
              <w:rPr>
                <w:rFonts w:ascii="Times New Roman" w:hAnsi="Times New Roman" w:cs="Times New Roman"/>
                <w:spacing w:val="9"/>
                <w:sz w:val="21"/>
                <w:szCs w:val="21"/>
              </w:rPr>
              <w:t>2-</w:t>
            </w:r>
            <w:r>
              <w:rPr>
                <w:rFonts w:ascii="Times New Roman" w:hAnsi="Times New Roman" w:cs="Times New Roman"/>
                <w:sz w:val="21"/>
                <w:szCs w:val="21"/>
              </w:rPr>
              <w:t>Chloro</w:t>
            </w:r>
            <w:r>
              <w:rPr>
                <w:rFonts w:ascii="Times New Roman" w:hAnsi="Times New Roman" w:cs="Times New Roman"/>
                <w:spacing w:val="9"/>
                <w:sz w:val="21"/>
                <w:szCs w:val="21"/>
              </w:rPr>
              <w:t>-L-</w:t>
            </w:r>
            <w:r>
              <w:rPr>
                <w:rFonts w:ascii="Times New Roman" w:hAnsi="Times New Roman" w:cs="Times New Roman"/>
                <w:sz w:val="21"/>
                <w:szCs w:val="21"/>
              </w:rPr>
              <w:t>phenylalanine</w:t>
            </w:r>
            <w:r>
              <w:rPr>
                <w:rFonts w:ascii="Times New Roman" w:hAnsi="Times New Roman" w:cs="Times New Roman"/>
                <w:spacing w:val="9"/>
                <w:sz w:val="21"/>
                <w:szCs w:val="21"/>
              </w:rPr>
              <w:t>）</w:t>
            </w:r>
          </w:p>
        </w:tc>
        <w:tc>
          <w:tcPr>
            <w:tcW w:w="1606" w:type="dxa"/>
            <w:tcBorders>
              <w:top w:val="single" w:sz="2" w:space="0" w:color="DDDDDD"/>
              <w:bottom w:val="single" w:sz="2" w:space="0" w:color="DDDDDD"/>
            </w:tcBorders>
            <w:shd w:val="clear" w:color="auto" w:fill="DAEEF3"/>
          </w:tcPr>
          <w:p w:rsidR="00C4690C" w:rsidRDefault="00C4690C" w:rsidP="00B2076E">
            <w:pPr>
              <w:pStyle w:val="TableText"/>
              <w:spacing w:before="91" w:line="360" w:lineRule="auto"/>
              <w:ind w:left="271"/>
              <w:jc w:val="center"/>
              <w:rPr>
                <w:rFonts w:ascii="Times New Roman" w:hAnsi="Times New Roman" w:cs="Times New Roman"/>
                <w:sz w:val="21"/>
                <w:szCs w:val="21"/>
              </w:rPr>
            </w:pPr>
            <w:r>
              <w:rPr>
                <w:rFonts w:ascii="Times New Roman" w:hAnsi="Times New Roman" w:cs="Times New Roman"/>
                <w:spacing w:val="3"/>
                <w:sz w:val="21"/>
                <w:szCs w:val="21"/>
              </w:rPr>
              <w:t>103616-89-3</w:t>
            </w:r>
          </w:p>
        </w:tc>
        <w:tc>
          <w:tcPr>
            <w:tcW w:w="1422" w:type="dxa"/>
            <w:tcBorders>
              <w:top w:val="single" w:sz="2" w:space="0" w:color="DDDDDD"/>
              <w:bottom w:val="single" w:sz="2" w:space="0" w:color="DDDDDD"/>
            </w:tcBorders>
            <w:shd w:val="clear" w:color="auto" w:fill="DAEEF3"/>
          </w:tcPr>
          <w:p w:rsidR="00C4690C" w:rsidRDefault="00C4690C" w:rsidP="00B2076E">
            <w:pPr>
              <w:pStyle w:val="TableText"/>
              <w:spacing w:before="69" w:line="360" w:lineRule="auto"/>
              <w:ind w:left="313"/>
              <w:rPr>
                <w:rFonts w:ascii="Times New Roman" w:hAnsi="Times New Roman" w:cs="Times New Roman"/>
                <w:sz w:val="21"/>
                <w:szCs w:val="21"/>
              </w:rPr>
            </w:pPr>
            <w:r>
              <w:rPr>
                <w:rFonts w:ascii="Times New Roman" w:hAnsi="Times New Roman" w:cs="Times New Roman"/>
                <w:spacing w:val="-2"/>
                <w:sz w:val="21"/>
                <w:szCs w:val="21"/>
              </w:rPr>
              <w:t>≥98%</w:t>
            </w:r>
          </w:p>
        </w:tc>
        <w:tc>
          <w:tcPr>
            <w:tcW w:w="2326" w:type="dxa"/>
            <w:tcBorders>
              <w:top w:val="single" w:sz="2" w:space="0" w:color="DDDDDD"/>
              <w:bottom w:val="single" w:sz="2" w:space="0" w:color="DDDDDD"/>
              <w:right w:val="single" w:sz="2" w:space="0" w:color="DDDDDD"/>
            </w:tcBorders>
            <w:shd w:val="clear" w:color="auto" w:fill="DAEEF3"/>
          </w:tcPr>
          <w:p w:rsidR="00C4690C" w:rsidRDefault="00C4690C" w:rsidP="00B2076E">
            <w:pPr>
              <w:pStyle w:val="TableText"/>
              <w:spacing w:before="68" w:line="360" w:lineRule="auto"/>
              <w:jc w:val="center"/>
              <w:rPr>
                <w:rFonts w:ascii="Times New Roman" w:hAnsi="Times New Roman" w:cs="Times New Roman"/>
                <w:sz w:val="21"/>
                <w:szCs w:val="21"/>
              </w:rPr>
            </w:pPr>
            <w:r>
              <w:rPr>
                <w:rFonts w:ascii="Times New Roman" w:hAnsi="Times New Roman" w:cs="Times New Roman"/>
                <w:spacing w:val="1"/>
                <w:sz w:val="21"/>
                <w:szCs w:val="21"/>
              </w:rPr>
              <w:t>上海恒柏生物科技有限公司</w:t>
            </w:r>
          </w:p>
        </w:tc>
      </w:tr>
    </w:tbl>
    <w:p w:rsidR="00C4690C" w:rsidRDefault="00C4690C" w:rsidP="00C4690C">
      <w:pPr>
        <w:pStyle w:val="af"/>
        <w:spacing w:line="360" w:lineRule="auto"/>
        <w:ind w:firstLine="480"/>
        <w:jc w:val="center"/>
        <w:rPr>
          <w:rFonts w:ascii="Times New Roman" w:eastAsia="宋体" w:hAnsi="Times New Roman"/>
          <w:sz w:val="24"/>
          <w:szCs w:val="24"/>
        </w:rPr>
      </w:pPr>
    </w:p>
    <w:p w:rsidR="00C4690C" w:rsidRDefault="00C4690C" w:rsidP="00C4690C">
      <w:pPr>
        <w:pStyle w:val="af"/>
        <w:spacing w:line="360" w:lineRule="auto"/>
        <w:ind w:firstLine="480"/>
        <w:jc w:val="center"/>
        <w:rPr>
          <w:rFonts w:ascii="Times New Roman" w:eastAsia="宋体" w:hAnsi="Times New Roman"/>
          <w:sz w:val="24"/>
          <w:szCs w:val="24"/>
        </w:rPr>
      </w:pPr>
      <w:r>
        <w:rPr>
          <w:rFonts w:ascii="Times New Roman" w:eastAsia="宋体" w:hAnsi="Times New Roman"/>
          <w:sz w:val="24"/>
          <w:szCs w:val="24"/>
        </w:rPr>
        <w:t>表</w:t>
      </w:r>
      <w:r>
        <w:rPr>
          <w:rFonts w:ascii="Times New Roman" w:eastAsia="宋体" w:hAnsi="Times New Roman"/>
          <w:sz w:val="24"/>
          <w:szCs w:val="24"/>
        </w:rPr>
        <w:t xml:space="preserve"> </w:t>
      </w:r>
      <w:r>
        <w:rPr>
          <w:rFonts w:ascii="Times New Roman" w:eastAsia="宋体" w:hAnsi="Times New Roman"/>
          <w:sz w:val="24"/>
          <w:szCs w:val="24"/>
        </w:rPr>
        <w:fldChar w:fldCharType="begin"/>
      </w:r>
      <w:r>
        <w:rPr>
          <w:rFonts w:ascii="Times New Roman" w:eastAsia="宋体" w:hAnsi="Times New Roman"/>
          <w:sz w:val="24"/>
          <w:szCs w:val="24"/>
        </w:rPr>
        <w:instrText xml:space="preserve"> SEQ </w:instrText>
      </w:r>
      <w:r>
        <w:rPr>
          <w:rFonts w:ascii="Times New Roman" w:eastAsia="宋体" w:hAnsi="Times New Roman"/>
          <w:sz w:val="24"/>
          <w:szCs w:val="24"/>
        </w:rPr>
        <w:instrText>表</w:instrText>
      </w:r>
      <w:r>
        <w:rPr>
          <w:rFonts w:ascii="Times New Roman" w:eastAsia="宋体" w:hAnsi="Times New Roman"/>
          <w:sz w:val="24"/>
          <w:szCs w:val="24"/>
        </w:rPr>
        <w:instrText xml:space="preserve"> \* ARABIC </w:instrText>
      </w:r>
      <w:r>
        <w:rPr>
          <w:rFonts w:ascii="Times New Roman" w:eastAsia="宋体" w:hAnsi="Times New Roman"/>
          <w:sz w:val="24"/>
          <w:szCs w:val="24"/>
        </w:rPr>
        <w:fldChar w:fldCharType="separate"/>
      </w:r>
      <w:r>
        <w:rPr>
          <w:rFonts w:ascii="Times New Roman" w:eastAsia="宋体" w:hAnsi="Times New Roman"/>
          <w:noProof/>
          <w:sz w:val="24"/>
          <w:szCs w:val="24"/>
        </w:rPr>
        <w:t>4</w:t>
      </w:r>
      <w:r>
        <w:rPr>
          <w:rFonts w:ascii="Times New Roman" w:eastAsia="宋体" w:hAnsi="Times New Roman"/>
          <w:sz w:val="24"/>
          <w:szCs w:val="24"/>
        </w:rPr>
        <w:fldChar w:fldCharType="end"/>
      </w:r>
      <w:r>
        <w:rPr>
          <w:rFonts w:ascii="Times New Roman" w:eastAsia="宋体" w:hAnsi="Times New Roman"/>
          <w:sz w:val="24"/>
          <w:szCs w:val="24"/>
        </w:rPr>
        <w:t>实验仪器列表</w:t>
      </w:r>
    </w:p>
    <w:tbl>
      <w:tblPr>
        <w:tblStyle w:val="TableNormal"/>
        <w:tblW w:w="8719" w:type="dxa"/>
        <w:tblInd w:w="66" w:type="dxa"/>
        <w:tblBorders>
          <w:top w:val="single" w:sz="2" w:space="0" w:color="DDDDDD"/>
          <w:left w:val="single" w:sz="2" w:space="0" w:color="DDDDDD"/>
          <w:bottom w:val="single" w:sz="2" w:space="0" w:color="DDDDDD"/>
          <w:right w:val="single" w:sz="2" w:space="0" w:color="DDDDDD"/>
          <w:insideH w:val="single" w:sz="2" w:space="0" w:color="DDDDDD"/>
          <w:insideV w:val="single" w:sz="2" w:space="0" w:color="DDDDDD"/>
        </w:tblBorders>
        <w:tblLayout w:type="fixed"/>
        <w:tblLook w:val="0000" w:firstRow="0" w:lastRow="0" w:firstColumn="0" w:lastColumn="0" w:noHBand="0" w:noVBand="0"/>
      </w:tblPr>
      <w:tblGrid>
        <w:gridCol w:w="1694"/>
        <w:gridCol w:w="4070"/>
        <w:gridCol w:w="2955"/>
      </w:tblGrid>
      <w:tr w:rsidR="00C4690C" w:rsidTr="00B2076E">
        <w:trPr>
          <w:trHeight w:val="287"/>
        </w:trPr>
        <w:tc>
          <w:tcPr>
            <w:tcW w:w="1694" w:type="dxa"/>
            <w:tcBorders>
              <w:top w:val="single" w:sz="2" w:space="0" w:color="008CCE"/>
              <w:left w:val="single" w:sz="2" w:space="0" w:color="008CCE"/>
              <w:bottom w:val="single" w:sz="6" w:space="0" w:color="008CCE"/>
              <w:right w:val="nil"/>
            </w:tcBorders>
            <w:shd w:val="clear" w:color="auto" w:fill="008CCE"/>
          </w:tcPr>
          <w:p w:rsidR="00C4690C" w:rsidRDefault="00C4690C" w:rsidP="00B2076E">
            <w:pPr>
              <w:pStyle w:val="TableText"/>
              <w:spacing w:before="69" w:line="360" w:lineRule="auto"/>
              <w:rPr>
                <w:rFonts w:ascii="Times New Roman" w:hAnsi="Times New Roman" w:cs="Times New Roman"/>
                <w:spacing w:val="9"/>
                <w:sz w:val="21"/>
                <w:szCs w:val="21"/>
              </w:rPr>
            </w:pPr>
            <w:r>
              <w:rPr>
                <w:rFonts w:ascii="Times New Roman" w:hAnsi="Times New Roman" w:cs="Times New Roman"/>
                <w:spacing w:val="9"/>
                <w:sz w:val="21"/>
                <w:szCs w:val="21"/>
              </w:rPr>
              <w:t>仪器</w:t>
            </w:r>
          </w:p>
        </w:tc>
        <w:tc>
          <w:tcPr>
            <w:tcW w:w="4070" w:type="dxa"/>
            <w:tcBorders>
              <w:top w:val="single" w:sz="2" w:space="0" w:color="008CCE"/>
              <w:left w:val="nil"/>
              <w:bottom w:val="single" w:sz="6" w:space="0" w:color="DDDDDD"/>
              <w:right w:val="nil"/>
            </w:tcBorders>
            <w:shd w:val="clear" w:color="auto" w:fill="008CCE"/>
          </w:tcPr>
          <w:p w:rsidR="00C4690C" w:rsidRDefault="00C4690C" w:rsidP="00B2076E">
            <w:pPr>
              <w:pStyle w:val="TableText"/>
              <w:spacing w:before="69" w:line="360" w:lineRule="auto"/>
              <w:rPr>
                <w:rFonts w:ascii="Times New Roman" w:hAnsi="Times New Roman" w:cs="Times New Roman"/>
                <w:spacing w:val="9"/>
                <w:sz w:val="21"/>
                <w:szCs w:val="21"/>
              </w:rPr>
            </w:pPr>
            <w:r>
              <w:rPr>
                <w:rFonts w:ascii="Times New Roman" w:hAnsi="Times New Roman" w:cs="Times New Roman"/>
                <w:spacing w:val="9"/>
                <w:sz w:val="21"/>
                <w:szCs w:val="21"/>
              </w:rPr>
              <w:t>型号</w:t>
            </w:r>
          </w:p>
        </w:tc>
        <w:tc>
          <w:tcPr>
            <w:tcW w:w="2955" w:type="dxa"/>
            <w:tcBorders>
              <w:top w:val="single" w:sz="2" w:space="0" w:color="008CCE"/>
              <w:left w:val="nil"/>
              <w:bottom w:val="single" w:sz="6" w:space="0" w:color="008CCE"/>
              <w:right w:val="single" w:sz="2" w:space="0" w:color="008CCE"/>
            </w:tcBorders>
            <w:shd w:val="clear" w:color="auto" w:fill="008CCE"/>
          </w:tcPr>
          <w:p w:rsidR="00C4690C" w:rsidRDefault="00C4690C" w:rsidP="00B2076E">
            <w:pPr>
              <w:pStyle w:val="TableText"/>
              <w:spacing w:before="69" w:line="360" w:lineRule="auto"/>
              <w:rPr>
                <w:rFonts w:ascii="Times New Roman" w:hAnsi="Times New Roman" w:cs="Times New Roman"/>
                <w:spacing w:val="9"/>
                <w:sz w:val="21"/>
                <w:szCs w:val="21"/>
              </w:rPr>
            </w:pPr>
            <w:r>
              <w:rPr>
                <w:rFonts w:ascii="Times New Roman" w:hAnsi="Times New Roman" w:cs="Times New Roman"/>
                <w:spacing w:val="9"/>
                <w:sz w:val="21"/>
                <w:szCs w:val="21"/>
              </w:rPr>
              <w:t>品牌</w:t>
            </w:r>
          </w:p>
        </w:tc>
      </w:tr>
      <w:tr w:rsidR="00C4690C" w:rsidTr="00B2076E">
        <w:trPr>
          <w:trHeight w:val="273"/>
        </w:trPr>
        <w:tc>
          <w:tcPr>
            <w:tcW w:w="1694" w:type="dxa"/>
            <w:tcBorders>
              <w:top w:val="single" w:sz="6" w:space="0" w:color="DDDDDD"/>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lastRenderedPageBreak/>
              <w:t>超高效液相</w:t>
            </w:r>
          </w:p>
        </w:tc>
        <w:tc>
          <w:tcPr>
            <w:tcW w:w="4070" w:type="dxa"/>
            <w:tcBorders>
              <w:top w:val="single" w:sz="6" w:space="0" w:color="DDDDDD"/>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Vanquish</w:t>
            </w:r>
          </w:p>
        </w:tc>
        <w:tc>
          <w:tcPr>
            <w:tcW w:w="2955" w:type="dxa"/>
            <w:tcBorders>
              <w:top w:val="single" w:sz="6" w:space="0" w:color="DDDDDD"/>
              <w:lef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Thermo Fisher Scientific</w:t>
            </w:r>
          </w:p>
        </w:tc>
      </w:tr>
      <w:tr w:rsidR="00C4690C" w:rsidTr="00B2076E">
        <w:trPr>
          <w:trHeight w:val="279"/>
        </w:trPr>
        <w:tc>
          <w:tcPr>
            <w:tcW w:w="1694" w:type="dxa"/>
            <w:tcBorders>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高分辨质谱</w:t>
            </w:r>
          </w:p>
        </w:tc>
        <w:tc>
          <w:tcPr>
            <w:tcW w:w="407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Orbitrap Exp loris 120</w:t>
            </w:r>
          </w:p>
        </w:tc>
        <w:tc>
          <w:tcPr>
            <w:tcW w:w="2955" w:type="dxa"/>
            <w:tcBorders>
              <w:lef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Thermo Fisher Scientific</w:t>
            </w:r>
          </w:p>
        </w:tc>
      </w:tr>
      <w:tr w:rsidR="00C4690C" w:rsidTr="00B2076E">
        <w:trPr>
          <w:trHeight w:val="279"/>
        </w:trPr>
        <w:tc>
          <w:tcPr>
            <w:tcW w:w="1694" w:type="dxa"/>
            <w:tcBorders>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离心机</w:t>
            </w:r>
          </w:p>
        </w:tc>
        <w:tc>
          <w:tcPr>
            <w:tcW w:w="407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Heraeus Fresco17</w:t>
            </w:r>
          </w:p>
        </w:tc>
        <w:tc>
          <w:tcPr>
            <w:tcW w:w="2955" w:type="dxa"/>
            <w:tcBorders>
              <w:lef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Thermo Fisher Scientific</w:t>
            </w:r>
          </w:p>
        </w:tc>
      </w:tr>
      <w:tr w:rsidR="00C4690C" w:rsidTr="00B2076E">
        <w:trPr>
          <w:trHeight w:val="279"/>
        </w:trPr>
        <w:tc>
          <w:tcPr>
            <w:tcW w:w="1694" w:type="dxa"/>
            <w:tcBorders>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天平</w:t>
            </w:r>
          </w:p>
        </w:tc>
        <w:tc>
          <w:tcPr>
            <w:tcW w:w="407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BSA124S-CW</w:t>
            </w:r>
          </w:p>
        </w:tc>
        <w:tc>
          <w:tcPr>
            <w:tcW w:w="2955" w:type="dxa"/>
            <w:tcBorders>
              <w:lef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Sartorius</w:t>
            </w:r>
          </w:p>
        </w:tc>
      </w:tr>
      <w:tr w:rsidR="00C4690C" w:rsidTr="00B2076E">
        <w:trPr>
          <w:trHeight w:val="280"/>
        </w:trPr>
        <w:tc>
          <w:tcPr>
            <w:tcW w:w="1694" w:type="dxa"/>
            <w:tcBorders>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研磨仪</w:t>
            </w:r>
          </w:p>
        </w:tc>
        <w:tc>
          <w:tcPr>
            <w:tcW w:w="407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JXFSTPRP-24</w:t>
            </w:r>
          </w:p>
        </w:tc>
        <w:tc>
          <w:tcPr>
            <w:tcW w:w="2955" w:type="dxa"/>
            <w:tcBorders>
              <w:lef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lang w:eastAsia="zh-CN"/>
              </w:rPr>
            </w:pPr>
            <w:r>
              <w:rPr>
                <w:rFonts w:ascii="Times New Roman" w:hAnsi="Times New Roman" w:cs="Times New Roman"/>
                <w:spacing w:val="9"/>
                <w:sz w:val="21"/>
                <w:szCs w:val="21"/>
                <w:lang w:eastAsia="zh-CN"/>
              </w:rPr>
              <w:t>上海净信科技有限公司</w:t>
            </w:r>
          </w:p>
        </w:tc>
      </w:tr>
      <w:tr w:rsidR="00C4690C" w:rsidTr="00B2076E">
        <w:trPr>
          <w:trHeight w:val="280"/>
        </w:trPr>
        <w:tc>
          <w:tcPr>
            <w:tcW w:w="1694" w:type="dxa"/>
            <w:tcBorders>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纯水仪</w:t>
            </w:r>
          </w:p>
        </w:tc>
        <w:tc>
          <w:tcPr>
            <w:tcW w:w="407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明澈</w:t>
            </w:r>
            <w:r>
              <w:rPr>
                <w:rFonts w:ascii="Times New Roman" w:hAnsi="Times New Roman" w:cs="Times New Roman"/>
                <w:spacing w:val="9"/>
                <w:sz w:val="21"/>
                <w:szCs w:val="21"/>
              </w:rPr>
              <w:t xml:space="preserve"> D24 UV</w:t>
            </w:r>
          </w:p>
        </w:tc>
        <w:tc>
          <w:tcPr>
            <w:tcW w:w="2955" w:type="dxa"/>
            <w:tcBorders>
              <w:lef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Merck Millipore</w:t>
            </w:r>
          </w:p>
        </w:tc>
      </w:tr>
      <w:tr w:rsidR="00C4690C" w:rsidTr="00B2076E">
        <w:trPr>
          <w:trHeight w:val="280"/>
        </w:trPr>
        <w:tc>
          <w:tcPr>
            <w:tcW w:w="1694" w:type="dxa"/>
            <w:tcBorders>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超声仪</w:t>
            </w:r>
          </w:p>
        </w:tc>
        <w:tc>
          <w:tcPr>
            <w:tcW w:w="407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YM-080S</w:t>
            </w:r>
          </w:p>
        </w:tc>
        <w:tc>
          <w:tcPr>
            <w:tcW w:w="2955" w:type="dxa"/>
            <w:tcBorders>
              <w:lef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lang w:eastAsia="zh-CN"/>
              </w:rPr>
            </w:pPr>
            <w:proofErr w:type="gramStart"/>
            <w:r>
              <w:rPr>
                <w:rFonts w:ascii="Times New Roman" w:hAnsi="Times New Roman" w:cs="Times New Roman"/>
                <w:spacing w:val="9"/>
                <w:sz w:val="21"/>
                <w:szCs w:val="21"/>
                <w:lang w:eastAsia="zh-CN"/>
              </w:rPr>
              <w:t>深圳市方奥微电子</w:t>
            </w:r>
            <w:proofErr w:type="gramEnd"/>
            <w:r>
              <w:rPr>
                <w:rFonts w:ascii="Times New Roman" w:hAnsi="Times New Roman" w:cs="Times New Roman"/>
                <w:spacing w:val="9"/>
                <w:sz w:val="21"/>
                <w:szCs w:val="21"/>
                <w:lang w:eastAsia="zh-CN"/>
              </w:rPr>
              <w:t>有限公司</w:t>
            </w:r>
          </w:p>
        </w:tc>
      </w:tr>
      <w:tr w:rsidR="00C4690C" w:rsidTr="00B2076E">
        <w:trPr>
          <w:trHeight w:val="280"/>
        </w:trPr>
        <w:tc>
          <w:tcPr>
            <w:tcW w:w="1694" w:type="dxa"/>
            <w:tcBorders>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色谱柱</w:t>
            </w:r>
          </w:p>
        </w:tc>
        <w:tc>
          <w:tcPr>
            <w:tcW w:w="407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ACQUITY UPLC BEH C18 1.7 μm 2.1*100 mm</w:t>
            </w:r>
          </w:p>
        </w:tc>
        <w:tc>
          <w:tcPr>
            <w:tcW w:w="2955" w:type="dxa"/>
            <w:tcBorders>
              <w:lef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Waters</w:t>
            </w:r>
          </w:p>
        </w:tc>
      </w:tr>
    </w:tbl>
    <w:p w:rsidR="00C4690C" w:rsidRDefault="00C4690C" w:rsidP="00C4690C">
      <w:pPr>
        <w:spacing w:line="360" w:lineRule="auto"/>
        <w:rPr>
          <w:sz w:val="24"/>
        </w:rPr>
      </w:pPr>
      <w:r>
        <w:rPr>
          <w:sz w:val="24"/>
        </w:rPr>
        <w:t>（</w:t>
      </w:r>
      <w:r>
        <w:rPr>
          <w:sz w:val="24"/>
        </w:rPr>
        <w:t>4</w:t>
      </w:r>
      <w:r>
        <w:rPr>
          <w:sz w:val="24"/>
        </w:rPr>
        <w:t>）药物干预</w:t>
      </w:r>
    </w:p>
    <w:p w:rsidR="00C4690C" w:rsidRDefault="00C4690C" w:rsidP="00C4690C">
      <w:pPr>
        <w:spacing w:line="360" w:lineRule="auto"/>
        <w:ind w:firstLineChars="200" w:firstLine="480"/>
        <w:rPr>
          <w:sz w:val="24"/>
        </w:rPr>
      </w:pPr>
      <w:r>
        <w:rPr>
          <w:sz w:val="24"/>
        </w:rPr>
        <w:t>所有动物均在动物房适应性饲养</w:t>
      </w:r>
      <w:r>
        <w:rPr>
          <w:sz w:val="24"/>
        </w:rPr>
        <w:t>7d</w:t>
      </w:r>
      <w:r>
        <w:rPr>
          <w:sz w:val="24"/>
        </w:rPr>
        <w:t>后，随机分组并给予以下药物处理：</w:t>
      </w:r>
      <w:r>
        <w:rPr>
          <w:sz w:val="24"/>
        </w:rPr>
        <w:t xml:space="preserve"> </w:t>
      </w:r>
    </w:p>
    <w:p w:rsidR="00C4690C" w:rsidRDefault="00C4690C" w:rsidP="00C4690C">
      <w:pPr>
        <w:spacing w:line="360" w:lineRule="auto"/>
        <w:ind w:firstLineChars="200" w:firstLine="480"/>
        <w:rPr>
          <w:sz w:val="24"/>
        </w:rPr>
      </w:pPr>
      <w:r>
        <w:rPr>
          <w:sz w:val="24"/>
        </w:rPr>
        <w:t>重症心</w:t>
      </w:r>
      <w:proofErr w:type="gramStart"/>
      <w:r>
        <w:rPr>
          <w:sz w:val="24"/>
        </w:rPr>
        <w:t>痹</w:t>
      </w:r>
      <w:proofErr w:type="gramEnd"/>
      <w:r>
        <w:rPr>
          <w:sz w:val="24"/>
        </w:rPr>
        <w:t>方入血成分测定中药组：采用重症心</w:t>
      </w:r>
      <w:proofErr w:type="gramStart"/>
      <w:r>
        <w:rPr>
          <w:sz w:val="24"/>
        </w:rPr>
        <w:t>痹方灌</w:t>
      </w:r>
      <w:proofErr w:type="gramEnd"/>
      <w:r>
        <w:rPr>
          <w:sz w:val="24"/>
        </w:rPr>
        <w:t>胃，生药剂量参考《动物实验管理与操作实用指南》，按照成人（</w:t>
      </w:r>
      <w:r>
        <w:rPr>
          <w:sz w:val="24"/>
        </w:rPr>
        <w:t>70kg</w:t>
      </w:r>
      <w:r>
        <w:rPr>
          <w:sz w:val="24"/>
        </w:rPr>
        <w:t>），每日中药用量与体质量折算系数的</w:t>
      </w:r>
      <w:r>
        <w:rPr>
          <w:sz w:val="24"/>
        </w:rPr>
        <w:t>6.3</w:t>
      </w:r>
      <w:r>
        <w:rPr>
          <w:sz w:val="24"/>
        </w:rPr>
        <w:t>倍计算给药剂量，</w:t>
      </w:r>
      <w:r>
        <w:rPr>
          <w:sz w:val="24"/>
        </w:rPr>
        <w:t>1</w:t>
      </w:r>
      <w:r>
        <w:rPr>
          <w:sz w:val="24"/>
        </w:rPr>
        <w:t>次</w:t>
      </w:r>
      <w:r>
        <w:rPr>
          <w:sz w:val="24"/>
        </w:rPr>
        <w:t>/d</w:t>
      </w:r>
      <w:r>
        <w:rPr>
          <w:sz w:val="24"/>
        </w:rPr>
        <w:t>、连续</w:t>
      </w:r>
      <w:r>
        <w:rPr>
          <w:sz w:val="24"/>
        </w:rPr>
        <w:t>7d</w:t>
      </w:r>
      <w:r>
        <w:rPr>
          <w:sz w:val="24"/>
        </w:rPr>
        <w:t>。</w:t>
      </w:r>
    </w:p>
    <w:p w:rsidR="00C4690C" w:rsidRDefault="00C4690C" w:rsidP="00C4690C">
      <w:pPr>
        <w:spacing w:line="360" w:lineRule="auto"/>
        <w:ind w:firstLineChars="200" w:firstLine="480"/>
        <w:rPr>
          <w:sz w:val="24"/>
        </w:rPr>
      </w:pPr>
      <w:r>
        <w:rPr>
          <w:sz w:val="24"/>
        </w:rPr>
        <w:t>重症心</w:t>
      </w:r>
      <w:proofErr w:type="gramStart"/>
      <w:r>
        <w:rPr>
          <w:sz w:val="24"/>
        </w:rPr>
        <w:t>痹</w:t>
      </w:r>
      <w:proofErr w:type="gramEnd"/>
      <w:r>
        <w:rPr>
          <w:sz w:val="24"/>
        </w:rPr>
        <w:t>方方入血成分测定空白组：等体积生理盐水灌胃，</w:t>
      </w:r>
      <w:r>
        <w:rPr>
          <w:sz w:val="24"/>
        </w:rPr>
        <w:t>1</w:t>
      </w:r>
      <w:r>
        <w:rPr>
          <w:sz w:val="24"/>
        </w:rPr>
        <w:t>次</w:t>
      </w:r>
      <w:r>
        <w:rPr>
          <w:sz w:val="24"/>
        </w:rPr>
        <w:t>/d</w:t>
      </w:r>
      <w:r>
        <w:rPr>
          <w:sz w:val="24"/>
        </w:rPr>
        <w:t>，连续</w:t>
      </w:r>
      <w:r>
        <w:rPr>
          <w:sz w:val="24"/>
        </w:rPr>
        <w:t>7d</w:t>
      </w:r>
      <w:r>
        <w:rPr>
          <w:sz w:val="24"/>
        </w:rPr>
        <w:t>。</w:t>
      </w:r>
    </w:p>
    <w:p w:rsidR="00C4690C" w:rsidRDefault="00C4690C" w:rsidP="00C4690C">
      <w:pPr>
        <w:spacing w:line="360" w:lineRule="auto"/>
        <w:rPr>
          <w:sz w:val="24"/>
        </w:rPr>
      </w:pPr>
      <w:r>
        <w:rPr>
          <w:sz w:val="24"/>
        </w:rPr>
        <w:t>（</w:t>
      </w:r>
      <w:r>
        <w:rPr>
          <w:sz w:val="24"/>
        </w:rPr>
        <w:t>5</w:t>
      </w:r>
      <w:r>
        <w:rPr>
          <w:sz w:val="24"/>
        </w:rPr>
        <w:t>）动物取材</w:t>
      </w:r>
    </w:p>
    <w:p w:rsidR="00C4690C" w:rsidRDefault="00C4690C" w:rsidP="00C4690C">
      <w:pPr>
        <w:spacing w:line="360" w:lineRule="auto"/>
        <w:ind w:firstLineChars="200" w:firstLine="480"/>
        <w:rPr>
          <w:sz w:val="24"/>
        </w:rPr>
      </w:pPr>
      <w:r>
        <w:rPr>
          <w:sz w:val="24"/>
        </w:rPr>
        <w:t>药物干预</w:t>
      </w:r>
      <w:r>
        <w:rPr>
          <w:sz w:val="24"/>
        </w:rPr>
        <w:t>7d</w:t>
      </w:r>
      <w:r>
        <w:rPr>
          <w:sz w:val="24"/>
        </w:rPr>
        <w:t>后，采用</w:t>
      </w:r>
      <w:r>
        <w:rPr>
          <w:sz w:val="24"/>
        </w:rPr>
        <w:t>10%</w:t>
      </w:r>
      <w:r>
        <w:rPr>
          <w:sz w:val="24"/>
        </w:rPr>
        <w:t>水合氯醛（</w:t>
      </w:r>
      <w:r>
        <w:rPr>
          <w:sz w:val="24"/>
        </w:rPr>
        <w:t>0.5mL/100g</w:t>
      </w:r>
      <w:r>
        <w:rPr>
          <w:sz w:val="24"/>
        </w:rPr>
        <w:t>）麻醉全部大鼠。开始取材，采集的</w:t>
      </w:r>
      <w:proofErr w:type="gramStart"/>
      <w:r>
        <w:rPr>
          <w:sz w:val="24"/>
        </w:rPr>
        <w:t>腹主动脉血静置</w:t>
      </w:r>
      <w:proofErr w:type="gramEnd"/>
      <w:r>
        <w:rPr>
          <w:sz w:val="24"/>
        </w:rPr>
        <w:t>2h</w:t>
      </w:r>
      <w:r>
        <w:rPr>
          <w:sz w:val="24"/>
        </w:rPr>
        <w:t>后，开始低温离心</w:t>
      </w:r>
      <w:r>
        <w:rPr>
          <w:sz w:val="24"/>
        </w:rPr>
        <w:t>15min</w:t>
      </w:r>
      <w:r>
        <w:rPr>
          <w:sz w:val="24"/>
        </w:rPr>
        <w:t>，提取上清，保存于</w:t>
      </w:r>
      <w:r>
        <w:rPr>
          <w:sz w:val="24"/>
        </w:rPr>
        <w:t>-80℃</w:t>
      </w:r>
      <w:r>
        <w:rPr>
          <w:sz w:val="24"/>
        </w:rPr>
        <w:t>冰箱，留作后续入血成分检测。</w:t>
      </w:r>
    </w:p>
    <w:p w:rsidR="00C4690C" w:rsidRDefault="00C4690C" w:rsidP="00C4690C">
      <w:pPr>
        <w:spacing w:line="360" w:lineRule="auto"/>
        <w:rPr>
          <w:sz w:val="24"/>
        </w:rPr>
      </w:pPr>
      <w:r>
        <w:rPr>
          <w:sz w:val="24"/>
        </w:rPr>
        <w:t>（</w:t>
      </w:r>
      <w:r>
        <w:rPr>
          <w:sz w:val="24"/>
        </w:rPr>
        <w:t>6</w:t>
      </w:r>
      <w:r>
        <w:rPr>
          <w:sz w:val="24"/>
        </w:rPr>
        <w:t>）代谢物提取</w:t>
      </w:r>
    </w:p>
    <w:p w:rsidR="00C4690C" w:rsidRDefault="00C4690C" w:rsidP="00C4690C">
      <w:pPr>
        <w:spacing w:line="360" w:lineRule="auto"/>
        <w:ind w:firstLineChars="200" w:firstLine="480"/>
        <w:rPr>
          <w:sz w:val="24"/>
        </w:rPr>
      </w:pPr>
      <w:r>
        <w:rPr>
          <w:sz w:val="24"/>
        </w:rPr>
        <w:t>中药：样本在冰上解冻；涡旋</w:t>
      </w:r>
      <w:r>
        <w:rPr>
          <w:sz w:val="24"/>
        </w:rPr>
        <w:t>30 s</w:t>
      </w:r>
      <w:r>
        <w:rPr>
          <w:sz w:val="24"/>
        </w:rPr>
        <w:t>，将样本</w:t>
      </w:r>
      <w:r>
        <w:rPr>
          <w:sz w:val="24"/>
        </w:rPr>
        <w:t>4℃ , 12000 rpm</w:t>
      </w:r>
      <w:r>
        <w:rPr>
          <w:sz w:val="24"/>
        </w:rPr>
        <w:t>（离心力</w:t>
      </w:r>
      <w:r>
        <w:rPr>
          <w:sz w:val="24"/>
        </w:rPr>
        <w:t xml:space="preserve">13800 </w:t>
      </w:r>
      <w:r>
        <w:rPr>
          <w:sz w:val="24"/>
        </w:rPr>
        <w:t>（</w:t>
      </w:r>
      <w:r>
        <w:rPr>
          <w:sz w:val="24"/>
        </w:rPr>
        <w:t>×g</w:t>
      </w:r>
      <w:r>
        <w:rPr>
          <w:sz w:val="24"/>
        </w:rPr>
        <w:t>），半径</w:t>
      </w:r>
      <w:r>
        <w:rPr>
          <w:sz w:val="24"/>
        </w:rPr>
        <w:t>8.6 cm</w:t>
      </w:r>
      <w:r>
        <w:rPr>
          <w:sz w:val="24"/>
        </w:rPr>
        <w:t>）离心</w:t>
      </w:r>
      <w:r>
        <w:rPr>
          <w:sz w:val="24"/>
        </w:rPr>
        <w:t>15 min</w:t>
      </w:r>
      <w:r>
        <w:rPr>
          <w:sz w:val="24"/>
        </w:rPr>
        <w:t>；取上清</w:t>
      </w:r>
      <w:r>
        <w:rPr>
          <w:sz w:val="24"/>
        </w:rPr>
        <w:t>300μL</w:t>
      </w:r>
      <w:r>
        <w:rPr>
          <w:sz w:val="24"/>
        </w:rPr>
        <w:t>于</w:t>
      </w:r>
      <w:r>
        <w:rPr>
          <w:sz w:val="24"/>
        </w:rPr>
        <w:t>EP</w:t>
      </w:r>
      <w:r>
        <w:rPr>
          <w:sz w:val="24"/>
        </w:rPr>
        <w:t>管中，加入</w:t>
      </w:r>
      <w:r>
        <w:rPr>
          <w:sz w:val="24"/>
        </w:rPr>
        <w:t>1000 μL</w:t>
      </w:r>
      <w:r>
        <w:rPr>
          <w:sz w:val="24"/>
        </w:rPr>
        <w:t>提取液（甲醇：水</w:t>
      </w:r>
      <w:r>
        <w:rPr>
          <w:sz w:val="24"/>
        </w:rPr>
        <w:t>=4</w:t>
      </w:r>
      <w:r>
        <w:rPr>
          <w:sz w:val="24"/>
        </w:rPr>
        <w:t>：</w:t>
      </w:r>
      <w:r>
        <w:rPr>
          <w:sz w:val="24"/>
        </w:rPr>
        <w:t>1</w:t>
      </w:r>
      <w:r>
        <w:rPr>
          <w:sz w:val="24"/>
        </w:rPr>
        <w:t>，内标浓度为</w:t>
      </w:r>
      <w:r>
        <w:rPr>
          <w:sz w:val="24"/>
        </w:rPr>
        <w:t>10μg/mL</w:t>
      </w:r>
      <w:r>
        <w:rPr>
          <w:sz w:val="24"/>
        </w:rPr>
        <w:t>）；涡旋</w:t>
      </w:r>
      <w:r>
        <w:rPr>
          <w:sz w:val="24"/>
        </w:rPr>
        <w:t>30 s</w:t>
      </w:r>
      <w:r>
        <w:rPr>
          <w:sz w:val="24"/>
        </w:rPr>
        <w:t>，冰水浴超声</w:t>
      </w:r>
      <w:r>
        <w:rPr>
          <w:sz w:val="24"/>
        </w:rPr>
        <w:t>5 min</w:t>
      </w:r>
      <w:r>
        <w:rPr>
          <w:sz w:val="24"/>
        </w:rPr>
        <w:t>；</w:t>
      </w:r>
    </w:p>
    <w:p w:rsidR="00C4690C" w:rsidRDefault="00C4690C" w:rsidP="00C4690C">
      <w:pPr>
        <w:spacing w:line="360" w:lineRule="auto"/>
        <w:rPr>
          <w:sz w:val="24"/>
        </w:rPr>
      </w:pPr>
      <w:r>
        <w:rPr>
          <w:sz w:val="24"/>
        </w:rPr>
        <w:t>-40℃</w:t>
      </w:r>
      <w:r>
        <w:rPr>
          <w:sz w:val="24"/>
        </w:rPr>
        <w:t>静置</w:t>
      </w:r>
      <w:r>
        <w:rPr>
          <w:sz w:val="24"/>
        </w:rPr>
        <w:t>1 h</w:t>
      </w:r>
      <w:r>
        <w:rPr>
          <w:sz w:val="24"/>
        </w:rPr>
        <w:t>后将样本</w:t>
      </w:r>
      <w:r>
        <w:rPr>
          <w:sz w:val="24"/>
        </w:rPr>
        <w:t>4℃ , 12000 rpm</w:t>
      </w:r>
      <w:r>
        <w:rPr>
          <w:sz w:val="24"/>
        </w:rPr>
        <w:t>（离心力</w:t>
      </w:r>
      <w:r>
        <w:rPr>
          <w:sz w:val="24"/>
        </w:rPr>
        <w:t xml:space="preserve">13800 </w:t>
      </w:r>
      <w:r>
        <w:rPr>
          <w:sz w:val="24"/>
        </w:rPr>
        <w:t>（</w:t>
      </w:r>
      <w:r>
        <w:rPr>
          <w:sz w:val="24"/>
        </w:rPr>
        <w:t>×g</w:t>
      </w:r>
      <w:r>
        <w:rPr>
          <w:sz w:val="24"/>
        </w:rPr>
        <w:t>），半径</w:t>
      </w:r>
      <w:r>
        <w:rPr>
          <w:sz w:val="24"/>
        </w:rPr>
        <w:t>8.6 cm</w:t>
      </w:r>
      <w:r>
        <w:rPr>
          <w:sz w:val="24"/>
        </w:rPr>
        <w:t>）离心</w:t>
      </w:r>
      <w:r>
        <w:rPr>
          <w:sz w:val="24"/>
        </w:rPr>
        <w:t>15 min</w:t>
      </w:r>
      <w:r>
        <w:rPr>
          <w:sz w:val="24"/>
        </w:rPr>
        <w:t>；小心地取上清经</w:t>
      </w:r>
      <w:r>
        <w:rPr>
          <w:sz w:val="24"/>
        </w:rPr>
        <w:t>0.22μm</w:t>
      </w:r>
      <w:r>
        <w:rPr>
          <w:sz w:val="24"/>
        </w:rPr>
        <w:t>微孔滤膜过滤；</w:t>
      </w:r>
      <w:r>
        <w:rPr>
          <w:sz w:val="24"/>
        </w:rPr>
        <w:t>-80℃</w:t>
      </w:r>
      <w:r>
        <w:rPr>
          <w:sz w:val="24"/>
        </w:rPr>
        <w:t>储存直到上机检测。</w:t>
      </w:r>
    </w:p>
    <w:p w:rsidR="00C4690C" w:rsidRDefault="00C4690C" w:rsidP="00C4690C">
      <w:pPr>
        <w:spacing w:line="360" w:lineRule="auto"/>
        <w:ind w:firstLineChars="200" w:firstLine="480"/>
        <w:rPr>
          <w:sz w:val="24"/>
        </w:rPr>
      </w:pPr>
      <w:r>
        <w:rPr>
          <w:sz w:val="24"/>
        </w:rPr>
        <w:t>血清：取</w:t>
      </w:r>
      <w:r>
        <w:rPr>
          <w:sz w:val="24"/>
        </w:rPr>
        <w:t>300μL</w:t>
      </w:r>
      <w:r>
        <w:rPr>
          <w:sz w:val="24"/>
        </w:rPr>
        <w:t>血清样本，加入</w:t>
      </w:r>
      <w:r>
        <w:rPr>
          <w:sz w:val="24"/>
        </w:rPr>
        <w:t>30μL</w:t>
      </w:r>
      <w:r>
        <w:rPr>
          <w:sz w:val="24"/>
        </w:rPr>
        <w:t>盐酸（</w:t>
      </w:r>
      <w:r>
        <w:rPr>
          <w:sz w:val="24"/>
        </w:rPr>
        <w:t>2 mol/L</w:t>
      </w:r>
      <w:r>
        <w:rPr>
          <w:sz w:val="24"/>
        </w:rPr>
        <w:t>）；涡旋</w:t>
      </w:r>
      <w:r>
        <w:rPr>
          <w:sz w:val="24"/>
        </w:rPr>
        <w:t>1 min</w:t>
      </w:r>
      <w:r>
        <w:rPr>
          <w:sz w:val="24"/>
        </w:rPr>
        <w:t>，</w:t>
      </w:r>
      <w:r>
        <w:rPr>
          <w:sz w:val="24"/>
        </w:rPr>
        <w:t>4℃</w:t>
      </w:r>
      <w:r>
        <w:rPr>
          <w:sz w:val="24"/>
        </w:rPr>
        <w:t>静置</w:t>
      </w:r>
      <w:r>
        <w:rPr>
          <w:sz w:val="24"/>
        </w:rPr>
        <w:t>15 min</w:t>
      </w:r>
      <w:r>
        <w:rPr>
          <w:sz w:val="24"/>
        </w:rPr>
        <w:t>；重复涡旋静置四次后，加入</w:t>
      </w:r>
      <w:r>
        <w:rPr>
          <w:sz w:val="24"/>
        </w:rPr>
        <w:t>1.2 mL</w:t>
      </w:r>
      <w:r>
        <w:rPr>
          <w:sz w:val="24"/>
        </w:rPr>
        <w:t>乙腈；涡旋</w:t>
      </w:r>
      <w:r>
        <w:rPr>
          <w:sz w:val="24"/>
        </w:rPr>
        <w:t>5 min</w:t>
      </w:r>
      <w:r>
        <w:rPr>
          <w:sz w:val="24"/>
        </w:rPr>
        <w:t>，</w:t>
      </w:r>
      <w:r>
        <w:rPr>
          <w:sz w:val="24"/>
        </w:rPr>
        <w:t>12000 rpm</w:t>
      </w:r>
      <w:r>
        <w:rPr>
          <w:sz w:val="24"/>
        </w:rPr>
        <w:t>（离心力</w:t>
      </w:r>
      <w:r>
        <w:rPr>
          <w:sz w:val="24"/>
        </w:rPr>
        <w:t xml:space="preserve">13800 </w:t>
      </w:r>
      <w:r>
        <w:rPr>
          <w:sz w:val="24"/>
        </w:rPr>
        <w:t>（</w:t>
      </w:r>
      <w:r>
        <w:rPr>
          <w:sz w:val="24"/>
        </w:rPr>
        <w:t>×g</w:t>
      </w:r>
      <w:r>
        <w:rPr>
          <w:sz w:val="24"/>
        </w:rPr>
        <w:t>），半径</w:t>
      </w:r>
      <w:r>
        <w:rPr>
          <w:sz w:val="24"/>
        </w:rPr>
        <w:t>8.6 cm</w:t>
      </w:r>
      <w:r>
        <w:rPr>
          <w:sz w:val="24"/>
        </w:rPr>
        <w:t>）离心</w:t>
      </w:r>
      <w:r>
        <w:rPr>
          <w:sz w:val="24"/>
        </w:rPr>
        <w:t>5 min</w:t>
      </w:r>
      <w:r>
        <w:rPr>
          <w:sz w:val="24"/>
        </w:rPr>
        <w:t>，取上清</w:t>
      </w:r>
      <w:r>
        <w:rPr>
          <w:sz w:val="24"/>
        </w:rPr>
        <w:t>1350μL</w:t>
      </w:r>
      <w:proofErr w:type="gramStart"/>
      <w:r>
        <w:rPr>
          <w:sz w:val="24"/>
        </w:rPr>
        <w:t>氮吹干燥</w:t>
      </w:r>
      <w:proofErr w:type="gramEnd"/>
      <w:r>
        <w:rPr>
          <w:sz w:val="24"/>
        </w:rPr>
        <w:t>；加入</w:t>
      </w:r>
      <w:r>
        <w:rPr>
          <w:sz w:val="24"/>
        </w:rPr>
        <w:lastRenderedPageBreak/>
        <w:t>112.5 μL 80%</w:t>
      </w:r>
      <w:r>
        <w:rPr>
          <w:sz w:val="24"/>
        </w:rPr>
        <w:t>甲醇（内标浓度为</w:t>
      </w:r>
      <w:r>
        <w:rPr>
          <w:sz w:val="24"/>
        </w:rPr>
        <w:t>10μg/mL</w:t>
      </w:r>
      <w:r>
        <w:rPr>
          <w:sz w:val="24"/>
        </w:rPr>
        <w:t>）复溶，涡旋</w:t>
      </w:r>
      <w:r>
        <w:rPr>
          <w:sz w:val="24"/>
        </w:rPr>
        <w:t>5 min</w:t>
      </w:r>
      <w:r>
        <w:rPr>
          <w:sz w:val="24"/>
        </w:rPr>
        <w:t>，</w:t>
      </w:r>
      <w:r>
        <w:rPr>
          <w:sz w:val="24"/>
        </w:rPr>
        <w:t>12000 rpm</w:t>
      </w:r>
      <w:r>
        <w:rPr>
          <w:sz w:val="24"/>
        </w:rPr>
        <w:t>（离心力</w:t>
      </w:r>
      <w:r>
        <w:rPr>
          <w:sz w:val="24"/>
        </w:rPr>
        <w:t xml:space="preserve">13800 </w:t>
      </w:r>
      <w:r>
        <w:rPr>
          <w:sz w:val="24"/>
        </w:rPr>
        <w:t>（</w:t>
      </w:r>
      <w:r>
        <w:rPr>
          <w:sz w:val="24"/>
        </w:rPr>
        <w:t>×g</w:t>
      </w:r>
      <w:r>
        <w:rPr>
          <w:sz w:val="24"/>
        </w:rPr>
        <w:t>），半径</w:t>
      </w:r>
      <w:r>
        <w:rPr>
          <w:sz w:val="24"/>
        </w:rPr>
        <w:t>8.6 cm</w:t>
      </w:r>
      <w:r>
        <w:rPr>
          <w:sz w:val="24"/>
        </w:rPr>
        <w:t>）离心</w:t>
      </w:r>
      <w:r>
        <w:rPr>
          <w:sz w:val="24"/>
        </w:rPr>
        <w:t>5 min</w:t>
      </w:r>
      <w:r>
        <w:rPr>
          <w:sz w:val="24"/>
        </w:rPr>
        <w:t>；取</w:t>
      </w:r>
      <w:r>
        <w:rPr>
          <w:sz w:val="24"/>
        </w:rPr>
        <w:t>90μL</w:t>
      </w:r>
      <w:r>
        <w:rPr>
          <w:sz w:val="24"/>
        </w:rPr>
        <w:t>上清到进样瓶中上机检测。</w:t>
      </w:r>
    </w:p>
    <w:p w:rsidR="00C4690C" w:rsidRDefault="00C4690C" w:rsidP="00C4690C">
      <w:pPr>
        <w:spacing w:line="360" w:lineRule="auto"/>
        <w:rPr>
          <w:sz w:val="24"/>
        </w:rPr>
      </w:pPr>
      <w:r>
        <w:rPr>
          <w:sz w:val="24"/>
        </w:rPr>
        <w:t>（</w:t>
      </w:r>
      <w:r>
        <w:rPr>
          <w:sz w:val="24"/>
        </w:rPr>
        <w:t>7</w:t>
      </w:r>
      <w:r>
        <w:rPr>
          <w:sz w:val="24"/>
        </w:rPr>
        <w:t>）上机检测</w:t>
      </w:r>
    </w:p>
    <w:p w:rsidR="00C4690C" w:rsidRDefault="00C4690C" w:rsidP="00C4690C">
      <w:pPr>
        <w:spacing w:line="360" w:lineRule="auto"/>
        <w:ind w:firstLineChars="200" w:firstLine="480"/>
        <w:rPr>
          <w:sz w:val="24"/>
        </w:rPr>
      </w:pPr>
      <w:r>
        <w:rPr>
          <w:sz w:val="24"/>
        </w:rPr>
        <w:t xml:space="preserve">Vanquish </w:t>
      </w:r>
      <w:r>
        <w:rPr>
          <w:sz w:val="24"/>
        </w:rPr>
        <w:t>（</w:t>
      </w:r>
      <w:r>
        <w:rPr>
          <w:sz w:val="24"/>
        </w:rPr>
        <w:t xml:space="preserve">Thermo Fisher Scientific) </w:t>
      </w:r>
      <w:r>
        <w:rPr>
          <w:sz w:val="24"/>
        </w:rPr>
        <w:t>超高效液相控制下按照下表中的流动相参数进行分析。所使用的色谱柱为购自</w:t>
      </w:r>
      <w:r>
        <w:rPr>
          <w:sz w:val="24"/>
        </w:rPr>
        <w:t>Waters</w:t>
      </w:r>
      <w:r>
        <w:rPr>
          <w:sz w:val="24"/>
        </w:rPr>
        <w:t>的</w:t>
      </w:r>
      <w:r>
        <w:rPr>
          <w:sz w:val="24"/>
        </w:rPr>
        <w:t xml:space="preserve">UPLC BEH C18 </w:t>
      </w:r>
      <w:r>
        <w:rPr>
          <w:sz w:val="24"/>
        </w:rPr>
        <w:t>色谱柱</w:t>
      </w:r>
      <w:r>
        <w:rPr>
          <w:sz w:val="24"/>
        </w:rPr>
        <w:t xml:space="preserve"> </w:t>
      </w:r>
      <w:r>
        <w:rPr>
          <w:sz w:val="24"/>
        </w:rPr>
        <w:t>（</w:t>
      </w:r>
      <w:r>
        <w:rPr>
          <w:sz w:val="24"/>
        </w:rPr>
        <w:t>1.7μm * 2.1 * 100 mm)</w:t>
      </w:r>
      <w:r>
        <w:rPr>
          <w:sz w:val="24"/>
        </w:rPr>
        <w:t>。进样体积为</w:t>
      </w:r>
      <w:r>
        <w:rPr>
          <w:sz w:val="24"/>
        </w:rPr>
        <w:t>5μL</w:t>
      </w:r>
      <w:r>
        <w:rPr>
          <w:sz w:val="24"/>
        </w:rPr>
        <w:t>。注：时间单位为</w:t>
      </w:r>
      <w:r>
        <w:rPr>
          <w:sz w:val="24"/>
        </w:rPr>
        <w:t>min</w:t>
      </w:r>
      <w:r>
        <w:rPr>
          <w:sz w:val="24"/>
        </w:rPr>
        <w:t>，流速单位为</w:t>
      </w:r>
      <w:r>
        <w:rPr>
          <w:sz w:val="24"/>
        </w:rPr>
        <w:t>μL/min</w:t>
      </w:r>
      <w:r>
        <w:rPr>
          <w:sz w:val="24"/>
        </w:rPr>
        <w:t>，</w:t>
      </w:r>
      <w:r>
        <w:rPr>
          <w:sz w:val="24"/>
        </w:rPr>
        <w:t>A</w:t>
      </w:r>
      <w:r>
        <w:rPr>
          <w:sz w:val="24"/>
        </w:rPr>
        <w:t>和</w:t>
      </w:r>
      <w:r>
        <w:rPr>
          <w:sz w:val="24"/>
        </w:rPr>
        <w:t>B</w:t>
      </w:r>
      <w:r>
        <w:rPr>
          <w:sz w:val="24"/>
        </w:rPr>
        <w:t>相中都加入</w:t>
      </w:r>
      <w:r>
        <w:rPr>
          <w:sz w:val="24"/>
        </w:rPr>
        <w:t>0.1%</w:t>
      </w:r>
      <w:r>
        <w:rPr>
          <w:sz w:val="24"/>
        </w:rPr>
        <w:t>甲酸。详见表</w:t>
      </w:r>
      <w:r>
        <w:rPr>
          <w:rFonts w:hint="eastAsia"/>
          <w:sz w:val="24"/>
        </w:rPr>
        <w:t>5</w:t>
      </w:r>
      <w:r>
        <w:rPr>
          <w:sz w:val="24"/>
        </w:rPr>
        <w:t>。</w:t>
      </w:r>
    </w:p>
    <w:p w:rsidR="00C4690C" w:rsidRDefault="00C4690C" w:rsidP="00C4690C">
      <w:pPr>
        <w:pStyle w:val="af"/>
        <w:spacing w:before="142" w:line="360" w:lineRule="auto"/>
        <w:ind w:left="2748" w:firstLineChars="300" w:firstLine="720"/>
        <w:rPr>
          <w:rFonts w:ascii="Times New Roman" w:eastAsia="宋体" w:hAnsi="Times New Roman"/>
          <w:sz w:val="24"/>
          <w:szCs w:val="24"/>
        </w:rPr>
      </w:pPr>
      <w:r>
        <w:rPr>
          <w:rFonts w:ascii="Times New Roman" w:eastAsia="宋体" w:hAnsi="Times New Roman"/>
          <w:sz w:val="24"/>
          <w:szCs w:val="24"/>
        </w:rPr>
        <w:t>表</w:t>
      </w:r>
      <w:r>
        <w:rPr>
          <w:rFonts w:ascii="Times New Roman" w:eastAsia="宋体" w:hAnsi="Times New Roman"/>
          <w:sz w:val="24"/>
          <w:szCs w:val="24"/>
        </w:rPr>
        <w:t xml:space="preserve"> </w:t>
      </w:r>
      <w:r>
        <w:rPr>
          <w:rFonts w:ascii="Times New Roman" w:eastAsia="宋体" w:hAnsi="Times New Roman"/>
          <w:sz w:val="24"/>
          <w:szCs w:val="24"/>
        </w:rPr>
        <w:fldChar w:fldCharType="begin"/>
      </w:r>
      <w:r>
        <w:rPr>
          <w:rFonts w:ascii="Times New Roman" w:eastAsia="宋体" w:hAnsi="Times New Roman"/>
          <w:sz w:val="24"/>
          <w:szCs w:val="24"/>
        </w:rPr>
        <w:instrText xml:space="preserve"> SEQ </w:instrText>
      </w:r>
      <w:r>
        <w:rPr>
          <w:rFonts w:ascii="Times New Roman" w:eastAsia="宋体" w:hAnsi="Times New Roman"/>
          <w:sz w:val="24"/>
          <w:szCs w:val="24"/>
        </w:rPr>
        <w:instrText>表</w:instrText>
      </w:r>
      <w:r>
        <w:rPr>
          <w:rFonts w:ascii="Times New Roman" w:eastAsia="宋体" w:hAnsi="Times New Roman"/>
          <w:sz w:val="24"/>
          <w:szCs w:val="24"/>
        </w:rPr>
        <w:instrText xml:space="preserve"> \* ARABIC </w:instrText>
      </w:r>
      <w:r>
        <w:rPr>
          <w:rFonts w:ascii="Times New Roman" w:eastAsia="宋体" w:hAnsi="Times New Roman"/>
          <w:sz w:val="24"/>
          <w:szCs w:val="24"/>
        </w:rPr>
        <w:fldChar w:fldCharType="separate"/>
      </w:r>
      <w:r>
        <w:rPr>
          <w:rFonts w:ascii="Times New Roman" w:eastAsia="宋体" w:hAnsi="Times New Roman"/>
          <w:noProof/>
          <w:sz w:val="24"/>
          <w:szCs w:val="24"/>
        </w:rPr>
        <w:t>5</w:t>
      </w:r>
      <w:r>
        <w:rPr>
          <w:rFonts w:ascii="Times New Roman" w:eastAsia="宋体" w:hAnsi="Times New Roman"/>
          <w:sz w:val="24"/>
          <w:szCs w:val="24"/>
        </w:rPr>
        <w:fldChar w:fldCharType="end"/>
      </w:r>
      <w:r>
        <w:rPr>
          <w:rFonts w:ascii="Times New Roman" w:eastAsia="宋体" w:hAnsi="Times New Roman"/>
          <w:sz w:val="24"/>
          <w:szCs w:val="24"/>
        </w:rPr>
        <w:t xml:space="preserve"> </w:t>
      </w:r>
      <w:r>
        <w:rPr>
          <w:rFonts w:ascii="Times New Roman" w:eastAsia="宋体" w:hAnsi="Times New Roman"/>
          <w:sz w:val="24"/>
          <w:szCs w:val="24"/>
        </w:rPr>
        <w:t>液相色谱流动相条件表</w:t>
      </w:r>
    </w:p>
    <w:tbl>
      <w:tblPr>
        <w:tblStyle w:val="TableNormal"/>
        <w:tblW w:w="3937" w:type="dxa"/>
        <w:tblInd w:w="2747" w:type="dxa"/>
        <w:tblBorders>
          <w:top w:val="single" w:sz="2" w:space="0" w:color="DDDDDD"/>
          <w:left w:val="single" w:sz="2" w:space="0" w:color="DDDDDD"/>
          <w:bottom w:val="single" w:sz="2" w:space="0" w:color="DDDDDD"/>
          <w:right w:val="single" w:sz="2" w:space="0" w:color="DDDDDD"/>
          <w:insideH w:val="single" w:sz="2" w:space="0" w:color="DDDDDD"/>
          <w:insideV w:val="single" w:sz="2" w:space="0" w:color="DDDDDD"/>
        </w:tblBorders>
        <w:tblLayout w:type="fixed"/>
        <w:tblLook w:val="0000" w:firstRow="0" w:lastRow="0" w:firstColumn="0" w:lastColumn="0" w:noHBand="0" w:noVBand="0"/>
      </w:tblPr>
      <w:tblGrid>
        <w:gridCol w:w="929"/>
        <w:gridCol w:w="900"/>
        <w:gridCol w:w="900"/>
        <w:gridCol w:w="1208"/>
      </w:tblGrid>
      <w:tr w:rsidR="00C4690C" w:rsidTr="00B2076E">
        <w:trPr>
          <w:trHeight w:val="289"/>
          <w:tblHeader/>
        </w:trPr>
        <w:tc>
          <w:tcPr>
            <w:tcW w:w="929" w:type="dxa"/>
            <w:tcBorders>
              <w:top w:val="single" w:sz="2" w:space="0" w:color="008CCE"/>
              <w:left w:val="single" w:sz="2" w:space="0" w:color="008CCE"/>
              <w:bottom w:val="single" w:sz="6" w:space="0" w:color="008CCE"/>
              <w:right w:val="nil"/>
            </w:tcBorders>
            <w:shd w:val="clear" w:color="auto" w:fill="008CCE"/>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时间</w:t>
            </w:r>
          </w:p>
        </w:tc>
        <w:tc>
          <w:tcPr>
            <w:tcW w:w="900" w:type="dxa"/>
            <w:tcBorders>
              <w:top w:val="single" w:sz="2" w:space="0" w:color="008CCE"/>
              <w:left w:val="nil"/>
              <w:bottom w:val="single" w:sz="6" w:space="0" w:color="DDDDDD"/>
              <w:right w:val="nil"/>
            </w:tcBorders>
            <w:shd w:val="clear" w:color="auto" w:fill="008CCE"/>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流速</w:t>
            </w:r>
          </w:p>
        </w:tc>
        <w:tc>
          <w:tcPr>
            <w:tcW w:w="900" w:type="dxa"/>
            <w:tcBorders>
              <w:top w:val="single" w:sz="2" w:space="0" w:color="008CCE"/>
              <w:left w:val="nil"/>
              <w:bottom w:val="single" w:sz="6" w:space="0" w:color="DDDDDD"/>
              <w:right w:val="nil"/>
            </w:tcBorders>
            <w:shd w:val="clear" w:color="auto" w:fill="008CCE"/>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A%</w:t>
            </w:r>
            <w:r>
              <w:rPr>
                <w:rFonts w:ascii="Times New Roman" w:hAnsi="Times New Roman" w:cs="Times New Roman"/>
                <w:spacing w:val="9"/>
                <w:sz w:val="21"/>
                <w:szCs w:val="21"/>
              </w:rPr>
              <w:t>水</w:t>
            </w:r>
          </w:p>
        </w:tc>
        <w:tc>
          <w:tcPr>
            <w:tcW w:w="1208" w:type="dxa"/>
            <w:tcBorders>
              <w:top w:val="single" w:sz="2" w:space="0" w:color="008CCE"/>
              <w:left w:val="nil"/>
              <w:bottom w:val="single" w:sz="6" w:space="0" w:color="008CCE"/>
              <w:right w:val="single" w:sz="2" w:space="0" w:color="008CCE"/>
            </w:tcBorders>
            <w:shd w:val="clear" w:color="auto" w:fill="008CCE"/>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B%</w:t>
            </w:r>
            <w:r>
              <w:rPr>
                <w:rFonts w:ascii="Times New Roman" w:hAnsi="Times New Roman" w:cs="Times New Roman"/>
                <w:spacing w:val="9"/>
                <w:sz w:val="21"/>
                <w:szCs w:val="21"/>
              </w:rPr>
              <w:t>乙腈</w:t>
            </w:r>
          </w:p>
        </w:tc>
      </w:tr>
      <w:tr w:rsidR="00C4690C" w:rsidTr="00B2076E">
        <w:trPr>
          <w:trHeight w:val="273"/>
        </w:trPr>
        <w:tc>
          <w:tcPr>
            <w:tcW w:w="929" w:type="dxa"/>
            <w:tcBorders>
              <w:top w:val="single" w:sz="6" w:space="0" w:color="DDDDDD"/>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0</w:t>
            </w:r>
          </w:p>
        </w:tc>
        <w:tc>
          <w:tcPr>
            <w:tcW w:w="900" w:type="dxa"/>
            <w:tcBorders>
              <w:top w:val="single" w:sz="6" w:space="0" w:color="DDDDDD"/>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400</w:t>
            </w:r>
          </w:p>
        </w:tc>
        <w:tc>
          <w:tcPr>
            <w:tcW w:w="900" w:type="dxa"/>
            <w:tcBorders>
              <w:top w:val="single" w:sz="6" w:space="0" w:color="DDDDDD"/>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95</w:t>
            </w:r>
          </w:p>
        </w:tc>
        <w:tc>
          <w:tcPr>
            <w:tcW w:w="1208" w:type="dxa"/>
            <w:tcBorders>
              <w:top w:val="single" w:sz="6" w:space="0" w:color="DDDDDD"/>
              <w:lef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5</w:t>
            </w:r>
          </w:p>
        </w:tc>
      </w:tr>
      <w:tr w:rsidR="00C4690C" w:rsidTr="00B2076E">
        <w:trPr>
          <w:trHeight w:val="279"/>
        </w:trPr>
        <w:tc>
          <w:tcPr>
            <w:tcW w:w="929" w:type="dxa"/>
            <w:tcBorders>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3.5</w:t>
            </w:r>
          </w:p>
        </w:tc>
        <w:tc>
          <w:tcPr>
            <w:tcW w:w="90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400</w:t>
            </w:r>
          </w:p>
        </w:tc>
        <w:tc>
          <w:tcPr>
            <w:tcW w:w="90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85</w:t>
            </w:r>
          </w:p>
        </w:tc>
        <w:tc>
          <w:tcPr>
            <w:tcW w:w="1208" w:type="dxa"/>
            <w:tcBorders>
              <w:lef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15</w:t>
            </w:r>
          </w:p>
        </w:tc>
      </w:tr>
      <w:tr w:rsidR="00C4690C" w:rsidTr="00B2076E">
        <w:trPr>
          <w:trHeight w:val="279"/>
        </w:trPr>
        <w:tc>
          <w:tcPr>
            <w:tcW w:w="929" w:type="dxa"/>
            <w:tcBorders>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6</w:t>
            </w:r>
          </w:p>
        </w:tc>
        <w:tc>
          <w:tcPr>
            <w:tcW w:w="90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400</w:t>
            </w:r>
          </w:p>
        </w:tc>
        <w:tc>
          <w:tcPr>
            <w:tcW w:w="90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70</w:t>
            </w:r>
          </w:p>
        </w:tc>
        <w:tc>
          <w:tcPr>
            <w:tcW w:w="1208" w:type="dxa"/>
            <w:tcBorders>
              <w:lef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30</w:t>
            </w:r>
          </w:p>
        </w:tc>
      </w:tr>
      <w:tr w:rsidR="00C4690C" w:rsidTr="00B2076E">
        <w:trPr>
          <w:trHeight w:val="279"/>
        </w:trPr>
        <w:tc>
          <w:tcPr>
            <w:tcW w:w="929" w:type="dxa"/>
            <w:tcBorders>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6.5</w:t>
            </w:r>
          </w:p>
        </w:tc>
        <w:tc>
          <w:tcPr>
            <w:tcW w:w="90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400</w:t>
            </w:r>
          </w:p>
        </w:tc>
        <w:tc>
          <w:tcPr>
            <w:tcW w:w="90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70</w:t>
            </w:r>
          </w:p>
        </w:tc>
        <w:tc>
          <w:tcPr>
            <w:tcW w:w="1208" w:type="dxa"/>
            <w:tcBorders>
              <w:lef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30</w:t>
            </w:r>
          </w:p>
        </w:tc>
      </w:tr>
      <w:tr w:rsidR="00C4690C" w:rsidTr="00B2076E">
        <w:trPr>
          <w:trHeight w:val="280"/>
        </w:trPr>
        <w:tc>
          <w:tcPr>
            <w:tcW w:w="929" w:type="dxa"/>
            <w:tcBorders>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12</w:t>
            </w:r>
          </w:p>
        </w:tc>
        <w:tc>
          <w:tcPr>
            <w:tcW w:w="90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400</w:t>
            </w:r>
          </w:p>
        </w:tc>
        <w:tc>
          <w:tcPr>
            <w:tcW w:w="90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30</w:t>
            </w:r>
          </w:p>
        </w:tc>
        <w:tc>
          <w:tcPr>
            <w:tcW w:w="1208" w:type="dxa"/>
            <w:tcBorders>
              <w:lef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70</w:t>
            </w:r>
          </w:p>
        </w:tc>
      </w:tr>
      <w:tr w:rsidR="00C4690C" w:rsidTr="00B2076E">
        <w:trPr>
          <w:trHeight w:val="280"/>
        </w:trPr>
        <w:tc>
          <w:tcPr>
            <w:tcW w:w="929" w:type="dxa"/>
            <w:tcBorders>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12.5</w:t>
            </w:r>
          </w:p>
        </w:tc>
        <w:tc>
          <w:tcPr>
            <w:tcW w:w="90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400</w:t>
            </w:r>
          </w:p>
        </w:tc>
        <w:tc>
          <w:tcPr>
            <w:tcW w:w="90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30</w:t>
            </w:r>
          </w:p>
        </w:tc>
        <w:tc>
          <w:tcPr>
            <w:tcW w:w="1208" w:type="dxa"/>
            <w:tcBorders>
              <w:lef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70</w:t>
            </w:r>
          </w:p>
        </w:tc>
      </w:tr>
      <w:tr w:rsidR="00C4690C" w:rsidTr="00B2076E">
        <w:trPr>
          <w:trHeight w:val="280"/>
        </w:trPr>
        <w:tc>
          <w:tcPr>
            <w:tcW w:w="929" w:type="dxa"/>
            <w:tcBorders>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18</w:t>
            </w:r>
          </w:p>
        </w:tc>
        <w:tc>
          <w:tcPr>
            <w:tcW w:w="90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400</w:t>
            </w:r>
          </w:p>
        </w:tc>
        <w:tc>
          <w:tcPr>
            <w:tcW w:w="90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0</w:t>
            </w:r>
          </w:p>
        </w:tc>
        <w:tc>
          <w:tcPr>
            <w:tcW w:w="1208" w:type="dxa"/>
            <w:tcBorders>
              <w:lef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100</w:t>
            </w:r>
          </w:p>
        </w:tc>
      </w:tr>
      <w:tr w:rsidR="00C4690C" w:rsidTr="00B2076E">
        <w:trPr>
          <w:trHeight w:val="280"/>
        </w:trPr>
        <w:tc>
          <w:tcPr>
            <w:tcW w:w="929" w:type="dxa"/>
            <w:tcBorders>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22</w:t>
            </w:r>
          </w:p>
        </w:tc>
        <w:tc>
          <w:tcPr>
            <w:tcW w:w="90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400</w:t>
            </w:r>
          </w:p>
        </w:tc>
        <w:tc>
          <w:tcPr>
            <w:tcW w:w="90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0</w:t>
            </w:r>
          </w:p>
        </w:tc>
        <w:tc>
          <w:tcPr>
            <w:tcW w:w="1208" w:type="dxa"/>
            <w:tcBorders>
              <w:lef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100</w:t>
            </w:r>
          </w:p>
        </w:tc>
      </w:tr>
      <w:tr w:rsidR="00C4690C" w:rsidTr="00B2076E">
        <w:trPr>
          <w:trHeight w:val="280"/>
        </w:trPr>
        <w:tc>
          <w:tcPr>
            <w:tcW w:w="929" w:type="dxa"/>
            <w:tcBorders>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25</w:t>
            </w:r>
          </w:p>
        </w:tc>
        <w:tc>
          <w:tcPr>
            <w:tcW w:w="90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400</w:t>
            </w:r>
          </w:p>
        </w:tc>
        <w:tc>
          <w:tcPr>
            <w:tcW w:w="90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0</w:t>
            </w:r>
          </w:p>
        </w:tc>
        <w:tc>
          <w:tcPr>
            <w:tcW w:w="1208" w:type="dxa"/>
            <w:tcBorders>
              <w:lef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100</w:t>
            </w:r>
          </w:p>
        </w:tc>
      </w:tr>
      <w:tr w:rsidR="00C4690C" w:rsidTr="00B2076E">
        <w:trPr>
          <w:trHeight w:val="280"/>
        </w:trPr>
        <w:tc>
          <w:tcPr>
            <w:tcW w:w="929" w:type="dxa"/>
            <w:tcBorders>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26</w:t>
            </w:r>
          </w:p>
        </w:tc>
        <w:tc>
          <w:tcPr>
            <w:tcW w:w="90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400</w:t>
            </w:r>
          </w:p>
        </w:tc>
        <w:tc>
          <w:tcPr>
            <w:tcW w:w="900" w:type="dxa"/>
            <w:tcBorders>
              <w:left w:val="nil"/>
              <w:righ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95</w:t>
            </w:r>
          </w:p>
        </w:tc>
        <w:tc>
          <w:tcPr>
            <w:tcW w:w="1208" w:type="dxa"/>
            <w:tcBorders>
              <w:left w:val="nil"/>
            </w:tcBorders>
            <w:shd w:val="clear" w:color="auto" w:fill="DAEEF3"/>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5</w:t>
            </w:r>
          </w:p>
        </w:tc>
      </w:tr>
      <w:tr w:rsidR="00C4690C" w:rsidTr="00B2076E">
        <w:trPr>
          <w:trHeight w:val="280"/>
        </w:trPr>
        <w:tc>
          <w:tcPr>
            <w:tcW w:w="929" w:type="dxa"/>
            <w:tcBorders>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30</w:t>
            </w:r>
          </w:p>
        </w:tc>
        <w:tc>
          <w:tcPr>
            <w:tcW w:w="90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400</w:t>
            </w:r>
          </w:p>
        </w:tc>
        <w:tc>
          <w:tcPr>
            <w:tcW w:w="900" w:type="dxa"/>
            <w:tcBorders>
              <w:left w:val="nil"/>
              <w:righ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95</w:t>
            </w:r>
          </w:p>
        </w:tc>
        <w:tc>
          <w:tcPr>
            <w:tcW w:w="1208" w:type="dxa"/>
            <w:tcBorders>
              <w:left w:val="nil"/>
            </w:tcBorders>
            <w:shd w:val="clear" w:color="auto" w:fill="B7DEE8"/>
          </w:tcPr>
          <w:p w:rsidR="00C4690C" w:rsidRDefault="00C4690C" w:rsidP="00B2076E">
            <w:pPr>
              <w:pStyle w:val="TableText"/>
              <w:spacing w:before="69" w:line="360" w:lineRule="auto"/>
              <w:jc w:val="center"/>
              <w:rPr>
                <w:rFonts w:ascii="Times New Roman" w:hAnsi="Times New Roman" w:cs="Times New Roman"/>
                <w:spacing w:val="9"/>
                <w:sz w:val="21"/>
                <w:szCs w:val="21"/>
              </w:rPr>
            </w:pPr>
            <w:r>
              <w:rPr>
                <w:rFonts w:ascii="Times New Roman" w:hAnsi="Times New Roman" w:cs="Times New Roman"/>
                <w:spacing w:val="9"/>
                <w:sz w:val="21"/>
                <w:szCs w:val="21"/>
              </w:rPr>
              <w:t>5</w:t>
            </w:r>
          </w:p>
        </w:tc>
      </w:tr>
    </w:tbl>
    <w:p w:rsidR="00C4690C" w:rsidRDefault="00C4690C" w:rsidP="00C4690C">
      <w:pPr>
        <w:spacing w:line="360" w:lineRule="auto"/>
        <w:ind w:firstLineChars="200" w:firstLine="480"/>
        <w:rPr>
          <w:sz w:val="24"/>
        </w:rPr>
      </w:pPr>
      <w:r>
        <w:rPr>
          <w:sz w:val="24"/>
        </w:rPr>
        <w:t>Orbitrap Exp loris 120</w:t>
      </w:r>
      <w:r>
        <w:rPr>
          <w:sz w:val="24"/>
        </w:rPr>
        <w:t>质谱仪能够在控制软件（</w:t>
      </w:r>
      <w:r>
        <w:rPr>
          <w:sz w:val="24"/>
        </w:rPr>
        <w:t>Xcalibur, Thermo Fisher Scientific</w:t>
      </w:r>
      <w:r>
        <w:rPr>
          <w:sz w:val="24"/>
        </w:rPr>
        <w:t>）控制下基于</w:t>
      </w:r>
      <w:r>
        <w:rPr>
          <w:sz w:val="24"/>
        </w:rPr>
        <w:t>FullScan-ddMS2</w:t>
      </w:r>
      <w:r>
        <w:rPr>
          <w:sz w:val="24"/>
        </w:rPr>
        <w:t>功能进行一级、二级质谱数据采集。详细参数如下：</w:t>
      </w:r>
      <w:r>
        <w:rPr>
          <w:sz w:val="24"/>
        </w:rPr>
        <w:t xml:space="preserve">Sheath gas flow rate : 30 Arb, Aux gas flow rate : 10 Arb, Ion Transfer Tube Temp : 350℃, Vaporizer Temp : 350℃, Full ms resolution : 60000, MS/MS resolution : 15000, Collision energy : 16/32/48 in NCE mode, Spray Voltage : 5.5 kV </w:t>
      </w:r>
      <w:r>
        <w:rPr>
          <w:sz w:val="24"/>
        </w:rPr>
        <w:t>（</w:t>
      </w:r>
      <w:r>
        <w:rPr>
          <w:sz w:val="24"/>
        </w:rPr>
        <w:t>positive)</w:t>
      </w:r>
      <w:r>
        <w:rPr>
          <w:sz w:val="24"/>
        </w:rPr>
        <w:t>或</w:t>
      </w:r>
      <w:r>
        <w:rPr>
          <w:sz w:val="24"/>
        </w:rPr>
        <w:t xml:space="preserve">-4 kV </w:t>
      </w:r>
      <w:r>
        <w:rPr>
          <w:sz w:val="24"/>
        </w:rPr>
        <w:t>（</w:t>
      </w:r>
      <w:r>
        <w:rPr>
          <w:sz w:val="24"/>
        </w:rPr>
        <w:t>negative)</w:t>
      </w:r>
      <w:r>
        <w:rPr>
          <w:sz w:val="24"/>
        </w:rPr>
        <w:t>。</w:t>
      </w:r>
    </w:p>
    <w:p w:rsidR="00C4690C" w:rsidRDefault="00C4690C" w:rsidP="00C4690C">
      <w:pPr>
        <w:spacing w:line="360" w:lineRule="auto"/>
        <w:rPr>
          <w:sz w:val="24"/>
        </w:rPr>
      </w:pPr>
      <w:r>
        <w:rPr>
          <w:sz w:val="24"/>
        </w:rPr>
        <w:t>（</w:t>
      </w:r>
      <w:r>
        <w:rPr>
          <w:sz w:val="24"/>
        </w:rPr>
        <w:t>8</w:t>
      </w:r>
      <w:r>
        <w:rPr>
          <w:sz w:val="24"/>
        </w:rPr>
        <w:t>）数据处理</w:t>
      </w:r>
    </w:p>
    <w:p w:rsidR="00C4690C" w:rsidRDefault="00C4690C" w:rsidP="00C4690C">
      <w:pPr>
        <w:spacing w:line="360" w:lineRule="auto"/>
        <w:ind w:firstLineChars="200" w:firstLine="480"/>
        <w:rPr>
          <w:sz w:val="24"/>
        </w:rPr>
      </w:pPr>
      <w:r>
        <w:rPr>
          <w:sz w:val="24"/>
        </w:rPr>
        <w:lastRenderedPageBreak/>
        <w:t>使用</w:t>
      </w:r>
      <w:r>
        <w:rPr>
          <w:sz w:val="24"/>
        </w:rPr>
        <w:t>XCMS</w:t>
      </w:r>
      <w:r>
        <w:rPr>
          <w:sz w:val="24"/>
        </w:rPr>
        <w:t>软件将质谱原始导入。进行保留时间矫正、峰识别、峰提取、峰积分、峰对齐等工作，利用自建二级质谱数据库及相应裂解规律匹配法</w:t>
      </w:r>
      <w:r>
        <w:rPr>
          <w:sz w:val="24"/>
        </w:rPr>
        <w:t xml:space="preserve"> </w:t>
      </w:r>
      <w:r>
        <w:rPr>
          <w:sz w:val="24"/>
        </w:rPr>
        <w:t>对含有</w:t>
      </w:r>
      <w:r>
        <w:rPr>
          <w:sz w:val="24"/>
        </w:rPr>
        <w:t>MSMS</w:t>
      </w:r>
      <w:r>
        <w:rPr>
          <w:sz w:val="24"/>
        </w:rPr>
        <w:t>数据的峰进行物质鉴定。</w:t>
      </w:r>
    </w:p>
    <w:p w:rsidR="00C4690C" w:rsidRDefault="00C4690C" w:rsidP="00C4690C">
      <w:pPr>
        <w:spacing w:line="360" w:lineRule="auto"/>
        <w:rPr>
          <w:sz w:val="24"/>
        </w:rPr>
      </w:pPr>
      <w:r>
        <w:rPr>
          <w:sz w:val="24"/>
        </w:rPr>
        <w:t>6.6.2.2</w:t>
      </w:r>
      <w:r>
        <w:rPr>
          <w:sz w:val="24"/>
        </w:rPr>
        <w:t>结果</w:t>
      </w:r>
    </w:p>
    <w:p w:rsidR="00C4690C" w:rsidRDefault="00C4690C" w:rsidP="00C4690C">
      <w:pPr>
        <w:spacing w:line="360" w:lineRule="auto"/>
        <w:rPr>
          <w:sz w:val="24"/>
        </w:rPr>
      </w:pPr>
      <w:r>
        <w:rPr>
          <w:sz w:val="24"/>
        </w:rPr>
        <w:t>（</w:t>
      </w:r>
      <w:r>
        <w:rPr>
          <w:sz w:val="24"/>
        </w:rPr>
        <w:t>1</w:t>
      </w:r>
      <w:r>
        <w:rPr>
          <w:sz w:val="24"/>
        </w:rPr>
        <w:t>）组方入血成分检测</w:t>
      </w:r>
    </w:p>
    <w:p w:rsidR="00C4690C" w:rsidRDefault="00C4690C" w:rsidP="00C4690C">
      <w:pPr>
        <w:spacing w:line="360" w:lineRule="auto"/>
        <w:ind w:firstLineChars="200" w:firstLine="480"/>
        <w:rPr>
          <w:sz w:val="24"/>
        </w:rPr>
      </w:pPr>
      <w:r>
        <w:rPr>
          <w:sz w:val="24"/>
        </w:rPr>
        <w:t>共检测到</w:t>
      </w:r>
      <w:r>
        <w:rPr>
          <w:sz w:val="24"/>
        </w:rPr>
        <w:t>232</w:t>
      </w:r>
      <w:r>
        <w:rPr>
          <w:sz w:val="24"/>
        </w:rPr>
        <w:t>个入血化合物，前</w:t>
      </w:r>
      <w:r>
        <w:rPr>
          <w:sz w:val="24"/>
        </w:rPr>
        <w:t>7</w:t>
      </w:r>
      <w:r>
        <w:rPr>
          <w:sz w:val="24"/>
        </w:rPr>
        <w:t>化合物见下表</w:t>
      </w:r>
      <w:r>
        <w:rPr>
          <w:rFonts w:hint="eastAsia"/>
          <w:sz w:val="24"/>
        </w:rPr>
        <w:t>6</w:t>
      </w:r>
      <w:r>
        <w:rPr>
          <w:sz w:val="24"/>
        </w:rPr>
        <w:t>。</w:t>
      </w:r>
    </w:p>
    <w:p w:rsidR="00C4690C" w:rsidRDefault="00C4690C" w:rsidP="00C4690C">
      <w:pPr>
        <w:spacing w:line="360" w:lineRule="auto"/>
        <w:jc w:val="center"/>
        <w:rPr>
          <w:sz w:val="24"/>
        </w:rPr>
      </w:pPr>
      <w:r>
        <w:rPr>
          <w:sz w:val="24"/>
        </w:rPr>
        <w:t>表</w:t>
      </w:r>
      <w:r>
        <w:rPr>
          <w:sz w:val="24"/>
        </w:rPr>
        <w:t xml:space="preserve"> </w:t>
      </w:r>
      <w:r>
        <w:rPr>
          <w:sz w:val="24"/>
        </w:rPr>
        <w:fldChar w:fldCharType="begin"/>
      </w:r>
      <w:r>
        <w:rPr>
          <w:sz w:val="24"/>
        </w:rPr>
        <w:instrText xml:space="preserve"> SEQ </w:instrText>
      </w:r>
      <w:r>
        <w:rPr>
          <w:sz w:val="24"/>
        </w:rPr>
        <w:instrText>表</w:instrText>
      </w:r>
      <w:r>
        <w:rPr>
          <w:sz w:val="24"/>
        </w:rPr>
        <w:instrText xml:space="preserve"> \* ARABIC </w:instrText>
      </w:r>
      <w:r>
        <w:rPr>
          <w:sz w:val="24"/>
        </w:rPr>
        <w:fldChar w:fldCharType="separate"/>
      </w:r>
      <w:r>
        <w:rPr>
          <w:noProof/>
          <w:sz w:val="24"/>
        </w:rPr>
        <w:t>6</w:t>
      </w:r>
      <w:r>
        <w:rPr>
          <w:sz w:val="24"/>
        </w:rPr>
        <w:fldChar w:fldCharType="end"/>
      </w:r>
      <w:r>
        <w:rPr>
          <w:sz w:val="24"/>
        </w:rPr>
        <w:t>血清药物化学分析结果表</w:t>
      </w:r>
      <w:r>
        <w:rPr>
          <w:sz w:val="24"/>
        </w:rPr>
        <w:t>(</w:t>
      </w:r>
      <w:r>
        <w:rPr>
          <w:sz w:val="24"/>
        </w:rPr>
        <w:t>前</w:t>
      </w:r>
      <w:r>
        <w:rPr>
          <w:sz w:val="24"/>
        </w:rPr>
        <w:t>7</w:t>
      </w:r>
      <w:r>
        <w:rPr>
          <w:sz w:val="24"/>
        </w:rPr>
        <w:t>行</w:t>
      </w:r>
      <w:r>
        <w:rPr>
          <w:sz w:val="24"/>
        </w:rPr>
        <w:t>)</w:t>
      </w:r>
    </w:p>
    <w:p w:rsidR="00C4690C" w:rsidRDefault="00C4690C" w:rsidP="00C4690C">
      <w:pPr>
        <w:spacing w:line="360" w:lineRule="auto"/>
        <w:rPr>
          <w:sz w:val="24"/>
        </w:rPr>
      </w:pPr>
      <w:r>
        <w:rPr>
          <w:noProof/>
          <w:sz w:val="24"/>
        </w:rPr>
        <w:drawing>
          <wp:inline distT="0" distB="0" distL="0" distR="0">
            <wp:extent cx="5693410" cy="3554095"/>
            <wp:effectExtent l="0" t="0" r="2540" b="8255"/>
            <wp:docPr id="13" name="图片 13" descr="173450931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 descr="173450931370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93410" cy="3554095"/>
                    </a:xfrm>
                    <a:prstGeom prst="rect">
                      <a:avLst/>
                    </a:prstGeom>
                    <a:noFill/>
                    <a:ln>
                      <a:noFill/>
                    </a:ln>
                  </pic:spPr>
                </pic:pic>
              </a:graphicData>
            </a:graphic>
          </wp:inline>
        </w:drawing>
      </w:r>
    </w:p>
    <w:p w:rsidR="00C4690C" w:rsidRDefault="00C4690C" w:rsidP="00C4690C">
      <w:pPr>
        <w:spacing w:line="360" w:lineRule="auto"/>
        <w:rPr>
          <w:sz w:val="24"/>
        </w:rPr>
      </w:pPr>
      <w:r>
        <w:rPr>
          <w:sz w:val="24"/>
        </w:rPr>
        <w:t>（</w:t>
      </w:r>
      <w:r>
        <w:rPr>
          <w:sz w:val="24"/>
        </w:rPr>
        <w:t>2</w:t>
      </w:r>
      <w:r>
        <w:rPr>
          <w:sz w:val="24"/>
        </w:rPr>
        <w:t>）血清药物化学分析韦恩图</w:t>
      </w:r>
    </w:p>
    <w:p w:rsidR="00C4690C" w:rsidRDefault="00C4690C" w:rsidP="00C4690C">
      <w:pPr>
        <w:spacing w:line="360" w:lineRule="auto"/>
        <w:ind w:firstLineChars="200" w:firstLine="480"/>
        <w:rPr>
          <w:sz w:val="24"/>
        </w:rPr>
      </w:pPr>
      <w:r>
        <w:rPr>
          <w:sz w:val="24"/>
        </w:rPr>
        <w:t>将空白组、中药组和含药组的代谢物结果以韦恩图（</w:t>
      </w:r>
      <w:r>
        <w:rPr>
          <w:sz w:val="24"/>
        </w:rPr>
        <w:t>venn plot</w:t>
      </w:r>
      <w:r>
        <w:rPr>
          <w:sz w:val="24"/>
        </w:rPr>
        <w:t>）的方式进行展示。韦恩图每一个椭圆代表一个组，并用不同的颜色进行映射，交集和非交集个数分别用数字进行统计展示在图中，韦恩图常用于发现多组间共有的代谢物，可以直观展示药用成分入血情况。图</w:t>
      </w:r>
      <w:r>
        <w:rPr>
          <w:sz w:val="24"/>
        </w:rPr>
        <w:t>1</w:t>
      </w:r>
      <w:r>
        <w:rPr>
          <w:sz w:val="24"/>
        </w:rPr>
        <w:t>显示重症心</w:t>
      </w:r>
      <w:proofErr w:type="gramStart"/>
      <w:r>
        <w:rPr>
          <w:sz w:val="24"/>
        </w:rPr>
        <w:t>痹</w:t>
      </w:r>
      <w:proofErr w:type="gramEnd"/>
      <w:r>
        <w:rPr>
          <w:sz w:val="24"/>
        </w:rPr>
        <w:t>方有</w:t>
      </w:r>
      <w:r>
        <w:rPr>
          <w:sz w:val="24"/>
        </w:rPr>
        <w:t>52</w:t>
      </w:r>
      <w:r>
        <w:rPr>
          <w:sz w:val="24"/>
        </w:rPr>
        <w:t>种</w:t>
      </w:r>
      <w:r>
        <w:rPr>
          <w:sz w:val="24"/>
        </w:rPr>
        <w:t>1</w:t>
      </w:r>
      <w:r>
        <w:rPr>
          <w:sz w:val="24"/>
        </w:rPr>
        <w:t>级有效成分，</w:t>
      </w:r>
      <w:r>
        <w:rPr>
          <w:sz w:val="24"/>
        </w:rPr>
        <w:t>1701</w:t>
      </w:r>
      <w:r>
        <w:rPr>
          <w:sz w:val="24"/>
        </w:rPr>
        <w:t>种</w:t>
      </w:r>
      <w:r>
        <w:rPr>
          <w:sz w:val="24"/>
        </w:rPr>
        <w:t>II</w:t>
      </w:r>
      <w:r>
        <w:rPr>
          <w:sz w:val="24"/>
        </w:rPr>
        <w:t>级有效成分，</w:t>
      </w:r>
      <w:r>
        <w:rPr>
          <w:rFonts w:hint="eastAsia"/>
          <w:sz w:val="24"/>
        </w:rPr>
        <w:t>88</w:t>
      </w:r>
      <w:r>
        <w:rPr>
          <w:sz w:val="24"/>
        </w:rPr>
        <w:t>种</w:t>
      </w:r>
      <w:r>
        <w:rPr>
          <w:sz w:val="24"/>
        </w:rPr>
        <w:t>III</w:t>
      </w:r>
      <w:r>
        <w:rPr>
          <w:sz w:val="24"/>
        </w:rPr>
        <w:t>级有效成分。</w:t>
      </w:r>
    </w:p>
    <w:p w:rsidR="00C4690C" w:rsidRDefault="00C4690C" w:rsidP="00C4690C">
      <w:pPr>
        <w:spacing w:line="360" w:lineRule="auto"/>
        <w:ind w:firstLineChars="200" w:firstLine="480"/>
        <w:jc w:val="center"/>
        <w:rPr>
          <w:sz w:val="24"/>
        </w:rPr>
      </w:pPr>
      <w:r>
        <w:rPr>
          <w:noProof/>
          <w:sz w:val="24"/>
        </w:rPr>
        <w:lastRenderedPageBreak/>
        <w:drawing>
          <wp:inline distT="0" distB="0" distL="0" distR="0">
            <wp:extent cx="2226310" cy="2273935"/>
            <wp:effectExtent l="0" t="0" r="2540" b="0"/>
            <wp:docPr id="12" name="图片 12" descr="1734509390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0" descr="173450939069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6310" cy="2273935"/>
                    </a:xfrm>
                    <a:prstGeom prst="rect">
                      <a:avLst/>
                    </a:prstGeom>
                    <a:noFill/>
                    <a:ln>
                      <a:noFill/>
                    </a:ln>
                  </pic:spPr>
                </pic:pic>
              </a:graphicData>
            </a:graphic>
          </wp:inline>
        </w:drawing>
      </w:r>
    </w:p>
    <w:p w:rsidR="00C4690C" w:rsidRDefault="00C4690C" w:rsidP="00C4690C">
      <w:pPr>
        <w:pStyle w:val="af"/>
        <w:spacing w:line="360" w:lineRule="auto"/>
        <w:jc w:val="center"/>
        <w:rPr>
          <w:rFonts w:ascii="Times New Roman" w:hAnsi="Times New Roman"/>
          <w:sz w:val="24"/>
          <w:szCs w:val="24"/>
        </w:rPr>
      </w:pPr>
      <w:r>
        <w:rPr>
          <w:rFonts w:ascii="Times New Roman" w:hAnsi="Times New Roman"/>
        </w:rPr>
        <w:t>图</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w:instrText>
      </w:r>
      <w:r>
        <w:rPr>
          <w:rFonts w:ascii="Times New Roman" w:hAnsi="Times New Roman"/>
        </w:rPr>
        <w:instrText>图</w:instrText>
      </w:r>
      <w:r>
        <w:rPr>
          <w:rFonts w:ascii="Times New Roman" w:hAnsi="Times New Roman"/>
        </w:rPr>
        <w:instrText xml:space="preserve"> \* ARABIC </w:instrText>
      </w:r>
      <w:r>
        <w:rPr>
          <w:rFonts w:ascii="Times New Roman" w:hAnsi="Times New Roman"/>
        </w:rPr>
        <w:fldChar w:fldCharType="separate"/>
      </w:r>
      <w:r>
        <w:rPr>
          <w:rFonts w:ascii="Times New Roman" w:hAnsi="Times New Roman"/>
          <w:noProof/>
        </w:rPr>
        <w:t>1</w:t>
      </w:r>
      <w:r>
        <w:rPr>
          <w:rFonts w:ascii="Times New Roman" w:hAnsi="Times New Roman"/>
        </w:rPr>
        <w:fldChar w:fldCharType="end"/>
      </w:r>
      <w:r>
        <w:rPr>
          <w:rFonts w:ascii="Times New Roman" w:hAnsi="Times New Roman"/>
        </w:rPr>
        <w:t xml:space="preserve"> </w:t>
      </w:r>
      <w:r>
        <w:rPr>
          <w:rFonts w:ascii="Times New Roman" w:eastAsia="宋体" w:hAnsi="Times New Roman"/>
          <w:sz w:val="24"/>
          <w:szCs w:val="24"/>
        </w:rPr>
        <w:t>血清药物化学分析韦恩图</w:t>
      </w:r>
    </w:p>
    <w:p w:rsidR="00C4690C" w:rsidRDefault="00C4690C" w:rsidP="00C4690C">
      <w:pPr>
        <w:spacing w:line="360" w:lineRule="auto"/>
        <w:rPr>
          <w:sz w:val="24"/>
        </w:rPr>
      </w:pPr>
      <w:r>
        <w:rPr>
          <w:sz w:val="24"/>
        </w:rPr>
        <w:t>（</w:t>
      </w:r>
      <w:r>
        <w:rPr>
          <w:sz w:val="24"/>
        </w:rPr>
        <w:t>3</w:t>
      </w:r>
      <w:r>
        <w:rPr>
          <w:sz w:val="24"/>
        </w:rPr>
        <w:t>）入血成分相关性分析</w:t>
      </w:r>
    </w:p>
    <w:p w:rsidR="00C4690C" w:rsidRDefault="00C4690C" w:rsidP="00C4690C">
      <w:pPr>
        <w:spacing w:line="360" w:lineRule="auto"/>
        <w:ind w:firstLineChars="200" w:firstLine="480"/>
        <w:rPr>
          <w:sz w:val="24"/>
        </w:rPr>
      </w:pPr>
      <w:r>
        <w:rPr>
          <w:sz w:val="24"/>
        </w:rPr>
        <w:t xml:space="preserve"> </w:t>
      </w:r>
      <w:r>
        <w:rPr>
          <w:sz w:val="24"/>
        </w:rPr>
        <w:t>相关性分析是指对两个或多个具备相关性的变量元素进行分析，从而衡量两个变量因素的相关密切程度，两个变量之间的相关程度通过相关系数</w:t>
      </w:r>
      <w:r>
        <w:rPr>
          <w:sz w:val="24"/>
        </w:rPr>
        <w:t>r</w:t>
      </w:r>
      <w:r>
        <w:rPr>
          <w:sz w:val="24"/>
        </w:rPr>
        <w:t>来表示。相关系数</w:t>
      </w:r>
      <w:r>
        <w:rPr>
          <w:sz w:val="24"/>
        </w:rPr>
        <w:t>r</w:t>
      </w:r>
      <w:r>
        <w:rPr>
          <w:sz w:val="24"/>
        </w:rPr>
        <w:t>的值在</w:t>
      </w:r>
      <w:r>
        <w:rPr>
          <w:sz w:val="24"/>
        </w:rPr>
        <w:t>-1</w:t>
      </w:r>
      <w:r>
        <w:rPr>
          <w:sz w:val="24"/>
        </w:rPr>
        <w:t>和</w:t>
      </w:r>
      <w:r>
        <w:rPr>
          <w:sz w:val="24"/>
        </w:rPr>
        <w:t>1</w:t>
      </w:r>
      <w:r>
        <w:rPr>
          <w:sz w:val="24"/>
        </w:rPr>
        <w:t>之间，但可以是此范围内的任何值。正相关时，</w:t>
      </w:r>
      <w:r>
        <w:rPr>
          <w:sz w:val="24"/>
        </w:rPr>
        <w:t>r</w:t>
      </w:r>
      <w:r>
        <w:rPr>
          <w:sz w:val="24"/>
        </w:rPr>
        <w:t>值在</w:t>
      </w:r>
      <w:r>
        <w:rPr>
          <w:sz w:val="24"/>
        </w:rPr>
        <w:t>0</w:t>
      </w:r>
      <w:r>
        <w:rPr>
          <w:sz w:val="24"/>
        </w:rPr>
        <w:t>和</w:t>
      </w:r>
      <w:r>
        <w:rPr>
          <w:sz w:val="24"/>
        </w:rPr>
        <w:t>1</w:t>
      </w:r>
      <w:r>
        <w:rPr>
          <w:sz w:val="24"/>
        </w:rPr>
        <w:t>之间；负相关时，</w:t>
      </w:r>
      <w:r>
        <w:rPr>
          <w:sz w:val="24"/>
        </w:rPr>
        <w:t>r</w:t>
      </w:r>
      <w:r>
        <w:rPr>
          <w:sz w:val="24"/>
        </w:rPr>
        <w:t>值在</w:t>
      </w:r>
      <w:r>
        <w:rPr>
          <w:sz w:val="24"/>
        </w:rPr>
        <w:t>-1</w:t>
      </w:r>
      <w:r>
        <w:rPr>
          <w:sz w:val="24"/>
        </w:rPr>
        <w:t>和</w:t>
      </w:r>
      <w:r>
        <w:rPr>
          <w:sz w:val="24"/>
        </w:rPr>
        <w:t>0</w:t>
      </w:r>
      <w:r>
        <w:rPr>
          <w:sz w:val="24"/>
        </w:rPr>
        <w:t>之间。</w:t>
      </w:r>
      <w:r>
        <w:rPr>
          <w:sz w:val="24"/>
        </w:rPr>
        <w:t>r</w:t>
      </w:r>
      <w:r>
        <w:rPr>
          <w:sz w:val="24"/>
        </w:rPr>
        <w:t>的绝对值越接近</w:t>
      </w:r>
      <w:r>
        <w:rPr>
          <w:sz w:val="24"/>
        </w:rPr>
        <w:t>1</w:t>
      </w:r>
      <w:r>
        <w:rPr>
          <w:sz w:val="24"/>
        </w:rPr>
        <w:t>，两变量的关联程度越强，</w:t>
      </w:r>
      <w:r>
        <w:rPr>
          <w:sz w:val="24"/>
        </w:rPr>
        <w:t>r</w:t>
      </w:r>
      <w:r>
        <w:rPr>
          <w:sz w:val="24"/>
        </w:rPr>
        <w:t>的绝对值越接近</w:t>
      </w:r>
      <w:r>
        <w:rPr>
          <w:sz w:val="24"/>
        </w:rPr>
        <w:t>0</w:t>
      </w:r>
      <w:r>
        <w:rPr>
          <w:sz w:val="24"/>
        </w:rPr>
        <w:t>，两变量的关联程度越弱。详见图</w:t>
      </w:r>
      <w:r>
        <w:rPr>
          <w:sz w:val="24"/>
        </w:rPr>
        <w:t>2</w:t>
      </w:r>
      <w:r>
        <w:rPr>
          <w:rFonts w:hint="eastAsia"/>
          <w:sz w:val="24"/>
        </w:rPr>
        <w:t>。</w:t>
      </w:r>
    </w:p>
    <w:p w:rsidR="00C4690C" w:rsidRDefault="00C4690C" w:rsidP="00C4690C">
      <w:pPr>
        <w:spacing w:line="360" w:lineRule="auto"/>
        <w:ind w:firstLineChars="200" w:firstLine="420"/>
        <w:jc w:val="center"/>
        <w:rPr>
          <w:sz w:val="24"/>
        </w:rPr>
      </w:pPr>
      <w:r>
        <w:rPr>
          <w:noProof/>
        </w:rPr>
        <mc:AlternateContent>
          <mc:Choice Requires="wps">
            <w:drawing>
              <wp:inline distT="0" distB="0" distL="0" distR="0">
                <wp:extent cx="8255" cy="8255"/>
                <wp:effectExtent l="0" t="0" r="0" b="0"/>
                <wp:docPr id="11" name="矩形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255" cy="8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4DA7C0" id="矩形 11" o:spid="_x0000_s1026" style="width:.65pt;height:.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" filled="f" stroked="f">
                <o:lock v:ext="edit" aspectratio="t"/>
                <w10:anchorlock/>
              </v:rect>
            </w:pict>
          </mc:Fallback>
        </mc:AlternateContent>
      </w:r>
      <w:r>
        <w:rPr>
          <w:noProof/>
        </w:rPr>
        <mc:AlternateContent>
          <mc:Choice Requires="wps">
            <w:drawing>
              <wp:inline distT="0" distB="0" distL="0" distR="0">
                <wp:extent cx="8255" cy="8255"/>
                <wp:effectExtent l="0" t="0" r="0" b="0"/>
                <wp:docPr id="10" name="矩形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255" cy="8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28D7EFE" id="矩形 10" o:spid="_x0000_s1026" style="width:.65pt;height:.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" filled="f" stroked="f">
                <o:lock v:ext="edit" aspectratio="t"/>
                <w10:anchorlock/>
              </v:rect>
            </w:pict>
          </mc:Fallback>
        </mc:AlternateContent>
      </w:r>
      <w:r>
        <w:rPr>
          <w:noProof/>
          <w:sz w:val="24"/>
        </w:rPr>
        <w:lastRenderedPageBreak/>
        <w:drawing>
          <wp:inline distT="0" distB="0" distL="0" distR="0">
            <wp:extent cx="6035040" cy="5255895"/>
            <wp:effectExtent l="0" t="0" r="3810" b="1905"/>
            <wp:docPr id="9" name="图片 9" descr="173450952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3" descr="17345095211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35040" cy="5255895"/>
                    </a:xfrm>
                    <a:prstGeom prst="rect">
                      <a:avLst/>
                    </a:prstGeom>
                    <a:noFill/>
                    <a:ln>
                      <a:noFill/>
                    </a:ln>
                    <a:effectLst/>
                  </pic:spPr>
                </pic:pic>
              </a:graphicData>
            </a:graphic>
          </wp:inline>
        </w:drawing>
      </w:r>
    </w:p>
    <w:p w:rsidR="00C4690C" w:rsidRDefault="00C4690C" w:rsidP="00C4690C">
      <w:pPr>
        <w:pStyle w:val="af"/>
        <w:spacing w:line="360" w:lineRule="auto"/>
        <w:ind w:firstLineChars="200" w:firstLine="400"/>
        <w:jc w:val="center"/>
        <w:rPr>
          <w:rFonts w:ascii="Times New Roman" w:eastAsia="宋体" w:hAnsi="Times New Roman"/>
          <w:sz w:val="24"/>
          <w:szCs w:val="24"/>
        </w:rPr>
      </w:pPr>
      <w:r>
        <w:rPr>
          <w:rFonts w:ascii="Times New Roman" w:hAnsi="Times New Roman"/>
        </w:rPr>
        <w:t>图</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w:instrText>
      </w:r>
      <w:r>
        <w:rPr>
          <w:rFonts w:ascii="Times New Roman" w:hAnsi="Times New Roman"/>
        </w:rPr>
        <w:instrText>图</w:instrText>
      </w:r>
      <w:r>
        <w:rPr>
          <w:rFonts w:ascii="Times New Roman" w:hAnsi="Times New Roman"/>
        </w:rPr>
        <w:instrText xml:space="preserve"> \* ARABIC </w:instrText>
      </w:r>
      <w:r>
        <w:rPr>
          <w:rFonts w:ascii="Times New Roman" w:hAnsi="Times New Roman"/>
        </w:rPr>
        <w:fldChar w:fldCharType="separate"/>
      </w:r>
      <w:r>
        <w:rPr>
          <w:rFonts w:ascii="Times New Roman" w:hAnsi="Times New Roman"/>
          <w:noProof/>
        </w:rPr>
        <w:t>2</w:t>
      </w:r>
      <w:r>
        <w:rPr>
          <w:rFonts w:ascii="Times New Roman" w:hAnsi="Times New Roman"/>
        </w:rPr>
        <w:fldChar w:fldCharType="end"/>
      </w:r>
      <w:r>
        <w:rPr>
          <w:rFonts w:ascii="Times New Roman" w:eastAsia="宋体" w:hAnsi="Times New Roman"/>
          <w:sz w:val="24"/>
          <w:szCs w:val="24"/>
        </w:rPr>
        <w:t>入血成分相关性热图（</w:t>
      </w:r>
      <w:r>
        <w:rPr>
          <w:rFonts w:ascii="Times New Roman" w:eastAsia="宋体" w:hAnsi="Times New Roman"/>
          <w:sz w:val="24"/>
          <w:szCs w:val="24"/>
        </w:rPr>
        <w:t>Correlation heat map of the metabolite into blood</w:t>
      </w:r>
      <w:r>
        <w:rPr>
          <w:rFonts w:ascii="Times New Roman" w:eastAsia="宋体" w:hAnsi="Times New Roman"/>
          <w:sz w:val="24"/>
          <w:szCs w:val="24"/>
        </w:rPr>
        <w:t>）</w:t>
      </w:r>
    </w:p>
    <w:p w:rsidR="00C4690C" w:rsidRDefault="00C4690C" w:rsidP="00C4690C">
      <w:pPr>
        <w:spacing w:line="360" w:lineRule="auto"/>
        <w:jc w:val="center"/>
        <w:rPr>
          <w:sz w:val="20"/>
          <w:szCs w:val="20"/>
        </w:rPr>
      </w:pPr>
      <w:r>
        <w:rPr>
          <w:sz w:val="20"/>
          <w:szCs w:val="20"/>
        </w:rPr>
        <w:t>图中横纵坐标代表该组入血的代谢物，不同位置的色块代表对应位置代谢物间的相关系数大小，红色表示正相关，蓝色表示负相关，颜色越深代表相关性越强。同时</w:t>
      </w:r>
      <w:proofErr w:type="gramStart"/>
      <w:r>
        <w:rPr>
          <w:sz w:val="20"/>
          <w:szCs w:val="20"/>
        </w:rPr>
        <w:t>非显著</w:t>
      </w:r>
      <w:proofErr w:type="gramEnd"/>
      <w:r>
        <w:rPr>
          <w:sz w:val="20"/>
          <w:szCs w:val="20"/>
        </w:rPr>
        <w:t>性相关用叉号进行标注</w:t>
      </w:r>
    </w:p>
    <w:p w:rsidR="00C4690C" w:rsidRDefault="00C4690C" w:rsidP="00C4690C">
      <w:pPr>
        <w:spacing w:line="360" w:lineRule="auto"/>
        <w:jc w:val="center"/>
        <w:rPr>
          <w:sz w:val="20"/>
          <w:szCs w:val="20"/>
        </w:rPr>
      </w:pPr>
    </w:p>
    <w:p w:rsidR="00C4690C" w:rsidRDefault="00C4690C" w:rsidP="00C4690C">
      <w:pPr>
        <w:spacing w:line="360" w:lineRule="auto"/>
        <w:rPr>
          <w:sz w:val="24"/>
        </w:rPr>
      </w:pPr>
      <w:r>
        <w:rPr>
          <w:sz w:val="24"/>
        </w:rPr>
        <w:t>（</w:t>
      </w:r>
      <w:r>
        <w:rPr>
          <w:sz w:val="24"/>
        </w:rPr>
        <w:t>4</w:t>
      </w:r>
      <w:r>
        <w:rPr>
          <w:sz w:val="24"/>
        </w:rPr>
        <w:t>）前</w:t>
      </w:r>
      <w:r>
        <w:rPr>
          <w:sz w:val="24"/>
        </w:rPr>
        <w:t>10</w:t>
      </w:r>
      <w:r>
        <w:rPr>
          <w:sz w:val="24"/>
        </w:rPr>
        <w:t>正负离子</w:t>
      </w:r>
    </w:p>
    <w:p w:rsidR="00C4690C" w:rsidRDefault="00C4690C" w:rsidP="00C4690C">
      <w:pPr>
        <w:pStyle w:val="af"/>
        <w:spacing w:line="360" w:lineRule="auto"/>
        <w:ind w:firstLineChars="200" w:firstLine="480"/>
        <w:rPr>
          <w:rFonts w:ascii="Times New Roman" w:eastAsia="宋体" w:hAnsi="Times New Roman"/>
          <w:sz w:val="24"/>
          <w:szCs w:val="24"/>
        </w:rPr>
      </w:pPr>
      <w:r>
        <w:rPr>
          <w:rFonts w:ascii="Times New Roman" w:eastAsia="宋体" w:hAnsi="Times New Roman"/>
          <w:sz w:val="24"/>
          <w:szCs w:val="24"/>
        </w:rPr>
        <w:t>入血成分前</w:t>
      </w:r>
      <w:r>
        <w:rPr>
          <w:rFonts w:ascii="Times New Roman" w:eastAsia="宋体" w:hAnsi="Times New Roman"/>
          <w:sz w:val="24"/>
          <w:szCs w:val="24"/>
        </w:rPr>
        <w:t>20</w:t>
      </w:r>
      <w:r>
        <w:rPr>
          <w:rFonts w:ascii="Times New Roman" w:eastAsia="宋体" w:hAnsi="Times New Roman"/>
          <w:sz w:val="24"/>
          <w:szCs w:val="24"/>
        </w:rPr>
        <w:t>化合物见下表</w:t>
      </w:r>
      <w:r>
        <w:rPr>
          <w:rFonts w:ascii="Times New Roman" w:eastAsia="宋体" w:hAnsi="Times New Roman"/>
          <w:sz w:val="24"/>
          <w:szCs w:val="24"/>
        </w:rPr>
        <w:t>7</w:t>
      </w:r>
      <w:r>
        <w:rPr>
          <w:rFonts w:ascii="Times New Roman" w:eastAsia="宋体" w:hAnsi="Times New Roman" w:hint="eastAsia"/>
          <w:sz w:val="24"/>
          <w:szCs w:val="24"/>
        </w:rPr>
        <w:t>、图</w:t>
      </w:r>
      <w:r>
        <w:rPr>
          <w:rFonts w:ascii="Times New Roman" w:eastAsia="宋体" w:hAnsi="Times New Roman"/>
          <w:sz w:val="24"/>
          <w:szCs w:val="24"/>
        </w:rPr>
        <w:t>3</w:t>
      </w:r>
      <w:r>
        <w:rPr>
          <w:rFonts w:ascii="Times New Roman" w:eastAsia="宋体" w:hAnsi="Times New Roman"/>
          <w:sz w:val="24"/>
          <w:szCs w:val="24"/>
        </w:rPr>
        <w:t>。</w:t>
      </w:r>
    </w:p>
    <w:p w:rsidR="00C4690C" w:rsidRDefault="00C4690C" w:rsidP="00C4690C">
      <w:pPr>
        <w:pStyle w:val="af"/>
        <w:spacing w:line="360" w:lineRule="auto"/>
        <w:jc w:val="center"/>
        <w:rPr>
          <w:rFonts w:ascii="Times New Roman" w:eastAsia="宋体" w:hAnsi="Times New Roman"/>
          <w:sz w:val="24"/>
          <w:szCs w:val="24"/>
        </w:rPr>
      </w:pPr>
      <w:r>
        <w:rPr>
          <w:rFonts w:ascii="Times New Roman" w:hAnsi="Times New Roman"/>
        </w:rPr>
        <w:t>表</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w:instrText>
      </w:r>
      <w:r>
        <w:rPr>
          <w:rFonts w:ascii="Times New Roman" w:hAnsi="Times New Roman"/>
        </w:rPr>
        <w:instrText>表</w:instrText>
      </w:r>
      <w:r>
        <w:rPr>
          <w:rFonts w:ascii="Times New Roman" w:hAnsi="Times New Roman"/>
        </w:rPr>
        <w:instrText xml:space="preserve"> \* ARABIC </w:instrText>
      </w:r>
      <w:r>
        <w:rPr>
          <w:rFonts w:ascii="Times New Roman" w:hAnsi="Times New Roman"/>
        </w:rPr>
        <w:fldChar w:fldCharType="separate"/>
      </w:r>
      <w:r>
        <w:rPr>
          <w:rFonts w:ascii="Times New Roman" w:hAnsi="Times New Roman"/>
          <w:noProof/>
        </w:rPr>
        <w:t>7</w:t>
      </w:r>
      <w:r>
        <w:rPr>
          <w:rFonts w:ascii="Times New Roman" w:hAnsi="Times New Roman"/>
        </w:rPr>
        <w:fldChar w:fldCharType="end"/>
      </w:r>
      <w:r>
        <w:rPr>
          <w:rFonts w:ascii="Times New Roman" w:eastAsia="宋体" w:hAnsi="Times New Roman"/>
          <w:sz w:val="24"/>
          <w:szCs w:val="24"/>
        </w:rPr>
        <w:t>入血成分前</w:t>
      </w:r>
      <w:r>
        <w:rPr>
          <w:rFonts w:ascii="Times New Roman" w:eastAsia="宋体" w:hAnsi="Times New Roman"/>
          <w:sz w:val="24"/>
          <w:szCs w:val="24"/>
        </w:rPr>
        <w:t>20</w:t>
      </w:r>
      <w:r>
        <w:rPr>
          <w:rFonts w:ascii="Times New Roman" w:eastAsia="宋体" w:hAnsi="Times New Roman"/>
          <w:sz w:val="24"/>
          <w:szCs w:val="24"/>
        </w:rPr>
        <w:t>化合物</w:t>
      </w:r>
    </w:p>
    <w:tbl>
      <w:tblPr>
        <w:tblpPr w:leftFromText="180" w:rightFromText="180" w:vertAnchor="text" w:horzAnchor="page" w:tblpX="1531" w:tblpY="480"/>
        <w:tblOverlap w:val="never"/>
        <w:tblW w:w="9463" w:type="dxa"/>
        <w:tblLayout w:type="fixed"/>
        <w:tblLook w:val="0000" w:firstRow="0" w:lastRow="0" w:firstColumn="0" w:lastColumn="0" w:noHBand="0" w:noVBand="0"/>
      </w:tblPr>
      <w:tblGrid>
        <w:gridCol w:w="4879"/>
        <w:gridCol w:w="1464"/>
        <w:gridCol w:w="1152"/>
        <w:gridCol w:w="1116"/>
        <w:gridCol w:w="852"/>
      </w:tblGrid>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auto" w:fill="008CCE"/>
            <w:noWrap/>
            <w:vAlign w:val="center"/>
          </w:tcPr>
          <w:p w:rsidR="00C4690C" w:rsidRDefault="00C4690C" w:rsidP="00B2076E">
            <w:pPr>
              <w:widowControl/>
              <w:jc w:val="center"/>
              <w:textAlignment w:val="center"/>
              <w:rPr>
                <w:b/>
                <w:bCs/>
                <w:sz w:val="20"/>
                <w:szCs w:val="20"/>
              </w:rPr>
            </w:pPr>
            <w:r>
              <w:rPr>
                <w:b/>
                <w:bCs/>
                <w:kern w:val="0"/>
                <w:sz w:val="20"/>
                <w:szCs w:val="20"/>
                <w:lang w:bidi="ar"/>
              </w:rPr>
              <w:t>NameEN</w:t>
            </w:r>
          </w:p>
        </w:tc>
        <w:tc>
          <w:tcPr>
            <w:tcW w:w="1464" w:type="dxa"/>
            <w:tcBorders>
              <w:top w:val="single" w:sz="4" w:space="0" w:color="92CDDC"/>
              <w:left w:val="single" w:sz="4" w:space="0" w:color="92CDDC"/>
              <w:bottom w:val="single" w:sz="4" w:space="0" w:color="92CDDC"/>
              <w:right w:val="single" w:sz="4" w:space="0" w:color="92CDDC"/>
            </w:tcBorders>
            <w:shd w:val="clear" w:color="auto" w:fill="008CCE"/>
            <w:noWrap/>
            <w:vAlign w:val="center"/>
          </w:tcPr>
          <w:p w:rsidR="00C4690C" w:rsidRDefault="00C4690C" w:rsidP="00B2076E">
            <w:pPr>
              <w:widowControl/>
              <w:jc w:val="center"/>
              <w:textAlignment w:val="center"/>
              <w:rPr>
                <w:b/>
                <w:bCs/>
                <w:sz w:val="20"/>
                <w:szCs w:val="20"/>
              </w:rPr>
            </w:pPr>
            <w:r>
              <w:rPr>
                <w:b/>
                <w:bCs/>
                <w:kern w:val="0"/>
                <w:sz w:val="20"/>
                <w:szCs w:val="20"/>
                <w:lang w:bidi="ar"/>
              </w:rPr>
              <w:t>NameCN</w:t>
            </w:r>
          </w:p>
        </w:tc>
        <w:tc>
          <w:tcPr>
            <w:tcW w:w="1152" w:type="dxa"/>
            <w:tcBorders>
              <w:top w:val="single" w:sz="4" w:space="0" w:color="92CDDC"/>
              <w:left w:val="single" w:sz="4" w:space="0" w:color="92CDDC"/>
              <w:bottom w:val="single" w:sz="4" w:space="0" w:color="92CDDC"/>
              <w:right w:val="single" w:sz="4" w:space="0" w:color="92CDDC"/>
            </w:tcBorders>
            <w:shd w:val="clear" w:color="auto" w:fill="008CCE"/>
            <w:noWrap/>
            <w:vAlign w:val="center"/>
          </w:tcPr>
          <w:p w:rsidR="00C4690C" w:rsidRDefault="00C4690C" w:rsidP="00B2076E">
            <w:pPr>
              <w:widowControl/>
              <w:jc w:val="center"/>
              <w:textAlignment w:val="center"/>
              <w:rPr>
                <w:b/>
                <w:bCs/>
                <w:sz w:val="20"/>
                <w:szCs w:val="20"/>
              </w:rPr>
            </w:pPr>
            <w:r>
              <w:rPr>
                <w:b/>
                <w:bCs/>
                <w:kern w:val="0"/>
                <w:sz w:val="20"/>
                <w:szCs w:val="20"/>
                <w:lang w:bidi="ar"/>
              </w:rPr>
              <w:t>Formula</w:t>
            </w:r>
          </w:p>
        </w:tc>
        <w:tc>
          <w:tcPr>
            <w:tcW w:w="1116" w:type="dxa"/>
            <w:tcBorders>
              <w:top w:val="single" w:sz="4" w:space="0" w:color="92CDDC"/>
              <w:left w:val="single" w:sz="4" w:space="0" w:color="92CDDC"/>
              <w:bottom w:val="single" w:sz="4" w:space="0" w:color="92CDDC"/>
              <w:right w:val="single" w:sz="4" w:space="0" w:color="92CDDC"/>
            </w:tcBorders>
            <w:shd w:val="clear" w:color="auto" w:fill="008CCE"/>
            <w:noWrap/>
            <w:vAlign w:val="center"/>
          </w:tcPr>
          <w:p w:rsidR="00C4690C" w:rsidRDefault="00C4690C" w:rsidP="00B2076E">
            <w:pPr>
              <w:widowControl/>
              <w:jc w:val="center"/>
              <w:textAlignment w:val="center"/>
              <w:rPr>
                <w:b/>
                <w:bCs/>
                <w:sz w:val="20"/>
                <w:szCs w:val="20"/>
              </w:rPr>
            </w:pPr>
            <w:r>
              <w:rPr>
                <w:b/>
                <w:bCs/>
                <w:kern w:val="0"/>
                <w:sz w:val="20"/>
                <w:szCs w:val="20"/>
                <w:lang w:bidi="ar"/>
              </w:rPr>
              <w:t>CAS</w:t>
            </w:r>
          </w:p>
        </w:tc>
        <w:tc>
          <w:tcPr>
            <w:tcW w:w="852" w:type="dxa"/>
            <w:tcBorders>
              <w:top w:val="single" w:sz="4" w:space="0" w:color="92CDDC"/>
              <w:left w:val="single" w:sz="4" w:space="0" w:color="92CDDC"/>
              <w:bottom w:val="single" w:sz="4" w:space="0" w:color="92CDDC"/>
              <w:right w:val="single" w:sz="4" w:space="0" w:color="92CDDC"/>
            </w:tcBorders>
            <w:shd w:val="clear" w:color="auto" w:fill="008CCE"/>
            <w:noWrap/>
            <w:vAlign w:val="center"/>
          </w:tcPr>
          <w:p w:rsidR="00C4690C" w:rsidRDefault="00C4690C" w:rsidP="00B2076E">
            <w:pPr>
              <w:widowControl/>
              <w:jc w:val="center"/>
              <w:textAlignment w:val="center"/>
              <w:rPr>
                <w:b/>
                <w:bCs/>
                <w:sz w:val="20"/>
                <w:szCs w:val="20"/>
              </w:rPr>
            </w:pPr>
            <w:r>
              <w:rPr>
                <w:b/>
                <w:bCs/>
                <w:kern w:val="0"/>
                <w:sz w:val="20"/>
                <w:szCs w:val="20"/>
                <w:lang w:bidi="ar"/>
              </w:rPr>
              <w:t>KEGG id</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3,5,6,7,8-pentamethoxy-2-(4-</w:t>
            </w:r>
            <w:proofErr w:type="gramStart"/>
            <w:r>
              <w:rPr>
                <w:kern w:val="0"/>
                <w:sz w:val="16"/>
                <w:szCs w:val="16"/>
                <w:lang w:bidi="ar"/>
              </w:rPr>
              <w:t>methoxyphenyl)chromen</w:t>
            </w:r>
            <w:proofErr w:type="gramEnd"/>
            <w:r>
              <w:rPr>
                <w:kern w:val="0"/>
                <w:sz w:val="16"/>
                <w:szCs w:val="16"/>
                <w:lang w:bidi="ar"/>
              </w:rPr>
              <w:t>-4-one</w:t>
            </w:r>
          </w:p>
        </w:tc>
        <w:tc>
          <w:tcPr>
            <w:tcW w:w="1464"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3 -</w:t>
            </w:r>
            <w:r>
              <w:rPr>
                <w:rStyle w:val="font31"/>
                <w:rFonts w:hint="default"/>
                <w:lang w:bidi="ar"/>
              </w:rPr>
              <w:t>甲</w:t>
            </w:r>
            <w:proofErr w:type="gramStart"/>
            <w:r>
              <w:rPr>
                <w:rStyle w:val="font31"/>
                <w:rFonts w:hint="default"/>
                <w:lang w:bidi="ar"/>
              </w:rPr>
              <w:t>氧基桔皮</w:t>
            </w:r>
            <w:proofErr w:type="gramEnd"/>
            <w:r>
              <w:rPr>
                <w:rStyle w:val="font31"/>
                <w:rFonts w:hint="default"/>
                <w:lang w:bidi="ar"/>
              </w:rPr>
              <w:t>素</w:t>
            </w:r>
          </w:p>
        </w:tc>
        <w:tc>
          <w:tcPr>
            <w:tcW w:w="11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C21H22O8</w:t>
            </w:r>
          </w:p>
        </w:tc>
        <w:tc>
          <w:tcPr>
            <w:tcW w:w="1116"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34170-18-8</w:t>
            </w:r>
          </w:p>
        </w:tc>
        <w:tc>
          <w:tcPr>
            <w:tcW w:w="8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418"/>
        </w:trPr>
        <w:tc>
          <w:tcPr>
            <w:tcW w:w="4879"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lastRenderedPageBreak/>
              <w:t>(2S,4aS,6aS,6bR,10S,12aS,14bS)-10-hydroxy-2,4a,6a,6b,9,9,12a-heptamethyl-13-oxo-3,4,5,6,6a,7,8,8a,10,11,12,14b-dodecahydro-1H-picene-2-carboxylic acid</w:t>
            </w:r>
          </w:p>
        </w:tc>
        <w:tc>
          <w:tcPr>
            <w:tcW w:w="1464"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w:t>
            </w:r>
          </w:p>
        </w:tc>
        <w:tc>
          <w:tcPr>
            <w:tcW w:w="11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C30H46O4</w:t>
            </w:r>
          </w:p>
        </w:tc>
        <w:tc>
          <w:tcPr>
            <w:tcW w:w="1116"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1449-05-4</w:t>
            </w:r>
          </w:p>
        </w:tc>
        <w:tc>
          <w:tcPr>
            <w:tcW w:w="8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90"/>
        </w:trPr>
        <w:tc>
          <w:tcPr>
            <w:tcW w:w="4879"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Quercetin</w:t>
            </w:r>
          </w:p>
        </w:tc>
        <w:tc>
          <w:tcPr>
            <w:tcW w:w="1464"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proofErr w:type="gramStart"/>
            <w:r>
              <w:rPr>
                <w:kern w:val="0"/>
                <w:sz w:val="16"/>
                <w:szCs w:val="16"/>
                <w:lang w:bidi="ar"/>
              </w:rPr>
              <w:t>槲</w:t>
            </w:r>
            <w:proofErr w:type="gramEnd"/>
            <w:r>
              <w:rPr>
                <w:kern w:val="0"/>
                <w:sz w:val="16"/>
                <w:szCs w:val="16"/>
                <w:lang w:bidi="ar"/>
              </w:rPr>
              <w:t>皮素</w:t>
            </w:r>
          </w:p>
        </w:tc>
        <w:tc>
          <w:tcPr>
            <w:tcW w:w="11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C15H10O7</w:t>
            </w:r>
          </w:p>
        </w:tc>
        <w:tc>
          <w:tcPr>
            <w:tcW w:w="1116"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117-39-5</w:t>
            </w:r>
          </w:p>
        </w:tc>
        <w:tc>
          <w:tcPr>
            <w:tcW w:w="8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C00389</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Alisol B 23-acetate</w:t>
            </w:r>
          </w:p>
        </w:tc>
        <w:tc>
          <w:tcPr>
            <w:tcW w:w="1464"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23-</w:t>
            </w:r>
            <w:r>
              <w:rPr>
                <w:rStyle w:val="font31"/>
                <w:rFonts w:hint="default"/>
                <w:lang w:bidi="ar"/>
              </w:rPr>
              <w:t>乙酰泽泻醇</w:t>
            </w:r>
            <w:r>
              <w:rPr>
                <w:rStyle w:val="font11"/>
                <w:lang w:bidi="ar"/>
              </w:rPr>
              <w:t>B</w:t>
            </w:r>
          </w:p>
        </w:tc>
        <w:tc>
          <w:tcPr>
            <w:tcW w:w="11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C32H50O5</w:t>
            </w:r>
          </w:p>
        </w:tc>
        <w:tc>
          <w:tcPr>
            <w:tcW w:w="1116"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w:t>
            </w:r>
          </w:p>
        </w:tc>
        <w:tc>
          <w:tcPr>
            <w:tcW w:w="8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Forsythiaside</w:t>
            </w:r>
          </w:p>
        </w:tc>
        <w:tc>
          <w:tcPr>
            <w:tcW w:w="1464"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连翘酯</w:t>
            </w:r>
            <w:proofErr w:type="gramStart"/>
            <w:r>
              <w:rPr>
                <w:kern w:val="0"/>
                <w:sz w:val="16"/>
                <w:szCs w:val="16"/>
                <w:lang w:bidi="ar"/>
              </w:rPr>
              <w:t>苷</w:t>
            </w:r>
            <w:proofErr w:type="gramEnd"/>
            <w:r>
              <w:rPr>
                <w:rStyle w:val="font11"/>
                <w:lang w:bidi="ar"/>
              </w:rPr>
              <w:t>A</w:t>
            </w:r>
          </w:p>
        </w:tc>
        <w:tc>
          <w:tcPr>
            <w:tcW w:w="11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C29H36O15</w:t>
            </w:r>
          </w:p>
        </w:tc>
        <w:tc>
          <w:tcPr>
            <w:tcW w:w="1116"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79916-77-1</w:t>
            </w:r>
          </w:p>
        </w:tc>
        <w:tc>
          <w:tcPr>
            <w:tcW w:w="8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Licoricone</w:t>
            </w:r>
          </w:p>
        </w:tc>
        <w:tc>
          <w:tcPr>
            <w:tcW w:w="1464"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甘草利酮</w:t>
            </w:r>
          </w:p>
        </w:tc>
        <w:tc>
          <w:tcPr>
            <w:tcW w:w="11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C22H22O6</w:t>
            </w:r>
          </w:p>
        </w:tc>
        <w:tc>
          <w:tcPr>
            <w:tcW w:w="1116"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w:t>
            </w:r>
          </w:p>
        </w:tc>
        <w:tc>
          <w:tcPr>
            <w:tcW w:w="8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418"/>
        </w:trPr>
        <w:tc>
          <w:tcPr>
            <w:tcW w:w="4879"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methyl (2S,3S,4S,5R,6S)-6-[5,6-dihydroxy-2-(4-hydroxyphenyl)-4-oxo-chromen-7-</w:t>
            </w:r>
            <w:proofErr w:type="gramStart"/>
            <w:r>
              <w:rPr>
                <w:kern w:val="0"/>
                <w:sz w:val="16"/>
                <w:szCs w:val="16"/>
                <w:lang w:bidi="ar"/>
              </w:rPr>
              <w:t>yl]oxy</w:t>
            </w:r>
            <w:proofErr w:type="gramEnd"/>
            <w:r>
              <w:rPr>
                <w:kern w:val="0"/>
                <w:sz w:val="16"/>
                <w:szCs w:val="16"/>
                <w:lang w:bidi="ar"/>
              </w:rPr>
              <w:t>-3,4,5-trihydroxy-tetrahydropyran-2-carboxylate</w:t>
            </w:r>
          </w:p>
        </w:tc>
        <w:tc>
          <w:tcPr>
            <w:tcW w:w="1464"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野黄芩</w:t>
            </w:r>
            <w:proofErr w:type="gramStart"/>
            <w:r>
              <w:rPr>
                <w:kern w:val="0"/>
                <w:sz w:val="16"/>
                <w:szCs w:val="16"/>
                <w:lang w:bidi="ar"/>
              </w:rPr>
              <w:t>苷</w:t>
            </w:r>
            <w:proofErr w:type="gramEnd"/>
            <w:r>
              <w:rPr>
                <w:kern w:val="0"/>
                <w:sz w:val="16"/>
                <w:szCs w:val="16"/>
                <w:lang w:bidi="ar"/>
              </w:rPr>
              <w:t>甲酯</w:t>
            </w:r>
          </w:p>
        </w:tc>
        <w:tc>
          <w:tcPr>
            <w:tcW w:w="11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C22H20O12</w:t>
            </w:r>
          </w:p>
        </w:tc>
        <w:tc>
          <w:tcPr>
            <w:tcW w:w="1116"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119262-68-9</w:t>
            </w:r>
          </w:p>
        </w:tc>
        <w:tc>
          <w:tcPr>
            <w:tcW w:w="8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Verbascoside</w:t>
            </w:r>
          </w:p>
        </w:tc>
        <w:tc>
          <w:tcPr>
            <w:tcW w:w="1464"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麦角</w:t>
            </w:r>
            <w:proofErr w:type="gramStart"/>
            <w:r>
              <w:rPr>
                <w:kern w:val="0"/>
                <w:sz w:val="16"/>
                <w:szCs w:val="16"/>
                <w:lang w:bidi="ar"/>
              </w:rPr>
              <w:t>甾苷</w:t>
            </w:r>
            <w:proofErr w:type="gramEnd"/>
          </w:p>
        </w:tc>
        <w:tc>
          <w:tcPr>
            <w:tcW w:w="11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C29H36O15</w:t>
            </w:r>
          </w:p>
        </w:tc>
        <w:tc>
          <w:tcPr>
            <w:tcW w:w="1116"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61276-17-3</w:t>
            </w:r>
          </w:p>
        </w:tc>
        <w:tc>
          <w:tcPr>
            <w:tcW w:w="8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418"/>
        </w:trPr>
        <w:tc>
          <w:tcPr>
            <w:tcW w:w="4879"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3-[4,6-dihydroxy-2-methoxy-3-(3-methylbut-2-</w:t>
            </w:r>
            <w:proofErr w:type="gramStart"/>
            <w:r>
              <w:rPr>
                <w:kern w:val="0"/>
                <w:sz w:val="16"/>
                <w:szCs w:val="16"/>
                <w:lang w:bidi="ar"/>
              </w:rPr>
              <w:t>enyl)phenyl</w:t>
            </w:r>
            <w:proofErr w:type="gramEnd"/>
            <w:r>
              <w:rPr>
                <w:kern w:val="0"/>
                <w:sz w:val="16"/>
                <w:szCs w:val="16"/>
                <w:lang w:bidi="ar"/>
              </w:rPr>
              <w:t>]-7-hydroxy-chromen-4-one</w:t>
            </w:r>
          </w:p>
        </w:tc>
        <w:tc>
          <w:tcPr>
            <w:tcW w:w="1464"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2',4',7-</w:t>
            </w:r>
            <w:r>
              <w:rPr>
                <w:rStyle w:val="font31"/>
                <w:rFonts w:hint="default"/>
                <w:lang w:bidi="ar"/>
              </w:rPr>
              <w:t>三羟基</w:t>
            </w:r>
            <w:r>
              <w:rPr>
                <w:rStyle w:val="font11"/>
                <w:lang w:bidi="ar"/>
              </w:rPr>
              <w:t>-6'-</w:t>
            </w:r>
            <w:r>
              <w:rPr>
                <w:rStyle w:val="font31"/>
                <w:rFonts w:hint="default"/>
                <w:lang w:bidi="ar"/>
              </w:rPr>
              <w:t>甲氧基</w:t>
            </w:r>
            <w:r>
              <w:rPr>
                <w:rStyle w:val="font11"/>
                <w:lang w:bidi="ar"/>
              </w:rPr>
              <w:t>-3'-</w:t>
            </w:r>
            <w:r>
              <w:rPr>
                <w:rStyle w:val="font31"/>
                <w:rFonts w:hint="default"/>
                <w:lang w:bidi="ar"/>
              </w:rPr>
              <w:t>异戊烯基异黄酮</w:t>
            </w:r>
          </w:p>
        </w:tc>
        <w:tc>
          <w:tcPr>
            <w:tcW w:w="11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C21H20O6</w:t>
            </w:r>
          </w:p>
        </w:tc>
        <w:tc>
          <w:tcPr>
            <w:tcW w:w="1116"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c>
          <w:tcPr>
            <w:tcW w:w="8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Benzoylpaeoniflorin</w:t>
            </w:r>
          </w:p>
        </w:tc>
        <w:tc>
          <w:tcPr>
            <w:tcW w:w="1464"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苯甲酰芍药</w:t>
            </w:r>
            <w:proofErr w:type="gramStart"/>
            <w:r>
              <w:rPr>
                <w:kern w:val="0"/>
                <w:sz w:val="16"/>
                <w:szCs w:val="16"/>
                <w:lang w:bidi="ar"/>
              </w:rPr>
              <w:t>苷</w:t>
            </w:r>
            <w:proofErr w:type="gramEnd"/>
          </w:p>
        </w:tc>
        <w:tc>
          <w:tcPr>
            <w:tcW w:w="11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C30H32O12</w:t>
            </w:r>
          </w:p>
        </w:tc>
        <w:tc>
          <w:tcPr>
            <w:tcW w:w="1116"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38642-49-8</w:t>
            </w:r>
          </w:p>
        </w:tc>
        <w:tc>
          <w:tcPr>
            <w:tcW w:w="8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Acteoside</w:t>
            </w:r>
          </w:p>
        </w:tc>
        <w:tc>
          <w:tcPr>
            <w:tcW w:w="1464"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毛蕊花</w:t>
            </w:r>
            <w:proofErr w:type="gramStart"/>
            <w:r>
              <w:rPr>
                <w:kern w:val="0"/>
                <w:sz w:val="16"/>
                <w:szCs w:val="16"/>
                <w:lang w:bidi="ar"/>
              </w:rPr>
              <w:t>苷</w:t>
            </w:r>
            <w:proofErr w:type="gramEnd"/>
          </w:p>
        </w:tc>
        <w:tc>
          <w:tcPr>
            <w:tcW w:w="11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C29H36O15</w:t>
            </w:r>
          </w:p>
        </w:tc>
        <w:tc>
          <w:tcPr>
            <w:tcW w:w="1116"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61276-17-3</w:t>
            </w:r>
          </w:p>
        </w:tc>
        <w:tc>
          <w:tcPr>
            <w:tcW w:w="8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Saikosaponin A</w:t>
            </w:r>
          </w:p>
        </w:tc>
        <w:tc>
          <w:tcPr>
            <w:tcW w:w="1464"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柴胡皂苷</w:t>
            </w:r>
            <w:r>
              <w:rPr>
                <w:rStyle w:val="font11"/>
                <w:lang w:bidi="ar"/>
              </w:rPr>
              <w:t>A</w:t>
            </w:r>
          </w:p>
        </w:tc>
        <w:tc>
          <w:tcPr>
            <w:tcW w:w="11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C42H68O13</w:t>
            </w:r>
          </w:p>
        </w:tc>
        <w:tc>
          <w:tcPr>
            <w:tcW w:w="1116"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20736-09-8</w:t>
            </w:r>
          </w:p>
        </w:tc>
        <w:tc>
          <w:tcPr>
            <w:tcW w:w="8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Saikosaponin B1</w:t>
            </w:r>
          </w:p>
        </w:tc>
        <w:tc>
          <w:tcPr>
            <w:tcW w:w="1464"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柴胡皂苷</w:t>
            </w:r>
            <w:r>
              <w:rPr>
                <w:rStyle w:val="font11"/>
                <w:lang w:bidi="ar"/>
              </w:rPr>
              <w:t>B1</w:t>
            </w:r>
          </w:p>
        </w:tc>
        <w:tc>
          <w:tcPr>
            <w:tcW w:w="11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C42H68O13</w:t>
            </w:r>
          </w:p>
        </w:tc>
        <w:tc>
          <w:tcPr>
            <w:tcW w:w="1116"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58558-08-0</w:t>
            </w:r>
          </w:p>
        </w:tc>
        <w:tc>
          <w:tcPr>
            <w:tcW w:w="8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Isoacteoside</w:t>
            </w:r>
          </w:p>
        </w:tc>
        <w:tc>
          <w:tcPr>
            <w:tcW w:w="1464"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异毛蕊花糖苷</w:t>
            </w:r>
          </w:p>
        </w:tc>
        <w:tc>
          <w:tcPr>
            <w:tcW w:w="11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C29H36O15</w:t>
            </w:r>
          </w:p>
        </w:tc>
        <w:tc>
          <w:tcPr>
            <w:tcW w:w="1116"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61303-13-7</w:t>
            </w:r>
          </w:p>
        </w:tc>
        <w:tc>
          <w:tcPr>
            <w:tcW w:w="8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(9-hydroxy-8,8-dimethyl-2-oxo-9,10-dihydropyrano[2,3-</w:t>
            </w:r>
            <w:proofErr w:type="gramStart"/>
            <w:r>
              <w:rPr>
                <w:kern w:val="0"/>
                <w:sz w:val="16"/>
                <w:szCs w:val="16"/>
                <w:lang w:bidi="ar"/>
              </w:rPr>
              <w:t>f]chromen</w:t>
            </w:r>
            <w:proofErr w:type="gramEnd"/>
            <w:r>
              <w:rPr>
                <w:kern w:val="0"/>
                <w:sz w:val="16"/>
                <w:szCs w:val="16"/>
                <w:lang w:bidi="ar"/>
              </w:rPr>
              <w:t>-10-yl) (Z)-2-methylbut-2-enoate</w:t>
            </w:r>
          </w:p>
        </w:tc>
        <w:tc>
          <w:tcPr>
            <w:tcW w:w="1464"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c>
          <w:tcPr>
            <w:tcW w:w="11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C19H20O6</w:t>
            </w:r>
          </w:p>
        </w:tc>
        <w:tc>
          <w:tcPr>
            <w:tcW w:w="1116"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c>
          <w:tcPr>
            <w:tcW w:w="8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Tricetin</w:t>
            </w:r>
          </w:p>
        </w:tc>
        <w:tc>
          <w:tcPr>
            <w:tcW w:w="1464"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三粒小麦黄酮</w:t>
            </w:r>
          </w:p>
        </w:tc>
        <w:tc>
          <w:tcPr>
            <w:tcW w:w="11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C15H10O7</w:t>
            </w:r>
          </w:p>
        </w:tc>
        <w:tc>
          <w:tcPr>
            <w:tcW w:w="1116"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520-31-0</w:t>
            </w:r>
          </w:p>
        </w:tc>
        <w:tc>
          <w:tcPr>
            <w:tcW w:w="8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C10192</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Saikosaponin B2</w:t>
            </w:r>
          </w:p>
        </w:tc>
        <w:tc>
          <w:tcPr>
            <w:tcW w:w="1464"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柴胡皂苷</w:t>
            </w:r>
            <w:r>
              <w:rPr>
                <w:rStyle w:val="font11"/>
                <w:lang w:bidi="ar"/>
              </w:rPr>
              <w:t>B2</w:t>
            </w:r>
          </w:p>
        </w:tc>
        <w:tc>
          <w:tcPr>
            <w:tcW w:w="11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C42H68O13</w:t>
            </w:r>
          </w:p>
        </w:tc>
        <w:tc>
          <w:tcPr>
            <w:tcW w:w="1116"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58316-41-9</w:t>
            </w:r>
          </w:p>
        </w:tc>
        <w:tc>
          <w:tcPr>
            <w:tcW w:w="8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0"/>
        </w:trPr>
        <w:tc>
          <w:tcPr>
            <w:tcW w:w="4879"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1,8-dihydroxy-3-methyl-6-[(2S,3R,4S,5S,6R)-3,4,5-trihydroxy-6-(</w:t>
            </w:r>
            <w:proofErr w:type="gramStart"/>
            <w:r>
              <w:rPr>
                <w:kern w:val="0"/>
                <w:sz w:val="16"/>
                <w:szCs w:val="16"/>
                <w:lang w:bidi="ar"/>
              </w:rPr>
              <w:t>hydroxymethyl)tetrahydropyran</w:t>
            </w:r>
            <w:proofErr w:type="gramEnd"/>
            <w:r>
              <w:rPr>
                <w:kern w:val="0"/>
                <w:sz w:val="16"/>
                <w:szCs w:val="16"/>
                <w:lang w:bidi="ar"/>
              </w:rPr>
              <w:t>-2-yl]oxy-anthracene-9,10-dione</w:t>
            </w:r>
          </w:p>
        </w:tc>
        <w:tc>
          <w:tcPr>
            <w:tcW w:w="1464"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大黄素</w:t>
            </w:r>
            <w:r>
              <w:rPr>
                <w:rStyle w:val="font11"/>
                <w:lang w:bidi="ar"/>
              </w:rPr>
              <w:t xml:space="preserve"> 6 - O -</w:t>
            </w:r>
            <w:r>
              <w:rPr>
                <w:rStyle w:val="font31"/>
                <w:rFonts w:hint="default"/>
                <w:lang w:bidi="ar"/>
              </w:rPr>
              <w:t>葡萄糖苷</w:t>
            </w:r>
          </w:p>
        </w:tc>
        <w:tc>
          <w:tcPr>
            <w:tcW w:w="11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C21H20O10</w:t>
            </w:r>
          </w:p>
        </w:tc>
        <w:tc>
          <w:tcPr>
            <w:tcW w:w="1116"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34298-85-6</w:t>
            </w:r>
          </w:p>
        </w:tc>
        <w:tc>
          <w:tcPr>
            <w:tcW w:w="852" w:type="dxa"/>
            <w:tcBorders>
              <w:top w:val="single" w:sz="4" w:space="0" w:color="92CDDC"/>
              <w:left w:val="single" w:sz="4" w:space="0" w:color="92CDDC"/>
              <w:bottom w:val="single" w:sz="4" w:space="0" w:color="92CDDC"/>
              <w:right w:val="single" w:sz="4" w:space="0" w:color="92CDDC"/>
            </w:tcBorders>
            <w:shd w:val="clear" w:color="DAEEF3" w:fill="DAEEF3"/>
            <w:noWrap/>
            <w:vAlign w:val="center"/>
          </w:tcPr>
          <w:p w:rsidR="00C4690C" w:rsidRDefault="00C4690C" w:rsidP="00B2076E">
            <w:pPr>
              <w:widowControl/>
              <w:jc w:val="left"/>
              <w:textAlignment w:val="center"/>
              <w:rPr>
                <w:sz w:val="16"/>
                <w:szCs w:val="16"/>
              </w:rPr>
            </w:pPr>
            <w:r>
              <w:rPr>
                <w:kern w:val="0"/>
                <w:sz w:val="16"/>
                <w:szCs w:val="16"/>
                <w:lang w:bidi="ar"/>
              </w:rPr>
              <w:t>/</w:t>
            </w:r>
          </w:p>
        </w:tc>
      </w:tr>
      <w:tr w:rsidR="00C4690C" w:rsidTr="00B2076E">
        <w:trPr>
          <w:trHeight w:val="285"/>
        </w:trPr>
        <w:tc>
          <w:tcPr>
            <w:tcW w:w="4879"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2-(2,6-dihydroxyphenyl)-3,5,7-trihydroxy-chromone</w:t>
            </w:r>
          </w:p>
        </w:tc>
        <w:tc>
          <w:tcPr>
            <w:tcW w:w="1464"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粘毛黄芩素</w:t>
            </w:r>
            <w:r>
              <w:rPr>
                <w:rStyle w:val="font11"/>
                <w:lang w:bidi="ar"/>
              </w:rPr>
              <w:t>I</w:t>
            </w:r>
          </w:p>
        </w:tc>
        <w:tc>
          <w:tcPr>
            <w:tcW w:w="11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C15H10O7</w:t>
            </w:r>
          </w:p>
        </w:tc>
        <w:tc>
          <w:tcPr>
            <w:tcW w:w="1116"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92519-95-4</w:t>
            </w:r>
          </w:p>
        </w:tc>
        <w:tc>
          <w:tcPr>
            <w:tcW w:w="852" w:type="dxa"/>
            <w:tcBorders>
              <w:top w:val="single" w:sz="4" w:space="0" w:color="92CDDC"/>
              <w:left w:val="single" w:sz="4" w:space="0" w:color="92CDDC"/>
              <w:bottom w:val="single" w:sz="4" w:space="0" w:color="92CDDC"/>
              <w:right w:val="single" w:sz="4" w:space="0" w:color="92CDDC"/>
            </w:tcBorders>
            <w:shd w:val="clear" w:color="B7DEE8" w:fill="B7DEE8"/>
            <w:noWrap/>
            <w:vAlign w:val="center"/>
          </w:tcPr>
          <w:p w:rsidR="00C4690C" w:rsidRDefault="00C4690C" w:rsidP="00B2076E">
            <w:pPr>
              <w:widowControl/>
              <w:jc w:val="left"/>
              <w:textAlignment w:val="center"/>
              <w:rPr>
                <w:sz w:val="16"/>
                <w:szCs w:val="16"/>
              </w:rPr>
            </w:pPr>
            <w:r>
              <w:rPr>
                <w:kern w:val="0"/>
                <w:sz w:val="16"/>
                <w:szCs w:val="16"/>
                <w:lang w:bidi="ar"/>
              </w:rPr>
              <w:t>/</w:t>
            </w:r>
          </w:p>
        </w:tc>
      </w:tr>
    </w:tbl>
    <w:p w:rsidR="00C4690C" w:rsidRDefault="00C4690C" w:rsidP="00C4690C">
      <w:pPr>
        <w:spacing w:line="360" w:lineRule="auto"/>
        <w:rPr>
          <w:sz w:val="24"/>
        </w:rPr>
      </w:pPr>
    </w:p>
    <w:p w:rsidR="00C4690C" w:rsidRDefault="00C4690C" w:rsidP="00C4690C">
      <w:pPr>
        <w:spacing w:line="360" w:lineRule="auto"/>
        <w:rPr>
          <w:sz w:val="24"/>
        </w:rPr>
      </w:pPr>
    </w:p>
    <w:p w:rsidR="00C4690C" w:rsidRDefault="00C4690C" w:rsidP="00C4690C">
      <w:pPr>
        <w:spacing w:line="360" w:lineRule="auto"/>
        <w:rPr>
          <w:sz w:val="24"/>
        </w:rPr>
      </w:pPr>
      <w:r>
        <w:rPr>
          <w:noProof/>
          <w:sz w:val="24"/>
        </w:rPr>
        <w:drawing>
          <wp:inline distT="0" distB="0" distL="0" distR="0">
            <wp:extent cx="2258170" cy="1234841"/>
            <wp:effectExtent l="0" t="0" r="8890" b="3810"/>
            <wp:docPr id="8" name="图片 8" descr="1734509767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0" descr="173450976784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62108" cy="1236995"/>
                    </a:xfrm>
                    <a:prstGeom prst="rect">
                      <a:avLst/>
                    </a:prstGeom>
                    <a:noFill/>
                    <a:ln>
                      <a:noFill/>
                    </a:ln>
                    <a:effectLst/>
                  </pic:spPr>
                </pic:pic>
              </a:graphicData>
            </a:graphic>
          </wp:inline>
        </w:drawing>
      </w:r>
      <w:r>
        <w:rPr>
          <w:sz w:val="24"/>
        </w:rPr>
        <w:t xml:space="preserve">  </w:t>
      </w:r>
      <w:r>
        <w:rPr>
          <w:noProof/>
          <w:sz w:val="24"/>
        </w:rPr>
        <w:drawing>
          <wp:inline distT="0" distB="0" distL="0" distR="0">
            <wp:extent cx="2329732" cy="1317560"/>
            <wp:effectExtent l="0" t="0" r="0" b="0"/>
            <wp:docPr id="7" name="图片 7" descr="1734509727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9" descr="173450972765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36861" cy="1321592"/>
                    </a:xfrm>
                    <a:prstGeom prst="rect">
                      <a:avLst/>
                    </a:prstGeom>
                    <a:noFill/>
                    <a:ln>
                      <a:noFill/>
                    </a:ln>
                  </pic:spPr>
                </pic:pic>
              </a:graphicData>
            </a:graphic>
          </wp:inline>
        </w:drawing>
      </w:r>
    </w:p>
    <w:p w:rsidR="00C4690C" w:rsidRDefault="00C4690C" w:rsidP="00C4690C">
      <w:pPr>
        <w:spacing w:line="360" w:lineRule="auto"/>
        <w:rPr>
          <w:sz w:val="24"/>
        </w:rPr>
      </w:pPr>
      <w:r>
        <w:t>图</w:t>
      </w:r>
      <w:r>
        <w:t xml:space="preserve"> </w:t>
      </w:r>
      <w:r>
        <w:fldChar w:fldCharType="begin"/>
      </w:r>
      <w:r>
        <w:instrText xml:space="preserve"> SEQ </w:instrText>
      </w:r>
      <w:r>
        <w:instrText>图</w:instrText>
      </w:r>
      <w:r>
        <w:instrText xml:space="preserve"> \* ARABIC </w:instrText>
      </w:r>
      <w:r>
        <w:fldChar w:fldCharType="separate"/>
      </w:r>
      <w:r>
        <w:rPr>
          <w:noProof/>
        </w:rPr>
        <w:t>3</w:t>
      </w:r>
      <w:r>
        <w:fldChar w:fldCharType="end"/>
      </w:r>
      <w:r>
        <w:t xml:space="preserve"> </w:t>
      </w:r>
      <w:r>
        <w:rPr>
          <w:sz w:val="24"/>
        </w:rPr>
        <w:t>正离子模式</w:t>
      </w:r>
      <w:r>
        <w:rPr>
          <w:sz w:val="24"/>
        </w:rPr>
        <w:t>XBT1</w:t>
      </w:r>
      <w:r>
        <w:rPr>
          <w:sz w:val="24"/>
        </w:rPr>
        <w:t>样本</w:t>
      </w:r>
      <w:r>
        <w:rPr>
          <w:sz w:val="24"/>
        </w:rPr>
        <w:t>TIC</w:t>
      </w:r>
      <w:proofErr w:type="gramStart"/>
      <w:r>
        <w:rPr>
          <w:sz w:val="24"/>
        </w:rPr>
        <w:t>标峰图</w:t>
      </w:r>
      <w:proofErr w:type="gramEnd"/>
      <w:r>
        <w:rPr>
          <w:sz w:val="24"/>
        </w:rPr>
        <w:t xml:space="preserve">  </w:t>
      </w:r>
      <w:r>
        <w:t>图</w:t>
      </w:r>
      <w:r>
        <w:t xml:space="preserve"> </w:t>
      </w:r>
      <w:r>
        <w:fldChar w:fldCharType="begin"/>
      </w:r>
      <w:r>
        <w:instrText xml:space="preserve"> SEQ </w:instrText>
      </w:r>
      <w:r>
        <w:instrText>图</w:instrText>
      </w:r>
      <w:r>
        <w:instrText xml:space="preserve"> \* ARABIC </w:instrText>
      </w:r>
      <w:r>
        <w:fldChar w:fldCharType="separate"/>
      </w:r>
      <w:r>
        <w:t>91</w:t>
      </w:r>
      <w:r>
        <w:fldChar w:fldCharType="end"/>
      </w:r>
      <w:r>
        <w:t xml:space="preserve"> </w:t>
      </w:r>
      <w:r>
        <w:t>负</w:t>
      </w:r>
      <w:r>
        <w:rPr>
          <w:sz w:val="24"/>
        </w:rPr>
        <w:t>离子模式</w:t>
      </w:r>
      <w:r>
        <w:rPr>
          <w:sz w:val="24"/>
        </w:rPr>
        <w:t>XBT1</w:t>
      </w:r>
      <w:r>
        <w:rPr>
          <w:sz w:val="24"/>
        </w:rPr>
        <w:t>样本</w:t>
      </w:r>
      <w:r>
        <w:rPr>
          <w:sz w:val="24"/>
        </w:rPr>
        <w:t>TIC</w:t>
      </w:r>
      <w:proofErr w:type="gramStart"/>
      <w:r>
        <w:rPr>
          <w:sz w:val="24"/>
        </w:rPr>
        <w:t>标峰图</w:t>
      </w:r>
      <w:proofErr w:type="gramEnd"/>
    </w:p>
    <w:p w:rsidR="00C4690C" w:rsidRDefault="00C4690C" w:rsidP="00C4690C">
      <w:pPr>
        <w:widowControl/>
        <w:jc w:val="left"/>
        <w:rPr>
          <w:sz w:val="24"/>
        </w:rPr>
      </w:pPr>
      <w:r>
        <w:rPr>
          <w:sz w:val="24"/>
        </w:rPr>
        <w:br w:type="page"/>
      </w:r>
    </w:p>
    <w:p w:rsidR="00C4690C" w:rsidRPr="00C4690C" w:rsidRDefault="00C4690C" w:rsidP="00C4690C">
      <w:pPr>
        <w:spacing w:beforeLines="50" w:before="156" w:line="360" w:lineRule="auto"/>
        <w:jc w:val="center"/>
        <w:outlineLvl w:val="2"/>
        <w:rPr>
          <w:rFonts w:cs="宋体"/>
          <w:b/>
          <w:bCs/>
          <w:sz w:val="24"/>
          <w:szCs w:val="32"/>
          <w:lang w:bidi="ar"/>
        </w:rPr>
      </w:pPr>
      <w:bookmarkStart w:id="6" w:name="_Toc3462"/>
      <w:proofErr w:type="gramStart"/>
      <w:r w:rsidRPr="00C4690C">
        <w:rPr>
          <w:rFonts w:cs="宋体"/>
          <w:b/>
          <w:bCs/>
          <w:sz w:val="24"/>
          <w:szCs w:val="32"/>
          <w:lang w:bidi="ar"/>
        </w:rPr>
        <w:lastRenderedPageBreak/>
        <w:t>脓</w:t>
      </w:r>
      <w:proofErr w:type="gramEnd"/>
      <w:r w:rsidRPr="00C4690C">
        <w:rPr>
          <w:rFonts w:cs="宋体"/>
          <w:b/>
          <w:bCs/>
          <w:sz w:val="24"/>
          <w:szCs w:val="32"/>
          <w:lang w:bidi="ar"/>
        </w:rPr>
        <w:t>毒性心肌损伤中西医病机融通中药组方的中药入血成分生物信息学研究</w:t>
      </w:r>
      <w:bookmarkEnd w:id="6"/>
    </w:p>
    <w:p w:rsidR="00C4690C" w:rsidRDefault="00C4690C" w:rsidP="00C4690C">
      <w:pPr>
        <w:spacing w:line="360" w:lineRule="auto"/>
        <w:rPr>
          <w:sz w:val="24"/>
        </w:rPr>
      </w:pPr>
      <w:r>
        <w:rPr>
          <w:sz w:val="24"/>
        </w:rPr>
        <w:t>（</w:t>
      </w:r>
      <w:r>
        <w:rPr>
          <w:sz w:val="24"/>
        </w:rPr>
        <w:t>1</w:t>
      </w:r>
      <w:r>
        <w:rPr>
          <w:sz w:val="24"/>
        </w:rPr>
        <w:t>）前</w:t>
      </w:r>
      <w:r>
        <w:rPr>
          <w:sz w:val="24"/>
        </w:rPr>
        <w:t>10</w:t>
      </w:r>
      <w:r>
        <w:rPr>
          <w:sz w:val="24"/>
        </w:rPr>
        <w:t>化合物和脓毒</w:t>
      </w:r>
      <w:proofErr w:type="gramStart"/>
      <w:r>
        <w:rPr>
          <w:sz w:val="24"/>
        </w:rPr>
        <w:t>症共同</w:t>
      </w:r>
      <w:proofErr w:type="gramEnd"/>
      <w:r>
        <w:rPr>
          <w:sz w:val="24"/>
        </w:rPr>
        <w:t>靶点基因的</w:t>
      </w:r>
      <w:proofErr w:type="gramStart"/>
      <w:r>
        <w:rPr>
          <w:sz w:val="24"/>
        </w:rPr>
        <w:t>的</w:t>
      </w:r>
      <w:proofErr w:type="gramEnd"/>
      <w:r>
        <w:rPr>
          <w:sz w:val="24"/>
        </w:rPr>
        <w:t>筛选及韦恩图构建</w:t>
      </w:r>
    </w:p>
    <w:p w:rsidR="00C4690C" w:rsidRDefault="00C4690C" w:rsidP="00C4690C">
      <w:pPr>
        <w:spacing w:line="360" w:lineRule="auto"/>
        <w:ind w:firstLineChars="200" w:firstLine="480"/>
        <w:rPr>
          <w:sz w:val="24"/>
        </w:rPr>
      </w:pPr>
      <w:r>
        <w:rPr>
          <w:sz w:val="24"/>
        </w:rPr>
        <w:t>从</w:t>
      </w:r>
      <w:r>
        <w:rPr>
          <w:sz w:val="24"/>
        </w:rPr>
        <w:t>TCMSP</w:t>
      </w:r>
      <w:r>
        <w:rPr>
          <w:sz w:val="24"/>
        </w:rPr>
        <w:t>数据库（</w:t>
      </w:r>
      <w:r>
        <w:rPr>
          <w:sz w:val="24"/>
        </w:rPr>
        <w:t>https</w:t>
      </w:r>
      <w:r>
        <w:rPr>
          <w:sz w:val="24"/>
        </w:rPr>
        <w:t>：</w:t>
      </w:r>
      <w:r>
        <w:rPr>
          <w:sz w:val="24"/>
        </w:rPr>
        <w:t>//old.tcmsp-e.com/tcmsp.php</w:t>
      </w:r>
      <w:r>
        <w:rPr>
          <w:sz w:val="24"/>
        </w:rPr>
        <w:t>）中进行前</w:t>
      </w:r>
      <w:r>
        <w:rPr>
          <w:sz w:val="24"/>
        </w:rPr>
        <w:t>10</w:t>
      </w:r>
      <w:r>
        <w:rPr>
          <w:sz w:val="24"/>
        </w:rPr>
        <w:t>化合物的靶点筛选，从</w:t>
      </w:r>
      <w:r>
        <w:rPr>
          <w:sz w:val="24"/>
        </w:rPr>
        <w:t>Pubchem</w:t>
      </w:r>
      <w:r>
        <w:rPr>
          <w:sz w:val="24"/>
        </w:rPr>
        <w:t>数据库（</w:t>
      </w:r>
      <w:r>
        <w:rPr>
          <w:sz w:val="24"/>
        </w:rPr>
        <w:t>https://pubchem.ncbi.nlm.nih.gov/</w:t>
      </w:r>
      <w:r>
        <w:rPr>
          <w:sz w:val="24"/>
        </w:rPr>
        <w:t>）中获取化合物结构式，再从</w:t>
      </w:r>
      <w:r>
        <w:rPr>
          <w:sz w:val="24"/>
        </w:rPr>
        <w:t>Swisstargetprediction</w:t>
      </w:r>
      <w:r>
        <w:rPr>
          <w:sz w:val="24"/>
        </w:rPr>
        <w:t>数据库（</w:t>
      </w:r>
      <w:r>
        <w:rPr>
          <w:sz w:val="24"/>
        </w:rPr>
        <w:t>http://www.swisstargetprediction.ch/</w:t>
      </w:r>
      <w:r>
        <w:rPr>
          <w:sz w:val="24"/>
        </w:rPr>
        <w:t>）中进行前</w:t>
      </w:r>
      <w:r>
        <w:rPr>
          <w:sz w:val="24"/>
        </w:rPr>
        <w:t>10</w:t>
      </w:r>
      <w:r>
        <w:rPr>
          <w:sz w:val="24"/>
        </w:rPr>
        <w:t>化合物的靶点预测，最后通过</w:t>
      </w:r>
      <w:r>
        <w:rPr>
          <w:sz w:val="24"/>
        </w:rPr>
        <w:t>STRING</w:t>
      </w:r>
      <w:r>
        <w:rPr>
          <w:sz w:val="24"/>
        </w:rPr>
        <w:t>数据库（</w:t>
      </w:r>
      <w:r>
        <w:rPr>
          <w:sz w:val="24"/>
        </w:rPr>
        <w:t>https://cn.string-db.org/</w:t>
      </w:r>
      <w:r>
        <w:rPr>
          <w:sz w:val="24"/>
        </w:rPr>
        <w:t>）和</w:t>
      </w:r>
      <w:r>
        <w:rPr>
          <w:sz w:val="24"/>
        </w:rPr>
        <w:t>Uniprot</w:t>
      </w:r>
      <w:r>
        <w:rPr>
          <w:sz w:val="24"/>
        </w:rPr>
        <w:t>数据库（</w:t>
      </w:r>
      <w:r>
        <w:rPr>
          <w:sz w:val="24"/>
        </w:rPr>
        <w:t>https://www.uniprot.org/</w:t>
      </w:r>
      <w:r>
        <w:rPr>
          <w:sz w:val="24"/>
        </w:rPr>
        <w:t>）转换为统一的基因靶点名称，得到的基因靶点合并去重后共得到</w:t>
      </w:r>
      <w:r>
        <w:rPr>
          <w:sz w:val="24"/>
        </w:rPr>
        <w:t>477</w:t>
      </w:r>
      <w:r>
        <w:rPr>
          <w:sz w:val="24"/>
        </w:rPr>
        <w:t>个化合物基因靶点。</w:t>
      </w:r>
    </w:p>
    <w:p w:rsidR="00C4690C" w:rsidRDefault="00C4690C" w:rsidP="00C4690C">
      <w:pPr>
        <w:spacing w:line="360" w:lineRule="auto"/>
        <w:ind w:firstLineChars="200" w:firstLine="480"/>
        <w:rPr>
          <w:sz w:val="24"/>
        </w:rPr>
      </w:pPr>
      <w:r>
        <w:rPr>
          <w:sz w:val="24"/>
        </w:rPr>
        <w:t>从德尔遗传搜索（</w:t>
      </w:r>
      <w:r>
        <w:rPr>
          <w:sz w:val="24"/>
        </w:rPr>
        <w:t>OMIM</w:t>
      </w:r>
      <w:r>
        <w:rPr>
          <w:sz w:val="24"/>
        </w:rPr>
        <w:t>）数据库（</w:t>
      </w:r>
      <w:r>
        <w:rPr>
          <w:sz w:val="24"/>
        </w:rPr>
        <w:t>https://www.omim.org/search/advanced/geneMap</w:t>
      </w:r>
      <w:r>
        <w:rPr>
          <w:sz w:val="24"/>
        </w:rPr>
        <w:t>）和</w:t>
      </w:r>
      <w:r>
        <w:rPr>
          <w:sz w:val="24"/>
        </w:rPr>
        <w:t>GeneCards</w:t>
      </w:r>
      <w:r>
        <w:rPr>
          <w:sz w:val="24"/>
        </w:rPr>
        <w:t>数据库（</w:t>
      </w:r>
      <w:r>
        <w:rPr>
          <w:sz w:val="24"/>
        </w:rPr>
        <w:t>https://www.genecards.org/</w:t>
      </w:r>
      <w:r>
        <w:rPr>
          <w:sz w:val="24"/>
        </w:rPr>
        <w:t>）中检索</w:t>
      </w:r>
      <w:r>
        <w:rPr>
          <w:rFonts w:hint="eastAsia"/>
          <w:sz w:val="24"/>
        </w:rPr>
        <w:t>“</w:t>
      </w:r>
      <w:r>
        <w:rPr>
          <w:sz w:val="24"/>
        </w:rPr>
        <w:t>Sepsis</w:t>
      </w:r>
      <w:r>
        <w:rPr>
          <w:rFonts w:hint="eastAsia"/>
          <w:sz w:val="24"/>
        </w:rPr>
        <w:t>”</w:t>
      </w:r>
      <w:r>
        <w:rPr>
          <w:sz w:val="24"/>
        </w:rPr>
        <w:t>，其中在</w:t>
      </w:r>
      <w:r>
        <w:rPr>
          <w:sz w:val="24"/>
        </w:rPr>
        <w:t>GeneCards</w:t>
      </w:r>
      <w:r>
        <w:rPr>
          <w:sz w:val="24"/>
        </w:rPr>
        <w:t>数据库中筛选</w:t>
      </w:r>
      <w:r>
        <w:rPr>
          <w:sz w:val="24"/>
        </w:rPr>
        <w:t>Relevance score&gt;1</w:t>
      </w:r>
      <w:r>
        <w:rPr>
          <w:sz w:val="24"/>
        </w:rPr>
        <w:t>的脓毒</w:t>
      </w:r>
      <w:proofErr w:type="gramStart"/>
      <w:r>
        <w:rPr>
          <w:sz w:val="24"/>
        </w:rPr>
        <w:t>症相关</w:t>
      </w:r>
      <w:proofErr w:type="gramEnd"/>
      <w:r>
        <w:rPr>
          <w:sz w:val="24"/>
        </w:rPr>
        <w:t>基因。在</w:t>
      </w:r>
      <w:r>
        <w:rPr>
          <w:sz w:val="24"/>
        </w:rPr>
        <w:t>OMIM</w:t>
      </w:r>
      <w:r>
        <w:rPr>
          <w:sz w:val="24"/>
        </w:rPr>
        <w:t>数据库中检索到</w:t>
      </w:r>
      <w:r>
        <w:rPr>
          <w:sz w:val="24"/>
        </w:rPr>
        <w:t>283</w:t>
      </w:r>
      <w:r>
        <w:rPr>
          <w:sz w:val="24"/>
        </w:rPr>
        <w:t>个脓毒</w:t>
      </w:r>
      <w:proofErr w:type="gramStart"/>
      <w:r>
        <w:rPr>
          <w:sz w:val="24"/>
        </w:rPr>
        <w:t>症相关</w:t>
      </w:r>
      <w:proofErr w:type="gramEnd"/>
      <w:r>
        <w:rPr>
          <w:sz w:val="24"/>
        </w:rPr>
        <w:t>基因靶点，在</w:t>
      </w:r>
      <w:r>
        <w:rPr>
          <w:sz w:val="24"/>
        </w:rPr>
        <w:t>GeneCards</w:t>
      </w:r>
      <w:r>
        <w:rPr>
          <w:sz w:val="24"/>
        </w:rPr>
        <w:t>数据库中筛选到</w:t>
      </w:r>
      <w:r>
        <w:rPr>
          <w:sz w:val="24"/>
        </w:rPr>
        <w:t>398</w:t>
      </w:r>
      <w:r>
        <w:rPr>
          <w:sz w:val="24"/>
        </w:rPr>
        <w:t>个脓毒</w:t>
      </w:r>
      <w:proofErr w:type="gramStart"/>
      <w:r>
        <w:rPr>
          <w:sz w:val="24"/>
        </w:rPr>
        <w:t>症相关</w:t>
      </w:r>
      <w:proofErr w:type="gramEnd"/>
      <w:r>
        <w:rPr>
          <w:sz w:val="24"/>
        </w:rPr>
        <w:t>基因靶点，合并去重后即得到脓毒症的相关疾病靶点</w:t>
      </w:r>
      <w:r>
        <w:rPr>
          <w:sz w:val="24"/>
        </w:rPr>
        <w:t>630</w:t>
      </w:r>
      <w:r>
        <w:rPr>
          <w:sz w:val="24"/>
        </w:rPr>
        <w:t>个。</w:t>
      </w:r>
    </w:p>
    <w:p w:rsidR="00C4690C" w:rsidRDefault="00C4690C" w:rsidP="00C4690C">
      <w:pPr>
        <w:spacing w:line="360" w:lineRule="auto"/>
        <w:ind w:firstLineChars="200" w:firstLine="480"/>
        <w:rPr>
          <w:sz w:val="24"/>
        </w:rPr>
      </w:pPr>
      <w:r>
        <w:rPr>
          <w:sz w:val="24"/>
        </w:rPr>
        <w:t>从</w:t>
      </w:r>
      <w:r>
        <w:rPr>
          <w:sz w:val="24"/>
        </w:rPr>
        <w:t>Venny 2.1.0</w:t>
      </w:r>
      <w:r>
        <w:rPr>
          <w:sz w:val="24"/>
        </w:rPr>
        <w:t>（</w:t>
      </w:r>
      <w:r>
        <w:rPr>
          <w:sz w:val="24"/>
        </w:rPr>
        <w:t>http://www.liuxiaoyuyuan.cn/</w:t>
      </w:r>
      <w:r>
        <w:rPr>
          <w:sz w:val="24"/>
        </w:rPr>
        <w:t>）中取得</w:t>
      </w:r>
      <w:r>
        <w:rPr>
          <w:sz w:val="24"/>
        </w:rPr>
        <w:t>10</w:t>
      </w:r>
      <w:r>
        <w:rPr>
          <w:sz w:val="24"/>
        </w:rPr>
        <w:t>个入血成分、脓毒性心肌病的共同靶点</w:t>
      </w:r>
      <w:r>
        <w:rPr>
          <w:sz w:val="24"/>
        </w:rPr>
        <w:t>38</w:t>
      </w:r>
      <w:r>
        <w:rPr>
          <w:sz w:val="24"/>
        </w:rPr>
        <w:t>个，并绘制韦恩图（图</w:t>
      </w:r>
      <w:r>
        <w:rPr>
          <w:sz w:val="24"/>
        </w:rPr>
        <w:t>5</w:t>
      </w:r>
      <w:r>
        <w:rPr>
          <w:sz w:val="24"/>
        </w:rPr>
        <w:t>）。</w:t>
      </w:r>
    </w:p>
    <w:p w:rsidR="00C4690C" w:rsidRDefault="00C4690C" w:rsidP="00C4690C">
      <w:pPr>
        <w:wordWrap w:val="0"/>
        <w:ind w:firstLineChars="200" w:firstLine="422"/>
        <w:jc w:val="center"/>
        <w:rPr>
          <w:b/>
          <w:bCs/>
        </w:rPr>
      </w:pPr>
      <w:r>
        <w:rPr>
          <w:b/>
          <w:bCs/>
          <w:noProof/>
        </w:rPr>
        <w:drawing>
          <wp:inline distT="0" distB="0" distL="0" distR="0">
            <wp:extent cx="2250440" cy="1693545"/>
            <wp:effectExtent l="0" t="0" r="0" b="1905"/>
            <wp:docPr id="6" name="图片 6" descr="venn_result17287272162687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venn_result172872721626877509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50440" cy="1693545"/>
                    </a:xfrm>
                    <a:prstGeom prst="rect">
                      <a:avLst/>
                    </a:prstGeom>
                    <a:noFill/>
                    <a:ln>
                      <a:noFill/>
                    </a:ln>
                    <a:effectLst/>
                  </pic:spPr>
                </pic:pic>
              </a:graphicData>
            </a:graphic>
          </wp:inline>
        </w:drawing>
      </w:r>
    </w:p>
    <w:p w:rsidR="00C4690C" w:rsidRDefault="00C4690C" w:rsidP="00C4690C">
      <w:pPr>
        <w:pStyle w:val="af"/>
        <w:wordWrap w:val="0"/>
        <w:ind w:firstLineChars="200" w:firstLine="400"/>
        <w:jc w:val="center"/>
        <w:rPr>
          <w:rFonts w:ascii="Times New Roman" w:hAnsi="Times New Roman"/>
          <w:b/>
          <w:bCs/>
        </w:rPr>
      </w:pPr>
      <w:r>
        <w:rPr>
          <w:rFonts w:ascii="Times New Roman" w:hAnsi="Times New Roman"/>
        </w:rPr>
        <w:t>图</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w:instrText>
      </w:r>
      <w:r>
        <w:rPr>
          <w:rFonts w:ascii="Times New Roman" w:hAnsi="Times New Roman"/>
        </w:rPr>
        <w:instrText>图</w:instrText>
      </w:r>
      <w:r>
        <w:rPr>
          <w:rFonts w:ascii="Times New Roman" w:hAnsi="Times New Roman"/>
        </w:rPr>
        <w:instrText xml:space="preserve"> \* ARABIC </w:instrText>
      </w:r>
      <w:r>
        <w:rPr>
          <w:rFonts w:ascii="Times New Roman" w:hAnsi="Times New Roman"/>
        </w:rPr>
        <w:fldChar w:fldCharType="separate"/>
      </w:r>
      <w:r>
        <w:rPr>
          <w:rFonts w:ascii="Times New Roman" w:hAnsi="Times New Roman"/>
          <w:noProof/>
        </w:rPr>
        <w:t>5</w:t>
      </w:r>
      <w:r>
        <w:rPr>
          <w:rFonts w:ascii="Times New Roman" w:hAnsi="Times New Roman"/>
        </w:rPr>
        <w:fldChar w:fldCharType="end"/>
      </w:r>
      <w:r>
        <w:rPr>
          <w:rFonts w:ascii="Times New Roman" w:hAnsi="Times New Roman"/>
        </w:rPr>
        <w:t xml:space="preserve"> </w:t>
      </w:r>
      <w:r>
        <w:rPr>
          <w:rFonts w:ascii="Times New Roman" w:hAnsi="Times New Roman"/>
        </w:rPr>
        <w:t>韦恩图</w:t>
      </w:r>
    </w:p>
    <w:p w:rsidR="00C4690C" w:rsidRDefault="00C4690C" w:rsidP="00C4690C">
      <w:pPr>
        <w:spacing w:line="360" w:lineRule="auto"/>
        <w:rPr>
          <w:sz w:val="24"/>
        </w:rPr>
      </w:pPr>
      <w:r>
        <w:rPr>
          <w:sz w:val="24"/>
        </w:rPr>
        <w:t>（</w:t>
      </w:r>
      <w:r>
        <w:rPr>
          <w:sz w:val="24"/>
        </w:rPr>
        <w:t>2</w:t>
      </w:r>
      <w:r>
        <w:rPr>
          <w:sz w:val="24"/>
        </w:rPr>
        <w:t>）蛋白互作网络的构建和分析</w:t>
      </w:r>
    </w:p>
    <w:p w:rsidR="00C4690C" w:rsidRDefault="00C4690C" w:rsidP="00C4690C">
      <w:pPr>
        <w:spacing w:line="360" w:lineRule="auto"/>
        <w:ind w:firstLineChars="200" w:firstLine="480"/>
        <w:rPr>
          <w:sz w:val="24"/>
        </w:rPr>
      </w:pPr>
      <w:r>
        <w:rPr>
          <w:sz w:val="24"/>
        </w:rPr>
        <w:t>将前</w:t>
      </w:r>
      <w:r>
        <w:rPr>
          <w:sz w:val="24"/>
        </w:rPr>
        <w:t>10</w:t>
      </w:r>
      <w:r>
        <w:rPr>
          <w:sz w:val="24"/>
        </w:rPr>
        <w:t>化合物、脓毒性心肌病的</w:t>
      </w:r>
      <w:r>
        <w:rPr>
          <w:sz w:val="24"/>
        </w:rPr>
        <w:t>38</w:t>
      </w:r>
      <w:r>
        <w:rPr>
          <w:sz w:val="24"/>
        </w:rPr>
        <w:t>个共同靶点基因输入到</w:t>
      </w:r>
      <w:r>
        <w:rPr>
          <w:sz w:val="24"/>
        </w:rPr>
        <w:t>STRING 12.0</w:t>
      </w:r>
      <w:r>
        <w:rPr>
          <w:sz w:val="24"/>
        </w:rPr>
        <w:t>（</w:t>
      </w:r>
      <w:r>
        <w:rPr>
          <w:sz w:val="24"/>
        </w:rPr>
        <w:t>https://cn.string-db.org/</w:t>
      </w:r>
      <w:r>
        <w:rPr>
          <w:sz w:val="24"/>
        </w:rPr>
        <w:t>）中，设定生物种类为</w:t>
      </w:r>
      <w:r>
        <w:rPr>
          <w:rFonts w:hint="eastAsia"/>
          <w:sz w:val="24"/>
        </w:rPr>
        <w:t>“</w:t>
      </w:r>
      <w:r>
        <w:rPr>
          <w:sz w:val="24"/>
        </w:rPr>
        <w:t>Homo sapiens</w:t>
      </w:r>
      <w:r>
        <w:rPr>
          <w:rFonts w:hint="eastAsia"/>
          <w:sz w:val="24"/>
        </w:rPr>
        <w:t>”</w:t>
      </w:r>
      <w:r>
        <w:rPr>
          <w:sz w:val="24"/>
        </w:rPr>
        <w:t>，</w:t>
      </w:r>
      <w:r>
        <w:rPr>
          <w:sz w:val="24"/>
        </w:rPr>
        <w:t>minimum reauired interaction score</w:t>
      </w:r>
      <w:r>
        <w:rPr>
          <w:sz w:val="24"/>
        </w:rPr>
        <w:t>选择默认值</w:t>
      </w:r>
      <w:r>
        <w:rPr>
          <w:sz w:val="24"/>
        </w:rPr>
        <w:t>0.400</w:t>
      </w:r>
      <w:r>
        <w:rPr>
          <w:sz w:val="24"/>
        </w:rPr>
        <w:t>。保存蛋白互作网络（</w:t>
      </w:r>
      <w:r>
        <w:rPr>
          <w:sz w:val="24"/>
        </w:rPr>
        <w:t>PPI</w:t>
      </w:r>
      <w:r>
        <w:rPr>
          <w:sz w:val="24"/>
        </w:rPr>
        <w:t>）图和</w:t>
      </w:r>
      <w:r>
        <w:rPr>
          <w:sz w:val="24"/>
        </w:rPr>
        <w:t>TSV</w:t>
      </w:r>
      <w:r>
        <w:rPr>
          <w:sz w:val="24"/>
        </w:rPr>
        <w:t>格式的数据文件，根据网络拓扑学性质将此文件导入</w:t>
      </w:r>
      <w:r>
        <w:rPr>
          <w:sz w:val="24"/>
        </w:rPr>
        <w:t>Cytoscape 3.9.1</w:t>
      </w:r>
      <w:r>
        <w:rPr>
          <w:sz w:val="24"/>
        </w:rPr>
        <w:t>软件进行可视化展示。图</w:t>
      </w:r>
      <w:r>
        <w:rPr>
          <w:sz w:val="24"/>
        </w:rPr>
        <w:t>6</w:t>
      </w:r>
      <w:r>
        <w:rPr>
          <w:rFonts w:hint="eastAsia"/>
          <w:sz w:val="24"/>
        </w:rPr>
        <w:t>-</w:t>
      </w:r>
      <w:r>
        <w:rPr>
          <w:sz w:val="24"/>
        </w:rPr>
        <w:t>7</w:t>
      </w:r>
      <w:r>
        <w:rPr>
          <w:sz w:val="24"/>
        </w:rPr>
        <w:t>，表</w:t>
      </w:r>
      <w:r>
        <w:rPr>
          <w:sz w:val="24"/>
        </w:rPr>
        <w:t>8</w:t>
      </w:r>
      <w:r>
        <w:rPr>
          <w:rFonts w:hint="eastAsia"/>
          <w:sz w:val="24"/>
        </w:rPr>
        <w:t>。</w:t>
      </w:r>
    </w:p>
    <w:p w:rsidR="00C4690C" w:rsidRDefault="00C4690C" w:rsidP="00C4690C">
      <w:pPr>
        <w:wordWrap w:val="0"/>
        <w:ind w:firstLineChars="200" w:firstLine="422"/>
        <w:jc w:val="center"/>
        <w:rPr>
          <w:b/>
          <w:bCs/>
        </w:rPr>
      </w:pPr>
      <w:r>
        <w:rPr>
          <w:b/>
          <w:bCs/>
          <w:noProof/>
        </w:rPr>
        <w:lastRenderedPageBreak/>
        <w:drawing>
          <wp:inline distT="0" distB="0" distL="0" distR="0">
            <wp:extent cx="3307715" cy="2329815"/>
            <wp:effectExtent l="0" t="0" r="6985" b="0"/>
            <wp:docPr id="5" name="图片 5" descr="string_hires_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string_hires_image"/>
                    <pic:cNvPicPr>
                      <a:picLocks noChangeAspect="1" noChangeArrowheads="1"/>
                    </pic:cNvPicPr>
                  </pic:nvPicPr>
                  <pic:blipFill>
                    <a:blip r:embed="rId25" cstate="print">
                      <a:extLst>
                        <a:ext uri="{28A0092B-C50C-407E-A947-70E740481C1C}">
                          <a14:useLocalDpi xmlns:a14="http://schemas.microsoft.com/office/drawing/2010/main" val="0"/>
                        </a:ext>
                      </a:extLst>
                    </a:blip>
                    <a:srcRect b="15630"/>
                    <a:stretch>
                      <a:fillRect/>
                    </a:stretch>
                  </pic:blipFill>
                  <pic:spPr bwMode="auto">
                    <a:xfrm>
                      <a:off x="0" y="0"/>
                      <a:ext cx="3307715" cy="2329815"/>
                    </a:xfrm>
                    <a:prstGeom prst="rect">
                      <a:avLst/>
                    </a:prstGeom>
                    <a:noFill/>
                    <a:ln>
                      <a:noFill/>
                    </a:ln>
                    <a:effectLst/>
                  </pic:spPr>
                </pic:pic>
              </a:graphicData>
            </a:graphic>
          </wp:inline>
        </w:drawing>
      </w:r>
    </w:p>
    <w:p w:rsidR="00C4690C" w:rsidRDefault="00C4690C" w:rsidP="00C4690C">
      <w:pPr>
        <w:pStyle w:val="af"/>
        <w:wordWrap w:val="0"/>
        <w:ind w:firstLineChars="1700" w:firstLine="3400"/>
        <w:rPr>
          <w:rFonts w:ascii="Times New Roman" w:hAnsi="Times New Roman"/>
          <w:b/>
          <w:bCs/>
        </w:rPr>
      </w:pPr>
      <w:r>
        <w:rPr>
          <w:rFonts w:ascii="Times New Roman" w:hAnsi="Times New Roman"/>
        </w:rPr>
        <w:t>图</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w:instrText>
      </w:r>
      <w:r>
        <w:rPr>
          <w:rFonts w:ascii="Times New Roman" w:hAnsi="Times New Roman"/>
        </w:rPr>
        <w:instrText>图</w:instrText>
      </w:r>
      <w:r>
        <w:rPr>
          <w:rFonts w:ascii="Times New Roman" w:hAnsi="Times New Roman"/>
        </w:rPr>
        <w:instrText xml:space="preserve"> \* ARABIC </w:instrText>
      </w:r>
      <w:r>
        <w:rPr>
          <w:rFonts w:ascii="Times New Roman" w:hAnsi="Times New Roman"/>
        </w:rPr>
        <w:fldChar w:fldCharType="separate"/>
      </w:r>
      <w:r>
        <w:rPr>
          <w:rFonts w:ascii="Times New Roman" w:hAnsi="Times New Roman"/>
          <w:noProof/>
        </w:rPr>
        <w:t>6</w:t>
      </w:r>
      <w:r>
        <w:rPr>
          <w:rFonts w:ascii="Times New Roman" w:hAnsi="Times New Roman"/>
        </w:rPr>
        <w:fldChar w:fldCharType="end"/>
      </w:r>
      <w:r>
        <w:rPr>
          <w:rFonts w:ascii="Times New Roman" w:hAnsi="Times New Roman"/>
        </w:rPr>
        <w:t xml:space="preserve"> </w:t>
      </w:r>
      <w:r>
        <w:rPr>
          <w:rFonts w:ascii="Times New Roman" w:hAnsi="Times New Roman"/>
          <w:b/>
          <w:bCs/>
        </w:rPr>
        <w:t>蛋白互作网络图</w:t>
      </w:r>
    </w:p>
    <w:p w:rsidR="00C4690C" w:rsidRDefault="00C4690C" w:rsidP="00C4690C">
      <w:pPr>
        <w:wordWrap w:val="0"/>
        <w:ind w:firstLineChars="1700" w:firstLine="3584"/>
        <w:rPr>
          <w:b/>
          <w:bCs/>
        </w:rPr>
      </w:pPr>
    </w:p>
    <w:p w:rsidR="00C4690C" w:rsidRDefault="00C4690C" w:rsidP="00C4690C">
      <w:pPr>
        <w:wordWrap w:val="0"/>
        <w:ind w:firstLineChars="200" w:firstLine="422"/>
        <w:jc w:val="center"/>
        <w:rPr>
          <w:b/>
          <w:bCs/>
        </w:rPr>
      </w:pPr>
      <w:r>
        <w:rPr>
          <w:b/>
          <w:bCs/>
          <w:noProof/>
        </w:rPr>
        <w:drawing>
          <wp:inline distT="0" distB="0" distL="0" distR="0">
            <wp:extent cx="3124835" cy="2639695"/>
            <wp:effectExtent l="0" t="0" r="0" b="8255"/>
            <wp:docPr id="4" name="图片 4" descr="string_interactions_short.t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string_interactions_short.tsv"/>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24835" cy="2639695"/>
                    </a:xfrm>
                    <a:prstGeom prst="rect">
                      <a:avLst/>
                    </a:prstGeom>
                    <a:noFill/>
                    <a:ln>
                      <a:noFill/>
                    </a:ln>
                    <a:effectLst/>
                  </pic:spPr>
                </pic:pic>
              </a:graphicData>
            </a:graphic>
          </wp:inline>
        </w:drawing>
      </w:r>
    </w:p>
    <w:p w:rsidR="00C4690C" w:rsidRDefault="00C4690C" w:rsidP="00C4690C">
      <w:pPr>
        <w:pStyle w:val="af"/>
        <w:ind w:firstLineChars="200" w:firstLine="400"/>
        <w:jc w:val="center"/>
        <w:rPr>
          <w:rFonts w:ascii="Times New Roman" w:hAnsi="Times New Roman"/>
          <w:sz w:val="24"/>
          <w:szCs w:val="24"/>
        </w:rPr>
      </w:pPr>
      <w:r>
        <w:rPr>
          <w:rFonts w:ascii="Times New Roman" w:hAnsi="Times New Roman"/>
        </w:rPr>
        <w:t>图</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w:instrText>
      </w:r>
      <w:r>
        <w:rPr>
          <w:rFonts w:ascii="Times New Roman" w:hAnsi="Times New Roman"/>
        </w:rPr>
        <w:instrText>图</w:instrText>
      </w:r>
      <w:r>
        <w:rPr>
          <w:rFonts w:ascii="Times New Roman" w:hAnsi="Times New Roman"/>
        </w:rPr>
        <w:instrText xml:space="preserve"> \* ARABIC </w:instrText>
      </w:r>
      <w:r>
        <w:rPr>
          <w:rFonts w:ascii="Times New Roman" w:hAnsi="Times New Roman"/>
        </w:rPr>
        <w:fldChar w:fldCharType="separate"/>
      </w:r>
      <w:r>
        <w:rPr>
          <w:rFonts w:ascii="Times New Roman" w:hAnsi="Times New Roman"/>
          <w:noProof/>
        </w:rPr>
        <w:t>7</w:t>
      </w:r>
      <w:r>
        <w:rPr>
          <w:rFonts w:ascii="Times New Roman" w:hAnsi="Times New Roman"/>
        </w:rPr>
        <w:fldChar w:fldCharType="end"/>
      </w:r>
      <w:r>
        <w:rPr>
          <w:rFonts w:ascii="Times New Roman" w:hAnsi="Times New Roman"/>
        </w:rPr>
        <w:t xml:space="preserve"> </w:t>
      </w:r>
      <w:r>
        <w:rPr>
          <w:rFonts w:ascii="Times New Roman" w:hAnsi="Times New Roman"/>
          <w:sz w:val="24"/>
          <w:szCs w:val="24"/>
        </w:rPr>
        <w:t>PPI</w:t>
      </w:r>
      <w:r>
        <w:rPr>
          <w:rFonts w:ascii="Times New Roman" w:hAnsi="Times New Roman"/>
          <w:sz w:val="24"/>
          <w:szCs w:val="24"/>
        </w:rPr>
        <w:t>网络拓扑图</w:t>
      </w:r>
    </w:p>
    <w:p w:rsidR="00C4690C" w:rsidRDefault="00C4690C" w:rsidP="00C4690C">
      <w:pPr>
        <w:ind w:firstLineChars="200" w:firstLine="480"/>
        <w:jc w:val="center"/>
        <w:rPr>
          <w:sz w:val="24"/>
        </w:rPr>
      </w:pPr>
    </w:p>
    <w:p w:rsidR="00C4690C" w:rsidRDefault="00C4690C" w:rsidP="00C4690C">
      <w:pPr>
        <w:pStyle w:val="af"/>
        <w:ind w:firstLineChars="200" w:firstLine="400"/>
        <w:jc w:val="center"/>
        <w:rPr>
          <w:rFonts w:ascii="Times New Roman" w:hAnsi="Times New Roman"/>
          <w:sz w:val="24"/>
          <w:szCs w:val="24"/>
        </w:rPr>
      </w:pPr>
      <w:r>
        <w:rPr>
          <w:rFonts w:ascii="Times New Roman" w:hAnsi="Times New Roman"/>
        </w:rPr>
        <w:t>表</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w:instrText>
      </w:r>
      <w:r>
        <w:rPr>
          <w:rFonts w:ascii="Times New Roman" w:hAnsi="Times New Roman"/>
        </w:rPr>
        <w:instrText>表</w:instrText>
      </w:r>
      <w:r>
        <w:rPr>
          <w:rFonts w:ascii="Times New Roman" w:hAnsi="Times New Roman"/>
        </w:rPr>
        <w:instrText xml:space="preserve"> \* ARABIC </w:instrText>
      </w:r>
      <w:r>
        <w:rPr>
          <w:rFonts w:ascii="Times New Roman" w:hAnsi="Times New Roman"/>
        </w:rPr>
        <w:fldChar w:fldCharType="separate"/>
      </w:r>
      <w:r>
        <w:rPr>
          <w:rFonts w:ascii="Times New Roman" w:hAnsi="Times New Roman"/>
          <w:noProof/>
        </w:rPr>
        <w:t>8</w:t>
      </w:r>
      <w:r>
        <w:rPr>
          <w:rFonts w:ascii="Times New Roman" w:hAnsi="Times New Roman"/>
        </w:rPr>
        <w:fldChar w:fldCharType="end"/>
      </w:r>
      <w:r>
        <w:rPr>
          <w:rFonts w:ascii="Times New Roman" w:hAnsi="Times New Roman"/>
        </w:rPr>
        <w:t xml:space="preserve"> </w:t>
      </w:r>
      <w:r>
        <w:rPr>
          <w:rFonts w:ascii="Times New Roman" w:hAnsi="Times New Roman"/>
          <w:sz w:val="24"/>
          <w:szCs w:val="24"/>
        </w:rPr>
        <w:t>治疗靶点及其对应的度值</w:t>
      </w:r>
    </w:p>
    <w:tbl>
      <w:tblPr>
        <w:tblStyle w:val="aff1"/>
        <w:tblW w:w="0" w:type="auto"/>
        <w:jc w:val="center"/>
        <w:tblLook w:val="0000" w:firstRow="0" w:lastRow="0" w:firstColumn="0" w:lastColumn="0" w:noHBand="0" w:noVBand="0"/>
      </w:tblPr>
      <w:tblGrid>
        <w:gridCol w:w="1381"/>
        <w:gridCol w:w="1710"/>
        <w:gridCol w:w="1560"/>
      </w:tblGrid>
      <w:tr w:rsidR="00C4690C" w:rsidTr="00B2076E">
        <w:trPr>
          <w:tblHeader/>
          <w:jc w:val="center"/>
        </w:trPr>
        <w:tc>
          <w:tcPr>
            <w:tcW w:w="1381" w:type="dxa"/>
            <w:shd w:val="clear" w:color="auto" w:fill="95B3D7"/>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NO.</w:t>
            </w:r>
          </w:p>
        </w:tc>
        <w:tc>
          <w:tcPr>
            <w:tcW w:w="1710" w:type="dxa"/>
            <w:shd w:val="clear" w:color="auto" w:fill="95B3D7"/>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name</w:t>
            </w:r>
          </w:p>
        </w:tc>
        <w:tc>
          <w:tcPr>
            <w:tcW w:w="1560" w:type="dxa"/>
            <w:shd w:val="clear" w:color="auto" w:fill="95B3D7"/>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Degree</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1</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TP53</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32</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2</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MAPK3</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30</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3</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AKT1</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30</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4</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EGFR</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27</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5</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HIF1A</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27</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6</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NFKB1</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26</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7</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MMP9</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24</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8</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PPARG</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23</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9</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HSPA5</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21</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10</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MAPK8</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21</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11</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ACE</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20</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12</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MAPK1</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20</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lastRenderedPageBreak/>
              <w:t>13</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MMP2</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20</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14</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APP</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20</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15</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TLR2</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18</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16</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NFE2L2</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18</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17</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PPARA</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17</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18</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PLG</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17</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19</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HSPA8</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17</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20</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HSPB1</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16</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21</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MPO</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15</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22</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MAPK14</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15</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23</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RPS6KB1</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15</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24</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HDAC6</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13</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25</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TLR9</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12</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26</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PIK3CG</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10</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27</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ELANE</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10</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28</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HSF1</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10</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29</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LMNA</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9</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30</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CYP3A4</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8</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31</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MIF</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8</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32</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TEK</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8</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33</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F2</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6</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34</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PLK1</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4</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35</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AVPR2</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3</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36</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CAMK2G</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3</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37</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FABP3</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2</w:t>
            </w:r>
          </w:p>
        </w:tc>
      </w:tr>
      <w:tr w:rsidR="00C4690C" w:rsidTr="00B2076E">
        <w:trPr>
          <w:jc w:val="center"/>
        </w:trPr>
        <w:tc>
          <w:tcPr>
            <w:tcW w:w="1381" w:type="dxa"/>
            <w:vAlign w:val="center"/>
          </w:tcPr>
          <w:p w:rsidR="00C4690C" w:rsidRDefault="00C4690C" w:rsidP="00B2076E">
            <w:pPr>
              <w:widowControl/>
              <w:jc w:val="center"/>
              <w:textAlignment w:val="center"/>
              <w:rPr>
                <w:rFonts w:ascii="Times New Roman" w:hAnsi="Times New Roman"/>
              </w:rPr>
            </w:pPr>
            <w:r>
              <w:rPr>
                <w:rFonts w:ascii="Times New Roman" w:hAnsi="Times New Roman"/>
                <w:color w:val="000000"/>
                <w:kern w:val="0"/>
                <w:sz w:val="22"/>
                <w:szCs w:val="22"/>
                <w:lang w:bidi="ar"/>
              </w:rPr>
              <w:t>38</w:t>
            </w:r>
          </w:p>
        </w:tc>
        <w:tc>
          <w:tcPr>
            <w:tcW w:w="1710" w:type="dxa"/>
            <w:vAlign w:val="center"/>
          </w:tcPr>
          <w:p w:rsidR="00C4690C" w:rsidRDefault="00C4690C" w:rsidP="00B2076E">
            <w:pPr>
              <w:widowControl/>
              <w:jc w:val="left"/>
              <w:textAlignment w:val="center"/>
              <w:rPr>
                <w:rFonts w:ascii="Times New Roman" w:hAnsi="Times New Roman"/>
              </w:rPr>
            </w:pPr>
            <w:r>
              <w:rPr>
                <w:rFonts w:ascii="Times New Roman" w:hAnsi="Times New Roman"/>
                <w:color w:val="000000"/>
                <w:kern w:val="0"/>
                <w:sz w:val="22"/>
                <w:szCs w:val="22"/>
                <w:lang w:bidi="ar"/>
              </w:rPr>
              <w:t>ABCC2</w:t>
            </w:r>
          </w:p>
        </w:tc>
        <w:tc>
          <w:tcPr>
            <w:tcW w:w="1560" w:type="dxa"/>
            <w:vAlign w:val="center"/>
          </w:tcPr>
          <w:p w:rsidR="00C4690C" w:rsidRDefault="00C4690C" w:rsidP="00B2076E">
            <w:pPr>
              <w:widowControl/>
              <w:jc w:val="right"/>
              <w:textAlignment w:val="center"/>
              <w:rPr>
                <w:rFonts w:ascii="Times New Roman" w:hAnsi="Times New Roman"/>
              </w:rPr>
            </w:pPr>
            <w:r>
              <w:rPr>
                <w:rFonts w:ascii="Times New Roman" w:hAnsi="Times New Roman"/>
                <w:color w:val="000000"/>
                <w:kern w:val="0"/>
                <w:sz w:val="22"/>
                <w:szCs w:val="22"/>
                <w:lang w:bidi="ar"/>
              </w:rPr>
              <w:t>1</w:t>
            </w:r>
          </w:p>
        </w:tc>
      </w:tr>
    </w:tbl>
    <w:p w:rsidR="00C4690C" w:rsidRDefault="00C4690C" w:rsidP="00C4690C">
      <w:pPr>
        <w:ind w:firstLineChars="200" w:firstLine="420"/>
        <w:jc w:val="center"/>
      </w:pPr>
    </w:p>
    <w:p w:rsidR="00C4690C" w:rsidRDefault="00C4690C" w:rsidP="00C4690C">
      <w:pPr>
        <w:ind w:firstLineChars="200" w:firstLine="420"/>
      </w:pPr>
    </w:p>
    <w:p w:rsidR="00C4690C" w:rsidRDefault="00C4690C" w:rsidP="00C4690C">
      <w:pPr>
        <w:rPr>
          <w:b/>
          <w:bCs/>
          <w:sz w:val="24"/>
        </w:rPr>
      </w:pPr>
    </w:p>
    <w:p w:rsidR="00C4690C" w:rsidRDefault="00C4690C" w:rsidP="00C4690C">
      <w:pPr>
        <w:spacing w:line="360" w:lineRule="auto"/>
        <w:rPr>
          <w:sz w:val="24"/>
        </w:rPr>
      </w:pPr>
      <w:r>
        <w:rPr>
          <w:sz w:val="24"/>
        </w:rPr>
        <w:t>（</w:t>
      </w:r>
      <w:r>
        <w:rPr>
          <w:sz w:val="24"/>
        </w:rPr>
        <w:t>3</w:t>
      </w:r>
      <w:r>
        <w:rPr>
          <w:sz w:val="24"/>
        </w:rPr>
        <w:t>）入血成分</w:t>
      </w:r>
      <w:r>
        <w:rPr>
          <w:sz w:val="24"/>
        </w:rPr>
        <w:t>-</w:t>
      </w:r>
      <w:r>
        <w:rPr>
          <w:sz w:val="24"/>
        </w:rPr>
        <w:t>治疗靶点网络图</w:t>
      </w:r>
    </w:p>
    <w:p w:rsidR="00C4690C" w:rsidRDefault="00C4690C" w:rsidP="00C4690C">
      <w:pPr>
        <w:spacing w:line="360" w:lineRule="auto"/>
        <w:ind w:firstLineChars="200" w:firstLine="480"/>
        <w:rPr>
          <w:sz w:val="24"/>
        </w:rPr>
      </w:pPr>
      <w:r>
        <w:rPr>
          <w:sz w:val="24"/>
        </w:rPr>
        <w:t>将重症心</w:t>
      </w:r>
      <w:proofErr w:type="gramStart"/>
      <w:r>
        <w:rPr>
          <w:sz w:val="24"/>
        </w:rPr>
        <w:t>痹</w:t>
      </w:r>
      <w:proofErr w:type="gramEnd"/>
      <w:r>
        <w:rPr>
          <w:sz w:val="24"/>
        </w:rPr>
        <w:t>方的入血成分及治疗靶点导入</w:t>
      </w:r>
      <w:r>
        <w:rPr>
          <w:sz w:val="24"/>
        </w:rPr>
        <w:t>Cytoscape3.9.1</w:t>
      </w:r>
      <w:r>
        <w:rPr>
          <w:sz w:val="24"/>
        </w:rPr>
        <w:t>软件，构建</w:t>
      </w:r>
      <w:r>
        <w:rPr>
          <w:rFonts w:hint="eastAsia"/>
          <w:sz w:val="24"/>
        </w:rPr>
        <w:t>“</w:t>
      </w:r>
      <w:r>
        <w:rPr>
          <w:sz w:val="24"/>
        </w:rPr>
        <w:t>入血成分</w:t>
      </w:r>
      <w:r>
        <w:rPr>
          <w:sz w:val="24"/>
        </w:rPr>
        <w:t>-</w:t>
      </w:r>
      <w:r>
        <w:rPr>
          <w:sz w:val="24"/>
        </w:rPr>
        <w:t>治疗靶点</w:t>
      </w:r>
      <w:r>
        <w:rPr>
          <w:rFonts w:hint="eastAsia"/>
          <w:sz w:val="24"/>
        </w:rPr>
        <w:t>”</w:t>
      </w:r>
      <w:r>
        <w:rPr>
          <w:sz w:val="24"/>
        </w:rPr>
        <w:t>可视化网络。基因本体（</w:t>
      </w:r>
      <w:r>
        <w:rPr>
          <w:sz w:val="24"/>
        </w:rPr>
        <w:t>GO</w:t>
      </w:r>
      <w:r>
        <w:rPr>
          <w:sz w:val="24"/>
        </w:rPr>
        <w:t>）富集与京都基因和基因组百科全书（</w:t>
      </w:r>
      <w:r>
        <w:rPr>
          <w:sz w:val="24"/>
        </w:rPr>
        <w:t>KEGG</w:t>
      </w:r>
      <w:r>
        <w:rPr>
          <w:sz w:val="24"/>
        </w:rPr>
        <w:t>）通路分析。运用</w:t>
      </w:r>
      <w:r>
        <w:rPr>
          <w:sz w:val="24"/>
        </w:rPr>
        <w:t>R</w:t>
      </w:r>
      <w:r>
        <w:rPr>
          <w:sz w:val="24"/>
        </w:rPr>
        <w:t>语言软件包对</w:t>
      </w:r>
      <w:r>
        <w:rPr>
          <w:sz w:val="24"/>
        </w:rPr>
        <w:t>38</w:t>
      </w:r>
      <w:r>
        <w:rPr>
          <w:sz w:val="24"/>
        </w:rPr>
        <w:t>个重叠靶点基因进行</w:t>
      </w:r>
      <w:r>
        <w:rPr>
          <w:sz w:val="24"/>
        </w:rPr>
        <w:t>GO</w:t>
      </w:r>
      <w:r>
        <w:rPr>
          <w:sz w:val="24"/>
        </w:rPr>
        <w:t>功能富集分析和</w:t>
      </w:r>
      <w:r>
        <w:rPr>
          <w:sz w:val="24"/>
        </w:rPr>
        <w:t>KEGG</w:t>
      </w:r>
      <w:r>
        <w:rPr>
          <w:sz w:val="24"/>
        </w:rPr>
        <w:t>富集分析。从</w:t>
      </w:r>
      <w:r>
        <w:rPr>
          <w:sz w:val="24"/>
        </w:rPr>
        <w:t>3</w:t>
      </w:r>
      <w:r>
        <w:rPr>
          <w:sz w:val="24"/>
        </w:rPr>
        <w:t>个方面描述</w:t>
      </w:r>
      <w:r>
        <w:rPr>
          <w:sz w:val="24"/>
        </w:rPr>
        <w:t>38</w:t>
      </w:r>
      <w:r>
        <w:rPr>
          <w:sz w:val="24"/>
        </w:rPr>
        <w:t>个靶点的生物学功能：生物过程（</w:t>
      </w:r>
      <w:r>
        <w:rPr>
          <w:sz w:val="24"/>
        </w:rPr>
        <w:t>biological process</w:t>
      </w:r>
      <w:r>
        <w:rPr>
          <w:sz w:val="24"/>
        </w:rPr>
        <w:t>，</w:t>
      </w:r>
      <w:r>
        <w:rPr>
          <w:sz w:val="24"/>
        </w:rPr>
        <w:t>BP</w:t>
      </w:r>
      <w:r>
        <w:rPr>
          <w:sz w:val="24"/>
        </w:rPr>
        <w:t>）、细胞组成（</w:t>
      </w:r>
      <w:r>
        <w:rPr>
          <w:sz w:val="24"/>
        </w:rPr>
        <w:t>cellular component</w:t>
      </w:r>
      <w:r>
        <w:rPr>
          <w:sz w:val="24"/>
        </w:rPr>
        <w:t>，</w:t>
      </w:r>
      <w:r>
        <w:rPr>
          <w:sz w:val="24"/>
        </w:rPr>
        <w:t>CC</w:t>
      </w:r>
      <w:r>
        <w:rPr>
          <w:sz w:val="24"/>
        </w:rPr>
        <w:t>）和分子功能（</w:t>
      </w:r>
      <w:r>
        <w:rPr>
          <w:sz w:val="24"/>
        </w:rPr>
        <w:t>Molecular function</w:t>
      </w:r>
      <w:r>
        <w:rPr>
          <w:sz w:val="24"/>
        </w:rPr>
        <w:t>，</w:t>
      </w:r>
      <w:r>
        <w:rPr>
          <w:sz w:val="24"/>
        </w:rPr>
        <w:t>MF</w:t>
      </w:r>
      <w:r>
        <w:rPr>
          <w:sz w:val="24"/>
        </w:rPr>
        <w:t>）。</w:t>
      </w:r>
      <w:r>
        <w:rPr>
          <w:sz w:val="24"/>
        </w:rPr>
        <w:t>GO</w:t>
      </w:r>
      <w:r>
        <w:rPr>
          <w:sz w:val="24"/>
        </w:rPr>
        <w:t>功能列出富集结果前</w:t>
      </w:r>
      <w:r>
        <w:rPr>
          <w:sz w:val="24"/>
        </w:rPr>
        <w:t>10</w:t>
      </w:r>
      <w:r>
        <w:rPr>
          <w:sz w:val="24"/>
        </w:rPr>
        <w:t>的条目，</w:t>
      </w:r>
      <w:r>
        <w:rPr>
          <w:sz w:val="24"/>
        </w:rPr>
        <w:t>BP</w:t>
      </w:r>
      <w:r>
        <w:rPr>
          <w:sz w:val="24"/>
        </w:rPr>
        <w:t>主要涉及心脏收缩、心脏过程、血液循环调节、肌肉系统过程、心肌组织发育、心肌收缩、横纹肌组织发育、心脏收缩的调节、横纹肌收缩、肌肉组织发育。</w:t>
      </w:r>
      <w:r>
        <w:rPr>
          <w:sz w:val="24"/>
        </w:rPr>
        <w:t>CC</w:t>
      </w:r>
      <w:r>
        <w:rPr>
          <w:sz w:val="24"/>
        </w:rPr>
        <w:t>主要在肌</w:t>
      </w:r>
      <w:r>
        <w:rPr>
          <w:sz w:val="24"/>
        </w:rPr>
        <w:lastRenderedPageBreak/>
        <w:t>小节、肌原纤维、收缩纤维、</w:t>
      </w:r>
      <w:r>
        <w:rPr>
          <w:sz w:val="24"/>
        </w:rPr>
        <w:t>Z</w:t>
      </w:r>
      <w:r>
        <w:rPr>
          <w:sz w:val="24"/>
        </w:rPr>
        <w:t>膜、</w:t>
      </w:r>
      <w:r>
        <w:rPr>
          <w:sz w:val="24"/>
        </w:rPr>
        <w:t>I</w:t>
      </w:r>
      <w:r>
        <w:rPr>
          <w:sz w:val="24"/>
        </w:rPr>
        <w:t>带、闰盘、细胞</w:t>
      </w:r>
      <w:r>
        <w:rPr>
          <w:sz w:val="24"/>
        </w:rPr>
        <w:t>-</w:t>
      </w:r>
      <w:r>
        <w:rPr>
          <w:sz w:val="24"/>
        </w:rPr>
        <w:t>细胞接触区、阳离子通道复合体、离子通道复合体、内质网腔。</w:t>
      </w:r>
      <w:r>
        <w:rPr>
          <w:sz w:val="24"/>
        </w:rPr>
        <w:t>MF</w:t>
      </w:r>
      <w:r>
        <w:rPr>
          <w:sz w:val="24"/>
        </w:rPr>
        <w:t>主要集中在</w:t>
      </w:r>
      <w:r>
        <w:rPr>
          <w:sz w:val="24"/>
        </w:rPr>
        <w:t>CaM</w:t>
      </w:r>
      <w:r>
        <w:rPr>
          <w:sz w:val="24"/>
        </w:rPr>
        <w:t>结合、受体配体活性、信号受体活化活性、支架蛋白结合、赋予弹性的结构分子活性、生长因子活性、通道活性、被动跨膜转运活性、胰岛素样生长因子受体结合、电压</w:t>
      </w:r>
      <w:proofErr w:type="gramStart"/>
      <w:r>
        <w:rPr>
          <w:sz w:val="24"/>
        </w:rPr>
        <w:t>门控钾通道</w:t>
      </w:r>
      <w:proofErr w:type="gramEnd"/>
      <w:r>
        <w:rPr>
          <w:sz w:val="24"/>
        </w:rPr>
        <w:t>活性参与心肌细胞动作电位复极化。图</w:t>
      </w:r>
      <w:r>
        <w:rPr>
          <w:sz w:val="24"/>
        </w:rPr>
        <w:t>8</w:t>
      </w:r>
      <w:r>
        <w:rPr>
          <w:rFonts w:hint="eastAsia"/>
          <w:sz w:val="24"/>
        </w:rPr>
        <w:t>。</w:t>
      </w:r>
    </w:p>
    <w:p w:rsidR="00C4690C" w:rsidRDefault="00C4690C" w:rsidP="00C4690C">
      <w:pPr>
        <w:wordWrap w:val="0"/>
        <w:ind w:firstLineChars="200" w:firstLine="482"/>
        <w:jc w:val="center"/>
        <w:rPr>
          <w:b/>
          <w:bCs/>
          <w:sz w:val="24"/>
        </w:rPr>
      </w:pPr>
      <w:r>
        <w:rPr>
          <w:b/>
          <w:bCs/>
          <w:noProof/>
          <w:sz w:val="24"/>
        </w:rPr>
        <w:drawing>
          <wp:inline distT="0" distB="0" distL="0" distR="0">
            <wp:extent cx="4667250" cy="7005320"/>
            <wp:effectExtent l="0" t="0" r="0" b="5080"/>
            <wp:docPr id="3" name="图片 3" descr="go_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go_cc"/>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67250" cy="7005320"/>
                    </a:xfrm>
                    <a:prstGeom prst="rect">
                      <a:avLst/>
                    </a:prstGeom>
                    <a:noFill/>
                    <a:ln>
                      <a:noFill/>
                    </a:ln>
                    <a:effectLst/>
                  </pic:spPr>
                </pic:pic>
              </a:graphicData>
            </a:graphic>
          </wp:inline>
        </w:drawing>
      </w:r>
    </w:p>
    <w:p w:rsidR="00C4690C" w:rsidRDefault="00C4690C" w:rsidP="00C4690C">
      <w:pPr>
        <w:wordWrap w:val="0"/>
        <w:ind w:firstLineChars="200" w:firstLine="420"/>
        <w:jc w:val="center"/>
        <w:rPr>
          <w:sz w:val="24"/>
        </w:rPr>
      </w:pPr>
      <w:r>
        <w:t>图</w:t>
      </w:r>
      <w:r>
        <w:t xml:space="preserve"> </w:t>
      </w:r>
      <w:r>
        <w:fldChar w:fldCharType="begin"/>
      </w:r>
      <w:r>
        <w:instrText xml:space="preserve"> SEQ </w:instrText>
      </w:r>
      <w:r>
        <w:instrText>图</w:instrText>
      </w:r>
      <w:r>
        <w:instrText xml:space="preserve"> \* ARABIC </w:instrText>
      </w:r>
      <w:r>
        <w:fldChar w:fldCharType="separate"/>
      </w:r>
      <w:r>
        <w:rPr>
          <w:noProof/>
        </w:rPr>
        <w:t>8</w:t>
      </w:r>
      <w:r>
        <w:fldChar w:fldCharType="end"/>
      </w:r>
      <w:r>
        <w:t xml:space="preserve"> </w:t>
      </w:r>
      <w:r>
        <w:rPr>
          <w:sz w:val="24"/>
        </w:rPr>
        <w:t>前</w:t>
      </w:r>
      <w:r>
        <w:rPr>
          <w:sz w:val="24"/>
        </w:rPr>
        <w:t>10GO</w:t>
      </w:r>
      <w:r>
        <w:rPr>
          <w:sz w:val="24"/>
        </w:rPr>
        <w:t>富集条形图</w:t>
      </w:r>
    </w:p>
    <w:p w:rsidR="00C4690C" w:rsidRDefault="00C4690C" w:rsidP="00C4690C">
      <w:pPr>
        <w:pStyle w:val="af"/>
        <w:wordWrap w:val="0"/>
        <w:ind w:firstLineChars="200" w:firstLine="480"/>
        <w:jc w:val="center"/>
        <w:rPr>
          <w:rFonts w:ascii="Times New Roman" w:hAnsi="Times New Roman"/>
          <w:sz w:val="24"/>
          <w:szCs w:val="24"/>
        </w:rPr>
      </w:pPr>
    </w:p>
    <w:p w:rsidR="00C4690C" w:rsidRDefault="00C4690C" w:rsidP="00C4690C">
      <w:pPr>
        <w:spacing w:line="360" w:lineRule="auto"/>
        <w:ind w:firstLineChars="200" w:firstLine="480"/>
        <w:rPr>
          <w:sz w:val="24"/>
        </w:rPr>
      </w:pPr>
      <w:r>
        <w:rPr>
          <w:sz w:val="24"/>
        </w:rPr>
        <w:t>KEGG</w:t>
      </w:r>
      <w:r>
        <w:rPr>
          <w:sz w:val="24"/>
        </w:rPr>
        <w:t>通路富集分析筛选出</w:t>
      </w:r>
      <w:r>
        <w:rPr>
          <w:sz w:val="24"/>
        </w:rPr>
        <w:t>84</w:t>
      </w:r>
      <w:r>
        <w:rPr>
          <w:sz w:val="24"/>
        </w:rPr>
        <w:t>条相关的信号传导通路（</w:t>
      </w:r>
      <w:r>
        <w:rPr>
          <w:sz w:val="24"/>
        </w:rPr>
        <w:t>P</w:t>
      </w:r>
      <w:r>
        <w:rPr>
          <w:rFonts w:hint="eastAsia"/>
          <w:sz w:val="24"/>
        </w:rPr>
        <w:t>＜</w:t>
      </w:r>
      <w:r>
        <w:rPr>
          <w:sz w:val="24"/>
        </w:rPr>
        <w:t>0.01</w:t>
      </w:r>
      <w:r>
        <w:rPr>
          <w:sz w:val="24"/>
        </w:rPr>
        <w:t>），将富集程度排名前</w:t>
      </w:r>
      <w:r>
        <w:rPr>
          <w:sz w:val="24"/>
        </w:rPr>
        <w:t>20</w:t>
      </w:r>
      <w:r>
        <w:rPr>
          <w:sz w:val="24"/>
        </w:rPr>
        <w:t>的通路制作条形图，如图所示，前</w:t>
      </w:r>
      <w:r>
        <w:rPr>
          <w:sz w:val="24"/>
        </w:rPr>
        <w:t>20</w:t>
      </w:r>
      <w:r>
        <w:rPr>
          <w:sz w:val="24"/>
        </w:rPr>
        <w:t>条通路包括肥大性心肌病、充血性心肌病、心肌细胞中的肾上腺素能信号、糖尿病并发症中的</w:t>
      </w:r>
      <w:r>
        <w:rPr>
          <w:sz w:val="24"/>
        </w:rPr>
        <w:t>AGE - RAGE</w:t>
      </w:r>
      <w:r>
        <w:rPr>
          <w:sz w:val="24"/>
        </w:rPr>
        <w:t>信号通路、疟疾、肾素分泌、</w:t>
      </w:r>
      <w:proofErr w:type="gramStart"/>
      <w:r>
        <w:rPr>
          <w:sz w:val="24"/>
        </w:rPr>
        <w:t>恰加斯</w:t>
      </w:r>
      <w:proofErr w:type="gramEnd"/>
      <w:r>
        <w:rPr>
          <w:sz w:val="24"/>
        </w:rPr>
        <w:t>病、</w:t>
      </w:r>
      <w:r>
        <w:rPr>
          <w:sz w:val="24"/>
        </w:rPr>
        <w:t>CGMP - PKG</w:t>
      </w:r>
      <w:r>
        <w:rPr>
          <w:sz w:val="24"/>
        </w:rPr>
        <w:t>信号通路、糖尿病心肌病、癌症中的蛋白聚糖、流体剪切力与动脉粥样硬化、</w:t>
      </w:r>
      <w:r>
        <w:rPr>
          <w:sz w:val="24"/>
        </w:rPr>
        <w:t>HIF-1</w:t>
      </w:r>
      <w:r>
        <w:rPr>
          <w:sz w:val="24"/>
        </w:rPr>
        <w:t>信号通路、心肌收缩、致心律失常性右室心肌病、非洲锥虫病、炎症性肠病、阿米巴病、脂质和动脉粥样硬化、</w:t>
      </w:r>
      <w:r>
        <w:rPr>
          <w:sz w:val="24"/>
        </w:rPr>
        <w:t>Apelin</w:t>
      </w:r>
      <w:r>
        <w:rPr>
          <w:sz w:val="24"/>
        </w:rPr>
        <w:t>信号通路、胰岛素抵抗。这提示潜在靶点可能参与调控</w:t>
      </w:r>
      <w:r>
        <w:rPr>
          <w:sz w:val="24"/>
        </w:rPr>
        <w:t>AGE - RAGE</w:t>
      </w:r>
      <w:r>
        <w:rPr>
          <w:sz w:val="24"/>
        </w:rPr>
        <w:t>信号通路、</w:t>
      </w:r>
      <w:r>
        <w:rPr>
          <w:sz w:val="24"/>
        </w:rPr>
        <w:t>CGMP - PKG</w:t>
      </w:r>
      <w:r>
        <w:rPr>
          <w:sz w:val="24"/>
        </w:rPr>
        <w:t>信号通路、</w:t>
      </w:r>
      <w:r>
        <w:rPr>
          <w:sz w:val="24"/>
        </w:rPr>
        <w:t>HIF-1</w:t>
      </w:r>
      <w:r>
        <w:rPr>
          <w:sz w:val="24"/>
        </w:rPr>
        <w:t>信号通路、</w:t>
      </w:r>
      <w:r>
        <w:rPr>
          <w:sz w:val="24"/>
        </w:rPr>
        <w:t>Apelin</w:t>
      </w:r>
      <w:r>
        <w:rPr>
          <w:sz w:val="24"/>
        </w:rPr>
        <w:t>信号通路及病毒、细菌及传染性疾病相关的通路。图</w:t>
      </w:r>
      <w:r>
        <w:rPr>
          <w:sz w:val="24"/>
        </w:rPr>
        <w:t>9</w:t>
      </w:r>
      <w:r>
        <w:rPr>
          <w:rFonts w:hint="eastAsia"/>
          <w:sz w:val="24"/>
        </w:rPr>
        <w:t>、</w:t>
      </w:r>
      <w:r>
        <w:rPr>
          <w:sz w:val="24"/>
        </w:rPr>
        <w:t>表</w:t>
      </w:r>
      <w:r>
        <w:rPr>
          <w:sz w:val="24"/>
        </w:rPr>
        <w:t>9</w:t>
      </w:r>
      <w:r>
        <w:rPr>
          <w:rFonts w:hint="eastAsia"/>
          <w:sz w:val="24"/>
        </w:rPr>
        <w:t>。</w:t>
      </w:r>
    </w:p>
    <w:p w:rsidR="00C4690C" w:rsidRDefault="00C4690C" w:rsidP="00C4690C">
      <w:pPr>
        <w:jc w:val="center"/>
        <w:rPr>
          <w:sz w:val="24"/>
        </w:rPr>
      </w:pPr>
    </w:p>
    <w:p w:rsidR="00C4690C" w:rsidRDefault="00C4690C" w:rsidP="00C4690C">
      <w:pPr>
        <w:jc w:val="center"/>
        <w:rPr>
          <w:sz w:val="24"/>
        </w:rPr>
      </w:pPr>
      <w:r>
        <w:rPr>
          <w:noProof/>
          <w:sz w:val="24"/>
        </w:rPr>
        <w:drawing>
          <wp:inline distT="0" distB="0" distL="0" distR="0">
            <wp:extent cx="5534025" cy="5534025"/>
            <wp:effectExtent l="0" t="0" r="9525" b="9525"/>
            <wp:docPr id="1" name="图片 1" descr="KEGG气泡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KEGG气泡图"/>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34025" cy="5534025"/>
                    </a:xfrm>
                    <a:prstGeom prst="rect">
                      <a:avLst/>
                    </a:prstGeom>
                    <a:noFill/>
                    <a:ln>
                      <a:noFill/>
                    </a:ln>
                    <a:effectLst/>
                  </pic:spPr>
                </pic:pic>
              </a:graphicData>
            </a:graphic>
          </wp:inline>
        </w:drawing>
      </w:r>
    </w:p>
    <w:p w:rsidR="00C4690C" w:rsidRDefault="00C4690C" w:rsidP="00C4690C">
      <w:pPr>
        <w:jc w:val="center"/>
        <w:rPr>
          <w:sz w:val="24"/>
        </w:rPr>
      </w:pPr>
      <w:r>
        <w:t>图</w:t>
      </w:r>
      <w:r>
        <w:t xml:space="preserve"> </w:t>
      </w:r>
      <w:r>
        <w:fldChar w:fldCharType="begin"/>
      </w:r>
      <w:r>
        <w:instrText xml:space="preserve"> SEQ </w:instrText>
      </w:r>
      <w:r>
        <w:instrText>图</w:instrText>
      </w:r>
      <w:r>
        <w:instrText xml:space="preserve"> \* ARABIC </w:instrText>
      </w:r>
      <w:r>
        <w:fldChar w:fldCharType="separate"/>
      </w:r>
      <w:r>
        <w:rPr>
          <w:noProof/>
        </w:rPr>
        <w:t>9</w:t>
      </w:r>
      <w:r>
        <w:fldChar w:fldCharType="end"/>
      </w:r>
      <w:r>
        <w:t xml:space="preserve"> </w:t>
      </w:r>
      <w:r>
        <w:rPr>
          <w:sz w:val="24"/>
        </w:rPr>
        <w:t>KEGG</w:t>
      </w:r>
      <w:r>
        <w:rPr>
          <w:sz w:val="24"/>
        </w:rPr>
        <w:t>富集气泡图</w:t>
      </w:r>
    </w:p>
    <w:p w:rsidR="00C4690C" w:rsidRDefault="00C4690C" w:rsidP="00C4690C">
      <w:pPr>
        <w:pStyle w:val="af"/>
        <w:ind w:firstLine="480"/>
        <w:jc w:val="center"/>
        <w:rPr>
          <w:rFonts w:ascii="Times New Roman" w:hAnsi="Times New Roman"/>
          <w:sz w:val="24"/>
          <w:szCs w:val="24"/>
        </w:rPr>
      </w:pPr>
    </w:p>
    <w:p w:rsidR="00C4690C" w:rsidRDefault="00C4690C" w:rsidP="00C4690C">
      <w:pPr>
        <w:jc w:val="center"/>
        <w:rPr>
          <w:sz w:val="24"/>
        </w:rPr>
      </w:pPr>
    </w:p>
    <w:p w:rsidR="00C4690C" w:rsidRDefault="00C4690C" w:rsidP="00C4690C">
      <w:pPr>
        <w:pStyle w:val="af"/>
        <w:jc w:val="center"/>
        <w:rPr>
          <w:rFonts w:ascii="Times New Roman" w:hAnsi="Times New Roman"/>
          <w:sz w:val="24"/>
          <w:szCs w:val="24"/>
        </w:rPr>
      </w:pPr>
      <w:r>
        <w:rPr>
          <w:rFonts w:ascii="Times New Roman" w:hAnsi="Times New Roman"/>
        </w:rPr>
        <w:t>表</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w:instrText>
      </w:r>
      <w:r>
        <w:rPr>
          <w:rFonts w:ascii="Times New Roman" w:hAnsi="Times New Roman"/>
        </w:rPr>
        <w:instrText>表</w:instrText>
      </w:r>
      <w:r>
        <w:rPr>
          <w:rFonts w:ascii="Times New Roman" w:hAnsi="Times New Roman"/>
        </w:rPr>
        <w:instrText xml:space="preserve"> \* ARABIC </w:instrText>
      </w:r>
      <w:r>
        <w:rPr>
          <w:rFonts w:ascii="Times New Roman" w:hAnsi="Times New Roman"/>
        </w:rPr>
        <w:fldChar w:fldCharType="separate"/>
      </w:r>
      <w:r>
        <w:rPr>
          <w:rFonts w:ascii="Times New Roman" w:hAnsi="Times New Roman"/>
          <w:noProof/>
        </w:rPr>
        <w:t>9</w:t>
      </w:r>
      <w:r>
        <w:rPr>
          <w:rFonts w:ascii="Times New Roman" w:hAnsi="Times New Roman"/>
        </w:rPr>
        <w:fldChar w:fldCharType="end"/>
      </w:r>
      <w:r>
        <w:rPr>
          <w:rFonts w:ascii="Times New Roman" w:hAnsi="Times New Roman"/>
        </w:rPr>
        <w:t xml:space="preserve"> </w:t>
      </w:r>
      <w:r>
        <w:rPr>
          <w:rFonts w:ascii="Times New Roman" w:hAnsi="Times New Roman"/>
          <w:sz w:val="24"/>
          <w:szCs w:val="24"/>
        </w:rPr>
        <w:t>KEGG</w:t>
      </w:r>
      <w:r>
        <w:rPr>
          <w:rFonts w:ascii="Times New Roman" w:hAnsi="Times New Roman"/>
          <w:sz w:val="24"/>
          <w:szCs w:val="24"/>
        </w:rPr>
        <w:t>通路与其对应的治疗靶点</w:t>
      </w:r>
    </w:p>
    <w:tbl>
      <w:tblPr>
        <w:tblStyle w:val="aff1"/>
        <w:tblW w:w="9773" w:type="dxa"/>
        <w:jc w:val="center"/>
        <w:tblLayout w:type="fixed"/>
        <w:tblLook w:val="0000" w:firstRow="0" w:lastRow="0" w:firstColumn="0" w:lastColumn="0" w:noHBand="0" w:noVBand="0"/>
      </w:tblPr>
      <w:tblGrid>
        <w:gridCol w:w="2727"/>
        <w:gridCol w:w="7046"/>
      </w:tblGrid>
      <w:tr w:rsidR="00C4690C" w:rsidTr="00B2076E">
        <w:trPr>
          <w:tblHeader/>
          <w:jc w:val="center"/>
        </w:trPr>
        <w:tc>
          <w:tcPr>
            <w:tcW w:w="2727" w:type="dxa"/>
            <w:shd w:val="clear" w:color="auto" w:fill="95B3D7"/>
          </w:tcPr>
          <w:p w:rsidR="00C4690C" w:rsidRDefault="00C4690C" w:rsidP="00B2076E">
            <w:pPr>
              <w:jc w:val="center"/>
              <w:rPr>
                <w:rFonts w:ascii="Times New Roman" w:hAnsi="Times New Roman"/>
                <w:sz w:val="22"/>
                <w:szCs w:val="22"/>
              </w:rPr>
            </w:pPr>
            <w:r>
              <w:rPr>
                <w:rFonts w:ascii="Times New Roman" w:hAnsi="Times New Roman"/>
                <w:sz w:val="22"/>
                <w:szCs w:val="22"/>
              </w:rPr>
              <w:t>KEGG</w:t>
            </w:r>
            <w:r>
              <w:rPr>
                <w:rFonts w:ascii="Times New Roman" w:hAnsi="Times New Roman"/>
                <w:sz w:val="22"/>
                <w:szCs w:val="22"/>
              </w:rPr>
              <w:t>通路</w:t>
            </w:r>
          </w:p>
        </w:tc>
        <w:tc>
          <w:tcPr>
            <w:tcW w:w="7046" w:type="dxa"/>
            <w:shd w:val="clear" w:color="auto" w:fill="95B3D7"/>
          </w:tcPr>
          <w:p w:rsidR="00C4690C" w:rsidRDefault="00C4690C" w:rsidP="00B2076E">
            <w:pPr>
              <w:jc w:val="center"/>
              <w:rPr>
                <w:rFonts w:ascii="Times New Roman" w:hAnsi="Times New Roman"/>
                <w:sz w:val="22"/>
                <w:szCs w:val="22"/>
              </w:rPr>
            </w:pPr>
            <w:r>
              <w:rPr>
                <w:rFonts w:ascii="Times New Roman" w:hAnsi="Times New Roman"/>
                <w:sz w:val="22"/>
                <w:szCs w:val="22"/>
              </w:rPr>
              <w:t>治疗靶点</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sz w:val="22"/>
                <w:szCs w:val="22"/>
              </w:rPr>
            </w:pPr>
            <w:r>
              <w:rPr>
                <w:rFonts w:ascii="Times New Roman" w:hAnsi="Times New Roman"/>
                <w:color w:val="000000"/>
                <w:kern w:val="0"/>
                <w:szCs w:val="21"/>
                <w:lang w:bidi="ar"/>
              </w:rPr>
              <w:t>Hypertrophic cardiomyopathy</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TTN/ACE/IL6/MYH6/MYH7/TNF/PRKAG2/TNNT2/LMNA/TNNI3/RYR2/TGFB1/</w:t>
            </w:r>
          </w:p>
          <w:p w:rsidR="00C4690C" w:rsidRDefault="00C4690C" w:rsidP="00B2076E">
            <w:pPr>
              <w:widowControl/>
              <w:jc w:val="center"/>
              <w:textAlignment w:val="center"/>
              <w:rPr>
                <w:rFonts w:ascii="Times New Roman" w:hAnsi="Times New Roman"/>
                <w:color w:val="000000"/>
                <w:szCs w:val="21"/>
              </w:rPr>
            </w:pPr>
            <w:r>
              <w:rPr>
                <w:rFonts w:ascii="Times New Roman" w:hAnsi="Times New Roman"/>
                <w:color w:val="000000"/>
                <w:kern w:val="0"/>
                <w:szCs w:val="21"/>
                <w:lang w:bidi="ar"/>
              </w:rPr>
              <w:t>DMD/CACNA1C/MYBPC3/IGF1/AGT/DES/ACTC1/TPM1/TGFB3/MYL2/EDN1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Dilated cardiomyopathy</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TTN/MYH6/MYH7/TNF/TNNT2/LMNA/TNNI3/RYR2/TGFB1/DMD/CACNA1C/</w:t>
            </w:r>
          </w:p>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MYBPC3/IGF1/ADRB1/AGT/DES/ACTC1/PLN/TPM1/TGFB3/MYL2</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Adrenergic signaling in cardiomyocytes</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SCN5A/MYH6/MYH7/TNNT2/TNNI3/RYR2/KCNQ1/CACNA1C/ADRB1/AGTR1/</w:t>
            </w:r>
          </w:p>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AGT/ADRB2/ACTC1/PLN/TPM1/MYL2/AKT1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AGE-RAGE signaling pathway in diabetic complications</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IL6/TNF/TGFB1/NOS3/AGTR1/AGT/FN1/THBD/SERPINE1/</w:t>
            </w:r>
          </w:p>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MMP2/TGFB3/CCL2/EDN1/AKT1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Malaria</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IL6/TNF/IL10/TGFB1/CD40LG/TLR4/IFNG/TGFB3/CCL2</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Renin secretion</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ACE/NPPA/REN/CACNA1C/ADRB1/AGTR1/KCNJ2/AGT/ADRB2/EDN1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Chagas disease</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ACE/IL6/TNF/IL10/TGFB1/TLR4/IFNG/SERPINE1/TGFB3/CCL2/AKT1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cGMP-PKG signaling pathway</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GATA4/MYH6/NPPA/MYH7/INS/NPPB/CACNA1C/ADRB1/NOS3/AGTR1/ADRB2/PLN/AKT1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Diabetic cardiomyopathy</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ACE/REN/TNNI3/RYR2/INS/TGFB1/NOS3/AGTR1/AGT/PLN/MMP2/TGFB3/CPT2/AKT1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Proteoglycans in cancer</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TNF/TGFB1/IGF1/TLR4/TP53/PTPN11/FN1/ANK2/FLNA/CAV3/MMP2/CAV1/AKT1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Fluid shear stress and atherosclerosis</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TNF/NOS3/TP53/IFNG/THBD/CAV3/MMP2/CCL2/CAV1/EDN1/AKT1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HIF-1 signaling pathway</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IL6/NPPA/INS/IGF1/NOS3/TLR4/IFNG/SERPINE1/EDN1/AKT1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Cardiac muscle contraction</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MYH6/MYH7/TNNT2/TNNI3/RYR2/CACNA1C/ACTC1/TPM1/MYL2</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Arrhythmogenic right ventricular cardiomyopathy</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LMNA/GJA1/RYR2/DMD/CACNA1C/DSP/DES/DSG2</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African trypanosomiasis</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IL6/NPPA/TNF/IL10/APOA1/IFNG</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Inflammatory bowel disease</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IL6/TNF/IL10/TGFB1/TLR4/IFNG/TGFB3</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Amoebiasis</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IL6/TNF/IL10/TGFB1/TLR4/FN1/IFNG/TGFB3</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Lipid and atherosclerosis</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IL6/TNF/CD40LG/NOS3/APOB/TLR4/TP53/PPARG/APOA1/CCL2/AKT1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Apelin signaling pathway</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PRKAG2/RYR2/JAG1/NOS3/AGTR1/RYR1/SERPINE1/MYL2/AKT1</w:t>
            </w:r>
          </w:p>
        </w:tc>
      </w:tr>
      <w:tr w:rsidR="00C4690C" w:rsidTr="00B2076E">
        <w:trPr>
          <w:jc w:val="center"/>
        </w:trPr>
        <w:tc>
          <w:tcPr>
            <w:tcW w:w="2727"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Insulin resistance</w:t>
            </w:r>
          </w:p>
        </w:tc>
        <w:tc>
          <w:tcPr>
            <w:tcW w:w="7046" w:type="dxa"/>
            <w:vAlign w:val="center"/>
          </w:tcPr>
          <w:p w:rsidR="00C4690C" w:rsidRDefault="00C4690C" w:rsidP="00B2076E">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IL6/TNF/PRKAG2/INS/NOS3/PTPN11/AGT/AKT1</w:t>
            </w:r>
          </w:p>
        </w:tc>
      </w:tr>
    </w:tbl>
    <w:p w:rsidR="00CF506C" w:rsidRDefault="0010606C" w:rsidP="00710873">
      <w:pPr>
        <w:widowControl/>
        <w:jc w:val="left"/>
        <w:rPr>
          <w:rFonts w:cs="宋体"/>
          <w:szCs w:val="22"/>
          <w:lang w:bidi="ar"/>
        </w:rPr>
      </w:pPr>
      <w:r>
        <w:rPr>
          <w:rFonts w:cs="宋体" w:hint="eastAsia"/>
          <w:szCs w:val="22"/>
          <w:lang w:bidi="ar"/>
        </w:rPr>
        <w:br w:type="page"/>
      </w:r>
    </w:p>
    <w:p w:rsidR="00CF506C" w:rsidRDefault="00C4690C">
      <w:pPr>
        <w:spacing w:beforeLines="50" w:before="156" w:line="360" w:lineRule="auto"/>
        <w:jc w:val="center"/>
        <w:outlineLvl w:val="2"/>
        <w:rPr>
          <w:b/>
          <w:bCs/>
          <w:sz w:val="24"/>
        </w:rPr>
      </w:pPr>
      <w:proofErr w:type="gramStart"/>
      <w:r w:rsidRPr="00C4690C">
        <w:rPr>
          <w:rFonts w:cs="宋体" w:hint="eastAsia"/>
          <w:b/>
          <w:bCs/>
          <w:sz w:val="24"/>
          <w:szCs w:val="32"/>
          <w:lang w:bidi="ar"/>
        </w:rPr>
        <w:lastRenderedPageBreak/>
        <w:t>脓</w:t>
      </w:r>
      <w:proofErr w:type="gramEnd"/>
      <w:r w:rsidRPr="00C4690C">
        <w:rPr>
          <w:rFonts w:cs="宋体" w:hint="eastAsia"/>
          <w:b/>
          <w:bCs/>
          <w:sz w:val="24"/>
          <w:szCs w:val="32"/>
          <w:lang w:bidi="ar"/>
        </w:rPr>
        <w:t>毒性心肌损伤中西医病机融通中药组方的动物实验验证疗效研究</w:t>
      </w:r>
    </w:p>
    <w:p w:rsidR="00C4690C" w:rsidRDefault="0010606C" w:rsidP="00C4690C">
      <w:pPr>
        <w:spacing w:line="360" w:lineRule="auto"/>
        <w:rPr>
          <w:sz w:val="24"/>
        </w:rPr>
      </w:pPr>
      <w:r>
        <w:rPr>
          <w:rFonts w:hint="eastAsia"/>
          <w:sz w:val="24"/>
          <w:lang w:bidi="ar"/>
        </w:rPr>
        <w:t>一、</w:t>
      </w:r>
      <w:r w:rsidR="00C4690C">
        <w:rPr>
          <w:sz w:val="24"/>
        </w:rPr>
        <w:t>材料与仪器</w:t>
      </w:r>
    </w:p>
    <w:p w:rsidR="00C4690C" w:rsidRDefault="00C4690C" w:rsidP="00C4690C">
      <w:pPr>
        <w:spacing w:line="360" w:lineRule="auto"/>
        <w:rPr>
          <w:sz w:val="24"/>
        </w:rPr>
      </w:pPr>
      <w:r>
        <w:rPr>
          <w:sz w:val="24"/>
        </w:rPr>
        <w:t>（</w:t>
      </w:r>
      <w:r>
        <w:rPr>
          <w:sz w:val="24"/>
        </w:rPr>
        <w:t>1</w:t>
      </w:r>
      <w:r>
        <w:rPr>
          <w:sz w:val="24"/>
        </w:rPr>
        <w:t>）实验动物</w:t>
      </w:r>
    </w:p>
    <w:p w:rsidR="00C4690C" w:rsidRDefault="00C4690C" w:rsidP="00C4690C">
      <w:pPr>
        <w:spacing w:line="360" w:lineRule="auto"/>
        <w:ind w:firstLineChars="200" w:firstLine="480"/>
        <w:rPr>
          <w:sz w:val="24"/>
        </w:rPr>
      </w:pPr>
      <w:r>
        <w:rPr>
          <w:sz w:val="24"/>
        </w:rPr>
        <w:t>选取</w:t>
      </w:r>
      <w:r>
        <w:rPr>
          <w:sz w:val="24"/>
        </w:rPr>
        <w:t>42</w:t>
      </w:r>
      <w:r>
        <w:rPr>
          <w:sz w:val="24"/>
        </w:rPr>
        <w:t>只</w:t>
      </w:r>
      <w:r>
        <w:rPr>
          <w:sz w:val="24"/>
        </w:rPr>
        <w:t>SD</w:t>
      </w:r>
      <w:r>
        <w:rPr>
          <w:sz w:val="24"/>
        </w:rPr>
        <w:t>雄性</w:t>
      </w:r>
      <w:r>
        <w:rPr>
          <w:sz w:val="24"/>
        </w:rPr>
        <w:t>6-</w:t>
      </w:r>
      <w:proofErr w:type="gramStart"/>
      <w:r>
        <w:rPr>
          <w:sz w:val="24"/>
        </w:rPr>
        <w:t>8</w:t>
      </w:r>
      <w:r>
        <w:rPr>
          <w:sz w:val="24"/>
        </w:rPr>
        <w:t>周龄大鼠</w:t>
      </w:r>
      <w:proofErr w:type="gramEnd"/>
      <w:r>
        <w:rPr>
          <w:sz w:val="24"/>
        </w:rPr>
        <w:t>，体重</w:t>
      </w:r>
      <w:r>
        <w:rPr>
          <w:sz w:val="24"/>
        </w:rPr>
        <w:t>180~220g</w:t>
      </w:r>
      <w:r>
        <w:rPr>
          <w:sz w:val="24"/>
        </w:rPr>
        <w:t>，</w:t>
      </w:r>
      <w:proofErr w:type="gramStart"/>
      <w:r>
        <w:rPr>
          <w:sz w:val="24"/>
        </w:rPr>
        <w:t>均购自</w:t>
      </w:r>
      <w:proofErr w:type="gramEnd"/>
      <w:r>
        <w:rPr>
          <w:sz w:val="24"/>
        </w:rPr>
        <w:t>北京华阜康生物科技股份有限公司。实验前在良好的饲养环境（温度</w:t>
      </w:r>
      <w:r>
        <w:rPr>
          <w:sz w:val="24"/>
        </w:rPr>
        <w:t>20~26℃</w:t>
      </w:r>
      <w:r>
        <w:rPr>
          <w:sz w:val="24"/>
        </w:rPr>
        <w:t>、湿度</w:t>
      </w:r>
      <w:r>
        <w:rPr>
          <w:sz w:val="24"/>
        </w:rPr>
        <w:t>50% ~60%</w:t>
      </w:r>
      <w:r>
        <w:rPr>
          <w:sz w:val="24"/>
        </w:rPr>
        <w:t>）下适应性喂养</w:t>
      </w:r>
      <w:r>
        <w:rPr>
          <w:sz w:val="24"/>
        </w:rPr>
        <w:t>7 d</w:t>
      </w:r>
      <w:r>
        <w:rPr>
          <w:sz w:val="24"/>
        </w:rPr>
        <w:t>，自由进食进水。本实验获得广西中医药大学动物伦理委员会批准（伦理号：</w:t>
      </w:r>
      <w:r>
        <w:rPr>
          <w:sz w:val="24"/>
        </w:rPr>
        <w:t>DW20230324-122</w:t>
      </w:r>
      <w:r>
        <w:rPr>
          <w:sz w:val="24"/>
        </w:rPr>
        <w:t>），所有实验动物均按照中华人民共和国科技部</w:t>
      </w:r>
      <w:r>
        <w:rPr>
          <w:sz w:val="24"/>
        </w:rPr>
        <w:t>2006</w:t>
      </w:r>
      <w:r>
        <w:rPr>
          <w:sz w:val="24"/>
        </w:rPr>
        <w:t>年颁布的《关于善待实验动物的指导性意见》中的相关规定进行合理操作。</w:t>
      </w:r>
    </w:p>
    <w:p w:rsidR="00C4690C" w:rsidRDefault="00C4690C" w:rsidP="00C4690C">
      <w:pPr>
        <w:spacing w:line="360" w:lineRule="auto"/>
        <w:rPr>
          <w:sz w:val="24"/>
        </w:rPr>
      </w:pPr>
      <w:r>
        <w:rPr>
          <w:sz w:val="24"/>
        </w:rPr>
        <w:t>（</w:t>
      </w:r>
      <w:r>
        <w:rPr>
          <w:sz w:val="24"/>
        </w:rPr>
        <w:t>2</w:t>
      </w:r>
      <w:r>
        <w:rPr>
          <w:sz w:val="24"/>
        </w:rPr>
        <w:t>）主要实验试剂和仪器</w:t>
      </w:r>
    </w:p>
    <w:p w:rsidR="00C4690C" w:rsidRDefault="00C4690C" w:rsidP="00C4690C">
      <w:pPr>
        <w:spacing w:line="360" w:lineRule="auto"/>
        <w:ind w:firstLineChars="200" w:firstLine="480"/>
        <w:rPr>
          <w:sz w:val="24"/>
        </w:rPr>
      </w:pPr>
      <w:bookmarkStart w:id="7" w:name="_Hlk179486833"/>
      <w:r>
        <w:rPr>
          <w:sz w:val="24"/>
        </w:rPr>
        <w:t>异氟烷（深圳瑞沃德生命科技股份有限公司）、</w:t>
      </w:r>
      <w:r>
        <w:rPr>
          <w:sz w:val="24"/>
        </w:rPr>
        <w:t>10%</w:t>
      </w:r>
      <w:r>
        <w:rPr>
          <w:sz w:val="24"/>
        </w:rPr>
        <w:t>水合氯醛（福州韦伯康生物科技公司）、生理盐水（青岛海博生物技术有限公司）、碘伏（唐派医疗有限公司）、石蜡（沈阳石蜡化工有限公司）、苏木素染色液（北京索莱宝生物科技有限公司）、伊红染色液（北京索莱宝生物科技有限公司）、核苷酸结合</w:t>
      </w:r>
      <w:proofErr w:type="gramStart"/>
      <w:r>
        <w:rPr>
          <w:sz w:val="24"/>
        </w:rPr>
        <w:t>寡</w:t>
      </w:r>
      <w:proofErr w:type="gramEnd"/>
      <w:r>
        <w:rPr>
          <w:sz w:val="24"/>
        </w:rPr>
        <w:t>聚化</w:t>
      </w:r>
      <w:proofErr w:type="gramStart"/>
      <w:r>
        <w:rPr>
          <w:sz w:val="24"/>
        </w:rPr>
        <w:t>结构域样受体</w:t>
      </w:r>
      <w:proofErr w:type="gramEnd"/>
      <w:r>
        <w:rPr>
          <w:sz w:val="24"/>
        </w:rPr>
        <w:t>蛋白</w:t>
      </w:r>
      <w:r>
        <w:rPr>
          <w:sz w:val="24"/>
        </w:rPr>
        <w:t>3</w:t>
      </w:r>
      <w:r>
        <w:rPr>
          <w:sz w:val="24"/>
        </w:rPr>
        <w:t>（</w:t>
      </w:r>
      <w:r>
        <w:rPr>
          <w:sz w:val="24"/>
        </w:rPr>
        <w:t>NLRP3</w:t>
      </w:r>
      <w:r>
        <w:rPr>
          <w:sz w:val="24"/>
        </w:rPr>
        <w:t>，美国</w:t>
      </w:r>
      <w:r>
        <w:rPr>
          <w:sz w:val="24"/>
        </w:rPr>
        <w:t>ThermoFisher</w:t>
      </w:r>
      <w:r>
        <w:rPr>
          <w:sz w:val="24"/>
        </w:rPr>
        <w:t>公司）；凋亡相关斑点样蛋白（</w:t>
      </w:r>
      <w:r>
        <w:rPr>
          <w:sz w:val="24"/>
        </w:rPr>
        <w:t>ASC</w:t>
      </w:r>
      <w:r>
        <w:rPr>
          <w:sz w:val="24"/>
        </w:rPr>
        <w:t>，美国</w:t>
      </w:r>
      <w:r>
        <w:rPr>
          <w:sz w:val="24"/>
        </w:rPr>
        <w:t>ThermoFisher</w:t>
      </w:r>
      <w:r>
        <w:rPr>
          <w:sz w:val="24"/>
        </w:rPr>
        <w:t>公司）；切割的</w:t>
      </w:r>
      <w:proofErr w:type="gramStart"/>
      <w:r>
        <w:rPr>
          <w:sz w:val="24"/>
        </w:rPr>
        <w:t>胱</w:t>
      </w:r>
      <w:proofErr w:type="gramEnd"/>
      <w:r>
        <w:rPr>
          <w:sz w:val="24"/>
        </w:rPr>
        <w:t>天蛋白酶</w:t>
      </w:r>
      <w:r>
        <w:rPr>
          <w:sz w:val="24"/>
        </w:rPr>
        <w:t>1</w:t>
      </w:r>
      <w:r>
        <w:rPr>
          <w:sz w:val="24"/>
        </w:rPr>
        <w:t>（</w:t>
      </w:r>
      <w:r>
        <w:rPr>
          <w:sz w:val="24"/>
        </w:rPr>
        <w:t xml:space="preserve">Cleaved-caspase1, </w:t>
      </w:r>
      <w:r>
        <w:rPr>
          <w:sz w:val="24"/>
        </w:rPr>
        <w:t>美国</w:t>
      </w:r>
      <w:r>
        <w:rPr>
          <w:sz w:val="24"/>
        </w:rPr>
        <w:t>ThermoFisher</w:t>
      </w:r>
      <w:r>
        <w:rPr>
          <w:sz w:val="24"/>
        </w:rPr>
        <w:t>公司）；超薄切片机（德国</w:t>
      </w:r>
      <w:r>
        <w:rPr>
          <w:sz w:val="24"/>
        </w:rPr>
        <w:t>Leica</w:t>
      </w:r>
      <w:r>
        <w:rPr>
          <w:sz w:val="24"/>
        </w:rPr>
        <w:t>公司）；组织包埋机（美国</w:t>
      </w:r>
      <w:r>
        <w:rPr>
          <w:sz w:val="24"/>
        </w:rPr>
        <w:t>ThermoFisher</w:t>
      </w:r>
      <w:r>
        <w:rPr>
          <w:sz w:val="24"/>
        </w:rPr>
        <w:t>公司）；高速多用途离心机（美国</w:t>
      </w:r>
      <w:r>
        <w:rPr>
          <w:sz w:val="24"/>
        </w:rPr>
        <w:t>ThermoFisher</w:t>
      </w:r>
      <w:r>
        <w:rPr>
          <w:sz w:val="24"/>
        </w:rPr>
        <w:t>公司）；组织脱水机（浙江省金华市科迪仪器设备有限公司）；</w:t>
      </w:r>
      <w:r>
        <w:rPr>
          <w:sz w:val="24"/>
        </w:rPr>
        <w:t>Bio-Rad</w:t>
      </w:r>
      <w:r>
        <w:rPr>
          <w:sz w:val="24"/>
        </w:rPr>
        <w:t>蛋白电泳仪、</w:t>
      </w:r>
      <w:proofErr w:type="gramStart"/>
      <w:r>
        <w:rPr>
          <w:sz w:val="24"/>
        </w:rPr>
        <w:t>转膜仪</w:t>
      </w:r>
      <w:proofErr w:type="gramEnd"/>
      <w:r>
        <w:rPr>
          <w:sz w:val="24"/>
        </w:rPr>
        <w:t>、凝胶成像仪（美国</w:t>
      </w:r>
      <w:r>
        <w:rPr>
          <w:sz w:val="24"/>
        </w:rPr>
        <w:t>Bio-Rad</w:t>
      </w:r>
      <w:r>
        <w:rPr>
          <w:sz w:val="24"/>
        </w:rPr>
        <w:t>公司）；光学显微镜（德国</w:t>
      </w:r>
      <w:r>
        <w:rPr>
          <w:sz w:val="24"/>
        </w:rPr>
        <w:t>Leica</w:t>
      </w:r>
      <w:r>
        <w:rPr>
          <w:sz w:val="24"/>
        </w:rPr>
        <w:t>公司）；</w:t>
      </w:r>
      <w:r>
        <w:rPr>
          <w:sz w:val="24"/>
        </w:rPr>
        <w:t>LC-MS/MS</w:t>
      </w:r>
      <w:r>
        <w:rPr>
          <w:sz w:val="24"/>
        </w:rPr>
        <w:t>系统组合型四</w:t>
      </w:r>
      <w:proofErr w:type="gramStart"/>
      <w:r>
        <w:rPr>
          <w:sz w:val="24"/>
        </w:rPr>
        <w:t>极</w:t>
      </w:r>
      <w:proofErr w:type="gramEnd"/>
      <w:r>
        <w:rPr>
          <w:sz w:val="24"/>
        </w:rPr>
        <w:t>杆</w:t>
      </w:r>
      <w:r>
        <w:rPr>
          <w:sz w:val="24"/>
        </w:rPr>
        <w:t>Orbitrap</w:t>
      </w:r>
      <w:r>
        <w:rPr>
          <w:sz w:val="24"/>
        </w:rPr>
        <w:t>质谱仪（美国</w:t>
      </w:r>
      <w:r>
        <w:rPr>
          <w:sz w:val="24"/>
        </w:rPr>
        <w:t>ThermoFisher</w:t>
      </w:r>
      <w:r>
        <w:rPr>
          <w:sz w:val="24"/>
        </w:rPr>
        <w:t>公司）。</w:t>
      </w:r>
    </w:p>
    <w:bookmarkEnd w:id="7"/>
    <w:p w:rsidR="00C4690C" w:rsidRDefault="00C4690C" w:rsidP="00C4690C">
      <w:pPr>
        <w:spacing w:line="360" w:lineRule="auto"/>
        <w:rPr>
          <w:sz w:val="24"/>
        </w:rPr>
      </w:pPr>
      <w:r>
        <w:rPr>
          <w:sz w:val="24"/>
        </w:rPr>
        <w:t>（</w:t>
      </w:r>
      <w:r>
        <w:rPr>
          <w:sz w:val="24"/>
        </w:rPr>
        <w:t>3</w:t>
      </w:r>
      <w:r>
        <w:rPr>
          <w:sz w:val="24"/>
        </w:rPr>
        <w:t>）灌胃药物和制备方法</w:t>
      </w:r>
    </w:p>
    <w:p w:rsidR="00C4690C" w:rsidRDefault="00C4690C" w:rsidP="00C4690C">
      <w:pPr>
        <w:spacing w:line="360" w:lineRule="auto"/>
        <w:ind w:firstLineChars="200" w:firstLine="480"/>
        <w:rPr>
          <w:sz w:val="24"/>
        </w:rPr>
      </w:pPr>
      <w:r>
        <w:rPr>
          <w:sz w:val="24"/>
        </w:rPr>
        <w:t>重症心</w:t>
      </w:r>
      <w:proofErr w:type="gramStart"/>
      <w:r>
        <w:rPr>
          <w:sz w:val="24"/>
        </w:rPr>
        <w:t>痹</w:t>
      </w:r>
      <w:proofErr w:type="gramEnd"/>
      <w:r>
        <w:rPr>
          <w:sz w:val="24"/>
        </w:rPr>
        <w:t>方：旋覆花</w:t>
      </w:r>
      <w:r>
        <w:rPr>
          <w:sz w:val="24"/>
        </w:rPr>
        <w:t>20g</w:t>
      </w:r>
      <w:r>
        <w:rPr>
          <w:sz w:val="24"/>
        </w:rPr>
        <w:t>（包煎）、茜草</w:t>
      </w:r>
      <w:r>
        <w:rPr>
          <w:sz w:val="24"/>
        </w:rPr>
        <w:t>15g</w:t>
      </w:r>
      <w:r>
        <w:rPr>
          <w:sz w:val="24"/>
        </w:rPr>
        <w:t>、升麻</w:t>
      </w:r>
      <w:r>
        <w:rPr>
          <w:sz w:val="24"/>
        </w:rPr>
        <w:t>15g</w:t>
      </w:r>
      <w:r>
        <w:rPr>
          <w:sz w:val="24"/>
        </w:rPr>
        <w:t>、醋鳖甲</w:t>
      </w:r>
      <w:r>
        <w:rPr>
          <w:sz w:val="24"/>
        </w:rPr>
        <w:t>10g</w:t>
      </w:r>
      <w:r>
        <w:rPr>
          <w:sz w:val="24"/>
        </w:rPr>
        <w:t>（先煎）、芍药</w:t>
      </w:r>
      <w:r>
        <w:rPr>
          <w:sz w:val="24"/>
        </w:rPr>
        <w:t>20g</w:t>
      </w:r>
      <w:r>
        <w:rPr>
          <w:sz w:val="24"/>
        </w:rPr>
        <w:t>、当归</w:t>
      </w:r>
      <w:r>
        <w:rPr>
          <w:sz w:val="24"/>
        </w:rPr>
        <w:t>15g</w:t>
      </w:r>
      <w:r>
        <w:rPr>
          <w:sz w:val="24"/>
        </w:rPr>
        <w:t>、细辛</w:t>
      </w:r>
      <w:r>
        <w:rPr>
          <w:sz w:val="24"/>
        </w:rPr>
        <w:t>10g</w:t>
      </w:r>
      <w:r>
        <w:rPr>
          <w:sz w:val="24"/>
        </w:rPr>
        <w:t>、通草</w:t>
      </w:r>
      <w:r>
        <w:rPr>
          <w:sz w:val="24"/>
        </w:rPr>
        <w:t>10g</w:t>
      </w:r>
      <w:r>
        <w:rPr>
          <w:sz w:val="24"/>
        </w:rPr>
        <w:t>、醋郁金</w:t>
      </w:r>
      <w:r>
        <w:rPr>
          <w:sz w:val="24"/>
        </w:rPr>
        <w:t>15g</w:t>
      </w:r>
      <w:r>
        <w:rPr>
          <w:sz w:val="24"/>
        </w:rPr>
        <w:t>、射干</w:t>
      </w:r>
      <w:r>
        <w:rPr>
          <w:sz w:val="24"/>
        </w:rPr>
        <w:t>15g</w:t>
      </w:r>
      <w:r>
        <w:rPr>
          <w:sz w:val="24"/>
        </w:rPr>
        <w:t>、紫菀</w:t>
      </w:r>
      <w:r>
        <w:rPr>
          <w:sz w:val="24"/>
        </w:rPr>
        <w:t>20g</w:t>
      </w:r>
      <w:r>
        <w:rPr>
          <w:sz w:val="24"/>
        </w:rPr>
        <w:t>、瓜</w:t>
      </w:r>
      <w:proofErr w:type="gramStart"/>
      <w:r>
        <w:rPr>
          <w:sz w:val="24"/>
        </w:rPr>
        <w:t>蒌</w:t>
      </w:r>
      <w:proofErr w:type="gramEnd"/>
      <w:r>
        <w:rPr>
          <w:sz w:val="24"/>
        </w:rPr>
        <w:t>15g</w:t>
      </w:r>
      <w:r>
        <w:rPr>
          <w:sz w:val="24"/>
        </w:rPr>
        <w:t>、</w:t>
      </w:r>
      <w:proofErr w:type="gramStart"/>
      <w:r>
        <w:rPr>
          <w:sz w:val="24"/>
        </w:rPr>
        <w:t>薤</w:t>
      </w:r>
      <w:proofErr w:type="gramEnd"/>
      <w:r>
        <w:rPr>
          <w:sz w:val="24"/>
        </w:rPr>
        <w:t>白</w:t>
      </w:r>
      <w:r>
        <w:rPr>
          <w:sz w:val="24"/>
        </w:rPr>
        <w:t>30g</w:t>
      </w:r>
      <w:r>
        <w:rPr>
          <w:sz w:val="24"/>
        </w:rPr>
        <w:t>、桂枝</w:t>
      </w:r>
      <w:r>
        <w:rPr>
          <w:sz w:val="24"/>
        </w:rPr>
        <w:t>15g</w:t>
      </w:r>
      <w:r>
        <w:rPr>
          <w:sz w:val="24"/>
        </w:rPr>
        <w:t>、法半夏</w:t>
      </w:r>
      <w:r>
        <w:rPr>
          <w:sz w:val="24"/>
        </w:rPr>
        <w:t>20g</w:t>
      </w:r>
      <w:r>
        <w:rPr>
          <w:sz w:val="24"/>
        </w:rPr>
        <w:t>、枳实</w:t>
      </w:r>
      <w:r>
        <w:rPr>
          <w:sz w:val="24"/>
        </w:rPr>
        <w:t>15g</w:t>
      </w:r>
      <w:r>
        <w:rPr>
          <w:sz w:val="24"/>
        </w:rPr>
        <w:t>、猪心血丹参</w:t>
      </w:r>
      <w:r>
        <w:rPr>
          <w:sz w:val="24"/>
        </w:rPr>
        <w:t>10g</w:t>
      </w:r>
      <w:r>
        <w:rPr>
          <w:sz w:val="24"/>
        </w:rPr>
        <w:t>、檀香</w:t>
      </w:r>
      <w:r>
        <w:rPr>
          <w:sz w:val="24"/>
        </w:rPr>
        <w:t>5g</w:t>
      </w:r>
      <w:r>
        <w:rPr>
          <w:sz w:val="24"/>
        </w:rPr>
        <w:t>（后下）、砂仁</w:t>
      </w:r>
      <w:r>
        <w:rPr>
          <w:sz w:val="24"/>
        </w:rPr>
        <w:t>5g</w:t>
      </w:r>
      <w:r>
        <w:rPr>
          <w:sz w:val="24"/>
        </w:rPr>
        <w:t>（后下）、姜竹茹</w:t>
      </w:r>
      <w:r>
        <w:rPr>
          <w:sz w:val="24"/>
        </w:rPr>
        <w:t>30g</w:t>
      </w:r>
      <w:r>
        <w:rPr>
          <w:sz w:val="24"/>
        </w:rPr>
        <w:t>、桑白皮</w:t>
      </w:r>
      <w:r>
        <w:rPr>
          <w:sz w:val="24"/>
        </w:rPr>
        <w:t>15g</w:t>
      </w:r>
      <w:r>
        <w:rPr>
          <w:sz w:val="24"/>
        </w:rPr>
        <w:t>、地骨皮</w:t>
      </w:r>
      <w:r>
        <w:rPr>
          <w:sz w:val="24"/>
        </w:rPr>
        <w:t>30g</w:t>
      </w:r>
      <w:r>
        <w:rPr>
          <w:sz w:val="24"/>
        </w:rPr>
        <w:t>、制何首乌</w:t>
      </w:r>
      <w:r>
        <w:rPr>
          <w:sz w:val="24"/>
        </w:rPr>
        <w:t>10g</w:t>
      </w:r>
      <w:r>
        <w:rPr>
          <w:sz w:val="24"/>
        </w:rPr>
        <w:t>、丹皮</w:t>
      </w:r>
      <w:r>
        <w:rPr>
          <w:sz w:val="24"/>
        </w:rPr>
        <w:t>20g</w:t>
      </w:r>
      <w:r>
        <w:rPr>
          <w:sz w:val="24"/>
        </w:rPr>
        <w:t>、柴胡</w:t>
      </w:r>
      <w:r>
        <w:rPr>
          <w:sz w:val="24"/>
        </w:rPr>
        <w:t>10g</w:t>
      </w:r>
      <w:r>
        <w:rPr>
          <w:sz w:val="24"/>
        </w:rPr>
        <w:t>、淡竹叶</w:t>
      </w:r>
      <w:r>
        <w:rPr>
          <w:sz w:val="24"/>
        </w:rPr>
        <w:t>10g</w:t>
      </w:r>
      <w:r>
        <w:rPr>
          <w:sz w:val="24"/>
        </w:rPr>
        <w:t>、连翘</w:t>
      </w:r>
      <w:r>
        <w:rPr>
          <w:sz w:val="24"/>
        </w:rPr>
        <w:t>10g</w:t>
      </w:r>
      <w:r>
        <w:rPr>
          <w:sz w:val="24"/>
        </w:rPr>
        <w:t>。以上中药均由广西中医药大学第一附属医院门诊中药房提供。制备方法：将上述中药浸泡于</w:t>
      </w:r>
      <w:r>
        <w:rPr>
          <w:sz w:val="24"/>
        </w:rPr>
        <w:t>5</w:t>
      </w:r>
      <w:r>
        <w:rPr>
          <w:sz w:val="24"/>
        </w:rPr>
        <w:t>倍体积水中浸泡</w:t>
      </w:r>
      <w:r>
        <w:rPr>
          <w:sz w:val="24"/>
        </w:rPr>
        <w:t>1h</w:t>
      </w:r>
      <w:r>
        <w:rPr>
          <w:sz w:val="24"/>
        </w:rPr>
        <w:t>，武火煎煮</w:t>
      </w:r>
      <w:r>
        <w:rPr>
          <w:sz w:val="24"/>
        </w:rPr>
        <w:t>10min</w:t>
      </w:r>
      <w:r>
        <w:rPr>
          <w:sz w:val="24"/>
        </w:rPr>
        <w:t>、文火再煎煮</w:t>
      </w:r>
      <w:r>
        <w:rPr>
          <w:sz w:val="24"/>
        </w:rPr>
        <w:t>20min</w:t>
      </w:r>
      <w:r>
        <w:rPr>
          <w:sz w:val="24"/>
        </w:rPr>
        <w:t>后过滤；再加入</w:t>
      </w:r>
      <w:r>
        <w:rPr>
          <w:sz w:val="24"/>
        </w:rPr>
        <w:t>3</w:t>
      </w:r>
      <w:r>
        <w:rPr>
          <w:sz w:val="24"/>
        </w:rPr>
        <w:t>倍水煎煮</w:t>
      </w:r>
      <w:r>
        <w:rPr>
          <w:sz w:val="24"/>
        </w:rPr>
        <w:t xml:space="preserve">20min </w:t>
      </w:r>
      <w:r>
        <w:rPr>
          <w:sz w:val="24"/>
        </w:rPr>
        <w:t>后过滤，两次过滤后的汤剂予以混合并浓缩至</w:t>
      </w:r>
      <w:r>
        <w:rPr>
          <w:sz w:val="24"/>
        </w:rPr>
        <w:t>2.0475g</w:t>
      </w:r>
      <w:r>
        <w:rPr>
          <w:sz w:val="24"/>
        </w:rPr>
        <w:t>生药</w:t>
      </w:r>
      <w:r>
        <w:rPr>
          <w:sz w:val="24"/>
        </w:rPr>
        <w:t>/mL</w:t>
      </w:r>
      <w:r>
        <w:rPr>
          <w:sz w:val="24"/>
        </w:rPr>
        <w:t>药液。</w:t>
      </w:r>
    </w:p>
    <w:p w:rsidR="00C4690C" w:rsidRDefault="00C4690C" w:rsidP="00C4690C">
      <w:pPr>
        <w:spacing w:line="360" w:lineRule="auto"/>
        <w:ind w:firstLineChars="200" w:firstLine="480"/>
        <w:rPr>
          <w:sz w:val="24"/>
        </w:rPr>
      </w:pPr>
      <w:r>
        <w:rPr>
          <w:sz w:val="24"/>
        </w:rPr>
        <w:lastRenderedPageBreak/>
        <w:t>西药：</w:t>
      </w:r>
      <w:bookmarkStart w:id="8" w:name="_Hlk179487496"/>
      <w:r>
        <w:rPr>
          <w:sz w:val="24"/>
        </w:rPr>
        <w:t>甲基泼尼松龙（厂家：麦克林；</w:t>
      </w:r>
      <w:r>
        <w:rPr>
          <w:sz w:val="24"/>
        </w:rPr>
        <w:t>CAS</w:t>
      </w:r>
      <w:r>
        <w:rPr>
          <w:sz w:val="24"/>
        </w:rPr>
        <w:t>：</w:t>
      </w:r>
      <w:r>
        <w:rPr>
          <w:sz w:val="24"/>
        </w:rPr>
        <w:t>83-43-2</w:t>
      </w:r>
      <w:r>
        <w:rPr>
          <w:sz w:val="24"/>
        </w:rPr>
        <w:t>），由广西中医药大学第一附属医院西药房提供。配制方法：按照</w:t>
      </w:r>
      <w:r>
        <w:rPr>
          <w:sz w:val="24"/>
        </w:rPr>
        <w:t>5mL/kg</w:t>
      </w:r>
      <w:r>
        <w:rPr>
          <w:sz w:val="24"/>
        </w:rPr>
        <w:t>的给药体积计算，取</w:t>
      </w:r>
      <w:r>
        <w:rPr>
          <w:sz w:val="24"/>
        </w:rPr>
        <w:t>80mg</w:t>
      </w:r>
      <w:r>
        <w:rPr>
          <w:sz w:val="24"/>
        </w:rPr>
        <w:t>甲基泼尼松龙，加入</w:t>
      </w:r>
      <w:r>
        <w:rPr>
          <w:sz w:val="24"/>
        </w:rPr>
        <w:t>5mL</w:t>
      </w:r>
      <w:r>
        <w:rPr>
          <w:sz w:val="24"/>
        </w:rPr>
        <w:t>二甲基亚砜（</w:t>
      </w:r>
      <w:r>
        <w:rPr>
          <w:sz w:val="24"/>
        </w:rPr>
        <w:t>DMSO</w:t>
      </w:r>
      <w:r>
        <w:rPr>
          <w:sz w:val="24"/>
        </w:rPr>
        <w:t>）、</w:t>
      </w:r>
      <w:r>
        <w:rPr>
          <w:sz w:val="24"/>
        </w:rPr>
        <w:t>20mL</w:t>
      </w:r>
      <w:r>
        <w:rPr>
          <w:sz w:val="24"/>
        </w:rPr>
        <w:t>聚乙二醇（</w:t>
      </w:r>
      <w:r>
        <w:rPr>
          <w:sz w:val="24"/>
        </w:rPr>
        <w:t>PEG-300</w:t>
      </w:r>
      <w:r>
        <w:rPr>
          <w:sz w:val="24"/>
        </w:rPr>
        <w:t>）、</w:t>
      </w:r>
      <w:r>
        <w:rPr>
          <w:sz w:val="24"/>
        </w:rPr>
        <w:t>2.5mL</w:t>
      </w:r>
      <w:r>
        <w:rPr>
          <w:sz w:val="24"/>
        </w:rPr>
        <w:t>聚山梨酯</w:t>
      </w:r>
      <w:r>
        <w:rPr>
          <w:sz w:val="24"/>
        </w:rPr>
        <w:t>-80</w:t>
      </w:r>
      <w:r>
        <w:rPr>
          <w:sz w:val="24"/>
        </w:rPr>
        <w:t>（</w:t>
      </w:r>
      <w:r>
        <w:rPr>
          <w:sz w:val="24"/>
        </w:rPr>
        <w:t>Tween-80</w:t>
      </w:r>
      <w:r>
        <w:rPr>
          <w:sz w:val="24"/>
        </w:rPr>
        <w:t>）以及生理盐水</w:t>
      </w:r>
      <w:proofErr w:type="gramStart"/>
      <w:r>
        <w:rPr>
          <w:sz w:val="24"/>
        </w:rPr>
        <w:t>定容至</w:t>
      </w:r>
      <w:proofErr w:type="gramEnd"/>
      <w:r>
        <w:rPr>
          <w:sz w:val="24"/>
        </w:rPr>
        <w:t>50mL</w:t>
      </w:r>
      <w:r>
        <w:rPr>
          <w:sz w:val="24"/>
        </w:rPr>
        <w:t>。</w:t>
      </w:r>
      <w:bookmarkEnd w:id="8"/>
    </w:p>
    <w:p w:rsidR="00C4690C" w:rsidRDefault="00C4690C" w:rsidP="00C4690C">
      <w:pPr>
        <w:spacing w:line="360" w:lineRule="auto"/>
        <w:rPr>
          <w:sz w:val="24"/>
        </w:rPr>
      </w:pPr>
      <w:r>
        <w:rPr>
          <w:sz w:val="24"/>
        </w:rPr>
        <w:t xml:space="preserve">6.6.4.2 </w:t>
      </w:r>
      <w:r>
        <w:rPr>
          <w:sz w:val="24"/>
        </w:rPr>
        <w:t>实验方法</w:t>
      </w:r>
    </w:p>
    <w:p w:rsidR="00C4690C" w:rsidRDefault="00C4690C" w:rsidP="00C4690C">
      <w:pPr>
        <w:spacing w:line="360" w:lineRule="auto"/>
        <w:rPr>
          <w:sz w:val="24"/>
        </w:rPr>
      </w:pPr>
      <w:r>
        <w:rPr>
          <w:sz w:val="24"/>
        </w:rPr>
        <w:t>（</w:t>
      </w:r>
      <w:r>
        <w:rPr>
          <w:sz w:val="24"/>
        </w:rPr>
        <w:t>1</w:t>
      </w:r>
      <w:r>
        <w:rPr>
          <w:sz w:val="24"/>
        </w:rPr>
        <w:t>）</w:t>
      </w:r>
      <w:r>
        <w:rPr>
          <w:sz w:val="24"/>
        </w:rPr>
        <w:t xml:space="preserve"> </w:t>
      </w:r>
      <w:r>
        <w:rPr>
          <w:sz w:val="24"/>
        </w:rPr>
        <w:t>造模方法及模型成功评定</w:t>
      </w:r>
      <w:r>
        <w:rPr>
          <w:sz w:val="24"/>
        </w:rPr>
        <w:t xml:space="preserve"> </w:t>
      </w:r>
    </w:p>
    <w:p w:rsidR="00C4690C" w:rsidRDefault="00C4690C" w:rsidP="00C4690C">
      <w:pPr>
        <w:spacing w:line="360" w:lineRule="auto"/>
        <w:ind w:firstLineChars="200" w:firstLine="480"/>
        <w:rPr>
          <w:sz w:val="24"/>
        </w:rPr>
      </w:pPr>
      <w:r>
        <w:rPr>
          <w:sz w:val="24"/>
        </w:rPr>
        <w:t>参照文献采用盲肠结扎穿刺（</w:t>
      </w:r>
      <w:r>
        <w:rPr>
          <w:sz w:val="24"/>
        </w:rPr>
        <w:t>CLP</w:t>
      </w:r>
      <w:r>
        <w:rPr>
          <w:sz w:val="24"/>
        </w:rPr>
        <w:t>）的方法构建脓毒症心肌损伤大鼠模型：按照随机数字表法随机选取</w:t>
      </w:r>
      <w:r>
        <w:rPr>
          <w:sz w:val="24"/>
        </w:rPr>
        <w:t>12</w:t>
      </w:r>
      <w:r>
        <w:rPr>
          <w:sz w:val="24"/>
        </w:rPr>
        <w:t>只大鼠，其中</w:t>
      </w:r>
      <w:r>
        <w:rPr>
          <w:sz w:val="24"/>
        </w:rPr>
        <w:t>6</w:t>
      </w:r>
      <w:r>
        <w:rPr>
          <w:sz w:val="24"/>
        </w:rPr>
        <w:t>只大</w:t>
      </w:r>
      <w:proofErr w:type="gramStart"/>
      <w:r>
        <w:rPr>
          <w:sz w:val="24"/>
        </w:rPr>
        <w:t>鼠采用</w:t>
      </w:r>
      <w:proofErr w:type="gramEnd"/>
      <w:r>
        <w:rPr>
          <w:sz w:val="24"/>
        </w:rPr>
        <w:t>2%</w:t>
      </w:r>
      <w:r>
        <w:rPr>
          <w:sz w:val="24"/>
        </w:rPr>
        <w:t>异氟烷</w:t>
      </w:r>
      <w:r>
        <w:rPr>
          <w:sz w:val="24"/>
        </w:rPr>
        <w:t>+33%</w:t>
      </w:r>
      <w:r>
        <w:rPr>
          <w:sz w:val="24"/>
        </w:rPr>
        <w:t>氧气气体麻醉后，腹部切口开腹，将盲肠移出腹腔，用无菌</w:t>
      </w:r>
      <w:r>
        <w:rPr>
          <w:sz w:val="24"/>
        </w:rPr>
        <w:t>4</w:t>
      </w:r>
      <w:r>
        <w:rPr>
          <w:sz w:val="24"/>
        </w:rPr>
        <w:t>号丝线结扎盲肠根部，并用</w:t>
      </w:r>
      <w:r>
        <w:rPr>
          <w:sz w:val="24"/>
        </w:rPr>
        <w:t>21G</w:t>
      </w:r>
      <w:r>
        <w:rPr>
          <w:sz w:val="24"/>
        </w:rPr>
        <w:t>无菌针头在结扎部位与盲肠顶端的中点处进行穿孔，挤出盲肠内容物，随后将盲肠推回腹腔，逐层缝合。</w:t>
      </w:r>
      <w:r>
        <w:rPr>
          <w:sz w:val="24"/>
        </w:rPr>
        <w:t>6</w:t>
      </w:r>
      <w:r>
        <w:rPr>
          <w:sz w:val="24"/>
        </w:rPr>
        <w:t>只假手</w:t>
      </w:r>
      <w:proofErr w:type="gramStart"/>
      <w:r>
        <w:rPr>
          <w:sz w:val="24"/>
        </w:rPr>
        <w:t>术组仅操作</w:t>
      </w:r>
      <w:proofErr w:type="gramEnd"/>
      <w:r>
        <w:rPr>
          <w:sz w:val="24"/>
        </w:rPr>
        <w:t>腹部切口及缝合。所有大鼠术后禁食不禁水。在术后</w:t>
      </w:r>
      <w:r>
        <w:rPr>
          <w:sz w:val="24"/>
        </w:rPr>
        <w:t>48h</w:t>
      </w:r>
      <w:r>
        <w:rPr>
          <w:sz w:val="24"/>
        </w:rPr>
        <w:t>剖取心脏，通过</w:t>
      </w:r>
      <w:r>
        <w:rPr>
          <w:sz w:val="24"/>
        </w:rPr>
        <w:t>HE</w:t>
      </w:r>
      <w:r>
        <w:rPr>
          <w:sz w:val="24"/>
        </w:rPr>
        <w:t>染色观察</w:t>
      </w:r>
      <w:proofErr w:type="gramStart"/>
      <w:r>
        <w:rPr>
          <w:sz w:val="24"/>
        </w:rPr>
        <w:t>心组织</w:t>
      </w:r>
      <w:proofErr w:type="gramEnd"/>
      <w:r>
        <w:rPr>
          <w:sz w:val="24"/>
        </w:rPr>
        <w:t>病理损伤情况，以验证脓毒症模型是否成功。模型成功评定标准：与假手术比较，</w:t>
      </w:r>
      <w:r>
        <w:rPr>
          <w:sz w:val="24"/>
        </w:rPr>
        <w:t>CLP</w:t>
      </w:r>
      <w:r>
        <w:rPr>
          <w:sz w:val="24"/>
        </w:rPr>
        <w:t>模型组心肌组织出现明显的病理改变，包括心肌纤维排列紊乱、破裂溶解，部分细胞肿胀、坏死，细胞间隙扩张，并见炎症细胞明显浸润（见图</w:t>
      </w:r>
      <w:r>
        <w:rPr>
          <w:sz w:val="24"/>
        </w:rPr>
        <w:t>10</w:t>
      </w:r>
      <w:r>
        <w:rPr>
          <w:sz w:val="24"/>
        </w:rPr>
        <w:t>）。</w:t>
      </w:r>
    </w:p>
    <w:p w:rsidR="00C4690C" w:rsidRDefault="00C4690C" w:rsidP="00C4690C">
      <w:pPr>
        <w:ind w:firstLineChars="200" w:firstLine="560"/>
        <w:rPr>
          <w:sz w:val="28"/>
          <w:szCs w:val="28"/>
        </w:rPr>
      </w:pPr>
      <w:r>
        <w:rPr>
          <w:noProof/>
          <w:sz w:val="28"/>
          <w:szCs w:val="28"/>
        </w:rPr>
        <w:drawing>
          <wp:inline distT="0" distB="0" distL="0" distR="0">
            <wp:extent cx="2298065" cy="1438910"/>
            <wp:effectExtent l="0" t="0" r="6985" b="8890"/>
            <wp:docPr id="19" name="图片 19" descr="紫色的天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紫色的天空&#10;&#10;中度可信度描述已自动生成"/>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98065" cy="1438910"/>
                    </a:xfrm>
                    <a:prstGeom prst="rect">
                      <a:avLst/>
                    </a:prstGeom>
                    <a:noFill/>
                    <a:ln>
                      <a:noFill/>
                    </a:ln>
                  </pic:spPr>
                </pic:pic>
              </a:graphicData>
            </a:graphic>
          </wp:inline>
        </w:drawing>
      </w:r>
      <w:r>
        <w:rPr>
          <w:sz w:val="28"/>
          <w:szCs w:val="28"/>
        </w:rPr>
        <w:t xml:space="preserve">  </w:t>
      </w:r>
      <w:r>
        <w:rPr>
          <w:noProof/>
          <w:sz w:val="28"/>
          <w:szCs w:val="28"/>
        </w:rPr>
        <w:drawing>
          <wp:inline distT="0" distB="0" distL="0" distR="0">
            <wp:extent cx="2313940" cy="1438910"/>
            <wp:effectExtent l="0" t="0" r="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13940" cy="1438910"/>
                    </a:xfrm>
                    <a:prstGeom prst="rect">
                      <a:avLst/>
                    </a:prstGeom>
                    <a:noFill/>
                    <a:ln>
                      <a:noFill/>
                    </a:ln>
                  </pic:spPr>
                </pic:pic>
              </a:graphicData>
            </a:graphic>
          </wp:inline>
        </w:drawing>
      </w:r>
    </w:p>
    <w:p w:rsidR="00C4690C" w:rsidRDefault="00C4690C" w:rsidP="00C4690C">
      <w:pPr>
        <w:spacing w:line="360" w:lineRule="auto"/>
        <w:ind w:firstLineChars="200" w:firstLine="480"/>
        <w:jc w:val="center"/>
        <w:rPr>
          <w:sz w:val="24"/>
        </w:rPr>
      </w:pPr>
      <w:r>
        <w:rPr>
          <w:sz w:val="24"/>
        </w:rPr>
        <w:t>A</w:t>
      </w:r>
      <w:r>
        <w:rPr>
          <w:sz w:val="24"/>
        </w:rPr>
        <w:t>：</w:t>
      </w:r>
      <w:proofErr w:type="gramStart"/>
      <w:r>
        <w:rPr>
          <w:sz w:val="24"/>
        </w:rPr>
        <w:t>假手术组</w:t>
      </w:r>
      <w:proofErr w:type="gramEnd"/>
      <w:r>
        <w:rPr>
          <w:sz w:val="24"/>
        </w:rPr>
        <w:t xml:space="preserve">                  B</w:t>
      </w:r>
      <w:r>
        <w:rPr>
          <w:sz w:val="24"/>
        </w:rPr>
        <w:t>：</w:t>
      </w:r>
      <w:r>
        <w:rPr>
          <w:sz w:val="24"/>
        </w:rPr>
        <w:t>CLP</w:t>
      </w:r>
      <w:r>
        <w:rPr>
          <w:sz w:val="24"/>
        </w:rPr>
        <w:t>模型组</w:t>
      </w:r>
    </w:p>
    <w:p w:rsidR="00C4690C" w:rsidRDefault="00C4690C" w:rsidP="00C4690C">
      <w:pPr>
        <w:spacing w:line="360" w:lineRule="auto"/>
        <w:ind w:firstLineChars="200" w:firstLine="480"/>
        <w:jc w:val="center"/>
        <w:rPr>
          <w:sz w:val="24"/>
        </w:rPr>
      </w:pPr>
      <w:r>
        <w:rPr>
          <w:sz w:val="24"/>
        </w:rPr>
        <w:t>图</w:t>
      </w:r>
      <w:r>
        <w:rPr>
          <w:sz w:val="24"/>
        </w:rPr>
        <w:t xml:space="preserve"> </w:t>
      </w:r>
      <w:r>
        <w:rPr>
          <w:sz w:val="24"/>
        </w:rPr>
        <w:fldChar w:fldCharType="begin"/>
      </w:r>
      <w:r>
        <w:rPr>
          <w:sz w:val="24"/>
        </w:rPr>
        <w:instrText xml:space="preserve"> SEQ </w:instrText>
      </w:r>
      <w:r>
        <w:rPr>
          <w:sz w:val="24"/>
        </w:rPr>
        <w:instrText>图</w:instrText>
      </w:r>
      <w:r>
        <w:rPr>
          <w:sz w:val="24"/>
        </w:rPr>
        <w:instrText xml:space="preserve"> \* ARABIC </w:instrText>
      </w:r>
      <w:r>
        <w:rPr>
          <w:sz w:val="24"/>
        </w:rPr>
        <w:fldChar w:fldCharType="separate"/>
      </w:r>
      <w:r>
        <w:rPr>
          <w:noProof/>
          <w:sz w:val="24"/>
        </w:rPr>
        <w:t>10</w:t>
      </w:r>
      <w:r>
        <w:rPr>
          <w:sz w:val="24"/>
        </w:rPr>
        <w:fldChar w:fldCharType="end"/>
      </w:r>
      <w:r>
        <w:rPr>
          <w:sz w:val="24"/>
        </w:rPr>
        <w:t xml:space="preserve"> </w:t>
      </w:r>
      <w:r>
        <w:rPr>
          <w:sz w:val="24"/>
        </w:rPr>
        <w:t>模型成功判定图（</w:t>
      </w:r>
      <w:r>
        <w:rPr>
          <w:sz w:val="24"/>
        </w:rPr>
        <w:t>×400</w:t>
      </w:r>
      <w:r>
        <w:rPr>
          <w:sz w:val="24"/>
        </w:rPr>
        <w:t>倍）</w:t>
      </w:r>
    </w:p>
    <w:p w:rsidR="00C4690C" w:rsidRDefault="00C4690C" w:rsidP="00C4690C">
      <w:pPr>
        <w:spacing w:line="360" w:lineRule="auto"/>
        <w:ind w:firstLineChars="200" w:firstLine="480"/>
        <w:rPr>
          <w:sz w:val="24"/>
        </w:rPr>
      </w:pPr>
      <w:r>
        <w:rPr>
          <w:sz w:val="24"/>
        </w:rPr>
        <w:t>（</w:t>
      </w:r>
      <w:r>
        <w:rPr>
          <w:sz w:val="24"/>
        </w:rPr>
        <w:t>2</w:t>
      </w:r>
      <w:r>
        <w:rPr>
          <w:sz w:val="24"/>
        </w:rPr>
        <w:t>）动物分组与干预</w:t>
      </w:r>
    </w:p>
    <w:p w:rsidR="00C4690C" w:rsidRDefault="00C4690C" w:rsidP="00C4690C">
      <w:pPr>
        <w:spacing w:line="360" w:lineRule="auto"/>
        <w:ind w:firstLineChars="200" w:firstLine="480"/>
        <w:rPr>
          <w:sz w:val="24"/>
        </w:rPr>
      </w:pPr>
      <w:r>
        <w:rPr>
          <w:sz w:val="24"/>
        </w:rPr>
        <w:t>大鼠适应性喂养</w:t>
      </w:r>
      <w:r>
        <w:rPr>
          <w:sz w:val="24"/>
        </w:rPr>
        <w:t>1</w:t>
      </w:r>
      <w:r>
        <w:rPr>
          <w:sz w:val="24"/>
        </w:rPr>
        <w:t>周后，采用随机数字表法随机选取</w:t>
      </w:r>
      <w:r>
        <w:rPr>
          <w:sz w:val="24"/>
        </w:rPr>
        <w:t>3</w:t>
      </w:r>
      <w:r>
        <w:rPr>
          <w:sz w:val="24"/>
        </w:rPr>
        <w:t>只作为中药</w:t>
      </w:r>
      <w:proofErr w:type="gramStart"/>
      <w:r>
        <w:rPr>
          <w:sz w:val="24"/>
        </w:rPr>
        <w:t>干预组</w:t>
      </w:r>
      <w:proofErr w:type="gramEnd"/>
      <w:r>
        <w:rPr>
          <w:sz w:val="24"/>
        </w:rPr>
        <w:t>并予重症心</w:t>
      </w:r>
      <w:proofErr w:type="gramStart"/>
      <w:r>
        <w:rPr>
          <w:sz w:val="24"/>
        </w:rPr>
        <w:t>痹方灌</w:t>
      </w:r>
      <w:proofErr w:type="gramEnd"/>
      <w:r>
        <w:rPr>
          <w:sz w:val="24"/>
        </w:rPr>
        <w:t>胃，</w:t>
      </w:r>
      <w:r>
        <w:rPr>
          <w:sz w:val="24"/>
        </w:rPr>
        <w:t>1</w:t>
      </w:r>
      <w:r>
        <w:rPr>
          <w:sz w:val="24"/>
        </w:rPr>
        <w:t>次</w:t>
      </w:r>
      <w:r>
        <w:rPr>
          <w:sz w:val="24"/>
        </w:rPr>
        <w:t>/d</w:t>
      </w:r>
      <w:r>
        <w:rPr>
          <w:sz w:val="24"/>
        </w:rPr>
        <w:t>，连续</w:t>
      </w:r>
      <w:r>
        <w:rPr>
          <w:sz w:val="24"/>
        </w:rPr>
        <w:t>5d</w:t>
      </w:r>
      <w:r>
        <w:rPr>
          <w:sz w:val="24"/>
        </w:rPr>
        <w:t>；随机选取</w:t>
      </w:r>
      <w:r>
        <w:rPr>
          <w:sz w:val="24"/>
        </w:rPr>
        <w:t>3</w:t>
      </w:r>
      <w:r>
        <w:rPr>
          <w:sz w:val="24"/>
        </w:rPr>
        <w:t>只大</w:t>
      </w:r>
      <w:proofErr w:type="gramStart"/>
      <w:r>
        <w:rPr>
          <w:sz w:val="24"/>
        </w:rPr>
        <w:t>鼠作为</w:t>
      </w:r>
      <w:proofErr w:type="gramEnd"/>
      <w:r>
        <w:rPr>
          <w:sz w:val="24"/>
        </w:rPr>
        <w:t>空白组并予生理盐水灌胃，</w:t>
      </w:r>
      <w:r>
        <w:rPr>
          <w:sz w:val="24"/>
        </w:rPr>
        <w:t>1</w:t>
      </w:r>
      <w:r>
        <w:rPr>
          <w:sz w:val="24"/>
        </w:rPr>
        <w:t>次</w:t>
      </w:r>
      <w:r>
        <w:rPr>
          <w:sz w:val="24"/>
        </w:rPr>
        <w:t>/d</w:t>
      </w:r>
      <w:r>
        <w:rPr>
          <w:sz w:val="24"/>
        </w:rPr>
        <w:t>，连续</w:t>
      </w:r>
      <w:r>
        <w:rPr>
          <w:sz w:val="24"/>
        </w:rPr>
        <w:t>5d</w:t>
      </w:r>
      <w:r>
        <w:rPr>
          <w:sz w:val="24"/>
        </w:rPr>
        <w:t>。干预结束后采集血清，并在</w:t>
      </w:r>
      <w:r>
        <w:rPr>
          <w:sz w:val="24"/>
        </w:rPr>
        <w:t>-20℃</w:t>
      </w:r>
      <w:r>
        <w:rPr>
          <w:sz w:val="24"/>
        </w:rPr>
        <w:t>冰箱保存，留做后续入血成分检测。</w:t>
      </w:r>
    </w:p>
    <w:p w:rsidR="00C4690C" w:rsidRDefault="00C4690C" w:rsidP="00C4690C">
      <w:pPr>
        <w:spacing w:line="360" w:lineRule="auto"/>
        <w:ind w:firstLineChars="200" w:firstLine="480"/>
        <w:rPr>
          <w:sz w:val="24"/>
        </w:rPr>
      </w:pPr>
      <w:r>
        <w:rPr>
          <w:sz w:val="24"/>
        </w:rPr>
        <w:t>将造模成功的大</w:t>
      </w:r>
      <w:proofErr w:type="gramStart"/>
      <w:r>
        <w:rPr>
          <w:sz w:val="24"/>
        </w:rPr>
        <w:t>鼠按照</w:t>
      </w:r>
      <w:proofErr w:type="gramEnd"/>
      <w:r>
        <w:rPr>
          <w:sz w:val="24"/>
        </w:rPr>
        <w:t>随机数字表法分为</w:t>
      </w:r>
      <w:r>
        <w:rPr>
          <w:sz w:val="24"/>
        </w:rPr>
        <w:t>CLP</w:t>
      </w:r>
      <w:r>
        <w:rPr>
          <w:sz w:val="24"/>
        </w:rPr>
        <w:t>模型组、</w:t>
      </w:r>
      <w:bookmarkStart w:id="9" w:name="_Hlk180693483"/>
      <w:r>
        <w:rPr>
          <w:sz w:val="24"/>
        </w:rPr>
        <w:t>阳性药物</w:t>
      </w:r>
      <w:bookmarkEnd w:id="9"/>
      <w:r>
        <w:rPr>
          <w:sz w:val="24"/>
        </w:rPr>
        <w:t>+CLP</w:t>
      </w:r>
      <w:r>
        <w:rPr>
          <w:sz w:val="24"/>
        </w:rPr>
        <w:t>模型组、重症心</w:t>
      </w:r>
      <w:proofErr w:type="gramStart"/>
      <w:r>
        <w:rPr>
          <w:sz w:val="24"/>
        </w:rPr>
        <w:t>痹</w:t>
      </w:r>
      <w:proofErr w:type="gramEnd"/>
      <w:r>
        <w:rPr>
          <w:sz w:val="24"/>
        </w:rPr>
        <w:t>方</w:t>
      </w:r>
      <w:r>
        <w:rPr>
          <w:sz w:val="24"/>
        </w:rPr>
        <w:t>+CLP</w:t>
      </w:r>
      <w:r>
        <w:rPr>
          <w:sz w:val="24"/>
        </w:rPr>
        <w:t>模型组，每组各</w:t>
      </w:r>
      <w:r>
        <w:rPr>
          <w:sz w:val="24"/>
        </w:rPr>
        <w:t>6</w:t>
      </w:r>
      <w:r>
        <w:rPr>
          <w:sz w:val="24"/>
        </w:rPr>
        <w:t>只。其中，阳性药物</w:t>
      </w:r>
      <w:r>
        <w:rPr>
          <w:sz w:val="24"/>
        </w:rPr>
        <w:t>+CLP</w:t>
      </w:r>
      <w:r>
        <w:rPr>
          <w:sz w:val="24"/>
        </w:rPr>
        <w:t>组给予腹腔</w:t>
      </w:r>
      <w:r>
        <w:rPr>
          <w:sz w:val="24"/>
        </w:rPr>
        <w:lastRenderedPageBreak/>
        <w:t>注射甲基泼尼松龙（</w:t>
      </w:r>
      <w:r>
        <w:rPr>
          <w:sz w:val="24"/>
        </w:rPr>
        <w:t>8mg/kg</w:t>
      </w:r>
      <w:r>
        <w:rPr>
          <w:sz w:val="24"/>
        </w:rPr>
        <w:t>），</w:t>
      </w:r>
      <w:r>
        <w:rPr>
          <w:sz w:val="24"/>
        </w:rPr>
        <w:t>1</w:t>
      </w:r>
      <w:r>
        <w:rPr>
          <w:sz w:val="24"/>
        </w:rPr>
        <w:t>次</w:t>
      </w:r>
      <w:r>
        <w:rPr>
          <w:sz w:val="24"/>
        </w:rPr>
        <w:t>/d</w:t>
      </w:r>
      <w:r>
        <w:rPr>
          <w:sz w:val="24"/>
        </w:rPr>
        <w:t>，连续</w:t>
      </w:r>
      <w:r>
        <w:rPr>
          <w:sz w:val="24"/>
        </w:rPr>
        <w:t>5d</w:t>
      </w:r>
      <w:r>
        <w:rPr>
          <w:sz w:val="24"/>
        </w:rPr>
        <w:t>；重症心</w:t>
      </w:r>
      <w:proofErr w:type="gramStart"/>
      <w:r>
        <w:rPr>
          <w:sz w:val="24"/>
        </w:rPr>
        <w:t>痹</w:t>
      </w:r>
      <w:proofErr w:type="gramEnd"/>
      <w:r>
        <w:rPr>
          <w:sz w:val="24"/>
        </w:rPr>
        <w:t>方</w:t>
      </w:r>
      <w:r>
        <w:rPr>
          <w:sz w:val="24"/>
        </w:rPr>
        <w:t>+CLP</w:t>
      </w:r>
      <w:proofErr w:type="gramStart"/>
      <w:r>
        <w:rPr>
          <w:sz w:val="24"/>
        </w:rPr>
        <w:t>模型组予重症</w:t>
      </w:r>
      <w:proofErr w:type="gramEnd"/>
      <w:r>
        <w:rPr>
          <w:sz w:val="24"/>
        </w:rPr>
        <w:t>心</w:t>
      </w:r>
      <w:proofErr w:type="gramStart"/>
      <w:r>
        <w:rPr>
          <w:sz w:val="24"/>
        </w:rPr>
        <w:t>痹方灌</w:t>
      </w:r>
      <w:proofErr w:type="gramEnd"/>
      <w:r>
        <w:rPr>
          <w:sz w:val="24"/>
        </w:rPr>
        <w:t>胃，生药剂量参考《动物实验管理与操作实用指南》，按照成人（</w:t>
      </w:r>
      <w:r>
        <w:rPr>
          <w:sz w:val="24"/>
        </w:rPr>
        <w:t>70 kg</w:t>
      </w:r>
      <w:r>
        <w:rPr>
          <w:sz w:val="24"/>
        </w:rPr>
        <w:t>），每日中药用量与体质量折算系数的</w:t>
      </w:r>
      <w:r>
        <w:rPr>
          <w:sz w:val="24"/>
        </w:rPr>
        <w:t>6.3</w:t>
      </w:r>
      <w:r>
        <w:rPr>
          <w:sz w:val="24"/>
        </w:rPr>
        <w:t>倍计算给药剂量，</w:t>
      </w:r>
      <w:r>
        <w:rPr>
          <w:sz w:val="24"/>
        </w:rPr>
        <w:t>1</w:t>
      </w:r>
      <w:r>
        <w:rPr>
          <w:sz w:val="24"/>
        </w:rPr>
        <w:t>次</w:t>
      </w:r>
      <w:r>
        <w:rPr>
          <w:sz w:val="24"/>
        </w:rPr>
        <w:t>/d</w:t>
      </w:r>
      <w:r>
        <w:rPr>
          <w:sz w:val="24"/>
        </w:rPr>
        <w:t>，连续</w:t>
      </w:r>
      <w:r>
        <w:rPr>
          <w:sz w:val="24"/>
        </w:rPr>
        <w:t>5d</w:t>
      </w:r>
      <w:r>
        <w:rPr>
          <w:sz w:val="24"/>
        </w:rPr>
        <w:t>。</w:t>
      </w:r>
      <w:proofErr w:type="gramStart"/>
      <w:r>
        <w:rPr>
          <w:sz w:val="24"/>
        </w:rPr>
        <w:t>假手术组和</w:t>
      </w:r>
      <w:proofErr w:type="gramEnd"/>
      <w:r>
        <w:rPr>
          <w:sz w:val="24"/>
        </w:rPr>
        <w:t>CLP</w:t>
      </w:r>
      <w:r>
        <w:rPr>
          <w:sz w:val="24"/>
        </w:rPr>
        <w:t>模型组均予生理盐水灌胃，</w:t>
      </w:r>
      <w:r>
        <w:rPr>
          <w:sz w:val="24"/>
        </w:rPr>
        <w:t>1</w:t>
      </w:r>
      <w:r>
        <w:rPr>
          <w:sz w:val="24"/>
        </w:rPr>
        <w:t>次</w:t>
      </w:r>
      <w:r>
        <w:rPr>
          <w:sz w:val="24"/>
        </w:rPr>
        <w:t>/d</w:t>
      </w:r>
      <w:r>
        <w:rPr>
          <w:sz w:val="24"/>
        </w:rPr>
        <w:t>，连续</w:t>
      </w:r>
      <w:r>
        <w:rPr>
          <w:sz w:val="24"/>
        </w:rPr>
        <w:t>5d</w:t>
      </w:r>
      <w:r>
        <w:rPr>
          <w:sz w:val="24"/>
        </w:rPr>
        <w:t>。</w:t>
      </w:r>
    </w:p>
    <w:p w:rsidR="00C4690C" w:rsidRDefault="00C4690C" w:rsidP="00C4690C">
      <w:pPr>
        <w:spacing w:line="360" w:lineRule="auto"/>
        <w:ind w:firstLineChars="200" w:firstLine="480"/>
        <w:rPr>
          <w:sz w:val="24"/>
        </w:rPr>
      </w:pPr>
      <w:r>
        <w:rPr>
          <w:sz w:val="24"/>
        </w:rPr>
        <w:t>（</w:t>
      </w:r>
      <w:r>
        <w:rPr>
          <w:sz w:val="24"/>
        </w:rPr>
        <w:t>3</w:t>
      </w:r>
      <w:r>
        <w:rPr>
          <w:sz w:val="24"/>
        </w:rPr>
        <w:t>）动物取材</w:t>
      </w:r>
    </w:p>
    <w:p w:rsidR="00C4690C" w:rsidRDefault="00C4690C" w:rsidP="00C4690C">
      <w:pPr>
        <w:spacing w:line="360" w:lineRule="auto"/>
        <w:ind w:firstLineChars="200" w:firstLine="480"/>
        <w:rPr>
          <w:sz w:val="24"/>
        </w:rPr>
      </w:pPr>
      <w:r>
        <w:rPr>
          <w:sz w:val="24"/>
        </w:rPr>
        <w:t>采用</w:t>
      </w:r>
      <w:r>
        <w:rPr>
          <w:sz w:val="24"/>
        </w:rPr>
        <w:t>10%</w:t>
      </w:r>
      <w:r>
        <w:rPr>
          <w:sz w:val="24"/>
        </w:rPr>
        <w:t>水合氯醛（</w:t>
      </w:r>
      <w:r>
        <w:rPr>
          <w:sz w:val="24"/>
        </w:rPr>
        <w:t>0.5mL/100g</w:t>
      </w:r>
      <w:r>
        <w:rPr>
          <w:sz w:val="24"/>
        </w:rPr>
        <w:t>）麻醉全部大鼠。开始取材，采集的</w:t>
      </w:r>
      <w:proofErr w:type="gramStart"/>
      <w:r>
        <w:rPr>
          <w:sz w:val="24"/>
        </w:rPr>
        <w:t>腹主动脉血静置</w:t>
      </w:r>
      <w:proofErr w:type="gramEnd"/>
      <w:r>
        <w:rPr>
          <w:sz w:val="24"/>
        </w:rPr>
        <w:t>1h</w:t>
      </w:r>
      <w:r>
        <w:rPr>
          <w:sz w:val="24"/>
        </w:rPr>
        <w:t>后，以</w:t>
      </w:r>
      <w:r>
        <w:rPr>
          <w:sz w:val="24"/>
        </w:rPr>
        <w:t>3000r/min</w:t>
      </w:r>
      <w:r>
        <w:rPr>
          <w:sz w:val="24"/>
        </w:rPr>
        <w:t>低温离心</w:t>
      </w:r>
      <w:r>
        <w:rPr>
          <w:sz w:val="24"/>
        </w:rPr>
        <w:t>15 min</w:t>
      </w:r>
      <w:r>
        <w:rPr>
          <w:sz w:val="24"/>
        </w:rPr>
        <w:t>，提取上清，保存于</w:t>
      </w:r>
      <w:r>
        <w:rPr>
          <w:sz w:val="24"/>
        </w:rPr>
        <w:t>-20℃</w:t>
      </w:r>
      <w:r>
        <w:rPr>
          <w:sz w:val="24"/>
        </w:rPr>
        <w:t>冰箱，留作后续血清检测。同时，充分暴露前胸部，解剖大鼠并取心脏。每组大</w:t>
      </w:r>
      <w:proofErr w:type="gramStart"/>
      <w:r>
        <w:rPr>
          <w:sz w:val="24"/>
        </w:rPr>
        <w:t>鼠心组织</w:t>
      </w:r>
      <w:proofErr w:type="gramEnd"/>
      <w:r>
        <w:rPr>
          <w:sz w:val="24"/>
        </w:rPr>
        <w:t>分为</w:t>
      </w:r>
      <w:r>
        <w:rPr>
          <w:sz w:val="24"/>
        </w:rPr>
        <w:t>2</w:t>
      </w:r>
      <w:r>
        <w:rPr>
          <w:sz w:val="24"/>
        </w:rPr>
        <w:t>部分，一部分组织固定液固定，一部分则在</w:t>
      </w:r>
      <w:r>
        <w:rPr>
          <w:sz w:val="24"/>
        </w:rPr>
        <w:t>-80℃</w:t>
      </w:r>
      <w:r>
        <w:rPr>
          <w:sz w:val="24"/>
        </w:rPr>
        <w:t>冰箱保存，以备后续检测。</w:t>
      </w:r>
    </w:p>
    <w:p w:rsidR="00C4690C" w:rsidRDefault="00C4690C" w:rsidP="00C4690C">
      <w:pPr>
        <w:spacing w:line="360" w:lineRule="auto"/>
        <w:ind w:firstLineChars="200" w:firstLine="480"/>
        <w:rPr>
          <w:sz w:val="24"/>
        </w:rPr>
      </w:pPr>
      <w:r>
        <w:rPr>
          <w:sz w:val="24"/>
        </w:rPr>
        <w:t>（</w:t>
      </w:r>
      <w:r>
        <w:rPr>
          <w:sz w:val="24"/>
        </w:rPr>
        <w:t>4</w:t>
      </w:r>
      <w:r>
        <w:rPr>
          <w:sz w:val="24"/>
        </w:rPr>
        <w:t>）观察指标</w:t>
      </w:r>
    </w:p>
    <w:p w:rsidR="00C4690C" w:rsidRDefault="00C4690C" w:rsidP="00C4690C">
      <w:pPr>
        <w:spacing w:line="360" w:lineRule="auto"/>
        <w:ind w:firstLineChars="200" w:firstLine="480"/>
        <w:rPr>
          <w:sz w:val="24"/>
        </w:rPr>
      </w:pPr>
      <w:r>
        <w:rPr>
          <w:sz w:val="24"/>
        </w:rPr>
        <w:t>①</w:t>
      </w:r>
      <w:r>
        <w:rPr>
          <w:sz w:val="24"/>
        </w:rPr>
        <w:t>重症心</w:t>
      </w:r>
      <w:proofErr w:type="gramStart"/>
      <w:r>
        <w:rPr>
          <w:sz w:val="24"/>
        </w:rPr>
        <w:t>痹</w:t>
      </w:r>
      <w:proofErr w:type="gramEnd"/>
      <w:r>
        <w:rPr>
          <w:sz w:val="24"/>
        </w:rPr>
        <w:t xml:space="preserve">方入血成分及药物化学检测　</w:t>
      </w:r>
      <w:r>
        <w:rPr>
          <w:sz w:val="24"/>
        </w:rPr>
        <w:t xml:space="preserve"> </w:t>
      </w:r>
    </w:p>
    <w:p w:rsidR="00C4690C" w:rsidRDefault="00C4690C" w:rsidP="00C4690C">
      <w:pPr>
        <w:spacing w:line="360" w:lineRule="auto"/>
        <w:ind w:firstLineChars="200" w:firstLine="480"/>
        <w:rPr>
          <w:sz w:val="24"/>
        </w:rPr>
      </w:pPr>
      <w:r>
        <w:rPr>
          <w:sz w:val="24"/>
        </w:rPr>
        <w:t>使用液相色谱</w:t>
      </w:r>
      <w:r>
        <w:rPr>
          <w:sz w:val="24"/>
        </w:rPr>
        <w:t>-</w:t>
      </w:r>
      <w:r>
        <w:rPr>
          <w:sz w:val="24"/>
        </w:rPr>
        <w:t>质谱联用技术对重症心</w:t>
      </w:r>
      <w:proofErr w:type="gramStart"/>
      <w:r>
        <w:rPr>
          <w:sz w:val="24"/>
        </w:rPr>
        <w:t>痹</w:t>
      </w:r>
      <w:proofErr w:type="gramEnd"/>
      <w:r>
        <w:rPr>
          <w:sz w:val="24"/>
        </w:rPr>
        <w:t>方入血成分和中药原药液进行分析鉴定，色谱条件：流动相</w:t>
      </w:r>
      <w:r>
        <w:rPr>
          <w:sz w:val="24"/>
        </w:rPr>
        <w:t>A</w:t>
      </w:r>
      <w:r>
        <w:rPr>
          <w:sz w:val="24"/>
        </w:rPr>
        <w:t>为</w:t>
      </w:r>
      <w:r>
        <w:rPr>
          <w:sz w:val="24"/>
        </w:rPr>
        <w:t xml:space="preserve"> 10 mmol/L</w:t>
      </w:r>
      <w:r>
        <w:rPr>
          <w:sz w:val="24"/>
        </w:rPr>
        <w:t>乙酸铵</w:t>
      </w:r>
      <w:r>
        <w:rPr>
          <w:sz w:val="24"/>
        </w:rPr>
        <w:t xml:space="preserve"> 0.25%</w:t>
      </w:r>
      <w:r>
        <w:rPr>
          <w:sz w:val="24"/>
        </w:rPr>
        <w:t>醋酸，流动相</w:t>
      </w:r>
      <w:r>
        <w:rPr>
          <w:sz w:val="24"/>
        </w:rPr>
        <w:t xml:space="preserve"> B</w:t>
      </w:r>
      <w:r>
        <w:rPr>
          <w:sz w:val="24"/>
        </w:rPr>
        <w:t>为乙腈</w:t>
      </w:r>
      <w:r>
        <w:rPr>
          <w:sz w:val="24"/>
        </w:rPr>
        <w:t>-</w:t>
      </w:r>
      <w:r>
        <w:rPr>
          <w:sz w:val="24"/>
        </w:rPr>
        <w:t>甲醇</w:t>
      </w:r>
      <w:r>
        <w:rPr>
          <w:sz w:val="24"/>
        </w:rPr>
        <w:t>-</w:t>
      </w:r>
      <w:r>
        <w:rPr>
          <w:sz w:val="24"/>
        </w:rPr>
        <w:t>异丙醇（</w:t>
      </w:r>
      <w:r>
        <w:rPr>
          <w:sz w:val="24"/>
        </w:rPr>
        <w:t>8</w:t>
      </w:r>
      <w:r>
        <w:rPr>
          <w:sz w:val="24"/>
        </w:rPr>
        <w:t>：</w:t>
      </w:r>
      <w:r>
        <w:rPr>
          <w:sz w:val="24"/>
        </w:rPr>
        <w:t>1</w:t>
      </w:r>
      <w:r>
        <w:rPr>
          <w:sz w:val="24"/>
        </w:rPr>
        <w:t>：</w:t>
      </w:r>
      <w:r>
        <w:rPr>
          <w:sz w:val="24"/>
        </w:rPr>
        <w:t>1</w:t>
      </w:r>
      <w:r>
        <w:rPr>
          <w:sz w:val="24"/>
        </w:rPr>
        <w:t>），梯度洗脱：</w:t>
      </w:r>
      <w:r>
        <w:rPr>
          <w:sz w:val="24"/>
        </w:rPr>
        <w:t>0-0.3 min</w:t>
      </w:r>
      <w:r>
        <w:rPr>
          <w:sz w:val="24"/>
        </w:rPr>
        <w:t>，</w:t>
      </w:r>
      <w:r>
        <w:rPr>
          <w:sz w:val="24"/>
        </w:rPr>
        <w:t>5% B</w:t>
      </w:r>
      <w:r>
        <w:rPr>
          <w:sz w:val="24"/>
        </w:rPr>
        <w:t>；</w:t>
      </w:r>
      <w:r>
        <w:rPr>
          <w:sz w:val="24"/>
        </w:rPr>
        <w:t>0.3-0.5 min</w:t>
      </w:r>
      <w:r>
        <w:rPr>
          <w:sz w:val="24"/>
        </w:rPr>
        <w:t>，</w:t>
      </w:r>
      <w:r>
        <w:rPr>
          <w:sz w:val="24"/>
        </w:rPr>
        <w:t>5%-10% B</w:t>
      </w:r>
      <w:r>
        <w:rPr>
          <w:sz w:val="24"/>
        </w:rPr>
        <w:t>；</w:t>
      </w:r>
      <w:r>
        <w:rPr>
          <w:sz w:val="24"/>
        </w:rPr>
        <w:t>0.5-2 min</w:t>
      </w:r>
      <w:r>
        <w:rPr>
          <w:sz w:val="24"/>
        </w:rPr>
        <w:t>，</w:t>
      </w:r>
      <w:r>
        <w:rPr>
          <w:sz w:val="24"/>
        </w:rPr>
        <w:t>10%-5% B</w:t>
      </w:r>
      <w:r>
        <w:rPr>
          <w:sz w:val="24"/>
        </w:rPr>
        <w:t>；</w:t>
      </w:r>
      <w:r>
        <w:rPr>
          <w:sz w:val="24"/>
        </w:rPr>
        <w:t>2-3 min</w:t>
      </w:r>
      <w:r>
        <w:rPr>
          <w:sz w:val="24"/>
        </w:rPr>
        <w:t>，</w:t>
      </w:r>
      <w:r>
        <w:rPr>
          <w:sz w:val="24"/>
        </w:rPr>
        <w:t>15%-30% B</w:t>
      </w:r>
      <w:r>
        <w:rPr>
          <w:sz w:val="24"/>
        </w:rPr>
        <w:t>；</w:t>
      </w:r>
      <w:r>
        <w:rPr>
          <w:sz w:val="24"/>
        </w:rPr>
        <w:t>3-6 min</w:t>
      </w:r>
      <w:r>
        <w:rPr>
          <w:sz w:val="24"/>
        </w:rPr>
        <w:t>，</w:t>
      </w:r>
      <w:r>
        <w:rPr>
          <w:sz w:val="24"/>
        </w:rPr>
        <w:t>30% B</w:t>
      </w:r>
      <w:r>
        <w:rPr>
          <w:sz w:val="24"/>
        </w:rPr>
        <w:t>；</w:t>
      </w:r>
      <w:r>
        <w:rPr>
          <w:sz w:val="24"/>
        </w:rPr>
        <w:t>6-8 min</w:t>
      </w:r>
      <w:r>
        <w:rPr>
          <w:sz w:val="24"/>
        </w:rPr>
        <w:t>，</w:t>
      </w:r>
      <w:r>
        <w:rPr>
          <w:sz w:val="24"/>
        </w:rPr>
        <w:t>30%-35% B</w:t>
      </w:r>
      <w:r>
        <w:rPr>
          <w:sz w:val="24"/>
        </w:rPr>
        <w:t>；</w:t>
      </w:r>
      <w:r>
        <w:rPr>
          <w:sz w:val="24"/>
        </w:rPr>
        <w:t>8-9 min</w:t>
      </w:r>
      <w:r>
        <w:rPr>
          <w:sz w:val="24"/>
        </w:rPr>
        <w:t>，</w:t>
      </w:r>
      <w:r>
        <w:rPr>
          <w:sz w:val="24"/>
        </w:rPr>
        <w:t>35%-40% B</w:t>
      </w:r>
      <w:r>
        <w:rPr>
          <w:sz w:val="24"/>
        </w:rPr>
        <w:t>；</w:t>
      </w:r>
      <w:r>
        <w:rPr>
          <w:sz w:val="24"/>
        </w:rPr>
        <w:t>9-10 min</w:t>
      </w:r>
      <w:r>
        <w:rPr>
          <w:sz w:val="24"/>
        </w:rPr>
        <w:t>，</w:t>
      </w:r>
      <w:r>
        <w:rPr>
          <w:sz w:val="24"/>
        </w:rPr>
        <w:t>40% B</w:t>
      </w:r>
      <w:r>
        <w:rPr>
          <w:sz w:val="24"/>
        </w:rPr>
        <w:t>；</w:t>
      </w:r>
      <w:r>
        <w:rPr>
          <w:sz w:val="24"/>
        </w:rPr>
        <w:t>10-15 min</w:t>
      </w:r>
      <w:r>
        <w:rPr>
          <w:sz w:val="24"/>
        </w:rPr>
        <w:t>，</w:t>
      </w:r>
      <w:r>
        <w:rPr>
          <w:sz w:val="24"/>
        </w:rPr>
        <w:t>40%-75% B</w:t>
      </w:r>
      <w:r>
        <w:rPr>
          <w:sz w:val="24"/>
        </w:rPr>
        <w:t>；</w:t>
      </w:r>
      <w:r>
        <w:rPr>
          <w:sz w:val="24"/>
        </w:rPr>
        <w:t>15-15.5 min</w:t>
      </w:r>
      <w:r>
        <w:rPr>
          <w:sz w:val="24"/>
        </w:rPr>
        <w:t>，</w:t>
      </w:r>
      <w:r>
        <w:rPr>
          <w:sz w:val="24"/>
        </w:rPr>
        <w:t>75%- 100% B</w:t>
      </w:r>
      <w:r>
        <w:rPr>
          <w:sz w:val="24"/>
        </w:rPr>
        <w:t>；</w:t>
      </w:r>
      <w:r>
        <w:rPr>
          <w:sz w:val="24"/>
        </w:rPr>
        <w:t>15.5-16.2 min</w:t>
      </w:r>
      <w:r>
        <w:rPr>
          <w:sz w:val="24"/>
        </w:rPr>
        <w:t>，</w:t>
      </w:r>
      <w:r>
        <w:rPr>
          <w:sz w:val="24"/>
        </w:rPr>
        <w:t>100% B</w:t>
      </w:r>
      <w:r>
        <w:rPr>
          <w:sz w:val="24"/>
        </w:rPr>
        <w:t>；</w:t>
      </w:r>
      <w:r>
        <w:rPr>
          <w:sz w:val="24"/>
        </w:rPr>
        <w:t>16.2-16.3 min</w:t>
      </w:r>
      <w:r>
        <w:rPr>
          <w:sz w:val="24"/>
        </w:rPr>
        <w:t>，</w:t>
      </w:r>
      <w:r>
        <w:rPr>
          <w:sz w:val="24"/>
        </w:rPr>
        <w:t>100%-5% B</w:t>
      </w:r>
      <w:r>
        <w:rPr>
          <w:sz w:val="24"/>
        </w:rPr>
        <w:t>；</w:t>
      </w:r>
      <w:r>
        <w:rPr>
          <w:sz w:val="24"/>
        </w:rPr>
        <w:t>16.3-17 min</w:t>
      </w:r>
      <w:r>
        <w:rPr>
          <w:sz w:val="24"/>
        </w:rPr>
        <w:t>，</w:t>
      </w:r>
      <w:r>
        <w:rPr>
          <w:sz w:val="24"/>
        </w:rPr>
        <w:t>5% B</w:t>
      </w:r>
      <w:r>
        <w:rPr>
          <w:sz w:val="24"/>
        </w:rPr>
        <w:t>。</w:t>
      </w:r>
      <w:proofErr w:type="gramStart"/>
      <w:r>
        <w:rPr>
          <w:sz w:val="24"/>
        </w:rPr>
        <w:t>进样量为</w:t>
      </w:r>
      <w:proofErr w:type="gramEnd"/>
      <w:r>
        <w:rPr>
          <w:sz w:val="24"/>
        </w:rPr>
        <w:t>5 μL</w:t>
      </w:r>
      <w:r>
        <w:rPr>
          <w:sz w:val="24"/>
        </w:rPr>
        <w:t>。质谱条件：电喷雾电离源（</w:t>
      </w:r>
      <w:r>
        <w:rPr>
          <w:sz w:val="24"/>
        </w:rPr>
        <w:t>ESI−</w:t>
      </w:r>
      <w:r>
        <w:rPr>
          <w:sz w:val="24"/>
        </w:rPr>
        <w:t>）；</w:t>
      </w:r>
      <w:proofErr w:type="gramStart"/>
      <w:r>
        <w:rPr>
          <w:sz w:val="24"/>
        </w:rPr>
        <w:t>柱温</w:t>
      </w:r>
      <w:proofErr w:type="gramEnd"/>
      <w:r>
        <w:rPr>
          <w:sz w:val="24"/>
        </w:rPr>
        <w:t xml:space="preserve"> 30 °C</w:t>
      </w:r>
      <w:r>
        <w:rPr>
          <w:sz w:val="24"/>
        </w:rPr>
        <w:t>；样品室温度</w:t>
      </w:r>
      <w:r>
        <w:rPr>
          <w:sz w:val="24"/>
        </w:rPr>
        <w:t>10 °C</w:t>
      </w:r>
      <w:r>
        <w:rPr>
          <w:sz w:val="24"/>
        </w:rPr>
        <w:t>；毛细管电压</w:t>
      </w:r>
      <w:r>
        <w:rPr>
          <w:sz w:val="24"/>
        </w:rPr>
        <w:t>2.0 kV</w:t>
      </w:r>
      <w:r>
        <w:rPr>
          <w:sz w:val="24"/>
        </w:rPr>
        <w:t>；离子源温度</w:t>
      </w:r>
      <w:r>
        <w:rPr>
          <w:sz w:val="24"/>
        </w:rPr>
        <w:t>150 ℃</w:t>
      </w:r>
      <w:r>
        <w:rPr>
          <w:sz w:val="24"/>
        </w:rPr>
        <w:t>；洗脱溶剂温度</w:t>
      </w:r>
      <w:r>
        <w:rPr>
          <w:sz w:val="24"/>
        </w:rPr>
        <w:t>550 ℃</w:t>
      </w:r>
      <w:r>
        <w:rPr>
          <w:sz w:val="24"/>
        </w:rPr>
        <w:t>；洗脱溶剂体积流量</w:t>
      </w:r>
      <w:r>
        <w:rPr>
          <w:sz w:val="24"/>
        </w:rPr>
        <w:t>1000 L/h</w:t>
      </w:r>
      <w:r>
        <w:rPr>
          <w:sz w:val="24"/>
        </w:rPr>
        <w:t>。选用</w:t>
      </w:r>
      <w:r>
        <w:rPr>
          <w:sz w:val="24"/>
        </w:rPr>
        <w:t>Masslynx v 4.1</w:t>
      </w:r>
      <w:r>
        <w:rPr>
          <w:sz w:val="24"/>
        </w:rPr>
        <w:t>软件处理原始数据，对样品所含胆汁酸进行积分、建立标准曲线和定量分析。选用</w:t>
      </w:r>
      <w:r>
        <w:rPr>
          <w:sz w:val="24"/>
        </w:rPr>
        <w:t>iMAP v1.0</w:t>
      </w:r>
      <w:r>
        <w:rPr>
          <w:sz w:val="24"/>
        </w:rPr>
        <w:t>软件用于统计分析，包括主成分分析（</w:t>
      </w:r>
      <w:r>
        <w:rPr>
          <w:sz w:val="24"/>
        </w:rPr>
        <w:t>principal componentanalysis</w:t>
      </w:r>
      <w:r>
        <w:rPr>
          <w:sz w:val="24"/>
        </w:rPr>
        <w:t>，</w:t>
      </w:r>
      <w:r>
        <w:rPr>
          <w:sz w:val="24"/>
        </w:rPr>
        <w:t>PCA</w:t>
      </w:r>
      <w:r>
        <w:rPr>
          <w:sz w:val="24"/>
        </w:rPr>
        <w:t>）、正交偏最小二乘－判别分析（</w:t>
      </w:r>
      <w:r>
        <w:rPr>
          <w:sz w:val="24"/>
        </w:rPr>
        <w:t>orthogonal partial least squares-discriminantanalysis</w:t>
      </w:r>
      <w:r>
        <w:rPr>
          <w:sz w:val="24"/>
        </w:rPr>
        <w:t>，</w:t>
      </w:r>
      <w:r>
        <w:rPr>
          <w:sz w:val="24"/>
        </w:rPr>
        <w:t>OPLS-DA</w:t>
      </w:r>
      <w:r>
        <w:rPr>
          <w:sz w:val="24"/>
        </w:rPr>
        <w:t>）和单维统计检验等。</w:t>
      </w:r>
      <w:r>
        <w:rPr>
          <w:sz w:val="24"/>
        </w:rPr>
        <w:t>PCA</w:t>
      </w:r>
      <w:r>
        <w:rPr>
          <w:sz w:val="24"/>
        </w:rPr>
        <w:t>和</w:t>
      </w:r>
      <w:r>
        <w:rPr>
          <w:sz w:val="24"/>
        </w:rPr>
        <w:t>OPLS-DA</w:t>
      </w:r>
      <w:r>
        <w:rPr>
          <w:sz w:val="24"/>
        </w:rPr>
        <w:t>取</w:t>
      </w:r>
      <w:r>
        <w:rPr>
          <w:sz w:val="24"/>
        </w:rPr>
        <w:t>VIP</w:t>
      </w:r>
      <w:r>
        <w:rPr>
          <w:sz w:val="24"/>
        </w:rPr>
        <w:t>＞</w:t>
      </w:r>
      <w:r>
        <w:rPr>
          <w:sz w:val="24"/>
        </w:rPr>
        <w:t>1</w:t>
      </w:r>
      <w:r>
        <w:rPr>
          <w:sz w:val="24"/>
        </w:rPr>
        <w:t>且</w:t>
      </w:r>
      <w:r>
        <w:rPr>
          <w:sz w:val="24"/>
        </w:rPr>
        <w:t>P</w:t>
      </w:r>
      <w:r>
        <w:rPr>
          <w:sz w:val="24"/>
        </w:rPr>
        <w:t>＜</w:t>
      </w:r>
      <w:r>
        <w:rPr>
          <w:sz w:val="24"/>
        </w:rPr>
        <w:t>0.05</w:t>
      </w:r>
      <w:r>
        <w:rPr>
          <w:sz w:val="24"/>
        </w:rPr>
        <w:t>的代谢物交集作为显著差异代谢物。在以上结果的基础上进行统计检验分析。</w:t>
      </w:r>
    </w:p>
    <w:p w:rsidR="00C4690C" w:rsidRDefault="00C4690C" w:rsidP="00C4690C">
      <w:pPr>
        <w:spacing w:line="360" w:lineRule="auto"/>
        <w:ind w:firstLineChars="200" w:firstLine="480"/>
        <w:rPr>
          <w:sz w:val="24"/>
        </w:rPr>
      </w:pPr>
      <w:r>
        <w:rPr>
          <w:sz w:val="24"/>
        </w:rPr>
        <w:t>②</w:t>
      </w:r>
      <w:r>
        <w:rPr>
          <w:sz w:val="24"/>
        </w:rPr>
        <w:t>心肌损伤标志物检测</w:t>
      </w:r>
    </w:p>
    <w:p w:rsidR="00C4690C" w:rsidRDefault="00C4690C" w:rsidP="00C4690C">
      <w:pPr>
        <w:spacing w:line="360" w:lineRule="auto"/>
        <w:ind w:firstLineChars="200" w:firstLine="480"/>
        <w:rPr>
          <w:sz w:val="24"/>
        </w:rPr>
      </w:pPr>
      <w:r>
        <w:rPr>
          <w:sz w:val="24"/>
        </w:rPr>
        <w:t>通过全自动血清生化分析仪测定大鼠血清肌酸激酶（</w:t>
      </w:r>
      <w:r>
        <w:rPr>
          <w:sz w:val="24"/>
        </w:rPr>
        <w:t>CK</w:t>
      </w:r>
      <w:r>
        <w:rPr>
          <w:sz w:val="24"/>
        </w:rPr>
        <w:t>）、肌酸激酶同工酶（</w:t>
      </w:r>
      <w:r>
        <w:rPr>
          <w:sz w:val="24"/>
        </w:rPr>
        <w:t>CK-MB</w:t>
      </w:r>
      <w:r>
        <w:rPr>
          <w:sz w:val="24"/>
        </w:rPr>
        <w:t>）、乳酸脱氢酶（</w:t>
      </w:r>
      <w:r>
        <w:rPr>
          <w:sz w:val="24"/>
        </w:rPr>
        <w:t>LDH</w:t>
      </w:r>
      <w:r>
        <w:rPr>
          <w:sz w:val="24"/>
        </w:rPr>
        <w:t>）含量。按生化试剂</w:t>
      </w:r>
      <w:proofErr w:type="gramStart"/>
      <w:r>
        <w:rPr>
          <w:sz w:val="24"/>
        </w:rPr>
        <w:t>盒说明</w:t>
      </w:r>
      <w:proofErr w:type="gramEnd"/>
      <w:r>
        <w:rPr>
          <w:sz w:val="24"/>
        </w:rPr>
        <w:t>进行操作。</w:t>
      </w:r>
    </w:p>
    <w:p w:rsidR="00C4690C" w:rsidRDefault="00C4690C" w:rsidP="00C4690C">
      <w:pPr>
        <w:spacing w:line="360" w:lineRule="auto"/>
        <w:ind w:firstLineChars="200" w:firstLine="480"/>
        <w:rPr>
          <w:sz w:val="24"/>
        </w:rPr>
      </w:pPr>
      <w:r>
        <w:rPr>
          <w:sz w:val="24"/>
        </w:rPr>
        <w:lastRenderedPageBreak/>
        <w:t xml:space="preserve">③ </w:t>
      </w:r>
      <w:r>
        <w:rPr>
          <w:sz w:val="24"/>
        </w:rPr>
        <w:t>苏木精和伊红（</w:t>
      </w:r>
      <w:r>
        <w:rPr>
          <w:sz w:val="24"/>
        </w:rPr>
        <w:t>hematoxylin-eosin</w:t>
      </w:r>
      <w:r>
        <w:rPr>
          <w:sz w:val="24"/>
        </w:rPr>
        <w:t>，</w:t>
      </w:r>
      <w:r>
        <w:rPr>
          <w:sz w:val="24"/>
        </w:rPr>
        <w:t>HE</w:t>
      </w:r>
      <w:r>
        <w:rPr>
          <w:sz w:val="24"/>
        </w:rPr>
        <w:t>）染色</w:t>
      </w:r>
      <w:r>
        <w:rPr>
          <w:sz w:val="24"/>
        </w:rPr>
        <w:t xml:space="preserve">  </w:t>
      </w:r>
    </w:p>
    <w:p w:rsidR="00C4690C" w:rsidRDefault="00C4690C" w:rsidP="00C4690C">
      <w:pPr>
        <w:spacing w:line="360" w:lineRule="auto"/>
        <w:ind w:firstLineChars="200" w:firstLine="480"/>
        <w:rPr>
          <w:sz w:val="24"/>
        </w:rPr>
      </w:pPr>
      <w:r>
        <w:rPr>
          <w:sz w:val="24"/>
        </w:rPr>
        <w:t>将部分心组织在室温下用４</w:t>
      </w:r>
      <w:r>
        <w:rPr>
          <w:sz w:val="24"/>
        </w:rPr>
        <w:t>%</w:t>
      </w:r>
      <w:r>
        <w:rPr>
          <w:sz w:val="24"/>
        </w:rPr>
        <w:t>多聚甲醛固定</w:t>
      </w:r>
      <w:r>
        <w:rPr>
          <w:sz w:val="24"/>
        </w:rPr>
        <w:t>24h</w:t>
      </w:r>
      <w:r>
        <w:rPr>
          <w:sz w:val="24"/>
        </w:rPr>
        <w:t>，</w:t>
      </w:r>
      <w:r>
        <w:rPr>
          <w:sz w:val="24"/>
        </w:rPr>
        <w:t>PBS</w:t>
      </w:r>
      <w:r>
        <w:rPr>
          <w:sz w:val="24"/>
        </w:rPr>
        <w:t>洗涤后，将其包埋在石蜡中，并切成４</w:t>
      </w:r>
      <w:r>
        <w:rPr>
          <w:sz w:val="24"/>
        </w:rPr>
        <w:t>μm</w:t>
      </w:r>
      <w:r>
        <w:rPr>
          <w:sz w:val="24"/>
        </w:rPr>
        <w:t>厚的</w:t>
      </w:r>
      <w:proofErr w:type="gramStart"/>
      <w:r>
        <w:rPr>
          <w:sz w:val="24"/>
        </w:rPr>
        <w:t>心组织</w:t>
      </w:r>
      <w:proofErr w:type="gramEnd"/>
      <w:r>
        <w:rPr>
          <w:sz w:val="24"/>
        </w:rPr>
        <w:t>切片，按照</w:t>
      </w:r>
      <w:r>
        <w:rPr>
          <w:sz w:val="24"/>
        </w:rPr>
        <w:t>HE</w:t>
      </w:r>
      <w:r>
        <w:rPr>
          <w:sz w:val="24"/>
        </w:rPr>
        <w:t>常规法进行染色。在光学显微镜下，观察</w:t>
      </w:r>
      <w:proofErr w:type="gramStart"/>
      <w:r>
        <w:rPr>
          <w:sz w:val="24"/>
        </w:rPr>
        <w:t>心组织</w:t>
      </w:r>
      <w:proofErr w:type="gramEnd"/>
      <w:r>
        <w:rPr>
          <w:sz w:val="24"/>
        </w:rPr>
        <w:t>病理损伤情况。</w:t>
      </w:r>
    </w:p>
    <w:p w:rsidR="00C4690C" w:rsidRDefault="00C4690C" w:rsidP="00C4690C">
      <w:pPr>
        <w:spacing w:line="360" w:lineRule="auto"/>
        <w:ind w:firstLineChars="200" w:firstLine="480"/>
        <w:rPr>
          <w:sz w:val="24"/>
        </w:rPr>
      </w:pPr>
      <w:r>
        <w:rPr>
          <w:sz w:val="24"/>
        </w:rPr>
        <w:t>④</w:t>
      </w:r>
      <w:r>
        <w:rPr>
          <w:sz w:val="24"/>
        </w:rPr>
        <w:t>免疫组化法检测</w:t>
      </w:r>
      <w:proofErr w:type="gramStart"/>
      <w:r>
        <w:rPr>
          <w:sz w:val="24"/>
        </w:rPr>
        <w:t>焦亡关键</w:t>
      </w:r>
      <w:proofErr w:type="gramEnd"/>
      <w:r>
        <w:rPr>
          <w:sz w:val="24"/>
        </w:rPr>
        <w:t>蛋白表达水平</w:t>
      </w:r>
    </w:p>
    <w:p w:rsidR="00C4690C" w:rsidRDefault="00C4690C" w:rsidP="00C4690C">
      <w:pPr>
        <w:spacing w:line="360" w:lineRule="auto"/>
        <w:ind w:firstLineChars="200" w:firstLine="480"/>
        <w:rPr>
          <w:sz w:val="24"/>
        </w:rPr>
      </w:pPr>
      <w:r>
        <w:rPr>
          <w:sz w:val="24"/>
        </w:rPr>
        <w:t>按照</w:t>
      </w:r>
      <w:r>
        <w:rPr>
          <w:sz w:val="24"/>
        </w:rPr>
        <w:t>NLRP3</w:t>
      </w:r>
      <w:r>
        <w:rPr>
          <w:sz w:val="24"/>
        </w:rPr>
        <w:t>、</w:t>
      </w:r>
      <w:r>
        <w:rPr>
          <w:sz w:val="24"/>
        </w:rPr>
        <w:t>ASC</w:t>
      </w:r>
      <w:r>
        <w:rPr>
          <w:sz w:val="24"/>
        </w:rPr>
        <w:t>、</w:t>
      </w:r>
      <w:r>
        <w:rPr>
          <w:sz w:val="24"/>
        </w:rPr>
        <w:t>Cleaved-caspase1</w:t>
      </w:r>
      <w:r>
        <w:rPr>
          <w:sz w:val="24"/>
        </w:rPr>
        <w:t>免疫组化试剂盒说明书步骤，将已固定好的</w:t>
      </w:r>
      <w:proofErr w:type="gramStart"/>
      <w:r>
        <w:rPr>
          <w:sz w:val="24"/>
        </w:rPr>
        <w:t>心组织</w:t>
      </w:r>
      <w:proofErr w:type="gramEnd"/>
      <w:r>
        <w:rPr>
          <w:sz w:val="24"/>
        </w:rPr>
        <w:t>进行石蜡包埋并切片，经脱蜡水化后加入柠檬酸钠进行抗原热修复，随后加入新鲜配制的</w:t>
      </w:r>
      <w:r>
        <w:rPr>
          <w:sz w:val="24"/>
        </w:rPr>
        <w:t>3%</w:t>
      </w:r>
      <w:r>
        <w:rPr>
          <w:sz w:val="24"/>
        </w:rPr>
        <w:t>双氧水，室温孵育</w:t>
      </w:r>
      <w:r>
        <w:rPr>
          <w:sz w:val="24"/>
        </w:rPr>
        <w:t>10min</w:t>
      </w:r>
      <w:r>
        <w:rPr>
          <w:sz w:val="24"/>
        </w:rPr>
        <w:t>，</w:t>
      </w:r>
      <w:r>
        <w:rPr>
          <w:sz w:val="24"/>
        </w:rPr>
        <w:t>PBS</w:t>
      </w:r>
      <w:r>
        <w:rPr>
          <w:sz w:val="24"/>
        </w:rPr>
        <w:t>充分洗涤，室温通透</w:t>
      </w:r>
      <w:r>
        <w:rPr>
          <w:sz w:val="24"/>
        </w:rPr>
        <w:t>10-20min</w:t>
      </w:r>
      <w:r>
        <w:rPr>
          <w:sz w:val="24"/>
        </w:rPr>
        <w:t>，进行非特异性封闭后，开始孵育</w:t>
      </w:r>
      <w:proofErr w:type="gramStart"/>
      <w:r>
        <w:rPr>
          <w:sz w:val="24"/>
        </w:rPr>
        <w:t>一</w:t>
      </w:r>
      <w:proofErr w:type="gramEnd"/>
      <w:r>
        <w:rPr>
          <w:sz w:val="24"/>
        </w:rPr>
        <w:t>抗，</w:t>
      </w:r>
      <w:r>
        <w:rPr>
          <w:sz w:val="24"/>
        </w:rPr>
        <w:t>4℃</w:t>
      </w:r>
      <w:r>
        <w:rPr>
          <w:sz w:val="24"/>
        </w:rPr>
        <w:t>孵育过夜，随后孵育二抗，</w:t>
      </w:r>
      <w:r>
        <w:rPr>
          <w:sz w:val="24"/>
        </w:rPr>
        <w:t>37℃</w:t>
      </w:r>
      <w:r>
        <w:rPr>
          <w:sz w:val="24"/>
        </w:rPr>
        <w:t>孵育</w:t>
      </w:r>
      <w:r>
        <w:rPr>
          <w:sz w:val="24"/>
        </w:rPr>
        <w:t>30 min</w:t>
      </w:r>
      <w:r>
        <w:rPr>
          <w:sz w:val="24"/>
        </w:rPr>
        <w:t>，</w:t>
      </w:r>
      <w:r>
        <w:rPr>
          <w:sz w:val="24"/>
        </w:rPr>
        <w:t>PBS</w:t>
      </w:r>
      <w:r>
        <w:rPr>
          <w:sz w:val="24"/>
        </w:rPr>
        <w:t>充分洗涤后，用</w:t>
      </w:r>
      <w:r>
        <w:rPr>
          <w:sz w:val="24"/>
        </w:rPr>
        <w:t>DAB</w:t>
      </w:r>
      <w:r>
        <w:rPr>
          <w:sz w:val="24"/>
        </w:rPr>
        <w:t>显色</w:t>
      </w:r>
      <w:r>
        <w:rPr>
          <w:sz w:val="24"/>
        </w:rPr>
        <w:t>5min</w:t>
      </w:r>
      <w:r>
        <w:rPr>
          <w:sz w:val="24"/>
        </w:rPr>
        <w:t>，苏木精复染，光学显微镜下观察</w:t>
      </w:r>
      <w:proofErr w:type="gramStart"/>
      <w:r>
        <w:rPr>
          <w:sz w:val="24"/>
        </w:rPr>
        <w:t>焦亡关键</w:t>
      </w:r>
      <w:proofErr w:type="gramEnd"/>
      <w:r>
        <w:rPr>
          <w:sz w:val="24"/>
        </w:rPr>
        <w:t>蛋白表达情况。</w:t>
      </w:r>
    </w:p>
    <w:p w:rsidR="00C4690C" w:rsidRDefault="00C4690C" w:rsidP="00C4690C">
      <w:pPr>
        <w:spacing w:line="360" w:lineRule="auto"/>
        <w:ind w:firstLineChars="200" w:firstLine="480"/>
        <w:rPr>
          <w:sz w:val="24"/>
        </w:rPr>
      </w:pPr>
      <w:r>
        <w:rPr>
          <w:sz w:val="24"/>
        </w:rPr>
        <w:t>⑤Western Blot</w:t>
      </w:r>
      <w:r>
        <w:rPr>
          <w:sz w:val="24"/>
        </w:rPr>
        <w:t>法检测</w:t>
      </w:r>
      <w:proofErr w:type="gramStart"/>
      <w:r>
        <w:rPr>
          <w:sz w:val="24"/>
        </w:rPr>
        <w:t>焦亡关键</w:t>
      </w:r>
      <w:proofErr w:type="gramEnd"/>
      <w:r>
        <w:rPr>
          <w:sz w:val="24"/>
        </w:rPr>
        <w:t>蛋白表达水平</w:t>
      </w:r>
    </w:p>
    <w:p w:rsidR="00C4690C" w:rsidRDefault="00C4690C" w:rsidP="00C4690C">
      <w:pPr>
        <w:spacing w:line="360" w:lineRule="auto"/>
        <w:ind w:firstLineChars="200" w:firstLine="480"/>
        <w:rPr>
          <w:sz w:val="24"/>
        </w:rPr>
      </w:pPr>
      <w:r>
        <w:rPr>
          <w:sz w:val="24"/>
        </w:rPr>
        <w:t>首先取约</w:t>
      </w:r>
      <w:r>
        <w:rPr>
          <w:sz w:val="24"/>
        </w:rPr>
        <w:t>50mg</w:t>
      </w:r>
      <w:r>
        <w:rPr>
          <w:sz w:val="24"/>
        </w:rPr>
        <w:t>的心组织，提取总蛋白，</w:t>
      </w:r>
      <w:r>
        <w:rPr>
          <w:sz w:val="24"/>
        </w:rPr>
        <w:t>BCA</w:t>
      </w:r>
      <w:r>
        <w:rPr>
          <w:sz w:val="24"/>
        </w:rPr>
        <w:t>蛋白浓度测定，蛋白浓度测定孵育结束后，计算各样品的蛋白浓度，进行蛋白样品制备，</w:t>
      </w:r>
      <w:proofErr w:type="gramStart"/>
      <w:r>
        <w:rPr>
          <w:sz w:val="24"/>
        </w:rPr>
        <w:t>配胶上</w:t>
      </w:r>
      <w:proofErr w:type="gramEnd"/>
      <w:r>
        <w:rPr>
          <w:sz w:val="24"/>
        </w:rPr>
        <w:t>样，</w:t>
      </w:r>
      <w:r>
        <w:rPr>
          <w:sz w:val="24"/>
        </w:rPr>
        <w:t>SDS-PAGE</w:t>
      </w:r>
      <w:r>
        <w:rPr>
          <w:sz w:val="24"/>
        </w:rPr>
        <w:t>电泳，上</w:t>
      </w:r>
      <w:r>
        <w:rPr>
          <w:sz w:val="24"/>
        </w:rPr>
        <w:t>PVDF</w:t>
      </w:r>
      <w:r>
        <w:rPr>
          <w:sz w:val="24"/>
        </w:rPr>
        <w:t>膜，</w:t>
      </w:r>
      <w:r>
        <w:rPr>
          <w:sz w:val="24"/>
        </w:rPr>
        <w:t>TBST</w:t>
      </w:r>
      <w:r>
        <w:rPr>
          <w:sz w:val="24"/>
        </w:rPr>
        <w:t>洗膜，</w:t>
      </w:r>
      <w:proofErr w:type="gramStart"/>
      <w:r>
        <w:rPr>
          <w:sz w:val="24"/>
        </w:rPr>
        <w:t>转膜后</w:t>
      </w:r>
      <w:proofErr w:type="gramEnd"/>
      <w:r>
        <w:rPr>
          <w:sz w:val="24"/>
        </w:rPr>
        <w:t>封闭、孵育</w:t>
      </w:r>
      <w:proofErr w:type="gramStart"/>
      <w:r>
        <w:rPr>
          <w:sz w:val="24"/>
        </w:rPr>
        <w:t>一</w:t>
      </w:r>
      <w:proofErr w:type="gramEnd"/>
      <w:r>
        <w:rPr>
          <w:sz w:val="24"/>
        </w:rPr>
        <w:t>抗及二抗，按照说明书完成显影与统计，采用</w:t>
      </w:r>
      <w:r>
        <w:rPr>
          <w:sz w:val="24"/>
        </w:rPr>
        <w:t>image J</w:t>
      </w:r>
      <w:r>
        <w:rPr>
          <w:sz w:val="24"/>
        </w:rPr>
        <w:t>软件进行灰度值检测，用各目的条带与内参条带灰度值的比值进行统计分析。</w:t>
      </w:r>
    </w:p>
    <w:p w:rsidR="00C4690C" w:rsidRDefault="00C4690C" w:rsidP="00C4690C">
      <w:pPr>
        <w:spacing w:line="360" w:lineRule="auto"/>
        <w:ind w:firstLineChars="200" w:firstLine="480"/>
        <w:rPr>
          <w:sz w:val="24"/>
        </w:rPr>
      </w:pPr>
      <w:r>
        <w:rPr>
          <w:sz w:val="24"/>
        </w:rPr>
        <w:t>（</w:t>
      </w:r>
      <w:r>
        <w:rPr>
          <w:sz w:val="24"/>
        </w:rPr>
        <w:t>5</w:t>
      </w:r>
      <w:r>
        <w:rPr>
          <w:sz w:val="24"/>
        </w:rPr>
        <w:t>）</w:t>
      </w:r>
      <w:r>
        <w:rPr>
          <w:sz w:val="24"/>
        </w:rPr>
        <w:t xml:space="preserve"> </w:t>
      </w:r>
      <w:r>
        <w:rPr>
          <w:sz w:val="24"/>
        </w:rPr>
        <w:t>统计学方法</w:t>
      </w:r>
    </w:p>
    <w:p w:rsidR="00C4690C" w:rsidRDefault="00C4690C" w:rsidP="00C4690C">
      <w:pPr>
        <w:spacing w:line="360" w:lineRule="auto"/>
        <w:ind w:firstLineChars="200" w:firstLine="480"/>
        <w:rPr>
          <w:sz w:val="24"/>
        </w:rPr>
      </w:pPr>
      <w:r>
        <w:rPr>
          <w:sz w:val="24"/>
        </w:rPr>
        <w:t>实验数据采用</w:t>
      </w:r>
      <w:r>
        <w:rPr>
          <w:sz w:val="24"/>
        </w:rPr>
        <w:t>SPSS 26.0</w:t>
      </w:r>
      <w:r>
        <w:rPr>
          <w:sz w:val="24"/>
        </w:rPr>
        <w:t>统计软件进行处理，计量资料用</w:t>
      </w:r>
      <w:r>
        <w:rPr>
          <w:sz w:val="24"/>
        </w:rPr>
        <w:sym w:font="Symbol" w:char="F060"/>
      </w:r>
      <w:r>
        <w:rPr>
          <w:sz w:val="24"/>
        </w:rPr>
        <w:t xml:space="preserve">X±s </w:t>
      </w:r>
      <w:r>
        <w:rPr>
          <w:sz w:val="24"/>
        </w:rPr>
        <w:t>表示，各组数据经过正态检验和方差齐性检验后，</w:t>
      </w:r>
      <w:bookmarkStart w:id="10" w:name="_Hlk179488677"/>
      <w:r>
        <w:rPr>
          <w:sz w:val="24"/>
        </w:rPr>
        <w:t>两组间比较用独立样本</w:t>
      </w:r>
      <w:r>
        <w:rPr>
          <w:sz w:val="24"/>
        </w:rPr>
        <w:t>t</w:t>
      </w:r>
      <w:r>
        <w:rPr>
          <w:sz w:val="24"/>
        </w:rPr>
        <w:t>检验，多组间样本均数通过单因素方差进行分析，组间比较则采用</w:t>
      </w:r>
      <w:r>
        <w:rPr>
          <w:sz w:val="24"/>
        </w:rPr>
        <w:t>LSD</w:t>
      </w:r>
      <w:r>
        <w:rPr>
          <w:sz w:val="24"/>
        </w:rPr>
        <w:t>检验。</w:t>
      </w:r>
      <w:bookmarkEnd w:id="10"/>
      <w:r>
        <w:rPr>
          <w:sz w:val="24"/>
        </w:rPr>
        <w:t>P</w:t>
      </w:r>
      <w:r>
        <w:rPr>
          <w:sz w:val="24"/>
        </w:rPr>
        <w:t>＜</w:t>
      </w:r>
      <w:r>
        <w:rPr>
          <w:sz w:val="24"/>
        </w:rPr>
        <w:t>0.05</w:t>
      </w:r>
      <w:r>
        <w:rPr>
          <w:sz w:val="24"/>
        </w:rPr>
        <w:t>为差异具有统计学意义。所有统计结果重复三次。</w:t>
      </w:r>
    </w:p>
    <w:p w:rsidR="00C4690C" w:rsidRDefault="00C4690C" w:rsidP="00C4690C">
      <w:pPr>
        <w:spacing w:line="360" w:lineRule="auto"/>
        <w:ind w:firstLineChars="200" w:firstLine="480"/>
        <w:rPr>
          <w:sz w:val="24"/>
        </w:rPr>
      </w:pPr>
      <w:r>
        <w:rPr>
          <w:sz w:val="24"/>
        </w:rPr>
        <w:t>6.6.4.3</w:t>
      </w:r>
      <w:r>
        <w:rPr>
          <w:sz w:val="24"/>
        </w:rPr>
        <w:t>实验结果</w:t>
      </w:r>
    </w:p>
    <w:p w:rsidR="00C4690C" w:rsidRDefault="00C4690C" w:rsidP="00C4690C">
      <w:pPr>
        <w:spacing w:line="360" w:lineRule="auto"/>
        <w:ind w:firstLineChars="200" w:firstLine="480"/>
        <w:rPr>
          <w:sz w:val="24"/>
        </w:rPr>
      </w:pPr>
      <w:r>
        <w:rPr>
          <w:sz w:val="24"/>
        </w:rPr>
        <w:t>（</w:t>
      </w:r>
      <w:r>
        <w:rPr>
          <w:sz w:val="24"/>
        </w:rPr>
        <w:t>1</w:t>
      </w:r>
      <w:r>
        <w:rPr>
          <w:sz w:val="24"/>
        </w:rPr>
        <w:t>）各组大鼠心肌损伤标志物表达情况</w:t>
      </w:r>
    </w:p>
    <w:p w:rsidR="00C4690C" w:rsidRDefault="00C4690C" w:rsidP="00C4690C">
      <w:pPr>
        <w:spacing w:line="360" w:lineRule="auto"/>
        <w:ind w:firstLineChars="200" w:firstLine="480"/>
        <w:rPr>
          <w:sz w:val="24"/>
        </w:rPr>
      </w:pPr>
      <w:r>
        <w:rPr>
          <w:sz w:val="24"/>
        </w:rPr>
        <w:t>与</w:t>
      </w:r>
      <w:proofErr w:type="gramStart"/>
      <w:r>
        <w:rPr>
          <w:sz w:val="24"/>
        </w:rPr>
        <w:t>假手术组相比</w:t>
      </w:r>
      <w:proofErr w:type="gramEnd"/>
      <w:r>
        <w:rPr>
          <w:sz w:val="24"/>
        </w:rPr>
        <w:t>，</w:t>
      </w:r>
      <w:r>
        <w:rPr>
          <w:sz w:val="24"/>
        </w:rPr>
        <w:t>CLP</w:t>
      </w:r>
      <w:proofErr w:type="gramStart"/>
      <w:r>
        <w:rPr>
          <w:sz w:val="24"/>
        </w:rPr>
        <w:t>模型组大鼠</w:t>
      </w:r>
      <w:proofErr w:type="gramEnd"/>
      <w:r>
        <w:rPr>
          <w:sz w:val="24"/>
        </w:rPr>
        <w:t>CK</w:t>
      </w:r>
      <w:r>
        <w:rPr>
          <w:sz w:val="24"/>
        </w:rPr>
        <w:t>、</w:t>
      </w:r>
      <w:r>
        <w:rPr>
          <w:sz w:val="24"/>
        </w:rPr>
        <w:t>CK-MB</w:t>
      </w:r>
      <w:r>
        <w:rPr>
          <w:sz w:val="24"/>
        </w:rPr>
        <w:t>、</w:t>
      </w:r>
      <w:r>
        <w:rPr>
          <w:sz w:val="24"/>
        </w:rPr>
        <w:t>LDH</w:t>
      </w:r>
      <w:r>
        <w:rPr>
          <w:sz w:val="24"/>
        </w:rPr>
        <w:t>含量水平均明显上升，差异均具有统计学意义（</w:t>
      </w:r>
      <w:r>
        <w:rPr>
          <w:i/>
          <w:iCs/>
          <w:sz w:val="24"/>
        </w:rPr>
        <w:t>P</w:t>
      </w:r>
      <w:r>
        <w:rPr>
          <w:sz w:val="24"/>
        </w:rPr>
        <w:t>＜</w:t>
      </w:r>
      <w:r>
        <w:rPr>
          <w:sz w:val="24"/>
        </w:rPr>
        <w:t>0.05</w:t>
      </w:r>
      <w:r>
        <w:rPr>
          <w:sz w:val="24"/>
        </w:rPr>
        <w:t>）；与</w:t>
      </w:r>
      <w:r>
        <w:rPr>
          <w:sz w:val="24"/>
        </w:rPr>
        <w:t>CLP</w:t>
      </w:r>
      <w:r>
        <w:rPr>
          <w:sz w:val="24"/>
        </w:rPr>
        <w:t>模型组相比，阳性药物</w:t>
      </w:r>
      <w:r>
        <w:rPr>
          <w:sz w:val="24"/>
        </w:rPr>
        <w:t>+CLP</w:t>
      </w:r>
      <w:r>
        <w:rPr>
          <w:sz w:val="24"/>
        </w:rPr>
        <w:t>模型组、重症心</w:t>
      </w:r>
      <w:proofErr w:type="gramStart"/>
      <w:r>
        <w:rPr>
          <w:sz w:val="24"/>
        </w:rPr>
        <w:t>痹方组大</w:t>
      </w:r>
      <w:proofErr w:type="gramEnd"/>
      <w:r>
        <w:rPr>
          <w:sz w:val="24"/>
        </w:rPr>
        <w:t>鼠</w:t>
      </w:r>
      <w:r>
        <w:rPr>
          <w:sz w:val="24"/>
        </w:rPr>
        <w:t>CK</w:t>
      </w:r>
      <w:r>
        <w:rPr>
          <w:sz w:val="24"/>
        </w:rPr>
        <w:t>、</w:t>
      </w:r>
      <w:r>
        <w:rPr>
          <w:sz w:val="24"/>
        </w:rPr>
        <w:t>CK-MB</w:t>
      </w:r>
      <w:r>
        <w:rPr>
          <w:sz w:val="24"/>
        </w:rPr>
        <w:t>、</w:t>
      </w:r>
      <w:r>
        <w:rPr>
          <w:sz w:val="24"/>
        </w:rPr>
        <w:t>LDH</w:t>
      </w:r>
      <w:r>
        <w:rPr>
          <w:sz w:val="24"/>
        </w:rPr>
        <w:t>含量水平均明显下降，差异均有统计学意义（</w:t>
      </w:r>
      <w:r>
        <w:rPr>
          <w:i/>
          <w:iCs/>
          <w:sz w:val="24"/>
        </w:rPr>
        <w:t>P</w:t>
      </w:r>
      <w:r>
        <w:rPr>
          <w:sz w:val="24"/>
        </w:rPr>
        <w:t>＜</w:t>
      </w:r>
      <w:r>
        <w:rPr>
          <w:sz w:val="24"/>
        </w:rPr>
        <w:t>0.05</w:t>
      </w:r>
      <w:r>
        <w:rPr>
          <w:sz w:val="24"/>
        </w:rPr>
        <w:t>），具体见图</w:t>
      </w:r>
      <w:r>
        <w:rPr>
          <w:sz w:val="24"/>
        </w:rPr>
        <w:t>11</w:t>
      </w:r>
      <w:r>
        <w:rPr>
          <w:sz w:val="24"/>
        </w:rPr>
        <w:t>。</w:t>
      </w:r>
    </w:p>
    <w:p w:rsidR="00C4690C" w:rsidRDefault="00C4690C" w:rsidP="00C4690C">
      <w:pPr>
        <w:jc w:val="center"/>
        <w:rPr>
          <w:sz w:val="28"/>
          <w:szCs w:val="28"/>
        </w:rPr>
      </w:pPr>
      <w:r>
        <w:rPr>
          <w:noProof/>
          <w:sz w:val="28"/>
          <w:szCs w:val="28"/>
        </w:rPr>
        <w:lastRenderedPageBreak/>
        <w:drawing>
          <wp:inline distT="0" distB="0" distL="0" distR="0">
            <wp:extent cx="5271770" cy="1351915"/>
            <wp:effectExtent l="0" t="0" r="5080" b="635"/>
            <wp:docPr id="17" name="图片 17"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图表, 条形图&#10;&#10;描述已自动生成"/>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1770" cy="1351915"/>
                    </a:xfrm>
                    <a:prstGeom prst="rect">
                      <a:avLst/>
                    </a:prstGeom>
                    <a:noFill/>
                    <a:ln>
                      <a:noFill/>
                    </a:ln>
                  </pic:spPr>
                </pic:pic>
              </a:graphicData>
            </a:graphic>
          </wp:inline>
        </w:drawing>
      </w:r>
    </w:p>
    <w:p w:rsidR="00C4690C" w:rsidRDefault="00C4690C" w:rsidP="00C4690C">
      <w:pPr>
        <w:pStyle w:val="af"/>
        <w:spacing w:line="500" w:lineRule="exact"/>
        <w:jc w:val="center"/>
        <w:rPr>
          <w:rFonts w:ascii="Times New Roman" w:eastAsia="宋体" w:hAnsi="Times New Roman"/>
          <w:sz w:val="24"/>
          <w:szCs w:val="24"/>
        </w:rPr>
      </w:pPr>
      <w:r>
        <w:rPr>
          <w:rFonts w:ascii="Times New Roman" w:hAnsi="Times New Roman"/>
        </w:rPr>
        <w:t>图</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w:instrText>
      </w:r>
      <w:r>
        <w:rPr>
          <w:rFonts w:ascii="Times New Roman" w:hAnsi="Times New Roman"/>
        </w:rPr>
        <w:instrText>图</w:instrText>
      </w:r>
      <w:r>
        <w:rPr>
          <w:rFonts w:ascii="Times New Roman" w:hAnsi="Times New Roman"/>
        </w:rPr>
        <w:instrText xml:space="preserve"> \* ARABIC </w:instrText>
      </w:r>
      <w:r>
        <w:rPr>
          <w:rFonts w:ascii="Times New Roman" w:hAnsi="Times New Roman"/>
        </w:rPr>
        <w:fldChar w:fldCharType="separate"/>
      </w:r>
      <w:r>
        <w:rPr>
          <w:rFonts w:ascii="Times New Roman" w:hAnsi="Times New Roman"/>
          <w:noProof/>
        </w:rPr>
        <w:t>11</w:t>
      </w:r>
      <w:r>
        <w:rPr>
          <w:rFonts w:ascii="Times New Roman" w:hAnsi="Times New Roman"/>
        </w:rPr>
        <w:fldChar w:fldCharType="end"/>
      </w:r>
      <w:r>
        <w:rPr>
          <w:rFonts w:ascii="Times New Roman" w:eastAsia="宋体" w:hAnsi="Times New Roman"/>
          <w:sz w:val="24"/>
          <w:szCs w:val="24"/>
        </w:rPr>
        <w:t xml:space="preserve"> </w:t>
      </w:r>
      <w:r>
        <w:rPr>
          <w:rFonts w:ascii="Times New Roman" w:eastAsia="宋体" w:hAnsi="Times New Roman"/>
          <w:sz w:val="24"/>
          <w:szCs w:val="24"/>
        </w:rPr>
        <w:t>各组大鼠心肌损伤标志物表达情况（</w:t>
      </w:r>
      <w:r>
        <w:rPr>
          <w:rFonts w:ascii="Times New Roman" w:eastAsia="宋体" w:hAnsi="Times New Roman"/>
          <w:sz w:val="24"/>
          <w:szCs w:val="24"/>
        </w:rPr>
        <w:sym w:font="Symbol" w:char="F060"/>
      </w:r>
      <w:r>
        <w:rPr>
          <w:rFonts w:ascii="Times New Roman" w:eastAsia="宋体" w:hAnsi="Times New Roman"/>
          <w:sz w:val="24"/>
          <w:szCs w:val="24"/>
        </w:rPr>
        <w:t>X±s</w:t>
      </w:r>
      <w:r>
        <w:rPr>
          <w:rFonts w:ascii="Times New Roman" w:eastAsia="宋体" w:hAnsi="Times New Roman"/>
          <w:sz w:val="24"/>
          <w:szCs w:val="24"/>
        </w:rPr>
        <w:t>）</w:t>
      </w:r>
    </w:p>
    <w:p w:rsidR="00C4690C" w:rsidRDefault="00C4690C" w:rsidP="00C4690C">
      <w:pPr>
        <w:spacing w:line="500" w:lineRule="exact"/>
        <w:jc w:val="center"/>
        <w:rPr>
          <w:sz w:val="15"/>
          <w:szCs w:val="15"/>
        </w:rPr>
      </w:pPr>
      <w:r>
        <w:rPr>
          <w:sz w:val="15"/>
          <w:szCs w:val="15"/>
        </w:rPr>
        <w:t>注：（</w:t>
      </w:r>
      <w:r>
        <w:rPr>
          <w:sz w:val="15"/>
          <w:szCs w:val="15"/>
        </w:rPr>
        <w:t>1</w:t>
      </w:r>
      <w:r>
        <w:rPr>
          <w:sz w:val="15"/>
          <w:szCs w:val="15"/>
        </w:rPr>
        <w:t>）</w:t>
      </w:r>
      <w:r>
        <w:rPr>
          <w:sz w:val="15"/>
          <w:szCs w:val="15"/>
        </w:rPr>
        <w:t>A</w:t>
      </w:r>
      <w:r>
        <w:rPr>
          <w:sz w:val="15"/>
          <w:szCs w:val="15"/>
        </w:rPr>
        <w:t>：假手术组；</w:t>
      </w:r>
      <w:r>
        <w:rPr>
          <w:sz w:val="15"/>
          <w:szCs w:val="15"/>
        </w:rPr>
        <w:t>B</w:t>
      </w:r>
      <w:r>
        <w:rPr>
          <w:sz w:val="15"/>
          <w:szCs w:val="15"/>
        </w:rPr>
        <w:t>：</w:t>
      </w:r>
      <w:r>
        <w:rPr>
          <w:sz w:val="15"/>
          <w:szCs w:val="15"/>
        </w:rPr>
        <w:t>CLP</w:t>
      </w:r>
      <w:r>
        <w:rPr>
          <w:sz w:val="15"/>
          <w:szCs w:val="15"/>
        </w:rPr>
        <w:t>模型组；</w:t>
      </w:r>
      <w:r>
        <w:rPr>
          <w:sz w:val="15"/>
          <w:szCs w:val="15"/>
        </w:rPr>
        <w:t>C</w:t>
      </w:r>
      <w:r>
        <w:rPr>
          <w:sz w:val="15"/>
          <w:szCs w:val="15"/>
        </w:rPr>
        <w:t>：阳性药物</w:t>
      </w:r>
      <w:r>
        <w:rPr>
          <w:sz w:val="15"/>
          <w:szCs w:val="15"/>
        </w:rPr>
        <w:t>+CLP</w:t>
      </w:r>
      <w:r>
        <w:rPr>
          <w:sz w:val="15"/>
          <w:szCs w:val="15"/>
        </w:rPr>
        <w:t>模型组；</w:t>
      </w:r>
      <w:r>
        <w:rPr>
          <w:sz w:val="15"/>
          <w:szCs w:val="15"/>
        </w:rPr>
        <w:t>D</w:t>
      </w:r>
      <w:r>
        <w:rPr>
          <w:sz w:val="15"/>
          <w:szCs w:val="15"/>
        </w:rPr>
        <w:t>：重症心</w:t>
      </w:r>
      <w:proofErr w:type="gramStart"/>
      <w:r>
        <w:rPr>
          <w:sz w:val="15"/>
          <w:szCs w:val="15"/>
        </w:rPr>
        <w:t>痹</w:t>
      </w:r>
      <w:proofErr w:type="gramEnd"/>
      <w:r>
        <w:rPr>
          <w:sz w:val="15"/>
          <w:szCs w:val="15"/>
        </w:rPr>
        <w:t>方</w:t>
      </w:r>
      <w:r>
        <w:rPr>
          <w:sz w:val="15"/>
          <w:szCs w:val="15"/>
        </w:rPr>
        <w:t>+CLP</w:t>
      </w:r>
      <w:r>
        <w:rPr>
          <w:sz w:val="15"/>
          <w:szCs w:val="15"/>
        </w:rPr>
        <w:t>模型组。（</w:t>
      </w:r>
      <w:r>
        <w:rPr>
          <w:sz w:val="15"/>
          <w:szCs w:val="15"/>
        </w:rPr>
        <w:t>2</w:t>
      </w:r>
      <w:r>
        <w:rPr>
          <w:sz w:val="15"/>
          <w:szCs w:val="15"/>
        </w:rPr>
        <w:t>）与</w:t>
      </w:r>
      <w:r>
        <w:rPr>
          <w:sz w:val="15"/>
          <w:szCs w:val="15"/>
        </w:rPr>
        <w:t>A</w:t>
      </w:r>
      <w:r>
        <w:rPr>
          <w:sz w:val="15"/>
          <w:szCs w:val="15"/>
        </w:rPr>
        <w:t>组比较，</w:t>
      </w:r>
      <w:r>
        <w:rPr>
          <w:sz w:val="15"/>
          <w:szCs w:val="15"/>
        </w:rPr>
        <w:t>*</w:t>
      </w:r>
      <w:r>
        <w:rPr>
          <w:sz w:val="15"/>
          <w:szCs w:val="15"/>
        </w:rPr>
        <w:t>表示</w:t>
      </w:r>
      <w:r>
        <w:rPr>
          <w:i/>
          <w:iCs/>
          <w:sz w:val="15"/>
          <w:szCs w:val="15"/>
        </w:rPr>
        <w:t>P</w:t>
      </w:r>
      <w:r>
        <w:rPr>
          <w:sz w:val="15"/>
          <w:szCs w:val="15"/>
        </w:rPr>
        <w:t>＜</w:t>
      </w:r>
      <w:r>
        <w:rPr>
          <w:sz w:val="15"/>
          <w:szCs w:val="15"/>
        </w:rPr>
        <w:t>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0.01</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0.001</w:t>
      </w:r>
      <w:r>
        <w:rPr>
          <w:sz w:val="15"/>
          <w:szCs w:val="15"/>
        </w:rPr>
        <w:t>；与</w:t>
      </w:r>
      <w:r>
        <w:rPr>
          <w:sz w:val="15"/>
          <w:szCs w:val="15"/>
        </w:rPr>
        <w:t>B</w:t>
      </w:r>
      <w:r>
        <w:rPr>
          <w:sz w:val="15"/>
          <w:szCs w:val="15"/>
        </w:rPr>
        <w:t>组比较，</w:t>
      </w:r>
      <w:r>
        <w:rPr>
          <w:sz w:val="15"/>
          <w:szCs w:val="15"/>
        </w:rPr>
        <w:t>#</w:t>
      </w:r>
      <w:r>
        <w:rPr>
          <w:sz w:val="15"/>
          <w:szCs w:val="15"/>
        </w:rPr>
        <w:t>表示</w:t>
      </w:r>
      <w:r>
        <w:rPr>
          <w:i/>
          <w:iCs/>
          <w:sz w:val="15"/>
          <w:szCs w:val="15"/>
        </w:rPr>
        <w:t>P</w:t>
      </w:r>
      <w:r>
        <w:rPr>
          <w:sz w:val="15"/>
          <w:szCs w:val="15"/>
        </w:rPr>
        <w:t>＜</w:t>
      </w:r>
      <w:r>
        <w:rPr>
          <w:sz w:val="15"/>
          <w:szCs w:val="15"/>
        </w:rPr>
        <w:t>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0.01</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0.001</w:t>
      </w:r>
      <w:r>
        <w:rPr>
          <w:sz w:val="15"/>
          <w:szCs w:val="15"/>
        </w:rPr>
        <w:t>。</w:t>
      </w:r>
    </w:p>
    <w:p w:rsidR="00C4690C" w:rsidRDefault="00C4690C" w:rsidP="00C4690C">
      <w:pPr>
        <w:spacing w:line="500" w:lineRule="exact"/>
        <w:jc w:val="center"/>
        <w:rPr>
          <w:sz w:val="15"/>
          <w:szCs w:val="15"/>
        </w:rPr>
      </w:pPr>
    </w:p>
    <w:p w:rsidR="00C4690C" w:rsidRDefault="00C4690C" w:rsidP="00C4690C">
      <w:pPr>
        <w:spacing w:line="360" w:lineRule="auto"/>
        <w:ind w:firstLineChars="200" w:firstLine="480"/>
        <w:rPr>
          <w:sz w:val="24"/>
        </w:rPr>
      </w:pPr>
      <w:r>
        <w:rPr>
          <w:sz w:val="24"/>
        </w:rPr>
        <w:t>（</w:t>
      </w:r>
      <w:r>
        <w:rPr>
          <w:sz w:val="24"/>
        </w:rPr>
        <w:t>2</w:t>
      </w:r>
      <w:r>
        <w:rPr>
          <w:sz w:val="24"/>
        </w:rPr>
        <w:t>）各组大鼠心肌损伤病理组织学情况</w:t>
      </w:r>
    </w:p>
    <w:p w:rsidR="00C4690C" w:rsidRDefault="00C4690C" w:rsidP="00C4690C">
      <w:pPr>
        <w:spacing w:line="360" w:lineRule="auto"/>
        <w:ind w:firstLineChars="200" w:firstLine="480"/>
        <w:rPr>
          <w:sz w:val="24"/>
        </w:rPr>
      </w:pPr>
      <w:r>
        <w:rPr>
          <w:sz w:val="24"/>
        </w:rPr>
        <w:t>HE</w:t>
      </w:r>
      <w:r>
        <w:rPr>
          <w:sz w:val="24"/>
        </w:rPr>
        <w:t>染色结果显示，与</w:t>
      </w:r>
      <w:proofErr w:type="gramStart"/>
      <w:r>
        <w:rPr>
          <w:sz w:val="24"/>
        </w:rPr>
        <w:t>假手术组相比</w:t>
      </w:r>
      <w:proofErr w:type="gramEnd"/>
      <w:r>
        <w:rPr>
          <w:sz w:val="24"/>
        </w:rPr>
        <w:t>，</w:t>
      </w:r>
      <w:r>
        <w:rPr>
          <w:sz w:val="24"/>
        </w:rPr>
        <w:t>CLP</w:t>
      </w:r>
      <w:r>
        <w:rPr>
          <w:sz w:val="24"/>
        </w:rPr>
        <w:t>模型组的心肌组织呈现出明显的病理改变，包括心肌纤维排列紊乱、破裂溶解，部分细胞肿胀、坏死，细胞间隙扩张，并见炎症细胞明显浸润；与</w:t>
      </w:r>
      <w:r>
        <w:rPr>
          <w:sz w:val="24"/>
        </w:rPr>
        <w:t>CLP</w:t>
      </w:r>
      <w:r>
        <w:rPr>
          <w:sz w:val="24"/>
        </w:rPr>
        <w:t>模型组比较，阳性药物</w:t>
      </w:r>
      <w:r>
        <w:rPr>
          <w:sz w:val="24"/>
        </w:rPr>
        <w:t>+CLP</w:t>
      </w:r>
      <w:r>
        <w:rPr>
          <w:sz w:val="24"/>
        </w:rPr>
        <w:t>模型组、重症心</w:t>
      </w:r>
      <w:proofErr w:type="gramStart"/>
      <w:r>
        <w:rPr>
          <w:sz w:val="24"/>
        </w:rPr>
        <w:t>痹</w:t>
      </w:r>
      <w:proofErr w:type="gramEnd"/>
      <w:r>
        <w:rPr>
          <w:sz w:val="24"/>
        </w:rPr>
        <w:t>方</w:t>
      </w:r>
      <w:r>
        <w:rPr>
          <w:sz w:val="24"/>
        </w:rPr>
        <w:t>+CLP</w:t>
      </w:r>
      <w:proofErr w:type="gramStart"/>
      <w:r>
        <w:rPr>
          <w:sz w:val="24"/>
        </w:rPr>
        <w:t>模型组大鼠</w:t>
      </w:r>
      <w:proofErr w:type="gramEnd"/>
      <w:r>
        <w:rPr>
          <w:sz w:val="24"/>
        </w:rPr>
        <w:t>心脏组织均明显改善，主要表现为心肌纤维排列稍紊乱，心肌细胞肿胀减轻，细胞间隙扩张减少，存在少量炎症细胞浸润（图</w:t>
      </w:r>
      <w:r>
        <w:rPr>
          <w:sz w:val="24"/>
        </w:rPr>
        <w:t>XX</w:t>
      </w:r>
      <w:r>
        <w:rPr>
          <w:sz w:val="24"/>
        </w:rPr>
        <w:t>）。病理评分显示，与</w:t>
      </w:r>
      <w:proofErr w:type="gramStart"/>
      <w:r>
        <w:rPr>
          <w:sz w:val="24"/>
        </w:rPr>
        <w:t>假手术组相比</w:t>
      </w:r>
      <w:proofErr w:type="gramEnd"/>
      <w:r>
        <w:rPr>
          <w:sz w:val="24"/>
        </w:rPr>
        <w:t>，</w:t>
      </w:r>
      <w:r>
        <w:rPr>
          <w:sz w:val="24"/>
        </w:rPr>
        <w:t>CLP</w:t>
      </w:r>
      <w:r>
        <w:rPr>
          <w:sz w:val="24"/>
        </w:rPr>
        <w:t>模型组评分明显升高（</w:t>
      </w:r>
      <w:r>
        <w:rPr>
          <w:i/>
          <w:iCs/>
          <w:sz w:val="24"/>
        </w:rPr>
        <w:t>P</w:t>
      </w:r>
      <w:r>
        <w:rPr>
          <w:sz w:val="24"/>
        </w:rPr>
        <w:t>＜</w:t>
      </w:r>
      <w:r>
        <w:rPr>
          <w:sz w:val="24"/>
        </w:rPr>
        <w:t>0.05</w:t>
      </w:r>
      <w:r>
        <w:rPr>
          <w:sz w:val="24"/>
        </w:rPr>
        <w:t>）；与</w:t>
      </w:r>
      <w:r>
        <w:rPr>
          <w:sz w:val="24"/>
        </w:rPr>
        <w:t>CLP</w:t>
      </w:r>
      <w:r>
        <w:rPr>
          <w:sz w:val="24"/>
        </w:rPr>
        <w:t>模型组相比，阳性药物</w:t>
      </w:r>
      <w:r>
        <w:rPr>
          <w:sz w:val="24"/>
        </w:rPr>
        <w:t>+CLP</w:t>
      </w:r>
      <w:r>
        <w:rPr>
          <w:sz w:val="24"/>
        </w:rPr>
        <w:t>模型组、重症心</w:t>
      </w:r>
      <w:proofErr w:type="gramStart"/>
      <w:r>
        <w:rPr>
          <w:sz w:val="24"/>
        </w:rPr>
        <w:t>痹方组大</w:t>
      </w:r>
      <w:proofErr w:type="gramEnd"/>
      <w:r>
        <w:rPr>
          <w:sz w:val="24"/>
        </w:rPr>
        <w:t>鼠病理评分均明显降低（</w:t>
      </w:r>
      <w:r>
        <w:rPr>
          <w:i/>
          <w:iCs/>
          <w:sz w:val="24"/>
        </w:rPr>
        <w:t>P</w:t>
      </w:r>
      <w:r>
        <w:rPr>
          <w:sz w:val="24"/>
        </w:rPr>
        <w:t>＜</w:t>
      </w:r>
      <w:r>
        <w:rPr>
          <w:sz w:val="24"/>
        </w:rPr>
        <w:t>0.05</w:t>
      </w:r>
      <w:r>
        <w:rPr>
          <w:sz w:val="24"/>
        </w:rPr>
        <w:t>），见图</w:t>
      </w:r>
      <w:r>
        <w:rPr>
          <w:sz w:val="24"/>
        </w:rPr>
        <w:t>12</w:t>
      </w:r>
      <w:r>
        <w:rPr>
          <w:rFonts w:hint="eastAsia"/>
          <w:sz w:val="24"/>
        </w:rPr>
        <w:t>-</w:t>
      </w:r>
      <w:r>
        <w:rPr>
          <w:sz w:val="24"/>
        </w:rPr>
        <w:t>13</w:t>
      </w:r>
      <w:r>
        <w:rPr>
          <w:sz w:val="24"/>
        </w:rPr>
        <w:t>。</w:t>
      </w:r>
      <w:r>
        <w:rPr>
          <w:sz w:val="24"/>
        </w:rPr>
        <w:t xml:space="preserve"> </w:t>
      </w:r>
    </w:p>
    <w:p w:rsidR="00C4690C" w:rsidRDefault="00C4690C" w:rsidP="00C4690C">
      <w:pPr>
        <w:rPr>
          <w:sz w:val="28"/>
          <w:szCs w:val="28"/>
        </w:rPr>
      </w:pPr>
      <w:r>
        <w:rPr>
          <w:noProof/>
          <w:sz w:val="28"/>
          <w:szCs w:val="28"/>
        </w:rPr>
        <w:drawing>
          <wp:inline distT="0" distB="0" distL="0" distR="0">
            <wp:extent cx="5391150" cy="141541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
                      <a:extLst>
                        <a:ext uri="{28A0092B-C50C-407E-A947-70E740481C1C}">
                          <a14:useLocalDpi xmlns:a14="http://schemas.microsoft.com/office/drawing/2010/main" val="0"/>
                        </a:ext>
                      </a:extLst>
                    </a:blip>
                    <a:srcRect t="2982" b="2412"/>
                    <a:stretch>
                      <a:fillRect/>
                    </a:stretch>
                  </pic:blipFill>
                  <pic:spPr bwMode="auto">
                    <a:xfrm>
                      <a:off x="0" y="0"/>
                      <a:ext cx="5391150" cy="1415415"/>
                    </a:xfrm>
                    <a:prstGeom prst="rect">
                      <a:avLst/>
                    </a:prstGeom>
                    <a:noFill/>
                    <a:ln>
                      <a:noFill/>
                    </a:ln>
                  </pic:spPr>
                </pic:pic>
              </a:graphicData>
            </a:graphic>
          </wp:inline>
        </w:drawing>
      </w:r>
    </w:p>
    <w:p w:rsidR="00C4690C" w:rsidRDefault="00C4690C" w:rsidP="00C4690C">
      <w:pPr>
        <w:spacing w:line="500" w:lineRule="exact"/>
        <w:ind w:firstLineChars="200" w:firstLine="420"/>
        <w:jc w:val="center"/>
        <w:rPr>
          <w:sz w:val="28"/>
          <w:szCs w:val="28"/>
        </w:rPr>
      </w:pPr>
      <w:r>
        <w:t>图</w:t>
      </w:r>
      <w:r>
        <w:t xml:space="preserve"> </w:t>
      </w:r>
      <w:r>
        <w:fldChar w:fldCharType="begin"/>
      </w:r>
      <w:r>
        <w:instrText xml:space="preserve"> SEQ </w:instrText>
      </w:r>
      <w:r>
        <w:instrText>图</w:instrText>
      </w:r>
      <w:r>
        <w:instrText xml:space="preserve"> \* ARABIC </w:instrText>
      </w:r>
      <w:r>
        <w:fldChar w:fldCharType="separate"/>
      </w:r>
      <w:r>
        <w:rPr>
          <w:noProof/>
        </w:rPr>
        <w:t>12</w:t>
      </w:r>
      <w:r>
        <w:fldChar w:fldCharType="end"/>
      </w:r>
      <w:r>
        <w:rPr>
          <w:sz w:val="24"/>
        </w:rPr>
        <w:t xml:space="preserve">  </w:t>
      </w:r>
      <w:r>
        <w:rPr>
          <w:sz w:val="24"/>
        </w:rPr>
        <w:t>各组大鼠心肌组织病理学比较（</w:t>
      </w:r>
      <w:r>
        <w:rPr>
          <w:sz w:val="24"/>
        </w:rPr>
        <w:t>×400</w:t>
      </w:r>
      <w:r>
        <w:rPr>
          <w:sz w:val="24"/>
        </w:rPr>
        <w:t>倍）</w:t>
      </w:r>
    </w:p>
    <w:p w:rsidR="00C4690C" w:rsidRDefault="00C4690C" w:rsidP="00C4690C">
      <w:pPr>
        <w:spacing w:line="500" w:lineRule="exact"/>
        <w:rPr>
          <w:sz w:val="28"/>
          <w:szCs w:val="28"/>
        </w:rPr>
      </w:pPr>
      <w:r>
        <w:rPr>
          <w:noProof/>
          <w:sz w:val="28"/>
          <w:szCs w:val="28"/>
        </w:rPr>
        <w:lastRenderedPageBreak/>
        <w:drawing>
          <wp:anchor distT="0" distB="0" distL="114300" distR="114300" simplePos="0" relativeHeight="251659264" behindDoc="0" locked="0" layoutInCell="1" allowOverlap="1">
            <wp:simplePos x="0" y="0"/>
            <wp:positionH relativeFrom="column">
              <wp:posOffset>1497330</wp:posOffset>
            </wp:positionH>
            <wp:positionV relativeFrom="paragraph">
              <wp:posOffset>3810</wp:posOffset>
            </wp:positionV>
            <wp:extent cx="2048510" cy="1569085"/>
            <wp:effectExtent l="0" t="0" r="0" b="0"/>
            <wp:wrapSquare wrapText="bothSides"/>
            <wp:docPr id="20" name="图片 20" descr="图片包含 游戏机, 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包含 游戏机, 画&#10;&#10;描述已自动生成"/>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48510" cy="1569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690C" w:rsidRDefault="00C4690C" w:rsidP="00C4690C">
      <w:pPr>
        <w:spacing w:line="500" w:lineRule="exact"/>
        <w:rPr>
          <w:sz w:val="28"/>
          <w:szCs w:val="28"/>
        </w:rPr>
      </w:pPr>
    </w:p>
    <w:p w:rsidR="00C4690C" w:rsidRDefault="00C4690C" w:rsidP="00C4690C">
      <w:pPr>
        <w:spacing w:line="500" w:lineRule="exact"/>
        <w:rPr>
          <w:sz w:val="28"/>
          <w:szCs w:val="28"/>
        </w:rPr>
      </w:pPr>
    </w:p>
    <w:p w:rsidR="00C4690C" w:rsidRDefault="00C4690C" w:rsidP="00C4690C">
      <w:pPr>
        <w:spacing w:line="500" w:lineRule="exact"/>
        <w:rPr>
          <w:sz w:val="28"/>
          <w:szCs w:val="28"/>
        </w:rPr>
      </w:pPr>
    </w:p>
    <w:p w:rsidR="00C4690C" w:rsidRDefault="00C4690C" w:rsidP="00C4690C">
      <w:pPr>
        <w:spacing w:line="500" w:lineRule="exact"/>
        <w:rPr>
          <w:sz w:val="28"/>
          <w:szCs w:val="28"/>
        </w:rPr>
      </w:pPr>
    </w:p>
    <w:p w:rsidR="00C4690C" w:rsidRDefault="00C4690C" w:rsidP="00C4690C">
      <w:pPr>
        <w:spacing w:line="500" w:lineRule="exact"/>
        <w:jc w:val="center"/>
        <w:rPr>
          <w:sz w:val="28"/>
          <w:szCs w:val="28"/>
        </w:rPr>
      </w:pPr>
      <w:r>
        <w:t>图</w:t>
      </w:r>
      <w:r>
        <w:t xml:space="preserve"> </w:t>
      </w:r>
      <w:r>
        <w:fldChar w:fldCharType="begin"/>
      </w:r>
      <w:r>
        <w:instrText xml:space="preserve"> SEQ </w:instrText>
      </w:r>
      <w:r>
        <w:instrText>图</w:instrText>
      </w:r>
      <w:r>
        <w:instrText xml:space="preserve"> \* ARABIC </w:instrText>
      </w:r>
      <w:r>
        <w:fldChar w:fldCharType="separate"/>
      </w:r>
      <w:r>
        <w:rPr>
          <w:noProof/>
        </w:rPr>
        <w:t>13</w:t>
      </w:r>
      <w:r>
        <w:fldChar w:fldCharType="end"/>
      </w:r>
      <w:r>
        <w:rPr>
          <w:sz w:val="24"/>
        </w:rPr>
        <w:t xml:space="preserve"> </w:t>
      </w:r>
      <w:r>
        <w:rPr>
          <w:sz w:val="28"/>
          <w:szCs w:val="28"/>
        </w:rPr>
        <w:t>各组大鼠心肌损伤病理评分（</w:t>
      </w:r>
      <w:r>
        <w:rPr>
          <w:sz w:val="28"/>
          <w:szCs w:val="28"/>
        </w:rPr>
        <w:sym w:font="Symbol" w:char="F060"/>
      </w:r>
      <w:r>
        <w:rPr>
          <w:sz w:val="28"/>
          <w:szCs w:val="28"/>
        </w:rPr>
        <w:t>X±s</w:t>
      </w:r>
      <w:r>
        <w:rPr>
          <w:sz w:val="28"/>
          <w:szCs w:val="28"/>
        </w:rPr>
        <w:t>）</w:t>
      </w:r>
    </w:p>
    <w:p w:rsidR="00C4690C" w:rsidRDefault="00C4690C" w:rsidP="00C4690C">
      <w:pPr>
        <w:spacing w:line="500" w:lineRule="exact"/>
        <w:jc w:val="center"/>
        <w:rPr>
          <w:sz w:val="15"/>
          <w:szCs w:val="15"/>
        </w:rPr>
      </w:pPr>
      <w:r>
        <w:rPr>
          <w:sz w:val="15"/>
          <w:szCs w:val="15"/>
        </w:rPr>
        <w:t>注：（</w:t>
      </w:r>
      <w:r>
        <w:rPr>
          <w:sz w:val="15"/>
          <w:szCs w:val="15"/>
        </w:rPr>
        <w:t>1</w:t>
      </w:r>
      <w:r>
        <w:rPr>
          <w:sz w:val="15"/>
          <w:szCs w:val="15"/>
        </w:rPr>
        <w:t>）</w:t>
      </w:r>
      <w:r>
        <w:rPr>
          <w:sz w:val="15"/>
          <w:szCs w:val="15"/>
        </w:rPr>
        <w:t>A</w:t>
      </w:r>
      <w:r>
        <w:rPr>
          <w:sz w:val="15"/>
          <w:szCs w:val="15"/>
        </w:rPr>
        <w:t>：假手术组；</w:t>
      </w:r>
      <w:r>
        <w:rPr>
          <w:sz w:val="15"/>
          <w:szCs w:val="15"/>
        </w:rPr>
        <w:t>B</w:t>
      </w:r>
      <w:r>
        <w:rPr>
          <w:sz w:val="15"/>
          <w:szCs w:val="15"/>
        </w:rPr>
        <w:t>：</w:t>
      </w:r>
      <w:r>
        <w:rPr>
          <w:sz w:val="15"/>
          <w:szCs w:val="15"/>
        </w:rPr>
        <w:t>CLP</w:t>
      </w:r>
      <w:r>
        <w:rPr>
          <w:sz w:val="15"/>
          <w:szCs w:val="15"/>
        </w:rPr>
        <w:t>模型组；</w:t>
      </w:r>
      <w:r>
        <w:rPr>
          <w:sz w:val="15"/>
          <w:szCs w:val="15"/>
        </w:rPr>
        <w:t>C</w:t>
      </w:r>
      <w:r>
        <w:rPr>
          <w:sz w:val="15"/>
          <w:szCs w:val="15"/>
        </w:rPr>
        <w:t>：阳性药物</w:t>
      </w:r>
      <w:r>
        <w:rPr>
          <w:sz w:val="15"/>
          <w:szCs w:val="15"/>
        </w:rPr>
        <w:t>+CLP</w:t>
      </w:r>
      <w:r>
        <w:rPr>
          <w:sz w:val="15"/>
          <w:szCs w:val="15"/>
        </w:rPr>
        <w:t>模型组；</w:t>
      </w:r>
      <w:r>
        <w:rPr>
          <w:sz w:val="15"/>
          <w:szCs w:val="15"/>
        </w:rPr>
        <w:t>D</w:t>
      </w:r>
      <w:r>
        <w:rPr>
          <w:sz w:val="15"/>
          <w:szCs w:val="15"/>
        </w:rPr>
        <w:t>：重症心</w:t>
      </w:r>
      <w:proofErr w:type="gramStart"/>
      <w:r>
        <w:rPr>
          <w:sz w:val="15"/>
          <w:szCs w:val="15"/>
        </w:rPr>
        <w:t>痹</w:t>
      </w:r>
      <w:proofErr w:type="gramEnd"/>
      <w:r>
        <w:rPr>
          <w:sz w:val="15"/>
          <w:szCs w:val="15"/>
        </w:rPr>
        <w:t>方</w:t>
      </w:r>
      <w:r>
        <w:rPr>
          <w:sz w:val="15"/>
          <w:szCs w:val="15"/>
        </w:rPr>
        <w:t>+CLP</w:t>
      </w:r>
      <w:r>
        <w:rPr>
          <w:sz w:val="15"/>
          <w:szCs w:val="15"/>
        </w:rPr>
        <w:t>模型组。（</w:t>
      </w:r>
      <w:r>
        <w:rPr>
          <w:sz w:val="15"/>
          <w:szCs w:val="15"/>
        </w:rPr>
        <w:t>2</w:t>
      </w:r>
      <w:r>
        <w:rPr>
          <w:sz w:val="15"/>
          <w:szCs w:val="15"/>
        </w:rPr>
        <w:t>）与</w:t>
      </w:r>
      <w:r>
        <w:rPr>
          <w:sz w:val="15"/>
          <w:szCs w:val="15"/>
        </w:rPr>
        <w:t>A</w:t>
      </w:r>
      <w:r>
        <w:rPr>
          <w:sz w:val="15"/>
          <w:szCs w:val="15"/>
        </w:rPr>
        <w:t>组比较，</w:t>
      </w:r>
      <w:r>
        <w:rPr>
          <w:sz w:val="15"/>
          <w:szCs w:val="15"/>
        </w:rPr>
        <w:t>*</w:t>
      </w:r>
      <w:r>
        <w:rPr>
          <w:sz w:val="15"/>
          <w:szCs w:val="15"/>
        </w:rPr>
        <w:t>表示</w:t>
      </w:r>
      <w:r>
        <w:rPr>
          <w:i/>
          <w:iCs/>
          <w:sz w:val="15"/>
          <w:szCs w:val="15"/>
        </w:rPr>
        <w:t>P</w:t>
      </w:r>
      <w:r>
        <w:rPr>
          <w:sz w:val="15"/>
          <w:szCs w:val="15"/>
        </w:rPr>
        <w:t>＜</w:t>
      </w:r>
      <w:r>
        <w:rPr>
          <w:sz w:val="15"/>
          <w:szCs w:val="15"/>
        </w:rPr>
        <w:t>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0.01</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0.001</w:t>
      </w:r>
      <w:r>
        <w:rPr>
          <w:sz w:val="15"/>
          <w:szCs w:val="15"/>
        </w:rPr>
        <w:t>；与</w:t>
      </w:r>
      <w:r>
        <w:rPr>
          <w:sz w:val="15"/>
          <w:szCs w:val="15"/>
        </w:rPr>
        <w:t>B</w:t>
      </w:r>
      <w:r>
        <w:rPr>
          <w:sz w:val="15"/>
          <w:szCs w:val="15"/>
        </w:rPr>
        <w:t>组比较，</w:t>
      </w:r>
      <w:r>
        <w:rPr>
          <w:sz w:val="15"/>
          <w:szCs w:val="15"/>
        </w:rPr>
        <w:t>#</w:t>
      </w:r>
      <w:r>
        <w:rPr>
          <w:sz w:val="15"/>
          <w:szCs w:val="15"/>
        </w:rPr>
        <w:t>表示</w:t>
      </w:r>
      <w:r>
        <w:rPr>
          <w:i/>
          <w:iCs/>
          <w:sz w:val="15"/>
          <w:szCs w:val="15"/>
        </w:rPr>
        <w:t>P</w:t>
      </w:r>
      <w:r>
        <w:rPr>
          <w:sz w:val="15"/>
          <w:szCs w:val="15"/>
        </w:rPr>
        <w:t>＜</w:t>
      </w:r>
      <w:r>
        <w:rPr>
          <w:sz w:val="15"/>
          <w:szCs w:val="15"/>
        </w:rPr>
        <w:t>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0.01</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0.001</w:t>
      </w:r>
      <w:r>
        <w:rPr>
          <w:sz w:val="15"/>
          <w:szCs w:val="15"/>
        </w:rPr>
        <w:t>。</w:t>
      </w:r>
    </w:p>
    <w:p w:rsidR="00C4690C" w:rsidRDefault="00C4690C" w:rsidP="00C4690C">
      <w:pPr>
        <w:spacing w:line="360" w:lineRule="auto"/>
        <w:ind w:firstLineChars="200" w:firstLine="480"/>
        <w:rPr>
          <w:sz w:val="24"/>
        </w:rPr>
      </w:pPr>
      <w:r>
        <w:rPr>
          <w:sz w:val="24"/>
        </w:rPr>
        <w:t>（</w:t>
      </w:r>
      <w:r>
        <w:rPr>
          <w:sz w:val="24"/>
        </w:rPr>
        <w:t>3</w:t>
      </w:r>
      <w:r>
        <w:rPr>
          <w:sz w:val="24"/>
        </w:rPr>
        <w:t>）免疫组化法检测各组大鼠心脏组织的</w:t>
      </w:r>
      <w:proofErr w:type="gramStart"/>
      <w:r>
        <w:rPr>
          <w:sz w:val="24"/>
        </w:rPr>
        <w:t>焦亡关键</w:t>
      </w:r>
      <w:proofErr w:type="gramEnd"/>
      <w:r>
        <w:rPr>
          <w:sz w:val="24"/>
        </w:rPr>
        <w:t>蛋白的表达情况</w:t>
      </w:r>
    </w:p>
    <w:p w:rsidR="00C4690C" w:rsidRDefault="00C4690C" w:rsidP="00C4690C">
      <w:pPr>
        <w:spacing w:line="360" w:lineRule="auto"/>
        <w:ind w:firstLineChars="200" w:firstLine="480"/>
        <w:rPr>
          <w:sz w:val="24"/>
        </w:rPr>
      </w:pPr>
      <w:r>
        <w:rPr>
          <w:sz w:val="24"/>
        </w:rPr>
        <w:t>免疫组</w:t>
      </w:r>
      <w:proofErr w:type="gramStart"/>
      <w:r>
        <w:rPr>
          <w:sz w:val="24"/>
        </w:rPr>
        <w:t>化结果</w:t>
      </w:r>
      <w:proofErr w:type="gramEnd"/>
      <w:r>
        <w:rPr>
          <w:sz w:val="24"/>
        </w:rPr>
        <w:t>显示：与</w:t>
      </w:r>
      <w:proofErr w:type="gramStart"/>
      <w:r>
        <w:rPr>
          <w:sz w:val="24"/>
        </w:rPr>
        <w:t>假手术组相比</w:t>
      </w:r>
      <w:proofErr w:type="gramEnd"/>
      <w:r>
        <w:rPr>
          <w:sz w:val="24"/>
        </w:rPr>
        <w:t>，</w:t>
      </w:r>
      <w:r>
        <w:rPr>
          <w:sz w:val="24"/>
        </w:rPr>
        <w:t>CLP</w:t>
      </w:r>
      <w:proofErr w:type="gramStart"/>
      <w:r>
        <w:rPr>
          <w:sz w:val="24"/>
        </w:rPr>
        <w:t>模型组大鼠</w:t>
      </w:r>
      <w:proofErr w:type="gramEnd"/>
      <w:r>
        <w:rPr>
          <w:sz w:val="24"/>
        </w:rPr>
        <w:t>心脏组织</w:t>
      </w:r>
      <w:proofErr w:type="gramStart"/>
      <w:r>
        <w:rPr>
          <w:sz w:val="24"/>
        </w:rPr>
        <w:t>焦亡关键</w:t>
      </w:r>
      <w:proofErr w:type="gramEnd"/>
      <w:r>
        <w:rPr>
          <w:sz w:val="24"/>
        </w:rPr>
        <w:t>蛋白</w:t>
      </w:r>
      <w:r>
        <w:rPr>
          <w:sz w:val="24"/>
        </w:rPr>
        <w:t>NLRP3</w:t>
      </w:r>
      <w:r>
        <w:rPr>
          <w:sz w:val="24"/>
        </w:rPr>
        <w:t>、</w:t>
      </w:r>
      <w:r>
        <w:rPr>
          <w:sz w:val="24"/>
        </w:rPr>
        <w:t>ASC</w:t>
      </w:r>
      <w:r>
        <w:rPr>
          <w:sz w:val="24"/>
        </w:rPr>
        <w:t>、</w:t>
      </w:r>
      <w:r>
        <w:rPr>
          <w:sz w:val="24"/>
        </w:rPr>
        <w:t>Cleaved-caspase1</w:t>
      </w:r>
      <w:proofErr w:type="gramStart"/>
      <w:r>
        <w:rPr>
          <w:sz w:val="24"/>
        </w:rPr>
        <w:t>阳性率水平均</w:t>
      </w:r>
      <w:proofErr w:type="gramEnd"/>
      <w:r>
        <w:rPr>
          <w:sz w:val="24"/>
        </w:rPr>
        <w:t>明显升高；与模型组相比，阳性药物</w:t>
      </w:r>
      <w:r>
        <w:rPr>
          <w:sz w:val="24"/>
        </w:rPr>
        <w:t>+CLP</w:t>
      </w:r>
      <w:r>
        <w:rPr>
          <w:sz w:val="24"/>
        </w:rPr>
        <w:t>模型组、重症心</w:t>
      </w:r>
      <w:proofErr w:type="gramStart"/>
      <w:r>
        <w:rPr>
          <w:sz w:val="24"/>
        </w:rPr>
        <w:t>痹</w:t>
      </w:r>
      <w:proofErr w:type="gramEnd"/>
      <w:r>
        <w:rPr>
          <w:sz w:val="24"/>
        </w:rPr>
        <w:t>方</w:t>
      </w:r>
      <w:r>
        <w:rPr>
          <w:sz w:val="24"/>
        </w:rPr>
        <w:t>+CLP</w:t>
      </w:r>
      <w:proofErr w:type="gramStart"/>
      <w:r>
        <w:rPr>
          <w:sz w:val="24"/>
        </w:rPr>
        <w:t>模型组大鼠</w:t>
      </w:r>
      <w:proofErr w:type="gramEnd"/>
      <w:r>
        <w:rPr>
          <w:sz w:val="24"/>
        </w:rPr>
        <w:t>心脏组织</w:t>
      </w:r>
      <w:r>
        <w:rPr>
          <w:sz w:val="24"/>
        </w:rPr>
        <w:t>NLRP3</w:t>
      </w:r>
      <w:r>
        <w:rPr>
          <w:sz w:val="24"/>
        </w:rPr>
        <w:t>、</w:t>
      </w:r>
      <w:r>
        <w:rPr>
          <w:sz w:val="24"/>
        </w:rPr>
        <w:t>ASC</w:t>
      </w:r>
      <w:r>
        <w:rPr>
          <w:sz w:val="24"/>
        </w:rPr>
        <w:t>、</w:t>
      </w:r>
      <w:r>
        <w:rPr>
          <w:sz w:val="24"/>
        </w:rPr>
        <w:t>Cleaved-caspase1</w:t>
      </w:r>
      <w:proofErr w:type="gramStart"/>
      <w:r>
        <w:rPr>
          <w:sz w:val="24"/>
        </w:rPr>
        <w:t>阳性率水平均</w:t>
      </w:r>
      <w:proofErr w:type="gramEnd"/>
      <w:r>
        <w:rPr>
          <w:sz w:val="24"/>
        </w:rPr>
        <w:t>明显降低（</w:t>
      </w:r>
      <w:r>
        <w:rPr>
          <w:i/>
          <w:iCs/>
          <w:sz w:val="24"/>
        </w:rPr>
        <w:t>P</w:t>
      </w:r>
      <w:r>
        <w:rPr>
          <w:sz w:val="24"/>
        </w:rPr>
        <w:t>＜</w:t>
      </w:r>
      <w:r>
        <w:rPr>
          <w:sz w:val="24"/>
        </w:rPr>
        <w:t>0.05</w:t>
      </w:r>
      <w:r>
        <w:rPr>
          <w:sz w:val="24"/>
        </w:rPr>
        <w:t>）。见图</w:t>
      </w:r>
      <w:r>
        <w:rPr>
          <w:sz w:val="24"/>
        </w:rPr>
        <w:t>14</w:t>
      </w:r>
      <w:r>
        <w:rPr>
          <w:sz w:val="24"/>
        </w:rPr>
        <w:t>。</w:t>
      </w:r>
    </w:p>
    <w:p w:rsidR="00C4690C" w:rsidRDefault="00C4690C" w:rsidP="00C4690C">
      <w:pPr>
        <w:rPr>
          <w:sz w:val="28"/>
          <w:szCs w:val="28"/>
        </w:rPr>
      </w:pPr>
      <w:r>
        <w:rPr>
          <w:noProof/>
          <w:sz w:val="28"/>
          <w:szCs w:val="28"/>
        </w:rPr>
        <w:drawing>
          <wp:inline distT="0" distB="0" distL="0" distR="0">
            <wp:extent cx="5184140" cy="22104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l="371" t="1683" r="1337" b="2969"/>
                    <a:stretch>
                      <a:fillRect/>
                    </a:stretch>
                  </pic:blipFill>
                  <pic:spPr bwMode="auto">
                    <a:xfrm>
                      <a:off x="0" y="0"/>
                      <a:ext cx="5184140" cy="2210435"/>
                    </a:xfrm>
                    <a:prstGeom prst="rect">
                      <a:avLst/>
                    </a:prstGeom>
                    <a:noFill/>
                    <a:ln>
                      <a:noFill/>
                    </a:ln>
                  </pic:spPr>
                </pic:pic>
              </a:graphicData>
            </a:graphic>
          </wp:inline>
        </w:drawing>
      </w:r>
    </w:p>
    <w:p w:rsidR="00C4690C" w:rsidRDefault="00C4690C" w:rsidP="00C4690C">
      <w:pPr>
        <w:spacing w:line="500" w:lineRule="exact"/>
        <w:jc w:val="center"/>
        <w:rPr>
          <w:sz w:val="24"/>
        </w:rPr>
      </w:pPr>
      <w:r>
        <w:t>图</w:t>
      </w:r>
      <w:r>
        <w:t xml:space="preserve"> </w:t>
      </w:r>
      <w:r>
        <w:fldChar w:fldCharType="begin"/>
      </w:r>
      <w:r>
        <w:instrText xml:space="preserve"> SEQ </w:instrText>
      </w:r>
      <w:r>
        <w:instrText>图</w:instrText>
      </w:r>
      <w:r>
        <w:instrText xml:space="preserve"> \* ARABIC </w:instrText>
      </w:r>
      <w:r>
        <w:fldChar w:fldCharType="separate"/>
      </w:r>
      <w:r>
        <w:rPr>
          <w:noProof/>
        </w:rPr>
        <w:t>14</w:t>
      </w:r>
      <w:r>
        <w:fldChar w:fldCharType="end"/>
      </w:r>
      <w:r>
        <w:rPr>
          <w:sz w:val="24"/>
        </w:rPr>
        <w:t xml:space="preserve"> </w:t>
      </w:r>
      <w:r>
        <w:rPr>
          <w:sz w:val="28"/>
          <w:szCs w:val="28"/>
        </w:rPr>
        <w:t xml:space="preserve">  </w:t>
      </w:r>
      <w:r>
        <w:rPr>
          <w:sz w:val="24"/>
        </w:rPr>
        <w:t>各组大鼠心脏组织的</w:t>
      </w:r>
      <w:proofErr w:type="gramStart"/>
      <w:r>
        <w:rPr>
          <w:sz w:val="24"/>
        </w:rPr>
        <w:t>焦亡关键</w:t>
      </w:r>
      <w:proofErr w:type="gramEnd"/>
      <w:r>
        <w:rPr>
          <w:sz w:val="24"/>
        </w:rPr>
        <w:t>蛋白的表达情况（</w:t>
      </w:r>
      <w:r>
        <w:rPr>
          <w:sz w:val="24"/>
        </w:rPr>
        <w:sym w:font="Symbol" w:char="F060"/>
      </w:r>
      <w:r>
        <w:rPr>
          <w:sz w:val="24"/>
        </w:rPr>
        <w:t>X±s</w:t>
      </w:r>
      <w:r>
        <w:rPr>
          <w:sz w:val="24"/>
        </w:rPr>
        <w:t>）</w:t>
      </w:r>
    </w:p>
    <w:p w:rsidR="00C4690C" w:rsidRDefault="00C4690C" w:rsidP="00C4690C">
      <w:pPr>
        <w:spacing w:line="500" w:lineRule="exact"/>
        <w:jc w:val="center"/>
        <w:rPr>
          <w:sz w:val="15"/>
          <w:szCs w:val="15"/>
        </w:rPr>
      </w:pPr>
      <w:r>
        <w:rPr>
          <w:sz w:val="15"/>
          <w:szCs w:val="15"/>
        </w:rPr>
        <w:t>注：（</w:t>
      </w:r>
      <w:r>
        <w:rPr>
          <w:sz w:val="15"/>
          <w:szCs w:val="15"/>
        </w:rPr>
        <w:t>1</w:t>
      </w:r>
      <w:r>
        <w:rPr>
          <w:sz w:val="15"/>
          <w:szCs w:val="15"/>
        </w:rPr>
        <w:t>）</w:t>
      </w:r>
      <w:r>
        <w:rPr>
          <w:sz w:val="15"/>
          <w:szCs w:val="15"/>
        </w:rPr>
        <w:t>A</w:t>
      </w:r>
      <w:r>
        <w:rPr>
          <w:sz w:val="15"/>
          <w:szCs w:val="15"/>
        </w:rPr>
        <w:t>：假手术组；</w:t>
      </w:r>
      <w:r>
        <w:rPr>
          <w:sz w:val="15"/>
          <w:szCs w:val="15"/>
        </w:rPr>
        <w:t>B</w:t>
      </w:r>
      <w:r>
        <w:rPr>
          <w:sz w:val="15"/>
          <w:szCs w:val="15"/>
        </w:rPr>
        <w:t>：</w:t>
      </w:r>
      <w:r>
        <w:rPr>
          <w:sz w:val="15"/>
          <w:szCs w:val="15"/>
        </w:rPr>
        <w:t>CLP</w:t>
      </w:r>
      <w:r>
        <w:rPr>
          <w:sz w:val="15"/>
          <w:szCs w:val="15"/>
        </w:rPr>
        <w:t>模型组；</w:t>
      </w:r>
      <w:r>
        <w:rPr>
          <w:sz w:val="15"/>
          <w:szCs w:val="15"/>
        </w:rPr>
        <w:t>C</w:t>
      </w:r>
      <w:r>
        <w:rPr>
          <w:sz w:val="15"/>
          <w:szCs w:val="15"/>
        </w:rPr>
        <w:t>：阳性药物</w:t>
      </w:r>
      <w:r>
        <w:rPr>
          <w:sz w:val="15"/>
          <w:szCs w:val="15"/>
        </w:rPr>
        <w:t>+CLP</w:t>
      </w:r>
      <w:r>
        <w:rPr>
          <w:sz w:val="15"/>
          <w:szCs w:val="15"/>
        </w:rPr>
        <w:t>模型组；</w:t>
      </w:r>
      <w:r>
        <w:rPr>
          <w:sz w:val="15"/>
          <w:szCs w:val="15"/>
        </w:rPr>
        <w:t>D</w:t>
      </w:r>
      <w:r>
        <w:rPr>
          <w:sz w:val="15"/>
          <w:szCs w:val="15"/>
        </w:rPr>
        <w:t>：重症心</w:t>
      </w:r>
      <w:proofErr w:type="gramStart"/>
      <w:r>
        <w:rPr>
          <w:sz w:val="15"/>
          <w:szCs w:val="15"/>
        </w:rPr>
        <w:t>痹</w:t>
      </w:r>
      <w:proofErr w:type="gramEnd"/>
      <w:r>
        <w:rPr>
          <w:sz w:val="15"/>
          <w:szCs w:val="15"/>
        </w:rPr>
        <w:t>方</w:t>
      </w:r>
      <w:r>
        <w:rPr>
          <w:sz w:val="15"/>
          <w:szCs w:val="15"/>
        </w:rPr>
        <w:t>+CLP</w:t>
      </w:r>
      <w:r>
        <w:rPr>
          <w:sz w:val="15"/>
          <w:szCs w:val="15"/>
        </w:rPr>
        <w:t>模型组。（</w:t>
      </w:r>
      <w:r>
        <w:rPr>
          <w:sz w:val="15"/>
          <w:szCs w:val="15"/>
        </w:rPr>
        <w:t>2</w:t>
      </w:r>
      <w:r>
        <w:rPr>
          <w:sz w:val="15"/>
          <w:szCs w:val="15"/>
        </w:rPr>
        <w:t>）与</w:t>
      </w:r>
      <w:r>
        <w:rPr>
          <w:sz w:val="15"/>
          <w:szCs w:val="15"/>
        </w:rPr>
        <w:t>A</w:t>
      </w:r>
      <w:r>
        <w:rPr>
          <w:sz w:val="15"/>
          <w:szCs w:val="15"/>
        </w:rPr>
        <w:t>组比较，</w:t>
      </w:r>
      <w:r>
        <w:rPr>
          <w:sz w:val="15"/>
          <w:szCs w:val="15"/>
        </w:rPr>
        <w:t>*</w:t>
      </w:r>
      <w:r>
        <w:rPr>
          <w:sz w:val="15"/>
          <w:szCs w:val="15"/>
        </w:rPr>
        <w:t>表示</w:t>
      </w:r>
      <w:r>
        <w:rPr>
          <w:i/>
          <w:iCs/>
          <w:sz w:val="15"/>
          <w:szCs w:val="15"/>
        </w:rPr>
        <w:t>P</w:t>
      </w:r>
      <w:r>
        <w:rPr>
          <w:sz w:val="15"/>
          <w:szCs w:val="15"/>
        </w:rPr>
        <w:t>＜</w:t>
      </w:r>
      <w:r>
        <w:rPr>
          <w:sz w:val="15"/>
          <w:szCs w:val="15"/>
        </w:rPr>
        <w:t>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0.01</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0.001</w:t>
      </w:r>
      <w:r>
        <w:rPr>
          <w:sz w:val="15"/>
          <w:szCs w:val="15"/>
        </w:rPr>
        <w:t>；与</w:t>
      </w:r>
      <w:r>
        <w:rPr>
          <w:sz w:val="15"/>
          <w:szCs w:val="15"/>
        </w:rPr>
        <w:t>B</w:t>
      </w:r>
      <w:r>
        <w:rPr>
          <w:sz w:val="15"/>
          <w:szCs w:val="15"/>
        </w:rPr>
        <w:t>组比较，</w:t>
      </w:r>
      <w:r>
        <w:rPr>
          <w:sz w:val="15"/>
          <w:szCs w:val="15"/>
        </w:rPr>
        <w:t>#</w:t>
      </w:r>
      <w:r>
        <w:rPr>
          <w:sz w:val="15"/>
          <w:szCs w:val="15"/>
        </w:rPr>
        <w:t>表示</w:t>
      </w:r>
      <w:r>
        <w:rPr>
          <w:i/>
          <w:iCs/>
          <w:sz w:val="15"/>
          <w:szCs w:val="15"/>
        </w:rPr>
        <w:t>P</w:t>
      </w:r>
      <w:r>
        <w:rPr>
          <w:sz w:val="15"/>
          <w:szCs w:val="15"/>
        </w:rPr>
        <w:t>＜</w:t>
      </w:r>
      <w:r>
        <w:rPr>
          <w:sz w:val="15"/>
          <w:szCs w:val="15"/>
        </w:rPr>
        <w:t>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0.01</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0.001</w:t>
      </w:r>
      <w:r>
        <w:rPr>
          <w:sz w:val="15"/>
          <w:szCs w:val="15"/>
        </w:rPr>
        <w:t>。</w:t>
      </w:r>
    </w:p>
    <w:p w:rsidR="00C4690C" w:rsidRDefault="00C4690C" w:rsidP="00C4690C">
      <w:pPr>
        <w:spacing w:line="360" w:lineRule="auto"/>
        <w:ind w:firstLineChars="200" w:firstLine="480"/>
        <w:rPr>
          <w:sz w:val="24"/>
        </w:rPr>
      </w:pPr>
      <w:r>
        <w:rPr>
          <w:sz w:val="24"/>
        </w:rPr>
        <w:t>（</w:t>
      </w:r>
      <w:r>
        <w:rPr>
          <w:sz w:val="24"/>
        </w:rPr>
        <w:t>4</w:t>
      </w:r>
      <w:r>
        <w:rPr>
          <w:sz w:val="24"/>
        </w:rPr>
        <w:t>）</w:t>
      </w:r>
      <w:r>
        <w:rPr>
          <w:sz w:val="24"/>
        </w:rPr>
        <w:t xml:space="preserve"> Western Blot</w:t>
      </w:r>
      <w:r>
        <w:rPr>
          <w:sz w:val="24"/>
        </w:rPr>
        <w:t>法检测各组大鼠心脏组织的</w:t>
      </w:r>
      <w:proofErr w:type="gramStart"/>
      <w:r>
        <w:rPr>
          <w:sz w:val="24"/>
        </w:rPr>
        <w:t>焦亡关键</w:t>
      </w:r>
      <w:proofErr w:type="gramEnd"/>
      <w:r>
        <w:rPr>
          <w:sz w:val="24"/>
        </w:rPr>
        <w:t>蛋白的表达情况</w:t>
      </w:r>
    </w:p>
    <w:p w:rsidR="00C4690C" w:rsidRDefault="00C4690C" w:rsidP="00C4690C">
      <w:pPr>
        <w:spacing w:line="360" w:lineRule="auto"/>
        <w:ind w:firstLineChars="200" w:firstLine="480"/>
        <w:rPr>
          <w:sz w:val="24"/>
        </w:rPr>
      </w:pPr>
      <w:r>
        <w:rPr>
          <w:sz w:val="24"/>
        </w:rPr>
        <w:t>Western Blot</w:t>
      </w:r>
      <w:r>
        <w:rPr>
          <w:sz w:val="24"/>
        </w:rPr>
        <w:t>法显示：与</w:t>
      </w:r>
      <w:proofErr w:type="gramStart"/>
      <w:r>
        <w:rPr>
          <w:sz w:val="24"/>
        </w:rPr>
        <w:t>假手术组比较</w:t>
      </w:r>
      <w:proofErr w:type="gramEnd"/>
      <w:r>
        <w:rPr>
          <w:sz w:val="24"/>
        </w:rPr>
        <w:t>，模型组</w:t>
      </w:r>
      <w:r>
        <w:rPr>
          <w:sz w:val="24"/>
        </w:rPr>
        <w:t>ASC</w:t>
      </w:r>
      <w:r>
        <w:rPr>
          <w:sz w:val="24"/>
        </w:rPr>
        <w:t>、</w:t>
      </w:r>
      <w:r>
        <w:rPr>
          <w:sz w:val="24"/>
        </w:rPr>
        <w:t>Cleaved-caspase1</w:t>
      </w:r>
      <w:r>
        <w:rPr>
          <w:sz w:val="24"/>
        </w:rPr>
        <w:t>蛋白水平均明显上升，且结果均具有统计学意义（</w:t>
      </w:r>
      <w:r>
        <w:rPr>
          <w:i/>
          <w:iCs/>
          <w:sz w:val="24"/>
        </w:rPr>
        <w:t>P</w:t>
      </w:r>
      <w:r>
        <w:rPr>
          <w:sz w:val="24"/>
        </w:rPr>
        <w:t>＜</w:t>
      </w:r>
      <w:r>
        <w:rPr>
          <w:sz w:val="24"/>
        </w:rPr>
        <w:t>0.05</w:t>
      </w:r>
      <w:r>
        <w:rPr>
          <w:sz w:val="24"/>
        </w:rPr>
        <w:t>）；与</w:t>
      </w:r>
      <w:r>
        <w:rPr>
          <w:sz w:val="24"/>
        </w:rPr>
        <w:t>CLP</w:t>
      </w:r>
      <w:r>
        <w:rPr>
          <w:sz w:val="24"/>
        </w:rPr>
        <w:t>模型组比较，重</w:t>
      </w:r>
      <w:r>
        <w:rPr>
          <w:sz w:val="24"/>
        </w:rPr>
        <w:lastRenderedPageBreak/>
        <w:t>症心</w:t>
      </w:r>
      <w:proofErr w:type="gramStart"/>
      <w:r>
        <w:rPr>
          <w:sz w:val="24"/>
        </w:rPr>
        <w:t>痹</w:t>
      </w:r>
      <w:proofErr w:type="gramEnd"/>
      <w:r>
        <w:rPr>
          <w:sz w:val="24"/>
        </w:rPr>
        <w:t>方</w:t>
      </w:r>
      <w:r>
        <w:rPr>
          <w:sz w:val="24"/>
        </w:rPr>
        <w:t>+CLP</w:t>
      </w:r>
      <w:r>
        <w:rPr>
          <w:sz w:val="24"/>
        </w:rPr>
        <w:t>模型组</w:t>
      </w:r>
      <w:r>
        <w:rPr>
          <w:sz w:val="24"/>
        </w:rPr>
        <w:t>Cleaved-caspase1</w:t>
      </w:r>
      <w:r>
        <w:rPr>
          <w:sz w:val="24"/>
        </w:rPr>
        <w:t>蛋白表达水平明显下降（</w:t>
      </w:r>
      <w:r>
        <w:rPr>
          <w:i/>
          <w:iCs/>
          <w:sz w:val="24"/>
        </w:rPr>
        <w:t>P</w:t>
      </w:r>
      <w:r>
        <w:rPr>
          <w:sz w:val="24"/>
        </w:rPr>
        <w:t>＜</w:t>
      </w:r>
      <w:r>
        <w:rPr>
          <w:sz w:val="24"/>
        </w:rPr>
        <w:t>0.05</w:t>
      </w:r>
      <w:r>
        <w:rPr>
          <w:sz w:val="24"/>
        </w:rPr>
        <w:t>）。然而，与</w:t>
      </w:r>
      <w:r>
        <w:rPr>
          <w:sz w:val="24"/>
        </w:rPr>
        <w:t>CLP</w:t>
      </w:r>
      <w:r>
        <w:rPr>
          <w:sz w:val="24"/>
        </w:rPr>
        <w:t>模型组比较，重症心</w:t>
      </w:r>
      <w:proofErr w:type="gramStart"/>
      <w:r>
        <w:rPr>
          <w:sz w:val="24"/>
        </w:rPr>
        <w:t>痹</w:t>
      </w:r>
      <w:proofErr w:type="gramEnd"/>
      <w:r>
        <w:rPr>
          <w:sz w:val="24"/>
        </w:rPr>
        <w:t>方</w:t>
      </w:r>
      <w:r>
        <w:rPr>
          <w:sz w:val="24"/>
        </w:rPr>
        <w:t>+CLP</w:t>
      </w:r>
      <w:r>
        <w:rPr>
          <w:sz w:val="24"/>
        </w:rPr>
        <w:t>模型组</w:t>
      </w:r>
      <w:r>
        <w:rPr>
          <w:sz w:val="24"/>
        </w:rPr>
        <w:t>ASC</w:t>
      </w:r>
      <w:r>
        <w:rPr>
          <w:sz w:val="24"/>
        </w:rPr>
        <w:t>蛋白表达呈下降趋势，但研究结果仍不具备统计学意义（</w:t>
      </w:r>
      <w:r>
        <w:rPr>
          <w:i/>
          <w:iCs/>
          <w:sz w:val="24"/>
        </w:rPr>
        <w:t>P</w:t>
      </w:r>
      <w:r>
        <w:rPr>
          <w:sz w:val="24"/>
        </w:rPr>
        <w:t>＞</w:t>
      </w:r>
      <w:r>
        <w:rPr>
          <w:sz w:val="24"/>
        </w:rPr>
        <w:t>0.05</w:t>
      </w:r>
      <w:r>
        <w:rPr>
          <w:sz w:val="24"/>
        </w:rPr>
        <w:t>）。图</w:t>
      </w:r>
      <w:r>
        <w:rPr>
          <w:sz w:val="24"/>
        </w:rPr>
        <w:t>15</w:t>
      </w:r>
      <w:r>
        <w:rPr>
          <w:sz w:val="24"/>
        </w:rPr>
        <w:t>。</w:t>
      </w:r>
    </w:p>
    <w:p w:rsidR="00C4690C" w:rsidRDefault="00C4690C" w:rsidP="00C4690C">
      <w:pPr>
        <w:rPr>
          <w:sz w:val="28"/>
          <w:szCs w:val="28"/>
        </w:rPr>
      </w:pPr>
      <w:r>
        <w:rPr>
          <w:noProof/>
          <w:sz w:val="28"/>
          <w:szCs w:val="28"/>
        </w:rPr>
        <w:drawing>
          <wp:inline distT="0" distB="0" distL="0" distR="0">
            <wp:extent cx="5287645" cy="2202815"/>
            <wp:effectExtent l="0" t="0" r="8255" b="6985"/>
            <wp:docPr id="14" name="图片 14"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形用户界面&#10;&#10;中度可信度描述已自动生成"/>
                    <pic:cNvPicPr>
                      <a:picLocks noChangeAspect="1" noChangeArrowheads="1"/>
                    </pic:cNvPicPr>
                  </pic:nvPicPr>
                  <pic:blipFill>
                    <a:blip r:embed="rId35" cstate="print">
                      <a:extLst>
                        <a:ext uri="{28A0092B-C50C-407E-A947-70E740481C1C}">
                          <a14:useLocalDpi xmlns:a14="http://schemas.microsoft.com/office/drawing/2010/main" val="0"/>
                        </a:ext>
                      </a:extLst>
                    </a:blip>
                    <a:srcRect t="2937" r="2174" b="2426"/>
                    <a:stretch>
                      <a:fillRect/>
                    </a:stretch>
                  </pic:blipFill>
                  <pic:spPr bwMode="auto">
                    <a:xfrm>
                      <a:off x="0" y="0"/>
                      <a:ext cx="5287645" cy="2202815"/>
                    </a:xfrm>
                    <a:prstGeom prst="rect">
                      <a:avLst/>
                    </a:prstGeom>
                    <a:noFill/>
                    <a:ln>
                      <a:noFill/>
                    </a:ln>
                  </pic:spPr>
                </pic:pic>
              </a:graphicData>
            </a:graphic>
          </wp:inline>
        </w:drawing>
      </w:r>
    </w:p>
    <w:p w:rsidR="00C4690C" w:rsidRDefault="00C4690C" w:rsidP="00C4690C">
      <w:pPr>
        <w:spacing w:line="500" w:lineRule="exact"/>
        <w:jc w:val="center"/>
        <w:rPr>
          <w:sz w:val="24"/>
        </w:rPr>
      </w:pPr>
      <w:r>
        <w:t>图</w:t>
      </w:r>
      <w:r>
        <w:t xml:space="preserve"> </w:t>
      </w:r>
      <w:r>
        <w:fldChar w:fldCharType="begin"/>
      </w:r>
      <w:r>
        <w:instrText xml:space="preserve"> SEQ </w:instrText>
      </w:r>
      <w:r>
        <w:instrText>图</w:instrText>
      </w:r>
      <w:r>
        <w:instrText xml:space="preserve"> \* ARABIC </w:instrText>
      </w:r>
      <w:r>
        <w:fldChar w:fldCharType="separate"/>
      </w:r>
      <w:r>
        <w:rPr>
          <w:noProof/>
        </w:rPr>
        <w:t>15</w:t>
      </w:r>
      <w:r>
        <w:fldChar w:fldCharType="end"/>
      </w:r>
      <w:r>
        <w:rPr>
          <w:sz w:val="24"/>
        </w:rPr>
        <w:t xml:space="preserve"> </w:t>
      </w:r>
      <w:r>
        <w:rPr>
          <w:sz w:val="28"/>
          <w:szCs w:val="28"/>
        </w:rPr>
        <w:t xml:space="preserve"> </w:t>
      </w:r>
      <w:r>
        <w:rPr>
          <w:sz w:val="24"/>
        </w:rPr>
        <w:t>各组大鼠心脏组织的</w:t>
      </w:r>
      <w:proofErr w:type="gramStart"/>
      <w:r>
        <w:rPr>
          <w:sz w:val="24"/>
        </w:rPr>
        <w:t>焦亡关键</w:t>
      </w:r>
      <w:proofErr w:type="gramEnd"/>
      <w:r>
        <w:rPr>
          <w:sz w:val="24"/>
        </w:rPr>
        <w:t>蛋白的表达情况（</w:t>
      </w:r>
      <w:r>
        <w:rPr>
          <w:sz w:val="24"/>
        </w:rPr>
        <w:sym w:font="Symbol" w:char="F060"/>
      </w:r>
      <w:r>
        <w:rPr>
          <w:sz w:val="24"/>
        </w:rPr>
        <w:t>X±s</w:t>
      </w:r>
      <w:r>
        <w:rPr>
          <w:sz w:val="24"/>
        </w:rPr>
        <w:t>）</w:t>
      </w:r>
    </w:p>
    <w:p w:rsidR="00C4690C" w:rsidRDefault="00C4690C" w:rsidP="00C4690C">
      <w:pPr>
        <w:spacing w:line="500" w:lineRule="exact"/>
        <w:jc w:val="center"/>
        <w:rPr>
          <w:sz w:val="15"/>
          <w:szCs w:val="15"/>
        </w:rPr>
      </w:pPr>
      <w:r>
        <w:rPr>
          <w:sz w:val="15"/>
          <w:szCs w:val="15"/>
        </w:rPr>
        <w:t>注：（</w:t>
      </w:r>
      <w:r>
        <w:rPr>
          <w:sz w:val="15"/>
          <w:szCs w:val="15"/>
        </w:rPr>
        <w:t>1</w:t>
      </w:r>
      <w:r>
        <w:rPr>
          <w:sz w:val="15"/>
          <w:szCs w:val="15"/>
        </w:rPr>
        <w:t>）</w:t>
      </w:r>
      <w:r>
        <w:rPr>
          <w:sz w:val="15"/>
          <w:szCs w:val="15"/>
        </w:rPr>
        <w:t>A</w:t>
      </w:r>
      <w:r>
        <w:rPr>
          <w:sz w:val="15"/>
          <w:szCs w:val="15"/>
        </w:rPr>
        <w:t>：假手术组；</w:t>
      </w:r>
      <w:r>
        <w:rPr>
          <w:sz w:val="15"/>
          <w:szCs w:val="15"/>
        </w:rPr>
        <w:t>B</w:t>
      </w:r>
      <w:r>
        <w:rPr>
          <w:sz w:val="15"/>
          <w:szCs w:val="15"/>
        </w:rPr>
        <w:t>：</w:t>
      </w:r>
      <w:r>
        <w:rPr>
          <w:sz w:val="15"/>
          <w:szCs w:val="15"/>
        </w:rPr>
        <w:t>CLP</w:t>
      </w:r>
      <w:r>
        <w:rPr>
          <w:sz w:val="15"/>
          <w:szCs w:val="15"/>
        </w:rPr>
        <w:t>模型组；</w:t>
      </w:r>
      <w:r>
        <w:rPr>
          <w:sz w:val="15"/>
          <w:szCs w:val="15"/>
        </w:rPr>
        <w:t>C</w:t>
      </w:r>
      <w:r>
        <w:rPr>
          <w:sz w:val="15"/>
          <w:szCs w:val="15"/>
        </w:rPr>
        <w:t>：阳性药物</w:t>
      </w:r>
      <w:r>
        <w:rPr>
          <w:sz w:val="15"/>
          <w:szCs w:val="15"/>
        </w:rPr>
        <w:t>+CLP</w:t>
      </w:r>
      <w:r>
        <w:rPr>
          <w:sz w:val="15"/>
          <w:szCs w:val="15"/>
        </w:rPr>
        <w:t>模型组；</w:t>
      </w:r>
      <w:r>
        <w:rPr>
          <w:sz w:val="15"/>
          <w:szCs w:val="15"/>
        </w:rPr>
        <w:t>D</w:t>
      </w:r>
      <w:r>
        <w:rPr>
          <w:sz w:val="15"/>
          <w:szCs w:val="15"/>
        </w:rPr>
        <w:t>：重症心</w:t>
      </w:r>
      <w:proofErr w:type="gramStart"/>
      <w:r>
        <w:rPr>
          <w:sz w:val="15"/>
          <w:szCs w:val="15"/>
        </w:rPr>
        <w:t>痹</w:t>
      </w:r>
      <w:proofErr w:type="gramEnd"/>
      <w:r>
        <w:rPr>
          <w:sz w:val="15"/>
          <w:szCs w:val="15"/>
        </w:rPr>
        <w:t>方</w:t>
      </w:r>
      <w:r>
        <w:rPr>
          <w:sz w:val="15"/>
          <w:szCs w:val="15"/>
        </w:rPr>
        <w:t>+CLP</w:t>
      </w:r>
      <w:r>
        <w:rPr>
          <w:sz w:val="15"/>
          <w:szCs w:val="15"/>
        </w:rPr>
        <w:t>模型组。（</w:t>
      </w:r>
      <w:r>
        <w:rPr>
          <w:sz w:val="15"/>
          <w:szCs w:val="15"/>
        </w:rPr>
        <w:t>2</w:t>
      </w:r>
      <w:r>
        <w:rPr>
          <w:sz w:val="15"/>
          <w:szCs w:val="15"/>
        </w:rPr>
        <w:t>）与</w:t>
      </w:r>
      <w:r>
        <w:rPr>
          <w:sz w:val="15"/>
          <w:szCs w:val="15"/>
        </w:rPr>
        <w:t>A</w:t>
      </w:r>
      <w:r>
        <w:rPr>
          <w:sz w:val="15"/>
          <w:szCs w:val="15"/>
        </w:rPr>
        <w:t>组比较，</w:t>
      </w:r>
      <w:r>
        <w:rPr>
          <w:sz w:val="15"/>
          <w:szCs w:val="15"/>
        </w:rPr>
        <w:t>*</w:t>
      </w:r>
      <w:r>
        <w:rPr>
          <w:sz w:val="15"/>
          <w:szCs w:val="15"/>
        </w:rPr>
        <w:t>表示</w:t>
      </w:r>
      <w:r>
        <w:rPr>
          <w:i/>
          <w:iCs/>
          <w:sz w:val="15"/>
          <w:szCs w:val="15"/>
        </w:rPr>
        <w:t>P</w:t>
      </w:r>
      <w:r>
        <w:rPr>
          <w:sz w:val="15"/>
          <w:szCs w:val="15"/>
        </w:rPr>
        <w:t>＜</w:t>
      </w:r>
      <w:r>
        <w:rPr>
          <w:sz w:val="15"/>
          <w:szCs w:val="15"/>
        </w:rPr>
        <w:t>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0.01</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0.001</w:t>
      </w:r>
      <w:r>
        <w:rPr>
          <w:sz w:val="15"/>
          <w:szCs w:val="15"/>
        </w:rPr>
        <w:t>；与</w:t>
      </w:r>
      <w:r>
        <w:rPr>
          <w:sz w:val="15"/>
          <w:szCs w:val="15"/>
        </w:rPr>
        <w:t>B</w:t>
      </w:r>
      <w:r>
        <w:rPr>
          <w:sz w:val="15"/>
          <w:szCs w:val="15"/>
        </w:rPr>
        <w:t>组比较，</w:t>
      </w:r>
      <w:r>
        <w:rPr>
          <w:sz w:val="15"/>
          <w:szCs w:val="15"/>
        </w:rPr>
        <w:t>#</w:t>
      </w:r>
      <w:r>
        <w:rPr>
          <w:sz w:val="15"/>
          <w:szCs w:val="15"/>
        </w:rPr>
        <w:t>表示</w:t>
      </w:r>
      <w:r>
        <w:rPr>
          <w:i/>
          <w:iCs/>
          <w:sz w:val="15"/>
          <w:szCs w:val="15"/>
        </w:rPr>
        <w:t>P</w:t>
      </w:r>
      <w:r>
        <w:rPr>
          <w:sz w:val="15"/>
          <w:szCs w:val="15"/>
        </w:rPr>
        <w:t>＜</w:t>
      </w:r>
      <w:r>
        <w:rPr>
          <w:sz w:val="15"/>
          <w:szCs w:val="15"/>
        </w:rPr>
        <w:t>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0.01</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0.005</w:t>
      </w:r>
      <w:r>
        <w:rPr>
          <w:sz w:val="15"/>
          <w:szCs w:val="15"/>
        </w:rPr>
        <w:t>，</w:t>
      </w:r>
      <w:r>
        <w:rPr>
          <w:sz w:val="15"/>
          <w:szCs w:val="15"/>
        </w:rPr>
        <w:t>####</w:t>
      </w:r>
      <w:r>
        <w:rPr>
          <w:sz w:val="15"/>
          <w:szCs w:val="15"/>
        </w:rPr>
        <w:t>表示</w:t>
      </w:r>
      <w:r>
        <w:rPr>
          <w:i/>
          <w:iCs/>
          <w:sz w:val="15"/>
          <w:szCs w:val="15"/>
        </w:rPr>
        <w:t>P</w:t>
      </w:r>
      <w:r>
        <w:rPr>
          <w:sz w:val="15"/>
          <w:szCs w:val="15"/>
        </w:rPr>
        <w:t>＜</w:t>
      </w:r>
      <w:r>
        <w:rPr>
          <w:sz w:val="15"/>
          <w:szCs w:val="15"/>
        </w:rPr>
        <w:t>0.001</w:t>
      </w:r>
      <w:r>
        <w:rPr>
          <w:sz w:val="15"/>
          <w:szCs w:val="15"/>
        </w:rPr>
        <w:t>。</w:t>
      </w:r>
    </w:p>
    <w:p w:rsidR="00C4690C" w:rsidRPr="00C4690C" w:rsidRDefault="00C4690C" w:rsidP="00C4690C">
      <w:pPr>
        <w:spacing w:line="360" w:lineRule="auto"/>
        <w:rPr>
          <w:rFonts w:cs="宋体"/>
          <w:sz w:val="24"/>
          <w:lang w:bidi="ar"/>
        </w:rPr>
      </w:pPr>
    </w:p>
    <w:sectPr w:rsidR="00C4690C" w:rsidRPr="00C4690C">
      <w:footerReference w:type="default" r:id="rId36"/>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153EE" w:rsidRDefault="004153EE">
      <w:r>
        <w:separator/>
      </w:r>
    </w:p>
  </w:endnote>
  <w:endnote w:type="continuationSeparator" w:id="0">
    <w:p w:rsidR="004153EE" w:rsidRDefault="004153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altName w:val="Microsoft YaHei UI"/>
    <w:panose1 w:val="03000509000000000000"/>
    <w:charset w:val="86"/>
    <w:family w:val="script"/>
    <w:pitch w:val="fixed"/>
    <w:sig w:usb0="00000001" w:usb1="080E0000" w:usb2="00000010" w:usb3="00000000" w:csb0="00040000" w:csb1="00000000"/>
  </w:font>
  <w:font w:name="仿宋_GB2312">
    <w:altName w:val="仿宋"/>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5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1666264"/>
    </w:sdtPr>
    <w:sdtEndPr/>
    <w:sdtContent>
      <w:p w:rsidR="00AE34F4" w:rsidRDefault="00AE34F4">
        <w:pPr>
          <w:pStyle w:val="af8"/>
          <w:jc w:val="center"/>
        </w:pPr>
        <w:r>
          <w:fldChar w:fldCharType="begin"/>
        </w:r>
        <w:r>
          <w:instrText>PAGE   \* MERGEFORMAT</w:instrText>
        </w:r>
        <w:r>
          <w:fldChar w:fldCharType="separate"/>
        </w:r>
        <w:r w:rsidR="00A46FCF" w:rsidRPr="00A46FCF">
          <w:rPr>
            <w:noProof/>
            <w:lang w:val="zh-CN"/>
          </w:rPr>
          <w:t>21</w:t>
        </w:r>
        <w:r>
          <w:fldChar w:fldCharType="end"/>
        </w:r>
      </w:p>
    </w:sdtContent>
  </w:sdt>
  <w:p w:rsidR="00AE34F4" w:rsidRDefault="00AE34F4">
    <w:pPr>
      <w:pStyle w:val="af8"/>
      <w:tabs>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153EE" w:rsidRDefault="004153EE">
      <w:r>
        <w:separator/>
      </w:r>
    </w:p>
  </w:footnote>
  <w:footnote w:type="continuationSeparator" w:id="0">
    <w:p w:rsidR="004153EE" w:rsidRDefault="004153E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06F50745"/>
    <w:multiLevelType w:val="multilevel"/>
    <w:tmpl w:val="06F50745"/>
    <w:lvl w:ilvl="0">
      <w:start w:val="1"/>
      <w:numFmt w:val="japaneseCounting"/>
      <w:lvlText w:val="（%1）"/>
      <w:lvlJc w:val="left"/>
      <w:pPr>
        <w:ind w:left="1720" w:hanging="108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3"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5"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6" w15:restartNumberingAfterBreak="0">
    <w:nsid w:val="32534DA6"/>
    <w:multiLevelType w:val="multilevel"/>
    <w:tmpl w:val="32534DA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8"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3"/>
  </w:num>
  <w:num w:numId="2">
    <w:abstractNumId w:val="8"/>
  </w:num>
  <w:num w:numId="3">
    <w:abstractNumId w:val="5"/>
  </w:num>
  <w:num w:numId="4">
    <w:abstractNumId w:val="1"/>
  </w:num>
  <w:num w:numId="5">
    <w:abstractNumId w:val="7"/>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 w:numId="8">
    <w:abstractNumId w:val="0"/>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saveSubsetFonts/>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UzYjllYmY2NzhhNWE3MDUzYmVjNDFiZDNlNjU1MTcifQ=="/>
  </w:docVars>
  <w:rsids>
    <w:rsidRoot w:val="0037490B"/>
    <w:rsid w:val="89EC8D50"/>
    <w:rsid w:val="94FF16E9"/>
    <w:rsid w:val="AEF3D813"/>
    <w:rsid w:val="BE722060"/>
    <w:rsid w:val="BFBF1029"/>
    <w:rsid w:val="CA57F4A4"/>
    <w:rsid w:val="DFBDA631"/>
    <w:rsid w:val="DFF70C8A"/>
    <w:rsid w:val="E07E2E31"/>
    <w:rsid w:val="E7EF1789"/>
    <w:rsid w:val="EB958B8D"/>
    <w:rsid w:val="F3EF800F"/>
    <w:rsid w:val="F5FD69B6"/>
    <w:rsid w:val="FCA3DA1D"/>
    <w:rsid w:val="FDEC2256"/>
    <w:rsid w:val="FEEBE21B"/>
    <w:rsid w:val="FF931F48"/>
    <w:rsid w:val="FFFF8916"/>
    <w:rsid w:val="000005CA"/>
    <w:rsid w:val="00000707"/>
    <w:rsid w:val="00000AD9"/>
    <w:rsid w:val="00000E4A"/>
    <w:rsid w:val="00001814"/>
    <w:rsid w:val="00001CE0"/>
    <w:rsid w:val="00002424"/>
    <w:rsid w:val="00003DB3"/>
    <w:rsid w:val="0000435A"/>
    <w:rsid w:val="00012082"/>
    <w:rsid w:val="000126E8"/>
    <w:rsid w:val="0001766E"/>
    <w:rsid w:val="000216C2"/>
    <w:rsid w:val="00021804"/>
    <w:rsid w:val="00021AAC"/>
    <w:rsid w:val="000227C7"/>
    <w:rsid w:val="00022BF7"/>
    <w:rsid w:val="000255FF"/>
    <w:rsid w:val="000258DE"/>
    <w:rsid w:val="0002646B"/>
    <w:rsid w:val="000276DC"/>
    <w:rsid w:val="0002775D"/>
    <w:rsid w:val="00030BAD"/>
    <w:rsid w:val="00030EE3"/>
    <w:rsid w:val="00031086"/>
    <w:rsid w:val="00031246"/>
    <w:rsid w:val="00031483"/>
    <w:rsid w:val="00031C1A"/>
    <w:rsid w:val="00033355"/>
    <w:rsid w:val="000336F6"/>
    <w:rsid w:val="0003494D"/>
    <w:rsid w:val="00036510"/>
    <w:rsid w:val="000370FC"/>
    <w:rsid w:val="00043580"/>
    <w:rsid w:val="000438DF"/>
    <w:rsid w:val="00044D55"/>
    <w:rsid w:val="00046883"/>
    <w:rsid w:val="000472C5"/>
    <w:rsid w:val="000504E1"/>
    <w:rsid w:val="0005176B"/>
    <w:rsid w:val="00051846"/>
    <w:rsid w:val="00051CD3"/>
    <w:rsid w:val="00052633"/>
    <w:rsid w:val="00052F64"/>
    <w:rsid w:val="00053989"/>
    <w:rsid w:val="00055AC5"/>
    <w:rsid w:val="00057DAE"/>
    <w:rsid w:val="00060C62"/>
    <w:rsid w:val="00061689"/>
    <w:rsid w:val="00062A4F"/>
    <w:rsid w:val="00062D7F"/>
    <w:rsid w:val="00064EA0"/>
    <w:rsid w:val="00065DD5"/>
    <w:rsid w:val="0006607C"/>
    <w:rsid w:val="000661B2"/>
    <w:rsid w:val="00067952"/>
    <w:rsid w:val="000702AE"/>
    <w:rsid w:val="000702F1"/>
    <w:rsid w:val="0007171F"/>
    <w:rsid w:val="000718F2"/>
    <w:rsid w:val="00071923"/>
    <w:rsid w:val="0007388E"/>
    <w:rsid w:val="00074198"/>
    <w:rsid w:val="00074776"/>
    <w:rsid w:val="00074CA1"/>
    <w:rsid w:val="00076A07"/>
    <w:rsid w:val="00077D12"/>
    <w:rsid w:val="00080929"/>
    <w:rsid w:val="000821B5"/>
    <w:rsid w:val="00082CE2"/>
    <w:rsid w:val="00085453"/>
    <w:rsid w:val="00087B41"/>
    <w:rsid w:val="0009078F"/>
    <w:rsid w:val="000907FE"/>
    <w:rsid w:val="00093876"/>
    <w:rsid w:val="00094DC8"/>
    <w:rsid w:val="0009683D"/>
    <w:rsid w:val="00096EB4"/>
    <w:rsid w:val="00097B46"/>
    <w:rsid w:val="000A119D"/>
    <w:rsid w:val="000A27BF"/>
    <w:rsid w:val="000A2963"/>
    <w:rsid w:val="000A3426"/>
    <w:rsid w:val="000A671D"/>
    <w:rsid w:val="000A7270"/>
    <w:rsid w:val="000A7B29"/>
    <w:rsid w:val="000B354A"/>
    <w:rsid w:val="000B3F01"/>
    <w:rsid w:val="000B4B01"/>
    <w:rsid w:val="000B4D20"/>
    <w:rsid w:val="000B544F"/>
    <w:rsid w:val="000B6EA3"/>
    <w:rsid w:val="000B7B2A"/>
    <w:rsid w:val="000C1499"/>
    <w:rsid w:val="000C1656"/>
    <w:rsid w:val="000C23E0"/>
    <w:rsid w:val="000C5759"/>
    <w:rsid w:val="000D1CC7"/>
    <w:rsid w:val="000D28E9"/>
    <w:rsid w:val="000D3740"/>
    <w:rsid w:val="000D472A"/>
    <w:rsid w:val="000E0C1D"/>
    <w:rsid w:val="000E3BE1"/>
    <w:rsid w:val="000E4416"/>
    <w:rsid w:val="000E4E87"/>
    <w:rsid w:val="000E57B1"/>
    <w:rsid w:val="000F2752"/>
    <w:rsid w:val="000F3A5A"/>
    <w:rsid w:val="000F3B3B"/>
    <w:rsid w:val="000F3F92"/>
    <w:rsid w:val="000F76C3"/>
    <w:rsid w:val="00100F24"/>
    <w:rsid w:val="00101862"/>
    <w:rsid w:val="001037D6"/>
    <w:rsid w:val="00103D28"/>
    <w:rsid w:val="0010606C"/>
    <w:rsid w:val="0010718F"/>
    <w:rsid w:val="00112E2C"/>
    <w:rsid w:val="0011489D"/>
    <w:rsid w:val="00115C0F"/>
    <w:rsid w:val="00115C18"/>
    <w:rsid w:val="00120F4F"/>
    <w:rsid w:val="00120F6B"/>
    <w:rsid w:val="00121C31"/>
    <w:rsid w:val="001226E6"/>
    <w:rsid w:val="0012286E"/>
    <w:rsid w:val="00122F61"/>
    <w:rsid w:val="0012516A"/>
    <w:rsid w:val="001266A2"/>
    <w:rsid w:val="00126AE4"/>
    <w:rsid w:val="00126AFC"/>
    <w:rsid w:val="00126CE4"/>
    <w:rsid w:val="0012731A"/>
    <w:rsid w:val="00127F78"/>
    <w:rsid w:val="00131174"/>
    <w:rsid w:val="00132566"/>
    <w:rsid w:val="0013257F"/>
    <w:rsid w:val="001341F3"/>
    <w:rsid w:val="001344C5"/>
    <w:rsid w:val="00134634"/>
    <w:rsid w:val="0013499B"/>
    <w:rsid w:val="0013535E"/>
    <w:rsid w:val="00137E5E"/>
    <w:rsid w:val="0014119F"/>
    <w:rsid w:val="001420D9"/>
    <w:rsid w:val="00142A85"/>
    <w:rsid w:val="00143457"/>
    <w:rsid w:val="001443AC"/>
    <w:rsid w:val="001446D9"/>
    <w:rsid w:val="00145356"/>
    <w:rsid w:val="00147A26"/>
    <w:rsid w:val="00147A7A"/>
    <w:rsid w:val="001502FB"/>
    <w:rsid w:val="00153AB7"/>
    <w:rsid w:val="0015488D"/>
    <w:rsid w:val="00154E77"/>
    <w:rsid w:val="00160B78"/>
    <w:rsid w:val="00160FAE"/>
    <w:rsid w:val="00161DBA"/>
    <w:rsid w:val="00162358"/>
    <w:rsid w:val="001631D2"/>
    <w:rsid w:val="001657D7"/>
    <w:rsid w:val="00170088"/>
    <w:rsid w:val="0017019C"/>
    <w:rsid w:val="0017068B"/>
    <w:rsid w:val="00170F62"/>
    <w:rsid w:val="001719D7"/>
    <w:rsid w:val="001729C6"/>
    <w:rsid w:val="00174F8D"/>
    <w:rsid w:val="00175A21"/>
    <w:rsid w:val="001761D2"/>
    <w:rsid w:val="00176412"/>
    <w:rsid w:val="00176892"/>
    <w:rsid w:val="00180583"/>
    <w:rsid w:val="00181D6C"/>
    <w:rsid w:val="00184502"/>
    <w:rsid w:val="00185CA3"/>
    <w:rsid w:val="00190900"/>
    <w:rsid w:val="00190B98"/>
    <w:rsid w:val="00191A83"/>
    <w:rsid w:val="001922F7"/>
    <w:rsid w:val="00192386"/>
    <w:rsid w:val="00192739"/>
    <w:rsid w:val="00192792"/>
    <w:rsid w:val="001939FA"/>
    <w:rsid w:val="0019480E"/>
    <w:rsid w:val="00194F7E"/>
    <w:rsid w:val="00195981"/>
    <w:rsid w:val="00197D0D"/>
    <w:rsid w:val="001A032E"/>
    <w:rsid w:val="001A03FA"/>
    <w:rsid w:val="001A1876"/>
    <w:rsid w:val="001A2348"/>
    <w:rsid w:val="001A4DC7"/>
    <w:rsid w:val="001A566B"/>
    <w:rsid w:val="001A585A"/>
    <w:rsid w:val="001A68FB"/>
    <w:rsid w:val="001A783E"/>
    <w:rsid w:val="001B05B6"/>
    <w:rsid w:val="001B1F8E"/>
    <w:rsid w:val="001B2C57"/>
    <w:rsid w:val="001B37F2"/>
    <w:rsid w:val="001B6DB3"/>
    <w:rsid w:val="001C0E52"/>
    <w:rsid w:val="001C2328"/>
    <w:rsid w:val="001C3FE3"/>
    <w:rsid w:val="001C6A32"/>
    <w:rsid w:val="001C6AE6"/>
    <w:rsid w:val="001C6E0D"/>
    <w:rsid w:val="001C712F"/>
    <w:rsid w:val="001C7669"/>
    <w:rsid w:val="001D0EEF"/>
    <w:rsid w:val="001D2157"/>
    <w:rsid w:val="001D694F"/>
    <w:rsid w:val="001D6954"/>
    <w:rsid w:val="001E1747"/>
    <w:rsid w:val="001E21D6"/>
    <w:rsid w:val="001E32EC"/>
    <w:rsid w:val="001E386B"/>
    <w:rsid w:val="001E4886"/>
    <w:rsid w:val="001E537B"/>
    <w:rsid w:val="001E6F36"/>
    <w:rsid w:val="001E7634"/>
    <w:rsid w:val="001E7EB0"/>
    <w:rsid w:val="001F03CB"/>
    <w:rsid w:val="001F19DD"/>
    <w:rsid w:val="001F1F80"/>
    <w:rsid w:val="001F319B"/>
    <w:rsid w:val="001F3453"/>
    <w:rsid w:val="001F357A"/>
    <w:rsid w:val="001F4A7D"/>
    <w:rsid w:val="001F5F4D"/>
    <w:rsid w:val="001F67DD"/>
    <w:rsid w:val="001F6FA5"/>
    <w:rsid w:val="001F7CCC"/>
    <w:rsid w:val="0020161B"/>
    <w:rsid w:val="002017AF"/>
    <w:rsid w:val="00203369"/>
    <w:rsid w:val="00203F22"/>
    <w:rsid w:val="00204DAA"/>
    <w:rsid w:val="00205F41"/>
    <w:rsid w:val="002064AD"/>
    <w:rsid w:val="002127FC"/>
    <w:rsid w:val="002148D2"/>
    <w:rsid w:val="00215122"/>
    <w:rsid w:val="002156A6"/>
    <w:rsid w:val="00216631"/>
    <w:rsid w:val="00217829"/>
    <w:rsid w:val="00220171"/>
    <w:rsid w:val="0022020B"/>
    <w:rsid w:val="00220B99"/>
    <w:rsid w:val="002219B5"/>
    <w:rsid w:val="0022384B"/>
    <w:rsid w:val="002239F3"/>
    <w:rsid w:val="00224982"/>
    <w:rsid w:val="00225AB5"/>
    <w:rsid w:val="00225C70"/>
    <w:rsid w:val="002306BF"/>
    <w:rsid w:val="00230FE3"/>
    <w:rsid w:val="00231E23"/>
    <w:rsid w:val="0023201C"/>
    <w:rsid w:val="002331BB"/>
    <w:rsid w:val="002338C3"/>
    <w:rsid w:val="00234398"/>
    <w:rsid w:val="0023444B"/>
    <w:rsid w:val="00234EC1"/>
    <w:rsid w:val="002354BE"/>
    <w:rsid w:val="002357C8"/>
    <w:rsid w:val="0023595B"/>
    <w:rsid w:val="002425E3"/>
    <w:rsid w:val="00245211"/>
    <w:rsid w:val="00246705"/>
    <w:rsid w:val="002519A5"/>
    <w:rsid w:val="0025225A"/>
    <w:rsid w:val="00252C67"/>
    <w:rsid w:val="002531B2"/>
    <w:rsid w:val="0025439B"/>
    <w:rsid w:val="00255076"/>
    <w:rsid w:val="00256BC8"/>
    <w:rsid w:val="00257962"/>
    <w:rsid w:val="002609DF"/>
    <w:rsid w:val="00262B50"/>
    <w:rsid w:val="0026386B"/>
    <w:rsid w:val="00266674"/>
    <w:rsid w:val="0027055E"/>
    <w:rsid w:val="00270F5A"/>
    <w:rsid w:val="00271153"/>
    <w:rsid w:val="002718CB"/>
    <w:rsid w:val="00272ECD"/>
    <w:rsid w:val="00273201"/>
    <w:rsid w:val="00275A63"/>
    <w:rsid w:val="00275AA3"/>
    <w:rsid w:val="00282082"/>
    <w:rsid w:val="00282225"/>
    <w:rsid w:val="0028355F"/>
    <w:rsid w:val="00284186"/>
    <w:rsid w:val="00284311"/>
    <w:rsid w:val="0028475F"/>
    <w:rsid w:val="00287D8F"/>
    <w:rsid w:val="002908DF"/>
    <w:rsid w:val="00290CF8"/>
    <w:rsid w:val="00292CEA"/>
    <w:rsid w:val="00292DE5"/>
    <w:rsid w:val="00292F83"/>
    <w:rsid w:val="00293DF7"/>
    <w:rsid w:val="002946D7"/>
    <w:rsid w:val="00296164"/>
    <w:rsid w:val="002A1DE2"/>
    <w:rsid w:val="002A2D83"/>
    <w:rsid w:val="002A34D4"/>
    <w:rsid w:val="002A607A"/>
    <w:rsid w:val="002A6206"/>
    <w:rsid w:val="002A65F2"/>
    <w:rsid w:val="002B100F"/>
    <w:rsid w:val="002B176E"/>
    <w:rsid w:val="002B3286"/>
    <w:rsid w:val="002B40F0"/>
    <w:rsid w:val="002B59C9"/>
    <w:rsid w:val="002B6683"/>
    <w:rsid w:val="002B6E5E"/>
    <w:rsid w:val="002C01F9"/>
    <w:rsid w:val="002C03C4"/>
    <w:rsid w:val="002C19B5"/>
    <w:rsid w:val="002C211E"/>
    <w:rsid w:val="002C23C5"/>
    <w:rsid w:val="002C29BB"/>
    <w:rsid w:val="002C3262"/>
    <w:rsid w:val="002C3400"/>
    <w:rsid w:val="002C36FA"/>
    <w:rsid w:val="002C3D9D"/>
    <w:rsid w:val="002C4ADF"/>
    <w:rsid w:val="002C5695"/>
    <w:rsid w:val="002C765C"/>
    <w:rsid w:val="002D0EC0"/>
    <w:rsid w:val="002D0F44"/>
    <w:rsid w:val="002D0FDE"/>
    <w:rsid w:val="002D4929"/>
    <w:rsid w:val="002D4FC0"/>
    <w:rsid w:val="002D6215"/>
    <w:rsid w:val="002D6356"/>
    <w:rsid w:val="002E1137"/>
    <w:rsid w:val="002E1BFD"/>
    <w:rsid w:val="002E33C3"/>
    <w:rsid w:val="002E4BF9"/>
    <w:rsid w:val="002F1BB3"/>
    <w:rsid w:val="002F25D8"/>
    <w:rsid w:val="002F28C2"/>
    <w:rsid w:val="002F57B7"/>
    <w:rsid w:val="002F639C"/>
    <w:rsid w:val="002F6494"/>
    <w:rsid w:val="002F683C"/>
    <w:rsid w:val="002F7551"/>
    <w:rsid w:val="002F7C10"/>
    <w:rsid w:val="00300A5E"/>
    <w:rsid w:val="00306E58"/>
    <w:rsid w:val="0030718D"/>
    <w:rsid w:val="00307D97"/>
    <w:rsid w:val="00307DD9"/>
    <w:rsid w:val="00311598"/>
    <w:rsid w:val="00311ABF"/>
    <w:rsid w:val="0031537E"/>
    <w:rsid w:val="00316932"/>
    <w:rsid w:val="00316CF4"/>
    <w:rsid w:val="003176CC"/>
    <w:rsid w:val="00320788"/>
    <w:rsid w:val="00324901"/>
    <w:rsid w:val="00330D99"/>
    <w:rsid w:val="003322F5"/>
    <w:rsid w:val="00332F81"/>
    <w:rsid w:val="003355C8"/>
    <w:rsid w:val="00335B12"/>
    <w:rsid w:val="0033691C"/>
    <w:rsid w:val="00336BDE"/>
    <w:rsid w:val="00336DA4"/>
    <w:rsid w:val="00341D12"/>
    <w:rsid w:val="00342DC7"/>
    <w:rsid w:val="00342F19"/>
    <w:rsid w:val="00343F16"/>
    <w:rsid w:val="00345537"/>
    <w:rsid w:val="00345A67"/>
    <w:rsid w:val="00346D55"/>
    <w:rsid w:val="0034784B"/>
    <w:rsid w:val="00350CD9"/>
    <w:rsid w:val="00351282"/>
    <w:rsid w:val="003518F5"/>
    <w:rsid w:val="003538EC"/>
    <w:rsid w:val="00354B2E"/>
    <w:rsid w:val="00355DDC"/>
    <w:rsid w:val="003579E3"/>
    <w:rsid w:val="00357B40"/>
    <w:rsid w:val="00360157"/>
    <w:rsid w:val="003617F8"/>
    <w:rsid w:val="0036366F"/>
    <w:rsid w:val="00364C43"/>
    <w:rsid w:val="00366F06"/>
    <w:rsid w:val="00367455"/>
    <w:rsid w:val="00367CD0"/>
    <w:rsid w:val="00367DDC"/>
    <w:rsid w:val="00370F39"/>
    <w:rsid w:val="00371857"/>
    <w:rsid w:val="0037336B"/>
    <w:rsid w:val="00373CC6"/>
    <w:rsid w:val="00374750"/>
    <w:rsid w:val="0037490B"/>
    <w:rsid w:val="00374BC5"/>
    <w:rsid w:val="00375600"/>
    <w:rsid w:val="00376BA3"/>
    <w:rsid w:val="00384F17"/>
    <w:rsid w:val="00384F27"/>
    <w:rsid w:val="003860CF"/>
    <w:rsid w:val="00387FD0"/>
    <w:rsid w:val="00390362"/>
    <w:rsid w:val="003905EF"/>
    <w:rsid w:val="00390758"/>
    <w:rsid w:val="00391BF2"/>
    <w:rsid w:val="003928AE"/>
    <w:rsid w:val="00392C6C"/>
    <w:rsid w:val="00393139"/>
    <w:rsid w:val="00394ABF"/>
    <w:rsid w:val="003950FD"/>
    <w:rsid w:val="00395AAD"/>
    <w:rsid w:val="003A049C"/>
    <w:rsid w:val="003A0BEB"/>
    <w:rsid w:val="003A3C7C"/>
    <w:rsid w:val="003A3E22"/>
    <w:rsid w:val="003A3E99"/>
    <w:rsid w:val="003A5B7E"/>
    <w:rsid w:val="003B1803"/>
    <w:rsid w:val="003B1E11"/>
    <w:rsid w:val="003B2C5B"/>
    <w:rsid w:val="003B5280"/>
    <w:rsid w:val="003B5F4C"/>
    <w:rsid w:val="003B6B12"/>
    <w:rsid w:val="003B7268"/>
    <w:rsid w:val="003B76B6"/>
    <w:rsid w:val="003C0AB3"/>
    <w:rsid w:val="003C1122"/>
    <w:rsid w:val="003C1230"/>
    <w:rsid w:val="003C2101"/>
    <w:rsid w:val="003C489B"/>
    <w:rsid w:val="003C5994"/>
    <w:rsid w:val="003C7FFD"/>
    <w:rsid w:val="003D226C"/>
    <w:rsid w:val="003D43E5"/>
    <w:rsid w:val="003D4B79"/>
    <w:rsid w:val="003D7D4F"/>
    <w:rsid w:val="003E0E39"/>
    <w:rsid w:val="003E11BD"/>
    <w:rsid w:val="003E17D3"/>
    <w:rsid w:val="003E30BD"/>
    <w:rsid w:val="003E40BC"/>
    <w:rsid w:val="003E5596"/>
    <w:rsid w:val="003E641C"/>
    <w:rsid w:val="003E7060"/>
    <w:rsid w:val="003F0862"/>
    <w:rsid w:val="003F131C"/>
    <w:rsid w:val="003F222F"/>
    <w:rsid w:val="003F3337"/>
    <w:rsid w:val="003F4547"/>
    <w:rsid w:val="003F4F2B"/>
    <w:rsid w:val="003F54C9"/>
    <w:rsid w:val="003F6173"/>
    <w:rsid w:val="003F654A"/>
    <w:rsid w:val="003F6AED"/>
    <w:rsid w:val="003F7403"/>
    <w:rsid w:val="00401CDE"/>
    <w:rsid w:val="00402E14"/>
    <w:rsid w:val="00402FC9"/>
    <w:rsid w:val="004035E3"/>
    <w:rsid w:val="00404DFA"/>
    <w:rsid w:val="00410474"/>
    <w:rsid w:val="004106D2"/>
    <w:rsid w:val="00411321"/>
    <w:rsid w:val="00412910"/>
    <w:rsid w:val="004129E9"/>
    <w:rsid w:val="00413A94"/>
    <w:rsid w:val="004153EE"/>
    <w:rsid w:val="00415EA5"/>
    <w:rsid w:val="00417E13"/>
    <w:rsid w:val="00420DEE"/>
    <w:rsid w:val="004211A8"/>
    <w:rsid w:val="00421747"/>
    <w:rsid w:val="00421BEA"/>
    <w:rsid w:val="0042562D"/>
    <w:rsid w:val="0043013B"/>
    <w:rsid w:val="0043169F"/>
    <w:rsid w:val="00435C24"/>
    <w:rsid w:val="00443B36"/>
    <w:rsid w:val="004442E1"/>
    <w:rsid w:val="00445B75"/>
    <w:rsid w:val="0044688A"/>
    <w:rsid w:val="00450356"/>
    <w:rsid w:val="00450C89"/>
    <w:rsid w:val="00450E92"/>
    <w:rsid w:val="00451664"/>
    <w:rsid w:val="00452143"/>
    <w:rsid w:val="0045218D"/>
    <w:rsid w:val="00452AB3"/>
    <w:rsid w:val="004530D3"/>
    <w:rsid w:val="00454515"/>
    <w:rsid w:val="004552D8"/>
    <w:rsid w:val="00456F07"/>
    <w:rsid w:val="00461779"/>
    <w:rsid w:val="004661AA"/>
    <w:rsid w:val="00466F35"/>
    <w:rsid w:val="004671EF"/>
    <w:rsid w:val="00467906"/>
    <w:rsid w:val="00467E08"/>
    <w:rsid w:val="004703C2"/>
    <w:rsid w:val="00471279"/>
    <w:rsid w:val="00471DC2"/>
    <w:rsid w:val="00472170"/>
    <w:rsid w:val="004725E4"/>
    <w:rsid w:val="004749A8"/>
    <w:rsid w:val="00475485"/>
    <w:rsid w:val="00475657"/>
    <w:rsid w:val="004779CA"/>
    <w:rsid w:val="00482858"/>
    <w:rsid w:val="004831E3"/>
    <w:rsid w:val="004846D3"/>
    <w:rsid w:val="004859DB"/>
    <w:rsid w:val="004861A8"/>
    <w:rsid w:val="00487025"/>
    <w:rsid w:val="00491688"/>
    <w:rsid w:val="004916D5"/>
    <w:rsid w:val="00492256"/>
    <w:rsid w:val="00493251"/>
    <w:rsid w:val="00493F63"/>
    <w:rsid w:val="004944B1"/>
    <w:rsid w:val="0049496B"/>
    <w:rsid w:val="0049586B"/>
    <w:rsid w:val="004A0AC6"/>
    <w:rsid w:val="004A1FBA"/>
    <w:rsid w:val="004A273E"/>
    <w:rsid w:val="004A2CDA"/>
    <w:rsid w:val="004A2FD2"/>
    <w:rsid w:val="004B0B55"/>
    <w:rsid w:val="004B0BD5"/>
    <w:rsid w:val="004B0E0F"/>
    <w:rsid w:val="004B2556"/>
    <w:rsid w:val="004B2C31"/>
    <w:rsid w:val="004B40E7"/>
    <w:rsid w:val="004B469C"/>
    <w:rsid w:val="004B4A2A"/>
    <w:rsid w:val="004B5848"/>
    <w:rsid w:val="004C41E7"/>
    <w:rsid w:val="004C5F8A"/>
    <w:rsid w:val="004C6C6A"/>
    <w:rsid w:val="004C73A0"/>
    <w:rsid w:val="004D217A"/>
    <w:rsid w:val="004D23BA"/>
    <w:rsid w:val="004D55DD"/>
    <w:rsid w:val="004D6690"/>
    <w:rsid w:val="004D768D"/>
    <w:rsid w:val="004E0D15"/>
    <w:rsid w:val="004E2471"/>
    <w:rsid w:val="004E3527"/>
    <w:rsid w:val="004E3F4F"/>
    <w:rsid w:val="004E702B"/>
    <w:rsid w:val="004F01FA"/>
    <w:rsid w:val="004F0893"/>
    <w:rsid w:val="004F1610"/>
    <w:rsid w:val="004F2448"/>
    <w:rsid w:val="004F28DF"/>
    <w:rsid w:val="004F4BDF"/>
    <w:rsid w:val="004F4F39"/>
    <w:rsid w:val="004F6D58"/>
    <w:rsid w:val="00500A17"/>
    <w:rsid w:val="00500D6B"/>
    <w:rsid w:val="0050150E"/>
    <w:rsid w:val="00504915"/>
    <w:rsid w:val="00504E2E"/>
    <w:rsid w:val="0051044C"/>
    <w:rsid w:val="005107DD"/>
    <w:rsid w:val="00510CD5"/>
    <w:rsid w:val="0051330A"/>
    <w:rsid w:val="005142E2"/>
    <w:rsid w:val="0051458C"/>
    <w:rsid w:val="00514EAE"/>
    <w:rsid w:val="005168D0"/>
    <w:rsid w:val="00517B5F"/>
    <w:rsid w:val="00521AF8"/>
    <w:rsid w:val="00524B13"/>
    <w:rsid w:val="00525206"/>
    <w:rsid w:val="00526408"/>
    <w:rsid w:val="00527045"/>
    <w:rsid w:val="005276F2"/>
    <w:rsid w:val="00527A05"/>
    <w:rsid w:val="00527D6B"/>
    <w:rsid w:val="0053065D"/>
    <w:rsid w:val="00530FD2"/>
    <w:rsid w:val="00531150"/>
    <w:rsid w:val="00531D25"/>
    <w:rsid w:val="00531FB1"/>
    <w:rsid w:val="0053200A"/>
    <w:rsid w:val="005333E8"/>
    <w:rsid w:val="005334D7"/>
    <w:rsid w:val="00535238"/>
    <w:rsid w:val="00536BC8"/>
    <w:rsid w:val="00537AAE"/>
    <w:rsid w:val="00540A5D"/>
    <w:rsid w:val="005415F3"/>
    <w:rsid w:val="00541753"/>
    <w:rsid w:val="00541882"/>
    <w:rsid w:val="005447AD"/>
    <w:rsid w:val="00544BDE"/>
    <w:rsid w:val="00551089"/>
    <w:rsid w:val="00551316"/>
    <w:rsid w:val="00551C6C"/>
    <w:rsid w:val="0055209C"/>
    <w:rsid w:val="0055220C"/>
    <w:rsid w:val="0055328C"/>
    <w:rsid w:val="005533A8"/>
    <w:rsid w:val="005548A7"/>
    <w:rsid w:val="00554B38"/>
    <w:rsid w:val="00555B22"/>
    <w:rsid w:val="00555E8C"/>
    <w:rsid w:val="0056065D"/>
    <w:rsid w:val="00560DF1"/>
    <w:rsid w:val="00562AEB"/>
    <w:rsid w:val="00562C90"/>
    <w:rsid w:val="00563B38"/>
    <w:rsid w:val="00567988"/>
    <w:rsid w:val="00571254"/>
    <w:rsid w:val="005712CA"/>
    <w:rsid w:val="0057177A"/>
    <w:rsid w:val="005727AE"/>
    <w:rsid w:val="005730A0"/>
    <w:rsid w:val="0057334E"/>
    <w:rsid w:val="005734FF"/>
    <w:rsid w:val="005745DF"/>
    <w:rsid w:val="005761A6"/>
    <w:rsid w:val="0057651A"/>
    <w:rsid w:val="00576BEB"/>
    <w:rsid w:val="0057713C"/>
    <w:rsid w:val="005778C3"/>
    <w:rsid w:val="00581081"/>
    <w:rsid w:val="0058257B"/>
    <w:rsid w:val="0058354D"/>
    <w:rsid w:val="005847B2"/>
    <w:rsid w:val="0058636A"/>
    <w:rsid w:val="005868CD"/>
    <w:rsid w:val="005878E9"/>
    <w:rsid w:val="0059192F"/>
    <w:rsid w:val="00591FD9"/>
    <w:rsid w:val="005921E9"/>
    <w:rsid w:val="00592BD2"/>
    <w:rsid w:val="005933A4"/>
    <w:rsid w:val="00594BAA"/>
    <w:rsid w:val="00595A3B"/>
    <w:rsid w:val="00597046"/>
    <w:rsid w:val="005970B9"/>
    <w:rsid w:val="005A1254"/>
    <w:rsid w:val="005A12B4"/>
    <w:rsid w:val="005A1593"/>
    <w:rsid w:val="005A1EE8"/>
    <w:rsid w:val="005A2675"/>
    <w:rsid w:val="005A3679"/>
    <w:rsid w:val="005A3C5E"/>
    <w:rsid w:val="005A4739"/>
    <w:rsid w:val="005B0CE5"/>
    <w:rsid w:val="005B0DA2"/>
    <w:rsid w:val="005B214F"/>
    <w:rsid w:val="005B27AC"/>
    <w:rsid w:val="005B2FBF"/>
    <w:rsid w:val="005B3727"/>
    <w:rsid w:val="005B3858"/>
    <w:rsid w:val="005B63E1"/>
    <w:rsid w:val="005C054A"/>
    <w:rsid w:val="005C0BDE"/>
    <w:rsid w:val="005C1586"/>
    <w:rsid w:val="005C17B1"/>
    <w:rsid w:val="005C3575"/>
    <w:rsid w:val="005C42DA"/>
    <w:rsid w:val="005C527C"/>
    <w:rsid w:val="005C532A"/>
    <w:rsid w:val="005C676E"/>
    <w:rsid w:val="005C760D"/>
    <w:rsid w:val="005D0BB6"/>
    <w:rsid w:val="005D2D1B"/>
    <w:rsid w:val="005D4CCF"/>
    <w:rsid w:val="005D564B"/>
    <w:rsid w:val="005D603D"/>
    <w:rsid w:val="005D61C6"/>
    <w:rsid w:val="005D6E78"/>
    <w:rsid w:val="005D7DA9"/>
    <w:rsid w:val="005E02C6"/>
    <w:rsid w:val="005E12A4"/>
    <w:rsid w:val="005E1E2D"/>
    <w:rsid w:val="005E27FC"/>
    <w:rsid w:val="005E2964"/>
    <w:rsid w:val="005E31F1"/>
    <w:rsid w:val="005E3295"/>
    <w:rsid w:val="005E42E8"/>
    <w:rsid w:val="005E4EC0"/>
    <w:rsid w:val="005E6568"/>
    <w:rsid w:val="005F1195"/>
    <w:rsid w:val="005F220F"/>
    <w:rsid w:val="005F358A"/>
    <w:rsid w:val="005F43EF"/>
    <w:rsid w:val="005F48D3"/>
    <w:rsid w:val="005F7D38"/>
    <w:rsid w:val="00601734"/>
    <w:rsid w:val="00601BC4"/>
    <w:rsid w:val="0060304F"/>
    <w:rsid w:val="00607703"/>
    <w:rsid w:val="00607B51"/>
    <w:rsid w:val="0061180E"/>
    <w:rsid w:val="00615634"/>
    <w:rsid w:val="00615F98"/>
    <w:rsid w:val="00617E8B"/>
    <w:rsid w:val="00621EF5"/>
    <w:rsid w:val="00623EE1"/>
    <w:rsid w:val="006241E5"/>
    <w:rsid w:val="006248EC"/>
    <w:rsid w:val="0062533E"/>
    <w:rsid w:val="006273C5"/>
    <w:rsid w:val="0063038C"/>
    <w:rsid w:val="0063044D"/>
    <w:rsid w:val="00630A5B"/>
    <w:rsid w:val="006314F4"/>
    <w:rsid w:val="00631B7C"/>
    <w:rsid w:val="006321B2"/>
    <w:rsid w:val="00632234"/>
    <w:rsid w:val="006330CE"/>
    <w:rsid w:val="00635F68"/>
    <w:rsid w:val="006364FC"/>
    <w:rsid w:val="006424F5"/>
    <w:rsid w:val="0064289F"/>
    <w:rsid w:val="00643B0D"/>
    <w:rsid w:val="00643C44"/>
    <w:rsid w:val="00644A19"/>
    <w:rsid w:val="0064622E"/>
    <w:rsid w:val="00647E24"/>
    <w:rsid w:val="0065067A"/>
    <w:rsid w:val="006512FA"/>
    <w:rsid w:val="006535F0"/>
    <w:rsid w:val="006546E6"/>
    <w:rsid w:val="0065692D"/>
    <w:rsid w:val="00657F61"/>
    <w:rsid w:val="00661ACD"/>
    <w:rsid w:val="0066228E"/>
    <w:rsid w:val="00665F2C"/>
    <w:rsid w:val="00666870"/>
    <w:rsid w:val="00666B4C"/>
    <w:rsid w:val="00667F91"/>
    <w:rsid w:val="006700B4"/>
    <w:rsid w:val="006733C1"/>
    <w:rsid w:val="006743E7"/>
    <w:rsid w:val="00674449"/>
    <w:rsid w:val="006747D2"/>
    <w:rsid w:val="006800B4"/>
    <w:rsid w:val="00681DB0"/>
    <w:rsid w:val="006834DF"/>
    <w:rsid w:val="00683CD7"/>
    <w:rsid w:val="00685C5E"/>
    <w:rsid w:val="00690488"/>
    <w:rsid w:val="00690773"/>
    <w:rsid w:val="00691471"/>
    <w:rsid w:val="00691A89"/>
    <w:rsid w:val="00692728"/>
    <w:rsid w:val="00692A7C"/>
    <w:rsid w:val="00692C1F"/>
    <w:rsid w:val="00692D38"/>
    <w:rsid w:val="00693406"/>
    <w:rsid w:val="00693EF9"/>
    <w:rsid w:val="0069670E"/>
    <w:rsid w:val="00696C86"/>
    <w:rsid w:val="006A412A"/>
    <w:rsid w:val="006A49FC"/>
    <w:rsid w:val="006A59C1"/>
    <w:rsid w:val="006A5B93"/>
    <w:rsid w:val="006A6825"/>
    <w:rsid w:val="006B24DB"/>
    <w:rsid w:val="006B394D"/>
    <w:rsid w:val="006B3F4F"/>
    <w:rsid w:val="006B5E2D"/>
    <w:rsid w:val="006B5ED6"/>
    <w:rsid w:val="006B6C36"/>
    <w:rsid w:val="006C08D5"/>
    <w:rsid w:val="006C1CFA"/>
    <w:rsid w:val="006C316B"/>
    <w:rsid w:val="006C4586"/>
    <w:rsid w:val="006C6500"/>
    <w:rsid w:val="006C7CB3"/>
    <w:rsid w:val="006D02A5"/>
    <w:rsid w:val="006D23B4"/>
    <w:rsid w:val="006D2415"/>
    <w:rsid w:val="006D2CE8"/>
    <w:rsid w:val="006D2D30"/>
    <w:rsid w:val="006D3275"/>
    <w:rsid w:val="006D3E5E"/>
    <w:rsid w:val="006D57C2"/>
    <w:rsid w:val="006D5BF6"/>
    <w:rsid w:val="006E4B45"/>
    <w:rsid w:val="006E566F"/>
    <w:rsid w:val="006E5E60"/>
    <w:rsid w:val="006F0798"/>
    <w:rsid w:val="006F375B"/>
    <w:rsid w:val="006F3DDA"/>
    <w:rsid w:val="006F5B43"/>
    <w:rsid w:val="006F61D8"/>
    <w:rsid w:val="006F653B"/>
    <w:rsid w:val="006F7C11"/>
    <w:rsid w:val="00700614"/>
    <w:rsid w:val="00700892"/>
    <w:rsid w:val="007017BF"/>
    <w:rsid w:val="0070278C"/>
    <w:rsid w:val="00703D01"/>
    <w:rsid w:val="00703F7C"/>
    <w:rsid w:val="00710873"/>
    <w:rsid w:val="00710BB4"/>
    <w:rsid w:val="0071226C"/>
    <w:rsid w:val="00712270"/>
    <w:rsid w:val="00713F1C"/>
    <w:rsid w:val="00714621"/>
    <w:rsid w:val="00714AE8"/>
    <w:rsid w:val="00714E85"/>
    <w:rsid w:val="00716543"/>
    <w:rsid w:val="007166ED"/>
    <w:rsid w:val="0071696C"/>
    <w:rsid w:val="00720EB6"/>
    <w:rsid w:val="00722609"/>
    <w:rsid w:val="00724545"/>
    <w:rsid w:val="007250B5"/>
    <w:rsid w:val="00725EED"/>
    <w:rsid w:val="00726B17"/>
    <w:rsid w:val="00727648"/>
    <w:rsid w:val="007305A1"/>
    <w:rsid w:val="00730961"/>
    <w:rsid w:val="00735168"/>
    <w:rsid w:val="00736F85"/>
    <w:rsid w:val="00741392"/>
    <w:rsid w:val="00744676"/>
    <w:rsid w:val="00746280"/>
    <w:rsid w:val="00752646"/>
    <w:rsid w:val="00752E35"/>
    <w:rsid w:val="00753C32"/>
    <w:rsid w:val="00753F3B"/>
    <w:rsid w:val="007553F2"/>
    <w:rsid w:val="0075554D"/>
    <w:rsid w:val="00755DE2"/>
    <w:rsid w:val="00756DC8"/>
    <w:rsid w:val="00760140"/>
    <w:rsid w:val="00763552"/>
    <w:rsid w:val="007643B9"/>
    <w:rsid w:val="007643DE"/>
    <w:rsid w:val="007663CB"/>
    <w:rsid w:val="00766A4F"/>
    <w:rsid w:val="00770465"/>
    <w:rsid w:val="007708E8"/>
    <w:rsid w:val="0077246D"/>
    <w:rsid w:val="007743DC"/>
    <w:rsid w:val="00775793"/>
    <w:rsid w:val="00777DD8"/>
    <w:rsid w:val="007804CC"/>
    <w:rsid w:val="007813EE"/>
    <w:rsid w:val="00783197"/>
    <w:rsid w:val="0078489C"/>
    <w:rsid w:val="007848C2"/>
    <w:rsid w:val="00791D40"/>
    <w:rsid w:val="0079263F"/>
    <w:rsid w:val="00793FB2"/>
    <w:rsid w:val="00794143"/>
    <w:rsid w:val="00795047"/>
    <w:rsid w:val="0079601F"/>
    <w:rsid w:val="007961F4"/>
    <w:rsid w:val="007A0100"/>
    <w:rsid w:val="007A0202"/>
    <w:rsid w:val="007A2FBC"/>
    <w:rsid w:val="007A3953"/>
    <w:rsid w:val="007B0360"/>
    <w:rsid w:val="007B0A02"/>
    <w:rsid w:val="007B0DCD"/>
    <w:rsid w:val="007B1C52"/>
    <w:rsid w:val="007B2E04"/>
    <w:rsid w:val="007B3FA6"/>
    <w:rsid w:val="007B4E3F"/>
    <w:rsid w:val="007B6E45"/>
    <w:rsid w:val="007C19E8"/>
    <w:rsid w:val="007C54A8"/>
    <w:rsid w:val="007D0ADA"/>
    <w:rsid w:val="007D1364"/>
    <w:rsid w:val="007D1B47"/>
    <w:rsid w:val="007D1BAD"/>
    <w:rsid w:val="007D2CB6"/>
    <w:rsid w:val="007D2ECF"/>
    <w:rsid w:val="007D3B5F"/>
    <w:rsid w:val="007D45C0"/>
    <w:rsid w:val="007D6092"/>
    <w:rsid w:val="007D6AA5"/>
    <w:rsid w:val="007E0CA5"/>
    <w:rsid w:val="007E11D4"/>
    <w:rsid w:val="007E1FC3"/>
    <w:rsid w:val="007E36BC"/>
    <w:rsid w:val="007E3BD3"/>
    <w:rsid w:val="007E403A"/>
    <w:rsid w:val="007E4502"/>
    <w:rsid w:val="007E4C32"/>
    <w:rsid w:val="007E6510"/>
    <w:rsid w:val="007E7A36"/>
    <w:rsid w:val="007F0B80"/>
    <w:rsid w:val="007F24E0"/>
    <w:rsid w:val="007F5D50"/>
    <w:rsid w:val="007F7E92"/>
    <w:rsid w:val="008003A1"/>
    <w:rsid w:val="00800D4A"/>
    <w:rsid w:val="0080672F"/>
    <w:rsid w:val="008070F5"/>
    <w:rsid w:val="00810FB0"/>
    <w:rsid w:val="00811738"/>
    <w:rsid w:val="008117B3"/>
    <w:rsid w:val="00812AB4"/>
    <w:rsid w:val="0081376E"/>
    <w:rsid w:val="008142D6"/>
    <w:rsid w:val="008168A7"/>
    <w:rsid w:val="00817353"/>
    <w:rsid w:val="00820A0E"/>
    <w:rsid w:val="0082113C"/>
    <w:rsid w:val="00821180"/>
    <w:rsid w:val="008222C6"/>
    <w:rsid w:val="00823365"/>
    <w:rsid w:val="008237FB"/>
    <w:rsid w:val="008243FA"/>
    <w:rsid w:val="008251EB"/>
    <w:rsid w:val="00826D12"/>
    <w:rsid w:val="0082749B"/>
    <w:rsid w:val="00830DAA"/>
    <w:rsid w:val="0083341F"/>
    <w:rsid w:val="00835439"/>
    <w:rsid w:val="008355CE"/>
    <w:rsid w:val="00836127"/>
    <w:rsid w:val="0083640A"/>
    <w:rsid w:val="008366C9"/>
    <w:rsid w:val="008366FC"/>
    <w:rsid w:val="008378A9"/>
    <w:rsid w:val="00837CE2"/>
    <w:rsid w:val="00837F7F"/>
    <w:rsid w:val="008411FD"/>
    <w:rsid w:val="00841D0D"/>
    <w:rsid w:val="00845F7F"/>
    <w:rsid w:val="0084649C"/>
    <w:rsid w:val="008470E9"/>
    <w:rsid w:val="008471DF"/>
    <w:rsid w:val="00850E3D"/>
    <w:rsid w:val="008545EB"/>
    <w:rsid w:val="00855291"/>
    <w:rsid w:val="008558E6"/>
    <w:rsid w:val="00855939"/>
    <w:rsid w:val="00856809"/>
    <w:rsid w:val="008601E8"/>
    <w:rsid w:val="008702D3"/>
    <w:rsid w:val="008702F8"/>
    <w:rsid w:val="00870F5A"/>
    <w:rsid w:val="00871EA3"/>
    <w:rsid w:val="008723EC"/>
    <w:rsid w:val="008726EC"/>
    <w:rsid w:val="0087271A"/>
    <w:rsid w:val="00872B61"/>
    <w:rsid w:val="0087397F"/>
    <w:rsid w:val="00873BBB"/>
    <w:rsid w:val="008743BE"/>
    <w:rsid w:val="00875020"/>
    <w:rsid w:val="00875187"/>
    <w:rsid w:val="0087663F"/>
    <w:rsid w:val="008771BB"/>
    <w:rsid w:val="00882892"/>
    <w:rsid w:val="00884BB2"/>
    <w:rsid w:val="00885125"/>
    <w:rsid w:val="0088623D"/>
    <w:rsid w:val="00886314"/>
    <w:rsid w:val="00887CFC"/>
    <w:rsid w:val="00890EEC"/>
    <w:rsid w:val="00891410"/>
    <w:rsid w:val="00891B0F"/>
    <w:rsid w:val="00893D52"/>
    <w:rsid w:val="0089482D"/>
    <w:rsid w:val="008950C7"/>
    <w:rsid w:val="008953E8"/>
    <w:rsid w:val="00895D07"/>
    <w:rsid w:val="008966FB"/>
    <w:rsid w:val="008A02CD"/>
    <w:rsid w:val="008A0C99"/>
    <w:rsid w:val="008A0E43"/>
    <w:rsid w:val="008A1992"/>
    <w:rsid w:val="008A3633"/>
    <w:rsid w:val="008A3D84"/>
    <w:rsid w:val="008A408C"/>
    <w:rsid w:val="008A4D8D"/>
    <w:rsid w:val="008A70F4"/>
    <w:rsid w:val="008B1BAF"/>
    <w:rsid w:val="008B2864"/>
    <w:rsid w:val="008B383E"/>
    <w:rsid w:val="008B52B5"/>
    <w:rsid w:val="008C2238"/>
    <w:rsid w:val="008C2BFA"/>
    <w:rsid w:val="008C591F"/>
    <w:rsid w:val="008C7069"/>
    <w:rsid w:val="008D007A"/>
    <w:rsid w:val="008D0205"/>
    <w:rsid w:val="008D0750"/>
    <w:rsid w:val="008D17BC"/>
    <w:rsid w:val="008D4CD0"/>
    <w:rsid w:val="008D5231"/>
    <w:rsid w:val="008E0059"/>
    <w:rsid w:val="008E0665"/>
    <w:rsid w:val="008E1A8E"/>
    <w:rsid w:val="008E281C"/>
    <w:rsid w:val="008E61D6"/>
    <w:rsid w:val="008E6A17"/>
    <w:rsid w:val="008E6CA6"/>
    <w:rsid w:val="008E7761"/>
    <w:rsid w:val="008F03D4"/>
    <w:rsid w:val="008F1A36"/>
    <w:rsid w:val="008F26F8"/>
    <w:rsid w:val="008F3AA0"/>
    <w:rsid w:val="008F3AAE"/>
    <w:rsid w:val="008F406F"/>
    <w:rsid w:val="008F4429"/>
    <w:rsid w:val="008F67B4"/>
    <w:rsid w:val="008F7646"/>
    <w:rsid w:val="00900BA7"/>
    <w:rsid w:val="00900FFB"/>
    <w:rsid w:val="0090182F"/>
    <w:rsid w:val="009060E8"/>
    <w:rsid w:val="00907253"/>
    <w:rsid w:val="00910FED"/>
    <w:rsid w:val="009111E3"/>
    <w:rsid w:val="00911E45"/>
    <w:rsid w:val="009150B1"/>
    <w:rsid w:val="0091618E"/>
    <w:rsid w:val="0091640D"/>
    <w:rsid w:val="0091702A"/>
    <w:rsid w:val="009175A8"/>
    <w:rsid w:val="00923828"/>
    <w:rsid w:val="009304AE"/>
    <w:rsid w:val="00932C51"/>
    <w:rsid w:val="009348A2"/>
    <w:rsid w:val="009358BF"/>
    <w:rsid w:val="00935937"/>
    <w:rsid w:val="00936BDC"/>
    <w:rsid w:val="00940365"/>
    <w:rsid w:val="00941B9F"/>
    <w:rsid w:val="00942680"/>
    <w:rsid w:val="00942A04"/>
    <w:rsid w:val="009442F5"/>
    <w:rsid w:val="00944F52"/>
    <w:rsid w:val="00956D3B"/>
    <w:rsid w:val="00957691"/>
    <w:rsid w:val="00961140"/>
    <w:rsid w:val="00961B89"/>
    <w:rsid w:val="00962D90"/>
    <w:rsid w:val="00964155"/>
    <w:rsid w:val="00966360"/>
    <w:rsid w:val="00966787"/>
    <w:rsid w:val="00966855"/>
    <w:rsid w:val="00967A50"/>
    <w:rsid w:val="009700B7"/>
    <w:rsid w:val="00970225"/>
    <w:rsid w:val="00970246"/>
    <w:rsid w:val="00970482"/>
    <w:rsid w:val="009711E6"/>
    <w:rsid w:val="0097184F"/>
    <w:rsid w:val="009719BB"/>
    <w:rsid w:val="0097534D"/>
    <w:rsid w:val="00980DF4"/>
    <w:rsid w:val="009817B0"/>
    <w:rsid w:val="009824FB"/>
    <w:rsid w:val="00982D1D"/>
    <w:rsid w:val="00984CC6"/>
    <w:rsid w:val="00984D81"/>
    <w:rsid w:val="0098719A"/>
    <w:rsid w:val="0099110E"/>
    <w:rsid w:val="00992414"/>
    <w:rsid w:val="0099288E"/>
    <w:rsid w:val="0099326E"/>
    <w:rsid w:val="00994D0C"/>
    <w:rsid w:val="00995626"/>
    <w:rsid w:val="009A10F4"/>
    <w:rsid w:val="009A1999"/>
    <w:rsid w:val="009A27DB"/>
    <w:rsid w:val="009A38DD"/>
    <w:rsid w:val="009A607E"/>
    <w:rsid w:val="009A63A7"/>
    <w:rsid w:val="009A6727"/>
    <w:rsid w:val="009A6CCC"/>
    <w:rsid w:val="009B2FAD"/>
    <w:rsid w:val="009B39A8"/>
    <w:rsid w:val="009B3AE7"/>
    <w:rsid w:val="009B45C4"/>
    <w:rsid w:val="009B481D"/>
    <w:rsid w:val="009B4C75"/>
    <w:rsid w:val="009B587F"/>
    <w:rsid w:val="009B7F25"/>
    <w:rsid w:val="009C2653"/>
    <w:rsid w:val="009C36BA"/>
    <w:rsid w:val="009C37BA"/>
    <w:rsid w:val="009C38E2"/>
    <w:rsid w:val="009C5D70"/>
    <w:rsid w:val="009D0222"/>
    <w:rsid w:val="009D1257"/>
    <w:rsid w:val="009D12AE"/>
    <w:rsid w:val="009D1DE1"/>
    <w:rsid w:val="009D294C"/>
    <w:rsid w:val="009D3643"/>
    <w:rsid w:val="009D584A"/>
    <w:rsid w:val="009D6718"/>
    <w:rsid w:val="009E057B"/>
    <w:rsid w:val="009E09EA"/>
    <w:rsid w:val="009E41C3"/>
    <w:rsid w:val="009E462D"/>
    <w:rsid w:val="009E4976"/>
    <w:rsid w:val="009E60C4"/>
    <w:rsid w:val="009F1313"/>
    <w:rsid w:val="009F1F14"/>
    <w:rsid w:val="009F2621"/>
    <w:rsid w:val="009F2C66"/>
    <w:rsid w:val="009F318F"/>
    <w:rsid w:val="009F4065"/>
    <w:rsid w:val="009F45B4"/>
    <w:rsid w:val="009F56D1"/>
    <w:rsid w:val="009F7F56"/>
    <w:rsid w:val="00A00F78"/>
    <w:rsid w:val="00A01560"/>
    <w:rsid w:val="00A01F5C"/>
    <w:rsid w:val="00A03ACE"/>
    <w:rsid w:val="00A04906"/>
    <w:rsid w:val="00A04A9C"/>
    <w:rsid w:val="00A076BD"/>
    <w:rsid w:val="00A101F9"/>
    <w:rsid w:val="00A11132"/>
    <w:rsid w:val="00A11CA8"/>
    <w:rsid w:val="00A12A1B"/>
    <w:rsid w:val="00A13D36"/>
    <w:rsid w:val="00A168DB"/>
    <w:rsid w:val="00A17E24"/>
    <w:rsid w:val="00A22078"/>
    <w:rsid w:val="00A22080"/>
    <w:rsid w:val="00A22096"/>
    <w:rsid w:val="00A22129"/>
    <w:rsid w:val="00A2304D"/>
    <w:rsid w:val="00A27211"/>
    <w:rsid w:val="00A31CA7"/>
    <w:rsid w:val="00A325E8"/>
    <w:rsid w:val="00A33141"/>
    <w:rsid w:val="00A335AE"/>
    <w:rsid w:val="00A35CE4"/>
    <w:rsid w:val="00A36077"/>
    <w:rsid w:val="00A37331"/>
    <w:rsid w:val="00A40B3C"/>
    <w:rsid w:val="00A40BB0"/>
    <w:rsid w:val="00A40D3A"/>
    <w:rsid w:val="00A424D4"/>
    <w:rsid w:val="00A43CBD"/>
    <w:rsid w:val="00A43E33"/>
    <w:rsid w:val="00A4427D"/>
    <w:rsid w:val="00A46FCF"/>
    <w:rsid w:val="00A51B5A"/>
    <w:rsid w:val="00A51E25"/>
    <w:rsid w:val="00A52D34"/>
    <w:rsid w:val="00A52F62"/>
    <w:rsid w:val="00A533D6"/>
    <w:rsid w:val="00A53C2B"/>
    <w:rsid w:val="00A55285"/>
    <w:rsid w:val="00A5531C"/>
    <w:rsid w:val="00A55982"/>
    <w:rsid w:val="00A56948"/>
    <w:rsid w:val="00A578B0"/>
    <w:rsid w:val="00A57BB6"/>
    <w:rsid w:val="00A62B6B"/>
    <w:rsid w:val="00A62EA4"/>
    <w:rsid w:val="00A62F68"/>
    <w:rsid w:val="00A642F4"/>
    <w:rsid w:val="00A666DE"/>
    <w:rsid w:val="00A66715"/>
    <w:rsid w:val="00A67C12"/>
    <w:rsid w:val="00A709DA"/>
    <w:rsid w:val="00A72719"/>
    <w:rsid w:val="00A731D8"/>
    <w:rsid w:val="00A73D1D"/>
    <w:rsid w:val="00A74CFD"/>
    <w:rsid w:val="00A75F6C"/>
    <w:rsid w:val="00A76E7A"/>
    <w:rsid w:val="00A81A71"/>
    <w:rsid w:val="00A82556"/>
    <w:rsid w:val="00A83087"/>
    <w:rsid w:val="00A8329F"/>
    <w:rsid w:val="00A8384F"/>
    <w:rsid w:val="00A8389B"/>
    <w:rsid w:val="00A8433A"/>
    <w:rsid w:val="00A84FBA"/>
    <w:rsid w:val="00A85AC5"/>
    <w:rsid w:val="00A860B5"/>
    <w:rsid w:val="00A865AB"/>
    <w:rsid w:val="00A9010D"/>
    <w:rsid w:val="00A9072B"/>
    <w:rsid w:val="00A91045"/>
    <w:rsid w:val="00A9696F"/>
    <w:rsid w:val="00A96A82"/>
    <w:rsid w:val="00AA034D"/>
    <w:rsid w:val="00AA1F4C"/>
    <w:rsid w:val="00AA275F"/>
    <w:rsid w:val="00AA35BD"/>
    <w:rsid w:val="00AA4028"/>
    <w:rsid w:val="00AA46B0"/>
    <w:rsid w:val="00AA4A9C"/>
    <w:rsid w:val="00AA65CB"/>
    <w:rsid w:val="00AA6978"/>
    <w:rsid w:val="00AA7544"/>
    <w:rsid w:val="00AB1C38"/>
    <w:rsid w:val="00AB1E15"/>
    <w:rsid w:val="00AB2E07"/>
    <w:rsid w:val="00AB33AE"/>
    <w:rsid w:val="00AB47E7"/>
    <w:rsid w:val="00AB5195"/>
    <w:rsid w:val="00AB6779"/>
    <w:rsid w:val="00AB78CE"/>
    <w:rsid w:val="00AC36C1"/>
    <w:rsid w:val="00AC4380"/>
    <w:rsid w:val="00AC4B56"/>
    <w:rsid w:val="00AC4F50"/>
    <w:rsid w:val="00AC5111"/>
    <w:rsid w:val="00AC5843"/>
    <w:rsid w:val="00AC72A6"/>
    <w:rsid w:val="00AD001B"/>
    <w:rsid w:val="00AD0FC1"/>
    <w:rsid w:val="00AD1569"/>
    <w:rsid w:val="00AD1F08"/>
    <w:rsid w:val="00AD30BC"/>
    <w:rsid w:val="00AD41C5"/>
    <w:rsid w:val="00AD4D2F"/>
    <w:rsid w:val="00AD7858"/>
    <w:rsid w:val="00AE1363"/>
    <w:rsid w:val="00AE18AC"/>
    <w:rsid w:val="00AE27E5"/>
    <w:rsid w:val="00AE34F4"/>
    <w:rsid w:val="00AE3C24"/>
    <w:rsid w:val="00AE52E4"/>
    <w:rsid w:val="00AE5A98"/>
    <w:rsid w:val="00AE793B"/>
    <w:rsid w:val="00AF074E"/>
    <w:rsid w:val="00AF159D"/>
    <w:rsid w:val="00AF2B38"/>
    <w:rsid w:val="00AF3099"/>
    <w:rsid w:val="00AF4F8C"/>
    <w:rsid w:val="00AF6187"/>
    <w:rsid w:val="00AF729A"/>
    <w:rsid w:val="00AF7FF6"/>
    <w:rsid w:val="00B008EC"/>
    <w:rsid w:val="00B02513"/>
    <w:rsid w:val="00B02B41"/>
    <w:rsid w:val="00B02DB7"/>
    <w:rsid w:val="00B02E50"/>
    <w:rsid w:val="00B031EA"/>
    <w:rsid w:val="00B05CEE"/>
    <w:rsid w:val="00B06150"/>
    <w:rsid w:val="00B06285"/>
    <w:rsid w:val="00B17002"/>
    <w:rsid w:val="00B2092A"/>
    <w:rsid w:val="00B20ED6"/>
    <w:rsid w:val="00B220CD"/>
    <w:rsid w:val="00B22DD0"/>
    <w:rsid w:val="00B268BD"/>
    <w:rsid w:val="00B26AF5"/>
    <w:rsid w:val="00B26BC0"/>
    <w:rsid w:val="00B322F1"/>
    <w:rsid w:val="00B33075"/>
    <w:rsid w:val="00B33842"/>
    <w:rsid w:val="00B357BB"/>
    <w:rsid w:val="00B364AC"/>
    <w:rsid w:val="00B36F4A"/>
    <w:rsid w:val="00B37538"/>
    <w:rsid w:val="00B37863"/>
    <w:rsid w:val="00B41B19"/>
    <w:rsid w:val="00B421F8"/>
    <w:rsid w:val="00B4227A"/>
    <w:rsid w:val="00B425E0"/>
    <w:rsid w:val="00B4300D"/>
    <w:rsid w:val="00B4496C"/>
    <w:rsid w:val="00B45252"/>
    <w:rsid w:val="00B456B8"/>
    <w:rsid w:val="00B46600"/>
    <w:rsid w:val="00B519BA"/>
    <w:rsid w:val="00B523DB"/>
    <w:rsid w:val="00B53422"/>
    <w:rsid w:val="00B5342D"/>
    <w:rsid w:val="00B5655E"/>
    <w:rsid w:val="00B57211"/>
    <w:rsid w:val="00B57359"/>
    <w:rsid w:val="00B57867"/>
    <w:rsid w:val="00B63108"/>
    <w:rsid w:val="00B647D0"/>
    <w:rsid w:val="00B64EEC"/>
    <w:rsid w:val="00B67E1A"/>
    <w:rsid w:val="00B702EE"/>
    <w:rsid w:val="00B70BFA"/>
    <w:rsid w:val="00B72598"/>
    <w:rsid w:val="00B73F48"/>
    <w:rsid w:val="00B74D85"/>
    <w:rsid w:val="00B76D50"/>
    <w:rsid w:val="00B81783"/>
    <w:rsid w:val="00B82082"/>
    <w:rsid w:val="00B82D55"/>
    <w:rsid w:val="00B83EBB"/>
    <w:rsid w:val="00B86EFD"/>
    <w:rsid w:val="00B86FAF"/>
    <w:rsid w:val="00B878A8"/>
    <w:rsid w:val="00B90DBA"/>
    <w:rsid w:val="00B90E1D"/>
    <w:rsid w:val="00B919C9"/>
    <w:rsid w:val="00B91A28"/>
    <w:rsid w:val="00B92057"/>
    <w:rsid w:val="00B9246E"/>
    <w:rsid w:val="00B929B3"/>
    <w:rsid w:val="00B92ADC"/>
    <w:rsid w:val="00B9332E"/>
    <w:rsid w:val="00B93E41"/>
    <w:rsid w:val="00B942D9"/>
    <w:rsid w:val="00B94FB6"/>
    <w:rsid w:val="00B95792"/>
    <w:rsid w:val="00B97258"/>
    <w:rsid w:val="00B9762F"/>
    <w:rsid w:val="00B97CFA"/>
    <w:rsid w:val="00B97EC1"/>
    <w:rsid w:val="00BA361F"/>
    <w:rsid w:val="00BA37AA"/>
    <w:rsid w:val="00BA476E"/>
    <w:rsid w:val="00BB09A0"/>
    <w:rsid w:val="00BB2B12"/>
    <w:rsid w:val="00BB2B81"/>
    <w:rsid w:val="00BB557D"/>
    <w:rsid w:val="00BB5D4D"/>
    <w:rsid w:val="00BB73F5"/>
    <w:rsid w:val="00BC07AC"/>
    <w:rsid w:val="00BC13E1"/>
    <w:rsid w:val="00BC15D7"/>
    <w:rsid w:val="00BC1733"/>
    <w:rsid w:val="00BC1CD3"/>
    <w:rsid w:val="00BC34BC"/>
    <w:rsid w:val="00BC3BE2"/>
    <w:rsid w:val="00BC4743"/>
    <w:rsid w:val="00BC55C6"/>
    <w:rsid w:val="00BC5902"/>
    <w:rsid w:val="00BC67F6"/>
    <w:rsid w:val="00BC6FB4"/>
    <w:rsid w:val="00BD166C"/>
    <w:rsid w:val="00BD5364"/>
    <w:rsid w:val="00BD6127"/>
    <w:rsid w:val="00BD73AE"/>
    <w:rsid w:val="00BE0A61"/>
    <w:rsid w:val="00BE0E67"/>
    <w:rsid w:val="00BE2C06"/>
    <w:rsid w:val="00BE3E86"/>
    <w:rsid w:val="00BE693C"/>
    <w:rsid w:val="00BE6E94"/>
    <w:rsid w:val="00BE7E6D"/>
    <w:rsid w:val="00BF0CCA"/>
    <w:rsid w:val="00BF1578"/>
    <w:rsid w:val="00BF2C63"/>
    <w:rsid w:val="00BF406B"/>
    <w:rsid w:val="00BF475B"/>
    <w:rsid w:val="00BF5208"/>
    <w:rsid w:val="00BF59C0"/>
    <w:rsid w:val="00BF6515"/>
    <w:rsid w:val="00BF7AFD"/>
    <w:rsid w:val="00C00151"/>
    <w:rsid w:val="00C06FBF"/>
    <w:rsid w:val="00C07176"/>
    <w:rsid w:val="00C07C20"/>
    <w:rsid w:val="00C07D3E"/>
    <w:rsid w:val="00C07E9D"/>
    <w:rsid w:val="00C109F6"/>
    <w:rsid w:val="00C10FA7"/>
    <w:rsid w:val="00C11697"/>
    <w:rsid w:val="00C14BEA"/>
    <w:rsid w:val="00C151A2"/>
    <w:rsid w:val="00C16AA4"/>
    <w:rsid w:val="00C17BA5"/>
    <w:rsid w:val="00C218BD"/>
    <w:rsid w:val="00C22400"/>
    <w:rsid w:val="00C2442E"/>
    <w:rsid w:val="00C25194"/>
    <w:rsid w:val="00C27273"/>
    <w:rsid w:val="00C31691"/>
    <w:rsid w:val="00C32B6A"/>
    <w:rsid w:val="00C34141"/>
    <w:rsid w:val="00C34B53"/>
    <w:rsid w:val="00C37192"/>
    <w:rsid w:val="00C377CA"/>
    <w:rsid w:val="00C37BB2"/>
    <w:rsid w:val="00C404E5"/>
    <w:rsid w:val="00C40C57"/>
    <w:rsid w:val="00C41EE9"/>
    <w:rsid w:val="00C42B78"/>
    <w:rsid w:val="00C431C4"/>
    <w:rsid w:val="00C43888"/>
    <w:rsid w:val="00C441FE"/>
    <w:rsid w:val="00C45763"/>
    <w:rsid w:val="00C46800"/>
    <w:rsid w:val="00C4690C"/>
    <w:rsid w:val="00C47018"/>
    <w:rsid w:val="00C47059"/>
    <w:rsid w:val="00C47DDD"/>
    <w:rsid w:val="00C51B2C"/>
    <w:rsid w:val="00C5219E"/>
    <w:rsid w:val="00C52809"/>
    <w:rsid w:val="00C52E1E"/>
    <w:rsid w:val="00C53121"/>
    <w:rsid w:val="00C53354"/>
    <w:rsid w:val="00C533C3"/>
    <w:rsid w:val="00C542FA"/>
    <w:rsid w:val="00C57985"/>
    <w:rsid w:val="00C61B65"/>
    <w:rsid w:val="00C625CB"/>
    <w:rsid w:val="00C62766"/>
    <w:rsid w:val="00C63989"/>
    <w:rsid w:val="00C63A0A"/>
    <w:rsid w:val="00C64680"/>
    <w:rsid w:val="00C65F6D"/>
    <w:rsid w:val="00C6783E"/>
    <w:rsid w:val="00C708F0"/>
    <w:rsid w:val="00C716A7"/>
    <w:rsid w:val="00C727F9"/>
    <w:rsid w:val="00C73DC7"/>
    <w:rsid w:val="00C73E1E"/>
    <w:rsid w:val="00C74CC3"/>
    <w:rsid w:val="00C765A1"/>
    <w:rsid w:val="00C76804"/>
    <w:rsid w:val="00C83B0E"/>
    <w:rsid w:val="00C85075"/>
    <w:rsid w:val="00C850B4"/>
    <w:rsid w:val="00C86507"/>
    <w:rsid w:val="00C87C61"/>
    <w:rsid w:val="00C87EB0"/>
    <w:rsid w:val="00CA0091"/>
    <w:rsid w:val="00CA0C88"/>
    <w:rsid w:val="00CA0CAF"/>
    <w:rsid w:val="00CA2886"/>
    <w:rsid w:val="00CB015F"/>
    <w:rsid w:val="00CB0DE0"/>
    <w:rsid w:val="00CB358A"/>
    <w:rsid w:val="00CB56C3"/>
    <w:rsid w:val="00CB597D"/>
    <w:rsid w:val="00CC0B64"/>
    <w:rsid w:val="00CC2144"/>
    <w:rsid w:val="00CC2D9C"/>
    <w:rsid w:val="00CC371C"/>
    <w:rsid w:val="00CC382E"/>
    <w:rsid w:val="00CC5CD0"/>
    <w:rsid w:val="00CC5F72"/>
    <w:rsid w:val="00CC7C54"/>
    <w:rsid w:val="00CD2C53"/>
    <w:rsid w:val="00CD5574"/>
    <w:rsid w:val="00CD55BF"/>
    <w:rsid w:val="00CD602D"/>
    <w:rsid w:val="00CD683B"/>
    <w:rsid w:val="00CD6B20"/>
    <w:rsid w:val="00CD6D37"/>
    <w:rsid w:val="00CD77AA"/>
    <w:rsid w:val="00CE1044"/>
    <w:rsid w:val="00CE28AD"/>
    <w:rsid w:val="00CE599F"/>
    <w:rsid w:val="00CE68BA"/>
    <w:rsid w:val="00CF00C7"/>
    <w:rsid w:val="00CF04F7"/>
    <w:rsid w:val="00CF0B4B"/>
    <w:rsid w:val="00CF1614"/>
    <w:rsid w:val="00CF16AE"/>
    <w:rsid w:val="00CF2E3A"/>
    <w:rsid w:val="00CF3AC9"/>
    <w:rsid w:val="00CF506C"/>
    <w:rsid w:val="00D031EC"/>
    <w:rsid w:val="00D06DD9"/>
    <w:rsid w:val="00D0708F"/>
    <w:rsid w:val="00D07556"/>
    <w:rsid w:val="00D1062C"/>
    <w:rsid w:val="00D11208"/>
    <w:rsid w:val="00D11292"/>
    <w:rsid w:val="00D114BB"/>
    <w:rsid w:val="00D12130"/>
    <w:rsid w:val="00D1310F"/>
    <w:rsid w:val="00D13797"/>
    <w:rsid w:val="00D15437"/>
    <w:rsid w:val="00D15601"/>
    <w:rsid w:val="00D15A89"/>
    <w:rsid w:val="00D17E02"/>
    <w:rsid w:val="00D20D9A"/>
    <w:rsid w:val="00D22403"/>
    <w:rsid w:val="00D24263"/>
    <w:rsid w:val="00D2508F"/>
    <w:rsid w:val="00D25835"/>
    <w:rsid w:val="00D2583B"/>
    <w:rsid w:val="00D26375"/>
    <w:rsid w:val="00D318CF"/>
    <w:rsid w:val="00D328AD"/>
    <w:rsid w:val="00D34175"/>
    <w:rsid w:val="00D347A6"/>
    <w:rsid w:val="00D36D5E"/>
    <w:rsid w:val="00D3741A"/>
    <w:rsid w:val="00D4017A"/>
    <w:rsid w:val="00D40310"/>
    <w:rsid w:val="00D408A1"/>
    <w:rsid w:val="00D40DEF"/>
    <w:rsid w:val="00D4352B"/>
    <w:rsid w:val="00D441D1"/>
    <w:rsid w:val="00D449ED"/>
    <w:rsid w:val="00D4581F"/>
    <w:rsid w:val="00D45956"/>
    <w:rsid w:val="00D46384"/>
    <w:rsid w:val="00D469CC"/>
    <w:rsid w:val="00D46F8C"/>
    <w:rsid w:val="00D52672"/>
    <w:rsid w:val="00D528C1"/>
    <w:rsid w:val="00D53D0E"/>
    <w:rsid w:val="00D5628E"/>
    <w:rsid w:val="00D60843"/>
    <w:rsid w:val="00D60DD4"/>
    <w:rsid w:val="00D61FA1"/>
    <w:rsid w:val="00D62ABA"/>
    <w:rsid w:val="00D638A1"/>
    <w:rsid w:val="00D645EF"/>
    <w:rsid w:val="00D66818"/>
    <w:rsid w:val="00D675CF"/>
    <w:rsid w:val="00D675D1"/>
    <w:rsid w:val="00D67F84"/>
    <w:rsid w:val="00D70800"/>
    <w:rsid w:val="00D74FC3"/>
    <w:rsid w:val="00D754E1"/>
    <w:rsid w:val="00D75C57"/>
    <w:rsid w:val="00D8072E"/>
    <w:rsid w:val="00D8194D"/>
    <w:rsid w:val="00D85CFA"/>
    <w:rsid w:val="00D85E2A"/>
    <w:rsid w:val="00D869A8"/>
    <w:rsid w:val="00D87ED0"/>
    <w:rsid w:val="00D90F77"/>
    <w:rsid w:val="00D91C1A"/>
    <w:rsid w:val="00D91F2F"/>
    <w:rsid w:val="00D93038"/>
    <w:rsid w:val="00D933B2"/>
    <w:rsid w:val="00D93DF7"/>
    <w:rsid w:val="00D946AE"/>
    <w:rsid w:val="00D962C9"/>
    <w:rsid w:val="00D968DE"/>
    <w:rsid w:val="00D97B2F"/>
    <w:rsid w:val="00DA1B76"/>
    <w:rsid w:val="00DA1D47"/>
    <w:rsid w:val="00DA274B"/>
    <w:rsid w:val="00DA474B"/>
    <w:rsid w:val="00DA642C"/>
    <w:rsid w:val="00DA7041"/>
    <w:rsid w:val="00DA774D"/>
    <w:rsid w:val="00DB07E1"/>
    <w:rsid w:val="00DB1372"/>
    <w:rsid w:val="00DB23B4"/>
    <w:rsid w:val="00DB274C"/>
    <w:rsid w:val="00DB2FDD"/>
    <w:rsid w:val="00DB4346"/>
    <w:rsid w:val="00DB5819"/>
    <w:rsid w:val="00DB7142"/>
    <w:rsid w:val="00DB75ED"/>
    <w:rsid w:val="00DC12E2"/>
    <w:rsid w:val="00DC25F7"/>
    <w:rsid w:val="00DC3611"/>
    <w:rsid w:val="00DC4FC7"/>
    <w:rsid w:val="00DC5AAE"/>
    <w:rsid w:val="00DC6AAF"/>
    <w:rsid w:val="00DD028F"/>
    <w:rsid w:val="00DD14B1"/>
    <w:rsid w:val="00DD1BA6"/>
    <w:rsid w:val="00DD6F7B"/>
    <w:rsid w:val="00DE2BBD"/>
    <w:rsid w:val="00DE5FE4"/>
    <w:rsid w:val="00DE6CCD"/>
    <w:rsid w:val="00DF23C5"/>
    <w:rsid w:val="00DF2E48"/>
    <w:rsid w:val="00DF3D6A"/>
    <w:rsid w:val="00DF5548"/>
    <w:rsid w:val="00DF5A44"/>
    <w:rsid w:val="00DF68BF"/>
    <w:rsid w:val="00DF6C6E"/>
    <w:rsid w:val="00DF6F56"/>
    <w:rsid w:val="00DF6FBE"/>
    <w:rsid w:val="00DF7DDA"/>
    <w:rsid w:val="00E010F8"/>
    <w:rsid w:val="00E02AE7"/>
    <w:rsid w:val="00E031F2"/>
    <w:rsid w:val="00E0484A"/>
    <w:rsid w:val="00E10F86"/>
    <w:rsid w:val="00E14671"/>
    <w:rsid w:val="00E14D18"/>
    <w:rsid w:val="00E14DDF"/>
    <w:rsid w:val="00E165DD"/>
    <w:rsid w:val="00E1768A"/>
    <w:rsid w:val="00E222B6"/>
    <w:rsid w:val="00E22415"/>
    <w:rsid w:val="00E25B5F"/>
    <w:rsid w:val="00E2620D"/>
    <w:rsid w:val="00E30715"/>
    <w:rsid w:val="00E309D2"/>
    <w:rsid w:val="00E31C36"/>
    <w:rsid w:val="00E32149"/>
    <w:rsid w:val="00E32685"/>
    <w:rsid w:val="00E330B4"/>
    <w:rsid w:val="00E330E1"/>
    <w:rsid w:val="00E33107"/>
    <w:rsid w:val="00E3313D"/>
    <w:rsid w:val="00E331FC"/>
    <w:rsid w:val="00E3322F"/>
    <w:rsid w:val="00E33E13"/>
    <w:rsid w:val="00E3543E"/>
    <w:rsid w:val="00E35555"/>
    <w:rsid w:val="00E362F0"/>
    <w:rsid w:val="00E36A4D"/>
    <w:rsid w:val="00E36B5E"/>
    <w:rsid w:val="00E36C4F"/>
    <w:rsid w:val="00E36F7F"/>
    <w:rsid w:val="00E40275"/>
    <w:rsid w:val="00E40396"/>
    <w:rsid w:val="00E409D2"/>
    <w:rsid w:val="00E411C0"/>
    <w:rsid w:val="00E41C0B"/>
    <w:rsid w:val="00E440E8"/>
    <w:rsid w:val="00E45A33"/>
    <w:rsid w:val="00E464DA"/>
    <w:rsid w:val="00E46520"/>
    <w:rsid w:val="00E46986"/>
    <w:rsid w:val="00E47CC3"/>
    <w:rsid w:val="00E50279"/>
    <w:rsid w:val="00E50FC5"/>
    <w:rsid w:val="00E51CEB"/>
    <w:rsid w:val="00E52CEF"/>
    <w:rsid w:val="00E53B5B"/>
    <w:rsid w:val="00E53F4A"/>
    <w:rsid w:val="00E61368"/>
    <w:rsid w:val="00E61E1E"/>
    <w:rsid w:val="00E63216"/>
    <w:rsid w:val="00E66B5E"/>
    <w:rsid w:val="00E710A0"/>
    <w:rsid w:val="00E7231F"/>
    <w:rsid w:val="00E739DB"/>
    <w:rsid w:val="00E73DFB"/>
    <w:rsid w:val="00E755EC"/>
    <w:rsid w:val="00E756CB"/>
    <w:rsid w:val="00E774C0"/>
    <w:rsid w:val="00E8149E"/>
    <w:rsid w:val="00E824A5"/>
    <w:rsid w:val="00E8311F"/>
    <w:rsid w:val="00E8396E"/>
    <w:rsid w:val="00E84F3A"/>
    <w:rsid w:val="00E85550"/>
    <w:rsid w:val="00E91514"/>
    <w:rsid w:val="00E91789"/>
    <w:rsid w:val="00E925CE"/>
    <w:rsid w:val="00E932CD"/>
    <w:rsid w:val="00E948F1"/>
    <w:rsid w:val="00E94C16"/>
    <w:rsid w:val="00E94CBF"/>
    <w:rsid w:val="00E95306"/>
    <w:rsid w:val="00E96B4C"/>
    <w:rsid w:val="00E9723F"/>
    <w:rsid w:val="00EA10B0"/>
    <w:rsid w:val="00EA19B5"/>
    <w:rsid w:val="00EA381E"/>
    <w:rsid w:val="00EA3D94"/>
    <w:rsid w:val="00EA51FB"/>
    <w:rsid w:val="00EA5AA0"/>
    <w:rsid w:val="00EB0606"/>
    <w:rsid w:val="00EB156A"/>
    <w:rsid w:val="00EB3985"/>
    <w:rsid w:val="00EB4D6E"/>
    <w:rsid w:val="00EB5264"/>
    <w:rsid w:val="00EB56E1"/>
    <w:rsid w:val="00EB76C8"/>
    <w:rsid w:val="00EB7F64"/>
    <w:rsid w:val="00EC03FD"/>
    <w:rsid w:val="00EC221D"/>
    <w:rsid w:val="00EC2928"/>
    <w:rsid w:val="00EC3BDB"/>
    <w:rsid w:val="00EC6708"/>
    <w:rsid w:val="00ED6308"/>
    <w:rsid w:val="00ED67C7"/>
    <w:rsid w:val="00ED7D0F"/>
    <w:rsid w:val="00ED7D4A"/>
    <w:rsid w:val="00EE16A2"/>
    <w:rsid w:val="00EE2ACE"/>
    <w:rsid w:val="00EE336C"/>
    <w:rsid w:val="00EE4143"/>
    <w:rsid w:val="00EE6AD6"/>
    <w:rsid w:val="00EE729C"/>
    <w:rsid w:val="00EE768A"/>
    <w:rsid w:val="00EE76E5"/>
    <w:rsid w:val="00EF0762"/>
    <w:rsid w:val="00EF11BE"/>
    <w:rsid w:val="00EF1F86"/>
    <w:rsid w:val="00EF2F76"/>
    <w:rsid w:val="00EF39BD"/>
    <w:rsid w:val="00EF4727"/>
    <w:rsid w:val="00EF4D4D"/>
    <w:rsid w:val="00EF72F7"/>
    <w:rsid w:val="00F010A6"/>
    <w:rsid w:val="00F017E9"/>
    <w:rsid w:val="00F04397"/>
    <w:rsid w:val="00F04AFE"/>
    <w:rsid w:val="00F07274"/>
    <w:rsid w:val="00F07A06"/>
    <w:rsid w:val="00F07A84"/>
    <w:rsid w:val="00F10358"/>
    <w:rsid w:val="00F107E3"/>
    <w:rsid w:val="00F120C8"/>
    <w:rsid w:val="00F1264C"/>
    <w:rsid w:val="00F12CCB"/>
    <w:rsid w:val="00F135FB"/>
    <w:rsid w:val="00F15A6D"/>
    <w:rsid w:val="00F2008F"/>
    <w:rsid w:val="00F20D2B"/>
    <w:rsid w:val="00F2201A"/>
    <w:rsid w:val="00F2219C"/>
    <w:rsid w:val="00F2281C"/>
    <w:rsid w:val="00F22BF0"/>
    <w:rsid w:val="00F24205"/>
    <w:rsid w:val="00F25BC2"/>
    <w:rsid w:val="00F25F94"/>
    <w:rsid w:val="00F26754"/>
    <w:rsid w:val="00F3010D"/>
    <w:rsid w:val="00F318B3"/>
    <w:rsid w:val="00F34559"/>
    <w:rsid w:val="00F358A9"/>
    <w:rsid w:val="00F35A42"/>
    <w:rsid w:val="00F37C5F"/>
    <w:rsid w:val="00F40332"/>
    <w:rsid w:val="00F40B37"/>
    <w:rsid w:val="00F41E6A"/>
    <w:rsid w:val="00F434A5"/>
    <w:rsid w:val="00F44B19"/>
    <w:rsid w:val="00F47F79"/>
    <w:rsid w:val="00F51ED4"/>
    <w:rsid w:val="00F529B0"/>
    <w:rsid w:val="00F529D2"/>
    <w:rsid w:val="00F53FA7"/>
    <w:rsid w:val="00F57579"/>
    <w:rsid w:val="00F61599"/>
    <w:rsid w:val="00F622CB"/>
    <w:rsid w:val="00F62744"/>
    <w:rsid w:val="00F62C92"/>
    <w:rsid w:val="00F646CE"/>
    <w:rsid w:val="00F64A0B"/>
    <w:rsid w:val="00F65B2A"/>
    <w:rsid w:val="00F673E8"/>
    <w:rsid w:val="00F67AA4"/>
    <w:rsid w:val="00F727E4"/>
    <w:rsid w:val="00F72A3D"/>
    <w:rsid w:val="00F73F20"/>
    <w:rsid w:val="00F770CC"/>
    <w:rsid w:val="00F775F1"/>
    <w:rsid w:val="00F809C7"/>
    <w:rsid w:val="00F80F35"/>
    <w:rsid w:val="00F8197E"/>
    <w:rsid w:val="00F849B6"/>
    <w:rsid w:val="00F8519F"/>
    <w:rsid w:val="00F85607"/>
    <w:rsid w:val="00F912C7"/>
    <w:rsid w:val="00F91AC8"/>
    <w:rsid w:val="00F91B54"/>
    <w:rsid w:val="00F91B75"/>
    <w:rsid w:val="00F934D9"/>
    <w:rsid w:val="00F94194"/>
    <w:rsid w:val="00F95B2F"/>
    <w:rsid w:val="00F95B5A"/>
    <w:rsid w:val="00FA5AE3"/>
    <w:rsid w:val="00FA79ED"/>
    <w:rsid w:val="00FA7D03"/>
    <w:rsid w:val="00FB3C75"/>
    <w:rsid w:val="00FB56F5"/>
    <w:rsid w:val="00FB7431"/>
    <w:rsid w:val="00FC526D"/>
    <w:rsid w:val="00FC545F"/>
    <w:rsid w:val="00FC5614"/>
    <w:rsid w:val="00FC5622"/>
    <w:rsid w:val="00FD20BF"/>
    <w:rsid w:val="00FD253C"/>
    <w:rsid w:val="00FD2C70"/>
    <w:rsid w:val="00FD427B"/>
    <w:rsid w:val="00FD4ACE"/>
    <w:rsid w:val="00FD6B0E"/>
    <w:rsid w:val="00FD6B99"/>
    <w:rsid w:val="00FE1CDE"/>
    <w:rsid w:val="00FE2832"/>
    <w:rsid w:val="00FE2B1D"/>
    <w:rsid w:val="00FE3CFD"/>
    <w:rsid w:val="00FE47F7"/>
    <w:rsid w:val="00FE48A2"/>
    <w:rsid w:val="00FF248D"/>
    <w:rsid w:val="00FF63E2"/>
    <w:rsid w:val="00FF7CD7"/>
    <w:rsid w:val="03C26BD1"/>
    <w:rsid w:val="05017C52"/>
    <w:rsid w:val="07124399"/>
    <w:rsid w:val="07DF2906"/>
    <w:rsid w:val="09EA05ED"/>
    <w:rsid w:val="0A8F6E15"/>
    <w:rsid w:val="0C235206"/>
    <w:rsid w:val="0EBA50FE"/>
    <w:rsid w:val="112C3C37"/>
    <w:rsid w:val="12E52961"/>
    <w:rsid w:val="15375E62"/>
    <w:rsid w:val="156903A2"/>
    <w:rsid w:val="16D42CDF"/>
    <w:rsid w:val="17B648CC"/>
    <w:rsid w:val="17D95673"/>
    <w:rsid w:val="187327BD"/>
    <w:rsid w:val="19AF639F"/>
    <w:rsid w:val="1B331D07"/>
    <w:rsid w:val="1BDB2B53"/>
    <w:rsid w:val="1F7F227B"/>
    <w:rsid w:val="20FF14F2"/>
    <w:rsid w:val="21550065"/>
    <w:rsid w:val="245B38D1"/>
    <w:rsid w:val="251E1D03"/>
    <w:rsid w:val="29732512"/>
    <w:rsid w:val="29DF5830"/>
    <w:rsid w:val="2B1C386E"/>
    <w:rsid w:val="2B1E480B"/>
    <w:rsid w:val="2B700882"/>
    <w:rsid w:val="2CC118F2"/>
    <w:rsid w:val="2D26080E"/>
    <w:rsid w:val="2E2D7C9E"/>
    <w:rsid w:val="2E520501"/>
    <w:rsid w:val="2E66470A"/>
    <w:rsid w:val="34483C32"/>
    <w:rsid w:val="351C5F25"/>
    <w:rsid w:val="37B91C4D"/>
    <w:rsid w:val="3A6A32CA"/>
    <w:rsid w:val="3BCD6E7C"/>
    <w:rsid w:val="3C0D06AF"/>
    <w:rsid w:val="3C6A0C14"/>
    <w:rsid w:val="3CFB8F91"/>
    <w:rsid w:val="3EEE3541"/>
    <w:rsid w:val="3FBC05FB"/>
    <w:rsid w:val="3FFE7740"/>
    <w:rsid w:val="41214B28"/>
    <w:rsid w:val="41C773E2"/>
    <w:rsid w:val="47884B7D"/>
    <w:rsid w:val="47DDCB6C"/>
    <w:rsid w:val="4B9A1834"/>
    <w:rsid w:val="4D4C3002"/>
    <w:rsid w:val="4FEF0763"/>
    <w:rsid w:val="55A14C92"/>
    <w:rsid w:val="55DD7BEB"/>
    <w:rsid w:val="575C3274"/>
    <w:rsid w:val="57CF6213"/>
    <w:rsid w:val="588418A2"/>
    <w:rsid w:val="5AD87635"/>
    <w:rsid w:val="5F9B7AE0"/>
    <w:rsid w:val="5FBEA25E"/>
    <w:rsid w:val="5FF4247C"/>
    <w:rsid w:val="618D6C67"/>
    <w:rsid w:val="639C7CF6"/>
    <w:rsid w:val="64095E7F"/>
    <w:rsid w:val="64414325"/>
    <w:rsid w:val="658C7FE7"/>
    <w:rsid w:val="66411775"/>
    <w:rsid w:val="68B57855"/>
    <w:rsid w:val="69A467A0"/>
    <w:rsid w:val="6A053438"/>
    <w:rsid w:val="6B0008F1"/>
    <w:rsid w:val="6B9F2C64"/>
    <w:rsid w:val="6BC308DC"/>
    <w:rsid w:val="6BC960D2"/>
    <w:rsid w:val="6BD46E9D"/>
    <w:rsid w:val="6DEE7A91"/>
    <w:rsid w:val="6E6931FA"/>
    <w:rsid w:val="6FFDF0C0"/>
    <w:rsid w:val="7851049C"/>
    <w:rsid w:val="791D122B"/>
    <w:rsid w:val="7AE96FDE"/>
    <w:rsid w:val="7AFAB015"/>
    <w:rsid w:val="7BFF8693"/>
    <w:rsid w:val="7CD7E6EB"/>
    <w:rsid w:val="7D996D0B"/>
    <w:rsid w:val="7E103785"/>
    <w:rsid w:val="7E4F77AA"/>
    <w:rsid w:val="7EFF8F28"/>
    <w:rsid w:val="7EFFF9E3"/>
    <w:rsid w:val="7F7F5824"/>
    <w:rsid w:val="7FBF3D65"/>
    <w:rsid w:val="7FC5B5BB"/>
    <w:rsid w:val="7FDFD36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A544E02"/>
  <w15:docId w15:val="{577AC59F-7383-47FE-BFD3-18E015B8F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pPr>
      <w:widowControl w:val="0"/>
      <w:jc w:val="both"/>
    </w:pPr>
    <w:rPr>
      <w:kern w:val="2"/>
      <w:sz w:val="21"/>
      <w:szCs w:val="24"/>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TOC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Normal Indent"/>
    <w:basedOn w:val="aa"/>
    <w:qFormat/>
    <w:pPr>
      <w:ind w:firstLineChars="200" w:firstLine="420"/>
    </w:pPr>
    <w:rPr>
      <w:rFonts w:ascii="Calibri" w:hAnsi="Calibri"/>
    </w:rPr>
  </w:style>
  <w:style w:type="paragraph" w:styleId="af">
    <w:name w:val="caption"/>
    <w:basedOn w:val="aa"/>
    <w:next w:val="aa"/>
    <w:qFormat/>
    <w:rPr>
      <w:rFonts w:ascii="Arial" w:eastAsia="黑体" w:hAnsi="Arial"/>
      <w:sz w:val="20"/>
      <w:szCs w:val="22"/>
    </w:rPr>
  </w:style>
  <w:style w:type="paragraph" w:styleId="af0">
    <w:name w:val="annotation text"/>
    <w:basedOn w:val="aa"/>
    <w:link w:val="af1"/>
    <w:uiPriority w:val="99"/>
    <w:semiHidden/>
    <w:unhideWhenUsed/>
    <w:qFormat/>
    <w:pPr>
      <w:jc w:val="left"/>
    </w:pPr>
  </w:style>
  <w:style w:type="paragraph" w:styleId="af2">
    <w:name w:val="Body Text"/>
    <w:basedOn w:val="aa"/>
    <w:link w:val="af3"/>
    <w:semiHidden/>
    <w:qFormat/>
    <w:rPr>
      <w:rFonts w:ascii="Arial" w:eastAsia="Arial" w:hAnsi="Arial" w:cs="Arial"/>
      <w:szCs w:val="21"/>
      <w:lang w:eastAsia="en-US"/>
    </w:rPr>
  </w:style>
  <w:style w:type="paragraph" w:styleId="af4">
    <w:name w:val="Date"/>
    <w:basedOn w:val="aa"/>
    <w:next w:val="aa"/>
    <w:link w:val="af5"/>
    <w:uiPriority w:val="99"/>
    <w:semiHidden/>
    <w:unhideWhenUsed/>
    <w:qFormat/>
    <w:pPr>
      <w:ind w:leftChars="2500" w:left="100"/>
    </w:pPr>
  </w:style>
  <w:style w:type="paragraph" w:styleId="af6">
    <w:name w:val="Balloon Text"/>
    <w:basedOn w:val="aa"/>
    <w:link w:val="af7"/>
    <w:uiPriority w:val="99"/>
    <w:semiHidden/>
    <w:unhideWhenUsed/>
    <w:qFormat/>
    <w:rPr>
      <w:sz w:val="18"/>
      <w:szCs w:val="18"/>
    </w:rPr>
  </w:style>
  <w:style w:type="paragraph" w:styleId="af8">
    <w:name w:val="footer"/>
    <w:basedOn w:val="aa"/>
    <w:link w:val="af9"/>
    <w:unhideWhenUsed/>
    <w:qFormat/>
    <w:pPr>
      <w:tabs>
        <w:tab w:val="center" w:pos="4153"/>
        <w:tab w:val="right" w:pos="8306"/>
      </w:tabs>
      <w:snapToGrid w:val="0"/>
      <w:jc w:val="left"/>
    </w:pPr>
    <w:rPr>
      <w:sz w:val="18"/>
      <w:szCs w:val="18"/>
    </w:rPr>
  </w:style>
  <w:style w:type="paragraph" w:styleId="afa">
    <w:name w:val="header"/>
    <w:basedOn w:val="aa"/>
    <w:link w:val="afb"/>
    <w:unhideWhenUsed/>
    <w:qFormat/>
    <w:pPr>
      <w:pBdr>
        <w:bottom w:val="single" w:sz="6" w:space="1" w:color="auto"/>
      </w:pBdr>
      <w:tabs>
        <w:tab w:val="center" w:pos="4153"/>
        <w:tab w:val="right" w:pos="8306"/>
      </w:tabs>
      <w:snapToGrid w:val="0"/>
      <w:jc w:val="center"/>
    </w:pPr>
    <w:rPr>
      <w:sz w:val="18"/>
      <w:szCs w:val="18"/>
    </w:rPr>
  </w:style>
  <w:style w:type="paragraph" w:styleId="afc">
    <w:name w:val="Normal (Web)"/>
    <w:basedOn w:val="aa"/>
    <w:unhideWhenUsed/>
    <w:qFormat/>
    <w:rPr>
      <w:sz w:val="24"/>
    </w:rPr>
  </w:style>
  <w:style w:type="paragraph" w:styleId="afd">
    <w:name w:val="Title"/>
    <w:basedOn w:val="aa"/>
    <w:next w:val="aa"/>
    <w:link w:val="afe"/>
    <w:qFormat/>
    <w:pPr>
      <w:widowControl/>
      <w:jc w:val="center"/>
    </w:pPr>
    <w:rPr>
      <w:b/>
      <w:bCs/>
      <w:kern w:val="0"/>
      <w:sz w:val="24"/>
      <w:lang w:eastAsia="en-US"/>
    </w:rPr>
  </w:style>
  <w:style w:type="paragraph" w:styleId="aff">
    <w:name w:val="annotation subject"/>
    <w:basedOn w:val="af0"/>
    <w:next w:val="af0"/>
    <w:link w:val="aff0"/>
    <w:uiPriority w:val="99"/>
    <w:semiHidden/>
    <w:unhideWhenUsed/>
    <w:qFormat/>
    <w:rPr>
      <w:b/>
      <w:bCs/>
    </w:rPr>
  </w:style>
  <w:style w:type="table" w:styleId="aff1">
    <w:name w:val="Table Grid"/>
    <w:basedOn w:val="ac"/>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Hyperlink"/>
    <w:basedOn w:val="ab"/>
    <w:qFormat/>
    <w:rPr>
      <w:color w:val="2440B3"/>
      <w:u w:val="single"/>
    </w:rPr>
  </w:style>
  <w:style w:type="character" w:styleId="aff3">
    <w:name w:val="annotation reference"/>
    <w:basedOn w:val="ab"/>
    <w:uiPriority w:val="99"/>
    <w:semiHidden/>
    <w:unhideWhenUsed/>
    <w:qFormat/>
    <w:rPr>
      <w:sz w:val="21"/>
      <w:szCs w:val="21"/>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character" w:customStyle="1" w:styleId="afb">
    <w:name w:val="页眉 字符"/>
    <w:basedOn w:val="ab"/>
    <w:link w:val="afa"/>
    <w:qFormat/>
    <w:rPr>
      <w:sz w:val="18"/>
      <w:szCs w:val="18"/>
    </w:rPr>
  </w:style>
  <w:style w:type="character" w:customStyle="1" w:styleId="af9">
    <w:name w:val="页脚 字符"/>
    <w:basedOn w:val="ab"/>
    <w:link w:val="af8"/>
    <w:qFormat/>
    <w:rPr>
      <w:sz w:val="18"/>
      <w:szCs w:val="18"/>
    </w:rPr>
  </w:style>
  <w:style w:type="character" w:customStyle="1" w:styleId="Char">
    <w:name w:val="段 Char"/>
    <w:link w:val="aff4"/>
    <w:qFormat/>
    <w:rPr>
      <w:rFonts w:ascii="宋体"/>
    </w:rPr>
  </w:style>
  <w:style w:type="paragraph" w:customStyle="1" w:styleId="aff4">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f5">
    <w:name w:val="章标题"/>
    <w:next w:val="aff4"/>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f6">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f6"/>
    <w:qFormat/>
    <w:rPr>
      <w:rFonts w:ascii="宋体" w:eastAsia="宋体" w:hAnsi="Times New Roman" w:cs="Times New Roman"/>
      <w:kern w:val="0"/>
      <w:szCs w:val="20"/>
    </w:rPr>
  </w:style>
  <w:style w:type="paragraph" w:customStyle="1" w:styleId="a6">
    <w:name w:val="标准文件_二级条标题"/>
    <w:next w:val="aff6"/>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f6"/>
    <w:qFormat/>
    <w:pPr>
      <w:widowControl/>
      <w:numPr>
        <w:ilvl w:val="4"/>
      </w:numPr>
      <w:outlineLvl w:val="3"/>
    </w:pPr>
  </w:style>
  <w:style w:type="paragraph" w:customStyle="1" w:styleId="a8">
    <w:name w:val="标准文件_四级条标题"/>
    <w:next w:val="aff6"/>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f6"/>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f6"/>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f6"/>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7">
    <w:name w:val="批注框文本 字符"/>
    <w:basedOn w:val="ab"/>
    <w:link w:val="af6"/>
    <w:uiPriority w:val="99"/>
    <w:semiHidden/>
    <w:qFormat/>
    <w:rPr>
      <w:kern w:val="2"/>
      <w:sz w:val="18"/>
      <w:szCs w:val="18"/>
    </w:rPr>
  </w:style>
  <w:style w:type="character" w:customStyle="1" w:styleId="af1">
    <w:name w:val="批注文字 字符"/>
    <w:basedOn w:val="ab"/>
    <w:link w:val="af0"/>
    <w:uiPriority w:val="99"/>
    <w:semiHidden/>
    <w:qFormat/>
    <w:rPr>
      <w:kern w:val="2"/>
      <w:sz w:val="21"/>
      <w:szCs w:val="24"/>
    </w:rPr>
  </w:style>
  <w:style w:type="character" w:customStyle="1" w:styleId="aff0">
    <w:name w:val="批注主题 字符"/>
    <w:basedOn w:val="af1"/>
    <w:link w:val="aff"/>
    <w:uiPriority w:val="99"/>
    <w:semiHidden/>
    <w:qFormat/>
    <w:rPr>
      <w:b/>
      <w:bCs/>
      <w:kern w:val="2"/>
      <w:sz w:val="21"/>
      <w:szCs w:val="24"/>
    </w:rPr>
  </w:style>
  <w:style w:type="character" w:customStyle="1" w:styleId="1">
    <w:name w:val="未处理的提及1"/>
    <w:basedOn w:val="ab"/>
    <w:uiPriority w:val="99"/>
    <w:semiHidden/>
    <w:unhideWhenUsed/>
    <w:qFormat/>
    <w:rPr>
      <w:color w:val="605E5C"/>
      <w:shd w:val="clear" w:color="auto" w:fill="E1DFDD"/>
    </w:rPr>
  </w:style>
  <w:style w:type="paragraph" w:styleId="aff7">
    <w:name w:val="List Paragraph"/>
    <w:basedOn w:val="aa"/>
    <w:uiPriority w:val="34"/>
    <w:qFormat/>
    <w:pPr>
      <w:ind w:firstLineChars="200" w:firstLine="420"/>
    </w:pPr>
  </w:style>
  <w:style w:type="paragraph" w:customStyle="1" w:styleId="a2">
    <w:name w:val="标准文件_正文图标题"/>
    <w:next w:val="aff6"/>
    <w:qFormat/>
    <w:pPr>
      <w:numPr>
        <w:numId w:val="5"/>
      </w:numPr>
      <w:spacing w:beforeLines="50" w:before="120" w:afterLines="50" w:after="120"/>
      <w:jc w:val="center"/>
    </w:pPr>
    <w:rPr>
      <w:rFonts w:ascii="黑体" w:eastAsia="黑体"/>
      <w:color w:val="000000" w:themeColor="text1"/>
      <w:sz w:val="21"/>
    </w:rPr>
  </w:style>
  <w:style w:type="character" w:customStyle="1" w:styleId="af5">
    <w:name w:val="日期 字符"/>
    <w:basedOn w:val="ab"/>
    <w:link w:val="af4"/>
    <w:uiPriority w:val="99"/>
    <w:semiHidden/>
    <w:qFormat/>
    <w:rPr>
      <w:kern w:val="2"/>
      <w:sz w:val="21"/>
      <w:szCs w:val="24"/>
    </w:rPr>
  </w:style>
  <w:style w:type="character" w:customStyle="1" w:styleId="af3">
    <w:name w:val="正文文本 字符"/>
    <w:basedOn w:val="ab"/>
    <w:link w:val="af2"/>
    <w:semiHidden/>
    <w:qFormat/>
    <w:rPr>
      <w:rFonts w:ascii="Arial" w:eastAsia="Arial" w:hAnsi="Arial" w:cs="Arial"/>
      <w:kern w:val="2"/>
      <w:sz w:val="21"/>
      <w:szCs w:val="21"/>
      <w:lang w:eastAsia="en-US"/>
    </w:rPr>
  </w:style>
  <w:style w:type="character" w:customStyle="1" w:styleId="afe">
    <w:name w:val="标题 字符"/>
    <w:basedOn w:val="ab"/>
    <w:link w:val="afd"/>
    <w:qFormat/>
    <w:rPr>
      <w:b/>
      <w:bCs/>
      <w:sz w:val="24"/>
      <w:szCs w:val="24"/>
      <w:lang w:eastAsia="en-US"/>
    </w:rPr>
  </w:style>
  <w:style w:type="paragraph" w:customStyle="1" w:styleId="TableText">
    <w:name w:val="Table Text"/>
    <w:basedOn w:val="aa"/>
    <w:semiHidden/>
    <w:qFormat/>
    <w:rPr>
      <w:rFonts w:ascii="宋体" w:hAnsi="宋体" w:cs="宋体"/>
      <w:sz w:val="14"/>
      <w:szCs w:val="14"/>
      <w:lang w:eastAsia="en-US"/>
    </w:rPr>
  </w:style>
  <w:style w:type="table" w:customStyle="1" w:styleId="TableNormal">
    <w:name w:val="Table Normal"/>
    <w:basedOn w:val="ac"/>
    <w:unhideWhenUsed/>
    <w:qFormat/>
    <w:rPr>
      <w:rFonts w:ascii="Calibri" w:hAnsi="Calibri"/>
    </w:rPr>
    <w:tblPr>
      <w:tblCellMar>
        <w:left w:w="0" w:type="dxa"/>
        <w:right w:w="0" w:type="dxa"/>
      </w:tblCellMar>
    </w:tblPr>
  </w:style>
  <w:style w:type="paragraph" w:customStyle="1" w:styleId="Style1">
    <w:name w:val="_Style 1"/>
    <w:basedOn w:val="aa"/>
    <w:uiPriority w:val="99"/>
    <w:qFormat/>
    <w:pPr>
      <w:ind w:firstLineChars="200" w:firstLine="420"/>
    </w:pPr>
    <w:rPr>
      <w:rFonts w:ascii="Calibri" w:hAnsi="Calibri"/>
      <w:szCs w:val="22"/>
    </w:rPr>
  </w:style>
  <w:style w:type="table" w:customStyle="1" w:styleId="10">
    <w:name w:val="网格型1"/>
    <w:basedOn w:val="ac"/>
    <w:next w:val="aff1"/>
    <w:rsid w:val="00175A21"/>
    <w:pPr>
      <w:widowControl w:val="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31">
    <w:name w:val="font31"/>
    <w:basedOn w:val="ab"/>
    <w:rsid w:val="00C4690C"/>
    <w:rPr>
      <w:rFonts w:ascii="宋体" w:eastAsia="宋体" w:hAnsi="宋体" w:cs="宋体" w:hint="eastAsia"/>
      <w:i w:val="0"/>
      <w:iCs w:val="0"/>
      <w:color w:val="FF0000"/>
      <w:sz w:val="16"/>
      <w:szCs w:val="16"/>
      <w:u w:val="none"/>
    </w:rPr>
  </w:style>
  <w:style w:type="character" w:customStyle="1" w:styleId="font11">
    <w:name w:val="font11"/>
    <w:basedOn w:val="ab"/>
    <w:rsid w:val="00C4690C"/>
    <w:rPr>
      <w:rFonts w:ascii="Arial" w:hAnsi="Arial" w:cs="Arial" w:hint="default"/>
      <w:i w:val="0"/>
      <w:iCs w:val="0"/>
      <w:color w:val="FF0000"/>
      <w:sz w:val="16"/>
      <w:szCs w:val="1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yperlink" Target="https://baike.baidu.com/item/%E6%B5%81%E8%A1%8C%E7%97%85%E5%AD%A6%E8%B0%83%E6%9F%A5/6563973?fromModule=lemma_inlink" TargetMode="External"/><Relationship Id="rId18" Type="http://schemas.openxmlformats.org/officeDocument/2006/relationships/image" Target="media/image1.jpeg"/><Relationship Id="rId26" Type="http://schemas.openxmlformats.org/officeDocument/2006/relationships/image" Target="media/image9.png"/><Relationship Id="rId21" Type="http://schemas.openxmlformats.org/officeDocument/2006/relationships/image" Target="media/image4.png"/><Relationship Id="rId34" Type="http://schemas.openxmlformats.org/officeDocument/2006/relationships/image" Target="media/image17.tiff"/><Relationship Id="rId7" Type="http://schemas.openxmlformats.org/officeDocument/2006/relationships/hyperlink" Target="https://baike.baidu.com/item/%E7%97%85%E5%8E%9F%E5%BE%AE%E7%94%9F%E7%89%A9/8020502?fromModule=lemma_inlink" TargetMode="External"/><Relationship Id="rId12" Type="http://schemas.openxmlformats.org/officeDocument/2006/relationships/hyperlink" Target="https://baike.baidu.com/item/%E5%B9%B6%E5%8F%91%E7%97%87/6329283?fromModule=lemma_inlink" TargetMode="External"/><Relationship Id="rId17" Type="http://schemas.openxmlformats.org/officeDocument/2006/relationships/hyperlink" Target="https://baike.baidu.com/item/%E7%94%9F%E6%B4%BB%E8%B4%A8%E9%87%8F/1526136?fromModule=lemma_inlink" TargetMode="External"/><Relationship Id="rId25" Type="http://schemas.openxmlformats.org/officeDocument/2006/relationships/image" Target="media/image8.png"/><Relationship Id="rId33" Type="http://schemas.openxmlformats.org/officeDocument/2006/relationships/image" Target="media/image16.tiff"/><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baike.baidu.com/item/%E5%8C%BB%E7%96%97%E8%B5%84%E6%BA%90/18740008?fromModule=lemma_inlink" TargetMode="External"/><Relationship Id="rId20" Type="http://schemas.openxmlformats.org/officeDocument/2006/relationships/image" Target="media/image3.png"/><Relationship Id="rId29"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aike.baidu.com/item/%E7%97%85%E6%AD%BB%E7%8E%87/6454658?fromModule=lemma_inlink" TargetMode="External"/><Relationship Id="rId24" Type="http://schemas.openxmlformats.org/officeDocument/2006/relationships/image" Target="media/image7.png"/><Relationship Id="rId32" Type="http://schemas.openxmlformats.org/officeDocument/2006/relationships/image" Target="media/image15.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baike.baidu.com/item/%E9%87%8D%E7%97%87%E7%9B%91%E6%8A%A4%E7%97%85%E6%88%BF/56583476?fromModule=lemma_inlink"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footer" Target="footer1.xml"/><Relationship Id="rId10" Type="http://schemas.openxmlformats.org/officeDocument/2006/relationships/hyperlink" Target="https://baike.baidu.com/item/%E4%B8%A5%E9%87%8D%E8%84%93%E6%AF%92%E7%97%87/8823087?fromModule=lemma_inlink" TargetMode="External"/><Relationship Id="rId19" Type="http://schemas.openxmlformats.org/officeDocument/2006/relationships/image" Target="media/image2.png"/><Relationship Id="rId31" Type="http://schemas.openxmlformats.org/officeDocument/2006/relationships/image" Target="media/image14.tiff"/><Relationship Id="rId4" Type="http://schemas.openxmlformats.org/officeDocument/2006/relationships/webSettings" Target="webSettings.xml"/><Relationship Id="rId9" Type="http://schemas.openxmlformats.org/officeDocument/2006/relationships/hyperlink" Target="https://baike.baidu.com/item/%E5%8F%91%E7%94%9F%E7%8E%87/9978487?fromModule=lemma_inlink" TargetMode="External"/><Relationship Id="rId14" Type="http://schemas.openxmlformats.org/officeDocument/2006/relationships/hyperlink" Target="https://baike.baidu.com/item/%E5%BF%83%E8%82%8C%E6%A2%97%E6%AD%BB/702113?fromModule=lemma_inlink"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8.tiff"/><Relationship Id="rId8" Type="http://schemas.openxmlformats.org/officeDocument/2006/relationships/hyperlink" Target="https://baike.baidu.com/item/%E7%82%8E%E7%97%87%E5%8F%8D%E5%BA%94/2144122?fromModule=lemma_inlink" TargetMode="External"/><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40</Pages>
  <Words>4181</Words>
  <Characters>23832</Characters>
  <Application>Microsoft Office Word</Application>
  <DocSecurity>0</DocSecurity>
  <Lines>198</Lines>
  <Paragraphs>55</Paragraphs>
  <ScaleCrop>false</ScaleCrop>
  <Company>Microsoft</Company>
  <LinksUpToDate>false</LinksUpToDate>
  <CharactersWithSpaces>27958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Administrator</cp:lastModifiedBy>
  <cp:revision>4</cp:revision>
  <cp:lastPrinted>2024-11-02T06:50:00Z</cp:lastPrinted>
  <dcterms:created xsi:type="dcterms:W3CDTF">2025-05-17T08:24:00Z</dcterms:created>
  <dcterms:modified xsi:type="dcterms:W3CDTF">2025-05-19T07:00:00Z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67A7C0C402214FFF87478B926A46B200_13</vt:lpwstr>
  </property>
  <property fmtid="{D5CDD505-2E9C-101B-9397-08002B2CF9AE}" pid="4" name="KSOTemplateDocerSaveRecord">
    <vt:lpwstr>eyJoZGlkIjoiZDU4MDczMzcyYmJkMTU0Yzk3Y2Q1OWEyNGVlYzBmODAiLCJ1c2VySWQiOiI2NTgwMDU1NDYifQ==</vt:lpwstr>
  </property>
</Properties>
</file>