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B0AED">
      <w:pPr>
        <w:jc w:val="center"/>
        <w:rPr>
          <w:color w:val="auto"/>
          <w:lang w:eastAsia="zh-CN"/>
        </w:rPr>
      </w:pPr>
      <w:r>
        <w:rPr>
          <w:rFonts w:ascii="黑体" w:hAnsi="黑体" w:eastAsia="黑体" w:cs="黑体"/>
          <w:b/>
          <w:bCs/>
          <w:color w:val="auto"/>
          <w:spacing w:val="-29"/>
          <w:sz w:val="28"/>
          <w:szCs w:val="28"/>
          <w:lang w:eastAsia="zh-CN"/>
        </w:rPr>
        <w:t xml:space="preserve"> </w:t>
      </w:r>
      <w:r>
        <w:rPr>
          <w:rFonts w:hint="eastAsia" w:ascii="宋体" w:hAnsi="宋体" w:eastAsia="宋体" w:cs="宋体"/>
          <w:b/>
          <w:bCs/>
          <w:color w:val="auto"/>
          <w:sz w:val="36"/>
          <w:szCs w:val="36"/>
          <w:lang w:eastAsia="zh-CN"/>
        </w:rPr>
        <w:t>团体标准《油茶籽贮运管理规范</w:t>
      </w:r>
      <w:r>
        <w:rPr>
          <w:rFonts w:hint="eastAsia" w:ascii="宋体" w:hAnsi="宋体" w:eastAsia="宋体" w:cs="宋体"/>
          <w:b/>
          <w:bCs/>
          <w:color w:val="auto"/>
          <w:spacing w:val="-1"/>
          <w:sz w:val="36"/>
          <w:szCs w:val="36"/>
          <w:lang w:eastAsia="zh-CN"/>
        </w:rPr>
        <w:t>》</w:t>
      </w:r>
      <w:r>
        <w:rPr>
          <w:rFonts w:hint="eastAsia" w:ascii="宋体" w:hAnsi="宋体" w:eastAsia="宋体" w:cs="宋体"/>
          <w:b/>
          <w:bCs/>
          <w:color w:val="auto"/>
          <w:sz w:val="36"/>
          <w:szCs w:val="36"/>
          <w:lang w:eastAsia="zh-CN"/>
        </w:rPr>
        <w:t>（征求意见稿）编制说明</w:t>
      </w:r>
    </w:p>
    <w:p w14:paraId="70B64C80">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jc w:val="both"/>
        <w:textAlignment w:val="baseline"/>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lang w:eastAsia="zh-CN"/>
        </w:rPr>
        <w:t>项目来源、</w:t>
      </w:r>
      <w:r>
        <w:rPr>
          <w:rFonts w:hint="eastAsia" w:ascii="宋体" w:hAnsi="宋体" w:eastAsia="宋体" w:cs="宋体"/>
          <w:b/>
          <w:bCs/>
          <w:color w:val="auto"/>
          <w:sz w:val="24"/>
          <w:szCs w:val="24"/>
          <w:lang w:val="en-US" w:eastAsia="zh-CN"/>
        </w:rPr>
        <w:t>起草单位、主要起草人</w:t>
      </w:r>
    </w:p>
    <w:p w14:paraId="216E613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472" w:firstLineChars="200"/>
        <w:jc w:val="both"/>
        <w:textAlignment w:val="baseline"/>
        <w:rPr>
          <w:rFonts w:hint="eastAsia" w:ascii="宋体" w:hAnsi="宋体" w:eastAsia="宋体" w:cs="宋体"/>
          <w:color w:val="auto"/>
          <w:spacing w:val="-1"/>
          <w:sz w:val="24"/>
          <w:szCs w:val="24"/>
          <w:lang w:eastAsia="zh-CN"/>
        </w:rPr>
      </w:pPr>
      <w:r>
        <w:rPr>
          <w:rFonts w:hint="eastAsia" w:ascii="宋体" w:hAnsi="宋体" w:eastAsia="宋体" w:cs="宋体"/>
          <w:color w:val="auto"/>
          <w:spacing w:val="-2"/>
          <w:sz w:val="24"/>
          <w:szCs w:val="24"/>
          <w:lang w:eastAsia="zh-CN"/>
        </w:rPr>
        <w:t>根据《广西标准化协会关于下达2025年第一批团体标准制修订项目计划的通知》（桂标协〔2025〕7号）</w:t>
      </w:r>
      <w:r>
        <w:rPr>
          <w:rFonts w:hint="eastAsia" w:ascii="宋体" w:hAnsi="宋体" w:eastAsia="宋体" w:cs="宋体"/>
          <w:color w:val="auto"/>
          <w:sz w:val="24"/>
          <w:szCs w:val="24"/>
          <w:lang w:eastAsia="zh-CN"/>
        </w:rPr>
        <w:t>文件精神，由广西国控林业投资股份有限公司、广西壮族自治区新材料技术工程院、广西平果市海同仓储有限责任公司、广西百色市国控林业有限责任公司、广西力源宝科技有限公司起草的团体标准《油茶籽贮运管理规范》纳入2025年</w:t>
      </w:r>
      <w:r>
        <w:rPr>
          <w:rFonts w:hint="eastAsia" w:ascii="宋体" w:hAnsi="宋体" w:eastAsia="宋体" w:cs="宋体"/>
          <w:color w:val="auto"/>
          <w:spacing w:val="-2"/>
          <w:sz w:val="24"/>
          <w:szCs w:val="24"/>
          <w:lang w:eastAsia="zh-CN"/>
        </w:rPr>
        <w:t>第一批团体标准制修订项目计划</w:t>
      </w:r>
      <w:r>
        <w:rPr>
          <w:rFonts w:hint="eastAsia" w:ascii="宋体" w:hAnsi="宋体" w:eastAsia="宋体" w:cs="宋体"/>
          <w:color w:val="auto"/>
          <w:spacing w:val="-1"/>
          <w:sz w:val="24"/>
          <w:szCs w:val="24"/>
          <w:lang w:eastAsia="zh-CN"/>
        </w:rPr>
        <w:t>。</w:t>
      </w:r>
    </w:p>
    <w:p w14:paraId="2AA9C7C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476" w:firstLineChars="200"/>
        <w:jc w:val="both"/>
        <w:textAlignment w:val="baseline"/>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主要起草人姓名及分工情况如下表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030"/>
        <w:gridCol w:w="1520"/>
        <w:gridCol w:w="1780"/>
        <w:gridCol w:w="2110"/>
        <w:gridCol w:w="1333"/>
      </w:tblGrid>
      <w:tr w14:paraId="5864D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744" w:type="dxa"/>
            <w:shd w:val="clear" w:color="auto" w:fill="auto"/>
            <w:vAlign w:val="center"/>
          </w:tcPr>
          <w:p w14:paraId="22C6AE1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_GB2312" w:hAnsi="Arial" w:eastAsia="仿宋_GB2312" w:cs="Arial"/>
                <w:bCs/>
                <w:snapToGrid w:val="0"/>
                <w:color w:val="auto"/>
                <w:sz w:val="21"/>
                <w:szCs w:val="21"/>
                <w:lang w:val="en-US" w:eastAsia="zh-CN" w:bidi="ar-SA"/>
              </w:rPr>
            </w:pPr>
            <w:r>
              <w:rPr>
                <w:rFonts w:hint="eastAsia" w:ascii="仿宋_GB2312" w:hAnsi="宋体" w:eastAsia="仿宋_GB2312" w:cs="宋体"/>
                <w:b/>
                <w:bCs/>
                <w:color w:val="auto"/>
                <w:sz w:val="21"/>
                <w:szCs w:val="21"/>
              </w:rPr>
              <w:t>序号</w:t>
            </w:r>
          </w:p>
        </w:tc>
        <w:tc>
          <w:tcPr>
            <w:tcW w:w="1030" w:type="dxa"/>
            <w:shd w:val="clear" w:color="auto" w:fill="auto"/>
            <w:vAlign w:val="center"/>
          </w:tcPr>
          <w:p w14:paraId="229AB0D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_GB2312" w:hAnsi="Arial" w:eastAsia="仿宋_GB2312" w:cs="Arial"/>
                <w:bCs/>
                <w:snapToGrid w:val="0"/>
                <w:color w:val="auto"/>
                <w:sz w:val="21"/>
                <w:szCs w:val="21"/>
                <w:lang w:val="en-US" w:eastAsia="zh-CN" w:bidi="ar-SA"/>
              </w:rPr>
            </w:pPr>
            <w:r>
              <w:rPr>
                <w:rFonts w:hint="eastAsia" w:ascii="仿宋_GB2312" w:hAnsi="宋体" w:eastAsia="仿宋_GB2312" w:cs="宋体"/>
                <w:b/>
                <w:bCs/>
                <w:color w:val="auto"/>
                <w:sz w:val="21"/>
                <w:szCs w:val="21"/>
              </w:rPr>
              <w:t>姓  名</w:t>
            </w:r>
          </w:p>
        </w:tc>
        <w:tc>
          <w:tcPr>
            <w:tcW w:w="1520" w:type="dxa"/>
            <w:shd w:val="clear" w:color="auto" w:fill="auto"/>
            <w:vAlign w:val="center"/>
          </w:tcPr>
          <w:p w14:paraId="57A4730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宋体" w:eastAsia="仿宋_GB2312" w:cs="宋体"/>
                <w:b/>
                <w:bCs/>
                <w:snapToGrid w:val="0"/>
                <w:color w:val="auto"/>
                <w:sz w:val="21"/>
                <w:szCs w:val="21"/>
                <w:lang w:val="en-US" w:eastAsia="zh-CN" w:bidi="ar-SA"/>
              </w:rPr>
            </w:pPr>
            <w:r>
              <w:rPr>
                <w:rFonts w:hint="eastAsia" w:ascii="仿宋_GB2312" w:hAnsi="宋体" w:eastAsia="仿宋_GB2312" w:cs="宋体"/>
                <w:b/>
                <w:bCs/>
                <w:color w:val="auto"/>
                <w:sz w:val="21"/>
                <w:szCs w:val="21"/>
              </w:rPr>
              <w:t>职务/职称</w:t>
            </w:r>
          </w:p>
        </w:tc>
        <w:tc>
          <w:tcPr>
            <w:tcW w:w="1780" w:type="dxa"/>
            <w:shd w:val="clear" w:color="auto" w:fill="auto"/>
            <w:vAlign w:val="center"/>
          </w:tcPr>
          <w:p w14:paraId="4090161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宋体" w:eastAsia="仿宋_GB2312" w:cs="宋体"/>
                <w:b/>
                <w:color w:val="auto"/>
                <w:sz w:val="21"/>
                <w:szCs w:val="21"/>
                <w:lang w:val="en-US" w:eastAsia="zh-CN"/>
              </w:rPr>
            </w:pPr>
            <w:r>
              <w:rPr>
                <w:rFonts w:hint="eastAsia" w:ascii="仿宋_GB2312" w:hAnsi="宋体" w:eastAsia="仿宋_GB2312" w:cs="宋体"/>
                <w:b/>
                <w:color w:val="auto"/>
                <w:sz w:val="21"/>
                <w:szCs w:val="21"/>
                <w:lang w:val="en-US" w:eastAsia="zh-CN"/>
              </w:rPr>
              <w:t>从事专业</w:t>
            </w:r>
          </w:p>
        </w:tc>
        <w:tc>
          <w:tcPr>
            <w:tcW w:w="2110" w:type="dxa"/>
            <w:shd w:val="clear" w:color="auto" w:fill="auto"/>
            <w:vAlign w:val="center"/>
          </w:tcPr>
          <w:p w14:paraId="06F4EC6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_GB2312" w:hAnsi="Arial" w:eastAsia="仿宋_GB2312" w:cs="Arial"/>
                <w:bCs/>
                <w:snapToGrid w:val="0"/>
                <w:color w:val="auto"/>
                <w:sz w:val="21"/>
                <w:szCs w:val="21"/>
                <w:lang w:val="en-US" w:eastAsia="zh-CN" w:bidi="ar-SA"/>
              </w:rPr>
            </w:pPr>
            <w:r>
              <w:rPr>
                <w:rFonts w:hint="eastAsia" w:ascii="仿宋_GB2312" w:hAnsi="宋体" w:eastAsia="仿宋_GB2312" w:cs="宋体"/>
                <w:b/>
                <w:color w:val="auto"/>
                <w:sz w:val="21"/>
                <w:szCs w:val="21"/>
                <w:lang w:val="en-US" w:eastAsia="zh-CN"/>
              </w:rPr>
              <w:t>工作</w:t>
            </w:r>
            <w:r>
              <w:rPr>
                <w:rFonts w:hint="eastAsia" w:ascii="仿宋_GB2312" w:hAnsi="宋体" w:eastAsia="仿宋_GB2312" w:cs="宋体"/>
                <w:b/>
                <w:color w:val="auto"/>
                <w:sz w:val="21"/>
                <w:szCs w:val="21"/>
              </w:rPr>
              <w:t>单位</w:t>
            </w:r>
          </w:p>
        </w:tc>
        <w:tc>
          <w:tcPr>
            <w:tcW w:w="1333" w:type="dxa"/>
            <w:shd w:val="clear" w:color="auto" w:fill="auto"/>
            <w:vAlign w:val="center"/>
          </w:tcPr>
          <w:p w14:paraId="7192681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仿宋_GB2312" w:hAnsi="Arial" w:eastAsia="仿宋_GB2312" w:cs="Arial"/>
                <w:bCs/>
                <w:snapToGrid w:val="0"/>
                <w:color w:val="auto"/>
                <w:sz w:val="21"/>
                <w:szCs w:val="21"/>
                <w:lang w:val="en-US" w:eastAsia="zh-CN" w:bidi="ar-SA"/>
              </w:rPr>
            </w:pPr>
            <w:r>
              <w:rPr>
                <w:rFonts w:hint="eastAsia" w:ascii="仿宋_GB2312" w:hAnsi="宋体" w:eastAsia="仿宋_GB2312" w:cs="宋体"/>
                <w:b/>
                <w:bCs/>
                <w:color w:val="auto"/>
                <w:sz w:val="21"/>
                <w:szCs w:val="21"/>
                <w:lang w:val="en-US" w:eastAsia="zh-CN"/>
              </w:rPr>
              <w:t>责任分工</w:t>
            </w:r>
          </w:p>
        </w:tc>
      </w:tr>
      <w:tr w14:paraId="00046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8F9AE2C">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1</w:t>
            </w:r>
          </w:p>
        </w:tc>
        <w:tc>
          <w:tcPr>
            <w:tcW w:w="1030" w:type="dxa"/>
            <w:vAlign w:val="center"/>
          </w:tcPr>
          <w:p w14:paraId="009BCC9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苏晓琳</w:t>
            </w:r>
          </w:p>
        </w:tc>
        <w:tc>
          <w:tcPr>
            <w:tcW w:w="1520" w:type="dxa"/>
            <w:shd w:val="clear" w:color="auto" w:fill="auto"/>
            <w:vAlign w:val="center"/>
          </w:tcPr>
          <w:p w14:paraId="53BC2C2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工程师</w:t>
            </w:r>
          </w:p>
        </w:tc>
        <w:tc>
          <w:tcPr>
            <w:tcW w:w="1780" w:type="dxa"/>
            <w:vAlign w:val="center"/>
          </w:tcPr>
          <w:p w14:paraId="1637425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林业工程</w:t>
            </w:r>
          </w:p>
        </w:tc>
        <w:tc>
          <w:tcPr>
            <w:tcW w:w="2110" w:type="dxa"/>
            <w:vAlign w:val="center"/>
          </w:tcPr>
          <w:p w14:paraId="3186324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4C22C3F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default" w:ascii="宋体" w:hAnsi="宋体" w:eastAsia="宋体" w:cs="宋体"/>
                <w:snapToGrid w:val="0"/>
                <w:color w:val="auto"/>
                <w:sz w:val="21"/>
                <w:szCs w:val="21"/>
                <w:lang w:val="en-US" w:eastAsia="zh-CN" w:bidi="ar-SA"/>
              </w:rPr>
            </w:pPr>
            <w:r>
              <w:rPr>
                <w:rFonts w:hint="eastAsia" w:ascii="宋体" w:hAnsi="宋体" w:eastAsia="宋体" w:cs="宋体"/>
                <w:color w:val="auto"/>
                <w:szCs w:val="21"/>
                <w:lang w:val="en-US" w:eastAsia="zh-CN"/>
              </w:rPr>
              <w:t>主要编写</w:t>
            </w:r>
          </w:p>
        </w:tc>
      </w:tr>
      <w:tr w14:paraId="603F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87D6960">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2</w:t>
            </w:r>
          </w:p>
        </w:tc>
        <w:tc>
          <w:tcPr>
            <w:tcW w:w="1030" w:type="dxa"/>
            <w:vAlign w:val="center"/>
          </w:tcPr>
          <w:p w14:paraId="09639AC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陈  晔</w:t>
            </w:r>
          </w:p>
        </w:tc>
        <w:tc>
          <w:tcPr>
            <w:tcW w:w="1520" w:type="dxa"/>
            <w:shd w:val="clear" w:color="auto" w:fill="auto"/>
            <w:vAlign w:val="center"/>
          </w:tcPr>
          <w:p w14:paraId="6AD01D4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高级工程师</w:t>
            </w:r>
          </w:p>
        </w:tc>
        <w:tc>
          <w:tcPr>
            <w:tcW w:w="1780" w:type="dxa"/>
            <w:vAlign w:val="center"/>
          </w:tcPr>
          <w:p w14:paraId="36D3B61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食品科学与工程</w:t>
            </w:r>
          </w:p>
        </w:tc>
        <w:tc>
          <w:tcPr>
            <w:tcW w:w="2110" w:type="dxa"/>
            <w:vAlign w:val="center"/>
          </w:tcPr>
          <w:p w14:paraId="733AF2A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7FD4D7C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D7DB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536EF48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3</w:t>
            </w:r>
          </w:p>
        </w:tc>
        <w:tc>
          <w:tcPr>
            <w:tcW w:w="1030" w:type="dxa"/>
            <w:vAlign w:val="center"/>
          </w:tcPr>
          <w:p w14:paraId="7C1C493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覃素云</w:t>
            </w:r>
          </w:p>
        </w:tc>
        <w:tc>
          <w:tcPr>
            <w:tcW w:w="1520" w:type="dxa"/>
            <w:shd w:val="clear" w:color="auto" w:fill="auto"/>
            <w:vAlign w:val="center"/>
          </w:tcPr>
          <w:p w14:paraId="412C031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工程师</w:t>
            </w:r>
          </w:p>
        </w:tc>
        <w:tc>
          <w:tcPr>
            <w:tcW w:w="1780" w:type="dxa"/>
            <w:vAlign w:val="center"/>
          </w:tcPr>
          <w:p w14:paraId="16D7EDD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林业工程</w:t>
            </w:r>
          </w:p>
        </w:tc>
        <w:tc>
          <w:tcPr>
            <w:tcW w:w="2110" w:type="dxa"/>
            <w:vAlign w:val="center"/>
          </w:tcPr>
          <w:p w14:paraId="656716A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4E2222C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7D8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7E6E1622">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4</w:t>
            </w:r>
          </w:p>
        </w:tc>
        <w:tc>
          <w:tcPr>
            <w:tcW w:w="1030" w:type="dxa"/>
            <w:vAlign w:val="center"/>
          </w:tcPr>
          <w:p w14:paraId="1E5F75E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刘芝汐</w:t>
            </w:r>
          </w:p>
        </w:tc>
        <w:tc>
          <w:tcPr>
            <w:tcW w:w="1520" w:type="dxa"/>
            <w:shd w:val="clear" w:color="auto" w:fill="auto"/>
            <w:vAlign w:val="center"/>
          </w:tcPr>
          <w:p w14:paraId="1B70ABC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工程师</w:t>
            </w:r>
          </w:p>
        </w:tc>
        <w:tc>
          <w:tcPr>
            <w:tcW w:w="1780" w:type="dxa"/>
            <w:vAlign w:val="center"/>
          </w:tcPr>
          <w:p w14:paraId="4631ABE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林业工程</w:t>
            </w:r>
          </w:p>
        </w:tc>
        <w:tc>
          <w:tcPr>
            <w:tcW w:w="2110" w:type="dxa"/>
            <w:vAlign w:val="center"/>
          </w:tcPr>
          <w:p w14:paraId="5D91590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388411E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B835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44A789AB">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5</w:t>
            </w:r>
          </w:p>
        </w:tc>
        <w:tc>
          <w:tcPr>
            <w:tcW w:w="1030" w:type="dxa"/>
            <w:vAlign w:val="center"/>
          </w:tcPr>
          <w:p w14:paraId="46A8A41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覃  洁</w:t>
            </w:r>
          </w:p>
        </w:tc>
        <w:tc>
          <w:tcPr>
            <w:tcW w:w="1520" w:type="dxa"/>
            <w:shd w:val="clear" w:color="auto" w:fill="auto"/>
            <w:vAlign w:val="center"/>
          </w:tcPr>
          <w:p w14:paraId="7E0C010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正高级工程师</w:t>
            </w:r>
          </w:p>
        </w:tc>
        <w:tc>
          <w:tcPr>
            <w:tcW w:w="1780" w:type="dxa"/>
            <w:vAlign w:val="center"/>
          </w:tcPr>
          <w:p w14:paraId="02A5CE0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食品加工与安全</w:t>
            </w:r>
          </w:p>
        </w:tc>
        <w:tc>
          <w:tcPr>
            <w:tcW w:w="2110" w:type="dxa"/>
            <w:vAlign w:val="center"/>
          </w:tcPr>
          <w:p w14:paraId="2B845C5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67DD169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3D478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67CA139">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6</w:t>
            </w:r>
          </w:p>
        </w:tc>
        <w:tc>
          <w:tcPr>
            <w:tcW w:w="1030" w:type="dxa"/>
            <w:vAlign w:val="center"/>
          </w:tcPr>
          <w:p w14:paraId="3318E1D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廖仁雅</w:t>
            </w:r>
          </w:p>
        </w:tc>
        <w:tc>
          <w:tcPr>
            <w:tcW w:w="1520" w:type="dxa"/>
            <w:shd w:val="clear" w:color="auto" w:fill="auto"/>
            <w:vAlign w:val="center"/>
          </w:tcPr>
          <w:p w14:paraId="2D444D4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工程师</w:t>
            </w:r>
          </w:p>
        </w:tc>
        <w:tc>
          <w:tcPr>
            <w:tcW w:w="1780" w:type="dxa"/>
            <w:vAlign w:val="center"/>
          </w:tcPr>
          <w:p w14:paraId="1F54B03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林业工程</w:t>
            </w:r>
          </w:p>
        </w:tc>
        <w:tc>
          <w:tcPr>
            <w:tcW w:w="2110" w:type="dxa"/>
            <w:vAlign w:val="center"/>
          </w:tcPr>
          <w:p w14:paraId="61602E6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5B4BF4F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5637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5FD92377">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7</w:t>
            </w:r>
          </w:p>
        </w:tc>
        <w:tc>
          <w:tcPr>
            <w:tcW w:w="1030" w:type="dxa"/>
            <w:vAlign w:val="center"/>
          </w:tcPr>
          <w:p w14:paraId="17986F8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李  蓉</w:t>
            </w:r>
          </w:p>
        </w:tc>
        <w:tc>
          <w:tcPr>
            <w:tcW w:w="1520" w:type="dxa"/>
            <w:shd w:val="clear" w:color="auto" w:fill="auto"/>
            <w:vAlign w:val="center"/>
          </w:tcPr>
          <w:p w14:paraId="6609756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Arial" w:cs="Times New Roman"/>
                <w:snapToGrid w:val="0"/>
                <w:color w:val="auto"/>
                <w:spacing w:val="-1"/>
                <w:sz w:val="21"/>
                <w:szCs w:val="21"/>
                <w:vertAlign w:val="baseline"/>
                <w:lang w:val="en-US" w:eastAsia="zh-CN" w:bidi="ar-SA"/>
              </w:rPr>
            </w:pPr>
            <w:r>
              <w:rPr>
                <w:rFonts w:hint="default" w:ascii="Times New Roman" w:hAnsi="Times New Roman" w:eastAsia="宋体" w:cs="Times New Roman"/>
                <w:color w:val="auto"/>
                <w:sz w:val="21"/>
                <w:szCs w:val="21"/>
              </w:rPr>
              <w:t>工程师</w:t>
            </w:r>
          </w:p>
        </w:tc>
        <w:tc>
          <w:tcPr>
            <w:tcW w:w="1780" w:type="dxa"/>
            <w:vAlign w:val="center"/>
          </w:tcPr>
          <w:p w14:paraId="56583EA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rPr>
              <w:t>化学工程与工艺</w:t>
            </w:r>
          </w:p>
        </w:tc>
        <w:tc>
          <w:tcPr>
            <w:tcW w:w="2110" w:type="dxa"/>
            <w:vAlign w:val="center"/>
          </w:tcPr>
          <w:p w14:paraId="1EFBEE7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cs="Times New Roman"/>
                <w:color w:val="auto"/>
                <w:spacing w:val="-1"/>
                <w:sz w:val="21"/>
                <w:szCs w:val="21"/>
                <w:vertAlign w:val="baseline"/>
                <w:lang w:val="en-US" w:eastAsia="zh-CN"/>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3149CEE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5B591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D35D179">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8</w:t>
            </w:r>
          </w:p>
        </w:tc>
        <w:tc>
          <w:tcPr>
            <w:tcW w:w="1030" w:type="dxa"/>
            <w:shd w:val="clear" w:color="auto" w:fill="auto"/>
            <w:vAlign w:val="center"/>
          </w:tcPr>
          <w:p w14:paraId="67B7E53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en-US" w:bidi="ar-SA"/>
              </w:rPr>
            </w:pPr>
            <w:r>
              <w:rPr>
                <w:rFonts w:hint="default" w:ascii="Times New Roman" w:hAnsi="Times New Roman" w:eastAsia="宋体" w:cs="Times New Roman"/>
                <w:color w:val="auto"/>
                <w:sz w:val="21"/>
                <w:szCs w:val="21"/>
              </w:rPr>
              <w:t>宁昌龙</w:t>
            </w:r>
          </w:p>
        </w:tc>
        <w:tc>
          <w:tcPr>
            <w:tcW w:w="1520" w:type="dxa"/>
            <w:shd w:val="clear" w:color="auto" w:fill="auto"/>
            <w:vAlign w:val="center"/>
          </w:tcPr>
          <w:p w14:paraId="33F7BB7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728447C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en-US" w:bidi="ar-SA"/>
              </w:rPr>
            </w:pPr>
            <w:r>
              <w:rPr>
                <w:rFonts w:hint="default" w:ascii="Times New Roman" w:hAnsi="Times New Roman" w:eastAsia="宋体" w:cs="Times New Roman"/>
                <w:color w:val="auto"/>
                <w:sz w:val="21"/>
                <w:szCs w:val="21"/>
              </w:rPr>
              <w:t>林业工程</w:t>
            </w:r>
          </w:p>
        </w:tc>
        <w:tc>
          <w:tcPr>
            <w:tcW w:w="2110" w:type="dxa"/>
            <w:shd w:val="clear" w:color="auto" w:fill="auto"/>
            <w:vAlign w:val="center"/>
          </w:tcPr>
          <w:p w14:paraId="674FD27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40E8E150">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3D34E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DE09429">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9</w:t>
            </w:r>
          </w:p>
        </w:tc>
        <w:tc>
          <w:tcPr>
            <w:tcW w:w="1030" w:type="dxa"/>
            <w:shd w:val="clear" w:color="auto" w:fill="auto"/>
            <w:vAlign w:val="center"/>
          </w:tcPr>
          <w:p w14:paraId="170E7EA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en-US" w:bidi="ar-SA"/>
              </w:rPr>
            </w:pPr>
            <w:r>
              <w:rPr>
                <w:rFonts w:hint="default" w:ascii="Times New Roman" w:hAnsi="Times New Roman" w:eastAsia="宋体" w:cs="Times New Roman"/>
                <w:color w:val="auto"/>
                <w:sz w:val="21"/>
                <w:szCs w:val="21"/>
              </w:rPr>
              <w:t>黄  雪</w:t>
            </w:r>
          </w:p>
        </w:tc>
        <w:tc>
          <w:tcPr>
            <w:tcW w:w="1520" w:type="dxa"/>
            <w:shd w:val="clear" w:color="auto" w:fill="auto"/>
            <w:vAlign w:val="center"/>
          </w:tcPr>
          <w:p w14:paraId="7276C82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7AD255A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en-US" w:bidi="ar-SA"/>
              </w:rPr>
            </w:pPr>
            <w:r>
              <w:rPr>
                <w:rFonts w:hint="default" w:ascii="Times New Roman" w:hAnsi="Times New Roman" w:eastAsia="宋体" w:cs="Times New Roman"/>
                <w:color w:val="auto"/>
                <w:sz w:val="21"/>
                <w:szCs w:val="21"/>
              </w:rPr>
              <w:t>环境工程</w:t>
            </w:r>
          </w:p>
        </w:tc>
        <w:tc>
          <w:tcPr>
            <w:tcW w:w="2110" w:type="dxa"/>
            <w:shd w:val="clear" w:color="auto" w:fill="auto"/>
            <w:vAlign w:val="center"/>
          </w:tcPr>
          <w:p w14:paraId="40A3D7C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6DEC14A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3CA9D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shd w:val="clear" w:color="auto" w:fill="auto"/>
            <w:vAlign w:val="center"/>
          </w:tcPr>
          <w:p w14:paraId="1FA08B8E">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Times New Roman" w:hAnsi="Times New Roman" w:eastAsia="宋体" w:cs="Times New Roman"/>
                <w:snapToGrid w:val="0"/>
                <w:color w:val="auto"/>
                <w:spacing w:val="-1"/>
                <w:sz w:val="21"/>
                <w:szCs w:val="21"/>
                <w:vertAlign w:val="baseline"/>
                <w:lang w:val="en-US" w:eastAsia="zh-CN" w:bidi="ar-SA"/>
              </w:rPr>
            </w:pPr>
            <w:r>
              <w:rPr>
                <w:rFonts w:hint="eastAsia" w:ascii="Times New Roman" w:hAnsi="Times New Roman" w:cs="Times New Roman"/>
                <w:color w:val="auto"/>
                <w:spacing w:val="-1"/>
                <w:sz w:val="21"/>
                <w:szCs w:val="21"/>
                <w:vertAlign w:val="baseline"/>
                <w:lang w:val="en-US" w:eastAsia="zh-CN"/>
              </w:rPr>
              <w:t>10</w:t>
            </w:r>
          </w:p>
        </w:tc>
        <w:tc>
          <w:tcPr>
            <w:tcW w:w="1030" w:type="dxa"/>
            <w:shd w:val="clear" w:color="auto" w:fill="auto"/>
            <w:vAlign w:val="center"/>
          </w:tcPr>
          <w:p w14:paraId="2CC40BC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en-US" w:bidi="ar-SA"/>
              </w:rPr>
            </w:pPr>
            <w:r>
              <w:rPr>
                <w:rFonts w:hint="default" w:ascii="Times New Roman" w:hAnsi="Times New Roman" w:eastAsia="宋体" w:cs="Times New Roman"/>
                <w:color w:val="auto"/>
                <w:sz w:val="21"/>
                <w:szCs w:val="21"/>
              </w:rPr>
              <w:t>欧国斌</w:t>
            </w:r>
          </w:p>
        </w:tc>
        <w:tc>
          <w:tcPr>
            <w:tcW w:w="1520" w:type="dxa"/>
            <w:shd w:val="clear" w:color="auto" w:fill="auto"/>
            <w:vAlign w:val="center"/>
          </w:tcPr>
          <w:p w14:paraId="40A3813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bidi="ar"/>
              </w:rPr>
              <w:t>助理会计师</w:t>
            </w:r>
          </w:p>
        </w:tc>
        <w:tc>
          <w:tcPr>
            <w:tcW w:w="1780" w:type="dxa"/>
            <w:shd w:val="clear" w:color="auto" w:fill="auto"/>
            <w:vAlign w:val="center"/>
          </w:tcPr>
          <w:p w14:paraId="2A97AB0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en-US" w:bidi="ar-SA"/>
              </w:rPr>
            </w:pPr>
            <w:r>
              <w:rPr>
                <w:rFonts w:hint="default" w:ascii="Times New Roman" w:hAnsi="Times New Roman" w:eastAsia="宋体" w:cs="Times New Roman"/>
                <w:color w:val="auto"/>
                <w:sz w:val="21"/>
                <w:szCs w:val="21"/>
              </w:rPr>
              <w:t>林业工程</w:t>
            </w:r>
          </w:p>
        </w:tc>
        <w:tc>
          <w:tcPr>
            <w:tcW w:w="2110" w:type="dxa"/>
            <w:shd w:val="clear" w:color="auto" w:fill="auto"/>
            <w:vAlign w:val="center"/>
          </w:tcPr>
          <w:p w14:paraId="7DA170A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2DDFBBF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7C049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shd w:val="clear" w:color="auto" w:fill="auto"/>
            <w:vAlign w:val="center"/>
          </w:tcPr>
          <w:p w14:paraId="66E3EBCB">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eastAsia="宋体" w:cs="Times New Roman"/>
                <w:snapToGrid w:val="0"/>
                <w:color w:val="auto"/>
                <w:spacing w:val="-1"/>
                <w:sz w:val="21"/>
                <w:szCs w:val="21"/>
                <w:vertAlign w:val="baseline"/>
                <w:lang w:val="en-US" w:eastAsia="zh-CN" w:bidi="ar-SA"/>
              </w:rPr>
            </w:pPr>
            <w:r>
              <w:rPr>
                <w:rFonts w:hint="eastAsia" w:ascii="Times New Roman" w:hAnsi="Times New Roman" w:cs="Times New Roman"/>
                <w:color w:val="auto"/>
                <w:spacing w:val="-1"/>
                <w:sz w:val="21"/>
                <w:szCs w:val="21"/>
                <w:vertAlign w:val="baseline"/>
                <w:lang w:val="en-US" w:eastAsia="zh-CN"/>
              </w:rPr>
              <w:t>11</w:t>
            </w:r>
          </w:p>
        </w:tc>
        <w:tc>
          <w:tcPr>
            <w:tcW w:w="1030" w:type="dxa"/>
            <w:shd w:val="clear" w:color="auto" w:fill="auto"/>
            <w:vAlign w:val="center"/>
          </w:tcPr>
          <w:p w14:paraId="08538D2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谢持正</w:t>
            </w:r>
          </w:p>
        </w:tc>
        <w:tc>
          <w:tcPr>
            <w:tcW w:w="1520" w:type="dxa"/>
            <w:shd w:val="clear" w:color="auto" w:fill="auto"/>
            <w:vAlign w:val="center"/>
          </w:tcPr>
          <w:p w14:paraId="156AEA3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bidi="ar"/>
              </w:rPr>
              <w:t>助理工程师</w:t>
            </w:r>
          </w:p>
        </w:tc>
        <w:tc>
          <w:tcPr>
            <w:tcW w:w="1780" w:type="dxa"/>
            <w:shd w:val="clear" w:color="auto" w:fill="auto"/>
            <w:vAlign w:val="center"/>
          </w:tcPr>
          <w:p w14:paraId="4B3B621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林业工程</w:t>
            </w:r>
          </w:p>
        </w:tc>
        <w:tc>
          <w:tcPr>
            <w:tcW w:w="2110" w:type="dxa"/>
            <w:shd w:val="clear" w:color="auto" w:fill="auto"/>
            <w:vAlign w:val="center"/>
          </w:tcPr>
          <w:p w14:paraId="702E961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6EEC8FB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60D5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shd w:val="clear" w:color="auto" w:fill="auto"/>
            <w:vAlign w:val="center"/>
          </w:tcPr>
          <w:p w14:paraId="3216CF9A">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eastAsia="宋体" w:cs="Times New Roman"/>
                <w:snapToGrid w:val="0"/>
                <w:color w:val="auto"/>
                <w:spacing w:val="-1"/>
                <w:sz w:val="21"/>
                <w:szCs w:val="21"/>
                <w:vertAlign w:val="baseline"/>
                <w:lang w:val="en-US" w:eastAsia="zh-CN" w:bidi="ar-SA"/>
              </w:rPr>
            </w:pPr>
            <w:r>
              <w:rPr>
                <w:rFonts w:hint="eastAsia" w:ascii="Times New Roman" w:hAnsi="Times New Roman" w:cs="Times New Roman"/>
                <w:color w:val="auto"/>
                <w:spacing w:val="-1"/>
                <w:sz w:val="21"/>
                <w:szCs w:val="21"/>
                <w:vertAlign w:val="baseline"/>
                <w:lang w:val="en-US" w:eastAsia="zh-CN"/>
              </w:rPr>
              <w:t>12</w:t>
            </w:r>
          </w:p>
        </w:tc>
        <w:tc>
          <w:tcPr>
            <w:tcW w:w="1030" w:type="dxa"/>
            <w:shd w:val="clear" w:color="auto" w:fill="auto"/>
            <w:vAlign w:val="center"/>
          </w:tcPr>
          <w:p w14:paraId="31CBC36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高小然</w:t>
            </w:r>
          </w:p>
        </w:tc>
        <w:tc>
          <w:tcPr>
            <w:tcW w:w="1520" w:type="dxa"/>
            <w:shd w:val="clear" w:color="auto" w:fill="auto"/>
            <w:vAlign w:val="center"/>
          </w:tcPr>
          <w:p w14:paraId="570D807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4079F89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轻化工程</w:t>
            </w:r>
          </w:p>
        </w:tc>
        <w:tc>
          <w:tcPr>
            <w:tcW w:w="2110" w:type="dxa"/>
            <w:shd w:val="clear" w:color="auto" w:fill="auto"/>
            <w:vAlign w:val="center"/>
          </w:tcPr>
          <w:p w14:paraId="0F09C9F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3DA9BF29">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2B87F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shd w:val="clear" w:color="auto" w:fill="auto"/>
            <w:vAlign w:val="center"/>
          </w:tcPr>
          <w:p w14:paraId="4C8FFEF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eastAsia="宋体" w:cs="Times New Roman"/>
                <w:snapToGrid w:val="0"/>
                <w:color w:val="auto"/>
                <w:spacing w:val="-1"/>
                <w:sz w:val="21"/>
                <w:szCs w:val="21"/>
                <w:vertAlign w:val="baseline"/>
                <w:lang w:val="en-US" w:eastAsia="zh-CN" w:bidi="ar-SA"/>
              </w:rPr>
            </w:pPr>
            <w:r>
              <w:rPr>
                <w:rFonts w:hint="eastAsia" w:ascii="Times New Roman" w:hAnsi="Times New Roman" w:cs="Times New Roman"/>
                <w:color w:val="auto"/>
                <w:spacing w:val="-1"/>
                <w:sz w:val="21"/>
                <w:szCs w:val="21"/>
                <w:vertAlign w:val="baseline"/>
                <w:lang w:val="en-US" w:eastAsia="zh-CN"/>
              </w:rPr>
              <w:t>13</w:t>
            </w:r>
          </w:p>
        </w:tc>
        <w:tc>
          <w:tcPr>
            <w:tcW w:w="1030" w:type="dxa"/>
            <w:shd w:val="clear" w:color="auto" w:fill="auto"/>
            <w:vAlign w:val="center"/>
          </w:tcPr>
          <w:p w14:paraId="0DC1B20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石雪婷</w:t>
            </w:r>
          </w:p>
        </w:tc>
        <w:tc>
          <w:tcPr>
            <w:tcW w:w="1520" w:type="dxa"/>
            <w:shd w:val="clear" w:color="auto" w:fill="auto"/>
            <w:vAlign w:val="center"/>
          </w:tcPr>
          <w:p w14:paraId="0435055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5C728A4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应用化学</w:t>
            </w:r>
          </w:p>
        </w:tc>
        <w:tc>
          <w:tcPr>
            <w:tcW w:w="2110" w:type="dxa"/>
            <w:shd w:val="clear" w:color="auto" w:fill="auto"/>
            <w:vAlign w:val="center"/>
          </w:tcPr>
          <w:p w14:paraId="358574D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2F790FF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00BB0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shd w:val="clear" w:color="auto" w:fill="auto"/>
            <w:vAlign w:val="center"/>
          </w:tcPr>
          <w:p w14:paraId="544EF165">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eastAsia="宋体" w:cs="Times New Roman"/>
                <w:snapToGrid w:val="0"/>
                <w:color w:val="auto"/>
                <w:spacing w:val="-1"/>
                <w:sz w:val="21"/>
                <w:szCs w:val="21"/>
                <w:vertAlign w:val="baseline"/>
                <w:lang w:val="en-US" w:eastAsia="zh-CN" w:bidi="ar-SA"/>
              </w:rPr>
            </w:pPr>
            <w:r>
              <w:rPr>
                <w:rFonts w:hint="eastAsia" w:ascii="Times New Roman" w:hAnsi="Times New Roman" w:cs="Times New Roman"/>
                <w:color w:val="auto"/>
                <w:spacing w:val="-1"/>
                <w:sz w:val="21"/>
                <w:szCs w:val="21"/>
                <w:vertAlign w:val="baseline"/>
                <w:lang w:val="en-US" w:eastAsia="zh-CN"/>
              </w:rPr>
              <w:t>14</w:t>
            </w:r>
          </w:p>
        </w:tc>
        <w:tc>
          <w:tcPr>
            <w:tcW w:w="1030" w:type="dxa"/>
            <w:shd w:val="clear" w:color="auto" w:fill="auto"/>
            <w:vAlign w:val="center"/>
          </w:tcPr>
          <w:p w14:paraId="4E635A3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李明德</w:t>
            </w:r>
          </w:p>
        </w:tc>
        <w:tc>
          <w:tcPr>
            <w:tcW w:w="1520" w:type="dxa"/>
            <w:shd w:val="clear" w:color="auto" w:fill="auto"/>
            <w:vAlign w:val="center"/>
          </w:tcPr>
          <w:p w14:paraId="30339EA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68D1C03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应用化学</w:t>
            </w:r>
          </w:p>
        </w:tc>
        <w:tc>
          <w:tcPr>
            <w:tcW w:w="2110" w:type="dxa"/>
            <w:shd w:val="clear" w:color="auto" w:fill="auto"/>
            <w:vAlign w:val="center"/>
          </w:tcPr>
          <w:p w14:paraId="6EC9BCD5">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1D541E97">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0E266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5C724764">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15</w:t>
            </w:r>
          </w:p>
        </w:tc>
        <w:tc>
          <w:tcPr>
            <w:tcW w:w="1030" w:type="dxa"/>
            <w:shd w:val="clear" w:color="auto" w:fill="auto"/>
            <w:vAlign w:val="center"/>
          </w:tcPr>
          <w:p w14:paraId="37B03DB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何正锋</w:t>
            </w:r>
          </w:p>
        </w:tc>
        <w:tc>
          <w:tcPr>
            <w:tcW w:w="1520" w:type="dxa"/>
            <w:shd w:val="clear" w:color="auto" w:fill="auto"/>
            <w:vAlign w:val="center"/>
          </w:tcPr>
          <w:p w14:paraId="3C41737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高级工程师</w:t>
            </w:r>
          </w:p>
        </w:tc>
        <w:tc>
          <w:tcPr>
            <w:tcW w:w="1780" w:type="dxa"/>
            <w:shd w:val="clear" w:color="auto" w:fill="auto"/>
            <w:vAlign w:val="center"/>
          </w:tcPr>
          <w:p w14:paraId="42D0C7F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林业工程</w:t>
            </w:r>
          </w:p>
        </w:tc>
        <w:tc>
          <w:tcPr>
            <w:tcW w:w="2110" w:type="dxa"/>
            <w:shd w:val="clear" w:color="auto" w:fill="auto"/>
            <w:vAlign w:val="center"/>
          </w:tcPr>
          <w:p w14:paraId="7DFD4B7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17013C4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1F3C4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146D2985">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16</w:t>
            </w:r>
          </w:p>
        </w:tc>
        <w:tc>
          <w:tcPr>
            <w:tcW w:w="1030" w:type="dxa"/>
            <w:shd w:val="clear" w:color="auto" w:fill="auto"/>
            <w:vAlign w:val="center"/>
          </w:tcPr>
          <w:p w14:paraId="43D3A4DE">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黄肖尼</w:t>
            </w:r>
          </w:p>
        </w:tc>
        <w:tc>
          <w:tcPr>
            <w:tcW w:w="1520" w:type="dxa"/>
            <w:shd w:val="clear" w:color="auto" w:fill="auto"/>
            <w:vAlign w:val="center"/>
          </w:tcPr>
          <w:p w14:paraId="73204AF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62E53BA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林业工程</w:t>
            </w:r>
          </w:p>
        </w:tc>
        <w:tc>
          <w:tcPr>
            <w:tcW w:w="2110" w:type="dxa"/>
            <w:shd w:val="clear" w:color="auto" w:fill="auto"/>
            <w:vAlign w:val="center"/>
          </w:tcPr>
          <w:p w14:paraId="2F37276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707F923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1454C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55E84132">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17</w:t>
            </w:r>
          </w:p>
        </w:tc>
        <w:tc>
          <w:tcPr>
            <w:tcW w:w="1030" w:type="dxa"/>
            <w:shd w:val="clear" w:color="auto" w:fill="auto"/>
            <w:vAlign w:val="center"/>
          </w:tcPr>
          <w:p w14:paraId="06073BF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傅 立</w:t>
            </w:r>
          </w:p>
        </w:tc>
        <w:tc>
          <w:tcPr>
            <w:tcW w:w="1520" w:type="dxa"/>
            <w:shd w:val="clear" w:color="auto" w:fill="auto"/>
            <w:vAlign w:val="center"/>
          </w:tcPr>
          <w:p w14:paraId="0C30840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高级工程师</w:t>
            </w:r>
          </w:p>
        </w:tc>
        <w:tc>
          <w:tcPr>
            <w:tcW w:w="1780" w:type="dxa"/>
            <w:shd w:val="clear" w:color="auto" w:fill="auto"/>
            <w:vAlign w:val="center"/>
          </w:tcPr>
          <w:p w14:paraId="1B5310A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应用化学</w:t>
            </w:r>
          </w:p>
        </w:tc>
        <w:tc>
          <w:tcPr>
            <w:tcW w:w="2110" w:type="dxa"/>
            <w:shd w:val="clear" w:color="auto" w:fill="auto"/>
            <w:vAlign w:val="center"/>
          </w:tcPr>
          <w:p w14:paraId="1E8CDB6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62475C8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313E6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6373439">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18</w:t>
            </w:r>
          </w:p>
        </w:tc>
        <w:tc>
          <w:tcPr>
            <w:tcW w:w="1030" w:type="dxa"/>
            <w:shd w:val="clear" w:color="auto" w:fill="auto"/>
            <w:vAlign w:val="center"/>
          </w:tcPr>
          <w:p w14:paraId="5D4C935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农 诚</w:t>
            </w:r>
          </w:p>
        </w:tc>
        <w:tc>
          <w:tcPr>
            <w:tcW w:w="1520" w:type="dxa"/>
            <w:shd w:val="clear" w:color="auto" w:fill="auto"/>
            <w:vAlign w:val="center"/>
          </w:tcPr>
          <w:p w14:paraId="5E9EC2F9">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工程师</w:t>
            </w:r>
          </w:p>
        </w:tc>
        <w:tc>
          <w:tcPr>
            <w:tcW w:w="1780" w:type="dxa"/>
            <w:shd w:val="clear" w:color="auto" w:fill="auto"/>
            <w:vAlign w:val="center"/>
          </w:tcPr>
          <w:p w14:paraId="2199870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纺织工程</w:t>
            </w:r>
          </w:p>
        </w:tc>
        <w:tc>
          <w:tcPr>
            <w:tcW w:w="2110" w:type="dxa"/>
            <w:shd w:val="clear" w:color="auto" w:fill="auto"/>
            <w:vAlign w:val="center"/>
          </w:tcPr>
          <w:p w14:paraId="06C6894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3F7394C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38FC6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40BEB947">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19</w:t>
            </w:r>
          </w:p>
        </w:tc>
        <w:tc>
          <w:tcPr>
            <w:tcW w:w="1030" w:type="dxa"/>
            <w:shd w:val="clear" w:color="auto" w:fill="auto"/>
            <w:vAlign w:val="center"/>
          </w:tcPr>
          <w:p w14:paraId="1A56783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陆  勇</w:t>
            </w:r>
          </w:p>
        </w:tc>
        <w:tc>
          <w:tcPr>
            <w:tcW w:w="1520" w:type="dxa"/>
            <w:shd w:val="clear" w:color="auto" w:fill="auto"/>
            <w:vAlign w:val="center"/>
          </w:tcPr>
          <w:p w14:paraId="1982CBE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技术员</w:t>
            </w:r>
          </w:p>
        </w:tc>
        <w:tc>
          <w:tcPr>
            <w:tcW w:w="1780" w:type="dxa"/>
            <w:shd w:val="clear" w:color="auto" w:fill="auto"/>
            <w:vAlign w:val="center"/>
          </w:tcPr>
          <w:p w14:paraId="7387E79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林业工程</w:t>
            </w:r>
          </w:p>
        </w:tc>
        <w:tc>
          <w:tcPr>
            <w:tcW w:w="2110" w:type="dxa"/>
            <w:shd w:val="clear" w:color="auto" w:fill="auto"/>
            <w:vAlign w:val="center"/>
          </w:tcPr>
          <w:p w14:paraId="67EC9E57">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广西国控林业投资股份有限公司</w:t>
            </w:r>
          </w:p>
        </w:tc>
        <w:tc>
          <w:tcPr>
            <w:tcW w:w="1333" w:type="dxa"/>
            <w:shd w:val="clear" w:color="auto" w:fill="auto"/>
            <w:vAlign w:val="center"/>
          </w:tcPr>
          <w:p w14:paraId="27BD5843">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0555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5234A635">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20</w:t>
            </w:r>
          </w:p>
        </w:tc>
        <w:tc>
          <w:tcPr>
            <w:tcW w:w="1030" w:type="dxa"/>
            <w:shd w:val="clear" w:color="auto" w:fill="auto"/>
            <w:vAlign w:val="center"/>
          </w:tcPr>
          <w:p w14:paraId="6C527D9A">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林海滨</w:t>
            </w:r>
          </w:p>
        </w:tc>
        <w:tc>
          <w:tcPr>
            <w:tcW w:w="1520" w:type="dxa"/>
            <w:shd w:val="clear" w:color="auto" w:fill="auto"/>
            <w:vAlign w:val="center"/>
          </w:tcPr>
          <w:p w14:paraId="43A22CCB">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高级工程师</w:t>
            </w:r>
          </w:p>
        </w:tc>
        <w:tc>
          <w:tcPr>
            <w:tcW w:w="1780" w:type="dxa"/>
            <w:shd w:val="clear" w:color="auto" w:fill="auto"/>
            <w:vAlign w:val="center"/>
          </w:tcPr>
          <w:p w14:paraId="3651296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食品科学与工程</w:t>
            </w:r>
          </w:p>
        </w:tc>
        <w:tc>
          <w:tcPr>
            <w:tcW w:w="2110" w:type="dxa"/>
            <w:shd w:val="clear" w:color="auto" w:fill="auto"/>
            <w:vAlign w:val="center"/>
          </w:tcPr>
          <w:p w14:paraId="0DC782BD">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107692E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4B193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0E96A68B">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21</w:t>
            </w:r>
          </w:p>
        </w:tc>
        <w:tc>
          <w:tcPr>
            <w:tcW w:w="1030" w:type="dxa"/>
            <w:shd w:val="clear" w:color="auto" w:fill="auto"/>
            <w:vAlign w:val="center"/>
          </w:tcPr>
          <w:p w14:paraId="10D272A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蓝启星</w:t>
            </w:r>
          </w:p>
        </w:tc>
        <w:tc>
          <w:tcPr>
            <w:tcW w:w="1520" w:type="dxa"/>
            <w:shd w:val="clear" w:color="auto" w:fill="auto"/>
            <w:vAlign w:val="center"/>
          </w:tcPr>
          <w:p w14:paraId="18F974E0">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高级工程师</w:t>
            </w:r>
          </w:p>
        </w:tc>
        <w:tc>
          <w:tcPr>
            <w:tcW w:w="1780" w:type="dxa"/>
            <w:shd w:val="clear" w:color="auto" w:fill="auto"/>
            <w:vAlign w:val="center"/>
          </w:tcPr>
          <w:p w14:paraId="06E158E3">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制浆造纸工程</w:t>
            </w:r>
          </w:p>
        </w:tc>
        <w:tc>
          <w:tcPr>
            <w:tcW w:w="2110" w:type="dxa"/>
            <w:shd w:val="clear" w:color="auto" w:fill="auto"/>
            <w:vAlign w:val="center"/>
          </w:tcPr>
          <w:p w14:paraId="5FD916D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top"/>
          </w:tcPr>
          <w:p w14:paraId="279C8D42">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7A868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4C9F7142">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22</w:t>
            </w:r>
          </w:p>
        </w:tc>
        <w:tc>
          <w:tcPr>
            <w:tcW w:w="1030" w:type="dxa"/>
            <w:shd w:val="clear" w:color="auto" w:fill="auto"/>
            <w:vAlign w:val="center"/>
          </w:tcPr>
          <w:p w14:paraId="05117656">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罗长美</w:t>
            </w:r>
          </w:p>
        </w:tc>
        <w:tc>
          <w:tcPr>
            <w:tcW w:w="1520" w:type="dxa"/>
            <w:shd w:val="clear" w:color="auto" w:fill="auto"/>
            <w:vAlign w:val="center"/>
          </w:tcPr>
          <w:p w14:paraId="37EE9C98">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textAlignment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助理工程师</w:t>
            </w:r>
          </w:p>
        </w:tc>
        <w:tc>
          <w:tcPr>
            <w:tcW w:w="1780" w:type="dxa"/>
            <w:shd w:val="clear" w:color="auto" w:fill="auto"/>
            <w:vAlign w:val="center"/>
          </w:tcPr>
          <w:p w14:paraId="249CEDF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食品加工与安全</w:t>
            </w:r>
          </w:p>
        </w:tc>
        <w:tc>
          <w:tcPr>
            <w:tcW w:w="2110" w:type="dxa"/>
            <w:shd w:val="clear" w:color="auto" w:fill="auto"/>
            <w:vAlign w:val="center"/>
          </w:tcPr>
          <w:p w14:paraId="78AE7222">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6FB48D0C">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2DF02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4" w:type="dxa"/>
            <w:vAlign w:val="center"/>
          </w:tcPr>
          <w:p w14:paraId="6A2067D6">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default" w:ascii="Times New Roman" w:hAnsi="Times New Roman" w:cs="Times New Roman"/>
                <w:color w:val="auto"/>
                <w:spacing w:val="-1"/>
                <w:sz w:val="21"/>
                <w:szCs w:val="21"/>
                <w:vertAlign w:val="baseline"/>
                <w:lang w:val="en-US" w:eastAsia="zh-CN"/>
              </w:rPr>
            </w:pPr>
            <w:r>
              <w:rPr>
                <w:rFonts w:hint="eastAsia" w:ascii="Times New Roman" w:hAnsi="Times New Roman" w:cs="Times New Roman"/>
                <w:color w:val="auto"/>
                <w:spacing w:val="-1"/>
                <w:sz w:val="21"/>
                <w:szCs w:val="21"/>
                <w:vertAlign w:val="baseline"/>
                <w:lang w:val="en-US" w:eastAsia="zh-CN"/>
              </w:rPr>
              <w:t>23</w:t>
            </w:r>
          </w:p>
        </w:tc>
        <w:tc>
          <w:tcPr>
            <w:tcW w:w="1030" w:type="dxa"/>
            <w:shd w:val="clear" w:color="auto" w:fill="auto"/>
            <w:vAlign w:val="center"/>
          </w:tcPr>
          <w:p w14:paraId="51EA8981">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梁钊榕</w:t>
            </w:r>
          </w:p>
        </w:tc>
        <w:tc>
          <w:tcPr>
            <w:tcW w:w="1520" w:type="dxa"/>
            <w:shd w:val="clear" w:color="auto" w:fill="auto"/>
            <w:vAlign w:val="center"/>
          </w:tcPr>
          <w:p w14:paraId="258A7A4C">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助理工程师</w:t>
            </w:r>
          </w:p>
        </w:tc>
        <w:tc>
          <w:tcPr>
            <w:tcW w:w="1780" w:type="dxa"/>
            <w:shd w:val="clear" w:color="auto" w:fill="auto"/>
            <w:vAlign w:val="center"/>
          </w:tcPr>
          <w:p w14:paraId="63D70214">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rPr>
              <w:t>食品加工与安全</w:t>
            </w:r>
          </w:p>
        </w:tc>
        <w:tc>
          <w:tcPr>
            <w:tcW w:w="2110" w:type="dxa"/>
            <w:shd w:val="clear" w:color="auto" w:fill="auto"/>
            <w:vAlign w:val="center"/>
          </w:tcPr>
          <w:p w14:paraId="261B5C3F">
            <w:pPr>
              <w:keepNext w:val="0"/>
              <w:keepLines w:val="0"/>
              <w:pageBreakBefore w:val="0"/>
              <w:widowControl/>
              <w:kinsoku w:val="0"/>
              <w:wordWrap/>
              <w:overflowPunct/>
              <w:topLinePunct w:val="0"/>
              <w:autoSpaceDE w:val="0"/>
              <w:autoSpaceDN w:val="0"/>
              <w:bidi w:val="0"/>
              <w:adjustRightInd w:val="0"/>
              <w:snapToGrid w:val="0"/>
              <w:spacing w:line="240" w:lineRule="auto"/>
              <w:ind w:left="0" w:leftChars="0" w:right="0" w:rightChars="0"/>
              <w:jc w:val="center"/>
              <w:rPr>
                <w:rFonts w:hint="default" w:ascii="Times New Roman" w:hAnsi="Times New Roman" w:eastAsia="宋体" w:cs="Times New Roman"/>
                <w:snapToGrid w:val="0"/>
                <w:color w:val="auto"/>
                <w:sz w:val="21"/>
                <w:szCs w:val="21"/>
                <w:lang w:val="en-US" w:eastAsia="zh-CN" w:bidi="ar-SA"/>
              </w:rPr>
            </w:pPr>
            <w:r>
              <w:rPr>
                <w:rFonts w:hint="default" w:ascii="Times New Roman" w:hAnsi="Times New Roman" w:eastAsia="宋体" w:cs="Times New Roman"/>
                <w:color w:val="auto"/>
                <w:sz w:val="21"/>
                <w:szCs w:val="21"/>
                <w:lang w:eastAsia="zh-CN"/>
              </w:rPr>
              <w:t>广西壮族自治区新材料技术工程院</w:t>
            </w:r>
          </w:p>
        </w:tc>
        <w:tc>
          <w:tcPr>
            <w:tcW w:w="1333" w:type="dxa"/>
            <w:shd w:val="clear" w:color="auto" w:fill="auto"/>
            <w:vAlign w:val="center"/>
          </w:tcPr>
          <w:p w14:paraId="44AD1168">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bl>
    <w:p w14:paraId="63612AF2">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jc w:val="both"/>
        <w:textAlignment w:val="baseline"/>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eastAsia="zh-CN"/>
        </w:rPr>
        <w:t>项目背景及目的、意义</w:t>
      </w:r>
    </w:p>
    <w:p w14:paraId="777D5E6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近年来，在国家林业和草原局的大力支持下，广西坚决落实中央关于保障国家粮食安全、加快油茶产业发展的决策部署，积极实施加快油茶产业发展三年行动，努力实现油茶产业“千万亩面积、千亿元产值”的工作目标，油茶种植面积不断扩大，产业发展水平不断提高。合理规范的油茶籽贮藏和运输方式能够给油茶深加工企业提供品质高且稳定的油茶籽原料。制订油茶籽贮运相关的标准规范化油茶籽贮运环节，对于油茶产业的持续性发展有重要意义。</w:t>
      </w:r>
    </w:p>
    <w:p w14:paraId="7AA609C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480" w:firstLineChars="200"/>
        <w:jc w:val="both"/>
        <w:textAlignment w:val="baseline"/>
        <w:rPr>
          <w:rFonts w:hint="eastAsia" w:ascii="宋体" w:hAnsi="宋体" w:eastAsia="宋体" w:cs="宋体"/>
          <w:color w:val="auto"/>
          <w:sz w:val="24"/>
          <w:szCs w:val="24"/>
          <w:lang w:eastAsia="zh-CN"/>
        </w:rPr>
      </w:pPr>
      <w:bookmarkStart w:id="0" w:name="_Hlk155283565"/>
      <w:r>
        <w:rPr>
          <w:rFonts w:hint="eastAsia" w:ascii="宋体" w:hAnsi="宋体" w:eastAsia="宋体" w:cs="宋体"/>
          <w:color w:val="auto"/>
          <w:sz w:val="24"/>
          <w:szCs w:val="24"/>
          <w:lang w:eastAsia="zh-CN"/>
        </w:rPr>
        <w:t>油茶籽含油率一般为23%以上，优质油茶籽含油量32%以上，高含油率导致油茶籽在常温下保质期短，贮藏过程中油茶籽所含油脂易氧化，油茶籽品质下降。油茶籽贮藏保质期影响油茶籽加工企业生产连续性，直接影响企业的经济效益。油茶籽的贮藏条件均对油茶籽品质产生显著影响，油茶籽原料品质的好坏直接影响后续深加工产品的品质。合适的冷藏条件既能延长油茶籽的保存时间又能保证其品质的稳定性，有利于油茶深加工企业连续性规模化生产。</w:t>
      </w:r>
    </w:p>
    <w:p w14:paraId="7A445B1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运输也是油茶产业链重要环节之一，对经冷藏的油茶籽运输过程进行规范化管理，有利于实现油茶产业链的整体可溯源性。</w:t>
      </w:r>
    </w:p>
    <w:bookmarkEnd w:id="0"/>
    <w:p w14:paraId="288C031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480" w:firstLineChars="200"/>
        <w:jc w:val="both"/>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自治区林业局、自治区发展改革委、自治区财政厅于2023年2月联合印发《广西加快油茶产业发展三年行动方案（2023—2025年）》，明确广西未来三年油茶产业发展目标。在中央整体政策持续细化油茶产业发展趋势背景下，地方政策和补贴等持续完善，预计我省油茶产业规模将在未来三年加速扩张。随着种植业规模不断扩大，油茶籽产量迅速增加。在注重食用和使用安全性的时代，油茶籽贮藏运输环节必须要与油茶籽产量增幅相匹配。制订一份与实际情况相符、具有可溯源性、可操作性高的贮运管理规范，对于形成完整的油茶产业链十分必要且紧迫。</w:t>
      </w:r>
    </w:p>
    <w:p w14:paraId="7EB0B217">
      <w:pPr>
        <w:keepNext w:val="0"/>
        <w:keepLines w:val="0"/>
        <w:pageBreakBefore w:val="0"/>
        <w:widowControl/>
        <w:numPr>
          <w:ilvl w:val="0"/>
          <w:numId w:val="0"/>
        </w:numPr>
        <w:wordWrap/>
        <w:overflowPunct/>
        <w:topLinePunct w:val="0"/>
        <w:bidi w:val="0"/>
        <w:spacing w:line="400" w:lineRule="exact"/>
        <w:ind w:right="0" w:rightChars="0"/>
        <w:jc w:val="both"/>
        <w:rPr>
          <w:rFonts w:hint="default" w:ascii="Times New Roman" w:hAnsi="Times New Roman" w:eastAsia="宋体" w:cs="Times New Roman"/>
          <w:b/>
          <w:bCs/>
          <w:color w:val="auto"/>
          <w:sz w:val="24"/>
          <w:szCs w:val="24"/>
          <w:lang w:eastAsia="zh-CN"/>
        </w:rPr>
      </w:pPr>
      <w:r>
        <w:rPr>
          <w:rFonts w:hint="eastAsia" w:ascii="Times New Roman" w:hAnsi="Times New Roman" w:eastAsia="宋体" w:cs="Times New Roman"/>
          <w:b/>
          <w:bCs/>
          <w:color w:val="auto"/>
          <w:sz w:val="24"/>
          <w:szCs w:val="24"/>
          <w:lang w:val="en-US" w:eastAsia="zh-CN"/>
        </w:rPr>
        <w:t>三、</w:t>
      </w:r>
      <w:r>
        <w:rPr>
          <w:rFonts w:hint="default" w:ascii="Times New Roman" w:hAnsi="Times New Roman" w:eastAsia="宋体" w:cs="Times New Roman"/>
          <w:b/>
          <w:bCs/>
          <w:color w:val="auto"/>
          <w:sz w:val="24"/>
          <w:szCs w:val="24"/>
          <w:lang w:eastAsia="zh-CN"/>
        </w:rPr>
        <w:t>项目编制过程</w:t>
      </w:r>
    </w:p>
    <w:p w14:paraId="10890B6A">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0" w:rightChars="0" w:firstLine="0" w:firstLineChars="0"/>
        <w:jc w:val="both"/>
        <w:textAlignment w:val="baseline"/>
        <w:rPr>
          <w:rFonts w:hint="default"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val="en-US" w:eastAsia="zh-CN"/>
        </w:rPr>
        <w:t xml:space="preserve">1. </w:t>
      </w:r>
      <w:r>
        <w:rPr>
          <w:rFonts w:hint="default" w:ascii="Times New Roman" w:hAnsi="Times New Roman" w:eastAsia="宋体" w:cs="Times New Roman"/>
          <w:color w:val="auto"/>
          <w:sz w:val="24"/>
          <w:szCs w:val="24"/>
          <w:lang w:eastAsia="zh-CN"/>
        </w:rPr>
        <w:t>成立标准编制工作组</w:t>
      </w:r>
    </w:p>
    <w:p w14:paraId="66041D48">
      <w:pPr>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团体标准《油茶籽贮运管理规范》项目任务</w:t>
      </w:r>
      <w:r>
        <w:rPr>
          <w:rFonts w:hint="default" w:ascii="Times New Roman" w:hAnsi="Times New Roman" w:eastAsia="宋体" w:cs="Times New Roman"/>
          <w:color w:val="auto"/>
          <w:spacing w:val="-3"/>
          <w:sz w:val="24"/>
          <w:szCs w:val="24"/>
          <w:lang w:eastAsia="zh-CN"/>
        </w:rPr>
        <w:t>下达后，</w:t>
      </w:r>
      <w:r>
        <w:rPr>
          <w:rFonts w:hint="default" w:ascii="Times New Roman" w:hAnsi="Times New Roman" w:eastAsia="宋体" w:cs="Times New Roman"/>
          <w:color w:val="auto"/>
          <w:sz w:val="24"/>
          <w:szCs w:val="24"/>
          <w:lang w:eastAsia="zh-CN"/>
        </w:rPr>
        <w:t>广西国控林业投资股份有限公司、广西壮族自治区新材料技术工程院、广西平果市海同仓储有限责任公司、广西百色市国控林业有限责任公司、广西力源宝科技有限公司</w:t>
      </w:r>
      <w:r>
        <w:rPr>
          <w:rFonts w:hint="eastAsia" w:ascii="Times New Roman" w:hAnsi="Times New Roman" w:eastAsia="宋体" w:cs="Times New Roman"/>
          <w:color w:val="auto"/>
          <w:sz w:val="24"/>
          <w:szCs w:val="24"/>
          <w:lang w:val="en-US" w:eastAsia="zh-CN"/>
        </w:rPr>
        <w:t>成立</w:t>
      </w:r>
      <w:r>
        <w:rPr>
          <w:rFonts w:hint="default" w:ascii="Times New Roman" w:hAnsi="Times New Roman" w:eastAsia="宋体" w:cs="Times New Roman"/>
          <w:color w:val="auto"/>
          <w:sz w:val="24"/>
          <w:szCs w:val="24"/>
          <w:lang w:eastAsia="zh-CN"/>
        </w:rPr>
        <w:t>标准编制组</w:t>
      </w:r>
      <w:r>
        <w:rPr>
          <w:rFonts w:hint="default" w:ascii="Times New Roman" w:hAnsi="Times New Roman" w:eastAsia="宋体" w:cs="Times New Roman"/>
          <w:color w:val="auto"/>
          <w:spacing w:val="4"/>
          <w:sz w:val="24"/>
          <w:szCs w:val="24"/>
          <w:lang w:eastAsia="zh-CN"/>
        </w:rPr>
        <w:t>，</w:t>
      </w:r>
      <w:r>
        <w:rPr>
          <w:rFonts w:hint="eastAsia" w:ascii="Times New Roman" w:hAnsi="Times New Roman" w:eastAsia="宋体" w:cs="Times New Roman"/>
          <w:color w:val="auto"/>
          <w:sz w:val="24"/>
          <w:szCs w:val="24"/>
          <w:lang w:eastAsia="zh-CN"/>
        </w:rPr>
        <w:t>制订</w:t>
      </w:r>
      <w:r>
        <w:rPr>
          <w:rFonts w:hint="default" w:ascii="Times New Roman" w:hAnsi="Times New Roman" w:eastAsia="宋体" w:cs="Times New Roman"/>
          <w:color w:val="auto"/>
          <w:spacing w:val="-3"/>
          <w:sz w:val="24"/>
          <w:szCs w:val="24"/>
          <w:lang w:eastAsia="zh-CN"/>
        </w:rPr>
        <w:t>了标准编制方案， 明确任务职责，确定工作</w:t>
      </w:r>
      <w:r>
        <w:rPr>
          <w:rFonts w:hint="default" w:ascii="Times New Roman" w:hAnsi="Times New Roman" w:eastAsia="宋体" w:cs="Times New Roman"/>
          <w:color w:val="auto"/>
          <w:spacing w:val="-8"/>
          <w:sz w:val="24"/>
          <w:szCs w:val="24"/>
          <w:lang w:eastAsia="zh-CN"/>
        </w:rPr>
        <w:t>技术路线，</w:t>
      </w:r>
      <w:r>
        <w:rPr>
          <w:rFonts w:hint="default" w:ascii="Times New Roman" w:hAnsi="Times New Roman" w:eastAsia="宋体" w:cs="Times New Roman"/>
          <w:color w:val="auto"/>
          <w:spacing w:val="-19"/>
          <w:sz w:val="24"/>
          <w:szCs w:val="24"/>
          <w:lang w:eastAsia="zh-CN"/>
        </w:rPr>
        <w:t xml:space="preserve"> </w:t>
      </w:r>
      <w:r>
        <w:rPr>
          <w:rFonts w:hint="default" w:ascii="Times New Roman" w:hAnsi="Times New Roman" w:eastAsia="宋体" w:cs="Times New Roman"/>
          <w:color w:val="auto"/>
          <w:spacing w:val="-8"/>
          <w:sz w:val="24"/>
          <w:szCs w:val="24"/>
          <w:lang w:eastAsia="zh-CN"/>
        </w:rPr>
        <w:t>开展标准</w:t>
      </w:r>
      <w:r>
        <w:rPr>
          <w:rFonts w:hint="eastAsia" w:ascii="Times New Roman" w:hAnsi="Times New Roman" w:eastAsia="宋体" w:cs="Times New Roman"/>
          <w:color w:val="auto"/>
          <w:spacing w:val="-8"/>
          <w:sz w:val="24"/>
          <w:szCs w:val="24"/>
          <w:lang w:val="en-US" w:eastAsia="zh-CN"/>
        </w:rPr>
        <w:t>制订</w:t>
      </w:r>
      <w:r>
        <w:rPr>
          <w:rFonts w:hint="default" w:ascii="Times New Roman" w:hAnsi="Times New Roman" w:eastAsia="宋体" w:cs="Times New Roman"/>
          <w:color w:val="auto"/>
          <w:spacing w:val="-8"/>
          <w:sz w:val="24"/>
          <w:szCs w:val="24"/>
          <w:lang w:eastAsia="zh-CN"/>
        </w:rPr>
        <w:t>工作。</w:t>
      </w:r>
    </w:p>
    <w:p w14:paraId="0608A671">
      <w:pPr>
        <w:pStyle w:val="3"/>
        <w:keepNext w:val="0"/>
        <w:keepLines w:val="0"/>
        <w:pageBreakBefore w:val="0"/>
        <w:widowControl/>
        <w:numPr>
          <w:ilvl w:val="0"/>
          <w:numId w:val="4"/>
        </w:numPr>
        <w:kinsoku w:val="0"/>
        <w:wordWrap/>
        <w:overflowPunct/>
        <w:topLinePunct w:val="0"/>
        <w:autoSpaceDE w:val="0"/>
        <w:autoSpaceDN w:val="0"/>
        <w:bidi w:val="0"/>
        <w:adjustRightInd w:val="0"/>
        <w:snapToGrid w:val="0"/>
        <w:spacing w:line="500" w:lineRule="exact"/>
        <w:ind w:left="0" w:leftChars="0" w:right="0" w:rightChars="0" w:firstLine="0" w:firstLineChars="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技术路线及引用文献资料</w:t>
      </w:r>
    </w:p>
    <w:p w14:paraId="5C816905">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pacing w:val="-1"/>
          <w:sz w:val="24"/>
          <w:szCs w:val="24"/>
          <w:lang w:eastAsia="zh-CN"/>
        </w:rPr>
      </w:pPr>
      <w:r>
        <w:rPr>
          <w:rFonts w:hint="default" w:ascii="Times New Roman" w:hAnsi="Times New Roman" w:eastAsia="宋体" w:cs="Times New Roman"/>
          <w:color w:val="auto"/>
          <w:sz w:val="24"/>
          <w:szCs w:val="24"/>
          <w:lang w:eastAsia="zh-CN"/>
        </w:rPr>
        <w:t>编制小组认真研究了有关油茶籽包装、冷藏管理的相关</w:t>
      </w:r>
      <w:r>
        <w:rPr>
          <w:rFonts w:hint="default" w:ascii="Times New Roman" w:hAnsi="Times New Roman" w:eastAsia="宋体" w:cs="Times New Roman"/>
          <w:color w:val="auto"/>
          <w:spacing w:val="-3"/>
          <w:sz w:val="24"/>
          <w:szCs w:val="24"/>
          <w:lang w:eastAsia="zh-CN"/>
        </w:rPr>
        <w:t>资料，收集了国家相关法律法规</w:t>
      </w:r>
      <w:r>
        <w:rPr>
          <w:rFonts w:hint="eastAsia" w:ascii="Times New Roman" w:hAnsi="Times New Roman" w:cs="Times New Roman"/>
          <w:color w:val="auto"/>
          <w:spacing w:val="-3"/>
          <w:sz w:val="24"/>
          <w:szCs w:val="24"/>
          <w:lang w:val="en-US" w:eastAsia="zh-CN"/>
        </w:rPr>
        <w:t>以及</w:t>
      </w:r>
      <w:r>
        <w:rPr>
          <w:rFonts w:hint="default" w:ascii="Times New Roman" w:hAnsi="Times New Roman" w:eastAsia="宋体" w:cs="Times New Roman"/>
          <w:color w:val="auto"/>
          <w:spacing w:val="-3"/>
          <w:sz w:val="24"/>
          <w:szCs w:val="24"/>
          <w:lang w:eastAsia="zh-CN"/>
        </w:rPr>
        <w:t>国</w:t>
      </w:r>
      <w:r>
        <w:rPr>
          <w:rFonts w:hint="default" w:ascii="Times New Roman" w:hAnsi="Times New Roman" w:eastAsia="宋体" w:cs="Times New Roman"/>
          <w:color w:val="auto"/>
          <w:sz w:val="24"/>
          <w:szCs w:val="24"/>
          <w:lang w:eastAsia="zh-CN"/>
        </w:rPr>
        <w:t>家、地方</w:t>
      </w:r>
      <w:r>
        <w:rPr>
          <w:rFonts w:hint="eastAsia" w:ascii="Times New Roman" w:hAnsi="Times New Roman" w:cs="Times New Roman"/>
          <w:color w:val="auto"/>
          <w:sz w:val="24"/>
          <w:szCs w:val="24"/>
          <w:lang w:val="en-US" w:eastAsia="zh-CN"/>
        </w:rPr>
        <w:t>和</w:t>
      </w:r>
      <w:r>
        <w:rPr>
          <w:rFonts w:hint="default" w:ascii="Times New Roman" w:hAnsi="Times New Roman" w:eastAsia="宋体" w:cs="Times New Roman"/>
          <w:color w:val="auto"/>
          <w:sz w:val="24"/>
          <w:szCs w:val="24"/>
          <w:lang w:eastAsia="zh-CN"/>
        </w:rPr>
        <w:t>团体相关标准，</w:t>
      </w:r>
      <w:r>
        <w:rPr>
          <w:rFonts w:hint="eastAsia" w:ascii="Times New Roman" w:hAnsi="Times New Roman" w:cs="Times New Roman"/>
          <w:color w:val="auto"/>
          <w:sz w:val="24"/>
          <w:szCs w:val="24"/>
          <w:lang w:eastAsia="zh-CN"/>
        </w:rPr>
        <w:t>制订</w:t>
      </w:r>
      <w:r>
        <w:rPr>
          <w:rFonts w:hint="default" w:ascii="Times New Roman" w:hAnsi="Times New Roman" w:eastAsia="宋体" w:cs="Times New Roman"/>
          <w:color w:val="auto"/>
          <w:sz w:val="24"/>
          <w:szCs w:val="24"/>
          <w:lang w:eastAsia="zh-CN"/>
        </w:rPr>
        <w:t>相应工作方案，并按工作计划</w:t>
      </w:r>
      <w:r>
        <w:rPr>
          <w:rFonts w:hint="default" w:ascii="Times New Roman" w:hAnsi="Times New Roman" w:eastAsia="宋体" w:cs="Times New Roman"/>
          <w:color w:val="auto"/>
          <w:spacing w:val="-3"/>
          <w:sz w:val="24"/>
          <w:szCs w:val="24"/>
          <w:lang w:eastAsia="zh-CN"/>
        </w:rPr>
        <w:t>和工作方案</w:t>
      </w:r>
      <w:r>
        <w:rPr>
          <w:rFonts w:hint="eastAsia" w:ascii="Times New Roman" w:hAnsi="Times New Roman" w:cs="Times New Roman"/>
          <w:color w:val="auto"/>
          <w:spacing w:val="-3"/>
          <w:sz w:val="24"/>
          <w:szCs w:val="24"/>
          <w:lang w:val="en-US" w:eastAsia="zh-CN"/>
        </w:rPr>
        <w:t>派遣</w:t>
      </w:r>
      <w:r>
        <w:rPr>
          <w:rFonts w:hint="default" w:ascii="Times New Roman" w:hAnsi="Times New Roman" w:eastAsia="宋体" w:cs="Times New Roman"/>
          <w:color w:val="auto"/>
          <w:spacing w:val="-3"/>
          <w:sz w:val="24"/>
          <w:szCs w:val="24"/>
          <w:lang w:eastAsia="zh-CN"/>
        </w:rPr>
        <w:t>编制组人员到广西</w:t>
      </w:r>
      <w:r>
        <w:rPr>
          <w:rFonts w:hint="default" w:ascii="Times New Roman" w:hAnsi="Times New Roman" w:eastAsia="宋体" w:cs="Times New Roman"/>
          <w:color w:val="auto"/>
          <w:sz w:val="24"/>
          <w:szCs w:val="24"/>
          <w:lang w:eastAsia="zh-CN"/>
        </w:rPr>
        <w:t>油茶果种植主要区域、油茶籽主要产地</w:t>
      </w:r>
      <w:r>
        <w:rPr>
          <w:rFonts w:hint="eastAsia"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lang w:eastAsia="zh-CN"/>
        </w:rPr>
        <w:t>百色市进行了调研。了解</w:t>
      </w:r>
      <w:r>
        <w:rPr>
          <w:rFonts w:hint="default" w:ascii="Times New Roman" w:hAnsi="Times New Roman" w:eastAsia="宋体" w:cs="Times New Roman"/>
          <w:color w:val="auto"/>
          <w:spacing w:val="-3"/>
          <w:sz w:val="24"/>
          <w:szCs w:val="24"/>
          <w:lang w:eastAsia="zh-CN"/>
        </w:rPr>
        <w:t>并听取广西国控林业投资股份有限公司、广西平果市海同仓储有限责任公司、广西百色市国控林业有限责任公司、广西力源宝科技有限公司</w:t>
      </w:r>
      <w:r>
        <w:rPr>
          <w:rFonts w:hint="default" w:ascii="Times New Roman" w:hAnsi="Times New Roman" w:eastAsia="宋体" w:cs="Times New Roman"/>
          <w:color w:val="auto"/>
          <w:sz w:val="24"/>
          <w:szCs w:val="24"/>
          <w:lang w:eastAsia="zh-CN"/>
        </w:rPr>
        <w:t>对《油茶籽贮运管理规范》团体标准拟</w:t>
      </w:r>
      <w:r>
        <w:rPr>
          <w:rFonts w:hint="eastAsia" w:ascii="Times New Roman" w:hAnsi="Times New Roman" w:cs="Times New Roman"/>
          <w:color w:val="auto"/>
          <w:sz w:val="24"/>
          <w:szCs w:val="24"/>
          <w:lang w:eastAsia="zh-CN"/>
        </w:rPr>
        <w:t>制订</w:t>
      </w:r>
      <w:r>
        <w:rPr>
          <w:rFonts w:hint="default" w:ascii="Times New Roman" w:hAnsi="Times New Roman" w:eastAsia="宋体" w:cs="Times New Roman"/>
          <w:color w:val="auto"/>
          <w:sz w:val="24"/>
          <w:szCs w:val="24"/>
          <w:lang w:eastAsia="zh-CN"/>
        </w:rPr>
        <w:t>内容的意见，同时就油茶籽贮存过程中冷库管理、冷藏参数设置、油茶籽运输相关要求以及企业</w:t>
      </w:r>
      <w:r>
        <w:rPr>
          <w:rFonts w:hint="default" w:ascii="Times New Roman" w:hAnsi="Times New Roman" w:eastAsia="宋体" w:cs="Times New Roman"/>
          <w:color w:val="auto"/>
          <w:sz w:val="24"/>
          <w:szCs w:val="24"/>
          <w:lang w:val="en-US" w:eastAsia="zh-CN"/>
        </w:rPr>
        <w:t>对油茶籽贮运的管理流程</w:t>
      </w:r>
      <w:r>
        <w:rPr>
          <w:rFonts w:hint="default" w:ascii="Times New Roman" w:hAnsi="Times New Roman" w:eastAsia="宋体" w:cs="Times New Roman"/>
          <w:color w:val="auto"/>
          <w:sz w:val="24"/>
          <w:szCs w:val="24"/>
          <w:lang w:eastAsia="zh-CN"/>
        </w:rPr>
        <w:t>等</w:t>
      </w:r>
      <w:r>
        <w:rPr>
          <w:rFonts w:hint="default" w:ascii="Times New Roman" w:hAnsi="Times New Roman" w:eastAsia="宋体" w:cs="Times New Roman"/>
          <w:color w:val="auto"/>
          <w:sz w:val="24"/>
          <w:szCs w:val="24"/>
          <w:lang w:val="en-US" w:eastAsia="zh-CN"/>
        </w:rPr>
        <w:t>具体问题进行了探讨和交流</w:t>
      </w:r>
      <w:r>
        <w:rPr>
          <w:rFonts w:hint="default" w:ascii="Times New Roman" w:hAnsi="Times New Roman" w:eastAsia="宋体" w:cs="Times New Roman"/>
          <w:color w:val="auto"/>
          <w:sz w:val="24"/>
          <w:szCs w:val="24"/>
          <w:lang w:eastAsia="zh-CN"/>
        </w:rPr>
        <w:t>，了解和掌握实际生产中油茶籽贮存和运输状况。编制组通</w:t>
      </w:r>
      <w:r>
        <w:rPr>
          <w:rFonts w:hint="default" w:ascii="Times New Roman" w:hAnsi="Times New Roman" w:eastAsia="宋体" w:cs="Times New Roman"/>
          <w:color w:val="auto"/>
          <w:spacing w:val="-1"/>
          <w:sz w:val="24"/>
          <w:szCs w:val="24"/>
          <w:lang w:eastAsia="zh-CN"/>
        </w:rPr>
        <w:t>过</w:t>
      </w:r>
      <w:r>
        <w:rPr>
          <w:rFonts w:hint="default" w:ascii="Times New Roman" w:hAnsi="Times New Roman" w:eastAsia="宋体" w:cs="Times New Roman"/>
          <w:color w:val="auto"/>
          <w:spacing w:val="-1"/>
          <w:sz w:val="24"/>
          <w:szCs w:val="24"/>
          <w:lang w:val="en-US" w:eastAsia="zh-CN"/>
        </w:rPr>
        <w:t>分析研究</w:t>
      </w:r>
      <w:r>
        <w:rPr>
          <w:rFonts w:hint="default" w:ascii="Times New Roman" w:hAnsi="Times New Roman" w:eastAsia="宋体" w:cs="Times New Roman"/>
          <w:color w:val="auto"/>
          <w:spacing w:val="-3"/>
          <w:sz w:val="24"/>
          <w:szCs w:val="24"/>
          <w:lang w:eastAsia="zh-CN"/>
        </w:rPr>
        <w:t>油茶籽生产企业</w:t>
      </w:r>
      <w:r>
        <w:rPr>
          <w:rFonts w:hint="default" w:ascii="Times New Roman" w:hAnsi="Times New Roman" w:eastAsia="宋体" w:cs="Times New Roman"/>
          <w:color w:val="auto"/>
          <w:spacing w:val="-3"/>
          <w:sz w:val="24"/>
          <w:szCs w:val="24"/>
          <w:lang w:val="en-US" w:eastAsia="zh-CN"/>
        </w:rPr>
        <w:t>在贮运方面的</w:t>
      </w:r>
      <w:r>
        <w:rPr>
          <w:rFonts w:hint="eastAsia" w:ascii="Times New Roman" w:hAnsi="Times New Roman" w:cs="Times New Roman"/>
          <w:color w:val="auto"/>
          <w:spacing w:val="-3"/>
          <w:sz w:val="24"/>
          <w:szCs w:val="24"/>
          <w:lang w:val="en-US" w:eastAsia="zh-CN"/>
        </w:rPr>
        <w:t>实际生产状况、</w:t>
      </w:r>
      <w:r>
        <w:rPr>
          <w:rFonts w:hint="default" w:ascii="Times New Roman" w:hAnsi="Times New Roman" w:eastAsia="宋体" w:cs="Times New Roman"/>
          <w:color w:val="auto"/>
          <w:spacing w:val="-3"/>
          <w:sz w:val="24"/>
          <w:szCs w:val="24"/>
          <w:lang w:eastAsia="zh-CN"/>
        </w:rPr>
        <w:t>管理</w:t>
      </w:r>
      <w:r>
        <w:rPr>
          <w:rFonts w:hint="default" w:ascii="Times New Roman" w:hAnsi="Times New Roman" w:eastAsia="宋体" w:cs="Times New Roman"/>
          <w:color w:val="auto"/>
          <w:spacing w:val="-3"/>
          <w:sz w:val="24"/>
          <w:szCs w:val="24"/>
          <w:lang w:val="en-US" w:eastAsia="zh-CN"/>
        </w:rPr>
        <w:t>措施以及企业内部</w:t>
      </w:r>
      <w:r>
        <w:rPr>
          <w:rFonts w:hint="default" w:ascii="Times New Roman" w:hAnsi="Times New Roman" w:eastAsia="宋体" w:cs="Times New Roman"/>
          <w:color w:val="auto"/>
          <w:spacing w:val="-3"/>
          <w:sz w:val="24"/>
          <w:szCs w:val="24"/>
          <w:lang w:eastAsia="zh-CN"/>
        </w:rPr>
        <w:t>相关</w:t>
      </w:r>
      <w:r>
        <w:rPr>
          <w:rFonts w:hint="default" w:ascii="Times New Roman" w:hAnsi="Times New Roman" w:eastAsia="宋体" w:cs="Times New Roman"/>
          <w:color w:val="auto"/>
          <w:spacing w:val="-4"/>
          <w:sz w:val="24"/>
          <w:szCs w:val="24"/>
          <w:lang w:eastAsia="zh-CN"/>
        </w:rPr>
        <w:t>技术文件等，</w:t>
      </w:r>
      <w:r>
        <w:rPr>
          <w:rFonts w:hint="default" w:ascii="Times New Roman" w:hAnsi="Times New Roman" w:eastAsia="宋体" w:cs="Times New Roman"/>
          <w:color w:val="auto"/>
          <w:spacing w:val="-50"/>
          <w:sz w:val="24"/>
          <w:szCs w:val="24"/>
          <w:lang w:eastAsia="zh-CN"/>
        </w:rPr>
        <w:t xml:space="preserve"> </w:t>
      </w:r>
      <w:r>
        <w:rPr>
          <w:rFonts w:hint="default" w:ascii="Times New Roman" w:hAnsi="Times New Roman" w:eastAsia="宋体" w:cs="Times New Roman"/>
          <w:color w:val="auto"/>
          <w:spacing w:val="-4"/>
          <w:sz w:val="24"/>
          <w:szCs w:val="24"/>
          <w:lang w:eastAsia="zh-CN"/>
        </w:rPr>
        <w:t>结合</w:t>
      </w:r>
      <w:r>
        <w:rPr>
          <w:rFonts w:hint="default" w:ascii="Times New Roman" w:hAnsi="Times New Roman" w:eastAsia="宋体" w:cs="Times New Roman"/>
          <w:strike w:val="0"/>
          <w:dstrike w:val="0"/>
          <w:color w:val="auto"/>
          <w:spacing w:val="-4"/>
          <w:sz w:val="24"/>
          <w:szCs w:val="24"/>
          <w:lang w:eastAsia="zh-CN"/>
        </w:rPr>
        <w:t>GB 14881-2013《食品安全国家标准 食品生产通用卫生规范》、</w:t>
      </w:r>
      <w:r>
        <w:rPr>
          <w:rFonts w:hint="default" w:ascii="Times New Roman" w:hAnsi="Times New Roman" w:eastAsia="宋体" w:cs="Times New Roman"/>
          <w:color w:val="auto"/>
          <w:spacing w:val="-4"/>
          <w:sz w:val="24"/>
          <w:szCs w:val="24"/>
          <w:lang w:eastAsia="zh-CN"/>
        </w:rPr>
        <w:t>GB/T 24616-2019《冷藏、冷冻食品物流包装、标志、运输和储存、GB/T 30134-2013《冷库管理规范》以及NY/T 1056-2021《绿色食品 贮藏运输准则》等相关标准的规定，确定了</w:t>
      </w:r>
      <w:r>
        <w:rPr>
          <w:rFonts w:hint="default" w:ascii="Times New Roman" w:hAnsi="Times New Roman" w:eastAsia="宋体" w:cs="Times New Roman"/>
          <w:color w:val="auto"/>
          <w:sz w:val="24"/>
          <w:szCs w:val="24"/>
          <w:lang w:eastAsia="zh-CN"/>
        </w:rPr>
        <w:t>《油茶籽贮运管理规范》</w:t>
      </w:r>
      <w:r>
        <w:rPr>
          <w:rFonts w:hint="default" w:ascii="Times New Roman" w:hAnsi="Times New Roman" w:eastAsia="宋体" w:cs="Times New Roman"/>
          <w:color w:val="auto"/>
          <w:sz w:val="24"/>
          <w:szCs w:val="24"/>
          <w:lang w:val="en-US" w:eastAsia="zh-CN"/>
        </w:rPr>
        <w:t>团体</w:t>
      </w:r>
      <w:r>
        <w:rPr>
          <w:rFonts w:hint="default" w:ascii="Times New Roman" w:hAnsi="Times New Roman" w:eastAsia="宋体" w:cs="Times New Roman"/>
          <w:color w:val="auto"/>
          <w:spacing w:val="-1"/>
          <w:sz w:val="24"/>
          <w:szCs w:val="24"/>
          <w:lang w:eastAsia="zh-CN"/>
        </w:rPr>
        <w:t>标准的主体框架和具体内容，形成</w:t>
      </w:r>
      <w:r>
        <w:rPr>
          <w:rFonts w:hint="default" w:ascii="Times New Roman" w:hAnsi="Times New Roman" w:eastAsia="宋体" w:cs="Times New Roman"/>
          <w:color w:val="auto"/>
          <w:spacing w:val="-1"/>
          <w:sz w:val="24"/>
          <w:szCs w:val="24"/>
          <w:lang w:val="en-US" w:eastAsia="zh-CN"/>
        </w:rPr>
        <w:t>工作组讨论稿</w:t>
      </w:r>
      <w:r>
        <w:rPr>
          <w:rFonts w:hint="default" w:ascii="Times New Roman" w:hAnsi="Times New Roman" w:eastAsia="宋体" w:cs="Times New Roman"/>
          <w:color w:val="auto"/>
          <w:spacing w:val="-1"/>
          <w:sz w:val="24"/>
          <w:szCs w:val="24"/>
          <w:lang w:eastAsia="zh-CN"/>
        </w:rPr>
        <w:t>。</w:t>
      </w:r>
    </w:p>
    <w:p w14:paraId="087535EC">
      <w:pPr>
        <w:pStyle w:val="3"/>
        <w:keepNext w:val="0"/>
        <w:keepLines w:val="0"/>
        <w:pageBreakBefore w:val="0"/>
        <w:widowControl/>
        <w:wordWrap/>
        <w:overflowPunct/>
        <w:topLinePunct w:val="0"/>
        <w:bidi w:val="0"/>
        <w:spacing w:line="500" w:lineRule="exact"/>
        <w:ind w:left="0" w:leftChars="0" w:right="0" w:rightChars="0" w:firstLine="476" w:firstLineChars="200"/>
        <w:jc w:val="both"/>
        <w:rPr>
          <w:rFonts w:hint="default" w:ascii="Times New Roman" w:hAnsi="Times New Roman" w:eastAsia="宋体" w:cs="Times New Roman"/>
          <w:color w:val="auto"/>
          <w:spacing w:val="-1"/>
          <w:sz w:val="24"/>
          <w:szCs w:val="24"/>
          <w:lang w:eastAsia="zh-CN"/>
        </w:rPr>
      </w:pPr>
      <w:r>
        <w:rPr>
          <w:rFonts w:hint="default" w:ascii="Times New Roman" w:hAnsi="Times New Roman" w:eastAsia="宋体" w:cs="Times New Roman"/>
          <w:color w:val="auto"/>
          <w:spacing w:val="-1"/>
          <w:sz w:val="24"/>
          <w:szCs w:val="24"/>
          <w:lang w:eastAsia="zh-CN"/>
        </w:rPr>
        <w:t>2025年3月，标准编制组再次深入研究有关油茶籽贮运的文献资料，结合生产企业的</w:t>
      </w:r>
      <w:r>
        <w:rPr>
          <w:rFonts w:hint="default" w:ascii="Times New Roman" w:hAnsi="Times New Roman" w:eastAsia="宋体" w:cs="Times New Roman"/>
          <w:color w:val="auto"/>
          <w:spacing w:val="-1"/>
          <w:sz w:val="24"/>
          <w:szCs w:val="24"/>
          <w:lang w:val="en-US" w:eastAsia="zh-CN"/>
        </w:rPr>
        <w:t>实际</w:t>
      </w:r>
      <w:r>
        <w:rPr>
          <w:rFonts w:hint="default" w:ascii="Times New Roman" w:hAnsi="Times New Roman" w:eastAsia="宋体" w:cs="Times New Roman"/>
          <w:color w:val="auto"/>
          <w:spacing w:val="-1"/>
          <w:sz w:val="24"/>
          <w:szCs w:val="24"/>
          <w:lang w:eastAsia="zh-CN"/>
        </w:rPr>
        <w:t>调研情况，通过收集反馈的大量意见，标准编制组多次召开会议，对标准草案进行了反复修改和研究讨论，最终形成了团体标准《油茶籽贮运管理规范》（征求意见稿）及其编制说明。</w:t>
      </w:r>
    </w:p>
    <w:p w14:paraId="41382A3A">
      <w:pPr>
        <w:pStyle w:val="3"/>
        <w:keepNext w:val="0"/>
        <w:keepLines w:val="0"/>
        <w:pageBreakBefore w:val="0"/>
        <w:widowControl/>
        <w:wordWrap/>
        <w:overflowPunct/>
        <w:topLinePunct w:val="0"/>
        <w:bidi w:val="0"/>
        <w:spacing w:line="500" w:lineRule="exact"/>
        <w:ind w:left="0" w:leftChars="0" w:right="0" w:rightChars="0" w:firstLine="476" w:firstLineChars="200"/>
        <w:jc w:val="both"/>
        <w:rPr>
          <w:rFonts w:hint="default" w:ascii="Times New Roman" w:hAnsi="Times New Roman" w:eastAsia="宋体" w:cs="Times New Roman"/>
          <w:color w:val="auto"/>
          <w:spacing w:val="-1"/>
          <w:sz w:val="24"/>
          <w:szCs w:val="24"/>
          <w:lang w:eastAsia="zh-CN"/>
        </w:rPr>
      </w:pPr>
      <w:r>
        <w:rPr>
          <w:rFonts w:hint="default" w:ascii="Times New Roman" w:hAnsi="Times New Roman" w:eastAsia="宋体" w:cs="Times New Roman"/>
          <w:color w:val="auto"/>
          <w:spacing w:val="-1"/>
          <w:sz w:val="24"/>
          <w:szCs w:val="24"/>
          <w:lang w:eastAsia="zh-CN"/>
        </w:rPr>
        <w:t>2025年4月，标准编制工作组向广西标准化协会申请挂网征求意见，并同步向多家单位和专家征求意见。</w:t>
      </w:r>
    </w:p>
    <w:p w14:paraId="61D526C9">
      <w:pPr>
        <w:keepNext w:val="0"/>
        <w:keepLines w:val="0"/>
        <w:pageBreakBefore w:val="0"/>
        <w:widowControl/>
        <w:numPr>
          <w:ilvl w:val="0"/>
          <w:numId w:val="4"/>
        </w:numPr>
        <w:wordWrap/>
        <w:overflowPunct/>
        <w:topLinePunct w:val="0"/>
        <w:bidi w:val="0"/>
        <w:spacing w:line="500" w:lineRule="exact"/>
        <w:ind w:left="0" w:leftChars="0" w:right="0" w:rightChars="0" w:firstLine="0" w:firstLine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编制过程中引用的法律、法规、标准及规范</w:t>
      </w:r>
      <w:r>
        <w:rPr>
          <w:rFonts w:hint="default" w:ascii="Times New Roman" w:hAnsi="Times New Roman" w:eastAsia="宋体" w:cs="Times New Roman"/>
          <w:color w:val="auto"/>
          <w:spacing w:val="-1"/>
          <w:sz w:val="24"/>
          <w:szCs w:val="24"/>
          <w:lang w:eastAsia="zh-CN"/>
        </w:rPr>
        <w:t>性文件</w:t>
      </w:r>
    </w:p>
    <w:p w14:paraId="08BDC50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GB 5009.3 食品安全国家标准 食品中水分的测定</w:t>
      </w:r>
    </w:p>
    <w:p w14:paraId="556E1A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GB 5009.227 食品安全国家标准 食品中过氧化值的测定</w:t>
      </w:r>
    </w:p>
    <w:p w14:paraId="13658CD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GB 5009.229 食品安全国家标准 食品中酸价的测定</w:t>
      </w:r>
    </w:p>
    <w:p w14:paraId="0D308D2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GB/T 37917 油茶籽</w:t>
      </w:r>
    </w:p>
    <w:p w14:paraId="2F3EEC5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 xml:space="preserve">GB/T 5491 粮食、油料检验 扦样、分样法 </w:t>
      </w:r>
    </w:p>
    <w:p w14:paraId="46F2B2B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GB/T 5494 粮油检验 粮食、油料的杂质、不完善粒检验</w:t>
      </w:r>
    </w:p>
    <w:p w14:paraId="206838C5">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4  标准编制原则和依据</w:t>
      </w:r>
    </w:p>
    <w:p w14:paraId="3DD4FD4A">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4.1  标准编制原则</w:t>
      </w:r>
    </w:p>
    <w:p w14:paraId="6D12F72E">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eastAsia" w:ascii="Times New Roman" w:hAnsi="Times New Roman" w:cs="Times New Roman"/>
          <w:color w:val="auto"/>
          <w:sz w:val="24"/>
          <w:szCs w:val="24"/>
          <w:lang w:val="en-US" w:eastAsia="zh-CN"/>
        </w:rPr>
        <w:t>制订</w:t>
      </w:r>
      <w:r>
        <w:rPr>
          <w:rFonts w:hint="default" w:ascii="Times New Roman" w:hAnsi="Times New Roman" w:eastAsia="宋体" w:cs="Times New Roman"/>
          <w:color w:val="auto"/>
          <w:sz w:val="24"/>
          <w:szCs w:val="24"/>
          <w:lang w:eastAsia="zh-CN"/>
        </w:rPr>
        <w:t>团体标准《油茶籽贮运管理规范》</w:t>
      </w:r>
      <w:r>
        <w:rPr>
          <w:rFonts w:hint="default" w:ascii="Times New Roman" w:hAnsi="Times New Roman" w:eastAsia="宋体" w:cs="Times New Roman"/>
          <w:color w:val="auto"/>
          <w:spacing w:val="-3"/>
          <w:sz w:val="24"/>
          <w:szCs w:val="24"/>
          <w:lang w:eastAsia="zh-CN"/>
        </w:rPr>
        <w:t>主要遵循以下原则：一是科学实用</w:t>
      </w:r>
      <w:r>
        <w:rPr>
          <w:rFonts w:hint="default" w:ascii="Times New Roman" w:hAnsi="Times New Roman" w:eastAsia="宋体" w:cs="Times New Roman"/>
          <w:color w:val="auto"/>
          <w:spacing w:val="-1"/>
          <w:sz w:val="24"/>
          <w:szCs w:val="24"/>
          <w:lang w:eastAsia="zh-CN"/>
        </w:rPr>
        <w:t>原则。在尊重科学、紧密结合实践、广泛征求意见及调查研究的基础上，紧贴油茶籽</w:t>
      </w:r>
      <w:r>
        <w:rPr>
          <w:rFonts w:hint="default" w:ascii="Times New Roman" w:hAnsi="Times New Roman" w:eastAsia="宋体" w:cs="Times New Roman"/>
          <w:color w:val="auto"/>
          <w:sz w:val="24"/>
          <w:szCs w:val="24"/>
          <w:lang w:eastAsia="zh-CN"/>
        </w:rPr>
        <w:t>贮存和运输的实际情况，以使</w:t>
      </w:r>
      <w:r>
        <w:rPr>
          <w:rFonts w:hint="eastAsia" w:ascii="Times New Roman" w:hAnsi="Times New Roman" w:cs="Times New Roman"/>
          <w:color w:val="auto"/>
          <w:sz w:val="24"/>
          <w:szCs w:val="24"/>
          <w:lang w:val="en-US" w:eastAsia="zh-CN"/>
        </w:rPr>
        <w:t>制订</w:t>
      </w:r>
      <w:r>
        <w:rPr>
          <w:rFonts w:hint="default" w:ascii="Times New Roman" w:hAnsi="Times New Roman" w:eastAsia="宋体" w:cs="Times New Roman"/>
          <w:color w:val="auto"/>
          <w:sz w:val="24"/>
          <w:szCs w:val="24"/>
          <w:lang w:eastAsia="zh-CN"/>
        </w:rPr>
        <w:t>的标准具有可操作性和实用性。二是协调性原则。以质量和安全</w:t>
      </w:r>
      <w:r>
        <w:rPr>
          <w:rFonts w:hint="default" w:ascii="Times New Roman" w:hAnsi="Times New Roman" w:eastAsia="宋体" w:cs="Times New Roman"/>
          <w:color w:val="auto"/>
          <w:spacing w:val="-3"/>
          <w:sz w:val="24"/>
          <w:szCs w:val="24"/>
          <w:lang w:eastAsia="zh-CN"/>
        </w:rPr>
        <w:t>为核心，符合我国现行有关法</w:t>
      </w:r>
      <w:r>
        <w:rPr>
          <w:rFonts w:hint="default" w:ascii="Times New Roman" w:hAnsi="Times New Roman" w:eastAsia="宋体" w:cs="Times New Roman"/>
          <w:color w:val="auto"/>
          <w:sz w:val="24"/>
          <w:szCs w:val="24"/>
          <w:lang w:eastAsia="zh-CN"/>
        </w:rPr>
        <w:t>律、法规和相关的标准要求。三是注重油茶籽产业链的衔接性原则。</w:t>
      </w:r>
      <w:r>
        <w:rPr>
          <w:rFonts w:hint="eastAsia" w:ascii="Times New Roman" w:hAnsi="Times New Roman" w:cs="Times New Roman"/>
          <w:color w:val="auto"/>
          <w:sz w:val="24"/>
          <w:szCs w:val="24"/>
          <w:lang w:val="en-US" w:eastAsia="zh-CN"/>
        </w:rPr>
        <w:t>本</w:t>
      </w:r>
      <w:r>
        <w:rPr>
          <w:rFonts w:hint="default" w:ascii="Times New Roman" w:hAnsi="Times New Roman" w:eastAsia="宋体" w:cs="Times New Roman"/>
          <w:color w:val="auto"/>
          <w:sz w:val="24"/>
          <w:szCs w:val="24"/>
          <w:lang w:eastAsia="zh-CN"/>
        </w:rPr>
        <w:t>标准的</w:t>
      </w:r>
      <w:r>
        <w:rPr>
          <w:rFonts w:hint="eastAsia" w:ascii="Times New Roman" w:hAnsi="Times New Roman" w:cs="Times New Roman"/>
          <w:color w:val="auto"/>
          <w:sz w:val="24"/>
          <w:szCs w:val="24"/>
          <w:lang w:val="en-US" w:eastAsia="zh-CN"/>
        </w:rPr>
        <w:t>制订</w:t>
      </w:r>
      <w:r>
        <w:rPr>
          <w:rFonts w:hint="default" w:ascii="Times New Roman" w:hAnsi="Times New Roman" w:eastAsia="宋体" w:cs="Times New Roman"/>
          <w:color w:val="auto"/>
          <w:sz w:val="24"/>
          <w:szCs w:val="24"/>
          <w:lang w:eastAsia="zh-CN"/>
        </w:rPr>
        <w:t>以广西区内油茶籽</w:t>
      </w:r>
      <w:r>
        <w:rPr>
          <w:rFonts w:hint="default" w:ascii="Times New Roman" w:hAnsi="Times New Roman" w:eastAsia="宋体" w:cs="Times New Roman"/>
          <w:color w:val="auto"/>
          <w:spacing w:val="-3"/>
          <w:sz w:val="24"/>
          <w:szCs w:val="24"/>
          <w:lang w:eastAsia="zh-CN"/>
        </w:rPr>
        <w:t>生</w:t>
      </w:r>
      <w:r>
        <w:rPr>
          <w:rFonts w:hint="default" w:ascii="Times New Roman" w:hAnsi="Times New Roman" w:eastAsia="宋体" w:cs="Times New Roman"/>
          <w:color w:val="auto"/>
          <w:sz w:val="24"/>
          <w:szCs w:val="24"/>
          <w:lang w:eastAsia="zh-CN"/>
        </w:rPr>
        <w:t>产企业的</w:t>
      </w:r>
      <w:r>
        <w:rPr>
          <w:rFonts w:hint="eastAsia" w:ascii="Times New Roman" w:hAnsi="Times New Roman" w:cs="Times New Roman"/>
          <w:color w:val="auto"/>
          <w:sz w:val="24"/>
          <w:szCs w:val="24"/>
          <w:lang w:val="en-US" w:eastAsia="zh-CN"/>
        </w:rPr>
        <w:t>贮运</w:t>
      </w:r>
      <w:r>
        <w:rPr>
          <w:rFonts w:hint="default" w:ascii="Times New Roman" w:hAnsi="Times New Roman" w:eastAsia="宋体" w:cs="Times New Roman"/>
          <w:color w:val="auto"/>
          <w:sz w:val="24"/>
          <w:szCs w:val="24"/>
          <w:lang w:eastAsia="zh-CN"/>
        </w:rPr>
        <w:t>现状为基础，确保油茶籽后续深加工产品的加工便利性以及深加工产品的食用安全性。在符合</w:t>
      </w:r>
      <w:r>
        <w:rPr>
          <w:rFonts w:hint="eastAsia" w:ascii="Times New Roman" w:hAnsi="Times New Roman" w:cs="Times New Roman"/>
          <w:color w:val="auto"/>
          <w:sz w:val="24"/>
          <w:szCs w:val="24"/>
          <w:lang w:val="en-US" w:eastAsia="zh-CN"/>
        </w:rPr>
        <w:t>经济、实用</w:t>
      </w:r>
      <w:r>
        <w:rPr>
          <w:rFonts w:hint="default" w:ascii="Times New Roman" w:hAnsi="Times New Roman" w:eastAsia="宋体" w:cs="Times New Roman"/>
          <w:color w:val="auto"/>
          <w:sz w:val="24"/>
          <w:szCs w:val="24"/>
          <w:lang w:eastAsia="zh-CN"/>
        </w:rPr>
        <w:t>原则的同时，以提升油茶籽</w:t>
      </w:r>
      <w:r>
        <w:rPr>
          <w:rFonts w:hint="default" w:ascii="Times New Roman" w:hAnsi="Times New Roman" w:eastAsia="宋体" w:cs="Times New Roman"/>
          <w:color w:val="auto"/>
          <w:spacing w:val="-3"/>
          <w:sz w:val="24"/>
          <w:szCs w:val="24"/>
          <w:lang w:eastAsia="zh-CN"/>
        </w:rPr>
        <w:t>品质为前提，充分考虑油茶籽</w:t>
      </w:r>
      <w:r>
        <w:rPr>
          <w:rFonts w:hint="eastAsia" w:ascii="Times New Roman" w:hAnsi="Times New Roman" w:cs="Times New Roman"/>
          <w:color w:val="auto"/>
          <w:spacing w:val="-3"/>
          <w:sz w:val="24"/>
          <w:szCs w:val="24"/>
          <w:lang w:val="en-US" w:eastAsia="zh-CN"/>
        </w:rPr>
        <w:t>冷藏贮存</w:t>
      </w:r>
      <w:r>
        <w:rPr>
          <w:rFonts w:hint="default" w:ascii="Times New Roman" w:hAnsi="Times New Roman" w:eastAsia="宋体" w:cs="Times New Roman"/>
          <w:color w:val="auto"/>
          <w:spacing w:val="-3"/>
          <w:sz w:val="24"/>
          <w:szCs w:val="24"/>
          <w:lang w:eastAsia="zh-CN"/>
        </w:rPr>
        <w:t>、</w:t>
      </w:r>
      <w:r>
        <w:rPr>
          <w:rFonts w:hint="eastAsia" w:ascii="Times New Roman" w:hAnsi="Times New Roman" w:cs="Times New Roman"/>
          <w:color w:val="auto"/>
          <w:spacing w:val="-3"/>
          <w:sz w:val="24"/>
          <w:szCs w:val="24"/>
          <w:lang w:val="en-US" w:eastAsia="zh-CN"/>
        </w:rPr>
        <w:t>运输</w:t>
      </w:r>
      <w:r>
        <w:rPr>
          <w:rFonts w:hint="default" w:ascii="Times New Roman" w:hAnsi="Times New Roman" w:eastAsia="宋体" w:cs="Times New Roman"/>
          <w:color w:val="auto"/>
          <w:spacing w:val="-3"/>
          <w:sz w:val="24"/>
          <w:szCs w:val="24"/>
          <w:lang w:eastAsia="zh-CN"/>
        </w:rPr>
        <w:t>在实际操作中的可行性。</w:t>
      </w:r>
    </w:p>
    <w:p w14:paraId="7FD9EB5C">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4.2  标准编制依据</w:t>
      </w:r>
    </w:p>
    <w:p w14:paraId="7EFA2DC7">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eastAsia" w:ascii="Times New Roman" w:hAnsi="Times New Roman" w:cs="Times New Roman"/>
          <w:color w:val="FF0000"/>
          <w:sz w:val="24"/>
          <w:szCs w:val="24"/>
          <w:lang w:val="en-US" w:eastAsia="zh-CN"/>
        </w:rPr>
      </w:pPr>
      <w:r>
        <w:rPr>
          <w:rFonts w:hint="eastAsia" w:ascii="Times New Roman" w:hAnsi="Times New Roman" w:cs="Times New Roman"/>
          <w:color w:val="FF0000"/>
          <w:sz w:val="24"/>
          <w:szCs w:val="24"/>
          <w:lang w:val="en-US" w:eastAsia="zh-CN"/>
        </w:rPr>
        <w:t>百色市是广西油茶重点产区和传统产区，油茶栽培历史超过2300年。至2024年底，百色市完成油茶新造林12.23万亩，实施油茶低产林改造17.85万亩，完成面积、完成率均排全区第一。百色市共创建千亩级油茶基地12个，建成连片500亩以上的油茶示范基地91个。百色市油茶种植面积、产量、产值均位居全区第一。全市12个县（市、区）中已有8个被列为全国茶油重点县。鉴于上述原因，标准编制组将调研重点放在百色市，对</w:t>
      </w:r>
      <w:r>
        <w:rPr>
          <w:rFonts w:hint="default" w:ascii="Times New Roman" w:hAnsi="Times New Roman" w:eastAsia="宋体" w:cs="Times New Roman"/>
          <w:color w:val="FF0000"/>
          <w:sz w:val="24"/>
          <w:szCs w:val="24"/>
          <w:lang w:eastAsia="zh-CN"/>
        </w:rPr>
        <w:t>广西国控林业投资股份有限公司、广西平果市海同仓储有限责任公司、广西百色市国控林业有限责任公司、</w:t>
      </w:r>
      <w:r>
        <w:rPr>
          <w:rFonts w:hint="eastAsia" w:ascii="Times New Roman" w:hAnsi="Times New Roman" w:cs="Times New Roman"/>
          <w:color w:val="FF0000"/>
          <w:sz w:val="24"/>
          <w:szCs w:val="24"/>
          <w:lang w:val="en-US" w:eastAsia="zh-CN"/>
        </w:rPr>
        <w:t>广西隆林国控投资林业有限责任公司、</w:t>
      </w:r>
      <w:r>
        <w:rPr>
          <w:rFonts w:hint="default" w:ascii="Times New Roman" w:hAnsi="Times New Roman" w:eastAsia="宋体" w:cs="Times New Roman"/>
          <w:color w:val="FF0000"/>
          <w:sz w:val="24"/>
          <w:szCs w:val="24"/>
          <w:lang w:eastAsia="zh-CN"/>
        </w:rPr>
        <w:t>广西力源宝科技有限公司</w:t>
      </w:r>
      <w:r>
        <w:rPr>
          <w:rFonts w:hint="eastAsia" w:ascii="Times New Roman" w:hAnsi="Times New Roman" w:cs="Times New Roman"/>
          <w:color w:val="FF0000"/>
          <w:sz w:val="24"/>
          <w:szCs w:val="24"/>
          <w:lang w:val="en-US" w:eastAsia="zh-CN"/>
        </w:rPr>
        <w:t>五家</w:t>
      </w:r>
      <w:r>
        <w:rPr>
          <w:rFonts w:hint="default" w:ascii="Times New Roman" w:hAnsi="Times New Roman" w:eastAsia="宋体" w:cs="Times New Roman"/>
          <w:color w:val="FF0000"/>
          <w:sz w:val="24"/>
          <w:szCs w:val="24"/>
          <w:lang w:eastAsia="zh-CN"/>
        </w:rPr>
        <w:t>油茶籽生产企业</w:t>
      </w:r>
      <w:r>
        <w:rPr>
          <w:rFonts w:hint="eastAsia" w:ascii="Times New Roman" w:hAnsi="Times New Roman" w:cs="Times New Roman"/>
          <w:color w:val="FF0000"/>
          <w:sz w:val="24"/>
          <w:szCs w:val="24"/>
          <w:lang w:val="en-US" w:eastAsia="zh-CN"/>
        </w:rPr>
        <w:t>的油茶籽生产基地进行了调研。经过现场调研发现，五家油茶籽生产企业为了延长油茶籽的贮存期，均选择了冷藏的贮存方式。广西国控林业投资股份有限公司、广西平果市海同仓储有限责任公司以及广西百色市国控林业有限责任公司三家企业在油茶籽贮运的贮藏管理制度、运输管理制度以及人员管理制度相对完善，实现了油茶籽贮运环节的可溯源。其余两家企业的油茶籽生产线由于投产时间较短，生产管理体系的部分制度尚处于需要补充完善阶段。</w:t>
      </w:r>
    </w:p>
    <w:p w14:paraId="4692BE73">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eastAsia" w:ascii="Times New Roman" w:hAnsi="Times New Roman" w:cs="Times New Roman"/>
          <w:color w:val="FF0000"/>
          <w:sz w:val="24"/>
          <w:szCs w:val="24"/>
          <w:lang w:val="en-US" w:eastAsia="zh-CN"/>
        </w:rPr>
      </w:pPr>
      <w:r>
        <w:rPr>
          <w:rFonts w:hint="eastAsia" w:ascii="Times New Roman" w:hAnsi="Times New Roman" w:cs="Times New Roman"/>
          <w:color w:val="FF0000"/>
          <w:sz w:val="24"/>
          <w:szCs w:val="24"/>
          <w:lang w:val="en-US" w:eastAsia="zh-CN"/>
        </w:rPr>
        <w:t>广西国控林业投资股份有限公司、广西平果市海同仓储有限责任公司以及广西百色市国控林业有限责任公司作为百色油茶产业龙头企业，拥有比较先进成熟的油茶果初加工自动化生产线，从油茶果采摘、脱壳干制到油茶籽贮存、运输积累了丰富的技术和生产管理经验。此三家公司的油茶籽生产线、贮运方式、生产管理模式均代表广西油茶籽生产的发展趋势。</w:t>
      </w:r>
    </w:p>
    <w:p w14:paraId="713F4A0B">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eastAsia" w:ascii="Times New Roman" w:hAnsi="Times New Roman" w:cs="Times New Roman"/>
          <w:color w:val="FF0000"/>
          <w:sz w:val="24"/>
          <w:szCs w:val="24"/>
          <w:lang w:val="en-US" w:eastAsia="zh-CN"/>
        </w:rPr>
        <w:t>因此，标准编制组选择以广西国控林业投资股份有限公司、广西平果市海同仓储有限责任公司以及广西百色市国控林业有限责任公司三家具有代表性的油茶籽生产企业的贮运现状、特点以及管理方式</w:t>
      </w:r>
      <w:r>
        <w:rPr>
          <w:rFonts w:hint="default" w:ascii="Times New Roman" w:hAnsi="Times New Roman" w:eastAsia="宋体" w:cs="Times New Roman"/>
          <w:color w:val="FF0000"/>
          <w:sz w:val="24"/>
          <w:szCs w:val="24"/>
          <w:lang w:val="en-US" w:eastAsia="zh-CN"/>
        </w:rPr>
        <w:t>为基础</w:t>
      </w:r>
      <w:r>
        <w:rPr>
          <w:rFonts w:hint="default" w:ascii="Times New Roman" w:hAnsi="Times New Roman" w:eastAsia="宋体" w:cs="Times New Roman"/>
          <w:color w:val="auto"/>
          <w:sz w:val="24"/>
          <w:szCs w:val="24"/>
          <w:lang w:val="en-US" w:eastAsia="zh-CN"/>
        </w:rPr>
        <w:t>，</w:t>
      </w:r>
      <w:r>
        <w:rPr>
          <w:rFonts w:hint="default" w:ascii="Times New Roman" w:hAnsi="Times New Roman" w:eastAsia="宋体" w:cs="Times New Roman"/>
          <w:color w:val="auto"/>
          <w:sz w:val="24"/>
          <w:szCs w:val="24"/>
          <w:lang w:eastAsia="zh-CN"/>
        </w:rPr>
        <w:t>依据GB</w:t>
      </w:r>
      <w:r>
        <w:rPr>
          <w:rFonts w:hint="default" w:ascii="Times New Roman" w:hAnsi="Times New Roman" w:eastAsia="宋体" w:cs="Times New Roman"/>
          <w:color w:val="auto"/>
          <w:spacing w:val="-23"/>
          <w:sz w:val="24"/>
          <w:szCs w:val="24"/>
          <w:lang w:eastAsia="zh-CN"/>
        </w:rPr>
        <w:t xml:space="preserve"> </w:t>
      </w:r>
      <w:r>
        <w:rPr>
          <w:rFonts w:hint="default" w:ascii="Times New Roman" w:hAnsi="Times New Roman" w:eastAsia="宋体" w:cs="Times New Roman"/>
          <w:color w:val="auto"/>
          <w:sz w:val="24"/>
          <w:szCs w:val="24"/>
          <w:lang w:eastAsia="zh-CN"/>
        </w:rPr>
        <w:t>1.1-2020《标准化工作导则》的规定编制，</w:t>
      </w:r>
      <w:r>
        <w:rPr>
          <w:rFonts w:hint="default" w:ascii="Times New Roman" w:hAnsi="Times New Roman" w:eastAsia="宋体" w:cs="Times New Roman"/>
          <w:color w:val="auto"/>
          <w:sz w:val="24"/>
          <w:szCs w:val="24"/>
          <w:lang w:val="en-US" w:eastAsia="zh-CN"/>
        </w:rPr>
        <w:t>参照</w:t>
      </w:r>
      <w:r>
        <w:rPr>
          <w:rFonts w:hint="default" w:ascii="Times New Roman" w:hAnsi="Times New Roman" w:eastAsia="宋体" w:cs="Times New Roman"/>
          <w:color w:val="auto"/>
          <w:sz w:val="24"/>
          <w:szCs w:val="24"/>
          <w:lang w:eastAsia="zh-CN"/>
        </w:rPr>
        <w:t>GB 14881-2013《食品安全国家标准 食品生产通用卫生规范》、GB/T  24616-2019《冷藏、冷冻食品物流包装、标志、运输和储存》、GB/T 30134-2013《冷库管理规范》</w:t>
      </w:r>
      <w:r>
        <w:rPr>
          <w:rFonts w:hint="default" w:ascii="Times New Roman" w:hAnsi="Times New Roman" w:eastAsia="宋体" w:cs="Times New Roman"/>
          <w:color w:val="auto"/>
          <w:sz w:val="24"/>
          <w:szCs w:val="24"/>
          <w:lang w:val="en-US" w:eastAsia="zh-CN"/>
        </w:rPr>
        <w:t>以及NY/T 1056-2021《绿色食品 储藏运输准则》</w:t>
      </w:r>
      <w:r>
        <w:rPr>
          <w:rFonts w:hint="default" w:ascii="Times New Roman" w:hAnsi="Times New Roman" w:eastAsia="宋体" w:cs="Times New Roman"/>
          <w:color w:val="auto"/>
          <w:sz w:val="24"/>
          <w:szCs w:val="24"/>
          <w:lang w:eastAsia="zh-CN"/>
        </w:rPr>
        <w:t>的相关规定，制订</w:t>
      </w:r>
      <w:r>
        <w:rPr>
          <w:rFonts w:hint="default" w:ascii="Times New Roman" w:hAnsi="Times New Roman" w:eastAsia="宋体" w:cs="Times New Roman"/>
          <w:color w:val="auto"/>
          <w:sz w:val="24"/>
          <w:szCs w:val="24"/>
          <w:lang w:val="en-US" w:eastAsia="zh-CN"/>
        </w:rPr>
        <w:t>本</w:t>
      </w:r>
      <w:r>
        <w:rPr>
          <w:rFonts w:hint="default" w:ascii="Times New Roman" w:hAnsi="Times New Roman" w:eastAsia="宋体" w:cs="Times New Roman"/>
          <w:color w:val="auto"/>
          <w:sz w:val="24"/>
          <w:szCs w:val="24"/>
          <w:lang w:eastAsia="zh-CN"/>
        </w:rPr>
        <w:t>标准。</w:t>
      </w:r>
    </w:p>
    <w:p w14:paraId="6BA4A7CC">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5  标准主要内容和依据</w:t>
      </w:r>
    </w:p>
    <w:p w14:paraId="1C3E0C8E">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5.1</w:t>
      </w:r>
      <w:r>
        <w:rPr>
          <w:rFonts w:hint="default" w:ascii="Times New Roman" w:hAnsi="Times New Roman" w:eastAsia="宋体" w:cs="Times New Roman"/>
          <w:color w:val="auto"/>
          <w:spacing w:val="11"/>
          <w:sz w:val="24"/>
          <w:szCs w:val="24"/>
          <w:lang w:eastAsia="zh-CN"/>
        </w:rPr>
        <w:t xml:space="preserve">  </w:t>
      </w:r>
      <w:r>
        <w:rPr>
          <w:rFonts w:hint="default" w:ascii="Times New Roman" w:hAnsi="Times New Roman" w:eastAsia="宋体" w:cs="Times New Roman"/>
          <w:color w:val="auto"/>
          <w:sz w:val="24"/>
          <w:szCs w:val="24"/>
          <w:lang w:eastAsia="zh-CN"/>
        </w:rPr>
        <w:t>主要内容</w:t>
      </w:r>
    </w:p>
    <w:p w14:paraId="1CE9B5AF">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本标准规定了油茶籽贮运的基础设施要求、贮存要求、运输要求、管理控制、检验方法。</w:t>
      </w:r>
    </w:p>
    <w:p w14:paraId="5719080D">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本标准适用于油茶籽的贮运管理。</w:t>
      </w:r>
    </w:p>
    <w:p w14:paraId="503FA795">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pacing w:val="-2"/>
          <w:sz w:val="24"/>
          <w:szCs w:val="24"/>
          <w:lang w:eastAsia="zh-CN"/>
        </w:rPr>
      </w:pPr>
      <w:r>
        <w:rPr>
          <w:rFonts w:hint="default" w:ascii="Times New Roman" w:hAnsi="Times New Roman" w:eastAsia="宋体" w:cs="Times New Roman"/>
          <w:color w:val="auto"/>
          <w:sz w:val="24"/>
          <w:szCs w:val="24"/>
          <w:lang w:eastAsia="zh-CN"/>
        </w:rPr>
        <w:t>5.2  标准各项内容确定的依据</w:t>
      </w:r>
    </w:p>
    <w:p w14:paraId="7BA583D0">
      <w:pPr>
        <w:pStyle w:val="14"/>
        <w:keepNext w:val="0"/>
        <w:keepLines w:val="0"/>
        <w:pageBreakBefore w:val="0"/>
        <w:widowControl/>
        <w:numPr>
          <w:ilvl w:val="1"/>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5.2.1 术语和定义</w:t>
      </w:r>
      <w:bookmarkStart w:id="1" w:name="_Toc26986532"/>
      <w:bookmarkEnd w:id="1"/>
    </w:p>
    <w:p w14:paraId="36AB3870">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2" w:firstLineChars="200"/>
        <w:jc w:val="both"/>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b w:val="0"/>
          <w:bCs w:val="0"/>
          <w:color w:val="auto"/>
          <w:sz w:val="24"/>
          <w:szCs w:val="24"/>
          <w:lang w:val="en-US" w:eastAsia="zh-CN"/>
        </w:rPr>
        <w:t>参照</w:t>
      </w:r>
      <w:r>
        <w:rPr>
          <w:rFonts w:hint="default" w:ascii="Times New Roman" w:hAnsi="Times New Roman" w:eastAsia="宋体" w:cs="Times New Roman"/>
          <w:color w:val="auto"/>
          <w:sz w:val="24"/>
          <w:szCs w:val="24"/>
        </w:rPr>
        <w:t>GB/T 37917-2019</w:t>
      </w:r>
      <w:r>
        <w:rPr>
          <w:rFonts w:hint="eastAsia" w:ascii="Times New Roman" w:cs="Times New Roman"/>
          <w:color w:val="auto"/>
          <w:sz w:val="24"/>
          <w:szCs w:val="24"/>
          <w:lang w:eastAsia="zh-CN"/>
        </w:rPr>
        <w:t>《油茶籽》</w:t>
      </w:r>
      <w:r>
        <w:rPr>
          <w:rFonts w:hint="default" w:ascii="Times New Roman" w:hAnsi="Times New Roman" w:eastAsia="宋体" w:cs="Times New Roman"/>
          <w:color w:val="auto"/>
          <w:sz w:val="24"/>
          <w:szCs w:val="24"/>
        </w:rPr>
        <w:t>对油茶籽的定义</w:t>
      </w:r>
      <w:r>
        <w:rPr>
          <w:rFonts w:hint="eastAsia" w:ascii="Times New Roman" w:cs="Times New Roman"/>
          <w:color w:val="auto"/>
          <w:sz w:val="24"/>
          <w:szCs w:val="24"/>
          <w:lang w:eastAsia="zh-CN"/>
        </w:rPr>
        <w:t>，</w:t>
      </w:r>
      <w:r>
        <w:rPr>
          <w:rFonts w:hint="eastAsia" w:ascii="Times New Roman" w:cs="Times New Roman"/>
          <w:color w:val="auto"/>
          <w:sz w:val="24"/>
          <w:szCs w:val="24"/>
          <w:lang w:val="en-US" w:eastAsia="zh-CN"/>
        </w:rPr>
        <w:t>确定油茶籽定义为“山茶属（ Camellia）油用物种的成熟种籽，由壳和种仁组成”。</w:t>
      </w:r>
    </w:p>
    <w:p w14:paraId="681C2638">
      <w:pPr>
        <w:pStyle w:val="14"/>
        <w:keepNext w:val="0"/>
        <w:keepLines w:val="0"/>
        <w:pageBreakBefore w:val="0"/>
        <w:widowControl/>
        <w:numPr>
          <w:ilvl w:val="1"/>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5.2.2 基础设施要求</w:t>
      </w:r>
    </w:p>
    <w:p w14:paraId="233B6930">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油茶籽贮存环节要具备冷库、贮存缓冲场地、冷库内配备必要的照明设施、夜间作业必备的照明设施等；冷库的关键设施为制冷系统，制冷系统的核心为压缩机，因此对制冷压缩机的定期清洗检查、定期维护极为重要，其目的就是维持制冷系统的正常运行，以确保冷库的运作；为了确保冷库的正常运作，冷库的管理和监控不可缺少，不同的企业管理方式和制度有所不同，其核心为有明确的规章制度、监督机制以督促相关人员对冷库进行持续性监测，一旦发现问题及时解决，维持冷库正常运作。</w:t>
      </w:r>
    </w:p>
    <w:p w14:paraId="26CA6380">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64" w:firstLineChars="200"/>
        <w:jc w:val="both"/>
        <w:textAlignment w:val="auto"/>
        <w:rPr>
          <w:rFonts w:hint="eastAsia" w:ascii="Times New Roman" w:cs="Times New Roman"/>
          <w:color w:val="auto"/>
          <w:spacing w:val="-4"/>
          <w:sz w:val="24"/>
          <w:szCs w:val="24"/>
          <w:lang w:val="en-US" w:eastAsia="zh-CN"/>
        </w:rPr>
      </w:pPr>
      <w:r>
        <w:rPr>
          <w:rFonts w:hint="eastAsia" w:ascii="Times New Roman" w:cs="Times New Roman"/>
          <w:color w:val="auto"/>
          <w:spacing w:val="-4"/>
          <w:sz w:val="24"/>
          <w:szCs w:val="24"/>
          <w:lang w:val="en-US" w:eastAsia="zh-CN"/>
        </w:rPr>
        <w:t>综上，“基础设施要求”确定为：</w:t>
      </w:r>
    </w:p>
    <w:p w14:paraId="2C02ABA9">
      <w:pPr>
        <w:pStyle w:val="13"/>
        <w:keepNext w:val="0"/>
        <w:keepLines w:val="0"/>
        <w:pageBreakBefore w:val="0"/>
        <w:widowControl/>
        <w:numPr>
          <w:ilvl w:val="0"/>
          <w:numId w:val="5"/>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应具有油茶籽贮存所需的场所、冷库、辅助设备设施、废弃物处理设施、照明设施等；</w:t>
      </w:r>
    </w:p>
    <w:p w14:paraId="04000D2F">
      <w:pPr>
        <w:pStyle w:val="13"/>
        <w:keepNext w:val="0"/>
        <w:keepLines w:val="0"/>
        <w:pageBreakBefore w:val="0"/>
        <w:widowControl/>
        <w:numPr>
          <w:ilvl w:val="0"/>
          <w:numId w:val="5"/>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定期应对制冷系统设备进行维护检查，对制冷压缩机进行清洗检查，定期更换润滑油，以保证制冷系统正常运行；</w:t>
      </w:r>
    </w:p>
    <w:p w14:paraId="1D830BC3">
      <w:pPr>
        <w:pStyle w:val="13"/>
        <w:keepNext w:val="0"/>
        <w:keepLines w:val="0"/>
        <w:pageBreakBefore w:val="0"/>
        <w:widowControl/>
        <w:numPr>
          <w:ilvl w:val="0"/>
          <w:numId w:val="5"/>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应策划冷藏设施管理要求和监测过程，明确过程控制要求，形成文件，并通过监督检查、考核等方式确保过程有效实施。</w:t>
      </w:r>
    </w:p>
    <w:p w14:paraId="7623B443">
      <w:pPr>
        <w:pStyle w:val="14"/>
        <w:keepNext w:val="0"/>
        <w:keepLines w:val="0"/>
        <w:pageBreakBefore w:val="0"/>
        <w:widowControl/>
        <w:numPr>
          <w:ilvl w:val="1"/>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5.2.3 贮存要求</w:t>
      </w:r>
    </w:p>
    <w:p w14:paraId="6A07C298">
      <w:pPr>
        <w:pStyle w:val="15"/>
        <w:keepNext w:val="0"/>
        <w:keepLines w:val="0"/>
        <w:pageBreakBefore w:val="0"/>
        <w:widowControl/>
        <w:numPr>
          <w:ilvl w:val="2"/>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5.2.3.1 冷藏设施设置要求</w:t>
      </w:r>
    </w:p>
    <w:p w14:paraId="43D0F2BD">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w:t>
      </w:r>
      <w:r>
        <w:rPr>
          <w:rFonts w:hint="eastAsia" w:ascii="Times New Roman" w:cs="Times New Roman"/>
          <w:b w:val="0"/>
          <w:bCs w:val="0"/>
          <w:color w:val="auto"/>
          <w:sz w:val="24"/>
          <w:szCs w:val="24"/>
          <w:lang w:val="en-US" w:eastAsia="zh-CN"/>
        </w:rPr>
        <w:t>，温湿度监测是冷库监控的必要手段，因此，必须配备易于读取的温湿度计；冷库防潮处理是确保冷库内物品安全存储的重要环节‌。潮气（湿气）不仅会影响存储物的质量，还可能导致冷库设备的损坏。因此，冷库的通风换气、防潮设施十分必要。此外，</w:t>
      </w:r>
      <w:r>
        <w:rPr>
          <w:rFonts w:hint="default" w:ascii="Times New Roman" w:hAnsi="Times New Roman" w:eastAsia="宋体" w:cs="Times New Roman"/>
          <w:color w:val="auto"/>
          <w:sz w:val="24"/>
          <w:szCs w:val="24"/>
        </w:rPr>
        <w:t>参照</w:t>
      </w:r>
      <w:r>
        <w:rPr>
          <w:rFonts w:hint="eastAsia" w:ascii="Times New Roman" w:cs="Times New Roman"/>
          <w:color w:val="auto"/>
          <w:sz w:val="24"/>
          <w:szCs w:val="24"/>
          <w:lang w:val="en-US" w:eastAsia="zh-CN"/>
        </w:rPr>
        <w:t xml:space="preserve">GB 14881-2013《食品安全国家标准 食品生产通用卫生规范》对于食品贮存的要求以及 </w:t>
      </w:r>
      <w:r>
        <w:rPr>
          <w:rFonts w:hint="default" w:ascii="Times New Roman" w:hAnsi="Times New Roman" w:eastAsia="宋体" w:cs="Times New Roman"/>
          <w:color w:val="auto"/>
          <w:spacing w:val="-4"/>
          <w:sz w:val="24"/>
          <w:szCs w:val="24"/>
        </w:rPr>
        <w:t>GB/T 24616-2019</w:t>
      </w:r>
      <w:r>
        <w:rPr>
          <w:rFonts w:hint="eastAsia" w:ascii="Times New Roman" w:cs="Times New Roman"/>
          <w:color w:val="auto"/>
          <w:spacing w:val="-4"/>
          <w:sz w:val="24"/>
          <w:szCs w:val="24"/>
          <w:lang w:eastAsia="zh-CN"/>
        </w:rPr>
        <w:t>《冷藏、冷冻食品物流包装、标志、运输和储存》</w:t>
      </w:r>
      <w:r>
        <w:rPr>
          <w:rFonts w:hint="default" w:ascii="Times New Roman" w:hAnsi="Times New Roman" w:eastAsia="宋体" w:cs="Times New Roman"/>
          <w:color w:val="auto"/>
          <w:spacing w:val="-4"/>
          <w:sz w:val="24"/>
          <w:szCs w:val="24"/>
        </w:rPr>
        <w:t>中7.</w:t>
      </w:r>
      <w:r>
        <w:rPr>
          <w:rFonts w:hint="eastAsia" w:ascii="Times New Roman" w:cs="Times New Roman"/>
          <w:color w:val="auto"/>
          <w:spacing w:val="-4"/>
          <w:sz w:val="24"/>
          <w:szCs w:val="24"/>
          <w:lang w:val="en-US" w:eastAsia="zh-CN"/>
        </w:rPr>
        <w:t>1对于冷库设施</w:t>
      </w:r>
      <w:r>
        <w:rPr>
          <w:rFonts w:hint="default" w:ascii="Times New Roman" w:hAnsi="Times New Roman" w:eastAsia="宋体" w:cs="Times New Roman"/>
          <w:color w:val="auto"/>
          <w:spacing w:val="-4"/>
          <w:sz w:val="24"/>
          <w:szCs w:val="24"/>
        </w:rPr>
        <w:t>的要求，</w:t>
      </w:r>
      <w:r>
        <w:rPr>
          <w:rFonts w:hint="eastAsia" w:ascii="Times New Roman" w:cs="Times New Roman"/>
          <w:color w:val="auto"/>
          <w:spacing w:val="-4"/>
          <w:sz w:val="24"/>
          <w:szCs w:val="24"/>
          <w:lang w:eastAsia="zh-CN"/>
        </w:rPr>
        <w:t>“</w:t>
      </w:r>
      <w:r>
        <w:rPr>
          <w:rFonts w:hint="default" w:ascii="Times New Roman" w:hAnsi="Times New Roman" w:eastAsia="宋体" w:cs="Times New Roman"/>
          <w:color w:val="auto"/>
          <w:spacing w:val="-4"/>
          <w:sz w:val="24"/>
          <w:szCs w:val="24"/>
        </w:rPr>
        <w:t>冷藏设施设置要求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确定为：</w:t>
      </w:r>
    </w:p>
    <w:p w14:paraId="4924A03E">
      <w:pPr>
        <w:pStyle w:val="13"/>
        <w:keepNext w:val="0"/>
        <w:keepLines w:val="0"/>
        <w:pageBreakBefore w:val="0"/>
        <w:widowControl/>
        <w:numPr>
          <w:ilvl w:val="0"/>
          <w:numId w:val="6"/>
        </w:numPr>
        <w:wordWrap/>
        <w:overflowPunct/>
        <w:topLinePunct w:val="0"/>
        <w:bidi w:val="0"/>
        <w:spacing w:line="500" w:lineRule="exact"/>
        <w:ind w:left="0" w:leftChars="0" w:right="0" w:rightChars="0" w:firstLine="420"/>
        <w:jc w:val="both"/>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冷藏库内设有可正确显示内部温度的温湿度计，宜设置外显式温湿度计；</w:t>
      </w:r>
    </w:p>
    <w:p w14:paraId="4923B3E1">
      <w:pPr>
        <w:pStyle w:val="13"/>
        <w:keepNext w:val="0"/>
        <w:keepLines w:val="0"/>
        <w:pageBreakBefore w:val="0"/>
        <w:widowControl/>
        <w:numPr>
          <w:ilvl w:val="0"/>
          <w:numId w:val="6"/>
        </w:numPr>
        <w:wordWrap/>
        <w:overflowPunct/>
        <w:topLinePunct w:val="0"/>
        <w:bidi w:val="0"/>
        <w:spacing w:line="500" w:lineRule="exact"/>
        <w:ind w:left="0" w:leftChars="0" w:right="0" w:rightChars="0" w:firstLine="420"/>
        <w:jc w:val="both"/>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冷藏库应设有通风、防潮及防止有害生物侵入的装置；</w:t>
      </w:r>
    </w:p>
    <w:p w14:paraId="0DC7FFB9">
      <w:pPr>
        <w:pStyle w:val="13"/>
        <w:keepNext w:val="0"/>
        <w:keepLines w:val="0"/>
        <w:pageBreakBefore w:val="0"/>
        <w:widowControl/>
        <w:numPr>
          <w:ilvl w:val="0"/>
          <w:numId w:val="6"/>
        </w:numPr>
        <w:wordWrap/>
        <w:overflowPunct/>
        <w:topLinePunct w:val="0"/>
        <w:bidi w:val="0"/>
        <w:spacing w:line="500" w:lineRule="exact"/>
        <w:ind w:left="0" w:leftChars="0" w:right="0" w:rightChars="0" w:firstLine="420"/>
        <w:jc w:val="both"/>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冷藏库内应使用防爆灯；</w:t>
      </w:r>
    </w:p>
    <w:p w14:paraId="5EF59EE3">
      <w:pPr>
        <w:pStyle w:val="13"/>
        <w:keepNext w:val="0"/>
        <w:keepLines w:val="0"/>
        <w:pageBreakBefore w:val="0"/>
        <w:widowControl/>
        <w:numPr>
          <w:ilvl w:val="0"/>
          <w:numId w:val="6"/>
        </w:numPr>
        <w:wordWrap/>
        <w:overflowPunct/>
        <w:topLinePunct w:val="0"/>
        <w:bidi w:val="0"/>
        <w:spacing w:line="500" w:lineRule="exact"/>
        <w:ind w:left="0" w:leftChars="0" w:right="0" w:rightChars="0" w:firstLine="420"/>
        <w:jc w:val="both"/>
        <w:rPr>
          <w:rFonts w:hint="eastAsia" w:ascii="Times New Roman" w:cs="Times New Roman"/>
          <w:color w:val="auto"/>
          <w:spacing w:val="-4"/>
          <w:sz w:val="24"/>
          <w:szCs w:val="24"/>
          <w:lang w:val="en-US" w:eastAsia="zh-CN"/>
        </w:rPr>
      </w:pPr>
      <w:r>
        <w:rPr>
          <w:rFonts w:hint="eastAsia" w:ascii="Times New Roman" w:hAnsi="Times New Roman" w:eastAsia="宋体" w:cs="Times New Roman"/>
          <w:color w:val="auto"/>
          <w:sz w:val="24"/>
          <w:szCs w:val="24"/>
          <w:lang w:val="en-US" w:eastAsia="zh-CN"/>
        </w:rPr>
        <w:t>冷藏库现场应有稳定的电网供电设施，以保证各种机器设备和控制系统的正常运行。</w:t>
      </w:r>
    </w:p>
    <w:p w14:paraId="17B5FE03">
      <w:pPr>
        <w:pStyle w:val="15"/>
        <w:keepNext w:val="0"/>
        <w:keepLines w:val="0"/>
        <w:pageBreakBefore w:val="0"/>
        <w:widowControl/>
        <w:numPr>
          <w:ilvl w:val="2"/>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5.2.3.2 入库及贮存要求</w:t>
      </w:r>
    </w:p>
    <w:p w14:paraId="7BA98AFA">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w:t>
      </w:r>
      <w:r>
        <w:rPr>
          <w:rFonts w:hint="eastAsia" w:ascii="Times New Roman" w:cs="Times New Roman"/>
          <w:b w:val="0"/>
          <w:bCs w:val="0"/>
          <w:color w:val="auto"/>
          <w:sz w:val="24"/>
          <w:szCs w:val="24"/>
          <w:lang w:eastAsia="zh-CN"/>
        </w:rPr>
        <w:t>，</w:t>
      </w:r>
      <w:r>
        <w:rPr>
          <w:rFonts w:hint="eastAsia" w:ascii="Times New Roman" w:cs="Times New Roman"/>
          <w:b w:val="0"/>
          <w:bCs w:val="0"/>
          <w:color w:val="FF0000"/>
          <w:sz w:val="24"/>
          <w:szCs w:val="24"/>
          <w:lang w:val="en-US" w:eastAsia="zh-CN"/>
        </w:rPr>
        <w:t>冷库中油茶籽各个堆码都会与库房的墙壁、地面保持一定距离，尤其冷库中堆码放置会留有适当的空隙，以确保冷库内温度均匀分布。据三家企业技术人员反馈，冷库内的油茶籽堆码要求参照了GB/T 30134-2013《冷库管理规范》对于冷库中食品堆码的空隙要求</w:t>
      </w:r>
      <w:r>
        <w:rPr>
          <w:rFonts w:hint="eastAsia" w:ascii="Times New Roman" w:cs="Times New Roman"/>
          <w:b w:val="0"/>
          <w:bCs w:val="0"/>
          <w:color w:val="auto"/>
          <w:sz w:val="24"/>
          <w:szCs w:val="24"/>
          <w:lang w:val="en-US" w:eastAsia="zh-CN"/>
        </w:rPr>
        <w:t>；依据生产企业的管理体系，油茶籽入库、贮存、出库，要记录相关信息（油茶籽品种、数量、等级、规格、出入库时间、生产日期等），做到各环节可溯源。同时</w:t>
      </w:r>
      <w:r>
        <w:rPr>
          <w:rFonts w:hint="default" w:ascii="Times New Roman" w:hAnsi="Times New Roman" w:eastAsia="宋体" w:cs="Times New Roman"/>
          <w:color w:val="auto"/>
          <w:sz w:val="24"/>
          <w:szCs w:val="24"/>
        </w:rPr>
        <w:t>参照</w:t>
      </w:r>
      <w:r>
        <w:rPr>
          <w:rFonts w:hint="default" w:ascii="Times New Roman" w:hAnsi="Times New Roman" w:eastAsia="宋体" w:cs="Times New Roman"/>
          <w:color w:val="auto"/>
          <w:spacing w:val="-4"/>
          <w:sz w:val="24"/>
          <w:szCs w:val="24"/>
        </w:rPr>
        <w:t>GB/T 30134-2013</w:t>
      </w:r>
      <w:r>
        <w:rPr>
          <w:rFonts w:hint="default" w:ascii="Times New Roman" w:hAnsi="Times New Roman" w:eastAsia="宋体" w:cs="Times New Roman"/>
          <w:color w:val="auto"/>
          <w:spacing w:val="-4"/>
          <w:sz w:val="24"/>
          <w:szCs w:val="24"/>
          <w:lang w:eastAsia="zh-CN"/>
        </w:rPr>
        <w:t>《冷库管理规范》</w:t>
      </w:r>
      <w:r>
        <w:rPr>
          <w:rFonts w:hint="default" w:ascii="Times New Roman" w:hAnsi="Times New Roman" w:eastAsia="宋体" w:cs="Times New Roman"/>
          <w:color w:val="auto"/>
          <w:spacing w:val="-4"/>
          <w:sz w:val="24"/>
          <w:szCs w:val="24"/>
        </w:rPr>
        <w:t>中6</w:t>
      </w:r>
      <w:r>
        <w:rPr>
          <w:rFonts w:hint="eastAsia" w:ascii="Times New Roman" w:cs="Times New Roman"/>
          <w:color w:val="auto"/>
          <w:spacing w:val="-4"/>
          <w:sz w:val="24"/>
          <w:szCs w:val="24"/>
          <w:lang w:val="en-US" w:eastAsia="zh-CN"/>
        </w:rPr>
        <w:t>对于冷藏食品贮存</w:t>
      </w:r>
      <w:r>
        <w:rPr>
          <w:rFonts w:hint="default" w:ascii="Times New Roman" w:hAnsi="Times New Roman" w:eastAsia="宋体" w:cs="Times New Roman"/>
          <w:color w:val="auto"/>
          <w:spacing w:val="-4"/>
          <w:sz w:val="24"/>
          <w:szCs w:val="24"/>
        </w:rPr>
        <w:t>的要求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入库及贮存要求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确定为：</w:t>
      </w:r>
    </w:p>
    <w:p w14:paraId="46B3ED74">
      <w:pPr>
        <w:pStyle w:val="13"/>
        <w:keepNext w:val="0"/>
        <w:keepLines w:val="0"/>
        <w:pageBreakBefore w:val="0"/>
        <w:widowControl/>
        <w:numPr>
          <w:ilvl w:val="0"/>
          <w:numId w:val="7"/>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应对入库油茶籽进行准入审核，合格后入库，并做好入库时间、品种、数量、等级、质量、温度、包装、生产日期和保质期等信息记录；</w:t>
      </w:r>
    </w:p>
    <w:p w14:paraId="38094171">
      <w:pPr>
        <w:pStyle w:val="13"/>
        <w:keepNext w:val="0"/>
        <w:keepLines w:val="0"/>
        <w:pageBreakBefore w:val="0"/>
        <w:widowControl/>
        <w:numPr>
          <w:ilvl w:val="0"/>
          <w:numId w:val="7"/>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入库前，应检查并确保库房的温湿度符合要求，并做好记录；</w:t>
      </w:r>
    </w:p>
    <w:p w14:paraId="0B7DAA0A">
      <w:pPr>
        <w:pStyle w:val="13"/>
        <w:keepNext w:val="0"/>
        <w:keepLines w:val="0"/>
        <w:pageBreakBefore w:val="0"/>
        <w:widowControl/>
        <w:numPr>
          <w:ilvl w:val="0"/>
          <w:numId w:val="7"/>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按照不同品种和级别分开贮存，并做好标识，不应产生品种存放混乱的情况。不应与有害、有毒、有异味或对产品产生不良影响的物品同处贮存；</w:t>
      </w:r>
    </w:p>
    <w:p w14:paraId="421829FB">
      <w:pPr>
        <w:pStyle w:val="13"/>
        <w:keepNext w:val="0"/>
        <w:keepLines w:val="0"/>
        <w:pageBreakBefore w:val="0"/>
        <w:widowControl/>
        <w:numPr>
          <w:ilvl w:val="0"/>
          <w:numId w:val="7"/>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冷库应设有适当的垫板，所贮存的物品不应直接放置在地面。堆码时，应稳固且有空隙，便于空气流通，维持库内温度的均匀性。堆码应符合下列要求：</w:t>
      </w:r>
    </w:p>
    <w:p w14:paraId="43BBB655">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——距冷却物冷藏间顶棚≥0.3m；</w:t>
      </w:r>
    </w:p>
    <w:p w14:paraId="2B051397">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——距顶排管下侧≥0.3m；</w:t>
      </w:r>
    </w:p>
    <w:p w14:paraId="7C38D4E9">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——距顶排管横侧≥0.2m；</w:t>
      </w:r>
    </w:p>
    <w:p w14:paraId="643C5B36">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——距无排管的墙≥0.2m；</w:t>
      </w:r>
    </w:p>
    <w:p w14:paraId="3F960E80">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——距墙排管外侧≥0.4m；</w:t>
      </w:r>
    </w:p>
    <w:p w14:paraId="4891D817">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——距风道≥0.2m；</w:t>
      </w:r>
    </w:p>
    <w:p w14:paraId="77DB087E">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64" w:firstLineChars="200"/>
        <w:jc w:val="both"/>
        <w:textAlignment w:val="auto"/>
        <w:rPr>
          <w:rFonts w:hint="default" w:ascii="Times New Roman" w:cs="Times New Roman"/>
          <w:color w:val="auto"/>
          <w:spacing w:val="-4"/>
          <w:sz w:val="24"/>
          <w:szCs w:val="24"/>
          <w:lang w:val="en-US" w:eastAsia="zh-CN"/>
        </w:rPr>
      </w:pPr>
      <w:r>
        <w:rPr>
          <w:rFonts w:hint="default" w:ascii="Times New Roman" w:cs="Times New Roman"/>
          <w:color w:val="auto"/>
          <w:spacing w:val="-4"/>
          <w:sz w:val="24"/>
          <w:szCs w:val="24"/>
          <w:lang w:val="en-US" w:eastAsia="zh-CN"/>
        </w:rPr>
        <w:t>——距冷风机周边≥1.5 m。</w:t>
      </w:r>
    </w:p>
    <w:p w14:paraId="78460D09">
      <w:pPr>
        <w:pStyle w:val="13"/>
        <w:keepNext w:val="0"/>
        <w:keepLines w:val="0"/>
        <w:pageBreakBefore w:val="0"/>
        <w:widowControl/>
        <w:numPr>
          <w:ilvl w:val="0"/>
          <w:numId w:val="7"/>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出库宜遵循先进先出的原则。应对出库食品进行检验，办理出库手续；</w:t>
      </w:r>
    </w:p>
    <w:p w14:paraId="47807DDA">
      <w:pPr>
        <w:pStyle w:val="13"/>
        <w:keepNext w:val="0"/>
        <w:keepLines w:val="0"/>
        <w:pageBreakBefore w:val="0"/>
        <w:widowControl/>
        <w:numPr>
          <w:ilvl w:val="0"/>
          <w:numId w:val="7"/>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应做好出库时间、品种、数量、等级、质量、温度、包装和生产日期等信息记录。</w:t>
      </w:r>
    </w:p>
    <w:p w14:paraId="70DC1E77">
      <w:pPr>
        <w:pStyle w:val="15"/>
        <w:keepNext w:val="0"/>
        <w:keepLines w:val="0"/>
        <w:pageBreakBefore w:val="0"/>
        <w:widowControl/>
        <w:numPr>
          <w:ilvl w:val="2"/>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5.2.3.3 冷库温湿度要求</w:t>
      </w:r>
    </w:p>
    <w:p w14:paraId="75447526">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b w:val="0"/>
          <w:bCs w:val="0"/>
          <w:color w:val="FF0000"/>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FF0000"/>
          <w:sz w:val="24"/>
          <w:szCs w:val="24"/>
          <w:lang w:val="en-US" w:eastAsia="zh-CN"/>
        </w:rPr>
        <w:t>为保证油茶籽的保质期，温湿度是油茶籽冷藏贮存过程中需要监测的关键参数。</w:t>
      </w:r>
      <w:r>
        <w:rPr>
          <w:rFonts w:hint="eastAsia" w:ascii="Times New Roman" w:cs="Times New Roman"/>
          <w:color w:val="FF0000"/>
          <w:spacing w:val="-4"/>
          <w:sz w:val="24"/>
          <w:szCs w:val="24"/>
          <w:lang w:val="en-US" w:eastAsia="zh-CN"/>
        </w:rPr>
        <w:t>根据实际调研情况（见附表1）</w:t>
      </w:r>
      <w:r>
        <w:rPr>
          <w:rFonts w:hint="eastAsia" w:ascii="Times New Roman" w:cs="Times New Roman"/>
          <w:b w:val="0"/>
          <w:bCs w:val="0"/>
          <w:color w:val="FF0000"/>
          <w:sz w:val="24"/>
          <w:szCs w:val="24"/>
          <w:lang w:val="en-US" w:eastAsia="zh-CN"/>
        </w:rPr>
        <w:t>，</w:t>
      </w:r>
      <w:r>
        <w:rPr>
          <w:rFonts w:hint="eastAsia" w:ascii="Times New Roman" w:cs="Times New Roman"/>
          <w:color w:val="FF0000"/>
          <w:sz w:val="24"/>
          <w:szCs w:val="24"/>
          <w:lang w:val="en-US" w:eastAsia="zh-CN"/>
        </w:rPr>
        <w:t>油茶籽冷藏的目的是使其贮存期超过7个月，乃至十个月，以维持茶油生产厂家的持续性生产。三家油茶籽企业分别将贮存温度控制在：4℃～10℃；＞0℃，＜10℃；＜10℃。三家油茶籽企业均选择了将贮存温度控制在10℃以下。贮存温度低于4℃对于延长油茶籽保质期无明显帮助，而且贮存温度越低能耗越高。因此，油茶籽贮存期间将温度控制在4℃～10℃。三家油茶籽企业分别将贮存湿度控制在：＜75%；＜80%；＜75%。</w:t>
      </w:r>
      <w:r>
        <w:rPr>
          <w:rFonts w:hint="eastAsia" w:ascii="Times New Roman" w:cs="Times New Roman"/>
          <w:b w:val="0"/>
          <w:bCs w:val="0"/>
          <w:color w:val="FF0000"/>
          <w:sz w:val="24"/>
          <w:szCs w:val="24"/>
          <w:lang w:val="en-US" w:eastAsia="zh-CN"/>
        </w:rPr>
        <w:t>4℃～10℃下贮存，</w:t>
      </w:r>
      <w:r>
        <w:rPr>
          <w:rFonts w:hint="eastAsia" w:ascii="Times New Roman" w:cs="Times New Roman"/>
          <w:color w:val="FF0000"/>
          <w:sz w:val="24"/>
          <w:szCs w:val="24"/>
          <w:lang w:val="en-US" w:eastAsia="zh-CN"/>
        </w:rPr>
        <w:t>空气相对湿度低于75%下贮藏7个月后，相比于高于此湿度下贮存的油茶籽发生霉变和虫害现象较少，油茶籽中所含油脂的氧化程度较低。当贮存温度高于10℃、相对湿度超过80%时，油茶籽更容易发生霉变，油茶籽油品质变差</w:t>
      </w:r>
      <w:r>
        <w:rPr>
          <w:rFonts w:hint="default" w:ascii="Times New Roman" w:hAnsi="Times New Roman" w:eastAsia="宋体" w:cs="Times New Roman"/>
          <w:color w:val="FF0000"/>
          <w:sz w:val="24"/>
          <w:szCs w:val="24"/>
        </w:rPr>
        <w:t>。</w:t>
      </w:r>
      <w:r>
        <w:rPr>
          <w:rFonts w:hint="eastAsia" w:ascii="Times New Roman" w:cs="Times New Roman"/>
          <w:color w:val="FF0000"/>
          <w:sz w:val="24"/>
          <w:szCs w:val="24"/>
          <w:lang w:val="en-US" w:eastAsia="zh-CN"/>
        </w:rPr>
        <w:t>对比三家油茶籽企业对油茶籽贮存湿度的控制要求，从更有利保证油茶籽品质的角度考虑，贮存湿度控制为：＜75%。综上，</w:t>
      </w:r>
      <w:r>
        <w:rPr>
          <w:rFonts w:hint="eastAsia" w:ascii="Times New Roman" w:cs="Times New Roman"/>
          <w:b w:val="0"/>
          <w:bCs w:val="0"/>
          <w:color w:val="FF0000"/>
          <w:sz w:val="24"/>
          <w:szCs w:val="24"/>
          <w:lang w:val="en-US" w:eastAsia="zh-CN"/>
        </w:rPr>
        <w:t>油茶籽冷藏温度控制在4℃～10℃、相对湿度＜75%为宜。</w:t>
      </w:r>
    </w:p>
    <w:p w14:paraId="6C2C96CA">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0" w:firstLineChars="200"/>
        <w:jc w:val="both"/>
        <w:textAlignment w:val="auto"/>
        <w:rPr>
          <w:rFonts w:hint="eastAsia" w:ascii="Times New Roman" w:cs="Times New Roman"/>
          <w:color w:val="auto"/>
          <w:sz w:val="24"/>
          <w:szCs w:val="24"/>
          <w:lang w:val="en-US" w:eastAsia="zh-CN"/>
        </w:rPr>
      </w:pPr>
      <w:r>
        <w:rPr>
          <w:rFonts w:hint="eastAsia" w:ascii="Times New Roman" w:cs="Times New Roman"/>
          <w:color w:val="auto"/>
          <w:sz w:val="24"/>
          <w:szCs w:val="24"/>
          <w:lang w:eastAsia="zh-CN"/>
        </w:rPr>
        <w:t>“</w:t>
      </w:r>
      <w:r>
        <w:rPr>
          <w:rFonts w:hint="eastAsia" w:ascii="Times New Roman" w:cs="Times New Roman"/>
          <w:color w:val="auto"/>
          <w:sz w:val="24"/>
          <w:szCs w:val="24"/>
          <w:lang w:val="en-US" w:eastAsia="zh-CN"/>
        </w:rPr>
        <w:t>冷库温湿度要求</w:t>
      </w:r>
      <w:r>
        <w:rPr>
          <w:rFonts w:hint="eastAsia" w:ascii="Times New Roman" w:cs="Times New Roman"/>
          <w:color w:val="auto"/>
          <w:sz w:val="24"/>
          <w:szCs w:val="24"/>
          <w:lang w:eastAsia="zh-CN"/>
        </w:rPr>
        <w:t>”</w:t>
      </w:r>
      <w:r>
        <w:rPr>
          <w:rFonts w:hint="eastAsia" w:ascii="Times New Roman" w:cs="Times New Roman"/>
          <w:color w:val="auto"/>
          <w:sz w:val="24"/>
          <w:szCs w:val="24"/>
          <w:lang w:val="en-US" w:eastAsia="zh-CN"/>
        </w:rPr>
        <w:t>确定为：</w:t>
      </w:r>
    </w:p>
    <w:p w14:paraId="6A3B3B6F">
      <w:pPr>
        <w:pStyle w:val="13"/>
        <w:keepNext w:val="0"/>
        <w:keepLines w:val="0"/>
        <w:pageBreakBefore w:val="0"/>
        <w:widowControl/>
        <w:numPr>
          <w:ilvl w:val="0"/>
          <w:numId w:val="8"/>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冷库贮存在温度应在 4℃～10℃之间；</w:t>
      </w:r>
    </w:p>
    <w:p w14:paraId="35ABBF47">
      <w:pPr>
        <w:pStyle w:val="13"/>
        <w:keepNext w:val="0"/>
        <w:keepLines w:val="0"/>
        <w:pageBreakBefore w:val="0"/>
        <w:widowControl/>
        <w:numPr>
          <w:ilvl w:val="0"/>
          <w:numId w:val="8"/>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冷库空气相对湿度应低于75%；</w:t>
      </w:r>
    </w:p>
    <w:p w14:paraId="39755533">
      <w:pPr>
        <w:pStyle w:val="13"/>
        <w:keepNext w:val="0"/>
        <w:keepLines w:val="0"/>
        <w:pageBreakBefore w:val="0"/>
        <w:widowControl/>
        <w:numPr>
          <w:ilvl w:val="0"/>
          <w:numId w:val="8"/>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各库内应设温湿度控制设施及温湿度计，应定期检查并进行记录。</w:t>
      </w:r>
    </w:p>
    <w:p w14:paraId="721E8C50">
      <w:pPr>
        <w:pStyle w:val="14"/>
        <w:keepNext w:val="0"/>
        <w:keepLines w:val="0"/>
        <w:pageBreakBefore w:val="0"/>
        <w:widowControl/>
        <w:numPr>
          <w:ilvl w:val="1"/>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5.2.3.4 人员要求</w:t>
      </w:r>
    </w:p>
    <w:p w14:paraId="0CB300DD">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w:t>
      </w:r>
      <w:r>
        <w:rPr>
          <w:rFonts w:hint="eastAsia" w:ascii="Times New Roman" w:cs="Times New Roman"/>
          <w:b w:val="0"/>
          <w:bCs w:val="0"/>
          <w:color w:val="auto"/>
          <w:sz w:val="24"/>
          <w:szCs w:val="24"/>
          <w:lang w:val="en-US" w:eastAsia="zh-CN"/>
        </w:rPr>
        <w:t>，冷库必须由经过专业知识、安全知识培训的人员进行管理；在冷库运作时，为保证其冷藏效果以及出于安全因素考虑，人员的进出必须严格控制。同时</w:t>
      </w:r>
      <w:r>
        <w:rPr>
          <w:rFonts w:hint="default" w:ascii="Times New Roman" w:hAnsi="Times New Roman" w:eastAsia="宋体" w:cs="Times New Roman"/>
          <w:color w:val="auto"/>
          <w:sz w:val="24"/>
          <w:szCs w:val="24"/>
        </w:rPr>
        <w:t>参照</w:t>
      </w:r>
      <w:r>
        <w:rPr>
          <w:rFonts w:hint="default" w:ascii="Times New Roman" w:hAnsi="Times New Roman" w:eastAsia="宋体" w:cs="Times New Roman"/>
          <w:color w:val="auto"/>
          <w:spacing w:val="-4"/>
          <w:sz w:val="24"/>
          <w:szCs w:val="24"/>
        </w:rPr>
        <w:t>GB/T 24616-2019</w:t>
      </w:r>
      <w:r>
        <w:rPr>
          <w:rFonts w:hint="default" w:ascii="Times New Roman" w:hAnsi="Times New Roman" w:eastAsia="宋体" w:cs="Times New Roman"/>
          <w:color w:val="auto"/>
          <w:spacing w:val="-4"/>
          <w:sz w:val="24"/>
          <w:szCs w:val="24"/>
          <w:lang w:eastAsia="zh-CN"/>
        </w:rPr>
        <w:t>《</w:t>
      </w:r>
      <w:r>
        <w:rPr>
          <w:rFonts w:hint="default" w:ascii="Times New Roman" w:hAnsi="Times New Roman" w:eastAsia="宋体" w:cs="Times New Roman"/>
          <w:color w:val="auto"/>
          <w:spacing w:val="-4"/>
          <w:sz w:val="24"/>
          <w:szCs w:val="24"/>
        </w:rPr>
        <w:t>冷藏、冷冻食品物流包装、标志、运输和储存</w:t>
      </w:r>
      <w:r>
        <w:rPr>
          <w:rFonts w:hint="default" w:ascii="Times New Roman" w:hAnsi="Times New Roman" w:eastAsia="宋体" w:cs="Times New Roman"/>
          <w:color w:val="auto"/>
          <w:spacing w:val="-4"/>
          <w:sz w:val="24"/>
          <w:szCs w:val="24"/>
          <w:lang w:eastAsia="zh-CN"/>
        </w:rPr>
        <w:t>》</w:t>
      </w:r>
      <w:r>
        <w:rPr>
          <w:rFonts w:hint="default" w:ascii="Times New Roman" w:hAnsi="Times New Roman" w:eastAsia="宋体" w:cs="Times New Roman"/>
          <w:color w:val="auto"/>
          <w:spacing w:val="-4"/>
          <w:sz w:val="24"/>
          <w:szCs w:val="24"/>
        </w:rPr>
        <w:t>中7.2</w:t>
      </w:r>
      <w:r>
        <w:rPr>
          <w:rFonts w:hint="eastAsia" w:ascii="Times New Roman" w:cs="Times New Roman"/>
          <w:color w:val="auto"/>
          <w:spacing w:val="-4"/>
          <w:sz w:val="24"/>
          <w:szCs w:val="24"/>
          <w:lang w:val="en-US" w:eastAsia="zh-CN"/>
        </w:rPr>
        <w:t>对于食品冷藏</w:t>
      </w:r>
      <w:r>
        <w:rPr>
          <w:rFonts w:hint="default" w:ascii="Times New Roman" w:hAnsi="Times New Roman" w:eastAsia="宋体" w:cs="Times New Roman"/>
          <w:color w:val="auto"/>
          <w:spacing w:val="-4"/>
          <w:sz w:val="24"/>
          <w:szCs w:val="24"/>
        </w:rPr>
        <w:t>的要求</w:t>
      </w:r>
      <w:r>
        <w:rPr>
          <w:rFonts w:hint="eastAsia" w:ascii="Times New Roman" w:cs="Times New Roman"/>
          <w:color w:val="auto"/>
          <w:spacing w:val="-4"/>
          <w:sz w:val="24"/>
          <w:szCs w:val="24"/>
          <w:lang w:val="en-US" w:eastAsia="zh-CN"/>
        </w:rPr>
        <w:t>以及</w:t>
      </w:r>
      <w:r>
        <w:rPr>
          <w:rFonts w:hint="default" w:ascii="Times New Roman" w:hAnsi="Times New Roman" w:eastAsia="宋体" w:cs="Times New Roman"/>
          <w:color w:val="auto"/>
          <w:spacing w:val="-4"/>
          <w:sz w:val="24"/>
          <w:szCs w:val="24"/>
        </w:rPr>
        <w:t>食品、食品添加剂生产许可现场核查评分记录表4.1</w:t>
      </w:r>
      <w:r>
        <w:rPr>
          <w:rFonts w:hint="eastAsia" w:ascii="Times New Roman" w:cs="Times New Roman"/>
          <w:color w:val="auto"/>
          <w:spacing w:val="-4"/>
          <w:sz w:val="24"/>
          <w:szCs w:val="24"/>
          <w:lang w:val="en-US" w:eastAsia="zh-CN"/>
        </w:rPr>
        <w:t>对于对于人员管理</w:t>
      </w:r>
      <w:r>
        <w:rPr>
          <w:rFonts w:hint="default" w:ascii="Times New Roman" w:hAnsi="Times New Roman" w:eastAsia="宋体" w:cs="Times New Roman"/>
          <w:color w:val="auto"/>
          <w:spacing w:val="-4"/>
          <w:sz w:val="24"/>
          <w:szCs w:val="24"/>
        </w:rPr>
        <w:t>的要求。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人员要求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确定为：</w:t>
      </w:r>
    </w:p>
    <w:p w14:paraId="4E8C679C">
      <w:pPr>
        <w:pStyle w:val="13"/>
        <w:keepNext w:val="0"/>
        <w:keepLines w:val="0"/>
        <w:pageBreakBefore w:val="0"/>
        <w:widowControl/>
        <w:numPr>
          <w:ilvl w:val="0"/>
          <w:numId w:val="9"/>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冷库管理人员必须进行知识技能考核、安全意识等培训，获得冷库设备及相关流程、相关证明，方可担任该岗位工作；</w:t>
      </w:r>
    </w:p>
    <w:p w14:paraId="76554197">
      <w:pPr>
        <w:pStyle w:val="13"/>
        <w:keepNext w:val="0"/>
        <w:keepLines w:val="0"/>
        <w:pageBreakBefore w:val="0"/>
        <w:widowControl/>
        <w:numPr>
          <w:ilvl w:val="0"/>
          <w:numId w:val="9"/>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应定期检查，及时排查隐患，保证冷库的安全运行；</w:t>
      </w:r>
    </w:p>
    <w:p w14:paraId="2F919970">
      <w:pPr>
        <w:pStyle w:val="13"/>
        <w:keepNext w:val="0"/>
        <w:keepLines w:val="0"/>
        <w:pageBreakBefore w:val="0"/>
        <w:widowControl/>
        <w:numPr>
          <w:ilvl w:val="0"/>
          <w:numId w:val="9"/>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保存制冷机房工作记录，如发现问题，及时上报给负责人；</w:t>
      </w:r>
    </w:p>
    <w:p w14:paraId="180B59F0">
      <w:pPr>
        <w:pStyle w:val="13"/>
        <w:keepNext w:val="0"/>
        <w:keepLines w:val="0"/>
        <w:pageBreakBefore w:val="0"/>
        <w:widowControl/>
        <w:numPr>
          <w:ilvl w:val="0"/>
          <w:numId w:val="9"/>
        </w:numPr>
        <w:wordWrap/>
        <w:overflowPunct/>
        <w:topLinePunct w:val="0"/>
        <w:bidi w:val="0"/>
        <w:spacing w:line="500" w:lineRule="exact"/>
        <w:ind w:left="0" w:leftChars="0" w:right="0" w:rightChars="0" w:firstLine="420"/>
        <w:jc w:val="both"/>
        <w:rPr>
          <w:rFonts w:hint="default" w:ascii="Times New Roman" w:cs="Times New Roman"/>
          <w:color w:val="auto"/>
          <w:spacing w:val="-4"/>
          <w:sz w:val="24"/>
          <w:szCs w:val="24"/>
          <w:lang w:val="en-US" w:eastAsia="zh-CN"/>
        </w:rPr>
      </w:pPr>
      <w:r>
        <w:rPr>
          <w:rFonts w:hint="default" w:ascii="Times New Roman" w:hAnsi="Times New Roman" w:eastAsia="宋体" w:cs="Times New Roman"/>
          <w:color w:val="auto"/>
          <w:sz w:val="24"/>
          <w:szCs w:val="24"/>
          <w:lang w:eastAsia="zh-CN"/>
        </w:rPr>
        <w:t>客户与其他外来人员未经许可，不得随意进入冷库。如需进入冷藏库，必须由仓库人员的陪同下方可进入。</w:t>
      </w:r>
    </w:p>
    <w:p w14:paraId="21713903">
      <w:pPr>
        <w:pStyle w:val="16"/>
        <w:keepNext w:val="0"/>
        <w:keepLines w:val="0"/>
        <w:pageBreakBefore w:val="0"/>
        <w:widowControl/>
        <w:numPr>
          <w:ilvl w:val="0"/>
          <w:numId w:val="0"/>
        </w:numPr>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5.2.4 运输要求</w:t>
      </w:r>
    </w:p>
    <w:p w14:paraId="40A02AC0">
      <w:pPr>
        <w:pStyle w:val="16"/>
        <w:keepNext w:val="0"/>
        <w:keepLines w:val="0"/>
        <w:pageBreakBefore w:val="0"/>
        <w:widowControl/>
        <w:numPr>
          <w:ilvl w:val="0"/>
          <w:numId w:val="0"/>
        </w:numPr>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5.2.4.1 运输工具</w:t>
      </w:r>
    </w:p>
    <w:p w14:paraId="2433D38B">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w:t>
      </w:r>
      <w:r>
        <w:rPr>
          <w:rFonts w:hint="eastAsia" w:ascii="Times New Roman" w:cs="Times New Roman"/>
          <w:b w:val="0"/>
          <w:bCs w:val="0"/>
          <w:color w:val="auto"/>
          <w:sz w:val="24"/>
          <w:szCs w:val="24"/>
          <w:lang w:val="en-US" w:eastAsia="zh-CN"/>
        </w:rPr>
        <w:t>，运输工具在装载油茶籽之前，必须达到以下基本要求：运输工具为食品运输专用（此点尤为重要），限制使用曾经运输过有毒有害有污染物质的运输工具；运输工具在装载油茶籽之前应清洁干净；冷链运输应监控运输过程的温度等。同时</w:t>
      </w:r>
      <w:r>
        <w:rPr>
          <w:rFonts w:hint="default" w:ascii="Times New Roman" w:hAnsi="Times New Roman" w:eastAsia="宋体" w:cs="Times New Roman"/>
          <w:color w:val="auto"/>
          <w:sz w:val="24"/>
          <w:szCs w:val="24"/>
        </w:rPr>
        <w:t>参照NY/T 1056-2021</w:t>
      </w:r>
      <w:r>
        <w:rPr>
          <w:rFonts w:hint="eastAsia" w:ascii="Times New Roman" w:cs="Times New Roman"/>
          <w:color w:val="auto"/>
          <w:sz w:val="24"/>
          <w:szCs w:val="24"/>
          <w:lang w:eastAsia="zh-CN"/>
        </w:rPr>
        <w:t>《绿色食品 储藏运输准则》</w:t>
      </w:r>
      <w:r>
        <w:rPr>
          <w:rFonts w:hint="default" w:ascii="Times New Roman" w:hAnsi="Times New Roman" w:eastAsia="宋体" w:cs="Times New Roman"/>
          <w:color w:val="auto"/>
          <w:sz w:val="24"/>
          <w:szCs w:val="24"/>
        </w:rPr>
        <w:t>中3.2.1</w:t>
      </w:r>
      <w:r>
        <w:rPr>
          <w:rFonts w:hint="eastAsia" w:ascii="Times New Roman" w:cs="Times New Roman"/>
          <w:color w:val="auto"/>
          <w:sz w:val="24"/>
          <w:szCs w:val="24"/>
          <w:lang w:val="en-US" w:eastAsia="zh-CN"/>
        </w:rPr>
        <w:t>对于运输工具的要求</w:t>
      </w:r>
      <w:r>
        <w:rPr>
          <w:rFonts w:hint="default" w:ascii="Times New Roman" w:hAnsi="Times New Roman" w:eastAsia="宋体" w:cs="Times New Roman"/>
          <w:color w:val="auto"/>
          <w:sz w:val="24"/>
          <w:szCs w:val="24"/>
        </w:rPr>
        <w:t>、GB/T 24616-2019</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冷藏、冷冻食品物流包装、标志、运输和储存</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中6.</w:t>
      </w:r>
      <w:r>
        <w:rPr>
          <w:rFonts w:hint="eastAsia" w:ascii="Times New Roman" w:cs="Times New Roman"/>
          <w:color w:val="auto"/>
          <w:sz w:val="24"/>
          <w:szCs w:val="24"/>
          <w:lang w:val="en-US" w:eastAsia="zh-CN"/>
        </w:rPr>
        <w:t>1对于运输设备的要求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对于运输工具的要求为：</w:t>
      </w:r>
    </w:p>
    <w:p w14:paraId="14E0E788">
      <w:pPr>
        <w:pStyle w:val="13"/>
        <w:keepNext w:val="0"/>
        <w:keepLines w:val="0"/>
        <w:pageBreakBefore w:val="0"/>
        <w:widowControl/>
        <w:numPr>
          <w:ilvl w:val="0"/>
          <w:numId w:val="10"/>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运输工具应专用于食品或食品原辅料运输；</w:t>
      </w:r>
    </w:p>
    <w:p w14:paraId="477BE246">
      <w:pPr>
        <w:pStyle w:val="13"/>
        <w:keepNext w:val="0"/>
        <w:keepLines w:val="0"/>
        <w:pageBreakBefore w:val="0"/>
        <w:widowControl/>
        <w:numPr>
          <w:ilvl w:val="0"/>
          <w:numId w:val="10"/>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运输工具在装入油茶籽之前应清理干净，必要时进行灭菌消毒；</w:t>
      </w:r>
    </w:p>
    <w:p w14:paraId="24CA5894">
      <w:pPr>
        <w:pStyle w:val="13"/>
        <w:keepNext w:val="0"/>
        <w:keepLines w:val="0"/>
        <w:pageBreakBefore w:val="0"/>
        <w:widowControl/>
        <w:numPr>
          <w:ilvl w:val="0"/>
          <w:numId w:val="10"/>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运输工具的铺垫物、遮盖物等应清洁、无毒无害；</w:t>
      </w:r>
    </w:p>
    <w:p w14:paraId="7C855C1A">
      <w:pPr>
        <w:pStyle w:val="13"/>
        <w:keepNext w:val="0"/>
        <w:keepLines w:val="0"/>
        <w:pageBreakBefore w:val="0"/>
        <w:widowControl/>
        <w:numPr>
          <w:ilvl w:val="0"/>
          <w:numId w:val="10"/>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冷链物流运输工具应具备自动温度记录和监控设备。</w:t>
      </w:r>
    </w:p>
    <w:p w14:paraId="059E0565">
      <w:pPr>
        <w:pStyle w:val="16"/>
        <w:keepNext w:val="0"/>
        <w:keepLines w:val="0"/>
        <w:pageBreakBefore w:val="0"/>
        <w:widowControl/>
        <w:numPr>
          <w:ilvl w:val="0"/>
          <w:numId w:val="0"/>
        </w:numPr>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5.2.4.2 运输条件</w:t>
      </w:r>
    </w:p>
    <w:p w14:paraId="0C251597">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w:t>
      </w:r>
      <w:r>
        <w:rPr>
          <w:rFonts w:hint="eastAsia" w:ascii="Times New Roman" w:cs="Times New Roman"/>
          <w:b w:val="0"/>
          <w:bCs w:val="0"/>
          <w:color w:val="auto"/>
          <w:sz w:val="24"/>
          <w:szCs w:val="24"/>
          <w:lang w:val="en-US" w:eastAsia="zh-CN"/>
        </w:rPr>
        <w:t>，油茶籽的运输要综合考虑运输成本和保障油茶籽品质两方面，运输工具的选择取决于运输时的天气温度和运输的距离。如需要用到冷链运输，则要监控运输时的温度变化。运输过程中的温度波动不宜过大，以免影响油茶籽品质。同时</w:t>
      </w:r>
      <w:r>
        <w:rPr>
          <w:rFonts w:hint="default" w:ascii="Times New Roman" w:hAnsi="Times New Roman" w:eastAsia="宋体" w:cs="Times New Roman"/>
          <w:color w:val="auto"/>
          <w:sz w:val="24"/>
          <w:szCs w:val="24"/>
        </w:rPr>
        <w:t>参照NY/T 1056-2021</w:t>
      </w:r>
      <w:r>
        <w:rPr>
          <w:rFonts w:hint="default" w:ascii="Times New Roman" w:hAnsi="Times New Roman" w:eastAsia="宋体" w:cs="Times New Roman"/>
          <w:color w:val="auto"/>
          <w:sz w:val="24"/>
          <w:szCs w:val="24"/>
          <w:lang w:eastAsia="zh-CN"/>
        </w:rPr>
        <w:t>《绿色食品 储藏运输准则》</w:t>
      </w:r>
      <w:r>
        <w:rPr>
          <w:rFonts w:hint="default" w:ascii="Times New Roman" w:hAnsi="Times New Roman" w:eastAsia="宋体" w:cs="Times New Roman"/>
          <w:color w:val="auto"/>
          <w:sz w:val="24"/>
          <w:szCs w:val="24"/>
        </w:rPr>
        <w:t>中3.2.2</w:t>
      </w:r>
      <w:r>
        <w:rPr>
          <w:rFonts w:hint="eastAsia" w:ascii="Times New Roman" w:cs="Times New Roman"/>
          <w:color w:val="auto"/>
          <w:sz w:val="24"/>
          <w:szCs w:val="24"/>
          <w:lang w:val="en-US" w:eastAsia="zh-CN"/>
        </w:rPr>
        <w:t>对于运输条件的要求以及</w:t>
      </w:r>
      <w:r>
        <w:rPr>
          <w:rFonts w:hint="default" w:ascii="Times New Roman" w:hAnsi="Times New Roman" w:eastAsia="宋体" w:cs="Times New Roman"/>
          <w:color w:val="auto"/>
          <w:sz w:val="24"/>
          <w:szCs w:val="24"/>
        </w:rPr>
        <w:t>GB/T 24616-2019</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冷藏、冷冻食品物流包装、标志、运输和储存</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中6.2.</w:t>
      </w:r>
      <w:r>
        <w:rPr>
          <w:rFonts w:hint="eastAsia" w:ascii="Times New Roman" w:cs="Times New Roman"/>
          <w:color w:val="auto"/>
          <w:sz w:val="24"/>
          <w:szCs w:val="24"/>
          <w:lang w:val="en-US" w:eastAsia="zh-CN"/>
        </w:rPr>
        <w:t>2对运输在途温控要求</w:t>
      </w:r>
      <w:r>
        <w:rPr>
          <w:rFonts w:hint="default" w:ascii="Times New Roman" w:hAnsi="Times New Roman" w:eastAsia="宋体" w:cs="Times New Roman"/>
          <w:color w:val="auto"/>
          <w:spacing w:val="-4"/>
          <w:sz w:val="24"/>
          <w:szCs w:val="24"/>
        </w:rPr>
        <w:t>，</w:t>
      </w:r>
      <w:r>
        <w:rPr>
          <w:rFonts w:hint="eastAsia" w:ascii="Times New Roman" w:cs="Times New Roman"/>
          <w:color w:val="auto"/>
          <w:spacing w:val="-4"/>
          <w:sz w:val="24"/>
          <w:szCs w:val="24"/>
          <w:lang w:val="en-US" w:eastAsia="zh-CN"/>
        </w:rPr>
        <w:t>确定“运输条件”为：</w:t>
      </w:r>
    </w:p>
    <w:p w14:paraId="2F0C68B5">
      <w:pPr>
        <w:pStyle w:val="13"/>
        <w:keepNext w:val="0"/>
        <w:keepLines w:val="0"/>
        <w:pageBreakBefore w:val="0"/>
        <w:widowControl/>
        <w:numPr>
          <w:ilvl w:val="0"/>
          <w:numId w:val="11"/>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应根据运输季节、运输距离及油茶籽保质储藏的要求选择不同的运输工具；</w:t>
      </w:r>
    </w:p>
    <w:p w14:paraId="62AB65C6">
      <w:pPr>
        <w:pStyle w:val="13"/>
        <w:keepNext w:val="0"/>
        <w:keepLines w:val="0"/>
        <w:pageBreakBefore w:val="0"/>
        <w:widowControl/>
        <w:numPr>
          <w:ilvl w:val="0"/>
          <w:numId w:val="11"/>
        </w:numPr>
        <w:wordWrap/>
        <w:overflowPunct/>
        <w:topLinePunct w:val="0"/>
        <w:bidi w:val="0"/>
        <w:spacing w:line="500" w:lineRule="exact"/>
        <w:ind w:left="0" w:leftChars="0" w:right="0" w:rightChars="0" w:firstLine="420"/>
        <w:jc w:val="both"/>
        <w:rPr>
          <w:rFonts w:hint="default" w:ascii="Times New Roman" w:cs="Times New Roman"/>
          <w:color w:val="auto"/>
          <w:spacing w:val="-4"/>
          <w:sz w:val="24"/>
          <w:szCs w:val="24"/>
          <w:lang w:val="en-US" w:eastAsia="zh-CN"/>
        </w:rPr>
      </w:pPr>
      <w:r>
        <w:rPr>
          <w:rFonts w:hint="default" w:ascii="Times New Roman" w:hAnsi="Times New Roman" w:eastAsia="宋体" w:cs="Times New Roman"/>
          <w:color w:val="auto"/>
          <w:sz w:val="24"/>
          <w:szCs w:val="24"/>
          <w:lang w:eastAsia="zh-CN"/>
        </w:rPr>
        <w:t>运输过程中需采取控温的，应采取控温措施并实时监控，运输过程中的温度波动范围应不超过±2℃。</w:t>
      </w:r>
    </w:p>
    <w:p w14:paraId="53BAE07F">
      <w:pPr>
        <w:pStyle w:val="16"/>
        <w:keepNext w:val="0"/>
        <w:keepLines w:val="0"/>
        <w:pageBreakBefore w:val="0"/>
        <w:widowControl/>
        <w:numPr>
          <w:ilvl w:val="0"/>
          <w:numId w:val="0"/>
        </w:numPr>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5.2.4.3 运输管理</w:t>
      </w:r>
    </w:p>
    <w:p w14:paraId="0A6C09A4">
      <w:pPr>
        <w:pStyle w:val="14"/>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500" w:lineRule="exact"/>
        <w:ind w:left="0" w:leftChars="0" w:right="0" w:rightChars="0" w:firstLine="482" w:firstLineChars="200"/>
        <w:jc w:val="both"/>
        <w:textAlignment w:val="auto"/>
        <w:rPr>
          <w:rFonts w:hint="default" w:ascii="Times New Roman" w:hAnsi="Times New Roman" w:eastAsia="宋体"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default" w:ascii="Times New Roman" w:hAnsi="Times New Roman" w:eastAsia="宋体" w:cs="Times New Roman"/>
          <w:b w:val="0"/>
          <w:bCs w:val="0"/>
          <w:color w:val="auto"/>
          <w:sz w:val="24"/>
          <w:szCs w:val="24"/>
          <w:lang w:val="en-US" w:eastAsia="zh-CN"/>
        </w:rPr>
        <w:t>根据实际调研情况（见附表1）</w:t>
      </w:r>
      <w:r>
        <w:rPr>
          <w:rFonts w:hint="eastAsia" w:ascii="Times New Roman" w:eastAsia="宋体" w:cs="Times New Roman"/>
          <w:color w:val="auto"/>
          <w:spacing w:val="-4"/>
          <w:sz w:val="24"/>
          <w:szCs w:val="24"/>
          <w:lang w:val="en-US" w:eastAsia="zh-CN"/>
        </w:rPr>
        <w:t>，运输管理主要为装运前的油茶籽验收管理、运输环节的可溯源管理以及运输过程注意事项（食品运输要尽可能避免与其他物质混放、运输过程要防止挤压以防油茶籽破损、避免采用敞篷式的运输工具）等</w:t>
      </w:r>
      <w:r>
        <w:rPr>
          <w:rFonts w:hint="default" w:ascii="Times New Roman" w:hAnsi="Times New Roman" w:eastAsia="宋体" w:cs="Times New Roman"/>
          <w:color w:val="auto"/>
          <w:spacing w:val="-4"/>
          <w:sz w:val="24"/>
          <w:szCs w:val="24"/>
        </w:rPr>
        <w:t>。</w:t>
      </w:r>
      <w:r>
        <w:rPr>
          <w:rFonts w:hint="eastAsia" w:ascii="Times New Roman" w:eastAsia="宋体" w:cs="Times New Roman"/>
          <w:color w:val="auto"/>
          <w:spacing w:val="-4"/>
          <w:sz w:val="24"/>
          <w:szCs w:val="24"/>
          <w:lang w:val="en-US" w:eastAsia="zh-CN"/>
        </w:rPr>
        <w:t>同时</w:t>
      </w:r>
      <w:r>
        <w:rPr>
          <w:rFonts w:hint="default" w:ascii="Times New Roman" w:hAnsi="Times New Roman" w:eastAsia="宋体" w:cs="Times New Roman"/>
          <w:color w:val="auto"/>
          <w:sz w:val="24"/>
          <w:szCs w:val="24"/>
        </w:rPr>
        <w:t>参照GB/T 37917-2019</w:t>
      </w:r>
      <w:r>
        <w:rPr>
          <w:rFonts w:hint="default" w:ascii="Times New Roman" w:hAnsi="Times New Roman" w:eastAsia="宋体" w:cs="Times New Roman"/>
          <w:color w:val="auto"/>
          <w:sz w:val="24"/>
          <w:szCs w:val="24"/>
          <w:lang w:eastAsia="zh-CN"/>
        </w:rPr>
        <w:t>《油茶籽》</w:t>
      </w:r>
      <w:r>
        <w:rPr>
          <w:rFonts w:hint="default" w:ascii="Times New Roman" w:hAnsi="Times New Roman" w:eastAsia="宋体" w:cs="Times New Roman"/>
          <w:color w:val="auto"/>
          <w:sz w:val="24"/>
          <w:szCs w:val="24"/>
        </w:rPr>
        <w:t>中8.3、NY/T 1056-2021</w:t>
      </w:r>
      <w:r>
        <w:rPr>
          <w:rFonts w:hint="default" w:ascii="Times New Roman" w:hAnsi="Times New Roman" w:eastAsia="宋体" w:cs="Times New Roman"/>
          <w:color w:val="auto"/>
          <w:sz w:val="24"/>
          <w:szCs w:val="24"/>
          <w:lang w:eastAsia="zh-CN"/>
        </w:rPr>
        <w:t>《绿色食品 储藏运输准则》</w:t>
      </w:r>
      <w:r>
        <w:rPr>
          <w:rFonts w:hint="default" w:ascii="Times New Roman" w:hAnsi="Times New Roman" w:eastAsia="宋体" w:cs="Times New Roman"/>
          <w:color w:val="auto"/>
          <w:sz w:val="24"/>
          <w:szCs w:val="24"/>
        </w:rPr>
        <w:t>中3.2.3</w:t>
      </w:r>
      <w:r>
        <w:rPr>
          <w:rFonts w:hint="eastAsia" w:ascii="Times New Roman" w:eastAsia="宋体" w:cs="Times New Roman"/>
          <w:color w:val="auto"/>
          <w:sz w:val="24"/>
          <w:szCs w:val="24"/>
          <w:lang w:val="en-US" w:eastAsia="zh-CN"/>
        </w:rPr>
        <w:t>和</w:t>
      </w:r>
      <w:r>
        <w:rPr>
          <w:rFonts w:hint="default" w:ascii="Times New Roman" w:hAnsi="Times New Roman" w:eastAsia="宋体" w:cs="Times New Roman"/>
          <w:color w:val="auto"/>
          <w:sz w:val="24"/>
          <w:szCs w:val="24"/>
        </w:rPr>
        <w:t>GB/T 24616-2019</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冷藏、冷冻食品物流包装、标志、运输和储存</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中6.2.4</w:t>
      </w:r>
      <w:r>
        <w:rPr>
          <w:rFonts w:hint="eastAsia" w:ascii="Times New Roman" w:eastAsia="宋体" w:cs="Times New Roman"/>
          <w:color w:val="auto"/>
          <w:sz w:val="24"/>
          <w:szCs w:val="24"/>
          <w:lang w:val="en-US" w:eastAsia="zh-CN"/>
        </w:rPr>
        <w:t>对运输管理的要求</w:t>
      </w:r>
      <w:r>
        <w:rPr>
          <w:rFonts w:hint="default" w:ascii="Times New Roman" w:hAnsi="Times New Roman" w:eastAsia="宋体" w:cs="Times New Roman"/>
          <w:color w:val="auto"/>
          <w:spacing w:val="-4"/>
          <w:sz w:val="24"/>
          <w:szCs w:val="24"/>
        </w:rPr>
        <w:t>，</w:t>
      </w:r>
      <w:r>
        <w:rPr>
          <w:rFonts w:hint="eastAsia" w:ascii="Times New Roman" w:eastAsia="宋体" w:cs="Times New Roman"/>
          <w:color w:val="auto"/>
          <w:spacing w:val="-4"/>
          <w:sz w:val="24"/>
          <w:szCs w:val="24"/>
          <w:lang w:val="en-US" w:eastAsia="zh-CN"/>
        </w:rPr>
        <w:t>确定“运输管理”为：</w:t>
      </w:r>
    </w:p>
    <w:p w14:paraId="6EF0D0BE">
      <w:pPr>
        <w:pStyle w:val="13"/>
        <w:keepNext w:val="0"/>
        <w:keepLines w:val="0"/>
        <w:pageBreakBefore w:val="0"/>
        <w:widowControl/>
        <w:numPr>
          <w:ilvl w:val="0"/>
          <w:numId w:val="12"/>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严禁与有害、有毒、有异味或对产品产生不良影响的物品共同运输；</w:t>
      </w:r>
    </w:p>
    <w:p w14:paraId="35E53F85">
      <w:pPr>
        <w:pStyle w:val="13"/>
        <w:keepNext w:val="0"/>
        <w:keepLines w:val="0"/>
        <w:pageBreakBefore w:val="0"/>
        <w:widowControl/>
        <w:numPr>
          <w:ilvl w:val="0"/>
          <w:numId w:val="12"/>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装运前应进行油茶籽出库检查，在油茶籽、标签与单据三者相符的情况下方可装运；</w:t>
      </w:r>
    </w:p>
    <w:p w14:paraId="43E830E2">
      <w:pPr>
        <w:pStyle w:val="13"/>
        <w:keepNext w:val="0"/>
        <w:keepLines w:val="0"/>
        <w:pageBreakBefore w:val="0"/>
        <w:widowControl/>
        <w:numPr>
          <w:ilvl w:val="0"/>
          <w:numId w:val="12"/>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运输过程中应轻装、轻卸，防正挤压、剧烈震动和日晒雨淋；</w:t>
      </w:r>
    </w:p>
    <w:p w14:paraId="2393286D">
      <w:pPr>
        <w:pStyle w:val="13"/>
        <w:keepNext w:val="0"/>
        <w:keepLines w:val="0"/>
        <w:pageBreakBefore w:val="0"/>
        <w:widowControl/>
        <w:numPr>
          <w:ilvl w:val="0"/>
          <w:numId w:val="12"/>
        </w:numPr>
        <w:wordWrap/>
        <w:overflowPunct/>
        <w:topLinePunct w:val="0"/>
        <w:bidi w:val="0"/>
        <w:spacing w:line="500" w:lineRule="exact"/>
        <w:ind w:left="0" w:leftChars="0" w:right="0" w:rightChars="0" w:firstLine="420"/>
        <w:jc w:val="both"/>
        <w:rPr>
          <w:rFonts w:hint="default"/>
          <w:color w:val="auto"/>
        </w:rPr>
      </w:pPr>
      <w:r>
        <w:rPr>
          <w:rFonts w:hint="default" w:ascii="Times New Roman" w:hAnsi="Times New Roman" w:eastAsia="宋体" w:cs="Times New Roman"/>
          <w:color w:val="auto"/>
          <w:sz w:val="24"/>
          <w:szCs w:val="24"/>
          <w:lang w:eastAsia="zh-CN"/>
        </w:rPr>
        <w:t>应保留运输相关档案记录，记载运输的地区、日期、种类、等级、批次、数量、质量、包装情况及运输方式等，确保可追溯、可查询。</w:t>
      </w:r>
    </w:p>
    <w:p w14:paraId="082300C5">
      <w:pPr>
        <w:pStyle w:val="14"/>
        <w:keepNext w:val="0"/>
        <w:keepLines w:val="0"/>
        <w:pageBreakBefore w:val="0"/>
        <w:widowControl/>
        <w:numPr>
          <w:ilvl w:val="1"/>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5.2.5 管理控制</w:t>
      </w:r>
    </w:p>
    <w:p w14:paraId="03184C31">
      <w:pPr>
        <w:pStyle w:val="15"/>
        <w:keepNext w:val="0"/>
        <w:keepLines w:val="0"/>
        <w:pageBreakBefore w:val="0"/>
        <w:widowControl/>
        <w:numPr>
          <w:ilvl w:val="2"/>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5.2.5.1 质量检查</w:t>
      </w:r>
    </w:p>
    <w:p w14:paraId="772C8AD7">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2" w:firstLineChars="200"/>
        <w:jc w:val="both"/>
        <w:textAlignment w:val="auto"/>
        <w:rPr>
          <w:rFonts w:hint="eastAsia" w:ascii="Times New Roman" w:cs="Times New Roman"/>
          <w:b w:val="0"/>
          <w:bCs w:val="0"/>
          <w:color w:val="FF0000"/>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FF0000"/>
          <w:spacing w:val="-4"/>
          <w:sz w:val="24"/>
          <w:szCs w:val="24"/>
          <w:lang w:val="en-US" w:eastAsia="zh-CN"/>
        </w:rPr>
        <w:t>根据实际调研情况（见附表1）</w:t>
      </w:r>
      <w:r>
        <w:rPr>
          <w:rFonts w:hint="eastAsia" w:ascii="Times New Roman" w:cs="Times New Roman"/>
          <w:b w:val="0"/>
          <w:bCs w:val="0"/>
          <w:color w:val="FF0000"/>
          <w:sz w:val="24"/>
          <w:szCs w:val="24"/>
          <w:lang w:val="en-US" w:eastAsia="zh-CN"/>
        </w:rPr>
        <w:t>，三家企业均对油茶籽在贮存过程中的水分及霉变率进行监控，监控频率及控制值为：每月一次，水分＞10%或霉变率＞1%，需采取措施；每月一次，水分＞13%或霉变率＞1%，需采取措施；每季度一次，水分＞13%或霉变率＞1%，需采取措施。依据GB/T 37917-2019《油茶籽》表1规定，水分＞13.0%或霉变率＞1.0%为不合格产品。有两家企业以该标准的水分限量值作为油茶籽贮存过程中的水分控制值，另一家对于水分的控制比较严格。考虑到油茶籽交易后的运输过程以及在买方生产前的暂存过程中，水分可能还会升高，所以借鉴广西国控林业投资股份有限公司对于油茶籽在贮存过程中的水分控制范围：水分≤10%。三家企业均将贮存过程中的霉变率控制在1%以下，霉变率在贮存过程中一旦大于1%，需要及时出库。水分及霉变率检测频次其中一家企业为每季度一次，其余两家企业为每月一次。每季度一次监控频次过低，不利于保证油茶籽的品质。选择监控频次为每月一次。</w:t>
      </w:r>
    </w:p>
    <w:p w14:paraId="3C34CD52">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0" w:firstLineChars="200"/>
        <w:jc w:val="both"/>
        <w:textAlignment w:val="auto"/>
        <w:rPr>
          <w:rFonts w:hint="eastAsia" w:ascii="Times New Roman" w:cs="Times New Roman"/>
          <w:b w:val="0"/>
          <w:bCs w:val="0"/>
          <w:color w:val="FF0000"/>
          <w:sz w:val="24"/>
          <w:szCs w:val="24"/>
          <w:lang w:val="en-US" w:eastAsia="zh-CN"/>
        </w:rPr>
      </w:pPr>
      <w:r>
        <w:rPr>
          <w:rFonts w:hint="eastAsia" w:ascii="Times New Roman" w:cs="Times New Roman"/>
          <w:b w:val="0"/>
          <w:bCs w:val="0"/>
          <w:color w:val="FF0000"/>
          <w:sz w:val="24"/>
          <w:szCs w:val="24"/>
          <w:lang w:val="en-US" w:eastAsia="zh-CN"/>
        </w:rPr>
        <w:t>三家企业中，仅广西国控林业投资股份有限公司</w:t>
      </w:r>
      <w:bookmarkStart w:id="2" w:name="_GoBack"/>
      <w:bookmarkEnd w:id="2"/>
      <w:r>
        <w:rPr>
          <w:rFonts w:hint="eastAsia" w:ascii="Times New Roman" w:cs="Times New Roman"/>
          <w:b w:val="0"/>
          <w:bCs w:val="0"/>
          <w:color w:val="FF0000"/>
          <w:sz w:val="24"/>
          <w:szCs w:val="24"/>
          <w:lang w:val="en-US" w:eastAsia="zh-CN"/>
        </w:rPr>
        <w:t>每季度对油茶籽所含油脂的酸价和过氧化值进行监控。</w:t>
      </w:r>
      <w:r>
        <w:rPr>
          <w:rFonts w:hint="default" w:ascii="Times New Roman" w:hAnsi="Times New Roman" w:eastAsia="宋体" w:cs="Times New Roman"/>
          <w:color w:val="FF0000"/>
          <w:sz w:val="24"/>
          <w:szCs w:val="24"/>
        </w:rPr>
        <w:t>依据GB 2716-2018</w:t>
      </w:r>
      <w:r>
        <w:rPr>
          <w:rFonts w:hint="eastAsia" w:ascii="Times New Roman" w:cs="Times New Roman"/>
          <w:color w:val="FF0000"/>
          <w:sz w:val="24"/>
          <w:szCs w:val="24"/>
          <w:lang w:eastAsia="zh-CN"/>
        </w:rPr>
        <w:t>《食品安全国家标准 植物油》</w:t>
      </w:r>
      <w:r>
        <w:rPr>
          <w:rFonts w:hint="default" w:ascii="Times New Roman" w:hAnsi="Times New Roman" w:eastAsia="宋体" w:cs="Times New Roman"/>
          <w:color w:val="FF0000"/>
          <w:sz w:val="24"/>
          <w:szCs w:val="24"/>
        </w:rPr>
        <w:t>的规定，油茶籽原油酸价和过氧化值的限量指标分别为≤4.0mg/g和≤0.25g/100g。</w:t>
      </w:r>
      <w:r>
        <w:rPr>
          <w:rFonts w:hint="eastAsia" w:ascii="Times New Roman" w:cs="Times New Roman"/>
          <w:color w:val="FF0000"/>
          <w:sz w:val="24"/>
          <w:szCs w:val="24"/>
          <w:lang w:val="en-US" w:eastAsia="zh-CN"/>
        </w:rPr>
        <w:t>定期对油茶籽所含油脂的酸价和过氧化值进行监控十分必要</w:t>
      </w:r>
      <w:r>
        <w:rPr>
          <w:rFonts w:hint="eastAsia" w:ascii="Times New Roman" w:cs="Times New Roman"/>
          <w:color w:val="FF0000"/>
          <w:sz w:val="24"/>
          <w:szCs w:val="24"/>
          <w:lang w:eastAsia="zh-CN"/>
        </w:rPr>
        <w:t>。</w:t>
      </w:r>
    </w:p>
    <w:p w14:paraId="79028473">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0" w:firstLineChars="200"/>
        <w:jc w:val="both"/>
        <w:textAlignment w:val="auto"/>
        <w:rPr>
          <w:rFonts w:hint="eastAsia" w:ascii="Times New Roman" w:cs="Times New Roman"/>
          <w:b w:val="0"/>
          <w:bCs w:val="0"/>
          <w:color w:val="FF0000"/>
          <w:sz w:val="24"/>
          <w:szCs w:val="24"/>
          <w:lang w:val="en-US" w:eastAsia="zh-CN"/>
        </w:rPr>
      </w:pPr>
      <w:r>
        <w:rPr>
          <w:rFonts w:hint="eastAsia" w:ascii="Times New Roman" w:cs="Times New Roman"/>
          <w:b w:val="0"/>
          <w:bCs w:val="0"/>
          <w:color w:val="FF0000"/>
          <w:sz w:val="24"/>
          <w:szCs w:val="24"/>
          <w:lang w:val="en-US" w:eastAsia="zh-CN"/>
        </w:rPr>
        <w:t>入库时水分含量三家企业控制在5～6%、≤10%、≤13%。依据调研情况，买方希望油茶籽水分为7～9%。油茶籽在冷藏过程中水分会升高约3%，入库水分控制在5～6%比较合理。</w:t>
      </w:r>
    </w:p>
    <w:p w14:paraId="7B8BDED2">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0" w:firstLineChars="200"/>
        <w:jc w:val="both"/>
        <w:textAlignment w:val="auto"/>
        <w:rPr>
          <w:rFonts w:hint="eastAsia" w:ascii="Times New Roman" w:cs="Times New Roman"/>
          <w:color w:val="auto"/>
          <w:sz w:val="24"/>
          <w:szCs w:val="24"/>
          <w:lang w:val="en-US" w:eastAsia="zh-CN"/>
        </w:rPr>
      </w:pPr>
      <w:r>
        <w:rPr>
          <w:rFonts w:hint="eastAsia" w:ascii="Times New Roman" w:cs="Times New Roman"/>
          <w:color w:val="auto"/>
          <w:sz w:val="24"/>
          <w:szCs w:val="24"/>
          <w:lang w:val="en-US" w:eastAsia="zh-CN"/>
        </w:rPr>
        <w:t>因此，“质量检查”确定为：</w:t>
      </w:r>
    </w:p>
    <w:p w14:paraId="5D071596">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0" w:firstLineChars="200"/>
        <w:jc w:val="both"/>
        <w:textAlignment w:val="auto"/>
        <w:rPr>
          <w:rFonts w:hint="default" w:ascii="Times New Roman" w:cs="Times New Roman"/>
          <w:color w:val="auto"/>
          <w:sz w:val="24"/>
          <w:szCs w:val="24"/>
          <w:lang w:val="en-US" w:eastAsia="zh-CN"/>
        </w:rPr>
      </w:pPr>
      <w:r>
        <w:rPr>
          <w:rFonts w:hint="default" w:ascii="Times New Roman" w:cs="Times New Roman"/>
          <w:color w:val="auto"/>
          <w:sz w:val="24"/>
          <w:szCs w:val="24"/>
          <w:lang w:val="en-US" w:eastAsia="zh-CN"/>
        </w:rPr>
        <w:t>油茶籽贮藏入冷库时</w:t>
      </w:r>
      <w:r>
        <w:rPr>
          <w:rFonts w:hint="eastAsia" w:ascii="Times New Roman" w:cs="Times New Roman"/>
          <w:color w:val="auto"/>
          <w:sz w:val="24"/>
          <w:szCs w:val="24"/>
          <w:lang w:val="en-US" w:eastAsia="zh-CN"/>
        </w:rPr>
        <w:t>水分含量</w:t>
      </w:r>
      <w:r>
        <w:rPr>
          <w:rFonts w:hint="default" w:ascii="Times New Roman" w:cs="Times New Roman"/>
          <w:color w:val="auto"/>
          <w:sz w:val="24"/>
          <w:szCs w:val="24"/>
          <w:lang w:val="en-US" w:eastAsia="zh-CN"/>
        </w:rPr>
        <w:t>应在5</w:t>
      </w:r>
      <w:r>
        <w:rPr>
          <w:rFonts w:hint="eastAsia" w:ascii="Times New Roman" w:cs="Times New Roman"/>
          <w:color w:val="auto"/>
          <w:sz w:val="24"/>
          <w:szCs w:val="24"/>
          <w:lang w:val="en-US" w:eastAsia="zh-CN"/>
        </w:rPr>
        <w:t>～</w:t>
      </w:r>
      <w:r>
        <w:rPr>
          <w:rFonts w:hint="default" w:ascii="Times New Roman" w:cs="Times New Roman"/>
          <w:color w:val="auto"/>
          <w:sz w:val="24"/>
          <w:szCs w:val="24"/>
          <w:lang w:val="en-US" w:eastAsia="zh-CN"/>
        </w:rPr>
        <w:t>6%，贮藏期间定期检测时不应超过10 %。</w:t>
      </w:r>
    </w:p>
    <w:p w14:paraId="6DDB9816">
      <w:pPr>
        <w:pStyle w:val="13"/>
        <w:keepNext w:val="0"/>
        <w:keepLines w:val="0"/>
        <w:pageBreakBefore w:val="0"/>
        <w:widowControl/>
        <w:kinsoku/>
        <w:wordWrap/>
        <w:overflowPunct/>
        <w:topLinePunct w:val="0"/>
        <w:autoSpaceDE w:val="0"/>
        <w:autoSpaceDN w:val="0"/>
        <w:bidi w:val="0"/>
        <w:adjustRightInd/>
        <w:snapToGrid/>
        <w:spacing w:line="500" w:lineRule="exact"/>
        <w:ind w:left="0" w:leftChars="0" w:right="0" w:rightChars="0" w:firstLine="480" w:firstLineChars="200"/>
        <w:jc w:val="both"/>
        <w:textAlignment w:val="auto"/>
        <w:rPr>
          <w:rFonts w:hint="default" w:ascii="Times New Roman" w:cs="Times New Roman"/>
          <w:color w:val="auto"/>
          <w:sz w:val="24"/>
          <w:szCs w:val="24"/>
          <w:lang w:val="en-US" w:eastAsia="zh-CN"/>
        </w:rPr>
      </w:pPr>
      <w:r>
        <w:rPr>
          <w:rFonts w:hint="default" w:ascii="Times New Roman" w:cs="Times New Roman"/>
          <w:color w:val="auto"/>
          <w:sz w:val="24"/>
          <w:szCs w:val="24"/>
          <w:lang w:val="en-US" w:eastAsia="zh-CN"/>
        </w:rPr>
        <w:t>贮藏期间，应每月对油茶籽进行抽样检验，检测指标为水分及霉变率。若水分＞10%，应进行烘干处理；出现发霉、腐烂等情况时，及时出库。每三个月对油茶籽所含油脂的酸价、过氧化值进行检测，若酸价≥4.0mg/g或过氧化值≥0.25g/100g，应对贮藏期间影响油茶籽质量的各因素进行排查，发现问题及时处理。</w:t>
      </w:r>
    </w:p>
    <w:p w14:paraId="069518FA">
      <w:pPr>
        <w:pStyle w:val="15"/>
        <w:keepNext w:val="0"/>
        <w:keepLines w:val="0"/>
        <w:pageBreakBefore w:val="0"/>
        <w:widowControl/>
        <w:numPr>
          <w:ilvl w:val="2"/>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5.2.5.2 制度管理</w:t>
      </w:r>
    </w:p>
    <w:p w14:paraId="0D7C6786">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left="0" w:leftChars="0" w:right="0" w:rightChars="0" w:firstLine="482" w:firstLineChars="200"/>
        <w:jc w:val="both"/>
        <w:textAlignment w:val="auto"/>
        <w:rPr>
          <w:rFonts w:hint="eastAsia" w:ascii="Times New Roman" w:cs="Times New Roman"/>
          <w:color w:val="auto"/>
          <w:spacing w:val="-4"/>
          <w:sz w:val="24"/>
          <w:szCs w:val="24"/>
          <w:lang w:val="en-US" w:eastAsia="zh-CN"/>
        </w:rPr>
      </w:pPr>
      <w:r>
        <w:rPr>
          <w:rFonts w:hint="default" w:ascii="Times New Roman" w:hAnsi="Times New Roman" w:eastAsia="宋体" w:cs="Times New Roman"/>
          <w:b/>
          <w:bCs/>
          <w:color w:val="auto"/>
          <w:sz w:val="24"/>
          <w:szCs w:val="24"/>
        </w:rPr>
        <w:t>依据：</w:t>
      </w:r>
      <w:r>
        <w:rPr>
          <w:rFonts w:hint="eastAsia" w:ascii="Times New Roman" w:cs="Times New Roman"/>
          <w:color w:val="auto"/>
          <w:spacing w:val="-4"/>
          <w:sz w:val="24"/>
          <w:szCs w:val="24"/>
          <w:lang w:val="en-US" w:eastAsia="zh-CN"/>
        </w:rPr>
        <w:t>根据实际调研情况（见附表1）</w:t>
      </w:r>
      <w:r>
        <w:rPr>
          <w:rFonts w:hint="eastAsia" w:ascii="Times New Roman" w:cs="Times New Roman"/>
          <w:b w:val="0"/>
          <w:bCs w:val="0"/>
          <w:color w:val="auto"/>
          <w:sz w:val="24"/>
          <w:szCs w:val="24"/>
          <w:lang w:val="en-US" w:eastAsia="zh-CN"/>
        </w:rPr>
        <w:t>，油茶籽生产企业都会制定冷库管理制度、出入库管理制度、油茶籽冷藏期间管理制度以及贮存运输信息记录管理制度等；</w:t>
      </w:r>
      <w:r>
        <w:rPr>
          <w:rFonts w:hint="eastAsia" w:ascii="Times New Roman" w:cs="Times New Roman"/>
          <w:b w:val="0"/>
          <w:bCs w:val="0"/>
          <w:color w:val="FF0000"/>
          <w:sz w:val="24"/>
          <w:szCs w:val="24"/>
          <w:lang w:val="en-US" w:eastAsia="zh-CN"/>
        </w:rPr>
        <w:t>三家油茶籽企业贮运记录保存为：≥3年、≥2年、≥2年，鉴于油茶籽深加工产品茶油的保质期一般为18~24个月，因此，油茶籽贮运相关记录至少需保存3年。</w:t>
      </w:r>
      <w:r>
        <w:rPr>
          <w:rFonts w:hint="eastAsia" w:ascii="Times New Roman" w:cs="Times New Roman"/>
          <w:b w:val="0"/>
          <w:bCs w:val="0"/>
          <w:color w:val="auto"/>
          <w:sz w:val="24"/>
          <w:szCs w:val="24"/>
          <w:lang w:val="en-US" w:eastAsia="zh-CN"/>
        </w:rPr>
        <w:t>同时</w:t>
      </w:r>
      <w:r>
        <w:rPr>
          <w:rFonts w:hint="default" w:ascii="Times New Roman" w:hAnsi="Times New Roman" w:eastAsia="宋体" w:cs="Times New Roman"/>
          <w:color w:val="auto"/>
          <w:sz w:val="24"/>
          <w:szCs w:val="24"/>
        </w:rPr>
        <w:t>参照NY/T 1056-2021</w:t>
      </w:r>
      <w:r>
        <w:rPr>
          <w:rFonts w:hint="default" w:ascii="Times New Roman" w:hAnsi="Times New Roman" w:eastAsia="宋体" w:cs="Times New Roman"/>
          <w:color w:val="auto"/>
          <w:sz w:val="24"/>
          <w:szCs w:val="24"/>
          <w:lang w:eastAsia="zh-CN"/>
        </w:rPr>
        <w:t>《绿色食品 储藏运输准则》</w:t>
      </w:r>
      <w:r>
        <w:rPr>
          <w:rFonts w:hint="default" w:ascii="Times New Roman" w:hAnsi="Times New Roman" w:eastAsia="宋体" w:cs="Times New Roman"/>
          <w:color w:val="auto"/>
          <w:sz w:val="24"/>
          <w:szCs w:val="24"/>
        </w:rPr>
        <w:t>中3</w:t>
      </w:r>
      <w:r>
        <w:rPr>
          <w:rFonts w:hint="eastAsia" w:ascii="Times New Roman" w:cs="Times New Roman"/>
          <w:color w:val="auto"/>
          <w:sz w:val="24"/>
          <w:szCs w:val="24"/>
          <w:lang w:val="en-US" w:eastAsia="zh-CN"/>
        </w:rPr>
        <w:t>.1.6对于储藏管理和运输管理的要求、</w:t>
      </w:r>
      <w:r>
        <w:rPr>
          <w:rFonts w:hint="default" w:ascii="Times New Roman" w:hAnsi="Times New Roman" w:eastAsia="宋体" w:cs="Times New Roman"/>
          <w:color w:val="auto"/>
          <w:spacing w:val="-4"/>
          <w:sz w:val="24"/>
          <w:szCs w:val="24"/>
        </w:rPr>
        <w:t>GB/T 24616-2019</w:t>
      </w:r>
      <w:r>
        <w:rPr>
          <w:rFonts w:hint="default" w:ascii="Times New Roman" w:hAnsi="Times New Roman" w:eastAsia="宋体" w:cs="Times New Roman"/>
          <w:color w:val="auto"/>
          <w:spacing w:val="-4"/>
          <w:sz w:val="24"/>
          <w:szCs w:val="24"/>
          <w:lang w:eastAsia="zh-CN"/>
        </w:rPr>
        <w:t>《</w:t>
      </w:r>
      <w:r>
        <w:rPr>
          <w:rFonts w:hint="default" w:ascii="Times New Roman" w:hAnsi="Times New Roman" w:eastAsia="宋体" w:cs="Times New Roman"/>
          <w:color w:val="auto"/>
          <w:spacing w:val="-4"/>
          <w:sz w:val="24"/>
          <w:szCs w:val="24"/>
        </w:rPr>
        <w:t>冷藏、冷冻食品物流包装、标志、运输和储存</w:t>
      </w:r>
      <w:r>
        <w:rPr>
          <w:rFonts w:hint="default" w:ascii="Times New Roman" w:hAnsi="Times New Roman" w:eastAsia="宋体" w:cs="Times New Roman"/>
          <w:color w:val="auto"/>
          <w:spacing w:val="-4"/>
          <w:sz w:val="24"/>
          <w:szCs w:val="24"/>
          <w:lang w:eastAsia="zh-CN"/>
        </w:rPr>
        <w:t>》</w:t>
      </w:r>
      <w:r>
        <w:rPr>
          <w:rFonts w:hint="default" w:ascii="Times New Roman" w:hAnsi="Times New Roman" w:eastAsia="宋体" w:cs="Times New Roman"/>
          <w:color w:val="auto"/>
          <w:spacing w:val="-4"/>
          <w:sz w:val="24"/>
          <w:szCs w:val="24"/>
        </w:rPr>
        <w:t>中6.2.4</w:t>
      </w:r>
      <w:r>
        <w:rPr>
          <w:rFonts w:hint="eastAsia" w:ascii="Times New Roman" w:cs="Times New Roman"/>
          <w:color w:val="auto"/>
          <w:spacing w:val="-4"/>
          <w:sz w:val="24"/>
          <w:szCs w:val="24"/>
          <w:lang w:val="en-US" w:eastAsia="zh-CN"/>
        </w:rPr>
        <w:t>对交货时</w:t>
      </w:r>
      <w:r>
        <w:rPr>
          <w:rFonts w:hint="default" w:ascii="Times New Roman" w:hAnsi="Times New Roman" w:eastAsia="宋体" w:cs="Times New Roman"/>
          <w:color w:val="auto"/>
          <w:spacing w:val="-4"/>
          <w:sz w:val="24"/>
          <w:szCs w:val="24"/>
        </w:rPr>
        <w:t>的要求，结合食品、食品添加剂生产许可现场核查评分记录表5.1</w:t>
      </w:r>
      <w:r>
        <w:rPr>
          <w:rFonts w:hint="eastAsia" w:ascii="Times New Roman" w:cs="Times New Roman"/>
          <w:color w:val="auto"/>
          <w:spacing w:val="-4"/>
          <w:sz w:val="24"/>
          <w:szCs w:val="24"/>
          <w:lang w:val="en-US" w:eastAsia="zh-CN"/>
        </w:rPr>
        <w:t>对于进货查验记录</w:t>
      </w:r>
      <w:r>
        <w:rPr>
          <w:rFonts w:hint="default" w:ascii="Times New Roman" w:hAnsi="Times New Roman" w:eastAsia="宋体" w:cs="Times New Roman"/>
          <w:color w:val="auto"/>
          <w:spacing w:val="-4"/>
          <w:sz w:val="24"/>
          <w:szCs w:val="24"/>
        </w:rPr>
        <w:t>的要求。</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制度管理</w:t>
      </w:r>
      <w:r>
        <w:rPr>
          <w:rFonts w:hint="eastAsia" w:ascii="Times New Roman" w:cs="Times New Roman"/>
          <w:color w:val="auto"/>
          <w:spacing w:val="-4"/>
          <w:sz w:val="24"/>
          <w:szCs w:val="24"/>
          <w:lang w:eastAsia="zh-CN"/>
        </w:rPr>
        <w:t>”</w:t>
      </w:r>
      <w:r>
        <w:rPr>
          <w:rFonts w:hint="eastAsia" w:ascii="Times New Roman" w:cs="Times New Roman"/>
          <w:color w:val="auto"/>
          <w:spacing w:val="-4"/>
          <w:sz w:val="24"/>
          <w:szCs w:val="24"/>
          <w:lang w:val="en-US" w:eastAsia="zh-CN"/>
        </w:rPr>
        <w:t>确定为：</w:t>
      </w:r>
    </w:p>
    <w:p w14:paraId="1F13B111">
      <w:pPr>
        <w:pStyle w:val="13"/>
        <w:keepNext w:val="0"/>
        <w:keepLines w:val="0"/>
        <w:pageBreakBefore w:val="0"/>
        <w:widowControl/>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冷藏链各环节均需投入必备的设施和设备作为基础保证，加以先进的技术支撑和严格有效的管理制度，冷链各环节共同密切配合，才能把握冷链整个运营系统，保全冷冻冷藏食品的品质，否则难以达到预期效果。应完善冷链等各环节设施，健全以下相应管理制度等：</w:t>
      </w:r>
    </w:p>
    <w:p w14:paraId="1C81A337">
      <w:pPr>
        <w:pStyle w:val="13"/>
        <w:keepNext w:val="0"/>
        <w:keepLines w:val="0"/>
        <w:pageBreakBefore w:val="0"/>
        <w:widowControl/>
        <w:numPr>
          <w:ilvl w:val="0"/>
          <w:numId w:val="13"/>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冷库温湿度调节管理制度；</w:t>
      </w:r>
    </w:p>
    <w:p w14:paraId="052ADA2D">
      <w:pPr>
        <w:pStyle w:val="13"/>
        <w:keepNext w:val="0"/>
        <w:keepLines w:val="0"/>
        <w:pageBreakBefore w:val="0"/>
        <w:widowControl/>
        <w:numPr>
          <w:ilvl w:val="0"/>
          <w:numId w:val="13"/>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冷库清洁、除霜和维修制度；</w:t>
      </w:r>
    </w:p>
    <w:p w14:paraId="61158D39">
      <w:pPr>
        <w:pStyle w:val="13"/>
        <w:keepNext w:val="0"/>
        <w:keepLines w:val="0"/>
        <w:pageBreakBefore w:val="0"/>
        <w:widowControl/>
        <w:numPr>
          <w:ilvl w:val="0"/>
          <w:numId w:val="13"/>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交接验货管理制度；</w:t>
      </w:r>
    </w:p>
    <w:p w14:paraId="4FA8E1BD">
      <w:pPr>
        <w:pStyle w:val="13"/>
        <w:keepNext w:val="0"/>
        <w:keepLines w:val="0"/>
        <w:pageBreakBefore w:val="0"/>
        <w:widowControl/>
        <w:numPr>
          <w:ilvl w:val="0"/>
          <w:numId w:val="13"/>
        </w:numPr>
        <w:wordWrap/>
        <w:overflowPunct/>
        <w:topLinePunct w:val="0"/>
        <w:bidi w:val="0"/>
        <w:spacing w:line="500" w:lineRule="exact"/>
        <w:ind w:left="0" w:leftChars="0" w:right="0" w:rightChars="0" w:firstLine="42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油茶籽冷藏贮期管理规定；</w:t>
      </w:r>
    </w:p>
    <w:p w14:paraId="52591208">
      <w:pPr>
        <w:pStyle w:val="13"/>
        <w:keepNext w:val="0"/>
        <w:keepLines w:val="0"/>
        <w:pageBreakBefore w:val="0"/>
        <w:widowControl/>
        <w:numPr>
          <w:ilvl w:val="0"/>
          <w:numId w:val="13"/>
        </w:numPr>
        <w:wordWrap/>
        <w:overflowPunct/>
        <w:topLinePunct w:val="0"/>
        <w:bidi w:val="0"/>
        <w:spacing w:line="500" w:lineRule="exact"/>
        <w:ind w:left="0" w:leftChars="0" w:right="0" w:rightChars="0" w:firstLine="420"/>
        <w:jc w:val="both"/>
        <w:rPr>
          <w:rFonts w:hint="default" w:ascii="Times New Roman" w:cs="Times New Roman"/>
          <w:color w:val="auto"/>
          <w:spacing w:val="-4"/>
          <w:sz w:val="24"/>
          <w:szCs w:val="24"/>
          <w:lang w:val="en-US" w:eastAsia="zh-CN"/>
        </w:rPr>
      </w:pPr>
      <w:r>
        <w:rPr>
          <w:rFonts w:hint="default" w:ascii="Times New Roman" w:hAnsi="Times New Roman" w:eastAsia="宋体" w:cs="Times New Roman"/>
          <w:color w:val="auto"/>
          <w:sz w:val="24"/>
          <w:szCs w:val="24"/>
          <w:lang w:eastAsia="zh-CN"/>
        </w:rPr>
        <w:t>相关贮存和运输记录档案应保留3年以上。</w:t>
      </w:r>
    </w:p>
    <w:p w14:paraId="54C52618">
      <w:pPr>
        <w:pStyle w:val="14"/>
        <w:keepNext w:val="0"/>
        <w:keepLines w:val="0"/>
        <w:pageBreakBefore w:val="0"/>
        <w:widowControl/>
        <w:numPr>
          <w:ilvl w:val="1"/>
          <w:numId w:val="0"/>
        </w:numPr>
        <w:wordWrap/>
        <w:overflowPunct/>
        <w:topLinePunct w:val="0"/>
        <w:bidi w:val="0"/>
        <w:spacing w:before="0" w:beforeLines="0" w:after="0" w:afterLines="0" w:line="500" w:lineRule="exact"/>
        <w:ind w:left="0" w:leftChars="0" w:right="0" w:rightChars="0"/>
        <w:jc w:val="both"/>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5.2.6 检验方法</w:t>
      </w:r>
    </w:p>
    <w:p w14:paraId="02C5F745">
      <w:pPr>
        <w:pStyle w:val="15"/>
        <w:keepNext w:val="0"/>
        <w:keepLines w:val="0"/>
        <w:pageBreakBefore w:val="0"/>
        <w:widowControl/>
        <w:numPr>
          <w:ilvl w:val="2"/>
          <w:numId w:val="0"/>
        </w:numPr>
        <w:wordWrap/>
        <w:overflowPunct/>
        <w:topLinePunct w:val="0"/>
        <w:bidi w:val="0"/>
        <w:spacing w:before="0" w:beforeLines="0" w:after="0" w:afterLines="0" w:line="500" w:lineRule="exact"/>
        <w:ind w:left="0" w:leftChars="0" w:right="0" w:rightChars="0" w:firstLine="482" w:firstLineChars="200"/>
        <w:jc w:val="both"/>
        <w:rPr>
          <w:rFonts w:hint="eastAsia" w:ascii="Times New Roman" w:hAnsi="Times New Roman" w:eastAsia="宋体" w:cs="Times New Roman"/>
          <w:color w:val="auto"/>
          <w:sz w:val="24"/>
          <w:szCs w:val="24"/>
          <w:lang w:eastAsia="zh-CN"/>
        </w:rPr>
      </w:pPr>
      <w:r>
        <w:rPr>
          <w:rFonts w:hint="eastAsia" w:ascii="Times New Roman" w:eastAsia="宋体" w:cs="Times New Roman"/>
          <w:b/>
          <w:bCs/>
          <w:color w:val="auto"/>
          <w:sz w:val="24"/>
          <w:szCs w:val="24"/>
          <w:lang w:val="en-US" w:eastAsia="zh-CN"/>
        </w:rPr>
        <w:t>依据</w:t>
      </w:r>
      <w:r>
        <w:rPr>
          <w:rFonts w:hint="eastAsia" w:ascii="Times New Roman" w:eastAsia="宋体" w:cs="Times New Roman"/>
          <w:color w:val="auto"/>
          <w:sz w:val="24"/>
          <w:szCs w:val="24"/>
          <w:lang w:val="en-US" w:eastAsia="zh-CN"/>
        </w:rPr>
        <w:t>：参照</w:t>
      </w:r>
      <w:r>
        <w:rPr>
          <w:rFonts w:hint="default" w:ascii="Times New Roman" w:hAnsi="Times New Roman" w:eastAsia="宋体" w:cs="Times New Roman"/>
          <w:color w:val="auto"/>
          <w:sz w:val="24"/>
          <w:szCs w:val="24"/>
        </w:rPr>
        <w:t xml:space="preserve"> GB/T 37917-2019</w:t>
      </w:r>
      <w:r>
        <w:rPr>
          <w:rFonts w:hint="default" w:ascii="Times New Roman" w:hAnsi="Times New Roman" w:eastAsia="宋体" w:cs="Times New Roman"/>
          <w:color w:val="auto"/>
          <w:sz w:val="24"/>
          <w:szCs w:val="24"/>
          <w:lang w:val="en-US" w:eastAsia="zh-CN"/>
        </w:rPr>
        <w:t>《油茶籽》</w:t>
      </w:r>
      <w:r>
        <w:rPr>
          <w:rFonts w:hint="default" w:ascii="Times New Roman" w:hAnsi="Times New Roman" w:eastAsia="宋体" w:cs="Times New Roman"/>
          <w:color w:val="auto"/>
          <w:sz w:val="24"/>
          <w:szCs w:val="24"/>
        </w:rPr>
        <w:t>中5.1</w:t>
      </w:r>
      <w:r>
        <w:rPr>
          <w:rFonts w:hint="eastAsia" w:ascii="Times New Roman" w:eastAsia="宋体" w:cs="Times New Roman"/>
          <w:color w:val="auto"/>
          <w:sz w:val="24"/>
          <w:szCs w:val="24"/>
          <w:lang w:eastAsia="zh-CN"/>
        </w:rPr>
        <w:t>、</w:t>
      </w:r>
      <w:r>
        <w:rPr>
          <w:rFonts w:hint="eastAsia" w:ascii="Times New Roman" w:eastAsia="宋体" w:cs="Times New Roman"/>
          <w:color w:val="auto"/>
          <w:sz w:val="24"/>
          <w:szCs w:val="24"/>
          <w:lang w:val="en-US" w:eastAsia="zh-CN"/>
        </w:rPr>
        <w:t>5.2、5.4</w:t>
      </w:r>
      <w:r>
        <w:rPr>
          <w:rFonts w:hint="eastAsia" w:asci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水分检验按GB 5009.3执行</w:t>
      </w:r>
      <w:r>
        <w:rPr>
          <w:rFonts w:hint="eastAsia" w:asci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油茶籽扦样、分样按GB/T 5491 执行</w:t>
      </w:r>
      <w:r>
        <w:rPr>
          <w:rFonts w:hint="eastAsia" w:asci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霉变率检验按GB/T 5494 执行</w:t>
      </w:r>
      <w:r>
        <w:rPr>
          <w:rFonts w:hint="eastAsia" w:ascii="Times New Roman" w:eastAsia="宋体" w:cs="Times New Roman"/>
          <w:color w:val="auto"/>
          <w:sz w:val="24"/>
          <w:szCs w:val="24"/>
          <w:lang w:eastAsia="zh-CN"/>
        </w:rPr>
        <w:t>；</w:t>
      </w:r>
      <w:r>
        <w:rPr>
          <w:rFonts w:hint="eastAsia" w:ascii="Times New Roman" w:eastAsia="宋体" w:cs="Times New Roman"/>
          <w:color w:val="auto"/>
          <w:sz w:val="24"/>
          <w:szCs w:val="24"/>
          <w:lang w:val="en-US" w:eastAsia="zh-CN"/>
        </w:rPr>
        <w:t>参照</w:t>
      </w:r>
      <w:r>
        <w:rPr>
          <w:rFonts w:hint="eastAsia" w:ascii="Times New Roman" w:eastAsia="宋体" w:cs="Times New Roman"/>
          <w:color w:val="auto"/>
          <w:sz w:val="24"/>
          <w:szCs w:val="24"/>
          <w:lang w:eastAsia="zh-CN"/>
        </w:rPr>
        <w:t>GB 2716-2018《食品安全国家标准 植物油》</w:t>
      </w:r>
      <w:r>
        <w:rPr>
          <w:rFonts w:hint="eastAsia" w:ascii="Times New Roman" w:eastAsia="宋体" w:cs="Times New Roman"/>
          <w:color w:val="auto"/>
          <w:sz w:val="24"/>
          <w:szCs w:val="24"/>
          <w:lang w:val="en-US" w:eastAsia="zh-CN"/>
        </w:rPr>
        <w:t>中3.3，酸价按GB 5009.229执行，过氧化值按GB 5009.227执行。</w:t>
      </w:r>
    </w:p>
    <w:p w14:paraId="0D5704A6">
      <w:pPr>
        <w:keepNext w:val="0"/>
        <w:keepLines w:val="0"/>
        <w:pageBreakBefore w:val="0"/>
        <w:widowControl/>
        <w:wordWrap/>
        <w:overflowPunct/>
        <w:topLinePunct w:val="0"/>
        <w:bidi w:val="0"/>
        <w:spacing w:line="500" w:lineRule="exact"/>
        <w:ind w:right="0" w:rightChars="0"/>
        <w:jc w:val="both"/>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6  与现行法律法规和有关标准的关系</w:t>
      </w:r>
    </w:p>
    <w:p w14:paraId="1C990111">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本标准针对油茶籽冷藏、运输过程作出要求，</w:t>
      </w:r>
      <w:r>
        <w:rPr>
          <w:rFonts w:hint="eastAsia" w:ascii="Times New Roman" w:hAnsi="Times New Roman" w:cs="Times New Roman"/>
          <w:color w:val="auto"/>
          <w:sz w:val="24"/>
          <w:szCs w:val="24"/>
          <w:lang w:eastAsia="zh-CN"/>
        </w:rPr>
        <w:t>制订</w:t>
      </w:r>
      <w:r>
        <w:rPr>
          <w:rFonts w:hint="default" w:ascii="Times New Roman" w:hAnsi="Times New Roman" w:eastAsia="宋体" w:cs="Times New Roman"/>
          <w:color w:val="auto"/>
          <w:sz w:val="24"/>
          <w:szCs w:val="24"/>
          <w:lang w:eastAsia="zh-CN"/>
        </w:rPr>
        <w:t>管理规范。国内外关于油茶的标准多集中在油茶种植、油茶鲜果烘干以及油茶籽油相关内容方面，尚无主体内容为油茶籽冷藏、运输管理规范的标准。</w:t>
      </w:r>
    </w:p>
    <w:p w14:paraId="4DA230C2">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经检索，内容涉及油茶籽贮运的标准有GB/T 37917-2019《油茶籽》和T/TSSP 045-2023《油茶果机械化爆蒲及油茶籽干制加工技术规程》。GB/T 37917-2019未涉及油茶籽冷藏相关内容，其中对油茶籽储存及运输的要求仅为对于普通食品的简单通用要求；T/TSSP 045-2023不涉及油茶籽运输相关内容。针对贮藏，该标准对油茶籽短期贮藏和长期贮藏分别作出要求。对于短期贮藏的要求仅为普通食品贮藏的简单通用要求。对于长期贮藏提出</w:t>
      </w:r>
      <w:r>
        <w:rPr>
          <w:rFonts w:hint="eastAsia"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lang w:eastAsia="zh-CN"/>
        </w:rPr>
        <w:t>应置于冷库中，按LY/T 2034执行</w:t>
      </w:r>
      <w:r>
        <w:rPr>
          <w:rFonts w:hint="eastAsia" w:ascii="Times New Roman" w:hAnsi="Times New Roman" w:cs="Times New Roman"/>
          <w:color w:val="auto"/>
          <w:sz w:val="24"/>
          <w:szCs w:val="24"/>
          <w:lang w:eastAsia="zh-CN"/>
        </w:rPr>
        <w:t>”，</w:t>
      </w:r>
      <w:r>
        <w:rPr>
          <w:rFonts w:hint="default" w:ascii="Times New Roman" w:hAnsi="Times New Roman" w:eastAsia="宋体" w:cs="Times New Roman"/>
          <w:color w:val="auto"/>
          <w:sz w:val="24"/>
          <w:szCs w:val="24"/>
          <w:lang w:eastAsia="zh-CN"/>
        </w:rPr>
        <w:t>但是LY/T 2034已经废止，被LY/T 3355-2023《油茶》代替。LY/T 3355-2023并未涉及油茶籽冷藏相关内容。因此，两个标准均未针对油茶籽冷藏作出要求，也未对贮藏设施设备要求、贮运环节管理人员要求、贮藏过程监控管理要求以及相关管理制度作出规定。</w:t>
      </w:r>
    </w:p>
    <w:p w14:paraId="4FE6C3E4">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此外，本标准的主体框架参照的GB 14881-2013《食品安全国家标准 食品生产通用卫生规范》、</w:t>
      </w:r>
      <w:r>
        <w:rPr>
          <w:rFonts w:hint="default" w:ascii="Times New Roman" w:hAnsi="Times New Roman" w:eastAsia="宋体" w:cs="Times New Roman"/>
          <w:color w:val="auto"/>
          <w:spacing w:val="-4"/>
          <w:sz w:val="24"/>
          <w:szCs w:val="24"/>
          <w:lang w:eastAsia="zh-CN"/>
        </w:rPr>
        <w:t>GB/T 24616-2019《冷藏、冷冻食品物流包装、标志、运输和储存》以及GB/T 30134-2013《冷库管理规范》</w:t>
      </w:r>
      <w:r>
        <w:rPr>
          <w:rFonts w:hint="default" w:ascii="Times New Roman" w:hAnsi="Times New Roman" w:eastAsia="宋体" w:cs="Times New Roman"/>
          <w:color w:val="auto"/>
          <w:sz w:val="24"/>
          <w:szCs w:val="24"/>
          <w:lang w:eastAsia="zh-CN"/>
        </w:rPr>
        <w:t>所针对的是整个食品行业的通用规范，不涉及具体食品行业，也不涉及具体的食品生产工艺和对应的生产设施设备等，范围太泛，针对具体食品（如油茶籽）贮运时，无法进行量化规范管理，实际操作难以把握。</w:t>
      </w:r>
    </w:p>
    <w:p w14:paraId="62869631">
      <w:pPr>
        <w:pStyle w:val="3"/>
        <w:keepNext w:val="0"/>
        <w:keepLines w:val="0"/>
        <w:pageBreakBefore w:val="0"/>
        <w:widowControl/>
        <w:wordWrap/>
        <w:overflowPunct/>
        <w:topLinePunct w:val="0"/>
        <w:bidi w:val="0"/>
        <w:spacing w:line="500" w:lineRule="exact"/>
        <w:ind w:left="0" w:leftChars="0" w:right="0" w:rightChars="0" w:firstLine="456"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pacing w:val="-6"/>
          <w:sz w:val="24"/>
          <w:szCs w:val="24"/>
          <w:lang w:eastAsia="zh-CN"/>
        </w:rPr>
        <w:t>本标准的编制参照了GB 14881-2013、</w:t>
      </w:r>
      <w:r>
        <w:rPr>
          <w:rFonts w:hint="default" w:ascii="Times New Roman" w:hAnsi="Times New Roman" w:eastAsia="宋体" w:cs="Times New Roman"/>
          <w:color w:val="auto"/>
          <w:spacing w:val="-4"/>
          <w:sz w:val="24"/>
          <w:szCs w:val="24"/>
          <w:lang w:eastAsia="zh-CN"/>
        </w:rPr>
        <w:t>GB/T 24616-2019以及GB/T 30134-2013的主体框架</w:t>
      </w:r>
      <w:r>
        <w:rPr>
          <w:rFonts w:hint="default" w:ascii="Times New Roman" w:hAnsi="Times New Roman" w:eastAsia="宋体" w:cs="Times New Roman"/>
          <w:color w:val="auto"/>
          <w:spacing w:val="-7"/>
          <w:sz w:val="24"/>
          <w:szCs w:val="24"/>
          <w:lang w:eastAsia="zh-CN"/>
        </w:rPr>
        <w:t>，</w:t>
      </w:r>
      <w:r>
        <w:rPr>
          <w:rFonts w:hint="default" w:ascii="Times New Roman" w:hAnsi="Times New Roman" w:eastAsia="宋体" w:cs="Times New Roman"/>
          <w:color w:val="auto"/>
          <w:spacing w:val="-28"/>
          <w:sz w:val="24"/>
          <w:szCs w:val="24"/>
          <w:lang w:eastAsia="zh-CN"/>
        </w:rPr>
        <w:t xml:space="preserve"> </w:t>
      </w:r>
      <w:r>
        <w:rPr>
          <w:rFonts w:hint="default" w:ascii="Times New Roman" w:hAnsi="Times New Roman" w:eastAsia="宋体" w:cs="Times New Roman"/>
          <w:color w:val="auto"/>
          <w:spacing w:val="-7"/>
          <w:sz w:val="24"/>
          <w:szCs w:val="24"/>
          <w:lang w:eastAsia="zh-CN"/>
        </w:rPr>
        <w:t>紧扣油茶籽的贮存、运输管理的关键控制点</w:t>
      </w:r>
      <w:r>
        <w:rPr>
          <w:rFonts w:hint="default" w:ascii="Times New Roman" w:hAnsi="Times New Roman" w:eastAsia="宋体" w:cs="Times New Roman"/>
          <w:color w:val="auto"/>
          <w:sz w:val="24"/>
          <w:szCs w:val="24"/>
          <w:lang w:eastAsia="zh-CN"/>
        </w:rPr>
        <w:t>，并结合现场调研和查阅相关资料，以确保贮运过程中油茶籽的品质为目的，对油茶籽贮运过程中油茶籽的质量指标提出具体要求，给予加工企业明确的指导，尽可能以具体的、可量化的形式赋以标准可操作性。</w:t>
      </w:r>
    </w:p>
    <w:p w14:paraId="76051AD4">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pacing w:val="-2"/>
          <w:sz w:val="24"/>
          <w:szCs w:val="24"/>
          <w:lang w:eastAsia="zh-CN"/>
        </w:rPr>
      </w:pPr>
      <w:r>
        <w:rPr>
          <w:rFonts w:hint="default" w:ascii="Times New Roman" w:hAnsi="Times New Roman" w:eastAsia="宋体" w:cs="Times New Roman"/>
          <w:color w:val="auto"/>
          <w:sz w:val="24"/>
          <w:szCs w:val="24"/>
          <w:lang w:eastAsia="zh-CN"/>
        </w:rPr>
        <w:t>本标准的</w:t>
      </w:r>
      <w:r>
        <w:rPr>
          <w:rFonts w:hint="eastAsia" w:ascii="Times New Roman" w:hAnsi="Times New Roman" w:cs="Times New Roman"/>
          <w:color w:val="auto"/>
          <w:sz w:val="24"/>
          <w:szCs w:val="24"/>
          <w:lang w:eastAsia="zh-CN"/>
        </w:rPr>
        <w:t>制订</w:t>
      </w:r>
      <w:r>
        <w:rPr>
          <w:rFonts w:hint="default" w:ascii="Times New Roman" w:hAnsi="Times New Roman" w:eastAsia="宋体" w:cs="Times New Roman"/>
          <w:color w:val="auto"/>
          <w:sz w:val="24"/>
          <w:szCs w:val="24"/>
          <w:lang w:eastAsia="zh-CN"/>
        </w:rPr>
        <w:t>，与国家、地方及团体相关标准无矛盾和冲突。本标准的</w:t>
      </w:r>
      <w:r>
        <w:rPr>
          <w:rFonts w:hint="eastAsia" w:ascii="Times New Roman" w:hAnsi="Times New Roman" w:cs="Times New Roman"/>
          <w:color w:val="auto"/>
          <w:sz w:val="24"/>
          <w:szCs w:val="24"/>
          <w:lang w:eastAsia="zh-CN"/>
        </w:rPr>
        <w:t>制订</w:t>
      </w:r>
      <w:r>
        <w:rPr>
          <w:rFonts w:hint="default" w:ascii="Times New Roman" w:hAnsi="Times New Roman" w:eastAsia="宋体" w:cs="Times New Roman"/>
          <w:color w:val="auto"/>
          <w:sz w:val="24"/>
          <w:szCs w:val="24"/>
          <w:lang w:eastAsia="zh-CN"/>
        </w:rPr>
        <w:t>符合《食品安全法》等我国有关法律法规的规定。</w:t>
      </w:r>
    </w:p>
    <w:p w14:paraId="19AEC443">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7  采用国际标准或国外先进标准的情况</w:t>
      </w:r>
    </w:p>
    <w:p w14:paraId="105C9FBF">
      <w:pPr>
        <w:pStyle w:val="3"/>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本标准未采用国际标准的内容， 国内没有与本标准相同的标准。</w:t>
      </w:r>
    </w:p>
    <w:p w14:paraId="4A56C492">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 xml:space="preserve">8 </w:t>
      </w:r>
      <w:r>
        <w:rPr>
          <w:rFonts w:hint="eastAsia"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lang w:eastAsia="zh-CN"/>
        </w:rPr>
        <w:t>重大意见分歧的处理依据和结果</w:t>
      </w:r>
    </w:p>
    <w:p w14:paraId="4602A654">
      <w:pPr>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本标准研制过程中无重大分歧意见。</w:t>
      </w:r>
    </w:p>
    <w:p w14:paraId="5E8DE83F">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9</w:t>
      </w:r>
      <w:r>
        <w:rPr>
          <w:rFonts w:hint="default" w:ascii="Times New Roman" w:hAnsi="Times New Roman" w:eastAsia="宋体" w:cs="Times New Roman"/>
          <w:b w:val="0"/>
          <w:bCs w:val="0"/>
          <w:color w:val="auto"/>
          <w:spacing w:val="18"/>
          <w:sz w:val="24"/>
          <w:szCs w:val="24"/>
          <w:lang w:eastAsia="zh-CN"/>
        </w:rPr>
        <w:t xml:space="preserve">  </w:t>
      </w:r>
      <w:r>
        <w:rPr>
          <w:rFonts w:hint="default" w:ascii="Times New Roman" w:hAnsi="Times New Roman" w:eastAsia="宋体" w:cs="Times New Roman"/>
          <w:b w:val="0"/>
          <w:bCs w:val="0"/>
          <w:color w:val="auto"/>
          <w:sz w:val="24"/>
          <w:szCs w:val="24"/>
          <w:lang w:eastAsia="zh-CN"/>
        </w:rPr>
        <w:t>自我承诺</w:t>
      </w:r>
    </w:p>
    <w:p w14:paraId="5591D5AC">
      <w:pPr>
        <w:keepNext w:val="0"/>
        <w:keepLines w:val="0"/>
        <w:pageBreakBefore w:val="0"/>
        <w:widowControl/>
        <w:wordWrap/>
        <w:overflowPunct/>
        <w:topLinePunct w:val="0"/>
        <w:bidi w:val="0"/>
        <w:spacing w:line="500" w:lineRule="exact"/>
        <w:ind w:left="0" w:leftChars="0" w:right="0" w:rightChars="0" w:firstLine="480" w:firstLineChars="200"/>
        <w:jc w:val="both"/>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本标准内容与各项指标不低于强制性标准要求。</w:t>
      </w:r>
    </w:p>
    <w:p w14:paraId="738A90E2">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10  其他应予说明的事项</w:t>
      </w:r>
    </w:p>
    <w:p w14:paraId="6550331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0" w:rightChars="0" w:firstLine="480" w:firstLineChars="200"/>
        <w:jc w:val="both"/>
        <w:textAlignment w:val="baseline"/>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无需要说明事项。</w:t>
      </w:r>
    </w:p>
    <w:p w14:paraId="73C78AEC">
      <w:pPr>
        <w:keepNext w:val="0"/>
        <w:keepLines w:val="0"/>
        <w:pageBreakBefore w:val="0"/>
        <w:widowControl/>
        <w:wordWrap/>
        <w:overflowPunct/>
        <w:topLinePunct w:val="0"/>
        <w:bidi w:val="0"/>
        <w:spacing w:line="500" w:lineRule="exact"/>
        <w:ind w:left="0" w:leftChars="0" w:right="0" w:rightChars="0"/>
        <w:jc w:val="both"/>
        <w:rPr>
          <w:rFonts w:hint="default" w:ascii="Times New Roman" w:hAnsi="Times New Roman" w:eastAsia="宋体" w:cs="Times New Roman"/>
          <w:color w:val="auto"/>
          <w:sz w:val="24"/>
          <w:szCs w:val="24"/>
          <w:lang w:eastAsia="zh-CN"/>
        </w:rPr>
      </w:pPr>
    </w:p>
    <w:p w14:paraId="47645D3F">
      <w:pPr>
        <w:pStyle w:val="3"/>
        <w:keepNext w:val="0"/>
        <w:keepLines w:val="0"/>
        <w:pageBreakBefore w:val="0"/>
        <w:widowControl/>
        <w:wordWrap/>
        <w:overflowPunct/>
        <w:topLinePunct w:val="0"/>
        <w:bidi w:val="0"/>
        <w:spacing w:line="500" w:lineRule="exact"/>
        <w:ind w:left="0" w:leftChars="0" w:right="0" w:rightChars="0"/>
        <w:jc w:val="right"/>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团体标准《油茶籽贮运管理规范》编</w:t>
      </w:r>
      <w:r>
        <w:rPr>
          <w:rFonts w:hint="default" w:ascii="Times New Roman" w:hAnsi="Times New Roman" w:eastAsia="宋体" w:cs="Times New Roman"/>
          <w:color w:val="auto"/>
          <w:spacing w:val="-1"/>
          <w:sz w:val="24"/>
          <w:szCs w:val="24"/>
          <w:lang w:eastAsia="zh-CN"/>
        </w:rPr>
        <w:t>制小组</w:t>
      </w:r>
      <w:r>
        <w:rPr>
          <w:rFonts w:hint="default" w:ascii="Times New Roman" w:hAnsi="Times New Roman" w:eastAsia="宋体" w:cs="Times New Roman"/>
          <w:color w:val="auto"/>
          <w:sz w:val="24"/>
          <w:szCs w:val="24"/>
          <w:lang w:eastAsia="zh-CN"/>
        </w:rPr>
        <w:t xml:space="preserve"> </w:t>
      </w:r>
    </w:p>
    <w:p w14:paraId="7DA7440E">
      <w:pPr>
        <w:keepNext w:val="0"/>
        <w:keepLines w:val="0"/>
        <w:pageBreakBefore w:val="0"/>
        <w:widowControl/>
        <w:kinsoku w:val="0"/>
        <w:wordWrap/>
        <w:overflowPunct/>
        <w:topLinePunct w:val="0"/>
        <w:autoSpaceDE w:val="0"/>
        <w:autoSpaceDN w:val="0"/>
        <w:bidi w:val="0"/>
        <w:adjustRightInd w:val="0"/>
        <w:snapToGrid w:val="0"/>
        <w:spacing w:line="500" w:lineRule="exact"/>
        <w:ind w:left="0" w:leftChars="0" w:right="1470" w:rightChars="700" w:firstLine="0" w:firstLineChars="0"/>
        <w:jc w:val="right"/>
        <w:textAlignment w:val="baseline"/>
        <w:rPr>
          <w:rFonts w:hint="default" w:ascii="Times New Roman" w:hAnsi="Times New Roman" w:eastAsia="宋体" w:cs="Times New Roman"/>
          <w:color w:val="auto"/>
          <w:spacing w:val="-8"/>
          <w:sz w:val="24"/>
          <w:szCs w:val="24"/>
          <w:lang w:val="en-US" w:eastAsia="zh-CN"/>
        </w:rPr>
        <w:sectPr>
          <w:footerReference r:id="rId5" w:type="default"/>
          <w:pgSz w:w="11907" w:h="16839"/>
          <w:pgMar w:top="1440" w:right="1803" w:bottom="1440" w:left="1803" w:header="0" w:footer="1133" w:gutter="0"/>
          <w:cols w:space="720" w:num="1"/>
        </w:sectPr>
      </w:pPr>
      <w:r>
        <w:rPr>
          <w:rFonts w:hint="default" w:ascii="Times New Roman" w:hAnsi="Times New Roman" w:eastAsia="宋体" w:cs="Times New Roman"/>
          <w:color w:val="auto"/>
          <w:sz w:val="24"/>
          <w:szCs w:val="24"/>
        </w:rPr>
        <w:t>202</w:t>
      </w:r>
      <w:r>
        <w:rPr>
          <w:rFonts w:hint="default" w:ascii="Times New Roman" w:hAnsi="Times New Roman" w:eastAsia="宋体" w:cs="Times New Roman"/>
          <w:color w:val="auto"/>
          <w:sz w:val="24"/>
          <w:szCs w:val="24"/>
          <w:lang w:eastAsia="zh-CN"/>
        </w:rPr>
        <w:t>5</w:t>
      </w:r>
      <w:r>
        <w:rPr>
          <w:rFonts w:hint="default" w:ascii="Times New Roman" w:hAnsi="Times New Roman" w:eastAsia="宋体" w:cs="Times New Roman"/>
          <w:color w:val="auto"/>
          <w:sz w:val="24"/>
          <w:szCs w:val="24"/>
        </w:rPr>
        <w:t>年</w:t>
      </w:r>
      <w:r>
        <w:rPr>
          <w:rFonts w:hint="default" w:ascii="Times New Roman" w:hAnsi="Times New Roman" w:eastAsia="宋体" w:cs="Times New Roman"/>
          <w:color w:val="auto"/>
          <w:sz w:val="24"/>
          <w:szCs w:val="24"/>
          <w:lang w:eastAsia="zh-CN"/>
        </w:rPr>
        <w:t xml:space="preserve"> </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月</w:t>
      </w:r>
      <w:r>
        <w:rPr>
          <w:rFonts w:hint="default" w:ascii="Times New Roman" w:hAnsi="Times New Roman" w:eastAsia="宋体" w:cs="Times New Roman"/>
          <w:color w:val="auto"/>
          <w:sz w:val="24"/>
          <w:szCs w:val="24"/>
          <w:lang w:val="en-US" w:eastAsia="zh-CN"/>
        </w:rPr>
        <w:t>25</w:t>
      </w:r>
      <w:r>
        <w:rPr>
          <w:rFonts w:hint="eastAsia" w:ascii="Times New Roman" w:hAnsi="Times New Roman" w:eastAsia="宋体" w:cs="Times New Roman"/>
          <w:color w:val="auto"/>
          <w:sz w:val="24"/>
          <w:szCs w:val="24"/>
          <w:lang w:val="en-US" w:eastAsia="zh-CN"/>
        </w:rPr>
        <w:t>日</w:t>
      </w:r>
    </w:p>
    <w:p w14:paraId="7E611D76">
      <w:pPr>
        <w:jc w:val="left"/>
        <w:rPr>
          <w:rFonts w:ascii="宋体" w:hAnsi="宋体" w:cs="宋体"/>
          <w:color w:val="auto"/>
          <w:sz w:val="30"/>
          <w:szCs w:val="30"/>
        </w:rPr>
      </w:pPr>
      <w:r>
        <w:rPr>
          <w:rFonts w:hint="eastAsia" w:ascii="宋体" w:hAnsi="宋体" w:cs="宋体"/>
          <w:color w:val="auto"/>
          <w:sz w:val="30"/>
          <w:szCs w:val="30"/>
        </w:rPr>
        <w:t>附表1</w:t>
      </w:r>
    </w:p>
    <w:p w14:paraId="4B97FA0C">
      <w:pPr>
        <w:spacing w:after="156" w:afterLines="50" w:line="500" w:lineRule="exact"/>
        <w:jc w:val="center"/>
        <w:rPr>
          <w:color w:val="auto"/>
        </w:rPr>
      </w:pPr>
      <w:r>
        <w:rPr>
          <w:rFonts w:hint="eastAsia" w:ascii="宋体" w:hAnsi="宋体" w:cs="宋体"/>
          <w:color w:val="auto"/>
          <w:sz w:val="30"/>
          <w:szCs w:val="30"/>
        </w:rPr>
        <w:t>油茶籽贮运管理调研情况</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4067"/>
        <w:gridCol w:w="4069"/>
        <w:gridCol w:w="4072"/>
      </w:tblGrid>
      <w:tr w14:paraId="17BEA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32" w:type="pct"/>
            <w:vAlign w:val="center"/>
            <mc:AlternateContent>
              <mc:Choice Requires="wpsCustomData">
                <wpsCustomData:diagonals>
                  <wpsCustomData:diagonal from="10000" to="30000">
                    <wpsCustomData:border w:val="single" w:color="auto" w:sz="4" w:space="0"/>
                  </wpsCustomData:diagonal>
                </wpsCustomData:diagonals>
              </mc:Choice>
            </mc:AlternateContent>
          </w:tcPr>
          <w:p w14:paraId="533E66C9">
            <w:pPr>
              <w:widowControl w:val="0"/>
              <w:snapToGrid w:val="0"/>
              <w:jc w:val="both"/>
              <w:rPr>
                <w:color w:val="auto"/>
              </w:rPr>
            </w:pPr>
          </w:p>
          <w:p w14:paraId="4295F316">
            <w:pPr>
              <w:widowControl w:val="0"/>
              <w:snapToGrid w:val="0"/>
              <w:jc w:val="both"/>
              <w:rPr>
                <w:color w:val="auto"/>
              </w:rPr>
            </w:pPr>
          </w:p>
          <w:p w14:paraId="68BF050F">
            <w:pPr>
              <w:widowControl w:val="0"/>
              <w:snapToGrid w:val="0"/>
              <w:jc w:val="both"/>
              <w:rPr>
                <w:color w:val="auto"/>
              </w:rPr>
            </w:pPr>
          </w:p>
          <w:p w14:paraId="206081CB">
            <w:pPr>
              <w:widowControl w:val="0"/>
              <w:snapToGrid w:val="0"/>
              <w:jc w:val="both"/>
              <w:rPr>
                <w:color w:val="auto"/>
              </w:rPr>
            </w:pPr>
            <w:r>
              <w:rPr>
                <w:rFonts w:hint="eastAsia"/>
                <w:color w:val="auto"/>
              </w:rPr>
              <w:t>贮运关键环节</w:t>
            </w:r>
          </w:p>
          <w:p w14:paraId="0EABABFB">
            <w:pPr>
              <w:widowControl w:val="0"/>
              <w:snapToGrid w:val="0"/>
              <w:jc w:val="right"/>
              <mc:AlternateContent>
                <mc:Choice Requires="wpsCustomData">
                  <wpsCustomData:diagonalParaType/>
                </mc:Choice>
              </mc:AlternateContent>
              <w:rPr>
                <w:color w:val="auto"/>
              </w:rPr>
            </w:pPr>
          </w:p>
          <w:p w14:paraId="03ED3519">
            <w:pPr>
              <w:widowControl w:val="0"/>
              <w:jc w:val="right"/>
              <w:rPr>
                <w:color w:val="auto"/>
              </w:rPr>
            </w:pPr>
            <w:r>
              <w:rPr>
                <w:rFonts w:hint="eastAsia"/>
                <w:color w:val="auto"/>
              </w:rPr>
              <w:t>调研企业名称</w:t>
            </w:r>
          </w:p>
        </w:tc>
        <w:tc>
          <w:tcPr>
            <w:tcW w:w="1421" w:type="pct"/>
            <w:vAlign w:val="center"/>
          </w:tcPr>
          <w:p w14:paraId="315FFDA6">
            <w:pPr>
              <w:widowControl w:val="0"/>
              <w:jc w:val="center"/>
              <w:rPr>
                <w:color w:val="auto"/>
              </w:rPr>
            </w:pPr>
            <w:r>
              <w:rPr>
                <w:rFonts w:hint="eastAsia"/>
                <w:color w:val="auto"/>
              </w:rPr>
              <w:t>广西国控林业投资股份有限公司</w:t>
            </w:r>
          </w:p>
        </w:tc>
        <w:tc>
          <w:tcPr>
            <w:tcW w:w="1422" w:type="pct"/>
            <w:vAlign w:val="center"/>
          </w:tcPr>
          <w:p w14:paraId="4A9285EC">
            <w:pPr>
              <w:widowControl w:val="0"/>
              <w:jc w:val="center"/>
              <w:rPr>
                <w:color w:val="auto"/>
              </w:rPr>
            </w:pPr>
            <w:r>
              <w:rPr>
                <w:rFonts w:hint="eastAsia"/>
                <w:color w:val="auto"/>
              </w:rPr>
              <w:t>广西平果市海同仓储有限责任公司</w:t>
            </w:r>
          </w:p>
        </w:tc>
        <w:tc>
          <w:tcPr>
            <w:tcW w:w="1423" w:type="pct"/>
            <w:vAlign w:val="center"/>
          </w:tcPr>
          <w:p w14:paraId="7228868C">
            <w:pPr>
              <w:widowControl w:val="0"/>
              <w:jc w:val="center"/>
              <w:rPr>
                <w:color w:val="auto"/>
              </w:rPr>
            </w:pPr>
            <w:r>
              <w:rPr>
                <w:rFonts w:hint="eastAsia"/>
                <w:color w:val="auto"/>
              </w:rPr>
              <w:t>广西百色市国控林业有限责任公司</w:t>
            </w:r>
          </w:p>
        </w:tc>
      </w:tr>
      <w:tr w14:paraId="7FD2C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2" w:type="pct"/>
            <w:vAlign w:val="center"/>
          </w:tcPr>
          <w:p w14:paraId="2B16B8E6">
            <w:pPr>
              <w:widowControl w:val="0"/>
              <w:jc w:val="both"/>
              <w:rPr>
                <w:rFonts w:hint="eastAsia"/>
                <w:color w:val="auto"/>
              </w:rPr>
            </w:pPr>
            <w:r>
              <w:rPr>
                <w:rFonts w:hint="eastAsia"/>
                <w:color w:val="auto"/>
              </w:rPr>
              <w:t>基础设施</w:t>
            </w:r>
          </w:p>
        </w:tc>
        <w:tc>
          <w:tcPr>
            <w:tcW w:w="1421" w:type="pct"/>
            <w:vAlign w:val="center"/>
          </w:tcPr>
          <w:p w14:paraId="21C0098D">
            <w:pPr>
              <w:widowControl w:val="0"/>
              <w:jc w:val="both"/>
              <w:rPr>
                <w:rFonts w:hint="eastAsia"/>
                <w:color w:val="auto"/>
              </w:rPr>
            </w:pPr>
            <w:r>
              <w:rPr>
                <w:rFonts w:hint="eastAsia"/>
                <w:color w:val="auto"/>
              </w:rPr>
              <w:t>油茶籽贮存所需的场所、冷库、照明、温湿度表、辅助设备设施、废弃物处理设施</w:t>
            </w:r>
          </w:p>
        </w:tc>
        <w:tc>
          <w:tcPr>
            <w:tcW w:w="1422" w:type="pct"/>
            <w:vAlign w:val="center"/>
          </w:tcPr>
          <w:p w14:paraId="5F3B3053">
            <w:pPr>
              <w:widowControl w:val="0"/>
              <w:jc w:val="both"/>
              <w:rPr>
                <w:rFonts w:hint="eastAsia" w:eastAsia="宋体"/>
                <w:color w:val="auto"/>
                <w:lang w:eastAsia="zh-CN"/>
              </w:rPr>
            </w:pPr>
            <w:r>
              <w:rPr>
                <w:rFonts w:hint="eastAsia"/>
                <w:color w:val="auto"/>
                <w:lang w:eastAsia="zh-CN"/>
              </w:rPr>
              <w:t>冷库、照明设施、出入库辅助设施</w:t>
            </w:r>
          </w:p>
        </w:tc>
        <w:tc>
          <w:tcPr>
            <w:tcW w:w="1423" w:type="pct"/>
            <w:vAlign w:val="center"/>
          </w:tcPr>
          <w:p w14:paraId="7CB9D2A4">
            <w:pPr>
              <w:widowControl w:val="0"/>
              <w:jc w:val="both"/>
              <w:rPr>
                <w:color w:val="auto"/>
              </w:rPr>
            </w:pPr>
            <w:r>
              <w:rPr>
                <w:rFonts w:hint="eastAsia"/>
                <w:color w:val="auto"/>
                <w:lang w:eastAsia="zh-CN"/>
              </w:rPr>
              <w:t>冷库、照明设施、出入库辅助设施、油茶籽贮存缓冲区域</w:t>
            </w:r>
          </w:p>
        </w:tc>
      </w:tr>
      <w:tr w14:paraId="01A2A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2" w:type="pct"/>
            <w:vAlign w:val="center"/>
          </w:tcPr>
          <w:p w14:paraId="54F83168">
            <w:pPr>
              <w:widowControl w:val="0"/>
              <w:jc w:val="both"/>
              <w:rPr>
                <w:rFonts w:hint="eastAsia"/>
                <w:color w:val="auto"/>
              </w:rPr>
            </w:pPr>
            <w:r>
              <w:rPr>
                <w:rFonts w:hint="eastAsia"/>
                <w:color w:val="auto"/>
              </w:rPr>
              <w:t>冷藏设施</w:t>
            </w:r>
          </w:p>
        </w:tc>
        <w:tc>
          <w:tcPr>
            <w:tcW w:w="1421" w:type="pct"/>
            <w:vAlign w:val="center"/>
          </w:tcPr>
          <w:p w14:paraId="14A8C265">
            <w:pPr>
              <w:widowControl w:val="0"/>
              <w:adjustRightInd w:val="0"/>
              <w:snapToGrid w:val="0"/>
              <w:jc w:val="both"/>
              <w:rPr>
                <w:rFonts w:hint="eastAsia"/>
                <w:color w:val="auto"/>
              </w:rPr>
            </w:pPr>
            <w:r>
              <w:rPr>
                <w:rFonts w:hint="eastAsia"/>
                <w:color w:val="auto"/>
              </w:rPr>
              <w:t xml:space="preserve">冷藏设施管理制度    </w:t>
            </w:r>
            <w:r>
              <w:rPr>
                <w:rFonts w:hint="eastAsia" w:ascii="宋体" w:hAnsi="宋体"/>
                <w:color w:val="auto"/>
                <w:lang w:eastAsia="zh-CN"/>
              </w:rPr>
              <w:t>☑</w:t>
            </w:r>
            <w:r>
              <w:rPr>
                <w:rFonts w:hint="eastAsia"/>
                <w:color w:val="auto"/>
              </w:rPr>
              <w:t xml:space="preserve">有  </w:t>
            </w:r>
            <w:r>
              <w:rPr>
                <w:rFonts w:hint="eastAsia" w:ascii="宋体" w:hAnsi="宋体"/>
                <w:color w:val="auto"/>
              </w:rPr>
              <w:t>□</w:t>
            </w:r>
            <w:r>
              <w:rPr>
                <w:rFonts w:hint="eastAsia"/>
                <w:color w:val="auto"/>
              </w:rPr>
              <w:t>无</w:t>
            </w:r>
          </w:p>
          <w:p w14:paraId="5A95932D">
            <w:pPr>
              <w:widowControl w:val="0"/>
              <w:adjustRightInd w:val="0"/>
              <w:snapToGrid w:val="0"/>
              <w:jc w:val="both"/>
              <w:rPr>
                <w:rFonts w:hint="eastAsia"/>
                <w:color w:val="auto"/>
              </w:rPr>
            </w:pPr>
            <w:r>
              <w:rPr>
                <w:rFonts w:hint="eastAsia"/>
                <w:color w:val="auto"/>
              </w:rPr>
              <w:t xml:space="preserve">温湿度监控记录      </w:t>
            </w:r>
            <w:r>
              <w:rPr>
                <w:rFonts w:hint="eastAsia"/>
                <w:color w:val="auto"/>
                <w:lang w:eastAsia="zh-CN"/>
              </w:rPr>
              <w:t>☑</w:t>
            </w:r>
            <w:r>
              <w:rPr>
                <w:rFonts w:hint="eastAsia"/>
                <w:color w:val="auto"/>
              </w:rPr>
              <w:t>有  □无</w:t>
            </w:r>
          </w:p>
          <w:p w14:paraId="3291CCA4">
            <w:pPr>
              <w:pStyle w:val="2"/>
              <w:widowControl w:val="0"/>
              <w:adjustRightInd w:val="0"/>
              <w:snapToGrid w:val="0"/>
              <w:spacing w:after="0" w:line="240" w:lineRule="auto"/>
              <w:jc w:val="both"/>
              <w:rPr>
                <w:rFonts w:hint="eastAsia"/>
                <w:color w:val="auto"/>
                <w:sz w:val="21"/>
                <w:szCs w:val="24"/>
              </w:rPr>
            </w:pPr>
            <w:r>
              <w:rPr>
                <w:rFonts w:hint="eastAsia"/>
                <w:color w:val="auto"/>
                <w:sz w:val="21"/>
                <w:szCs w:val="24"/>
              </w:rPr>
              <w:t xml:space="preserve">内部温湿度计        </w:t>
            </w:r>
            <w:r>
              <w:rPr>
                <w:rFonts w:hint="eastAsia"/>
                <w:color w:val="auto"/>
                <w:sz w:val="21"/>
                <w:szCs w:val="24"/>
                <w:lang w:eastAsia="zh-CN"/>
              </w:rPr>
              <w:t>☑</w:t>
            </w:r>
            <w:r>
              <w:rPr>
                <w:rFonts w:hint="eastAsia"/>
                <w:color w:val="auto"/>
                <w:sz w:val="21"/>
                <w:szCs w:val="24"/>
              </w:rPr>
              <w:t>有  □无</w:t>
            </w:r>
          </w:p>
          <w:p w14:paraId="508C4037">
            <w:pPr>
              <w:pStyle w:val="2"/>
              <w:widowControl w:val="0"/>
              <w:adjustRightInd w:val="0"/>
              <w:snapToGrid w:val="0"/>
              <w:spacing w:after="0" w:line="240" w:lineRule="auto"/>
              <w:jc w:val="both"/>
              <w:rPr>
                <w:rFonts w:hint="eastAsia"/>
                <w:color w:val="auto"/>
              </w:rPr>
            </w:pPr>
            <w:r>
              <w:rPr>
                <w:rFonts w:hint="eastAsia"/>
                <w:color w:val="auto"/>
                <w:sz w:val="21"/>
                <w:szCs w:val="24"/>
              </w:rPr>
              <w:t xml:space="preserve">外部温湿度计        </w:t>
            </w:r>
            <w:r>
              <w:rPr>
                <w:rFonts w:hint="eastAsia"/>
                <w:color w:val="auto"/>
                <w:sz w:val="21"/>
                <w:szCs w:val="24"/>
                <w:lang w:eastAsia="zh-CN"/>
              </w:rPr>
              <w:t>□</w:t>
            </w:r>
            <w:r>
              <w:rPr>
                <w:rFonts w:hint="eastAsia"/>
                <w:color w:val="auto"/>
                <w:sz w:val="21"/>
                <w:szCs w:val="24"/>
              </w:rPr>
              <w:t xml:space="preserve">有  </w:t>
            </w:r>
            <w:r>
              <w:rPr>
                <w:rFonts w:hint="eastAsia"/>
                <w:color w:val="auto"/>
                <w:sz w:val="21"/>
                <w:szCs w:val="24"/>
                <w:lang w:eastAsia="zh-CN"/>
              </w:rPr>
              <w:t>☑</w:t>
            </w:r>
            <w:r>
              <w:rPr>
                <w:rFonts w:hint="eastAsia"/>
                <w:color w:val="auto"/>
                <w:sz w:val="21"/>
                <w:szCs w:val="24"/>
              </w:rPr>
              <w:t>无</w:t>
            </w:r>
          </w:p>
        </w:tc>
        <w:tc>
          <w:tcPr>
            <w:tcW w:w="1422" w:type="pct"/>
            <w:vAlign w:val="center"/>
          </w:tcPr>
          <w:p w14:paraId="7FDCD1EF">
            <w:pPr>
              <w:widowControl w:val="0"/>
              <w:adjustRightInd w:val="0"/>
              <w:snapToGrid w:val="0"/>
              <w:jc w:val="both"/>
              <w:rPr>
                <w:rFonts w:hint="eastAsia"/>
                <w:color w:val="auto"/>
              </w:rPr>
            </w:pPr>
            <w:r>
              <w:rPr>
                <w:rFonts w:hint="eastAsia"/>
                <w:color w:val="auto"/>
              </w:rPr>
              <w:t xml:space="preserve">冷藏设施管理制度    </w:t>
            </w:r>
            <w:r>
              <w:rPr>
                <w:rFonts w:hint="eastAsia" w:ascii="宋体" w:hAnsi="宋体"/>
                <w:color w:val="auto"/>
                <w:lang w:eastAsia="zh-CN"/>
              </w:rPr>
              <w:t>☑</w:t>
            </w:r>
            <w:r>
              <w:rPr>
                <w:rFonts w:hint="eastAsia"/>
                <w:color w:val="auto"/>
              </w:rPr>
              <w:t xml:space="preserve">有  </w:t>
            </w:r>
            <w:r>
              <w:rPr>
                <w:rFonts w:hint="eastAsia" w:ascii="宋体" w:hAnsi="宋体"/>
                <w:color w:val="auto"/>
              </w:rPr>
              <w:t>□</w:t>
            </w:r>
            <w:r>
              <w:rPr>
                <w:rFonts w:hint="eastAsia"/>
                <w:color w:val="auto"/>
              </w:rPr>
              <w:t>无</w:t>
            </w:r>
          </w:p>
          <w:p w14:paraId="6291CCEB">
            <w:pPr>
              <w:widowControl w:val="0"/>
              <w:adjustRightInd w:val="0"/>
              <w:snapToGrid w:val="0"/>
              <w:jc w:val="both"/>
              <w:rPr>
                <w:rFonts w:hint="eastAsia"/>
                <w:color w:val="auto"/>
              </w:rPr>
            </w:pPr>
            <w:r>
              <w:rPr>
                <w:rFonts w:hint="eastAsia"/>
                <w:color w:val="auto"/>
              </w:rPr>
              <w:t xml:space="preserve">温湿度监控记录      </w:t>
            </w:r>
            <w:r>
              <w:rPr>
                <w:rFonts w:hint="eastAsia"/>
                <w:color w:val="auto"/>
                <w:lang w:eastAsia="zh-CN"/>
              </w:rPr>
              <w:t>☑</w:t>
            </w:r>
            <w:r>
              <w:rPr>
                <w:rFonts w:hint="eastAsia"/>
                <w:color w:val="auto"/>
              </w:rPr>
              <w:t>有  □无</w:t>
            </w:r>
          </w:p>
          <w:p w14:paraId="51C9D92C">
            <w:pPr>
              <w:pStyle w:val="2"/>
              <w:widowControl w:val="0"/>
              <w:adjustRightInd w:val="0"/>
              <w:snapToGrid w:val="0"/>
              <w:spacing w:after="0" w:line="240" w:lineRule="auto"/>
              <w:jc w:val="both"/>
              <w:rPr>
                <w:rFonts w:hint="eastAsia"/>
                <w:color w:val="auto"/>
                <w:sz w:val="21"/>
                <w:szCs w:val="24"/>
              </w:rPr>
            </w:pPr>
            <w:r>
              <w:rPr>
                <w:rFonts w:hint="eastAsia"/>
                <w:color w:val="auto"/>
                <w:sz w:val="21"/>
                <w:szCs w:val="24"/>
              </w:rPr>
              <w:t xml:space="preserve">内部温湿度计        </w:t>
            </w:r>
            <w:r>
              <w:rPr>
                <w:rFonts w:hint="eastAsia"/>
                <w:color w:val="auto"/>
                <w:sz w:val="21"/>
                <w:szCs w:val="24"/>
                <w:lang w:eastAsia="zh-CN"/>
              </w:rPr>
              <w:t>☑</w:t>
            </w:r>
            <w:r>
              <w:rPr>
                <w:rFonts w:hint="eastAsia"/>
                <w:color w:val="auto"/>
                <w:sz w:val="21"/>
                <w:szCs w:val="24"/>
              </w:rPr>
              <w:t>有  □无</w:t>
            </w:r>
          </w:p>
          <w:p w14:paraId="6272C839">
            <w:pPr>
              <w:widowControl w:val="0"/>
              <w:jc w:val="both"/>
              <w:rPr>
                <w:color w:val="auto"/>
              </w:rPr>
            </w:pPr>
            <w:r>
              <w:rPr>
                <w:rFonts w:hint="eastAsia"/>
                <w:color w:val="auto"/>
                <w:sz w:val="21"/>
                <w:szCs w:val="24"/>
              </w:rPr>
              <w:t xml:space="preserve">外部温湿度计        </w:t>
            </w:r>
            <w:r>
              <w:rPr>
                <w:rFonts w:hint="eastAsia"/>
                <w:color w:val="auto"/>
                <w:sz w:val="21"/>
                <w:szCs w:val="24"/>
                <w:lang w:eastAsia="zh-CN"/>
              </w:rPr>
              <w:t>☑</w:t>
            </w:r>
            <w:r>
              <w:rPr>
                <w:rFonts w:hint="eastAsia"/>
                <w:color w:val="auto"/>
                <w:sz w:val="21"/>
                <w:szCs w:val="24"/>
              </w:rPr>
              <w:t>有  □无</w:t>
            </w:r>
          </w:p>
        </w:tc>
        <w:tc>
          <w:tcPr>
            <w:tcW w:w="1423" w:type="pct"/>
            <w:vAlign w:val="center"/>
          </w:tcPr>
          <w:p w14:paraId="0008CE1B">
            <w:pPr>
              <w:widowControl w:val="0"/>
              <w:adjustRightInd w:val="0"/>
              <w:snapToGrid w:val="0"/>
              <w:jc w:val="both"/>
              <w:rPr>
                <w:rFonts w:hint="eastAsia"/>
                <w:color w:val="auto"/>
              </w:rPr>
            </w:pPr>
            <w:r>
              <w:rPr>
                <w:rFonts w:hint="eastAsia"/>
                <w:color w:val="auto"/>
              </w:rPr>
              <w:t xml:space="preserve">冷藏设施管理制度    </w:t>
            </w:r>
            <w:r>
              <w:rPr>
                <w:rFonts w:hint="eastAsia" w:ascii="宋体" w:hAnsi="宋体"/>
                <w:color w:val="auto"/>
                <w:lang w:eastAsia="zh-CN"/>
              </w:rPr>
              <w:t>☑</w:t>
            </w:r>
            <w:r>
              <w:rPr>
                <w:rFonts w:hint="eastAsia"/>
                <w:color w:val="auto"/>
              </w:rPr>
              <w:t xml:space="preserve">有  </w:t>
            </w:r>
            <w:r>
              <w:rPr>
                <w:rFonts w:hint="eastAsia" w:ascii="宋体" w:hAnsi="宋体"/>
                <w:color w:val="auto"/>
              </w:rPr>
              <w:t>□</w:t>
            </w:r>
            <w:r>
              <w:rPr>
                <w:rFonts w:hint="eastAsia"/>
                <w:color w:val="auto"/>
              </w:rPr>
              <w:t>无</w:t>
            </w:r>
          </w:p>
          <w:p w14:paraId="410A8A74">
            <w:pPr>
              <w:widowControl w:val="0"/>
              <w:adjustRightInd w:val="0"/>
              <w:snapToGrid w:val="0"/>
              <w:jc w:val="both"/>
              <w:rPr>
                <w:rFonts w:hint="eastAsia"/>
                <w:color w:val="auto"/>
              </w:rPr>
            </w:pPr>
            <w:r>
              <w:rPr>
                <w:rFonts w:hint="eastAsia"/>
                <w:color w:val="auto"/>
              </w:rPr>
              <w:t xml:space="preserve">温湿度监控记录      </w:t>
            </w:r>
            <w:r>
              <w:rPr>
                <w:rFonts w:hint="eastAsia"/>
                <w:color w:val="auto"/>
                <w:lang w:eastAsia="zh-CN"/>
              </w:rPr>
              <w:t>☑</w:t>
            </w:r>
            <w:r>
              <w:rPr>
                <w:rFonts w:hint="eastAsia"/>
                <w:color w:val="auto"/>
              </w:rPr>
              <w:t>有  □无</w:t>
            </w:r>
          </w:p>
          <w:p w14:paraId="122F62F7">
            <w:pPr>
              <w:pStyle w:val="2"/>
              <w:widowControl w:val="0"/>
              <w:adjustRightInd w:val="0"/>
              <w:snapToGrid w:val="0"/>
              <w:spacing w:after="0" w:line="240" w:lineRule="auto"/>
              <w:jc w:val="both"/>
              <w:rPr>
                <w:rFonts w:hint="eastAsia"/>
                <w:color w:val="auto"/>
                <w:sz w:val="21"/>
                <w:szCs w:val="24"/>
              </w:rPr>
            </w:pPr>
            <w:r>
              <w:rPr>
                <w:rFonts w:hint="eastAsia"/>
                <w:color w:val="auto"/>
                <w:sz w:val="21"/>
                <w:szCs w:val="24"/>
              </w:rPr>
              <w:t xml:space="preserve">内部温湿度计        </w:t>
            </w:r>
            <w:r>
              <w:rPr>
                <w:rFonts w:hint="eastAsia"/>
                <w:color w:val="auto"/>
                <w:sz w:val="21"/>
                <w:szCs w:val="24"/>
                <w:lang w:eastAsia="zh-CN"/>
              </w:rPr>
              <w:t>☑</w:t>
            </w:r>
            <w:r>
              <w:rPr>
                <w:rFonts w:hint="eastAsia"/>
                <w:color w:val="auto"/>
                <w:sz w:val="21"/>
                <w:szCs w:val="24"/>
              </w:rPr>
              <w:t>有  □无</w:t>
            </w:r>
          </w:p>
          <w:p w14:paraId="7D949F7A">
            <w:pPr>
              <w:widowControl w:val="0"/>
              <w:jc w:val="both"/>
              <w:rPr>
                <w:color w:val="auto"/>
              </w:rPr>
            </w:pPr>
            <w:r>
              <w:rPr>
                <w:rFonts w:hint="eastAsia"/>
                <w:color w:val="auto"/>
                <w:sz w:val="21"/>
                <w:szCs w:val="24"/>
              </w:rPr>
              <w:t xml:space="preserve">外部温湿度计        □有  </w:t>
            </w:r>
            <w:r>
              <w:rPr>
                <w:rFonts w:hint="eastAsia"/>
                <w:color w:val="auto"/>
                <w:sz w:val="21"/>
                <w:szCs w:val="24"/>
                <w:lang w:eastAsia="zh-CN"/>
              </w:rPr>
              <w:t>☑</w:t>
            </w:r>
            <w:r>
              <w:rPr>
                <w:rFonts w:hint="eastAsia"/>
                <w:color w:val="auto"/>
                <w:sz w:val="21"/>
                <w:szCs w:val="24"/>
              </w:rPr>
              <w:t>无</w:t>
            </w:r>
          </w:p>
        </w:tc>
      </w:tr>
      <w:tr w14:paraId="7D7A9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2" w:type="pct"/>
            <w:vAlign w:val="center"/>
          </w:tcPr>
          <w:p w14:paraId="4C747B2A">
            <w:pPr>
              <w:widowControl w:val="0"/>
              <w:jc w:val="both"/>
              <w:rPr>
                <w:rFonts w:hint="eastAsia"/>
                <w:color w:val="auto"/>
              </w:rPr>
            </w:pPr>
            <w:r>
              <w:rPr>
                <w:rFonts w:hint="eastAsia"/>
                <w:color w:val="auto"/>
              </w:rPr>
              <w:t>入库记录信息</w:t>
            </w:r>
          </w:p>
        </w:tc>
        <w:tc>
          <w:tcPr>
            <w:tcW w:w="1421" w:type="pct"/>
            <w:vAlign w:val="center"/>
          </w:tcPr>
          <w:p w14:paraId="2BA5C9FC">
            <w:pPr>
              <w:widowControl w:val="0"/>
              <w:jc w:val="both"/>
              <w:rPr>
                <w:rFonts w:hint="eastAsia"/>
                <w:color w:val="auto"/>
              </w:rPr>
            </w:pPr>
            <w:r>
              <w:rPr>
                <w:rFonts w:hint="eastAsia"/>
                <w:color w:val="auto"/>
              </w:rPr>
              <w:t>入库时间、品种、数量、等级、质量、温度、包装、生产日期和保质期</w:t>
            </w:r>
          </w:p>
        </w:tc>
        <w:tc>
          <w:tcPr>
            <w:tcW w:w="1422" w:type="pct"/>
            <w:vAlign w:val="center"/>
          </w:tcPr>
          <w:p w14:paraId="12428637">
            <w:pPr>
              <w:widowControl w:val="0"/>
              <w:jc w:val="both"/>
              <w:rPr>
                <w:rFonts w:hint="eastAsia" w:eastAsia="宋体"/>
                <w:color w:val="auto"/>
                <w:lang w:eastAsia="zh-CN"/>
              </w:rPr>
            </w:pPr>
            <w:r>
              <w:rPr>
                <w:rFonts w:hint="eastAsia"/>
                <w:color w:val="auto"/>
                <w:lang w:eastAsia="zh-CN"/>
              </w:rPr>
              <w:t>入库时间、入库数量、入库温度（冷库）、油茶籽品种、生产日期（批次）</w:t>
            </w:r>
          </w:p>
        </w:tc>
        <w:tc>
          <w:tcPr>
            <w:tcW w:w="1423" w:type="pct"/>
            <w:vAlign w:val="center"/>
          </w:tcPr>
          <w:p w14:paraId="1D23B244">
            <w:pPr>
              <w:widowControl w:val="0"/>
              <w:jc w:val="both"/>
              <w:rPr>
                <w:color w:val="auto"/>
              </w:rPr>
            </w:pPr>
            <w:r>
              <w:rPr>
                <w:rFonts w:hint="eastAsia"/>
                <w:color w:val="auto"/>
                <w:lang w:eastAsia="zh-CN"/>
              </w:rPr>
              <w:t>入库时间、生产批次及生产日期、数量</w:t>
            </w:r>
          </w:p>
        </w:tc>
      </w:tr>
      <w:tr w14:paraId="36FE1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2" w:type="pct"/>
            <w:vAlign w:val="center"/>
          </w:tcPr>
          <w:p w14:paraId="63DAF34B">
            <w:pPr>
              <w:widowControl w:val="0"/>
              <w:jc w:val="both"/>
              <w:rPr>
                <w:rFonts w:hint="eastAsia"/>
                <w:color w:val="auto"/>
              </w:rPr>
            </w:pPr>
            <w:r>
              <w:rPr>
                <w:rFonts w:hint="eastAsia"/>
                <w:color w:val="auto"/>
              </w:rPr>
              <w:t>冷库垫板</w:t>
            </w:r>
          </w:p>
        </w:tc>
        <w:tc>
          <w:tcPr>
            <w:tcW w:w="1421" w:type="pct"/>
            <w:vAlign w:val="center"/>
          </w:tcPr>
          <w:p w14:paraId="61B463C7">
            <w:pPr>
              <w:widowControl w:val="0"/>
              <w:jc w:val="both"/>
              <w:rPr>
                <w:rFonts w:hint="eastAsia"/>
                <w:color w:val="auto"/>
              </w:rPr>
            </w:pPr>
            <w:r>
              <w:rPr>
                <w:rFonts w:hint="eastAsia"/>
                <w:color w:val="auto"/>
                <w:lang w:eastAsia="zh-CN"/>
              </w:rPr>
              <w:t>☑</w:t>
            </w:r>
            <w:r>
              <w:rPr>
                <w:rFonts w:hint="eastAsia"/>
                <w:color w:val="auto"/>
              </w:rPr>
              <w:t>有  □无</w:t>
            </w:r>
          </w:p>
        </w:tc>
        <w:tc>
          <w:tcPr>
            <w:tcW w:w="1422" w:type="pct"/>
            <w:vAlign w:val="center"/>
          </w:tcPr>
          <w:p w14:paraId="6064B9D5">
            <w:pPr>
              <w:widowControl w:val="0"/>
              <w:jc w:val="both"/>
              <w:rPr>
                <w:color w:val="auto"/>
              </w:rPr>
            </w:pPr>
            <w:r>
              <w:rPr>
                <w:rFonts w:hint="eastAsia"/>
                <w:color w:val="auto"/>
                <w:lang w:eastAsia="zh-CN"/>
              </w:rPr>
              <w:t>□</w:t>
            </w:r>
            <w:r>
              <w:rPr>
                <w:rFonts w:hint="eastAsia"/>
                <w:color w:val="auto"/>
              </w:rPr>
              <w:t xml:space="preserve">有  </w:t>
            </w:r>
            <w:r>
              <w:rPr>
                <w:rFonts w:hint="eastAsia"/>
                <w:color w:val="auto"/>
                <w:lang w:eastAsia="zh-CN"/>
              </w:rPr>
              <w:t>☑</w:t>
            </w:r>
            <w:r>
              <w:rPr>
                <w:rFonts w:hint="eastAsia"/>
                <w:color w:val="auto"/>
              </w:rPr>
              <w:t>无</w:t>
            </w:r>
          </w:p>
        </w:tc>
        <w:tc>
          <w:tcPr>
            <w:tcW w:w="1423" w:type="pct"/>
            <w:vAlign w:val="center"/>
          </w:tcPr>
          <w:p w14:paraId="133A19D7">
            <w:pPr>
              <w:widowControl w:val="0"/>
              <w:jc w:val="both"/>
              <w:rPr>
                <w:color w:val="auto"/>
              </w:rPr>
            </w:pPr>
            <w:r>
              <w:rPr>
                <w:rFonts w:hint="eastAsia"/>
                <w:color w:val="auto"/>
                <w:lang w:eastAsia="zh-CN"/>
              </w:rPr>
              <w:t>☑</w:t>
            </w:r>
            <w:r>
              <w:rPr>
                <w:rFonts w:hint="eastAsia"/>
                <w:color w:val="auto"/>
              </w:rPr>
              <w:t xml:space="preserve">有  </w:t>
            </w:r>
            <w:r>
              <w:rPr>
                <w:rFonts w:hint="eastAsia"/>
                <w:color w:val="auto"/>
                <w:lang w:eastAsia="zh-CN"/>
              </w:rPr>
              <w:t>□</w:t>
            </w:r>
            <w:r>
              <w:rPr>
                <w:rFonts w:hint="eastAsia"/>
                <w:color w:val="auto"/>
              </w:rPr>
              <w:t>无</w:t>
            </w:r>
          </w:p>
        </w:tc>
      </w:tr>
      <w:tr w14:paraId="5F90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2" w:type="pct"/>
            <w:vAlign w:val="center"/>
          </w:tcPr>
          <w:p w14:paraId="43C30987">
            <w:pPr>
              <w:widowControl w:val="0"/>
              <w:jc w:val="both"/>
              <w:rPr>
                <w:color w:val="auto"/>
              </w:rPr>
            </w:pPr>
            <w:r>
              <w:rPr>
                <w:rFonts w:hint="eastAsia"/>
                <w:color w:val="auto"/>
              </w:rPr>
              <w:t>冷藏库内油茶籽堆码要求</w:t>
            </w:r>
          </w:p>
        </w:tc>
        <w:tc>
          <w:tcPr>
            <w:tcW w:w="1421" w:type="pct"/>
            <w:vAlign w:val="center"/>
          </w:tcPr>
          <w:p w14:paraId="565B1F19">
            <w:pPr>
              <w:widowControl w:val="0"/>
              <w:jc w:val="both"/>
              <w:rPr>
                <w:rFonts w:hint="eastAsia"/>
                <w:color w:val="auto"/>
              </w:rPr>
            </w:pPr>
            <w:r>
              <w:rPr>
                <w:rFonts w:hint="eastAsia"/>
                <w:color w:val="auto"/>
              </w:rPr>
              <w:t>——距冷却物冷藏间顶棚≥0.3m；</w:t>
            </w:r>
          </w:p>
          <w:p w14:paraId="00C4F04E">
            <w:pPr>
              <w:widowControl w:val="0"/>
              <w:jc w:val="both"/>
              <w:rPr>
                <w:rFonts w:hint="eastAsia"/>
                <w:color w:val="auto"/>
              </w:rPr>
            </w:pPr>
            <w:r>
              <w:rPr>
                <w:rFonts w:hint="eastAsia"/>
                <w:color w:val="auto"/>
              </w:rPr>
              <w:t>——距顶排管下侧≥0.3m；</w:t>
            </w:r>
          </w:p>
          <w:p w14:paraId="1E439B3B">
            <w:pPr>
              <w:widowControl w:val="0"/>
              <w:jc w:val="both"/>
              <w:rPr>
                <w:rFonts w:hint="eastAsia"/>
                <w:color w:val="auto"/>
              </w:rPr>
            </w:pPr>
            <w:r>
              <w:rPr>
                <w:rFonts w:hint="eastAsia"/>
                <w:color w:val="auto"/>
              </w:rPr>
              <w:t>——距顶排管横侧≥0.2m；</w:t>
            </w:r>
          </w:p>
          <w:p w14:paraId="22A6F76F">
            <w:pPr>
              <w:widowControl w:val="0"/>
              <w:jc w:val="both"/>
              <w:rPr>
                <w:rFonts w:hint="eastAsia"/>
                <w:color w:val="auto"/>
              </w:rPr>
            </w:pPr>
            <w:r>
              <w:rPr>
                <w:rFonts w:hint="eastAsia"/>
                <w:color w:val="auto"/>
              </w:rPr>
              <w:t>——距无排管的墙≥0.2m；</w:t>
            </w:r>
          </w:p>
          <w:p w14:paraId="7A6F29DC">
            <w:pPr>
              <w:widowControl w:val="0"/>
              <w:jc w:val="both"/>
              <w:rPr>
                <w:rFonts w:hint="eastAsia"/>
                <w:color w:val="auto"/>
              </w:rPr>
            </w:pPr>
            <w:r>
              <w:rPr>
                <w:rFonts w:hint="eastAsia"/>
                <w:color w:val="auto"/>
              </w:rPr>
              <w:t>——距墙排管外侧≥0.4m；</w:t>
            </w:r>
          </w:p>
          <w:p w14:paraId="15A5DEE3">
            <w:pPr>
              <w:widowControl w:val="0"/>
              <w:jc w:val="both"/>
              <w:rPr>
                <w:rFonts w:hint="eastAsia"/>
                <w:color w:val="auto"/>
              </w:rPr>
            </w:pPr>
            <w:r>
              <w:rPr>
                <w:rFonts w:hint="eastAsia"/>
                <w:color w:val="auto"/>
              </w:rPr>
              <w:t>——距风道≥0.2m；</w:t>
            </w:r>
          </w:p>
          <w:p w14:paraId="0891B288">
            <w:pPr>
              <w:widowControl w:val="0"/>
              <w:jc w:val="both"/>
              <w:rPr>
                <w:color w:val="auto"/>
              </w:rPr>
            </w:pPr>
            <w:r>
              <w:rPr>
                <w:rFonts w:hint="eastAsia"/>
                <w:color w:val="auto"/>
              </w:rPr>
              <w:t>——距冷风机周边≥1.5m</w:t>
            </w:r>
          </w:p>
        </w:tc>
        <w:tc>
          <w:tcPr>
            <w:tcW w:w="1422" w:type="pct"/>
            <w:vAlign w:val="center"/>
          </w:tcPr>
          <w:p w14:paraId="678A2B69">
            <w:pPr>
              <w:widowControl w:val="0"/>
              <w:jc w:val="both"/>
              <w:rPr>
                <w:rFonts w:hint="eastAsia"/>
                <w:color w:val="auto"/>
              </w:rPr>
            </w:pPr>
            <w:r>
              <w:rPr>
                <w:rFonts w:hint="eastAsia"/>
                <w:color w:val="auto"/>
              </w:rPr>
              <w:t>——距冷藏间顶棚≥0.3m；</w:t>
            </w:r>
          </w:p>
          <w:p w14:paraId="77513CDB">
            <w:pPr>
              <w:widowControl w:val="0"/>
              <w:jc w:val="both"/>
              <w:rPr>
                <w:rFonts w:hint="eastAsia"/>
                <w:color w:val="auto"/>
              </w:rPr>
            </w:pPr>
            <w:r>
              <w:rPr>
                <w:rFonts w:hint="eastAsia"/>
                <w:color w:val="auto"/>
              </w:rPr>
              <w:t>——距顶排管下侧≥0.</w:t>
            </w:r>
            <w:r>
              <w:rPr>
                <w:rFonts w:hint="eastAsia"/>
                <w:color w:val="auto"/>
                <w:lang w:val="en-US" w:eastAsia="zh-CN"/>
              </w:rPr>
              <w:t>3</w:t>
            </w:r>
            <w:r>
              <w:rPr>
                <w:rFonts w:hint="eastAsia"/>
                <w:color w:val="auto"/>
              </w:rPr>
              <w:t>m；</w:t>
            </w:r>
          </w:p>
          <w:p w14:paraId="28FAECA1">
            <w:pPr>
              <w:widowControl w:val="0"/>
              <w:jc w:val="both"/>
              <w:rPr>
                <w:rFonts w:hint="eastAsia"/>
                <w:color w:val="auto"/>
              </w:rPr>
            </w:pPr>
            <w:r>
              <w:rPr>
                <w:rFonts w:hint="eastAsia"/>
                <w:color w:val="auto"/>
              </w:rPr>
              <w:t>——距顶排管横侧≥0.2m；</w:t>
            </w:r>
          </w:p>
          <w:p w14:paraId="38195ED2">
            <w:pPr>
              <w:widowControl w:val="0"/>
              <w:jc w:val="both"/>
              <w:rPr>
                <w:rFonts w:hint="eastAsia"/>
                <w:color w:val="auto"/>
              </w:rPr>
            </w:pPr>
            <w:r>
              <w:rPr>
                <w:rFonts w:hint="eastAsia"/>
                <w:color w:val="auto"/>
              </w:rPr>
              <w:t>——距墙≥0.2m；</w:t>
            </w:r>
          </w:p>
          <w:p w14:paraId="47D89C51">
            <w:pPr>
              <w:widowControl w:val="0"/>
              <w:jc w:val="both"/>
              <w:rPr>
                <w:rFonts w:hint="eastAsia"/>
                <w:color w:val="auto"/>
              </w:rPr>
            </w:pPr>
            <w:r>
              <w:rPr>
                <w:rFonts w:hint="eastAsia"/>
                <w:color w:val="auto"/>
              </w:rPr>
              <w:t>——距墙排管外侧≥0.4m；</w:t>
            </w:r>
          </w:p>
          <w:p w14:paraId="173E8D2F">
            <w:pPr>
              <w:widowControl w:val="0"/>
              <w:jc w:val="both"/>
              <w:rPr>
                <w:rFonts w:hint="eastAsia"/>
                <w:color w:val="auto"/>
              </w:rPr>
            </w:pPr>
            <w:r>
              <w:rPr>
                <w:rFonts w:hint="eastAsia"/>
                <w:color w:val="auto"/>
              </w:rPr>
              <w:t>——距风道≥0.2m；</w:t>
            </w:r>
          </w:p>
          <w:p w14:paraId="0158DAEC">
            <w:pPr>
              <w:widowControl w:val="0"/>
              <w:jc w:val="both"/>
              <w:rPr>
                <w:color w:val="auto"/>
              </w:rPr>
            </w:pPr>
            <w:r>
              <w:rPr>
                <w:rFonts w:hint="eastAsia"/>
                <w:color w:val="auto"/>
              </w:rPr>
              <w:t>——距冷风机周边≥1.5m</w:t>
            </w:r>
          </w:p>
        </w:tc>
        <w:tc>
          <w:tcPr>
            <w:tcW w:w="1423" w:type="pct"/>
            <w:vAlign w:val="center"/>
          </w:tcPr>
          <w:p w14:paraId="23E9245D">
            <w:pPr>
              <w:widowControl w:val="0"/>
              <w:jc w:val="both"/>
              <w:rPr>
                <w:rFonts w:hint="eastAsia"/>
                <w:color w:val="auto"/>
              </w:rPr>
            </w:pPr>
            <w:r>
              <w:rPr>
                <w:rFonts w:hint="eastAsia"/>
                <w:color w:val="auto"/>
              </w:rPr>
              <w:t>——距冷藏间顶棚≥0.3m；</w:t>
            </w:r>
          </w:p>
          <w:p w14:paraId="73DE58D4">
            <w:pPr>
              <w:widowControl w:val="0"/>
              <w:jc w:val="both"/>
              <w:rPr>
                <w:rFonts w:hint="eastAsia"/>
                <w:color w:val="auto"/>
              </w:rPr>
            </w:pPr>
            <w:r>
              <w:rPr>
                <w:rFonts w:hint="eastAsia"/>
                <w:color w:val="auto"/>
              </w:rPr>
              <w:t>——距顶排管下侧≥0.3m；</w:t>
            </w:r>
          </w:p>
          <w:p w14:paraId="3FFCDF70">
            <w:pPr>
              <w:widowControl w:val="0"/>
              <w:jc w:val="both"/>
              <w:rPr>
                <w:rFonts w:hint="eastAsia"/>
                <w:color w:val="auto"/>
              </w:rPr>
            </w:pPr>
            <w:r>
              <w:rPr>
                <w:rFonts w:hint="eastAsia"/>
                <w:color w:val="auto"/>
              </w:rPr>
              <w:t>——距顶排管横侧≥0.2m；</w:t>
            </w:r>
          </w:p>
          <w:p w14:paraId="44C31902">
            <w:pPr>
              <w:widowControl w:val="0"/>
              <w:jc w:val="both"/>
              <w:rPr>
                <w:rFonts w:hint="eastAsia"/>
                <w:color w:val="auto"/>
              </w:rPr>
            </w:pPr>
            <w:r>
              <w:rPr>
                <w:rFonts w:hint="eastAsia"/>
                <w:color w:val="auto"/>
              </w:rPr>
              <w:t>——距墙≥0.2m；</w:t>
            </w:r>
          </w:p>
          <w:p w14:paraId="40D3D958">
            <w:pPr>
              <w:widowControl w:val="0"/>
              <w:jc w:val="both"/>
              <w:rPr>
                <w:rFonts w:hint="eastAsia"/>
                <w:color w:val="auto"/>
              </w:rPr>
            </w:pPr>
            <w:r>
              <w:rPr>
                <w:rFonts w:hint="eastAsia"/>
                <w:color w:val="auto"/>
              </w:rPr>
              <w:t>——距风道≥0.2m；</w:t>
            </w:r>
          </w:p>
          <w:p w14:paraId="731BB967">
            <w:pPr>
              <w:widowControl w:val="0"/>
              <w:jc w:val="both"/>
              <w:rPr>
                <w:color w:val="auto"/>
              </w:rPr>
            </w:pPr>
            <w:r>
              <w:rPr>
                <w:rFonts w:hint="eastAsia"/>
                <w:color w:val="auto"/>
              </w:rPr>
              <w:t>——距冷风机周边≥1.5m</w:t>
            </w:r>
          </w:p>
        </w:tc>
      </w:tr>
      <w:tr w14:paraId="548D5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32" w:type="pct"/>
            <w:vAlign w:val="center"/>
          </w:tcPr>
          <w:p w14:paraId="42A2032B">
            <w:pPr>
              <w:widowControl w:val="0"/>
              <w:jc w:val="both"/>
              <w:rPr>
                <w:color w:val="auto"/>
              </w:rPr>
            </w:pPr>
            <w:r>
              <w:rPr>
                <w:rFonts w:hint="eastAsia"/>
                <w:color w:val="auto"/>
              </w:rPr>
              <w:t>温湿度要求</w:t>
            </w:r>
          </w:p>
        </w:tc>
        <w:tc>
          <w:tcPr>
            <w:tcW w:w="1421" w:type="pct"/>
            <w:vAlign w:val="center"/>
          </w:tcPr>
          <w:p w14:paraId="0B8ADB04">
            <w:pPr>
              <w:widowControl w:val="0"/>
              <w:jc w:val="both"/>
              <w:rPr>
                <w:rFonts w:hint="eastAsia"/>
                <w:color w:val="auto"/>
              </w:rPr>
            </w:pPr>
            <w:r>
              <w:rPr>
                <w:rFonts w:hint="eastAsia"/>
                <w:color w:val="auto"/>
              </w:rPr>
              <w:t>温度</w:t>
            </w:r>
            <w:r>
              <w:rPr>
                <w:rFonts w:hint="eastAsia"/>
                <w:color w:val="auto"/>
                <w:lang w:eastAsia="zh-CN"/>
              </w:rPr>
              <w:t>：</w:t>
            </w:r>
            <w:r>
              <w:rPr>
                <w:rFonts w:hint="eastAsia"/>
                <w:color w:val="auto"/>
              </w:rPr>
              <w:t>4℃～10℃</w:t>
            </w:r>
          </w:p>
          <w:p w14:paraId="3D901164">
            <w:pPr>
              <w:widowControl w:val="0"/>
              <w:jc w:val="both"/>
              <w:rPr>
                <w:color w:val="auto"/>
              </w:rPr>
            </w:pPr>
            <w:r>
              <w:rPr>
                <w:rFonts w:hint="eastAsia"/>
                <w:color w:val="auto"/>
              </w:rPr>
              <w:t>湿度</w:t>
            </w:r>
            <w:r>
              <w:rPr>
                <w:rFonts w:hint="eastAsia"/>
                <w:color w:val="auto"/>
                <w:lang w:eastAsia="zh-CN"/>
              </w:rPr>
              <w:t>：</w:t>
            </w:r>
            <w:r>
              <w:rPr>
                <w:rFonts w:hint="eastAsia"/>
                <w:color w:val="auto"/>
              </w:rPr>
              <w:t>＜75%</w:t>
            </w:r>
          </w:p>
        </w:tc>
        <w:tc>
          <w:tcPr>
            <w:tcW w:w="1422" w:type="pct"/>
            <w:vAlign w:val="center"/>
          </w:tcPr>
          <w:p w14:paraId="409CA944">
            <w:pPr>
              <w:widowControl w:val="0"/>
              <w:jc w:val="both"/>
              <w:rPr>
                <w:rFonts w:hint="eastAsia"/>
                <w:color w:val="auto"/>
              </w:rPr>
            </w:pPr>
            <w:r>
              <w:rPr>
                <w:rFonts w:hint="eastAsia"/>
                <w:color w:val="auto"/>
              </w:rPr>
              <w:t>温度</w:t>
            </w:r>
            <w:r>
              <w:rPr>
                <w:rFonts w:hint="eastAsia"/>
                <w:color w:val="auto"/>
                <w:lang w:eastAsia="zh-CN"/>
              </w:rPr>
              <w:t>：</w:t>
            </w:r>
            <w:r>
              <w:rPr>
                <w:rFonts w:hint="eastAsia"/>
                <w:color w:val="auto"/>
              </w:rPr>
              <w:t>＞</w:t>
            </w:r>
            <w:r>
              <w:rPr>
                <w:rFonts w:hint="eastAsia"/>
                <w:color w:val="auto"/>
                <w:lang w:val="en-US" w:eastAsia="zh-CN"/>
              </w:rPr>
              <w:t>0℃</w:t>
            </w:r>
            <w:r>
              <w:rPr>
                <w:rFonts w:hint="eastAsia"/>
                <w:color w:val="auto"/>
                <w:lang w:eastAsia="zh-CN"/>
              </w:rPr>
              <w:t>，</w:t>
            </w:r>
            <w:r>
              <w:rPr>
                <w:rFonts w:hint="eastAsia"/>
                <w:color w:val="auto"/>
              </w:rPr>
              <w:t>＜10℃</w:t>
            </w:r>
          </w:p>
          <w:p w14:paraId="08033AA1">
            <w:pPr>
              <w:widowControl w:val="0"/>
              <w:jc w:val="both"/>
              <w:rPr>
                <w:color w:val="auto"/>
              </w:rPr>
            </w:pPr>
            <w:r>
              <w:rPr>
                <w:rFonts w:hint="eastAsia"/>
                <w:color w:val="auto"/>
              </w:rPr>
              <w:t>湿度</w:t>
            </w:r>
            <w:r>
              <w:rPr>
                <w:rFonts w:hint="eastAsia"/>
                <w:color w:val="auto"/>
                <w:lang w:eastAsia="zh-CN"/>
              </w:rPr>
              <w:t>：</w:t>
            </w:r>
            <w:r>
              <w:rPr>
                <w:rFonts w:hint="eastAsia"/>
                <w:color w:val="auto"/>
              </w:rPr>
              <w:t>＜</w:t>
            </w:r>
            <w:r>
              <w:rPr>
                <w:rFonts w:hint="eastAsia"/>
                <w:color w:val="auto"/>
                <w:lang w:val="en-US" w:eastAsia="zh-CN"/>
              </w:rPr>
              <w:t>80</w:t>
            </w:r>
            <w:r>
              <w:rPr>
                <w:rFonts w:hint="eastAsia"/>
                <w:color w:val="auto"/>
              </w:rPr>
              <w:t>%</w:t>
            </w:r>
          </w:p>
        </w:tc>
        <w:tc>
          <w:tcPr>
            <w:tcW w:w="1423" w:type="pct"/>
            <w:vAlign w:val="center"/>
          </w:tcPr>
          <w:p w14:paraId="25BA9FA3">
            <w:pPr>
              <w:widowControl w:val="0"/>
              <w:jc w:val="both"/>
              <w:rPr>
                <w:rFonts w:hint="eastAsia"/>
                <w:color w:val="auto"/>
              </w:rPr>
            </w:pPr>
            <w:r>
              <w:rPr>
                <w:rFonts w:hint="eastAsia"/>
                <w:color w:val="auto"/>
              </w:rPr>
              <w:t>温度</w:t>
            </w:r>
            <w:r>
              <w:rPr>
                <w:rFonts w:hint="eastAsia"/>
                <w:color w:val="auto"/>
                <w:lang w:eastAsia="zh-CN"/>
              </w:rPr>
              <w:t>：</w:t>
            </w:r>
            <w:r>
              <w:rPr>
                <w:rFonts w:hint="eastAsia"/>
                <w:color w:val="auto"/>
              </w:rPr>
              <w:t>＜10℃</w:t>
            </w:r>
          </w:p>
          <w:p w14:paraId="0105A3C3">
            <w:pPr>
              <w:widowControl w:val="0"/>
              <w:jc w:val="both"/>
              <w:rPr>
                <w:color w:val="auto"/>
              </w:rPr>
            </w:pPr>
            <w:r>
              <w:rPr>
                <w:rFonts w:hint="eastAsia"/>
                <w:color w:val="auto"/>
              </w:rPr>
              <w:t>湿度</w:t>
            </w:r>
            <w:r>
              <w:rPr>
                <w:rFonts w:hint="eastAsia"/>
                <w:color w:val="auto"/>
                <w:lang w:eastAsia="zh-CN"/>
              </w:rPr>
              <w:t>：</w:t>
            </w:r>
            <w:r>
              <w:rPr>
                <w:rFonts w:hint="eastAsia"/>
                <w:color w:val="auto"/>
              </w:rPr>
              <w:t>＜75%</w:t>
            </w:r>
          </w:p>
        </w:tc>
      </w:tr>
      <w:tr w14:paraId="40777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2" w:type="pct"/>
            <w:vAlign w:val="center"/>
          </w:tcPr>
          <w:p w14:paraId="061B5CF8">
            <w:pPr>
              <w:widowControl w:val="0"/>
              <w:jc w:val="both"/>
              <w:rPr>
                <w:rFonts w:hint="eastAsia"/>
                <w:color w:val="auto"/>
              </w:rPr>
            </w:pPr>
            <w:r>
              <w:rPr>
                <w:rFonts w:hint="eastAsia"/>
                <w:color w:val="auto"/>
              </w:rPr>
              <w:t>监控指标</w:t>
            </w:r>
          </w:p>
        </w:tc>
        <w:tc>
          <w:tcPr>
            <w:tcW w:w="1421" w:type="pct"/>
            <w:vAlign w:val="center"/>
          </w:tcPr>
          <w:p w14:paraId="62CA40A7">
            <w:pPr>
              <w:widowControl w:val="0"/>
              <w:jc w:val="both"/>
              <w:rPr>
                <w:rFonts w:hint="eastAsia"/>
                <w:color w:val="auto"/>
              </w:rPr>
            </w:pPr>
            <w:r>
              <w:rPr>
                <w:rFonts w:hint="eastAsia"/>
                <w:color w:val="auto"/>
              </w:rPr>
              <w:t>水分、霉变率、酸价、过氧化值</w:t>
            </w:r>
          </w:p>
        </w:tc>
        <w:tc>
          <w:tcPr>
            <w:tcW w:w="1422" w:type="pct"/>
            <w:vAlign w:val="center"/>
          </w:tcPr>
          <w:p w14:paraId="041F271B">
            <w:pPr>
              <w:widowControl w:val="0"/>
              <w:jc w:val="both"/>
              <w:rPr>
                <w:rFonts w:hint="eastAsia" w:eastAsia="宋体"/>
                <w:color w:val="auto"/>
                <w:lang w:val="en-US" w:eastAsia="zh-CN"/>
              </w:rPr>
            </w:pPr>
            <w:r>
              <w:rPr>
                <w:rFonts w:hint="eastAsia"/>
                <w:color w:val="auto"/>
                <w:lang w:val="en-US" w:eastAsia="zh-CN"/>
              </w:rPr>
              <w:t>水分、霉变率</w:t>
            </w:r>
          </w:p>
        </w:tc>
        <w:tc>
          <w:tcPr>
            <w:tcW w:w="1423" w:type="pct"/>
            <w:vAlign w:val="center"/>
          </w:tcPr>
          <w:p w14:paraId="3A2BE185">
            <w:pPr>
              <w:widowControl w:val="0"/>
              <w:jc w:val="both"/>
              <w:rPr>
                <w:rFonts w:hint="eastAsia" w:eastAsia="宋体"/>
                <w:color w:val="auto"/>
                <w:lang w:eastAsia="zh-CN"/>
              </w:rPr>
            </w:pPr>
            <w:r>
              <w:rPr>
                <w:rFonts w:hint="eastAsia"/>
                <w:color w:val="auto"/>
                <w:lang w:eastAsia="zh-CN"/>
              </w:rPr>
              <w:t>水分、霉变率</w:t>
            </w:r>
          </w:p>
        </w:tc>
      </w:tr>
      <w:tr w14:paraId="2BE96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2" w:type="pct"/>
            <w:vAlign w:val="center"/>
          </w:tcPr>
          <w:p w14:paraId="418FFFFC">
            <w:pPr>
              <w:widowControl w:val="0"/>
              <w:jc w:val="both"/>
              <w:rPr>
                <w:rFonts w:hint="eastAsia"/>
                <w:color w:val="auto"/>
              </w:rPr>
            </w:pPr>
            <w:r>
              <w:rPr>
                <w:rFonts w:hint="eastAsia"/>
                <w:color w:val="auto"/>
              </w:rPr>
              <w:t>监控指标的频率及处理办法</w:t>
            </w:r>
          </w:p>
        </w:tc>
        <w:tc>
          <w:tcPr>
            <w:tcW w:w="1421" w:type="pct"/>
            <w:vAlign w:val="center"/>
          </w:tcPr>
          <w:p w14:paraId="6C84ED26">
            <w:pPr>
              <w:widowControl w:val="0"/>
              <w:jc w:val="both"/>
              <w:rPr>
                <w:rFonts w:hint="eastAsia"/>
                <w:color w:val="auto"/>
              </w:rPr>
            </w:pPr>
            <w:r>
              <w:rPr>
                <w:rFonts w:hint="eastAsia"/>
                <w:color w:val="auto"/>
              </w:rPr>
              <w:t>每月检测一次水分、霉变率，当水分＞10%，应进行烘干处理。当霉变率＞1%，及时出库。</w:t>
            </w:r>
          </w:p>
          <w:p w14:paraId="4C5C2F4D">
            <w:pPr>
              <w:widowControl w:val="0"/>
              <w:jc w:val="both"/>
              <w:rPr>
                <w:rFonts w:hint="eastAsia" w:eastAsia="宋体"/>
                <w:color w:val="auto"/>
                <w:lang w:val="en-US" w:eastAsia="zh-CN"/>
              </w:rPr>
            </w:pPr>
            <w:r>
              <w:rPr>
                <w:rFonts w:hint="eastAsia"/>
                <w:color w:val="auto"/>
                <w:highlight w:val="none"/>
              </w:rPr>
              <w:t>每季度检测一次油茶籽所含油脂的酸价及过氧化值，若酸价≥4.0mg/g或过氧化值≥0.25g/100g，应查阅相关监控数据</w:t>
            </w:r>
            <w:r>
              <w:rPr>
                <w:rFonts w:hint="eastAsia"/>
                <w:color w:val="auto"/>
                <w:highlight w:val="none"/>
                <w:lang w:eastAsia="zh-CN"/>
              </w:rPr>
              <w:t>，同时清除贮存库内不达标的油茶籽产品</w:t>
            </w:r>
          </w:p>
        </w:tc>
        <w:tc>
          <w:tcPr>
            <w:tcW w:w="1422" w:type="pct"/>
            <w:vAlign w:val="center"/>
          </w:tcPr>
          <w:p w14:paraId="078F8520">
            <w:pPr>
              <w:widowControl w:val="0"/>
              <w:jc w:val="both"/>
              <w:rPr>
                <w:rFonts w:hint="default" w:eastAsia="宋体"/>
                <w:color w:val="auto"/>
                <w:lang w:val="en-US" w:eastAsia="zh-CN"/>
              </w:rPr>
            </w:pPr>
            <w:r>
              <w:rPr>
                <w:rFonts w:hint="eastAsia"/>
                <w:color w:val="auto"/>
                <w:lang w:eastAsia="zh-CN"/>
              </w:rPr>
              <w:t>每月检测一次监控指标，如水分</w:t>
            </w:r>
            <w:r>
              <w:rPr>
                <w:rFonts w:hint="eastAsia"/>
                <w:color w:val="auto"/>
              </w:rPr>
              <w:t>＞</w:t>
            </w:r>
            <w:r>
              <w:rPr>
                <w:rFonts w:hint="eastAsia"/>
                <w:color w:val="auto"/>
                <w:lang w:val="en-US" w:eastAsia="zh-CN"/>
              </w:rPr>
              <w:t>13%，进行烘干处理；霉变率</w:t>
            </w:r>
            <w:r>
              <w:rPr>
                <w:rFonts w:hint="eastAsia"/>
                <w:color w:val="auto"/>
              </w:rPr>
              <w:t>＞</w:t>
            </w:r>
            <w:r>
              <w:rPr>
                <w:rFonts w:hint="eastAsia"/>
                <w:color w:val="auto"/>
                <w:lang w:val="en-US" w:eastAsia="zh-CN"/>
              </w:rPr>
              <w:t>1%，及时出库，剔除霉变的油茶籽。</w:t>
            </w:r>
          </w:p>
        </w:tc>
        <w:tc>
          <w:tcPr>
            <w:tcW w:w="1423" w:type="pct"/>
            <w:vAlign w:val="center"/>
          </w:tcPr>
          <w:p w14:paraId="27F2E289">
            <w:pPr>
              <w:widowControl w:val="0"/>
              <w:jc w:val="both"/>
              <w:rPr>
                <w:color w:val="auto"/>
              </w:rPr>
            </w:pPr>
            <w:r>
              <w:rPr>
                <w:rFonts w:hint="eastAsia"/>
                <w:color w:val="auto"/>
                <w:lang w:eastAsia="zh-CN"/>
              </w:rPr>
              <w:t>每季度检测一次监控指标，如水分</w:t>
            </w:r>
            <w:r>
              <w:rPr>
                <w:rFonts w:hint="eastAsia"/>
                <w:color w:val="auto"/>
              </w:rPr>
              <w:t>＞</w:t>
            </w:r>
            <w:r>
              <w:rPr>
                <w:rFonts w:hint="eastAsia"/>
                <w:color w:val="auto"/>
                <w:lang w:val="en-US" w:eastAsia="zh-CN"/>
              </w:rPr>
              <w:t>13%，进行烘干处理；霉变率</w:t>
            </w:r>
            <w:r>
              <w:rPr>
                <w:rFonts w:hint="eastAsia"/>
                <w:color w:val="auto"/>
              </w:rPr>
              <w:t>＞</w:t>
            </w:r>
            <w:r>
              <w:rPr>
                <w:rFonts w:hint="eastAsia"/>
                <w:color w:val="auto"/>
                <w:lang w:val="en-US" w:eastAsia="zh-CN"/>
              </w:rPr>
              <w:t>1%，及时出库，剔除霉变的油茶籽。</w:t>
            </w:r>
          </w:p>
        </w:tc>
      </w:tr>
      <w:tr w14:paraId="77112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2" w:type="pct"/>
            <w:vAlign w:val="center"/>
          </w:tcPr>
          <w:p w14:paraId="342CE464">
            <w:pPr>
              <w:widowControl w:val="0"/>
              <w:jc w:val="both"/>
              <w:rPr>
                <w:rFonts w:hint="eastAsia"/>
                <w:color w:val="auto"/>
              </w:rPr>
            </w:pPr>
            <w:r>
              <w:rPr>
                <w:rFonts w:hint="eastAsia"/>
                <w:color w:val="auto"/>
              </w:rPr>
              <w:t>运输工具材质</w:t>
            </w:r>
          </w:p>
        </w:tc>
        <w:tc>
          <w:tcPr>
            <w:tcW w:w="1421" w:type="pct"/>
            <w:vAlign w:val="center"/>
          </w:tcPr>
          <w:p w14:paraId="3942ADFD">
            <w:pPr>
              <w:widowControl w:val="0"/>
              <w:jc w:val="both"/>
              <w:rPr>
                <w:rFonts w:hint="eastAsia"/>
                <w:color w:val="auto"/>
              </w:rPr>
            </w:pPr>
            <w:r>
              <w:rPr>
                <w:rFonts w:hint="eastAsia"/>
                <w:color w:val="auto"/>
              </w:rPr>
              <w:t>食品级、非食品级均有</w:t>
            </w:r>
          </w:p>
        </w:tc>
        <w:tc>
          <w:tcPr>
            <w:tcW w:w="1422" w:type="pct"/>
            <w:vAlign w:val="center"/>
          </w:tcPr>
          <w:p w14:paraId="4E199EB2">
            <w:pPr>
              <w:widowControl w:val="0"/>
              <w:jc w:val="both"/>
              <w:rPr>
                <w:color w:val="auto"/>
              </w:rPr>
            </w:pPr>
            <w:r>
              <w:rPr>
                <w:color w:val="auto"/>
              </w:rPr>
              <w:t>食品级</w:t>
            </w:r>
          </w:p>
        </w:tc>
        <w:tc>
          <w:tcPr>
            <w:tcW w:w="1423" w:type="pct"/>
            <w:vAlign w:val="center"/>
          </w:tcPr>
          <w:p w14:paraId="47EA000F">
            <w:pPr>
              <w:widowControl w:val="0"/>
              <w:jc w:val="both"/>
              <w:rPr>
                <w:color w:val="auto"/>
              </w:rPr>
            </w:pPr>
            <w:r>
              <w:rPr>
                <w:color w:val="auto"/>
              </w:rPr>
              <w:t>非食品级</w:t>
            </w:r>
          </w:p>
        </w:tc>
      </w:tr>
      <w:tr w14:paraId="4C3F3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2" w:type="pct"/>
            <w:vAlign w:val="center"/>
          </w:tcPr>
          <w:p w14:paraId="1622E6B0">
            <w:pPr>
              <w:widowControl w:val="0"/>
              <w:jc w:val="both"/>
              <w:rPr>
                <w:rFonts w:hint="eastAsia"/>
                <w:color w:val="auto"/>
              </w:rPr>
            </w:pPr>
            <w:r>
              <w:rPr>
                <w:rFonts w:hint="eastAsia"/>
                <w:color w:val="auto"/>
              </w:rPr>
              <w:t>物流运输控制</w:t>
            </w:r>
          </w:p>
        </w:tc>
        <w:tc>
          <w:tcPr>
            <w:tcW w:w="1421" w:type="pct"/>
            <w:vAlign w:val="center"/>
          </w:tcPr>
          <w:p w14:paraId="6B808DA5">
            <w:pPr>
              <w:widowControl w:val="0"/>
              <w:jc w:val="both"/>
              <w:rPr>
                <w:rFonts w:hint="eastAsia"/>
                <w:color w:val="auto"/>
              </w:rPr>
            </w:pPr>
            <w:r>
              <w:rPr>
                <w:rFonts w:hint="eastAsia"/>
                <w:color w:val="auto"/>
                <w:lang w:eastAsia="zh-CN"/>
              </w:rPr>
              <w:t>☑</w:t>
            </w:r>
            <w:r>
              <w:rPr>
                <w:rFonts w:hint="eastAsia"/>
                <w:color w:val="auto"/>
              </w:rPr>
              <w:t xml:space="preserve">常温运输  </w:t>
            </w:r>
            <w:r>
              <w:rPr>
                <w:rFonts w:hint="eastAsia"/>
                <w:color w:val="auto"/>
                <w:lang w:eastAsia="zh-CN"/>
              </w:rPr>
              <w:t>☑</w:t>
            </w:r>
            <w:r>
              <w:rPr>
                <w:rFonts w:hint="eastAsia"/>
                <w:color w:val="auto"/>
              </w:rPr>
              <w:t>冷藏运输</w:t>
            </w:r>
          </w:p>
          <w:p w14:paraId="53F8A7A2">
            <w:pPr>
              <w:widowControl w:val="0"/>
              <w:jc w:val="both"/>
              <w:rPr>
                <w:rFonts w:hint="eastAsia"/>
                <w:color w:val="auto"/>
              </w:rPr>
            </w:pPr>
            <w:r>
              <w:rPr>
                <w:rFonts w:hint="eastAsia"/>
                <w:color w:val="auto"/>
                <w:lang w:eastAsia="zh-CN"/>
              </w:rPr>
              <w:t>若冷藏运输，</w:t>
            </w:r>
            <w:r>
              <w:rPr>
                <w:rFonts w:hint="eastAsia"/>
                <w:color w:val="auto"/>
              </w:rPr>
              <w:t>有自动温度记录</w:t>
            </w:r>
            <w:r>
              <w:rPr>
                <w:rFonts w:hint="eastAsia"/>
                <w:color w:val="auto"/>
                <w:lang w:eastAsia="zh-CN"/>
              </w:rPr>
              <w:t>及</w:t>
            </w:r>
            <w:r>
              <w:rPr>
                <w:rFonts w:hint="eastAsia"/>
                <w:color w:val="auto"/>
              </w:rPr>
              <w:t>监控设备</w:t>
            </w:r>
          </w:p>
        </w:tc>
        <w:tc>
          <w:tcPr>
            <w:tcW w:w="1422" w:type="pct"/>
            <w:vAlign w:val="center"/>
          </w:tcPr>
          <w:p w14:paraId="0543C673">
            <w:pPr>
              <w:widowControl w:val="0"/>
              <w:jc w:val="both"/>
              <w:rPr>
                <w:color w:val="auto"/>
              </w:rPr>
            </w:pPr>
            <w:r>
              <w:rPr>
                <w:rFonts w:hint="eastAsia"/>
                <w:color w:val="auto"/>
                <w:lang w:eastAsia="zh-CN"/>
              </w:rPr>
              <w:t>☑</w:t>
            </w:r>
            <w:r>
              <w:rPr>
                <w:rFonts w:hint="eastAsia"/>
                <w:color w:val="auto"/>
              </w:rPr>
              <w:t>常温运输  □冷藏运输</w:t>
            </w:r>
          </w:p>
        </w:tc>
        <w:tc>
          <w:tcPr>
            <w:tcW w:w="1423" w:type="pct"/>
            <w:vAlign w:val="center"/>
          </w:tcPr>
          <w:p w14:paraId="1420E007">
            <w:pPr>
              <w:widowControl w:val="0"/>
              <w:jc w:val="both"/>
              <w:rPr>
                <w:color w:val="auto"/>
              </w:rPr>
            </w:pPr>
            <w:r>
              <w:rPr>
                <w:rFonts w:hint="eastAsia"/>
                <w:color w:val="auto"/>
                <w:lang w:eastAsia="zh-CN"/>
              </w:rPr>
              <w:t>☑</w:t>
            </w:r>
            <w:r>
              <w:rPr>
                <w:rFonts w:hint="eastAsia"/>
                <w:color w:val="auto"/>
              </w:rPr>
              <w:t>常温运输  □冷藏运输</w:t>
            </w:r>
          </w:p>
        </w:tc>
      </w:tr>
      <w:tr w14:paraId="5F923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2" w:type="pct"/>
            <w:vAlign w:val="center"/>
          </w:tcPr>
          <w:p w14:paraId="2FA78FDD">
            <w:pPr>
              <w:widowControl w:val="0"/>
              <w:jc w:val="both"/>
              <w:rPr>
                <w:rFonts w:hint="eastAsia"/>
                <w:color w:val="auto"/>
              </w:rPr>
            </w:pPr>
            <w:r>
              <w:rPr>
                <w:rFonts w:hint="eastAsia"/>
                <w:color w:val="auto"/>
              </w:rPr>
              <w:t>运输过程中的控温要求</w:t>
            </w:r>
          </w:p>
        </w:tc>
        <w:tc>
          <w:tcPr>
            <w:tcW w:w="1421" w:type="pct"/>
            <w:vAlign w:val="center"/>
          </w:tcPr>
          <w:p w14:paraId="1B5D5C26">
            <w:pPr>
              <w:widowControl w:val="0"/>
              <w:jc w:val="both"/>
              <w:rPr>
                <w:rFonts w:hint="eastAsia"/>
                <w:color w:val="auto"/>
                <w:lang w:eastAsia="zh-CN"/>
              </w:rPr>
            </w:pPr>
            <w:r>
              <w:rPr>
                <w:rFonts w:hint="eastAsia"/>
                <w:color w:val="auto"/>
                <w:lang w:eastAsia="zh-CN"/>
              </w:rPr>
              <w:t>常温运输无。</w:t>
            </w:r>
          </w:p>
          <w:p w14:paraId="4A46ED5F">
            <w:pPr>
              <w:widowControl w:val="0"/>
              <w:jc w:val="both"/>
              <w:rPr>
                <w:rFonts w:hint="eastAsia"/>
                <w:color w:val="auto"/>
              </w:rPr>
            </w:pPr>
            <w:r>
              <w:rPr>
                <w:rFonts w:hint="eastAsia"/>
                <w:color w:val="auto"/>
                <w:lang w:eastAsia="zh-CN"/>
              </w:rPr>
              <w:t>冷藏运输，</w:t>
            </w:r>
            <w:r>
              <w:rPr>
                <w:rFonts w:hint="eastAsia"/>
                <w:color w:val="auto"/>
              </w:rPr>
              <w:t>温度波动范围应不超过±2℃。</w:t>
            </w:r>
          </w:p>
        </w:tc>
        <w:tc>
          <w:tcPr>
            <w:tcW w:w="1422" w:type="pct"/>
            <w:vAlign w:val="center"/>
          </w:tcPr>
          <w:p w14:paraId="1E0D386B">
            <w:pPr>
              <w:widowControl w:val="0"/>
              <w:jc w:val="both"/>
              <w:rPr>
                <w:rFonts w:hint="eastAsia" w:eastAsia="宋体"/>
                <w:color w:val="auto"/>
                <w:lang w:eastAsia="zh-CN"/>
              </w:rPr>
            </w:pPr>
            <w:r>
              <w:rPr>
                <w:rFonts w:hint="eastAsia"/>
                <w:color w:val="auto"/>
                <w:lang w:eastAsia="zh-CN"/>
              </w:rPr>
              <w:t>无</w:t>
            </w:r>
          </w:p>
        </w:tc>
        <w:tc>
          <w:tcPr>
            <w:tcW w:w="1423" w:type="pct"/>
            <w:vAlign w:val="center"/>
          </w:tcPr>
          <w:p w14:paraId="7C3A31B7">
            <w:pPr>
              <w:widowControl w:val="0"/>
              <w:jc w:val="both"/>
              <w:rPr>
                <w:rFonts w:hint="eastAsia" w:eastAsia="宋体"/>
                <w:color w:val="auto"/>
                <w:lang w:eastAsia="zh-CN"/>
              </w:rPr>
            </w:pPr>
            <w:r>
              <w:rPr>
                <w:rFonts w:hint="eastAsia"/>
                <w:color w:val="auto"/>
                <w:lang w:eastAsia="zh-CN"/>
              </w:rPr>
              <w:t>无</w:t>
            </w:r>
          </w:p>
        </w:tc>
      </w:tr>
      <w:tr w14:paraId="38037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2" w:type="pct"/>
            <w:vAlign w:val="center"/>
          </w:tcPr>
          <w:p w14:paraId="4E0B9BF6">
            <w:pPr>
              <w:widowControl w:val="0"/>
              <w:jc w:val="both"/>
              <w:rPr>
                <w:color w:val="auto"/>
              </w:rPr>
            </w:pPr>
            <w:r>
              <w:rPr>
                <w:rFonts w:hint="eastAsia"/>
                <w:color w:val="auto"/>
              </w:rPr>
              <w:t>是否有其他物品共同运输</w:t>
            </w:r>
          </w:p>
        </w:tc>
        <w:tc>
          <w:tcPr>
            <w:tcW w:w="1421" w:type="pct"/>
            <w:vAlign w:val="center"/>
          </w:tcPr>
          <w:p w14:paraId="2E6B0D8D">
            <w:pPr>
              <w:widowControl w:val="0"/>
              <w:jc w:val="both"/>
              <w:rPr>
                <w:rFonts w:hint="eastAsia" w:eastAsia="宋体"/>
                <w:color w:val="auto"/>
                <w:lang w:eastAsia="zh-CN"/>
              </w:rPr>
            </w:pPr>
            <w:r>
              <w:rPr>
                <w:rFonts w:hint="eastAsia"/>
                <w:color w:val="auto"/>
                <w:lang w:eastAsia="zh-CN"/>
              </w:rPr>
              <w:t>无</w:t>
            </w:r>
          </w:p>
        </w:tc>
        <w:tc>
          <w:tcPr>
            <w:tcW w:w="1422" w:type="pct"/>
            <w:vAlign w:val="center"/>
          </w:tcPr>
          <w:p w14:paraId="5BF3A440">
            <w:pPr>
              <w:widowControl w:val="0"/>
              <w:jc w:val="both"/>
              <w:rPr>
                <w:color w:val="auto"/>
              </w:rPr>
            </w:pPr>
            <w:r>
              <w:rPr>
                <w:rFonts w:hint="eastAsia"/>
                <w:color w:val="auto"/>
              </w:rPr>
              <w:t>无</w:t>
            </w:r>
          </w:p>
        </w:tc>
        <w:tc>
          <w:tcPr>
            <w:tcW w:w="1423" w:type="pct"/>
            <w:vAlign w:val="center"/>
          </w:tcPr>
          <w:p w14:paraId="2CF116C6">
            <w:pPr>
              <w:widowControl w:val="0"/>
              <w:jc w:val="both"/>
              <w:rPr>
                <w:color w:val="auto"/>
              </w:rPr>
            </w:pPr>
            <w:r>
              <w:rPr>
                <w:color w:val="auto"/>
              </w:rPr>
              <w:t>无</w:t>
            </w:r>
          </w:p>
        </w:tc>
      </w:tr>
      <w:tr w14:paraId="5393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32" w:type="pct"/>
            <w:vAlign w:val="center"/>
          </w:tcPr>
          <w:p w14:paraId="77E62520">
            <w:pPr>
              <w:widowControl w:val="0"/>
              <w:jc w:val="both"/>
              <w:rPr>
                <w:color w:val="auto"/>
              </w:rPr>
            </w:pPr>
            <w:r>
              <w:rPr>
                <w:color w:val="auto"/>
              </w:rPr>
              <w:t>质量检查</w:t>
            </w:r>
          </w:p>
        </w:tc>
        <w:tc>
          <w:tcPr>
            <w:tcW w:w="1421" w:type="pct"/>
            <w:vAlign w:val="center"/>
          </w:tcPr>
          <w:p w14:paraId="4FD97A5C">
            <w:pPr>
              <w:widowControl w:val="0"/>
              <w:jc w:val="both"/>
              <w:rPr>
                <w:rFonts w:hint="eastAsia"/>
                <w:color w:val="auto"/>
              </w:rPr>
            </w:pPr>
            <w:r>
              <w:rPr>
                <w:rFonts w:hint="eastAsia"/>
                <w:color w:val="auto"/>
              </w:rPr>
              <w:t>入冷库时含水量5～6%</w:t>
            </w:r>
          </w:p>
          <w:p w14:paraId="246A0593">
            <w:pPr>
              <w:widowControl w:val="0"/>
              <w:jc w:val="both"/>
              <w:rPr>
                <w:color w:val="auto"/>
              </w:rPr>
            </w:pPr>
            <w:r>
              <w:rPr>
                <w:rFonts w:hint="eastAsia"/>
                <w:color w:val="auto"/>
                <w:lang w:eastAsia="zh-CN"/>
              </w:rPr>
              <w:t>因买方希望油茶籽水分为</w:t>
            </w:r>
            <w:r>
              <w:rPr>
                <w:rFonts w:hint="eastAsia"/>
                <w:color w:val="auto"/>
                <w:lang w:val="en-US" w:eastAsia="zh-CN"/>
              </w:rPr>
              <w:t>7-9%，</w:t>
            </w:r>
            <w:r>
              <w:rPr>
                <w:rFonts w:hint="eastAsia"/>
                <w:color w:val="auto"/>
              </w:rPr>
              <w:t>贮藏期间定期检测时</w:t>
            </w:r>
            <w:r>
              <w:rPr>
                <w:rFonts w:hint="eastAsia"/>
                <w:color w:val="auto"/>
                <w:lang w:eastAsia="zh-CN"/>
              </w:rPr>
              <w:t>水分</w:t>
            </w:r>
            <w:r>
              <w:rPr>
                <w:rFonts w:hint="eastAsia"/>
                <w:color w:val="auto"/>
              </w:rPr>
              <w:t>＜10%</w:t>
            </w:r>
            <w:r>
              <w:rPr>
                <w:rFonts w:hint="eastAsia"/>
                <w:color w:val="auto"/>
                <w:lang w:eastAsia="zh-CN"/>
              </w:rPr>
              <w:t>为合格</w:t>
            </w:r>
            <w:r>
              <w:rPr>
                <w:rFonts w:hint="eastAsia"/>
                <w:color w:val="auto"/>
              </w:rPr>
              <w:t>。</w:t>
            </w:r>
          </w:p>
        </w:tc>
        <w:tc>
          <w:tcPr>
            <w:tcW w:w="1422" w:type="pct"/>
            <w:vAlign w:val="center"/>
          </w:tcPr>
          <w:p w14:paraId="3371781B">
            <w:pPr>
              <w:widowControl w:val="0"/>
              <w:jc w:val="both"/>
              <w:rPr>
                <w:rFonts w:hint="eastAsia"/>
                <w:color w:val="auto"/>
              </w:rPr>
            </w:pPr>
            <w:r>
              <w:rPr>
                <w:rFonts w:hint="eastAsia"/>
                <w:color w:val="auto"/>
              </w:rPr>
              <w:t>入冷库时含水量≤</w:t>
            </w:r>
            <w:r>
              <w:rPr>
                <w:rFonts w:hint="eastAsia"/>
                <w:color w:val="auto"/>
                <w:lang w:val="en-US" w:eastAsia="zh-CN"/>
              </w:rPr>
              <w:t>10</w:t>
            </w:r>
            <w:r>
              <w:rPr>
                <w:rFonts w:hint="eastAsia"/>
                <w:color w:val="auto"/>
              </w:rPr>
              <w:t>%</w:t>
            </w:r>
          </w:p>
          <w:p w14:paraId="284079AE">
            <w:pPr>
              <w:widowControl w:val="0"/>
              <w:jc w:val="both"/>
              <w:rPr>
                <w:color w:val="auto"/>
              </w:rPr>
            </w:pPr>
            <w:r>
              <w:rPr>
                <w:rFonts w:hint="eastAsia"/>
                <w:color w:val="auto"/>
              </w:rPr>
              <w:t>贮藏期间定期检测时</w:t>
            </w:r>
            <w:r>
              <w:rPr>
                <w:rFonts w:hint="eastAsia"/>
                <w:color w:val="auto"/>
                <w:lang w:eastAsia="zh-CN"/>
              </w:rPr>
              <w:t>水分</w:t>
            </w:r>
            <w:r>
              <w:rPr>
                <w:rFonts w:hint="eastAsia"/>
                <w:color w:val="auto"/>
              </w:rPr>
              <w:t>＜1</w:t>
            </w:r>
            <w:r>
              <w:rPr>
                <w:rFonts w:hint="eastAsia" w:eastAsia="宋体"/>
                <w:color w:val="auto"/>
                <w:lang w:val="en-US" w:eastAsia="zh-CN"/>
              </w:rPr>
              <w:t>3</w:t>
            </w:r>
            <w:r>
              <w:rPr>
                <w:rFonts w:hint="eastAsia"/>
                <w:color w:val="auto"/>
              </w:rPr>
              <w:t>%</w:t>
            </w:r>
            <w:r>
              <w:rPr>
                <w:rFonts w:hint="eastAsia"/>
                <w:color w:val="auto"/>
                <w:lang w:eastAsia="zh-CN"/>
              </w:rPr>
              <w:t>为合格</w:t>
            </w:r>
            <w:r>
              <w:rPr>
                <w:rFonts w:hint="eastAsia"/>
                <w:color w:val="auto"/>
              </w:rPr>
              <w:t>。</w:t>
            </w:r>
          </w:p>
        </w:tc>
        <w:tc>
          <w:tcPr>
            <w:tcW w:w="1423" w:type="pct"/>
            <w:vAlign w:val="center"/>
          </w:tcPr>
          <w:p w14:paraId="683A897C">
            <w:pPr>
              <w:widowControl w:val="0"/>
              <w:jc w:val="both"/>
              <w:rPr>
                <w:rFonts w:hint="eastAsia"/>
                <w:color w:val="auto"/>
              </w:rPr>
            </w:pPr>
            <w:r>
              <w:rPr>
                <w:rFonts w:hint="eastAsia"/>
                <w:color w:val="auto"/>
              </w:rPr>
              <w:t>入冷库时含水量≤1</w:t>
            </w:r>
            <w:r>
              <w:rPr>
                <w:rFonts w:hint="eastAsia" w:eastAsia="宋体"/>
                <w:color w:val="auto"/>
                <w:lang w:val="en-US" w:eastAsia="zh-CN"/>
              </w:rPr>
              <w:t>3</w:t>
            </w:r>
            <w:r>
              <w:rPr>
                <w:rFonts w:hint="eastAsia"/>
                <w:color w:val="auto"/>
              </w:rPr>
              <w:t>%</w:t>
            </w:r>
          </w:p>
          <w:p w14:paraId="4950B200">
            <w:pPr>
              <w:widowControl w:val="0"/>
              <w:jc w:val="both"/>
              <w:rPr>
                <w:color w:val="auto"/>
              </w:rPr>
            </w:pPr>
            <w:r>
              <w:rPr>
                <w:rFonts w:hint="eastAsia"/>
                <w:color w:val="auto"/>
              </w:rPr>
              <w:t>贮藏期间定期检测时</w:t>
            </w:r>
            <w:r>
              <w:rPr>
                <w:rFonts w:hint="eastAsia"/>
                <w:color w:val="auto"/>
                <w:lang w:eastAsia="zh-CN"/>
              </w:rPr>
              <w:t>水分</w:t>
            </w:r>
            <w:r>
              <w:rPr>
                <w:rFonts w:hint="eastAsia"/>
                <w:color w:val="auto"/>
              </w:rPr>
              <w:t>＜1</w:t>
            </w:r>
            <w:r>
              <w:rPr>
                <w:rFonts w:hint="eastAsia" w:eastAsia="宋体"/>
                <w:color w:val="auto"/>
                <w:lang w:val="en-US" w:eastAsia="zh-CN"/>
              </w:rPr>
              <w:t>3</w:t>
            </w:r>
            <w:r>
              <w:rPr>
                <w:rFonts w:hint="eastAsia"/>
                <w:color w:val="auto"/>
              </w:rPr>
              <w:t>%</w:t>
            </w:r>
            <w:r>
              <w:rPr>
                <w:rFonts w:hint="eastAsia"/>
                <w:color w:val="auto"/>
                <w:lang w:eastAsia="zh-CN"/>
              </w:rPr>
              <w:t>为合格</w:t>
            </w:r>
            <w:r>
              <w:rPr>
                <w:rFonts w:hint="eastAsia"/>
                <w:color w:val="auto"/>
              </w:rPr>
              <w:t>。</w:t>
            </w:r>
          </w:p>
        </w:tc>
      </w:tr>
      <w:tr w14:paraId="6572D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32" w:type="pct"/>
            <w:vAlign w:val="center"/>
          </w:tcPr>
          <w:p w14:paraId="07C8FD8D">
            <w:pPr>
              <w:widowControl w:val="0"/>
              <w:jc w:val="both"/>
              <w:rPr>
                <w:rFonts w:hint="eastAsia"/>
                <w:color w:val="auto"/>
              </w:rPr>
            </w:pPr>
            <w:r>
              <w:rPr>
                <w:rFonts w:hint="eastAsia"/>
                <w:color w:val="auto"/>
              </w:rPr>
              <w:t>制度管理</w:t>
            </w:r>
          </w:p>
        </w:tc>
        <w:tc>
          <w:tcPr>
            <w:tcW w:w="1421" w:type="pct"/>
            <w:vAlign w:val="center"/>
          </w:tcPr>
          <w:p w14:paraId="464F16A5">
            <w:pPr>
              <w:widowControl w:val="0"/>
              <w:jc w:val="both"/>
              <w:rPr>
                <w:rFonts w:hint="eastAsia"/>
                <w:color w:val="auto"/>
              </w:rPr>
            </w:pPr>
            <w:r>
              <w:rPr>
                <w:rFonts w:hint="eastAsia"/>
                <w:color w:val="auto"/>
              </w:rPr>
              <w:t>1.冷库温湿度调节管理制度；</w:t>
            </w:r>
          </w:p>
          <w:p w14:paraId="2BAC015C">
            <w:pPr>
              <w:widowControl w:val="0"/>
              <w:jc w:val="both"/>
              <w:rPr>
                <w:rFonts w:hint="eastAsia"/>
                <w:color w:val="auto"/>
              </w:rPr>
            </w:pPr>
            <w:r>
              <w:rPr>
                <w:rFonts w:hint="eastAsia"/>
                <w:color w:val="auto"/>
              </w:rPr>
              <w:t>2.冷库清洁、除霜和维修制度；</w:t>
            </w:r>
          </w:p>
          <w:p w14:paraId="00BCEAB0">
            <w:pPr>
              <w:widowControl w:val="0"/>
              <w:jc w:val="both"/>
              <w:rPr>
                <w:rFonts w:hint="eastAsia"/>
                <w:color w:val="auto"/>
              </w:rPr>
            </w:pPr>
            <w:r>
              <w:rPr>
                <w:rFonts w:hint="eastAsia"/>
                <w:color w:val="auto"/>
              </w:rPr>
              <w:t>3.交接验货管理制度；</w:t>
            </w:r>
          </w:p>
          <w:p w14:paraId="6A840141">
            <w:pPr>
              <w:widowControl w:val="0"/>
              <w:jc w:val="both"/>
              <w:rPr>
                <w:rFonts w:hint="eastAsia"/>
                <w:color w:val="auto"/>
              </w:rPr>
            </w:pPr>
            <w:r>
              <w:rPr>
                <w:rFonts w:hint="eastAsia"/>
                <w:color w:val="auto"/>
              </w:rPr>
              <w:t>4.油茶籽冷藏贮存期管理规定；</w:t>
            </w:r>
          </w:p>
          <w:p w14:paraId="44B3CC89">
            <w:pPr>
              <w:widowControl w:val="0"/>
              <w:jc w:val="both"/>
              <w:rPr>
                <w:rFonts w:hint="eastAsia"/>
                <w:color w:val="auto"/>
              </w:rPr>
            </w:pPr>
            <w:r>
              <w:rPr>
                <w:rFonts w:hint="eastAsia"/>
                <w:color w:val="auto"/>
              </w:rPr>
              <w:t>5.相关贮存和运输记录档案应保留</w:t>
            </w:r>
            <w:r>
              <w:rPr>
                <w:rFonts w:hint="eastAsia"/>
                <w:color w:val="auto"/>
                <w:lang w:val="en-US" w:eastAsia="zh-CN"/>
              </w:rPr>
              <w:t>3</w:t>
            </w:r>
            <w:r>
              <w:rPr>
                <w:rFonts w:hint="eastAsia"/>
                <w:color w:val="auto"/>
              </w:rPr>
              <w:t>年以上。</w:t>
            </w:r>
          </w:p>
        </w:tc>
        <w:tc>
          <w:tcPr>
            <w:tcW w:w="1422" w:type="pct"/>
            <w:vAlign w:val="center"/>
          </w:tcPr>
          <w:p w14:paraId="055DB3CE">
            <w:pPr>
              <w:widowControl w:val="0"/>
              <w:jc w:val="both"/>
              <w:rPr>
                <w:rFonts w:hint="eastAsia"/>
                <w:color w:val="auto"/>
              </w:rPr>
            </w:pPr>
            <w:r>
              <w:rPr>
                <w:rFonts w:hint="eastAsia"/>
                <w:color w:val="auto"/>
              </w:rPr>
              <w:t>1.冷库温湿度调节管理制度；</w:t>
            </w:r>
          </w:p>
          <w:p w14:paraId="028C4F7C">
            <w:pPr>
              <w:widowControl w:val="0"/>
              <w:jc w:val="both"/>
              <w:rPr>
                <w:rFonts w:hint="eastAsia"/>
                <w:color w:val="auto"/>
              </w:rPr>
            </w:pPr>
            <w:r>
              <w:rPr>
                <w:rFonts w:hint="eastAsia"/>
                <w:color w:val="auto"/>
                <w:lang w:val="en-US" w:eastAsia="zh-CN"/>
              </w:rPr>
              <w:t>2.冷库运作</w:t>
            </w:r>
            <w:r>
              <w:rPr>
                <w:rFonts w:hint="eastAsia"/>
                <w:color w:val="auto"/>
              </w:rPr>
              <w:t>管理</w:t>
            </w:r>
            <w:r>
              <w:rPr>
                <w:rFonts w:hint="eastAsia"/>
                <w:color w:val="auto"/>
                <w:lang w:val="en-US" w:eastAsia="zh-CN"/>
              </w:rPr>
              <w:t>制度</w:t>
            </w:r>
            <w:r>
              <w:rPr>
                <w:rFonts w:hint="eastAsia"/>
                <w:color w:val="auto"/>
              </w:rPr>
              <w:t>；</w:t>
            </w:r>
          </w:p>
          <w:p w14:paraId="306E4248">
            <w:pPr>
              <w:widowControl w:val="0"/>
              <w:jc w:val="both"/>
              <w:rPr>
                <w:rFonts w:hint="eastAsia"/>
                <w:color w:val="auto"/>
              </w:rPr>
            </w:pPr>
            <w:r>
              <w:rPr>
                <w:rFonts w:hint="eastAsia"/>
                <w:color w:val="auto"/>
                <w:lang w:val="en-US" w:eastAsia="zh-CN"/>
              </w:rPr>
              <w:t>3</w:t>
            </w:r>
            <w:r>
              <w:rPr>
                <w:rFonts w:hint="eastAsia"/>
                <w:color w:val="auto"/>
              </w:rPr>
              <w:t>.冷库</w:t>
            </w:r>
            <w:r>
              <w:rPr>
                <w:rFonts w:hint="eastAsia"/>
                <w:color w:val="auto"/>
                <w:lang w:val="en-US" w:eastAsia="zh-CN"/>
              </w:rPr>
              <w:t>维护保养</w:t>
            </w:r>
            <w:r>
              <w:rPr>
                <w:rFonts w:hint="eastAsia"/>
                <w:color w:val="auto"/>
              </w:rPr>
              <w:t>制度；</w:t>
            </w:r>
          </w:p>
          <w:p w14:paraId="63E15C30">
            <w:pPr>
              <w:widowControl w:val="0"/>
              <w:jc w:val="both"/>
              <w:rPr>
                <w:rFonts w:hint="eastAsia"/>
                <w:color w:val="auto"/>
              </w:rPr>
            </w:pPr>
            <w:r>
              <w:rPr>
                <w:rFonts w:hint="eastAsia"/>
                <w:color w:val="auto"/>
                <w:lang w:val="en-US" w:eastAsia="zh-CN"/>
              </w:rPr>
              <w:t>4</w:t>
            </w:r>
            <w:r>
              <w:rPr>
                <w:rFonts w:hint="eastAsia"/>
                <w:color w:val="auto"/>
              </w:rPr>
              <w:t>.</w:t>
            </w:r>
            <w:r>
              <w:rPr>
                <w:rFonts w:hint="eastAsia"/>
                <w:color w:val="auto"/>
                <w:lang w:val="en-US" w:eastAsia="zh-CN"/>
              </w:rPr>
              <w:t>油茶籽</w:t>
            </w:r>
            <w:r>
              <w:rPr>
                <w:rFonts w:hint="eastAsia"/>
                <w:color w:val="auto"/>
                <w:lang w:eastAsia="zh-CN"/>
              </w:rPr>
              <w:t>出入库</w:t>
            </w:r>
            <w:r>
              <w:rPr>
                <w:rFonts w:hint="eastAsia"/>
                <w:color w:val="auto"/>
              </w:rPr>
              <w:t>管理制度；</w:t>
            </w:r>
          </w:p>
          <w:p w14:paraId="648A9F4C">
            <w:pPr>
              <w:widowControl w:val="0"/>
              <w:jc w:val="both"/>
              <w:rPr>
                <w:color w:val="auto"/>
              </w:rPr>
            </w:pPr>
            <w:r>
              <w:rPr>
                <w:rFonts w:hint="eastAsia"/>
                <w:color w:val="auto"/>
              </w:rPr>
              <w:t>5.相关贮存和运输记录档案应保留</w:t>
            </w:r>
            <w:r>
              <w:rPr>
                <w:rFonts w:hint="eastAsia"/>
                <w:color w:val="auto"/>
                <w:lang w:val="en-US" w:eastAsia="zh-CN"/>
              </w:rPr>
              <w:t>2</w:t>
            </w:r>
            <w:r>
              <w:rPr>
                <w:rFonts w:hint="eastAsia"/>
                <w:color w:val="auto"/>
              </w:rPr>
              <w:t>年以上。</w:t>
            </w:r>
          </w:p>
        </w:tc>
        <w:tc>
          <w:tcPr>
            <w:tcW w:w="1423" w:type="pct"/>
            <w:vAlign w:val="center"/>
          </w:tcPr>
          <w:p w14:paraId="0C5876F6">
            <w:pPr>
              <w:widowControl w:val="0"/>
              <w:jc w:val="both"/>
              <w:rPr>
                <w:rFonts w:hint="eastAsia"/>
                <w:color w:val="auto"/>
              </w:rPr>
            </w:pPr>
            <w:r>
              <w:rPr>
                <w:rFonts w:hint="eastAsia"/>
                <w:color w:val="auto"/>
              </w:rPr>
              <w:t>1.冷库温湿度调节管理制度；</w:t>
            </w:r>
          </w:p>
          <w:p w14:paraId="25B9359F">
            <w:pPr>
              <w:widowControl w:val="0"/>
              <w:jc w:val="both"/>
              <w:rPr>
                <w:rFonts w:hint="eastAsia"/>
                <w:color w:val="auto"/>
              </w:rPr>
            </w:pPr>
            <w:r>
              <w:rPr>
                <w:rFonts w:hint="eastAsia"/>
                <w:color w:val="auto"/>
              </w:rPr>
              <w:t>2.冷库</w:t>
            </w:r>
            <w:r>
              <w:rPr>
                <w:rFonts w:hint="eastAsia"/>
                <w:color w:val="auto"/>
                <w:lang w:val="en-US" w:eastAsia="zh-CN"/>
              </w:rPr>
              <w:t>维护保养</w:t>
            </w:r>
            <w:r>
              <w:rPr>
                <w:rFonts w:hint="eastAsia"/>
                <w:color w:val="auto"/>
              </w:rPr>
              <w:t>制度；</w:t>
            </w:r>
          </w:p>
          <w:p w14:paraId="58001372">
            <w:pPr>
              <w:widowControl w:val="0"/>
              <w:jc w:val="both"/>
              <w:rPr>
                <w:rFonts w:hint="eastAsia"/>
                <w:color w:val="auto"/>
              </w:rPr>
            </w:pPr>
            <w:r>
              <w:rPr>
                <w:rFonts w:hint="eastAsia"/>
                <w:color w:val="auto"/>
              </w:rPr>
              <w:t>3.交接验货管理制度；</w:t>
            </w:r>
          </w:p>
          <w:p w14:paraId="14150BFC">
            <w:pPr>
              <w:widowControl w:val="0"/>
              <w:jc w:val="both"/>
              <w:rPr>
                <w:rFonts w:hint="eastAsia"/>
                <w:color w:val="auto"/>
              </w:rPr>
            </w:pPr>
            <w:r>
              <w:rPr>
                <w:rFonts w:hint="eastAsia"/>
                <w:color w:val="auto"/>
              </w:rPr>
              <w:t>4.油茶籽冷藏贮存期管理规定；</w:t>
            </w:r>
          </w:p>
          <w:p w14:paraId="46210771">
            <w:pPr>
              <w:widowControl w:val="0"/>
              <w:jc w:val="both"/>
              <w:rPr>
                <w:color w:val="auto"/>
              </w:rPr>
            </w:pPr>
            <w:r>
              <w:rPr>
                <w:rFonts w:hint="eastAsia"/>
                <w:color w:val="auto"/>
              </w:rPr>
              <w:t>5.相关贮存和运输记录档案应保留</w:t>
            </w:r>
            <w:r>
              <w:rPr>
                <w:rFonts w:hint="eastAsia"/>
                <w:color w:val="auto"/>
                <w:lang w:val="en-US" w:eastAsia="zh-CN"/>
              </w:rPr>
              <w:t>2</w:t>
            </w:r>
            <w:r>
              <w:rPr>
                <w:rFonts w:hint="eastAsia"/>
                <w:color w:val="auto"/>
              </w:rPr>
              <w:t>年以上。</w:t>
            </w:r>
          </w:p>
        </w:tc>
      </w:tr>
    </w:tbl>
    <w:p w14:paraId="3A33981C">
      <w:pPr>
        <w:pStyle w:val="3"/>
        <w:rPr>
          <w:color w:val="auto"/>
        </w:rPr>
      </w:pPr>
    </w:p>
    <w:sectPr>
      <w:footerReference r:id="rId6" w:type="default"/>
      <w:pgSz w:w="16839" w:h="11907" w:orient="landscape"/>
      <w:pgMar w:top="1439" w:right="1431" w:bottom="1328" w:left="1310" w:header="0" w:footer="113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8B9DF">
    <w:pPr>
      <w:pStyle w:val="3"/>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60D7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86015"/>
    <w:multiLevelType w:val="singleLevel"/>
    <w:tmpl w:val="B0A86015"/>
    <w:lvl w:ilvl="0" w:tentative="0">
      <w:start w:val="1"/>
      <w:numFmt w:val="lowerLetter"/>
      <w:suff w:val="space"/>
      <w:lvlText w:val="%1）"/>
      <w:lvlJc w:val="left"/>
    </w:lvl>
  </w:abstractNum>
  <w:abstractNum w:abstractNumId="1">
    <w:nsid w:val="BBC008EE"/>
    <w:multiLevelType w:val="singleLevel"/>
    <w:tmpl w:val="BBC008EE"/>
    <w:lvl w:ilvl="0" w:tentative="0">
      <w:start w:val="1"/>
      <w:numFmt w:val="lowerLetter"/>
      <w:suff w:val="space"/>
      <w:lvlText w:val="%1）"/>
      <w:lvlJc w:val="left"/>
    </w:lvl>
  </w:abstractNum>
  <w:abstractNum w:abstractNumId="2">
    <w:nsid w:val="BE8DCCCF"/>
    <w:multiLevelType w:val="singleLevel"/>
    <w:tmpl w:val="BE8DCCCF"/>
    <w:lvl w:ilvl="0" w:tentative="0">
      <w:start w:val="1"/>
      <w:numFmt w:val="lowerLetter"/>
      <w:suff w:val="space"/>
      <w:lvlText w:val="%1）"/>
      <w:lvlJc w:val="left"/>
    </w:lvl>
  </w:abstractNum>
  <w:abstractNum w:abstractNumId="3">
    <w:nsid w:val="D9C8F109"/>
    <w:multiLevelType w:val="singleLevel"/>
    <w:tmpl w:val="D9C8F109"/>
    <w:lvl w:ilvl="0" w:tentative="0">
      <w:start w:val="1"/>
      <w:numFmt w:val="lowerLetter"/>
      <w:suff w:val="space"/>
      <w:lvlText w:val="%1）"/>
      <w:lvlJc w:val="left"/>
    </w:lvl>
  </w:abstractNum>
  <w:abstractNum w:abstractNumId="4">
    <w:nsid w:val="E4E91E32"/>
    <w:multiLevelType w:val="singleLevel"/>
    <w:tmpl w:val="E4E91E32"/>
    <w:lvl w:ilvl="0" w:tentative="0">
      <w:start w:val="1"/>
      <w:numFmt w:val="lowerLetter"/>
      <w:suff w:val="space"/>
      <w:lvlText w:val="%1）"/>
      <w:lvlJc w:val="left"/>
    </w:lvl>
  </w:abstractNum>
  <w:abstractNum w:abstractNumId="5">
    <w:nsid w:val="EBD36894"/>
    <w:multiLevelType w:val="singleLevel"/>
    <w:tmpl w:val="EBD36894"/>
    <w:lvl w:ilvl="0" w:tentative="0">
      <w:start w:val="2"/>
      <w:numFmt w:val="decimal"/>
      <w:suff w:val="space"/>
      <w:lvlText w:val="%1."/>
      <w:lvlJc w:val="left"/>
    </w:lvl>
  </w:abstractNum>
  <w:abstractNum w:abstractNumId="6">
    <w:nsid w:val="043EF1DD"/>
    <w:multiLevelType w:val="singleLevel"/>
    <w:tmpl w:val="043EF1DD"/>
    <w:lvl w:ilvl="0" w:tentative="0">
      <w:start w:val="1"/>
      <w:numFmt w:val="lowerLetter"/>
      <w:suff w:val="space"/>
      <w:lvlText w:val="%1）"/>
      <w:lvlJc w:val="left"/>
    </w:lvl>
  </w:abstractNum>
  <w:abstractNum w:abstractNumId="7">
    <w:nsid w:val="44C50F90"/>
    <w:multiLevelType w:val="multilevel"/>
    <w:tmpl w:val="44C50F90"/>
    <w:lvl w:ilvl="0" w:tentative="0">
      <w:start w:val="1"/>
      <w:numFmt w:val="lowerLetter"/>
      <w:pStyle w:val="16"/>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48EC2B99"/>
    <w:multiLevelType w:val="singleLevel"/>
    <w:tmpl w:val="48EC2B99"/>
    <w:lvl w:ilvl="0" w:tentative="0">
      <w:start w:val="1"/>
      <w:numFmt w:val="lowerLetter"/>
      <w:suff w:val="space"/>
      <w:lvlText w:val="%1）"/>
      <w:lvlJc w:val="left"/>
    </w:lvl>
  </w:abstractNum>
  <w:abstractNum w:abstractNumId="9">
    <w:nsid w:val="4F73DEF3"/>
    <w:multiLevelType w:val="singleLevel"/>
    <w:tmpl w:val="4F73DEF3"/>
    <w:lvl w:ilvl="0" w:tentative="0">
      <w:start w:val="1"/>
      <w:numFmt w:val="lowerLetter"/>
      <w:suff w:val="space"/>
      <w:lvlText w:val="%1）"/>
      <w:lvlJc w:val="left"/>
    </w:lvl>
  </w:abstractNum>
  <w:abstractNum w:abstractNumId="10">
    <w:nsid w:val="557C2AF5"/>
    <w:multiLevelType w:val="multilevel"/>
    <w:tmpl w:val="557C2AF5"/>
    <w:lvl w:ilvl="0" w:tentative="0">
      <w:start w:val="1"/>
      <w:numFmt w:val="decimal"/>
      <w:pStyle w:val="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4"/>
      <w:suff w:val="nothing"/>
      <w:lvlText w:val="%1%2　"/>
      <w:lvlJc w:val="left"/>
      <w:pPr>
        <w:ind w:left="0" w:firstLine="0"/>
      </w:pPr>
      <w:rPr>
        <w:rFonts w:hint="eastAsia" w:ascii="黑体" w:eastAsia="黑体"/>
        <w:b w:val="0"/>
        <w:i w:val="0"/>
        <w:sz w:val="21"/>
      </w:rPr>
    </w:lvl>
    <w:lvl w:ilvl="2" w:tentative="0">
      <w:start w:val="1"/>
      <w:numFmt w:val="decimal"/>
      <w:pStyle w:val="1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8"/>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587BDDF"/>
    <w:multiLevelType w:val="singleLevel"/>
    <w:tmpl w:val="7587BDDF"/>
    <w:lvl w:ilvl="0" w:tentative="0">
      <w:start w:val="1"/>
      <w:numFmt w:val="lowerLetter"/>
      <w:suff w:val="space"/>
      <w:lvlText w:val="%1）"/>
      <w:lvlJc w:val="left"/>
    </w:lvl>
  </w:abstractNum>
  <w:num w:numId="1">
    <w:abstractNumId w:val="11"/>
  </w:num>
  <w:num w:numId="2">
    <w:abstractNumId w:val="7"/>
  </w:num>
  <w:num w:numId="3">
    <w:abstractNumId w:val="10"/>
  </w:num>
  <w:num w:numId="4">
    <w:abstractNumId w:val="5"/>
  </w:num>
  <w:num w:numId="5">
    <w:abstractNumId w:val="4"/>
  </w:num>
  <w:num w:numId="6">
    <w:abstractNumId w:val="1"/>
  </w:num>
  <w:num w:numId="7">
    <w:abstractNumId w:val="3"/>
  </w:num>
  <w:num w:numId="8">
    <w:abstractNumId w:val="12"/>
  </w:num>
  <w:num w:numId="9">
    <w:abstractNumId w:val="6"/>
  </w:num>
  <w:num w:numId="10">
    <w:abstractNumId w:val="0"/>
  </w:num>
  <w:num w:numId="11">
    <w:abstractNumId w:val="2"/>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DJmZDQxNGQyNGJhZTAyZmU0MzYwNmY0MmU3YjMifQ=="/>
  </w:docVars>
  <w:rsids>
    <w:rsidRoot w:val="00AC6D87"/>
    <w:rsid w:val="00124640"/>
    <w:rsid w:val="00142C1E"/>
    <w:rsid w:val="002525F1"/>
    <w:rsid w:val="003F23CE"/>
    <w:rsid w:val="00502983"/>
    <w:rsid w:val="00695ED1"/>
    <w:rsid w:val="006A1CF9"/>
    <w:rsid w:val="006C01ED"/>
    <w:rsid w:val="00A568A5"/>
    <w:rsid w:val="00AC6D87"/>
    <w:rsid w:val="00BE34EF"/>
    <w:rsid w:val="00C44682"/>
    <w:rsid w:val="00CA1915"/>
    <w:rsid w:val="00D1333E"/>
    <w:rsid w:val="00D57078"/>
    <w:rsid w:val="010158D6"/>
    <w:rsid w:val="017D31AE"/>
    <w:rsid w:val="017E6F26"/>
    <w:rsid w:val="019E4ED3"/>
    <w:rsid w:val="02203B3A"/>
    <w:rsid w:val="02353A89"/>
    <w:rsid w:val="02C7141B"/>
    <w:rsid w:val="02F56D74"/>
    <w:rsid w:val="03343D40"/>
    <w:rsid w:val="035D37EA"/>
    <w:rsid w:val="03B64756"/>
    <w:rsid w:val="03CE17B5"/>
    <w:rsid w:val="04122DBB"/>
    <w:rsid w:val="044704D0"/>
    <w:rsid w:val="049E532B"/>
    <w:rsid w:val="04A24CDA"/>
    <w:rsid w:val="04A66578"/>
    <w:rsid w:val="04D255BF"/>
    <w:rsid w:val="04EE6171"/>
    <w:rsid w:val="050E236F"/>
    <w:rsid w:val="05107E95"/>
    <w:rsid w:val="05BE78F1"/>
    <w:rsid w:val="05CA273A"/>
    <w:rsid w:val="061E4834"/>
    <w:rsid w:val="062005AC"/>
    <w:rsid w:val="06625496"/>
    <w:rsid w:val="069A65B0"/>
    <w:rsid w:val="06E635A4"/>
    <w:rsid w:val="07366C2D"/>
    <w:rsid w:val="07373DFF"/>
    <w:rsid w:val="075F6EB2"/>
    <w:rsid w:val="07C733D5"/>
    <w:rsid w:val="07C86D9E"/>
    <w:rsid w:val="07CA07CF"/>
    <w:rsid w:val="07E55609"/>
    <w:rsid w:val="07F57B8E"/>
    <w:rsid w:val="08077DEA"/>
    <w:rsid w:val="085C1889"/>
    <w:rsid w:val="08D51B22"/>
    <w:rsid w:val="092B1742"/>
    <w:rsid w:val="09353038"/>
    <w:rsid w:val="093F6F9B"/>
    <w:rsid w:val="09595A6C"/>
    <w:rsid w:val="098826F0"/>
    <w:rsid w:val="0A0855DF"/>
    <w:rsid w:val="0A3B59B5"/>
    <w:rsid w:val="0A5E16A3"/>
    <w:rsid w:val="0A821835"/>
    <w:rsid w:val="0A917CCA"/>
    <w:rsid w:val="0AC37758"/>
    <w:rsid w:val="0AE53B72"/>
    <w:rsid w:val="0B0A5387"/>
    <w:rsid w:val="0B36617C"/>
    <w:rsid w:val="0BEB655E"/>
    <w:rsid w:val="0BF73B5D"/>
    <w:rsid w:val="0BFF5852"/>
    <w:rsid w:val="0C0842DD"/>
    <w:rsid w:val="0C424601"/>
    <w:rsid w:val="0C4843B9"/>
    <w:rsid w:val="0CD65E68"/>
    <w:rsid w:val="0D0F0D82"/>
    <w:rsid w:val="0D674D12"/>
    <w:rsid w:val="0D774F56"/>
    <w:rsid w:val="0DAE46EF"/>
    <w:rsid w:val="0DF02F5A"/>
    <w:rsid w:val="0E193821"/>
    <w:rsid w:val="0E2829DC"/>
    <w:rsid w:val="0E56100F"/>
    <w:rsid w:val="0E9C279A"/>
    <w:rsid w:val="0EA72A82"/>
    <w:rsid w:val="0EC56195"/>
    <w:rsid w:val="0EC71F0D"/>
    <w:rsid w:val="0F087E2F"/>
    <w:rsid w:val="0F2864F1"/>
    <w:rsid w:val="0F3B0205"/>
    <w:rsid w:val="0FC2411A"/>
    <w:rsid w:val="10042CED"/>
    <w:rsid w:val="101271B8"/>
    <w:rsid w:val="102173FB"/>
    <w:rsid w:val="102F6B1B"/>
    <w:rsid w:val="108C69C6"/>
    <w:rsid w:val="11020FDA"/>
    <w:rsid w:val="11186A50"/>
    <w:rsid w:val="11391A49"/>
    <w:rsid w:val="117556CB"/>
    <w:rsid w:val="11851C0B"/>
    <w:rsid w:val="125A18D3"/>
    <w:rsid w:val="126006AE"/>
    <w:rsid w:val="126B3818"/>
    <w:rsid w:val="12AA0E98"/>
    <w:rsid w:val="12D673A1"/>
    <w:rsid w:val="13185A75"/>
    <w:rsid w:val="13373DBF"/>
    <w:rsid w:val="13F866C4"/>
    <w:rsid w:val="14315876"/>
    <w:rsid w:val="14425B91"/>
    <w:rsid w:val="147C5547"/>
    <w:rsid w:val="14922675"/>
    <w:rsid w:val="14B24AC5"/>
    <w:rsid w:val="14D709D0"/>
    <w:rsid w:val="150A42DA"/>
    <w:rsid w:val="1537321C"/>
    <w:rsid w:val="15516BAB"/>
    <w:rsid w:val="156009C5"/>
    <w:rsid w:val="1573694A"/>
    <w:rsid w:val="15AE5784"/>
    <w:rsid w:val="15D16F40"/>
    <w:rsid w:val="16021A7C"/>
    <w:rsid w:val="162776F9"/>
    <w:rsid w:val="163634D4"/>
    <w:rsid w:val="170D692B"/>
    <w:rsid w:val="171C6B6E"/>
    <w:rsid w:val="177C7F32"/>
    <w:rsid w:val="178269DF"/>
    <w:rsid w:val="17DC43BC"/>
    <w:rsid w:val="17EE050A"/>
    <w:rsid w:val="17FE0021"/>
    <w:rsid w:val="183124A5"/>
    <w:rsid w:val="184A4E79"/>
    <w:rsid w:val="187C5B16"/>
    <w:rsid w:val="18B84674"/>
    <w:rsid w:val="18DA6CE0"/>
    <w:rsid w:val="18E25825"/>
    <w:rsid w:val="18F41B50"/>
    <w:rsid w:val="18F51424"/>
    <w:rsid w:val="19153875"/>
    <w:rsid w:val="194A5C14"/>
    <w:rsid w:val="19570467"/>
    <w:rsid w:val="1A22449B"/>
    <w:rsid w:val="1A332204"/>
    <w:rsid w:val="1A361CF4"/>
    <w:rsid w:val="1A571CAA"/>
    <w:rsid w:val="1A6F1E95"/>
    <w:rsid w:val="1AAD645B"/>
    <w:rsid w:val="1AB75A02"/>
    <w:rsid w:val="1AE07BFA"/>
    <w:rsid w:val="1B065B6B"/>
    <w:rsid w:val="1B221807"/>
    <w:rsid w:val="1C0E2F29"/>
    <w:rsid w:val="1C2C7853"/>
    <w:rsid w:val="1CCF21F1"/>
    <w:rsid w:val="1D061E52"/>
    <w:rsid w:val="1D1E3640"/>
    <w:rsid w:val="1D2F75FB"/>
    <w:rsid w:val="1D4A4435"/>
    <w:rsid w:val="1D616594"/>
    <w:rsid w:val="1D8B05A9"/>
    <w:rsid w:val="1D8E3BF5"/>
    <w:rsid w:val="1D9535F5"/>
    <w:rsid w:val="1D9A075E"/>
    <w:rsid w:val="1DB00010"/>
    <w:rsid w:val="1DCD2970"/>
    <w:rsid w:val="1DD261D8"/>
    <w:rsid w:val="1E2F7187"/>
    <w:rsid w:val="1E3314F9"/>
    <w:rsid w:val="1E3B185B"/>
    <w:rsid w:val="1E4A182E"/>
    <w:rsid w:val="1E58492F"/>
    <w:rsid w:val="1E836C02"/>
    <w:rsid w:val="1EA77665"/>
    <w:rsid w:val="1EE742BB"/>
    <w:rsid w:val="1EEB57A3"/>
    <w:rsid w:val="1F2111C5"/>
    <w:rsid w:val="1F705CA9"/>
    <w:rsid w:val="1F841F36"/>
    <w:rsid w:val="1F8D23B7"/>
    <w:rsid w:val="1FB931AC"/>
    <w:rsid w:val="1FE12702"/>
    <w:rsid w:val="1FF22B62"/>
    <w:rsid w:val="1FF73CD4"/>
    <w:rsid w:val="200563F1"/>
    <w:rsid w:val="204C04C4"/>
    <w:rsid w:val="2057365A"/>
    <w:rsid w:val="206155F1"/>
    <w:rsid w:val="206F7D0E"/>
    <w:rsid w:val="20E66222"/>
    <w:rsid w:val="212159CA"/>
    <w:rsid w:val="213F5933"/>
    <w:rsid w:val="21863561"/>
    <w:rsid w:val="2186411B"/>
    <w:rsid w:val="21B46321"/>
    <w:rsid w:val="223905D4"/>
    <w:rsid w:val="2241392C"/>
    <w:rsid w:val="225B2C40"/>
    <w:rsid w:val="22721109"/>
    <w:rsid w:val="22F95FB5"/>
    <w:rsid w:val="237733D9"/>
    <w:rsid w:val="239D2DE4"/>
    <w:rsid w:val="23FE3883"/>
    <w:rsid w:val="24172B97"/>
    <w:rsid w:val="243F3E9B"/>
    <w:rsid w:val="2471674B"/>
    <w:rsid w:val="247C6E9E"/>
    <w:rsid w:val="24844BCB"/>
    <w:rsid w:val="248D10AB"/>
    <w:rsid w:val="24C04FDC"/>
    <w:rsid w:val="251033B9"/>
    <w:rsid w:val="25566D99"/>
    <w:rsid w:val="257A6A46"/>
    <w:rsid w:val="260929B3"/>
    <w:rsid w:val="26103D41"/>
    <w:rsid w:val="2610789E"/>
    <w:rsid w:val="26215F4F"/>
    <w:rsid w:val="262B0B7B"/>
    <w:rsid w:val="26610446"/>
    <w:rsid w:val="26914E82"/>
    <w:rsid w:val="26BE72FA"/>
    <w:rsid w:val="26C16DEA"/>
    <w:rsid w:val="27191DB9"/>
    <w:rsid w:val="27B0758A"/>
    <w:rsid w:val="27D651C1"/>
    <w:rsid w:val="27D668C5"/>
    <w:rsid w:val="28081174"/>
    <w:rsid w:val="280D678A"/>
    <w:rsid w:val="28846321"/>
    <w:rsid w:val="289E642A"/>
    <w:rsid w:val="28A6098D"/>
    <w:rsid w:val="28C0157D"/>
    <w:rsid w:val="28C963C8"/>
    <w:rsid w:val="28D9666D"/>
    <w:rsid w:val="28EE0144"/>
    <w:rsid w:val="292024ED"/>
    <w:rsid w:val="294361DC"/>
    <w:rsid w:val="2944442E"/>
    <w:rsid w:val="295F6021"/>
    <w:rsid w:val="29714AF7"/>
    <w:rsid w:val="297B5976"/>
    <w:rsid w:val="29AE7AF9"/>
    <w:rsid w:val="29DB25DC"/>
    <w:rsid w:val="2A07382E"/>
    <w:rsid w:val="2A2F6883"/>
    <w:rsid w:val="2A58320D"/>
    <w:rsid w:val="2A7D127A"/>
    <w:rsid w:val="2A952A67"/>
    <w:rsid w:val="2AC375D4"/>
    <w:rsid w:val="2B0B1B03"/>
    <w:rsid w:val="2B732DA8"/>
    <w:rsid w:val="2B944ACD"/>
    <w:rsid w:val="2BAF236C"/>
    <w:rsid w:val="2BE05F64"/>
    <w:rsid w:val="2BE55328"/>
    <w:rsid w:val="2C2D3BF3"/>
    <w:rsid w:val="2C803D54"/>
    <w:rsid w:val="2C970BA9"/>
    <w:rsid w:val="2CA156F3"/>
    <w:rsid w:val="2CFE2B46"/>
    <w:rsid w:val="2D0126B9"/>
    <w:rsid w:val="2D3E1C0F"/>
    <w:rsid w:val="2D526DDA"/>
    <w:rsid w:val="2D60110A"/>
    <w:rsid w:val="2D6C14C5"/>
    <w:rsid w:val="2DA01E4F"/>
    <w:rsid w:val="2DA134D1"/>
    <w:rsid w:val="2DDD275B"/>
    <w:rsid w:val="2DEC6E42"/>
    <w:rsid w:val="2E132621"/>
    <w:rsid w:val="2E5A728A"/>
    <w:rsid w:val="2F104DB2"/>
    <w:rsid w:val="2F21303A"/>
    <w:rsid w:val="2F5C3B54"/>
    <w:rsid w:val="2F6173BC"/>
    <w:rsid w:val="2F857742"/>
    <w:rsid w:val="2F9B0A3C"/>
    <w:rsid w:val="2FC811E9"/>
    <w:rsid w:val="2FE53B49"/>
    <w:rsid w:val="306F78B6"/>
    <w:rsid w:val="307839BF"/>
    <w:rsid w:val="30926648"/>
    <w:rsid w:val="3098505F"/>
    <w:rsid w:val="30A92DC8"/>
    <w:rsid w:val="30B26121"/>
    <w:rsid w:val="30C45E54"/>
    <w:rsid w:val="312F7772"/>
    <w:rsid w:val="31350B00"/>
    <w:rsid w:val="31794DCD"/>
    <w:rsid w:val="319770C5"/>
    <w:rsid w:val="31E85B72"/>
    <w:rsid w:val="32250B75"/>
    <w:rsid w:val="322A6639"/>
    <w:rsid w:val="32364B30"/>
    <w:rsid w:val="32956289"/>
    <w:rsid w:val="32CC3B66"/>
    <w:rsid w:val="32D103B5"/>
    <w:rsid w:val="330469DC"/>
    <w:rsid w:val="33641229"/>
    <w:rsid w:val="33AB6E58"/>
    <w:rsid w:val="33C10429"/>
    <w:rsid w:val="33C87A09"/>
    <w:rsid w:val="33CF0E73"/>
    <w:rsid w:val="34000F51"/>
    <w:rsid w:val="340D366E"/>
    <w:rsid w:val="343D03F7"/>
    <w:rsid w:val="34466C75"/>
    <w:rsid w:val="34625E1A"/>
    <w:rsid w:val="351A4295"/>
    <w:rsid w:val="352670DE"/>
    <w:rsid w:val="352B0250"/>
    <w:rsid w:val="357D0A8C"/>
    <w:rsid w:val="35944047"/>
    <w:rsid w:val="35F42D38"/>
    <w:rsid w:val="36231BE9"/>
    <w:rsid w:val="36721EAF"/>
    <w:rsid w:val="369F68A5"/>
    <w:rsid w:val="36B04C59"/>
    <w:rsid w:val="36B349A1"/>
    <w:rsid w:val="375810A4"/>
    <w:rsid w:val="37AC3523"/>
    <w:rsid w:val="37B24C58"/>
    <w:rsid w:val="37EB1F18"/>
    <w:rsid w:val="386877D3"/>
    <w:rsid w:val="3882287D"/>
    <w:rsid w:val="3885411B"/>
    <w:rsid w:val="38DD3F57"/>
    <w:rsid w:val="38E20AE5"/>
    <w:rsid w:val="38FD3CCF"/>
    <w:rsid w:val="398048E2"/>
    <w:rsid w:val="398B5761"/>
    <w:rsid w:val="3995462E"/>
    <w:rsid w:val="399565E0"/>
    <w:rsid w:val="39A64349"/>
    <w:rsid w:val="39BC3B6C"/>
    <w:rsid w:val="39EE5CF0"/>
    <w:rsid w:val="39F94DC1"/>
    <w:rsid w:val="3A4D2A17"/>
    <w:rsid w:val="3AAF722D"/>
    <w:rsid w:val="3AB111F7"/>
    <w:rsid w:val="3AE42A23"/>
    <w:rsid w:val="3B3911ED"/>
    <w:rsid w:val="3B8161BF"/>
    <w:rsid w:val="3B934DA1"/>
    <w:rsid w:val="3B9F72A2"/>
    <w:rsid w:val="3BDF1D94"/>
    <w:rsid w:val="3BF33A92"/>
    <w:rsid w:val="3C1F03E3"/>
    <w:rsid w:val="3C3245BA"/>
    <w:rsid w:val="3C770627"/>
    <w:rsid w:val="3CA37266"/>
    <w:rsid w:val="3D283D4F"/>
    <w:rsid w:val="3D49542E"/>
    <w:rsid w:val="3D6C3AFB"/>
    <w:rsid w:val="3D8F3346"/>
    <w:rsid w:val="3DDA0A65"/>
    <w:rsid w:val="3DFF671E"/>
    <w:rsid w:val="3E025B80"/>
    <w:rsid w:val="3E1026D9"/>
    <w:rsid w:val="3E5A3954"/>
    <w:rsid w:val="3E610F6D"/>
    <w:rsid w:val="3E636CAD"/>
    <w:rsid w:val="3E6B790F"/>
    <w:rsid w:val="3E927592"/>
    <w:rsid w:val="3EC60D06"/>
    <w:rsid w:val="3EE14075"/>
    <w:rsid w:val="3EF913BF"/>
    <w:rsid w:val="3F546C30"/>
    <w:rsid w:val="400F449C"/>
    <w:rsid w:val="40204729"/>
    <w:rsid w:val="406E31D6"/>
    <w:rsid w:val="41055BC9"/>
    <w:rsid w:val="413C00DB"/>
    <w:rsid w:val="41780CC1"/>
    <w:rsid w:val="41EE4ADF"/>
    <w:rsid w:val="4214291C"/>
    <w:rsid w:val="42187DAE"/>
    <w:rsid w:val="42672AE3"/>
    <w:rsid w:val="42957651"/>
    <w:rsid w:val="429733C9"/>
    <w:rsid w:val="42DE5E0B"/>
    <w:rsid w:val="42FE0D52"/>
    <w:rsid w:val="43282273"/>
    <w:rsid w:val="435E3EE6"/>
    <w:rsid w:val="43847A3E"/>
    <w:rsid w:val="43AF3CF4"/>
    <w:rsid w:val="442E5667"/>
    <w:rsid w:val="446A0634"/>
    <w:rsid w:val="447B4624"/>
    <w:rsid w:val="44823C05"/>
    <w:rsid w:val="44ED4282"/>
    <w:rsid w:val="44F52628"/>
    <w:rsid w:val="44F763A1"/>
    <w:rsid w:val="457E261E"/>
    <w:rsid w:val="45C15F63"/>
    <w:rsid w:val="45ED74B3"/>
    <w:rsid w:val="46364CA7"/>
    <w:rsid w:val="46696289"/>
    <w:rsid w:val="471C1FCB"/>
    <w:rsid w:val="471C4A4A"/>
    <w:rsid w:val="478A34FC"/>
    <w:rsid w:val="48180B08"/>
    <w:rsid w:val="486F44A0"/>
    <w:rsid w:val="487F0B87"/>
    <w:rsid w:val="48A4239B"/>
    <w:rsid w:val="48C12F4D"/>
    <w:rsid w:val="48D52555"/>
    <w:rsid w:val="491D214E"/>
    <w:rsid w:val="49261002"/>
    <w:rsid w:val="493231C8"/>
    <w:rsid w:val="494D658F"/>
    <w:rsid w:val="49831FB1"/>
    <w:rsid w:val="49A62143"/>
    <w:rsid w:val="49E35145"/>
    <w:rsid w:val="49E8450A"/>
    <w:rsid w:val="49FC6014"/>
    <w:rsid w:val="4A1E7F2C"/>
    <w:rsid w:val="4A201EF6"/>
    <w:rsid w:val="4AAE12AF"/>
    <w:rsid w:val="4ABB577A"/>
    <w:rsid w:val="4AC64CA6"/>
    <w:rsid w:val="4ACB7BD0"/>
    <w:rsid w:val="4AD93E52"/>
    <w:rsid w:val="4B3D6AD7"/>
    <w:rsid w:val="4B622267"/>
    <w:rsid w:val="4B865D88"/>
    <w:rsid w:val="4B9009B5"/>
    <w:rsid w:val="4BBB3483"/>
    <w:rsid w:val="4BDB7219"/>
    <w:rsid w:val="4BE349D6"/>
    <w:rsid w:val="4BF74ED8"/>
    <w:rsid w:val="4BF930BB"/>
    <w:rsid w:val="4C0B1536"/>
    <w:rsid w:val="4C4C6FD2"/>
    <w:rsid w:val="4C6D6F48"/>
    <w:rsid w:val="4C6F3738"/>
    <w:rsid w:val="4C87000A"/>
    <w:rsid w:val="4CC748AA"/>
    <w:rsid w:val="4D2717ED"/>
    <w:rsid w:val="4D682FC1"/>
    <w:rsid w:val="4D754257"/>
    <w:rsid w:val="4D8B4139"/>
    <w:rsid w:val="4E1458CD"/>
    <w:rsid w:val="4EB819DC"/>
    <w:rsid w:val="4ECB0E82"/>
    <w:rsid w:val="4ED35788"/>
    <w:rsid w:val="4EF83441"/>
    <w:rsid w:val="4F284F40"/>
    <w:rsid w:val="4F44241B"/>
    <w:rsid w:val="4F583EE0"/>
    <w:rsid w:val="4FF27E90"/>
    <w:rsid w:val="4FFC0D0F"/>
    <w:rsid w:val="50064DCF"/>
    <w:rsid w:val="500E53BA"/>
    <w:rsid w:val="50143C6B"/>
    <w:rsid w:val="50250358"/>
    <w:rsid w:val="505E1C29"/>
    <w:rsid w:val="50AF4B29"/>
    <w:rsid w:val="50BD3FD4"/>
    <w:rsid w:val="50C57353"/>
    <w:rsid w:val="50D717BE"/>
    <w:rsid w:val="50ED0658"/>
    <w:rsid w:val="514E10F6"/>
    <w:rsid w:val="51B33440"/>
    <w:rsid w:val="52173BDE"/>
    <w:rsid w:val="522B1438"/>
    <w:rsid w:val="52A770BC"/>
    <w:rsid w:val="52A94183"/>
    <w:rsid w:val="52E31D12"/>
    <w:rsid w:val="531254ED"/>
    <w:rsid w:val="535449BE"/>
    <w:rsid w:val="53607807"/>
    <w:rsid w:val="537A2677"/>
    <w:rsid w:val="54317C59"/>
    <w:rsid w:val="543636AC"/>
    <w:rsid w:val="544762D1"/>
    <w:rsid w:val="54D20290"/>
    <w:rsid w:val="54FC530D"/>
    <w:rsid w:val="55511CDF"/>
    <w:rsid w:val="558E065B"/>
    <w:rsid w:val="55A25EB5"/>
    <w:rsid w:val="55E4027B"/>
    <w:rsid w:val="564D4072"/>
    <w:rsid w:val="565151E5"/>
    <w:rsid w:val="565C2507"/>
    <w:rsid w:val="565F3DA6"/>
    <w:rsid w:val="56893385"/>
    <w:rsid w:val="56A86C06"/>
    <w:rsid w:val="57007337"/>
    <w:rsid w:val="57144B90"/>
    <w:rsid w:val="578E4942"/>
    <w:rsid w:val="579D6934"/>
    <w:rsid w:val="57F95B34"/>
    <w:rsid w:val="57FF5568"/>
    <w:rsid w:val="582E1C82"/>
    <w:rsid w:val="583848AE"/>
    <w:rsid w:val="583F2463"/>
    <w:rsid w:val="58B57CAD"/>
    <w:rsid w:val="58D16870"/>
    <w:rsid w:val="58D52FBB"/>
    <w:rsid w:val="58E67648"/>
    <w:rsid w:val="58F5279F"/>
    <w:rsid w:val="598633F7"/>
    <w:rsid w:val="59900C4D"/>
    <w:rsid w:val="59B30690"/>
    <w:rsid w:val="59B74EE0"/>
    <w:rsid w:val="59C93F7A"/>
    <w:rsid w:val="59CA3C2C"/>
    <w:rsid w:val="5A710117"/>
    <w:rsid w:val="5AB83A84"/>
    <w:rsid w:val="5ABF3065"/>
    <w:rsid w:val="5AD84127"/>
    <w:rsid w:val="5B3752F1"/>
    <w:rsid w:val="5B3C6463"/>
    <w:rsid w:val="5B9D63AE"/>
    <w:rsid w:val="5BA504AD"/>
    <w:rsid w:val="5BAA5AC3"/>
    <w:rsid w:val="5BDE625E"/>
    <w:rsid w:val="5BE30FD5"/>
    <w:rsid w:val="5BEC60DC"/>
    <w:rsid w:val="5C217C66"/>
    <w:rsid w:val="5CD728E8"/>
    <w:rsid w:val="5CDF6C21"/>
    <w:rsid w:val="5D041203"/>
    <w:rsid w:val="5D184CAE"/>
    <w:rsid w:val="5D804D2D"/>
    <w:rsid w:val="5D812854"/>
    <w:rsid w:val="5D9A56C3"/>
    <w:rsid w:val="5DB22A0D"/>
    <w:rsid w:val="5DDF6716"/>
    <w:rsid w:val="5E127950"/>
    <w:rsid w:val="5E420235"/>
    <w:rsid w:val="5E581806"/>
    <w:rsid w:val="5EC87E46"/>
    <w:rsid w:val="5ECC7DED"/>
    <w:rsid w:val="5ECD756E"/>
    <w:rsid w:val="5EE237C6"/>
    <w:rsid w:val="5F006597"/>
    <w:rsid w:val="5F021772"/>
    <w:rsid w:val="5F076D88"/>
    <w:rsid w:val="5F13572D"/>
    <w:rsid w:val="5F30554E"/>
    <w:rsid w:val="5FA1306E"/>
    <w:rsid w:val="5FAE3F92"/>
    <w:rsid w:val="5FEF619A"/>
    <w:rsid w:val="601A3622"/>
    <w:rsid w:val="60327E35"/>
    <w:rsid w:val="60397415"/>
    <w:rsid w:val="60483AFC"/>
    <w:rsid w:val="606C4431"/>
    <w:rsid w:val="607431C5"/>
    <w:rsid w:val="607B5C80"/>
    <w:rsid w:val="609B59DA"/>
    <w:rsid w:val="60AF592A"/>
    <w:rsid w:val="60BB607C"/>
    <w:rsid w:val="60EA6962"/>
    <w:rsid w:val="60F44AF8"/>
    <w:rsid w:val="60FA4DF7"/>
    <w:rsid w:val="60FB7B42"/>
    <w:rsid w:val="616404C2"/>
    <w:rsid w:val="618042CE"/>
    <w:rsid w:val="619E1C26"/>
    <w:rsid w:val="623F2739"/>
    <w:rsid w:val="628C0609"/>
    <w:rsid w:val="62A96AD4"/>
    <w:rsid w:val="63473BF7"/>
    <w:rsid w:val="635617A9"/>
    <w:rsid w:val="637A3FCD"/>
    <w:rsid w:val="63A63ECA"/>
    <w:rsid w:val="63B52F4F"/>
    <w:rsid w:val="63DC0140"/>
    <w:rsid w:val="63EB6C79"/>
    <w:rsid w:val="64085A7D"/>
    <w:rsid w:val="6449399F"/>
    <w:rsid w:val="647153D0"/>
    <w:rsid w:val="64A22013"/>
    <w:rsid w:val="64E831B8"/>
    <w:rsid w:val="64F16511"/>
    <w:rsid w:val="651915C3"/>
    <w:rsid w:val="651F7C3C"/>
    <w:rsid w:val="652A7F0D"/>
    <w:rsid w:val="65313EF5"/>
    <w:rsid w:val="658B4EE7"/>
    <w:rsid w:val="659F4066"/>
    <w:rsid w:val="661978F4"/>
    <w:rsid w:val="66227431"/>
    <w:rsid w:val="6692787F"/>
    <w:rsid w:val="66BE0674"/>
    <w:rsid w:val="66CB277F"/>
    <w:rsid w:val="66D165FA"/>
    <w:rsid w:val="66F2031E"/>
    <w:rsid w:val="671B1623"/>
    <w:rsid w:val="671D183F"/>
    <w:rsid w:val="674768BC"/>
    <w:rsid w:val="676E5BF7"/>
    <w:rsid w:val="67903BF4"/>
    <w:rsid w:val="67AA3C86"/>
    <w:rsid w:val="67B83316"/>
    <w:rsid w:val="67FB3202"/>
    <w:rsid w:val="68024591"/>
    <w:rsid w:val="680B5A60"/>
    <w:rsid w:val="680D3662"/>
    <w:rsid w:val="6865349E"/>
    <w:rsid w:val="689C52CA"/>
    <w:rsid w:val="68ED228A"/>
    <w:rsid w:val="68F55EA4"/>
    <w:rsid w:val="69925D1F"/>
    <w:rsid w:val="699D3E7F"/>
    <w:rsid w:val="69E563B1"/>
    <w:rsid w:val="69F83E9D"/>
    <w:rsid w:val="6A2C3B47"/>
    <w:rsid w:val="6A42336B"/>
    <w:rsid w:val="6A462E5B"/>
    <w:rsid w:val="6AA162E3"/>
    <w:rsid w:val="6AFC5C0F"/>
    <w:rsid w:val="6B1B42E7"/>
    <w:rsid w:val="6B244679"/>
    <w:rsid w:val="6B7E5C45"/>
    <w:rsid w:val="6C05153C"/>
    <w:rsid w:val="6C0B75DD"/>
    <w:rsid w:val="6C2B2308"/>
    <w:rsid w:val="6C3811CB"/>
    <w:rsid w:val="6CBE13CE"/>
    <w:rsid w:val="6CCF2381"/>
    <w:rsid w:val="6D2D3E5E"/>
    <w:rsid w:val="6D317DF2"/>
    <w:rsid w:val="6D7D3037"/>
    <w:rsid w:val="6DAC1227"/>
    <w:rsid w:val="6E376D60"/>
    <w:rsid w:val="6E511DCE"/>
    <w:rsid w:val="6E8C1058"/>
    <w:rsid w:val="6E957F0D"/>
    <w:rsid w:val="6EB10C80"/>
    <w:rsid w:val="6EB35832"/>
    <w:rsid w:val="6EBD4C0F"/>
    <w:rsid w:val="6EDC188F"/>
    <w:rsid w:val="6EF015E7"/>
    <w:rsid w:val="6F375468"/>
    <w:rsid w:val="6F687E8A"/>
    <w:rsid w:val="6FC52A74"/>
    <w:rsid w:val="6FF13869"/>
    <w:rsid w:val="6FF47E08"/>
    <w:rsid w:val="700A492A"/>
    <w:rsid w:val="7020414E"/>
    <w:rsid w:val="70497201"/>
    <w:rsid w:val="707B5B4C"/>
    <w:rsid w:val="70840239"/>
    <w:rsid w:val="709F45E1"/>
    <w:rsid w:val="71080E6A"/>
    <w:rsid w:val="71357785"/>
    <w:rsid w:val="71593474"/>
    <w:rsid w:val="718F50E7"/>
    <w:rsid w:val="71C403F1"/>
    <w:rsid w:val="72316680"/>
    <w:rsid w:val="7258197D"/>
    <w:rsid w:val="72A11576"/>
    <w:rsid w:val="72BC63B0"/>
    <w:rsid w:val="72F84F0E"/>
    <w:rsid w:val="7306762B"/>
    <w:rsid w:val="73426189"/>
    <w:rsid w:val="736600CA"/>
    <w:rsid w:val="736D3206"/>
    <w:rsid w:val="737511A4"/>
    <w:rsid w:val="739E7864"/>
    <w:rsid w:val="73F531FC"/>
    <w:rsid w:val="74092929"/>
    <w:rsid w:val="741369A5"/>
    <w:rsid w:val="74624D35"/>
    <w:rsid w:val="74B51309"/>
    <w:rsid w:val="74EC2851"/>
    <w:rsid w:val="74F13428"/>
    <w:rsid w:val="750D650E"/>
    <w:rsid w:val="757A1C0A"/>
    <w:rsid w:val="758E56B6"/>
    <w:rsid w:val="75A924F0"/>
    <w:rsid w:val="75C66E24"/>
    <w:rsid w:val="75CC3AD6"/>
    <w:rsid w:val="75E659CC"/>
    <w:rsid w:val="75E82CF3"/>
    <w:rsid w:val="763371A8"/>
    <w:rsid w:val="76391AC6"/>
    <w:rsid w:val="76397D18"/>
    <w:rsid w:val="7671125F"/>
    <w:rsid w:val="76B37ACA"/>
    <w:rsid w:val="76E25CB9"/>
    <w:rsid w:val="76ED6B83"/>
    <w:rsid w:val="76ED7ABE"/>
    <w:rsid w:val="77822FF8"/>
    <w:rsid w:val="77FE622B"/>
    <w:rsid w:val="78746DE5"/>
    <w:rsid w:val="78804BB1"/>
    <w:rsid w:val="78F912C0"/>
    <w:rsid w:val="79074111"/>
    <w:rsid w:val="799D236B"/>
    <w:rsid w:val="79CC49FF"/>
    <w:rsid w:val="79E87A8A"/>
    <w:rsid w:val="79EF706B"/>
    <w:rsid w:val="7A2B3E1B"/>
    <w:rsid w:val="7ADD5115"/>
    <w:rsid w:val="7B073F40"/>
    <w:rsid w:val="7B2833D7"/>
    <w:rsid w:val="7B5B4055"/>
    <w:rsid w:val="7BB8348D"/>
    <w:rsid w:val="7C044924"/>
    <w:rsid w:val="7C0C5586"/>
    <w:rsid w:val="7C134B67"/>
    <w:rsid w:val="7C43544C"/>
    <w:rsid w:val="7C5918FB"/>
    <w:rsid w:val="7C687E75"/>
    <w:rsid w:val="7C772DC5"/>
    <w:rsid w:val="7CAA7279"/>
    <w:rsid w:val="7CAD2AA8"/>
    <w:rsid w:val="7CF6426C"/>
    <w:rsid w:val="7D0C0A6E"/>
    <w:rsid w:val="7D4C6582"/>
    <w:rsid w:val="7D4E40A8"/>
    <w:rsid w:val="7D8F021D"/>
    <w:rsid w:val="7DA0067C"/>
    <w:rsid w:val="7DA0242A"/>
    <w:rsid w:val="7DC12ACC"/>
    <w:rsid w:val="7E0A340A"/>
    <w:rsid w:val="7E1C7858"/>
    <w:rsid w:val="7E260B81"/>
    <w:rsid w:val="7E417769"/>
    <w:rsid w:val="7E8E6727"/>
    <w:rsid w:val="7EC97E4D"/>
    <w:rsid w:val="7ECB3FFB"/>
    <w:rsid w:val="7EFE565A"/>
    <w:rsid w:val="7FB83A5B"/>
    <w:rsid w:val="7FCC7507"/>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360" w:lineRule="auto"/>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sz w:val="32"/>
      <w:szCs w:val="32"/>
    </w:rPr>
  </w:style>
  <w:style w:type="paragraph" w:styleId="3">
    <w:name w:val="Body Text"/>
    <w:basedOn w:val="1"/>
    <w:autoRedefine/>
    <w:semiHidden/>
    <w:qFormat/>
    <w:uiPriority w:val="0"/>
    <w:rPr>
      <w:rFonts w:ascii="宋体" w:hAnsi="宋体" w:eastAsia="宋体" w:cs="宋体"/>
    </w:rPr>
  </w:style>
  <w:style w:type="paragraph" w:styleId="4">
    <w:name w:val="Balloon Text"/>
    <w:basedOn w:val="1"/>
    <w:link w:val="22"/>
    <w:qFormat/>
    <w:uiPriority w:val="0"/>
    <w:pPr>
      <w:spacing w:line="240" w:lineRule="auto"/>
    </w:pPr>
    <w:rPr>
      <w:sz w:val="18"/>
      <w:szCs w:val="18"/>
    </w:rPr>
  </w:style>
  <w:style w:type="paragraph" w:styleId="5">
    <w:name w:val="footer"/>
    <w:basedOn w:val="1"/>
    <w:link w:val="21"/>
    <w:autoRedefine/>
    <w:qFormat/>
    <w:uiPriority w:val="0"/>
    <w:pPr>
      <w:tabs>
        <w:tab w:val="center" w:pos="4153"/>
        <w:tab w:val="right" w:pos="8306"/>
      </w:tabs>
    </w:pPr>
    <w:rPr>
      <w:sz w:val="18"/>
      <w:szCs w:val="18"/>
    </w:rPr>
  </w:style>
  <w:style w:type="paragraph" w:styleId="6">
    <w:name w:val="header"/>
    <w:basedOn w:val="1"/>
    <w:link w:val="20"/>
    <w:qFormat/>
    <w:uiPriority w:val="0"/>
    <w:pPr>
      <w:tabs>
        <w:tab w:val="center" w:pos="4153"/>
        <w:tab w:val="right" w:pos="8306"/>
      </w:tabs>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18"/>
      <w:szCs w:val="18"/>
    </w:rPr>
  </w:style>
  <w:style w:type="paragraph" w:customStyle="1" w:styleId="13">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标准文件_章标题"/>
    <w:next w:val="13"/>
    <w:autoRedefine/>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5">
    <w:name w:val="标准文件_一级条标题"/>
    <w:basedOn w:val="14"/>
    <w:next w:val="13"/>
    <w:autoRedefine/>
    <w:qFormat/>
    <w:uiPriority w:val="0"/>
    <w:pPr>
      <w:numPr>
        <w:ilvl w:val="2"/>
      </w:numPr>
      <w:spacing w:before="50" w:beforeLines="50" w:after="50" w:afterLines="50"/>
      <w:outlineLvl w:val="1"/>
    </w:pPr>
  </w:style>
  <w:style w:type="paragraph" w:customStyle="1" w:styleId="16">
    <w:name w:val="标准文件_字母编号列项（一级）"/>
    <w:autoRedefine/>
    <w:qFormat/>
    <w:uiPriority w:val="0"/>
    <w:pPr>
      <w:numPr>
        <w:ilvl w:val="0"/>
        <w:numId w:val="2"/>
      </w:numPr>
      <w:adjustRightInd w:val="0"/>
      <w:snapToGrid w:val="0"/>
      <w:spacing w:line="400" w:lineRule="exact"/>
      <w:ind w:left="0"/>
      <w:jc w:val="both"/>
    </w:pPr>
    <w:rPr>
      <w:rFonts w:ascii="宋体" w:hAnsi="Times New Roman" w:eastAsia="宋体" w:cs="Times New Roman"/>
      <w:sz w:val="21"/>
      <w:lang w:val="en-US" w:eastAsia="zh-CN" w:bidi="ar-SA"/>
    </w:rPr>
  </w:style>
  <w:style w:type="paragraph" w:customStyle="1" w:styleId="17">
    <w:name w:val="标准文件_正文图标题"/>
    <w:next w:val="13"/>
    <w:autoRedefine/>
    <w:qFormat/>
    <w:uiPriority w:val="0"/>
    <w:pPr>
      <w:numPr>
        <w:ilvl w:val="0"/>
        <w:numId w:val="3"/>
      </w:numPr>
      <w:spacing w:before="50" w:beforeLines="50" w:after="50" w:afterLines="50"/>
      <w:jc w:val="center"/>
    </w:pPr>
    <w:rPr>
      <w:rFonts w:ascii="黑体" w:hAnsi="Times New Roman" w:eastAsia="黑体" w:cs="Times New Roman"/>
      <w:sz w:val="21"/>
      <w:lang w:val="en-US" w:eastAsia="zh-CN" w:bidi="ar-SA"/>
    </w:rPr>
  </w:style>
  <w:style w:type="paragraph" w:customStyle="1" w:styleId="18">
    <w:name w:val="标准文件_二级条标题"/>
    <w:next w:val="13"/>
    <w:autoRedefine/>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character" w:styleId="19">
    <w:name w:val="Placeholder Text"/>
    <w:basedOn w:val="9"/>
    <w:autoRedefine/>
    <w:semiHidden/>
    <w:qFormat/>
    <w:uiPriority w:val="99"/>
    <w:rPr>
      <w:color w:val="808080"/>
    </w:rPr>
  </w:style>
  <w:style w:type="character" w:customStyle="1" w:styleId="20">
    <w:name w:val="页眉 Char"/>
    <w:basedOn w:val="9"/>
    <w:link w:val="6"/>
    <w:qFormat/>
    <w:uiPriority w:val="0"/>
    <w:rPr>
      <w:rFonts w:ascii="Arial" w:hAnsi="Arial" w:eastAsia="Arial" w:cs="Arial"/>
      <w:snapToGrid w:val="0"/>
      <w:color w:val="000000"/>
      <w:sz w:val="18"/>
      <w:szCs w:val="18"/>
      <w:lang w:eastAsia="en-US"/>
    </w:rPr>
  </w:style>
  <w:style w:type="character" w:customStyle="1" w:styleId="21">
    <w:name w:val="页脚 Char"/>
    <w:basedOn w:val="9"/>
    <w:link w:val="5"/>
    <w:qFormat/>
    <w:uiPriority w:val="0"/>
    <w:rPr>
      <w:rFonts w:ascii="Arial" w:hAnsi="Arial" w:eastAsia="Arial" w:cs="Arial"/>
      <w:snapToGrid w:val="0"/>
      <w:color w:val="000000"/>
      <w:sz w:val="18"/>
      <w:szCs w:val="18"/>
      <w:lang w:eastAsia="en-US"/>
    </w:rPr>
  </w:style>
  <w:style w:type="character" w:customStyle="1" w:styleId="22">
    <w:name w:val="批注框文本 Char"/>
    <w:basedOn w:val="9"/>
    <w:link w:val="4"/>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17</Pages>
  <Words>10006</Words>
  <Characters>11018</Characters>
  <Lines>54</Lines>
  <Paragraphs>15</Paragraphs>
  <TotalTime>6</TotalTime>
  <ScaleCrop>false</ScaleCrop>
  <LinksUpToDate>false</LinksUpToDate>
  <CharactersWithSpaces>11278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2024-03-10T06:28:00Z</dcterms:created>
  <dc:creator>CNIS</dc:creator>
  <cp:lastModifiedBy>叶</cp:lastModifiedBy>
  <dcterms:modified xsi:type="dcterms:W3CDTF">2025-05-14T05:54:59Z</dcterms:modified>
  <dc:title>标准名称</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2024-03-03T12:10:30Z</vt:filetime>
  </property>
  <property fmtid="{D5CDD505-2E9C-101B-9397-08002B2CF9AE}" pid="4" name="KSOProductBuildVer">
    <vt:lpwstr>2052-12.1.0.20784</vt:lpwstr>
  </property>
  <property fmtid="{D5CDD505-2E9C-101B-9397-08002B2CF9AE}" pid="5" name="ICV">
    <vt:lpwstr>C2B8786EAF0C417887410F51600C8AEE_13</vt:lpwstr>
  </property>
  <property fmtid="{D5CDD505-2E9C-101B-9397-08002B2CF9AE}" pid="6" name="KSOTemplateDocerSaveRecord">
    <vt:lpwstr>eyJoZGlkIjoiNWRkZGNkY2FmZmZlOGU0ZTQyYjIyOTQ5YmI1MjBjZmYiLCJ1c2VySWQiOiIxMDUzNTY4MDQxIn0=</vt:lpwstr>
  </property>
</Properties>
</file>