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24343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14:paraId="7548B495">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308385F6">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6</w:t>
            </w:r>
            <w:r>
              <w:rPr>
                <w:rFonts w:hint="eastAsia" w:ascii="黑体" w:hAnsi="黑体" w:eastAsia="黑体"/>
                <w:sz w:val="21"/>
                <w:szCs w:val="21"/>
                <w:lang w:val="en-US" w:eastAsia="zh-CN"/>
              </w:rPr>
              <w:t>7.020</w:t>
            </w:r>
            <w:r>
              <w:rPr>
                <w:rFonts w:ascii="黑体" w:hAnsi="黑体" w:eastAsia="黑体"/>
                <w:sz w:val="21"/>
                <w:szCs w:val="21"/>
              </w:rPr>
              <w:fldChar w:fldCharType="end"/>
            </w:r>
            <w:bookmarkEnd w:id="0"/>
          </w:p>
        </w:tc>
      </w:tr>
      <w:tr w14:paraId="1B634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2A807B7">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35BF9179">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7D1DF3F7">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14:paraId="6A7D2F43">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X</w:t>
            </w:r>
            <w:r>
              <w:rPr>
                <w:rFonts w:hint="eastAsia" w:ascii="黑体" w:hAnsi="黑体" w:eastAsia="黑体"/>
                <w:sz w:val="21"/>
                <w:szCs w:val="21"/>
                <w:lang w:val="en-US" w:eastAsia="zh-CN"/>
              </w:rPr>
              <w:t xml:space="preserve"> 24</w:t>
            </w:r>
            <w:r>
              <w:rPr>
                <w:rFonts w:ascii="黑体" w:hAnsi="黑体" w:eastAsia="黑体"/>
                <w:sz w:val="21"/>
                <w:szCs w:val="21"/>
              </w:rPr>
              <w:fldChar w:fldCharType="end"/>
            </w:r>
            <w:bookmarkEnd w:id="2"/>
          </w:p>
        </w:tc>
      </w:tr>
    </w:tbl>
    <w:p w14:paraId="07334605">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 xml:space="preserve"> </w:t>
      </w:r>
      <w:r>
        <w:rPr>
          <w:rFonts w:ascii="黑体" w:eastAsia="黑体"/>
          <w:b w:val="0"/>
          <w:w w:val="100"/>
          <w:sz w:val="48"/>
        </w:rPr>
        <w:fldChar w:fldCharType="end"/>
      </w:r>
      <w:bookmarkEnd w:id="4"/>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1173E32A">
      <w:pPr>
        <w:pStyle w:val="195"/>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lang w:eastAsia="zh-CN"/>
        </w:rPr>
        <w:t>G</w:t>
      </w:r>
      <w:r>
        <w:rPr>
          <w:rFonts w:hint="eastAsia"/>
          <w:lang w:val="en-US" w:eastAsia="zh-CN"/>
        </w:rPr>
        <w:t>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4CF6BB97">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1DB470D9">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60E3752">
      <w:pPr>
        <w:pStyle w:val="50"/>
        <w:framePr w:w="9639" w:h="6976" w:hRule="exact" w:hSpace="0" w:vSpace="0" w:wrap="around" w:hAnchor="page" w:y="6408"/>
        <w:jc w:val="center"/>
        <w:rPr>
          <w:rFonts w:ascii="黑体" w:hAnsi="黑体" w:eastAsia="黑体"/>
          <w:b w:val="0"/>
          <w:bCs w:val="0"/>
          <w:w w:val="100"/>
        </w:rPr>
      </w:pPr>
    </w:p>
    <w:p w14:paraId="4447F782">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油茶籽</w:t>
      </w:r>
      <w:r>
        <w:rPr>
          <w:rFonts w:hint="eastAsia"/>
        </w:rPr>
        <w:t>贮运</w:t>
      </w:r>
      <w:r>
        <w:t>管理规范</w:t>
      </w:r>
      <w:r>
        <w:fldChar w:fldCharType="end"/>
      </w:r>
      <w:bookmarkEnd w:id="9"/>
    </w:p>
    <w:p w14:paraId="63B76F4D">
      <w:pPr>
        <w:framePr w:w="9639" w:h="6974" w:hRule="exact" w:wrap="around" w:vAnchor="page" w:hAnchor="page" w:x="1419" w:y="6408" w:anchorLock="1"/>
        <w:ind w:left="-1418"/>
      </w:pPr>
    </w:p>
    <w:p w14:paraId="31D6EDE7">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 xml:space="preserve">Specification for </w:t>
      </w:r>
      <w:r>
        <w:rPr>
          <w:rFonts w:hint="eastAsia" w:eastAsia="黑体"/>
          <w:szCs w:val="28"/>
        </w:rPr>
        <w:t>storage and transportation</w:t>
      </w:r>
      <w:r>
        <w:rPr>
          <w:rFonts w:eastAsia="黑体"/>
          <w:szCs w:val="28"/>
        </w:rPr>
        <w:t xml:space="preserve"> </w:t>
      </w:r>
      <w:r>
        <w:rPr>
          <w:rFonts w:hint="eastAsia" w:eastAsia="黑体"/>
          <w:szCs w:val="28"/>
        </w:rPr>
        <w:t xml:space="preserve">management </w:t>
      </w:r>
      <w:r>
        <w:rPr>
          <w:rFonts w:eastAsia="黑体"/>
          <w:szCs w:val="28"/>
        </w:rPr>
        <w:t>of camellia seeds</w:t>
      </w:r>
    </w:p>
    <w:p w14:paraId="22C8D995">
      <w:pPr>
        <w:pStyle w:val="125"/>
        <w:framePr w:w="9639" w:h="6974" w:hRule="exact" w:wrap="around" w:vAnchor="page" w:hAnchor="page" w:x="1419" w:y="6408" w:anchorLock="1"/>
        <w:textAlignment w:val="bottom"/>
        <w:rPr>
          <w:rFonts w:eastAsia="黑体"/>
          <w:szCs w:val="28"/>
        </w:rPr>
      </w:pPr>
      <w:r>
        <w:rPr>
          <w:rFonts w:eastAsia="黑体"/>
          <w:szCs w:val="28"/>
        </w:rPr>
        <w:fldChar w:fldCharType="end"/>
      </w:r>
      <w:bookmarkEnd w:id="10"/>
    </w:p>
    <w:p w14:paraId="78BEE273">
      <w:pPr>
        <w:framePr w:w="9639" w:h="6974" w:hRule="exact" w:wrap="around" w:vAnchor="page" w:hAnchor="page" w:x="1419" w:y="6408" w:anchorLock="1"/>
        <w:spacing w:line="760" w:lineRule="exact"/>
        <w:ind w:left="-1418"/>
      </w:pPr>
    </w:p>
    <w:p w14:paraId="71CC75F5">
      <w:pPr>
        <w:pStyle w:val="125"/>
        <w:framePr w:w="9639" w:h="6974" w:hRule="exact" w:wrap="around" w:vAnchor="page" w:hAnchor="page" w:x="1419" w:y="6408" w:anchorLock="1"/>
        <w:textAlignment w:val="bottom"/>
        <w:rPr>
          <w:rFonts w:eastAsia="黑体"/>
          <w:szCs w:val="28"/>
        </w:rPr>
      </w:pPr>
    </w:p>
    <w:p w14:paraId="7D739A35">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59CB16B5">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2C71FD69">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422221AC">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509B1AD8">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4DBAD6F7">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310E1B78">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726481F">
      <w:pPr>
        <w:pStyle w:val="89"/>
        <w:spacing w:before="900" w:after="360"/>
      </w:pPr>
      <w:bookmarkStart w:id="21" w:name="BookMark2"/>
      <w:r>
        <w:rPr>
          <w:spacing w:val="320"/>
        </w:rPr>
        <w:t>前</w:t>
      </w:r>
      <w:r>
        <w:t>言</w:t>
      </w:r>
    </w:p>
    <w:p w14:paraId="02B0168B">
      <w:pPr>
        <w:pStyle w:val="56"/>
        <w:ind w:firstLine="420"/>
      </w:pPr>
      <w:r>
        <w:rPr>
          <w:rFonts w:hint="eastAsia"/>
        </w:rPr>
        <w:t>本文件</w:t>
      </w:r>
      <w:r>
        <w:rPr>
          <w:rFonts w:hint="eastAsia"/>
          <w:lang w:eastAsia="zh-CN"/>
        </w:rPr>
        <w:t>参照</w:t>
      </w:r>
      <w:r>
        <w:rPr>
          <w:rFonts w:hint="eastAsia"/>
        </w:rPr>
        <w:t>GB/T 1.1—2020《标准化工作导则  第1部分：标准化文件的结构和起草规则》的规定起草。</w:t>
      </w:r>
    </w:p>
    <w:p w14:paraId="48BF222E">
      <w:pPr>
        <w:pStyle w:val="56"/>
        <w:ind w:firstLine="420"/>
      </w:pPr>
      <w:r>
        <w:rPr>
          <w:rFonts w:hint="eastAsia"/>
        </w:rPr>
        <w:t>请注意本文件的某些内容可能涉及专利。本文件的发布机构不承担识别的责任。</w:t>
      </w:r>
    </w:p>
    <w:p w14:paraId="1AA91F1C">
      <w:pPr>
        <w:pStyle w:val="56"/>
        <w:ind w:firstLine="420"/>
      </w:pPr>
      <w:r>
        <w:rPr>
          <w:rFonts w:hint="eastAsia"/>
        </w:rPr>
        <w:t>本文件由广西林学会提出</w:t>
      </w:r>
      <w:r>
        <w:rPr>
          <w:rFonts w:hint="eastAsia"/>
          <w:lang w:eastAsia="zh-CN"/>
        </w:rPr>
        <w:t>、</w:t>
      </w:r>
      <w:r>
        <w:rPr>
          <w:rFonts w:hint="eastAsia"/>
          <w:lang w:val="en-US" w:eastAsia="zh-CN"/>
        </w:rPr>
        <w:t>归口并宣贯</w:t>
      </w:r>
      <w:r>
        <w:rPr>
          <w:rFonts w:hint="eastAsia"/>
        </w:rPr>
        <w:t>。</w:t>
      </w:r>
    </w:p>
    <w:p w14:paraId="5829EF5A">
      <w:pPr>
        <w:pStyle w:val="56"/>
        <w:ind w:firstLine="420"/>
      </w:pPr>
      <w:r>
        <w:rPr>
          <w:rFonts w:hint="eastAsia"/>
        </w:rPr>
        <w:t>本文件起草单位：广西国控林业投资股份有限公司、广西壮族自治区新材料技术工程院、广西平果市海同仓储有限责任公司、广西百色市国控林业有限责任公司、广西力源宝科技有限公司</w:t>
      </w:r>
    </w:p>
    <w:p w14:paraId="45FE537C">
      <w:pPr>
        <w:pStyle w:val="56"/>
        <w:ind w:firstLine="420"/>
      </w:pPr>
      <w:r>
        <w:rPr>
          <w:rFonts w:hint="eastAsia"/>
        </w:rPr>
        <w:t>本文件主要起草人：苏晓琳、陈晔、覃素云、刘芝汐、覃洁、廖仁雅、李蓉、宁昌龙、黄雪、欧国斌、谢持正、高小然、石雪婷、李明德、何正锋、黄肖尼、傅立、农诚、陆勇、林海滨、蓝启星、罗长美、梁钊榕</w:t>
      </w:r>
    </w:p>
    <w:p w14:paraId="60931B33">
      <w:pPr>
        <w:pStyle w:val="56"/>
        <w:ind w:firstLine="420"/>
      </w:pPr>
    </w:p>
    <w:p w14:paraId="16DEF186">
      <w:pPr>
        <w:pStyle w:val="56"/>
        <w:ind w:firstLine="42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linePitch="312" w:charSpace="0"/>
        </w:sectPr>
      </w:pPr>
    </w:p>
    <w:bookmarkEnd w:id="21"/>
    <w:p w14:paraId="6CC9E9A4">
      <w:pPr>
        <w:spacing w:line="20" w:lineRule="exact"/>
        <w:jc w:val="center"/>
        <w:rPr>
          <w:rFonts w:ascii="黑体" w:hAnsi="黑体" w:eastAsia="黑体"/>
          <w:sz w:val="32"/>
          <w:szCs w:val="32"/>
        </w:rPr>
      </w:pPr>
      <w:bookmarkStart w:id="22" w:name="BookMark4"/>
    </w:p>
    <w:p w14:paraId="0DBA8CD0">
      <w:pPr>
        <w:spacing w:line="20" w:lineRule="exact"/>
        <w:jc w:val="center"/>
        <w:rPr>
          <w:rFonts w:ascii="黑体" w:hAnsi="黑体" w:eastAsia="黑体"/>
          <w:sz w:val="32"/>
          <w:szCs w:val="32"/>
        </w:rPr>
      </w:pPr>
    </w:p>
    <w:sdt>
      <w:sdtPr>
        <w:tag w:val="NEW_STAND_NAME"/>
        <w:id w:val="595910757"/>
        <w:lock w:val="sdtLocked"/>
        <w:placeholder>
          <w:docPart w:val="13AA7398C4544108AC15C66CA7BD29C7"/>
        </w:placeholder>
      </w:sdtPr>
      <w:sdtContent>
        <w:p w14:paraId="2D9CDC05">
          <w:pPr>
            <w:pStyle w:val="177"/>
            <w:spacing w:before="2" w:beforeLines="1" w:after="528" w:afterLines="220"/>
          </w:pPr>
          <w:bookmarkStart w:id="23" w:name="NEW_STAND_NAME"/>
          <w:r>
            <w:rPr>
              <w:rFonts w:hint="eastAsia"/>
            </w:rPr>
            <w:t>油茶籽贮运管理规范</w:t>
          </w:r>
        </w:p>
      </w:sdtContent>
    </w:sdt>
    <w:bookmarkEnd w:id="23"/>
    <w:p w14:paraId="445BD4C5">
      <w:pPr>
        <w:pStyle w:val="104"/>
        <w:spacing w:before="240" w:after="240"/>
      </w:pPr>
      <w:bookmarkStart w:id="24" w:name="_Toc17233333"/>
      <w:bookmarkStart w:id="25" w:name="_Toc26648465"/>
      <w:bookmarkStart w:id="26" w:name="_Toc97192964"/>
      <w:bookmarkStart w:id="27" w:name="_Toc24884211"/>
      <w:bookmarkStart w:id="28" w:name="_Toc26986530"/>
      <w:bookmarkStart w:id="29" w:name="_Toc24884218"/>
      <w:bookmarkStart w:id="30" w:name="_Toc17233325"/>
      <w:bookmarkStart w:id="31" w:name="_Toc26718930"/>
      <w:bookmarkStart w:id="32" w:name="_Toc26986771"/>
      <w:r>
        <w:rPr>
          <w:rFonts w:hint="eastAsia"/>
        </w:rPr>
        <w:t>范围</w:t>
      </w:r>
      <w:bookmarkEnd w:id="24"/>
      <w:bookmarkEnd w:id="25"/>
      <w:bookmarkEnd w:id="26"/>
      <w:bookmarkEnd w:id="27"/>
      <w:bookmarkEnd w:id="28"/>
      <w:bookmarkEnd w:id="29"/>
      <w:bookmarkEnd w:id="30"/>
      <w:bookmarkEnd w:id="31"/>
      <w:bookmarkEnd w:id="32"/>
    </w:p>
    <w:p w14:paraId="1CF6149B">
      <w:pPr>
        <w:pStyle w:val="56"/>
        <w:ind w:firstLine="420"/>
      </w:pPr>
      <w:bookmarkStart w:id="33" w:name="_Toc24884219"/>
      <w:bookmarkStart w:id="34" w:name="_Toc24884212"/>
      <w:bookmarkStart w:id="35" w:name="_Toc17233334"/>
      <w:bookmarkStart w:id="36" w:name="_Toc26648466"/>
      <w:bookmarkStart w:id="37" w:name="_Toc17233326"/>
      <w:r>
        <w:rPr>
          <w:rFonts w:hint="eastAsia"/>
        </w:rPr>
        <w:t>本</w:t>
      </w:r>
      <w:r>
        <w:rPr>
          <w:rFonts w:hint="eastAsia"/>
          <w:lang w:val="en-US" w:eastAsia="zh-CN"/>
        </w:rPr>
        <w:t>文件</w:t>
      </w:r>
      <w:r>
        <w:rPr>
          <w:rFonts w:hint="eastAsia"/>
        </w:rPr>
        <w:t>规定了油茶籽贮运的基础设施要求、贮存要求、运输要求、管理控制、检验方法。</w:t>
      </w:r>
    </w:p>
    <w:p w14:paraId="196B0D22">
      <w:pPr>
        <w:pStyle w:val="56"/>
        <w:ind w:firstLine="420"/>
      </w:pPr>
      <w:r>
        <w:rPr>
          <w:rFonts w:hint="eastAsia"/>
        </w:rPr>
        <w:t>本</w:t>
      </w:r>
      <w:r>
        <w:rPr>
          <w:rFonts w:hint="eastAsia"/>
          <w:lang w:val="en-US" w:eastAsia="zh-CN"/>
        </w:rPr>
        <w:t>文件</w:t>
      </w:r>
      <w:r>
        <w:rPr>
          <w:rFonts w:hint="eastAsia"/>
        </w:rPr>
        <w:t>适用于油茶籽的贮运管理。</w:t>
      </w:r>
    </w:p>
    <w:p w14:paraId="3DA74D3C">
      <w:pPr>
        <w:pStyle w:val="104"/>
        <w:spacing w:before="240" w:after="240"/>
      </w:pPr>
      <w:bookmarkStart w:id="38" w:name="_Toc97192965"/>
      <w:bookmarkStart w:id="39" w:name="_Toc26718931"/>
      <w:bookmarkStart w:id="40" w:name="_Toc26986772"/>
      <w:bookmarkStart w:id="41" w:name="_Toc26986531"/>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5D4FE256FA6746299D6CF32F40AF59F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04A50CCD">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6D23B2F">
      <w:pPr>
        <w:pStyle w:val="56"/>
        <w:ind w:firstLine="420"/>
      </w:pPr>
      <w:bookmarkStart w:id="42" w:name="_Toc97192966"/>
      <w:r>
        <w:rPr>
          <w:rFonts w:hint="eastAsia"/>
        </w:rPr>
        <w:t xml:space="preserve">GB 5009.3 </w:t>
      </w:r>
      <w:r>
        <w:rPr>
          <w:rFonts w:hint="eastAsia"/>
          <w:lang w:val="en-US" w:eastAsia="zh-CN"/>
        </w:rPr>
        <w:t xml:space="preserve"> </w:t>
      </w:r>
      <w:r>
        <w:rPr>
          <w:rFonts w:hint="eastAsia"/>
        </w:rPr>
        <w:t>食品安全国家标准 食品中水分的测定</w:t>
      </w:r>
    </w:p>
    <w:p w14:paraId="3BB62A0E">
      <w:pPr>
        <w:pStyle w:val="56"/>
        <w:ind w:firstLine="420"/>
        <w:rPr>
          <w:szCs w:val="21"/>
        </w:rPr>
      </w:pPr>
      <w:r>
        <w:rPr>
          <w:rFonts w:hint="eastAsia"/>
          <w:szCs w:val="21"/>
        </w:rPr>
        <w:t xml:space="preserve">GB 5009.227 </w:t>
      </w:r>
      <w:r>
        <w:rPr>
          <w:rFonts w:hint="eastAsia"/>
          <w:szCs w:val="21"/>
          <w:lang w:val="en-US" w:eastAsia="zh-CN"/>
        </w:rPr>
        <w:t xml:space="preserve"> </w:t>
      </w:r>
      <w:r>
        <w:rPr>
          <w:rFonts w:hint="eastAsia"/>
          <w:szCs w:val="21"/>
        </w:rPr>
        <w:t>食品安全国家标准 食品中过氧化值的测定</w:t>
      </w:r>
    </w:p>
    <w:p w14:paraId="12FEA393">
      <w:pPr>
        <w:pStyle w:val="56"/>
        <w:ind w:firstLine="420"/>
        <w:rPr>
          <w:szCs w:val="21"/>
        </w:rPr>
      </w:pPr>
      <w:r>
        <w:rPr>
          <w:rFonts w:hint="eastAsia"/>
          <w:szCs w:val="21"/>
        </w:rPr>
        <w:t xml:space="preserve">GB 5009.229 </w:t>
      </w:r>
      <w:r>
        <w:rPr>
          <w:rFonts w:hint="eastAsia"/>
          <w:szCs w:val="21"/>
          <w:lang w:val="en-US" w:eastAsia="zh-CN"/>
        </w:rPr>
        <w:t xml:space="preserve"> </w:t>
      </w:r>
      <w:r>
        <w:rPr>
          <w:rFonts w:hint="eastAsia"/>
          <w:szCs w:val="21"/>
        </w:rPr>
        <w:t>食品安全国家标准 食品中酸价的测定</w:t>
      </w:r>
    </w:p>
    <w:p w14:paraId="6339D389">
      <w:pPr>
        <w:pStyle w:val="56"/>
        <w:ind w:firstLine="420"/>
      </w:pPr>
      <w:r>
        <w:rPr>
          <w:rFonts w:hint="eastAsia"/>
          <w:szCs w:val="21"/>
        </w:rPr>
        <w:t xml:space="preserve">GB/T 37917 </w:t>
      </w:r>
      <w:r>
        <w:rPr>
          <w:rFonts w:hint="eastAsia"/>
          <w:szCs w:val="21"/>
          <w:lang w:val="en-US" w:eastAsia="zh-CN"/>
        </w:rPr>
        <w:t xml:space="preserve"> </w:t>
      </w:r>
      <w:r>
        <w:rPr>
          <w:rFonts w:hint="eastAsia"/>
          <w:szCs w:val="21"/>
        </w:rPr>
        <w:t>油茶籽</w:t>
      </w:r>
    </w:p>
    <w:p w14:paraId="19D920F1">
      <w:pPr>
        <w:pStyle w:val="56"/>
        <w:ind w:firstLine="420"/>
      </w:pPr>
      <w:r>
        <w:rPr>
          <w:rFonts w:hint="eastAsia"/>
        </w:rPr>
        <w:t xml:space="preserve">GB/T 5491 </w:t>
      </w:r>
      <w:r>
        <w:rPr>
          <w:rFonts w:hint="eastAsia"/>
          <w:lang w:val="en-US" w:eastAsia="zh-CN"/>
        </w:rPr>
        <w:t xml:space="preserve"> </w:t>
      </w:r>
      <w:r>
        <w:rPr>
          <w:rFonts w:hint="eastAsia"/>
        </w:rPr>
        <w:t xml:space="preserve">粮食、油料检验 扦样、分样法 </w:t>
      </w:r>
    </w:p>
    <w:p w14:paraId="2A891001">
      <w:pPr>
        <w:pStyle w:val="56"/>
        <w:ind w:firstLine="420"/>
      </w:pPr>
      <w:r>
        <w:rPr>
          <w:rFonts w:hint="eastAsia"/>
        </w:rPr>
        <w:t xml:space="preserve">GB/T 5494 </w:t>
      </w:r>
      <w:r>
        <w:rPr>
          <w:rFonts w:hint="eastAsia"/>
          <w:lang w:val="en-US" w:eastAsia="zh-CN"/>
        </w:rPr>
        <w:t xml:space="preserve"> </w:t>
      </w:r>
      <w:r>
        <w:rPr>
          <w:rFonts w:hint="eastAsia"/>
        </w:rPr>
        <w:t>粮油检验 粮食、油料的杂质、不完善粒检验</w:t>
      </w:r>
    </w:p>
    <w:p w14:paraId="3E1F41EA">
      <w:pPr>
        <w:pStyle w:val="104"/>
        <w:spacing w:before="240" w:after="240"/>
      </w:pPr>
      <w:r>
        <w:rPr>
          <w:rFonts w:hint="eastAsia"/>
          <w:szCs w:val="21"/>
        </w:rPr>
        <w:t>术语和定义</w:t>
      </w:r>
      <w:bookmarkEnd w:id="42"/>
    </w:p>
    <w:sdt>
      <w:sdtPr>
        <w:id w:val="-1909835108"/>
        <w:placeholder>
          <w:docPart w:val="D2AF6F65AB584024B0FE4C6EE9C8BE4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0DBAFB40">
          <w:pPr>
            <w:pStyle w:val="56"/>
            <w:ind w:firstLine="420"/>
          </w:pPr>
          <w:bookmarkStart w:id="43" w:name="_Toc26986532"/>
          <w:bookmarkEnd w:id="43"/>
          <w:r>
            <w:t>下列术语和定义适用于本文件。</w:t>
          </w:r>
        </w:p>
      </w:sdtContent>
    </w:sdt>
    <w:p w14:paraId="5E44573A">
      <w:pPr>
        <w:pStyle w:val="105"/>
        <w:spacing w:before="120" w:after="120"/>
      </w:pPr>
      <w:r>
        <w:rPr>
          <w:rFonts w:hint="eastAsia"/>
        </w:rPr>
        <w:t>油茶籽 oil-tea camellia ceed</w:t>
      </w:r>
    </w:p>
    <w:p w14:paraId="3D34735C">
      <w:pPr>
        <w:pStyle w:val="56"/>
        <w:ind w:firstLine="420"/>
        <w:rPr>
          <w:szCs w:val="21"/>
        </w:rPr>
      </w:pPr>
      <w:r>
        <w:rPr>
          <w:rFonts w:hint="eastAsia"/>
          <w:szCs w:val="21"/>
        </w:rPr>
        <w:t>山</w:t>
      </w:r>
      <w:r>
        <w:rPr>
          <w:szCs w:val="21"/>
        </w:rPr>
        <w:t>茶</w:t>
      </w:r>
      <w:r>
        <w:rPr>
          <w:rFonts w:hint="eastAsia"/>
          <w:szCs w:val="21"/>
        </w:rPr>
        <w:t>属（</w:t>
      </w:r>
      <w:r>
        <w:rPr>
          <w:rFonts w:hint="eastAsia"/>
          <w:i/>
          <w:iCs/>
          <w:szCs w:val="21"/>
        </w:rPr>
        <w:t> Camellia</w:t>
      </w:r>
      <w:r>
        <w:rPr>
          <w:rFonts w:hint="eastAsia"/>
          <w:szCs w:val="21"/>
        </w:rPr>
        <w:t>）油用物种的成熟种籽，由壳和种仁组成。</w:t>
      </w:r>
    </w:p>
    <w:p w14:paraId="4EAC1756">
      <w:pPr>
        <w:pStyle w:val="56"/>
        <w:ind w:firstLine="420"/>
        <w:rPr>
          <w:szCs w:val="21"/>
        </w:rPr>
      </w:pPr>
      <w:r>
        <w:rPr>
          <w:rFonts w:hint="eastAsia"/>
          <w:szCs w:val="21"/>
        </w:rPr>
        <w:t>[来源：GB/T 37917-2019 油茶籽]</w:t>
      </w:r>
    </w:p>
    <w:p w14:paraId="79806841">
      <w:pPr>
        <w:pStyle w:val="56"/>
        <w:ind w:firstLine="0" w:firstLineChars="0"/>
      </w:pPr>
    </w:p>
    <w:p w14:paraId="5A8316B6">
      <w:pPr>
        <w:pStyle w:val="104"/>
        <w:spacing w:before="240" w:after="240"/>
      </w:pPr>
      <w:r>
        <w:rPr>
          <w:rFonts w:hint="eastAsia"/>
        </w:rPr>
        <w:t>基础设施要求</w:t>
      </w:r>
    </w:p>
    <w:p w14:paraId="720887EF">
      <w:pPr>
        <w:pStyle w:val="56"/>
        <w:rPr>
          <w:rFonts w:hint="eastAsia" w:eastAsia="宋体"/>
          <w:lang w:val="en-US" w:eastAsia="zh-CN"/>
        </w:rPr>
      </w:pPr>
      <w:r>
        <w:rPr>
          <w:rFonts w:hint="eastAsia"/>
          <w:lang w:val="en-US" w:eastAsia="zh-CN"/>
        </w:rPr>
        <w:t>贮存设施设备应满足以下基本要求：</w:t>
      </w:r>
    </w:p>
    <w:p w14:paraId="14C0D6BF">
      <w:pPr>
        <w:pStyle w:val="174"/>
      </w:pPr>
      <w:r>
        <w:rPr>
          <w:rFonts w:hint="eastAsia"/>
        </w:rPr>
        <w:t>应具有油茶籽贮存所需的场所、冷库、辅助设备设施、废弃物处理设施、照明设施等</w:t>
      </w:r>
      <w:r>
        <w:rPr>
          <w:rFonts w:hint="eastAsia"/>
          <w:lang w:eastAsia="zh-CN"/>
        </w:rPr>
        <w:t>；</w:t>
      </w:r>
    </w:p>
    <w:p w14:paraId="3F65F9E8">
      <w:pPr>
        <w:pStyle w:val="174"/>
      </w:pPr>
      <w:r>
        <w:rPr>
          <w:rFonts w:hint="eastAsia"/>
        </w:rPr>
        <w:t>定期应对制冷系统设备进行维护检查，对制冷压缩机进行清洗检查，定期更换润滑油，以保证制冷系统正常运行</w:t>
      </w:r>
      <w:r>
        <w:rPr>
          <w:rFonts w:hint="eastAsia"/>
          <w:lang w:eastAsia="zh-CN"/>
        </w:rPr>
        <w:t>；</w:t>
      </w:r>
    </w:p>
    <w:p w14:paraId="3A4291AF">
      <w:pPr>
        <w:pStyle w:val="174"/>
      </w:pPr>
      <w:r>
        <w:rPr>
          <w:rFonts w:hint="eastAsia"/>
        </w:rPr>
        <w:t>应策划冷藏设施管理要求和监测过程，明确过程控制要求，形成文件，并通过监督检查、考核等方式确保过程有效实施。</w:t>
      </w:r>
    </w:p>
    <w:p w14:paraId="54A7D57B">
      <w:pPr>
        <w:pStyle w:val="104"/>
        <w:spacing w:before="240" w:after="240"/>
      </w:pPr>
      <w:r>
        <w:rPr>
          <w:rFonts w:hint="eastAsia"/>
        </w:rPr>
        <w:t>贮存要求</w:t>
      </w:r>
    </w:p>
    <w:p w14:paraId="6CD48460">
      <w:pPr>
        <w:pStyle w:val="105"/>
        <w:spacing w:before="120" w:after="120"/>
      </w:pPr>
      <w:r>
        <w:rPr>
          <w:rFonts w:hint="eastAsia"/>
        </w:rPr>
        <w:t>冷藏设施设置要求</w:t>
      </w:r>
    </w:p>
    <w:p w14:paraId="72290FE2">
      <w:pPr>
        <w:pStyle w:val="56"/>
        <w:rPr>
          <w:rFonts w:hint="eastAsia" w:eastAsia="宋体"/>
          <w:lang w:val="en-US" w:eastAsia="zh-CN"/>
        </w:rPr>
      </w:pPr>
      <w:r>
        <w:rPr>
          <w:rFonts w:hint="eastAsia"/>
          <w:lang w:val="en-US" w:eastAsia="zh-CN"/>
        </w:rPr>
        <w:t>为保证油茶籽的保质期，冷藏设施应符合以下要求：</w:t>
      </w:r>
    </w:p>
    <w:p w14:paraId="0F41D50C">
      <w:pPr>
        <w:pStyle w:val="174"/>
        <w:numPr>
          <w:ilvl w:val="0"/>
          <w:numId w:val="32"/>
        </w:numPr>
      </w:pPr>
      <w:r>
        <w:rPr>
          <w:rFonts w:hint="eastAsia"/>
        </w:rPr>
        <w:t>冷藏库内设有可正确显示内部温度的温湿度计，宜设置外显式温湿度计</w:t>
      </w:r>
      <w:r>
        <w:rPr>
          <w:rFonts w:hint="eastAsia"/>
          <w:lang w:eastAsia="zh-CN"/>
        </w:rPr>
        <w:t>；</w:t>
      </w:r>
    </w:p>
    <w:p w14:paraId="3D104762">
      <w:pPr>
        <w:pStyle w:val="174"/>
      </w:pPr>
      <w:r>
        <w:rPr>
          <w:rFonts w:hint="eastAsia"/>
        </w:rPr>
        <w:t>冷藏库应设有通风、防潮及防止有害生物侵入的装置</w:t>
      </w:r>
      <w:r>
        <w:rPr>
          <w:rFonts w:hint="eastAsia"/>
          <w:lang w:eastAsia="zh-CN"/>
        </w:rPr>
        <w:t>；</w:t>
      </w:r>
    </w:p>
    <w:p w14:paraId="3FB10235">
      <w:pPr>
        <w:pStyle w:val="174"/>
      </w:pPr>
      <w:r>
        <w:rPr>
          <w:rFonts w:hint="eastAsia"/>
        </w:rPr>
        <w:t>冷藏库内应使用防爆灯</w:t>
      </w:r>
      <w:r>
        <w:rPr>
          <w:rFonts w:hint="eastAsia"/>
          <w:lang w:eastAsia="zh-CN"/>
        </w:rPr>
        <w:t>；</w:t>
      </w:r>
    </w:p>
    <w:p w14:paraId="305D65D0">
      <w:pPr>
        <w:pStyle w:val="174"/>
      </w:pPr>
      <w:r>
        <w:rPr>
          <w:rFonts w:hint="eastAsia"/>
        </w:rPr>
        <w:t>冷藏库现场应有稳定的电网供电设施，以保证各种机器设备和控制系统的正常运行。</w:t>
      </w:r>
    </w:p>
    <w:p w14:paraId="388904DD">
      <w:pPr>
        <w:pStyle w:val="105"/>
        <w:spacing w:before="120" w:after="120"/>
      </w:pPr>
      <w:r>
        <w:rPr>
          <w:rFonts w:hint="eastAsia"/>
        </w:rPr>
        <w:t>入库及贮存要求</w:t>
      </w:r>
    </w:p>
    <w:p w14:paraId="0F8B63D1">
      <w:pPr>
        <w:pStyle w:val="56"/>
        <w:rPr>
          <w:rFonts w:hint="eastAsia" w:eastAsia="宋体"/>
          <w:lang w:eastAsia="zh-CN"/>
        </w:rPr>
      </w:pPr>
      <w:r>
        <w:rPr>
          <w:rFonts w:hint="eastAsia"/>
          <w:lang w:eastAsia="zh-CN"/>
        </w:rPr>
        <w:t>有保证油茶籽在贮存期内的品质，油茶籽入库贮存应符合以下要求：</w:t>
      </w:r>
    </w:p>
    <w:p w14:paraId="3937F0DF">
      <w:pPr>
        <w:pStyle w:val="56"/>
        <w:numPr>
          <w:ilvl w:val="0"/>
          <w:numId w:val="33"/>
        </w:numPr>
        <w:ind w:firstLine="420"/>
      </w:pPr>
      <w:r>
        <w:t>应对入库</w:t>
      </w:r>
      <w:r>
        <w:rPr>
          <w:rFonts w:hint="eastAsia"/>
        </w:rPr>
        <w:t>油茶籽</w:t>
      </w:r>
      <w:r>
        <w:t>进行准入审核，合格后入库，并做好入库时间、品种、数量、等级、质量、温度、包装、生产日期和保质期等信息记录</w:t>
      </w:r>
      <w:r>
        <w:rPr>
          <w:rFonts w:hint="eastAsia"/>
        </w:rPr>
        <w:t>；</w:t>
      </w:r>
    </w:p>
    <w:p w14:paraId="0A06DE09">
      <w:pPr>
        <w:pStyle w:val="56"/>
        <w:numPr>
          <w:ilvl w:val="0"/>
          <w:numId w:val="33"/>
        </w:numPr>
        <w:ind w:firstLine="420"/>
      </w:pPr>
      <w:r>
        <w:t>入库前，应检查并确保库房的温湿度符合要求，并做好记录</w:t>
      </w:r>
      <w:r>
        <w:rPr>
          <w:rFonts w:hint="eastAsia"/>
        </w:rPr>
        <w:t>；</w:t>
      </w:r>
    </w:p>
    <w:p w14:paraId="52515B9F">
      <w:pPr>
        <w:pStyle w:val="56"/>
        <w:numPr>
          <w:ilvl w:val="0"/>
          <w:numId w:val="33"/>
        </w:numPr>
        <w:ind w:firstLine="420"/>
      </w:pPr>
      <w:r>
        <w:rPr>
          <w:rFonts w:hint="eastAsia"/>
        </w:rPr>
        <w:t>按照不同品种和级别分开贮存，并做好标识，不应产生品种存放混乱的情况。不应与有害、有毒、有异味或对产品产生不良影响的物品同处贮存；</w:t>
      </w:r>
    </w:p>
    <w:p w14:paraId="10146B3C">
      <w:pPr>
        <w:pStyle w:val="56"/>
        <w:numPr>
          <w:ilvl w:val="0"/>
          <w:numId w:val="33"/>
        </w:numPr>
        <w:ind w:firstLine="420"/>
      </w:pPr>
      <w:r>
        <w:rPr>
          <w:rFonts w:hint="eastAsia"/>
        </w:rPr>
        <w:t>冷库应设有适当的垫板，所贮存的物品不应直接放置在地面。堆码时，应稳固且有空隙，便于空气流通，维持库内温度的均匀性。堆码应符合下列要求：</w:t>
      </w:r>
    </w:p>
    <w:p w14:paraId="2C0C9FB3">
      <w:pPr>
        <w:pStyle w:val="56"/>
        <w:ind w:left="420" w:leftChars="200" w:firstLine="0" w:firstLineChars="0"/>
      </w:pPr>
      <w:r>
        <w:rPr>
          <w:rFonts w:hint="eastAsia"/>
        </w:rPr>
        <w:t>——</w:t>
      </w:r>
      <w:r>
        <w:t>距冷却物冷藏间顶棚</w:t>
      </w:r>
      <w:r>
        <w:rPr>
          <w:rFonts w:hint="eastAsia"/>
        </w:rPr>
        <w:t>≥</w:t>
      </w:r>
      <w:r>
        <w:t>0.3m</w:t>
      </w:r>
      <w:r>
        <w:rPr>
          <w:rFonts w:hint="eastAsia"/>
        </w:rPr>
        <w:t>；</w:t>
      </w:r>
    </w:p>
    <w:p w14:paraId="651FD7E2">
      <w:pPr>
        <w:pStyle w:val="56"/>
        <w:ind w:left="420" w:leftChars="200" w:firstLine="0" w:firstLineChars="0"/>
      </w:pPr>
      <w:r>
        <w:rPr>
          <w:rFonts w:hint="eastAsia"/>
        </w:rPr>
        <w:t>——</w:t>
      </w:r>
      <w:r>
        <w:t>距顶排管下侧</w:t>
      </w:r>
      <w:r>
        <w:rPr>
          <w:rFonts w:hint="eastAsia"/>
        </w:rPr>
        <w:t>≥</w:t>
      </w:r>
      <w:r>
        <w:t>0.3m</w:t>
      </w:r>
      <w:r>
        <w:rPr>
          <w:rFonts w:hint="eastAsia"/>
        </w:rPr>
        <w:t>；</w:t>
      </w:r>
    </w:p>
    <w:p w14:paraId="63367861">
      <w:pPr>
        <w:pStyle w:val="56"/>
        <w:ind w:left="420" w:leftChars="200" w:firstLine="0" w:firstLineChars="0"/>
      </w:pPr>
      <w:r>
        <w:rPr>
          <w:rFonts w:hint="eastAsia"/>
        </w:rPr>
        <w:t>——</w:t>
      </w:r>
      <w:r>
        <w:t>距顶排管横侧</w:t>
      </w:r>
      <w:r>
        <w:rPr>
          <w:rFonts w:hint="eastAsia"/>
        </w:rPr>
        <w:t>≥</w:t>
      </w:r>
      <w:r>
        <w:t>0.2m</w:t>
      </w:r>
      <w:r>
        <w:rPr>
          <w:rFonts w:hint="eastAsia"/>
        </w:rPr>
        <w:t>；</w:t>
      </w:r>
    </w:p>
    <w:p w14:paraId="621F9F6D">
      <w:pPr>
        <w:pStyle w:val="56"/>
        <w:ind w:left="420" w:leftChars="200" w:firstLine="0" w:firstLineChars="0"/>
      </w:pPr>
      <w:r>
        <w:rPr>
          <w:rFonts w:hint="eastAsia"/>
        </w:rPr>
        <w:t>——</w:t>
      </w:r>
      <w:r>
        <w:t>距无排管的墙</w:t>
      </w:r>
      <w:r>
        <w:rPr>
          <w:rFonts w:hint="eastAsia"/>
        </w:rPr>
        <w:t>≥</w:t>
      </w:r>
      <w:r>
        <w:t>0.2m</w:t>
      </w:r>
      <w:r>
        <w:rPr>
          <w:rFonts w:hint="eastAsia"/>
        </w:rPr>
        <w:t>；</w:t>
      </w:r>
    </w:p>
    <w:p w14:paraId="0E842DC6">
      <w:pPr>
        <w:pStyle w:val="56"/>
        <w:ind w:left="420" w:leftChars="200" w:firstLine="0" w:firstLineChars="0"/>
      </w:pPr>
      <w:r>
        <w:rPr>
          <w:rFonts w:hint="eastAsia"/>
        </w:rPr>
        <w:t>——</w:t>
      </w:r>
      <w:r>
        <w:t>距墙排管外侧</w:t>
      </w:r>
      <w:r>
        <w:rPr>
          <w:rFonts w:hint="eastAsia"/>
        </w:rPr>
        <w:t>≥</w:t>
      </w:r>
      <w:r>
        <w:t>0.4m</w:t>
      </w:r>
      <w:r>
        <w:rPr>
          <w:rFonts w:hint="eastAsia"/>
        </w:rPr>
        <w:t>；</w:t>
      </w:r>
    </w:p>
    <w:p w14:paraId="5276BD33">
      <w:pPr>
        <w:pStyle w:val="56"/>
        <w:ind w:left="420" w:leftChars="200" w:firstLine="0" w:firstLineChars="0"/>
      </w:pPr>
      <w:r>
        <w:rPr>
          <w:rFonts w:hint="eastAsia"/>
        </w:rPr>
        <w:t>——</w:t>
      </w:r>
      <w:r>
        <w:t>距风道</w:t>
      </w:r>
      <w:r>
        <w:rPr>
          <w:rFonts w:hint="eastAsia"/>
        </w:rPr>
        <w:t>≥</w:t>
      </w:r>
      <w:r>
        <w:t>0.2m</w:t>
      </w:r>
      <w:r>
        <w:rPr>
          <w:rFonts w:hint="eastAsia"/>
        </w:rPr>
        <w:t>；</w:t>
      </w:r>
    </w:p>
    <w:p w14:paraId="02ADEEDA">
      <w:pPr>
        <w:pStyle w:val="56"/>
        <w:ind w:left="420" w:leftChars="200" w:firstLine="0" w:firstLineChars="0"/>
      </w:pPr>
      <w:r>
        <w:rPr>
          <w:rFonts w:hint="eastAsia"/>
        </w:rPr>
        <w:t>——</w:t>
      </w:r>
      <w:r>
        <w:t>距冷风机周边</w:t>
      </w:r>
      <w:r>
        <w:rPr>
          <w:rFonts w:hint="eastAsia"/>
        </w:rPr>
        <w:t>≥</w:t>
      </w:r>
      <w:r>
        <w:t>1.5m。</w:t>
      </w:r>
    </w:p>
    <w:p w14:paraId="254D79D2">
      <w:pPr>
        <w:pStyle w:val="56"/>
        <w:numPr>
          <w:ilvl w:val="0"/>
          <w:numId w:val="33"/>
        </w:numPr>
        <w:ind w:firstLine="420"/>
      </w:pPr>
      <w:r>
        <w:rPr>
          <w:rFonts w:hint="eastAsia"/>
        </w:rPr>
        <w:t>出库宜遵循先进先出的原则。</w:t>
      </w:r>
      <w:r>
        <w:t>应对出库食品进行检验，办理出库手续</w:t>
      </w:r>
      <w:r>
        <w:rPr>
          <w:rFonts w:hint="eastAsia"/>
        </w:rPr>
        <w:t>；</w:t>
      </w:r>
    </w:p>
    <w:p w14:paraId="19E25927">
      <w:pPr>
        <w:pStyle w:val="56"/>
        <w:numPr>
          <w:ilvl w:val="0"/>
          <w:numId w:val="33"/>
        </w:numPr>
        <w:ind w:firstLine="420"/>
      </w:pPr>
      <w:r>
        <w:t>应做好出库时间、品种、数量、等级、质量、温度、包装</w:t>
      </w:r>
      <w:r>
        <w:rPr>
          <w:rFonts w:hint="eastAsia"/>
        </w:rPr>
        <w:t>和</w:t>
      </w:r>
      <w:r>
        <w:t>生产日期等信息记录</w:t>
      </w:r>
      <w:r>
        <w:rPr>
          <w:rFonts w:hint="eastAsia"/>
        </w:rPr>
        <w:t>。</w:t>
      </w:r>
    </w:p>
    <w:p w14:paraId="15E28AA8">
      <w:pPr>
        <w:pStyle w:val="105"/>
        <w:spacing w:before="120" w:after="120"/>
      </w:pPr>
      <w:r>
        <w:rPr>
          <w:rFonts w:hint="eastAsia"/>
        </w:rPr>
        <w:t>冷库温湿度要求</w:t>
      </w:r>
    </w:p>
    <w:p w14:paraId="00588DE2">
      <w:pPr>
        <w:pStyle w:val="56"/>
        <w:rPr>
          <w:rFonts w:hint="eastAsia" w:eastAsia="宋体"/>
          <w:lang w:val="en-US" w:eastAsia="zh-CN"/>
        </w:rPr>
      </w:pPr>
      <w:r>
        <w:rPr>
          <w:rFonts w:hint="eastAsia"/>
          <w:lang w:eastAsia="zh-CN"/>
        </w:rPr>
        <w:t>冷库的温湿度设置及监控应有专人管理，冷库</w:t>
      </w:r>
      <w:bookmarkStart w:id="45" w:name="_GoBack"/>
      <w:bookmarkEnd w:id="45"/>
      <w:r>
        <w:rPr>
          <w:rFonts w:hint="eastAsia"/>
          <w:lang w:eastAsia="zh-CN"/>
        </w:rPr>
        <w:t>温湿度应符合以下要求：</w:t>
      </w:r>
    </w:p>
    <w:p w14:paraId="01405BA7">
      <w:pPr>
        <w:pStyle w:val="174"/>
        <w:numPr>
          <w:ilvl w:val="0"/>
          <w:numId w:val="34"/>
        </w:numPr>
      </w:pPr>
      <w:r>
        <w:rPr>
          <w:rFonts w:hint="eastAsia"/>
        </w:rPr>
        <w:t>冷库贮存温度应在4℃～10℃之间；</w:t>
      </w:r>
    </w:p>
    <w:p w14:paraId="5B0C78D0">
      <w:pPr>
        <w:pStyle w:val="174"/>
      </w:pPr>
      <w:r>
        <w:rPr>
          <w:rFonts w:hint="eastAsia"/>
        </w:rPr>
        <w:t>冷库空气相对湿度应低于75%；</w:t>
      </w:r>
    </w:p>
    <w:p w14:paraId="55F902F2">
      <w:pPr>
        <w:pStyle w:val="174"/>
      </w:pPr>
      <w:r>
        <w:rPr>
          <w:rFonts w:hint="eastAsia"/>
        </w:rPr>
        <w:t>各库内应设温湿度控制设施及温湿度计，应定期检查并进行记录。</w:t>
      </w:r>
    </w:p>
    <w:p w14:paraId="0E728147">
      <w:pPr>
        <w:pStyle w:val="105"/>
        <w:spacing w:before="120" w:after="120"/>
      </w:pPr>
      <w:r>
        <w:rPr>
          <w:rFonts w:hint="eastAsia"/>
        </w:rPr>
        <w:t>人员要求</w:t>
      </w:r>
    </w:p>
    <w:p w14:paraId="50B0BE14">
      <w:pPr>
        <w:pStyle w:val="56"/>
        <w:rPr>
          <w:rFonts w:hint="eastAsia" w:eastAsia="宋体"/>
          <w:lang w:eastAsia="zh-CN"/>
        </w:rPr>
      </w:pPr>
      <w:r>
        <w:rPr>
          <w:rFonts w:hint="eastAsia"/>
          <w:lang w:eastAsia="zh-CN"/>
        </w:rPr>
        <w:t>冷库应配备专职管理人员和监控人员，相关人员应符合以下要求：</w:t>
      </w:r>
    </w:p>
    <w:p w14:paraId="3A450420">
      <w:pPr>
        <w:pStyle w:val="174"/>
        <w:numPr>
          <w:ilvl w:val="0"/>
          <w:numId w:val="35"/>
        </w:numPr>
      </w:pPr>
      <w:r>
        <w:rPr>
          <w:rFonts w:hint="eastAsia"/>
        </w:rPr>
        <w:t>冷库管理人员必须进行知识技能考核、安全意识等培训，获得冷库设备及相关流程、相关证明，方可担任该岗位工作；</w:t>
      </w:r>
    </w:p>
    <w:p w14:paraId="57318A37">
      <w:pPr>
        <w:pStyle w:val="174"/>
      </w:pPr>
      <w:r>
        <w:rPr>
          <w:rFonts w:hint="eastAsia"/>
        </w:rPr>
        <w:t>应定期检查，及时排查隐患，保证冷库的安全运行；</w:t>
      </w:r>
    </w:p>
    <w:p w14:paraId="7649F9CE">
      <w:pPr>
        <w:pStyle w:val="174"/>
      </w:pPr>
      <w:r>
        <w:rPr>
          <w:rFonts w:hint="eastAsia"/>
        </w:rPr>
        <w:t>保存制冷机房工作记录，如发现问题，及时上报给负责人；</w:t>
      </w:r>
    </w:p>
    <w:p w14:paraId="5050BF20">
      <w:pPr>
        <w:pStyle w:val="174"/>
        <w:rPr>
          <w:rFonts w:ascii="黑体" w:eastAsia="黑体"/>
        </w:rPr>
      </w:pPr>
      <w:r>
        <w:rPr>
          <w:rFonts w:hint="eastAsia"/>
        </w:rPr>
        <w:t>客户与其他外来人员未经许可，不得随意进入冷库。如需进入冷藏库，必须由仓库人员的陪同下方可进入。</w:t>
      </w:r>
    </w:p>
    <w:p w14:paraId="7010A58B">
      <w:pPr>
        <w:pStyle w:val="104"/>
        <w:spacing w:before="240" w:after="240"/>
      </w:pPr>
      <w:r>
        <w:rPr>
          <w:rFonts w:hint="eastAsia"/>
        </w:rPr>
        <w:t>运输要求</w:t>
      </w:r>
    </w:p>
    <w:p w14:paraId="19BF7DCD">
      <w:pPr>
        <w:pStyle w:val="105"/>
        <w:spacing w:before="120" w:after="120"/>
      </w:pPr>
      <w:r>
        <w:rPr>
          <w:rFonts w:hint="eastAsia"/>
        </w:rPr>
        <w:t>运输工具</w:t>
      </w:r>
    </w:p>
    <w:p w14:paraId="05DCB2F4">
      <w:pPr>
        <w:pStyle w:val="56"/>
        <w:rPr>
          <w:rFonts w:hint="eastAsia" w:eastAsia="宋体"/>
          <w:lang w:eastAsia="zh-CN"/>
        </w:rPr>
      </w:pPr>
      <w:r>
        <w:rPr>
          <w:rFonts w:hint="eastAsia"/>
          <w:lang w:eastAsia="zh-CN"/>
        </w:rPr>
        <w:t>油茶籽的运输工具应具备以下条件：</w:t>
      </w:r>
    </w:p>
    <w:p w14:paraId="2D918CC0">
      <w:pPr>
        <w:pStyle w:val="56"/>
        <w:numPr>
          <w:ilvl w:val="0"/>
          <w:numId w:val="36"/>
        </w:numPr>
        <w:ind w:firstLine="420"/>
        <w:rPr>
          <w:rFonts w:hint="eastAsia"/>
        </w:rPr>
      </w:pPr>
      <w:r>
        <w:rPr>
          <w:rFonts w:hint="eastAsia"/>
        </w:rPr>
        <w:t>运输工具应专用于食品或食品原辅料运输；</w:t>
      </w:r>
    </w:p>
    <w:p w14:paraId="0C403F66">
      <w:pPr>
        <w:pStyle w:val="56"/>
        <w:numPr>
          <w:ilvl w:val="0"/>
          <w:numId w:val="36"/>
        </w:numPr>
        <w:ind w:firstLine="420"/>
      </w:pPr>
      <w:r>
        <w:rPr>
          <w:rFonts w:hint="eastAsia"/>
        </w:rPr>
        <w:t>运输工具在装入油茶籽之前应清理干净，必要时进行灭菌消毒；</w:t>
      </w:r>
    </w:p>
    <w:p w14:paraId="731A8B21">
      <w:pPr>
        <w:pStyle w:val="56"/>
        <w:numPr>
          <w:ilvl w:val="0"/>
          <w:numId w:val="36"/>
        </w:numPr>
        <w:ind w:firstLine="420"/>
      </w:pPr>
      <w:r>
        <w:rPr>
          <w:rFonts w:hint="eastAsia"/>
        </w:rPr>
        <w:t>运输工具的铺垫物、遮盖物等应清洁、无毒无害；</w:t>
      </w:r>
    </w:p>
    <w:p w14:paraId="5BF73101">
      <w:pPr>
        <w:pStyle w:val="56"/>
        <w:numPr>
          <w:ilvl w:val="0"/>
          <w:numId w:val="36"/>
        </w:numPr>
        <w:ind w:firstLine="420"/>
      </w:pPr>
      <w:r>
        <w:rPr>
          <w:rFonts w:hint="eastAsia"/>
        </w:rPr>
        <w:t>冷链物流运输工具应具备自动温度记录和监控设备。</w:t>
      </w:r>
    </w:p>
    <w:p w14:paraId="094375BC">
      <w:pPr>
        <w:pStyle w:val="105"/>
        <w:spacing w:before="120" w:after="120"/>
      </w:pPr>
      <w:r>
        <w:rPr>
          <w:rFonts w:hint="eastAsia"/>
        </w:rPr>
        <w:t>运输条件</w:t>
      </w:r>
    </w:p>
    <w:p w14:paraId="09E5CE76">
      <w:pPr>
        <w:pStyle w:val="56"/>
        <w:rPr>
          <w:rFonts w:hint="eastAsia" w:eastAsia="宋体"/>
          <w:lang w:eastAsia="zh-CN"/>
        </w:rPr>
      </w:pPr>
      <w:r>
        <w:rPr>
          <w:rFonts w:hint="eastAsia"/>
          <w:lang w:eastAsia="zh-CN"/>
        </w:rPr>
        <w:t>油茶籽的运输应符合以下基本要求：</w:t>
      </w:r>
    </w:p>
    <w:p w14:paraId="58AE7604">
      <w:pPr>
        <w:pStyle w:val="56"/>
        <w:numPr>
          <w:ilvl w:val="0"/>
          <w:numId w:val="37"/>
        </w:numPr>
        <w:ind w:firstLine="420"/>
        <w:rPr>
          <w:rFonts w:hint="eastAsia"/>
        </w:rPr>
      </w:pPr>
      <w:r>
        <w:rPr>
          <w:rFonts w:hint="eastAsia"/>
        </w:rPr>
        <w:t>应根据运输季节、运输距离及油茶籽保质储藏的要求选择不同的运输工具；</w:t>
      </w:r>
    </w:p>
    <w:p w14:paraId="7401A05A">
      <w:pPr>
        <w:pStyle w:val="56"/>
        <w:numPr>
          <w:ilvl w:val="0"/>
          <w:numId w:val="37"/>
        </w:numPr>
        <w:ind w:firstLine="420"/>
        <w:rPr>
          <w:rFonts w:hint="eastAsia"/>
        </w:rPr>
      </w:pPr>
      <w:r>
        <w:rPr>
          <w:rFonts w:hint="eastAsia"/>
        </w:rPr>
        <w:t>运输过程中需采取控温的，应采取控温措施并实时监控，运输过程中的温度波动范围应不超过±2℃。</w:t>
      </w:r>
    </w:p>
    <w:p w14:paraId="05601E4C">
      <w:pPr>
        <w:pStyle w:val="105"/>
        <w:spacing w:before="120" w:after="120"/>
      </w:pPr>
      <w:r>
        <w:rPr>
          <w:rFonts w:hint="eastAsia"/>
        </w:rPr>
        <w:t>运输管理</w:t>
      </w:r>
    </w:p>
    <w:p w14:paraId="1A97550B">
      <w:pPr>
        <w:pStyle w:val="56"/>
        <w:rPr>
          <w:rFonts w:hint="eastAsia" w:eastAsia="宋体"/>
          <w:lang w:eastAsia="zh-CN"/>
        </w:rPr>
      </w:pPr>
      <w:r>
        <w:rPr>
          <w:rFonts w:hint="eastAsia"/>
          <w:lang w:eastAsia="zh-CN"/>
        </w:rPr>
        <w:t>为在运输过程中保证油茶籽的品质，运输环节管理应符合以下要求：</w:t>
      </w:r>
    </w:p>
    <w:p w14:paraId="22CCB85C">
      <w:pPr>
        <w:pStyle w:val="56"/>
        <w:numPr>
          <w:ilvl w:val="0"/>
          <w:numId w:val="38"/>
        </w:numPr>
        <w:ind w:firstLine="420"/>
      </w:pPr>
      <w:r>
        <w:rPr>
          <w:rFonts w:hint="eastAsia"/>
        </w:rPr>
        <w:t>严禁与有害、有毒、有异味或对产品产生不良影响的物品共同运输</w:t>
      </w:r>
      <w:r>
        <w:rPr>
          <w:rFonts w:hint="eastAsia" w:hAnsi="宋体" w:cs="宋体"/>
          <w:spacing w:val="7"/>
          <w:sz w:val="20"/>
        </w:rPr>
        <w:t>；</w:t>
      </w:r>
    </w:p>
    <w:p w14:paraId="1A7816CC">
      <w:pPr>
        <w:pStyle w:val="56"/>
        <w:numPr>
          <w:ilvl w:val="0"/>
          <w:numId w:val="38"/>
        </w:numPr>
        <w:ind w:firstLine="420"/>
      </w:pPr>
      <w:r>
        <w:rPr>
          <w:rFonts w:hint="eastAsia"/>
        </w:rPr>
        <w:t>装运前应进行油茶籽出库检查，在油茶籽、标签与单据三者相符的情况下方可装运</w:t>
      </w:r>
      <w:r>
        <w:rPr>
          <w:rFonts w:hint="eastAsia"/>
          <w:lang w:eastAsia="zh-CN"/>
        </w:rPr>
        <w:t>；</w:t>
      </w:r>
    </w:p>
    <w:p w14:paraId="17CA77FE">
      <w:pPr>
        <w:pStyle w:val="56"/>
        <w:numPr>
          <w:ilvl w:val="0"/>
          <w:numId w:val="38"/>
        </w:numPr>
        <w:ind w:firstLine="420"/>
      </w:pPr>
      <w:r>
        <w:rPr>
          <w:rFonts w:hint="eastAsia"/>
        </w:rPr>
        <w:t>运输过程中应轻装、轻卸，防正挤压、剧烈震动和日晒雨淋；</w:t>
      </w:r>
    </w:p>
    <w:p w14:paraId="4D45E67E">
      <w:pPr>
        <w:pStyle w:val="56"/>
        <w:numPr>
          <w:ilvl w:val="0"/>
          <w:numId w:val="38"/>
        </w:numPr>
        <w:ind w:firstLine="420"/>
      </w:pPr>
      <w:r>
        <w:rPr>
          <w:rFonts w:hint="eastAsia"/>
        </w:rPr>
        <w:t>应保留运输相关档案记录，记载运输的地区、日期、种类、等级、批次、数量、质量、包装情况及运输方式等，确保可追溯、可查询。</w:t>
      </w:r>
    </w:p>
    <w:p w14:paraId="1057B607">
      <w:pPr>
        <w:pStyle w:val="104"/>
        <w:spacing w:before="240" w:after="240"/>
      </w:pPr>
      <w:r>
        <w:rPr>
          <w:rFonts w:hint="eastAsia"/>
        </w:rPr>
        <w:t>管理控制</w:t>
      </w:r>
    </w:p>
    <w:p w14:paraId="6017D145">
      <w:pPr>
        <w:pStyle w:val="105"/>
        <w:spacing w:before="120" w:after="120"/>
      </w:pPr>
      <w:r>
        <w:rPr>
          <w:rFonts w:hint="eastAsia"/>
        </w:rPr>
        <w:t>质量检查</w:t>
      </w:r>
    </w:p>
    <w:p w14:paraId="054DF5EC">
      <w:pPr>
        <w:pStyle w:val="56"/>
        <w:ind w:firstLine="420"/>
      </w:pPr>
      <w:r>
        <w:rPr>
          <w:rFonts w:hint="eastAsia"/>
        </w:rPr>
        <w:t>油茶籽贮存入冷库时含水量应在5～6%，贮藏期间定期检测时不应超过10%。</w:t>
      </w:r>
    </w:p>
    <w:p w14:paraId="5C1B8621">
      <w:pPr>
        <w:pStyle w:val="56"/>
        <w:ind w:firstLine="420"/>
      </w:pPr>
      <w:r>
        <w:rPr>
          <w:rFonts w:hint="eastAsia"/>
        </w:rPr>
        <w:t>贮存期间，应每月对油茶籽进行抽样检验，检测指标为水分及霉变率。若水分＞10%，应进行烘干处理；出现发霉、腐烂等情况（霉变率＞1%）时，应及时出库。每三个月对油茶籽所含油脂的酸价、过氧化值进行检测，若酸价≥4.0mg/g或过氧化值≥0.25g/100g，应对贮藏期间影响油茶籽质量的各因素进行排查，发现问题及时处理。</w:t>
      </w:r>
    </w:p>
    <w:p w14:paraId="2BE23578">
      <w:pPr>
        <w:pStyle w:val="105"/>
        <w:spacing w:before="120" w:after="120"/>
      </w:pPr>
      <w:r>
        <w:rPr>
          <w:rFonts w:hint="eastAsia"/>
        </w:rPr>
        <w:t>制度管理</w:t>
      </w:r>
    </w:p>
    <w:p w14:paraId="73F99239">
      <w:pPr>
        <w:pStyle w:val="56"/>
        <w:ind w:firstLine="420"/>
      </w:pPr>
      <w:r>
        <w:rPr>
          <w:rFonts w:hint="eastAsia"/>
        </w:rPr>
        <w:t>冷藏链各环节均需投入必备的设施和设备作为基础保证，加以先进的技术支撑和严格有效的管理制度，冷链各环节共同密切配合，才能把握冷链整个运营系统，保全冷藏食品的品质，否则难以达到预期效果。应完善冷链等各环节设施，健全以下相应管理制度等：</w:t>
      </w:r>
    </w:p>
    <w:p w14:paraId="76401013">
      <w:pPr>
        <w:pStyle w:val="174"/>
        <w:numPr>
          <w:ilvl w:val="0"/>
          <w:numId w:val="39"/>
        </w:numPr>
      </w:pPr>
      <w:r>
        <w:rPr>
          <w:rFonts w:hint="eastAsia"/>
        </w:rPr>
        <w:t>冷库温湿度调节管理制度；</w:t>
      </w:r>
    </w:p>
    <w:p w14:paraId="316A99A9">
      <w:pPr>
        <w:pStyle w:val="174"/>
      </w:pPr>
      <w:r>
        <w:rPr>
          <w:rFonts w:hint="eastAsia"/>
        </w:rPr>
        <w:t>冷库清洁、除霜和维修制度；</w:t>
      </w:r>
    </w:p>
    <w:p w14:paraId="5EAA1B9D">
      <w:pPr>
        <w:pStyle w:val="174"/>
      </w:pPr>
      <w:r>
        <w:rPr>
          <w:rFonts w:hint="eastAsia"/>
        </w:rPr>
        <w:t>交接验货管理制度；</w:t>
      </w:r>
    </w:p>
    <w:p w14:paraId="3444B1FE">
      <w:pPr>
        <w:pStyle w:val="174"/>
      </w:pPr>
      <w:r>
        <w:rPr>
          <w:rFonts w:hint="eastAsia"/>
        </w:rPr>
        <w:t>油茶籽冷藏贮存期管理规定；</w:t>
      </w:r>
    </w:p>
    <w:p w14:paraId="66F10212">
      <w:pPr>
        <w:pStyle w:val="174"/>
      </w:pPr>
      <w:r>
        <w:rPr>
          <w:rFonts w:hint="eastAsia"/>
        </w:rPr>
        <w:t>相关贮存和运输记录档案应保留3年以上。</w:t>
      </w:r>
    </w:p>
    <w:p w14:paraId="4E5B6649">
      <w:pPr>
        <w:pStyle w:val="104"/>
        <w:spacing w:before="240" w:after="240"/>
      </w:pPr>
      <w:r>
        <w:rPr>
          <w:rFonts w:hint="eastAsia"/>
        </w:rPr>
        <w:t xml:space="preserve">检验方法 </w:t>
      </w:r>
    </w:p>
    <w:p w14:paraId="57943486">
      <w:pPr>
        <w:pStyle w:val="105"/>
        <w:spacing w:before="120" w:after="120"/>
      </w:pPr>
      <w:r>
        <w:rPr>
          <w:rFonts w:hint="eastAsia"/>
        </w:rPr>
        <w:t>扦样、分样</w:t>
      </w:r>
    </w:p>
    <w:p w14:paraId="423774D1">
      <w:pPr>
        <w:pStyle w:val="105"/>
        <w:numPr>
          <w:ilvl w:val="2"/>
          <w:numId w:val="0"/>
        </w:numPr>
        <w:spacing w:before="0" w:beforeLines="0" w:after="0" w:afterLines="0"/>
        <w:ind w:left="420" w:leftChars="200"/>
      </w:pPr>
      <w:r>
        <w:rPr>
          <w:rFonts w:hint="eastAsia" w:ascii="宋体" w:eastAsia="宋体"/>
        </w:rPr>
        <w:t>按GB/T 5491执行。</w:t>
      </w:r>
    </w:p>
    <w:p w14:paraId="0E6E66DE">
      <w:pPr>
        <w:pStyle w:val="105"/>
        <w:spacing w:before="120" w:after="120"/>
      </w:pPr>
      <w:r>
        <w:rPr>
          <w:rFonts w:hint="eastAsia"/>
        </w:rPr>
        <w:t>霉变率</w:t>
      </w:r>
    </w:p>
    <w:p w14:paraId="0EF438A7">
      <w:pPr>
        <w:pStyle w:val="105"/>
        <w:numPr>
          <w:ilvl w:val="2"/>
          <w:numId w:val="0"/>
        </w:numPr>
        <w:spacing w:before="0" w:beforeLines="0" w:after="0" w:afterLines="0"/>
        <w:ind w:firstLine="420" w:firstLineChars="200"/>
        <w:rPr>
          <w:rFonts w:ascii="宋体" w:eastAsia="宋体"/>
        </w:rPr>
      </w:pPr>
      <w:r>
        <w:rPr>
          <w:rFonts w:hint="eastAsia" w:ascii="宋体" w:eastAsia="宋体"/>
        </w:rPr>
        <w:t>按GB/T 5494执行。</w:t>
      </w:r>
    </w:p>
    <w:p w14:paraId="23A7A9AB">
      <w:pPr>
        <w:pStyle w:val="105"/>
        <w:spacing w:before="120" w:after="120"/>
      </w:pPr>
      <w:r>
        <w:rPr>
          <w:rFonts w:hint="eastAsia"/>
        </w:rPr>
        <w:t>水分</w:t>
      </w:r>
    </w:p>
    <w:p w14:paraId="0F943F01">
      <w:pPr>
        <w:pStyle w:val="105"/>
        <w:numPr>
          <w:ilvl w:val="2"/>
          <w:numId w:val="0"/>
        </w:numPr>
        <w:spacing w:before="0" w:beforeLines="0" w:after="0" w:afterLines="0"/>
        <w:ind w:firstLine="420" w:firstLineChars="200"/>
        <w:rPr>
          <w:rFonts w:ascii="宋体" w:eastAsia="宋体"/>
        </w:rPr>
      </w:pPr>
      <w:r>
        <w:rPr>
          <w:rFonts w:hint="eastAsia" w:ascii="宋体" w:eastAsia="宋体"/>
        </w:rPr>
        <w:t>按GB 5</w:t>
      </w:r>
      <w:r>
        <w:rPr>
          <w:rFonts w:ascii="宋体" w:eastAsia="宋体"/>
        </w:rPr>
        <w:t>009.3</w:t>
      </w:r>
      <w:r>
        <w:rPr>
          <w:rFonts w:hint="eastAsia" w:ascii="宋体" w:eastAsia="宋体"/>
        </w:rPr>
        <w:t>执行。</w:t>
      </w:r>
    </w:p>
    <w:p w14:paraId="76C36E98">
      <w:pPr>
        <w:pStyle w:val="105"/>
        <w:spacing w:before="120" w:after="120"/>
      </w:pPr>
      <w:r>
        <w:rPr>
          <w:rFonts w:hint="eastAsia"/>
        </w:rPr>
        <w:t>酸价</w:t>
      </w:r>
    </w:p>
    <w:p w14:paraId="715C4D6A">
      <w:pPr>
        <w:pStyle w:val="174"/>
        <w:numPr>
          <w:ilvl w:val="0"/>
          <w:numId w:val="0"/>
        </w:numPr>
        <w:ind w:firstLine="420" w:firstLineChars="200"/>
      </w:pPr>
      <w:r>
        <w:rPr>
          <w:rFonts w:hint="eastAsia"/>
          <w:szCs w:val="21"/>
        </w:rPr>
        <w:t>按GB 5009.229</w:t>
      </w:r>
      <w:r>
        <w:rPr>
          <w:rFonts w:hint="eastAsia"/>
        </w:rPr>
        <w:t>执行。</w:t>
      </w:r>
    </w:p>
    <w:p w14:paraId="5DEC80A6">
      <w:pPr>
        <w:pStyle w:val="105"/>
        <w:spacing w:before="120" w:after="120"/>
      </w:pPr>
      <w:r>
        <w:rPr>
          <w:rFonts w:hint="eastAsia"/>
        </w:rPr>
        <w:t>过氧化值</w:t>
      </w:r>
    </w:p>
    <w:p w14:paraId="1A7249C5">
      <w:pPr>
        <w:pStyle w:val="174"/>
        <w:numPr>
          <w:ilvl w:val="0"/>
          <w:numId w:val="0"/>
        </w:numPr>
        <w:ind w:firstLine="420" w:firstLineChars="200"/>
      </w:pPr>
      <w:r>
        <w:rPr>
          <w:rFonts w:hint="eastAsia"/>
          <w:szCs w:val="21"/>
        </w:rPr>
        <w:t>按GB 5009.227</w:t>
      </w:r>
      <w:r>
        <w:rPr>
          <w:rFonts w:hint="eastAsia"/>
        </w:rPr>
        <w:t>执行。</w:t>
      </w:r>
    </w:p>
    <w:p w14:paraId="219D1AEE">
      <w:pPr>
        <w:pStyle w:val="174"/>
        <w:numPr>
          <w:ilvl w:val="0"/>
          <w:numId w:val="0"/>
        </w:numPr>
      </w:pPr>
    </w:p>
    <w:bookmarkEnd w:id="22"/>
    <w:p w14:paraId="3FE2A850">
      <w:pPr>
        <w:pStyle w:val="56"/>
        <w:ind w:firstLine="0" w:firstLineChars="0"/>
        <w:jc w:val="center"/>
      </w:pPr>
      <w:bookmarkStart w:id="44" w:name="BookMark8"/>
      <w:r>
        <w:rPr>
          <w:rFonts w:hint="eastAsia"/>
        </w:rPr>
        <w:drawing>
          <wp:inline distT="0" distB="0" distL="0" distR="0">
            <wp:extent cx="1485900" cy="317500"/>
            <wp:effectExtent l="0" t="0" r="0" b="6350"/>
            <wp:docPr id="723882040" name="图片 1"/>
            <wp:cNvGraphicFramePr/>
            <a:graphic xmlns:a="http://schemas.openxmlformats.org/drawingml/2006/main">
              <a:graphicData uri="http://schemas.openxmlformats.org/drawingml/2006/picture">
                <pic:pic xmlns:pic="http://schemas.openxmlformats.org/drawingml/2006/picture">
                  <pic:nvPicPr>
                    <pic:cNvPr id="723882040" name="图片 1"/>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4"/>
    </w:p>
    <w:sectPr>
      <w:pgSz w:w="11906" w:h="16838"/>
      <w:pgMar w:top="1928" w:right="1134" w:bottom="113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5A86A3">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32C974">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6EA747">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20A6E0">
    <w:pPr>
      <w:pStyle w:val="52"/>
    </w:pPr>
    <w:r>
      <w:fldChar w:fldCharType="begin"/>
    </w:r>
    <w:r>
      <w:instrText xml:space="preserve">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E67AF8">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7A3B68">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AEC52">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AF6E1C">
    <w:pPr>
      <w:pStyle w:val="61"/>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BA5726">
    <w:pPr>
      <w:pStyle w:val="18"/>
      <w:jc w:val="right"/>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710AC9"/>
    <w:multiLevelType w:val="singleLevel"/>
    <w:tmpl w:val="93710AC9"/>
    <w:lvl w:ilvl="0" w:tentative="0">
      <w:start w:val="1"/>
      <w:numFmt w:val="lowerLetter"/>
      <w:suff w:val="space"/>
      <w:lvlText w:val="%1）"/>
      <w:lvlJc w:val="left"/>
    </w:lvl>
  </w:abstractNum>
  <w:abstractNum w:abstractNumId="1">
    <w:nsid w:val="96D5CBB3"/>
    <w:multiLevelType w:val="singleLevel"/>
    <w:tmpl w:val="96D5CBB3"/>
    <w:lvl w:ilvl="0" w:tentative="0">
      <w:start w:val="1"/>
      <w:numFmt w:val="lowerLetter"/>
      <w:suff w:val="space"/>
      <w:lvlText w:val="%1）"/>
      <w:lvlJc w:val="left"/>
    </w:lvl>
  </w:abstractNum>
  <w:abstractNum w:abstractNumId="2">
    <w:nsid w:val="BA49C351"/>
    <w:multiLevelType w:val="singleLevel"/>
    <w:tmpl w:val="BA49C351"/>
    <w:lvl w:ilvl="0" w:tentative="0">
      <w:start w:val="1"/>
      <w:numFmt w:val="lowerLetter"/>
      <w:suff w:val="space"/>
      <w:lvlText w:val="%1）"/>
      <w:lvlJc w:val="left"/>
    </w:lvl>
  </w:abstractNum>
  <w:abstractNum w:abstractNumId="3">
    <w:nsid w:val="022998BE"/>
    <w:multiLevelType w:val="singleLevel"/>
    <w:tmpl w:val="022998BE"/>
    <w:lvl w:ilvl="0" w:tentative="0">
      <w:start w:val="1"/>
      <w:numFmt w:val="lowerLetter"/>
      <w:suff w:val="space"/>
      <w:lvlText w:val="%1）"/>
      <w:lvlJc w:val="left"/>
    </w:lvl>
  </w:abstractNum>
  <w:abstractNum w:abstractNumId="4">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5">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6">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7">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8">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9">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11">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3">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4">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5">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6">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7">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8">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9">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1">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2">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3">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4">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5">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6">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7">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8">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9">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0">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2">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3">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4">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4"/>
  </w:num>
  <w:num w:numId="2">
    <w:abstractNumId w:val="31"/>
  </w:num>
  <w:num w:numId="3">
    <w:abstractNumId w:val="9"/>
  </w:num>
  <w:num w:numId="4">
    <w:abstractNumId w:val="27"/>
  </w:num>
  <w:num w:numId="5">
    <w:abstractNumId w:val="22"/>
  </w:num>
  <w:num w:numId="6">
    <w:abstractNumId w:val="17"/>
  </w:num>
  <w:num w:numId="7">
    <w:abstractNumId w:val="12"/>
  </w:num>
  <w:num w:numId="8">
    <w:abstractNumId w:val="7"/>
  </w:num>
  <w:num w:numId="9">
    <w:abstractNumId w:val="13"/>
  </w:num>
  <w:num w:numId="10">
    <w:abstractNumId w:val="20"/>
  </w:num>
  <w:num w:numId="11">
    <w:abstractNumId w:val="29"/>
  </w:num>
  <w:num w:numId="12">
    <w:abstractNumId w:val="15"/>
  </w:num>
  <w:num w:numId="13">
    <w:abstractNumId w:val="16"/>
  </w:num>
  <w:num w:numId="14">
    <w:abstractNumId w:val="11"/>
  </w:num>
  <w:num w:numId="15">
    <w:abstractNumId w:val="23"/>
  </w:num>
  <w:num w:numId="16">
    <w:abstractNumId w:val="25"/>
  </w:num>
  <w:num w:numId="17">
    <w:abstractNumId w:val="21"/>
  </w:num>
  <w:num w:numId="18">
    <w:abstractNumId w:val="33"/>
  </w:num>
  <w:num w:numId="19">
    <w:abstractNumId w:val="19"/>
  </w:num>
  <w:num w:numId="20">
    <w:abstractNumId w:val="5"/>
  </w:num>
  <w:num w:numId="21">
    <w:abstractNumId w:val="14"/>
  </w:num>
  <w:num w:numId="22">
    <w:abstractNumId w:val="34"/>
  </w:num>
  <w:num w:numId="23">
    <w:abstractNumId w:val="24"/>
  </w:num>
  <w:num w:numId="24">
    <w:abstractNumId w:val="10"/>
  </w:num>
  <w:num w:numId="25">
    <w:abstractNumId w:val="30"/>
  </w:num>
  <w:num w:numId="26">
    <w:abstractNumId w:val="32"/>
  </w:num>
  <w:num w:numId="27">
    <w:abstractNumId w:val="6"/>
  </w:num>
  <w:num w:numId="28">
    <w:abstractNumId w:val="8"/>
  </w:num>
  <w:num w:numId="29">
    <w:abstractNumId w:val="18"/>
  </w:num>
  <w:num w:numId="30">
    <w:abstractNumId w:val="28"/>
  </w:num>
  <w:num w:numId="31">
    <w:abstractNumId w:val="26"/>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2"/>
  </w:num>
  <w:num w:numId="38">
    <w:abstractNumId w:val="0"/>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DPhQfEHE1wY4K0mDrCmnqetUPlKCPzB3qrYa4f/9b6vPybdMSg+nDcM9G88XJZFmCxtn33v/sHnFINk3Tui5Wg==" w:salt="ngeeIJe7QSIQ3aYzkJwnOw=="/>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4NDJmZDQxNGQyNGJhZTAyZmU0MzYwNmY0MmU3YjMifQ=="/>
    <w:docVar w:name="KSO_WPS_MARK_KEY" w:val="ff60e002-e50b-4d70-bdf4-b45c514d9ee1"/>
  </w:docVars>
  <w:rsids>
    <w:rsidRoot w:val="006450BA"/>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0BA"/>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095D"/>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180B"/>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872"/>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06B13"/>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1DDE"/>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670A"/>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4629"/>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6A4A"/>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475F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69F0"/>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445A7A"/>
    <w:rsid w:val="0302497C"/>
    <w:rsid w:val="04702B56"/>
    <w:rsid w:val="06913258"/>
    <w:rsid w:val="07B70B59"/>
    <w:rsid w:val="08534C69"/>
    <w:rsid w:val="09E35B78"/>
    <w:rsid w:val="0B5E73B8"/>
    <w:rsid w:val="0C6F7B97"/>
    <w:rsid w:val="0D1D75F3"/>
    <w:rsid w:val="0D613984"/>
    <w:rsid w:val="0D943DEC"/>
    <w:rsid w:val="0ED71A24"/>
    <w:rsid w:val="0FEF5D2E"/>
    <w:rsid w:val="111D4066"/>
    <w:rsid w:val="117B6FDE"/>
    <w:rsid w:val="121976AB"/>
    <w:rsid w:val="12342B72"/>
    <w:rsid w:val="123A0C48"/>
    <w:rsid w:val="12764066"/>
    <w:rsid w:val="12A6008B"/>
    <w:rsid w:val="13246542"/>
    <w:rsid w:val="13F05A62"/>
    <w:rsid w:val="15BE749A"/>
    <w:rsid w:val="18C94AD3"/>
    <w:rsid w:val="195425EF"/>
    <w:rsid w:val="1ADB7DE9"/>
    <w:rsid w:val="1B9C0929"/>
    <w:rsid w:val="1C284952"/>
    <w:rsid w:val="1C5A6675"/>
    <w:rsid w:val="1D295B40"/>
    <w:rsid w:val="1F5701A3"/>
    <w:rsid w:val="1FB92392"/>
    <w:rsid w:val="202F7912"/>
    <w:rsid w:val="20F338C6"/>
    <w:rsid w:val="212705E9"/>
    <w:rsid w:val="218E68BA"/>
    <w:rsid w:val="227D6B74"/>
    <w:rsid w:val="22FA4207"/>
    <w:rsid w:val="235A4CA6"/>
    <w:rsid w:val="25227A45"/>
    <w:rsid w:val="260676FF"/>
    <w:rsid w:val="270E6C8B"/>
    <w:rsid w:val="27C22E19"/>
    <w:rsid w:val="27EE1E60"/>
    <w:rsid w:val="28013942"/>
    <w:rsid w:val="28043432"/>
    <w:rsid w:val="28795BCE"/>
    <w:rsid w:val="2A481CFC"/>
    <w:rsid w:val="2BFA3F3D"/>
    <w:rsid w:val="2C253164"/>
    <w:rsid w:val="2D8748E9"/>
    <w:rsid w:val="2E916D4B"/>
    <w:rsid w:val="2F176141"/>
    <w:rsid w:val="2FD527B7"/>
    <w:rsid w:val="30900A43"/>
    <w:rsid w:val="31091AB9"/>
    <w:rsid w:val="31CD5A4A"/>
    <w:rsid w:val="32B75C71"/>
    <w:rsid w:val="33125CC3"/>
    <w:rsid w:val="342F1837"/>
    <w:rsid w:val="347F27BE"/>
    <w:rsid w:val="35EB3E83"/>
    <w:rsid w:val="361909F0"/>
    <w:rsid w:val="36704467"/>
    <w:rsid w:val="3680281D"/>
    <w:rsid w:val="371B60A2"/>
    <w:rsid w:val="3AB74334"/>
    <w:rsid w:val="3BC27434"/>
    <w:rsid w:val="3DD07BE6"/>
    <w:rsid w:val="42CB6BCE"/>
    <w:rsid w:val="43380A4C"/>
    <w:rsid w:val="437378C0"/>
    <w:rsid w:val="4568104C"/>
    <w:rsid w:val="45A50CD5"/>
    <w:rsid w:val="45EB41E8"/>
    <w:rsid w:val="471201DC"/>
    <w:rsid w:val="48F350D1"/>
    <w:rsid w:val="491312CF"/>
    <w:rsid w:val="4AD924FA"/>
    <w:rsid w:val="4B350E3C"/>
    <w:rsid w:val="4B4B11F4"/>
    <w:rsid w:val="4C746529"/>
    <w:rsid w:val="4CEF2E92"/>
    <w:rsid w:val="4D646A02"/>
    <w:rsid w:val="4D844549"/>
    <w:rsid w:val="4D8C33FE"/>
    <w:rsid w:val="4E143B1F"/>
    <w:rsid w:val="4E467A51"/>
    <w:rsid w:val="4E710F72"/>
    <w:rsid w:val="4EBC6EA4"/>
    <w:rsid w:val="4EDB63EB"/>
    <w:rsid w:val="4FA7451F"/>
    <w:rsid w:val="4FE439C5"/>
    <w:rsid w:val="50463D38"/>
    <w:rsid w:val="5139564B"/>
    <w:rsid w:val="52AA6800"/>
    <w:rsid w:val="53803A05"/>
    <w:rsid w:val="54D61DED"/>
    <w:rsid w:val="54E104D3"/>
    <w:rsid w:val="54EF499E"/>
    <w:rsid w:val="56B22D80"/>
    <w:rsid w:val="576B580A"/>
    <w:rsid w:val="57D60097"/>
    <w:rsid w:val="58020E8D"/>
    <w:rsid w:val="58A41F44"/>
    <w:rsid w:val="58B008E9"/>
    <w:rsid w:val="58D1771E"/>
    <w:rsid w:val="590D1897"/>
    <w:rsid w:val="5AAA1CE0"/>
    <w:rsid w:val="5B453F16"/>
    <w:rsid w:val="5B560580"/>
    <w:rsid w:val="5B9242D5"/>
    <w:rsid w:val="5BB10BFF"/>
    <w:rsid w:val="5C8A1451"/>
    <w:rsid w:val="5D3C274B"/>
    <w:rsid w:val="5DA84284"/>
    <w:rsid w:val="5DBB5D65"/>
    <w:rsid w:val="60A30D33"/>
    <w:rsid w:val="61A53A89"/>
    <w:rsid w:val="624F4CCE"/>
    <w:rsid w:val="638B61DA"/>
    <w:rsid w:val="63C17E4E"/>
    <w:rsid w:val="64F733FB"/>
    <w:rsid w:val="651771CA"/>
    <w:rsid w:val="65995FC1"/>
    <w:rsid w:val="663743F7"/>
    <w:rsid w:val="66C0263F"/>
    <w:rsid w:val="66FB5425"/>
    <w:rsid w:val="68016A6B"/>
    <w:rsid w:val="687A681D"/>
    <w:rsid w:val="6A6E23B2"/>
    <w:rsid w:val="6B0274EF"/>
    <w:rsid w:val="6D401DE3"/>
    <w:rsid w:val="6D68758C"/>
    <w:rsid w:val="6DAD4F9F"/>
    <w:rsid w:val="6DC91CC0"/>
    <w:rsid w:val="702A6D7B"/>
    <w:rsid w:val="703B2D36"/>
    <w:rsid w:val="712B442D"/>
    <w:rsid w:val="714C6975"/>
    <w:rsid w:val="71E52F59"/>
    <w:rsid w:val="727147ED"/>
    <w:rsid w:val="72F0605A"/>
    <w:rsid w:val="74DD616A"/>
    <w:rsid w:val="757E4FBC"/>
    <w:rsid w:val="76790114"/>
    <w:rsid w:val="77D73344"/>
    <w:rsid w:val="791800B8"/>
    <w:rsid w:val="79C43D9C"/>
    <w:rsid w:val="7A6E56D5"/>
    <w:rsid w:val="7ABA3647"/>
    <w:rsid w:val="7B95216B"/>
    <w:rsid w:val="7D366D5F"/>
    <w:rsid w:val="7D6357FC"/>
    <w:rsid w:val="7DB24082"/>
    <w:rsid w:val="7F686F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Body Text"/>
    <w:basedOn w:val="1"/>
    <w:link w:val="86"/>
    <w:autoRedefine/>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autoRedefine/>
    <w:semiHidden/>
    <w:unhideWhenUsed/>
    <w:qFormat/>
    <w:uiPriority w:val="99"/>
    <w:rPr>
      <w:sz w:val="18"/>
      <w:szCs w:val="18"/>
    </w:rPr>
  </w:style>
  <w:style w:type="paragraph" w:styleId="17">
    <w:name w:val="footer"/>
    <w:basedOn w:val="1"/>
    <w:link w:val="44"/>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autoRedefine/>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autoRedefine/>
    <w:qFormat/>
    <w:uiPriority w:val="99"/>
    <w:rPr>
      <w:rFonts w:ascii="宋体" w:hAnsi="Times New Roman" w:eastAsia="宋体"/>
      <w:color w:val="auto"/>
      <w:spacing w:val="0"/>
      <w:w w:val="100"/>
      <w:position w:val="0"/>
      <w:sz w:val="21"/>
      <w:u w:val="none"/>
      <w:vertAlign w:val="baseline"/>
    </w:rPr>
  </w:style>
  <w:style w:type="character" w:styleId="33">
    <w:name w:val="footnote reference"/>
    <w:autoRedefine/>
    <w:semiHidden/>
    <w:qFormat/>
    <w:uiPriority w:val="0"/>
    <w:rPr>
      <w:rFonts w:ascii="宋体" w:hAnsi="宋体" w:eastAsia="宋体" w:cs="Times New Roman"/>
      <w:spacing w:val="0"/>
      <w:sz w:val="18"/>
      <w:vertAlign w:val="superscript"/>
    </w:rPr>
  </w:style>
  <w:style w:type="character" w:customStyle="1" w:styleId="34">
    <w:name w:val="标题 1 Char"/>
    <w:link w:val="2"/>
    <w:autoRedefine/>
    <w:qFormat/>
    <w:uiPriority w:val="0"/>
    <w:rPr>
      <w:b/>
      <w:bCs/>
      <w:kern w:val="44"/>
      <w:sz w:val="44"/>
      <w:szCs w:val="44"/>
    </w:rPr>
  </w:style>
  <w:style w:type="character" w:customStyle="1" w:styleId="35">
    <w:name w:val="标题 2 Char"/>
    <w:link w:val="3"/>
    <w:autoRedefine/>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autoRedefine/>
    <w:qFormat/>
    <w:uiPriority w:val="0"/>
    <w:rPr>
      <w:rFonts w:ascii="Arial" w:hAnsi="Arial" w:eastAsia="黑体"/>
      <w:b/>
      <w:bCs/>
      <w:kern w:val="2"/>
      <w:sz w:val="28"/>
      <w:szCs w:val="28"/>
    </w:rPr>
  </w:style>
  <w:style w:type="character" w:customStyle="1" w:styleId="38">
    <w:name w:val="标题 5 Char"/>
    <w:link w:val="6"/>
    <w:autoRedefine/>
    <w:qFormat/>
    <w:uiPriority w:val="0"/>
    <w:rPr>
      <w:b/>
      <w:bCs/>
      <w:kern w:val="2"/>
      <w:sz w:val="28"/>
      <w:szCs w:val="28"/>
    </w:rPr>
  </w:style>
  <w:style w:type="character" w:customStyle="1" w:styleId="39">
    <w:name w:val="标题 6 Char"/>
    <w:link w:val="7"/>
    <w:autoRedefine/>
    <w:qFormat/>
    <w:uiPriority w:val="0"/>
    <w:rPr>
      <w:rFonts w:ascii="Arial" w:hAnsi="Arial" w:eastAsia="黑体"/>
      <w:b/>
      <w:bCs/>
      <w:kern w:val="2"/>
      <w:sz w:val="24"/>
      <w:szCs w:val="24"/>
    </w:rPr>
  </w:style>
  <w:style w:type="character" w:customStyle="1" w:styleId="40">
    <w:name w:val="标题 7 Char"/>
    <w:link w:val="8"/>
    <w:autoRedefine/>
    <w:qFormat/>
    <w:uiPriority w:val="0"/>
    <w:rPr>
      <w:b/>
      <w:bCs/>
      <w:kern w:val="2"/>
      <w:sz w:val="24"/>
      <w:szCs w:val="24"/>
    </w:rPr>
  </w:style>
  <w:style w:type="character" w:customStyle="1" w:styleId="41">
    <w:name w:val="标题 8 Char"/>
    <w:link w:val="9"/>
    <w:autoRedefine/>
    <w:qFormat/>
    <w:uiPriority w:val="0"/>
    <w:rPr>
      <w:rFonts w:ascii="Arial" w:hAnsi="Arial" w:eastAsia="黑体"/>
      <w:kern w:val="2"/>
      <w:sz w:val="24"/>
      <w:szCs w:val="24"/>
    </w:rPr>
  </w:style>
  <w:style w:type="character" w:customStyle="1" w:styleId="42">
    <w:name w:val="标题 9 Char"/>
    <w:link w:val="10"/>
    <w:autoRedefine/>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autoRedefine/>
    <w:qFormat/>
    <w:uiPriority w:val="99"/>
    <w:rPr>
      <w:rFonts w:ascii="宋体"/>
      <w:kern w:val="2"/>
      <w:sz w:val="18"/>
      <w:szCs w:val="18"/>
    </w:rPr>
  </w:style>
  <w:style w:type="character" w:customStyle="1" w:styleId="45">
    <w:name w:val="批注框文本 Char"/>
    <w:link w:val="16"/>
    <w:autoRedefine/>
    <w:semiHidden/>
    <w:qFormat/>
    <w:uiPriority w:val="99"/>
    <w:rPr>
      <w:kern w:val="2"/>
      <w:sz w:val="18"/>
      <w:szCs w:val="18"/>
    </w:rPr>
  </w:style>
  <w:style w:type="paragraph" w:styleId="46">
    <w:name w:val="Quote"/>
    <w:basedOn w:val="1"/>
    <w:next w:val="1"/>
    <w:link w:val="47"/>
    <w:autoRedefine/>
    <w:qFormat/>
    <w:uiPriority w:val="29"/>
    <w:rPr>
      <w:i/>
      <w:iCs/>
      <w:color w:val="000000"/>
    </w:rPr>
  </w:style>
  <w:style w:type="character" w:customStyle="1" w:styleId="47">
    <w:name w:val="引用 Char"/>
    <w:link w:val="46"/>
    <w:autoRedefine/>
    <w:qFormat/>
    <w:uiPriority w:val="29"/>
    <w:rPr>
      <w:i/>
      <w:iCs/>
      <w:color w:val="000000"/>
      <w:kern w:val="2"/>
      <w:sz w:val="21"/>
      <w:szCs w:val="21"/>
    </w:rPr>
  </w:style>
  <w:style w:type="character" w:customStyle="1" w:styleId="48">
    <w:name w:val="标题 Char"/>
    <w:link w:val="25"/>
    <w:autoRedefine/>
    <w:qFormat/>
    <w:uiPriority w:val="0"/>
    <w:rPr>
      <w:rFonts w:ascii="Arial" w:hAnsi="Arial" w:cs="Arial"/>
      <w:b/>
      <w:bCs/>
      <w:kern w:val="2"/>
      <w:sz w:val="32"/>
      <w:szCs w:val="32"/>
    </w:rPr>
  </w:style>
  <w:style w:type="paragraph" w:customStyle="1" w:styleId="49">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autoRedefine/>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autoRedefine/>
    <w:qFormat/>
    <w:uiPriority w:val="0"/>
    <w:pPr>
      <w:spacing w:line="0" w:lineRule="atLeast"/>
    </w:pPr>
    <w:rPr>
      <w:rFonts w:ascii="黑体" w:hAnsi="宋体" w:eastAsia="黑体"/>
    </w:rPr>
  </w:style>
  <w:style w:type="paragraph" w:customStyle="1" w:styleId="55">
    <w:name w:val="标准文件_标准正文"/>
    <w:basedOn w:val="1"/>
    <w:next w:val="56"/>
    <w:autoRedefine/>
    <w:qFormat/>
    <w:uiPriority w:val="0"/>
    <w:pPr>
      <w:snapToGrid w:val="0"/>
      <w:ind w:firstLine="200" w:firstLineChars="200"/>
    </w:pPr>
    <w:rPr>
      <w:kern w:val="0"/>
    </w:rPr>
  </w:style>
  <w:style w:type="paragraph" w:customStyle="1" w:styleId="56">
    <w:name w:val="标准文件_段"/>
    <w:link w:val="184"/>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autoRedefine/>
    <w:qFormat/>
    <w:uiPriority w:val="0"/>
    <w:pPr>
      <w:adjustRightInd/>
      <w:snapToGrid/>
      <w:ind w:firstLine="0" w:firstLineChars="0"/>
    </w:pPr>
    <w:rPr>
      <w:rFonts w:ascii="宋体" w:hAnsi="宋体"/>
      <w:kern w:val="2"/>
    </w:rPr>
  </w:style>
  <w:style w:type="paragraph" w:customStyle="1" w:styleId="58">
    <w:name w:val="标准文件_标准部门"/>
    <w:basedOn w:val="1"/>
    <w:autoRedefine/>
    <w:qFormat/>
    <w:uiPriority w:val="0"/>
    <w:pPr>
      <w:jc w:val="center"/>
    </w:pPr>
    <w:rPr>
      <w:rFonts w:ascii="黑体" w:eastAsia="黑体"/>
      <w:kern w:val="0"/>
      <w:sz w:val="44"/>
    </w:rPr>
  </w:style>
  <w:style w:type="paragraph" w:customStyle="1" w:styleId="59">
    <w:name w:val="标准文件_标准代替"/>
    <w:basedOn w:val="1"/>
    <w:next w:val="1"/>
    <w:autoRedefine/>
    <w:qFormat/>
    <w:uiPriority w:val="0"/>
    <w:pPr>
      <w:spacing w:line="310" w:lineRule="exact"/>
      <w:jc w:val="right"/>
    </w:pPr>
    <w:rPr>
      <w:rFonts w:ascii="宋体" w:hAnsi="宋体"/>
      <w:kern w:val="0"/>
    </w:rPr>
  </w:style>
  <w:style w:type="paragraph" w:customStyle="1" w:styleId="60">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autoRedefine/>
    <w:qFormat/>
    <w:uiPriority w:val="0"/>
    <w:pPr>
      <w:jc w:val="left"/>
    </w:pPr>
  </w:style>
  <w:style w:type="paragraph" w:customStyle="1" w:styleId="63">
    <w:name w:val="标准文件_参考文献标题"/>
    <w:basedOn w:val="1"/>
    <w:next w:val="1"/>
    <w:autoRedefine/>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autoRedefine/>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autoRedefine/>
    <w:qFormat/>
    <w:uiPriority w:val="0"/>
    <w:pPr>
      <w:spacing w:line="310" w:lineRule="exact"/>
      <w:jc w:val="right"/>
    </w:pPr>
    <w:rPr>
      <w:rFonts w:ascii="黑体" w:eastAsia="黑体"/>
      <w:kern w:val="0"/>
      <w:sz w:val="28"/>
    </w:rPr>
  </w:style>
  <w:style w:type="paragraph" w:customStyle="1" w:styleId="69">
    <w:name w:val="标准文件_封面标准分类号"/>
    <w:basedOn w:val="1"/>
    <w:autoRedefine/>
    <w:qFormat/>
    <w:uiPriority w:val="0"/>
    <w:rPr>
      <w:rFonts w:ascii="黑体" w:eastAsia="黑体"/>
      <w:b/>
      <w:kern w:val="0"/>
      <w:sz w:val="28"/>
    </w:rPr>
  </w:style>
  <w:style w:type="paragraph" w:customStyle="1" w:styleId="70">
    <w:name w:val="标准文件_封面标准名称"/>
    <w:basedOn w:val="1"/>
    <w:autoRedefine/>
    <w:qFormat/>
    <w:uiPriority w:val="0"/>
    <w:pPr>
      <w:spacing w:line="240" w:lineRule="auto"/>
      <w:jc w:val="center"/>
    </w:pPr>
    <w:rPr>
      <w:rFonts w:ascii="黑体" w:eastAsia="黑体"/>
      <w:kern w:val="0"/>
      <w:sz w:val="52"/>
    </w:rPr>
  </w:style>
  <w:style w:type="paragraph" w:customStyle="1" w:styleId="71">
    <w:name w:val="标准文件_封面标准英文名称"/>
    <w:basedOn w:val="1"/>
    <w:autoRedefine/>
    <w:qFormat/>
    <w:uiPriority w:val="0"/>
    <w:pPr>
      <w:spacing w:line="240" w:lineRule="auto"/>
      <w:jc w:val="center"/>
    </w:pPr>
    <w:rPr>
      <w:rFonts w:ascii="黑体" w:eastAsia="黑体"/>
      <w:b/>
      <w:sz w:val="28"/>
    </w:rPr>
  </w:style>
  <w:style w:type="paragraph" w:customStyle="1" w:styleId="72">
    <w:name w:val="标准文件_封面发布日期"/>
    <w:basedOn w:val="1"/>
    <w:autoRedefine/>
    <w:qFormat/>
    <w:uiPriority w:val="0"/>
    <w:pPr>
      <w:spacing w:line="310" w:lineRule="exact"/>
    </w:pPr>
    <w:rPr>
      <w:rFonts w:ascii="黑体" w:eastAsia="黑体"/>
      <w:kern w:val="0"/>
      <w:sz w:val="28"/>
    </w:rPr>
  </w:style>
  <w:style w:type="paragraph" w:customStyle="1" w:styleId="73">
    <w:name w:val="标准文件_封面密级"/>
    <w:basedOn w:val="1"/>
    <w:autoRedefine/>
    <w:qFormat/>
    <w:uiPriority w:val="0"/>
    <w:rPr>
      <w:rFonts w:eastAsia="黑体"/>
      <w:sz w:val="32"/>
    </w:rPr>
  </w:style>
  <w:style w:type="paragraph" w:customStyle="1" w:styleId="74">
    <w:name w:val="标准文件_封面实施日期"/>
    <w:basedOn w:val="1"/>
    <w:autoRedefine/>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autoRedefine/>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autoRedefine/>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autoRedefine/>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autoRedefine/>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autoRedefine/>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autoRedefine/>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autoRedefine/>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autoRedefine/>
    <w:qFormat/>
    <w:uiPriority w:val="0"/>
    <w:rPr>
      <w:kern w:val="2"/>
      <w:sz w:val="21"/>
      <w:szCs w:val="21"/>
    </w:rPr>
  </w:style>
  <w:style w:type="paragraph" w:customStyle="1" w:styleId="87">
    <w:name w:val="标准文件_附录章标题"/>
    <w:next w:val="56"/>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autoRedefine/>
    <w:qFormat/>
    <w:uiPriority w:val="0"/>
    <w:pPr>
      <w:ind w:left="488" w:leftChars="200" w:hanging="289" w:hangingChars="290"/>
    </w:pPr>
  </w:style>
  <w:style w:type="paragraph" w:customStyle="1" w:styleId="89">
    <w:name w:val="标准文件_前言、引言标题"/>
    <w:next w:val="1"/>
    <w:autoRedefine/>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autoRedefine/>
    <w:qFormat/>
    <w:uiPriority w:val="0"/>
    <w:pPr>
      <w:spacing w:line="460" w:lineRule="exact"/>
      <w:ind w:left="0" w:firstLine="0"/>
    </w:pPr>
  </w:style>
  <w:style w:type="paragraph" w:customStyle="1" w:styleId="91">
    <w:name w:val="标准文件_目录标题"/>
    <w:basedOn w:val="1"/>
    <w:autoRedefine/>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autoRedefine/>
    <w:qFormat/>
    <w:uiPriority w:val="0"/>
    <w:pPr>
      <w:numPr>
        <w:numId w:val="10"/>
      </w:numPr>
    </w:pPr>
  </w:style>
  <w:style w:type="paragraph" w:customStyle="1" w:styleId="94">
    <w:name w:val="标准文件_三级条标题"/>
    <w:basedOn w:val="65"/>
    <w:next w:val="56"/>
    <w:autoRedefine/>
    <w:qFormat/>
    <w:uiPriority w:val="0"/>
    <w:pPr>
      <w:widowControl/>
      <w:numPr>
        <w:ilvl w:val="4"/>
      </w:numPr>
      <w:outlineLvl w:val="3"/>
    </w:pPr>
  </w:style>
  <w:style w:type="character" w:customStyle="1" w:styleId="95">
    <w:name w:val="不明显参考1"/>
    <w:autoRedefine/>
    <w:qFormat/>
    <w:uiPriority w:val="31"/>
    <w:rPr>
      <w:smallCaps/>
      <w:color w:val="C0504D"/>
      <w:u w:val="single"/>
    </w:rPr>
  </w:style>
  <w:style w:type="paragraph" w:customStyle="1" w:styleId="96">
    <w:name w:val="标准文件_示例后续"/>
    <w:basedOn w:val="1"/>
    <w:autoRedefine/>
    <w:qFormat/>
    <w:uiPriority w:val="0"/>
    <w:pPr>
      <w:adjustRightInd/>
      <w:spacing w:line="240" w:lineRule="auto"/>
      <w:ind w:firstLine="200" w:firstLineChars="200"/>
    </w:pPr>
    <w:rPr>
      <w:sz w:val="18"/>
      <w:szCs w:val="24"/>
    </w:rPr>
  </w:style>
  <w:style w:type="paragraph" w:customStyle="1" w:styleId="97">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autoRedefine/>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autoRedefine/>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autoRedefine/>
    <w:qFormat/>
    <w:uiPriority w:val="0"/>
    <w:pPr>
      <w:numPr>
        <w:ilvl w:val="0"/>
        <w:numId w:val="12"/>
      </w:numPr>
      <w:spacing w:line="240" w:lineRule="auto"/>
      <w:jc w:val="left"/>
    </w:pPr>
    <w:rPr>
      <w:rFonts w:ascii="宋体" w:hAnsi="宋体"/>
      <w:sz w:val="18"/>
    </w:rPr>
  </w:style>
  <w:style w:type="character" w:customStyle="1" w:styleId="102">
    <w:name w:val="标准文件_图表脚注内容"/>
    <w:autoRedefine/>
    <w:qFormat/>
    <w:uiPriority w:val="0"/>
    <w:rPr>
      <w:rFonts w:ascii="宋体" w:hAnsi="宋体" w:eastAsia="宋体" w:cs="Times New Roman"/>
      <w:spacing w:val="0"/>
      <w:sz w:val="18"/>
      <w:vertAlign w:val="superscript"/>
    </w:rPr>
  </w:style>
  <w:style w:type="paragraph" w:customStyle="1" w:styleId="103">
    <w:name w:val="标准文件_五级条标题"/>
    <w:next w:val="56"/>
    <w:autoRedefine/>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autoRedefine/>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autoRedefine/>
    <w:qFormat/>
    <w:uiPriority w:val="0"/>
    <w:pPr>
      <w:numPr>
        <w:ilvl w:val="2"/>
      </w:numPr>
      <w:spacing w:before="50" w:beforeLines="50" w:after="50" w:afterLines="50"/>
      <w:outlineLvl w:val="1"/>
    </w:pPr>
  </w:style>
  <w:style w:type="paragraph" w:customStyle="1" w:styleId="106">
    <w:name w:val="标准文件_一致程度"/>
    <w:basedOn w:val="1"/>
    <w:autoRedefine/>
    <w:qFormat/>
    <w:uiPriority w:val="0"/>
    <w:pPr>
      <w:spacing w:line="440" w:lineRule="exact"/>
      <w:jc w:val="center"/>
    </w:pPr>
    <w:rPr>
      <w:sz w:val="28"/>
    </w:rPr>
  </w:style>
  <w:style w:type="paragraph" w:customStyle="1" w:styleId="107">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autoRedefine/>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autoRedefine/>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0">
    <w:name w:val="标准文件_英文注："/>
    <w:basedOn w:val="1"/>
    <w:next w:val="56"/>
    <w:autoRedefine/>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autoRedefine/>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autoRedefine/>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autoRedefine/>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autoRedefine/>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autoRedefine/>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18">
    <w:name w:val="二级无标题条"/>
    <w:basedOn w:val="1"/>
    <w:autoRedefine/>
    <w:qFormat/>
    <w:uiPriority w:val="0"/>
    <w:pPr>
      <w:numPr>
        <w:ilvl w:val="3"/>
        <w:numId w:val="20"/>
      </w:numPr>
      <w:adjustRightInd/>
      <w:spacing w:line="240" w:lineRule="auto"/>
    </w:pPr>
    <w:rPr>
      <w:rFonts w:ascii="宋体" w:hAnsi="宋体"/>
      <w:szCs w:val="24"/>
    </w:rPr>
  </w:style>
  <w:style w:type="paragraph" w:customStyle="1" w:styleId="119">
    <w:name w:val="发布部门"/>
    <w:next w:val="56"/>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autoRedefine/>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autoRedefine/>
    <w:qFormat/>
    <w:uiPriority w:val="0"/>
    <w:pPr>
      <w:outlineLvl w:val="4"/>
    </w:pPr>
  </w:style>
  <w:style w:type="paragraph" w:customStyle="1" w:styleId="130">
    <w:name w:val="附录四级无标题条"/>
    <w:basedOn w:val="129"/>
    <w:next w:val="56"/>
    <w:autoRedefine/>
    <w:qFormat/>
    <w:uiPriority w:val="0"/>
    <w:pPr>
      <w:outlineLvl w:val="5"/>
    </w:pPr>
  </w:style>
  <w:style w:type="paragraph" w:customStyle="1" w:styleId="131">
    <w:name w:val="附录图"/>
    <w:next w:val="56"/>
    <w:autoRedefine/>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autoRedefine/>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autoRedefine/>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autoRedefine/>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autoRedefine/>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autoRedefine/>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autoRedefine/>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autoRedefine/>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autoRedefine/>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autoRedefine/>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autoRedefine/>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autoRedefine/>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autoRedefine/>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autoRedefine/>
    <w:qFormat/>
    <w:uiPriority w:val="0"/>
    <w:pPr>
      <w:tabs>
        <w:tab w:val="right" w:leader="dot" w:pos="9356"/>
      </w:tabs>
      <w:ind w:left="210" w:hanging="210" w:firstLineChars="0"/>
      <w:jc w:val="left"/>
    </w:pPr>
  </w:style>
  <w:style w:type="paragraph" w:customStyle="1" w:styleId="211">
    <w:name w:val="标准文件_附录一级无标题"/>
    <w:basedOn w:val="78"/>
    <w:autoRedefine/>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autoRedefine/>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jpe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3AA7398C4544108AC15C66CA7BD29C7"/>
        <w:style w:val=""/>
        <w:category>
          <w:name w:val="常规"/>
          <w:gallery w:val="placeholder"/>
        </w:category>
        <w:types>
          <w:type w:val="bbPlcHdr"/>
        </w:types>
        <w:behaviors>
          <w:behavior w:val="content"/>
        </w:behaviors>
        <w:description w:val=""/>
        <w:guid w:val="{566E9644-7D4A-48BF-A6F6-FE760E34F9C3}"/>
      </w:docPartPr>
      <w:docPartBody>
        <w:p w14:paraId="024F0829">
          <w:pPr>
            <w:pStyle w:val="5"/>
          </w:pPr>
          <w:r>
            <w:rPr>
              <w:rStyle w:val="4"/>
              <w:rFonts w:hint="eastAsia"/>
            </w:rPr>
            <w:t>单击或点击此处输入文字。</w:t>
          </w:r>
        </w:p>
      </w:docPartBody>
    </w:docPart>
    <w:docPart>
      <w:docPartPr>
        <w:name w:val="5D4FE256FA6746299D6CF32F40AF59F2"/>
        <w:style w:val=""/>
        <w:category>
          <w:name w:val="常规"/>
          <w:gallery w:val="placeholder"/>
        </w:category>
        <w:types>
          <w:type w:val="bbPlcHdr"/>
        </w:types>
        <w:behaviors>
          <w:behavior w:val="content"/>
        </w:behaviors>
        <w:description w:val=""/>
        <w:guid w:val="{3678E39E-7298-40CC-BBCB-108A19A88502}"/>
      </w:docPartPr>
      <w:docPartBody>
        <w:p w14:paraId="50E7126B">
          <w:pPr>
            <w:pStyle w:val="6"/>
          </w:pPr>
          <w:r>
            <w:rPr>
              <w:rStyle w:val="4"/>
              <w:rFonts w:hint="eastAsia"/>
            </w:rPr>
            <w:t>选择一项。</w:t>
          </w:r>
        </w:p>
      </w:docPartBody>
    </w:docPart>
    <w:docPart>
      <w:docPartPr>
        <w:name w:val="D2AF6F65AB584024B0FE4C6EE9C8BE41"/>
        <w:style w:val=""/>
        <w:category>
          <w:name w:val="常规"/>
          <w:gallery w:val="placeholder"/>
        </w:category>
        <w:types>
          <w:type w:val="bbPlcHdr"/>
        </w:types>
        <w:behaviors>
          <w:behavior w:val="content"/>
        </w:behaviors>
        <w:description w:val=""/>
        <w:guid w:val="{CCCAAD83-EB75-4D6C-ABE6-73648E7151EE}"/>
      </w:docPartPr>
      <w:docPartBody>
        <w:p w14:paraId="49879CA9">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EDD"/>
    <w:rsid w:val="005E579B"/>
    <w:rsid w:val="00716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13AA7398C4544108AC15C66CA7BD29C7"/>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5D4FE256FA6746299D6CF32F40AF59F2"/>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D2AF6F65AB584024B0FE4C6EE9C8BE41"/>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5</Pages>
  <Words>2421</Words>
  <Characters>2683</Characters>
  <Lines>21</Lines>
  <Paragraphs>6</Paragraphs>
  <TotalTime>14</TotalTime>
  <ScaleCrop>false</ScaleCrop>
  <LinksUpToDate>false</LinksUpToDate>
  <CharactersWithSpaces>2746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2024-02-26T15:40:00Z</dcterms:created>
  <dc:creator>admin</dc:creator>
  <dc:description>&lt;config cover="true" show_menu="true" version="1.0.0" doctype="SDKXY"&gt;_x000d_
&lt;/config&gt;</dc:description>
  <cp:lastModifiedBy>叶</cp:lastModifiedBy>
  <cp:lastPrinted>2021-02-02T08:22:00Z</cp:lastPrinted>
  <dcterms:modified xsi:type="dcterms:W3CDTF">2025-04-29T05:38:22Z</dcterms:modified>
  <dc:title>团体标准</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2052-12.1.0.20784</vt:lpwstr>
  </property>
  <property fmtid="{D5CDD505-2E9C-101B-9397-08002B2CF9AE}" pid="15" name="ICV">
    <vt:lpwstr>C449A5E7D937468FBB06D587DF21F3D7_12</vt:lpwstr>
  </property>
  <property fmtid="{D5CDD505-2E9C-101B-9397-08002B2CF9AE}" pid="16" name="KSOTemplateDocerSaveRecord">
    <vt:lpwstr>eyJoZGlkIjoiNWRkZGNkY2FmZmZlOGU0ZTQyYjIyOTQ5YmI1MjBjZmYiLCJ1c2VySWQiOiIxMDUzNTY4MDQxIn0=</vt:lpwstr>
  </property>
</Properties>
</file>