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667D6" w14:textId="77777777" w:rsidR="00657B1F" w:rsidRDefault="007A06E5">
      <w:pPr>
        <w:spacing w:line="600" w:lineRule="exact"/>
        <w:jc w:val="center"/>
        <w:rPr>
          <w:rFonts w:ascii="方正小标宋简体" w:eastAsia="方正小标宋简体" w:hAnsi="黑体" w:cs="黑体"/>
          <w:color w:val="000000"/>
          <w:sz w:val="44"/>
          <w:szCs w:val="44"/>
        </w:rPr>
      </w:pPr>
      <w:r>
        <w:rPr>
          <w:rFonts w:ascii="方正小标宋简体" w:eastAsia="方正小标宋简体" w:hAnsi="黑体" w:cs="黑体" w:hint="eastAsia"/>
          <w:color w:val="000000"/>
          <w:sz w:val="44"/>
          <w:szCs w:val="44"/>
        </w:rPr>
        <w:t>团体标准《复发性流产诊疗规范》（征求意见稿）编制说明</w:t>
      </w:r>
    </w:p>
    <w:p w14:paraId="1B5A803E" w14:textId="77777777" w:rsidR="00657B1F" w:rsidRDefault="007A06E5">
      <w:pPr>
        <w:spacing w:after="0"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一、任务来源、起草单位、主要起草人</w:t>
      </w:r>
    </w:p>
    <w:p w14:paraId="79F69BF8" w14:textId="77777777" w:rsidR="00657B1F" w:rsidRDefault="007A06E5">
      <w:pPr>
        <w:spacing w:after="0" w:line="560" w:lineRule="exact"/>
        <w:ind w:firstLineChars="200" w:firstLine="640"/>
        <w:rPr>
          <w:rFonts w:ascii="仿宋_GB2312" w:eastAsia="仿宋_GB2312" w:hAnsi="仿宋"/>
          <w:sz w:val="32"/>
          <w:szCs w:val="32"/>
        </w:rPr>
      </w:pPr>
      <w:r>
        <w:rPr>
          <w:rFonts w:ascii="仿宋_GB2312" w:eastAsia="仿宋_GB2312" w:hAnsi="Calibri" w:hint="eastAsia"/>
          <w:sz w:val="32"/>
          <w:szCs w:val="32"/>
        </w:rPr>
        <w:t>根据《广西标准化协会关于下达202</w:t>
      </w:r>
      <w:r>
        <w:rPr>
          <w:rFonts w:ascii="仿宋_GB2312" w:eastAsia="仿宋_GB2312" w:hAnsi="Calibri"/>
          <w:sz w:val="32"/>
          <w:szCs w:val="32"/>
        </w:rPr>
        <w:t>4</w:t>
      </w:r>
      <w:r>
        <w:rPr>
          <w:rFonts w:ascii="仿宋_GB2312" w:eastAsia="仿宋_GB2312" w:hAnsi="Calibri" w:hint="eastAsia"/>
          <w:sz w:val="32"/>
          <w:szCs w:val="32"/>
        </w:rPr>
        <w:t>年第四十九批团体标准制修订项目计划的通知》（桂标协〔202</w:t>
      </w:r>
      <w:r>
        <w:rPr>
          <w:rFonts w:ascii="仿宋_GB2312" w:eastAsia="仿宋_GB2312" w:hAnsi="Calibri"/>
          <w:sz w:val="32"/>
          <w:szCs w:val="32"/>
        </w:rPr>
        <w:t>4</w:t>
      </w:r>
      <w:r>
        <w:rPr>
          <w:rFonts w:ascii="仿宋_GB2312" w:eastAsia="仿宋_GB2312" w:hAnsi="Calibri" w:hint="eastAsia"/>
          <w:sz w:val="32"/>
          <w:szCs w:val="32"/>
        </w:rPr>
        <w:t>〕</w:t>
      </w:r>
      <w:r>
        <w:rPr>
          <w:rFonts w:ascii="仿宋_GB2312" w:eastAsia="仿宋_GB2312" w:hAnsi="Calibri"/>
          <w:sz w:val="32"/>
          <w:szCs w:val="32"/>
        </w:rPr>
        <w:t>321</w:t>
      </w:r>
      <w:r>
        <w:rPr>
          <w:rFonts w:ascii="仿宋_GB2312" w:eastAsia="仿宋_GB2312" w:hAnsi="Calibri" w:hint="eastAsia"/>
          <w:sz w:val="32"/>
          <w:szCs w:val="32"/>
        </w:rPr>
        <w:t>号）文件精神，由</w:t>
      </w:r>
      <w:r>
        <w:rPr>
          <w:rFonts w:ascii="仿宋_GB2312" w:eastAsia="仿宋_GB2312" w:hAnsi="Calibri" w:hint="eastAsia"/>
          <w:bCs/>
          <w:sz w:val="32"/>
          <w:szCs w:val="32"/>
        </w:rPr>
        <w:t>广西优生优育协会</w:t>
      </w:r>
      <w:r>
        <w:rPr>
          <w:rFonts w:ascii="仿宋_GB2312" w:eastAsia="仿宋_GB2312" w:hAnsi="Calibri" w:hint="eastAsia"/>
          <w:sz w:val="32"/>
          <w:szCs w:val="32"/>
        </w:rPr>
        <w:t>提出，南宁市第二人民医院、深圳中山妇产医院、上海市第一妇婴保健院、桂林医学院附属医院、广西医科大学第一附属医院、广西壮族自治区生殖医院、南宁市妇幼保健院等单位共同起草制定的团体标准《复发性流产诊疗规范》（项目编号：202</w:t>
      </w:r>
      <w:r>
        <w:rPr>
          <w:rFonts w:ascii="仿宋_GB2312" w:eastAsia="仿宋_GB2312" w:hAnsi="Calibri"/>
          <w:sz w:val="32"/>
          <w:szCs w:val="32"/>
        </w:rPr>
        <w:t>4</w:t>
      </w:r>
      <w:r>
        <w:rPr>
          <w:rFonts w:ascii="仿宋_GB2312" w:eastAsia="仿宋_GB2312" w:hAnsi="Calibri" w:hint="eastAsia"/>
          <w:sz w:val="32"/>
          <w:szCs w:val="32"/>
        </w:rPr>
        <w:t>-</w:t>
      </w:r>
      <w:r>
        <w:rPr>
          <w:rFonts w:ascii="仿宋_GB2312" w:eastAsia="仿宋_GB2312" w:hAnsi="Calibri"/>
          <w:sz w:val="32"/>
          <w:szCs w:val="32"/>
        </w:rPr>
        <w:t>4901</w:t>
      </w:r>
      <w:r>
        <w:rPr>
          <w:rFonts w:ascii="仿宋_GB2312" w:eastAsia="仿宋_GB2312" w:hAnsi="Calibri" w:hint="eastAsia"/>
          <w:sz w:val="32"/>
          <w:szCs w:val="32"/>
        </w:rPr>
        <w:t>）</w:t>
      </w:r>
      <w:r>
        <w:rPr>
          <w:rFonts w:ascii="仿宋_GB2312" w:eastAsia="仿宋_GB2312" w:hAnsi="仿宋" w:hint="eastAsia"/>
          <w:sz w:val="32"/>
          <w:szCs w:val="32"/>
        </w:rPr>
        <w:t>已获批立项。主要起草人姓名及分工情况如下：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51"/>
        <w:gridCol w:w="1845"/>
        <w:gridCol w:w="2129"/>
        <w:gridCol w:w="2771"/>
      </w:tblGrid>
      <w:tr w:rsidR="00657B1F" w14:paraId="2EF342C5" w14:textId="77777777" w:rsidTr="00012BF0">
        <w:trPr>
          <w:trHeight w:val="450"/>
        </w:trPr>
        <w:tc>
          <w:tcPr>
            <w:tcW w:w="422" w:type="pct"/>
            <w:vAlign w:val="center"/>
          </w:tcPr>
          <w:p w14:paraId="04CA63F2" w14:textId="77777777" w:rsidR="00657B1F" w:rsidRDefault="007A06E5">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序号</w:t>
            </w:r>
          </w:p>
        </w:tc>
        <w:tc>
          <w:tcPr>
            <w:tcW w:w="513" w:type="pct"/>
            <w:vAlign w:val="center"/>
          </w:tcPr>
          <w:p w14:paraId="6368EF49" w14:textId="77777777" w:rsidR="00657B1F" w:rsidRDefault="007A06E5">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姓名</w:t>
            </w:r>
          </w:p>
        </w:tc>
        <w:tc>
          <w:tcPr>
            <w:tcW w:w="1112" w:type="pct"/>
            <w:vAlign w:val="center"/>
          </w:tcPr>
          <w:p w14:paraId="4BB0C273" w14:textId="77777777" w:rsidR="00657B1F" w:rsidRDefault="007A06E5">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工作单位</w:t>
            </w:r>
          </w:p>
        </w:tc>
        <w:tc>
          <w:tcPr>
            <w:tcW w:w="1283" w:type="pct"/>
            <w:vAlign w:val="center"/>
          </w:tcPr>
          <w:p w14:paraId="57208414" w14:textId="77777777" w:rsidR="00657B1F" w:rsidRDefault="007A06E5">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职务/职称</w:t>
            </w:r>
          </w:p>
        </w:tc>
        <w:tc>
          <w:tcPr>
            <w:tcW w:w="1670" w:type="pct"/>
            <w:vAlign w:val="center"/>
          </w:tcPr>
          <w:p w14:paraId="1577C5FD" w14:textId="77777777" w:rsidR="00657B1F" w:rsidRDefault="007A06E5">
            <w:pPr>
              <w:spacing w:after="0" w:line="240" w:lineRule="auto"/>
              <w:jc w:val="center"/>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责任分工</w:t>
            </w:r>
          </w:p>
        </w:tc>
      </w:tr>
      <w:tr w:rsidR="00657B1F" w14:paraId="1ABE29EE" w14:textId="77777777" w:rsidTr="00012BF0">
        <w:trPr>
          <w:trHeight w:val="450"/>
        </w:trPr>
        <w:tc>
          <w:tcPr>
            <w:tcW w:w="422" w:type="pct"/>
            <w:vAlign w:val="center"/>
          </w:tcPr>
          <w:p w14:paraId="45553A76"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71B091DD"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李荣</w:t>
            </w:r>
          </w:p>
        </w:tc>
        <w:tc>
          <w:tcPr>
            <w:tcW w:w="1112" w:type="pct"/>
            <w:vAlign w:val="center"/>
          </w:tcPr>
          <w:p w14:paraId="1DD8B2B0"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1D4BD6E4"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生殖中心主任/主任医师</w:t>
            </w:r>
          </w:p>
        </w:tc>
        <w:tc>
          <w:tcPr>
            <w:tcW w:w="1670" w:type="pct"/>
            <w:vAlign w:val="center"/>
          </w:tcPr>
          <w:p w14:paraId="017FB137"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统筹规范编制工作，组织人员进行规范发布后的宣贯培训</w:t>
            </w:r>
          </w:p>
        </w:tc>
      </w:tr>
      <w:tr w:rsidR="00657B1F" w14:paraId="472EFA4C" w14:textId="77777777" w:rsidTr="00012BF0">
        <w:trPr>
          <w:trHeight w:val="450"/>
        </w:trPr>
        <w:tc>
          <w:tcPr>
            <w:tcW w:w="422" w:type="pct"/>
            <w:vAlign w:val="center"/>
          </w:tcPr>
          <w:p w14:paraId="0C5B439E"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243DAD33"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黄柳静</w:t>
            </w:r>
          </w:p>
        </w:tc>
        <w:tc>
          <w:tcPr>
            <w:tcW w:w="1112" w:type="pct"/>
            <w:vAlign w:val="center"/>
          </w:tcPr>
          <w:p w14:paraId="6D2A4079"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08F85A55"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副主任医师</w:t>
            </w:r>
          </w:p>
        </w:tc>
        <w:tc>
          <w:tcPr>
            <w:tcW w:w="1670" w:type="pct"/>
            <w:vAlign w:val="center"/>
          </w:tcPr>
          <w:p w14:paraId="3AAE2E32"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01986E21" w14:textId="77777777" w:rsidTr="00012BF0">
        <w:trPr>
          <w:trHeight w:val="450"/>
        </w:trPr>
        <w:tc>
          <w:tcPr>
            <w:tcW w:w="422" w:type="pct"/>
            <w:vAlign w:val="center"/>
          </w:tcPr>
          <w:p w14:paraId="7045100C"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24857F6B"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史秋雯</w:t>
            </w:r>
          </w:p>
        </w:tc>
        <w:tc>
          <w:tcPr>
            <w:tcW w:w="1112" w:type="pct"/>
            <w:vAlign w:val="center"/>
          </w:tcPr>
          <w:p w14:paraId="3075E471"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35C9A236"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副主任医师</w:t>
            </w:r>
          </w:p>
        </w:tc>
        <w:tc>
          <w:tcPr>
            <w:tcW w:w="1670" w:type="pct"/>
            <w:vAlign w:val="center"/>
          </w:tcPr>
          <w:p w14:paraId="1360BF52"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1C674E45" w14:textId="77777777" w:rsidTr="00012BF0">
        <w:trPr>
          <w:trHeight w:val="90"/>
        </w:trPr>
        <w:tc>
          <w:tcPr>
            <w:tcW w:w="422" w:type="pct"/>
            <w:vAlign w:val="center"/>
          </w:tcPr>
          <w:p w14:paraId="4FC5AA73"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6D28DC09"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梁新红</w:t>
            </w:r>
          </w:p>
        </w:tc>
        <w:tc>
          <w:tcPr>
            <w:tcW w:w="1112" w:type="pct"/>
            <w:vAlign w:val="center"/>
          </w:tcPr>
          <w:p w14:paraId="538E3DE7"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12E9B1D8"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副主任医师</w:t>
            </w:r>
          </w:p>
        </w:tc>
        <w:tc>
          <w:tcPr>
            <w:tcW w:w="1670" w:type="pct"/>
            <w:vAlign w:val="center"/>
          </w:tcPr>
          <w:p w14:paraId="2A5866AA"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对规范实施情况进行总结分析，不断对规范提出修正意见</w:t>
            </w:r>
          </w:p>
        </w:tc>
      </w:tr>
      <w:tr w:rsidR="00657B1F" w14:paraId="06CE1836" w14:textId="77777777" w:rsidTr="00012BF0">
        <w:trPr>
          <w:trHeight w:val="450"/>
        </w:trPr>
        <w:tc>
          <w:tcPr>
            <w:tcW w:w="422" w:type="pct"/>
            <w:vAlign w:val="center"/>
          </w:tcPr>
          <w:p w14:paraId="42325D9F"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s="仿宋_GB2312"/>
                <w:color w:val="000000"/>
                <w:szCs w:val="21"/>
                <w:lang w:bidi="ar"/>
              </w:rPr>
            </w:pPr>
          </w:p>
        </w:tc>
        <w:tc>
          <w:tcPr>
            <w:tcW w:w="513" w:type="pct"/>
            <w:vAlign w:val="center"/>
          </w:tcPr>
          <w:p w14:paraId="213E6B37" w14:textId="77777777" w:rsidR="00657B1F" w:rsidRDefault="007A06E5">
            <w:pPr>
              <w:spacing w:after="0" w:line="240" w:lineRule="auto"/>
              <w:jc w:val="center"/>
              <w:rPr>
                <w:rFonts w:asciiTheme="minorEastAsia" w:eastAsiaTheme="minorEastAsia" w:hAnsiTheme="minorEastAsia" w:cs="仿宋_GB2312"/>
                <w:color w:val="000000"/>
                <w:szCs w:val="21"/>
              </w:rPr>
            </w:pPr>
            <w:r>
              <w:rPr>
                <w:rFonts w:asciiTheme="minorEastAsia" w:eastAsiaTheme="minorEastAsia" w:hAnsiTheme="minorEastAsia" w:cs="仿宋_GB2312"/>
                <w:color w:val="000000"/>
                <w:szCs w:val="21"/>
                <w:lang w:bidi="ar"/>
              </w:rPr>
              <w:t>羊海涛</w:t>
            </w:r>
          </w:p>
        </w:tc>
        <w:tc>
          <w:tcPr>
            <w:tcW w:w="1112" w:type="pct"/>
            <w:vAlign w:val="center"/>
          </w:tcPr>
          <w:p w14:paraId="72A3D746" w14:textId="77777777" w:rsidR="00657B1F" w:rsidRDefault="007A06E5">
            <w:pPr>
              <w:spacing w:after="0" w:line="240" w:lineRule="auto"/>
              <w:jc w:val="center"/>
              <w:rPr>
                <w:rFonts w:asciiTheme="minorEastAsia" w:eastAsiaTheme="minorEastAsia" w:hAnsiTheme="minorEastAsia" w:cs="仿宋_GB2312"/>
                <w:bCs/>
                <w:color w:val="000000"/>
                <w:szCs w:val="21"/>
                <w:lang w:bidi="ar"/>
              </w:rPr>
            </w:pPr>
            <w:r>
              <w:rPr>
                <w:rFonts w:asciiTheme="minorEastAsia" w:eastAsiaTheme="minorEastAsia" w:hAnsiTheme="minorEastAsia" w:cs="仿宋_GB2312"/>
                <w:bCs/>
                <w:color w:val="000000"/>
                <w:szCs w:val="21"/>
                <w:lang w:bidi="ar"/>
              </w:rPr>
              <w:t>南宁市第二人民医院</w:t>
            </w:r>
          </w:p>
        </w:tc>
        <w:tc>
          <w:tcPr>
            <w:tcW w:w="1283" w:type="pct"/>
            <w:vAlign w:val="center"/>
          </w:tcPr>
          <w:p w14:paraId="12867E69" w14:textId="77777777" w:rsidR="00657B1F" w:rsidRDefault="007A06E5">
            <w:pPr>
              <w:spacing w:after="0" w:line="240" w:lineRule="auto"/>
              <w:jc w:val="center"/>
              <w:rPr>
                <w:rFonts w:asciiTheme="minorEastAsia" w:eastAsiaTheme="minorEastAsia" w:hAnsiTheme="minorEastAsia" w:cs="仿宋_GB2312"/>
                <w:bCs/>
                <w:color w:val="000000"/>
                <w:szCs w:val="21"/>
              </w:rPr>
            </w:pPr>
            <w:r>
              <w:rPr>
                <w:rFonts w:asciiTheme="minorEastAsia" w:eastAsiaTheme="minorEastAsia" w:hAnsiTheme="minorEastAsia" w:cs="仿宋_GB2312"/>
                <w:bCs/>
                <w:color w:val="000000"/>
                <w:szCs w:val="21"/>
                <w:lang w:bidi="ar"/>
              </w:rPr>
              <w:t>副主任医师</w:t>
            </w:r>
          </w:p>
        </w:tc>
        <w:tc>
          <w:tcPr>
            <w:tcW w:w="1670" w:type="pct"/>
            <w:vAlign w:val="center"/>
          </w:tcPr>
          <w:p w14:paraId="4CAC3DDD"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cs="仿宋_GB2312"/>
                <w:bCs/>
                <w:color w:val="000000"/>
                <w:szCs w:val="21"/>
                <w:lang w:bidi="ar"/>
              </w:rPr>
              <w:t>负责起草规范草案，征求意见稿和规范编制说明</w:t>
            </w:r>
          </w:p>
        </w:tc>
      </w:tr>
      <w:tr w:rsidR="00657B1F" w14:paraId="3E1F5BE2" w14:textId="77777777" w:rsidTr="00012BF0">
        <w:trPr>
          <w:trHeight w:val="450"/>
        </w:trPr>
        <w:tc>
          <w:tcPr>
            <w:tcW w:w="422" w:type="pct"/>
            <w:vAlign w:val="center"/>
          </w:tcPr>
          <w:p w14:paraId="2B8389B0"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7045F602"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连若纯</w:t>
            </w:r>
          </w:p>
        </w:tc>
        <w:tc>
          <w:tcPr>
            <w:tcW w:w="1112" w:type="pct"/>
            <w:vAlign w:val="center"/>
          </w:tcPr>
          <w:p w14:paraId="46FB9919"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深圳中山妇产医院</w:t>
            </w:r>
          </w:p>
        </w:tc>
        <w:tc>
          <w:tcPr>
            <w:tcW w:w="1283" w:type="pct"/>
            <w:vAlign w:val="center"/>
          </w:tcPr>
          <w:p w14:paraId="3D2D1CFD"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生殖免疫科主任/副主任医师</w:t>
            </w:r>
          </w:p>
        </w:tc>
        <w:tc>
          <w:tcPr>
            <w:tcW w:w="1670" w:type="pct"/>
            <w:vAlign w:val="center"/>
          </w:tcPr>
          <w:p w14:paraId="06BDE5A3"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指导规范文本及编制说明编写，质量控制，组织人员进行规范发布后的宣贯培训</w:t>
            </w:r>
          </w:p>
        </w:tc>
      </w:tr>
      <w:tr w:rsidR="00657B1F" w14:paraId="0F3CE78A" w14:textId="77777777" w:rsidTr="00012BF0">
        <w:trPr>
          <w:trHeight w:val="450"/>
        </w:trPr>
        <w:tc>
          <w:tcPr>
            <w:tcW w:w="422" w:type="pct"/>
            <w:vAlign w:val="center"/>
          </w:tcPr>
          <w:p w14:paraId="5414B362"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39329EFA"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鲍时华</w:t>
            </w:r>
          </w:p>
        </w:tc>
        <w:tc>
          <w:tcPr>
            <w:tcW w:w="1112" w:type="pct"/>
            <w:vAlign w:val="center"/>
          </w:tcPr>
          <w:p w14:paraId="6609B7A2"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上海市第一妇婴保健院</w:t>
            </w:r>
          </w:p>
        </w:tc>
        <w:tc>
          <w:tcPr>
            <w:tcW w:w="1283" w:type="pct"/>
            <w:vAlign w:val="center"/>
          </w:tcPr>
          <w:p w14:paraId="1DD6A163"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生殖免疫科主任/主任医师</w:t>
            </w:r>
          </w:p>
        </w:tc>
        <w:tc>
          <w:tcPr>
            <w:tcW w:w="1670" w:type="pct"/>
            <w:vAlign w:val="center"/>
          </w:tcPr>
          <w:p w14:paraId="4DFA1D25"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指导规范文本及编制说明编写，质量控制，组织人员进行规范发布后的宣贯培训</w:t>
            </w:r>
          </w:p>
        </w:tc>
      </w:tr>
      <w:tr w:rsidR="00657B1F" w14:paraId="107D3F61" w14:textId="77777777" w:rsidTr="00012BF0">
        <w:trPr>
          <w:trHeight w:val="450"/>
        </w:trPr>
        <w:tc>
          <w:tcPr>
            <w:tcW w:w="422" w:type="pct"/>
            <w:vAlign w:val="center"/>
          </w:tcPr>
          <w:p w14:paraId="2E8B5D78"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338D913F"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姚军</w:t>
            </w:r>
          </w:p>
        </w:tc>
        <w:tc>
          <w:tcPr>
            <w:tcW w:w="1112" w:type="pct"/>
            <w:vAlign w:val="center"/>
          </w:tcPr>
          <w:p w14:paraId="5909F0C2"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桂林医学院附属医院</w:t>
            </w:r>
          </w:p>
        </w:tc>
        <w:tc>
          <w:tcPr>
            <w:tcW w:w="1283" w:type="pct"/>
            <w:vAlign w:val="center"/>
          </w:tcPr>
          <w:p w14:paraId="6D661844"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生殖中心主任/主任医师</w:t>
            </w:r>
          </w:p>
        </w:tc>
        <w:tc>
          <w:tcPr>
            <w:tcW w:w="1670" w:type="pct"/>
            <w:vAlign w:val="center"/>
          </w:tcPr>
          <w:p w14:paraId="00BDE816"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指导规范文本及编制说明编写，质量控制，组织人员进行规范发布后的宣贯培训</w:t>
            </w:r>
          </w:p>
        </w:tc>
      </w:tr>
      <w:tr w:rsidR="00657B1F" w14:paraId="174BCA5F" w14:textId="77777777" w:rsidTr="00012BF0">
        <w:trPr>
          <w:trHeight w:val="450"/>
        </w:trPr>
        <w:tc>
          <w:tcPr>
            <w:tcW w:w="422" w:type="pct"/>
            <w:vAlign w:val="center"/>
          </w:tcPr>
          <w:p w14:paraId="2FF5263C"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bCs/>
                <w:color w:val="000000"/>
                <w:szCs w:val="21"/>
              </w:rPr>
            </w:pPr>
          </w:p>
        </w:tc>
        <w:tc>
          <w:tcPr>
            <w:tcW w:w="513" w:type="pct"/>
            <w:vAlign w:val="center"/>
          </w:tcPr>
          <w:p w14:paraId="6AC8A166"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黄建春</w:t>
            </w:r>
          </w:p>
        </w:tc>
        <w:tc>
          <w:tcPr>
            <w:tcW w:w="1112" w:type="pct"/>
            <w:vAlign w:val="center"/>
          </w:tcPr>
          <w:p w14:paraId="2DE4C732"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3CBA9212"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产科主任/主任医师</w:t>
            </w:r>
          </w:p>
        </w:tc>
        <w:tc>
          <w:tcPr>
            <w:tcW w:w="1670" w:type="pct"/>
            <w:vAlign w:val="center"/>
          </w:tcPr>
          <w:p w14:paraId="5C828C43"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指导规范文本及编制说明编写，质量控制，组织人员进行规范发布后的宣贯培训</w:t>
            </w:r>
          </w:p>
        </w:tc>
      </w:tr>
      <w:tr w:rsidR="00657B1F" w14:paraId="614A41BE" w14:textId="77777777" w:rsidTr="00012BF0">
        <w:trPr>
          <w:trHeight w:val="450"/>
        </w:trPr>
        <w:tc>
          <w:tcPr>
            <w:tcW w:w="422" w:type="pct"/>
            <w:vAlign w:val="center"/>
          </w:tcPr>
          <w:p w14:paraId="519F64CB"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6AEAA81E"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李国华</w:t>
            </w:r>
          </w:p>
        </w:tc>
        <w:tc>
          <w:tcPr>
            <w:tcW w:w="1112" w:type="pct"/>
            <w:vAlign w:val="center"/>
          </w:tcPr>
          <w:p w14:paraId="47408813"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上海市第一妇婴保健院</w:t>
            </w:r>
          </w:p>
        </w:tc>
        <w:tc>
          <w:tcPr>
            <w:tcW w:w="1283" w:type="pct"/>
            <w:vAlign w:val="center"/>
          </w:tcPr>
          <w:p w14:paraId="11B12070"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副主任医师</w:t>
            </w:r>
          </w:p>
        </w:tc>
        <w:tc>
          <w:tcPr>
            <w:tcW w:w="1670" w:type="pct"/>
            <w:vAlign w:val="center"/>
          </w:tcPr>
          <w:p w14:paraId="533632DE"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w:t>
            </w:r>
          </w:p>
        </w:tc>
      </w:tr>
      <w:tr w:rsidR="00657B1F" w14:paraId="09EB6EC2" w14:textId="77777777" w:rsidTr="00012BF0">
        <w:trPr>
          <w:trHeight w:val="450"/>
        </w:trPr>
        <w:tc>
          <w:tcPr>
            <w:tcW w:w="422" w:type="pct"/>
            <w:vAlign w:val="center"/>
          </w:tcPr>
          <w:p w14:paraId="78C900B8"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522D85DC"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杨一华</w:t>
            </w:r>
          </w:p>
        </w:tc>
        <w:tc>
          <w:tcPr>
            <w:tcW w:w="1112" w:type="pct"/>
            <w:vAlign w:val="center"/>
          </w:tcPr>
          <w:p w14:paraId="37751BDE"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广西医科大学第一附属</w:t>
            </w:r>
          </w:p>
        </w:tc>
        <w:tc>
          <w:tcPr>
            <w:tcW w:w="1283" w:type="pct"/>
            <w:vAlign w:val="center"/>
          </w:tcPr>
          <w:p w14:paraId="22BAF069"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广西医科大学科研处副处长/主任医师</w:t>
            </w:r>
          </w:p>
        </w:tc>
        <w:tc>
          <w:tcPr>
            <w:tcW w:w="1670" w:type="pct"/>
            <w:vAlign w:val="center"/>
          </w:tcPr>
          <w:p w14:paraId="78A5C109"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指导规范文本及编制说明编写，质量控制，组织人员进行规范发布后的宣贯培训</w:t>
            </w:r>
          </w:p>
        </w:tc>
      </w:tr>
      <w:tr w:rsidR="00657B1F" w14:paraId="67979A27" w14:textId="77777777" w:rsidTr="00012BF0">
        <w:trPr>
          <w:trHeight w:val="450"/>
        </w:trPr>
        <w:tc>
          <w:tcPr>
            <w:tcW w:w="422" w:type="pct"/>
            <w:vAlign w:val="center"/>
          </w:tcPr>
          <w:p w14:paraId="2804BEF4"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s="仿宋_GB2312"/>
                <w:color w:val="000000"/>
                <w:szCs w:val="21"/>
                <w:lang w:bidi="ar"/>
              </w:rPr>
            </w:pPr>
          </w:p>
        </w:tc>
        <w:tc>
          <w:tcPr>
            <w:tcW w:w="513" w:type="pct"/>
            <w:vAlign w:val="center"/>
          </w:tcPr>
          <w:p w14:paraId="591E4C23" w14:textId="77777777" w:rsidR="00657B1F" w:rsidRDefault="007A06E5">
            <w:pPr>
              <w:spacing w:after="0" w:line="240" w:lineRule="auto"/>
              <w:jc w:val="center"/>
              <w:rPr>
                <w:rFonts w:asciiTheme="minorEastAsia" w:eastAsiaTheme="minorEastAsia" w:hAnsiTheme="minorEastAsia" w:cs="仿宋_GB2312"/>
                <w:color w:val="000000"/>
                <w:szCs w:val="21"/>
              </w:rPr>
            </w:pPr>
            <w:r>
              <w:rPr>
                <w:rFonts w:asciiTheme="minorEastAsia" w:eastAsiaTheme="minorEastAsia" w:hAnsiTheme="minorEastAsia" w:cs="仿宋_GB2312"/>
                <w:color w:val="000000"/>
                <w:szCs w:val="21"/>
                <w:lang w:bidi="ar"/>
              </w:rPr>
              <w:t>莫似恩</w:t>
            </w:r>
          </w:p>
        </w:tc>
        <w:tc>
          <w:tcPr>
            <w:tcW w:w="1112" w:type="pct"/>
            <w:vAlign w:val="center"/>
          </w:tcPr>
          <w:p w14:paraId="7A5BCF13" w14:textId="77777777" w:rsidR="00657B1F" w:rsidRDefault="007A06E5">
            <w:pPr>
              <w:spacing w:after="0" w:line="240" w:lineRule="auto"/>
              <w:jc w:val="center"/>
              <w:rPr>
                <w:rFonts w:asciiTheme="minorEastAsia" w:eastAsiaTheme="minorEastAsia" w:hAnsiTheme="minorEastAsia" w:cs="仿宋_GB2312"/>
                <w:bCs/>
                <w:color w:val="000000"/>
                <w:szCs w:val="21"/>
                <w:lang w:bidi="ar"/>
              </w:rPr>
            </w:pPr>
            <w:r>
              <w:rPr>
                <w:rFonts w:asciiTheme="minorEastAsia" w:eastAsiaTheme="minorEastAsia" w:hAnsiTheme="minorEastAsia" w:cs="仿宋_GB2312"/>
                <w:bCs/>
                <w:color w:val="000000"/>
                <w:szCs w:val="21"/>
                <w:lang w:bidi="ar"/>
              </w:rPr>
              <w:t>广西壮族自治区生殖医院</w:t>
            </w:r>
          </w:p>
        </w:tc>
        <w:tc>
          <w:tcPr>
            <w:tcW w:w="1283" w:type="pct"/>
            <w:vAlign w:val="center"/>
          </w:tcPr>
          <w:p w14:paraId="2F240F7A" w14:textId="77777777" w:rsidR="00657B1F" w:rsidRDefault="007A06E5">
            <w:pPr>
              <w:spacing w:after="0" w:line="240" w:lineRule="auto"/>
              <w:jc w:val="center"/>
              <w:rPr>
                <w:rFonts w:asciiTheme="minorEastAsia" w:eastAsiaTheme="minorEastAsia" w:hAnsiTheme="minorEastAsia" w:cs="仿宋_GB2312"/>
                <w:bCs/>
                <w:color w:val="000000"/>
                <w:szCs w:val="21"/>
              </w:rPr>
            </w:pPr>
            <w:r>
              <w:rPr>
                <w:rFonts w:asciiTheme="minorEastAsia" w:eastAsiaTheme="minorEastAsia" w:hAnsiTheme="minorEastAsia" w:cs="仿宋_GB2312"/>
                <w:bCs/>
                <w:color w:val="000000"/>
                <w:szCs w:val="21"/>
                <w:lang w:bidi="ar"/>
              </w:rPr>
              <w:t>生殖中心负责人</w:t>
            </w:r>
            <w:r>
              <w:rPr>
                <w:rFonts w:asciiTheme="minorEastAsia" w:eastAsiaTheme="minorEastAsia" w:hAnsiTheme="minorEastAsia" w:cs="仿宋_GB2312" w:hint="eastAsia"/>
                <w:bCs/>
                <w:color w:val="000000"/>
                <w:szCs w:val="21"/>
                <w:lang w:bidi="ar"/>
              </w:rPr>
              <w:t>/</w:t>
            </w:r>
            <w:r>
              <w:rPr>
                <w:rFonts w:asciiTheme="minorEastAsia" w:eastAsiaTheme="minorEastAsia" w:hAnsiTheme="minorEastAsia" w:cs="仿宋_GB2312"/>
                <w:bCs/>
                <w:color w:val="000000"/>
                <w:szCs w:val="21"/>
                <w:lang w:bidi="ar"/>
              </w:rPr>
              <w:t>主任医师</w:t>
            </w:r>
          </w:p>
        </w:tc>
        <w:tc>
          <w:tcPr>
            <w:tcW w:w="1670" w:type="pct"/>
            <w:vAlign w:val="center"/>
          </w:tcPr>
          <w:p w14:paraId="157293AA"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cs="仿宋_GB2312"/>
                <w:bCs/>
                <w:color w:val="000000"/>
                <w:szCs w:val="21"/>
                <w:lang w:bidi="ar"/>
              </w:rPr>
              <w:t>指导规范文本及编制说明编写，质量控制，组织人员进行规范发布后的宣贯培训</w:t>
            </w:r>
          </w:p>
        </w:tc>
      </w:tr>
      <w:tr w:rsidR="00657B1F" w14:paraId="40A48E4F" w14:textId="77777777" w:rsidTr="00012BF0">
        <w:trPr>
          <w:trHeight w:val="450"/>
        </w:trPr>
        <w:tc>
          <w:tcPr>
            <w:tcW w:w="422" w:type="pct"/>
            <w:vAlign w:val="center"/>
          </w:tcPr>
          <w:p w14:paraId="3E01A941"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60C6E958"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林蓉</w:t>
            </w:r>
          </w:p>
        </w:tc>
        <w:tc>
          <w:tcPr>
            <w:tcW w:w="1112" w:type="pct"/>
            <w:vAlign w:val="center"/>
          </w:tcPr>
          <w:p w14:paraId="49F2C0CA"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深圳中山妇产医院</w:t>
            </w:r>
          </w:p>
        </w:tc>
        <w:tc>
          <w:tcPr>
            <w:tcW w:w="1283" w:type="pct"/>
            <w:vAlign w:val="center"/>
          </w:tcPr>
          <w:p w14:paraId="00DAEDD6"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主治医师</w:t>
            </w:r>
          </w:p>
        </w:tc>
        <w:tc>
          <w:tcPr>
            <w:tcW w:w="1670" w:type="pct"/>
            <w:vAlign w:val="center"/>
          </w:tcPr>
          <w:p w14:paraId="69E2E628"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79BB4688" w14:textId="77777777" w:rsidTr="00012BF0">
        <w:trPr>
          <w:trHeight w:val="450"/>
        </w:trPr>
        <w:tc>
          <w:tcPr>
            <w:tcW w:w="422" w:type="pct"/>
            <w:vAlign w:val="center"/>
          </w:tcPr>
          <w:p w14:paraId="03F442B9"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4CB05466"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秦朗</w:t>
            </w:r>
          </w:p>
        </w:tc>
        <w:tc>
          <w:tcPr>
            <w:tcW w:w="1112" w:type="pct"/>
            <w:vAlign w:val="center"/>
          </w:tcPr>
          <w:p w14:paraId="23A2B8CE"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广西医科大学第一附属</w:t>
            </w:r>
          </w:p>
        </w:tc>
        <w:tc>
          <w:tcPr>
            <w:tcW w:w="1283" w:type="pct"/>
            <w:vAlign w:val="center"/>
          </w:tcPr>
          <w:p w14:paraId="349871F5"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主治医师</w:t>
            </w:r>
          </w:p>
        </w:tc>
        <w:tc>
          <w:tcPr>
            <w:tcW w:w="1670" w:type="pct"/>
            <w:vAlign w:val="center"/>
          </w:tcPr>
          <w:p w14:paraId="5758838B"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603B32A2" w14:textId="77777777" w:rsidTr="00012BF0">
        <w:trPr>
          <w:trHeight w:val="450"/>
        </w:trPr>
        <w:tc>
          <w:tcPr>
            <w:tcW w:w="422" w:type="pct"/>
            <w:vAlign w:val="center"/>
          </w:tcPr>
          <w:p w14:paraId="208DC3D9"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799F19CB"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李曼</w:t>
            </w:r>
          </w:p>
        </w:tc>
        <w:tc>
          <w:tcPr>
            <w:tcW w:w="1112" w:type="pct"/>
            <w:vAlign w:val="center"/>
          </w:tcPr>
          <w:p w14:paraId="67AD8943"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桂林医学院附属医院</w:t>
            </w:r>
          </w:p>
        </w:tc>
        <w:tc>
          <w:tcPr>
            <w:tcW w:w="1283" w:type="pct"/>
            <w:vAlign w:val="center"/>
          </w:tcPr>
          <w:p w14:paraId="0777CDBF"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副主任医师</w:t>
            </w:r>
          </w:p>
        </w:tc>
        <w:tc>
          <w:tcPr>
            <w:tcW w:w="1670" w:type="pct"/>
            <w:vAlign w:val="center"/>
          </w:tcPr>
          <w:p w14:paraId="1A1CDC46"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6B1F07B1" w14:textId="77777777" w:rsidTr="00012BF0">
        <w:trPr>
          <w:trHeight w:val="450"/>
        </w:trPr>
        <w:tc>
          <w:tcPr>
            <w:tcW w:w="422" w:type="pct"/>
            <w:vAlign w:val="center"/>
          </w:tcPr>
          <w:p w14:paraId="5A125C73"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0D717B53"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马文红</w:t>
            </w:r>
          </w:p>
        </w:tc>
        <w:tc>
          <w:tcPr>
            <w:tcW w:w="1112" w:type="pct"/>
            <w:vAlign w:val="center"/>
          </w:tcPr>
          <w:p w14:paraId="5594E6EF"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南宁市妇幼保健院</w:t>
            </w:r>
          </w:p>
        </w:tc>
        <w:tc>
          <w:tcPr>
            <w:tcW w:w="1283" w:type="pct"/>
            <w:vAlign w:val="center"/>
          </w:tcPr>
          <w:p w14:paraId="4C6C391D"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生殖中心主任/主任医师</w:t>
            </w:r>
          </w:p>
        </w:tc>
        <w:tc>
          <w:tcPr>
            <w:tcW w:w="1670" w:type="pct"/>
            <w:vAlign w:val="center"/>
          </w:tcPr>
          <w:p w14:paraId="6ED7E2A7"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指导规范文本及编制说明编写，质量控制，组织人员进行规范发布后的宣贯培训</w:t>
            </w:r>
          </w:p>
        </w:tc>
      </w:tr>
      <w:tr w:rsidR="00657B1F" w14:paraId="78385466" w14:textId="77777777" w:rsidTr="00012BF0">
        <w:trPr>
          <w:trHeight w:val="450"/>
        </w:trPr>
        <w:tc>
          <w:tcPr>
            <w:tcW w:w="422" w:type="pct"/>
            <w:vAlign w:val="center"/>
          </w:tcPr>
          <w:p w14:paraId="20770837"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s="仿宋_GB2312"/>
                <w:color w:val="000000"/>
                <w:szCs w:val="21"/>
                <w:lang w:bidi="ar"/>
              </w:rPr>
            </w:pPr>
          </w:p>
        </w:tc>
        <w:tc>
          <w:tcPr>
            <w:tcW w:w="513" w:type="pct"/>
            <w:vAlign w:val="center"/>
          </w:tcPr>
          <w:p w14:paraId="1182E3A6" w14:textId="77777777" w:rsidR="00657B1F" w:rsidRDefault="007A06E5">
            <w:pPr>
              <w:spacing w:after="0" w:line="240" w:lineRule="auto"/>
              <w:jc w:val="center"/>
              <w:rPr>
                <w:rFonts w:asciiTheme="minorEastAsia" w:eastAsiaTheme="minorEastAsia" w:hAnsiTheme="minorEastAsia" w:cs="仿宋_GB2312"/>
                <w:color w:val="000000"/>
                <w:szCs w:val="21"/>
              </w:rPr>
            </w:pPr>
            <w:r>
              <w:rPr>
                <w:rFonts w:asciiTheme="minorEastAsia" w:eastAsiaTheme="minorEastAsia" w:hAnsiTheme="minorEastAsia" w:cs="仿宋_GB2312"/>
                <w:color w:val="000000"/>
                <w:szCs w:val="21"/>
                <w:lang w:bidi="ar"/>
              </w:rPr>
              <w:t>黄卡立</w:t>
            </w:r>
          </w:p>
        </w:tc>
        <w:tc>
          <w:tcPr>
            <w:tcW w:w="1112" w:type="pct"/>
            <w:vAlign w:val="center"/>
          </w:tcPr>
          <w:p w14:paraId="65641D96" w14:textId="77777777" w:rsidR="00657B1F" w:rsidRDefault="007A06E5">
            <w:pPr>
              <w:spacing w:after="0" w:line="240" w:lineRule="auto"/>
              <w:jc w:val="center"/>
              <w:rPr>
                <w:rFonts w:asciiTheme="minorEastAsia" w:eastAsiaTheme="minorEastAsia" w:hAnsiTheme="minorEastAsia" w:cs="仿宋_GB2312"/>
                <w:bCs/>
                <w:color w:val="000000"/>
                <w:szCs w:val="21"/>
                <w:lang w:bidi="ar"/>
              </w:rPr>
            </w:pPr>
            <w:r>
              <w:rPr>
                <w:rFonts w:asciiTheme="minorEastAsia" w:eastAsiaTheme="minorEastAsia" w:hAnsiTheme="minorEastAsia" w:cs="仿宋_GB2312"/>
                <w:bCs/>
                <w:color w:val="000000"/>
                <w:szCs w:val="21"/>
                <w:lang w:bidi="ar"/>
              </w:rPr>
              <w:t>广西壮族自治区生殖医院</w:t>
            </w:r>
          </w:p>
        </w:tc>
        <w:tc>
          <w:tcPr>
            <w:tcW w:w="1283" w:type="pct"/>
            <w:vAlign w:val="center"/>
          </w:tcPr>
          <w:p w14:paraId="4CCFEBDE" w14:textId="77777777" w:rsidR="00657B1F" w:rsidRDefault="007A06E5">
            <w:pPr>
              <w:spacing w:after="0" w:line="240" w:lineRule="auto"/>
              <w:jc w:val="center"/>
              <w:rPr>
                <w:rFonts w:asciiTheme="minorEastAsia" w:eastAsiaTheme="minorEastAsia" w:hAnsiTheme="minorEastAsia" w:cs="仿宋_GB2312"/>
                <w:bCs/>
                <w:color w:val="000000"/>
                <w:szCs w:val="21"/>
              </w:rPr>
            </w:pPr>
            <w:r>
              <w:rPr>
                <w:rFonts w:asciiTheme="minorEastAsia" w:eastAsiaTheme="minorEastAsia" w:hAnsiTheme="minorEastAsia" w:cs="仿宋_GB2312"/>
                <w:bCs/>
                <w:color w:val="000000"/>
                <w:szCs w:val="21"/>
                <w:lang w:bidi="ar"/>
              </w:rPr>
              <w:t>生殖二科副主任</w:t>
            </w:r>
            <w:r>
              <w:rPr>
                <w:rFonts w:asciiTheme="minorEastAsia" w:eastAsiaTheme="minorEastAsia" w:hAnsiTheme="minorEastAsia" w:cs="仿宋_GB2312" w:hint="eastAsia"/>
                <w:bCs/>
                <w:color w:val="000000"/>
                <w:szCs w:val="21"/>
                <w:lang w:bidi="ar"/>
              </w:rPr>
              <w:t>/</w:t>
            </w:r>
            <w:r>
              <w:rPr>
                <w:rFonts w:asciiTheme="minorEastAsia" w:eastAsiaTheme="minorEastAsia" w:hAnsiTheme="minorEastAsia" w:cs="仿宋_GB2312"/>
                <w:bCs/>
                <w:color w:val="000000"/>
                <w:szCs w:val="21"/>
                <w:lang w:bidi="ar"/>
              </w:rPr>
              <w:t>主任医师</w:t>
            </w:r>
          </w:p>
        </w:tc>
        <w:tc>
          <w:tcPr>
            <w:tcW w:w="1670" w:type="pct"/>
            <w:vAlign w:val="center"/>
          </w:tcPr>
          <w:p w14:paraId="5F987E76"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60B99979" w14:textId="77777777" w:rsidTr="00012BF0">
        <w:trPr>
          <w:trHeight w:val="450"/>
        </w:trPr>
        <w:tc>
          <w:tcPr>
            <w:tcW w:w="422" w:type="pct"/>
            <w:vAlign w:val="center"/>
          </w:tcPr>
          <w:p w14:paraId="240ABD99"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4B1869D4"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王朝红</w:t>
            </w:r>
          </w:p>
        </w:tc>
        <w:tc>
          <w:tcPr>
            <w:tcW w:w="1112" w:type="pct"/>
            <w:vAlign w:val="center"/>
          </w:tcPr>
          <w:p w14:paraId="02A0BC4A"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6B64274A"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副主任医师</w:t>
            </w:r>
          </w:p>
        </w:tc>
        <w:tc>
          <w:tcPr>
            <w:tcW w:w="1670" w:type="pct"/>
            <w:vAlign w:val="center"/>
          </w:tcPr>
          <w:p w14:paraId="7C443BDD"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3436C513" w14:textId="77777777" w:rsidTr="00012BF0">
        <w:trPr>
          <w:trHeight w:val="450"/>
        </w:trPr>
        <w:tc>
          <w:tcPr>
            <w:tcW w:w="422" w:type="pct"/>
            <w:vAlign w:val="center"/>
          </w:tcPr>
          <w:p w14:paraId="4B41B177"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s="仿宋_GB2312"/>
                <w:bCs/>
                <w:color w:val="000000"/>
                <w:szCs w:val="21"/>
                <w:lang w:bidi="ar"/>
              </w:rPr>
            </w:pPr>
          </w:p>
        </w:tc>
        <w:tc>
          <w:tcPr>
            <w:tcW w:w="513" w:type="pct"/>
            <w:vAlign w:val="center"/>
          </w:tcPr>
          <w:p w14:paraId="3241FB65" w14:textId="77777777" w:rsidR="00657B1F" w:rsidRDefault="007A06E5">
            <w:pPr>
              <w:spacing w:after="0" w:line="240" w:lineRule="auto"/>
              <w:jc w:val="center"/>
              <w:rPr>
                <w:rFonts w:asciiTheme="minorEastAsia" w:eastAsiaTheme="minorEastAsia" w:hAnsiTheme="minorEastAsia" w:cs="仿宋_GB2312"/>
                <w:bCs/>
                <w:color w:val="000000"/>
                <w:szCs w:val="21"/>
              </w:rPr>
            </w:pPr>
            <w:r>
              <w:rPr>
                <w:rFonts w:asciiTheme="minorEastAsia" w:eastAsiaTheme="minorEastAsia" w:hAnsiTheme="minorEastAsia" w:cs="仿宋_GB2312"/>
                <w:bCs/>
                <w:color w:val="000000"/>
                <w:szCs w:val="21"/>
                <w:lang w:bidi="ar"/>
              </w:rPr>
              <w:t>刘莉丹</w:t>
            </w:r>
          </w:p>
        </w:tc>
        <w:tc>
          <w:tcPr>
            <w:tcW w:w="1112" w:type="pct"/>
            <w:vAlign w:val="center"/>
          </w:tcPr>
          <w:p w14:paraId="28563160" w14:textId="77777777" w:rsidR="00657B1F" w:rsidRDefault="007A06E5">
            <w:pPr>
              <w:spacing w:after="0" w:line="240" w:lineRule="auto"/>
              <w:jc w:val="center"/>
              <w:rPr>
                <w:rFonts w:asciiTheme="minorEastAsia" w:eastAsiaTheme="minorEastAsia" w:hAnsiTheme="minorEastAsia" w:cs="仿宋_GB2312"/>
                <w:bCs/>
                <w:color w:val="000000"/>
                <w:szCs w:val="21"/>
                <w:lang w:bidi="ar"/>
              </w:rPr>
            </w:pPr>
            <w:r>
              <w:rPr>
                <w:rFonts w:asciiTheme="minorEastAsia" w:eastAsiaTheme="minorEastAsia" w:hAnsiTheme="minorEastAsia" w:cs="仿宋_GB2312"/>
                <w:bCs/>
                <w:color w:val="000000"/>
                <w:szCs w:val="21"/>
                <w:lang w:bidi="ar"/>
              </w:rPr>
              <w:t>广西医科大学第一附属</w:t>
            </w:r>
          </w:p>
        </w:tc>
        <w:tc>
          <w:tcPr>
            <w:tcW w:w="1283" w:type="pct"/>
            <w:vAlign w:val="center"/>
          </w:tcPr>
          <w:p w14:paraId="0DB107FE" w14:textId="77777777" w:rsidR="00657B1F" w:rsidRDefault="007A06E5">
            <w:pPr>
              <w:spacing w:after="0" w:line="240" w:lineRule="auto"/>
              <w:jc w:val="center"/>
              <w:rPr>
                <w:rFonts w:asciiTheme="minorEastAsia" w:eastAsiaTheme="minorEastAsia" w:hAnsiTheme="minorEastAsia" w:cs="仿宋_GB2312"/>
                <w:bCs/>
                <w:color w:val="000000"/>
                <w:szCs w:val="21"/>
              </w:rPr>
            </w:pPr>
            <w:r>
              <w:rPr>
                <w:rFonts w:asciiTheme="minorEastAsia" w:eastAsiaTheme="minorEastAsia" w:hAnsiTheme="minorEastAsia" w:cs="仿宋_GB2312"/>
                <w:bCs/>
                <w:color w:val="000000"/>
                <w:szCs w:val="21"/>
                <w:lang w:bidi="ar"/>
              </w:rPr>
              <w:t>副主任医师</w:t>
            </w:r>
          </w:p>
        </w:tc>
        <w:tc>
          <w:tcPr>
            <w:tcW w:w="1670" w:type="pct"/>
            <w:vAlign w:val="center"/>
          </w:tcPr>
          <w:p w14:paraId="5B8C6620"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cs="仿宋_GB2312"/>
                <w:bCs/>
                <w:color w:val="000000"/>
                <w:szCs w:val="21"/>
                <w:lang w:bidi="ar"/>
              </w:rPr>
              <w:t>负责起草规范草案，征求意见稿和规范编制说明</w:t>
            </w:r>
          </w:p>
        </w:tc>
      </w:tr>
      <w:tr w:rsidR="00657B1F" w14:paraId="43DAA32A" w14:textId="77777777" w:rsidTr="00012BF0">
        <w:trPr>
          <w:trHeight w:val="643"/>
        </w:trPr>
        <w:tc>
          <w:tcPr>
            <w:tcW w:w="422" w:type="pct"/>
            <w:vAlign w:val="center"/>
          </w:tcPr>
          <w:p w14:paraId="34332F83"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2AB2849D"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黄琳</w:t>
            </w:r>
          </w:p>
        </w:tc>
        <w:tc>
          <w:tcPr>
            <w:tcW w:w="1112" w:type="pct"/>
            <w:vAlign w:val="center"/>
          </w:tcPr>
          <w:p w14:paraId="1D965494"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2B376791"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主治医师</w:t>
            </w:r>
          </w:p>
        </w:tc>
        <w:tc>
          <w:tcPr>
            <w:tcW w:w="1670" w:type="pct"/>
            <w:vAlign w:val="center"/>
          </w:tcPr>
          <w:p w14:paraId="078CE931"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r w:rsidR="00657B1F" w14:paraId="011B9427" w14:textId="77777777" w:rsidTr="00012BF0">
        <w:trPr>
          <w:trHeight w:val="450"/>
        </w:trPr>
        <w:tc>
          <w:tcPr>
            <w:tcW w:w="422" w:type="pct"/>
            <w:vAlign w:val="center"/>
          </w:tcPr>
          <w:p w14:paraId="35B25C19"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s="仿宋_GB2312"/>
                <w:color w:val="000000"/>
                <w:szCs w:val="21"/>
                <w:lang w:bidi="ar"/>
              </w:rPr>
            </w:pPr>
          </w:p>
        </w:tc>
        <w:tc>
          <w:tcPr>
            <w:tcW w:w="513" w:type="pct"/>
            <w:vAlign w:val="center"/>
          </w:tcPr>
          <w:p w14:paraId="1683FCC2" w14:textId="77777777" w:rsidR="00657B1F" w:rsidRDefault="007A06E5">
            <w:pPr>
              <w:spacing w:after="0" w:line="240" w:lineRule="auto"/>
              <w:jc w:val="center"/>
              <w:rPr>
                <w:rFonts w:asciiTheme="minorEastAsia" w:eastAsiaTheme="minorEastAsia" w:hAnsiTheme="minorEastAsia" w:cs="仿宋_GB2312"/>
                <w:color w:val="000000"/>
                <w:szCs w:val="21"/>
              </w:rPr>
            </w:pPr>
            <w:r>
              <w:rPr>
                <w:rFonts w:asciiTheme="minorEastAsia" w:eastAsiaTheme="minorEastAsia" w:hAnsiTheme="minorEastAsia" w:cs="仿宋_GB2312"/>
                <w:color w:val="000000"/>
                <w:szCs w:val="21"/>
                <w:lang w:bidi="ar"/>
              </w:rPr>
              <w:t>谭茁杰</w:t>
            </w:r>
          </w:p>
        </w:tc>
        <w:tc>
          <w:tcPr>
            <w:tcW w:w="1112" w:type="pct"/>
            <w:vAlign w:val="center"/>
          </w:tcPr>
          <w:p w14:paraId="60845180" w14:textId="77777777" w:rsidR="00657B1F" w:rsidRDefault="007A06E5">
            <w:pPr>
              <w:spacing w:after="0" w:line="240" w:lineRule="auto"/>
              <w:jc w:val="center"/>
              <w:rPr>
                <w:rFonts w:asciiTheme="minorEastAsia" w:eastAsiaTheme="minorEastAsia" w:hAnsiTheme="minorEastAsia" w:cs="仿宋_GB2312"/>
                <w:bCs/>
                <w:color w:val="000000"/>
                <w:szCs w:val="21"/>
                <w:lang w:bidi="ar"/>
              </w:rPr>
            </w:pPr>
            <w:r>
              <w:rPr>
                <w:rFonts w:asciiTheme="minorEastAsia" w:eastAsiaTheme="minorEastAsia" w:hAnsiTheme="minorEastAsia" w:cs="仿宋_GB2312"/>
                <w:bCs/>
                <w:color w:val="000000"/>
                <w:szCs w:val="21"/>
                <w:lang w:bidi="ar"/>
              </w:rPr>
              <w:t>南宁市第二人民医院</w:t>
            </w:r>
          </w:p>
        </w:tc>
        <w:tc>
          <w:tcPr>
            <w:tcW w:w="1283" w:type="pct"/>
            <w:vAlign w:val="center"/>
          </w:tcPr>
          <w:p w14:paraId="4F379016" w14:textId="77777777" w:rsidR="00657B1F" w:rsidRDefault="007A06E5">
            <w:pPr>
              <w:spacing w:after="0" w:line="240" w:lineRule="auto"/>
              <w:jc w:val="center"/>
              <w:rPr>
                <w:rFonts w:asciiTheme="minorEastAsia" w:eastAsiaTheme="minorEastAsia" w:hAnsiTheme="minorEastAsia" w:cs="仿宋_GB2312"/>
                <w:bCs/>
                <w:color w:val="000000"/>
                <w:szCs w:val="21"/>
              </w:rPr>
            </w:pPr>
            <w:r>
              <w:rPr>
                <w:rFonts w:asciiTheme="minorEastAsia" w:eastAsiaTheme="minorEastAsia" w:hAnsiTheme="minorEastAsia" w:cs="仿宋_GB2312"/>
                <w:bCs/>
                <w:color w:val="000000"/>
                <w:szCs w:val="21"/>
                <w:lang w:bidi="ar"/>
              </w:rPr>
              <w:t>主治医师</w:t>
            </w:r>
          </w:p>
        </w:tc>
        <w:tc>
          <w:tcPr>
            <w:tcW w:w="1670" w:type="pct"/>
            <w:vAlign w:val="center"/>
          </w:tcPr>
          <w:p w14:paraId="219F8E1C"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cs="仿宋_GB2312"/>
                <w:bCs/>
                <w:color w:val="000000"/>
                <w:szCs w:val="21"/>
                <w:lang w:bidi="ar"/>
              </w:rPr>
              <w:t>负责起草规范草案，征求意见稿和规范编制说明</w:t>
            </w:r>
          </w:p>
        </w:tc>
      </w:tr>
      <w:tr w:rsidR="00657B1F" w14:paraId="4A1DBA09" w14:textId="77777777" w:rsidTr="00012BF0">
        <w:trPr>
          <w:trHeight w:val="450"/>
        </w:trPr>
        <w:tc>
          <w:tcPr>
            <w:tcW w:w="422" w:type="pct"/>
            <w:vAlign w:val="center"/>
          </w:tcPr>
          <w:p w14:paraId="1A0F56B1"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597D7275"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黄颖</w:t>
            </w:r>
          </w:p>
        </w:tc>
        <w:tc>
          <w:tcPr>
            <w:tcW w:w="1112" w:type="pct"/>
            <w:vAlign w:val="center"/>
          </w:tcPr>
          <w:p w14:paraId="3C9CD3A6"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67706111"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主任医师</w:t>
            </w:r>
          </w:p>
        </w:tc>
        <w:tc>
          <w:tcPr>
            <w:tcW w:w="1670" w:type="pct"/>
            <w:vAlign w:val="center"/>
          </w:tcPr>
          <w:p w14:paraId="5D48BA3E"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指导规范文本及编制说明编写，质量控制</w:t>
            </w:r>
          </w:p>
        </w:tc>
      </w:tr>
      <w:tr w:rsidR="00657B1F" w14:paraId="6B0E3931" w14:textId="77777777" w:rsidTr="00012BF0">
        <w:trPr>
          <w:trHeight w:val="450"/>
        </w:trPr>
        <w:tc>
          <w:tcPr>
            <w:tcW w:w="422" w:type="pct"/>
            <w:vAlign w:val="center"/>
          </w:tcPr>
          <w:p w14:paraId="7176B91E"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72A8A988"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周玲</w:t>
            </w:r>
          </w:p>
        </w:tc>
        <w:tc>
          <w:tcPr>
            <w:tcW w:w="1112" w:type="pct"/>
            <w:vAlign w:val="center"/>
          </w:tcPr>
          <w:p w14:paraId="4B7CCD80"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南宁市第二人民医院</w:t>
            </w:r>
          </w:p>
        </w:tc>
        <w:tc>
          <w:tcPr>
            <w:tcW w:w="1283" w:type="pct"/>
            <w:vAlign w:val="center"/>
          </w:tcPr>
          <w:p w14:paraId="0DE49486"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生殖中心护长/副主任护师</w:t>
            </w:r>
          </w:p>
        </w:tc>
        <w:tc>
          <w:tcPr>
            <w:tcW w:w="1670" w:type="pct"/>
            <w:vAlign w:val="center"/>
          </w:tcPr>
          <w:p w14:paraId="1522972C"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负责组织人员起草规范草案，组织人员进行规范发布后的宣贯培训</w:t>
            </w:r>
          </w:p>
        </w:tc>
      </w:tr>
      <w:tr w:rsidR="00657B1F" w14:paraId="55093041" w14:textId="77777777" w:rsidTr="00012BF0">
        <w:trPr>
          <w:trHeight w:val="450"/>
        </w:trPr>
        <w:tc>
          <w:tcPr>
            <w:tcW w:w="422" w:type="pct"/>
            <w:vAlign w:val="center"/>
          </w:tcPr>
          <w:p w14:paraId="1BB4EE36" w14:textId="77777777" w:rsidR="00657B1F" w:rsidRDefault="00657B1F">
            <w:pPr>
              <w:pStyle w:val="aff7"/>
              <w:numPr>
                <w:ilvl w:val="0"/>
                <w:numId w:val="6"/>
              </w:numPr>
              <w:spacing w:after="0" w:line="240" w:lineRule="auto"/>
              <w:ind w:firstLineChars="0"/>
              <w:jc w:val="center"/>
              <w:rPr>
                <w:rFonts w:asciiTheme="minorEastAsia" w:eastAsiaTheme="minorEastAsia" w:hAnsiTheme="minorEastAsia"/>
                <w:color w:val="000000"/>
                <w:szCs w:val="21"/>
              </w:rPr>
            </w:pPr>
          </w:p>
        </w:tc>
        <w:tc>
          <w:tcPr>
            <w:tcW w:w="513" w:type="pct"/>
            <w:vAlign w:val="center"/>
          </w:tcPr>
          <w:p w14:paraId="07234631" w14:textId="77777777" w:rsidR="00657B1F" w:rsidRDefault="007A06E5">
            <w:pPr>
              <w:spacing w:after="0" w:line="240" w:lineRule="auto"/>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甘秋莹</w:t>
            </w:r>
          </w:p>
        </w:tc>
        <w:tc>
          <w:tcPr>
            <w:tcW w:w="1112" w:type="pct"/>
            <w:vAlign w:val="center"/>
          </w:tcPr>
          <w:p w14:paraId="6F487E98"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南宁市妇幼保健院</w:t>
            </w:r>
          </w:p>
        </w:tc>
        <w:tc>
          <w:tcPr>
            <w:tcW w:w="1283" w:type="pct"/>
            <w:vAlign w:val="center"/>
          </w:tcPr>
          <w:p w14:paraId="4B2D8148" w14:textId="77777777" w:rsidR="00657B1F" w:rsidRDefault="007A06E5">
            <w:pPr>
              <w:spacing w:after="0" w:line="240" w:lineRule="auto"/>
              <w:jc w:val="center"/>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主治医师</w:t>
            </w:r>
          </w:p>
        </w:tc>
        <w:tc>
          <w:tcPr>
            <w:tcW w:w="1670" w:type="pct"/>
            <w:vAlign w:val="center"/>
          </w:tcPr>
          <w:p w14:paraId="2BC58EEF" w14:textId="77777777" w:rsidR="00657B1F" w:rsidRDefault="007A06E5">
            <w:pPr>
              <w:spacing w:after="0" w:line="240" w:lineRule="auto"/>
              <w:ind w:firstLineChars="100" w:firstLine="210"/>
              <w:jc w:val="left"/>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负责起草规范草案，征求意见稿和规范编制说明</w:t>
            </w:r>
          </w:p>
        </w:tc>
      </w:tr>
    </w:tbl>
    <w:p w14:paraId="5C8D07C0" w14:textId="77777777" w:rsidR="00657B1F" w:rsidRDefault="007A06E5">
      <w:pPr>
        <w:spacing w:after="0" w:line="560" w:lineRule="exact"/>
        <w:ind w:firstLineChars="200" w:firstLine="640"/>
        <w:outlineLvl w:val="0"/>
        <w:rPr>
          <w:rFonts w:ascii="黑体" w:eastAsia="黑体" w:hAnsi="黑体" w:cs="仿宋_GB2312"/>
          <w:color w:val="FF0000"/>
          <w:sz w:val="32"/>
          <w:szCs w:val="32"/>
        </w:rPr>
      </w:pPr>
      <w:r>
        <w:rPr>
          <w:rFonts w:ascii="黑体" w:eastAsia="黑体" w:hAnsi="黑体" w:cs="仿宋_GB2312" w:hint="eastAsia"/>
          <w:sz w:val="32"/>
          <w:szCs w:val="32"/>
        </w:rPr>
        <w:t>二、制定标准的必要性和意义</w:t>
      </w:r>
    </w:p>
    <w:p w14:paraId="296F3E4C" w14:textId="77777777" w:rsidR="00657B1F" w:rsidRDefault="007A06E5">
      <w:pPr>
        <w:pStyle w:val="BodyText2"/>
        <w:spacing w:after="0" w:line="560" w:lineRule="exact"/>
        <w:ind w:firstLineChars="200" w:firstLine="640"/>
        <w:rPr>
          <w:rFonts w:ascii="仿宋_GB2312" w:eastAsia="仿宋_GB2312"/>
          <w:bCs/>
        </w:rPr>
      </w:pPr>
      <w:r>
        <w:rPr>
          <w:rFonts w:ascii="仿宋_GB2312" w:eastAsia="仿宋_GB2312" w:hint="eastAsia"/>
        </w:rPr>
        <w:t>妇女儿童健康是全民健康的基石，是衡量社会文明进步的标尺，是人类可持续发展的基础和前提。党和政府历来高</w:t>
      </w:r>
      <w:r>
        <w:rPr>
          <w:rFonts w:ascii="仿宋_GB2312" w:eastAsia="仿宋_GB2312" w:hint="eastAsia"/>
        </w:rPr>
        <w:lastRenderedPageBreak/>
        <w:t>度重视妇女儿童健康，将其作为保护妇女儿童权益，促进妇女儿童全面发展的重要基础性工作。2021年</w:t>
      </w:r>
      <w:r>
        <w:rPr>
          <w:rFonts w:ascii="仿宋_GB2312" w:eastAsia="仿宋_GB2312"/>
        </w:rPr>
        <w:t>，</w:t>
      </w:r>
      <w:r>
        <w:rPr>
          <w:rFonts w:ascii="仿宋_GB2312" w:eastAsia="仿宋_GB2312" w:hint="eastAsia"/>
        </w:rPr>
        <w:t>国务院印发</w:t>
      </w:r>
      <w:r>
        <w:rPr>
          <w:rFonts w:ascii="仿宋_GB2312" w:eastAsia="仿宋_GB2312"/>
          <w:bCs/>
        </w:rPr>
        <w:t>《中国妇女发展纲要(2021</w:t>
      </w:r>
      <w:r>
        <w:rPr>
          <w:rFonts w:ascii="仿宋_GB2312" w:eastAsia="仿宋_GB2312"/>
          <w:bCs/>
        </w:rPr>
        <w:t>—</w:t>
      </w:r>
      <w:r>
        <w:rPr>
          <w:rFonts w:ascii="仿宋_GB2312" w:eastAsia="仿宋_GB2312"/>
          <w:bCs/>
        </w:rPr>
        <w:t>2030)》</w:t>
      </w:r>
      <w:r>
        <w:rPr>
          <w:rFonts w:ascii="仿宋_GB2312" w:eastAsia="仿宋_GB2312" w:hint="eastAsia"/>
          <w:bCs/>
        </w:rPr>
        <w:t>，</w:t>
      </w:r>
      <w:r>
        <w:rPr>
          <w:rFonts w:ascii="仿宋_GB2312" w:eastAsia="仿宋_GB2312"/>
          <w:bCs/>
        </w:rPr>
        <w:t>明确主要目标</w:t>
      </w:r>
      <w:r>
        <w:rPr>
          <w:rFonts w:ascii="仿宋_GB2312" w:eastAsia="仿宋_GB2312" w:hint="eastAsia"/>
          <w:bCs/>
        </w:rPr>
        <w:t>之一</w:t>
      </w:r>
      <w:r>
        <w:rPr>
          <w:rFonts w:ascii="仿宋_GB2312" w:eastAsia="仿宋_GB2312"/>
          <w:bCs/>
        </w:rPr>
        <w:t>是要</w:t>
      </w:r>
      <w:r>
        <w:rPr>
          <w:rFonts w:ascii="仿宋_GB2312" w:eastAsia="仿宋_GB2312" w:hint="eastAsia"/>
        </w:rPr>
        <w:t>健全妇幼健康服务体系，提升妇幼健康服务能力，妇女健康水平不断提高。母婴安全</w:t>
      </w:r>
      <w:r>
        <w:rPr>
          <w:rFonts w:ascii="仿宋_GB2312" w:eastAsia="仿宋_GB2312"/>
        </w:rPr>
        <w:t>是</w:t>
      </w:r>
      <w:r>
        <w:rPr>
          <w:rFonts w:ascii="仿宋_GB2312" w:eastAsia="仿宋_GB2312" w:hint="eastAsia"/>
        </w:rPr>
        <w:t>优化生育政策促进人口长期均衡发展</w:t>
      </w:r>
      <w:r>
        <w:rPr>
          <w:rFonts w:ascii="仿宋_GB2312" w:eastAsia="仿宋_GB2312" w:hint="eastAsia"/>
          <w:bCs/>
        </w:rPr>
        <w:t>的关键</w:t>
      </w:r>
      <w:r>
        <w:rPr>
          <w:rFonts w:ascii="仿宋_GB2312" w:eastAsia="仿宋_GB2312"/>
          <w:bCs/>
        </w:rPr>
        <w:t>因素，</w:t>
      </w:r>
      <w:r>
        <w:rPr>
          <w:rFonts w:ascii="仿宋_GB2312" w:eastAsia="仿宋_GB2312" w:hint="eastAsia"/>
          <w:bCs/>
        </w:rPr>
        <w:t>为提高妇幼健康服务质量和水平，巩固强化母婴安全，保障实施优化生育政策，维护妇女儿童健康权益，《国家卫生健康委关于印发母婴安全行动提升计划（2021-2025年）的通知》（</w:t>
      </w:r>
      <w:r>
        <w:rPr>
          <w:rFonts w:ascii="仿宋_GB2312" w:eastAsia="仿宋_GB2312" w:hint="eastAsia"/>
        </w:rPr>
        <w:t>国卫妇幼发〔2021〕30号）</w:t>
      </w:r>
      <w:r>
        <w:rPr>
          <w:rFonts w:ascii="仿宋_GB2312" w:eastAsia="仿宋_GB2312" w:hint="eastAsia"/>
          <w:bCs/>
        </w:rPr>
        <w:t>，</w:t>
      </w:r>
      <w:r>
        <w:rPr>
          <w:rFonts w:ascii="仿宋_GB2312" w:eastAsia="仿宋_GB2312"/>
          <w:bCs/>
        </w:rPr>
        <w:t>明确</w:t>
      </w:r>
      <w:r>
        <w:rPr>
          <w:rFonts w:ascii="仿宋_GB2312" w:eastAsia="仿宋_GB2312" w:hint="eastAsia"/>
          <w:bCs/>
        </w:rPr>
        <w:t>行动内容包括</w:t>
      </w:r>
      <w:r>
        <w:rPr>
          <w:rFonts w:ascii="仿宋_GB2312" w:eastAsia="仿宋_GB2312"/>
          <w:bCs/>
        </w:rPr>
        <w:t>：</w:t>
      </w:r>
      <w:r>
        <w:rPr>
          <w:rFonts w:ascii="仿宋_GB2312" w:eastAsia="仿宋_GB2312" w:hint="eastAsia"/>
          <w:bCs/>
        </w:rPr>
        <w:t>妊娠风险防范水平提升，妇幼专科服务能力提升，危急重症救治水平提升，改善救治薄弱环节，规范开展孕产妇危急重症评审，开展从早孕建档到产后随访的全程分析，梳理各个环节存在的管理、技术问题，不断完善诊疗方案和管理制度。2022年</w:t>
      </w:r>
      <w:r>
        <w:rPr>
          <w:rFonts w:ascii="仿宋_GB2312" w:eastAsia="仿宋_GB2312"/>
          <w:bCs/>
        </w:rPr>
        <w:t>，</w:t>
      </w:r>
      <w:r>
        <w:rPr>
          <w:rFonts w:ascii="仿宋_GB2312" w:eastAsia="仿宋_GB2312" w:hint="eastAsia"/>
          <w:bCs/>
        </w:rPr>
        <w:t>《国家卫生健康委关于贯彻2021-2030年中国妇女儿童发展纲要的实施方案</w:t>
      </w:r>
      <w:r>
        <w:rPr>
          <w:rFonts w:ascii="仿宋_GB2312" w:eastAsia="仿宋_GB2312"/>
          <w:bCs/>
        </w:rPr>
        <w:t>》</w:t>
      </w:r>
      <w:r>
        <w:rPr>
          <w:rFonts w:ascii="仿宋_GB2312" w:eastAsia="仿宋_GB2312" w:hint="eastAsia"/>
          <w:bCs/>
        </w:rPr>
        <w:t>明确</w:t>
      </w:r>
      <w:r>
        <w:rPr>
          <w:rFonts w:ascii="仿宋_GB2312" w:eastAsia="仿宋_GB2312"/>
          <w:bCs/>
        </w:rPr>
        <w:t>主要任务之一是要</w:t>
      </w:r>
      <w:r>
        <w:rPr>
          <w:rFonts w:ascii="仿宋_GB2312" w:eastAsia="仿宋_GB2312" w:hint="eastAsia"/>
          <w:bCs/>
        </w:rPr>
        <w:t>持续保障母婴安全，建立完善女性全生命周期健康管理模式。同年</w:t>
      </w:r>
      <w:r>
        <w:rPr>
          <w:rFonts w:ascii="仿宋_GB2312" w:eastAsia="仿宋_GB2312"/>
          <w:bCs/>
        </w:rPr>
        <w:t>，</w:t>
      </w:r>
      <w:r>
        <w:rPr>
          <w:rFonts w:ascii="仿宋_GB2312" w:eastAsia="仿宋_GB2312" w:hint="eastAsia"/>
          <w:bCs/>
        </w:rPr>
        <w:t>《国务院办公厅关于印发“十四五”国民健康规划的通知》</w:t>
      </w:r>
      <w:r>
        <w:rPr>
          <w:rFonts w:ascii="仿宋_GB2312" w:eastAsia="仿宋_GB2312"/>
          <w:bCs/>
        </w:rPr>
        <w:t>（</w:t>
      </w:r>
      <w:r>
        <w:rPr>
          <w:rFonts w:ascii="仿宋_GB2312" w:eastAsia="仿宋_GB2312" w:hint="eastAsia"/>
          <w:bCs/>
        </w:rPr>
        <w:t>国办发〔2022〕11号），</w:t>
      </w:r>
      <w:r>
        <w:rPr>
          <w:rFonts w:ascii="仿宋_GB2312" w:eastAsia="仿宋_GB2312"/>
          <w:bCs/>
        </w:rPr>
        <w:t>明确</w:t>
      </w:r>
      <w:r>
        <w:rPr>
          <w:rFonts w:ascii="仿宋_GB2312" w:eastAsia="仿宋_GB2312" w:hint="eastAsia"/>
          <w:bCs/>
        </w:rPr>
        <w:t>要全周期保障人群健康，强调</w:t>
      </w:r>
      <w:r>
        <w:rPr>
          <w:rFonts w:ascii="仿宋_GB2312" w:eastAsia="仿宋_GB2312"/>
          <w:bCs/>
        </w:rPr>
        <w:t>要</w:t>
      </w:r>
      <w:r>
        <w:rPr>
          <w:rFonts w:ascii="仿宋_GB2312" w:eastAsia="仿宋_GB2312" w:hint="eastAsia"/>
          <w:bCs/>
        </w:rPr>
        <w:t>加强妇女健康服务，发展妇女保健特色专科，提高服务能力，针对青春期、育龄期、孕产期、更年期和老年期妇女的健康需求，提供女性内分泌调节、心理、营养等预防保健服务以及妇女常见疾病治疗等涵盖生理、心理和社会适应的整合型医疗保健服务，促进生殖健康服务。2024年</w:t>
      </w:r>
      <w:r>
        <w:rPr>
          <w:rFonts w:ascii="仿宋_GB2312" w:eastAsia="仿宋_GB2312"/>
          <w:bCs/>
        </w:rPr>
        <w:t>，</w:t>
      </w:r>
      <w:r>
        <w:rPr>
          <w:rFonts w:ascii="仿宋_GB2312" w:eastAsia="仿宋_GB2312" w:hint="eastAsia"/>
          <w:bCs/>
        </w:rPr>
        <w:t>全国妇幼健康工作会议在京召开，会议强调，要以妇女儿童</w:t>
      </w:r>
      <w:r>
        <w:rPr>
          <w:rFonts w:ascii="仿宋_GB2312" w:eastAsia="仿宋_GB2312" w:hint="eastAsia"/>
          <w:bCs/>
        </w:rPr>
        <w:lastRenderedPageBreak/>
        <w:t>健康为中心，以高质量发展为主题，巩固完善服务体系，围绕“妇女生命全周期、儿童生长全过程”拓展服务链条、深化服务内涵，提升服务能力和水平，加快推动妇幼健康事业高质量发展。</w:t>
      </w:r>
    </w:p>
    <w:p w14:paraId="2BB5B284" w14:textId="77777777" w:rsidR="00657B1F" w:rsidRDefault="007A06E5">
      <w:pPr>
        <w:pStyle w:val="BodyText2"/>
        <w:spacing w:after="0" w:line="560" w:lineRule="exact"/>
        <w:ind w:firstLineChars="200" w:firstLine="640"/>
        <w:rPr>
          <w:rFonts w:ascii="仿宋_GB2312" w:eastAsia="仿宋_GB2312"/>
        </w:rPr>
      </w:pPr>
      <w:r>
        <w:rPr>
          <w:rFonts w:ascii="仿宋_GB2312" w:eastAsia="仿宋_GB2312"/>
        </w:rPr>
        <w:t>复发性流产</w:t>
      </w:r>
      <w:r>
        <w:rPr>
          <w:rFonts w:ascii="仿宋_GB2312" w:eastAsia="仿宋_GB2312" w:hint="eastAsia"/>
        </w:rPr>
        <w:t>（recurrent spontaneous abortion,</w:t>
      </w:r>
      <w:r>
        <w:rPr>
          <w:rFonts w:ascii="仿宋_GB2312" w:eastAsia="仿宋_GB2312"/>
        </w:rPr>
        <w:t xml:space="preserve"> </w:t>
      </w:r>
      <w:r>
        <w:rPr>
          <w:rFonts w:ascii="仿宋_GB2312" w:eastAsia="仿宋_GB2312" w:hint="eastAsia"/>
        </w:rPr>
        <w:t>RSA）</w:t>
      </w:r>
      <w:r>
        <w:rPr>
          <w:rFonts w:ascii="仿宋_GB2312" w:eastAsia="仿宋_GB2312"/>
        </w:rPr>
        <w:t>是</w:t>
      </w:r>
      <w:r>
        <w:rPr>
          <w:rFonts w:ascii="仿宋_GB2312" w:eastAsia="仿宋_GB2312" w:hint="eastAsia"/>
        </w:rPr>
        <w:t>女性生殖健康领域的重要问题国际上对RSA的定义尚不统一，多结合本国家或本地区的经济情况及社会背景具体制定，即使是经济发达国家，对于RSA的定义也不尽相同。2012年美国生殖医学学会将复发性流产定义为2次或2次以上妊娠失败。2011年英国皇家妇产科医师协会则定义为与同一性伴侣连续发生3次或3次以上并于妊娠24周前的胎儿丢失。2017年欧洲人类生殖与胚胎学会（European Society of Human Reproduction and Embryology，ESHRE）指南将RSA定义为发生2次或2次以上妊娠24周前的妊娠丢失，且包含生化妊娠。根据2022年中华医学会妇产科学分会产科学组复发性流产诊治专家共识编写组编写的《复发性流产诊治专家共识》，建议将与同一配偶连续发生2 次及以上在妊娠28周之前的妊娠丢失定义为RSA，包括生化妊娠。生化妊娠则是指经医疗机构的血hCG检查明确的、但未能经超声或组织学检查确认的妊娠后流产。但大多数专家认为，连续发生2次流产即应重视并予评估，因其再次出现流产的风险与3次者相近。其发生率受多种因素影响，如年龄、遗传因素、解剖因素、内分泌因素、免疫因素、血栓前状态等。临床上自然流产的发生率为15％～25％，其中的80％以上为发生</w:t>
      </w:r>
      <w:r>
        <w:rPr>
          <w:rFonts w:ascii="仿宋_GB2312" w:eastAsia="仿宋_GB2312" w:hint="eastAsia"/>
        </w:rPr>
        <w:lastRenderedPageBreak/>
        <w:t>在妊娠12周前的早期流产。发生2次或2次以上流产的患者约占生育期妇女的5％，而3次或3次以上者约占1％。RSA的复发风险随着流产次数的增加而上升，研究表明，既往自然流产史是导致后续妊娠失败的独立危险因素，曾有3次以上连续自然流产史的患者再次妊娠后胚胎丢失率接近40％。</w:t>
      </w:r>
    </w:p>
    <w:p w14:paraId="748E41AD" w14:textId="77777777" w:rsidR="00657B1F" w:rsidRDefault="007A06E5">
      <w:pPr>
        <w:pStyle w:val="BodyText2"/>
        <w:spacing w:after="0" w:line="560" w:lineRule="exact"/>
        <w:ind w:firstLineChars="200" w:firstLine="640"/>
        <w:rPr>
          <w:rFonts w:ascii="仿宋_GB2312" w:eastAsia="仿宋_GB2312"/>
          <w:bCs/>
        </w:rPr>
      </w:pPr>
      <w:r>
        <w:rPr>
          <w:rFonts w:ascii="仿宋_GB2312" w:eastAsia="仿宋_GB2312" w:hint="eastAsia"/>
        </w:rPr>
        <w:t>RSA病因复杂多样且缺乏特异性临床表现，在病因诊断过程中需要针对性地进行一系列的筛查</w:t>
      </w:r>
      <w:r>
        <w:rPr>
          <w:rFonts w:ascii="仿宋_GB2312" w:eastAsia="仿宋_GB2312" w:hint="eastAsia"/>
          <w:bCs/>
        </w:rPr>
        <w:t>，通过全面的病因筛查、个体化的治疗方案、以及持续的监测和随访，可以显著提高复发性流产患者的妊娠成功率。同时，加强心理支持和健康教育也是不可忽视的重要环节。RSA的诊疗效果取决于病因筛查的准确性，而RSA病因复杂，涉及遗传科、内分泌科、风湿免疫科、血液科、营养科等等多个专科。明确病因，需从最简单的病史采集开始，结合体格检查和辅助检查，辅助检查项目繁多，解读困难。因此，制定复发性</w:t>
      </w:r>
      <w:r>
        <w:rPr>
          <w:rFonts w:ascii="仿宋_GB2312" w:eastAsia="仿宋_GB2312"/>
          <w:bCs/>
        </w:rPr>
        <w:t>流产诊疗</w:t>
      </w:r>
      <w:r>
        <w:rPr>
          <w:rFonts w:ascii="仿宋_GB2312" w:eastAsia="仿宋_GB2312" w:hint="eastAsia"/>
          <w:bCs/>
        </w:rPr>
        <w:t>规范，有助于规范临床医师对RSA的诊疗流程，提高RSA的诊治成功率，降低流产率，改善临床结局，减少反复流产给女性带来的身体损伤和心理创伤，有助于</w:t>
      </w:r>
      <w:r>
        <w:rPr>
          <w:rFonts w:ascii="仿宋_GB2312" w:eastAsia="仿宋_GB2312" w:hint="eastAsia"/>
        </w:rPr>
        <w:t>提高全社会妇幼健康水平</w:t>
      </w:r>
      <w:r>
        <w:rPr>
          <w:rFonts w:ascii="仿宋_GB2312" w:eastAsia="仿宋_GB2312" w:hint="eastAsia"/>
          <w:bCs/>
        </w:rPr>
        <w:t>。</w:t>
      </w:r>
    </w:p>
    <w:p w14:paraId="107A6DE1" w14:textId="77777777" w:rsidR="00657B1F" w:rsidRDefault="007A06E5">
      <w:pPr>
        <w:pStyle w:val="BodyText2"/>
        <w:spacing w:after="0" w:line="560" w:lineRule="exact"/>
        <w:ind w:firstLineChars="200" w:firstLine="640"/>
        <w:rPr>
          <w:rFonts w:ascii="仿宋_GB2312" w:eastAsia="仿宋_GB2312"/>
        </w:rPr>
      </w:pPr>
      <w:r>
        <w:rPr>
          <w:rFonts w:ascii="仿宋_GB2312" w:eastAsia="仿宋_GB2312" w:hint="eastAsia"/>
          <w:bCs/>
        </w:rPr>
        <w:t>目前广西可进行复发性流产诊疗的医院有400多家，</w:t>
      </w:r>
      <w:r>
        <w:rPr>
          <w:rFonts w:ascii="仿宋_GB2312" w:eastAsia="仿宋_GB2312" w:hint="eastAsia"/>
        </w:rPr>
        <w:t>自然流产的发生率为15％～25％，发生2次或2次以上流产的患者（RSA）约占生育期妇女的5％，</w:t>
      </w:r>
      <w:r>
        <w:rPr>
          <w:rFonts w:ascii="仿宋_GB2312" w:eastAsia="仿宋_GB2312" w:hint="eastAsia"/>
          <w:bCs/>
        </w:rPr>
        <w:t>近3年广西收治复发性</w:t>
      </w:r>
      <w:r>
        <w:rPr>
          <w:rFonts w:ascii="仿宋_GB2312" w:eastAsia="仿宋_GB2312"/>
          <w:bCs/>
        </w:rPr>
        <w:t>流产</w:t>
      </w:r>
      <w:r>
        <w:rPr>
          <w:rFonts w:ascii="仿宋_GB2312" w:eastAsia="仿宋_GB2312" w:hint="eastAsia"/>
          <w:bCs/>
        </w:rPr>
        <w:t>患者数以万计，</w:t>
      </w:r>
      <w:r>
        <w:rPr>
          <w:rFonts w:ascii="仿宋_GB2312" w:eastAsia="仿宋_GB2312" w:hint="eastAsia"/>
        </w:rPr>
        <w:t>给患者带来了巨大的身心创伤。通过病因筛查，综合治疗，RSA的治愈率可达90％。因此，亟需制</w:t>
      </w:r>
      <w:r>
        <w:rPr>
          <w:rFonts w:ascii="仿宋_GB2312" w:eastAsia="仿宋_GB2312" w:hint="eastAsia"/>
        </w:rPr>
        <w:lastRenderedPageBreak/>
        <w:t>定RSA诊疗规范指导临床工作。RSA诊疗规范的制定具有极大的临床意义和社会效益。</w:t>
      </w:r>
      <w:r>
        <w:rPr>
          <w:rFonts w:ascii="仿宋_GB2312" w:eastAsia="仿宋_GB2312" w:hint="eastAsia"/>
          <w:bCs/>
        </w:rPr>
        <w:t>为</w:t>
      </w:r>
      <w:r>
        <w:rPr>
          <w:rFonts w:ascii="仿宋_GB2312" w:eastAsia="仿宋_GB2312"/>
          <w:bCs/>
        </w:rPr>
        <w:t>满足</w:t>
      </w:r>
      <w:r>
        <w:rPr>
          <w:rFonts w:ascii="仿宋_GB2312" w:eastAsia="仿宋_GB2312" w:hint="eastAsia"/>
          <w:bCs/>
        </w:rPr>
        <w:t>复发性</w:t>
      </w:r>
      <w:r>
        <w:rPr>
          <w:rFonts w:ascii="仿宋_GB2312" w:eastAsia="仿宋_GB2312"/>
          <w:bCs/>
        </w:rPr>
        <w:t>流产患者</w:t>
      </w:r>
      <w:r>
        <w:rPr>
          <w:rFonts w:ascii="仿宋_GB2312" w:eastAsia="仿宋_GB2312" w:hint="eastAsia"/>
          <w:bCs/>
        </w:rPr>
        <w:t>及其家属</w:t>
      </w:r>
      <w:r>
        <w:rPr>
          <w:rFonts w:ascii="仿宋_GB2312" w:eastAsia="仿宋_GB2312"/>
          <w:bCs/>
        </w:rPr>
        <w:t>健康生育</w:t>
      </w:r>
      <w:r>
        <w:rPr>
          <w:rFonts w:ascii="仿宋_GB2312" w:eastAsia="仿宋_GB2312" w:hint="eastAsia"/>
          <w:bCs/>
        </w:rPr>
        <w:t>需求</w:t>
      </w:r>
      <w:r>
        <w:rPr>
          <w:rFonts w:ascii="仿宋_GB2312" w:eastAsia="仿宋_GB2312"/>
          <w:bCs/>
        </w:rPr>
        <w:t>，</w:t>
      </w:r>
      <w:r>
        <w:rPr>
          <w:rFonts w:ascii="仿宋_GB2312" w:eastAsia="仿宋_GB2312" w:hint="eastAsia"/>
          <w:bCs/>
        </w:rPr>
        <w:t>减少</w:t>
      </w:r>
      <w:r>
        <w:rPr>
          <w:rFonts w:ascii="仿宋_GB2312" w:eastAsia="仿宋_GB2312"/>
          <w:bCs/>
        </w:rPr>
        <w:t>患者</w:t>
      </w:r>
      <w:r>
        <w:rPr>
          <w:rFonts w:ascii="仿宋_GB2312" w:eastAsia="仿宋_GB2312" w:hint="eastAsia"/>
          <w:bCs/>
        </w:rPr>
        <w:t>及其家属恐慌、忧虑情绪</w:t>
      </w:r>
      <w:r>
        <w:rPr>
          <w:rFonts w:ascii="仿宋_GB2312" w:eastAsia="仿宋_GB2312"/>
          <w:bCs/>
        </w:rPr>
        <w:t>，提高</w:t>
      </w:r>
      <w:r>
        <w:rPr>
          <w:rFonts w:ascii="仿宋_GB2312" w:eastAsia="仿宋_GB2312" w:hint="eastAsia"/>
          <w:bCs/>
        </w:rPr>
        <w:t>其</w:t>
      </w:r>
      <w:r>
        <w:rPr>
          <w:rFonts w:ascii="仿宋_GB2312" w:eastAsia="仿宋_GB2312"/>
          <w:bCs/>
        </w:rPr>
        <w:t>满足感和</w:t>
      </w:r>
      <w:r>
        <w:rPr>
          <w:rFonts w:ascii="仿宋_GB2312" w:eastAsia="仿宋_GB2312" w:hint="eastAsia"/>
          <w:bCs/>
        </w:rPr>
        <w:t>幸福感，</w:t>
      </w:r>
      <w:r>
        <w:rPr>
          <w:rFonts w:ascii="仿宋_GB2312" w:eastAsia="仿宋_GB2312" w:hint="eastAsia"/>
        </w:rPr>
        <w:t>通过制定团体标准《复发性流产诊疗规范》，以标准为抓手，统一规范复发性流产诊疗要求，对提高复发性流产诊疗水平，推动妇幼健康事业高质量发展，不断提高妇幼健康服务水平具有</w:t>
      </w:r>
      <w:r>
        <w:rPr>
          <w:rFonts w:ascii="仿宋_GB2312" w:eastAsia="仿宋_GB2312"/>
        </w:rPr>
        <w:t>积极意义。</w:t>
      </w:r>
    </w:p>
    <w:p w14:paraId="43D61719" w14:textId="77777777" w:rsidR="00657B1F" w:rsidRDefault="007A06E5">
      <w:pPr>
        <w:spacing w:after="0"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三、项目编制过程</w:t>
      </w:r>
    </w:p>
    <w:p w14:paraId="0740E311" w14:textId="77777777" w:rsidR="00657B1F" w:rsidRDefault="007A06E5">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（一）成立标准编制组</w:t>
      </w:r>
    </w:p>
    <w:p w14:paraId="5F53B381"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复发性流产诊疗规范》项目任务下达后，由南宁市第二人民医院牵头组织成立了标准编制组，制定了标准编写方案，明确任务职责，确定工作技术路线，开展标准研制工作。具体编制工作由南宁市第二人民医院、深圳中山妇产医院、上海市第一妇婴保健院、桂林医学院附属医院、广西医科大学第一附属医院、广西壮族自治区生殖医院、南宁市妇幼保健院组成的标准编制组负责。编制组下设三个小组，分别是资料收集组、草案编写组、标准实施组。</w:t>
      </w:r>
    </w:p>
    <w:p w14:paraId="291A3BC6"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资料收集组：负责国内外关于复发性流产诊疗相关文献资料的查询、收集和整理工作，查阅现存关于相关研究以及国内相关标准的制定。</w:t>
      </w:r>
    </w:p>
    <w:p w14:paraId="6E73E196"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6EA21C58"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标准实施组：负责团体标准《复发性流产诊疗规范》标</w:t>
      </w:r>
      <w:r>
        <w:rPr>
          <w:rFonts w:ascii="仿宋_GB2312" w:eastAsia="仿宋_GB2312" w:hAnsi="宋体" w:hint="eastAsia"/>
          <w:sz w:val="32"/>
          <w:szCs w:val="32"/>
        </w:rPr>
        <w:lastRenderedPageBreak/>
        <w:t>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5C2648B0" w14:textId="77777777" w:rsidR="00657B1F" w:rsidRDefault="007A06E5">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（二）收集整理文献资料</w:t>
      </w:r>
    </w:p>
    <w:p w14:paraId="43BF775B"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通过资料收集组对文献资料的收集和整理，草案编写组主要参考了以下国内外相关的标准和期刊书籍：</w:t>
      </w:r>
    </w:p>
    <w:p w14:paraId="2352BBB9"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[1]  </w:t>
      </w:r>
      <w:r>
        <w:rPr>
          <w:rFonts w:ascii="仿宋_GB2312" w:eastAsia="仿宋_GB2312" w:hAnsi="仿宋_GB2312" w:cs="仿宋_GB2312" w:hint="eastAsia"/>
        </w:rPr>
        <w:t>中华医学会妇产科学分会产科学组</w:t>
      </w:r>
      <w:r>
        <w:rPr>
          <w:rFonts w:ascii="仿宋_GB2312" w:eastAsia="仿宋_GB2312" w:hAnsi="仿宋_GB2312" w:cs="仿宋_GB2312"/>
        </w:rPr>
        <w:t>.</w:t>
      </w:r>
      <w:r>
        <w:rPr>
          <w:rFonts w:ascii="仿宋_GB2312" w:eastAsia="仿宋_GB2312" w:hAnsi="仿宋_GB2312" w:cs="仿宋_GB2312" w:hint="eastAsia"/>
        </w:rPr>
        <w:t>复发性流产诊治的专家共识</w:t>
      </w:r>
      <w:r>
        <w:rPr>
          <w:rFonts w:ascii="仿宋_GB2312" w:eastAsia="仿宋_GB2312" w:hAnsi="仿宋_GB2312" w:cs="仿宋_GB2312"/>
        </w:rPr>
        <w:t>[J].</w:t>
      </w:r>
      <w:r>
        <w:rPr>
          <w:rFonts w:ascii="仿宋_GB2312" w:eastAsia="仿宋_GB2312" w:hAnsi="仿宋_GB2312" w:cs="仿宋_GB2312" w:hint="eastAsia"/>
        </w:rPr>
        <w:t>中华妇产科杂志</w:t>
      </w:r>
      <w:r>
        <w:rPr>
          <w:rFonts w:ascii="仿宋_GB2312" w:eastAsia="仿宋_GB2312" w:hAnsi="仿宋_GB2312" w:cs="仿宋_GB2312"/>
        </w:rPr>
        <w:t>,2016,51(1):3</w:t>
      </w:r>
      <w:r>
        <w:rPr>
          <w:rFonts w:ascii="Cambria Math" w:eastAsia="仿宋_GB2312" w:hAnsi="Cambria Math" w:cs="Cambria Math"/>
        </w:rPr>
        <w:t>‑</w:t>
      </w:r>
      <w:r>
        <w:rPr>
          <w:rFonts w:ascii="仿宋_GB2312" w:eastAsia="仿宋_GB2312" w:hAnsi="仿宋_GB2312" w:cs="仿宋_GB2312"/>
        </w:rPr>
        <w:t>9.</w:t>
      </w:r>
    </w:p>
    <w:p w14:paraId="37F85DA2"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[2]  </w:t>
      </w:r>
      <w:r>
        <w:rPr>
          <w:rFonts w:ascii="仿宋_GB2312" w:eastAsia="仿宋_GB2312" w:hAnsi="仿宋_GB2312" w:cs="仿宋_GB2312" w:hint="eastAsia"/>
        </w:rPr>
        <w:t>自然流产诊治中国专家共识编写组</w:t>
      </w:r>
      <w:r>
        <w:rPr>
          <w:rFonts w:ascii="仿宋_GB2312" w:eastAsia="仿宋_GB2312" w:hAnsi="仿宋_GB2312" w:cs="仿宋_GB2312"/>
        </w:rPr>
        <w:t>.</w:t>
      </w:r>
      <w:r>
        <w:rPr>
          <w:rFonts w:ascii="仿宋_GB2312" w:eastAsia="仿宋_GB2312" w:hAnsi="仿宋_GB2312" w:cs="仿宋_GB2312" w:hint="eastAsia"/>
        </w:rPr>
        <w:t>自然流产诊治中国专家共识</w:t>
      </w:r>
      <w:r>
        <w:rPr>
          <w:rFonts w:ascii="仿宋_GB2312" w:eastAsia="仿宋_GB2312" w:hAnsi="仿宋_GB2312" w:cs="仿宋_GB2312"/>
        </w:rPr>
        <w:t>(2020</w:t>
      </w:r>
      <w:r>
        <w:rPr>
          <w:rFonts w:ascii="仿宋_GB2312" w:eastAsia="仿宋_GB2312" w:hAnsi="仿宋_GB2312" w:cs="仿宋_GB2312" w:hint="eastAsia"/>
        </w:rPr>
        <w:t>年版</w:t>
      </w:r>
      <w:r>
        <w:rPr>
          <w:rFonts w:ascii="仿宋_GB2312" w:eastAsia="仿宋_GB2312" w:hAnsi="仿宋_GB2312" w:cs="仿宋_GB2312"/>
        </w:rPr>
        <w:t>)[J].</w:t>
      </w:r>
      <w:r>
        <w:rPr>
          <w:rFonts w:ascii="仿宋_GB2312" w:eastAsia="仿宋_GB2312" w:hAnsi="仿宋_GB2312" w:cs="仿宋_GB2312" w:hint="eastAsia"/>
        </w:rPr>
        <w:t>中国实用妇科与产科杂志</w:t>
      </w:r>
      <w:r>
        <w:rPr>
          <w:rFonts w:ascii="仿宋_GB2312" w:eastAsia="仿宋_GB2312" w:hAnsi="仿宋_GB2312" w:cs="仿宋_GB2312"/>
        </w:rPr>
        <w:t>,2020,36(11):1082</w:t>
      </w:r>
      <w:r>
        <w:rPr>
          <w:rFonts w:ascii="Cambria Math" w:eastAsia="仿宋_GB2312" w:hAnsi="Cambria Math" w:cs="Cambria Math"/>
        </w:rPr>
        <w:t>‑</w:t>
      </w:r>
      <w:r>
        <w:rPr>
          <w:rFonts w:ascii="仿宋_GB2312" w:eastAsia="仿宋_GB2312" w:hAnsi="仿宋_GB2312" w:cs="仿宋_GB2312"/>
        </w:rPr>
        <w:t>1090.</w:t>
      </w:r>
    </w:p>
    <w:p w14:paraId="4E2CD6E2"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[3]  中华医学会妇产科学分会产科学组,复发性流产诊治专家共识编写组.复发性流产诊治专家共识（2022）[J].中华妇产科杂志,2022,(第9期)：653-667.</w:t>
      </w:r>
    </w:p>
    <w:p w14:paraId="293C7D6F"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[4]  </w:t>
      </w:r>
      <w:r>
        <w:rPr>
          <w:rFonts w:ascii="仿宋_GB2312" w:eastAsia="仿宋_GB2312" w:hAnsi="仿宋_GB2312" w:cs="仿宋_GB2312" w:hint="eastAsia"/>
        </w:rPr>
        <w:t>低分子肝素防治自然流产中国专家共识编写组</w:t>
      </w:r>
      <w:r>
        <w:rPr>
          <w:rFonts w:ascii="仿宋_GB2312" w:eastAsia="仿宋_GB2312" w:hAnsi="仿宋_GB2312" w:cs="仿宋_GB2312"/>
        </w:rPr>
        <w:t>.</w:t>
      </w:r>
      <w:r>
        <w:rPr>
          <w:rFonts w:ascii="仿宋_GB2312" w:eastAsia="仿宋_GB2312" w:hAnsi="仿宋_GB2312" w:cs="仿宋_GB2312" w:hint="eastAsia"/>
        </w:rPr>
        <w:t>低分子肝素防治自然流产中国专家共识</w:t>
      </w:r>
      <w:r>
        <w:rPr>
          <w:rFonts w:ascii="仿宋_GB2312" w:eastAsia="仿宋_GB2312" w:hAnsi="仿宋_GB2312" w:cs="仿宋_GB2312"/>
        </w:rPr>
        <w:t>[J].</w:t>
      </w:r>
      <w:r>
        <w:rPr>
          <w:rFonts w:ascii="仿宋_GB2312" w:eastAsia="仿宋_GB2312" w:hAnsi="仿宋_GB2312" w:cs="仿宋_GB2312" w:hint="eastAsia"/>
        </w:rPr>
        <w:t>中华生殖与避孕杂志</w:t>
      </w:r>
      <w:r>
        <w:rPr>
          <w:rFonts w:ascii="仿宋_GB2312" w:eastAsia="仿宋_GB2312" w:hAnsi="仿宋_GB2312" w:cs="仿宋_GB2312"/>
        </w:rPr>
        <w:t>,2018,38(9):701</w:t>
      </w:r>
      <w:r>
        <w:rPr>
          <w:rFonts w:ascii="Cambria Math" w:eastAsia="仿宋_GB2312" w:hAnsi="Cambria Math" w:cs="Cambria Math"/>
        </w:rPr>
        <w:t>‑</w:t>
      </w:r>
      <w:r>
        <w:rPr>
          <w:rFonts w:ascii="仿宋_GB2312" w:eastAsia="仿宋_GB2312" w:hAnsi="仿宋_GB2312" w:cs="仿宋_GB2312"/>
        </w:rPr>
        <w:t>708.</w:t>
      </w:r>
    </w:p>
    <w:p w14:paraId="10A4E34B"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[5]  </w:t>
      </w:r>
      <w:r>
        <w:rPr>
          <w:rFonts w:ascii="仿宋_GB2312" w:eastAsia="仿宋_GB2312" w:hAnsi="仿宋_GB2312" w:cs="仿宋_GB2312" w:hint="eastAsia"/>
        </w:rPr>
        <w:t>中华医学会围产医学分会</w:t>
      </w:r>
      <w:r>
        <w:rPr>
          <w:rFonts w:ascii="仿宋_GB2312" w:eastAsia="仿宋_GB2312" w:hAnsi="仿宋_GB2312" w:cs="仿宋_GB2312"/>
        </w:rPr>
        <w:t>.</w:t>
      </w:r>
      <w:r>
        <w:rPr>
          <w:rFonts w:ascii="仿宋_GB2312" w:eastAsia="仿宋_GB2312" w:hAnsi="仿宋_GB2312" w:cs="仿宋_GB2312" w:hint="eastAsia"/>
        </w:rPr>
        <w:t>产科抗磷脂综合征诊断与处理专家共识</w:t>
      </w:r>
      <w:r>
        <w:rPr>
          <w:rFonts w:ascii="仿宋_GB2312" w:eastAsia="仿宋_GB2312" w:hAnsi="仿宋_GB2312" w:cs="仿宋_GB2312"/>
        </w:rPr>
        <w:t>[J].</w:t>
      </w:r>
      <w:r>
        <w:rPr>
          <w:rFonts w:ascii="仿宋_GB2312" w:eastAsia="仿宋_GB2312" w:hAnsi="仿宋_GB2312" w:cs="仿宋_GB2312" w:hint="eastAsia"/>
        </w:rPr>
        <w:t>中华围产医学杂志</w:t>
      </w:r>
      <w:r>
        <w:rPr>
          <w:rFonts w:ascii="仿宋_GB2312" w:eastAsia="仿宋_GB2312" w:hAnsi="仿宋_GB2312" w:cs="仿宋_GB2312"/>
        </w:rPr>
        <w:t>, 2020,23(8):517</w:t>
      </w:r>
      <w:r>
        <w:rPr>
          <w:rFonts w:ascii="Cambria Math" w:eastAsia="仿宋_GB2312" w:hAnsi="Cambria Math" w:cs="Cambria Math"/>
        </w:rPr>
        <w:t>‑</w:t>
      </w:r>
      <w:r>
        <w:rPr>
          <w:rFonts w:ascii="仿宋_GB2312" w:eastAsia="仿宋_GB2312" w:hAnsi="仿宋_GB2312" w:cs="仿宋_GB2312"/>
        </w:rPr>
        <w:t>522.</w:t>
      </w:r>
    </w:p>
    <w:p w14:paraId="20B0712A"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[6]  </w:t>
      </w:r>
      <w:r>
        <w:rPr>
          <w:rFonts w:ascii="仿宋_GB2312" w:eastAsia="仿宋_GB2312" w:hAnsi="仿宋_GB2312" w:cs="仿宋_GB2312" w:hint="eastAsia"/>
        </w:rPr>
        <w:t>复发性流产合并风湿免疫病免疫抑制剂应用中国专家共识编写组</w:t>
      </w:r>
      <w:r>
        <w:rPr>
          <w:rFonts w:ascii="仿宋_GB2312" w:eastAsia="仿宋_GB2312" w:hAnsi="仿宋_GB2312" w:cs="仿宋_GB2312"/>
        </w:rPr>
        <w:t>.</w:t>
      </w:r>
      <w:r>
        <w:rPr>
          <w:rFonts w:ascii="仿宋_GB2312" w:eastAsia="仿宋_GB2312" w:hAnsi="仿宋_GB2312" w:cs="仿宋_GB2312" w:hint="eastAsia"/>
        </w:rPr>
        <w:t>复发性流产合并风湿免疫病免疫抑制剂应用中国专家共识</w:t>
      </w:r>
      <w:r>
        <w:rPr>
          <w:rFonts w:ascii="仿宋_GB2312" w:eastAsia="仿宋_GB2312" w:hAnsi="仿宋_GB2312" w:cs="仿宋_GB2312"/>
        </w:rPr>
        <w:t>[J].</w:t>
      </w:r>
      <w:r>
        <w:rPr>
          <w:rFonts w:ascii="仿宋_GB2312" w:eastAsia="仿宋_GB2312" w:hAnsi="仿宋_GB2312" w:cs="仿宋_GB2312" w:hint="eastAsia"/>
        </w:rPr>
        <w:t>中华生殖与避孕杂志</w:t>
      </w:r>
      <w:r>
        <w:rPr>
          <w:rFonts w:ascii="仿宋_GB2312" w:eastAsia="仿宋_GB2312" w:hAnsi="仿宋_GB2312" w:cs="仿宋_GB2312"/>
        </w:rPr>
        <w:t>,2020,40(7):527</w:t>
      </w:r>
      <w:r>
        <w:rPr>
          <w:rFonts w:ascii="Cambria Math" w:eastAsia="仿宋_GB2312" w:hAnsi="Cambria Math" w:cs="Cambria Math"/>
        </w:rPr>
        <w:t>‑</w:t>
      </w:r>
      <w:r>
        <w:rPr>
          <w:rFonts w:ascii="仿宋_GB2312" w:eastAsia="仿宋_GB2312" w:hAnsi="仿宋_GB2312" w:cs="仿宋_GB2312"/>
        </w:rPr>
        <w:t>534.</w:t>
      </w:r>
    </w:p>
    <w:p w14:paraId="2BF22596"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lastRenderedPageBreak/>
        <w:t xml:space="preserve">[7]  </w:t>
      </w:r>
      <w:r>
        <w:rPr>
          <w:rFonts w:ascii="仿宋_GB2312" w:eastAsia="仿宋_GB2312" w:hAnsi="仿宋_GB2312" w:cs="仿宋_GB2312" w:hint="eastAsia"/>
        </w:rPr>
        <w:t>国家妇幼健康研究会生殖免疫学专业委员会专家共识编写组</w:t>
      </w:r>
      <w:r>
        <w:rPr>
          <w:rFonts w:ascii="仿宋_GB2312" w:eastAsia="仿宋_GB2312" w:hAnsi="仿宋_GB2312" w:cs="仿宋_GB2312"/>
        </w:rPr>
        <w:t>.</w:t>
      </w:r>
      <w:r>
        <w:rPr>
          <w:rFonts w:ascii="仿宋_GB2312" w:eastAsia="仿宋_GB2312" w:hAnsi="仿宋_GB2312" w:cs="仿宋_GB2312" w:hint="eastAsia"/>
        </w:rPr>
        <w:t>复发性流产合并血栓前状态诊治中国专家共识</w:t>
      </w:r>
      <w:r>
        <w:rPr>
          <w:rFonts w:ascii="仿宋_GB2312" w:eastAsia="仿宋_GB2312" w:hAnsi="仿宋_GB2312" w:cs="仿宋_GB2312"/>
        </w:rPr>
        <w:t>[J].</w:t>
      </w:r>
      <w:r>
        <w:rPr>
          <w:rFonts w:ascii="仿宋_GB2312" w:eastAsia="仿宋_GB2312" w:hAnsi="仿宋_GB2312" w:cs="仿宋_GB2312" w:hint="eastAsia"/>
        </w:rPr>
        <w:t>中华生殖与避孕杂志</w:t>
      </w:r>
      <w:r>
        <w:rPr>
          <w:rFonts w:ascii="仿宋_GB2312" w:eastAsia="仿宋_GB2312" w:hAnsi="仿宋_GB2312" w:cs="仿宋_GB2312"/>
        </w:rPr>
        <w:t>,2021,41(10):861</w:t>
      </w:r>
      <w:r>
        <w:rPr>
          <w:rFonts w:ascii="Cambria Math" w:eastAsia="仿宋_GB2312" w:hAnsi="Cambria Math" w:cs="Cambria Math"/>
        </w:rPr>
        <w:t>‑</w:t>
      </w:r>
      <w:r>
        <w:rPr>
          <w:rFonts w:ascii="仿宋_GB2312" w:eastAsia="仿宋_GB2312" w:hAnsi="仿宋_GB2312" w:cs="仿宋_GB2312"/>
        </w:rPr>
        <w:t>875.</w:t>
      </w:r>
    </w:p>
    <w:p w14:paraId="0398B05B"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[8]  </w:t>
      </w:r>
      <w:r>
        <w:rPr>
          <w:rFonts w:ascii="仿宋_GB2312" w:eastAsia="仿宋_GB2312" w:hAnsi="仿宋_GB2312" w:cs="仿宋_GB2312" w:hint="eastAsia"/>
        </w:rPr>
        <w:t>妊娠和产后甲状腺疾病诊治指南</w:t>
      </w:r>
      <w:r>
        <w:rPr>
          <w:rFonts w:ascii="仿宋_GB2312" w:eastAsia="仿宋_GB2312" w:hAnsi="仿宋_GB2312" w:cs="仿宋_GB2312"/>
        </w:rPr>
        <w:t>(</w:t>
      </w:r>
      <w:r>
        <w:rPr>
          <w:rFonts w:ascii="仿宋_GB2312" w:eastAsia="仿宋_GB2312" w:hAnsi="仿宋_GB2312" w:cs="仿宋_GB2312" w:hint="eastAsia"/>
        </w:rPr>
        <w:t>第</w:t>
      </w:r>
      <w:r>
        <w:rPr>
          <w:rFonts w:ascii="仿宋_GB2312" w:eastAsia="仿宋_GB2312" w:hAnsi="仿宋_GB2312" w:cs="仿宋_GB2312"/>
        </w:rPr>
        <w:t>2</w:t>
      </w:r>
      <w:r>
        <w:rPr>
          <w:rFonts w:ascii="仿宋_GB2312" w:eastAsia="仿宋_GB2312" w:hAnsi="仿宋_GB2312" w:cs="仿宋_GB2312" w:hint="eastAsia"/>
        </w:rPr>
        <w:t>版</w:t>
      </w:r>
      <w:r>
        <w:rPr>
          <w:rFonts w:ascii="仿宋_GB2312" w:eastAsia="仿宋_GB2312" w:hAnsi="仿宋_GB2312" w:cs="仿宋_GB2312"/>
        </w:rPr>
        <w:t>)</w:t>
      </w:r>
      <w:r>
        <w:rPr>
          <w:rFonts w:ascii="仿宋_GB2312" w:eastAsia="仿宋_GB2312" w:hAnsi="仿宋_GB2312" w:cs="仿宋_GB2312" w:hint="eastAsia"/>
        </w:rPr>
        <w:t>编撰委员会</w:t>
      </w:r>
      <w:r>
        <w:rPr>
          <w:rFonts w:ascii="仿宋_GB2312" w:eastAsia="仿宋_GB2312" w:hAnsi="仿宋_GB2312" w:cs="仿宋_GB2312"/>
        </w:rPr>
        <w:t>,</w:t>
      </w:r>
      <w:r>
        <w:rPr>
          <w:rFonts w:ascii="仿宋_GB2312" w:eastAsia="仿宋_GB2312" w:hAnsi="仿宋_GB2312" w:cs="仿宋_GB2312" w:hint="eastAsia"/>
        </w:rPr>
        <w:t>中华医学会内分泌学分会</w:t>
      </w:r>
      <w:r>
        <w:rPr>
          <w:rFonts w:ascii="仿宋_GB2312" w:eastAsia="仿宋_GB2312" w:hAnsi="仿宋_GB2312" w:cs="仿宋_GB2312"/>
        </w:rPr>
        <w:t>,</w:t>
      </w:r>
      <w:r>
        <w:rPr>
          <w:rFonts w:ascii="仿宋_GB2312" w:eastAsia="仿宋_GB2312" w:hAnsi="仿宋_GB2312" w:cs="仿宋_GB2312" w:hint="eastAsia"/>
        </w:rPr>
        <w:t>中华医学会围产医学分会</w:t>
      </w:r>
      <w:r>
        <w:rPr>
          <w:rFonts w:ascii="仿宋_GB2312" w:eastAsia="仿宋_GB2312" w:hAnsi="仿宋_GB2312" w:cs="仿宋_GB2312"/>
        </w:rPr>
        <w:t>.</w:t>
      </w:r>
      <w:r>
        <w:rPr>
          <w:rFonts w:ascii="仿宋_GB2312" w:eastAsia="仿宋_GB2312" w:hAnsi="仿宋_GB2312" w:cs="仿宋_GB2312" w:hint="eastAsia"/>
        </w:rPr>
        <w:t>妊娠和产后甲状腺疾病诊治指南</w:t>
      </w:r>
      <w:r>
        <w:rPr>
          <w:rFonts w:ascii="仿宋_GB2312" w:eastAsia="仿宋_GB2312" w:hAnsi="仿宋_GB2312" w:cs="仿宋_GB2312"/>
        </w:rPr>
        <w:t>(</w:t>
      </w:r>
      <w:r>
        <w:rPr>
          <w:rFonts w:ascii="仿宋_GB2312" w:eastAsia="仿宋_GB2312" w:hAnsi="仿宋_GB2312" w:cs="仿宋_GB2312" w:hint="eastAsia"/>
        </w:rPr>
        <w:t>第</w:t>
      </w:r>
      <w:r>
        <w:rPr>
          <w:rFonts w:ascii="仿宋_GB2312" w:eastAsia="仿宋_GB2312" w:hAnsi="仿宋_GB2312" w:cs="仿宋_GB2312"/>
        </w:rPr>
        <w:t>2</w:t>
      </w:r>
      <w:r>
        <w:rPr>
          <w:rFonts w:ascii="仿宋_GB2312" w:eastAsia="仿宋_GB2312" w:hAnsi="仿宋_GB2312" w:cs="仿宋_GB2312" w:hint="eastAsia"/>
        </w:rPr>
        <w:t>版</w:t>
      </w:r>
      <w:r>
        <w:rPr>
          <w:rFonts w:ascii="仿宋_GB2312" w:eastAsia="仿宋_GB2312" w:hAnsi="仿宋_GB2312" w:cs="仿宋_GB2312"/>
        </w:rPr>
        <w:t>)[J].</w:t>
      </w:r>
      <w:r>
        <w:rPr>
          <w:rFonts w:ascii="仿宋_GB2312" w:eastAsia="仿宋_GB2312" w:hAnsi="仿宋_GB2312" w:cs="仿宋_GB2312" w:hint="eastAsia"/>
        </w:rPr>
        <w:t>中华围产医学杂志</w:t>
      </w:r>
      <w:r>
        <w:rPr>
          <w:rFonts w:ascii="仿宋_GB2312" w:eastAsia="仿宋_GB2312" w:hAnsi="仿宋_GB2312" w:cs="仿宋_GB2312"/>
        </w:rPr>
        <w:t>,2019,22(8):505</w:t>
      </w:r>
      <w:r>
        <w:rPr>
          <w:rFonts w:ascii="Cambria Math" w:eastAsia="仿宋_GB2312" w:hAnsi="Cambria Math" w:cs="Cambria Math"/>
        </w:rPr>
        <w:t>‑</w:t>
      </w:r>
      <w:r>
        <w:rPr>
          <w:rFonts w:ascii="仿宋_GB2312" w:eastAsia="仿宋_GB2312" w:hAnsi="仿宋_GB2312" w:cs="仿宋_GB2312"/>
        </w:rPr>
        <w:t>539.</w:t>
      </w:r>
    </w:p>
    <w:p w14:paraId="13B243C4"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rPr>
        <w:t xml:space="preserve">[9]  </w:t>
      </w:r>
      <w:r>
        <w:rPr>
          <w:rFonts w:ascii="仿宋_GB2312" w:eastAsia="仿宋_GB2312" w:hAnsi="仿宋_GB2312" w:cs="仿宋_GB2312" w:hint="eastAsia"/>
        </w:rPr>
        <w:t>胚胎植入前遗传学诊断</w:t>
      </w:r>
      <w:r>
        <w:rPr>
          <w:rFonts w:ascii="仿宋_GB2312" w:eastAsia="仿宋_GB2312" w:hAnsi="仿宋_GB2312" w:cs="仿宋_GB2312"/>
        </w:rPr>
        <w:t>/</w:t>
      </w:r>
      <w:r>
        <w:rPr>
          <w:rFonts w:ascii="仿宋_GB2312" w:eastAsia="仿宋_GB2312" w:hAnsi="仿宋_GB2312" w:cs="仿宋_GB2312" w:hint="eastAsia"/>
        </w:rPr>
        <w:t>筛查专家共识编写组</w:t>
      </w:r>
      <w:r>
        <w:rPr>
          <w:rFonts w:ascii="仿宋_GB2312" w:eastAsia="仿宋_GB2312" w:hAnsi="仿宋_GB2312" w:cs="仿宋_GB2312"/>
        </w:rPr>
        <w:t>.</w:t>
      </w:r>
      <w:r>
        <w:rPr>
          <w:rFonts w:ascii="仿宋_GB2312" w:eastAsia="仿宋_GB2312" w:hAnsi="仿宋_GB2312" w:cs="仿宋_GB2312" w:hint="eastAsia"/>
        </w:rPr>
        <w:t>胚胎植入前遗传学诊断</w:t>
      </w:r>
      <w:r>
        <w:rPr>
          <w:rFonts w:ascii="仿宋_GB2312" w:eastAsia="仿宋_GB2312" w:hAnsi="仿宋_GB2312" w:cs="仿宋_GB2312"/>
        </w:rPr>
        <w:t>/</w:t>
      </w:r>
      <w:r>
        <w:rPr>
          <w:rFonts w:ascii="仿宋_GB2312" w:eastAsia="仿宋_GB2312" w:hAnsi="仿宋_GB2312" w:cs="仿宋_GB2312" w:hint="eastAsia"/>
        </w:rPr>
        <w:t>筛查技术专家共识</w:t>
      </w:r>
      <w:r>
        <w:rPr>
          <w:rFonts w:ascii="仿宋_GB2312" w:eastAsia="仿宋_GB2312" w:hAnsi="仿宋_GB2312" w:cs="仿宋_GB2312"/>
        </w:rPr>
        <w:t>[J].</w:t>
      </w:r>
      <w:r>
        <w:rPr>
          <w:rFonts w:ascii="仿宋_GB2312" w:eastAsia="仿宋_GB2312" w:hAnsi="仿宋_GB2312" w:cs="仿宋_GB2312" w:hint="eastAsia"/>
        </w:rPr>
        <w:t>中华医学遗传学杂志</w:t>
      </w:r>
      <w:r>
        <w:rPr>
          <w:rFonts w:ascii="仿宋_GB2312" w:eastAsia="仿宋_GB2312" w:hAnsi="仿宋_GB2312" w:cs="仿宋_GB2312"/>
        </w:rPr>
        <w:t>,2018,35(2):151</w:t>
      </w:r>
      <w:r>
        <w:rPr>
          <w:rFonts w:ascii="Cambria Math" w:eastAsia="仿宋_GB2312" w:hAnsi="Cambria Math" w:cs="Cambria Math"/>
        </w:rPr>
        <w:t>‑</w:t>
      </w:r>
      <w:r>
        <w:rPr>
          <w:rFonts w:ascii="仿宋_GB2312" w:eastAsia="仿宋_GB2312" w:hAnsi="仿宋_GB2312" w:cs="仿宋_GB2312"/>
        </w:rPr>
        <w:t>155.</w:t>
      </w:r>
    </w:p>
    <w:p w14:paraId="38DE6C3A"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[10]  常蕾,张颖,周艳,等.子宫颈机能不全临床诊治中国专家共识（2023年版）[J].中国实用妇科与产科杂志,2023,(第2期)：175-179.</w:t>
      </w:r>
    </w:p>
    <w:p w14:paraId="47EAC57C"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[11]  孔娟.高同型半胱氨酸血症诊疗专家共识[J].肿瘤代谢与营养电子杂志,2020,(第3期)：283-288.</w:t>
      </w:r>
    </w:p>
    <w:p w14:paraId="14A70CC7"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[12]  李东晓,张尧,张宏武,等.高同型半胱氨酸血症的诊断、治疗与预防专家共识[J].罕少疾病杂志,2022,(第6期)：1-4.</w:t>
      </w:r>
    </w:p>
    <w:p w14:paraId="67A1E2E4" w14:textId="77777777" w:rsidR="00657B1F" w:rsidRDefault="007A06E5">
      <w:pPr>
        <w:pStyle w:val="BodyText2"/>
        <w:spacing w:after="0" w:line="560" w:lineRule="exact"/>
        <w:ind w:firstLineChars="200" w:firstLine="640"/>
        <w:rPr>
          <w:rFonts w:ascii="仿宋_GB2312" w:eastAsia="仿宋_GB2312" w:hAnsi="仿宋_GB2312" w:cs="仿宋_GB2312"/>
        </w:rPr>
      </w:pPr>
      <w:r>
        <w:rPr>
          <w:rFonts w:ascii="仿宋_GB2312" w:eastAsia="仿宋_GB2312" w:hAnsi="仿宋_GB2312" w:cs="仿宋_GB2312" w:hint="eastAsia"/>
        </w:rPr>
        <w:t>[13]  妊娠和产后甲状腺疾病诊治指南（第2版）[J].中华围产医学杂志,2019,(第8期)：505-539.</w:t>
      </w:r>
    </w:p>
    <w:p w14:paraId="488A324C" w14:textId="77777777" w:rsidR="00657B1F" w:rsidRDefault="007A06E5">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、创新点及</w:t>
      </w:r>
      <w:r>
        <w:rPr>
          <w:rFonts w:ascii="楷体" w:eastAsia="楷体" w:hAnsi="楷体" w:cs="仿宋_GB2312" w:hint="eastAsia"/>
          <w:b/>
          <w:sz w:val="32"/>
          <w:szCs w:val="32"/>
        </w:rPr>
        <w:t>主体内容</w:t>
      </w:r>
    </w:p>
    <w:p w14:paraId="78B875E8"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标准编制组在对收集的资料进行整理研究之后，标准编制组召开了标准编制会议，对标准的整体框架结构进行了研究，并对标准的特色、创新点及关键性内容进行了初步探讨。</w:t>
      </w:r>
    </w:p>
    <w:p w14:paraId="57903F7D"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rPr>
        <w:lastRenderedPageBreak/>
        <w:t>经研究，本标准的特色、创新点确定为：1.系统化病史采集：细化复发性流产相关病史采集条目，形成条理化的评估体系，有效避免遗漏，显著提升病因诊断准确性。2.强调内分泌管理：明确内分泌因素的重要作用，提出"先调控、后备孕"的治疗原则，保障妊娠安全。如明确</w:t>
      </w:r>
      <w:r>
        <w:rPr>
          <w:rFonts w:ascii="仿宋_GB2312" w:eastAsia="仿宋_GB2312" w:hAnsi="宋体" w:hint="eastAsia"/>
          <w:lang w:val="en"/>
        </w:rPr>
        <w:t>通过内分泌因素检查，诊断为甲状腺功能减退时，明确补充甲状腺素，宜促甲状腺激素（TSH）＜2.5</w:t>
      </w:r>
      <w:r>
        <w:rPr>
          <w:rFonts w:ascii="仿宋_GB2312" w:eastAsia="仿宋_GB2312" w:hAnsi="宋体" w:hint="eastAsia"/>
          <w:vertAlign w:val="superscript"/>
          <w:lang w:val="en"/>
        </w:rPr>
        <w:t xml:space="preserve"> </w:t>
      </w:r>
      <w:r>
        <w:rPr>
          <w:rFonts w:ascii="仿宋_GB2312" w:eastAsia="仿宋_GB2312" w:hAnsi="宋体" w:hint="eastAsia"/>
          <w:lang w:val="en"/>
        </w:rPr>
        <w:t>mIU/L再备孕</w:t>
      </w:r>
      <w:r>
        <w:rPr>
          <w:rFonts w:ascii="仿宋_GB2312" w:eastAsia="仿宋_GB2312" w:hAnsi="宋体"/>
          <w:lang w:val="en"/>
        </w:rPr>
        <w:t>。甲状腺功能减退（甲减）患者因甲状腺素（T3/T4）缺乏导致全身代谢减缓，表现为排卵障碍、黄体功能不全及子宫内膜容受性下降，补充左甲状腺素（L-T4）可恢复卵巢-子宫轴的正常功能，提升受孕概率。</w:t>
      </w:r>
      <w:r>
        <w:rPr>
          <w:rFonts w:ascii="仿宋_GB2312" w:eastAsia="仿宋_GB2312" w:hAnsi="宋体" w:hint="eastAsia"/>
        </w:rPr>
        <w:t>3.精准分层治疗：针对血栓前状态及免疫因素制定个体化治疗方案，以应对复发性流产复杂的临床异质性。如明确通过血栓前状态检查，诊断为获得性PTS（APS和获得性高同型半胱氨酸血症（HHcy））时，进行LMWH、LDA的单药或联合治疗。LMWH、LDA的联合可同时干预凝血和血小板活化，显著降低APS患者胎盘梗死及胎儿生长受限（FGR）发生率。对于APS而言：抗磷脂抗体（aPLs）诱导的炎症反应和凝血激活是核心，需联合抗凝+抗血小板治疗以阻断抗体介导的胎盘损伤；对于HHcy而言：高同型半胱氨酸导致血管内皮损伤，需补充叶酸及维生素B12、维生素B6降低Hcy水平，同时抗凝治疗预防血栓形成。</w:t>
      </w:r>
    </w:p>
    <w:p w14:paraId="53E08224" w14:textId="22247535"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经过研究，标准的主体内容确定为术语和定义、诊断、治疗、随访与日常调护。</w:t>
      </w:r>
    </w:p>
    <w:p w14:paraId="6BB1274D" w14:textId="77777777" w:rsidR="000126AE" w:rsidRPr="000126AE" w:rsidRDefault="000126AE" w:rsidP="000126AE">
      <w:pPr>
        <w:pStyle w:val="BodyText2"/>
        <w:rPr>
          <w:rFonts w:hint="eastAsia"/>
        </w:rPr>
      </w:pPr>
    </w:p>
    <w:p w14:paraId="66ED6FD9" w14:textId="77777777" w:rsidR="00657B1F" w:rsidRDefault="007A06E5">
      <w:pPr>
        <w:spacing w:after="0" w:line="560" w:lineRule="exact"/>
        <w:ind w:firstLineChars="200" w:firstLine="643"/>
        <w:outlineLvl w:val="1"/>
        <w:rPr>
          <w:rFonts w:ascii="楷体" w:eastAsia="楷体" w:hAnsi="楷体" w:cs="仿宋_GB2312"/>
          <w:b/>
          <w:sz w:val="32"/>
          <w:szCs w:val="32"/>
        </w:rPr>
      </w:pPr>
      <w:r>
        <w:rPr>
          <w:rFonts w:ascii="楷体" w:eastAsia="楷体" w:hAnsi="楷体" w:cs="仿宋_GB2312" w:hint="eastAsia"/>
          <w:b/>
          <w:sz w:val="32"/>
          <w:szCs w:val="32"/>
        </w:rPr>
        <w:lastRenderedPageBreak/>
        <w:t>（四）调研，形成草案、征求意见稿</w:t>
      </w:r>
    </w:p>
    <w:p w14:paraId="3DE8D0B1" w14:textId="77777777" w:rsidR="00657B1F" w:rsidRDefault="007A06E5">
      <w:pPr>
        <w:spacing w:after="0" w:line="56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年1</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查阅了大量的国内外文献资料，对复发性流产诊疗的相关文件进行系统总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279AEF9E" w14:textId="77777777" w:rsidR="00657B1F" w:rsidRDefault="007A06E5">
      <w:pPr>
        <w:spacing w:after="0" w:line="560" w:lineRule="exact"/>
        <w:ind w:firstLineChars="200" w:firstLine="640"/>
        <w:rPr>
          <w:rFonts w:ascii="仿宋_GB2312" w:eastAsia="仿宋_GB2312" w:hAnsi="宋体"/>
          <w:color w:val="000000" w:themeColor="text1"/>
          <w:sz w:val="32"/>
          <w:szCs w:val="32"/>
        </w:rPr>
      </w:pPr>
      <w:bookmarkStart w:id="0" w:name="_Hlk132042443"/>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rPr>
        <w:t>4</w:t>
      </w:r>
      <w:r>
        <w:rPr>
          <w:rFonts w:ascii="仿宋_GB2312" w:eastAsia="仿宋_GB2312" w:hAnsi="宋体" w:hint="eastAsia"/>
          <w:color w:val="000000" w:themeColor="text1"/>
          <w:sz w:val="32"/>
          <w:szCs w:val="32"/>
        </w:rPr>
        <w:t>年</w:t>
      </w:r>
      <w:bookmarkEnd w:id="0"/>
      <w:r>
        <w:rPr>
          <w:rFonts w:ascii="仿宋_GB2312" w:eastAsia="仿宋_GB2312" w:hAnsi="宋体" w:hint="eastAsia"/>
          <w:color w:val="000000" w:themeColor="text1"/>
          <w:sz w:val="32"/>
          <w:szCs w:val="32"/>
        </w:rPr>
        <w:t>1月～2025年</w:t>
      </w:r>
      <w:r>
        <w:rPr>
          <w:rFonts w:ascii="仿宋_GB2312" w:eastAsia="仿宋_GB2312" w:hAnsi="宋体"/>
          <w:color w:val="000000" w:themeColor="text1"/>
          <w:sz w:val="32"/>
          <w:szCs w:val="32"/>
        </w:rPr>
        <w:t>2</w:t>
      </w:r>
      <w:r>
        <w:rPr>
          <w:rFonts w:ascii="仿宋_GB2312" w:eastAsia="仿宋_GB2312" w:hAnsi="宋体" w:hint="eastAsia"/>
          <w:color w:val="000000" w:themeColor="text1"/>
          <w:sz w:val="32"/>
          <w:szCs w:val="32"/>
        </w:rPr>
        <w:t>月，在前期工作的基础之上，通过理清逻辑脉络，整合已有参考资料中有关</w:t>
      </w:r>
      <w:r>
        <w:rPr>
          <w:rFonts w:ascii="仿宋_GB2312" w:eastAsia="仿宋_GB2312" w:hAnsi="宋体" w:hint="eastAsia"/>
          <w:sz w:val="32"/>
          <w:szCs w:val="32"/>
        </w:rPr>
        <w:t>复发性流产诊疗的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，并结合复发性流产诊疗实际要求的基础上，按照简化、统一等原则编制完成团体标准《复发性流产诊疗规范》（草案）。</w:t>
      </w:r>
    </w:p>
    <w:p w14:paraId="7DE747A7" w14:textId="77777777" w:rsidR="00657B1F" w:rsidRDefault="007A06E5">
      <w:pPr>
        <w:spacing w:after="0" w:line="560" w:lineRule="exact"/>
        <w:ind w:firstLineChars="200" w:firstLine="640"/>
        <w:rPr>
          <w:rFonts w:ascii="仿宋_GB2312" w:eastAsia="仿宋_GB2312" w:hAnsi="仿宋"/>
          <w:sz w:val="32"/>
          <w:szCs w:val="32"/>
        </w:rPr>
      </w:pPr>
      <w:r>
        <w:rPr>
          <w:rFonts w:ascii="仿宋_GB2312" w:eastAsia="仿宋_GB2312" w:hAnsi="宋体" w:hint="eastAsia"/>
          <w:color w:val="000000" w:themeColor="text1"/>
          <w:sz w:val="32"/>
          <w:szCs w:val="32"/>
        </w:rPr>
        <w:t>202</w:t>
      </w:r>
      <w:r>
        <w:rPr>
          <w:rFonts w:ascii="仿宋_GB2312" w:eastAsia="仿宋_GB2312" w:hAnsi="宋体"/>
          <w:color w:val="000000" w:themeColor="text1"/>
          <w:sz w:val="32"/>
          <w:szCs w:val="32"/>
          <w:lang w:val="en"/>
        </w:rPr>
        <w:t>5</w:t>
      </w:r>
      <w:r>
        <w:rPr>
          <w:rFonts w:ascii="仿宋_GB2312" w:eastAsia="仿宋_GB2312" w:hAnsi="宋体" w:hint="eastAsia"/>
          <w:color w:val="000000" w:themeColor="text1"/>
          <w:sz w:val="32"/>
          <w:szCs w:val="32"/>
        </w:rPr>
        <w:t>年</w:t>
      </w:r>
      <w:r>
        <w:rPr>
          <w:rFonts w:ascii="仿宋_GB2312" w:eastAsia="仿宋_GB2312" w:hAnsi="宋体"/>
          <w:color w:val="000000" w:themeColor="text1"/>
          <w:sz w:val="32"/>
          <w:szCs w:val="32"/>
          <w:lang w:val="en"/>
        </w:rPr>
        <w:t>3</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lang w:val="en"/>
        </w:rPr>
        <w:t>4</w:t>
      </w:r>
      <w:r>
        <w:rPr>
          <w:rFonts w:ascii="仿宋_GB2312" w:eastAsia="仿宋_GB2312" w:hAnsi="宋体" w:hint="eastAsia"/>
          <w:color w:val="000000" w:themeColor="text1"/>
          <w:sz w:val="32"/>
          <w:szCs w:val="32"/>
        </w:rPr>
        <w:t>月，标准编制组</w:t>
      </w:r>
      <w:r>
        <w:rPr>
          <w:rFonts w:ascii="仿宋_GB2312" w:eastAsia="仿宋_GB2312" w:hAnsi="仿宋" w:hint="eastAsia"/>
          <w:sz w:val="32"/>
          <w:szCs w:val="32"/>
        </w:rPr>
        <w:t>组织深圳中山妇产医院、上海市第一妇婴保健院、桂林医学院附属医院、广西医科大学第一附属医院、广西壮族自治区生殖医院、南宁市妇幼保健院等</w:t>
      </w:r>
      <w:r>
        <w:rPr>
          <w:rFonts w:ascii="仿宋_GB2312" w:eastAsia="仿宋_GB2312" w:hAnsi="仿宋"/>
          <w:sz w:val="32"/>
          <w:szCs w:val="32"/>
        </w:rPr>
        <w:t>单位</w:t>
      </w:r>
      <w:r>
        <w:rPr>
          <w:rFonts w:ascii="仿宋_GB2312" w:eastAsia="仿宋_GB2312" w:hAnsi="仿宋" w:hint="eastAsia"/>
          <w:sz w:val="32"/>
          <w:szCs w:val="32"/>
        </w:rPr>
        <w:t>召开标准研讨会，收集反馈了大量意见，掌握</w:t>
      </w:r>
      <w:r>
        <w:rPr>
          <w:rFonts w:ascii="仿宋_GB2312" w:eastAsia="仿宋_GB2312" w:hAnsi="宋体" w:hint="eastAsia"/>
          <w:sz w:val="32"/>
          <w:szCs w:val="32"/>
        </w:rPr>
        <w:t>复发性流产诊疗</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团体标准《复发性流产诊疗规范》</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1" w:name="_Hlk137230187"/>
    </w:p>
    <w:p w14:paraId="2CB4C7E8" w14:textId="77777777" w:rsidR="00657B1F" w:rsidRDefault="007A06E5">
      <w:pPr>
        <w:spacing w:after="0" w:line="560" w:lineRule="exact"/>
        <w:ind w:firstLineChars="200" w:firstLine="640"/>
        <w:outlineLvl w:val="0"/>
        <w:rPr>
          <w:rFonts w:ascii="黑体" w:eastAsia="黑体" w:hAnsi="黑体" w:cs="仿宋_GB2312"/>
          <w:sz w:val="32"/>
          <w:szCs w:val="32"/>
        </w:rPr>
      </w:pPr>
      <w:bookmarkStart w:id="2" w:name="_Toc526940083"/>
      <w:bookmarkEnd w:id="1"/>
      <w:r>
        <w:rPr>
          <w:rFonts w:ascii="黑体" w:eastAsia="黑体" w:hAnsi="黑体" w:cs="仿宋_GB2312" w:hint="eastAsia"/>
          <w:sz w:val="32"/>
          <w:szCs w:val="32"/>
        </w:rPr>
        <w:t>四、</w:t>
      </w:r>
      <w:bookmarkEnd w:id="2"/>
      <w:r>
        <w:rPr>
          <w:rFonts w:ascii="黑体" w:eastAsia="黑体" w:hAnsi="黑体" w:cs="仿宋_GB2312" w:hint="eastAsia"/>
          <w:sz w:val="32"/>
          <w:szCs w:val="32"/>
        </w:rPr>
        <w:t>制定标准的原则和依据，与现行法律、法规的关系，与有关国家标准、行业标准的协调情况</w:t>
      </w:r>
    </w:p>
    <w:p w14:paraId="2E65DB09" w14:textId="77777777" w:rsidR="00657B1F" w:rsidRDefault="007A06E5">
      <w:pPr>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w:t>
      </w:r>
      <w:r>
        <w:rPr>
          <w:rFonts w:ascii="楷体" w:eastAsia="楷体" w:hAnsi="楷体" w:cs="仿宋_GB2312" w:hint="eastAsia"/>
          <w:b/>
          <w:sz w:val="32"/>
          <w:szCs w:val="32"/>
        </w:rPr>
        <w:t>原则</w:t>
      </w:r>
    </w:p>
    <w:p w14:paraId="1490B440" w14:textId="77777777" w:rsidR="00657B1F" w:rsidRDefault="007A06E5">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1.实用性原则</w:t>
      </w:r>
    </w:p>
    <w:p w14:paraId="0E5FB5C6"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本文件是在充分收集相关资料，分析当前现状、调研的实际情况，在现有文献中参考与复发性流产诊疗相关内容的基础上，结合多年经验而总结起草的。符合当前复发性流产</w:t>
      </w:r>
      <w:r>
        <w:rPr>
          <w:rFonts w:ascii="仿宋_GB2312" w:eastAsia="仿宋_GB2312" w:hAnsi="宋体" w:hint="eastAsia"/>
          <w:sz w:val="32"/>
          <w:szCs w:val="32"/>
        </w:rPr>
        <w:lastRenderedPageBreak/>
        <w:t>诊疗的需要，有利于行业的长远发展，具有较强的实用性和可操作性。</w:t>
      </w:r>
    </w:p>
    <w:p w14:paraId="08CD1B17" w14:textId="77777777" w:rsidR="00657B1F" w:rsidRDefault="007A06E5">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2.协调性原则</w:t>
      </w:r>
    </w:p>
    <w:p w14:paraId="3F94F0A3"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本文件编写过程中注意了与复发性流产诊疗相关法律法规的协调问题，在内容上与现行法律法规、标准协调一致。</w:t>
      </w:r>
    </w:p>
    <w:p w14:paraId="4FE0684B" w14:textId="77777777" w:rsidR="00657B1F" w:rsidRDefault="007A06E5">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3.规范性原则</w:t>
      </w:r>
    </w:p>
    <w:p w14:paraId="6F0DDF3C"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0239E069" w14:textId="77777777" w:rsidR="00657B1F" w:rsidRDefault="007A06E5">
      <w:pPr>
        <w:spacing w:after="0" w:line="560" w:lineRule="exact"/>
        <w:ind w:firstLineChars="200" w:firstLine="640"/>
        <w:outlineLvl w:val="1"/>
        <w:rPr>
          <w:rFonts w:ascii="仿宋_GB2312" w:eastAsia="仿宋_GB2312" w:hAnsi="宋体"/>
          <w:sz w:val="32"/>
          <w:szCs w:val="32"/>
        </w:rPr>
      </w:pPr>
      <w:r>
        <w:rPr>
          <w:rFonts w:ascii="仿宋_GB2312" w:eastAsia="仿宋_GB2312" w:hAnsi="宋体" w:hint="eastAsia"/>
          <w:sz w:val="32"/>
          <w:szCs w:val="32"/>
        </w:rPr>
        <w:t>4.前瞻性原则</w:t>
      </w:r>
    </w:p>
    <w:p w14:paraId="0162C6EF"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本文件在兼顾当前复发性流产诊疗现实情况的同时，还考虑到了复发性流产诊疗快速发展的趋势和需要，在标准中体现了个别特色性、前瞻性和先进性条款，作为对开展复发性流产诊疗的指导。</w:t>
      </w:r>
    </w:p>
    <w:p w14:paraId="45766770" w14:textId="77777777" w:rsidR="00657B1F" w:rsidRDefault="007A06E5">
      <w:pPr>
        <w:spacing w:after="0"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14:paraId="6A6B0F64"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283A6903"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经查询，国内暂无与</w:t>
      </w:r>
      <w:r>
        <w:rPr>
          <w:rFonts w:ascii="仿宋_GB2312" w:eastAsia="仿宋_GB2312" w:hAnsi="宋体"/>
          <w:sz w:val="32"/>
          <w:szCs w:val="32"/>
        </w:rPr>
        <w:t>“</w:t>
      </w:r>
      <w:r>
        <w:rPr>
          <w:rFonts w:ascii="仿宋_GB2312" w:eastAsia="仿宋_GB2312" w:hAnsi="宋体" w:hint="eastAsia"/>
          <w:bCs/>
          <w:sz w:val="32"/>
          <w:szCs w:val="32"/>
        </w:rPr>
        <w:t>复发性流产诊疗</w:t>
      </w:r>
      <w:r>
        <w:rPr>
          <w:rFonts w:ascii="仿宋_GB2312" w:eastAsia="仿宋_GB2312" w:hAnsi="宋体"/>
          <w:b/>
          <w:sz w:val="32"/>
          <w:szCs w:val="32"/>
        </w:rPr>
        <w:t>”</w:t>
      </w:r>
      <w:r>
        <w:rPr>
          <w:rFonts w:ascii="仿宋_GB2312" w:eastAsia="仿宋_GB2312" w:hAnsi="宋体" w:hint="eastAsia"/>
          <w:sz w:val="32"/>
          <w:szCs w:val="32"/>
        </w:rPr>
        <w:t>相关的</w:t>
      </w:r>
      <w:r>
        <w:rPr>
          <w:rFonts w:ascii="仿宋_GB2312" w:eastAsia="仿宋_GB2312" w:hAnsi="宋体"/>
          <w:sz w:val="32"/>
          <w:szCs w:val="32"/>
        </w:rPr>
        <w:t>标准</w:t>
      </w:r>
      <w:r>
        <w:rPr>
          <w:rFonts w:ascii="仿宋_GB2312" w:eastAsia="仿宋_GB2312" w:hAnsi="宋体" w:hint="eastAsia"/>
          <w:sz w:val="32"/>
          <w:szCs w:val="32"/>
        </w:rPr>
        <w:t>，</w:t>
      </w:r>
      <w:r>
        <w:rPr>
          <w:rFonts w:ascii="仿宋_GB2312" w:eastAsia="仿宋_GB2312" w:hAnsi="宋体"/>
          <w:sz w:val="32"/>
          <w:szCs w:val="32"/>
        </w:rPr>
        <w:t>广西未</w:t>
      </w:r>
      <w:r>
        <w:rPr>
          <w:rFonts w:ascii="仿宋_GB2312" w:eastAsia="仿宋_GB2312" w:hAnsi="宋体" w:hint="eastAsia"/>
          <w:sz w:val="32"/>
          <w:szCs w:val="32"/>
        </w:rPr>
        <w:t>制定有《复发性流产诊疗规范》标准。</w:t>
      </w:r>
    </w:p>
    <w:p w14:paraId="63DB7154" w14:textId="77777777" w:rsidR="00657B1F" w:rsidRDefault="007A06E5">
      <w:pPr>
        <w:spacing w:after="0" w:line="56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五、主要条款的说明，主要技术指标、参数、试验验证的论述</w:t>
      </w:r>
    </w:p>
    <w:p w14:paraId="74978A2A"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本标准主要章节内容包括术语和定义、诊断、治疗、随访与日常调护。</w:t>
      </w:r>
    </w:p>
    <w:p w14:paraId="749C679D" w14:textId="31EBBAD8"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牵头</w:t>
      </w:r>
      <w:r>
        <w:rPr>
          <w:rFonts w:ascii="仿宋_GB2312" w:eastAsia="仿宋_GB2312" w:hAnsi="宋体"/>
          <w:sz w:val="32"/>
          <w:szCs w:val="32"/>
        </w:rPr>
        <w:t>起草单位</w:t>
      </w:r>
      <w:r>
        <w:rPr>
          <w:rFonts w:ascii="仿宋_GB2312" w:eastAsia="仿宋_GB2312" w:hAnsi="宋体" w:hint="eastAsia"/>
          <w:sz w:val="32"/>
          <w:szCs w:val="32"/>
        </w:rPr>
        <w:t>南宁市第二人民医院的生殖医疗中心诞生于1996年，是广西首家生殖医疗中心，是广西首批获得国家卫生部批准正式运行人类辅助生殖技术的生殖中心，现已获卫健委审批开展全部的人类辅助生殖技术项目，是卫健委审批的广西开展人类辅助生殖技术项目最多、最全的生殖中心。医院成立至今，接诊不孕不育和遗传疾病患者200万余人次，完成试管婴儿和人工授精助孕9万余周期，累计出生婴儿数4万余人。2023年接诊患者达16万人次。每年治疗RSA患者几百甚至上千人，治愈率达到90％。</w:t>
      </w:r>
    </w:p>
    <w:p w14:paraId="2F3FE3B4" w14:textId="77777777" w:rsidR="00657B1F" w:rsidRDefault="007A06E5">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标准编制组前期丰富的临床实践及</w:t>
      </w:r>
      <w:r>
        <w:rPr>
          <w:rFonts w:ascii="仿宋_GB2312" w:eastAsia="仿宋_GB2312" w:hAnsi="宋体"/>
          <w:sz w:val="32"/>
          <w:szCs w:val="32"/>
        </w:rPr>
        <w:t>研究</w:t>
      </w:r>
      <w:r>
        <w:rPr>
          <w:rFonts w:ascii="仿宋_GB2312" w:eastAsia="仿宋_GB2312" w:hAnsi="宋体" w:hint="eastAsia"/>
          <w:sz w:val="32"/>
          <w:szCs w:val="32"/>
        </w:rPr>
        <w:t>情况，为本标准条款要求的确定奠定了坚实基础。本标准具体依据来源说明如下：</w:t>
      </w:r>
    </w:p>
    <w:p w14:paraId="410F38FF" w14:textId="77777777" w:rsidR="00657B1F" w:rsidRDefault="007A06E5">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术语和定义</w:t>
      </w:r>
    </w:p>
    <w:p w14:paraId="000A68DB" w14:textId="77777777" w:rsidR="00657B1F" w:rsidRDefault="007A06E5">
      <w:pPr>
        <w:spacing w:after="0" w:line="560" w:lineRule="exact"/>
        <w:ind w:firstLineChars="200" w:firstLine="640"/>
        <w:rPr>
          <w:rFonts w:ascii="仿宋_GB2312" w:eastAsia="仿宋_GB2312" w:hAnsi="仿宋" w:cs="仿宋_GB2312"/>
          <w:sz w:val="32"/>
          <w:szCs w:val="32"/>
          <w:lang w:val="en" w:bidi="ar"/>
        </w:rPr>
      </w:pPr>
      <w:r>
        <w:rPr>
          <w:rFonts w:ascii="仿宋_GB2312" w:eastAsia="仿宋_GB2312" w:hAnsi="仿宋" w:cs="仿宋_GB2312" w:hint="eastAsia"/>
          <w:sz w:val="32"/>
          <w:szCs w:val="32"/>
          <w:lang w:bidi="ar"/>
        </w:rPr>
        <w:t>根据《复发性流产专家共识》（2022年版），</w:t>
      </w:r>
      <w:r>
        <w:rPr>
          <w:rFonts w:ascii="仿宋_GB2312" w:eastAsia="仿宋_GB2312" w:hAnsi="仿宋" w:cs="仿宋_GB2312" w:hint="eastAsia"/>
          <w:sz w:val="32"/>
          <w:szCs w:val="32"/>
          <w:lang w:bidi="ar"/>
        </w:rPr>
        <w:tab/>
        <w:t>明确“复发性流产”的定义为：与同一配偶连续发生2次及以上在妊娠28周之前的妊娠丢失，包括生化妊娠</w:t>
      </w:r>
      <w:r>
        <w:rPr>
          <w:rFonts w:ascii="仿宋_GB2312" w:eastAsia="仿宋_GB2312" w:hAnsi="仿宋" w:cs="仿宋_GB2312" w:hint="eastAsia"/>
          <w:sz w:val="32"/>
          <w:szCs w:val="32"/>
          <w:lang w:val="en" w:bidi="ar"/>
        </w:rPr>
        <w:t>。明确“生化妊娠”的定义为：经医疗机构的血清人绒毛膜促性腺激素检查明确的，但未能经超声或组织学检查确认的妊娠流产。</w:t>
      </w:r>
    </w:p>
    <w:p w14:paraId="2A654159" w14:textId="77777777" w:rsidR="00657B1F" w:rsidRDefault="007A06E5">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诊断</w:t>
      </w:r>
    </w:p>
    <w:p w14:paraId="0988B81F"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基于标准编制组前期收治患者实际经验，并参考《复发性流产诊治的专家共识》《自然流产诊治中国专家共识》(2020年版)对诊断要求进行了明确。总结归纳诊断内容主要包括：病史采集和女方体格检查（女方病史采集、男方病史采集、女方体格检查）、辅助检查（化验、解剖因素、宫颈</w:t>
      </w:r>
      <w:r>
        <w:rPr>
          <w:rFonts w:ascii="仿宋_GB2312" w:eastAsia="仿宋_GB2312" w:hAnsi="宋体" w:hint="eastAsia"/>
          <w:lang w:val="en"/>
        </w:rPr>
        <w:lastRenderedPageBreak/>
        <w:t>机能检查）、男方检查。</w:t>
      </w:r>
    </w:p>
    <w:p w14:paraId="5D0C34A2" w14:textId="77777777" w:rsidR="00657B1F" w:rsidRDefault="007A06E5">
      <w:pPr>
        <w:pStyle w:val="BodyText2"/>
        <w:spacing w:after="0" w:line="560" w:lineRule="exact"/>
        <w:ind w:firstLineChars="200" w:firstLine="641"/>
        <w:rPr>
          <w:rFonts w:ascii="仿宋_GB2312" w:eastAsia="仿宋_GB2312" w:hAnsi="宋体"/>
          <w:b/>
          <w:bCs/>
        </w:rPr>
      </w:pPr>
      <w:r>
        <w:rPr>
          <w:rFonts w:ascii="仿宋_GB2312" w:eastAsia="仿宋_GB2312" w:hAnsi="宋体" w:hint="eastAsia"/>
          <w:b/>
          <w:bCs/>
        </w:rPr>
        <w:t>1.病史采集和女方体格检查</w:t>
      </w:r>
    </w:p>
    <w:p w14:paraId="384C0D9C" w14:textId="029DA180"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给出了女方病史采集表作参考，采集内容包括：基本信息、主诉、现病史、既往病史、月经史、婚姻史、生育史、个人史以及家族史。通过基本信息、主诉与现病史以及既往病史确定病因方向；通过月经史、生育史以及婚姻史评估生殖系统风险；通过家族史及个人史指导个体化干预。</w:t>
      </w:r>
    </w:p>
    <w:p w14:paraId="58B2DC95"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给出了男方病史采集表作参考，采集内容包括：基本信息、主诉、现病史、既往病史、婚姻史、生育史、个人史以及家族史。通过采集男方相关信息，系统筛查潜在致病因素，避免单一因素遗漏，提升后续治疗的精准性。</w:t>
      </w:r>
    </w:p>
    <w:p w14:paraId="60C521D5"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给出了女方体格检查表作参考，检查内容包括：生命体征、一般情况、皮肤检查、甲状腺检查、全身检查以及妇科检查。通过对女方进行系统性的体格检查，多维度排查母体潜在病理因素。系统性体格检查可初步筛查30％以上的流产相关母体因素，为后续实验室和影像学检查提供定向依据。</w:t>
      </w:r>
    </w:p>
    <w:p w14:paraId="05AFE331" w14:textId="77777777" w:rsidR="00657B1F" w:rsidRDefault="007A06E5">
      <w:pPr>
        <w:pStyle w:val="BodyText2"/>
        <w:spacing w:after="0" w:line="560" w:lineRule="exact"/>
        <w:ind w:firstLineChars="200" w:firstLine="641"/>
        <w:rPr>
          <w:rFonts w:ascii="仿宋_GB2312" w:eastAsia="仿宋_GB2312" w:hAnsi="宋体"/>
          <w:b/>
          <w:bCs/>
        </w:rPr>
      </w:pPr>
      <w:r>
        <w:rPr>
          <w:rFonts w:ascii="仿宋_GB2312" w:eastAsia="仿宋_GB2312" w:hAnsi="宋体" w:hint="eastAsia"/>
          <w:b/>
          <w:bCs/>
        </w:rPr>
        <w:t>2.辅助检查</w:t>
      </w:r>
    </w:p>
    <w:p w14:paraId="47AB771D"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明确辅助检查包括：化验（遗传因素、免疫因素、血栓前状态、内分泌因素、感染因素、其他因素）、解剖因素（影像学检查、腔镜检查）及宫颈机能检查。</w:t>
      </w:r>
    </w:p>
    <w:p w14:paraId="180562BD"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明确遗传因素检查，主要是考虑到胚胎染色体异常：胚胎染色体异常约占复发性流产的50％～70％，检查夫妇染色体及流产胚胎可明确是否为遗传缺陷导致；考虑到单基因变异风险：即使染色体正常，母体或胚胎单基因变异也可能影</w:t>
      </w:r>
      <w:r>
        <w:rPr>
          <w:rFonts w:ascii="仿宋_GB2312" w:eastAsia="仿宋_GB2312" w:hAnsi="宋体" w:hint="eastAsia"/>
          <w:lang w:val="en"/>
        </w:rPr>
        <w:lastRenderedPageBreak/>
        <w:t>响妊娠维持，需通过基因检测排查；考虑到隐性遗传病携带：夫妻双方若携带相同隐性致病基因，可能导致胚胎致命性异常。</w:t>
      </w:r>
    </w:p>
    <w:p w14:paraId="21A99FEA" w14:textId="3B6BCEF4"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明确免疫因素及血栓前状态检查，</w:t>
      </w:r>
      <w:r>
        <w:rPr>
          <w:rFonts w:ascii="仿宋_GB2312" w:eastAsia="仿宋_GB2312" w:hAnsi="宋体"/>
          <w:lang w:val="en"/>
        </w:rPr>
        <w:t>主要是考虑到免疫排斥风险：抗磷脂抗体综合征等自身免疫疾病会引发母体攻击胚胎或胎盘血栓形成，直接影响胚胎存活</w:t>
      </w:r>
      <w:r>
        <w:rPr>
          <w:rFonts w:ascii="仿宋_GB2312" w:eastAsia="仿宋_GB2312" w:hAnsi="宋体" w:hint="eastAsia"/>
          <w:lang w:val="en"/>
        </w:rPr>
        <w:t>。此外，</w:t>
      </w:r>
      <w:r>
        <w:rPr>
          <w:rFonts w:ascii="仿宋_GB2312" w:eastAsia="仿宋_GB2312" w:hAnsi="宋体"/>
          <w:lang w:val="en"/>
        </w:rPr>
        <w:t>凝血功能异常可能导致胎盘血管栓塞，检测凝血酶原时间（PT）</w:t>
      </w:r>
      <w:r>
        <w:rPr>
          <w:rFonts w:ascii="仿宋_GB2312" w:eastAsia="仿宋_GB2312" w:hAnsi="宋体" w:hint="eastAsia"/>
          <w:lang w:val="en"/>
        </w:rPr>
        <w:t>、</w:t>
      </w:r>
      <w:r>
        <w:rPr>
          <w:rFonts w:ascii="仿宋_GB2312" w:eastAsia="仿宋_GB2312" w:hAnsi="宋体"/>
          <w:lang w:val="en"/>
        </w:rPr>
        <w:t>D-二聚体等可指导抗凝治疗</w:t>
      </w:r>
      <w:r>
        <w:rPr>
          <w:rFonts w:ascii="仿宋_GB2312" w:eastAsia="仿宋_GB2312" w:hAnsi="宋体" w:hint="eastAsia"/>
          <w:lang w:val="en"/>
        </w:rPr>
        <w:t>。</w:t>
      </w:r>
    </w:p>
    <w:p w14:paraId="036890C7" w14:textId="760E6B12" w:rsidR="00657B1F" w:rsidRDefault="007A06E5">
      <w:pPr>
        <w:pStyle w:val="BodyText2"/>
        <w:spacing w:after="0" w:line="560" w:lineRule="exact"/>
        <w:ind w:firstLineChars="200" w:firstLine="640"/>
        <w:rPr>
          <w:rFonts w:ascii="仿宋_GB2312" w:eastAsia="仿宋_GB2312" w:hAnsi="宋体"/>
          <w:lang w:val="en"/>
        </w:rPr>
      </w:pPr>
      <w:r w:rsidRPr="00341E4F">
        <w:rPr>
          <w:rFonts w:ascii="仿宋_GB2312" w:eastAsia="仿宋_GB2312" w:hAnsi="宋体" w:hint="eastAsia"/>
          <w:lang w:val="en"/>
        </w:rPr>
        <w:t>明确内分泌及感染因素检查，</w:t>
      </w:r>
      <w:r w:rsidRPr="00341E4F">
        <w:rPr>
          <w:rFonts w:ascii="仿宋_GB2312" w:eastAsia="仿宋_GB2312" w:hAnsi="宋体"/>
          <w:lang w:val="en"/>
        </w:rPr>
        <w:t>主要是考虑到甲状腺功能异常、糖尿病、黄体功能不足等可干扰胚胎着床和发育，需通过激素水平监测</w:t>
      </w:r>
      <w:r w:rsidRPr="00341E4F">
        <w:rPr>
          <w:rFonts w:ascii="仿宋_GB2312" w:eastAsia="仿宋_GB2312" w:hAnsi="宋体" w:hint="eastAsia"/>
          <w:lang w:val="en"/>
        </w:rPr>
        <w:t>并提前</w:t>
      </w:r>
      <w:r w:rsidRPr="00341E4F">
        <w:rPr>
          <w:rFonts w:ascii="仿宋_GB2312" w:eastAsia="仿宋_GB2312" w:hAnsi="宋体"/>
          <w:lang w:val="en"/>
        </w:rPr>
        <w:t>干预</w:t>
      </w:r>
      <w:r w:rsidRPr="00341E4F">
        <w:rPr>
          <w:rFonts w:ascii="仿宋_GB2312" w:eastAsia="仿宋_GB2312" w:hAnsi="宋体" w:hint="eastAsia"/>
          <w:lang w:val="en"/>
        </w:rPr>
        <w:t>；</w:t>
      </w:r>
      <w:r w:rsidRPr="00341E4F">
        <w:rPr>
          <w:rFonts w:ascii="仿宋_GB2312" w:eastAsia="仿宋_GB2312" w:hAnsi="宋体"/>
          <w:lang w:val="en"/>
        </w:rPr>
        <w:t>支原体、衣原体等生殖道感染可能引发慢性子宫内膜炎，破坏胚胎发育环境</w:t>
      </w:r>
      <w:r w:rsidRPr="00341E4F">
        <w:rPr>
          <w:rFonts w:ascii="仿宋_GB2312" w:eastAsia="仿宋_GB2312" w:hAnsi="宋体" w:hint="eastAsia"/>
          <w:lang w:val="en"/>
        </w:rPr>
        <w:t>。</w:t>
      </w:r>
      <w:r w:rsidRPr="00341E4F">
        <w:rPr>
          <w:rFonts w:ascii="仿宋_GB2312" w:eastAsia="仿宋_GB2312" w:hAnsi="宋体"/>
          <w:lang w:val="en"/>
        </w:rPr>
        <w:t>TORCH病原体</w:t>
      </w:r>
      <w:r w:rsidRPr="00341E4F">
        <w:rPr>
          <w:rFonts w:ascii="仿宋_GB2312" w:eastAsia="仿宋_GB2312" w:hAnsi="宋体" w:hint="eastAsia"/>
          <w:lang w:val="en"/>
        </w:rPr>
        <w:t>感染可能导致流产、早产、胎儿畸形、死胎、宫内发育迟缓、新生儿多器官损害等不良后果。</w:t>
      </w:r>
    </w:p>
    <w:p w14:paraId="5D86E1AE" w14:textId="0DCE5CBA"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明确解剖因素（影像学检查、腔镜检查）及宫颈机能检查，</w:t>
      </w:r>
      <w:r>
        <w:rPr>
          <w:rFonts w:ascii="仿宋_GB2312" w:eastAsia="仿宋_GB2312" w:hAnsi="宋体"/>
          <w:lang w:val="en"/>
        </w:rPr>
        <w:t>主要是考虑到超声或宫腔镜检查可发现子宫</w:t>
      </w:r>
      <w:r>
        <w:rPr>
          <w:rFonts w:ascii="仿宋_GB2312" w:eastAsia="仿宋_GB2312" w:hAnsi="宋体" w:hint="eastAsia"/>
        </w:rPr>
        <w:t>畸形</w:t>
      </w:r>
      <w:r>
        <w:rPr>
          <w:rFonts w:ascii="仿宋_GB2312" w:eastAsia="仿宋_GB2312" w:hAnsi="宋体"/>
          <w:lang w:val="en"/>
        </w:rPr>
        <w:t>、宫腔粘连等结构性异常，需手术矫正以提高妊娠成功率</w:t>
      </w:r>
      <w:r>
        <w:rPr>
          <w:rFonts w:ascii="仿宋_GB2312" w:eastAsia="仿宋_GB2312" w:hAnsi="宋体" w:hint="eastAsia"/>
          <w:lang w:val="en"/>
        </w:rPr>
        <w:t>；</w:t>
      </w:r>
      <w:r>
        <w:rPr>
          <w:rFonts w:ascii="仿宋_GB2312" w:eastAsia="仿宋_GB2312" w:hAnsi="宋体"/>
          <w:lang w:val="en"/>
        </w:rPr>
        <w:t>宫颈机能不全可能导致中晚期流产，需</w:t>
      </w:r>
      <w:r>
        <w:rPr>
          <w:rFonts w:ascii="仿宋_GB2312" w:eastAsia="仿宋_GB2312" w:hAnsi="宋体" w:hint="eastAsia"/>
        </w:rPr>
        <w:t>结合病史</w:t>
      </w:r>
      <w:r w:rsidR="00D324B3">
        <w:rPr>
          <w:rFonts w:ascii="仿宋_GB2312" w:eastAsia="仿宋_GB2312" w:hAnsi="宋体" w:hint="eastAsia"/>
        </w:rPr>
        <w:t>、体格</w:t>
      </w:r>
      <w:r>
        <w:rPr>
          <w:rFonts w:ascii="仿宋_GB2312" w:eastAsia="仿宋_GB2312" w:hAnsi="宋体" w:hint="eastAsia"/>
        </w:rPr>
        <w:t>，</w:t>
      </w:r>
      <w:r>
        <w:rPr>
          <w:rFonts w:ascii="仿宋_GB2312" w:eastAsia="仿宋_GB2312" w:hAnsi="宋体"/>
          <w:lang w:val="en"/>
        </w:rPr>
        <w:t>通过超声或</w:t>
      </w:r>
      <w:r w:rsidR="00D324B3">
        <w:rPr>
          <w:rFonts w:ascii="仿宋_GB2312" w:eastAsia="仿宋_GB2312" w:hAnsi="宋体" w:hint="eastAsia"/>
          <w:lang w:val="en"/>
        </w:rPr>
        <w:t>子</w:t>
      </w:r>
      <w:r>
        <w:rPr>
          <w:rFonts w:ascii="仿宋_GB2312" w:eastAsia="仿宋_GB2312" w:hAnsi="宋体"/>
          <w:lang w:val="en"/>
        </w:rPr>
        <w:t>宫颈扩张试验</w:t>
      </w:r>
      <w:r w:rsidR="00D324B3">
        <w:rPr>
          <w:rFonts w:ascii="仿宋_GB2312" w:eastAsia="仿宋_GB2312" w:hAnsi="宋体" w:hint="eastAsia"/>
          <w:lang w:val="en"/>
        </w:rPr>
        <w:t>等</w:t>
      </w:r>
      <w:r>
        <w:rPr>
          <w:rFonts w:ascii="仿宋_GB2312" w:eastAsia="仿宋_GB2312" w:hAnsi="宋体"/>
          <w:lang w:val="en"/>
        </w:rPr>
        <w:t>明确，必要时行宫颈环扎术</w:t>
      </w:r>
      <w:r>
        <w:rPr>
          <w:rFonts w:ascii="仿宋_GB2312" w:eastAsia="仿宋_GB2312" w:hAnsi="宋体" w:hint="eastAsia"/>
          <w:lang w:val="en"/>
        </w:rPr>
        <w:t>。</w:t>
      </w:r>
    </w:p>
    <w:p w14:paraId="1A8CC3AE" w14:textId="77777777" w:rsidR="00657B1F" w:rsidRDefault="007A06E5">
      <w:pPr>
        <w:pStyle w:val="BodyText2"/>
        <w:spacing w:after="0" w:line="560" w:lineRule="exact"/>
        <w:ind w:firstLineChars="200" w:firstLine="641"/>
        <w:rPr>
          <w:rFonts w:ascii="仿宋_GB2312" w:eastAsia="仿宋_GB2312" w:hAnsi="宋体"/>
          <w:b/>
          <w:bCs/>
          <w:lang w:val="en"/>
        </w:rPr>
      </w:pPr>
      <w:r>
        <w:rPr>
          <w:rFonts w:ascii="仿宋_GB2312" w:eastAsia="仿宋_GB2312" w:hAnsi="宋体" w:hint="eastAsia"/>
          <w:b/>
          <w:bCs/>
        </w:rPr>
        <w:t>3.</w:t>
      </w:r>
      <w:r>
        <w:rPr>
          <w:rFonts w:ascii="仿宋_GB2312" w:eastAsia="仿宋_GB2312" w:hAnsi="宋体" w:hint="eastAsia"/>
          <w:b/>
          <w:bCs/>
          <w:lang w:val="en"/>
        </w:rPr>
        <w:t>男方检查</w:t>
      </w:r>
    </w:p>
    <w:p w14:paraId="253B9A2B" w14:textId="77777777" w:rsidR="00657B1F" w:rsidRDefault="007A06E5">
      <w:pPr>
        <w:pStyle w:val="BodyText2"/>
        <w:spacing w:after="0" w:line="560" w:lineRule="exact"/>
        <w:ind w:firstLineChars="200" w:firstLine="640"/>
        <w:rPr>
          <w:rFonts w:ascii="仿宋_GB2312" w:eastAsia="仿宋_GB2312" w:hAnsi="宋体"/>
          <w:lang w:val="en"/>
        </w:rPr>
      </w:pPr>
      <w:r>
        <w:rPr>
          <w:rFonts w:ascii="仿宋_GB2312" w:eastAsia="仿宋_GB2312" w:hAnsi="宋体" w:hint="eastAsia"/>
          <w:lang w:val="en"/>
        </w:rPr>
        <w:t>由于精子浓度＜15×10</w:t>
      </w:r>
      <w:r>
        <w:rPr>
          <w:rFonts w:ascii="仿宋_GB2312" w:eastAsia="仿宋_GB2312" w:hAnsi="宋体" w:hint="eastAsia"/>
          <w:vertAlign w:val="superscript"/>
          <w:lang w:val="en"/>
        </w:rPr>
        <w:t>６</w:t>
      </w:r>
      <w:r>
        <w:rPr>
          <w:rFonts w:ascii="仿宋_GB2312" w:eastAsia="仿宋_GB2312" w:hAnsi="宋体" w:hint="eastAsia"/>
          <w:lang w:val="en"/>
        </w:rPr>
        <w:t>/mL（少精子症）直接影响受精概率，胚胎发育物质基础不足可能引发早期流产；精子活率＜58％提示附睾功能障碍或氧化应激损伤，影响精子获能及顶体反应，导致胚胎发育停滞；正常形态精子＜4％（畸形精</w:t>
      </w:r>
      <w:r>
        <w:rPr>
          <w:rFonts w:ascii="仿宋_GB2312" w:eastAsia="仿宋_GB2312" w:hAnsi="宋体" w:hint="eastAsia"/>
          <w:lang w:val="en"/>
        </w:rPr>
        <w:lastRenderedPageBreak/>
        <w:t>子症）时，头部DNA包装异常或尾部动力装置缺陷可能干扰胚胎基因组稳定性和分裂进程；碎片化DNA激活卵母细胞凋亡通路，引起胚胎发育阻滞。明确男方检查内容包括：精液检查精子浓度、活率、畸形率、精子DNA完整性。</w:t>
      </w:r>
    </w:p>
    <w:p w14:paraId="7A9620AF" w14:textId="77777777" w:rsidR="00657B1F" w:rsidRDefault="007A06E5">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治疗</w:t>
      </w:r>
    </w:p>
    <w:p w14:paraId="6C70DB33" w14:textId="77777777" w:rsidR="00657B1F" w:rsidRDefault="007A06E5">
      <w:pPr>
        <w:pStyle w:val="BodyText2"/>
        <w:spacing w:after="0" w:line="560" w:lineRule="exact"/>
        <w:ind w:firstLineChars="200" w:firstLine="640"/>
        <w:jc w:val="left"/>
        <w:rPr>
          <w:rFonts w:ascii="仿宋_GB2312" w:eastAsia="仿宋_GB2312"/>
        </w:rPr>
      </w:pPr>
      <w:r>
        <w:rPr>
          <w:rFonts w:ascii="仿宋_GB2312" w:eastAsia="仿宋_GB2312" w:hint="eastAsia"/>
        </w:rPr>
        <w:t>基于标准编制组前期收治患者实际经验，并参考《复发性流产诊治的专家共识》（2022年版）《低分子肝素防治自然流产中国专家共识》《产科抗磷脂综合征诊断与处理专家共识》《复发性流产合并风湿免疫病免疫抑制剂应用中国专家共识》《复发性流产合并血栓前状态诊治中国专家共识》《妊娠和产后甲状腺疾病诊治指南》(第2版)《胚胎植入前遗传学诊断/筛查技术专家共识》《子宫颈机能不全临床诊治中国专家共识》（2023年版）《高同型半胱氨酸血症诊疗专家共识》《高同型半胱氨酸血症的诊断、治疗与预防专家共识》以及《妊娠和产后甲状腺疾病诊治指南》（第2版）对治疗要求进行了明确。根据临床常见病因及诊断对应给出了治疗方案。</w:t>
      </w:r>
    </w:p>
    <w:p w14:paraId="409616A8" w14:textId="7E1109AA" w:rsidR="00657B1F" w:rsidRDefault="007A06E5">
      <w:pPr>
        <w:pStyle w:val="BodyText2"/>
        <w:spacing w:after="0" w:line="560" w:lineRule="exact"/>
        <w:ind w:firstLineChars="200" w:firstLine="640"/>
        <w:jc w:val="left"/>
        <w:rPr>
          <w:rFonts w:ascii="仿宋_GB2312" w:eastAsia="仿宋_GB2312"/>
        </w:rPr>
      </w:pPr>
      <w:r>
        <w:rPr>
          <w:rFonts w:ascii="仿宋_GB2312" w:eastAsia="仿宋_GB2312" w:hint="eastAsia"/>
        </w:rPr>
        <w:t>其中，通过遗传因素检查，针对流产组织染色体异常的情况，RSA患者可通过胚胎植入前遗传学检测（PGT，即第三代试管婴儿技术）筛选染色体正常的胚胎进行移植，从而显著降低流产风险。对于夫妇存在染色体平衡易位、倒位或非同源罗氏易位的情况，PGT技术同样适用，能够筛选出染色体正常或仅携带平衡易位的胚胎，不仅有效降低流产率，还可避免胎儿出生缺陷。此外，根据患者具体情</w:t>
      </w:r>
      <w:r>
        <w:rPr>
          <w:rFonts w:ascii="仿宋_GB2312" w:eastAsia="仿宋_GB2312" w:hint="eastAsia"/>
        </w:rPr>
        <w:lastRenderedPageBreak/>
        <w:t>况，选择健康供精或供卵进行助孕也是一种可行的方案，既可进一步降低流产风险，又能减轻患者的经济负担和心理压力。</w:t>
      </w:r>
    </w:p>
    <w:p w14:paraId="58F010DC" w14:textId="77777777" w:rsidR="00657B1F" w:rsidRDefault="007A06E5">
      <w:pPr>
        <w:pStyle w:val="BodyText2"/>
        <w:spacing w:after="0" w:line="560" w:lineRule="exact"/>
        <w:ind w:firstLineChars="200" w:firstLine="640"/>
        <w:jc w:val="left"/>
        <w:rPr>
          <w:rFonts w:ascii="仿宋_GB2312" w:eastAsia="仿宋_GB2312"/>
          <w:lang w:val="en"/>
        </w:rPr>
      </w:pPr>
      <w:r>
        <w:rPr>
          <w:rFonts w:ascii="仿宋_GB2312" w:eastAsia="仿宋_GB2312"/>
          <w:lang w:val="en"/>
        </w:rPr>
        <w:t>考虑到</w:t>
      </w:r>
      <w:r>
        <w:rPr>
          <w:rFonts w:ascii="仿宋_GB2312" w:eastAsia="仿宋_GB2312" w:hint="eastAsia"/>
        </w:rPr>
        <w:t>宫腔镜纵隔切除术可在微创条件下实现解剖结构与生育功能的双重改善，是子宫纵隔畸形治疗的首选方案。</w:t>
      </w:r>
      <w:r>
        <w:rPr>
          <w:rFonts w:ascii="仿宋_GB2312" w:eastAsia="仿宋_GB2312"/>
          <w:lang w:val="en"/>
        </w:rPr>
        <w:t>因而明确</w:t>
      </w:r>
      <w:r>
        <w:rPr>
          <w:rFonts w:ascii="仿宋_GB2312" w:eastAsia="仿宋_GB2312" w:hint="eastAsia"/>
        </w:rPr>
        <w:t>通过解剖因素检查，诊断为子宫畸形时，子宫纵隔明显者采用宫腔镜纵隔切除术治疗。</w:t>
      </w:r>
    </w:p>
    <w:p w14:paraId="0CC39BFF" w14:textId="77777777" w:rsidR="00657B1F" w:rsidRDefault="007A06E5">
      <w:pPr>
        <w:pStyle w:val="BodyText2"/>
        <w:spacing w:after="0" w:line="560" w:lineRule="exact"/>
        <w:ind w:firstLineChars="200" w:firstLine="640"/>
        <w:jc w:val="left"/>
        <w:rPr>
          <w:rFonts w:ascii="仿宋_GB2312" w:eastAsia="仿宋_GB2312"/>
        </w:rPr>
      </w:pPr>
      <w:r>
        <w:rPr>
          <w:rFonts w:ascii="仿宋_GB2312" w:eastAsia="仿宋_GB2312" w:hint="eastAsia"/>
        </w:rPr>
        <w:t>通过免疫因素检</w:t>
      </w:r>
      <w:r>
        <w:rPr>
          <w:rFonts w:ascii="仿宋_GB2312" w:eastAsia="仿宋_GB2312" w:hint="eastAsia"/>
          <w:lang w:val="en"/>
        </w:rPr>
        <w:t>查，诊断为产科抗磷脂综合征时，分非典型OAPS、OAPS进行治疗</w:t>
      </w:r>
      <w:r>
        <w:rPr>
          <w:rFonts w:ascii="仿宋_GB2312" w:eastAsia="仿宋_GB2312"/>
          <w:lang w:val="en"/>
        </w:rPr>
        <w:t>。</w:t>
      </w:r>
      <w:r>
        <w:rPr>
          <w:rFonts w:ascii="仿宋_GB2312" w:eastAsia="仿宋_GB2312" w:hint="eastAsia"/>
          <w:lang w:val="en"/>
        </w:rPr>
        <w:t>标准编制组根据经验，给出</w:t>
      </w:r>
      <w:r>
        <w:rPr>
          <w:rFonts w:ascii="仿宋_GB2312" w:eastAsia="仿宋_GB2312" w:hint="eastAsia"/>
        </w:rPr>
        <w:t>了产科抗磷脂综合征治疗方案及LMWH剂量方案。</w:t>
      </w:r>
      <w:r>
        <w:rPr>
          <w:rFonts w:ascii="仿宋_GB2312" w:eastAsia="仿宋_GB2312"/>
          <w:lang w:val="en"/>
        </w:rPr>
        <w:t>考虑到aPL谱特征决定抗凝强度与血栓风险，合并SLE</w:t>
      </w:r>
      <w:r>
        <w:rPr>
          <w:rFonts w:ascii="仿宋_GB2312" w:eastAsia="仿宋_GB2312" w:hAnsi="仿宋" w:cs="仿宋_GB2312"/>
          <w:lang w:val="en" w:bidi="ar"/>
        </w:rPr>
        <w:t>需免疫调节与抗凝协同，妊娠丢失史与血栓史应分层干预，明确</w:t>
      </w:r>
      <w:r>
        <w:rPr>
          <w:rFonts w:ascii="仿宋_GB2312" w:eastAsia="仿宋_GB2312" w:hAnsi="仿宋" w:cs="仿宋_GB2312" w:hint="eastAsia"/>
          <w:lang w:val="en" w:bidi="ar"/>
        </w:rPr>
        <w:t>非典型OAPS根据患者的aPL谱、是否伴有SLE、妊娠丢失或血栓形成情况进行个体化治疗。妊娠前：常规治疗失败、合并自身免疫性疾病、高风险aPLs谱和有血栓形成史的OAPS患者，妊娠前3个月开始服用HCQ（0.1</w:t>
      </w:r>
      <w:r>
        <w:rPr>
          <w:rFonts w:ascii="仿宋_GB2312" w:eastAsia="仿宋_GB2312" w:hAnsi="仿宋" w:cs="仿宋_GB2312" w:hint="eastAsia"/>
          <w:vertAlign w:val="superscript"/>
          <w:lang w:val="en" w:bidi="ar"/>
        </w:rPr>
        <w:t xml:space="preserve"> </w:t>
      </w:r>
      <w:r>
        <w:rPr>
          <w:rFonts w:ascii="仿宋_GB2312" w:eastAsia="仿宋_GB2312" w:hAnsi="仿宋" w:cs="仿宋_GB2312" w:hint="eastAsia"/>
          <w:lang w:val="en" w:bidi="ar"/>
        </w:rPr>
        <w:t>g～0.2</w:t>
      </w:r>
      <w:r>
        <w:rPr>
          <w:rFonts w:ascii="仿宋_GB2312" w:eastAsia="仿宋_GB2312" w:hAnsi="仿宋" w:cs="仿宋_GB2312" w:hint="eastAsia"/>
          <w:vertAlign w:val="superscript"/>
          <w:lang w:val="en" w:bidi="ar"/>
        </w:rPr>
        <w:t xml:space="preserve"> </w:t>
      </w:r>
      <w:r>
        <w:rPr>
          <w:rFonts w:ascii="仿宋_GB2312" w:eastAsia="仿宋_GB2312" w:hAnsi="仿宋" w:cs="仿宋_GB2312" w:hint="eastAsia"/>
          <w:lang w:val="en" w:bidi="ar"/>
        </w:rPr>
        <w:t>g，Bid）</w:t>
      </w:r>
      <w:r>
        <w:rPr>
          <w:rFonts w:ascii="仿宋_GB2312" w:eastAsia="仿宋_GB2312" w:hAnsi="仿宋" w:cs="仿宋_GB2312"/>
          <w:lang w:val="en" w:bidi="ar"/>
        </w:rPr>
        <w:t>，HCQ通过阻断</w:t>
      </w:r>
      <w:r>
        <w:rPr>
          <w:rFonts w:ascii="仿宋_GB2312" w:eastAsia="仿宋_GB2312" w:hAnsi="仿宋" w:cs="仿宋_GB2312"/>
          <w:lang w:val="en" w:bidi="ar"/>
        </w:rPr>
        <w:t>β</w:t>
      </w:r>
      <w:r>
        <w:rPr>
          <w:rFonts w:ascii="仿宋_GB2312" w:eastAsia="仿宋_GB2312" w:hAnsi="仿宋" w:cs="仿宋_GB2312"/>
          <w:vertAlign w:val="subscript"/>
          <w:lang w:val="en" w:bidi="ar"/>
        </w:rPr>
        <w:t>2</w:t>
      </w:r>
      <w:r>
        <w:rPr>
          <w:rFonts w:ascii="仿宋_GB2312" w:eastAsia="仿宋_GB2312" w:hAnsi="仿宋" w:cs="仿宋_GB2312"/>
          <w:lang w:val="en" w:bidi="ar"/>
        </w:rPr>
        <w:t>糖蛋白I（</w:t>
      </w:r>
      <w:r>
        <w:rPr>
          <w:rFonts w:ascii="仿宋_GB2312" w:eastAsia="仿宋_GB2312" w:hAnsi="仿宋" w:cs="仿宋_GB2312"/>
          <w:lang w:val="en" w:bidi="ar"/>
        </w:rPr>
        <w:t>β</w:t>
      </w:r>
      <w:r>
        <w:rPr>
          <w:rFonts w:ascii="仿宋_GB2312" w:eastAsia="仿宋_GB2312" w:hAnsi="仿宋" w:cs="仿宋_GB2312"/>
          <w:vertAlign w:val="subscript"/>
          <w:lang w:val="en" w:bidi="ar"/>
        </w:rPr>
        <w:t>2</w:t>
      </w:r>
      <w:r>
        <w:rPr>
          <w:rFonts w:ascii="仿宋_GB2312" w:eastAsia="仿宋_GB2312" w:hAnsi="仿宋" w:cs="仿宋_GB2312"/>
          <w:lang w:val="en" w:bidi="ar"/>
        </w:rPr>
        <w:t>GPI）与抗体的结合，减少抗体对滋养细胞和血管内皮的攻击，进而降低胎盘微血栓形成风险。对于常规抗凝治疗失败者，HCQ可协同调节补体系统过度激活，改善胚胎着床环境。HCQ的药理作用需持续积累，妊娠前3个月开始用药可确保其在胚胎着床关键期达到有效浓度，降低早孕期流产风险</w:t>
      </w:r>
      <w:r>
        <w:rPr>
          <w:rFonts w:ascii="仿宋_GB2312" w:eastAsia="仿宋_GB2312" w:hAnsi="仿宋" w:cs="仿宋_GB2312" w:hint="eastAsia"/>
          <w:lang w:val="en" w:bidi="ar"/>
        </w:rPr>
        <w:t>。有血栓</w:t>
      </w:r>
      <w:r>
        <w:rPr>
          <w:rFonts w:ascii="仿宋_GB2312" w:eastAsia="仿宋_GB2312" w:hint="eastAsia"/>
        </w:rPr>
        <w:t>史的患者，计划妊娠当月月经干净后开始服用LDA</w:t>
      </w:r>
      <w:r>
        <w:rPr>
          <w:rFonts w:ascii="仿宋_GB2312" w:eastAsia="仿宋_GB2312"/>
          <w:lang w:val="en"/>
        </w:rPr>
        <w:t>，可改善子宫内膜容受性；</w:t>
      </w:r>
      <w:r>
        <w:rPr>
          <w:rFonts w:ascii="仿宋_GB2312" w:eastAsia="仿宋_GB2312" w:hint="eastAsia"/>
        </w:rPr>
        <w:t>并使用治疗剂量的LMWH</w:t>
      </w:r>
      <w:r>
        <w:rPr>
          <w:rFonts w:ascii="仿宋_GB2312" w:eastAsia="仿宋_GB2312"/>
          <w:lang w:val="en"/>
        </w:rPr>
        <w:t>，阻断血栓扩展及新发。</w:t>
      </w:r>
      <w:r>
        <w:rPr>
          <w:rFonts w:ascii="仿宋_GB2312" w:eastAsia="仿宋_GB2312" w:hint="eastAsia"/>
        </w:rPr>
        <w:t>妊娠</w:t>
      </w:r>
      <w:r>
        <w:rPr>
          <w:rFonts w:ascii="仿宋_GB2312" w:eastAsia="仿宋_GB2312" w:hint="eastAsia"/>
        </w:rPr>
        <w:lastRenderedPageBreak/>
        <w:t>期：明确在LDA的基础上，整个妊娠期维持应用LMWH，LDA与LMWH联合可同时干预血小板活化与凝血酶生成两大病理环节，降低胎盘梗死及螺旋动脉重塑缺陷风险</w:t>
      </w:r>
      <w:r>
        <w:rPr>
          <w:rFonts w:ascii="仿宋_GB2312" w:eastAsia="仿宋_GB2312"/>
          <w:lang w:val="en"/>
        </w:rPr>
        <w:t>。明确</w:t>
      </w:r>
      <w:r>
        <w:rPr>
          <w:rFonts w:ascii="仿宋_GB2312" w:eastAsia="仿宋_GB2312" w:hint="eastAsia"/>
        </w:rPr>
        <w:t>难治性OAPS：LMWH应增加到治疗量</w:t>
      </w:r>
      <w:r>
        <w:rPr>
          <w:rFonts w:ascii="仿宋_GB2312" w:eastAsia="仿宋_GB2312"/>
          <w:lang w:val="en"/>
        </w:rPr>
        <w:t>，</w:t>
      </w:r>
      <w:r>
        <w:rPr>
          <w:rFonts w:ascii="仿宋_GB2312" w:eastAsia="仿宋_GB2312"/>
          <w:lang w:val="en"/>
        </w:rPr>
        <w:t>‌</w:t>
      </w:r>
      <w:r>
        <w:rPr>
          <w:rFonts w:ascii="仿宋_GB2312" w:eastAsia="仿宋_GB2312"/>
          <w:lang w:val="en"/>
        </w:rPr>
        <w:t>阻断重症胎盘微血栓形成，应对妊娠中晚期高凝恶化</w:t>
      </w:r>
      <w:r>
        <w:rPr>
          <w:rFonts w:ascii="仿宋_GB2312" w:eastAsia="仿宋_GB2312" w:hint="eastAsia"/>
          <w:lang w:val="en"/>
        </w:rPr>
        <w:t>。</w:t>
      </w:r>
      <w:r>
        <w:rPr>
          <w:rFonts w:ascii="仿宋_GB2312" w:eastAsia="仿宋_GB2312" w:hint="eastAsia"/>
        </w:rPr>
        <w:t>可加用小剂量泼尼松（孕早期≤10</w:t>
      </w:r>
      <w:r>
        <w:rPr>
          <w:rFonts w:ascii="仿宋_GB2312" w:eastAsia="仿宋_GB2312" w:hint="eastAsia"/>
          <w:vertAlign w:val="superscript"/>
        </w:rPr>
        <w:t xml:space="preserve"> </w:t>
      </w:r>
      <w:r>
        <w:rPr>
          <w:rFonts w:ascii="仿宋_GB2312" w:eastAsia="仿宋_GB2312" w:hint="eastAsia"/>
        </w:rPr>
        <w:t>mg/d）或同等剂量的其他糖皮质激素，抑制抗体诱导的炎症级联反应，维持母胎免疫耐受。也可尝试静脉注射免疫球蛋白（IVIG）</w:t>
      </w:r>
      <w:r>
        <w:rPr>
          <w:rFonts w:ascii="仿宋_GB2312" w:eastAsia="仿宋_GB2312" w:hint="eastAsia"/>
          <w:lang w:val="en"/>
        </w:rPr>
        <w:t>，IVIG通过Fc段与aPLs抗体结合，阻止其与胎盘血管内皮细胞的靶向结合，同时中和促炎细胞因子，可改善绒毛间质纤维化。</w:t>
      </w:r>
    </w:p>
    <w:p w14:paraId="47443178" w14:textId="6EACB24B" w:rsidR="00657B1F" w:rsidRDefault="007A06E5">
      <w:pPr>
        <w:pStyle w:val="BodyText2"/>
        <w:spacing w:after="0" w:line="560" w:lineRule="exact"/>
        <w:ind w:firstLineChars="200" w:firstLine="640"/>
        <w:jc w:val="left"/>
        <w:rPr>
          <w:rFonts w:ascii="仿宋_GB2312" w:eastAsia="仿宋_GB2312"/>
          <w:lang w:val="en"/>
        </w:rPr>
      </w:pPr>
      <w:r>
        <w:rPr>
          <w:rFonts w:ascii="仿宋_GB2312" w:eastAsia="仿宋_GB2312" w:hint="eastAsia"/>
          <w:lang w:val="en"/>
        </w:rPr>
        <w:t>通过血栓前状态检查，诊断为获得性PTS（APS和获得性高同型半胱氨酸血症（HHcy））时，明确进行LMWH、LDA的单药或联合治疗</w:t>
      </w:r>
      <w:r>
        <w:rPr>
          <w:rFonts w:ascii="仿宋_GB2312" w:eastAsia="仿宋_GB2312"/>
          <w:lang w:val="en"/>
        </w:rPr>
        <w:t>。</w:t>
      </w:r>
      <w:r>
        <w:rPr>
          <w:rFonts w:ascii="仿宋_GB2312" w:eastAsia="仿宋_GB2312" w:hint="eastAsia"/>
          <w:lang w:val="en"/>
        </w:rPr>
        <w:t>LMWH、LDA的</w:t>
      </w:r>
      <w:r>
        <w:rPr>
          <w:rFonts w:ascii="仿宋_GB2312" w:eastAsia="仿宋_GB2312"/>
          <w:lang w:val="en"/>
        </w:rPr>
        <w:t>联合可同时干预凝血和血小板活化，显著降低APS患者胎盘梗死及胎儿生长受限（FGR）发生率</w:t>
      </w:r>
      <w:r>
        <w:rPr>
          <w:rFonts w:ascii="仿宋_GB2312" w:eastAsia="仿宋_GB2312" w:hint="eastAsia"/>
          <w:lang w:val="en"/>
        </w:rPr>
        <w:t>。对于APS而言：抗磷脂抗体（aPLs）诱导的炎症反应和凝血激活是核心，需联合抗凝+抗血小板治疗以阻断抗体介导的胎盘损伤；对于HHcy而言：高同型半胱氨酸导致血管内皮损伤，需补充叶酸及维生素B12、</w:t>
      </w:r>
      <w:r>
        <w:rPr>
          <w:rFonts w:ascii="仿宋_GB2312" w:eastAsia="仿宋_GB2312" w:hint="eastAsia"/>
        </w:rPr>
        <w:t>维生素B6</w:t>
      </w:r>
      <w:r>
        <w:rPr>
          <w:rFonts w:ascii="仿宋_GB2312" w:eastAsia="仿宋_GB2312" w:hint="eastAsia"/>
          <w:lang w:val="en"/>
        </w:rPr>
        <w:t>降低Hcy水平，同时抗凝治疗预防血栓形成。</w:t>
      </w:r>
    </w:p>
    <w:p w14:paraId="1E2AAC67" w14:textId="77777777" w:rsidR="00657B1F" w:rsidRDefault="007A06E5">
      <w:pPr>
        <w:pStyle w:val="BodyText2"/>
        <w:spacing w:after="0" w:line="560" w:lineRule="exact"/>
        <w:ind w:firstLineChars="200" w:firstLine="640"/>
        <w:jc w:val="left"/>
        <w:rPr>
          <w:rFonts w:ascii="仿宋_GB2312" w:eastAsia="仿宋_GB2312"/>
          <w:lang w:val="en"/>
        </w:rPr>
      </w:pPr>
      <w:bookmarkStart w:id="3" w:name="_Hlk198104574"/>
      <w:r>
        <w:rPr>
          <w:rFonts w:ascii="仿宋_GB2312" w:eastAsia="仿宋_GB2312" w:hint="eastAsia"/>
          <w:lang w:val="en"/>
        </w:rPr>
        <w:t>通过内分泌因素检查，诊断为甲状腺功能减退时，明确补充甲状腺素，宜促甲状腺激素（TSH）＜2.5</w:t>
      </w:r>
      <w:r>
        <w:rPr>
          <w:rFonts w:ascii="仿宋_GB2312" w:eastAsia="仿宋_GB2312" w:hint="eastAsia"/>
          <w:vertAlign w:val="superscript"/>
          <w:lang w:val="en"/>
        </w:rPr>
        <w:t xml:space="preserve"> </w:t>
      </w:r>
      <w:r>
        <w:rPr>
          <w:rFonts w:ascii="仿宋_GB2312" w:eastAsia="仿宋_GB2312" w:hint="eastAsia"/>
          <w:lang w:val="en"/>
        </w:rPr>
        <w:t>mIU/L再备孕</w:t>
      </w:r>
      <w:r>
        <w:rPr>
          <w:rFonts w:ascii="仿宋_GB2312" w:eastAsia="仿宋_GB2312"/>
          <w:lang w:val="en"/>
        </w:rPr>
        <w:t>。甲状腺功能减退（甲减）患者因甲状腺素（T3/T4）缺乏导致全身代谢减缓，表现为排卵障碍、黄体功能不全及子宫内膜容受性下降，补充左甲状腺素（L-T4）可恢复</w:t>
      </w:r>
      <w:r>
        <w:rPr>
          <w:rFonts w:ascii="仿宋_GB2312" w:eastAsia="仿宋_GB2312"/>
          <w:lang w:val="en"/>
        </w:rPr>
        <w:lastRenderedPageBreak/>
        <w:t>卵巢-子宫轴的正常功能，提升受孕概率。</w:t>
      </w:r>
    </w:p>
    <w:bookmarkEnd w:id="3"/>
    <w:p w14:paraId="66249CCB" w14:textId="77777777" w:rsidR="00657B1F" w:rsidRDefault="007A06E5">
      <w:pPr>
        <w:pStyle w:val="BodyText2"/>
        <w:spacing w:after="0" w:line="560" w:lineRule="exact"/>
        <w:ind w:firstLineChars="200" w:firstLine="640"/>
        <w:jc w:val="left"/>
        <w:rPr>
          <w:rFonts w:ascii="仿宋_GB2312" w:eastAsia="仿宋_GB2312"/>
          <w:lang w:val="en"/>
        </w:rPr>
      </w:pPr>
      <w:r>
        <w:rPr>
          <w:rFonts w:ascii="仿宋_GB2312" w:eastAsia="仿宋_GB2312" w:hint="eastAsia"/>
          <w:lang w:val="en"/>
        </w:rPr>
        <w:t>考虑到抗生素治疗是清除人型支原体、衣原体及淋球菌感染的唯一有效手段，可阻断病理损伤进程、预防远期生殖健康损害，并遏制耐药菌株传播。通过感染因素检查，诊断为人型支原体、衣原体、淋球菌感染时，明确应进行抗生素治疗</w:t>
      </w:r>
      <w:r>
        <w:rPr>
          <w:rFonts w:ascii="仿宋_GB2312" w:eastAsia="仿宋_GB2312"/>
          <w:lang w:val="en"/>
        </w:rPr>
        <w:t>。</w:t>
      </w:r>
    </w:p>
    <w:p w14:paraId="25A00C7C" w14:textId="77777777" w:rsidR="00657B1F" w:rsidRDefault="007A06E5">
      <w:pPr>
        <w:pStyle w:val="BodyText2"/>
        <w:spacing w:after="0" w:line="560" w:lineRule="exact"/>
        <w:ind w:firstLineChars="200" w:firstLine="640"/>
        <w:jc w:val="left"/>
        <w:rPr>
          <w:rFonts w:ascii="仿宋_GB2312" w:eastAsia="仿宋_GB2312" w:hAnsi="仿宋" w:cs="仿宋_GB2312"/>
          <w:color w:val="000000"/>
          <w:lang w:val="en" w:bidi="ar"/>
        </w:rPr>
      </w:pPr>
      <w:r>
        <w:rPr>
          <w:rFonts w:ascii="仿宋_GB2312" w:eastAsia="仿宋_GB2312"/>
          <w:lang w:val="en"/>
        </w:rPr>
        <w:t>考虑</w:t>
      </w:r>
      <w:r>
        <w:rPr>
          <w:rFonts w:ascii="仿宋_GB2312" w:eastAsia="仿宋_GB2312" w:hAnsi="仿宋" w:cs="仿宋_GB2312"/>
          <w:color w:val="000000"/>
          <w:lang w:val="en" w:bidi="ar"/>
        </w:rPr>
        <w:t>到改变饮食结构，可阻断外源性脂质过量摄入，纠正营养失衡；运动干预可促进脂质分解代谢，改善血管功能；药物干预，例如长期服用他汀类药物</w:t>
      </w:r>
      <w:r>
        <w:rPr>
          <w:rFonts w:ascii="仿宋_GB2312" w:eastAsia="仿宋_GB2312" w:hAnsi="仿宋" w:cs="仿宋_GB2312" w:hint="eastAsia"/>
          <w:color w:val="000000"/>
          <w:lang w:val="en" w:bidi="ar"/>
        </w:rPr>
        <w:t>，</w:t>
      </w:r>
      <w:r>
        <w:rPr>
          <w:rFonts w:ascii="仿宋_GB2312" w:eastAsia="仿宋_GB2312" w:hAnsi="仿宋" w:cs="仿宋_GB2312"/>
          <w:color w:val="000000"/>
          <w:lang w:val="en" w:bidi="ar"/>
        </w:rPr>
        <w:t>可稳定动脉斑块，降低心肌梗死风险</w:t>
      </w:r>
      <w:r>
        <w:rPr>
          <w:rFonts w:ascii="仿宋_GB2312" w:eastAsia="仿宋_GB2312" w:hAnsi="仿宋" w:cs="仿宋_GB2312" w:hint="eastAsia"/>
          <w:color w:val="000000"/>
          <w:lang w:val="en" w:bidi="ar"/>
        </w:rPr>
        <w:t>；联合方案可协同改善血脂谱，降低远期心血管风险。通过其他因素检查，诊断为高血脂时，明确应改变饮食结构，运动+药物减脂</w:t>
      </w:r>
      <w:r>
        <w:rPr>
          <w:rFonts w:ascii="仿宋_GB2312" w:eastAsia="仿宋_GB2312" w:hAnsi="仿宋" w:cs="仿宋_GB2312"/>
          <w:color w:val="000000"/>
          <w:lang w:val="en" w:bidi="ar"/>
        </w:rPr>
        <w:t>。</w:t>
      </w:r>
    </w:p>
    <w:p w14:paraId="080BCABD" w14:textId="77777777" w:rsidR="00657B1F" w:rsidRDefault="007A06E5">
      <w:pPr>
        <w:pStyle w:val="BodyText2"/>
        <w:spacing w:after="0" w:line="560" w:lineRule="exact"/>
        <w:ind w:firstLineChars="200" w:firstLine="640"/>
        <w:jc w:val="left"/>
        <w:rPr>
          <w:rFonts w:ascii="仿宋_GB2312" w:eastAsia="仿宋_GB2312" w:hAnsi="仿宋" w:cs="仿宋_GB2312"/>
          <w:color w:val="000000"/>
          <w:lang w:val="en" w:bidi="ar"/>
        </w:rPr>
      </w:pPr>
      <w:r>
        <w:rPr>
          <w:rFonts w:ascii="仿宋_GB2312" w:eastAsia="仿宋_GB2312" w:hAnsi="仿宋" w:cs="仿宋_GB2312" w:hint="eastAsia"/>
          <w:color w:val="000000"/>
          <w:lang w:val="en" w:bidi="ar"/>
        </w:rPr>
        <w:t>通过男方因素检查，诊断为少、弱、畸形精子症，高DFI时，明确应规律作息，避免熬夜、久坐、高温环境，适当运动，生活方式的调整，可改善精子生成环境；保持合适BMI，肥胖（BMI≥28）患者体内氧化应激水平升高，抑制精子线粒体功能，加剧精子活力下降；体重下降可改善精液参数，提升自然妊娠概率；补充维生素C、维生素E、锌、左卡尼汀、辅酶Q10等药物抗氧化治疗，有利于修复精子DNA损伤；严重畸形精子症可行辅助生殖技术助孕</w:t>
      </w:r>
      <w:r>
        <w:rPr>
          <w:rFonts w:ascii="仿宋_GB2312" w:eastAsia="仿宋_GB2312" w:hAnsi="仿宋" w:cs="仿宋_GB2312"/>
          <w:color w:val="000000"/>
          <w:lang w:val="en" w:bidi="ar"/>
        </w:rPr>
        <w:t>。</w:t>
      </w:r>
    </w:p>
    <w:p w14:paraId="476D7865" w14:textId="77777777" w:rsidR="00657B1F" w:rsidRDefault="007A06E5">
      <w:pPr>
        <w:pStyle w:val="BodyText2"/>
        <w:spacing w:after="0" w:line="560" w:lineRule="exact"/>
        <w:ind w:firstLineChars="200" w:firstLine="640"/>
        <w:jc w:val="left"/>
        <w:rPr>
          <w:rFonts w:ascii="仿宋_GB2312" w:eastAsia="仿宋_GB2312" w:hAnsi="仿宋" w:cs="仿宋_GB2312"/>
          <w:color w:val="000000"/>
          <w:lang w:val="en" w:bidi="ar"/>
        </w:rPr>
      </w:pPr>
      <w:r>
        <w:rPr>
          <w:rFonts w:ascii="仿宋_GB2312" w:eastAsia="仿宋_GB2312" w:hAnsi="仿宋" w:cs="仿宋_GB2312" w:hint="eastAsia"/>
          <w:color w:val="000000"/>
          <w:lang w:val="en" w:bidi="ar"/>
        </w:rPr>
        <w:t>针对不明原因的RSA，如细胞免疫紊乱，明确可选查：外周血T细胞、B细胞、NK细胞、Th1/Th2细胞因子等，联合检测上述指标可明确免疫紊乱类型（如NK细胞毒性升高伴Th1优势），指导个体化治疗；如异常，酌情选择泼尼</w:t>
      </w:r>
      <w:r>
        <w:rPr>
          <w:rFonts w:ascii="仿宋_GB2312" w:eastAsia="仿宋_GB2312" w:hAnsi="仿宋" w:cs="仿宋_GB2312" w:hint="eastAsia"/>
          <w:color w:val="000000"/>
          <w:lang w:val="en" w:bidi="ar"/>
        </w:rPr>
        <w:lastRenderedPageBreak/>
        <w:t>松或环孢素治疗，例如Th1/Th2失衡及NK细胞毒性升高可泼尼松干预以抑制过度免疫反应；Treg细胞缺陷或同种免疫异常选择环孢素A重建免疫耐受。</w:t>
      </w:r>
    </w:p>
    <w:p w14:paraId="4DB09C53" w14:textId="77777777" w:rsidR="00657B1F" w:rsidRDefault="007A06E5">
      <w:pPr>
        <w:numPr>
          <w:ilvl w:val="0"/>
          <w:numId w:val="7"/>
        </w:numPr>
        <w:spacing w:after="0" w:line="560" w:lineRule="exact"/>
        <w:ind w:left="0" w:firstLineChars="200" w:firstLine="643"/>
        <w:rPr>
          <w:rFonts w:ascii="楷体" w:eastAsia="楷体" w:hAnsi="楷体"/>
          <w:b/>
          <w:sz w:val="32"/>
          <w:szCs w:val="32"/>
        </w:rPr>
      </w:pPr>
      <w:r>
        <w:rPr>
          <w:rFonts w:ascii="楷体" w:eastAsia="楷体" w:hAnsi="楷体" w:hint="eastAsia"/>
          <w:b/>
          <w:sz w:val="32"/>
          <w:szCs w:val="32"/>
        </w:rPr>
        <w:t>随访与日常调护</w:t>
      </w:r>
    </w:p>
    <w:p w14:paraId="0B69E9A2" w14:textId="77777777" w:rsidR="00657B1F" w:rsidRDefault="007A06E5">
      <w:pPr>
        <w:spacing w:after="0" w:line="560" w:lineRule="exact"/>
        <w:ind w:firstLineChars="200" w:firstLine="640"/>
        <w:rPr>
          <w:rFonts w:ascii="仿宋_GB2312" w:eastAsia="仿宋_GB2312" w:hAnsi="仿宋" w:cs="仿宋_GB2312"/>
          <w:color w:val="000000"/>
          <w:sz w:val="32"/>
          <w:szCs w:val="32"/>
          <w:lang w:val="en" w:bidi="ar"/>
        </w:rPr>
      </w:pPr>
      <w:r>
        <w:rPr>
          <w:rFonts w:ascii="仿宋_GB2312" w:eastAsia="仿宋_GB2312" w:hAnsi="仿宋" w:cs="仿宋_GB2312"/>
          <w:color w:val="000000"/>
          <w:sz w:val="32"/>
          <w:szCs w:val="32"/>
          <w:lang w:val="en" w:bidi="ar"/>
        </w:rPr>
        <w:t>为监测复发风险及妊娠状态，动态调整治疗方案，预防并发症并实现长期管理，标准编制组基于实践经验总结归纳了随访与日常调护要求，并给出了</w:t>
      </w:r>
      <w:r>
        <w:rPr>
          <w:rFonts w:ascii="仿宋_GB2312" w:eastAsia="仿宋_GB2312" w:hAnsi="仿宋" w:cs="仿宋_GB2312" w:hint="eastAsia"/>
          <w:color w:val="000000"/>
          <w:sz w:val="32"/>
          <w:szCs w:val="32"/>
          <w:lang w:val="en" w:bidi="ar"/>
        </w:rPr>
        <w:t>不同妊娠阶段的随访内容参考。其中，</w:t>
      </w:r>
      <w:r>
        <w:rPr>
          <w:rFonts w:ascii="仿宋_GB2312" w:eastAsia="仿宋_GB2312" w:hAnsi="仿宋" w:cs="仿宋_GB2312"/>
          <w:color w:val="000000"/>
          <w:sz w:val="32"/>
          <w:szCs w:val="32"/>
          <w:lang w:val="en" w:bidi="ar"/>
        </w:rPr>
        <w:t>明确患者确定妊娠后</w:t>
      </w:r>
      <w:r>
        <w:rPr>
          <w:rFonts w:ascii="仿宋_GB2312" w:eastAsia="仿宋_GB2312" w:hAnsi="仿宋" w:cs="仿宋_GB2312" w:hint="eastAsia"/>
          <w:color w:val="000000"/>
          <w:sz w:val="32"/>
          <w:szCs w:val="32"/>
          <w:lang w:val="en" w:bidi="ar"/>
        </w:rPr>
        <w:t>的随访内容为：抽血查β-HCG和孕酮水平，确认妊娠，建立激素基线。此后定期检测血清β-HCG水平，每周1～2次，根据β-HCG增长情况评估胚胎发育状况，评估胚胎活性，并根据情况调整药物用量。当β-HCG增长至1</w:t>
      </w:r>
      <w:r>
        <w:rPr>
          <w:rFonts w:ascii="仿宋_GB2312" w:eastAsia="仿宋_GB2312" w:hAnsi="仿宋" w:cs="仿宋_GB2312" w:hint="eastAsia"/>
          <w:color w:val="000000"/>
          <w:sz w:val="32"/>
          <w:szCs w:val="32"/>
          <w:vertAlign w:val="superscript"/>
          <w:lang w:val="en" w:bidi="ar"/>
        </w:rPr>
        <w:t xml:space="preserve"> </w:t>
      </w:r>
      <w:r>
        <w:rPr>
          <w:rFonts w:ascii="仿宋_GB2312" w:eastAsia="仿宋_GB2312" w:hAnsi="仿宋" w:cs="仿宋_GB2312" w:hint="eastAsia"/>
          <w:color w:val="000000"/>
          <w:sz w:val="32"/>
          <w:szCs w:val="32"/>
          <w:lang w:val="en" w:bidi="ar"/>
        </w:rPr>
        <w:t>500</w:t>
      </w:r>
      <w:r>
        <w:rPr>
          <w:rFonts w:ascii="仿宋_GB2312" w:eastAsia="仿宋_GB2312" w:hAnsi="仿宋" w:cs="仿宋_GB2312" w:hint="eastAsia"/>
          <w:color w:val="000000"/>
          <w:sz w:val="32"/>
          <w:szCs w:val="32"/>
          <w:vertAlign w:val="superscript"/>
          <w:lang w:val="en" w:bidi="ar"/>
        </w:rPr>
        <w:t xml:space="preserve"> </w:t>
      </w:r>
      <w:r>
        <w:rPr>
          <w:rFonts w:ascii="仿宋_GB2312" w:eastAsia="仿宋_GB2312" w:hAnsi="仿宋" w:cs="仿宋_GB2312" w:hint="eastAsia"/>
          <w:color w:val="000000"/>
          <w:sz w:val="32"/>
          <w:szCs w:val="32"/>
          <w:lang w:val="en" w:bidi="ar"/>
        </w:rPr>
        <w:t>mIU/mL</w:t>
      </w:r>
      <w:r>
        <w:rPr>
          <w:rFonts w:ascii="仿宋_GB2312" w:eastAsia="仿宋_GB2312" w:hAnsi="仿宋" w:cs="仿宋_GB2312" w:hint="eastAsia"/>
          <w:color w:val="000000"/>
          <w:sz w:val="32"/>
          <w:szCs w:val="32"/>
          <w:lang w:bidi="ar"/>
        </w:rPr>
        <w:t>以上时</w:t>
      </w:r>
      <w:r>
        <w:rPr>
          <w:rFonts w:ascii="仿宋_GB2312" w:eastAsia="仿宋_GB2312" w:hAnsi="仿宋" w:cs="仿宋_GB2312" w:hint="eastAsia"/>
          <w:color w:val="000000"/>
          <w:sz w:val="32"/>
          <w:szCs w:val="32"/>
          <w:lang w:val="en" w:bidi="ar"/>
        </w:rPr>
        <w:t>，超声了解胚胎着床位置，排除异位妊娠，明确宫内胚胎状态：如为宫内妊娠，加强保胎治疗；如为异位妊娠，则转至妇科进行相应治疗。</w:t>
      </w:r>
    </w:p>
    <w:p w14:paraId="79349848" w14:textId="77777777" w:rsidR="00657B1F" w:rsidRDefault="007A06E5">
      <w:pPr>
        <w:spacing w:after="0" w:line="240" w:lineRule="auto"/>
        <w:ind w:firstLineChars="200" w:firstLine="640"/>
        <w:outlineLvl w:val="0"/>
        <w:rPr>
          <w:rFonts w:ascii="黑体" w:eastAsia="黑体" w:hAnsi="宋体" w:cs="黑体"/>
          <w:bCs/>
          <w:sz w:val="32"/>
          <w:szCs w:val="32"/>
          <w:lang w:bidi="ar"/>
        </w:rPr>
      </w:pPr>
      <w:r>
        <w:rPr>
          <w:rFonts w:ascii="黑体" w:eastAsia="黑体" w:hAnsi="宋体" w:cs="黑体" w:hint="eastAsia"/>
          <w:bCs/>
          <w:sz w:val="32"/>
          <w:szCs w:val="32"/>
          <w:lang w:bidi="ar"/>
        </w:rPr>
        <w:t>六、重大意见分歧的处理依据和结果</w:t>
      </w:r>
    </w:p>
    <w:p w14:paraId="71C2F757" w14:textId="77777777" w:rsidR="00657B1F" w:rsidRDefault="007A06E5">
      <w:pPr>
        <w:spacing w:after="0"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lang w:bidi="ar"/>
        </w:rPr>
        <w:t>本标准研制过程中无重大分歧意见。</w:t>
      </w:r>
    </w:p>
    <w:p w14:paraId="5F97C81A" w14:textId="77777777" w:rsidR="00657B1F" w:rsidRDefault="007A06E5">
      <w:pPr>
        <w:spacing w:after="0" w:line="240" w:lineRule="auto"/>
        <w:ind w:firstLineChars="200" w:firstLine="640"/>
        <w:outlineLvl w:val="0"/>
        <w:rPr>
          <w:rFonts w:ascii="黑体" w:eastAsia="黑体" w:hAnsi="宋体" w:cs="黑体"/>
          <w:bCs/>
          <w:color w:val="FF0000"/>
          <w:sz w:val="32"/>
          <w:szCs w:val="32"/>
        </w:rPr>
      </w:pPr>
      <w:r>
        <w:rPr>
          <w:rFonts w:ascii="黑体" w:eastAsia="黑体" w:hAnsi="宋体" w:cs="黑体" w:hint="eastAsia"/>
          <w:bCs/>
          <w:sz w:val="32"/>
          <w:szCs w:val="32"/>
          <w:lang w:bidi="ar"/>
        </w:rPr>
        <w:t>七、实施标准的措施</w:t>
      </w:r>
    </w:p>
    <w:p w14:paraId="5CE48541" w14:textId="151F24F1" w:rsidR="00657B1F" w:rsidRDefault="007A06E5">
      <w:pPr>
        <w:spacing w:after="0" w:line="560" w:lineRule="exact"/>
        <w:ind w:firstLineChars="200" w:firstLine="640"/>
        <w:rPr>
          <w:rFonts w:ascii="仿宋_GB2312" w:eastAsia="仿宋_GB2312" w:hAnsi="仿宋" w:cs="仿宋_GB2312"/>
          <w:color w:val="000000"/>
          <w:sz w:val="32"/>
          <w:szCs w:val="32"/>
          <w:lang w:bidi="ar"/>
        </w:rPr>
      </w:pPr>
      <w:r>
        <w:rPr>
          <w:rFonts w:ascii="仿宋_GB2312" w:eastAsia="仿宋_GB2312" w:hAnsi="仿宋" w:cs="仿宋_GB2312" w:hint="eastAsia"/>
          <w:color w:val="000000"/>
          <w:sz w:val="32"/>
          <w:szCs w:val="32"/>
          <w:lang w:bidi="ar"/>
        </w:rPr>
        <w:t>团体标准《复发性流产诊疗规范》发布后，积极向各级相关行政部门、医疗机构宣传，向所有医疗机构推荐执行本标准。</w:t>
      </w:r>
    </w:p>
    <w:p w14:paraId="66D8E09B" w14:textId="26523CA1" w:rsidR="000126AE" w:rsidRDefault="000126AE" w:rsidP="000126AE">
      <w:pPr>
        <w:pStyle w:val="BodyText2"/>
        <w:rPr>
          <w:lang w:bidi="ar"/>
        </w:rPr>
      </w:pPr>
    </w:p>
    <w:p w14:paraId="3BECAA9B" w14:textId="27744B20" w:rsidR="000126AE" w:rsidRDefault="000126AE" w:rsidP="000126AE">
      <w:pPr>
        <w:pStyle w:val="BodyText2"/>
        <w:rPr>
          <w:lang w:bidi="ar"/>
        </w:rPr>
      </w:pPr>
    </w:p>
    <w:p w14:paraId="3372CDB0" w14:textId="77777777" w:rsidR="000126AE" w:rsidRPr="000126AE" w:rsidRDefault="000126AE" w:rsidP="000126AE">
      <w:pPr>
        <w:pStyle w:val="BodyText2"/>
        <w:rPr>
          <w:rFonts w:hint="eastAsia"/>
          <w:lang w:bidi="ar"/>
        </w:rPr>
      </w:pPr>
    </w:p>
    <w:p w14:paraId="1D4B83E5" w14:textId="77777777" w:rsidR="00657B1F" w:rsidRDefault="007A06E5">
      <w:pPr>
        <w:spacing w:after="0" w:line="240" w:lineRule="auto"/>
        <w:ind w:firstLineChars="200" w:firstLine="640"/>
        <w:outlineLvl w:val="0"/>
        <w:rPr>
          <w:rFonts w:ascii="黑体" w:eastAsia="黑体" w:hAnsi="宋体" w:cs="黑体"/>
          <w:bCs/>
          <w:sz w:val="32"/>
          <w:szCs w:val="32"/>
          <w:lang w:bidi="ar"/>
        </w:rPr>
      </w:pPr>
      <w:r>
        <w:rPr>
          <w:rFonts w:ascii="黑体" w:eastAsia="黑体" w:hAnsi="宋体" w:cs="黑体" w:hint="eastAsia"/>
          <w:bCs/>
          <w:sz w:val="32"/>
          <w:szCs w:val="32"/>
          <w:lang w:bidi="ar"/>
        </w:rPr>
        <w:lastRenderedPageBreak/>
        <w:t>八、其他应当说明的事项</w:t>
      </w:r>
    </w:p>
    <w:p w14:paraId="750FBA29" w14:textId="77777777" w:rsidR="00657B1F" w:rsidRDefault="007A06E5">
      <w:pPr>
        <w:widowControl/>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7765AC27" w14:textId="77777777" w:rsidR="00657B1F" w:rsidRDefault="00657B1F">
      <w:pPr>
        <w:pStyle w:val="BodyText2"/>
        <w:rPr>
          <w:lang w:bidi="ar"/>
        </w:rPr>
      </w:pPr>
    </w:p>
    <w:p w14:paraId="128A5EB7" w14:textId="77777777" w:rsidR="00657B1F" w:rsidRDefault="00657B1F">
      <w:pPr>
        <w:pStyle w:val="BodyText2"/>
        <w:rPr>
          <w:lang w:bidi="ar"/>
        </w:rPr>
      </w:pPr>
    </w:p>
    <w:p w14:paraId="61604069" w14:textId="77777777" w:rsidR="00657B1F" w:rsidRDefault="007A06E5">
      <w:pPr>
        <w:spacing w:after="0" w:line="560" w:lineRule="exact"/>
        <w:ind w:right="1280" w:firstLineChars="200" w:firstLine="640"/>
        <w:jc w:val="right"/>
        <w:rPr>
          <w:rFonts w:ascii="仿宋_GB2312" w:eastAsia="仿宋_GB2312" w:hAnsi="宋体"/>
          <w:sz w:val="32"/>
          <w:szCs w:val="32"/>
        </w:rPr>
      </w:pPr>
      <w:r>
        <w:rPr>
          <w:rFonts w:ascii="仿宋_GB2312" w:eastAsia="仿宋_GB2312" w:hAnsi="宋体" w:hint="eastAsia"/>
          <w:sz w:val="32"/>
          <w:szCs w:val="32"/>
        </w:rPr>
        <w:t>团体标准</w:t>
      </w:r>
    </w:p>
    <w:p w14:paraId="4493E33F" w14:textId="77777777" w:rsidR="00657B1F" w:rsidRDefault="007A06E5">
      <w:pPr>
        <w:spacing w:after="0" w:line="560" w:lineRule="exact"/>
        <w:ind w:firstLineChars="200" w:firstLine="640"/>
        <w:jc w:val="right"/>
        <w:rPr>
          <w:rFonts w:ascii="仿宋_GB2312" w:eastAsia="仿宋_GB2312" w:hAnsi="宋体"/>
          <w:sz w:val="32"/>
          <w:szCs w:val="32"/>
        </w:rPr>
      </w:pPr>
      <w:r>
        <w:rPr>
          <w:rFonts w:ascii="仿宋_GB2312" w:eastAsia="仿宋_GB2312" w:hAnsi="宋体" w:hint="eastAsia"/>
          <w:sz w:val="32"/>
          <w:szCs w:val="32"/>
        </w:rPr>
        <w:t>《复发性流产诊疗规范》</w:t>
      </w:r>
    </w:p>
    <w:p w14:paraId="7881BF53" w14:textId="77777777" w:rsidR="00657B1F" w:rsidRDefault="007A06E5">
      <w:pPr>
        <w:spacing w:after="0" w:line="560" w:lineRule="exact"/>
        <w:ind w:right="960" w:firstLineChars="200" w:firstLine="640"/>
        <w:jc w:val="right"/>
        <w:rPr>
          <w:rFonts w:ascii="仿宋_GB2312" w:eastAsia="仿宋_GB2312" w:hAnsi="宋体"/>
          <w:sz w:val="32"/>
          <w:szCs w:val="32"/>
        </w:rPr>
      </w:pPr>
      <w:r>
        <w:rPr>
          <w:rFonts w:ascii="仿宋_GB2312" w:eastAsia="仿宋_GB2312" w:hAnsi="宋体" w:hint="eastAsia"/>
          <w:sz w:val="32"/>
          <w:szCs w:val="32"/>
        </w:rPr>
        <w:t>标准编制组</w:t>
      </w:r>
    </w:p>
    <w:p w14:paraId="2495D262" w14:textId="77777777" w:rsidR="00657B1F" w:rsidRDefault="007A06E5">
      <w:pPr>
        <w:spacing w:after="0" w:line="560" w:lineRule="exact"/>
        <w:ind w:right="320" w:firstLineChars="200" w:firstLine="640"/>
        <w:jc w:val="right"/>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5</w:t>
      </w:r>
      <w:r>
        <w:rPr>
          <w:rFonts w:ascii="仿宋_GB2312" w:eastAsia="仿宋_GB2312" w:hAnsi="宋体" w:hint="eastAsia"/>
          <w:sz w:val="32"/>
          <w:szCs w:val="32"/>
        </w:rPr>
        <w:t>年5</w:t>
      </w:r>
      <w:bookmarkStart w:id="4" w:name="_GoBack"/>
      <w:bookmarkEnd w:id="4"/>
      <w:r>
        <w:rPr>
          <w:rFonts w:ascii="仿宋_GB2312" w:eastAsia="仿宋_GB2312" w:hAnsi="宋体" w:hint="eastAsia"/>
          <w:sz w:val="32"/>
          <w:szCs w:val="32"/>
        </w:rPr>
        <w:t>月12日</w:t>
      </w:r>
    </w:p>
    <w:sectPr w:rsidR="00657B1F">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2D645" w14:textId="77777777" w:rsidR="0057096F" w:rsidRDefault="0057096F">
      <w:pPr>
        <w:spacing w:line="240" w:lineRule="auto"/>
      </w:pPr>
      <w:r>
        <w:separator/>
      </w:r>
    </w:p>
  </w:endnote>
  <w:endnote w:type="continuationSeparator" w:id="0">
    <w:p w14:paraId="74323FCB" w14:textId="77777777" w:rsidR="0057096F" w:rsidRDefault="005709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embedRegular r:id="rId1" w:subsetted="1" w:fontKey="{FE6843A9-16FD-4595-B38D-F6A4246FCE5F}"/>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2" w:subsetted="1" w:fontKey="{85E00217-B774-4417-8118-DFD3E8151C4C}"/>
  </w:font>
  <w:font w:name="方正小标宋简体">
    <w:altName w:val="Microsoft YaHei UI"/>
    <w:charset w:val="86"/>
    <w:family w:val="script"/>
    <w:pitch w:val="fixed"/>
    <w:sig w:usb0="00000001" w:usb1="080E0000" w:usb2="00000010" w:usb3="00000000" w:csb0="00040000" w:csb1="00000000"/>
    <w:embedRegular r:id="rId3" w:subsetted="1" w:fontKey="{DBBC2F76-B8B7-4478-A82A-1D65DBB761E4}"/>
  </w:font>
  <w:font w:name="仿宋_GB2312">
    <w:altName w:val="仿宋"/>
    <w:charset w:val="86"/>
    <w:family w:val="modern"/>
    <w:pitch w:val="fixed"/>
    <w:sig w:usb0="00000001" w:usb1="080E0000" w:usb2="00000010" w:usb3="00000000" w:csb0="00040000" w:csb1="00000000"/>
    <w:embedRegular r:id="rId4" w:subsetted="1" w:fontKey="{4FE79493-B55F-4496-8687-DC8084B564F9}"/>
    <w:embedBold r:id="rId5" w:subsetted="1" w:fontKey="{7FF36BA4-B852-4C26-AB17-A0ADF4486723}"/>
  </w:font>
  <w:font w:name="仿宋">
    <w:panose1 w:val="02010609060101010101"/>
    <w:charset w:val="86"/>
    <w:family w:val="modern"/>
    <w:pitch w:val="fixed"/>
    <w:sig w:usb0="800002BF" w:usb1="38CF7CFA" w:usb2="00000016" w:usb3="00000000" w:csb0="00040001" w:csb1="00000000"/>
    <w:embedRegular r:id="rId6" w:subsetted="1" w:fontKey="{16DB4C35-2FC3-4F11-9B1F-A9C125013CFB}"/>
  </w:font>
  <w:font w:name="楷体">
    <w:panose1 w:val="02010609060101010101"/>
    <w:charset w:val="86"/>
    <w:family w:val="modern"/>
    <w:pitch w:val="fixed"/>
    <w:sig w:usb0="800002BF" w:usb1="38CF7CFA" w:usb2="00000016" w:usb3="00000000" w:csb0="00040001" w:csb1="00000000"/>
    <w:embedBold r:id="rId7" w:subsetted="1" w:fontKey="{50E5728E-D270-4E86-BEF7-5D96D9137E5A}"/>
  </w:font>
  <w:font w:name="Cambria Math">
    <w:panose1 w:val="02040503050406030204"/>
    <w:charset w:val="00"/>
    <w:family w:val="roman"/>
    <w:pitch w:val="variable"/>
    <w:sig w:usb0="E00006FF" w:usb1="420024FF" w:usb2="02000000" w:usb3="00000000" w:csb0="0000019F" w:csb1="00000000"/>
    <w:embedRegular r:id="rId8" w:subsetted="1" w:fontKey="{923258A1-5BC8-4FDD-A4C1-A25485E0C78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1666264"/>
    </w:sdtPr>
    <w:sdtEndPr/>
    <w:sdtContent>
      <w:p w14:paraId="29A7347A" w14:textId="65B741D4" w:rsidR="00657B1F" w:rsidRDefault="007A06E5">
        <w:pPr>
          <w:pStyle w:val="af8"/>
          <w:jc w:val="center"/>
        </w:pPr>
        <w:r>
          <w:fldChar w:fldCharType="begin"/>
        </w:r>
        <w:r>
          <w:instrText>PAGE   \* MERGEFORMAT</w:instrText>
        </w:r>
        <w:r>
          <w:fldChar w:fldCharType="separate"/>
        </w:r>
        <w:r w:rsidR="000126AE" w:rsidRPr="000126AE">
          <w:rPr>
            <w:noProof/>
            <w:lang w:val="zh-CN"/>
          </w:rPr>
          <w:t>20</w:t>
        </w:r>
        <w:r>
          <w:fldChar w:fldCharType="end"/>
        </w:r>
      </w:p>
    </w:sdtContent>
  </w:sdt>
  <w:p w14:paraId="0E94E93E" w14:textId="77777777" w:rsidR="00657B1F" w:rsidRDefault="00657B1F">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958C4" w14:textId="77777777" w:rsidR="0057096F" w:rsidRDefault="0057096F">
      <w:pPr>
        <w:spacing w:after="0"/>
      </w:pPr>
      <w:r>
        <w:separator/>
      </w:r>
    </w:p>
  </w:footnote>
  <w:footnote w:type="continuationSeparator" w:id="0">
    <w:p w14:paraId="5FD064BD" w14:textId="77777777" w:rsidR="0057096F" w:rsidRDefault="005709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1AAB4EC2"/>
    <w:multiLevelType w:val="multilevel"/>
    <w:tmpl w:val="1AAB4EC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6"/>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zYjllYmY2NzhhNWE3MDUzYmVjNDFiZDNlNjU1MTcifQ=="/>
  </w:docVars>
  <w:rsids>
    <w:rsidRoot w:val="0037490B"/>
    <w:rsid w:val="977D19C1"/>
    <w:rsid w:val="9A8FBC88"/>
    <w:rsid w:val="9FC1664C"/>
    <w:rsid w:val="A37777A2"/>
    <w:rsid w:val="A392AFBE"/>
    <w:rsid w:val="AFF7FEA9"/>
    <w:rsid w:val="B1AFE78E"/>
    <w:rsid w:val="BDF3DA5F"/>
    <w:rsid w:val="BFAC5A7E"/>
    <w:rsid w:val="BFFF5BE7"/>
    <w:rsid w:val="CB98BB69"/>
    <w:rsid w:val="CBDF6337"/>
    <w:rsid w:val="D96ADAB5"/>
    <w:rsid w:val="D9DF1BD3"/>
    <w:rsid w:val="DCEBDFBF"/>
    <w:rsid w:val="DEB77C94"/>
    <w:rsid w:val="DFF3B85F"/>
    <w:rsid w:val="E6B730D4"/>
    <w:rsid w:val="E7FFA471"/>
    <w:rsid w:val="EC3D2426"/>
    <w:rsid w:val="EDDC0A6C"/>
    <w:rsid w:val="EFA9B1BF"/>
    <w:rsid w:val="EFDEF899"/>
    <w:rsid w:val="EFDF1185"/>
    <w:rsid w:val="EFED31DD"/>
    <w:rsid w:val="EFFE7E47"/>
    <w:rsid w:val="F2751EA0"/>
    <w:rsid w:val="F4EDAF7E"/>
    <w:rsid w:val="F5D72DF5"/>
    <w:rsid w:val="FB9DA292"/>
    <w:rsid w:val="FBB9FBE2"/>
    <w:rsid w:val="FCF732C5"/>
    <w:rsid w:val="FE37FEE7"/>
    <w:rsid w:val="FEEC5534"/>
    <w:rsid w:val="FF3F322F"/>
    <w:rsid w:val="FF87FA78"/>
    <w:rsid w:val="FF9B358D"/>
    <w:rsid w:val="FFDE7A58"/>
    <w:rsid w:val="FFEF88C2"/>
    <w:rsid w:val="FFF76447"/>
    <w:rsid w:val="FFF9A946"/>
    <w:rsid w:val="FFFD0352"/>
    <w:rsid w:val="FFFFB72B"/>
    <w:rsid w:val="000005CA"/>
    <w:rsid w:val="00000707"/>
    <w:rsid w:val="00000AD9"/>
    <w:rsid w:val="00000E4A"/>
    <w:rsid w:val="00001814"/>
    <w:rsid w:val="00001CE0"/>
    <w:rsid w:val="00002424"/>
    <w:rsid w:val="00002995"/>
    <w:rsid w:val="00003DB3"/>
    <w:rsid w:val="0000435A"/>
    <w:rsid w:val="00012082"/>
    <w:rsid w:val="000126AE"/>
    <w:rsid w:val="000126E8"/>
    <w:rsid w:val="00012BF0"/>
    <w:rsid w:val="00013BBF"/>
    <w:rsid w:val="0001766E"/>
    <w:rsid w:val="00021472"/>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43580"/>
    <w:rsid w:val="000438DF"/>
    <w:rsid w:val="00044D55"/>
    <w:rsid w:val="00046883"/>
    <w:rsid w:val="000472C5"/>
    <w:rsid w:val="000504E1"/>
    <w:rsid w:val="0005176B"/>
    <w:rsid w:val="00051846"/>
    <w:rsid w:val="00051CD3"/>
    <w:rsid w:val="00052633"/>
    <w:rsid w:val="00052F6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6A07"/>
    <w:rsid w:val="00077D12"/>
    <w:rsid w:val="00080929"/>
    <w:rsid w:val="000821B5"/>
    <w:rsid w:val="00082CE2"/>
    <w:rsid w:val="00085453"/>
    <w:rsid w:val="00087B41"/>
    <w:rsid w:val="0009078F"/>
    <w:rsid w:val="000907FE"/>
    <w:rsid w:val="00093876"/>
    <w:rsid w:val="00094DC8"/>
    <w:rsid w:val="0009683D"/>
    <w:rsid w:val="00096EB4"/>
    <w:rsid w:val="00097B46"/>
    <w:rsid w:val="000A0843"/>
    <w:rsid w:val="000A119D"/>
    <w:rsid w:val="000A27BF"/>
    <w:rsid w:val="000A2963"/>
    <w:rsid w:val="000A3426"/>
    <w:rsid w:val="000A671D"/>
    <w:rsid w:val="000A7270"/>
    <w:rsid w:val="000B29C5"/>
    <w:rsid w:val="000B354A"/>
    <w:rsid w:val="000B3F01"/>
    <w:rsid w:val="000B4B01"/>
    <w:rsid w:val="000B4D20"/>
    <w:rsid w:val="000B544F"/>
    <w:rsid w:val="000B6EA3"/>
    <w:rsid w:val="000B7B2A"/>
    <w:rsid w:val="000C1499"/>
    <w:rsid w:val="000C1656"/>
    <w:rsid w:val="000C23E0"/>
    <w:rsid w:val="000C5759"/>
    <w:rsid w:val="000C5933"/>
    <w:rsid w:val="000C680B"/>
    <w:rsid w:val="000D1CC7"/>
    <w:rsid w:val="000D28E9"/>
    <w:rsid w:val="000D3740"/>
    <w:rsid w:val="000D472A"/>
    <w:rsid w:val="000E0C1D"/>
    <w:rsid w:val="000E3BE1"/>
    <w:rsid w:val="000E4416"/>
    <w:rsid w:val="000E4E87"/>
    <w:rsid w:val="000E57B1"/>
    <w:rsid w:val="000E6F14"/>
    <w:rsid w:val="000F2752"/>
    <w:rsid w:val="000F3B3B"/>
    <w:rsid w:val="000F3F92"/>
    <w:rsid w:val="000F76C3"/>
    <w:rsid w:val="000F7E5B"/>
    <w:rsid w:val="00100F24"/>
    <w:rsid w:val="00101414"/>
    <w:rsid w:val="00101862"/>
    <w:rsid w:val="001037D6"/>
    <w:rsid w:val="00103D28"/>
    <w:rsid w:val="0010718F"/>
    <w:rsid w:val="00112E2C"/>
    <w:rsid w:val="0011489D"/>
    <w:rsid w:val="00115C0F"/>
    <w:rsid w:val="00115C18"/>
    <w:rsid w:val="00120F4F"/>
    <w:rsid w:val="00120F6B"/>
    <w:rsid w:val="00121C31"/>
    <w:rsid w:val="001226E6"/>
    <w:rsid w:val="0012286E"/>
    <w:rsid w:val="00122F61"/>
    <w:rsid w:val="0012516A"/>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7E5E"/>
    <w:rsid w:val="0014119F"/>
    <w:rsid w:val="001420D9"/>
    <w:rsid w:val="00142A85"/>
    <w:rsid w:val="00143457"/>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7D7"/>
    <w:rsid w:val="00170088"/>
    <w:rsid w:val="0017019C"/>
    <w:rsid w:val="0017068B"/>
    <w:rsid w:val="00170F62"/>
    <w:rsid w:val="001719D7"/>
    <w:rsid w:val="001729C6"/>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6DB3"/>
    <w:rsid w:val="001C0E52"/>
    <w:rsid w:val="001C2328"/>
    <w:rsid w:val="001C3624"/>
    <w:rsid w:val="001C3FE3"/>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3369"/>
    <w:rsid w:val="00203F22"/>
    <w:rsid w:val="00204DAA"/>
    <w:rsid w:val="00205F41"/>
    <w:rsid w:val="002064AD"/>
    <w:rsid w:val="002127FC"/>
    <w:rsid w:val="002148D2"/>
    <w:rsid w:val="00215122"/>
    <w:rsid w:val="00215686"/>
    <w:rsid w:val="002156A6"/>
    <w:rsid w:val="00216631"/>
    <w:rsid w:val="002171FA"/>
    <w:rsid w:val="00217829"/>
    <w:rsid w:val="00220171"/>
    <w:rsid w:val="0022020B"/>
    <w:rsid w:val="00220A32"/>
    <w:rsid w:val="00220B99"/>
    <w:rsid w:val="002219B5"/>
    <w:rsid w:val="0022384B"/>
    <w:rsid w:val="002239F3"/>
    <w:rsid w:val="00224982"/>
    <w:rsid w:val="00225AB5"/>
    <w:rsid w:val="00225C70"/>
    <w:rsid w:val="002306BF"/>
    <w:rsid w:val="00230FE3"/>
    <w:rsid w:val="00231E23"/>
    <w:rsid w:val="0023201C"/>
    <w:rsid w:val="002331BB"/>
    <w:rsid w:val="002338C3"/>
    <w:rsid w:val="00234398"/>
    <w:rsid w:val="0023444B"/>
    <w:rsid w:val="00234EC1"/>
    <w:rsid w:val="002354BE"/>
    <w:rsid w:val="002357C8"/>
    <w:rsid w:val="0023595B"/>
    <w:rsid w:val="002425E3"/>
    <w:rsid w:val="00245211"/>
    <w:rsid w:val="00246705"/>
    <w:rsid w:val="002519A5"/>
    <w:rsid w:val="0025225A"/>
    <w:rsid w:val="00252C67"/>
    <w:rsid w:val="002531B2"/>
    <w:rsid w:val="0025439B"/>
    <w:rsid w:val="00255076"/>
    <w:rsid w:val="00256BC8"/>
    <w:rsid w:val="00257962"/>
    <w:rsid w:val="002609DF"/>
    <w:rsid w:val="00262B50"/>
    <w:rsid w:val="0026386B"/>
    <w:rsid w:val="00266674"/>
    <w:rsid w:val="0027055E"/>
    <w:rsid w:val="00270F5A"/>
    <w:rsid w:val="00271153"/>
    <w:rsid w:val="002718CB"/>
    <w:rsid w:val="00272ECD"/>
    <w:rsid w:val="00273201"/>
    <w:rsid w:val="00275A63"/>
    <w:rsid w:val="00275AA3"/>
    <w:rsid w:val="00282082"/>
    <w:rsid w:val="00282225"/>
    <w:rsid w:val="0028355F"/>
    <w:rsid w:val="00284186"/>
    <w:rsid w:val="00284311"/>
    <w:rsid w:val="0028475F"/>
    <w:rsid w:val="0028541A"/>
    <w:rsid w:val="00287A6B"/>
    <w:rsid w:val="00287D8F"/>
    <w:rsid w:val="002908DF"/>
    <w:rsid w:val="00290CF8"/>
    <w:rsid w:val="00292CEA"/>
    <w:rsid w:val="00292DE5"/>
    <w:rsid w:val="00292F83"/>
    <w:rsid w:val="00293DF7"/>
    <w:rsid w:val="002946D7"/>
    <w:rsid w:val="00296164"/>
    <w:rsid w:val="002A1DE2"/>
    <w:rsid w:val="002A2D83"/>
    <w:rsid w:val="002A34D4"/>
    <w:rsid w:val="002A607A"/>
    <w:rsid w:val="002A6206"/>
    <w:rsid w:val="002A65F2"/>
    <w:rsid w:val="002B100F"/>
    <w:rsid w:val="002B176E"/>
    <w:rsid w:val="002B3286"/>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EC0"/>
    <w:rsid w:val="002D0F44"/>
    <w:rsid w:val="002D0FDE"/>
    <w:rsid w:val="002D4929"/>
    <w:rsid w:val="002D4FC0"/>
    <w:rsid w:val="002D6215"/>
    <w:rsid w:val="002D6356"/>
    <w:rsid w:val="002E1137"/>
    <w:rsid w:val="002E1BFD"/>
    <w:rsid w:val="002E33C3"/>
    <w:rsid w:val="002E4BF9"/>
    <w:rsid w:val="002F1A13"/>
    <w:rsid w:val="002F1BB3"/>
    <w:rsid w:val="002F2165"/>
    <w:rsid w:val="002F25D8"/>
    <w:rsid w:val="002F28C2"/>
    <w:rsid w:val="002F57B7"/>
    <w:rsid w:val="002F5CD1"/>
    <w:rsid w:val="002F639C"/>
    <w:rsid w:val="002F6494"/>
    <w:rsid w:val="002F683C"/>
    <w:rsid w:val="002F7551"/>
    <w:rsid w:val="002F7C10"/>
    <w:rsid w:val="00300A5E"/>
    <w:rsid w:val="00306E58"/>
    <w:rsid w:val="0030718D"/>
    <w:rsid w:val="00307D97"/>
    <w:rsid w:val="00307DD9"/>
    <w:rsid w:val="00311598"/>
    <w:rsid w:val="00311ABF"/>
    <w:rsid w:val="0031537E"/>
    <w:rsid w:val="00316932"/>
    <w:rsid w:val="00316CF4"/>
    <w:rsid w:val="003176CC"/>
    <w:rsid w:val="00320788"/>
    <w:rsid w:val="00324901"/>
    <w:rsid w:val="00330D99"/>
    <w:rsid w:val="003322F5"/>
    <w:rsid w:val="00332F81"/>
    <w:rsid w:val="003355C8"/>
    <w:rsid w:val="00335B12"/>
    <w:rsid w:val="0033691C"/>
    <w:rsid w:val="00336BDE"/>
    <w:rsid w:val="00336DA4"/>
    <w:rsid w:val="00341E4F"/>
    <w:rsid w:val="00342DC7"/>
    <w:rsid w:val="00342F19"/>
    <w:rsid w:val="00343F16"/>
    <w:rsid w:val="00345537"/>
    <w:rsid w:val="00345A67"/>
    <w:rsid w:val="00346D55"/>
    <w:rsid w:val="0034784B"/>
    <w:rsid w:val="00350CD9"/>
    <w:rsid w:val="00351282"/>
    <w:rsid w:val="003518F5"/>
    <w:rsid w:val="003538EC"/>
    <w:rsid w:val="00354B2E"/>
    <w:rsid w:val="00355DDC"/>
    <w:rsid w:val="003579E3"/>
    <w:rsid w:val="00357B40"/>
    <w:rsid w:val="00360157"/>
    <w:rsid w:val="003617F8"/>
    <w:rsid w:val="0036366F"/>
    <w:rsid w:val="00364C43"/>
    <w:rsid w:val="00366F06"/>
    <w:rsid w:val="00367455"/>
    <w:rsid w:val="00367CD0"/>
    <w:rsid w:val="00367DDC"/>
    <w:rsid w:val="00370F39"/>
    <w:rsid w:val="00371857"/>
    <w:rsid w:val="0037336B"/>
    <w:rsid w:val="00373CC6"/>
    <w:rsid w:val="00374750"/>
    <w:rsid w:val="0037490B"/>
    <w:rsid w:val="00374BC5"/>
    <w:rsid w:val="00375600"/>
    <w:rsid w:val="00376BA3"/>
    <w:rsid w:val="00384F17"/>
    <w:rsid w:val="00384F27"/>
    <w:rsid w:val="003860CF"/>
    <w:rsid w:val="00387FD0"/>
    <w:rsid w:val="00390362"/>
    <w:rsid w:val="003905EF"/>
    <w:rsid w:val="00390758"/>
    <w:rsid w:val="00390F8E"/>
    <w:rsid w:val="00391BF2"/>
    <w:rsid w:val="003928AE"/>
    <w:rsid w:val="00392B34"/>
    <w:rsid w:val="00392C6C"/>
    <w:rsid w:val="00393139"/>
    <w:rsid w:val="00394ABF"/>
    <w:rsid w:val="003950FD"/>
    <w:rsid w:val="00395AAD"/>
    <w:rsid w:val="003A049C"/>
    <w:rsid w:val="003A0BEB"/>
    <w:rsid w:val="003A3C7C"/>
    <w:rsid w:val="003A3E22"/>
    <w:rsid w:val="003A3E99"/>
    <w:rsid w:val="003A5B7E"/>
    <w:rsid w:val="003A7D11"/>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6D2"/>
    <w:rsid w:val="00411321"/>
    <w:rsid w:val="00412910"/>
    <w:rsid w:val="004129E9"/>
    <w:rsid w:val="00413A94"/>
    <w:rsid w:val="00415EA5"/>
    <w:rsid w:val="00417E13"/>
    <w:rsid w:val="00420DEE"/>
    <w:rsid w:val="004211A8"/>
    <w:rsid w:val="00421747"/>
    <w:rsid w:val="00421BEA"/>
    <w:rsid w:val="0042562D"/>
    <w:rsid w:val="0043013B"/>
    <w:rsid w:val="0043169F"/>
    <w:rsid w:val="00435C24"/>
    <w:rsid w:val="00442BF4"/>
    <w:rsid w:val="00443B36"/>
    <w:rsid w:val="004442E1"/>
    <w:rsid w:val="00445B75"/>
    <w:rsid w:val="0044688A"/>
    <w:rsid w:val="00450356"/>
    <w:rsid w:val="00450C89"/>
    <w:rsid w:val="00450E92"/>
    <w:rsid w:val="00451664"/>
    <w:rsid w:val="00452143"/>
    <w:rsid w:val="0045218D"/>
    <w:rsid w:val="00452AB3"/>
    <w:rsid w:val="004530D3"/>
    <w:rsid w:val="00454515"/>
    <w:rsid w:val="004552D8"/>
    <w:rsid w:val="00456F07"/>
    <w:rsid w:val="00461779"/>
    <w:rsid w:val="00465F1C"/>
    <w:rsid w:val="004661AA"/>
    <w:rsid w:val="00466614"/>
    <w:rsid w:val="00466F35"/>
    <w:rsid w:val="004671EF"/>
    <w:rsid w:val="00467906"/>
    <w:rsid w:val="00467E08"/>
    <w:rsid w:val="004703C2"/>
    <w:rsid w:val="00471279"/>
    <w:rsid w:val="00471DC2"/>
    <w:rsid w:val="00472170"/>
    <w:rsid w:val="004725E4"/>
    <w:rsid w:val="004749A8"/>
    <w:rsid w:val="00475485"/>
    <w:rsid w:val="00475657"/>
    <w:rsid w:val="004779CA"/>
    <w:rsid w:val="00482858"/>
    <w:rsid w:val="004831E3"/>
    <w:rsid w:val="004846D3"/>
    <w:rsid w:val="004859DB"/>
    <w:rsid w:val="004861A8"/>
    <w:rsid w:val="00487025"/>
    <w:rsid w:val="00491688"/>
    <w:rsid w:val="004916D5"/>
    <w:rsid w:val="00492256"/>
    <w:rsid w:val="00493251"/>
    <w:rsid w:val="00493F63"/>
    <w:rsid w:val="004944B1"/>
    <w:rsid w:val="0049496B"/>
    <w:rsid w:val="0049530E"/>
    <w:rsid w:val="0049586B"/>
    <w:rsid w:val="004A0AC6"/>
    <w:rsid w:val="004A1FBA"/>
    <w:rsid w:val="004A273E"/>
    <w:rsid w:val="004A2CDA"/>
    <w:rsid w:val="004A2FD2"/>
    <w:rsid w:val="004A3C83"/>
    <w:rsid w:val="004B0B55"/>
    <w:rsid w:val="004B0BD5"/>
    <w:rsid w:val="004B0E0F"/>
    <w:rsid w:val="004B2556"/>
    <w:rsid w:val="004B2C31"/>
    <w:rsid w:val="004B40E7"/>
    <w:rsid w:val="004B469C"/>
    <w:rsid w:val="004B4A2A"/>
    <w:rsid w:val="004B5848"/>
    <w:rsid w:val="004C41E7"/>
    <w:rsid w:val="004C5F8A"/>
    <w:rsid w:val="004C6C6A"/>
    <w:rsid w:val="004C73A0"/>
    <w:rsid w:val="004D217A"/>
    <w:rsid w:val="004D23BA"/>
    <w:rsid w:val="004D55DD"/>
    <w:rsid w:val="004D6690"/>
    <w:rsid w:val="004D768D"/>
    <w:rsid w:val="004E0D15"/>
    <w:rsid w:val="004E2471"/>
    <w:rsid w:val="004E3527"/>
    <w:rsid w:val="004E3F4F"/>
    <w:rsid w:val="004E436C"/>
    <w:rsid w:val="004E4753"/>
    <w:rsid w:val="004E5342"/>
    <w:rsid w:val="004E702B"/>
    <w:rsid w:val="004F01FA"/>
    <w:rsid w:val="004F0893"/>
    <w:rsid w:val="004F1610"/>
    <w:rsid w:val="004F2448"/>
    <w:rsid w:val="004F28DF"/>
    <w:rsid w:val="004F4BDF"/>
    <w:rsid w:val="004F6D58"/>
    <w:rsid w:val="00500A17"/>
    <w:rsid w:val="00500D6B"/>
    <w:rsid w:val="0050150E"/>
    <w:rsid w:val="00504915"/>
    <w:rsid w:val="00504E2E"/>
    <w:rsid w:val="0051044C"/>
    <w:rsid w:val="005107DD"/>
    <w:rsid w:val="00510CD5"/>
    <w:rsid w:val="00511918"/>
    <w:rsid w:val="0051330A"/>
    <w:rsid w:val="005142E2"/>
    <w:rsid w:val="0051458C"/>
    <w:rsid w:val="00514EAE"/>
    <w:rsid w:val="005168D0"/>
    <w:rsid w:val="00517B5F"/>
    <w:rsid w:val="00521AF8"/>
    <w:rsid w:val="005245C2"/>
    <w:rsid w:val="00524B13"/>
    <w:rsid w:val="00525206"/>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5755A"/>
    <w:rsid w:val="0056065D"/>
    <w:rsid w:val="00560DF1"/>
    <w:rsid w:val="00562AEB"/>
    <w:rsid w:val="00562C90"/>
    <w:rsid w:val="00563B38"/>
    <w:rsid w:val="00564BD9"/>
    <w:rsid w:val="00567988"/>
    <w:rsid w:val="0057096F"/>
    <w:rsid w:val="00571254"/>
    <w:rsid w:val="005712CA"/>
    <w:rsid w:val="0057177A"/>
    <w:rsid w:val="005727AE"/>
    <w:rsid w:val="005730A0"/>
    <w:rsid w:val="0057334E"/>
    <w:rsid w:val="005734FF"/>
    <w:rsid w:val="005745DF"/>
    <w:rsid w:val="005761A6"/>
    <w:rsid w:val="0057651A"/>
    <w:rsid w:val="00576BEB"/>
    <w:rsid w:val="0057713C"/>
    <w:rsid w:val="005778C3"/>
    <w:rsid w:val="00581081"/>
    <w:rsid w:val="0058257B"/>
    <w:rsid w:val="0058354D"/>
    <w:rsid w:val="005847B2"/>
    <w:rsid w:val="0058636A"/>
    <w:rsid w:val="005868CD"/>
    <w:rsid w:val="005878E9"/>
    <w:rsid w:val="0059192F"/>
    <w:rsid w:val="00591FD9"/>
    <w:rsid w:val="005921E9"/>
    <w:rsid w:val="00592BD2"/>
    <w:rsid w:val="005933A4"/>
    <w:rsid w:val="00594BAA"/>
    <w:rsid w:val="00595A3B"/>
    <w:rsid w:val="00597046"/>
    <w:rsid w:val="005970B9"/>
    <w:rsid w:val="005A1254"/>
    <w:rsid w:val="005A12B4"/>
    <w:rsid w:val="005A1593"/>
    <w:rsid w:val="005A1EE8"/>
    <w:rsid w:val="005A2675"/>
    <w:rsid w:val="005A3679"/>
    <w:rsid w:val="005A3C5E"/>
    <w:rsid w:val="005A4739"/>
    <w:rsid w:val="005B0CE5"/>
    <w:rsid w:val="005B0DA2"/>
    <w:rsid w:val="005B214F"/>
    <w:rsid w:val="005B27AC"/>
    <w:rsid w:val="005B2FBF"/>
    <w:rsid w:val="005B3727"/>
    <w:rsid w:val="005B3858"/>
    <w:rsid w:val="005B63E1"/>
    <w:rsid w:val="005C054A"/>
    <w:rsid w:val="005C0BDE"/>
    <w:rsid w:val="005C1586"/>
    <w:rsid w:val="005C17B1"/>
    <w:rsid w:val="005C3575"/>
    <w:rsid w:val="005C42DA"/>
    <w:rsid w:val="005C527C"/>
    <w:rsid w:val="005C532A"/>
    <w:rsid w:val="005C676E"/>
    <w:rsid w:val="005C760D"/>
    <w:rsid w:val="005D0BB6"/>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4FE5"/>
    <w:rsid w:val="005E6568"/>
    <w:rsid w:val="005F1195"/>
    <w:rsid w:val="005F220F"/>
    <w:rsid w:val="005F2FEF"/>
    <w:rsid w:val="005F358A"/>
    <w:rsid w:val="005F43EF"/>
    <w:rsid w:val="005F48D3"/>
    <w:rsid w:val="005F7D38"/>
    <w:rsid w:val="00601673"/>
    <w:rsid w:val="00601734"/>
    <w:rsid w:val="0060186C"/>
    <w:rsid w:val="00601BC4"/>
    <w:rsid w:val="0060304F"/>
    <w:rsid w:val="00607703"/>
    <w:rsid w:val="00607B51"/>
    <w:rsid w:val="0061180E"/>
    <w:rsid w:val="006149B3"/>
    <w:rsid w:val="00615634"/>
    <w:rsid w:val="00615F98"/>
    <w:rsid w:val="00617E8B"/>
    <w:rsid w:val="00621EF5"/>
    <w:rsid w:val="00623EE1"/>
    <w:rsid w:val="006241E5"/>
    <w:rsid w:val="006248EC"/>
    <w:rsid w:val="0062533E"/>
    <w:rsid w:val="006273C5"/>
    <w:rsid w:val="0063038C"/>
    <w:rsid w:val="0063044D"/>
    <w:rsid w:val="00630A5B"/>
    <w:rsid w:val="006314F4"/>
    <w:rsid w:val="00631B7C"/>
    <w:rsid w:val="006321B2"/>
    <w:rsid w:val="00632234"/>
    <w:rsid w:val="006330CE"/>
    <w:rsid w:val="00635F68"/>
    <w:rsid w:val="006364FC"/>
    <w:rsid w:val="006424F5"/>
    <w:rsid w:val="0064289F"/>
    <w:rsid w:val="00643B0D"/>
    <w:rsid w:val="00643C44"/>
    <w:rsid w:val="00644A19"/>
    <w:rsid w:val="00644E92"/>
    <w:rsid w:val="00645AEB"/>
    <w:rsid w:val="00645D19"/>
    <w:rsid w:val="0064622E"/>
    <w:rsid w:val="00647E24"/>
    <w:rsid w:val="0065067A"/>
    <w:rsid w:val="006512FA"/>
    <w:rsid w:val="006535F0"/>
    <w:rsid w:val="006546E6"/>
    <w:rsid w:val="0065692D"/>
    <w:rsid w:val="00657B1F"/>
    <w:rsid w:val="00657F61"/>
    <w:rsid w:val="0066012B"/>
    <w:rsid w:val="00661ACD"/>
    <w:rsid w:val="0066228E"/>
    <w:rsid w:val="00665F2C"/>
    <w:rsid w:val="00666870"/>
    <w:rsid w:val="00666B4C"/>
    <w:rsid w:val="00667F91"/>
    <w:rsid w:val="006700B4"/>
    <w:rsid w:val="006733C1"/>
    <w:rsid w:val="006743E7"/>
    <w:rsid w:val="00674449"/>
    <w:rsid w:val="006747D2"/>
    <w:rsid w:val="006800B4"/>
    <w:rsid w:val="00681DB0"/>
    <w:rsid w:val="006827E2"/>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412A"/>
    <w:rsid w:val="006A49FC"/>
    <w:rsid w:val="006A59C1"/>
    <w:rsid w:val="006A5B93"/>
    <w:rsid w:val="006A6825"/>
    <w:rsid w:val="006B24DB"/>
    <w:rsid w:val="006B3529"/>
    <w:rsid w:val="006B394D"/>
    <w:rsid w:val="006B3F4F"/>
    <w:rsid w:val="006B5E2D"/>
    <w:rsid w:val="006B5ED6"/>
    <w:rsid w:val="006B6C36"/>
    <w:rsid w:val="006C08D5"/>
    <w:rsid w:val="006C1CFA"/>
    <w:rsid w:val="006C1E8D"/>
    <w:rsid w:val="006C316B"/>
    <w:rsid w:val="006C4586"/>
    <w:rsid w:val="006C6500"/>
    <w:rsid w:val="006C7CB3"/>
    <w:rsid w:val="006D02A5"/>
    <w:rsid w:val="006D23B4"/>
    <w:rsid w:val="006D2415"/>
    <w:rsid w:val="006D2CE8"/>
    <w:rsid w:val="006D2D30"/>
    <w:rsid w:val="006D3275"/>
    <w:rsid w:val="006D3E5E"/>
    <w:rsid w:val="006D57C2"/>
    <w:rsid w:val="006D5BF6"/>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194C"/>
    <w:rsid w:val="0071226C"/>
    <w:rsid w:val="00712270"/>
    <w:rsid w:val="00713F1C"/>
    <w:rsid w:val="00714621"/>
    <w:rsid w:val="00714AE8"/>
    <w:rsid w:val="00714E85"/>
    <w:rsid w:val="00716543"/>
    <w:rsid w:val="007166ED"/>
    <w:rsid w:val="0071696C"/>
    <w:rsid w:val="00720EB6"/>
    <w:rsid w:val="00722609"/>
    <w:rsid w:val="00724545"/>
    <w:rsid w:val="007250B5"/>
    <w:rsid w:val="00725EED"/>
    <w:rsid w:val="00726B17"/>
    <w:rsid w:val="00727648"/>
    <w:rsid w:val="007305A1"/>
    <w:rsid w:val="00730961"/>
    <w:rsid w:val="00735168"/>
    <w:rsid w:val="00736F85"/>
    <w:rsid w:val="00741392"/>
    <w:rsid w:val="00744676"/>
    <w:rsid w:val="00744978"/>
    <w:rsid w:val="00746280"/>
    <w:rsid w:val="00752646"/>
    <w:rsid w:val="00752E35"/>
    <w:rsid w:val="00753C32"/>
    <w:rsid w:val="00753F3B"/>
    <w:rsid w:val="007553F2"/>
    <w:rsid w:val="0075554D"/>
    <w:rsid w:val="00755DE2"/>
    <w:rsid w:val="00756DC8"/>
    <w:rsid w:val="00760140"/>
    <w:rsid w:val="00763552"/>
    <w:rsid w:val="007643B9"/>
    <w:rsid w:val="007643DE"/>
    <w:rsid w:val="007663CB"/>
    <w:rsid w:val="00766A4F"/>
    <w:rsid w:val="00770465"/>
    <w:rsid w:val="007708E8"/>
    <w:rsid w:val="0077162D"/>
    <w:rsid w:val="0077246D"/>
    <w:rsid w:val="007743DC"/>
    <w:rsid w:val="00775793"/>
    <w:rsid w:val="00777DD8"/>
    <w:rsid w:val="007804CC"/>
    <w:rsid w:val="00780A0D"/>
    <w:rsid w:val="007813EE"/>
    <w:rsid w:val="00783197"/>
    <w:rsid w:val="0078489C"/>
    <w:rsid w:val="007848C2"/>
    <w:rsid w:val="007912AC"/>
    <w:rsid w:val="00791D40"/>
    <w:rsid w:val="0079263F"/>
    <w:rsid w:val="00793FB2"/>
    <w:rsid w:val="00794143"/>
    <w:rsid w:val="00795047"/>
    <w:rsid w:val="0079601F"/>
    <w:rsid w:val="0079602D"/>
    <w:rsid w:val="007961F4"/>
    <w:rsid w:val="007A0100"/>
    <w:rsid w:val="007A0202"/>
    <w:rsid w:val="007A06E5"/>
    <w:rsid w:val="007A2FBC"/>
    <w:rsid w:val="007A3953"/>
    <w:rsid w:val="007B0360"/>
    <w:rsid w:val="007B0A02"/>
    <w:rsid w:val="007B0DCD"/>
    <w:rsid w:val="007B1C52"/>
    <w:rsid w:val="007B2E04"/>
    <w:rsid w:val="007B3FA6"/>
    <w:rsid w:val="007B4E3F"/>
    <w:rsid w:val="007B6E45"/>
    <w:rsid w:val="007C19E8"/>
    <w:rsid w:val="007C54A8"/>
    <w:rsid w:val="007D0ADA"/>
    <w:rsid w:val="007D1364"/>
    <w:rsid w:val="007D1B47"/>
    <w:rsid w:val="007D1BAD"/>
    <w:rsid w:val="007D2CB6"/>
    <w:rsid w:val="007D2ECF"/>
    <w:rsid w:val="007D3B5F"/>
    <w:rsid w:val="007D45C0"/>
    <w:rsid w:val="007D6092"/>
    <w:rsid w:val="007D6AA5"/>
    <w:rsid w:val="007E0CA5"/>
    <w:rsid w:val="007E11D4"/>
    <w:rsid w:val="007E1FC3"/>
    <w:rsid w:val="007E217D"/>
    <w:rsid w:val="007E36BC"/>
    <w:rsid w:val="007E3BD3"/>
    <w:rsid w:val="007E403A"/>
    <w:rsid w:val="007E4502"/>
    <w:rsid w:val="007E4C32"/>
    <w:rsid w:val="007E6510"/>
    <w:rsid w:val="007E7A36"/>
    <w:rsid w:val="007F0B80"/>
    <w:rsid w:val="007F24E0"/>
    <w:rsid w:val="007F5D50"/>
    <w:rsid w:val="007F7E92"/>
    <w:rsid w:val="008003A1"/>
    <w:rsid w:val="00800953"/>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3365"/>
    <w:rsid w:val="008237FB"/>
    <w:rsid w:val="008243FA"/>
    <w:rsid w:val="008251EB"/>
    <w:rsid w:val="00826D12"/>
    <w:rsid w:val="0082749B"/>
    <w:rsid w:val="00830DAA"/>
    <w:rsid w:val="00832051"/>
    <w:rsid w:val="0083341F"/>
    <w:rsid w:val="008335F4"/>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45EB"/>
    <w:rsid w:val="00855291"/>
    <w:rsid w:val="008558E6"/>
    <w:rsid w:val="00855939"/>
    <w:rsid w:val="00856809"/>
    <w:rsid w:val="008601E8"/>
    <w:rsid w:val="00862709"/>
    <w:rsid w:val="008656E3"/>
    <w:rsid w:val="008702D3"/>
    <w:rsid w:val="008702F8"/>
    <w:rsid w:val="00870F5A"/>
    <w:rsid w:val="00871EA3"/>
    <w:rsid w:val="008723EC"/>
    <w:rsid w:val="008726EC"/>
    <w:rsid w:val="0087271A"/>
    <w:rsid w:val="00872B61"/>
    <w:rsid w:val="0087397F"/>
    <w:rsid w:val="00873BBB"/>
    <w:rsid w:val="008743BE"/>
    <w:rsid w:val="00875020"/>
    <w:rsid w:val="00875187"/>
    <w:rsid w:val="0087663F"/>
    <w:rsid w:val="008771BB"/>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55C0"/>
    <w:rsid w:val="008A70F4"/>
    <w:rsid w:val="008B1BAF"/>
    <w:rsid w:val="008B2864"/>
    <w:rsid w:val="008B383E"/>
    <w:rsid w:val="008B52B5"/>
    <w:rsid w:val="008C2238"/>
    <w:rsid w:val="008C2BFA"/>
    <w:rsid w:val="008C591F"/>
    <w:rsid w:val="008C7069"/>
    <w:rsid w:val="008D007A"/>
    <w:rsid w:val="008D0205"/>
    <w:rsid w:val="008D0750"/>
    <w:rsid w:val="008D17BC"/>
    <w:rsid w:val="008D4CD0"/>
    <w:rsid w:val="008D5231"/>
    <w:rsid w:val="008D7855"/>
    <w:rsid w:val="008E0059"/>
    <w:rsid w:val="008E0665"/>
    <w:rsid w:val="008E1A8E"/>
    <w:rsid w:val="008E281C"/>
    <w:rsid w:val="008E61D6"/>
    <w:rsid w:val="008E6A17"/>
    <w:rsid w:val="008E6CA6"/>
    <w:rsid w:val="008E7761"/>
    <w:rsid w:val="008F03D4"/>
    <w:rsid w:val="008F1A36"/>
    <w:rsid w:val="008F26F8"/>
    <w:rsid w:val="008F3AA0"/>
    <w:rsid w:val="008F3AAE"/>
    <w:rsid w:val="008F406F"/>
    <w:rsid w:val="008F4429"/>
    <w:rsid w:val="008F525E"/>
    <w:rsid w:val="008F67B4"/>
    <w:rsid w:val="008F7646"/>
    <w:rsid w:val="00900BA7"/>
    <w:rsid w:val="00900FFB"/>
    <w:rsid w:val="0090182F"/>
    <w:rsid w:val="009060E8"/>
    <w:rsid w:val="009071E3"/>
    <w:rsid w:val="00907253"/>
    <w:rsid w:val="00910FED"/>
    <w:rsid w:val="009111E3"/>
    <w:rsid w:val="00911E45"/>
    <w:rsid w:val="009150B1"/>
    <w:rsid w:val="0091618E"/>
    <w:rsid w:val="0091640D"/>
    <w:rsid w:val="0091702A"/>
    <w:rsid w:val="009175A8"/>
    <w:rsid w:val="00923828"/>
    <w:rsid w:val="00924AA9"/>
    <w:rsid w:val="009304AE"/>
    <w:rsid w:val="00932C51"/>
    <w:rsid w:val="009348A2"/>
    <w:rsid w:val="009358BF"/>
    <w:rsid w:val="00935937"/>
    <w:rsid w:val="00936BDC"/>
    <w:rsid w:val="00940365"/>
    <w:rsid w:val="00941B9F"/>
    <w:rsid w:val="00942680"/>
    <w:rsid w:val="00942A04"/>
    <w:rsid w:val="009442F5"/>
    <w:rsid w:val="00944F52"/>
    <w:rsid w:val="00956D3B"/>
    <w:rsid w:val="00957691"/>
    <w:rsid w:val="00961140"/>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76D2A"/>
    <w:rsid w:val="00977669"/>
    <w:rsid w:val="009777D2"/>
    <w:rsid w:val="00980DF4"/>
    <w:rsid w:val="009817B0"/>
    <w:rsid w:val="009824FB"/>
    <w:rsid w:val="00982D1D"/>
    <w:rsid w:val="00984CC6"/>
    <w:rsid w:val="00984D81"/>
    <w:rsid w:val="0098719A"/>
    <w:rsid w:val="00987E5C"/>
    <w:rsid w:val="0099110E"/>
    <w:rsid w:val="00992414"/>
    <w:rsid w:val="0099288E"/>
    <w:rsid w:val="0099326E"/>
    <w:rsid w:val="00994D0C"/>
    <w:rsid w:val="00995626"/>
    <w:rsid w:val="009A10F4"/>
    <w:rsid w:val="009A1999"/>
    <w:rsid w:val="009A27DB"/>
    <w:rsid w:val="009A38DD"/>
    <w:rsid w:val="009A607E"/>
    <w:rsid w:val="009A63A7"/>
    <w:rsid w:val="009A6727"/>
    <w:rsid w:val="009A6CCC"/>
    <w:rsid w:val="009B2FAD"/>
    <w:rsid w:val="009B2FD1"/>
    <w:rsid w:val="009B39A8"/>
    <w:rsid w:val="009B3AE7"/>
    <w:rsid w:val="009B45C4"/>
    <w:rsid w:val="009B481D"/>
    <w:rsid w:val="009B4C75"/>
    <w:rsid w:val="009B587F"/>
    <w:rsid w:val="009B7F25"/>
    <w:rsid w:val="009C2653"/>
    <w:rsid w:val="009C36BA"/>
    <w:rsid w:val="009C37BA"/>
    <w:rsid w:val="009C38E2"/>
    <w:rsid w:val="009C5D70"/>
    <w:rsid w:val="009D0222"/>
    <w:rsid w:val="009D1257"/>
    <w:rsid w:val="009D12AE"/>
    <w:rsid w:val="009D1DE1"/>
    <w:rsid w:val="009D294C"/>
    <w:rsid w:val="009D3643"/>
    <w:rsid w:val="009D584A"/>
    <w:rsid w:val="009D6718"/>
    <w:rsid w:val="009E057B"/>
    <w:rsid w:val="009E09EA"/>
    <w:rsid w:val="009E41C3"/>
    <w:rsid w:val="009E462D"/>
    <w:rsid w:val="009E4976"/>
    <w:rsid w:val="009E60C4"/>
    <w:rsid w:val="009F1313"/>
    <w:rsid w:val="009F1F14"/>
    <w:rsid w:val="009F2621"/>
    <w:rsid w:val="009F2C66"/>
    <w:rsid w:val="009F318F"/>
    <w:rsid w:val="009F4065"/>
    <w:rsid w:val="009F45B4"/>
    <w:rsid w:val="009F56D1"/>
    <w:rsid w:val="009F7F56"/>
    <w:rsid w:val="00A00F78"/>
    <w:rsid w:val="00A01560"/>
    <w:rsid w:val="00A01F5C"/>
    <w:rsid w:val="00A03ACE"/>
    <w:rsid w:val="00A04906"/>
    <w:rsid w:val="00A04A9C"/>
    <w:rsid w:val="00A06871"/>
    <w:rsid w:val="00A076BD"/>
    <w:rsid w:val="00A101F9"/>
    <w:rsid w:val="00A11132"/>
    <w:rsid w:val="00A11CA8"/>
    <w:rsid w:val="00A12A1B"/>
    <w:rsid w:val="00A13D36"/>
    <w:rsid w:val="00A15616"/>
    <w:rsid w:val="00A168DB"/>
    <w:rsid w:val="00A17E24"/>
    <w:rsid w:val="00A2174B"/>
    <w:rsid w:val="00A22078"/>
    <w:rsid w:val="00A22080"/>
    <w:rsid w:val="00A22096"/>
    <w:rsid w:val="00A22129"/>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B5A"/>
    <w:rsid w:val="00A51E25"/>
    <w:rsid w:val="00A52D34"/>
    <w:rsid w:val="00A52F62"/>
    <w:rsid w:val="00A533D6"/>
    <w:rsid w:val="00A53C2B"/>
    <w:rsid w:val="00A55285"/>
    <w:rsid w:val="00A5531C"/>
    <w:rsid w:val="00A55982"/>
    <w:rsid w:val="00A56948"/>
    <w:rsid w:val="00A578B0"/>
    <w:rsid w:val="00A57BB6"/>
    <w:rsid w:val="00A619FA"/>
    <w:rsid w:val="00A62B6B"/>
    <w:rsid w:val="00A62EA4"/>
    <w:rsid w:val="00A62F68"/>
    <w:rsid w:val="00A642F4"/>
    <w:rsid w:val="00A666DE"/>
    <w:rsid w:val="00A66715"/>
    <w:rsid w:val="00A67C12"/>
    <w:rsid w:val="00A709DA"/>
    <w:rsid w:val="00A72719"/>
    <w:rsid w:val="00A72F89"/>
    <w:rsid w:val="00A731D8"/>
    <w:rsid w:val="00A73D1D"/>
    <w:rsid w:val="00A74CFD"/>
    <w:rsid w:val="00A75F6C"/>
    <w:rsid w:val="00A76E7A"/>
    <w:rsid w:val="00A81A71"/>
    <w:rsid w:val="00A82556"/>
    <w:rsid w:val="00A83087"/>
    <w:rsid w:val="00A8329F"/>
    <w:rsid w:val="00A8384F"/>
    <w:rsid w:val="00A8389B"/>
    <w:rsid w:val="00A8433A"/>
    <w:rsid w:val="00A84FBA"/>
    <w:rsid w:val="00A85983"/>
    <w:rsid w:val="00A85AC5"/>
    <w:rsid w:val="00A860B5"/>
    <w:rsid w:val="00A865AB"/>
    <w:rsid w:val="00A9010D"/>
    <w:rsid w:val="00A9072B"/>
    <w:rsid w:val="00A91045"/>
    <w:rsid w:val="00A94838"/>
    <w:rsid w:val="00A9696F"/>
    <w:rsid w:val="00A96A82"/>
    <w:rsid w:val="00A975A1"/>
    <w:rsid w:val="00AA034D"/>
    <w:rsid w:val="00AA0596"/>
    <w:rsid w:val="00AA1858"/>
    <w:rsid w:val="00AA1F4C"/>
    <w:rsid w:val="00AA275F"/>
    <w:rsid w:val="00AA35BD"/>
    <w:rsid w:val="00AA4028"/>
    <w:rsid w:val="00AA46B0"/>
    <w:rsid w:val="00AA4A9C"/>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6738"/>
    <w:rsid w:val="00AC72A6"/>
    <w:rsid w:val="00AD001B"/>
    <w:rsid w:val="00AD0FC1"/>
    <w:rsid w:val="00AD1569"/>
    <w:rsid w:val="00AD1F08"/>
    <w:rsid w:val="00AD30BC"/>
    <w:rsid w:val="00AD41C5"/>
    <w:rsid w:val="00AD4D2F"/>
    <w:rsid w:val="00AD7858"/>
    <w:rsid w:val="00AE1363"/>
    <w:rsid w:val="00AE18AC"/>
    <w:rsid w:val="00AE27E5"/>
    <w:rsid w:val="00AE3C24"/>
    <w:rsid w:val="00AE49D7"/>
    <w:rsid w:val="00AE52E4"/>
    <w:rsid w:val="00AE5A98"/>
    <w:rsid w:val="00AE793B"/>
    <w:rsid w:val="00AF074E"/>
    <w:rsid w:val="00AF159D"/>
    <w:rsid w:val="00AF2B38"/>
    <w:rsid w:val="00AF3099"/>
    <w:rsid w:val="00AF4F8C"/>
    <w:rsid w:val="00AF6187"/>
    <w:rsid w:val="00AF729A"/>
    <w:rsid w:val="00AF7FF6"/>
    <w:rsid w:val="00B0015C"/>
    <w:rsid w:val="00B008EC"/>
    <w:rsid w:val="00B02513"/>
    <w:rsid w:val="00B0255A"/>
    <w:rsid w:val="00B02B41"/>
    <w:rsid w:val="00B02DB7"/>
    <w:rsid w:val="00B02E50"/>
    <w:rsid w:val="00B031EA"/>
    <w:rsid w:val="00B05CEE"/>
    <w:rsid w:val="00B06150"/>
    <w:rsid w:val="00B06285"/>
    <w:rsid w:val="00B17002"/>
    <w:rsid w:val="00B2092A"/>
    <w:rsid w:val="00B20ED6"/>
    <w:rsid w:val="00B220CD"/>
    <w:rsid w:val="00B22DD0"/>
    <w:rsid w:val="00B268BD"/>
    <w:rsid w:val="00B26AF5"/>
    <w:rsid w:val="00B26BC0"/>
    <w:rsid w:val="00B3116A"/>
    <w:rsid w:val="00B322F1"/>
    <w:rsid w:val="00B33075"/>
    <w:rsid w:val="00B33842"/>
    <w:rsid w:val="00B338D9"/>
    <w:rsid w:val="00B357BB"/>
    <w:rsid w:val="00B364AC"/>
    <w:rsid w:val="00B36F4A"/>
    <w:rsid w:val="00B37538"/>
    <w:rsid w:val="00B37863"/>
    <w:rsid w:val="00B41B19"/>
    <w:rsid w:val="00B421F8"/>
    <w:rsid w:val="00B4227A"/>
    <w:rsid w:val="00B425E0"/>
    <w:rsid w:val="00B4300D"/>
    <w:rsid w:val="00B4496C"/>
    <w:rsid w:val="00B45252"/>
    <w:rsid w:val="00B456B8"/>
    <w:rsid w:val="00B46600"/>
    <w:rsid w:val="00B519BA"/>
    <w:rsid w:val="00B523DB"/>
    <w:rsid w:val="00B53422"/>
    <w:rsid w:val="00B5342D"/>
    <w:rsid w:val="00B5655E"/>
    <w:rsid w:val="00B56C17"/>
    <w:rsid w:val="00B57211"/>
    <w:rsid w:val="00B57359"/>
    <w:rsid w:val="00B57867"/>
    <w:rsid w:val="00B63108"/>
    <w:rsid w:val="00B647D0"/>
    <w:rsid w:val="00B64EEC"/>
    <w:rsid w:val="00B67E1A"/>
    <w:rsid w:val="00B702EE"/>
    <w:rsid w:val="00B70BFA"/>
    <w:rsid w:val="00B71263"/>
    <w:rsid w:val="00B72598"/>
    <w:rsid w:val="00B73F48"/>
    <w:rsid w:val="00B74D85"/>
    <w:rsid w:val="00B76D50"/>
    <w:rsid w:val="00B81783"/>
    <w:rsid w:val="00B82082"/>
    <w:rsid w:val="00B82CD4"/>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61F"/>
    <w:rsid w:val="00BA37AA"/>
    <w:rsid w:val="00BA476E"/>
    <w:rsid w:val="00BB0585"/>
    <w:rsid w:val="00BB09A0"/>
    <w:rsid w:val="00BB2B12"/>
    <w:rsid w:val="00BB2B81"/>
    <w:rsid w:val="00BB557D"/>
    <w:rsid w:val="00BB5D4D"/>
    <w:rsid w:val="00BB73F5"/>
    <w:rsid w:val="00BC07AC"/>
    <w:rsid w:val="00BC13E1"/>
    <w:rsid w:val="00BC15D7"/>
    <w:rsid w:val="00BC1733"/>
    <w:rsid w:val="00BC1CD3"/>
    <w:rsid w:val="00BC3BE2"/>
    <w:rsid w:val="00BC4743"/>
    <w:rsid w:val="00BC55C6"/>
    <w:rsid w:val="00BC5902"/>
    <w:rsid w:val="00BC67F6"/>
    <w:rsid w:val="00BC6FB4"/>
    <w:rsid w:val="00BC7F95"/>
    <w:rsid w:val="00BD166C"/>
    <w:rsid w:val="00BD5364"/>
    <w:rsid w:val="00BD6127"/>
    <w:rsid w:val="00BD73AE"/>
    <w:rsid w:val="00BE0A61"/>
    <w:rsid w:val="00BE0E67"/>
    <w:rsid w:val="00BE2C06"/>
    <w:rsid w:val="00BE3E86"/>
    <w:rsid w:val="00BE693C"/>
    <w:rsid w:val="00BE6E94"/>
    <w:rsid w:val="00BE7E6D"/>
    <w:rsid w:val="00BF0CCA"/>
    <w:rsid w:val="00BF1578"/>
    <w:rsid w:val="00BF2142"/>
    <w:rsid w:val="00BF2C63"/>
    <w:rsid w:val="00BF406B"/>
    <w:rsid w:val="00BF475B"/>
    <w:rsid w:val="00BF5208"/>
    <w:rsid w:val="00BF59C0"/>
    <w:rsid w:val="00BF6515"/>
    <w:rsid w:val="00BF7AFD"/>
    <w:rsid w:val="00C00151"/>
    <w:rsid w:val="00C06FBF"/>
    <w:rsid w:val="00C07176"/>
    <w:rsid w:val="00C07C20"/>
    <w:rsid w:val="00C07D3E"/>
    <w:rsid w:val="00C07E9D"/>
    <w:rsid w:val="00C109F6"/>
    <w:rsid w:val="00C10FA7"/>
    <w:rsid w:val="00C11697"/>
    <w:rsid w:val="00C1305F"/>
    <w:rsid w:val="00C14BEA"/>
    <w:rsid w:val="00C151A2"/>
    <w:rsid w:val="00C1625F"/>
    <w:rsid w:val="00C16AA4"/>
    <w:rsid w:val="00C1703F"/>
    <w:rsid w:val="00C17BA5"/>
    <w:rsid w:val="00C218BD"/>
    <w:rsid w:val="00C22400"/>
    <w:rsid w:val="00C2442E"/>
    <w:rsid w:val="00C25194"/>
    <w:rsid w:val="00C27273"/>
    <w:rsid w:val="00C31691"/>
    <w:rsid w:val="00C32B6A"/>
    <w:rsid w:val="00C34141"/>
    <w:rsid w:val="00C34B53"/>
    <w:rsid w:val="00C34D3D"/>
    <w:rsid w:val="00C37192"/>
    <w:rsid w:val="00C377CA"/>
    <w:rsid w:val="00C37BB2"/>
    <w:rsid w:val="00C404E5"/>
    <w:rsid w:val="00C40C57"/>
    <w:rsid w:val="00C41EE9"/>
    <w:rsid w:val="00C42B78"/>
    <w:rsid w:val="00C431C4"/>
    <w:rsid w:val="00C43888"/>
    <w:rsid w:val="00C441FE"/>
    <w:rsid w:val="00C45763"/>
    <w:rsid w:val="00C46800"/>
    <w:rsid w:val="00C47018"/>
    <w:rsid w:val="00C47059"/>
    <w:rsid w:val="00C47DDD"/>
    <w:rsid w:val="00C51B2C"/>
    <w:rsid w:val="00C5219E"/>
    <w:rsid w:val="00C52809"/>
    <w:rsid w:val="00C52E1E"/>
    <w:rsid w:val="00C53121"/>
    <w:rsid w:val="00C53354"/>
    <w:rsid w:val="00C533C3"/>
    <w:rsid w:val="00C542FA"/>
    <w:rsid w:val="00C57985"/>
    <w:rsid w:val="00C61B65"/>
    <w:rsid w:val="00C625CB"/>
    <w:rsid w:val="00C62766"/>
    <w:rsid w:val="00C63989"/>
    <w:rsid w:val="00C63A0A"/>
    <w:rsid w:val="00C64680"/>
    <w:rsid w:val="00C65F6D"/>
    <w:rsid w:val="00C6783E"/>
    <w:rsid w:val="00C708F0"/>
    <w:rsid w:val="00C716A7"/>
    <w:rsid w:val="00C727F9"/>
    <w:rsid w:val="00C72E13"/>
    <w:rsid w:val="00C73DC7"/>
    <w:rsid w:val="00C73E1E"/>
    <w:rsid w:val="00C74CC3"/>
    <w:rsid w:val="00C765A1"/>
    <w:rsid w:val="00C76804"/>
    <w:rsid w:val="00C7693F"/>
    <w:rsid w:val="00C83B0E"/>
    <w:rsid w:val="00C85075"/>
    <w:rsid w:val="00C850B4"/>
    <w:rsid w:val="00C86507"/>
    <w:rsid w:val="00C87C61"/>
    <w:rsid w:val="00C87EB0"/>
    <w:rsid w:val="00C94E17"/>
    <w:rsid w:val="00CA0091"/>
    <w:rsid w:val="00CA0C88"/>
    <w:rsid w:val="00CA0CAF"/>
    <w:rsid w:val="00CA1D18"/>
    <w:rsid w:val="00CA2886"/>
    <w:rsid w:val="00CB015F"/>
    <w:rsid w:val="00CB0DE0"/>
    <w:rsid w:val="00CB358A"/>
    <w:rsid w:val="00CB56C3"/>
    <w:rsid w:val="00CB597D"/>
    <w:rsid w:val="00CC0370"/>
    <w:rsid w:val="00CC0B64"/>
    <w:rsid w:val="00CC2144"/>
    <w:rsid w:val="00CC2D9C"/>
    <w:rsid w:val="00CC371C"/>
    <w:rsid w:val="00CC382E"/>
    <w:rsid w:val="00CC5CD0"/>
    <w:rsid w:val="00CC5F72"/>
    <w:rsid w:val="00CC7C54"/>
    <w:rsid w:val="00CD2C53"/>
    <w:rsid w:val="00CD2C66"/>
    <w:rsid w:val="00CD5574"/>
    <w:rsid w:val="00CD55BF"/>
    <w:rsid w:val="00CD602D"/>
    <w:rsid w:val="00CD683B"/>
    <w:rsid w:val="00CD6B20"/>
    <w:rsid w:val="00CD6D37"/>
    <w:rsid w:val="00CD77AA"/>
    <w:rsid w:val="00CE1044"/>
    <w:rsid w:val="00CE28AD"/>
    <w:rsid w:val="00CE599F"/>
    <w:rsid w:val="00CE68BA"/>
    <w:rsid w:val="00CE75DA"/>
    <w:rsid w:val="00CF00C7"/>
    <w:rsid w:val="00CF04F7"/>
    <w:rsid w:val="00CF0B4B"/>
    <w:rsid w:val="00CF1614"/>
    <w:rsid w:val="00CF16AE"/>
    <w:rsid w:val="00CF2E3A"/>
    <w:rsid w:val="00CF3AC9"/>
    <w:rsid w:val="00D031EC"/>
    <w:rsid w:val="00D06DD9"/>
    <w:rsid w:val="00D0708F"/>
    <w:rsid w:val="00D07556"/>
    <w:rsid w:val="00D1062C"/>
    <w:rsid w:val="00D11208"/>
    <w:rsid w:val="00D11292"/>
    <w:rsid w:val="00D114BB"/>
    <w:rsid w:val="00D12130"/>
    <w:rsid w:val="00D1310F"/>
    <w:rsid w:val="00D13797"/>
    <w:rsid w:val="00D15437"/>
    <w:rsid w:val="00D15601"/>
    <w:rsid w:val="00D15A89"/>
    <w:rsid w:val="00D16AFF"/>
    <w:rsid w:val="00D17E02"/>
    <w:rsid w:val="00D20D9A"/>
    <w:rsid w:val="00D22403"/>
    <w:rsid w:val="00D24263"/>
    <w:rsid w:val="00D2508F"/>
    <w:rsid w:val="00D25835"/>
    <w:rsid w:val="00D2583B"/>
    <w:rsid w:val="00D26375"/>
    <w:rsid w:val="00D318CF"/>
    <w:rsid w:val="00D324B3"/>
    <w:rsid w:val="00D328AD"/>
    <w:rsid w:val="00D34175"/>
    <w:rsid w:val="00D347A6"/>
    <w:rsid w:val="00D36D5E"/>
    <w:rsid w:val="00D3741A"/>
    <w:rsid w:val="00D4017A"/>
    <w:rsid w:val="00D40310"/>
    <w:rsid w:val="00D408A1"/>
    <w:rsid w:val="00D40DEF"/>
    <w:rsid w:val="00D4352B"/>
    <w:rsid w:val="00D441D1"/>
    <w:rsid w:val="00D449ED"/>
    <w:rsid w:val="00D4581F"/>
    <w:rsid w:val="00D45956"/>
    <w:rsid w:val="00D46384"/>
    <w:rsid w:val="00D469CC"/>
    <w:rsid w:val="00D46F8C"/>
    <w:rsid w:val="00D47723"/>
    <w:rsid w:val="00D52672"/>
    <w:rsid w:val="00D528C1"/>
    <w:rsid w:val="00D53D0E"/>
    <w:rsid w:val="00D5628E"/>
    <w:rsid w:val="00D60843"/>
    <w:rsid w:val="00D60DD4"/>
    <w:rsid w:val="00D61BA4"/>
    <w:rsid w:val="00D61FA1"/>
    <w:rsid w:val="00D62ABA"/>
    <w:rsid w:val="00D645EF"/>
    <w:rsid w:val="00D66818"/>
    <w:rsid w:val="00D675CF"/>
    <w:rsid w:val="00D675D1"/>
    <w:rsid w:val="00D67F84"/>
    <w:rsid w:val="00D70800"/>
    <w:rsid w:val="00D72A2A"/>
    <w:rsid w:val="00D74FC3"/>
    <w:rsid w:val="00D754E1"/>
    <w:rsid w:val="00D75C57"/>
    <w:rsid w:val="00D8072E"/>
    <w:rsid w:val="00D8194D"/>
    <w:rsid w:val="00D83520"/>
    <w:rsid w:val="00D85CFA"/>
    <w:rsid w:val="00D85E2A"/>
    <w:rsid w:val="00D869A8"/>
    <w:rsid w:val="00D87ED0"/>
    <w:rsid w:val="00D90F77"/>
    <w:rsid w:val="00D91C1A"/>
    <w:rsid w:val="00D91F2F"/>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372"/>
    <w:rsid w:val="00DB23B4"/>
    <w:rsid w:val="00DB274C"/>
    <w:rsid w:val="00DB2FDD"/>
    <w:rsid w:val="00DB4346"/>
    <w:rsid w:val="00DB5819"/>
    <w:rsid w:val="00DB5FE6"/>
    <w:rsid w:val="00DB606C"/>
    <w:rsid w:val="00DB7142"/>
    <w:rsid w:val="00DB75ED"/>
    <w:rsid w:val="00DC04F5"/>
    <w:rsid w:val="00DC12E2"/>
    <w:rsid w:val="00DC25F7"/>
    <w:rsid w:val="00DC3611"/>
    <w:rsid w:val="00DC4FC7"/>
    <w:rsid w:val="00DC5AAE"/>
    <w:rsid w:val="00DC6AAF"/>
    <w:rsid w:val="00DD028F"/>
    <w:rsid w:val="00DD0E19"/>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10F8"/>
    <w:rsid w:val="00E02AE7"/>
    <w:rsid w:val="00E031F2"/>
    <w:rsid w:val="00E0484A"/>
    <w:rsid w:val="00E10F86"/>
    <w:rsid w:val="00E14671"/>
    <w:rsid w:val="00E14D18"/>
    <w:rsid w:val="00E14DDF"/>
    <w:rsid w:val="00E165DD"/>
    <w:rsid w:val="00E1768A"/>
    <w:rsid w:val="00E222B6"/>
    <w:rsid w:val="00E22415"/>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431B"/>
    <w:rsid w:val="00E3543E"/>
    <w:rsid w:val="00E35555"/>
    <w:rsid w:val="00E362F0"/>
    <w:rsid w:val="00E36A4D"/>
    <w:rsid w:val="00E36B5E"/>
    <w:rsid w:val="00E36C4F"/>
    <w:rsid w:val="00E36F7F"/>
    <w:rsid w:val="00E40275"/>
    <w:rsid w:val="00E40396"/>
    <w:rsid w:val="00E409D2"/>
    <w:rsid w:val="00E411C0"/>
    <w:rsid w:val="00E41C0B"/>
    <w:rsid w:val="00E4316E"/>
    <w:rsid w:val="00E440E8"/>
    <w:rsid w:val="00E45A33"/>
    <w:rsid w:val="00E464DA"/>
    <w:rsid w:val="00E46520"/>
    <w:rsid w:val="00E46986"/>
    <w:rsid w:val="00E47CC3"/>
    <w:rsid w:val="00E50279"/>
    <w:rsid w:val="00E50FC5"/>
    <w:rsid w:val="00E51CEB"/>
    <w:rsid w:val="00E52CEF"/>
    <w:rsid w:val="00E53B5B"/>
    <w:rsid w:val="00E53F4A"/>
    <w:rsid w:val="00E56781"/>
    <w:rsid w:val="00E61368"/>
    <w:rsid w:val="00E61E1E"/>
    <w:rsid w:val="00E63216"/>
    <w:rsid w:val="00E64B58"/>
    <w:rsid w:val="00E66B5E"/>
    <w:rsid w:val="00E710A0"/>
    <w:rsid w:val="00E7231F"/>
    <w:rsid w:val="00E739DB"/>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C16"/>
    <w:rsid w:val="00E94CBF"/>
    <w:rsid w:val="00E95306"/>
    <w:rsid w:val="00E96B4C"/>
    <w:rsid w:val="00E9723F"/>
    <w:rsid w:val="00E97894"/>
    <w:rsid w:val="00E97D57"/>
    <w:rsid w:val="00EA10B0"/>
    <w:rsid w:val="00EA19B5"/>
    <w:rsid w:val="00EA381E"/>
    <w:rsid w:val="00EA386D"/>
    <w:rsid w:val="00EA3D94"/>
    <w:rsid w:val="00EA51FB"/>
    <w:rsid w:val="00EA5AA0"/>
    <w:rsid w:val="00EB0606"/>
    <w:rsid w:val="00EB156A"/>
    <w:rsid w:val="00EB3985"/>
    <w:rsid w:val="00EB4D6E"/>
    <w:rsid w:val="00EB5264"/>
    <w:rsid w:val="00EB56E1"/>
    <w:rsid w:val="00EB76C8"/>
    <w:rsid w:val="00EB7F64"/>
    <w:rsid w:val="00EC03FD"/>
    <w:rsid w:val="00EC1C45"/>
    <w:rsid w:val="00EC221D"/>
    <w:rsid w:val="00EC2928"/>
    <w:rsid w:val="00EC3BDB"/>
    <w:rsid w:val="00EC6708"/>
    <w:rsid w:val="00ED0BA4"/>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4397"/>
    <w:rsid w:val="00F04AFE"/>
    <w:rsid w:val="00F07274"/>
    <w:rsid w:val="00F07A06"/>
    <w:rsid w:val="00F07A84"/>
    <w:rsid w:val="00F10358"/>
    <w:rsid w:val="00F107E3"/>
    <w:rsid w:val="00F120C8"/>
    <w:rsid w:val="00F1264C"/>
    <w:rsid w:val="00F12CCB"/>
    <w:rsid w:val="00F135FB"/>
    <w:rsid w:val="00F15A6D"/>
    <w:rsid w:val="00F2008F"/>
    <w:rsid w:val="00F20D2B"/>
    <w:rsid w:val="00F21C4E"/>
    <w:rsid w:val="00F21F72"/>
    <w:rsid w:val="00F2201A"/>
    <w:rsid w:val="00F2219C"/>
    <w:rsid w:val="00F2281C"/>
    <w:rsid w:val="00F22BF0"/>
    <w:rsid w:val="00F24205"/>
    <w:rsid w:val="00F25BC2"/>
    <w:rsid w:val="00F25F94"/>
    <w:rsid w:val="00F26754"/>
    <w:rsid w:val="00F3010D"/>
    <w:rsid w:val="00F318B3"/>
    <w:rsid w:val="00F34559"/>
    <w:rsid w:val="00F358A9"/>
    <w:rsid w:val="00F35A42"/>
    <w:rsid w:val="00F37C5F"/>
    <w:rsid w:val="00F40332"/>
    <w:rsid w:val="00F40B37"/>
    <w:rsid w:val="00F41E6A"/>
    <w:rsid w:val="00F423CB"/>
    <w:rsid w:val="00F434A5"/>
    <w:rsid w:val="00F44B19"/>
    <w:rsid w:val="00F47F79"/>
    <w:rsid w:val="00F5116D"/>
    <w:rsid w:val="00F51ED4"/>
    <w:rsid w:val="00F529B0"/>
    <w:rsid w:val="00F529D2"/>
    <w:rsid w:val="00F53FA7"/>
    <w:rsid w:val="00F57579"/>
    <w:rsid w:val="00F57A56"/>
    <w:rsid w:val="00F61599"/>
    <w:rsid w:val="00F622CB"/>
    <w:rsid w:val="00F62744"/>
    <w:rsid w:val="00F62C92"/>
    <w:rsid w:val="00F646CE"/>
    <w:rsid w:val="00F64A0B"/>
    <w:rsid w:val="00F65B2A"/>
    <w:rsid w:val="00F673E8"/>
    <w:rsid w:val="00F67AA4"/>
    <w:rsid w:val="00F72A3D"/>
    <w:rsid w:val="00F73F20"/>
    <w:rsid w:val="00F770CC"/>
    <w:rsid w:val="00F775F1"/>
    <w:rsid w:val="00F809C7"/>
    <w:rsid w:val="00F80F35"/>
    <w:rsid w:val="00F8197E"/>
    <w:rsid w:val="00F849B6"/>
    <w:rsid w:val="00F8519F"/>
    <w:rsid w:val="00F85607"/>
    <w:rsid w:val="00F912C7"/>
    <w:rsid w:val="00F9187B"/>
    <w:rsid w:val="00F91AC8"/>
    <w:rsid w:val="00F91B54"/>
    <w:rsid w:val="00F91B75"/>
    <w:rsid w:val="00F9232D"/>
    <w:rsid w:val="00F934D9"/>
    <w:rsid w:val="00F94194"/>
    <w:rsid w:val="00F95B2F"/>
    <w:rsid w:val="00F95B5A"/>
    <w:rsid w:val="00FA2B8A"/>
    <w:rsid w:val="00FA5AE3"/>
    <w:rsid w:val="00FA79ED"/>
    <w:rsid w:val="00FA7D03"/>
    <w:rsid w:val="00FB3C75"/>
    <w:rsid w:val="00FB56F5"/>
    <w:rsid w:val="00FB7431"/>
    <w:rsid w:val="00FC526D"/>
    <w:rsid w:val="00FC545F"/>
    <w:rsid w:val="00FC5614"/>
    <w:rsid w:val="00FC5622"/>
    <w:rsid w:val="00FD20BF"/>
    <w:rsid w:val="00FD253C"/>
    <w:rsid w:val="00FD2C70"/>
    <w:rsid w:val="00FD427B"/>
    <w:rsid w:val="00FD4ACE"/>
    <w:rsid w:val="00FD542D"/>
    <w:rsid w:val="00FD6B0E"/>
    <w:rsid w:val="00FD6B99"/>
    <w:rsid w:val="00FE1CDE"/>
    <w:rsid w:val="00FE2832"/>
    <w:rsid w:val="00FE2B1D"/>
    <w:rsid w:val="00FE3CFD"/>
    <w:rsid w:val="00FE47F7"/>
    <w:rsid w:val="00FE48A2"/>
    <w:rsid w:val="00FF248D"/>
    <w:rsid w:val="00FF63E2"/>
    <w:rsid w:val="00FF7CD7"/>
    <w:rsid w:val="03C26BD1"/>
    <w:rsid w:val="05017C52"/>
    <w:rsid w:val="07DF2906"/>
    <w:rsid w:val="09EA05ED"/>
    <w:rsid w:val="0A8F6E15"/>
    <w:rsid w:val="0D7ECF67"/>
    <w:rsid w:val="0EBA50FE"/>
    <w:rsid w:val="112C3C37"/>
    <w:rsid w:val="12E52961"/>
    <w:rsid w:val="15375E62"/>
    <w:rsid w:val="156903A2"/>
    <w:rsid w:val="164B6F7F"/>
    <w:rsid w:val="16D42CDF"/>
    <w:rsid w:val="17B648CC"/>
    <w:rsid w:val="17D95673"/>
    <w:rsid w:val="187327BD"/>
    <w:rsid w:val="19AF639F"/>
    <w:rsid w:val="1B331D07"/>
    <w:rsid w:val="1BDB2B53"/>
    <w:rsid w:val="20FF14F2"/>
    <w:rsid w:val="21550065"/>
    <w:rsid w:val="245B38D1"/>
    <w:rsid w:val="251E1D03"/>
    <w:rsid w:val="26C74925"/>
    <w:rsid w:val="29732512"/>
    <w:rsid w:val="29DF5830"/>
    <w:rsid w:val="2B1C386E"/>
    <w:rsid w:val="2B1E480B"/>
    <w:rsid w:val="2B700882"/>
    <w:rsid w:val="2B77DEA8"/>
    <w:rsid w:val="2CC118F2"/>
    <w:rsid w:val="2D26080E"/>
    <w:rsid w:val="2E2D7C9E"/>
    <w:rsid w:val="2E520501"/>
    <w:rsid w:val="2E66470A"/>
    <w:rsid w:val="2F2D1443"/>
    <w:rsid w:val="2FFB3211"/>
    <w:rsid w:val="339F2AC7"/>
    <w:rsid w:val="34483C32"/>
    <w:rsid w:val="344F862C"/>
    <w:rsid w:val="351C5F25"/>
    <w:rsid w:val="353FCD26"/>
    <w:rsid w:val="36AFA0CF"/>
    <w:rsid w:val="37B91C4D"/>
    <w:rsid w:val="3A6A32CA"/>
    <w:rsid w:val="3B7B1777"/>
    <w:rsid w:val="3BCD6E7C"/>
    <w:rsid w:val="3C0D06AF"/>
    <w:rsid w:val="3C3A32AD"/>
    <w:rsid w:val="3C6A0C14"/>
    <w:rsid w:val="3F8FA4D5"/>
    <w:rsid w:val="3FBC05FB"/>
    <w:rsid w:val="3FEBB67A"/>
    <w:rsid w:val="3FED3553"/>
    <w:rsid w:val="41214B28"/>
    <w:rsid w:val="41C773E2"/>
    <w:rsid w:val="44AFA834"/>
    <w:rsid w:val="47884B7D"/>
    <w:rsid w:val="47B7D067"/>
    <w:rsid w:val="47FEBA34"/>
    <w:rsid w:val="4B9A1834"/>
    <w:rsid w:val="4D4C3002"/>
    <w:rsid w:val="55A14C92"/>
    <w:rsid w:val="56FADF85"/>
    <w:rsid w:val="575C3274"/>
    <w:rsid w:val="588418A2"/>
    <w:rsid w:val="59B60492"/>
    <w:rsid w:val="5AD87635"/>
    <w:rsid w:val="5BEB384C"/>
    <w:rsid w:val="5EBC2337"/>
    <w:rsid w:val="5F9B7AE0"/>
    <w:rsid w:val="5FB7523E"/>
    <w:rsid w:val="5FDF25A4"/>
    <w:rsid w:val="5FDF385A"/>
    <w:rsid w:val="5FF4247C"/>
    <w:rsid w:val="618D6C67"/>
    <w:rsid w:val="639C7CF6"/>
    <w:rsid w:val="63FD4CFC"/>
    <w:rsid w:val="64095E7F"/>
    <w:rsid w:val="64414325"/>
    <w:rsid w:val="658C7FE7"/>
    <w:rsid w:val="65C7637B"/>
    <w:rsid w:val="66411775"/>
    <w:rsid w:val="68B57855"/>
    <w:rsid w:val="6A053438"/>
    <w:rsid w:val="6B0008F1"/>
    <w:rsid w:val="6BC308DC"/>
    <w:rsid w:val="6BC960D2"/>
    <w:rsid w:val="6BD46E9D"/>
    <w:rsid w:val="6DEE7A91"/>
    <w:rsid w:val="6E6931FA"/>
    <w:rsid w:val="6FF6E9A9"/>
    <w:rsid w:val="737DDAC0"/>
    <w:rsid w:val="75DB9F34"/>
    <w:rsid w:val="77BF987D"/>
    <w:rsid w:val="7851049C"/>
    <w:rsid w:val="791D122B"/>
    <w:rsid w:val="79FCF15E"/>
    <w:rsid w:val="7AE96FDE"/>
    <w:rsid w:val="7B668CA9"/>
    <w:rsid w:val="7CEE9564"/>
    <w:rsid w:val="7CFF349E"/>
    <w:rsid w:val="7D996D0B"/>
    <w:rsid w:val="7E553D57"/>
    <w:rsid w:val="7EBFB0EF"/>
    <w:rsid w:val="7EE7ABFF"/>
    <w:rsid w:val="7EEF7352"/>
    <w:rsid w:val="7F6BB9AA"/>
    <w:rsid w:val="7F75A7A6"/>
    <w:rsid w:val="7F8F02D5"/>
    <w:rsid w:val="7FAB9195"/>
    <w:rsid w:val="7FBF3D65"/>
    <w:rsid w:val="7FD42D0E"/>
    <w:rsid w:val="7FEB79B4"/>
    <w:rsid w:val="7FF72041"/>
    <w:rsid w:val="7FFE40D8"/>
    <w:rsid w:val="7FFEB3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C9CF5"/>
  <w15:docId w15:val="{67273EEA-A232-496E-93F5-C225E1A0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next w:val="BodyText2"/>
    <w:qFormat/>
    <w:pPr>
      <w:widowControl w:val="0"/>
      <w:spacing w:after="160" w:line="278" w:lineRule="auto"/>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spacing w:after="160" w:line="278" w:lineRule="auto"/>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after="160" w:line="278" w:lineRule="auto"/>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spacing w:after="160" w:line="278" w:lineRule="auto"/>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after="160" w:line="278" w:lineRule="auto"/>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after="160" w:line="278" w:lineRule="auto"/>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after="160" w:line="278" w:lineRule="auto"/>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after="160" w:line="278" w:lineRule="auto"/>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line="278" w:lineRule="auto"/>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spacing w:after="160" w:line="278" w:lineRule="auto"/>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line="278" w:lineRule="auto"/>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paragraph" w:styleId="aff8">
    <w:name w:val="Revision"/>
    <w:hidden/>
    <w:uiPriority w:val="99"/>
    <w:unhideWhenUsed/>
    <w:rsid w:val="00A217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D5145-86B9-4F71-AFF7-0BB03118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1714</Words>
  <Characters>9771</Characters>
  <Application>Microsoft Office Word</Application>
  <DocSecurity>0</DocSecurity>
  <Lines>81</Lines>
  <Paragraphs>22</Paragraphs>
  <ScaleCrop>false</ScaleCrop>
  <Company>Microsoft</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470</cp:revision>
  <cp:lastPrinted>2024-11-03T22:50:00Z</cp:lastPrinted>
  <dcterms:created xsi:type="dcterms:W3CDTF">2023-04-18T19:33:00Z</dcterms:created>
  <dcterms:modified xsi:type="dcterms:W3CDTF">2025-05-23T01:06:00Z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536DA3DD408E455CB6E16665367EE242_13</vt:lpwstr>
  </property>
  <property fmtid="{D5CDD505-2E9C-101B-9397-08002B2CF9AE}" pid="4" name="KSOTemplateDocerSaveRecord">
    <vt:lpwstr>eyJoZGlkIjoiYTczMGNjNGE2ODY1NzU5OTlkZjExNjkzNGI0ZTJmMjcifQ==</vt:lpwstr>
  </property>
</Properties>
</file>