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D8ED5">
      <w:pPr>
        <w:jc w:val="center"/>
        <w:rPr>
          <w:rFonts w:ascii="方正小标宋简体" w:eastAsia="方正小标宋简体" w:cs="仿宋_GB2312"/>
          <w:bCs/>
          <w:color w:val="000000"/>
          <w:sz w:val="36"/>
          <w:szCs w:val="32"/>
        </w:rPr>
      </w:pPr>
      <w:r>
        <w:rPr>
          <w:rFonts w:hint="eastAsia" w:ascii="方正小标宋简体" w:eastAsia="方正小标宋简体" w:cs="仿宋_GB2312"/>
          <w:bCs/>
          <w:color w:val="000000"/>
          <w:sz w:val="36"/>
          <w:szCs w:val="32"/>
        </w:rPr>
        <w:t>团体标准《禅更病瑶医诊疗规范》</w:t>
      </w:r>
    </w:p>
    <w:p w14:paraId="3849E0FA">
      <w:pPr>
        <w:jc w:val="center"/>
        <w:rPr>
          <w:rFonts w:ascii="方正小标宋简体" w:eastAsia="方正小标宋简体" w:cs="仿宋_GB2312"/>
          <w:bCs/>
          <w:color w:val="000000"/>
          <w:sz w:val="36"/>
          <w:szCs w:val="32"/>
        </w:rPr>
      </w:pPr>
      <w:r>
        <w:rPr>
          <w:rFonts w:hint="eastAsia" w:ascii="方正小标宋简体" w:eastAsia="方正小标宋简体" w:cs="仿宋_GB2312"/>
          <w:bCs/>
          <w:color w:val="000000"/>
          <w:sz w:val="36"/>
          <w:szCs w:val="32"/>
        </w:rPr>
        <w:t>（征求意见稿）编制说明</w:t>
      </w:r>
    </w:p>
    <w:p w14:paraId="01B1F6BF">
      <w:pPr>
        <w:jc w:val="center"/>
        <w:rPr>
          <w:rFonts w:ascii="方正小标宋简体" w:eastAsia="方正小标宋简体" w:cs="仿宋_GB2312"/>
          <w:bCs/>
          <w:color w:val="000000"/>
          <w:sz w:val="18"/>
          <w:szCs w:val="18"/>
        </w:rPr>
      </w:pPr>
    </w:p>
    <w:p w14:paraId="3DA60CA7">
      <w:pPr>
        <w:spacing w:line="520" w:lineRule="exact"/>
        <w:ind w:firstLine="640" w:firstLineChars="200"/>
        <w:rPr>
          <w:rFonts w:ascii="黑体" w:eastAsia="黑体" w:cs="仿宋_GB2312"/>
          <w:bCs/>
          <w:sz w:val="32"/>
          <w:szCs w:val="32"/>
        </w:rPr>
      </w:pPr>
      <w:r>
        <w:rPr>
          <w:rFonts w:hint="eastAsia" w:ascii="黑体" w:eastAsia="黑体" w:cs="仿宋_GB2312"/>
          <w:sz w:val="32"/>
          <w:szCs w:val="32"/>
        </w:rPr>
        <w:t>一、任务来源、起草单位、主要起草人</w:t>
      </w:r>
    </w:p>
    <w:p w14:paraId="7AF89231">
      <w:pPr>
        <w:spacing w:line="520" w:lineRule="exact"/>
        <w:ind w:firstLine="560" w:firstLineChars="200"/>
        <w:rPr>
          <w:rFonts w:ascii="仿宋_GB2312" w:eastAsia="仿宋_GB2312"/>
          <w:sz w:val="28"/>
          <w:szCs w:val="28"/>
        </w:rPr>
      </w:pPr>
      <w:r>
        <w:rPr>
          <w:rFonts w:hint="eastAsia" w:ascii="仿宋_GB2312" w:eastAsia="仿宋_GB2312"/>
          <w:sz w:val="28"/>
          <w:szCs w:val="28"/>
        </w:rPr>
        <w:t>根据《广西标准化协会关于下达2025年第十批团体标准制修订项目计划的通知》（桂标协〔2025〕84号）精神，由玉林市中医医院提出，玉林市中医医院、广西中医院大学第一附属医院、金秀瑶族自治县瑶医医院等单位共同起草的团体标准《禅更病瑶医诊疗规范》（项目编号：2025-1006），已获立项。</w:t>
      </w:r>
    </w:p>
    <w:p w14:paraId="64F997F9">
      <w:pPr>
        <w:spacing w:line="520" w:lineRule="exact"/>
        <w:ind w:firstLine="560" w:firstLineChars="200"/>
        <w:rPr>
          <w:rFonts w:ascii="仿宋_GB2312" w:eastAsia="仿宋_GB2312"/>
          <w:sz w:val="32"/>
          <w:szCs w:val="32"/>
        </w:rPr>
      </w:pPr>
      <w:r>
        <w:rPr>
          <w:rFonts w:hint="eastAsia" w:ascii="仿宋_GB2312" w:eastAsia="仿宋_GB2312"/>
          <w:sz w:val="28"/>
          <w:szCs w:val="28"/>
        </w:rPr>
        <w:t>为高质量编制团体标准《禅更病瑶医诊疗规范》，由起草单位成立标准编制工作组并进行如下分工：</w:t>
      </w:r>
    </w:p>
    <w:tbl>
      <w:tblPr>
        <w:tblStyle w:val="14"/>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280"/>
        <w:gridCol w:w="1240"/>
        <w:gridCol w:w="1835"/>
        <w:gridCol w:w="3778"/>
      </w:tblGrid>
      <w:tr w14:paraId="7CD5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EA6E2F3">
            <w:pPr>
              <w:jc w:val="center"/>
              <w:rPr>
                <w:rFonts w:ascii="仿宋" w:hAnsi="仿宋" w:eastAsia="仿宋" w:cs="仿宋"/>
                <w:b/>
                <w:sz w:val="24"/>
              </w:rPr>
            </w:pPr>
            <w:r>
              <w:rPr>
                <w:rFonts w:hint="eastAsia" w:ascii="仿宋" w:hAnsi="仿宋" w:eastAsia="仿宋" w:cs="仿宋"/>
                <w:b/>
                <w:sz w:val="24"/>
              </w:rPr>
              <w:t>姓名</w:t>
            </w:r>
          </w:p>
        </w:tc>
        <w:tc>
          <w:tcPr>
            <w:tcW w:w="1280" w:type="dxa"/>
            <w:tcBorders>
              <w:top w:val="single" w:color="auto" w:sz="4" w:space="0"/>
              <w:left w:val="single" w:color="auto" w:sz="4" w:space="0"/>
              <w:bottom w:val="single" w:color="auto" w:sz="4" w:space="0"/>
              <w:right w:val="single" w:color="auto" w:sz="4" w:space="0"/>
            </w:tcBorders>
            <w:vAlign w:val="center"/>
          </w:tcPr>
          <w:p w14:paraId="56BC08D5">
            <w:pPr>
              <w:jc w:val="center"/>
              <w:rPr>
                <w:rFonts w:ascii="仿宋" w:hAnsi="仿宋" w:eastAsia="仿宋" w:cs="仿宋"/>
                <w:b/>
                <w:sz w:val="24"/>
              </w:rPr>
            </w:pPr>
            <w:r>
              <w:rPr>
                <w:rFonts w:hint="eastAsia" w:ascii="仿宋" w:hAnsi="仿宋" w:eastAsia="仿宋" w:cs="仿宋"/>
                <w:b/>
                <w:sz w:val="24"/>
              </w:rPr>
              <w:t>职务/职称</w:t>
            </w:r>
          </w:p>
        </w:tc>
        <w:tc>
          <w:tcPr>
            <w:tcW w:w="1240" w:type="dxa"/>
            <w:tcBorders>
              <w:top w:val="single" w:color="auto" w:sz="4" w:space="0"/>
              <w:left w:val="single" w:color="auto" w:sz="4" w:space="0"/>
              <w:bottom w:val="single" w:color="auto" w:sz="4" w:space="0"/>
              <w:right w:val="single" w:color="auto" w:sz="4" w:space="0"/>
            </w:tcBorders>
            <w:vAlign w:val="center"/>
          </w:tcPr>
          <w:p w14:paraId="7579093F">
            <w:pPr>
              <w:jc w:val="center"/>
              <w:rPr>
                <w:rFonts w:ascii="仿宋" w:hAnsi="仿宋" w:eastAsia="仿宋" w:cs="仿宋"/>
                <w:b/>
                <w:sz w:val="24"/>
              </w:rPr>
            </w:pPr>
            <w:r>
              <w:rPr>
                <w:rFonts w:hint="eastAsia" w:ascii="仿宋" w:hAnsi="仿宋" w:eastAsia="仿宋" w:cs="仿宋"/>
                <w:b/>
                <w:sz w:val="24"/>
              </w:rPr>
              <w:t>从事</w:t>
            </w:r>
          </w:p>
          <w:p w14:paraId="77F36A20">
            <w:pPr>
              <w:jc w:val="center"/>
              <w:rPr>
                <w:rFonts w:ascii="仿宋" w:hAnsi="仿宋" w:eastAsia="仿宋" w:cs="仿宋"/>
                <w:b/>
                <w:sz w:val="24"/>
              </w:rPr>
            </w:pPr>
            <w:r>
              <w:rPr>
                <w:rFonts w:hint="eastAsia" w:ascii="仿宋" w:hAnsi="仿宋" w:eastAsia="仿宋" w:cs="仿宋"/>
                <w:b/>
                <w:sz w:val="24"/>
              </w:rPr>
              <w:t>专业</w:t>
            </w:r>
          </w:p>
        </w:tc>
        <w:tc>
          <w:tcPr>
            <w:tcW w:w="1835" w:type="dxa"/>
            <w:tcBorders>
              <w:top w:val="single" w:color="auto" w:sz="4" w:space="0"/>
              <w:left w:val="single" w:color="auto" w:sz="4" w:space="0"/>
              <w:bottom w:val="single" w:color="auto" w:sz="4" w:space="0"/>
              <w:right w:val="single" w:color="auto" w:sz="4" w:space="0"/>
            </w:tcBorders>
            <w:vAlign w:val="center"/>
          </w:tcPr>
          <w:p w14:paraId="43D85D77">
            <w:pPr>
              <w:jc w:val="center"/>
              <w:rPr>
                <w:rFonts w:ascii="仿宋" w:hAnsi="仿宋" w:eastAsia="仿宋" w:cs="仿宋"/>
                <w:b/>
                <w:sz w:val="24"/>
              </w:rPr>
            </w:pPr>
            <w:r>
              <w:rPr>
                <w:rFonts w:hint="eastAsia" w:ascii="仿宋" w:hAnsi="仿宋" w:eastAsia="仿宋" w:cs="仿宋"/>
                <w:b/>
                <w:sz w:val="24"/>
              </w:rPr>
              <w:t>工作单位</w:t>
            </w:r>
          </w:p>
        </w:tc>
        <w:tc>
          <w:tcPr>
            <w:tcW w:w="3778" w:type="dxa"/>
            <w:tcBorders>
              <w:top w:val="single" w:color="auto" w:sz="4" w:space="0"/>
              <w:left w:val="single" w:color="auto" w:sz="4" w:space="0"/>
              <w:bottom w:val="single" w:color="auto" w:sz="4" w:space="0"/>
              <w:right w:val="single" w:color="auto" w:sz="4" w:space="0"/>
            </w:tcBorders>
            <w:vAlign w:val="center"/>
          </w:tcPr>
          <w:p w14:paraId="5465A466">
            <w:pPr>
              <w:jc w:val="left"/>
              <w:rPr>
                <w:rFonts w:ascii="仿宋" w:hAnsi="仿宋" w:eastAsia="仿宋" w:cs="仿宋"/>
                <w:b/>
                <w:sz w:val="24"/>
              </w:rPr>
            </w:pPr>
            <w:r>
              <w:rPr>
                <w:rFonts w:hint="eastAsia" w:ascii="仿宋" w:hAnsi="仿宋" w:eastAsia="仿宋" w:cs="仿宋"/>
                <w:b/>
                <w:sz w:val="24"/>
              </w:rPr>
              <w:t>主要负责工作</w:t>
            </w:r>
          </w:p>
        </w:tc>
      </w:tr>
      <w:tr w14:paraId="17533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73CCF11F">
            <w:pPr>
              <w:jc w:val="center"/>
              <w:rPr>
                <w:rFonts w:ascii="仿宋_GB2312" w:hAnsi="仿宋" w:eastAsia="仿宋_GB2312" w:cs="仿宋"/>
                <w:sz w:val="24"/>
              </w:rPr>
            </w:pPr>
            <w:r>
              <w:rPr>
                <w:rFonts w:hint="eastAsia" w:ascii="仿宋_GB2312" w:hAnsi="仿宋" w:eastAsia="仿宋_GB2312" w:cs="仿宋"/>
                <w:sz w:val="24"/>
              </w:rPr>
              <w:t>欧阳迪</w:t>
            </w:r>
          </w:p>
        </w:tc>
        <w:tc>
          <w:tcPr>
            <w:tcW w:w="1280" w:type="dxa"/>
            <w:tcBorders>
              <w:top w:val="single" w:color="auto" w:sz="4" w:space="0"/>
              <w:left w:val="single" w:color="auto" w:sz="4" w:space="0"/>
              <w:bottom w:val="single" w:color="auto" w:sz="4" w:space="0"/>
              <w:right w:val="single" w:color="auto" w:sz="4" w:space="0"/>
            </w:tcBorders>
            <w:vAlign w:val="center"/>
          </w:tcPr>
          <w:p w14:paraId="763B2148">
            <w:pPr>
              <w:jc w:val="center"/>
              <w:rPr>
                <w:rFonts w:ascii="仿宋_GB2312" w:hAnsi="仿宋" w:eastAsia="仿宋_GB2312" w:cs="仿宋"/>
                <w:sz w:val="24"/>
              </w:rPr>
            </w:pPr>
            <w:r>
              <w:rPr>
                <w:rFonts w:hint="eastAsia" w:ascii="仿宋_GB2312" w:hAnsi="仿宋" w:eastAsia="仿宋_GB2312" w:cs="仿宋"/>
                <w:sz w:val="24"/>
              </w:rPr>
              <w:t>主治医师</w:t>
            </w:r>
          </w:p>
        </w:tc>
        <w:tc>
          <w:tcPr>
            <w:tcW w:w="1240" w:type="dxa"/>
            <w:tcBorders>
              <w:top w:val="single" w:color="auto" w:sz="4" w:space="0"/>
              <w:left w:val="single" w:color="auto" w:sz="4" w:space="0"/>
              <w:bottom w:val="single" w:color="auto" w:sz="4" w:space="0"/>
              <w:right w:val="single" w:color="auto" w:sz="4" w:space="0"/>
            </w:tcBorders>
            <w:vAlign w:val="center"/>
          </w:tcPr>
          <w:p w14:paraId="036E51B7">
            <w:pPr>
              <w:jc w:val="center"/>
              <w:rPr>
                <w:rFonts w:ascii="仿宋_GB2312" w:hAnsi="仿宋" w:eastAsia="仿宋_GB2312" w:cs="仿宋"/>
                <w:sz w:val="24"/>
              </w:rPr>
            </w:pPr>
            <w:r>
              <w:rPr>
                <w:rFonts w:hint="eastAsia" w:ascii="仿宋_GB2312" w:hAnsi="仿宋" w:eastAsia="仿宋_GB2312" w:cs="仿宋"/>
                <w:sz w:val="24"/>
              </w:rPr>
              <w:t>中医脑病</w:t>
            </w:r>
          </w:p>
        </w:tc>
        <w:tc>
          <w:tcPr>
            <w:tcW w:w="1835" w:type="dxa"/>
            <w:tcBorders>
              <w:top w:val="single" w:color="auto" w:sz="4" w:space="0"/>
              <w:left w:val="single" w:color="auto" w:sz="4" w:space="0"/>
              <w:bottom w:val="single" w:color="auto" w:sz="4" w:space="0"/>
              <w:right w:val="single" w:color="auto" w:sz="4" w:space="0"/>
            </w:tcBorders>
            <w:vAlign w:val="center"/>
          </w:tcPr>
          <w:p w14:paraId="4A001803">
            <w:pPr>
              <w:jc w:val="center"/>
              <w:rPr>
                <w:rFonts w:ascii="仿宋_GB2312" w:hAnsi="仿宋" w:eastAsia="仿宋_GB2312" w:cs="仿宋"/>
                <w:sz w:val="24"/>
              </w:rPr>
            </w:pPr>
            <w:r>
              <w:rPr>
                <w:rFonts w:hint="eastAsia" w:ascii="仿宋_GB2312" w:hAnsi="仿宋" w:eastAsia="仿宋_GB2312" w:cs="仿宋"/>
                <w:sz w:val="24"/>
              </w:rPr>
              <w:t>玉林市中医医院</w:t>
            </w:r>
          </w:p>
        </w:tc>
        <w:tc>
          <w:tcPr>
            <w:tcW w:w="3778" w:type="dxa"/>
            <w:tcBorders>
              <w:top w:val="single" w:color="auto" w:sz="4" w:space="0"/>
              <w:left w:val="single" w:color="auto" w:sz="4" w:space="0"/>
              <w:bottom w:val="single" w:color="auto" w:sz="4" w:space="0"/>
              <w:right w:val="single" w:color="auto" w:sz="4" w:space="0"/>
            </w:tcBorders>
            <w:vAlign w:val="center"/>
          </w:tcPr>
          <w:p w14:paraId="34736F8D">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统筹主持标准编制工作</w:t>
            </w:r>
          </w:p>
        </w:tc>
      </w:tr>
      <w:tr w14:paraId="2B581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F557DA9">
            <w:pPr>
              <w:rPr>
                <w:rFonts w:ascii="仿宋_GB2312" w:hAnsi="仿宋" w:eastAsia="仿宋_GB2312" w:cs="仿宋"/>
                <w:sz w:val="24"/>
              </w:rPr>
            </w:pPr>
            <w:r>
              <w:rPr>
                <w:rFonts w:hint="eastAsia" w:ascii="仿宋_GB2312" w:hAnsi="仿宋" w:eastAsia="仿宋_GB2312" w:cs="仿宋"/>
                <w:sz w:val="24"/>
              </w:rPr>
              <w:t>姚光</w:t>
            </w:r>
          </w:p>
        </w:tc>
        <w:tc>
          <w:tcPr>
            <w:tcW w:w="1280" w:type="dxa"/>
            <w:tcBorders>
              <w:top w:val="single" w:color="auto" w:sz="4" w:space="0"/>
              <w:left w:val="single" w:color="auto" w:sz="4" w:space="0"/>
              <w:bottom w:val="single" w:color="auto" w:sz="4" w:space="0"/>
              <w:right w:val="single" w:color="auto" w:sz="4" w:space="0"/>
            </w:tcBorders>
            <w:vAlign w:val="center"/>
          </w:tcPr>
          <w:p w14:paraId="68EC7617">
            <w:pPr>
              <w:jc w:val="center"/>
              <w:rPr>
                <w:rFonts w:ascii="仿宋_GB2312" w:hAnsi="仿宋" w:eastAsia="仿宋_GB2312" w:cs="仿宋"/>
                <w:sz w:val="24"/>
              </w:rPr>
            </w:pPr>
            <w:r>
              <w:rPr>
                <w:rFonts w:hint="eastAsia" w:ascii="仿宋_GB2312" w:hAnsi="仿宋" w:eastAsia="仿宋_GB2312" w:cs="仿宋"/>
                <w:sz w:val="24"/>
              </w:rPr>
              <w:t>主任医师</w:t>
            </w:r>
          </w:p>
        </w:tc>
        <w:tc>
          <w:tcPr>
            <w:tcW w:w="1240" w:type="dxa"/>
            <w:tcBorders>
              <w:top w:val="single" w:color="auto" w:sz="4" w:space="0"/>
              <w:left w:val="single" w:color="auto" w:sz="4" w:space="0"/>
              <w:bottom w:val="single" w:color="auto" w:sz="4" w:space="0"/>
              <w:right w:val="single" w:color="auto" w:sz="4" w:space="0"/>
            </w:tcBorders>
            <w:vAlign w:val="center"/>
          </w:tcPr>
          <w:p w14:paraId="3538020F">
            <w:pPr>
              <w:jc w:val="center"/>
              <w:rPr>
                <w:rFonts w:ascii="仿宋_GB2312" w:hAnsi="仿宋" w:eastAsia="仿宋_GB2312" w:cs="仿宋"/>
                <w:sz w:val="24"/>
              </w:rPr>
            </w:pPr>
            <w:r>
              <w:rPr>
                <w:rFonts w:hint="eastAsia" w:ascii="仿宋_GB2312" w:hAnsi="仿宋" w:eastAsia="仿宋_GB2312" w:cs="仿宋"/>
                <w:sz w:val="24"/>
              </w:rPr>
              <w:t>心血管内科</w:t>
            </w:r>
          </w:p>
        </w:tc>
        <w:tc>
          <w:tcPr>
            <w:tcW w:w="1835" w:type="dxa"/>
            <w:tcBorders>
              <w:top w:val="single" w:color="auto" w:sz="4" w:space="0"/>
              <w:left w:val="single" w:color="auto" w:sz="4" w:space="0"/>
              <w:bottom w:val="single" w:color="auto" w:sz="4" w:space="0"/>
              <w:right w:val="single" w:color="auto" w:sz="4" w:space="0"/>
            </w:tcBorders>
            <w:vAlign w:val="center"/>
          </w:tcPr>
          <w:p w14:paraId="68B9DA10">
            <w:pPr>
              <w:jc w:val="center"/>
              <w:rPr>
                <w:rFonts w:ascii="仿宋_GB2312" w:hAnsi="仿宋" w:eastAsia="仿宋_GB2312" w:cs="仿宋"/>
                <w:sz w:val="24"/>
              </w:rPr>
            </w:pPr>
            <w:r>
              <w:rPr>
                <w:rFonts w:hint="eastAsia" w:ascii="仿宋_GB2312" w:hAnsi="仿宋" w:eastAsia="仿宋_GB2312" w:cs="仿宋"/>
                <w:sz w:val="24"/>
              </w:rPr>
              <w:t>玉林市中医医院</w:t>
            </w:r>
          </w:p>
        </w:tc>
        <w:tc>
          <w:tcPr>
            <w:tcW w:w="3778" w:type="dxa"/>
            <w:tcBorders>
              <w:top w:val="single" w:color="auto" w:sz="4" w:space="0"/>
              <w:left w:val="single" w:color="auto" w:sz="4" w:space="0"/>
              <w:bottom w:val="single" w:color="auto" w:sz="4" w:space="0"/>
              <w:right w:val="single" w:color="auto" w:sz="4" w:space="0"/>
            </w:tcBorders>
            <w:vAlign w:val="center"/>
          </w:tcPr>
          <w:p w14:paraId="70F88D9D">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参与标准编制工作，组织人员进行标准发布后的宣贯培训</w:t>
            </w:r>
          </w:p>
        </w:tc>
      </w:tr>
      <w:tr w14:paraId="1C51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236768DB">
            <w:pPr>
              <w:jc w:val="center"/>
              <w:rPr>
                <w:rFonts w:ascii="仿宋_GB2312" w:hAnsi="仿宋" w:eastAsia="仿宋_GB2312" w:cs="仿宋"/>
                <w:sz w:val="24"/>
              </w:rPr>
            </w:pPr>
            <w:r>
              <w:rPr>
                <w:rFonts w:hint="eastAsia" w:ascii="仿宋_GB2312" w:hAnsi="仿宋" w:eastAsia="仿宋_GB2312" w:cs="仿宋"/>
                <w:sz w:val="24"/>
              </w:rPr>
              <w:t>刘宇河</w:t>
            </w:r>
          </w:p>
        </w:tc>
        <w:tc>
          <w:tcPr>
            <w:tcW w:w="1280" w:type="dxa"/>
            <w:tcBorders>
              <w:top w:val="single" w:color="auto" w:sz="4" w:space="0"/>
              <w:left w:val="single" w:color="auto" w:sz="4" w:space="0"/>
              <w:bottom w:val="single" w:color="auto" w:sz="4" w:space="0"/>
              <w:right w:val="single" w:color="auto" w:sz="4" w:space="0"/>
            </w:tcBorders>
            <w:vAlign w:val="center"/>
          </w:tcPr>
          <w:p w14:paraId="72CAD09E">
            <w:pPr>
              <w:jc w:val="center"/>
              <w:rPr>
                <w:rFonts w:ascii="仿宋_GB2312" w:hAnsi="仿宋" w:eastAsia="仿宋_GB2312" w:cs="仿宋"/>
                <w:sz w:val="24"/>
              </w:rPr>
            </w:pPr>
            <w:r>
              <w:rPr>
                <w:rFonts w:hint="eastAsia" w:ascii="仿宋_GB2312" w:hAnsi="仿宋" w:eastAsia="仿宋_GB2312" w:cs="仿宋"/>
                <w:sz w:val="24"/>
              </w:rPr>
              <w:t>主任医师</w:t>
            </w:r>
          </w:p>
        </w:tc>
        <w:tc>
          <w:tcPr>
            <w:tcW w:w="1240" w:type="dxa"/>
            <w:tcBorders>
              <w:top w:val="single" w:color="auto" w:sz="4" w:space="0"/>
              <w:left w:val="single" w:color="auto" w:sz="4" w:space="0"/>
              <w:bottom w:val="single" w:color="auto" w:sz="4" w:space="0"/>
              <w:right w:val="single" w:color="auto" w:sz="4" w:space="0"/>
            </w:tcBorders>
            <w:vAlign w:val="center"/>
          </w:tcPr>
          <w:p w14:paraId="4E7623DC">
            <w:pPr>
              <w:jc w:val="center"/>
              <w:rPr>
                <w:rFonts w:ascii="仿宋_GB2312" w:hAnsi="仿宋" w:eastAsia="仿宋_GB2312" w:cs="仿宋"/>
                <w:sz w:val="24"/>
              </w:rPr>
            </w:pPr>
            <w:r>
              <w:rPr>
                <w:rFonts w:hint="eastAsia" w:ascii="仿宋_GB2312" w:hAnsi="仿宋" w:eastAsia="仿宋_GB2312" w:cs="仿宋"/>
                <w:sz w:val="24"/>
              </w:rPr>
              <w:t>中医骨伤</w:t>
            </w:r>
          </w:p>
        </w:tc>
        <w:tc>
          <w:tcPr>
            <w:tcW w:w="1835" w:type="dxa"/>
            <w:tcBorders>
              <w:top w:val="single" w:color="auto" w:sz="4" w:space="0"/>
              <w:left w:val="single" w:color="auto" w:sz="4" w:space="0"/>
              <w:bottom w:val="single" w:color="auto" w:sz="4" w:space="0"/>
              <w:right w:val="single" w:color="auto" w:sz="4" w:space="0"/>
            </w:tcBorders>
            <w:vAlign w:val="center"/>
          </w:tcPr>
          <w:p w14:paraId="534B1893">
            <w:pPr>
              <w:jc w:val="center"/>
              <w:rPr>
                <w:rFonts w:ascii="仿宋_GB2312" w:hAnsi="仿宋" w:eastAsia="仿宋_GB2312" w:cs="仿宋"/>
                <w:sz w:val="24"/>
              </w:rPr>
            </w:pPr>
            <w:r>
              <w:rPr>
                <w:rFonts w:hint="eastAsia" w:ascii="仿宋_GB2312" w:hAnsi="仿宋" w:eastAsia="仿宋_GB2312" w:cs="仿宋"/>
                <w:sz w:val="24"/>
              </w:rPr>
              <w:t>玉林市中医医院</w:t>
            </w:r>
          </w:p>
        </w:tc>
        <w:tc>
          <w:tcPr>
            <w:tcW w:w="3778" w:type="dxa"/>
            <w:tcBorders>
              <w:top w:val="single" w:color="auto" w:sz="4" w:space="0"/>
              <w:left w:val="single" w:color="auto" w:sz="4" w:space="0"/>
              <w:bottom w:val="single" w:color="auto" w:sz="4" w:space="0"/>
              <w:right w:val="single" w:color="auto" w:sz="4" w:space="0"/>
            </w:tcBorders>
            <w:vAlign w:val="center"/>
          </w:tcPr>
          <w:p w14:paraId="46368C05">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参与标准文本及编制说明编写，质量控制</w:t>
            </w:r>
          </w:p>
        </w:tc>
      </w:tr>
      <w:tr w14:paraId="4C4E2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8B2729D">
            <w:pPr>
              <w:jc w:val="center"/>
              <w:rPr>
                <w:rFonts w:ascii="仿宋_GB2312" w:hAnsi="仿宋" w:eastAsia="仿宋_GB2312" w:cs="仿宋"/>
                <w:sz w:val="24"/>
              </w:rPr>
            </w:pPr>
            <w:r>
              <w:rPr>
                <w:rFonts w:hint="eastAsia" w:ascii="仿宋_GB2312" w:hAnsi="仿宋" w:eastAsia="仿宋_GB2312" w:cs="仿宋"/>
                <w:sz w:val="24"/>
              </w:rPr>
              <w:t>封桂宇</w:t>
            </w:r>
          </w:p>
        </w:tc>
        <w:tc>
          <w:tcPr>
            <w:tcW w:w="1280" w:type="dxa"/>
            <w:tcBorders>
              <w:top w:val="single" w:color="auto" w:sz="4" w:space="0"/>
              <w:left w:val="single" w:color="auto" w:sz="4" w:space="0"/>
              <w:bottom w:val="single" w:color="auto" w:sz="4" w:space="0"/>
              <w:right w:val="single" w:color="auto" w:sz="4" w:space="0"/>
            </w:tcBorders>
            <w:vAlign w:val="center"/>
          </w:tcPr>
          <w:p w14:paraId="16FCC092">
            <w:pPr>
              <w:jc w:val="center"/>
              <w:rPr>
                <w:rFonts w:ascii="仿宋_GB2312" w:hAnsi="仿宋" w:eastAsia="仿宋_GB2312" w:cs="仿宋"/>
                <w:sz w:val="24"/>
              </w:rPr>
            </w:pPr>
            <w:r>
              <w:rPr>
                <w:rFonts w:hint="eastAsia" w:ascii="仿宋_GB2312" w:hAnsi="仿宋" w:eastAsia="仿宋_GB2312" w:cs="仿宋"/>
                <w:sz w:val="24"/>
              </w:rPr>
              <w:t>主任医师</w:t>
            </w:r>
          </w:p>
        </w:tc>
        <w:tc>
          <w:tcPr>
            <w:tcW w:w="1240" w:type="dxa"/>
            <w:tcBorders>
              <w:top w:val="single" w:color="auto" w:sz="4" w:space="0"/>
              <w:left w:val="single" w:color="auto" w:sz="4" w:space="0"/>
              <w:bottom w:val="single" w:color="auto" w:sz="4" w:space="0"/>
              <w:right w:val="single" w:color="auto" w:sz="4" w:space="0"/>
            </w:tcBorders>
            <w:vAlign w:val="center"/>
          </w:tcPr>
          <w:p w14:paraId="661B39AF">
            <w:pPr>
              <w:jc w:val="center"/>
              <w:rPr>
                <w:rFonts w:ascii="仿宋_GB2312" w:hAnsi="仿宋" w:eastAsia="仿宋_GB2312" w:cs="仿宋"/>
                <w:sz w:val="24"/>
              </w:rPr>
            </w:pPr>
            <w:r>
              <w:rPr>
                <w:rFonts w:hint="eastAsia" w:ascii="仿宋_GB2312" w:hAnsi="仿宋" w:eastAsia="仿宋_GB2312" w:cs="仿宋"/>
                <w:sz w:val="24"/>
              </w:rPr>
              <w:t>中医脑病</w:t>
            </w:r>
          </w:p>
        </w:tc>
        <w:tc>
          <w:tcPr>
            <w:tcW w:w="1835" w:type="dxa"/>
            <w:tcBorders>
              <w:top w:val="single" w:color="auto" w:sz="4" w:space="0"/>
              <w:left w:val="single" w:color="auto" w:sz="4" w:space="0"/>
              <w:bottom w:val="single" w:color="auto" w:sz="4" w:space="0"/>
              <w:right w:val="single" w:color="auto" w:sz="4" w:space="0"/>
            </w:tcBorders>
            <w:vAlign w:val="center"/>
          </w:tcPr>
          <w:p w14:paraId="131C1AE8">
            <w:pPr>
              <w:jc w:val="center"/>
              <w:rPr>
                <w:rFonts w:ascii="仿宋_GB2312" w:hAnsi="仿宋" w:eastAsia="仿宋_GB2312" w:cs="仿宋"/>
                <w:sz w:val="24"/>
              </w:rPr>
            </w:pPr>
            <w:r>
              <w:rPr>
                <w:rFonts w:hint="eastAsia" w:ascii="仿宋_GB2312" w:hAnsi="仿宋" w:eastAsia="仿宋_GB2312" w:cs="仿宋"/>
                <w:sz w:val="24"/>
              </w:rPr>
              <w:t>玉林市中医医院</w:t>
            </w:r>
          </w:p>
        </w:tc>
        <w:tc>
          <w:tcPr>
            <w:tcW w:w="3778" w:type="dxa"/>
            <w:tcBorders>
              <w:top w:val="single" w:color="auto" w:sz="4" w:space="0"/>
              <w:left w:val="single" w:color="auto" w:sz="4" w:space="0"/>
              <w:bottom w:val="single" w:color="auto" w:sz="4" w:space="0"/>
              <w:right w:val="single" w:color="auto" w:sz="4" w:space="0"/>
            </w:tcBorders>
            <w:vAlign w:val="center"/>
          </w:tcPr>
          <w:p w14:paraId="7743CC7C">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1BF1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CE12855">
            <w:pPr>
              <w:jc w:val="center"/>
              <w:rPr>
                <w:rFonts w:ascii="仿宋_GB2312" w:hAnsi="仿宋" w:eastAsia="仿宋_GB2312" w:cs="仿宋"/>
                <w:sz w:val="24"/>
              </w:rPr>
            </w:pPr>
            <w:r>
              <w:rPr>
                <w:rFonts w:hint="eastAsia" w:ascii="仿宋_GB2312" w:hAnsi="仿宋" w:eastAsia="仿宋_GB2312" w:cs="仿宋"/>
                <w:sz w:val="24"/>
              </w:rPr>
              <w:t>任小冬</w:t>
            </w:r>
          </w:p>
        </w:tc>
        <w:tc>
          <w:tcPr>
            <w:tcW w:w="1280" w:type="dxa"/>
            <w:tcBorders>
              <w:top w:val="single" w:color="auto" w:sz="4" w:space="0"/>
              <w:left w:val="single" w:color="auto" w:sz="4" w:space="0"/>
              <w:bottom w:val="single" w:color="auto" w:sz="4" w:space="0"/>
              <w:right w:val="single" w:color="auto" w:sz="4" w:space="0"/>
            </w:tcBorders>
            <w:vAlign w:val="center"/>
          </w:tcPr>
          <w:p w14:paraId="63DF79BD">
            <w:pPr>
              <w:jc w:val="center"/>
              <w:rPr>
                <w:rFonts w:ascii="仿宋_GB2312" w:hAnsi="仿宋" w:eastAsia="仿宋_GB2312" w:cs="仿宋"/>
                <w:sz w:val="24"/>
              </w:rPr>
            </w:pPr>
            <w:r>
              <w:rPr>
                <w:rFonts w:hint="eastAsia" w:ascii="仿宋_GB2312" w:hAnsi="仿宋" w:eastAsia="仿宋_GB2312" w:cs="仿宋"/>
                <w:sz w:val="24"/>
              </w:rPr>
              <w:t>副主任医师</w:t>
            </w:r>
          </w:p>
        </w:tc>
        <w:tc>
          <w:tcPr>
            <w:tcW w:w="1240" w:type="dxa"/>
            <w:tcBorders>
              <w:top w:val="single" w:color="auto" w:sz="4" w:space="0"/>
              <w:left w:val="single" w:color="auto" w:sz="4" w:space="0"/>
              <w:bottom w:val="single" w:color="auto" w:sz="4" w:space="0"/>
              <w:right w:val="single" w:color="auto" w:sz="4" w:space="0"/>
            </w:tcBorders>
            <w:vAlign w:val="center"/>
          </w:tcPr>
          <w:p w14:paraId="0E641B61">
            <w:pPr>
              <w:jc w:val="center"/>
              <w:rPr>
                <w:rFonts w:ascii="仿宋_GB2312" w:hAnsi="仿宋" w:eastAsia="仿宋_GB2312" w:cs="仿宋"/>
                <w:sz w:val="24"/>
              </w:rPr>
            </w:pPr>
            <w:r>
              <w:rPr>
                <w:rFonts w:hint="eastAsia" w:ascii="仿宋_GB2312" w:hAnsi="仿宋" w:eastAsia="仿宋_GB2312" w:cs="仿宋"/>
                <w:sz w:val="24"/>
              </w:rPr>
              <w:t>中西医结合脑病</w:t>
            </w:r>
          </w:p>
        </w:tc>
        <w:tc>
          <w:tcPr>
            <w:tcW w:w="1835" w:type="dxa"/>
            <w:tcBorders>
              <w:top w:val="single" w:color="auto" w:sz="4" w:space="0"/>
              <w:left w:val="single" w:color="auto" w:sz="4" w:space="0"/>
              <w:bottom w:val="single" w:color="auto" w:sz="4" w:space="0"/>
              <w:right w:val="single" w:color="auto" w:sz="4" w:space="0"/>
            </w:tcBorders>
            <w:vAlign w:val="center"/>
          </w:tcPr>
          <w:p w14:paraId="2D76CBB6">
            <w:pPr>
              <w:jc w:val="center"/>
              <w:rPr>
                <w:rFonts w:ascii="仿宋_GB2312" w:hAnsi="仿宋" w:eastAsia="仿宋_GB2312" w:cs="仿宋"/>
                <w:sz w:val="24"/>
              </w:rPr>
            </w:pPr>
            <w:r>
              <w:rPr>
                <w:rFonts w:hint="eastAsia" w:ascii="仿宋_GB2312" w:hAnsi="仿宋" w:eastAsia="仿宋_GB2312" w:cs="仿宋"/>
                <w:sz w:val="24"/>
              </w:rPr>
              <w:t>玉林市中医医院</w:t>
            </w:r>
          </w:p>
        </w:tc>
        <w:tc>
          <w:tcPr>
            <w:tcW w:w="3778" w:type="dxa"/>
            <w:tcBorders>
              <w:top w:val="single" w:color="auto" w:sz="4" w:space="0"/>
              <w:left w:val="single" w:color="auto" w:sz="4" w:space="0"/>
              <w:bottom w:val="single" w:color="auto" w:sz="4" w:space="0"/>
              <w:right w:val="single" w:color="auto" w:sz="4" w:space="0"/>
            </w:tcBorders>
          </w:tcPr>
          <w:p w14:paraId="345E6363">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003B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080063E1">
            <w:pPr>
              <w:jc w:val="center"/>
              <w:rPr>
                <w:rFonts w:ascii="仿宋_GB2312" w:hAnsi="仿宋" w:eastAsia="仿宋_GB2312" w:cs="仿宋"/>
                <w:sz w:val="24"/>
              </w:rPr>
            </w:pPr>
            <w:r>
              <w:rPr>
                <w:rFonts w:hint="eastAsia" w:ascii="仿宋_GB2312" w:hAnsi="仿宋" w:eastAsia="仿宋_GB2312" w:cs="仿宋"/>
                <w:sz w:val="24"/>
              </w:rPr>
              <w:t>邱慧</w:t>
            </w:r>
          </w:p>
        </w:tc>
        <w:tc>
          <w:tcPr>
            <w:tcW w:w="1280" w:type="dxa"/>
            <w:tcBorders>
              <w:top w:val="single" w:color="auto" w:sz="4" w:space="0"/>
              <w:left w:val="single" w:color="auto" w:sz="4" w:space="0"/>
              <w:bottom w:val="single" w:color="auto" w:sz="4" w:space="0"/>
              <w:right w:val="single" w:color="auto" w:sz="4" w:space="0"/>
            </w:tcBorders>
            <w:vAlign w:val="center"/>
          </w:tcPr>
          <w:p w14:paraId="4E1F4D0A">
            <w:pPr>
              <w:jc w:val="center"/>
              <w:rPr>
                <w:rFonts w:ascii="仿宋_GB2312" w:hAnsi="仿宋" w:eastAsia="仿宋_GB2312" w:cs="仿宋"/>
                <w:sz w:val="24"/>
              </w:rPr>
            </w:pPr>
            <w:r>
              <w:rPr>
                <w:rFonts w:ascii="仿宋_GB2312" w:hAnsi="仿宋" w:eastAsia="仿宋_GB2312" w:cs="仿宋"/>
                <w:sz w:val="24"/>
              </w:rPr>
              <w:t>助理研究员</w:t>
            </w:r>
          </w:p>
        </w:tc>
        <w:tc>
          <w:tcPr>
            <w:tcW w:w="1240" w:type="dxa"/>
            <w:tcBorders>
              <w:top w:val="single" w:color="auto" w:sz="4" w:space="0"/>
              <w:left w:val="single" w:color="auto" w:sz="4" w:space="0"/>
              <w:bottom w:val="single" w:color="auto" w:sz="4" w:space="0"/>
              <w:right w:val="single" w:color="auto" w:sz="4" w:space="0"/>
            </w:tcBorders>
            <w:vAlign w:val="center"/>
          </w:tcPr>
          <w:p w14:paraId="689B6168">
            <w:pPr>
              <w:jc w:val="center"/>
              <w:rPr>
                <w:rFonts w:ascii="仿宋_GB2312" w:hAnsi="仿宋" w:eastAsia="仿宋_GB2312" w:cs="仿宋"/>
                <w:sz w:val="24"/>
              </w:rPr>
            </w:pPr>
            <w:r>
              <w:rPr>
                <w:rFonts w:ascii="仿宋_GB2312" w:hAnsi="仿宋" w:eastAsia="仿宋_GB2312" w:cs="仿宋"/>
                <w:sz w:val="24"/>
              </w:rPr>
              <w:t>医学管理</w:t>
            </w:r>
          </w:p>
        </w:tc>
        <w:tc>
          <w:tcPr>
            <w:tcW w:w="1835" w:type="dxa"/>
            <w:tcBorders>
              <w:top w:val="single" w:color="auto" w:sz="4" w:space="0"/>
              <w:left w:val="single" w:color="auto" w:sz="4" w:space="0"/>
              <w:bottom w:val="single" w:color="auto" w:sz="4" w:space="0"/>
              <w:right w:val="single" w:color="auto" w:sz="4" w:space="0"/>
            </w:tcBorders>
            <w:vAlign w:val="center"/>
          </w:tcPr>
          <w:p w14:paraId="41FE0637">
            <w:pPr>
              <w:jc w:val="center"/>
              <w:rPr>
                <w:rFonts w:ascii="仿宋_GB2312" w:hAnsi="仿宋" w:eastAsia="仿宋_GB2312" w:cs="仿宋"/>
                <w:sz w:val="24"/>
              </w:rPr>
            </w:pPr>
            <w:r>
              <w:rPr>
                <w:rFonts w:hint="eastAsia" w:ascii="仿宋_GB2312" w:hAnsi="仿宋" w:eastAsia="仿宋_GB2312" w:cs="仿宋"/>
                <w:sz w:val="24"/>
              </w:rPr>
              <w:t>广西中医药大学第一附属医院</w:t>
            </w:r>
          </w:p>
        </w:tc>
        <w:tc>
          <w:tcPr>
            <w:tcW w:w="3778" w:type="dxa"/>
            <w:tcBorders>
              <w:top w:val="single" w:color="auto" w:sz="4" w:space="0"/>
              <w:left w:val="single" w:color="auto" w:sz="4" w:space="0"/>
              <w:bottom w:val="single" w:color="auto" w:sz="4" w:space="0"/>
              <w:right w:val="single" w:color="auto" w:sz="4" w:space="0"/>
            </w:tcBorders>
          </w:tcPr>
          <w:p w14:paraId="1FA72E2B">
            <w:pPr>
              <w:jc w:val="left"/>
              <w:rPr>
                <w:rFonts w:ascii="仿宋_GB2312" w:hAnsi="仿宋_GB2312" w:eastAsia="仿宋_GB2312" w:cs="仿宋_GB2312"/>
                <w:sz w:val="24"/>
                <w:lang w:bidi="ar"/>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7C88F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7B1A8E82">
            <w:pPr>
              <w:jc w:val="center"/>
              <w:rPr>
                <w:rFonts w:ascii="仿宋_GB2312" w:hAnsi="仿宋" w:eastAsia="仿宋_GB2312" w:cs="仿宋"/>
                <w:sz w:val="24"/>
              </w:rPr>
            </w:pPr>
            <w:r>
              <w:rPr>
                <w:rFonts w:ascii="仿宋_GB2312" w:hAnsi="仿宋" w:eastAsia="仿宋_GB2312" w:cs="仿宋"/>
                <w:sz w:val="24"/>
              </w:rPr>
              <w:t>张曼</w:t>
            </w:r>
          </w:p>
        </w:tc>
        <w:tc>
          <w:tcPr>
            <w:tcW w:w="1280" w:type="dxa"/>
            <w:tcBorders>
              <w:top w:val="single" w:color="auto" w:sz="4" w:space="0"/>
              <w:left w:val="single" w:color="auto" w:sz="4" w:space="0"/>
              <w:bottom w:val="single" w:color="auto" w:sz="4" w:space="0"/>
              <w:right w:val="single" w:color="auto" w:sz="4" w:space="0"/>
            </w:tcBorders>
            <w:vAlign w:val="center"/>
          </w:tcPr>
          <w:p w14:paraId="2C014AAB">
            <w:pPr>
              <w:jc w:val="center"/>
              <w:rPr>
                <w:rFonts w:ascii="仿宋_GB2312" w:hAnsi="仿宋" w:eastAsia="仿宋_GB2312" w:cs="仿宋"/>
                <w:sz w:val="24"/>
              </w:rPr>
            </w:pPr>
            <w:r>
              <w:rPr>
                <w:rFonts w:hint="eastAsia" w:ascii="仿宋_GB2312" w:hAnsi="仿宋" w:eastAsia="仿宋_GB2312" w:cs="仿宋"/>
                <w:sz w:val="24"/>
              </w:rPr>
              <w:t>副教授</w:t>
            </w:r>
          </w:p>
        </w:tc>
        <w:tc>
          <w:tcPr>
            <w:tcW w:w="1240" w:type="dxa"/>
            <w:tcBorders>
              <w:top w:val="single" w:color="auto" w:sz="4" w:space="0"/>
              <w:left w:val="single" w:color="auto" w:sz="4" w:space="0"/>
              <w:bottom w:val="single" w:color="auto" w:sz="4" w:space="0"/>
              <w:right w:val="single" w:color="auto" w:sz="4" w:space="0"/>
            </w:tcBorders>
            <w:vAlign w:val="center"/>
          </w:tcPr>
          <w:p w14:paraId="12000355">
            <w:pPr>
              <w:jc w:val="center"/>
              <w:rPr>
                <w:rFonts w:ascii="仿宋_GB2312" w:hAnsi="仿宋" w:eastAsia="仿宋_GB2312" w:cs="仿宋"/>
                <w:sz w:val="24"/>
              </w:rPr>
            </w:pPr>
            <w:r>
              <w:rPr>
                <w:rFonts w:hint="eastAsia" w:ascii="仿宋_GB2312" w:hAnsi="仿宋" w:eastAsia="仿宋_GB2312" w:cs="仿宋"/>
                <w:sz w:val="24"/>
              </w:rPr>
              <w:t>中医学</w:t>
            </w:r>
          </w:p>
        </w:tc>
        <w:tc>
          <w:tcPr>
            <w:tcW w:w="1835" w:type="dxa"/>
            <w:tcBorders>
              <w:top w:val="single" w:color="auto" w:sz="4" w:space="0"/>
              <w:left w:val="single" w:color="auto" w:sz="4" w:space="0"/>
              <w:bottom w:val="single" w:color="auto" w:sz="4" w:space="0"/>
              <w:right w:val="single" w:color="auto" w:sz="4" w:space="0"/>
            </w:tcBorders>
            <w:vAlign w:val="center"/>
          </w:tcPr>
          <w:p w14:paraId="6D9BC271">
            <w:pPr>
              <w:jc w:val="center"/>
              <w:rPr>
                <w:rFonts w:ascii="仿宋_GB2312" w:hAnsi="仿宋" w:eastAsia="仿宋_GB2312" w:cs="仿宋"/>
                <w:sz w:val="24"/>
              </w:rPr>
            </w:pPr>
            <w:r>
              <w:rPr>
                <w:rFonts w:hint="eastAsia" w:ascii="仿宋_GB2312" w:hAnsi="仿宋" w:eastAsia="仿宋_GB2312" w:cs="仿宋"/>
                <w:sz w:val="24"/>
              </w:rPr>
              <w:t>广西中医药大学第一附属医院</w:t>
            </w:r>
          </w:p>
        </w:tc>
        <w:tc>
          <w:tcPr>
            <w:tcW w:w="3778" w:type="dxa"/>
            <w:tcBorders>
              <w:top w:val="single" w:color="auto" w:sz="4" w:space="0"/>
              <w:left w:val="single" w:color="auto" w:sz="4" w:space="0"/>
              <w:bottom w:val="single" w:color="auto" w:sz="4" w:space="0"/>
              <w:right w:val="single" w:color="auto" w:sz="4" w:space="0"/>
            </w:tcBorders>
          </w:tcPr>
          <w:p w14:paraId="1D555BA2">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036C9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5643295F">
            <w:pPr>
              <w:jc w:val="center"/>
              <w:rPr>
                <w:rFonts w:ascii="仿宋_GB2312" w:hAnsi="仿宋" w:eastAsia="仿宋_GB2312" w:cs="仿宋"/>
                <w:sz w:val="24"/>
              </w:rPr>
            </w:pPr>
            <w:r>
              <w:rPr>
                <w:rFonts w:ascii="仿宋_GB2312" w:hAnsi="仿宋" w:eastAsia="仿宋_GB2312" w:cs="仿宋"/>
                <w:sz w:val="24"/>
              </w:rPr>
              <w:t>黄娴</w:t>
            </w:r>
          </w:p>
        </w:tc>
        <w:tc>
          <w:tcPr>
            <w:tcW w:w="1280" w:type="dxa"/>
            <w:tcBorders>
              <w:top w:val="single" w:color="auto" w:sz="4" w:space="0"/>
              <w:left w:val="single" w:color="auto" w:sz="4" w:space="0"/>
              <w:bottom w:val="single" w:color="auto" w:sz="4" w:space="0"/>
              <w:right w:val="single" w:color="auto" w:sz="4" w:space="0"/>
            </w:tcBorders>
            <w:vAlign w:val="center"/>
          </w:tcPr>
          <w:p w14:paraId="52F15997">
            <w:pPr>
              <w:jc w:val="center"/>
              <w:rPr>
                <w:rFonts w:ascii="仿宋_GB2312" w:hAnsi="仿宋" w:eastAsia="仿宋_GB2312" w:cs="仿宋"/>
                <w:sz w:val="24"/>
              </w:rPr>
            </w:pPr>
            <w:r>
              <w:rPr>
                <w:rFonts w:ascii="仿宋_GB2312" w:hAnsi="仿宋" w:eastAsia="仿宋_GB2312" w:cs="仿宋"/>
                <w:sz w:val="24"/>
              </w:rPr>
              <w:t>主治医师</w:t>
            </w:r>
          </w:p>
        </w:tc>
        <w:tc>
          <w:tcPr>
            <w:tcW w:w="1240" w:type="dxa"/>
            <w:tcBorders>
              <w:top w:val="single" w:color="auto" w:sz="4" w:space="0"/>
              <w:left w:val="single" w:color="auto" w:sz="4" w:space="0"/>
              <w:bottom w:val="single" w:color="auto" w:sz="4" w:space="0"/>
              <w:right w:val="single" w:color="auto" w:sz="4" w:space="0"/>
            </w:tcBorders>
            <w:vAlign w:val="center"/>
          </w:tcPr>
          <w:p w14:paraId="5E3C5B10">
            <w:pPr>
              <w:jc w:val="center"/>
              <w:rPr>
                <w:rFonts w:ascii="仿宋_GB2312" w:hAnsi="仿宋" w:eastAsia="仿宋_GB2312" w:cs="仿宋"/>
                <w:sz w:val="24"/>
              </w:rPr>
            </w:pPr>
            <w:r>
              <w:rPr>
                <w:rFonts w:ascii="仿宋_GB2312" w:hAnsi="仿宋" w:eastAsia="仿宋_GB2312" w:cs="仿宋"/>
                <w:sz w:val="24"/>
              </w:rPr>
              <w:t>中医学</w:t>
            </w:r>
          </w:p>
        </w:tc>
        <w:tc>
          <w:tcPr>
            <w:tcW w:w="1835" w:type="dxa"/>
            <w:tcBorders>
              <w:top w:val="single" w:color="auto" w:sz="4" w:space="0"/>
              <w:left w:val="single" w:color="auto" w:sz="4" w:space="0"/>
              <w:bottom w:val="single" w:color="auto" w:sz="4" w:space="0"/>
              <w:right w:val="single" w:color="auto" w:sz="4" w:space="0"/>
            </w:tcBorders>
            <w:vAlign w:val="center"/>
          </w:tcPr>
          <w:p w14:paraId="7BD37DE9">
            <w:pPr>
              <w:jc w:val="center"/>
              <w:rPr>
                <w:rFonts w:ascii="仿宋_GB2312" w:hAnsi="仿宋" w:eastAsia="仿宋_GB2312" w:cs="仿宋"/>
                <w:sz w:val="24"/>
              </w:rPr>
            </w:pPr>
            <w:r>
              <w:rPr>
                <w:rFonts w:hint="eastAsia" w:ascii="仿宋_GB2312" w:hAnsi="仿宋" w:eastAsia="仿宋_GB2312" w:cs="仿宋"/>
                <w:sz w:val="24"/>
              </w:rPr>
              <w:t>广西中医药大学第一附属医院</w:t>
            </w:r>
          </w:p>
        </w:tc>
        <w:tc>
          <w:tcPr>
            <w:tcW w:w="3778" w:type="dxa"/>
            <w:tcBorders>
              <w:top w:val="single" w:color="auto" w:sz="4" w:space="0"/>
              <w:left w:val="single" w:color="auto" w:sz="4" w:space="0"/>
              <w:bottom w:val="single" w:color="auto" w:sz="4" w:space="0"/>
              <w:right w:val="single" w:color="auto" w:sz="4" w:space="0"/>
            </w:tcBorders>
          </w:tcPr>
          <w:p w14:paraId="34B9E7B9">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57FB8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6C43105">
            <w:pPr>
              <w:jc w:val="center"/>
              <w:rPr>
                <w:rFonts w:ascii="仿宋_GB2312" w:hAnsi="仿宋" w:eastAsia="仿宋_GB2312" w:cs="仿宋"/>
                <w:sz w:val="24"/>
              </w:rPr>
            </w:pPr>
            <w:r>
              <w:rPr>
                <w:rFonts w:ascii="仿宋_GB2312" w:hAnsi="仿宋" w:eastAsia="仿宋_GB2312" w:cs="仿宋"/>
                <w:sz w:val="24"/>
              </w:rPr>
              <w:t>罗秋香</w:t>
            </w:r>
          </w:p>
        </w:tc>
        <w:tc>
          <w:tcPr>
            <w:tcW w:w="1280" w:type="dxa"/>
            <w:tcBorders>
              <w:top w:val="single" w:color="auto" w:sz="4" w:space="0"/>
              <w:left w:val="single" w:color="auto" w:sz="4" w:space="0"/>
              <w:bottom w:val="single" w:color="auto" w:sz="4" w:space="0"/>
              <w:right w:val="single" w:color="auto" w:sz="4" w:space="0"/>
            </w:tcBorders>
            <w:vAlign w:val="center"/>
          </w:tcPr>
          <w:p w14:paraId="00EE6607">
            <w:pPr>
              <w:jc w:val="center"/>
              <w:rPr>
                <w:rFonts w:ascii="仿宋_GB2312" w:hAnsi="仿宋" w:eastAsia="仿宋_GB2312" w:cs="仿宋"/>
                <w:sz w:val="24"/>
              </w:rPr>
            </w:pPr>
            <w:r>
              <w:rPr>
                <w:rFonts w:hint="eastAsia" w:ascii="仿宋_GB2312" w:hAnsi="仿宋" w:eastAsia="仿宋_GB2312" w:cs="仿宋"/>
                <w:sz w:val="24"/>
              </w:rPr>
              <w:t>主治医师</w:t>
            </w:r>
          </w:p>
        </w:tc>
        <w:tc>
          <w:tcPr>
            <w:tcW w:w="1240" w:type="dxa"/>
            <w:tcBorders>
              <w:top w:val="single" w:color="auto" w:sz="4" w:space="0"/>
              <w:left w:val="single" w:color="auto" w:sz="4" w:space="0"/>
              <w:bottom w:val="single" w:color="auto" w:sz="4" w:space="0"/>
              <w:right w:val="single" w:color="auto" w:sz="4" w:space="0"/>
            </w:tcBorders>
            <w:vAlign w:val="center"/>
          </w:tcPr>
          <w:p w14:paraId="7D7DEAE6">
            <w:pPr>
              <w:jc w:val="center"/>
              <w:rPr>
                <w:rFonts w:ascii="仿宋_GB2312" w:hAnsi="仿宋" w:eastAsia="仿宋_GB2312" w:cs="仿宋"/>
                <w:sz w:val="24"/>
              </w:rPr>
            </w:pPr>
            <w:r>
              <w:rPr>
                <w:rFonts w:hint="eastAsia" w:ascii="仿宋_GB2312" w:hAnsi="仿宋" w:eastAsia="仿宋_GB2312" w:cs="仿宋"/>
                <w:sz w:val="24"/>
              </w:rPr>
              <w:t>瑶医学</w:t>
            </w:r>
          </w:p>
        </w:tc>
        <w:tc>
          <w:tcPr>
            <w:tcW w:w="1835" w:type="dxa"/>
            <w:tcBorders>
              <w:top w:val="single" w:color="auto" w:sz="4" w:space="0"/>
              <w:left w:val="single" w:color="auto" w:sz="4" w:space="0"/>
              <w:bottom w:val="single" w:color="auto" w:sz="4" w:space="0"/>
              <w:right w:val="single" w:color="auto" w:sz="4" w:space="0"/>
            </w:tcBorders>
            <w:vAlign w:val="center"/>
          </w:tcPr>
          <w:p w14:paraId="6B3F50B0">
            <w:pPr>
              <w:jc w:val="center"/>
              <w:rPr>
                <w:rFonts w:ascii="仿宋_GB2312" w:hAnsi="仿宋" w:eastAsia="仿宋_GB2312" w:cs="仿宋"/>
                <w:sz w:val="24"/>
              </w:rPr>
            </w:pPr>
            <w:r>
              <w:rPr>
                <w:rFonts w:hint="eastAsia" w:ascii="仿宋_GB2312" w:hAnsi="仿宋" w:eastAsia="仿宋_GB2312" w:cs="仿宋"/>
                <w:sz w:val="24"/>
              </w:rPr>
              <w:t>金秀瑶族自治县瑶医医院</w:t>
            </w:r>
          </w:p>
        </w:tc>
        <w:tc>
          <w:tcPr>
            <w:tcW w:w="3778" w:type="dxa"/>
            <w:tcBorders>
              <w:top w:val="single" w:color="auto" w:sz="4" w:space="0"/>
              <w:left w:val="single" w:color="auto" w:sz="4" w:space="0"/>
              <w:bottom w:val="single" w:color="auto" w:sz="4" w:space="0"/>
              <w:right w:val="single" w:color="auto" w:sz="4" w:space="0"/>
            </w:tcBorders>
          </w:tcPr>
          <w:p w14:paraId="69899074">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6CBD8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4D06A966">
            <w:pPr>
              <w:jc w:val="center"/>
              <w:rPr>
                <w:rFonts w:ascii="仿宋_GB2312" w:hAnsi="仿宋" w:eastAsia="仿宋_GB2312" w:cs="仿宋"/>
                <w:sz w:val="24"/>
              </w:rPr>
            </w:pPr>
            <w:r>
              <w:rPr>
                <w:rFonts w:ascii="仿宋_GB2312" w:hAnsi="仿宋" w:eastAsia="仿宋_GB2312" w:cs="仿宋"/>
                <w:sz w:val="24"/>
              </w:rPr>
              <w:t>梁琼平</w:t>
            </w:r>
          </w:p>
        </w:tc>
        <w:tc>
          <w:tcPr>
            <w:tcW w:w="1280" w:type="dxa"/>
            <w:tcBorders>
              <w:top w:val="single" w:color="auto" w:sz="4" w:space="0"/>
              <w:left w:val="single" w:color="auto" w:sz="4" w:space="0"/>
              <w:bottom w:val="single" w:color="auto" w:sz="4" w:space="0"/>
              <w:right w:val="single" w:color="auto" w:sz="4" w:space="0"/>
            </w:tcBorders>
            <w:vAlign w:val="center"/>
          </w:tcPr>
          <w:p w14:paraId="711837E8">
            <w:pPr>
              <w:jc w:val="center"/>
              <w:rPr>
                <w:rFonts w:ascii="仿宋_GB2312" w:hAnsi="仿宋" w:eastAsia="仿宋_GB2312" w:cs="仿宋"/>
                <w:sz w:val="24"/>
              </w:rPr>
            </w:pPr>
            <w:r>
              <w:rPr>
                <w:rFonts w:hint="eastAsia" w:ascii="仿宋_GB2312" w:hAnsi="仿宋" w:eastAsia="仿宋_GB2312" w:cs="仿宋"/>
                <w:sz w:val="24"/>
              </w:rPr>
              <w:t>主治医师</w:t>
            </w:r>
          </w:p>
        </w:tc>
        <w:tc>
          <w:tcPr>
            <w:tcW w:w="1240" w:type="dxa"/>
            <w:tcBorders>
              <w:top w:val="single" w:color="auto" w:sz="4" w:space="0"/>
              <w:left w:val="single" w:color="auto" w:sz="4" w:space="0"/>
              <w:bottom w:val="single" w:color="auto" w:sz="4" w:space="0"/>
              <w:right w:val="single" w:color="auto" w:sz="4" w:space="0"/>
            </w:tcBorders>
            <w:vAlign w:val="center"/>
          </w:tcPr>
          <w:p w14:paraId="17D540EF">
            <w:pPr>
              <w:jc w:val="center"/>
              <w:rPr>
                <w:rFonts w:ascii="仿宋_GB2312" w:hAnsi="仿宋" w:eastAsia="仿宋_GB2312" w:cs="仿宋"/>
                <w:sz w:val="24"/>
              </w:rPr>
            </w:pPr>
            <w:r>
              <w:rPr>
                <w:rFonts w:hint="eastAsia" w:ascii="仿宋_GB2312" w:hAnsi="仿宋" w:eastAsia="仿宋_GB2312" w:cs="仿宋"/>
                <w:sz w:val="24"/>
              </w:rPr>
              <w:t>瑶医学</w:t>
            </w:r>
          </w:p>
        </w:tc>
        <w:tc>
          <w:tcPr>
            <w:tcW w:w="1835" w:type="dxa"/>
            <w:tcBorders>
              <w:top w:val="single" w:color="auto" w:sz="4" w:space="0"/>
              <w:left w:val="single" w:color="auto" w:sz="4" w:space="0"/>
              <w:bottom w:val="single" w:color="auto" w:sz="4" w:space="0"/>
              <w:right w:val="single" w:color="auto" w:sz="4" w:space="0"/>
            </w:tcBorders>
            <w:vAlign w:val="center"/>
          </w:tcPr>
          <w:p w14:paraId="38E033EF">
            <w:pPr>
              <w:jc w:val="center"/>
              <w:rPr>
                <w:rFonts w:ascii="仿宋_GB2312" w:hAnsi="仿宋" w:eastAsia="仿宋_GB2312" w:cs="仿宋"/>
                <w:sz w:val="24"/>
              </w:rPr>
            </w:pPr>
            <w:r>
              <w:rPr>
                <w:rFonts w:hint="eastAsia" w:ascii="仿宋_GB2312" w:hAnsi="仿宋" w:eastAsia="仿宋_GB2312" w:cs="仿宋"/>
                <w:sz w:val="24"/>
              </w:rPr>
              <w:t>金秀瑶族自治县瑶医医院</w:t>
            </w:r>
          </w:p>
        </w:tc>
        <w:tc>
          <w:tcPr>
            <w:tcW w:w="3778" w:type="dxa"/>
            <w:tcBorders>
              <w:top w:val="single" w:color="auto" w:sz="4" w:space="0"/>
              <w:left w:val="single" w:color="auto" w:sz="4" w:space="0"/>
              <w:bottom w:val="single" w:color="auto" w:sz="4" w:space="0"/>
              <w:right w:val="single" w:color="auto" w:sz="4" w:space="0"/>
            </w:tcBorders>
          </w:tcPr>
          <w:p w14:paraId="336B11E2">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r w14:paraId="32B1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55" w:type="dxa"/>
            <w:tcBorders>
              <w:top w:val="single" w:color="auto" w:sz="4" w:space="0"/>
              <w:left w:val="single" w:color="auto" w:sz="4" w:space="0"/>
              <w:bottom w:val="single" w:color="auto" w:sz="4" w:space="0"/>
              <w:right w:val="single" w:color="auto" w:sz="4" w:space="0"/>
            </w:tcBorders>
            <w:vAlign w:val="center"/>
          </w:tcPr>
          <w:p w14:paraId="15910C3E">
            <w:pPr>
              <w:jc w:val="center"/>
              <w:rPr>
                <w:rFonts w:ascii="仿宋_GB2312" w:hAnsi="仿宋" w:eastAsia="仿宋_GB2312" w:cs="仿宋"/>
                <w:sz w:val="24"/>
              </w:rPr>
            </w:pPr>
            <w:r>
              <w:rPr>
                <w:rFonts w:ascii="仿宋_GB2312" w:hAnsi="仿宋" w:eastAsia="仿宋_GB2312" w:cs="仿宋"/>
                <w:sz w:val="24"/>
              </w:rPr>
              <w:t>梁善秋</w:t>
            </w:r>
          </w:p>
        </w:tc>
        <w:tc>
          <w:tcPr>
            <w:tcW w:w="1280" w:type="dxa"/>
            <w:tcBorders>
              <w:top w:val="single" w:color="auto" w:sz="4" w:space="0"/>
              <w:left w:val="single" w:color="auto" w:sz="4" w:space="0"/>
              <w:bottom w:val="single" w:color="auto" w:sz="4" w:space="0"/>
              <w:right w:val="single" w:color="auto" w:sz="4" w:space="0"/>
            </w:tcBorders>
            <w:vAlign w:val="center"/>
          </w:tcPr>
          <w:p w14:paraId="23BEB794">
            <w:pPr>
              <w:jc w:val="center"/>
              <w:rPr>
                <w:rFonts w:ascii="仿宋_GB2312" w:hAnsi="仿宋" w:eastAsia="仿宋_GB2312" w:cs="仿宋"/>
                <w:sz w:val="24"/>
              </w:rPr>
            </w:pPr>
            <w:r>
              <w:rPr>
                <w:rFonts w:hint="eastAsia" w:ascii="仿宋_GB2312" w:hAnsi="仿宋" w:eastAsia="仿宋_GB2312" w:cs="仿宋"/>
                <w:sz w:val="24"/>
              </w:rPr>
              <w:t>副主任医师</w:t>
            </w:r>
          </w:p>
        </w:tc>
        <w:tc>
          <w:tcPr>
            <w:tcW w:w="1240" w:type="dxa"/>
            <w:tcBorders>
              <w:top w:val="single" w:color="auto" w:sz="4" w:space="0"/>
              <w:left w:val="single" w:color="auto" w:sz="4" w:space="0"/>
              <w:bottom w:val="single" w:color="auto" w:sz="4" w:space="0"/>
              <w:right w:val="single" w:color="auto" w:sz="4" w:space="0"/>
            </w:tcBorders>
            <w:vAlign w:val="center"/>
          </w:tcPr>
          <w:p w14:paraId="527F496B">
            <w:pPr>
              <w:jc w:val="center"/>
              <w:rPr>
                <w:rFonts w:ascii="仿宋_GB2312" w:hAnsi="仿宋" w:eastAsia="仿宋_GB2312" w:cs="仿宋"/>
                <w:sz w:val="24"/>
              </w:rPr>
            </w:pPr>
            <w:r>
              <w:rPr>
                <w:rFonts w:hint="eastAsia" w:ascii="仿宋_GB2312" w:hAnsi="仿宋" w:eastAsia="仿宋_GB2312" w:cs="仿宋"/>
                <w:sz w:val="24"/>
              </w:rPr>
              <w:t>瑶医学</w:t>
            </w:r>
          </w:p>
        </w:tc>
        <w:tc>
          <w:tcPr>
            <w:tcW w:w="1835" w:type="dxa"/>
            <w:tcBorders>
              <w:top w:val="single" w:color="auto" w:sz="4" w:space="0"/>
              <w:left w:val="single" w:color="auto" w:sz="4" w:space="0"/>
              <w:bottom w:val="single" w:color="auto" w:sz="4" w:space="0"/>
              <w:right w:val="single" w:color="auto" w:sz="4" w:space="0"/>
            </w:tcBorders>
            <w:vAlign w:val="center"/>
          </w:tcPr>
          <w:p w14:paraId="25F287C3">
            <w:pPr>
              <w:jc w:val="center"/>
              <w:rPr>
                <w:rFonts w:ascii="仿宋_GB2312" w:hAnsi="仿宋" w:eastAsia="仿宋_GB2312" w:cs="仿宋"/>
                <w:sz w:val="24"/>
              </w:rPr>
            </w:pPr>
            <w:r>
              <w:rPr>
                <w:rFonts w:hint="eastAsia" w:ascii="仿宋_GB2312" w:hAnsi="仿宋" w:eastAsia="仿宋_GB2312" w:cs="仿宋"/>
                <w:sz w:val="24"/>
              </w:rPr>
              <w:t>金秀瑶族自治县瑶医医院</w:t>
            </w:r>
          </w:p>
        </w:tc>
        <w:tc>
          <w:tcPr>
            <w:tcW w:w="3778" w:type="dxa"/>
            <w:tcBorders>
              <w:top w:val="single" w:color="auto" w:sz="4" w:space="0"/>
              <w:left w:val="single" w:color="auto" w:sz="4" w:space="0"/>
              <w:bottom w:val="single" w:color="auto" w:sz="4" w:space="0"/>
              <w:right w:val="single" w:color="auto" w:sz="4" w:space="0"/>
            </w:tcBorders>
          </w:tcPr>
          <w:p w14:paraId="517AE6A9">
            <w:pPr>
              <w:jc w:val="left"/>
              <w:rPr>
                <w:rFonts w:cs="Times New Roman"/>
              </w:rPr>
            </w:pPr>
            <w:r>
              <w:rPr>
                <w:rFonts w:hint="eastAsia" w:ascii="仿宋_GB2312" w:hAnsi="仿宋_GB2312" w:eastAsia="仿宋_GB2312" w:cs="仿宋_GB2312"/>
                <w:sz w:val="24"/>
                <w:lang w:bidi="ar"/>
              </w:rPr>
              <w:t>参与标准文本及编制说明的编写；组织开展标准征求意见会；对标准实施情况进行总结分析，不断对标准提出修正意见</w:t>
            </w:r>
          </w:p>
        </w:tc>
      </w:tr>
    </w:tbl>
    <w:p w14:paraId="5495D506">
      <w:pPr>
        <w:spacing w:line="520" w:lineRule="exact"/>
        <w:ind w:firstLine="640" w:firstLineChars="200"/>
        <w:rPr>
          <w:rFonts w:ascii="黑体" w:eastAsia="黑体" w:cs="仿宋_GB2312"/>
          <w:sz w:val="32"/>
          <w:szCs w:val="32"/>
        </w:rPr>
      </w:pPr>
      <w:r>
        <w:rPr>
          <w:rFonts w:hint="eastAsia" w:ascii="黑体" w:eastAsia="黑体" w:cs="仿宋_GB2312"/>
          <w:sz w:val="32"/>
          <w:szCs w:val="32"/>
        </w:rPr>
        <w:t>二、制定标准的必要性和意义</w:t>
      </w:r>
    </w:p>
    <w:p w14:paraId="1618A8C8">
      <w:pPr>
        <w:spacing w:line="520" w:lineRule="exact"/>
        <w:ind w:firstLine="560" w:firstLineChars="200"/>
        <w:rPr>
          <w:rFonts w:ascii="仿宋_GB2312" w:eastAsia="仿宋_GB2312"/>
          <w:sz w:val="28"/>
          <w:szCs w:val="28"/>
        </w:rPr>
      </w:pPr>
      <w:r>
        <w:rPr>
          <w:rFonts w:hint="eastAsia" w:ascii="仿宋_GB2312" w:eastAsia="仿宋_GB2312"/>
          <w:sz w:val="28"/>
          <w:szCs w:val="28"/>
        </w:rPr>
        <w:t>2022年，广西壮族自治区人民政府办公厅关于印发广西中医药壮瑶医药发展“十四五”规划的通知（ 桂政办发〔2022〕12号），明确加强中医特色优势专科建设，做优做强中医壮瑶医特色优势专科专病。遴选一批中医优势病种诊疗方案、适宜技术。提升中医药壮瑶医药特色康复服务，促进中医药、中华传统体育与现代康复技术融合。广西壮族自治区人民政府2022年6月13日印发《广西卫生健康发展“十四五”规划》，明确中医药壮瑶医药事业长足进步，中医药壮瑶医药服务能力全面提升。到2025年，广西卫生健康体系更加完善，中医药壮瑶医药独特优势和作用进一步发挥，健康科技创新能力明显增强。</w:t>
      </w:r>
    </w:p>
    <w:p w14:paraId="4B0B5A9F">
      <w:pPr>
        <w:spacing w:line="520" w:lineRule="exact"/>
        <w:ind w:firstLine="560" w:firstLineChars="200"/>
        <w:rPr>
          <w:rFonts w:ascii="仿宋_GB2312" w:eastAsia="仿宋_GB2312"/>
          <w:sz w:val="28"/>
          <w:szCs w:val="28"/>
        </w:rPr>
      </w:pPr>
      <w:r>
        <w:rPr>
          <w:rFonts w:hint="eastAsia" w:ascii="仿宋_GB2312" w:eastAsia="仿宋_GB2312"/>
          <w:sz w:val="28"/>
          <w:szCs w:val="28"/>
        </w:rPr>
        <w:t>禅更病，瑶文病名称 nziaamh hmaeh hnang，相当于中医病“眩晕”，常见于现代医学的高血压病。禅更病，即以血压升高，并伴有头晕、头痛、头重为临床主要表现的一类疾病，疾病发展到后期可影响及心脏、肾脏、脑。本病为最常见的慢性病，是心脑血管疾病最主要的危险因素。眩主要表现为眼花或眼前发黑，晕是指头晕或感觉自身或外界景物晃动、旋转。二者常同时出现,轻者闭目即止,重者如坐舟车，旋转不定，不能站立，或伴恶心、呕吐、汗出,甚至昏倒。属于中医的“眩晕”，现代医学以眩晕为主的病症多见于高血压，禅更病的发生与饮食习惯有关，盐和饱和脂肪摄入越高，平均血压水平和患病率也越高。本病也具有一定的地域性，高纬度寒冷地区患病率高于低纬度温暖地区，高海拔地区高于低海拔地区。其患病率随年龄增长而升高，而女性在更年期前患病率略低于男性，但在更年期后迅速升高，甚至高于男性。</w:t>
      </w:r>
    </w:p>
    <w:p w14:paraId="768A7CD7">
      <w:pPr>
        <w:spacing w:line="520" w:lineRule="exact"/>
        <w:ind w:firstLine="560" w:firstLineChars="200"/>
        <w:rPr>
          <w:rFonts w:ascii="仿宋_GB2312" w:eastAsia="仿宋_GB2312"/>
          <w:sz w:val="28"/>
          <w:szCs w:val="28"/>
        </w:rPr>
      </w:pPr>
      <w:r>
        <w:rPr>
          <w:rFonts w:hint="eastAsia" w:ascii="仿宋_GB2312" w:eastAsia="仿宋_GB2312"/>
          <w:sz w:val="28"/>
          <w:szCs w:val="28"/>
        </w:rPr>
        <w:t>禅更病发生多与气候水土、多食肥甘厚腻、劳累过度、外感邪气有关。本病的病因可分为虚实两种。机体在外感痧气、瘴气或蛊毒以后，加之多食肥甘厚腻，天、地、人三元失去和谐，导致邪气容易停留体内，使得水谷精微不化，日久炼化成痰或结瘀，导致痰瘀盈盛，痰浊上扰清窍，或瘀血阻络，导致气血不通， 络闭阻而发为眩晕。另外，因劳累过度或房事不节，或素体阴虚、气血虚者，日久因虚成痨，盈亏失衡，使得肝肾阴虚，肾精亏耗，髓海失养而发为本病，同时，阴虚而阳亢，肝阳化风，风阳上扰清窍，导致发病。</w:t>
      </w:r>
    </w:p>
    <w:p w14:paraId="6F06B2EB">
      <w:pPr>
        <w:spacing w:line="520" w:lineRule="exact"/>
        <w:ind w:firstLine="560" w:firstLineChars="200"/>
        <w:rPr>
          <w:rFonts w:ascii="仿宋_GB2312" w:eastAsia="仿宋_GB2312"/>
          <w:sz w:val="28"/>
          <w:szCs w:val="28"/>
        </w:rPr>
      </w:pPr>
      <w:r>
        <w:rPr>
          <w:rFonts w:hint="eastAsia" w:ascii="仿宋_GB2312" w:eastAsia="仿宋_GB2312"/>
          <w:sz w:val="28"/>
          <w:szCs w:val="28"/>
        </w:rPr>
        <w:t>禅更病（高血压）具有发病率高、病程长、并发症多、患病率高,疾病负担重,预后效果差等特点。我国的高血压患病率由5.1%上升到目前的27.9%,增长了5.5倍,而且我国人群目前的高血压知晓率、治疗率和控制率分别为51.6%,45.8%,16.8%，广西地区35-74岁壮族居民的高血压患病率低于全国该年龄段人群平均水平,但高于以往广西地区高血压患病率的调查结果;高血压知晓率、治疗率和控制率也均低于全国平均水平,进一步提示高血压的防控形势仍不容乐观,相关部门应当及时采取有效措施。目前越来越多的患者选择瑶医诊治，尤其是瑶族地区应用更为广泛。</w:t>
      </w:r>
    </w:p>
    <w:p w14:paraId="60AC9240">
      <w:pPr>
        <w:spacing w:line="520" w:lineRule="exact"/>
        <w:ind w:firstLine="560" w:firstLineChars="200"/>
        <w:rPr>
          <w:rFonts w:ascii="仿宋_GB2312" w:eastAsia="仿宋_GB2312"/>
          <w:sz w:val="28"/>
          <w:szCs w:val="28"/>
        </w:rPr>
      </w:pPr>
      <w:r>
        <w:rPr>
          <w:rFonts w:hint="eastAsia" w:ascii="仿宋_GB2312" w:eastAsia="仿宋_GB2312"/>
          <w:sz w:val="28"/>
          <w:szCs w:val="28"/>
        </w:rPr>
        <w:t>目前区禅更病瑶医诊疗技术在玉林市中医医院、金秀瑶族自治县瑶医医院、恭城瑶族自治县中医医院进行了初步应用，每年运用瑶医诊疗禅更病约300例，有效率达85%以上。“禅更病”是广西地区的一种地方性疾病，主要与营养不良、寄生虫感染（如钩虫感染）以及环境因素（如土壤中微量元素缺乏）相关。禅更病在广西的农村地区，尤其是贫困山区和少数民族聚居区（如百色、河池、崇左等地）较为常见，严重影响当地居民的健康。</w:t>
      </w:r>
    </w:p>
    <w:p w14:paraId="27CCEB33">
      <w:pPr>
        <w:spacing w:line="520" w:lineRule="exact"/>
        <w:ind w:firstLine="560" w:firstLineChars="200"/>
        <w:rPr>
          <w:rFonts w:ascii="仿宋_GB2312" w:eastAsia="仿宋_GB2312"/>
          <w:sz w:val="28"/>
          <w:szCs w:val="28"/>
        </w:rPr>
      </w:pPr>
      <w:r>
        <w:rPr>
          <w:rFonts w:hint="eastAsia" w:ascii="仿宋_GB2312" w:eastAsia="仿宋_GB2312"/>
          <w:sz w:val="28"/>
          <w:szCs w:val="28"/>
        </w:rPr>
        <w:t>禅更病的主要症状包括乏力、消瘦、贫血、消化不良、生长发育迟缓等，严重时可能导致器官功能损害甚至死亡。禅更病的高发会影响劳动力质量，加重家庭和社会的经济负担。由于禅更病高发地区多为经济欠发达、交通不便的农村地区，现代医疗资源（如医院、医生、药品）相对匮乏。现代医学诊疗禅更病需要依赖营养干预、驱虫治疗和微量元素补充等手段，成本较高，难以在贫困地区普及。</w:t>
      </w:r>
    </w:p>
    <w:p w14:paraId="3CEBCACE">
      <w:pPr>
        <w:spacing w:line="520" w:lineRule="exact"/>
        <w:ind w:firstLine="560" w:firstLineChars="200"/>
        <w:rPr>
          <w:rFonts w:ascii="仿宋_GB2312" w:eastAsia="仿宋_GB2312"/>
          <w:sz w:val="28"/>
          <w:szCs w:val="28"/>
        </w:rPr>
      </w:pPr>
      <w:r>
        <w:rPr>
          <w:rFonts w:hint="eastAsia" w:ascii="仿宋_GB2312" w:eastAsia="仿宋_GB2312"/>
          <w:sz w:val="28"/>
          <w:szCs w:val="28"/>
        </w:rPr>
        <w:t>瑶医作为广西地区重要的传统医学体系，在诊疗禅更病方面具有独特的理论和方法。瑶医擅长使用本地草药和自然资源，成本低且易于获取。瑶医强调整体观念和辨证施治，通过调理脾胃、补气养血、驱虫解毒等方法，综合改善患者的健康状况。另外瑶医是广西少数民族文化的重要组成部分，当地居民对瑶医的接受度和信任度较高。禅更病是一种慢性疾病，早期干预可以有效缓解症状，防止病情恶化。瑶医的早期诊断和治疗具有重要的现实意义。在医疗资源匮乏的地区，瑶医可以填补现代医疗的空白，为患者提供及时、有效的诊疗服务。</w:t>
      </w:r>
    </w:p>
    <w:p w14:paraId="32D264E7">
      <w:pPr>
        <w:spacing w:line="520" w:lineRule="exact"/>
        <w:ind w:firstLine="560" w:firstLineChars="200"/>
        <w:rPr>
          <w:rFonts w:ascii="仿宋_GB2312" w:eastAsia="仿宋_GB2312"/>
          <w:sz w:val="28"/>
          <w:szCs w:val="28"/>
        </w:rPr>
      </w:pPr>
      <w:r>
        <w:rPr>
          <w:rFonts w:hint="eastAsia" w:ascii="仿宋_GB2312" w:eastAsia="仿宋_GB2312"/>
          <w:sz w:val="28"/>
          <w:szCs w:val="28"/>
        </w:rPr>
        <w:t>通过制定团体标准《禅更病瑶医诊疗规范》，统一规定统一规范禅更病瑶医诊疗要求，可以填补广西禅更病瑶医诊疗标准的空白，对推广禅更病瑶医诊疗，确保禅更病瑶医诊疗的操作安全和技术优势，促进广西中医药特色产业高质量发展具有重要意义。</w:t>
      </w:r>
    </w:p>
    <w:p w14:paraId="3E8AE2E3">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三、主要起草过程</w:t>
      </w:r>
    </w:p>
    <w:p w14:paraId="2F2453D7">
      <w:pPr>
        <w:spacing w:line="520" w:lineRule="exact"/>
        <w:ind w:firstLine="562" w:firstLineChars="200"/>
        <w:rPr>
          <w:rFonts w:ascii="仿宋_GB2312" w:eastAsia="仿宋_GB2312"/>
          <w:sz w:val="28"/>
          <w:szCs w:val="28"/>
        </w:rPr>
      </w:pPr>
      <w:r>
        <w:rPr>
          <w:rFonts w:hint="eastAsia" w:ascii="仿宋_GB2312" w:eastAsia="仿宋_GB2312" w:cs="仿宋_GB2312"/>
          <w:b/>
          <w:sz w:val="28"/>
          <w:szCs w:val="28"/>
        </w:rPr>
        <w:t>（一）成立标准编制工作组</w:t>
      </w:r>
    </w:p>
    <w:p w14:paraId="7D731110">
      <w:pPr>
        <w:spacing w:line="520" w:lineRule="exact"/>
        <w:ind w:firstLine="560" w:firstLineChars="200"/>
        <w:jc w:val="left"/>
        <w:rPr>
          <w:rFonts w:ascii="仿宋_GB2312" w:eastAsia="仿宋_GB2312"/>
          <w:sz w:val="28"/>
          <w:szCs w:val="28"/>
        </w:rPr>
      </w:pPr>
      <w:r>
        <w:rPr>
          <w:rFonts w:hint="eastAsia" w:ascii="仿宋_GB2312" w:hAnsi="宋体" w:eastAsia="仿宋_GB2312"/>
          <w:sz w:val="28"/>
          <w:szCs w:val="28"/>
        </w:rPr>
        <w:t>团体标准</w:t>
      </w:r>
      <w:r>
        <w:rPr>
          <w:rFonts w:hint="eastAsia" w:ascii="仿宋_GB2312" w:eastAsia="仿宋_GB2312"/>
          <w:sz w:val="28"/>
          <w:szCs w:val="28"/>
        </w:rPr>
        <w:t>《禅更病瑶医诊疗规范》项目任务下达后，玉林市中医医院、广西中医院大学第一附属医院、金秀瑶族自治县瑶医医院成立了标准编制工作组，制定了起草编写方案与进度安排，明确任务职责，确定工作技术路线，开展标准研制工作。具体标准编制工作由起草单位相关人员配合完成。</w:t>
      </w:r>
    </w:p>
    <w:p w14:paraId="05850743">
      <w:pPr>
        <w:spacing w:line="520" w:lineRule="exact"/>
        <w:ind w:firstLine="560" w:firstLineChars="200"/>
        <w:rPr>
          <w:rFonts w:ascii="仿宋_GB2312" w:eastAsia="仿宋_GB2312" w:cs="仿宋_GB2312"/>
          <w:sz w:val="28"/>
          <w:szCs w:val="28"/>
        </w:rPr>
      </w:pPr>
      <w:r>
        <w:rPr>
          <w:rFonts w:hint="eastAsia" w:ascii="仿宋_GB2312" w:eastAsia="仿宋_GB2312"/>
          <w:sz w:val="28"/>
          <w:szCs w:val="28"/>
        </w:rPr>
        <w:t>为了明确标准编制的任务职责，确定工作技术路线，开展标准研制工作。标准编制工作组下设二个组，分别是资料收集组、草案编写组。资料收集组负责国内外有关禅更病瑶医诊疗方面的文献资料的查询、收集和整理工作，查阅前期对禅更病瑶医诊疗方面的有关研究情况和目前科学界禅更病的研究进展；草案编写组负责起草标准草案及后续征求意见稿和标准编制说明、送审稿及编制说明等编写工作，包括后期召开征求意见会、网上征求意见，以及标准的不断修改和完善。</w:t>
      </w:r>
    </w:p>
    <w:p w14:paraId="4F73A71E">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（二）收集整理文献资料</w:t>
      </w:r>
    </w:p>
    <w:p w14:paraId="107A02F5">
      <w:pPr>
        <w:spacing w:line="520" w:lineRule="exact"/>
        <w:ind w:firstLine="560" w:firstLineChars="200"/>
        <w:rPr>
          <w:rFonts w:ascii="仿宋_GB2312" w:eastAsia="仿宋_GB2312"/>
          <w:sz w:val="28"/>
          <w:szCs w:val="28"/>
        </w:rPr>
      </w:pPr>
      <w:r>
        <w:rPr>
          <w:rFonts w:hint="eastAsia" w:ascii="仿宋_GB2312" w:eastAsia="仿宋_GB2312"/>
          <w:sz w:val="28"/>
          <w:szCs w:val="28"/>
        </w:rPr>
        <w:t>标准编制工作组收集了国内有关禅更病瑶医诊疗的相关文献资料。主要有：</w:t>
      </w:r>
    </w:p>
    <w:p w14:paraId="09FC3997">
      <w:pPr>
        <w:spacing w:line="520" w:lineRule="exact"/>
        <w:ind w:firstLine="560" w:firstLineChars="200"/>
        <w:rPr>
          <w:rFonts w:ascii="仿宋_GB2312" w:eastAsia="仿宋_GB2312" w:cs="仿宋_GB2312"/>
          <w:bCs/>
          <w:sz w:val="28"/>
          <w:szCs w:val="28"/>
        </w:rPr>
      </w:pPr>
      <w:r>
        <w:rPr>
          <w:rFonts w:hint="eastAsia" w:ascii="仿宋_GB2312" w:eastAsia="仿宋_GB2312" w:cs="仿宋_GB2312"/>
          <w:bCs/>
          <w:sz w:val="28"/>
          <w:szCs w:val="28"/>
        </w:rPr>
        <w:t>DB45/T 1409—2016  瑶医常用诊疗技术操作规范</w:t>
      </w:r>
    </w:p>
    <w:p w14:paraId="67CDFBA2">
      <w:pPr>
        <w:spacing w:line="520" w:lineRule="exact"/>
        <w:ind w:firstLine="560" w:firstLineChars="200"/>
        <w:rPr>
          <w:rFonts w:ascii="仿宋_GB2312" w:eastAsia="仿宋_GB2312" w:cs="仿宋_GB2312"/>
          <w:bCs/>
          <w:sz w:val="28"/>
          <w:szCs w:val="28"/>
        </w:rPr>
      </w:pPr>
      <w:r>
        <w:rPr>
          <w:rFonts w:hint="eastAsia" w:ascii="仿宋_GB2312" w:eastAsia="仿宋_GB2312" w:cs="仿宋_GB2312"/>
          <w:bCs/>
          <w:sz w:val="28"/>
          <w:szCs w:val="28"/>
        </w:rPr>
        <w:t>DB45/T 1410—2016  瑶医常用病名名称及书写规范</w:t>
      </w:r>
    </w:p>
    <w:p w14:paraId="7D5978A5">
      <w:pPr>
        <w:spacing w:line="520" w:lineRule="exact"/>
        <w:ind w:firstLine="560" w:firstLineChars="200"/>
        <w:rPr>
          <w:rFonts w:ascii="仿宋_GB2312" w:eastAsia="仿宋_GB2312" w:cs="仿宋_GB2312"/>
          <w:bCs/>
          <w:sz w:val="28"/>
          <w:szCs w:val="28"/>
        </w:rPr>
      </w:pPr>
      <w:r>
        <w:rPr>
          <w:rFonts w:hint="eastAsia" w:ascii="仿宋_GB2312" w:eastAsia="仿宋_GB2312" w:cs="仿宋_GB2312"/>
          <w:bCs/>
          <w:sz w:val="28"/>
          <w:szCs w:val="28"/>
        </w:rPr>
        <w:t>DB45/T 1411—2016  瑶医疾病四态分型规范</w:t>
      </w:r>
    </w:p>
    <w:p w14:paraId="3660FE56">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（三）研讨确定标准特色、创新点及主体内容</w:t>
      </w:r>
    </w:p>
    <w:p w14:paraId="3143A6A6">
      <w:pPr>
        <w:pStyle w:val="29"/>
        <w:spacing w:line="520" w:lineRule="exact"/>
        <w:ind w:firstLine="560"/>
        <w:rPr>
          <w:rFonts w:ascii="仿宋_GB2312" w:eastAsia="仿宋_GB2312"/>
          <w:sz w:val="28"/>
          <w:szCs w:val="28"/>
        </w:rPr>
      </w:pPr>
      <w:r>
        <w:rPr>
          <w:rFonts w:hint="eastAsia" w:ascii="仿宋_GB2312" w:eastAsia="仿宋_GB2312"/>
          <w:sz w:val="28"/>
          <w:szCs w:val="28"/>
        </w:rPr>
        <w:t>1.主要特色和创新点</w:t>
      </w:r>
    </w:p>
    <w:p w14:paraId="4E453BCD">
      <w:pPr>
        <w:pStyle w:val="29"/>
        <w:spacing w:line="520" w:lineRule="exact"/>
        <w:ind w:firstLine="560"/>
        <w:rPr>
          <w:rFonts w:ascii="仿宋_GB2312" w:eastAsia="仿宋_GB2312"/>
          <w:sz w:val="28"/>
          <w:szCs w:val="28"/>
        </w:rPr>
      </w:pPr>
      <w:r>
        <w:rPr>
          <w:rFonts w:hint="eastAsia" w:ascii="仿宋_GB2312" w:eastAsia="仿宋_GB2312"/>
          <w:sz w:val="28"/>
          <w:szCs w:val="28"/>
        </w:rPr>
        <w:t>核心技术和创新点是明确了禅更病“目诊、甲诊”的瑶医特色诊法，1)目诊：眼中白睛有怒张的血管。老年人黑睛周围出现一周乳白色或灰暗色环，俗称“老年环”，是沉着于角膜上的胆固醇结晶，多为脑供血不足，常见于高血压、高血脂症、动脉粥样硬化或低血压患者，其自觉症状可有头晕、头痛。2）甲诊：禅更病的特点是血运异常，故按压左食指指甲尖，会出现血色上升、变黄，按压左中指，会有血归于下的现象，出现上述体征者，容易出现肝气不舒、易怒心烦、头晕头痛等症状。此外，针对禅更病病证提出“药推疗法、刺血疗法、药枕法、脐药疗法”瑶医特色外治疗法，有效解决了西医治疗成本较高，难以在贫困地区普及的难题。极大提高患者的满意度。</w:t>
      </w:r>
    </w:p>
    <w:p w14:paraId="79CCFEC7">
      <w:pPr>
        <w:pStyle w:val="29"/>
        <w:spacing w:line="520" w:lineRule="exact"/>
        <w:ind w:firstLine="560"/>
        <w:rPr>
          <w:rFonts w:ascii="仿宋_GB2312" w:eastAsia="仿宋_GB2312"/>
          <w:sz w:val="28"/>
          <w:szCs w:val="28"/>
        </w:rPr>
      </w:pPr>
      <w:r>
        <w:rPr>
          <w:rFonts w:hint="eastAsia" w:ascii="仿宋_GB2312" w:eastAsia="仿宋_GB2312"/>
          <w:sz w:val="28"/>
          <w:szCs w:val="28"/>
        </w:rPr>
        <w:t>2.主体内容</w:t>
      </w:r>
    </w:p>
    <w:p w14:paraId="3946A23A">
      <w:pPr>
        <w:pStyle w:val="29"/>
        <w:spacing w:line="520" w:lineRule="exact"/>
        <w:ind w:firstLine="560"/>
        <w:rPr>
          <w:rFonts w:ascii="仿宋_GB2312" w:eastAsia="仿宋_GB2312"/>
          <w:sz w:val="28"/>
          <w:szCs w:val="28"/>
        </w:rPr>
      </w:pPr>
      <w:r>
        <w:rPr>
          <w:rFonts w:hint="eastAsia" w:ascii="仿宋_GB2312" w:eastAsia="仿宋_GB2312"/>
          <w:sz w:val="28"/>
          <w:szCs w:val="28"/>
        </w:rPr>
        <w:t>标准编制工作组在对收集的资料进行整理研究之后，标准编制工作组召开了标准编制会议，对标准的整体框架结构进行了研究，并对标准的关键性内容进行了初步探讨。经过研究，标准的主体内容为禅更病瑶医诊疗的基本要求、诊断、治疗、日常调护的要求。</w:t>
      </w:r>
    </w:p>
    <w:p w14:paraId="0DE941F3">
      <w:pPr>
        <w:spacing w:line="52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（四）调研及形成草案、征求意见稿</w:t>
      </w:r>
    </w:p>
    <w:p w14:paraId="16ABBAE8">
      <w:pPr>
        <w:spacing w:line="520" w:lineRule="exact"/>
        <w:ind w:firstLine="560" w:firstLineChars="200"/>
        <w:rPr>
          <w:rFonts w:ascii="仿宋_GB2312" w:eastAsia="仿宋_GB2312"/>
          <w:kern w:val="0"/>
          <w:sz w:val="28"/>
          <w:szCs w:val="28"/>
        </w:rPr>
      </w:pPr>
      <w:r>
        <w:rPr>
          <w:rFonts w:hint="eastAsia" w:ascii="仿宋_GB2312" w:eastAsia="仿宋_GB2312"/>
          <w:kern w:val="0"/>
          <w:sz w:val="28"/>
          <w:szCs w:val="28"/>
        </w:rPr>
        <w:t>2025年2月～3月，标准编制工作组查阅了大量的国内文献资料，对</w:t>
      </w:r>
      <w:r>
        <w:rPr>
          <w:rFonts w:hint="eastAsia" w:ascii="仿宋_GB2312" w:eastAsia="仿宋_GB2312"/>
          <w:sz w:val="28"/>
          <w:szCs w:val="28"/>
        </w:rPr>
        <w:t>禅更病瑶医诊疗</w:t>
      </w:r>
      <w:r>
        <w:rPr>
          <w:rFonts w:hint="eastAsia" w:ascii="仿宋_GB2312" w:eastAsia="仿宋_GB2312"/>
          <w:kern w:val="0"/>
          <w:sz w:val="28"/>
          <w:szCs w:val="28"/>
        </w:rPr>
        <w:t>相关的文件进行系统总结。形成了标准的基本构架，对主要内容进行了讨论并对项目的工作进行了部署和安排。</w:t>
      </w:r>
    </w:p>
    <w:p w14:paraId="66E4013E">
      <w:pPr>
        <w:spacing w:line="520" w:lineRule="exact"/>
        <w:ind w:firstLine="560" w:firstLineChars="200"/>
        <w:rPr>
          <w:sz w:val="28"/>
          <w:szCs w:val="28"/>
        </w:rPr>
      </w:pPr>
      <w:r>
        <w:rPr>
          <w:rFonts w:hint="eastAsia" w:ascii="仿宋_GB2312" w:eastAsia="仿宋_GB2312"/>
          <w:kern w:val="0"/>
          <w:sz w:val="28"/>
          <w:szCs w:val="28"/>
        </w:rPr>
        <w:t>2025年4月，团体标准《禅更病瑶医诊疗规范》</w:t>
      </w:r>
      <w:r>
        <w:rPr>
          <w:rFonts w:hint="eastAsia" w:ascii="仿宋_GB2312" w:hAnsi="宋体" w:eastAsia="仿宋_GB2312"/>
          <w:sz w:val="28"/>
          <w:szCs w:val="28"/>
        </w:rPr>
        <w:t>获批立项</w:t>
      </w:r>
      <w:r>
        <w:rPr>
          <w:rFonts w:hint="eastAsia" w:ascii="仿宋_GB2312" w:eastAsia="仿宋_GB2312"/>
          <w:kern w:val="0"/>
          <w:sz w:val="28"/>
          <w:szCs w:val="28"/>
        </w:rPr>
        <w:t>，在前期工作的基础之上，通过理清逻辑脉络，整合已有参考资料中有关</w:t>
      </w:r>
      <w:r>
        <w:rPr>
          <w:rFonts w:hint="eastAsia" w:ascii="仿宋_GB2312" w:eastAsia="仿宋_GB2312"/>
          <w:sz w:val="28"/>
          <w:szCs w:val="28"/>
        </w:rPr>
        <w:t>禅更病瑶医诊疗</w:t>
      </w:r>
      <w:r>
        <w:rPr>
          <w:rFonts w:hint="eastAsia" w:ascii="仿宋_GB2312" w:eastAsia="仿宋_GB2312"/>
          <w:kern w:val="0"/>
          <w:sz w:val="28"/>
          <w:szCs w:val="28"/>
        </w:rPr>
        <w:t>的要求，并在目前</w:t>
      </w:r>
      <w:r>
        <w:rPr>
          <w:rFonts w:hint="eastAsia" w:ascii="仿宋_GB2312" w:eastAsia="仿宋_GB2312"/>
          <w:sz w:val="28"/>
          <w:szCs w:val="28"/>
        </w:rPr>
        <w:t>禅更病瑶医诊疗</w:t>
      </w:r>
      <w:r>
        <w:rPr>
          <w:rFonts w:hint="eastAsia" w:ascii="仿宋_GB2312" w:eastAsia="仿宋_GB2312"/>
          <w:kern w:val="0"/>
          <w:sz w:val="28"/>
          <w:szCs w:val="28"/>
        </w:rPr>
        <w:t>的基础上，按照简化、统一等原则编制完成团体标准《禅更病瑶医诊疗规范》（草案）。</w:t>
      </w:r>
    </w:p>
    <w:p w14:paraId="1D47215B">
      <w:pPr>
        <w:spacing w:line="520" w:lineRule="exact"/>
        <w:ind w:firstLine="560" w:firstLineChars="200"/>
        <w:rPr>
          <w:rFonts w:ascii="仿宋_GB2312" w:eastAsia="仿宋_GB2312"/>
          <w:kern w:val="0"/>
          <w:sz w:val="28"/>
          <w:szCs w:val="28"/>
        </w:rPr>
      </w:pPr>
      <w:r>
        <w:rPr>
          <w:rFonts w:hint="eastAsia" w:ascii="仿宋_GB2312" w:eastAsia="仿宋_GB2312"/>
          <w:kern w:val="0"/>
          <w:sz w:val="28"/>
          <w:szCs w:val="28"/>
        </w:rPr>
        <w:t>2025年5月，标准编制工作组深入广西中医院大学第一附属医院、金秀瑶族自治县瑶医医院、广西国际壮医医院等各地实施禅更病瑶医诊疗</w:t>
      </w:r>
      <w:r>
        <w:rPr>
          <w:rFonts w:hint="eastAsia" w:ascii="仿宋_GB2312" w:hAnsi="宋体" w:eastAsia="仿宋_GB2312"/>
          <w:sz w:val="28"/>
          <w:szCs w:val="28"/>
        </w:rPr>
        <w:t>的有代表性的中医医院</w:t>
      </w:r>
      <w:r>
        <w:rPr>
          <w:rFonts w:hint="eastAsia" w:ascii="仿宋_GB2312" w:eastAsia="仿宋_GB2312"/>
          <w:kern w:val="0"/>
          <w:sz w:val="28"/>
          <w:szCs w:val="28"/>
        </w:rPr>
        <w:t>进行实地调研，并组织起草单位等召开标准研讨会，收集反馈了大量意见，对标准草案进行了反复修改和研究讨论，掌握了禅更病瑶医诊疗的基本情况以及要求，最终形成了</w:t>
      </w:r>
      <w:bookmarkStart w:id="0" w:name="_Hlk120181503"/>
      <w:r>
        <w:rPr>
          <w:rFonts w:hint="eastAsia" w:ascii="仿宋_GB2312" w:eastAsia="仿宋_GB2312"/>
          <w:kern w:val="0"/>
          <w:sz w:val="28"/>
          <w:szCs w:val="28"/>
        </w:rPr>
        <w:t>团体标准《禅更病瑶医诊疗规范》（征求意见稿）及其编制说明。</w:t>
      </w:r>
      <w:bookmarkEnd w:id="0"/>
    </w:p>
    <w:p w14:paraId="58C3D290">
      <w:pPr>
        <w:autoSpaceDE w:val="0"/>
        <w:autoSpaceDN w:val="0"/>
        <w:adjustRightInd w:val="0"/>
        <w:spacing w:line="520" w:lineRule="exact"/>
        <w:ind w:firstLine="640" w:firstLineChars="200"/>
        <w:jc w:val="left"/>
        <w:rPr>
          <w:rFonts w:ascii="黑体" w:eastAsia="黑体" w:cs="仿宋_GB2312"/>
          <w:sz w:val="32"/>
          <w:szCs w:val="32"/>
        </w:rPr>
      </w:pPr>
      <w:r>
        <w:rPr>
          <w:rFonts w:hint="eastAsia" w:ascii="黑体" w:eastAsia="黑体" w:cs="仿宋_GB2312"/>
          <w:sz w:val="32"/>
          <w:szCs w:val="32"/>
        </w:rPr>
        <w:t>四、制定标准的原则和依据，与现行法律、法规的关系，与有关国家标准、行业标准的协调情况</w:t>
      </w:r>
    </w:p>
    <w:p w14:paraId="271D6467">
      <w:pPr>
        <w:widowControl/>
        <w:tabs>
          <w:tab w:val="center" w:pos="4201"/>
          <w:tab w:val="right" w:leader="dot" w:pos="9298"/>
        </w:tabs>
        <w:autoSpaceDE w:val="0"/>
        <w:autoSpaceDN w:val="0"/>
        <w:spacing w:line="520" w:lineRule="exact"/>
        <w:ind w:firstLine="562" w:firstLineChars="200"/>
        <w:outlineLvl w:val="1"/>
        <w:rPr>
          <w:rFonts w:ascii="仿宋_GB2312" w:eastAsia="仿宋_GB2312"/>
          <w:b/>
          <w:bCs/>
          <w:kern w:val="0"/>
          <w:sz w:val="28"/>
          <w:szCs w:val="28"/>
        </w:rPr>
      </w:pPr>
      <w:r>
        <w:rPr>
          <w:rFonts w:hint="eastAsia" w:ascii="仿宋_GB2312" w:eastAsia="仿宋_GB2312"/>
          <w:b/>
          <w:bCs/>
          <w:kern w:val="0"/>
          <w:sz w:val="28"/>
          <w:szCs w:val="28"/>
        </w:rPr>
        <w:t>（一）编制原则</w:t>
      </w:r>
    </w:p>
    <w:p w14:paraId="49B2D13B">
      <w:pPr>
        <w:spacing w:line="520" w:lineRule="exact"/>
        <w:ind w:firstLine="562" w:firstLineChars="200"/>
        <w:rPr>
          <w:rFonts w:ascii="仿宋_GB2312" w:eastAsia="仿宋_GB2312"/>
          <w:b/>
          <w:sz w:val="28"/>
          <w:szCs w:val="28"/>
        </w:rPr>
      </w:pPr>
      <w:r>
        <w:rPr>
          <w:rFonts w:hint="eastAsia" w:ascii="仿宋_GB2312" w:eastAsia="仿宋_GB2312"/>
          <w:b/>
          <w:sz w:val="28"/>
          <w:szCs w:val="28"/>
        </w:rPr>
        <w:t>1、实用性原则</w:t>
      </w:r>
    </w:p>
    <w:p w14:paraId="05B93C23">
      <w:pPr>
        <w:spacing w:line="520" w:lineRule="exact"/>
        <w:ind w:firstLine="560" w:firstLineChars="200"/>
        <w:rPr>
          <w:rFonts w:ascii="仿宋_GB2312" w:eastAsia="仿宋_GB2312" w:cs="仿宋"/>
          <w:sz w:val="28"/>
          <w:szCs w:val="28"/>
        </w:rPr>
      </w:pPr>
      <w:r>
        <w:rPr>
          <w:rFonts w:hint="eastAsia" w:ascii="仿宋_GB2312" w:eastAsia="仿宋_GB2312" w:cs="仿宋"/>
          <w:sz w:val="28"/>
          <w:szCs w:val="28"/>
        </w:rPr>
        <w:t>本标准是在充分收集国内外相关资料和文献、调研分析</w:t>
      </w:r>
      <w:r>
        <w:rPr>
          <w:rFonts w:hint="eastAsia" w:ascii="仿宋_GB2312" w:eastAsia="仿宋_GB2312"/>
          <w:kern w:val="0"/>
          <w:sz w:val="28"/>
          <w:szCs w:val="28"/>
        </w:rPr>
        <w:t>禅更病瑶医诊疗</w:t>
      </w:r>
      <w:r>
        <w:rPr>
          <w:rFonts w:hint="eastAsia" w:ascii="仿宋_GB2312" w:eastAsia="仿宋_GB2312" w:cs="仿宋"/>
          <w:sz w:val="28"/>
          <w:szCs w:val="28"/>
        </w:rPr>
        <w:t>现状，结合起草单位前期研究工作取得的研究成果及积累的中医实践经验，并借鉴国内</w:t>
      </w:r>
      <w:r>
        <w:rPr>
          <w:rFonts w:hint="eastAsia" w:ascii="仿宋_GB2312" w:eastAsia="仿宋_GB2312"/>
          <w:kern w:val="0"/>
          <w:sz w:val="28"/>
          <w:szCs w:val="28"/>
        </w:rPr>
        <w:t>禅更病瑶医诊疗</w:t>
      </w:r>
      <w:r>
        <w:rPr>
          <w:rFonts w:hint="eastAsia" w:ascii="仿宋_GB2312" w:eastAsia="仿宋_GB2312" w:cs="仿宋"/>
          <w:sz w:val="28"/>
          <w:szCs w:val="28"/>
        </w:rPr>
        <w:t>进行总结起草的，符合工作实际，利于</w:t>
      </w:r>
      <w:r>
        <w:rPr>
          <w:rFonts w:hint="eastAsia" w:ascii="仿宋_GB2312" w:eastAsia="仿宋_GB2312"/>
          <w:kern w:val="0"/>
          <w:sz w:val="28"/>
          <w:szCs w:val="28"/>
        </w:rPr>
        <w:t>禅更病瑶医诊疗</w:t>
      </w:r>
      <w:r>
        <w:rPr>
          <w:rFonts w:hint="eastAsia" w:ascii="仿宋_GB2312" w:eastAsia="仿宋_GB2312" w:cs="仿宋"/>
          <w:sz w:val="28"/>
          <w:szCs w:val="28"/>
        </w:rPr>
        <w:t>的实施与推广，具有可操作性和实用性。</w:t>
      </w:r>
    </w:p>
    <w:p w14:paraId="41534A43">
      <w:pPr>
        <w:spacing w:line="520" w:lineRule="exact"/>
        <w:ind w:firstLine="562" w:firstLineChars="200"/>
        <w:rPr>
          <w:rFonts w:ascii="仿宋_GB2312" w:eastAsia="仿宋_GB2312"/>
          <w:b/>
          <w:sz w:val="28"/>
          <w:szCs w:val="28"/>
        </w:rPr>
      </w:pPr>
      <w:r>
        <w:rPr>
          <w:rFonts w:hint="eastAsia" w:ascii="仿宋_GB2312" w:eastAsia="仿宋_GB2312"/>
          <w:b/>
          <w:sz w:val="28"/>
          <w:szCs w:val="28"/>
        </w:rPr>
        <w:t>2、协调性原则</w:t>
      </w:r>
    </w:p>
    <w:p w14:paraId="52512CCA">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本文件编写过程中注意了与</w:t>
      </w:r>
      <w:r>
        <w:rPr>
          <w:rFonts w:hint="eastAsia" w:ascii="仿宋_GB2312" w:eastAsia="仿宋_GB2312"/>
          <w:kern w:val="0"/>
          <w:sz w:val="28"/>
          <w:szCs w:val="28"/>
        </w:rPr>
        <w:t>禅更病瑶医诊疗</w:t>
      </w:r>
      <w:r>
        <w:rPr>
          <w:rFonts w:hint="eastAsia" w:ascii="仿宋_GB2312" w:eastAsia="仿宋_GB2312"/>
          <w:sz w:val="28"/>
          <w:szCs w:val="28"/>
        </w:rPr>
        <w:t>相关法律法规的协调问题，在内容上与现行法律法规、标准协调一致。</w:t>
      </w:r>
    </w:p>
    <w:p w14:paraId="74DB7C34">
      <w:pPr>
        <w:spacing w:line="520" w:lineRule="exact"/>
        <w:ind w:firstLine="562" w:firstLineChars="200"/>
        <w:rPr>
          <w:rFonts w:ascii="仿宋_GB2312" w:eastAsia="仿宋_GB2312"/>
          <w:b/>
          <w:sz w:val="28"/>
          <w:szCs w:val="28"/>
        </w:rPr>
      </w:pPr>
      <w:r>
        <w:rPr>
          <w:rFonts w:hint="eastAsia" w:ascii="仿宋_GB2312" w:eastAsia="仿宋_GB2312"/>
          <w:b/>
          <w:sz w:val="28"/>
          <w:szCs w:val="28"/>
        </w:rPr>
        <w:t>3、规范性原则</w:t>
      </w:r>
    </w:p>
    <w:p w14:paraId="70BA34D5">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本文件严格按照GB/T 1.1—2020《标准化工作导则  第1部分：标准化文件的结构和起草规则》编写本标准的内容，保证标准的编写质量。</w:t>
      </w:r>
    </w:p>
    <w:p w14:paraId="6E17638F">
      <w:pPr>
        <w:spacing w:line="520" w:lineRule="exact"/>
        <w:ind w:firstLine="562" w:firstLineChars="200"/>
        <w:rPr>
          <w:rFonts w:ascii="仿宋_GB2312" w:eastAsia="仿宋_GB2312"/>
          <w:b/>
          <w:sz w:val="28"/>
          <w:szCs w:val="28"/>
        </w:rPr>
      </w:pPr>
      <w:r>
        <w:rPr>
          <w:rFonts w:hint="eastAsia" w:ascii="仿宋_GB2312" w:eastAsia="仿宋_GB2312"/>
          <w:b/>
          <w:sz w:val="28"/>
          <w:szCs w:val="28"/>
        </w:rPr>
        <w:t>4、前瞻性原则</w:t>
      </w:r>
    </w:p>
    <w:p w14:paraId="5709C23C">
      <w:pPr>
        <w:spacing w:line="520" w:lineRule="exact"/>
        <w:ind w:firstLine="560" w:firstLineChars="200"/>
        <w:rPr>
          <w:rFonts w:ascii="仿宋_GB2312" w:eastAsia="仿宋_GB2312"/>
          <w:sz w:val="28"/>
          <w:szCs w:val="28"/>
        </w:rPr>
      </w:pPr>
      <w:r>
        <w:rPr>
          <w:rFonts w:hint="eastAsia" w:ascii="仿宋_GB2312" w:eastAsia="仿宋_GB2312"/>
          <w:sz w:val="28"/>
          <w:szCs w:val="28"/>
        </w:rPr>
        <w:t>本文件在兼顾当前区内</w:t>
      </w:r>
      <w:r>
        <w:rPr>
          <w:rFonts w:hint="eastAsia" w:ascii="仿宋_GB2312" w:eastAsia="仿宋_GB2312"/>
          <w:kern w:val="0"/>
          <w:sz w:val="28"/>
          <w:szCs w:val="28"/>
        </w:rPr>
        <w:t>禅更病瑶医诊疗</w:t>
      </w:r>
      <w:r>
        <w:rPr>
          <w:rFonts w:hint="eastAsia" w:ascii="仿宋_GB2312" w:eastAsia="仿宋_GB2312"/>
          <w:sz w:val="28"/>
          <w:szCs w:val="28"/>
        </w:rPr>
        <w:t>现实情况的同时，还考虑到了</w:t>
      </w:r>
      <w:r>
        <w:rPr>
          <w:rFonts w:hint="eastAsia" w:ascii="仿宋_GB2312" w:eastAsia="仿宋_GB2312"/>
          <w:kern w:val="0"/>
          <w:sz w:val="28"/>
          <w:szCs w:val="28"/>
        </w:rPr>
        <w:t>禅更病瑶医诊疗</w:t>
      </w:r>
      <w:r>
        <w:rPr>
          <w:rFonts w:hint="eastAsia" w:ascii="仿宋_GB2312" w:eastAsia="仿宋_GB2312"/>
          <w:sz w:val="28"/>
          <w:szCs w:val="28"/>
        </w:rPr>
        <w:t>的需要，在标准中体现了个别特色性、前瞻性和先进性条款，作为对</w:t>
      </w:r>
      <w:r>
        <w:rPr>
          <w:rFonts w:hint="eastAsia" w:ascii="仿宋_GB2312" w:eastAsia="仿宋_GB2312"/>
          <w:kern w:val="0"/>
          <w:sz w:val="28"/>
          <w:szCs w:val="28"/>
        </w:rPr>
        <w:t>禅更病瑶医诊疗</w:t>
      </w:r>
      <w:r>
        <w:rPr>
          <w:rFonts w:hint="eastAsia" w:ascii="仿宋_GB2312" w:eastAsia="仿宋_GB2312"/>
          <w:sz w:val="28"/>
          <w:szCs w:val="28"/>
        </w:rPr>
        <w:t>发展的指导。</w:t>
      </w:r>
    </w:p>
    <w:p w14:paraId="28036EA4">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（二）编制依据</w:t>
      </w:r>
    </w:p>
    <w:p w14:paraId="2E4A3F7C">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本标准严格按照GB/T 1.1—2020《标准化工作导则  第1部分：标准化文件的结构和起草规则》的规则起草，标准主要内容依据起草单位在</w:t>
      </w:r>
      <w:r>
        <w:rPr>
          <w:rFonts w:hint="eastAsia" w:ascii="仿宋_GB2312" w:eastAsia="仿宋_GB2312"/>
          <w:kern w:val="0"/>
          <w:sz w:val="28"/>
          <w:szCs w:val="28"/>
        </w:rPr>
        <w:t>禅更病瑶医诊疗</w:t>
      </w:r>
      <w:r>
        <w:rPr>
          <w:rFonts w:hint="eastAsia" w:ascii="仿宋_GB2312" w:eastAsia="仿宋_GB2312"/>
          <w:sz w:val="28"/>
          <w:szCs w:val="28"/>
        </w:rPr>
        <w:t>研究应用过程中的实践经验确定。</w:t>
      </w:r>
    </w:p>
    <w:p w14:paraId="5D035386">
      <w:pPr>
        <w:spacing w:line="520" w:lineRule="exact"/>
        <w:ind w:firstLine="562" w:firstLineChars="200"/>
        <w:rPr>
          <w:rFonts w:ascii="仿宋_GB2312" w:eastAsia="仿宋_GB2312"/>
          <w:b/>
          <w:bCs/>
          <w:sz w:val="28"/>
          <w:szCs w:val="28"/>
        </w:rPr>
      </w:pPr>
      <w:r>
        <w:rPr>
          <w:rFonts w:hint="eastAsia" w:ascii="仿宋_GB2312" w:eastAsia="仿宋_GB2312"/>
          <w:b/>
          <w:bCs/>
          <w:sz w:val="28"/>
          <w:szCs w:val="28"/>
        </w:rPr>
        <w:t>（三）与现行法律、法规的关系，与有关国家标准、行业标准的协调情况</w:t>
      </w:r>
    </w:p>
    <w:p w14:paraId="3917549A">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本标准与相关法律法规、强制性标准协调一致，无冲突。</w:t>
      </w:r>
    </w:p>
    <w:p w14:paraId="1C503AB9">
      <w:pPr>
        <w:adjustRightInd w:val="0"/>
        <w:snapToGrid w:val="0"/>
        <w:spacing w:line="520" w:lineRule="exact"/>
        <w:ind w:firstLine="560" w:firstLineChars="200"/>
      </w:pPr>
      <w:r>
        <w:rPr>
          <w:rFonts w:hint="eastAsia" w:ascii="仿宋_GB2312" w:eastAsia="仿宋_GB2312"/>
          <w:sz w:val="28"/>
          <w:szCs w:val="28"/>
        </w:rPr>
        <w:t>经查阅，目前暂无与“禅更病瑶医诊疗规范”相关的标准，本标准《的制定与发布，将填补禅更病瑶医诊疗标准领域的空白。在标准中，规定了禅更病的瑶医诊断、治疗的原创性技术内容，充分体现出本标准的先进性</w:t>
      </w:r>
      <w:r>
        <w:rPr>
          <w:rFonts w:hint="eastAsia" w:ascii="仿宋_GB2312" w:eastAsia="仿宋_GB2312" w:cs="仿宋"/>
          <w:bCs/>
          <w:sz w:val="28"/>
          <w:szCs w:val="28"/>
        </w:rPr>
        <w:t>。</w:t>
      </w:r>
    </w:p>
    <w:p w14:paraId="01EB6A88">
      <w:pPr>
        <w:spacing w:before="240" w:after="60" w:line="520" w:lineRule="exact"/>
        <w:ind w:firstLine="640" w:firstLineChars="200"/>
        <w:jc w:val="left"/>
        <w:outlineLvl w:val="0"/>
        <w:rPr>
          <w:rFonts w:ascii="黑体" w:eastAsia="黑体"/>
          <w:bCs/>
          <w:sz w:val="32"/>
          <w:szCs w:val="32"/>
        </w:rPr>
      </w:pPr>
      <w:r>
        <w:rPr>
          <w:rFonts w:hint="eastAsia" w:ascii="黑体" w:eastAsia="黑体"/>
          <w:bCs/>
          <w:sz w:val="32"/>
          <w:szCs w:val="32"/>
        </w:rPr>
        <w:t>五、主要条款的说明</w:t>
      </w:r>
    </w:p>
    <w:p w14:paraId="06912F65">
      <w:pPr>
        <w:pStyle w:val="29"/>
        <w:spacing w:line="520" w:lineRule="exact"/>
        <w:ind w:firstLine="562"/>
        <w:rPr>
          <w:rFonts w:ascii="仿宋_GB2312" w:eastAsia="仿宋_GB2312" w:cs="仿宋"/>
          <w:bCs/>
          <w:sz w:val="28"/>
          <w:szCs w:val="28"/>
        </w:rPr>
      </w:pPr>
      <w:r>
        <w:rPr>
          <w:rFonts w:hint="eastAsia" w:ascii="仿宋_GB2312" w:eastAsia="仿宋_GB2312" w:cs="仿宋"/>
          <w:b/>
          <w:bCs/>
          <w:sz w:val="28"/>
          <w:szCs w:val="28"/>
        </w:rPr>
        <w:t>标准核心技术主要在于</w:t>
      </w:r>
      <w:r>
        <w:rPr>
          <w:rFonts w:hint="eastAsia" w:ascii="仿宋_GB2312" w:eastAsia="仿宋_GB2312" w:cs="仿宋"/>
          <w:sz w:val="28"/>
          <w:szCs w:val="28"/>
        </w:rPr>
        <w:t>明确了禅更病“目诊、甲诊”的瑶医特色诊法，针对禅更病病证给出了以瑶药为主的内治方药，提出“药推疗法、刺血疗法、药枕法、脐药疗法”瑶医特色外治疗法，有效解决了西医治疗成本较高，难以在贫困地区普及的难题，极大提高患者的满意度。</w:t>
      </w:r>
    </w:p>
    <w:p w14:paraId="428F1251">
      <w:pPr>
        <w:pStyle w:val="29"/>
        <w:spacing w:line="520" w:lineRule="exact"/>
        <w:ind w:firstLine="0" w:firstLineChars="0"/>
        <w:rPr>
          <w:rFonts w:ascii="仿宋_GB2312" w:eastAsia="仿宋_GB2312" w:cs="仿宋"/>
          <w:b/>
          <w:bCs/>
          <w:color w:val="FF0000"/>
          <w:sz w:val="28"/>
          <w:szCs w:val="28"/>
        </w:rPr>
      </w:pPr>
      <w:r>
        <w:rPr>
          <w:rFonts w:hint="eastAsia" w:ascii="仿宋_GB2312" w:eastAsia="仿宋_GB2312" w:cs="仿宋"/>
          <w:b/>
          <w:bCs/>
          <w:sz w:val="28"/>
          <w:szCs w:val="28"/>
        </w:rPr>
        <w:t>（一）术语和定义</w:t>
      </w:r>
    </w:p>
    <w:p w14:paraId="55E32506">
      <w:pPr>
        <w:pStyle w:val="29"/>
        <w:spacing w:line="520" w:lineRule="exact"/>
        <w:ind w:firstLine="562"/>
        <w:rPr>
          <w:rFonts w:ascii="仿宋_GB2312" w:eastAsia="仿宋_GB2312" w:cs="仿宋"/>
          <w:b/>
          <w:sz w:val="28"/>
          <w:szCs w:val="28"/>
        </w:rPr>
      </w:pPr>
      <w:r>
        <w:rPr>
          <w:rFonts w:hint="eastAsia" w:ascii="仿宋_GB2312" w:eastAsia="仿宋_GB2312" w:cs="仿宋"/>
          <w:b/>
          <w:sz w:val="28"/>
          <w:szCs w:val="28"/>
        </w:rPr>
        <w:t>禅更病</w:t>
      </w:r>
    </w:p>
    <w:p w14:paraId="5E099852">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主要参考</w:t>
      </w:r>
      <w:r>
        <w:rPr>
          <w:rFonts w:hint="eastAsia" w:ascii="仿宋_GB2312" w:eastAsia="仿宋_GB2312"/>
          <w:sz w:val="28"/>
          <w:szCs w:val="28"/>
        </w:rPr>
        <w:t>《瑶医优势病种诊疗操作指南》确定。定义为：</w:t>
      </w:r>
      <w:r>
        <w:rPr>
          <w:rFonts w:hint="eastAsia" w:ascii="仿宋_GB2312" w:eastAsia="仿宋_GB2312" w:cs="仿宋"/>
          <w:bCs/>
          <w:sz w:val="28"/>
          <w:szCs w:val="28"/>
        </w:rPr>
        <w:t>瑶文是</w:t>
      </w:r>
      <w:r>
        <w:rPr>
          <w:rFonts w:ascii="仿宋_GB2312" w:eastAsia="仿宋_GB2312" w:cs="仿宋"/>
          <w:bCs/>
          <w:sz w:val="28"/>
          <w:szCs w:val="28"/>
        </w:rPr>
        <w:t>nziaamh hmaeh hnang</w:t>
      </w:r>
      <w:r>
        <w:rPr>
          <w:rFonts w:hint="eastAsia" w:ascii="仿宋_GB2312" w:eastAsia="仿宋_GB2312" w:cs="仿宋"/>
          <w:bCs/>
          <w:sz w:val="28"/>
          <w:szCs w:val="28"/>
        </w:rPr>
        <w:t>，以血压升高，并伴有头晕、头痛、头重为临床主要表现，疾病发展到后期可影响及心脏、肾脏、脑的一类疾病。</w:t>
      </w:r>
    </w:p>
    <w:p w14:paraId="5AC46973">
      <w:pPr>
        <w:pStyle w:val="29"/>
        <w:ind w:firstLine="0" w:firstLineChars="0"/>
        <w:jc w:val="center"/>
        <w:rPr>
          <w:rFonts w:ascii="仿宋_GB2312" w:eastAsia="仿宋_GB2312" w:cs="仿宋"/>
          <w:bCs/>
          <w:sz w:val="28"/>
          <w:szCs w:val="28"/>
        </w:rPr>
      </w:pPr>
      <w:r>
        <w:rPr>
          <w:rFonts w:ascii="仿宋_GB2312" w:eastAsia="仿宋_GB2312" w:cs="仿宋"/>
          <w:bCs/>
          <w:sz w:val="28"/>
          <w:szCs w:val="28"/>
        </w:rPr>
        <w:drawing>
          <wp:inline distT="0" distB="0" distL="0" distR="0">
            <wp:extent cx="2892425" cy="3857625"/>
            <wp:effectExtent l="0" t="6350" r="0" b="0"/>
            <wp:docPr id="2" name="图片 2" descr="F:\360MoveData\Users\Administrator\Documents\WeChat Files\wxid_zhgnyqozomf622\FileStorage\Temp\663a13b2b7ea7381d69b7983226b5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360MoveData\Users\Administrator\Documents\WeChat Files\wxid_zhgnyqozomf622\FileStorage\Temp\663a13b2b7ea7381d69b7983226b50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rot="16200000">
                      <a:off x="0" y="0"/>
                      <a:ext cx="2898642" cy="3865410"/>
                    </a:xfrm>
                    <a:prstGeom prst="rect">
                      <a:avLst/>
                    </a:prstGeom>
                    <a:noFill/>
                    <a:ln>
                      <a:noFill/>
                    </a:ln>
                  </pic:spPr>
                </pic:pic>
              </a:graphicData>
            </a:graphic>
          </wp:inline>
        </w:drawing>
      </w:r>
    </w:p>
    <w:p w14:paraId="300B31B1">
      <w:pPr>
        <w:pStyle w:val="29"/>
        <w:spacing w:line="240" w:lineRule="atLeast"/>
        <w:ind w:firstLine="0" w:firstLineChars="0"/>
        <w:jc w:val="center"/>
        <w:rPr>
          <w:rFonts w:ascii="仿宋_GB2312" w:eastAsia="仿宋_GB2312"/>
          <w:sz w:val="28"/>
          <w:szCs w:val="28"/>
        </w:rPr>
      </w:pPr>
      <w:r>
        <w:rPr>
          <w:rFonts w:hint="eastAsia" w:ascii="仿宋_GB2312" w:eastAsia="仿宋_GB2312" w:cs="仿宋"/>
          <w:bCs/>
          <w:sz w:val="24"/>
          <w:szCs w:val="24"/>
        </w:rPr>
        <w:t>图来源于</w:t>
      </w:r>
      <w:r>
        <w:rPr>
          <w:rFonts w:hint="eastAsia" w:ascii="仿宋_GB2312" w:eastAsia="仿宋_GB2312"/>
          <w:sz w:val="24"/>
          <w:szCs w:val="24"/>
        </w:rPr>
        <w:t>《瑶医优势病种诊疗操作指南》</w:t>
      </w:r>
    </w:p>
    <w:p w14:paraId="3F8352D8">
      <w:pPr>
        <w:pStyle w:val="29"/>
        <w:spacing w:line="520" w:lineRule="exact"/>
        <w:ind w:firstLine="0" w:firstLineChars="0"/>
        <w:rPr>
          <w:rFonts w:ascii="仿宋_GB2312" w:eastAsia="仿宋_GB2312"/>
          <w:sz w:val="28"/>
          <w:szCs w:val="28"/>
        </w:rPr>
      </w:pPr>
      <w:r>
        <w:rPr>
          <w:rFonts w:hint="eastAsia" w:ascii="仿宋_GB2312" w:eastAsia="仿宋_GB2312" w:cs="仿宋"/>
          <w:b/>
          <w:sz w:val="28"/>
          <w:szCs w:val="28"/>
        </w:rPr>
        <w:t>（二）基本要求</w:t>
      </w:r>
    </w:p>
    <w:p w14:paraId="44DE87B3">
      <w:pPr>
        <w:pStyle w:val="29"/>
        <w:spacing w:line="520" w:lineRule="exact"/>
        <w:ind w:firstLine="560"/>
        <w:rPr>
          <w:rFonts w:ascii="仿宋_GB2312" w:eastAsia="仿宋_GB2312"/>
          <w:sz w:val="28"/>
          <w:szCs w:val="28"/>
        </w:rPr>
      </w:pPr>
      <w:r>
        <w:rPr>
          <w:rFonts w:hint="eastAsia" w:ascii="仿宋_GB2312" w:eastAsia="仿宋_GB2312"/>
          <w:sz w:val="28"/>
          <w:szCs w:val="28"/>
        </w:rPr>
        <w:t>诊疗器械、消毒和人员要求应符合《DB45/T 1409  瑶医常用诊疗技术操作规范》的要求</w:t>
      </w:r>
    </w:p>
    <w:p w14:paraId="482EFF80">
      <w:pPr>
        <w:pStyle w:val="29"/>
        <w:spacing w:line="520" w:lineRule="exact"/>
        <w:ind w:firstLine="0" w:firstLineChars="0"/>
        <w:rPr>
          <w:rFonts w:ascii="仿宋_GB2312" w:eastAsia="仿宋_GB2312"/>
          <w:b/>
          <w:sz w:val="28"/>
          <w:szCs w:val="28"/>
        </w:rPr>
      </w:pPr>
      <w:r>
        <w:rPr>
          <w:rFonts w:hint="eastAsia" w:ascii="仿宋_GB2312" w:eastAsia="仿宋_GB2312" w:cs="仿宋"/>
          <w:b/>
          <w:sz w:val="28"/>
          <w:szCs w:val="28"/>
        </w:rPr>
        <w:t>（三）</w:t>
      </w:r>
      <w:bookmarkStart w:id="1" w:name="_Toc129855049"/>
      <w:bookmarkStart w:id="2" w:name="_Toc130001751"/>
      <w:bookmarkStart w:id="3" w:name="_Toc130001562"/>
      <w:bookmarkStart w:id="4" w:name="_Toc130001592"/>
      <w:bookmarkStart w:id="5" w:name="_Toc129855215"/>
      <w:r>
        <w:rPr>
          <w:rFonts w:hint="eastAsia" w:ascii="仿宋_GB2312" w:eastAsia="仿宋_GB2312" w:cs="仿宋"/>
          <w:b/>
          <w:sz w:val="28"/>
          <w:szCs w:val="28"/>
        </w:rPr>
        <w:t>诊断</w:t>
      </w:r>
    </w:p>
    <w:p w14:paraId="38E86FA4">
      <w:pPr>
        <w:pStyle w:val="29"/>
        <w:spacing w:line="520" w:lineRule="exact"/>
        <w:ind w:firstLine="0" w:firstLineChars="0"/>
        <w:rPr>
          <w:rFonts w:ascii="仿宋_GB2312" w:eastAsia="仿宋_GB2312" w:cs="仿宋"/>
          <w:b/>
          <w:bCs/>
          <w:sz w:val="28"/>
          <w:szCs w:val="28"/>
        </w:rPr>
      </w:pPr>
      <w:r>
        <w:rPr>
          <w:rFonts w:hint="eastAsia" w:ascii="仿宋_GB2312" w:eastAsia="仿宋_GB2312" w:cs="仿宋"/>
          <w:b/>
          <w:bCs/>
          <w:sz w:val="28"/>
          <w:szCs w:val="28"/>
        </w:rPr>
        <w:t>1</w:t>
      </w:r>
      <w:bookmarkEnd w:id="1"/>
      <w:bookmarkEnd w:id="2"/>
      <w:bookmarkEnd w:id="3"/>
      <w:bookmarkEnd w:id="4"/>
      <w:bookmarkEnd w:id="5"/>
      <w:r>
        <w:rPr>
          <w:rFonts w:hint="eastAsia" w:ascii="仿宋_GB2312" w:eastAsia="仿宋_GB2312" w:cs="仿宋"/>
          <w:b/>
          <w:bCs/>
          <w:sz w:val="28"/>
          <w:szCs w:val="28"/>
        </w:rPr>
        <w:t>.诊断</w:t>
      </w:r>
      <w:r>
        <w:rPr>
          <w:rFonts w:hint="eastAsia" w:ascii="仿宋_GB2312" w:eastAsia="仿宋_GB2312" w:cs="仿宋"/>
          <w:b/>
          <w:sz w:val="28"/>
          <w:szCs w:val="28"/>
        </w:rPr>
        <w:t>要点</w:t>
      </w:r>
    </w:p>
    <w:p w14:paraId="3690FBC5">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主症</w:t>
      </w:r>
      <w:r>
        <w:rPr>
          <w:rFonts w:hint="eastAsia" w:ascii="仿宋_GB2312" w:eastAsia="仿宋_GB2312" w:cs="仿宋"/>
          <w:bCs/>
          <w:sz w:val="28"/>
          <w:szCs w:val="28"/>
        </w:rPr>
        <w:t>：收缩压≥140 mmHg和或舒张压≥90 mmHg，血压随季节、昼夜、情绪有较大波动，头晕、头痛、头重如裹、耳鸣、神疲乏力、胸闷、心悸，严重者出现烦躁不安、心动过缓、抽搐、意识障碍，甚或昏迷等症状。</w:t>
      </w:r>
    </w:p>
    <w:p w14:paraId="0809EE76">
      <w:pPr>
        <w:pStyle w:val="29"/>
        <w:spacing w:line="520" w:lineRule="exact"/>
        <w:ind w:firstLine="562"/>
        <w:rPr>
          <w:rFonts w:ascii="仿宋_GB2312" w:eastAsia="仿宋_GB2312" w:cs="仿宋"/>
          <w:bCs/>
          <w:sz w:val="28"/>
          <w:szCs w:val="28"/>
        </w:rPr>
      </w:pPr>
      <w:bookmarkStart w:id="6" w:name="OLE_LINK27"/>
      <w:r>
        <w:rPr>
          <w:rFonts w:hint="eastAsia" w:ascii="仿宋_GB2312" w:eastAsia="仿宋_GB2312" w:cs="仿宋"/>
          <w:b/>
          <w:sz w:val="28"/>
          <w:szCs w:val="28"/>
        </w:rPr>
        <w:t>目诊</w:t>
      </w:r>
      <w:r>
        <w:rPr>
          <w:rFonts w:hint="eastAsia" w:ascii="仿宋_GB2312" w:eastAsia="仿宋_GB2312" w:cs="仿宋"/>
          <w:bCs/>
          <w:sz w:val="28"/>
          <w:szCs w:val="28"/>
        </w:rPr>
        <w:t>：眼中白睛有怒张的血管。因为老年人黑睛周围出现一周乳白色或灰暗色环，俗称“老年环”，是沉着于角膜上的胆固醇结晶，多为脑供血不足，常见于高血压、高血脂症、动脉粥样硬化或低血压患者，其自觉症状可有头晕、头痛。</w:t>
      </w:r>
    </w:p>
    <w:p w14:paraId="3DCBD0B1">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甲诊</w:t>
      </w:r>
      <w:r>
        <w:rPr>
          <w:rFonts w:hint="eastAsia" w:ascii="仿宋_GB2312" w:eastAsia="仿宋_GB2312" w:cs="仿宋"/>
          <w:bCs/>
          <w:sz w:val="28"/>
          <w:szCs w:val="28"/>
        </w:rPr>
        <w:t>：禅更病的特点是血运异常，因此按压左食指指甲尖，会出现血色上升、变黄，按压左中指，会有血归于下的现象，出现上述体征者，容易出现肝气不舒、易怒心烦、头晕头痛等症状。</w:t>
      </w:r>
    </w:p>
    <w:bookmarkEnd w:id="6"/>
    <w:p w14:paraId="33CFBA36">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辅助检查</w:t>
      </w:r>
      <w:r>
        <w:rPr>
          <w:rFonts w:hint="eastAsia" w:ascii="仿宋_GB2312" w:eastAsia="仿宋_GB2312" w:cs="仿宋"/>
          <w:bCs/>
          <w:sz w:val="28"/>
          <w:szCs w:val="28"/>
        </w:rPr>
        <w:t>：实验室检查，禅更病常用血浆中“肾素活性、血管紧张素Ⅱ和醛固酮”三个指标，作为原发性和继发性高血压诊断、治疗及研究的重要指标。</w:t>
      </w:r>
    </w:p>
    <w:p w14:paraId="2F3F6FE9">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病因：</w:t>
      </w:r>
      <w:r>
        <w:rPr>
          <w:rFonts w:hint="eastAsia" w:ascii="仿宋_GB2312" w:eastAsia="仿宋_GB2312" w:cs="仿宋"/>
          <w:bCs/>
          <w:sz w:val="28"/>
          <w:szCs w:val="28"/>
        </w:rPr>
        <w:t>本病的发生多与气候水土、多食肥甘厚腻、劳累过度、外感邪气有关。本病的病因可分为虚实两种。机体在外感痧气、瘴气或蛊毒以后，加之多食肥甘厚腻，天、地、人三元失去和谐，导致邪气容易停留体内，使得水谷精微不化，日久炼化成痰或结瘀，导致痰瘀盈盛，痰浊上扰清窍，或瘀血阻络，导致气血不通， 络闭阻而发为眩晕。另外，因劳累过度或房事不节，或素体阴虚、气血虚者，日久因虚成痨，盈亏失衡，使得肝肾阴虚，肾精亏耗，髓海失养而发为本病，同时，阴虚而阳亢，肝阳化风，风阳上扰清窍，导致伯公梦的发生。</w:t>
      </w:r>
    </w:p>
    <w:p w14:paraId="2B4AEB45">
      <w:pPr>
        <w:pStyle w:val="29"/>
        <w:spacing w:line="520" w:lineRule="exact"/>
        <w:ind w:firstLine="0" w:firstLineChars="0"/>
        <w:rPr>
          <w:rFonts w:ascii="仿宋_GB2312" w:eastAsia="仿宋_GB2312" w:cs="仿宋"/>
          <w:b/>
          <w:sz w:val="28"/>
          <w:szCs w:val="28"/>
        </w:rPr>
      </w:pPr>
      <w:r>
        <w:rPr>
          <w:rFonts w:hint="eastAsia" w:ascii="仿宋_GB2312" w:eastAsia="仿宋_GB2312" w:cs="仿宋"/>
          <w:b/>
          <w:sz w:val="28"/>
          <w:szCs w:val="28"/>
        </w:rPr>
        <w:t>2.四态分型</w:t>
      </w:r>
    </w:p>
    <w:p w14:paraId="1B131A45">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主要参考《DB45/T 1411  瑶医疾病四态分型规范》进行四态分型，划分标准应符合DB45/T 1411的要求。具体症状如下：</w:t>
      </w:r>
    </w:p>
    <w:p w14:paraId="1200750E">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w:t>
      </w:r>
      <w:bookmarkStart w:id="7" w:name="OLE_LINK32"/>
      <w:bookmarkStart w:id="8" w:name="OLE_LINK31"/>
      <w:r>
        <w:rPr>
          <w:rFonts w:hint="eastAsia" w:ascii="仿宋_GB2312" w:eastAsia="仿宋_GB2312" w:cs="仿宋"/>
          <w:b/>
          <w:bCs/>
          <w:sz w:val="28"/>
          <w:szCs w:val="28"/>
        </w:rPr>
        <w:t>邪盈不盛而正亏不衰</w:t>
      </w:r>
      <w:bookmarkEnd w:id="7"/>
      <w:bookmarkEnd w:id="8"/>
      <w:r>
        <w:rPr>
          <w:rFonts w:hint="eastAsia" w:ascii="仿宋_GB2312" w:eastAsia="仿宋_GB2312" w:cs="仿宋"/>
          <w:bCs/>
          <w:sz w:val="28"/>
          <w:szCs w:val="28"/>
        </w:rPr>
        <w:t>：头痛眩晕，胸痛心悸，肢体麻木，舌质暗红，或正常，苔薄，脉细或细涩。</w:t>
      </w:r>
    </w:p>
    <w:p w14:paraId="253E0641">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w:t>
      </w:r>
      <w:r>
        <w:rPr>
          <w:rFonts w:hint="eastAsia" w:ascii="仿宋_GB2312" w:eastAsia="仿宋_GB2312" w:cs="仿宋"/>
          <w:b/>
          <w:bCs/>
          <w:sz w:val="28"/>
          <w:szCs w:val="28"/>
        </w:rPr>
        <w:t>邪盈过盛而正亏过衰</w:t>
      </w:r>
      <w:r>
        <w:rPr>
          <w:rFonts w:hint="eastAsia" w:ascii="仿宋_GB2312" w:eastAsia="仿宋_GB2312" w:cs="仿宋"/>
          <w:bCs/>
          <w:sz w:val="28"/>
          <w:szCs w:val="28"/>
        </w:rPr>
        <w:t>：目赤面红，口苦咽干，烦燥易怒，溲黄便秘，舌红苔黄，脉弦数；头痛头昏，胸脘满闷，呕吐痰涎，身重困倦，肢体麻木，苔白腻，脉弦滑或濡滑。</w:t>
      </w:r>
    </w:p>
    <w:p w14:paraId="5CA45E99">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w:t>
      </w:r>
      <w:r>
        <w:rPr>
          <w:rFonts w:hint="eastAsia" w:ascii="仿宋_GB2312" w:eastAsia="仿宋_GB2312" w:cs="仿宋"/>
          <w:b/>
          <w:bCs/>
          <w:sz w:val="28"/>
          <w:szCs w:val="28"/>
        </w:rPr>
        <w:t>邪盈不盛而正亏过衰</w:t>
      </w:r>
      <w:r>
        <w:rPr>
          <w:rFonts w:hint="eastAsia" w:ascii="仿宋_GB2312" w:eastAsia="仿宋_GB2312" w:cs="仿宋"/>
          <w:bCs/>
          <w:sz w:val="28"/>
          <w:szCs w:val="28"/>
        </w:rPr>
        <w:t>：肢体麻木，口燥咽干，两目干涩，视物模糊，或见手足心热，颧红盗汗，舌红少苔，脉细数或弦细者。</w:t>
      </w:r>
    </w:p>
    <w:p w14:paraId="4CDA394A">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w:t>
      </w:r>
      <w:r>
        <w:rPr>
          <w:rFonts w:hint="eastAsia" w:ascii="仿宋_GB2312" w:eastAsia="仿宋_GB2312" w:cs="仿宋"/>
          <w:b/>
          <w:bCs/>
          <w:sz w:val="28"/>
          <w:szCs w:val="28"/>
        </w:rPr>
        <w:t>邪盈过盛而正亏过衰</w:t>
      </w:r>
      <w:r>
        <w:rPr>
          <w:rFonts w:hint="eastAsia" w:ascii="仿宋_GB2312" w:eastAsia="仿宋_GB2312" w:cs="仿宋"/>
          <w:bCs/>
          <w:sz w:val="28"/>
          <w:szCs w:val="28"/>
        </w:rPr>
        <w:t>：头晕头胀头痛，烦躁耳鸣，腰膝酸软，脉细数或弦细。</w:t>
      </w:r>
    </w:p>
    <w:p w14:paraId="5FDACFC1">
      <w:pPr>
        <w:pStyle w:val="29"/>
        <w:ind w:firstLine="420"/>
        <w:jc w:val="center"/>
        <w:rPr>
          <w:rFonts w:ascii="黑体" w:hAnsi="黑体" w:eastAsia="黑体" w:cs="黑体"/>
          <w:bCs/>
          <w:szCs w:val="21"/>
        </w:rPr>
      </w:pPr>
    </w:p>
    <w:p w14:paraId="06FF7DF4">
      <w:pPr>
        <w:pStyle w:val="29"/>
        <w:spacing w:line="520" w:lineRule="exact"/>
        <w:ind w:firstLine="0" w:firstLineChars="0"/>
        <w:rPr>
          <w:rFonts w:ascii="仿宋_GB2312" w:eastAsia="仿宋_GB2312" w:cs="仿宋"/>
          <w:b/>
          <w:sz w:val="28"/>
          <w:szCs w:val="28"/>
        </w:rPr>
      </w:pPr>
      <w:r>
        <w:rPr>
          <w:rFonts w:hint="eastAsia" w:ascii="仿宋_GB2312" w:eastAsia="仿宋_GB2312" w:cs="仿宋"/>
          <w:b/>
          <w:sz w:val="28"/>
          <w:szCs w:val="28"/>
        </w:rPr>
        <w:t>（三）治疗</w:t>
      </w:r>
    </w:p>
    <w:p w14:paraId="3C37B328">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治疗原则</w:t>
      </w:r>
      <w:r>
        <w:rPr>
          <w:rFonts w:hint="eastAsia" w:ascii="仿宋_GB2312" w:eastAsia="仿宋_GB2312" w:cs="仿宋"/>
          <w:bCs/>
          <w:sz w:val="28"/>
          <w:szCs w:val="28"/>
        </w:rPr>
        <w:t>:治疗主要以祛因为要、风亏打盈为主。本病的主要病理因素在于风、火、痰、瘀、虚，故而以祛因为要为原则来祛除邪实，以风亏打盈为原则来指导风打药的应用，对于邪实以打药祛之，体虚者以风药扶之，并适当配合祛邪。</w:t>
      </w:r>
    </w:p>
    <w:p w14:paraId="45006C7C">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治疗总法</w:t>
      </w:r>
      <w:r>
        <w:rPr>
          <w:rFonts w:hint="eastAsia" w:ascii="仿宋_GB2312" w:eastAsia="仿宋_GB2312" w:cs="仿宋"/>
          <w:bCs/>
          <w:sz w:val="28"/>
          <w:szCs w:val="28"/>
        </w:rPr>
        <w:t>主要以祛风散邪法、兼多应杂法为主。因风邪为主导，故而以祛风为首。因本病较为复杂，其病理因素常相混存在，所以需要在具体治疗时结合多种治疗方法进行，如启关透窍法、导滞开结法、穿经走脉法、泻热逐邪法、补气益元法等。</w:t>
      </w:r>
    </w:p>
    <w:p w14:paraId="0BDFCE62">
      <w:pPr>
        <w:pStyle w:val="29"/>
        <w:spacing w:line="520" w:lineRule="exact"/>
        <w:ind w:firstLine="562"/>
        <w:rPr>
          <w:rFonts w:ascii="仿宋_GB2312" w:eastAsia="仿宋_GB2312" w:cs="仿宋"/>
          <w:bCs/>
          <w:sz w:val="28"/>
          <w:szCs w:val="28"/>
        </w:rPr>
      </w:pPr>
      <w:bookmarkStart w:id="9" w:name="OLE_LINK51"/>
      <w:r>
        <w:rPr>
          <w:rFonts w:hint="eastAsia" w:ascii="仿宋_GB2312" w:eastAsia="仿宋_GB2312" w:cs="仿宋"/>
          <w:b/>
          <w:sz w:val="28"/>
          <w:szCs w:val="28"/>
        </w:rPr>
        <w:t>邪盈不盛而正亏不衰</w:t>
      </w:r>
      <w:bookmarkEnd w:id="9"/>
      <w:r>
        <w:rPr>
          <w:rFonts w:hint="eastAsia" w:ascii="仿宋_GB2312" w:eastAsia="仿宋_GB2312" w:cs="仿宋"/>
          <w:bCs/>
          <w:sz w:val="28"/>
          <w:szCs w:val="28"/>
        </w:rPr>
        <w:t>：治则</w:t>
      </w:r>
      <w:bookmarkStart w:id="10" w:name="OLE_LINK37"/>
      <w:r>
        <w:rPr>
          <w:rFonts w:hint="eastAsia" w:ascii="仿宋_GB2312" w:eastAsia="仿宋_GB2312" w:cs="仿宋"/>
          <w:bCs/>
          <w:sz w:val="28"/>
          <w:szCs w:val="28"/>
        </w:rPr>
        <w:t>治法：祛因为要，</w:t>
      </w:r>
      <w:bookmarkStart w:id="11" w:name="OLE_LINK36"/>
      <w:r>
        <w:rPr>
          <w:rFonts w:hint="eastAsia" w:ascii="仿宋_GB2312" w:eastAsia="仿宋_GB2312" w:cs="仿宋"/>
          <w:bCs/>
          <w:sz w:val="28"/>
          <w:szCs w:val="28"/>
        </w:rPr>
        <w:t>解邪气、清肝火</w:t>
      </w:r>
      <w:bookmarkEnd w:id="10"/>
      <w:bookmarkEnd w:id="11"/>
      <w:r>
        <w:rPr>
          <w:rFonts w:hint="eastAsia" w:ascii="仿宋_GB2312" w:eastAsia="仿宋_GB2312" w:cs="仿宋"/>
          <w:bCs/>
          <w:sz w:val="28"/>
          <w:szCs w:val="28"/>
        </w:rPr>
        <w:t>。</w:t>
      </w:r>
    </w:p>
    <w:p w14:paraId="698A33ED">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方药：</w:t>
      </w:r>
      <w:bookmarkStart w:id="12" w:name="OLE_LINK39"/>
      <w:r>
        <w:rPr>
          <w:rFonts w:hint="eastAsia" w:ascii="仿宋_GB2312" w:eastAsia="仿宋_GB2312" w:cs="仿宋"/>
          <w:bCs/>
          <w:sz w:val="28"/>
          <w:szCs w:val="28"/>
        </w:rPr>
        <w:t>天麻12 g、川芎12 g、</w:t>
      </w:r>
      <w:bookmarkStart w:id="13" w:name="OLE_LINK35"/>
      <w:r>
        <w:rPr>
          <w:rFonts w:hint="eastAsia" w:ascii="仿宋_GB2312" w:eastAsia="仿宋_GB2312" w:cs="仿宋"/>
          <w:bCs/>
          <w:sz w:val="28"/>
          <w:szCs w:val="28"/>
        </w:rPr>
        <w:t>白蒺藜</w:t>
      </w:r>
      <w:bookmarkEnd w:id="13"/>
      <w:r>
        <w:rPr>
          <w:rFonts w:hint="eastAsia" w:ascii="仿宋_GB2312" w:eastAsia="仿宋_GB2312" w:cs="仿宋"/>
          <w:bCs/>
          <w:sz w:val="28"/>
          <w:szCs w:val="28"/>
        </w:rPr>
        <w:t>12 g、菊花10 g、夏枯草10 g、炒白芍10 g、生地12 g、枸杞子10 g、桑寄生12 g、毛冬青(根)15 g、苦丁茶15 g。</w:t>
      </w:r>
      <w:bookmarkEnd w:id="12"/>
      <w:r>
        <w:rPr>
          <w:rFonts w:hint="eastAsia" w:ascii="仿宋_GB2312" w:eastAsia="仿宋_GB2312" w:cs="仿宋"/>
          <w:bCs/>
          <w:sz w:val="28"/>
          <w:szCs w:val="28"/>
        </w:rPr>
        <w:t xml:space="preserve"> </w:t>
      </w:r>
    </w:p>
    <w:p w14:paraId="05904128">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用法：水煎，分2次服，每天1剂。</w:t>
      </w:r>
    </w:p>
    <w:p w14:paraId="061CC400">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方解：方中用天麻、川芎补肝肾，疏通经络，为主药。用钩藤、粉葛、毛冬青清肝泻火，桑叶、菊花、黄芩、苦丁茶、夏枯草清肝经之火，为配药。众药共达解邪气、清肝火之效。</w:t>
      </w:r>
    </w:p>
    <w:p w14:paraId="29628C27">
      <w:pPr>
        <w:pStyle w:val="29"/>
        <w:spacing w:line="520" w:lineRule="exact"/>
        <w:ind w:firstLine="0" w:firstLineChars="0"/>
        <w:jc w:val="center"/>
        <w:rPr>
          <w:rFonts w:ascii="黑体" w:hAnsi="黑体" w:eastAsia="黑体" w:cs="黑体"/>
          <w:bCs/>
          <w:sz w:val="24"/>
          <w:szCs w:val="24"/>
        </w:rPr>
      </w:pPr>
      <w:r>
        <w:rPr>
          <w:rFonts w:hint="eastAsia" w:ascii="黑体" w:hAnsi="黑体" w:eastAsia="黑体" w:cs="黑体"/>
          <w:bCs/>
          <w:sz w:val="24"/>
          <w:szCs w:val="24"/>
        </w:rPr>
        <w:t>邪盈不盛而正亏不衰病例以及诊疗记录</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5926"/>
        <w:gridCol w:w="2551"/>
      </w:tblGrid>
      <w:tr w14:paraId="1BE10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845" w:type="dxa"/>
          </w:tcPr>
          <w:p w14:paraId="574F9C2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年份</w:t>
            </w:r>
          </w:p>
        </w:tc>
        <w:tc>
          <w:tcPr>
            <w:tcW w:w="5926" w:type="dxa"/>
          </w:tcPr>
          <w:p w14:paraId="1A86EFE4">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实际诊疗方法</w:t>
            </w:r>
          </w:p>
        </w:tc>
        <w:tc>
          <w:tcPr>
            <w:tcW w:w="2551" w:type="dxa"/>
          </w:tcPr>
          <w:p w14:paraId="7E84C70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治疗效果</w:t>
            </w:r>
          </w:p>
        </w:tc>
      </w:tr>
      <w:tr w14:paraId="0BA0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5" w:type="dxa"/>
          </w:tcPr>
          <w:p w14:paraId="685EE945">
            <w:pPr>
              <w:pStyle w:val="29"/>
              <w:widowControl w:val="0"/>
              <w:spacing w:line="520" w:lineRule="exact"/>
              <w:ind w:firstLine="0" w:firstLineChars="0"/>
              <w:rPr>
                <w:rFonts w:ascii="仿宋_GB2312" w:eastAsia="仿宋_GB2312" w:cs="仿宋"/>
                <w:bCs/>
                <w:sz w:val="28"/>
                <w:szCs w:val="28"/>
              </w:rPr>
            </w:pPr>
            <w:bookmarkStart w:id="14" w:name="_Hlk199337864"/>
            <w:r>
              <w:rPr>
                <w:rFonts w:hint="eastAsia" w:ascii="仿宋_GB2312" w:eastAsia="仿宋_GB2312" w:cs="仿宋"/>
                <w:bCs/>
                <w:sz w:val="28"/>
                <w:szCs w:val="28"/>
              </w:rPr>
              <w:t>2019</w:t>
            </w:r>
          </w:p>
        </w:tc>
        <w:tc>
          <w:tcPr>
            <w:tcW w:w="5926" w:type="dxa"/>
          </w:tcPr>
          <w:p w14:paraId="20BBE501">
            <w:pPr>
              <w:pStyle w:val="29"/>
              <w:widowControl w:val="0"/>
              <w:spacing w:line="520" w:lineRule="exact"/>
              <w:ind w:firstLine="0" w:firstLineChars="0"/>
              <w:rPr>
                <w:rFonts w:ascii="仿宋_GB2312" w:eastAsia="仿宋_GB2312" w:cs="仿宋"/>
                <w:bCs/>
                <w:sz w:val="28"/>
                <w:szCs w:val="28"/>
              </w:rPr>
            </w:pPr>
            <w:bookmarkStart w:id="15" w:name="OLE_LINK40"/>
            <w:r>
              <w:rPr>
                <w:rFonts w:hint="eastAsia" w:ascii="仿宋_GB2312" w:eastAsia="仿宋_GB2312" w:cs="仿宋"/>
                <w:bCs/>
                <w:sz w:val="28"/>
                <w:szCs w:val="28"/>
              </w:rPr>
              <w:t>天麻12 g、川芎12 g、白蒺藜12 g、菊花10 g、夏枯草10 g、炒白芍10 g、生地12 g、枸杞子10 g、桑寄生12 g、毛冬青(根)15 g、苦丁茶15 g。搭配使用药推、刺血等外治法</w:t>
            </w:r>
            <w:bookmarkEnd w:id="15"/>
          </w:p>
        </w:tc>
        <w:tc>
          <w:tcPr>
            <w:tcW w:w="2551" w:type="dxa"/>
          </w:tcPr>
          <w:p w14:paraId="2A09E1B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92例，好转86例</w:t>
            </w:r>
          </w:p>
        </w:tc>
      </w:tr>
      <w:tr w14:paraId="0159A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064C61F">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2020</w:t>
            </w:r>
          </w:p>
        </w:tc>
        <w:tc>
          <w:tcPr>
            <w:tcW w:w="5926" w:type="dxa"/>
          </w:tcPr>
          <w:p w14:paraId="7DEF0F7A">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天麻12 g、川芎12 g、白蒺藜12 g、菊花10 g、夏枯草10 g、炒白芍10 g、生地12 g、枸杞子10 g、桑寄生12 g、毛冬青(根)15 g、苦丁茶15 g。搭配使用药推、刺血等外治法</w:t>
            </w:r>
          </w:p>
        </w:tc>
        <w:tc>
          <w:tcPr>
            <w:tcW w:w="2551" w:type="dxa"/>
            <w:shd w:val="clear" w:color="auto" w:fill="auto"/>
          </w:tcPr>
          <w:p w14:paraId="251F33D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108例，好转94例</w:t>
            </w:r>
          </w:p>
        </w:tc>
      </w:tr>
      <w:bookmarkEnd w:id="14"/>
      <w:tr w14:paraId="21AA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419AA403">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2021</w:t>
            </w:r>
          </w:p>
        </w:tc>
        <w:tc>
          <w:tcPr>
            <w:tcW w:w="5926" w:type="dxa"/>
          </w:tcPr>
          <w:p w14:paraId="4BA98B4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天麻12 g、川芎12 g、白蒺藜12 g、菊花10 g、夏枯草10 g、炒白芍10 g、生地12 g、枸杞子10 g、桑寄生12 g、毛冬青(根)15 g、苦丁茶15 g。搭配使用药推、刺血等外治法</w:t>
            </w:r>
          </w:p>
        </w:tc>
        <w:tc>
          <w:tcPr>
            <w:tcW w:w="2551" w:type="dxa"/>
            <w:shd w:val="clear" w:color="auto" w:fill="auto"/>
          </w:tcPr>
          <w:p w14:paraId="3A0D56F8">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98例，好转89例</w:t>
            </w:r>
          </w:p>
        </w:tc>
      </w:tr>
      <w:tr w14:paraId="4974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7A87995D">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2022</w:t>
            </w:r>
          </w:p>
        </w:tc>
        <w:tc>
          <w:tcPr>
            <w:tcW w:w="5926" w:type="dxa"/>
          </w:tcPr>
          <w:p w14:paraId="3C19358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天麻12 g、川芎12 g、白蒺藜12 g、菊花10 g、夏枯草10 g、炒白芍10 g、生地12 g、枸杞子10 g、桑寄生12 g、毛冬青(根)15 g、苦丁茶15 g。</w:t>
            </w:r>
            <w:bookmarkStart w:id="16" w:name="OLE_LINK54"/>
            <w:bookmarkStart w:id="17" w:name="OLE_LINK53"/>
            <w:r>
              <w:rPr>
                <w:rFonts w:hint="eastAsia" w:ascii="仿宋_GB2312" w:eastAsia="仿宋_GB2312" w:cs="仿宋"/>
                <w:bCs/>
                <w:sz w:val="28"/>
                <w:szCs w:val="28"/>
              </w:rPr>
              <w:t>搭配使用药推、刺血等外治法</w:t>
            </w:r>
            <w:bookmarkEnd w:id="16"/>
            <w:bookmarkEnd w:id="17"/>
          </w:p>
        </w:tc>
        <w:tc>
          <w:tcPr>
            <w:tcW w:w="2551" w:type="dxa"/>
            <w:shd w:val="clear" w:color="auto" w:fill="auto"/>
          </w:tcPr>
          <w:p w14:paraId="0D7BC692">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109例，好转100例</w:t>
            </w:r>
          </w:p>
        </w:tc>
      </w:tr>
      <w:tr w14:paraId="7A5C7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59CF538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2023</w:t>
            </w:r>
          </w:p>
        </w:tc>
        <w:tc>
          <w:tcPr>
            <w:tcW w:w="5926" w:type="dxa"/>
          </w:tcPr>
          <w:p w14:paraId="545FC8ED">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天麻12 g、川芎12 g、白蒺藜12 g、菊花10 g、夏枯草10 g、炒白芍10 g、生地12 g、枸杞子10 g、桑寄生12 g、毛冬青(根)15 g、苦丁茶15 g。搭配使用药推、刺血等外治法</w:t>
            </w:r>
          </w:p>
        </w:tc>
        <w:tc>
          <w:tcPr>
            <w:tcW w:w="2551" w:type="dxa"/>
            <w:shd w:val="clear" w:color="auto" w:fill="auto"/>
          </w:tcPr>
          <w:p w14:paraId="678B652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100例，好转92例</w:t>
            </w:r>
          </w:p>
        </w:tc>
      </w:tr>
      <w:tr w14:paraId="6FFF7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F0E834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2024</w:t>
            </w:r>
          </w:p>
        </w:tc>
        <w:tc>
          <w:tcPr>
            <w:tcW w:w="5926" w:type="dxa"/>
          </w:tcPr>
          <w:p w14:paraId="5C58E5E5">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天麻12 g、川芎12 g、白蒺藜12 g、菊花10 g、夏枯草10 g、炒白芍10 g、生地12 g、枸杞子10 g、桑寄生12 g、毛冬青(根)15 g、苦丁茶15 g。搭配使用药推、刺血等外治法</w:t>
            </w:r>
          </w:p>
        </w:tc>
        <w:tc>
          <w:tcPr>
            <w:tcW w:w="2551" w:type="dxa"/>
            <w:shd w:val="clear" w:color="auto" w:fill="auto"/>
          </w:tcPr>
          <w:p w14:paraId="56AF9FA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116例，好转108例</w:t>
            </w:r>
          </w:p>
        </w:tc>
      </w:tr>
    </w:tbl>
    <w:p w14:paraId="3BF96D97">
      <w:pPr>
        <w:pStyle w:val="29"/>
        <w:spacing w:line="520" w:lineRule="exact"/>
        <w:ind w:firstLine="562"/>
        <w:rPr>
          <w:rFonts w:ascii="仿宋_GB2312" w:eastAsia="仿宋_GB2312" w:cs="仿宋"/>
          <w:bCs/>
          <w:sz w:val="28"/>
          <w:szCs w:val="28"/>
        </w:rPr>
      </w:pPr>
      <w:bookmarkStart w:id="18" w:name="OLE_LINK60"/>
      <w:bookmarkStart w:id="19" w:name="OLE_LINK61"/>
      <w:bookmarkStart w:id="20" w:name="OLE_LINK59"/>
      <w:r>
        <w:rPr>
          <w:rFonts w:hint="eastAsia" w:ascii="仿宋_GB2312" w:eastAsia="仿宋_GB2312" w:cs="仿宋"/>
          <w:b/>
          <w:sz w:val="28"/>
          <w:szCs w:val="28"/>
        </w:rPr>
        <w:t>邪盈过盛而正亏过衰</w:t>
      </w:r>
      <w:bookmarkEnd w:id="18"/>
      <w:bookmarkEnd w:id="19"/>
      <w:bookmarkEnd w:id="20"/>
      <w:r>
        <w:rPr>
          <w:rFonts w:hint="eastAsia" w:ascii="仿宋_GB2312" w:eastAsia="仿宋_GB2312" w:cs="仿宋"/>
          <w:bCs/>
          <w:sz w:val="28"/>
          <w:szCs w:val="28"/>
        </w:rPr>
        <w:t>：治则治法：风亏打盈，</w:t>
      </w:r>
      <w:bookmarkStart w:id="21" w:name="OLE_LINK47"/>
      <w:r>
        <w:rPr>
          <w:rFonts w:hint="eastAsia" w:ascii="仿宋_GB2312" w:eastAsia="仿宋_GB2312" w:cs="仿宋"/>
          <w:bCs/>
          <w:sz w:val="28"/>
          <w:szCs w:val="28"/>
        </w:rPr>
        <w:t>解邪气，补肝肾</w:t>
      </w:r>
      <w:bookmarkEnd w:id="21"/>
      <w:r>
        <w:rPr>
          <w:rFonts w:hint="eastAsia" w:ascii="仿宋_GB2312" w:eastAsia="仿宋_GB2312" w:cs="仿宋"/>
          <w:bCs/>
          <w:sz w:val="28"/>
          <w:szCs w:val="28"/>
        </w:rPr>
        <w:t>。</w:t>
      </w:r>
    </w:p>
    <w:p w14:paraId="3E888432">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方药：</w:t>
      </w:r>
      <w:bookmarkStart w:id="22" w:name="OLE_LINK52"/>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 xml:space="preserve">15 g、罗布麻叶15 g、黑九牛（威灵仙）30 g、半夏12 g、白术20 g、茯苓20 g、陈皮12 g、菖蒲10g、天麻30 g、30 </w:t>
      </w:r>
      <w:bookmarkStart w:id="23" w:name="OLE_LINK48"/>
      <w:bookmarkStart w:id="24" w:name="OLE_LINK49"/>
      <w:r>
        <w:rPr>
          <w:rFonts w:hint="eastAsia" w:ascii="仿宋_GB2312" w:eastAsia="仿宋_GB2312" w:cs="仿宋"/>
          <w:bCs/>
          <w:sz w:val="28"/>
          <w:szCs w:val="28"/>
        </w:rPr>
        <w:t>g（后下</w:t>
      </w:r>
      <w:bookmarkEnd w:id="23"/>
      <w:bookmarkEnd w:id="24"/>
      <w:r>
        <w:rPr>
          <w:rFonts w:hint="eastAsia" w:ascii="仿宋_GB2312" w:eastAsia="仿宋_GB2312" w:cs="仿宋"/>
          <w:bCs/>
          <w:sz w:val="28"/>
          <w:szCs w:val="28"/>
        </w:rPr>
        <w:t>）、杜仲30 g 菊花10 g、葛根20 g、苦丁茶30 g、川牛膝15 g</w:t>
      </w:r>
      <w:bookmarkEnd w:id="22"/>
      <w:r>
        <w:rPr>
          <w:rFonts w:hint="eastAsia" w:ascii="仿宋_GB2312" w:eastAsia="仿宋_GB2312" w:cs="仿宋"/>
          <w:bCs/>
          <w:sz w:val="28"/>
          <w:szCs w:val="28"/>
        </w:rPr>
        <w:t>。</w:t>
      </w:r>
    </w:p>
    <w:p w14:paraId="21D66BF6">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方解：</w:t>
      </w:r>
      <w:r>
        <w:rPr>
          <w:rFonts w:hint="eastAsia" w:hAnsi="宋体" w:cs="宋体"/>
          <w:bCs/>
          <w:sz w:val="28"/>
          <w:szCs w:val="28"/>
        </w:rPr>
        <w:t>豨</w:t>
      </w:r>
      <w:r>
        <w:rPr>
          <w:rFonts w:hint="eastAsia" w:ascii="仿宋_GB2312" w:eastAsia="仿宋_GB2312" w:cs="仿宋"/>
          <w:bCs/>
          <w:sz w:val="28"/>
          <w:szCs w:val="28"/>
        </w:rPr>
        <w:t>莶草、罗布麻叶、</w:t>
      </w:r>
      <w:r>
        <w:rPr>
          <w:rFonts w:hint="eastAsia" w:ascii="仿宋_GB2312" w:eastAsia="仿宋_GB2312" w:cs="仿宋"/>
          <w:b/>
          <w:bCs/>
          <w:sz w:val="28"/>
          <w:szCs w:val="28"/>
        </w:rPr>
        <w:t>黑九牛（瑶药）</w:t>
      </w:r>
      <w:r>
        <w:rPr>
          <w:rFonts w:hint="eastAsia" w:ascii="仿宋_GB2312" w:eastAsia="仿宋_GB2312" w:cs="仿宋"/>
          <w:bCs/>
          <w:sz w:val="28"/>
          <w:szCs w:val="28"/>
        </w:rPr>
        <w:t>祛湿解毒，强健筋骨,为主药。半夏、白术、茯苓、陈皮、菖蒲健脾利湿，化痰降浊。天麻、</w:t>
      </w:r>
      <w:r>
        <w:rPr>
          <w:rFonts w:hint="eastAsia" w:ascii="仿宋_GB2312" w:eastAsia="仿宋_GB2312" w:cs="仿宋"/>
          <w:b/>
          <w:bCs/>
          <w:sz w:val="28"/>
          <w:szCs w:val="28"/>
        </w:rPr>
        <w:t>双钩钻（瑶药）</w:t>
      </w:r>
      <w:r>
        <w:rPr>
          <w:rFonts w:hint="eastAsia" w:ascii="仿宋_GB2312" w:eastAsia="仿宋_GB2312" w:cs="仿宋"/>
          <w:bCs/>
          <w:sz w:val="28"/>
          <w:szCs w:val="28"/>
        </w:rPr>
        <w:t>、杜仲补肾平肝，菊花、葛根、苦丁茶清肝明目，上药共为配药。川牛膝引血下行，为引路药。众药合用达解邪气，补肝肾肝之效。</w:t>
      </w:r>
    </w:p>
    <w:p w14:paraId="3712A3BB">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用法：水煎，分2次服，每天1剂。</w:t>
      </w:r>
    </w:p>
    <w:p w14:paraId="7826218E">
      <w:pPr>
        <w:pStyle w:val="29"/>
        <w:spacing w:line="520" w:lineRule="exact"/>
        <w:ind w:firstLine="0" w:firstLineChars="0"/>
        <w:jc w:val="center"/>
        <w:rPr>
          <w:rFonts w:ascii="仿宋_GB2312" w:eastAsia="仿宋_GB2312" w:cs="仿宋"/>
          <w:bCs/>
          <w:sz w:val="28"/>
          <w:szCs w:val="28"/>
        </w:rPr>
      </w:pPr>
      <w:r>
        <w:rPr>
          <w:rFonts w:hint="eastAsia" w:ascii="黑体" w:hAnsi="黑体" w:eastAsia="黑体" w:cs="黑体"/>
          <w:bCs/>
          <w:sz w:val="24"/>
          <w:szCs w:val="24"/>
        </w:rPr>
        <w:t>邪盈过盛而正亏过衰病例以及诊疗记录</w:t>
      </w:r>
    </w:p>
    <w:tbl>
      <w:tblPr>
        <w:tblStyle w:val="1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5880"/>
        <w:gridCol w:w="2127"/>
      </w:tblGrid>
      <w:tr w14:paraId="0B07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032" w:type="dxa"/>
            <w:vAlign w:val="center"/>
          </w:tcPr>
          <w:p w14:paraId="4D3D641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年份</w:t>
            </w:r>
          </w:p>
        </w:tc>
        <w:tc>
          <w:tcPr>
            <w:tcW w:w="5880" w:type="dxa"/>
            <w:vAlign w:val="center"/>
          </w:tcPr>
          <w:p w14:paraId="25FCD59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实际诊疗方法</w:t>
            </w:r>
          </w:p>
        </w:tc>
        <w:tc>
          <w:tcPr>
            <w:tcW w:w="2127" w:type="dxa"/>
            <w:vAlign w:val="center"/>
          </w:tcPr>
          <w:p w14:paraId="58A9E51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治疗效果</w:t>
            </w:r>
          </w:p>
        </w:tc>
      </w:tr>
      <w:tr w14:paraId="52FA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2" w:type="dxa"/>
            <w:shd w:val="clear" w:color="auto" w:fill="auto"/>
          </w:tcPr>
          <w:p w14:paraId="526E6462">
            <w:pPr>
              <w:pStyle w:val="29"/>
              <w:widowControl w:val="0"/>
              <w:spacing w:line="520" w:lineRule="exact"/>
              <w:ind w:firstLine="0" w:firstLineChars="0"/>
              <w:rPr>
                <w:rFonts w:ascii="仿宋_GB2312" w:eastAsia="仿宋_GB2312" w:cs="仿宋"/>
                <w:bCs/>
                <w:sz w:val="28"/>
                <w:szCs w:val="28"/>
              </w:rPr>
            </w:pPr>
            <w:bookmarkStart w:id="25" w:name="_Hlk199339658"/>
            <w:r>
              <w:rPr>
                <w:rFonts w:hint="eastAsia" w:ascii="仿宋_GB2312" w:eastAsia="仿宋_GB2312" w:cs="仿宋"/>
                <w:bCs/>
                <w:sz w:val="28"/>
                <w:szCs w:val="28"/>
              </w:rPr>
              <w:t>2019</w:t>
            </w:r>
          </w:p>
        </w:tc>
        <w:tc>
          <w:tcPr>
            <w:tcW w:w="5880" w:type="dxa"/>
            <w:shd w:val="clear" w:color="auto" w:fill="auto"/>
          </w:tcPr>
          <w:p w14:paraId="7EACA210">
            <w:pPr>
              <w:pStyle w:val="29"/>
              <w:widowControl w:val="0"/>
              <w:spacing w:line="520" w:lineRule="exact"/>
              <w:ind w:firstLine="0" w:firstLineChars="0"/>
              <w:rPr>
                <w:rFonts w:ascii="仿宋_GB2312" w:eastAsia="仿宋_GB2312" w:cs="仿宋"/>
                <w:bCs/>
                <w:sz w:val="28"/>
                <w:szCs w:val="28"/>
              </w:rPr>
            </w:pPr>
            <w:bookmarkStart w:id="26" w:name="OLE_LINK55"/>
            <w:bookmarkStart w:id="27" w:name="OLE_LINK56"/>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15 g、罗布麻叶15 g、黑九牛（威灵仙）30 g、半夏12 g、白术20 g、茯苓20 g、陈皮12 g、菖蒲10g、天麻30 g、30 g（后下）、杜仲30 g 菊花10 g、葛根20 g、苦丁茶30 g、川牛膝15 g</w:t>
            </w:r>
            <w:r>
              <w:rPr>
                <w:rFonts w:ascii="仿宋_GB2312" w:eastAsia="仿宋_GB2312" w:cs="仿宋"/>
                <w:bCs/>
                <w:sz w:val="28"/>
                <w:szCs w:val="28"/>
              </w:rPr>
              <w:t xml:space="preserve"> </w:t>
            </w:r>
            <w:r>
              <w:rPr>
                <w:rFonts w:hint="eastAsia" w:ascii="仿宋_GB2312" w:eastAsia="仿宋_GB2312" w:cs="仿宋"/>
                <w:bCs/>
                <w:sz w:val="28"/>
                <w:szCs w:val="28"/>
              </w:rPr>
              <w:t>，搭配使用药推、刺血等外治法</w:t>
            </w:r>
            <w:bookmarkEnd w:id="26"/>
            <w:bookmarkEnd w:id="27"/>
          </w:p>
        </w:tc>
        <w:tc>
          <w:tcPr>
            <w:tcW w:w="2127" w:type="dxa"/>
            <w:shd w:val="clear" w:color="auto" w:fill="auto"/>
          </w:tcPr>
          <w:p w14:paraId="761BB8E6">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90例，好转86例</w:t>
            </w:r>
          </w:p>
        </w:tc>
      </w:tr>
      <w:tr w14:paraId="141A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47A8DF68">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2020</w:t>
            </w:r>
          </w:p>
        </w:tc>
        <w:tc>
          <w:tcPr>
            <w:tcW w:w="5880" w:type="dxa"/>
            <w:shd w:val="clear" w:color="auto" w:fill="auto"/>
          </w:tcPr>
          <w:p w14:paraId="2F76D51B">
            <w:pPr>
              <w:pStyle w:val="29"/>
              <w:widowControl w:val="0"/>
              <w:spacing w:line="520" w:lineRule="exact"/>
              <w:ind w:firstLine="0" w:firstLineChars="0"/>
              <w:rPr>
                <w:rFonts w:ascii="仿宋_GB2312" w:eastAsia="仿宋_GB2312" w:cs="仿宋"/>
                <w:bCs/>
                <w:sz w:val="28"/>
                <w:szCs w:val="28"/>
              </w:rPr>
            </w:pPr>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15 g、罗布麻叶15 g、黑九牛（威灵仙）30 g、半夏12 g、白术20 g、茯苓20 g、陈皮12 g、菖蒲10g、天麻30 g、30 g（后下）、杜仲30 g 菊花10 g、葛根20 g、苦丁茶30 g、川牛膝15 g</w:t>
            </w:r>
            <w:r>
              <w:rPr>
                <w:rFonts w:ascii="仿宋_GB2312" w:eastAsia="仿宋_GB2312" w:cs="仿宋"/>
                <w:bCs/>
                <w:sz w:val="28"/>
                <w:szCs w:val="28"/>
              </w:rPr>
              <w:t xml:space="preserve"> </w:t>
            </w:r>
            <w:r>
              <w:rPr>
                <w:rFonts w:hint="eastAsia" w:ascii="仿宋_GB2312" w:eastAsia="仿宋_GB2312" w:cs="仿宋"/>
                <w:bCs/>
                <w:sz w:val="28"/>
                <w:szCs w:val="28"/>
              </w:rPr>
              <w:t>，搭配使用药推、刺血等外治法</w:t>
            </w:r>
          </w:p>
        </w:tc>
        <w:tc>
          <w:tcPr>
            <w:tcW w:w="2127" w:type="dxa"/>
            <w:shd w:val="clear" w:color="auto" w:fill="auto"/>
          </w:tcPr>
          <w:p w14:paraId="2C769826">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98例，好转90例</w:t>
            </w:r>
          </w:p>
        </w:tc>
      </w:tr>
      <w:bookmarkEnd w:id="25"/>
      <w:tr w14:paraId="6ECB2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3646887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2021</w:t>
            </w:r>
          </w:p>
        </w:tc>
        <w:tc>
          <w:tcPr>
            <w:tcW w:w="5880" w:type="dxa"/>
            <w:shd w:val="clear" w:color="auto" w:fill="auto"/>
          </w:tcPr>
          <w:p w14:paraId="3A4462A9">
            <w:pPr>
              <w:pStyle w:val="29"/>
              <w:widowControl w:val="0"/>
              <w:spacing w:line="520" w:lineRule="exact"/>
              <w:ind w:firstLine="0" w:firstLineChars="0"/>
              <w:rPr>
                <w:rFonts w:ascii="仿宋_GB2312" w:eastAsia="仿宋_GB2312" w:cs="仿宋"/>
                <w:bCs/>
                <w:sz w:val="28"/>
                <w:szCs w:val="28"/>
              </w:rPr>
            </w:pPr>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15 g、罗布麻叶15 g、黑九牛（威灵仙）30 g、半夏12 g、白术20 g、茯苓20 g、陈皮12 g、菖蒲10g、天麻30 g、30 g（后下）、杜仲30 g 菊花10 g、葛根20 g、苦丁茶30 g、川牛膝15 g ，搭配使用药推、刺血等外治法</w:t>
            </w:r>
          </w:p>
        </w:tc>
        <w:tc>
          <w:tcPr>
            <w:tcW w:w="2127" w:type="dxa"/>
            <w:shd w:val="clear" w:color="auto" w:fill="auto"/>
          </w:tcPr>
          <w:p w14:paraId="659CA51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92例，好转89例</w:t>
            </w:r>
          </w:p>
        </w:tc>
      </w:tr>
      <w:tr w14:paraId="45B8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46DC556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2022</w:t>
            </w:r>
          </w:p>
        </w:tc>
        <w:tc>
          <w:tcPr>
            <w:tcW w:w="5880" w:type="dxa"/>
            <w:shd w:val="clear" w:color="auto" w:fill="auto"/>
          </w:tcPr>
          <w:p w14:paraId="12321AF3">
            <w:pPr>
              <w:pStyle w:val="29"/>
              <w:widowControl w:val="0"/>
              <w:spacing w:line="520" w:lineRule="exact"/>
              <w:ind w:firstLine="0" w:firstLineChars="0"/>
              <w:rPr>
                <w:rFonts w:ascii="仿宋_GB2312" w:eastAsia="仿宋_GB2312" w:cs="仿宋"/>
                <w:bCs/>
                <w:sz w:val="28"/>
                <w:szCs w:val="28"/>
              </w:rPr>
            </w:pPr>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15 g、罗布麻叶15 g、黑九牛（威灵仙）30 g、半夏12 g、白术20 g、茯苓20 g、陈皮12 g、菖蒲10g、天麻30 g、30 g（后下）、杜仲30 g 菊花10 g、葛根20 g、苦丁茶30 g、川牛膝15 g ，搭配使用药推、刺血等外治法</w:t>
            </w:r>
          </w:p>
        </w:tc>
        <w:tc>
          <w:tcPr>
            <w:tcW w:w="2127" w:type="dxa"/>
            <w:shd w:val="clear" w:color="auto" w:fill="auto"/>
          </w:tcPr>
          <w:p w14:paraId="6BC9D8BD">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107例，好转100例</w:t>
            </w:r>
          </w:p>
        </w:tc>
      </w:tr>
      <w:tr w14:paraId="12543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65CA8B8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2023</w:t>
            </w:r>
          </w:p>
        </w:tc>
        <w:tc>
          <w:tcPr>
            <w:tcW w:w="5880" w:type="dxa"/>
            <w:shd w:val="clear" w:color="auto" w:fill="auto"/>
          </w:tcPr>
          <w:p w14:paraId="1DE05782">
            <w:pPr>
              <w:pStyle w:val="29"/>
              <w:widowControl w:val="0"/>
              <w:spacing w:line="520" w:lineRule="exact"/>
              <w:ind w:firstLine="0" w:firstLineChars="0"/>
              <w:rPr>
                <w:rFonts w:ascii="仿宋_GB2312" w:eastAsia="仿宋_GB2312" w:cs="仿宋"/>
                <w:bCs/>
                <w:sz w:val="28"/>
                <w:szCs w:val="28"/>
              </w:rPr>
            </w:pPr>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15 g、罗布麻叶15 g、黑九牛（威灵仙）30 g、半夏12 g、白术20 g、茯苓20 g、陈皮12 g、菖蒲10g、天麻30 g、30 g（后下）、杜仲30 g 菊花10 g、葛根20 g、苦丁茶30 g、川牛膝15 g ，搭配使用药推、刺血等外治法</w:t>
            </w:r>
          </w:p>
        </w:tc>
        <w:tc>
          <w:tcPr>
            <w:tcW w:w="2127" w:type="dxa"/>
            <w:shd w:val="clear" w:color="auto" w:fill="auto"/>
          </w:tcPr>
          <w:p w14:paraId="01C6DA3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98例，好转92例</w:t>
            </w:r>
          </w:p>
        </w:tc>
      </w:tr>
      <w:tr w14:paraId="2755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24A2B291">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2024</w:t>
            </w:r>
          </w:p>
        </w:tc>
        <w:tc>
          <w:tcPr>
            <w:tcW w:w="5880" w:type="dxa"/>
            <w:shd w:val="clear" w:color="auto" w:fill="auto"/>
          </w:tcPr>
          <w:p w14:paraId="27B4ECFF">
            <w:pPr>
              <w:pStyle w:val="29"/>
              <w:widowControl w:val="0"/>
              <w:spacing w:line="520" w:lineRule="exact"/>
              <w:ind w:firstLine="0" w:firstLineChars="0"/>
              <w:rPr>
                <w:rFonts w:ascii="仿宋_GB2312" w:eastAsia="仿宋_GB2312" w:cs="仿宋"/>
                <w:bCs/>
                <w:sz w:val="28"/>
                <w:szCs w:val="28"/>
              </w:rPr>
            </w:pPr>
            <w:r>
              <w:rPr>
                <w:rFonts w:hint="eastAsia" w:hAnsi="宋体" w:cs="宋体"/>
                <w:bCs/>
                <w:sz w:val="28"/>
                <w:szCs w:val="28"/>
              </w:rPr>
              <w:t>豨</w:t>
            </w:r>
            <w:r>
              <w:rPr>
                <w:rFonts w:hint="eastAsia" w:ascii="仿宋_GB2312" w:hAnsi="仿宋_GB2312" w:eastAsia="仿宋_GB2312" w:cs="仿宋_GB2312"/>
                <w:bCs/>
                <w:sz w:val="28"/>
                <w:szCs w:val="28"/>
              </w:rPr>
              <w:t>莶草</w:t>
            </w:r>
            <w:r>
              <w:rPr>
                <w:rFonts w:hint="eastAsia" w:ascii="仿宋_GB2312" w:eastAsia="仿宋_GB2312" w:cs="仿宋"/>
                <w:bCs/>
                <w:sz w:val="28"/>
                <w:szCs w:val="28"/>
              </w:rPr>
              <w:t xml:space="preserve">15 g、罗布麻叶15 g、黑九牛（威灵仙）30 g、半夏12 g、白术20 g、茯苓20 g、陈皮12 g、菖蒲10g、天麻30 g、30 g（后下）、杜仲30 g 菊花10 g、葛根20 g、苦丁茶30 g、川牛膝15 g </w:t>
            </w:r>
            <w:bookmarkStart w:id="28" w:name="OLE_LINK70"/>
            <w:bookmarkStart w:id="29" w:name="OLE_LINK69"/>
            <w:r>
              <w:rPr>
                <w:rFonts w:hint="eastAsia" w:ascii="仿宋_GB2312" w:eastAsia="仿宋_GB2312" w:cs="仿宋"/>
                <w:bCs/>
                <w:sz w:val="28"/>
                <w:szCs w:val="28"/>
              </w:rPr>
              <w:t>，搭配使用药推、刺血等外治法</w:t>
            </w:r>
            <w:bookmarkEnd w:id="28"/>
            <w:bookmarkEnd w:id="29"/>
          </w:p>
        </w:tc>
        <w:tc>
          <w:tcPr>
            <w:tcW w:w="2127" w:type="dxa"/>
            <w:shd w:val="clear" w:color="auto" w:fill="auto"/>
          </w:tcPr>
          <w:p w14:paraId="6A3DE83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108例，好转100例</w:t>
            </w:r>
          </w:p>
        </w:tc>
      </w:tr>
    </w:tbl>
    <w:p w14:paraId="5B12C3A8">
      <w:pPr>
        <w:pStyle w:val="29"/>
        <w:spacing w:line="520" w:lineRule="exact"/>
        <w:ind w:firstLine="560"/>
        <w:rPr>
          <w:rFonts w:ascii="仿宋_GB2312" w:eastAsia="仿宋_GB2312" w:cs="仿宋"/>
          <w:bCs/>
          <w:sz w:val="28"/>
          <w:szCs w:val="28"/>
        </w:rPr>
      </w:pPr>
    </w:p>
    <w:p w14:paraId="0CE20600">
      <w:pPr>
        <w:pStyle w:val="29"/>
        <w:spacing w:line="520" w:lineRule="exact"/>
        <w:ind w:firstLine="562"/>
        <w:rPr>
          <w:rFonts w:ascii="仿宋_GB2312" w:eastAsia="仿宋_GB2312" w:cs="仿宋"/>
          <w:bCs/>
          <w:sz w:val="28"/>
          <w:szCs w:val="28"/>
        </w:rPr>
      </w:pPr>
      <w:bookmarkStart w:id="30" w:name="OLE_LINK4"/>
      <w:r>
        <w:rPr>
          <w:rFonts w:hint="eastAsia" w:ascii="仿宋_GB2312" w:eastAsia="仿宋_GB2312" w:cs="仿宋"/>
          <w:b/>
          <w:sz w:val="28"/>
          <w:szCs w:val="28"/>
        </w:rPr>
        <w:t>邪盈不盛而正亏不衰</w:t>
      </w:r>
      <w:r>
        <w:rPr>
          <w:rFonts w:hint="eastAsia" w:ascii="仿宋_GB2312" w:eastAsia="仿宋_GB2312" w:cs="仿宋"/>
          <w:bCs/>
          <w:sz w:val="28"/>
          <w:szCs w:val="28"/>
        </w:rPr>
        <w:t>：治则治法：风亏打盈，</w:t>
      </w:r>
      <w:bookmarkStart w:id="31" w:name="OLE_LINK64"/>
      <w:r>
        <w:rPr>
          <w:rFonts w:hint="eastAsia" w:ascii="仿宋_GB2312" w:eastAsia="仿宋_GB2312" w:cs="仿宋"/>
          <w:bCs/>
          <w:sz w:val="28"/>
          <w:szCs w:val="28"/>
        </w:rPr>
        <w:t>消阴痰，</w:t>
      </w:r>
      <w:bookmarkStart w:id="32" w:name="OLE_LINK65"/>
      <w:bookmarkStart w:id="33" w:name="OLE_LINK66"/>
      <w:r>
        <w:rPr>
          <w:rFonts w:hint="eastAsia" w:ascii="仿宋_GB2312" w:eastAsia="仿宋_GB2312" w:cs="仿宋"/>
          <w:bCs/>
          <w:sz w:val="28"/>
          <w:szCs w:val="28"/>
        </w:rPr>
        <w:t>补肝肾</w:t>
      </w:r>
      <w:bookmarkEnd w:id="31"/>
      <w:bookmarkEnd w:id="32"/>
      <w:bookmarkEnd w:id="33"/>
      <w:r>
        <w:rPr>
          <w:rFonts w:hint="eastAsia" w:ascii="仿宋_GB2312" w:eastAsia="仿宋_GB2312" w:cs="仿宋"/>
          <w:bCs/>
          <w:sz w:val="28"/>
          <w:szCs w:val="28"/>
        </w:rPr>
        <w:t>。</w:t>
      </w:r>
    </w:p>
    <w:p w14:paraId="0B54BA18">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ab/>
      </w:r>
      <w:r>
        <w:rPr>
          <w:rFonts w:hint="eastAsia" w:ascii="仿宋_GB2312" w:eastAsia="仿宋_GB2312" w:cs="仿宋"/>
          <w:bCs/>
          <w:sz w:val="28"/>
          <w:szCs w:val="28"/>
        </w:rPr>
        <w:t>方药：</w:t>
      </w:r>
      <w:bookmarkStart w:id="34" w:name="OLE_LINK68"/>
      <w:bookmarkStart w:id="35" w:name="OLE_LINK67"/>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w:t>
      </w:r>
      <w:bookmarkEnd w:id="34"/>
      <w:bookmarkEnd w:id="35"/>
      <w:r>
        <w:rPr>
          <w:rFonts w:hint="eastAsia" w:ascii="仿宋_GB2312" w:eastAsia="仿宋_GB2312" w:cs="仿宋"/>
          <w:bCs/>
          <w:sz w:val="28"/>
          <w:szCs w:val="28"/>
        </w:rPr>
        <w:t xml:space="preserve">。 </w:t>
      </w:r>
    </w:p>
    <w:p w14:paraId="30BA1EBE">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方解：</w:t>
      </w:r>
      <w:r>
        <w:rPr>
          <w:rFonts w:hint="eastAsia" w:ascii="仿宋_GB2312" w:eastAsia="仿宋_GB2312" w:cs="仿宋"/>
          <w:b/>
          <w:bCs/>
          <w:sz w:val="28"/>
          <w:szCs w:val="28"/>
        </w:rPr>
        <w:t>一身保暖（瑶药，别名暖骨风）、紫九牛（瑶药）</w:t>
      </w:r>
      <w:r>
        <w:rPr>
          <w:rFonts w:hint="eastAsia" w:ascii="仿宋_GB2312" w:eastAsia="仿宋_GB2312" w:cs="仿宋"/>
          <w:bCs/>
          <w:sz w:val="28"/>
          <w:szCs w:val="28"/>
        </w:rPr>
        <w:t>、天麻、</w:t>
      </w:r>
      <w:r>
        <w:rPr>
          <w:rFonts w:hint="eastAsia" w:ascii="仿宋_GB2312" w:eastAsia="仿宋_GB2312" w:cs="仿宋"/>
          <w:b/>
          <w:bCs/>
          <w:sz w:val="28"/>
          <w:szCs w:val="28"/>
        </w:rPr>
        <w:t>双钩钻（瑶药）</w:t>
      </w:r>
      <w:r>
        <w:rPr>
          <w:rFonts w:hint="eastAsia" w:ascii="仿宋_GB2312" w:eastAsia="仿宋_GB2312" w:cs="仿宋"/>
          <w:bCs/>
          <w:sz w:val="28"/>
          <w:szCs w:val="28"/>
        </w:rPr>
        <w:t xml:space="preserve">补肾养精、养血祛风、平肝潜阳为主药。杜仲、生地补肾生津，生石决明、桑叶、菊花、葛根清虚热，除烦，夜交藤镇静安神，上药共为配药。川牛膝为引路药。全方共奏消阴痰，补肝肾之功。 </w:t>
      </w:r>
    </w:p>
    <w:p w14:paraId="0D349624">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用法：水煎，分2次服，每天1剂。</w:t>
      </w:r>
    </w:p>
    <w:p w14:paraId="23BA912D">
      <w:pPr>
        <w:pStyle w:val="29"/>
        <w:spacing w:line="520" w:lineRule="exact"/>
        <w:ind w:firstLine="0" w:firstLineChars="0"/>
        <w:jc w:val="center"/>
        <w:rPr>
          <w:rFonts w:ascii="仿宋_GB2312" w:eastAsia="仿宋_GB2312" w:cs="仿宋"/>
          <w:bCs/>
          <w:sz w:val="28"/>
          <w:szCs w:val="28"/>
        </w:rPr>
      </w:pPr>
      <w:r>
        <w:rPr>
          <w:rFonts w:hint="eastAsia" w:ascii="黑体" w:hAnsi="黑体" w:eastAsia="黑体" w:cs="黑体"/>
          <w:bCs/>
          <w:sz w:val="24"/>
          <w:szCs w:val="24"/>
        </w:rPr>
        <w:t>邪盈不盛而正亏不衰病例以及诊疗记录</w:t>
      </w:r>
    </w:p>
    <w:tbl>
      <w:tblPr>
        <w:tblStyle w:val="1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5597"/>
        <w:gridCol w:w="2551"/>
      </w:tblGrid>
      <w:tr w14:paraId="78F3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032" w:type="dxa"/>
            <w:vAlign w:val="center"/>
          </w:tcPr>
          <w:p w14:paraId="229924D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年份</w:t>
            </w:r>
          </w:p>
        </w:tc>
        <w:tc>
          <w:tcPr>
            <w:tcW w:w="5597" w:type="dxa"/>
            <w:vAlign w:val="center"/>
          </w:tcPr>
          <w:p w14:paraId="331CDE22">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实际诊疗方法</w:t>
            </w:r>
          </w:p>
        </w:tc>
        <w:tc>
          <w:tcPr>
            <w:tcW w:w="2551" w:type="dxa"/>
            <w:vAlign w:val="center"/>
          </w:tcPr>
          <w:p w14:paraId="03292C18">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治疗效果</w:t>
            </w:r>
          </w:p>
        </w:tc>
      </w:tr>
      <w:tr w14:paraId="02F56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2" w:type="dxa"/>
            <w:shd w:val="clear" w:color="auto" w:fill="auto"/>
          </w:tcPr>
          <w:p w14:paraId="6C635AC8">
            <w:pPr>
              <w:pStyle w:val="29"/>
              <w:widowControl w:val="0"/>
              <w:spacing w:line="520" w:lineRule="exact"/>
              <w:ind w:firstLine="0" w:firstLineChars="0"/>
              <w:rPr>
                <w:rFonts w:ascii="仿宋_GB2312" w:eastAsia="仿宋_GB2312" w:cs="仿宋"/>
                <w:bCs/>
                <w:sz w:val="28"/>
                <w:szCs w:val="28"/>
              </w:rPr>
            </w:pPr>
            <w:bookmarkStart w:id="36" w:name="_Hlk199339868"/>
            <w:r>
              <w:rPr>
                <w:rFonts w:hint="eastAsia" w:ascii="仿宋_GB2312" w:eastAsia="仿宋_GB2312" w:cs="仿宋"/>
                <w:bCs/>
                <w:sz w:val="28"/>
                <w:szCs w:val="28"/>
              </w:rPr>
              <w:t>2019</w:t>
            </w:r>
          </w:p>
        </w:tc>
        <w:tc>
          <w:tcPr>
            <w:tcW w:w="5597" w:type="dxa"/>
            <w:shd w:val="clear" w:color="auto" w:fill="auto"/>
          </w:tcPr>
          <w:p w14:paraId="6B98C569">
            <w:pPr>
              <w:pStyle w:val="29"/>
              <w:widowControl w:val="0"/>
              <w:spacing w:line="520" w:lineRule="exact"/>
              <w:ind w:firstLine="0" w:firstLineChars="0"/>
              <w:rPr>
                <w:rFonts w:ascii="仿宋_GB2312" w:eastAsia="仿宋_GB2312" w:cs="仿宋"/>
                <w:bCs/>
                <w:sz w:val="28"/>
                <w:szCs w:val="28"/>
              </w:rPr>
            </w:pPr>
            <w:bookmarkStart w:id="37" w:name="OLE_LINK71"/>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g，搭配使用药推、刺血等外治法</w:t>
            </w:r>
            <w:bookmarkEnd w:id="37"/>
          </w:p>
        </w:tc>
        <w:tc>
          <w:tcPr>
            <w:tcW w:w="2551" w:type="dxa"/>
            <w:shd w:val="clear" w:color="auto" w:fill="auto"/>
          </w:tcPr>
          <w:p w14:paraId="197035C5">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90例，好转86例</w:t>
            </w:r>
          </w:p>
        </w:tc>
      </w:tr>
      <w:tr w14:paraId="41355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19308AF5">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2020</w:t>
            </w:r>
          </w:p>
        </w:tc>
        <w:tc>
          <w:tcPr>
            <w:tcW w:w="5597" w:type="dxa"/>
            <w:shd w:val="clear" w:color="auto" w:fill="auto"/>
          </w:tcPr>
          <w:p w14:paraId="2250AE99">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g，搭配使用药推、刺血等外治法</w:t>
            </w:r>
          </w:p>
        </w:tc>
        <w:tc>
          <w:tcPr>
            <w:tcW w:w="2551" w:type="dxa"/>
            <w:shd w:val="clear" w:color="auto" w:fill="auto"/>
          </w:tcPr>
          <w:p w14:paraId="2C7B9364">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98例，好转90例</w:t>
            </w:r>
          </w:p>
        </w:tc>
      </w:tr>
      <w:bookmarkEnd w:id="36"/>
      <w:tr w14:paraId="62FE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0718632F">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2021</w:t>
            </w:r>
          </w:p>
        </w:tc>
        <w:tc>
          <w:tcPr>
            <w:tcW w:w="5597" w:type="dxa"/>
            <w:shd w:val="clear" w:color="auto" w:fill="auto"/>
          </w:tcPr>
          <w:p w14:paraId="7D562C06">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g，搭配使用药推、刺血等外治法</w:t>
            </w:r>
          </w:p>
        </w:tc>
        <w:tc>
          <w:tcPr>
            <w:tcW w:w="2551" w:type="dxa"/>
            <w:shd w:val="clear" w:color="auto" w:fill="auto"/>
          </w:tcPr>
          <w:p w14:paraId="3782436A">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92例，好转89例</w:t>
            </w:r>
          </w:p>
        </w:tc>
      </w:tr>
      <w:tr w14:paraId="1813C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719998A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2022</w:t>
            </w:r>
          </w:p>
        </w:tc>
        <w:tc>
          <w:tcPr>
            <w:tcW w:w="5597" w:type="dxa"/>
            <w:shd w:val="clear" w:color="auto" w:fill="auto"/>
          </w:tcPr>
          <w:p w14:paraId="4AAAE5F5">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g，搭配使用药推、刺血等外治法</w:t>
            </w:r>
          </w:p>
        </w:tc>
        <w:tc>
          <w:tcPr>
            <w:tcW w:w="2551" w:type="dxa"/>
            <w:shd w:val="clear" w:color="auto" w:fill="auto"/>
          </w:tcPr>
          <w:p w14:paraId="133E3E2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107例，好转100例</w:t>
            </w:r>
          </w:p>
        </w:tc>
      </w:tr>
      <w:tr w14:paraId="6447E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0402F20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2023</w:t>
            </w:r>
          </w:p>
        </w:tc>
        <w:tc>
          <w:tcPr>
            <w:tcW w:w="5597" w:type="dxa"/>
            <w:shd w:val="clear" w:color="auto" w:fill="auto"/>
          </w:tcPr>
          <w:p w14:paraId="73DA026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g，搭配使用药推、刺血等外治法</w:t>
            </w:r>
          </w:p>
        </w:tc>
        <w:tc>
          <w:tcPr>
            <w:tcW w:w="2551" w:type="dxa"/>
            <w:shd w:val="clear" w:color="auto" w:fill="auto"/>
          </w:tcPr>
          <w:p w14:paraId="4B29076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98例，好转92例</w:t>
            </w:r>
          </w:p>
        </w:tc>
      </w:tr>
      <w:tr w14:paraId="1C212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752EEC8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2024</w:t>
            </w:r>
          </w:p>
        </w:tc>
        <w:tc>
          <w:tcPr>
            <w:tcW w:w="5597" w:type="dxa"/>
            <w:shd w:val="clear" w:color="auto" w:fill="auto"/>
          </w:tcPr>
          <w:p w14:paraId="1B24FB8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一身保暖30 g、紫九牛（翼核果）25 g、天麻15 g、双钩钻（钩藤）15 g(后下)、生石决明30 g(先煎)、杜仲15 g、川牛膝15 g、生地15 g、桑叶10 g、菊花10 g、葛根20 g、夜交藤30 g</w:t>
            </w:r>
            <w:bookmarkStart w:id="38" w:name="OLE_LINK78"/>
            <w:r>
              <w:rPr>
                <w:rFonts w:hint="eastAsia" w:ascii="仿宋_GB2312" w:eastAsia="仿宋_GB2312" w:cs="仿宋"/>
                <w:bCs/>
                <w:sz w:val="28"/>
                <w:szCs w:val="28"/>
              </w:rPr>
              <w:t>，搭配使用药推、刺血等外治法</w:t>
            </w:r>
            <w:bookmarkEnd w:id="38"/>
          </w:p>
        </w:tc>
        <w:tc>
          <w:tcPr>
            <w:tcW w:w="2551" w:type="dxa"/>
            <w:shd w:val="clear" w:color="auto" w:fill="auto"/>
          </w:tcPr>
          <w:p w14:paraId="3F66810E">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108例，好转100例</w:t>
            </w:r>
          </w:p>
        </w:tc>
      </w:tr>
    </w:tbl>
    <w:p w14:paraId="4DB69556">
      <w:pPr>
        <w:pStyle w:val="29"/>
        <w:spacing w:line="520" w:lineRule="exact"/>
        <w:ind w:firstLine="0" w:firstLineChars="0"/>
        <w:rPr>
          <w:rFonts w:ascii="仿宋_GB2312" w:eastAsia="仿宋_GB2312" w:cs="仿宋"/>
          <w:bCs/>
          <w:sz w:val="28"/>
          <w:szCs w:val="28"/>
        </w:rPr>
      </w:pPr>
    </w:p>
    <w:bookmarkEnd w:id="30"/>
    <w:p w14:paraId="24F3D867">
      <w:pPr>
        <w:pStyle w:val="29"/>
        <w:spacing w:line="520" w:lineRule="exact"/>
        <w:ind w:firstLine="562"/>
        <w:rPr>
          <w:rFonts w:ascii="仿宋_GB2312" w:eastAsia="仿宋_GB2312" w:cs="仿宋"/>
          <w:bCs/>
          <w:sz w:val="28"/>
          <w:szCs w:val="28"/>
        </w:rPr>
      </w:pPr>
      <w:r>
        <w:rPr>
          <w:rFonts w:hint="eastAsia" w:ascii="仿宋_GB2312" w:eastAsia="仿宋_GB2312" w:cs="仿宋"/>
          <w:b/>
          <w:sz w:val="28"/>
          <w:szCs w:val="28"/>
        </w:rPr>
        <w:t>邪盈过盛而正亏过衰</w:t>
      </w:r>
      <w:r>
        <w:rPr>
          <w:rFonts w:hint="eastAsia" w:ascii="仿宋_GB2312" w:eastAsia="仿宋_GB2312" w:cs="仿宋"/>
          <w:bCs/>
          <w:sz w:val="28"/>
          <w:szCs w:val="28"/>
        </w:rPr>
        <w:t>：治则治法：风亏打盈，</w:t>
      </w:r>
      <w:bookmarkStart w:id="39" w:name="OLE_LINK84"/>
      <w:bookmarkStart w:id="40" w:name="OLE_LINK83"/>
      <w:r>
        <w:rPr>
          <w:rFonts w:hint="eastAsia" w:ascii="仿宋_GB2312" w:eastAsia="仿宋_GB2312" w:cs="仿宋"/>
          <w:bCs/>
          <w:sz w:val="28"/>
          <w:szCs w:val="28"/>
        </w:rPr>
        <w:t>补虚损，平肝阳</w:t>
      </w:r>
      <w:bookmarkEnd w:id="39"/>
      <w:bookmarkEnd w:id="40"/>
      <w:r>
        <w:rPr>
          <w:rFonts w:hint="eastAsia" w:ascii="仿宋_GB2312" w:eastAsia="仿宋_GB2312" w:cs="仿宋"/>
          <w:bCs/>
          <w:sz w:val="28"/>
          <w:szCs w:val="28"/>
        </w:rPr>
        <w:t>。</w:t>
      </w:r>
    </w:p>
    <w:p w14:paraId="381A370A">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ab/>
      </w:r>
      <w:r>
        <w:rPr>
          <w:rFonts w:hint="eastAsia" w:ascii="仿宋_GB2312" w:eastAsia="仿宋_GB2312" w:cs="仿宋"/>
          <w:bCs/>
          <w:sz w:val="28"/>
          <w:szCs w:val="28"/>
        </w:rPr>
        <w:t>方药：</w:t>
      </w:r>
      <w:bookmarkStart w:id="41" w:name="OLE_LINK77"/>
      <w:r>
        <w:rPr>
          <w:rFonts w:hint="eastAsia" w:ascii="仿宋_GB2312" w:eastAsia="仿宋_GB2312" w:cs="仿宋"/>
          <w:bCs/>
          <w:sz w:val="28"/>
          <w:szCs w:val="28"/>
        </w:rPr>
        <w:t xml:space="preserve">九层风（密花豆）30 g、黄花倒水莲30 g、天麻15 g、双钩钻（钩藤）15 g～30 g(后下)、杜仲15 g、川牛膝15 g、枸杞20 g、生地15 g、山茱萸10 g、黄芩10 g、菊花20 g、苦丁茶30 g、生地15 g、白芍15 g </w:t>
      </w:r>
      <w:bookmarkEnd w:id="41"/>
    </w:p>
    <w:p w14:paraId="7C82DA54">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方解：</w:t>
      </w:r>
      <w:bookmarkStart w:id="42" w:name="OLE_LINK62"/>
      <w:bookmarkStart w:id="43" w:name="OLE_LINK63"/>
      <w:r>
        <w:rPr>
          <w:rFonts w:hint="eastAsia" w:ascii="仿宋_GB2312" w:eastAsia="仿宋_GB2312" w:cs="仿宋"/>
          <w:b/>
          <w:bCs/>
          <w:sz w:val="28"/>
          <w:szCs w:val="28"/>
        </w:rPr>
        <w:t>九层风（瑶药）</w:t>
      </w:r>
      <w:r>
        <w:rPr>
          <w:rFonts w:hint="eastAsia" w:ascii="仿宋_GB2312" w:eastAsia="仿宋_GB2312" w:cs="仿宋"/>
          <w:bCs/>
          <w:sz w:val="28"/>
          <w:szCs w:val="28"/>
        </w:rPr>
        <w:t>、</w:t>
      </w:r>
      <w:bookmarkStart w:id="44" w:name="OLE_LINK92"/>
      <w:bookmarkStart w:id="45" w:name="OLE_LINK91"/>
      <w:r>
        <w:rPr>
          <w:rFonts w:hint="eastAsia" w:ascii="仿宋_GB2312" w:eastAsia="仿宋_GB2312" w:cs="仿宋"/>
          <w:bCs/>
          <w:sz w:val="28"/>
          <w:szCs w:val="28"/>
        </w:rPr>
        <w:t>黄花倒水莲</w:t>
      </w:r>
      <w:bookmarkEnd w:id="44"/>
      <w:bookmarkEnd w:id="45"/>
      <w:r>
        <w:rPr>
          <w:rFonts w:hint="eastAsia" w:ascii="仿宋_GB2312" w:eastAsia="仿宋_GB2312" w:cs="仿宋"/>
          <w:bCs/>
          <w:sz w:val="28"/>
          <w:szCs w:val="28"/>
        </w:rPr>
        <w:t>、天麻、</w:t>
      </w:r>
      <w:r>
        <w:rPr>
          <w:rFonts w:hint="eastAsia" w:ascii="仿宋_GB2312" w:eastAsia="仿宋_GB2312" w:cs="仿宋"/>
          <w:b/>
          <w:bCs/>
          <w:sz w:val="28"/>
          <w:szCs w:val="28"/>
        </w:rPr>
        <w:t>双钩钻（瑶药）</w:t>
      </w:r>
      <w:r>
        <w:rPr>
          <w:rFonts w:hint="eastAsia" w:ascii="仿宋_GB2312" w:eastAsia="仿宋_GB2312" w:cs="仿宋"/>
          <w:bCs/>
          <w:sz w:val="28"/>
          <w:szCs w:val="28"/>
        </w:rPr>
        <w:t>滋补肝肾、平肝潜阳为主药。杜仲 、川牛膝 、枸杞配主药以补肾，生地、山茱萸滋补肾阴，黄芩、菊花、苦丁茶、生地清肝肾之虚热，白芍敛阴柔肝，上药共为配药。川牛膝补肝肾，并能引血下行，为引路药。全方诸药合之，共同发挥补虚损，平肝阳的作用。</w:t>
      </w:r>
      <w:bookmarkEnd w:id="42"/>
      <w:bookmarkEnd w:id="43"/>
    </w:p>
    <w:p w14:paraId="23E91203">
      <w:pPr>
        <w:pStyle w:val="29"/>
        <w:spacing w:line="520" w:lineRule="exact"/>
        <w:ind w:firstLine="560"/>
        <w:rPr>
          <w:rFonts w:ascii="仿宋_GB2312" w:eastAsia="仿宋_GB2312" w:cs="仿宋"/>
          <w:bCs/>
          <w:sz w:val="28"/>
          <w:szCs w:val="28"/>
        </w:rPr>
      </w:pPr>
      <w:r>
        <w:rPr>
          <w:rFonts w:hint="eastAsia" w:ascii="仿宋_GB2312" w:eastAsia="仿宋_GB2312" w:cs="仿宋"/>
          <w:bCs/>
          <w:sz w:val="28"/>
          <w:szCs w:val="28"/>
        </w:rPr>
        <w:t>用法：水煎，分2次服，每天1剂。</w:t>
      </w:r>
    </w:p>
    <w:p w14:paraId="3E265C21">
      <w:pPr>
        <w:pStyle w:val="29"/>
        <w:spacing w:line="520" w:lineRule="exact"/>
        <w:ind w:firstLine="0" w:firstLineChars="0"/>
        <w:jc w:val="center"/>
        <w:rPr>
          <w:rFonts w:ascii="仿宋_GB2312" w:eastAsia="仿宋_GB2312" w:cs="仿宋"/>
          <w:bCs/>
          <w:sz w:val="28"/>
          <w:szCs w:val="28"/>
        </w:rPr>
      </w:pPr>
      <w:r>
        <w:rPr>
          <w:rFonts w:hint="eastAsia" w:ascii="黑体" w:hAnsi="黑体" w:eastAsia="黑体" w:cs="黑体"/>
          <w:bCs/>
          <w:sz w:val="24"/>
          <w:szCs w:val="24"/>
        </w:rPr>
        <w:t>邪盈过盛而正亏过衰病例以及诊疗记录</w:t>
      </w:r>
    </w:p>
    <w:tbl>
      <w:tblPr>
        <w:tblStyle w:val="15"/>
        <w:tblW w:w="9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5926"/>
        <w:gridCol w:w="2308"/>
      </w:tblGrid>
      <w:tr w14:paraId="2C98D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032" w:type="dxa"/>
            <w:vAlign w:val="center"/>
          </w:tcPr>
          <w:p w14:paraId="1BA481D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年份</w:t>
            </w:r>
          </w:p>
        </w:tc>
        <w:tc>
          <w:tcPr>
            <w:tcW w:w="5926" w:type="dxa"/>
            <w:vAlign w:val="center"/>
          </w:tcPr>
          <w:p w14:paraId="5A52361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实际诊疗方法</w:t>
            </w:r>
          </w:p>
        </w:tc>
        <w:tc>
          <w:tcPr>
            <w:tcW w:w="2308" w:type="dxa"/>
            <w:vAlign w:val="center"/>
          </w:tcPr>
          <w:p w14:paraId="6282EC27">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治疗效果</w:t>
            </w:r>
          </w:p>
        </w:tc>
      </w:tr>
      <w:tr w14:paraId="6B96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2" w:type="dxa"/>
            <w:shd w:val="clear" w:color="auto" w:fill="auto"/>
          </w:tcPr>
          <w:p w14:paraId="61BB137A">
            <w:pPr>
              <w:pStyle w:val="29"/>
              <w:widowControl w:val="0"/>
              <w:spacing w:line="520" w:lineRule="exact"/>
              <w:ind w:firstLine="0" w:firstLineChars="0"/>
              <w:rPr>
                <w:rFonts w:ascii="仿宋_GB2312" w:eastAsia="仿宋_GB2312" w:cs="仿宋"/>
                <w:bCs/>
                <w:sz w:val="28"/>
                <w:szCs w:val="28"/>
              </w:rPr>
            </w:pPr>
            <w:bookmarkStart w:id="46" w:name="_Hlk199339981"/>
            <w:r>
              <w:rPr>
                <w:rFonts w:hint="eastAsia" w:ascii="仿宋_GB2312" w:eastAsia="仿宋_GB2312" w:cs="仿宋"/>
                <w:bCs/>
                <w:sz w:val="28"/>
                <w:szCs w:val="28"/>
              </w:rPr>
              <w:t>2019</w:t>
            </w:r>
          </w:p>
        </w:tc>
        <w:tc>
          <w:tcPr>
            <w:tcW w:w="5926" w:type="dxa"/>
            <w:shd w:val="clear" w:color="auto" w:fill="auto"/>
          </w:tcPr>
          <w:p w14:paraId="26C3E4D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7951D26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92例，好转88例</w:t>
            </w:r>
          </w:p>
        </w:tc>
      </w:tr>
      <w:tr w14:paraId="45AA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4FE2AF43">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2020</w:t>
            </w:r>
          </w:p>
        </w:tc>
        <w:tc>
          <w:tcPr>
            <w:tcW w:w="5926" w:type="dxa"/>
            <w:shd w:val="clear" w:color="auto" w:fill="auto"/>
          </w:tcPr>
          <w:p w14:paraId="171751B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409F3703">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100例，好转92例</w:t>
            </w:r>
          </w:p>
        </w:tc>
      </w:tr>
      <w:bookmarkEnd w:id="46"/>
      <w:tr w14:paraId="05902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0D8B8F89">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2021</w:t>
            </w:r>
          </w:p>
        </w:tc>
        <w:tc>
          <w:tcPr>
            <w:tcW w:w="5926" w:type="dxa"/>
            <w:shd w:val="clear" w:color="auto" w:fill="auto"/>
          </w:tcPr>
          <w:p w14:paraId="2293EA5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2269738A">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98例，好转90例</w:t>
            </w:r>
          </w:p>
        </w:tc>
      </w:tr>
      <w:tr w14:paraId="71A0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4E516B6B">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2022</w:t>
            </w:r>
          </w:p>
        </w:tc>
        <w:tc>
          <w:tcPr>
            <w:tcW w:w="5926" w:type="dxa"/>
            <w:shd w:val="clear" w:color="auto" w:fill="auto"/>
          </w:tcPr>
          <w:p w14:paraId="278373D4">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6DF2C0F6">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104例，好转100例</w:t>
            </w:r>
          </w:p>
        </w:tc>
      </w:tr>
      <w:tr w14:paraId="3FBFE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29502396">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2023</w:t>
            </w:r>
          </w:p>
        </w:tc>
        <w:tc>
          <w:tcPr>
            <w:tcW w:w="5926" w:type="dxa"/>
            <w:shd w:val="clear" w:color="auto" w:fill="auto"/>
          </w:tcPr>
          <w:p w14:paraId="113BD69F">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23288A7F">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99例，好转95例</w:t>
            </w:r>
          </w:p>
        </w:tc>
      </w:tr>
      <w:tr w14:paraId="2B1A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 w:type="dxa"/>
            <w:shd w:val="clear" w:color="auto" w:fill="auto"/>
          </w:tcPr>
          <w:p w14:paraId="6EE87C53">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2024</w:t>
            </w:r>
          </w:p>
        </w:tc>
        <w:tc>
          <w:tcPr>
            <w:tcW w:w="5926" w:type="dxa"/>
            <w:shd w:val="clear" w:color="auto" w:fill="auto"/>
          </w:tcPr>
          <w:p w14:paraId="2F2CFE7C">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九层风（密花豆）30 g、黄花倒水莲30 g、天麻15 g、双钩钻（钩藤）15 g～30 g(后下)、杜仲15 g、川牛膝15 g、枸杞20 g、生地15 g、山茱萸10 g、黄芩10 g、菊花20 g、苦丁茶30 g、生地15 g、白芍15 g，搭配使用药推、刺血等外治法</w:t>
            </w:r>
          </w:p>
        </w:tc>
        <w:tc>
          <w:tcPr>
            <w:tcW w:w="2308" w:type="dxa"/>
            <w:shd w:val="clear" w:color="auto" w:fill="auto"/>
          </w:tcPr>
          <w:p w14:paraId="5193A160">
            <w:pPr>
              <w:pStyle w:val="29"/>
              <w:widowControl w:val="0"/>
              <w:spacing w:line="520" w:lineRule="exact"/>
              <w:ind w:firstLine="0" w:firstLineChars="0"/>
              <w:rPr>
                <w:rFonts w:ascii="仿宋_GB2312" w:eastAsia="仿宋_GB2312" w:cs="仿宋"/>
                <w:bCs/>
                <w:sz w:val="28"/>
                <w:szCs w:val="28"/>
              </w:rPr>
            </w:pPr>
            <w:r>
              <w:rPr>
                <w:rFonts w:hint="eastAsia" w:ascii="仿宋_GB2312" w:eastAsia="仿宋_GB2312" w:cs="仿宋"/>
                <w:bCs/>
                <w:sz w:val="28"/>
                <w:szCs w:val="28"/>
              </w:rPr>
              <w:t>104例，好转98例</w:t>
            </w:r>
          </w:p>
        </w:tc>
      </w:tr>
    </w:tbl>
    <w:p w14:paraId="14315343">
      <w:pPr>
        <w:pStyle w:val="29"/>
        <w:spacing w:line="520" w:lineRule="exact"/>
        <w:ind w:firstLine="0" w:firstLineChars="0"/>
        <w:rPr>
          <w:rFonts w:ascii="仿宋_GB2312" w:eastAsia="仿宋_GB2312" w:cs="仿宋"/>
          <w:bCs/>
          <w:sz w:val="28"/>
          <w:szCs w:val="28"/>
        </w:rPr>
      </w:pPr>
    </w:p>
    <w:p w14:paraId="4EACFEA8">
      <w:pPr>
        <w:pStyle w:val="29"/>
        <w:ind w:firstLine="562"/>
        <w:rPr>
          <w:rFonts w:ascii="仿宋_GB2312" w:eastAsia="仿宋_GB2312" w:cs="仿宋"/>
          <w:bCs/>
          <w:color w:val="00B0F0"/>
          <w:sz w:val="28"/>
          <w:szCs w:val="28"/>
        </w:rPr>
      </w:pPr>
      <w:r>
        <w:rPr>
          <w:rFonts w:hint="eastAsia" w:ascii="仿宋_GB2312" w:eastAsia="仿宋_GB2312" w:cs="仿宋"/>
          <w:b/>
          <w:sz w:val="28"/>
          <w:szCs w:val="28"/>
        </w:rPr>
        <w:t>外治法参考《瑶医优势病种诊疗操作指南》，主要包括以下疗法：</w:t>
      </w:r>
    </w:p>
    <w:p w14:paraId="1921476D">
      <w:pPr>
        <w:pStyle w:val="29"/>
        <w:ind w:firstLine="560"/>
        <w:rPr>
          <w:rFonts w:ascii="仿宋_GB2312" w:eastAsia="仿宋_GB2312" w:cs="仿宋"/>
          <w:bCs/>
          <w:sz w:val="28"/>
          <w:szCs w:val="28"/>
        </w:rPr>
      </w:pPr>
      <w:r>
        <w:rPr>
          <w:rFonts w:hint="eastAsia" w:ascii="仿宋_GB2312" w:eastAsia="仿宋_GB2312" w:cs="仿宋"/>
          <w:bCs/>
          <w:sz w:val="28"/>
          <w:szCs w:val="28"/>
        </w:rPr>
        <w:t>1.瑶医药推疗法</w:t>
      </w:r>
    </w:p>
    <w:p w14:paraId="715D894D">
      <w:pPr>
        <w:pStyle w:val="29"/>
        <w:ind w:firstLine="560"/>
        <w:rPr>
          <w:rFonts w:hint="eastAsia" w:ascii="仿宋_GB2312" w:eastAsia="仿宋_GB2312" w:cs="仿宋"/>
          <w:bCs/>
          <w:sz w:val="28"/>
          <w:szCs w:val="28"/>
          <w:lang w:eastAsia="zh-CN"/>
        </w:rPr>
      </w:pPr>
      <w:r>
        <w:rPr>
          <w:rFonts w:hint="eastAsia" w:ascii="仿宋_GB2312" w:eastAsia="仿宋_GB2312" w:cs="仿宋"/>
          <w:bCs/>
          <w:sz w:val="28"/>
          <w:szCs w:val="28"/>
        </w:rPr>
        <w:t>方法一 方药：鬼针草30g  救必应30g  豨签草40g</w:t>
      </w:r>
      <w:r>
        <w:rPr>
          <w:rFonts w:hint="eastAsia" w:ascii="仿宋_GB2312" w:eastAsia="仿宋_GB2312" w:cs="仿宋"/>
          <w:bCs/>
          <w:sz w:val="28"/>
          <w:szCs w:val="28"/>
          <w:lang w:eastAsia="zh-CN"/>
        </w:rPr>
        <w:t>。</w:t>
      </w:r>
      <w:bookmarkStart w:id="49" w:name="_GoBack"/>
      <w:bookmarkEnd w:id="49"/>
    </w:p>
    <w:p w14:paraId="01BD4781">
      <w:pPr>
        <w:pStyle w:val="29"/>
        <w:ind w:firstLine="560"/>
        <w:rPr>
          <w:rFonts w:ascii="仿宋_GB2312" w:eastAsia="仿宋_GB2312" w:cs="仿宋"/>
          <w:bCs/>
          <w:sz w:val="28"/>
          <w:szCs w:val="28"/>
        </w:rPr>
      </w:pPr>
      <w:r>
        <w:rPr>
          <w:rFonts w:hint="eastAsia" w:ascii="仿宋_GB2312" w:eastAsia="仿宋_GB2312" w:cs="仿宋"/>
          <w:bCs/>
          <w:sz w:val="28"/>
          <w:szCs w:val="28"/>
        </w:rPr>
        <w:t xml:space="preserve">用法：将上述药材碾碎，用鲜芦荟搅拌，再用纱布将药泥包成长条状，蒸10分钟即可。取出后推一推额头、颈部等到部位，即可起到一定的降血压作用。 </w:t>
      </w:r>
    </w:p>
    <w:p w14:paraId="30A6A8AF">
      <w:pPr>
        <w:pStyle w:val="29"/>
        <w:ind w:firstLine="560"/>
        <w:rPr>
          <w:rFonts w:ascii="仿宋_GB2312" w:eastAsia="仿宋_GB2312" w:cs="仿宋"/>
          <w:bCs/>
          <w:sz w:val="28"/>
          <w:szCs w:val="28"/>
        </w:rPr>
      </w:pPr>
      <w:r>
        <w:rPr>
          <w:rFonts w:hint="eastAsia" w:ascii="仿宋_GB2312" w:eastAsia="仿宋_GB2312" w:cs="仿宋"/>
          <w:bCs/>
          <w:sz w:val="28"/>
          <w:szCs w:val="28"/>
        </w:rPr>
        <w:t>方法二 方药：桔叶2张、生姜适量，食盐少许，先将上药共捣烂，轻症者以少许开水浸泡，重症者以净水煮沸5分钟，并将上药捣烂，用水煮沸，然后倒在干净纸上放地面凉冷，待药至温以纱布包之即行推刮。操作时两手拇、食指各捏药姜一片或药姜一撮，两手对持，用力适中，由印堂开始缓缓向上推过神庭，达顶百会，继往后推至大椎止。然后再从印堂由内向外上推至两侧头维穴。复由印堂向外推至两侧太阳穴，如法推刮8次即可。此法可治疗眩晕。</w:t>
      </w:r>
    </w:p>
    <w:p w14:paraId="45B88468">
      <w:pPr>
        <w:pStyle w:val="29"/>
        <w:ind w:firstLine="562"/>
        <w:rPr>
          <w:rFonts w:ascii="仿宋_GB2312" w:eastAsia="仿宋_GB2312" w:cs="仿宋"/>
          <w:bCs/>
          <w:sz w:val="28"/>
          <w:szCs w:val="28"/>
        </w:rPr>
      </w:pPr>
      <w:r>
        <w:rPr>
          <w:rFonts w:hint="eastAsia" w:ascii="仿宋_GB2312" w:eastAsia="仿宋_GB2312" w:cs="仿宋"/>
          <w:b/>
          <w:bCs/>
          <w:sz w:val="28"/>
          <w:szCs w:val="28"/>
        </w:rPr>
        <w:t>在治疗上可以通过疏通经络，将病邪排出体外，调节人体盈亏使之平衡，使人体恢复健康。</w:t>
      </w:r>
      <w:r>
        <w:rPr>
          <w:rFonts w:hint="eastAsia" w:ascii="仿宋_GB2312" w:eastAsia="仿宋_GB2312" w:cs="仿宋"/>
          <w:bCs/>
          <w:sz w:val="28"/>
          <w:szCs w:val="28"/>
        </w:rPr>
        <w:t>在具体治疗方法上可采用疏通脉道、开启筋脉的艾灸、刺血、刮痧等瑶医特色疗法，也可达到很好的降压效果。</w:t>
      </w:r>
    </w:p>
    <w:p w14:paraId="0F17567A">
      <w:pPr>
        <w:pStyle w:val="29"/>
        <w:ind w:firstLine="560"/>
        <w:rPr>
          <w:rFonts w:ascii="仿宋_GB2312" w:eastAsia="仿宋_GB2312" w:cs="仿宋"/>
          <w:bCs/>
          <w:sz w:val="28"/>
          <w:szCs w:val="28"/>
        </w:rPr>
      </w:pPr>
      <w:r>
        <w:rPr>
          <w:rFonts w:hint="eastAsia" w:ascii="仿宋_GB2312" w:eastAsia="仿宋_GB2312" w:cs="仿宋"/>
          <w:bCs/>
          <w:sz w:val="28"/>
          <w:szCs w:val="28"/>
        </w:rPr>
        <w:t>2.瑶医刺血疗法：术者左手拇、食指分别捏起患者百会、印堂、太阳、大椎、曲池、委中等各穴，右手执消毒好的三棱针将捏起的穴位速刺破出血，再反复挤血、抹血、直至难挤出血为止。另外，点刺涌泉，可治疗高血压导致的眩晕，针刺太阳穴附近的凹陷处瘀阻明显的血络，可治疗内耳眩晕症。</w:t>
      </w:r>
    </w:p>
    <w:p w14:paraId="7531D6A7">
      <w:pPr>
        <w:pStyle w:val="29"/>
        <w:ind w:firstLine="560"/>
        <w:rPr>
          <w:rFonts w:ascii="仿宋_GB2312" w:eastAsia="仿宋_GB2312" w:cs="仿宋"/>
          <w:bCs/>
          <w:sz w:val="28"/>
          <w:szCs w:val="28"/>
        </w:rPr>
      </w:pPr>
      <w:r>
        <w:rPr>
          <w:rFonts w:hint="eastAsia" w:ascii="仿宋_GB2312" w:eastAsia="仿宋_GB2312" w:cs="仿宋"/>
          <w:bCs/>
          <w:sz w:val="28"/>
          <w:szCs w:val="28"/>
        </w:rPr>
        <w:t>3.瑶医药枕法：</w:t>
      </w:r>
    </w:p>
    <w:p w14:paraId="61B0B875">
      <w:pPr>
        <w:pStyle w:val="29"/>
        <w:ind w:firstLine="560"/>
        <w:rPr>
          <w:rFonts w:ascii="仿宋_GB2312" w:eastAsia="仿宋_GB2312" w:cs="仿宋"/>
          <w:bCs/>
          <w:sz w:val="28"/>
          <w:szCs w:val="28"/>
        </w:rPr>
      </w:pPr>
      <w:r>
        <w:rPr>
          <w:rFonts w:hint="eastAsia" w:ascii="仿宋_GB2312" w:eastAsia="仿宋_GB2312" w:cs="仿宋"/>
          <w:bCs/>
          <w:sz w:val="28"/>
          <w:szCs w:val="28"/>
        </w:rPr>
        <w:t>方一：杭菊花500克，冬桑叶500克，野菊花500克，辛荑500克，薄荷200克，红花100克，冰片50克。上药除冰片外共研细末，再和入冰片，装入枕芯，做成药枕，令病者枕之，3个月为一疗程，每日使用不少于6小时。本枕亦可治高血压、动脉硬化、脑震荡引起的眩晕，脑血栓后遗症引起的头部不适等。</w:t>
      </w:r>
    </w:p>
    <w:p w14:paraId="4A800720">
      <w:pPr>
        <w:pStyle w:val="29"/>
        <w:ind w:firstLine="560"/>
        <w:rPr>
          <w:rFonts w:ascii="仿宋_GB2312" w:eastAsia="仿宋_GB2312" w:cs="仿宋"/>
          <w:bCs/>
          <w:sz w:val="28"/>
          <w:szCs w:val="28"/>
        </w:rPr>
      </w:pPr>
      <w:r>
        <w:rPr>
          <w:rFonts w:hint="eastAsia" w:ascii="仿宋_GB2312" w:eastAsia="仿宋_GB2312" w:cs="仿宋"/>
          <w:bCs/>
          <w:sz w:val="28"/>
          <w:szCs w:val="28"/>
        </w:rPr>
        <w:t>方二：菊花1000克，丹皮200克，川芎400克，白芷200克，上药共研细末，装入枕芯，做成药枕，令病者枕之。3个月为一疗程。体胖，午后潮热者，丹皮可加至300克；头痛遇寒即发者，另加细辛200克；对白芷气味不适者，可酌减白芷用量。本枕可治高血压之眩晕、内耳眩晕症等。应该注意的是，癫痫患者不宜使用本枕。</w:t>
      </w:r>
    </w:p>
    <w:p w14:paraId="1B564E57">
      <w:pPr>
        <w:pStyle w:val="29"/>
        <w:ind w:firstLine="560"/>
        <w:rPr>
          <w:rFonts w:ascii="仿宋_GB2312" w:eastAsia="仿宋_GB2312" w:cs="仿宋"/>
          <w:bCs/>
          <w:sz w:val="28"/>
          <w:szCs w:val="28"/>
        </w:rPr>
      </w:pPr>
      <w:r>
        <w:rPr>
          <w:rFonts w:hint="eastAsia" w:ascii="仿宋_GB2312" w:eastAsia="仿宋_GB2312" w:cs="仿宋"/>
          <w:bCs/>
          <w:sz w:val="28"/>
          <w:szCs w:val="28"/>
        </w:rPr>
        <w:t>方三：生石膏适量，打碎，装入枕芯，做成睡枕，令病者使用。</w:t>
      </w:r>
    </w:p>
    <w:p w14:paraId="752CCEB5">
      <w:pPr>
        <w:pStyle w:val="29"/>
        <w:ind w:firstLine="560"/>
        <w:rPr>
          <w:rFonts w:ascii="仿宋_GB2312" w:eastAsia="仿宋_GB2312" w:cs="仿宋"/>
          <w:bCs/>
          <w:sz w:val="28"/>
          <w:szCs w:val="28"/>
        </w:rPr>
      </w:pPr>
      <w:r>
        <w:rPr>
          <w:rFonts w:hint="eastAsia" w:ascii="仿宋_GB2312" w:eastAsia="仿宋_GB2312" w:cs="仿宋"/>
          <w:bCs/>
          <w:sz w:val="28"/>
          <w:szCs w:val="28"/>
        </w:rPr>
        <w:t>4.瑶医脐药疗法：制吴茱萸500克，龙胆草醇提取物6克，硫黄50克，醋制白矾100克，朱砂50克，环戊甲噻嗪0.175克。共研细末，装瓶备用。每用0.2克左右的填脐窝，外敷棉球固定。每周换药1次，适用于高血压，头晕头痛，属肝热者效佳，虚则不宜。</w:t>
      </w:r>
    </w:p>
    <w:p w14:paraId="0DE98FAB">
      <w:pPr>
        <w:pStyle w:val="29"/>
        <w:ind w:firstLine="562"/>
        <w:rPr>
          <w:rFonts w:ascii="仿宋_GB2312" w:eastAsia="仿宋_GB2312" w:cs="仿宋"/>
          <w:b/>
          <w:bCs/>
          <w:sz w:val="28"/>
          <w:szCs w:val="28"/>
        </w:rPr>
      </w:pPr>
      <w:r>
        <w:rPr>
          <w:rFonts w:hint="eastAsia" w:ascii="仿宋_GB2312" w:eastAsia="仿宋_GB2312" w:cs="仿宋"/>
          <w:b/>
          <w:bCs/>
          <w:sz w:val="28"/>
          <w:szCs w:val="28"/>
        </w:rPr>
        <w:t>（四）禁忌症和慎用症</w:t>
      </w:r>
    </w:p>
    <w:p w14:paraId="2EBFB449">
      <w:pPr>
        <w:pStyle w:val="29"/>
        <w:ind w:firstLine="560"/>
        <w:rPr>
          <w:rFonts w:ascii="仿宋_GB2312" w:eastAsia="仿宋_GB2312" w:cs="仿宋"/>
          <w:bCs/>
          <w:sz w:val="28"/>
          <w:szCs w:val="28"/>
        </w:rPr>
      </w:pPr>
      <w:r>
        <w:rPr>
          <w:rFonts w:hint="eastAsia" w:ascii="仿宋_GB2312" w:eastAsia="仿宋_GB2312" w:cs="仿宋"/>
          <w:bCs/>
          <w:sz w:val="28"/>
          <w:szCs w:val="28"/>
        </w:rPr>
        <w:t>禁忌症：皮肤破损患者不应使用瑶医药推疗法</w:t>
      </w:r>
      <w:bookmarkStart w:id="47" w:name="OLE_LINK94"/>
      <w:bookmarkStart w:id="48" w:name="OLE_LINK95"/>
      <w:r>
        <w:rPr>
          <w:rFonts w:hint="eastAsia" w:ascii="仿宋_GB2312" w:eastAsia="仿宋_GB2312" w:cs="仿宋"/>
          <w:bCs/>
          <w:sz w:val="28"/>
          <w:szCs w:val="28"/>
        </w:rPr>
        <w:t>。</w:t>
      </w:r>
      <w:bookmarkEnd w:id="47"/>
      <w:bookmarkEnd w:id="48"/>
      <w:r>
        <w:rPr>
          <w:rFonts w:hint="eastAsia" w:ascii="仿宋_GB2312" w:eastAsia="仿宋_GB2312" w:cs="仿宋"/>
          <w:bCs/>
          <w:sz w:val="28"/>
          <w:szCs w:val="28"/>
        </w:rPr>
        <w:t>7癫痫患者不应使用瑶医药枕法。体虚患者不应使用瑶医脐药疗法。对方药中的药物有过敏史者忌用。</w:t>
      </w:r>
    </w:p>
    <w:p w14:paraId="06FE5C88">
      <w:pPr>
        <w:pStyle w:val="29"/>
        <w:ind w:firstLine="560"/>
        <w:rPr>
          <w:rFonts w:ascii="仿宋_GB2312" w:eastAsia="仿宋_GB2312" w:cs="仿宋"/>
          <w:bCs/>
          <w:sz w:val="28"/>
          <w:szCs w:val="28"/>
        </w:rPr>
      </w:pPr>
      <w:r>
        <w:rPr>
          <w:rFonts w:hint="eastAsia" w:ascii="仿宋_GB2312" w:eastAsia="仿宋_GB2312" w:cs="仿宋"/>
          <w:bCs/>
          <w:sz w:val="28"/>
          <w:szCs w:val="28"/>
        </w:rPr>
        <w:t>慎用症：孕妇、产妇、儿童慎用。</w:t>
      </w:r>
    </w:p>
    <w:p w14:paraId="679FE0AC">
      <w:pPr>
        <w:pStyle w:val="29"/>
        <w:ind w:firstLine="562"/>
        <w:rPr>
          <w:rFonts w:ascii="仿宋_GB2312" w:eastAsia="仿宋_GB2312" w:cs="仿宋"/>
          <w:b/>
          <w:bCs/>
          <w:sz w:val="28"/>
          <w:szCs w:val="28"/>
        </w:rPr>
      </w:pPr>
      <w:r>
        <w:rPr>
          <w:rFonts w:hint="eastAsia" w:ascii="仿宋_GB2312" w:eastAsia="仿宋_GB2312" w:cs="仿宋"/>
          <w:b/>
          <w:bCs/>
          <w:sz w:val="28"/>
          <w:szCs w:val="28"/>
        </w:rPr>
        <w:t>（五）日常调护</w:t>
      </w:r>
    </w:p>
    <w:p w14:paraId="138371E4">
      <w:pPr>
        <w:pStyle w:val="29"/>
        <w:ind w:firstLine="562"/>
        <w:rPr>
          <w:rFonts w:ascii="仿宋_GB2312" w:eastAsia="仿宋_GB2312" w:cs="仿宋"/>
          <w:bCs/>
          <w:sz w:val="28"/>
          <w:szCs w:val="28"/>
        </w:rPr>
      </w:pPr>
      <w:r>
        <w:rPr>
          <w:rFonts w:hint="eastAsia" w:ascii="仿宋_GB2312" w:eastAsia="仿宋_GB2312" w:cs="仿宋"/>
          <w:b/>
          <w:bCs/>
          <w:sz w:val="28"/>
          <w:szCs w:val="28"/>
        </w:rPr>
        <w:t>饮食控制</w:t>
      </w:r>
      <w:r>
        <w:rPr>
          <w:rFonts w:hint="eastAsia" w:ascii="仿宋_GB2312" w:eastAsia="仿宋_GB2312" w:cs="仿宋"/>
          <w:bCs/>
          <w:sz w:val="28"/>
          <w:szCs w:val="28"/>
        </w:rPr>
        <w:t>：忌饮食过饱，宜减少钠盐的摄入，食物以清淡而营养丰富为佳，多吃芹菜、茼蒿、苋莱、韭菜、黄花菜、荠莱、菠菜具有减压作用的食物。宜食用粗粮、杂粮。不应滥用药物，应遵医嘱，按时、按量服用药物。</w:t>
      </w:r>
    </w:p>
    <w:p w14:paraId="3F4FB5FC">
      <w:pPr>
        <w:pStyle w:val="29"/>
        <w:ind w:firstLine="562"/>
        <w:rPr>
          <w:rFonts w:ascii="仿宋_GB2312" w:eastAsia="仿宋_GB2312" w:cs="仿宋"/>
          <w:bCs/>
          <w:sz w:val="28"/>
          <w:szCs w:val="28"/>
        </w:rPr>
      </w:pPr>
      <w:r>
        <w:rPr>
          <w:rFonts w:hint="eastAsia" w:ascii="仿宋_GB2312" w:eastAsia="仿宋_GB2312" w:cs="仿宋"/>
          <w:b/>
          <w:bCs/>
          <w:sz w:val="28"/>
          <w:szCs w:val="28"/>
        </w:rPr>
        <w:t>运动</w:t>
      </w:r>
      <w:r>
        <w:rPr>
          <w:rFonts w:hint="eastAsia" w:ascii="仿宋_GB2312" w:eastAsia="仿宋_GB2312" w:cs="仿宋"/>
          <w:bCs/>
          <w:sz w:val="28"/>
          <w:szCs w:val="28"/>
        </w:rPr>
        <w:t>：血压过高时当卧床休息，不可随意走动。控制体重，肥胖者宜适当减肥。</w:t>
      </w:r>
    </w:p>
    <w:p w14:paraId="38B171B1">
      <w:pPr>
        <w:pStyle w:val="29"/>
        <w:ind w:firstLine="562"/>
        <w:rPr>
          <w:rFonts w:ascii="仿宋_GB2312" w:eastAsia="仿宋_GB2312" w:cs="仿宋"/>
          <w:bCs/>
          <w:sz w:val="28"/>
          <w:szCs w:val="28"/>
        </w:rPr>
      </w:pPr>
      <w:r>
        <w:rPr>
          <w:rFonts w:hint="eastAsia" w:ascii="仿宋_GB2312" w:eastAsia="仿宋_GB2312" w:cs="仿宋"/>
          <w:b/>
          <w:bCs/>
          <w:sz w:val="28"/>
          <w:szCs w:val="28"/>
        </w:rPr>
        <w:t>生活习惯</w:t>
      </w:r>
      <w:r>
        <w:rPr>
          <w:rFonts w:hint="eastAsia" w:ascii="仿宋_GB2312" w:eastAsia="仿宋_GB2312" w:cs="仿宋"/>
          <w:bCs/>
          <w:sz w:val="28"/>
          <w:szCs w:val="28"/>
        </w:rPr>
        <w:t>：戒烟，限制饮酒。沐浴时水温不宜过高。保证睡眠，忌过度疲劳。</w:t>
      </w:r>
    </w:p>
    <w:p w14:paraId="31D1097C">
      <w:pPr>
        <w:pStyle w:val="29"/>
        <w:ind w:firstLine="562"/>
        <w:rPr>
          <w:rFonts w:ascii="仿宋_GB2312" w:eastAsia="仿宋_GB2312" w:cs="仿宋"/>
          <w:bCs/>
          <w:sz w:val="28"/>
          <w:szCs w:val="28"/>
        </w:rPr>
      </w:pPr>
      <w:r>
        <w:rPr>
          <w:rFonts w:hint="eastAsia" w:ascii="仿宋_GB2312" w:eastAsia="仿宋_GB2312" w:cs="仿宋"/>
          <w:b/>
          <w:bCs/>
          <w:sz w:val="28"/>
          <w:szCs w:val="28"/>
        </w:rPr>
        <w:t>情志护理</w:t>
      </w:r>
      <w:r>
        <w:rPr>
          <w:rFonts w:hint="eastAsia" w:ascii="仿宋_GB2312" w:eastAsia="仿宋_GB2312" w:cs="仿宋"/>
          <w:bCs/>
          <w:sz w:val="28"/>
          <w:szCs w:val="28"/>
        </w:rPr>
        <w:t>：避免情志刺激，如暴怒、忧虑、悲伤、烦恼、焦急等。</w:t>
      </w:r>
    </w:p>
    <w:p w14:paraId="3291E6DA">
      <w:pPr>
        <w:pStyle w:val="31"/>
        <w:numPr>
          <w:ilvl w:val="0"/>
          <w:numId w:val="0"/>
        </w:numPr>
        <w:spacing w:beforeLines="0" w:afterLines="0" w:line="360" w:lineRule="auto"/>
        <w:rPr>
          <w:bCs/>
          <w:sz w:val="32"/>
          <w:szCs w:val="32"/>
        </w:rPr>
      </w:pPr>
      <w:r>
        <w:rPr>
          <w:rFonts w:hint="eastAsia"/>
          <w:b/>
          <w:bCs/>
          <w:sz w:val="32"/>
          <w:szCs w:val="32"/>
        </w:rPr>
        <w:t>六</w:t>
      </w:r>
      <w:r>
        <w:rPr>
          <w:rFonts w:hint="eastAsia"/>
          <w:bCs/>
          <w:sz w:val="32"/>
          <w:szCs w:val="32"/>
        </w:rPr>
        <w:t>、</w:t>
      </w:r>
      <w:r>
        <w:rPr>
          <w:rFonts w:hint="eastAsia"/>
          <w:sz w:val="32"/>
          <w:szCs w:val="32"/>
        </w:rPr>
        <w:t>重大意见分歧的处理依据和结果</w:t>
      </w:r>
    </w:p>
    <w:p w14:paraId="77488839">
      <w:pPr>
        <w:spacing w:line="520" w:lineRule="exact"/>
        <w:ind w:firstLine="560" w:firstLineChars="200"/>
        <w:rPr>
          <w:rFonts w:ascii="仿宋_GB2312" w:eastAsia="仿宋_GB2312"/>
          <w:sz w:val="28"/>
          <w:szCs w:val="28"/>
        </w:rPr>
      </w:pPr>
      <w:r>
        <w:rPr>
          <w:rFonts w:hint="eastAsia" w:ascii="仿宋_GB2312" w:eastAsia="仿宋_GB2312"/>
          <w:sz w:val="28"/>
          <w:szCs w:val="28"/>
        </w:rPr>
        <w:t>本标准研制过程中无重大分歧意见。</w:t>
      </w:r>
    </w:p>
    <w:p w14:paraId="54323522">
      <w:pPr>
        <w:autoSpaceDE w:val="0"/>
        <w:autoSpaceDN w:val="0"/>
        <w:adjustRightInd w:val="0"/>
        <w:spacing w:before="156" w:beforeLines="50" w:after="156" w:afterLines="50" w:line="520" w:lineRule="exact"/>
        <w:ind w:firstLine="640" w:firstLineChars="200"/>
        <w:outlineLvl w:val="0"/>
        <w:rPr>
          <w:rFonts w:eastAsia="黑体"/>
          <w:sz w:val="32"/>
          <w:szCs w:val="32"/>
        </w:rPr>
      </w:pPr>
      <w:r>
        <w:rPr>
          <w:rFonts w:hint="eastAsia" w:ascii="黑体" w:eastAsia="黑体"/>
          <w:bCs/>
          <w:sz w:val="32"/>
          <w:szCs w:val="32"/>
        </w:rPr>
        <w:t>七、</w:t>
      </w:r>
      <w:r>
        <w:rPr>
          <w:rFonts w:hint="eastAsia" w:eastAsia="黑体"/>
          <w:sz w:val="32"/>
          <w:szCs w:val="32"/>
        </w:rPr>
        <w:t>实施标准的措施</w:t>
      </w:r>
    </w:p>
    <w:p w14:paraId="17B37D2B">
      <w:pPr>
        <w:spacing w:line="500" w:lineRule="exact"/>
        <w:ind w:firstLine="562" w:firstLineChars="200"/>
        <w:rPr>
          <w:rFonts w:ascii="仿宋_GB2312" w:eastAsia="仿宋_GB2312" w:cs="仿宋_GB2312"/>
          <w:b/>
          <w:sz w:val="28"/>
          <w:szCs w:val="28"/>
        </w:rPr>
      </w:pPr>
      <w:r>
        <w:rPr>
          <w:rFonts w:hint="eastAsia" w:ascii="仿宋_GB2312" w:eastAsia="仿宋_GB2312" w:cs="仿宋_GB2312"/>
          <w:b/>
          <w:sz w:val="28"/>
          <w:szCs w:val="28"/>
        </w:rPr>
        <w:t>（一）标准报批发布后，成立标准宣贯工作组</w:t>
      </w:r>
    </w:p>
    <w:p w14:paraId="20B72740">
      <w:pPr>
        <w:spacing w:line="500" w:lineRule="exact"/>
        <w:ind w:firstLine="560" w:firstLineChars="200"/>
        <w:rPr>
          <w:rFonts w:ascii="仿宋_GB2312" w:eastAsia="仿宋_GB2312"/>
          <w:sz w:val="28"/>
          <w:szCs w:val="28"/>
        </w:rPr>
      </w:pPr>
      <w:r>
        <w:rPr>
          <w:rFonts w:hint="eastAsia" w:ascii="仿宋_GB2312" w:eastAsia="仿宋_GB2312"/>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4187DE20">
      <w:pPr>
        <w:spacing w:line="500" w:lineRule="exact"/>
        <w:ind w:firstLine="562" w:firstLineChars="200"/>
        <w:rPr>
          <w:rFonts w:ascii="仿宋_GB2312" w:eastAsia="仿宋_GB2312"/>
          <w:b/>
          <w:sz w:val="28"/>
          <w:szCs w:val="28"/>
        </w:rPr>
      </w:pPr>
      <w:r>
        <w:rPr>
          <w:rFonts w:hint="eastAsia" w:ascii="仿宋_GB2312" w:eastAsia="仿宋_GB2312"/>
          <w:b/>
          <w:sz w:val="28"/>
          <w:szCs w:val="28"/>
        </w:rPr>
        <w:t>（二）组织开展标准宣贯培训</w:t>
      </w:r>
    </w:p>
    <w:p w14:paraId="74E3CDA6">
      <w:pPr>
        <w:spacing w:line="500" w:lineRule="exact"/>
        <w:ind w:firstLine="560" w:firstLineChars="200"/>
        <w:rPr>
          <w:rFonts w:ascii="仿宋_GB2312" w:eastAsia="仿宋_GB2312"/>
          <w:sz w:val="28"/>
          <w:szCs w:val="28"/>
        </w:rPr>
      </w:pPr>
      <w:r>
        <w:rPr>
          <w:rFonts w:hint="eastAsia" w:ascii="仿宋_GB2312" w:eastAsia="仿宋_GB2312"/>
          <w:sz w:val="28"/>
          <w:szCs w:val="28"/>
        </w:rPr>
        <w:t>标准发布实施后，标准宣贯工作小组制作标准解读宣贯培训PPT课件和标准核心技术明白书，并按标准宣贯培训计划深入各市县医疗机构，对医师和医护人员开展标准宣贯培训，对标准进行逐条解读，让医师和医护人员掌握标准核心技术内容，助力标准实施落地，推动广西中医技术高质量发展。</w:t>
      </w:r>
    </w:p>
    <w:p w14:paraId="0E511345">
      <w:pPr>
        <w:spacing w:line="500" w:lineRule="exact"/>
        <w:ind w:firstLine="562" w:firstLineChars="200"/>
        <w:rPr>
          <w:rFonts w:ascii="仿宋_GB2312" w:eastAsia="仿宋_GB2312"/>
          <w:b/>
          <w:sz w:val="28"/>
          <w:szCs w:val="28"/>
        </w:rPr>
      </w:pPr>
      <w:r>
        <w:rPr>
          <w:rFonts w:hint="eastAsia" w:ascii="仿宋_GB2312" w:eastAsia="仿宋_GB2312"/>
          <w:b/>
          <w:sz w:val="28"/>
          <w:szCs w:val="28"/>
        </w:rPr>
        <w:t>（三）开展标准实施交流会，收集标准实施反馈信息</w:t>
      </w:r>
    </w:p>
    <w:p w14:paraId="2F43BE2E">
      <w:pPr>
        <w:spacing w:line="500" w:lineRule="exact"/>
        <w:ind w:firstLine="560" w:firstLineChars="200"/>
        <w:rPr>
          <w:rFonts w:ascii="仿宋_GB2312" w:eastAsia="仿宋_GB2312"/>
          <w:sz w:val="28"/>
          <w:szCs w:val="28"/>
        </w:rPr>
      </w:pPr>
      <w:r>
        <w:rPr>
          <w:rFonts w:hint="eastAsia" w:ascii="仿宋_GB2312" w:eastAsia="仿宋_GB2312"/>
          <w:sz w:val="28"/>
          <w:szCs w:val="28"/>
        </w:rPr>
        <w:t>标准起草小组深入各市县医疗机构组织医师和医护人员召开标准实施交流会，听取标准实施过程中存在的问题并做好记录和解答，对存在的问题组织专家团队进行研讨，为标准的复审修订做准备。</w:t>
      </w:r>
    </w:p>
    <w:p w14:paraId="08F60A95">
      <w:pPr>
        <w:spacing w:line="500" w:lineRule="exact"/>
        <w:ind w:firstLine="562" w:firstLineChars="200"/>
        <w:rPr>
          <w:rFonts w:ascii="仿宋_GB2312" w:eastAsia="仿宋_GB2312"/>
          <w:b/>
          <w:sz w:val="28"/>
          <w:szCs w:val="28"/>
        </w:rPr>
      </w:pPr>
      <w:r>
        <w:rPr>
          <w:rFonts w:hint="eastAsia" w:ascii="仿宋_GB2312" w:eastAsia="仿宋_GB2312"/>
          <w:b/>
          <w:sz w:val="28"/>
          <w:szCs w:val="28"/>
        </w:rPr>
        <w:t>（四）开展标准实施效果评估</w:t>
      </w:r>
    </w:p>
    <w:p w14:paraId="285979AA">
      <w:pPr>
        <w:spacing w:line="500" w:lineRule="exact"/>
        <w:ind w:firstLine="560" w:firstLineChars="200"/>
        <w:rPr>
          <w:rFonts w:ascii="仿宋_GB2312" w:eastAsia="仿宋_GB2312"/>
          <w:sz w:val="28"/>
          <w:szCs w:val="28"/>
        </w:rPr>
      </w:pPr>
      <w:r>
        <w:rPr>
          <w:rFonts w:hint="eastAsia" w:ascii="仿宋_GB2312" w:eastAsia="仿宋_GB2312"/>
          <w:sz w:val="28"/>
          <w:szCs w:val="28"/>
        </w:rPr>
        <w:t>标准实施满2年，每年标准宣贯工作组采取网络调查、问卷调查、实地调研、召开座谈会或论证会、专家咨询等方式开展标准实施效果评估，并形成标准实施效果评估报告，为标准的复审修订做准备。</w:t>
      </w:r>
    </w:p>
    <w:p w14:paraId="567A706E">
      <w:pPr>
        <w:spacing w:before="240" w:after="60" w:line="520" w:lineRule="exact"/>
        <w:ind w:firstLine="640" w:firstLineChars="200"/>
        <w:outlineLvl w:val="0"/>
        <w:rPr>
          <w:rFonts w:ascii="黑体" w:eastAsia="黑体"/>
          <w:bCs/>
          <w:sz w:val="32"/>
          <w:szCs w:val="32"/>
        </w:rPr>
      </w:pPr>
      <w:r>
        <w:rPr>
          <w:rFonts w:hint="eastAsia" w:ascii="黑体" w:eastAsia="黑体"/>
          <w:bCs/>
          <w:sz w:val="32"/>
          <w:szCs w:val="32"/>
        </w:rPr>
        <w:t>八、其他应当说明的事项</w:t>
      </w:r>
    </w:p>
    <w:p w14:paraId="5E7BD1DA">
      <w:pPr>
        <w:spacing w:line="520" w:lineRule="exact"/>
        <w:ind w:firstLine="560" w:firstLineChars="200"/>
        <w:rPr>
          <w:rFonts w:ascii="仿宋_GB2312" w:eastAsia="仿宋_GB2312"/>
          <w:sz w:val="28"/>
          <w:szCs w:val="28"/>
        </w:rPr>
      </w:pPr>
      <w:r>
        <w:rPr>
          <w:rFonts w:hint="eastAsia" w:ascii="仿宋_GB2312" w:eastAsia="仿宋_GB2312"/>
          <w:sz w:val="28"/>
          <w:szCs w:val="28"/>
        </w:rPr>
        <w:t>无。</w:t>
      </w:r>
    </w:p>
    <w:p w14:paraId="551997B1">
      <w:pPr>
        <w:autoSpaceDE w:val="0"/>
        <w:autoSpaceDN w:val="0"/>
        <w:adjustRightInd w:val="0"/>
        <w:spacing w:before="156" w:beforeLines="50" w:after="156" w:afterLines="50" w:line="520" w:lineRule="exact"/>
        <w:ind w:firstLine="640"/>
        <w:outlineLvl w:val="0"/>
        <w:rPr>
          <w:rFonts w:eastAsia="黑体"/>
          <w:sz w:val="32"/>
          <w:szCs w:val="32"/>
        </w:rPr>
      </w:pPr>
      <w:r>
        <w:rPr>
          <w:rFonts w:hint="eastAsia" w:eastAsia="黑体"/>
          <w:sz w:val="32"/>
          <w:szCs w:val="32"/>
        </w:rPr>
        <w:t>九、自我承诺</w:t>
      </w:r>
    </w:p>
    <w:p w14:paraId="7C228D99">
      <w:pPr>
        <w:spacing w:line="520" w:lineRule="exact"/>
        <w:ind w:firstLine="560" w:firstLineChars="200"/>
        <w:rPr>
          <w:rFonts w:ascii="仿宋_GB2312" w:eastAsia="仿宋_GB2312"/>
          <w:sz w:val="28"/>
          <w:szCs w:val="28"/>
        </w:rPr>
      </w:pPr>
      <w:r>
        <w:rPr>
          <w:rFonts w:hint="eastAsia" w:ascii="仿宋_GB2312" w:eastAsia="仿宋_GB2312"/>
          <w:sz w:val="28"/>
          <w:szCs w:val="28"/>
        </w:rPr>
        <w:t>该标准的内容符合国家相关法律法规，技术要求不低于强制性国家标准的相关技术要求，与相关的国家、行业推荐性标准协调一致，标准的编写符合GB/T 1.1-2020的要求。</w:t>
      </w:r>
    </w:p>
    <w:p w14:paraId="01033924">
      <w:pPr>
        <w:pStyle w:val="22"/>
        <w:rPr>
          <w:rFonts w:ascii="仿宋_GB2312" w:eastAsia="仿宋_GB2312"/>
          <w:sz w:val="28"/>
          <w:szCs w:val="28"/>
        </w:rPr>
      </w:pPr>
    </w:p>
    <w:p w14:paraId="326A5ED1">
      <w:pPr>
        <w:pStyle w:val="22"/>
        <w:rPr>
          <w:rFonts w:ascii="仿宋_GB2312" w:eastAsia="仿宋_GB2312"/>
          <w:sz w:val="28"/>
          <w:szCs w:val="28"/>
        </w:rPr>
      </w:pPr>
    </w:p>
    <w:p w14:paraId="4B734307">
      <w:pPr>
        <w:pStyle w:val="22"/>
        <w:rPr>
          <w:rFonts w:ascii="仿宋_GB2312" w:eastAsia="仿宋_GB2312"/>
          <w:sz w:val="28"/>
          <w:szCs w:val="28"/>
        </w:rPr>
      </w:pPr>
    </w:p>
    <w:p w14:paraId="776778BD">
      <w:pPr>
        <w:spacing w:before="240" w:after="60" w:line="520" w:lineRule="exact"/>
        <w:ind w:firstLine="3920" w:firstLineChars="1400"/>
        <w:outlineLvl w:val="0"/>
        <w:rPr>
          <w:rFonts w:ascii="仿宋_GB2312" w:eastAsia="仿宋_GB2312"/>
          <w:sz w:val="28"/>
          <w:szCs w:val="28"/>
        </w:rPr>
      </w:pPr>
      <w:r>
        <w:rPr>
          <w:rFonts w:hint="eastAsia" w:ascii="仿宋_GB2312" w:eastAsia="仿宋_GB2312"/>
          <w:sz w:val="28"/>
          <w:szCs w:val="28"/>
        </w:rPr>
        <w:t>团体标准《禅更病瑶医诊疗规范》</w:t>
      </w:r>
    </w:p>
    <w:p w14:paraId="3B325D5F">
      <w:pPr>
        <w:spacing w:line="520" w:lineRule="exact"/>
        <w:ind w:right="1120"/>
        <w:jc w:val="center"/>
        <w:rPr>
          <w:rFonts w:ascii="仿宋_GB2312" w:eastAsia="仿宋_GB2312"/>
          <w:sz w:val="28"/>
          <w:szCs w:val="28"/>
        </w:rPr>
      </w:pPr>
      <w:r>
        <w:rPr>
          <w:rFonts w:hint="eastAsia" w:ascii="仿宋_GB2312" w:eastAsia="仿宋_GB2312"/>
          <w:sz w:val="28"/>
          <w:szCs w:val="28"/>
        </w:rPr>
        <w:t xml:space="preserve">                                  标准编制工作组</w:t>
      </w:r>
    </w:p>
    <w:p w14:paraId="16256467">
      <w:pPr>
        <w:spacing w:line="520" w:lineRule="exact"/>
        <w:ind w:firstLine="640" w:firstLineChars="200"/>
        <w:rPr>
          <w:rFonts w:ascii="仿宋_GB2312" w:eastAsia="仿宋_GB2312"/>
          <w:sz w:val="28"/>
          <w:szCs w:val="28"/>
        </w:rPr>
      </w:pPr>
      <w:r>
        <w:rPr>
          <w:rFonts w:hint="eastAsia" w:ascii="仿宋_GB2312" w:eastAsia="仿宋_GB2312"/>
          <w:sz w:val="32"/>
          <w:szCs w:val="28"/>
        </w:rPr>
        <w:t xml:space="preserve">                             </w:t>
      </w:r>
      <w:r>
        <w:rPr>
          <w:rFonts w:hint="eastAsia" w:ascii="仿宋_GB2312" w:eastAsia="仿宋_GB2312"/>
          <w:sz w:val="28"/>
          <w:szCs w:val="28"/>
        </w:rPr>
        <w:t>2025年5月25日</w:t>
      </w:r>
    </w:p>
    <w:sectPr>
      <w:footerReference r:id="rId3" w:type="default"/>
      <w:pgSz w:w="11906" w:h="16838"/>
      <w:pgMar w:top="1474"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0D3042-FFAE-4981-9FB9-81DB76D32D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2" w:fontKey="{27055664-3417-476E-B841-C3B6432A5756}"/>
  </w:font>
  <w:font w:name="仿宋_GB2312">
    <w:panose1 w:val="02010609030101010101"/>
    <w:charset w:val="86"/>
    <w:family w:val="modern"/>
    <w:pitch w:val="default"/>
    <w:sig w:usb0="00000001" w:usb1="080E0000" w:usb2="00000000" w:usb3="00000000" w:csb0="00040000" w:csb1="00000000"/>
    <w:embedRegular r:id="rId3" w:fontKey="{B818DC39-2740-4080-BCBD-984A3760D3F3}"/>
  </w:font>
  <w:font w:name="仿宋">
    <w:panose1 w:val="02010609060101010101"/>
    <w:charset w:val="86"/>
    <w:family w:val="modern"/>
    <w:pitch w:val="default"/>
    <w:sig w:usb0="800002BF" w:usb1="38CF7CFA" w:usb2="00000016" w:usb3="00000000" w:csb0="00040001" w:csb1="00000000"/>
    <w:embedRegular r:id="rId4" w:fontKey="{F45F74F1-A547-4E06-847C-7F0AEBEA2F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4D30">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39F5FEAA">
                          <w:pPr>
                            <w:pStyle w:val="9"/>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39F5FEAA">
                    <w:pPr>
                      <w:pStyle w:val="9"/>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0"/>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2C5917C3"/>
    <w:multiLevelType w:val="multilevel"/>
    <w:tmpl w:val="2C5917C3"/>
    <w:lvl w:ilvl="0" w:tentative="0">
      <w:start w:val="1"/>
      <w:numFmt w:val="none"/>
      <w:pStyle w:val="54"/>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2">
    <w:nsid w:val="44C50F90"/>
    <w:multiLevelType w:val="multilevel"/>
    <w:tmpl w:val="44C50F90"/>
    <w:lvl w:ilvl="0" w:tentative="0">
      <w:start w:val="1"/>
      <w:numFmt w:val="lowerLetter"/>
      <w:pStyle w:val="49"/>
      <w:lvlText w:val="%1)"/>
      <w:lvlJc w:val="left"/>
      <w:pPr>
        <w:tabs>
          <w:tab w:val="left" w:pos="851"/>
        </w:tabs>
        <w:ind w:left="851" w:hanging="426"/>
      </w:pPr>
      <w:rPr>
        <w:rFonts w:hint="eastAsia" w:ascii="宋体" w:hAnsi="Times New Roman" w:eastAsia="宋体"/>
        <w:sz w:val="21"/>
      </w:rPr>
    </w:lvl>
    <w:lvl w:ilvl="1" w:tentative="0">
      <w:start w:val="1"/>
      <w:numFmt w:val="decimal"/>
      <w:pStyle w:val="47"/>
      <w:lvlText w:val="%2)"/>
      <w:lvlJc w:val="left"/>
      <w:pPr>
        <w:tabs>
          <w:tab w:val="left" w:pos="1276"/>
        </w:tabs>
        <w:ind w:left="1276" w:hanging="425"/>
      </w:pPr>
      <w:rPr>
        <w:rFonts w:hint="eastAsia" w:ascii="宋体" w:hAnsi="Times New Roman" w:eastAsia="宋体"/>
        <w:sz w:val="21"/>
      </w:rPr>
    </w:lvl>
    <w:lvl w:ilvl="2" w:tentative="0">
      <w:start w:val="1"/>
      <w:numFmt w:val="decimal"/>
      <w:pStyle w:val="4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5A9B6960"/>
    <w:multiLevelType w:val="multilevel"/>
    <w:tmpl w:val="5A9B6960"/>
    <w:lvl w:ilvl="0" w:tentative="0">
      <w:start w:val="1"/>
      <w:numFmt w:val="none"/>
      <w:pStyle w:val="37"/>
      <w:suff w:val="nothing"/>
      <w:lvlText w:val="%1"/>
      <w:legacy w:legacy="1" w:legacySpace="0" w:legacyIndent="0"/>
      <w:lvlJc w:val="left"/>
      <w:pPr>
        <w:ind w:left="0" w:firstLine="0"/>
      </w:pPr>
      <w:rPr>
        <w:rFonts w:hint="eastAsia"/>
      </w:rPr>
    </w:lvl>
    <w:lvl w:ilvl="1" w:tentative="0">
      <w:start w:val="1"/>
      <w:numFmt w:val="decimal"/>
      <w:pStyle w:val="31"/>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39"/>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38"/>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36"/>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0D75AA"/>
    <w:rsid w:val="000068A2"/>
    <w:rsid w:val="00014983"/>
    <w:rsid w:val="000178C8"/>
    <w:rsid w:val="00055442"/>
    <w:rsid w:val="00072103"/>
    <w:rsid w:val="00075653"/>
    <w:rsid w:val="00082613"/>
    <w:rsid w:val="000857DA"/>
    <w:rsid w:val="0008716D"/>
    <w:rsid w:val="000C517B"/>
    <w:rsid w:val="000D75AA"/>
    <w:rsid w:val="000E306A"/>
    <w:rsid w:val="000E53EA"/>
    <w:rsid w:val="001133E6"/>
    <w:rsid w:val="001655CC"/>
    <w:rsid w:val="0018012C"/>
    <w:rsid w:val="001821C9"/>
    <w:rsid w:val="001A7570"/>
    <w:rsid w:val="001D3156"/>
    <w:rsid w:val="001E2D73"/>
    <w:rsid w:val="0020127F"/>
    <w:rsid w:val="00205352"/>
    <w:rsid w:val="002210B4"/>
    <w:rsid w:val="0022236C"/>
    <w:rsid w:val="002324B6"/>
    <w:rsid w:val="00234F7D"/>
    <w:rsid w:val="00236909"/>
    <w:rsid w:val="00236EB4"/>
    <w:rsid w:val="00241F8A"/>
    <w:rsid w:val="00281F39"/>
    <w:rsid w:val="0028500C"/>
    <w:rsid w:val="002879F6"/>
    <w:rsid w:val="00292F73"/>
    <w:rsid w:val="0029554A"/>
    <w:rsid w:val="002A3479"/>
    <w:rsid w:val="002B7C92"/>
    <w:rsid w:val="002E357A"/>
    <w:rsid w:val="00321E92"/>
    <w:rsid w:val="003259AF"/>
    <w:rsid w:val="003332BA"/>
    <w:rsid w:val="00336F9C"/>
    <w:rsid w:val="00340D9B"/>
    <w:rsid w:val="003517E7"/>
    <w:rsid w:val="003709DC"/>
    <w:rsid w:val="00372E66"/>
    <w:rsid w:val="00375933"/>
    <w:rsid w:val="00382E35"/>
    <w:rsid w:val="00396F2C"/>
    <w:rsid w:val="003C008B"/>
    <w:rsid w:val="003D485E"/>
    <w:rsid w:val="003F6FB2"/>
    <w:rsid w:val="00426DC5"/>
    <w:rsid w:val="004333E5"/>
    <w:rsid w:val="004373E9"/>
    <w:rsid w:val="0044036C"/>
    <w:rsid w:val="0044065E"/>
    <w:rsid w:val="004805DB"/>
    <w:rsid w:val="0048511D"/>
    <w:rsid w:val="004A75FF"/>
    <w:rsid w:val="004B4D68"/>
    <w:rsid w:val="004E0926"/>
    <w:rsid w:val="004F29B4"/>
    <w:rsid w:val="00515B82"/>
    <w:rsid w:val="0051755E"/>
    <w:rsid w:val="00533B2A"/>
    <w:rsid w:val="00554B7D"/>
    <w:rsid w:val="00564A0C"/>
    <w:rsid w:val="005E3C13"/>
    <w:rsid w:val="005E7B33"/>
    <w:rsid w:val="005F1668"/>
    <w:rsid w:val="005F2FD2"/>
    <w:rsid w:val="005F4961"/>
    <w:rsid w:val="00617B08"/>
    <w:rsid w:val="00627AB4"/>
    <w:rsid w:val="006335ED"/>
    <w:rsid w:val="006343EC"/>
    <w:rsid w:val="0063539D"/>
    <w:rsid w:val="00637F53"/>
    <w:rsid w:val="006511A8"/>
    <w:rsid w:val="0067378F"/>
    <w:rsid w:val="00691000"/>
    <w:rsid w:val="006B0BA0"/>
    <w:rsid w:val="006B12C0"/>
    <w:rsid w:val="006C5EAA"/>
    <w:rsid w:val="00714DDE"/>
    <w:rsid w:val="0074491A"/>
    <w:rsid w:val="00744D10"/>
    <w:rsid w:val="007557E4"/>
    <w:rsid w:val="00756356"/>
    <w:rsid w:val="00774434"/>
    <w:rsid w:val="007756AB"/>
    <w:rsid w:val="00781D6C"/>
    <w:rsid w:val="007A149B"/>
    <w:rsid w:val="007C244C"/>
    <w:rsid w:val="007C4AFF"/>
    <w:rsid w:val="00801A7F"/>
    <w:rsid w:val="00814260"/>
    <w:rsid w:val="008247C4"/>
    <w:rsid w:val="00826BFA"/>
    <w:rsid w:val="00853F5C"/>
    <w:rsid w:val="0086614F"/>
    <w:rsid w:val="00874BB5"/>
    <w:rsid w:val="008779C2"/>
    <w:rsid w:val="00887632"/>
    <w:rsid w:val="00895F4A"/>
    <w:rsid w:val="008973E6"/>
    <w:rsid w:val="008B6B5F"/>
    <w:rsid w:val="008E1EB5"/>
    <w:rsid w:val="008F78EC"/>
    <w:rsid w:val="0090442F"/>
    <w:rsid w:val="00907450"/>
    <w:rsid w:val="00926E1B"/>
    <w:rsid w:val="00932BA3"/>
    <w:rsid w:val="00947EBA"/>
    <w:rsid w:val="009718CC"/>
    <w:rsid w:val="0099500A"/>
    <w:rsid w:val="009A4141"/>
    <w:rsid w:val="009E3161"/>
    <w:rsid w:val="009F1A1B"/>
    <w:rsid w:val="00A16A3E"/>
    <w:rsid w:val="00A263D3"/>
    <w:rsid w:val="00A365A2"/>
    <w:rsid w:val="00A37FDF"/>
    <w:rsid w:val="00A42C5E"/>
    <w:rsid w:val="00A467FF"/>
    <w:rsid w:val="00A75476"/>
    <w:rsid w:val="00A87F41"/>
    <w:rsid w:val="00AC57C3"/>
    <w:rsid w:val="00AD0172"/>
    <w:rsid w:val="00AE5D2F"/>
    <w:rsid w:val="00B07A8A"/>
    <w:rsid w:val="00B66676"/>
    <w:rsid w:val="00B73416"/>
    <w:rsid w:val="00B77477"/>
    <w:rsid w:val="00B94EFE"/>
    <w:rsid w:val="00B954B8"/>
    <w:rsid w:val="00BA570D"/>
    <w:rsid w:val="00BB6932"/>
    <w:rsid w:val="00BB7B52"/>
    <w:rsid w:val="00BC216F"/>
    <w:rsid w:val="00BC4498"/>
    <w:rsid w:val="00BD2990"/>
    <w:rsid w:val="00C07069"/>
    <w:rsid w:val="00C123EE"/>
    <w:rsid w:val="00C13CB6"/>
    <w:rsid w:val="00C20386"/>
    <w:rsid w:val="00C9037B"/>
    <w:rsid w:val="00CB1B06"/>
    <w:rsid w:val="00CC71EF"/>
    <w:rsid w:val="00CE7CD2"/>
    <w:rsid w:val="00D0457A"/>
    <w:rsid w:val="00D35977"/>
    <w:rsid w:val="00D43F5A"/>
    <w:rsid w:val="00D52F10"/>
    <w:rsid w:val="00D544D5"/>
    <w:rsid w:val="00D54B9D"/>
    <w:rsid w:val="00D75DFA"/>
    <w:rsid w:val="00D87F07"/>
    <w:rsid w:val="00D9142A"/>
    <w:rsid w:val="00D9735E"/>
    <w:rsid w:val="00DB7F6F"/>
    <w:rsid w:val="00DD1E43"/>
    <w:rsid w:val="00DF4FB8"/>
    <w:rsid w:val="00E27034"/>
    <w:rsid w:val="00E32D4B"/>
    <w:rsid w:val="00E41116"/>
    <w:rsid w:val="00E414EF"/>
    <w:rsid w:val="00E455A5"/>
    <w:rsid w:val="00E5127E"/>
    <w:rsid w:val="00E568FB"/>
    <w:rsid w:val="00E635AB"/>
    <w:rsid w:val="00E75387"/>
    <w:rsid w:val="00E835A1"/>
    <w:rsid w:val="00E83E2D"/>
    <w:rsid w:val="00E911B3"/>
    <w:rsid w:val="00EB4AB2"/>
    <w:rsid w:val="00ED41E5"/>
    <w:rsid w:val="00ED5986"/>
    <w:rsid w:val="00EE332B"/>
    <w:rsid w:val="00EF4610"/>
    <w:rsid w:val="00EF6CB2"/>
    <w:rsid w:val="00F01A5C"/>
    <w:rsid w:val="00F06270"/>
    <w:rsid w:val="00F40513"/>
    <w:rsid w:val="00F424A9"/>
    <w:rsid w:val="00F5729F"/>
    <w:rsid w:val="00F65587"/>
    <w:rsid w:val="00F77E06"/>
    <w:rsid w:val="00F805D2"/>
    <w:rsid w:val="00F9021F"/>
    <w:rsid w:val="00F93181"/>
    <w:rsid w:val="00F94C4C"/>
    <w:rsid w:val="00FA7D60"/>
    <w:rsid w:val="00FB260A"/>
    <w:rsid w:val="00FC7CE6"/>
    <w:rsid w:val="00FD6497"/>
    <w:rsid w:val="00FE31A4"/>
    <w:rsid w:val="00FF2EC3"/>
    <w:rsid w:val="012A4E2C"/>
    <w:rsid w:val="01FE5971"/>
    <w:rsid w:val="02451F0E"/>
    <w:rsid w:val="027125E7"/>
    <w:rsid w:val="02DC2156"/>
    <w:rsid w:val="036C0D75"/>
    <w:rsid w:val="03CC3F79"/>
    <w:rsid w:val="057B7A05"/>
    <w:rsid w:val="05CD222A"/>
    <w:rsid w:val="06084616"/>
    <w:rsid w:val="065B3392"/>
    <w:rsid w:val="06A9292B"/>
    <w:rsid w:val="07B94814"/>
    <w:rsid w:val="07BE53C7"/>
    <w:rsid w:val="08EF7A39"/>
    <w:rsid w:val="09EB05D3"/>
    <w:rsid w:val="0A5844F0"/>
    <w:rsid w:val="0A6E1714"/>
    <w:rsid w:val="0A8E1F88"/>
    <w:rsid w:val="0B1B3304"/>
    <w:rsid w:val="0B927BA2"/>
    <w:rsid w:val="0E060087"/>
    <w:rsid w:val="0EE3661B"/>
    <w:rsid w:val="0EE41D10"/>
    <w:rsid w:val="10FD39C4"/>
    <w:rsid w:val="11386E78"/>
    <w:rsid w:val="11427629"/>
    <w:rsid w:val="11592BC4"/>
    <w:rsid w:val="11B73ED3"/>
    <w:rsid w:val="12277661"/>
    <w:rsid w:val="12891287"/>
    <w:rsid w:val="132A0B32"/>
    <w:rsid w:val="133D4C82"/>
    <w:rsid w:val="13D12EE6"/>
    <w:rsid w:val="13D22765"/>
    <w:rsid w:val="13EE1CEA"/>
    <w:rsid w:val="13F37300"/>
    <w:rsid w:val="14863CD0"/>
    <w:rsid w:val="174D6D27"/>
    <w:rsid w:val="18574301"/>
    <w:rsid w:val="18CE5C46"/>
    <w:rsid w:val="1A2A2D28"/>
    <w:rsid w:val="1A9D1D74"/>
    <w:rsid w:val="1B943177"/>
    <w:rsid w:val="1B9C64CF"/>
    <w:rsid w:val="1C5E2638"/>
    <w:rsid w:val="1CA613B3"/>
    <w:rsid w:val="1CB3587E"/>
    <w:rsid w:val="1E6C7E3E"/>
    <w:rsid w:val="1EEE7042"/>
    <w:rsid w:val="1EF503D0"/>
    <w:rsid w:val="20346CD6"/>
    <w:rsid w:val="206E043A"/>
    <w:rsid w:val="20B9542D"/>
    <w:rsid w:val="20F46465"/>
    <w:rsid w:val="213D1BBA"/>
    <w:rsid w:val="21B75E11"/>
    <w:rsid w:val="22123047"/>
    <w:rsid w:val="239C706C"/>
    <w:rsid w:val="23ED78C8"/>
    <w:rsid w:val="2443573A"/>
    <w:rsid w:val="24C90335"/>
    <w:rsid w:val="24DA0D94"/>
    <w:rsid w:val="25496D80"/>
    <w:rsid w:val="257F5FA5"/>
    <w:rsid w:val="25BF5294"/>
    <w:rsid w:val="26B431D0"/>
    <w:rsid w:val="27095D8A"/>
    <w:rsid w:val="271433BD"/>
    <w:rsid w:val="277B51EB"/>
    <w:rsid w:val="279E6744"/>
    <w:rsid w:val="27E965F8"/>
    <w:rsid w:val="286B2CA4"/>
    <w:rsid w:val="28A95D87"/>
    <w:rsid w:val="29312005"/>
    <w:rsid w:val="297A4E53"/>
    <w:rsid w:val="2BAD2B02"/>
    <w:rsid w:val="2CD930DF"/>
    <w:rsid w:val="2E0C3040"/>
    <w:rsid w:val="2E40384E"/>
    <w:rsid w:val="2F083808"/>
    <w:rsid w:val="2F0B058C"/>
    <w:rsid w:val="2F454A5C"/>
    <w:rsid w:val="2F6B1FE9"/>
    <w:rsid w:val="2F7C5FA4"/>
    <w:rsid w:val="2F82534F"/>
    <w:rsid w:val="302723B3"/>
    <w:rsid w:val="31097D0B"/>
    <w:rsid w:val="3159659D"/>
    <w:rsid w:val="32BD2B5B"/>
    <w:rsid w:val="3304078A"/>
    <w:rsid w:val="357A3838"/>
    <w:rsid w:val="36AC53C0"/>
    <w:rsid w:val="373C4996"/>
    <w:rsid w:val="37865C12"/>
    <w:rsid w:val="383E64EC"/>
    <w:rsid w:val="38E30E42"/>
    <w:rsid w:val="39697599"/>
    <w:rsid w:val="3A695377"/>
    <w:rsid w:val="3B20012B"/>
    <w:rsid w:val="3BDC22A4"/>
    <w:rsid w:val="3C2854E9"/>
    <w:rsid w:val="3C553E04"/>
    <w:rsid w:val="3D6C58AA"/>
    <w:rsid w:val="3F982986"/>
    <w:rsid w:val="3FA330D9"/>
    <w:rsid w:val="40183AC7"/>
    <w:rsid w:val="403F2E01"/>
    <w:rsid w:val="41630D72"/>
    <w:rsid w:val="431A1904"/>
    <w:rsid w:val="4379487C"/>
    <w:rsid w:val="446077EA"/>
    <w:rsid w:val="44F56185"/>
    <w:rsid w:val="453C3DB3"/>
    <w:rsid w:val="45413951"/>
    <w:rsid w:val="46535859"/>
    <w:rsid w:val="46E47FFF"/>
    <w:rsid w:val="4779601E"/>
    <w:rsid w:val="47E81FD1"/>
    <w:rsid w:val="481B0E08"/>
    <w:rsid w:val="493E1AE1"/>
    <w:rsid w:val="494476DB"/>
    <w:rsid w:val="494E2307"/>
    <w:rsid w:val="498521CD"/>
    <w:rsid w:val="4A437992"/>
    <w:rsid w:val="4A724196"/>
    <w:rsid w:val="4B2238EC"/>
    <w:rsid w:val="4B5D4A84"/>
    <w:rsid w:val="4C7C718B"/>
    <w:rsid w:val="4CCE79E7"/>
    <w:rsid w:val="4DDD59C1"/>
    <w:rsid w:val="4EEA4880"/>
    <w:rsid w:val="51FB0B52"/>
    <w:rsid w:val="528B0128"/>
    <w:rsid w:val="52BF7DD2"/>
    <w:rsid w:val="531F075A"/>
    <w:rsid w:val="53400F13"/>
    <w:rsid w:val="55B6370E"/>
    <w:rsid w:val="561A3C9D"/>
    <w:rsid w:val="5641747C"/>
    <w:rsid w:val="56614AC6"/>
    <w:rsid w:val="56C63E25"/>
    <w:rsid w:val="576D604E"/>
    <w:rsid w:val="57A01936"/>
    <w:rsid w:val="57A57FD6"/>
    <w:rsid w:val="57BC2B32"/>
    <w:rsid w:val="57F01F2D"/>
    <w:rsid w:val="583C439E"/>
    <w:rsid w:val="58D367F3"/>
    <w:rsid w:val="58D77C23"/>
    <w:rsid w:val="592C1295"/>
    <w:rsid w:val="59432E91"/>
    <w:rsid w:val="59DD74BB"/>
    <w:rsid w:val="5A8C449C"/>
    <w:rsid w:val="5AED1980"/>
    <w:rsid w:val="5B24111A"/>
    <w:rsid w:val="5B571FFB"/>
    <w:rsid w:val="5BAB0BC1"/>
    <w:rsid w:val="5BC621D1"/>
    <w:rsid w:val="5BFB00CD"/>
    <w:rsid w:val="5C452F47"/>
    <w:rsid w:val="5C867919"/>
    <w:rsid w:val="5D086F45"/>
    <w:rsid w:val="5D292A17"/>
    <w:rsid w:val="5D4D6706"/>
    <w:rsid w:val="5E1B6804"/>
    <w:rsid w:val="5F4C0C3F"/>
    <w:rsid w:val="5F702B80"/>
    <w:rsid w:val="60252B89"/>
    <w:rsid w:val="604F4E8B"/>
    <w:rsid w:val="616C2448"/>
    <w:rsid w:val="61AB7E9F"/>
    <w:rsid w:val="61C947C9"/>
    <w:rsid w:val="61CB4225"/>
    <w:rsid w:val="62571DD5"/>
    <w:rsid w:val="62A3501A"/>
    <w:rsid w:val="63DF2082"/>
    <w:rsid w:val="64047D3A"/>
    <w:rsid w:val="645E7808"/>
    <w:rsid w:val="64920E2E"/>
    <w:rsid w:val="651E4E2C"/>
    <w:rsid w:val="654A16B4"/>
    <w:rsid w:val="65E36256"/>
    <w:rsid w:val="660F1D12"/>
    <w:rsid w:val="663E7534"/>
    <w:rsid w:val="669453A6"/>
    <w:rsid w:val="67277FC8"/>
    <w:rsid w:val="677C2407"/>
    <w:rsid w:val="68C33D20"/>
    <w:rsid w:val="68C47A98"/>
    <w:rsid w:val="68C53F3C"/>
    <w:rsid w:val="69823BDB"/>
    <w:rsid w:val="698C1452"/>
    <w:rsid w:val="69DB32EB"/>
    <w:rsid w:val="6A505A87"/>
    <w:rsid w:val="6AC41FD2"/>
    <w:rsid w:val="6AC50C1E"/>
    <w:rsid w:val="6CC80E6D"/>
    <w:rsid w:val="6EA6036C"/>
    <w:rsid w:val="6F685621"/>
    <w:rsid w:val="6FD44A65"/>
    <w:rsid w:val="703E6382"/>
    <w:rsid w:val="710475CC"/>
    <w:rsid w:val="710B6BAC"/>
    <w:rsid w:val="71A16BC9"/>
    <w:rsid w:val="71CC633B"/>
    <w:rsid w:val="71F238C8"/>
    <w:rsid w:val="72113D4E"/>
    <w:rsid w:val="72534367"/>
    <w:rsid w:val="726245AA"/>
    <w:rsid w:val="738A5B9F"/>
    <w:rsid w:val="741F6AAA"/>
    <w:rsid w:val="74A0585D"/>
    <w:rsid w:val="759F78C3"/>
    <w:rsid w:val="76157B85"/>
    <w:rsid w:val="76F53C3E"/>
    <w:rsid w:val="77A7157C"/>
    <w:rsid w:val="77CD0717"/>
    <w:rsid w:val="78B143BF"/>
    <w:rsid w:val="78F63C9E"/>
    <w:rsid w:val="7A035425"/>
    <w:rsid w:val="7A044199"/>
    <w:rsid w:val="7A937FAF"/>
    <w:rsid w:val="7AB465B7"/>
    <w:rsid w:val="7B215011"/>
    <w:rsid w:val="7BED75DA"/>
    <w:rsid w:val="7CB63E70"/>
    <w:rsid w:val="7D221505"/>
    <w:rsid w:val="7D3F20B7"/>
    <w:rsid w:val="7DC205F3"/>
    <w:rsid w:val="7E2B6198"/>
    <w:rsid w:val="7E5D031B"/>
    <w:rsid w:val="7F6E0A32"/>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rPr>
  </w:style>
  <w:style w:type="paragraph" w:styleId="4">
    <w:name w:val="heading 2"/>
    <w:basedOn w:val="1"/>
    <w:next w:val="1"/>
    <w:autoRedefine/>
    <w:qFormat/>
    <w:uiPriority w:val="0"/>
    <w:pPr>
      <w:keepNext/>
      <w:keepLines/>
      <w:spacing w:before="260" w:after="260" w:line="415" w:lineRule="auto"/>
      <w:outlineLvl w:val="1"/>
    </w:pPr>
    <w:rPr>
      <w:rFonts w:ascii="Times New Roman" w:hAnsi="Times New Roman"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paragraph" w:styleId="6">
    <w:name w:val="heading 7"/>
    <w:basedOn w:val="1"/>
    <w:next w:val="1"/>
    <w:link w:val="23"/>
    <w:autoRedefine/>
    <w:qFormat/>
    <w:uiPriority w:val="9"/>
    <w:pPr>
      <w:keepNext/>
      <w:keepLines/>
      <w:spacing w:before="240" w:after="64" w:line="320" w:lineRule="auto"/>
      <w:outlineLvl w:val="6"/>
    </w:pPr>
    <w:rPr>
      <w:b/>
      <w:bCs/>
      <w:sz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autoRedefine/>
    <w:qFormat/>
    <w:uiPriority w:val="0"/>
    <w:pPr>
      <w:spacing w:after="120" w:line="480" w:lineRule="auto"/>
      <w:textAlignment w:val="baseline"/>
    </w:pPr>
    <w:rPr>
      <w:rFonts w:cs="Times New Roman"/>
      <w:sz w:val="32"/>
      <w:szCs w:val="32"/>
    </w:rPr>
  </w:style>
  <w:style w:type="paragraph" w:styleId="7">
    <w:name w:val="annotation text"/>
    <w:basedOn w:val="1"/>
    <w:link w:val="24"/>
    <w:autoRedefine/>
    <w:unhideWhenUsed/>
    <w:qFormat/>
    <w:uiPriority w:val="99"/>
    <w:pPr>
      <w:adjustRightInd w:val="0"/>
      <w:spacing w:line="400" w:lineRule="exact"/>
      <w:jc w:val="left"/>
    </w:pPr>
    <w:rPr>
      <w:szCs w:val="21"/>
    </w:rPr>
  </w:style>
  <w:style w:type="paragraph" w:styleId="8">
    <w:name w:val="Balloon Text"/>
    <w:basedOn w:val="1"/>
    <w:link w:val="25"/>
    <w:autoRedefine/>
    <w:unhideWhenUsed/>
    <w:qFormat/>
    <w:uiPriority w:val="99"/>
    <w:rPr>
      <w:sz w:val="18"/>
      <w:szCs w:val="18"/>
    </w:rPr>
  </w:style>
  <w:style w:type="paragraph" w:styleId="9">
    <w:name w:val="footer"/>
    <w:basedOn w:val="1"/>
    <w:link w:val="26"/>
    <w:autoRedefine/>
    <w:qFormat/>
    <w:uiPriority w:val="99"/>
    <w:pPr>
      <w:tabs>
        <w:tab w:val="center" w:pos="4153"/>
        <w:tab w:val="right" w:pos="8306"/>
      </w:tabs>
      <w:snapToGrid w:val="0"/>
      <w:jc w:val="left"/>
    </w:pPr>
    <w:rPr>
      <w:sz w:val="18"/>
      <w:szCs w:val="18"/>
    </w:rPr>
  </w:style>
  <w:style w:type="paragraph" w:styleId="10">
    <w:name w:val="envelope return"/>
    <w:basedOn w:val="1"/>
    <w:autoRedefine/>
    <w:qFormat/>
    <w:uiPriority w:val="0"/>
    <w:pPr>
      <w:snapToGrid w:val="0"/>
    </w:pPr>
    <w:rPr>
      <w:rFonts w:ascii="Times New Roman" w:hAnsi="Times New Roman"/>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4"/>
    <w:basedOn w:val="1"/>
    <w:next w:val="1"/>
    <w:autoRedefine/>
    <w:unhideWhenUsed/>
    <w:qFormat/>
    <w:uiPriority w:val="39"/>
    <w:pPr>
      <w:tabs>
        <w:tab w:val="right" w:leader="dot" w:pos="9344"/>
      </w:tabs>
      <w:adjustRightInd w:val="0"/>
      <w:spacing w:line="300" w:lineRule="exact"/>
      <w:ind w:left="629"/>
    </w:pPr>
    <w:rPr>
      <w:rFonts w:ascii="宋体"/>
      <w:szCs w:val="21"/>
    </w:rPr>
  </w:style>
  <w:style w:type="paragraph" w:styleId="13">
    <w:name w:val="Normal (Web)"/>
    <w:basedOn w:val="1"/>
    <w:autoRedefine/>
    <w:semiHidden/>
    <w:unhideWhenUsed/>
    <w:qFormat/>
    <w:uiPriority w:val="99"/>
    <w:rPr>
      <w:sz w:val="24"/>
    </w:rPr>
  </w:style>
  <w:style w:type="table" w:styleId="15">
    <w:name w:val="Table Grid"/>
    <w:basedOn w:val="1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autoRedefine/>
    <w:qFormat/>
    <w:uiPriority w:val="22"/>
    <w:rPr>
      <w:b/>
    </w:rPr>
  </w:style>
  <w:style w:type="character" w:styleId="18">
    <w:name w:val="line number"/>
    <w:autoRedefine/>
    <w:qFormat/>
    <w:uiPriority w:val="0"/>
  </w:style>
  <w:style w:type="character" w:styleId="19">
    <w:name w:val="Hyperlink"/>
    <w:autoRedefine/>
    <w:qFormat/>
    <w:uiPriority w:val="0"/>
    <w:rPr>
      <w:rFonts w:ascii="宋体" w:eastAsia="宋体"/>
      <w:color w:val="auto"/>
      <w:spacing w:val="0"/>
      <w:w w:val="100"/>
      <w:position w:val="0"/>
      <w:sz w:val="21"/>
      <w:u w:val="none"/>
      <w:vertAlign w:val="baseline"/>
    </w:rPr>
  </w:style>
  <w:style w:type="character" w:styleId="20">
    <w:name w:val="annotation reference"/>
    <w:autoRedefine/>
    <w:qFormat/>
    <w:uiPriority w:val="99"/>
    <w:rPr>
      <w:sz w:val="21"/>
    </w:rPr>
  </w:style>
  <w:style w:type="character" w:styleId="21">
    <w:name w:val="footnote reference"/>
    <w:autoRedefine/>
    <w:qFormat/>
    <w:uiPriority w:val="0"/>
    <w:rPr>
      <w:vertAlign w:val="superscript"/>
    </w:rPr>
  </w:style>
  <w:style w:type="paragraph" w:customStyle="1" w:styleId="22">
    <w:name w:val="正文-公1"/>
    <w:autoRedefine/>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3">
    <w:name w:val="标题 7 Char"/>
    <w:link w:val="6"/>
    <w:autoRedefine/>
    <w:qFormat/>
    <w:uiPriority w:val="0"/>
    <w:rPr>
      <w:rFonts w:eastAsia="宋体"/>
      <w:b/>
      <w:bCs/>
      <w:kern w:val="2"/>
      <w:sz w:val="24"/>
      <w:szCs w:val="24"/>
    </w:rPr>
  </w:style>
  <w:style w:type="character" w:customStyle="1" w:styleId="24">
    <w:name w:val="批注文字 Char"/>
    <w:link w:val="7"/>
    <w:autoRedefine/>
    <w:semiHidden/>
    <w:qFormat/>
    <w:uiPriority w:val="99"/>
    <w:rPr>
      <w:rFonts w:ascii="Calibri" w:hAnsi="Calibri" w:eastAsia="宋体"/>
      <w:kern w:val="2"/>
      <w:sz w:val="21"/>
      <w:szCs w:val="21"/>
    </w:rPr>
  </w:style>
  <w:style w:type="character" w:customStyle="1" w:styleId="25">
    <w:name w:val="批注框文本 Char"/>
    <w:link w:val="8"/>
    <w:autoRedefine/>
    <w:semiHidden/>
    <w:qFormat/>
    <w:uiPriority w:val="99"/>
    <w:rPr>
      <w:rFonts w:eastAsia="宋体"/>
      <w:kern w:val="2"/>
      <w:sz w:val="18"/>
      <w:szCs w:val="18"/>
    </w:rPr>
  </w:style>
  <w:style w:type="character" w:customStyle="1" w:styleId="26">
    <w:name w:val="页脚 Char"/>
    <w:link w:val="9"/>
    <w:autoRedefine/>
    <w:qFormat/>
    <w:locked/>
    <w:uiPriority w:val="99"/>
    <w:rPr>
      <w:rFonts w:eastAsia="宋体"/>
      <w:kern w:val="2"/>
      <w:sz w:val="18"/>
      <w:szCs w:val="18"/>
    </w:rPr>
  </w:style>
  <w:style w:type="paragraph" w:customStyle="1" w:styleId="27">
    <w:name w:val="其他标准称谓"/>
    <w:autoRedefine/>
    <w:qFormat/>
    <w:uiPriority w:val="0"/>
    <w:pPr>
      <w:spacing w:line="0" w:lineRule="atLeast"/>
      <w:jc w:val="distribute"/>
    </w:pPr>
    <w:rPr>
      <w:rFonts w:ascii="黑体" w:hAnsi="Calibri" w:eastAsia="黑体" w:cs="Calibri"/>
      <w:sz w:val="52"/>
      <w:lang w:val="en-US" w:eastAsia="zh-CN" w:bidi="ar-SA"/>
    </w:rPr>
  </w:style>
  <w:style w:type="paragraph" w:customStyle="1" w:styleId="28">
    <w:name w:val="封面标准号1"/>
    <w:autoRedefine/>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29">
    <w:name w:val="标准文件_段"/>
    <w:link w:val="30"/>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character" w:customStyle="1" w:styleId="30">
    <w:name w:val="标准文件_段 Char"/>
    <w:link w:val="29"/>
    <w:autoRedefine/>
    <w:qFormat/>
    <w:uiPriority w:val="0"/>
    <w:rPr>
      <w:rFonts w:ascii="宋体" w:eastAsia="宋体"/>
      <w:sz w:val="21"/>
    </w:rPr>
  </w:style>
  <w:style w:type="paragraph" w:customStyle="1" w:styleId="31">
    <w:name w:val="标准文件_章标题"/>
    <w:next w:val="29"/>
    <w:autoRedefine/>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2">
    <w:name w:val="标准文件_二级条标题"/>
    <w:next w:val="29"/>
    <w:autoRedefine/>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3">
    <w:name w:val="标准文件_一级条标题"/>
    <w:basedOn w:val="31"/>
    <w:next w:val="29"/>
    <w:autoRedefine/>
    <w:qFormat/>
    <w:uiPriority w:val="0"/>
    <w:pPr>
      <w:numPr>
        <w:ilvl w:val="0"/>
        <w:numId w:val="0"/>
      </w:numPr>
      <w:spacing w:before="50" w:beforeLines="0" w:after="50" w:afterLines="0" w:line="520" w:lineRule="exact"/>
      <w:ind w:left="560"/>
      <w:outlineLvl w:val="1"/>
    </w:pPr>
  </w:style>
  <w:style w:type="paragraph" w:customStyle="1" w:styleId="34">
    <w:name w:val="标准文件_三级条标题"/>
    <w:basedOn w:val="32"/>
    <w:next w:val="29"/>
    <w:autoRedefine/>
    <w:qFormat/>
    <w:uiPriority w:val="0"/>
    <w:pPr>
      <w:outlineLvl w:val="3"/>
    </w:pPr>
  </w:style>
  <w:style w:type="paragraph" w:customStyle="1" w:styleId="35">
    <w:name w:val="标准文件_四级条标题"/>
    <w:next w:val="29"/>
    <w:autoRedefine/>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36">
    <w:name w:val="标准文件_五级条标题"/>
    <w:next w:val="32"/>
    <w:autoRedefine/>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37">
    <w:name w:val="前言标题"/>
    <w:next w:val="1"/>
    <w:autoRedefine/>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38">
    <w:name w:val="标准文件_四级无标题"/>
    <w:basedOn w:val="35"/>
    <w:autoRedefine/>
    <w:qFormat/>
    <w:uiPriority w:val="0"/>
    <w:pPr>
      <w:numPr>
        <w:ilvl w:val="5"/>
        <w:numId w:val="1"/>
      </w:numPr>
    </w:pPr>
    <w:rPr>
      <w:rFonts w:ascii="宋体" w:eastAsia="宋体"/>
      <w:szCs w:val="52"/>
    </w:rPr>
  </w:style>
  <w:style w:type="paragraph" w:customStyle="1" w:styleId="39">
    <w:name w:val="标准文件_三级无标题"/>
    <w:basedOn w:val="34"/>
    <w:autoRedefine/>
    <w:qFormat/>
    <w:uiPriority w:val="0"/>
    <w:pPr>
      <w:numPr>
        <w:ilvl w:val="4"/>
        <w:numId w:val="1"/>
      </w:numPr>
    </w:pPr>
    <w:rPr>
      <w:rFonts w:ascii="宋体" w:eastAsia="宋体"/>
    </w:rPr>
  </w:style>
  <w:style w:type="paragraph" w:customStyle="1" w:styleId="40">
    <w:name w:val="标准文件_正文表标题"/>
    <w:autoRedefine/>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1">
    <w:name w:val="font11"/>
    <w:autoRedefine/>
    <w:qFormat/>
    <w:uiPriority w:val="0"/>
    <w:rPr>
      <w:rFonts w:ascii="等线" w:eastAsia="等线"/>
      <w:b/>
      <w:bCs/>
      <w:color w:val="FF0000"/>
      <w:sz w:val="22"/>
      <w:szCs w:val="22"/>
      <w:u w:val="none"/>
    </w:rPr>
  </w:style>
  <w:style w:type="character" w:customStyle="1" w:styleId="42">
    <w:name w:val="font01"/>
    <w:autoRedefine/>
    <w:qFormat/>
    <w:uiPriority w:val="0"/>
    <w:rPr>
      <w:rFonts w:ascii="等线" w:eastAsia="等线"/>
      <w:color w:val="000000"/>
      <w:sz w:val="22"/>
      <w:szCs w:val="22"/>
      <w:u w:val="none"/>
    </w:rPr>
  </w:style>
  <w:style w:type="paragraph" w:customStyle="1" w:styleId="43">
    <w:name w:val="段"/>
    <w:autoRedefine/>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4">
    <w:name w:val="二级无"/>
    <w:basedOn w:val="1"/>
    <w:autoRedefine/>
    <w:qFormat/>
    <w:uiPriority w:val="0"/>
    <w:pPr>
      <w:widowControl/>
      <w:tabs>
        <w:tab w:val="left" w:pos="780"/>
      </w:tabs>
      <w:ind w:left="780" w:hanging="360"/>
      <w:jc w:val="left"/>
      <w:outlineLvl w:val="3"/>
    </w:pPr>
    <w:rPr>
      <w:rFonts w:ascii="宋体"/>
      <w:kern w:val="0"/>
      <w:szCs w:val="21"/>
    </w:rPr>
  </w:style>
  <w:style w:type="paragraph" w:customStyle="1" w:styleId="45">
    <w:name w:val="标准文件_二级无标题"/>
    <w:basedOn w:val="32"/>
    <w:autoRedefine/>
    <w:qFormat/>
    <w:uiPriority w:val="0"/>
    <w:pPr>
      <w:tabs>
        <w:tab w:val="left" w:pos="1200"/>
      </w:tabs>
      <w:spacing w:before="0" w:beforeLines="0" w:after="0" w:afterLines="0"/>
      <w:ind w:left="1200" w:hanging="360"/>
      <w:outlineLvl w:val="9"/>
    </w:pPr>
    <w:rPr>
      <w:rFonts w:ascii="宋体" w:eastAsia="宋体"/>
    </w:rPr>
  </w:style>
  <w:style w:type="paragraph" w:customStyle="1" w:styleId="46">
    <w:name w:val="Char Char Char Char"/>
    <w:basedOn w:val="1"/>
    <w:autoRedefine/>
    <w:qFormat/>
    <w:uiPriority w:val="0"/>
  </w:style>
  <w:style w:type="paragraph" w:customStyle="1" w:styleId="47">
    <w:name w:val="标准文件_数字编号列项（二级）"/>
    <w:autoRedefine/>
    <w:qFormat/>
    <w:uiPriority w:val="0"/>
    <w:pPr>
      <w:numPr>
        <w:ilvl w:val="1"/>
        <w:numId w:val="3"/>
      </w:numPr>
      <w:jc w:val="both"/>
    </w:pPr>
    <w:rPr>
      <w:rFonts w:ascii="宋体" w:hAnsi="Calibri" w:eastAsia="宋体" w:cs="Calibri"/>
      <w:sz w:val="21"/>
      <w:lang w:val="en-US" w:eastAsia="zh-CN" w:bidi="ar-SA"/>
    </w:rPr>
  </w:style>
  <w:style w:type="paragraph" w:customStyle="1" w:styleId="48">
    <w:name w:val="标准文件_编号列项（三级）"/>
    <w:autoRedefine/>
    <w:qFormat/>
    <w:uiPriority w:val="0"/>
    <w:pPr>
      <w:numPr>
        <w:ilvl w:val="2"/>
        <w:numId w:val="3"/>
      </w:numPr>
    </w:pPr>
    <w:rPr>
      <w:rFonts w:ascii="宋体" w:hAnsi="Calibri" w:eastAsia="宋体" w:cs="Calibri"/>
      <w:sz w:val="21"/>
      <w:lang w:val="en-US" w:eastAsia="zh-CN" w:bidi="ar-SA"/>
    </w:rPr>
  </w:style>
  <w:style w:type="paragraph" w:customStyle="1" w:styleId="49">
    <w:name w:val="标准文件_字母编号列项（一级）"/>
    <w:autoRedefine/>
    <w:qFormat/>
    <w:uiPriority w:val="0"/>
    <w:pPr>
      <w:numPr>
        <w:ilvl w:val="0"/>
        <w:numId w:val="3"/>
      </w:numPr>
      <w:jc w:val="both"/>
    </w:pPr>
    <w:rPr>
      <w:rFonts w:ascii="宋体" w:hAnsi="Calibri" w:eastAsia="宋体" w:cs="Calibri"/>
      <w:sz w:val="21"/>
      <w:lang w:val="en-US" w:eastAsia="zh-CN" w:bidi="ar-SA"/>
    </w:rPr>
  </w:style>
  <w:style w:type="paragraph" w:customStyle="1" w:styleId="50">
    <w:name w:val="标准文件_术语条一"/>
    <w:basedOn w:val="1"/>
    <w:next w:val="29"/>
    <w:autoRedefine/>
    <w:qFormat/>
    <w:uiPriority w:val="0"/>
    <w:pPr>
      <w:widowControl/>
    </w:pPr>
    <w:rPr>
      <w:rFonts w:ascii="宋体"/>
      <w:kern w:val="0"/>
      <w:szCs w:val="20"/>
    </w:rPr>
  </w:style>
  <w:style w:type="paragraph" w:customStyle="1" w:styleId="51">
    <w:name w:val="abstrac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2">
    <w:name w:val="abstract_more"/>
    <w:basedOn w:val="1"/>
    <w:autoRedefine/>
    <w:qFormat/>
    <w:uiPriority w:val="0"/>
    <w:pPr>
      <w:widowControl/>
      <w:spacing w:before="100" w:beforeAutospacing="1" w:after="100" w:afterAutospacing="1"/>
      <w:jc w:val="left"/>
    </w:pPr>
    <w:rPr>
      <w:rFonts w:ascii="宋体" w:hAnsi="宋体" w:cs="宋体"/>
      <w:kern w:val="0"/>
      <w:sz w:val="24"/>
    </w:rPr>
  </w:style>
  <w:style w:type="paragraph" w:styleId="53">
    <w:name w:val="No Spacing"/>
    <w:autoRedefine/>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4">
    <w:name w:val="标准文件_一级项"/>
    <w:autoRedefine/>
    <w:qFormat/>
    <w:uiPriority w:val="0"/>
    <w:pPr>
      <w:numPr>
        <w:ilvl w:val="0"/>
        <w:numId w:val="4"/>
      </w:numPr>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5149</Words>
  <Characters>5319</Characters>
  <Lines>92</Lines>
  <Paragraphs>26</Paragraphs>
  <TotalTime>75</TotalTime>
  <ScaleCrop>false</ScaleCrop>
  <LinksUpToDate>false</LinksUpToDate>
  <CharactersWithSpaces>5346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2023-11-07T15:48:00Z</dcterms:created>
  <dc:creator>Administrator</dc:creator>
  <cp:lastModifiedBy>冯流莹</cp:lastModifiedBy>
  <dcterms:modified xsi:type="dcterms:W3CDTF">2025-05-28T09:13:56Z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0719AB649F2848459F14F01DA6A52090_13</vt:lpwstr>
  </property>
  <property fmtid="{D5CDD505-2E9C-101B-9397-08002B2CF9AE}" pid="4" name="KSOTemplateDocerSaveRecord">
    <vt:lpwstr>eyJoZGlkIjoiOGFkZjVhNDJiMGExNWUxMjVmMmMwZDU4OWJmZWEzNzAiLCJ1c2VySWQiOiIyNDQ0MTQwMzQifQ==</vt:lpwstr>
  </property>
</Properties>
</file>