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2341D1D">
      <w:pPr>
        <w:ind w:firstLine="720"/>
        <w:jc w:val="center"/>
        <w:rPr>
          <w:rFonts w:ascii="方正小标宋简体" w:eastAsia="方正小标宋简体" w:cs="仿宋_GB2312"/>
          <w:bCs/>
          <w:color w:val="000000"/>
          <w:sz w:val="36"/>
          <w:szCs w:val="32"/>
        </w:rPr>
      </w:pPr>
      <w:r>
        <w:rPr>
          <w:rFonts w:hint="eastAsia" w:ascii="方正小标宋简体" w:eastAsia="方正小标宋简体" w:cs="仿宋_GB2312"/>
          <w:bCs/>
          <w:color w:val="000000"/>
          <w:sz w:val="36"/>
          <w:szCs w:val="32"/>
        </w:rPr>
        <w:t>团体标准《桫椤迁地保护技术规程》</w:t>
      </w:r>
    </w:p>
    <w:p w14:paraId="344DC783">
      <w:pPr>
        <w:ind w:firstLine="720"/>
        <w:jc w:val="center"/>
        <w:rPr>
          <w:rFonts w:ascii="方正小标宋简体" w:eastAsia="方正小标宋简体" w:cs="仿宋_GB2312"/>
          <w:bCs/>
          <w:color w:val="000000"/>
          <w:sz w:val="36"/>
          <w:szCs w:val="32"/>
        </w:rPr>
      </w:pPr>
      <w:r>
        <w:rPr>
          <w:rFonts w:hint="eastAsia" w:ascii="方正小标宋简体" w:eastAsia="方正小标宋简体" w:cs="仿宋_GB2312"/>
          <w:bCs/>
          <w:color w:val="000000"/>
          <w:sz w:val="36"/>
          <w:szCs w:val="32"/>
        </w:rPr>
        <w:t>（征求意见稿）编制说明</w:t>
      </w:r>
    </w:p>
    <w:p w14:paraId="26EBCE99">
      <w:pPr>
        <w:ind w:firstLine="360"/>
        <w:jc w:val="center"/>
        <w:rPr>
          <w:rFonts w:ascii="方正小标宋简体" w:eastAsia="方正小标宋简体" w:cs="仿宋_GB2312"/>
          <w:bCs/>
          <w:color w:val="000000"/>
          <w:sz w:val="18"/>
          <w:szCs w:val="18"/>
        </w:rPr>
      </w:pPr>
    </w:p>
    <w:p w14:paraId="3F618D89">
      <w:pPr>
        <w:spacing w:line="520" w:lineRule="exact"/>
        <w:ind w:firstLine="640" w:firstLineChars="200"/>
        <w:rPr>
          <w:rFonts w:ascii="黑体" w:eastAsia="黑体" w:cs="仿宋_GB2312"/>
          <w:bCs/>
          <w:sz w:val="32"/>
          <w:szCs w:val="32"/>
        </w:rPr>
      </w:pPr>
      <w:r>
        <w:rPr>
          <w:rFonts w:hint="eastAsia" w:ascii="黑体" w:eastAsia="黑体" w:cs="仿宋_GB2312"/>
          <w:sz w:val="32"/>
          <w:szCs w:val="32"/>
        </w:rPr>
        <w:t>一、任务来源、起草单位、主要起草人</w:t>
      </w:r>
    </w:p>
    <w:p w14:paraId="1C7FA553">
      <w:pPr>
        <w:spacing w:line="520" w:lineRule="exact"/>
        <w:ind w:firstLine="560" w:firstLineChars="200"/>
        <w:rPr>
          <w:rFonts w:ascii="仿宋_GB2312" w:eastAsia="仿宋_GB2312"/>
          <w:sz w:val="28"/>
          <w:szCs w:val="28"/>
        </w:rPr>
      </w:pPr>
      <w:r>
        <w:rPr>
          <w:rFonts w:hint="eastAsia" w:ascii="仿宋_GB2312" w:eastAsia="仿宋_GB2312"/>
          <w:sz w:val="28"/>
          <w:szCs w:val="28"/>
        </w:rPr>
        <w:t>根据《广西标准化协会关于下达2024年第三十六批团体标准制修订项目计划的通知》（桂标协〔2024〕250号）精神，由广西壮族自治区林业科学研究院提出，广西壮族自治区林业科学研究院、北京市植物园管理处、广西森工集团股份有限公司、南宁蓄能发电有限公司、南方电网调峰调频发电有限公司工程建设管理分公司、广西广林正山药业有限公司等单位共同起草的团体标准《桫椤迁地保护技术规程》（项目编号：2024-3606），已获立项。</w:t>
      </w:r>
    </w:p>
    <w:p w14:paraId="67F631D9">
      <w:pPr>
        <w:spacing w:line="520" w:lineRule="exact"/>
        <w:ind w:firstLine="560" w:firstLineChars="200"/>
        <w:rPr>
          <w:rFonts w:ascii="仿宋_GB2312" w:eastAsia="仿宋_GB2312"/>
          <w:color w:val="FF0000"/>
          <w:sz w:val="28"/>
          <w:szCs w:val="28"/>
        </w:rPr>
      </w:pPr>
      <w:r>
        <w:rPr>
          <w:rFonts w:hint="eastAsia" w:ascii="仿宋_GB2312" w:eastAsia="仿宋_GB2312"/>
          <w:sz w:val="28"/>
          <w:szCs w:val="28"/>
        </w:rPr>
        <w:t>为高质量编制团体标准《桫椤迁地保护技术规程》，由起草单位成立标准编制工作组并进行如下分工：</w:t>
      </w:r>
    </w:p>
    <w:tbl>
      <w:tblPr>
        <w:tblStyle w:val="13"/>
        <w:tblW w:w="94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5"/>
        <w:gridCol w:w="1583"/>
        <w:gridCol w:w="1103"/>
        <w:gridCol w:w="2821"/>
        <w:gridCol w:w="2948"/>
      </w:tblGrid>
      <w:tr w14:paraId="4B7FD4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AE343B9">
            <w:pPr>
              <w:keepNext w:val="0"/>
              <w:keepLines w:val="0"/>
              <w:suppressLineNumbers w:val="0"/>
              <w:spacing w:before="0" w:beforeAutospacing="0" w:after="0" w:afterAutospacing="0"/>
              <w:ind w:left="0" w:right="0"/>
              <w:jc w:val="center"/>
              <w:rPr>
                <w:rFonts w:hint="eastAsia" w:ascii="仿宋_GB2312" w:hAnsi="仿宋" w:eastAsia="仿宋_GB2312" w:cs="仿宋"/>
                <w:b/>
                <w:sz w:val="24"/>
              </w:rPr>
            </w:pPr>
            <w:r>
              <w:rPr>
                <w:rFonts w:hint="eastAsia" w:ascii="仿宋_GB2312" w:hAnsi="仿宋" w:eastAsia="仿宋_GB2312" w:cs="仿宋"/>
                <w:b/>
                <w:sz w:val="24"/>
              </w:rPr>
              <w:t>姓名</w:t>
            </w:r>
          </w:p>
        </w:tc>
        <w:tc>
          <w:tcPr>
            <w:tcW w:w="1583" w:type="dxa"/>
            <w:tcBorders>
              <w:top w:val="single" w:color="auto" w:sz="4" w:space="0"/>
              <w:left w:val="single" w:color="auto" w:sz="4" w:space="0"/>
              <w:bottom w:val="single" w:color="auto" w:sz="4" w:space="0"/>
              <w:right w:val="single" w:color="auto" w:sz="4" w:space="0"/>
            </w:tcBorders>
            <w:vAlign w:val="center"/>
          </w:tcPr>
          <w:p w14:paraId="2BA9EDA5">
            <w:pPr>
              <w:keepNext w:val="0"/>
              <w:keepLines w:val="0"/>
              <w:suppressLineNumbers w:val="0"/>
              <w:spacing w:before="0" w:beforeAutospacing="0" w:after="0" w:afterAutospacing="0"/>
              <w:ind w:left="0" w:right="0"/>
              <w:jc w:val="center"/>
              <w:rPr>
                <w:rFonts w:hint="eastAsia" w:ascii="仿宋_GB2312" w:hAnsi="仿宋" w:eastAsia="仿宋_GB2312" w:cs="仿宋"/>
                <w:b/>
                <w:sz w:val="24"/>
              </w:rPr>
            </w:pPr>
            <w:r>
              <w:rPr>
                <w:rFonts w:hint="eastAsia" w:ascii="仿宋_GB2312" w:hAnsi="仿宋" w:eastAsia="仿宋_GB2312" w:cs="仿宋"/>
                <w:b/>
                <w:sz w:val="24"/>
              </w:rPr>
              <w:t>职务/职</w:t>
            </w:r>
            <w:r>
              <w:rPr>
                <w:rFonts w:hint="default" w:ascii="仿宋_GB2312" w:hAnsi="仿宋" w:eastAsia="仿宋_GB2312" w:cs="仿宋"/>
                <w:b/>
                <w:sz w:val="24"/>
              </w:rPr>
              <w:t>称</w:t>
            </w:r>
          </w:p>
        </w:tc>
        <w:tc>
          <w:tcPr>
            <w:tcW w:w="1103" w:type="dxa"/>
            <w:tcBorders>
              <w:top w:val="single" w:color="auto" w:sz="4" w:space="0"/>
              <w:left w:val="single" w:color="auto" w:sz="4" w:space="0"/>
              <w:bottom w:val="single" w:color="auto" w:sz="4" w:space="0"/>
              <w:right w:val="single" w:color="auto" w:sz="4" w:space="0"/>
            </w:tcBorders>
            <w:vAlign w:val="center"/>
          </w:tcPr>
          <w:p w14:paraId="310E99E6">
            <w:pPr>
              <w:keepNext w:val="0"/>
              <w:keepLines w:val="0"/>
              <w:suppressLineNumbers w:val="0"/>
              <w:spacing w:before="0" w:beforeAutospacing="0" w:after="0" w:afterAutospacing="0"/>
              <w:ind w:left="0" w:right="0"/>
              <w:jc w:val="center"/>
              <w:rPr>
                <w:rFonts w:hint="eastAsia" w:ascii="仿宋_GB2312" w:hAnsi="仿宋" w:eastAsia="仿宋_GB2312" w:cs="仿宋"/>
                <w:b/>
                <w:sz w:val="24"/>
              </w:rPr>
            </w:pPr>
            <w:r>
              <w:rPr>
                <w:rFonts w:hint="eastAsia" w:ascii="仿宋_GB2312" w:hAnsi="仿宋" w:eastAsia="仿宋_GB2312" w:cs="仿宋"/>
                <w:b/>
                <w:sz w:val="24"/>
              </w:rPr>
              <w:t>从事</w:t>
            </w:r>
          </w:p>
          <w:p w14:paraId="1832E6EC">
            <w:pPr>
              <w:keepNext w:val="0"/>
              <w:keepLines w:val="0"/>
              <w:suppressLineNumbers w:val="0"/>
              <w:spacing w:before="0" w:beforeAutospacing="0" w:after="0" w:afterAutospacing="0"/>
              <w:ind w:left="0" w:right="0"/>
              <w:jc w:val="center"/>
              <w:rPr>
                <w:rFonts w:hint="eastAsia" w:ascii="仿宋_GB2312" w:hAnsi="仿宋" w:eastAsia="仿宋_GB2312" w:cs="仿宋"/>
                <w:b/>
                <w:sz w:val="24"/>
              </w:rPr>
            </w:pPr>
            <w:r>
              <w:rPr>
                <w:rFonts w:hint="eastAsia" w:ascii="仿宋_GB2312" w:hAnsi="仿宋" w:eastAsia="仿宋_GB2312" w:cs="仿宋"/>
                <w:b/>
                <w:sz w:val="24"/>
              </w:rPr>
              <w:t>专业</w:t>
            </w:r>
          </w:p>
        </w:tc>
        <w:tc>
          <w:tcPr>
            <w:tcW w:w="2821" w:type="dxa"/>
            <w:tcBorders>
              <w:top w:val="single" w:color="auto" w:sz="4" w:space="0"/>
              <w:left w:val="single" w:color="auto" w:sz="4" w:space="0"/>
              <w:bottom w:val="single" w:color="auto" w:sz="4" w:space="0"/>
              <w:right w:val="single" w:color="auto" w:sz="4" w:space="0"/>
            </w:tcBorders>
            <w:vAlign w:val="center"/>
          </w:tcPr>
          <w:p w14:paraId="73D1A175">
            <w:pPr>
              <w:keepNext w:val="0"/>
              <w:keepLines w:val="0"/>
              <w:suppressLineNumbers w:val="0"/>
              <w:spacing w:before="0" w:beforeAutospacing="0" w:after="0" w:afterAutospacing="0"/>
              <w:ind w:left="0" w:right="0"/>
              <w:jc w:val="center"/>
              <w:rPr>
                <w:rFonts w:hint="eastAsia" w:ascii="仿宋_GB2312" w:hAnsi="仿宋" w:eastAsia="仿宋_GB2312" w:cs="仿宋"/>
                <w:b/>
                <w:sz w:val="24"/>
              </w:rPr>
            </w:pPr>
            <w:r>
              <w:rPr>
                <w:rFonts w:hint="eastAsia" w:ascii="仿宋_GB2312" w:hAnsi="仿宋" w:eastAsia="仿宋_GB2312" w:cs="仿宋"/>
                <w:b/>
                <w:sz w:val="24"/>
              </w:rPr>
              <w:t>工作单位</w:t>
            </w:r>
          </w:p>
        </w:tc>
        <w:tc>
          <w:tcPr>
            <w:tcW w:w="2948" w:type="dxa"/>
            <w:tcBorders>
              <w:top w:val="single" w:color="auto" w:sz="4" w:space="0"/>
              <w:left w:val="single" w:color="auto" w:sz="4" w:space="0"/>
              <w:bottom w:val="single" w:color="auto" w:sz="4" w:space="0"/>
              <w:right w:val="single" w:color="auto" w:sz="4" w:space="0"/>
            </w:tcBorders>
            <w:vAlign w:val="center"/>
          </w:tcPr>
          <w:p w14:paraId="4C2BE869">
            <w:pPr>
              <w:keepNext w:val="0"/>
              <w:keepLines w:val="0"/>
              <w:suppressLineNumbers w:val="0"/>
              <w:spacing w:before="0" w:beforeAutospacing="0" w:after="0" w:afterAutospacing="0"/>
              <w:ind w:left="0" w:right="0"/>
              <w:jc w:val="center"/>
              <w:rPr>
                <w:rFonts w:hint="eastAsia" w:ascii="仿宋_GB2312" w:hAnsi="仿宋" w:eastAsia="仿宋_GB2312" w:cs="仿宋"/>
                <w:b/>
                <w:sz w:val="24"/>
              </w:rPr>
            </w:pPr>
            <w:r>
              <w:rPr>
                <w:rFonts w:hint="eastAsia" w:ascii="仿宋_GB2312" w:hAnsi="仿宋" w:eastAsia="仿宋_GB2312" w:cs="仿宋"/>
                <w:b/>
                <w:sz w:val="24"/>
              </w:rPr>
              <w:t>主要负责工作</w:t>
            </w:r>
          </w:p>
        </w:tc>
      </w:tr>
      <w:tr w14:paraId="20551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21AEDBE">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sz w:val="24"/>
              </w:rPr>
              <w:t>和秋兰</w:t>
            </w:r>
          </w:p>
        </w:tc>
        <w:tc>
          <w:tcPr>
            <w:tcW w:w="1583" w:type="dxa"/>
            <w:tcBorders>
              <w:top w:val="single" w:color="auto" w:sz="4" w:space="0"/>
              <w:left w:val="single" w:color="auto" w:sz="4" w:space="0"/>
              <w:bottom w:val="single" w:color="auto" w:sz="4" w:space="0"/>
              <w:right w:val="single" w:color="auto" w:sz="4" w:space="0"/>
            </w:tcBorders>
            <w:vAlign w:val="center"/>
          </w:tcPr>
          <w:p w14:paraId="5E1F40DA">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bCs/>
                <w:sz w:val="24"/>
              </w:rPr>
              <w:t>未取得</w:t>
            </w:r>
          </w:p>
        </w:tc>
        <w:tc>
          <w:tcPr>
            <w:tcW w:w="1103" w:type="dxa"/>
            <w:tcBorders>
              <w:top w:val="single" w:color="auto" w:sz="4" w:space="0"/>
              <w:left w:val="single" w:color="auto" w:sz="4" w:space="0"/>
              <w:bottom w:val="single" w:color="auto" w:sz="4" w:space="0"/>
              <w:right w:val="single" w:color="auto" w:sz="4" w:space="0"/>
            </w:tcBorders>
            <w:vAlign w:val="center"/>
          </w:tcPr>
          <w:p w14:paraId="7007D931">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bCs/>
                <w:sz w:val="24"/>
              </w:rPr>
              <w:t>栽培学</w:t>
            </w:r>
          </w:p>
        </w:tc>
        <w:tc>
          <w:tcPr>
            <w:tcW w:w="2821" w:type="dxa"/>
            <w:tcBorders>
              <w:top w:val="single" w:color="auto" w:sz="4" w:space="0"/>
              <w:left w:val="single" w:color="auto" w:sz="4" w:space="0"/>
              <w:bottom w:val="single" w:color="auto" w:sz="4" w:space="0"/>
              <w:right w:val="single" w:color="auto" w:sz="4" w:space="0"/>
            </w:tcBorders>
            <w:vAlign w:val="center"/>
          </w:tcPr>
          <w:p w14:paraId="78241027">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1A8CA2F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统筹主持标准编制工作</w:t>
            </w:r>
          </w:p>
        </w:tc>
      </w:tr>
      <w:tr w14:paraId="262E25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CA8FA34">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highlight w:val="yellow"/>
              </w:rPr>
            </w:pPr>
            <w:r>
              <w:rPr>
                <w:rFonts w:hint="eastAsia" w:ascii="仿宋_GB2312" w:hAnsi="仿宋_GB2312" w:eastAsia="仿宋_GB2312" w:cs="仿宋_GB2312"/>
                <w:sz w:val="24"/>
              </w:rPr>
              <w:t>吴菲</w:t>
            </w:r>
          </w:p>
        </w:tc>
        <w:tc>
          <w:tcPr>
            <w:tcW w:w="1583" w:type="dxa"/>
            <w:tcBorders>
              <w:top w:val="single" w:color="auto" w:sz="4" w:space="0"/>
              <w:left w:val="single" w:color="auto" w:sz="4" w:space="0"/>
              <w:bottom w:val="single" w:color="auto" w:sz="4" w:space="0"/>
              <w:right w:val="single" w:color="auto" w:sz="4" w:space="0"/>
            </w:tcBorders>
            <w:vAlign w:val="center"/>
          </w:tcPr>
          <w:p w14:paraId="799398BE">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bCs/>
                <w:sz w:val="24"/>
              </w:rPr>
              <w:t>国家植物园（北园）温室中心副主任/正高级工程师</w:t>
            </w:r>
          </w:p>
        </w:tc>
        <w:tc>
          <w:tcPr>
            <w:tcW w:w="1103" w:type="dxa"/>
            <w:tcBorders>
              <w:top w:val="single" w:color="auto" w:sz="4" w:space="0"/>
              <w:left w:val="single" w:color="auto" w:sz="4" w:space="0"/>
              <w:bottom w:val="single" w:color="auto" w:sz="4" w:space="0"/>
              <w:right w:val="single" w:color="auto" w:sz="4" w:space="0"/>
            </w:tcBorders>
            <w:vAlign w:val="center"/>
          </w:tcPr>
          <w:p w14:paraId="2E57BAF8">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bCs/>
                <w:sz w:val="24"/>
              </w:rPr>
              <w:t>观赏园艺</w:t>
            </w:r>
          </w:p>
        </w:tc>
        <w:tc>
          <w:tcPr>
            <w:tcW w:w="2821" w:type="dxa"/>
            <w:tcBorders>
              <w:top w:val="single" w:color="auto" w:sz="4" w:space="0"/>
              <w:left w:val="single" w:color="auto" w:sz="4" w:space="0"/>
              <w:bottom w:val="single" w:color="auto" w:sz="4" w:space="0"/>
              <w:right w:val="single" w:color="auto" w:sz="4" w:space="0"/>
            </w:tcBorders>
            <w:vAlign w:val="center"/>
          </w:tcPr>
          <w:p w14:paraId="76AC7F00">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国家植物园（北园）</w:t>
            </w:r>
          </w:p>
        </w:tc>
        <w:tc>
          <w:tcPr>
            <w:tcW w:w="2948" w:type="dxa"/>
            <w:tcBorders>
              <w:top w:val="single" w:color="auto" w:sz="4" w:space="0"/>
              <w:left w:val="single" w:color="auto" w:sz="4" w:space="0"/>
              <w:bottom w:val="single" w:color="auto" w:sz="4" w:space="0"/>
              <w:right w:val="single" w:color="auto" w:sz="4" w:space="0"/>
            </w:tcBorders>
            <w:vAlign w:val="center"/>
          </w:tcPr>
          <w:p w14:paraId="52912B12">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21230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3740339">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highlight w:val="yellow"/>
              </w:rPr>
            </w:pPr>
            <w:r>
              <w:rPr>
                <w:rFonts w:hint="eastAsia" w:ascii="仿宋_GB2312" w:hAnsi="仿宋_GB2312" w:eastAsia="仿宋_GB2312" w:cs="仿宋_GB2312"/>
                <w:sz w:val="24"/>
              </w:rPr>
              <w:t>唐黎明</w:t>
            </w:r>
          </w:p>
        </w:tc>
        <w:tc>
          <w:tcPr>
            <w:tcW w:w="1583" w:type="dxa"/>
            <w:tcBorders>
              <w:top w:val="single" w:color="auto" w:sz="4" w:space="0"/>
              <w:left w:val="single" w:color="auto" w:sz="4" w:space="0"/>
              <w:bottom w:val="single" w:color="auto" w:sz="4" w:space="0"/>
              <w:right w:val="single" w:color="auto" w:sz="4" w:space="0"/>
            </w:tcBorders>
            <w:vAlign w:val="center"/>
          </w:tcPr>
          <w:p w14:paraId="24AC70E9">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bCs/>
                <w:sz w:val="24"/>
              </w:rPr>
              <w:t>正高级工程师</w:t>
            </w:r>
          </w:p>
        </w:tc>
        <w:tc>
          <w:tcPr>
            <w:tcW w:w="1103" w:type="dxa"/>
            <w:tcBorders>
              <w:top w:val="single" w:color="auto" w:sz="4" w:space="0"/>
              <w:left w:val="single" w:color="auto" w:sz="4" w:space="0"/>
              <w:bottom w:val="single" w:color="auto" w:sz="4" w:space="0"/>
              <w:right w:val="single" w:color="auto" w:sz="4" w:space="0"/>
            </w:tcBorders>
            <w:vAlign w:val="center"/>
          </w:tcPr>
          <w:p w14:paraId="06744DE6">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bCs/>
                <w:sz w:val="24"/>
              </w:rPr>
              <w:t>林业工程</w:t>
            </w:r>
          </w:p>
        </w:tc>
        <w:tc>
          <w:tcPr>
            <w:tcW w:w="2821" w:type="dxa"/>
            <w:tcBorders>
              <w:top w:val="single" w:color="auto" w:sz="4" w:space="0"/>
              <w:left w:val="single" w:color="auto" w:sz="4" w:space="0"/>
              <w:bottom w:val="single" w:color="auto" w:sz="4" w:space="0"/>
              <w:right w:val="single" w:color="auto" w:sz="4" w:space="0"/>
            </w:tcBorders>
            <w:vAlign w:val="center"/>
          </w:tcPr>
          <w:p w14:paraId="36DD2D5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广西森工集团股份有限公司</w:t>
            </w:r>
          </w:p>
        </w:tc>
        <w:tc>
          <w:tcPr>
            <w:tcW w:w="2948" w:type="dxa"/>
            <w:tcBorders>
              <w:top w:val="single" w:color="auto" w:sz="4" w:space="0"/>
              <w:left w:val="single" w:color="auto" w:sz="4" w:space="0"/>
              <w:bottom w:val="single" w:color="auto" w:sz="4" w:space="0"/>
              <w:right w:val="single" w:color="auto" w:sz="4" w:space="0"/>
            </w:tcBorders>
            <w:vAlign w:val="center"/>
          </w:tcPr>
          <w:p w14:paraId="5E20888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参与标准文本及编制说明编写，质量控制</w:t>
            </w:r>
          </w:p>
        </w:tc>
      </w:tr>
      <w:tr w14:paraId="514C7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83408E6">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highlight w:val="yellow"/>
              </w:rPr>
            </w:pPr>
            <w:r>
              <w:rPr>
                <w:rFonts w:hint="eastAsia" w:ascii="仿宋_GB2312" w:hAnsi="仿宋_GB2312" w:eastAsia="仿宋_GB2312" w:cs="仿宋_GB2312"/>
                <w:sz w:val="24"/>
              </w:rPr>
              <w:t>唐真郎</w:t>
            </w:r>
          </w:p>
        </w:tc>
        <w:tc>
          <w:tcPr>
            <w:tcW w:w="1583" w:type="dxa"/>
            <w:tcBorders>
              <w:top w:val="single" w:color="auto" w:sz="4" w:space="0"/>
              <w:left w:val="single" w:color="auto" w:sz="4" w:space="0"/>
              <w:bottom w:val="single" w:color="auto" w:sz="4" w:space="0"/>
              <w:right w:val="single" w:color="auto" w:sz="4" w:space="0"/>
            </w:tcBorders>
            <w:vAlign w:val="center"/>
          </w:tcPr>
          <w:p w14:paraId="5F4642F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bCs/>
                <w:sz w:val="24"/>
              </w:rPr>
              <w:t>工程师</w:t>
            </w:r>
          </w:p>
        </w:tc>
        <w:tc>
          <w:tcPr>
            <w:tcW w:w="1103" w:type="dxa"/>
            <w:tcBorders>
              <w:top w:val="single" w:color="auto" w:sz="4" w:space="0"/>
              <w:left w:val="single" w:color="auto" w:sz="4" w:space="0"/>
              <w:bottom w:val="single" w:color="auto" w:sz="4" w:space="0"/>
              <w:right w:val="single" w:color="auto" w:sz="4" w:space="0"/>
            </w:tcBorders>
            <w:vAlign w:val="center"/>
          </w:tcPr>
          <w:p w14:paraId="258498D0">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bCs/>
                <w:sz w:val="24"/>
              </w:rPr>
              <w:t>中药材种植与推广</w:t>
            </w:r>
          </w:p>
        </w:tc>
        <w:tc>
          <w:tcPr>
            <w:tcW w:w="2821" w:type="dxa"/>
            <w:tcBorders>
              <w:top w:val="single" w:color="auto" w:sz="4" w:space="0"/>
              <w:left w:val="single" w:color="auto" w:sz="4" w:space="0"/>
              <w:bottom w:val="single" w:color="auto" w:sz="4" w:space="0"/>
              <w:right w:val="single" w:color="auto" w:sz="4" w:space="0"/>
            </w:tcBorders>
            <w:vAlign w:val="center"/>
          </w:tcPr>
          <w:p w14:paraId="6AE7202D">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广西广林正山药业有限公司</w:t>
            </w:r>
          </w:p>
        </w:tc>
        <w:tc>
          <w:tcPr>
            <w:tcW w:w="2948" w:type="dxa"/>
            <w:tcBorders>
              <w:top w:val="single" w:color="auto" w:sz="4" w:space="0"/>
              <w:left w:val="single" w:color="auto" w:sz="4" w:space="0"/>
              <w:bottom w:val="single" w:color="auto" w:sz="4" w:space="0"/>
              <w:right w:val="single" w:color="auto" w:sz="4" w:space="0"/>
            </w:tcBorders>
            <w:vAlign w:val="center"/>
          </w:tcPr>
          <w:p w14:paraId="3FCA5C87">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w:t>
            </w:r>
          </w:p>
        </w:tc>
      </w:tr>
      <w:tr w14:paraId="7CDC8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E4CB788">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highlight w:val="yellow"/>
                <w:lang w:bidi="ar"/>
              </w:rPr>
            </w:pPr>
            <w:r>
              <w:rPr>
                <w:rFonts w:hint="eastAsia" w:ascii="仿宋_GB2312" w:hAnsi="仿宋_GB2312" w:eastAsia="仿宋_GB2312" w:cs="仿宋_GB2312"/>
                <w:sz w:val="24"/>
              </w:rPr>
              <w:t>黄耀恒</w:t>
            </w:r>
          </w:p>
        </w:tc>
        <w:tc>
          <w:tcPr>
            <w:tcW w:w="1583" w:type="dxa"/>
            <w:tcBorders>
              <w:top w:val="single" w:color="auto" w:sz="4" w:space="0"/>
              <w:left w:val="single" w:color="auto" w:sz="4" w:space="0"/>
              <w:bottom w:val="single" w:color="auto" w:sz="4" w:space="0"/>
              <w:right w:val="single" w:color="auto" w:sz="4" w:space="0"/>
            </w:tcBorders>
            <w:vAlign w:val="center"/>
          </w:tcPr>
          <w:p w14:paraId="6029C6E1">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工程师</w:t>
            </w:r>
          </w:p>
        </w:tc>
        <w:tc>
          <w:tcPr>
            <w:tcW w:w="1103" w:type="dxa"/>
            <w:tcBorders>
              <w:top w:val="single" w:color="auto" w:sz="4" w:space="0"/>
              <w:left w:val="single" w:color="auto" w:sz="4" w:space="0"/>
              <w:bottom w:val="single" w:color="auto" w:sz="4" w:space="0"/>
              <w:right w:val="single" w:color="auto" w:sz="4" w:space="0"/>
            </w:tcBorders>
            <w:vAlign w:val="center"/>
          </w:tcPr>
          <w:p w14:paraId="3DBF83EC">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林学</w:t>
            </w:r>
          </w:p>
        </w:tc>
        <w:tc>
          <w:tcPr>
            <w:tcW w:w="2821" w:type="dxa"/>
            <w:tcBorders>
              <w:top w:val="single" w:color="auto" w:sz="4" w:space="0"/>
              <w:left w:val="single" w:color="auto" w:sz="4" w:space="0"/>
              <w:bottom w:val="single" w:color="auto" w:sz="4" w:space="0"/>
              <w:right w:val="single" w:color="auto" w:sz="4" w:space="0"/>
            </w:tcBorders>
            <w:vAlign w:val="center"/>
          </w:tcPr>
          <w:p w14:paraId="7734DAEF">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41BFF9BC">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4EDE42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2F3ADCD">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highlight w:val="yellow"/>
              </w:rPr>
            </w:pPr>
            <w:r>
              <w:rPr>
                <w:rFonts w:hint="eastAsia" w:ascii="仿宋_GB2312" w:hAnsi="仿宋_GB2312" w:eastAsia="仿宋_GB2312" w:cs="仿宋_GB2312"/>
                <w:sz w:val="24"/>
              </w:rPr>
              <w:t>梁圣华</w:t>
            </w:r>
          </w:p>
        </w:tc>
        <w:tc>
          <w:tcPr>
            <w:tcW w:w="1583" w:type="dxa"/>
            <w:tcBorders>
              <w:top w:val="single" w:color="auto" w:sz="4" w:space="0"/>
              <w:left w:val="single" w:color="auto" w:sz="4" w:space="0"/>
              <w:bottom w:val="single" w:color="auto" w:sz="4" w:space="0"/>
              <w:right w:val="single" w:color="auto" w:sz="4" w:space="0"/>
            </w:tcBorders>
            <w:vAlign w:val="center"/>
          </w:tcPr>
          <w:p w14:paraId="495F53A2">
            <w:pPr>
              <w:keepNext w:val="0"/>
              <w:keepLines w:val="0"/>
              <w:suppressLineNumbers w:val="0"/>
              <w:spacing w:before="0" w:beforeAutospacing="0" w:after="0" w:afterAutospacing="0"/>
              <w:ind w:left="0" w:right="0"/>
              <w:jc w:val="center"/>
              <w:rPr>
                <w:rFonts w:hint="eastAsia" w:ascii="仿宋_GB2312" w:hAnsi="仿宋_GB2312" w:eastAsia="仿宋_GB2312" w:cs="仿宋_GB2312"/>
                <w:bCs/>
                <w:sz w:val="24"/>
              </w:rPr>
            </w:pPr>
            <w:r>
              <w:rPr>
                <w:rFonts w:hint="eastAsia" w:ascii="仿宋_GB2312" w:hAnsi="仿宋_GB2312" w:eastAsia="仿宋_GB2312" w:cs="仿宋_GB2312"/>
                <w:bCs/>
                <w:sz w:val="24"/>
              </w:rPr>
              <w:t>工程师</w:t>
            </w:r>
          </w:p>
        </w:tc>
        <w:tc>
          <w:tcPr>
            <w:tcW w:w="1103" w:type="dxa"/>
            <w:tcBorders>
              <w:top w:val="single" w:color="auto" w:sz="4" w:space="0"/>
              <w:left w:val="single" w:color="auto" w:sz="4" w:space="0"/>
              <w:bottom w:val="single" w:color="auto" w:sz="4" w:space="0"/>
              <w:right w:val="single" w:color="auto" w:sz="4" w:space="0"/>
            </w:tcBorders>
            <w:vAlign w:val="center"/>
          </w:tcPr>
          <w:p w14:paraId="69185699">
            <w:pPr>
              <w:keepNext w:val="0"/>
              <w:keepLines w:val="0"/>
              <w:suppressLineNumbers w:val="0"/>
              <w:spacing w:before="0" w:beforeAutospacing="0" w:after="0" w:afterAutospacing="0"/>
              <w:ind w:left="-105" w:leftChars="-50" w:right="-105" w:rightChars="-50"/>
              <w:jc w:val="center"/>
              <w:rPr>
                <w:rFonts w:hint="eastAsia" w:ascii="仿宋_GB2312" w:hAnsi="仿宋_GB2312" w:eastAsia="仿宋_GB2312" w:cs="仿宋_GB2312"/>
                <w:bCs/>
                <w:sz w:val="24"/>
              </w:rPr>
            </w:pPr>
            <w:r>
              <w:rPr>
                <w:rFonts w:hint="eastAsia" w:ascii="仿宋_GB2312" w:hAnsi="仿宋_GB2312" w:eastAsia="仿宋_GB2312" w:cs="仿宋_GB2312"/>
                <w:bCs/>
                <w:sz w:val="24"/>
              </w:rPr>
              <w:t>林学</w:t>
            </w:r>
          </w:p>
        </w:tc>
        <w:tc>
          <w:tcPr>
            <w:tcW w:w="2821" w:type="dxa"/>
            <w:tcBorders>
              <w:top w:val="single" w:color="auto" w:sz="4" w:space="0"/>
              <w:left w:val="single" w:color="auto" w:sz="4" w:space="0"/>
              <w:bottom w:val="single" w:color="auto" w:sz="4" w:space="0"/>
              <w:right w:val="single" w:color="auto" w:sz="4" w:space="0"/>
            </w:tcBorders>
            <w:vAlign w:val="center"/>
          </w:tcPr>
          <w:p w14:paraId="65BF293C">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719DD416">
            <w:pPr>
              <w:keepNext w:val="0"/>
              <w:keepLines w:val="0"/>
              <w:suppressLineNumbers w:val="0"/>
              <w:spacing w:before="0" w:beforeAutospacing="0" w:after="0" w:afterAutospacing="0"/>
              <w:ind w:left="0" w:right="0"/>
              <w:jc w:val="center"/>
              <w:rPr>
                <w:rFonts w:hint="eastAsia" w:ascii="仿宋_GB2312" w:hAnsi="仿宋_GB2312" w:eastAsia="仿宋_GB2312" w:cs="仿宋_GB2312"/>
                <w:b/>
                <w:bCs/>
                <w:sz w:val="24"/>
                <w:lang w:bidi="ar"/>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426E0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FA677B5">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highlight w:val="yellow"/>
              </w:rPr>
            </w:pPr>
            <w:r>
              <w:rPr>
                <w:rFonts w:hint="eastAsia" w:ascii="仿宋_GB2312" w:hAnsi="仿宋_GB2312" w:eastAsia="仿宋_GB2312" w:cs="仿宋_GB2312"/>
                <w:sz w:val="24"/>
              </w:rPr>
              <w:t>李健玲</w:t>
            </w:r>
          </w:p>
        </w:tc>
        <w:tc>
          <w:tcPr>
            <w:tcW w:w="1583" w:type="dxa"/>
            <w:tcBorders>
              <w:top w:val="single" w:color="auto" w:sz="4" w:space="0"/>
              <w:left w:val="single" w:color="auto" w:sz="4" w:space="0"/>
              <w:bottom w:val="single" w:color="auto" w:sz="4" w:space="0"/>
              <w:right w:val="single" w:color="auto" w:sz="4" w:space="0"/>
            </w:tcBorders>
            <w:vAlign w:val="center"/>
          </w:tcPr>
          <w:p w14:paraId="704B321E">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bCs/>
                <w:sz w:val="24"/>
              </w:rPr>
              <w:t>工程师</w:t>
            </w:r>
          </w:p>
        </w:tc>
        <w:tc>
          <w:tcPr>
            <w:tcW w:w="1103" w:type="dxa"/>
            <w:tcBorders>
              <w:top w:val="single" w:color="auto" w:sz="4" w:space="0"/>
              <w:left w:val="single" w:color="auto" w:sz="4" w:space="0"/>
              <w:bottom w:val="single" w:color="auto" w:sz="4" w:space="0"/>
              <w:right w:val="single" w:color="auto" w:sz="4" w:space="0"/>
            </w:tcBorders>
            <w:vAlign w:val="center"/>
          </w:tcPr>
          <w:p w14:paraId="0FCEA129">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bCs/>
                <w:sz w:val="24"/>
              </w:rPr>
              <w:t>植物学</w:t>
            </w:r>
          </w:p>
        </w:tc>
        <w:tc>
          <w:tcPr>
            <w:tcW w:w="2821" w:type="dxa"/>
            <w:tcBorders>
              <w:top w:val="single" w:color="auto" w:sz="4" w:space="0"/>
              <w:left w:val="single" w:color="auto" w:sz="4" w:space="0"/>
              <w:bottom w:val="single" w:color="auto" w:sz="4" w:space="0"/>
              <w:right w:val="single" w:color="auto" w:sz="4" w:space="0"/>
            </w:tcBorders>
            <w:vAlign w:val="center"/>
          </w:tcPr>
          <w:p w14:paraId="050969E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55308BBF">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3B669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308F604">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highlight w:val="yellow"/>
              </w:rPr>
            </w:pPr>
            <w:r>
              <w:rPr>
                <w:rFonts w:hint="eastAsia" w:ascii="仿宋_GB2312" w:hAnsi="仿宋_GB2312" w:eastAsia="仿宋_GB2312" w:cs="仿宋_GB2312"/>
                <w:sz w:val="24"/>
              </w:rPr>
              <w:t>秦波</w:t>
            </w:r>
          </w:p>
        </w:tc>
        <w:tc>
          <w:tcPr>
            <w:tcW w:w="1583" w:type="dxa"/>
            <w:tcBorders>
              <w:top w:val="single" w:color="auto" w:sz="4" w:space="0"/>
              <w:left w:val="single" w:color="auto" w:sz="4" w:space="0"/>
              <w:bottom w:val="single" w:color="auto" w:sz="4" w:space="0"/>
              <w:right w:val="single" w:color="auto" w:sz="4" w:space="0"/>
            </w:tcBorders>
            <w:vAlign w:val="center"/>
          </w:tcPr>
          <w:p w14:paraId="59D2BD5C">
            <w:pPr>
              <w:keepNext w:val="0"/>
              <w:keepLines w:val="0"/>
              <w:suppressLineNumbers w:val="0"/>
              <w:spacing w:before="0" w:beforeAutospacing="0" w:after="0" w:afterAutospacing="0"/>
              <w:ind w:left="0" w:right="0"/>
              <w:jc w:val="center"/>
              <w:rPr>
                <w:rFonts w:hint="eastAsia" w:ascii="仿宋_GB2312" w:hAnsi="仿宋_GB2312" w:eastAsia="仿宋_GB2312" w:cs="仿宋_GB2312"/>
                <w:bCs/>
                <w:sz w:val="24"/>
              </w:rPr>
            </w:pPr>
            <w:r>
              <w:rPr>
                <w:rFonts w:hint="eastAsia" w:ascii="仿宋_GB2312" w:hAnsi="仿宋_GB2312" w:eastAsia="仿宋_GB2312" w:cs="仿宋_GB2312"/>
                <w:bCs/>
                <w:sz w:val="24"/>
              </w:rPr>
              <w:t>工程师</w:t>
            </w:r>
          </w:p>
        </w:tc>
        <w:tc>
          <w:tcPr>
            <w:tcW w:w="1103" w:type="dxa"/>
            <w:tcBorders>
              <w:top w:val="single" w:color="auto" w:sz="4" w:space="0"/>
              <w:left w:val="single" w:color="auto" w:sz="4" w:space="0"/>
              <w:bottom w:val="single" w:color="auto" w:sz="4" w:space="0"/>
              <w:right w:val="single" w:color="auto" w:sz="4" w:space="0"/>
            </w:tcBorders>
            <w:vAlign w:val="center"/>
          </w:tcPr>
          <w:p w14:paraId="04B75E53">
            <w:pPr>
              <w:keepNext w:val="0"/>
              <w:keepLines w:val="0"/>
              <w:suppressLineNumbers w:val="0"/>
              <w:spacing w:before="0" w:beforeAutospacing="0" w:after="0" w:afterAutospacing="0"/>
              <w:ind w:left="-105" w:leftChars="-50" w:right="-105" w:rightChars="-50"/>
              <w:jc w:val="center"/>
              <w:rPr>
                <w:rFonts w:hint="eastAsia" w:ascii="仿宋_GB2312" w:hAnsi="仿宋_GB2312" w:eastAsia="仿宋_GB2312" w:cs="仿宋_GB2312"/>
                <w:bCs/>
                <w:sz w:val="24"/>
              </w:rPr>
            </w:pPr>
            <w:r>
              <w:rPr>
                <w:rFonts w:hint="eastAsia" w:ascii="仿宋_GB2312" w:hAnsi="仿宋_GB2312" w:eastAsia="仿宋_GB2312" w:cs="仿宋_GB2312"/>
                <w:bCs/>
                <w:sz w:val="24"/>
              </w:rPr>
              <w:t>植物遗传育种</w:t>
            </w:r>
          </w:p>
        </w:tc>
        <w:tc>
          <w:tcPr>
            <w:tcW w:w="2821" w:type="dxa"/>
            <w:tcBorders>
              <w:top w:val="single" w:color="auto" w:sz="4" w:space="0"/>
              <w:left w:val="single" w:color="auto" w:sz="4" w:space="0"/>
              <w:bottom w:val="single" w:color="auto" w:sz="4" w:space="0"/>
              <w:right w:val="single" w:color="auto" w:sz="4" w:space="0"/>
            </w:tcBorders>
            <w:vAlign w:val="center"/>
          </w:tcPr>
          <w:p w14:paraId="09AA38D9">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62539421">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76F5B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8F34653">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highlight w:val="yellow"/>
                <w:lang w:bidi="ar"/>
              </w:rPr>
            </w:pPr>
            <w:r>
              <w:rPr>
                <w:rFonts w:hint="eastAsia" w:ascii="仿宋_GB2312" w:hAnsi="仿宋_GB2312" w:eastAsia="仿宋_GB2312" w:cs="仿宋_GB2312"/>
                <w:sz w:val="24"/>
              </w:rPr>
              <w:t>黄红宝</w:t>
            </w:r>
          </w:p>
        </w:tc>
        <w:tc>
          <w:tcPr>
            <w:tcW w:w="1583" w:type="dxa"/>
            <w:tcBorders>
              <w:top w:val="single" w:color="auto" w:sz="4" w:space="0"/>
              <w:left w:val="single" w:color="auto" w:sz="4" w:space="0"/>
              <w:bottom w:val="single" w:color="auto" w:sz="4" w:space="0"/>
              <w:right w:val="single" w:color="auto" w:sz="4" w:space="0"/>
            </w:tcBorders>
            <w:vAlign w:val="center"/>
          </w:tcPr>
          <w:p w14:paraId="57DDBF7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工程师</w:t>
            </w:r>
          </w:p>
        </w:tc>
        <w:tc>
          <w:tcPr>
            <w:tcW w:w="1103" w:type="dxa"/>
            <w:tcBorders>
              <w:top w:val="single" w:color="auto" w:sz="4" w:space="0"/>
              <w:left w:val="single" w:color="auto" w:sz="4" w:space="0"/>
              <w:bottom w:val="single" w:color="auto" w:sz="4" w:space="0"/>
              <w:right w:val="single" w:color="auto" w:sz="4" w:space="0"/>
            </w:tcBorders>
            <w:vAlign w:val="center"/>
          </w:tcPr>
          <w:p w14:paraId="7107D003">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林学</w:t>
            </w:r>
          </w:p>
        </w:tc>
        <w:tc>
          <w:tcPr>
            <w:tcW w:w="2821" w:type="dxa"/>
            <w:tcBorders>
              <w:top w:val="single" w:color="auto" w:sz="4" w:space="0"/>
              <w:left w:val="single" w:color="auto" w:sz="4" w:space="0"/>
              <w:bottom w:val="single" w:color="auto" w:sz="4" w:space="0"/>
              <w:right w:val="single" w:color="auto" w:sz="4" w:space="0"/>
            </w:tcBorders>
            <w:vAlign w:val="center"/>
          </w:tcPr>
          <w:p w14:paraId="53C3E65E">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1D6997E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rPr>
            </w:pPr>
            <w:r>
              <w:rPr>
                <w:rFonts w:hint="eastAsia" w:ascii="仿宋_GB2312" w:hAnsi="仿宋_GB2312" w:eastAsia="仿宋_GB2312" w:cs="仿宋_GB2312"/>
                <w:sz w:val="24"/>
                <w:lang w:bidi="ar"/>
              </w:rPr>
              <w:t>参与标准文本及编制说明的编写</w:t>
            </w:r>
          </w:p>
        </w:tc>
      </w:tr>
      <w:tr w14:paraId="2B560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4B9A5FB0">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highlight w:val="yellow"/>
                <w:lang w:bidi="ar"/>
              </w:rPr>
            </w:pPr>
            <w:r>
              <w:rPr>
                <w:rFonts w:hint="eastAsia" w:ascii="仿宋_GB2312" w:hAnsi="仿宋_GB2312" w:eastAsia="仿宋_GB2312" w:cs="仿宋_GB2312"/>
                <w:sz w:val="24"/>
              </w:rPr>
              <w:t>韦颖文</w:t>
            </w:r>
          </w:p>
        </w:tc>
        <w:tc>
          <w:tcPr>
            <w:tcW w:w="1583" w:type="dxa"/>
            <w:tcBorders>
              <w:top w:val="single" w:color="auto" w:sz="4" w:space="0"/>
              <w:left w:val="single" w:color="auto" w:sz="4" w:space="0"/>
              <w:bottom w:val="single" w:color="auto" w:sz="4" w:space="0"/>
              <w:right w:val="single" w:color="auto" w:sz="4" w:space="0"/>
            </w:tcBorders>
            <w:vAlign w:val="center"/>
          </w:tcPr>
          <w:p w14:paraId="7C55BFC5">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bCs/>
                <w:sz w:val="24"/>
              </w:rPr>
              <w:t>正高级工程师</w:t>
            </w:r>
          </w:p>
        </w:tc>
        <w:tc>
          <w:tcPr>
            <w:tcW w:w="1103" w:type="dxa"/>
            <w:tcBorders>
              <w:top w:val="single" w:color="auto" w:sz="4" w:space="0"/>
              <w:left w:val="single" w:color="auto" w:sz="4" w:space="0"/>
              <w:bottom w:val="single" w:color="auto" w:sz="4" w:space="0"/>
              <w:right w:val="single" w:color="auto" w:sz="4" w:space="0"/>
            </w:tcBorders>
            <w:vAlign w:val="center"/>
          </w:tcPr>
          <w:p w14:paraId="00AAEACC">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栽培学</w:t>
            </w:r>
          </w:p>
        </w:tc>
        <w:tc>
          <w:tcPr>
            <w:tcW w:w="2821" w:type="dxa"/>
            <w:tcBorders>
              <w:top w:val="single" w:color="auto" w:sz="4" w:space="0"/>
              <w:left w:val="single" w:color="auto" w:sz="4" w:space="0"/>
              <w:bottom w:val="single" w:color="auto" w:sz="4" w:space="0"/>
              <w:right w:val="single" w:color="auto" w:sz="4" w:space="0"/>
            </w:tcBorders>
            <w:vAlign w:val="center"/>
          </w:tcPr>
          <w:p w14:paraId="37FE3BE6">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2F4CAB57">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754D2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DEABE1D">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highlight w:val="yellow"/>
                <w:lang w:bidi="ar"/>
              </w:rPr>
            </w:pPr>
            <w:r>
              <w:rPr>
                <w:rFonts w:hint="eastAsia" w:ascii="仿宋_GB2312" w:hAnsi="仿宋_GB2312" w:eastAsia="仿宋_GB2312" w:cs="仿宋_GB2312"/>
                <w:sz w:val="24"/>
              </w:rPr>
              <w:t>蒋日红</w:t>
            </w:r>
          </w:p>
        </w:tc>
        <w:tc>
          <w:tcPr>
            <w:tcW w:w="1583" w:type="dxa"/>
            <w:tcBorders>
              <w:top w:val="single" w:color="auto" w:sz="4" w:space="0"/>
              <w:left w:val="single" w:color="auto" w:sz="4" w:space="0"/>
              <w:bottom w:val="single" w:color="auto" w:sz="4" w:space="0"/>
              <w:right w:val="single" w:color="auto" w:sz="4" w:space="0"/>
            </w:tcBorders>
            <w:vAlign w:val="center"/>
          </w:tcPr>
          <w:p w14:paraId="518C25DE">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高级工程师</w:t>
            </w:r>
          </w:p>
        </w:tc>
        <w:tc>
          <w:tcPr>
            <w:tcW w:w="1103" w:type="dxa"/>
            <w:tcBorders>
              <w:top w:val="single" w:color="auto" w:sz="4" w:space="0"/>
              <w:left w:val="single" w:color="auto" w:sz="4" w:space="0"/>
              <w:bottom w:val="single" w:color="auto" w:sz="4" w:space="0"/>
              <w:right w:val="single" w:color="auto" w:sz="4" w:space="0"/>
            </w:tcBorders>
            <w:vAlign w:val="center"/>
          </w:tcPr>
          <w:p w14:paraId="08958C7E">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植物学</w:t>
            </w:r>
          </w:p>
        </w:tc>
        <w:tc>
          <w:tcPr>
            <w:tcW w:w="2821" w:type="dxa"/>
            <w:tcBorders>
              <w:top w:val="single" w:color="auto" w:sz="4" w:space="0"/>
              <w:left w:val="single" w:color="auto" w:sz="4" w:space="0"/>
              <w:bottom w:val="single" w:color="auto" w:sz="4" w:space="0"/>
              <w:right w:val="single" w:color="auto" w:sz="4" w:space="0"/>
            </w:tcBorders>
            <w:vAlign w:val="center"/>
          </w:tcPr>
          <w:p w14:paraId="6C3B8541">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4273F364">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rPr>
            </w:pPr>
            <w:r>
              <w:rPr>
                <w:rFonts w:hint="eastAsia" w:ascii="仿宋_GB2312" w:hAnsi="仿宋_GB2312" w:eastAsia="仿宋_GB2312" w:cs="仿宋_GB2312"/>
                <w:sz w:val="24"/>
                <w:lang w:bidi="ar"/>
              </w:rPr>
              <w:t>参与标准编制工作，组织人员进行标准发布后的宣贯培训</w:t>
            </w:r>
          </w:p>
        </w:tc>
      </w:tr>
      <w:tr w14:paraId="2A364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2C2AF7DC">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highlight w:val="yellow"/>
                <w:lang w:bidi="ar"/>
              </w:rPr>
            </w:pPr>
            <w:r>
              <w:rPr>
                <w:rFonts w:hint="eastAsia" w:ascii="仿宋_GB2312" w:hAnsi="仿宋_GB2312" w:eastAsia="仿宋_GB2312" w:cs="仿宋_GB2312"/>
                <w:sz w:val="24"/>
              </w:rPr>
              <w:t>赵宝林</w:t>
            </w:r>
          </w:p>
        </w:tc>
        <w:tc>
          <w:tcPr>
            <w:tcW w:w="1583" w:type="dxa"/>
            <w:tcBorders>
              <w:top w:val="single" w:color="auto" w:sz="4" w:space="0"/>
              <w:left w:val="single" w:color="auto" w:sz="4" w:space="0"/>
              <w:bottom w:val="single" w:color="auto" w:sz="4" w:space="0"/>
              <w:right w:val="single" w:color="auto" w:sz="4" w:space="0"/>
            </w:tcBorders>
            <w:vAlign w:val="center"/>
          </w:tcPr>
          <w:p w14:paraId="07738D5D">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高级工程师</w:t>
            </w:r>
          </w:p>
        </w:tc>
        <w:tc>
          <w:tcPr>
            <w:tcW w:w="1103" w:type="dxa"/>
            <w:tcBorders>
              <w:top w:val="single" w:color="auto" w:sz="4" w:space="0"/>
              <w:left w:val="single" w:color="auto" w:sz="4" w:space="0"/>
              <w:bottom w:val="single" w:color="auto" w:sz="4" w:space="0"/>
              <w:right w:val="single" w:color="auto" w:sz="4" w:space="0"/>
            </w:tcBorders>
            <w:vAlign w:val="center"/>
          </w:tcPr>
          <w:p w14:paraId="7702E579">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园林绿化</w:t>
            </w:r>
          </w:p>
        </w:tc>
        <w:tc>
          <w:tcPr>
            <w:tcW w:w="2821" w:type="dxa"/>
            <w:tcBorders>
              <w:top w:val="single" w:color="auto" w:sz="4" w:space="0"/>
              <w:left w:val="single" w:color="auto" w:sz="4" w:space="0"/>
              <w:bottom w:val="single" w:color="auto" w:sz="4" w:space="0"/>
              <w:right w:val="single" w:color="auto" w:sz="4" w:space="0"/>
            </w:tcBorders>
            <w:vAlign w:val="center"/>
          </w:tcPr>
          <w:p w14:paraId="452A581B">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国家植物园（北园）</w:t>
            </w:r>
          </w:p>
        </w:tc>
        <w:tc>
          <w:tcPr>
            <w:tcW w:w="2948" w:type="dxa"/>
            <w:tcBorders>
              <w:top w:val="single" w:color="auto" w:sz="4" w:space="0"/>
              <w:left w:val="single" w:color="auto" w:sz="4" w:space="0"/>
              <w:bottom w:val="single" w:color="auto" w:sz="4" w:space="0"/>
              <w:right w:val="single" w:color="auto" w:sz="4" w:space="0"/>
            </w:tcBorders>
            <w:vAlign w:val="center"/>
          </w:tcPr>
          <w:p w14:paraId="0482D51C">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rPr>
            </w:pPr>
            <w:r>
              <w:rPr>
                <w:rFonts w:hint="eastAsia" w:ascii="仿宋_GB2312" w:hAnsi="仿宋_GB2312" w:eastAsia="仿宋_GB2312" w:cs="仿宋_GB2312"/>
                <w:sz w:val="24"/>
                <w:lang w:bidi="ar"/>
              </w:rPr>
              <w:t>参与标准文本及编制说明的编写</w:t>
            </w:r>
          </w:p>
        </w:tc>
      </w:tr>
      <w:tr w14:paraId="1DB035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FB6FAAC">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highlight w:val="yellow"/>
                <w:lang w:bidi="ar"/>
              </w:rPr>
            </w:pPr>
            <w:r>
              <w:rPr>
                <w:rFonts w:hint="eastAsia" w:ascii="仿宋_GB2312" w:hAnsi="仿宋_GB2312" w:eastAsia="仿宋_GB2312" w:cs="仿宋_GB2312"/>
                <w:sz w:val="24"/>
              </w:rPr>
              <w:t>孟雪松</w:t>
            </w:r>
          </w:p>
        </w:tc>
        <w:tc>
          <w:tcPr>
            <w:tcW w:w="1583" w:type="dxa"/>
            <w:tcBorders>
              <w:top w:val="single" w:color="auto" w:sz="4" w:space="0"/>
              <w:left w:val="single" w:color="auto" w:sz="4" w:space="0"/>
              <w:bottom w:val="single" w:color="auto" w:sz="4" w:space="0"/>
              <w:right w:val="single" w:color="auto" w:sz="4" w:space="0"/>
            </w:tcBorders>
            <w:vAlign w:val="center"/>
          </w:tcPr>
          <w:p w14:paraId="29BB88BB">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bCs/>
                <w:sz w:val="24"/>
              </w:rPr>
              <w:t>北京市公园管理中心科技处七级管理岗/正高级工程师</w:t>
            </w:r>
          </w:p>
        </w:tc>
        <w:tc>
          <w:tcPr>
            <w:tcW w:w="1103" w:type="dxa"/>
            <w:tcBorders>
              <w:top w:val="single" w:color="auto" w:sz="4" w:space="0"/>
              <w:left w:val="single" w:color="auto" w:sz="4" w:space="0"/>
              <w:bottom w:val="single" w:color="auto" w:sz="4" w:space="0"/>
              <w:right w:val="single" w:color="auto" w:sz="4" w:space="0"/>
            </w:tcBorders>
            <w:vAlign w:val="center"/>
          </w:tcPr>
          <w:p w14:paraId="1A79254F">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bCs/>
                <w:sz w:val="24"/>
              </w:rPr>
              <w:t>园林绿化</w:t>
            </w:r>
          </w:p>
        </w:tc>
        <w:tc>
          <w:tcPr>
            <w:tcW w:w="2821" w:type="dxa"/>
            <w:tcBorders>
              <w:top w:val="single" w:color="auto" w:sz="4" w:space="0"/>
              <w:left w:val="single" w:color="auto" w:sz="4" w:space="0"/>
              <w:bottom w:val="single" w:color="auto" w:sz="4" w:space="0"/>
              <w:right w:val="single" w:color="auto" w:sz="4" w:space="0"/>
            </w:tcBorders>
            <w:vAlign w:val="center"/>
          </w:tcPr>
          <w:p w14:paraId="3499041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北京市公园管理中心</w:t>
            </w:r>
          </w:p>
        </w:tc>
        <w:tc>
          <w:tcPr>
            <w:tcW w:w="2948" w:type="dxa"/>
            <w:tcBorders>
              <w:top w:val="single" w:color="auto" w:sz="4" w:space="0"/>
              <w:left w:val="single" w:color="auto" w:sz="4" w:space="0"/>
              <w:bottom w:val="single" w:color="auto" w:sz="4" w:space="0"/>
              <w:right w:val="single" w:color="auto" w:sz="4" w:space="0"/>
            </w:tcBorders>
            <w:vAlign w:val="center"/>
          </w:tcPr>
          <w:p w14:paraId="6D3ECFA1">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rPr>
            </w:pPr>
            <w:r>
              <w:rPr>
                <w:rFonts w:hint="eastAsia" w:ascii="仿宋_GB2312" w:hAnsi="仿宋_GB2312" w:eastAsia="仿宋_GB2312" w:cs="仿宋_GB2312"/>
                <w:sz w:val="24"/>
                <w:lang w:bidi="ar"/>
              </w:rPr>
              <w:t>参与标准文本及编制说明的编写</w:t>
            </w:r>
          </w:p>
        </w:tc>
      </w:tr>
      <w:tr w14:paraId="2F0285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BF5939D">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highlight w:val="yellow"/>
              </w:rPr>
            </w:pPr>
            <w:r>
              <w:rPr>
                <w:rFonts w:hint="eastAsia" w:ascii="仿宋_GB2312" w:hAnsi="仿宋_GB2312" w:eastAsia="仿宋_GB2312" w:cs="仿宋_GB2312"/>
                <w:sz w:val="24"/>
              </w:rPr>
              <w:t>何应会</w:t>
            </w:r>
          </w:p>
        </w:tc>
        <w:tc>
          <w:tcPr>
            <w:tcW w:w="1583" w:type="dxa"/>
            <w:tcBorders>
              <w:top w:val="single" w:color="auto" w:sz="4" w:space="0"/>
              <w:left w:val="single" w:color="auto" w:sz="4" w:space="0"/>
              <w:bottom w:val="single" w:color="auto" w:sz="4" w:space="0"/>
              <w:right w:val="single" w:color="auto" w:sz="4" w:space="0"/>
            </w:tcBorders>
            <w:vAlign w:val="center"/>
          </w:tcPr>
          <w:p w14:paraId="672C965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bCs/>
                <w:sz w:val="24"/>
              </w:rPr>
              <w:t>高级工程师</w:t>
            </w:r>
          </w:p>
        </w:tc>
        <w:tc>
          <w:tcPr>
            <w:tcW w:w="1103" w:type="dxa"/>
            <w:tcBorders>
              <w:top w:val="single" w:color="auto" w:sz="4" w:space="0"/>
              <w:left w:val="single" w:color="auto" w:sz="4" w:space="0"/>
              <w:bottom w:val="single" w:color="auto" w:sz="4" w:space="0"/>
              <w:right w:val="single" w:color="auto" w:sz="4" w:space="0"/>
            </w:tcBorders>
            <w:vAlign w:val="center"/>
          </w:tcPr>
          <w:p w14:paraId="3490A388">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sz w:val="24"/>
              </w:rPr>
            </w:pPr>
            <w:r>
              <w:rPr>
                <w:rFonts w:hint="eastAsia" w:ascii="仿宋_GB2312" w:hAnsi="仿宋_GB2312" w:eastAsia="仿宋_GB2312" w:cs="仿宋_GB2312"/>
                <w:bCs/>
                <w:sz w:val="24"/>
              </w:rPr>
              <w:t>林学</w:t>
            </w:r>
          </w:p>
        </w:tc>
        <w:tc>
          <w:tcPr>
            <w:tcW w:w="2821" w:type="dxa"/>
            <w:tcBorders>
              <w:top w:val="single" w:color="auto" w:sz="4" w:space="0"/>
              <w:left w:val="single" w:color="auto" w:sz="4" w:space="0"/>
              <w:bottom w:val="single" w:color="auto" w:sz="4" w:space="0"/>
              <w:right w:val="single" w:color="auto" w:sz="4" w:space="0"/>
            </w:tcBorders>
            <w:vAlign w:val="center"/>
          </w:tcPr>
          <w:p w14:paraId="2BDE7206">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0FC90CF3">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rPr>
            </w:pPr>
            <w:r>
              <w:rPr>
                <w:rFonts w:hint="eastAsia" w:ascii="仿宋_GB2312" w:hAnsi="仿宋_GB2312" w:eastAsia="仿宋_GB2312" w:cs="仿宋_GB2312"/>
                <w:sz w:val="24"/>
                <w:lang w:bidi="ar"/>
              </w:rPr>
              <w:t>参与标准文本及编制说明的编写</w:t>
            </w:r>
          </w:p>
        </w:tc>
      </w:tr>
      <w:tr w14:paraId="452614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ECEBE3A">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highlight w:val="yellow"/>
                <w:lang w:bidi="ar"/>
              </w:rPr>
            </w:pPr>
            <w:r>
              <w:rPr>
                <w:rFonts w:hint="eastAsia" w:ascii="仿宋_GB2312" w:hAnsi="仿宋_GB2312" w:eastAsia="仿宋_GB2312" w:cs="仿宋_GB2312"/>
                <w:sz w:val="24"/>
              </w:rPr>
              <w:t>林建勇</w:t>
            </w:r>
          </w:p>
        </w:tc>
        <w:tc>
          <w:tcPr>
            <w:tcW w:w="1583" w:type="dxa"/>
            <w:tcBorders>
              <w:top w:val="single" w:color="auto" w:sz="4" w:space="0"/>
              <w:left w:val="single" w:color="auto" w:sz="4" w:space="0"/>
              <w:bottom w:val="single" w:color="auto" w:sz="4" w:space="0"/>
              <w:right w:val="single" w:color="auto" w:sz="4" w:space="0"/>
            </w:tcBorders>
            <w:vAlign w:val="center"/>
          </w:tcPr>
          <w:p w14:paraId="2C646707">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高级工程师</w:t>
            </w:r>
          </w:p>
        </w:tc>
        <w:tc>
          <w:tcPr>
            <w:tcW w:w="1103" w:type="dxa"/>
            <w:tcBorders>
              <w:top w:val="single" w:color="auto" w:sz="4" w:space="0"/>
              <w:left w:val="single" w:color="auto" w:sz="4" w:space="0"/>
              <w:bottom w:val="single" w:color="auto" w:sz="4" w:space="0"/>
              <w:right w:val="single" w:color="auto" w:sz="4" w:space="0"/>
            </w:tcBorders>
            <w:vAlign w:val="center"/>
          </w:tcPr>
          <w:p w14:paraId="22D1349D">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生态学</w:t>
            </w:r>
          </w:p>
        </w:tc>
        <w:tc>
          <w:tcPr>
            <w:tcW w:w="2821" w:type="dxa"/>
            <w:tcBorders>
              <w:top w:val="single" w:color="auto" w:sz="4" w:space="0"/>
              <w:left w:val="single" w:color="auto" w:sz="4" w:space="0"/>
              <w:bottom w:val="single" w:color="auto" w:sz="4" w:space="0"/>
              <w:right w:val="single" w:color="auto" w:sz="4" w:space="0"/>
            </w:tcBorders>
            <w:vAlign w:val="center"/>
          </w:tcPr>
          <w:p w14:paraId="4EDC1FEF">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6DC1F6CD">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rPr>
            </w:pPr>
            <w:r>
              <w:rPr>
                <w:rFonts w:hint="eastAsia" w:ascii="仿宋_GB2312" w:hAnsi="仿宋_GB2312" w:eastAsia="仿宋_GB2312" w:cs="仿宋_GB2312"/>
                <w:sz w:val="24"/>
                <w:lang w:bidi="ar"/>
              </w:rPr>
              <w:t>参与标准文本及编制说明的编写</w:t>
            </w:r>
          </w:p>
        </w:tc>
      </w:tr>
      <w:tr w14:paraId="07A88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0F32002">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highlight w:val="yellow"/>
                <w:lang w:bidi="ar"/>
              </w:rPr>
            </w:pPr>
            <w:r>
              <w:rPr>
                <w:rFonts w:hint="eastAsia" w:ascii="仿宋_GB2312" w:hAnsi="仿宋_GB2312" w:eastAsia="仿宋_GB2312" w:cs="仿宋_GB2312"/>
                <w:sz w:val="24"/>
              </w:rPr>
              <w:t>姜冬冬</w:t>
            </w:r>
          </w:p>
        </w:tc>
        <w:tc>
          <w:tcPr>
            <w:tcW w:w="1583" w:type="dxa"/>
            <w:tcBorders>
              <w:top w:val="single" w:color="auto" w:sz="4" w:space="0"/>
              <w:left w:val="single" w:color="auto" w:sz="4" w:space="0"/>
              <w:bottom w:val="single" w:color="auto" w:sz="4" w:space="0"/>
              <w:right w:val="single" w:color="auto" w:sz="4" w:space="0"/>
            </w:tcBorders>
            <w:vAlign w:val="center"/>
          </w:tcPr>
          <w:p w14:paraId="6A1FE8A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bCs/>
                <w:sz w:val="24"/>
              </w:rPr>
              <w:t>未取得</w:t>
            </w:r>
          </w:p>
        </w:tc>
        <w:tc>
          <w:tcPr>
            <w:tcW w:w="1103" w:type="dxa"/>
            <w:tcBorders>
              <w:top w:val="single" w:color="auto" w:sz="4" w:space="0"/>
              <w:left w:val="single" w:color="auto" w:sz="4" w:space="0"/>
              <w:bottom w:val="single" w:color="auto" w:sz="4" w:space="0"/>
              <w:right w:val="single" w:color="auto" w:sz="4" w:space="0"/>
            </w:tcBorders>
            <w:vAlign w:val="center"/>
          </w:tcPr>
          <w:p w14:paraId="652D5F81">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生态学</w:t>
            </w:r>
          </w:p>
        </w:tc>
        <w:tc>
          <w:tcPr>
            <w:tcW w:w="2821" w:type="dxa"/>
            <w:tcBorders>
              <w:top w:val="single" w:color="auto" w:sz="4" w:space="0"/>
              <w:left w:val="single" w:color="auto" w:sz="4" w:space="0"/>
              <w:bottom w:val="single" w:color="auto" w:sz="4" w:space="0"/>
              <w:right w:val="single" w:color="auto" w:sz="4" w:space="0"/>
            </w:tcBorders>
            <w:vAlign w:val="center"/>
          </w:tcPr>
          <w:p w14:paraId="18B5B5FA">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0E12F0B2">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rPr>
            </w:pPr>
            <w:r>
              <w:rPr>
                <w:rFonts w:hint="eastAsia" w:ascii="仿宋_GB2312" w:hAnsi="仿宋_GB2312" w:eastAsia="仿宋_GB2312" w:cs="仿宋_GB2312"/>
                <w:sz w:val="24"/>
                <w:lang w:bidi="ar"/>
              </w:rPr>
              <w:t>参与标准文本及编制说明的编写</w:t>
            </w:r>
          </w:p>
        </w:tc>
      </w:tr>
      <w:tr w14:paraId="46829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7E82FAC">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highlight w:val="yellow"/>
                <w:lang w:bidi="ar"/>
              </w:rPr>
            </w:pPr>
            <w:r>
              <w:rPr>
                <w:rFonts w:hint="eastAsia" w:ascii="仿宋_GB2312" w:hAnsi="仿宋_GB2312" w:eastAsia="仿宋_GB2312" w:cs="仿宋_GB2312"/>
                <w:sz w:val="24"/>
              </w:rPr>
              <w:t>崔芸瑜</w:t>
            </w:r>
          </w:p>
        </w:tc>
        <w:tc>
          <w:tcPr>
            <w:tcW w:w="1583" w:type="dxa"/>
            <w:tcBorders>
              <w:top w:val="single" w:color="auto" w:sz="4" w:space="0"/>
              <w:left w:val="single" w:color="auto" w:sz="4" w:space="0"/>
              <w:bottom w:val="single" w:color="auto" w:sz="4" w:space="0"/>
              <w:right w:val="single" w:color="auto" w:sz="4" w:space="0"/>
            </w:tcBorders>
            <w:vAlign w:val="center"/>
          </w:tcPr>
          <w:p w14:paraId="5179C2AF">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bCs/>
                <w:sz w:val="24"/>
              </w:rPr>
              <w:t>未取得</w:t>
            </w:r>
          </w:p>
        </w:tc>
        <w:tc>
          <w:tcPr>
            <w:tcW w:w="1103" w:type="dxa"/>
            <w:tcBorders>
              <w:top w:val="single" w:color="auto" w:sz="4" w:space="0"/>
              <w:left w:val="single" w:color="auto" w:sz="4" w:space="0"/>
              <w:bottom w:val="single" w:color="auto" w:sz="4" w:space="0"/>
              <w:right w:val="single" w:color="auto" w:sz="4" w:space="0"/>
            </w:tcBorders>
            <w:vAlign w:val="center"/>
          </w:tcPr>
          <w:p w14:paraId="472E8E50">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林学</w:t>
            </w:r>
          </w:p>
        </w:tc>
        <w:tc>
          <w:tcPr>
            <w:tcW w:w="2821" w:type="dxa"/>
            <w:tcBorders>
              <w:top w:val="single" w:color="auto" w:sz="4" w:space="0"/>
              <w:left w:val="single" w:color="auto" w:sz="4" w:space="0"/>
              <w:bottom w:val="single" w:color="auto" w:sz="4" w:space="0"/>
              <w:right w:val="single" w:color="auto" w:sz="4" w:space="0"/>
            </w:tcBorders>
            <w:vAlign w:val="center"/>
          </w:tcPr>
          <w:p w14:paraId="60166BA0">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572BCDC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rPr>
            </w:pPr>
            <w:r>
              <w:rPr>
                <w:rFonts w:hint="eastAsia" w:ascii="仿宋_GB2312" w:hAnsi="仿宋_GB2312" w:eastAsia="仿宋_GB2312" w:cs="仿宋_GB2312"/>
                <w:sz w:val="24"/>
                <w:lang w:bidi="ar"/>
              </w:rPr>
              <w:t>参与标准文本及编制说明的编写</w:t>
            </w:r>
          </w:p>
        </w:tc>
      </w:tr>
      <w:tr w14:paraId="7F2BE7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A0580AB">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highlight w:val="yellow"/>
                <w:lang w:bidi="ar"/>
              </w:rPr>
            </w:pPr>
            <w:r>
              <w:rPr>
                <w:rFonts w:hint="eastAsia" w:ascii="仿宋_GB2312" w:hAnsi="仿宋_GB2312" w:eastAsia="仿宋_GB2312" w:cs="仿宋_GB2312"/>
                <w:sz w:val="24"/>
              </w:rPr>
              <w:t>周寒茜</w:t>
            </w:r>
          </w:p>
        </w:tc>
        <w:tc>
          <w:tcPr>
            <w:tcW w:w="1583" w:type="dxa"/>
            <w:tcBorders>
              <w:top w:val="single" w:color="auto" w:sz="4" w:space="0"/>
              <w:left w:val="single" w:color="auto" w:sz="4" w:space="0"/>
              <w:bottom w:val="single" w:color="auto" w:sz="4" w:space="0"/>
              <w:right w:val="single" w:color="auto" w:sz="4" w:space="0"/>
            </w:tcBorders>
            <w:vAlign w:val="center"/>
          </w:tcPr>
          <w:p w14:paraId="6025DB03">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bCs/>
                <w:sz w:val="24"/>
              </w:rPr>
              <w:t>中级会计师</w:t>
            </w:r>
          </w:p>
        </w:tc>
        <w:tc>
          <w:tcPr>
            <w:tcW w:w="1103" w:type="dxa"/>
            <w:tcBorders>
              <w:top w:val="single" w:color="auto" w:sz="4" w:space="0"/>
              <w:left w:val="single" w:color="auto" w:sz="4" w:space="0"/>
              <w:bottom w:val="single" w:color="auto" w:sz="4" w:space="0"/>
              <w:right w:val="single" w:color="auto" w:sz="4" w:space="0"/>
            </w:tcBorders>
            <w:vAlign w:val="center"/>
          </w:tcPr>
          <w:p w14:paraId="274FF974">
            <w:pPr>
              <w:keepNext w:val="0"/>
              <w:keepLines w:val="0"/>
              <w:suppressLineNumbers w:val="0"/>
              <w:spacing w:before="0" w:beforeAutospacing="0" w:after="0" w:afterAutospacing="0"/>
              <w:ind w:left="-105" w:leftChars="-50" w:right="-105" w:rightChars="-5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财务管理</w:t>
            </w:r>
          </w:p>
        </w:tc>
        <w:tc>
          <w:tcPr>
            <w:tcW w:w="2821" w:type="dxa"/>
            <w:tcBorders>
              <w:top w:val="single" w:color="auto" w:sz="4" w:space="0"/>
              <w:left w:val="single" w:color="auto" w:sz="4" w:space="0"/>
              <w:bottom w:val="single" w:color="auto" w:sz="4" w:space="0"/>
              <w:right w:val="single" w:color="auto" w:sz="4" w:space="0"/>
            </w:tcBorders>
            <w:vAlign w:val="center"/>
          </w:tcPr>
          <w:p w14:paraId="4221982E">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1DD7E9A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rPr>
            </w:pPr>
            <w:r>
              <w:rPr>
                <w:rFonts w:hint="eastAsia" w:ascii="仿宋_GB2312" w:hAnsi="仿宋_GB2312" w:eastAsia="仿宋_GB2312" w:cs="仿宋_GB2312"/>
                <w:sz w:val="24"/>
                <w:lang w:bidi="ar"/>
              </w:rPr>
              <w:t>参与标准文本及编制说明的编写</w:t>
            </w:r>
          </w:p>
        </w:tc>
      </w:tr>
      <w:tr w14:paraId="655592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24F1563">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highlight w:val="yellow"/>
                <w:lang w:bidi="ar"/>
              </w:rPr>
            </w:pPr>
            <w:r>
              <w:rPr>
                <w:rFonts w:hint="eastAsia" w:ascii="仿宋_GB2312" w:hAnsi="仿宋_GB2312" w:eastAsia="仿宋_GB2312" w:cs="仿宋_GB2312"/>
                <w:sz w:val="24"/>
              </w:rPr>
              <w:t>陈健虹</w:t>
            </w:r>
          </w:p>
        </w:tc>
        <w:tc>
          <w:tcPr>
            <w:tcW w:w="1583" w:type="dxa"/>
            <w:tcBorders>
              <w:top w:val="single" w:color="auto" w:sz="4" w:space="0"/>
              <w:left w:val="single" w:color="auto" w:sz="4" w:space="0"/>
              <w:bottom w:val="single" w:color="auto" w:sz="4" w:space="0"/>
              <w:right w:val="single" w:color="auto" w:sz="4" w:space="0"/>
            </w:tcBorders>
            <w:vAlign w:val="center"/>
          </w:tcPr>
          <w:p w14:paraId="3EF4518E">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bCs/>
                <w:sz w:val="24"/>
              </w:rPr>
              <w:t>未取得</w:t>
            </w:r>
          </w:p>
        </w:tc>
        <w:tc>
          <w:tcPr>
            <w:tcW w:w="1103" w:type="dxa"/>
            <w:tcBorders>
              <w:top w:val="single" w:color="auto" w:sz="4" w:space="0"/>
              <w:left w:val="single" w:color="auto" w:sz="4" w:space="0"/>
              <w:bottom w:val="single" w:color="auto" w:sz="4" w:space="0"/>
              <w:right w:val="single" w:color="auto" w:sz="4" w:space="0"/>
            </w:tcBorders>
            <w:vAlign w:val="center"/>
          </w:tcPr>
          <w:p w14:paraId="3DE97F37">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林学</w:t>
            </w:r>
          </w:p>
        </w:tc>
        <w:tc>
          <w:tcPr>
            <w:tcW w:w="2821" w:type="dxa"/>
            <w:tcBorders>
              <w:top w:val="single" w:color="auto" w:sz="4" w:space="0"/>
              <w:left w:val="single" w:color="auto" w:sz="4" w:space="0"/>
              <w:bottom w:val="single" w:color="auto" w:sz="4" w:space="0"/>
              <w:right w:val="single" w:color="auto" w:sz="4" w:space="0"/>
            </w:tcBorders>
            <w:vAlign w:val="center"/>
          </w:tcPr>
          <w:p w14:paraId="41C23786">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广西壮族自治区林业科学研究院</w:t>
            </w:r>
          </w:p>
        </w:tc>
        <w:tc>
          <w:tcPr>
            <w:tcW w:w="2948" w:type="dxa"/>
            <w:tcBorders>
              <w:top w:val="single" w:color="auto" w:sz="4" w:space="0"/>
              <w:left w:val="single" w:color="auto" w:sz="4" w:space="0"/>
              <w:bottom w:val="single" w:color="auto" w:sz="4" w:space="0"/>
              <w:right w:val="single" w:color="auto" w:sz="4" w:space="0"/>
            </w:tcBorders>
            <w:vAlign w:val="center"/>
          </w:tcPr>
          <w:p w14:paraId="52D8E1A7">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rPr>
            </w:pPr>
            <w:r>
              <w:rPr>
                <w:rFonts w:hint="eastAsia" w:ascii="仿宋_GB2312" w:hAnsi="仿宋_GB2312" w:eastAsia="仿宋_GB2312" w:cs="仿宋_GB2312"/>
                <w:sz w:val="24"/>
                <w:lang w:bidi="ar"/>
              </w:rPr>
              <w:t>参与标准文本及编制说明的编写</w:t>
            </w:r>
          </w:p>
        </w:tc>
      </w:tr>
      <w:tr w14:paraId="5BDD73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EE4A8C8">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highlight w:val="yellow"/>
              </w:rPr>
            </w:pPr>
            <w:r>
              <w:rPr>
                <w:rFonts w:hint="eastAsia" w:ascii="仿宋_GB2312" w:hAnsi="仿宋_GB2312" w:eastAsia="仿宋_GB2312" w:cs="仿宋_GB2312"/>
                <w:sz w:val="24"/>
              </w:rPr>
              <w:t>刘智玮</w:t>
            </w:r>
          </w:p>
        </w:tc>
        <w:tc>
          <w:tcPr>
            <w:tcW w:w="1583" w:type="dxa"/>
            <w:tcBorders>
              <w:top w:val="single" w:color="auto" w:sz="4" w:space="0"/>
              <w:left w:val="single" w:color="auto" w:sz="4" w:space="0"/>
              <w:bottom w:val="single" w:color="auto" w:sz="4" w:space="0"/>
              <w:right w:val="single" w:color="auto" w:sz="4" w:space="0"/>
            </w:tcBorders>
            <w:vAlign w:val="center"/>
          </w:tcPr>
          <w:p w14:paraId="452BCDE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工程师</w:t>
            </w:r>
          </w:p>
        </w:tc>
        <w:tc>
          <w:tcPr>
            <w:tcW w:w="1103" w:type="dxa"/>
            <w:tcBorders>
              <w:top w:val="single" w:color="auto" w:sz="4" w:space="0"/>
              <w:left w:val="single" w:color="auto" w:sz="4" w:space="0"/>
              <w:bottom w:val="single" w:color="auto" w:sz="4" w:space="0"/>
              <w:right w:val="single" w:color="auto" w:sz="4" w:space="0"/>
            </w:tcBorders>
            <w:vAlign w:val="center"/>
          </w:tcPr>
          <w:p w14:paraId="3C872189">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园林绿化</w:t>
            </w:r>
          </w:p>
        </w:tc>
        <w:tc>
          <w:tcPr>
            <w:tcW w:w="2821" w:type="dxa"/>
            <w:tcBorders>
              <w:top w:val="single" w:color="auto" w:sz="4" w:space="0"/>
              <w:left w:val="single" w:color="auto" w:sz="4" w:space="0"/>
              <w:bottom w:val="single" w:color="auto" w:sz="4" w:space="0"/>
              <w:right w:val="single" w:color="auto" w:sz="4" w:space="0"/>
            </w:tcBorders>
            <w:vAlign w:val="center"/>
          </w:tcPr>
          <w:p w14:paraId="271E5FF6">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国家植物园（北园）</w:t>
            </w:r>
          </w:p>
        </w:tc>
        <w:tc>
          <w:tcPr>
            <w:tcW w:w="2948" w:type="dxa"/>
            <w:tcBorders>
              <w:top w:val="single" w:color="auto" w:sz="4" w:space="0"/>
              <w:left w:val="single" w:color="auto" w:sz="4" w:space="0"/>
              <w:bottom w:val="single" w:color="auto" w:sz="4" w:space="0"/>
              <w:right w:val="single" w:color="auto" w:sz="4" w:space="0"/>
            </w:tcBorders>
            <w:vAlign w:val="center"/>
          </w:tcPr>
          <w:p w14:paraId="53541604">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w:t>
            </w:r>
          </w:p>
        </w:tc>
      </w:tr>
      <w:tr w14:paraId="2873D9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9A0984C">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highlight w:val="yellow"/>
              </w:rPr>
            </w:pPr>
            <w:r>
              <w:rPr>
                <w:rFonts w:hint="eastAsia" w:ascii="仿宋_GB2312" w:hAnsi="仿宋_GB2312" w:eastAsia="仿宋_GB2312" w:cs="仿宋_GB2312"/>
                <w:sz w:val="24"/>
              </w:rPr>
              <w:t>崔玉莲</w:t>
            </w:r>
          </w:p>
        </w:tc>
        <w:tc>
          <w:tcPr>
            <w:tcW w:w="1583" w:type="dxa"/>
            <w:tcBorders>
              <w:top w:val="single" w:color="auto" w:sz="4" w:space="0"/>
              <w:left w:val="single" w:color="auto" w:sz="4" w:space="0"/>
              <w:bottom w:val="single" w:color="auto" w:sz="4" w:space="0"/>
              <w:right w:val="single" w:color="auto" w:sz="4" w:space="0"/>
            </w:tcBorders>
            <w:vAlign w:val="center"/>
          </w:tcPr>
          <w:p w14:paraId="00FF74B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工程师</w:t>
            </w:r>
          </w:p>
        </w:tc>
        <w:tc>
          <w:tcPr>
            <w:tcW w:w="1103" w:type="dxa"/>
            <w:tcBorders>
              <w:top w:val="single" w:color="auto" w:sz="4" w:space="0"/>
              <w:left w:val="single" w:color="auto" w:sz="4" w:space="0"/>
              <w:bottom w:val="single" w:color="auto" w:sz="4" w:space="0"/>
              <w:right w:val="single" w:color="auto" w:sz="4" w:space="0"/>
            </w:tcBorders>
            <w:vAlign w:val="center"/>
          </w:tcPr>
          <w:p w14:paraId="632CCFBE">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园林绿化</w:t>
            </w:r>
          </w:p>
        </w:tc>
        <w:tc>
          <w:tcPr>
            <w:tcW w:w="2821" w:type="dxa"/>
            <w:tcBorders>
              <w:top w:val="single" w:color="auto" w:sz="4" w:space="0"/>
              <w:left w:val="single" w:color="auto" w:sz="4" w:space="0"/>
              <w:bottom w:val="single" w:color="auto" w:sz="4" w:space="0"/>
              <w:right w:val="single" w:color="auto" w:sz="4" w:space="0"/>
            </w:tcBorders>
            <w:vAlign w:val="center"/>
          </w:tcPr>
          <w:p w14:paraId="492A8843">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国家植物园（北园）</w:t>
            </w:r>
          </w:p>
        </w:tc>
        <w:tc>
          <w:tcPr>
            <w:tcW w:w="2948" w:type="dxa"/>
            <w:tcBorders>
              <w:top w:val="single" w:color="auto" w:sz="4" w:space="0"/>
              <w:left w:val="single" w:color="auto" w:sz="4" w:space="0"/>
              <w:bottom w:val="single" w:color="auto" w:sz="4" w:space="0"/>
              <w:right w:val="single" w:color="auto" w:sz="4" w:space="0"/>
            </w:tcBorders>
            <w:vAlign w:val="center"/>
          </w:tcPr>
          <w:p w14:paraId="7FBA4847">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w:t>
            </w:r>
          </w:p>
        </w:tc>
      </w:tr>
      <w:tr w14:paraId="1EF0A5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F5CD0D3">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韦广绥</w:t>
            </w:r>
          </w:p>
        </w:tc>
        <w:tc>
          <w:tcPr>
            <w:tcW w:w="1583" w:type="dxa"/>
            <w:tcBorders>
              <w:top w:val="single" w:color="auto" w:sz="4" w:space="0"/>
              <w:left w:val="single" w:color="auto" w:sz="4" w:space="0"/>
              <w:bottom w:val="single" w:color="auto" w:sz="4" w:space="0"/>
              <w:right w:val="single" w:color="auto" w:sz="4" w:space="0"/>
            </w:tcBorders>
            <w:vAlign w:val="center"/>
          </w:tcPr>
          <w:p w14:paraId="26C41DB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工程师</w:t>
            </w:r>
          </w:p>
        </w:tc>
        <w:tc>
          <w:tcPr>
            <w:tcW w:w="1103" w:type="dxa"/>
            <w:tcBorders>
              <w:top w:val="single" w:color="auto" w:sz="4" w:space="0"/>
              <w:left w:val="single" w:color="auto" w:sz="4" w:space="0"/>
              <w:bottom w:val="single" w:color="auto" w:sz="4" w:space="0"/>
              <w:right w:val="single" w:color="auto" w:sz="4" w:space="0"/>
            </w:tcBorders>
            <w:vAlign w:val="center"/>
          </w:tcPr>
          <w:p w14:paraId="4CB416FF">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bCs/>
                <w:sz w:val="24"/>
              </w:rPr>
              <w:t>林业技术应用</w:t>
            </w:r>
          </w:p>
        </w:tc>
        <w:tc>
          <w:tcPr>
            <w:tcW w:w="2821" w:type="dxa"/>
            <w:tcBorders>
              <w:top w:val="single" w:color="auto" w:sz="4" w:space="0"/>
              <w:left w:val="single" w:color="auto" w:sz="4" w:space="0"/>
              <w:bottom w:val="single" w:color="auto" w:sz="4" w:space="0"/>
              <w:right w:val="single" w:color="auto" w:sz="4" w:space="0"/>
            </w:tcBorders>
            <w:vAlign w:val="center"/>
          </w:tcPr>
          <w:p w14:paraId="33E30C9B">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广西国有高峰林场</w:t>
            </w:r>
          </w:p>
        </w:tc>
        <w:tc>
          <w:tcPr>
            <w:tcW w:w="2948" w:type="dxa"/>
            <w:tcBorders>
              <w:top w:val="single" w:color="auto" w:sz="4" w:space="0"/>
              <w:left w:val="single" w:color="auto" w:sz="4" w:space="0"/>
              <w:bottom w:val="single" w:color="auto" w:sz="4" w:space="0"/>
              <w:right w:val="single" w:color="auto" w:sz="4" w:space="0"/>
            </w:tcBorders>
            <w:vAlign w:val="center"/>
          </w:tcPr>
          <w:p w14:paraId="2867533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w:t>
            </w:r>
          </w:p>
        </w:tc>
      </w:tr>
      <w:tr w14:paraId="11655E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105FEEB">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朱泽宽</w:t>
            </w:r>
          </w:p>
        </w:tc>
        <w:tc>
          <w:tcPr>
            <w:tcW w:w="1583" w:type="dxa"/>
            <w:tcBorders>
              <w:top w:val="single" w:color="auto" w:sz="4" w:space="0"/>
              <w:left w:val="single" w:color="auto" w:sz="4" w:space="0"/>
              <w:bottom w:val="single" w:color="auto" w:sz="4" w:space="0"/>
              <w:right w:val="single" w:color="auto" w:sz="4" w:space="0"/>
            </w:tcBorders>
            <w:vAlign w:val="center"/>
          </w:tcPr>
          <w:p w14:paraId="2E112E1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总经理</w:t>
            </w:r>
          </w:p>
        </w:tc>
        <w:tc>
          <w:tcPr>
            <w:tcW w:w="1103" w:type="dxa"/>
            <w:tcBorders>
              <w:top w:val="single" w:color="auto" w:sz="4" w:space="0"/>
              <w:left w:val="single" w:color="auto" w:sz="4" w:space="0"/>
              <w:bottom w:val="single" w:color="auto" w:sz="4" w:space="0"/>
              <w:right w:val="single" w:color="auto" w:sz="4" w:space="0"/>
            </w:tcBorders>
            <w:vAlign w:val="center"/>
          </w:tcPr>
          <w:p w14:paraId="64216B49">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抽水蓄能电站建设</w:t>
            </w:r>
          </w:p>
        </w:tc>
        <w:tc>
          <w:tcPr>
            <w:tcW w:w="2821" w:type="dxa"/>
            <w:tcBorders>
              <w:top w:val="single" w:color="auto" w:sz="4" w:space="0"/>
              <w:left w:val="single" w:color="auto" w:sz="4" w:space="0"/>
              <w:bottom w:val="single" w:color="auto" w:sz="4" w:space="0"/>
              <w:right w:val="single" w:color="auto" w:sz="4" w:space="0"/>
            </w:tcBorders>
            <w:vAlign w:val="center"/>
          </w:tcPr>
          <w:p w14:paraId="711DCE4C">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南宁蓄能发电有限公司、南方电网调峰调频发电有限公司工程建设管理分公司</w:t>
            </w:r>
          </w:p>
        </w:tc>
        <w:tc>
          <w:tcPr>
            <w:tcW w:w="2948" w:type="dxa"/>
            <w:tcBorders>
              <w:top w:val="single" w:color="auto" w:sz="4" w:space="0"/>
              <w:left w:val="single" w:color="auto" w:sz="4" w:space="0"/>
              <w:bottom w:val="single" w:color="auto" w:sz="4" w:space="0"/>
              <w:right w:val="single" w:color="auto" w:sz="4" w:space="0"/>
            </w:tcBorders>
            <w:vAlign w:val="center"/>
          </w:tcPr>
          <w:p w14:paraId="1F802057">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06DB81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8DEBE3A">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龙方</w:t>
            </w:r>
          </w:p>
        </w:tc>
        <w:tc>
          <w:tcPr>
            <w:tcW w:w="1583" w:type="dxa"/>
            <w:tcBorders>
              <w:top w:val="single" w:color="auto" w:sz="4" w:space="0"/>
              <w:left w:val="single" w:color="auto" w:sz="4" w:space="0"/>
              <w:bottom w:val="single" w:color="auto" w:sz="4" w:space="0"/>
              <w:right w:val="single" w:color="auto" w:sz="4" w:space="0"/>
            </w:tcBorders>
            <w:vAlign w:val="center"/>
          </w:tcPr>
          <w:p w14:paraId="1434C19E">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副总经理</w:t>
            </w:r>
          </w:p>
        </w:tc>
        <w:tc>
          <w:tcPr>
            <w:tcW w:w="1103" w:type="dxa"/>
            <w:tcBorders>
              <w:top w:val="single" w:color="auto" w:sz="4" w:space="0"/>
              <w:left w:val="single" w:color="auto" w:sz="4" w:space="0"/>
              <w:bottom w:val="single" w:color="auto" w:sz="4" w:space="0"/>
              <w:right w:val="single" w:color="auto" w:sz="4" w:space="0"/>
            </w:tcBorders>
            <w:vAlign w:val="center"/>
          </w:tcPr>
          <w:p w14:paraId="46F4785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抽水蓄能电站建设</w:t>
            </w:r>
          </w:p>
        </w:tc>
        <w:tc>
          <w:tcPr>
            <w:tcW w:w="2821" w:type="dxa"/>
            <w:tcBorders>
              <w:top w:val="single" w:color="auto" w:sz="4" w:space="0"/>
              <w:left w:val="single" w:color="auto" w:sz="4" w:space="0"/>
              <w:bottom w:val="single" w:color="auto" w:sz="4" w:space="0"/>
              <w:right w:val="single" w:color="auto" w:sz="4" w:space="0"/>
            </w:tcBorders>
            <w:vAlign w:val="center"/>
          </w:tcPr>
          <w:p w14:paraId="2BB9159E">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南宁蓄能发电有限公司、南方电网调峰调频发电有限公司工程建设管理分公司</w:t>
            </w:r>
          </w:p>
        </w:tc>
        <w:tc>
          <w:tcPr>
            <w:tcW w:w="2948" w:type="dxa"/>
            <w:tcBorders>
              <w:top w:val="single" w:color="auto" w:sz="4" w:space="0"/>
              <w:left w:val="single" w:color="auto" w:sz="4" w:space="0"/>
              <w:bottom w:val="single" w:color="auto" w:sz="4" w:space="0"/>
              <w:right w:val="single" w:color="auto" w:sz="4" w:space="0"/>
            </w:tcBorders>
            <w:vAlign w:val="center"/>
          </w:tcPr>
          <w:p w14:paraId="767F25D6">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w:t>
            </w:r>
          </w:p>
        </w:tc>
      </w:tr>
      <w:tr w14:paraId="622035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2E15F16B">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刘操</w:t>
            </w:r>
          </w:p>
        </w:tc>
        <w:tc>
          <w:tcPr>
            <w:tcW w:w="1583" w:type="dxa"/>
            <w:tcBorders>
              <w:top w:val="single" w:color="auto" w:sz="4" w:space="0"/>
              <w:left w:val="single" w:color="auto" w:sz="4" w:space="0"/>
              <w:bottom w:val="single" w:color="auto" w:sz="4" w:space="0"/>
              <w:right w:val="single" w:color="auto" w:sz="4" w:space="0"/>
            </w:tcBorders>
            <w:vAlign w:val="center"/>
          </w:tcPr>
          <w:p w14:paraId="1ADB660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工程部主任</w:t>
            </w:r>
          </w:p>
        </w:tc>
        <w:tc>
          <w:tcPr>
            <w:tcW w:w="1103" w:type="dxa"/>
            <w:tcBorders>
              <w:top w:val="single" w:color="auto" w:sz="4" w:space="0"/>
              <w:left w:val="single" w:color="auto" w:sz="4" w:space="0"/>
              <w:bottom w:val="single" w:color="auto" w:sz="4" w:space="0"/>
              <w:right w:val="single" w:color="auto" w:sz="4" w:space="0"/>
            </w:tcBorders>
            <w:vAlign w:val="center"/>
          </w:tcPr>
          <w:p w14:paraId="6DE69B7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抽水蓄能电站建设</w:t>
            </w:r>
          </w:p>
        </w:tc>
        <w:tc>
          <w:tcPr>
            <w:tcW w:w="2821" w:type="dxa"/>
            <w:tcBorders>
              <w:top w:val="single" w:color="auto" w:sz="4" w:space="0"/>
              <w:left w:val="single" w:color="auto" w:sz="4" w:space="0"/>
              <w:bottom w:val="single" w:color="auto" w:sz="4" w:space="0"/>
              <w:right w:val="single" w:color="auto" w:sz="4" w:space="0"/>
            </w:tcBorders>
            <w:vAlign w:val="center"/>
          </w:tcPr>
          <w:p w14:paraId="42E744E0">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南宁蓄能发电有限公司、南方电网调峰调频发电有限公司工程建设管理分公司</w:t>
            </w:r>
          </w:p>
        </w:tc>
        <w:tc>
          <w:tcPr>
            <w:tcW w:w="2948" w:type="dxa"/>
            <w:tcBorders>
              <w:top w:val="single" w:color="auto" w:sz="4" w:space="0"/>
              <w:left w:val="single" w:color="auto" w:sz="4" w:space="0"/>
              <w:bottom w:val="single" w:color="auto" w:sz="4" w:space="0"/>
              <w:right w:val="single" w:color="auto" w:sz="4" w:space="0"/>
            </w:tcBorders>
            <w:vAlign w:val="center"/>
          </w:tcPr>
          <w:p w14:paraId="3D4A3000">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w:t>
            </w:r>
          </w:p>
        </w:tc>
      </w:tr>
      <w:tr w14:paraId="58E3C4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8B85192">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史云吏</w:t>
            </w:r>
          </w:p>
        </w:tc>
        <w:tc>
          <w:tcPr>
            <w:tcW w:w="1583" w:type="dxa"/>
            <w:tcBorders>
              <w:top w:val="single" w:color="auto" w:sz="4" w:space="0"/>
              <w:left w:val="single" w:color="auto" w:sz="4" w:space="0"/>
              <w:bottom w:val="single" w:color="auto" w:sz="4" w:space="0"/>
              <w:right w:val="single" w:color="auto" w:sz="4" w:space="0"/>
            </w:tcBorders>
            <w:vAlign w:val="center"/>
          </w:tcPr>
          <w:p w14:paraId="221DFD19">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工程部主任</w:t>
            </w:r>
          </w:p>
        </w:tc>
        <w:tc>
          <w:tcPr>
            <w:tcW w:w="1103" w:type="dxa"/>
            <w:tcBorders>
              <w:top w:val="single" w:color="auto" w:sz="4" w:space="0"/>
              <w:left w:val="single" w:color="auto" w:sz="4" w:space="0"/>
              <w:bottom w:val="single" w:color="auto" w:sz="4" w:space="0"/>
              <w:right w:val="single" w:color="auto" w:sz="4" w:space="0"/>
            </w:tcBorders>
            <w:vAlign w:val="center"/>
          </w:tcPr>
          <w:p w14:paraId="73835E41">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抽水蓄能电站建设</w:t>
            </w:r>
          </w:p>
        </w:tc>
        <w:tc>
          <w:tcPr>
            <w:tcW w:w="2821" w:type="dxa"/>
            <w:tcBorders>
              <w:top w:val="single" w:color="auto" w:sz="4" w:space="0"/>
              <w:left w:val="single" w:color="auto" w:sz="4" w:space="0"/>
              <w:bottom w:val="single" w:color="auto" w:sz="4" w:space="0"/>
              <w:right w:val="single" w:color="auto" w:sz="4" w:space="0"/>
            </w:tcBorders>
            <w:vAlign w:val="center"/>
          </w:tcPr>
          <w:p w14:paraId="11C3C9F8">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南宁蓄能发电有限公司、南方电网调峰调频发电有限公司工程建设管理分公司</w:t>
            </w:r>
          </w:p>
        </w:tc>
        <w:tc>
          <w:tcPr>
            <w:tcW w:w="2948" w:type="dxa"/>
            <w:tcBorders>
              <w:top w:val="single" w:color="auto" w:sz="4" w:space="0"/>
              <w:left w:val="single" w:color="auto" w:sz="4" w:space="0"/>
              <w:bottom w:val="single" w:color="auto" w:sz="4" w:space="0"/>
              <w:right w:val="single" w:color="auto" w:sz="4" w:space="0"/>
            </w:tcBorders>
            <w:vAlign w:val="center"/>
          </w:tcPr>
          <w:p w14:paraId="1F27E75E">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w:t>
            </w:r>
          </w:p>
        </w:tc>
      </w:tr>
      <w:tr w14:paraId="260C0C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4F3B483">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龚前良</w:t>
            </w:r>
          </w:p>
        </w:tc>
        <w:tc>
          <w:tcPr>
            <w:tcW w:w="1583" w:type="dxa"/>
            <w:tcBorders>
              <w:top w:val="single" w:color="auto" w:sz="4" w:space="0"/>
              <w:left w:val="single" w:color="auto" w:sz="4" w:space="0"/>
              <w:bottom w:val="single" w:color="auto" w:sz="4" w:space="0"/>
              <w:right w:val="single" w:color="auto" w:sz="4" w:space="0"/>
            </w:tcBorders>
            <w:vAlign w:val="center"/>
          </w:tcPr>
          <w:p w14:paraId="0460C56F">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副总经理</w:t>
            </w:r>
          </w:p>
        </w:tc>
        <w:tc>
          <w:tcPr>
            <w:tcW w:w="1103" w:type="dxa"/>
            <w:tcBorders>
              <w:top w:val="single" w:color="auto" w:sz="4" w:space="0"/>
              <w:left w:val="single" w:color="auto" w:sz="4" w:space="0"/>
              <w:bottom w:val="single" w:color="auto" w:sz="4" w:space="0"/>
              <w:right w:val="single" w:color="auto" w:sz="4" w:space="0"/>
            </w:tcBorders>
            <w:vAlign w:val="center"/>
          </w:tcPr>
          <w:p w14:paraId="0F82DD8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抽水蓄能电站建设</w:t>
            </w:r>
          </w:p>
        </w:tc>
        <w:tc>
          <w:tcPr>
            <w:tcW w:w="2821" w:type="dxa"/>
            <w:tcBorders>
              <w:top w:val="single" w:color="auto" w:sz="4" w:space="0"/>
              <w:left w:val="single" w:color="auto" w:sz="4" w:space="0"/>
              <w:bottom w:val="single" w:color="auto" w:sz="4" w:space="0"/>
              <w:right w:val="single" w:color="auto" w:sz="4" w:space="0"/>
            </w:tcBorders>
            <w:vAlign w:val="center"/>
          </w:tcPr>
          <w:p w14:paraId="2A78A82F">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南宁蓄能发电有限公司、南方电网调峰调频发电有限公司工程建设管理分公司</w:t>
            </w:r>
          </w:p>
        </w:tc>
        <w:tc>
          <w:tcPr>
            <w:tcW w:w="2948" w:type="dxa"/>
            <w:tcBorders>
              <w:top w:val="single" w:color="auto" w:sz="4" w:space="0"/>
              <w:left w:val="single" w:color="auto" w:sz="4" w:space="0"/>
              <w:bottom w:val="single" w:color="auto" w:sz="4" w:space="0"/>
              <w:right w:val="single" w:color="auto" w:sz="4" w:space="0"/>
            </w:tcBorders>
            <w:vAlign w:val="center"/>
          </w:tcPr>
          <w:p w14:paraId="71D8D263">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w:t>
            </w:r>
          </w:p>
        </w:tc>
      </w:tr>
      <w:tr w14:paraId="452AB3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746E54E">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李其锦</w:t>
            </w:r>
          </w:p>
        </w:tc>
        <w:tc>
          <w:tcPr>
            <w:tcW w:w="1583" w:type="dxa"/>
            <w:tcBorders>
              <w:top w:val="single" w:color="auto" w:sz="4" w:space="0"/>
              <w:left w:val="single" w:color="auto" w:sz="4" w:space="0"/>
              <w:bottom w:val="single" w:color="auto" w:sz="4" w:space="0"/>
              <w:right w:val="single" w:color="auto" w:sz="4" w:space="0"/>
            </w:tcBorders>
            <w:vAlign w:val="center"/>
          </w:tcPr>
          <w:p w14:paraId="35D7C46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项目管理工程师</w:t>
            </w:r>
          </w:p>
        </w:tc>
        <w:tc>
          <w:tcPr>
            <w:tcW w:w="1103" w:type="dxa"/>
            <w:tcBorders>
              <w:top w:val="single" w:color="auto" w:sz="4" w:space="0"/>
              <w:left w:val="single" w:color="auto" w:sz="4" w:space="0"/>
              <w:bottom w:val="single" w:color="auto" w:sz="4" w:space="0"/>
              <w:right w:val="single" w:color="auto" w:sz="4" w:space="0"/>
            </w:tcBorders>
            <w:vAlign w:val="center"/>
          </w:tcPr>
          <w:p w14:paraId="31960F1D">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抽水蓄能电站建设</w:t>
            </w:r>
          </w:p>
        </w:tc>
        <w:tc>
          <w:tcPr>
            <w:tcW w:w="2821" w:type="dxa"/>
            <w:tcBorders>
              <w:top w:val="single" w:color="auto" w:sz="4" w:space="0"/>
              <w:left w:val="single" w:color="auto" w:sz="4" w:space="0"/>
              <w:bottom w:val="single" w:color="auto" w:sz="4" w:space="0"/>
              <w:right w:val="single" w:color="auto" w:sz="4" w:space="0"/>
            </w:tcBorders>
            <w:vAlign w:val="center"/>
          </w:tcPr>
          <w:p w14:paraId="64CE9CC1">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南宁蓄能发电有限公司、南方电网调峰调频发电有限公司工程建设管理分公司</w:t>
            </w:r>
          </w:p>
        </w:tc>
        <w:tc>
          <w:tcPr>
            <w:tcW w:w="2948" w:type="dxa"/>
            <w:tcBorders>
              <w:top w:val="single" w:color="auto" w:sz="4" w:space="0"/>
              <w:left w:val="single" w:color="auto" w:sz="4" w:space="0"/>
              <w:bottom w:val="single" w:color="auto" w:sz="4" w:space="0"/>
              <w:right w:val="single" w:color="auto" w:sz="4" w:space="0"/>
            </w:tcBorders>
            <w:vAlign w:val="center"/>
          </w:tcPr>
          <w:p w14:paraId="6560946B">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w:t>
            </w:r>
          </w:p>
        </w:tc>
      </w:tr>
      <w:tr w14:paraId="4A74F4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2416F29">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杨凯博</w:t>
            </w:r>
          </w:p>
        </w:tc>
        <w:tc>
          <w:tcPr>
            <w:tcW w:w="1583" w:type="dxa"/>
            <w:tcBorders>
              <w:top w:val="single" w:color="auto" w:sz="4" w:space="0"/>
              <w:left w:val="single" w:color="auto" w:sz="4" w:space="0"/>
              <w:bottom w:val="single" w:color="auto" w:sz="4" w:space="0"/>
              <w:right w:val="single" w:color="auto" w:sz="4" w:space="0"/>
            </w:tcBorders>
            <w:vAlign w:val="center"/>
          </w:tcPr>
          <w:p w14:paraId="735232A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项目管理工程师</w:t>
            </w:r>
          </w:p>
        </w:tc>
        <w:tc>
          <w:tcPr>
            <w:tcW w:w="1103" w:type="dxa"/>
            <w:tcBorders>
              <w:top w:val="single" w:color="auto" w:sz="4" w:space="0"/>
              <w:left w:val="single" w:color="auto" w:sz="4" w:space="0"/>
              <w:bottom w:val="single" w:color="auto" w:sz="4" w:space="0"/>
              <w:right w:val="single" w:color="auto" w:sz="4" w:space="0"/>
            </w:tcBorders>
            <w:vAlign w:val="center"/>
          </w:tcPr>
          <w:p w14:paraId="336D80A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抽水蓄能电站建设</w:t>
            </w:r>
          </w:p>
        </w:tc>
        <w:tc>
          <w:tcPr>
            <w:tcW w:w="2821" w:type="dxa"/>
            <w:tcBorders>
              <w:top w:val="single" w:color="auto" w:sz="4" w:space="0"/>
              <w:left w:val="single" w:color="auto" w:sz="4" w:space="0"/>
              <w:bottom w:val="single" w:color="auto" w:sz="4" w:space="0"/>
              <w:right w:val="single" w:color="auto" w:sz="4" w:space="0"/>
            </w:tcBorders>
            <w:vAlign w:val="center"/>
          </w:tcPr>
          <w:p w14:paraId="0AECDCF0">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南宁蓄能发电有限公司、南方电网调峰调频发电有限公司工程建设管理分公司</w:t>
            </w:r>
          </w:p>
        </w:tc>
        <w:tc>
          <w:tcPr>
            <w:tcW w:w="2948" w:type="dxa"/>
            <w:tcBorders>
              <w:top w:val="single" w:color="auto" w:sz="4" w:space="0"/>
              <w:left w:val="single" w:color="auto" w:sz="4" w:space="0"/>
              <w:bottom w:val="single" w:color="auto" w:sz="4" w:space="0"/>
              <w:right w:val="single" w:color="auto" w:sz="4" w:space="0"/>
            </w:tcBorders>
            <w:vAlign w:val="center"/>
          </w:tcPr>
          <w:p w14:paraId="3BE48FFF">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w:t>
            </w:r>
          </w:p>
        </w:tc>
      </w:tr>
      <w:tr w14:paraId="44BBE1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3E58A16">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田景福</w:t>
            </w:r>
          </w:p>
        </w:tc>
        <w:tc>
          <w:tcPr>
            <w:tcW w:w="1583" w:type="dxa"/>
            <w:tcBorders>
              <w:top w:val="single" w:color="auto" w:sz="4" w:space="0"/>
              <w:left w:val="single" w:color="auto" w:sz="4" w:space="0"/>
              <w:bottom w:val="single" w:color="auto" w:sz="4" w:space="0"/>
              <w:right w:val="single" w:color="auto" w:sz="4" w:space="0"/>
            </w:tcBorders>
            <w:vAlign w:val="center"/>
          </w:tcPr>
          <w:p w14:paraId="17EF1AE1">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环水保监理部主任</w:t>
            </w:r>
          </w:p>
        </w:tc>
        <w:tc>
          <w:tcPr>
            <w:tcW w:w="1103" w:type="dxa"/>
            <w:tcBorders>
              <w:top w:val="single" w:color="auto" w:sz="4" w:space="0"/>
              <w:left w:val="single" w:color="auto" w:sz="4" w:space="0"/>
              <w:bottom w:val="single" w:color="auto" w:sz="4" w:space="0"/>
              <w:right w:val="single" w:color="auto" w:sz="4" w:space="0"/>
            </w:tcBorders>
            <w:vAlign w:val="center"/>
          </w:tcPr>
          <w:p w14:paraId="4AE6D5A5">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抽水蓄能电站建设</w:t>
            </w:r>
          </w:p>
        </w:tc>
        <w:tc>
          <w:tcPr>
            <w:tcW w:w="2821" w:type="dxa"/>
            <w:tcBorders>
              <w:top w:val="single" w:color="auto" w:sz="4" w:space="0"/>
              <w:left w:val="single" w:color="auto" w:sz="4" w:space="0"/>
              <w:bottom w:val="single" w:color="auto" w:sz="4" w:space="0"/>
              <w:right w:val="single" w:color="auto" w:sz="4" w:space="0"/>
            </w:tcBorders>
            <w:vAlign w:val="center"/>
          </w:tcPr>
          <w:p w14:paraId="149F05B8">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南宁蓄能发电有限公司、南方电网调峰调频发电有限公司工程建设管理分公司</w:t>
            </w:r>
          </w:p>
        </w:tc>
        <w:tc>
          <w:tcPr>
            <w:tcW w:w="2948" w:type="dxa"/>
            <w:tcBorders>
              <w:top w:val="single" w:color="auto" w:sz="4" w:space="0"/>
              <w:left w:val="single" w:color="auto" w:sz="4" w:space="0"/>
              <w:bottom w:val="single" w:color="auto" w:sz="4" w:space="0"/>
              <w:right w:val="single" w:color="auto" w:sz="4" w:space="0"/>
            </w:tcBorders>
            <w:vAlign w:val="center"/>
          </w:tcPr>
          <w:p w14:paraId="33AB111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w:t>
            </w:r>
          </w:p>
        </w:tc>
      </w:tr>
      <w:tr w14:paraId="5D1A7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6BB1154">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陈健华</w:t>
            </w:r>
          </w:p>
        </w:tc>
        <w:tc>
          <w:tcPr>
            <w:tcW w:w="1583" w:type="dxa"/>
            <w:tcBorders>
              <w:top w:val="single" w:color="auto" w:sz="4" w:space="0"/>
              <w:left w:val="single" w:color="auto" w:sz="4" w:space="0"/>
              <w:bottom w:val="single" w:color="auto" w:sz="4" w:space="0"/>
              <w:right w:val="single" w:color="auto" w:sz="4" w:space="0"/>
            </w:tcBorders>
            <w:vAlign w:val="center"/>
          </w:tcPr>
          <w:p w14:paraId="0194BF60">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项目管理工程师</w:t>
            </w:r>
          </w:p>
        </w:tc>
        <w:tc>
          <w:tcPr>
            <w:tcW w:w="1103" w:type="dxa"/>
            <w:tcBorders>
              <w:top w:val="single" w:color="auto" w:sz="4" w:space="0"/>
              <w:left w:val="single" w:color="auto" w:sz="4" w:space="0"/>
              <w:bottom w:val="single" w:color="auto" w:sz="4" w:space="0"/>
              <w:right w:val="single" w:color="auto" w:sz="4" w:space="0"/>
            </w:tcBorders>
            <w:vAlign w:val="center"/>
          </w:tcPr>
          <w:p w14:paraId="427E8317">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抽水蓄能电站建设</w:t>
            </w:r>
          </w:p>
        </w:tc>
        <w:tc>
          <w:tcPr>
            <w:tcW w:w="2821" w:type="dxa"/>
            <w:tcBorders>
              <w:top w:val="single" w:color="auto" w:sz="4" w:space="0"/>
              <w:left w:val="single" w:color="auto" w:sz="4" w:space="0"/>
              <w:bottom w:val="single" w:color="auto" w:sz="4" w:space="0"/>
              <w:right w:val="single" w:color="auto" w:sz="4" w:space="0"/>
            </w:tcBorders>
            <w:vAlign w:val="center"/>
          </w:tcPr>
          <w:p w14:paraId="0A77F28F">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南宁蓄能发电有限公司、南方电网调峰调频发电有限公司工程建设管理分公司</w:t>
            </w:r>
          </w:p>
        </w:tc>
        <w:tc>
          <w:tcPr>
            <w:tcW w:w="2948" w:type="dxa"/>
            <w:tcBorders>
              <w:top w:val="single" w:color="auto" w:sz="4" w:space="0"/>
              <w:left w:val="single" w:color="auto" w:sz="4" w:space="0"/>
              <w:bottom w:val="single" w:color="auto" w:sz="4" w:space="0"/>
              <w:right w:val="single" w:color="auto" w:sz="4" w:space="0"/>
            </w:tcBorders>
            <w:vAlign w:val="center"/>
          </w:tcPr>
          <w:p w14:paraId="36A117C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w:t>
            </w:r>
          </w:p>
        </w:tc>
      </w:tr>
      <w:tr w14:paraId="144734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A6B3E6A">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凌远窍</w:t>
            </w:r>
          </w:p>
        </w:tc>
        <w:tc>
          <w:tcPr>
            <w:tcW w:w="1583" w:type="dxa"/>
            <w:tcBorders>
              <w:top w:val="single" w:color="auto" w:sz="4" w:space="0"/>
              <w:left w:val="single" w:color="auto" w:sz="4" w:space="0"/>
              <w:bottom w:val="single" w:color="auto" w:sz="4" w:space="0"/>
              <w:right w:val="single" w:color="auto" w:sz="4" w:space="0"/>
            </w:tcBorders>
            <w:vAlign w:val="center"/>
          </w:tcPr>
          <w:p w14:paraId="5F464E2F">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项目管理工程师</w:t>
            </w:r>
          </w:p>
        </w:tc>
        <w:tc>
          <w:tcPr>
            <w:tcW w:w="1103" w:type="dxa"/>
            <w:tcBorders>
              <w:top w:val="single" w:color="auto" w:sz="4" w:space="0"/>
              <w:left w:val="single" w:color="auto" w:sz="4" w:space="0"/>
              <w:bottom w:val="single" w:color="auto" w:sz="4" w:space="0"/>
              <w:right w:val="single" w:color="auto" w:sz="4" w:space="0"/>
            </w:tcBorders>
            <w:vAlign w:val="center"/>
          </w:tcPr>
          <w:p w14:paraId="27324D92">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sz w:val="24"/>
              </w:rPr>
            </w:pPr>
            <w:r>
              <w:rPr>
                <w:rFonts w:hint="eastAsia" w:ascii="仿宋_GB2312" w:hAnsi="仿宋_GB2312" w:eastAsia="仿宋_GB2312" w:cs="仿宋_GB2312"/>
                <w:sz w:val="24"/>
              </w:rPr>
              <w:t>抽水蓄能电站建设</w:t>
            </w:r>
          </w:p>
        </w:tc>
        <w:tc>
          <w:tcPr>
            <w:tcW w:w="2821" w:type="dxa"/>
            <w:tcBorders>
              <w:top w:val="single" w:color="auto" w:sz="4" w:space="0"/>
              <w:left w:val="single" w:color="auto" w:sz="4" w:space="0"/>
              <w:bottom w:val="single" w:color="auto" w:sz="4" w:space="0"/>
              <w:right w:val="single" w:color="auto" w:sz="4" w:space="0"/>
            </w:tcBorders>
            <w:vAlign w:val="center"/>
          </w:tcPr>
          <w:p w14:paraId="4FD6B47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rPr>
              <w:t>南宁蓄能发电有限公司、南方电网调峰调频发电有限公司工程建设管理分公司</w:t>
            </w:r>
          </w:p>
        </w:tc>
        <w:tc>
          <w:tcPr>
            <w:tcW w:w="2948" w:type="dxa"/>
            <w:tcBorders>
              <w:top w:val="single" w:color="auto" w:sz="4" w:space="0"/>
              <w:left w:val="single" w:color="auto" w:sz="4" w:space="0"/>
              <w:bottom w:val="single" w:color="auto" w:sz="4" w:space="0"/>
              <w:right w:val="single" w:color="auto" w:sz="4" w:space="0"/>
            </w:tcBorders>
            <w:vAlign w:val="center"/>
          </w:tcPr>
          <w:p w14:paraId="7AD68F5F">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w:t>
            </w:r>
          </w:p>
        </w:tc>
      </w:tr>
    </w:tbl>
    <w:p w14:paraId="0ABC08B2">
      <w:pPr>
        <w:spacing w:line="520" w:lineRule="exact"/>
        <w:ind w:firstLine="640" w:firstLineChars="200"/>
        <w:rPr>
          <w:rFonts w:ascii="黑体" w:eastAsia="黑体" w:cs="仿宋_GB2312"/>
          <w:sz w:val="32"/>
          <w:szCs w:val="32"/>
        </w:rPr>
      </w:pPr>
      <w:r>
        <w:rPr>
          <w:rFonts w:hint="eastAsia" w:ascii="黑体" w:eastAsia="黑体" w:cs="仿宋_GB2312"/>
          <w:sz w:val="32"/>
          <w:szCs w:val="32"/>
        </w:rPr>
        <w:t>二、制定标准的必要性和意义</w:t>
      </w:r>
    </w:p>
    <w:p w14:paraId="6AA64B36">
      <w:pPr>
        <w:suppressAutoHyphens/>
        <w:spacing w:line="560" w:lineRule="exact"/>
        <w:ind w:firstLine="560" w:firstLineChars="200"/>
        <w:rPr>
          <w:rFonts w:hint="eastAsia" w:ascii="仿宋_GB2312" w:hAnsi="仿宋_GB2312" w:eastAsia="仿宋_GB2312" w:cs="仿宋_GB2312"/>
          <w:color w:val="000000" w:themeColor="text1"/>
          <w:sz w:val="28"/>
          <w:szCs w:val="28"/>
          <w14:textFill>
            <w14:solidFill>
              <w14:schemeClr w14:val="tx1"/>
            </w14:solidFill>
          </w14:textFill>
        </w:rPr>
      </w:pPr>
      <w:r>
        <w:rPr>
          <w:rFonts w:hint="eastAsia" w:ascii="仿宋_GB2312" w:hAnsi="仿宋_GB2312" w:eastAsia="仿宋_GB2312" w:cs="仿宋_GB2312"/>
          <w:color w:val="000000" w:themeColor="text1"/>
          <w:sz w:val="28"/>
          <w:szCs w:val="28"/>
          <w14:textFill>
            <w14:solidFill>
              <w14:schemeClr w14:val="tx1"/>
            </w14:solidFill>
          </w14:textFill>
        </w:rPr>
        <w:t>我国地域辽阔，气候、地形类型复杂，植物多样性极为丰富，拥有高等植物3.1万多种，特有种高达1.5～1.8万种，在全球植物多样性中占据重要地位。但随着中国近30年来经济高速发展和人口不断增长，植物资源和生态环境已经遭受严重破坏，中国的野生植物正面临着分布区域萎缩、生境恶化、资源消耗速度加快、濒危物种数量急剧上升等严峻形势。目前，中国受威胁的高等植物达4000～5000种，占植物种数的15％～20％。</w:t>
      </w:r>
    </w:p>
    <w:p w14:paraId="08A03974">
      <w:pPr>
        <w:suppressAutoHyphens/>
        <w:spacing w:line="560" w:lineRule="exact"/>
        <w:ind w:firstLine="560" w:firstLineChars="200"/>
        <w:rPr>
          <w:rFonts w:hint="eastAsia" w:ascii="仿宋_GB2312" w:hAnsi="仿宋_GB2312" w:eastAsia="仿宋_GB2312" w:cs="仿宋_GB2312"/>
          <w:color w:val="000000" w:themeColor="text1"/>
          <w:sz w:val="28"/>
          <w:szCs w:val="28"/>
          <w14:textFill>
            <w14:solidFill>
              <w14:schemeClr w14:val="tx1"/>
            </w14:solidFill>
          </w14:textFill>
        </w:rPr>
      </w:pPr>
      <w:r>
        <w:rPr>
          <w:rFonts w:hint="eastAsia" w:ascii="仿宋_GB2312" w:hAnsi="仿宋_GB2312" w:eastAsia="仿宋_GB2312" w:cs="仿宋_GB2312"/>
          <w:color w:val="000000" w:themeColor="text1"/>
          <w:sz w:val="28"/>
          <w:szCs w:val="28"/>
          <w14:textFill>
            <w14:solidFill>
              <w14:schemeClr w14:val="tx1"/>
            </w14:solidFill>
          </w14:textFill>
        </w:rPr>
        <w:t>广西地跨热带和亚热带，地形地貌复杂，气候、土壤类型多样，为植物的生存和发展提供了有利条件。广西的植物种类丰富，现知有维管束植物8354种，居全国第3位。广西众多的植物种类中，包含着丰富的珍稀濒危植物资源。国家公布的第一批珍稀濒危保护植物中，广西有124种，种类丰富仅次于云南，居全国第2位。针对广西的野生濒危植物资源，根据《广西极小种群野生植物拯救保护项目实施方案》，32种极小种群野生植物被确定为优先拯救和保护对象。32种极小种群野生植物隶属于17科24属，其中国家Ⅰ级保护植物有16种，国家Ⅱ级保护植物有9种，自治区重点保护有6种，占全国极小种群植物种数的1/4，分布在全区各地。广西极小种群物种的形成与区系成分分化具有特殊性，但也有相似之处。广西极小种群物种的形成分为濒危+区域特有、濒危+狭域生境特有、濒危+广域星散分布3种，也有研究人员将其分为气候的、土壤的等五种类型。</w:t>
      </w:r>
    </w:p>
    <w:p w14:paraId="05C8BAA9">
      <w:pPr>
        <w:suppressAutoHyphens/>
        <w:spacing w:line="560" w:lineRule="exact"/>
        <w:ind w:firstLine="560" w:firstLineChars="200"/>
        <w:rPr>
          <w:rFonts w:hint="eastAsia" w:ascii="仿宋_GB2312" w:hAnsi="仿宋_GB2312" w:eastAsia="仿宋_GB2312" w:cs="仿宋_GB2312"/>
          <w:color w:val="000000" w:themeColor="text1"/>
          <w:sz w:val="28"/>
          <w:szCs w:val="28"/>
          <w14:textFill>
            <w14:solidFill>
              <w14:schemeClr w14:val="tx1"/>
            </w14:solidFill>
          </w14:textFill>
        </w:rPr>
      </w:pPr>
      <w:r>
        <w:rPr>
          <w:rFonts w:hint="eastAsia" w:ascii="仿宋_GB2312" w:hAnsi="仿宋_GB2312" w:eastAsia="仿宋_GB2312" w:cs="仿宋_GB2312"/>
          <w:color w:val="000000" w:themeColor="text1"/>
          <w:sz w:val="28"/>
          <w:szCs w:val="28"/>
          <w14:textFill>
            <w14:solidFill>
              <w14:schemeClr w14:val="tx1"/>
            </w14:solidFill>
          </w14:textFill>
        </w:rPr>
        <w:t>所谓迁地保护，是指在异地模拟所保护物种的生存环境，包括海拔、湿度、光照、土壤等，以达到保护目的。面对目前世界植物资源趋减的严峻形势，对植物进行迁地保护正成为植物资源保护的主要途径之一，越来越受到国际保护组织和各国政府的重视。国家林业局出台了《全国极小种群野生植物拯救保护工程规划（2011-2015年）》，将120种极度濒危的野生植物列为优先拯救保护的极小种群野生植物，采用就地保护、迁地保护和回归自然等保育方法来对其进行保护。尽管近年来广西生物多样性保护取得了长足进步。</w:t>
      </w:r>
    </w:p>
    <w:p w14:paraId="2D0FD8C3">
      <w:pPr>
        <w:suppressAutoHyphens/>
        <w:spacing w:line="560" w:lineRule="exact"/>
        <w:ind w:firstLine="560" w:firstLineChars="200"/>
        <w:rPr>
          <w:rFonts w:hint="eastAsia" w:ascii="仿宋_GB2312" w:hAnsi="仿宋_GB2312" w:eastAsia="仿宋_GB2312" w:cs="仿宋_GB2312"/>
          <w:color w:val="000000" w:themeColor="text1"/>
          <w:sz w:val="28"/>
          <w:szCs w:val="28"/>
          <w14:textFill>
            <w14:solidFill>
              <w14:schemeClr w14:val="tx1"/>
            </w14:solidFill>
          </w14:textFill>
        </w:rPr>
      </w:pPr>
      <w:r>
        <w:rPr>
          <w:rFonts w:hint="eastAsia" w:ascii="仿宋_GB2312" w:hAnsi="仿宋_GB2312" w:eastAsia="仿宋_GB2312" w:cs="仿宋_GB2312"/>
          <w:color w:val="000000" w:themeColor="text1"/>
          <w:sz w:val="28"/>
          <w:szCs w:val="28"/>
          <w14:textFill>
            <w14:solidFill>
              <w14:schemeClr w14:val="tx1"/>
            </w14:solidFill>
          </w14:textFill>
        </w:rPr>
        <w:t>桫椤常指桫椤科所有种类的统称。该类植物常具有树状茎干，上部有残存的叶柄；叶片大，呈长矩圆形；株型漂亮，常用来做绿化观赏。</w:t>
      </w:r>
    </w:p>
    <w:p w14:paraId="1F5E2E38">
      <w:pPr>
        <w:suppressAutoHyphens/>
        <w:spacing w:line="560" w:lineRule="exact"/>
        <w:ind w:firstLine="560" w:firstLineChars="200"/>
        <w:rPr>
          <w:rFonts w:hint="eastAsia" w:ascii="仿宋_GB2312" w:hAnsi="仿宋_GB2312" w:eastAsia="仿宋_GB2312" w:cs="仿宋_GB2312"/>
          <w:color w:val="000000" w:themeColor="text1"/>
          <w:sz w:val="28"/>
          <w:szCs w:val="28"/>
          <w14:textFill>
            <w14:solidFill>
              <w14:schemeClr w14:val="tx1"/>
            </w14:solidFill>
          </w14:textFill>
        </w:rPr>
      </w:pPr>
      <w:r>
        <w:rPr>
          <w:rFonts w:hint="eastAsia" w:ascii="仿宋_GB2312" w:hAnsi="仿宋_GB2312" w:eastAsia="仿宋_GB2312" w:cs="仿宋_GB2312"/>
          <w:color w:val="000000" w:themeColor="text1"/>
          <w:sz w:val="28"/>
          <w:szCs w:val="28"/>
          <w14:textFill>
            <w14:solidFill>
              <w14:schemeClr w14:val="tx1"/>
            </w14:solidFill>
          </w14:textFill>
        </w:rPr>
        <w:t>桫椤在中国产于华东南部，西南南部及华南地区，在日本、南亚及东南亚等国外地区也有分布。桫椤喜生长在山沟的潮湿坡地和溪边的阳光充足的地方，一般生长在260—1600米的山地溪傍或疏林中。桫椤是蕨类植物，不结种子，用孢子繁殖，有非常久的栽种历史，在2.3亿年前就已经是古代蕨类植物的孑遗种。桫椤也是现今仅有的木本蕨类植物，极其珍稀，除小黑桫椤（</w:t>
      </w:r>
      <w:r>
        <w:rPr>
          <w:rFonts w:hint="eastAsia" w:ascii="仿宋_GB2312" w:hAnsi="仿宋_GB2312" w:eastAsia="仿宋_GB2312" w:cs="仿宋_GB2312"/>
          <w:i/>
          <w:iCs/>
          <w:color w:val="000000" w:themeColor="text1"/>
          <w:sz w:val="28"/>
          <w:szCs w:val="28"/>
          <w14:textFill>
            <w14:solidFill>
              <w14:schemeClr w14:val="tx1"/>
            </w14:solidFill>
          </w14:textFill>
        </w:rPr>
        <w:t>Alsophila metteniana</w:t>
      </w:r>
      <w:r>
        <w:rPr>
          <w:rFonts w:hint="eastAsia" w:ascii="仿宋_GB2312" w:hAnsi="仿宋_GB2312" w:eastAsia="仿宋_GB2312" w:cs="仿宋_GB2312"/>
          <w:color w:val="000000" w:themeColor="text1"/>
          <w:sz w:val="28"/>
          <w:szCs w:val="28"/>
          <w14:textFill>
            <w14:solidFill>
              <w14:schemeClr w14:val="tx1"/>
            </w14:solidFill>
          </w14:textFill>
        </w:rPr>
        <w:t>）和粗齿桫椤（</w:t>
      </w:r>
      <w:r>
        <w:rPr>
          <w:rFonts w:hint="eastAsia" w:ascii="仿宋_GB2312" w:hAnsi="仿宋_GB2312" w:eastAsia="仿宋_GB2312" w:cs="仿宋_GB2312"/>
          <w:i/>
          <w:iCs/>
          <w:color w:val="000000" w:themeColor="text1"/>
          <w:sz w:val="28"/>
          <w:szCs w:val="28"/>
          <w14:textFill>
            <w14:solidFill>
              <w14:schemeClr w14:val="tx1"/>
            </w14:solidFill>
          </w14:textFill>
        </w:rPr>
        <w:t>A.denticulata</w:t>
      </w:r>
      <w:r>
        <w:rPr>
          <w:rFonts w:hint="eastAsia" w:ascii="仿宋_GB2312" w:hAnsi="仿宋_GB2312" w:eastAsia="仿宋_GB2312" w:cs="仿宋_GB2312"/>
          <w:color w:val="000000" w:themeColor="text1"/>
          <w:sz w:val="28"/>
          <w:szCs w:val="28"/>
          <w14:textFill>
            <w14:solidFill>
              <w14:schemeClr w14:val="tx1"/>
            </w14:solidFill>
          </w14:textFill>
        </w:rPr>
        <w:t>）外现均为国家二级重点保护野生植物。</w:t>
      </w:r>
    </w:p>
    <w:p w14:paraId="7B1FE57F">
      <w:pPr>
        <w:suppressAutoHyphens/>
        <w:spacing w:line="560" w:lineRule="exact"/>
        <w:ind w:firstLine="560" w:firstLineChars="200"/>
        <w:rPr>
          <w:rFonts w:hint="eastAsia" w:ascii="仿宋_GB2312" w:hAnsi="仿宋_GB2312" w:eastAsia="仿宋_GB2312" w:cs="仿宋_GB2312"/>
          <w:color w:val="000000" w:themeColor="text1"/>
          <w:sz w:val="28"/>
          <w:szCs w:val="28"/>
          <w14:textFill>
            <w14:solidFill>
              <w14:schemeClr w14:val="tx1"/>
            </w14:solidFill>
          </w14:textFill>
        </w:rPr>
      </w:pPr>
      <w:r>
        <w:rPr>
          <w:rFonts w:hint="eastAsia" w:ascii="仿宋_GB2312" w:hAnsi="仿宋_GB2312" w:eastAsia="仿宋_GB2312" w:cs="仿宋_GB2312"/>
          <w:color w:val="000000" w:themeColor="text1"/>
          <w:sz w:val="28"/>
          <w:szCs w:val="28"/>
          <w14:textFill>
            <w14:solidFill>
              <w14:schemeClr w14:val="tx1"/>
            </w14:solidFill>
          </w14:textFill>
        </w:rPr>
        <w:t>《骨伤中药草使用图册》中记载，桫椤可用来治疗胸部外伤咯血、风湿痹痛、陈年腰疼、风火牙痛、肺热咳嗽等疾病。桫椤树形美观，树冠犹如巨伞，有较高的观赏价值，常被当作观赏植物。由于桫椤科植物的古老性和孑遗性，桫椤有重要的科研价值，它的存在对于研究古植物学、植物系统学以及恐龙兴衰、地质变迁有着重大意义，因为桫椤有非常久的栽种历史，所以它也被称作陆生植物的“活化石”。</w:t>
      </w:r>
    </w:p>
    <w:p w14:paraId="11B42599">
      <w:pPr>
        <w:suppressAutoHyphens/>
        <w:spacing w:line="560" w:lineRule="exact"/>
        <w:ind w:firstLine="560" w:firstLineChars="200"/>
        <w:rPr>
          <w:rFonts w:hint="eastAsia" w:ascii="仿宋_GB2312" w:hAnsi="仿宋_GB2312" w:eastAsia="仿宋_GB2312" w:cs="仿宋_GB2312"/>
          <w:color w:val="000000" w:themeColor="text1"/>
          <w:sz w:val="28"/>
          <w:szCs w:val="28"/>
          <w14:textFill>
            <w14:solidFill>
              <w14:schemeClr w14:val="tx1"/>
            </w14:solidFill>
          </w14:textFill>
        </w:rPr>
      </w:pPr>
      <w:r>
        <w:rPr>
          <w:rFonts w:hint="eastAsia" w:ascii="仿宋_GB2312" w:hAnsi="仿宋_GB2312" w:eastAsia="仿宋_GB2312" w:cs="仿宋_GB2312"/>
          <w:color w:val="000000" w:themeColor="text1"/>
          <w:sz w:val="28"/>
          <w:szCs w:val="28"/>
          <w14:textFill>
            <w14:solidFill>
              <w14:schemeClr w14:val="tx1"/>
            </w14:solidFill>
          </w14:textFill>
        </w:rPr>
        <w:t>目前广西境内野外桫椤主要分布在南宁、融水、三江、临桂、苍梧、蒙山、平南、桂平、玉林、容县、博白、北流、德保、靖西、那坡、隆林、东兰、罗城、天峨、金秀、扶绥、宁明、上思等地区。经迁地保护的桫椤有140株，迁地保护区在南宁市兴宁区三塘镇那坨村广西林业科学研究院那坨苗圃栽植点区域。</w:t>
      </w:r>
    </w:p>
    <w:p w14:paraId="47132264">
      <w:pPr>
        <w:suppressAutoHyphens/>
        <w:spacing w:line="560" w:lineRule="exact"/>
        <w:ind w:firstLine="560" w:firstLineChars="200"/>
      </w:pPr>
      <w:r>
        <w:rPr>
          <w:rFonts w:hint="eastAsia" w:ascii="仿宋_GB2312" w:hAnsi="仿宋_GB2312" w:eastAsia="仿宋_GB2312" w:cs="仿宋_GB2312"/>
          <w:sz w:val="28"/>
          <w:szCs w:val="28"/>
        </w:rPr>
        <w:t>除小黑桫椤和粗齿桫椤外现均为国家二级重点保护野生植物，</w:t>
      </w:r>
      <w:r>
        <w:rPr>
          <w:rFonts w:hint="eastAsia" w:ascii="仿宋_GB2312" w:hAnsi="仿宋_GB2312" w:eastAsia="仿宋_GB2312" w:cs="仿宋_GB2312"/>
          <w:color w:val="000000" w:themeColor="text1"/>
          <w:sz w:val="28"/>
          <w:szCs w:val="28"/>
          <w14:textFill>
            <w14:solidFill>
              <w14:schemeClr w14:val="tx1"/>
            </w14:solidFill>
          </w14:textFill>
        </w:rPr>
        <w:t>通过制定《桫椤迁地保护技术规程》，统一规定桫椤迁地保护技术，对提高桫椤迁地保护技术水平，促进珍稀濒危野生植物桫椤种群扩繁和迁地保护高质量发展具有重要意义。因此，制定团体标准《桫椤迁地保护技术规程》具有重要意义。</w:t>
      </w:r>
    </w:p>
    <w:p w14:paraId="441B3EEE">
      <w:pPr>
        <w:autoSpaceDE w:val="0"/>
        <w:autoSpaceDN w:val="0"/>
        <w:adjustRightInd w:val="0"/>
        <w:spacing w:line="520" w:lineRule="exact"/>
        <w:ind w:firstLine="640" w:firstLineChars="200"/>
        <w:jc w:val="left"/>
        <w:rPr>
          <w:rFonts w:ascii="黑体" w:eastAsia="黑体" w:cs="仿宋_GB2312"/>
          <w:sz w:val="32"/>
          <w:szCs w:val="32"/>
        </w:rPr>
      </w:pPr>
      <w:r>
        <w:rPr>
          <w:rFonts w:hint="eastAsia" w:ascii="黑体" w:eastAsia="黑体" w:cs="仿宋_GB2312"/>
          <w:sz w:val="32"/>
          <w:szCs w:val="32"/>
        </w:rPr>
        <w:t>三、主要起草过程</w:t>
      </w:r>
    </w:p>
    <w:p w14:paraId="6449F9D0">
      <w:pPr>
        <w:spacing w:line="520" w:lineRule="exact"/>
        <w:ind w:firstLine="562" w:firstLineChars="200"/>
        <w:rPr>
          <w:rFonts w:ascii="仿宋_GB2312" w:eastAsia="仿宋_GB2312"/>
          <w:sz w:val="28"/>
          <w:szCs w:val="28"/>
        </w:rPr>
      </w:pPr>
      <w:r>
        <w:rPr>
          <w:rFonts w:hint="eastAsia" w:ascii="仿宋_GB2312" w:eastAsia="仿宋_GB2312" w:cs="仿宋_GB2312"/>
          <w:b/>
          <w:sz w:val="28"/>
          <w:szCs w:val="28"/>
        </w:rPr>
        <w:t>（一）成立标准编制工作组</w:t>
      </w:r>
    </w:p>
    <w:p w14:paraId="05019A1A">
      <w:pPr>
        <w:spacing w:line="520" w:lineRule="exact"/>
        <w:ind w:firstLine="560" w:firstLineChars="200"/>
        <w:jc w:val="left"/>
        <w:rPr>
          <w:rFonts w:ascii="仿宋_GB2312" w:eastAsia="仿宋_GB2312"/>
          <w:sz w:val="28"/>
          <w:szCs w:val="28"/>
        </w:rPr>
      </w:pPr>
      <w:r>
        <w:rPr>
          <w:rFonts w:hint="eastAsia" w:ascii="仿宋_GB2312" w:hAnsi="宋体" w:eastAsia="仿宋_GB2312"/>
          <w:sz w:val="28"/>
          <w:szCs w:val="28"/>
        </w:rPr>
        <w:t>团体标准</w:t>
      </w:r>
      <w:r>
        <w:rPr>
          <w:rFonts w:hint="eastAsia" w:ascii="仿宋_GB2312" w:eastAsia="仿宋_GB2312"/>
          <w:sz w:val="28"/>
          <w:szCs w:val="28"/>
        </w:rPr>
        <w:t>《桫椤迁地保护技术规程》项目任务下达后，由广西壮族自治区林业科学研究院牵头组织成立了标准编制工作组，制定了起草编写方案与进度安排，明确任务职责，确定工作技术路线，开展标准研制工作。具体标准编制工作由起草单位相关人员配合完成。</w:t>
      </w:r>
    </w:p>
    <w:p w14:paraId="29817C63">
      <w:pPr>
        <w:spacing w:line="520" w:lineRule="exact"/>
        <w:ind w:firstLine="560" w:firstLineChars="200"/>
        <w:rPr>
          <w:rFonts w:ascii="仿宋_GB2312" w:eastAsia="仿宋_GB2312" w:cs="仿宋_GB2312"/>
          <w:sz w:val="28"/>
          <w:szCs w:val="28"/>
        </w:rPr>
      </w:pPr>
      <w:r>
        <w:rPr>
          <w:rFonts w:hint="eastAsia" w:ascii="仿宋_GB2312" w:eastAsia="仿宋_GB2312"/>
          <w:sz w:val="28"/>
          <w:szCs w:val="28"/>
        </w:rPr>
        <w:t>为了明确标准编制的任务职责，确定工作技术路线，开展标准研制工作。标准编制工作组下设二个组，分别是资料收集组、草案编写组。资料收集组负责国内外有关桫椤迁地保护方面的文献资料的查询、收集和整理工作，查阅前期对桫椤迁地保护方面的有关研究情况和目前科学界桫椤迁地保护的研究进展；草案编写组负责起草标准草案及后续征求意见稿和标准编制说明、送审稿及编制说明等编写工作，包括后期召开征求意见会、网上征求意见，以及标准的不断修改和完善。</w:t>
      </w:r>
    </w:p>
    <w:p w14:paraId="678DAA7E">
      <w:pPr>
        <w:spacing w:line="52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（二）收集整理文献资料</w:t>
      </w:r>
    </w:p>
    <w:p w14:paraId="40D29D62">
      <w:pPr>
        <w:spacing w:line="520" w:lineRule="exact"/>
        <w:ind w:firstLine="560" w:firstLineChars="200"/>
        <w:rPr>
          <w:rFonts w:ascii="仿宋_GB2312" w:eastAsia="仿宋_GB2312"/>
          <w:color w:val="FF0000"/>
          <w:sz w:val="28"/>
          <w:szCs w:val="28"/>
        </w:rPr>
      </w:pPr>
      <w:r>
        <w:rPr>
          <w:rFonts w:hint="eastAsia" w:ascii="仿宋_GB2312" w:eastAsia="仿宋_GB2312"/>
          <w:sz w:val="28"/>
          <w:szCs w:val="28"/>
        </w:rPr>
        <w:t>标准编制工作组收集了国内有关桫椤迁地保护的相关文献资料。主要有：</w:t>
      </w:r>
    </w:p>
    <w:p w14:paraId="6AEC8ADF">
      <w:pPr>
        <w:spacing w:line="520" w:lineRule="exact"/>
        <w:ind w:firstLine="560" w:firstLineChars="200"/>
        <w:rPr>
          <w:rFonts w:ascii="仿宋_GB2312" w:eastAsia="仿宋_GB2312"/>
          <w:sz w:val="28"/>
          <w:szCs w:val="28"/>
        </w:rPr>
      </w:pPr>
      <w:r>
        <w:rPr>
          <w:rFonts w:hint="eastAsia" w:ascii="仿宋_GB2312" w:eastAsia="仿宋_GB2312"/>
          <w:sz w:val="28"/>
          <w:szCs w:val="28"/>
        </w:rPr>
        <w:t>[1]GB 15569—2009  农业植物调运检疫规程</w:t>
      </w:r>
    </w:p>
    <w:p w14:paraId="0F9877CA">
      <w:pPr>
        <w:spacing w:line="520" w:lineRule="exact"/>
        <w:ind w:firstLine="560" w:firstLineChars="200"/>
        <w:rPr>
          <w:rFonts w:ascii="仿宋_GB2312" w:eastAsia="仿宋_GB2312"/>
          <w:sz w:val="28"/>
          <w:szCs w:val="28"/>
        </w:rPr>
      </w:pPr>
      <w:r>
        <w:rPr>
          <w:rFonts w:hint="eastAsia" w:ascii="仿宋_GB2312" w:eastAsia="仿宋_GB2312"/>
          <w:sz w:val="28"/>
          <w:szCs w:val="28"/>
        </w:rPr>
        <w:t>[2]GB/T 15776—2023  造林技术规程</w:t>
      </w:r>
    </w:p>
    <w:p w14:paraId="67382DB6">
      <w:pPr>
        <w:spacing w:line="520" w:lineRule="exact"/>
        <w:ind w:firstLine="560" w:firstLineChars="200"/>
        <w:rPr>
          <w:rFonts w:ascii="仿宋_GB2312" w:eastAsia="仿宋_GB2312"/>
          <w:sz w:val="28"/>
          <w:szCs w:val="28"/>
        </w:rPr>
      </w:pPr>
      <w:r>
        <w:rPr>
          <w:rFonts w:hint="eastAsia" w:ascii="仿宋_GB2312" w:eastAsia="仿宋_GB2312"/>
          <w:sz w:val="28"/>
          <w:szCs w:val="28"/>
        </w:rPr>
        <w:t>[3]NY/T 393—2020  绿色食品农药使用准则</w:t>
      </w:r>
    </w:p>
    <w:p w14:paraId="713E9B32">
      <w:pPr>
        <w:spacing w:line="520" w:lineRule="exact"/>
        <w:ind w:firstLine="560" w:firstLineChars="200"/>
        <w:rPr>
          <w:rFonts w:ascii="仿宋_GB2312" w:eastAsia="仿宋_GB2312"/>
          <w:sz w:val="28"/>
          <w:szCs w:val="28"/>
        </w:rPr>
      </w:pPr>
      <w:r>
        <w:rPr>
          <w:rFonts w:hint="eastAsia" w:ascii="仿宋_GB2312" w:eastAsia="仿宋_GB2312"/>
          <w:sz w:val="28"/>
          <w:szCs w:val="28"/>
        </w:rPr>
        <w:t>[4]LY/T 3086.2—2019  极小种群野生植物保护技术  第2部分：迁地保护技术规程</w:t>
      </w:r>
    </w:p>
    <w:p w14:paraId="09D4C594">
      <w:pPr>
        <w:spacing w:line="520" w:lineRule="exact"/>
        <w:ind w:firstLine="560" w:firstLineChars="200"/>
        <w:rPr>
          <w:rFonts w:ascii="仿宋_GB2312" w:eastAsia="仿宋_GB2312"/>
          <w:sz w:val="28"/>
          <w:szCs w:val="28"/>
        </w:rPr>
      </w:pPr>
      <w:r>
        <w:rPr>
          <w:rFonts w:hint="eastAsia" w:ascii="仿宋_GB2312" w:eastAsia="仿宋_GB2312"/>
          <w:sz w:val="28"/>
          <w:szCs w:val="28"/>
        </w:rPr>
        <w:t>[5]T/GXAS 712—2024  喀斯特地区极小种群野生植物迁地保护技术规程</w:t>
      </w:r>
    </w:p>
    <w:p w14:paraId="42AC6E58">
      <w:pPr>
        <w:spacing w:line="520" w:lineRule="exact"/>
        <w:ind w:firstLine="560" w:firstLineChars="200"/>
        <w:rPr>
          <w:rFonts w:ascii="仿宋_GB2312" w:eastAsia="仿宋_GB2312"/>
          <w:sz w:val="28"/>
          <w:szCs w:val="28"/>
        </w:rPr>
      </w:pPr>
      <w:r>
        <w:rPr>
          <w:rFonts w:hint="eastAsia" w:ascii="仿宋_GB2312" w:eastAsia="仿宋_GB2312"/>
          <w:sz w:val="28"/>
          <w:szCs w:val="28"/>
        </w:rPr>
        <w:t>[6]DB23/T 3075—2022  刺五加迁地保护技术规程</w:t>
      </w:r>
    </w:p>
    <w:p w14:paraId="6C120CEB">
      <w:pPr>
        <w:spacing w:line="520" w:lineRule="exact"/>
        <w:ind w:firstLine="560" w:firstLineChars="200"/>
        <w:rPr>
          <w:rFonts w:ascii="仿宋_GB2312" w:eastAsia="仿宋_GB2312"/>
          <w:sz w:val="28"/>
          <w:szCs w:val="28"/>
        </w:rPr>
      </w:pPr>
      <w:r>
        <w:rPr>
          <w:rFonts w:hint="eastAsia" w:ascii="仿宋_GB2312" w:eastAsia="仿宋_GB2312"/>
          <w:sz w:val="28"/>
          <w:szCs w:val="28"/>
        </w:rPr>
        <w:t>[7]DB42/T 1530—2019  大型水电工程开发中珍稀植物迁地保护技术指南</w:t>
      </w:r>
    </w:p>
    <w:p w14:paraId="0B86833E">
      <w:pPr>
        <w:spacing w:line="520" w:lineRule="exact"/>
        <w:ind w:firstLine="560" w:firstLineChars="200"/>
        <w:rPr>
          <w:rFonts w:ascii="仿宋_GB2312" w:eastAsia="仿宋_GB2312"/>
          <w:sz w:val="28"/>
          <w:szCs w:val="28"/>
        </w:rPr>
      </w:pPr>
      <w:r>
        <w:rPr>
          <w:rFonts w:hint="eastAsia" w:ascii="仿宋_GB2312" w:eastAsia="仿宋_GB2312"/>
          <w:sz w:val="28"/>
          <w:szCs w:val="28"/>
        </w:rPr>
        <w:t>[8]DB45/T 1821—2018  大树移植技术规程</w:t>
      </w:r>
    </w:p>
    <w:p w14:paraId="42659C58">
      <w:pPr>
        <w:spacing w:line="520" w:lineRule="exact"/>
        <w:ind w:firstLine="560" w:firstLineChars="200"/>
        <w:rPr>
          <w:rFonts w:ascii="仿宋_GB2312" w:eastAsia="仿宋_GB2312"/>
          <w:sz w:val="28"/>
          <w:szCs w:val="28"/>
        </w:rPr>
      </w:pPr>
      <w:r>
        <w:rPr>
          <w:rFonts w:hint="eastAsia" w:ascii="仿宋_GB2312" w:eastAsia="仿宋_GB2312"/>
          <w:sz w:val="28"/>
          <w:szCs w:val="28"/>
        </w:rPr>
        <w:t>[9]DB45/T 2721—2023  珍贵树种移植技术规程</w:t>
      </w:r>
    </w:p>
    <w:p w14:paraId="4F2BA5FF">
      <w:pPr>
        <w:spacing w:line="520" w:lineRule="exact"/>
        <w:ind w:firstLine="560" w:firstLineChars="200"/>
        <w:rPr>
          <w:rFonts w:ascii="仿宋_GB2312" w:eastAsia="仿宋_GB2312"/>
          <w:sz w:val="28"/>
          <w:szCs w:val="28"/>
        </w:rPr>
      </w:pPr>
      <w:r>
        <w:rPr>
          <w:rFonts w:hint="eastAsia" w:ascii="仿宋_GB2312" w:eastAsia="仿宋_GB2312"/>
          <w:sz w:val="28"/>
          <w:szCs w:val="28"/>
        </w:rPr>
        <w:t>[10]GB/T 6001—1985  育苗技术规程</w:t>
      </w:r>
    </w:p>
    <w:p w14:paraId="588C1328">
      <w:pPr>
        <w:spacing w:line="520" w:lineRule="exact"/>
        <w:ind w:firstLine="560" w:firstLineChars="200"/>
        <w:rPr>
          <w:rFonts w:ascii="仿宋_GB2312" w:eastAsia="仿宋_GB2312"/>
          <w:sz w:val="28"/>
          <w:szCs w:val="28"/>
        </w:rPr>
      </w:pPr>
      <w:r>
        <w:rPr>
          <w:rFonts w:hint="eastAsia" w:ascii="仿宋_GB2312" w:eastAsia="仿宋_GB2312"/>
          <w:sz w:val="28"/>
          <w:szCs w:val="28"/>
        </w:rPr>
        <w:t>[11]LY/T 2417—2015  林木种质资源异地保存库营建技术规程</w:t>
      </w:r>
    </w:p>
    <w:p w14:paraId="10C7D879">
      <w:pPr>
        <w:spacing w:line="520" w:lineRule="exact"/>
        <w:ind w:firstLine="560" w:firstLineChars="200"/>
        <w:rPr>
          <w:rFonts w:ascii="仿宋_GB2312" w:eastAsia="仿宋_GB2312"/>
          <w:sz w:val="28"/>
          <w:szCs w:val="28"/>
        </w:rPr>
      </w:pPr>
      <w:r>
        <w:rPr>
          <w:rFonts w:hint="eastAsia" w:ascii="仿宋_GB2312" w:eastAsia="仿宋_GB2312"/>
          <w:sz w:val="28"/>
          <w:szCs w:val="28"/>
        </w:rPr>
        <w:t>[12]LY/T 3186—2020  极小种群野生植物苗木繁育技术规程</w:t>
      </w:r>
    </w:p>
    <w:p w14:paraId="5DC865DC">
      <w:pPr>
        <w:spacing w:line="520" w:lineRule="exact"/>
        <w:ind w:firstLine="560" w:firstLineChars="200"/>
        <w:rPr>
          <w:rFonts w:ascii="仿宋_GB2312" w:eastAsia="仿宋_GB2312"/>
          <w:sz w:val="28"/>
          <w:szCs w:val="28"/>
        </w:rPr>
      </w:pPr>
      <w:r>
        <w:rPr>
          <w:rFonts w:hint="eastAsia" w:ascii="仿宋_GB2312" w:eastAsia="仿宋_GB2312"/>
          <w:sz w:val="28"/>
          <w:szCs w:val="28"/>
        </w:rPr>
        <w:t>[13]SC/T 9609—2020  长江江豚迁地保护技术规范</w:t>
      </w:r>
    </w:p>
    <w:p w14:paraId="6BF882D5">
      <w:pPr>
        <w:spacing w:line="520" w:lineRule="exact"/>
        <w:ind w:firstLine="560" w:firstLineChars="200"/>
        <w:rPr>
          <w:rFonts w:ascii="仿宋_GB2312" w:eastAsia="仿宋_GB2312"/>
          <w:sz w:val="28"/>
          <w:szCs w:val="28"/>
        </w:rPr>
      </w:pPr>
      <w:r>
        <w:rPr>
          <w:rFonts w:hint="eastAsia" w:ascii="仿宋_GB2312" w:eastAsia="仿宋_GB2312"/>
          <w:sz w:val="28"/>
          <w:szCs w:val="28"/>
        </w:rPr>
        <w:t>[14]储蓉,郭鸿英.贵州省植物园珍稀濒危保护植物的迁地保护初报[J].贵州林业科技,2004,(02):38-42.</w:t>
      </w:r>
    </w:p>
    <w:p w14:paraId="37C02462">
      <w:pPr>
        <w:spacing w:line="520" w:lineRule="exact"/>
        <w:ind w:firstLine="560" w:firstLineChars="200"/>
        <w:rPr>
          <w:rFonts w:ascii="仿宋_GB2312" w:eastAsia="仿宋_GB2312"/>
          <w:sz w:val="28"/>
          <w:szCs w:val="28"/>
        </w:rPr>
      </w:pPr>
      <w:r>
        <w:rPr>
          <w:rFonts w:ascii="仿宋_GB2312" w:eastAsia="仿宋_GB2312"/>
          <w:sz w:val="28"/>
          <w:szCs w:val="28"/>
        </w:rPr>
        <w:t>[1</w:t>
      </w:r>
      <w:r>
        <w:rPr>
          <w:rFonts w:hint="eastAsia" w:ascii="仿宋_GB2312" w:eastAsia="仿宋_GB2312"/>
          <w:sz w:val="28"/>
          <w:szCs w:val="28"/>
        </w:rPr>
        <w:t>5</w:t>
      </w:r>
      <w:r>
        <w:rPr>
          <w:rFonts w:ascii="仿宋_GB2312" w:eastAsia="仿宋_GB2312"/>
          <w:sz w:val="28"/>
          <w:szCs w:val="28"/>
        </w:rPr>
        <w:t>]谭向平,梁晓东,罗世孝,等.如何构建以国家植物园为核心的区域植物迁地保护体系:广东的探索[J].生物多样性,2025,33(02):147-155.</w:t>
      </w:r>
    </w:p>
    <w:p w14:paraId="614098F1">
      <w:pPr>
        <w:spacing w:line="520" w:lineRule="exact"/>
        <w:ind w:firstLine="560" w:firstLineChars="200"/>
        <w:rPr>
          <w:rFonts w:ascii="仿宋_GB2312" w:eastAsia="仿宋_GB2312"/>
          <w:sz w:val="28"/>
          <w:szCs w:val="28"/>
        </w:rPr>
      </w:pPr>
      <w:r>
        <w:rPr>
          <w:rFonts w:ascii="仿宋_GB2312" w:eastAsia="仿宋_GB2312"/>
          <w:sz w:val="28"/>
          <w:szCs w:val="28"/>
        </w:rPr>
        <w:t>[</w:t>
      </w:r>
      <w:r>
        <w:rPr>
          <w:rFonts w:hint="eastAsia" w:ascii="仿宋_GB2312" w:eastAsia="仿宋_GB2312"/>
          <w:sz w:val="28"/>
          <w:szCs w:val="28"/>
        </w:rPr>
        <w:t>16</w:t>
      </w:r>
      <w:r>
        <w:rPr>
          <w:rFonts w:ascii="仿宋_GB2312" w:eastAsia="仿宋_GB2312"/>
          <w:sz w:val="28"/>
          <w:szCs w:val="28"/>
        </w:rPr>
        <w:t>]吴泳琪,蔡晓梅.植物迁地保护的跨地方性实践过程、机制与政策启示——以华南国家植物园为例[J].自然资源学报,2024,</w:t>
      </w:r>
      <w:r>
        <w:rPr>
          <w:rFonts w:hint="eastAsia" w:ascii="仿宋_GB2312" w:eastAsia="仿宋_GB2312"/>
          <w:sz w:val="28"/>
          <w:szCs w:val="28"/>
        </w:rPr>
        <w:t xml:space="preserve"> </w:t>
      </w:r>
      <w:r>
        <w:rPr>
          <w:rFonts w:ascii="仿宋_GB2312" w:eastAsia="仿宋_GB2312"/>
          <w:sz w:val="28"/>
          <w:szCs w:val="28"/>
        </w:rPr>
        <w:t>39(10):2350-2363.</w:t>
      </w:r>
    </w:p>
    <w:p w14:paraId="0638517C">
      <w:pPr>
        <w:spacing w:line="520" w:lineRule="exact"/>
        <w:ind w:firstLine="560" w:firstLineChars="200"/>
        <w:rPr>
          <w:rFonts w:ascii="仿宋_GB2312" w:eastAsia="仿宋_GB2312"/>
          <w:sz w:val="28"/>
          <w:szCs w:val="28"/>
        </w:rPr>
      </w:pPr>
      <w:r>
        <w:rPr>
          <w:rFonts w:ascii="仿宋_GB2312" w:eastAsia="仿宋_GB2312"/>
          <w:sz w:val="28"/>
          <w:szCs w:val="28"/>
        </w:rPr>
        <w:t>[</w:t>
      </w:r>
      <w:r>
        <w:rPr>
          <w:rFonts w:hint="eastAsia" w:ascii="仿宋_GB2312" w:eastAsia="仿宋_GB2312"/>
          <w:sz w:val="28"/>
          <w:szCs w:val="28"/>
        </w:rPr>
        <w:t>17</w:t>
      </w:r>
      <w:r>
        <w:rPr>
          <w:rFonts w:ascii="仿宋_GB2312" w:eastAsia="仿宋_GB2312"/>
          <w:sz w:val="28"/>
          <w:szCs w:val="28"/>
        </w:rPr>
        <w:t>]马永志,孙华富,易昌军,等.西昌泸山五小叶槭迁地保护移栽试验[J].陕西林业科技,2024,52(04):20-24.</w:t>
      </w:r>
    </w:p>
    <w:p w14:paraId="399AC628">
      <w:pPr>
        <w:spacing w:line="520" w:lineRule="exact"/>
        <w:ind w:firstLine="560" w:firstLineChars="200"/>
        <w:rPr>
          <w:rFonts w:ascii="仿宋_GB2312" w:eastAsia="仿宋_GB2312"/>
          <w:sz w:val="28"/>
          <w:szCs w:val="28"/>
        </w:rPr>
      </w:pPr>
      <w:r>
        <w:rPr>
          <w:rFonts w:ascii="仿宋_GB2312" w:eastAsia="仿宋_GB2312"/>
          <w:sz w:val="28"/>
          <w:szCs w:val="28"/>
        </w:rPr>
        <w:t>[1</w:t>
      </w:r>
      <w:r>
        <w:rPr>
          <w:rFonts w:hint="eastAsia" w:ascii="仿宋_GB2312" w:eastAsia="仿宋_GB2312"/>
          <w:sz w:val="28"/>
          <w:szCs w:val="28"/>
        </w:rPr>
        <w:t>8</w:t>
      </w:r>
      <w:r>
        <w:rPr>
          <w:rFonts w:ascii="仿宋_GB2312" w:eastAsia="仿宋_GB2312"/>
          <w:sz w:val="28"/>
          <w:szCs w:val="28"/>
        </w:rPr>
        <w:t>]刘邦伟,曹蓉芬,汪彦宏,等.东北红豆杉在北方沿海地区迁地保护研究[J].温带林业研究,2024,7(02):25-29+44.</w:t>
      </w:r>
    </w:p>
    <w:p w14:paraId="01B0CAA5">
      <w:pPr>
        <w:spacing w:line="520" w:lineRule="exact"/>
        <w:ind w:firstLine="560" w:firstLineChars="200"/>
        <w:rPr>
          <w:rFonts w:ascii="仿宋_GB2312" w:eastAsia="仿宋_GB2312"/>
          <w:sz w:val="28"/>
          <w:szCs w:val="28"/>
        </w:rPr>
      </w:pPr>
      <w:r>
        <w:rPr>
          <w:rFonts w:ascii="仿宋_GB2312" w:eastAsia="仿宋_GB2312"/>
          <w:sz w:val="28"/>
          <w:szCs w:val="28"/>
        </w:rPr>
        <w:t>[</w:t>
      </w:r>
      <w:r>
        <w:rPr>
          <w:rFonts w:hint="eastAsia" w:ascii="仿宋_GB2312" w:eastAsia="仿宋_GB2312"/>
          <w:sz w:val="28"/>
          <w:szCs w:val="28"/>
        </w:rPr>
        <w:t>19</w:t>
      </w:r>
      <w:r>
        <w:rPr>
          <w:rFonts w:ascii="仿宋_GB2312" w:eastAsia="仿宋_GB2312"/>
          <w:sz w:val="28"/>
          <w:szCs w:val="28"/>
        </w:rPr>
        <w:t>]魏宁,李亚利,杨柯,等.黄杉在秦岭北麓的迁地保育技术[J].陕西林业科技,2024,52(03):130-131+142.</w:t>
      </w:r>
    </w:p>
    <w:p w14:paraId="765AD4CF">
      <w:pPr>
        <w:spacing w:line="520" w:lineRule="exact"/>
        <w:ind w:firstLine="560" w:firstLineChars="200"/>
        <w:rPr>
          <w:rFonts w:ascii="仿宋_GB2312" w:eastAsia="仿宋_GB2312"/>
          <w:sz w:val="28"/>
          <w:szCs w:val="28"/>
        </w:rPr>
      </w:pPr>
      <w:r>
        <w:rPr>
          <w:rFonts w:ascii="仿宋_GB2312" w:eastAsia="仿宋_GB2312"/>
          <w:sz w:val="28"/>
          <w:szCs w:val="28"/>
        </w:rPr>
        <w:t>[</w:t>
      </w:r>
      <w:r>
        <w:rPr>
          <w:rFonts w:hint="eastAsia" w:ascii="仿宋_GB2312" w:eastAsia="仿宋_GB2312"/>
          <w:sz w:val="28"/>
          <w:szCs w:val="28"/>
        </w:rPr>
        <w:t>20</w:t>
      </w:r>
      <w:r>
        <w:rPr>
          <w:rFonts w:ascii="仿宋_GB2312" w:eastAsia="仿宋_GB2312"/>
          <w:sz w:val="28"/>
          <w:szCs w:val="28"/>
        </w:rPr>
        <w:t>]洪文君,刘俊,王炳宇,等.极小种群野生植物海南假韶子种子发芽特性及迁地保护的生长研究[J].林业与环境科学,2024,40(01):51-56.</w:t>
      </w:r>
    </w:p>
    <w:p w14:paraId="15A3043D">
      <w:pPr>
        <w:spacing w:line="520" w:lineRule="exact"/>
        <w:ind w:firstLine="560" w:firstLineChars="200"/>
        <w:rPr>
          <w:rFonts w:ascii="仿宋_GB2312" w:eastAsia="仿宋_GB2312"/>
          <w:sz w:val="28"/>
          <w:szCs w:val="28"/>
        </w:rPr>
      </w:pPr>
      <w:r>
        <w:rPr>
          <w:rFonts w:ascii="仿宋_GB2312" w:eastAsia="仿宋_GB2312"/>
          <w:sz w:val="28"/>
          <w:szCs w:val="28"/>
        </w:rPr>
        <w:t>[</w:t>
      </w:r>
      <w:r>
        <w:rPr>
          <w:rFonts w:hint="eastAsia" w:ascii="仿宋_GB2312" w:eastAsia="仿宋_GB2312"/>
          <w:sz w:val="28"/>
          <w:szCs w:val="28"/>
        </w:rPr>
        <w:t>21</w:t>
      </w:r>
      <w:r>
        <w:rPr>
          <w:rFonts w:ascii="仿宋_GB2312" w:eastAsia="仿宋_GB2312"/>
          <w:sz w:val="28"/>
          <w:szCs w:val="28"/>
        </w:rPr>
        <w:t>]詹施施.中国重点保护野生植物迁地保护现状调查与评估[D].江西农业大学,2022.</w:t>
      </w:r>
    </w:p>
    <w:p w14:paraId="29E64618">
      <w:pPr>
        <w:spacing w:line="520" w:lineRule="exact"/>
        <w:ind w:firstLine="560" w:firstLineChars="200"/>
        <w:rPr>
          <w:rFonts w:ascii="仿宋_GB2312" w:eastAsia="仿宋_GB2312"/>
          <w:sz w:val="28"/>
          <w:szCs w:val="28"/>
        </w:rPr>
      </w:pPr>
      <w:r>
        <w:rPr>
          <w:rFonts w:ascii="仿宋_GB2312" w:eastAsia="仿宋_GB2312"/>
          <w:sz w:val="28"/>
          <w:szCs w:val="28"/>
        </w:rPr>
        <w:t>[</w:t>
      </w:r>
      <w:r>
        <w:rPr>
          <w:rFonts w:hint="eastAsia" w:ascii="仿宋_GB2312" w:eastAsia="仿宋_GB2312"/>
          <w:sz w:val="28"/>
          <w:szCs w:val="28"/>
        </w:rPr>
        <w:t>22</w:t>
      </w:r>
      <w:r>
        <w:rPr>
          <w:rFonts w:ascii="仿宋_GB2312" w:eastAsia="仿宋_GB2312"/>
          <w:sz w:val="28"/>
          <w:szCs w:val="28"/>
        </w:rPr>
        <w:t>]韩新华,刘朝阳,李平,等.国家级珍稀濒危保护植物在黄河文化公园的迁地保护及应用[J].河南林业科技,2022,42(01):48-51.</w:t>
      </w:r>
    </w:p>
    <w:p w14:paraId="021BC776">
      <w:pPr>
        <w:spacing w:line="520" w:lineRule="exact"/>
        <w:ind w:firstLine="560" w:firstLineChars="200"/>
        <w:rPr>
          <w:rFonts w:ascii="仿宋_GB2312" w:eastAsia="仿宋_GB2312"/>
          <w:sz w:val="28"/>
          <w:szCs w:val="28"/>
        </w:rPr>
      </w:pPr>
      <w:r>
        <w:rPr>
          <w:rFonts w:ascii="仿宋_GB2312" w:eastAsia="仿宋_GB2312"/>
          <w:sz w:val="28"/>
          <w:szCs w:val="28"/>
        </w:rPr>
        <w:t>[</w:t>
      </w:r>
      <w:r>
        <w:rPr>
          <w:rFonts w:hint="eastAsia" w:ascii="仿宋_GB2312" w:eastAsia="仿宋_GB2312"/>
          <w:sz w:val="28"/>
          <w:szCs w:val="28"/>
        </w:rPr>
        <w:t>23</w:t>
      </w:r>
      <w:r>
        <w:rPr>
          <w:rFonts w:ascii="仿宋_GB2312" w:eastAsia="仿宋_GB2312"/>
          <w:sz w:val="28"/>
          <w:szCs w:val="28"/>
        </w:rPr>
        <w:t>]张龙,马艳萍,张新勇.河南省黑壳楠野生资源分布及迁地保护[J].河南林业科技,2022,42(01):18-19+51.</w:t>
      </w:r>
    </w:p>
    <w:p w14:paraId="7EBFAAF1">
      <w:pPr>
        <w:spacing w:line="520" w:lineRule="exact"/>
        <w:ind w:firstLine="560" w:firstLineChars="200"/>
        <w:rPr>
          <w:rFonts w:ascii="仿宋_GB2312" w:eastAsia="仿宋_GB2312"/>
          <w:sz w:val="28"/>
          <w:szCs w:val="28"/>
        </w:rPr>
      </w:pPr>
      <w:r>
        <w:rPr>
          <w:rFonts w:ascii="仿宋_GB2312" w:eastAsia="仿宋_GB2312"/>
          <w:sz w:val="28"/>
          <w:szCs w:val="28"/>
        </w:rPr>
        <w:t>[</w:t>
      </w:r>
      <w:r>
        <w:rPr>
          <w:rFonts w:hint="eastAsia" w:ascii="仿宋_GB2312" w:eastAsia="仿宋_GB2312"/>
          <w:sz w:val="28"/>
          <w:szCs w:val="28"/>
        </w:rPr>
        <w:t>24</w:t>
      </w:r>
      <w:r>
        <w:rPr>
          <w:rFonts w:ascii="仿宋_GB2312" w:eastAsia="仿宋_GB2312"/>
          <w:sz w:val="28"/>
          <w:szCs w:val="28"/>
        </w:rPr>
        <w:t>]高金辉,刺五加迁地保护技术规程.黑龙江省,黑龙江省林业科学院伊春分院,2021-11-22.</w:t>
      </w:r>
    </w:p>
    <w:p w14:paraId="1A0DDEC9">
      <w:pPr>
        <w:spacing w:line="52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（三）研讨确定标准主体内容及标准创新点</w:t>
      </w:r>
    </w:p>
    <w:p w14:paraId="2128798C">
      <w:pPr>
        <w:pStyle w:val="29"/>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标准编制工作组在对收集的资料进行整理研究之后，标准编制工作组召开了标准编制会议，对标准的整体框架结构进行了研究，并对标准的关键性内容进行了初步探讨。经过研究，标准的主体内容为迁地保护基地建立、迁地保护管护、迁地保护监测和迁地保护效果评价的操作指示，描述迁地保护过程信息的追溯方法。</w:t>
      </w:r>
    </w:p>
    <w:p w14:paraId="28CBB000">
      <w:pPr>
        <w:pStyle w:val="29"/>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本标准创新点主要为：</w:t>
      </w:r>
    </w:p>
    <w:p w14:paraId="292BB60F">
      <w:pPr>
        <w:pStyle w:val="29"/>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桫椤的生长环境苛刻，需要特定的湿度、温度和光照条件。在自然环境中，桫椤的孢子传播后，由于缺乏适宜的环境条件，其存活率极低，仅依靠移栽成年植株难以维持种群的稳定增长。因此，标准编制组增加了孢子育苗的方式，通过孢子育苗，可以快速培育出大量幼苗，为迁地保护提供充足的苗木资源，从而实现种群的恢复和扩展。</w:t>
      </w:r>
    </w:p>
    <w:p w14:paraId="0CF430EC">
      <w:pPr>
        <w:pStyle w:val="29"/>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2、选择苗木时，记录坡度、坡向，土壤厚度及理化性质，光照及水分条件等信息，定植时要求按原生长的朝向放置，保证桫椤与环境的长期适应性平衡，提高移栽成活率。</w:t>
      </w:r>
    </w:p>
    <w:p w14:paraId="633A6F44">
      <w:pPr>
        <w:pStyle w:val="29"/>
        <w:spacing w:before="0" w:beforeLines="0" w:after="0" w:afterLines="0"/>
        <w:ind w:firstLine="560"/>
        <w:jc w:val="both"/>
        <w:rPr>
          <w:rFonts w:hint="eastAsia"/>
        </w:rPr>
      </w:pPr>
      <w:r>
        <w:rPr>
          <w:rFonts w:hint="eastAsia" w:ascii="仿宋_GB2312" w:hAnsi="仿宋_GB2312" w:eastAsia="仿宋_GB2312" w:cs="仿宋_GB2312"/>
          <w:sz w:val="28"/>
          <w:szCs w:val="28"/>
        </w:rPr>
        <w:t>3、桫椤迁地后对环境较为敏感，尤其是对水分的需求较大，因此标准编组规范明确和淋水和空气湿度要求：1）对桫椤进行管护时精确对淋水的要求，根据移栽时间不同，差异化的淋水频率：移栽第1周，每天淋水1次；第2～3周隔天淋水1次；第4～6周每隔3 d～5 d淋水1次。如遇雨天，根据雨量酌情少淋水。浇水时间以早晨或傍晚为宜。2）桫椤对空气湿度要求较高，为满足桫椤对空气湿度的需求，每天早晚各喷淋2次。如连续高温天气（≥36 ℃），每天中午补喷淋1次。3）高大植株的水分运输距离较长，顶端和基部的水分需求较大，需要额外补充水分，确保整个植株的水分供应均衡，防止因水分不足导致生长不良或叶片枯萎，因此高于3 m的植株，单独在基部和顶端1 m处每天各喷淋1次。</w:t>
      </w:r>
    </w:p>
    <w:p w14:paraId="53CB7ECF">
      <w:pPr>
        <w:spacing w:line="52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（四）调研及形成草案、征求意见稿</w:t>
      </w:r>
    </w:p>
    <w:p w14:paraId="40CCB5BF">
      <w:pPr>
        <w:spacing w:line="520" w:lineRule="exact"/>
        <w:ind w:firstLine="560" w:firstLineChars="200"/>
        <w:rPr>
          <w:rFonts w:ascii="仿宋_GB2312" w:eastAsia="仿宋_GB2312"/>
          <w:kern w:val="0"/>
          <w:sz w:val="28"/>
          <w:szCs w:val="28"/>
        </w:rPr>
      </w:pPr>
      <w:r>
        <w:rPr>
          <w:rFonts w:hint="eastAsia" w:ascii="仿宋_GB2312" w:eastAsia="仿宋_GB2312"/>
          <w:kern w:val="0"/>
          <w:sz w:val="28"/>
          <w:szCs w:val="28"/>
        </w:rPr>
        <w:t>2025年1月～2025年3月，标准起草工作小组进行了广泛实地调研工作，查阅了大量的国内外文献资料，对桫椤迁地保护技术进行系统总结，形成了标准的基本构架，对主要内容进行了讨论并对项目的工作进行了部署和安排，编制完成了《桫椤迁地保护技术规程》（草案）。</w:t>
      </w:r>
    </w:p>
    <w:p w14:paraId="08654578">
      <w:pPr>
        <w:spacing w:line="520" w:lineRule="exact"/>
        <w:ind w:firstLine="560" w:firstLineChars="200"/>
        <w:rPr>
          <w:rFonts w:ascii="仿宋_GB2312" w:eastAsia="仿宋_GB2312"/>
          <w:kern w:val="0"/>
          <w:sz w:val="28"/>
          <w:szCs w:val="28"/>
        </w:rPr>
      </w:pPr>
      <w:r>
        <w:rPr>
          <w:rFonts w:hint="eastAsia" w:ascii="仿宋_GB2312" w:eastAsia="仿宋_GB2312"/>
          <w:kern w:val="0"/>
          <w:sz w:val="28"/>
          <w:szCs w:val="28"/>
        </w:rPr>
        <w:t>2025年4月～2025年5月，编制组向已开展迁地保护工作的相关科研单位、企业征求技术意见。按照简化、统一等原则编制完成团体标准《桫椤迁地保护技术规程》（征求意见稿）和（征求意见稿）编制说明。</w:t>
      </w:r>
    </w:p>
    <w:p w14:paraId="3026C158">
      <w:pPr>
        <w:autoSpaceDE w:val="0"/>
        <w:autoSpaceDN w:val="0"/>
        <w:adjustRightInd w:val="0"/>
        <w:spacing w:line="520" w:lineRule="exact"/>
        <w:ind w:firstLine="640" w:firstLineChars="200"/>
        <w:jc w:val="left"/>
        <w:rPr>
          <w:rFonts w:ascii="黑体" w:eastAsia="黑体" w:cs="仿宋_GB2312"/>
          <w:sz w:val="32"/>
          <w:szCs w:val="32"/>
        </w:rPr>
      </w:pPr>
      <w:r>
        <w:rPr>
          <w:rFonts w:hint="eastAsia" w:ascii="黑体" w:eastAsia="黑体" w:cs="仿宋_GB2312"/>
          <w:sz w:val="32"/>
          <w:szCs w:val="32"/>
        </w:rPr>
        <w:t>四、制定标准的原则和依据，与现行法律、法规的关系，与有关国家标准、行业标准的协调情况</w:t>
      </w:r>
    </w:p>
    <w:p w14:paraId="59D42203">
      <w:pPr>
        <w:widowControl/>
        <w:tabs>
          <w:tab w:val="center" w:pos="4201"/>
          <w:tab w:val="right" w:leader="dot" w:pos="9298"/>
        </w:tabs>
        <w:autoSpaceDE w:val="0"/>
        <w:autoSpaceDN w:val="0"/>
        <w:spacing w:line="520" w:lineRule="exact"/>
        <w:ind w:firstLine="562" w:firstLineChars="200"/>
        <w:outlineLvl w:val="1"/>
        <w:rPr>
          <w:rFonts w:ascii="仿宋_GB2312" w:eastAsia="仿宋_GB2312"/>
          <w:b/>
          <w:bCs/>
          <w:kern w:val="0"/>
          <w:sz w:val="28"/>
          <w:szCs w:val="28"/>
        </w:rPr>
      </w:pPr>
      <w:r>
        <w:rPr>
          <w:rFonts w:hint="eastAsia" w:ascii="仿宋_GB2312" w:eastAsia="仿宋_GB2312"/>
          <w:b/>
          <w:bCs/>
          <w:kern w:val="0"/>
          <w:sz w:val="28"/>
          <w:szCs w:val="28"/>
        </w:rPr>
        <w:t>（一）编制原则</w:t>
      </w:r>
    </w:p>
    <w:p w14:paraId="3A29AD26">
      <w:pPr>
        <w:spacing w:line="520" w:lineRule="exact"/>
        <w:ind w:firstLine="562" w:firstLineChars="200"/>
        <w:rPr>
          <w:rFonts w:ascii="仿宋_GB2312" w:eastAsia="仿宋_GB2312"/>
          <w:b/>
          <w:sz w:val="28"/>
          <w:szCs w:val="28"/>
        </w:rPr>
      </w:pPr>
      <w:r>
        <w:rPr>
          <w:rFonts w:hint="eastAsia" w:ascii="仿宋_GB2312" w:eastAsia="仿宋_GB2312"/>
          <w:b/>
          <w:sz w:val="28"/>
          <w:szCs w:val="28"/>
        </w:rPr>
        <w:t>1、实用性原则</w:t>
      </w:r>
    </w:p>
    <w:p w14:paraId="6BE45F65">
      <w:pPr>
        <w:spacing w:line="520" w:lineRule="exact"/>
        <w:ind w:firstLine="560" w:firstLineChars="200"/>
        <w:rPr>
          <w:rFonts w:ascii="仿宋_GB2312" w:eastAsia="仿宋_GB2312" w:cs="仿宋"/>
          <w:sz w:val="28"/>
          <w:szCs w:val="28"/>
        </w:rPr>
      </w:pPr>
      <w:r>
        <w:rPr>
          <w:rFonts w:hint="eastAsia" w:ascii="仿宋_GB2312" w:eastAsia="仿宋_GB2312" w:cs="仿宋"/>
          <w:sz w:val="28"/>
          <w:szCs w:val="28"/>
        </w:rPr>
        <w:t>本标准是在充分收集国内外相关资料和文献、调研分析</w:t>
      </w:r>
      <w:r>
        <w:rPr>
          <w:rFonts w:hint="eastAsia" w:ascii="仿宋_GB2312" w:eastAsia="仿宋_GB2312"/>
          <w:kern w:val="0"/>
          <w:sz w:val="28"/>
          <w:szCs w:val="28"/>
        </w:rPr>
        <w:t>桫椤迁地保护</w:t>
      </w:r>
      <w:r>
        <w:rPr>
          <w:rFonts w:hint="eastAsia" w:ascii="仿宋_GB2312" w:eastAsia="仿宋_GB2312" w:cs="仿宋"/>
          <w:sz w:val="28"/>
          <w:szCs w:val="28"/>
        </w:rPr>
        <w:t>现状，结合起草单位前期研究工作取得的研究成果及积累的</w:t>
      </w:r>
      <w:r>
        <w:rPr>
          <w:rFonts w:hint="eastAsia" w:ascii="仿宋_GB2312" w:eastAsia="仿宋_GB2312"/>
          <w:kern w:val="0"/>
          <w:sz w:val="28"/>
          <w:szCs w:val="28"/>
        </w:rPr>
        <w:t>桫椤迁地保护</w:t>
      </w:r>
      <w:r>
        <w:rPr>
          <w:rFonts w:hint="eastAsia" w:ascii="仿宋_GB2312" w:eastAsia="仿宋_GB2312" w:cs="仿宋"/>
          <w:sz w:val="28"/>
          <w:szCs w:val="28"/>
        </w:rPr>
        <w:t>实践经验，并借鉴国内</w:t>
      </w:r>
      <w:r>
        <w:rPr>
          <w:rFonts w:hint="eastAsia" w:ascii="仿宋_GB2312" w:eastAsia="仿宋_GB2312"/>
          <w:kern w:val="0"/>
          <w:sz w:val="28"/>
          <w:szCs w:val="28"/>
        </w:rPr>
        <w:t>桫椤迁地保护</w:t>
      </w:r>
      <w:r>
        <w:rPr>
          <w:rFonts w:hint="eastAsia" w:ascii="仿宋_GB2312" w:eastAsia="仿宋_GB2312" w:cs="仿宋"/>
          <w:sz w:val="28"/>
          <w:szCs w:val="28"/>
        </w:rPr>
        <w:t>进行总结起草的，符合工作实际，利于</w:t>
      </w:r>
      <w:r>
        <w:rPr>
          <w:rFonts w:hint="eastAsia" w:ascii="仿宋_GB2312" w:eastAsia="仿宋_GB2312"/>
          <w:kern w:val="0"/>
          <w:sz w:val="28"/>
          <w:szCs w:val="28"/>
        </w:rPr>
        <w:t>桫椤迁地保护技术</w:t>
      </w:r>
      <w:r>
        <w:rPr>
          <w:rFonts w:hint="eastAsia" w:ascii="仿宋_GB2312" w:eastAsia="仿宋_GB2312" w:cs="仿宋"/>
          <w:sz w:val="28"/>
          <w:szCs w:val="28"/>
        </w:rPr>
        <w:t>的实施与推广，具有可操作性和实用性。</w:t>
      </w:r>
    </w:p>
    <w:p w14:paraId="332CA8AB">
      <w:pPr>
        <w:spacing w:line="520" w:lineRule="exact"/>
        <w:ind w:firstLine="562" w:firstLineChars="200"/>
        <w:rPr>
          <w:rFonts w:ascii="仿宋_GB2312" w:eastAsia="仿宋_GB2312"/>
          <w:b/>
          <w:sz w:val="28"/>
          <w:szCs w:val="28"/>
        </w:rPr>
      </w:pPr>
      <w:r>
        <w:rPr>
          <w:rFonts w:hint="eastAsia" w:ascii="仿宋_GB2312" w:eastAsia="仿宋_GB2312"/>
          <w:b/>
          <w:sz w:val="28"/>
          <w:szCs w:val="28"/>
        </w:rPr>
        <w:t>2、协调性原则</w:t>
      </w:r>
    </w:p>
    <w:p w14:paraId="534F6F14">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本文件编写过程中注意了与</w:t>
      </w:r>
      <w:r>
        <w:rPr>
          <w:rFonts w:hint="eastAsia" w:ascii="仿宋_GB2312" w:eastAsia="仿宋_GB2312"/>
          <w:kern w:val="0"/>
          <w:sz w:val="28"/>
          <w:szCs w:val="28"/>
        </w:rPr>
        <w:t>桫椤迁地保护技术</w:t>
      </w:r>
      <w:r>
        <w:rPr>
          <w:rFonts w:hint="eastAsia" w:ascii="仿宋_GB2312" w:eastAsia="仿宋_GB2312"/>
          <w:sz w:val="28"/>
          <w:szCs w:val="28"/>
        </w:rPr>
        <w:t>相关法律法规的协调问题，在内容上与现行法律法规、标准协调一致。</w:t>
      </w:r>
    </w:p>
    <w:p w14:paraId="29652CA1">
      <w:pPr>
        <w:spacing w:line="520" w:lineRule="exact"/>
        <w:ind w:firstLine="562" w:firstLineChars="200"/>
        <w:rPr>
          <w:rFonts w:ascii="仿宋_GB2312" w:eastAsia="仿宋_GB2312"/>
          <w:b/>
          <w:sz w:val="28"/>
          <w:szCs w:val="28"/>
        </w:rPr>
      </w:pPr>
      <w:r>
        <w:rPr>
          <w:rFonts w:hint="eastAsia" w:ascii="仿宋_GB2312" w:eastAsia="仿宋_GB2312"/>
          <w:b/>
          <w:sz w:val="28"/>
          <w:szCs w:val="28"/>
        </w:rPr>
        <w:t>3、规范性原则</w:t>
      </w:r>
    </w:p>
    <w:p w14:paraId="296DF894">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本文件严格按照GB/T 1.1—2020《标准化工作导则  第1部分：标准化文件的结构和起草规则》编写本标准的内容，保证标准的编写质量。</w:t>
      </w:r>
    </w:p>
    <w:p w14:paraId="7AE6024E">
      <w:pPr>
        <w:spacing w:line="520" w:lineRule="exact"/>
        <w:ind w:firstLine="562" w:firstLineChars="200"/>
        <w:rPr>
          <w:rFonts w:ascii="仿宋_GB2312" w:eastAsia="仿宋_GB2312"/>
          <w:b/>
          <w:sz w:val="28"/>
          <w:szCs w:val="28"/>
        </w:rPr>
      </w:pPr>
      <w:r>
        <w:rPr>
          <w:rFonts w:hint="eastAsia" w:ascii="仿宋_GB2312" w:eastAsia="仿宋_GB2312"/>
          <w:b/>
          <w:sz w:val="28"/>
          <w:szCs w:val="28"/>
        </w:rPr>
        <w:t>4、前瞻性原则</w:t>
      </w:r>
    </w:p>
    <w:p w14:paraId="64F3618C">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本文件在兼顾当前区内</w:t>
      </w:r>
      <w:r>
        <w:rPr>
          <w:rFonts w:hint="eastAsia" w:ascii="仿宋_GB2312" w:eastAsia="仿宋_GB2312"/>
          <w:kern w:val="0"/>
          <w:sz w:val="28"/>
          <w:szCs w:val="28"/>
        </w:rPr>
        <w:t>桫椤迁地保护技术</w:t>
      </w:r>
      <w:r>
        <w:rPr>
          <w:rFonts w:hint="eastAsia" w:ascii="仿宋_GB2312" w:eastAsia="仿宋_GB2312"/>
          <w:sz w:val="28"/>
          <w:szCs w:val="28"/>
        </w:rPr>
        <w:t>现实情况的同时，还考虑到了</w:t>
      </w:r>
      <w:r>
        <w:rPr>
          <w:rFonts w:hint="eastAsia" w:ascii="仿宋_GB2312" w:eastAsia="仿宋_GB2312"/>
          <w:kern w:val="0"/>
          <w:sz w:val="28"/>
          <w:szCs w:val="28"/>
        </w:rPr>
        <w:t>桫椤迁地保护</w:t>
      </w:r>
      <w:r>
        <w:rPr>
          <w:rFonts w:hint="eastAsia" w:ascii="仿宋_GB2312" w:eastAsia="仿宋_GB2312"/>
          <w:sz w:val="28"/>
          <w:szCs w:val="28"/>
        </w:rPr>
        <w:t>的需要，在标准中体现了个别特色性、前瞻性和先进性条款，作为对</w:t>
      </w:r>
      <w:r>
        <w:rPr>
          <w:rFonts w:hint="eastAsia" w:ascii="仿宋_GB2312" w:eastAsia="仿宋_GB2312"/>
          <w:kern w:val="0"/>
          <w:sz w:val="28"/>
          <w:szCs w:val="28"/>
        </w:rPr>
        <w:t>桫椤迁地保护技术</w:t>
      </w:r>
      <w:r>
        <w:rPr>
          <w:rFonts w:hint="eastAsia" w:ascii="仿宋_GB2312" w:eastAsia="仿宋_GB2312"/>
          <w:sz w:val="28"/>
          <w:szCs w:val="28"/>
        </w:rPr>
        <w:t>发展的指导。</w:t>
      </w:r>
    </w:p>
    <w:p w14:paraId="67F21166">
      <w:pPr>
        <w:spacing w:line="520" w:lineRule="exact"/>
        <w:ind w:firstLine="562" w:firstLineChars="200"/>
        <w:rPr>
          <w:rFonts w:ascii="仿宋_GB2312" w:eastAsia="仿宋_GB2312"/>
          <w:b/>
          <w:bCs/>
          <w:sz w:val="28"/>
          <w:szCs w:val="28"/>
        </w:rPr>
      </w:pPr>
      <w:r>
        <w:rPr>
          <w:rFonts w:hint="eastAsia" w:ascii="仿宋_GB2312" w:eastAsia="仿宋_GB2312"/>
          <w:b/>
          <w:bCs/>
          <w:sz w:val="28"/>
          <w:szCs w:val="28"/>
        </w:rPr>
        <w:t>（二）编制依据</w:t>
      </w:r>
    </w:p>
    <w:p w14:paraId="4C925237">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本标准严格按照GB/T 1.1—2020《标准化工作导则  第1部分：标准化文件的结构和起草规则》的规则起草，标准主要内容依据起草单位在</w:t>
      </w:r>
      <w:r>
        <w:rPr>
          <w:rFonts w:hint="eastAsia" w:ascii="仿宋_GB2312" w:eastAsia="仿宋_GB2312"/>
          <w:kern w:val="0"/>
          <w:sz w:val="28"/>
          <w:szCs w:val="28"/>
        </w:rPr>
        <w:t>桫椤迁地保护技术</w:t>
      </w:r>
      <w:r>
        <w:rPr>
          <w:rFonts w:hint="eastAsia" w:ascii="仿宋_GB2312" w:eastAsia="仿宋_GB2312"/>
          <w:sz w:val="28"/>
          <w:szCs w:val="28"/>
        </w:rPr>
        <w:t>研究应用过程中的实践经验确定。</w:t>
      </w:r>
    </w:p>
    <w:p w14:paraId="2468F1DB">
      <w:pPr>
        <w:spacing w:line="520" w:lineRule="exact"/>
        <w:ind w:firstLine="562" w:firstLineChars="200"/>
        <w:rPr>
          <w:rFonts w:ascii="仿宋_GB2312" w:eastAsia="仿宋_GB2312"/>
          <w:b/>
          <w:bCs/>
          <w:sz w:val="28"/>
          <w:szCs w:val="28"/>
        </w:rPr>
      </w:pPr>
      <w:r>
        <w:rPr>
          <w:rFonts w:hint="eastAsia" w:ascii="仿宋_GB2312" w:eastAsia="仿宋_GB2312"/>
          <w:b/>
          <w:bCs/>
          <w:sz w:val="28"/>
          <w:szCs w:val="28"/>
        </w:rPr>
        <w:t>（三）与现行法律、法规的关系，与有关国家标准、行业标准的协调情况</w:t>
      </w:r>
    </w:p>
    <w:p w14:paraId="69132B48">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经查询，目前“迁地保护”相关的标准有《LY/T 3086.2-2019  极小种群野生植物保护技术  第2部分:迁地保护技术规程》《DB23/T 3075—2022  刺五加迁地保护技术规程》《DB42/T 1530-2019  大型水电工程开发中珍稀植物迁地保护技术指南》《T/GXAS 712-2024  喀斯特地区极小种群野生植物迁地保护技术规程》。</w:t>
      </w:r>
    </w:p>
    <w:p w14:paraId="1F70695C">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上述标准主要对极小种群野生植物、珍稀植物、特定植物刺五加和喀斯特地区极小种群野生植物进行迁地保护，均未针对桫椤这一珍稀植物进行针对性迁地保护进行要求。申报团体标准根据桫椤生长习性，提出了迁入地立地条件选择、采挖方法、移植技术、管护等原创性技术条款，充分体现本标准先进性的特色与特点。</w:t>
      </w:r>
    </w:p>
    <w:p w14:paraId="3686C018">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本标准的内容与现行的法律、法规及强制性标准无冲突，标准的编写符合GB/T 1.1—2020的要求。</w:t>
      </w:r>
    </w:p>
    <w:p w14:paraId="6A84321B">
      <w:pPr>
        <w:spacing w:before="240" w:after="60" w:line="520" w:lineRule="exact"/>
        <w:ind w:firstLine="640" w:firstLineChars="200"/>
        <w:jc w:val="left"/>
        <w:outlineLvl w:val="0"/>
        <w:rPr>
          <w:rFonts w:ascii="仿宋_GB2312" w:eastAsia="仿宋_GB2312" w:cs="仿宋"/>
          <w:bCs/>
          <w:sz w:val="28"/>
          <w:szCs w:val="28"/>
        </w:rPr>
      </w:pPr>
      <w:r>
        <w:rPr>
          <w:rFonts w:hint="eastAsia" w:ascii="黑体" w:eastAsia="黑体"/>
          <w:bCs/>
          <w:sz w:val="32"/>
          <w:szCs w:val="32"/>
        </w:rPr>
        <w:t>五、主要条款的说明</w:t>
      </w:r>
    </w:p>
    <w:p w14:paraId="6C832A65">
      <w:pPr>
        <w:pStyle w:val="29"/>
        <w:spacing w:before="0" w:beforeLines="0" w:after="0" w:afterLines="0"/>
        <w:ind w:firstLine="562"/>
        <w:jc w:val="both"/>
        <w:rPr>
          <w:rFonts w:hint="eastAsia" w:ascii="仿宋_GB2312" w:hAnsi="仿宋_GB2312" w:eastAsia="仿宋_GB2312" w:cs="仿宋_GB2312"/>
          <w:b/>
          <w:bCs w:val="0"/>
          <w:color w:val="FF0000"/>
          <w:sz w:val="28"/>
          <w:szCs w:val="28"/>
        </w:rPr>
      </w:pPr>
      <w:r>
        <w:rPr>
          <w:rFonts w:hint="eastAsia" w:ascii="仿宋_GB2312" w:hAnsi="仿宋_GB2312" w:eastAsia="仿宋_GB2312" w:cs="仿宋_GB2312"/>
          <w:b/>
          <w:bCs w:val="0"/>
          <w:sz w:val="28"/>
          <w:szCs w:val="28"/>
        </w:rPr>
        <w:t>（一）术语和定义</w:t>
      </w:r>
    </w:p>
    <w:p w14:paraId="7EFE56CE">
      <w:pPr>
        <w:pStyle w:val="29"/>
        <w:spacing w:before="0" w:beforeLines="0" w:after="0" w:afterLines="0"/>
        <w:ind w:firstLine="562"/>
        <w:jc w:val="both"/>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1、桫椤</w:t>
      </w:r>
    </w:p>
    <w:p w14:paraId="7E550F3F">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主要参考Flora of China将桫椤定义为桫椤科所有物种，多为大型树状蕨类植物，除小黑桫椤（</w:t>
      </w:r>
      <w:r>
        <w:rPr>
          <w:rFonts w:hint="eastAsia" w:ascii="仿宋_GB2312" w:hAnsi="仿宋_GB2312" w:eastAsia="仿宋_GB2312" w:cs="仿宋_GB2312"/>
          <w:i/>
          <w:iCs/>
          <w:sz w:val="28"/>
          <w:szCs w:val="28"/>
        </w:rPr>
        <w:t>Alsophila metteniana</w:t>
      </w:r>
      <w:r>
        <w:rPr>
          <w:rFonts w:hint="eastAsia" w:ascii="仿宋_GB2312" w:hAnsi="仿宋_GB2312" w:eastAsia="仿宋_GB2312" w:cs="仿宋_GB2312"/>
          <w:sz w:val="28"/>
          <w:szCs w:val="28"/>
        </w:rPr>
        <w:t>）和粗齿桫椤（</w:t>
      </w:r>
      <w:r>
        <w:rPr>
          <w:rFonts w:hint="eastAsia" w:ascii="仿宋_GB2312" w:hAnsi="仿宋_GB2312" w:eastAsia="仿宋_GB2312" w:cs="仿宋_GB2312"/>
          <w:i/>
          <w:iCs/>
          <w:sz w:val="28"/>
          <w:szCs w:val="28"/>
        </w:rPr>
        <w:t>A.denticulata</w:t>
      </w:r>
      <w:r>
        <w:rPr>
          <w:rFonts w:hint="eastAsia" w:ascii="仿宋_GB2312" w:hAnsi="仿宋_GB2312" w:eastAsia="仿宋_GB2312" w:cs="仿宋_GB2312"/>
          <w:sz w:val="28"/>
          <w:szCs w:val="28"/>
        </w:rPr>
        <w:t>）外现均为国家二级重点保护野生植物。</w:t>
      </w:r>
    </w:p>
    <w:p w14:paraId="2036F22E">
      <w:pPr>
        <w:pStyle w:val="29"/>
        <w:spacing w:before="0" w:beforeLines="0" w:after="0" w:afterLines="0" w:line="240" w:lineRule="auto"/>
        <w:ind w:firstLine="0" w:firstLineChars="0"/>
        <w:rPr>
          <w:rFonts w:hint="eastAsia"/>
          <w:highlight w:val="yellow"/>
        </w:rPr>
      </w:pPr>
      <w:r>
        <w:drawing>
          <wp:inline distT="0" distB="0" distL="0" distR="0">
            <wp:extent cx="4907915" cy="1994535"/>
            <wp:effectExtent l="0" t="0" r="0" b="0"/>
            <wp:docPr id="67386608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866081" name="图片 1"/>
                    <pic:cNvPicPr>
                      <a:picLocks noChangeAspect="1"/>
                    </pic:cNvPicPr>
                  </pic:nvPicPr>
                  <pic:blipFill>
                    <a:blip r:embed="rId5"/>
                    <a:srcRect l="30691" t="19438" r="30713" b="52676"/>
                    <a:stretch>
                      <a:fillRect/>
                    </a:stretch>
                  </pic:blipFill>
                  <pic:spPr>
                    <a:xfrm>
                      <a:off x="0" y="0"/>
                      <a:ext cx="4907915" cy="1994906"/>
                    </a:xfrm>
                    <a:prstGeom prst="rect">
                      <a:avLst/>
                    </a:prstGeom>
                    <a:ln>
                      <a:noFill/>
                    </a:ln>
                  </pic:spPr>
                </pic:pic>
              </a:graphicData>
            </a:graphic>
          </wp:inline>
        </w:drawing>
      </w:r>
    </w:p>
    <w:p w14:paraId="76F57FC9">
      <w:pPr>
        <w:pStyle w:val="29"/>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textAlignment w:val="auto"/>
        <w:rPr>
          <w:rFonts w:hint="eastAsia"/>
          <w:sz w:val="22"/>
          <w:szCs w:val="22"/>
        </w:rPr>
      </w:pPr>
      <w:r>
        <w:rPr>
          <w:rFonts w:hint="eastAsia"/>
          <w:sz w:val="22"/>
          <w:szCs w:val="22"/>
        </w:rPr>
        <w:t>来源：</w:t>
      </w:r>
      <w:r>
        <w:rPr>
          <w:sz w:val="22"/>
          <w:szCs w:val="22"/>
        </w:rPr>
        <w:t>Flora of China</w:t>
      </w:r>
      <w:r>
        <w:rPr>
          <w:rFonts w:hint="eastAsia"/>
          <w:sz w:val="22"/>
          <w:szCs w:val="22"/>
        </w:rPr>
        <w:t xml:space="preserve"> （</w:t>
      </w:r>
      <w:r>
        <w:rPr>
          <w:sz w:val="22"/>
          <w:szCs w:val="22"/>
        </w:rPr>
        <w:t>FOC</w:t>
      </w:r>
      <w:r>
        <w:rPr>
          <w:rFonts w:hint="eastAsia"/>
          <w:sz w:val="22"/>
          <w:szCs w:val="22"/>
        </w:rPr>
        <w:t>：</w:t>
      </w:r>
      <w:r>
        <w:rPr>
          <w:sz w:val="22"/>
          <w:szCs w:val="22"/>
        </w:rPr>
        <w:t>Vol.2-3</w:t>
      </w:r>
      <w:r>
        <w:rPr>
          <w:rFonts w:hint="eastAsia"/>
          <w:sz w:val="22"/>
          <w:szCs w:val="22"/>
        </w:rPr>
        <w:t>，</w:t>
      </w:r>
      <w:r>
        <w:rPr>
          <w:sz w:val="22"/>
          <w:szCs w:val="22"/>
        </w:rPr>
        <w:t>(2013)</w:t>
      </w:r>
      <w:r>
        <w:rPr>
          <w:rFonts w:hint="eastAsia"/>
          <w:sz w:val="22"/>
          <w:szCs w:val="22"/>
        </w:rPr>
        <w:t>，</w:t>
      </w:r>
      <w:r>
        <w:rPr>
          <w:sz w:val="22"/>
          <w:szCs w:val="22"/>
        </w:rPr>
        <w:t>Cyatheaceae</w:t>
      </w:r>
      <w:r>
        <w:rPr>
          <w:rFonts w:hint="eastAsia"/>
          <w:sz w:val="22"/>
          <w:szCs w:val="22"/>
        </w:rPr>
        <w:t>，</w:t>
      </w:r>
      <w:r>
        <w:rPr>
          <w:sz w:val="22"/>
          <w:szCs w:val="22"/>
        </w:rPr>
        <w:t>Alsophila</w:t>
      </w:r>
      <w:r>
        <w:rPr>
          <w:rFonts w:hint="eastAsia"/>
          <w:sz w:val="22"/>
          <w:szCs w:val="22"/>
        </w:rPr>
        <w:t>）</w:t>
      </w:r>
    </w:p>
    <w:p w14:paraId="4334413F">
      <w:pPr>
        <w:pStyle w:val="29"/>
        <w:spacing w:before="0" w:beforeLines="0" w:after="0" w:afterLines="0"/>
        <w:ind w:firstLine="562"/>
        <w:jc w:val="both"/>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2、迁地保护</w:t>
      </w:r>
    </w:p>
    <w:p w14:paraId="46B7F836">
      <w:pPr>
        <w:pStyle w:val="29"/>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迁地保护的定义</w:t>
      </w:r>
      <w:r>
        <w:rPr>
          <w:rFonts w:hint="eastAsia" w:ascii="仿宋_GB2312" w:hAnsi="仿宋_GB2312" w:eastAsia="仿宋_GB2312" w:cs="仿宋_GB2312"/>
          <w:sz w:val="28"/>
          <w:szCs w:val="28"/>
          <w:lang w:eastAsia="zh-CN"/>
        </w:rPr>
        <w:t>参考</w:t>
      </w:r>
      <w:r>
        <w:rPr>
          <w:rFonts w:hint="eastAsia" w:ascii="仿宋_GB2312" w:hAnsi="仿宋_GB2312" w:eastAsia="仿宋_GB2312" w:cs="仿宋_GB2312"/>
          <w:sz w:val="28"/>
          <w:szCs w:val="28"/>
        </w:rPr>
        <w:t>《LY/T 3086.2  极小种群野生植物保护技术  第2部分：迁地保护技术规程》</w:t>
      </w:r>
      <w:r>
        <w:rPr>
          <w:rFonts w:hint="eastAsia" w:ascii="仿宋_GB2312" w:hAnsi="仿宋_GB2312" w:eastAsia="仿宋_GB2312" w:cs="仿宋_GB2312"/>
          <w:sz w:val="28"/>
          <w:szCs w:val="28"/>
          <w:lang w:eastAsia="zh-CN"/>
        </w:rPr>
        <w:t>并结合</w:t>
      </w:r>
      <w:r>
        <w:rPr>
          <w:rFonts w:hint="eastAsia" w:ascii="仿宋_GB2312" w:hAnsi="仿宋_GB2312" w:eastAsia="仿宋_GB2312" w:cs="仿宋_GB2312"/>
          <w:sz w:val="28"/>
          <w:szCs w:val="28"/>
        </w:rPr>
        <w:t>广西壮族自治区林业科学研究院等起草单位的桫椤迁地保护经验，定义为对国家重点保护野生植物或极小种群野生植物，在其原生地之外对其进行保护。</w:t>
      </w:r>
    </w:p>
    <w:p w14:paraId="1AB9FFCB">
      <w:pPr>
        <w:pStyle w:val="29"/>
        <w:spacing w:line="240" w:lineRule="auto"/>
        <w:ind w:firstLine="0" w:firstLineChars="0"/>
        <w:rPr>
          <w:rFonts w:hint="eastAsia"/>
        </w:rPr>
      </w:pPr>
      <w:r>
        <w:drawing>
          <wp:inline distT="0" distB="0" distL="114300" distR="114300">
            <wp:extent cx="5683885" cy="715010"/>
            <wp:effectExtent l="12700" t="12700" r="18415" b="1524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6"/>
                    <a:stretch>
                      <a:fillRect/>
                    </a:stretch>
                  </pic:blipFill>
                  <pic:spPr>
                    <a:xfrm>
                      <a:off x="0" y="0"/>
                      <a:ext cx="5683885" cy="715010"/>
                    </a:xfrm>
                    <a:prstGeom prst="rect">
                      <a:avLst/>
                    </a:prstGeom>
                    <a:noFill/>
                    <a:ln w="12700" cmpd="sng">
                      <a:solidFill>
                        <a:schemeClr val="tx1"/>
                      </a:solidFill>
                      <a:prstDash val="solid"/>
                    </a:ln>
                  </pic:spPr>
                </pic:pic>
              </a:graphicData>
            </a:graphic>
          </wp:inline>
        </w:drawing>
      </w:r>
    </w:p>
    <w:p w14:paraId="6C96CFDB">
      <w:pPr>
        <w:pStyle w:val="29"/>
        <w:ind w:firstLine="0" w:firstLineChars="0"/>
        <w:rPr>
          <w:rFonts w:hint="eastAsia"/>
        </w:rPr>
      </w:pPr>
      <w:r>
        <w:rPr>
          <w:rFonts w:hint="eastAsia"/>
        </w:rPr>
        <w:t>来源：LY/T 3086.2  极小种群野生植物保护技术  第2部分：迁地保护技术规程</w:t>
      </w:r>
    </w:p>
    <w:p w14:paraId="70B0FED7">
      <w:pPr>
        <w:pStyle w:val="29"/>
        <w:spacing w:before="0" w:beforeLines="0" w:after="0" w:afterLines="0"/>
        <w:ind w:firstLine="562"/>
        <w:jc w:val="both"/>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（二）</w:t>
      </w:r>
      <w:bookmarkStart w:id="0" w:name="_Toc130001562"/>
      <w:bookmarkStart w:id="1" w:name="_Toc130001751"/>
      <w:bookmarkStart w:id="2" w:name="_Toc130001592"/>
      <w:bookmarkStart w:id="3" w:name="_Toc129855049"/>
      <w:bookmarkStart w:id="4" w:name="_Toc129855215"/>
      <w:r>
        <w:rPr>
          <w:rFonts w:hint="eastAsia" w:ascii="仿宋_GB2312" w:hAnsi="仿宋_GB2312" w:eastAsia="仿宋_GB2312" w:cs="仿宋_GB2312"/>
          <w:b/>
          <w:bCs w:val="0"/>
          <w:sz w:val="28"/>
          <w:szCs w:val="28"/>
        </w:rPr>
        <w:t>迁地依据确定</w:t>
      </w:r>
    </w:p>
    <w:bookmarkEnd w:id="0"/>
    <w:bookmarkEnd w:id="1"/>
    <w:bookmarkEnd w:id="2"/>
    <w:bookmarkEnd w:id="3"/>
    <w:bookmarkEnd w:id="4"/>
    <w:p w14:paraId="512D68BA">
      <w:pPr>
        <w:pStyle w:val="29"/>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根据广西壮族自治区林业科学研究院等起草单位的桫椤迁地保护经验，出现以下情况需要进行桫椤的迁地保护：</w:t>
      </w:r>
    </w:p>
    <w:p w14:paraId="561793B1">
      <w:pPr>
        <w:pStyle w:val="29"/>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——原生境严重退化或破坏原生境破环；</w:t>
      </w:r>
    </w:p>
    <w:p w14:paraId="6189CB42">
      <w:pPr>
        <w:pStyle w:val="29"/>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——重大工程施工</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因重大工程</w:t>
      </w:r>
      <w:r>
        <w:rPr>
          <w:rFonts w:hint="eastAsia" w:ascii="仿宋_GB2312" w:hAnsi="仿宋_GB2312" w:eastAsia="仿宋_GB2312" w:cs="仿宋_GB2312"/>
          <w:sz w:val="28"/>
          <w:szCs w:val="28"/>
          <w:lang w:eastAsia="zh-CN"/>
        </w:rPr>
        <w:t>应</w:t>
      </w:r>
      <w:r>
        <w:rPr>
          <w:rFonts w:hint="eastAsia" w:ascii="仿宋_GB2312" w:hAnsi="仿宋_GB2312" w:eastAsia="仿宋_GB2312" w:cs="仿宋_GB2312"/>
          <w:sz w:val="28"/>
          <w:szCs w:val="28"/>
        </w:rPr>
        <w:t>迁移出植株；</w:t>
      </w:r>
    </w:p>
    <w:p w14:paraId="7E479AA2">
      <w:pPr>
        <w:pStyle w:val="29"/>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——生存条件突然变化，面临严重生存危机；</w:t>
      </w:r>
    </w:p>
    <w:p w14:paraId="1C043C21">
      <w:pPr>
        <w:pStyle w:val="29"/>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——保护遗传多样性。</w:t>
      </w:r>
    </w:p>
    <w:p w14:paraId="69837A74">
      <w:pPr>
        <w:pStyle w:val="29"/>
        <w:spacing w:before="0" w:beforeLines="0" w:after="0" w:afterLines="0"/>
        <w:ind w:firstLine="562"/>
        <w:jc w:val="both"/>
        <w:rPr>
          <w:rFonts w:hint="eastAsia" w:ascii="仿宋_GB2312" w:hAnsi="仿宋_GB2312" w:eastAsia="仿宋_GB2312" w:cs="仿宋_GB2312"/>
          <w:b/>
          <w:bCs w:val="0"/>
          <w:sz w:val="28"/>
          <w:szCs w:val="28"/>
          <w:highlight w:val="none"/>
        </w:rPr>
      </w:pPr>
      <w:r>
        <w:rPr>
          <w:rFonts w:hint="eastAsia" w:ascii="仿宋_GB2312" w:hAnsi="仿宋_GB2312" w:eastAsia="仿宋_GB2312" w:cs="仿宋_GB2312"/>
          <w:b/>
          <w:bCs w:val="0"/>
          <w:sz w:val="28"/>
          <w:szCs w:val="28"/>
          <w:highlight w:val="none"/>
        </w:rPr>
        <w:t>（三）方式选择</w:t>
      </w:r>
    </w:p>
    <w:p w14:paraId="73FDA461">
      <w:pPr>
        <w:pStyle w:val="29"/>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highlight w:val="none"/>
        </w:rPr>
        <w:t>根据广西壮族自治区林业科学研究院等起草单位桫椤迁地保护实际，</w:t>
      </w:r>
      <w:r>
        <w:rPr>
          <w:rFonts w:hint="eastAsia" w:ascii="仿宋_GB2312" w:hAnsi="仿宋_GB2312" w:eastAsia="仿宋_GB2312" w:cs="仿宋_GB2312"/>
          <w:sz w:val="28"/>
          <w:szCs w:val="28"/>
          <w:highlight w:val="none"/>
          <w:lang w:eastAsia="zh-CN"/>
        </w:rPr>
        <w:t>由于</w:t>
      </w:r>
      <w:r>
        <w:rPr>
          <w:rFonts w:hint="eastAsia" w:ascii="仿宋_GB2312" w:hAnsi="仿宋_GB2312" w:eastAsia="仿宋_GB2312" w:cs="仿宋_GB2312"/>
          <w:sz w:val="28"/>
          <w:szCs w:val="28"/>
          <w:highlight w:val="none"/>
        </w:rPr>
        <w:t>桫椤的生长环境苛刻，需要特定的湿度、温度和光照条件。在自然环境中，桫椤的孢子传播后，由于缺乏适宜的环境条件，其存活率极低，仅依靠移栽成年植株难以维持种群的稳定增长。</w:t>
      </w:r>
      <w:r>
        <w:rPr>
          <w:rFonts w:hint="eastAsia" w:ascii="仿宋_GB2312" w:hAnsi="仿宋_GB2312" w:eastAsia="仿宋_GB2312" w:cs="仿宋_GB2312"/>
          <w:sz w:val="28"/>
          <w:szCs w:val="28"/>
          <w:highlight w:val="none"/>
          <w:lang w:eastAsia="zh-CN"/>
        </w:rPr>
        <w:t>因此增加孢子育苗的方式。因此明确</w:t>
      </w:r>
      <w:r>
        <w:rPr>
          <w:rFonts w:hint="eastAsia" w:ascii="仿宋_GB2312" w:hAnsi="仿宋_GB2312" w:eastAsia="仿宋_GB2312" w:cs="仿宋_GB2312"/>
          <w:sz w:val="28"/>
          <w:szCs w:val="28"/>
          <w:highlight w:val="none"/>
        </w:rPr>
        <w:t>主要选择以下方式</w:t>
      </w:r>
      <w:r>
        <w:rPr>
          <w:rFonts w:hint="eastAsia" w:ascii="仿宋_GB2312" w:hAnsi="仿宋_GB2312" w:eastAsia="仿宋_GB2312" w:cs="仿宋_GB2312"/>
          <w:sz w:val="28"/>
          <w:szCs w:val="28"/>
        </w:rPr>
        <w:t>：</w:t>
      </w:r>
    </w:p>
    <w:p w14:paraId="6498212F">
      <w:pPr>
        <w:pStyle w:val="29"/>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——整体植株；</w:t>
      </w:r>
    </w:p>
    <w:p w14:paraId="3B3E0355">
      <w:pPr>
        <w:pStyle w:val="29"/>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——孢子育苗。</w:t>
      </w:r>
    </w:p>
    <w:p w14:paraId="305526ED">
      <w:pPr>
        <w:pStyle w:val="29"/>
        <w:numPr>
          <w:ilvl w:val="0"/>
          <w:numId w:val="0"/>
        </w:numPr>
        <w:spacing w:before="0" w:beforeLines="0" w:after="0" w:afterLines="0"/>
        <w:ind w:firstLine="562" w:firstLineChars="200"/>
        <w:jc w:val="both"/>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lang w:val="en-US" w:eastAsia="zh-CN" w:bidi="ar-SA"/>
        </w:rPr>
        <w:t>（四）</w:t>
      </w:r>
      <w:r>
        <w:rPr>
          <w:rFonts w:hint="eastAsia" w:ascii="仿宋_GB2312" w:hAnsi="仿宋_GB2312" w:eastAsia="仿宋_GB2312" w:cs="仿宋_GB2312"/>
          <w:b/>
          <w:bCs w:val="0"/>
          <w:sz w:val="28"/>
          <w:szCs w:val="28"/>
          <w:lang w:eastAsia="zh-CN"/>
        </w:rPr>
        <w:t>调查</w:t>
      </w:r>
    </w:p>
    <w:p w14:paraId="03BF62C8">
      <w:pPr>
        <w:pStyle w:val="29"/>
        <w:keepNext w:val="0"/>
        <w:keepLines w:val="0"/>
        <w:pageBreakBefore w:val="0"/>
        <w:widowControl/>
        <w:numPr>
          <w:ilvl w:val="0"/>
          <w:numId w:val="0"/>
        </w:numPr>
        <w:kinsoku/>
        <w:wordWrap/>
        <w:overflowPunct/>
        <w:topLinePunct w:val="0"/>
        <w:autoSpaceDE w:val="0"/>
        <w:autoSpaceDN w:val="0"/>
        <w:bidi w:val="0"/>
        <w:adjustRightInd/>
        <w:snapToGrid/>
        <w:spacing w:before="0" w:beforeLines="0" w:after="0" w:afterLines="0"/>
        <w:ind w:firstLine="560" w:firstLineChars="200"/>
        <w:jc w:val="both"/>
        <w:textAlignment w:val="auto"/>
        <w:rPr>
          <w:rFonts w:hint="eastAsia" w:ascii="仿宋_GB2312" w:hAnsi="仿宋_GB2312" w:eastAsia="仿宋_GB2312" w:cs="仿宋_GB2312"/>
          <w:b w:val="0"/>
          <w:bCs/>
          <w:sz w:val="28"/>
          <w:szCs w:val="28"/>
          <w:lang w:eastAsia="zh-CN"/>
        </w:rPr>
      </w:pPr>
      <w:r>
        <w:rPr>
          <w:rFonts w:hint="eastAsia" w:ascii="仿宋_GB2312" w:hAnsi="仿宋_GB2312" w:eastAsia="仿宋_GB2312" w:cs="仿宋_GB2312"/>
          <w:b w:val="0"/>
          <w:bCs/>
          <w:sz w:val="28"/>
          <w:szCs w:val="28"/>
          <w:lang w:eastAsia="zh-CN"/>
        </w:rPr>
        <w:t>在迁地移栽前，调查迁移地的气候、环境信息以及调查桫椤的数量和年龄，调查分布点地理气候及微环境信息，确定应移栽的桫椤数目和年龄结构，根据植株特点确定移栽方案。</w:t>
      </w:r>
    </w:p>
    <w:p w14:paraId="017D5FF7">
      <w:pPr>
        <w:jc w:val="center"/>
      </w:pPr>
      <w:r>
        <w:drawing>
          <wp:inline distT="0" distB="0" distL="0" distR="0">
            <wp:extent cx="3734435" cy="2800985"/>
            <wp:effectExtent l="0" t="0" r="18415" b="18415"/>
            <wp:docPr id="9861337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6133724" name="图片 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3734435" cy="2800985"/>
                    </a:xfrm>
                    <a:prstGeom prst="rect">
                      <a:avLst/>
                    </a:prstGeom>
                    <a:noFill/>
                    <a:ln>
                      <a:noFill/>
                    </a:ln>
                  </pic:spPr>
                </pic:pic>
              </a:graphicData>
            </a:graphic>
          </wp:inline>
        </w:drawing>
      </w:r>
    </w:p>
    <w:p w14:paraId="7CCECA52">
      <w:pPr>
        <w:pStyle w:val="29"/>
        <w:rPr>
          <w:rFonts w:hint="eastAsia" w:eastAsia="黑体"/>
          <w:lang w:eastAsia="zh-CN"/>
        </w:rPr>
      </w:pPr>
      <w:r>
        <w:rPr>
          <w:rFonts w:hint="eastAsia"/>
        </w:rPr>
        <w:t>调查并确定需要移植的苗木</w:t>
      </w:r>
    </w:p>
    <w:p w14:paraId="5512A600">
      <w:pPr>
        <w:pStyle w:val="29"/>
        <w:spacing w:before="0" w:beforeLines="0" w:after="0" w:afterLines="0"/>
        <w:ind w:firstLine="562"/>
        <w:jc w:val="both"/>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w:t>
      </w:r>
      <w:r>
        <w:rPr>
          <w:rFonts w:hint="eastAsia" w:ascii="仿宋_GB2312" w:hAnsi="仿宋_GB2312" w:eastAsia="仿宋_GB2312" w:cs="仿宋_GB2312"/>
          <w:b/>
          <w:bCs w:val="0"/>
          <w:sz w:val="28"/>
          <w:szCs w:val="28"/>
          <w:lang w:eastAsia="zh-CN"/>
        </w:rPr>
        <w:t>五</w:t>
      </w:r>
      <w:r>
        <w:rPr>
          <w:rFonts w:hint="eastAsia" w:ascii="仿宋_GB2312" w:hAnsi="仿宋_GB2312" w:eastAsia="仿宋_GB2312" w:cs="仿宋_GB2312"/>
          <w:b/>
          <w:bCs w:val="0"/>
          <w:sz w:val="28"/>
          <w:szCs w:val="28"/>
        </w:rPr>
        <w:t>）基地建立</w:t>
      </w:r>
    </w:p>
    <w:p w14:paraId="47772AD6">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1、基地选择</w:t>
      </w:r>
    </w:p>
    <w:p w14:paraId="41B32F9B">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根据广西壮族自治区林业科学研究院等起草单位的桫椤迁地保护经验，选择海拔300m～1600m、温暖湿润且透光率为5％～10％的植物园、树木园、其他栽培地或人工营造的适宜小环境作为桫椤迁地保护的基地。为确定桫椤迁地保护基地最合适的透光率，选择了5％</w:t>
      </w:r>
      <w:r>
        <w:rPr>
          <w:rFonts w:ascii="Times New Roman" w:hAnsi="Times New Roman" w:eastAsia="仿宋_GB2312" w:cs="Times New Roman"/>
          <w:bCs/>
          <w:sz w:val="28"/>
          <w:szCs w:val="28"/>
        </w:rPr>
        <w:t>~</w:t>
      </w:r>
      <w:r>
        <w:rPr>
          <w:rFonts w:hint="eastAsia" w:ascii="仿宋_GB2312" w:eastAsia="仿宋_GB2312" w:cs="仿宋"/>
          <w:bCs/>
          <w:sz w:val="28"/>
          <w:szCs w:val="28"/>
        </w:rPr>
        <w:t>30％的透光率进行试验，发现桫椤的生长情况随着透光率的增大而出现叶片边缘枯黄的现象，其中遮光率为5％</w:t>
      </w:r>
      <w:r>
        <w:rPr>
          <w:rFonts w:ascii="Times New Roman" w:hAnsi="Times New Roman" w:eastAsia="仿宋_GB2312" w:cs="Times New Roman"/>
          <w:bCs/>
          <w:sz w:val="28"/>
          <w:szCs w:val="28"/>
        </w:rPr>
        <w:t>~</w:t>
      </w:r>
      <w:r>
        <w:rPr>
          <w:rFonts w:hint="eastAsia" w:ascii="仿宋_GB2312" w:eastAsia="仿宋_GB2312" w:cs="仿宋"/>
          <w:bCs/>
          <w:sz w:val="28"/>
          <w:szCs w:val="28"/>
        </w:rPr>
        <w:t>20％的生长情况良好，其中以5％</w:t>
      </w:r>
      <w:r>
        <w:rPr>
          <w:rFonts w:ascii="Times New Roman" w:hAnsi="Times New Roman" w:eastAsia="仿宋_GB2312" w:cs="Times New Roman"/>
          <w:bCs/>
          <w:sz w:val="28"/>
          <w:szCs w:val="28"/>
        </w:rPr>
        <w:t>~</w:t>
      </w:r>
      <w:r>
        <w:rPr>
          <w:rFonts w:hint="eastAsia" w:ascii="仿宋_GB2312" w:eastAsia="仿宋_GB2312" w:cs="仿宋"/>
          <w:bCs/>
          <w:sz w:val="28"/>
          <w:szCs w:val="28"/>
        </w:rPr>
        <w:t>10％透光率下生长最好，因此遮光率选择5％</w:t>
      </w:r>
      <w:r>
        <w:rPr>
          <w:rFonts w:ascii="Times New Roman" w:hAnsi="Times New Roman" w:eastAsia="仿宋_GB2312" w:cs="Times New Roman"/>
          <w:bCs/>
          <w:sz w:val="28"/>
          <w:szCs w:val="28"/>
        </w:rPr>
        <w:t>~</w:t>
      </w:r>
      <w:r>
        <w:rPr>
          <w:rFonts w:hint="eastAsia" w:ascii="仿宋_GB2312" w:eastAsia="仿宋_GB2312" w:cs="仿宋"/>
          <w:bCs/>
          <w:sz w:val="28"/>
          <w:szCs w:val="28"/>
        </w:rPr>
        <w:t>10％。</w:t>
      </w:r>
    </w:p>
    <w:p w14:paraId="40C282E9">
      <w:pPr>
        <w:pStyle w:val="29"/>
        <w:rPr>
          <w:rFonts w:hint="eastAsia"/>
        </w:rPr>
      </w:pPr>
      <w:r>
        <w:rPr>
          <w:rFonts w:hint="eastAsia"/>
        </w:rPr>
        <w:t>透光率的选择</w:t>
      </w:r>
    </w:p>
    <w:tbl>
      <w:tblPr>
        <w:tblStyle w:val="1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58"/>
        <w:gridCol w:w="5723"/>
      </w:tblGrid>
      <w:tr w14:paraId="38C5A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058" w:type="dxa"/>
          </w:tcPr>
          <w:p w14:paraId="0124FCFD">
            <w:pPr>
              <w:keepNext w:val="0"/>
              <w:keepLines w:val="0"/>
              <w:suppressLineNumbers w:val="0"/>
              <w:spacing w:before="0" w:beforeAutospacing="0" w:after="0" w:afterAutospacing="0" w:line="500" w:lineRule="exact"/>
              <w:ind w:left="0" w:right="0"/>
              <w:jc w:val="center"/>
              <w:rPr>
                <w:rFonts w:hint="default" w:ascii="仿宋_GB2312" w:eastAsia="仿宋_GB2312" w:cs="仿宋"/>
                <w:bCs/>
                <w:sz w:val="28"/>
                <w:szCs w:val="28"/>
              </w:rPr>
            </w:pPr>
            <w:r>
              <w:rPr>
                <w:rFonts w:hint="eastAsia" w:ascii="仿宋_GB2312" w:eastAsia="仿宋_GB2312" w:cs="仿宋"/>
                <w:bCs/>
                <w:sz w:val="28"/>
                <w:szCs w:val="28"/>
              </w:rPr>
              <w:t>透光率</w:t>
            </w:r>
          </w:p>
        </w:tc>
        <w:tc>
          <w:tcPr>
            <w:tcW w:w="5723" w:type="dxa"/>
          </w:tcPr>
          <w:p w14:paraId="030A2F4F">
            <w:pPr>
              <w:keepNext w:val="0"/>
              <w:keepLines w:val="0"/>
              <w:suppressLineNumbers w:val="0"/>
              <w:spacing w:before="0" w:beforeAutospacing="0" w:after="0" w:afterAutospacing="0" w:line="500" w:lineRule="exact"/>
              <w:ind w:left="0" w:right="0"/>
              <w:jc w:val="center"/>
              <w:rPr>
                <w:rFonts w:hint="default" w:ascii="仿宋_GB2312" w:eastAsia="仿宋_GB2312" w:cs="仿宋"/>
                <w:bCs/>
                <w:sz w:val="28"/>
                <w:szCs w:val="28"/>
              </w:rPr>
            </w:pPr>
            <w:r>
              <w:rPr>
                <w:rFonts w:hint="eastAsia" w:ascii="仿宋_GB2312" w:eastAsia="仿宋_GB2312" w:cs="仿宋"/>
                <w:bCs/>
                <w:sz w:val="28"/>
                <w:szCs w:val="28"/>
              </w:rPr>
              <w:t>生长情况</w:t>
            </w:r>
          </w:p>
        </w:tc>
      </w:tr>
      <w:tr w14:paraId="7F90D9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058" w:type="dxa"/>
          </w:tcPr>
          <w:p w14:paraId="10F4DB78">
            <w:pPr>
              <w:keepNext w:val="0"/>
              <w:keepLines w:val="0"/>
              <w:suppressLineNumbers w:val="0"/>
              <w:spacing w:before="0" w:beforeAutospacing="0" w:after="0" w:afterAutospacing="0" w:line="500" w:lineRule="exact"/>
              <w:ind w:left="0" w:right="0"/>
              <w:jc w:val="center"/>
              <w:rPr>
                <w:rFonts w:hint="default" w:ascii="仿宋_GB2312" w:eastAsia="仿宋_GB2312" w:cs="仿宋"/>
                <w:bCs/>
                <w:sz w:val="28"/>
                <w:szCs w:val="28"/>
              </w:rPr>
            </w:pPr>
            <w:r>
              <w:rPr>
                <w:rFonts w:hint="eastAsia" w:ascii="仿宋_GB2312" w:eastAsia="仿宋_GB2312" w:cs="仿宋"/>
                <w:bCs/>
                <w:sz w:val="28"/>
                <w:szCs w:val="28"/>
              </w:rPr>
              <w:t>＜5</w:t>
            </w:r>
          </w:p>
        </w:tc>
        <w:tc>
          <w:tcPr>
            <w:tcW w:w="5723" w:type="dxa"/>
          </w:tcPr>
          <w:p w14:paraId="1C9447BD">
            <w:pPr>
              <w:keepNext w:val="0"/>
              <w:keepLines w:val="0"/>
              <w:suppressLineNumbers w:val="0"/>
              <w:spacing w:before="0" w:beforeAutospacing="0" w:after="0" w:afterAutospacing="0" w:line="500" w:lineRule="exact"/>
              <w:ind w:left="0" w:right="0"/>
              <w:jc w:val="center"/>
              <w:rPr>
                <w:rFonts w:hint="default" w:ascii="仿宋_GB2312" w:eastAsia="仿宋_GB2312" w:cs="仿宋"/>
                <w:bCs/>
                <w:sz w:val="28"/>
                <w:szCs w:val="28"/>
              </w:rPr>
            </w:pPr>
            <w:r>
              <w:rPr>
                <w:rFonts w:hint="eastAsia" w:ascii="仿宋_GB2312" w:eastAsia="仿宋_GB2312" w:cs="仿宋"/>
                <w:bCs/>
                <w:sz w:val="28"/>
                <w:szCs w:val="28"/>
              </w:rPr>
              <w:t>一般，叶柄细弱，生长缓慢</w:t>
            </w:r>
          </w:p>
        </w:tc>
      </w:tr>
      <w:tr w14:paraId="6CA67F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058" w:type="dxa"/>
          </w:tcPr>
          <w:p w14:paraId="72F5EEE6">
            <w:pPr>
              <w:keepNext w:val="0"/>
              <w:keepLines w:val="0"/>
              <w:suppressLineNumbers w:val="0"/>
              <w:spacing w:before="0" w:beforeAutospacing="0" w:after="0" w:afterAutospacing="0" w:line="500" w:lineRule="exact"/>
              <w:ind w:left="0" w:right="0"/>
              <w:jc w:val="center"/>
              <w:rPr>
                <w:rFonts w:hint="default" w:ascii="仿宋_GB2312" w:eastAsia="仿宋_GB2312" w:cs="仿宋"/>
                <w:bCs/>
                <w:sz w:val="28"/>
                <w:szCs w:val="28"/>
              </w:rPr>
            </w:pPr>
            <w:r>
              <w:rPr>
                <w:rFonts w:hint="eastAsia" w:ascii="仿宋_GB2312" w:eastAsia="仿宋_GB2312" w:cs="仿宋"/>
                <w:bCs/>
                <w:sz w:val="28"/>
                <w:szCs w:val="28"/>
              </w:rPr>
              <w:t>5</w:t>
            </w:r>
          </w:p>
        </w:tc>
        <w:tc>
          <w:tcPr>
            <w:tcW w:w="5723" w:type="dxa"/>
          </w:tcPr>
          <w:p w14:paraId="5FDAEC42">
            <w:pPr>
              <w:keepNext w:val="0"/>
              <w:keepLines w:val="0"/>
              <w:suppressLineNumbers w:val="0"/>
              <w:spacing w:before="0" w:beforeAutospacing="0" w:after="0" w:afterAutospacing="0" w:line="500" w:lineRule="exact"/>
              <w:ind w:left="0" w:right="0"/>
              <w:jc w:val="center"/>
              <w:rPr>
                <w:rFonts w:hint="default" w:ascii="仿宋_GB2312" w:eastAsia="仿宋_GB2312" w:cs="仿宋"/>
                <w:bCs/>
                <w:sz w:val="28"/>
                <w:szCs w:val="28"/>
              </w:rPr>
            </w:pPr>
            <w:r>
              <w:rPr>
                <w:rFonts w:hint="eastAsia" w:ascii="仿宋_GB2312" w:eastAsia="仿宋_GB2312" w:cs="仿宋"/>
                <w:bCs/>
                <w:sz w:val="28"/>
                <w:szCs w:val="28"/>
              </w:rPr>
              <w:t>优，叶片舒展，无黄化等现象</w:t>
            </w:r>
          </w:p>
        </w:tc>
      </w:tr>
      <w:tr w14:paraId="3FBAB4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058" w:type="dxa"/>
          </w:tcPr>
          <w:p w14:paraId="4A820E40">
            <w:pPr>
              <w:keepNext w:val="0"/>
              <w:keepLines w:val="0"/>
              <w:suppressLineNumbers w:val="0"/>
              <w:spacing w:before="0" w:beforeAutospacing="0" w:after="0" w:afterAutospacing="0" w:line="500" w:lineRule="exact"/>
              <w:ind w:left="0" w:right="0"/>
              <w:jc w:val="center"/>
              <w:rPr>
                <w:rFonts w:hint="default" w:ascii="仿宋_GB2312" w:eastAsia="仿宋_GB2312" w:cs="仿宋"/>
                <w:bCs/>
                <w:sz w:val="28"/>
                <w:szCs w:val="28"/>
              </w:rPr>
            </w:pPr>
            <w:r>
              <w:rPr>
                <w:rFonts w:hint="eastAsia" w:ascii="仿宋_GB2312" w:eastAsia="仿宋_GB2312" w:cs="仿宋"/>
                <w:bCs/>
                <w:sz w:val="28"/>
                <w:szCs w:val="28"/>
              </w:rPr>
              <w:t>10</w:t>
            </w:r>
          </w:p>
        </w:tc>
        <w:tc>
          <w:tcPr>
            <w:tcW w:w="5723" w:type="dxa"/>
          </w:tcPr>
          <w:p w14:paraId="7A69965F">
            <w:pPr>
              <w:keepNext w:val="0"/>
              <w:keepLines w:val="0"/>
              <w:suppressLineNumbers w:val="0"/>
              <w:spacing w:before="0" w:beforeAutospacing="0" w:after="0" w:afterAutospacing="0" w:line="500" w:lineRule="exact"/>
              <w:ind w:left="0" w:right="0"/>
              <w:jc w:val="center"/>
              <w:rPr>
                <w:rFonts w:hint="default" w:ascii="仿宋_GB2312" w:eastAsia="仿宋_GB2312" w:cs="仿宋"/>
                <w:bCs/>
                <w:sz w:val="28"/>
                <w:szCs w:val="28"/>
              </w:rPr>
            </w:pPr>
            <w:r>
              <w:rPr>
                <w:rFonts w:hint="eastAsia" w:ascii="仿宋_GB2312" w:eastAsia="仿宋_GB2312" w:cs="仿宋"/>
                <w:bCs/>
                <w:sz w:val="28"/>
                <w:szCs w:val="28"/>
              </w:rPr>
              <w:t>优，叶片舒展，无黄化等现象</w:t>
            </w:r>
          </w:p>
        </w:tc>
      </w:tr>
      <w:tr w14:paraId="40EE4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058" w:type="dxa"/>
          </w:tcPr>
          <w:p w14:paraId="78B0FAC6">
            <w:pPr>
              <w:keepNext w:val="0"/>
              <w:keepLines w:val="0"/>
              <w:suppressLineNumbers w:val="0"/>
              <w:spacing w:before="0" w:beforeAutospacing="0" w:after="0" w:afterAutospacing="0" w:line="500" w:lineRule="exact"/>
              <w:ind w:left="0" w:right="0"/>
              <w:jc w:val="center"/>
              <w:rPr>
                <w:rFonts w:hint="default" w:ascii="仿宋_GB2312" w:eastAsia="仿宋_GB2312" w:cs="仿宋"/>
                <w:bCs/>
                <w:sz w:val="28"/>
                <w:szCs w:val="28"/>
              </w:rPr>
            </w:pPr>
            <w:r>
              <w:rPr>
                <w:rFonts w:hint="eastAsia" w:ascii="仿宋_GB2312" w:eastAsia="仿宋_GB2312" w:cs="仿宋"/>
                <w:bCs/>
                <w:sz w:val="28"/>
                <w:szCs w:val="28"/>
              </w:rPr>
              <w:t>20</w:t>
            </w:r>
          </w:p>
        </w:tc>
        <w:tc>
          <w:tcPr>
            <w:tcW w:w="5723" w:type="dxa"/>
          </w:tcPr>
          <w:p w14:paraId="38918028">
            <w:pPr>
              <w:keepNext w:val="0"/>
              <w:keepLines w:val="0"/>
              <w:suppressLineNumbers w:val="0"/>
              <w:spacing w:before="0" w:beforeAutospacing="0" w:after="0" w:afterAutospacing="0" w:line="500" w:lineRule="exact"/>
              <w:ind w:left="0" w:right="0"/>
              <w:jc w:val="center"/>
              <w:rPr>
                <w:rFonts w:hint="default" w:ascii="仿宋_GB2312" w:eastAsia="仿宋_GB2312" w:cs="仿宋"/>
                <w:bCs/>
                <w:sz w:val="28"/>
                <w:szCs w:val="28"/>
              </w:rPr>
            </w:pPr>
            <w:r>
              <w:rPr>
                <w:rFonts w:hint="eastAsia" w:ascii="仿宋_GB2312" w:eastAsia="仿宋_GB2312" w:cs="仿宋"/>
                <w:bCs/>
                <w:sz w:val="28"/>
                <w:szCs w:val="28"/>
              </w:rPr>
              <w:t>良，叶缘偶有黄化现象</w:t>
            </w:r>
          </w:p>
        </w:tc>
      </w:tr>
      <w:tr w14:paraId="17AB4D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058" w:type="dxa"/>
          </w:tcPr>
          <w:p w14:paraId="11009A5D">
            <w:pPr>
              <w:keepNext w:val="0"/>
              <w:keepLines w:val="0"/>
              <w:suppressLineNumbers w:val="0"/>
              <w:spacing w:before="0" w:beforeAutospacing="0" w:after="0" w:afterAutospacing="0" w:line="500" w:lineRule="exact"/>
              <w:ind w:left="0" w:right="0"/>
              <w:jc w:val="center"/>
              <w:rPr>
                <w:rFonts w:hint="default" w:ascii="仿宋_GB2312" w:eastAsia="仿宋_GB2312" w:cs="仿宋"/>
                <w:bCs/>
                <w:sz w:val="28"/>
                <w:szCs w:val="28"/>
              </w:rPr>
            </w:pPr>
            <w:r>
              <w:rPr>
                <w:rFonts w:hint="eastAsia" w:ascii="仿宋_GB2312" w:eastAsia="仿宋_GB2312" w:cs="仿宋"/>
                <w:bCs/>
                <w:sz w:val="28"/>
                <w:szCs w:val="28"/>
              </w:rPr>
              <w:t>30</w:t>
            </w:r>
          </w:p>
        </w:tc>
        <w:tc>
          <w:tcPr>
            <w:tcW w:w="5723" w:type="dxa"/>
          </w:tcPr>
          <w:p w14:paraId="5F2E8B85">
            <w:pPr>
              <w:keepNext w:val="0"/>
              <w:keepLines w:val="0"/>
              <w:suppressLineNumbers w:val="0"/>
              <w:spacing w:before="0" w:beforeAutospacing="0" w:after="0" w:afterAutospacing="0" w:line="500" w:lineRule="exact"/>
              <w:ind w:left="0" w:right="0"/>
              <w:jc w:val="center"/>
              <w:rPr>
                <w:rFonts w:hint="default" w:ascii="仿宋_GB2312" w:eastAsia="仿宋_GB2312" w:cs="仿宋"/>
                <w:bCs/>
                <w:sz w:val="28"/>
                <w:szCs w:val="28"/>
              </w:rPr>
            </w:pPr>
            <w:r>
              <w:rPr>
                <w:rFonts w:hint="eastAsia" w:ascii="仿宋_GB2312" w:eastAsia="仿宋_GB2312" w:cs="仿宋"/>
                <w:bCs/>
                <w:sz w:val="28"/>
                <w:szCs w:val="28"/>
              </w:rPr>
              <w:t>一般，叶片边缘焦枯</w:t>
            </w:r>
          </w:p>
        </w:tc>
      </w:tr>
    </w:tbl>
    <w:p w14:paraId="21D56FB2">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2、苗木准备</w:t>
      </w:r>
    </w:p>
    <w:p w14:paraId="142AC38D">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羽片的晾晒时间</w:t>
      </w:r>
    </w:p>
    <w:p w14:paraId="479CC16D">
      <w:pPr>
        <w:spacing w:line="500" w:lineRule="exact"/>
        <w:ind w:firstLine="560" w:firstLineChars="200"/>
        <w:rPr>
          <w:rFonts w:hint="eastAsia" w:ascii="仿宋_GB2312" w:eastAsia="仿宋_GB2312" w:cs="仿宋"/>
          <w:bCs/>
          <w:sz w:val="28"/>
          <w:szCs w:val="28"/>
        </w:rPr>
      </w:pPr>
      <w:r>
        <w:rPr>
          <w:rFonts w:hint="eastAsia" w:ascii="仿宋_GB2312" w:eastAsia="仿宋_GB2312" w:cs="仿宋"/>
          <w:bCs/>
          <w:sz w:val="28"/>
          <w:szCs w:val="28"/>
        </w:rPr>
        <w:t>选择夏秋季节采集是因</w:t>
      </w:r>
      <w:r>
        <w:rPr>
          <w:rFonts w:hint="eastAsia" w:ascii="仿宋_GB2312" w:eastAsia="仿宋_GB2312" w:cs="仿宋"/>
          <w:bCs/>
          <w:sz w:val="28"/>
          <w:szCs w:val="28"/>
          <w:lang w:eastAsia="zh-CN"/>
        </w:rPr>
        <w:t>为</w:t>
      </w:r>
      <w:r>
        <w:rPr>
          <w:rFonts w:hint="eastAsia" w:ascii="仿宋_GB2312" w:eastAsia="仿宋_GB2312" w:cs="仿宋"/>
          <w:bCs/>
          <w:sz w:val="28"/>
          <w:szCs w:val="28"/>
        </w:rPr>
        <w:t>夏秋季节桫椤孢子发育成熟，气候温暖湿润，符合桫椤自然繁殖周期，此时孢子活性与萌发潜力达到最佳状态。将带有成熟孢子的羽片置于阴凉通风处晾晒6d～7d，借助空气流动促使孢子囊自然开裂，同时避免强光直射或高温导致孢子失活，缓慢脱水减少机械损伤风险。待孢子散落后精细筛除杂质，避免微生物污染。采用4℃～8℃低温保存，通过抑制孢子代谢活动延长其休眠期，有效维持孢子的生命活力和萌发能力。</w:t>
      </w:r>
    </w:p>
    <w:p w14:paraId="5258FEDD">
      <w:pPr>
        <w:keepNext w:val="0"/>
        <w:keepLines w:val="0"/>
        <w:pageBreakBefore w:val="0"/>
        <w:widowControl w:val="0"/>
        <w:kinsoku/>
        <w:wordWrap/>
        <w:overflowPunct/>
        <w:topLinePunct w:val="0"/>
        <w:autoSpaceDE/>
        <w:autoSpaceDN/>
        <w:bidi w:val="0"/>
        <w:adjustRightInd/>
        <w:snapToGrid/>
        <w:spacing w:line="240" w:lineRule="auto"/>
        <w:jc w:val="center"/>
        <w:textAlignment w:val="auto"/>
      </w:pPr>
      <w:r>
        <w:drawing>
          <wp:inline distT="0" distB="0" distL="0" distR="0">
            <wp:extent cx="4439285" cy="2962910"/>
            <wp:effectExtent l="0" t="0" r="18415" b="8890"/>
            <wp:docPr id="31868635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686358" name="图片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4439285" cy="2962910"/>
                    </a:xfrm>
                    <a:prstGeom prst="rect">
                      <a:avLst/>
                    </a:prstGeom>
                    <a:noFill/>
                    <a:ln>
                      <a:noFill/>
                    </a:ln>
                  </pic:spPr>
                </pic:pic>
              </a:graphicData>
            </a:graphic>
          </wp:inline>
        </w:drawing>
      </w:r>
    </w:p>
    <w:p w14:paraId="41F3F256">
      <w:pPr>
        <w:pStyle w:val="29"/>
        <w:rPr>
          <w:rFonts w:hint="eastAsia" w:eastAsia="黑体"/>
          <w:lang w:eastAsia="zh-CN"/>
        </w:rPr>
      </w:pPr>
      <w:r>
        <w:rPr>
          <w:rFonts w:hint="eastAsia"/>
          <w:lang w:eastAsia="zh-CN"/>
        </w:rPr>
        <w:t>桫椤孢子</w:t>
      </w:r>
    </w:p>
    <w:p w14:paraId="63B55E31">
      <w:pPr>
        <w:spacing w:line="500" w:lineRule="exact"/>
        <w:ind w:firstLine="562" w:firstLineChars="200"/>
        <w:rPr>
          <w:rFonts w:ascii="仿宋_GB2312" w:eastAsia="仿宋_GB2312" w:cs="仿宋"/>
          <w:bCs/>
          <w:sz w:val="28"/>
          <w:szCs w:val="28"/>
        </w:rPr>
      </w:pPr>
      <w:r>
        <w:rPr>
          <w:rFonts w:hint="eastAsia" w:ascii="仿宋_GB2312" w:eastAsia="仿宋_GB2312" w:cs="仿宋"/>
          <w:b/>
          <w:sz w:val="28"/>
          <w:szCs w:val="28"/>
        </w:rPr>
        <w:t>组织培养</w:t>
      </w:r>
    </w:p>
    <w:p w14:paraId="3FEB77B6">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组织培养的内容如下：</w:t>
      </w:r>
    </w:p>
    <w:p w14:paraId="475C48E6">
      <w:pPr>
        <w:spacing w:line="500" w:lineRule="exact"/>
        <w:ind w:firstLine="560" w:firstLineChars="200"/>
        <w:rPr>
          <w:rFonts w:ascii="仿宋_GB2312" w:eastAsia="仿宋_GB2312" w:cs="仿宋"/>
          <w:bCs/>
          <w:sz w:val="28"/>
          <w:szCs w:val="28"/>
        </w:rPr>
      </w:pPr>
      <w:r>
        <w:rPr>
          <w:rFonts w:ascii="仿宋_GB2312" w:eastAsia="仿宋_GB2312" w:cs="仿宋"/>
          <w:bCs/>
          <w:sz w:val="28"/>
          <w:szCs w:val="28"/>
        </w:rPr>
        <w:t>1）使用10mL离心管装0.1g干燥孢子粉，用70％酒精灭菌30s，无菌水漂洗1次；再用0.1％HgCl</w:t>
      </w:r>
      <w:r>
        <w:rPr>
          <w:rFonts w:ascii="仿宋_GB2312" w:eastAsia="仿宋_GB2312" w:cs="仿宋"/>
          <w:bCs/>
          <w:sz w:val="28"/>
          <w:szCs w:val="28"/>
          <w:vertAlign w:val="subscript"/>
        </w:rPr>
        <w:t>2</w:t>
      </w:r>
      <w:r>
        <w:rPr>
          <w:rFonts w:ascii="仿宋_GB2312" w:eastAsia="仿宋_GB2312" w:cs="仿宋"/>
          <w:bCs/>
          <w:sz w:val="28"/>
          <w:szCs w:val="28"/>
        </w:rPr>
        <w:t>溶液灭菌10min，无菌水漂洗4～5次，然后加入9mL无菌水，制成孢子</w:t>
      </w:r>
      <w:r>
        <w:rPr>
          <w:rFonts w:hint="eastAsia" w:ascii="仿宋_GB2312" w:eastAsia="仿宋_GB2312" w:cs="仿宋"/>
          <w:bCs/>
          <w:sz w:val="28"/>
          <w:szCs w:val="28"/>
          <w:lang w:eastAsia="zh-CN"/>
        </w:rPr>
        <w:t>悬浊液</w:t>
      </w:r>
      <w:r>
        <w:rPr>
          <w:rFonts w:ascii="仿宋_GB2312" w:eastAsia="仿宋_GB2312" w:cs="仿宋"/>
          <w:bCs/>
          <w:sz w:val="28"/>
          <w:szCs w:val="28"/>
        </w:rPr>
        <w:t>。</w:t>
      </w:r>
    </w:p>
    <w:p w14:paraId="3A6579D8">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孢子粉自身可能携带病菌、真菌等微生物，这些微生物会与孢子竞争营养物质、生存空间等，还可能会产生有毒代谢产物，影响孢子的萌发和后续生长，因此需要用</w:t>
      </w:r>
      <w:r>
        <w:rPr>
          <w:rFonts w:ascii="仿宋_GB2312" w:eastAsia="仿宋_GB2312" w:cs="仿宋"/>
          <w:bCs/>
          <w:sz w:val="28"/>
          <w:szCs w:val="28"/>
        </w:rPr>
        <w:t>70％酒精</w:t>
      </w:r>
      <w:r>
        <w:rPr>
          <w:rFonts w:hint="eastAsia" w:ascii="仿宋_GB2312" w:eastAsia="仿宋_GB2312" w:cs="仿宋"/>
          <w:bCs/>
          <w:sz w:val="28"/>
          <w:szCs w:val="28"/>
        </w:rPr>
        <w:t>和</w:t>
      </w:r>
      <w:r>
        <w:rPr>
          <w:rFonts w:ascii="仿宋_GB2312" w:eastAsia="仿宋_GB2312" w:cs="仿宋"/>
          <w:bCs/>
          <w:sz w:val="28"/>
          <w:szCs w:val="28"/>
        </w:rPr>
        <w:t>0.1％HgCl</w:t>
      </w:r>
      <w:r>
        <w:rPr>
          <w:rFonts w:ascii="仿宋_GB2312" w:eastAsia="仿宋_GB2312" w:cs="仿宋"/>
          <w:bCs/>
          <w:sz w:val="28"/>
          <w:szCs w:val="28"/>
          <w:vertAlign w:val="subscript"/>
        </w:rPr>
        <w:t>2</w:t>
      </w:r>
      <w:r>
        <w:rPr>
          <w:rFonts w:ascii="仿宋_GB2312" w:eastAsia="仿宋_GB2312" w:cs="仿宋"/>
          <w:bCs/>
          <w:sz w:val="28"/>
          <w:szCs w:val="28"/>
        </w:rPr>
        <w:t>溶液</w:t>
      </w:r>
      <w:r>
        <w:rPr>
          <w:rFonts w:hint="eastAsia" w:ascii="仿宋_GB2312" w:eastAsia="仿宋_GB2312" w:cs="仿宋"/>
          <w:bCs/>
          <w:sz w:val="28"/>
          <w:szCs w:val="28"/>
        </w:rPr>
        <w:t>灭菌，其中</w:t>
      </w:r>
      <w:r>
        <w:rPr>
          <w:rFonts w:ascii="仿宋_GB2312" w:eastAsia="仿宋_GB2312" w:cs="仿宋"/>
          <w:bCs/>
          <w:sz w:val="28"/>
          <w:szCs w:val="28"/>
        </w:rPr>
        <w:t>0.1％HgCl</w:t>
      </w:r>
      <w:r>
        <w:rPr>
          <w:rFonts w:ascii="仿宋_GB2312" w:eastAsia="仿宋_GB2312" w:cs="仿宋"/>
          <w:bCs/>
          <w:sz w:val="28"/>
          <w:szCs w:val="28"/>
          <w:vertAlign w:val="subscript"/>
        </w:rPr>
        <w:t>2</w:t>
      </w:r>
      <w:r>
        <w:rPr>
          <w:rFonts w:ascii="仿宋_GB2312" w:eastAsia="仿宋_GB2312" w:cs="仿宋"/>
          <w:bCs/>
          <w:sz w:val="28"/>
          <w:szCs w:val="28"/>
        </w:rPr>
        <w:t>溶液</w:t>
      </w:r>
      <w:r>
        <w:rPr>
          <w:rFonts w:hint="eastAsia" w:ascii="仿宋_GB2312" w:eastAsia="仿宋_GB2312" w:cs="仿宋"/>
          <w:bCs/>
          <w:sz w:val="28"/>
          <w:szCs w:val="28"/>
        </w:rPr>
        <w:t>的毒性较强，需要彻底漂洗（</w:t>
      </w:r>
      <w:r>
        <w:rPr>
          <w:rFonts w:ascii="仿宋_GB2312" w:eastAsia="仿宋_GB2312" w:cs="仿宋"/>
          <w:bCs/>
          <w:sz w:val="28"/>
          <w:szCs w:val="28"/>
        </w:rPr>
        <w:t>4～5次</w:t>
      </w:r>
      <w:r>
        <w:rPr>
          <w:rFonts w:hint="eastAsia" w:ascii="仿宋_GB2312" w:eastAsia="仿宋_GB2312" w:cs="仿宋"/>
          <w:bCs/>
          <w:sz w:val="28"/>
          <w:szCs w:val="28"/>
        </w:rPr>
        <w:t>），避免残留抑制孢子萌发。</w:t>
      </w:r>
    </w:p>
    <w:p w14:paraId="62002896">
      <w:pPr>
        <w:spacing w:line="500" w:lineRule="exact"/>
        <w:ind w:firstLine="560" w:firstLineChars="200"/>
        <w:rPr>
          <w:rFonts w:ascii="仿宋_GB2312" w:eastAsia="仿宋_GB2312" w:cs="仿宋"/>
          <w:bCs/>
          <w:sz w:val="28"/>
          <w:szCs w:val="28"/>
        </w:rPr>
      </w:pPr>
      <w:r>
        <w:rPr>
          <w:rFonts w:ascii="仿宋_GB2312" w:eastAsia="仿宋_GB2312" w:cs="仿宋"/>
          <w:bCs/>
          <w:sz w:val="28"/>
          <w:szCs w:val="28"/>
        </w:rPr>
        <w:t>2）在超净工作台上，将孢子</w:t>
      </w:r>
      <w:r>
        <w:rPr>
          <w:rFonts w:hint="eastAsia" w:ascii="仿宋_GB2312" w:eastAsia="仿宋_GB2312" w:cs="仿宋"/>
          <w:bCs/>
          <w:sz w:val="28"/>
          <w:szCs w:val="28"/>
          <w:lang w:eastAsia="zh-CN"/>
        </w:rPr>
        <w:t>悬浊液</w:t>
      </w:r>
      <w:r>
        <w:rPr>
          <w:rFonts w:ascii="仿宋_GB2312" w:eastAsia="仿宋_GB2312" w:cs="仿宋"/>
          <w:bCs/>
          <w:sz w:val="28"/>
          <w:szCs w:val="28"/>
        </w:rPr>
        <w:t>接种到1/2MS培养基上培育，每1mL孢子</w:t>
      </w:r>
      <w:r>
        <w:rPr>
          <w:rFonts w:hint="eastAsia" w:ascii="仿宋_GB2312" w:eastAsia="仿宋_GB2312" w:cs="仿宋"/>
          <w:bCs/>
          <w:sz w:val="28"/>
          <w:szCs w:val="28"/>
          <w:lang w:eastAsia="zh-CN"/>
        </w:rPr>
        <w:t>悬浊液</w:t>
      </w:r>
      <w:r>
        <w:rPr>
          <w:rFonts w:ascii="仿宋_GB2312" w:eastAsia="仿宋_GB2312" w:cs="仿宋"/>
          <w:bCs/>
          <w:sz w:val="28"/>
          <w:szCs w:val="28"/>
        </w:rPr>
        <w:t>接种50mL～70mL培养基。</w:t>
      </w:r>
    </w:p>
    <w:p w14:paraId="3B21E985">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为避免高渗透压影响孢子发育，选择1/2MS培养基，它是一种营养成分较为全面且适中的培养基，能够为孢子的萌发和生长提供必要的营养物质，如无机盐、维生素等。</w:t>
      </w:r>
    </w:p>
    <w:p w14:paraId="1F0863CB">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将孢子</w:t>
      </w:r>
      <w:r>
        <w:rPr>
          <w:rFonts w:hint="eastAsia" w:ascii="仿宋_GB2312" w:eastAsia="仿宋_GB2312" w:cs="仿宋"/>
          <w:bCs/>
          <w:sz w:val="28"/>
          <w:szCs w:val="28"/>
          <w:lang w:eastAsia="zh-CN"/>
        </w:rPr>
        <w:t>悬浊液</w:t>
      </w:r>
      <w:r>
        <w:rPr>
          <w:rFonts w:hint="eastAsia" w:ascii="仿宋_GB2312" w:eastAsia="仿宋_GB2312" w:cs="仿宋"/>
          <w:bCs/>
          <w:sz w:val="28"/>
          <w:szCs w:val="28"/>
        </w:rPr>
        <w:t>按一定比例接种到培养基上，有利于孢子均匀分布并充分吸收营养，促进孢子的快速分化和生长，同时便于后续的继代培养等操作。</w:t>
      </w:r>
    </w:p>
    <w:p w14:paraId="1FE9195F">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3）</w:t>
      </w:r>
      <w:r>
        <w:rPr>
          <w:rFonts w:ascii="仿宋_GB2312" w:eastAsia="仿宋_GB2312" w:cs="仿宋"/>
          <w:bCs/>
          <w:sz w:val="28"/>
          <w:szCs w:val="28"/>
        </w:rPr>
        <w:t>培育60d～70d继代1次，培养150d～180d。</w:t>
      </w:r>
    </w:p>
    <w:p w14:paraId="4C7F14F2">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在组织培养过程中基于扩大增值倍数以及诱导分化的需求，在培养60d～70d后进行继代，培养时间150d～180d可获得生长良好的株高大于5cm可用于移栽的桫椤幼苗。</w:t>
      </w:r>
    </w:p>
    <w:p w14:paraId="42537409">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4）</w:t>
      </w:r>
      <w:r>
        <w:rPr>
          <w:rFonts w:ascii="仿宋_GB2312" w:eastAsia="仿宋_GB2312" w:cs="仿宋"/>
          <w:bCs/>
          <w:sz w:val="28"/>
          <w:szCs w:val="28"/>
        </w:rPr>
        <w:t>炼苗14d～16d后移栽至以椰糠为基质的育苗盘中培育60d～90d。</w:t>
      </w:r>
    </w:p>
    <w:p w14:paraId="16975B3C">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通过改变</w:t>
      </w:r>
      <w:r>
        <w:rPr>
          <w:rFonts w:ascii="仿宋_GB2312" w:eastAsia="仿宋_GB2312" w:cs="仿宋"/>
          <w:bCs/>
          <w:sz w:val="28"/>
          <w:szCs w:val="28"/>
        </w:rPr>
        <w:t>炼苗</w:t>
      </w:r>
      <w:r>
        <w:rPr>
          <w:rFonts w:hint="eastAsia" w:ascii="仿宋_GB2312" w:eastAsia="仿宋_GB2312" w:cs="仿宋"/>
          <w:bCs/>
          <w:sz w:val="28"/>
          <w:szCs w:val="28"/>
        </w:rPr>
        <w:t>时间和在</w:t>
      </w:r>
      <w:r>
        <w:rPr>
          <w:rFonts w:ascii="仿宋_GB2312" w:eastAsia="仿宋_GB2312" w:cs="仿宋"/>
          <w:bCs/>
          <w:sz w:val="28"/>
          <w:szCs w:val="28"/>
        </w:rPr>
        <w:t>椰糠为基质的育苗盘中</w:t>
      </w:r>
      <w:r>
        <w:rPr>
          <w:rFonts w:hint="eastAsia" w:ascii="仿宋_GB2312" w:eastAsia="仿宋_GB2312" w:cs="仿宋"/>
          <w:bCs/>
          <w:sz w:val="28"/>
          <w:szCs w:val="28"/>
        </w:rPr>
        <w:t>的</w:t>
      </w:r>
      <w:r>
        <w:rPr>
          <w:rFonts w:ascii="仿宋_GB2312" w:eastAsia="仿宋_GB2312" w:cs="仿宋"/>
          <w:bCs/>
          <w:sz w:val="28"/>
          <w:szCs w:val="28"/>
        </w:rPr>
        <w:t>培育</w:t>
      </w:r>
      <w:r>
        <w:rPr>
          <w:rFonts w:hint="eastAsia" w:ascii="仿宋_GB2312" w:eastAsia="仿宋_GB2312" w:cs="仿宋"/>
          <w:bCs/>
          <w:sz w:val="28"/>
          <w:szCs w:val="28"/>
        </w:rPr>
        <w:t>时间，发现桫椤的成活率随着</w:t>
      </w:r>
      <w:r>
        <w:rPr>
          <w:rFonts w:ascii="仿宋_GB2312" w:eastAsia="仿宋_GB2312" w:cs="仿宋"/>
          <w:bCs/>
          <w:sz w:val="28"/>
          <w:szCs w:val="28"/>
        </w:rPr>
        <w:t>炼苗</w:t>
      </w:r>
      <w:r>
        <w:rPr>
          <w:rFonts w:hint="eastAsia" w:ascii="仿宋_GB2312" w:eastAsia="仿宋_GB2312" w:cs="仿宋"/>
          <w:bCs/>
          <w:sz w:val="28"/>
          <w:szCs w:val="28"/>
        </w:rPr>
        <w:t>时间的适当延长而提高，同时基于蕨类植物组织培养育苗经验将</w:t>
      </w:r>
      <w:r>
        <w:rPr>
          <w:rFonts w:ascii="仿宋_GB2312" w:eastAsia="仿宋_GB2312" w:cs="仿宋"/>
          <w:bCs/>
          <w:sz w:val="28"/>
          <w:szCs w:val="28"/>
        </w:rPr>
        <w:t>炼苗</w:t>
      </w:r>
      <w:r>
        <w:rPr>
          <w:rFonts w:hint="eastAsia" w:ascii="仿宋_GB2312" w:eastAsia="仿宋_GB2312" w:cs="仿宋"/>
          <w:bCs/>
          <w:sz w:val="28"/>
          <w:szCs w:val="28"/>
        </w:rPr>
        <w:t>时间确定为14d～16d，在</w:t>
      </w:r>
      <w:r>
        <w:rPr>
          <w:rFonts w:ascii="仿宋_GB2312" w:eastAsia="仿宋_GB2312" w:cs="仿宋"/>
          <w:bCs/>
          <w:sz w:val="28"/>
          <w:szCs w:val="28"/>
        </w:rPr>
        <w:t>椰糠为基质的育苗盘中</w:t>
      </w:r>
      <w:r>
        <w:rPr>
          <w:rFonts w:hint="eastAsia" w:ascii="仿宋_GB2312" w:eastAsia="仿宋_GB2312" w:cs="仿宋"/>
          <w:bCs/>
          <w:sz w:val="28"/>
          <w:szCs w:val="28"/>
        </w:rPr>
        <w:t>的</w:t>
      </w:r>
      <w:r>
        <w:rPr>
          <w:rFonts w:ascii="仿宋_GB2312" w:eastAsia="仿宋_GB2312" w:cs="仿宋"/>
          <w:bCs/>
          <w:sz w:val="28"/>
          <w:szCs w:val="28"/>
        </w:rPr>
        <w:t>培育</w:t>
      </w:r>
      <w:r>
        <w:rPr>
          <w:rFonts w:hint="eastAsia" w:ascii="仿宋_GB2312" w:eastAsia="仿宋_GB2312" w:cs="仿宋"/>
          <w:bCs/>
          <w:sz w:val="28"/>
          <w:szCs w:val="28"/>
        </w:rPr>
        <w:t>时间确定为</w:t>
      </w:r>
      <w:r>
        <w:rPr>
          <w:rFonts w:ascii="仿宋_GB2312" w:eastAsia="仿宋_GB2312" w:cs="仿宋"/>
          <w:bCs/>
          <w:sz w:val="28"/>
          <w:szCs w:val="28"/>
        </w:rPr>
        <w:t>60d～90d</w:t>
      </w:r>
      <w:r>
        <w:rPr>
          <w:rFonts w:hint="eastAsia" w:ascii="仿宋_GB2312" w:eastAsia="仿宋_GB2312" w:cs="仿宋"/>
          <w:bCs/>
          <w:sz w:val="28"/>
          <w:szCs w:val="28"/>
        </w:rPr>
        <w:t>。</w:t>
      </w:r>
    </w:p>
    <w:p w14:paraId="4793B7BB">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5）</w:t>
      </w:r>
      <w:r>
        <w:rPr>
          <w:rFonts w:ascii="仿宋_GB2312" w:eastAsia="仿宋_GB2312" w:cs="仿宋"/>
          <w:bCs/>
          <w:sz w:val="28"/>
          <w:szCs w:val="28"/>
        </w:rPr>
        <w:t>移栽前培育条件</w:t>
      </w:r>
      <w:r>
        <w:rPr>
          <w:rFonts w:hint="eastAsia" w:ascii="仿宋_GB2312" w:eastAsia="仿宋_GB2312" w:cs="仿宋"/>
          <w:bCs/>
          <w:sz w:val="28"/>
          <w:szCs w:val="28"/>
        </w:rPr>
        <w:t>宜</w:t>
      </w:r>
      <w:r>
        <w:rPr>
          <w:rFonts w:ascii="仿宋_GB2312" w:eastAsia="仿宋_GB2312" w:cs="仿宋"/>
          <w:bCs/>
          <w:sz w:val="28"/>
          <w:szCs w:val="28"/>
        </w:rPr>
        <w:t>为温度23℃～27℃</w:t>
      </w:r>
      <w:r>
        <w:rPr>
          <w:rFonts w:hint="eastAsia" w:ascii="仿宋_GB2312" w:eastAsia="仿宋_GB2312" w:cs="仿宋"/>
          <w:bCs/>
          <w:sz w:val="28"/>
          <w:szCs w:val="28"/>
        </w:rPr>
        <w:t>、</w:t>
      </w:r>
      <w:r>
        <w:rPr>
          <w:rFonts w:ascii="仿宋_GB2312" w:eastAsia="仿宋_GB2312" w:cs="仿宋"/>
          <w:bCs/>
          <w:sz w:val="28"/>
          <w:szCs w:val="28"/>
        </w:rPr>
        <w:t>光照3000lx</w:t>
      </w:r>
      <w:r>
        <w:rPr>
          <w:rFonts w:hint="eastAsia" w:ascii="仿宋_GB2312" w:eastAsia="仿宋_GB2312" w:cs="仿宋"/>
          <w:bCs/>
          <w:sz w:val="28"/>
          <w:szCs w:val="28"/>
        </w:rPr>
        <w:t>、</w:t>
      </w:r>
      <w:r>
        <w:rPr>
          <w:rFonts w:ascii="仿宋_GB2312" w:eastAsia="仿宋_GB2312" w:cs="仿宋"/>
          <w:bCs/>
          <w:sz w:val="28"/>
          <w:szCs w:val="28"/>
        </w:rPr>
        <w:t>光照周期12h/d。炼苗及移栽后培育条件</w:t>
      </w:r>
      <w:r>
        <w:rPr>
          <w:rFonts w:hint="eastAsia" w:ascii="仿宋_GB2312" w:eastAsia="仿宋_GB2312" w:cs="仿宋"/>
          <w:bCs/>
          <w:sz w:val="28"/>
          <w:szCs w:val="28"/>
        </w:rPr>
        <w:t>宜</w:t>
      </w:r>
      <w:r>
        <w:rPr>
          <w:rFonts w:ascii="仿宋_GB2312" w:eastAsia="仿宋_GB2312" w:cs="仿宋"/>
          <w:bCs/>
          <w:sz w:val="28"/>
          <w:szCs w:val="28"/>
        </w:rPr>
        <w:t>为温度23℃～27℃</w:t>
      </w:r>
      <w:r>
        <w:rPr>
          <w:rFonts w:hint="eastAsia" w:ascii="仿宋_GB2312" w:eastAsia="仿宋_GB2312" w:cs="仿宋"/>
          <w:bCs/>
          <w:sz w:val="28"/>
          <w:szCs w:val="28"/>
        </w:rPr>
        <w:t>、</w:t>
      </w:r>
      <w:r>
        <w:rPr>
          <w:rFonts w:ascii="仿宋_GB2312" w:eastAsia="仿宋_GB2312" w:cs="仿宋"/>
          <w:bCs/>
          <w:sz w:val="28"/>
          <w:szCs w:val="28"/>
        </w:rPr>
        <w:t>透光率20％～30％</w:t>
      </w:r>
      <w:r>
        <w:rPr>
          <w:rFonts w:hint="eastAsia" w:ascii="仿宋_GB2312" w:eastAsia="仿宋_GB2312" w:cs="仿宋"/>
          <w:bCs/>
          <w:sz w:val="28"/>
          <w:szCs w:val="28"/>
        </w:rPr>
        <w:t>，</w:t>
      </w:r>
      <w:r>
        <w:rPr>
          <w:rFonts w:hint="eastAsia" w:ascii="仿宋_GB2312" w:eastAsia="仿宋_GB2312" w:cs="仿宋"/>
          <w:bCs/>
          <w:sz w:val="28"/>
          <w:szCs w:val="28"/>
          <w:lang w:eastAsia="zh-CN"/>
        </w:rPr>
        <w:t>期间</w:t>
      </w:r>
      <w:r>
        <w:rPr>
          <w:rFonts w:ascii="仿宋_GB2312" w:eastAsia="仿宋_GB2312" w:cs="仿宋"/>
          <w:bCs/>
          <w:sz w:val="28"/>
          <w:szCs w:val="28"/>
        </w:rPr>
        <w:t>保持基质湿润。</w:t>
      </w:r>
    </w:p>
    <w:p w14:paraId="08FC5DD9">
      <w:pPr>
        <w:spacing w:line="500" w:lineRule="exact"/>
        <w:ind w:firstLine="560" w:firstLineChars="200"/>
        <w:rPr>
          <w:rFonts w:hint="eastAsia" w:ascii="仿宋_GB2312" w:eastAsia="仿宋_GB2312" w:cs="仿宋"/>
          <w:bCs/>
          <w:sz w:val="28"/>
          <w:szCs w:val="28"/>
        </w:rPr>
      </w:pPr>
      <w:r>
        <w:rPr>
          <w:rFonts w:ascii="仿宋_GB2312" w:eastAsia="仿宋_GB2312" w:cs="仿宋"/>
          <w:bCs/>
          <w:sz w:val="28"/>
          <w:szCs w:val="28"/>
        </w:rPr>
        <w:t>23℃～27℃</w:t>
      </w:r>
      <w:r>
        <w:rPr>
          <w:rFonts w:hint="eastAsia" w:ascii="仿宋_GB2312" w:eastAsia="仿宋_GB2312" w:cs="仿宋"/>
          <w:bCs/>
          <w:sz w:val="28"/>
          <w:szCs w:val="28"/>
        </w:rPr>
        <w:t>是蕨类植物孢子萌发和原叶体发育的适宜温度区间。3000lx光照强度属于中等偏弱光照，符合桫椤幼苗对光的需求，既能提供光合作用所需能量，又避免强光灼伤幼嫩组织。稳定的温度是根系发育的关键，并且保持移栽前后温度一致（</w:t>
      </w:r>
      <w:r>
        <w:rPr>
          <w:rFonts w:ascii="仿宋_GB2312" w:eastAsia="仿宋_GB2312" w:cs="仿宋"/>
          <w:bCs/>
          <w:sz w:val="28"/>
          <w:szCs w:val="28"/>
        </w:rPr>
        <w:t>23℃～27℃</w:t>
      </w:r>
      <w:r>
        <w:rPr>
          <w:rFonts w:hint="eastAsia" w:ascii="仿宋_GB2312" w:eastAsia="仿宋_GB2312" w:cs="仿宋"/>
          <w:bCs/>
          <w:sz w:val="28"/>
          <w:szCs w:val="28"/>
        </w:rPr>
        <w:t>）可减少环境突变对幼苗的冲击。</w:t>
      </w:r>
    </w:p>
    <w:p w14:paraId="0AEF7624">
      <w:pPr>
        <w:spacing w:line="240" w:lineRule="auto"/>
        <w:jc w:val="center"/>
      </w:pPr>
      <w:r>
        <w:drawing>
          <wp:inline distT="0" distB="0" distL="0" distR="0">
            <wp:extent cx="3855720" cy="2569845"/>
            <wp:effectExtent l="0" t="0" r="11430" b="1905"/>
            <wp:docPr id="7558710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871017" name="图片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3855720" cy="2569845"/>
                    </a:xfrm>
                    <a:prstGeom prst="rect">
                      <a:avLst/>
                    </a:prstGeom>
                    <a:noFill/>
                    <a:ln>
                      <a:noFill/>
                    </a:ln>
                  </pic:spPr>
                </pic:pic>
              </a:graphicData>
            </a:graphic>
          </wp:inline>
        </w:drawing>
      </w:r>
    </w:p>
    <w:p w14:paraId="19AF9C52">
      <w:pPr>
        <w:pStyle w:val="29"/>
        <w:rPr>
          <w:rFonts w:hint="eastAsia" w:eastAsia="黑体"/>
          <w:lang w:eastAsia="zh-CN"/>
        </w:rPr>
      </w:pPr>
      <w:r>
        <w:rPr>
          <w:rFonts w:hint="eastAsia"/>
          <w:lang w:eastAsia="zh-CN"/>
        </w:rPr>
        <w:t>以孢子为外植体的桫椤组织培养</w:t>
      </w:r>
    </w:p>
    <w:p w14:paraId="54A90A4C">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土播育苗</w:t>
      </w:r>
    </w:p>
    <w:p w14:paraId="73FCF5D9">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土播育苗的内容如下：</w:t>
      </w:r>
    </w:p>
    <w:p w14:paraId="4A7089C8">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1）将泥炭土高压灭菌后作基质，装入育苗盘内。播种前用无菌水浸透基质；</w:t>
      </w:r>
    </w:p>
    <w:p w14:paraId="5A62928C">
      <w:pPr>
        <w:spacing w:line="500" w:lineRule="exact"/>
        <w:ind w:firstLine="560" w:firstLineChars="200"/>
        <w:rPr>
          <w:rFonts w:ascii="仿宋_GB2312" w:eastAsia="仿宋_GB2312" w:cs="仿宋"/>
          <w:bCs/>
          <w:sz w:val="28"/>
          <w:szCs w:val="28"/>
        </w:rPr>
      </w:pPr>
      <w:r>
        <w:rPr>
          <w:rFonts w:ascii="仿宋_GB2312" w:eastAsia="仿宋_GB2312" w:cs="仿宋"/>
          <w:bCs/>
          <w:sz w:val="28"/>
          <w:szCs w:val="28"/>
        </w:rPr>
        <w:t>泥炭土富含有机质，具有良好的保水性和透气性，但其中可能含有大量的微生物、病菌、虫卵等有害物质。采用高压灭菌的方式可以有效杀灭这些有害生物，防止它们对孢子造成危害，保证孢子能够在良好的基质环境中萌发和生长。无菌水浸透基质可以为孢子提供足够的水分，同时避免带入其他杂质和微生物。</w:t>
      </w:r>
    </w:p>
    <w:p w14:paraId="129CFD59">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2）将每0.2g干燥孢子粉用500mL无菌水制成孢子</w:t>
      </w:r>
      <w:r>
        <w:rPr>
          <w:rFonts w:hint="eastAsia" w:ascii="仿宋_GB2312" w:eastAsia="仿宋_GB2312" w:cs="仿宋"/>
          <w:bCs/>
          <w:sz w:val="28"/>
          <w:szCs w:val="28"/>
          <w:lang w:eastAsia="zh-CN"/>
        </w:rPr>
        <w:t>悬浊液</w:t>
      </w:r>
      <w:r>
        <w:rPr>
          <w:rFonts w:hint="eastAsia" w:ascii="仿宋_GB2312" w:eastAsia="仿宋_GB2312" w:cs="仿宋"/>
          <w:bCs/>
          <w:sz w:val="28"/>
          <w:szCs w:val="28"/>
        </w:rPr>
        <w:t>，用滴管将孢子</w:t>
      </w:r>
      <w:r>
        <w:rPr>
          <w:rFonts w:hint="eastAsia" w:ascii="仿宋_GB2312" w:eastAsia="仿宋_GB2312" w:cs="仿宋"/>
          <w:bCs/>
          <w:sz w:val="28"/>
          <w:szCs w:val="28"/>
          <w:lang w:eastAsia="zh-CN"/>
        </w:rPr>
        <w:t>悬浊液</w:t>
      </w:r>
      <w:r>
        <w:rPr>
          <w:rFonts w:hint="eastAsia" w:ascii="仿宋_GB2312" w:eastAsia="仿宋_GB2312" w:cs="仿宋"/>
          <w:bCs/>
          <w:sz w:val="28"/>
          <w:szCs w:val="28"/>
        </w:rPr>
        <w:t>均匀接种在育苗盘的基质上，每平方米育苗盘接种33mL～67mL；</w:t>
      </w:r>
    </w:p>
    <w:p w14:paraId="2BAFF5CE">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将孢子</w:t>
      </w:r>
      <w:r>
        <w:rPr>
          <w:rFonts w:hint="eastAsia" w:ascii="仿宋_GB2312" w:eastAsia="仿宋_GB2312" w:cs="仿宋"/>
          <w:bCs/>
          <w:sz w:val="28"/>
          <w:szCs w:val="28"/>
          <w:lang w:eastAsia="zh-CN"/>
        </w:rPr>
        <w:t>悬浊液</w:t>
      </w:r>
      <w:r>
        <w:rPr>
          <w:rFonts w:hint="eastAsia" w:ascii="仿宋_GB2312" w:eastAsia="仿宋_GB2312" w:cs="仿宋"/>
          <w:bCs/>
          <w:sz w:val="28"/>
          <w:szCs w:val="28"/>
        </w:rPr>
        <w:t>均匀接种在育苗盘的基质上，保证孢子在基质中均匀分布，有利于孢子的萌发和生长，提高孢子的利用率和苗木的生长一致性。</w:t>
      </w:r>
    </w:p>
    <w:p w14:paraId="1875BBB3">
      <w:pPr>
        <w:tabs>
          <w:tab w:val="right" w:pos="8398"/>
        </w:tabs>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3）接种后盖上育苗盘盖保湿，期间通过通气孔调节湿度，培育120d～150d；</w:t>
      </w:r>
    </w:p>
    <w:p w14:paraId="77AE9006">
      <w:pPr>
        <w:tabs>
          <w:tab w:val="right" w:pos="8398"/>
        </w:tabs>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通过120d～150d的培养可获得株高大于3cm可用于移栽的桫椤幼苗。相比于组织培养需要株高大于5cm的桫椤幼苗，土播育苗的桫椤一直在土里种植，因此株高大于3cm的桫椤幼苗即可移栽。</w:t>
      </w:r>
    </w:p>
    <w:p w14:paraId="7ED839C0">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4）炼苗7d～10d后移栽至以椰糠为基质的育苗盘中培育60d～90d；</w:t>
      </w:r>
    </w:p>
    <w:p w14:paraId="482C7974">
      <w:pPr>
        <w:spacing w:line="500" w:lineRule="exact"/>
        <w:ind w:firstLine="560" w:firstLineChars="200"/>
        <w:rPr>
          <w:rFonts w:ascii="仿宋_GB2312" w:eastAsia="仿宋_GB2312" w:cs="仿宋"/>
          <w:bCs/>
          <w:color w:val="EE0000"/>
          <w:sz w:val="28"/>
          <w:szCs w:val="28"/>
        </w:rPr>
      </w:pPr>
      <w:r>
        <w:rPr>
          <w:rFonts w:hint="eastAsia" w:ascii="仿宋_GB2312" w:eastAsia="仿宋_GB2312" w:cs="仿宋"/>
          <w:bCs/>
          <w:sz w:val="28"/>
          <w:szCs w:val="28"/>
        </w:rPr>
        <w:t>通过改变</w:t>
      </w:r>
      <w:r>
        <w:rPr>
          <w:rFonts w:ascii="仿宋_GB2312" w:eastAsia="仿宋_GB2312" w:cs="仿宋"/>
          <w:bCs/>
          <w:sz w:val="28"/>
          <w:szCs w:val="28"/>
        </w:rPr>
        <w:t>炼苗</w:t>
      </w:r>
      <w:r>
        <w:rPr>
          <w:rFonts w:hint="eastAsia" w:ascii="仿宋_GB2312" w:eastAsia="仿宋_GB2312" w:cs="仿宋"/>
          <w:bCs/>
          <w:sz w:val="28"/>
          <w:szCs w:val="28"/>
        </w:rPr>
        <w:t>时间和在</w:t>
      </w:r>
      <w:r>
        <w:rPr>
          <w:rFonts w:ascii="仿宋_GB2312" w:eastAsia="仿宋_GB2312" w:cs="仿宋"/>
          <w:bCs/>
          <w:sz w:val="28"/>
          <w:szCs w:val="28"/>
        </w:rPr>
        <w:t>椰糠为基质的育苗盘中</w:t>
      </w:r>
      <w:r>
        <w:rPr>
          <w:rFonts w:hint="eastAsia" w:ascii="仿宋_GB2312" w:eastAsia="仿宋_GB2312" w:cs="仿宋"/>
          <w:bCs/>
          <w:sz w:val="28"/>
          <w:szCs w:val="28"/>
        </w:rPr>
        <w:t>的</w:t>
      </w:r>
      <w:r>
        <w:rPr>
          <w:rFonts w:ascii="仿宋_GB2312" w:eastAsia="仿宋_GB2312" w:cs="仿宋"/>
          <w:bCs/>
          <w:sz w:val="28"/>
          <w:szCs w:val="28"/>
        </w:rPr>
        <w:t>培育</w:t>
      </w:r>
      <w:r>
        <w:rPr>
          <w:rFonts w:hint="eastAsia" w:ascii="仿宋_GB2312" w:eastAsia="仿宋_GB2312" w:cs="仿宋"/>
          <w:bCs/>
          <w:sz w:val="28"/>
          <w:szCs w:val="28"/>
        </w:rPr>
        <w:t>时间，发现桫椤的成活率随着</w:t>
      </w:r>
      <w:r>
        <w:rPr>
          <w:rFonts w:ascii="仿宋_GB2312" w:eastAsia="仿宋_GB2312" w:cs="仿宋"/>
          <w:bCs/>
          <w:sz w:val="28"/>
          <w:szCs w:val="28"/>
        </w:rPr>
        <w:t>炼苗</w:t>
      </w:r>
      <w:r>
        <w:rPr>
          <w:rFonts w:hint="eastAsia" w:ascii="仿宋_GB2312" w:eastAsia="仿宋_GB2312" w:cs="仿宋"/>
          <w:bCs/>
          <w:sz w:val="28"/>
          <w:szCs w:val="28"/>
        </w:rPr>
        <w:t>时间的适当延长而提高，同时基于蕨类植物土播育苗的经验将</w:t>
      </w:r>
      <w:r>
        <w:rPr>
          <w:rFonts w:ascii="仿宋_GB2312" w:eastAsia="仿宋_GB2312" w:cs="仿宋"/>
          <w:bCs/>
          <w:sz w:val="28"/>
          <w:szCs w:val="28"/>
        </w:rPr>
        <w:t>炼苗</w:t>
      </w:r>
      <w:r>
        <w:rPr>
          <w:rFonts w:hint="eastAsia" w:ascii="仿宋_GB2312" w:eastAsia="仿宋_GB2312" w:cs="仿宋"/>
          <w:bCs/>
          <w:sz w:val="28"/>
          <w:szCs w:val="28"/>
        </w:rPr>
        <w:t>时间确定为7d～10d，在</w:t>
      </w:r>
      <w:r>
        <w:rPr>
          <w:rFonts w:ascii="仿宋_GB2312" w:eastAsia="仿宋_GB2312" w:cs="仿宋"/>
          <w:bCs/>
          <w:sz w:val="28"/>
          <w:szCs w:val="28"/>
        </w:rPr>
        <w:t>椰糠为基质的育苗盘中</w:t>
      </w:r>
      <w:r>
        <w:rPr>
          <w:rFonts w:hint="eastAsia" w:ascii="仿宋_GB2312" w:eastAsia="仿宋_GB2312" w:cs="仿宋"/>
          <w:bCs/>
          <w:sz w:val="28"/>
          <w:szCs w:val="28"/>
        </w:rPr>
        <w:t>的</w:t>
      </w:r>
      <w:r>
        <w:rPr>
          <w:rFonts w:ascii="仿宋_GB2312" w:eastAsia="仿宋_GB2312" w:cs="仿宋"/>
          <w:bCs/>
          <w:sz w:val="28"/>
          <w:szCs w:val="28"/>
        </w:rPr>
        <w:t>培育</w:t>
      </w:r>
      <w:r>
        <w:rPr>
          <w:rFonts w:hint="eastAsia" w:ascii="仿宋_GB2312" w:eastAsia="仿宋_GB2312" w:cs="仿宋"/>
          <w:bCs/>
          <w:sz w:val="28"/>
          <w:szCs w:val="28"/>
        </w:rPr>
        <w:t>时间确定为</w:t>
      </w:r>
      <w:r>
        <w:rPr>
          <w:rFonts w:ascii="仿宋_GB2312" w:eastAsia="仿宋_GB2312" w:cs="仿宋"/>
          <w:bCs/>
          <w:sz w:val="28"/>
          <w:szCs w:val="28"/>
        </w:rPr>
        <w:t>60d～90d</w:t>
      </w:r>
      <w:r>
        <w:rPr>
          <w:rFonts w:hint="eastAsia" w:ascii="仿宋_GB2312" w:eastAsia="仿宋_GB2312" w:cs="仿宋"/>
          <w:bCs/>
          <w:sz w:val="28"/>
          <w:szCs w:val="28"/>
        </w:rPr>
        <w:t>。</w:t>
      </w:r>
    </w:p>
    <w:p w14:paraId="6D3C36F9">
      <w:pPr>
        <w:numPr>
          <w:ilvl w:val="0"/>
          <w:numId w:val="0"/>
        </w:numPr>
        <w:spacing w:line="500" w:lineRule="exact"/>
        <w:ind w:firstLine="560" w:firstLineChars="200"/>
        <w:rPr>
          <w:rFonts w:hint="eastAsia" w:ascii="仿宋_GB2312" w:eastAsia="仿宋_GB2312" w:cs="仿宋"/>
          <w:bCs/>
          <w:sz w:val="28"/>
          <w:szCs w:val="28"/>
        </w:rPr>
      </w:pPr>
      <w:r>
        <w:rPr>
          <w:rFonts w:hint="eastAsia" w:ascii="仿宋_GB2312" w:hAnsi="Calibri" w:eastAsia="仿宋_GB2312" w:cs="仿宋"/>
          <w:bCs/>
          <w:kern w:val="2"/>
          <w:sz w:val="28"/>
          <w:szCs w:val="28"/>
          <w:lang w:val="en-US" w:eastAsia="zh-CN" w:bidi="ar-SA"/>
        </w:rPr>
        <w:t>5）</w:t>
      </w:r>
      <w:r>
        <w:rPr>
          <w:rFonts w:hint="eastAsia" w:ascii="仿宋_GB2312" w:eastAsia="仿宋_GB2312" w:cs="仿宋"/>
          <w:bCs/>
          <w:sz w:val="28"/>
          <w:szCs w:val="28"/>
        </w:rPr>
        <w:t>按7.2.3 a）的要求操作。</w:t>
      </w:r>
    </w:p>
    <w:p w14:paraId="7C484C0D">
      <w:pPr>
        <w:numPr>
          <w:ilvl w:val="0"/>
          <w:numId w:val="0"/>
        </w:numPr>
        <w:spacing w:line="240" w:lineRule="auto"/>
        <w:jc w:val="center"/>
      </w:pPr>
      <w:r>
        <w:drawing>
          <wp:inline distT="0" distB="0" distL="0" distR="0">
            <wp:extent cx="5403215" cy="3601085"/>
            <wp:effectExtent l="0" t="0" r="6985" b="18415"/>
            <wp:docPr id="132676758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767585" name="图片 1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403215" cy="3601085"/>
                    </a:xfrm>
                    <a:prstGeom prst="rect">
                      <a:avLst/>
                    </a:prstGeom>
                    <a:noFill/>
                    <a:ln>
                      <a:noFill/>
                    </a:ln>
                  </pic:spPr>
                </pic:pic>
              </a:graphicData>
            </a:graphic>
          </wp:inline>
        </w:drawing>
      </w:r>
    </w:p>
    <w:p w14:paraId="5E3870EF">
      <w:pPr>
        <w:pStyle w:val="29"/>
        <w:rPr>
          <w:rFonts w:hint="eastAsia"/>
          <w:lang w:eastAsia="zh-CN"/>
        </w:rPr>
      </w:pPr>
      <w:r>
        <w:rPr>
          <w:rFonts w:hint="eastAsia"/>
          <w:lang w:eastAsia="zh-CN"/>
        </w:rPr>
        <w:t>桫椤孢子土播育苗</w:t>
      </w:r>
    </w:p>
    <w:p w14:paraId="657B9D11">
      <w:pPr>
        <w:jc w:val="center"/>
      </w:pPr>
      <w:r>
        <w:drawing>
          <wp:inline distT="0" distB="0" distL="0" distR="0">
            <wp:extent cx="5403850" cy="3602355"/>
            <wp:effectExtent l="0" t="0" r="6350" b="17145"/>
            <wp:docPr id="125985424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854241" name="图片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403850" cy="3602355"/>
                    </a:xfrm>
                    <a:prstGeom prst="rect">
                      <a:avLst/>
                    </a:prstGeom>
                    <a:noFill/>
                    <a:ln>
                      <a:noFill/>
                    </a:ln>
                  </pic:spPr>
                </pic:pic>
              </a:graphicData>
            </a:graphic>
          </wp:inline>
        </w:drawing>
      </w:r>
    </w:p>
    <w:p w14:paraId="57EEB96A">
      <w:pPr>
        <w:pStyle w:val="29"/>
        <w:rPr>
          <w:rFonts w:hint="eastAsia"/>
          <w:lang w:eastAsia="zh-CN"/>
        </w:rPr>
      </w:pPr>
      <w:r>
        <w:rPr>
          <w:rFonts w:hint="eastAsia"/>
          <w:lang w:eastAsia="zh-CN"/>
        </w:rPr>
        <w:t>桫椤幼苗移栽及培养</w:t>
      </w:r>
    </w:p>
    <w:p w14:paraId="3A15D483">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3、整地</w:t>
      </w:r>
    </w:p>
    <w:p w14:paraId="72866859">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清理枯枝、落叶及杂草等杂物，能够有效去除潜在的病原菌和害虫滋生场所，降低病虫害发生几率，为桫椤创造一个相对干净、健康的生长环境。按垄宽1.0m～1.2m、步道宽40cm～50cm、垄高20cm～30cm的规格整地、起垄，这样的整地、起垄方式可以改善土壤的通气性和排水条件，避免因土壤积水导致根系缺氧腐烂，同时垄高和垄宽的合理搭配有利于植株根系的舒展和生长，便于根系吸收土壤中的养分和水分。</w:t>
      </w:r>
    </w:p>
    <w:p w14:paraId="295E1878">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4、整体植株移栽</w:t>
      </w:r>
    </w:p>
    <w:p w14:paraId="24654267">
      <w:pPr>
        <w:spacing w:line="500" w:lineRule="exact"/>
        <w:ind w:firstLine="562" w:firstLineChars="200"/>
        <w:rPr>
          <w:rFonts w:hint="eastAsia" w:ascii="仿宋_GB2312" w:eastAsia="仿宋_GB2312" w:cs="仿宋"/>
          <w:b/>
          <w:sz w:val="28"/>
          <w:szCs w:val="28"/>
          <w:highlight w:val="none"/>
          <w:lang w:eastAsia="zh-CN"/>
        </w:rPr>
      </w:pPr>
      <w:r>
        <w:rPr>
          <w:rFonts w:hint="eastAsia" w:ascii="仿宋_GB2312" w:eastAsia="仿宋_GB2312" w:cs="仿宋"/>
          <w:b/>
          <w:sz w:val="28"/>
          <w:szCs w:val="28"/>
          <w:highlight w:val="none"/>
          <w:lang w:eastAsia="zh-CN"/>
        </w:rPr>
        <w:t>迁地移栽前处理</w:t>
      </w:r>
      <w:bookmarkStart w:id="5" w:name="_GoBack"/>
      <w:bookmarkEnd w:id="5"/>
    </w:p>
    <w:p w14:paraId="72FBE4E4">
      <w:pPr>
        <w:spacing w:line="500" w:lineRule="exact"/>
        <w:ind w:firstLine="560" w:firstLineChars="200"/>
        <w:rPr>
          <w:rFonts w:hint="eastAsia" w:ascii="仿宋_GB2312" w:eastAsia="仿宋_GB2312" w:cs="仿宋"/>
          <w:b w:val="0"/>
          <w:bCs/>
          <w:sz w:val="28"/>
          <w:szCs w:val="28"/>
          <w:highlight w:val="none"/>
          <w:lang w:eastAsia="zh-CN"/>
        </w:rPr>
      </w:pPr>
      <w:r>
        <w:rPr>
          <w:rFonts w:hint="eastAsia" w:ascii="仿宋_GB2312" w:eastAsia="仿宋_GB2312" w:cs="仿宋"/>
          <w:b w:val="0"/>
          <w:bCs/>
          <w:sz w:val="28"/>
          <w:szCs w:val="28"/>
          <w:highlight w:val="none"/>
          <w:lang w:eastAsia="zh-CN"/>
        </w:rPr>
        <w:t>移栽前1d浇足水，剪除10cm以上的羽状主叶，减少蒸腾作用，保留2～3个主嫩叶，维持基础的光合作用和生理活性。</w:t>
      </w:r>
    </w:p>
    <w:p w14:paraId="43016E81">
      <w:pPr>
        <w:jc w:val="center"/>
        <w:rPr>
          <w:rFonts w:hint="eastAsia"/>
        </w:rPr>
      </w:pPr>
      <w:r>
        <w:drawing>
          <wp:inline distT="0" distB="0" distL="0" distR="0">
            <wp:extent cx="4733290" cy="3550285"/>
            <wp:effectExtent l="0" t="0" r="10160" b="12065"/>
            <wp:docPr id="208128034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280349" name="图片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4733290" cy="3550285"/>
                    </a:xfrm>
                    <a:prstGeom prst="rect">
                      <a:avLst/>
                    </a:prstGeom>
                    <a:noFill/>
                    <a:ln>
                      <a:noFill/>
                    </a:ln>
                  </pic:spPr>
                </pic:pic>
              </a:graphicData>
            </a:graphic>
          </wp:inline>
        </w:drawing>
      </w:r>
    </w:p>
    <w:p w14:paraId="3959875B">
      <w:pPr>
        <w:pStyle w:val="29"/>
        <w:rPr>
          <w:rFonts w:hint="eastAsia"/>
        </w:rPr>
      </w:pPr>
      <w:r>
        <w:rPr>
          <w:rFonts w:hint="eastAsia"/>
        </w:rPr>
        <w:t>移栽前处理</w:t>
      </w:r>
    </w:p>
    <w:p w14:paraId="19DD6A12">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苗木运输与检疫</w:t>
      </w:r>
    </w:p>
    <w:p w14:paraId="5E3AEA09">
      <w:pPr>
        <w:spacing w:line="500" w:lineRule="exact"/>
        <w:ind w:firstLine="560" w:firstLineChars="200"/>
        <w:rPr>
          <w:rFonts w:ascii="仿宋_GB2312" w:eastAsia="仿宋_GB2312"/>
          <w:sz w:val="28"/>
          <w:szCs w:val="28"/>
        </w:rPr>
      </w:pPr>
      <w:r>
        <w:rPr>
          <w:rFonts w:hint="eastAsia" w:ascii="仿宋_GB2312" w:eastAsia="仿宋_GB2312" w:cs="仿宋"/>
          <w:bCs/>
          <w:sz w:val="28"/>
          <w:szCs w:val="28"/>
        </w:rPr>
        <w:t>主要参考《GB 15569  农业植物调运检疫规程》并根据广西壮族自治区林业科学研究院等起草单位的实际而确定。</w:t>
      </w:r>
    </w:p>
    <w:p w14:paraId="15314FA3">
      <w:pPr>
        <w:pStyle w:val="29"/>
        <w:spacing w:line="240" w:lineRule="auto"/>
        <w:rPr>
          <w:rFonts w:hint="eastAsia" w:ascii="仿宋_GB2312" w:eastAsia="仿宋_GB2312" w:cs="仿宋"/>
          <w:color w:val="FF0000"/>
          <w:sz w:val="28"/>
          <w:szCs w:val="28"/>
        </w:rPr>
      </w:pPr>
      <w:r>
        <w:drawing>
          <wp:inline distT="0" distB="0" distL="114300" distR="114300">
            <wp:extent cx="3280410" cy="3689985"/>
            <wp:effectExtent l="12700" t="12700" r="21590" b="31115"/>
            <wp:docPr id="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6"/>
                    <pic:cNvPicPr>
                      <a:picLocks noChangeAspect="1"/>
                    </pic:cNvPicPr>
                  </pic:nvPicPr>
                  <pic:blipFill>
                    <a:blip r:embed="rId13"/>
                    <a:stretch>
                      <a:fillRect/>
                    </a:stretch>
                  </pic:blipFill>
                  <pic:spPr>
                    <a:xfrm>
                      <a:off x="0" y="0"/>
                      <a:ext cx="3280410" cy="3689985"/>
                    </a:xfrm>
                    <a:prstGeom prst="rect">
                      <a:avLst/>
                    </a:prstGeom>
                    <a:noFill/>
                    <a:ln w="12700" cmpd="sng">
                      <a:solidFill>
                        <a:schemeClr val="tx1"/>
                      </a:solidFill>
                      <a:prstDash val="solid"/>
                    </a:ln>
                  </pic:spPr>
                </pic:pic>
              </a:graphicData>
            </a:graphic>
          </wp:inline>
        </w:drawing>
      </w:r>
    </w:p>
    <w:p w14:paraId="1FC8D711">
      <w:pPr>
        <w:pStyle w:val="29"/>
        <w:rPr>
          <w:rFonts w:hint="eastAsia"/>
        </w:rPr>
      </w:pPr>
      <w:r>
        <w:rPr>
          <w:rFonts w:hint="eastAsia"/>
        </w:rPr>
        <w:t>来源：GB 15569  农业植物调运检疫规程</w:t>
      </w:r>
    </w:p>
    <w:p w14:paraId="610B65FF">
      <w:pPr>
        <w:jc w:val="center"/>
      </w:pPr>
      <w:r>
        <w:drawing>
          <wp:inline distT="0" distB="0" distL="0" distR="0">
            <wp:extent cx="2699385" cy="3599815"/>
            <wp:effectExtent l="0" t="0" r="5715" b="635"/>
            <wp:docPr id="45428318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283185" name="图片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2699385" cy="3599815"/>
                    </a:xfrm>
                    <a:prstGeom prst="rect">
                      <a:avLst/>
                    </a:prstGeom>
                    <a:noFill/>
                    <a:ln>
                      <a:noFill/>
                    </a:ln>
                  </pic:spPr>
                </pic:pic>
              </a:graphicData>
            </a:graphic>
          </wp:inline>
        </w:drawing>
      </w:r>
      <w:r>
        <w:rPr>
          <w:rFonts w:hint="eastAsia"/>
          <w:lang w:val="en-US" w:eastAsia="zh-CN"/>
        </w:rPr>
        <w:t xml:space="preserve">     </w:t>
      </w:r>
      <w:r>
        <w:drawing>
          <wp:inline distT="0" distB="0" distL="0" distR="0">
            <wp:extent cx="1900555" cy="3599815"/>
            <wp:effectExtent l="0" t="0" r="4445" b="635"/>
            <wp:docPr id="78442835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428354" name="图片 4"/>
                    <pic:cNvPicPr>
                      <a:picLocks noChangeAspect="1" noChangeArrowheads="1"/>
                    </pic:cNvPicPr>
                  </pic:nvPicPr>
                  <pic:blipFill>
                    <a:blip r:embed="rId15" cstate="print">
                      <a:extLst>
                        <a:ext uri="{28A0092B-C50C-407E-A947-70E740481C1C}">
                          <a14:useLocalDpi xmlns:a14="http://schemas.microsoft.com/office/drawing/2010/main" val="0"/>
                        </a:ext>
                      </a:extLst>
                    </a:blip>
                    <a:srcRect l="2" r="-6" b="14917"/>
                    <a:stretch>
                      <a:fillRect/>
                    </a:stretch>
                  </pic:blipFill>
                  <pic:spPr>
                    <a:xfrm>
                      <a:off x="0" y="0"/>
                      <a:ext cx="1900555" cy="3599815"/>
                    </a:xfrm>
                    <a:prstGeom prst="rect">
                      <a:avLst/>
                    </a:prstGeom>
                    <a:noFill/>
                    <a:ln>
                      <a:noFill/>
                    </a:ln>
                  </pic:spPr>
                </pic:pic>
              </a:graphicData>
            </a:graphic>
          </wp:inline>
        </w:drawing>
      </w:r>
    </w:p>
    <w:p w14:paraId="79C3FA39">
      <w:pPr>
        <w:pStyle w:val="29"/>
        <w:rPr>
          <w:rFonts w:hint="eastAsia" w:eastAsia="黑体"/>
          <w:lang w:eastAsia="zh-CN"/>
        </w:rPr>
      </w:pPr>
      <w:r>
        <w:rPr>
          <w:rFonts w:hint="eastAsia"/>
        </w:rPr>
        <w:t>起苗</w:t>
      </w:r>
      <w:r>
        <w:rPr>
          <w:rFonts w:hint="eastAsia"/>
          <w:lang w:eastAsia="zh-CN"/>
        </w:rPr>
        <w:t>和苗木运输前处理</w:t>
      </w:r>
    </w:p>
    <w:p w14:paraId="76EF5926">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苗木断根</w:t>
      </w:r>
    </w:p>
    <w:p w14:paraId="573C0CED">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选择整体植株保存的桫椤，需要在移栽之前半年至一年进行一系列的处理，主要是为了让桫椤有足够的时间适应根系的变化并萌发新根。提前在以树干为中心、地径的3～4倍为半径的圆外挖沟，沟宽30cm～40cm、深40cm～60cm，能切断大部分侧根，又不会对根造成严重损害，可以有效控制树木的根系分布，限制根系的过度扩展，使树木在移栽后能够更好地适应新环境，减少因根系过长而造成的移栽困难。切断沟内的侧根后，树木会萌发大量新根，这些新根更有利于提高树木的成活率和适应能力。在沟槽内回填土并踩实，然后淋足水，这一操作有助于土壤与根系的紧密结合，为新根的生长提供良好的环境条件。促进根系的快速恢复和生长，从而提高桫椤的成活率。</w:t>
      </w:r>
    </w:p>
    <w:p w14:paraId="35C8BF55">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定植穴准备</w:t>
      </w:r>
    </w:p>
    <w:p w14:paraId="7160F48C">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1）提前1d～2d挖好定植穴并施入适量腐熟农家肥，能为植物根系提供一个良好且肥沃的生长环境基础，促进其后续生长。将穴的直径和深度都比土球长及深出40cm～50cm厘米，可确保植物根系在穴内有足够的空间向四周舒展，利于根系的生长发育和对养分、水分的吸收。</w:t>
      </w:r>
    </w:p>
    <w:p w14:paraId="2F928271">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2）使用0.5％高锰酸钾溶液对定植穴进行喷洒消毒，可以有效杀灭土壤中的病原菌、害虫和杂草种子，减少病虫害的发生，为桫椤提供相对清洁的生长环境，降低移栽后病害感染的风险。铺设粒径5cm～10cm的碎石的目的是增强土壤的透水性。碎石之间的空隙较大，能够快速排出多余的水分，防止根系因积水而缺氧，避免根系腐烂。同时，碎石层还可以起到一定的支撑作用，防止土壤过度压缩，保持土壤结构的稳定性。碎石层之上再铺一层粒径3cm～5cm的粗砂，是因为粗砂的颗粒相对较小，但仍然具有良好的透水性，能够使水分均匀地渗透到土壤中，同时为根系提供一个较为疏松的环境，有利于根系的生长和呼吸。在粗砂层上回填20cm～30cm厚的土壤，并将底土刮平，是为了使土壤与透水垫层紧密结合，形成一个均匀的种植基质。回填的土壤厚度适中，既能保证根系有足够的空间生长，又不会因土壤过厚而影响透水效果。刮平底土则有助于桫椤在定植时保持稳定，避免因土壤不平整导致桫椤倾斜或不稳定。</w:t>
      </w:r>
    </w:p>
    <w:p w14:paraId="22A2EBF7">
      <w:pPr>
        <w:spacing w:line="500" w:lineRule="exact"/>
        <w:ind w:firstLine="562" w:firstLineChars="200"/>
        <w:rPr>
          <w:rFonts w:ascii="仿宋_GB2312" w:eastAsia="仿宋_GB2312" w:cs="仿宋"/>
          <w:bCs/>
          <w:sz w:val="28"/>
          <w:szCs w:val="28"/>
        </w:rPr>
      </w:pPr>
      <w:r>
        <w:rPr>
          <w:rFonts w:hint="eastAsia" w:ascii="仿宋_GB2312" w:eastAsia="仿宋_GB2312" w:cs="仿宋"/>
          <w:b/>
          <w:sz w:val="28"/>
          <w:szCs w:val="28"/>
        </w:rPr>
        <w:t>定植时间</w:t>
      </w:r>
    </w:p>
    <w:p w14:paraId="5F431E12">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基于桫椤自身的生长特性的考虑将定植时间确定为：宜于当年11月至翌年3月进行。</w:t>
      </w:r>
    </w:p>
    <w:p w14:paraId="2CE59359">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定植方法</w:t>
      </w:r>
    </w:p>
    <w:p w14:paraId="7E528C01">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1）土壤中常常存在大量的病原微生物，这些微生物可能会通过根系侵染植物，导致病害的发生。断根后的桫椤通常比较脆弱，为预防桫椤病害，需要将0.5％高锰酸钾溶液对土球进行喷洒消毒，并且高锰酸钾溶液的氧化作用可以改善土壤的通气性和结构，有利于植物根系的生长。</w:t>
      </w:r>
    </w:p>
    <w:p w14:paraId="3FD1F7ED">
      <w:pPr>
        <w:spacing w:line="500" w:lineRule="exact"/>
        <w:ind w:firstLine="560" w:firstLineChars="200"/>
        <w:rPr>
          <w:rFonts w:ascii="仿宋_GB2312" w:eastAsia="仿宋_GB2312" w:cs="仿宋"/>
          <w:bCs/>
          <w:color w:val="EE0000"/>
          <w:sz w:val="28"/>
          <w:szCs w:val="28"/>
        </w:rPr>
      </w:pPr>
      <w:r>
        <w:rPr>
          <w:rFonts w:hint="eastAsia" w:ascii="仿宋_GB2312" w:eastAsia="仿宋_GB2312" w:cs="仿宋"/>
          <w:bCs/>
          <w:sz w:val="28"/>
          <w:szCs w:val="28"/>
        </w:rPr>
        <w:t>按原生长的朝向放置的原因：保证桫椤与环境的长期适应性平衡，提高移栽成活率。</w:t>
      </w:r>
    </w:p>
    <w:p w14:paraId="752118C9">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解开束绳、扶正后回土，定植深度为土球表面高于穴顶面10cm～15cm，这样既保证了根系在土中的稳定性，又避免因埋土过深导致根部缺氧或积水，同时也有利于树木在风中的稳定站立。</w:t>
      </w:r>
    </w:p>
    <w:p w14:paraId="11C0C11F">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2）回土至土球高度1/4～1/3时，剪除土球包扎绳后以1:10的比例兑水后的生根粉喷施土球，回填土冲捣至穴顶后，在树穴边做环状围堰，埯埂高10cm～20cm。</w:t>
      </w:r>
    </w:p>
    <w:p w14:paraId="2ABD7D88">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在定植过程中，喷施生根粉可以刺激树木的根系快速生长，增强根系的吸收能力，从而提高树木的成活率。喷施生根粉后，根系能够更快地适应新的土壤环境，减少因移栽造成的生长停滞或衰退。围堰可以起到蓄水的作用，便于后续浇水时水分能够集中渗透到根系周围，确保根系充分吸收水分。</w:t>
      </w:r>
    </w:p>
    <w:p w14:paraId="428597E2">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3）定植时，每株树根周围以45°埋设2根直径110mm的PVC观察管，观察管上端宜露出地面10cm。定植后淋足定根水。</w:t>
      </w:r>
    </w:p>
    <w:p w14:paraId="1A208BE6">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施肥</w:t>
      </w:r>
    </w:p>
    <w:p w14:paraId="6DA3C560">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每年除去冬季外，每隔2个月施1次复合肥（15-15-15），每株每次施0.1kg～0.5kg。施肥时把表土挖去一层，施入复合肥后回土填平，淋透水。</w:t>
      </w:r>
    </w:p>
    <w:p w14:paraId="3ED7F760">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桫椤生长迅速，并且植株高大，在生长过程中对养分的需求较大，因此除去冬季外，每隔2个月施1次复合肥以补充养分以维持生长势，并且施肥量较大（每株每次施0.1kg～0.5kg）。施肥时将腐叶土挖开再回填，既能避免肥料直接接触根系导致烧根，又能通过淋透水促进肥料渗透至根系层，提高吸收效率。</w:t>
      </w:r>
    </w:p>
    <w:p w14:paraId="7E39EF52">
      <w:pPr>
        <w:spacing w:line="500" w:lineRule="exact"/>
        <w:ind w:firstLine="562"/>
        <w:rPr>
          <w:rFonts w:ascii="仿宋_GB2312" w:eastAsia="仿宋_GB2312" w:cs="仿宋"/>
          <w:bCs/>
          <w:sz w:val="28"/>
          <w:szCs w:val="28"/>
        </w:rPr>
      </w:pPr>
      <w:r>
        <w:rPr>
          <w:rFonts w:hint="eastAsia" w:ascii="仿宋_GB2312" w:eastAsia="仿宋_GB2312" w:cs="仿宋"/>
          <w:b/>
          <w:sz w:val="28"/>
          <w:szCs w:val="28"/>
        </w:rPr>
        <w:t>（</w:t>
      </w:r>
      <w:r>
        <w:rPr>
          <w:rFonts w:hint="eastAsia" w:ascii="仿宋_GB2312" w:eastAsia="仿宋_GB2312" w:cs="仿宋"/>
          <w:b/>
          <w:sz w:val="28"/>
          <w:szCs w:val="28"/>
          <w:lang w:eastAsia="zh-CN"/>
        </w:rPr>
        <w:t>六</w:t>
      </w:r>
      <w:r>
        <w:rPr>
          <w:rFonts w:hint="eastAsia" w:ascii="仿宋_GB2312" w:eastAsia="仿宋_GB2312" w:cs="仿宋"/>
          <w:b/>
          <w:sz w:val="28"/>
          <w:szCs w:val="28"/>
        </w:rPr>
        <w:t>）管护</w:t>
      </w:r>
    </w:p>
    <w:p w14:paraId="0F9F07A4">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1、遮阴</w:t>
      </w:r>
    </w:p>
    <w:p w14:paraId="62F4D2F4">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为确定管护时的最优透光率，采用多种透光率</w:t>
      </w:r>
      <w:r>
        <w:rPr>
          <w:rFonts w:hint="eastAsia" w:ascii="仿宋_GB2312" w:eastAsia="仿宋_GB2312" w:cs="仿宋"/>
          <w:bCs/>
          <w:sz w:val="28"/>
          <w:szCs w:val="28"/>
          <w:lang w:eastAsia="zh-CN"/>
        </w:rPr>
        <w:t>进行试验</w:t>
      </w:r>
      <w:r>
        <w:rPr>
          <w:rFonts w:hint="eastAsia" w:ascii="仿宋_GB2312" w:eastAsia="仿宋_GB2312" w:cs="仿宋"/>
          <w:bCs/>
          <w:sz w:val="28"/>
          <w:szCs w:val="28"/>
        </w:rPr>
        <w:t>，发现桫椤在5％～10％透光率下生长较优，将透光率建议为5％～10％。</w:t>
      </w:r>
    </w:p>
    <w:p w14:paraId="654DB334">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2、淋水</w:t>
      </w:r>
    </w:p>
    <w:p w14:paraId="70E0C68D">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1）移栽第1周内，移栽后的树木根系受损，吸水能力较弱，需要频繁补充水分以保持土壤湿润，帮助根系恢复，因此每天淋水1次；第2～3周根系开始逐渐恢复，吸水能力有所增强，适当减少浇水频率可以避免土壤过湿导致根系缺氧，因此隔天淋水1次；第4～6周桫椤根系进一步恢复，进一步减少浇水频率，让桫椤逐渐适应新环境，因此每隔3d～5d淋水1次。根据雨量酌情少淋水，是为了避免因自然降水导致土壤积水，影响根系呼吸。早晨或傍晚气温较低，能减少水分蒸发，提高淋水效果。</w:t>
      </w:r>
    </w:p>
    <w:p w14:paraId="7A2E084E">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2）桫椤对空气湿度要求较高，每天早晚各喷淋2次，满足桫椤对空气湿度的需求，减少叶片水分蒸发。为防止桫椤在连续高温天气失水，提供额外的水分，在连续高温天气（≥36℃）时，每天中午补喷淋1次。</w:t>
      </w:r>
    </w:p>
    <w:p w14:paraId="5301868E">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3）高大植株的水分运输距离较长，顶端和基部的水分需求较大，需要额外补充水分，确保整个植株的水分供应均衡，防止因水分不足导致生长不良或叶片枯萎，因此高于3m的植株，单独在基部和顶端1m处每天各喷淋1次。</w:t>
      </w:r>
    </w:p>
    <w:p w14:paraId="16C3F8E9">
      <w:pPr>
        <w:spacing w:line="500" w:lineRule="exact"/>
        <w:ind w:firstLine="562" w:firstLineChars="200"/>
        <w:rPr>
          <w:rFonts w:hint="eastAsia" w:ascii="仿宋_GB2312" w:eastAsia="仿宋_GB2312" w:cs="仿宋"/>
          <w:b/>
          <w:sz w:val="28"/>
          <w:szCs w:val="28"/>
        </w:rPr>
      </w:pPr>
    </w:p>
    <w:p w14:paraId="7C93D6EA">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3、修剪</w:t>
      </w:r>
    </w:p>
    <w:p w14:paraId="4EA8CD56">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桫椤通过修剪老叶（剪除10～12片主叶以下的老叶）促进新叶萌发。</w:t>
      </w:r>
    </w:p>
    <w:p w14:paraId="3CDA3FAC">
      <w:pPr>
        <w:spacing w:line="500" w:lineRule="exact"/>
        <w:ind w:firstLine="562" w:firstLineChars="200"/>
        <w:rPr>
          <w:rFonts w:ascii="仿宋_GB2312" w:eastAsia="仿宋_GB2312" w:cs="仿宋"/>
          <w:b/>
          <w:sz w:val="28"/>
          <w:szCs w:val="28"/>
        </w:rPr>
      </w:pPr>
      <w:r>
        <w:rPr>
          <w:rFonts w:hint="eastAsia" w:ascii="仿宋_GB2312" w:eastAsia="仿宋_GB2312" w:cs="仿宋"/>
          <w:b/>
          <w:sz w:val="28"/>
          <w:szCs w:val="28"/>
        </w:rPr>
        <w:t>4、中耕除草</w:t>
      </w:r>
    </w:p>
    <w:p w14:paraId="1BC984C0">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根据不同季节杂草的生长特性和土壤状况，合理安排除草和中耕的频率，以有效控制杂草生长，减少杂草与桫椤对养分、水分和光照的竞争，同时改善土壤的通气性和保水性，促进桫椤的健康生长。</w:t>
      </w:r>
    </w:p>
    <w:p w14:paraId="1CF6765F">
      <w:pPr>
        <w:spacing w:line="500" w:lineRule="exact"/>
        <w:ind w:firstLine="560" w:firstLineChars="200"/>
        <w:rPr>
          <w:rFonts w:hint="eastAsia" w:ascii="仿宋_GB2312" w:eastAsia="仿宋_GB2312" w:cs="仿宋"/>
          <w:bCs/>
          <w:sz w:val="28"/>
          <w:szCs w:val="28"/>
        </w:rPr>
      </w:pPr>
      <w:r>
        <w:rPr>
          <w:rFonts w:hint="eastAsia" w:ascii="仿宋_GB2312" w:eastAsia="仿宋_GB2312" w:cs="仿宋"/>
          <w:bCs/>
          <w:sz w:val="28"/>
          <w:szCs w:val="28"/>
        </w:rPr>
        <w:t>初春杂草生长较快，需要较频繁地进行除草和中耕，以确保桫椤在生长初期不受杂草影响，因此每20d～30d进行中耕除草1次。春夏季杂草生长旺盛但相对稳定，适当延长除草周期可以减少劳动强度，同时避免过度干扰土壤结构，因此每45d～60d进行中耕除草1次。冬季杂草生长缓慢，只需进行一次除草即可，主要是为了清除越冬杂草，防止其在春季迅速繁殖。</w:t>
      </w:r>
    </w:p>
    <w:p w14:paraId="25EC5A1B">
      <w:pPr>
        <w:jc w:val="center"/>
      </w:pPr>
      <w:r>
        <w:drawing>
          <wp:inline distT="0" distB="0" distL="0" distR="0">
            <wp:extent cx="4504690" cy="3881755"/>
            <wp:effectExtent l="0" t="0" r="4445" b="10160"/>
            <wp:docPr id="165657808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578080" name="图片 8"/>
                    <pic:cNvPicPr>
                      <a:picLocks noChangeAspect="1" noChangeArrowheads="1"/>
                    </pic:cNvPicPr>
                  </pic:nvPicPr>
                  <pic:blipFill>
                    <a:blip r:embed="rId16" cstate="print">
                      <a:extLst>
                        <a:ext uri="{28A0092B-C50C-407E-A947-70E740481C1C}">
                          <a14:useLocalDpi xmlns:a14="http://schemas.microsoft.com/office/drawing/2010/main" val="0"/>
                        </a:ext>
                      </a:extLst>
                    </a:blip>
                    <a:srcRect l="13075" r="9547"/>
                    <a:stretch>
                      <a:fillRect/>
                    </a:stretch>
                  </pic:blipFill>
                  <pic:spPr>
                    <a:xfrm rot="16200000">
                      <a:off x="0" y="0"/>
                      <a:ext cx="4504690" cy="3881755"/>
                    </a:xfrm>
                    <a:prstGeom prst="rect">
                      <a:avLst/>
                    </a:prstGeom>
                    <a:noFill/>
                    <a:ln>
                      <a:noFill/>
                    </a:ln>
                  </pic:spPr>
                </pic:pic>
              </a:graphicData>
            </a:graphic>
          </wp:inline>
        </w:drawing>
      </w:r>
    </w:p>
    <w:p w14:paraId="2F3CC736">
      <w:pPr>
        <w:pStyle w:val="29"/>
        <w:rPr>
          <w:rFonts w:hint="eastAsia"/>
          <w:lang w:eastAsia="zh-CN"/>
        </w:rPr>
      </w:pPr>
      <w:r>
        <w:rPr>
          <w:rFonts w:hint="eastAsia"/>
          <w:lang w:eastAsia="zh-CN"/>
        </w:rPr>
        <w:t>桫椤移栽后培养</w:t>
      </w:r>
    </w:p>
    <w:p w14:paraId="3627CBF7">
      <w:pPr>
        <w:spacing w:line="500" w:lineRule="exact"/>
        <w:ind w:firstLine="562"/>
        <w:rPr>
          <w:rFonts w:ascii="仿宋_GB2312" w:eastAsia="仿宋_GB2312" w:cs="仿宋"/>
          <w:b/>
          <w:sz w:val="28"/>
          <w:szCs w:val="28"/>
        </w:rPr>
      </w:pPr>
      <w:r>
        <w:rPr>
          <w:rFonts w:hint="eastAsia" w:ascii="仿宋_GB2312" w:eastAsia="仿宋_GB2312" w:cs="仿宋"/>
          <w:b/>
          <w:sz w:val="28"/>
          <w:szCs w:val="28"/>
        </w:rPr>
        <w:t>（</w:t>
      </w:r>
      <w:r>
        <w:rPr>
          <w:rFonts w:hint="eastAsia" w:ascii="仿宋_GB2312" w:eastAsia="仿宋_GB2312" w:cs="仿宋"/>
          <w:b/>
          <w:sz w:val="28"/>
          <w:szCs w:val="28"/>
          <w:lang w:eastAsia="zh-CN"/>
        </w:rPr>
        <w:t>七</w:t>
      </w:r>
      <w:r>
        <w:rPr>
          <w:rFonts w:hint="eastAsia" w:ascii="仿宋_GB2312" w:eastAsia="仿宋_GB2312" w:cs="仿宋"/>
          <w:b/>
          <w:sz w:val="28"/>
          <w:szCs w:val="28"/>
        </w:rPr>
        <w:t>）检测</w:t>
      </w:r>
    </w:p>
    <w:p w14:paraId="2FC89813">
      <w:pPr>
        <w:spacing w:line="500" w:lineRule="exact"/>
        <w:ind w:firstLine="560" w:firstLineChars="200"/>
        <w:rPr>
          <w:rFonts w:ascii="仿宋_GB2312" w:eastAsia="仿宋_GB2312" w:cs="仿宋"/>
          <w:bCs/>
          <w:sz w:val="28"/>
          <w:szCs w:val="28"/>
        </w:rPr>
      </w:pPr>
      <w:r>
        <w:rPr>
          <w:rFonts w:hint="eastAsia" w:ascii="仿宋_GB2312" w:eastAsia="仿宋_GB2312" w:cs="仿宋"/>
          <w:bCs/>
          <w:sz w:val="28"/>
          <w:szCs w:val="28"/>
        </w:rPr>
        <w:t>对迁地保护植物的全部植株挂牌编号，定期（一年一次）观测植株的生长状况及小气候和土壤等环境因子变化，并填写桫椤迁地保护生长监测表（附录A）和桫椤迁入地环境因子变化监测表（附录B）。</w:t>
      </w:r>
    </w:p>
    <w:p w14:paraId="3D7EE679">
      <w:pPr>
        <w:pStyle w:val="29"/>
        <w:rPr>
          <w:rFonts w:hint="eastAsia"/>
        </w:rPr>
      </w:pPr>
      <w:r>
        <w:rPr>
          <w:rFonts w:hint="eastAsia"/>
        </w:rPr>
        <w:t>桫椤迁地保护生长监测表</w:t>
      </w:r>
    </w:p>
    <w:tbl>
      <w:tblPr>
        <w:tblStyle w:val="14"/>
        <w:tblW w:w="8978"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991"/>
        <w:gridCol w:w="992"/>
        <w:gridCol w:w="1006"/>
        <w:gridCol w:w="1011"/>
        <w:gridCol w:w="1006"/>
        <w:gridCol w:w="992"/>
        <w:gridCol w:w="992"/>
        <w:gridCol w:w="994"/>
        <w:gridCol w:w="994"/>
      </w:tblGrid>
      <w:tr w14:paraId="1BF2A1D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991" w:type="dxa"/>
            <w:tcBorders>
              <w:top w:val="single" w:color="auto" w:sz="8" w:space="0"/>
              <w:left w:val="single" w:color="auto" w:sz="8" w:space="0"/>
              <w:bottom w:val="single" w:color="auto" w:sz="8" w:space="0"/>
              <w:right w:val="single" w:color="auto" w:sz="4" w:space="0"/>
            </w:tcBorders>
            <w:shd w:val="clear" w:color="auto" w:fill="auto"/>
            <w:vAlign w:val="center"/>
          </w:tcPr>
          <w:p w14:paraId="485C7411">
            <w:pPr>
              <w:keepNext w:val="0"/>
              <w:keepLines w:val="0"/>
              <w:pageBreakBefore w:val="0"/>
              <w:suppressLineNumbers w:val="0"/>
              <w:kinsoku/>
              <w:wordWrap/>
              <w:overflowPunct/>
              <w:topLinePunct w:val="0"/>
              <w:bidi w:val="0"/>
              <w:adjustRightInd w:val="0"/>
              <w:snapToGrid/>
              <w:spacing w:before="0" w:beforeAutospacing="0" w:after="0" w:afterAutospacing="0"/>
              <w:ind w:left="0" w:right="0" w:firstLine="0"/>
              <w:jc w:val="center"/>
              <w:textAlignment w:val="auto"/>
              <w:rPr>
                <w:rFonts w:hint="eastAsia" w:ascii="宋体" w:hAnsi="宋体" w:cs="宋体"/>
                <w:sz w:val="18"/>
                <w:szCs w:val="18"/>
              </w:rPr>
            </w:pPr>
            <w:r>
              <w:rPr>
                <w:rFonts w:hint="eastAsia" w:ascii="宋体" w:hAnsi="宋体" w:cs="宋体"/>
                <w:sz w:val="18"/>
                <w:szCs w:val="18"/>
                <w:lang w:bidi="ar"/>
              </w:rPr>
              <w:t>记录</w:t>
            </w:r>
          </w:p>
          <w:p w14:paraId="1DDD8E4A">
            <w:pPr>
              <w:keepNext w:val="0"/>
              <w:keepLines w:val="0"/>
              <w:pageBreakBefore w:val="0"/>
              <w:suppressLineNumbers w:val="0"/>
              <w:kinsoku/>
              <w:wordWrap/>
              <w:overflowPunct/>
              <w:topLinePunct w:val="0"/>
              <w:bidi w:val="0"/>
              <w:adjustRightInd w:val="0"/>
              <w:snapToGrid/>
              <w:spacing w:before="0" w:beforeAutospacing="0" w:after="0" w:afterAutospacing="0"/>
              <w:ind w:left="0" w:right="0" w:firstLine="0"/>
              <w:jc w:val="center"/>
              <w:textAlignment w:val="auto"/>
              <w:rPr>
                <w:rFonts w:hint="eastAsia" w:ascii="宋体" w:hAnsi="宋体" w:cs="宋体"/>
                <w:sz w:val="18"/>
                <w:szCs w:val="18"/>
              </w:rPr>
            </w:pPr>
            <w:r>
              <w:rPr>
                <w:rFonts w:hint="eastAsia" w:ascii="宋体" w:hAnsi="宋体" w:cs="宋体"/>
                <w:sz w:val="18"/>
                <w:szCs w:val="18"/>
                <w:lang w:bidi="ar"/>
              </w:rPr>
              <w:t>日期</w:t>
            </w:r>
          </w:p>
        </w:tc>
        <w:tc>
          <w:tcPr>
            <w:tcW w:w="992" w:type="dxa"/>
            <w:tcBorders>
              <w:top w:val="single" w:color="auto" w:sz="8" w:space="0"/>
              <w:left w:val="single" w:color="auto" w:sz="4" w:space="0"/>
              <w:bottom w:val="single" w:color="auto" w:sz="8" w:space="0"/>
              <w:right w:val="single" w:color="auto" w:sz="4" w:space="0"/>
            </w:tcBorders>
            <w:shd w:val="clear" w:color="auto" w:fill="auto"/>
            <w:vAlign w:val="center"/>
          </w:tcPr>
          <w:p w14:paraId="57A865C1">
            <w:pPr>
              <w:keepNext w:val="0"/>
              <w:keepLines w:val="0"/>
              <w:pageBreakBefore w:val="0"/>
              <w:suppressLineNumbers w:val="0"/>
              <w:kinsoku/>
              <w:wordWrap/>
              <w:overflowPunct/>
              <w:topLinePunct w:val="0"/>
              <w:bidi w:val="0"/>
              <w:adjustRightInd w:val="0"/>
              <w:snapToGrid/>
              <w:spacing w:before="0" w:beforeAutospacing="0" w:after="0" w:afterAutospacing="0"/>
              <w:ind w:left="0" w:right="0" w:firstLine="0"/>
              <w:jc w:val="center"/>
              <w:textAlignment w:val="auto"/>
              <w:rPr>
                <w:rFonts w:hint="eastAsia" w:ascii="宋体" w:hAnsi="宋体" w:cs="宋体"/>
                <w:kern w:val="0"/>
                <w:sz w:val="18"/>
                <w:szCs w:val="18"/>
              </w:rPr>
            </w:pPr>
            <w:r>
              <w:rPr>
                <w:rFonts w:hint="eastAsia" w:ascii="宋体" w:hAnsi="宋体" w:cs="宋体"/>
                <w:kern w:val="0"/>
                <w:sz w:val="18"/>
                <w:szCs w:val="18"/>
                <w:lang w:bidi="ar"/>
              </w:rPr>
              <w:t>植株</w:t>
            </w:r>
          </w:p>
          <w:p w14:paraId="725471C8">
            <w:pPr>
              <w:keepNext w:val="0"/>
              <w:keepLines w:val="0"/>
              <w:pageBreakBefore w:val="0"/>
              <w:suppressLineNumbers w:val="0"/>
              <w:kinsoku/>
              <w:wordWrap/>
              <w:overflowPunct/>
              <w:topLinePunct w:val="0"/>
              <w:bidi w:val="0"/>
              <w:adjustRightInd w:val="0"/>
              <w:snapToGrid/>
              <w:spacing w:before="0" w:beforeAutospacing="0" w:after="0" w:afterAutospacing="0"/>
              <w:ind w:left="0" w:right="0" w:firstLine="0"/>
              <w:jc w:val="center"/>
              <w:textAlignment w:val="auto"/>
              <w:rPr>
                <w:rFonts w:hint="eastAsia" w:ascii="宋体" w:hAnsi="宋体" w:cs="宋体"/>
                <w:kern w:val="0"/>
                <w:sz w:val="18"/>
                <w:szCs w:val="18"/>
              </w:rPr>
            </w:pPr>
            <w:r>
              <w:rPr>
                <w:rFonts w:hint="eastAsia" w:ascii="宋体" w:hAnsi="宋体" w:cs="宋体"/>
                <w:sz w:val="18"/>
                <w:szCs w:val="18"/>
                <w:lang w:bidi="ar"/>
              </w:rPr>
              <w:t>编号</w:t>
            </w:r>
          </w:p>
        </w:tc>
        <w:tc>
          <w:tcPr>
            <w:tcW w:w="1006" w:type="dxa"/>
            <w:tcBorders>
              <w:top w:val="single" w:color="auto" w:sz="8" w:space="0"/>
              <w:left w:val="single" w:color="auto" w:sz="4" w:space="0"/>
              <w:bottom w:val="single" w:color="auto" w:sz="8" w:space="0"/>
              <w:right w:val="single" w:color="auto" w:sz="4" w:space="0"/>
            </w:tcBorders>
            <w:shd w:val="clear" w:color="auto" w:fill="auto"/>
            <w:vAlign w:val="center"/>
          </w:tcPr>
          <w:p w14:paraId="2C9DE93D">
            <w:pPr>
              <w:keepNext w:val="0"/>
              <w:keepLines w:val="0"/>
              <w:pageBreakBefore w:val="0"/>
              <w:suppressLineNumbers w:val="0"/>
              <w:kinsoku/>
              <w:wordWrap/>
              <w:overflowPunct/>
              <w:topLinePunct w:val="0"/>
              <w:bidi w:val="0"/>
              <w:adjustRightInd w:val="0"/>
              <w:snapToGrid/>
              <w:spacing w:before="0" w:beforeAutospacing="0" w:after="0" w:afterAutospacing="0"/>
              <w:ind w:left="0" w:right="0" w:firstLine="0"/>
              <w:jc w:val="center"/>
              <w:textAlignment w:val="auto"/>
              <w:rPr>
                <w:rFonts w:hint="eastAsia" w:ascii="宋体" w:hAnsi="宋体" w:cs="宋体"/>
                <w:kern w:val="0"/>
                <w:sz w:val="18"/>
                <w:szCs w:val="18"/>
              </w:rPr>
            </w:pPr>
            <w:r>
              <w:rPr>
                <w:rFonts w:hint="eastAsia" w:ascii="宋体" w:hAnsi="宋体" w:cs="宋体"/>
                <w:kern w:val="0"/>
                <w:sz w:val="18"/>
                <w:szCs w:val="18"/>
                <w:lang w:bidi="ar"/>
              </w:rPr>
              <w:t>株高</w:t>
            </w:r>
          </w:p>
          <w:p w14:paraId="41098C12">
            <w:pPr>
              <w:keepNext w:val="0"/>
              <w:keepLines w:val="0"/>
              <w:pageBreakBefore w:val="0"/>
              <w:suppressLineNumbers w:val="0"/>
              <w:kinsoku/>
              <w:wordWrap/>
              <w:overflowPunct/>
              <w:topLinePunct w:val="0"/>
              <w:bidi w:val="0"/>
              <w:adjustRightInd w:val="0"/>
              <w:snapToGrid/>
              <w:spacing w:before="0" w:beforeAutospacing="0" w:after="0" w:afterAutospacing="0"/>
              <w:ind w:left="0" w:right="0" w:firstLine="0"/>
              <w:jc w:val="center"/>
              <w:textAlignment w:val="auto"/>
              <w:rPr>
                <w:rFonts w:hint="eastAsia" w:ascii="宋体" w:hAnsi="宋体" w:cs="宋体"/>
                <w:kern w:val="0"/>
                <w:sz w:val="18"/>
                <w:szCs w:val="18"/>
              </w:rPr>
            </w:pPr>
            <w:r>
              <w:rPr>
                <w:rFonts w:hint="eastAsia" w:ascii="宋体" w:hAnsi="宋体" w:cs="宋体"/>
                <w:sz w:val="18"/>
                <w:szCs w:val="18"/>
                <w:lang w:bidi="ar"/>
              </w:rPr>
              <w:t>（m）</w:t>
            </w:r>
          </w:p>
        </w:tc>
        <w:tc>
          <w:tcPr>
            <w:tcW w:w="1011" w:type="dxa"/>
            <w:tcBorders>
              <w:top w:val="single" w:color="auto" w:sz="8" w:space="0"/>
              <w:left w:val="single" w:color="auto" w:sz="4" w:space="0"/>
              <w:bottom w:val="single" w:color="auto" w:sz="8" w:space="0"/>
              <w:right w:val="single" w:color="auto" w:sz="4" w:space="0"/>
            </w:tcBorders>
            <w:shd w:val="clear" w:color="auto" w:fill="auto"/>
            <w:vAlign w:val="center"/>
          </w:tcPr>
          <w:p w14:paraId="264F703F">
            <w:pPr>
              <w:pStyle w:val="58"/>
              <w:keepNext w:val="0"/>
              <w:keepLines w:val="0"/>
              <w:pageBreakBefore w:val="0"/>
              <w:suppressLineNumbers w:val="0"/>
              <w:kinsoku/>
              <w:wordWrap/>
              <w:overflowPunct/>
              <w:topLinePunct w:val="0"/>
              <w:bidi w:val="0"/>
              <w:snapToGrid/>
              <w:spacing w:before="0" w:beforeAutospacing="0" w:after="0" w:afterAutospacing="0"/>
              <w:ind w:left="0" w:right="0" w:firstLine="0"/>
              <w:textAlignment w:val="auto"/>
              <w:rPr>
                <w:rFonts w:hAnsi="宋体"/>
                <w:szCs w:val="18"/>
              </w:rPr>
            </w:pPr>
            <w:r>
              <w:rPr>
                <w:rFonts w:hAnsi="宋体"/>
                <w:szCs w:val="18"/>
              </w:rPr>
              <w:t>胸（地）径（cm）</w:t>
            </w:r>
          </w:p>
        </w:tc>
        <w:tc>
          <w:tcPr>
            <w:tcW w:w="1006" w:type="dxa"/>
            <w:tcBorders>
              <w:top w:val="single" w:color="auto" w:sz="8" w:space="0"/>
              <w:left w:val="single" w:color="auto" w:sz="4" w:space="0"/>
              <w:bottom w:val="single" w:color="auto" w:sz="8" w:space="0"/>
              <w:right w:val="single" w:color="auto" w:sz="4" w:space="0"/>
            </w:tcBorders>
            <w:shd w:val="clear" w:color="auto" w:fill="auto"/>
            <w:vAlign w:val="center"/>
          </w:tcPr>
          <w:p w14:paraId="5091F555">
            <w:pPr>
              <w:keepNext w:val="0"/>
              <w:keepLines w:val="0"/>
              <w:pageBreakBefore w:val="0"/>
              <w:suppressLineNumbers w:val="0"/>
              <w:kinsoku/>
              <w:wordWrap/>
              <w:overflowPunct/>
              <w:topLinePunct w:val="0"/>
              <w:bidi w:val="0"/>
              <w:adjustRightInd w:val="0"/>
              <w:snapToGrid/>
              <w:spacing w:before="0" w:beforeAutospacing="0" w:after="0" w:afterAutospacing="0"/>
              <w:ind w:left="0" w:right="0" w:firstLine="0"/>
              <w:jc w:val="center"/>
              <w:textAlignment w:val="auto"/>
              <w:rPr>
                <w:rFonts w:hint="eastAsia" w:ascii="宋体" w:hAnsi="宋体" w:cs="宋体"/>
                <w:kern w:val="0"/>
                <w:sz w:val="18"/>
                <w:szCs w:val="18"/>
              </w:rPr>
            </w:pPr>
            <w:r>
              <w:rPr>
                <w:rFonts w:hint="eastAsia" w:ascii="宋体" w:hAnsi="宋体" w:cs="宋体"/>
                <w:kern w:val="0"/>
                <w:sz w:val="18"/>
                <w:szCs w:val="18"/>
                <w:lang w:bidi="ar"/>
              </w:rPr>
              <w:t>冠幅</w:t>
            </w:r>
          </w:p>
          <w:p w14:paraId="0A7D8C8F">
            <w:pPr>
              <w:keepNext w:val="0"/>
              <w:keepLines w:val="0"/>
              <w:pageBreakBefore w:val="0"/>
              <w:suppressLineNumbers w:val="0"/>
              <w:kinsoku/>
              <w:wordWrap/>
              <w:overflowPunct/>
              <w:topLinePunct w:val="0"/>
              <w:bidi w:val="0"/>
              <w:adjustRightInd w:val="0"/>
              <w:snapToGrid/>
              <w:spacing w:before="0" w:beforeAutospacing="0" w:after="0" w:afterAutospacing="0"/>
              <w:ind w:left="0" w:right="0" w:firstLine="0"/>
              <w:jc w:val="center"/>
              <w:textAlignment w:val="auto"/>
              <w:rPr>
                <w:rFonts w:hint="eastAsia" w:ascii="宋体" w:hAnsi="宋体" w:cs="宋体"/>
                <w:kern w:val="0"/>
                <w:sz w:val="18"/>
                <w:szCs w:val="18"/>
              </w:rPr>
            </w:pPr>
            <w:r>
              <w:rPr>
                <w:rFonts w:hint="eastAsia" w:ascii="宋体" w:hAnsi="宋体" w:cs="宋体"/>
                <w:sz w:val="18"/>
                <w:szCs w:val="18"/>
                <w:lang w:bidi="ar"/>
              </w:rPr>
              <w:t>（m）</w:t>
            </w:r>
          </w:p>
        </w:tc>
        <w:tc>
          <w:tcPr>
            <w:tcW w:w="992" w:type="dxa"/>
            <w:tcBorders>
              <w:top w:val="single" w:color="auto" w:sz="8" w:space="0"/>
              <w:left w:val="single" w:color="auto" w:sz="4" w:space="0"/>
              <w:bottom w:val="single" w:color="auto" w:sz="8" w:space="0"/>
              <w:right w:val="single" w:color="auto" w:sz="4" w:space="0"/>
            </w:tcBorders>
            <w:shd w:val="clear" w:color="auto" w:fill="auto"/>
            <w:vAlign w:val="center"/>
          </w:tcPr>
          <w:p w14:paraId="0D85F2CA">
            <w:pPr>
              <w:pStyle w:val="58"/>
              <w:keepNext w:val="0"/>
              <w:keepLines w:val="0"/>
              <w:pageBreakBefore w:val="0"/>
              <w:suppressLineNumbers w:val="0"/>
              <w:kinsoku/>
              <w:wordWrap/>
              <w:overflowPunct/>
              <w:topLinePunct w:val="0"/>
              <w:bidi w:val="0"/>
              <w:snapToGrid/>
              <w:spacing w:before="0" w:beforeAutospacing="0" w:after="0" w:afterAutospacing="0"/>
              <w:ind w:left="0" w:right="0" w:firstLine="0"/>
              <w:textAlignment w:val="auto"/>
              <w:rPr>
                <w:rFonts w:hAnsi="宋体"/>
                <w:szCs w:val="18"/>
              </w:rPr>
            </w:pPr>
            <w:r>
              <w:rPr>
                <w:rFonts w:hAnsi="宋体"/>
                <w:szCs w:val="18"/>
              </w:rPr>
              <w:t>生长期</w:t>
            </w:r>
          </w:p>
        </w:tc>
        <w:tc>
          <w:tcPr>
            <w:tcW w:w="992" w:type="dxa"/>
            <w:tcBorders>
              <w:top w:val="single" w:color="auto" w:sz="8" w:space="0"/>
              <w:left w:val="single" w:color="auto" w:sz="4" w:space="0"/>
              <w:bottom w:val="single" w:color="auto" w:sz="8" w:space="0"/>
              <w:right w:val="single" w:color="auto" w:sz="4" w:space="0"/>
            </w:tcBorders>
            <w:shd w:val="clear" w:color="auto" w:fill="auto"/>
            <w:vAlign w:val="center"/>
          </w:tcPr>
          <w:p w14:paraId="66BFE2A2">
            <w:pPr>
              <w:keepNext w:val="0"/>
              <w:keepLines w:val="0"/>
              <w:pageBreakBefore w:val="0"/>
              <w:suppressLineNumbers w:val="0"/>
              <w:kinsoku/>
              <w:wordWrap/>
              <w:overflowPunct/>
              <w:topLinePunct w:val="0"/>
              <w:bidi w:val="0"/>
              <w:adjustRightInd w:val="0"/>
              <w:snapToGrid/>
              <w:spacing w:before="0" w:beforeAutospacing="0" w:after="0" w:afterAutospacing="0"/>
              <w:ind w:left="0" w:right="0" w:firstLine="0"/>
              <w:jc w:val="center"/>
              <w:textAlignment w:val="auto"/>
              <w:rPr>
                <w:rFonts w:hint="eastAsia" w:ascii="宋体" w:hAnsi="宋体" w:cs="宋体"/>
                <w:kern w:val="0"/>
                <w:sz w:val="18"/>
                <w:szCs w:val="18"/>
              </w:rPr>
            </w:pPr>
            <w:r>
              <w:rPr>
                <w:rFonts w:hint="eastAsia" w:ascii="宋体" w:hAnsi="宋体" w:cs="宋体"/>
                <w:kern w:val="0"/>
                <w:sz w:val="18"/>
                <w:szCs w:val="18"/>
                <w:lang w:bidi="ar"/>
              </w:rPr>
              <w:t>生长</w:t>
            </w:r>
          </w:p>
          <w:p w14:paraId="6A6643FB">
            <w:pPr>
              <w:keepNext w:val="0"/>
              <w:keepLines w:val="0"/>
              <w:pageBreakBefore w:val="0"/>
              <w:suppressLineNumbers w:val="0"/>
              <w:kinsoku/>
              <w:wordWrap/>
              <w:overflowPunct/>
              <w:topLinePunct w:val="0"/>
              <w:bidi w:val="0"/>
              <w:adjustRightInd w:val="0"/>
              <w:snapToGrid/>
              <w:spacing w:before="0" w:beforeAutospacing="0" w:after="0" w:afterAutospacing="0"/>
              <w:ind w:left="0" w:right="0" w:firstLine="0"/>
              <w:jc w:val="center"/>
              <w:textAlignment w:val="auto"/>
              <w:rPr>
                <w:rFonts w:hint="eastAsia" w:ascii="宋体" w:hAnsi="宋体" w:cs="宋体"/>
                <w:kern w:val="0"/>
                <w:sz w:val="18"/>
                <w:szCs w:val="18"/>
              </w:rPr>
            </w:pPr>
            <w:r>
              <w:rPr>
                <w:rFonts w:hint="eastAsia" w:ascii="宋体" w:hAnsi="宋体" w:cs="宋体"/>
                <w:sz w:val="18"/>
                <w:szCs w:val="18"/>
                <w:lang w:bidi="ar"/>
              </w:rPr>
              <w:t>状况</w:t>
            </w:r>
          </w:p>
        </w:tc>
        <w:tc>
          <w:tcPr>
            <w:tcW w:w="994" w:type="dxa"/>
            <w:tcBorders>
              <w:top w:val="single" w:color="auto" w:sz="8" w:space="0"/>
              <w:left w:val="single" w:color="auto" w:sz="4" w:space="0"/>
              <w:bottom w:val="single" w:color="auto" w:sz="8" w:space="0"/>
              <w:right w:val="single" w:color="auto" w:sz="4" w:space="0"/>
            </w:tcBorders>
            <w:shd w:val="clear" w:color="auto" w:fill="auto"/>
            <w:vAlign w:val="center"/>
          </w:tcPr>
          <w:p w14:paraId="704AD9EF">
            <w:pPr>
              <w:keepNext w:val="0"/>
              <w:keepLines w:val="0"/>
              <w:pageBreakBefore w:val="0"/>
              <w:suppressLineNumbers w:val="0"/>
              <w:kinsoku/>
              <w:wordWrap/>
              <w:overflowPunct/>
              <w:topLinePunct w:val="0"/>
              <w:bidi w:val="0"/>
              <w:adjustRightInd w:val="0"/>
              <w:snapToGrid/>
              <w:spacing w:before="0" w:beforeAutospacing="0" w:after="0" w:afterAutospacing="0"/>
              <w:ind w:left="0" w:right="0" w:firstLine="0"/>
              <w:jc w:val="center"/>
              <w:textAlignment w:val="auto"/>
              <w:rPr>
                <w:rFonts w:hint="eastAsia" w:ascii="宋体" w:hAnsi="宋体" w:cs="宋体"/>
                <w:kern w:val="0"/>
                <w:sz w:val="18"/>
                <w:szCs w:val="18"/>
              </w:rPr>
            </w:pPr>
            <w:r>
              <w:rPr>
                <w:rFonts w:hint="eastAsia" w:ascii="宋体" w:hAnsi="宋体" w:cs="宋体"/>
                <w:kern w:val="0"/>
                <w:sz w:val="18"/>
                <w:szCs w:val="18"/>
                <w:lang w:bidi="ar"/>
              </w:rPr>
              <w:t>照片</w:t>
            </w:r>
          </w:p>
          <w:p w14:paraId="0297994B">
            <w:pPr>
              <w:keepNext w:val="0"/>
              <w:keepLines w:val="0"/>
              <w:pageBreakBefore w:val="0"/>
              <w:suppressLineNumbers w:val="0"/>
              <w:kinsoku/>
              <w:wordWrap/>
              <w:overflowPunct/>
              <w:topLinePunct w:val="0"/>
              <w:bidi w:val="0"/>
              <w:adjustRightInd w:val="0"/>
              <w:snapToGrid/>
              <w:spacing w:before="0" w:beforeAutospacing="0" w:after="0" w:afterAutospacing="0"/>
              <w:ind w:left="0" w:right="0" w:firstLine="0"/>
              <w:jc w:val="center"/>
              <w:textAlignment w:val="auto"/>
              <w:rPr>
                <w:rFonts w:hint="eastAsia" w:ascii="宋体" w:hAnsi="宋体" w:cs="宋体"/>
                <w:kern w:val="0"/>
                <w:sz w:val="18"/>
                <w:szCs w:val="18"/>
              </w:rPr>
            </w:pPr>
            <w:r>
              <w:rPr>
                <w:rFonts w:hint="eastAsia" w:ascii="宋体" w:hAnsi="宋体" w:cs="宋体"/>
                <w:sz w:val="18"/>
                <w:szCs w:val="18"/>
                <w:lang w:bidi="ar"/>
              </w:rPr>
              <w:t>编号</w:t>
            </w:r>
          </w:p>
        </w:tc>
        <w:tc>
          <w:tcPr>
            <w:tcW w:w="994" w:type="dxa"/>
            <w:tcBorders>
              <w:top w:val="single" w:color="auto" w:sz="8" w:space="0"/>
              <w:left w:val="single" w:color="auto" w:sz="4" w:space="0"/>
              <w:bottom w:val="single" w:color="auto" w:sz="8" w:space="0"/>
              <w:right w:val="single" w:color="auto" w:sz="8" w:space="0"/>
            </w:tcBorders>
            <w:shd w:val="clear" w:color="auto" w:fill="auto"/>
            <w:vAlign w:val="center"/>
          </w:tcPr>
          <w:p w14:paraId="0CE08247">
            <w:pPr>
              <w:pStyle w:val="58"/>
              <w:keepNext w:val="0"/>
              <w:keepLines w:val="0"/>
              <w:pageBreakBefore w:val="0"/>
              <w:suppressLineNumbers w:val="0"/>
              <w:kinsoku/>
              <w:wordWrap/>
              <w:overflowPunct/>
              <w:topLinePunct w:val="0"/>
              <w:bidi w:val="0"/>
              <w:snapToGrid/>
              <w:spacing w:before="0" w:beforeAutospacing="0" w:after="0" w:afterAutospacing="0"/>
              <w:ind w:left="0" w:right="0" w:firstLine="0"/>
              <w:textAlignment w:val="auto"/>
              <w:rPr>
                <w:rFonts w:hAnsi="宋体"/>
                <w:szCs w:val="18"/>
              </w:rPr>
            </w:pPr>
            <w:r>
              <w:rPr>
                <w:rFonts w:hAnsi="宋体"/>
                <w:szCs w:val="18"/>
              </w:rPr>
              <w:t>记录人</w:t>
            </w:r>
          </w:p>
        </w:tc>
      </w:tr>
      <w:tr w14:paraId="247F6BC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1" w:type="dxa"/>
            <w:tcBorders>
              <w:top w:val="single" w:color="auto" w:sz="8" w:space="0"/>
              <w:left w:val="single" w:color="auto" w:sz="8" w:space="0"/>
              <w:bottom w:val="single" w:color="auto" w:sz="4" w:space="0"/>
              <w:right w:val="single" w:color="auto" w:sz="4" w:space="0"/>
            </w:tcBorders>
            <w:shd w:val="clear" w:color="auto" w:fill="auto"/>
            <w:vAlign w:val="center"/>
          </w:tcPr>
          <w:p w14:paraId="46373027">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8" w:space="0"/>
              <w:left w:val="single" w:color="auto" w:sz="4" w:space="0"/>
              <w:bottom w:val="single" w:color="auto" w:sz="4" w:space="0"/>
              <w:right w:val="single" w:color="auto" w:sz="4" w:space="0"/>
            </w:tcBorders>
            <w:shd w:val="clear" w:color="auto" w:fill="auto"/>
            <w:vAlign w:val="center"/>
          </w:tcPr>
          <w:p w14:paraId="4E3F1335">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8" w:space="0"/>
              <w:left w:val="single" w:color="auto" w:sz="4" w:space="0"/>
              <w:bottom w:val="single" w:color="auto" w:sz="4" w:space="0"/>
              <w:right w:val="single" w:color="auto" w:sz="4" w:space="0"/>
            </w:tcBorders>
            <w:shd w:val="clear" w:color="auto" w:fill="auto"/>
            <w:vAlign w:val="center"/>
          </w:tcPr>
          <w:p w14:paraId="64D0C1E7">
            <w:pPr>
              <w:pStyle w:val="58"/>
              <w:keepNext w:val="0"/>
              <w:keepLines w:val="0"/>
              <w:suppressLineNumbers w:val="0"/>
              <w:spacing w:before="0" w:beforeAutospacing="0" w:after="0" w:afterAutospacing="0"/>
              <w:ind w:left="0" w:right="0" w:firstLine="360"/>
              <w:rPr>
                <w:rFonts w:hAnsi="宋体"/>
                <w:szCs w:val="18"/>
              </w:rPr>
            </w:pPr>
          </w:p>
        </w:tc>
        <w:tc>
          <w:tcPr>
            <w:tcW w:w="1011" w:type="dxa"/>
            <w:tcBorders>
              <w:top w:val="single" w:color="auto" w:sz="8" w:space="0"/>
              <w:left w:val="single" w:color="auto" w:sz="4" w:space="0"/>
              <w:bottom w:val="single" w:color="auto" w:sz="4" w:space="0"/>
              <w:right w:val="single" w:color="auto" w:sz="4" w:space="0"/>
            </w:tcBorders>
            <w:shd w:val="clear" w:color="auto" w:fill="auto"/>
            <w:vAlign w:val="center"/>
          </w:tcPr>
          <w:p w14:paraId="37AB991B">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8" w:space="0"/>
              <w:left w:val="single" w:color="auto" w:sz="4" w:space="0"/>
              <w:bottom w:val="single" w:color="auto" w:sz="4" w:space="0"/>
              <w:right w:val="single" w:color="auto" w:sz="4" w:space="0"/>
            </w:tcBorders>
            <w:shd w:val="clear" w:color="auto" w:fill="auto"/>
            <w:vAlign w:val="center"/>
          </w:tcPr>
          <w:p w14:paraId="4D1D60A6">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8" w:space="0"/>
              <w:left w:val="single" w:color="auto" w:sz="4" w:space="0"/>
              <w:bottom w:val="single" w:color="auto" w:sz="4" w:space="0"/>
              <w:right w:val="single" w:color="auto" w:sz="4" w:space="0"/>
            </w:tcBorders>
            <w:shd w:val="clear" w:color="auto" w:fill="auto"/>
            <w:vAlign w:val="center"/>
          </w:tcPr>
          <w:p w14:paraId="7B1190D9">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8" w:space="0"/>
              <w:left w:val="single" w:color="auto" w:sz="4" w:space="0"/>
              <w:bottom w:val="single" w:color="auto" w:sz="4" w:space="0"/>
              <w:right w:val="single" w:color="auto" w:sz="4" w:space="0"/>
            </w:tcBorders>
            <w:shd w:val="clear" w:color="auto" w:fill="auto"/>
            <w:vAlign w:val="center"/>
          </w:tcPr>
          <w:p w14:paraId="6BEEDF26">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8" w:space="0"/>
              <w:left w:val="single" w:color="auto" w:sz="4" w:space="0"/>
              <w:bottom w:val="single" w:color="auto" w:sz="4" w:space="0"/>
              <w:right w:val="single" w:color="auto" w:sz="4" w:space="0"/>
            </w:tcBorders>
            <w:shd w:val="clear" w:color="auto" w:fill="auto"/>
            <w:vAlign w:val="center"/>
          </w:tcPr>
          <w:p w14:paraId="45F39AA2">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8" w:space="0"/>
              <w:left w:val="single" w:color="auto" w:sz="4" w:space="0"/>
              <w:bottom w:val="single" w:color="auto" w:sz="4" w:space="0"/>
              <w:right w:val="single" w:color="auto" w:sz="8" w:space="0"/>
            </w:tcBorders>
            <w:shd w:val="clear" w:color="auto" w:fill="auto"/>
            <w:vAlign w:val="center"/>
          </w:tcPr>
          <w:p w14:paraId="2D800CFF">
            <w:pPr>
              <w:pStyle w:val="58"/>
              <w:keepNext w:val="0"/>
              <w:keepLines w:val="0"/>
              <w:suppressLineNumbers w:val="0"/>
              <w:spacing w:before="0" w:beforeAutospacing="0" w:after="0" w:afterAutospacing="0"/>
              <w:ind w:left="0" w:right="0" w:firstLine="360"/>
              <w:rPr>
                <w:rFonts w:hAnsi="宋体"/>
                <w:szCs w:val="18"/>
              </w:rPr>
            </w:pPr>
          </w:p>
        </w:tc>
      </w:tr>
      <w:tr w14:paraId="2E2E4BB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1" w:type="dxa"/>
            <w:tcBorders>
              <w:top w:val="single" w:color="auto" w:sz="4" w:space="0"/>
              <w:left w:val="single" w:color="auto" w:sz="8" w:space="0"/>
              <w:bottom w:val="single" w:color="auto" w:sz="4" w:space="0"/>
              <w:right w:val="single" w:color="auto" w:sz="4" w:space="0"/>
            </w:tcBorders>
            <w:shd w:val="clear" w:color="auto" w:fill="auto"/>
            <w:vAlign w:val="center"/>
          </w:tcPr>
          <w:p w14:paraId="47577728">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018311A7">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1C48D829">
            <w:pPr>
              <w:pStyle w:val="58"/>
              <w:keepNext w:val="0"/>
              <w:keepLines w:val="0"/>
              <w:suppressLineNumbers w:val="0"/>
              <w:spacing w:before="0" w:beforeAutospacing="0" w:after="0" w:afterAutospacing="0"/>
              <w:ind w:left="0" w:right="0" w:firstLine="360"/>
              <w:rPr>
                <w:rFonts w:hAnsi="宋体"/>
                <w:szCs w:val="18"/>
              </w:rPr>
            </w:pPr>
          </w:p>
        </w:tc>
        <w:tc>
          <w:tcPr>
            <w:tcW w:w="1011" w:type="dxa"/>
            <w:tcBorders>
              <w:top w:val="single" w:color="auto" w:sz="4" w:space="0"/>
              <w:left w:val="single" w:color="auto" w:sz="4" w:space="0"/>
              <w:bottom w:val="single" w:color="auto" w:sz="4" w:space="0"/>
              <w:right w:val="single" w:color="auto" w:sz="4" w:space="0"/>
            </w:tcBorders>
            <w:shd w:val="clear" w:color="auto" w:fill="auto"/>
            <w:vAlign w:val="center"/>
          </w:tcPr>
          <w:p w14:paraId="319961FB">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6450AB4B">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05C83AEC">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6D892348">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14:paraId="411B8029">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8" w:space="0"/>
            </w:tcBorders>
            <w:shd w:val="clear" w:color="auto" w:fill="auto"/>
            <w:vAlign w:val="center"/>
          </w:tcPr>
          <w:p w14:paraId="57107A3D">
            <w:pPr>
              <w:pStyle w:val="58"/>
              <w:keepNext w:val="0"/>
              <w:keepLines w:val="0"/>
              <w:suppressLineNumbers w:val="0"/>
              <w:spacing w:before="0" w:beforeAutospacing="0" w:after="0" w:afterAutospacing="0"/>
              <w:ind w:left="0" w:right="0" w:firstLine="360"/>
              <w:rPr>
                <w:rFonts w:hAnsi="宋体"/>
                <w:szCs w:val="18"/>
              </w:rPr>
            </w:pPr>
          </w:p>
        </w:tc>
      </w:tr>
      <w:tr w14:paraId="202D435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1" w:type="dxa"/>
            <w:tcBorders>
              <w:top w:val="single" w:color="auto" w:sz="4" w:space="0"/>
              <w:left w:val="single" w:color="auto" w:sz="8" w:space="0"/>
              <w:bottom w:val="single" w:color="auto" w:sz="4" w:space="0"/>
              <w:right w:val="single" w:color="auto" w:sz="4" w:space="0"/>
            </w:tcBorders>
            <w:shd w:val="clear" w:color="auto" w:fill="auto"/>
            <w:vAlign w:val="center"/>
          </w:tcPr>
          <w:p w14:paraId="61A5B42C">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746DB1EB">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4FF62379">
            <w:pPr>
              <w:pStyle w:val="58"/>
              <w:keepNext w:val="0"/>
              <w:keepLines w:val="0"/>
              <w:suppressLineNumbers w:val="0"/>
              <w:spacing w:before="0" w:beforeAutospacing="0" w:after="0" w:afterAutospacing="0"/>
              <w:ind w:left="0" w:right="0" w:firstLine="360"/>
              <w:rPr>
                <w:rFonts w:hAnsi="宋体"/>
                <w:szCs w:val="18"/>
              </w:rPr>
            </w:pPr>
          </w:p>
        </w:tc>
        <w:tc>
          <w:tcPr>
            <w:tcW w:w="1011" w:type="dxa"/>
            <w:tcBorders>
              <w:top w:val="single" w:color="auto" w:sz="4" w:space="0"/>
              <w:left w:val="single" w:color="auto" w:sz="4" w:space="0"/>
              <w:bottom w:val="single" w:color="auto" w:sz="4" w:space="0"/>
              <w:right w:val="single" w:color="auto" w:sz="4" w:space="0"/>
            </w:tcBorders>
            <w:shd w:val="clear" w:color="auto" w:fill="auto"/>
            <w:vAlign w:val="center"/>
          </w:tcPr>
          <w:p w14:paraId="10796682">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505D794B">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7430BCBF">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671A51E1">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14:paraId="0B9E74CF">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8" w:space="0"/>
            </w:tcBorders>
            <w:shd w:val="clear" w:color="auto" w:fill="auto"/>
            <w:vAlign w:val="center"/>
          </w:tcPr>
          <w:p w14:paraId="33D6D6B1">
            <w:pPr>
              <w:pStyle w:val="58"/>
              <w:keepNext w:val="0"/>
              <w:keepLines w:val="0"/>
              <w:suppressLineNumbers w:val="0"/>
              <w:spacing w:before="0" w:beforeAutospacing="0" w:after="0" w:afterAutospacing="0"/>
              <w:ind w:left="0" w:right="0" w:firstLine="360"/>
              <w:rPr>
                <w:rFonts w:hAnsi="宋体"/>
                <w:szCs w:val="18"/>
              </w:rPr>
            </w:pPr>
          </w:p>
        </w:tc>
      </w:tr>
      <w:tr w14:paraId="1962D8E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1" w:type="dxa"/>
            <w:tcBorders>
              <w:top w:val="single" w:color="auto" w:sz="4" w:space="0"/>
              <w:left w:val="single" w:color="auto" w:sz="8" w:space="0"/>
              <w:bottom w:val="single" w:color="auto" w:sz="4" w:space="0"/>
              <w:right w:val="single" w:color="auto" w:sz="4" w:space="0"/>
            </w:tcBorders>
            <w:shd w:val="clear" w:color="auto" w:fill="auto"/>
            <w:vAlign w:val="center"/>
          </w:tcPr>
          <w:p w14:paraId="7D4A22F3">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687CA3F7">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69D6B2BE">
            <w:pPr>
              <w:pStyle w:val="58"/>
              <w:keepNext w:val="0"/>
              <w:keepLines w:val="0"/>
              <w:suppressLineNumbers w:val="0"/>
              <w:spacing w:before="0" w:beforeAutospacing="0" w:after="0" w:afterAutospacing="0"/>
              <w:ind w:left="0" w:right="0" w:firstLine="360"/>
              <w:rPr>
                <w:rFonts w:hAnsi="宋体"/>
                <w:szCs w:val="18"/>
              </w:rPr>
            </w:pPr>
          </w:p>
        </w:tc>
        <w:tc>
          <w:tcPr>
            <w:tcW w:w="1011" w:type="dxa"/>
            <w:tcBorders>
              <w:top w:val="single" w:color="auto" w:sz="4" w:space="0"/>
              <w:left w:val="single" w:color="auto" w:sz="4" w:space="0"/>
              <w:bottom w:val="single" w:color="auto" w:sz="4" w:space="0"/>
              <w:right w:val="single" w:color="auto" w:sz="4" w:space="0"/>
            </w:tcBorders>
            <w:shd w:val="clear" w:color="auto" w:fill="auto"/>
            <w:vAlign w:val="center"/>
          </w:tcPr>
          <w:p w14:paraId="3AD5D729">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6EC359CE">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69DDCAE6">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5478FBE6">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14:paraId="64B1A2D4">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8" w:space="0"/>
            </w:tcBorders>
            <w:shd w:val="clear" w:color="auto" w:fill="auto"/>
            <w:vAlign w:val="center"/>
          </w:tcPr>
          <w:p w14:paraId="03446DBA">
            <w:pPr>
              <w:pStyle w:val="58"/>
              <w:keepNext w:val="0"/>
              <w:keepLines w:val="0"/>
              <w:suppressLineNumbers w:val="0"/>
              <w:spacing w:before="0" w:beforeAutospacing="0" w:after="0" w:afterAutospacing="0"/>
              <w:ind w:left="0" w:right="0" w:firstLine="360"/>
              <w:rPr>
                <w:rFonts w:hAnsi="宋体"/>
                <w:szCs w:val="18"/>
              </w:rPr>
            </w:pPr>
          </w:p>
        </w:tc>
      </w:tr>
      <w:tr w14:paraId="05C7554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1" w:type="dxa"/>
            <w:tcBorders>
              <w:top w:val="single" w:color="auto" w:sz="4" w:space="0"/>
              <w:left w:val="single" w:color="auto" w:sz="8" w:space="0"/>
              <w:bottom w:val="single" w:color="auto" w:sz="4" w:space="0"/>
              <w:right w:val="single" w:color="auto" w:sz="4" w:space="0"/>
            </w:tcBorders>
            <w:shd w:val="clear" w:color="auto" w:fill="auto"/>
            <w:vAlign w:val="center"/>
          </w:tcPr>
          <w:p w14:paraId="61E083EC">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6A340D4E">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69EF5442">
            <w:pPr>
              <w:pStyle w:val="58"/>
              <w:keepNext w:val="0"/>
              <w:keepLines w:val="0"/>
              <w:suppressLineNumbers w:val="0"/>
              <w:spacing w:before="0" w:beforeAutospacing="0" w:after="0" w:afterAutospacing="0"/>
              <w:ind w:left="0" w:right="0" w:firstLine="360"/>
              <w:rPr>
                <w:rFonts w:hAnsi="宋体"/>
                <w:szCs w:val="18"/>
              </w:rPr>
            </w:pPr>
          </w:p>
        </w:tc>
        <w:tc>
          <w:tcPr>
            <w:tcW w:w="1011" w:type="dxa"/>
            <w:tcBorders>
              <w:top w:val="single" w:color="auto" w:sz="4" w:space="0"/>
              <w:left w:val="single" w:color="auto" w:sz="4" w:space="0"/>
              <w:bottom w:val="single" w:color="auto" w:sz="4" w:space="0"/>
              <w:right w:val="single" w:color="auto" w:sz="4" w:space="0"/>
            </w:tcBorders>
            <w:shd w:val="clear" w:color="auto" w:fill="auto"/>
            <w:vAlign w:val="center"/>
          </w:tcPr>
          <w:p w14:paraId="1D804989">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5D91D347">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3E6321B6">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7C111190">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14:paraId="35DBC856">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8" w:space="0"/>
            </w:tcBorders>
            <w:shd w:val="clear" w:color="auto" w:fill="auto"/>
            <w:vAlign w:val="center"/>
          </w:tcPr>
          <w:p w14:paraId="4BA14B01">
            <w:pPr>
              <w:pStyle w:val="58"/>
              <w:keepNext w:val="0"/>
              <w:keepLines w:val="0"/>
              <w:suppressLineNumbers w:val="0"/>
              <w:spacing w:before="0" w:beforeAutospacing="0" w:after="0" w:afterAutospacing="0"/>
              <w:ind w:left="0" w:right="0" w:firstLine="360"/>
              <w:rPr>
                <w:rFonts w:hAnsi="宋体"/>
                <w:szCs w:val="18"/>
              </w:rPr>
            </w:pPr>
          </w:p>
        </w:tc>
      </w:tr>
      <w:tr w14:paraId="4C32A9C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1" w:type="dxa"/>
            <w:tcBorders>
              <w:top w:val="single" w:color="auto" w:sz="4" w:space="0"/>
              <w:left w:val="single" w:color="auto" w:sz="8" w:space="0"/>
              <w:bottom w:val="single" w:color="auto" w:sz="4" w:space="0"/>
              <w:right w:val="single" w:color="auto" w:sz="4" w:space="0"/>
            </w:tcBorders>
            <w:shd w:val="clear" w:color="auto" w:fill="auto"/>
            <w:vAlign w:val="center"/>
          </w:tcPr>
          <w:p w14:paraId="4B207969">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37DE9673">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713E836E">
            <w:pPr>
              <w:pStyle w:val="58"/>
              <w:keepNext w:val="0"/>
              <w:keepLines w:val="0"/>
              <w:suppressLineNumbers w:val="0"/>
              <w:spacing w:before="0" w:beforeAutospacing="0" w:after="0" w:afterAutospacing="0"/>
              <w:ind w:left="0" w:right="0" w:firstLine="360"/>
              <w:rPr>
                <w:rFonts w:hAnsi="宋体"/>
                <w:szCs w:val="18"/>
              </w:rPr>
            </w:pPr>
          </w:p>
        </w:tc>
        <w:tc>
          <w:tcPr>
            <w:tcW w:w="1011" w:type="dxa"/>
            <w:tcBorders>
              <w:top w:val="single" w:color="auto" w:sz="4" w:space="0"/>
              <w:left w:val="single" w:color="auto" w:sz="4" w:space="0"/>
              <w:bottom w:val="single" w:color="auto" w:sz="4" w:space="0"/>
              <w:right w:val="single" w:color="auto" w:sz="4" w:space="0"/>
            </w:tcBorders>
            <w:shd w:val="clear" w:color="auto" w:fill="auto"/>
            <w:vAlign w:val="center"/>
          </w:tcPr>
          <w:p w14:paraId="06450202">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206AC1B3">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3A95A1A1">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196680C5">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14:paraId="0C66D2E5">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8" w:space="0"/>
            </w:tcBorders>
            <w:shd w:val="clear" w:color="auto" w:fill="auto"/>
            <w:vAlign w:val="center"/>
          </w:tcPr>
          <w:p w14:paraId="5FB5600D">
            <w:pPr>
              <w:pStyle w:val="58"/>
              <w:keepNext w:val="0"/>
              <w:keepLines w:val="0"/>
              <w:suppressLineNumbers w:val="0"/>
              <w:spacing w:before="0" w:beforeAutospacing="0" w:after="0" w:afterAutospacing="0"/>
              <w:ind w:left="0" w:right="0" w:firstLine="360"/>
              <w:rPr>
                <w:rFonts w:hAnsi="宋体"/>
                <w:szCs w:val="18"/>
              </w:rPr>
            </w:pPr>
          </w:p>
        </w:tc>
      </w:tr>
      <w:tr w14:paraId="13ADAA9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1" w:type="dxa"/>
            <w:tcBorders>
              <w:top w:val="single" w:color="auto" w:sz="4" w:space="0"/>
              <w:left w:val="single" w:color="auto" w:sz="8" w:space="0"/>
              <w:bottom w:val="single" w:color="auto" w:sz="4" w:space="0"/>
              <w:right w:val="single" w:color="auto" w:sz="4" w:space="0"/>
            </w:tcBorders>
            <w:shd w:val="clear" w:color="auto" w:fill="auto"/>
            <w:vAlign w:val="center"/>
          </w:tcPr>
          <w:p w14:paraId="3E0B1E81">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0EF1D7FF">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519BAB6F">
            <w:pPr>
              <w:pStyle w:val="58"/>
              <w:keepNext w:val="0"/>
              <w:keepLines w:val="0"/>
              <w:suppressLineNumbers w:val="0"/>
              <w:spacing w:before="0" w:beforeAutospacing="0" w:after="0" w:afterAutospacing="0"/>
              <w:ind w:left="0" w:right="0" w:firstLine="360"/>
              <w:rPr>
                <w:rFonts w:hAnsi="宋体"/>
                <w:szCs w:val="18"/>
              </w:rPr>
            </w:pPr>
          </w:p>
        </w:tc>
        <w:tc>
          <w:tcPr>
            <w:tcW w:w="1011" w:type="dxa"/>
            <w:tcBorders>
              <w:top w:val="single" w:color="auto" w:sz="4" w:space="0"/>
              <w:left w:val="single" w:color="auto" w:sz="4" w:space="0"/>
              <w:bottom w:val="single" w:color="auto" w:sz="4" w:space="0"/>
              <w:right w:val="single" w:color="auto" w:sz="4" w:space="0"/>
            </w:tcBorders>
            <w:shd w:val="clear" w:color="auto" w:fill="auto"/>
            <w:vAlign w:val="center"/>
          </w:tcPr>
          <w:p w14:paraId="3BA72E3D">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06967A08">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7F1030DD">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7369FBAD">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14:paraId="481E438C">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8" w:space="0"/>
            </w:tcBorders>
            <w:shd w:val="clear" w:color="auto" w:fill="auto"/>
            <w:vAlign w:val="center"/>
          </w:tcPr>
          <w:p w14:paraId="5AE29E6D">
            <w:pPr>
              <w:pStyle w:val="58"/>
              <w:keepNext w:val="0"/>
              <w:keepLines w:val="0"/>
              <w:suppressLineNumbers w:val="0"/>
              <w:spacing w:before="0" w:beforeAutospacing="0" w:after="0" w:afterAutospacing="0"/>
              <w:ind w:left="0" w:right="0" w:firstLine="360"/>
              <w:rPr>
                <w:rFonts w:hAnsi="宋体"/>
                <w:szCs w:val="18"/>
              </w:rPr>
            </w:pPr>
          </w:p>
        </w:tc>
      </w:tr>
      <w:tr w14:paraId="05D2E80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1" w:type="dxa"/>
            <w:tcBorders>
              <w:top w:val="single" w:color="auto" w:sz="4" w:space="0"/>
              <w:left w:val="single" w:color="auto" w:sz="8" w:space="0"/>
              <w:bottom w:val="single" w:color="auto" w:sz="4" w:space="0"/>
              <w:right w:val="single" w:color="auto" w:sz="4" w:space="0"/>
            </w:tcBorders>
            <w:shd w:val="clear" w:color="auto" w:fill="auto"/>
            <w:vAlign w:val="center"/>
          </w:tcPr>
          <w:p w14:paraId="323E82CA">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7A823B5C">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6CE068E3">
            <w:pPr>
              <w:pStyle w:val="58"/>
              <w:keepNext w:val="0"/>
              <w:keepLines w:val="0"/>
              <w:suppressLineNumbers w:val="0"/>
              <w:spacing w:before="0" w:beforeAutospacing="0" w:after="0" w:afterAutospacing="0"/>
              <w:ind w:left="0" w:right="0" w:firstLine="360"/>
              <w:rPr>
                <w:rFonts w:hAnsi="宋体"/>
                <w:szCs w:val="18"/>
              </w:rPr>
            </w:pPr>
          </w:p>
        </w:tc>
        <w:tc>
          <w:tcPr>
            <w:tcW w:w="1011" w:type="dxa"/>
            <w:tcBorders>
              <w:top w:val="single" w:color="auto" w:sz="4" w:space="0"/>
              <w:left w:val="single" w:color="auto" w:sz="4" w:space="0"/>
              <w:bottom w:val="single" w:color="auto" w:sz="4" w:space="0"/>
              <w:right w:val="single" w:color="auto" w:sz="4" w:space="0"/>
            </w:tcBorders>
            <w:shd w:val="clear" w:color="auto" w:fill="auto"/>
            <w:vAlign w:val="center"/>
          </w:tcPr>
          <w:p w14:paraId="2B40CD2F">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325976B8">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04B624D7">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14236CEE">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14:paraId="538FF576">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8" w:space="0"/>
            </w:tcBorders>
            <w:shd w:val="clear" w:color="auto" w:fill="auto"/>
            <w:vAlign w:val="center"/>
          </w:tcPr>
          <w:p w14:paraId="611C9FAC">
            <w:pPr>
              <w:pStyle w:val="58"/>
              <w:keepNext w:val="0"/>
              <w:keepLines w:val="0"/>
              <w:suppressLineNumbers w:val="0"/>
              <w:spacing w:before="0" w:beforeAutospacing="0" w:after="0" w:afterAutospacing="0"/>
              <w:ind w:left="0" w:right="0" w:firstLine="360"/>
              <w:rPr>
                <w:rFonts w:hAnsi="宋体"/>
                <w:szCs w:val="18"/>
              </w:rPr>
            </w:pPr>
          </w:p>
        </w:tc>
      </w:tr>
      <w:tr w14:paraId="07014E9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1" w:type="dxa"/>
            <w:tcBorders>
              <w:top w:val="single" w:color="auto" w:sz="4" w:space="0"/>
              <w:left w:val="single" w:color="auto" w:sz="8" w:space="0"/>
              <w:bottom w:val="single" w:color="auto" w:sz="4" w:space="0"/>
              <w:right w:val="single" w:color="auto" w:sz="4" w:space="0"/>
            </w:tcBorders>
            <w:shd w:val="clear" w:color="auto" w:fill="auto"/>
            <w:vAlign w:val="center"/>
          </w:tcPr>
          <w:p w14:paraId="26313398">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1941E828">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60470AD6">
            <w:pPr>
              <w:pStyle w:val="58"/>
              <w:keepNext w:val="0"/>
              <w:keepLines w:val="0"/>
              <w:suppressLineNumbers w:val="0"/>
              <w:spacing w:before="0" w:beforeAutospacing="0" w:after="0" w:afterAutospacing="0"/>
              <w:ind w:left="0" w:right="0" w:firstLine="360"/>
              <w:rPr>
                <w:rFonts w:hAnsi="宋体"/>
                <w:szCs w:val="18"/>
              </w:rPr>
            </w:pPr>
          </w:p>
        </w:tc>
        <w:tc>
          <w:tcPr>
            <w:tcW w:w="1011" w:type="dxa"/>
            <w:tcBorders>
              <w:top w:val="single" w:color="auto" w:sz="4" w:space="0"/>
              <w:left w:val="single" w:color="auto" w:sz="4" w:space="0"/>
              <w:bottom w:val="single" w:color="auto" w:sz="4" w:space="0"/>
              <w:right w:val="single" w:color="auto" w:sz="4" w:space="0"/>
            </w:tcBorders>
            <w:shd w:val="clear" w:color="auto" w:fill="auto"/>
            <w:vAlign w:val="center"/>
          </w:tcPr>
          <w:p w14:paraId="6C3836A6">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419C37D9">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292F9DF3">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36B6D784">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14:paraId="455A8DCA">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8" w:space="0"/>
            </w:tcBorders>
            <w:shd w:val="clear" w:color="auto" w:fill="auto"/>
            <w:vAlign w:val="center"/>
          </w:tcPr>
          <w:p w14:paraId="20DD6498">
            <w:pPr>
              <w:pStyle w:val="58"/>
              <w:keepNext w:val="0"/>
              <w:keepLines w:val="0"/>
              <w:suppressLineNumbers w:val="0"/>
              <w:spacing w:before="0" w:beforeAutospacing="0" w:after="0" w:afterAutospacing="0"/>
              <w:ind w:left="0" w:right="0" w:firstLine="360"/>
              <w:rPr>
                <w:rFonts w:hAnsi="宋体"/>
                <w:szCs w:val="18"/>
              </w:rPr>
            </w:pPr>
          </w:p>
        </w:tc>
      </w:tr>
      <w:tr w14:paraId="30BDE11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1" w:type="dxa"/>
            <w:tcBorders>
              <w:top w:val="single" w:color="auto" w:sz="4" w:space="0"/>
              <w:left w:val="single" w:color="auto" w:sz="8" w:space="0"/>
              <w:bottom w:val="single" w:color="auto" w:sz="4" w:space="0"/>
              <w:right w:val="single" w:color="auto" w:sz="4" w:space="0"/>
            </w:tcBorders>
            <w:shd w:val="clear" w:color="auto" w:fill="auto"/>
            <w:vAlign w:val="center"/>
          </w:tcPr>
          <w:p w14:paraId="4DA6BDC3">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32470BFC">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6AA382E8">
            <w:pPr>
              <w:pStyle w:val="58"/>
              <w:keepNext w:val="0"/>
              <w:keepLines w:val="0"/>
              <w:suppressLineNumbers w:val="0"/>
              <w:spacing w:before="0" w:beforeAutospacing="0" w:after="0" w:afterAutospacing="0"/>
              <w:ind w:left="0" w:right="0" w:firstLine="360"/>
              <w:rPr>
                <w:rFonts w:hAnsi="宋体"/>
                <w:szCs w:val="18"/>
              </w:rPr>
            </w:pPr>
          </w:p>
        </w:tc>
        <w:tc>
          <w:tcPr>
            <w:tcW w:w="1011" w:type="dxa"/>
            <w:tcBorders>
              <w:top w:val="single" w:color="auto" w:sz="4" w:space="0"/>
              <w:left w:val="single" w:color="auto" w:sz="4" w:space="0"/>
              <w:bottom w:val="single" w:color="auto" w:sz="4" w:space="0"/>
              <w:right w:val="single" w:color="auto" w:sz="4" w:space="0"/>
            </w:tcBorders>
            <w:shd w:val="clear" w:color="auto" w:fill="auto"/>
            <w:vAlign w:val="center"/>
          </w:tcPr>
          <w:p w14:paraId="1DE1FF9C">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0217CAC8">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65CB1C97">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3C14C711">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14:paraId="0425AB79">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8" w:space="0"/>
            </w:tcBorders>
            <w:shd w:val="clear" w:color="auto" w:fill="auto"/>
            <w:vAlign w:val="center"/>
          </w:tcPr>
          <w:p w14:paraId="343001B2">
            <w:pPr>
              <w:pStyle w:val="58"/>
              <w:keepNext w:val="0"/>
              <w:keepLines w:val="0"/>
              <w:suppressLineNumbers w:val="0"/>
              <w:spacing w:before="0" w:beforeAutospacing="0" w:after="0" w:afterAutospacing="0"/>
              <w:ind w:left="0" w:right="0" w:firstLine="360"/>
              <w:rPr>
                <w:rFonts w:hAnsi="宋体"/>
                <w:szCs w:val="18"/>
              </w:rPr>
            </w:pPr>
          </w:p>
        </w:tc>
      </w:tr>
      <w:tr w14:paraId="49B5A5F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1" w:type="dxa"/>
            <w:tcBorders>
              <w:top w:val="single" w:color="auto" w:sz="4" w:space="0"/>
              <w:left w:val="single" w:color="auto" w:sz="8" w:space="0"/>
              <w:bottom w:val="single" w:color="auto" w:sz="4" w:space="0"/>
              <w:right w:val="single" w:color="auto" w:sz="4" w:space="0"/>
            </w:tcBorders>
            <w:shd w:val="clear" w:color="auto" w:fill="auto"/>
            <w:vAlign w:val="center"/>
          </w:tcPr>
          <w:p w14:paraId="7F71A1AC">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45542DA8">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49686EB5">
            <w:pPr>
              <w:pStyle w:val="58"/>
              <w:keepNext w:val="0"/>
              <w:keepLines w:val="0"/>
              <w:suppressLineNumbers w:val="0"/>
              <w:spacing w:before="0" w:beforeAutospacing="0" w:after="0" w:afterAutospacing="0"/>
              <w:ind w:left="0" w:right="0" w:firstLine="360"/>
              <w:rPr>
                <w:rFonts w:hAnsi="宋体"/>
                <w:szCs w:val="18"/>
              </w:rPr>
            </w:pPr>
          </w:p>
        </w:tc>
        <w:tc>
          <w:tcPr>
            <w:tcW w:w="1011" w:type="dxa"/>
            <w:tcBorders>
              <w:top w:val="single" w:color="auto" w:sz="4" w:space="0"/>
              <w:left w:val="single" w:color="auto" w:sz="4" w:space="0"/>
              <w:bottom w:val="single" w:color="auto" w:sz="4" w:space="0"/>
              <w:right w:val="single" w:color="auto" w:sz="4" w:space="0"/>
            </w:tcBorders>
            <w:shd w:val="clear" w:color="auto" w:fill="auto"/>
            <w:vAlign w:val="center"/>
          </w:tcPr>
          <w:p w14:paraId="466BE614">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4" w:space="0"/>
              <w:right w:val="single" w:color="auto" w:sz="4" w:space="0"/>
            </w:tcBorders>
            <w:shd w:val="clear" w:color="auto" w:fill="auto"/>
            <w:vAlign w:val="center"/>
          </w:tcPr>
          <w:p w14:paraId="34665C51">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55F05B1A">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00E3DFD2">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14:paraId="410E39EE">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4" w:space="0"/>
              <w:right w:val="single" w:color="auto" w:sz="8" w:space="0"/>
            </w:tcBorders>
            <w:shd w:val="clear" w:color="auto" w:fill="auto"/>
            <w:vAlign w:val="center"/>
          </w:tcPr>
          <w:p w14:paraId="59D1339B">
            <w:pPr>
              <w:pStyle w:val="58"/>
              <w:keepNext w:val="0"/>
              <w:keepLines w:val="0"/>
              <w:suppressLineNumbers w:val="0"/>
              <w:spacing w:before="0" w:beforeAutospacing="0" w:after="0" w:afterAutospacing="0"/>
              <w:ind w:left="0" w:right="0" w:firstLine="360"/>
              <w:rPr>
                <w:rFonts w:hAnsi="宋体"/>
                <w:szCs w:val="18"/>
              </w:rPr>
            </w:pPr>
          </w:p>
        </w:tc>
      </w:tr>
      <w:tr w14:paraId="4FD7104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1" w:type="dxa"/>
            <w:tcBorders>
              <w:top w:val="single" w:color="auto" w:sz="4" w:space="0"/>
              <w:left w:val="single" w:color="auto" w:sz="8" w:space="0"/>
              <w:bottom w:val="single" w:color="auto" w:sz="8" w:space="0"/>
              <w:right w:val="single" w:color="auto" w:sz="4" w:space="0"/>
            </w:tcBorders>
            <w:shd w:val="clear" w:color="auto" w:fill="auto"/>
            <w:vAlign w:val="center"/>
          </w:tcPr>
          <w:p w14:paraId="58ABBFDA">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8" w:space="0"/>
              <w:right w:val="single" w:color="auto" w:sz="4" w:space="0"/>
            </w:tcBorders>
            <w:shd w:val="clear" w:color="auto" w:fill="auto"/>
            <w:vAlign w:val="center"/>
          </w:tcPr>
          <w:p w14:paraId="4FEBFBF7">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8" w:space="0"/>
              <w:right w:val="single" w:color="auto" w:sz="4" w:space="0"/>
            </w:tcBorders>
            <w:shd w:val="clear" w:color="auto" w:fill="auto"/>
            <w:vAlign w:val="center"/>
          </w:tcPr>
          <w:p w14:paraId="2B2E108B">
            <w:pPr>
              <w:pStyle w:val="58"/>
              <w:keepNext w:val="0"/>
              <w:keepLines w:val="0"/>
              <w:suppressLineNumbers w:val="0"/>
              <w:spacing w:before="0" w:beforeAutospacing="0" w:after="0" w:afterAutospacing="0"/>
              <w:ind w:left="0" w:right="0" w:firstLine="360"/>
              <w:rPr>
                <w:rFonts w:hAnsi="宋体"/>
                <w:szCs w:val="18"/>
              </w:rPr>
            </w:pPr>
          </w:p>
        </w:tc>
        <w:tc>
          <w:tcPr>
            <w:tcW w:w="1011" w:type="dxa"/>
            <w:tcBorders>
              <w:top w:val="single" w:color="auto" w:sz="4" w:space="0"/>
              <w:left w:val="single" w:color="auto" w:sz="4" w:space="0"/>
              <w:bottom w:val="single" w:color="auto" w:sz="8" w:space="0"/>
              <w:right w:val="single" w:color="auto" w:sz="4" w:space="0"/>
            </w:tcBorders>
            <w:shd w:val="clear" w:color="auto" w:fill="auto"/>
            <w:vAlign w:val="center"/>
          </w:tcPr>
          <w:p w14:paraId="213D67DC">
            <w:pPr>
              <w:pStyle w:val="58"/>
              <w:keepNext w:val="0"/>
              <w:keepLines w:val="0"/>
              <w:suppressLineNumbers w:val="0"/>
              <w:spacing w:before="0" w:beforeAutospacing="0" w:after="0" w:afterAutospacing="0"/>
              <w:ind w:left="0" w:right="0" w:firstLine="360"/>
              <w:rPr>
                <w:rFonts w:hAnsi="宋体"/>
                <w:szCs w:val="18"/>
              </w:rPr>
            </w:pPr>
          </w:p>
        </w:tc>
        <w:tc>
          <w:tcPr>
            <w:tcW w:w="1006" w:type="dxa"/>
            <w:tcBorders>
              <w:top w:val="single" w:color="auto" w:sz="4" w:space="0"/>
              <w:left w:val="single" w:color="auto" w:sz="4" w:space="0"/>
              <w:bottom w:val="single" w:color="auto" w:sz="8" w:space="0"/>
              <w:right w:val="single" w:color="auto" w:sz="4" w:space="0"/>
            </w:tcBorders>
            <w:shd w:val="clear" w:color="auto" w:fill="auto"/>
            <w:vAlign w:val="center"/>
          </w:tcPr>
          <w:p w14:paraId="4BC621B6">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8" w:space="0"/>
              <w:right w:val="single" w:color="auto" w:sz="4" w:space="0"/>
            </w:tcBorders>
            <w:shd w:val="clear" w:color="auto" w:fill="auto"/>
            <w:vAlign w:val="center"/>
          </w:tcPr>
          <w:p w14:paraId="0B082534">
            <w:pPr>
              <w:pStyle w:val="58"/>
              <w:keepNext w:val="0"/>
              <w:keepLines w:val="0"/>
              <w:suppressLineNumbers w:val="0"/>
              <w:spacing w:before="0" w:beforeAutospacing="0" w:after="0" w:afterAutospacing="0"/>
              <w:ind w:left="0" w:right="0" w:firstLine="360"/>
              <w:rPr>
                <w:rFonts w:hAnsi="宋体"/>
                <w:szCs w:val="18"/>
              </w:rPr>
            </w:pPr>
          </w:p>
        </w:tc>
        <w:tc>
          <w:tcPr>
            <w:tcW w:w="992" w:type="dxa"/>
            <w:tcBorders>
              <w:top w:val="single" w:color="auto" w:sz="4" w:space="0"/>
              <w:left w:val="single" w:color="auto" w:sz="4" w:space="0"/>
              <w:bottom w:val="single" w:color="auto" w:sz="8" w:space="0"/>
              <w:right w:val="single" w:color="auto" w:sz="4" w:space="0"/>
            </w:tcBorders>
            <w:shd w:val="clear" w:color="auto" w:fill="auto"/>
            <w:vAlign w:val="center"/>
          </w:tcPr>
          <w:p w14:paraId="5287E673">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8" w:space="0"/>
              <w:right w:val="single" w:color="auto" w:sz="4" w:space="0"/>
            </w:tcBorders>
            <w:shd w:val="clear" w:color="auto" w:fill="auto"/>
            <w:vAlign w:val="center"/>
          </w:tcPr>
          <w:p w14:paraId="42A0AA36">
            <w:pPr>
              <w:pStyle w:val="58"/>
              <w:keepNext w:val="0"/>
              <w:keepLines w:val="0"/>
              <w:suppressLineNumbers w:val="0"/>
              <w:spacing w:before="0" w:beforeAutospacing="0" w:after="0" w:afterAutospacing="0"/>
              <w:ind w:left="0" w:right="0" w:firstLine="360"/>
              <w:rPr>
                <w:rFonts w:hAnsi="宋体"/>
                <w:szCs w:val="18"/>
              </w:rPr>
            </w:pPr>
          </w:p>
        </w:tc>
        <w:tc>
          <w:tcPr>
            <w:tcW w:w="994" w:type="dxa"/>
            <w:tcBorders>
              <w:top w:val="single" w:color="auto" w:sz="4" w:space="0"/>
              <w:left w:val="single" w:color="auto" w:sz="4" w:space="0"/>
              <w:bottom w:val="single" w:color="auto" w:sz="8" w:space="0"/>
              <w:right w:val="single" w:color="auto" w:sz="8" w:space="0"/>
            </w:tcBorders>
            <w:shd w:val="clear" w:color="auto" w:fill="auto"/>
            <w:vAlign w:val="center"/>
          </w:tcPr>
          <w:p w14:paraId="28AEAAB1">
            <w:pPr>
              <w:pStyle w:val="58"/>
              <w:keepNext w:val="0"/>
              <w:keepLines w:val="0"/>
              <w:suppressLineNumbers w:val="0"/>
              <w:spacing w:before="0" w:beforeAutospacing="0" w:after="0" w:afterAutospacing="0"/>
              <w:ind w:left="0" w:right="0" w:firstLine="360"/>
              <w:rPr>
                <w:rFonts w:hAnsi="宋体"/>
                <w:szCs w:val="18"/>
              </w:rPr>
            </w:pPr>
          </w:p>
        </w:tc>
      </w:tr>
      <w:tr w14:paraId="3AC6760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978" w:type="dxa"/>
            <w:gridSpan w:val="9"/>
            <w:tcBorders>
              <w:top w:val="single" w:color="auto" w:sz="8" w:space="0"/>
              <w:left w:val="single" w:color="auto" w:sz="8" w:space="0"/>
              <w:bottom w:val="single" w:color="auto" w:sz="8" w:space="0"/>
              <w:right w:val="single" w:color="auto" w:sz="8" w:space="0"/>
            </w:tcBorders>
            <w:shd w:val="clear" w:color="auto" w:fill="auto"/>
            <w:vAlign w:val="center"/>
          </w:tcPr>
          <w:p w14:paraId="08996F89">
            <w:pPr>
              <w:pStyle w:val="57"/>
              <w:keepNext w:val="0"/>
              <w:keepLines w:val="0"/>
              <w:pageBreakBefore w:val="0"/>
              <w:widowControl/>
              <w:suppressLineNumbers w:val="0"/>
              <w:kinsoku/>
              <w:wordWrap/>
              <w:overflowPunct/>
              <w:topLinePunct w:val="0"/>
              <w:autoSpaceDE w:val="0"/>
              <w:autoSpaceDN w:val="0"/>
              <w:bidi w:val="0"/>
              <w:adjustRightInd/>
              <w:snapToGrid/>
              <w:spacing w:before="0" w:beforeAutospacing="0" w:after="0" w:afterAutospacing="0"/>
              <w:ind w:left="0" w:right="0" w:firstLine="363"/>
              <w:textAlignment w:val="auto"/>
              <w:rPr>
                <w:rFonts w:hAnsi="宋体"/>
              </w:rPr>
            </w:pPr>
            <w:r>
              <w:rPr>
                <w:rFonts w:hAnsi="宋体"/>
              </w:rPr>
              <w:t>物候期：营养生长包括萌芽期、展叶期、全叶期、落叶期；生殖生长包括孢子形成和成熟期。</w:t>
            </w:r>
          </w:p>
          <w:p w14:paraId="01587D2A">
            <w:pPr>
              <w:pStyle w:val="57"/>
              <w:keepNext w:val="0"/>
              <w:keepLines w:val="0"/>
              <w:pageBreakBefore w:val="0"/>
              <w:widowControl/>
              <w:suppressLineNumbers w:val="0"/>
              <w:kinsoku/>
              <w:wordWrap/>
              <w:overflowPunct/>
              <w:topLinePunct w:val="0"/>
              <w:autoSpaceDE w:val="0"/>
              <w:autoSpaceDN w:val="0"/>
              <w:bidi w:val="0"/>
              <w:adjustRightInd/>
              <w:snapToGrid/>
              <w:spacing w:before="0" w:beforeAutospacing="0" w:after="0" w:afterAutospacing="0"/>
              <w:ind w:left="0" w:right="0" w:firstLine="363"/>
              <w:textAlignment w:val="auto"/>
              <w:rPr>
                <w:rFonts w:hAnsi="宋体"/>
              </w:rPr>
            </w:pPr>
            <w:r>
              <w:rPr>
                <w:rFonts w:hAnsi="宋体"/>
              </w:rPr>
              <w:t>生长状况：优、良、一般。</w:t>
            </w:r>
          </w:p>
        </w:tc>
      </w:tr>
    </w:tbl>
    <w:p w14:paraId="6AAB7044">
      <w:pPr>
        <w:pStyle w:val="29"/>
        <w:rPr>
          <w:rFonts w:hint="eastAsia" w:ascii="仿宋_GB2312" w:eastAsia="仿宋_GB2312" w:cs="仿宋"/>
          <w:sz w:val="28"/>
          <w:szCs w:val="28"/>
        </w:rPr>
      </w:pPr>
      <w:r>
        <w:rPr>
          <w:rFonts w:hint="eastAsia"/>
        </w:rPr>
        <w:t>桫椤迁入地环境因子变化监测表</w:t>
      </w:r>
    </w:p>
    <w:tbl>
      <w:tblPr>
        <w:tblStyle w:val="14"/>
        <w:tblW w:w="9356"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1039"/>
        <w:gridCol w:w="1040"/>
        <w:gridCol w:w="1039"/>
        <w:gridCol w:w="1040"/>
        <w:gridCol w:w="1039"/>
        <w:gridCol w:w="1040"/>
        <w:gridCol w:w="1039"/>
        <w:gridCol w:w="1040"/>
        <w:gridCol w:w="1040"/>
      </w:tblGrid>
      <w:tr w14:paraId="6D6111E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10" w:hRule="atLeast"/>
          <w:jc w:val="center"/>
        </w:trPr>
        <w:tc>
          <w:tcPr>
            <w:tcW w:w="1039" w:type="dxa"/>
            <w:tcBorders>
              <w:top w:val="single" w:color="auto" w:sz="8" w:space="0"/>
              <w:left w:val="single" w:color="auto" w:sz="8" w:space="0"/>
              <w:bottom w:val="single" w:color="auto" w:sz="8" w:space="0"/>
              <w:right w:val="single" w:color="auto" w:sz="4" w:space="0"/>
            </w:tcBorders>
            <w:shd w:val="clear" w:color="auto" w:fill="auto"/>
            <w:vAlign w:val="center"/>
          </w:tcPr>
          <w:p w14:paraId="4DFED810">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ind w:left="0" w:right="0" w:firstLine="0"/>
              <w:jc w:val="center"/>
              <w:textAlignment w:val="auto"/>
              <w:rPr>
                <w:rFonts w:hint="default"/>
                <w:sz w:val="18"/>
                <w:szCs w:val="21"/>
              </w:rPr>
            </w:pPr>
            <w:r>
              <w:rPr>
                <w:rFonts w:hint="eastAsia" w:cs="宋体"/>
                <w:sz w:val="18"/>
                <w:szCs w:val="21"/>
                <w:lang w:bidi="ar"/>
              </w:rPr>
              <w:t>记录</w:t>
            </w:r>
          </w:p>
          <w:p w14:paraId="44B3C537">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ind w:left="0" w:right="0" w:firstLine="0"/>
              <w:jc w:val="center"/>
              <w:textAlignment w:val="auto"/>
              <w:rPr>
                <w:rFonts w:hint="default" w:ascii="宋体" w:cs="宋体"/>
                <w:kern w:val="0"/>
                <w:sz w:val="18"/>
                <w:szCs w:val="21"/>
              </w:rPr>
            </w:pPr>
            <w:r>
              <w:rPr>
                <w:rFonts w:hint="eastAsia" w:cs="宋体"/>
                <w:sz w:val="18"/>
                <w:szCs w:val="21"/>
                <w:lang w:bidi="ar"/>
              </w:rPr>
              <w:t>日期</w:t>
            </w:r>
          </w:p>
        </w:tc>
        <w:tc>
          <w:tcPr>
            <w:tcW w:w="1040" w:type="dxa"/>
            <w:tcBorders>
              <w:top w:val="single" w:color="auto" w:sz="8" w:space="0"/>
              <w:left w:val="single" w:color="auto" w:sz="4" w:space="0"/>
              <w:bottom w:val="single" w:color="auto" w:sz="8" w:space="0"/>
              <w:right w:val="single" w:color="auto" w:sz="4" w:space="0"/>
            </w:tcBorders>
            <w:shd w:val="clear" w:color="auto" w:fill="auto"/>
            <w:vAlign w:val="center"/>
          </w:tcPr>
          <w:p w14:paraId="3FA19BEF">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ind w:left="0" w:right="0" w:firstLine="0"/>
              <w:jc w:val="center"/>
              <w:textAlignment w:val="auto"/>
              <w:rPr>
                <w:rFonts w:hint="default" w:ascii="宋体" w:cs="宋体"/>
                <w:kern w:val="0"/>
                <w:sz w:val="18"/>
                <w:szCs w:val="21"/>
              </w:rPr>
            </w:pPr>
            <w:r>
              <w:rPr>
                <w:rFonts w:hint="eastAsia" w:ascii="宋体" w:cs="宋体"/>
                <w:kern w:val="0"/>
                <w:sz w:val="18"/>
                <w:szCs w:val="21"/>
                <w:lang w:bidi="ar"/>
              </w:rPr>
              <w:t>地点</w:t>
            </w:r>
          </w:p>
          <w:p w14:paraId="35E7E835">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ind w:left="0" w:right="0" w:firstLine="0"/>
              <w:jc w:val="center"/>
              <w:textAlignment w:val="auto"/>
              <w:rPr>
                <w:rFonts w:hint="default" w:ascii="宋体" w:cs="宋体"/>
                <w:kern w:val="0"/>
                <w:sz w:val="18"/>
                <w:szCs w:val="21"/>
              </w:rPr>
            </w:pPr>
            <w:r>
              <w:rPr>
                <w:rFonts w:hint="eastAsia" w:ascii="宋体" w:cs="宋体"/>
                <w:kern w:val="0"/>
                <w:sz w:val="18"/>
                <w:szCs w:val="21"/>
                <w:lang w:bidi="ar"/>
              </w:rPr>
              <w:t>编号</w:t>
            </w:r>
          </w:p>
        </w:tc>
        <w:tc>
          <w:tcPr>
            <w:tcW w:w="1039" w:type="dxa"/>
            <w:tcBorders>
              <w:top w:val="single" w:color="auto" w:sz="8" w:space="0"/>
              <w:left w:val="single" w:color="auto" w:sz="4" w:space="0"/>
              <w:bottom w:val="single" w:color="auto" w:sz="8" w:space="0"/>
              <w:right w:val="single" w:color="auto" w:sz="4" w:space="0"/>
            </w:tcBorders>
            <w:shd w:val="clear" w:color="auto" w:fill="auto"/>
            <w:vAlign w:val="center"/>
          </w:tcPr>
          <w:p w14:paraId="1CC3FE91">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ind w:left="0" w:right="0" w:firstLine="0"/>
              <w:jc w:val="center"/>
              <w:textAlignment w:val="auto"/>
              <w:rPr>
                <w:rFonts w:hint="default" w:ascii="宋体" w:cs="宋体"/>
                <w:kern w:val="0"/>
                <w:sz w:val="18"/>
                <w:szCs w:val="21"/>
              </w:rPr>
            </w:pPr>
            <w:r>
              <w:rPr>
                <w:rFonts w:hint="eastAsia" w:ascii="宋体" w:cs="宋体"/>
                <w:kern w:val="0"/>
                <w:sz w:val="18"/>
                <w:szCs w:val="21"/>
                <w:lang w:bidi="ar"/>
              </w:rPr>
              <w:t>监测面积（m</w:t>
            </w:r>
            <w:r>
              <w:rPr>
                <w:rFonts w:hint="eastAsia" w:ascii="宋体" w:cs="宋体"/>
                <w:kern w:val="0"/>
                <w:sz w:val="18"/>
                <w:szCs w:val="21"/>
                <w:vertAlign w:val="superscript"/>
                <w:lang w:bidi="ar"/>
              </w:rPr>
              <w:t>2</w:t>
            </w:r>
            <w:r>
              <w:rPr>
                <w:rFonts w:hint="eastAsia" w:ascii="宋体" w:cs="宋体"/>
                <w:kern w:val="0"/>
                <w:sz w:val="18"/>
                <w:szCs w:val="21"/>
                <w:lang w:bidi="ar"/>
              </w:rPr>
              <w:t>）</w:t>
            </w:r>
          </w:p>
        </w:tc>
        <w:tc>
          <w:tcPr>
            <w:tcW w:w="1040" w:type="dxa"/>
            <w:tcBorders>
              <w:top w:val="single" w:color="auto" w:sz="8" w:space="0"/>
              <w:left w:val="single" w:color="auto" w:sz="4" w:space="0"/>
              <w:bottom w:val="single" w:color="auto" w:sz="8" w:space="0"/>
              <w:right w:val="single" w:color="auto" w:sz="4" w:space="0"/>
            </w:tcBorders>
            <w:shd w:val="clear" w:color="auto" w:fill="auto"/>
            <w:vAlign w:val="center"/>
          </w:tcPr>
          <w:p w14:paraId="2609B4D4">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ind w:left="0" w:right="0" w:firstLine="0"/>
              <w:jc w:val="center"/>
              <w:textAlignment w:val="auto"/>
              <w:rPr>
                <w:rFonts w:hint="default" w:ascii="宋体" w:cs="宋体"/>
                <w:kern w:val="0"/>
                <w:sz w:val="18"/>
                <w:szCs w:val="21"/>
              </w:rPr>
            </w:pPr>
            <w:r>
              <w:rPr>
                <w:rFonts w:hint="eastAsia" w:ascii="宋体" w:cs="宋体"/>
                <w:kern w:val="0"/>
                <w:sz w:val="18"/>
                <w:szCs w:val="21"/>
                <w:lang w:bidi="ar"/>
              </w:rPr>
              <w:t>温度</w:t>
            </w:r>
          </w:p>
          <w:p w14:paraId="5D6AECAD">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ind w:left="0" w:right="0" w:firstLine="0"/>
              <w:jc w:val="center"/>
              <w:textAlignment w:val="auto"/>
              <w:rPr>
                <w:rFonts w:hint="default" w:ascii="宋体" w:cs="宋体"/>
                <w:kern w:val="0"/>
                <w:sz w:val="18"/>
                <w:szCs w:val="21"/>
              </w:rPr>
            </w:pPr>
            <w:r>
              <w:rPr>
                <w:rFonts w:hint="eastAsia" w:ascii="宋体" w:cs="宋体"/>
                <w:kern w:val="0"/>
                <w:sz w:val="18"/>
                <w:szCs w:val="21"/>
                <w:lang w:bidi="ar"/>
              </w:rPr>
              <w:t>（℃）</w:t>
            </w:r>
          </w:p>
        </w:tc>
        <w:tc>
          <w:tcPr>
            <w:tcW w:w="1039" w:type="dxa"/>
            <w:tcBorders>
              <w:top w:val="single" w:color="auto" w:sz="8" w:space="0"/>
              <w:left w:val="single" w:color="auto" w:sz="4" w:space="0"/>
              <w:bottom w:val="single" w:color="auto" w:sz="8" w:space="0"/>
              <w:right w:val="single" w:color="auto" w:sz="4" w:space="0"/>
            </w:tcBorders>
            <w:shd w:val="clear" w:color="auto" w:fill="auto"/>
            <w:vAlign w:val="center"/>
          </w:tcPr>
          <w:p w14:paraId="6A068382">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ind w:left="0" w:right="0" w:firstLine="0"/>
              <w:jc w:val="center"/>
              <w:textAlignment w:val="auto"/>
              <w:rPr>
                <w:rFonts w:hint="default" w:ascii="宋体" w:cs="宋体"/>
                <w:kern w:val="0"/>
                <w:sz w:val="18"/>
                <w:szCs w:val="21"/>
              </w:rPr>
            </w:pPr>
            <w:r>
              <w:rPr>
                <w:rFonts w:hint="eastAsia" w:ascii="宋体" w:cs="宋体"/>
                <w:kern w:val="0"/>
                <w:sz w:val="18"/>
                <w:szCs w:val="21"/>
                <w:lang w:bidi="ar"/>
              </w:rPr>
              <w:t>降水量（mm）</w:t>
            </w:r>
          </w:p>
        </w:tc>
        <w:tc>
          <w:tcPr>
            <w:tcW w:w="1040" w:type="dxa"/>
            <w:tcBorders>
              <w:top w:val="single" w:color="auto" w:sz="8" w:space="0"/>
              <w:left w:val="single" w:color="auto" w:sz="4" w:space="0"/>
              <w:bottom w:val="single" w:color="auto" w:sz="8" w:space="0"/>
              <w:right w:val="single" w:color="auto" w:sz="4" w:space="0"/>
            </w:tcBorders>
            <w:shd w:val="clear" w:color="auto" w:fill="auto"/>
            <w:vAlign w:val="center"/>
          </w:tcPr>
          <w:p w14:paraId="16F00A31">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ind w:left="0" w:right="0" w:firstLine="0"/>
              <w:jc w:val="center"/>
              <w:textAlignment w:val="auto"/>
              <w:rPr>
                <w:rFonts w:hint="default" w:ascii="宋体" w:cs="宋体"/>
                <w:kern w:val="0"/>
                <w:sz w:val="18"/>
                <w:szCs w:val="21"/>
              </w:rPr>
            </w:pPr>
            <w:r>
              <w:rPr>
                <w:rFonts w:hint="eastAsia" w:ascii="宋体" w:cs="宋体"/>
                <w:kern w:val="0"/>
                <w:sz w:val="18"/>
                <w:szCs w:val="21"/>
                <w:lang w:bidi="ar"/>
              </w:rPr>
              <w:t>土壤pH</w:t>
            </w:r>
          </w:p>
        </w:tc>
        <w:tc>
          <w:tcPr>
            <w:tcW w:w="1039" w:type="dxa"/>
            <w:tcBorders>
              <w:top w:val="single" w:color="auto" w:sz="8" w:space="0"/>
              <w:left w:val="single" w:color="auto" w:sz="4" w:space="0"/>
              <w:bottom w:val="single" w:color="auto" w:sz="8" w:space="0"/>
              <w:right w:val="single" w:color="auto" w:sz="4" w:space="0"/>
            </w:tcBorders>
            <w:shd w:val="clear" w:color="auto" w:fill="auto"/>
            <w:vAlign w:val="center"/>
          </w:tcPr>
          <w:p w14:paraId="11C3A5DD">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ind w:left="0" w:right="0" w:firstLine="0"/>
              <w:jc w:val="center"/>
              <w:textAlignment w:val="auto"/>
              <w:rPr>
                <w:rFonts w:hint="default" w:ascii="宋体" w:cs="宋体"/>
                <w:kern w:val="0"/>
                <w:sz w:val="18"/>
                <w:szCs w:val="21"/>
              </w:rPr>
            </w:pPr>
            <w:r>
              <w:rPr>
                <w:rFonts w:hint="eastAsia" w:ascii="宋体" w:cs="宋体"/>
                <w:kern w:val="0"/>
                <w:sz w:val="18"/>
                <w:szCs w:val="21"/>
                <w:lang w:bidi="ar"/>
              </w:rPr>
              <w:t>气候状况</w:t>
            </w:r>
          </w:p>
        </w:tc>
        <w:tc>
          <w:tcPr>
            <w:tcW w:w="1040" w:type="dxa"/>
            <w:tcBorders>
              <w:top w:val="single" w:color="auto" w:sz="8" w:space="0"/>
              <w:left w:val="single" w:color="auto" w:sz="4" w:space="0"/>
              <w:bottom w:val="single" w:color="auto" w:sz="8" w:space="0"/>
              <w:right w:val="single" w:color="auto" w:sz="4" w:space="0"/>
            </w:tcBorders>
            <w:shd w:val="clear" w:color="auto" w:fill="auto"/>
            <w:vAlign w:val="center"/>
          </w:tcPr>
          <w:p w14:paraId="19BEBB45">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ind w:left="0" w:right="0" w:firstLine="0"/>
              <w:jc w:val="center"/>
              <w:textAlignment w:val="auto"/>
              <w:rPr>
                <w:rFonts w:hint="default" w:ascii="宋体" w:cs="宋体"/>
                <w:kern w:val="0"/>
                <w:sz w:val="18"/>
                <w:szCs w:val="21"/>
              </w:rPr>
            </w:pPr>
            <w:r>
              <w:rPr>
                <w:rFonts w:hint="eastAsia" w:ascii="宋体" w:cs="宋体"/>
                <w:kern w:val="0"/>
                <w:sz w:val="18"/>
                <w:szCs w:val="21"/>
                <w:lang w:bidi="ar"/>
              </w:rPr>
              <w:t>照片编号</w:t>
            </w:r>
          </w:p>
        </w:tc>
        <w:tc>
          <w:tcPr>
            <w:tcW w:w="1040" w:type="dxa"/>
            <w:tcBorders>
              <w:top w:val="single" w:color="auto" w:sz="8" w:space="0"/>
              <w:left w:val="single" w:color="auto" w:sz="4" w:space="0"/>
              <w:bottom w:val="single" w:color="auto" w:sz="8" w:space="0"/>
              <w:right w:val="single" w:color="auto" w:sz="8" w:space="0"/>
            </w:tcBorders>
            <w:shd w:val="clear" w:color="auto" w:fill="auto"/>
            <w:vAlign w:val="center"/>
          </w:tcPr>
          <w:p w14:paraId="45231172">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ind w:left="0" w:right="0" w:firstLine="0"/>
              <w:jc w:val="center"/>
              <w:textAlignment w:val="auto"/>
              <w:rPr>
                <w:rFonts w:hint="default" w:ascii="宋体" w:cs="宋体"/>
                <w:kern w:val="0"/>
                <w:sz w:val="18"/>
                <w:szCs w:val="21"/>
              </w:rPr>
            </w:pPr>
            <w:r>
              <w:rPr>
                <w:rFonts w:hint="eastAsia" w:cs="宋体"/>
                <w:sz w:val="18"/>
                <w:szCs w:val="21"/>
                <w:lang w:bidi="ar"/>
              </w:rPr>
              <w:t>记录人</w:t>
            </w:r>
          </w:p>
        </w:tc>
      </w:tr>
      <w:tr w14:paraId="033399A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039" w:type="dxa"/>
            <w:tcBorders>
              <w:top w:val="single" w:color="auto" w:sz="8" w:space="0"/>
              <w:left w:val="single" w:color="auto" w:sz="8" w:space="0"/>
              <w:bottom w:val="single" w:color="auto" w:sz="4" w:space="0"/>
              <w:right w:val="single" w:color="auto" w:sz="4" w:space="0"/>
            </w:tcBorders>
            <w:shd w:val="clear" w:color="auto" w:fill="auto"/>
            <w:vAlign w:val="center"/>
          </w:tcPr>
          <w:p w14:paraId="3FF90D22">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8" w:space="0"/>
              <w:left w:val="single" w:color="auto" w:sz="4" w:space="0"/>
              <w:bottom w:val="single" w:color="auto" w:sz="4" w:space="0"/>
              <w:right w:val="single" w:color="auto" w:sz="4" w:space="0"/>
            </w:tcBorders>
            <w:shd w:val="clear" w:color="auto" w:fill="auto"/>
            <w:vAlign w:val="center"/>
          </w:tcPr>
          <w:p w14:paraId="5079A3FF">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8" w:space="0"/>
              <w:left w:val="single" w:color="auto" w:sz="4" w:space="0"/>
              <w:bottom w:val="single" w:color="auto" w:sz="4" w:space="0"/>
              <w:right w:val="single" w:color="auto" w:sz="4" w:space="0"/>
            </w:tcBorders>
            <w:shd w:val="clear" w:color="auto" w:fill="auto"/>
            <w:vAlign w:val="center"/>
          </w:tcPr>
          <w:p w14:paraId="659554E3">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8" w:space="0"/>
              <w:left w:val="single" w:color="auto" w:sz="4" w:space="0"/>
              <w:bottom w:val="single" w:color="auto" w:sz="4" w:space="0"/>
              <w:right w:val="single" w:color="auto" w:sz="4" w:space="0"/>
            </w:tcBorders>
            <w:shd w:val="clear" w:color="auto" w:fill="auto"/>
            <w:vAlign w:val="center"/>
          </w:tcPr>
          <w:p w14:paraId="2CE66DD8">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8" w:space="0"/>
              <w:left w:val="single" w:color="auto" w:sz="4" w:space="0"/>
              <w:bottom w:val="single" w:color="auto" w:sz="4" w:space="0"/>
              <w:right w:val="single" w:color="auto" w:sz="4" w:space="0"/>
            </w:tcBorders>
            <w:shd w:val="clear" w:color="auto" w:fill="auto"/>
            <w:vAlign w:val="center"/>
          </w:tcPr>
          <w:p w14:paraId="1F10C818">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8" w:space="0"/>
              <w:left w:val="single" w:color="auto" w:sz="4" w:space="0"/>
              <w:bottom w:val="single" w:color="auto" w:sz="4" w:space="0"/>
              <w:right w:val="single" w:color="auto" w:sz="4" w:space="0"/>
            </w:tcBorders>
            <w:shd w:val="clear" w:color="auto" w:fill="auto"/>
            <w:vAlign w:val="center"/>
          </w:tcPr>
          <w:p w14:paraId="61D90547">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8" w:space="0"/>
              <w:left w:val="single" w:color="auto" w:sz="4" w:space="0"/>
              <w:bottom w:val="single" w:color="auto" w:sz="4" w:space="0"/>
              <w:right w:val="single" w:color="auto" w:sz="4" w:space="0"/>
            </w:tcBorders>
            <w:shd w:val="clear" w:color="auto" w:fill="auto"/>
            <w:vAlign w:val="center"/>
          </w:tcPr>
          <w:p w14:paraId="5DAC5659">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8" w:space="0"/>
              <w:left w:val="single" w:color="auto" w:sz="4" w:space="0"/>
              <w:bottom w:val="single" w:color="auto" w:sz="4" w:space="0"/>
              <w:right w:val="single" w:color="auto" w:sz="4" w:space="0"/>
            </w:tcBorders>
            <w:shd w:val="clear" w:color="auto" w:fill="auto"/>
            <w:vAlign w:val="center"/>
          </w:tcPr>
          <w:p w14:paraId="37798134">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8" w:space="0"/>
              <w:left w:val="single" w:color="auto" w:sz="4" w:space="0"/>
              <w:bottom w:val="single" w:color="auto" w:sz="4" w:space="0"/>
              <w:right w:val="single" w:color="auto" w:sz="8" w:space="0"/>
            </w:tcBorders>
            <w:shd w:val="clear" w:color="auto" w:fill="auto"/>
            <w:vAlign w:val="center"/>
          </w:tcPr>
          <w:p w14:paraId="4B5E7ECF">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r>
      <w:tr w14:paraId="13BA007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039" w:type="dxa"/>
            <w:tcBorders>
              <w:top w:val="single" w:color="auto" w:sz="4" w:space="0"/>
              <w:left w:val="single" w:color="auto" w:sz="8" w:space="0"/>
              <w:bottom w:val="single" w:color="auto" w:sz="4" w:space="0"/>
              <w:right w:val="single" w:color="auto" w:sz="4" w:space="0"/>
            </w:tcBorders>
            <w:shd w:val="clear" w:color="auto" w:fill="auto"/>
            <w:vAlign w:val="center"/>
          </w:tcPr>
          <w:p w14:paraId="6D9A55F6">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54E0A459">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490DBCFA">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2F17AA13">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39E459EB">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085A5CFF">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0DAE6733">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76B9CAB8">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8" w:space="0"/>
            </w:tcBorders>
            <w:shd w:val="clear" w:color="auto" w:fill="auto"/>
            <w:vAlign w:val="center"/>
          </w:tcPr>
          <w:p w14:paraId="50A2E1B7">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r>
      <w:tr w14:paraId="4A26473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039" w:type="dxa"/>
            <w:tcBorders>
              <w:top w:val="single" w:color="auto" w:sz="4" w:space="0"/>
              <w:left w:val="single" w:color="auto" w:sz="8" w:space="0"/>
              <w:bottom w:val="single" w:color="auto" w:sz="4" w:space="0"/>
              <w:right w:val="single" w:color="auto" w:sz="4" w:space="0"/>
            </w:tcBorders>
            <w:shd w:val="clear" w:color="auto" w:fill="auto"/>
            <w:vAlign w:val="center"/>
          </w:tcPr>
          <w:p w14:paraId="61B0F760">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5D0EFA69">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22A97480">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59E70A9F">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0F8F517A">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08357563">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05E5160F">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408BEEAD">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8" w:space="0"/>
            </w:tcBorders>
            <w:shd w:val="clear" w:color="auto" w:fill="auto"/>
            <w:vAlign w:val="center"/>
          </w:tcPr>
          <w:p w14:paraId="535049A6">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r>
      <w:tr w14:paraId="12312CE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039" w:type="dxa"/>
            <w:tcBorders>
              <w:top w:val="single" w:color="auto" w:sz="4" w:space="0"/>
              <w:left w:val="single" w:color="auto" w:sz="8" w:space="0"/>
              <w:bottom w:val="single" w:color="auto" w:sz="4" w:space="0"/>
              <w:right w:val="single" w:color="auto" w:sz="4" w:space="0"/>
            </w:tcBorders>
            <w:shd w:val="clear" w:color="auto" w:fill="auto"/>
            <w:vAlign w:val="center"/>
          </w:tcPr>
          <w:p w14:paraId="3987B226">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25CA1E1E">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55F23538">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47F09AC2">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746DD027">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33D7538B">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66ACBA36">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0B7084BC">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8" w:space="0"/>
            </w:tcBorders>
            <w:shd w:val="clear" w:color="auto" w:fill="auto"/>
            <w:vAlign w:val="center"/>
          </w:tcPr>
          <w:p w14:paraId="76A0CEF9">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r>
      <w:tr w14:paraId="41D4DCF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039" w:type="dxa"/>
            <w:tcBorders>
              <w:top w:val="single" w:color="auto" w:sz="4" w:space="0"/>
              <w:left w:val="single" w:color="auto" w:sz="8" w:space="0"/>
              <w:bottom w:val="single" w:color="auto" w:sz="4" w:space="0"/>
              <w:right w:val="single" w:color="auto" w:sz="4" w:space="0"/>
            </w:tcBorders>
            <w:shd w:val="clear" w:color="auto" w:fill="auto"/>
            <w:vAlign w:val="center"/>
          </w:tcPr>
          <w:p w14:paraId="0393887C">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4DE7C13B">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4EECD983">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6F6151B3">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03883B70">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1C5CF176">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34A7F111">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29D7F1AB">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8" w:space="0"/>
            </w:tcBorders>
            <w:shd w:val="clear" w:color="auto" w:fill="auto"/>
            <w:vAlign w:val="center"/>
          </w:tcPr>
          <w:p w14:paraId="5C5EF474">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r>
      <w:tr w14:paraId="7965378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039" w:type="dxa"/>
            <w:tcBorders>
              <w:top w:val="single" w:color="auto" w:sz="4" w:space="0"/>
              <w:left w:val="single" w:color="auto" w:sz="8" w:space="0"/>
              <w:bottom w:val="single" w:color="auto" w:sz="4" w:space="0"/>
              <w:right w:val="single" w:color="auto" w:sz="4" w:space="0"/>
            </w:tcBorders>
            <w:shd w:val="clear" w:color="auto" w:fill="auto"/>
            <w:vAlign w:val="center"/>
          </w:tcPr>
          <w:p w14:paraId="4B46E438">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603FC9C9">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479E72BC">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28DC1588">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3B0C3F71">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383A0D18">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526E0156">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409F63E5">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8" w:space="0"/>
            </w:tcBorders>
            <w:shd w:val="clear" w:color="auto" w:fill="auto"/>
            <w:vAlign w:val="center"/>
          </w:tcPr>
          <w:p w14:paraId="115CE2D0">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r>
      <w:tr w14:paraId="52F3A32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039" w:type="dxa"/>
            <w:tcBorders>
              <w:top w:val="single" w:color="auto" w:sz="4" w:space="0"/>
              <w:left w:val="single" w:color="auto" w:sz="8" w:space="0"/>
              <w:bottom w:val="single" w:color="auto" w:sz="4" w:space="0"/>
              <w:right w:val="single" w:color="auto" w:sz="4" w:space="0"/>
            </w:tcBorders>
            <w:shd w:val="clear" w:color="auto" w:fill="auto"/>
            <w:vAlign w:val="center"/>
          </w:tcPr>
          <w:p w14:paraId="2D38F3EC">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29407F7B">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6EDD60BD">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4253D6A4">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1355C538">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709C1249">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0A669EA9">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647D2C78">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8" w:space="0"/>
            </w:tcBorders>
            <w:shd w:val="clear" w:color="auto" w:fill="auto"/>
            <w:vAlign w:val="center"/>
          </w:tcPr>
          <w:p w14:paraId="2F94F49C">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r>
      <w:tr w14:paraId="7ED17B0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039" w:type="dxa"/>
            <w:tcBorders>
              <w:top w:val="single" w:color="auto" w:sz="4" w:space="0"/>
              <w:left w:val="single" w:color="auto" w:sz="8" w:space="0"/>
              <w:bottom w:val="single" w:color="auto" w:sz="4" w:space="0"/>
              <w:right w:val="single" w:color="auto" w:sz="4" w:space="0"/>
            </w:tcBorders>
            <w:shd w:val="clear" w:color="auto" w:fill="auto"/>
            <w:vAlign w:val="center"/>
          </w:tcPr>
          <w:p w14:paraId="01E48DF6">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36E48EC2">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3A3C9C89">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60B9FC27">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6DA2D9B6">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4AB09C3F">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7B540A36">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55D74D72">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8" w:space="0"/>
            </w:tcBorders>
            <w:shd w:val="clear" w:color="auto" w:fill="auto"/>
            <w:vAlign w:val="center"/>
          </w:tcPr>
          <w:p w14:paraId="1AC4D795">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r>
      <w:tr w14:paraId="299BA71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039" w:type="dxa"/>
            <w:tcBorders>
              <w:top w:val="single" w:color="auto" w:sz="4" w:space="0"/>
              <w:left w:val="single" w:color="auto" w:sz="8" w:space="0"/>
              <w:bottom w:val="single" w:color="auto" w:sz="4" w:space="0"/>
              <w:right w:val="single" w:color="auto" w:sz="4" w:space="0"/>
            </w:tcBorders>
            <w:shd w:val="clear" w:color="auto" w:fill="auto"/>
            <w:vAlign w:val="center"/>
          </w:tcPr>
          <w:p w14:paraId="6CDAAB4F">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1F14EE49">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0EC3343C">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363A7F69">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075E004E">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3853E00F">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3B21F389">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61728BD8">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8" w:space="0"/>
            </w:tcBorders>
            <w:shd w:val="clear" w:color="auto" w:fill="auto"/>
            <w:vAlign w:val="center"/>
          </w:tcPr>
          <w:p w14:paraId="497246FF">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r>
      <w:tr w14:paraId="460AC91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039" w:type="dxa"/>
            <w:tcBorders>
              <w:top w:val="single" w:color="auto" w:sz="4" w:space="0"/>
              <w:left w:val="single" w:color="auto" w:sz="8" w:space="0"/>
              <w:bottom w:val="single" w:color="auto" w:sz="4" w:space="0"/>
              <w:right w:val="single" w:color="auto" w:sz="4" w:space="0"/>
            </w:tcBorders>
            <w:shd w:val="clear" w:color="auto" w:fill="auto"/>
            <w:vAlign w:val="center"/>
          </w:tcPr>
          <w:p w14:paraId="338D877F">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69119DCB">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63DF752C">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0E9EFF91">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04BF0458">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2F164CF5">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05931432">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767A76B0">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8" w:space="0"/>
            </w:tcBorders>
            <w:shd w:val="clear" w:color="auto" w:fill="auto"/>
            <w:vAlign w:val="center"/>
          </w:tcPr>
          <w:p w14:paraId="53282470">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r>
      <w:tr w14:paraId="1D30924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039" w:type="dxa"/>
            <w:tcBorders>
              <w:top w:val="single" w:color="auto" w:sz="4" w:space="0"/>
              <w:left w:val="single" w:color="auto" w:sz="8" w:space="0"/>
              <w:bottom w:val="single" w:color="auto" w:sz="4" w:space="0"/>
              <w:right w:val="single" w:color="auto" w:sz="4" w:space="0"/>
            </w:tcBorders>
            <w:shd w:val="clear" w:color="auto" w:fill="auto"/>
            <w:vAlign w:val="center"/>
          </w:tcPr>
          <w:p w14:paraId="26D20AA5">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62EF1CC1">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0A2EF687">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46B4476C">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0D24E4C9">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5B69B1BC">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4" w:space="0"/>
              <w:right w:val="single" w:color="auto" w:sz="4" w:space="0"/>
            </w:tcBorders>
            <w:shd w:val="clear" w:color="auto" w:fill="auto"/>
            <w:vAlign w:val="center"/>
          </w:tcPr>
          <w:p w14:paraId="00D4546A">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4" w:space="0"/>
            </w:tcBorders>
            <w:shd w:val="clear" w:color="auto" w:fill="auto"/>
            <w:vAlign w:val="center"/>
          </w:tcPr>
          <w:p w14:paraId="6CB71530">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4" w:space="0"/>
              <w:right w:val="single" w:color="auto" w:sz="8" w:space="0"/>
            </w:tcBorders>
            <w:shd w:val="clear" w:color="auto" w:fill="auto"/>
            <w:vAlign w:val="center"/>
          </w:tcPr>
          <w:p w14:paraId="46B4B27F">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r>
      <w:tr w14:paraId="1C8EDED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039" w:type="dxa"/>
            <w:tcBorders>
              <w:top w:val="single" w:color="auto" w:sz="4" w:space="0"/>
              <w:left w:val="single" w:color="auto" w:sz="8" w:space="0"/>
              <w:bottom w:val="single" w:color="auto" w:sz="8" w:space="0"/>
              <w:right w:val="single" w:color="auto" w:sz="4" w:space="0"/>
            </w:tcBorders>
            <w:shd w:val="clear" w:color="auto" w:fill="auto"/>
            <w:vAlign w:val="center"/>
          </w:tcPr>
          <w:p w14:paraId="6B683CA0">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8" w:space="0"/>
              <w:right w:val="single" w:color="auto" w:sz="4" w:space="0"/>
            </w:tcBorders>
            <w:shd w:val="clear" w:color="auto" w:fill="auto"/>
            <w:vAlign w:val="center"/>
          </w:tcPr>
          <w:p w14:paraId="18EAC4FB">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8" w:space="0"/>
              <w:right w:val="single" w:color="auto" w:sz="4" w:space="0"/>
            </w:tcBorders>
            <w:shd w:val="clear" w:color="auto" w:fill="auto"/>
            <w:vAlign w:val="center"/>
          </w:tcPr>
          <w:p w14:paraId="01939898">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8" w:space="0"/>
              <w:right w:val="single" w:color="auto" w:sz="4" w:space="0"/>
            </w:tcBorders>
            <w:shd w:val="clear" w:color="auto" w:fill="auto"/>
            <w:vAlign w:val="center"/>
          </w:tcPr>
          <w:p w14:paraId="1651B6AB">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8" w:space="0"/>
              <w:right w:val="single" w:color="auto" w:sz="4" w:space="0"/>
            </w:tcBorders>
            <w:shd w:val="clear" w:color="auto" w:fill="auto"/>
            <w:vAlign w:val="center"/>
          </w:tcPr>
          <w:p w14:paraId="57D9817B">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8" w:space="0"/>
              <w:right w:val="single" w:color="auto" w:sz="4" w:space="0"/>
            </w:tcBorders>
            <w:shd w:val="clear" w:color="auto" w:fill="auto"/>
            <w:vAlign w:val="center"/>
          </w:tcPr>
          <w:p w14:paraId="4E493C56">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39" w:type="dxa"/>
            <w:tcBorders>
              <w:top w:val="single" w:color="auto" w:sz="4" w:space="0"/>
              <w:left w:val="single" w:color="auto" w:sz="4" w:space="0"/>
              <w:bottom w:val="single" w:color="auto" w:sz="8" w:space="0"/>
              <w:right w:val="single" w:color="auto" w:sz="4" w:space="0"/>
            </w:tcBorders>
            <w:shd w:val="clear" w:color="auto" w:fill="auto"/>
            <w:vAlign w:val="center"/>
          </w:tcPr>
          <w:p w14:paraId="6A9C9FEF">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8" w:space="0"/>
              <w:right w:val="single" w:color="auto" w:sz="4" w:space="0"/>
            </w:tcBorders>
            <w:shd w:val="clear" w:color="auto" w:fill="auto"/>
            <w:vAlign w:val="center"/>
          </w:tcPr>
          <w:p w14:paraId="15B074DC">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c>
          <w:tcPr>
            <w:tcW w:w="1040" w:type="dxa"/>
            <w:tcBorders>
              <w:top w:val="single" w:color="auto" w:sz="4" w:space="0"/>
              <w:left w:val="single" w:color="auto" w:sz="4" w:space="0"/>
              <w:bottom w:val="single" w:color="auto" w:sz="8" w:space="0"/>
              <w:right w:val="single" w:color="auto" w:sz="8" w:space="0"/>
            </w:tcBorders>
            <w:shd w:val="clear" w:color="auto" w:fill="auto"/>
            <w:vAlign w:val="center"/>
          </w:tcPr>
          <w:p w14:paraId="2D7FD804">
            <w:pPr>
              <w:keepNext w:val="0"/>
              <w:keepLines w:val="0"/>
              <w:suppressLineNumbers w:val="0"/>
              <w:adjustRightInd w:val="0"/>
              <w:spacing w:before="0" w:beforeAutospacing="0" w:after="0" w:afterAutospacing="0"/>
              <w:ind w:left="0" w:right="0" w:firstLine="360"/>
              <w:rPr>
                <w:rFonts w:hint="default" w:ascii="宋体" w:cs="宋体"/>
                <w:kern w:val="0"/>
                <w:sz w:val="18"/>
                <w:szCs w:val="21"/>
              </w:rPr>
            </w:pPr>
          </w:p>
        </w:tc>
      </w:tr>
    </w:tbl>
    <w:p w14:paraId="30084363">
      <w:pPr>
        <w:spacing w:line="500" w:lineRule="exact"/>
        <w:ind w:firstLine="562"/>
        <w:rPr>
          <w:rFonts w:ascii="仿宋_GB2312" w:eastAsia="仿宋_GB2312" w:cs="仿宋"/>
          <w:b/>
          <w:sz w:val="28"/>
          <w:szCs w:val="28"/>
        </w:rPr>
      </w:pPr>
    </w:p>
    <w:p w14:paraId="480DFFE9">
      <w:pPr>
        <w:spacing w:line="500" w:lineRule="exact"/>
        <w:ind w:firstLine="562"/>
        <w:rPr>
          <w:rFonts w:ascii="仿宋_GB2312" w:eastAsia="仿宋_GB2312" w:cs="仿宋"/>
          <w:b/>
          <w:sz w:val="28"/>
          <w:szCs w:val="28"/>
        </w:rPr>
      </w:pPr>
      <w:r>
        <w:rPr>
          <w:rFonts w:hint="eastAsia" w:ascii="仿宋_GB2312" w:eastAsia="仿宋_GB2312" w:cs="仿宋"/>
          <w:b/>
          <w:sz w:val="28"/>
          <w:szCs w:val="28"/>
        </w:rPr>
        <w:t>（</w:t>
      </w:r>
      <w:r>
        <w:rPr>
          <w:rFonts w:hint="eastAsia" w:ascii="仿宋_GB2312" w:eastAsia="仿宋_GB2312" w:cs="仿宋"/>
          <w:b/>
          <w:sz w:val="28"/>
          <w:szCs w:val="28"/>
          <w:lang w:eastAsia="zh-CN"/>
        </w:rPr>
        <w:t>八</w:t>
      </w:r>
      <w:r>
        <w:rPr>
          <w:rFonts w:hint="eastAsia" w:ascii="仿宋_GB2312" w:eastAsia="仿宋_GB2312" w:cs="仿宋"/>
          <w:b/>
          <w:sz w:val="28"/>
          <w:szCs w:val="28"/>
        </w:rPr>
        <w:t>）效果评价</w:t>
      </w:r>
    </w:p>
    <w:p w14:paraId="5C1F6A68">
      <w:pPr>
        <w:spacing w:line="500" w:lineRule="exact"/>
        <w:ind w:firstLine="562" w:firstLineChars="200"/>
        <w:rPr>
          <w:rFonts w:ascii="仿宋_GB2312" w:eastAsia="仿宋_GB2312"/>
          <w:sz w:val="28"/>
          <w:szCs w:val="28"/>
        </w:rPr>
      </w:pPr>
      <w:r>
        <w:rPr>
          <w:rFonts w:hint="eastAsia" w:ascii="仿宋_GB2312" w:eastAsia="仿宋_GB2312" w:cs="仿宋"/>
          <w:b/>
          <w:sz w:val="28"/>
          <w:szCs w:val="28"/>
        </w:rPr>
        <w:t>效果评价</w:t>
      </w:r>
      <w:r>
        <w:rPr>
          <w:rFonts w:hint="eastAsia" w:ascii="仿宋_GB2312" w:eastAsia="仿宋_GB2312" w:cs="仿宋"/>
          <w:bCs/>
          <w:sz w:val="28"/>
          <w:szCs w:val="28"/>
        </w:rPr>
        <w:t>按《LY/T 3086.2  极小种群野生植物保护技术  第2部分：迁地保护技术规程》的规定执行。</w:t>
      </w:r>
    </w:p>
    <w:p w14:paraId="3C41ECAD">
      <w:pPr>
        <w:pStyle w:val="29"/>
        <w:spacing w:line="240" w:lineRule="auto"/>
        <w:rPr>
          <w:rFonts w:hint="eastAsia"/>
        </w:rPr>
      </w:pPr>
      <w:r>
        <w:drawing>
          <wp:inline distT="0" distB="0" distL="114300" distR="114300">
            <wp:extent cx="5683885" cy="2236470"/>
            <wp:effectExtent l="9525" t="9525" r="21590" b="20955"/>
            <wp:docPr id="2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7"/>
                    <pic:cNvPicPr>
                      <a:picLocks noChangeAspect="1"/>
                    </pic:cNvPicPr>
                  </pic:nvPicPr>
                  <pic:blipFill>
                    <a:blip r:embed="rId17"/>
                    <a:stretch>
                      <a:fillRect/>
                    </a:stretch>
                  </pic:blipFill>
                  <pic:spPr>
                    <a:xfrm>
                      <a:off x="0" y="0"/>
                      <a:ext cx="5683885" cy="2236470"/>
                    </a:xfrm>
                    <a:prstGeom prst="rect">
                      <a:avLst/>
                    </a:prstGeom>
                    <a:noFill/>
                    <a:ln>
                      <a:solidFill>
                        <a:schemeClr val="tx1"/>
                      </a:solidFill>
                    </a:ln>
                  </pic:spPr>
                </pic:pic>
              </a:graphicData>
            </a:graphic>
          </wp:inline>
        </w:drawing>
      </w:r>
      <w:r>
        <w:rPr>
          <w:rFonts w:hint="eastAsia"/>
        </w:rPr>
        <w:t>来源：LY/T 3086.2  极小种群野生植物保护技术  第2部分：迁地保护技术规程</w:t>
      </w:r>
    </w:p>
    <w:p w14:paraId="48217AF8">
      <w:pPr>
        <w:spacing w:line="500" w:lineRule="exact"/>
        <w:ind w:firstLine="562"/>
        <w:rPr>
          <w:rFonts w:ascii="仿宋_GB2312" w:eastAsia="仿宋_GB2312" w:cs="仿宋"/>
          <w:b/>
          <w:sz w:val="28"/>
          <w:szCs w:val="28"/>
        </w:rPr>
      </w:pPr>
      <w:r>
        <w:rPr>
          <w:rFonts w:hint="eastAsia" w:ascii="仿宋_GB2312" w:eastAsia="仿宋_GB2312" w:cs="仿宋"/>
          <w:b/>
          <w:sz w:val="28"/>
          <w:szCs w:val="28"/>
        </w:rPr>
        <w:t>（</w:t>
      </w:r>
      <w:r>
        <w:rPr>
          <w:rFonts w:hint="eastAsia" w:ascii="仿宋_GB2312" w:eastAsia="仿宋_GB2312" w:cs="仿宋"/>
          <w:b/>
          <w:sz w:val="28"/>
          <w:szCs w:val="28"/>
          <w:lang w:eastAsia="zh-CN"/>
        </w:rPr>
        <w:t>九</w:t>
      </w:r>
      <w:r>
        <w:rPr>
          <w:rFonts w:hint="eastAsia" w:ascii="仿宋_GB2312" w:eastAsia="仿宋_GB2312" w:cs="仿宋"/>
          <w:b/>
          <w:sz w:val="28"/>
          <w:szCs w:val="28"/>
        </w:rPr>
        <w:t>）档案管理</w:t>
      </w:r>
    </w:p>
    <w:p w14:paraId="477758EE">
      <w:pPr>
        <w:spacing w:line="500" w:lineRule="exact"/>
        <w:ind w:firstLine="562" w:firstLineChars="200"/>
        <w:rPr>
          <w:rFonts w:ascii="仿宋_GB2312" w:eastAsia="仿宋_GB2312"/>
          <w:sz w:val="28"/>
          <w:szCs w:val="28"/>
        </w:rPr>
      </w:pPr>
      <w:r>
        <w:rPr>
          <w:rFonts w:hint="eastAsia" w:ascii="仿宋_GB2312" w:eastAsia="仿宋_GB2312" w:cs="仿宋"/>
          <w:b/>
          <w:sz w:val="28"/>
          <w:szCs w:val="28"/>
        </w:rPr>
        <w:t>档案管理</w:t>
      </w:r>
      <w:r>
        <w:rPr>
          <w:rFonts w:hint="eastAsia" w:ascii="仿宋_GB2312" w:eastAsia="仿宋_GB2312" w:cs="仿宋"/>
          <w:bCs/>
          <w:sz w:val="28"/>
          <w:szCs w:val="28"/>
        </w:rPr>
        <w:t>参考《T/GXAS 712  喀斯特地区极小种群野生植物迁地保护技术规程》的规定并根据广西壮族自治区林业科学研究院等起草单位的桫椤迁地保护经验而确定。</w:t>
      </w:r>
    </w:p>
    <w:p w14:paraId="489B7E53">
      <w:pPr>
        <w:pStyle w:val="29"/>
        <w:spacing w:line="240" w:lineRule="auto"/>
        <w:rPr>
          <w:rFonts w:hint="eastAsia" w:ascii="仿宋_GB2312" w:eastAsia="仿宋_GB2312" w:cs="仿宋"/>
          <w:sz w:val="28"/>
          <w:szCs w:val="28"/>
        </w:rPr>
      </w:pPr>
      <w:r>
        <w:drawing>
          <wp:inline distT="0" distB="0" distL="114300" distR="114300">
            <wp:extent cx="5229225" cy="1123950"/>
            <wp:effectExtent l="9525" t="9525" r="19050" b="9525"/>
            <wp:docPr id="2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8"/>
                    <pic:cNvPicPr>
                      <a:picLocks noChangeAspect="1"/>
                    </pic:cNvPicPr>
                  </pic:nvPicPr>
                  <pic:blipFill>
                    <a:blip r:embed="rId18"/>
                    <a:stretch>
                      <a:fillRect/>
                    </a:stretch>
                  </pic:blipFill>
                  <pic:spPr>
                    <a:xfrm>
                      <a:off x="0" y="0"/>
                      <a:ext cx="5229225" cy="1123950"/>
                    </a:xfrm>
                    <a:prstGeom prst="rect">
                      <a:avLst/>
                    </a:prstGeom>
                    <a:noFill/>
                    <a:ln>
                      <a:solidFill>
                        <a:schemeClr val="tx1"/>
                      </a:solidFill>
                    </a:ln>
                  </pic:spPr>
                </pic:pic>
              </a:graphicData>
            </a:graphic>
          </wp:inline>
        </w:drawing>
      </w:r>
    </w:p>
    <w:p w14:paraId="104A0428">
      <w:pPr>
        <w:pStyle w:val="29"/>
        <w:rPr>
          <w:rFonts w:hint="eastAsia"/>
        </w:rPr>
      </w:pPr>
      <w:r>
        <w:rPr>
          <w:rFonts w:hint="eastAsia"/>
        </w:rPr>
        <w:t>来源：T/GXAS 712  喀斯特地区极小种群野生植物迁地保护技术规程</w:t>
      </w:r>
    </w:p>
    <w:p w14:paraId="028E2962">
      <w:pPr>
        <w:pStyle w:val="31"/>
        <w:numPr>
          <w:ilvl w:val="0"/>
          <w:numId w:val="0"/>
        </w:numPr>
        <w:spacing w:beforeLines="0" w:afterLines="0" w:line="360" w:lineRule="auto"/>
        <w:rPr>
          <w:bCs/>
          <w:sz w:val="32"/>
          <w:szCs w:val="32"/>
        </w:rPr>
      </w:pPr>
      <w:r>
        <w:rPr>
          <w:rFonts w:hint="eastAsia"/>
          <w:b/>
          <w:bCs/>
          <w:sz w:val="32"/>
          <w:szCs w:val="32"/>
        </w:rPr>
        <w:t>六</w:t>
      </w:r>
      <w:r>
        <w:rPr>
          <w:rFonts w:hint="eastAsia"/>
          <w:bCs/>
          <w:sz w:val="32"/>
          <w:szCs w:val="32"/>
        </w:rPr>
        <w:t>、</w:t>
      </w:r>
      <w:r>
        <w:rPr>
          <w:rFonts w:hint="eastAsia"/>
          <w:sz w:val="32"/>
          <w:szCs w:val="32"/>
        </w:rPr>
        <w:t>重大意见分歧的处理依据和结果</w:t>
      </w:r>
    </w:p>
    <w:p w14:paraId="22D64695">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本标准研制过程中无重大分歧意见。</w:t>
      </w:r>
    </w:p>
    <w:p w14:paraId="115E7B88">
      <w:pPr>
        <w:autoSpaceDE w:val="0"/>
        <w:autoSpaceDN w:val="0"/>
        <w:adjustRightInd w:val="0"/>
        <w:spacing w:before="156" w:beforeLines="50" w:after="156" w:afterLines="50" w:line="520" w:lineRule="exact"/>
        <w:ind w:firstLine="640" w:firstLineChars="200"/>
        <w:outlineLvl w:val="0"/>
        <w:rPr>
          <w:rFonts w:eastAsia="黑体"/>
          <w:sz w:val="32"/>
          <w:szCs w:val="32"/>
        </w:rPr>
      </w:pPr>
      <w:r>
        <w:rPr>
          <w:rFonts w:hint="eastAsia" w:ascii="黑体" w:eastAsia="黑体"/>
          <w:bCs/>
          <w:sz w:val="32"/>
          <w:szCs w:val="32"/>
        </w:rPr>
        <w:t>七、</w:t>
      </w:r>
      <w:r>
        <w:rPr>
          <w:rFonts w:hint="eastAsia" w:eastAsia="黑体"/>
          <w:sz w:val="32"/>
          <w:szCs w:val="32"/>
        </w:rPr>
        <w:t>实施标准的措施</w:t>
      </w:r>
    </w:p>
    <w:p w14:paraId="70B5B9C4">
      <w:pPr>
        <w:spacing w:line="50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（一）标准报批发布后，成立标准宣贯工作组</w:t>
      </w:r>
    </w:p>
    <w:p w14:paraId="06A4783C">
      <w:pPr>
        <w:spacing w:line="500" w:lineRule="exact"/>
        <w:ind w:firstLine="560" w:firstLineChars="200"/>
        <w:rPr>
          <w:rFonts w:ascii="仿宋_GB2312" w:eastAsia="仿宋_GB2312"/>
          <w:sz w:val="28"/>
          <w:szCs w:val="28"/>
        </w:rPr>
      </w:pPr>
      <w:r>
        <w:rPr>
          <w:rFonts w:hint="eastAsia" w:ascii="仿宋_GB2312" w:eastAsia="仿宋_GB2312"/>
          <w:sz w:val="28"/>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6EA55C27">
      <w:pPr>
        <w:spacing w:line="500" w:lineRule="exact"/>
        <w:ind w:firstLine="562" w:firstLineChars="200"/>
        <w:rPr>
          <w:rFonts w:ascii="仿宋_GB2312" w:eastAsia="仿宋_GB2312"/>
          <w:b/>
          <w:sz w:val="28"/>
          <w:szCs w:val="28"/>
        </w:rPr>
      </w:pPr>
      <w:r>
        <w:rPr>
          <w:rFonts w:hint="eastAsia" w:ascii="仿宋_GB2312" w:eastAsia="仿宋_GB2312"/>
          <w:b/>
          <w:sz w:val="28"/>
          <w:szCs w:val="28"/>
        </w:rPr>
        <w:t>（二）组织开展标准宣贯培训</w:t>
      </w:r>
    </w:p>
    <w:p w14:paraId="58CD3383">
      <w:pPr>
        <w:spacing w:line="500" w:lineRule="exact"/>
        <w:ind w:firstLine="560" w:firstLineChars="200"/>
        <w:rPr>
          <w:rFonts w:ascii="仿宋_GB2312" w:eastAsia="仿宋_GB2312"/>
          <w:sz w:val="28"/>
          <w:szCs w:val="28"/>
        </w:rPr>
      </w:pPr>
      <w:r>
        <w:rPr>
          <w:rFonts w:hint="eastAsia" w:ascii="仿宋_GB2312" w:eastAsia="仿宋_GB2312"/>
          <w:sz w:val="28"/>
          <w:szCs w:val="28"/>
        </w:rPr>
        <w:t>标准发布实施后，标准宣贯工作小组制作标准解读宣贯培训PPT课件和标准核心技术明白书，并按标准宣贯培训计划深入各市县相关机构，对相关人员开展标准宣贯培训，对标准进行逐条解读，让相关人员掌握标准核心技术内容，助力标准实施落地，推动桫椤迁地保护高质量发展。</w:t>
      </w:r>
    </w:p>
    <w:p w14:paraId="533DFF6E">
      <w:pPr>
        <w:spacing w:line="500" w:lineRule="exact"/>
        <w:ind w:firstLine="562" w:firstLineChars="200"/>
        <w:rPr>
          <w:rFonts w:ascii="仿宋_GB2312" w:eastAsia="仿宋_GB2312"/>
          <w:b/>
          <w:sz w:val="28"/>
          <w:szCs w:val="28"/>
        </w:rPr>
      </w:pPr>
      <w:r>
        <w:rPr>
          <w:rFonts w:hint="eastAsia" w:ascii="仿宋_GB2312" w:eastAsia="仿宋_GB2312"/>
          <w:b/>
          <w:sz w:val="28"/>
          <w:szCs w:val="28"/>
        </w:rPr>
        <w:t>（三）开展标准实施交流会，收集标准实施反馈信息</w:t>
      </w:r>
    </w:p>
    <w:p w14:paraId="0C7D0CCF">
      <w:pPr>
        <w:spacing w:line="500" w:lineRule="exact"/>
        <w:ind w:firstLine="560" w:firstLineChars="200"/>
        <w:rPr>
          <w:rFonts w:ascii="仿宋_GB2312" w:eastAsia="仿宋_GB2312"/>
          <w:sz w:val="28"/>
          <w:szCs w:val="28"/>
        </w:rPr>
      </w:pPr>
      <w:r>
        <w:rPr>
          <w:rFonts w:hint="eastAsia" w:ascii="仿宋_GB2312" w:eastAsia="仿宋_GB2312"/>
          <w:sz w:val="28"/>
          <w:szCs w:val="28"/>
        </w:rPr>
        <w:t>标准起草小组深入各市县相关机构组织相关人员召开标准实施交流会，听取标准实施过程中存在的问题并做好记录和解答，对存在的问题组织专家团队进行研讨，为标准的复审修订做准备。</w:t>
      </w:r>
    </w:p>
    <w:p w14:paraId="34611F9E">
      <w:pPr>
        <w:spacing w:line="500" w:lineRule="exact"/>
        <w:ind w:firstLine="562" w:firstLineChars="200"/>
        <w:rPr>
          <w:rFonts w:ascii="仿宋_GB2312" w:eastAsia="仿宋_GB2312"/>
          <w:b/>
          <w:sz w:val="28"/>
          <w:szCs w:val="28"/>
        </w:rPr>
      </w:pPr>
      <w:r>
        <w:rPr>
          <w:rFonts w:hint="eastAsia" w:ascii="仿宋_GB2312" w:eastAsia="仿宋_GB2312"/>
          <w:b/>
          <w:sz w:val="28"/>
          <w:szCs w:val="28"/>
        </w:rPr>
        <w:t>（四）开展标准实施效果评估</w:t>
      </w:r>
    </w:p>
    <w:p w14:paraId="0D06AFA4">
      <w:pPr>
        <w:spacing w:line="500" w:lineRule="exact"/>
        <w:ind w:firstLine="560" w:firstLineChars="200"/>
        <w:rPr>
          <w:rFonts w:ascii="仿宋_GB2312" w:eastAsia="仿宋_GB2312"/>
          <w:sz w:val="28"/>
          <w:szCs w:val="28"/>
        </w:rPr>
      </w:pPr>
      <w:r>
        <w:rPr>
          <w:rFonts w:hint="eastAsia" w:ascii="仿宋_GB2312" w:eastAsia="仿宋_GB2312"/>
          <w:sz w:val="28"/>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548CE5BE">
      <w:pPr>
        <w:spacing w:before="240" w:after="60" w:line="520" w:lineRule="exact"/>
        <w:ind w:firstLine="640" w:firstLineChars="200"/>
        <w:outlineLvl w:val="0"/>
        <w:rPr>
          <w:rFonts w:ascii="黑体" w:eastAsia="黑体"/>
          <w:bCs/>
          <w:sz w:val="32"/>
          <w:szCs w:val="32"/>
        </w:rPr>
      </w:pPr>
      <w:r>
        <w:rPr>
          <w:rFonts w:hint="eastAsia" w:ascii="黑体" w:eastAsia="黑体"/>
          <w:bCs/>
          <w:sz w:val="32"/>
          <w:szCs w:val="32"/>
        </w:rPr>
        <w:t>八、其他应当说明的事项</w:t>
      </w:r>
    </w:p>
    <w:p w14:paraId="3C568895">
      <w:pPr>
        <w:spacing w:line="520" w:lineRule="exact"/>
        <w:ind w:firstLine="560" w:firstLineChars="200"/>
        <w:rPr>
          <w:rFonts w:ascii="仿宋_GB2312" w:eastAsia="仿宋_GB2312"/>
          <w:sz w:val="28"/>
          <w:szCs w:val="28"/>
        </w:rPr>
      </w:pPr>
      <w:r>
        <w:rPr>
          <w:rFonts w:hint="eastAsia" w:ascii="仿宋_GB2312" w:eastAsia="仿宋_GB2312"/>
          <w:sz w:val="28"/>
          <w:szCs w:val="28"/>
        </w:rPr>
        <w:t>无。</w:t>
      </w:r>
    </w:p>
    <w:p w14:paraId="5EC29ECF">
      <w:pPr>
        <w:autoSpaceDE w:val="0"/>
        <w:autoSpaceDN w:val="0"/>
        <w:adjustRightInd w:val="0"/>
        <w:spacing w:before="156" w:beforeLines="50" w:after="156" w:afterLines="50" w:line="520" w:lineRule="exact"/>
        <w:ind w:firstLine="640"/>
        <w:outlineLvl w:val="0"/>
        <w:rPr>
          <w:rFonts w:eastAsia="黑体"/>
          <w:sz w:val="32"/>
          <w:szCs w:val="32"/>
        </w:rPr>
      </w:pPr>
      <w:r>
        <w:rPr>
          <w:rFonts w:hint="eastAsia" w:eastAsia="黑体"/>
          <w:sz w:val="32"/>
          <w:szCs w:val="32"/>
        </w:rPr>
        <w:t>九、自我承诺</w:t>
      </w:r>
    </w:p>
    <w:p w14:paraId="6B534D81">
      <w:pPr>
        <w:spacing w:line="520" w:lineRule="exact"/>
        <w:ind w:firstLine="560" w:firstLineChars="200"/>
        <w:rPr>
          <w:rFonts w:ascii="仿宋_GB2312" w:eastAsia="仿宋_GB2312"/>
          <w:sz w:val="28"/>
          <w:szCs w:val="28"/>
        </w:rPr>
      </w:pPr>
      <w:r>
        <w:rPr>
          <w:rFonts w:hint="eastAsia" w:ascii="仿宋_GB2312" w:eastAsia="仿宋_GB2312"/>
          <w:sz w:val="28"/>
          <w:szCs w:val="28"/>
        </w:rPr>
        <w:t>该标准的内容符合国家相关法律法规，技术要求不低于强制性国家标准的相关技术要求，与相关的国家、行业推荐性标准协调一致，标准的编写符合GB/T 1.1-2020的要求。</w:t>
      </w:r>
    </w:p>
    <w:p w14:paraId="75D133B0">
      <w:pPr>
        <w:pStyle w:val="22"/>
        <w:rPr>
          <w:rFonts w:ascii="仿宋_GB2312" w:eastAsia="仿宋_GB2312"/>
          <w:sz w:val="28"/>
          <w:szCs w:val="28"/>
        </w:rPr>
      </w:pPr>
    </w:p>
    <w:p w14:paraId="75B8E171">
      <w:pPr>
        <w:pStyle w:val="22"/>
        <w:rPr>
          <w:rFonts w:ascii="仿宋_GB2312" w:eastAsia="仿宋_GB2312"/>
          <w:sz w:val="28"/>
          <w:szCs w:val="28"/>
        </w:rPr>
      </w:pPr>
    </w:p>
    <w:p w14:paraId="50ADABA7">
      <w:pPr>
        <w:spacing w:before="240" w:after="60" w:line="520" w:lineRule="exact"/>
        <w:ind w:firstLine="3220" w:firstLineChars="1150"/>
        <w:outlineLvl w:val="0"/>
        <w:rPr>
          <w:rFonts w:ascii="仿宋_GB2312" w:eastAsia="仿宋_GB2312"/>
          <w:sz w:val="28"/>
          <w:szCs w:val="28"/>
        </w:rPr>
      </w:pPr>
      <w:r>
        <w:rPr>
          <w:rFonts w:hint="eastAsia" w:ascii="仿宋_GB2312" w:eastAsia="仿宋_GB2312"/>
          <w:sz w:val="28"/>
          <w:szCs w:val="28"/>
        </w:rPr>
        <w:t>团体标准《桫椤迁地保护技术规程》</w:t>
      </w:r>
    </w:p>
    <w:p w14:paraId="319F0C65">
      <w:pPr>
        <w:spacing w:line="520" w:lineRule="exact"/>
        <w:ind w:right="1120"/>
        <w:jc w:val="center"/>
        <w:rPr>
          <w:rFonts w:ascii="仿宋_GB2312" w:eastAsia="仿宋_GB2312"/>
          <w:sz w:val="28"/>
          <w:szCs w:val="28"/>
        </w:rPr>
      </w:pPr>
      <w:r>
        <w:rPr>
          <w:rFonts w:hint="eastAsia" w:ascii="仿宋_GB2312" w:eastAsia="仿宋_GB2312"/>
          <w:sz w:val="28"/>
          <w:szCs w:val="28"/>
        </w:rPr>
        <w:t xml:space="preserve">                                  标准编制工作组</w:t>
      </w:r>
    </w:p>
    <w:p w14:paraId="3DAB59A8">
      <w:pPr>
        <w:spacing w:line="520" w:lineRule="exact"/>
        <w:ind w:firstLine="640" w:firstLineChars="200"/>
        <w:rPr>
          <w:rFonts w:ascii="仿宋_GB2312" w:eastAsia="仿宋_GB2312"/>
          <w:sz w:val="28"/>
          <w:szCs w:val="28"/>
        </w:rPr>
      </w:pPr>
      <w:r>
        <w:rPr>
          <w:rFonts w:hint="eastAsia" w:ascii="仿宋_GB2312" w:eastAsia="仿宋_GB2312"/>
          <w:sz w:val="32"/>
          <w:szCs w:val="28"/>
        </w:rPr>
        <w:t xml:space="preserve">                             </w:t>
      </w:r>
      <w:r>
        <w:rPr>
          <w:rFonts w:hint="eastAsia" w:ascii="仿宋_GB2312" w:eastAsia="仿宋_GB2312"/>
          <w:sz w:val="28"/>
          <w:szCs w:val="28"/>
        </w:rPr>
        <w:t>2025年5月2</w:t>
      </w:r>
      <w:r>
        <w:rPr>
          <w:rFonts w:hint="eastAsia" w:ascii="仿宋_GB2312" w:eastAsia="仿宋_GB2312"/>
          <w:sz w:val="28"/>
          <w:szCs w:val="28"/>
          <w:lang w:val="en-US" w:eastAsia="zh-CN"/>
        </w:rPr>
        <w:t>9</w:t>
      </w:r>
      <w:r>
        <w:rPr>
          <w:rFonts w:hint="eastAsia" w:ascii="仿宋_GB2312" w:eastAsia="仿宋_GB2312"/>
          <w:sz w:val="28"/>
          <w:szCs w:val="28"/>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DA4DFD3-3DE2-4E5B-83C4-2944A389E755}"/>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2" w:fontKey="{2713C4A6-8A24-4D5C-9D11-DA039EBF6B62}"/>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 w:name="方正小标宋简体">
    <w:panose1 w:val="03000509000000000000"/>
    <w:charset w:val="86"/>
    <w:family w:val="auto"/>
    <w:pitch w:val="default"/>
    <w:sig w:usb0="00000001" w:usb1="080E0000" w:usb2="00000000" w:usb3="00000000" w:csb0="00040000" w:csb1="00000000"/>
    <w:embedRegular r:id="rId3" w:fontKey="{52AB33BE-2EB5-4562-98F0-630CF43AE894}"/>
  </w:font>
  <w:font w:name="仿宋_GB2312">
    <w:panose1 w:val="02010609030101010101"/>
    <w:charset w:val="86"/>
    <w:family w:val="modern"/>
    <w:pitch w:val="default"/>
    <w:sig w:usb0="00000001" w:usb1="080E0000" w:usb2="00000000" w:usb3="00000000" w:csb0="00040000" w:csb1="00000000"/>
    <w:embedRegular r:id="rId4" w:fontKey="{0992002F-2292-4E88-85CD-0958440F6645}"/>
  </w:font>
  <w:font w:name="仿宋">
    <w:panose1 w:val="02010609060101010101"/>
    <w:charset w:val="86"/>
    <w:family w:val="modern"/>
    <w:pitch w:val="default"/>
    <w:sig w:usb0="800002BF" w:usb1="38CF7CFA" w:usb2="00000016" w:usb3="00000000" w:csb0="00040001" w:csb1="00000000"/>
    <w:embedRegular r:id="rId5" w:fontKey="{8AAA899E-5649-44BA-A243-DE4CD5D71EC4}"/>
  </w:font>
  <w:font w:name="Cambria Math">
    <w:panose1 w:val="02040503050406030204"/>
    <w:charset w:val="00"/>
    <w:family w:val="auto"/>
    <w:pitch w:val="variable"/>
    <w:sig w:usb0="E00002FF" w:usb1="420024FF" w:usb2="00000000" w:usb3="00000000" w:csb0="2000019F" w:csb1="00000000"/>
  </w:font>
  <w:font w:name="@宋体">
    <w:panose1 w:val="02010600030101010101"/>
    <w:charset w:val="86"/>
    <w:family w:val="auto"/>
    <w:pitch w:val="variable"/>
    <w:sig w:usb0="0000000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9377EA">
    <w:pPr>
      <w:pStyle w:val="8"/>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1EC7F906">
                          <w:pPr>
                            <w:pStyle w:val="8"/>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1EC7F906">
                    <w:pPr>
                      <w:pStyle w:val="8"/>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0"/>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A333FDA2"/>
    <w:multiLevelType w:val="multilevel"/>
    <w:tmpl w:val="A333FDA2"/>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pStyle w:val="56"/>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2">
    <w:nsid w:val="BA7B8511"/>
    <w:multiLevelType w:val="multilevel"/>
    <w:tmpl w:val="BA7B8511"/>
    <w:lvl w:ilvl="0" w:tentative="0">
      <w:start w:val="1"/>
      <w:numFmt w:val="decimal"/>
      <w:pStyle w:val="57"/>
      <w:suff w:val="nothing"/>
      <w:lvlText w:val="注%1："/>
      <w:lvlJc w:val="left"/>
      <w:pPr>
        <w:ind w:left="811" w:hanging="448"/>
      </w:pPr>
      <w:rPr>
        <w:rFonts w:hint="eastAsia" w:ascii="黑体" w:hAnsi="Times New Roman" w:eastAsia="黑体" w:cs="黑体"/>
        <w:b w:val="0"/>
        <w:i w:val="0"/>
        <w:sz w:val="18"/>
      </w:rPr>
    </w:lvl>
    <w:lvl w:ilvl="1" w:tentative="0">
      <w:start w:val="1"/>
      <w:numFmt w:val="lowerLetter"/>
      <w:lvlText w:val="%2)"/>
      <w:lvlJc w:val="left"/>
      <w:pPr>
        <w:tabs>
          <w:tab w:val="left" w:pos="0"/>
        </w:tabs>
        <w:ind w:left="992" w:hanging="629"/>
      </w:pPr>
    </w:lvl>
    <w:lvl w:ilvl="2" w:tentative="0">
      <w:start w:val="1"/>
      <w:numFmt w:val="lowerRoman"/>
      <w:lvlText w:val="%3."/>
      <w:lvlJc w:val="right"/>
      <w:pPr>
        <w:tabs>
          <w:tab w:val="left" w:pos="0"/>
        </w:tabs>
        <w:ind w:left="992" w:hanging="629"/>
      </w:pPr>
    </w:lvl>
    <w:lvl w:ilvl="3" w:tentative="0">
      <w:start w:val="1"/>
      <w:numFmt w:val="decimal"/>
      <w:lvlText w:val="%4."/>
      <w:lvlJc w:val="left"/>
      <w:pPr>
        <w:tabs>
          <w:tab w:val="left" w:pos="0"/>
        </w:tabs>
        <w:ind w:left="992" w:hanging="629"/>
      </w:pPr>
    </w:lvl>
    <w:lvl w:ilvl="4" w:tentative="0">
      <w:start w:val="1"/>
      <w:numFmt w:val="lowerLetter"/>
      <w:lvlText w:val="%5)"/>
      <w:lvlJc w:val="left"/>
      <w:pPr>
        <w:tabs>
          <w:tab w:val="left" w:pos="0"/>
        </w:tabs>
        <w:ind w:left="992" w:hanging="629"/>
      </w:pPr>
    </w:lvl>
    <w:lvl w:ilvl="5" w:tentative="0">
      <w:start w:val="1"/>
      <w:numFmt w:val="lowerRoman"/>
      <w:lvlText w:val="%6."/>
      <w:lvlJc w:val="right"/>
      <w:pPr>
        <w:tabs>
          <w:tab w:val="left" w:pos="0"/>
        </w:tabs>
        <w:ind w:left="992" w:hanging="629"/>
      </w:pPr>
    </w:lvl>
    <w:lvl w:ilvl="6" w:tentative="0">
      <w:start w:val="1"/>
      <w:numFmt w:val="decimal"/>
      <w:lvlText w:val="%7."/>
      <w:lvlJc w:val="left"/>
      <w:pPr>
        <w:tabs>
          <w:tab w:val="left" w:pos="0"/>
        </w:tabs>
        <w:ind w:left="992" w:hanging="629"/>
      </w:pPr>
    </w:lvl>
    <w:lvl w:ilvl="7" w:tentative="0">
      <w:start w:val="1"/>
      <w:numFmt w:val="lowerLetter"/>
      <w:lvlText w:val="%8)"/>
      <w:lvlJc w:val="left"/>
      <w:pPr>
        <w:tabs>
          <w:tab w:val="left" w:pos="0"/>
        </w:tabs>
        <w:ind w:left="992" w:hanging="629"/>
      </w:pPr>
    </w:lvl>
    <w:lvl w:ilvl="8" w:tentative="0">
      <w:start w:val="1"/>
      <w:numFmt w:val="lowerRoman"/>
      <w:lvlText w:val="%9."/>
      <w:lvlJc w:val="right"/>
      <w:pPr>
        <w:tabs>
          <w:tab w:val="left" w:pos="0"/>
        </w:tabs>
        <w:ind w:left="992" w:hanging="629"/>
      </w:pPr>
    </w:lvl>
  </w:abstractNum>
  <w:abstractNum w:abstractNumId="3">
    <w:nsid w:val="F947AA72"/>
    <w:multiLevelType w:val="multilevel"/>
    <w:tmpl w:val="F947AA72"/>
    <w:lvl w:ilvl="0" w:tentative="0">
      <w:start w:val="1"/>
      <w:numFmt w:val="upperLetter"/>
      <w:suff w:val="space"/>
      <w:lvlText w:val="%1"/>
      <w:lvlJc w:val="left"/>
      <w:pPr>
        <w:ind w:left="425" w:hanging="425"/>
      </w:pPr>
    </w:lvl>
    <w:lvl w:ilvl="1" w:tentative="0">
      <w:start w:val="1"/>
      <w:numFmt w:val="decimal"/>
      <w:pStyle w:val="59"/>
      <w:suff w:val="space"/>
      <w:lvlText w:val="表%1.%2"/>
      <w:lvlJc w:val="center"/>
      <w:pPr>
        <w:ind w:left="0" w:firstLine="0"/>
      </w:pPr>
      <w:rPr>
        <w:rFonts w:hint="eastAsia" w:ascii="黑体" w:hAnsi="Times New Roman" w:eastAsia="黑体" w:cs="黑体"/>
        <w:sz w:val="21"/>
      </w:r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5"/>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4">
    <w:nsid w:val="0FFFFF7E"/>
    <w:multiLevelType w:val="singleLevel"/>
    <w:tmpl w:val="0FFFFF7E"/>
    <w:lvl w:ilvl="0" w:tentative="0">
      <w:start w:val="1"/>
      <w:numFmt w:val="decimal"/>
      <w:lvlText w:val="%1."/>
      <w:lvlJc w:val="left"/>
      <w:pPr>
        <w:tabs>
          <w:tab w:val="left" w:pos="1200"/>
        </w:tabs>
        <w:ind w:left="1200" w:hanging="360"/>
      </w:pPr>
    </w:lvl>
  </w:abstractNum>
  <w:abstractNum w:abstractNumId="5">
    <w:nsid w:val="0FFFFF7F"/>
    <w:multiLevelType w:val="singleLevel"/>
    <w:tmpl w:val="0FFFFF7F"/>
    <w:lvl w:ilvl="0" w:tentative="0">
      <w:start w:val="1"/>
      <w:numFmt w:val="decimal"/>
      <w:lvlText w:val="%1."/>
      <w:lvlJc w:val="left"/>
      <w:pPr>
        <w:tabs>
          <w:tab w:val="left" w:pos="780"/>
        </w:tabs>
        <w:ind w:left="780" w:hanging="360"/>
      </w:pPr>
    </w:lvl>
  </w:abstractNum>
  <w:abstractNum w:abstractNumId="6">
    <w:nsid w:val="2C5917C3"/>
    <w:multiLevelType w:val="multilevel"/>
    <w:tmpl w:val="2C5917C3"/>
    <w:lvl w:ilvl="0" w:tentative="0">
      <w:start w:val="1"/>
      <w:numFmt w:val="none"/>
      <w:pStyle w:val="54"/>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7">
    <w:nsid w:val="44C50F90"/>
    <w:multiLevelType w:val="multilevel"/>
    <w:tmpl w:val="44C50F90"/>
    <w:lvl w:ilvl="0" w:tentative="0">
      <w:start w:val="1"/>
      <w:numFmt w:val="lowerLetter"/>
      <w:pStyle w:val="49"/>
      <w:lvlText w:val="%1)"/>
      <w:lvlJc w:val="left"/>
      <w:pPr>
        <w:tabs>
          <w:tab w:val="left" w:pos="851"/>
        </w:tabs>
        <w:ind w:left="851" w:hanging="426"/>
      </w:pPr>
      <w:rPr>
        <w:rFonts w:hint="eastAsia" w:ascii="宋体" w:hAnsi="Times New Roman" w:eastAsia="宋体"/>
        <w:sz w:val="21"/>
      </w:rPr>
    </w:lvl>
    <w:lvl w:ilvl="1" w:tentative="0">
      <w:start w:val="1"/>
      <w:numFmt w:val="decimal"/>
      <w:pStyle w:val="47"/>
      <w:lvlText w:val="%2)"/>
      <w:lvlJc w:val="left"/>
      <w:pPr>
        <w:tabs>
          <w:tab w:val="left" w:pos="1276"/>
        </w:tabs>
        <w:ind w:left="1276" w:hanging="425"/>
      </w:pPr>
      <w:rPr>
        <w:rFonts w:hint="eastAsia" w:ascii="宋体" w:hAnsi="Times New Roman" w:eastAsia="宋体"/>
        <w:sz w:val="21"/>
      </w:rPr>
    </w:lvl>
    <w:lvl w:ilvl="2" w:tentative="0">
      <w:start w:val="1"/>
      <w:numFmt w:val="decimal"/>
      <w:pStyle w:val="48"/>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8">
    <w:nsid w:val="5A9B6960"/>
    <w:multiLevelType w:val="multilevel"/>
    <w:tmpl w:val="5A9B6960"/>
    <w:lvl w:ilvl="0" w:tentative="0">
      <w:start w:val="1"/>
      <w:numFmt w:val="none"/>
      <w:pStyle w:val="37"/>
      <w:suff w:val="nothing"/>
      <w:lvlText w:val="%1"/>
      <w:legacy w:legacy="1" w:legacySpace="0" w:legacyIndent="0"/>
      <w:lvlJc w:val="left"/>
      <w:pPr>
        <w:ind w:left="0" w:firstLine="0"/>
      </w:pPr>
      <w:rPr>
        <w:rFonts w:hint="eastAsia"/>
      </w:rPr>
    </w:lvl>
    <w:lvl w:ilvl="1" w:tentative="0">
      <w:start w:val="1"/>
      <w:numFmt w:val="decimal"/>
      <w:pStyle w:val="31"/>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3"/>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39"/>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38"/>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6"/>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8"/>
  </w:num>
  <w:num w:numId="2">
    <w:abstractNumId w:val="0"/>
  </w:num>
  <w:num w:numId="3">
    <w:abstractNumId w:val="5"/>
  </w:num>
  <w:num w:numId="4">
    <w:abstractNumId w:val="4"/>
  </w:num>
  <w:num w:numId="5">
    <w:abstractNumId w:val="7"/>
  </w:num>
  <w:num w:numId="6">
    <w:abstractNumId w:val="6"/>
  </w:num>
  <w:num w:numId="7">
    <w:abstractNumId w:val="1"/>
  </w:num>
  <w:num w:numId="8">
    <w:abstractNumId w:val="2"/>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U0OWNhMGUyYzc2MTI5ZWY2NzM4MTVkMDAwODg0YzMifQ=="/>
  </w:docVars>
  <w:rsids>
    <w:rsidRoot w:val="000D75AA"/>
    <w:rsid w:val="000068A2"/>
    <w:rsid w:val="00014983"/>
    <w:rsid w:val="000178C8"/>
    <w:rsid w:val="00022F61"/>
    <w:rsid w:val="00043782"/>
    <w:rsid w:val="00051BC1"/>
    <w:rsid w:val="00055442"/>
    <w:rsid w:val="000678FF"/>
    <w:rsid w:val="00072103"/>
    <w:rsid w:val="00075653"/>
    <w:rsid w:val="0008200B"/>
    <w:rsid w:val="00082613"/>
    <w:rsid w:val="000A2817"/>
    <w:rsid w:val="000C517B"/>
    <w:rsid w:val="000D75AA"/>
    <w:rsid w:val="000E53EA"/>
    <w:rsid w:val="001133E6"/>
    <w:rsid w:val="00142D19"/>
    <w:rsid w:val="001655CC"/>
    <w:rsid w:val="0018012C"/>
    <w:rsid w:val="001821C9"/>
    <w:rsid w:val="001A7570"/>
    <w:rsid w:val="001C58D4"/>
    <w:rsid w:val="001D3156"/>
    <w:rsid w:val="001D4C84"/>
    <w:rsid w:val="001E2D73"/>
    <w:rsid w:val="001E6087"/>
    <w:rsid w:val="0020127F"/>
    <w:rsid w:val="00205352"/>
    <w:rsid w:val="002210B4"/>
    <w:rsid w:val="0022236C"/>
    <w:rsid w:val="002227B6"/>
    <w:rsid w:val="002324B6"/>
    <w:rsid w:val="00234F7D"/>
    <w:rsid w:val="00236909"/>
    <w:rsid w:val="00236EB4"/>
    <w:rsid w:val="00241F8A"/>
    <w:rsid w:val="00281F39"/>
    <w:rsid w:val="0028500C"/>
    <w:rsid w:val="002879F6"/>
    <w:rsid w:val="002905CF"/>
    <w:rsid w:val="00292F73"/>
    <w:rsid w:val="0029554A"/>
    <w:rsid w:val="002A3479"/>
    <w:rsid w:val="002B7C92"/>
    <w:rsid w:val="002D530A"/>
    <w:rsid w:val="002E357A"/>
    <w:rsid w:val="002F2059"/>
    <w:rsid w:val="00301664"/>
    <w:rsid w:val="00321E92"/>
    <w:rsid w:val="003223ED"/>
    <w:rsid w:val="003259AF"/>
    <w:rsid w:val="003332BA"/>
    <w:rsid w:val="00337000"/>
    <w:rsid w:val="00340D9B"/>
    <w:rsid w:val="003421C0"/>
    <w:rsid w:val="003517E7"/>
    <w:rsid w:val="00372E66"/>
    <w:rsid w:val="00375933"/>
    <w:rsid w:val="00382E35"/>
    <w:rsid w:val="00396F2C"/>
    <w:rsid w:val="003D06F2"/>
    <w:rsid w:val="003D485E"/>
    <w:rsid w:val="00426DC5"/>
    <w:rsid w:val="004373E9"/>
    <w:rsid w:val="0044036C"/>
    <w:rsid w:val="0044065E"/>
    <w:rsid w:val="004805DB"/>
    <w:rsid w:val="0048511D"/>
    <w:rsid w:val="004A75FF"/>
    <w:rsid w:val="004B4D68"/>
    <w:rsid w:val="004F29B4"/>
    <w:rsid w:val="00515B82"/>
    <w:rsid w:val="0051755E"/>
    <w:rsid w:val="005244B1"/>
    <w:rsid w:val="00533B2A"/>
    <w:rsid w:val="00554B7D"/>
    <w:rsid w:val="00564A0C"/>
    <w:rsid w:val="005A1D9D"/>
    <w:rsid w:val="005D6C77"/>
    <w:rsid w:val="005E3C13"/>
    <w:rsid w:val="005E7B33"/>
    <w:rsid w:val="005F1668"/>
    <w:rsid w:val="005F2FD2"/>
    <w:rsid w:val="005F4961"/>
    <w:rsid w:val="00617B08"/>
    <w:rsid w:val="00627AB4"/>
    <w:rsid w:val="006335ED"/>
    <w:rsid w:val="006343EC"/>
    <w:rsid w:val="0063539D"/>
    <w:rsid w:val="006360BD"/>
    <w:rsid w:val="00636EA7"/>
    <w:rsid w:val="00637F53"/>
    <w:rsid w:val="006511A8"/>
    <w:rsid w:val="0067378F"/>
    <w:rsid w:val="00691000"/>
    <w:rsid w:val="006B0BA0"/>
    <w:rsid w:val="006B12C0"/>
    <w:rsid w:val="006F2543"/>
    <w:rsid w:val="00714DDE"/>
    <w:rsid w:val="00727452"/>
    <w:rsid w:val="0074491A"/>
    <w:rsid w:val="007557E4"/>
    <w:rsid w:val="00756356"/>
    <w:rsid w:val="007643FB"/>
    <w:rsid w:val="00774434"/>
    <w:rsid w:val="007756AB"/>
    <w:rsid w:val="00781D6C"/>
    <w:rsid w:val="00784DBC"/>
    <w:rsid w:val="007A149B"/>
    <w:rsid w:val="007B46C1"/>
    <w:rsid w:val="007C244C"/>
    <w:rsid w:val="007E6054"/>
    <w:rsid w:val="007F29ED"/>
    <w:rsid w:val="00801A7F"/>
    <w:rsid w:val="00814260"/>
    <w:rsid w:val="00817F67"/>
    <w:rsid w:val="008247C4"/>
    <w:rsid w:val="00826BFA"/>
    <w:rsid w:val="00853F5C"/>
    <w:rsid w:val="008572EE"/>
    <w:rsid w:val="00874BB5"/>
    <w:rsid w:val="008779C2"/>
    <w:rsid w:val="00880107"/>
    <w:rsid w:val="00884366"/>
    <w:rsid w:val="00887632"/>
    <w:rsid w:val="00895F4A"/>
    <w:rsid w:val="008973E6"/>
    <w:rsid w:val="008B1DEA"/>
    <w:rsid w:val="008B6B5F"/>
    <w:rsid w:val="008E1EB5"/>
    <w:rsid w:val="00926E1B"/>
    <w:rsid w:val="00932BA3"/>
    <w:rsid w:val="00947EBA"/>
    <w:rsid w:val="009718CC"/>
    <w:rsid w:val="009A4141"/>
    <w:rsid w:val="009B7918"/>
    <w:rsid w:val="009E3161"/>
    <w:rsid w:val="00A06B7F"/>
    <w:rsid w:val="00A16A3E"/>
    <w:rsid w:val="00A263D3"/>
    <w:rsid w:val="00A365A2"/>
    <w:rsid w:val="00A368A3"/>
    <w:rsid w:val="00A37FDF"/>
    <w:rsid w:val="00A42C5E"/>
    <w:rsid w:val="00A75476"/>
    <w:rsid w:val="00A87F41"/>
    <w:rsid w:val="00A95A00"/>
    <w:rsid w:val="00AB5B3D"/>
    <w:rsid w:val="00AC57C3"/>
    <w:rsid w:val="00AD0172"/>
    <w:rsid w:val="00B0429D"/>
    <w:rsid w:val="00B051B4"/>
    <w:rsid w:val="00B07A8A"/>
    <w:rsid w:val="00B3173E"/>
    <w:rsid w:val="00B66676"/>
    <w:rsid w:val="00B73416"/>
    <w:rsid w:val="00B77477"/>
    <w:rsid w:val="00B91573"/>
    <w:rsid w:val="00B94EFE"/>
    <w:rsid w:val="00B954B8"/>
    <w:rsid w:val="00BA570D"/>
    <w:rsid w:val="00BB6932"/>
    <w:rsid w:val="00BB7B52"/>
    <w:rsid w:val="00BD2990"/>
    <w:rsid w:val="00C06762"/>
    <w:rsid w:val="00C07069"/>
    <w:rsid w:val="00C123EE"/>
    <w:rsid w:val="00C13CB6"/>
    <w:rsid w:val="00C20386"/>
    <w:rsid w:val="00CC71EF"/>
    <w:rsid w:val="00CE7CD2"/>
    <w:rsid w:val="00D0457A"/>
    <w:rsid w:val="00D35977"/>
    <w:rsid w:val="00D43F5A"/>
    <w:rsid w:val="00D8569E"/>
    <w:rsid w:val="00D87F07"/>
    <w:rsid w:val="00D9142A"/>
    <w:rsid w:val="00D9735E"/>
    <w:rsid w:val="00DB7F6F"/>
    <w:rsid w:val="00DD5A6C"/>
    <w:rsid w:val="00DF4FB8"/>
    <w:rsid w:val="00E07E23"/>
    <w:rsid w:val="00E1324A"/>
    <w:rsid w:val="00E27034"/>
    <w:rsid w:val="00E32D4B"/>
    <w:rsid w:val="00E40372"/>
    <w:rsid w:val="00E41116"/>
    <w:rsid w:val="00E414EF"/>
    <w:rsid w:val="00E455A5"/>
    <w:rsid w:val="00E835A1"/>
    <w:rsid w:val="00E83E2D"/>
    <w:rsid w:val="00E843B2"/>
    <w:rsid w:val="00ED41E5"/>
    <w:rsid w:val="00EE332B"/>
    <w:rsid w:val="00EF4610"/>
    <w:rsid w:val="00EF6CB2"/>
    <w:rsid w:val="00F01A5C"/>
    <w:rsid w:val="00F1246B"/>
    <w:rsid w:val="00F40513"/>
    <w:rsid w:val="00F424A9"/>
    <w:rsid w:val="00F5729F"/>
    <w:rsid w:val="00F65587"/>
    <w:rsid w:val="00F77E06"/>
    <w:rsid w:val="00F843C0"/>
    <w:rsid w:val="00F9021F"/>
    <w:rsid w:val="00FA7D60"/>
    <w:rsid w:val="00FB260A"/>
    <w:rsid w:val="00FC7CE6"/>
    <w:rsid w:val="00FD5DA3"/>
    <w:rsid w:val="00FD6497"/>
    <w:rsid w:val="00FF2EC3"/>
    <w:rsid w:val="00FF56B9"/>
    <w:rsid w:val="012A4E2C"/>
    <w:rsid w:val="023615AF"/>
    <w:rsid w:val="02614FC7"/>
    <w:rsid w:val="02DC2156"/>
    <w:rsid w:val="030A6CC4"/>
    <w:rsid w:val="036C0D75"/>
    <w:rsid w:val="039B3DC0"/>
    <w:rsid w:val="03CC3F79"/>
    <w:rsid w:val="04DA4474"/>
    <w:rsid w:val="04EC1DF7"/>
    <w:rsid w:val="057B7A05"/>
    <w:rsid w:val="05CD222A"/>
    <w:rsid w:val="05FD2B10"/>
    <w:rsid w:val="06084616"/>
    <w:rsid w:val="0619721E"/>
    <w:rsid w:val="06456265"/>
    <w:rsid w:val="06A9292B"/>
    <w:rsid w:val="06C54323"/>
    <w:rsid w:val="071B1228"/>
    <w:rsid w:val="074B78AB"/>
    <w:rsid w:val="07BE53C7"/>
    <w:rsid w:val="08892439"/>
    <w:rsid w:val="08EF7A39"/>
    <w:rsid w:val="095073FA"/>
    <w:rsid w:val="09C13E54"/>
    <w:rsid w:val="09EB05D3"/>
    <w:rsid w:val="0A530F50"/>
    <w:rsid w:val="0A5844F0"/>
    <w:rsid w:val="0B3D750A"/>
    <w:rsid w:val="0B927BA2"/>
    <w:rsid w:val="0BC74F47"/>
    <w:rsid w:val="0BFD70B9"/>
    <w:rsid w:val="0DB22432"/>
    <w:rsid w:val="0EE41D10"/>
    <w:rsid w:val="11186A50"/>
    <w:rsid w:val="11386E78"/>
    <w:rsid w:val="11B73ED3"/>
    <w:rsid w:val="121E62E8"/>
    <w:rsid w:val="12241424"/>
    <w:rsid w:val="12277661"/>
    <w:rsid w:val="12B66520"/>
    <w:rsid w:val="133D4C82"/>
    <w:rsid w:val="13D12EE6"/>
    <w:rsid w:val="13EE1CEA"/>
    <w:rsid w:val="13F37300"/>
    <w:rsid w:val="13FA2960"/>
    <w:rsid w:val="14700951"/>
    <w:rsid w:val="156F60AE"/>
    <w:rsid w:val="169F0A74"/>
    <w:rsid w:val="16A11295"/>
    <w:rsid w:val="174D6D27"/>
    <w:rsid w:val="17C675A6"/>
    <w:rsid w:val="17D631C0"/>
    <w:rsid w:val="18CE5C46"/>
    <w:rsid w:val="196F7429"/>
    <w:rsid w:val="19C77265"/>
    <w:rsid w:val="1A2024D1"/>
    <w:rsid w:val="1A2A2D28"/>
    <w:rsid w:val="1A514D80"/>
    <w:rsid w:val="1ABC0F82"/>
    <w:rsid w:val="1B9C64CF"/>
    <w:rsid w:val="1C0F4EF3"/>
    <w:rsid w:val="1C5E2638"/>
    <w:rsid w:val="1CDC3027"/>
    <w:rsid w:val="1D4806BC"/>
    <w:rsid w:val="1E6C7E3E"/>
    <w:rsid w:val="1E8C6387"/>
    <w:rsid w:val="1EEE7042"/>
    <w:rsid w:val="1EF0375A"/>
    <w:rsid w:val="1F436741"/>
    <w:rsid w:val="20346CD6"/>
    <w:rsid w:val="206E043A"/>
    <w:rsid w:val="20B63B8F"/>
    <w:rsid w:val="211200FF"/>
    <w:rsid w:val="21B75E11"/>
    <w:rsid w:val="23046E34"/>
    <w:rsid w:val="23675615"/>
    <w:rsid w:val="23E80503"/>
    <w:rsid w:val="24376F6E"/>
    <w:rsid w:val="2443573A"/>
    <w:rsid w:val="24B42104"/>
    <w:rsid w:val="24F86524"/>
    <w:rsid w:val="25496D80"/>
    <w:rsid w:val="25670B39"/>
    <w:rsid w:val="25CD79B1"/>
    <w:rsid w:val="25DC3EE8"/>
    <w:rsid w:val="25E42F4C"/>
    <w:rsid w:val="27095D8A"/>
    <w:rsid w:val="27532138"/>
    <w:rsid w:val="277B51EB"/>
    <w:rsid w:val="279E6744"/>
    <w:rsid w:val="2829733C"/>
    <w:rsid w:val="29C22B06"/>
    <w:rsid w:val="2AB6770F"/>
    <w:rsid w:val="2BAD2B02"/>
    <w:rsid w:val="2D4B05DB"/>
    <w:rsid w:val="2E0C3040"/>
    <w:rsid w:val="2E40384E"/>
    <w:rsid w:val="2F083808"/>
    <w:rsid w:val="2F0B058C"/>
    <w:rsid w:val="2F454A5C"/>
    <w:rsid w:val="2F7C5FA4"/>
    <w:rsid w:val="2F82534F"/>
    <w:rsid w:val="302723B3"/>
    <w:rsid w:val="303040B7"/>
    <w:rsid w:val="306814F8"/>
    <w:rsid w:val="30AE6631"/>
    <w:rsid w:val="3106021B"/>
    <w:rsid w:val="3197089A"/>
    <w:rsid w:val="327A0EC0"/>
    <w:rsid w:val="33685BF1"/>
    <w:rsid w:val="339F33DF"/>
    <w:rsid w:val="34D01D12"/>
    <w:rsid w:val="34D90AD3"/>
    <w:rsid w:val="3573099D"/>
    <w:rsid w:val="35C44201"/>
    <w:rsid w:val="366B28CE"/>
    <w:rsid w:val="38206066"/>
    <w:rsid w:val="393E01A9"/>
    <w:rsid w:val="396B1F46"/>
    <w:rsid w:val="39DC7D6B"/>
    <w:rsid w:val="3B651FE2"/>
    <w:rsid w:val="3B714E2B"/>
    <w:rsid w:val="3D5134B7"/>
    <w:rsid w:val="3D6C58AA"/>
    <w:rsid w:val="3D8C5F4C"/>
    <w:rsid w:val="3E94330A"/>
    <w:rsid w:val="401F30A7"/>
    <w:rsid w:val="403F2E01"/>
    <w:rsid w:val="42CD0EA8"/>
    <w:rsid w:val="431A1904"/>
    <w:rsid w:val="43947908"/>
    <w:rsid w:val="44CB4DED"/>
    <w:rsid w:val="44F56185"/>
    <w:rsid w:val="45413951"/>
    <w:rsid w:val="45D90566"/>
    <w:rsid w:val="46E47FFF"/>
    <w:rsid w:val="4779601E"/>
    <w:rsid w:val="481B0E08"/>
    <w:rsid w:val="48353A66"/>
    <w:rsid w:val="489160CA"/>
    <w:rsid w:val="48E01E61"/>
    <w:rsid w:val="49327CD0"/>
    <w:rsid w:val="493E1AE1"/>
    <w:rsid w:val="4A9B6FA0"/>
    <w:rsid w:val="4B035C36"/>
    <w:rsid w:val="4B2238EC"/>
    <w:rsid w:val="4C7D362F"/>
    <w:rsid w:val="4CAC0AD9"/>
    <w:rsid w:val="4CD55219"/>
    <w:rsid w:val="4DDD59C1"/>
    <w:rsid w:val="4E395334"/>
    <w:rsid w:val="4E593C28"/>
    <w:rsid w:val="4EFD2805"/>
    <w:rsid w:val="4FC74BC1"/>
    <w:rsid w:val="501778F7"/>
    <w:rsid w:val="50747CE5"/>
    <w:rsid w:val="50FA5D92"/>
    <w:rsid w:val="51B02576"/>
    <w:rsid w:val="51FB0B52"/>
    <w:rsid w:val="52270DB5"/>
    <w:rsid w:val="531F075A"/>
    <w:rsid w:val="5338205E"/>
    <w:rsid w:val="54303C00"/>
    <w:rsid w:val="569D042A"/>
    <w:rsid w:val="56C63E25"/>
    <w:rsid w:val="57555F1B"/>
    <w:rsid w:val="5794447B"/>
    <w:rsid w:val="57996E43"/>
    <w:rsid w:val="57A01936"/>
    <w:rsid w:val="57A57FD6"/>
    <w:rsid w:val="57F01F2D"/>
    <w:rsid w:val="583A6878"/>
    <w:rsid w:val="58733B38"/>
    <w:rsid w:val="588E44CE"/>
    <w:rsid w:val="58D367F3"/>
    <w:rsid w:val="592C1295"/>
    <w:rsid w:val="595B4CF8"/>
    <w:rsid w:val="5992568E"/>
    <w:rsid w:val="59DD74BB"/>
    <w:rsid w:val="59EF3692"/>
    <w:rsid w:val="5A420BA5"/>
    <w:rsid w:val="5A8C449C"/>
    <w:rsid w:val="5B571FFB"/>
    <w:rsid w:val="5B6B556E"/>
    <w:rsid w:val="5BFB00CD"/>
    <w:rsid w:val="5C452F47"/>
    <w:rsid w:val="5C537F09"/>
    <w:rsid w:val="5C867919"/>
    <w:rsid w:val="5D086F45"/>
    <w:rsid w:val="5D4D6706"/>
    <w:rsid w:val="5DF76C0B"/>
    <w:rsid w:val="5E42134A"/>
    <w:rsid w:val="5ED15115"/>
    <w:rsid w:val="5EFD5F0A"/>
    <w:rsid w:val="5FEF619A"/>
    <w:rsid w:val="60252B89"/>
    <w:rsid w:val="604F4E8B"/>
    <w:rsid w:val="60B11334"/>
    <w:rsid w:val="616C2448"/>
    <w:rsid w:val="61882403"/>
    <w:rsid w:val="628C5F22"/>
    <w:rsid w:val="62C44CEE"/>
    <w:rsid w:val="630E06E5"/>
    <w:rsid w:val="634A0790"/>
    <w:rsid w:val="63DF2082"/>
    <w:rsid w:val="64E33DF4"/>
    <w:rsid w:val="652F2B95"/>
    <w:rsid w:val="654A16B4"/>
    <w:rsid w:val="654C7BEB"/>
    <w:rsid w:val="65E76184"/>
    <w:rsid w:val="660F1D12"/>
    <w:rsid w:val="664803B2"/>
    <w:rsid w:val="66770C98"/>
    <w:rsid w:val="66EF6B43"/>
    <w:rsid w:val="67277FC8"/>
    <w:rsid w:val="677C2407"/>
    <w:rsid w:val="6804655B"/>
    <w:rsid w:val="68C47A98"/>
    <w:rsid w:val="68C53F3C"/>
    <w:rsid w:val="6B170353"/>
    <w:rsid w:val="6B805A13"/>
    <w:rsid w:val="6B913722"/>
    <w:rsid w:val="6CC80E6D"/>
    <w:rsid w:val="6CEE57FE"/>
    <w:rsid w:val="6DDA15E5"/>
    <w:rsid w:val="6F393D6E"/>
    <w:rsid w:val="6F986B5B"/>
    <w:rsid w:val="70B2124A"/>
    <w:rsid w:val="70EC47D4"/>
    <w:rsid w:val="70F47B1E"/>
    <w:rsid w:val="710B6BAC"/>
    <w:rsid w:val="712B2DAA"/>
    <w:rsid w:val="71CC633B"/>
    <w:rsid w:val="71F238C8"/>
    <w:rsid w:val="72534367"/>
    <w:rsid w:val="738A5B9F"/>
    <w:rsid w:val="73C6500C"/>
    <w:rsid w:val="741F6AAA"/>
    <w:rsid w:val="74A0585D"/>
    <w:rsid w:val="750E3D01"/>
    <w:rsid w:val="75436915"/>
    <w:rsid w:val="75F1571C"/>
    <w:rsid w:val="75FF643B"/>
    <w:rsid w:val="77A7157C"/>
    <w:rsid w:val="781E5417"/>
    <w:rsid w:val="78B143BF"/>
    <w:rsid w:val="790C1713"/>
    <w:rsid w:val="793F5645"/>
    <w:rsid w:val="79477DB9"/>
    <w:rsid w:val="7A035425"/>
    <w:rsid w:val="7A937FAF"/>
    <w:rsid w:val="7AB465B7"/>
    <w:rsid w:val="7ACC115A"/>
    <w:rsid w:val="7AF81F4F"/>
    <w:rsid w:val="7B215011"/>
    <w:rsid w:val="7B6C6499"/>
    <w:rsid w:val="7B7B492E"/>
    <w:rsid w:val="7BEC3554"/>
    <w:rsid w:val="7CB63E70"/>
    <w:rsid w:val="7D221505"/>
    <w:rsid w:val="7D902913"/>
    <w:rsid w:val="7DE81904"/>
    <w:rsid w:val="7E2B6198"/>
    <w:rsid w:val="7F6D45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Calibr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Calibri"/>
      <w:kern w:val="2"/>
      <w:sz w:val="21"/>
      <w:szCs w:val="24"/>
      <w:lang w:val="en-US" w:eastAsia="zh-CN" w:bidi="ar-SA"/>
    </w:rPr>
  </w:style>
  <w:style w:type="paragraph" w:styleId="2">
    <w:name w:val="heading 1"/>
    <w:basedOn w:val="1"/>
    <w:next w:val="1"/>
    <w:autoRedefine/>
    <w:qFormat/>
    <w:uiPriority w:val="0"/>
    <w:pPr>
      <w:keepNext/>
      <w:keepLines/>
      <w:spacing w:before="340" w:after="330" w:line="578" w:lineRule="auto"/>
      <w:outlineLvl w:val="0"/>
    </w:pPr>
    <w:rPr>
      <w:b/>
      <w:bCs/>
      <w:kern w:val="44"/>
      <w:sz w:val="44"/>
    </w:rPr>
  </w:style>
  <w:style w:type="paragraph" w:styleId="3">
    <w:name w:val="heading 2"/>
    <w:basedOn w:val="1"/>
    <w:next w:val="1"/>
    <w:autoRedefine/>
    <w:qFormat/>
    <w:uiPriority w:val="0"/>
    <w:pPr>
      <w:keepNext/>
      <w:keepLines/>
      <w:spacing w:before="260" w:after="260" w:line="415" w:lineRule="auto"/>
      <w:outlineLvl w:val="1"/>
    </w:pPr>
    <w:rPr>
      <w:rFonts w:ascii="Times New Roman" w:hAnsi="Times New Roman" w:eastAsia="黑体"/>
      <w:b/>
      <w:sz w:val="32"/>
    </w:rPr>
  </w:style>
  <w:style w:type="paragraph" w:styleId="4">
    <w:name w:val="heading 3"/>
    <w:basedOn w:val="1"/>
    <w:next w:val="1"/>
    <w:autoRedefine/>
    <w:qFormat/>
    <w:uiPriority w:val="0"/>
    <w:pPr>
      <w:keepNext/>
      <w:keepLines/>
      <w:spacing w:before="260" w:after="260" w:line="415" w:lineRule="auto"/>
      <w:outlineLvl w:val="2"/>
    </w:pPr>
    <w:rPr>
      <w:b/>
      <w:sz w:val="32"/>
    </w:rPr>
  </w:style>
  <w:style w:type="paragraph" w:styleId="5">
    <w:name w:val="heading 7"/>
    <w:basedOn w:val="1"/>
    <w:next w:val="1"/>
    <w:link w:val="23"/>
    <w:autoRedefine/>
    <w:qFormat/>
    <w:uiPriority w:val="9"/>
    <w:pPr>
      <w:keepNext/>
      <w:keepLines/>
      <w:spacing w:before="240" w:after="64" w:line="320" w:lineRule="auto"/>
      <w:outlineLvl w:val="6"/>
    </w:pPr>
    <w:rPr>
      <w:b/>
      <w:bCs/>
      <w:sz w:val="24"/>
    </w:rPr>
  </w:style>
  <w:style w:type="character" w:default="1" w:styleId="15">
    <w:name w:val="Default Paragraph Font"/>
    <w:semiHidden/>
    <w:unhideWhenUsed/>
    <w:qFormat/>
    <w:uiPriority w:val="1"/>
  </w:style>
  <w:style w:type="table" w:default="1" w:styleId="13">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Calibri"/>
      <w:sz w:val="20"/>
      <w:szCs w:val="20"/>
    </w:rPr>
    <w:tblPr>
      <w:tblCellMar>
        <w:top w:w="0" w:type="dxa"/>
        <w:left w:w="108" w:type="dxa"/>
        <w:bottom w:w="0" w:type="dxa"/>
        <w:right w:w="108" w:type="dxa"/>
      </w:tblCellMar>
    </w:tblPr>
  </w:style>
  <w:style w:type="paragraph" w:styleId="6">
    <w:name w:val="annotation text"/>
    <w:basedOn w:val="1"/>
    <w:link w:val="24"/>
    <w:autoRedefine/>
    <w:unhideWhenUsed/>
    <w:qFormat/>
    <w:uiPriority w:val="99"/>
    <w:pPr>
      <w:adjustRightInd w:val="0"/>
      <w:spacing w:line="400" w:lineRule="exact"/>
      <w:jc w:val="left"/>
    </w:pPr>
    <w:rPr>
      <w:szCs w:val="21"/>
    </w:rPr>
  </w:style>
  <w:style w:type="paragraph" w:styleId="7">
    <w:name w:val="Balloon Text"/>
    <w:basedOn w:val="1"/>
    <w:link w:val="25"/>
    <w:autoRedefine/>
    <w:unhideWhenUsed/>
    <w:qFormat/>
    <w:uiPriority w:val="99"/>
    <w:rPr>
      <w:sz w:val="18"/>
      <w:szCs w:val="18"/>
    </w:rPr>
  </w:style>
  <w:style w:type="paragraph" w:styleId="8">
    <w:name w:val="footer"/>
    <w:basedOn w:val="1"/>
    <w:link w:val="26"/>
    <w:autoRedefine/>
    <w:qFormat/>
    <w:uiPriority w:val="99"/>
    <w:pPr>
      <w:tabs>
        <w:tab w:val="center" w:pos="4153"/>
        <w:tab w:val="right" w:pos="8306"/>
      </w:tabs>
      <w:snapToGrid w:val="0"/>
      <w:jc w:val="left"/>
    </w:pPr>
    <w:rPr>
      <w:sz w:val="18"/>
      <w:szCs w:val="18"/>
    </w:rPr>
  </w:style>
  <w:style w:type="paragraph" w:styleId="9">
    <w:name w:val="envelope return"/>
    <w:basedOn w:val="1"/>
    <w:autoRedefine/>
    <w:qFormat/>
    <w:uiPriority w:val="0"/>
    <w:pPr>
      <w:snapToGrid w:val="0"/>
    </w:pPr>
    <w:rPr>
      <w:rFonts w:ascii="Times New Roman" w:hAnsi="Times New Roman"/>
    </w:rPr>
  </w:style>
  <w:style w:type="paragraph" w:styleId="10">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1">
    <w:name w:val="toc 4"/>
    <w:basedOn w:val="1"/>
    <w:next w:val="1"/>
    <w:autoRedefine/>
    <w:unhideWhenUsed/>
    <w:qFormat/>
    <w:uiPriority w:val="39"/>
    <w:pPr>
      <w:tabs>
        <w:tab w:val="right" w:leader="dot" w:pos="9344"/>
      </w:tabs>
      <w:adjustRightInd w:val="0"/>
      <w:spacing w:line="300" w:lineRule="exact"/>
      <w:ind w:left="629"/>
    </w:pPr>
    <w:rPr>
      <w:rFonts w:ascii="宋体"/>
      <w:szCs w:val="21"/>
    </w:rPr>
  </w:style>
  <w:style w:type="paragraph" w:styleId="12">
    <w:name w:val="Normal (Web)"/>
    <w:basedOn w:val="1"/>
    <w:autoRedefine/>
    <w:semiHidden/>
    <w:unhideWhenUsed/>
    <w:qFormat/>
    <w:uiPriority w:val="99"/>
    <w:rPr>
      <w:sz w:val="24"/>
    </w:rPr>
  </w:style>
  <w:style w:type="table" w:styleId="14">
    <w:name w:val="Table Grid"/>
    <w:basedOn w:val="13"/>
    <w:autoRedefine/>
    <w:qFormat/>
    <w:uiPriority w:val="39"/>
    <w:rPr>
      <w:rFonts w:ascii="Calibri" w:hAnsi="Calibri"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16">
    <w:name w:val="Strong"/>
    <w:basedOn w:val="15"/>
    <w:autoRedefine/>
    <w:qFormat/>
    <w:uiPriority w:val="22"/>
    <w:rPr>
      <w:b/>
    </w:rPr>
  </w:style>
  <w:style w:type="character" w:styleId="17">
    <w:name w:val="line number"/>
    <w:autoRedefine/>
    <w:qFormat/>
    <w:uiPriority w:val="0"/>
  </w:style>
  <w:style w:type="character" w:styleId="18">
    <w:name w:val="Hyperlink"/>
    <w:autoRedefine/>
    <w:qFormat/>
    <w:uiPriority w:val="0"/>
    <w:rPr>
      <w:rFonts w:ascii="宋体" w:eastAsia="宋体"/>
      <w:color w:val="auto"/>
      <w:spacing w:val="0"/>
      <w:w w:val="100"/>
      <w:position w:val="0"/>
      <w:sz w:val="21"/>
      <w:u w:val="none"/>
      <w:vertAlign w:val="baseline"/>
    </w:rPr>
  </w:style>
  <w:style w:type="character" w:styleId="19">
    <w:name w:val="annotation reference"/>
    <w:basedOn w:val="15"/>
    <w:autoRedefine/>
    <w:qFormat/>
    <w:uiPriority w:val="99"/>
    <w:rPr>
      <w:sz w:val="21"/>
      <w:szCs w:val="21"/>
    </w:rPr>
  </w:style>
  <w:style w:type="character" w:styleId="20">
    <w:name w:val="footnote reference"/>
    <w:autoRedefine/>
    <w:qFormat/>
    <w:uiPriority w:val="0"/>
    <w:rPr>
      <w:vertAlign w:val="superscript"/>
    </w:rPr>
  </w:style>
  <w:style w:type="paragraph" w:customStyle="1" w:styleId="21">
    <w:name w:val="BodyText2"/>
    <w:basedOn w:val="1"/>
    <w:autoRedefine/>
    <w:qFormat/>
    <w:uiPriority w:val="0"/>
    <w:pPr>
      <w:spacing w:after="120" w:line="480" w:lineRule="auto"/>
      <w:textAlignment w:val="baseline"/>
    </w:pPr>
    <w:rPr>
      <w:rFonts w:cs="Times New Roman"/>
      <w:sz w:val="32"/>
      <w:szCs w:val="32"/>
    </w:rPr>
  </w:style>
  <w:style w:type="paragraph" w:customStyle="1" w:styleId="22">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3">
    <w:name w:val="标题 7 字符"/>
    <w:link w:val="5"/>
    <w:autoRedefine/>
    <w:qFormat/>
    <w:uiPriority w:val="0"/>
    <w:rPr>
      <w:rFonts w:eastAsia="宋体"/>
      <w:b/>
      <w:bCs/>
      <w:kern w:val="2"/>
      <w:sz w:val="24"/>
      <w:szCs w:val="24"/>
    </w:rPr>
  </w:style>
  <w:style w:type="character" w:customStyle="1" w:styleId="24">
    <w:name w:val="批注文字 字符"/>
    <w:link w:val="6"/>
    <w:autoRedefine/>
    <w:semiHidden/>
    <w:qFormat/>
    <w:uiPriority w:val="99"/>
    <w:rPr>
      <w:rFonts w:ascii="Calibri" w:hAnsi="Calibri" w:eastAsia="宋体"/>
      <w:kern w:val="2"/>
      <w:sz w:val="21"/>
      <w:szCs w:val="21"/>
    </w:rPr>
  </w:style>
  <w:style w:type="character" w:customStyle="1" w:styleId="25">
    <w:name w:val="批注框文本 字符"/>
    <w:link w:val="7"/>
    <w:autoRedefine/>
    <w:semiHidden/>
    <w:qFormat/>
    <w:uiPriority w:val="99"/>
    <w:rPr>
      <w:rFonts w:eastAsia="宋体"/>
      <w:kern w:val="2"/>
      <w:sz w:val="18"/>
      <w:szCs w:val="18"/>
    </w:rPr>
  </w:style>
  <w:style w:type="character" w:customStyle="1" w:styleId="26">
    <w:name w:val="页脚 字符"/>
    <w:link w:val="8"/>
    <w:autoRedefine/>
    <w:qFormat/>
    <w:locked/>
    <w:uiPriority w:val="99"/>
    <w:rPr>
      <w:rFonts w:eastAsia="宋体"/>
      <w:kern w:val="2"/>
      <w:sz w:val="18"/>
      <w:szCs w:val="18"/>
    </w:rPr>
  </w:style>
  <w:style w:type="paragraph" w:customStyle="1" w:styleId="27">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28">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29">
    <w:name w:val="标准文件_段"/>
    <w:link w:val="30"/>
    <w:autoRedefine/>
    <w:qFormat/>
    <w:uiPriority w:val="0"/>
    <w:pPr>
      <w:autoSpaceDE w:val="0"/>
      <w:autoSpaceDN w:val="0"/>
      <w:spacing w:before="156" w:beforeLines="50" w:after="156" w:afterLines="50" w:line="520" w:lineRule="exact"/>
      <w:ind w:firstLine="480" w:firstLineChars="200"/>
      <w:jc w:val="center"/>
    </w:pPr>
    <w:rPr>
      <w:rFonts w:ascii="黑体" w:hAnsi="黑体" w:eastAsia="黑体" w:cs="黑体"/>
      <w:bCs/>
      <w:sz w:val="24"/>
      <w:szCs w:val="24"/>
      <w:lang w:val="en-US" w:eastAsia="zh-CN" w:bidi="ar-SA"/>
    </w:rPr>
  </w:style>
  <w:style w:type="character" w:customStyle="1" w:styleId="30">
    <w:name w:val="标准文件_段 Char"/>
    <w:link w:val="29"/>
    <w:autoRedefine/>
    <w:qFormat/>
    <w:uiPriority w:val="0"/>
    <w:rPr>
      <w:rFonts w:ascii="黑体" w:hAnsi="黑体" w:eastAsia="黑体" w:cs="黑体"/>
      <w:bCs/>
      <w:sz w:val="24"/>
      <w:szCs w:val="24"/>
    </w:rPr>
  </w:style>
  <w:style w:type="paragraph" w:customStyle="1" w:styleId="31">
    <w:name w:val="标准文件_章标题"/>
    <w:next w:val="29"/>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2">
    <w:name w:val="标准文件_二级条标题"/>
    <w:next w:val="29"/>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3">
    <w:name w:val="标准文件_一级条标题"/>
    <w:basedOn w:val="31"/>
    <w:next w:val="29"/>
    <w:autoRedefine/>
    <w:qFormat/>
    <w:uiPriority w:val="0"/>
    <w:pPr>
      <w:numPr>
        <w:ilvl w:val="2"/>
      </w:numPr>
      <w:spacing w:before="50" w:beforeLines="0" w:after="50" w:afterLines="0"/>
      <w:outlineLvl w:val="1"/>
    </w:pPr>
  </w:style>
  <w:style w:type="paragraph" w:customStyle="1" w:styleId="34">
    <w:name w:val="标准文件_三级条标题"/>
    <w:basedOn w:val="32"/>
    <w:next w:val="29"/>
    <w:autoRedefine/>
    <w:qFormat/>
    <w:uiPriority w:val="0"/>
    <w:pPr>
      <w:outlineLvl w:val="3"/>
    </w:pPr>
  </w:style>
  <w:style w:type="paragraph" w:customStyle="1" w:styleId="35">
    <w:name w:val="标准文件_四级条标题"/>
    <w:next w:val="29"/>
    <w:autoRedefine/>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36">
    <w:name w:val="标准文件_五级条标题"/>
    <w:next w:val="32"/>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37">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38">
    <w:name w:val="标准文件_四级无标题"/>
    <w:basedOn w:val="35"/>
    <w:autoRedefine/>
    <w:qFormat/>
    <w:uiPriority w:val="0"/>
    <w:pPr>
      <w:numPr>
        <w:ilvl w:val="5"/>
        <w:numId w:val="1"/>
      </w:numPr>
    </w:pPr>
    <w:rPr>
      <w:rFonts w:ascii="宋体" w:eastAsia="宋体"/>
      <w:szCs w:val="52"/>
    </w:rPr>
  </w:style>
  <w:style w:type="paragraph" w:customStyle="1" w:styleId="39">
    <w:name w:val="标准文件_三级无标题"/>
    <w:basedOn w:val="34"/>
    <w:autoRedefine/>
    <w:qFormat/>
    <w:uiPriority w:val="0"/>
    <w:pPr>
      <w:numPr>
        <w:ilvl w:val="4"/>
        <w:numId w:val="1"/>
      </w:numPr>
    </w:pPr>
    <w:rPr>
      <w:rFonts w:ascii="宋体" w:eastAsia="宋体"/>
    </w:rPr>
  </w:style>
  <w:style w:type="paragraph" w:customStyle="1" w:styleId="40">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1">
    <w:name w:val="font11"/>
    <w:autoRedefine/>
    <w:qFormat/>
    <w:uiPriority w:val="0"/>
    <w:rPr>
      <w:rFonts w:ascii="等线" w:eastAsia="等线"/>
      <w:b/>
      <w:bCs/>
      <w:color w:val="FF0000"/>
      <w:sz w:val="22"/>
      <w:szCs w:val="22"/>
      <w:u w:val="none"/>
    </w:rPr>
  </w:style>
  <w:style w:type="character" w:customStyle="1" w:styleId="42">
    <w:name w:val="font01"/>
    <w:autoRedefine/>
    <w:qFormat/>
    <w:uiPriority w:val="0"/>
    <w:rPr>
      <w:rFonts w:ascii="等线" w:eastAsia="等线"/>
      <w:color w:val="000000"/>
      <w:sz w:val="22"/>
      <w:szCs w:val="22"/>
      <w:u w:val="none"/>
    </w:rPr>
  </w:style>
  <w:style w:type="paragraph" w:customStyle="1" w:styleId="43">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4">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5">
    <w:name w:val="标准文件_二级无标题"/>
    <w:basedOn w:val="32"/>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6">
    <w:name w:val="Char Char Char Char"/>
    <w:basedOn w:val="1"/>
    <w:autoRedefine/>
    <w:qFormat/>
    <w:uiPriority w:val="0"/>
  </w:style>
  <w:style w:type="paragraph" w:customStyle="1" w:styleId="47">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48">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49">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0">
    <w:name w:val="标准文件_术语条一"/>
    <w:basedOn w:val="1"/>
    <w:next w:val="29"/>
    <w:autoRedefine/>
    <w:qFormat/>
    <w:uiPriority w:val="0"/>
    <w:pPr>
      <w:widowControl/>
    </w:pPr>
    <w:rPr>
      <w:rFonts w:ascii="宋体"/>
      <w:kern w:val="0"/>
      <w:szCs w:val="20"/>
    </w:rPr>
  </w:style>
  <w:style w:type="paragraph" w:customStyle="1" w:styleId="51">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2">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3">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4">
    <w:name w:val="标准文件_一级项"/>
    <w:autoRedefine/>
    <w:qFormat/>
    <w:uiPriority w:val="0"/>
    <w:pPr>
      <w:numPr>
        <w:ilvl w:val="0"/>
        <w:numId w:val="6"/>
      </w:numPr>
    </w:pPr>
    <w:rPr>
      <w:rFonts w:ascii="宋体" w:hAnsi="Times New Roman" w:eastAsia="宋体" w:cs="Times New Roman"/>
      <w:sz w:val="21"/>
      <w:lang w:val="en-US" w:eastAsia="zh-CN" w:bidi="ar-SA"/>
    </w:rPr>
  </w:style>
  <w:style w:type="paragraph" w:customStyle="1" w:styleId="55">
    <w:name w:val="普通(网站) Char"/>
    <w:basedOn w:val="1"/>
    <w:qFormat/>
    <w:uiPriority w:val="0"/>
    <w:pPr>
      <w:spacing w:beforeAutospacing="1" w:afterAutospacing="1"/>
      <w:jc w:val="left"/>
    </w:pPr>
    <w:rPr>
      <w:rFonts w:hint="eastAsia" w:ascii="宋体" w:hAnsi="宋体" w:cs="Times New Roman"/>
      <w:kern w:val="0"/>
      <w:sz w:val="24"/>
    </w:rPr>
  </w:style>
  <w:style w:type="paragraph" w:customStyle="1" w:styleId="56">
    <w:name w:val="标准文件_五级无标题"/>
    <w:qFormat/>
    <w:uiPriority w:val="0"/>
    <w:pPr>
      <w:widowControl w:val="0"/>
      <w:numPr>
        <w:ilvl w:val="6"/>
        <w:numId w:val="7"/>
      </w:numPr>
      <w:jc w:val="both"/>
    </w:pPr>
    <w:rPr>
      <w:rFonts w:hint="eastAsia" w:ascii="宋体" w:hAnsi="Times New Roman" w:eastAsia="宋体" w:cs="Times New Roman"/>
      <w:sz w:val="21"/>
      <w:lang w:val="en-US" w:eastAsia="zh-CN" w:bidi="ar-SA"/>
    </w:rPr>
  </w:style>
  <w:style w:type="paragraph" w:customStyle="1" w:styleId="57">
    <w:name w:val="标准文件_注×："/>
    <w:basedOn w:val="1"/>
    <w:qFormat/>
    <w:uiPriority w:val="0"/>
    <w:pPr>
      <w:numPr>
        <w:ilvl w:val="0"/>
        <w:numId w:val="8"/>
      </w:numPr>
      <w:autoSpaceDE w:val="0"/>
      <w:autoSpaceDN w:val="0"/>
    </w:pPr>
    <w:rPr>
      <w:rFonts w:hint="eastAsia" w:ascii="宋体" w:hAnsi="Times New Roman" w:cs="Times New Roman"/>
      <w:kern w:val="0"/>
      <w:sz w:val="18"/>
      <w:szCs w:val="18"/>
    </w:rPr>
  </w:style>
  <w:style w:type="paragraph" w:customStyle="1" w:styleId="58">
    <w:name w:val="标准文件_表格"/>
    <w:basedOn w:val="1"/>
    <w:qFormat/>
    <w:uiPriority w:val="0"/>
    <w:pPr>
      <w:widowControl/>
      <w:autoSpaceDE w:val="0"/>
      <w:autoSpaceDN w:val="0"/>
      <w:jc w:val="center"/>
    </w:pPr>
    <w:rPr>
      <w:rFonts w:hint="eastAsia" w:ascii="宋体" w:hAnsi="Times New Roman" w:cs="Times New Roman"/>
      <w:kern w:val="0"/>
      <w:sz w:val="18"/>
      <w:szCs w:val="20"/>
    </w:rPr>
  </w:style>
  <w:style w:type="paragraph" w:customStyle="1" w:styleId="59">
    <w:name w:val="标准文件_附录表标题"/>
    <w:basedOn w:val="1"/>
    <w:next w:val="1"/>
    <w:qFormat/>
    <w:uiPriority w:val="0"/>
    <w:pPr>
      <w:widowControl/>
      <w:numPr>
        <w:ilvl w:val="1"/>
        <w:numId w:val="9"/>
      </w:numPr>
      <w:adjustRightInd w:val="0"/>
      <w:snapToGrid w:val="0"/>
      <w:spacing w:before="50" w:beforeLines="50" w:after="50" w:afterLines="50"/>
      <w:jc w:val="center"/>
    </w:pPr>
    <w:rPr>
      <w:rFonts w:hint="eastAsia" w:ascii="黑体" w:hAnsi="Times New Roman" w:eastAsia="黑体" w:cs="Times New Roman"/>
      <w:kern w:val="21"/>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27</Pages>
  <Words>7263</Words>
  <Characters>7976</Characters>
  <Lines>101</Lines>
  <Paragraphs>28</Paragraphs>
  <TotalTime>3</TotalTime>
  <ScaleCrop>false</ScaleCrop>
  <LinksUpToDate>false</LinksUpToDate>
  <CharactersWithSpaces>8061</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2025-04-23T01:45:00Z</dcterms:created>
  <dc:creator>Administrator</dc:creator>
  <cp:lastModifiedBy>对方正在输入...</cp:lastModifiedBy>
  <dcterms:modified xsi:type="dcterms:W3CDTF">2025-05-29T09:31:22Z</dcterms:modified>
  <cp:revision>37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1C36CF0FDE3F4E7C9A93D5F8953DB3FD_13</vt:lpwstr>
  </property>
  <property fmtid="{D5CDD505-2E9C-101B-9397-08002B2CF9AE}" pid="4" name="KSOTemplateDocerSaveRecord">
    <vt:lpwstr>eyJoZGlkIjoiMzg2YTk3YWJlMzJiOWE4NmU5OTkxNmM1MjU1OThkOTQiLCJ1c2VySWQiOiIzMjAyMTY5NjkifQ==</vt:lpwstr>
  </property>
</Properties>
</file>