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4D81A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96F4663">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3CEC3A34">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49.020</w:t>
            </w:r>
            <w:r>
              <w:rPr>
                <w:rFonts w:ascii="黑体" w:hAnsi="黑体" w:eastAsia="黑体"/>
                <w:sz w:val="21"/>
                <w:szCs w:val="21"/>
              </w:rPr>
              <w:fldChar w:fldCharType="end"/>
            </w:r>
            <w:bookmarkEnd w:id="0"/>
          </w:p>
        </w:tc>
      </w:tr>
      <w:tr w14:paraId="6719A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22F8DEC">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8"/>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248DFF23">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75645140">
                  <w:pPr>
                    <w:pStyle w:val="50"/>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7681A812">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V 35</w:t>
            </w:r>
            <w:r>
              <w:rPr>
                <w:rFonts w:ascii="黑体" w:hAnsi="黑体" w:eastAsia="黑体"/>
                <w:sz w:val="21"/>
                <w:szCs w:val="21"/>
              </w:rPr>
              <w:fldChar w:fldCharType="end"/>
            </w:r>
            <w:bookmarkEnd w:id="2"/>
          </w:p>
        </w:tc>
      </w:tr>
    </w:tbl>
    <w:p w14:paraId="5E9719F1">
      <w:pPr>
        <w:pStyle w:val="51"/>
        <w:framePr w:w="9639" w:h="624" w:hRule="exact" w:hSpace="181" w:vSpace="181" w:wrap="around"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default w:val="团体标准"/>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团体标准</w:t>
      </w:r>
      <w:r>
        <w:rPr>
          <w:rFonts w:ascii="黑体" w:eastAsia="黑体"/>
          <w:b w:val="0"/>
          <w:w w:val="100"/>
          <w:sz w:val="48"/>
        </w:rPr>
        <w:fldChar w:fldCharType="end"/>
      </w:r>
      <w:bookmarkEnd w:id="4"/>
    </w:p>
    <w:bookmarkEnd w:id="3"/>
    <w:p w14:paraId="65CB2065">
      <w:pPr>
        <w:pStyle w:val="196"/>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3CA6A778">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60738C32">
      <w:pPr>
        <w:spacing w:line="240" w:lineRule="auto"/>
        <w:rPr>
          <w:rFonts w:ascii="黑体" w:hAnsi="黑体" w:eastAsia="黑体"/>
          <w:kern w:val="0"/>
          <w:sz w:val="10"/>
          <w:szCs w:val="10"/>
        </w:rPr>
      </w:pPr>
      <w:r>
        <w:rPr>
          <w:rFonts w:hint="eastAsia"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4445" r="0" b="5080"/>
                <wp:wrapNone/>
                <wp:docPr id="4"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直接连接符 73"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AvNkeb6gEAALkDAAAOAAAAAAAAAAEAIAAAACcBAABkcnMvZTJvRG9jLnhtbFBLBQYAAAAABgAG&#10;AFkBAACDBQAAAAA=&#10;">
                <v:fill on="f" focussize="0,0"/>
                <v:stroke color="#000000" joinstyle="round"/>
                <v:imagedata o:title=""/>
                <o:lock v:ext="edit" aspectratio="f"/>
              </v:line>
            </w:pict>
          </mc:Fallback>
        </mc:AlternateContent>
      </w:r>
    </w:p>
    <w:p w14:paraId="4BD63FB1">
      <w:pPr>
        <w:pStyle w:val="51"/>
        <w:framePr w:w="9639" w:h="6976" w:hRule="exact" w:hSpace="0" w:vSpace="0" w:wrap="around" w:hAnchor="page" w:y="6408"/>
        <w:jc w:val="center"/>
        <w:rPr>
          <w:rFonts w:ascii="黑体" w:hAnsi="黑体" w:eastAsia="黑体"/>
          <w:b w:val="0"/>
          <w:bCs w:val="0"/>
          <w:w w:val="100"/>
        </w:rPr>
      </w:pPr>
    </w:p>
    <w:p w14:paraId="755647DB">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农用无人驾驶航空器山地吊运安全操作</w:t>
      </w:r>
    </w:p>
    <w:p w14:paraId="0A0FA59B">
      <w:pPr>
        <w:pStyle w:val="198"/>
        <w:framePr w:h="6974" w:hRule="exact" w:wrap="around" w:x="1419" w:anchorLock="1"/>
      </w:pPr>
      <w:r>
        <w:rPr>
          <w:rFonts w:hint="eastAsia"/>
        </w:rPr>
        <w:t>技术规范  第1部分：总则</w:t>
      </w:r>
      <w:r>
        <w:fldChar w:fldCharType="end"/>
      </w:r>
      <w:bookmarkEnd w:id="9"/>
    </w:p>
    <w:p w14:paraId="1550E754">
      <w:pPr>
        <w:framePr w:w="9639" w:h="6974" w:hRule="exact" w:wrap="around" w:vAnchor="page" w:hAnchor="page" w:x="1419" w:y="6408" w:anchorLock="1"/>
        <w:ind w:left="-1418"/>
      </w:pPr>
    </w:p>
    <w:p w14:paraId="5BC747F2">
      <w:pPr>
        <w:pStyle w:val="126"/>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 xml:space="preserve">Specification for safe operation of </w:t>
      </w:r>
      <w:r>
        <w:rPr>
          <w:rFonts w:hint="eastAsia" w:ascii="黑体" w:hAnsi="黑体" w:eastAsia="黑体"/>
          <w:szCs w:val="28"/>
        </w:rPr>
        <w:t>a</w:t>
      </w:r>
      <w:r>
        <w:rPr>
          <w:rFonts w:ascii="黑体" w:hAnsi="黑体" w:eastAsia="黑体"/>
          <w:szCs w:val="28"/>
        </w:rPr>
        <w:t>gricultural</w:t>
      </w:r>
      <w:r>
        <w:rPr>
          <w:rFonts w:hint="eastAsia" w:ascii="黑体" w:hAnsi="黑体" w:eastAsia="黑体"/>
          <w:szCs w:val="28"/>
        </w:rPr>
        <w:t xml:space="preserve"> unmanned aircraft</w:t>
      </w:r>
      <w:r>
        <w:rPr>
          <w:rFonts w:ascii="黑体" w:hAnsi="黑体" w:eastAsia="黑体"/>
          <w:szCs w:val="28"/>
        </w:rPr>
        <w:t xml:space="preserve"> in mountainous area cargo hoisting</w:t>
      </w:r>
      <w:r>
        <w:rPr>
          <w:rFonts w:hint="eastAsia" w:ascii="黑体" w:hAnsi="黑体" w:eastAsia="黑体"/>
          <w:szCs w:val="28"/>
        </w:rPr>
        <w:t>—</w:t>
      </w:r>
      <w:r>
        <w:rPr>
          <w:rFonts w:ascii="黑体" w:hAnsi="黑体" w:eastAsia="黑体"/>
          <w:szCs w:val="28"/>
        </w:rPr>
        <w:t xml:space="preserve">Part 1: </w:t>
      </w:r>
      <w:r>
        <w:rPr>
          <w:rFonts w:hint="eastAsia" w:ascii="黑体" w:hAnsi="黑体" w:eastAsia="黑体"/>
          <w:szCs w:val="28"/>
        </w:rPr>
        <w:t>G</w:t>
      </w:r>
      <w:r>
        <w:rPr>
          <w:rFonts w:ascii="黑体" w:hAnsi="黑体" w:eastAsia="黑体"/>
          <w:szCs w:val="28"/>
        </w:rPr>
        <w:t xml:space="preserve">eneral principles </w:t>
      </w:r>
      <w:r>
        <w:rPr>
          <w:rFonts w:ascii="黑体" w:hAnsi="黑体" w:eastAsia="黑体"/>
          <w:szCs w:val="28"/>
        </w:rPr>
        <w:fldChar w:fldCharType="end"/>
      </w:r>
      <w:bookmarkEnd w:id="10"/>
    </w:p>
    <w:p w14:paraId="0720053B">
      <w:pPr>
        <w:framePr w:w="9639" w:h="6974" w:hRule="exact" w:wrap="around" w:vAnchor="page" w:hAnchor="page" w:x="1419" w:y="6408" w:anchorLock="1"/>
        <w:spacing w:line="760" w:lineRule="exact"/>
        <w:ind w:left="-1418"/>
      </w:pPr>
    </w:p>
    <w:p w14:paraId="727554A3">
      <w:pPr>
        <w:pStyle w:val="126"/>
        <w:framePr w:w="9639" w:h="6974" w:hRule="exact" w:wrap="around" w:vAnchor="page" w:hAnchor="page" w:x="1419" w:y="6408" w:anchorLock="1"/>
        <w:textAlignment w:val="bottom"/>
        <w:rPr>
          <w:rFonts w:eastAsia="黑体"/>
          <w:szCs w:val="28"/>
        </w:rPr>
      </w:pPr>
    </w:p>
    <w:p w14:paraId="1A3CF7DD">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2FFD9C7F">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2F698B5B">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7F13E604">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396C1DFE">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03C75A8A">
      <w:pPr>
        <w:pStyle w:val="15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2380B92E">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4445" r="0" b="508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14:paraId="45F9D2F3">
      <w:pPr>
        <w:pStyle w:val="92"/>
        <w:spacing w:after="360"/>
      </w:pPr>
      <w:bookmarkStart w:id="21" w:name="BookMark1"/>
      <w:bookmarkStart w:id="22" w:name="_Toc201569596"/>
      <w:bookmarkStart w:id="23" w:name="_Toc201438566"/>
      <w:bookmarkStart w:id="24" w:name="_Toc201433894"/>
      <w:bookmarkStart w:id="25" w:name="_Toc201437550"/>
      <w:bookmarkStart w:id="26" w:name="_Toc201611331"/>
      <w:bookmarkStart w:id="27" w:name="_Toc200570832"/>
      <w:bookmarkStart w:id="28" w:name="_Toc201434396"/>
      <w:bookmarkStart w:id="29" w:name="_Toc200569970"/>
      <w:bookmarkStart w:id="30" w:name="_Toc201646621"/>
      <w:bookmarkStart w:id="31" w:name="_Toc201271965"/>
      <w:bookmarkStart w:id="32" w:name="_Toc201272007"/>
      <w:bookmarkStart w:id="33" w:name="_Toc200570001"/>
      <w:bookmarkStart w:id="34" w:name="_Toc200757630"/>
      <w:bookmarkStart w:id="35" w:name="_Toc200570345"/>
      <w:bookmarkStart w:id="36" w:name="_Toc201760228"/>
      <w:bookmarkStart w:id="37" w:name="_Toc200554992"/>
      <w:bookmarkStart w:id="38" w:name="_Toc201271239"/>
      <w:bookmarkStart w:id="39" w:name="_Toc201433961"/>
      <w:bookmarkStart w:id="40" w:name="_Toc200554717"/>
      <w:r>
        <w:rPr>
          <w:rFonts w:hint="eastAsia"/>
          <w:spacing w:val="320"/>
        </w:rPr>
        <w:t>目</w:t>
      </w:r>
      <w:r>
        <w:rPr>
          <w:rFonts w:hint="eastAsia"/>
        </w:rPr>
        <w:t>次</w:t>
      </w:r>
    </w:p>
    <w:p w14:paraId="152FBA2C">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"_Toc201787847" </w:instrText>
      </w:r>
      <w:r>
        <w:fldChar w:fldCharType="separate"/>
      </w:r>
      <w:r>
        <w:rPr>
          <w:rStyle w:val="33"/>
          <w:rFonts w:hint="eastAsia"/>
        </w:rPr>
        <w:t>前言</w:t>
      </w:r>
      <w:r>
        <w:rPr>
          <w:rFonts w:hint="eastAsia"/>
        </w:rPr>
        <w:tab/>
      </w:r>
      <w:r>
        <w:rPr>
          <w:rFonts w:hint="eastAsia"/>
        </w:rPr>
        <w:fldChar w:fldCharType="begin"/>
      </w:r>
      <w:r>
        <w:rPr>
          <w:rFonts w:hint="eastAsia"/>
        </w:rPr>
        <w:instrText xml:space="preserve"> </w:instrText>
      </w:r>
      <w:r>
        <w:instrText xml:space="preserve">PAGEREF _Toc201787847 \h</w:instrText>
      </w:r>
      <w:r>
        <w:rPr>
          <w:rFonts w:hint="eastAsia"/>
        </w:rPr>
        <w:instrText xml:space="preserve"> </w:instrText>
      </w:r>
      <w:r>
        <w:rPr>
          <w:rFonts w:hint="eastAsia"/>
        </w:rPr>
        <w:fldChar w:fldCharType="separate"/>
      </w:r>
      <w:r>
        <w:t>III</w:t>
      </w:r>
      <w:r>
        <w:rPr>
          <w:rFonts w:hint="eastAsia"/>
        </w:rPr>
        <w:fldChar w:fldCharType="end"/>
      </w:r>
      <w:r>
        <w:rPr>
          <w:rFonts w:hint="eastAsia"/>
        </w:rPr>
        <w:fldChar w:fldCharType="end"/>
      </w:r>
    </w:p>
    <w:p w14:paraId="6305F057">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"_Toc201787848" </w:instrText>
      </w:r>
      <w:r>
        <w:fldChar w:fldCharType="separate"/>
      </w:r>
      <w:r>
        <w:rPr>
          <w:rStyle w:val="33"/>
          <w:rFonts w:hint="eastAsia"/>
        </w:rPr>
        <w:t>引言</w:t>
      </w:r>
      <w:r>
        <w:rPr>
          <w:rFonts w:hint="eastAsia"/>
        </w:rPr>
        <w:tab/>
      </w:r>
      <w:r>
        <w:rPr>
          <w:rFonts w:hint="eastAsia"/>
        </w:rPr>
        <w:fldChar w:fldCharType="begin"/>
      </w:r>
      <w:r>
        <w:rPr>
          <w:rFonts w:hint="eastAsia"/>
        </w:rPr>
        <w:instrText xml:space="preserve"> </w:instrText>
      </w:r>
      <w:r>
        <w:instrText xml:space="preserve">PAGEREF _Toc201787848 \h</w:instrText>
      </w:r>
      <w:r>
        <w:rPr>
          <w:rFonts w:hint="eastAsia"/>
        </w:rPr>
        <w:instrText xml:space="preserve"> </w:instrText>
      </w:r>
      <w:r>
        <w:rPr>
          <w:rFonts w:hint="eastAsia"/>
        </w:rPr>
        <w:fldChar w:fldCharType="separate"/>
      </w:r>
      <w:r>
        <w:t>IV</w:t>
      </w:r>
      <w:r>
        <w:rPr>
          <w:rFonts w:hint="eastAsia"/>
        </w:rPr>
        <w:fldChar w:fldCharType="end"/>
      </w:r>
      <w:r>
        <w:rPr>
          <w:rFonts w:hint="eastAsia"/>
        </w:rPr>
        <w:fldChar w:fldCharType="end"/>
      </w:r>
    </w:p>
    <w:p w14:paraId="75E228F2">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"_Toc201787849" </w:instrText>
      </w:r>
      <w:r>
        <w:fldChar w:fldCharType="separate"/>
      </w:r>
      <w:r>
        <w:rPr>
          <w:rStyle w:val="33"/>
          <w:rFonts w:hint="eastAsia"/>
        </w:rPr>
        <w:t>1</w:t>
      </w:r>
      <w:r>
        <w:rPr>
          <w:rStyle w:val="33"/>
        </w:rPr>
        <w:t xml:space="preserve"> </w:t>
      </w:r>
      <w:r>
        <w:rPr>
          <w:rStyle w:val="33"/>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_Toc201787849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0049C8F9">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"_Toc201787850" </w:instrText>
      </w:r>
      <w:r>
        <w:fldChar w:fldCharType="separate"/>
      </w:r>
      <w:r>
        <w:rPr>
          <w:rStyle w:val="33"/>
          <w:rFonts w:hint="eastAsia"/>
        </w:rPr>
        <w:t>2</w:t>
      </w:r>
      <w:r>
        <w:rPr>
          <w:rStyle w:val="33"/>
        </w:rPr>
        <w:t xml:space="preserve"> </w:t>
      </w:r>
      <w:r>
        <w:rPr>
          <w:rStyle w:val="33"/>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_Toc201787850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29AFB214">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"_Toc201787851" </w:instrText>
      </w:r>
      <w:r>
        <w:fldChar w:fldCharType="separate"/>
      </w:r>
      <w:r>
        <w:rPr>
          <w:rStyle w:val="33"/>
          <w:rFonts w:hint="eastAsia"/>
        </w:rPr>
        <w:t>3</w:t>
      </w:r>
      <w:r>
        <w:rPr>
          <w:rStyle w:val="33"/>
        </w:rPr>
        <w:t xml:space="preserve"> </w:t>
      </w:r>
      <w:r>
        <w:rPr>
          <w:rStyle w:val="33"/>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_Toc201787851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544F76E4">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"_Toc201787852" </w:instrText>
      </w:r>
      <w:r>
        <w:fldChar w:fldCharType="separate"/>
      </w:r>
      <w:r>
        <w:rPr>
          <w:rStyle w:val="33"/>
          <w:rFonts w:hint="eastAsia"/>
        </w:rPr>
        <w:t>4</w:t>
      </w:r>
      <w:r>
        <w:rPr>
          <w:rStyle w:val="33"/>
        </w:rPr>
        <w:t xml:space="preserve"> </w:t>
      </w:r>
      <w:r>
        <w:rPr>
          <w:rStyle w:val="33"/>
          <w:rFonts w:hint="eastAsia"/>
        </w:rPr>
        <w:t xml:space="preserve"> 设备要求</w:t>
      </w:r>
      <w:r>
        <w:rPr>
          <w:rFonts w:hint="eastAsia"/>
        </w:rPr>
        <w:tab/>
      </w:r>
      <w:r>
        <w:rPr>
          <w:rFonts w:hint="eastAsia"/>
        </w:rPr>
        <w:fldChar w:fldCharType="begin"/>
      </w:r>
      <w:r>
        <w:rPr>
          <w:rFonts w:hint="eastAsia"/>
        </w:rPr>
        <w:instrText xml:space="preserve"> </w:instrText>
      </w:r>
      <w:r>
        <w:instrText xml:space="preserve">PAGEREF _Toc201787852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0790F7F3">
      <w:pPr>
        <w:pStyle w:val="25"/>
        <w:rPr>
          <w:rFonts w:asciiTheme="minorHAnsi" w:hAnsiTheme="minorHAnsi" w:eastAsiaTheme="minorEastAsia" w:cstheme="minorBidi"/>
          <w:sz w:val="22"/>
          <w:szCs w:val="24"/>
          <w14:ligatures w14:val="standardContextual"/>
        </w:rPr>
      </w:pPr>
      <w:r>
        <w:fldChar w:fldCharType="begin"/>
      </w:r>
      <w:r>
        <w:instrText xml:space="preserve"> HYPERLINK \l "_Toc201787853" </w:instrText>
      </w:r>
      <w:r>
        <w:fldChar w:fldCharType="separate"/>
      </w:r>
      <w:r>
        <w:rPr>
          <w:rStyle w:val="33"/>
          <w:rFonts w:hint="eastAsia"/>
        </w:rPr>
        <w:t>4.1</w:t>
      </w:r>
      <w:r>
        <w:rPr>
          <w:rStyle w:val="33"/>
        </w:rPr>
        <w:t xml:space="preserve"> </w:t>
      </w:r>
      <w:r>
        <w:rPr>
          <w:rStyle w:val="33"/>
          <w:rFonts w:hint="eastAsia"/>
        </w:rPr>
        <w:t xml:space="preserve"> 通用要求</w:t>
      </w:r>
      <w:r>
        <w:rPr>
          <w:rFonts w:hint="eastAsia"/>
        </w:rPr>
        <w:tab/>
      </w:r>
      <w:r>
        <w:rPr>
          <w:rFonts w:hint="eastAsia"/>
        </w:rPr>
        <w:fldChar w:fldCharType="begin"/>
      </w:r>
      <w:r>
        <w:rPr>
          <w:rFonts w:hint="eastAsia"/>
        </w:rPr>
        <w:instrText xml:space="preserve"> </w:instrText>
      </w:r>
      <w:r>
        <w:instrText xml:space="preserve">PAGEREF _Toc201787853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5F84E710">
      <w:pPr>
        <w:pStyle w:val="25"/>
        <w:rPr>
          <w:rFonts w:asciiTheme="minorHAnsi" w:hAnsiTheme="minorHAnsi" w:eastAsiaTheme="minorEastAsia" w:cstheme="minorBidi"/>
          <w:sz w:val="22"/>
          <w:szCs w:val="24"/>
          <w14:ligatures w14:val="standardContextual"/>
        </w:rPr>
      </w:pPr>
      <w:r>
        <w:fldChar w:fldCharType="begin"/>
      </w:r>
      <w:r>
        <w:instrText xml:space="preserve"> HYPERLINK \l "_Toc201787854" </w:instrText>
      </w:r>
      <w:r>
        <w:fldChar w:fldCharType="separate"/>
      </w:r>
      <w:r>
        <w:rPr>
          <w:rStyle w:val="33"/>
          <w:rFonts w:hint="eastAsia"/>
        </w:rPr>
        <w:t>4.2</w:t>
      </w:r>
      <w:r>
        <w:rPr>
          <w:rStyle w:val="33"/>
        </w:rPr>
        <w:t xml:space="preserve"> </w:t>
      </w:r>
      <w:r>
        <w:rPr>
          <w:rStyle w:val="33"/>
          <w:rFonts w:hint="eastAsia"/>
        </w:rPr>
        <w:t xml:space="preserve"> 吊具要求</w:t>
      </w:r>
      <w:r>
        <w:rPr>
          <w:rFonts w:hint="eastAsia"/>
        </w:rPr>
        <w:tab/>
      </w:r>
      <w:r>
        <w:rPr>
          <w:rFonts w:hint="eastAsia"/>
        </w:rPr>
        <w:fldChar w:fldCharType="begin"/>
      </w:r>
      <w:r>
        <w:rPr>
          <w:rFonts w:hint="eastAsia"/>
        </w:rPr>
        <w:instrText xml:space="preserve"> </w:instrText>
      </w:r>
      <w:r>
        <w:instrText xml:space="preserve">PAGEREF _Toc201787854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08A13D16">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"_Toc201787855" </w:instrText>
      </w:r>
      <w:r>
        <w:fldChar w:fldCharType="separate"/>
      </w:r>
      <w:r>
        <w:rPr>
          <w:rStyle w:val="33"/>
          <w:rFonts w:hint="eastAsia"/>
        </w:rPr>
        <w:t>5</w:t>
      </w:r>
      <w:r>
        <w:rPr>
          <w:rStyle w:val="33"/>
        </w:rPr>
        <w:t xml:space="preserve"> </w:t>
      </w:r>
      <w:r>
        <w:rPr>
          <w:rStyle w:val="33"/>
          <w:rFonts w:hint="eastAsia"/>
        </w:rPr>
        <w:t xml:space="preserve"> 人员要求</w:t>
      </w:r>
      <w:r>
        <w:rPr>
          <w:rFonts w:hint="eastAsia"/>
        </w:rPr>
        <w:tab/>
      </w:r>
      <w:r>
        <w:rPr>
          <w:rFonts w:hint="eastAsia"/>
        </w:rPr>
        <w:fldChar w:fldCharType="begin"/>
      </w:r>
      <w:r>
        <w:rPr>
          <w:rFonts w:hint="eastAsia"/>
        </w:rPr>
        <w:instrText xml:space="preserve"> </w:instrText>
      </w:r>
      <w:r>
        <w:instrText xml:space="preserve">PAGEREF _Toc201787855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2CB13A87">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"_Toc201787856" </w:instrText>
      </w:r>
      <w:r>
        <w:fldChar w:fldCharType="separate"/>
      </w:r>
      <w:r>
        <w:rPr>
          <w:rStyle w:val="33"/>
          <w:rFonts w:hint="eastAsia"/>
        </w:rPr>
        <w:t>6</w:t>
      </w:r>
      <w:r>
        <w:rPr>
          <w:rStyle w:val="33"/>
        </w:rPr>
        <w:t xml:space="preserve"> </w:t>
      </w:r>
      <w:r>
        <w:rPr>
          <w:rStyle w:val="33"/>
          <w:rFonts w:hint="eastAsia"/>
        </w:rPr>
        <w:t xml:space="preserve"> 作业环境评估</w:t>
      </w:r>
      <w:r>
        <w:rPr>
          <w:rFonts w:hint="eastAsia"/>
        </w:rPr>
        <w:tab/>
      </w:r>
      <w:r>
        <w:rPr>
          <w:rFonts w:hint="eastAsia"/>
        </w:rPr>
        <w:fldChar w:fldCharType="begin"/>
      </w:r>
      <w:r>
        <w:rPr>
          <w:rFonts w:hint="eastAsia"/>
        </w:rPr>
        <w:instrText xml:space="preserve"> </w:instrText>
      </w:r>
      <w:r>
        <w:instrText xml:space="preserve">PAGEREF _Toc201787856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261F161A">
      <w:pPr>
        <w:pStyle w:val="25"/>
        <w:rPr>
          <w:rFonts w:asciiTheme="minorHAnsi" w:hAnsiTheme="minorHAnsi" w:eastAsiaTheme="minorEastAsia" w:cstheme="minorBidi"/>
          <w:sz w:val="22"/>
          <w:szCs w:val="24"/>
          <w14:ligatures w14:val="standardContextual"/>
        </w:rPr>
      </w:pPr>
      <w:r>
        <w:fldChar w:fldCharType="begin"/>
      </w:r>
      <w:r>
        <w:instrText xml:space="preserve"> HYPERLINK \l "_Toc201787857" </w:instrText>
      </w:r>
      <w:r>
        <w:fldChar w:fldCharType="separate"/>
      </w:r>
      <w:r>
        <w:rPr>
          <w:rStyle w:val="33"/>
          <w:rFonts w:hint="eastAsia"/>
        </w:rPr>
        <w:t>6.1</w:t>
      </w:r>
      <w:r>
        <w:rPr>
          <w:rStyle w:val="33"/>
        </w:rPr>
        <w:t xml:space="preserve"> </w:t>
      </w:r>
      <w:r>
        <w:rPr>
          <w:rStyle w:val="33"/>
          <w:rFonts w:hint="eastAsia"/>
        </w:rPr>
        <w:t xml:space="preserve"> 空域要求</w:t>
      </w:r>
      <w:r>
        <w:rPr>
          <w:rFonts w:hint="eastAsia"/>
        </w:rPr>
        <w:tab/>
      </w:r>
      <w:r>
        <w:rPr>
          <w:rFonts w:hint="eastAsia"/>
        </w:rPr>
        <w:fldChar w:fldCharType="begin"/>
      </w:r>
      <w:r>
        <w:rPr>
          <w:rFonts w:hint="eastAsia"/>
        </w:rPr>
        <w:instrText xml:space="preserve"> </w:instrText>
      </w:r>
      <w:r>
        <w:instrText xml:space="preserve">PAGEREF _Toc201787857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119F9ABF">
      <w:pPr>
        <w:pStyle w:val="25"/>
        <w:rPr>
          <w:rFonts w:asciiTheme="minorHAnsi" w:hAnsiTheme="minorHAnsi" w:eastAsiaTheme="minorEastAsia" w:cstheme="minorBidi"/>
          <w:sz w:val="22"/>
          <w:szCs w:val="24"/>
          <w14:ligatures w14:val="standardContextual"/>
        </w:rPr>
      </w:pPr>
      <w:r>
        <w:fldChar w:fldCharType="begin"/>
      </w:r>
      <w:r>
        <w:instrText xml:space="preserve"> HYPERLINK \l "_Toc201787858" </w:instrText>
      </w:r>
      <w:r>
        <w:fldChar w:fldCharType="separate"/>
      </w:r>
      <w:r>
        <w:rPr>
          <w:rStyle w:val="33"/>
          <w:rFonts w:hint="eastAsia"/>
        </w:rPr>
        <w:t>6.2</w:t>
      </w:r>
      <w:r>
        <w:rPr>
          <w:rStyle w:val="33"/>
        </w:rPr>
        <w:t xml:space="preserve"> </w:t>
      </w:r>
      <w:r>
        <w:rPr>
          <w:rStyle w:val="33"/>
          <w:rFonts w:hint="eastAsia"/>
        </w:rPr>
        <w:t xml:space="preserve"> 风险等级划分</w:t>
      </w:r>
      <w:r>
        <w:rPr>
          <w:rFonts w:hint="eastAsia"/>
        </w:rPr>
        <w:tab/>
      </w:r>
      <w:r>
        <w:rPr>
          <w:rFonts w:hint="eastAsia"/>
        </w:rPr>
        <w:fldChar w:fldCharType="begin"/>
      </w:r>
      <w:r>
        <w:rPr>
          <w:rFonts w:hint="eastAsia"/>
        </w:rPr>
        <w:instrText xml:space="preserve"> </w:instrText>
      </w:r>
      <w:r>
        <w:instrText xml:space="preserve">PAGEREF _Toc201787858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330046D0">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"_Toc201787859" </w:instrText>
      </w:r>
      <w:r>
        <w:fldChar w:fldCharType="separate"/>
      </w:r>
      <w:r>
        <w:rPr>
          <w:rStyle w:val="33"/>
          <w:rFonts w:hint="eastAsia"/>
        </w:rPr>
        <w:t>7</w:t>
      </w:r>
      <w:r>
        <w:rPr>
          <w:rStyle w:val="33"/>
        </w:rPr>
        <w:t xml:space="preserve"> </w:t>
      </w:r>
      <w:r>
        <w:rPr>
          <w:rStyle w:val="33"/>
          <w:rFonts w:hint="eastAsia"/>
        </w:rPr>
        <w:t xml:space="preserve"> 单机作业</w:t>
      </w:r>
      <w:r>
        <w:rPr>
          <w:rFonts w:hint="eastAsia"/>
        </w:rPr>
        <w:tab/>
      </w:r>
      <w:r>
        <w:rPr>
          <w:rFonts w:hint="eastAsia"/>
        </w:rPr>
        <w:fldChar w:fldCharType="begin"/>
      </w:r>
      <w:r>
        <w:rPr>
          <w:rFonts w:hint="eastAsia"/>
        </w:rPr>
        <w:instrText xml:space="preserve"> </w:instrText>
      </w:r>
      <w:r>
        <w:instrText xml:space="preserve">PAGEREF _Toc201787859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2CA96099">
      <w:pPr>
        <w:pStyle w:val="25"/>
        <w:rPr>
          <w:rFonts w:asciiTheme="minorHAnsi" w:hAnsiTheme="minorHAnsi" w:eastAsiaTheme="minorEastAsia" w:cstheme="minorBidi"/>
          <w:sz w:val="22"/>
          <w:szCs w:val="24"/>
          <w14:ligatures w14:val="standardContextual"/>
        </w:rPr>
      </w:pPr>
      <w:r>
        <w:fldChar w:fldCharType="begin"/>
      </w:r>
      <w:r>
        <w:instrText xml:space="preserve"> HYPERLINK \l "_Toc201787860" </w:instrText>
      </w:r>
      <w:r>
        <w:fldChar w:fldCharType="separate"/>
      </w:r>
      <w:r>
        <w:rPr>
          <w:rStyle w:val="33"/>
          <w:rFonts w:hint="eastAsia"/>
        </w:rPr>
        <w:t>7.1</w:t>
      </w:r>
      <w:r>
        <w:rPr>
          <w:rStyle w:val="33"/>
        </w:rPr>
        <w:t xml:space="preserve"> </w:t>
      </w:r>
      <w:r>
        <w:rPr>
          <w:rStyle w:val="33"/>
          <w:rFonts w:hint="eastAsia"/>
        </w:rPr>
        <w:t xml:space="preserve"> 作业前准备</w:t>
      </w:r>
      <w:r>
        <w:rPr>
          <w:rFonts w:hint="eastAsia"/>
        </w:rPr>
        <w:tab/>
      </w:r>
      <w:r>
        <w:rPr>
          <w:rFonts w:hint="eastAsia"/>
        </w:rPr>
        <w:fldChar w:fldCharType="begin"/>
      </w:r>
      <w:r>
        <w:rPr>
          <w:rFonts w:hint="eastAsia"/>
        </w:rPr>
        <w:instrText xml:space="preserve"> </w:instrText>
      </w:r>
      <w:r>
        <w:instrText xml:space="preserve">PAGEREF _Toc201787860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78EB888C">
      <w:pPr>
        <w:pStyle w:val="25"/>
        <w:rPr>
          <w:rFonts w:asciiTheme="minorHAnsi" w:hAnsiTheme="minorHAnsi" w:eastAsiaTheme="minorEastAsia" w:cstheme="minorBidi"/>
          <w:sz w:val="22"/>
          <w:szCs w:val="24"/>
          <w14:ligatures w14:val="standardContextual"/>
        </w:rPr>
      </w:pPr>
      <w:r>
        <w:fldChar w:fldCharType="begin"/>
      </w:r>
      <w:r>
        <w:instrText xml:space="preserve"> HYPERLINK \l "_Toc201787861" </w:instrText>
      </w:r>
      <w:r>
        <w:fldChar w:fldCharType="separate"/>
      </w:r>
      <w:r>
        <w:rPr>
          <w:rStyle w:val="33"/>
          <w:rFonts w:hint="eastAsia"/>
        </w:rPr>
        <w:t>7.2</w:t>
      </w:r>
      <w:r>
        <w:rPr>
          <w:rStyle w:val="33"/>
        </w:rPr>
        <w:t xml:space="preserve"> </w:t>
      </w:r>
      <w:r>
        <w:rPr>
          <w:rStyle w:val="33"/>
          <w:rFonts w:hint="eastAsia"/>
        </w:rPr>
        <w:t xml:space="preserve"> 作业过程控制</w:t>
      </w:r>
      <w:r>
        <w:rPr>
          <w:rFonts w:hint="eastAsia"/>
        </w:rPr>
        <w:tab/>
      </w:r>
      <w:r>
        <w:rPr>
          <w:rFonts w:hint="eastAsia"/>
        </w:rPr>
        <w:fldChar w:fldCharType="begin"/>
      </w:r>
      <w:r>
        <w:rPr>
          <w:rFonts w:hint="eastAsia"/>
        </w:rPr>
        <w:instrText xml:space="preserve"> </w:instrText>
      </w:r>
      <w:r>
        <w:instrText xml:space="preserve">PAGEREF _Toc201787861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7EE2612F">
      <w:pPr>
        <w:pStyle w:val="25"/>
        <w:rPr>
          <w:rFonts w:asciiTheme="minorHAnsi" w:hAnsiTheme="minorHAnsi" w:eastAsiaTheme="minorEastAsia" w:cstheme="minorBidi"/>
          <w:sz w:val="22"/>
          <w:szCs w:val="24"/>
          <w14:ligatures w14:val="standardContextual"/>
        </w:rPr>
      </w:pPr>
      <w:r>
        <w:fldChar w:fldCharType="begin"/>
      </w:r>
      <w:r>
        <w:instrText xml:space="preserve"> HYPERLINK \l "_Toc201787862" </w:instrText>
      </w:r>
      <w:r>
        <w:fldChar w:fldCharType="separate"/>
      </w:r>
      <w:r>
        <w:rPr>
          <w:rStyle w:val="33"/>
          <w:rFonts w:hint="eastAsia"/>
        </w:rPr>
        <w:t>7.3</w:t>
      </w:r>
      <w:r>
        <w:rPr>
          <w:rStyle w:val="33"/>
        </w:rPr>
        <w:t xml:space="preserve"> </w:t>
      </w:r>
      <w:r>
        <w:rPr>
          <w:rStyle w:val="33"/>
          <w:rFonts w:hint="eastAsia"/>
        </w:rPr>
        <w:t xml:space="preserve"> 作业完成后</w:t>
      </w:r>
      <w:r>
        <w:rPr>
          <w:rFonts w:hint="eastAsia"/>
        </w:rPr>
        <w:tab/>
      </w:r>
      <w:r>
        <w:rPr>
          <w:rFonts w:hint="eastAsia"/>
        </w:rPr>
        <w:fldChar w:fldCharType="begin"/>
      </w:r>
      <w:r>
        <w:rPr>
          <w:rFonts w:hint="eastAsia"/>
        </w:rPr>
        <w:instrText xml:space="preserve"> </w:instrText>
      </w:r>
      <w:r>
        <w:instrText xml:space="preserve">PAGEREF _Toc201787862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4DB751DE">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"_Toc201787863" </w:instrText>
      </w:r>
      <w:r>
        <w:fldChar w:fldCharType="separate"/>
      </w:r>
      <w:r>
        <w:rPr>
          <w:rStyle w:val="33"/>
          <w:rFonts w:hint="eastAsia"/>
        </w:rPr>
        <w:t>8</w:t>
      </w:r>
      <w:r>
        <w:rPr>
          <w:rStyle w:val="33"/>
        </w:rPr>
        <w:t xml:space="preserve"> </w:t>
      </w:r>
      <w:r>
        <w:rPr>
          <w:rStyle w:val="33"/>
          <w:rFonts w:hint="eastAsia"/>
        </w:rPr>
        <w:t xml:space="preserve"> 多机作业</w:t>
      </w:r>
      <w:r>
        <w:rPr>
          <w:rFonts w:hint="eastAsia"/>
        </w:rPr>
        <w:tab/>
      </w:r>
      <w:r>
        <w:rPr>
          <w:rFonts w:hint="eastAsia"/>
        </w:rPr>
        <w:fldChar w:fldCharType="begin"/>
      </w:r>
      <w:r>
        <w:rPr>
          <w:rFonts w:hint="eastAsia"/>
        </w:rPr>
        <w:instrText xml:space="preserve"> </w:instrText>
      </w:r>
      <w:r>
        <w:instrText xml:space="preserve">PAGEREF _Toc201787863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0CCC8CFD">
      <w:pPr>
        <w:pStyle w:val="25"/>
        <w:rPr>
          <w:rFonts w:asciiTheme="minorHAnsi" w:hAnsiTheme="minorHAnsi" w:eastAsiaTheme="minorEastAsia" w:cstheme="minorBidi"/>
          <w:sz w:val="22"/>
          <w:szCs w:val="24"/>
          <w14:ligatures w14:val="standardContextual"/>
        </w:rPr>
      </w:pPr>
      <w:r>
        <w:fldChar w:fldCharType="begin"/>
      </w:r>
      <w:r>
        <w:instrText xml:space="preserve"> HYPERLINK \l "_Toc201787864" </w:instrText>
      </w:r>
      <w:r>
        <w:fldChar w:fldCharType="separate"/>
      </w:r>
      <w:r>
        <w:rPr>
          <w:rStyle w:val="33"/>
          <w:rFonts w:hint="eastAsia"/>
        </w:rPr>
        <w:t>8.1</w:t>
      </w:r>
      <w:r>
        <w:rPr>
          <w:rStyle w:val="33"/>
        </w:rPr>
        <w:t xml:space="preserve"> </w:t>
      </w:r>
      <w:r>
        <w:rPr>
          <w:rStyle w:val="33"/>
          <w:rFonts w:hint="eastAsia"/>
        </w:rPr>
        <w:t xml:space="preserve"> 多机作业形式</w:t>
      </w:r>
      <w:r>
        <w:rPr>
          <w:rFonts w:hint="eastAsia"/>
        </w:rPr>
        <w:tab/>
      </w:r>
      <w:r>
        <w:rPr>
          <w:rFonts w:hint="eastAsia"/>
        </w:rPr>
        <w:fldChar w:fldCharType="begin"/>
      </w:r>
      <w:r>
        <w:rPr>
          <w:rFonts w:hint="eastAsia"/>
        </w:rPr>
        <w:instrText xml:space="preserve"> </w:instrText>
      </w:r>
      <w:r>
        <w:instrText xml:space="preserve">PAGEREF _Toc201787864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1E49897F">
      <w:pPr>
        <w:pStyle w:val="25"/>
        <w:rPr>
          <w:rFonts w:asciiTheme="minorHAnsi" w:hAnsiTheme="minorHAnsi" w:eastAsiaTheme="minorEastAsia" w:cstheme="minorBidi"/>
          <w:sz w:val="22"/>
          <w:szCs w:val="24"/>
          <w14:ligatures w14:val="standardContextual"/>
        </w:rPr>
      </w:pPr>
      <w:r>
        <w:fldChar w:fldCharType="begin"/>
      </w:r>
      <w:r>
        <w:instrText xml:space="preserve"> HYPERLINK \l "_Toc201787865" </w:instrText>
      </w:r>
      <w:r>
        <w:fldChar w:fldCharType="separate"/>
      </w:r>
      <w:r>
        <w:rPr>
          <w:rStyle w:val="33"/>
          <w:rFonts w:hint="eastAsia"/>
        </w:rPr>
        <w:t>8.2</w:t>
      </w:r>
      <w:r>
        <w:rPr>
          <w:rStyle w:val="33"/>
        </w:rPr>
        <w:t xml:space="preserve"> </w:t>
      </w:r>
      <w:r>
        <w:rPr>
          <w:rStyle w:val="33"/>
          <w:rFonts w:hint="eastAsia"/>
        </w:rPr>
        <w:t xml:space="preserve"> 多机作业原则</w:t>
      </w:r>
      <w:r>
        <w:rPr>
          <w:rFonts w:hint="eastAsia"/>
        </w:rPr>
        <w:tab/>
      </w:r>
      <w:r>
        <w:rPr>
          <w:rFonts w:hint="eastAsia"/>
        </w:rPr>
        <w:fldChar w:fldCharType="begin"/>
      </w:r>
      <w:r>
        <w:rPr>
          <w:rFonts w:hint="eastAsia"/>
        </w:rPr>
        <w:instrText xml:space="preserve"> </w:instrText>
      </w:r>
      <w:r>
        <w:instrText xml:space="preserve">PAGEREF _Toc201787865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062CA0D6">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"_Toc201787866" </w:instrText>
      </w:r>
      <w:r>
        <w:fldChar w:fldCharType="separate"/>
      </w:r>
      <w:r>
        <w:rPr>
          <w:rStyle w:val="33"/>
          <w:rFonts w:hint="eastAsia"/>
        </w:rPr>
        <w:t>9</w:t>
      </w:r>
      <w:r>
        <w:rPr>
          <w:rStyle w:val="33"/>
        </w:rPr>
        <w:t xml:space="preserve"> </w:t>
      </w:r>
      <w:r>
        <w:rPr>
          <w:rStyle w:val="33"/>
          <w:rFonts w:hint="eastAsia"/>
        </w:rPr>
        <w:t xml:space="preserve"> 安全管理</w:t>
      </w:r>
      <w:r>
        <w:rPr>
          <w:rFonts w:hint="eastAsia"/>
        </w:rPr>
        <w:tab/>
      </w:r>
      <w:r>
        <w:rPr>
          <w:rFonts w:hint="eastAsia"/>
        </w:rPr>
        <w:fldChar w:fldCharType="begin"/>
      </w:r>
      <w:r>
        <w:rPr>
          <w:rFonts w:hint="eastAsia"/>
        </w:rPr>
        <w:instrText xml:space="preserve"> </w:instrText>
      </w:r>
      <w:r>
        <w:instrText xml:space="preserve">PAGEREF _Toc201787866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7922E118">
      <w:pPr>
        <w:pStyle w:val="25"/>
        <w:rPr>
          <w:rFonts w:asciiTheme="minorHAnsi" w:hAnsiTheme="minorHAnsi" w:eastAsiaTheme="minorEastAsia" w:cstheme="minorBidi"/>
          <w:sz w:val="22"/>
          <w:szCs w:val="24"/>
          <w14:ligatures w14:val="standardContextual"/>
        </w:rPr>
      </w:pPr>
      <w:r>
        <w:fldChar w:fldCharType="begin"/>
      </w:r>
      <w:r>
        <w:instrText xml:space="preserve"> HYPERLINK \l "_Toc201787867" </w:instrText>
      </w:r>
      <w:r>
        <w:fldChar w:fldCharType="separate"/>
      </w:r>
      <w:r>
        <w:rPr>
          <w:rStyle w:val="33"/>
          <w:rFonts w:hint="eastAsia"/>
        </w:rPr>
        <w:t>9.1</w:t>
      </w:r>
      <w:r>
        <w:rPr>
          <w:rStyle w:val="33"/>
        </w:rPr>
        <w:t xml:space="preserve"> </w:t>
      </w:r>
      <w:r>
        <w:rPr>
          <w:rStyle w:val="33"/>
          <w:rFonts w:hint="eastAsia"/>
        </w:rPr>
        <w:t xml:space="preserve"> 处置原则</w:t>
      </w:r>
      <w:r>
        <w:rPr>
          <w:rFonts w:hint="eastAsia"/>
        </w:rPr>
        <w:tab/>
      </w:r>
      <w:r>
        <w:rPr>
          <w:rFonts w:hint="eastAsia"/>
        </w:rPr>
        <w:fldChar w:fldCharType="begin"/>
      </w:r>
      <w:r>
        <w:rPr>
          <w:rFonts w:hint="eastAsia"/>
        </w:rPr>
        <w:instrText xml:space="preserve"> </w:instrText>
      </w:r>
      <w:r>
        <w:instrText xml:space="preserve">PAGEREF _Toc201787867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4A224E21">
      <w:pPr>
        <w:pStyle w:val="25"/>
        <w:rPr>
          <w:rFonts w:asciiTheme="minorHAnsi" w:hAnsiTheme="minorHAnsi" w:eastAsiaTheme="minorEastAsia" w:cstheme="minorBidi"/>
          <w:sz w:val="22"/>
          <w:szCs w:val="24"/>
          <w14:ligatures w14:val="standardContextual"/>
        </w:rPr>
      </w:pPr>
      <w:r>
        <w:fldChar w:fldCharType="begin"/>
      </w:r>
      <w:r>
        <w:instrText xml:space="preserve"> HYPERLINK \l "_Toc201787868" </w:instrText>
      </w:r>
      <w:r>
        <w:fldChar w:fldCharType="separate"/>
      </w:r>
      <w:r>
        <w:rPr>
          <w:rStyle w:val="33"/>
          <w:rFonts w:hint="eastAsia"/>
        </w:rPr>
        <w:t>9.2</w:t>
      </w:r>
      <w:r>
        <w:rPr>
          <w:rStyle w:val="33"/>
        </w:rPr>
        <w:t xml:space="preserve"> </w:t>
      </w:r>
      <w:r>
        <w:rPr>
          <w:rStyle w:val="33"/>
          <w:rFonts w:hint="eastAsia"/>
        </w:rPr>
        <w:t xml:space="preserve"> 安全宣导</w:t>
      </w:r>
      <w:r>
        <w:rPr>
          <w:rFonts w:hint="eastAsia"/>
        </w:rPr>
        <w:tab/>
      </w:r>
      <w:r>
        <w:rPr>
          <w:rFonts w:hint="eastAsia"/>
        </w:rPr>
        <w:fldChar w:fldCharType="begin"/>
      </w:r>
      <w:r>
        <w:rPr>
          <w:rFonts w:hint="eastAsia"/>
        </w:rPr>
        <w:instrText xml:space="preserve"> </w:instrText>
      </w:r>
      <w:r>
        <w:instrText xml:space="preserve">PAGEREF _Toc201787868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211C1DEF">
      <w:pPr>
        <w:pStyle w:val="25"/>
        <w:rPr>
          <w:rFonts w:asciiTheme="minorHAnsi" w:hAnsiTheme="minorHAnsi" w:eastAsiaTheme="minorEastAsia" w:cstheme="minorBidi"/>
          <w:sz w:val="22"/>
          <w:szCs w:val="24"/>
          <w14:ligatures w14:val="standardContextual"/>
        </w:rPr>
      </w:pPr>
      <w:r>
        <w:fldChar w:fldCharType="begin"/>
      </w:r>
      <w:r>
        <w:instrText xml:space="preserve"> HYPERLINK \l "_Toc201787869" </w:instrText>
      </w:r>
      <w:r>
        <w:fldChar w:fldCharType="separate"/>
      </w:r>
      <w:r>
        <w:rPr>
          <w:rStyle w:val="33"/>
          <w:rFonts w:hint="eastAsia"/>
        </w:rPr>
        <w:t>9.3</w:t>
      </w:r>
      <w:r>
        <w:rPr>
          <w:rStyle w:val="33"/>
        </w:rPr>
        <w:t xml:space="preserve"> </w:t>
      </w:r>
      <w:r>
        <w:rPr>
          <w:rStyle w:val="33"/>
          <w:rFonts w:hint="eastAsia"/>
        </w:rPr>
        <w:t xml:space="preserve"> 应急处理</w:t>
      </w:r>
      <w:r>
        <w:rPr>
          <w:rFonts w:hint="eastAsia"/>
        </w:rPr>
        <w:tab/>
      </w:r>
      <w:r>
        <w:rPr>
          <w:rFonts w:hint="eastAsia"/>
        </w:rPr>
        <w:fldChar w:fldCharType="begin"/>
      </w:r>
      <w:r>
        <w:rPr>
          <w:rFonts w:hint="eastAsia"/>
        </w:rPr>
        <w:instrText xml:space="preserve"> </w:instrText>
      </w:r>
      <w:r>
        <w:instrText xml:space="preserve">PAGEREF _Toc201787869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4EB51A69">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"_Toc201787870" </w:instrText>
      </w:r>
      <w:r>
        <w:fldChar w:fldCharType="separate"/>
      </w:r>
      <w:r>
        <w:rPr>
          <w:rStyle w:val="33"/>
          <w:rFonts w:hint="eastAsia"/>
        </w:rPr>
        <w:t>10</w:t>
      </w:r>
      <w:r>
        <w:rPr>
          <w:rStyle w:val="33"/>
        </w:rPr>
        <w:t xml:space="preserve"> </w:t>
      </w:r>
      <w:r>
        <w:rPr>
          <w:rStyle w:val="33"/>
          <w:rFonts w:hint="eastAsia"/>
        </w:rPr>
        <w:t xml:space="preserve"> 维护与保养</w:t>
      </w:r>
      <w:r>
        <w:rPr>
          <w:rFonts w:hint="eastAsia"/>
        </w:rPr>
        <w:tab/>
      </w:r>
      <w:r>
        <w:rPr>
          <w:rFonts w:hint="eastAsia"/>
        </w:rPr>
        <w:fldChar w:fldCharType="begin"/>
      </w:r>
      <w:r>
        <w:rPr>
          <w:rFonts w:hint="eastAsia"/>
        </w:rPr>
        <w:instrText xml:space="preserve"> </w:instrText>
      </w:r>
      <w:r>
        <w:instrText xml:space="preserve">PAGEREF _Toc201787870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14C31E04">
      <w:pPr>
        <w:pStyle w:val="25"/>
        <w:rPr>
          <w:rFonts w:asciiTheme="minorHAnsi" w:hAnsiTheme="minorHAnsi" w:eastAsiaTheme="minorEastAsia" w:cstheme="minorBidi"/>
          <w:sz w:val="22"/>
          <w:szCs w:val="24"/>
          <w14:ligatures w14:val="standardContextual"/>
        </w:rPr>
      </w:pPr>
      <w:r>
        <w:fldChar w:fldCharType="begin"/>
      </w:r>
      <w:r>
        <w:instrText xml:space="preserve"> HYPERLINK \l "_Toc201787871" </w:instrText>
      </w:r>
      <w:r>
        <w:fldChar w:fldCharType="separate"/>
      </w:r>
      <w:r>
        <w:rPr>
          <w:rStyle w:val="33"/>
          <w:rFonts w:hint="eastAsia"/>
        </w:rPr>
        <w:t>10.1</w:t>
      </w:r>
      <w:r>
        <w:rPr>
          <w:rStyle w:val="33"/>
        </w:rPr>
        <w:t xml:space="preserve"> </w:t>
      </w:r>
      <w:r>
        <w:rPr>
          <w:rStyle w:val="33"/>
          <w:rFonts w:hint="eastAsia"/>
        </w:rPr>
        <w:t xml:space="preserve"> 日常维护</w:t>
      </w:r>
      <w:r>
        <w:rPr>
          <w:rFonts w:hint="eastAsia"/>
        </w:rPr>
        <w:tab/>
      </w:r>
      <w:r>
        <w:rPr>
          <w:rFonts w:hint="eastAsia"/>
        </w:rPr>
        <w:fldChar w:fldCharType="begin"/>
      </w:r>
      <w:r>
        <w:rPr>
          <w:rFonts w:hint="eastAsia"/>
        </w:rPr>
        <w:instrText xml:space="preserve"> </w:instrText>
      </w:r>
      <w:r>
        <w:instrText xml:space="preserve">PAGEREF _Toc201787871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1C633A33">
      <w:pPr>
        <w:pStyle w:val="25"/>
        <w:rPr>
          <w:rFonts w:asciiTheme="minorHAnsi" w:hAnsiTheme="minorHAnsi" w:eastAsiaTheme="minorEastAsia" w:cstheme="minorBidi"/>
          <w:sz w:val="22"/>
          <w:szCs w:val="24"/>
          <w14:ligatures w14:val="standardContextual"/>
        </w:rPr>
      </w:pPr>
      <w:r>
        <w:fldChar w:fldCharType="begin"/>
      </w:r>
      <w:r>
        <w:instrText xml:space="preserve"> HYPERLINK \l "_Toc201787872" </w:instrText>
      </w:r>
      <w:r>
        <w:fldChar w:fldCharType="separate"/>
      </w:r>
      <w:r>
        <w:rPr>
          <w:rStyle w:val="33"/>
          <w:rFonts w:hint="eastAsia"/>
        </w:rPr>
        <w:t>10.2</w:t>
      </w:r>
      <w:r>
        <w:rPr>
          <w:rStyle w:val="33"/>
        </w:rPr>
        <w:t xml:space="preserve"> </w:t>
      </w:r>
      <w:r>
        <w:rPr>
          <w:rStyle w:val="33"/>
          <w:rFonts w:hint="eastAsia"/>
        </w:rPr>
        <w:t xml:space="preserve"> 吊运系统检查</w:t>
      </w:r>
      <w:r>
        <w:rPr>
          <w:rFonts w:hint="eastAsia"/>
        </w:rPr>
        <w:tab/>
      </w:r>
      <w:r>
        <w:rPr>
          <w:rFonts w:hint="eastAsia"/>
        </w:rPr>
        <w:fldChar w:fldCharType="begin"/>
      </w:r>
      <w:r>
        <w:rPr>
          <w:rFonts w:hint="eastAsia"/>
        </w:rPr>
        <w:instrText xml:space="preserve"> </w:instrText>
      </w:r>
      <w:r>
        <w:instrText xml:space="preserve">PAGEREF _Toc201787872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25BC7997">
      <w:pPr>
        <w:pStyle w:val="25"/>
        <w:rPr>
          <w:rFonts w:asciiTheme="minorHAnsi" w:hAnsiTheme="minorHAnsi" w:eastAsiaTheme="minorEastAsia" w:cstheme="minorBidi"/>
          <w:sz w:val="22"/>
          <w:szCs w:val="24"/>
          <w14:ligatures w14:val="standardContextual"/>
        </w:rPr>
      </w:pPr>
      <w:r>
        <w:fldChar w:fldCharType="begin"/>
      </w:r>
      <w:r>
        <w:instrText xml:space="preserve"> HYPERLINK \l "_Toc201787873" </w:instrText>
      </w:r>
      <w:r>
        <w:fldChar w:fldCharType="separate"/>
      </w:r>
      <w:r>
        <w:rPr>
          <w:rStyle w:val="33"/>
          <w:rFonts w:hint="eastAsia"/>
        </w:rPr>
        <w:t>10.3</w:t>
      </w:r>
      <w:r>
        <w:rPr>
          <w:rStyle w:val="33"/>
        </w:rPr>
        <w:t xml:space="preserve"> </w:t>
      </w:r>
      <w:r>
        <w:rPr>
          <w:rStyle w:val="33"/>
          <w:rFonts w:hint="eastAsia"/>
        </w:rPr>
        <w:t xml:space="preserve"> 电池管理</w:t>
      </w:r>
      <w:r>
        <w:rPr>
          <w:rFonts w:hint="eastAsia"/>
        </w:rPr>
        <w:tab/>
      </w:r>
      <w:r>
        <w:rPr>
          <w:rFonts w:hint="eastAsia"/>
        </w:rPr>
        <w:fldChar w:fldCharType="begin"/>
      </w:r>
      <w:r>
        <w:rPr>
          <w:rFonts w:hint="eastAsia"/>
        </w:rPr>
        <w:instrText xml:space="preserve"> </w:instrText>
      </w:r>
      <w:r>
        <w:instrText xml:space="preserve">PAGEREF _Toc201787873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4A915F23">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"_Toc201787874" </w:instrText>
      </w:r>
      <w:r>
        <w:fldChar w:fldCharType="separate"/>
      </w:r>
      <w:r>
        <w:rPr>
          <w:rStyle w:val="33"/>
          <w:rFonts w:hint="eastAsia"/>
        </w:rPr>
        <w:t>11</w:t>
      </w:r>
      <w:r>
        <w:rPr>
          <w:rStyle w:val="33"/>
        </w:rPr>
        <w:t xml:space="preserve"> </w:t>
      </w:r>
      <w:r>
        <w:rPr>
          <w:rStyle w:val="33"/>
          <w:rFonts w:hint="eastAsia"/>
        </w:rPr>
        <w:t xml:space="preserve"> 档案管理</w:t>
      </w:r>
      <w:r>
        <w:rPr>
          <w:rFonts w:hint="eastAsia"/>
        </w:rPr>
        <w:tab/>
      </w:r>
      <w:r>
        <w:rPr>
          <w:rFonts w:hint="eastAsia"/>
        </w:rPr>
        <w:fldChar w:fldCharType="begin"/>
      </w:r>
      <w:r>
        <w:rPr>
          <w:rFonts w:hint="eastAsia"/>
        </w:rPr>
        <w:instrText xml:space="preserve"> </w:instrText>
      </w:r>
      <w:r>
        <w:instrText xml:space="preserve">PAGEREF _Toc201787874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45FB8DEB">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"_Toc201787875" </w:instrText>
      </w:r>
      <w:r>
        <w:fldChar w:fldCharType="separate"/>
      </w:r>
      <w:r>
        <w:rPr>
          <w:rStyle w:val="33"/>
          <w:rFonts w:hint="eastAsia"/>
        </w:rPr>
        <w:t>附录A（资料性）</w:t>
      </w:r>
      <w:r>
        <w:rPr>
          <w:rStyle w:val="33"/>
        </w:rPr>
        <w:t xml:space="preserve"> </w:t>
      </w:r>
      <w:r>
        <w:rPr>
          <w:rStyle w:val="33"/>
          <w:rFonts w:hint="eastAsia"/>
        </w:rPr>
        <w:t xml:space="preserve"> 一种无人机抛投装置示例图</w:t>
      </w:r>
      <w:r>
        <w:rPr>
          <w:rFonts w:hint="eastAsia"/>
        </w:rPr>
        <w:tab/>
      </w:r>
      <w:r>
        <w:rPr>
          <w:rFonts w:hint="eastAsia"/>
        </w:rPr>
        <w:fldChar w:fldCharType="begin"/>
      </w:r>
      <w:r>
        <w:rPr>
          <w:rFonts w:hint="eastAsia"/>
        </w:rPr>
        <w:instrText xml:space="preserve"> </w:instrText>
      </w:r>
      <w:r>
        <w:instrText xml:space="preserve">PAGEREF _Toc201787875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5E803FCB">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"_Toc201787876" </w:instrText>
      </w:r>
      <w:r>
        <w:fldChar w:fldCharType="separate"/>
      </w:r>
      <w:r>
        <w:rPr>
          <w:rStyle w:val="33"/>
          <w:rFonts w:hint="eastAsia"/>
        </w:rPr>
        <w:t>附录B（资料性）</w:t>
      </w:r>
      <w:r>
        <w:rPr>
          <w:rStyle w:val="33"/>
        </w:rPr>
        <w:t xml:space="preserve"> </w:t>
      </w:r>
      <w:r>
        <w:rPr>
          <w:rStyle w:val="33"/>
          <w:rFonts w:hint="eastAsia"/>
        </w:rPr>
        <w:t xml:space="preserve"> 一种无人机用自动脱钩挂钩示例图</w:t>
      </w:r>
      <w:r>
        <w:rPr>
          <w:rFonts w:hint="eastAsia"/>
        </w:rPr>
        <w:tab/>
      </w:r>
      <w:r>
        <w:rPr>
          <w:rFonts w:hint="eastAsia"/>
        </w:rPr>
        <w:fldChar w:fldCharType="begin"/>
      </w:r>
      <w:r>
        <w:rPr>
          <w:rFonts w:hint="eastAsia"/>
        </w:rPr>
        <w:instrText xml:space="preserve"> </w:instrText>
      </w:r>
      <w:r>
        <w:instrText xml:space="preserve">PAGEREF _Toc201787876 \h</w:instrText>
      </w:r>
      <w:r>
        <w:rPr>
          <w:rFonts w:hint="eastAsia"/>
        </w:rPr>
        <w:instrText xml:space="preserve"> </w:instrText>
      </w:r>
      <w:r>
        <w:rPr>
          <w:rFonts w:hint="eastAsia"/>
        </w:rPr>
        <w:fldChar w:fldCharType="separate"/>
      </w:r>
      <w:r>
        <w:t>10</w:t>
      </w:r>
      <w:r>
        <w:rPr>
          <w:rFonts w:hint="eastAsia"/>
        </w:rPr>
        <w:fldChar w:fldCharType="end"/>
      </w:r>
      <w:r>
        <w:rPr>
          <w:rFonts w:hint="eastAsia"/>
        </w:rPr>
        <w:fldChar w:fldCharType="end"/>
      </w:r>
    </w:p>
    <w:p w14:paraId="791C3D43">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"_Toc201787877" </w:instrText>
      </w:r>
      <w:r>
        <w:fldChar w:fldCharType="separate"/>
      </w:r>
      <w:r>
        <w:rPr>
          <w:rStyle w:val="33"/>
          <w:rFonts w:hint="eastAsia"/>
        </w:rPr>
        <w:t>附录C（资料性）</w:t>
      </w:r>
      <w:r>
        <w:rPr>
          <w:rStyle w:val="33"/>
        </w:rPr>
        <w:t xml:space="preserve"> </w:t>
      </w:r>
      <w:r>
        <w:rPr>
          <w:rStyle w:val="33"/>
          <w:rFonts w:hint="eastAsia"/>
        </w:rPr>
        <w:t xml:space="preserve"> 载荷释放操作示例</w:t>
      </w:r>
      <w:r>
        <w:rPr>
          <w:rFonts w:hint="eastAsia"/>
        </w:rPr>
        <w:tab/>
      </w:r>
      <w:r>
        <w:rPr>
          <w:rFonts w:hint="eastAsia"/>
        </w:rPr>
        <w:fldChar w:fldCharType="begin"/>
      </w:r>
      <w:r>
        <w:rPr>
          <w:rFonts w:hint="eastAsia"/>
        </w:rPr>
        <w:instrText xml:space="preserve"> </w:instrText>
      </w:r>
      <w:r>
        <w:instrText xml:space="preserve">PAGEREF _Toc201787877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4B673078">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"_Toc201787878" </w:instrText>
      </w:r>
      <w:r>
        <w:fldChar w:fldCharType="separate"/>
      </w:r>
      <w:r>
        <w:rPr>
          <w:rStyle w:val="33"/>
          <w:rFonts w:hint="eastAsia"/>
        </w:rPr>
        <w:t>附录D（资料性）</w:t>
      </w:r>
      <w:r>
        <w:rPr>
          <w:rStyle w:val="33"/>
        </w:rPr>
        <w:t xml:space="preserve"> </w:t>
      </w:r>
      <w:r>
        <w:rPr>
          <w:rStyle w:val="33"/>
          <w:rFonts w:hint="eastAsia"/>
        </w:rPr>
        <w:t xml:space="preserve"> 项目验收确认单示例</w:t>
      </w:r>
      <w:r>
        <w:rPr>
          <w:rFonts w:hint="eastAsia"/>
        </w:rPr>
        <w:tab/>
      </w:r>
      <w:r>
        <w:rPr>
          <w:rFonts w:hint="eastAsia"/>
        </w:rPr>
        <w:fldChar w:fldCharType="begin"/>
      </w:r>
      <w:r>
        <w:rPr>
          <w:rFonts w:hint="eastAsia"/>
        </w:rPr>
        <w:instrText xml:space="preserve"> </w:instrText>
      </w:r>
      <w:r>
        <w:instrText xml:space="preserve">PAGEREF _Toc201787878 \h</w:instrText>
      </w:r>
      <w:r>
        <w:rPr>
          <w:rFonts w:hint="eastAsia"/>
        </w:rPr>
        <w:instrText xml:space="preserve"> </w:instrText>
      </w:r>
      <w:r>
        <w:rPr>
          <w:rFonts w:hint="eastAsia"/>
        </w:rPr>
        <w:fldChar w:fldCharType="separate"/>
      </w:r>
      <w:r>
        <w:t>12</w:t>
      </w:r>
      <w:r>
        <w:rPr>
          <w:rFonts w:hint="eastAsia"/>
        </w:rPr>
        <w:fldChar w:fldCharType="end"/>
      </w:r>
      <w:r>
        <w:rPr>
          <w:rFonts w:hint="eastAsia"/>
        </w:rPr>
        <w:fldChar w:fldCharType="end"/>
      </w:r>
    </w:p>
    <w:p w14:paraId="50BB529F">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"_Toc201787879" </w:instrText>
      </w:r>
      <w:r>
        <w:fldChar w:fldCharType="separate"/>
      </w:r>
      <w:r>
        <w:rPr>
          <w:rStyle w:val="33"/>
          <w:rFonts w:hint="eastAsia"/>
        </w:rPr>
        <w:t>附录E（资料性）</w:t>
      </w:r>
      <w:r>
        <w:rPr>
          <w:rStyle w:val="33"/>
        </w:rPr>
        <w:t xml:space="preserve"> </w:t>
      </w:r>
      <w:r>
        <w:rPr>
          <w:rStyle w:val="33"/>
          <w:rFonts w:hint="eastAsia"/>
        </w:rPr>
        <w:t xml:space="preserve"> 设备物资点验清单示例表</w:t>
      </w:r>
      <w:r>
        <w:rPr>
          <w:rFonts w:hint="eastAsia"/>
        </w:rPr>
        <w:tab/>
      </w:r>
      <w:r>
        <w:rPr>
          <w:rFonts w:hint="eastAsia"/>
        </w:rPr>
        <w:fldChar w:fldCharType="begin"/>
      </w:r>
      <w:r>
        <w:rPr>
          <w:rFonts w:hint="eastAsia"/>
        </w:rPr>
        <w:instrText xml:space="preserve"> </w:instrText>
      </w:r>
      <w:r>
        <w:instrText xml:space="preserve">PAGEREF _Toc201787879 \h</w:instrText>
      </w:r>
      <w:r>
        <w:rPr>
          <w:rFonts w:hint="eastAsia"/>
        </w:rPr>
        <w:instrText xml:space="preserve"> </w:instrText>
      </w:r>
      <w:r>
        <w:rPr>
          <w:rFonts w:hint="eastAsia"/>
        </w:rPr>
        <w:fldChar w:fldCharType="separate"/>
      </w:r>
      <w:r>
        <w:t>13</w:t>
      </w:r>
      <w:r>
        <w:rPr>
          <w:rFonts w:hint="eastAsia"/>
        </w:rPr>
        <w:fldChar w:fldCharType="end"/>
      </w:r>
      <w:r>
        <w:rPr>
          <w:rFonts w:hint="eastAsia"/>
        </w:rPr>
        <w:fldChar w:fldCharType="end"/>
      </w:r>
    </w:p>
    <w:p w14:paraId="3D5D6E3C">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"_Toc201787880" </w:instrText>
      </w:r>
      <w:r>
        <w:fldChar w:fldCharType="separate"/>
      </w:r>
      <w:r>
        <w:rPr>
          <w:rStyle w:val="33"/>
          <w:rFonts w:hint="eastAsia"/>
        </w:rPr>
        <w:t>附录F（资料性）</w:t>
      </w:r>
      <w:r>
        <w:rPr>
          <w:rStyle w:val="33"/>
        </w:rPr>
        <w:t xml:space="preserve"> </w:t>
      </w:r>
      <w:r>
        <w:rPr>
          <w:rStyle w:val="33"/>
          <w:rFonts w:hint="eastAsia"/>
        </w:rPr>
        <w:t xml:space="preserve"> 作业形式图</w:t>
      </w:r>
      <w:r>
        <w:rPr>
          <w:rFonts w:hint="eastAsia"/>
        </w:rPr>
        <w:tab/>
      </w:r>
      <w:r>
        <w:rPr>
          <w:rFonts w:hint="eastAsia"/>
        </w:rPr>
        <w:fldChar w:fldCharType="begin"/>
      </w:r>
      <w:r>
        <w:rPr>
          <w:rFonts w:hint="eastAsia"/>
        </w:rPr>
        <w:instrText xml:space="preserve"> </w:instrText>
      </w:r>
      <w:r>
        <w:instrText xml:space="preserve">PAGEREF _Toc201787880 \h</w:instrText>
      </w:r>
      <w:r>
        <w:rPr>
          <w:rFonts w:hint="eastAsia"/>
        </w:rPr>
        <w:instrText xml:space="preserve"> </w:instrText>
      </w:r>
      <w:r>
        <w:rPr>
          <w:rFonts w:hint="eastAsia"/>
        </w:rPr>
        <w:fldChar w:fldCharType="separate"/>
      </w:r>
      <w:r>
        <w:t>14</w:t>
      </w:r>
      <w:r>
        <w:rPr>
          <w:rFonts w:hint="eastAsia"/>
        </w:rPr>
        <w:fldChar w:fldCharType="end"/>
      </w:r>
      <w:r>
        <w:rPr>
          <w:rFonts w:hint="eastAsia"/>
        </w:rPr>
        <w:fldChar w:fldCharType="end"/>
      </w:r>
    </w:p>
    <w:p w14:paraId="445AD0C8">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"_Toc201787881" </w:instrText>
      </w:r>
      <w:r>
        <w:fldChar w:fldCharType="separate"/>
      </w:r>
      <w:r>
        <w:rPr>
          <w:rStyle w:val="33"/>
          <w:rFonts w:hint="eastAsia"/>
        </w:rPr>
        <w:t>附录G（资料性）</w:t>
      </w:r>
      <w:r>
        <w:rPr>
          <w:rStyle w:val="33"/>
        </w:rPr>
        <w:t xml:space="preserve"> </w:t>
      </w:r>
      <w:r>
        <w:rPr>
          <w:rStyle w:val="33"/>
          <w:rFonts w:hint="eastAsia"/>
        </w:rPr>
        <w:t xml:space="preserve"> 手势动作对照表</w:t>
      </w:r>
      <w:r>
        <w:rPr>
          <w:rFonts w:hint="eastAsia"/>
        </w:rPr>
        <w:tab/>
      </w:r>
      <w:r>
        <w:rPr>
          <w:rFonts w:hint="eastAsia"/>
        </w:rPr>
        <w:fldChar w:fldCharType="begin"/>
      </w:r>
      <w:r>
        <w:rPr>
          <w:rFonts w:hint="eastAsia"/>
        </w:rPr>
        <w:instrText xml:space="preserve"> </w:instrText>
      </w:r>
      <w:r>
        <w:instrText xml:space="preserve">PAGEREF _Toc201787881 \h</w:instrText>
      </w:r>
      <w:r>
        <w:rPr>
          <w:rFonts w:hint="eastAsia"/>
        </w:rPr>
        <w:instrText xml:space="preserve"> </w:instrText>
      </w:r>
      <w:r>
        <w:rPr>
          <w:rFonts w:hint="eastAsia"/>
        </w:rPr>
        <w:fldChar w:fldCharType="separate"/>
      </w:r>
      <w:r>
        <w:t>15</w:t>
      </w:r>
      <w:r>
        <w:rPr>
          <w:rFonts w:hint="eastAsia"/>
        </w:rPr>
        <w:fldChar w:fldCharType="end"/>
      </w:r>
      <w:r>
        <w:rPr>
          <w:rFonts w:hint="eastAsia"/>
        </w:rPr>
        <w:fldChar w:fldCharType="end"/>
      </w:r>
    </w:p>
    <w:p w14:paraId="6B087274">
      <w:pPr>
        <w:pStyle w:val="20"/>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"_Toc201787882" </w:instrText>
      </w:r>
      <w:r>
        <w:fldChar w:fldCharType="separate"/>
      </w:r>
      <w:r>
        <w:rPr>
          <w:rStyle w:val="33"/>
          <w:rFonts w:hint="eastAsia"/>
        </w:rPr>
        <w:t>参考文献</w:t>
      </w:r>
      <w:r>
        <w:rPr>
          <w:rFonts w:hint="eastAsia"/>
        </w:rPr>
        <w:tab/>
      </w:r>
      <w:r>
        <w:rPr>
          <w:rFonts w:hint="eastAsia"/>
        </w:rPr>
        <w:fldChar w:fldCharType="begin"/>
      </w:r>
      <w:r>
        <w:rPr>
          <w:rFonts w:hint="eastAsia"/>
        </w:rPr>
        <w:instrText xml:space="preserve"> </w:instrText>
      </w:r>
      <w:r>
        <w:instrText xml:space="preserve">PAGEREF _Toc201787882 \h</w:instrText>
      </w:r>
      <w:r>
        <w:rPr>
          <w:rFonts w:hint="eastAsia"/>
        </w:rPr>
        <w:instrText xml:space="preserve"> </w:instrText>
      </w:r>
      <w:r>
        <w:rPr>
          <w:rFonts w:hint="eastAsia"/>
        </w:rPr>
        <w:fldChar w:fldCharType="separate"/>
      </w:r>
      <w:r>
        <w:t>16</w:t>
      </w:r>
      <w:r>
        <w:rPr>
          <w:rFonts w:hint="eastAsia"/>
        </w:rPr>
        <w:fldChar w:fldCharType="end"/>
      </w:r>
      <w:r>
        <w:rPr>
          <w:rFonts w:hint="eastAsia"/>
        </w:rPr>
        <w:fldChar w:fldCharType="end"/>
      </w:r>
    </w:p>
    <w:p w14:paraId="6B8FD5F9">
      <w:pPr>
        <w:pStyle w:val="92"/>
        <w:spacing w:after="36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1"/>
    <w:p w14:paraId="1FE4268C">
      <w:pPr>
        <w:pStyle w:val="90"/>
        <w:spacing w:after="360"/>
      </w:pPr>
      <w:bookmarkStart w:id="41" w:name="_Toc201787847"/>
      <w:bookmarkStart w:id="42" w:name="BookMark2"/>
      <w:r>
        <w:rPr>
          <w:spacing w:val="320"/>
        </w:rPr>
        <w:t>前</w:t>
      </w:r>
      <w:r>
        <w:t>言</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0EA789C0">
      <w:pPr>
        <w:pStyle w:val="57"/>
        <w:ind w:firstLine="420"/>
      </w:pPr>
      <w:r>
        <w:rPr>
          <w:rFonts w:hint="eastAsia"/>
        </w:rPr>
        <w:t>本文件参照GB/T 1.1—2020《标准化工作导则  第1部分：标准化文件的结构和起草规则》的规定起草。</w:t>
      </w:r>
    </w:p>
    <w:p w14:paraId="4C5C49C4">
      <w:pPr>
        <w:pStyle w:val="57"/>
        <w:ind w:firstLine="420"/>
      </w:pPr>
      <w:r>
        <w:rPr>
          <w:rFonts w:hint="eastAsia"/>
        </w:rPr>
        <w:t>本文件是T/GXAS XXXX《农用无人驾驶航空器山地吊运安全操作技术规范》的第1部分。</w:t>
      </w:r>
      <w:r>
        <w:t>T/GXAS XXXX</w:t>
      </w:r>
      <w:r>
        <w:rPr>
          <w:rFonts w:hint="eastAsia"/>
        </w:rPr>
        <w:t>已经发布了以下部分：</w:t>
      </w:r>
    </w:p>
    <w:p w14:paraId="0B86B4D4">
      <w:pPr>
        <w:pStyle w:val="57"/>
        <w:ind w:firstLine="420"/>
        <w:rPr>
          <w:rFonts w:hint="eastAsia"/>
        </w:rPr>
      </w:pPr>
      <w:r>
        <w:rPr>
          <w:rFonts w:hint="eastAsia"/>
        </w:rPr>
        <w:t>——第1部分：总则。</w:t>
      </w:r>
    </w:p>
    <w:p w14:paraId="3BCADA6B">
      <w:pPr>
        <w:pStyle w:val="57"/>
        <w:ind w:firstLine="420"/>
      </w:pPr>
      <w:r>
        <w:rPr>
          <w:rFonts w:hint="eastAsia"/>
        </w:rPr>
        <w:t>——第</w:t>
      </w:r>
      <w:r>
        <w:rPr>
          <w:rFonts w:hint="eastAsia"/>
          <w:lang w:val="en-US" w:eastAsia="zh-CN"/>
        </w:rPr>
        <w:t>2</w:t>
      </w:r>
      <w:r>
        <w:rPr>
          <w:rFonts w:hint="eastAsia"/>
        </w:rPr>
        <w:t>部分：</w:t>
      </w:r>
      <w:r>
        <w:rPr>
          <w:rFonts w:hint="eastAsia"/>
          <w:lang w:val="en-US" w:eastAsia="zh-CN"/>
        </w:rPr>
        <w:t>果蔬类吊运</w:t>
      </w:r>
      <w:r>
        <w:rPr>
          <w:rFonts w:hint="eastAsia"/>
        </w:rPr>
        <w:t>。</w:t>
      </w:r>
    </w:p>
    <w:p w14:paraId="49D3ED93">
      <w:pPr>
        <w:pStyle w:val="57"/>
        <w:ind w:firstLine="420"/>
      </w:pPr>
      <w:r>
        <w:rPr>
          <w:rFonts w:hint="eastAsia"/>
        </w:rPr>
        <w:t>请注意本文件的某些内容可能涉及专利。本文件的发布机构不承担识别专利的责任。</w:t>
      </w:r>
    </w:p>
    <w:p w14:paraId="624E01F5">
      <w:pPr>
        <w:pStyle w:val="57"/>
        <w:ind w:firstLine="420"/>
      </w:pPr>
      <w:r>
        <w:rPr>
          <w:rFonts w:hint="eastAsia"/>
        </w:rPr>
        <w:t>本文件由广西林学会、广西无人机技术应用协会提出和</w:t>
      </w:r>
      <w:r>
        <w:t>宣贯</w:t>
      </w:r>
      <w:r>
        <w:rPr>
          <w:rFonts w:hint="eastAsia"/>
        </w:rPr>
        <w:t>。</w:t>
      </w:r>
    </w:p>
    <w:p w14:paraId="65AE00DF">
      <w:pPr>
        <w:pStyle w:val="57"/>
        <w:ind w:firstLine="420"/>
      </w:pPr>
      <w:r>
        <w:rPr>
          <w:rFonts w:hint="eastAsia"/>
        </w:rPr>
        <w:t>本文件由广西标准化协会归口。</w:t>
      </w:r>
    </w:p>
    <w:p w14:paraId="5F64684A">
      <w:pPr>
        <w:pStyle w:val="57"/>
        <w:ind w:firstLine="420"/>
      </w:pPr>
      <w:r>
        <w:rPr>
          <w:rFonts w:hint="eastAsia"/>
        </w:rPr>
        <w:t>本文件起草单位：河池市林业科学研究院</w:t>
      </w:r>
      <w:bookmarkStart w:id="671" w:name="_GoBack"/>
      <w:bookmarkEnd w:id="671"/>
      <w:r>
        <w:rPr>
          <w:rFonts w:hint="eastAsia"/>
        </w:rPr>
        <w:t>、河池市科学技术情报研究所、广西科学院河池分院、深圳市大疆创新科技有限公司、广西产业技术研究院、广西现代职业技术学院、河池市职业教育中心学校、梧州市轩助消防科技有限公司、广西农业工程职业技术学院、广西威鹰科技发展有限公司、柳州城市职业学院、金城江区农业农村局、河池市金城江区自然资源局、广西河池天蓝农业科技有限公司、广西壮族自治区林业科学研究院、河池学院、重庆市江津区四面山森林资源管理局、云南省林业和草原科学院漾濞核桃研究院、内蒙古天蓝蓝航空科技有限公司、河池市木本粮油产业发展中心、广西景航无人机有限公司</w:t>
      </w:r>
      <w:r>
        <w:rPr>
          <w:rFonts w:hint="eastAsia"/>
          <w:lang w:eastAsia="zh-CN"/>
        </w:rPr>
        <w:t>、北斗航天科技(广西)有限公司、百色环飞科技有限公司、</w:t>
      </w:r>
      <w:r>
        <w:rPr>
          <w:rFonts w:hint="eastAsia"/>
        </w:rPr>
        <w:t>河池市金城江区九圩镇农业服务中心、广西标准化协会。</w:t>
      </w:r>
    </w:p>
    <w:p w14:paraId="2A01D3B3">
      <w:pPr>
        <w:pStyle w:val="57"/>
        <w:ind w:firstLine="420"/>
      </w:pPr>
      <w:r>
        <w:rPr>
          <w:rFonts w:hint="eastAsia"/>
        </w:rPr>
        <w:t>本文件主要起草人：蓝锐、谢代祖、韦国旺、程忠义、黄媚媚、李伟、蓝婕英、韦艺、韩俊严、李露、谭珍妮、古恋、韦林、蒋玉芳、吴峰、杨德英、梁正乐、梁献助、梁献创、吴皓然、梁栩源、卢迪、陆电学、储江、周巍、毛志锋、李让高、李运飞、黄麟凯、韦丹、韦红丹、韦柳麦、张慧英、蓝婉婷、祁子颖、梁悦柠、覃柳霞、覃岗、黄甫克、赵志珩、黄晓露、覃国乐、杨敏、熊新武、覃孟源、韦良炬、龙跃、黄荣</w:t>
      </w:r>
      <w:r>
        <w:rPr>
          <w:rFonts w:hint="eastAsia"/>
          <w:lang w:eastAsia="zh-CN"/>
        </w:rPr>
        <w:t>、</w:t>
      </w:r>
      <w:r>
        <w:rPr>
          <w:rFonts w:hint="eastAsia"/>
        </w:rPr>
        <w:t>蓝军勇</w:t>
      </w:r>
      <w:r>
        <w:rPr>
          <w:rFonts w:hint="eastAsia"/>
          <w:lang w:eastAsia="zh-CN"/>
        </w:rPr>
        <w:t>、</w:t>
      </w:r>
      <w:r>
        <w:rPr>
          <w:rFonts w:hint="eastAsia"/>
        </w:rPr>
        <w:t>梁运波</w:t>
      </w:r>
      <w:r>
        <w:rPr>
          <w:rFonts w:hint="eastAsia"/>
          <w:lang w:eastAsia="zh-CN"/>
        </w:rPr>
        <w:t>、</w:t>
      </w:r>
      <w:r>
        <w:rPr>
          <w:rFonts w:hint="eastAsia"/>
        </w:rPr>
        <w:t>徐涵</w:t>
      </w:r>
      <w:r>
        <w:rPr>
          <w:rFonts w:hint="eastAsia"/>
          <w:lang w:eastAsia="zh-CN"/>
        </w:rPr>
        <w:t>、</w:t>
      </w:r>
      <w:r>
        <w:rPr>
          <w:rFonts w:hint="eastAsia"/>
        </w:rPr>
        <w:t>吴力力</w:t>
      </w:r>
      <w:r>
        <w:rPr>
          <w:rFonts w:hint="eastAsia"/>
          <w:lang w:eastAsia="zh-CN"/>
        </w:rPr>
        <w:t>、</w:t>
      </w:r>
      <w:r>
        <w:rPr>
          <w:rFonts w:hint="eastAsia"/>
        </w:rPr>
        <w:t>胡国新、兰良术、李升、谢宏昭、刘祁云、黄强。</w:t>
      </w:r>
    </w:p>
    <w:p w14:paraId="23233453">
      <w:pPr>
        <w:pStyle w:val="57"/>
        <w:ind w:firstLine="420"/>
      </w:pPr>
    </w:p>
    <w:p w14:paraId="6158F7AD">
      <w:pPr>
        <w:pStyle w:val="57"/>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linePitch="312" w:charSpace="0"/>
        </w:sectPr>
      </w:pPr>
    </w:p>
    <w:bookmarkEnd w:id="42"/>
    <w:p w14:paraId="10522836">
      <w:pPr>
        <w:pStyle w:val="90"/>
        <w:spacing w:after="360"/>
      </w:pPr>
      <w:bookmarkStart w:id="43" w:name="_Toc201271240"/>
      <w:bookmarkStart w:id="44" w:name="_Toc200554993"/>
      <w:bookmarkStart w:id="45" w:name="_Toc200554718"/>
      <w:bookmarkStart w:id="46" w:name="_Toc201272008"/>
      <w:bookmarkStart w:id="47" w:name="_Toc201433962"/>
      <w:bookmarkStart w:id="48" w:name="_Toc201271966"/>
      <w:bookmarkStart w:id="49" w:name="_Toc200757631"/>
      <w:bookmarkStart w:id="50" w:name="_Toc200570833"/>
      <w:bookmarkStart w:id="51" w:name="_Toc201646622"/>
      <w:bookmarkStart w:id="52" w:name="_Toc201438567"/>
      <w:bookmarkStart w:id="53" w:name="_Toc201437551"/>
      <w:bookmarkStart w:id="54" w:name="_Toc200570346"/>
      <w:bookmarkStart w:id="55" w:name="_Toc201433895"/>
      <w:bookmarkStart w:id="56" w:name="_Toc201434397"/>
      <w:bookmarkStart w:id="57" w:name="_Toc201611332"/>
      <w:bookmarkStart w:id="58" w:name="_Toc200570002"/>
      <w:bookmarkStart w:id="59" w:name="_Toc201760229"/>
      <w:bookmarkStart w:id="60" w:name="_Toc201787848"/>
      <w:bookmarkStart w:id="61" w:name="_Toc200569971"/>
      <w:bookmarkStart w:id="62" w:name="_Toc201569597"/>
      <w:bookmarkStart w:id="63" w:name="BookMark3"/>
      <w:r>
        <w:rPr>
          <w:spacing w:val="320"/>
        </w:rPr>
        <w:t>引</w:t>
      </w:r>
      <w:r>
        <w:t>言</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3ADD6992">
      <w:pPr>
        <w:pStyle w:val="201"/>
        <w:spacing w:before="120" w:after="120"/>
      </w:pPr>
      <w:r>
        <w:rPr>
          <w:rFonts w:hint="eastAsia"/>
        </w:rPr>
        <w:t>部分</w:t>
      </w:r>
    </w:p>
    <w:p w14:paraId="5B27EA97">
      <w:pPr>
        <w:pStyle w:val="57"/>
        <w:ind w:firstLine="420"/>
      </w:pPr>
      <w:r>
        <w:rPr>
          <w:rFonts w:hint="eastAsia"/>
        </w:rPr>
        <w:t>随着现代农业技术的发展，农用无人驾驶航空器因其高效、灵活、适应性强等特点，在山地、丘陵等复杂地形区域的农业生产中应用日益广泛，特别是在物资运输（吊运）方面展现出显著优势。山地环境具有地形起伏大、气象条件复杂多变、起降场地受限、信号易受干扰等特征，对农用无人机吊运作业的安全性提出了严峻挑战。规范山地环境下的吊运操作，对保障作业人员、地面人员生命财产安全，保护作业区域周边设施和环境，以及促进农用无人机技术在山地农业领域的健康、可持续发展至关重要。</w:t>
      </w:r>
    </w:p>
    <w:p w14:paraId="255F99EB">
      <w:pPr>
        <w:pStyle w:val="57"/>
        <w:ind w:firstLine="420"/>
      </w:pPr>
      <w:r>
        <w:rPr>
          <w:rFonts w:hint="eastAsia"/>
        </w:rPr>
        <w:t>目前，针对农用无人机通用操作、植保作业等已有相关标准，但对于山地地形下进行吊运作业这一特定应用场景的安全操作技术规范尚显不足。为填补这一空白，有效指导操作人员安全、规范地进行山地吊运作业，预防和减少事故风险，特制定本团体标准。T/GXAS XXXX《农用无人驾驶航空器山地吊运安全操作技术规范》分为如下部分组成：</w:t>
      </w:r>
    </w:p>
    <w:p w14:paraId="5FA097E6">
      <w:pPr>
        <w:pStyle w:val="57"/>
        <w:ind w:firstLine="420"/>
      </w:pPr>
      <w:r>
        <w:rPr>
          <w:rFonts w:hint="eastAsia"/>
        </w:rPr>
        <w:t>——第1部分：总则。目的在于确立</w:t>
      </w:r>
      <w:bookmarkStart w:id="64" w:name="OLE_LINK2"/>
      <w:r>
        <w:rPr>
          <w:rFonts w:hint="eastAsia"/>
        </w:rPr>
        <w:t>山地吊运作业安全操作的基本原则、通用要求和基本程序框架</w:t>
      </w:r>
      <w:bookmarkEnd w:id="64"/>
      <w:r>
        <w:rPr>
          <w:rFonts w:hint="eastAsia"/>
        </w:rPr>
        <w:t>，为后续涉及具体机型、作业流程、维护保养、应急处置等更详细技术要求的各部分标准提供基础和指导。</w:t>
      </w:r>
    </w:p>
    <w:p w14:paraId="2EF02FFE">
      <w:pPr>
        <w:pStyle w:val="57"/>
        <w:ind w:firstLine="420"/>
      </w:pPr>
      <w:bookmarkStart w:id="65" w:name="_Hlk201438748"/>
      <w:r>
        <w:rPr>
          <w:rFonts w:hint="eastAsia"/>
        </w:rPr>
        <w:t>——第2部分：果蔬类吊运。目的在于确立山地吊运果蔬类作业安全操作工作提供指导。</w:t>
      </w:r>
    </w:p>
    <w:p w14:paraId="4F6DEA28">
      <w:pPr>
        <w:pStyle w:val="57"/>
        <w:ind w:firstLine="420"/>
      </w:pPr>
      <w:bookmarkStart w:id="66" w:name="_Hlk200757874"/>
      <w:r>
        <w:rPr>
          <w:rFonts w:hint="eastAsia"/>
        </w:rPr>
        <w:t>——第3部分：林业种苗吊运。目的在于确立山地吊运林业种苗吊运作业安全操作工作提供指导。</w:t>
      </w:r>
    </w:p>
    <w:p w14:paraId="46BCD3ED">
      <w:pPr>
        <w:pStyle w:val="57"/>
        <w:ind w:firstLine="420"/>
      </w:pPr>
      <w:r>
        <w:rPr>
          <w:rFonts w:hint="eastAsia"/>
        </w:rPr>
        <w:t>——第4部分：林木产品吊运。目的在于确立山地吊运林木产品作业安全操作工作提供指导。</w:t>
      </w:r>
    </w:p>
    <w:p w14:paraId="551B0B4E">
      <w:pPr>
        <w:pStyle w:val="57"/>
        <w:ind w:firstLine="420"/>
      </w:pPr>
      <w:r>
        <w:rPr>
          <w:rFonts w:hint="eastAsia"/>
        </w:rPr>
        <w:t>——第5部分：肥料吊运。目的在于确立山地吊运肥料作业安全操作工作提供指导。</w:t>
      </w:r>
    </w:p>
    <w:p w14:paraId="098D91DF">
      <w:pPr>
        <w:pStyle w:val="57"/>
        <w:ind w:firstLine="420"/>
      </w:pPr>
      <w:r>
        <w:rPr>
          <w:rFonts w:hint="eastAsia"/>
        </w:rPr>
        <w:t>——第6部分：小型生产劳动工具吊运。目的在于确立山地吊运小型生产劳动工具作业安全操作工作提供指导。</w:t>
      </w:r>
    </w:p>
    <w:p w14:paraId="1721C605">
      <w:pPr>
        <w:pStyle w:val="57"/>
        <w:ind w:firstLine="420"/>
      </w:pPr>
      <w:r>
        <w:rPr>
          <w:rFonts w:hint="eastAsia"/>
        </w:rPr>
        <w:t>——第7部分：</w:t>
      </w:r>
      <w:bookmarkStart w:id="67" w:name="OLE_LINK5"/>
      <w:bookmarkStart w:id="68" w:name="OLE_LINK4"/>
      <w:r>
        <w:rPr>
          <w:rFonts w:hint="eastAsia"/>
        </w:rPr>
        <w:t>森林消防物资</w:t>
      </w:r>
      <w:bookmarkEnd w:id="67"/>
      <w:bookmarkEnd w:id="68"/>
      <w:r>
        <w:rPr>
          <w:rFonts w:hint="eastAsia"/>
        </w:rPr>
        <w:t>吊运。目的在于确立山地吊运森林消防物资作业安全操作工作提供指导。</w:t>
      </w:r>
    </w:p>
    <w:bookmarkEnd w:id="65"/>
    <w:p w14:paraId="05B67587">
      <w:pPr>
        <w:pStyle w:val="201"/>
        <w:spacing w:before="120" w:after="120"/>
      </w:pPr>
      <w:r>
        <w:rPr>
          <w:rFonts w:hint="eastAsia"/>
        </w:rPr>
        <w:t>相关专利情况说明</w:t>
      </w:r>
    </w:p>
    <w:p w14:paraId="43C76900">
      <w:pPr>
        <w:pStyle w:val="57"/>
        <w:ind w:firstLine="420"/>
      </w:pPr>
      <w:r>
        <w:rPr>
          <w:rFonts w:hint="eastAsia"/>
        </w:rPr>
        <w:t>本文件的发布机构提请注意，声明符合本文件时，可能涉及到第4章的应急释放装置与“一种无人机抛投装置”相关的专利使用，自动脱钩装置与“一种无人机用自动脱钩挂钩”相关的专利使用。</w:t>
      </w:r>
    </w:p>
    <w:p w14:paraId="5413FE3D">
      <w:pPr>
        <w:pStyle w:val="57"/>
        <w:ind w:firstLine="420"/>
      </w:pPr>
      <w:r>
        <w:rPr>
          <w:rFonts w:hint="eastAsia"/>
        </w:rPr>
        <w:t>本文件的发布机构对于该专利的真实性、有效性和范围无任何立场。</w:t>
      </w:r>
    </w:p>
    <w:p w14:paraId="1E0D50D0">
      <w:pPr>
        <w:pStyle w:val="57"/>
        <w:ind w:firstLine="420"/>
      </w:pPr>
      <w:r>
        <w:rPr>
          <w:rFonts w:hint="eastAsia"/>
        </w:rPr>
        <w:t>该专利持有人已向本文件的发布机构承诺，他愿意同任何申请人在合理且无歧视的条款和条件下，就专利授权许可进行谈判。该专利持有人的声明已在本文件的发布机构备案。相关信息可以通过以下联系方式获得：</w:t>
      </w:r>
    </w:p>
    <w:p w14:paraId="7FE20F8E">
      <w:pPr>
        <w:pStyle w:val="57"/>
        <w:ind w:firstLine="420"/>
      </w:pPr>
      <w:r>
        <w:rPr>
          <w:rFonts w:hint="eastAsia"/>
        </w:rPr>
        <w:t>专利1：《一种无人机抛投装置》。</w:t>
      </w:r>
    </w:p>
    <w:p w14:paraId="1E7BAC2E">
      <w:pPr>
        <w:pStyle w:val="57"/>
        <w:ind w:firstLine="420"/>
      </w:pPr>
      <w:r>
        <w:rPr>
          <w:rFonts w:hint="eastAsia"/>
        </w:rPr>
        <w:t>发明人姓名：蓝锐；韦国旺；覃刚。</w:t>
      </w:r>
    </w:p>
    <w:p w14:paraId="09892247">
      <w:pPr>
        <w:pStyle w:val="57"/>
        <w:ind w:firstLine="420"/>
      </w:pPr>
      <w:r>
        <w:rPr>
          <w:rFonts w:hint="eastAsia"/>
        </w:rPr>
        <w:t>专利权人：河池市科学技术情报和创新服务所。</w:t>
      </w:r>
    </w:p>
    <w:p w14:paraId="6CF4AECB">
      <w:pPr>
        <w:pStyle w:val="57"/>
        <w:ind w:firstLine="420"/>
      </w:pPr>
      <w:r>
        <w:rPr>
          <w:rFonts w:hint="eastAsia"/>
        </w:rPr>
        <w:t>地址：广西壮族自治区河池市金城江区西环路385号(547099)。</w:t>
      </w:r>
    </w:p>
    <w:p w14:paraId="01E29A03">
      <w:pPr>
        <w:pStyle w:val="57"/>
        <w:ind w:firstLine="420"/>
      </w:pPr>
      <w:r>
        <w:rPr>
          <w:rFonts w:hint="eastAsia"/>
        </w:rPr>
        <w:t>专利2：《一种无人机用自动脱钩吊钩》。</w:t>
      </w:r>
    </w:p>
    <w:p w14:paraId="6D3B06BB">
      <w:pPr>
        <w:pStyle w:val="57"/>
        <w:ind w:firstLine="420"/>
      </w:pPr>
      <w:r>
        <w:rPr>
          <w:rFonts w:hint="eastAsia"/>
        </w:rPr>
        <w:t>发明人姓名：蓝锐；韦国旺；覃刚；覃益德；潘顺峰；高翔；梁献助。</w:t>
      </w:r>
    </w:p>
    <w:p w14:paraId="0C7E2322">
      <w:pPr>
        <w:pStyle w:val="57"/>
        <w:ind w:firstLine="420"/>
      </w:pPr>
      <w:r>
        <w:rPr>
          <w:rFonts w:hint="eastAsia"/>
        </w:rPr>
        <w:t>专利权人：广西河池天蓝农业科技有限公司。</w:t>
      </w:r>
    </w:p>
    <w:p w14:paraId="5E1688D2">
      <w:pPr>
        <w:pStyle w:val="57"/>
        <w:ind w:firstLine="420"/>
      </w:pPr>
      <w:r>
        <w:rPr>
          <w:rFonts w:hint="eastAsia"/>
        </w:rPr>
        <w:t>地址：广西壮族自治区河池市金城江区西环路385-3号(547000)。</w:t>
      </w:r>
    </w:p>
    <w:p w14:paraId="218BC658">
      <w:pPr>
        <w:pStyle w:val="57"/>
        <w:ind w:firstLine="420"/>
      </w:pPr>
      <w:r>
        <w:rPr>
          <w:rFonts w:hint="eastAsia"/>
        </w:rPr>
        <w:t>联系人：蓝锐，联系方式：13877809355。</w:t>
      </w:r>
    </w:p>
    <w:p w14:paraId="0A44E095">
      <w:pPr>
        <w:pStyle w:val="57"/>
        <w:ind w:firstLine="420"/>
      </w:pPr>
      <w:r>
        <w:rPr>
          <w:rFonts w:hint="eastAsia"/>
        </w:rPr>
        <w:t>请注意除上述专利外，本文件的某些内容仍可能涉及专利。本文件的发布机构不承担识别专利的责任。</w:t>
      </w:r>
    </w:p>
    <w:bookmarkEnd w:id="66"/>
    <w:p w14:paraId="0F6879F7">
      <w:pPr>
        <w:pStyle w:val="57"/>
        <w:ind w:firstLine="420"/>
      </w:pPr>
    </w:p>
    <w:p w14:paraId="384700FC">
      <w:pPr>
        <w:pStyle w:val="57"/>
        <w:ind w:firstLine="420"/>
        <w:sectPr>
          <w:headerReference r:id="rId19" w:type="default"/>
          <w:footerReference r:id="rId21" w:type="default"/>
          <w:headerReference r:id="rId20" w:type="even"/>
          <w:footerReference r:id="rId22" w:type="even"/>
          <w:pgSz w:w="11906" w:h="16838"/>
          <w:pgMar w:top="1928" w:right="1134" w:bottom="1134" w:left="1134" w:header="1418" w:footer="1134" w:gutter="284"/>
          <w:pgNumType w:fmt="upperRoman"/>
          <w:cols w:space="425" w:num="1"/>
          <w:formProt w:val="0"/>
          <w:docGrid w:linePitch="312" w:charSpace="0"/>
        </w:sectPr>
      </w:pPr>
    </w:p>
    <w:bookmarkEnd w:id="63"/>
    <w:p w14:paraId="6053ABC9">
      <w:pPr>
        <w:spacing w:line="20" w:lineRule="exact"/>
        <w:jc w:val="center"/>
        <w:rPr>
          <w:rFonts w:ascii="黑体" w:hAnsi="黑体" w:eastAsia="黑体"/>
          <w:sz w:val="32"/>
          <w:szCs w:val="32"/>
        </w:rPr>
      </w:pPr>
      <w:bookmarkStart w:id="69" w:name="OLE_LINK1"/>
      <w:bookmarkStart w:id="70" w:name="BookMark4"/>
    </w:p>
    <w:p w14:paraId="04F21B4F">
      <w:pPr>
        <w:spacing w:line="20" w:lineRule="exact"/>
        <w:jc w:val="center"/>
        <w:rPr>
          <w:rFonts w:ascii="黑体" w:hAnsi="黑体" w:eastAsia="黑体"/>
          <w:sz w:val="32"/>
          <w:szCs w:val="32"/>
        </w:rPr>
      </w:pPr>
    </w:p>
    <w:sdt>
      <w:sdtPr>
        <w:tag w:val="NEW_STAND_NAME"/>
        <w:id w:val="595910757"/>
        <w:lock w:val="sdtLocked"/>
        <w:placeholder>
          <w:docPart w:val="1502959BF3244B5587813501B04DB51E"/>
        </w:placeholder>
      </w:sdtPr>
      <w:sdtContent>
        <w:p w14:paraId="570E5EA5">
          <w:pPr>
            <w:pStyle w:val="178"/>
            <w:spacing w:before="240" w:beforeLines="100" w:after="2" w:afterLines="1"/>
          </w:pPr>
          <w:bookmarkStart w:id="71" w:name="NEW_STAND_NAME"/>
          <w:bookmarkStart w:id="72" w:name="_Hlk200398064"/>
          <w:r>
            <w:rPr>
              <w:rFonts w:hint="eastAsia"/>
            </w:rPr>
            <w:t>农用无人驾驶航空器山地吊运安全操作技术规范</w:t>
          </w:r>
        </w:p>
        <w:p w14:paraId="5D51BB94">
          <w:pPr>
            <w:pStyle w:val="178"/>
            <w:spacing w:before="240" w:beforeLines="100" w:after="2" w:afterLines="1"/>
          </w:pPr>
          <w:r>
            <w:rPr>
              <w:rFonts w:hint="eastAsia"/>
            </w:rPr>
            <w:t>第1部分：总则</w:t>
          </w:r>
        </w:p>
      </w:sdtContent>
    </w:sdt>
    <w:bookmarkEnd w:id="69"/>
    <w:bookmarkEnd w:id="71"/>
    <w:bookmarkEnd w:id="72"/>
    <w:p w14:paraId="2395FC3A">
      <w:pPr>
        <w:pStyle w:val="105"/>
        <w:spacing w:before="240" w:after="240"/>
      </w:pPr>
      <w:bookmarkStart w:id="73" w:name="_Toc200569972"/>
      <w:bookmarkStart w:id="74" w:name="_Toc201611333"/>
      <w:bookmarkStart w:id="75" w:name="_Toc201271967"/>
      <w:bookmarkStart w:id="76" w:name="_Toc201437552"/>
      <w:bookmarkStart w:id="77" w:name="_Toc200554719"/>
      <w:bookmarkStart w:id="78" w:name="_Toc201271241"/>
      <w:bookmarkStart w:id="79" w:name="_Toc17233333"/>
      <w:bookmarkStart w:id="80" w:name="_Toc200757632"/>
      <w:bookmarkStart w:id="81" w:name="_Toc24884218"/>
      <w:bookmarkStart w:id="82" w:name="_Toc201787849"/>
      <w:bookmarkStart w:id="83" w:name="_Toc26986530"/>
      <w:bookmarkStart w:id="84" w:name="_Toc201434398"/>
      <w:bookmarkStart w:id="85" w:name="_Toc201760230"/>
      <w:bookmarkStart w:id="86" w:name="_Toc26648465"/>
      <w:bookmarkStart w:id="87" w:name="_Toc200570834"/>
      <w:bookmarkStart w:id="88" w:name="_Toc26718930"/>
      <w:bookmarkStart w:id="89" w:name="_Toc201646623"/>
      <w:bookmarkStart w:id="90" w:name="_Toc201569598"/>
      <w:bookmarkStart w:id="91" w:name="_Toc24884211"/>
      <w:bookmarkStart w:id="92" w:name="_Toc200570347"/>
      <w:bookmarkStart w:id="93" w:name="_Toc201272009"/>
      <w:bookmarkStart w:id="94" w:name="_Toc17233325"/>
      <w:bookmarkStart w:id="95" w:name="_Toc97192964"/>
      <w:bookmarkStart w:id="96" w:name="_Toc201433896"/>
      <w:bookmarkStart w:id="97" w:name="_Toc201438568"/>
      <w:bookmarkStart w:id="98" w:name="_Toc201433963"/>
      <w:bookmarkStart w:id="99" w:name="_Toc26986771"/>
      <w:bookmarkStart w:id="100" w:name="_Toc200554994"/>
      <w:bookmarkStart w:id="101" w:name="_Toc200570003"/>
      <w:r>
        <w:rPr>
          <w:rFonts w:hint="eastAsia"/>
        </w:rPr>
        <w:t>范围</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4BFA0048">
      <w:pPr>
        <w:pStyle w:val="57"/>
        <w:ind w:firstLine="420"/>
      </w:pPr>
      <w:bookmarkStart w:id="102" w:name="_Toc26648466"/>
      <w:bookmarkStart w:id="103" w:name="_Toc17233326"/>
      <w:bookmarkStart w:id="104" w:name="_Toc17233334"/>
      <w:bookmarkStart w:id="105" w:name="_Toc24884219"/>
      <w:bookmarkStart w:id="106" w:name="_Toc24884212"/>
      <w:r>
        <w:rPr>
          <w:rFonts w:hint="eastAsia"/>
        </w:rPr>
        <w:t>本文件界定了</w:t>
      </w:r>
      <w:bookmarkStart w:id="107" w:name="_Hlk200746799"/>
      <w:r>
        <w:rPr>
          <w:rFonts w:hint="eastAsia"/>
        </w:rPr>
        <w:t>农用无人驾驶航空器</w:t>
      </w:r>
      <w:bookmarkEnd w:id="107"/>
      <w:r>
        <w:rPr>
          <w:rFonts w:hint="eastAsia"/>
        </w:rPr>
        <w:t>山地吊运安全操作涉及</w:t>
      </w:r>
      <w:r>
        <w:t>的术语和定义，规定了</w:t>
      </w:r>
      <w:bookmarkStart w:id="108" w:name="_Toc26718931"/>
      <w:bookmarkStart w:id="109" w:name="_Toc97192965"/>
      <w:bookmarkStart w:id="110" w:name="_Toc26986772"/>
      <w:bookmarkStart w:id="111" w:name="_Toc26986531"/>
      <w:r>
        <w:rPr>
          <w:rFonts w:hint="eastAsia"/>
        </w:rPr>
        <w:t>山地吊运安全操作的设备、人员、作业环境评估、多机作业、安全管理、维护与保养等要求，描述了山地吊运安全操作过程信息的追溯方法。</w:t>
      </w:r>
    </w:p>
    <w:p w14:paraId="50E9A15F">
      <w:pPr>
        <w:pStyle w:val="57"/>
        <w:ind w:firstLine="420"/>
      </w:pPr>
      <w:r>
        <w:rPr>
          <w:rFonts w:hint="eastAsia"/>
        </w:rPr>
        <w:t>本文件适用于最大起飞重量不超过150</w:t>
      </w:r>
      <w:r>
        <w:rPr>
          <w:rFonts w:hint="eastAsia"/>
          <w:vertAlign w:val="superscript"/>
        </w:rPr>
        <w:t xml:space="preserve"> </w:t>
      </w:r>
      <w:r>
        <w:rPr>
          <w:rFonts w:hint="eastAsia"/>
        </w:rPr>
        <w:t>kg的农用无人驾驶航空器山地吊运作业，其他吊运场景和其他机型可参照执行。</w:t>
      </w:r>
    </w:p>
    <w:p w14:paraId="2DE0A3D6">
      <w:pPr>
        <w:pStyle w:val="105"/>
        <w:spacing w:before="240" w:after="240"/>
      </w:pPr>
      <w:bookmarkStart w:id="112" w:name="_Toc200554995"/>
      <w:bookmarkStart w:id="113" w:name="_Toc200570835"/>
      <w:bookmarkStart w:id="114" w:name="_Toc196080999"/>
      <w:bookmarkStart w:id="115" w:name="_Toc200310229"/>
      <w:bookmarkStart w:id="116" w:name="_Toc194994088"/>
      <w:bookmarkStart w:id="117" w:name="_Toc201433897"/>
      <w:bookmarkStart w:id="118" w:name="_Toc196160665"/>
      <w:bookmarkStart w:id="119" w:name="_Toc196644456"/>
      <w:bookmarkStart w:id="120" w:name="_Toc200554720"/>
      <w:bookmarkStart w:id="121" w:name="_Toc199449895"/>
      <w:bookmarkStart w:id="122" w:name="_Toc200570004"/>
      <w:bookmarkStart w:id="123" w:name="_Toc200757633"/>
      <w:bookmarkStart w:id="124" w:name="_Toc200269467"/>
      <w:bookmarkStart w:id="125" w:name="_Toc200569973"/>
      <w:bookmarkStart w:id="126" w:name="_Toc193816737"/>
      <w:bookmarkStart w:id="127" w:name="_Toc201271968"/>
      <w:bookmarkStart w:id="128" w:name="_Toc201272010"/>
      <w:bookmarkStart w:id="129" w:name="_Toc200143246"/>
      <w:bookmarkStart w:id="130" w:name="_Toc196560899"/>
      <w:bookmarkStart w:id="131" w:name="_Toc199948790"/>
      <w:bookmarkStart w:id="132" w:name="_Toc197710536"/>
      <w:bookmarkStart w:id="133" w:name="_Toc199448570"/>
      <w:bookmarkStart w:id="134" w:name="_Toc196160968"/>
      <w:bookmarkStart w:id="135" w:name="_Toc201434399"/>
      <w:bookmarkStart w:id="136" w:name="_Toc201437553"/>
      <w:bookmarkStart w:id="137" w:name="_Toc201271242"/>
      <w:bookmarkStart w:id="138" w:name="_Toc201611334"/>
      <w:bookmarkStart w:id="139" w:name="_Toc196161690"/>
      <w:bookmarkStart w:id="140" w:name="_Toc201433964"/>
      <w:bookmarkStart w:id="141" w:name="_Toc201787850"/>
      <w:bookmarkStart w:id="142" w:name="_Toc195025289"/>
      <w:bookmarkStart w:id="143" w:name="_Toc201760231"/>
      <w:bookmarkStart w:id="144" w:name="_Toc201569599"/>
      <w:bookmarkStart w:id="145" w:name="_Toc201438569"/>
      <w:bookmarkStart w:id="146" w:name="_Toc201646624"/>
      <w:bookmarkStart w:id="147" w:name="_Toc200570348"/>
      <w:r>
        <w:rPr>
          <w:rFonts w:hint="eastAsia"/>
        </w:rPr>
        <w:t>规范性引用文件</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bookmarkEnd w:id="102"/>
    <w:bookmarkEnd w:id="103"/>
    <w:bookmarkEnd w:id="104"/>
    <w:bookmarkEnd w:id="105"/>
    <w:bookmarkEnd w:id="106"/>
    <w:bookmarkEnd w:id="108"/>
    <w:bookmarkEnd w:id="109"/>
    <w:bookmarkEnd w:id="110"/>
    <w:bookmarkEnd w:id="111"/>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1DFA18EB">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E9AB07C">
      <w:pPr>
        <w:pStyle w:val="57"/>
        <w:ind w:firstLine="420"/>
      </w:pPr>
      <w:bookmarkStart w:id="148" w:name="OLE_LINK3"/>
      <w:r>
        <w:rPr>
          <w:rFonts w:hint="eastAsia"/>
        </w:rPr>
        <w:t>GB/T 5737  食品塑料周转箱</w:t>
      </w:r>
    </w:p>
    <w:p w14:paraId="2F7158F8">
      <w:pPr>
        <w:pStyle w:val="57"/>
        <w:ind w:firstLine="420"/>
      </w:pPr>
      <w:r>
        <w:rPr>
          <w:rFonts w:hint="eastAsia"/>
        </w:rPr>
        <w:t>GB/T 18487.4  电动汽车传导充放电系统 第4部分：车辆对外放电要求</w:t>
      </w:r>
    </w:p>
    <w:p w14:paraId="2A6EE65B">
      <w:pPr>
        <w:pStyle w:val="57"/>
        <w:ind w:firstLine="420"/>
      </w:pPr>
      <w:r>
        <w:rPr>
          <w:rFonts w:hint="eastAsia"/>
        </w:rPr>
        <w:t>GB/T 35018  民用无人驾驶航空器系统分类及分级</w:t>
      </w:r>
    </w:p>
    <w:p w14:paraId="7B87F6BD">
      <w:pPr>
        <w:pStyle w:val="57"/>
        <w:ind w:firstLine="420"/>
      </w:pPr>
      <w:r>
        <w:rPr>
          <w:rFonts w:hint="eastAsia"/>
        </w:rPr>
        <w:t>GB/T 38152  无人驾驶航空器系统术语</w:t>
      </w:r>
    </w:p>
    <w:p w14:paraId="2A11AE04">
      <w:pPr>
        <w:pStyle w:val="57"/>
        <w:ind w:firstLine="420"/>
      </w:pPr>
      <w:r>
        <w:rPr>
          <w:rFonts w:hint="eastAsia"/>
        </w:rPr>
        <w:t>GB/T 39907  果蔬类周转箱尺寸系列及技术要求</w:t>
      </w:r>
    </w:p>
    <w:p w14:paraId="034DA4F3">
      <w:pPr>
        <w:pStyle w:val="57"/>
        <w:ind w:firstLine="420"/>
      </w:pPr>
      <w:bookmarkStart w:id="149" w:name="OLE_LINK7"/>
      <w:bookmarkStart w:id="150" w:name="OLE_LINK6"/>
      <w:r>
        <w:rPr>
          <w:rFonts w:hint="eastAsia"/>
        </w:rPr>
        <w:t>GB 42590    民用无人驾驶航空器系统</w:t>
      </w:r>
      <w:bookmarkEnd w:id="149"/>
      <w:bookmarkEnd w:id="150"/>
      <w:r>
        <w:rPr>
          <w:rFonts w:hint="eastAsia"/>
        </w:rPr>
        <w:t>安全要求</w:t>
      </w:r>
    </w:p>
    <w:bookmarkEnd w:id="148"/>
    <w:p w14:paraId="54BDBB6B">
      <w:pPr>
        <w:pStyle w:val="57"/>
        <w:ind w:firstLine="420"/>
      </w:pPr>
      <w:r>
        <w:rPr>
          <w:rFonts w:hint="eastAsia"/>
        </w:rPr>
        <w:t>GB/T 43332  电动汽车传导充放电安全要求</w:t>
      </w:r>
    </w:p>
    <w:p w14:paraId="0DCBDA1C">
      <w:pPr>
        <w:pStyle w:val="57"/>
        <w:ind w:firstLine="420"/>
      </w:pPr>
      <w:r>
        <w:rPr>
          <w:rFonts w:hint="eastAsia"/>
        </w:rPr>
        <w:t>GB/T 43668  物流无人机货物吊挂控制通用要求</w:t>
      </w:r>
    </w:p>
    <w:p w14:paraId="607B0D4E">
      <w:pPr>
        <w:pStyle w:val="57"/>
        <w:ind w:firstLine="420"/>
      </w:pPr>
      <w:r>
        <w:rPr>
          <w:rFonts w:hint="eastAsia"/>
        </w:rPr>
        <w:t>HB 8566     多旋翼无人机系统通用要求</w:t>
      </w:r>
    </w:p>
    <w:p w14:paraId="6BBA5ED2">
      <w:pPr>
        <w:pStyle w:val="57"/>
        <w:ind w:firstLine="420"/>
      </w:pPr>
      <w:r>
        <w:rPr>
          <w:rFonts w:hint="eastAsia"/>
        </w:rPr>
        <w:t>NY/T 4615  农用无人驾驶航空器操控员培训指南</w:t>
      </w:r>
    </w:p>
    <w:p w14:paraId="67D4974C">
      <w:pPr>
        <w:pStyle w:val="57"/>
        <w:ind w:firstLine="420"/>
      </w:pPr>
      <w:r>
        <w:rPr>
          <w:rFonts w:hint="eastAsia"/>
        </w:rPr>
        <w:t>T/GZWL 007  生鲜果蔬周转筐及其使用标准</w:t>
      </w:r>
    </w:p>
    <w:p w14:paraId="61BD25EF">
      <w:pPr>
        <w:pStyle w:val="105"/>
        <w:spacing w:before="240" w:after="240"/>
      </w:pPr>
      <w:bookmarkStart w:id="151" w:name="_Toc200570836"/>
      <w:bookmarkStart w:id="152" w:name="_Toc201646625"/>
      <w:bookmarkStart w:id="153" w:name="_Toc200569974"/>
      <w:bookmarkStart w:id="154" w:name="_Toc201433898"/>
      <w:bookmarkStart w:id="155" w:name="_Toc201271243"/>
      <w:bookmarkStart w:id="156" w:name="_Toc201434400"/>
      <w:bookmarkStart w:id="157" w:name="_Toc201569600"/>
      <w:bookmarkStart w:id="158" w:name="_Toc200554996"/>
      <w:bookmarkStart w:id="159" w:name="_Toc200570005"/>
      <w:bookmarkStart w:id="160" w:name="_Toc201787851"/>
      <w:bookmarkStart w:id="161" w:name="_Toc201433965"/>
      <w:bookmarkStart w:id="162" w:name="_Toc200554721"/>
      <w:bookmarkStart w:id="163" w:name="_Toc201611335"/>
      <w:bookmarkStart w:id="164" w:name="_Toc200570349"/>
      <w:bookmarkStart w:id="165" w:name="_Toc97192966"/>
      <w:bookmarkStart w:id="166" w:name="_Toc200757634"/>
      <w:bookmarkStart w:id="167" w:name="_Toc201272011"/>
      <w:bookmarkStart w:id="168" w:name="_Toc201760232"/>
      <w:bookmarkStart w:id="169" w:name="_Toc201438570"/>
      <w:bookmarkStart w:id="170" w:name="_Toc201437554"/>
      <w:bookmarkStart w:id="171" w:name="_Toc201271969"/>
      <w:r>
        <w:rPr>
          <w:rFonts w:hint="eastAsia"/>
          <w:szCs w:val="21"/>
        </w:rPr>
        <w:t>术语和定义</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0652E2C">
          <w:pPr>
            <w:pStyle w:val="57"/>
            <w:ind w:firstLine="420"/>
          </w:pPr>
          <w:bookmarkStart w:id="172" w:name="_Toc26986532"/>
          <w:bookmarkEnd w:id="172"/>
          <w:r>
            <w:rPr>
              <w:rFonts w:hint="eastAsia"/>
            </w:rPr>
            <w:t>GB/T 35018、GB/T 38152界定的以及下列术语和定义适用于本文件。</w:t>
          </w:r>
        </w:p>
      </w:sdtContent>
    </w:sdt>
    <w:p w14:paraId="34A91A7D">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农用无人驾驶航空器  </w:t>
      </w:r>
      <w:r>
        <w:rPr>
          <w:rFonts w:ascii="黑体" w:hAnsi="黑体" w:eastAsia="黑体"/>
        </w:rPr>
        <w:t xml:space="preserve">agricultural </w:t>
      </w:r>
      <w:bookmarkStart w:id="173" w:name="_Hlk201439112"/>
      <w:r>
        <w:rPr>
          <w:rFonts w:ascii="黑体" w:hAnsi="黑体" w:eastAsia="黑体"/>
        </w:rPr>
        <w:t>unmanned aircraft</w:t>
      </w:r>
      <w:bookmarkEnd w:id="173"/>
    </w:p>
    <w:p w14:paraId="5669F258">
      <w:pPr>
        <w:pStyle w:val="57"/>
        <w:ind w:firstLine="420"/>
        <w:rPr>
          <w:color w:val="FF0000"/>
        </w:rPr>
      </w:pPr>
      <w:bookmarkStart w:id="174" w:name="_Hlk201439094"/>
      <w:r>
        <w:rPr>
          <w:rFonts w:hint="eastAsia"/>
        </w:rPr>
        <w:t>用于农业农药喷洒、播种、投饵、吊运等农林牧渔作业，最大飞行真高不超过</w:t>
      </w:r>
      <w:r>
        <w:t>3</w:t>
      </w:r>
      <w:r>
        <w:rPr>
          <w:rFonts w:hint="eastAsia"/>
        </w:rPr>
        <w:t>0</w:t>
      </w:r>
      <w:r>
        <w:rPr>
          <w:rFonts w:hint="eastAsia"/>
          <w:vertAlign w:val="superscript"/>
        </w:rPr>
        <w:t xml:space="preserve"> </w:t>
      </w:r>
      <w:r>
        <w:rPr>
          <w:rFonts w:hint="eastAsia"/>
        </w:rPr>
        <w:t>m，最大平飞速度不超过50</w:t>
      </w:r>
      <w:r>
        <w:rPr>
          <w:rFonts w:hint="eastAsia"/>
          <w:vertAlign w:val="superscript"/>
        </w:rPr>
        <w:t xml:space="preserve"> </w:t>
      </w:r>
      <w:r>
        <w:rPr>
          <w:rFonts w:hint="eastAsia"/>
        </w:rPr>
        <w:t>km/h，最大飞行半径不超过2</w:t>
      </w:r>
      <w:r>
        <w:rPr>
          <w:rFonts w:hint="eastAsia"/>
          <w:vertAlign w:val="superscript"/>
        </w:rPr>
        <w:t xml:space="preserve"> </w:t>
      </w:r>
      <w:r>
        <w:rPr>
          <w:rFonts w:hint="eastAsia"/>
        </w:rPr>
        <w:t>000</w:t>
      </w:r>
      <w:r>
        <w:rPr>
          <w:rFonts w:hint="eastAsia"/>
          <w:vertAlign w:val="superscript"/>
        </w:rPr>
        <w:t xml:space="preserve"> </w:t>
      </w:r>
      <w:r>
        <w:rPr>
          <w:rFonts w:hint="eastAsia"/>
        </w:rPr>
        <w:t>m，具备卫星定位、雷达避障功能、航迹记录、空域保持能力和可靠被监视，全程能自主作业和随时人工介入操控等特点的无人驾驶航空器。</w:t>
      </w:r>
    </w:p>
    <w:bookmarkEnd w:id="174"/>
    <w:p w14:paraId="3982F801">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安全冗余  s</w:t>
      </w:r>
      <w:r>
        <w:rPr>
          <w:rFonts w:ascii="黑体" w:hAnsi="黑体" w:eastAsia="黑体"/>
        </w:rPr>
        <w:t xml:space="preserve">afety </w:t>
      </w:r>
      <w:r>
        <w:rPr>
          <w:rFonts w:hint="eastAsia" w:ascii="黑体" w:hAnsi="黑体" w:eastAsia="黑体"/>
        </w:rPr>
        <w:t>r</w:t>
      </w:r>
      <w:r>
        <w:rPr>
          <w:rFonts w:ascii="黑体" w:hAnsi="黑体" w:eastAsia="黑体"/>
        </w:rPr>
        <w:t>edundancy</w:t>
      </w:r>
    </w:p>
    <w:p w14:paraId="707116A0">
      <w:pPr>
        <w:pStyle w:val="57"/>
        <w:ind w:firstLine="420"/>
        <w:rPr>
          <w:rFonts w:hAnsi="宋体"/>
          <w:color w:val="FF0000"/>
        </w:rPr>
      </w:pPr>
      <w:r>
        <w:rPr>
          <w:rFonts w:hint="eastAsia"/>
        </w:rPr>
        <w:t>在农用无人驾驶航空器系统设计中，为动力系统设置超出额定功</w:t>
      </w:r>
      <w:r>
        <w:rPr>
          <w:rFonts w:hint="eastAsia" w:hAnsi="宋体"/>
        </w:rPr>
        <w:t>率的值，当载重达到标定极限时，仍有富足动力保障。安全冗余包括电池、电调、电机、绳索和结构强度等。</w:t>
      </w:r>
    </w:p>
    <w:p w14:paraId="3D7DF747">
      <w:pPr>
        <w:pStyle w:val="224"/>
        <w:ind w:left="420" w:hanging="420" w:hangingChars="200"/>
        <w:rPr>
          <w:rFonts w:ascii="黑体" w:hAnsi="黑体" w:eastAsia="黑体"/>
        </w:rPr>
      </w:pPr>
      <w:r>
        <w:rPr>
          <w:rFonts w:ascii="黑体" w:hAnsi="黑体" w:eastAsia="黑体"/>
        </w:rPr>
        <w:br w:type="textWrapping"/>
      </w:r>
      <w:bookmarkStart w:id="175" w:name="_Toc201433899"/>
      <w:r>
        <w:rPr>
          <w:rFonts w:hint="eastAsia" w:ascii="黑体" w:hAnsi="黑体" w:eastAsia="黑体"/>
        </w:rPr>
        <w:t>多机作业 m</w:t>
      </w:r>
      <w:r>
        <w:rPr>
          <w:rFonts w:ascii="黑体" w:hAnsi="黑体" w:eastAsia="黑体"/>
        </w:rPr>
        <w:t xml:space="preserve">ulti-unmanned aircraft </w:t>
      </w:r>
      <w:r>
        <w:rPr>
          <w:rFonts w:hint="eastAsia" w:ascii="黑体" w:hAnsi="黑体" w:eastAsia="黑体"/>
        </w:rPr>
        <w:t>o</w:t>
      </w:r>
      <w:r>
        <w:rPr>
          <w:rFonts w:ascii="黑体" w:hAnsi="黑体" w:eastAsia="黑体"/>
        </w:rPr>
        <w:t>peration</w:t>
      </w:r>
      <w:bookmarkEnd w:id="175"/>
    </w:p>
    <w:p w14:paraId="24844213">
      <w:pPr>
        <w:pStyle w:val="57"/>
        <w:ind w:firstLine="420"/>
      </w:pPr>
      <w:r>
        <w:rPr>
          <w:rFonts w:hint="eastAsia"/>
        </w:rPr>
        <w:t>在同一空域内，有2台及以上的农用无人驾驶航空器通过不同的组合方式，同时执行关联性任务的作业模式。</w:t>
      </w:r>
    </w:p>
    <w:p w14:paraId="44F54E8B">
      <w:pPr>
        <w:pStyle w:val="57"/>
        <w:ind w:firstLine="420"/>
      </w:pPr>
    </w:p>
    <w:p w14:paraId="296C27C6">
      <w:pPr>
        <w:pStyle w:val="57"/>
        <w:ind w:firstLine="420"/>
      </w:pPr>
    </w:p>
    <w:p w14:paraId="00E7A03C">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手动消摆  m</w:t>
      </w:r>
      <w:r>
        <w:rPr>
          <w:rFonts w:ascii="黑体" w:hAnsi="黑体" w:eastAsia="黑体"/>
        </w:rPr>
        <w:t xml:space="preserve">anual </w:t>
      </w:r>
      <w:r>
        <w:rPr>
          <w:rFonts w:hint="eastAsia" w:ascii="黑体" w:hAnsi="黑体" w:eastAsia="黑体"/>
        </w:rPr>
        <w:t>d</w:t>
      </w:r>
      <w:r>
        <w:rPr>
          <w:rFonts w:ascii="黑体" w:hAnsi="黑体" w:eastAsia="黑体"/>
        </w:rPr>
        <w:t>amping</w:t>
      </w:r>
    </w:p>
    <w:p w14:paraId="50FABC4B">
      <w:pPr>
        <w:pStyle w:val="57"/>
        <w:ind w:firstLine="420"/>
      </w:pPr>
      <w:r>
        <w:rPr>
          <w:rFonts w:hint="eastAsia"/>
        </w:rPr>
        <w:t>驾驶员通过主动伺机操纵遥控器摇杆做相对运动，来抑制无人驾驶航空器机体姿态的异常摆动的操作过程。</w:t>
      </w:r>
    </w:p>
    <w:p w14:paraId="3E166050">
      <w:pPr>
        <w:pStyle w:val="224"/>
        <w:ind w:left="420" w:hanging="420" w:hangingChars="200"/>
        <w:rPr>
          <w:rFonts w:ascii="黑体" w:hAnsi="黑体" w:eastAsia="黑体"/>
        </w:rPr>
      </w:pPr>
      <w:r>
        <w:rPr>
          <w:rFonts w:ascii="黑体" w:hAnsi="黑体" w:eastAsia="黑体"/>
        </w:rPr>
        <w:br w:type="textWrapping"/>
      </w:r>
      <w:bookmarkStart w:id="176" w:name="OLE_LINK10"/>
      <w:r>
        <w:rPr>
          <w:rFonts w:hint="eastAsia" w:ascii="黑体" w:hAnsi="黑体" w:eastAsia="黑体"/>
        </w:rPr>
        <w:t>自动消摆  a</w:t>
      </w:r>
      <w:r>
        <w:rPr>
          <w:rFonts w:ascii="黑体" w:hAnsi="黑体" w:eastAsia="黑体"/>
        </w:rPr>
        <w:t xml:space="preserve">uto </w:t>
      </w:r>
      <w:r>
        <w:rPr>
          <w:rFonts w:hint="eastAsia" w:ascii="黑体" w:hAnsi="黑体" w:eastAsia="黑体"/>
        </w:rPr>
        <w:t>o</w:t>
      </w:r>
      <w:r>
        <w:rPr>
          <w:rFonts w:ascii="黑体" w:hAnsi="黑体" w:eastAsia="黑体"/>
        </w:rPr>
        <w:t xml:space="preserve">scillation </w:t>
      </w:r>
      <w:r>
        <w:rPr>
          <w:rFonts w:hint="eastAsia" w:ascii="黑体" w:hAnsi="黑体" w:eastAsia="黑体"/>
        </w:rPr>
        <w:t>d</w:t>
      </w:r>
      <w:r>
        <w:rPr>
          <w:rFonts w:ascii="黑体" w:hAnsi="黑体" w:eastAsia="黑体"/>
        </w:rPr>
        <w:t>amping</w:t>
      </w:r>
    </w:p>
    <w:p w14:paraId="7B79C4E9">
      <w:pPr>
        <w:pStyle w:val="57"/>
        <w:ind w:firstLine="420"/>
      </w:pPr>
      <w:r>
        <w:rPr>
          <w:rFonts w:hint="eastAsia"/>
        </w:rPr>
        <w:t>飞控系统通过实时分析传感器数据，自动调整动力输出和飞行姿态，修正抑制吊绳规律摆动的闭环控制过程。</w:t>
      </w:r>
    </w:p>
    <w:bookmarkEnd w:id="176"/>
    <w:p w14:paraId="09841569">
      <w:pPr>
        <w:pStyle w:val="105"/>
        <w:spacing w:before="240" w:after="240"/>
      </w:pPr>
      <w:bookmarkStart w:id="177" w:name="_Toc200554729"/>
      <w:bookmarkStart w:id="178" w:name="_Toc201433900"/>
      <w:bookmarkStart w:id="179" w:name="_Toc200570014"/>
      <w:bookmarkStart w:id="180" w:name="_Toc201437555"/>
      <w:bookmarkStart w:id="181" w:name="_Toc201760233"/>
      <w:bookmarkStart w:id="182" w:name="_Toc200757635"/>
      <w:bookmarkStart w:id="183" w:name="_Toc201438571"/>
      <w:bookmarkStart w:id="184" w:name="_Toc201271970"/>
      <w:bookmarkStart w:id="185" w:name="_Toc201787852"/>
      <w:bookmarkStart w:id="186" w:name="_Toc201569601"/>
      <w:bookmarkStart w:id="187" w:name="_Toc200570845"/>
      <w:bookmarkStart w:id="188" w:name="_Toc200570358"/>
      <w:bookmarkStart w:id="189" w:name="_Toc201434401"/>
      <w:bookmarkStart w:id="190" w:name="_Toc201433966"/>
      <w:bookmarkStart w:id="191" w:name="_Toc201272012"/>
      <w:bookmarkStart w:id="192" w:name="_Toc200569983"/>
      <w:bookmarkStart w:id="193" w:name="_Toc201611336"/>
      <w:bookmarkStart w:id="194" w:name="_Toc201646626"/>
      <w:bookmarkStart w:id="195" w:name="_Toc201271244"/>
      <w:bookmarkStart w:id="196" w:name="_Toc200555004"/>
      <w:r>
        <w:rPr>
          <w:rFonts w:hint="eastAsia"/>
        </w:rPr>
        <w:t>设备要求</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2B360CE0">
      <w:pPr>
        <w:pStyle w:val="106"/>
        <w:spacing w:before="120" w:after="120"/>
      </w:pPr>
      <w:bookmarkStart w:id="197" w:name="_Toc201433967"/>
      <w:bookmarkStart w:id="198" w:name="_Toc201272013"/>
      <w:bookmarkStart w:id="199" w:name="_Toc200757636"/>
      <w:bookmarkStart w:id="200" w:name="_Toc200570846"/>
      <w:bookmarkStart w:id="201" w:name="_Toc201569602"/>
      <w:bookmarkStart w:id="202" w:name="_Toc201271245"/>
      <w:bookmarkStart w:id="203" w:name="_Toc201760234"/>
      <w:bookmarkStart w:id="204" w:name="_Toc201433901"/>
      <w:bookmarkStart w:id="205" w:name="_Toc201434402"/>
      <w:bookmarkStart w:id="206" w:name="_Toc201646627"/>
      <w:bookmarkStart w:id="207" w:name="_Toc201611337"/>
      <w:bookmarkStart w:id="208" w:name="_Toc201438572"/>
      <w:bookmarkStart w:id="209" w:name="_Toc201437556"/>
      <w:bookmarkStart w:id="210" w:name="_Toc201787853"/>
      <w:bookmarkStart w:id="211" w:name="_Toc200554730"/>
      <w:bookmarkStart w:id="212" w:name="_Toc201271971"/>
      <w:bookmarkStart w:id="213" w:name="_Toc200569984"/>
      <w:bookmarkStart w:id="214" w:name="_Toc200555005"/>
      <w:bookmarkStart w:id="215" w:name="_Toc200570015"/>
      <w:bookmarkStart w:id="216" w:name="_Toc200570359"/>
      <w:r>
        <w:rPr>
          <w:rFonts w:hint="eastAsia"/>
        </w:rPr>
        <w:t>通用要求</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14:paraId="5398BBE6">
      <w:pPr>
        <w:pStyle w:val="166"/>
      </w:pPr>
      <w:r>
        <w:rPr>
          <w:rFonts w:hint="eastAsia"/>
        </w:rPr>
        <w:t>农用无人驾驶航空器系统性能应符合HB 8566的规定，系统安全应符合GB 42590的规定。</w:t>
      </w:r>
    </w:p>
    <w:p w14:paraId="256D4E2F">
      <w:pPr>
        <w:pStyle w:val="166"/>
      </w:pPr>
      <w:r>
        <w:rPr>
          <w:rFonts w:hint="eastAsia"/>
        </w:rPr>
        <w:t>应选择带屏遥控器的多旋翼无人驾驶航空器机型。</w:t>
      </w:r>
    </w:p>
    <w:p w14:paraId="6D5D1C91">
      <w:pPr>
        <w:pStyle w:val="166"/>
      </w:pPr>
      <w:r>
        <w:rPr>
          <w:rFonts w:hint="eastAsia"/>
        </w:rPr>
        <w:t>应配备双北斗、GPS模块+RTK定位导航系统，水平精度±0.5</w:t>
      </w:r>
      <w:r>
        <w:rPr>
          <w:rFonts w:hint="eastAsia"/>
          <w:vertAlign w:val="superscript"/>
        </w:rPr>
        <w:t xml:space="preserve"> </w:t>
      </w:r>
      <w:r>
        <w:rPr>
          <w:rFonts w:hint="eastAsia"/>
        </w:rPr>
        <w:t>m，垂直精度±0.5</w:t>
      </w:r>
      <w:r>
        <w:rPr>
          <w:rFonts w:hint="eastAsia"/>
          <w:vertAlign w:val="superscript"/>
        </w:rPr>
        <w:t xml:space="preserve"> </w:t>
      </w:r>
      <w:r>
        <w:rPr>
          <w:rFonts w:hint="eastAsia"/>
        </w:rPr>
        <w:t>m。</w:t>
      </w:r>
    </w:p>
    <w:p w14:paraId="281DC90F">
      <w:pPr>
        <w:pStyle w:val="166"/>
      </w:pPr>
      <w:r>
        <w:rPr>
          <w:rFonts w:hint="eastAsia"/>
        </w:rPr>
        <w:t>动力源有电、油、混合三种；具有较好的续航能力，满电满载悬停飞行时间应≥8</w:t>
      </w:r>
      <w:r>
        <w:rPr>
          <w:rFonts w:hint="eastAsia"/>
          <w:vertAlign w:val="superscript"/>
        </w:rPr>
        <w:t xml:space="preserve"> </w:t>
      </w:r>
      <w:r>
        <w:rPr>
          <w:rFonts w:hint="eastAsia"/>
        </w:rPr>
        <w:t>min，满油满载悬停飞行时间应≥60</w:t>
      </w:r>
      <w:r>
        <w:rPr>
          <w:rFonts w:hint="eastAsia"/>
          <w:vertAlign w:val="superscript"/>
        </w:rPr>
        <w:t xml:space="preserve"> </w:t>
      </w:r>
      <w:r>
        <w:rPr>
          <w:rFonts w:hint="eastAsia"/>
        </w:rPr>
        <w:t>min，混合满载悬停飞行时间应≥120</w:t>
      </w:r>
      <w:r>
        <w:rPr>
          <w:rFonts w:hint="eastAsia"/>
          <w:vertAlign w:val="superscript"/>
        </w:rPr>
        <w:t xml:space="preserve"> </w:t>
      </w:r>
      <w:r>
        <w:rPr>
          <w:rFonts w:hint="eastAsia"/>
        </w:rPr>
        <w:t>min；宜选择混合动力电源的机型吊运。</w:t>
      </w:r>
    </w:p>
    <w:p w14:paraId="19B70AF6">
      <w:pPr>
        <w:pStyle w:val="166"/>
      </w:pPr>
      <w:r>
        <w:rPr>
          <w:rFonts w:hint="eastAsia"/>
        </w:rPr>
        <w:t>通信链路应满足山区信号稳定要求，应符合有关短距离无线电设备的规定</w:t>
      </w:r>
      <w:r>
        <w:rPr>
          <w:rFonts w:hint="eastAsia"/>
          <w:color w:val="000000" w:themeColor="text1"/>
          <w14:textFill>
            <w14:solidFill>
              <w14:schemeClr w14:val="tx1"/>
            </w14:solidFill>
          </w14:textFill>
        </w:rPr>
        <w:t>，双</w:t>
      </w:r>
      <w:r>
        <w:rPr>
          <w:rFonts w:hint="eastAsia"/>
        </w:rPr>
        <w:t>频段（2.4</w:t>
      </w:r>
      <w:r>
        <w:rPr>
          <w:rFonts w:hint="eastAsia"/>
          <w:vertAlign w:val="superscript"/>
        </w:rPr>
        <w:t xml:space="preserve"> </w:t>
      </w:r>
      <w:r>
        <w:rPr>
          <w:rFonts w:hint="eastAsia"/>
        </w:rPr>
        <w:t>GHz/5.8</w:t>
      </w:r>
      <w:r>
        <w:rPr>
          <w:rFonts w:hint="eastAsia"/>
          <w:vertAlign w:val="superscript"/>
        </w:rPr>
        <w:t xml:space="preserve"> </w:t>
      </w:r>
      <w:r>
        <w:rPr>
          <w:rFonts w:hint="eastAsia"/>
        </w:rPr>
        <w:t>GHz）数字图传，传输距离≤2</w:t>
      </w:r>
      <w:r>
        <w:rPr>
          <w:rFonts w:hint="eastAsia"/>
          <w:vertAlign w:val="superscript"/>
        </w:rPr>
        <w:t xml:space="preserve"> </w:t>
      </w:r>
      <w:r>
        <w:rPr>
          <w:rFonts w:hint="eastAsia"/>
        </w:rPr>
        <w:t>km，时延≤200</w:t>
      </w:r>
      <w:r>
        <w:rPr>
          <w:rFonts w:hint="eastAsia"/>
          <w:vertAlign w:val="superscript"/>
        </w:rPr>
        <w:t xml:space="preserve"> </w:t>
      </w:r>
      <w:r>
        <w:rPr>
          <w:rFonts w:hint="eastAsia"/>
        </w:rPr>
        <w:t>ms。</w:t>
      </w:r>
    </w:p>
    <w:p w14:paraId="1E2C2FEC">
      <w:pPr>
        <w:pStyle w:val="166"/>
      </w:pPr>
      <w:r>
        <w:rPr>
          <w:rFonts w:hint="eastAsia"/>
        </w:rPr>
        <w:t>应具备飞控系统能力、AR投影、标记装卸货点、避障和智能消摆等功能。</w:t>
      </w:r>
    </w:p>
    <w:p w14:paraId="20373F30">
      <w:pPr>
        <w:pStyle w:val="166"/>
      </w:pPr>
      <w:r>
        <w:rPr>
          <w:rFonts w:hint="eastAsia"/>
        </w:rPr>
        <w:t>应适合高海拔作业能力，3</w:t>
      </w:r>
      <w:r>
        <w:rPr>
          <w:rFonts w:hint="eastAsia"/>
          <w:vertAlign w:val="superscript"/>
        </w:rPr>
        <w:t xml:space="preserve"> </w:t>
      </w:r>
      <w:r>
        <w:rPr>
          <w:rFonts w:hint="eastAsia"/>
        </w:rPr>
        <w:t>000</w:t>
      </w:r>
      <w:r>
        <w:rPr>
          <w:rFonts w:hint="eastAsia"/>
          <w:vertAlign w:val="superscript"/>
        </w:rPr>
        <w:t xml:space="preserve"> </w:t>
      </w:r>
      <w:r>
        <w:rPr>
          <w:rFonts w:hint="eastAsia"/>
        </w:rPr>
        <w:t>m以上升力衰减应≤40％，5</w:t>
      </w:r>
      <w:r>
        <w:rPr>
          <w:rFonts w:hint="eastAsia"/>
          <w:vertAlign w:val="superscript"/>
        </w:rPr>
        <w:t xml:space="preserve"> </w:t>
      </w:r>
      <w:r>
        <w:rPr>
          <w:rFonts w:hint="eastAsia"/>
        </w:rPr>
        <w:t>000</w:t>
      </w:r>
      <w:r>
        <w:rPr>
          <w:rFonts w:hint="eastAsia"/>
          <w:vertAlign w:val="superscript"/>
        </w:rPr>
        <w:t xml:space="preserve"> </w:t>
      </w:r>
      <w:r>
        <w:rPr>
          <w:rFonts w:hint="eastAsia"/>
        </w:rPr>
        <w:t>m以上升力衰减应≤50</w:t>
      </w:r>
      <w:bookmarkStart w:id="217" w:name="_Hlk201439223"/>
      <w:r>
        <w:rPr>
          <w:rFonts w:hint="eastAsia"/>
        </w:rPr>
        <w:t>％</w:t>
      </w:r>
      <w:bookmarkEnd w:id="217"/>
      <w:r>
        <w:rPr>
          <w:rFonts w:hint="eastAsia"/>
        </w:rPr>
        <w:t>。</w:t>
      </w:r>
    </w:p>
    <w:p w14:paraId="027FCEBC">
      <w:pPr>
        <w:pStyle w:val="166"/>
      </w:pPr>
      <w:r>
        <w:rPr>
          <w:rFonts w:hint="eastAsia"/>
        </w:rPr>
        <w:t>应预留快速安装吊运设备的供电、控制信号通道接口。</w:t>
      </w:r>
    </w:p>
    <w:p w14:paraId="7C2AC1E8">
      <w:pPr>
        <w:pStyle w:val="166"/>
      </w:pPr>
      <w:r>
        <w:rPr>
          <w:rFonts w:hint="eastAsia"/>
        </w:rPr>
        <w:t>农用无人驾驶航空器应按有关规定，完成实名制登记。</w:t>
      </w:r>
    </w:p>
    <w:p w14:paraId="0F5DE9A8">
      <w:pPr>
        <w:pStyle w:val="106"/>
        <w:spacing w:before="120" w:after="120"/>
      </w:pPr>
      <w:bookmarkStart w:id="218" w:name="_Toc201272014"/>
      <w:bookmarkStart w:id="219" w:name="_Toc201611338"/>
      <w:bookmarkStart w:id="220" w:name="_Toc200757637"/>
      <w:bookmarkStart w:id="221" w:name="_Toc200555006"/>
      <w:bookmarkStart w:id="222" w:name="_Toc201271972"/>
      <w:bookmarkStart w:id="223" w:name="_Toc201438573"/>
      <w:bookmarkStart w:id="224" w:name="_Toc200554731"/>
      <w:bookmarkStart w:id="225" w:name="_Toc200570360"/>
      <w:bookmarkStart w:id="226" w:name="_Toc201434403"/>
      <w:bookmarkStart w:id="227" w:name="_Toc201569603"/>
      <w:bookmarkStart w:id="228" w:name="_Toc201437557"/>
      <w:bookmarkStart w:id="229" w:name="_Toc201787854"/>
      <w:bookmarkStart w:id="230" w:name="_Toc201646628"/>
      <w:bookmarkStart w:id="231" w:name="_Toc201271246"/>
      <w:bookmarkStart w:id="232" w:name="_Toc200570016"/>
      <w:bookmarkStart w:id="233" w:name="_Toc200570847"/>
      <w:bookmarkStart w:id="234" w:name="_Toc201760235"/>
      <w:bookmarkStart w:id="235" w:name="_Toc200569985"/>
      <w:bookmarkStart w:id="236" w:name="_Toc201433968"/>
      <w:bookmarkStart w:id="237" w:name="_Toc201433902"/>
      <w:r>
        <w:rPr>
          <w:rFonts w:hint="eastAsia"/>
        </w:rPr>
        <w:t>吊具要求</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14:paraId="20D98CB4">
      <w:pPr>
        <w:pStyle w:val="66"/>
        <w:spacing w:before="120" w:after="120"/>
      </w:pPr>
      <w:r>
        <w:rPr>
          <w:rFonts w:hint="eastAsia"/>
        </w:rPr>
        <w:t>常规吊具</w:t>
      </w:r>
    </w:p>
    <w:p w14:paraId="54F7917B">
      <w:pPr>
        <w:pStyle w:val="57"/>
        <w:ind w:firstLine="420"/>
      </w:pPr>
      <w:r>
        <w:rPr>
          <w:rFonts w:hint="eastAsia"/>
        </w:rPr>
        <w:t>应符合以下要求：</w:t>
      </w:r>
    </w:p>
    <w:p w14:paraId="615EFC56">
      <w:pPr>
        <w:pStyle w:val="133"/>
      </w:pPr>
      <w:r>
        <w:rPr>
          <w:rFonts w:hint="eastAsia"/>
        </w:rPr>
        <w:t>具备与农用无人驾驶航空器承重部件相互锁紧机构；</w:t>
      </w:r>
    </w:p>
    <w:p w14:paraId="38950F73">
      <w:pPr>
        <w:pStyle w:val="133"/>
      </w:pPr>
      <w:r>
        <w:rPr>
          <w:rFonts w:hint="eastAsia"/>
        </w:rPr>
        <w:t>上端有快速换装、固定吊绳的简易角铁支架装置。应具有成本低、承重力大、抗疲劳性好、不易损坏等特性；</w:t>
      </w:r>
    </w:p>
    <w:p w14:paraId="14325F42">
      <w:pPr>
        <w:pStyle w:val="133"/>
      </w:pPr>
      <w:r>
        <w:rPr>
          <w:rFonts w:hint="eastAsia"/>
        </w:rPr>
        <w:t>中间有吊绳，拉力强度应≥6倍最大载重量；</w:t>
      </w:r>
    </w:p>
    <w:p w14:paraId="6B7D1D5F">
      <w:pPr>
        <w:pStyle w:val="133"/>
      </w:pPr>
      <w:r>
        <w:rPr>
          <w:rFonts w:hint="eastAsia"/>
        </w:rPr>
        <w:t>下端配备重力式机械自动脱钩器，具有防脱落设计挂钩（触地自动脱钩）。</w:t>
      </w:r>
    </w:p>
    <w:p w14:paraId="39DCC0C5">
      <w:pPr>
        <w:pStyle w:val="66"/>
        <w:spacing w:before="120" w:after="120"/>
      </w:pPr>
      <w:r>
        <w:rPr>
          <w:rFonts w:hint="eastAsia"/>
        </w:rPr>
        <w:t>智能吊具</w:t>
      </w:r>
    </w:p>
    <w:p w14:paraId="64DC17C3">
      <w:pPr>
        <w:pStyle w:val="57"/>
        <w:ind w:firstLine="420"/>
      </w:pPr>
      <w:r>
        <w:rPr>
          <w:rFonts w:hint="eastAsia"/>
        </w:rPr>
        <w:t>具有智能消摆功能，满足以下要求：</w:t>
      </w:r>
    </w:p>
    <w:p w14:paraId="6A8877A4">
      <w:pPr>
        <w:pStyle w:val="133"/>
      </w:pPr>
      <w:r>
        <w:rPr>
          <w:rFonts w:hint="eastAsia"/>
        </w:rPr>
        <w:t>宜采用不锈钢、铝合金等高强度轻质材料，受力点承重≥4倍最大载荷，具备称重系统和过载检测保护机制；</w:t>
      </w:r>
    </w:p>
    <w:p w14:paraId="1062CCB0">
      <w:pPr>
        <w:pStyle w:val="133"/>
      </w:pPr>
      <w:r>
        <w:rPr>
          <w:rFonts w:hint="eastAsia"/>
        </w:rPr>
        <w:t>自带≥4个快速更换安装对接锁扣及防脱保险装置，受力强度应≥6倍最大载重量；</w:t>
      </w:r>
    </w:p>
    <w:p w14:paraId="395323F3">
      <w:pPr>
        <w:pStyle w:val="133"/>
      </w:pPr>
      <w:r>
        <w:rPr>
          <w:rFonts w:hint="eastAsia"/>
        </w:rPr>
        <w:t>支持快速安装供电、控制信号通道接口；</w:t>
      </w:r>
    </w:p>
    <w:p w14:paraId="4596FAF7">
      <w:pPr>
        <w:pStyle w:val="133"/>
      </w:pPr>
      <w:bookmarkStart w:id="238" w:name="OLE_LINK11"/>
      <w:r>
        <w:rPr>
          <w:rFonts w:hint="eastAsia"/>
        </w:rPr>
        <w:t>与农用无人驾驶航空器连接端应配备应急释放装置，宜采用“一种无人机抛投装置”（示例图见附录A）或其他紧急避险的应急释放装置，宜配备缓冲机构；</w:t>
      </w:r>
    </w:p>
    <w:p w14:paraId="4C26BFD4">
      <w:pPr>
        <w:pStyle w:val="133"/>
      </w:pPr>
      <w:r>
        <w:rPr>
          <w:rFonts w:hint="eastAsia"/>
        </w:rPr>
        <w:t>支持快速释放（手动/自动双模式），释放响应时间≤0.5</w:t>
      </w:r>
      <w:r>
        <w:rPr>
          <w:rFonts w:hint="eastAsia"/>
          <w:vertAlign w:val="superscript"/>
        </w:rPr>
        <w:t xml:space="preserve"> </w:t>
      </w:r>
      <w:r>
        <w:rPr>
          <w:rFonts w:hint="eastAsia"/>
        </w:rPr>
        <w:t>s；</w:t>
      </w:r>
    </w:p>
    <w:p w14:paraId="059A09A7">
      <w:pPr>
        <w:pStyle w:val="133"/>
      </w:pPr>
      <w:r>
        <w:rPr>
          <w:rFonts w:hint="eastAsia"/>
        </w:rPr>
        <w:t>应配备自动脱钩装置。能安全脱钩，末端配重≥2倍吊绳重量，宜采用“一种无人机用自动脱钩挂钩”（示例图见附录B）或其他自动脱钩纯机械式装置；</w:t>
      </w:r>
    </w:p>
    <w:p w14:paraId="0170F2C9">
      <w:pPr>
        <w:pStyle w:val="133"/>
      </w:pPr>
      <w:r>
        <w:rPr>
          <w:rFonts w:hint="eastAsia"/>
        </w:rPr>
        <w:t>具有自动消摆功能，触发消摆角度宜为15°～30°；</w:t>
      </w:r>
    </w:p>
    <w:p w14:paraId="651EB573">
      <w:pPr>
        <w:pStyle w:val="133"/>
      </w:pPr>
      <w:r>
        <w:rPr>
          <w:rFonts w:hint="eastAsia"/>
        </w:rPr>
        <w:t>投放控制应符合GB/T 43668的规定。</w:t>
      </w:r>
    </w:p>
    <w:bookmarkEnd w:id="238"/>
    <w:p w14:paraId="6C46F1F9">
      <w:pPr>
        <w:pStyle w:val="133"/>
        <w:numPr>
          <w:ilvl w:val="0"/>
          <w:numId w:val="0"/>
        </w:numPr>
        <w:ind w:left="851" w:hanging="426"/>
      </w:pPr>
    </w:p>
    <w:p w14:paraId="319E757A">
      <w:pPr>
        <w:pStyle w:val="133"/>
        <w:numPr>
          <w:ilvl w:val="0"/>
          <w:numId w:val="0"/>
        </w:numPr>
        <w:ind w:left="851" w:hanging="426"/>
      </w:pPr>
    </w:p>
    <w:p w14:paraId="6623F1F7">
      <w:pPr>
        <w:pStyle w:val="66"/>
        <w:spacing w:before="120" w:after="120"/>
      </w:pPr>
      <w:r>
        <w:rPr>
          <w:rFonts w:hint="eastAsia"/>
        </w:rPr>
        <w:t>绳索</w:t>
      </w:r>
    </w:p>
    <w:p w14:paraId="0C067955">
      <w:pPr>
        <w:pStyle w:val="57"/>
        <w:ind w:firstLine="420"/>
      </w:pPr>
      <w:r>
        <w:rPr>
          <w:rFonts w:hint="eastAsia"/>
        </w:rPr>
        <w:t>应符合以下要求：</w:t>
      </w:r>
    </w:p>
    <w:p w14:paraId="6F697B3B">
      <w:pPr>
        <w:pStyle w:val="133"/>
      </w:pPr>
      <w:r>
        <w:rPr>
          <w:rFonts w:hint="eastAsia"/>
        </w:rPr>
        <w:t>吊绳宜轻质、耐磨、体积小、不吸水、易收纳；</w:t>
      </w:r>
    </w:p>
    <w:p w14:paraId="3CA97FF8">
      <w:pPr>
        <w:pStyle w:val="133"/>
      </w:pPr>
      <w:r>
        <w:rPr>
          <w:rFonts w:hint="eastAsia"/>
        </w:rPr>
        <w:t>吊绳拉力强度应≥6倍最大载重量；</w:t>
      </w:r>
    </w:p>
    <w:p w14:paraId="4D9F188C">
      <w:pPr>
        <w:pStyle w:val="133"/>
      </w:pPr>
      <w:r>
        <w:rPr>
          <w:rFonts w:hint="eastAsia"/>
        </w:rPr>
        <w:t>吊绳长度宜为8</w:t>
      </w:r>
      <w:r>
        <w:rPr>
          <w:rFonts w:hint="eastAsia"/>
          <w:vertAlign w:val="superscript"/>
        </w:rPr>
        <w:t xml:space="preserve"> </w:t>
      </w:r>
      <w:r>
        <w:rPr>
          <w:rFonts w:hint="eastAsia"/>
        </w:rPr>
        <w:t>m～25</w:t>
      </w:r>
      <w:r>
        <w:rPr>
          <w:rFonts w:hint="eastAsia"/>
          <w:vertAlign w:val="superscript"/>
        </w:rPr>
        <w:t xml:space="preserve"> </w:t>
      </w:r>
      <w:r>
        <w:rPr>
          <w:rFonts w:hint="eastAsia"/>
        </w:rPr>
        <w:t>m，可根据卸货点障碍高低情况加长吊绳；</w:t>
      </w:r>
    </w:p>
    <w:p w14:paraId="6B7D8953">
      <w:pPr>
        <w:pStyle w:val="133"/>
      </w:pPr>
      <w:r>
        <w:rPr>
          <w:rFonts w:hint="eastAsia"/>
        </w:rPr>
        <w:t>捆扎绳根据货物特性选择，宜牢固不散落。</w:t>
      </w:r>
    </w:p>
    <w:p w14:paraId="4A0A2685">
      <w:pPr>
        <w:pStyle w:val="66"/>
        <w:spacing w:before="120" w:after="120"/>
      </w:pPr>
      <w:r>
        <w:rPr>
          <w:rFonts w:hint="eastAsia"/>
        </w:rPr>
        <w:t>电动绞盘</w:t>
      </w:r>
    </w:p>
    <w:p w14:paraId="02748F6A">
      <w:pPr>
        <w:pStyle w:val="57"/>
        <w:ind w:firstLine="420"/>
      </w:pPr>
      <w:r>
        <w:rPr>
          <w:rFonts w:hint="eastAsia"/>
        </w:rPr>
        <w:t>应符合以下要求：</w:t>
      </w:r>
    </w:p>
    <w:p w14:paraId="4CAE99D8">
      <w:pPr>
        <w:pStyle w:val="133"/>
      </w:pPr>
      <w:r>
        <w:rPr>
          <w:rFonts w:hint="eastAsia"/>
        </w:rPr>
        <w:t>绞盘承重应≥6倍最大载重量，具备刹车功能，支持手动/自动双模式操控；</w:t>
      </w:r>
    </w:p>
    <w:p w14:paraId="6150C01F">
      <w:pPr>
        <w:pStyle w:val="133"/>
      </w:pPr>
      <w:r>
        <w:rPr>
          <w:rFonts w:hint="eastAsia"/>
        </w:rPr>
        <w:t>减速电机力度应≥3倍最大载重量，收放速度宜为0.8</w:t>
      </w:r>
      <w:r>
        <w:rPr>
          <w:rFonts w:hint="eastAsia"/>
          <w:vertAlign w:val="superscript"/>
        </w:rPr>
        <w:t xml:space="preserve"> </w:t>
      </w:r>
      <w:r>
        <w:rPr>
          <w:rFonts w:hint="eastAsia"/>
        </w:rPr>
        <w:t>m/s～1.6</w:t>
      </w:r>
      <w:r>
        <w:rPr>
          <w:rFonts w:hint="eastAsia"/>
          <w:vertAlign w:val="superscript"/>
        </w:rPr>
        <w:t xml:space="preserve"> </w:t>
      </w:r>
      <w:r>
        <w:rPr>
          <w:rFonts w:hint="eastAsia"/>
        </w:rPr>
        <w:t>m/s；</w:t>
      </w:r>
    </w:p>
    <w:p w14:paraId="71E74F22">
      <w:pPr>
        <w:pStyle w:val="133"/>
      </w:pPr>
      <w:r>
        <w:rPr>
          <w:rFonts w:hint="eastAsia"/>
        </w:rPr>
        <w:t>应配备应急释放装置，具有紧急避险功能。</w:t>
      </w:r>
    </w:p>
    <w:p w14:paraId="51D3BE71">
      <w:pPr>
        <w:pStyle w:val="66"/>
        <w:spacing w:before="120" w:after="120"/>
      </w:pPr>
      <w:r>
        <w:rPr>
          <w:rFonts w:hint="eastAsia"/>
        </w:rPr>
        <w:t>吊篮（筐）</w:t>
      </w:r>
    </w:p>
    <w:p w14:paraId="433DCEE4">
      <w:pPr>
        <w:pStyle w:val="57"/>
        <w:ind w:firstLine="420"/>
      </w:pPr>
      <w:bookmarkStart w:id="239" w:name="_Hlk201439694"/>
      <w:r>
        <w:rPr>
          <w:rFonts w:hint="eastAsia"/>
        </w:rPr>
        <w:t>应符合以下要求：</w:t>
      </w:r>
    </w:p>
    <w:bookmarkEnd w:id="239"/>
    <w:p w14:paraId="3536D280">
      <w:pPr>
        <w:pStyle w:val="133"/>
      </w:pPr>
      <w:r>
        <w:rPr>
          <w:rFonts w:hint="eastAsia"/>
        </w:rPr>
        <w:t>应为高密度塑料材质，承重≥4倍最大载重量，符合GB/T 5737的规定；</w:t>
      </w:r>
    </w:p>
    <w:p w14:paraId="133651E4">
      <w:pPr>
        <w:pStyle w:val="133"/>
      </w:pPr>
      <w:r>
        <w:rPr>
          <w:rFonts w:hint="eastAsia"/>
        </w:rPr>
        <w:t>应为方形，有4个平衡受力点，每篮（</w:t>
      </w:r>
      <w:r>
        <w:rPr>
          <w:rFonts w:hint="eastAsia" w:hAnsi="宋体"/>
          <w:szCs w:val="21"/>
        </w:rPr>
        <w:t>筐</w:t>
      </w:r>
      <w:r>
        <w:rPr>
          <w:rFonts w:hint="eastAsia"/>
        </w:rPr>
        <w:t>）满装重量宜≤30</w:t>
      </w:r>
      <w:r>
        <w:rPr>
          <w:rFonts w:hint="eastAsia"/>
          <w:vertAlign w:val="superscript"/>
        </w:rPr>
        <w:t xml:space="preserve"> </w:t>
      </w:r>
      <w:r>
        <w:rPr>
          <w:rFonts w:hint="eastAsia"/>
        </w:rPr>
        <w:t>kg；</w:t>
      </w:r>
    </w:p>
    <w:p w14:paraId="25F0660E">
      <w:pPr>
        <w:pStyle w:val="133"/>
        <w:rPr>
          <w:rFonts w:hAnsi="宋体"/>
          <w:szCs w:val="21"/>
        </w:rPr>
      </w:pPr>
      <w:r>
        <w:rPr>
          <w:rFonts w:hint="eastAsia"/>
        </w:rPr>
        <w:t>篮（</w:t>
      </w:r>
      <w:r>
        <w:rPr>
          <w:rFonts w:hint="eastAsia" w:hAnsi="宋体"/>
          <w:szCs w:val="21"/>
        </w:rPr>
        <w:t>筐</w:t>
      </w:r>
      <w:r>
        <w:rPr>
          <w:rFonts w:hint="eastAsia"/>
        </w:rPr>
        <w:t>）尺寸宜为≤</w:t>
      </w:r>
      <w:r>
        <w:rPr>
          <w:rFonts w:hint="eastAsia" w:hAnsi="宋体"/>
          <w:szCs w:val="21"/>
        </w:rPr>
        <w:t>80</w:t>
      </w:r>
      <w:r>
        <w:rPr>
          <w:rFonts w:hint="eastAsia" w:hAnsi="宋体"/>
          <w:szCs w:val="21"/>
          <w:vertAlign w:val="superscript"/>
        </w:rPr>
        <w:t xml:space="preserve"> </w:t>
      </w:r>
      <w:r>
        <w:rPr>
          <w:rFonts w:hint="eastAsia" w:hAnsi="宋体"/>
          <w:szCs w:val="21"/>
        </w:rPr>
        <w:t>cm×60</w:t>
      </w:r>
      <w:r>
        <w:rPr>
          <w:rFonts w:hint="eastAsia" w:hAnsi="宋体"/>
          <w:szCs w:val="21"/>
          <w:vertAlign w:val="superscript"/>
        </w:rPr>
        <w:t xml:space="preserve"> </w:t>
      </w:r>
      <w:r>
        <w:rPr>
          <w:rFonts w:hint="eastAsia" w:hAnsi="宋体"/>
          <w:szCs w:val="21"/>
        </w:rPr>
        <w:t>cm×40</w:t>
      </w:r>
      <w:r>
        <w:rPr>
          <w:rFonts w:hint="eastAsia" w:hAnsi="宋体"/>
          <w:szCs w:val="21"/>
          <w:vertAlign w:val="superscript"/>
        </w:rPr>
        <w:t xml:space="preserve"> </w:t>
      </w:r>
      <w:r>
        <w:rPr>
          <w:rFonts w:hint="eastAsia" w:hAnsi="宋体"/>
          <w:szCs w:val="21"/>
        </w:rPr>
        <w:t>cm，</w:t>
      </w:r>
      <w:r>
        <w:rPr>
          <w:rFonts w:hint="eastAsia"/>
        </w:rPr>
        <w:t>符合GB/T 39907的规定</w:t>
      </w:r>
      <w:r>
        <w:rPr>
          <w:rFonts w:hint="eastAsia" w:hAnsi="宋体"/>
          <w:szCs w:val="21"/>
        </w:rPr>
        <w:t>；</w:t>
      </w:r>
    </w:p>
    <w:p w14:paraId="1287F2D7">
      <w:pPr>
        <w:pStyle w:val="133"/>
        <w:rPr>
          <w:rFonts w:hAnsi="宋体"/>
          <w:szCs w:val="21"/>
        </w:rPr>
      </w:pPr>
      <w:r>
        <w:rPr>
          <w:rFonts w:hint="eastAsia" w:hAnsi="宋体"/>
          <w:szCs w:val="21"/>
        </w:rPr>
        <w:t>卫生应符合</w:t>
      </w:r>
      <w:bookmarkStart w:id="240" w:name="OLE_LINK9"/>
      <w:bookmarkStart w:id="241" w:name="OLE_LINK8"/>
      <w:r>
        <w:rPr>
          <w:rFonts w:hint="eastAsia" w:hAnsi="宋体"/>
          <w:szCs w:val="21"/>
        </w:rPr>
        <w:t>T/GZWL 007</w:t>
      </w:r>
      <w:bookmarkEnd w:id="240"/>
      <w:bookmarkEnd w:id="241"/>
      <w:r>
        <w:rPr>
          <w:rFonts w:hint="eastAsia" w:hAnsi="宋体"/>
          <w:szCs w:val="21"/>
        </w:rPr>
        <w:t>的规定</w:t>
      </w:r>
      <w:r>
        <w:rPr>
          <w:rFonts w:hint="eastAsia"/>
        </w:rPr>
        <w:t>。</w:t>
      </w:r>
    </w:p>
    <w:p w14:paraId="047BEE16">
      <w:pPr>
        <w:pStyle w:val="105"/>
        <w:spacing w:before="240" w:after="240"/>
      </w:pPr>
      <w:bookmarkStart w:id="242" w:name="_Toc200554732"/>
      <w:bookmarkStart w:id="243" w:name="_Toc201433969"/>
      <w:bookmarkStart w:id="244" w:name="_Toc200757638"/>
      <w:bookmarkStart w:id="245" w:name="_Toc201437558"/>
      <w:bookmarkStart w:id="246" w:name="_Toc201272015"/>
      <w:bookmarkStart w:id="247" w:name="_Toc201271973"/>
      <w:bookmarkStart w:id="248" w:name="_Toc201433903"/>
      <w:bookmarkStart w:id="249" w:name="_Toc201646629"/>
      <w:bookmarkStart w:id="250" w:name="_Toc201434404"/>
      <w:bookmarkStart w:id="251" w:name="_Toc200555007"/>
      <w:bookmarkStart w:id="252" w:name="_Toc201760236"/>
      <w:bookmarkStart w:id="253" w:name="_Toc201787855"/>
      <w:bookmarkStart w:id="254" w:name="_Toc201271247"/>
      <w:bookmarkStart w:id="255" w:name="_Toc200569986"/>
      <w:bookmarkStart w:id="256" w:name="_Toc201569604"/>
      <w:bookmarkStart w:id="257" w:name="_Toc201611339"/>
      <w:bookmarkStart w:id="258" w:name="_Toc200570848"/>
      <w:bookmarkStart w:id="259" w:name="_Toc200570361"/>
      <w:bookmarkStart w:id="260" w:name="_Toc200570017"/>
      <w:bookmarkStart w:id="261" w:name="_Toc201438574"/>
      <w:r>
        <w:rPr>
          <w:rFonts w:hint="eastAsia"/>
        </w:rPr>
        <w:t>人员要求</w:t>
      </w:r>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14:paraId="21697C83">
      <w:pPr>
        <w:pStyle w:val="57"/>
        <w:ind w:firstLine="420"/>
      </w:pPr>
      <w:r>
        <w:rPr>
          <w:rFonts w:hint="eastAsia"/>
        </w:rPr>
        <w:t>每一个作业团队成员由无人驾驶航空器驾驶员、地勤人员和辅助人员组成，多机联合作业时应指定一名总调度（指挥）员，各人员应符合以下要求：</w:t>
      </w:r>
    </w:p>
    <w:p w14:paraId="66DA821B">
      <w:pPr>
        <w:pStyle w:val="133"/>
      </w:pPr>
      <w:r>
        <w:rPr>
          <w:rFonts w:hint="eastAsia"/>
        </w:rPr>
        <w:t>农用无人驾驶航空器驾驶员：应按</w:t>
      </w:r>
      <w:r>
        <w:t>NY/T 4615</w:t>
      </w:r>
      <w:r>
        <w:rPr>
          <w:rFonts w:hint="eastAsia"/>
        </w:rPr>
        <w:t>的要求培训、考核合格后取得操作证，掌握吊运设备使用方法和维修技术，熟悉山区环境，把握风险及应急处置流程。负责对接任务、风险评估、任务分配、人员安全培训，驾驶农用无人驾驶航航空器，管理指挥本小分队地勤和辅助人员；</w:t>
      </w:r>
    </w:p>
    <w:p w14:paraId="67BE41D0">
      <w:pPr>
        <w:pStyle w:val="133"/>
      </w:pPr>
      <w:r>
        <w:rPr>
          <w:rFonts w:hint="eastAsia"/>
        </w:rPr>
        <w:t>地勤人员：应经过安全培训合格上岗，负责无人驾驶航空器电池维护充电、保障无人驾驶航空器持续供电，维护起降点及周边安全，警示标志设置，随时向无人驾驶航空器驾驶员报告环境安全情况，协助无人驾驶航空器驾驶员排除故障，执行本小分队驾驶员，宜1名地勤对应1台航空器，也根据个人能力保障多台航空器；</w:t>
      </w:r>
    </w:p>
    <w:p w14:paraId="08EFBA02">
      <w:pPr>
        <w:pStyle w:val="133"/>
      </w:pPr>
      <w:r>
        <w:rPr>
          <w:rFonts w:hint="eastAsia"/>
        </w:rPr>
        <w:t>辅助人员：应经过安全培训，掌握吊具使用操作、物资捆扎方法、安全常识、引导指令、应急避险，负责货物的分装、挂钩上货、脱钩下货，协助地勤人员做好保障工作，是地勤人员候补人选。</w:t>
      </w:r>
      <w:r>
        <w:t>装货点和卸货点</w:t>
      </w:r>
      <w:r>
        <w:rPr>
          <w:rFonts w:hint="eastAsia"/>
        </w:rPr>
        <w:t>应分别配备</w:t>
      </w:r>
      <w:r>
        <w:t>1</w:t>
      </w:r>
      <w:r>
        <w:rPr>
          <w:rFonts w:hint="eastAsia"/>
        </w:rPr>
        <w:t>名辅助人员；</w:t>
      </w:r>
    </w:p>
    <w:p w14:paraId="6FBF9259">
      <w:pPr>
        <w:pStyle w:val="133"/>
      </w:pPr>
      <w:r>
        <w:rPr>
          <w:rFonts w:hint="eastAsia" w:hAnsi="宋体" w:cs="宋体"/>
        </w:rPr>
        <w:t>总调度（指挥）员：单独人员担任，或</w:t>
      </w:r>
      <w:r>
        <w:rPr>
          <w:rFonts w:hint="eastAsia"/>
        </w:rPr>
        <w:t>由其中1名经验丰富的无人驾驶航空器驾驶员兼任，负责整个飞行项目管理、申请空域、总体协调、任务分配调度、安全培训、指挥各小分队间的协作，以及突发情况处置。</w:t>
      </w:r>
    </w:p>
    <w:p w14:paraId="235E664E">
      <w:pPr>
        <w:pStyle w:val="105"/>
        <w:spacing w:before="240" w:after="240"/>
      </w:pPr>
      <w:bookmarkStart w:id="262" w:name="_Toc200570841"/>
      <w:bookmarkStart w:id="263" w:name="_Toc200555001"/>
      <w:bookmarkStart w:id="264" w:name="_Toc201611340"/>
      <w:bookmarkStart w:id="265" w:name="_Toc201434405"/>
      <w:bookmarkStart w:id="266" w:name="_Toc200570010"/>
      <w:bookmarkStart w:id="267" w:name="_Toc200554726"/>
      <w:bookmarkStart w:id="268" w:name="_Toc201271248"/>
      <w:bookmarkStart w:id="269" w:name="_Toc201438575"/>
      <w:bookmarkStart w:id="270" w:name="_Toc201646630"/>
      <w:bookmarkStart w:id="271" w:name="_Toc200569979"/>
      <w:bookmarkStart w:id="272" w:name="_Toc201569605"/>
      <w:bookmarkStart w:id="273" w:name="_Toc201271974"/>
      <w:bookmarkStart w:id="274" w:name="_Toc200570354"/>
      <w:bookmarkStart w:id="275" w:name="_Toc200757639"/>
      <w:bookmarkStart w:id="276" w:name="_Toc201272016"/>
      <w:bookmarkStart w:id="277" w:name="_Toc201760237"/>
      <w:bookmarkStart w:id="278" w:name="_Toc201787856"/>
      <w:bookmarkStart w:id="279" w:name="_Toc201437559"/>
      <w:bookmarkStart w:id="280" w:name="_Toc201433970"/>
      <w:bookmarkStart w:id="281" w:name="_Toc201433904"/>
      <w:bookmarkStart w:id="282" w:name="_Hlk200758137"/>
      <w:r>
        <w:rPr>
          <w:rFonts w:hint="eastAsia"/>
        </w:rPr>
        <w:t>作业环境评估</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bookmarkEnd w:id="282"/>
    <w:p w14:paraId="77878F7B">
      <w:pPr>
        <w:pStyle w:val="106"/>
        <w:spacing w:before="120" w:after="120"/>
      </w:pPr>
      <w:bookmarkStart w:id="283" w:name="_Toc201271249"/>
      <w:bookmarkStart w:id="284" w:name="_Toc200570843"/>
      <w:bookmarkStart w:id="285" w:name="_Toc201271975"/>
      <w:bookmarkStart w:id="286" w:name="_Toc200570356"/>
      <w:bookmarkStart w:id="287" w:name="_Toc200569981"/>
      <w:bookmarkStart w:id="288" w:name="_Toc201434406"/>
      <w:bookmarkStart w:id="289" w:name="_Toc200757641"/>
      <w:bookmarkStart w:id="290" w:name="_Toc201787857"/>
      <w:bookmarkStart w:id="291" w:name="_Toc201433905"/>
      <w:bookmarkStart w:id="292" w:name="_Toc201437560"/>
      <w:bookmarkStart w:id="293" w:name="_Toc201569606"/>
      <w:bookmarkStart w:id="294" w:name="_Toc201272017"/>
      <w:bookmarkStart w:id="295" w:name="_Toc201611341"/>
      <w:bookmarkStart w:id="296" w:name="_Toc201646631"/>
      <w:bookmarkStart w:id="297" w:name="_Toc201433971"/>
      <w:bookmarkStart w:id="298" w:name="_Toc201438576"/>
      <w:bookmarkStart w:id="299" w:name="_Toc200570012"/>
      <w:bookmarkStart w:id="300" w:name="_Toc201760238"/>
      <w:r>
        <w:rPr>
          <w:rFonts w:hint="eastAsia"/>
        </w:rPr>
        <w:t>空域要求</w:t>
      </w:r>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14:paraId="26985706">
      <w:pPr>
        <w:pStyle w:val="57"/>
        <w:ind w:firstLine="420"/>
      </w:pPr>
      <w:r>
        <w:rPr>
          <w:rFonts w:hint="eastAsia"/>
        </w:rPr>
        <w:t>应符合以下要求：</w:t>
      </w:r>
    </w:p>
    <w:p w14:paraId="3D4F460A">
      <w:pPr>
        <w:pStyle w:val="133"/>
      </w:pPr>
      <w:r>
        <w:rPr>
          <w:rFonts w:hint="eastAsia"/>
        </w:rPr>
        <w:t>飞行作业区域应符合国家的有关规定，合法、安全飞行；</w:t>
      </w:r>
    </w:p>
    <w:p w14:paraId="253EC4B4">
      <w:pPr>
        <w:pStyle w:val="133"/>
      </w:pPr>
      <w:r>
        <w:rPr>
          <w:rFonts w:hint="eastAsia"/>
        </w:rPr>
        <w:t>在禁飞、限高等敏感区域作业应提前24</w:t>
      </w:r>
      <w:r>
        <w:rPr>
          <w:rFonts w:hint="eastAsia"/>
          <w:vertAlign w:val="superscript"/>
        </w:rPr>
        <w:t xml:space="preserve"> </w:t>
      </w:r>
      <w:r>
        <w:rPr>
          <w:rFonts w:hint="eastAsia"/>
        </w:rPr>
        <w:t>h以上向有关部门报告备案。</w:t>
      </w:r>
    </w:p>
    <w:p w14:paraId="740CE369">
      <w:pPr>
        <w:pStyle w:val="106"/>
        <w:spacing w:before="120" w:after="120"/>
      </w:pPr>
      <w:bookmarkStart w:id="301" w:name="_Toc201272018"/>
      <w:bookmarkStart w:id="302" w:name="_Toc201646632"/>
      <w:bookmarkStart w:id="303" w:name="_Toc200554728"/>
      <w:bookmarkStart w:id="304" w:name="_Toc201434407"/>
      <w:bookmarkStart w:id="305" w:name="_Toc201760239"/>
      <w:bookmarkStart w:id="306" w:name="_Toc201271976"/>
      <w:bookmarkStart w:id="307" w:name="_Toc200570844"/>
      <w:bookmarkStart w:id="308" w:name="_Toc201569607"/>
      <w:bookmarkStart w:id="309" w:name="_Toc201787858"/>
      <w:bookmarkStart w:id="310" w:name="_Toc201433972"/>
      <w:bookmarkStart w:id="311" w:name="_Toc200555003"/>
      <w:bookmarkStart w:id="312" w:name="_Toc200569982"/>
      <w:bookmarkStart w:id="313" w:name="_Toc201611342"/>
      <w:bookmarkStart w:id="314" w:name="_Toc201437561"/>
      <w:bookmarkStart w:id="315" w:name="_Toc201433906"/>
      <w:bookmarkStart w:id="316" w:name="_Toc201271250"/>
      <w:bookmarkStart w:id="317" w:name="_Toc200570013"/>
      <w:bookmarkStart w:id="318" w:name="_Toc200570357"/>
      <w:bookmarkStart w:id="319" w:name="_Toc201438577"/>
      <w:bookmarkStart w:id="320" w:name="_Toc200757642"/>
      <w:r>
        <w:rPr>
          <w:rFonts w:hint="eastAsia"/>
        </w:rPr>
        <w:t>风险等级划分</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14:paraId="2D7D31ED">
      <w:pPr>
        <w:pStyle w:val="57"/>
        <w:ind w:firstLine="420"/>
      </w:pPr>
      <w:r>
        <w:rPr>
          <w:rFonts w:hint="eastAsia"/>
        </w:rPr>
        <w:t>根据地形复杂度、气象、障碍等主要因素，将作业风险划分为三级，驾驶员根据风险等级，判定是否可以作业，风险等级划分见表1：</w:t>
      </w:r>
    </w:p>
    <w:p w14:paraId="4D781900">
      <w:pPr>
        <w:pStyle w:val="113"/>
        <w:spacing w:before="120" w:after="120"/>
      </w:pPr>
      <w:r>
        <w:rPr>
          <w:rFonts w:hint="eastAsia"/>
        </w:rPr>
        <w:t>风险等级划分</w:t>
      </w:r>
    </w:p>
    <w:tbl>
      <w:tblPr>
        <w:tblStyle w:val="28"/>
        <w:tblW w:w="937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577"/>
        <w:gridCol w:w="589"/>
        <w:gridCol w:w="857"/>
        <w:gridCol w:w="720"/>
        <w:gridCol w:w="720"/>
        <w:gridCol w:w="1697"/>
        <w:gridCol w:w="557"/>
        <w:gridCol w:w="789"/>
        <w:gridCol w:w="543"/>
        <w:gridCol w:w="781"/>
        <w:gridCol w:w="781"/>
        <w:gridCol w:w="763"/>
      </w:tblGrid>
      <w:tr w14:paraId="4FA061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577" w:type="dxa"/>
            <w:vMerge w:val="restart"/>
            <w:tcBorders>
              <w:top w:val="single" w:color="auto" w:sz="8" w:space="0"/>
              <w:bottom w:val="single" w:color="auto" w:sz="8" w:space="0"/>
              <w:right w:val="single" w:color="auto" w:sz="4" w:space="0"/>
            </w:tcBorders>
            <w:shd w:val="clear" w:color="auto" w:fill="auto"/>
            <w:vAlign w:val="center"/>
          </w:tcPr>
          <w:p w14:paraId="1364052C">
            <w:pPr>
              <w:pStyle w:val="179"/>
            </w:pPr>
            <w:r>
              <w:rPr>
                <w:rFonts w:hint="eastAsia"/>
              </w:rPr>
              <w:t>项目</w:t>
            </w:r>
          </w:p>
        </w:tc>
        <w:tc>
          <w:tcPr>
            <w:tcW w:w="589" w:type="dxa"/>
            <w:vMerge w:val="restart"/>
            <w:tcBorders>
              <w:top w:val="single" w:color="auto" w:sz="8" w:space="0"/>
              <w:left w:val="single" w:color="auto" w:sz="4" w:space="0"/>
              <w:bottom w:val="single" w:color="auto" w:sz="8" w:space="0"/>
            </w:tcBorders>
            <w:shd w:val="clear" w:color="auto" w:fill="auto"/>
            <w:vAlign w:val="center"/>
          </w:tcPr>
          <w:p w14:paraId="7F27193C">
            <w:pPr>
              <w:pStyle w:val="179"/>
            </w:pPr>
            <w:r>
              <w:rPr>
                <w:rFonts w:hint="eastAsia"/>
              </w:rPr>
              <w:t>等级</w:t>
            </w:r>
          </w:p>
        </w:tc>
        <w:tc>
          <w:tcPr>
            <w:tcW w:w="7445" w:type="dxa"/>
            <w:gridSpan w:val="9"/>
            <w:tcBorders>
              <w:top w:val="single" w:color="auto" w:sz="8" w:space="0"/>
              <w:bottom w:val="single" w:color="auto" w:sz="4" w:space="0"/>
            </w:tcBorders>
            <w:shd w:val="clear" w:color="auto" w:fill="auto"/>
            <w:vAlign w:val="center"/>
          </w:tcPr>
          <w:p w14:paraId="1A00121A">
            <w:pPr>
              <w:pStyle w:val="179"/>
            </w:pPr>
            <w:r>
              <w:t>因素</w:t>
            </w:r>
          </w:p>
        </w:tc>
        <w:tc>
          <w:tcPr>
            <w:tcW w:w="763" w:type="dxa"/>
            <w:vMerge w:val="restart"/>
            <w:tcBorders>
              <w:top w:val="single" w:color="auto" w:sz="8" w:space="0"/>
            </w:tcBorders>
            <w:vAlign w:val="center"/>
          </w:tcPr>
          <w:p w14:paraId="0FC33A4D">
            <w:pPr>
              <w:pStyle w:val="179"/>
            </w:pPr>
            <w:r>
              <w:t>作业参考</w:t>
            </w:r>
          </w:p>
        </w:tc>
      </w:tr>
      <w:tr w14:paraId="4FC469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77" w:type="dxa"/>
            <w:vMerge w:val="continue"/>
            <w:tcBorders>
              <w:top w:val="nil"/>
              <w:bottom w:val="single" w:color="auto" w:sz="8" w:space="0"/>
              <w:right w:val="single" w:color="auto" w:sz="4" w:space="0"/>
            </w:tcBorders>
            <w:shd w:val="clear" w:color="auto" w:fill="auto"/>
            <w:vAlign w:val="center"/>
          </w:tcPr>
          <w:p w14:paraId="56B8420E">
            <w:pPr>
              <w:pStyle w:val="179"/>
            </w:pPr>
          </w:p>
        </w:tc>
        <w:tc>
          <w:tcPr>
            <w:tcW w:w="589" w:type="dxa"/>
            <w:vMerge w:val="continue"/>
            <w:tcBorders>
              <w:top w:val="single" w:color="auto" w:sz="4" w:space="0"/>
              <w:left w:val="single" w:color="auto" w:sz="4" w:space="0"/>
              <w:bottom w:val="single" w:color="auto" w:sz="8" w:space="0"/>
            </w:tcBorders>
            <w:shd w:val="clear" w:color="auto" w:fill="auto"/>
            <w:vAlign w:val="center"/>
          </w:tcPr>
          <w:p w14:paraId="75CB0978">
            <w:pPr>
              <w:pStyle w:val="179"/>
            </w:pPr>
          </w:p>
        </w:tc>
        <w:tc>
          <w:tcPr>
            <w:tcW w:w="857" w:type="dxa"/>
            <w:tcBorders>
              <w:top w:val="single" w:color="auto" w:sz="4" w:space="0"/>
            </w:tcBorders>
            <w:shd w:val="clear" w:color="auto" w:fill="auto"/>
            <w:vAlign w:val="center"/>
          </w:tcPr>
          <w:p w14:paraId="09374080">
            <w:pPr>
              <w:pStyle w:val="179"/>
            </w:pPr>
            <w:r>
              <w:rPr>
                <w:rFonts w:hint="eastAsia"/>
              </w:rPr>
              <w:t>高度</w:t>
            </w:r>
          </w:p>
          <w:p w14:paraId="27B22460">
            <w:pPr>
              <w:pStyle w:val="179"/>
            </w:pPr>
            <w:r>
              <w:rPr>
                <w:rFonts w:hint="eastAsia"/>
              </w:rPr>
              <w:t>（落差）</w:t>
            </w:r>
          </w:p>
          <w:p w14:paraId="782A415A">
            <w:pPr>
              <w:pStyle w:val="179"/>
            </w:pPr>
            <w:r>
              <w:rPr>
                <w:rFonts w:hint="eastAsia"/>
              </w:rPr>
              <w:t>/m</w:t>
            </w:r>
          </w:p>
        </w:tc>
        <w:tc>
          <w:tcPr>
            <w:tcW w:w="720" w:type="dxa"/>
            <w:tcBorders>
              <w:top w:val="single" w:color="auto" w:sz="4" w:space="0"/>
            </w:tcBorders>
            <w:shd w:val="clear" w:color="auto" w:fill="auto"/>
            <w:vAlign w:val="center"/>
          </w:tcPr>
          <w:p w14:paraId="081A08AB">
            <w:pPr>
              <w:pStyle w:val="179"/>
            </w:pPr>
            <w:r>
              <w:rPr>
                <w:rFonts w:hint="eastAsia"/>
              </w:rPr>
              <w:t>距离/m</w:t>
            </w:r>
          </w:p>
        </w:tc>
        <w:tc>
          <w:tcPr>
            <w:tcW w:w="720" w:type="dxa"/>
            <w:tcBorders>
              <w:top w:val="single" w:color="auto" w:sz="4" w:space="0"/>
            </w:tcBorders>
            <w:shd w:val="clear" w:color="auto" w:fill="auto"/>
            <w:vAlign w:val="center"/>
          </w:tcPr>
          <w:p w14:paraId="69CB3C0B">
            <w:pPr>
              <w:pStyle w:val="179"/>
            </w:pPr>
            <w:r>
              <w:rPr>
                <w:vertAlign w:val="superscript"/>
              </w:rPr>
              <w:t>a</w:t>
            </w:r>
            <w:r>
              <w:t>障碍物</w:t>
            </w:r>
          </w:p>
        </w:tc>
        <w:tc>
          <w:tcPr>
            <w:tcW w:w="1697" w:type="dxa"/>
            <w:tcBorders>
              <w:top w:val="single" w:color="auto" w:sz="4" w:space="0"/>
            </w:tcBorders>
            <w:shd w:val="clear" w:color="auto" w:fill="auto"/>
            <w:vAlign w:val="center"/>
          </w:tcPr>
          <w:p w14:paraId="34CB6D7B">
            <w:pPr>
              <w:pStyle w:val="179"/>
            </w:pPr>
            <w:r>
              <w:t>气象条件</w:t>
            </w:r>
          </w:p>
        </w:tc>
        <w:tc>
          <w:tcPr>
            <w:tcW w:w="557" w:type="dxa"/>
            <w:tcBorders>
              <w:top w:val="single" w:color="auto" w:sz="4" w:space="0"/>
            </w:tcBorders>
            <w:shd w:val="clear" w:color="auto" w:fill="auto"/>
            <w:vAlign w:val="center"/>
          </w:tcPr>
          <w:p w14:paraId="7B33C858">
            <w:pPr>
              <w:pStyle w:val="179"/>
            </w:pPr>
            <w:r>
              <w:t>信号影响</w:t>
            </w:r>
          </w:p>
        </w:tc>
        <w:tc>
          <w:tcPr>
            <w:tcW w:w="789" w:type="dxa"/>
            <w:tcBorders>
              <w:top w:val="single" w:color="auto" w:sz="4" w:space="0"/>
            </w:tcBorders>
            <w:shd w:val="clear" w:color="auto" w:fill="auto"/>
            <w:vAlign w:val="center"/>
          </w:tcPr>
          <w:p w14:paraId="0C99CECF">
            <w:pPr>
              <w:pStyle w:val="179"/>
            </w:pPr>
            <w:r>
              <w:t>起降点卸货条件</w:t>
            </w:r>
          </w:p>
        </w:tc>
        <w:tc>
          <w:tcPr>
            <w:tcW w:w="543" w:type="dxa"/>
            <w:tcBorders>
              <w:top w:val="single" w:color="auto" w:sz="4" w:space="0"/>
            </w:tcBorders>
            <w:shd w:val="clear" w:color="auto" w:fill="auto"/>
            <w:vAlign w:val="center"/>
          </w:tcPr>
          <w:p w14:paraId="039F91FA">
            <w:pPr>
              <w:pStyle w:val="179"/>
            </w:pPr>
            <w:r>
              <w:t>敏感区域</w:t>
            </w:r>
          </w:p>
        </w:tc>
        <w:tc>
          <w:tcPr>
            <w:tcW w:w="781" w:type="dxa"/>
            <w:tcBorders>
              <w:top w:val="single" w:color="auto" w:sz="4" w:space="0"/>
            </w:tcBorders>
            <w:shd w:val="clear" w:color="auto" w:fill="auto"/>
            <w:vAlign w:val="center"/>
          </w:tcPr>
          <w:p w14:paraId="1BAFCED5">
            <w:pPr>
              <w:pStyle w:val="179"/>
            </w:pPr>
            <w:r>
              <w:t>过往车辆及人员</w:t>
            </w:r>
          </w:p>
        </w:tc>
        <w:tc>
          <w:tcPr>
            <w:tcW w:w="781" w:type="dxa"/>
            <w:tcBorders>
              <w:top w:val="single" w:color="auto" w:sz="4" w:space="0"/>
            </w:tcBorders>
            <w:shd w:val="clear" w:color="auto" w:fill="auto"/>
            <w:vAlign w:val="center"/>
          </w:tcPr>
          <w:p w14:paraId="429E7EE5">
            <w:pPr>
              <w:pStyle w:val="179"/>
            </w:pPr>
            <w:r>
              <w:t>其他</w:t>
            </w:r>
          </w:p>
        </w:tc>
        <w:tc>
          <w:tcPr>
            <w:tcW w:w="763" w:type="dxa"/>
            <w:vMerge w:val="continue"/>
          </w:tcPr>
          <w:p w14:paraId="5576F5E6">
            <w:pPr>
              <w:pStyle w:val="179"/>
            </w:pPr>
          </w:p>
        </w:tc>
      </w:tr>
      <w:tr w14:paraId="04F0EF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77" w:type="dxa"/>
            <w:vMerge w:val="restart"/>
            <w:tcBorders>
              <w:top w:val="single" w:color="auto" w:sz="8" w:space="0"/>
            </w:tcBorders>
            <w:shd w:val="clear" w:color="auto" w:fill="auto"/>
            <w:vAlign w:val="center"/>
          </w:tcPr>
          <w:p w14:paraId="3D03970C">
            <w:pPr>
              <w:pStyle w:val="179"/>
            </w:pPr>
            <w:r>
              <w:t>参考值</w:t>
            </w:r>
          </w:p>
        </w:tc>
        <w:tc>
          <w:tcPr>
            <w:tcW w:w="589" w:type="dxa"/>
            <w:tcBorders>
              <w:top w:val="single" w:color="auto" w:sz="8" w:space="0"/>
            </w:tcBorders>
            <w:shd w:val="clear" w:color="auto" w:fill="auto"/>
            <w:vAlign w:val="center"/>
          </w:tcPr>
          <w:p w14:paraId="4DC68DF0">
            <w:pPr>
              <w:pStyle w:val="179"/>
            </w:pPr>
            <w:r>
              <w:rPr>
                <w:rFonts w:hint="eastAsia"/>
              </w:rPr>
              <w:t>低风险</w:t>
            </w:r>
          </w:p>
        </w:tc>
        <w:tc>
          <w:tcPr>
            <w:tcW w:w="857" w:type="dxa"/>
            <w:tcBorders>
              <w:top w:val="single" w:color="auto" w:sz="8" w:space="0"/>
            </w:tcBorders>
            <w:shd w:val="clear" w:color="auto" w:fill="auto"/>
            <w:vAlign w:val="center"/>
          </w:tcPr>
          <w:p w14:paraId="553FFD36">
            <w:pPr>
              <w:pStyle w:val="179"/>
            </w:pPr>
            <w:r>
              <w:rPr>
                <w:rFonts w:hint="eastAsia"/>
              </w:rPr>
              <w:t>0～200</w:t>
            </w:r>
          </w:p>
        </w:tc>
        <w:tc>
          <w:tcPr>
            <w:tcW w:w="720" w:type="dxa"/>
            <w:tcBorders>
              <w:top w:val="single" w:color="auto" w:sz="8" w:space="0"/>
            </w:tcBorders>
            <w:shd w:val="clear" w:color="auto" w:fill="auto"/>
            <w:vAlign w:val="center"/>
          </w:tcPr>
          <w:p w14:paraId="12E1F655">
            <w:pPr>
              <w:pStyle w:val="179"/>
            </w:pPr>
            <w:r>
              <w:rPr>
                <w:rFonts w:hint="eastAsia"/>
              </w:rPr>
              <w:t>0～400</w:t>
            </w:r>
          </w:p>
        </w:tc>
        <w:tc>
          <w:tcPr>
            <w:tcW w:w="720" w:type="dxa"/>
            <w:tcBorders>
              <w:top w:val="single" w:color="auto" w:sz="8" w:space="0"/>
            </w:tcBorders>
            <w:shd w:val="clear" w:color="auto" w:fill="auto"/>
            <w:vAlign w:val="center"/>
          </w:tcPr>
          <w:p w14:paraId="01B3DC12">
            <w:pPr>
              <w:pStyle w:val="179"/>
            </w:pPr>
            <w:r>
              <w:rPr>
                <w:rFonts w:hint="eastAsia"/>
              </w:rPr>
              <w:t>1</w:t>
            </w:r>
          </w:p>
        </w:tc>
        <w:tc>
          <w:tcPr>
            <w:tcW w:w="1697" w:type="dxa"/>
            <w:tcBorders>
              <w:top w:val="single" w:color="auto" w:sz="8" w:space="0"/>
            </w:tcBorders>
            <w:shd w:val="clear" w:color="auto" w:fill="auto"/>
            <w:vAlign w:val="center"/>
          </w:tcPr>
          <w:p w14:paraId="6C0E5310">
            <w:pPr>
              <w:pStyle w:val="179"/>
            </w:pPr>
            <w:r>
              <w:t>能见度＞</w:t>
            </w:r>
            <w:r>
              <w:rPr>
                <w:rFonts w:hint="eastAsia"/>
              </w:rPr>
              <w:t>500</w:t>
            </w:r>
            <w:r>
              <w:rPr>
                <w:rFonts w:hint="eastAsia"/>
                <w:vertAlign w:val="superscript"/>
              </w:rPr>
              <w:t xml:space="preserve"> </w:t>
            </w:r>
            <w:r>
              <w:rPr>
                <w:rFonts w:hint="eastAsia"/>
              </w:rPr>
              <w:t>m；风力＜4级；晴天；气温20℃～30℃</w:t>
            </w:r>
          </w:p>
        </w:tc>
        <w:tc>
          <w:tcPr>
            <w:tcW w:w="557" w:type="dxa"/>
            <w:tcBorders>
              <w:top w:val="single" w:color="auto" w:sz="8" w:space="0"/>
            </w:tcBorders>
            <w:shd w:val="clear" w:color="auto" w:fill="auto"/>
            <w:vAlign w:val="center"/>
          </w:tcPr>
          <w:p w14:paraId="7C957350">
            <w:pPr>
              <w:pStyle w:val="179"/>
            </w:pPr>
            <w:r>
              <w:t>信号弱</w:t>
            </w:r>
          </w:p>
        </w:tc>
        <w:tc>
          <w:tcPr>
            <w:tcW w:w="789" w:type="dxa"/>
            <w:tcBorders>
              <w:top w:val="single" w:color="auto" w:sz="8" w:space="0"/>
            </w:tcBorders>
            <w:shd w:val="clear" w:color="auto" w:fill="auto"/>
            <w:vAlign w:val="center"/>
          </w:tcPr>
          <w:p w14:paraId="0C75C791">
            <w:pPr>
              <w:pStyle w:val="179"/>
            </w:pPr>
            <w:r>
              <w:rPr>
                <w:rFonts w:hint="eastAsia"/>
              </w:rPr>
              <w:t>不平整</w:t>
            </w:r>
          </w:p>
        </w:tc>
        <w:tc>
          <w:tcPr>
            <w:tcW w:w="543" w:type="dxa"/>
            <w:tcBorders>
              <w:top w:val="single" w:color="auto" w:sz="8" w:space="0"/>
            </w:tcBorders>
            <w:shd w:val="clear" w:color="auto" w:fill="auto"/>
            <w:vAlign w:val="center"/>
          </w:tcPr>
          <w:p w14:paraId="1D75B0C3">
            <w:pPr>
              <w:pStyle w:val="179"/>
            </w:pPr>
            <w:r>
              <w:t>限高区</w:t>
            </w:r>
          </w:p>
        </w:tc>
        <w:tc>
          <w:tcPr>
            <w:tcW w:w="781" w:type="dxa"/>
            <w:tcBorders>
              <w:top w:val="single" w:color="auto" w:sz="8" w:space="0"/>
            </w:tcBorders>
            <w:shd w:val="clear" w:color="auto" w:fill="auto"/>
            <w:vAlign w:val="center"/>
          </w:tcPr>
          <w:p w14:paraId="470AED53">
            <w:pPr>
              <w:pStyle w:val="179"/>
            </w:pPr>
            <w:r>
              <w:t>偶尔</w:t>
            </w:r>
          </w:p>
        </w:tc>
        <w:tc>
          <w:tcPr>
            <w:tcW w:w="781" w:type="dxa"/>
            <w:tcBorders>
              <w:top w:val="single" w:color="auto" w:sz="8" w:space="0"/>
            </w:tcBorders>
            <w:shd w:val="clear" w:color="auto" w:fill="auto"/>
            <w:vAlign w:val="center"/>
          </w:tcPr>
          <w:p w14:paraId="093F63BF">
            <w:pPr>
              <w:pStyle w:val="179"/>
            </w:pPr>
          </w:p>
        </w:tc>
        <w:tc>
          <w:tcPr>
            <w:tcW w:w="763" w:type="dxa"/>
            <w:tcBorders>
              <w:top w:val="single" w:color="auto" w:sz="8" w:space="0"/>
            </w:tcBorders>
            <w:vAlign w:val="center"/>
          </w:tcPr>
          <w:p w14:paraId="5FE23AA7">
            <w:pPr>
              <w:pStyle w:val="179"/>
            </w:pPr>
            <w:r>
              <w:rPr>
                <w:rFonts w:hint="eastAsia"/>
              </w:rPr>
              <w:t>减速作业</w:t>
            </w:r>
          </w:p>
        </w:tc>
      </w:tr>
      <w:tr w14:paraId="6802C0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77" w:type="dxa"/>
            <w:vMerge w:val="continue"/>
            <w:shd w:val="clear" w:color="auto" w:fill="auto"/>
            <w:vAlign w:val="center"/>
          </w:tcPr>
          <w:p w14:paraId="2A15BC97">
            <w:pPr>
              <w:pStyle w:val="179"/>
            </w:pPr>
          </w:p>
        </w:tc>
        <w:tc>
          <w:tcPr>
            <w:tcW w:w="589" w:type="dxa"/>
            <w:shd w:val="clear" w:color="auto" w:fill="auto"/>
            <w:vAlign w:val="center"/>
          </w:tcPr>
          <w:p w14:paraId="1EF0BBC2">
            <w:pPr>
              <w:pStyle w:val="179"/>
            </w:pPr>
            <w:r>
              <w:rPr>
                <w:rFonts w:hint="eastAsia"/>
              </w:rPr>
              <w:t>中风险</w:t>
            </w:r>
          </w:p>
        </w:tc>
        <w:tc>
          <w:tcPr>
            <w:tcW w:w="857" w:type="dxa"/>
            <w:shd w:val="clear" w:color="auto" w:fill="auto"/>
            <w:vAlign w:val="center"/>
          </w:tcPr>
          <w:p w14:paraId="145FBF38">
            <w:pPr>
              <w:pStyle w:val="179"/>
            </w:pPr>
            <w:r>
              <w:rPr>
                <w:rFonts w:hint="eastAsia"/>
              </w:rPr>
              <w:t>200～400</w:t>
            </w:r>
          </w:p>
        </w:tc>
        <w:tc>
          <w:tcPr>
            <w:tcW w:w="720" w:type="dxa"/>
            <w:shd w:val="clear" w:color="auto" w:fill="auto"/>
            <w:vAlign w:val="center"/>
          </w:tcPr>
          <w:p w14:paraId="38379498">
            <w:pPr>
              <w:pStyle w:val="179"/>
            </w:pPr>
            <w:r>
              <w:rPr>
                <w:rFonts w:hint="eastAsia"/>
              </w:rPr>
              <w:t>401～800</w:t>
            </w:r>
          </w:p>
        </w:tc>
        <w:tc>
          <w:tcPr>
            <w:tcW w:w="720" w:type="dxa"/>
            <w:shd w:val="clear" w:color="auto" w:fill="auto"/>
            <w:vAlign w:val="center"/>
          </w:tcPr>
          <w:p w14:paraId="474C6F79">
            <w:pPr>
              <w:pStyle w:val="179"/>
            </w:pPr>
            <w:r>
              <w:rPr>
                <w:rFonts w:hint="eastAsia"/>
              </w:rPr>
              <w:t>2</w:t>
            </w:r>
          </w:p>
        </w:tc>
        <w:tc>
          <w:tcPr>
            <w:tcW w:w="1697" w:type="dxa"/>
            <w:shd w:val="clear" w:color="auto" w:fill="auto"/>
            <w:vAlign w:val="center"/>
          </w:tcPr>
          <w:p w14:paraId="5A5D5025">
            <w:pPr>
              <w:pStyle w:val="179"/>
            </w:pPr>
            <w:r>
              <w:t>能见度</w:t>
            </w:r>
            <w:r>
              <w:rPr>
                <w:rFonts w:hint="eastAsia"/>
              </w:rPr>
              <w:t>100</w:t>
            </w:r>
            <w:r>
              <w:rPr>
                <w:rFonts w:hint="eastAsia"/>
                <w:vertAlign w:val="superscript"/>
              </w:rPr>
              <w:t xml:space="preserve"> </w:t>
            </w:r>
            <w:r>
              <w:rPr>
                <w:rFonts w:hint="eastAsia"/>
              </w:rPr>
              <w:t>m～500</w:t>
            </w:r>
            <w:r>
              <w:rPr>
                <w:rFonts w:hint="eastAsia"/>
                <w:vertAlign w:val="superscript"/>
              </w:rPr>
              <w:t xml:space="preserve"> </w:t>
            </w:r>
            <w:r>
              <w:rPr>
                <w:rFonts w:hint="eastAsia"/>
              </w:rPr>
              <w:t>m；风力5～6级；小雨；气温30℃～40℃</w:t>
            </w:r>
          </w:p>
        </w:tc>
        <w:tc>
          <w:tcPr>
            <w:tcW w:w="557" w:type="dxa"/>
            <w:shd w:val="clear" w:color="auto" w:fill="auto"/>
            <w:vAlign w:val="center"/>
          </w:tcPr>
          <w:p w14:paraId="48D87774">
            <w:pPr>
              <w:pStyle w:val="179"/>
            </w:pPr>
            <w:r>
              <w:t>轻微遮挡</w:t>
            </w:r>
          </w:p>
        </w:tc>
        <w:tc>
          <w:tcPr>
            <w:tcW w:w="789" w:type="dxa"/>
            <w:shd w:val="clear" w:color="auto" w:fill="auto"/>
            <w:vAlign w:val="center"/>
          </w:tcPr>
          <w:p w14:paraId="336B7914">
            <w:pPr>
              <w:pStyle w:val="179"/>
            </w:pPr>
            <w:r>
              <w:t>空间小</w:t>
            </w:r>
          </w:p>
        </w:tc>
        <w:tc>
          <w:tcPr>
            <w:tcW w:w="543" w:type="dxa"/>
            <w:shd w:val="clear" w:color="auto" w:fill="auto"/>
            <w:vAlign w:val="center"/>
          </w:tcPr>
          <w:p w14:paraId="3D10C93C">
            <w:pPr>
              <w:pStyle w:val="179"/>
            </w:pPr>
            <w:r>
              <w:t>禁飞区</w:t>
            </w:r>
          </w:p>
        </w:tc>
        <w:tc>
          <w:tcPr>
            <w:tcW w:w="781" w:type="dxa"/>
            <w:shd w:val="clear" w:color="auto" w:fill="auto"/>
            <w:vAlign w:val="center"/>
          </w:tcPr>
          <w:p w14:paraId="4804DBE3">
            <w:pPr>
              <w:pStyle w:val="179"/>
            </w:pPr>
            <w:r>
              <w:t>经常</w:t>
            </w:r>
          </w:p>
        </w:tc>
        <w:tc>
          <w:tcPr>
            <w:tcW w:w="781" w:type="dxa"/>
            <w:shd w:val="clear" w:color="auto" w:fill="auto"/>
            <w:vAlign w:val="center"/>
          </w:tcPr>
          <w:p w14:paraId="7D746C2D">
            <w:pPr>
              <w:pStyle w:val="179"/>
            </w:pPr>
          </w:p>
        </w:tc>
        <w:tc>
          <w:tcPr>
            <w:tcW w:w="763" w:type="dxa"/>
            <w:vAlign w:val="center"/>
          </w:tcPr>
          <w:p w14:paraId="7666FCF2">
            <w:pPr>
              <w:pStyle w:val="179"/>
            </w:pPr>
            <w:r>
              <w:rPr>
                <w:rFonts w:hint="eastAsia"/>
              </w:rPr>
              <w:t>谨慎作业</w:t>
            </w:r>
          </w:p>
        </w:tc>
      </w:tr>
      <w:tr w14:paraId="3B83F9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77" w:type="dxa"/>
            <w:vMerge w:val="continue"/>
            <w:shd w:val="clear" w:color="auto" w:fill="auto"/>
            <w:vAlign w:val="center"/>
          </w:tcPr>
          <w:p w14:paraId="4CAC7B07">
            <w:pPr>
              <w:pStyle w:val="179"/>
            </w:pPr>
          </w:p>
        </w:tc>
        <w:tc>
          <w:tcPr>
            <w:tcW w:w="589" w:type="dxa"/>
            <w:shd w:val="clear" w:color="auto" w:fill="auto"/>
            <w:vAlign w:val="center"/>
          </w:tcPr>
          <w:p w14:paraId="0FF8989B">
            <w:pPr>
              <w:pStyle w:val="179"/>
            </w:pPr>
            <w:r>
              <w:rPr>
                <w:rFonts w:hint="eastAsia"/>
              </w:rPr>
              <w:t>高风险</w:t>
            </w:r>
          </w:p>
        </w:tc>
        <w:tc>
          <w:tcPr>
            <w:tcW w:w="857" w:type="dxa"/>
            <w:shd w:val="clear" w:color="auto" w:fill="auto"/>
            <w:vAlign w:val="center"/>
          </w:tcPr>
          <w:p w14:paraId="4F033CB6">
            <w:pPr>
              <w:pStyle w:val="179"/>
            </w:pPr>
            <w:r>
              <w:t>＞</w:t>
            </w:r>
            <w:r>
              <w:rPr>
                <w:rFonts w:hint="eastAsia"/>
              </w:rPr>
              <w:t>400</w:t>
            </w:r>
          </w:p>
        </w:tc>
        <w:tc>
          <w:tcPr>
            <w:tcW w:w="720" w:type="dxa"/>
            <w:shd w:val="clear" w:color="auto" w:fill="auto"/>
            <w:vAlign w:val="center"/>
          </w:tcPr>
          <w:p w14:paraId="4A3CFA1E">
            <w:pPr>
              <w:pStyle w:val="179"/>
            </w:pPr>
            <w:r>
              <w:t>＞</w:t>
            </w:r>
            <w:r>
              <w:rPr>
                <w:rFonts w:hint="eastAsia"/>
              </w:rPr>
              <w:t>800</w:t>
            </w:r>
          </w:p>
        </w:tc>
        <w:tc>
          <w:tcPr>
            <w:tcW w:w="720" w:type="dxa"/>
            <w:shd w:val="clear" w:color="auto" w:fill="auto"/>
            <w:vAlign w:val="center"/>
          </w:tcPr>
          <w:p w14:paraId="20542F3C">
            <w:pPr>
              <w:pStyle w:val="179"/>
            </w:pPr>
            <w:r>
              <w:rPr>
                <w:rFonts w:hint="eastAsia"/>
              </w:rPr>
              <w:t>3</w:t>
            </w:r>
          </w:p>
        </w:tc>
        <w:tc>
          <w:tcPr>
            <w:tcW w:w="1697" w:type="dxa"/>
            <w:shd w:val="clear" w:color="auto" w:fill="auto"/>
            <w:vAlign w:val="center"/>
          </w:tcPr>
          <w:p w14:paraId="58A4DE92">
            <w:pPr>
              <w:pStyle w:val="179"/>
            </w:pPr>
            <w:r>
              <w:t>能见度＜</w:t>
            </w:r>
            <w:r>
              <w:rPr>
                <w:rFonts w:hint="eastAsia"/>
              </w:rPr>
              <w:t>100</w:t>
            </w:r>
            <w:r>
              <w:rPr>
                <w:rFonts w:hint="eastAsia"/>
                <w:vertAlign w:val="superscript"/>
              </w:rPr>
              <w:t xml:space="preserve"> </w:t>
            </w:r>
            <w:r>
              <w:rPr>
                <w:rFonts w:hint="eastAsia"/>
              </w:rPr>
              <w:t>m；风力＞7级；小雨加雷电；气温＞40℃</w:t>
            </w:r>
          </w:p>
        </w:tc>
        <w:tc>
          <w:tcPr>
            <w:tcW w:w="557" w:type="dxa"/>
            <w:shd w:val="clear" w:color="auto" w:fill="auto"/>
            <w:vAlign w:val="center"/>
          </w:tcPr>
          <w:p w14:paraId="47FB75B5">
            <w:pPr>
              <w:pStyle w:val="179"/>
            </w:pPr>
            <w:r>
              <w:rPr>
                <w:rFonts w:hint="eastAsia"/>
              </w:rPr>
              <w:t>深度遮挡</w:t>
            </w:r>
          </w:p>
        </w:tc>
        <w:tc>
          <w:tcPr>
            <w:tcW w:w="789" w:type="dxa"/>
            <w:shd w:val="clear" w:color="auto" w:fill="auto"/>
            <w:vAlign w:val="center"/>
          </w:tcPr>
          <w:p w14:paraId="14DF8576">
            <w:pPr>
              <w:pStyle w:val="179"/>
            </w:pPr>
            <w:r>
              <w:t>无条件；或不平整和空间小</w:t>
            </w:r>
          </w:p>
        </w:tc>
        <w:tc>
          <w:tcPr>
            <w:tcW w:w="543" w:type="dxa"/>
            <w:shd w:val="clear" w:color="auto" w:fill="auto"/>
            <w:vAlign w:val="center"/>
          </w:tcPr>
          <w:p w14:paraId="5E0FB823">
            <w:pPr>
              <w:pStyle w:val="179"/>
            </w:pPr>
            <w:r>
              <w:t>绝对敏感区</w:t>
            </w:r>
          </w:p>
        </w:tc>
        <w:tc>
          <w:tcPr>
            <w:tcW w:w="781" w:type="dxa"/>
            <w:shd w:val="clear" w:color="auto" w:fill="auto"/>
            <w:vAlign w:val="center"/>
          </w:tcPr>
          <w:p w14:paraId="1C18005E">
            <w:pPr>
              <w:pStyle w:val="179"/>
            </w:pPr>
            <w:r>
              <w:t>一直有</w:t>
            </w:r>
          </w:p>
        </w:tc>
        <w:tc>
          <w:tcPr>
            <w:tcW w:w="781" w:type="dxa"/>
            <w:shd w:val="clear" w:color="auto" w:fill="auto"/>
            <w:vAlign w:val="center"/>
          </w:tcPr>
          <w:p w14:paraId="5FD2CDF8">
            <w:pPr>
              <w:pStyle w:val="179"/>
            </w:pPr>
          </w:p>
        </w:tc>
        <w:tc>
          <w:tcPr>
            <w:tcW w:w="763" w:type="dxa"/>
            <w:vAlign w:val="center"/>
          </w:tcPr>
          <w:p w14:paraId="3534894C">
            <w:pPr>
              <w:pStyle w:val="179"/>
            </w:pPr>
            <w:r>
              <w:rPr>
                <w:rFonts w:hint="eastAsia"/>
              </w:rPr>
              <w:t>不宜作业</w:t>
            </w:r>
          </w:p>
        </w:tc>
      </w:tr>
      <w:tr w14:paraId="40E32D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77" w:type="dxa"/>
            <w:vMerge w:val="restart"/>
            <w:shd w:val="clear" w:color="auto" w:fill="auto"/>
            <w:vAlign w:val="center"/>
          </w:tcPr>
          <w:p w14:paraId="50FA577C">
            <w:pPr>
              <w:pStyle w:val="179"/>
            </w:pPr>
            <w:r>
              <w:t>评估值</w:t>
            </w:r>
          </w:p>
        </w:tc>
        <w:tc>
          <w:tcPr>
            <w:tcW w:w="589" w:type="dxa"/>
            <w:shd w:val="clear" w:color="auto" w:fill="auto"/>
            <w:vAlign w:val="center"/>
          </w:tcPr>
          <w:p w14:paraId="2EFB15BA">
            <w:pPr>
              <w:pStyle w:val="179"/>
            </w:pPr>
            <w:r>
              <w:rPr>
                <w:rFonts w:hint="eastAsia"/>
              </w:rPr>
              <w:t>低风险</w:t>
            </w:r>
          </w:p>
        </w:tc>
        <w:tc>
          <w:tcPr>
            <w:tcW w:w="857" w:type="dxa"/>
            <w:shd w:val="clear" w:color="auto" w:fill="auto"/>
            <w:vAlign w:val="center"/>
          </w:tcPr>
          <w:p w14:paraId="717D46B3">
            <w:pPr>
              <w:pStyle w:val="179"/>
            </w:pPr>
          </w:p>
        </w:tc>
        <w:tc>
          <w:tcPr>
            <w:tcW w:w="720" w:type="dxa"/>
            <w:shd w:val="clear" w:color="auto" w:fill="auto"/>
            <w:vAlign w:val="center"/>
          </w:tcPr>
          <w:p w14:paraId="6E0E41D4">
            <w:pPr>
              <w:pStyle w:val="179"/>
            </w:pPr>
          </w:p>
        </w:tc>
        <w:tc>
          <w:tcPr>
            <w:tcW w:w="720" w:type="dxa"/>
            <w:shd w:val="clear" w:color="auto" w:fill="auto"/>
            <w:vAlign w:val="center"/>
          </w:tcPr>
          <w:p w14:paraId="34004526">
            <w:pPr>
              <w:pStyle w:val="179"/>
            </w:pPr>
          </w:p>
        </w:tc>
        <w:tc>
          <w:tcPr>
            <w:tcW w:w="1697" w:type="dxa"/>
            <w:shd w:val="clear" w:color="auto" w:fill="auto"/>
            <w:vAlign w:val="center"/>
          </w:tcPr>
          <w:p w14:paraId="09698246">
            <w:pPr>
              <w:pStyle w:val="179"/>
            </w:pPr>
          </w:p>
        </w:tc>
        <w:tc>
          <w:tcPr>
            <w:tcW w:w="557" w:type="dxa"/>
            <w:shd w:val="clear" w:color="auto" w:fill="auto"/>
            <w:vAlign w:val="center"/>
          </w:tcPr>
          <w:p w14:paraId="2FB76523">
            <w:pPr>
              <w:pStyle w:val="179"/>
            </w:pPr>
          </w:p>
        </w:tc>
        <w:tc>
          <w:tcPr>
            <w:tcW w:w="789" w:type="dxa"/>
            <w:shd w:val="clear" w:color="auto" w:fill="auto"/>
            <w:vAlign w:val="center"/>
          </w:tcPr>
          <w:p w14:paraId="29AFC1EA">
            <w:pPr>
              <w:pStyle w:val="179"/>
            </w:pPr>
          </w:p>
        </w:tc>
        <w:tc>
          <w:tcPr>
            <w:tcW w:w="543" w:type="dxa"/>
            <w:shd w:val="clear" w:color="auto" w:fill="auto"/>
            <w:vAlign w:val="center"/>
          </w:tcPr>
          <w:p w14:paraId="56AEEB73">
            <w:pPr>
              <w:pStyle w:val="179"/>
            </w:pPr>
          </w:p>
        </w:tc>
        <w:tc>
          <w:tcPr>
            <w:tcW w:w="781" w:type="dxa"/>
            <w:shd w:val="clear" w:color="auto" w:fill="auto"/>
            <w:vAlign w:val="center"/>
          </w:tcPr>
          <w:p w14:paraId="0F8B7286">
            <w:pPr>
              <w:pStyle w:val="179"/>
            </w:pPr>
          </w:p>
        </w:tc>
        <w:tc>
          <w:tcPr>
            <w:tcW w:w="781" w:type="dxa"/>
            <w:shd w:val="clear" w:color="auto" w:fill="auto"/>
            <w:vAlign w:val="center"/>
          </w:tcPr>
          <w:p w14:paraId="73B526B0">
            <w:pPr>
              <w:pStyle w:val="179"/>
            </w:pPr>
          </w:p>
        </w:tc>
        <w:tc>
          <w:tcPr>
            <w:tcW w:w="763" w:type="dxa"/>
          </w:tcPr>
          <w:p w14:paraId="079A2DFE">
            <w:pPr>
              <w:pStyle w:val="179"/>
            </w:pPr>
          </w:p>
        </w:tc>
      </w:tr>
      <w:tr w14:paraId="40C4D9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77" w:type="dxa"/>
            <w:vMerge w:val="continue"/>
            <w:shd w:val="clear" w:color="auto" w:fill="auto"/>
            <w:vAlign w:val="center"/>
          </w:tcPr>
          <w:p w14:paraId="6645673A">
            <w:pPr>
              <w:pStyle w:val="179"/>
            </w:pPr>
          </w:p>
        </w:tc>
        <w:tc>
          <w:tcPr>
            <w:tcW w:w="589" w:type="dxa"/>
            <w:shd w:val="clear" w:color="auto" w:fill="auto"/>
            <w:vAlign w:val="center"/>
          </w:tcPr>
          <w:p w14:paraId="0F960BCB">
            <w:pPr>
              <w:pStyle w:val="179"/>
            </w:pPr>
            <w:r>
              <w:rPr>
                <w:rFonts w:hint="eastAsia"/>
              </w:rPr>
              <w:t>中风险</w:t>
            </w:r>
          </w:p>
        </w:tc>
        <w:tc>
          <w:tcPr>
            <w:tcW w:w="857" w:type="dxa"/>
            <w:shd w:val="clear" w:color="auto" w:fill="auto"/>
            <w:vAlign w:val="center"/>
          </w:tcPr>
          <w:p w14:paraId="0A4F178F">
            <w:pPr>
              <w:pStyle w:val="179"/>
            </w:pPr>
          </w:p>
        </w:tc>
        <w:tc>
          <w:tcPr>
            <w:tcW w:w="720" w:type="dxa"/>
            <w:shd w:val="clear" w:color="auto" w:fill="auto"/>
            <w:vAlign w:val="center"/>
          </w:tcPr>
          <w:p w14:paraId="17476DE4">
            <w:pPr>
              <w:pStyle w:val="179"/>
            </w:pPr>
          </w:p>
        </w:tc>
        <w:tc>
          <w:tcPr>
            <w:tcW w:w="720" w:type="dxa"/>
            <w:shd w:val="clear" w:color="auto" w:fill="auto"/>
            <w:vAlign w:val="center"/>
          </w:tcPr>
          <w:p w14:paraId="2A4F8C5C">
            <w:pPr>
              <w:pStyle w:val="179"/>
            </w:pPr>
          </w:p>
        </w:tc>
        <w:tc>
          <w:tcPr>
            <w:tcW w:w="1697" w:type="dxa"/>
            <w:shd w:val="clear" w:color="auto" w:fill="auto"/>
            <w:vAlign w:val="center"/>
          </w:tcPr>
          <w:p w14:paraId="48C878AB">
            <w:pPr>
              <w:pStyle w:val="179"/>
            </w:pPr>
          </w:p>
        </w:tc>
        <w:tc>
          <w:tcPr>
            <w:tcW w:w="557" w:type="dxa"/>
            <w:shd w:val="clear" w:color="auto" w:fill="auto"/>
            <w:vAlign w:val="center"/>
          </w:tcPr>
          <w:p w14:paraId="4DCA0A64">
            <w:pPr>
              <w:pStyle w:val="179"/>
            </w:pPr>
          </w:p>
        </w:tc>
        <w:tc>
          <w:tcPr>
            <w:tcW w:w="789" w:type="dxa"/>
            <w:shd w:val="clear" w:color="auto" w:fill="auto"/>
            <w:vAlign w:val="center"/>
          </w:tcPr>
          <w:p w14:paraId="5AFD891A">
            <w:pPr>
              <w:pStyle w:val="179"/>
            </w:pPr>
          </w:p>
        </w:tc>
        <w:tc>
          <w:tcPr>
            <w:tcW w:w="543" w:type="dxa"/>
            <w:shd w:val="clear" w:color="auto" w:fill="auto"/>
            <w:vAlign w:val="center"/>
          </w:tcPr>
          <w:p w14:paraId="4B817E11">
            <w:pPr>
              <w:pStyle w:val="179"/>
            </w:pPr>
          </w:p>
        </w:tc>
        <w:tc>
          <w:tcPr>
            <w:tcW w:w="781" w:type="dxa"/>
            <w:shd w:val="clear" w:color="auto" w:fill="auto"/>
            <w:vAlign w:val="center"/>
          </w:tcPr>
          <w:p w14:paraId="41CE20ED">
            <w:pPr>
              <w:pStyle w:val="179"/>
            </w:pPr>
          </w:p>
        </w:tc>
        <w:tc>
          <w:tcPr>
            <w:tcW w:w="781" w:type="dxa"/>
            <w:shd w:val="clear" w:color="auto" w:fill="auto"/>
            <w:vAlign w:val="center"/>
          </w:tcPr>
          <w:p w14:paraId="1BD1FA45">
            <w:pPr>
              <w:pStyle w:val="179"/>
            </w:pPr>
          </w:p>
        </w:tc>
        <w:tc>
          <w:tcPr>
            <w:tcW w:w="763" w:type="dxa"/>
          </w:tcPr>
          <w:p w14:paraId="617AD832">
            <w:pPr>
              <w:pStyle w:val="179"/>
            </w:pPr>
          </w:p>
        </w:tc>
      </w:tr>
      <w:tr w14:paraId="47107EF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77" w:type="dxa"/>
            <w:vMerge w:val="continue"/>
            <w:tcBorders>
              <w:bottom w:val="single" w:color="auto" w:sz="8" w:space="0"/>
            </w:tcBorders>
            <w:shd w:val="clear" w:color="auto" w:fill="auto"/>
            <w:vAlign w:val="center"/>
          </w:tcPr>
          <w:p w14:paraId="5ADF575A">
            <w:pPr>
              <w:pStyle w:val="179"/>
            </w:pPr>
          </w:p>
        </w:tc>
        <w:tc>
          <w:tcPr>
            <w:tcW w:w="589" w:type="dxa"/>
            <w:tcBorders>
              <w:bottom w:val="single" w:color="auto" w:sz="8" w:space="0"/>
            </w:tcBorders>
            <w:shd w:val="clear" w:color="auto" w:fill="auto"/>
            <w:vAlign w:val="center"/>
          </w:tcPr>
          <w:p w14:paraId="4526F68E">
            <w:pPr>
              <w:pStyle w:val="179"/>
            </w:pPr>
            <w:r>
              <w:rPr>
                <w:rFonts w:hint="eastAsia"/>
              </w:rPr>
              <w:t>高风险</w:t>
            </w:r>
          </w:p>
        </w:tc>
        <w:tc>
          <w:tcPr>
            <w:tcW w:w="857" w:type="dxa"/>
            <w:tcBorders>
              <w:bottom w:val="single" w:color="auto" w:sz="8" w:space="0"/>
            </w:tcBorders>
            <w:shd w:val="clear" w:color="auto" w:fill="auto"/>
            <w:vAlign w:val="center"/>
          </w:tcPr>
          <w:p w14:paraId="02CD7DC8">
            <w:pPr>
              <w:pStyle w:val="179"/>
            </w:pPr>
          </w:p>
        </w:tc>
        <w:tc>
          <w:tcPr>
            <w:tcW w:w="720" w:type="dxa"/>
            <w:tcBorders>
              <w:bottom w:val="single" w:color="auto" w:sz="8" w:space="0"/>
            </w:tcBorders>
            <w:shd w:val="clear" w:color="auto" w:fill="auto"/>
            <w:vAlign w:val="center"/>
          </w:tcPr>
          <w:p w14:paraId="205F0D1E">
            <w:pPr>
              <w:pStyle w:val="179"/>
            </w:pPr>
          </w:p>
        </w:tc>
        <w:tc>
          <w:tcPr>
            <w:tcW w:w="720" w:type="dxa"/>
            <w:tcBorders>
              <w:bottom w:val="single" w:color="auto" w:sz="8" w:space="0"/>
            </w:tcBorders>
            <w:shd w:val="clear" w:color="auto" w:fill="auto"/>
            <w:vAlign w:val="center"/>
          </w:tcPr>
          <w:p w14:paraId="7986F8DC">
            <w:pPr>
              <w:pStyle w:val="179"/>
            </w:pPr>
          </w:p>
        </w:tc>
        <w:tc>
          <w:tcPr>
            <w:tcW w:w="1697" w:type="dxa"/>
            <w:tcBorders>
              <w:bottom w:val="single" w:color="auto" w:sz="8" w:space="0"/>
            </w:tcBorders>
            <w:shd w:val="clear" w:color="auto" w:fill="auto"/>
            <w:vAlign w:val="center"/>
          </w:tcPr>
          <w:p w14:paraId="4A061345">
            <w:pPr>
              <w:pStyle w:val="179"/>
            </w:pPr>
          </w:p>
        </w:tc>
        <w:tc>
          <w:tcPr>
            <w:tcW w:w="557" w:type="dxa"/>
            <w:tcBorders>
              <w:bottom w:val="single" w:color="auto" w:sz="8" w:space="0"/>
            </w:tcBorders>
            <w:shd w:val="clear" w:color="auto" w:fill="auto"/>
            <w:vAlign w:val="center"/>
          </w:tcPr>
          <w:p w14:paraId="661E27F0">
            <w:pPr>
              <w:pStyle w:val="179"/>
            </w:pPr>
          </w:p>
        </w:tc>
        <w:tc>
          <w:tcPr>
            <w:tcW w:w="789" w:type="dxa"/>
            <w:tcBorders>
              <w:bottom w:val="single" w:color="auto" w:sz="8" w:space="0"/>
            </w:tcBorders>
            <w:shd w:val="clear" w:color="auto" w:fill="auto"/>
            <w:vAlign w:val="center"/>
          </w:tcPr>
          <w:p w14:paraId="2DEF1547">
            <w:pPr>
              <w:pStyle w:val="179"/>
            </w:pPr>
          </w:p>
        </w:tc>
        <w:tc>
          <w:tcPr>
            <w:tcW w:w="543" w:type="dxa"/>
            <w:tcBorders>
              <w:bottom w:val="single" w:color="auto" w:sz="8" w:space="0"/>
            </w:tcBorders>
            <w:shd w:val="clear" w:color="auto" w:fill="auto"/>
            <w:vAlign w:val="center"/>
          </w:tcPr>
          <w:p w14:paraId="48101EA2">
            <w:pPr>
              <w:pStyle w:val="179"/>
            </w:pPr>
          </w:p>
        </w:tc>
        <w:tc>
          <w:tcPr>
            <w:tcW w:w="781" w:type="dxa"/>
            <w:tcBorders>
              <w:bottom w:val="single" w:color="auto" w:sz="8" w:space="0"/>
            </w:tcBorders>
            <w:shd w:val="clear" w:color="auto" w:fill="auto"/>
            <w:vAlign w:val="center"/>
          </w:tcPr>
          <w:p w14:paraId="2D73FE86">
            <w:pPr>
              <w:pStyle w:val="179"/>
            </w:pPr>
          </w:p>
        </w:tc>
        <w:tc>
          <w:tcPr>
            <w:tcW w:w="781" w:type="dxa"/>
            <w:tcBorders>
              <w:bottom w:val="single" w:color="auto" w:sz="8" w:space="0"/>
            </w:tcBorders>
            <w:shd w:val="clear" w:color="auto" w:fill="auto"/>
            <w:vAlign w:val="center"/>
          </w:tcPr>
          <w:p w14:paraId="55F83411">
            <w:pPr>
              <w:pStyle w:val="179"/>
            </w:pPr>
          </w:p>
        </w:tc>
        <w:tc>
          <w:tcPr>
            <w:tcW w:w="763" w:type="dxa"/>
            <w:tcBorders>
              <w:bottom w:val="single" w:color="auto" w:sz="8" w:space="0"/>
            </w:tcBorders>
          </w:tcPr>
          <w:p w14:paraId="2DF264C4">
            <w:pPr>
              <w:pStyle w:val="179"/>
            </w:pPr>
          </w:p>
        </w:tc>
      </w:tr>
      <w:tr w14:paraId="5073A6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74" w:type="dxa"/>
            <w:gridSpan w:val="12"/>
            <w:tcBorders>
              <w:top w:val="single" w:color="auto" w:sz="8" w:space="0"/>
              <w:bottom w:val="single" w:color="auto" w:sz="8" w:space="0"/>
            </w:tcBorders>
            <w:shd w:val="clear" w:color="auto" w:fill="auto"/>
            <w:vAlign w:val="center"/>
          </w:tcPr>
          <w:p w14:paraId="5EE348FB">
            <w:pPr>
              <w:pStyle w:val="102"/>
            </w:pPr>
            <w:r>
              <w:t>限制无人驾驶航空器安全装货、飞行和卸货的电线、树木、建筑、山体的因素。</w:t>
            </w:r>
          </w:p>
        </w:tc>
      </w:tr>
    </w:tbl>
    <w:p w14:paraId="7FB6AEB1">
      <w:pPr>
        <w:pStyle w:val="105"/>
        <w:spacing w:before="240" w:after="240"/>
      </w:pPr>
      <w:bookmarkStart w:id="321" w:name="_Toc201433907"/>
      <w:bookmarkStart w:id="322" w:name="_Toc200570362"/>
      <w:bookmarkStart w:id="323" w:name="_Toc201569608"/>
      <w:bookmarkStart w:id="324" w:name="_Toc200757643"/>
      <w:bookmarkStart w:id="325" w:name="_Toc201433973"/>
      <w:bookmarkStart w:id="326" w:name="_Toc200570018"/>
      <w:bookmarkStart w:id="327" w:name="_Toc201272019"/>
      <w:bookmarkStart w:id="328" w:name="_Toc201611343"/>
      <w:bookmarkStart w:id="329" w:name="_Toc201271251"/>
      <w:bookmarkStart w:id="330" w:name="_Toc201434408"/>
      <w:bookmarkStart w:id="331" w:name="_Toc200555008"/>
      <w:bookmarkStart w:id="332" w:name="_Toc200554734"/>
      <w:bookmarkStart w:id="333" w:name="_Toc201646633"/>
      <w:bookmarkStart w:id="334" w:name="_Toc201787859"/>
      <w:bookmarkStart w:id="335" w:name="_Toc201437562"/>
      <w:bookmarkStart w:id="336" w:name="_Toc200570849"/>
      <w:bookmarkStart w:id="337" w:name="_Toc201438578"/>
      <w:bookmarkStart w:id="338" w:name="_Toc201271977"/>
      <w:bookmarkStart w:id="339" w:name="_Toc201760240"/>
      <w:bookmarkStart w:id="340" w:name="_Toc200569987"/>
      <w:r>
        <w:rPr>
          <w:rFonts w:hint="eastAsia"/>
        </w:rPr>
        <w:t>单机作业</w:t>
      </w:r>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14:paraId="1E58B84F">
      <w:pPr>
        <w:pStyle w:val="106"/>
        <w:spacing w:before="120" w:after="120"/>
      </w:pPr>
      <w:bookmarkStart w:id="341" w:name="_Toc201271252"/>
      <w:bookmarkStart w:id="342" w:name="_Toc201272020"/>
      <w:bookmarkStart w:id="343" w:name="_Toc201787860"/>
      <w:bookmarkStart w:id="344" w:name="_Toc201434409"/>
      <w:bookmarkStart w:id="345" w:name="_Toc201433974"/>
      <w:bookmarkStart w:id="346" w:name="_Toc200554735"/>
      <w:bookmarkStart w:id="347" w:name="_Toc201438579"/>
      <w:bookmarkStart w:id="348" w:name="_Toc201271978"/>
      <w:bookmarkStart w:id="349" w:name="_Toc201646634"/>
      <w:bookmarkStart w:id="350" w:name="_Toc201433908"/>
      <w:bookmarkStart w:id="351" w:name="_Toc200555009"/>
      <w:bookmarkStart w:id="352" w:name="_Toc201569609"/>
      <w:bookmarkStart w:id="353" w:name="_Toc200570850"/>
      <w:bookmarkStart w:id="354" w:name="_Toc201760241"/>
      <w:bookmarkStart w:id="355" w:name="_Toc200569988"/>
      <w:bookmarkStart w:id="356" w:name="_Toc200570019"/>
      <w:bookmarkStart w:id="357" w:name="_Toc200570363"/>
      <w:bookmarkStart w:id="358" w:name="_Toc200757644"/>
      <w:bookmarkStart w:id="359" w:name="_Toc201611344"/>
      <w:bookmarkStart w:id="360" w:name="_Toc201437563"/>
      <w:r>
        <w:rPr>
          <w:rFonts w:hint="eastAsia"/>
        </w:rPr>
        <w:t>作业前准备</w: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p w14:paraId="4CA379DA">
      <w:pPr>
        <w:pStyle w:val="66"/>
        <w:spacing w:before="120" w:after="120"/>
      </w:pPr>
      <w:r>
        <w:rPr>
          <w:rFonts w:hint="eastAsia"/>
        </w:rPr>
        <w:t>物料准备</w:t>
      </w:r>
    </w:p>
    <w:p w14:paraId="36868127">
      <w:pPr>
        <w:pStyle w:val="57"/>
        <w:ind w:firstLine="420"/>
      </w:pPr>
      <w:r>
        <w:rPr>
          <w:rFonts w:hint="eastAsia"/>
        </w:rPr>
        <w:t>吊运前应做好农用无人驾驶航空器吊运相关的辅助设备、物料等准备工作，如吊运架、脱钩器、遥控器外置电池、对讲机、安全帽、反光衣、手套、捆绑绳等。</w:t>
      </w:r>
    </w:p>
    <w:p w14:paraId="611590A7">
      <w:pPr>
        <w:pStyle w:val="66"/>
        <w:spacing w:before="120" w:after="120"/>
      </w:pPr>
      <w:r>
        <w:rPr>
          <w:rFonts w:hint="eastAsia"/>
        </w:rPr>
        <w:t>设备检查</w:t>
      </w:r>
    </w:p>
    <w:p w14:paraId="135B4E8E">
      <w:pPr>
        <w:pStyle w:val="57"/>
        <w:ind w:firstLine="420"/>
      </w:pPr>
      <w:r>
        <w:rPr>
          <w:rFonts w:hint="eastAsia"/>
        </w:rPr>
        <w:t>检查无人驾驶航空器(电池、电机、传感器、通信模块)、吊运装置(绑带、卡扣、平衡结构)、物资(固定状态)等，确保设备满足以下条件：</w:t>
      </w:r>
    </w:p>
    <w:p w14:paraId="30E1690A">
      <w:pPr>
        <w:pStyle w:val="133"/>
      </w:pPr>
      <w:r>
        <w:rPr>
          <w:rFonts w:hint="eastAsia"/>
        </w:rPr>
        <w:t>电池电量≥90％，电机、电调温度≤45</w:t>
      </w:r>
      <w:r>
        <w:rPr>
          <w:vertAlign w:val="superscript"/>
        </w:rPr>
        <w:t xml:space="preserve"> </w:t>
      </w:r>
      <w:r>
        <w:rPr>
          <w:rFonts w:hint="eastAsia"/>
        </w:rPr>
        <w:t>℃；</w:t>
      </w:r>
    </w:p>
    <w:p w14:paraId="52877B19">
      <w:pPr>
        <w:pStyle w:val="133"/>
      </w:pPr>
      <w:r>
        <w:rPr>
          <w:rFonts w:hint="eastAsia"/>
        </w:rPr>
        <w:t>吊运系统锁扣扣紧，机臂卡扣锁紧，桨叶展开且无破损；</w:t>
      </w:r>
    </w:p>
    <w:p w14:paraId="328A5F73">
      <w:pPr>
        <w:pStyle w:val="133"/>
      </w:pPr>
      <w:r>
        <w:rPr>
          <w:rFonts w:hint="eastAsia"/>
        </w:rPr>
        <w:t>避障系统全向正常，障碍物检测距离≥60</w:t>
      </w:r>
      <w:r>
        <w:rPr>
          <w:vertAlign w:val="superscript"/>
        </w:rPr>
        <w:t xml:space="preserve"> </w:t>
      </w:r>
      <w:r>
        <w:t>m</w:t>
      </w:r>
      <w:r>
        <w:rPr>
          <w:rFonts w:hint="eastAsia"/>
        </w:rPr>
        <w:t>，无故障提示；</w:t>
      </w:r>
    </w:p>
    <w:p w14:paraId="017C91CD">
      <w:pPr>
        <w:pStyle w:val="133"/>
      </w:pPr>
      <w:r>
        <w:rPr>
          <w:rFonts w:hint="eastAsia"/>
        </w:rPr>
        <w:t>各传感器显示正常无报错，FPV（第一人称主视角）图像回传正常、画面清晰；</w:t>
      </w:r>
    </w:p>
    <w:p w14:paraId="22F222D7">
      <w:pPr>
        <w:pStyle w:val="133"/>
      </w:pPr>
      <w:r>
        <w:rPr>
          <w:rFonts w:hint="eastAsia"/>
        </w:rPr>
        <w:t>GNSS信号或RTK信号良好稳定。</w:t>
      </w:r>
    </w:p>
    <w:p w14:paraId="3E2F62E1">
      <w:pPr>
        <w:pStyle w:val="66"/>
        <w:spacing w:before="120" w:after="120"/>
      </w:pPr>
      <w:r>
        <w:rPr>
          <w:rFonts w:hint="eastAsia"/>
        </w:rPr>
        <w:t>驾驶员作业位置</w:t>
      </w:r>
    </w:p>
    <w:p w14:paraId="3AF12FBD">
      <w:pPr>
        <w:pStyle w:val="57"/>
        <w:ind w:firstLine="420"/>
      </w:pPr>
      <w:r>
        <w:rPr>
          <w:rFonts w:hint="eastAsia"/>
        </w:rPr>
        <w:t>确定驾驶员作业区域。应选择在靠近货物集散点附近，能观察到装/卸货点、信号、视野等无遮挡的区域。</w:t>
      </w:r>
    </w:p>
    <w:p w14:paraId="51C1274C">
      <w:pPr>
        <w:pStyle w:val="66"/>
        <w:spacing w:before="120" w:after="120"/>
      </w:pPr>
      <w:r>
        <w:rPr>
          <w:rFonts w:hint="eastAsia"/>
        </w:rPr>
        <w:t>装/卸货点位置</w:t>
      </w:r>
    </w:p>
    <w:p w14:paraId="7A0D6CF1">
      <w:pPr>
        <w:pStyle w:val="57"/>
        <w:ind w:firstLine="420"/>
      </w:pPr>
      <w:r>
        <w:rPr>
          <w:rFonts w:hint="eastAsia"/>
        </w:rPr>
        <w:t>确认装/卸货点位置，驾驶员利用农用无人驾驶航空器或手机RTK打点方式进行标记，宜选择VR投影等待遥控器屏幕显示“装”、“卸”。清理装卸货点的塑料袋、编织袋等轻质物品。对于竹子/木材等吊运装/卸货物资，应预留充分足够农用无人驾驶航空器悬停高度的安全区域。</w:t>
      </w:r>
    </w:p>
    <w:p w14:paraId="70194DB0">
      <w:pPr>
        <w:pStyle w:val="66"/>
        <w:spacing w:before="120" w:after="120"/>
      </w:pPr>
      <w:r>
        <w:rPr>
          <w:rFonts w:hint="eastAsia"/>
        </w:rPr>
        <w:t>作业航线规划</w:t>
      </w:r>
    </w:p>
    <w:p w14:paraId="15C647C2">
      <w:pPr>
        <w:pStyle w:val="57"/>
        <w:ind w:firstLine="420"/>
      </w:pPr>
      <w:r>
        <w:rPr>
          <w:rFonts w:hint="eastAsia"/>
        </w:rPr>
        <w:t>农用无人驾驶航空器空飞往返装、卸货点，通过FPV摄像头确认安全、高效的吊运航线，记录各风险点参数，避开公路、高压电线、高大建筑物及居民房屋等。遇到陡峭地形，应沿相对平缓山脊防地形爬升。</w:t>
      </w:r>
    </w:p>
    <w:p w14:paraId="72BBA9D3">
      <w:pPr>
        <w:pStyle w:val="66"/>
        <w:spacing w:before="120" w:after="120"/>
      </w:pPr>
      <w:r>
        <w:rPr>
          <w:rFonts w:hint="eastAsia"/>
        </w:rPr>
        <w:t>环境安全复核</w:t>
      </w:r>
    </w:p>
    <w:p w14:paraId="246F0761">
      <w:pPr>
        <w:pStyle w:val="57"/>
        <w:ind w:firstLine="420"/>
      </w:pPr>
      <w:r>
        <w:rPr>
          <w:rFonts w:hint="eastAsia"/>
        </w:rPr>
        <w:t>起飞前应确认如下环境要求：</w:t>
      </w:r>
    </w:p>
    <w:p w14:paraId="527AD44D">
      <w:pPr>
        <w:pStyle w:val="133"/>
      </w:pPr>
      <w:r>
        <w:rPr>
          <w:rFonts w:hint="eastAsia"/>
        </w:rPr>
        <w:t>起降点周边6</w:t>
      </w:r>
      <w:r>
        <w:rPr>
          <w:vertAlign w:val="superscript"/>
        </w:rPr>
        <w:t xml:space="preserve"> </w:t>
      </w:r>
      <w:r>
        <w:rPr>
          <w:rFonts w:hint="eastAsia"/>
        </w:rPr>
        <w:t>m内无障碍。吊运长条形物资，安全距离应扩大到物资长度</w:t>
      </w:r>
      <w:r>
        <w:t>2</w:t>
      </w:r>
      <w:r>
        <w:rPr>
          <w:rFonts w:hint="eastAsia"/>
        </w:rPr>
        <w:t>倍；</w:t>
      </w:r>
    </w:p>
    <w:p w14:paraId="4D2F736D">
      <w:pPr>
        <w:pStyle w:val="133"/>
      </w:pPr>
      <w:r>
        <w:rPr>
          <w:rFonts w:hint="eastAsia"/>
        </w:rPr>
        <w:t>地面人员撤离半径≥10</w:t>
      </w:r>
      <w:r>
        <w:rPr>
          <w:vertAlign w:val="superscript"/>
        </w:rPr>
        <w:t xml:space="preserve"> </w:t>
      </w:r>
      <w:r>
        <w:rPr>
          <w:rFonts w:hint="eastAsia"/>
        </w:rPr>
        <w:t>m，设置警戒标识；</w:t>
      </w:r>
    </w:p>
    <w:p w14:paraId="306BF431">
      <w:pPr>
        <w:pStyle w:val="133"/>
      </w:pPr>
      <w:r>
        <w:rPr>
          <w:rFonts w:hint="eastAsia"/>
        </w:rPr>
        <w:t>起降点坡度≤30％；</w:t>
      </w:r>
    </w:p>
    <w:p w14:paraId="3883BC3D">
      <w:pPr>
        <w:pStyle w:val="133"/>
      </w:pPr>
      <w:r>
        <w:rPr>
          <w:rFonts w:hint="eastAsia"/>
        </w:rPr>
        <w:t>划定隔离区：起降点半径＞10</w:t>
      </w:r>
      <w:r>
        <w:rPr>
          <w:vertAlign w:val="superscript"/>
        </w:rPr>
        <w:t xml:space="preserve"> </w:t>
      </w:r>
      <w:r>
        <w:rPr>
          <w:rFonts w:hint="eastAsia"/>
        </w:rPr>
        <w:t>m内无人员，吊运路径下方及两侧各15</w:t>
      </w:r>
      <w:r>
        <w:rPr>
          <w:vertAlign w:val="superscript"/>
        </w:rPr>
        <w:t xml:space="preserve"> </w:t>
      </w:r>
      <w:r>
        <w:rPr>
          <w:rFonts w:hint="eastAsia"/>
        </w:rPr>
        <w:t>m内无人员或重要设施；</w:t>
      </w:r>
    </w:p>
    <w:p w14:paraId="30D95218">
      <w:pPr>
        <w:pStyle w:val="133"/>
      </w:pPr>
      <w:r>
        <w:rPr>
          <w:rFonts w:hint="eastAsia"/>
        </w:rPr>
        <w:t>油桶保管：户外作业涉及备用油桶，存放地应远离发动机排气口和，放在通风阴凉处，周边不应有易燃物品，预备灭火器，指定地勤人员管理；</w:t>
      </w:r>
    </w:p>
    <w:p w14:paraId="1C2F25B5">
      <w:pPr>
        <w:pStyle w:val="133"/>
      </w:pPr>
      <w:r>
        <w:rPr>
          <w:rFonts w:hint="eastAsia"/>
        </w:rPr>
        <w:t>新能源设备外放电补能应符合</w:t>
      </w:r>
      <w:r>
        <w:t>GB/T 18487.4、GB/T 43332的规定</w:t>
      </w:r>
      <w:r>
        <w:rPr>
          <w:rFonts w:hint="eastAsia"/>
        </w:rPr>
        <w:t>。</w:t>
      </w:r>
    </w:p>
    <w:p w14:paraId="57C65310">
      <w:pPr>
        <w:pStyle w:val="106"/>
        <w:spacing w:before="120" w:after="120"/>
      </w:pPr>
      <w:bookmarkStart w:id="361" w:name="_Toc201438580"/>
      <w:bookmarkStart w:id="362" w:name="_Toc201272021"/>
      <w:bookmarkStart w:id="363" w:name="_Toc201611345"/>
      <w:bookmarkStart w:id="364" w:name="_Toc201271253"/>
      <w:bookmarkStart w:id="365" w:name="_Toc200757645"/>
      <w:bookmarkStart w:id="366" w:name="_Toc200555010"/>
      <w:bookmarkStart w:id="367" w:name="_Toc201271979"/>
      <w:bookmarkStart w:id="368" w:name="_Toc201646635"/>
      <w:bookmarkStart w:id="369" w:name="_Toc200570020"/>
      <w:bookmarkStart w:id="370" w:name="_Toc201760242"/>
      <w:bookmarkStart w:id="371" w:name="_Toc201437564"/>
      <w:bookmarkStart w:id="372" w:name="_Toc200554736"/>
      <w:bookmarkStart w:id="373" w:name="_Toc201569610"/>
      <w:bookmarkStart w:id="374" w:name="_Toc200570851"/>
      <w:bookmarkStart w:id="375" w:name="_Toc200569989"/>
      <w:bookmarkStart w:id="376" w:name="_Toc201433909"/>
      <w:bookmarkStart w:id="377" w:name="_Toc201433975"/>
      <w:bookmarkStart w:id="378" w:name="_Toc201787861"/>
      <w:bookmarkStart w:id="379" w:name="_Toc201434410"/>
      <w:bookmarkStart w:id="380" w:name="_Toc200570364"/>
      <w:r>
        <w:rPr>
          <w:rFonts w:hint="eastAsia"/>
        </w:rPr>
        <w:t>作业过程控制</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14:paraId="6E6D837F">
      <w:pPr>
        <w:pStyle w:val="166"/>
      </w:pPr>
      <w:r>
        <w:rPr>
          <w:rFonts w:hint="eastAsia"/>
        </w:rPr>
        <w:t>启动阶段应按以下内容操作。</w:t>
      </w:r>
    </w:p>
    <w:p w14:paraId="7A5A948C">
      <w:pPr>
        <w:pStyle w:val="133"/>
      </w:pPr>
      <w:r>
        <w:rPr>
          <w:rFonts w:hint="eastAsia"/>
        </w:rPr>
        <w:t>设定装货点、卸货点。</w:t>
      </w:r>
    </w:p>
    <w:p w14:paraId="0001B0FB">
      <w:pPr>
        <w:pStyle w:val="133"/>
      </w:pPr>
      <w:r>
        <w:rPr>
          <w:rFonts w:hint="eastAsia"/>
        </w:rPr>
        <w:t>对于规则货物，辅助人员提前准备好吊具，将吊运货物放入吊具中，并绑好挂绳，检查无超重、撒落、脱绳等；对于不规则货物，辅助人员应提前使用绳子捆绑好两端，并将中间部位绑紧，等待挂钩上货，并检查货物无掉落、超重、脱钩等，长度不宜超过6</w:t>
      </w:r>
      <w:r>
        <w:rPr>
          <w:vertAlign w:val="superscript"/>
        </w:rPr>
        <w:t xml:space="preserve"> </w:t>
      </w:r>
      <w:r>
        <w:rPr>
          <w:rFonts w:hint="eastAsia"/>
        </w:rPr>
        <w:t>m。</w:t>
      </w:r>
    </w:p>
    <w:p w14:paraId="5BEF32DF">
      <w:pPr>
        <w:pStyle w:val="133"/>
      </w:pPr>
      <w:r>
        <w:rPr>
          <w:rFonts w:hint="eastAsia"/>
        </w:rPr>
        <w:t>装货操作为：</w:t>
      </w:r>
    </w:p>
    <w:p w14:paraId="027F7CDE">
      <w:pPr>
        <w:pStyle w:val="188"/>
      </w:pPr>
      <w:r>
        <w:rPr>
          <w:rFonts w:hint="eastAsia"/>
        </w:rPr>
        <w:t>驾驶员通过FPV摄像头实时关注辅助人员位置和动向，操作农用无人驾驶航空器到达装货点上空；</w:t>
      </w:r>
    </w:p>
    <w:p w14:paraId="6FE6088B">
      <w:pPr>
        <w:pStyle w:val="188"/>
      </w:pPr>
      <w:r>
        <w:rPr>
          <w:rFonts w:hint="eastAsia"/>
        </w:rPr>
        <w:t>农用无人驾驶航空器进入装货点后保持安全距离，驾驶员通过对讲机给出上货指令，辅助人员进入上货点上货；</w:t>
      </w:r>
    </w:p>
    <w:p w14:paraId="66E2A9AB">
      <w:pPr>
        <w:pStyle w:val="188"/>
      </w:pPr>
      <w:r>
        <w:rPr>
          <w:rFonts w:hint="eastAsia"/>
        </w:rPr>
        <w:t>辅助人员上货完成后，安全撤离，通过对讲机给出安全起飞指令；</w:t>
      </w:r>
    </w:p>
    <w:p w14:paraId="2093E88E">
      <w:pPr>
        <w:pStyle w:val="188"/>
      </w:pPr>
      <w:r>
        <w:rPr>
          <w:rFonts w:hint="eastAsia"/>
        </w:rPr>
        <w:t>驾驶员手动模式下操作农用无人驾驶航空器缓慢爬升，速度≤</w:t>
      </w:r>
      <w:r>
        <w:t>2</w:t>
      </w:r>
      <w:r>
        <w:rPr>
          <w:vertAlign w:val="superscript"/>
        </w:rPr>
        <w:t xml:space="preserve"> </w:t>
      </w:r>
      <w:r>
        <w:rPr>
          <w:rFonts w:hint="eastAsia"/>
        </w:rPr>
        <w:t>m/s，线性加速；</w:t>
      </w:r>
    </w:p>
    <w:p w14:paraId="654D447C">
      <w:pPr>
        <w:pStyle w:val="188"/>
      </w:pPr>
      <w:r>
        <w:rPr>
          <w:rFonts w:hint="eastAsia"/>
        </w:rPr>
        <w:t>上升时驾驶员应实时通过FPV摄像头观察货物是否牢固、晃动角度、实时重量显示是否有套挂等情况。</w:t>
      </w:r>
    </w:p>
    <w:p w14:paraId="60492C07">
      <w:pPr>
        <w:pStyle w:val="166"/>
      </w:pPr>
      <w:r>
        <w:rPr>
          <w:rFonts w:hint="eastAsia"/>
        </w:rPr>
        <w:t>吊运阶段应按以下内容操作：</w:t>
      </w:r>
    </w:p>
    <w:p w14:paraId="722AE05B">
      <w:pPr>
        <w:pStyle w:val="133"/>
      </w:pPr>
      <w:r>
        <w:rPr>
          <w:rFonts w:hint="eastAsia"/>
        </w:rPr>
        <w:t>无人驾驶航空器应垂直起飞至安全高度(3</w:t>
      </w:r>
      <w:r>
        <w:rPr>
          <w:vertAlign w:val="superscript"/>
        </w:rPr>
        <w:t xml:space="preserve"> </w:t>
      </w:r>
      <w:r>
        <w:rPr>
          <w:rFonts w:hint="eastAsia"/>
        </w:rPr>
        <w:t>m～10</w:t>
      </w:r>
      <w:r>
        <w:rPr>
          <w:vertAlign w:val="superscript"/>
        </w:rPr>
        <w:t xml:space="preserve"> </w:t>
      </w:r>
      <w:r>
        <w:rPr>
          <w:rFonts w:hint="eastAsia"/>
        </w:rPr>
        <w:t>m)，悬停确认姿态稳定后开始向目标点平飞，速度应≤13.0</w:t>
      </w:r>
      <w:r>
        <w:rPr>
          <w:vertAlign w:val="superscript"/>
        </w:rPr>
        <w:t xml:space="preserve"> </w:t>
      </w:r>
      <w:r>
        <w:t>m/s</w:t>
      </w:r>
      <w:r>
        <w:rPr>
          <w:rFonts w:hint="eastAsia"/>
        </w:rPr>
        <w:t>；</w:t>
      </w:r>
    </w:p>
    <w:p w14:paraId="71EDFEC3">
      <w:pPr>
        <w:pStyle w:val="133"/>
      </w:pPr>
      <w:r>
        <w:rPr>
          <w:rFonts w:hint="eastAsia"/>
        </w:rPr>
        <w:t>对于平缓区域或没有大幅度起伏的吊运航线切换至自动航线，并开启智能消摆，一键飞往卸货点，物资跨越高度≥障碍物5</w:t>
      </w:r>
      <w:r>
        <w:rPr>
          <w:vertAlign w:val="superscript"/>
        </w:rPr>
        <w:t xml:space="preserve"> </w:t>
      </w:r>
      <w:r>
        <w:rPr>
          <w:rFonts w:hint="eastAsia"/>
        </w:rPr>
        <w:t>m；对于异常摆动的操作过程，应进行手动消摆；</w:t>
      </w:r>
    </w:p>
    <w:p w14:paraId="52537AD8">
      <w:pPr>
        <w:pStyle w:val="133"/>
      </w:pPr>
      <w:r>
        <w:rPr>
          <w:rFonts w:hint="eastAsia"/>
        </w:rPr>
        <w:t>对于复杂区域，使用手动作业，全程开启智能消摆；保持匀速飞行(宜速度＜5</w:t>
      </w:r>
      <w:r>
        <w:t xml:space="preserve"> </w:t>
      </w:r>
      <w:r>
        <w:rPr>
          <w:rFonts w:hint="eastAsia"/>
        </w:rPr>
        <w:t>m/s)，避免急加速/急刹、快速转向或倾斜；实时监控遥控器提示和相关参数，电量(剩余应＞30％)、电池温度应≤</w:t>
      </w:r>
      <w:r>
        <w:t>70</w:t>
      </w:r>
      <w:r>
        <w:rPr>
          <w:rFonts w:hint="eastAsia"/>
        </w:rPr>
        <w:t>℃、货物距地高度、摆动角度、信号(无中断)、风速(无突变)等；</w:t>
      </w:r>
    </w:p>
    <w:p w14:paraId="679CA1FC">
      <w:pPr>
        <w:pStyle w:val="133"/>
      </w:pPr>
      <w:r>
        <w:rPr>
          <w:rFonts w:hint="eastAsia"/>
        </w:rPr>
        <w:t>遇障碍物时，提前爬升平缓跨越或向安全一侧绕行；</w:t>
      </w:r>
    </w:p>
    <w:p w14:paraId="7EFF2180">
      <w:pPr>
        <w:pStyle w:val="133"/>
        <w:rPr>
          <w:color w:val="0000FF"/>
        </w:rPr>
      </w:pPr>
      <w:r>
        <w:rPr>
          <w:rFonts w:hint="eastAsia"/>
        </w:rPr>
        <w:t>实时关注PFV摄像头和四目视觉画面，观察雷达提示周边障碍情况。</w:t>
      </w:r>
    </w:p>
    <w:p w14:paraId="1CB52D5A">
      <w:pPr>
        <w:pStyle w:val="166"/>
      </w:pPr>
      <w:r>
        <w:rPr>
          <w:rFonts w:hint="eastAsia"/>
        </w:rPr>
        <w:t>载荷释放时应按以下内容操作。</w:t>
      </w:r>
    </w:p>
    <w:p w14:paraId="6D99A74A">
      <w:pPr>
        <w:pStyle w:val="133"/>
      </w:pPr>
      <w:r>
        <w:rPr>
          <w:rFonts w:hint="eastAsia"/>
        </w:rPr>
        <w:t>自动脱钩：在快到达卸货点时，宜通过遥控器卸货点AR投影，提前减速，预留</w:t>
      </w:r>
      <w:r>
        <w:t>15</w:t>
      </w:r>
      <w:r>
        <w:rPr>
          <w:rFonts w:hint="eastAsia"/>
          <w:vertAlign w:val="superscript"/>
        </w:rPr>
        <w:t xml:space="preserve"> </w:t>
      </w:r>
      <w:r>
        <w:t>m</w:t>
      </w:r>
      <w:r>
        <w:rPr>
          <w:rFonts w:hint="eastAsia"/>
        </w:rPr>
        <w:t>智能消摆的惯性距离；农用无人驾驶航空器缓慢下降，货物触地后自动脱钩。</w:t>
      </w:r>
    </w:p>
    <w:p w14:paraId="3AB3BAAB">
      <w:pPr>
        <w:pStyle w:val="133"/>
      </w:pPr>
      <w:r>
        <w:rPr>
          <w:rFonts w:hint="eastAsia"/>
        </w:rPr>
        <w:t>非自动脱钩操作如下：</w:t>
      </w:r>
    </w:p>
    <w:p w14:paraId="1C0D0478">
      <w:pPr>
        <w:pStyle w:val="188"/>
      </w:pPr>
      <w:r>
        <w:rPr>
          <w:rFonts w:hint="eastAsia"/>
        </w:rPr>
        <w:t>农用无人驾驶航空器缓慢下降，货物触地后继续降4</w:t>
      </w:r>
      <w:r>
        <w:rPr>
          <w:rFonts w:hint="eastAsia"/>
          <w:vertAlign w:val="superscript"/>
        </w:rPr>
        <w:t xml:space="preserve"> </w:t>
      </w:r>
      <w:r>
        <w:t>m</w:t>
      </w:r>
      <w:r>
        <w:rPr>
          <w:rFonts w:hint="eastAsia"/>
        </w:rPr>
        <w:t>，再平飞出</w:t>
      </w:r>
      <w:r>
        <w:t>6</w:t>
      </w:r>
      <w:r>
        <w:rPr>
          <w:rFonts w:hint="eastAsia"/>
          <w:vertAlign w:val="superscript"/>
        </w:rPr>
        <w:t xml:space="preserve"> </w:t>
      </w:r>
      <w:r>
        <w:t>m</w:t>
      </w:r>
      <w:r>
        <w:rPr>
          <w:rFonts w:hint="eastAsia"/>
        </w:rPr>
        <w:t>安全距离，载荷释放操作示例参见附录C；</w:t>
      </w:r>
    </w:p>
    <w:p w14:paraId="3A713AF9">
      <w:pPr>
        <w:pStyle w:val="188"/>
      </w:pPr>
      <w:r>
        <w:rPr>
          <w:rFonts w:hint="eastAsia"/>
        </w:rPr>
        <w:t>驾驶员通过对讲机告知辅助人员卸货；</w:t>
      </w:r>
    </w:p>
    <w:p w14:paraId="24F031F5">
      <w:pPr>
        <w:pStyle w:val="188"/>
      </w:pPr>
      <w:r>
        <w:rPr>
          <w:rFonts w:hint="eastAsia"/>
        </w:rPr>
        <w:t>辅助人员进入卸货区卸货，操作人员通过PFV实时关注地勤及卸货情况；</w:t>
      </w:r>
    </w:p>
    <w:p w14:paraId="2DB95321">
      <w:pPr>
        <w:pStyle w:val="188"/>
      </w:pPr>
      <w:r>
        <w:rPr>
          <w:rFonts w:hint="eastAsia"/>
        </w:rPr>
        <w:t>卸货完成后，地勤人员离开，保持安全距离，驾驶员平飞农用无人驾驶航空器到挂钩正上方，缓慢上升至安全高度，并实时关注挂钩、绳子等情况；</w:t>
      </w:r>
    </w:p>
    <w:p w14:paraId="39B6EBA3">
      <w:pPr>
        <w:pStyle w:val="188"/>
      </w:pPr>
      <w:r>
        <w:rPr>
          <w:rFonts w:hint="eastAsia"/>
        </w:rPr>
        <w:t>估算往返耗电量，评估吊运次数和吊运重量。</w:t>
      </w:r>
    </w:p>
    <w:p w14:paraId="397A8D1A">
      <w:pPr>
        <w:pStyle w:val="133"/>
      </w:pPr>
      <w:r>
        <w:rPr>
          <w:rFonts w:hint="eastAsia"/>
        </w:rPr>
        <w:t>紧急释放：遥控器独立通道控制，同时抛投绳索和物资，触发后立即返航。</w:t>
      </w:r>
    </w:p>
    <w:p w14:paraId="2D8403D3">
      <w:pPr>
        <w:pStyle w:val="106"/>
        <w:spacing w:before="120" w:after="120"/>
      </w:pPr>
      <w:bookmarkStart w:id="381" w:name="_Toc201787862"/>
      <w:bookmarkStart w:id="382" w:name="_Toc201569611"/>
      <w:bookmarkStart w:id="383" w:name="_Toc201434411"/>
      <w:bookmarkStart w:id="384" w:name="_Toc201433910"/>
      <w:bookmarkStart w:id="385" w:name="_Toc201611346"/>
      <w:bookmarkStart w:id="386" w:name="_Toc201433976"/>
      <w:bookmarkStart w:id="387" w:name="_Toc201760243"/>
      <w:bookmarkStart w:id="388" w:name="_Toc201646636"/>
      <w:bookmarkStart w:id="389" w:name="_Toc201437565"/>
      <w:bookmarkStart w:id="390" w:name="_Toc201438581"/>
      <w:bookmarkStart w:id="391" w:name="_Toc201271254"/>
      <w:bookmarkStart w:id="392" w:name="_Toc201272022"/>
      <w:bookmarkStart w:id="393" w:name="_Toc201271980"/>
      <w:r>
        <w:rPr>
          <w:rFonts w:hint="eastAsia"/>
        </w:rPr>
        <w:t>作业完成后</w:t>
      </w:r>
      <w:bookmarkEnd w:id="381"/>
      <w:bookmarkEnd w:id="382"/>
      <w:bookmarkEnd w:id="383"/>
      <w:bookmarkEnd w:id="384"/>
      <w:bookmarkEnd w:id="385"/>
      <w:bookmarkEnd w:id="386"/>
      <w:bookmarkEnd w:id="387"/>
      <w:bookmarkEnd w:id="388"/>
      <w:bookmarkEnd w:id="389"/>
      <w:bookmarkEnd w:id="390"/>
      <w:bookmarkEnd w:id="391"/>
      <w:bookmarkEnd w:id="392"/>
      <w:bookmarkEnd w:id="393"/>
    </w:p>
    <w:p w14:paraId="3C938647">
      <w:pPr>
        <w:pStyle w:val="66"/>
        <w:spacing w:before="120" w:after="120"/>
      </w:pPr>
      <w:r>
        <w:rPr>
          <w:rFonts w:hint="eastAsia"/>
        </w:rPr>
        <w:t>项目验收</w:t>
      </w:r>
    </w:p>
    <w:p w14:paraId="0293165B">
      <w:pPr>
        <w:pStyle w:val="57"/>
        <w:ind w:firstLine="420"/>
      </w:pPr>
      <w:r>
        <w:rPr>
          <w:rFonts w:hint="eastAsia"/>
        </w:rPr>
        <w:t>项目结束后，按项目验收确认单示例（参见附录D）进行验收。</w:t>
      </w:r>
    </w:p>
    <w:p w14:paraId="5FCD5C40">
      <w:pPr>
        <w:pStyle w:val="66"/>
        <w:spacing w:before="120" w:after="120"/>
      </w:pPr>
      <w:r>
        <w:rPr>
          <w:rFonts w:hint="eastAsia"/>
        </w:rPr>
        <w:t>设备点验</w:t>
      </w:r>
    </w:p>
    <w:p w14:paraId="6458F01F">
      <w:pPr>
        <w:pStyle w:val="57"/>
        <w:ind w:firstLine="420"/>
      </w:pPr>
      <w:r>
        <w:rPr>
          <w:rFonts w:hint="eastAsia"/>
        </w:rPr>
        <w:t>作业结束后，由全体人员对吊运主要设备数量及状态进行点验，损坏、丢失、变形情况应做好标注，及时补充、更换或维修，按设备物资点验清单表示例（见附录E）进行出入库点验。</w:t>
      </w:r>
    </w:p>
    <w:p w14:paraId="4300C32F">
      <w:pPr>
        <w:pStyle w:val="105"/>
        <w:spacing w:before="240" w:after="240"/>
      </w:pPr>
      <w:bookmarkStart w:id="394" w:name="_Toc201433911"/>
      <w:bookmarkStart w:id="395" w:name="_Toc201611347"/>
      <w:bookmarkStart w:id="396" w:name="_Toc201272023"/>
      <w:bookmarkStart w:id="397" w:name="_Toc201271255"/>
      <w:bookmarkStart w:id="398" w:name="_Toc201437566"/>
      <w:bookmarkStart w:id="399" w:name="_Toc201438582"/>
      <w:bookmarkStart w:id="400" w:name="_Toc201760244"/>
      <w:bookmarkStart w:id="401" w:name="_Toc201433977"/>
      <w:bookmarkStart w:id="402" w:name="_Toc201646637"/>
      <w:bookmarkStart w:id="403" w:name="_Toc201787863"/>
      <w:bookmarkStart w:id="404" w:name="_Toc201271981"/>
      <w:bookmarkStart w:id="405" w:name="_Toc201434412"/>
      <w:bookmarkStart w:id="406" w:name="_Toc201569612"/>
      <w:bookmarkStart w:id="407" w:name="_Toc200570859"/>
      <w:bookmarkStart w:id="408" w:name="_Toc200570028"/>
      <w:bookmarkStart w:id="409" w:name="_Toc200570372"/>
      <w:bookmarkStart w:id="410" w:name="_Toc200757646"/>
      <w:bookmarkStart w:id="411" w:name="_Toc200569997"/>
      <w:r>
        <w:rPr>
          <w:rFonts w:hint="eastAsia"/>
        </w:rPr>
        <w:t>多机作业</w:t>
      </w:r>
      <w:bookmarkEnd w:id="394"/>
      <w:bookmarkEnd w:id="395"/>
      <w:bookmarkEnd w:id="396"/>
      <w:bookmarkEnd w:id="397"/>
      <w:bookmarkEnd w:id="398"/>
      <w:bookmarkEnd w:id="399"/>
      <w:bookmarkEnd w:id="400"/>
      <w:bookmarkEnd w:id="401"/>
      <w:bookmarkEnd w:id="402"/>
      <w:bookmarkEnd w:id="403"/>
      <w:bookmarkEnd w:id="404"/>
      <w:bookmarkEnd w:id="405"/>
      <w:bookmarkEnd w:id="406"/>
    </w:p>
    <w:p w14:paraId="0F4CA776">
      <w:pPr>
        <w:pStyle w:val="106"/>
        <w:spacing w:before="120" w:after="120"/>
      </w:pPr>
      <w:bookmarkStart w:id="412" w:name="_Toc201437567"/>
      <w:bookmarkStart w:id="413" w:name="_Toc201434413"/>
      <w:bookmarkStart w:id="414" w:name="_Toc201611348"/>
      <w:bookmarkStart w:id="415" w:name="_Toc201271256"/>
      <w:bookmarkStart w:id="416" w:name="_Toc201569613"/>
      <w:bookmarkStart w:id="417" w:name="_Toc201646638"/>
      <w:bookmarkStart w:id="418" w:name="_Toc201271982"/>
      <w:bookmarkStart w:id="419" w:name="_Toc201438583"/>
      <w:bookmarkStart w:id="420" w:name="_Toc201272024"/>
      <w:bookmarkStart w:id="421" w:name="_Toc201433978"/>
      <w:bookmarkStart w:id="422" w:name="_Toc201787864"/>
      <w:bookmarkStart w:id="423" w:name="_Toc201760245"/>
      <w:bookmarkStart w:id="424" w:name="_Toc201433912"/>
      <w:r>
        <w:rPr>
          <w:rFonts w:hint="eastAsia"/>
        </w:rPr>
        <w:t>多机作业形式</w:t>
      </w:r>
      <w:bookmarkEnd w:id="412"/>
      <w:bookmarkEnd w:id="413"/>
      <w:bookmarkEnd w:id="414"/>
      <w:bookmarkEnd w:id="415"/>
      <w:bookmarkEnd w:id="416"/>
      <w:bookmarkEnd w:id="417"/>
      <w:bookmarkEnd w:id="418"/>
      <w:bookmarkEnd w:id="419"/>
      <w:bookmarkEnd w:id="420"/>
      <w:bookmarkEnd w:id="421"/>
      <w:bookmarkEnd w:id="422"/>
      <w:bookmarkEnd w:id="423"/>
      <w:bookmarkEnd w:id="424"/>
    </w:p>
    <w:p w14:paraId="0AC114FD">
      <w:pPr>
        <w:pStyle w:val="166"/>
      </w:pPr>
      <w:r>
        <w:rPr>
          <w:rFonts w:hint="eastAsia"/>
        </w:rPr>
        <w:t>分为多机接力作业、交替作业和联合作业三种。宜根据任务特点选择适宜形式，遵循安全飞行优先级别；每台无人驾驶航空器涉及的作业人员和设备为一个单元，地勤和辅助人员可交集统筹保障，一名驾驶员对应一台无人驾驶航空器。作业形式图参见附录F。</w:t>
      </w:r>
    </w:p>
    <w:p w14:paraId="2C4EED73">
      <w:pPr>
        <w:pStyle w:val="166"/>
      </w:pPr>
      <w:r>
        <w:rPr>
          <w:rFonts w:hint="eastAsia"/>
        </w:rPr>
        <w:t>接力作业适合超单机安全飞行极限的远距离吊运场景，由双机或以上分段接力完成。操作如下：</w:t>
      </w:r>
    </w:p>
    <w:p w14:paraId="6AF82FD0">
      <w:pPr>
        <w:pStyle w:val="133"/>
      </w:pPr>
      <w:r>
        <w:rPr>
          <w:rFonts w:hint="eastAsia"/>
        </w:rPr>
        <w:t>具体方法：第一台从装货点吊运到其安全权限位置（卸货点）完成卸货，再由第二台机从该点装货，继续向目标点靠近，若仍未到达目标点，则再增加接力作业单元，以此类推，直到最终目标点；</w:t>
      </w:r>
    </w:p>
    <w:p w14:paraId="4E4F3300">
      <w:pPr>
        <w:pStyle w:val="133"/>
      </w:pPr>
      <w:r>
        <w:rPr>
          <w:rFonts w:hint="eastAsia"/>
        </w:rPr>
        <w:t>技术要求：各作业单元人员应在清楚观察、控制无人驾驶航空器的有利位置，驾驶员应视距内操作，各单元间、各成员间应通联畅通，控制信号无遮挡，相邻两个单元不能同时到一个接力点上作业。</w:t>
      </w:r>
    </w:p>
    <w:p w14:paraId="4F646B54">
      <w:pPr>
        <w:pStyle w:val="166"/>
      </w:pPr>
      <w:r>
        <w:rPr>
          <w:rFonts w:hint="eastAsia"/>
        </w:rPr>
        <w:t>交替作业适合单个装货点向单（多）个卸货点吊运的重任务场景，一个项目点里有多个工作面时，分多个装货点向单（多）个卸货点的方式。操作如下：</w:t>
      </w:r>
    </w:p>
    <w:p w14:paraId="5A7657AC">
      <w:pPr>
        <w:pStyle w:val="133"/>
      </w:pPr>
      <w:r>
        <w:rPr>
          <w:rFonts w:hint="eastAsia"/>
        </w:rPr>
        <w:t>具体方法：两单元以上在同一个工作面先后依次按约定区域、航线、方向交替飞行，不跨越区域，互不干扰；</w:t>
      </w:r>
    </w:p>
    <w:p w14:paraId="090E3961">
      <w:pPr>
        <w:pStyle w:val="133"/>
      </w:pPr>
      <w:r>
        <w:rPr>
          <w:rFonts w:hint="eastAsia"/>
        </w:rPr>
        <w:t>技术要求：每个单元飞行间隔视熟练程度而定，无人驾驶航空器飞行间距宜＞50</w:t>
      </w:r>
      <w:r>
        <w:rPr>
          <w:rFonts w:hint="eastAsia"/>
          <w:vertAlign w:val="superscript"/>
        </w:rPr>
        <w:t xml:space="preserve"> </w:t>
      </w:r>
      <w:r>
        <w:rPr>
          <w:rFonts w:hint="eastAsia"/>
        </w:rPr>
        <w:t>m，飞行高度差宜</w:t>
      </w:r>
      <w:r>
        <w:t>5</w:t>
      </w:r>
      <w:r>
        <w:rPr>
          <w:rFonts w:hint="eastAsia"/>
          <w:vertAlign w:val="superscript"/>
        </w:rPr>
        <w:t xml:space="preserve"> </w:t>
      </w:r>
      <w:r>
        <w:t>m</w:t>
      </w:r>
      <w:r>
        <w:rPr>
          <w:rFonts w:hint="eastAsia"/>
        </w:rPr>
        <w:t>～20</w:t>
      </w:r>
      <w:r>
        <w:rPr>
          <w:rFonts w:hint="eastAsia"/>
          <w:vertAlign w:val="superscript"/>
        </w:rPr>
        <w:t xml:space="preserve"> </w:t>
      </w:r>
      <w:r>
        <w:rPr>
          <w:rFonts w:hint="eastAsia"/>
        </w:rPr>
        <w:t>m，保持各单元可直接观察或通过FPV画面中观察相对位置，壁障雷达可探测安全距离为宜，起降点间距≥6</w:t>
      </w:r>
      <w:r>
        <w:rPr>
          <w:vertAlign w:val="superscript"/>
        </w:rPr>
        <w:t xml:space="preserve"> </w:t>
      </w:r>
      <w:r>
        <w:t>m</w:t>
      </w:r>
      <w:r>
        <w:rPr>
          <w:rFonts w:hint="eastAsia"/>
        </w:rPr>
        <w:t>。</w:t>
      </w:r>
    </w:p>
    <w:p w14:paraId="01BBF431">
      <w:pPr>
        <w:pStyle w:val="166"/>
      </w:pPr>
      <w:r>
        <w:rPr>
          <w:rFonts w:hint="eastAsia"/>
        </w:rPr>
        <w:t>联合作业适用超过单机最大载重1倍以上且不可分解的单件物资吊运场景。操作如下：</w:t>
      </w:r>
    </w:p>
    <w:p w14:paraId="2293A6E3">
      <w:pPr>
        <w:pStyle w:val="133"/>
      </w:pPr>
      <w:r>
        <w:rPr>
          <w:rFonts w:hint="eastAsia"/>
        </w:rPr>
        <w:t>具体方法：采用两单元或多单元通过特定方式物理连接，组合成整体，形成科学平衡合力，统一指挥、同向飞行、同步移动、达到联合吊运单个大件物资目的。</w:t>
      </w:r>
    </w:p>
    <w:p w14:paraId="157616F4">
      <w:pPr>
        <w:pStyle w:val="133"/>
      </w:pPr>
      <w:r>
        <w:rPr>
          <w:rFonts w:hint="eastAsia"/>
        </w:rPr>
        <w:t>技术要求：</w:t>
      </w:r>
    </w:p>
    <w:p w14:paraId="6E5B59DE">
      <w:pPr>
        <w:pStyle w:val="188"/>
      </w:pPr>
      <w:r>
        <w:rPr>
          <w:rFonts w:hint="eastAsia"/>
        </w:rPr>
        <w:t>两单元联合：采用“一字形”方式，用一根轻质硬杆连接，两端用1.5</w:t>
      </w:r>
      <w:r>
        <w:rPr>
          <w:rFonts w:hint="eastAsia"/>
          <w:vertAlign w:val="superscript"/>
        </w:rPr>
        <w:t xml:space="preserve"> </w:t>
      </w:r>
      <w:r>
        <w:rPr>
          <w:rFonts w:hint="eastAsia"/>
        </w:rPr>
        <w:t>m（小于桨幅1/2长度或硬杆长度的1/4）弹性吊绳（伸展幅度宜为</w:t>
      </w:r>
      <w:r>
        <w:t>15</w:t>
      </w:r>
      <w:r>
        <w:rPr>
          <w:rFonts w:hint="eastAsia"/>
        </w:rPr>
        <w:t>％，拉力强度大于裁量6倍）连接无人驾驶航空器下挂点，硬杆中点处连接物资，吊绳挂点应确保受力均匀。硬杆选材要求，中间受力强度应大于物资重量的4倍以上，长度大于最宽桨幅2倍；</w:t>
      </w:r>
    </w:p>
    <w:p w14:paraId="41938193">
      <w:pPr>
        <w:pStyle w:val="188"/>
      </w:pPr>
      <w:r>
        <w:rPr>
          <w:rFonts w:hint="eastAsia"/>
        </w:rPr>
        <w:t>三单元联合：采用等三角形方法，选用3根如“两单元联合”中的硬杆，每两端点固定连接成等三角形，三单元分别与三个角处连接，绳长如“两单元联合”，再从3根硬杆中间处引出3根吊绳并等距相连，该连接点的延长线挂吊运物资。三单元无人驾驶航空器应使用满电动力电池，同时起飞，各单元在指定位置就位悬停，姿态平衡，系统不报错时，进行物资上货，由指挥员下达指令，进行移动飞行，指令内容包括方向、高度、速度、加（减）速度控制力度等，各单元应保持动作同步、线性，不应急加速、急刹车。当动作不完全一致造成的位置差异时，由与无人驾驶航空器挂点的弹簧吊活动幅度进行弥补或缓冲。吊运物资总重量应小于各单元载重的总和；</w:t>
      </w:r>
    </w:p>
    <w:p w14:paraId="52DEBBD8">
      <w:pPr>
        <w:pStyle w:val="188"/>
      </w:pPr>
      <w:r>
        <w:rPr>
          <w:rFonts w:hint="eastAsia"/>
        </w:rPr>
        <w:t>四单元及以上联合：可参照进行。</w:t>
      </w:r>
    </w:p>
    <w:p w14:paraId="45D92655">
      <w:pPr>
        <w:pStyle w:val="106"/>
        <w:spacing w:before="120" w:after="120"/>
      </w:pPr>
      <w:bookmarkStart w:id="425" w:name="_Toc201272025"/>
      <w:bookmarkStart w:id="426" w:name="_Toc201569614"/>
      <w:bookmarkStart w:id="427" w:name="_Toc201760246"/>
      <w:bookmarkStart w:id="428" w:name="_Toc201646639"/>
      <w:bookmarkStart w:id="429" w:name="_Toc201271983"/>
      <w:bookmarkStart w:id="430" w:name="_Toc201433913"/>
      <w:bookmarkStart w:id="431" w:name="_Toc201271257"/>
      <w:bookmarkStart w:id="432" w:name="_Toc201611349"/>
      <w:bookmarkStart w:id="433" w:name="_Toc201437568"/>
      <w:bookmarkStart w:id="434" w:name="_Toc201787865"/>
      <w:bookmarkStart w:id="435" w:name="_Toc201433979"/>
      <w:bookmarkStart w:id="436" w:name="_Toc201434414"/>
      <w:bookmarkStart w:id="437" w:name="_Toc201438584"/>
      <w:r>
        <w:rPr>
          <w:rFonts w:hint="eastAsia"/>
        </w:rPr>
        <w:t>多机作业原则</w:t>
      </w:r>
      <w:bookmarkEnd w:id="425"/>
      <w:bookmarkEnd w:id="426"/>
      <w:bookmarkEnd w:id="427"/>
      <w:bookmarkEnd w:id="428"/>
      <w:bookmarkEnd w:id="429"/>
      <w:bookmarkEnd w:id="430"/>
      <w:bookmarkEnd w:id="431"/>
      <w:bookmarkEnd w:id="432"/>
      <w:bookmarkEnd w:id="433"/>
      <w:bookmarkEnd w:id="434"/>
      <w:bookmarkEnd w:id="435"/>
      <w:bookmarkEnd w:id="436"/>
      <w:bookmarkEnd w:id="437"/>
    </w:p>
    <w:p w14:paraId="36A0750E">
      <w:pPr>
        <w:pStyle w:val="57"/>
        <w:ind w:firstLine="420"/>
      </w:pPr>
      <w:r>
        <w:rPr>
          <w:rFonts w:hint="eastAsia"/>
        </w:rPr>
        <w:t>多机作业应遵循以下原则。</w:t>
      </w:r>
    </w:p>
    <w:p w14:paraId="44B75C53">
      <w:pPr>
        <w:pStyle w:val="133"/>
      </w:pPr>
      <w:r>
        <w:rPr>
          <w:rFonts w:hint="eastAsia"/>
        </w:rPr>
        <w:t>选择相同型号机型。</w:t>
      </w:r>
    </w:p>
    <w:p w14:paraId="495DA582">
      <w:pPr>
        <w:pStyle w:val="133"/>
      </w:pPr>
      <w:r>
        <w:rPr>
          <w:rFonts w:hint="eastAsia"/>
        </w:rPr>
        <w:t>空域划分：</w:t>
      </w:r>
    </w:p>
    <w:p w14:paraId="28A33F66">
      <w:pPr>
        <w:pStyle w:val="188"/>
        <w:rPr>
          <w:bCs/>
        </w:rPr>
      </w:pPr>
      <w:r>
        <w:rPr>
          <w:rFonts w:hint="eastAsia"/>
        </w:rPr>
        <w:t>多装货点对多</w:t>
      </w:r>
      <w:r>
        <w:rPr>
          <w:bCs/>
        </w:rPr>
        <w:t>卸货点</w:t>
      </w:r>
      <w:r>
        <w:rPr>
          <w:rFonts w:hint="eastAsia"/>
          <w:bCs/>
        </w:rPr>
        <w:t>；</w:t>
      </w:r>
      <w:r>
        <w:rPr>
          <w:rFonts w:hint="eastAsia"/>
        </w:rPr>
        <w:t>单装货点对多</w:t>
      </w:r>
      <w:r>
        <w:rPr>
          <w:bCs/>
        </w:rPr>
        <w:t>卸货点</w:t>
      </w:r>
      <w:r>
        <w:rPr>
          <w:rFonts w:hint="eastAsia"/>
          <w:bCs/>
        </w:rPr>
        <w:t>；</w:t>
      </w:r>
      <w:r>
        <w:rPr>
          <w:rFonts w:hint="eastAsia"/>
        </w:rPr>
        <w:t>多装货点对单</w:t>
      </w:r>
      <w:r>
        <w:rPr>
          <w:bCs/>
        </w:rPr>
        <w:t>卸货点</w:t>
      </w:r>
      <w:r>
        <w:rPr>
          <w:rFonts w:hint="eastAsia"/>
          <w:bCs/>
        </w:rPr>
        <w:t>等情形；</w:t>
      </w:r>
    </w:p>
    <w:p w14:paraId="19C3F75C">
      <w:pPr>
        <w:pStyle w:val="188"/>
      </w:pPr>
      <w:r>
        <w:t>提前协商好吊运作业区域，禁止闯入其他</w:t>
      </w:r>
      <w:r>
        <w:rPr>
          <w:rFonts w:hint="eastAsia"/>
        </w:rPr>
        <w:t>无人驾驶航空器</w:t>
      </w:r>
      <w:r>
        <w:t>作业区域。</w:t>
      </w:r>
    </w:p>
    <w:p w14:paraId="0DF54CF5">
      <w:pPr>
        <w:pStyle w:val="133"/>
      </w:pPr>
      <w:r>
        <w:rPr>
          <w:rFonts w:hint="eastAsia"/>
        </w:rPr>
        <w:t>往返航线规划。</w:t>
      </w:r>
      <w:r>
        <w:t>协商确定往返航线，遵守航线航向</w:t>
      </w:r>
      <w:r>
        <w:rPr>
          <w:rFonts w:hint="eastAsia"/>
        </w:rPr>
        <w:t>（单向环形航线），不逆行、不停留。</w:t>
      </w:r>
    </w:p>
    <w:p w14:paraId="1695FFE4">
      <w:pPr>
        <w:pStyle w:val="133"/>
      </w:pPr>
      <w:r>
        <w:rPr>
          <w:rFonts w:hint="eastAsia"/>
        </w:rPr>
        <w:t>指挥沟通机制：</w:t>
      </w:r>
    </w:p>
    <w:p w14:paraId="138679BD">
      <w:pPr>
        <w:pStyle w:val="188"/>
      </w:pPr>
      <w:r>
        <w:rPr>
          <w:rFonts w:hint="eastAsia"/>
        </w:rPr>
        <w:t>驾驶员通过对讲机实时沟通飞行状态和位置，由一位</w:t>
      </w:r>
      <w:r>
        <w:rPr>
          <w:rFonts w:hint="eastAsia"/>
          <w:u w:val="single"/>
        </w:rPr>
        <w:t>机长</w:t>
      </w:r>
      <w:r>
        <w:rPr>
          <w:rFonts w:hint="eastAsia"/>
        </w:rPr>
        <w:t>负责总体指挥；</w:t>
      </w:r>
    </w:p>
    <w:p w14:paraId="28F90C12">
      <w:pPr>
        <w:pStyle w:val="188"/>
      </w:pPr>
      <w:r>
        <w:t>遵守安全飞行约定。</w:t>
      </w:r>
      <w:r>
        <w:rPr>
          <w:rFonts w:hint="eastAsia"/>
        </w:rPr>
        <w:t>若空中出现故障，及时向指挥员报告，可优先迫降或退出编队航线进行避让。</w:t>
      </w:r>
    </w:p>
    <w:p w14:paraId="7550E228">
      <w:pPr>
        <w:pStyle w:val="133"/>
      </w:pPr>
      <w:r>
        <w:rPr>
          <w:rFonts w:hint="eastAsia"/>
        </w:rPr>
        <w:t>优先级机制：</w:t>
      </w:r>
    </w:p>
    <w:p w14:paraId="3B010DA5">
      <w:pPr>
        <w:pStyle w:val="188"/>
      </w:pPr>
      <w:r>
        <w:t>空机让载重；</w:t>
      </w:r>
    </w:p>
    <w:p w14:paraId="3275492F">
      <w:pPr>
        <w:pStyle w:val="188"/>
      </w:pPr>
      <w:r>
        <w:t>满电让低电量。</w:t>
      </w:r>
    </w:p>
    <w:p w14:paraId="58856C89">
      <w:pPr>
        <w:pStyle w:val="133"/>
      </w:pPr>
      <w:r>
        <w:rPr>
          <w:rFonts w:hint="eastAsia"/>
        </w:rPr>
        <w:t>多机编号：在机身处安装多色灯源（或发光数字），宜在前、后、左、右、下方均可观察。</w:t>
      </w:r>
    </w:p>
    <w:bookmarkEnd w:id="407"/>
    <w:bookmarkEnd w:id="408"/>
    <w:bookmarkEnd w:id="409"/>
    <w:bookmarkEnd w:id="410"/>
    <w:bookmarkEnd w:id="411"/>
    <w:p w14:paraId="11A1A328">
      <w:pPr>
        <w:pStyle w:val="105"/>
        <w:spacing w:before="240" w:after="240"/>
      </w:pPr>
      <w:bookmarkStart w:id="438" w:name="_Toc200554738"/>
      <w:bookmarkStart w:id="439" w:name="_Toc200555012"/>
      <w:bookmarkStart w:id="440" w:name="_Toc200570022"/>
      <w:bookmarkStart w:id="441" w:name="_Toc200569991"/>
      <w:bookmarkStart w:id="442" w:name="_Toc201271258"/>
      <w:bookmarkStart w:id="443" w:name="_Toc201611350"/>
      <w:bookmarkStart w:id="444" w:name="_Toc201433914"/>
      <w:bookmarkStart w:id="445" w:name="_Toc201438585"/>
      <w:bookmarkStart w:id="446" w:name="_Toc201433980"/>
      <w:bookmarkStart w:id="447" w:name="_Toc201760247"/>
      <w:bookmarkStart w:id="448" w:name="_Toc201569615"/>
      <w:bookmarkStart w:id="449" w:name="_Toc201434415"/>
      <w:bookmarkStart w:id="450" w:name="_Toc201646640"/>
      <w:bookmarkStart w:id="451" w:name="_Toc200757650"/>
      <w:bookmarkStart w:id="452" w:name="_Toc201271984"/>
      <w:bookmarkStart w:id="453" w:name="_Toc201437569"/>
      <w:bookmarkStart w:id="454" w:name="_Toc201787866"/>
      <w:bookmarkStart w:id="455" w:name="_Toc200570366"/>
      <w:bookmarkStart w:id="456" w:name="_Toc200570853"/>
      <w:bookmarkStart w:id="457" w:name="_Toc201272026"/>
      <w:r>
        <w:rPr>
          <w:rFonts w:hint="eastAsia"/>
        </w:rPr>
        <w:t>安全</w:t>
      </w:r>
      <w:bookmarkEnd w:id="438"/>
      <w:bookmarkEnd w:id="439"/>
      <w:r>
        <w:rPr>
          <w:rFonts w:hint="eastAsia"/>
        </w:rPr>
        <w:t>管理</w:t>
      </w:r>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14:paraId="55518DB2">
      <w:pPr>
        <w:pStyle w:val="106"/>
        <w:spacing w:before="120" w:after="120"/>
      </w:pPr>
      <w:bookmarkStart w:id="458" w:name="_Toc201646641"/>
      <w:bookmarkStart w:id="459" w:name="_Toc201787867"/>
      <w:bookmarkStart w:id="460" w:name="_Toc201569616"/>
      <w:bookmarkStart w:id="461" w:name="_Toc201272028"/>
      <w:bookmarkStart w:id="462" w:name="_Toc201611351"/>
      <w:bookmarkStart w:id="463" w:name="_Toc201271986"/>
      <w:bookmarkStart w:id="464" w:name="_Toc201271260"/>
      <w:bookmarkStart w:id="465" w:name="_Toc201434417"/>
      <w:bookmarkStart w:id="466" w:name="_Toc201760248"/>
      <w:bookmarkStart w:id="467" w:name="_Toc201438587"/>
      <w:bookmarkStart w:id="468" w:name="_Toc201433982"/>
      <w:bookmarkStart w:id="469" w:name="_Toc201437571"/>
      <w:bookmarkStart w:id="470" w:name="_Toc201433916"/>
      <w:bookmarkStart w:id="471" w:name="_Toc200757652"/>
      <w:bookmarkStart w:id="472" w:name="_Toc201271259"/>
      <w:bookmarkStart w:id="473" w:name="_Toc201437570"/>
      <w:bookmarkStart w:id="474" w:name="_Toc200570367"/>
      <w:bookmarkStart w:id="475" w:name="_Toc201433915"/>
      <w:bookmarkStart w:id="476" w:name="_Toc201438586"/>
      <w:bookmarkStart w:id="477" w:name="_Toc201433981"/>
      <w:bookmarkStart w:id="478" w:name="_Toc200570854"/>
      <w:bookmarkStart w:id="479" w:name="_Toc201272027"/>
      <w:bookmarkStart w:id="480" w:name="_Toc201271985"/>
      <w:bookmarkStart w:id="481" w:name="_Toc201434416"/>
      <w:bookmarkStart w:id="482" w:name="_Toc200570023"/>
      <w:bookmarkStart w:id="483" w:name="_Toc200569992"/>
      <w:bookmarkStart w:id="484" w:name="_Toc200757651"/>
      <w:r>
        <w:rPr>
          <w:rFonts w:hint="eastAsia"/>
        </w:rPr>
        <w:t>处置原则</w:t>
      </w:r>
      <w:bookmarkEnd w:id="458"/>
      <w:bookmarkEnd w:id="459"/>
      <w:bookmarkEnd w:id="460"/>
      <w:bookmarkEnd w:id="461"/>
      <w:bookmarkEnd w:id="462"/>
      <w:bookmarkEnd w:id="463"/>
      <w:bookmarkEnd w:id="464"/>
      <w:bookmarkEnd w:id="465"/>
      <w:bookmarkEnd w:id="466"/>
      <w:bookmarkEnd w:id="467"/>
      <w:bookmarkEnd w:id="468"/>
      <w:bookmarkEnd w:id="469"/>
      <w:bookmarkEnd w:id="470"/>
    </w:p>
    <w:p w14:paraId="34B5CAAB">
      <w:pPr>
        <w:pStyle w:val="57"/>
        <w:ind w:firstLine="420"/>
      </w:pPr>
      <w:r>
        <w:rPr>
          <w:rFonts w:hint="eastAsia"/>
        </w:rPr>
        <w:t>宜包括以下原则：</w:t>
      </w:r>
    </w:p>
    <w:p w14:paraId="3D2CD644">
      <w:pPr>
        <w:pStyle w:val="133"/>
      </w:pPr>
      <w:r>
        <w:rPr>
          <w:rFonts w:hint="eastAsia"/>
        </w:rPr>
        <w:t>以人为本，优先保障人员安全，保证人员撤离危险区域。安全优先级为人员、公共设施、机器等。</w:t>
      </w:r>
    </w:p>
    <w:p w14:paraId="7C24C7DD">
      <w:pPr>
        <w:pStyle w:val="133"/>
      </w:pPr>
      <w:r>
        <w:rPr>
          <w:rFonts w:hint="eastAsia"/>
        </w:rPr>
        <w:t>尝试远程控制无人驾驶航空器返航或迫降，优先选择空旷地带，减少经济损失。</w:t>
      </w:r>
    </w:p>
    <w:p w14:paraId="2A146F55">
      <w:pPr>
        <w:pStyle w:val="133"/>
      </w:pPr>
      <w:r>
        <w:rPr>
          <w:rFonts w:hint="eastAsia"/>
        </w:rPr>
        <w:t>物资脱落时，应立即划定警戒区，准备消防救援器材施救，启动保险程序，处理善后。</w:t>
      </w:r>
    </w:p>
    <w:p w14:paraId="6CFFE811">
      <w:pPr>
        <w:pStyle w:val="133"/>
      </w:pPr>
      <w:r>
        <w:rPr>
          <w:rFonts w:hint="eastAsia"/>
        </w:rPr>
        <w:t>无人驾驶航空器触碰高压电线（挂置线上），造成停电时或有损失（伤害）时应联系电网部门派出专业进行施救。</w:t>
      </w:r>
    </w:p>
    <w:p w14:paraId="3076CC5D">
      <w:pPr>
        <w:pStyle w:val="133"/>
      </w:pPr>
      <w:r>
        <w:rPr>
          <w:rFonts w:hint="eastAsia"/>
        </w:rPr>
        <w:t>若发生无人驾驶航空器伤人事故，第一时间救人，同时联系卫生、应急救援部门施救。</w:t>
      </w:r>
    </w:p>
    <w:p w14:paraId="588ACCBF">
      <w:pPr>
        <w:pStyle w:val="106"/>
        <w:spacing w:before="120" w:after="120"/>
      </w:pPr>
      <w:bookmarkStart w:id="485" w:name="_Toc201271261"/>
      <w:bookmarkStart w:id="486" w:name="_Toc201433917"/>
      <w:bookmarkStart w:id="487" w:name="_Toc201438588"/>
      <w:bookmarkStart w:id="488" w:name="_Toc201434418"/>
      <w:bookmarkStart w:id="489" w:name="_Toc201760249"/>
      <w:bookmarkStart w:id="490" w:name="_Toc201433983"/>
      <w:bookmarkStart w:id="491" w:name="_Toc201272029"/>
      <w:bookmarkStart w:id="492" w:name="_Toc201646642"/>
      <w:bookmarkStart w:id="493" w:name="_Toc201611352"/>
      <w:bookmarkStart w:id="494" w:name="_Toc201569617"/>
      <w:bookmarkStart w:id="495" w:name="_Toc201437572"/>
      <w:bookmarkStart w:id="496" w:name="_Toc201787868"/>
      <w:bookmarkStart w:id="497" w:name="_Toc201271987"/>
      <w:r>
        <w:rPr>
          <w:rFonts w:hint="eastAsia"/>
        </w:rPr>
        <w:t>安全宣导</w:t>
      </w:r>
      <w:bookmarkEnd w:id="471"/>
      <w:bookmarkEnd w:id="485"/>
      <w:bookmarkEnd w:id="486"/>
      <w:bookmarkEnd w:id="487"/>
      <w:bookmarkEnd w:id="488"/>
      <w:bookmarkEnd w:id="489"/>
      <w:bookmarkEnd w:id="490"/>
      <w:bookmarkEnd w:id="491"/>
      <w:bookmarkEnd w:id="492"/>
      <w:bookmarkEnd w:id="493"/>
      <w:bookmarkEnd w:id="494"/>
      <w:bookmarkEnd w:id="495"/>
      <w:bookmarkEnd w:id="496"/>
      <w:bookmarkEnd w:id="497"/>
    </w:p>
    <w:p w14:paraId="5FDDA7BB">
      <w:pPr>
        <w:pStyle w:val="57"/>
        <w:ind w:firstLine="420"/>
      </w:pPr>
      <w:r>
        <w:rPr>
          <w:rFonts w:hint="eastAsia"/>
        </w:rPr>
        <w:t>应对作业人员开展以下安全宣导：</w:t>
      </w:r>
    </w:p>
    <w:p w14:paraId="5578A3CC">
      <w:pPr>
        <w:pStyle w:val="133"/>
      </w:pPr>
      <w:r>
        <w:rPr>
          <w:rFonts w:hint="eastAsia"/>
        </w:rPr>
        <w:t>应选择白天作业，若夜间作业应在每个人身上配戴强光警示灯，农用无人驾驶航空器上安装高亮度照明灯，装卸货点区域打开范光灯；</w:t>
      </w:r>
    </w:p>
    <w:p w14:paraId="1030B469">
      <w:pPr>
        <w:pStyle w:val="133"/>
      </w:pPr>
      <w:r>
        <w:rPr>
          <w:rFonts w:hint="eastAsia"/>
        </w:rPr>
        <w:t>作业人员全程佩戴安全帽、反光衣；</w:t>
      </w:r>
    </w:p>
    <w:p w14:paraId="3785D7D1">
      <w:pPr>
        <w:pStyle w:val="133"/>
      </w:pPr>
      <w:r>
        <w:rPr>
          <w:rFonts w:hint="eastAsia"/>
        </w:rPr>
        <w:t>对作业人员培训对讲机的使用，确定对讲机频道和通话测试，待发出指令后再操作等；</w:t>
      </w:r>
    </w:p>
    <w:p w14:paraId="24B54531">
      <w:pPr>
        <w:pStyle w:val="133"/>
      </w:pPr>
      <w:r>
        <w:rPr>
          <w:rFonts w:hint="eastAsia"/>
        </w:rPr>
        <w:t>对作业人员开展培训指令用语、手势等，统一口令和手势，内容包括上升、下降、左右移动、悬停、注意、危险、投放、完毕等，手势动作对照表见附录G；</w:t>
      </w:r>
    </w:p>
    <w:p w14:paraId="592C4197">
      <w:pPr>
        <w:pStyle w:val="133"/>
      </w:pPr>
      <w:r>
        <w:rPr>
          <w:rFonts w:hint="eastAsia"/>
        </w:rPr>
        <w:t>对作业人员培训挂钩技巧、上货步骤、脱钩方法及注意事项等；</w:t>
      </w:r>
    </w:p>
    <w:p w14:paraId="11DD2110">
      <w:pPr>
        <w:pStyle w:val="133"/>
      </w:pPr>
      <w:r>
        <w:rPr>
          <w:rFonts w:hint="eastAsia"/>
        </w:rPr>
        <w:t>对作业人员开展应急培训，如保持安全距离、紧急避险操作、等；</w:t>
      </w:r>
    </w:p>
    <w:p w14:paraId="6B4A292B">
      <w:pPr>
        <w:pStyle w:val="133"/>
      </w:pPr>
      <w:r>
        <w:rPr>
          <w:rFonts w:hint="eastAsia"/>
        </w:rPr>
        <w:t>吊运作业过程中更换地勤或辅助人员时应进行交接程序；</w:t>
      </w:r>
    </w:p>
    <w:p w14:paraId="171A45F8">
      <w:pPr>
        <w:pStyle w:val="133"/>
      </w:pPr>
      <w:r>
        <w:rPr>
          <w:rFonts w:hint="eastAsia"/>
        </w:rPr>
        <w:t>设置安全作业区，在作业区域摆放锥形桶和正在作业等告示牌。</w:t>
      </w:r>
    </w:p>
    <w:p w14:paraId="00FCF1C7">
      <w:pPr>
        <w:pStyle w:val="106"/>
        <w:spacing w:before="120" w:after="120"/>
      </w:pPr>
      <w:bookmarkStart w:id="498" w:name="_Toc201611353"/>
      <w:bookmarkStart w:id="499" w:name="_Toc201569618"/>
      <w:bookmarkStart w:id="500" w:name="_Toc201787869"/>
      <w:bookmarkStart w:id="501" w:name="_Toc201760250"/>
      <w:bookmarkStart w:id="502" w:name="_Toc201646643"/>
      <w:r>
        <w:rPr>
          <w:rFonts w:hint="eastAsia"/>
        </w:rPr>
        <w:t>应急处理</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98"/>
      <w:bookmarkEnd w:id="499"/>
      <w:bookmarkEnd w:id="500"/>
      <w:bookmarkEnd w:id="501"/>
      <w:bookmarkEnd w:id="502"/>
    </w:p>
    <w:p w14:paraId="02D41445">
      <w:pPr>
        <w:pStyle w:val="57"/>
        <w:ind w:firstLine="420"/>
      </w:pPr>
      <w:r>
        <w:rPr>
          <w:rFonts w:hint="eastAsia"/>
        </w:rPr>
        <w:t>包括但不限于：无人驾驶航空器失控(信号丢失、动力故障)、吊运物资脱落、人员受伤、设备起火/碰撞等。各应急处理如下：</w:t>
      </w:r>
    </w:p>
    <w:p w14:paraId="1D1A5EA8">
      <w:pPr>
        <w:pStyle w:val="133"/>
      </w:pPr>
      <w:r>
        <w:rPr>
          <w:rFonts w:hint="eastAsia"/>
        </w:rPr>
        <w:t>遥控器失联：无人驾驶航空器自动悬停→返航→迫降（按优先级执行）；</w:t>
      </w:r>
    </w:p>
    <w:p w14:paraId="17AE0BDD">
      <w:pPr>
        <w:pStyle w:val="133"/>
      </w:pPr>
      <w:r>
        <w:rPr>
          <w:rFonts w:hint="eastAsia"/>
        </w:rPr>
        <w:t>空中单电机失效：启动冗余动力模式，紧急返航或选择安全区域迫降，避重就轻减少损失和伤害；</w:t>
      </w:r>
    </w:p>
    <w:p w14:paraId="4DB4840B">
      <w:pPr>
        <w:pStyle w:val="133"/>
      </w:pPr>
      <w:r>
        <w:rPr>
          <w:rFonts w:hint="eastAsia"/>
        </w:rPr>
        <w:t>单元故障：在多机作业场景中，若其中某一单元有机器故障、人员变动、突发情况时，应自动退出预定航线安全降落，排查故障，同时向总指挥（调度）员报告，其他单元自动调整平均间距，故障排除后申请复飞，由总指挥员伺机安排加入编队；</w:t>
      </w:r>
    </w:p>
    <w:p w14:paraId="0B09EAA7">
      <w:pPr>
        <w:pStyle w:val="133"/>
      </w:pPr>
      <w:r>
        <w:rPr>
          <w:rFonts w:hint="eastAsia"/>
        </w:rPr>
        <w:t>高海拔地区作业时，在3</w:t>
      </w:r>
      <w:r>
        <w:rPr>
          <w:rFonts w:hint="eastAsia"/>
          <w:vertAlign w:val="superscript"/>
        </w:rPr>
        <w:t xml:space="preserve"> </w:t>
      </w:r>
      <w:r>
        <w:rPr>
          <w:rFonts w:hint="eastAsia"/>
        </w:rPr>
        <w:t>000</w:t>
      </w:r>
      <w:r>
        <w:rPr>
          <w:rFonts w:hint="eastAsia"/>
          <w:vertAlign w:val="superscript"/>
        </w:rPr>
        <w:t xml:space="preserve"> </w:t>
      </w:r>
      <w:r>
        <w:rPr>
          <w:rFonts w:hint="eastAsia"/>
        </w:rPr>
        <w:t>m以上载重应减少40％，在5</w:t>
      </w:r>
      <w:r>
        <w:rPr>
          <w:rFonts w:hint="eastAsia"/>
          <w:vertAlign w:val="superscript"/>
        </w:rPr>
        <w:t xml:space="preserve"> </w:t>
      </w:r>
      <w:r>
        <w:rPr>
          <w:rFonts w:hint="eastAsia"/>
        </w:rPr>
        <w:t>000</w:t>
      </w:r>
      <w:r>
        <w:rPr>
          <w:rFonts w:hint="eastAsia"/>
          <w:vertAlign w:val="superscript"/>
        </w:rPr>
        <w:t xml:space="preserve"> </w:t>
      </w:r>
      <w:r>
        <w:rPr>
          <w:rFonts w:hint="eastAsia"/>
        </w:rPr>
        <w:t>m以上载重应减少50％；</w:t>
      </w:r>
    </w:p>
    <w:p w14:paraId="167BBDD5">
      <w:pPr>
        <w:pStyle w:val="133"/>
      </w:pPr>
      <w:r>
        <w:rPr>
          <w:rFonts w:hint="eastAsia"/>
        </w:rPr>
        <w:t>载荷脱落：返航检查，损失评估，回收损件，处理善后；</w:t>
      </w:r>
    </w:p>
    <w:p w14:paraId="242E5635">
      <w:pPr>
        <w:pStyle w:val="133"/>
      </w:pPr>
      <w:r>
        <w:rPr>
          <w:rFonts w:hint="eastAsia"/>
        </w:rPr>
        <w:t>动力电池故障：严禁上机。动力电池电量低时，应参考系统指示极限值，调整载重；</w:t>
      </w:r>
    </w:p>
    <w:p w14:paraId="042D85A6">
      <w:pPr>
        <w:widowControl/>
        <w:numPr>
          <w:ilvl w:val="0"/>
          <w:numId w:val="21"/>
        </w:numPr>
        <w:adjustRightInd/>
        <w:spacing w:line="240" w:lineRule="auto"/>
        <w:jc w:val="left"/>
        <w:rPr>
          <w:rFonts w:ascii="宋体" w:hAnsi="Times New Roman"/>
          <w:kern w:val="0"/>
          <w:szCs w:val="20"/>
        </w:rPr>
      </w:pPr>
      <w:r>
        <w:rPr>
          <w:rFonts w:hint="eastAsia" w:ascii="宋体" w:hAnsi="Times New Roman"/>
          <w:kern w:val="0"/>
          <w:szCs w:val="20"/>
        </w:rPr>
        <w:t>电量报警：设置低电量警告值为30％，严重低电量警告值为5％；若剩余电量≤30％时，应规划电池更换时机；若剩余电量≤20％时，应立即返航至起降点更换电池；若返航途中电量进一步降低（≤5％），应就近避开障碍物平坦区域迫降，将损失降到最低；</w:t>
      </w:r>
    </w:p>
    <w:p w14:paraId="20ADE577">
      <w:pPr>
        <w:pStyle w:val="133"/>
      </w:pPr>
      <w:r>
        <w:rPr>
          <w:rFonts w:hint="eastAsia"/>
        </w:rPr>
        <w:t>吊绳缠绕障碍物无法摆脱：优先确保周边人员安全情况下，避开高价值损失，立即启动紧急释放装置，进行抛投；</w:t>
      </w:r>
    </w:p>
    <w:p w14:paraId="4A48DCE2">
      <w:pPr>
        <w:pStyle w:val="133"/>
      </w:pPr>
      <w:r>
        <w:rPr>
          <w:rFonts w:hint="eastAsia"/>
        </w:rPr>
        <w:t>吊装物脱落：立即启动避让程序，地面人员划定警戒区；</w:t>
      </w:r>
    </w:p>
    <w:p w14:paraId="3FAE0119">
      <w:pPr>
        <w:pStyle w:val="133"/>
      </w:pPr>
      <w:r>
        <w:rPr>
          <w:rFonts w:hint="eastAsia"/>
        </w:rPr>
        <w:t>突发强风（＞13</w:t>
      </w:r>
      <w:r>
        <w:rPr>
          <w:rFonts w:hint="eastAsia"/>
          <w:vertAlign w:val="superscript"/>
        </w:rPr>
        <w:t xml:space="preserve"> </w:t>
      </w:r>
      <w:r>
        <w:rPr>
          <w:rFonts w:hint="eastAsia"/>
        </w:rPr>
        <w:t>m/s）等情况，应降低高度、暂停作业、就近迫降，优先考虑无人驾驶航空器安全，险情解除后在条件允许时再复飞</w:t>
      </w:r>
    </w:p>
    <w:p w14:paraId="684EB9B5">
      <w:pPr>
        <w:pStyle w:val="133"/>
      </w:pPr>
      <w:r>
        <w:rPr>
          <w:rFonts w:hint="eastAsia"/>
        </w:rPr>
        <w:t>外界干扰：当车辆、人员、动物等闯入装卸货点安全区内时，应立即暂停作业，驾驶员操控无人驾驶航空器悬停于安全高度（≥5</w:t>
      </w:r>
      <w:r>
        <w:rPr>
          <w:rFonts w:hint="eastAsia"/>
          <w:vertAlign w:val="superscript"/>
        </w:rPr>
        <w:t xml:space="preserve"> </w:t>
      </w:r>
      <w:r>
        <w:rPr>
          <w:rFonts w:hint="eastAsia"/>
        </w:rPr>
        <w:t>m），待地勤、辅助人员劝离完毕，确认安全并向驾驶员给出指令后恢复作业程序；若动力能量消耗殆尽时，就近避开障碍物安全区域降落。</w:t>
      </w:r>
    </w:p>
    <w:p w14:paraId="22FED6B9">
      <w:pPr>
        <w:pStyle w:val="105"/>
        <w:spacing w:before="240" w:after="240"/>
      </w:pPr>
      <w:bookmarkStart w:id="503" w:name="_Toc201271262"/>
      <w:bookmarkStart w:id="504" w:name="_Toc201271988"/>
      <w:bookmarkStart w:id="505" w:name="_Toc201272030"/>
      <w:bookmarkStart w:id="506" w:name="_Toc201433918"/>
      <w:bookmarkStart w:id="507" w:name="_Toc201433984"/>
      <w:bookmarkStart w:id="508" w:name="_Toc201434419"/>
      <w:bookmarkStart w:id="509" w:name="_Toc201611354"/>
      <w:bookmarkStart w:id="510" w:name="_Toc201569619"/>
      <w:bookmarkStart w:id="511" w:name="_Toc201787870"/>
      <w:bookmarkStart w:id="512" w:name="_Toc201760251"/>
      <w:bookmarkStart w:id="513" w:name="_Toc201438589"/>
      <w:bookmarkStart w:id="514" w:name="_Toc201437573"/>
      <w:bookmarkStart w:id="515" w:name="_Toc201646644"/>
      <w:bookmarkStart w:id="516" w:name="_Toc200555015"/>
      <w:bookmarkStart w:id="517" w:name="_Toc200570862"/>
      <w:bookmarkStart w:id="518" w:name="_Toc200554741"/>
      <w:bookmarkStart w:id="519" w:name="_Toc200757655"/>
      <w:bookmarkStart w:id="520" w:name="_Toc200570031"/>
      <w:bookmarkStart w:id="521" w:name="_Toc200570000"/>
      <w:bookmarkStart w:id="522" w:name="_Toc200570375"/>
      <w:r>
        <w:rPr>
          <w:rFonts w:hint="eastAsia"/>
        </w:rPr>
        <w:t>维护与保养</w:t>
      </w:r>
      <w:bookmarkEnd w:id="503"/>
      <w:bookmarkEnd w:id="504"/>
      <w:bookmarkEnd w:id="505"/>
      <w:bookmarkEnd w:id="506"/>
      <w:bookmarkEnd w:id="507"/>
      <w:bookmarkEnd w:id="508"/>
      <w:bookmarkEnd w:id="509"/>
      <w:bookmarkEnd w:id="510"/>
      <w:bookmarkEnd w:id="511"/>
      <w:bookmarkEnd w:id="512"/>
      <w:bookmarkEnd w:id="513"/>
      <w:bookmarkEnd w:id="514"/>
      <w:bookmarkEnd w:id="515"/>
    </w:p>
    <w:p w14:paraId="258041FD">
      <w:pPr>
        <w:pStyle w:val="106"/>
        <w:spacing w:before="120" w:after="120"/>
      </w:pPr>
      <w:bookmarkStart w:id="523" w:name="_Toc201271989"/>
      <w:bookmarkStart w:id="524" w:name="_Toc201569620"/>
      <w:bookmarkStart w:id="525" w:name="_Toc201646645"/>
      <w:bookmarkStart w:id="526" w:name="_Toc201434420"/>
      <w:bookmarkStart w:id="527" w:name="_Toc201760252"/>
      <w:bookmarkStart w:id="528" w:name="_Toc201272031"/>
      <w:bookmarkStart w:id="529" w:name="_Toc201611355"/>
      <w:bookmarkStart w:id="530" w:name="_Toc201787871"/>
      <w:bookmarkStart w:id="531" w:name="_Toc201433985"/>
      <w:bookmarkStart w:id="532" w:name="_Toc201433919"/>
      <w:bookmarkStart w:id="533" w:name="_Toc201437574"/>
      <w:bookmarkStart w:id="534" w:name="_Toc201438590"/>
      <w:bookmarkStart w:id="535" w:name="_Toc201271263"/>
      <w:r>
        <w:rPr>
          <w:rFonts w:hint="eastAsia"/>
        </w:rPr>
        <w:t>日常维护</w:t>
      </w:r>
      <w:bookmarkEnd w:id="523"/>
      <w:bookmarkEnd w:id="524"/>
      <w:bookmarkEnd w:id="525"/>
      <w:bookmarkEnd w:id="526"/>
      <w:bookmarkEnd w:id="527"/>
      <w:bookmarkEnd w:id="528"/>
      <w:bookmarkEnd w:id="529"/>
      <w:bookmarkEnd w:id="530"/>
      <w:bookmarkEnd w:id="531"/>
      <w:bookmarkEnd w:id="532"/>
      <w:bookmarkEnd w:id="533"/>
      <w:bookmarkEnd w:id="534"/>
      <w:bookmarkEnd w:id="535"/>
    </w:p>
    <w:p w14:paraId="44704507">
      <w:pPr>
        <w:pStyle w:val="166"/>
      </w:pPr>
      <w:r>
        <w:rPr>
          <w:rFonts w:hint="eastAsia"/>
        </w:rPr>
        <w:t>保持电池插口与分电板清洁。</w:t>
      </w:r>
    </w:p>
    <w:p w14:paraId="2214E746">
      <w:pPr>
        <w:pStyle w:val="166"/>
      </w:pPr>
      <w:r>
        <w:rPr>
          <w:rFonts w:hint="eastAsia"/>
        </w:rPr>
        <w:t>检查机臂卡扣、桨夹、垫片、桨叶等，并及时更换变形、破损物料。</w:t>
      </w:r>
    </w:p>
    <w:p w14:paraId="16F93815">
      <w:pPr>
        <w:pStyle w:val="166"/>
      </w:pPr>
      <w:r>
        <w:rPr>
          <w:rFonts w:hint="eastAsia"/>
        </w:rPr>
        <w:t>传感器以及遥控器故障报错等排查。</w:t>
      </w:r>
    </w:p>
    <w:p w14:paraId="71E93453">
      <w:pPr>
        <w:pStyle w:val="106"/>
        <w:spacing w:before="120" w:after="120"/>
      </w:pPr>
      <w:bookmarkStart w:id="536" w:name="_Toc201787872"/>
      <w:bookmarkStart w:id="537" w:name="_Toc201760253"/>
      <w:bookmarkStart w:id="538" w:name="_Toc201271264"/>
      <w:bookmarkStart w:id="539" w:name="_Toc201437575"/>
      <w:bookmarkStart w:id="540" w:name="_Toc201438591"/>
      <w:bookmarkStart w:id="541" w:name="_Toc201434421"/>
      <w:bookmarkStart w:id="542" w:name="_Toc201611356"/>
      <w:bookmarkStart w:id="543" w:name="_Toc201272032"/>
      <w:bookmarkStart w:id="544" w:name="_Toc201271990"/>
      <w:bookmarkStart w:id="545" w:name="_Toc201646646"/>
      <w:bookmarkStart w:id="546" w:name="_Toc201569621"/>
      <w:bookmarkStart w:id="547" w:name="_Toc201433920"/>
      <w:bookmarkStart w:id="548" w:name="_Toc201433986"/>
      <w:r>
        <w:rPr>
          <w:rFonts w:hint="eastAsia"/>
        </w:rPr>
        <w:t>吊运系统检查</w:t>
      </w:r>
      <w:bookmarkEnd w:id="536"/>
      <w:bookmarkEnd w:id="537"/>
      <w:bookmarkEnd w:id="538"/>
      <w:bookmarkEnd w:id="539"/>
      <w:bookmarkEnd w:id="540"/>
      <w:bookmarkEnd w:id="541"/>
      <w:bookmarkEnd w:id="542"/>
      <w:bookmarkEnd w:id="543"/>
      <w:bookmarkEnd w:id="544"/>
      <w:bookmarkEnd w:id="545"/>
      <w:bookmarkEnd w:id="546"/>
      <w:bookmarkEnd w:id="547"/>
      <w:bookmarkEnd w:id="548"/>
    </w:p>
    <w:p w14:paraId="1A8944EC">
      <w:pPr>
        <w:pStyle w:val="166"/>
      </w:pPr>
      <w:r>
        <w:rPr>
          <w:rFonts w:hint="eastAsia"/>
        </w:rPr>
        <w:t>开展吊运系统锁扣、挂钩检查；</w:t>
      </w:r>
    </w:p>
    <w:p w14:paraId="1F25D373">
      <w:pPr>
        <w:pStyle w:val="166"/>
      </w:pPr>
      <w:r>
        <w:rPr>
          <w:rFonts w:hint="eastAsia"/>
        </w:rPr>
        <w:t>开展绳索磨损情况检查，更换绳子时宜选择直径＞6</w:t>
      </w:r>
      <w:r>
        <w:rPr>
          <w:vertAlign w:val="superscript"/>
        </w:rPr>
        <w:t xml:space="preserve"> </w:t>
      </w:r>
      <w:r>
        <w:rPr>
          <w:rFonts w:hint="eastAsia"/>
        </w:rPr>
        <w:t>mm，重量＞500</w:t>
      </w:r>
      <w:r>
        <w:rPr>
          <w:vertAlign w:val="superscript"/>
        </w:rPr>
        <w:t xml:space="preserve"> </w:t>
      </w:r>
      <w:r>
        <w:rPr>
          <w:rFonts w:hint="eastAsia"/>
        </w:rPr>
        <w:t>g，长度8</w:t>
      </w:r>
      <w:r>
        <w:rPr>
          <w:vertAlign w:val="superscript"/>
        </w:rPr>
        <w:t xml:space="preserve"> </w:t>
      </w:r>
      <w:r>
        <w:rPr>
          <w:rFonts w:hint="eastAsia"/>
        </w:rPr>
        <w:t>m～15</w:t>
      </w:r>
      <w:r>
        <w:rPr>
          <w:vertAlign w:val="superscript"/>
        </w:rPr>
        <w:t xml:space="preserve"> </w:t>
      </w:r>
      <w:r>
        <w:rPr>
          <w:rFonts w:hint="eastAsia"/>
        </w:rPr>
        <w:t>m，拉力强度＞6倍载重的绳子；</w:t>
      </w:r>
    </w:p>
    <w:p w14:paraId="092DA1B9">
      <w:pPr>
        <w:pStyle w:val="166"/>
      </w:pPr>
      <w:r>
        <w:rPr>
          <w:rFonts w:hint="eastAsia"/>
        </w:rPr>
        <w:t>发现设备故障应随时排除，宜每50</w:t>
      </w:r>
      <w:r>
        <w:rPr>
          <w:vertAlign w:val="superscript"/>
        </w:rPr>
        <w:t xml:space="preserve"> </w:t>
      </w:r>
      <w:r>
        <w:rPr>
          <w:rFonts w:hint="eastAsia"/>
        </w:rPr>
        <w:t>h要更换充电站润滑油，吊运系统宜每100</w:t>
      </w:r>
      <w:r>
        <w:rPr>
          <w:vertAlign w:val="superscript"/>
        </w:rPr>
        <w:t xml:space="preserve"> </w:t>
      </w:r>
      <w:r>
        <w:rPr>
          <w:rFonts w:hint="eastAsia"/>
        </w:rPr>
        <w:t>h进行全功能性能测试，具体按生产厂家标准执行。</w:t>
      </w:r>
    </w:p>
    <w:p w14:paraId="36A1D980">
      <w:pPr>
        <w:pStyle w:val="106"/>
        <w:spacing w:before="120" w:after="120"/>
      </w:pPr>
      <w:bookmarkStart w:id="549" w:name="_Toc201611357"/>
      <w:bookmarkStart w:id="550" w:name="_Toc201271991"/>
      <w:bookmarkStart w:id="551" w:name="_Toc201433921"/>
      <w:bookmarkStart w:id="552" w:name="_Toc201437576"/>
      <w:bookmarkStart w:id="553" w:name="_Toc201272033"/>
      <w:bookmarkStart w:id="554" w:name="_Toc201271265"/>
      <w:bookmarkStart w:id="555" w:name="_Toc201646647"/>
      <w:bookmarkStart w:id="556" w:name="_Toc201787873"/>
      <w:bookmarkStart w:id="557" w:name="_Toc201438592"/>
      <w:bookmarkStart w:id="558" w:name="_Toc201569622"/>
      <w:bookmarkStart w:id="559" w:name="_Toc201433987"/>
      <w:bookmarkStart w:id="560" w:name="_Toc201760254"/>
      <w:bookmarkStart w:id="561" w:name="_Toc201434422"/>
      <w:r>
        <w:rPr>
          <w:rFonts w:hint="eastAsia"/>
        </w:rPr>
        <w:t>电池管理</w:t>
      </w:r>
      <w:bookmarkEnd w:id="549"/>
      <w:bookmarkEnd w:id="550"/>
      <w:bookmarkEnd w:id="551"/>
      <w:bookmarkEnd w:id="552"/>
      <w:bookmarkEnd w:id="553"/>
      <w:bookmarkEnd w:id="554"/>
      <w:bookmarkEnd w:id="555"/>
      <w:bookmarkEnd w:id="556"/>
      <w:bookmarkEnd w:id="557"/>
      <w:bookmarkEnd w:id="558"/>
      <w:bookmarkEnd w:id="559"/>
      <w:bookmarkEnd w:id="560"/>
      <w:bookmarkEnd w:id="561"/>
    </w:p>
    <w:p w14:paraId="7A21CC2D">
      <w:pPr>
        <w:pStyle w:val="166"/>
      </w:pPr>
      <w:r>
        <w:rPr>
          <w:rFonts w:hint="eastAsia"/>
        </w:rPr>
        <w:t>电池电量≤30％时更换满电电池；</w:t>
      </w:r>
    </w:p>
    <w:p w14:paraId="7DA2E1E4">
      <w:pPr>
        <w:pStyle w:val="166"/>
      </w:pPr>
      <w:r>
        <w:rPr>
          <w:rFonts w:hint="eastAsia"/>
        </w:rPr>
        <w:t>充电环境温度10℃～30℃为宜，电池温度不应超过80℃，单电芯压差≤0.2</w:t>
      </w:r>
      <w:r>
        <w:rPr>
          <w:color w:val="0000FF"/>
          <w:vertAlign w:val="superscript"/>
        </w:rPr>
        <w:t xml:space="preserve"> </w:t>
      </w:r>
      <w:r>
        <w:rPr>
          <w:rFonts w:hint="eastAsia"/>
        </w:rPr>
        <w:t>V，循环次数≥2</w:t>
      </w:r>
      <w:r>
        <w:rPr>
          <w:color w:val="0000FF"/>
          <w:vertAlign w:val="superscript"/>
        </w:rPr>
        <w:t xml:space="preserve"> </w:t>
      </w:r>
      <w:r>
        <w:rPr>
          <w:rFonts w:hint="eastAsia"/>
        </w:rPr>
        <w:t>000次，电量衰减</w:t>
      </w:r>
      <w:r>
        <w:rPr>
          <w:rFonts w:hint="eastAsia"/>
          <w:color w:val="0000FF"/>
        </w:rPr>
        <w:t>＞</w:t>
      </w:r>
      <w:r>
        <w:rPr>
          <w:rFonts w:hint="eastAsia"/>
        </w:rPr>
        <w:t>30％应退役。</w:t>
      </w:r>
    </w:p>
    <w:p w14:paraId="6CC0D84B">
      <w:pPr>
        <w:pStyle w:val="105"/>
        <w:spacing w:before="240" w:after="240"/>
      </w:pPr>
      <w:bookmarkStart w:id="562" w:name="_Toc201437577"/>
      <w:bookmarkStart w:id="563" w:name="_Toc201569623"/>
      <w:bookmarkStart w:id="564" w:name="_Toc201787874"/>
      <w:bookmarkStart w:id="565" w:name="_Toc201433922"/>
      <w:bookmarkStart w:id="566" w:name="_Toc201271992"/>
      <w:bookmarkStart w:id="567" w:name="_Toc201433988"/>
      <w:bookmarkStart w:id="568" w:name="_Toc201611358"/>
      <w:bookmarkStart w:id="569" w:name="_Toc201434423"/>
      <w:bookmarkStart w:id="570" w:name="_Toc201438593"/>
      <w:bookmarkStart w:id="571" w:name="_Toc201760255"/>
      <w:bookmarkStart w:id="572" w:name="_Toc201271266"/>
      <w:bookmarkStart w:id="573" w:name="_Toc201272034"/>
      <w:bookmarkStart w:id="574" w:name="_Toc201646648"/>
      <w:r>
        <w:rPr>
          <w:rFonts w:hint="eastAsia"/>
        </w:rPr>
        <w:t>档案管理</w:t>
      </w:r>
      <w:bookmarkEnd w:id="516"/>
      <w:bookmarkEnd w:id="517"/>
      <w:bookmarkEnd w:id="518"/>
      <w:bookmarkEnd w:id="519"/>
      <w:bookmarkEnd w:id="520"/>
      <w:bookmarkEnd w:id="521"/>
      <w:bookmarkEnd w:id="522"/>
      <w:bookmarkEnd w:id="562"/>
      <w:bookmarkEnd w:id="563"/>
      <w:bookmarkEnd w:id="564"/>
      <w:bookmarkEnd w:id="565"/>
      <w:bookmarkEnd w:id="566"/>
      <w:bookmarkEnd w:id="567"/>
      <w:bookmarkEnd w:id="568"/>
      <w:bookmarkEnd w:id="569"/>
      <w:bookmarkEnd w:id="570"/>
      <w:bookmarkEnd w:id="571"/>
      <w:bookmarkEnd w:id="572"/>
      <w:bookmarkEnd w:id="573"/>
      <w:bookmarkEnd w:id="574"/>
    </w:p>
    <w:p w14:paraId="3D36A7D0">
      <w:pPr>
        <w:pStyle w:val="57"/>
        <w:ind w:firstLine="420"/>
      </w:pPr>
      <w:r>
        <w:rPr>
          <w:rFonts w:hint="eastAsia"/>
        </w:rPr>
        <w:t>作业单位应建立完整的作业档案，做好农用无人驾驶航空器设备点检，保存飞行任务验收单，做好作业数据上传保存，作业档案至少保存3年。</w:t>
      </w:r>
    </w:p>
    <w:p w14:paraId="74D0A60F">
      <w:pPr>
        <w:pStyle w:val="57"/>
        <w:ind w:firstLine="0" w:firstLineChars="0"/>
        <w:jc w:val="center"/>
      </w:pPr>
    </w:p>
    <w:p w14:paraId="22A88606">
      <w:pPr>
        <w:pStyle w:val="57"/>
        <w:ind w:firstLine="0" w:firstLineChars="0"/>
        <w:jc w:val="center"/>
        <w:sectPr>
          <w:headerReference r:id="rId23" w:type="default"/>
          <w:footerReference r:id="rId25" w:type="default"/>
          <w:headerReference r:id="rId24" w:type="even"/>
          <w:footerReference r:id="rId26" w:type="even"/>
          <w:pgSz w:w="11906" w:h="16838"/>
          <w:pgMar w:top="1928" w:right="1134" w:bottom="1134" w:left="1134" w:header="1418" w:footer="1134" w:gutter="284"/>
          <w:pgNumType w:start="1"/>
          <w:cols w:space="425" w:num="1"/>
          <w:formProt w:val="0"/>
          <w:docGrid w:linePitch="312" w:charSpace="0"/>
        </w:sectPr>
      </w:pPr>
    </w:p>
    <w:bookmarkEnd w:id="70"/>
    <w:p w14:paraId="4DCF03D5">
      <w:pPr>
        <w:pStyle w:val="199"/>
      </w:pPr>
      <w:bookmarkStart w:id="575" w:name="BookMark5"/>
    </w:p>
    <w:p w14:paraId="19D2E9A2">
      <w:pPr>
        <w:pStyle w:val="200"/>
      </w:pPr>
    </w:p>
    <w:p w14:paraId="4B59AADE">
      <w:pPr>
        <w:pStyle w:val="77"/>
        <w:spacing w:after="120"/>
      </w:pPr>
      <w:r>
        <w:br w:type="textWrapping"/>
      </w:r>
      <w:bookmarkStart w:id="576" w:name="_Toc201271267"/>
      <w:bookmarkStart w:id="577" w:name="_Toc201272035"/>
      <w:bookmarkStart w:id="578" w:name="_Toc201433923"/>
      <w:bookmarkStart w:id="579" w:name="_Toc201760256"/>
      <w:bookmarkStart w:id="580" w:name="_Toc201433989"/>
      <w:bookmarkStart w:id="581" w:name="_Toc201569624"/>
      <w:bookmarkStart w:id="582" w:name="_Toc201646649"/>
      <w:bookmarkStart w:id="583" w:name="_Toc201611359"/>
      <w:bookmarkStart w:id="584" w:name="_Toc201437578"/>
      <w:bookmarkStart w:id="585" w:name="_Toc201434424"/>
      <w:bookmarkStart w:id="586" w:name="_Toc201438594"/>
      <w:bookmarkStart w:id="587" w:name="_Toc201787875"/>
      <w:bookmarkStart w:id="588" w:name="_Toc201271993"/>
      <w:r>
        <w:rPr>
          <w:rFonts w:hint="eastAsia"/>
        </w:rPr>
        <w:t>（资料性）</w:t>
      </w:r>
      <w:r>
        <w:br w:type="textWrapping"/>
      </w:r>
      <w:r>
        <w:rPr>
          <w:rFonts w:hint="eastAsia"/>
        </w:rPr>
        <w:t>一种无人机抛投装置示例图</w:t>
      </w:r>
      <w:bookmarkEnd w:id="576"/>
      <w:bookmarkEnd w:id="577"/>
      <w:bookmarkEnd w:id="578"/>
      <w:bookmarkEnd w:id="579"/>
      <w:bookmarkEnd w:id="580"/>
      <w:bookmarkEnd w:id="581"/>
      <w:bookmarkEnd w:id="582"/>
      <w:bookmarkEnd w:id="583"/>
      <w:bookmarkEnd w:id="584"/>
      <w:bookmarkEnd w:id="585"/>
      <w:bookmarkEnd w:id="586"/>
      <w:bookmarkEnd w:id="587"/>
      <w:bookmarkEnd w:id="588"/>
    </w:p>
    <w:p w14:paraId="49FCD745">
      <w:pPr>
        <w:pStyle w:val="57"/>
        <w:ind w:firstLine="420"/>
      </w:pPr>
      <w:r>
        <w:rPr>
          <w:rFonts w:hint="eastAsia"/>
        </w:rPr>
        <w:t>下面给出一种无人机抛投装置示例见图A.1。</w:t>
      </w:r>
    </w:p>
    <w:p w14:paraId="118B3778">
      <w:pPr>
        <w:pStyle w:val="182"/>
      </w:pPr>
    </w:p>
    <w:p w14:paraId="24DBBD1A">
      <w:pPr>
        <w:pStyle w:val="57"/>
        <w:ind w:firstLine="420"/>
        <w:jc w:val="center"/>
      </w:pPr>
      <w:r>
        <w:rPr>
          <w:rFonts w:hint="eastAsia"/>
        </w:rPr>
        <w:drawing>
          <wp:inline distT="0" distB="0" distL="114300" distR="114300">
            <wp:extent cx="3467100" cy="2221865"/>
            <wp:effectExtent l="0" t="0" r="8890" b="1905"/>
            <wp:docPr id="7" name="图片 7" descr="c03eb4f94d9dae891113bf77e73b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03eb4f94d9dae891113bf77e73b858"/>
                    <pic:cNvPicPr>
                      <a:picLocks noChangeAspect="1"/>
                    </pic:cNvPicPr>
                  </pic:nvPicPr>
                  <pic:blipFill>
                    <a:blip r:embed="rId62"/>
                    <a:stretch>
                      <a:fillRect/>
                    </a:stretch>
                  </pic:blipFill>
                  <pic:spPr>
                    <a:xfrm>
                      <a:off x="0" y="0"/>
                      <a:ext cx="3467100" cy="2221865"/>
                    </a:xfrm>
                    <a:prstGeom prst="rect">
                      <a:avLst/>
                    </a:prstGeom>
                  </pic:spPr>
                </pic:pic>
              </a:graphicData>
            </a:graphic>
          </wp:inline>
        </w:drawing>
      </w:r>
    </w:p>
    <w:p w14:paraId="27ED151F">
      <w:pPr>
        <w:pStyle w:val="84"/>
        <w:spacing w:before="120" w:after="120"/>
      </w:pPr>
      <w:r>
        <w:rPr>
          <w:rFonts w:hint="eastAsia"/>
        </w:rPr>
        <w:t>一种无人机抛投装置示例图</w:t>
      </w:r>
    </w:p>
    <w:p w14:paraId="002DDE65">
      <w:pPr>
        <w:pStyle w:val="57"/>
        <w:ind w:firstLine="420"/>
        <w:sectPr>
          <w:headerReference r:id="rId27" w:type="default"/>
          <w:footerReference r:id="rId29" w:type="default"/>
          <w:headerReference r:id="rId28" w:type="even"/>
          <w:footerReference r:id="rId30" w:type="even"/>
          <w:pgSz w:w="11906" w:h="16838"/>
          <w:pgMar w:top="1928" w:right="1134" w:bottom="1134" w:left="1134" w:header="1418" w:footer="1134" w:gutter="284"/>
          <w:cols w:space="425" w:num="1"/>
          <w:formProt w:val="0"/>
          <w:docGrid w:linePitch="312" w:charSpace="0"/>
        </w:sectPr>
      </w:pPr>
    </w:p>
    <w:p w14:paraId="1168CB1C">
      <w:pPr>
        <w:pStyle w:val="199"/>
      </w:pPr>
    </w:p>
    <w:p w14:paraId="7C44AB3D">
      <w:pPr>
        <w:pStyle w:val="200"/>
      </w:pPr>
    </w:p>
    <w:p w14:paraId="716A3A98">
      <w:pPr>
        <w:pStyle w:val="77"/>
        <w:spacing w:after="120"/>
      </w:pPr>
      <w:r>
        <w:br w:type="textWrapping"/>
      </w:r>
      <w:bookmarkStart w:id="589" w:name="_Toc201437579"/>
      <w:bookmarkStart w:id="590" w:name="_Toc201611360"/>
      <w:bookmarkStart w:id="591" w:name="_Toc201434425"/>
      <w:bookmarkStart w:id="592" w:name="_Toc201272036"/>
      <w:bookmarkStart w:id="593" w:name="_Toc201646650"/>
      <w:bookmarkStart w:id="594" w:name="_Toc201433990"/>
      <w:bookmarkStart w:id="595" w:name="_Toc201271994"/>
      <w:bookmarkStart w:id="596" w:name="_Toc201433924"/>
      <w:bookmarkStart w:id="597" w:name="_Toc201438595"/>
      <w:bookmarkStart w:id="598" w:name="_Toc201760257"/>
      <w:bookmarkStart w:id="599" w:name="_Toc201271268"/>
      <w:bookmarkStart w:id="600" w:name="_Toc201569625"/>
      <w:bookmarkStart w:id="601" w:name="_Toc201787876"/>
      <w:r>
        <w:rPr>
          <w:rFonts w:hint="eastAsia"/>
        </w:rPr>
        <w:t>（资料性）</w:t>
      </w:r>
      <w:r>
        <w:br w:type="textWrapping"/>
      </w:r>
      <w:r>
        <w:rPr>
          <w:rFonts w:hint="eastAsia"/>
        </w:rPr>
        <w:t>一种无人机用自动脱钩挂钩示例图</w:t>
      </w:r>
      <w:bookmarkEnd w:id="589"/>
      <w:bookmarkEnd w:id="590"/>
      <w:bookmarkEnd w:id="591"/>
      <w:bookmarkEnd w:id="592"/>
      <w:bookmarkEnd w:id="593"/>
      <w:bookmarkEnd w:id="594"/>
      <w:bookmarkEnd w:id="595"/>
      <w:bookmarkEnd w:id="596"/>
      <w:bookmarkEnd w:id="597"/>
      <w:bookmarkEnd w:id="598"/>
      <w:bookmarkEnd w:id="599"/>
      <w:bookmarkEnd w:id="600"/>
      <w:bookmarkEnd w:id="601"/>
    </w:p>
    <w:p w14:paraId="1356C7BE">
      <w:pPr>
        <w:pStyle w:val="57"/>
        <w:ind w:firstLine="420"/>
      </w:pPr>
      <w:r>
        <w:rPr>
          <w:rFonts w:hint="eastAsia"/>
        </w:rPr>
        <w:t>下面给出一种无人机用自动脱钩挂钩示例见图B.1。</w:t>
      </w:r>
    </w:p>
    <w:p w14:paraId="03397482">
      <w:pPr>
        <w:pStyle w:val="182"/>
      </w:pPr>
    </w:p>
    <w:p w14:paraId="4E374058">
      <w:pPr>
        <w:pStyle w:val="57"/>
        <w:ind w:firstLine="420"/>
      </w:pPr>
    </w:p>
    <w:p w14:paraId="38AC54C0">
      <w:pPr>
        <w:adjustRightInd/>
        <w:spacing w:line="240" w:lineRule="auto"/>
        <w:jc w:val="center"/>
        <w:rPr>
          <w:rFonts w:ascii="Times New Roman" w:hAnsi="Times New Roman"/>
        </w:rPr>
      </w:pPr>
      <w:r>
        <w:rPr>
          <w:rFonts w:ascii="Times New Roman" w:hAnsi="Times New Roman"/>
        </w:rPr>
        <w:drawing>
          <wp:inline distT="0" distB="0" distL="0" distR="0">
            <wp:extent cx="1708785" cy="2933700"/>
            <wp:effectExtent l="0" t="0" r="5715" b="0"/>
            <wp:docPr id="13" name="图片 13" descr="C:\Users\qiao\AppData\Local\Temp\ksohtml14508\w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C:\Users\qiao\AppData\Local\Temp\ksohtml14508\wps1.jpg"/>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a:xfrm>
                      <a:off x="0" y="0"/>
                      <a:ext cx="1709154" cy="2933700"/>
                    </a:xfrm>
                    <a:prstGeom prst="rect">
                      <a:avLst/>
                    </a:prstGeom>
                    <a:noFill/>
                    <a:ln>
                      <a:noFill/>
                    </a:ln>
                  </pic:spPr>
                </pic:pic>
              </a:graphicData>
            </a:graphic>
          </wp:inline>
        </w:drawing>
      </w:r>
    </w:p>
    <w:p w14:paraId="34C81EAE">
      <w:pPr>
        <w:pStyle w:val="84"/>
        <w:spacing w:before="120" w:after="120"/>
      </w:pPr>
      <w:r>
        <w:rPr>
          <w:rFonts w:hint="eastAsia"/>
        </w:rPr>
        <w:t>一种无人机用自动脱钩挂钩示例图</w:t>
      </w:r>
    </w:p>
    <w:p w14:paraId="7C4DDBD0">
      <w:pPr>
        <w:pStyle w:val="57"/>
        <w:ind w:firstLine="420"/>
      </w:pPr>
    </w:p>
    <w:p w14:paraId="51F6BC43">
      <w:pPr>
        <w:pStyle w:val="57"/>
        <w:ind w:firstLine="420"/>
      </w:pPr>
    </w:p>
    <w:p w14:paraId="664C5E5E">
      <w:pPr>
        <w:pStyle w:val="57"/>
        <w:ind w:firstLine="420"/>
        <w:sectPr>
          <w:headerReference r:id="rId31" w:type="default"/>
          <w:footerReference r:id="rId33" w:type="default"/>
          <w:headerReference r:id="rId32" w:type="even"/>
          <w:footerReference r:id="rId34" w:type="even"/>
          <w:pgSz w:w="11906" w:h="16838"/>
          <w:pgMar w:top="1928" w:right="1134" w:bottom="1134" w:left="1134" w:header="1418" w:footer="1134" w:gutter="284"/>
          <w:cols w:space="425" w:num="1"/>
          <w:formProt w:val="0"/>
          <w:docGrid w:linePitch="312" w:charSpace="0"/>
        </w:sectPr>
      </w:pPr>
    </w:p>
    <w:p w14:paraId="01A1405E">
      <w:pPr>
        <w:pStyle w:val="199"/>
      </w:pPr>
    </w:p>
    <w:p w14:paraId="7BE549F3">
      <w:pPr>
        <w:pStyle w:val="200"/>
      </w:pPr>
    </w:p>
    <w:p w14:paraId="53DFF447">
      <w:pPr>
        <w:pStyle w:val="77"/>
        <w:spacing w:after="120"/>
      </w:pPr>
      <w:r>
        <w:br w:type="textWrapping"/>
      </w:r>
      <w:bookmarkStart w:id="602" w:name="_Toc201787877"/>
      <w:bookmarkStart w:id="603" w:name="_Toc201760258"/>
      <w:r>
        <w:rPr>
          <w:rFonts w:hint="eastAsia"/>
        </w:rPr>
        <w:t>（资料性）</w:t>
      </w:r>
      <w:r>
        <w:br w:type="textWrapping"/>
      </w:r>
      <w:r>
        <w:rPr>
          <w:rFonts w:hint="eastAsia"/>
        </w:rPr>
        <w:t>载荷释放操作示例</w:t>
      </w:r>
      <w:bookmarkEnd w:id="602"/>
      <w:bookmarkEnd w:id="603"/>
    </w:p>
    <w:p w14:paraId="62320ADF">
      <w:pPr>
        <w:pStyle w:val="57"/>
        <w:ind w:firstLine="420"/>
      </w:pPr>
      <w:r>
        <w:rPr>
          <w:rFonts w:hint="eastAsia"/>
        </w:rPr>
        <w:t>载荷释放操作示例见图C.1。</w:t>
      </w:r>
    </w:p>
    <w:p w14:paraId="5A3025D2">
      <w:pPr>
        <w:pStyle w:val="182"/>
      </w:pPr>
    </w:p>
    <w:p w14:paraId="0E0CDD77">
      <w:pPr>
        <w:pStyle w:val="183"/>
        <w:ind w:firstLine="360"/>
      </w:pPr>
    </w:p>
    <w:p w14:paraId="090D45C5">
      <w:pPr>
        <w:pStyle w:val="57"/>
        <w:ind w:firstLine="420"/>
        <w:jc w:val="center"/>
      </w:pPr>
      <w:r>
        <w:drawing>
          <wp:inline distT="0" distB="0" distL="0" distR="0">
            <wp:extent cx="5486400" cy="332232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64"/>
                    <a:stretch>
                      <a:fillRect/>
                    </a:stretch>
                  </pic:blipFill>
                  <pic:spPr>
                    <a:xfrm>
                      <a:off x="0" y="0"/>
                      <a:ext cx="5486400" cy="3322320"/>
                    </a:xfrm>
                    <a:prstGeom prst="rect">
                      <a:avLst/>
                    </a:prstGeom>
                  </pic:spPr>
                </pic:pic>
              </a:graphicData>
            </a:graphic>
          </wp:inline>
        </w:drawing>
      </w:r>
    </w:p>
    <w:p w14:paraId="2FD3D764">
      <w:pPr>
        <w:pStyle w:val="84"/>
        <w:spacing w:before="120" w:after="120"/>
      </w:pPr>
      <w:r>
        <w:rPr>
          <w:rFonts w:hint="eastAsia"/>
        </w:rPr>
        <w:t>载荷释放操作示例</w:t>
      </w:r>
    </w:p>
    <w:p w14:paraId="25B636C4">
      <w:pPr>
        <w:pStyle w:val="57"/>
        <w:ind w:firstLine="420"/>
      </w:pPr>
    </w:p>
    <w:p w14:paraId="700F3F31">
      <w:pPr>
        <w:pStyle w:val="57"/>
        <w:ind w:firstLine="420"/>
        <w:sectPr>
          <w:headerReference r:id="rId35" w:type="default"/>
          <w:footerReference r:id="rId37" w:type="default"/>
          <w:headerReference r:id="rId36" w:type="even"/>
          <w:footerReference r:id="rId38" w:type="even"/>
          <w:pgSz w:w="11906" w:h="16838"/>
          <w:pgMar w:top="1928" w:right="1134" w:bottom="1134" w:left="1134" w:header="1418" w:footer="1134" w:gutter="284"/>
          <w:cols w:space="425" w:num="1"/>
          <w:formProt w:val="0"/>
          <w:docGrid w:linePitch="312" w:charSpace="0"/>
        </w:sectPr>
      </w:pPr>
    </w:p>
    <w:p w14:paraId="01B0AF61">
      <w:pPr>
        <w:pStyle w:val="199"/>
      </w:pPr>
    </w:p>
    <w:p w14:paraId="7244D3CB">
      <w:pPr>
        <w:pStyle w:val="200"/>
      </w:pPr>
    </w:p>
    <w:p w14:paraId="557E1A1B">
      <w:pPr>
        <w:pStyle w:val="77"/>
        <w:spacing w:after="120"/>
      </w:pPr>
      <w:r>
        <w:br w:type="textWrapping"/>
      </w:r>
      <w:bookmarkStart w:id="604" w:name="_Toc201438596"/>
      <w:bookmarkStart w:id="605" w:name="_Toc201569626"/>
      <w:bookmarkStart w:id="606" w:name="_Toc201646651"/>
      <w:bookmarkStart w:id="607" w:name="_Toc201433925"/>
      <w:bookmarkStart w:id="608" w:name="_Toc201271269"/>
      <w:bookmarkStart w:id="609" w:name="_Toc201787878"/>
      <w:bookmarkStart w:id="610" w:name="_Toc201433991"/>
      <w:bookmarkStart w:id="611" w:name="_Toc201434426"/>
      <w:bookmarkStart w:id="612" w:name="_Toc201437580"/>
      <w:bookmarkStart w:id="613" w:name="_Toc201760259"/>
      <w:bookmarkStart w:id="614" w:name="_Toc201272037"/>
      <w:bookmarkStart w:id="615" w:name="_Toc201611361"/>
      <w:bookmarkStart w:id="616" w:name="_Toc201271995"/>
      <w:r>
        <w:rPr>
          <w:rFonts w:hint="eastAsia"/>
        </w:rPr>
        <w:t>（资料性）</w:t>
      </w:r>
      <w:r>
        <w:br w:type="textWrapping"/>
      </w:r>
      <w:r>
        <w:rPr>
          <w:rFonts w:hint="eastAsia"/>
        </w:rPr>
        <w:t>项目验收确认单示例</w:t>
      </w:r>
      <w:bookmarkEnd w:id="604"/>
      <w:bookmarkEnd w:id="605"/>
      <w:bookmarkEnd w:id="606"/>
      <w:bookmarkEnd w:id="607"/>
      <w:bookmarkEnd w:id="608"/>
      <w:bookmarkEnd w:id="609"/>
      <w:bookmarkEnd w:id="610"/>
      <w:bookmarkEnd w:id="611"/>
      <w:bookmarkEnd w:id="612"/>
      <w:bookmarkEnd w:id="613"/>
      <w:bookmarkEnd w:id="614"/>
      <w:bookmarkEnd w:id="615"/>
      <w:bookmarkEnd w:id="616"/>
    </w:p>
    <w:p w14:paraId="61BC60A3">
      <w:pPr>
        <w:pStyle w:val="57"/>
        <w:ind w:firstLine="420"/>
      </w:pPr>
      <w:r>
        <w:rPr>
          <w:rFonts w:hint="eastAsia"/>
        </w:rPr>
        <w:t>下面给出项目验收确认单示例</w:t>
      </w:r>
    </w:p>
    <w:p w14:paraId="12D43D76">
      <w:pPr>
        <w:pStyle w:val="182"/>
      </w:pP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219"/>
        <w:gridCol w:w="1178"/>
        <w:gridCol w:w="1053"/>
        <w:gridCol w:w="1388"/>
        <w:gridCol w:w="1660"/>
        <w:gridCol w:w="833"/>
      </w:tblGrid>
      <w:tr w14:paraId="076A6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tcBorders>
              <w:top w:val="single" w:color="auto" w:sz="4" w:space="0"/>
              <w:left w:val="single" w:color="auto" w:sz="4" w:space="0"/>
              <w:bottom w:val="single" w:color="auto" w:sz="4" w:space="0"/>
              <w:right w:val="single" w:color="auto" w:sz="4" w:space="0"/>
            </w:tcBorders>
          </w:tcPr>
          <w:p w14:paraId="73468F16">
            <w:pPr>
              <w:pStyle w:val="57"/>
              <w:ind w:firstLine="360"/>
              <w:jc w:val="center"/>
              <w:rPr>
                <w:sz w:val="18"/>
                <w:szCs w:val="18"/>
              </w:rPr>
            </w:pPr>
            <w:r>
              <w:rPr>
                <w:rFonts w:hint="eastAsia"/>
                <w:sz w:val="18"/>
                <w:szCs w:val="18"/>
              </w:rPr>
              <w:t>作业时间</w:t>
            </w:r>
          </w:p>
        </w:tc>
        <w:tc>
          <w:tcPr>
            <w:tcW w:w="1219" w:type="dxa"/>
            <w:tcBorders>
              <w:top w:val="single" w:color="auto" w:sz="4" w:space="0"/>
              <w:left w:val="single" w:color="auto" w:sz="4" w:space="0"/>
              <w:bottom w:val="single" w:color="auto" w:sz="4" w:space="0"/>
              <w:right w:val="single" w:color="auto" w:sz="4" w:space="0"/>
            </w:tcBorders>
          </w:tcPr>
          <w:p w14:paraId="74EC3A2C">
            <w:pPr>
              <w:pStyle w:val="57"/>
              <w:ind w:firstLine="0" w:firstLineChars="0"/>
              <w:jc w:val="center"/>
              <w:rPr>
                <w:sz w:val="18"/>
                <w:szCs w:val="18"/>
              </w:rPr>
            </w:pPr>
            <w:r>
              <w:rPr>
                <w:rFonts w:hint="eastAsia"/>
                <w:sz w:val="18"/>
                <w:szCs w:val="18"/>
              </w:rPr>
              <w:t>作业地点</w:t>
            </w:r>
          </w:p>
        </w:tc>
        <w:tc>
          <w:tcPr>
            <w:tcW w:w="1178" w:type="dxa"/>
            <w:tcBorders>
              <w:top w:val="single" w:color="auto" w:sz="4" w:space="0"/>
              <w:left w:val="single" w:color="auto" w:sz="4" w:space="0"/>
              <w:bottom w:val="single" w:color="auto" w:sz="4" w:space="0"/>
              <w:right w:val="single" w:color="auto" w:sz="4" w:space="0"/>
            </w:tcBorders>
          </w:tcPr>
          <w:p w14:paraId="25809B81">
            <w:pPr>
              <w:pStyle w:val="57"/>
              <w:ind w:firstLine="0" w:firstLineChars="0"/>
              <w:jc w:val="center"/>
              <w:rPr>
                <w:sz w:val="18"/>
                <w:szCs w:val="18"/>
              </w:rPr>
            </w:pPr>
            <w:r>
              <w:rPr>
                <w:rFonts w:hint="eastAsia"/>
                <w:sz w:val="18"/>
                <w:szCs w:val="18"/>
              </w:rPr>
              <w:t>吊运对象</w:t>
            </w:r>
          </w:p>
        </w:tc>
        <w:tc>
          <w:tcPr>
            <w:tcW w:w="1053" w:type="dxa"/>
            <w:tcBorders>
              <w:top w:val="single" w:color="auto" w:sz="4" w:space="0"/>
              <w:left w:val="single" w:color="auto" w:sz="4" w:space="0"/>
              <w:bottom w:val="single" w:color="auto" w:sz="4" w:space="0"/>
              <w:right w:val="single" w:color="auto" w:sz="4" w:space="0"/>
            </w:tcBorders>
          </w:tcPr>
          <w:p w14:paraId="51DA5E88">
            <w:pPr>
              <w:pStyle w:val="57"/>
              <w:ind w:firstLine="0" w:firstLineChars="0"/>
              <w:jc w:val="center"/>
              <w:rPr>
                <w:sz w:val="18"/>
                <w:szCs w:val="18"/>
              </w:rPr>
            </w:pPr>
            <w:r>
              <w:rPr>
                <w:rFonts w:hint="eastAsia"/>
                <w:sz w:val="18"/>
                <w:szCs w:val="18"/>
              </w:rPr>
              <w:t>工程量</w:t>
            </w:r>
          </w:p>
        </w:tc>
        <w:tc>
          <w:tcPr>
            <w:tcW w:w="1388" w:type="dxa"/>
            <w:tcBorders>
              <w:top w:val="single" w:color="auto" w:sz="4" w:space="0"/>
              <w:left w:val="single" w:color="auto" w:sz="4" w:space="0"/>
              <w:bottom w:val="single" w:color="auto" w:sz="4" w:space="0"/>
              <w:right w:val="single" w:color="auto" w:sz="4" w:space="0"/>
            </w:tcBorders>
          </w:tcPr>
          <w:p w14:paraId="416969DD">
            <w:pPr>
              <w:pStyle w:val="57"/>
              <w:ind w:firstLine="0" w:firstLineChars="0"/>
              <w:jc w:val="center"/>
              <w:rPr>
                <w:sz w:val="18"/>
                <w:szCs w:val="18"/>
              </w:rPr>
            </w:pPr>
            <w:r>
              <w:rPr>
                <w:rFonts w:hint="eastAsia"/>
                <w:sz w:val="18"/>
                <w:szCs w:val="18"/>
              </w:rPr>
              <w:t>完成情况</w:t>
            </w:r>
          </w:p>
        </w:tc>
        <w:tc>
          <w:tcPr>
            <w:tcW w:w="1660" w:type="dxa"/>
            <w:tcBorders>
              <w:top w:val="single" w:color="auto" w:sz="4" w:space="0"/>
              <w:left w:val="single" w:color="auto" w:sz="4" w:space="0"/>
              <w:bottom w:val="single" w:color="auto" w:sz="4" w:space="0"/>
              <w:right w:val="single" w:color="auto" w:sz="4" w:space="0"/>
            </w:tcBorders>
          </w:tcPr>
          <w:p w14:paraId="040F10B1">
            <w:pPr>
              <w:pStyle w:val="57"/>
              <w:ind w:firstLine="171" w:firstLineChars="95"/>
              <w:jc w:val="center"/>
              <w:rPr>
                <w:sz w:val="18"/>
                <w:szCs w:val="18"/>
              </w:rPr>
            </w:pPr>
            <w:r>
              <w:rPr>
                <w:rFonts w:hint="eastAsia"/>
                <w:sz w:val="18"/>
                <w:szCs w:val="18"/>
              </w:rPr>
              <w:t>验收结果</w:t>
            </w:r>
          </w:p>
        </w:tc>
        <w:tc>
          <w:tcPr>
            <w:tcW w:w="833" w:type="dxa"/>
            <w:tcBorders>
              <w:top w:val="single" w:color="auto" w:sz="4" w:space="0"/>
              <w:left w:val="single" w:color="auto" w:sz="4" w:space="0"/>
              <w:bottom w:val="single" w:color="auto" w:sz="4" w:space="0"/>
              <w:right w:val="single" w:color="auto" w:sz="4" w:space="0"/>
            </w:tcBorders>
          </w:tcPr>
          <w:p w14:paraId="50FFFBC4">
            <w:pPr>
              <w:pStyle w:val="57"/>
              <w:ind w:firstLine="0" w:firstLineChars="0"/>
              <w:jc w:val="center"/>
              <w:rPr>
                <w:sz w:val="18"/>
                <w:szCs w:val="18"/>
              </w:rPr>
            </w:pPr>
            <w:r>
              <w:rPr>
                <w:rFonts w:hint="eastAsia"/>
                <w:sz w:val="18"/>
                <w:szCs w:val="18"/>
              </w:rPr>
              <w:t>备注</w:t>
            </w:r>
          </w:p>
        </w:tc>
      </w:tr>
      <w:tr w14:paraId="0B952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1704" w:type="dxa"/>
            <w:tcBorders>
              <w:top w:val="single" w:color="auto" w:sz="4" w:space="0"/>
              <w:left w:val="single" w:color="auto" w:sz="4" w:space="0"/>
              <w:bottom w:val="single" w:color="auto" w:sz="4" w:space="0"/>
              <w:right w:val="single" w:color="auto" w:sz="4" w:space="0"/>
            </w:tcBorders>
            <w:vAlign w:val="center"/>
          </w:tcPr>
          <w:p w14:paraId="171DCB92">
            <w:pPr>
              <w:pStyle w:val="57"/>
              <w:ind w:firstLine="0" w:firstLineChars="0"/>
              <w:jc w:val="center"/>
              <w:rPr>
                <w:sz w:val="18"/>
                <w:szCs w:val="18"/>
              </w:rPr>
            </w:pPr>
            <w:r>
              <w:rPr>
                <w:rFonts w:hint="eastAsia"/>
                <w:sz w:val="18"/>
                <w:szCs w:val="18"/>
              </w:rPr>
              <w:t>起： 年 月 日</w:t>
            </w:r>
          </w:p>
          <w:p w14:paraId="6D174E91">
            <w:pPr>
              <w:pStyle w:val="57"/>
              <w:ind w:firstLine="0" w:firstLineChars="0"/>
              <w:jc w:val="center"/>
              <w:rPr>
                <w:sz w:val="18"/>
                <w:szCs w:val="18"/>
              </w:rPr>
            </w:pPr>
            <w:r>
              <w:rPr>
                <w:rFonts w:hint="eastAsia"/>
                <w:sz w:val="18"/>
                <w:szCs w:val="18"/>
              </w:rPr>
              <w:t>止： 年 月 日</w:t>
            </w:r>
          </w:p>
        </w:tc>
        <w:tc>
          <w:tcPr>
            <w:tcW w:w="1219" w:type="dxa"/>
            <w:tcBorders>
              <w:top w:val="single" w:color="auto" w:sz="4" w:space="0"/>
              <w:left w:val="single" w:color="auto" w:sz="4" w:space="0"/>
              <w:bottom w:val="single" w:color="auto" w:sz="4" w:space="0"/>
              <w:right w:val="single" w:color="auto" w:sz="4" w:space="0"/>
            </w:tcBorders>
          </w:tcPr>
          <w:p w14:paraId="322E0929">
            <w:pPr>
              <w:pStyle w:val="57"/>
              <w:ind w:firstLine="360"/>
              <w:jc w:val="center"/>
              <w:rPr>
                <w:sz w:val="18"/>
                <w:szCs w:val="18"/>
              </w:rPr>
            </w:pPr>
          </w:p>
        </w:tc>
        <w:tc>
          <w:tcPr>
            <w:tcW w:w="1178" w:type="dxa"/>
            <w:tcBorders>
              <w:top w:val="single" w:color="auto" w:sz="4" w:space="0"/>
              <w:left w:val="single" w:color="auto" w:sz="4" w:space="0"/>
              <w:bottom w:val="single" w:color="auto" w:sz="4" w:space="0"/>
              <w:right w:val="single" w:color="auto" w:sz="4" w:space="0"/>
            </w:tcBorders>
          </w:tcPr>
          <w:p w14:paraId="2B2246BB">
            <w:pPr>
              <w:pStyle w:val="57"/>
              <w:ind w:firstLine="360"/>
              <w:jc w:val="center"/>
              <w:rPr>
                <w:sz w:val="18"/>
                <w:szCs w:val="18"/>
              </w:rPr>
            </w:pPr>
          </w:p>
        </w:tc>
        <w:tc>
          <w:tcPr>
            <w:tcW w:w="1053" w:type="dxa"/>
            <w:tcBorders>
              <w:top w:val="single" w:color="auto" w:sz="4" w:space="0"/>
              <w:left w:val="single" w:color="auto" w:sz="4" w:space="0"/>
              <w:bottom w:val="single" w:color="auto" w:sz="4" w:space="0"/>
              <w:right w:val="single" w:color="auto" w:sz="4" w:space="0"/>
            </w:tcBorders>
          </w:tcPr>
          <w:p w14:paraId="5D004FCB">
            <w:pPr>
              <w:pStyle w:val="57"/>
              <w:ind w:firstLine="360"/>
              <w:jc w:val="center"/>
              <w:rPr>
                <w:sz w:val="18"/>
                <w:szCs w:val="18"/>
              </w:rPr>
            </w:pPr>
          </w:p>
        </w:tc>
        <w:tc>
          <w:tcPr>
            <w:tcW w:w="1388" w:type="dxa"/>
            <w:tcBorders>
              <w:top w:val="single" w:color="auto" w:sz="4" w:space="0"/>
              <w:left w:val="single" w:color="auto" w:sz="4" w:space="0"/>
              <w:bottom w:val="single" w:color="auto" w:sz="4" w:space="0"/>
              <w:right w:val="single" w:color="auto" w:sz="4" w:space="0"/>
            </w:tcBorders>
          </w:tcPr>
          <w:p w14:paraId="7002131B">
            <w:pPr>
              <w:pStyle w:val="57"/>
              <w:ind w:firstLine="360"/>
              <w:jc w:val="center"/>
              <w:rPr>
                <w:sz w:val="18"/>
                <w:szCs w:val="18"/>
              </w:rPr>
            </w:pPr>
          </w:p>
        </w:tc>
        <w:tc>
          <w:tcPr>
            <w:tcW w:w="1660" w:type="dxa"/>
            <w:tcBorders>
              <w:top w:val="single" w:color="auto" w:sz="4" w:space="0"/>
              <w:left w:val="single" w:color="auto" w:sz="4" w:space="0"/>
              <w:bottom w:val="single" w:color="auto" w:sz="4" w:space="0"/>
              <w:right w:val="single" w:color="auto" w:sz="4" w:space="0"/>
            </w:tcBorders>
          </w:tcPr>
          <w:p w14:paraId="1AA3F663">
            <w:pPr>
              <w:pStyle w:val="57"/>
              <w:ind w:firstLine="360"/>
              <w:jc w:val="center"/>
              <w:rPr>
                <w:sz w:val="18"/>
                <w:szCs w:val="18"/>
              </w:rPr>
            </w:pPr>
          </w:p>
        </w:tc>
        <w:tc>
          <w:tcPr>
            <w:tcW w:w="833" w:type="dxa"/>
            <w:tcBorders>
              <w:top w:val="single" w:color="auto" w:sz="4" w:space="0"/>
              <w:left w:val="single" w:color="auto" w:sz="4" w:space="0"/>
              <w:bottom w:val="single" w:color="auto" w:sz="4" w:space="0"/>
              <w:right w:val="single" w:color="auto" w:sz="4" w:space="0"/>
            </w:tcBorders>
          </w:tcPr>
          <w:p w14:paraId="1F2FE5F2">
            <w:pPr>
              <w:pStyle w:val="57"/>
              <w:ind w:firstLine="360"/>
              <w:jc w:val="center"/>
              <w:rPr>
                <w:sz w:val="18"/>
                <w:szCs w:val="18"/>
              </w:rPr>
            </w:pPr>
          </w:p>
        </w:tc>
      </w:tr>
      <w:tr w14:paraId="169DE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5154" w:type="dxa"/>
            <w:gridSpan w:val="4"/>
            <w:tcBorders>
              <w:top w:val="single" w:color="auto" w:sz="4" w:space="0"/>
              <w:left w:val="single" w:color="auto" w:sz="4" w:space="0"/>
              <w:bottom w:val="single" w:color="auto" w:sz="4" w:space="0"/>
              <w:right w:val="single" w:color="auto" w:sz="4" w:space="0"/>
            </w:tcBorders>
            <w:vAlign w:val="center"/>
          </w:tcPr>
          <w:p w14:paraId="751E6BC8">
            <w:pPr>
              <w:pStyle w:val="57"/>
              <w:ind w:firstLine="180" w:firstLineChars="100"/>
              <w:jc w:val="left"/>
              <w:rPr>
                <w:sz w:val="18"/>
                <w:szCs w:val="18"/>
              </w:rPr>
            </w:pPr>
            <w:r>
              <w:rPr>
                <w:sz w:val="18"/>
                <w:szCs w:val="18"/>
              </w:rPr>
              <w:t>业主方（签字/盖章）：</w:t>
            </w:r>
          </w:p>
        </w:tc>
        <w:tc>
          <w:tcPr>
            <w:tcW w:w="3881" w:type="dxa"/>
            <w:gridSpan w:val="3"/>
            <w:tcBorders>
              <w:top w:val="single" w:color="auto" w:sz="4" w:space="0"/>
              <w:left w:val="single" w:color="auto" w:sz="4" w:space="0"/>
              <w:bottom w:val="single" w:color="auto" w:sz="4" w:space="0"/>
              <w:right w:val="single" w:color="auto" w:sz="4" w:space="0"/>
            </w:tcBorders>
            <w:vAlign w:val="center"/>
          </w:tcPr>
          <w:p w14:paraId="2B19C4C1">
            <w:pPr>
              <w:pStyle w:val="57"/>
              <w:ind w:firstLine="180" w:firstLineChars="100"/>
              <w:jc w:val="left"/>
              <w:rPr>
                <w:sz w:val="18"/>
                <w:szCs w:val="18"/>
              </w:rPr>
            </w:pPr>
            <w:r>
              <w:rPr>
                <w:sz w:val="18"/>
                <w:szCs w:val="18"/>
              </w:rPr>
              <w:t>承飞方（签字/盖章）：</w:t>
            </w:r>
          </w:p>
        </w:tc>
      </w:tr>
      <w:tr w14:paraId="25908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5154" w:type="dxa"/>
            <w:gridSpan w:val="4"/>
            <w:tcBorders>
              <w:top w:val="single" w:color="auto" w:sz="4" w:space="0"/>
              <w:left w:val="single" w:color="auto" w:sz="4" w:space="0"/>
              <w:bottom w:val="single" w:color="auto" w:sz="4" w:space="0"/>
              <w:right w:val="single" w:color="auto" w:sz="4" w:space="0"/>
            </w:tcBorders>
            <w:vAlign w:val="center"/>
          </w:tcPr>
          <w:p w14:paraId="427CFA7D">
            <w:pPr>
              <w:pStyle w:val="57"/>
              <w:ind w:firstLine="180" w:firstLineChars="100"/>
              <w:jc w:val="left"/>
              <w:rPr>
                <w:sz w:val="18"/>
                <w:szCs w:val="18"/>
              </w:rPr>
            </w:pPr>
            <w:r>
              <w:rPr>
                <w:sz w:val="18"/>
                <w:szCs w:val="18"/>
              </w:rPr>
              <w:t>验收时间： 年  月  日</w:t>
            </w:r>
          </w:p>
        </w:tc>
        <w:tc>
          <w:tcPr>
            <w:tcW w:w="3881" w:type="dxa"/>
            <w:gridSpan w:val="3"/>
            <w:tcBorders>
              <w:top w:val="single" w:color="auto" w:sz="4" w:space="0"/>
              <w:left w:val="single" w:color="auto" w:sz="4" w:space="0"/>
              <w:bottom w:val="single" w:color="auto" w:sz="4" w:space="0"/>
              <w:right w:val="single" w:color="auto" w:sz="4" w:space="0"/>
            </w:tcBorders>
            <w:vAlign w:val="center"/>
          </w:tcPr>
          <w:p w14:paraId="4FA26F31">
            <w:pPr>
              <w:pStyle w:val="57"/>
              <w:tabs>
                <w:tab w:val="center" w:pos="1832"/>
              </w:tabs>
              <w:ind w:firstLine="180" w:firstLineChars="100"/>
              <w:jc w:val="left"/>
              <w:rPr>
                <w:sz w:val="18"/>
                <w:szCs w:val="18"/>
              </w:rPr>
            </w:pPr>
            <w:r>
              <w:rPr>
                <w:sz w:val="18"/>
                <w:szCs w:val="18"/>
              </w:rPr>
              <w:t>验收时间： 年  月  日</w:t>
            </w:r>
          </w:p>
        </w:tc>
      </w:tr>
    </w:tbl>
    <w:p w14:paraId="3479B689">
      <w:pPr>
        <w:pStyle w:val="57"/>
        <w:ind w:firstLine="420"/>
      </w:pPr>
    </w:p>
    <w:p w14:paraId="3C5C7558">
      <w:pPr>
        <w:pStyle w:val="57"/>
        <w:ind w:firstLine="420"/>
      </w:pPr>
    </w:p>
    <w:p w14:paraId="420E8710">
      <w:pPr>
        <w:pStyle w:val="57"/>
        <w:ind w:firstLine="420"/>
      </w:pPr>
    </w:p>
    <w:p w14:paraId="42603F56">
      <w:pPr>
        <w:pStyle w:val="57"/>
        <w:ind w:firstLine="420"/>
      </w:pPr>
    </w:p>
    <w:p w14:paraId="016AADDF">
      <w:pPr>
        <w:pStyle w:val="57"/>
        <w:ind w:firstLine="420"/>
      </w:pPr>
    </w:p>
    <w:p w14:paraId="143BF8B2">
      <w:pPr>
        <w:pStyle w:val="57"/>
        <w:ind w:firstLine="420"/>
        <w:sectPr>
          <w:headerReference r:id="rId39" w:type="default"/>
          <w:footerReference r:id="rId41" w:type="default"/>
          <w:headerReference r:id="rId40" w:type="even"/>
          <w:footerReference r:id="rId42" w:type="even"/>
          <w:pgSz w:w="11906" w:h="16838"/>
          <w:pgMar w:top="1928" w:right="1134" w:bottom="1134" w:left="1134" w:header="1418" w:footer="1134" w:gutter="284"/>
          <w:cols w:space="425" w:num="1"/>
          <w:formProt w:val="0"/>
          <w:docGrid w:linePitch="312" w:charSpace="0"/>
        </w:sectPr>
      </w:pPr>
    </w:p>
    <w:p w14:paraId="4602DA3F">
      <w:pPr>
        <w:pStyle w:val="199"/>
      </w:pPr>
    </w:p>
    <w:p w14:paraId="767B74EE">
      <w:pPr>
        <w:pStyle w:val="200"/>
      </w:pPr>
    </w:p>
    <w:p w14:paraId="7941CAB0">
      <w:pPr>
        <w:pStyle w:val="77"/>
        <w:spacing w:after="120"/>
      </w:pPr>
      <w:r>
        <w:br w:type="textWrapping"/>
      </w:r>
      <w:bookmarkStart w:id="617" w:name="_Toc201646652"/>
      <w:bookmarkStart w:id="618" w:name="_Toc201271996"/>
      <w:bookmarkStart w:id="619" w:name="_Toc201787879"/>
      <w:bookmarkStart w:id="620" w:name="_Toc201272038"/>
      <w:bookmarkStart w:id="621" w:name="_Toc201611362"/>
      <w:bookmarkStart w:id="622" w:name="_Toc201437581"/>
      <w:bookmarkStart w:id="623" w:name="_Toc201438597"/>
      <w:bookmarkStart w:id="624" w:name="_Toc201433992"/>
      <w:bookmarkStart w:id="625" w:name="_Toc201760260"/>
      <w:bookmarkStart w:id="626" w:name="_Toc201434427"/>
      <w:bookmarkStart w:id="627" w:name="_Toc201433926"/>
      <w:bookmarkStart w:id="628" w:name="_Toc201271270"/>
      <w:bookmarkStart w:id="629" w:name="_Toc201569627"/>
      <w:r>
        <w:rPr>
          <w:rFonts w:hint="eastAsia"/>
        </w:rPr>
        <w:t>（资料性）</w:t>
      </w:r>
      <w:r>
        <w:br w:type="textWrapping"/>
      </w:r>
      <w:r>
        <w:rPr>
          <w:rFonts w:hint="eastAsia"/>
        </w:rPr>
        <w:t>设备物资点验清单示例表</w:t>
      </w:r>
      <w:bookmarkEnd w:id="617"/>
      <w:bookmarkEnd w:id="618"/>
      <w:bookmarkEnd w:id="619"/>
      <w:bookmarkEnd w:id="620"/>
      <w:bookmarkEnd w:id="621"/>
      <w:bookmarkEnd w:id="622"/>
      <w:bookmarkEnd w:id="623"/>
      <w:bookmarkEnd w:id="624"/>
      <w:bookmarkEnd w:id="625"/>
      <w:bookmarkEnd w:id="626"/>
      <w:bookmarkEnd w:id="627"/>
      <w:bookmarkEnd w:id="628"/>
      <w:bookmarkEnd w:id="629"/>
    </w:p>
    <w:p w14:paraId="6C09C86E">
      <w:pPr>
        <w:pStyle w:val="57"/>
        <w:ind w:firstLine="420"/>
      </w:pPr>
      <w:r>
        <w:rPr>
          <w:rFonts w:hint="eastAsia"/>
        </w:rPr>
        <w:t>下面给出设备物资点验清单示例表</w:t>
      </w:r>
    </w:p>
    <w:p w14:paraId="4E5B25F6">
      <w:pPr>
        <w:pStyle w:val="182"/>
      </w:pPr>
    </w:p>
    <w:tbl>
      <w:tblPr>
        <w:tblStyle w:val="28"/>
        <w:tblW w:w="937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043"/>
        <w:gridCol w:w="1280"/>
        <w:gridCol w:w="806"/>
        <w:gridCol w:w="1500"/>
        <w:gridCol w:w="582"/>
        <w:gridCol w:w="1043"/>
        <w:gridCol w:w="1040"/>
        <w:gridCol w:w="1040"/>
        <w:gridCol w:w="1040"/>
      </w:tblGrid>
      <w:tr w14:paraId="3622CD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043" w:type="dxa"/>
            <w:tcBorders>
              <w:top w:val="single" w:color="auto" w:sz="8" w:space="0"/>
              <w:bottom w:val="single" w:color="auto" w:sz="8" w:space="0"/>
            </w:tcBorders>
            <w:shd w:val="clear" w:color="auto" w:fill="auto"/>
            <w:vAlign w:val="center"/>
          </w:tcPr>
          <w:p w14:paraId="19CC2DE7">
            <w:pPr>
              <w:pStyle w:val="179"/>
            </w:pPr>
            <w:r>
              <w:rPr>
                <w:rFonts w:hint="eastAsia"/>
              </w:rPr>
              <w:t>序号</w:t>
            </w:r>
          </w:p>
        </w:tc>
        <w:tc>
          <w:tcPr>
            <w:tcW w:w="1280" w:type="dxa"/>
            <w:tcBorders>
              <w:top w:val="single" w:color="auto" w:sz="8" w:space="0"/>
              <w:bottom w:val="single" w:color="auto" w:sz="8" w:space="0"/>
            </w:tcBorders>
            <w:shd w:val="clear" w:color="auto" w:fill="auto"/>
            <w:vAlign w:val="center"/>
          </w:tcPr>
          <w:p w14:paraId="4909C119">
            <w:pPr>
              <w:pStyle w:val="179"/>
            </w:pPr>
            <w:r>
              <w:t>设备名称</w:t>
            </w:r>
          </w:p>
        </w:tc>
        <w:tc>
          <w:tcPr>
            <w:tcW w:w="806" w:type="dxa"/>
            <w:tcBorders>
              <w:top w:val="single" w:color="auto" w:sz="8" w:space="0"/>
              <w:bottom w:val="single" w:color="auto" w:sz="8" w:space="0"/>
            </w:tcBorders>
            <w:shd w:val="clear" w:color="auto" w:fill="auto"/>
            <w:vAlign w:val="center"/>
          </w:tcPr>
          <w:p w14:paraId="1641AF2E">
            <w:pPr>
              <w:pStyle w:val="179"/>
            </w:pPr>
            <w:r>
              <w:t>数量</w:t>
            </w:r>
          </w:p>
        </w:tc>
        <w:tc>
          <w:tcPr>
            <w:tcW w:w="1500" w:type="dxa"/>
            <w:tcBorders>
              <w:top w:val="single" w:color="auto" w:sz="8" w:space="0"/>
              <w:bottom w:val="single" w:color="auto" w:sz="8" w:space="0"/>
            </w:tcBorders>
            <w:shd w:val="clear" w:color="auto" w:fill="auto"/>
            <w:vAlign w:val="center"/>
          </w:tcPr>
          <w:p w14:paraId="70EA3C0B">
            <w:pPr>
              <w:pStyle w:val="179"/>
            </w:pPr>
            <w:r>
              <w:t>性能状态</w:t>
            </w:r>
          </w:p>
        </w:tc>
        <w:tc>
          <w:tcPr>
            <w:tcW w:w="582" w:type="dxa"/>
            <w:tcBorders>
              <w:top w:val="single" w:color="auto" w:sz="8" w:space="0"/>
              <w:bottom w:val="single" w:color="auto" w:sz="8" w:space="0"/>
            </w:tcBorders>
            <w:shd w:val="clear" w:color="auto" w:fill="auto"/>
            <w:vAlign w:val="center"/>
          </w:tcPr>
          <w:p w14:paraId="650E6502">
            <w:pPr>
              <w:pStyle w:val="179"/>
            </w:pPr>
          </w:p>
        </w:tc>
        <w:tc>
          <w:tcPr>
            <w:tcW w:w="1043" w:type="dxa"/>
            <w:tcBorders>
              <w:top w:val="single" w:color="auto" w:sz="8" w:space="0"/>
              <w:bottom w:val="single" w:color="auto" w:sz="8" w:space="0"/>
            </w:tcBorders>
            <w:shd w:val="clear" w:color="auto" w:fill="auto"/>
            <w:vAlign w:val="center"/>
          </w:tcPr>
          <w:p w14:paraId="7445F708">
            <w:pPr>
              <w:pStyle w:val="179"/>
            </w:pPr>
            <w:r>
              <w:t>序号</w:t>
            </w:r>
          </w:p>
        </w:tc>
        <w:tc>
          <w:tcPr>
            <w:tcW w:w="1040" w:type="dxa"/>
            <w:tcBorders>
              <w:top w:val="single" w:color="auto" w:sz="8" w:space="0"/>
              <w:bottom w:val="single" w:color="auto" w:sz="8" w:space="0"/>
            </w:tcBorders>
            <w:shd w:val="clear" w:color="auto" w:fill="auto"/>
            <w:vAlign w:val="center"/>
          </w:tcPr>
          <w:p w14:paraId="3B22F108">
            <w:pPr>
              <w:pStyle w:val="179"/>
            </w:pPr>
            <w:r>
              <w:t>设备名称</w:t>
            </w:r>
          </w:p>
        </w:tc>
        <w:tc>
          <w:tcPr>
            <w:tcW w:w="1040" w:type="dxa"/>
            <w:tcBorders>
              <w:top w:val="single" w:color="auto" w:sz="8" w:space="0"/>
              <w:bottom w:val="single" w:color="auto" w:sz="8" w:space="0"/>
            </w:tcBorders>
            <w:shd w:val="clear" w:color="auto" w:fill="auto"/>
            <w:vAlign w:val="center"/>
          </w:tcPr>
          <w:p w14:paraId="468594F3">
            <w:pPr>
              <w:pStyle w:val="179"/>
            </w:pPr>
            <w:r>
              <w:t>数量</w:t>
            </w:r>
          </w:p>
        </w:tc>
        <w:tc>
          <w:tcPr>
            <w:tcW w:w="1040" w:type="dxa"/>
            <w:tcBorders>
              <w:top w:val="single" w:color="auto" w:sz="8" w:space="0"/>
              <w:bottom w:val="single" w:color="auto" w:sz="8" w:space="0"/>
            </w:tcBorders>
            <w:shd w:val="clear" w:color="auto" w:fill="auto"/>
            <w:vAlign w:val="center"/>
          </w:tcPr>
          <w:p w14:paraId="0DB00E57">
            <w:pPr>
              <w:pStyle w:val="179"/>
            </w:pPr>
            <w:r>
              <w:t>性能状态</w:t>
            </w:r>
          </w:p>
        </w:tc>
      </w:tr>
      <w:tr w14:paraId="1728A3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43" w:type="dxa"/>
            <w:tcBorders>
              <w:top w:val="single" w:color="auto" w:sz="8" w:space="0"/>
            </w:tcBorders>
            <w:shd w:val="clear" w:color="auto" w:fill="auto"/>
            <w:vAlign w:val="center"/>
          </w:tcPr>
          <w:p w14:paraId="703F675A">
            <w:pPr>
              <w:pStyle w:val="179"/>
            </w:pPr>
            <w:r>
              <w:rPr>
                <w:rFonts w:hint="eastAsia"/>
              </w:rPr>
              <w:t>1</w:t>
            </w:r>
          </w:p>
        </w:tc>
        <w:tc>
          <w:tcPr>
            <w:tcW w:w="1280" w:type="dxa"/>
            <w:tcBorders>
              <w:top w:val="single" w:color="auto" w:sz="8" w:space="0"/>
            </w:tcBorders>
            <w:shd w:val="clear" w:color="auto" w:fill="auto"/>
            <w:vAlign w:val="center"/>
          </w:tcPr>
          <w:p w14:paraId="4B6CD504">
            <w:pPr>
              <w:pStyle w:val="179"/>
            </w:pPr>
            <w:r>
              <w:rPr>
                <w:rFonts w:hint="eastAsia"/>
              </w:rPr>
              <w:t>作业车辆</w:t>
            </w:r>
          </w:p>
        </w:tc>
        <w:tc>
          <w:tcPr>
            <w:tcW w:w="806" w:type="dxa"/>
            <w:tcBorders>
              <w:top w:val="single" w:color="auto" w:sz="8" w:space="0"/>
            </w:tcBorders>
            <w:shd w:val="clear" w:color="auto" w:fill="auto"/>
            <w:vAlign w:val="center"/>
          </w:tcPr>
          <w:p w14:paraId="2934D4E5">
            <w:pPr>
              <w:pStyle w:val="179"/>
            </w:pPr>
            <w:r>
              <w:rPr>
                <w:rFonts w:hint="eastAsia"/>
              </w:rPr>
              <w:t>1</w:t>
            </w:r>
          </w:p>
        </w:tc>
        <w:tc>
          <w:tcPr>
            <w:tcW w:w="1500" w:type="dxa"/>
            <w:tcBorders>
              <w:top w:val="single" w:color="auto" w:sz="8" w:space="0"/>
            </w:tcBorders>
            <w:shd w:val="clear" w:color="auto" w:fill="auto"/>
            <w:vAlign w:val="center"/>
          </w:tcPr>
          <w:p w14:paraId="6AD811E2">
            <w:pPr>
              <w:pStyle w:val="179"/>
            </w:pPr>
            <w:r>
              <w:rPr>
                <w:rFonts w:hint="eastAsia"/>
              </w:rPr>
              <w:t>完好</w:t>
            </w:r>
          </w:p>
        </w:tc>
        <w:tc>
          <w:tcPr>
            <w:tcW w:w="582" w:type="dxa"/>
            <w:tcBorders>
              <w:top w:val="single" w:color="auto" w:sz="8" w:space="0"/>
            </w:tcBorders>
            <w:shd w:val="clear" w:color="auto" w:fill="auto"/>
            <w:vAlign w:val="center"/>
          </w:tcPr>
          <w:p w14:paraId="7E32E9E2">
            <w:pPr>
              <w:pStyle w:val="179"/>
            </w:pPr>
          </w:p>
        </w:tc>
        <w:tc>
          <w:tcPr>
            <w:tcW w:w="1043" w:type="dxa"/>
            <w:tcBorders>
              <w:top w:val="single" w:color="auto" w:sz="8" w:space="0"/>
            </w:tcBorders>
            <w:shd w:val="clear" w:color="auto" w:fill="auto"/>
            <w:vAlign w:val="center"/>
          </w:tcPr>
          <w:p w14:paraId="02437AC4">
            <w:pPr>
              <w:pStyle w:val="179"/>
            </w:pPr>
            <w:r>
              <w:rPr>
                <w:rFonts w:hint="eastAsia"/>
              </w:rPr>
              <w:t>6</w:t>
            </w:r>
          </w:p>
        </w:tc>
        <w:tc>
          <w:tcPr>
            <w:tcW w:w="1040" w:type="dxa"/>
            <w:tcBorders>
              <w:top w:val="single" w:color="auto" w:sz="8" w:space="0"/>
            </w:tcBorders>
            <w:shd w:val="clear" w:color="auto" w:fill="auto"/>
            <w:vAlign w:val="center"/>
          </w:tcPr>
          <w:p w14:paraId="71C967D3">
            <w:pPr>
              <w:pStyle w:val="179"/>
            </w:pPr>
            <w:r>
              <w:t>充电站</w:t>
            </w:r>
          </w:p>
        </w:tc>
        <w:tc>
          <w:tcPr>
            <w:tcW w:w="1040" w:type="dxa"/>
            <w:tcBorders>
              <w:top w:val="single" w:color="auto" w:sz="8" w:space="0"/>
            </w:tcBorders>
            <w:shd w:val="clear" w:color="auto" w:fill="auto"/>
            <w:vAlign w:val="center"/>
          </w:tcPr>
          <w:p w14:paraId="56A0F374">
            <w:pPr>
              <w:pStyle w:val="179"/>
            </w:pPr>
            <w:r>
              <w:rPr>
                <w:rFonts w:hint="eastAsia"/>
              </w:rPr>
              <w:t>2</w:t>
            </w:r>
          </w:p>
        </w:tc>
        <w:tc>
          <w:tcPr>
            <w:tcW w:w="1040" w:type="dxa"/>
            <w:tcBorders>
              <w:top w:val="single" w:color="auto" w:sz="8" w:space="0"/>
            </w:tcBorders>
            <w:shd w:val="clear" w:color="auto" w:fill="auto"/>
            <w:vAlign w:val="center"/>
          </w:tcPr>
          <w:p w14:paraId="77A885F9">
            <w:pPr>
              <w:pStyle w:val="179"/>
            </w:pPr>
            <w:r>
              <w:t>保养期到</w:t>
            </w:r>
          </w:p>
        </w:tc>
      </w:tr>
      <w:tr w14:paraId="29DBD7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43" w:type="dxa"/>
            <w:shd w:val="clear" w:color="auto" w:fill="auto"/>
            <w:vAlign w:val="center"/>
          </w:tcPr>
          <w:p w14:paraId="0D1C3EBA">
            <w:pPr>
              <w:pStyle w:val="179"/>
            </w:pPr>
            <w:r>
              <w:rPr>
                <w:rFonts w:hint="eastAsia"/>
              </w:rPr>
              <w:t>2</w:t>
            </w:r>
          </w:p>
        </w:tc>
        <w:tc>
          <w:tcPr>
            <w:tcW w:w="1280" w:type="dxa"/>
            <w:shd w:val="clear" w:color="auto" w:fill="auto"/>
            <w:vAlign w:val="center"/>
          </w:tcPr>
          <w:p w14:paraId="0F9F2A5C">
            <w:pPr>
              <w:pStyle w:val="179"/>
            </w:pPr>
            <w:r>
              <w:rPr>
                <w:rFonts w:hint="eastAsia"/>
              </w:rPr>
              <w:t>无人驾驶航空器</w:t>
            </w:r>
          </w:p>
        </w:tc>
        <w:tc>
          <w:tcPr>
            <w:tcW w:w="806" w:type="dxa"/>
            <w:shd w:val="clear" w:color="auto" w:fill="auto"/>
            <w:vAlign w:val="center"/>
          </w:tcPr>
          <w:p w14:paraId="6828B528">
            <w:pPr>
              <w:pStyle w:val="179"/>
            </w:pPr>
            <w:r>
              <w:rPr>
                <w:rFonts w:hint="eastAsia"/>
              </w:rPr>
              <w:t>2</w:t>
            </w:r>
          </w:p>
        </w:tc>
        <w:tc>
          <w:tcPr>
            <w:tcW w:w="1500" w:type="dxa"/>
            <w:shd w:val="clear" w:color="auto" w:fill="auto"/>
            <w:vAlign w:val="center"/>
          </w:tcPr>
          <w:p w14:paraId="7CBAA009">
            <w:pPr>
              <w:pStyle w:val="179"/>
            </w:pPr>
            <w:r>
              <w:rPr>
                <w:rFonts w:hint="eastAsia"/>
              </w:rPr>
              <w:t>完好</w:t>
            </w:r>
          </w:p>
        </w:tc>
        <w:tc>
          <w:tcPr>
            <w:tcW w:w="582" w:type="dxa"/>
            <w:shd w:val="clear" w:color="auto" w:fill="auto"/>
            <w:vAlign w:val="center"/>
          </w:tcPr>
          <w:p w14:paraId="1E9A77AD">
            <w:pPr>
              <w:pStyle w:val="179"/>
            </w:pPr>
          </w:p>
        </w:tc>
        <w:tc>
          <w:tcPr>
            <w:tcW w:w="1043" w:type="dxa"/>
            <w:shd w:val="clear" w:color="auto" w:fill="auto"/>
            <w:vAlign w:val="center"/>
          </w:tcPr>
          <w:p w14:paraId="26EDEBCF">
            <w:pPr>
              <w:pStyle w:val="179"/>
            </w:pPr>
            <w:r>
              <w:rPr>
                <w:rFonts w:hint="eastAsia"/>
              </w:rPr>
              <w:t>7</w:t>
            </w:r>
          </w:p>
        </w:tc>
        <w:tc>
          <w:tcPr>
            <w:tcW w:w="1040" w:type="dxa"/>
            <w:shd w:val="clear" w:color="auto" w:fill="auto"/>
            <w:vAlign w:val="center"/>
          </w:tcPr>
          <w:p w14:paraId="107C3460">
            <w:pPr>
              <w:pStyle w:val="179"/>
            </w:pPr>
            <w:r>
              <w:t>吊运架</w:t>
            </w:r>
          </w:p>
        </w:tc>
        <w:tc>
          <w:tcPr>
            <w:tcW w:w="1040" w:type="dxa"/>
            <w:shd w:val="clear" w:color="auto" w:fill="auto"/>
            <w:vAlign w:val="center"/>
          </w:tcPr>
          <w:p w14:paraId="07F207FE">
            <w:pPr>
              <w:pStyle w:val="179"/>
            </w:pPr>
            <w:r>
              <w:rPr>
                <w:rFonts w:hint="eastAsia"/>
              </w:rPr>
              <w:t>2</w:t>
            </w:r>
          </w:p>
        </w:tc>
        <w:tc>
          <w:tcPr>
            <w:tcW w:w="1040" w:type="dxa"/>
            <w:shd w:val="clear" w:color="auto" w:fill="auto"/>
            <w:vAlign w:val="center"/>
          </w:tcPr>
          <w:p w14:paraId="6B2948D4">
            <w:pPr>
              <w:pStyle w:val="179"/>
            </w:pPr>
            <w:r>
              <w:t>变形</w:t>
            </w:r>
          </w:p>
        </w:tc>
      </w:tr>
      <w:tr w14:paraId="4B7AC3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43" w:type="dxa"/>
            <w:shd w:val="clear" w:color="auto" w:fill="auto"/>
            <w:vAlign w:val="center"/>
          </w:tcPr>
          <w:p w14:paraId="71EC7455">
            <w:pPr>
              <w:pStyle w:val="179"/>
            </w:pPr>
            <w:r>
              <w:rPr>
                <w:rFonts w:hint="eastAsia"/>
              </w:rPr>
              <w:t>3</w:t>
            </w:r>
          </w:p>
        </w:tc>
        <w:tc>
          <w:tcPr>
            <w:tcW w:w="1280" w:type="dxa"/>
            <w:shd w:val="clear" w:color="auto" w:fill="auto"/>
            <w:vAlign w:val="center"/>
          </w:tcPr>
          <w:p w14:paraId="1737E535">
            <w:pPr>
              <w:pStyle w:val="179"/>
            </w:pPr>
            <w:r>
              <w:rPr>
                <w:rFonts w:hint="eastAsia"/>
              </w:rPr>
              <w:t>动力电池</w:t>
            </w:r>
          </w:p>
        </w:tc>
        <w:tc>
          <w:tcPr>
            <w:tcW w:w="806" w:type="dxa"/>
            <w:shd w:val="clear" w:color="auto" w:fill="auto"/>
            <w:vAlign w:val="center"/>
          </w:tcPr>
          <w:p w14:paraId="5660CD56">
            <w:pPr>
              <w:pStyle w:val="179"/>
            </w:pPr>
            <w:r>
              <w:rPr>
                <w:rFonts w:hint="eastAsia"/>
              </w:rPr>
              <w:t>6</w:t>
            </w:r>
          </w:p>
        </w:tc>
        <w:tc>
          <w:tcPr>
            <w:tcW w:w="1500" w:type="dxa"/>
            <w:shd w:val="clear" w:color="auto" w:fill="auto"/>
            <w:vAlign w:val="center"/>
          </w:tcPr>
          <w:p w14:paraId="5AB24717">
            <w:pPr>
              <w:pStyle w:val="179"/>
            </w:pPr>
          </w:p>
        </w:tc>
        <w:tc>
          <w:tcPr>
            <w:tcW w:w="582" w:type="dxa"/>
            <w:shd w:val="clear" w:color="auto" w:fill="auto"/>
            <w:vAlign w:val="center"/>
          </w:tcPr>
          <w:p w14:paraId="045E17F3">
            <w:pPr>
              <w:pStyle w:val="179"/>
            </w:pPr>
          </w:p>
        </w:tc>
        <w:tc>
          <w:tcPr>
            <w:tcW w:w="1043" w:type="dxa"/>
            <w:shd w:val="clear" w:color="auto" w:fill="auto"/>
            <w:vAlign w:val="center"/>
          </w:tcPr>
          <w:p w14:paraId="28C9698B">
            <w:pPr>
              <w:pStyle w:val="179"/>
            </w:pPr>
            <w:r>
              <w:rPr>
                <w:rFonts w:hint="eastAsia"/>
              </w:rPr>
              <w:t>8</w:t>
            </w:r>
          </w:p>
        </w:tc>
        <w:tc>
          <w:tcPr>
            <w:tcW w:w="1040" w:type="dxa"/>
            <w:shd w:val="clear" w:color="auto" w:fill="auto"/>
            <w:vAlign w:val="center"/>
          </w:tcPr>
          <w:p w14:paraId="51E2D00A">
            <w:pPr>
              <w:pStyle w:val="179"/>
            </w:pPr>
            <w:r>
              <w:t>脱钩器</w:t>
            </w:r>
          </w:p>
        </w:tc>
        <w:tc>
          <w:tcPr>
            <w:tcW w:w="1040" w:type="dxa"/>
            <w:shd w:val="clear" w:color="auto" w:fill="auto"/>
            <w:vAlign w:val="center"/>
          </w:tcPr>
          <w:p w14:paraId="0553E19C">
            <w:pPr>
              <w:pStyle w:val="179"/>
            </w:pPr>
            <w:r>
              <w:rPr>
                <w:rFonts w:hint="eastAsia"/>
              </w:rPr>
              <w:t>4</w:t>
            </w:r>
          </w:p>
        </w:tc>
        <w:tc>
          <w:tcPr>
            <w:tcW w:w="1040" w:type="dxa"/>
            <w:shd w:val="clear" w:color="auto" w:fill="auto"/>
            <w:vAlign w:val="center"/>
          </w:tcPr>
          <w:p w14:paraId="7E02C634">
            <w:pPr>
              <w:pStyle w:val="179"/>
            </w:pPr>
            <w:r>
              <w:t>完好</w:t>
            </w:r>
          </w:p>
        </w:tc>
      </w:tr>
      <w:tr w14:paraId="16D97B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43" w:type="dxa"/>
            <w:shd w:val="clear" w:color="auto" w:fill="auto"/>
            <w:vAlign w:val="center"/>
          </w:tcPr>
          <w:p w14:paraId="3FA56DAC">
            <w:pPr>
              <w:pStyle w:val="179"/>
            </w:pPr>
            <w:r>
              <w:rPr>
                <w:rFonts w:hint="eastAsia"/>
              </w:rPr>
              <w:t>4</w:t>
            </w:r>
          </w:p>
        </w:tc>
        <w:tc>
          <w:tcPr>
            <w:tcW w:w="1280" w:type="dxa"/>
            <w:shd w:val="clear" w:color="auto" w:fill="auto"/>
            <w:vAlign w:val="center"/>
          </w:tcPr>
          <w:p w14:paraId="486D43BD">
            <w:pPr>
              <w:pStyle w:val="179"/>
            </w:pPr>
            <w:r>
              <w:rPr>
                <w:rFonts w:hint="eastAsia"/>
              </w:rPr>
              <w:t>遥控器</w:t>
            </w:r>
          </w:p>
        </w:tc>
        <w:tc>
          <w:tcPr>
            <w:tcW w:w="806" w:type="dxa"/>
            <w:shd w:val="clear" w:color="auto" w:fill="auto"/>
            <w:vAlign w:val="center"/>
          </w:tcPr>
          <w:p w14:paraId="22CC84DA">
            <w:pPr>
              <w:pStyle w:val="179"/>
            </w:pPr>
            <w:r>
              <w:rPr>
                <w:rFonts w:hint="eastAsia"/>
              </w:rPr>
              <w:t>2</w:t>
            </w:r>
          </w:p>
        </w:tc>
        <w:tc>
          <w:tcPr>
            <w:tcW w:w="1500" w:type="dxa"/>
            <w:shd w:val="clear" w:color="auto" w:fill="auto"/>
            <w:vAlign w:val="center"/>
          </w:tcPr>
          <w:p w14:paraId="1B1154D9">
            <w:pPr>
              <w:pStyle w:val="179"/>
            </w:pPr>
            <w:r>
              <w:rPr>
                <w:rFonts w:hint="eastAsia"/>
              </w:rPr>
              <w:t>其他完好；1号故障</w:t>
            </w:r>
          </w:p>
        </w:tc>
        <w:tc>
          <w:tcPr>
            <w:tcW w:w="582" w:type="dxa"/>
            <w:shd w:val="clear" w:color="auto" w:fill="auto"/>
            <w:vAlign w:val="center"/>
          </w:tcPr>
          <w:p w14:paraId="02F0BE69">
            <w:pPr>
              <w:pStyle w:val="179"/>
            </w:pPr>
          </w:p>
        </w:tc>
        <w:tc>
          <w:tcPr>
            <w:tcW w:w="1043" w:type="dxa"/>
            <w:shd w:val="clear" w:color="auto" w:fill="auto"/>
            <w:vAlign w:val="center"/>
          </w:tcPr>
          <w:p w14:paraId="68C570BF">
            <w:pPr>
              <w:pStyle w:val="179"/>
            </w:pPr>
            <w:r>
              <w:rPr>
                <w:rFonts w:hint="eastAsia"/>
              </w:rPr>
              <w:t>9</w:t>
            </w:r>
          </w:p>
        </w:tc>
        <w:tc>
          <w:tcPr>
            <w:tcW w:w="1040" w:type="dxa"/>
            <w:shd w:val="clear" w:color="auto" w:fill="auto"/>
            <w:vAlign w:val="center"/>
          </w:tcPr>
          <w:p w14:paraId="79834ED7">
            <w:pPr>
              <w:pStyle w:val="179"/>
            </w:pPr>
            <w:r>
              <w:t>绳索</w:t>
            </w:r>
          </w:p>
        </w:tc>
        <w:tc>
          <w:tcPr>
            <w:tcW w:w="1040" w:type="dxa"/>
            <w:shd w:val="clear" w:color="auto" w:fill="auto"/>
            <w:vAlign w:val="center"/>
          </w:tcPr>
          <w:p w14:paraId="3D747DD3">
            <w:pPr>
              <w:pStyle w:val="179"/>
            </w:pPr>
            <w:r>
              <w:rPr>
                <w:rFonts w:hint="eastAsia"/>
              </w:rPr>
              <w:t>4</w:t>
            </w:r>
          </w:p>
        </w:tc>
        <w:tc>
          <w:tcPr>
            <w:tcW w:w="1040" w:type="dxa"/>
            <w:shd w:val="clear" w:color="auto" w:fill="auto"/>
            <w:vAlign w:val="center"/>
          </w:tcPr>
          <w:p w14:paraId="390BDAE6">
            <w:pPr>
              <w:pStyle w:val="179"/>
            </w:pPr>
            <w:r>
              <w:rPr>
                <w:rFonts w:hint="eastAsia"/>
              </w:rPr>
              <w:t>1根磨损</w:t>
            </w:r>
          </w:p>
        </w:tc>
      </w:tr>
      <w:tr w14:paraId="041576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43" w:type="dxa"/>
            <w:shd w:val="clear" w:color="auto" w:fill="auto"/>
            <w:vAlign w:val="center"/>
          </w:tcPr>
          <w:p w14:paraId="3070386D">
            <w:pPr>
              <w:pStyle w:val="179"/>
            </w:pPr>
            <w:r>
              <w:rPr>
                <w:rFonts w:hint="eastAsia"/>
              </w:rPr>
              <w:t>5</w:t>
            </w:r>
          </w:p>
        </w:tc>
        <w:tc>
          <w:tcPr>
            <w:tcW w:w="1280" w:type="dxa"/>
            <w:shd w:val="clear" w:color="auto" w:fill="auto"/>
            <w:vAlign w:val="center"/>
          </w:tcPr>
          <w:p w14:paraId="5C318137">
            <w:pPr>
              <w:pStyle w:val="179"/>
            </w:pPr>
            <w:r>
              <w:rPr>
                <w:rFonts w:hint="eastAsia"/>
              </w:rPr>
              <w:t>遥控器电池</w:t>
            </w:r>
          </w:p>
        </w:tc>
        <w:tc>
          <w:tcPr>
            <w:tcW w:w="806" w:type="dxa"/>
            <w:shd w:val="clear" w:color="auto" w:fill="auto"/>
            <w:vAlign w:val="center"/>
          </w:tcPr>
          <w:p w14:paraId="72371017">
            <w:pPr>
              <w:pStyle w:val="179"/>
            </w:pPr>
            <w:r>
              <w:rPr>
                <w:rFonts w:hint="eastAsia"/>
              </w:rPr>
              <w:t>6</w:t>
            </w:r>
          </w:p>
        </w:tc>
        <w:tc>
          <w:tcPr>
            <w:tcW w:w="1500" w:type="dxa"/>
            <w:shd w:val="clear" w:color="auto" w:fill="auto"/>
            <w:vAlign w:val="center"/>
          </w:tcPr>
          <w:p w14:paraId="45713EE3">
            <w:pPr>
              <w:pStyle w:val="179"/>
            </w:pPr>
            <w:r>
              <w:rPr>
                <w:rFonts w:hint="eastAsia"/>
              </w:rPr>
              <w:t>完好</w:t>
            </w:r>
          </w:p>
        </w:tc>
        <w:tc>
          <w:tcPr>
            <w:tcW w:w="582" w:type="dxa"/>
            <w:shd w:val="clear" w:color="auto" w:fill="auto"/>
            <w:vAlign w:val="center"/>
          </w:tcPr>
          <w:p w14:paraId="2486601C">
            <w:pPr>
              <w:pStyle w:val="179"/>
            </w:pPr>
          </w:p>
        </w:tc>
        <w:tc>
          <w:tcPr>
            <w:tcW w:w="1043" w:type="dxa"/>
            <w:shd w:val="clear" w:color="auto" w:fill="auto"/>
            <w:vAlign w:val="center"/>
          </w:tcPr>
          <w:p w14:paraId="5221DD40">
            <w:pPr>
              <w:pStyle w:val="179"/>
            </w:pPr>
            <w:r>
              <w:rPr>
                <w:rFonts w:hint="eastAsia"/>
              </w:rPr>
              <w:t>10</w:t>
            </w:r>
          </w:p>
        </w:tc>
        <w:tc>
          <w:tcPr>
            <w:tcW w:w="1040" w:type="dxa"/>
            <w:shd w:val="clear" w:color="auto" w:fill="auto"/>
            <w:vAlign w:val="center"/>
          </w:tcPr>
          <w:p w14:paraId="7831BA3C">
            <w:pPr>
              <w:pStyle w:val="179"/>
            </w:pPr>
            <w:r>
              <w:t>对讲机</w:t>
            </w:r>
          </w:p>
        </w:tc>
        <w:tc>
          <w:tcPr>
            <w:tcW w:w="1040" w:type="dxa"/>
            <w:shd w:val="clear" w:color="auto" w:fill="auto"/>
            <w:vAlign w:val="center"/>
          </w:tcPr>
          <w:p w14:paraId="26C295C5">
            <w:pPr>
              <w:pStyle w:val="179"/>
            </w:pPr>
            <w:r>
              <w:rPr>
                <w:rFonts w:hint="eastAsia"/>
              </w:rPr>
              <w:t>6</w:t>
            </w:r>
          </w:p>
        </w:tc>
        <w:tc>
          <w:tcPr>
            <w:tcW w:w="1040" w:type="dxa"/>
            <w:shd w:val="clear" w:color="auto" w:fill="auto"/>
            <w:vAlign w:val="center"/>
          </w:tcPr>
          <w:p w14:paraId="11F877B8">
            <w:pPr>
              <w:pStyle w:val="179"/>
            </w:pPr>
            <w:r>
              <w:t>无电</w:t>
            </w:r>
          </w:p>
        </w:tc>
      </w:tr>
      <w:tr w14:paraId="25D0C1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43" w:type="dxa"/>
            <w:shd w:val="clear" w:color="auto" w:fill="auto"/>
            <w:vAlign w:val="center"/>
          </w:tcPr>
          <w:p w14:paraId="466E2B37">
            <w:pPr>
              <w:pStyle w:val="179"/>
              <w:jc w:val="both"/>
            </w:pPr>
          </w:p>
        </w:tc>
        <w:tc>
          <w:tcPr>
            <w:tcW w:w="1280" w:type="dxa"/>
            <w:shd w:val="clear" w:color="auto" w:fill="auto"/>
            <w:vAlign w:val="center"/>
          </w:tcPr>
          <w:p w14:paraId="0B7CA61D">
            <w:pPr>
              <w:pStyle w:val="179"/>
            </w:pPr>
          </w:p>
        </w:tc>
        <w:tc>
          <w:tcPr>
            <w:tcW w:w="806" w:type="dxa"/>
            <w:shd w:val="clear" w:color="auto" w:fill="auto"/>
            <w:vAlign w:val="center"/>
          </w:tcPr>
          <w:p w14:paraId="47FD64CD">
            <w:pPr>
              <w:pStyle w:val="179"/>
            </w:pPr>
          </w:p>
        </w:tc>
        <w:tc>
          <w:tcPr>
            <w:tcW w:w="1500" w:type="dxa"/>
            <w:shd w:val="clear" w:color="auto" w:fill="auto"/>
            <w:vAlign w:val="center"/>
          </w:tcPr>
          <w:p w14:paraId="5F10E423">
            <w:pPr>
              <w:pStyle w:val="179"/>
            </w:pPr>
          </w:p>
        </w:tc>
        <w:tc>
          <w:tcPr>
            <w:tcW w:w="582" w:type="dxa"/>
            <w:shd w:val="clear" w:color="auto" w:fill="auto"/>
            <w:vAlign w:val="center"/>
          </w:tcPr>
          <w:p w14:paraId="260D007D">
            <w:pPr>
              <w:pStyle w:val="179"/>
            </w:pPr>
          </w:p>
        </w:tc>
        <w:tc>
          <w:tcPr>
            <w:tcW w:w="1043" w:type="dxa"/>
            <w:shd w:val="clear" w:color="auto" w:fill="auto"/>
            <w:vAlign w:val="center"/>
          </w:tcPr>
          <w:p w14:paraId="5BD872DB">
            <w:pPr>
              <w:pStyle w:val="179"/>
            </w:pPr>
            <w:r>
              <w:rPr>
                <w:rFonts w:hint="eastAsia"/>
              </w:rPr>
              <w:t>11</w:t>
            </w:r>
          </w:p>
        </w:tc>
        <w:tc>
          <w:tcPr>
            <w:tcW w:w="1040" w:type="dxa"/>
            <w:shd w:val="clear" w:color="auto" w:fill="auto"/>
            <w:vAlign w:val="center"/>
          </w:tcPr>
          <w:p w14:paraId="19BB2549">
            <w:pPr>
              <w:pStyle w:val="179"/>
            </w:pPr>
            <w:r>
              <w:t>安全帽</w:t>
            </w:r>
          </w:p>
        </w:tc>
        <w:tc>
          <w:tcPr>
            <w:tcW w:w="1040" w:type="dxa"/>
            <w:shd w:val="clear" w:color="auto" w:fill="auto"/>
            <w:vAlign w:val="center"/>
          </w:tcPr>
          <w:p w14:paraId="3B92204F">
            <w:pPr>
              <w:pStyle w:val="179"/>
            </w:pPr>
            <w:r>
              <w:rPr>
                <w:rFonts w:hint="eastAsia"/>
              </w:rPr>
              <w:t>6</w:t>
            </w:r>
          </w:p>
        </w:tc>
        <w:tc>
          <w:tcPr>
            <w:tcW w:w="1040" w:type="dxa"/>
            <w:shd w:val="clear" w:color="auto" w:fill="auto"/>
            <w:vAlign w:val="center"/>
          </w:tcPr>
          <w:p w14:paraId="6FEE58C7">
            <w:pPr>
              <w:pStyle w:val="179"/>
            </w:pPr>
            <w:r>
              <w:t>完好</w:t>
            </w:r>
          </w:p>
        </w:tc>
      </w:tr>
      <w:tr w14:paraId="596796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43" w:type="dxa"/>
            <w:shd w:val="clear" w:color="auto" w:fill="auto"/>
            <w:vAlign w:val="center"/>
          </w:tcPr>
          <w:p w14:paraId="549F2B33">
            <w:pPr>
              <w:pStyle w:val="179"/>
            </w:pPr>
          </w:p>
        </w:tc>
        <w:tc>
          <w:tcPr>
            <w:tcW w:w="1280" w:type="dxa"/>
            <w:shd w:val="clear" w:color="auto" w:fill="auto"/>
            <w:vAlign w:val="center"/>
          </w:tcPr>
          <w:p w14:paraId="79491499">
            <w:pPr>
              <w:pStyle w:val="179"/>
            </w:pPr>
          </w:p>
        </w:tc>
        <w:tc>
          <w:tcPr>
            <w:tcW w:w="806" w:type="dxa"/>
            <w:shd w:val="clear" w:color="auto" w:fill="auto"/>
            <w:vAlign w:val="center"/>
          </w:tcPr>
          <w:p w14:paraId="03A81FF5">
            <w:pPr>
              <w:pStyle w:val="179"/>
            </w:pPr>
          </w:p>
        </w:tc>
        <w:tc>
          <w:tcPr>
            <w:tcW w:w="1500" w:type="dxa"/>
            <w:shd w:val="clear" w:color="auto" w:fill="auto"/>
            <w:vAlign w:val="center"/>
          </w:tcPr>
          <w:p w14:paraId="63DE9C8B">
            <w:pPr>
              <w:pStyle w:val="179"/>
            </w:pPr>
          </w:p>
        </w:tc>
        <w:tc>
          <w:tcPr>
            <w:tcW w:w="582" w:type="dxa"/>
            <w:shd w:val="clear" w:color="auto" w:fill="auto"/>
            <w:vAlign w:val="center"/>
          </w:tcPr>
          <w:p w14:paraId="6E287695">
            <w:pPr>
              <w:pStyle w:val="179"/>
            </w:pPr>
          </w:p>
        </w:tc>
        <w:tc>
          <w:tcPr>
            <w:tcW w:w="1043" w:type="dxa"/>
            <w:shd w:val="clear" w:color="auto" w:fill="auto"/>
            <w:vAlign w:val="center"/>
          </w:tcPr>
          <w:p w14:paraId="215A1629">
            <w:pPr>
              <w:pStyle w:val="179"/>
            </w:pPr>
          </w:p>
        </w:tc>
        <w:tc>
          <w:tcPr>
            <w:tcW w:w="1040" w:type="dxa"/>
            <w:shd w:val="clear" w:color="auto" w:fill="auto"/>
            <w:vAlign w:val="center"/>
          </w:tcPr>
          <w:p w14:paraId="1810E941">
            <w:pPr>
              <w:pStyle w:val="179"/>
            </w:pPr>
            <w:r>
              <w:t>…</w:t>
            </w:r>
          </w:p>
        </w:tc>
        <w:tc>
          <w:tcPr>
            <w:tcW w:w="1040" w:type="dxa"/>
            <w:shd w:val="clear" w:color="auto" w:fill="auto"/>
            <w:vAlign w:val="center"/>
          </w:tcPr>
          <w:p w14:paraId="5BD12B98">
            <w:pPr>
              <w:pStyle w:val="179"/>
            </w:pPr>
          </w:p>
        </w:tc>
        <w:tc>
          <w:tcPr>
            <w:tcW w:w="1040" w:type="dxa"/>
            <w:shd w:val="clear" w:color="auto" w:fill="auto"/>
            <w:vAlign w:val="center"/>
          </w:tcPr>
          <w:p w14:paraId="02823CEA">
            <w:pPr>
              <w:pStyle w:val="179"/>
            </w:pPr>
          </w:p>
        </w:tc>
      </w:tr>
    </w:tbl>
    <w:p w14:paraId="76078C3E">
      <w:pPr>
        <w:pStyle w:val="57"/>
        <w:ind w:firstLine="420"/>
      </w:pPr>
    </w:p>
    <w:p w14:paraId="1A9C2262">
      <w:pPr>
        <w:pStyle w:val="57"/>
        <w:ind w:firstLine="420"/>
      </w:pPr>
    </w:p>
    <w:p w14:paraId="03CF8B95">
      <w:pPr>
        <w:pStyle w:val="57"/>
        <w:ind w:firstLine="420"/>
        <w:sectPr>
          <w:headerReference r:id="rId43" w:type="default"/>
          <w:footerReference r:id="rId45" w:type="default"/>
          <w:headerReference r:id="rId44" w:type="even"/>
          <w:footerReference r:id="rId46" w:type="even"/>
          <w:pgSz w:w="11906" w:h="16838"/>
          <w:pgMar w:top="1928" w:right="1134" w:bottom="1134" w:left="1134" w:header="1418" w:footer="1134" w:gutter="284"/>
          <w:cols w:space="425" w:num="1"/>
          <w:formProt w:val="0"/>
          <w:docGrid w:linePitch="312" w:charSpace="0"/>
        </w:sectPr>
      </w:pPr>
    </w:p>
    <w:p w14:paraId="0DDB2921">
      <w:pPr>
        <w:pStyle w:val="199"/>
      </w:pPr>
    </w:p>
    <w:p w14:paraId="2BC58B5D">
      <w:pPr>
        <w:pStyle w:val="200"/>
      </w:pPr>
    </w:p>
    <w:p w14:paraId="54804759">
      <w:pPr>
        <w:pStyle w:val="77"/>
        <w:spacing w:after="120"/>
      </w:pPr>
      <w:r>
        <w:br w:type="textWrapping"/>
      </w:r>
      <w:bookmarkStart w:id="630" w:name="_Toc201646653"/>
      <w:bookmarkStart w:id="631" w:name="_Toc201271271"/>
      <w:bookmarkStart w:id="632" w:name="_Toc201271997"/>
      <w:bookmarkStart w:id="633" w:name="_Toc201437582"/>
      <w:bookmarkStart w:id="634" w:name="_Toc201760261"/>
      <w:bookmarkStart w:id="635" w:name="_Toc201569628"/>
      <w:bookmarkStart w:id="636" w:name="_Toc201272039"/>
      <w:bookmarkStart w:id="637" w:name="_Toc201611363"/>
      <w:bookmarkStart w:id="638" w:name="_Toc201433993"/>
      <w:bookmarkStart w:id="639" w:name="_Toc201433927"/>
      <w:bookmarkStart w:id="640" w:name="_Toc201787880"/>
      <w:bookmarkStart w:id="641" w:name="_Toc201434428"/>
      <w:bookmarkStart w:id="642" w:name="_Toc201438598"/>
      <w:r>
        <w:rPr>
          <w:rFonts w:hint="eastAsia"/>
        </w:rPr>
        <w:t>（资料性）</w:t>
      </w:r>
      <w:r>
        <w:br w:type="textWrapping"/>
      </w:r>
      <w:r>
        <w:rPr>
          <w:rFonts w:hint="eastAsia"/>
        </w:rPr>
        <w:t>作业形式图</w:t>
      </w:r>
      <w:bookmarkEnd w:id="630"/>
      <w:bookmarkEnd w:id="631"/>
      <w:bookmarkEnd w:id="632"/>
      <w:bookmarkEnd w:id="633"/>
      <w:bookmarkEnd w:id="634"/>
      <w:bookmarkEnd w:id="635"/>
      <w:bookmarkEnd w:id="636"/>
      <w:bookmarkEnd w:id="637"/>
      <w:bookmarkEnd w:id="638"/>
      <w:bookmarkEnd w:id="639"/>
      <w:bookmarkEnd w:id="640"/>
      <w:bookmarkEnd w:id="641"/>
      <w:bookmarkEnd w:id="642"/>
    </w:p>
    <w:p w14:paraId="583E15FF">
      <w:pPr>
        <w:pStyle w:val="57"/>
        <w:ind w:firstLine="420"/>
      </w:pPr>
      <w:r>
        <w:rPr>
          <w:rFonts w:hint="eastAsia"/>
        </w:rPr>
        <w:t>作业形式见图E。</w:t>
      </w:r>
    </w:p>
    <w:p w14:paraId="60DEAA5B">
      <w:pPr>
        <w:pStyle w:val="57"/>
        <w:ind w:firstLine="420"/>
      </w:pPr>
      <w:r>
        <w:drawing>
          <wp:inline distT="0" distB="0" distL="0" distR="0">
            <wp:extent cx="1866900" cy="2409190"/>
            <wp:effectExtent l="0" t="0" r="0" b="0"/>
            <wp:docPr id="3" name="图片 3" descr="三机接力"/>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三机接力"/>
                    <pic:cNvPicPr>
                      <a:picLocks noChangeAspect="1"/>
                    </pic:cNvPicPr>
                  </pic:nvPicPr>
                  <pic:blipFill>
                    <a:blip r:embed="rId65"/>
                    <a:stretch>
                      <a:fillRect/>
                    </a:stretch>
                  </pic:blipFill>
                  <pic:spPr>
                    <a:xfrm>
                      <a:off x="0" y="0"/>
                      <a:ext cx="1872787" cy="2416879"/>
                    </a:xfrm>
                    <a:prstGeom prst="rect">
                      <a:avLst/>
                    </a:prstGeom>
                  </pic:spPr>
                </pic:pic>
              </a:graphicData>
            </a:graphic>
          </wp:inline>
        </w:drawing>
      </w:r>
      <w:r>
        <w:rPr>
          <w:rFonts w:hint="eastAsia"/>
        </w:rPr>
        <w:t xml:space="preserve">                              </w:t>
      </w:r>
      <w:r>
        <w:drawing>
          <wp:inline distT="0" distB="0" distL="0" distR="0">
            <wp:extent cx="1778635" cy="2445385"/>
            <wp:effectExtent l="0" t="0" r="0" b="0"/>
            <wp:docPr id="11" name="图片 11" descr="多机交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多机交替"/>
                    <pic:cNvPicPr>
                      <a:picLocks noChangeAspect="1"/>
                    </pic:cNvPicPr>
                  </pic:nvPicPr>
                  <pic:blipFill>
                    <a:blip r:embed="rId66"/>
                    <a:stretch>
                      <a:fillRect/>
                    </a:stretch>
                  </pic:blipFill>
                  <pic:spPr>
                    <a:xfrm>
                      <a:off x="0" y="0"/>
                      <a:ext cx="1780455" cy="2447494"/>
                    </a:xfrm>
                    <a:prstGeom prst="rect">
                      <a:avLst/>
                    </a:prstGeom>
                  </pic:spPr>
                </pic:pic>
              </a:graphicData>
            </a:graphic>
          </wp:inline>
        </w:drawing>
      </w:r>
    </w:p>
    <w:p w14:paraId="593A5347">
      <w:pPr>
        <w:pStyle w:val="57"/>
        <w:ind w:firstLine="1260" w:firstLineChars="700"/>
        <w:rPr>
          <w:sz w:val="18"/>
          <w:szCs w:val="18"/>
        </w:rPr>
      </w:pPr>
      <w:r>
        <w:rPr>
          <w:sz w:val="18"/>
          <w:szCs w:val="18"/>
        </w:rPr>
        <w:t>a）接力模式</w:t>
      </w:r>
      <w:r>
        <w:rPr>
          <w:rFonts w:hint="eastAsia"/>
          <w:sz w:val="18"/>
          <w:szCs w:val="18"/>
        </w:rPr>
        <w:t xml:space="preserve">                                                        b</w:t>
      </w:r>
      <w:r>
        <w:rPr>
          <w:sz w:val="18"/>
          <w:szCs w:val="18"/>
        </w:rPr>
        <w:t>）交替模式</w:t>
      </w:r>
    </w:p>
    <w:p w14:paraId="2D99AC0D">
      <w:pPr>
        <w:pStyle w:val="57"/>
        <w:ind w:firstLine="360"/>
        <w:rPr>
          <w:sz w:val="18"/>
          <w:szCs w:val="18"/>
        </w:rPr>
      </w:pPr>
    </w:p>
    <w:p w14:paraId="7B6A3FB8">
      <w:pPr>
        <w:pStyle w:val="57"/>
        <w:ind w:firstLine="360"/>
        <w:rPr>
          <w:sz w:val="18"/>
          <w:szCs w:val="18"/>
        </w:rPr>
      </w:pPr>
    </w:p>
    <w:p w14:paraId="361B5D3F">
      <w:pPr>
        <w:pStyle w:val="57"/>
        <w:ind w:firstLine="420"/>
        <w:rPr>
          <w:sz w:val="18"/>
          <w:szCs w:val="18"/>
        </w:rPr>
      </w:pPr>
      <w:r>
        <w:drawing>
          <wp:inline distT="0" distB="0" distL="0" distR="0">
            <wp:extent cx="1866900" cy="2303780"/>
            <wp:effectExtent l="0" t="0" r="0" b="1270"/>
            <wp:docPr id="6" name="图片 6" descr="双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双机"/>
                    <pic:cNvPicPr>
                      <a:picLocks noChangeAspect="1"/>
                    </pic:cNvPicPr>
                  </pic:nvPicPr>
                  <pic:blipFill>
                    <a:blip r:embed="rId67"/>
                    <a:stretch>
                      <a:fillRect/>
                    </a:stretch>
                  </pic:blipFill>
                  <pic:spPr>
                    <a:xfrm>
                      <a:off x="0" y="0"/>
                      <a:ext cx="1869357" cy="2307423"/>
                    </a:xfrm>
                    <a:prstGeom prst="rect">
                      <a:avLst/>
                    </a:prstGeom>
                  </pic:spPr>
                </pic:pic>
              </a:graphicData>
            </a:graphic>
          </wp:inline>
        </w:drawing>
      </w:r>
      <w:r>
        <w:rPr>
          <w:rFonts w:hint="eastAsia"/>
          <w:sz w:val="18"/>
          <w:szCs w:val="18"/>
        </w:rPr>
        <w:t xml:space="preserve">                                    </w:t>
      </w:r>
      <w:r>
        <w:drawing>
          <wp:inline distT="0" distB="0" distL="0" distR="0">
            <wp:extent cx="1704975" cy="2291080"/>
            <wp:effectExtent l="0" t="0" r="0" b="0"/>
            <wp:docPr id="10" name="图片 10" descr="三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三机2"/>
                    <pic:cNvPicPr>
                      <a:picLocks noChangeAspect="1"/>
                    </pic:cNvPicPr>
                  </pic:nvPicPr>
                  <pic:blipFill>
                    <a:blip r:embed="rId68"/>
                    <a:stretch>
                      <a:fillRect/>
                    </a:stretch>
                  </pic:blipFill>
                  <pic:spPr>
                    <a:xfrm>
                      <a:off x="0" y="0"/>
                      <a:ext cx="1704975" cy="2291519"/>
                    </a:xfrm>
                    <a:prstGeom prst="rect">
                      <a:avLst/>
                    </a:prstGeom>
                  </pic:spPr>
                </pic:pic>
              </a:graphicData>
            </a:graphic>
          </wp:inline>
        </w:drawing>
      </w:r>
    </w:p>
    <w:p w14:paraId="52D506D6">
      <w:pPr>
        <w:pStyle w:val="57"/>
        <w:ind w:firstLine="360"/>
        <w:rPr>
          <w:sz w:val="18"/>
          <w:szCs w:val="18"/>
        </w:rPr>
      </w:pPr>
      <w:r>
        <w:rPr>
          <w:rFonts w:hint="eastAsia"/>
          <w:sz w:val="18"/>
          <w:szCs w:val="18"/>
        </w:rPr>
        <w:t xml:space="preserve">         c</w:t>
      </w:r>
      <w:r>
        <w:rPr>
          <w:sz w:val="18"/>
          <w:szCs w:val="18"/>
        </w:rPr>
        <w:t>）双机联合模式</w:t>
      </w:r>
      <w:r>
        <w:rPr>
          <w:rFonts w:hint="eastAsia"/>
          <w:sz w:val="18"/>
          <w:szCs w:val="18"/>
        </w:rPr>
        <w:t xml:space="preserve">                                                     d</w:t>
      </w:r>
      <w:r>
        <w:rPr>
          <w:sz w:val="18"/>
          <w:szCs w:val="18"/>
        </w:rPr>
        <w:t>）三机联合模式</w:t>
      </w:r>
    </w:p>
    <w:p w14:paraId="51742E7C">
      <w:pPr>
        <w:pStyle w:val="84"/>
        <w:spacing w:before="120" w:after="120"/>
      </w:pPr>
      <w:r>
        <w:rPr>
          <w:rFonts w:hint="eastAsia"/>
        </w:rPr>
        <w:t>作业形式图</w:t>
      </w:r>
    </w:p>
    <w:p w14:paraId="712836B7">
      <w:pPr>
        <w:pStyle w:val="57"/>
        <w:ind w:firstLine="420"/>
      </w:pPr>
    </w:p>
    <w:p w14:paraId="2B5081A8">
      <w:pPr>
        <w:pStyle w:val="57"/>
        <w:ind w:firstLine="420"/>
        <w:sectPr>
          <w:headerReference r:id="rId47" w:type="default"/>
          <w:footerReference r:id="rId49" w:type="default"/>
          <w:headerReference r:id="rId48" w:type="even"/>
          <w:footerReference r:id="rId50" w:type="even"/>
          <w:pgSz w:w="11906" w:h="16838"/>
          <w:pgMar w:top="1928" w:right="1134" w:bottom="1134" w:left="1134" w:header="1418" w:footer="1134" w:gutter="284"/>
          <w:cols w:space="425" w:num="1"/>
          <w:formProt w:val="0"/>
          <w:docGrid w:linePitch="312" w:charSpace="0"/>
        </w:sectPr>
      </w:pPr>
    </w:p>
    <w:p w14:paraId="4B688C15">
      <w:pPr>
        <w:pStyle w:val="199"/>
      </w:pPr>
    </w:p>
    <w:p w14:paraId="04D2DC4C">
      <w:pPr>
        <w:pStyle w:val="200"/>
      </w:pPr>
    </w:p>
    <w:p w14:paraId="2859FAD8">
      <w:pPr>
        <w:pStyle w:val="77"/>
        <w:spacing w:after="120"/>
      </w:pPr>
      <w:r>
        <w:br w:type="textWrapping"/>
      </w:r>
      <w:bookmarkStart w:id="643" w:name="_Toc201611364"/>
      <w:bookmarkStart w:id="644" w:name="_Toc201760262"/>
      <w:bookmarkStart w:id="645" w:name="_Toc201272040"/>
      <w:bookmarkStart w:id="646" w:name="_Toc201438599"/>
      <w:bookmarkStart w:id="647" w:name="_Toc201437583"/>
      <w:bookmarkStart w:id="648" w:name="_Toc201433994"/>
      <w:bookmarkStart w:id="649" w:name="_Toc201433928"/>
      <w:bookmarkStart w:id="650" w:name="_Toc201271272"/>
      <w:bookmarkStart w:id="651" w:name="_Toc201787881"/>
      <w:bookmarkStart w:id="652" w:name="_Toc201569629"/>
      <w:bookmarkStart w:id="653" w:name="_Toc201434429"/>
      <w:bookmarkStart w:id="654" w:name="_Toc201271998"/>
      <w:bookmarkStart w:id="655" w:name="_Toc201646654"/>
      <w:r>
        <w:rPr>
          <w:rFonts w:hint="eastAsia"/>
        </w:rPr>
        <w:t>（资料性）</w:t>
      </w:r>
      <w:r>
        <w:br w:type="textWrapping"/>
      </w:r>
      <w:r>
        <w:rPr>
          <w:rFonts w:hint="eastAsia"/>
        </w:rPr>
        <w:t>手势动作对照表</w:t>
      </w:r>
      <w:bookmarkEnd w:id="643"/>
      <w:bookmarkEnd w:id="644"/>
      <w:bookmarkEnd w:id="645"/>
      <w:bookmarkEnd w:id="646"/>
      <w:bookmarkEnd w:id="647"/>
      <w:bookmarkEnd w:id="648"/>
      <w:bookmarkEnd w:id="649"/>
      <w:bookmarkEnd w:id="650"/>
      <w:bookmarkEnd w:id="651"/>
      <w:bookmarkEnd w:id="652"/>
      <w:bookmarkEnd w:id="653"/>
      <w:bookmarkEnd w:id="654"/>
      <w:bookmarkEnd w:id="655"/>
    </w:p>
    <w:p w14:paraId="1EF902E4">
      <w:pPr>
        <w:pStyle w:val="57"/>
        <w:ind w:firstLine="420"/>
      </w:pPr>
      <w:r>
        <w:rPr>
          <w:rFonts w:hint="eastAsia"/>
        </w:rPr>
        <w:t>手势动作对照表见表E.1。</w:t>
      </w:r>
    </w:p>
    <w:p w14:paraId="51F0B72C">
      <w:pPr>
        <w:pStyle w:val="78"/>
        <w:spacing w:before="120" w:after="120"/>
      </w:pPr>
      <w:r>
        <w:rPr>
          <w:rFonts w:hint="eastAsia"/>
        </w:rPr>
        <w:t>手势动作对照表</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61"/>
        <w:gridCol w:w="577"/>
        <w:gridCol w:w="719"/>
        <w:gridCol w:w="725"/>
        <w:gridCol w:w="725"/>
        <w:gridCol w:w="720"/>
        <w:gridCol w:w="720"/>
        <w:gridCol w:w="720"/>
        <w:gridCol w:w="720"/>
        <w:gridCol w:w="720"/>
        <w:gridCol w:w="720"/>
        <w:gridCol w:w="721"/>
        <w:gridCol w:w="726"/>
      </w:tblGrid>
      <w:tr w14:paraId="78DAA2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61" w:type="dxa"/>
            <w:tcBorders>
              <w:top w:val="single" w:color="auto" w:sz="8" w:space="0"/>
              <w:bottom w:val="single" w:color="auto" w:sz="8" w:space="0"/>
            </w:tcBorders>
            <w:shd w:val="clear" w:color="auto" w:fill="auto"/>
            <w:vAlign w:val="center"/>
          </w:tcPr>
          <w:p w14:paraId="1AB004BA">
            <w:pPr>
              <w:pStyle w:val="179"/>
            </w:pPr>
            <w:r>
              <w:rPr>
                <w:rFonts w:hint="eastAsia"/>
              </w:rPr>
              <w:t>指令内容</w:t>
            </w:r>
          </w:p>
        </w:tc>
        <w:tc>
          <w:tcPr>
            <w:tcW w:w="577" w:type="dxa"/>
            <w:tcBorders>
              <w:top w:val="single" w:color="auto" w:sz="8" w:space="0"/>
              <w:bottom w:val="single" w:color="auto" w:sz="8" w:space="0"/>
            </w:tcBorders>
            <w:shd w:val="clear" w:color="auto" w:fill="auto"/>
            <w:vAlign w:val="center"/>
          </w:tcPr>
          <w:p w14:paraId="6DB22311">
            <w:pPr>
              <w:pStyle w:val="179"/>
            </w:pPr>
            <w:r>
              <w:rPr>
                <w:rFonts w:hint="eastAsia"/>
              </w:rPr>
              <w:t>上升</w:t>
            </w:r>
          </w:p>
        </w:tc>
        <w:tc>
          <w:tcPr>
            <w:tcW w:w="719" w:type="dxa"/>
            <w:tcBorders>
              <w:top w:val="single" w:color="auto" w:sz="8" w:space="0"/>
              <w:bottom w:val="single" w:color="auto" w:sz="8" w:space="0"/>
            </w:tcBorders>
            <w:shd w:val="clear" w:color="auto" w:fill="auto"/>
            <w:vAlign w:val="center"/>
          </w:tcPr>
          <w:p w14:paraId="65F838A9">
            <w:pPr>
              <w:pStyle w:val="179"/>
            </w:pPr>
            <w:r>
              <w:rPr>
                <w:rFonts w:hint="eastAsia"/>
              </w:rPr>
              <w:t>下降</w:t>
            </w:r>
          </w:p>
        </w:tc>
        <w:tc>
          <w:tcPr>
            <w:tcW w:w="725" w:type="dxa"/>
            <w:tcBorders>
              <w:top w:val="single" w:color="auto" w:sz="8" w:space="0"/>
              <w:bottom w:val="single" w:color="auto" w:sz="8" w:space="0"/>
            </w:tcBorders>
            <w:shd w:val="clear" w:color="auto" w:fill="auto"/>
            <w:vAlign w:val="center"/>
          </w:tcPr>
          <w:p w14:paraId="7EA2A466">
            <w:pPr>
              <w:pStyle w:val="179"/>
            </w:pPr>
            <w:r>
              <w:rPr>
                <w:rFonts w:hint="eastAsia"/>
              </w:rPr>
              <w:t>左移动</w:t>
            </w:r>
          </w:p>
        </w:tc>
        <w:tc>
          <w:tcPr>
            <w:tcW w:w="725" w:type="dxa"/>
            <w:tcBorders>
              <w:top w:val="single" w:color="auto" w:sz="8" w:space="0"/>
              <w:bottom w:val="single" w:color="auto" w:sz="8" w:space="0"/>
            </w:tcBorders>
            <w:shd w:val="clear" w:color="auto" w:fill="auto"/>
            <w:vAlign w:val="center"/>
          </w:tcPr>
          <w:p w14:paraId="4089EAAB">
            <w:pPr>
              <w:pStyle w:val="179"/>
            </w:pPr>
            <w:r>
              <w:rPr>
                <w:rFonts w:hint="eastAsia"/>
              </w:rPr>
              <w:t>右移动</w:t>
            </w:r>
          </w:p>
        </w:tc>
        <w:tc>
          <w:tcPr>
            <w:tcW w:w="720" w:type="dxa"/>
            <w:tcBorders>
              <w:top w:val="single" w:color="auto" w:sz="8" w:space="0"/>
              <w:bottom w:val="single" w:color="auto" w:sz="8" w:space="0"/>
            </w:tcBorders>
            <w:shd w:val="clear" w:color="auto" w:fill="auto"/>
            <w:vAlign w:val="center"/>
          </w:tcPr>
          <w:p w14:paraId="05FC87A7">
            <w:pPr>
              <w:pStyle w:val="179"/>
            </w:pPr>
            <w:r>
              <w:rPr>
                <w:rFonts w:hint="eastAsia"/>
              </w:rPr>
              <w:t>悬停</w:t>
            </w:r>
          </w:p>
        </w:tc>
        <w:tc>
          <w:tcPr>
            <w:tcW w:w="720" w:type="dxa"/>
            <w:tcBorders>
              <w:top w:val="single" w:color="auto" w:sz="8" w:space="0"/>
              <w:bottom w:val="single" w:color="auto" w:sz="8" w:space="0"/>
            </w:tcBorders>
            <w:shd w:val="clear" w:color="auto" w:fill="auto"/>
            <w:vAlign w:val="center"/>
          </w:tcPr>
          <w:p w14:paraId="43ECC9DD">
            <w:pPr>
              <w:pStyle w:val="179"/>
            </w:pPr>
            <w:r>
              <w:rPr>
                <w:rFonts w:hint="eastAsia"/>
              </w:rPr>
              <w:t>注意危险</w:t>
            </w:r>
          </w:p>
        </w:tc>
        <w:tc>
          <w:tcPr>
            <w:tcW w:w="720" w:type="dxa"/>
            <w:tcBorders>
              <w:top w:val="single" w:color="auto" w:sz="8" w:space="0"/>
              <w:bottom w:val="single" w:color="auto" w:sz="8" w:space="0"/>
            </w:tcBorders>
            <w:shd w:val="clear" w:color="auto" w:fill="auto"/>
            <w:vAlign w:val="center"/>
          </w:tcPr>
          <w:p w14:paraId="6E0905F7">
            <w:pPr>
              <w:pStyle w:val="179"/>
            </w:pPr>
            <w:r>
              <w:rPr>
                <w:rFonts w:hint="eastAsia"/>
              </w:rPr>
              <w:t>脱钩</w:t>
            </w:r>
          </w:p>
        </w:tc>
        <w:tc>
          <w:tcPr>
            <w:tcW w:w="720" w:type="dxa"/>
            <w:tcBorders>
              <w:top w:val="single" w:color="auto" w:sz="8" w:space="0"/>
              <w:bottom w:val="single" w:color="auto" w:sz="8" w:space="0"/>
            </w:tcBorders>
            <w:shd w:val="clear" w:color="auto" w:fill="auto"/>
            <w:vAlign w:val="center"/>
          </w:tcPr>
          <w:p w14:paraId="6B36B709">
            <w:pPr>
              <w:pStyle w:val="179"/>
            </w:pPr>
            <w:r>
              <w:rPr>
                <w:rFonts w:hint="eastAsia"/>
              </w:rPr>
              <w:t>完毕</w:t>
            </w:r>
          </w:p>
        </w:tc>
        <w:tc>
          <w:tcPr>
            <w:tcW w:w="720" w:type="dxa"/>
            <w:tcBorders>
              <w:top w:val="single" w:color="auto" w:sz="8" w:space="0"/>
              <w:bottom w:val="single" w:color="auto" w:sz="8" w:space="0"/>
            </w:tcBorders>
            <w:shd w:val="clear" w:color="auto" w:fill="auto"/>
            <w:vAlign w:val="center"/>
          </w:tcPr>
          <w:p w14:paraId="2D18BA19">
            <w:pPr>
              <w:pStyle w:val="179"/>
            </w:pPr>
            <w:r>
              <w:rPr>
                <w:rFonts w:hint="eastAsia"/>
              </w:rPr>
              <w:t>返航</w:t>
            </w:r>
          </w:p>
        </w:tc>
        <w:tc>
          <w:tcPr>
            <w:tcW w:w="720" w:type="dxa"/>
            <w:tcBorders>
              <w:top w:val="single" w:color="auto" w:sz="8" w:space="0"/>
              <w:bottom w:val="single" w:color="auto" w:sz="8" w:space="0"/>
            </w:tcBorders>
            <w:shd w:val="clear" w:color="auto" w:fill="auto"/>
            <w:vAlign w:val="center"/>
          </w:tcPr>
          <w:p w14:paraId="28A8253A">
            <w:pPr>
              <w:pStyle w:val="179"/>
            </w:pPr>
            <w:r>
              <w:rPr>
                <w:rFonts w:hint="eastAsia"/>
              </w:rPr>
              <w:t>再试</w:t>
            </w:r>
          </w:p>
        </w:tc>
        <w:tc>
          <w:tcPr>
            <w:tcW w:w="721" w:type="dxa"/>
            <w:tcBorders>
              <w:top w:val="single" w:color="auto" w:sz="8" w:space="0"/>
              <w:bottom w:val="single" w:color="auto" w:sz="8" w:space="0"/>
            </w:tcBorders>
            <w:shd w:val="clear" w:color="auto" w:fill="auto"/>
            <w:vAlign w:val="center"/>
          </w:tcPr>
          <w:p w14:paraId="55A8FB3C">
            <w:pPr>
              <w:pStyle w:val="179"/>
            </w:pPr>
            <w:r>
              <w:rPr>
                <w:rFonts w:hint="eastAsia"/>
              </w:rPr>
              <w:t>起飞</w:t>
            </w:r>
          </w:p>
        </w:tc>
        <w:tc>
          <w:tcPr>
            <w:tcW w:w="726" w:type="dxa"/>
            <w:tcBorders>
              <w:top w:val="single" w:color="auto" w:sz="8" w:space="0"/>
              <w:bottom w:val="single" w:color="auto" w:sz="8" w:space="0"/>
            </w:tcBorders>
            <w:shd w:val="clear" w:color="auto" w:fill="auto"/>
            <w:vAlign w:val="center"/>
          </w:tcPr>
          <w:p w14:paraId="4EBB0C7B">
            <w:pPr>
              <w:pStyle w:val="179"/>
            </w:pPr>
            <w:r>
              <w:rPr>
                <w:rFonts w:hint="eastAsia"/>
              </w:rPr>
              <w:t>……</w:t>
            </w:r>
          </w:p>
        </w:tc>
      </w:tr>
      <w:tr w14:paraId="5EFA5C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61" w:type="dxa"/>
            <w:tcBorders>
              <w:top w:val="single" w:color="auto" w:sz="8" w:space="0"/>
            </w:tcBorders>
            <w:shd w:val="clear" w:color="auto" w:fill="auto"/>
            <w:vAlign w:val="center"/>
          </w:tcPr>
          <w:p w14:paraId="76A45D53">
            <w:pPr>
              <w:pStyle w:val="179"/>
            </w:pPr>
            <w:r>
              <w:rPr>
                <w:rFonts w:hint="eastAsia"/>
              </w:rPr>
              <w:t>手势动作</w:t>
            </w:r>
          </w:p>
        </w:tc>
        <w:tc>
          <w:tcPr>
            <w:tcW w:w="577" w:type="dxa"/>
            <w:tcBorders>
              <w:top w:val="single" w:color="auto" w:sz="8" w:space="0"/>
            </w:tcBorders>
            <w:shd w:val="clear" w:color="auto" w:fill="auto"/>
            <w:vAlign w:val="center"/>
          </w:tcPr>
          <w:p w14:paraId="1A9D24AD">
            <w:pPr>
              <w:pStyle w:val="179"/>
            </w:pPr>
            <w:r>
              <w:rPr>
                <w:rFonts w:hint="eastAsia"/>
              </w:rPr>
              <w:t>掌心向上静置</w:t>
            </w:r>
          </w:p>
        </w:tc>
        <w:tc>
          <w:tcPr>
            <w:tcW w:w="719" w:type="dxa"/>
            <w:tcBorders>
              <w:top w:val="single" w:color="auto" w:sz="8" w:space="0"/>
            </w:tcBorders>
            <w:shd w:val="clear" w:color="auto" w:fill="auto"/>
            <w:vAlign w:val="center"/>
          </w:tcPr>
          <w:p w14:paraId="1994CD81">
            <w:pPr>
              <w:pStyle w:val="179"/>
            </w:pPr>
            <w:r>
              <w:rPr>
                <w:rFonts w:hint="eastAsia"/>
              </w:rPr>
              <w:t>掌心向下静置</w:t>
            </w:r>
          </w:p>
        </w:tc>
        <w:tc>
          <w:tcPr>
            <w:tcW w:w="725" w:type="dxa"/>
            <w:tcBorders>
              <w:top w:val="single" w:color="auto" w:sz="8" w:space="0"/>
            </w:tcBorders>
            <w:shd w:val="clear" w:color="auto" w:fill="auto"/>
            <w:vAlign w:val="center"/>
          </w:tcPr>
          <w:p w14:paraId="7C9C7A5E">
            <w:pPr>
              <w:pStyle w:val="179"/>
            </w:pPr>
            <w:r>
              <w:rPr>
                <w:rFonts w:hint="eastAsia"/>
              </w:rPr>
              <w:t>掌心向下，握拳，伸出拇指左右摆动</w:t>
            </w:r>
          </w:p>
        </w:tc>
        <w:tc>
          <w:tcPr>
            <w:tcW w:w="725" w:type="dxa"/>
            <w:tcBorders>
              <w:top w:val="single" w:color="auto" w:sz="8" w:space="0"/>
            </w:tcBorders>
            <w:shd w:val="clear" w:color="auto" w:fill="auto"/>
            <w:vAlign w:val="center"/>
          </w:tcPr>
          <w:p w14:paraId="1A0F644F">
            <w:pPr>
              <w:pStyle w:val="179"/>
            </w:pPr>
            <w:r>
              <w:rPr>
                <w:rFonts w:hint="eastAsia"/>
              </w:rPr>
              <w:t>掌心向上，握拳，伸出拇指左右摆动</w:t>
            </w:r>
          </w:p>
        </w:tc>
        <w:tc>
          <w:tcPr>
            <w:tcW w:w="720" w:type="dxa"/>
            <w:tcBorders>
              <w:top w:val="single" w:color="auto" w:sz="8" w:space="0"/>
            </w:tcBorders>
            <w:shd w:val="clear" w:color="auto" w:fill="auto"/>
            <w:vAlign w:val="center"/>
          </w:tcPr>
          <w:p w14:paraId="5B87DD6D">
            <w:pPr>
              <w:pStyle w:val="179"/>
            </w:pPr>
            <w:r>
              <w:rPr>
                <w:rFonts w:hint="eastAsia"/>
              </w:rPr>
              <w:t>单手握拳</w:t>
            </w:r>
          </w:p>
        </w:tc>
        <w:tc>
          <w:tcPr>
            <w:tcW w:w="720" w:type="dxa"/>
            <w:tcBorders>
              <w:top w:val="single" w:color="auto" w:sz="8" w:space="0"/>
            </w:tcBorders>
            <w:shd w:val="clear" w:color="auto" w:fill="auto"/>
            <w:vAlign w:val="center"/>
          </w:tcPr>
          <w:p w14:paraId="06467751">
            <w:pPr>
              <w:pStyle w:val="179"/>
            </w:pPr>
            <w:r>
              <w:rPr>
                <w:rFonts w:hint="eastAsia"/>
              </w:rPr>
              <w:t>双手握拳交叉</w:t>
            </w:r>
          </w:p>
        </w:tc>
        <w:tc>
          <w:tcPr>
            <w:tcW w:w="720" w:type="dxa"/>
            <w:tcBorders>
              <w:top w:val="single" w:color="auto" w:sz="8" w:space="0"/>
            </w:tcBorders>
            <w:shd w:val="clear" w:color="auto" w:fill="auto"/>
            <w:vAlign w:val="center"/>
          </w:tcPr>
          <w:p w14:paraId="585C144C">
            <w:pPr>
              <w:pStyle w:val="179"/>
            </w:pPr>
            <w:r>
              <w:rPr>
                <w:rFonts w:hint="eastAsia"/>
              </w:rPr>
              <w:t>手握拳展开</w:t>
            </w:r>
          </w:p>
        </w:tc>
        <w:tc>
          <w:tcPr>
            <w:tcW w:w="720" w:type="dxa"/>
            <w:tcBorders>
              <w:top w:val="single" w:color="auto" w:sz="8" w:space="0"/>
            </w:tcBorders>
            <w:shd w:val="clear" w:color="auto" w:fill="auto"/>
            <w:vAlign w:val="center"/>
          </w:tcPr>
          <w:p w14:paraId="5F839873">
            <w:pPr>
              <w:pStyle w:val="179"/>
            </w:pPr>
            <w:r>
              <w:rPr>
                <w:rFonts w:hint="eastAsia"/>
              </w:rPr>
              <w:t>OK手势</w:t>
            </w:r>
          </w:p>
        </w:tc>
        <w:tc>
          <w:tcPr>
            <w:tcW w:w="720" w:type="dxa"/>
            <w:tcBorders>
              <w:top w:val="single" w:color="auto" w:sz="8" w:space="0"/>
            </w:tcBorders>
            <w:shd w:val="clear" w:color="auto" w:fill="auto"/>
            <w:vAlign w:val="center"/>
          </w:tcPr>
          <w:p w14:paraId="567C62BF">
            <w:pPr>
              <w:pStyle w:val="179"/>
            </w:pPr>
            <w:r>
              <w:rPr>
                <w:rFonts w:hint="eastAsia"/>
              </w:rPr>
              <w:t>手向上指划圈</w:t>
            </w:r>
          </w:p>
        </w:tc>
        <w:tc>
          <w:tcPr>
            <w:tcW w:w="720" w:type="dxa"/>
            <w:tcBorders>
              <w:top w:val="single" w:color="auto" w:sz="8" w:space="0"/>
            </w:tcBorders>
            <w:shd w:val="clear" w:color="auto" w:fill="auto"/>
            <w:vAlign w:val="center"/>
          </w:tcPr>
          <w:p w14:paraId="7CE51399">
            <w:pPr>
              <w:pStyle w:val="179"/>
            </w:pPr>
            <w:r>
              <w:rPr>
                <w:rFonts w:hint="eastAsia"/>
              </w:rPr>
              <w:t>手向下指划圈</w:t>
            </w:r>
          </w:p>
        </w:tc>
        <w:tc>
          <w:tcPr>
            <w:tcW w:w="721" w:type="dxa"/>
            <w:tcBorders>
              <w:top w:val="single" w:color="auto" w:sz="8" w:space="0"/>
            </w:tcBorders>
            <w:shd w:val="clear" w:color="auto" w:fill="auto"/>
            <w:vAlign w:val="center"/>
          </w:tcPr>
          <w:p w14:paraId="7B2DC918">
            <w:pPr>
              <w:pStyle w:val="179"/>
            </w:pPr>
            <w:r>
              <w:rPr>
                <w:rFonts w:hint="eastAsia"/>
              </w:rPr>
              <w:t>单手手指并拢举起</w:t>
            </w:r>
          </w:p>
        </w:tc>
        <w:tc>
          <w:tcPr>
            <w:tcW w:w="726" w:type="dxa"/>
            <w:tcBorders>
              <w:top w:val="single" w:color="auto" w:sz="8" w:space="0"/>
            </w:tcBorders>
            <w:shd w:val="clear" w:color="auto" w:fill="auto"/>
            <w:vAlign w:val="center"/>
          </w:tcPr>
          <w:p w14:paraId="268888F1">
            <w:pPr>
              <w:pStyle w:val="179"/>
            </w:pPr>
            <w:r>
              <w:rPr>
                <w:rFonts w:hint="eastAsia"/>
              </w:rPr>
              <w:t>……</w:t>
            </w:r>
          </w:p>
        </w:tc>
      </w:tr>
    </w:tbl>
    <w:p w14:paraId="45C2D5A8">
      <w:pPr>
        <w:pStyle w:val="57"/>
        <w:ind w:firstLine="420"/>
      </w:pPr>
    </w:p>
    <w:p w14:paraId="5E8B6253">
      <w:pPr>
        <w:pStyle w:val="57"/>
        <w:ind w:firstLine="420"/>
      </w:pPr>
    </w:p>
    <w:p w14:paraId="2447F141">
      <w:pPr>
        <w:pStyle w:val="57"/>
        <w:ind w:firstLine="420"/>
      </w:pPr>
    </w:p>
    <w:p w14:paraId="76FF220D">
      <w:pPr>
        <w:pStyle w:val="57"/>
        <w:ind w:firstLine="420"/>
      </w:pPr>
    </w:p>
    <w:bookmarkEnd w:id="575"/>
    <w:p w14:paraId="264FDABF">
      <w:pPr>
        <w:pStyle w:val="57"/>
        <w:ind w:firstLine="0" w:firstLineChars="0"/>
        <w:jc w:val="center"/>
        <w:sectPr>
          <w:headerReference r:id="rId51" w:type="default"/>
          <w:footerReference r:id="rId53" w:type="default"/>
          <w:headerReference r:id="rId52" w:type="even"/>
          <w:footerReference r:id="rId54" w:type="even"/>
          <w:pgSz w:w="11906" w:h="16838"/>
          <w:pgMar w:top="1928" w:right="1134" w:bottom="1134" w:left="1134" w:header="1418" w:footer="1134" w:gutter="284"/>
          <w:cols w:space="425" w:num="1"/>
          <w:formProt w:val="0"/>
          <w:docGrid w:linePitch="312" w:charSpace="0"/>
        </w:sectPr>
      </w:pPr>
      <w:bookmarkStart w:id="656" w:name="BookMark6"/>
    </w:p>
    <w:p w14:paraId="4FD0939A">
      <w:pPr>
        <w:pStyle w:val="64"/>
        <w:spacing w:after="120"/>
      </w:pPr>
      <w:bookmarkStart w:id="657" w:name="_Toc201433995"/>
      <w:bookmarkStart w:id="658" w:name="_Toc201272041"/>
      <w:bookmarkStart w:id="659" w:name="_Toc201646655"/>
      <w:bookmarkStart w:id="660" w:name="_Toc201438600"/>
      <w:bookmarkStart w:id="661" w:name="_Toc201271273"/>
      <w:bookmarkStart w:id="662" w:name="_Toc201434430"/>
      <w:bookmarkStart w:id="663" w:name="_Toc201271999"/>
      <w:bookmarkStart w:id="664" w:name="_Toc201611365"/>
      <w:bookmarkStart w:id="665" w:name="_Toc201433929"/>
      <w:bookmarkStart w:id="666" w:name="_Toc201760263"/>
      <w:bookmarkStart w:id="667" w:name="_Toc201569630"/>
      <w:bookmarkStart w:id="668" w:name="_Toc201437584"/>
      <w:bookmarkStart w:id="669" w:name="_Toc201787882"/>
      <w:r>
        <w:rPr>
          <w:rFonts w:hint="eastAsia"/>
          <w:spacing w:val="105"/>
        </w:rPr>
        <w:t>参考文</w:t>
      </w:r>
      <w:r>
        <w:rPr>
          <w:rFonts w:hint="eastAsia"/>
        </w:rPr>
        <w:t>献</w:t>
      </w:r>
      <w:bookmarkEnd w:id="657"/>
      <w:bookmarkEnd w:id="658"/>
      <w:bookmarkEnd w:id="659"/>
      <w:bookmarkEnd w:id="660"/>
      <w:bookmarkEnd w:id="661"/>
      <w:bookmarkEnd w:id="662"/>
      <w:bookmarkEnd w:id="663"/>
      <w:bookmarkEnd w:id="664"/>
      <w:bookmarkEnd w:id="665"/>
      <w:bookmarkEnd w:id="666"/>
      <w:bookmarkEnd w:id="667"/>
      <w:bookmarkEnd w:id="668"/>
      <w:bookmarkEnd w:id="669"/>
    </w:p>
    <w:p w14:paraId="00471E43">
      <w:pPr>
        <w:pStyle w:val="57"/>
        <w:numPr>
          <w:ilvl w:val="0"/>
          <w:numId w:val="32"/>
        </w:numPr>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HB 8731  无人机系统维修手册编制规范</w:t>
      </w:r>
    </w:p>
    <w:p w14:paraId="0E172629">
      <w:pPr>
        <w:pStyle w:val="57"/>
        <w:numPr>
          <w:ilvl w:val="0"/>
          <w:numId w:val="32"/>
        </w:numPr>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DG/T 157  农业机械北斗导航辅助驾驶系统</w:t>
      </w:r>
    </w:p>
    <w:p w14:paraId="0FBB4B1F">
      <w:pPr>
        <w:pStyle w:val="57"/>
        <w:numPr>
          <w:ilvl w:val="0"/>
          <w:numId w:val="32"/>
        </w:numPr>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工信部《微功率短距离无线电设备技术要求》（工信部〔2005〕423号）</w:t>
      </w:r>
    </w:p>
    <w:bookmarkEnd w:id="656"/>
    <w:p w14:paraId="1CF9CBF4">
      <w:pPr>
        <w:pStyle w:val="57"/>
        <w:ind w:firstLine="0" w:firstLineChars="0"/>
        <w:jc w:val="center"/>
      </w:pPr>
      <w:bookmarkStart w:id="670" w:name="BookMark8"/>
      <w:r>
        <w:drawing>
          <wp:inline distT="0" distB="0" distL="0" distR="0">
            <wp:extent cx="1485900" cy="317500"/>
            <wp:effectExtent l="0" t="0" r="0" b="6350"/>
            <wp:docPr id="1466129643" name="图片 3"/>
            <wp:cNvGraphicFramePr/>
            <a:graphic xmlns:a="http://schemas.openxmlformats.org/drawingml/2006/main">
              <a:graphicData uri="http://schemas.openxmlformats.org/drawingml/2006/picture">
                <pic:pic xmlns:pic="http://schemas.openxmlformats.org/drawingml/2006/picture">
                  <pic:nvPicPr>
                    <pic:cNvPr id="1466129643" name="图片 3"/>
                    <pic:cNvPicPr/>
                  </pic:nvPicPr>
                  <pic:blipFill>
                    <a:blip r:embed="rId6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70"/>
    </w:p>
    <w:sectPr>
      <w:headerReference r:id="rId55" w:type="default"/>
      <w:footerReference r:id="rId57" w:type="default"/>
      <w:headerReference r:id="rId56" w:type="even"/>
      <w:footerReference r:id="rId58" w:type="even"/>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D24FD6">
    <w:pPr>
      <w:pStyle w:val="18"/>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034490">
    <w:pPr>
      <w:pStyle w:val="53"/>
    </w:pPr>
    <w:r>
      <w:fldChar w:fldCharType="begin"/>
    </w:r>
    <w:r>
      <w:instrText xml:space="preserve">PAGE   \* MERGEFORMAT</w:instrText>
    </w:r>
    <w:r>
      <w:fldChar w:fldCharType="separate"/>
    </w:r>
    <w:r>
      <w:rPr>
        <w:lang w:val="zh-CN"/>
      </w:rPr>
      <w:t>1</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58FCC2">
    <w:pPr>
      <w:pStyle w:val="52"/>
    </w:pPr>
    <w:r>
      <w:fldChar w:fldCharType="begin"/>
    </w:r>
    <w:r>
      <w:instrText xml:space="preserve"> PAGE   \* MERGEFORMAT \* MERGEFORMAT </w:instrText>
    </w:r>
    <w:r>
      <w:fldChar w:fldCharType="separate"/>
    </w:r>
    <w:r>
      <w:t>2</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FE3AE">
    <w:pPr>
      <w:pStyle w:val="53"/>
    </w:pPr>
    <w:r>
      <w:fldChar w:fldCharType="begin"/>
    </w:r>
    <w:r>
      <w:instrText xml:space="preserve">PAGE   \* MERGEFORMAT</w:instrText>
    </w:r>
    <w:r>
      <w:fldChar w:fldCharType="separate"/>
    </w:r>
    <w:r>
      <w:rPr>
        <w:lang w:val="zh-CN"/>
      </w:rPr>
      <w:t>9</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6E9FF9">
    <w:pPr>
      <w:pStyle w:val="52"/>
    </w:pPr>
    <w:r>
      <w:fldChar w:fldCharType="begin"/>
    </w:r>
    <w:r>
      <w:instrText xml:space="preserve"> PAGE   \* MERGEFORMAT \* MERGEFORMAT </w:instrText>
    </w:r>
    <w:r>
      <w:fldChar w:fldCharType="separate"/>
    </w:r>
    <w:r>
      <w:t>9</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FCCD79">
    <w:pPr>
      <w:pStyle w:val="53"/>
    </w:pPr>
    <w:r>
      <w:fldChar w:fldCharType="begin"/>
    </w:r>
    <w:r>
      <w:instrText xml:space="preserve">PAGE   \* MERGEFORMAT</w:instrText>
    </w:r>
    <w:r>
      <w:fldChar w:fldCharType="separate"/>
    </w:r>
    <w:r>
      <w:rPr>
        <w:lang w:val="zh-CN"/>
      </w:rPr>
      <w:t>11</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1EC16B">
    <w:pPr>
      <w:pStyle w:val="52"/>
    </w:pPr>
    <w:r>
      <w:fldChar w:fldCharType="begin"/>
    </w:r>
    <w:r>
      <w:instrText xml:space="preserve"> PAGE   \* MERGEFORMAT \* MERGEFORMAT </w:instrText>
    </w:r>
    <w:r>
      <w:fldChar w:fldCharType="separate"/>
    </w:r>
    <w:r>
      <w:t>10</w:t>
    </w:r>
    <w: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369596">
    <w:pPr>
      <w:pStyle w:val="53"/>
    </w:pPr>
    <w:r>
      <w:fldChar w:fldCharType="begin"/>
    </w:r>
    <w:r>
      <w:instrText xml:space="preserve">PAGE   \* MERGEFORMAT</w:instrText>
    </w:r>
    <w:r>
      <w:fldChar w:fldCharType="separate"/>
    </w:r>
    <w:r>
      <w:rPr>
        <w:lang w:val="zh-CN"/>
      </w:rPr>
      <w:t>11</w:t>
    </w:r>
    <w: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97E5E4">
    <w:pPr>
      <w:pStyle w:val="52"/>
    </w:pPr>
    <w:r>
      <w:fldChar w:fldCharType="begin"/>
    </w:r>
    <w:r>
      <w:instrText xml:space="preserve"> PAGE   \* MERGEFORMAT \* MERGEFORMAT </w:instrText>
    </w:r>
    <w:r>
      <w:fldChar w:fldCharType="separate"/>
    </w:r>
    <w:r>
      <w:t>11</w:t>
    </w:r>
    <w: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BC9C52">
    <w:pPr>
      <w:pStyle w:val="53"/>
    </w:pPr>
    <w:r>
      <w:fldChar w:fldCharType="begin"/>
    </w:r>
    <w:r>
      <w:instrText xml:space="preserve">PAGE   \* MERGEFORMAT</w:instrText>
    </w:r>
    <w:r>
      <w:fldChar w:fldCharType="separate"/>
    </w:r>
    <w:r>
      <w:rPr>
        <w:lang w:val="zh-CN"/>
      </w:rPr>
      <w:t>11</w:t>
    </w:r>
    <w: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292766">
    <w:pPr>
      <w:pStyle w:val="52"/>
    </w:pPr>
    <w:r>
      <w:fldChar w:fldCharType="begin"/>
    </w:r>
    <w:r>
      <w:instrText xml:space="preserve"> PAGE   \* MERGEFORMAT \* MERGEFORMAT </w:instrText>
    </w:r>
    <w:r>
      <w:fldChar w:fldCharType="separate"/>
    </w:r>
    <w:r>
      <w:t>12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0AA0C1">
    <w:pPr>
      <w:pStyle w:val="18"/>
    </w:pPr>
    <w:r>
      <w:fldChar w:fldCharType="begin"/>
    </w:r>
    <w:r>
      <w:instrText xml:space="preserve">PAGE   \* MERGEFORMAT</w:instrText>
    </w:r>
    <w:r>
      <w:fldChar w:fldCharType="separate"/>
    </w:r>
    <w:r>
      <w:rPr>
        <w:lang w:val="zh-CN"/>
      </w:rPr>
      <w:t>2</w:t>
    </w:r>
    <w:r>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9AA0C1">
    <w:pPr>
      <w:pStyle w:val="53"/>
    </w:pPr>
    <w:r>
      <w:fldChar w:fldCharType="begin"/>
    </w:r>
    <w:r>
      <w:instrText xml:space="preserve">PAGE   \* MERGEFORMAT</w:instrText>
    </w:r>
    <w:r>
      <w:fldChar w:fldCharType="separate"/>
    </w:r>
    <w:r>
      <w:rPr>
        <w:lang w:val="zh-CN"/>
      </w:rPr>
      <w:t>13</w:t>
    </w:r>
    <w:r>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15BAA">
    <w:pPr>
      <w:pStyle w:val="52"/>
    </w:pPr>
    <w:r>
      <w:fldChar w:fldCharType="begin"/>
    </w:r>
    <w:r>
      <w:instrText xml:space="preserve"> PAGE   \* MERGEFORMAT \* MERGEFORMAT </w:instrText>
    </w:r>
    <w:r>
      <w:fldChar w:fldCharType="separate"/>
    </w:r>
    <w:r>
      <w:t>13</w:t>
    </w:r>
    <w:r>
      <w:fldChar w:fldCharType="end"/>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2EEC2F">
    <w:pPr>
      <w:pStyle w:val="53"/>
    </w:pPr>
    <w:r>
      <w:fldChar w:fldCharType="begin"/>
    </w:r>
    <w:r>
      <w:instrText xml:space="preserve">PAGE   \* MERGEFORMAT</w:instrText>
    </w:r>
    <w:r>
      <w:fldChar w:fldCharType="separate"/>
    </w:r>
    <w:r>
      <w:rPr>
        <w:lang w:val="zh-CN"/>
      </w:rPr>
      <w:t>13</w:t>
    </w:r>
    <w:r>
      <w:fldChar w:fldCharType="end"/>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5CB74F">
    <w:pPr>
      <w:pStyle w:val="52"/>
    </w:pPr>
    <w:r>
      <w:fldChar w:fldCharType="begin"/>
    </w:r>
    <w:r>
      <w:instrText xml:space="preserve"> PAGE   \* MERGEFORMAT \* MERGEFORMAT </w:instrText>
    </w:r>
    <w:r>
      <w:fldChar w:fldCharType="separate"/>
    </w:r>
    <w:r>
      <w:t>14</w:t>
    </w:r>
    <w:r>
      <w:fldChar w:fldCharType="end"/>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06ECD3">
    <w:pPr>
      <w:pStyle w:val="53"/>
    </w:pPr>
    <w:r>
      <w:fldChar w:fldCharType="begin"/>
    </w:r>
    <w:r>
      <w:instrText xml:space="preserve">PAGE   \* MERGEFORMAT</w:instrText>
    </w:r>
    <w:r>
      <w:fldChar w:fldCharType="separate"/>
    </w:r>
    <w:r>
      <w:rPr>
        <w:lang w:val="zh-CN"/>
      </w:rPr>
      <w:t>15</w:t>
    </w:r>
    <w:r>
      <w:fldChar w:fldCharType="end"/>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72E972">
    <w:pPr>
      <w:pStyle w:val="52"/>
    </w:pPr>
    <w:r>
      <w:fldChar w:fldCharType="begin"/>
    </w:r>
    <w:r>
      <w:instrText xml:space="preserve"> PAGE   \* MERGEFORMAT \* MERGEFORMAT </w:instrText>
    </w:r>
    <w:r>
      <w:fldChar w:fldCharType="separate"/>
    </w:r>
    <w:r>
      <w:t>15</w:t>
    </w:r>
    <w:r>
      <w:fldChar w:fldCharType="end"/>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EAE8CF">
    <w:pPr>
      <w:pStyle w:val="53"/>
    </w:pPr>
    <w:r>
      <w:fldChar w:fldCharType="begin"/>
    </w:r>
    <w:r>
      <w:instrText xml:space="preserve">PAGE   \* MERGEFORMAT</w:instrText>
    </w:r>
    <w:r>
      <w:fldChar w:fldCharType="separate"/>
    </w:r>
    <w:r>
      <w:rPr>
        <w:lang w:val="zh-CN"/>
      </w:rPr>
      <w:t>15</w:t>
    </w:r>
    <w:r>
      <w:fldChar w:fldCharType="end"/>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50B3E3">
    <w:pPr>
      <w:pStyle w:val="52"/>
    </w:pPr>
    <w:r>
      <w:fldChar w:fldCharType="begin"/>
    </w:r>
    <w:r>
      <w:instrText xml:space="preserve"> PAGE   \* MERGEFORMAT \* MERGEFORMAT </w:instrText>
    </w:r>
    <w:r>
      <w:fldChar w:fldCharType="separate"/>
    </w:r>
    <w:r>
      <w:t>16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56B7AF">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F26867">
    <w:pPr>
      <w:pStyle w:val="53"/>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91CE3D">
    <w:pPr>
      <w:pStyle w:val="52"/>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F68138">
    <w:pPr>
      <w:pStyle w:val="53"/>
    </w:pPr>
    <w:r>
      <w:fldChar w:fldCharType="begin"/>
    </w:r>
    <w:r>
      <w:instrText xml:space="preserve">PAGE   \* MERGEFORMAT</w:instrText>
    </w:r>
    <w:r>
      <w:fldChar w:fldCharType="separate"/>
    </w:r>
    <w:r>
      <w:rPr>
        <w:lang w:val="zh-CN"/>
      </w:rPr>
      <w:t>III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107103">
    <w:pPr>
      <w:pStyle w:val="52"/>
    </w:pPr>
    <w:r>
      <w:fldChar w:fldCharType="begin"/>
    </w:r>
    <w:r>
      <w:instrText xml:space="preserve"> PAGE   \* MERGEFORMAT \* MERGEFORMAT </w:instrText>
    </w:r>
    <w:r>
      <w:fldChar w:fldCharType="separate"/>
    </w:r>
    <w:r>
      <w:t>IV</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9E347C">
    <w:pPr>
      <w:pStyle w:val="53"/>
    </w:pPr>
    <w:r>
      <w:fldChar w:fldCharType="begin"/>
    </w:r>
    <w:r>
      <w:instrText xml:space="preserve">PAGE   \* MERGEFORMAT</w:instrText>
    </w:r>
    <w:r>
      <w:fldChar w:fldCharType="separate"/>
    </w:r>
    <w:r>
      <w:rPr>
        <w:lang w:val="zh-CN"/>
      </w:rPr>
      <w:t>V</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3A9E64">
    <w:pPr>
      <w:pStyle w:val="52"/>
    </w:pPr>
    <w:r>
      <w:fldChar w:fldCharType="begin"/>
    </w:r>
    <w:r>
      <w:instrText xml:space="preserve"> PAGE   \* MERGEFORMAT \* MERGEFORMAT </w:instrText>
    </w:r>
    <w:r>
      <w:fldChar w:fldCharType="separate"/>
    </w:r>
    <w:r>
      <w:t>IV</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04DBC9">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A258E4">
    <w:pPr>
      <w:pStyle w:val="62"/>
    </w:pPr>
    <w:r>
      <w:fldChar w:fldCharType="begin"/>
    </w:r>
    <w:r>
      <w:instrText xml:space="preserve"> STYLEREF  标准文件_文件编号  \* MERGEFORMAT </w:instrText>
    </w:r>
    <w:r>
      <w:fldChar w:fldCharType="separate"/>
    </w:r>
    <w:r>
      <w:t>T/GXAS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24302D">
    <w:pPr>
      <w:pStyle w:val="63"/>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T/GXAS XXXX—XXXX</w:t>
    </w:r>
    <w:r>
      <w:rPr>
        <w:rFonts w:hint="eastAsia"/>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9313D1">
    <w:pPr>
      <w:pStyle w:val="62"/>
    </w:pPr>
    <w:r>
      <w:fldChar w:fldCharType="begin"/>
    </w:r>
    <w:r>
      <w:instrText xml:space="preserve"> STYLEREF  标准文件_文件编号  \* MERGEFORMAT </w:instrText>
    </w:r>
    <w:r>
      <w:fldChar w:fldCharType="separate"/>
    </w:r>
    <w:r>
      <w:t>T/GXAS XXXX—XXXX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78A91">
    <w:pPr>
      <w:pStyle w:val="63"/>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T/GXAS XXXX—XXXX</w:t>
    </w:r>
    <w:r>
      <w:rPr>
        <w:rFonts w:hint="eastAsia"/>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F58ADC">
    <w:pPr>
      <w:pStyle w:val="62"/>
    </w:pPr>
    <w:r>
      <w:fldChar w:fldCharType="begin"/>
    </w:r>
    <w:r>
      <w:instrText xml:space="preserve"> STYLEREF  标准文件_文件编号  \* MERGEFORMAT </w:instrText>
    </w:r>
    <w:r>
      <w:fldChar w:fldCharType="separate"/>
    </w:r>
    <w:r>
      <w:t>T/GXAS XXXX—XXXX</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C60AE3">
    <w:pPr>
      <w:pStyle w:val="63"/>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T/GXAS XXXX—XXXX</w:t>
    </w:r>
    <w:r>
      <w:rPr>
        <w:rFonts w:hint="eastAsia"/>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32624">
    <w:pPr>
      <w:pStyle w:val="62"/>
    </w:pPr>
    <w:r>
      <w:fldChar w:fldCharType="begin"/>
    </w:r>
    <w:r>
      <w:instrText xml:space="preserve"> STYLEREF  标准文件_文件编号  \* MERGEFORMAT </w:instrText>
    </w:r>
    <w:r>
      <w:fldChar w:fldCharType="separate"/>
    </w:r>
    <w:r>
      <w:t>T/GXAS XXXX—XXXX</w:t>
    </w:r>
    <w: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6B02BC">
    <w:pPr>
      <w:pStyle w:val="63"/>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T/GXAS XXXX—XXXX</w:t>
    </w:r>
    <w:r>
      <w:rPr>
        <w:rFonts w:hint="eastAsia"/>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D940F">
    <w:pPr>
      <w:pStyle w:val="62"/>
    </w:pPr>
    <w:r>
      <w:fldChar w:fldCharType="begin"/>
    </w:r>
    <w:r>
      <w:instrText xml:space="preserve"> STYLEREF  标准文件_文件编号  \* MERGEFORMAT </w:instrText>
    </w:r>
    <w:r>
      <w:fldChar w:fldCharType="separate"/>
    </w:r>
    <w:r>
      <w:t>T/GXAS XXXX—XXXX</w:t>
    </w:r>
    <w: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578EE9">
    <w:pPr>
      <w:pStyle w:val="63"/>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T/GXAS XXXX—XXXX</w:t>
    </w:r>
    <w:r>
      <w:rPr>
        <w:rFonts w:hint="eastAsia"/>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F6CD4E">
    <w:pPr>
      <w:pStyle w:val="19"/>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C8F47">
    <w:pPr>
      <w:pStyle w:val="62"/>
    </w:pPr>
    <w:r>
      <w:fldChar w:fldCharType="begin"/>
    </w:r>
    <w:r>
      <w:instrText xml:space="preserve"> STYLEREF  标准文件_文件编号  \* MERGEFORMAT </w:instrText>
    </w:r>
    <w:r>
      <w:fldChar w:fldCharType="separate"/>
    </w:r>
    <w:r>
      <w:t>T/GXAS XXXX—XXXX</w:t>
    </w:r>
    <w: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330655">
    <w:pPr>
      <w:pStyle w:val="63"/>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T/GXAS XXXX—XXXX</w:t>
    </w:r>
    <w:r>
      <w:rPr>
        <w:rFonts w:hint="eastAsia"/>
      </w:rPr>
      <w:fldChar w:fldCharType="end"/>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C07027">
    <w:pPr>
      <w:pStyle w:val="62"/>
    </w:pPr>
    <w:r>
      <w:fldChar w:fldCharType="begin"/>
    </w:r>
    <w:r>
      <w:instrText xml:space="preserve"> STYLEREF  标准文件_文件编号  \* MERGEFORMAT </w:instrText>
    </w:r>
    <w:r>
      <w:fldChar w:fldCharType="separate"/>
    </w:r>
    <w:r>
      <w:t>T/GXAS XXXX—XXXX</w:t>
    </w:r>
    <w:r>
      <w:fldChar w:fldCharType="end"/>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6584D3">
    <w:pPr>
      <w:pStyle w:val="63"/>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T/GXAS XXXX—XXXX</w:t>
    </w:r>
    <w:r>
      <w:rPr>
        <w:rFonts w:hint="eastAsia"/>
      </w:rPr>
      <w:fldChar w:fldCharType="end"/>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2DAB3B">
    <w:pPr>
      <w:pStyle w:val="62"/>
    </w:pPr>
    <w:r>
      <w:fldChar w:fldCharType="begin"/>
    </w:r>
    <w:r>
      <w:instrText xml:space="preserve"> STYLEREF  标准文件_文件编号  \* MERGEFORMAT </w:instrText>
    </w:r>
    <w:r>
      <w:fldChar w:fldCharType="separate"/>
    </w:r>
    <w:r>
      <w:t>T/GXAS XXXX—XXXX</w:t>
    </w:r>
    <w:r>
      <w:fldChar w:fldCharType="end"/>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83AEA7">
    <w:pPr>
      <w:pStyle w:val="63"/>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T/GXAS XXXX—XXXX</w:t>
    </w:r>
    <w:r>
      <w:rPr>
        <w:rFonts w:hint="eastAsia"/>
      </w:rPr>
      <w:fldChar w:fldCharType="end"/>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73FADF">
    <w:pPr>
      <w:pStyle w:val="62"/>
    </w:pPr>
    <w:r>
      <w:fldChar w:fldCharType="begin"/>
    </w:r>
    <w:r>
      <w:instrText xml:space="preserve"> STYLEREF  标准文件_文件编号  \* MERGEFORMAT </w:instrText>
    </w:r>
    <w:r>
      <w:fldChar w:fldCharType="separate"/>
    </w:r>
    <w:r>
      <w:t>T/GXAS XXXX—XXXX</w:t>
    </w:r>
    <w:r>
      <w:fldChar w:fldCharType="end"/>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EE8F0F">
    <w:pPr>
      <w:pStyle w:val="63"/>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T/GXAS XXXX—XXXX</w:t>
    </w:r>
    <w:r>
      <w:rPr>
        <w:rFonts w:hint="eastAsia"/>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4ABA7A">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B193F5">
    <w:pPr>
      <w:pStyle w:val="62"/>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22E6FF">
    <w:pPr>
      <w:pStyle w:val="63"/>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T/GXAS XXXX—XXXX</w:t>
    </w:r>
    <w:r>
      <w:rPr>
        <w:rFonts w:hint="eastAsia"/>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2C8C5C">
    <w:pPr>
      <w:pStyle w:val="62"/>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5573A0">
    <w:pPr>
      <w:pStyle w:val="63"/>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T/GXAS XXXX—XXXX</w:t>
    </w:r>
    <w:r>
      <w:rPr>
        <w:rFonts w:hint="eastAsia"/>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05FBE2">
    <w:pPr>
      <w:pStyle w:val="62"/>
    </w:pPr>
    <w:r>
      <w:fldChar w:fldCharType="begin"/>
    </w:r>
    <w:r>
      <w:instrText xml:space="preserve"> STYLEREF  标准文件_文件编号  \* MERGEFORMAT </w:instrText>
    </w:r>
    <w:r>
      <w:fldChar w:fldCharType="separate"/>
    </w:r>
    <w:r>
      <w:t>T/GXAS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ADFD61">
    <w:pPr>
      <w:pStyle w:val="63"/>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T/GXAS XXXX—XXXX</w:t>
    </w:r>
    <w:r>
      <w:rPr>
        <w:rFonts w:hint="eastAsia"/>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58725433"/>
    <w:multiLevelType w:val="multilevel"/>
    <w:tmpl w:val="58725433"/>
    <w:lvl w:ilvl="0" w:tentative="0">
      <w:start w:val="1"/>
      <w:numFmt w:val="decimal"/>
      <w:lvlText w:val="[%1]"/>
      <w:lvlJc w:val="left"/>
      <w:pPr>
        <w:ind w:left="840" w:hanging="420"/>
      </w:pPr>
      <w:rPr>
        <w:rFonts w:hint="eastAsia" w:ascii="宋体" w:hAnsi="宋体" w:eastAsia="宋体"/>
      </w:rPr>
    </w:lvl>
    <w:lvl w:ilvl="1" w:tentative="0">
      <w:start w:val="1"/>
      <w:numFmt w:val="lowerLetter"/>
      <w:lvlText w:val="%2)"/>
      <w:lvlJc w:val="left"/>
      <w:pPr>
        <w:ind w:left="1260" w:hanging="420"/>
      </w:pPr>
      <w:rPr>
        <w:rFonts w:hint="default" w:ascii="Times New Roman" w:hAnsi="Times New Roman" w:cs="Times New Roman"/>
      </w:rPr>
    </w:lvl>
    <w:lvl w:ilvl="2" w:tentative="0">
      <w:start w:val="1"/>
      <w:numFmt w:val="lowerRoman"/>
      <w:lvlText w:val="%3."/>
      <w:lvlJc w:val="right"/>
      <w:pPr>
        <w:ind w:left="1680" w:hanging="420"/>
      </w:pPr>
      <w:rPr>
        <w:rFonts w:hint="default" w:ascii="Times New Roman" w:hAnsi="Times New Roman" w:cs="Times New Roman"/>
      </w:rPr>
    </w:lvl>
    <w:lvl w:ilvl="3" w:tentative="0">
      <w:start w:val="1"/>
      <w:numFmt w:val="decimal"/>
      <w:lvlText w:val="%4."/>
      <w:lvlJc w:val="left"/>
      <w:pPr>
        <w:ind w:left="2100" w:hanging="420"/>
      </w:pPr>
      <w:rPr>
        <w:rFonts w:hint="default" w:ascii="Times New Roman" w:hAnsi="Times New Roman" w:cs="Times New Roman"/>
      </w:rPr>
    </w:lvl>
    <w:lvl w:ilvl="4" w:tentative="0">
      <w:start w:val="1"/>
      <w:numFmt w:val="lowerLetter"/>
      <w:lvlText w:val="%5)"/>
      <w:lvlJc w:val="left"/>
      <w:pPr>
        <w:ind w:left="2520" w:hanging="420"/>
      </w:pPr>
      <w:rPr>
        <w:rFonts w:hint="default" w:ascii="Times New Roman" w:hAnsi="Times New Roman" w:cs="Times New Roman"/>
      </w:rPr>
    </w:lvl>
    <w:lvl w:ilvl="5" w:tentative="0">
      <w:start w:val="1"/>
      <w:numFmt w:val="lowerRoman"/>
      <w:lvlText w:val="%6."/>
      <w:lvlJc w:val="right"/>
      <w:pPr>
        <w:ind w:left="2940" w:hanging="420"/>
      </w:pPr>
      <w:rPr>
        <w:rFonts w:hint="default" w:ascii="Times New Roman" w:hAnsi="Times New Roman" w:cs="Times New Roman"/>
      </w:rPr>
    </w:lvl>
    <w:lvl w:ilvl="6" w:tentative="0">
      <w:start w:val="1"/>
      <w:numFmt w:val="decimal"/>
      <w:lvlText w:val="%7."/>
      <w:lvlJc w:val="left"/>
      <w:pPr>
        <w:ind w:left="3360" w:hanging="420"/>
      </w:pPr>
      <w:rPr>
        <w:rFonts w:hint="default" w:ascii="Times New Roman" w:hAnsi="Times New Roman" w:cs="Times New Roman"/>
      </w:rPr>
    </w:lvl>
    <w:lvl w:ilvl="7" w:tentative="0">
      <w:start w:val="1"/>
      <w:numFmt w:val="lowerLetter"/>
      <w:lvlText w:val="%8)"/>
      <w:lvlJc w:val="left"/>
      <w:pPr>
        <w:ind w:left="3780" w:hanging="420"/>
      </w:pPr>
      <w:rPr>
        <w:rFonts w:hint="default" w:ascii="Times New Roman" w:hAnsi="Times New Roman" w:cs="Times New Roman"/>
      </w:rPr>
    </w:lvl>
    <w:lvl w:ilvl="8" w:tentative="0">
      <w:start w:val="1"/>
      <w:numFmt w:val="lowerRoman"/>
      <w:lvlText w:val="%9."/>
      <w:lvlJc w:val="right"/>
      <w:pPr>
        <w:ind w:left="4200" w:hanging="420"/>
      </w:pPr>
      <w:rPr>
        <w:rFonts w:hint="default" w:ascii="Times New Roman" w:hAnsi="Times New Roman" w:cs="Times New Roman"/>
      </w:r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8"/>
  </w:num>
  <w:num w:numId="6">
    <w:abstractNumId w:val="13"/>
  </w:num>
  <w:num w:numId="7">
    <w:abstractNumId w:val="8"/>
  </w:num>
  <w:num w:numId="8">
    <w:abstractNumId w:val="3"/>
  </w:num>
  <w:num w:numId="9">
    <w:abstractNumId w:val="9"/>
  </w:num>
  <w:num w:numId="10">
    <w:abstractNumId w:val="16"/>
  </w:num>
  <w:num w:numId="11">
    <w:abstractNumId w:val="26"/>
  </w:num>
  <w:num w:numId="12">
    <w:abstractNumId w:val="11"/>
  </w:num>
  <w:num w:numId="13">
    <w:abstractNumId w:val="12"/>
  </w:num>
  <w:num w:numId="14">
    <w:abstractNumId w:val="7"/>
  </w:num>
  <w:num w:numId="15">
    <w:abstractNumId w:val="19"/>
  </w:num>
  <w:num w:numId="16">
    <w:abstractNumId w:val="22"/>
  </w:num>
  <w:num w:numId="17">
    <w:abstractNumId w:val="17"/>
  </w:num>
  <w:num w:numId="18">
    <w:abstractNumId w:val="30"/>
  </w:num>
  <w:num w:numId="19">
    <w:abstractNumId w:val="15"/>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4"/>
  </w:num>
  <w:num w:numId="30">
    <w:abstractNumId w:val="25"/>
  </w:num>
  <w:num w:numId="31">
    <w:abstractNumId w:val="23"/>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attachedTemplate r:id="rId1"/>
  <w:documentProtection w:edit="forms" w:enforcement="0"/>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760"/>
    <w:rsid w:val="0000040A"/>
    <w:rsid w:val="00000A94"/>
    <w:rsid w:val="00001972"/>
    <w:rsid w:val="00001D9A"/>
    <w:rsid w:val="00007B3A"/>
    <w:rsid w:val="000107E0"/>
    <w:rsid w:val="00011FDE"/>
    <w:rsid w:val="00012FFD"/>
    <w:rsid w:val="00014162"/>
    <w:rsid w:val="00014340"/>
    <w:rsid w:val="00016A9C"/>
    <w:rsid w:val="00021998"/>
    <w:rsid w:val="00022184"/>
    <w:rsid w:val="00022762"/>
    <w:rsid w:val="000238E0"/>
    <w:rsid w:val="000249DB"/>
    <w:rsid w:val="0002595E"/>
    <w:rsid w:val="000303C3"/>
    <w:rsid w:val="000331D3"/>
    <w:rsid w:val="000346A5"/>
    <w:rsid w:val="000359C3"/>
    <w:rsid w:val="00035A7D"/>
    <w:rsid w:val="000365ED"/>
    <w:rsid w:val="00037FFE"/>
    <w:rsid w:val="0004249A"/>
    <w:rsid w:val="00043282"/>
    <w:rsid w:val="00044286"/>
    <w:rsid w:val="00044688"/>
    <w:rsid w:val="00047F28"/>
    <w:rsid w:val="000503AA"/>
    <w:rsid w:val="000506A1"/>
    <w:rsid w:val="00051512"/>
    <w:rsid w:val="000515DD"/>
    <w:rsid w:val="0005265A"/>
    <w:rsid w:val="00052AFB"/>
    <w:rsid w:val="000539DD"/>
    <w:rsid w:val="00053BD3"/>
    <w:rsid w:val="000556ED"/>
    <w:rsid w:val="00055A94"/>
    <w:rsid w:val="00055FE2"/>
    <w:rsid w:val="0005616F"/>
    <w:rsid w:val="00060C2E"/>
    <w:rsid w:val="00061033"/>
    <w:rsid w:val="000619E9"/>
    <w:rsid w:val="000622D4"/>
    <w:rsid w:val="0006357D"/>
    <w:rsid w:val="00067F1E"/>
    <w:rsid w:val="00071CC0"/>
    <w:rsid w:val="00071CFC"/>
    <w:rsid w:val="00073008"/>
    <w:rsid w:val="00073C8C"/>
    <w:rsid w:val="00076A2B"/>
    <w:rsid w:val="00077B64"/>
    <w:rsid w:val="000808B1"/>
    <w:rsid w:val="00080A1C"/>
    <w:rsid w:val="00082317"/>
    <w:rsid w:val="00083D2C"/>
    <w:rsid w:val="00086AA1"/>
    <w:rsid w:val="00087A77"/>
    <w:rsid w:val="00090CA6"/>
    <w:rsid w:val="00092B8A"/>
    <w:rsid w:val="00092FB0"/>
    <w:rsid w:val="000934C5"/>
    <w:rsid w:val="00093D25"/>
    <w:rsid w:val="00093DAB"/>
    <w:rsid w:val="00094D73"/>
    <w:rsid w:val="0009689F"/>
    <w:rsid w:val="00096D63"/>
    <w:rsid w:val="000A0B60"/>
    <w:rsid w:val="000A0EB8"/>
    <w:rsid w:val="000A19FC"/>
    <w:rsid w:val="000A296B"/>
    <w:rsid w:val="000A7311"/>
    <w:rsid w:val="000B060F"/>
    <w:rsid w:val="000B1592"/>
    <w:rsid w:val="000B1FF2"/>
    <w:rsid w:val="000B3CDA"/>
    <w:rsid w:val="000B4BDD"/>
    <w:rsid w:val="000B6A0B"/>
    <w:rsid w:val="000B7262"/>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3047"/>
    <w:rsid w:val="00124E4F"/>
    <w:rsid w:val="001260B7"/>
    <w:rsid w:val="001265CB"/>
    <w:rsid w:val="001321C6"/>
    <w:rsid w:val="00132296"/>
    <w:rsid w:val="001325C4"/>
    <w:rsid w:val="00133010"/>
    <w:rsid w:val="001338EE"/>
    <w:rsid w:val="00133AAE"/>
    <w:rsid w:val="00135323"/>
    <w:rsid w:val="001356C4"/>
    <w:rsid w:val="00136320"/>
    <w:rsid w:val="00137565"/>
    <w:rsid w:val="00141114"/>
    <w:rsid w:val="00142969"/>
    <w:rsid w:val="001432CF"/>
    <w:rsid w:val="001446C2"/>
    <w:rsid w:val="001457E7"/>
    <w:rsid w:val="00145D9D"/>
    <w:rsid w:val="00146388"/>
    <w:rsid w:val="00146E39"/>
    <w:rsid w:val="0015165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393F"/>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3E83"/>
    <w:rsid w:val="001E4882"/>
    <w:rsid w:val="001E73AB"/>
    <w:rsid w:val="001E755C"/>
    <w:rsid w:val="001F092D"/>
    <w:rsid w:val="001F143A"/>
    <w:rsid w:val="001F1605"/>
    <w:rsid w:val="001F2508"/>
    <w:rsid w:val="001F4816"/>
    <w:rsid w:val="001F591B"/>
    <w:rsid w:val="001F69B4"/>
    <w:rsid w:val="001F77C7"/>
    <w:rsid w:val="00200183"/>
    <w:rsid w:val="00200333"/>
    <w:rsid w:val="0020107D"/>
    <w:rsid w:val="00202AA4"/>
    <w:rsid w:val="002031F7"/>
    <w:rsid w:val="002040E6"/>
    <w:rsid w:val="0020527B"/>
    <w:rsid w:val="00205F2C"/>
    <w:rsid w:val="002078EE"/>
    <w:rsid w:val="00210B15"/>
    <w:rsid w:val="002142EA"/>
    <w:rsid w:val="00215ADD"/>
    <w:rsid w:val="002204BB"/>
    <w:rsid w:val="00221B79"/>
    <w:rsid w:val="00221C6B"/>
    <w:rsid w:val="00224A35"/>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5887"/>
    <w:rsid w:val="0026148A"/>
    <w:rsid w:val="00262696"/>
    <w:rsid w:val="00263D25"/>
    <w:rsid w:val="002643C3"/>
    <w:rsid w:val="00264A0C"/>
    <w:rsid w:val="002660BA"/>
    <w:rsid w:val="00266EEB"/>
    <w:rsid w:val="00267EF4"/>
    <w:rsid w:val="00270CB8"/>
    <w:rsid w:val="0027123B"/>
    <w:rsid w:val="00272B08"/>
    <w:rsid w:val="00273EEF"/>
    <w:rsid w:val="002814ED"/>
    <w:rsid w:val="00281BB8"/>
    <w:rsid w:val="00281E9E"/>
    <w:rsid w:val="00282405"/>
    <w:rsid w:val="00285170"/>
    <w:rsid w:val="00285361"/>
    <w:rsid w:val="00292415"/>
    <w:rsid w:val="00292D60"/>
    <w:rsid w:val="00293643"/>
    <w:rsid w:val="00293B30"/>
    <w:rsid w:val="00294D34"/>
    <w:rsid w:val="00294E3B"/>
    <w:rsid w:val="00296193"/>
    <w:rsid w:val="00296C66"/>
    <w:rsid w:val="00296EBE"/>
    <w:rsid w:val="002974E3"/>
    <w:rsid w:val="002A084B"/>
    <w:rsid w:val="002A1260"/>
    <w:rsid w:val="002A1589"/>
    <w:rsid w:val="002A1608"/>
    <w:rsid w:val="002A2223"/>
    <w:rsid w:val="002A25DC"/>
    <w:rsid w:val="002A3AAB"/>
    <w:rsid w:val="002A4CEA"/>
    <w:rsid w:val="002A5977"/>
    <w:rsid w:val="002A5A13"/>
    <w:rsid w:val="002A757F"/>
    <w:rsid w:val="002A7F44"/>
    <w:rsid w:val="002B06B6"/>
    <w:rsid w:val="002B0C40"/>
    <w:rsid w:val="002B1966"/>
    <w:rsid w:val="002B4508"/>
    <w:rsid w:val="002B5779"/>
    <w:rsid w:val="002B7332"/>
    <w:rsid w:val="002B7368"/>
    <w:rsid w:val="002B7F51"/>
    <w:rsid w:val="002C09E7"/>
    <w:rsid w:val="002C1E06"/>
    <w:rsid w:val="002C3F07"/>
    <w:rsid w:val="002C5278"/>
    <w:rsid w:val="002C7EBB"/>
    <w:rsid w:val="002D06C1"/>
    <w:rsid w:val="002D1585"/>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619"/>
    <w:rsid w:val="00317988"/>
    <w:rsid w:val="003221B4"/>
    <w:rsid w:val="0032258D"/>
    <w:rsid w:val="00322E62"/>
    <w:rsid w:val="00324D13"/>
    <w:rsid w:val="00324EDD"/>
    <w:rsid w:val="003331E4"/>
    <w:rsid w:val="00336C64"/>
    <w:rsid w:val="00337162"/>
    <w:rsid w:val="0034194F"/>
    <w:rsid w:val="00341A52"/>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6723B"/>
    <w:rsid w:val="003705F4"/>
    <w:rsid w:val="00370D58"/>
    <w:rsid w:val="00371316"/>
    <w:rsid w:val="00371DC2"/>
    <w:rsid w:val="0037216A"/>
    <w:rsid w:val="00376713"/>
    <w:rsid w:val="00377A5A"/>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60E2"/>
    <w:rsid w:val="003974EB"/>
    <w:rsid w:val="00397CC5"/>
    <w:rsid w:val="003A11D1"/>
    <w:rsid w:val="003A1582"/>
    <w:rsid w:val="003A3D9C"/>
    <w:rsid w:val="003A4077"/>
    <w:rsid w:val="003A4AA7"/>
    <w:rsid w:val="003A6DD7"/>
    <w:rsid w:val="003B09AD"/>
    <w:rsid w:val="003B1F18"/>
    <w:rsid w:val="003B1F3A"/>
    <w:rsid w:val="003B5BF0"/>
    <w:rsid w:val="003B608F"/>
    <w:rsid w:val="003B60BF"/>
    <w:rsid w:val="003B6BE3"/>
    <w:rsid w:val="003C010C"/>
    <w:rsid w:val="003C0A6C"/>
    <w:rsid w:val="003C14F8"/>
    <w:rsid w:val="003C19BA"/>
    <w:rsid w:val="003C5A43"/>
    <w:rsid w:val="003D0519"/>
    <w:rsid w:val="003D0FF6"/>
    <w:rsid w:val="003D262C"/>
    <w:rsid w:val="003D6D61"/>
    <w:rsid w:val="003E019F"/>
    <w:rsid w:val="003E091D"/>
    <w:rsid w:val="003E1C53"/>
    <w:rsid w:val="003E266E"/>
    <w:rsid w:val="003E2A69"/>
    <w:rsid w:val="003E2D49"/>
    <w:rsid w:val="003E2FD4"/>
    <w:rsid w:val="003E49F6"/>
    <w:rsid w:val="003E660F"/>
    <w:rsid w:val="003F0841"/>
    <w:rsid w:val="003F23D3"/>
    <w:rsid w:val="003F3F08"/>
    <w:rsid w:val="003F49F1"/>
    <w:rsid w:val="003F6272"/>
    <w:rsid w:val="003F7569"/>
    <w:rsid w:val="00400E72"/>
    <w:rsid w:val="00401400"/>
    <w:rsid w:val="00404869"/>
    <w:rsid w:val="00405884"/>
    <w:rsid w:val="00407D39"/>
    <w:rsid w:val="00411D42"/>
    <w:rsid w:val="0041477A"/>
    <w:rsid w:val="004167A3"/>
    <w:rsid w:val="00432DAA"/>
    <w:rsid w:val="00434305"/>
    <w:rsid w:val="00435DF7"/>
    <w:rsid w:val="0044083F"/>
    <w:rsid w:val="00441AE7"/>
    <w:rsid w:val="00442E77"/>
    <w:rsid w:val="00444277"/>
    <w:rsid w:val="00445574"/>
    <w:rsid w:val="004467FB"/>
    <w:rsid w:val="00452D6B"/>
    <w:rsid w:val="004530BF"/>
    <w:rsid w:val="00454484"/>
    <w:rsid w:val="0045517B"/>
    <w:rsid w:val="00463B77"/>
    <w:rsid w:val="00463C7B"/>
    <w:rsid w:val="004644A6"/>
    <w:rsid w:val="004659BD"/>
    <w:rsid w:val="00467834"/>
    <w:rsid w:val="00470775"/>
    <w:rsid w:val="004746B1"/>
    <w:rsid w:val="00474C12"/>
    <w:rsid w:val="0047583F"/>
    <w:rsid w:val="00475DE8"/>
    <w:rsid w:val="00481C44"/>
    <w:rsid w:val="00484936"/>
    <w:rsid w:val="00485C89"/>
    <w:rsid w:val="00486BE3"/>
    <w:rsid w:val="004905E4"/>
    <w:rsid w:val="00490A89"/>
    <w:rsid w:val="00490AB4"/>
    <w:rsid w:val="0049188B"/>
    <w:rsid w:val="00492F02"/>
    <w:rsid w:val="004939AE"/>
    <w:rsid w:val="004953BB"/>
    <w:rsid w:val="004A12DF"/>
    <w:rsid w:val="004A1BA8"/>
    <w:rsid w:val="004A4B57"/>
    <w:rsid w:val="004A63FA"/>
    <w:rsid w:val="004A6A3D"/>
    <w:rsid w:val="004B0272"/>
    <w:rsid w:val="004B2701"/>
    <w:rsid w:val="004B2E1B"/>
    <w:rsid w:val="004B3AA8"/>
    <w:rsid w:val="004B3E93"/>
    <w:rsid w:val="004C1FBC"/>
    <w:rsid w:val="004C222E"/>
    <w:rsid w:val="004C25A2"/>
    <w:rsid w:val="004C3F1D"/>
    <w:rsid w:val="004C458D"/>
    <w:rsid w:val="004C7556"/>
    <w:rsid w:val="004C7E8B"/>
    <w:rsid w:val="004C7E9D"/>
    <w:rsid w:val="004C7F67"/>
    <w:rsid w:val="004D076D"/>
    <w:rsid w:val="004D0EF1"/>
    <w:rsid w:val="004D2253"/>
    <w:rsid w:val="004D2723"/>
    <w:rsid w:val="004D4406"/>
    <w:rsid w:val="004D63AC"/>
    <w:rsid w:val="004D7C42"/>
    <w:rsid w:val="004E0465"/>
    <w:rsid w:val="004E127B"/>
    <w:rsid w:val="004E1C0A"/>
    <w:rsid w:val="004E30C5"/>
    <w:rsid w:val="004E4AA5"/>
    <w:rsid w:val="004E4AEE"/>
    <w:rsid w:val="004E59E3"/>
    <w:rsid w:val="004E67C0"/>
    <w:rsid w:val="004E7666"/>
    <w:rsid w:val="004F391A"/>
    <w:rsid w:val="004F3CFB"/>
    <w:rsid w:val="004F6456"/>
    <w:rsid w:val="004F696E"/>
    <w:rsid w:val="004F6C71"/>
    <w:rsid w:val="00501139"/>
    <w:rsid w:val="0050363E"/>
    <w:rsid w:val="005039BC"/>
    <w:rsid w:val="005043BB"/>
    <w:rsid w:val="00504A3D"/>
    <w:rsid w:val="00505767"/>
    <w:rsid w:val="005073F0"/>
    <w:rsid w:val="00510767"/>
    <w:rsid w:val="00510A7B"/>
    <w:rsid w:val="0051216C"/>
    <w:rsid w:val="00512F6E"/>
    <w:rsid w:val="00513038"/>
    <w:rsid w:val="00514174"/>
    <w:rsid w:val="00516088"/>
    <w:rsid w:val="00516B0B"/>
    <w:rsid w:val="005220EC"/>
    <w:rsid w:val="005220FD"/>
    <w:rsid w:val="00523F95"/>
    <w:rsid w:val="00524D65"/>
    <w:rsid w:val="00525B16"/>
    <w:rsid w:val="00533D04"/>
    <w:rsid w:val="00534804"/>
    <w:rsid w:val="00534BDF"/>
    <w:rsid w:val="005354EA"/>
    <w:rsid w:val="0053585F"/>
    <w:rsid w:val="005359D1"/>
    <w:rsid w:val="00535EC4"/>
    <w:rsid w:val="00535ED9"/>
    <w:rsid w:val="0053692B"/>
    <w:rsid w:val="00540FD7"/>
    <w:rsid w:val="00541853"/>
    <w:rsid w:val="005423FA"/>
    <w:rsid w:val="00542EC6"/>
    <w:rsid w:val="00543BDA"/>
    <w:rsid w:val="005441CC"/>
    <w:rsid w:val="005479DA"/>
    <w:rsid w:val="00547BCC"/>
    <w:rsid w:val="0055013B"/>
    <w:rsid w:val="00551F6F"/>
    <w:rsid w:val="00555044"/>
    <w:rsid w:val="00555540"/>
    <w:rsid w:val="00560908"/>
    <w:rsid w:val="00561475"/>
    <w:rsid w:val="00562308"/>
    <w:rsid w:val="00562B22"/>
    <w:rsid w:val="0056487B"/>
    <w:rsid w:val="00564FB9"/>
    <w:rsid w:val="00567013"/>
    <w:rsid w:val="00573D9E"/>
    <w:rsid w:val="005744DB"/>
    <w:rsid w:val="005801E3"/>
    <w:rsid w:val="00581802"/>
    <w:rsid w:val="005836A8"/>
    <w:rsid w:val="0058409C"/>
    <w:rsid w:val="00584262"/>
    <w:rsid w:val="00586630"/>
    <w:rsid w:val="00587ADD"/>
    <w:rsid w:val="00593A49"/>
    <w:rsid w:val="00596160"/>
    <w:rsid w:val="00596489"/>
    <w:rsid w:val="005966E2"/>
    <w:rsid w:val="00596C75"/>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6760"/>
    <w:rsid w:val="00617387"/>
    <w:rsid w:val="006205D6"/>
    <w:rsid w:val="006252D8"/>
    <w:rsid w:val="006259BC"/>
    <w:rsid w:val="0062636B"/>
    <w:rsid w:val="00632182"/>
    <w:rsid w:val="00632AE0"/>
    <w:rsid w:val="00633C17"/>
    <w:rsid w:val="00634D9E"/>
    <w:rsid w:val="00636E3E"/>
    <w:rsid w:val="0063781C"/>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7A1B"/>
    <w:rsid w:val="00672060"/>
    <w:rsid w:val="00672BFD"/>
    <w:rsid w:val="006770F4"/>
    <w:rsid w:val="00677A84"/>
    <w:rsid w:val="0068026D"/>
    <w:rsid w:val="00680A27"/>
    <w:rsid w:val="006815A3"/>
    <w:rsid w:val="006816A4"/>
    <w:rsid w:val="006819B8"/>
    <w:rsid w:val="006840A6"/>
    <w:rsid w:val="006850CD"/>
    <w:rsid w:val="00685AAB"/>
    <w:rsid w:val="00691AEB"/>
    <w:rsid w:val="006A07AA"/>
    <w:rsid w:val="006A25E5"/>
    <w:rsid w:val="006A2B46"/>
    <w:rsid w:val="006A336D"/>
    <w:rsid w:val="006A37B9"/>
    <w:rsid w:val="006B1034"/>
    <w:rsid w:val="006B2672"/>
    <w:rsid w:val="006B54BF"/>
    <w:rsid w:val="006B5F44"/>
    <w:rsid w:val="006B5F90"/>
    <w:rsid w:val="006B62E4"/>
    <w:rsid w:val="006C1A37"/>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3BCD"/>
    <w:rsid w:val="006F6284"/>
    <w:rsid w:val="006F6AC8"/>
    <w:rsid w:val="007002C5"/>
    <w:rsid w:val="00704387"/>
    <w:rsid w:val="00706188"/>
    <w:rsid w:val="00707669"/>
    <w:rsid w:val="007079F0"/>
    <w:rsid w:val="00711CBA"/>
    <w:rsid w:val="00711FB5"/>
    <w:rsid w:val="00712A01"/>
    <w:rsid w:val="00714F58"/>
    <w:rsid w:val="00722FBF"/>
    <w:rsid w:val="00722FC2"/>
    <w:rsid w:val="00724E1B"/>
    <w:rsid w:val="00725949"/>
    <w:rsid w:val="00727FA2"/>
    <w:rsid w:val="007322D9"/>
    <w:rsid w:val="00732BC0"/>
    <w:rsid w:val="0073720F"/>
    <w:rsid w:val="00737796"/>
    <w:rsid w:val="00737FE2"/>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0377"/>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0F20"/>
    <w:rsid w:val="007A1B68"/>
    <w:rsid w:val="007A2E12"/>
    <w:rsid w:val="007A3475"/>
    <w:rsid w:val="007A41C8"/>
    <w:rsid w:val="007A4700"/>
    <w:rsid w:val="007A54CE"/>
    <w:rsid w:val="007A5D3A"/>
    <w:rsid w:val="007A6FD9"/>
    <w:rsid w:val="007A7FFA"/>
    <w:rsid w:val="007B04EB"/>
    <w:rsid w:val="007B0D4F"/>
    <w:rsid w:val="007B0F48"/>
    <w:rsid w:val="007B57D4"/>
    <w:rsid w:val="007B5A3D"/>
    <w:rsid w:val="007B5B95"/>
    <w:rsid w:val="007B6032"/>
    <w:rsid w:val="007B68EA"/>
    <w:rsid w:val="007B7453"/>
    <w:rsid w:val="007C2C14"/>
    <w:rsid w:val="007C2D89"/>
    <w:rsid w:val="007C4593"/>
    <w:rsid w:val="007C5309"/>
    <w:rsid w:val="007C6069"/>
    <w:rsid w:val="007D0314"/>
    <w:rsid w:val="007D06C4"/>
    <w:rsid w:val="007D1352"/>
    <w:rsid w:val="007D2508"/>
    <w:rsid w:val="007D346A"/>
    <w:rsid w:val="007D6518"/>
    <w:rsid w:val="007D76BD"/>
    <w:rsid w:val="007E0BF1"/>
    <w:rsid w:val="007F0ED8"/>
    <w:rsid w:val="007F0F63"/>
    <w:rsid w:val="007F75CE"/>
    <w:rsid w:val="00800480"/>
    <w:rsid w:val="008013A4"/>
    <w:rsid w:val="008027CE"/>
    <w:rsid w:val="00802953"/>
    <w:rsid w:val="00802F42"/>
    <w:rsid w:val="00804383"/>
    <w:rsid w:val="00804BB7"/>
    <w:rsid w:val="00804D41"/>
    <w:rsid w:val="00805F6E"/>
    <w:rsid w:val="00806C0C"/>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55B9F"/>
    <w:rsid w:val="008603CE"/>
    <w:rsid w:val="008620FC"/>
    <w:rsid w:val="008627A5"/>
    <w:rsid w:val="00863E05"/>
    <w:rsid w:val="00863F1E"/>
    <w:rsid w:val="008640E8"/>
    <w:rsid w:val="00864F89"/>
    <w:rsid w:val="00865ACA"/>
    <w:rsid w:val="00865D28"/>
    <w:rsid w:val="00865F85"/>
    <w:rsid w:val="00867C10"/>
    <w:rsid w:val="00870439"/>
    <w:rsid w:val="00870DA1"/>
    <w:rsid w:val="00875213"/>
    <w:rsid w:val="00883F93"/>
    <w:rsid w:val="00884DB3"/>
    <w:rsid w:val="008855A5"/>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2C2E"/>
    <w:rsid w:val="008B3615"/>
    <w:rsid w:val="008B4AC4"/>
    <w:rsid w:val="008B4D5C"/>
    <w:rsid w:val="008B50C8"/>
    <w:rsid w:val="008B5281"/>
    <w:rsid w:val="008B7E05"/>
    <w:rsid w:val="008C1797"/>
    <w:rsid w:val="008C219C"/>
    <w:rsid w:val="008C245F"/>
    <w:rsid w:val="008C475E"/>
    <w:rsid w:val="008C619A"/>
    <w:rsid w:val="008D0CE8"/>
    <w:rsid w:val="008D2D1D"/>
    <w:rsid w:val="008D2D50"/>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1D52"/>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4B57"/>
    <w:rsid w:val="00965E04"/>
    <w:rsid w:val="00966549"/>
    <w:rsid w:val="009674AD"/>
    <w:rsid w:val="00970CDC"/>
    <w:rsid w:val="00974755"/>
    <w:rsid w:val="00975727"/>
    <w:rsid w:val="00977010"/>
    <w:rsid w:val="00977D02"/>
    <w:rsid w:val="00977FF9"/>
    <w:rsid w:val="009809BB"/>
    <w:rsid w:val="0098364B"/>
    <w:rsid w:val="00990294"/>
    <w:rsid w:val="009908A3"/>
    <w:rsid w:val="00990BD7"/>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1921"/>
    <w:rsid w:val="009B6029"/>
    <w:rsid w:val="009B6971"/>
    <w:rsid w:val="009C1018"/>
    <w:rsid w:val="009C27F1"/>
    <w:rsid w:val="009C28C3"/>
    <w:rsid w:val="009C3152"/>
    <w:rsid w:val="009C3257"/>
    <w:rsid w:val="009C4CFA"/>
    <w:rsid w:val="009C5070"/>
    <w:rsid w:val="009D112C"/>
    <w:rsid w:val="009D1385"/>
    <w:rsid w:val="009D47FA"/>
    <w:rsid w:val="009D4C5B"/>
    <w:rsid w:val="009D50D2"/>
    <w:rsid w:val="009D6BCA"/>
    <w:rsid w:val="009E0F62"/>
    <w:rsid w:val="009E4A58"/>
    <w:rsid w:val="009E4D54"/>
    <w:rsid w:val="009E5A2D"/>
    <w:rsid w:val="009E5AB2"/>
    <w:rsid w:val="009E6219"/>
    <w:rsid w:val="009F03B3"/>
    <w:rsid w:val="00A0096C"/>
    <w:rsid w:val="00A01757"/>
    <w:rsid w:val="00A028C0"/>
    <w:rsid w:val="00A02BAE"/>
    <w:rsid w:val="00A06A6B"/>
    <w:rsid w:val="00A07AB4"/>
    <w:rsid w:val="00A07E47"/>
    <w:rsid w:val="00A109FB"/>
    <w:rsid w:val="00A129D0"/>
    <w:rsid w:val="00A12C33"/>
    <w:rsid w:val="00A138BA"/>
    <w:rsid w:val="00A14C8E"/>
    <w:rsid w:val="00A153D9"/>
    <w:rsid w:val="00A15F09"/>
    <w:rsid w:val="00A169B6"/>
    <w:rsid w:val="00A177CD"/>
    <w:rsid w:val="00A2271D"/>
    <w:rsid w:val="00A237D5"/>
    <w:rsid w:val="00A27011"/>
    <w:rsid w:val="00A30EFC"/>
    <w:rsid w:val="00A31984"/>
    <w:rsid w:val="00A32D73"/>
    <w:rsid w:val="00A3367B"/>
    <w:rsid w:val="00A33C67"/>
    <w:rsid w:val="00A3597D"/>
    <w:rsid w:val="00A36DD1"/>
    <w:rsid w:val="00A37601"/>
    <w:rsid w:val="00A4006C"/>
    <w:rsid w:val="00A40091"/>
    <w:rsid w:val="00A4030F"/>
    <w:rsid w:val="00A41C79"/>
    <w:rsid w:val="00A41CB5"/>
    <w:rsid w:val="00A42CDF"/>
    <w:rsid w:val="00A4452E"/>
    <w:rsid w:val="00A4472C"/>
    <w:rsid w:val="00A44E69"/>
    <w:rsid w:val="00A4648E"/>
    <w:rsid w:val="00A4661E"/>
    <w:rsid w:val="00A46E59"/>
    <w:rsid w:val="00A55BD6"/>
    <w:rsid w:val="00A55D50"/>
    <w:rsid w:val="00A57142"/>
    <w:rsid w:val="00A648CD"/>
    <w:rsid w:val="00A6537A"/>
    <w:rsid w:val="00A67866"/>
    <w:rsid w:val="00A70B07"/>
    <w:rsid w:val="00A723F8"/>
    <w:rsid w:val="00A72EE0"/>
    <w:rsid w:val="00A74883"/>
    <w:rsid w:val="00A77CCB"/>
    <w:rsid w:val="00A8311A"/>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865"/>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0D83"/>
    <w:rsid w:val="00AE101C"/>
    <w:rsid w:val="00AE2A69"/>
    <w:rsid w:val="00AE37E5"/>
    <w:rsid w:val="00AE50D2"/>
    <w:rsid w:val="00AE5EB4"/>
    <w:rsid w:val="00AF0C18"/>
    <w:rsid w:val="00AF2544"/>
    <w:rsid w:val="00AF47C5"/>
    <w:rsid w:val="00AF5398"/>
    <w:rsid w:val="00B049AF"/>
    <w:rsid w:val="00B07242"/>
    <w:rsid w:val="00B10534"/>
    <w:rsid w:val="00B113DB"/>
    <w:rsid w:val="00B11D8A"/>
    <w:rsid w:val="00B12981"/>
    <w:rsid w:val="00B147DD"/>
    <w:rsid w:val="00B156FD"/>
    <w:rsid w:val="00B15967"/>
    <w:rsid w:val="00B21F61"/>
    <w:rsid w:val="00B25D8C"/>
    <w:rsid w:val="00B261F1"/>
    <w:rsid w:val="00B265BC"/>
    <w:rsid w:val="00B31FB1"/>
    <w:rsid w:val="00B32BD1"/>
    <w:rsid w:val="00B33952"/>
    <w:rsid w:val="00B33C5E"/>
    <w:rsid w:val="00B342F4"/>
    <w:rsid w:val="00B34369"/>
    <w:rsid w:val="00B34DC2"/>
    <w:rsid w:val="00B378E5"/>
    <w:rsid w:val="00B4346D"/>
    <w:rsid w:val="00B440F4"/>
    <w:rsid w:val="00B447A5"/>
    <w:rsid w:val="00B4654C"/>
    <w:rsid w:val="00B47293"/>
    <w:rsid w:val="00B50E50"/>
    <w:rsid w:val="00B52120"/>
    <w:rsid w:val="00B52F50"/>
    <w:rsid w:val="00B54ABC"/>
    <w:rsid w:val="00B56FBE"/>
    <w:rsid w:val="00B60ACF"/>
    <w:rsid w:val="00B62B58"/>
    <w:rsid w:val="00B63827"/>
    <w:rsid w:val="00B65149"/>
    <w:rsid w:val="00B66567"/>
    <w:rsid w:val="00B66F52"/>
    <w:rsid w:val="00B66FE5"/>
    <w:rsid w:val="00B72880"/>
    <w:rsid w:val="00B74D11"/>
    <w:rsid w:val="00B7550B"/>
    <w:rsid w:val="00B758BF"/>
    <w:rsid w:val="00B77EC8"/>
    <w:rsid w:val="00B827A6"/>
    <w:rsid w:val="00B831CE"/>
    <w:rsid w:val="00B86677"/>
    <w:rsid w:val="00B87131"/>
    <w:rsid w:val="00B939B1"/>
    <w:rsid w:val="00B96D40"/>
    <w:rsid w:val="00B97386"/>
    <w:rsid w:val="00BA263B"/>
    <w:rsid w:val="00BA42B2"/>
    <w:rsid w:val="00BA4323"/>
    <w:rsid w:val="00BA58D4"/>
    <w:rsid w:val="00BA5B9E"/>
    <w:rsid w:val="00BA7C9A"/>
    <w:rsid w:val="00BB478F"/>
    <w:rsid w:val="00BB5F8F"/>
    <w:rsid w:val="00BB657A"/>
    <w:rsid w:val="00BB6F7E"/>
    <w:rsid w:val="00BC17B3"/>
    <w:rsid w:val="00BC1A4E"/>
    <w:rsid w:val="00BC5DC7"/>
    <w:rsid w:val="00BC6B8B"/>
    <w:rsid w:val="00BC73D8"/>
    <w:rsid w:val="00BD1776"/>
    <w:rsid w:val="00BD52D7"/>
    <w:rsid w:val="00BD5AD2"/>
    <w:rsid w:val="00BD761C"/>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2DFA"/>
    <w:rsid w:val="00C44BF5"/>
    <w:rsid w:val="00C47806"/>
    <w:rsid w:val="00C521D6"/>
    <w:rsid w:val="00C55232"/>
    <w:rsid w:val="00C553A4"/>
    <w:rsid w:val="00C55A06"/>
    <w:rsid w:val="00C55D03"/>
    <w:rsid w:val="00C601BC"/>
    <w:rsid w:val="00C6329F"/>
    <w:rsid w:val="00C63340"/>
    <w:rsid w:val="00C643F9"/>
    <w:rsid w:val="00C64E95"/>
    <w:rsid w:val="00C71372"/>
    <w:rsid w:val="00C72410"/>
    <w:rsid w:val="00C7287F"/>
    <w:rsid w:val="00C7290D"/>
    <w:rsid w:val="00C73810"/>
    <w:rsid w:val="00C80CB8"/>
    <w:rsid w:val="00C81161"/>
    <w:rsid w:val="00C819F8"/>
    <w:rsid w:val="00C8248C"/>
    <w:rsid w:val="00C84E33"/>
    <w:rsid w:val="00C86D6F"/>
    <w:rsid w:val="00C8713E"/>
    <w:rsid w:val="00C878CE"/>
    <w:rsid w:val="00C905FC"/>
    <w:rsid w:val="00C92D03"/>
    <w:rsid w:val="00C9319C"/>
    <w:rsid w:val="00C9435D"/>
    <w:rsid w:val="00C94DF2"/>
    <w:rsid w:val="00C96741"/>
    <w:rsid w:val="00C973E8"/>
    <w:rsid w:val="00CA2D1B"/>
    <w:rsid w:val="00CA375D"/>
    <w:rsid w:val="00CA662A"/>
    <w:rsid w:val="00CA6F1D"/>
    <w:rsid w:val="00CA7AFD"/>
    <w:rsid w:val="00CA7C3C"/>
    <w:rsid w:val="00CB0189"/>
    <w:rsid w:val="00CB0BA2"/>
    <w:rsid w:val="00CB1A42"/>
    <w:rsid w:val="00CB1B0C"/>
    <w:rsid w:val="00CB2C0B"/>
    <w:rsid w:val="00CB517D"/>
    <w:rsid w:val="00CC038D"/>
    <w:rsid w:val="00CC08DB"/>
    <w:rsid w:val="00CC1523"/>
    <w:rsid w:val="00CC17C4"/>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56E8"/>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4DBB"/>
    <w:rsid w:val="00D352A2"/>
    <w:rsid w:val="00D36991"/>
    <w:rsid w:val="00D4162B"/>
    <w:rsid w:val="00D4514F"/>
    <w:rsid w:val="00D451E2"/>
    <w:rsid w:val="00D45E89"/>
    <w:rsid w:val="00D45E8D"/>
    <w:rsid w:val="00D466AE"/>
    <w:rsid w:val="00D4734F"/>
    <w:rsid w:val="00D51BF3"/>
    <w:rsid w:val="00D61296"/>
    <w:rsid w:val="00D650A0"/>
    <w:rsid w:val="00D66846"/>
    <w:rsid w:val="00D675FB"/>
    <w:rsid w:val="00D719A9"/>
    <w:rsid w:val="00D71F25"/>
    <w:rsid w:val="00D72A9C"/>
    <w:rsid w:val="00D77031"/>
    <w:rsid w:val="00D82B2D"/>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5C13"/>
    <w:rsid w:val="00DA64F8"/>
    <w:rsid w:val="00DA6C15"/>
    <w:rsid w:val="00DB0258"/>
    <w:rsid w:val="00DB2FA7"/>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0CF7"/>
    <w:rsid w:val="00DE2410"/>
    <w:rsid w:val="00DE2939"/>
    <w:rsid w:val="00DE2FF9"/>
    <w:rsid w:val="00DE6E81"/>
    <w:rsid w:val="00DE703F"/>
    <w:rsid w:val="00DE7561"/>
    <w:rsid w:val="00DE7595"/>
    <w:rsid w:val="00DF1857"/>
    <w:rsid w:val="00DF1961"/>
    <w:rsid w:val="00DF44DE"/>
    <w:rsid w:val="00E01138"/>
    <w:rsid w:val="00E02DFB"/>
    <w:rsid w:val="00E030F9"/>
    <w:rsid w:val="00E0311A"/>
    <w:rsid w:val="00E03138"/>
    <w:rsid w:val="00E06404"/>
    <w:rsid w:val="00E11A85"/>
    <w:rsid w:val="00E12495"/>
    <w:rsid w:val="00E15CCD"/>
    <w:rsid w:val="00E202EF"/>
    <w:rsid w:val="00E210B5"/>
    <w:rsid w:val="00E217AE"/>
    <w:rsid w:val="00E2552F"/>
    <w:rsid w:val="00E3137A"/>
    <w:rsid w:val="00E32CCF"/>
    <w:rsid w:val="00E33653"/>
    <w:rsid w:val="00E34A98"/>
    <w:rsid w:val="00E35D1E"/>
    <w:rsid w:val="00E364F9"/>
    <w:rsid w:val="00E365FA"/>
    <w:rsid w:val="00E36789"/>
    <w:rsid w:val="00E36963"/>
    <w:rsid w:val="00E44A83"/>
    <w:rsid w:val="00E46B4D"/>
    <w:rsid w:val="00E502C1"/>
    <w:rsid w:val="00E502DD"/>
    <w:rsid w:val="00E50D3A"/>
    <w:rsid w:val="00E51387"/>
    <w:rsid w:val="00E51E68"/>
    <w:rsid w:val="00E528DA"/>
    <w:rsid w:val="00E52EFD"/>
    <w:rsid w:val="00E5408A"/>
    <w:rsid w:val="00E56800"/>
    <w:rsid w:val="00E60C63"/>
    <w:rsid w:val="00E62662"/>
    <w:rsid w:val="00E62FF9"/>
    <w:rsid w:val="00E635D6"/>
    <w:rsid w:val="00E639BC"/>
    <w:rsid w:val="00E664CC"/>
    <w:rsid w:val="00E67BC1"/>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96AA2"/>
    <w:rsid w:val="00EA1C86"/>
    <w:rsid w:val="00EA58D1"/>
    <w:rsid w:val="00EA61BC"/>
    <w:rsid w:val="00EA681A"/>
    <w:rsid w:val="00EA735B"/>
    <w:rsid w:val="00EB1E69"/>
    <w:rsid w:val="00EB2086"/>
    <w:rsid w:val="00EB31ED"/>
    <w:rsid w:val="00EB5EDF"/>
    <w:rsid w:val="00EB60FE"/>
    <w:rsid w:val="00EB6111"/>
    <w:rsid w:val="00EB74DB"/>
    <w:rsid w:val="00EC5359"/>
    <w:rsid w:val="00EC562A"/>
    <w:rsid w:val="00ED067A"/>
    <w:rsid w:val="00ED2B50"/>
    <w:rsid w:val="00EE0350"/>
    <w:rsid w:val="00EE0719"/>
    <w:rsid w:val="00EE0E80"/>
    <w:rsid w:val="00EE3FC9"/>
    <w:rsid w:val="00EE613F"/>
    <w:rsid w:val="00EE7295"/>
    <w:rsid w:val="00EE7869"/>
    <w:rsid w:val="00EF054A"/>
    <w:rsid w:val="00EF192C"/>
    <w:rsid w:val="00EF3235"/>
    <w:rsid w:val="00EF34AA"/>
    <w:rsid w:val="00EF3D49"/>
    <w:rsid w:val="00EF7E72"/>
    <w:rsid w:val="00F06D37"/>
    <w:rsid w:val="00F07B9D"/>
    <w:rsid w:val="00F11547"/>
    <w:rsid w:val="00F11586"/>
    <w:rsid w:val="00F1183B"/>
    <w:rsid w:val="00F11AB6"/>
    <w:rsid w:val="00F11C9F"/>
    <w:rsid w:val="00F12263"/>
    <w:rsid w:val="00F1409D"/>
    <w:rsid w:val="00F14214"/>
    <w:rsid w:val="00F157A9"/>
    <w:rsid w:val="00F16F00"/>
    <w:rsid w:val="00F25BB6"/>
    <w:rsid w:val="00F26B7E"/>
    <w:rsid w:val="00F26C82"/>
    <w:rsid w:val="00F27A3B"/>
    <w:rsid w:val="00F32780"/>
    <w:rsid w:val="00F3284A"/>
    <w:rsid w:val="00F33817"/>
    <w:rsid w:val="00F420D5"/>
    <w:rsid w:val="00F451EA"/>
    <w:rsid w:val="00F45447"/>
    <w:rsid w:val="00F456C6"/>
    <w:rsid w:val="00F4577B"/>
    <w:rsid w:val="00F46496"/>
    <w:rsid w:val="00F474D0"/>
    <w:rsid w:val="00F50179"/>
    <w:rsid w:val="00F515EE"/>
    <w:rsid w:val="00F561BD"/>
    <w:rsid w:val="00F56511"/>
    <w:rsid w:val="00F6194E"/>
    <w:rsid w:val="00F623AC"/>
    <w:rsid w:val="00F6412A"/>
    <w:rsid w:val="00F65893"/>
    <w:rsid w:val="00F66A4A"/>
    <w:rsid w:val="00F71E22"/>
    <w:rsid w:val="00F72142"/>
    <w:rsid w:val="00F72361"/>
    <w:rsid w:val="00F728CE"/>
    <w:rsid w:val="00F72AE7"/>
    <w:rsid w:val="00F833BA"/>
    <w:rsid w:val="00F84FD0"/>
    <w:rsid w:val="00F859A8"/>
    <w:rsid w:val="00F86D87"/>
    <w:rsid w:val="00F9108B"/>
    <w:rsid w:val="00F91349"/>
    <w:rsid w:val="00F91A96"/>
    <w:rsid w:val="00F93A8A"/>
    <w:rsid w:val="00F95248"/>
    <w:rsid w:val="00F956A9"/>
    <w:rsid w:val="00F963ED"/>
    <w:rsid w:val="00F966CF"/>
    <w:rsid w:val="00F96CAE"/>
    <w:rsid w:val="00F97317"/>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069D"/>
    <w:rsid w:val="00FF3E7D"/>
    <w:rsid w:val="00FF3FFA"/>
    <w:rsid w:val="00FF5B99"/>
    <w:rsid w:val="00FF730C"/>
    <w:rsid w:val="00FF73F4"/>
    <w:rsid w:val="00FF7CE4"/>
    <w:rsid w:val="00FF7E39"/>
    <w:rsid w:val="01304F8C"/>
    <w:rsid w:val="017850B0"/>
    <w:rsid w:val="018A7679"/>
    <w:rsid w:val="0209037D"/>
    <w:rsid w:val="0264611C"/>
    <w:rsid w:val="02971849"/>
    <w:rsid w:val="02A209F3"/>
    <w:rsid w:val="02DF43C0"/>
    <w:rsid w:val="02E72BC1"/>
    <w:rsid w:val="02FA4321"/>
    <w:rsid w:val="034F3DD6"/>
    <w:rsid w:val="038B210A"/>
    <w:rsid w:val="042C4CE7"/>
    <w:rsid w:val="04350D16"/>
    <w:rsid w:val="04366164"/>
    <w:rsid w:val="047D34C5"/>
    <w:rsid w:val="04A66578"/>
    <w:rsid w:val="04B71802"/>
    <w:rsid w:val="04C9603D"/>
    <w:rsid w:val="04CA09CE"/>
    <w:rsid w:val="04DC19A8"/>
    <w:rsid w:val="04FA68C4"/>
    <w:rsid w:val="051A51B8"/>
    <w:rsid w:val="053D2698"/>
    <w:rsid w:val="05510153"/>
    <w:rsid w:val="05C375FE"/>
    <w:rsid w:val="05D23E04"/>
    <w:rsid w:val="05DE1A9C"/>
    <w:rsid w:val="05FD550C"/>
    <w:rsid w:val="062D1D57"/>
    <w:rsid w:val="067B1C86"/>
    <w:rsid w:val="06B225CD"/>
    <w:rsid w:val="06C16FC8"/>
    <w:rsid w:val="07920698"/>
    <w:rsid w:val="07CB0DF0"/>
    <w:rsid w:val="082056C3"/>
    <w:rsid w:val="083D71F3"/>
    <w:rsid w:val="08512CEC"/>
    <w:rsid w:val="08793804"/>
    <w:rsid w:val="08A25149"/>
    <w:rsid w:val="091F3E81"/>
    <w:rsid w:val="092E49EF"/>
    <w:rsid w:val="096259C1"/>
    <w:rsid w:val="09C0099C"/>
    <w:rsid w:val="09CF4697"/>
    <w:rsid w:val="09D32019"/>
    <w:rsid w:val="0A7F6F06"/>
    <w:rsid w:val="0ABE140D"/>
    <w:rsid w:val="0AD41965"/>
    <w:rsid w:val="0ADD776B"/>
    <w:rsid w:val="0B46120A"/>
    <w:rsid w:val="0B826065"/>
    <w:rsid w:val="0BA231F9"/>
    <w:rsid w:val="0C1449A1"/>
    <w:rsid w:val="0C730A91"/>
    <w:rsid w:val="0C9A7D0E"/>
    <w:rsid w:val="0CA75583"/>
    <w:rsid w:val="0CAD41B6"/>
    <w:rsid w:val="0CE02843"/>
    <w:rsid w:val="0CEB2A0A"/>
    <w:rsid w:val="0CFB767D"/>
    <w:rsid w:val="0D951880"/>
    <w:rsid w:val="0D9E72A7"/>
    <w:rsid w:val="0DD04666"/>
    <w:rsid w:val="0DF0390A"/>
    <w:rsid w:val="0DF5231E"/>
    <w:rsid w:val="0E236E8B"/>
    <w:rsid w:val="0E662C4D"/>
    <w:rsid w:val="0E6A79B7"/>
    <w:rsid w:val="0E746E86"/>
    <w:rsid w:val="0E9D219D"/>
    <w:rsid w:val="0F2509E1"/>
    <w:rsid w:val="0F564910"/>
    <w:rsid w:val="0F66116C"/>
    <w:rsid w:val="0FAB6399"/>
    <w:rsid w:val="103C5D95"/>
    <w:rsid w:val="10C2298C"/>
    <w:rsid w:val="11434105"/>
    <w:rsid w:val="11757572"/>
    <w:rsid w:val="118D7971"/>
    <w:rsid w:val="11C91AF8"/>
    <w:rsid w:val="11DA674A"/>
    <w:rsid w:val="122F22A3"/>
    <w:rsid w:val="123B7B04"/>
    <w:rsid w:val="123C051C"/>
    <w:rsid w:val="12762B59"/>
    <w:rsid w:val="12812DA9"/>
    <w:rsid w:val="1302430A"/>
    <w:rsid w:val="13085298"/>
    <w:rsid w:val="131D0F14"/>
    <w:rsid w:val="133C3F4C"/>
    <w:rsid w:val="13887BC1"/>
    <w:rsid w:val="13972590"/>
    <w:rsid w:val="13D80718"/>
    <w:rsid w:val="143C4021"/>
    <w:rsid w:val="1473610D"/>
    <w:rsid w:val="14B00FBC"/>
    <w:rsid w:val="14C06E7B"/>
    <w:rsid w:val="14DA5C72"/>
    <w:rsid w:val="14E135FC"/>
    <w:rsid w:val="14E44445"/>
    <w:rsid w:val="15000FED"/>
    <w:rsid w:val="151625B7"/>
    <w:rsid w:val="153951E6"/>
    <w:rsid w:val="15890BC6"/>
    <w:rsid w:val="15F34DBE"/>
    <w:rsid w:val="160E0421"/>
    <w:rsid w:val="16307E70"/>
    <w:rsid w:val="163D0B23"/>
    <w:rsid w:val="169576C4"/>
    <w:rsid w:val="16A20B69"/>
    <w:rsid w:val="16AB14F4"/>
    <w:rsid w:val="16AC1B80"/>
    <w:rsid w:val="16C16B16"/>
    <w:rsid w:val="171F2F71"/>
    <w:rsid w:val="172634B4"/>
    <w:rsid w:val="1732160C"/>
    <w:rsid w:val="17B95F85"/>
    <w:rsid w:val="17C335C9"/>
    <w:rsid w:val="182C2DE0"/>
    <w:rsid w:val="18526663"/>
    <w:rsid w:val="188D1D02"/>
    <w:rsid w:val="196C11FD"/>
    <w:rsid w:val="19861934"/>
    <w:rsid w:val="1A112152"/>
    <w:rsid w:val="1A220497"/>
    <w:rsid w:val="1A537752"/>
    <w:rsid w:val="1A613215"/>
    <w:rsid w:val="1A716259"/>
    <w:rsid w:val="1A8148F1"/>
    <w:rsid w:val="1AB53561"/>
    <w:rsid w:val="1AB94739"/>
    <w:rsid w:val="1B0248EA"/>
    <w:rsid w:val="1B1D415E"/>
    <w:rsid w:val="1BD06E1C"/>
    <w:rsid w:val="1C161DDD"/>
    <w:rsid w:val="1C4A7CD9"/>
    <w:rsid w:val="1C9D2E52"/>
    <w:rsid w:val="1D012A8E"/>
    <w:rsid w:val="1DB37C71"/>
    <w:rsid w:val="1DE47AF5"/>
    <w:rsid w:val="1DF148B0"/>
    <w:rsid w:val="1E306D45"/>
    <w:rsid w:val="1E5C08EE"/>
    <w:rsid w:val="1EA96FDB"/>
    <w:rsid w:val="1EB53B30"/>
    <w:rsid w:val="1ED44A0A"/>
    <w:rsid w:val="1F443106"/>
    <w:rsid w:val="1F6D797E"/>
    <w:rsid w:val="1F8F25D3"/>
    <w:rsid w:val="1FAC1BD6"/>
    <w:rsid w:val="1FE77F81"/>
    <w:rsid w:val="20AD14FA"/>
    <w:rsid w:val="20D75914"/>
    <w:rsid w:val="211F7986"/>
    <w:rsid w:val="212F7072"/>
    <w:rsid w:val="21A600B9"/>
    <w:rsid w:val="21EF7359"/>
    <w:rsid w:val="21F66939"/>
    <w:rsid w:val="2201708C"/>
    <w:rsid w:val="22387BCD"/>
    <w:rsid w:val="223C63CB"/>
    <w:rsid w:val="22AC53BE"/>
    <w:rsid w:val="23472E3D"/>
    <w:rsid w:val="23492A98"/>
    <w:rsid w:val="236938DF"/>
    <w:rsid w:val="23A57A0C"/>
    <w:rsid w:val="24DC3820"/>
    <w:rsid w:val="24F42E7D"/>
    <w:rsid w:val="256F40F7"/>
    <w:rsid w:val="25AF6D30"/>
    <w:rsid w:val="25BD1DD5"/>
    <w:rsid w:val="264E03C6"/>
    <w:rsid w:val="26946277"/>
    <w:rsid w:val="26D02833"/>
    <w:rsid w:val="26D8337F"/>
    <w:rsid w:val="27315D1D"/>
    <w:rsid w:val="2755707D"/>
    <w:rsid w:val="278E75AA"/>
    <w:rsid w:val="27C36577"/>
    <w:rsid w:val="289013A5"/>
    <w:rsid w:val="28B8769B"/>
    <w:rsid w:val="290B005D"/>
    <w:rsid w:val="29276B29"/>
    <w:rsid w:val="297F21D6"/>
    <w:rsid w:val="29AB4552"/>
    <w:rsid w:val="29B36EBE"/>
    <w:rsid w:val="2A210D21"/>
    <w:rsid w:val="2A2A498B"/>
    <w:rsid w:val="2A337F29"/>
    <w:rsid w:val="2A8A2314"/>
    <w:rsid w:val="2AD30F99"/>
    <w:rsid w:val="2AD70D2A"/>
    <w:rsid w:val="2B2F58FC"/>
    <w:rsid w:val="2B304D35"/>
    <w:rsid w:val="2B5D102C"/>
    <w:rsid w:val="2BCA1C82"/>
    <w:rsid w:val="2C401FB5"/>
    <w:rsid w:val="2C583A37"/>
    <w:rsid w:val="2C884632"/>
    <w:rsid w:val="2C8E3177"/>
    <w:rsid w:val="2CB45C56"/>
    <w:rsid w:val="2CD00FCC"/>
    <w:rsid w:val="2CF83AE3"/>
    <w:rsid w:val="2D091F98"/>
    <w:rsid w:val="2D1C121E"/>
    <w:rsid w:val="2D2F71A3"/>
    <w:rsid w:val="2D39592C"/>
    <w:rsid w:val="2D70650F"/>
    <w:rsid w:val="2D8F3B1F"/>
    <w:rsid w:val="2E204D3E"/>
    <w:rsid w:val="2E43686A"/>
    <w:rsid w:val="2E7E2CFA"/>
    <w:rsid w:val="2EB3170E"/>
    <w:rsid w:val="2F7C4655"/>
    <w:rsid w:val="2FBD0A96"/>
    <w:rsid w:val="2FDC35F3"/>
    <w:rsid w:val="2FF40230"/>
    <w:rsid w:val="302A63B7"/>
    <w:rsid w:val="3034062C"/>
    <w:rsid w:val="3047561D"/>
    <w:rsid w:val="30662EDC"/>
    <w:rsid w:val="30693D07"/>
    <w:rsid w:val="307A6C56"/>
    <w:rsid w:val="30973068"/>
    <w:rsid w:val="30E91EDF"/>
    <w:rsid w:val="317029FC"/>
    <w:rsid w:val="318045B2"/>
    <w:rsid w:val="31A94683"/>
    <w:rsid w:val="32354175"/>
    <w:rsid w:val="33095DA0"/>
    <w:rsid w:val="331F55C4"/>
    <w:rsid w:val="33BE685C"/>
    <w:rsid w:val="33CF7EC3"/>
    <w:rsid w:val="341812B8"/>
    <w:rsid w:val="34B6489B"/>
    <w:rsid w:val="34DB4FC6"/>
    <w:rsid w:val="35335357"/>
    <w:rsid w:val="35EA13B3"/>
    <w:rsid w:val="362058DB"/>
    <w:rsid w:val="36442692"/>
    <w:rsid w:val="364C2B74"/>
    <w:rsid w:val="36684315"/>
    <w:rsid w:val="366A7EEC"/>
    <w:rsid w:val="36701E25"/>
    <w:rsid w:val="368D5C4C"/>
    <w:rsid w:val="36B128B1"/>
    <w:rsid w:val="36EC6134"/>
    <w:rsid w:val="37012EE2"/>
    <w:rsid w:val="372C4753"/>
    <w:rsid w:val="375C6DE7"/>
    <w:rsid w:val="376E288D"/>
    <w:rsid w:val="3785754C"/>
    <w:rsid w:val="37B24C58"/>
    <w:rsid w:val="38B36EDA"/>
    <w:rsid w:val="39093936"/>
    <w:rsid w:val="391C5A88"/>
    <w:rsid w:val="393C11CB"/>
    <w:rsid w:val="39614F75"/>
    <w:rsid w:val="39793568"/>
    <w:rsid w:val="3981493D"/>
    <w:rsid w:val="3A123D98"/>
    <w:rsid w:val="3A2F4311"/>
    <w:rsid w:val="3A6D4691"/>
    <w:rsid w:val="3A743045"/>
    <w:rsid w:val="3A881CA1"/>
    <w:rsid w:val="3A8B125D"/>
    <w:rsid w:val="3B223EA3"/>
    <w:rsid w:val="3B25480D"/>
    <w:rsid w:val="3B37375B"/>
    <w:rsid w:val="3B5812BE"/>
    <w:rsid w:val="3BBB077F"/>
    <w:rsid w:val="3BE23ABD"/>
    <w:rsid w:val="3BF93C76"/>
    <w:rsid w:val="3C0903B8"/>
    <w:rsid w:val="3C4E5450"/>
    <w:rsid w:val="3C7C7572"/>
    <w:rsid w:val="3C955851"/>
    <w:rsid w:val="3CC71045"/>
    <w:rsid w:val="3D1C04F8"/>
    <w:rsid w:val="3DF24F48"/>
    <w:rsid w:val="3E1C72D0"/>
    <w:rsid w:val="3E2F069E"/>
    <w:rsid w:val="3E6F55B8"/>
    <w:rsid w:val="3E985068"/>
    <w:rsid w:val="3EBF3221"/>
    <w:rsid w:val="3ED543B5"/>
    <w:rsid w:val="3F277132"/>
    <w:rsid w:val="3F8E7801"/>
    <w:rsid w:val="3F9E77CF"/>
    <w:rsid w:val="3FCA1912"/>
    <w:rsid w:val="411D5E94"/>
    <w:rsid w:val="41EE4ADF"/>
    <w:rsid w:val="421B2E96"/>
    <w:rsid w:val="423C3C6B"/>
    <w:rsid w:val="42BE3101"/>
    <w:rsid w:val="43183A6B"/>
    <w:rsid w:val="432D1637"/>
    <w:rsid w:val="44687D42"/>
    <w:rsid w:val="44887170"/>
    <w:rsid w:val="44F85C75"/>
    <w:rsid w:val="45431740"/>
    <w:rsid w:val="45C767DD"/>
    <w:rsid w:val="45EF1A4A"/>
    <w:rsid w:val="468136C9"/>
    <w:rsid w:val="46985710"/>
    <w:rsid w:val="46A839A7"/>
    <w:rsid w:val="470C1AAD"/>
    <w:rsid w:val="47126918"/>
    <w:rsid w:val="47221E03"/>
    <w:rsid w:val="479F375F"/>
    <w:rsid w:val="47DD4F61"/>
    <w:rsid w:val="47E84547"/>
    <w:rsid w:val="48052B82"/>
    <w:rsid w:val="486D62D4"/>
    <w:rsid w:val="48F96384"/>
    <w:rsid w:val="495C4A24"/>
    <w:rsid w:val="4A013A70"/>
    <w:rsid w:val="4A5534DF"/>
    <w:rsid w:val="4A5554B3"/>
    <w:rsid w:val="4A7B23B1"/>
    <w:rsid w:val="4C066FFE"/>
    <w:rsid w:val="4C1255DC"/>
    <w:rsid w:val="4C3B7FF8"/>
    <w:rsid w:val="4C88763C"/>
    <w:rsid w:val="4C9C2769"/>
    <w:rsid w:val="4CB46925"/>
    <w:rsid w:val="4D0E24D9"/>
    <w:rsid w:val="4D522596"/>
    <w:rsid w:val="4D5E6C3B"/>
    <w:rsid w:val="4D687ACF"/>
    <w:rsid w:val="4D8D2670"/>
    <w:rsid w:val="4D9549A9"/>
    <w:rsid w:val="4DAE0D24"/>
    <w:rsid w:val="4E527AAF"/>
    <w:rsid w:val="4E662A59"/>
    <w:rsid w:val="4EBE2D08"/>
    <w:rsid w:val="4EE7703B"/>
    <w:rsid w:val="4F091803"/>
    <w:rsid w:val="4F833DB5"/>
    <w:rsid w:val="4FEA2CFB"/>
    <w:rsid w:val="50055E16"/>
    <w:rsid w:val="50153B7F"/>
    <w:rsid w:val="504F7D7A"/>
    <w:rsid w:val="50E023DF"/>
    <w:rsid w:val="50E12B5C"/>
    <w:rsid w:val="510D4E75"/>
    <w:rsid w:val="51204224"/>
    <w:rsid w:val="516B27AD"/>
    <w:rsid w:val="518A3926"/>
    <w:rsid w:val="51FA29FB"/>
    <w:rsid w:val="51FD37C4"/>
    <w:rsid w:val="52145B3A"/>
    <w:rsid w:val="5248445D"/>
    <w:rsid w:val="530147E8"/>
    <w:rsid w:val="532A55C9"/>
    <w:rsid w:val="533A69D6"/>
    <w:rsid w:val="53BF55B1"/>
    <w:rsid w:val="53E977FC"/>
    <w:rsid w:val="53ED03DE"/>
    <w:rsid w:val="541E69D4"/>
    <w:rsid w:val="542C1497"/>
    <w:rsid w:val="547831AD"/>
    <w:rsid w:val="547D2A84"/>
    <w:rsid w:val="551042DF"/>
    <w:rsid w:val="55E307EA"/>
    <w:rsid w:val="56336B0D"/>
    <w:rsid w:val="56694C24"/>
    <w:rsid w:val="569A55A3"/>
    <w:rsid w:val="56C34E99"/>
    <w:rsid w:val="573E7E5F"/>
    <w:rsid w:val="5791081D"/>
    <w:rsid w:val="57E07CA3"/>
    <w:rsid w:val="57E835C3"/>
    <w:rsid w:val="58D2085F"/>
    <w:rsid w:val="58DD59DB"/>
    <w:rsid w:val="58DF1689"/>
    <w:rsid w:val="58DF399F"/>
    <w:rsid w:val="58E67E1F"/>
    <w:rsid w:val="596E0EFD"/>
    <w:rsid w:val="59AE0306"/>
    <w:rsid w:val="5A544A6A"/>
    <w:rsid w:val="5A9F29C3"/>
    <w:rsid w:val="5AEF462B"/>
    <w:rsid w:val="5BBA17C7"/>
    <w:rsid w:val="5BBD7548"/>
    <w:rsid w:val="5BCD409B"/>
    <w:rsid w:val="5C0F0048"/>
    <w:rsid w:val="5C7E485A"/>
    <w:rsid w:val="5CA47D9F"/>
    <w:rsid w:val="5D413549"/>
    <w:rsid w:val="5DBE5B13"/>
    <w:rsid w:val="5E0B319B"/>
    <w:rsid w:val="5E423A50"/>
    <w:rsid w:val="5E510679"/>
    <w:rsid w:val="5EA22A81"/>
    <w:rsid w:val="5EE27322"/>
    <w:rsid w:val="5EEB12EB"/>
    <w:rsid w:val="5F70492E"/>
    <w:rsid w:val="5FBA204D"/>
    <w:rsid w:val="5FD12C33"/>
    <w:rsid w:val="5FFE462F"/>
    <w:rsid w:val="6009588A"/>
    <w:rsid w:val="60506DD2"/>
    <w:rsid w:val="609359DF"/>
    <w:rsid w:val="6098624E"/>
    <w:rsid w:val="60B245D0"/>
    <w:rsid w:val="60C050D6"/>
    <w:rsid w:val="61153846"/>
    <w:rsid w:val="61F7436B"/>
    <w:rsid w:val="622163B3"/>
    <w:rsid w:val="62505F8C"/>
    <w:rsid w:val="62A122D0"/>
    <w:rsid w:val="62B27782"/>
    <w:rsid w:val="62FB09B2"/>
    <w:rsid w:val="63690012"/>
    <w:rsid w:val="63D728D2"/>
    <w:rsid w:val="63EC5AF3"/>
    <w:rsid w:val="63FA431B"/>
    <w:rsid w:val="64072242"/>
    <w:rsid w:val="64260FA9"/>
    <w:rsid w:val="644C68A8"/>
    <w:rsid w:val="64DB4F3F"/>
    <w:rsid w:val="651A57FB"/>
    <w:rsid w:val="65240694"/>
    <w:rsid w:val="65407FD8"/>
    <w:rsid w:val="65655074"/>
    <w:rsid w:val="658A6517"/>
    <w:rsid w:val="65C82AE3"/>
    <w:rsid w:val="65DD2DDD"/>
    <w:rsid w:val="65E044F0"/>
    <w:rsid w:val="65E56178"/>
    <w:rsid w:val="66AE6F7B"/>
    <w:rsid w:val="67872967"/>
    <w:rsid w:val="678979AB"/>
    <w:rsid w:val="67A3418A"/>
    <w:rsid w:val="67B70900"/>
    <w:rsid w:val="67C324DD"/>
    <w:rsid w:val="683926A8"/>
    <w:rsid w:val="6841373D"/>
    <w:rsid w:val="69383B0B"/>
    <w:rsid w:val="696951F7"/>
    <w:rsid w:val="696D1EDE"/>
    <w:rsid w:val="69865983"/>
    <w:rsid w:val="698B48ED"/>
    <w:rsid w:val="6A0656FD"/>
    <w:rsid w:val="6A8650F7"/>
    <w:rsid w:val="6AF839EE"/>
    <w:rsid w:val="6B2E2D35"/>
    <w:rsid w:val="6B597618"/>
    <w:rsid w:val="6C3463EC"/>
    <w:rsid w:val="6C54791E"/>
    <w:rsid w:val="6D260D22"/>
    <w:rsid w:val="6DB97DE8"/>
    <w:rsid w:val="6DCC284B"/>
    <w:rsid w:val="6E314AB7"/>
    <w:rsid w:val="6E3C76DB"/>
    <w:rsid w:val="6E5F273D"/>
    <w:rsid w:val="6E8B1E0F"/>
    <w:rsid w:val="6EBA220A"/>
    <w:rsid w:val="6F202625"/>
    <w:rsid w:val="6F213E96"/>
    <w:rsid w:val="6F2D2BAF"/>
    <w:rsid w:val="6F6126B0"/>
    <w:rsid w:val="6FBA735C"/>
    <w:rsid w:val="6FDF6CC9"/>
    <w:rsid w:val="701064AE"/>
    <w:rsid w:val="706B57C5"/>
    <w:rsid w:val="70C33E75"/>
    <w:rsid w:val="712747FD"/>
    <w:rsid w:val="718B666F"/>
    <w:rsid w:val="71BF2367"/>
    <w:rsid w:val="72084E9A"/>
    <w:rsid w:val="72BA43E6"/>
    <w:rsid w:val="72D46BA8"/>
    <w:rsid w:val="72DA4FA2"/>
    <w:rsid w:val="7302385C"/>
    <w:rsid w:val="731C323B"/>
    <w:rsid w:val="73214465"/>
    <w:rsid w:val="73374640"/>
    <w:rsid w:val="73781BAB"/>
    <w:rsid w:val="73792FD3"/>
    <w:rsid w:val="74DA0D6F"/>
    <w:rsid w:val="7502031F"/>
    <w:rsid w:val="75823A34"/>
    <w:rsid w:val="761262E7"/>
    <w:rsid w:val="76685F07"/>
    <w:rsid w:val="772C162A"/>
    <w:rsid w:val="77785696"/>
    <w:rsid w:val="77D55E02"/>
    <w:rsid w:val="77D95536"/>
    <w:rsid w:val="783C3EE2"/>
    <w:rsid w:val="787A0766"/>
    <w:rsid w:val="7894493C"/>
    <w:rsid w:val="78C16B71"/>
    <w:rsid w:val="78C855E7"/>
    <w:rsid w:val="78FF0DA4"/>
    <w:rsid w:val="79450781"/>
    <w:rsid w:val="79DF3527"/>
    <w:rsid w:val="79F77CCE"/>
    <w:rsid w:val="79F91C98"/>
    <w:rsid w:val="7A454EDD"/>
    <w:rsid w:val="7B4A1E31"/>
    <w:rsid w:val="7B5D1DB2"/>
    <w:rsid w:val="7C0B5619"/>
    <w:rsid w:val="7CCA16C9"/>
    <w:rsid w:val="7CF877E9"/>
    <w:rsid w:val="7D9970AA"/>
    <w:rsid w:val="7DA27AD5"/>
    <w:rsid w:val="7DDD71DA"/>
    <w:rsid w:val="7E2366F5"/>
    <w:rsid w:val="7E2B263C"/>
    <w:rsid w:val="7E53749D"/>
    <w:rsid w:val="7E8B0BC7"/>
    <w:rsid w:val="7F324AF1"/>
    <w:rsid w:val="7F9B3A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1"/>
    <w:semiHidden/>
    <w:unhideWhenUsed/>
    <w:qFormat/>
    <w:uiPriority w:val="99"/>
    <w:rPr>
      <w:rFonts w:ascii="宋体"/>
      <w:sz w:val="18"/>
      <w:szCs w:val="18"/>
    </w:rPr>
  </w:style>
  <w:style w:type="paragraph" w:styleId="14">
    <w:name w:val="Body Text"/>
    <w:basedOn w:val="1"/>
    <w:link w:val="87"/>
    <w:qFormat/>
    <w:uiPriority w:val="0"/>
    <w:pPr>
      <w:spacing w:after="120"/>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b/>
      <w:bCs/>
      <w:kern w:val="44"/>
      <w:sz w:val="44"/>
      <w:szCs w:val="44"/>
    </w:rPr>
  </w:style>
  <w:style w:type="character" w:customStyle="1" w:styleId="36">
    <w:name w:val="标题 2 Char"/>
    <w:link w:val="3"/>
    <w:qFormat/>
    <w:uiPriority w:val="0"/>
    <w:rPr>
      <w:rFonts w:ascii="Arial" w:hAnsi="Arial" w:eastAsia="黑体"/>
      <w:b/>
      <w:bCs/>
      <w:kern w:val="2"/>
      <w:sz w:val="32"/>
      <w:szCs w:val="32"/>
    </w:rPr>
  </w:style>
  <w:style w:type="character" w:customStyle="1" w:styleId="37">
    <w:name w:val="标题 3 Char"/>
    <w:link w:val="4"/>
    <w:qFormat/>
    <w:uiPriority w:val="0"/>
    <w:rPr>
      <w:b/>
      <w:bCs/>
      <w:kern w:val="2"/>
      <w:sz w:val="32"/>
      <w:szCs w:val="32"/>
    </w:rPr>
  </w:style>
  <w:style w:type="character" w:customStyle="1" w:styleId="38">
    <w:name w:val="标题 4 Char"/>
    <w:link w:val="5"/>
    <w:qFormat/>
    <w:uiPriority w:val="0"/>
    <w:rPr>
      <w:rFonts w:ascii="Arial" w:hAnsi="Arial" w:eastAsia="黑体"/>
      <w:b/>
      <w:bCs/>
      <w:kern w:val="2"/>
      <w:sz w:val="28"/>
      <w:szCs w:val="28"/>
    </w:rPr>
  </w:style>
  <w:style w:type="character" w:customStyle="1" w:styleId="39">
    <w:name w:val="标题 5 Char"/>
    <w:link w:val="6"/>
    <w:qFormat/>
    <w:uiPriority w:val="0"/>
    <w:rPr>
      <w:b/>
      <w:bCs/>
      <w:kern w:val="2"/>
      <w:sz w:val="28"/>
      <w:szCs w:val="28"/>
    </w:rPr>
  </w:style>
  <w:style w:type="character" w:customStyle="1" w:styleId="40">
    <w:name w:val="标题 6 Char"/>
    <w:link w:val="7"/>
    <w:qFormat/>
    <w:uiPriority w:val="0"/>
    <w:rPr>
      <w:rFonts w:ascii="Arial" w:hAnsi="Arial" w:eastAsia="黑体"/>
      <w:b/>
      <w:bCs/>
      <w:kern w:val="2"/>
      <w:sz w:val="24"/>
      <w:szCs w:val="24"/>
    </w:rPr>
  </w:style>
  <w:style w:type="character" w:customStyle="1" w:styleId="41">
    <w:name w:val="标题 7 Char"/>
    <w:link w:val="8"/>
    <w:qFormat/>
    <w:uiPriority w:val="0"/>
    <w:rPr>
      <w:b/>
      <w:bCs/>
      <w:kern w:val="2"/>
      <w:sz w:val="24"/>
      <w:szCs w:val="24"/>
    </w:rPr>
  </w:style>
  <w:style w:type="character" w:customStyle="1" w:styleId="42">
    <w:name w:val="标题 8 Char"/>
    <w:link w:val="9"/>
    <w:qFormat/>
    <w:uiPriority w:val="0"/>
    <w:rPr>
      <w:rFonts w:ascii="Arial" w:hAnsi="Arial" w:eastAsia="黑体"/>
      <w:kern w:val="2"/>
      <w:sz w:val="24"/>
      <w:szCs w:val="24"/>
    </w:rPr>
  </w:style>
  <w:style w:type="character" w:customStyle="1" w:styleId="43">
    <w:name w:val="标题 9 Char"/>
    <w:link w:val="10"/>
    <w:qFormat/>
    <w:uiPriority w:val="0"/>
    <w:rPr>
      <w:rFonts w:ascii="Arial" w:hAnsi="Arial" w:eastAsia="黑体"/>
      <w:kern w:val="2"/>
      <w:sz w:val="21"/>
      <w:szCs w:val="21"/>
    </w:rPr>
  </w:style>
  <w:style w:type="character" w:customStyle="1" w:styleId="44">
    <w:name w:val="页眉 Char"/>
    <w:link w:val="19"/>
    <w:qFormat/>
    <w:uiPriority w:val="99"/>
    <w:rPr>
      <w:kern w:val="2"/>
      <w:sz w:val="18"/>
      <w:szCs w:val="18"/>
    </w:rPr>
  </w:style>
  <w:style w:type="character" w:customStyle="1" w:styleId="45">
    <w:name w:val="页脚 Char"/>
    <w:link w:val="18"/>
    <w:qFormat/>
    <w:uiPriority w:val="99"/>
    <w:rPr>
      <w:rFonts w:ascii="宋体"/>
      <w:kern w:val="2"/>
      <w:sz w:val="18"/>
      <w:szCs w:val="18"/>
    </w:rPr>
  </w:style>
  <w:style w:type="character" w:customStyle="1" w:styleId="46">
    <w:name w:val="批注框文本 Char"/>
    <w:link w:val="17"/>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kern w:val="2"/>
      <w:sz w:val="21"/>
      <w:szCs w:val="21"/>
    </w:rPr>
  </w:style>
  <w:style w:type="character" w:customStyle="1" w:styleId="49">
    <w:name w:val="标题 Char"/>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4"/>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2"/>
    <w:semiHidden/>
    <w:qFormat/>
    <w:uiPriority w:val="0"/>
    <w:rPr>
      <w:rFonts w:ascii="宋体"/>
      <w:kern w:val="2"/>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autoRedefine/>
    <w:semiHidden/>
    <w:qFormat/>
    <w:uiPriority w:val="0"/>
    <w:pPr>
      <w:adjustRightInd/>
      <w:spacing w:line="240" w:lineRule="auto"/>
      <w:jc w:val="left"/>
    </w:pPr>
    <w:rPr>
      <w:bCs/>
      <w:iCs/>
    </w:rPr>
  </w:style>
  <w:style w:type="paragraph" w:customStyle="1" w:styleId="144">
    <w:name w:val="目录 31"/>
    <w:basedOn w:val="1"/>
    <w:next w:val="1"/>
    <w:autoRedefine/>
    <w:semiHidden/>
    <w:qFormat/>
    <w:uiPriority w:val="0"/>
    <w:pPr>
      <w:spacing w:line="240" w:lineRule="auto"/>
    </w:pPr>
    <w:rPr>
      <w:rFonts w:ascii="宋体" w:hAnsi="宋体"/>
      <w:iCs/>
    </w:rPr>
  </w:style>
  <w:style w:type="paragraph" w:customStyle="1" w:styleId="145">
    <w:name w:val="目录 41"/>
    <w:basedOn w:val="1"/>
    <w:next w:val="1"/>
    <w:autoRedefine/>
    <w:semiHidden/>
    <w:qFormat/>
    <w:uiPriority w:val="0"/>
    <w:pPr>
      <w:adjustRightInd/>
      <w:spacing w:line="240" w:lineRule="auto"/>
      <w:jc w:val="left"/>
    </w:pPr>
  </w:style>
  <w:style w:type="paragraph" w:customStyle="1" w:styleId="146">
    <w:name w:val="目录 51"/>
    <w:basedOn w:val="1"/>
    <w:next w:val="1"/>
    <w:autoRedefine/>
    <w:semiHidden/>
    <w:qFormat/>
    <w:uiPriority w:val="0"/>
    <w:pPr>
      <w:spacing w:line="240" w:lineRule="auto"/>
    </w:pPr>
    <w:rPr>
      <w:rFonts w:ascii="宋体" w:hAnsi="宋体"/>
    </w:rPr>
  </w:style>
  <w:style w:type="paragraph" w:customStyle="1" w:styleId="147">
    <w:name w:val="目录 61"/>
    <w:basedOn w:val="1"/>
    <w:next w:val="1"/>
    <w:autoRedefine/>
    <w:semiHidden/>
    <w:qFormat/>
    <w:uiPriority w:val="0"/>
    <w:pPr>
      <w:adjustRightInd/>
      <w:spacing w:line="240" w:lineRule="auto"/>
      <w:jc w:val="left"/>
    </w:pPr>
  </w:style>
  <w:style w:type="paragraph" w:customStyle="1" w:styleId="148">
    <w:name w:val="目录 71"/>
    <w:basedOn w:val="147"/>
    <w:autoRedefine/>
    <w:semiHidden/>
    <w:qFormat/>
    <w:uiPriority w:val="0"/>
    <w:pPr>
      <w:ind w:left="1260"/>
    </w:pPr>
  </w:style>
  <w:style w:type="paragraph" w:customStyle="1" w:styleId="149">
    <w:name w:val="目录 81"/>
    <w:basedOn w:val="148"/>
    <w:autoRedefine/>
    <w:semiHidden/>
    <w:qFormat/>
    <w:uiPriority w:val="0"/>
    <w:pPr>
      <w:ind w:left="1470"/>
    </w:pPr>
  </w:style>
  <w:style w:type="paragraph" w:customStyle="1" w:styleId="150">
    <w:name w:val="目录 91"/>
    <w:basedOn w:val="149"/>
    <w:autoRedefine/>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character" w:customStyle="1" w:styleId="231">
    <w:name w:val="文档结构图 Char"/>
    <w:basedOn w:val="29"/>
    <w:link w:val="13"/>
    <w:semiHidden/>
    <w:qFormat/>
    <w:uiPriority w:val="99"/>
    <w:rPr>
      <w:rFonts w:ascii="宋体"/>
      <w:kern w:val="2"/>
      <w:sz w:val="18"/>
      <w:szCs w:val="18"/>
    </w:rPr>
  </w:style>
  <w:style w:type="character" w:customStyle="1" w:styleId="232">
    <w:name w:val="15"/>
    <w:basedOn w:val="29"/>
    <w:qFormat/>
    <w:uiPriority w:val="0"/>
    <w:rPr>
      <w:rFonts w:hint="default" w:ascii="Arial" w:hAnsi="Arial" w:eastAsia="黑体" w:cs="Arial"/>
      <w:b/>
      <w:sz w:val="32"/>
      <w:szCs w:val="32"/>
    </w:rPr>
  </w:style>
  <w:style w:type="character" w:customStyle="1" w:styleId="233">
    <w:name w:val="未处理的提及1"/>
    <w:basedOn w:val="29"/>
    <w:semiHidden/>
    <w:unhideWhenUsed/>
    <w:qFormat/>
    <w:uiPriority w:val="99"/>
    <w:rPr>
      <w:color w:val="605E5C"/>
      <w:shd w:val="clear" w:color="auto" w:fill="E1DFDD"/>
    </w:rPr>
  </w:style>
  <w:style w:type="paragraph" w:styleId="23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3" Type="http://schemas.openxmlformats.org/officeDocument/2006/relationships/glossaryDocument" Target="glossary/document.xml"/><Relationship Id="rId72" Type="http://schemas.openxmlformats.org/officeDocument/2006/relationships/fontTable" Target="fontTable.xml"/><Relationship Id="rId71" Type="http://schemas.openxmlformats.org/officeDocument/2006/relationships/numbering" Target="numbering.xml"/><Relationship Id="rId70" Type="http://schemas.openxmlformats.org/officeDocument/2006/relationships/customXml" Target="../customXml/item1.xml"/><Relationship Id="rId7" Type="http://schemas.openxmlformats.org/officeDocument/2006/relationships/header" Target="header3.xml"/><Relationship Id="rId69" Type="http://schemas.openxmlformats.org/officeDocument/2006/relationships/image" Target="media/image10.jpeg"/><Relationship Id="rId68" Type="http://schemas.openxmlformats.org/officeDocument/2006/relationships/image" Target="media/image9.png"/><Relationship Id="rId67" Type="http://schemas.openxmlformats.org/officeDocument/2006/relationships/image" Target="media/image8.png"/><Relationship Id="rId66" Type="http://schemas.openxmlformats.org/officeDocument/2006/relationships/image" Target="media/image7.png"/><Relationship Id="rId65" Type="http://schemas.openxmlformats.org/officeDocument/2006/relationships/image" Target="media/image6.png"/><Relationship Id="rId64" Type="http://schemas.openxmlformats.org/officeDocument/2006/relationships/image" Target="media/image5.png"/><Relationship Id="rId63" Type="http://schemas.openxmlformats.org/officeDocument/2006/relationships/image" Target="media/image4.jpeg"/><Relationship Id="rId62" Type="http://schemas.openxmlformats.org/officeDocument/2006/relationships/image" Target="media/image3.png"/><Relationship Id="rId61" Type="http://schemas.openxmlformats.org/officeDocument/2006/relationships/image" Target="media/image2.png"/><Relationship Id="rId60" Type="http://schemas.openxmlformats.org/officeDocument/2006/relationships/image" Target="media/image1.png"/><Relationship Id="rId6" Type="http://schemas.openxmlformats.org/officeDocument/2006/relationships/header" Target="header2.xml"/><Relationship Id="rId59" Type="http://schemas.openxmlformats.org/officeDocument/2006/relationships/theme" Target="theme/theme1.xml"/><Relationship Id="rId58" Type="http://schemas.openxmlformats.org/officeDocument/2006/relationships/footer" Target="footer27.xml"/><Relationship Id="rId57" Type="http://schemas.openxmlformats.org/officeDocument/2006/relationships/footer" Target="footer26.xml"/><Relationship Id="rId56" Type="http://schemas.openxmlformats.org/officeDocument/2006/relationships/header" Target="header27.xml"/><Relationship Id="rId55" Type="http://schemas.openxmlformats.org/officeDocument/2006/relationships/header" Target="header26.xml"/><Relationship Id="rId54" Type="http://schemas.openxmlformats.org/officeDocument/2006/relationships/footer" Target="footer25.xml"/><Relationship Id="rId53" Type="http://schemas.openxmlformats.org/officeDocument/2006/relationships/footer" Target="footer24.xml"/><Relationship Id="rId52" Type="http://schemas.openxmlformats.org/officeDocument/2006/relationships/header" Target="header25.xml"/><Relationship Id="rId51" Type="http://schemas.openxmlformats.org/officeDocument/2006/relationships/header" Target="header24.xml"/><Relationship Id="rId50" Type="http://schemas.openxmlformats.org/officeDocument/2006/relationships/footer" Target="footer23.xml"/><Relationship Id="rId5" Type="http://schemas.openxmlformats.org/officeDocument/2006/relationships/header" Target="header1.xml"/><Relationship Id="rId49" Type="http://schemas.openxmlformats.org/officeDocument/2006/relationships/footer" Target="footer22.xml"/><Relationship Id="rId48" Type="http://schemas.openxmlformats.org/officeDocument/2006/relationships/header" Target="header23.xml"/><Relationship Id="rId47" Type="http://schemas.openxmlformats.org/officeDocument/2006/relationships/header" Target="header22.xml"/><Relationship Id="rId46" Type="http://schemas.openxmlformats.org/officeDocument/2006/relationships/footer" Target="footer21.xml"/><Relationship Id="rId45" Type="http://schemas.openxmlformats.org/officeDocument/2006/relationships/footer" Target="footer20.xml"/><Relationship Id="rId44" Type="http://schemas.openxmlformats.org/officeDocument/2006/relationships/header" Target="header21.xml"/><Relationship Id="rId43" Type="http://schemas.openxmlformats.org/officeDocument/2006/relationships/header" Target="header20.xml"/><Relationship Id="rId42" Type="http://schemas.openxmlformats.org/officeDocument/2006/relationships/footer" Target="footer19.xml"/><Relationship Id="rId41" Type="http://schemas.openxmlformats.org/officeDocument/2006/relationships/footer" Target="footer18.xml"/><Relationship Id="rId40" Type="http://schemas.openxmlformats.org/officeDocument/2006/relationships/header" Target="header19.xml"/><Relationship Id="rId4" Type="http://schemas.openxmlformats.org/officeDocument/2006/relationships/endnotes" Target="endnotes.xml"/><Relationship Id="rId39" Type="http://schemas.openxmlformats.org/officeDocument/2006/relationships/header" Target="header18.xml"/><Relationship Id="rId38" Type="http://schemas.openxmlformats.org/officeDocument/2006/relationships/footer" Target="footer17.xml"/><Relationship Id="rId37" Type="http://schemas.openxmlformats.org/officeDocument/2006/relationships/footer" Target="footer16.xml"/><Relationship Id="rId36" Type="http://schemas.openxmlformats.org/officeDocument/2006/relationships/header" Target="header17.xml"/><Relationship Id="rId35" Type="http://schemas.openxmlformats.org/officeDocument/2006/relationships/header" Target="header16.xml"/><Relationship Id="rId34" Type="http://schemas.openxmlformats.org/officeDocument/2006/relationships/footer" Target="footer15.xml"/><Relationship Id="rId33" Type="http://schemas.openxmlformats.org/officeDocument/2006/relationships/footer" Target="footer14.xml"/><Relationship Id="rId32" Type="http://schemas.openxmlformats.org/officeDocument/2006/relationships/header" Target="header15.xml"/><Relationship Id="rId31" Type="http://schemas.openxmlformats.org/officeDocument/2006/relationships/header" Target="header14.xml"/><Relationship Id="rId30" Type="http://schemas.openxmlformats.org/officeDocument/2006/relationships/footer" Target="footer13.xml"/><Relationship Id="rId3" Type="http://schemas.openxmlformats.org/officeDocument/2006/relationships/footnotes" Target="footnotes.xml"/><Relationship Id="rId29" Type="http://schemas.openxmlformats.org/officeDocument/2006/relationships/footer" Target="footer12.xml"/><Relationship Id="rId28" Type="http://schemas.openxmlformats.org/officeDocument/2006/relationships/header" Target="header13.xml"/><Relationship Id="rId27" Type="http://schemas.openxmlformats.org/officeDocument/2006/relationships/header" Target="header12.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502959BF3244B5587813501B04DB51E"/>
        <w:style w:val=""/>
        <w:category>
          <w:name w:val="常规"/>
          <w:gallery w:val="placeholder"/>
        </w:category>
        <w:types>
          <w:type w:val="bbPlcHdr"/>
        </w:types>
        <w:behaviors>
          <w:behavior w:val="content"/>
        </w:behaviors>
        <w:description w:val=""/>
        <w:guid w:val="{1F255E7B-55ED-4678-9ABD-92131941ECCA}"/>
      </w:docPartPr>
      <w:docPartBody>
        <w:p w14:paraId="25066FB7">
          <w:pPr>
            <w:pStyle w:val="5"/>
          </w:pPr>
          <w:r>
            <w:rPr>
              <w:rStyle w:val="4"/>
              <w:rFonts w:hint="eastAsia"/>
            </w:rPr>
            <w:t>单击或点击此处输入文字。</w:t>
          </w:r>
        </w:p>
      </w:docPartBody>
    </w:docPart>
    <w:docPart>
      <w:docPartPr>
        <w:name w:val="C788A77752D04A4B9559B14FD762295E"/>
        <w:style w:val=""/>
        <w:category>
          <w:name w:val="常规"/>
          <w:gallery w:val="placeholder"/>
        </w:category>
        <w:types>
          <w:type w:val="bbPlcHdr"/>
        </w:types>
        <w:behaviors>
          <w:behavior w:val="content"/>
        </w:behaviors>
        <w:description w:val=""/>
        <w:guid w:val="{677888C4-7E55-468B-A6FF-BB17C766E859}"/>
      </w:docPartPr>
      <w:docPartBody>
        <w:p w14:paraId="2D09F58D">
          <w:pPr>
            <w:pStyle w:val="6"/>
          </w:pPr>
          <w:r>
            <w:rPr>
              <w:rStyle w:val="4"/>
              <w:rFonts w:hint="eastAsia"/>
            </w:rPr>
            <w:t>选择一项。</w:t>
          </w:r>
        </w:p>
      </w:docPartBody>
    </w:docPart>
    <w:docPart>
      <w:docPartPr>
        <w:name w:val="3CC5511E09A648B5BB5359BB27A4CD9B"/>
        <w:style w:val=""/>
        <w:category>
          <w:name w:val="常规"/>
          <w:gallery w:val="placeholder"/>
        </w:category>
        <w:types>
          <w:type w:val="bbPlcHdr"/>
        </w:types>
        <w:behaviors>
          <w:behavior w:val="content"/>
        </w:behaviors>
        <w:description w:val=""/>
        <w:guid w:val="{4EE5241F-ED24-4B0F-88E4-89DCC9328E61}"/>
      </w:docPartPr>
      <w:docPartBody>
        <w:p w14:paraId="29105D07">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E738F3"/>
    <w:rsid w:val="000A5A1F"/>
    <w:rsid w:val="002725AF"/>
    <w:rsid w:val="00273EEF"/>
    <w:rsid w:val="00346901"/>
    <w:rsid w:val="00442E77"/>
    <w:rsid w:val="00487195"/>
    <w:rsid w:val="004D7DD4"/>
    <w:rsid w:val="004E6059"/>
    <w:rsid w:val="004F000D"/>
    <w:rsid w:val="00586983"/>
    <w:rsid w:val="005F2FA6"/>
    <w:rsid w:val="0063725F"/>
    <w:rsid w:val="00711537"/>
    <w:rsid w:val="007731A0"/>
    <w:rsid w:val="007A14D5"/>
    <w:rsid w:val="007A2424"/>
    <w:rsid w:val="007C2C14"/>
    <w:rsid w:val="007F7C50"/>
    <w:rsid w:val="008033C4"/>
    <w:rsid w:val="008B2C2E"/>
    <w:rsid w:val="00990BD7"/>
    <w:rsid w:val="009D3D65"/>
    <w:rsid w:val="00A63EB0"/>
    <w:rsid w:val="00A8311A"/>
    <w:rsid w:val="00C81161"/>
    <w:rsid w:val="00C878CE"/>
    <w:rsid w:val="00CE54B1"/>
    <w:rsid w:val="00D156DD"/>
    <w:rsid w:val="00D2439D"/>
    <w:rsid w:val="00D52EDE"/>
    <w:rsid w:val="00DD2535"/>
    <w:rsid w:val="00E015D3"/>
    <w:rsid w:val="00E51FC5"/>
    <w:rsid w:val="00E738F3"/>
    <w:rsid w:val="00EA5939"/>
    <w:rsid w:val="00ED541C"/>
    <w:rsid w:val="00F17A37"/>
    <w:rsid w:val="00FD23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1502959BF3244B5587813501B04DB51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C788A77752D04A4B9559B14FD762295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3CC5511E09A648B5BB5359BB27A4CD9B"/>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22</Pages>
  <Words>10256</Words>
  <Characters>10933</Characters>
  <Lines>107</Lines>
  <Paragraphs>30</Paragraphs>
  <TotalTime>0</TotalTime>
  <ScaleCrop>false</ScaleCrop>
  <LinksUpToDate>false</LinksUpToDate>
  <CharactersWithSpaces>11214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2023-04-25T06:51:00Z</dcterms:created>
  <dc:creator>Administrator</dc:creator>
  <cp:lastModifiedBy>树年强</cp:lastModifiedBy>
  <cp:lastPrinted>2025-06-16T15:08:00Z</cp:lastPrinted>
  <dcterms:modified xsi:type="dcterms:W3CDTF">2025-06-28T15:05:26Z</dcterms:modified>
  <dc:title>团体标准</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eyJoZGlkIjoiNmE0MDE4M2RjOWFiNWU0ODQyYTkxNTQ5ODY1MjVmYmQiLCJ1c2VySWQiOiI2Mzk4NzAxMjYifQ==</vt:lpwstr>
  </property>
  <property fmtid="{D5CDD505-2E9C-101B-9397-08002B2CF9AE}" pid="15" name="KSOProductBuildVer">
    <vt:lpwstr>2052-12.1.0.18912</vt:lpwstr>
  </property>
  <property fmtid="{D5CDD505-2E9C-101B-9397-08002B2CF9AE}" pid="16" name="ICV">
    <vt:lpwstr>EFAB2E2B9E5A461B8F220DCDF5715CD6_13</vt:lpwstr>
  </property>
  <property fmtid="{D5CDD505-2E9C-101B-9397-08002B2CF9AE}" pid="17" name="DoublePage">
    <vt:lpwstr>true</vt:lpwstr>
  </property>
</Properties>
</file>