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F7DE8C">
      <w:pPr>
        <w:keepNext w:val="0"/>
        <w:keepLines w:val="0"/>
        <w:pageBreakBefore w:val="0"/>
        <w:widowControl w:val="0"/>
        <w:kinsoku/>
        <w:wordWrap/>
        <w:overflowPunct/>
        <w:topLinePunct w:val="0"/>
        <w:bidi w:val="0"/>
        <w:jc w:val="center"/>
        <w:rPr>
          <w:rFonts w:ascii="方正小标宋简体" w:eastAsia="方正小标宋简体" w:cs="仿宋_GB2312"/>
          <w:bCs/>
          <w:color w:val="auto"/>
          <w:sz w:val="36"/>
          <w:szCs w:val="32"/>
          <w:highlight w:val="none"/>
        </w:rPr>
      </w:pPr>
      <w:r>
        <w:rPr>
          <w:rFonts w:hint="eastAsia" w:ascii="方正小标宋简体" w:eastAsia="方正小标宋简体" w:cs="仿宋_GB2312"/>
          <w:bCs/>
          <w:color w:val="auto"/>
          <w:sz w:val="36"/>
          <w:szCs w:val="32"/>
          <w:highlight w:val="none"/>
        </w:rPr>
        <w:t>团体标准《癌因性疲乏朱琏兴奋Ⅱ型针法技术操作规范》（征求意见稿）编制说明</w:t>
      </w:r>
    </w:p>
    <w:p w14:paraId="0E2179CD">
      <w:pPr>
        <w:keepNext w:val="0"/>
        <w:keepLines w:val="0"/>
        <w:pageBreakBefore w:val="0"/>
        <w:widowControl w:val="0"/>
        <w:kinsoku/>
        <w:wordWrap/>
        <w:overflowPunct/>
        <w:topLinePunct w:val="0"/>
        <w:bidi w:val="0"/>
        <w:jc w:val="center"/>
        <w:rPr>
          <w:rFonts w:ascii="方正小标宋简体" w:eastAsia="方正小标宋简体" w:cs="仿宋_GB2312"/>
          <w:bCs/>
          <w:color w:val="auto"/>
          <w:sz w:val="18"/>
          <w:szCs w:val="18"/>
          <w:highlight w:val="none"/>
        </w:rPr>
      </w:pPr>
    </w:p>
    <w:p w14:paraId="354A7841">
      <w:pPr>
        <w:keepNext w:val="0"/>
        <w:keepLines w:val="0"/>
        <w:pageBreakBefore w:val="0"/>
        <w:widowControl w:val="0"/>
        <w:kinsoku/>
        <w:wordWrap/>
        <w:overflowPunct/>
        <w:topLinePunct w:val="0"/>
        <w:bidi w:val="0"/>
        <w:spacing w:line="520" w:lineRule="exact"/>
        <w:ind w:firstLine="640" w:firstLineChars="200"/>
        <w:rPr>
          <w:rFonts w:ascii="黑体" w:eastAsia="黑体" w:cs="仿宋_GB2312"/>
          <w:bCs/>
          <w:color w:val="auto"/>
          <w:sz w:val="32"/>
          <w:szCs w:val="32"/>
          <w:highlight w:val="none"/>
        </w:rPr>
      </w:pPr>
      <w:r>
        <w:rPr>
          <w:rFonts w:hint="eastAsia" w:ascii="黑体" w:eastAsia="黑体" w:cs="仿宋_GB2312"/>
          <w:color w:val="auto"/>
          <w:sz w:val="32"/>
          <w:szCs w:val="32"/>
          <w:highlight w:val="none"/>
        </w:rPr>
        <w:t>一、任务来源、起草单位、主要起草人</w:t>
      </w:r>
    </w:p>
    <w:p w14:paraId="04F413BC">
      <w:pPr>
        <w:keepNext w:val="0"/>
        <w:keepLines w:val="0"/>
        <w:pageBreakBefore w:val="0"/>
        <w:widowControl w:val="0"/>
        <w:kinsoku/>
        <w:wordWrap/>
        <w:overflowPunct/>
        <w:topLinePunct w:val="0"/>
        <w:bidi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根据《广西标准化协会关于下达2025年第三批团体标准制修订项目计划的通知》（桂标协〔2025〕23号）精神，由广西医科大学附属肿瘤医院提出，广西医科大学附属肿瘤医院、广西中医药大学、南宁市第七人民医院、南宁市中医医院、广西中医药大学第一附属医院、广西中医药大学附属瑞康医院、广西国际壮医医院、桂林医学院第二附属医院、柳州市中西医结合医院、贵港市中医医院、钦州市中医医院、桂林市中医医院、柳州市中医医院（柳州市壮医医院）等单位共同起草的团体标准《癌因性疲乏朱琏兴奋Ⅱ型针法技术操作规范》（项目编号：2025-0307），已获立项。</w:t>
      </w:r>
    </w:p>
    <w:p w14:paraId="22A5B6AA">
      <w:pPr>
        <w:keepNext w:val="0"/>
        <w:keepLines w:val="0"/>
        <w:pageBreakBefore w:val="0"/>
        <w:widowControl w:val="0"/>
        <w:kinsoku/>
        <w:wordWrap/>
        <w:overflowPunct/>
        <w:topLinePunct w:val="0"/>
        <w:bidi w:val="0"/>
        <w:spacing w:line="520" w:lineRule="exact"/>
        <w:ind w:firstLine="560" w:firstLineChars="200"/>
        <w:rPr>
          <w:rFonts w:hint="eastAsia" w:ascii="仿宋_GB2312" w:eastAsia="仿宋_GB2312"/>
          <w:color w:val="auto"/>
          <w:sz w:val="32"/>
          <w:szCs w:val="32"/>
          <w:highlight w:val="none"/>
          <w:lang w:eastAsia="zh-CN"/>
        </w:rPr>
      </w:pPr>
      <w:r>
        <w:rPr>
          <w:rFonts w:hint="eastAsia" w:ascii="仿宋_GB2312" w:eastAsia="仿宋_GB2312"/>
          <w:color w:val="auto"/>
          <w:sz w:val="28"/>
          <w:szCs w:val="28"/>
          <w:highlight w:val="none"/>
        </w:rPr>
        <w:t>为高质量编制团体标准《癌因性疲乏朱琏兴奋Ⅱ型针法技术操作规范》，由起草单位成立标准编制工作组并进行如下分工：</w:t>
      </w:r>
    </w:p>
    <w:tbl>
      <w:tblPr>
        <w:tblStyle w:val="15"/>
        <w:tblW w:w="92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1"/>
        <w:gridCol w:w="1418"/>
        <w:gridCol w:w="1269"/>
        <w:gridCol w:w="1806"/>
        <w:gridCol w:w="3778"/>
      </w:tblGrid>
      <w:tr w14:paraId="6C02A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A5D6768">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姓名</w:t>
            </w:r>
          </w:p>
        </w:tc>
        <w:tc>
          <w:tcPr>
            <w:tcW w:w="1418" w:type="dxa"/>
            <w:tcBorders>
              <w:top w:val="single" w:color="auto" w:sz="4" w:space="0"/>
              <w:left w:val="single" w:color="auto" w:sz="4" w:space="0"/>
              <w:bottom w:val="single" w:color="auto" w:sz="4" w:space="0"/>
              <w:right w:val="single" w:color="auto" w:sz="4" w:space="0"/>
            </w:tcBorders>
            <w:vAlign w:val="center"/>
          </w:tcPr>
          <w:p w14:paraId="7C54DDD7">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职务/职称</w:t>
            </w:r>
          </w:p>
        </w:tc>
        <w:tc>
          <w:tcPr>
            <w:tcW w:w="1269" w:type="dxa"/>
            <w:tcBorders>
              <w:top w:val="single" w:color="auto" w:sz="4" w:space="0"/>
              <w:left w:val="single" w:color="auto" w:sz="4" w:space="0"/>
              <w:bottom w:val="single" w:color="auto" w:sz="4" w:space="0"/>
              <w:right w:val="single" w:color="auto" w:sz="4" w:space="0"/>
            </w:tcBorders>
            <w:vAlign w:val="center"/>
          </w:tcPr>
          <w:p w14:paraId="5ECF71DF">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从事</w:t>
            </w:r>
          </w:p>
          <w:p w14:paraId="57506016">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专业</w:t>
            </w:r>
          </w:p>
        </w:tc>
        <w:tc>
          <w:tcPr>
            <w:tcW w:w="1806" w:type="dxa"/>
            <w:tcBorders>
              <w:top w:val="single" w:color="auto" w:sz="4" w:space="0"/>
              <w:left w:val="single" w:color="auto" w:sz="4" w:space="0"/>
              <w:bottom w:val="single" w:color="auto" w:sz="4" w:space="0"/>
              <w:right w:val="single" w:color="auto" w:sz="4" w:space="0"/>
            </w:tcBorders>
            <w:vAlign w:val="center"/>
          </w:tcPr>
          <w:p w14:paraId="4183114C">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工作单位</w:t>
            </w:r>
          </w:p>
        </w:tc>
        <w:tc>
          <w:tcPr>
            <w:tcW w:w="3778" w:type="dxa"/>
            <w:tcBorders>
              <w:top w:val="single" w:color="auto" w:sz="4" w:space="0"/>
              <w:left w:val="single" w:color="auto" w:sz="4" w:space="0"/>
              <w:bottom w:val="single" w:color="auto" w:sz="4" w:space="0"/>
              <w:right w:val="single" w:color="auto" w:sz="4" w:space="0"/>
            </w:tcBorders>
            <w:vAlign w:val="center"/>
          </w:tcPr>
          <w:p w14:paraId="5C3B5A43">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b/>
                <w:color w:val="auto"/>
                <w:sz w:val="24"/>
                <w:highlight w:val="none"/>
              </w:rPr>
            </w:pPr>
            <w:r>
              <w:rPr>
                <w:rFonts w:hint="eastAsia" w:ascii="仿宋_GB2312" w:hAnsi="仿宋_GB2312" w:eastAsia="仿宋_GB2312" w:cs="仿宋_GB2312"/>
                <w:b/>
                <w:color w:val="auto"/>
                <w:sz w:val="24"/>
                <w:highlight w:val="none"/>
              </w:rPr>
              <w:t>主要负责工作</w:t>
            </w:r>
          </w:p>
        </w:tc>
      </w:tr>
      <w:tr w14:paraId="16905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D75AFC9">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谢爱泽</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66E57C1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党委副书记/主任医师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CD7A3C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中医肿瘤</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47B1EB9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0FA70C52">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统筹主持标准编制工作</w:t>
            </w:r>
          </w:p>
        </w:tc>
      </w:tr>
      <w:tr w14:paraId="1B0C7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A391D53">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邱华</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3C26D04B">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w:t>
            </w:r>
            <w:r>
              <w:rPr>
                <w:rFonts w:hint="eastAsia" w:ascii="仿宋_GB2312" w:hAnsi="仿宋_GB2312" w:eastAsia="仿宋_GB2312" w:cs="仿宋_GB2312"/>
                <w:color w:val="auto"/>
                <w:sz w:val="24"/>
                <w:szCs w:val="24"/>
                <w:highlight w:val="none"/>
              </w:rPr>
              <w:t>科主任/主任医师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3811B09A">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中医肿瘤</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19B0D83E">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30648343">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参与标准编制工作，组织人员进行标准发布后的宣贯培训</w:t>
            </w:r>
          </w:p>
        </w:tc>
      </w:tr>
      <w:tr w14:paraId="386E6A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8826985">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麦威</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4E16FD7D">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3078D0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33B9757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6CDB6995">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参与标准文本及编制说明编写，质量控制</w:t>
            </w:r>
          </w:p>
        </w:tc>
      </w:tr>
      <w:tr w14:paraId="39079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7F03DCB6">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i w:val="0"/>
                <w:iCs w:val="0"/>
                <w:color w:val="auto"/>
                <w:kern w:val="0"/>
                <w:sz w:val="24"/>
                <w:szCs w:val="24"/>
                <w:highlight w:val="none"/>
                <w:u w:val="none"/>
                <w:lang w:val="en-US" w:eastAsia="zh-CN" w:bidi="ar"/>
              </w:rPr>
              <w:t>苗芙蕊</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523732B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2AA0A4D1">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6FDFAAB5">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广西中医药大学</w:t>
            </w:r>
          </w:p>
        </w:tc>
        <w:tc>
          <w:tcPr>
            <w:tcW w:w="3778" w:type="dxa"/>
            <w:tcBorders>
              <w:top w:val="single" w:color="auto" w:sz="4" w:space="0"/>
              <w:left w:val="single" w:color="auto" w:sz="4" w:space="0"/>
              <w:bottom w:val="single" w:color="auto" w:sz="4" w:space="0"/>
              <w:right w:val="single" w:color="auto" w:sz="4" w:space="0"/>
            </w:tcBorders>
            <w:vAlign w:val="center"/>
          </w:tcPr>
          <w:p w14:paraId="72A4D836">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00368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327F165">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翟阳</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5E649CC9">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医务部主任/副教授</w:t>
            </w:r>
            <w:r>
              <w:rPr>
                <w:rFonts w:hint="eastAsia" w:ascii="仿宋_GB2312" w:hAnsi="仿宋_GB2312" w:eastAsia="仿宋_GB2312" w:cs="仿宋_GB2312"/>
                <w:color w:val="auto"/>
                <w:sz w:val="24"/>
                <w:szCs w:val="24"/>
                <w:highlight w:val="none"/>
                <w:lang w:eastAsia="zh-CN"/>
              </w:rPr>
              <w:t>、</w:t>
            </w:r>
            <w:r>
              <w:rPr>
                <w:rFonts w:hint="eastAsia" w:ascii="仿宋_GB2312" w:hAnsi="仿宋_GB2312" w:eastAsia="仿宋_GB2312" w:cs="仿宋_GB2312"/>
                <w:color w:val="auto"/>
                <w:sz w:val="24"/>
                <w:szCs w:val="24"/>
                <w:highlight w:val="none"/>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54DFB6D7">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中医内科学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25763E8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南宁市第七人民医院</w:t>
            </w:r>
          </w:p>
        </w:tc>
        <w:tc>
          <w:tcPr>
            <w:tcW w:w="3778" w:type="dxa"/>
            <w:tcBorders>
              <w:top w:val="single" w:color="auto" w:sz="4" w:space="0"/>
              <w:left w:val="single" w:color="auto" w:sz="4" w:space="0"/>
              <w:bottom w:val="single" w:color="auto" w:sz="4" w:space="0"/>
              <w:right w:val="single" w:color="auto" w:sz="4" w:space="0"/>
            </w:tcBorders>
            <w:vAlign w:val="center"/>
          </w:tcPr>
          <w:p w14:paraId="444AAF5E">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253AB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68852DE">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val="en-US" w:eastAsia="zh-CN" w:bidi="ar"/>
              </w:rPr>
              <w:t>范郁山</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76DFDE39">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针灸推拿学院院长/教授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5A1AD99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中医针灸学</w:t>
            </w:r>
          </w:p>
          <w:p w14:paraId="055D153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437B9C8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广西中医药大学</w:t>
            </w:r>
          </w:p>
          <w:p w14:paraId="5F029C3E">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p>
        </w:tc>
        <w:tc>
          <w:tcPr>
            <w:tcW w:w="3778" w:type="dxa"/>
            <w:tcBorders>
              <w:top w:val="single" w:color="auto" w:sz="4" w:space="0"/>
              <w:left w:val="single" w:color="auto" w:sz="4" w:space="0"/>
              <w:bottom w:val="single" w:color="auto" w:sz="4" w:space="0"/>
              <w:right w:val="single" w:color="auto" w:sz="4" w:space="0"/>
            </w:tcBorders>
            <w:vAlign w:val="center"/>
          </w:tcPr>
          <w:p w14:paraId="0230CD25">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参与标准文本及编制说明编写，质量控制</w:t>
            </w:r>
          </w:p>
        </w:tc>
      </w:tr>
      <w:tr w14:paraId="02FE3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shd w:val="clear" w:color="auto" w:fill="auto"/>
            <w:vAlign w:val="center"/>
          </w:tcPr>
          <w:p w14:paraId="588C0599">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i w:val="0"/>
                <w:iCs w:val="0"/>
                <w:color w:val="auto"/>
                <w:kern w:val="0"/>
                <w:sz w:val="24"/>
                <w:szCs w:val="24"/>
                <w:highlight w:val="none"/>
                <w:u w:val="none"/>
                <w:lang w:val="en-US" w:eastAsia="zh-CN" w:bidi="ar"/>
              </w:rPr>
              <w:t>岳进</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0EBF93B4">
            <w:pPr>
              <w:keepNext w:val="0"/>
              <w:keepLines w:val="0"/>
              <w:pageBreakBefore w:val="0"/>
              <w:widowControl w:val="0"/>
              <w:suppressLineNumbers w:val="0"/>
              <w:kinsoku/>
              <w:wordWrap/>
              <w:overflowPunct/>
              <w:topLinePunct w:val="0"/>
              <w:bidi w:val="0"/>
              <w:spacing w:before="0" w:beforeAutospacing="0" w:after="0" w:afterAutospacing="0" w:line="240" w:lineRule="exact"/>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院长/主任医师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6692210D">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0F0AE69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南宁市中医医院</w:t>
            </w:r>
          </w:p>
        </w:tc>
        <w:tc>
          <w:tcPr>
            <w:tcW w:w="3778" w:type="dxa"/>
            <w:tcBorders>
              <w:top w:val="single" w:color="auto" w:sz="4" w:space="0"/>
              <w:left w:val="single" w:color="auto" w:sz="4" w:space="0"/>
              <w:bottom w:val="single" w:color="auto" w:sz="4" w:space="0"/>
              <w:right w:val="single" w:color="auto" w:sz="4" w:space="0"/>
            </w:tcBorders>
            <w:vAlign w:val="center"/>
          </w:tcPr>
          <w:p w14:paraId="303BD8F0">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参与标准文本及编制说明编写，质量控制</w:t>
            </w:r>
          </w:p>
        </w:tc>
      </w:tr>
      <w:tr w14:paraId="4D34E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6CE8E9E1">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聂英杰</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3E61611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住院医师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38D58B3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中医针灸学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73498B3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676FF5C8">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参与标准文本及编制说明编写，质量控制</w:t>
            </w:r>
          </w:p>
        </w:tc>
      </w:tr>
      <w:tr w14:paraId="1DE30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020C597F">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何就杰</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ED21D5A">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住院医师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DBCD2B9">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5FECE98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1EC8F170">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4E49D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A2B3EB3">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蔡文威</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5811181E">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住院医师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22D70E7E">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2F53B837">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39CED18D">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4ED0D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00EBC6EF">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王秋凤</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703B68C8">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322FB61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6B68A7D4">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广西医科大学附属肿瘤医院</w:t>
            </w:r>
          </w:p>
        </w:tc>
        <w:tc>
          <w:tcPr>
            <w:tcW w:w="3778" w:type="dxa"/>
            <w:tcBorders>
              <w:top w:val="single" w:color="auto" w:sz="4" w:space="0"/>
              <w:left w:val="single" w:color="auto" w:sz="4" w:space="0"/>
              <w:bottom w:val="single" w:color="auto" w:sz="4" w:space="0"/>
              <w:right w:val="single" w:color="auto" w:sz="4" w:space="0"/>
            </w:tcBorders>
            <w:vAlign w:val="center"/>
          </w:tcPr>
          <w:p w14:paraId="28FB614F">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09051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E24B09A">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李雅彦</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097D458">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7BBA09FC">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2B1DF678">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南宁市第七人民医院</w:t>
            </w:r>
          </w:p>
        </w:tc>
        <w:tc>
          <w:tcPr>
            <w:tcW w:w="3778" w:type="dxa"/>
            <w:tcBorders>
              <w:top w:val="single" w:color="auto" w:sz="4" w:space="0"/>
              <w:left w:val="single" w:color="auto" w:sz="4" w:space="0"/>
              <w:bottom w:val="single" w:color="auto" w:sz="4" w:space="0"/>
              <w:right w:val="single" w:color="auto" w:sz="4" w:space="0"/>
            </w:tcBorders>
            <w:vAlign w:val="center"/>
          </w:tcPr>
          <w:p w14:paraId="37851F0E">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4094E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4635FC5">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赵利华</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135DBD9E">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kern w:val="2"/>
                <w:sz w:val="24"/>
                <w:szCs w:val="24"/>
                <w:highlight w:val="none"/>
                <w:lang w:val="en-US" w:eastAsia="zh-CN" w:bidi="ar"/>
              </w:rPr>
              <w:t>教授、主任医师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E4020F5">
            <w:pPr>
              <w:keepNext w:val="0"/>
              <w:keepLines w:val="0"/>
              <w:widowControl w:val="0"/>
              <w:suppressLineNumbers w:val="0"/>
              <w:spacing w:before="0" w:beforeAutospacing="0" w:after="0" w:afterAutospacing="0"/>
              <w:ind w:left="0" w:right="0"/>
              <w:jc w:val="both"/>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kern w:val="2"/>
                <w:sz w:val="24"/>
                <w:szCs w:val="24"/>
                <w:highlight w:val="none"/>
                <w:lang w:val="en-US" w:eastAsia="zh-CN" w:bidi="ar"/>
              </w:rPr>
              <w:t>中医针灸学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4D3D0037">
            <w:pPr>
              <w:keepNext w:val="0"/>
              <w:keepLines w:val="0"/>
              <w:widowControl w:val="0"/>
              <w:suppressLineNumbers w:val="0"/>
              <w:spacing w:before="0" w:beforeAutospacing="0" w:after="0" w:afterAutospacing="0"/>
              <w:ind w:left="0" w:right="0"/>
              <w:jc w:val="both"/>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kern w:val="2"/>
                <w:sz w:val="24"/>
                <w:szCs w:val="24"/>
                <w:highlight w:val="none"/>
                <w:lang w:val="en-US" w:eastAsia="zh-CN" w:bidi="ar"/>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383E1413">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参与标准文本及编制说明的编写；组织开展标准征求意见会；对标准实施情况进行总结分析，不断对标准提出修正意见</w:t>
            </w:r>
          </w:p>
        </w:tc>
      </w:tr>
      <w:tr w14:paraId="02522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C189C3A">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冯卓</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472E189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E712EB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67192918">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广西中医药大学第一附属医院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4B4A7408">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065A3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50E0D9B">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黄新格</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35AD7AA">
            <w:pPr>
              <w:keepNext w:val="0"/>
              <w:keepLines w:val="0"/>
              <w:widowControl w:val="0"/>
              <w:suppressLineNumbers w:val="0"/>
              <w:spacing w:before="0" w:beforeAutospacing="0" w:after="0" w:afterAutospacing="0"/>
              <w:ind w:left="0" w:right="0"/>
              <w:jc w:val="both"/>
              <w:rPr>
                <w:rFonts w:hint="eastAsia" w:ascii="仿宋_GB2312" w:hAnsi="仿宋_GB2312" w:eastAsia="仿宋_GB2312" w:cs="仿宋_GB2312"/>
                <w:color w:val="auto"/>
                <w:sz w:val="24"/>
                <w:szCs w:val="24"/>
                <w:highlight w:val="none"/>
                <w:lang w:val="en-US"/>
              </w:rPr>
            </w:pPr>
            <w:r>
              <w:rPr>
                <w:rFonts w:hint="eastAsia" w:ascii="仿宋_GB2312" w:hAnsi="仿宋_GB2312" w:eastAsia="仿宋_GB2312" w:cs="仿宋_GB2312"/>
                <w:color w:val="auto"/>
                <w:kern w:val="2"/>
                <w:sz w:val="24"/>
                <w:szCs w:val="24"/>
                <w:highlight w:val="none"/>
                <w:lang w:val="en-US" w:eastAsia="zh-CN" w:bidi="ar"/>
              </w:rPr>
              <w:t>主治医师</w:t>
            </w:r>
          </w:p>
          <w:p w14:paraId="272CB673">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color w:val="auto"/>
                <w:sz w:val="24"/>
                <w:szCs w:val="24"/>
                <w:highlight w:val="none"/>
              </w:rPr>
            </w:pP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095BF47">
            <w:pPr>
              <w:keepNext w:val="0"/>
              <w:keepLines w:val="0"/>
              <w:widowControl w:val="0"/>
              <w:suppressLineNumbers w:val="0"/>
              <w:spacing w:before="0" w:beforeAutospacing="0" w:after="0" w:afterAutospacing="0"/>
              <w:ind w:left="0" w:right="0"/>
              <w:jc w:val="both"/>
              <w:rPr>
                <w:rFonts w:hint="eastAsia" w:ascii="仿宋_GB2312" w:hAnsi="仿宋_GB2312" w:eastAsia="仿宋_GB2312" w:cs="仿宋_GB2312"/>
                <w:color w:val="auto"/>
                <w:sz w:val="24"/>
                <w:szCs w:val="24"/>
                <w:highlight w:val="none"/>
                <w:lang w:val="en-US"/>
              </w:rPr>
            </w:pPr>
            <w:r>
              <w:rPr>
                <w:rFonts w:hint="eastAsia" w:ascii="仿宋_GB2312" w:hAnsi="仿宋_GB2312" w:eastAsia="仿宋_GB2312" w:cs="仿宋_GB2312"/>
                <w:color w:val="auto"/>
                <w:kern w:val="2"/>
                <w:sz w:val="24"/>
                <w:szCs w:val="24"/>
                <w:highlight w:val="none"/>
                <w:lang w:val="en-US" w:eastAsia="zh-CN" w:bidi="ar"/>
              </w:rPr>
              <w:t>中医针灸学</w:t>
            </w:r>
          </w:p>
          <w:p w14:paraId="6F982E9D">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color w:val="auto"/>
                <w:sz w:val="24"/>
                <w:szCs w:val="24"/>
                <w:highlight w:val="none"/>
              </w:rPr>
            </w:pP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4774A973">
            <w:pPr>
              <w:keepNext w:val="0"/>
              <w:keepLines w:val="0"/>
              <w:widowControl w:val="0"/>
              <w:suppressLineNumbers w:val="0"/>
              <w:spacing w:before="0" w:beforeAutospacing="0" w:after="0" w:afterAutospacing="0"/>
              <w:ind w:left="0" w:right="0"/>
              <w:jc w:val="both"/>
              <w:rPr>
                <w:rFonts w:hint="eastAsia" w:ascii="仿宋_GB2312" w:hAnsi="仿宋_GB2312" w:eastAsia="仿宋_GB2312" w:cs="仿宋_GB2312"/>
                <w:color w:val="auto"/>
                <w:sz w:val="24"/>
                <w:szCs w:val="24"/>
                <w:highlight w:val="none"/>
                <w:lang w:val="en-US"/>
              </w:rPr>
            </w:pPr>
            <w:r>
              <w:rPr>
                <w:rFonts w:hint="eastAsia" w:ascii="仿宋_GB2312" w:hAnsi="仿宋_GB2312" w:eastAsia="仿宋_GB2312" w:cs="仿宋_GB2312"/>
                <w:color w:val="auto"/>
                <w:kern w:val="2"/>
                <w:sz w:val="24"/>
                <w:szCs w:val="24"/>
                <w:highlight w:val="none"/>
                <w:lang w:val="en-US" w:eastAsia="zh-CN" w:bidi="ar"/>
              </w:rPr>
              <w:t>广西中医药大学第一附属医院</w:t>
            </w:r>
          </w:p>
          <w:p w14:paraId="720960D6">
            <w:pPr>
              <w:keepNext w:val="0"/>
              <w:keepLines w:val="0"/>
              <w:pageBreakBefore w:val="0"/>
              <w:widowControl w:val="0"/>
              <w:suppressLineNumbers w:val="0"/>
              <w:kinsoku/>
              <w:wordWrap/>
              <w:overflowPunct/>
              <w:topLinePunct w:val="0"/>
              <w:bidi w:val="0"/>
              <w:spacing w:before="0" w:beforeAutospacing="0" w:after="0" w:afterAutospacing="0"/>
              <w:ind w:left="0" w:right="0"/>
              <w:jc w:val="center"/>
              <w:rPr>
                <w:rFonts w:hint="eastAsia" w:ascii="仿宋_GB2312" w:hAnsi="仿宋_GB2312" w:eastAsia="仿宋_GB2312" w:cs="仿宋_GB2312"/>
                <w:color w:val="auto"/>
                <w:sz w:val="24"/>
                <w:szCs w:val="24"/>
                <w:highlight w:val="none"/>
              </w:rPr>
            </w:pPr>
          </w:p>
        </w:tc>
        <w:tc>
          <w:tcPr>
            <w:tcW w:w="3778" w:type="dxa"/>
            <w:tcBorders>
              <w:top w:val="single" w:color="auto" w:sz="4" w:space="0"/>
              <w:left w:val="single" w:color="auto" w:sz="4" w:space="0"/>
              <w:bottom w:val="single" w:color="auto" w:sz="4" w:space="0"/>
              <w:right w:val="single" w:color="auto" w:sz="4" w:space="0"/>
            </w:tcBorders>
            <w:vAlign w:val="center"/>
          </w:tcPr>
          <w:p w14:paraId="4FC2FC69">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4E42C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4E742893">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黄慧敏</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59457887">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592DA6D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4765564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广西中医药大学附属瑞康医院</w:t>
            </w:r>
          </w:p>
        </w:tc>
        <w:tc>
          <w:tcPr>
            <w:tcW w:w="3778" w:type="dxa"/>
            <w:tcBorders>
              <w:top w:val="single" w:color="auto" w:sz="4" w:space="0"/>
              <w:left w:val="single" w:color="auto" w:sz="4" w:space="0"/>
              <w:bottom w:val="single" w:color="auto" w:sz="4" w:space="0"/>
              <w:right w:val="single" w:color="auto" w:sz="4" w:space="0"/>
            </w:tcBorders>
            <w:vAlign w:val="center"/>
          </w:tcPr>
          <w:p w14:paraId="15AAA32E">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5A51D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3893C50">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周建龙</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72DBCEC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肿瘤科主任/副主任医师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7599BDE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中西医结合临床</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2616431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广西国际壮医医院</w:t>
            </w:r>
          </w:p>
        </w:tc>
        <w:tc>
          <w:tcPr>
            <w:tcW w:w="3778" w:type="dxa"/>
            <w:tcBorders>
              <w:top w:val="single" w:color="auto" w:sz="4" w:space="0"/>
              <w:left w:val="single" w:color="auto" w:sz="4" w:space="0"/>
              <w:bottom w:val="single" w:color="auto" w:sz="4" w:space="0"/>
              <w:right w:val="single" w:color="auto" w:sz="4" w:space="0"/>
            </w:tcBorders>
            <w:vAlign w:val="center"/>
          </w:tcPr>
          <w:p w14:paraId="3F19C2C5">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11547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109E2180">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张卉</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1D77E5CC">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副主任医师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1BB782BA">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6A1ED536">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桂林医学院第二附属医院</w:t>
            </w:r>
          </w:p>
        </w:tc>
        <w:tc>
          <w:tcPr>
            <w:tcW w:w="3778" w:type="dxa"/>
            <w:tcBorders>
              <w:top w:val="single" w:color="auto" w:sz="4" w:space="0"/>
              <w:left w:val="single" w:color="auto" w:sz="4" w:space="0"/>
              <w:bottom w:val="single" w:color="auto" w:sz="4" w:space="0"/>
              <w:right w:val="single" w:color="auto" w:sz="4" w:space="0"/>
            </w:tcBorders>
            <w:vAlign w:val="center"/>
          </w:tcPr>
          <w:p w14:paraId="3BE668EF">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452B7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15AC2EF">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叶子维</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41F53CB7">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针灸科/治未病科副主任（负责人）</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782715EA">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中医针灸</w:t>
            </w:r>
            <w:r>
              <w:rPr>
                <w:rFonts w:hint="eastAsia" w:ascii="仿宋_GB2312" w:hAnsi="仿宋_GB2312" w:eastAsia="仿宋_GB2312" w:cs="仿宋_GB2312"/>
                <w:color w:val="auto"/>
                <w:sz w:val="24"/>
                <w:szCs w:val="24"/>
                <w:highlight w:val="none"/>
                <w:lang w:val="en-US" w:eastAsia="zh-CN"/>
              </w:rPr>
              <w:t>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0E809F42">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柳州市中西医结合医院</w:t>
            </w:r>
          </w:p>
        </w:tc>
        <w:tc>
          <w:tcPr>
            <w:tcW w:w="3778" w:type="dxa"/>
            <w:tcBorders>
              <w:top w:val="single" w:color="auto" w:sz="4" w:space="0"/>
              <w:left w:val="single" w:color="auto" w:sz="4" w:space="0"/>
              <w:bottom w:val="single" w:color="auto" w:sz="4" w:space="0"/>
              <w:right w:val="single" w:color="auto" w:sz="4" w:space="0"/>
            </w:tcBorders>
            <w:vAlign w:val="center"/>
          </w:tcPr>
          <w:p w14:paraId="776A5428">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353B3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2E8E774A">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黄常江</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2A830E94">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院长/主任医师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0D2FC3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中医肿瘤</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39218EA9">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贵港市中医医院</w:t>
            </w:r>
          </w:p>
        </w:tc>
        <w:tc>
          <w:tcPr>
            <w:tcW w:w="3778" w:type="dxa"/>
            <w:tcBorders>
              <w:top w:val="single" w:color="auto" w:sz="4" w:space="0"/>
              <w:left w:val="single" w:color="auto" w:sz="4" w:space="0"/>
              <w:bottom w:val="single" w:color="auto" w:sz="4" w:space="0"/>
              <w:right w:val="single" w:color="auto" w:sz="4" w:space="0"/>
            </w:tcBorders>
            <w:vAlign w:val="center"/>
          </w:tcPr>
          <w:p w14:paraId="576ABF56">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02296C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3BF96CE2">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黄衍</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6AD2EA7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主治医师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387B0685">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62B5E3DF">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钦州市中医医院</w:t>
            </w:r>
          </w:p>
        </w:tc>
        <w:tc>
          <w:tcPr>
            <w:tcW w:w="3778" w:type="dxa"/>
            <w:tcBorders>
              <w:top w:val="single" w:color="auto" w:sz="4" w:space="0"/>
              <w:left w:val="single" w:color="auto" w:sz="4" w:space="0"/>
              <w:bottom w:val="single" w:color="auto" w:sz="4" w:space="0"/>
              <w:right w:val="single" w:color="auto" w:sz="4" w:space="0"/>
            </w:tcBorders>
            <w:vAlign w:val="center"/>
          </w:tcPr>
          <w:p w14:paraId="76F3CDC1">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37D19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0A45D8FC">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林森</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34A1F73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乳腺科副主任/主任医师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4494F3C0">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中医外科学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2157D8FE">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桂林市中医医院</w:t>
            </w:r>
          </w:p>
        </w:tc>
        <w:tc>
          <w:tcPr>
            <w:tcW w:w="3778" w:type="dxa"/>
            <w:tcBorders>
              <w:top w:val="single" w:color="auto" w:sz="4" w:space="0"/>
              <w:left w:val="single" w:color="auto" w:sz="4" w:space="0"/>
              <w:bottom w:val="single" w:color="auto" w:sz="4" w:space="0"/>
              <w:right w:val="single" w:color="auto" w:sz="4" w:space="0"/>
            </w:tcBorders>
            <w:vAlign w:val="center"/>
          </w:tcPr>
          <w:p w14:paraId="422C47F6">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r w14:paraId="5C48D5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11" w:type="dxa"/>
            <w:tcBorders>
              <w:top w:val="single" w:color="auto" w:sz="4" w:space="0"/>
              <w:left w:val="single" w:color="auto" w:sz="4" w:space="0"/>
              <w:bottom w:val="single" w:color="auto" w:sz="4" w:space="0"/>
              <w:right w:val="single" w:color="auto" w:sz="4" w:space="0"/>
            </w:tcBorders>
            <w:vAlign w:val="center"/>
          </w:tcPr>
          <w:p w14:paraId="7DC1A2CC">
            <w:pPr>
              <w:keepNext w:val="0"/>
              <w:keepLines w:val="0"/>
              <w:pageBreakBefore w:val="0"/>
              <w:widowControl w:val="0"/>
              <w:suppressLineNumbers w:val="0"/>
              <w:kinsoku/>
              <w:wordWrap/>
              <w:overflowPunct/>
              <w:topLinePunct w:val="0"/>
              <w:bidi w:val="0"/>
              <w:spacing w:before="0" w:beforeAutospacing="0" w:after="0" w:afterAutospacing="0"/>
              <w:ind w:left="0" w:right="0"/>
              <w:jc w:val="center"/>
              <w:textAlignment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i w:val="0"/>
                <w:iCs w:val="0"/>
                <w:color w:val="auto"/>
                <w:kern w:val="0"/>
                <w:sz w:val="24"/>
                <w:szCs w:val="24"/>
                <w:highlight w:val="none"/>
                <w:u w:val="none"/>
                <w:lang w:val="en-US" w:eastAsia="zh-CN" w:bidi="ar"/>
              </w:rPr>
              <w:t>肖敬</w:t>
            </w:r>
          </w:p>
        </w:tc>
        <w:tc>
          <w:tcPr>
            <w:tcW w:w="1418" w:type="dxa"/>
            <w:tcBorders>
              <w:top w:val="single" w:color="auto" w:sz="4" w:space="0"/>
              <w:left w:val="single" w:color="auto" w:sz="4" w:space="0"/>
              <w:bottom w:val="single" w:color="auto" w:sz="4" w:space="0"/>
              <w:right w:val="single" w:color="auto" w:sz="4" w:space="0"/>
            </w:tcBorders>
            <w:shd w:val="clear" w:color="auto" w:fill="auto"/>
            <w:vAlign w:val="center"/>
          </w:tcPr>
          <w:p w14:paraId="088F7768">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民族医学科主任，兼治未病中心副主任/主任医师</w:t>
            </w:r>
          </w:p>
        </w:tc>
        <w:tc>
          <w:tcPr>
            <w:tcW w:w="1269" w:type="dxa"/>
            <w:tcBorders>
              <w:top w:val="single" w:color="auto" w:sz="4" w:space="0"/>
              <w:left w:val="single" w:color="auto" w:sz="4" w:space="0"/>
              <w:bottom w:val="single" w:color="auto" w:sz="4" w:space="0"/>
              <w:right w:val="single" w:color="auto" w:sz="4" w:space="0"/>
            </w:tcBorders>
            <w:shd w:val="clear" w:color="auto" w:fill="auto"/>
            <w:vAlign w:val="center"/>
          </w:tcPr>
          <w:p w14:paraId="02E477AC">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针灸学</w:t>
            </w:r>
          </w:p>
        </w:tc>
        <w:tc>
          <w:tcPr>
            <w:tcW w:w="1806" w:type="dxa"/>
            <w:tcBorders>
              <w:top w:val="single" w:color="auto" w:sz="4" w:space="0"/>
              <w:left w:val="single" w:color="auto" w:sz="4" w:space="0"/>
              <w:bottom w:val="single" w:color="auto" w:sz="4" w:space="0"/>
              <w:right w:val="single" w:color="auto" w:sz="4" w:space="0"/>
            </w:tcBorders>
            <w:shd w:val="clear" w:color="auto" w:fill="auto"/>
            <w:vAlign w:val="center"/>
          </w:tcPr>
          <w:p w14:paraId="11CFBF61">
            <w:pPr>
              <w:keepNext w:val="0"/>
              <w:keepLines w:val="0"/>
              <w:pageBreakBefore w:val="0"/>
              <w:widowControl w:val="0"/>
              <w:suppressLineNumbers w:val="0"/>
              <w:kinsoku/>
              <w:wordWrap/>
              <w:overflowPunct/>
              <w:topLinePunct w:val="0"/>
              <w:bidi w:val="0"/>
              <w:spacing w:before="0" w:beforeAutospacing="0" w:after="0" w:afterAutospacing="0" w:line="240" w:lineRule="exact"/>
              <w:ind w:left="0" w:right="0"/>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rPr>
              <w:t>柳州市中医医院（柳州市壮医医院）</w:t>
            </w:r>
          </w:p>
        </w:tc>
        <w:tc>
          <w:tcPr>
            <w:tcW w:w="3778" w:type="dxa"/>
            <w:tcBorders>
              <w:top w:val="single" w:color="auto" w:sz="4" w:space="0"/>
              <w:left w:val="single" w:color="auto" w:sz="4" w:space="0"/>
              <w:bottom w:val="single" w:color="auto" w:sz="4" w:space="0"/>
              <w:right w:val="single" w:color="auto" w:sz="4" w:space="0"/>
            </w:tcBorders>
            <w:vAlign w:val="center"/>
          </w:tcPr>
          <w:p w14:paraId="69EDA110">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rPr>
                <w:rFonts w:hint="eastAsia" w:ascii="仿宋_GB2312" w:hAnsi="仿宋_GB2312" w:eastAsia="仿宋_GB2312" w:cs="仿宋_GB2312"/>
                <w:color w:val="auto"/>
                <w:sz w:val="24"/>
                <w:szCs w:val="24"/>
                <w:highlight w:val="none"/>
                <w:lang w:bidi="ar"/>
              </w:rPr>
            </w:pPr>
            <w:r>
              <w:rPr>
                <w:rFonts w:hint="eastAsia" w:ascii="仿宋_GB2312" w:hAnsi="仿宋_GB2312" w:eastAsia="仿宋_GB2312" w:cs="仿宋_GB2312"/>
                <w:color w:val="auto"/>
                <w:sz w:val="24"/>
                <w:szCs w:val="24"/>
                <w:highlight w:val="none"/>
                <w:lang w:bidi="ar"/>
              </w:rPr>
              <w:t>对标准实施情况进行总结分析，不断对标准提出修正意见</w:t>
            </w:r>
          </w:p>
        </w:tc>
      </w:tr>
    </w:tbl>
    <w:p w14:paraId="713FF8E2">
      <w:pPr>
        <w:keepNext w:val="0"/>
        <w:keepLines w:val="0"/>
        <w:pageBreakBefore w:val="0"/>
        <w:widowControl w:val="0"/>
        <w:kinsoku/>
        <w:wordWrap/>
        <w:overflowPunct/>
        <w:topLinePunct w:val="0"/>
        <w:bidi w:val="0"/>
        <w:spacing w:line="520" w:lineRule="exact"/>
        <w:ind w:firstLine="640" w:firstLineChars="200"/>
        <w:rPr>
          <w:rFonts w:ascii="黑体" w:eastAsia="黑体" w:cs="仿宋_GB2312"/>
          <w:color w:val="auto"/>
          <w:sz w:val="32"/>
          <w:szCs w:val="32"/>
          <w:highlight w:val="none"/>
        </w:rPr>
      </w:pPr>
      <w:r>
        <w:rPr>
          <w:rFonts w:hint="eastAsia" w:ascii="黑体" w:eastAsia="黑体" w:cs="仿宋_GB2312"/>
          <w:color w:val="auto"/>
          <w:sz w:val="32"/>
          <w:szCs w:val="32"/>
          <w:highlight w:val="none"/>
        </w:rPr>
        <w:t>二、制定标准的必要性和意义</w:t>
      </w:r>
    </w:p>
    <w:p w14:paraId="3E3BF242">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朱琏针法是朱琏将古典针灸理论与现代神经学知识相结合的实践结晶，以巴甫洛夫的高级神经活动学说为理论基础创立的，主要分为抑制型和兴奋型，并依据刺激强度分为I型和II型。朱琏兴奋II型针法是朱琏兴奋针法的一部分，主要通过弱刺激对处于过度衰弱或抑制状态的机体起到促进生理机能、解除过度抑制、唤起正常兴奋的作用。该针法的特点：（1）穴位选择方面，不一定选用末梢敏感穴位，对神经系统的刺激作用较弱；（2）行针手法方面，通过稍慢的行针手法，对患者产生稍胀而舒适的感觉，或短时间的麻或触电样感觉，对神经系统产生较轻的刺激；（3）留针时间方面，兴奋II型针法留针时间短，留针时长5分钟左右，对机体产生短时间的持续刺激作用。因此，朱琏兴奋II型针法主要通过选择穴位刺激小、行针手法稍慢和留针时间短的操作技巧，起到促进生理机能、解除过度抑制、唤起正常兴奋作用的针法。适用于神经系统受到抑制和脏腑功能失调引起的疾病。</w:t>
      </w:r>
    </w:p>
    <w:p w14:paraId="1CC9A712">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癌因性疲乏的产生与神经损伤和神经可塑性改变有密切关系。肿瘤放疗、化疗过程中对神经系统产生毒性作用，手术或肿瘤转移时对神经造成的损伤，均可改变神经可塑性。神经可塑性指神经系统为了适应不断变化的内外环境，其结构和功能发生改变的能力。癌因性疲乏患者因其神经可塑性降低，神经元之间的连接和功能重塑变得困难，这导致神经系统不能有效地自我修复和适应身体的变化，使得疲乏症状持续存在。朱琏兴奋II型针法主要是通过弱刺激神经系统</w:t>
      </w:r>
      <w:r>
        <w:rPr>
          <w:rFonts w:hint="eastAsia" w:ascii="仿宋_GB2312" w:hAnsi="仿宋_GB2312" w:eastAsia="仿宋_GB2312" w:cs="仿宋_GB2312"/>
          <w:color w:val="auto"/>
          <w:sz w:val="28"/>
          <w:szCs w:val="28"/>
          <w:highlight w:val="none"/>
          <w:lang w:val="en-US" w:eastAsia="zh-CN"/>
        </w:rPr>
        <w:t>使</w:t>
      </w:r>
      <w:r>
        <w:rPr>
          <w:rFonts w:hint="eastAsia" w:ascii="仿宋_GB2312" w:hAnsi="仿宋_GB2312" w:eastAsia="仿宋_GB2312" w:cs="仿宋_GB2312"/>
          <w:color w:val="auto"/>
          <w:sz w:val="28"/>
          <w:szCs w:val="28"/>
          <w:highlight w:val="none"/>
        </w:rPr>
        <w:t>抑制状态得以解除，修复神经可塑性，促进损伤的神经再生和重新连接以恢复神经系统功能，使患者长期处于疲乏以及受限</w:t>
      </w:r>
      <w:r>
        <w:rPr>
          <w:rFonts w:hint="eastAsia" w:ascii="仿宋_GB2312" w:hAnsi="仿宋_GB2312" w:eastAsia="仿宋_GB2312" w:cs="仿宋_GB2312"/>
          <w:color w:val="auto"/>
          <w:sz w:val="28"/>
          <w:szCs w:val="28"/>
          <w:highlight w:val="none"/>
          <w:lang w:val="en-US" w:eastAsia="zh-CN"/>
        </w:rPr>
        <w:t>的</w:t>
      </w:r>
      <w:r>
        <w:rPr>
          <w:rFonts w:hint="eastAsia" w:ascii="仿宋_GB2312" w:hAnsi="仿宋_GB2312" w:eastAsia="仿宋_GB2312" w:cs="仿宋_GB2312"/>
          <w:color w:val="auto"/>
          <w:sz w:val="28"/>
          <w:szCs w:val="28"/>
          <w:highlight w:val="none"/>
        </w:rPr>
        <w:t>功能状态得以解除</w:t>
      </w:r>
      <w:r>
        <w:rPr>
          <w:rFonts w:hint="eastAsia" w:ascii="仿宋_GB2312" w:hAnsi="仿宋_GB2312" w:eastAsia="仿宋_GB2312" w:cs="仿宋_GB2312"/>
          <w:color w:val="auto"/>
          <w:sz w:val="28"/>
          <w:szCs w:val="28"/>
          <w:highlight w:val="none"/>
          <w:lang w:eastAsia="zh-CN"/>
        </w:rPr>
        <w:t>，</w:t>
      </w:r>
      <w:r>
        <w:rPr>
          <w:rFonts w:hint="eastAsia" w:ascii="仿宋_GB2312" w:hAnsi="仿宋_GB2312" w:eastAsia="仿宋_GB2312" w:cs="仿宋_GB2312"/>
          <w:color w:val="auto"/>
          <w:sz w:val="28"/>
          <w:szCs w:val="28"/>
          <w:highlight w:val="none"/>
          <w:lang w:val="en-US" w:eastAsia="zh-CN"/>
        </w:rPr>
        <w:t>从而恢复机体功能</w:t>
      </w:r>
      <w:r>
        <w:rPr>
          <w:rFonts w:hint="eastAsia" w:ascii="仿宋_GB2312" w:hAnsi="仿宋_GB2312" w:eastAsia="仿宋_GB2312" w:cs="仿宋_GB2312"/>
          <w:color w:val="auto"/>
          <w:sz w:val="28"/>
          <w:szCs w:val="28"/>
          <w:highlight w:val="none"/>
        </w:rPr>
        <w:t>。</w:t>
      </w:r>
    </w:p>
    <w:p w14:paraId="7F1B0FE3">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根据统计，目前广西恶性肿瘤新发病例数约为34000多例，我区癌症病人中癌因性疲乏发生率约为60%，约20400人，晚期癌症病人中癌因性疲乏发生率约为75%，约25500人。癌因性疲乏在各个年龄阶段的癌症患者中均有发生。应用朱琏兴奋Ⅱ型针法治疗癌因性疲乏的患者每年约5000人次左右，应用朱琏兴奋Ⅱ型针法治疗癌因性疲乏的患者可取得以下治疗效果：</w:t>
      </w:r>
    </w:p>
    <w:p w14:paraId="4C3D7A10">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一、改善疲乏症状</w:t>
      </w:r>
    </w:p>
    <w:p w14:paraId="6D80A8BA">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1、减轻疲劳程度：患者主观感受上的疲劳感明显降低，日常活动中的乏力、困倦等</w:t>
      </w:r>
      <w:r>
        <w:rPr>
          <w:rFonts w:hint="eastAsia" w:ascii="仿宋_GB2312" w:hAnsi="仿宋_GB2312" w:eastAsia="仿宋_GB2312" w:cs="仿宋_GB2312"/>
          <w:color w:val="auto"/>
          <w:sz w:val="28"/>
          <w:szCs w:val="28"/>
          <w:highlight w:val="none"/>
          <w:lang w:val="en-US" w:eastAsia="zh-CN"/>
        </w:rPr>
        <w:t>症状</w:t>
      </w:r>
      <w:r>
        <w:rPr>
          <w:rFonts w:hint="eastAsia" w:ascii="仿宋_GB2312" w:hAnsi="仿宋_GB2312" w:eastAsia="仿宋_GB2312" w:cs="仿宋_GB2312"/>
          <w:color w:val="auto"/>
          <w:sz w:val="28"/>
          <w:szCs w:val="28"/>
          <w:highlight w:val="none"/>
        </w:rPr>
        <w:t>有所缓解。例如，原本走几步路就觉得疲惫不堪的患者，经过治疗后可以行走更长的距离而不感到劳累。另外</w:t>
      </w:r>
      <w:r>
        <w:rPr>
          <w:rFonts w:hint="eastAsia" w:ascii="仿宋_GB2312" w:hAnsi="仿宋_GB2312" w:eastAsia="仿宋_GB2312" w:cs="仿宋_GB2312"/>
          <w:color w:val="auto"/>
          <w:sz w:val="28"/>
          <w:szCs w:val="28"/>
          <w:highlight w:val="none"/>
          <w:lang w:eastAsia="zh-CN"/>
        </w:rPr>
        <w:t>，</w:t>
      </w:r>
      <w:r>
        <w:rPr>
          <w:rFonts w:hint="eastAsia" w:ascii="仿宋_GB2312" w:hAnsi="仿宋_GB2312" w:eastAsia="仿宋_GB2312" w:cs="仿宋_GB2312"/>
          <w:color w:val="auto"/>
          <w:sz w:val="28"/>
          <w:szCs w:val="28"/>
          <w:highlight w:val="none"/>
        </w:rPr>
        <w:t>可提高患者的体力和耐力，更好地应对日常生活和</w:t>
      </w:r>
      <w:r>
        <w:rPr>
          <w:rFonts w:hint="eastAsia" w:ascii="仿宋_GB2312" w:hAnsi="仿宋_GB2312" w:eastAsia="仿宋_GB2312" w:cs="仿宋_GB2312"/>
          <w:color w:val="auto"/>
          <w:sz w:val="28"/>
          <w:szCs w:val="28"/>
          <w:highlight w:val="none"/>
          <w:lang w:val="en-US" w:eastAsia="zh-CN"/>
        </w:rPr>
        <w:t>肿瘤</w:t>
      </w:r>
      <w:r>
        <w:rPr>
          <w:rFonts w:hint="eastAsia" w:ascii="仿宋_GB2312" w:hAnsi="仿宋_GB2312" w:eastAsia="仿宋_GB2312" w:cs="仿宋_GB2312"/>
          <w:color w:val="auto"/>
          <w:sz w:val="28"/>
          <w:szCs w:val="28"/>
          <w:highlight w:val="none"/>
        </w:rPr>
        <w:t>治疗带来的压力。</w:t>
      </w:r>
    </w:p>
    <w:p w14:paraId="7BD5DD81">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2、增强活动能力：改善患者的肢体活动能力，增加肌肉力量。患者可能会发现自己能够更轻松地完成一些日常动作，如起床、穿衣、洗漱等。提高患者的运动积极性，部分患者会逐渐恢复一些适度的体育锻炼，进一步增强身体素质。</w:t>
      </w:r>
    </w:p>
    <w:p w14:paraId="569F9A78">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二、调节心理状态</w:t>
      </w:r>
    </w:p>
    <w:p w14:paraId="43F5CA21">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w:t>
      </w:r>
      <w:r>
        <w:rPr>
          <w:rFonts w:hint="eastAsia" w:ascii="仿宋_GB2312" w:hAnsi="仿宋_GB2312" w:eastAsia="仿宋_GB2312" w:cs="仿宋_GB2312"/>
          <w:color w:val="auto"/>
          <w:sz w:val="28"/>
          <w:szCs w:val="28"/>
          <w:highlight w:val="none"/>
          <w:lang w:val="en-US" w:eastAsia="zh-CN"/>
        </w:rPr>
        <w:t xml:space="preserve">. </w:t>
      </w:r>
      <w:r>
        <w:rPr>
          <w:rFonts w:hint="eastAsia" w:ascii="仿宋_GB2312" w:hAnsi="仿宋_GB2312" w:eastAsia="仿宋_GB2312" w:cs="仿宋_GB2312"/>
          <w:color w:val="auto"/>
          <w:sz w:val="28"/>
          <w:szCs w:val="28"/>
          <w:highlight w:val="none"/>
        </w:rPr>
        <w:t>缓解焦虑和抑郁：癌因性疲乏常常伴随着焦虑、抑郁等不良情绪。朱琏兴奋Ⅱ型针法可以通过调节神经系统的功能，缓解患者的焦虑和抑郁情绪，使患者的心理状态更加稳定，焦虑抑郁情绪得到改善，从而提高对治疗的信心和依从性。</w:t>
      </w:r>
    </w:p>
    <w:p w14:paraId="00A550B4">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2</w:t>
      </w:r>
      <w:r>
        <w:rPr>
          <w:rFonts w:hint="eastAsia" w:ascii="仿宋_GB2312" w:hAnsi="仿宋_GB2312" w:eastAsia="仿宋_GB2312" w:cs="仿宋_GB2312"/>
          <w:color w:val="auto"/>
          <w:sz w:val="28"/>
          <w:szCs w:val="28"/>
          <w:highlight w:val="none"/>
          <w:lang w:val="en-US" w:eastAsia="zh-CN"/>
        </w:rPr>
        <w:t xml:space="preserve">. </w:t>
      </w:r>
      <w:r>
        <w:rPr>
          <w:rFonts w:hint="eastAsia" w:ascii="仿宋_GB2312" w:hAnsi="仿宋_GB2312" w:eastAsia="仿宋_GB2312" w:cs="仿宋_GB2312"/>
          <w:color w:val="auto"/>
          <w:sz w:val="28"/>
          <w:szCs w:val="28"/>
          <w:highlight w:val="none"/>
        </w:rPr>
        <w:t>提高生活质量：朱琏兴奋Ⅱ型针法可以减轻疲乏和不良情绪对患者生活质量的影响，使患者能够更好地参与社交活动以及家庭生活，提高生活质量，从而保持积极的心态。</w:t>
      </w:r>
    </w:p>
    <w:p w14:paraId="1EC2FA18">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三、促进身体恢复</w:t>
      </w:r>
    </w:p>
    <w:p w14:paraId="63E5AA39">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w:t>
      </w:r>
      <w:r>
        <w:rPr>
          <w:rFonts w:hint="eastAsia" w:ascii="仿宋_GB2312" w:hAnsi="仿宋_GB2312" w:eastAsia="仿宋_GB2312" w:cs="仿宋_GB2312"/>
          <w:color w:val="auto"/>
          <w:sz w:val="28"/>
          <w:szCs w:val="28"/>
          <w:highlight w:val="none"/>
          <w:lang w:val="en-US" w:eastAsia="zh-CN"/>
        </w:rPr>
        <w:t xml:space="preserve">. </w:t>
      </w:r>
      <w:r>
        <w:rPr>
          <w:rFonts w:hint="eastAsia" w:ascii="仿宋_GB2312" w:hAnsi="仿宋_GB2312" w:eastAsia="仿宋_GB2312" w:cs="仿宋_GB2312"/>
          <w:color w:val="auto"/>
          <w:sz w:val="28"/>
          <w:szCs w:val="28"/>
          <w:highlight w:val="none"/>
        </w:rPr>
        <w:t>增强免疫功能：朱琏兴奋Ⅱ型针法对患者的免疫系统能够产生一定的调节作用，增强机体的免疫力</w:t>
      </w:r>
      <w:r>
        <w:rPr>
          <w:rFonts w:hint="eastAsia" w:ascii="仿宋_GB2312" w:hAnsi="仿宋_GB2312" w:eastAsia="仿宋_GB2312" w:cs="仿宋_GB2312"/>
          <w:color w:val="auto"/>
          <w:sz w:val="28"/>
          <w:szCs w:val="28"/>
          <w:highlight w:val="none"/>
          <w:lang w:val="en-US" w:eastAsia="zh-CN"/>
        </w:rPr>
        <w:t>及</w:t>
      </w:r>
      <w:r>
        <w:rPr>
          <w:rFonts w:hint="eastAsia" w:ascii="仿宋_GB2312" w:hAnsi="仿宋_GB2312" w:eastAsia="仿宋_GB2312" w:cs="仿宋_GB2312"/>
          <w:color w:val="auto"/>
          <w:sz w:val="28"/>
          <w:szCs w:val="28"/>
          <w:highlight w:val="none"/>
        </w:rPr>
        <w:t>抵抗力。</w:t>
      </w:r>
    </w:p>
    <w:p w14:paraId="7B381299">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2</w:t>
      </w:r>
      <w:r>
        <w:rPr>
          <w:rFonts w:hint="eastAsia" w:ascii="仿宋_GB2312" w:hAnsi="仿宋_GB2312" w:eastAsia="仿宋_GB2312" w:cs="仿宋_GB2312"/>
          <w:color w:val="auto"/>
          <w:sz w:val="28"/>
          <w:szCs w:val="28"/>
          <w:highlight w:val="none"/>
          <w:lang w:val="en-US" w:eastAsia="zh-CN"/>
        </w:rPr>
        <w:t xml:space="preserve">. </w:t>
      </w:r>
      <w:r>
        <w:rPr>
          <w:rFonts w:hint="eastAsia" w:ascii="仿宋_GB2312" w:hAnsi="仿宋_GB2312" w:eastAsia="仿宋_GB2312" w:cs="仿宋_GB2312"/>
          <w:color w:val="auto"/>
          <w:sz w:val="28"/>
          <w:szCs w:val="28"/>
          <w:highlight w:val="none"/>
        </w:rPr>
        <w:t>改善睡眠质量：癌因性疲乏患者常常伴有睡眠障碍。朱琏兴奋Ⅱ型针法可以通过调节神经系统的功能，改善患者的睡眠质量。</w:t>
      </w:r>
    </w:p>
    <w:p w14:paraId="312E8366">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需要注意的是，不同患者对朱琏兴奋Ⅱ型针法的治疗反应可能会有所差异，治疗效果也会受到多种因素的影响，如癌症的类型和阶段、患者的个体差异、治疗的持续时间和频率等。在应用该针法治疗癌因性疲乏时，应在专业医生的指导下进行，</w:t>
      </w:r>
      <w:r>
        <w:rPr>
          <w:rFonts w:hint="eastAsia" w:ascii="仿宋_GB2312" w:hAnsi="仿宋_GB2312" w:eastAsia="仿宋_GB2312" w:cs="仿宋_GB2312"/>
          <w:color w:val="auto"/>
          <w:sz w:val="28"/>
          <w:szCs w:val="28"/>
          <w:highlight w:val="none"/>
          <w:lang w:val="en-US" w:eastAsia="zh-CN"/>
        </w:rPr>
        <w:t>必要时可</w:t>
      </w:r>
      <w:r>
        <w:rPr>
          <w:rFonts w:hint="eastAsia" w:ascii="仿宋_GB2312" w:hAnsi="仿宋_GB2312" w:eastAsia="仿宋_GB2312" w:cs="仿宋_GB2312"/>
          <w:color w:val="auto"/>
          <w:sz w:val="28"/>
          <w:szCs w:val="28"/>
          <w:highlight w:val="none"/>
        </w:rPr>
        <w:t>结合其他综合治疗措施，以达到更好的治疗效果。</w:t>
      </w:r>
    </w:p>
    <w:p w14:paraId="6073B7CB">
      <w:pPr>
        <w:keepNext w:val="0"/>
        <w:keepLines w:val="0"/>
        <w:pageBreakBefore w:val="0"/>
        <w:widowControl w:val="0"/>
        <w:suppressAutoHyphens/>
        <w:kinsoku/>
        <w:wordWrap/>
        <w:overflowPunct/>
        <w:topLinePunct w:val="0"/>
        <w:bidi w:val="0"/>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目前癌因性疲乏朱琏兴奋Ⅱ型针法技术在广西医科大学附属肿瘤医院、广西中医药大学第一附属医院、南宁市第七人民医院、广西中医药大学附属瑞康医院、桂林医学院第二附属医院等医院有推广应用。</w:t>
      </w:r>
    </w:p>
    <w:p w14:paraId="525EDB7C">
      <w:pPr>
        <w:keepNext w:val="0"/>
        <w:keepLines w:val="0"/>
        <w:pageBreakBefore w:val="0"/>
        <w:widowControl w:val="0"/>
        <w:suppressAutoHyphens/>
        <w:kinsoku/>
        <w:wordWrap/>
        <w:overflowPunct/>
        <w:topLinePunct w:val="0"/>
        <w:bidi w:val="0"/>
        <w:spacing w:line="560" w:lineRule="exact"/>
        <w:ind w:firstLine="560" w:firstLineChars="200"/>
        <w:rPr>
          <w:color w:val="auto"/>
          <w:highlight w:val="none"/>
        </w:rPr>
      </w:pPr>
      <w:r>
        <w:rPr>
          <w:rFonts w:hint="eastAsia" w:ascii="仿宋_GB2312" w:hAnsi="仿宋_GB2312" w:eastAsia="仿宋_GB2312" w:cs="仿宋_GB2312"/>
          <w:color w:val="auto"/>
          <w:sz w:val="28"/>
          <w:szCs w:val="28"/>
          <w:highlight w:val="none"/>
        </w:rPr>
        <w:t>通过制定团体标准《癌因性疲乏朱琏兴奋Ⅱ型针法技术操作规范》，以标准为抓手，统一规范癌因性疲乏朱琏兴奋Ⅱ型针法技术的要求，对提高癌因性疲乏朱琏兴奋Ⅱ型针法技术操作水平，促进广西特色医疗传承与健康发展具有重要意义。因此，制定团体标准《癌因性疲乏朱琏兴奋Ⅱ型针法技术操作规范》具有重要意义。</w:t>
      </w:r>
    </w:p>
    <w:p w14:paraId="1C16FDBD">
      <w:pPr>
        <w:keepNext w:val="0"/>
        <w:keepLines w:val="0"/>
        <w:pageBreakBefore w:val="0"/>
        <w:widowControl w:val="0"/>
        <w:kinsoku/>
        <w:wordWrap/>
        <w:overflowPunct/>
        <w:topLinePunct w:val="0"/>
        <w:autoSpaceDE w:val="0"/>
        <w:autoSpaceDN w:val="0"/>
        <w:bidi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三、主要起草过程</w:t>
      </w:r>
    </w:p>
    <w:p w14:paraId="3910FF65">
      <w:pPr>
        <w:keepNext w:val="0"/>
        <w:keepLines w:val="0"/>
        <w:pageBreakBefore w:val="0"/>
        <w:widowControl w:val="0"/>
        <w:kinsoku/>
        <w:wordWrap/>
        <w:overflowPunct/>
        <w:topLinePunct w:val="0"/>
        <w:bidi w:val="0"/>
        <w:spacing w:line="520" w:lineRule="exact"/>
        <w:ind w:firstLine="562" w:firstLineChars="200"/>
        <w:rPr>
          <w:rFonts w:ascii="仿宋_GB2312" w:eastAsia="仿宋_GB2312"/>
          <w:color w:val="auto"/>
          <w:sz w:val="28"/>
          <w:szCs w:val="28"/>
          <w:highlight w:val="none"/>
        </w:rPr>
      </w:pPr>
      <w:r>
        <w:rPr>
          <w:rFonts w:hint="eastAsia" w:ascii="仿宋_GB2312" w:eastAsia="仿宋_GB2312" w:cs="仿宋_GB2312"/>
          <w:b/>
          <w:color w:val="auto"/>
          <w:sz w:val="28"/>
          <w:szCs w:val="28"/>
          <w:highlight w:val="none"/>
        </w:rPr>
        <w:t>（一）成立标准编制工作组</w:t>
      </w:r>
    </w:p>
    <w:p w14:paraId="5C22A752">
      <w:pPr>
        <w:keepNext w:val="0"/>
        <w:keepLines w:val="0"/>
        <w:pageBreakBefore w:val="0"/>
        <w:widowControl w:val="0"/>
        <w:kinsoku/>
        <w:wordWrap/>
        <w:overflowPunct/>
        <w:topLinePunct w:val="0"/>
        <w:bidi w:val="0"/>
        <w:spacing w:line="520" w:lineRule="exact"/>
        <w:ind w:firstLine="560" w:firstLineChars="200"/>
        <w:jc w:val="left"/>
        <w:rPr>
          <w:rFonts w:ascii="仿宋_GB2312" w:eastAsia="仿宋_GB2312"/>
          <w:color w:val="auto"/>
          <w:sz w:val="28"/>
          <w:szCs w:val="28"/>
          <w:highlight w:val="none"/>
        </w:rPr>
      </w:pPr>
      <w:r>
        <w:rPr>
          <w:rFonts w:hint="eastAsia" w:ascii="仿宋_GB2312" w:hAnsi="宋体" w:eastAsia="仿宋_GB2312"/>
          <w:color w:val="auto"/>
          <w:sz w:val="28"/>
          <w:szCs w:val="28"/>
          <w:highlight w:val="none"/>
        </w:rPr>
        <w:t>团体标准</w:t>
      </w:r>
      <w:r>
        <w:rPr>
          <w:rFonts w:hint="eastAsia" w:ascii="仿宋_GB2312" w:eastAsia="仿宋_GB2312"/>
          <w:color w:val="auto"/>
          <w:sz w:val="28"/>
          <w:szCs w:val="28"/>
          <w:highlight w:val="none"/>
        </w:rPr>
        <w:t>《癌因性疲乏朱琏兴奋Ⅱ型针法技术操作规范》项目任务下达后，由广西医科大学附属肿瘤医院牵头组织成立了标准编制工作组，制定了起草编写方案与进度安排，明确任务职责，确定工作技术路线，开展标准研制工作。具体标准编制工作由起草单位相关人员配合完成。</w:t>
      </w:r>
    </w:p>
    <w:p w14:paraId="3879E8A1">
      <w:pPr>
        <w:keepNext w:val="0"/>
        <w:keepLines w:val="0"/>
        <w:pageBreakBefore w:val="0"/>
        <w:widowControl w:val="0"/>
        <w:kinsoku/>
        <w:wordWrap/>
        <w:overflowPunct/>
        <w:topLinePunct w:val="0"/>
        <w:bidi w:val="0"/>
        <w:spacing w:line="520" w:lineRule="exact"/>
        <w:ind w:firstLine="560" w:firstLineChars="200"/>
        <w:rPr>
          <w:rFonts w:ascii="仿宋_GB2312" w:eastAsia="仿宋_GB2312" w:cs="仿宋_GB2312"/>
          <w:color w:val="auto"/>
          <w:sz w:val="28"/>
          <w:szCs w:val="28"/>
          <w:highlight w:val="none"/>
        </w:rPr>
      </w:pPr>
      <w:r>
        <w:rPr>
          <w:rFonts w:hint="eastAsia" w:ascii="仿宋_GB2312" w:eastAsia="仿宋_GB2312"/>
          <w:color w:val="auto"/>
          <w:sz w:val="28"/>
          <w:szCs w:val="28"/>
          <w:highlight w:val="none"/>
        </w:rPr>
        <w:t>为了明确标准编制的任务职责，确定工作技术路线，开展标准研制工作。标准编制工作组下设二个组，分别是资料收集组、草案编写组。资料收集组负责国内外有关癌因性疲乏朱琏兴奋Ⅱ型针法方面的文献资料的查询、收集和整理工作，查阅前期对癌因性疲乏朱琏兴奋Ⅱ型针法方面的有关研究情况和目前科学界癌因性疲乏朱琏兴奋Ⅱ型针法的研究进展；草案编写组负责起草标准草案及后续征求意见稿和标准编制说明、送审稿及编制说明等编写工作，包括后期召开征求意见会、网上征求意见，以及标准的不断修改和完善。</w:t>
      </w:r>
    </w:p>
    <w:p w14:paraId="37DE3B49">
      <w:pPr>
        <w:keepNext w:val="0"/>
        <w:keepLines w:val="0"/>
        <w:pageBreakBefore w:val="0"/>
        <w:widowControl w:val="0"/>
        <w:kinsoku/>
        <w:wordWrap/>
        <w:overflowPunct/>
        <w:topLinePunct w:val="0"/>
        <w:bidi w:val="0"/>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（二）收集整理文献资料</w:t>
      </w:r>
    </w:p>
    <w:p w14:paraId="63952E58">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rPr>
        <w:t>标准编制工作组收集了国内有关癌因性疲乏朱琏兴奋Ⅱ型针法的相关文献资料。主要有：</w:t>
      </w:r>
    </w:p>
    <w:p w14:paraId="6D1FC31A">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[1]陈瀚巍.朱琏兴奋Ⅱ型针法配合温和灸治疗阳痿的临床观察[D].广西中医药大学,2024.</w:t>
      </w:r>
    </w:p>
    <w:p w14:paraId="768CB42D">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[2]黄梓欣.朱琏兴奋Ⅱ型针法结合温和灸治疗脾胃虚寒型功能性消化不良的临床观察[D].广西中医药大学,2023.</w:t>
      </w:r>
    </w:p>
    <w:p w14:paraId="0EE92CBE">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[3]张笑.朱琏兴奋Ⅱ型针法结合温和灸治疗脾肾阳虚型IBS-D的临床研究[D].广西中医药大学,2023.</w:t>
      </w:r>
    </w:p>
    <w:p w14:paraId="22663B62">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[4]黄梓欣,张笑,何就杰,等.朱琏兴奋Ⅱ型针刺手法结合温和灸治疗月经后期临床研究[J].针灸临床杂志,2023,39(01):62-66.</w:t>
      </w:r>
    </w:p>
    <w:p w14:paraId="4700E795">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[5]聂英杰.朱琏兴奋Ⅱ型针法治疗老年性夜尿症的临床观察[D].广西中医药大学,2022.</w:t>
      </w:r>
    </w:p>
    <w:p w14:paraId="08C115D3">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[6]庞瑞康.朱琏兴奋Ⅱ型针法治疗肾虚型腰痛的临床观察[D].广西中医药大学,2022.</w:t>
      </w:r>
    </w:p>
    <w:p w14:paraId="726EF932">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[7]甘小凤.朱琏针灸流派的整理与研究[D].广西中医药大学,2022.</w:t>
      </w:r>
    </w:p>
    <w:p w14:paraId="265AE030">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[8]毛佳楠,王莉灵,罗伟,等.朱琏针刺手法的研究概况[J].湖南中医杂志,2021,37(11):220-223.</w:t>
      </w:r>
    </w:p>
    <w:p w14:paraId="07575002">
      <w:pPr>
        <w:keepNext w:val="0"/>
        <w:keepLines w:val="0"/>
        <w:pageBreakBefore w:val="0"/>
        <w:widowControl w:val="0"/>
        <w:kinsoku/>
        <w:wordWrap/>
        <w:overflowPunct/>
        <w:topLinePunct w:val="0"/>
        <w:bidi w:val="0"/>
        <w:adjustRightInd/>
        <w:snapToGrid/>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[9]贺彩,范郁山.范郁山朱琏针法发挥[J].中医药导报,2020,26(13):185-186+198.</w:t>
      </w:r>
    </w:p>
    <w:p w14:paraId="3BA5038A">
      <w:pPr>
        <w:keepNext w:val="0"/>
        <w:keepLines w:val="0"/>
        <w:pageBreakBefore w:val="0"/>
        <w:widowControl w:val="0"/>
        <w:kinsoku/>
        <w:wordWrap/>
        <w:overflowPunct/>
        <w:topLinePunct w:val="0"/>
        <w:bidi w:val="0"/>
        <w:adjustRightInd/>
        <w:snapToGrid/>
        <w:spacing w:line="510" w:lineRule="exact"/>
        <w:ind w:firstLine="562" w:firstLineChars="200"/>
        <w:textAlignment w:val="auto"/>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（三）研讨确定标准主体内容及标准创新点</w:t>
      </w:r>
    </w:p>
    <w:p w14:paraId="4485A26B">
      <w:pPr>
        <w:pStyle w:val="30"/>
        <w:keepNext w:val="0"/>
        <w:keepLines w:val="0"/>
        <w:pageBreakBefore w:val="0"/>
        <w:widowControl w:val="0"/>
        <w:kinsoku/>
        <w:wordWrap/>
        <w:overflowPunct/>
        <w:topLinePunct w:val="0"/>
        <w:bidi w:val="0"/>
        <w:adjustRightInd/>
        <w:snapToGrid/>
        <w:spacing w:line="510" w:lineRule="exact"/>
        <w:ind w:firstLine="56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标准编制工作组在对收集的资料进行整理研究之后，标准编制工作组召开了标准编制会议，对标准的整体框架结构进行了研究，并对标准的关键性内容进行了初步探讨。经过研究，标准的主体内容为人员要求、辨证分型、适应症和禁忌症、施术前准备、施术方法、施术后处理和注意事项的技术要求。</w:t>
      </w:r>
    </w:p>
    <w:p w14:paraId="4A719114">
      <w:pPr>
        <w:pStyle w:val="30"/>
        <w:keepNext w:val="0"/>
        <w:keepLines w:val="0"/>
        <w:pageBreakBefore w:val="0"/>
        <w:widowControl w:val="0"/>
        <w:kinsoku/>
        <w:wordWrap/>
        <w:overflowPunct/>
        <w:topLinePunct w:val="0"/>
        <w:bidi w:val="0"/>
        <w:adjustRightInd/>
        <w:snapToGrid/>
        <w:spacing w:line="510" w:lineRule="exact"/>
        <w:ind w:firstLine="560"/>
        <w:textAlignment w:val="auto"/>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标准创新点主要为</w:t>
      </w:r>
      <w:r>
        <w:rPr>
          <w:rFonts w:hint="eastAsia" w:ascii="仿宋_GB2312" w:eastAsia="仿宋_GB2312"/>
          <w:b w:val="0"/>
          <w:bCs w:val="0"/>
          <w:color w:val="auto"/>
          <w:sz w:val="28"/>
          <w:szCs w:val="28"/>
          <w:highlight w:val="none"/>
        </w:rPr>
        <w:t>：</w:t>
      </w:r>
    </w:p>
    <w:p w14:paraId="4983E79B">
      <w:pPr>
        <w:pStyle w:val="30"/>
        <w:keepNext w:val="0"/>
        <w:keepLines w:val="0"/>
        <w:pageBreakBefore w:val="0"/>
        <w:widowControl w:val="0"/>
        <w:numPr>
          <w:ilvl w:val="0"/>
          <w:numId w:val="7"/>
        </w:numPr>
        <w:kinsoku/>
        <w:wordWrap/>
        <w:overflowPunct/>
        <w:topLinePunct w:val="0"/>
        <w:bidi w:val="0"/>
        <w:adjustRightInd/>
        <w:snapToGrid/>
        <w:spacing w:line="510" w:lineRule="exact"/>
        <w:ind w:firstLine="560"/>
        <w:textAlignment w:val="auto"/>
        <w:rPr>
          <w:rFonts w:hint="default"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根据癌因性疲乏患者的症候将其证型分为气血亏虚证、气阴两虚证、脾肾阳虚证、正虚气郁证、正虚毒蕴证，并根据证型给出施针穴位，如气血亏虚证配穴选择</w:t>
      </w:r>
      <w:r>
        <w:rPr>
          <w:rFonts w:hint="eastAsia" w:ascii="仿宋" w:hAnsi="仿宋" w:eastAsia="仿宋"/>
          <w:b w:val="0"/>
          <w:bCs w:val="0"/>
          <w:color w:val="auto"/>
          <w:sz w:val="28"/>
          <w:szCs w:val="28"/>
          <w:highlight w:val="none"/>
        </w:rPr>
        <w:t>百会、气海、中脘、脾俞</w:t>
      </w:r>
      <w:r>
        <w:rPr>
          <w:rFonts w:hint="eastAsia" w:ascii="仿宋_GB2312" w:eastAsia="仿宋_GB2312"/>
          <w:color w:val="auto"/>
          <w:sz w:val="28"/>
          <w:szCs w:val="28"/>
          <w:highlight w:val="none"/>
          <w:lang w:val="en-US" w:eastAsia="zh-CN"/>
        </w:rPr>
        <w:t>等。</w:t>
      </w:r>
    </w:p>
    <w:p w14:paraId="5F8666F2">
      <w:pPr>
        <w:pStyle w:val="30"/>
        <w:keepNext w:val="0"/>
        <w:keepLines w:val="0"/>
        <w:pageBreakBefore w:val="0"/>
        <w:widowControl w:val="0"/>
        <w:numPr>
          <w:ilvl w:val="0"/>
          <w:numId w:val="7"/>
        </w:numPr>
        <w:kinsoku/>
        <w:wordWrap/>
        <w:overflowPunct/>
        <w:topLinePunct w:val="0"/>
        <w:bidi w:val="0"/>
        <w:adjustRightInd/>
        <w:snapToGrid/>
        <w:spacing w:line="510" w:lineRule="exact"/>
        <w:ind w:left="0" w:leftChars="0" w:firstLine="560" w:firstLineChars="200"/>
        <w:textAlignment w:val="auto"/>
        <w:rPr>
          <w:rFonts w:hint="eastAsia" w:ascii="仿宋_GB2312" w:eastAsia="仿宋_GB2312" w:cs="仿宋_GB2312"/>
          <w:b w:val="0"/>
          <w:bCs/>
          <w:color w:val="auto"/>
          <w:sz w:val="28"/>
          <w:szCs w:val="28"/>
          <w:highlight w:val="none"/>
        </w:rPr>
      </w:pPr>
      <w:r>
        <w:rPr>
          <w:rFonts w:hint="eastAsia" w:ascii="仿宋_GB2312" w:eastAsia="仿宋_GB2312"/>
          <w:color w:val="auto"/>
          <w:sz w:val="28"/>
          <w:szCs w:val="28"/>
          <w:highlight w:val="none"/>
        </w:rPr>
        <w:t>朱琏兴奋Ⅱ型针法的</w:t>
      </w:r>
      <w:r>
        <w:rPr>
          <w:rFonts w:hint="eastAsia" w:ascii="仿宋_GB2312" w:eastAsia="仿宋_GB2312"/>
          <w:color w:val="auto"/>
          <w:sz w:val="28"/>
          <w:szCs w:val="28"/>
          <w:highlight w:val="none"/>
          <w:lang w:eastAsia="zh-CN"/>
        </w:rPr>
        <w:t>针刺操作</w:t>
      </w:r>
      <w:r>
        <w:rPr>
          <w:rFonts w:hint="eastAsia" w:ascii="仿宋_GB2312" w:eastAsia="仿宋_GB2312"/>
          <w:color w:val="auto"/>
          <w:sz w:val="28"/>
          <w:szCs w:val="28"/>
          <w:highlight w:val="none"/>
        </w:rPr>
        <w:t>：</w:t>
      </w:r>
      <w:r>
        <w:rPr>
          <w:rFonts w:hint="eastAsia" w:ascii="仿宋_GB2312" w:eastAsia="仿宋_GB2312" w:cs="仿宋_GB2312"/>
          <w:b w:val="0"/>
          <w:bCs/>
          <w:color w:val="auto"/>
          <w:sz w:val="28"/>
          <w:szCs w:val="28"/>
          <w:highlight w:val="none"/>
        </w:rPr>
        <w:t>选择合适的体位，对局部腧穴常规消毒后，采用快速刺入法进针，针尖对准穴位在1 s内刺入。针刺入皮肤后，以轻快、小幅度的行针手法捻针，将针往下插，状如雀啄。针进至肌肉层后，进行小幅度的指虚捻针（执针柄的手指稍为放松）。捻转时以顺时针与逆时针相结合，以顺时针捻转为主，捻转频率为120 r/min～180 r/min，待患者产生稍胀而舒适的感觉后，留针20 min。起针时，快速出针，用消毒棉签按压针孔。</w:t>
      </w:r>
    </w:p>
    <w:p w14:paraId="5B384D57">
      <w:pPr>
        <w:pStyle w:val="30"/>
        <w:keepNext w:val="0"/>
        <w:keepLines w:val="0"/>
        <w:pageBreakBefore w:val="0"/>
        <w:widowControl w:val="0"/>
        <w:numPr>
          <w:ilvl w:val="0"/>
          <w:numId w:val="7"/>
        </w:numPr>
        <w:kinsoku/>
        <w:wordWrap/>
        <w:overflowPunct/>
        <w:topLinePunct w:val="0"/>
        <w:bidi w:val="0"/>
        <w:adjustRightInd/>
        <w:snapToGrid/>
        <w:spacing w:line="510" w:lineRule="exact"/>
        <w:ind w:left="0" w:leftChars="0" w:firstLine="560" w:firstLineChars="200"/>
        <w:textAlignment w:val="auto"/>
        <w:rPr>
          <w:rFonts w:hint="eastAsia" w:ascii="仿宋_GB2312" w:eastAsia="仿宋_GB2312" w:cs="仿宋_GB2312"/>
          <w:b w:val="0"/>
          <w:bCs/>
          <w:color w:val="auto"/>
          <w:sz w:val="28"/>
          <w:szCs w:val="28"/>
          <w:highlight w:val="none"/>
          <w:lang w:eastAsia="zh-CN"/>
        </w:rPr>
      </w:pPr>
      <w:r>
        <w:rPr>
          <w:rFonts w:hint="eastAsia" w:ascii="仿宋_GB2312" w:eastAsia="仿宋_GB2312" w:cs="仿宋_GB2312"/>
          <w:b w:val="0"/>
          <w:bCs/>
          <w:color w:val="auto"/>
          <w:sz w:val="28"/>
          <w:szCs w:val="28"/>
          <w:highlight w:val="none"/>
          <w:lang w:val="en-US" w:eastAsia="zh-CN"/>
        </w:rPr>
        <w:t>癌因性疲乏属于慢性虚损性病症，留针时间20min，可更好的候气、守气，达到气至而效至的效果。</w:t>
      </w:r>
    </w:p>
    <w:p w14:paraId="107821BA">
      <w:pPr>
        <w:keepNext w:val="0"/>
        <w:keepLines w:val="0"/>
        <w:pageBreakBefore w:val="0"/>
        <w:widowControl w:val="0"/>
        <w:kinsoku/>
        <w:wordWrap/>
        <w:overflowPunct/>
        <w:topLinePunct w:val="0"/>
        <w:autoSpaceDE/>
        <w:autoSpaceDN/>
        <w:bidi w:val="0"/>
        <w:adjustRightInd/>
        <w:snapToGrid/>
        <w:spacing w:line="510" w:lineRule="exact"/>
        <w:ind w:firstLine="562" w:firstLineChars="200"/>
        <w:textAlignment w:val="auto"/>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（四）调研及形成草案、征求意见稿</w:t>
      </w:r>
    </w:p>
    <w:p w14:paraId="6BB28A20">
      <w:pPr>
        <w:keepNext w:val="0"/>
        <w:keepLines w:val="0"/>
        <w:pageBreakBefore w:val="0"/>
        <w:widowControl w:val="0"/>
        <w:kinsoku/>
        <w:wordWrap/>
        <w:overflowPunct/>
        <w:topLinePunct w:val="0"/>
        <w:autoSpaceDE/>
        <w:autoSpaceDN/>
        <w:bidi w:val="0"/>
        <w:adjustRightInd/>
        <w:snapToGrid/>
        <w:spacing w:line="510" w:lineRule="exact"/>
        <w:ind w:firstLine="560" w:firstLineChars="200"/>
        <w:textAlignment w:val="auto"/>
        <w:rPr>
          <w:rFonts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2025年1月，标准编制工作组查阅了大量的国内文献资料，对</w:t>
      </w:r>
      <w:r>
        <w:rPr>
          <w:rFonts w:hint="eastAsia" w:ascii="仿宋_GB2312" w:eastAsia="仿宋_GB2312"/>
          <w:color w:val="auto"/>
          <w:sz w:val="28"/>
          <w:szCs w:val="28"/>
          <w:highlight w:val="none"/>
        </w:rPr>
        <w:t>癌因性疲乏朱琏兴奋Ⅱ型针法技术</w:t>
      </w:r>
      <w:r>
        <w:rPr>
          <w:rFonts w:hint="eastAsia" w:ascii="仿宋_GB2312" w:eastAsia="仿宋_GB2312"/>
          <w:color w:val="auto"/>
          <w:kern w:val="0"/>
          <w:sz w:val="28"/>
          <w:szCs w:val="28"/>
          <w:highlight w:val="none"/>
        </w:rPr>
        <w:t>相关的文件进行系统总结。形成了标准的基本构架，对主要内容进行了讨论并对项目的工作进行了部署和安排。</w:t>
      </w:r>
    </w:p>
    <w:p w14:paraId="3B69D840">
      <w:pPr>
        <w:keepNext w:val="0"/>
        <w:keepLines w:val="0"/>
        <w:pageBreakBefore w:val="0"/>
        <w:widowControl w:val="0"/>
        <w:kinsoku/>
        <w:wordWrap/>
        <w:overflowPunct/>
        <w:topLinePunct w:val="0"/>
        <w:autoSpaceDE/>
        <w:autoSpaceDN/>
        <w:bidi w:val="0"/>
        <w:adjustRightInd/>
        <w:snapToGrid/>
        <w:spacing w:line="510" w:lineRule="exact"/>
        <w:ind w:firstLine="560" w:firstLineChars="200"/>
        <w:textAlignment w:val="auto"/>
        <w:rPr>
          <w:color w:val="auto"/>
          <w:sz w:val="28"/>
          <w:szCs w:val="28"/>
          <w:highlight w:val="none"/>
        </w:rPr>
      </w:pPr>
      <w:r>
        <w:rPr>
          <w:rFonts w:hint="eastAsia" w:ascii="仿宋_GB2312" w:eastAsia="仿宋_GB2312"/>
          <w:color w:val="auto"/>
          <w:kern w:val="0"/>
          <w:sz w:val="28"/>
          <w:szCs w:val="28"/>
          <w:highlight w:val="none"/>
        </w:rPr>
        <w:t>2025年2月，团体标准《癌因性疲乏朱琏兴奋Ⅱ型针法技术操作规范》</w:t>
      </w:r>
      <w:r>
        <w:rPr>
          <w:rFonts w:hint="eastAsia" w:ascii="仿宋_GB2312" w:hAnsi="宋体" w:eastAsia="仿宋_GB2312"/>
          <w:color w:val="auto"/>
          <w:sz w:val="28"/>
          <w:szCs w:val="28"/>
          <w:highlight w:val="none"/>
        </w:rPr>
        <w:t>获批立项</w:t>
      </w:r>
      <w:r>
        <w:rPr>
          <w:rFonts w:hint="eastAsia" w:ascii="仿宋_GB2312" w:eastAsia="仿宋_GB2312"/>
          <w:color w:val="auto"/>
          <w:kern w:val="0"/>
          <w:sz w:val="28"/>
          <w:szCs w:val="28"/>
          <w:highlight w:val="none"/>
        </w:rPr>
        <w:t>，在前期工作的基础之上，通过理清逻辑脉络，整合已有参考资料中有关</w:t>
      </w:r>
      <w:r>
        <w:rPr>
          <w:rFonts w:hint="eastAsia" w:ascii="仿宋_GB2312" w:eastAsia="仿宋_GB2312"/>
          <w:color w:val="auto"/>
          <w:sz w:val="28"/>
          <w:szCs w:val="28"/>
          <w:highlight w:val="none"/>
        </w:rPr>
        <w:t>癌因性疲乏朱琏兴奋Ⅱ型针法操作</w:t>
      </w:r>
      <w:r>
        <w:rPr>
          <w:rFonts w:hint="eastAsia" w:ascii="仿宋_GB2312" w:eastAsia="仿宋_GB2312"/>
          <w:color w:val="auto"/>
          <w:kern w:val="0"/>
          <w:sz w:val="28"/>
          <w:szCs w:val="28"/>
          <w:highlight w:val="none"/>
        </w:rPr>
        <w:t>的要求，并在目前</w:t>
      </w:r>
      <w:r>
        <w:rPr>
          <w:rFonts w:hint="eastAsia" w:ascii="仿宋_GB2312" w:eastAsia="仿宋_GB2312"/>
          <w:color w:val="auto"/>
          <w:sz w:val="28"/>
          <w:szCs w:val="28"/>
          <w:highlight w:val="none"/>
        </w:rPr>
        <w:t>癌因性疲乏朱琏兴奋Ⅱ型针法</w:t>
      </w:r>
      <w:r>
        <w:rPr>
          <w:rFonts w:hint="eastAsia" w:ascii="仿宋_GB2312" w:eastAsia="仿宋_GB2312"/>
          <w:color w:val="auto"/>
          <w:kern w:val="0"/>
          <w:sz w:val="28"/>
          <w:szCs w:val="28"/>
          <w:highlight w:val="none"/>
        </w:rPr>
        <w:t>实际操作的基础上，按照简化、统一等原则编制完成团体标准《癌因性疲乏朱琏兴奋Ⅱ型针法技术操作规范》（草案）。</w:t>
      </w:r>
    </w:p>
    <w:p w14:paraId="6699D502">
      <w:pPr>
        <w:keepNext w:val="0"/>
        <w:keepLines w:val="0"/>
        <w:pageBreakBefore w:val="0"/>
        <w:widowControl w:val="0"/>
        <w:kinsoku/>
        <w:wordWrap/>
        <w:overflowPunct/>
        <w:topLinePunct w:val="0"/>
        <w:autoSpaceDE/>
        <w:autoSpaceDN/>
        <w:bidi w:val="0"/>
        <w:adjustRightInd/>
        <w:snapToGrid/>
        <w:spacing w:line="510" w:lineRule="exact"/>
        <w:ind w:firstLine="560" w:firstLineChars="200"/>
        <w:textAlignment w:val="auto"/>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2025年5月，标准编制工作组深入各地实施癌因性疲乏朱琏兴奋Ⅱ型针法技术</w:t>
      </w:r>
      <w:r>
        <w:rPr>
          <w:rFonts w:hint="eastAsia" w:ascii="仿宋_GB2312" w:hAnsi="宋体" w:eastAsia="仿宋_GB2312"/>
          <w:color w:val="auto"/>
          <w:sz w:val="28"/>
          <w:szCs w:val="28"/>
          <w:highlight w:val="none"/>
        </w:rPr>
        <w:t>的有代表性的中医医院</w:t>
      </w:r>
      <w:r>
        <w:rPr>
          <w:rFonts w:hint="eastAsia" w:ascii="仿宋_GB2312" w:eastAsia="仿宋_GB2312"/>
          <w:color w:val="auto"/>
          <w:kern w:val="0"/>
          <w:sz w:val="28"/>
          <w:szCs w:val="28"/>
          <w:highlight w:val="none"/>
        </w:rPr>
        <w:t>进行实地调研，组织广西医科大学附属肿瘤医院、广西中医药大学、南宁市第七人民医院、南宁市中医医院、广西中医药大学第一附属医院、广西中医药大学附属瑞康医院、广西国际壮医医院、桂林医学院第二附属医院、柳州市中西医结合医院、贵港市中医医院、钦州市中医医院、桂林市中医医院、柳州市中医医院（柳州市壮医医院）等召开标准研讨会，收集反馈了大量意见，对标准草案进行了反复修改和研究讨论，掌握了癌因性疲乏朱琏兴奋Ⅱ型针法的基本情况以及要求，最终形成了</w:t>
      </w:r>
      <w:bookmarkStart w:id="0" w:name="_Hlk120181503"/>
      <w:r>
        <w:rPr>
          <w:rFonts w:hint="eastAsia" w:ascii="仿宋_GB2312" w:eastAsia="仿宋_GB2312"/>
          <w:color w:val="auto"/>
          <w:kern w:val="0"/>
          <w:sz w:val="28"/>
          <w:szCs w:val="28"/>
          <w:highlight w:val="none"/>
        </w:rPr>
        <w:t>团体标准《癌因性疲乏朱琏兴奋Ⅱ型针法技术操作规范》（征求意见稿）及其编制说明。</w:t>
      </w:r>
      <w:bookmarkEnd w:id="0"/>
    </w:p>
    <w:p w14:paraId="272330F5">
      <w:pPr>
        <w:keepNext w:val="0"/>
        <w:keepLines w:val="0"/>
        <w:pageBreakBefore w:val="0"/>
        <w:widowControl w:val="0"/>
        <w:kinsoku/>
        <w:wordWrap/>
        <w:overflowPunct/>
        <w:topLinePunct w:val="0"/>
        <w:bidi w:val="0"/>
        <w:spacing w:line="240" w:lineRule="auto"/>
        <w:jc w:val="center"/>
        <w:rPr>
          <w:rFonts w:hint="eastAsia" w:ascii="仿宋_GB2312" w:eastAsia="仿宋_GB2312"/>
          <w:color w:val="auto"/>
          <w:kern w:val="0"/>
          <w:sz w:val="28"/>
          <w:szCs w:val="28"/>
          <w:highlight w:val="none"/>
          <w:lang w:eastAsia="zh-CN"/>
        </w:rPr>
      </w:pPr>
      <w:r>
        <w:rPr>
          <w:rFonts w:hint="eastAsia" w:ascii="仿宋_GB2312" w:eastAsia="仿宋_GB2312"/>
          <w:color w:val="auto"/>
          <w:kern w:val="0"/>
          <w:sz w:val="28"/>
          <w:szCs w:val="28"/>
          <w:highlight w:val="none"/>
          <w:lang w:eastAsia="zh-CN"/>
        </w:rPr>
        <w:drawing>
          <wp:inline distT="0" distB="0" distL="114300" distR="114300">
            <wp:extent cx="4720590" cy="2933700"/>
            <wp:effectExtent l="0" t="0" r="3810" b="0"/>
            <wp:docPr id="1" name="图片 1" descr="267457354f63a789f9b71b1c64e45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67457354f63a789f9b71b1c64e45e7"/>
                    <pic:cNvPicPr>
                      <a:picLocks noChangeAspect="1"/>
                    </pic:cNvPicPr>
                  </pic:nvPicPr>
                  <pic:blipFill>
                    <a:blip r:embed="rId5"/>
                    <a:srcRect t="17126"/>
                    <a:stretch>
                      <a:fillRect/>
                    </a:stretch>
                  </pic:blipFill>
                  <pic:spPr>
                    <a:xfrm>
                      <a:off x="0" y="0"/>
                      <a:ext cx="4720590" cy="2933700"/>
                    </a:xfrm>
                    <a:prstGeom prst="rect">
                      <a:avLst/>
                    </a:prstGeom>
                  </pic:spPr>
                </pic:pic>
              </a:graphicData>
            </a:graphic>
          </wp:inline>
        </w:drawing>
      </w:r>
    </w:p>
    <w:p w14:paraId="1B69FFCF">
      <w:pPr>
        <w:keepNext w:val="0"/>
        <w:keepLines w:val="0"/>
        <w:pageBreakBefore w:val="0"/>
        <w:widowControl w:val="0"/>
        <w:kinsoku/>
        <w:wordWrap/>
        <w:overflowPunct/>
        <w:topLinePunct w:val="0"/>
        <w:bidi w:val="0"/>
        <w:spacing w:line="520" w:lineRule="exact"/>
        <w:jc w:val="center"/>
        <w:rPr>
          <w:rFonts w:hint="eastAsia" w:ascii="黑体" w:hAnsi="黑体" w:eastAsia="黑体" w:cs="黑体"/>
          <w:color w:val="auto"/>
          <w:kern w:val="0"/>
          <w:sz w:val="21"/>
          <w:szCs w:val="21"/>
          <w:highlight w:val="none"/>
          <w:lang w:eastAsia="zh-CN"/>
        </w:rPr>
      </w:pPr>
      <w:r>
        <w:rPr>
          <w:rFonts w:hint="eastAsia" w:ascii="黑体" w:hAnsi="黑体" w:eastAsia="黑体" w:cs="黑体"/>
          <w:color w:val="auto"/>
          <w:kern w:val="0"/>
          <w:sz w:val="21"/>
          <w:szCs w:val="21"/>
          <w:highlight w:val="none"/>
        </w:rPr>
        <w:t>团体标准《癌因性疲乏朱琏兴奋Ⅱ型针法技术操作规范》</w:t>
      </w:r>
      <w:r>
        <w:rPr>
          <w:rFonts w:hint="eastAsia" w:ascii="黑体" w:hAnsi="黑体" w:eastAsia="黑体" w:cs="黑体"/>
          <w:color w:val="auto"/>
          <w:kern w:val="0"/>
          <w:sz w:val="21"/>
          <w:szCs w:val="21"/>
          <w:highlight w:val="none"/>
          <w:lang w:eastAsia="zh-CN"/>
        </w:rPr>
        <w:t>讨论会现场</w:t>
      </w:r>
    </w:p>
    <w:p w14:paraId="368D8BB0">
      <w:pPr>
        <w:keepNext w:val="0"/>
        <w:keepLines w:val="0"/>
        <w:pageBreakBefore w:val="0"/>
        <w:widowControl w:val="0"/>
        <w:kinsoku/>
        <w:wordWrap/>
        <w:overflowPunct/>
        <w:topLinePunct w:val="0"/>
        <w:autoSpaceDE w:val="0"/>
        <w:autoSpaceDN w:val="0"/>
        <w:bidi w:val="0"/>
        <w:adjustRightInd w:val="0"/>
        <w:spacing w:line="510" w:lineRule="exact"/>
        <w:ind w:firstLine="640" w:firstLineChars="200"/>
        <w:jc w:val="left"/>
        <w:textAlignment w:val="auto"/>
        <w:rPr>
          <w:rFonts w:ascii="黑体" w:eastAsia="黑体" w:cs="仿宋_GB2312"/>
          <w:color w:val="auto"/>
          <w:sz w:val="32"/>
          <w:szCs w:val="32"/>
          <w:highlight w:val="none"/>
        </w:rPr>
      </w:pPr>
      <w:r>
        <w:rPr>
          <w:rFonts w:hint="eastAsia" w:ascii="黑体" w:eastAsia="黑体" w:cs="仿宋_GB2312"/>
          <w:color w:val="auto"/>
          <w:sz w:val="32"/>
          <w:szCs w:val="32"/>
          <w:highlight w:val="none"/>
        </w:rPr>
        <w:t>四、制定标准的原则和依据，与现行法律、法规的关系，与有关国家标准、行业标准的协调情况</w:t>
      </w:r>
    </w:p>
    <w:p w14:paraId="6F34B03B">
      <w:pPr>
        <w:keepNext w:val="0"/>
        <w:keepLines w:val="0"/>
        <w:pageBreakBefore w:val="0"/>
        <w:widowControl w:val="0"/>
        <w:tabs>
          <w:tab w:val="center" w:pos="4201"/>
          <w:tab w:val="right" w:leader="dot" w:pos="9298"/>
        </w:tabs>
        <w:kinsoku/>
        <w:wordWrap/>
        <w:overflowPunct/>
        <w:topLinePunct w:val="0"/>
        <w:autoSpaceDE w:val="0"/>
        <w:autoSpaceDN w:val="0"/>
        <w:bidi w:val="0"/>
        <w:spacing w:line="510" w:lineRule="exact"/>
        <w:ind w:firstLine="562" w:firstLineChars="200"/>
        <w:textAlignment w:val="auto"/>
        <w:outlineLvl w:val="1"/>
        <w:rPr>
          <w:rFonts w:ascii="仿宋_GB2312" w:eastAsia="仿宋_GB2312"/>
          <w:b/>
          <w:bCs/>
          <w:color w:val="auto"/>
          <w:kern w:val="0"/>
          <w:sz w:val="28"/>
          <w:szCs w:val="28"/>
          <w:highlight w:val="none"/>
        </w:rPr>
      </w:pPr>
      <w:r>
        <w:rPr>
          <w:rFonts w:hint="eastAsia" w:ascii="仿宋_GB2312" w:eastAsia="仿宋_GB2312"/>
          <w:b/>
          <w:bCs/>
          <w:color w:val="auto"/>
          <w:kern w:val="0"/>
          <w:sz w:val="28"/>
          <w:szCs w:val="28"/>
          <w:highlight w:val="none"/>
        </w:rPr>
        <w:t>（一）编制原则</w:t>
      </w:r>
    </w:p>
    <w:p w14:paraId="5359CAB5">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color w:val="auto"/>
          <w:sz w:val="28"/>
          <w:szCs w:val="28"/>
          <w:highlight w:val="none"/>
        </w:rPr>
      </w:pPr>
      <w:r>
        <w:rPr>
          <w:rFonts w:hint="eastAsia" w:ascii="仿宋_GB2312" w:eastAsia="仿宋_GB2312"/>
          <w:b/>
          <w:color w:val="auto"/>
          <w:sz w:val="28"/>
          <w:szCs w:val="28"/>
          <w:highlight w:val="none"/>
        </w:rPr>
        <w:t>1. 实用性原则</w:t>
      </w:r>
    </w:p>
    <w:p w14:paraId="36C26496">
      <w:pPr>
        <w:keepNext w:val="0"/>
        <w:keepLines w:val="0"/>
        <w:pageBreakBefore w:val="0"/>
        <w:widowControl w:val="0"/>
        <w:kinsoku/>
        <w:wordWrap/>
        <w:overflowPunct/>
        <w:topLinePunct w:val="0"/>
        <w:bidi w:val="0"/>
        <w:spacing w:line="510" w:lineRule="exact"/>
        <w:ind w:firstLine="560" w:firstLineChars="200"/>
        <w:textAlignment w:val="auto"/>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本标准是在充分收集国内外相关资料和文献、调研分析</w:t>
      </w:r>
      <w:r>
        <w:rPr>
          <w:rFonts w:hint="eastAsia" w:ascii="仿宋_GB2312" w:eastAsia="仿宋_GB2312"/>
          <w:color w:val="auto"/>
          <w:kern w:val="0"/>
          <w:sz w:val="28"/>
          <w:szCs w:val="28"/>
          <w:highlight w:val="none"/>
        </w:rPr>
        <w:t>癌因性疲乏朱琏兴奋Ⅱ型针法</w:t>
      </w:r>
      <w:r>
        <w:rPr>
          <w:rFonts w:hint="eastAsia" w:ascii="仿宋_GB2312" w:eastAsia="仿宋_GB2312" w:cs="仿宋"/>
          <w:color w:val="auto"/>
          <w:sz w:val="28"/>
          <w:szCs w:val="28"/>
          <w:highlight w:val="none"/>
        </w:rPr>
        <w:t>现状，结合起草单位前期研究工作取得的研究成果及积累的中医实践经验，并借鉴国内</w:t>
      </w:r>
      <w:r>
        <w:rPr>
          <w:rFonts w:hint="eastAsia" w:ascii="仿宋_GB2312" w:eastAsia="仿宋_GB2312"/>
          <w:color w:val="auto"/>
          <w:kern w:val="0"/>
          <w:sz w:val="28"/>
          <w:szCs w:val="28"/>
          <w:highlight w:val="none"/>
        </w:rPr>
        <w:t>癌因性疲乏朱琏兴奋Ⅱ型针法</w:t>
      </w:r>
      <w:r>
        <w:rPr>
          <w:rFonts w:hint="eastAsia" w:ascii="仿宋_GB2312" w:eastAsia="仿宋_GB2312" w:cs="仿宋"/>
          <w:color w:val="auto"/>
          <w:sz w:val="28"/>
          <w:szCs w:val="28"/>
          <w:highlight w:val="none"/>
        </w:rPr>
        <w:t>进行总结起草的，符合工作实际，利于</w:t>
      </w:r>
      <w:r>
        <w:rPr>
          <w:rFonts w:hint="eastAsia" w:ascii="仿宋_GB2312" w:eastAsia="仿宋_GB2312"/>
          <w:color w:val="auto"/>
          <w:kern w:val="0"/>
          <w:sz w:val="28"/>
          <w:szCs w:val="28"/>
          <w:highlight w:val="none"/>
        </w:rPr>
        <w:t>癌因性疲乏朱琏兴奋Ⅱ型针法技术</w:t>
      </w:r>
      <w:r>
        <w:rPr>
          <w:rFonts w:hint="eastAsia" w:ascii="仿宋_GB2312" w:eastAsia="仿宋_GB2312" w:cs="仿宋"/>
          <w:color w:val="auto"/>
          <w:sz w:val="28"/>
          <w:szCs w:val="28"/>
          <w:highlight w:val="none"/>
        </w:rPr>
        <w:t>的实施与推广，具有可操作性和实用性。</w:t>
      </w:r>
    </w:p>
    <w:p w14:paraId="5A99985F">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color w:val="auto"/>
          <w:sz w:val="28"/>
          <w:szCs w:val="28"/>
          <w:highlight w:val="none"/>
        </w:rPr>
      </w:pPr>
      <w:r>
        <w:rPr>
          <w:rFonts w:hint="eastAsia" w:ascii="仿宋_GB2312" w:eastAsia="仿宋_GB2312"/>
          <w:b/>
          <w:color w:val="auto"/>
          <w:sz w:val="28"/>
          <w:szCs w:val="28"/>
          <w:highlight w:val="none"/>
        </w:rPr>
        <w:t>2. 协调性原则</w:t>
      </w:r>
    </w:p>
    <w:p w14:paraId="51775219">
      <w:pPr>
        <w:keepNext w:val="0"/>
        <w:keepLines w:val="0"/>
        <w:pageBreakBefore w:val="0"/>
        <w:widowControl w:val="0"/>
        <w:kinsoku/>
        <w:wordWrap/>
        <w:overflowPunct/>
        <w:topLinePunct w:val="0"/>
        <w:bidi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本文件编写过程中注意了与</w:t>
      </w:r>
      <w:r>
        <w:rPr>
          <w:rFonts w:hint="eastAsia" w:ascii="仿宋_GB2312" w:eastAsia="仿宋_GB2312"/>
          <w:color w:val="auto"/>
          <w:kern w:val="0"/>
          <w:sz w:val="28"/>
          <w:szCs w:val="28"/>
          <w:highlight w:val="none"/>
        </w:rPr>
        <w:t>癌因性疲乏朱琏兴奋Ⅱ型针法技术</w:t>
      </w:r>
      <w:r>
        <w:rPr>
          <w:rFonts w:hint="eastAsia" w:ascii="仿宋_GB2312" w:eastAsia="仿宋_GB2312"/>
          <w:color w:val="auto"/>
          <w:sz w:val="28"/>
          <w:szCs w:val="28"/>
          <w:highlight w:val="none"/>
        </w:rPr>
        <w:t>相关法律法规的协调问题，在内容上与现行法律法规、标准协调一致。</w:t>
      </w:r>
    </w:p>
    <w:p w14:paraId="69955DE6">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color w:val="auto"/>
          <w:sz w:val="28"/>
          <w:szCs w:val="28"/>
          <w:highlight w:val="none"/>
        </w:rPr>
      </w:pPr>
      <w:r>
        <w:rPr>
          <w:rFonts w:hint="eastAsia" w:ascii="仿宋_GB2312" w:eastAsia="仿宋_GB2312"/>
          <w:b/>
          <w:color w:val="auto"/>
          <w:sz w:val="28"/>
          <w:szCs w:val="28"/>
          <w:highlight w:val="none"/>
        </w:rPr>
        <w:t>3. 规范性原则</w:t>
      </w:r>
    </w:p>
    <w:p w14:paraId="22403213">
      <w:pPr>
        <w:keepNext w:val="0"/>
        <w:keepLines w:val="0"/>
        <w:pageBreakBefore w:val="0"/>
        <w:widowControl w:val="0"/>
        <w:kinsoku/>
        <w:wordWrap/>
        <w:overflowPunct/>
        <w:topLinePunct w:val="0"/>
        <w:bidi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本文件严格按照GB/T 1.1—2020《标准化工作导则  第1部分：标准化文件的结构和起草规则》编写本标准的内容，保证标准的编写质量。</w:t>
      </w:r>
    </w:p>
    <w:p w14:paraId="13CDBD80">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color w:val="auto"/>
          <w:sz w:val="28"/>
          <w:szCs w:val="28"/>
          <w:highlight w:val="none"/>
        </w:rPr>
      </w:pPr>
      <w:r>
        <w:rPr>
          <w:rFonts w:hint="eastAsia" w:ascii="仿宋_GB2312" w:eastAsia="仿宋_GB2312"/>
          <w:b/>
          <w:color w:val="auto"/>
          <w:sz w:val="28"/>
          <w:szCs w:val="28"/>
          <w:highlight w:val="none"/>
        </w:rPr>
        <w:t>4. 前瞻性原则</w:t>
      </w:r>
    </w:p>
    <w:p w14:paraId="56EB8CA0">
      <w:pPr>
        <w:keepNext w:val="0"/>
        <w:keepLines w:val="0"/>
        <w:pageBreakBefore w:val="0"/>
        <w:widowControl w:val="0"/>
        <w:kinsoku/>
        <w:wordWrap/>
        <w:overflowPunct/>
        <w:topLinePunct w:val="0"/>
        <w:bidi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本文件在兼顾当前区内</w:t>
      </w:r>
      <w:r>
        <w:rPr>
          <w:rFonts w:hint="eastAsia" w:ascii="仿宋_GB2312" w:eastAsia="仿宋_GB2312"/>
          <w:color w:val="auto"/>
          <w:kern w:val="0"/>
          <w:sz w:val="28"/>
          <w:szCs w:val="28"/>
          <w:highlight w:val="none"/>
        </w:rPr>
        <w:t>癌因性疲乏朱琏兴奋Ⅱ型针法技术</w:t>
      </w:r>
      <w:r>
        <w:rPr>
          <w:rFonts w:hint="eastAsia" w:ascii="仿宋_GB2312" w:eastAsia="仿宋_GB2312"/>
          <w:color w:val="auto"/>
          <w:sz w:val="28"/>
          <w:szCs w:val="28"/>
          <w:highlight w:val="none"/>
        </w:rPr>
        <w:t>现实情况的同时，还考虑到了</w:t>
      </w:r>
      <w:r>
        <w:rPr>
          <w:rFonts w:hint="eastAsia" w:ascii="仿宋_GB2312" w:eastAsia="仿宋_GB2312"/>
          <w:color w:val="auto"/>
          <w:kern w:val="0"/>
          <w:sz w:val="28"/>
          <w:szCs w:val="28"/>
          <w:highlight w:val="none"/>
        </w:rPr>
        <w:t>癌因性疲乏朱琏兴奋Ⅱ型针法</w:t>
      </w:r>
      <w:r>
        <w:rPr>
          <w:rFonts w:hint="eastAsia" w:ascii="仿宋_GB2312" w:eastAsia="仿宋_GB2312"/>
          <w:color w:val="auto"/>
          <w:sz w:val="28"/>
          <w:szCs w:val="28"/>
          <w:highlight w:val="none"/>
        </w:rPr>
        <w:t>的需要，在标准中体现了个别特色性、前瞻性和先进性条款，作为对</w:t>
      </w:r>
      <w:r>
        <w:rPr>
          <w:rFonts w:hint="eastAsia" w:ascii="仿宋_GB2312" w:eastAsia="仿宋_GB2312"/>
          <w:color w:val="auto"/>
          <w:kern w:val="0"/>
          <w:sz w:val="28"/>
          <w:szCs w:val="28"/>
          <w:highlight w:val="none"/>
        </w:rPr>
        <w:t>癌因性疲乏朱琏兴奋Ⅱ型针法技术</w:t>
      </w:r>
      <w:r>
        <w:rPr>
          <w:rFonts w:hint="eastAsia" w:ascii="仿宋_GB2312" w:eastAsia="仿宋_GB2312"/>
          <w:color w:val="auto"/>
          <w:sz w:val="28"/>
          <w:szCs w:val="28"/>
          <w:highlight w:val="none"/>
        </w:rPr>
        <w:t>发展的指导。</w:t>
      </w:r>
    </w:p>
    <w:p w14:paraId="257EA7A6">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（二）编制依据</w:t>
      </w:r>
    </w:p>
    <w:p w14:paraId="06F256C3">
      <w:pPr>
        <w:keepNext w:val="0"/>
        <w:keepLines w:val="0"/>
        <w:pageBreakBefore w:val="0"/>
        <w:widowControl w:val="0"/>
        <w:kinsoku/>
        <w:wordWrap/>
        <w:overflowPunct/>
        <w:topLinePunct w:val="0"/>
        <w:bidi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highlight w:val="none"/>
        </w:rPr>
        <w:t>癌因性疲乏朱琏兴奋Ⅱ型针法技术</w:t>
      </w:r>
      <w:r>
        <w:rPr>
          <w:rFonts w:hint="eastAsia" w:ascii="仿宋_GB2312" w:eastAsia="仿宋_GB2312"/>
          <w:color w:val="auto"/>
          <w:sz w:val="28"/>
          <w:szCs w:val="28"/>
          <w:highlight w:val="none"/>
        </w:rPr>
        <w:t>研究应用过程中的实践经验确定。</w:t>
      </w:r>
    </w:p>
    <w:p w14:paraId="19F726F2">
      <w:pPr>
        <w:keepNext w:val="0"/>
        <w:keepLines w:val="0"/>
        <w:pageBreakBefore w:val="0"/>
        <w:widowControl w:val="0"/>
        <w:kinsoku/>
        <w:wordWrap/>
        <w:overflowPunct/>
        <w:topLinePunct w:val="0"/>
        <w:bidi w:val="0"/>
        <w:spacing w:line="510" w:lineRule="exact"/>
        <w:ind w:firstLine="562" w:firstLineChars="200"/>
        <w:textAlignment w:val="auto"/>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（三）与现行法律、法规的关系，与有关国家标准、行业标准的协调情况</w:t>
      </w:r>
    </w:p>
    <w:p w14:paraId="399DDCEB">
      <w:pPr>
        <w:keepNext w:val="0"/>
        <w:keepLines w:val="0"/>
        <w:pageBreakBefore w:val="0"/>
        <w:widowControl w:val="0"/>
        <w:kinsoku/>
        <w:wordWrap/>
        <w:overflowPunct/>
        <w:topLinePunct w:val="0"/>
        <w:bidi w:val="0"/>
        <w:adjustRightInd w:val="0"/>
        <w:snapToGrid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经查询，国内暂无与“癌因性疲乏朱琏兴奋Ⅱ型针法技术”的相关标准，团体标准《癌因性疲乏朱琏兴奋Ⅱ型针法技术操作规范》的制定实施将填补相关标准领域的空白。当前未制定有团体标准《癌因性疲乏朱琏兴奋Ⅱ型针法技术操作规范》。</w:t>
      </w:r>
    </w:p>
    <w:p w14:paraId="7830F663">
      <w:pPr>
        <w:keepNext w:val="0"/>
        <w:keepLines w:val="0"/>
        <w:pageBreakBefore w:val="0"/>
        <w:widowControl w:val="0"/>
        <w:kinsoku/>
        <w:wordWrap/>
        <w:overflowPunct/>
        <w:topLinePunct w:val="0"/>
        <w:bidi w:val="0"/>
        <w:adjustRightInd w:val="0"/>
        <w:snapToGrid w:val="0"/>
        <w:spacing w:line="510" w:lineRule="exact"/>
        <w:ind w:firstLine="560" w:firstLineChars="200"/>
        <w:textAlignment w:val="auto"/>
        <w:rPr>
          <w:rFonts w:ascii="仿宋_GB2312" w:eastAsia="仿宋_GB2312"/>
          <w:color w:val="auto"/>
          <w:sz w:val="28"/>
          <w:szCs w:val="28"/>
          <w:highlight w:val="none"/>
        </w:rPr>
      </w:pPr>
      <w:r>
        <w:rPr>
          <w:rFonts w:hint="eastAsia" w:ascii="仿宋_GB2312" w:eastAsia="仿宋_GB2312"/>
          <w:color w:val="auto"/>
          <w:sz w:val="28"/>
          <w:szCs w:val="28"/>
          <w:highlight w:val="none"/>
        </w:rPr>
        <w:t>本标准的内容与现行的法律、法规及强制性标准无冲突，标准的编写符合GB/T 1.1—2020的要求。</w:t>
      </w:r>
    </w:p>
    <w:p w14:paraId="09693E10">
      <w:pPr>
        <w:keepNext w:val="0"/>
        <w:keepLines w:val="0"/>
        <w:pageBreakBefore w:val="0"/>
        <w:widowControl w:val="0"/>
        <w:kinsoku/>
        <w:wordWrap/>
        <w:overflowPunct/>
        <w:topLinePunct w:val="0"/>
        <w:bidi w:val="0"/>
        <w:spacing w:before="240" w:after="60" w:line="510" w:lineRule="exact"/>
        <w:ind w:firstLine="640" w:firstLineChars="200"/>
        <w:jc w:val="left"/>
        <w:textAlignment w:val="auto"/>
        <w:outlineLvl w:val="0"/>
        <w:rPr>
          <w:rFonts w:ascii="黑体" w:eastAsia="黑体"/>
          <w:bCs/>
          <w:color w:val="auto"/>
          <w:sz w:val="32"/>
          <w:szCs w:val="32"/>
          <w:highlight w:val="none"/>
        </w:rPr>
      </w:pPr>
      <w:r>
        <w:rPr>
          <w:rFonts w:hint="eastAsia" w:ascii="黑体" w:eastAsia="黑体"/>
          <w:bCs/>
          <w:color w:val="auto"/>
          <w:sz w:val="32"/>
          <w:szCs w:val="32"/>
          <w:highlight w:val="none"/>
        </w:rPr>
        <w:t>五、主要条款的说明</w:t>
      </w:r>
    </w:p>
    <w:p w14:paraId="257E964C">
      <w:pPr>
        <w:pStyle w:val="30"/>
        <w:keepNext w:val="0"/>
        <w:keepLines w:val="0"/>
        <w:pageBreakBefore w:val="0"/>
        <w:widowControl w:val="0"/>
        <w:kinsoku/>
        <w:wordWrap/>
        <w:overflowPunct/>
        <w:topLinePunct w:val="0"/>
        <w:bidi w:val="0"/>
        <w:spacing w:line="510" w:lineRule="exact"/>
        <w:ind w:firstLine="562"/>
        <w:textAlignment w:val="auto"/>
        <w:rPr>
          <w:rFonts w:ascii="仿宋_GB2312" w:eastAsia="仿宋_GB2312" w:cs="仿宋"/>
          <w:bCs/>
          <w:color w:val="auto"/>
          <w:sz w:val="28"/>
          <w:szCs w:val="28"/>
          <w:highlight w:val="none"/>
        </w:rPr>
      </w:pPr>
      <w:r>
        <w:rPr>
          <w:rFonts w:hint="eastAsia" w:ascii="仿宋_GB2312" w:eastAsia="仿宋_GB2312" w:cs="仿宋"/>
          <w:b/>
          <w:bCs/>
          <w:color w:val="auto"/>
          <w:sz w:val="28"/>
          <w:szCs w:val="28"/>
          <w:highlight w:val="none"/>
        </w:rPr>
        <w:t>标准技术内容界定了</w:t>
      </w:r>
      <w:r>
        <w:rPr>
          <w:rFonts w:hint="eastAsia" w:ascii="仿宋_GB2312" w:eastAsia="仿宋_GB2312" w:cs="仿宋"/>
          <w:color w:val="auto"/>
          <w:sz w:val="28"/>
          <w:szCs w:val="28"/>
          <w:highlight w:val="none"/>
        </w:rPr>
        <w:t>癌因性疲乏朱琏兴奋Ⅱ型针法技术操作的术语和定义，人员要求、评估、施术前准备、施术方法、施术后处理和注意事项的要求</w:t>
      </w:r>
      <w:r>
        <w:rPr>
          <w:rFonts w:hint="eastAsia" w:ascii="仿宋_GB2312" w:eastAsia="仿宋_GB2312" w:cs="仿宋"/>
          <w:bCs/>
          <w:color w:val="auto"/>
          <w:sz w:val="28"/>
          <w:szCs w:val="28"/>
          <w:highlight w:val="none"/>
        </w:rPr>
        <w:t>。</w:t>
      </w:r>
      <w:r>
        <w:rPr>
          <w:rFonts w:hint="eastAsia" w:ascii="仿宋_GB2312" w:eastAsia="仿宋_GB2312" w:cs="仿宋"/>
          <w:bCs/>
          <w:color w:val="auto"/>
          <w:sz w:val="28"/>
          <w:szCs w:val="28"/>
          <w:highlight w:val="none"/>
        </w:rPr>
        <w:t>广西医科大学附属肿瘤医院自2022年9月开始从事癌因性疲乏朱琏兴奋Ⅱ型针法技术。每年应用朱琏兴奋Ⅱ型针法技术治疗癌因性疲乏1500例左右，取得的治疗效果有：改善</w:t>
      </w:r>
      <w:r>
        <w:rPr>
          <w:rFonts w:hint="eastAsia" w:ascii="仿宋_GB2312" w:eastAsia="仿宋_GB2312" w:cs="仿宋"/>
          <w:bCs/>
          <w:color w:val="auto"/>
          <w:sz w:val="28"/>
          <w:szCs w:val="28"/>
          <w:highlight w:val="none"/>
          <w:lang w:val="en-US" w:eastAsia="zh-CN"/>
        </w:rPr>
        <w:t>了癌因性疲乏患者的</w:t>
      </w:r>
      <w:r>
        <w:rPr>
          <w:rFonts w:hint="eastAsia" w:ascii="仿宋_GB2312" w:eastAsia="仿宋_GB2312" w:cs="仿宋"/>
          <w:bCs/>
          <w:color w:val="auto"/>
          <w:sz w:val="28"/>
          <w:szCs w:val="28"/>
          <w:highlight w:val="none"/>
        </w:rPr>
        <w:t>疲劳的程度、</w:t>
      </w:r>
      <w:r>
        <w:rPr>
          <w:rFonts w:hint="eastAsia" w:ascii="仿宋_GB2312" w:eastAsia="仿宋_GB2312" w:cs="仿宋"/>
          <w:bCs/>
          <w:color w:val="auto"/>
          <w:sz w:val="28"/>
          <w:szCs w:val="28"/>
          <w:highlight w:val="none"/>
          <w:lang w:val="en-US" w:eastAsia="zh-CN"/>
        </w:rPr>
        <w:t>提高</w:t>
      </w:r>
      <w:r>
        <w:rPr>
          <w:rFonts w:hint="eastAsia" w:ascii="仿宋_GB2312" w:eastAsia="仿宋_GB2312" w:cs="仿宋"/>
          <w:bCs/>
          <w:color w:val="auto"/>
          <w:sz w:val="28"/>
          <w:szCs w:val="28"/>
          <w:highlight w:val="none"/>
        </w:rPr>
        <w:t>运动耐力、改善精神状态</w:t>
      </w:r>
      <w:r>
        <w:rPr>
          <w:rFonts w:hint="eastAsia" w:ascii="仿宋_GB2312" w:eastAsia="仿宋_GB2312" w:cs="仿宋"/>
          <w:bCs/>
          <w:color w:val="auto"/>
          <w:sz w:val="28"/>
          <w:szCs w:val="28"/>
          <w:highlight w:val="none"/>
          <w:lang w:val="en-US" w:eastAsia="zh-CN"/>
        </w:rPr>
        <w:t>及</w:t>
      </w:r>
      <w:r>
        <w:rPr>
          <w:rFonts w:hint="eastAsia" w:ascii="仿宋_GB2312" w:eastAsia="仿宋_GB2312" w:cs="仿宋"/>
          <w:bCs/>
          <w:color w:val="auto"/>
          <w:sz w:val="28"/>
          <w:szCs w:val="28"/>
          <w:highlight w:val="none"/>
        </w:rPr>
        <w:t>睡眠质量、提高免疫力抵抗力、</w:t>
      </w:r>
      <w:r>
        <w:rPr>
          <w:rFonts w:hint="eastAsia" w:ascii="仿宋_GB2312" w:eastAsia="仿宋_GB2312" w:cs="仿宋"/>
          <w:bCs/>
          <w:color w:val="auto"/>
          <w:sz w:val="28"/>
          <w:szCs w:val="28"/>
          <w:highlight w:val="none"/>
          <w:lang w:val="en-US" w:eastAsia="zh-CN"/>
        </w:rPr>
        <w:t>缓解</w:t>
      </w:r>
      <w:r>
        <w:rPr>
          <w:rFonts w:hint="eastAsia" w:ascii="仿宋_GB2312" w:eastAsia="仿宋_GB2312" w:cs="仿宋"/>
          <w:bCs/>
          <w:color w:val="auto"/>
          <w:sz w:val="28"/>
          <w:szCs w:val="28"/>
          <w:highlight w:val="none"/>
        </w:rPr>
        <w:t>焦虑抑郁情绪、</w:t>
      </w:r>
      <w:r>
        <w:rPr>
          <w:rFonts w:hint="eastAsia" w:ascii="仿宋_GB2312" w:eastAsia="仿宋_GB2312" w:cs="仿宋"/>
          <w:bCs/>
          <w:color w:val="auto"/>
          <w:sz w:val="28"/>
          <w:szCs w:val="28"/>
          <w:highlight w:val="none"/>
          <w:lang w:val="en-US" w:eastAsia="zh-CN"/>
        </w:rPr>
        <w:t>使患者</w:t>
      </w:r>
      <w:r>
        <w:rPr>
          <w:rFonts w:hint="eastAsia" w:ascii="仿宋_GB2312" w:eastAsia="仿宋_GB2312" w:cs="仿宋"/>
          <w:bCs/>
          <w:color w:val="auto"/>
          <w:sz w:val="28"/>
          <w:szCs w:val="28"/>
          <w:highlight w:val="none"/>
        </w:rPr>
        <w:t>心理状态更稳定、增强了</w:t>
      </w:r>
      <w:r>
        <w:rPr>
          <w:rFonts w:hint="eastAsia" w:ascii="仿宋_GB2312" w:eastAsia="仿宋_GB2312" w:cs="仿宋"/>
          <w:bCs/>
          <w:color w:val="auto"/>
          <w:sz w:val="28"/>
          <w:szCs w:val="28"/>
          <w:highlight w:val="none"/>
          <w:lang w:val="en-US" w:eastAsia="zh-CN"/>
        </w:rPr>
        <w:t>患者</w:t>
      </w:r>
      <w:r>
        <w:rPr>
          <w:rFonts w:hint="eastAsia" w:ascii="仿宋_GB2312" w:eastAsia="仿宋_GB2312" w:cs="仿宋"/>
          <w:bCs/>
          <w:color w:val="auto"/>
          <w:sz w:val="28"/>
          <w:szCs w:val="28"/>
          <w:highlight w:val="none"/>
        </w:rPr>
        <w:t>对生活的信心，提高了</w:t>
      </w:r>
      <w:r>
        <w:rPr>
          <w:rFonts w:hint="eastAsia" w:ascii="仿宋_GB2312" w:eastAsia="仿宋_GB2312" w:cs="仿宋"/>
          <w:bCs/>
          <w:color w:val="auto"/>
          <w:sz w:val="28"/>
          <w:szCs w:val="28"/>
          <w:highlight w:val="none"/>
          <w:lang w:val="en-US" w:eastAsia="zh-CN"/>
        </w:rPr>
        <w:t>他们的</w:t>
      </w:r>
      <w:r>
        <w:rPr>
          <w:rFonts w:hint="eastAsia" w:ascii="仿宋_GB2312" w:eastAsia="仿宋_GB2312" w:cs="仿宋"/>
          <w:bCs/>
          <w:color w:val="auto"/>
          <w:sz w:val="28"/>
          <w:szCs w:val="28"/>
          <w:highlight w:val="none"/>
        </w:rPr>
        <w:t>生活质量。</w:t>
      </w:r>
    </w:p>
    <w:p w14:paraId="0458BB14">
      <w:pPr>
        <w:pStyle w:val="30"/>
        <w:keepNext w:val="0"/>
        <w:keepLines w:val="0"/>
        <w:pageBreakBefore w:val="0"/>
        <w:widowControl w:val="0"/>
        <w:kinsoku/>
        <w:wordWrap/>
        <w:overflowPunct/>
        <w:topLinePunct w:val="0"/>
        <w:bidi w:val="0"/>
        <w:spacing w:line="510" w:lineRule="exact"/>
        <w:ind w:firstLine="0" w:firstLineChars="0"/>
        <w:textAlignment w:val="auto"/>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（一）术语和定义</w:t>
      </w:r>
    </w:p>
    <w:p w14:paraId="5B0D9D18">
      <w:pPr>
        <w:pStyle w:val="30"/>
        <w:keepNext w:val="0"/>
        <w:keepLines w:val="0"/>
        <w:pageBreakBefore w:val="0"/>
        <w:widowControl w:val="0"/>
        <w:kinsoku/>
        <w:wordWrap/>
        <w:overflowPunct/>
        <w:topLinePunct w:val="0"/>
        <w:bidi w:val="0"/>
        <w:spacing w:line="510" w:lineRule="exact"/>
        <w:ind w:firstLine="562"/>
        <w:textAlignment w:val="auto"/>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lang w:val="en-US" w:eastAsia="zh-CN"/>
        </w:rPr>
        <w:t xml:space="preserve">1. </w:t>
      </w:r>
      <w:r>
        <w:rPr>
          <w:rFonts w:hint="eastAsia" w:ascii="仿宋_GB2312" w:eastAsia="仿宋_GB2312" w:cs="仿宋"/>
          <w:b/>
          <w:color w:val="auto"/>
          <w:sz w:val="28"/>
          <w:szCs w:val="28"/>
          <w:highlight w:val="none"/>
        </w:rPr>
        <w:t>癌因性疲乏</w:t>
      </w:r>
    </w:p>
    <w:p w14:paraId="34508FB7">
      <w:pPr>
        <w:pStyle w:val="30"/>
        <w:keepNext w:val="0"/>
        <w:keepLines w:val="0"/>
        <w:pageBreakBefore w:val="0"/>
        <w:widowControl w:val="0"/>
        <w:kinsoku/>
        <w:wordWrap/>
        <w:overflowPunct/>
        <w:topLinePunct w:val="0"/>
        <w:bidi w:val="0"/>
        <w:spacing w:line="510" w:lineRule="exact"/>
        <w:ind w:firstLine="56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rPr>
        <w:t>中医将癌因性疲乏归属于“虚劳、虚损”的范畴，中医认为脏腑阴阳气血失常是引起癌病的重要因素，先天禀赋不足或久病不愈，癌毒的侵袭以及现代医学治疗手段的影响，使机体正气日渐亏虚，脏腑气血阴阳亏损，发为虚劳。针对该病的治疗，以补益气血、调和阴阳为主，兼顾补益脾肺肾、疏肝理气、化瘀解毒，扶正抑癌等治法。标准中癌因性疲乏的定义主要参考《癌症相关性疲乏诊断与治疗中国专家共识》并结合广西医科大学附属肿瘤医院等起草单位的工作实际</w:t>
      </w:r>
      <w:r>
        <w:rPr>
          <w:rFonts w:hint="eastAsia" w:ascii="仿宋_GB2312" w:eastAsia="仿宋_GB2312" w:cs="仿宋"/>
          <w:bCs/>
          <w:color w:val="auto"/>
          <w:sz w:val="28"/>
          <w:szCs w:val="28"/>
          <w:highlight w:val="none"/>
          <w:lang w:eastAsia="zh-CN"/>
        </w:rPr>
        <w:t>。</w:t>
      </w:r>
    </w:p>
    <w:p w14:paraId="11A62BD6">
      <w:pPr>
        <w:pStyle w:val="30"/>
        <w:keepNext w:val="0"/>
        <w:keepLines w:val="0"/>
        <w:pageBreakBefore w:val="0"/>
        <w:widowControl w:val="0"/>
        <w:kinsoku/>
        <w:wordWrap/>
        <w:overflowPunct/>
        <w:topLinePunct w:val="0"/>
        <w:bidi w:val="0"/>
        <w:ind w:firstLine="0" w:firstLineChars="0"/>
        <w:jc w:val="center"/>
        <w:rPr>
          <w:rFonts w:ascii="仿宋_GB2312" w:eastAsia="仿宋_GB2312" w:cs="仿宋"/>
          <w:bCs/>
          <w:color w:val="auto"/>
          <w:sz w:val="28"/>
          <w:szCs w:val="28"/>
          <w:highlight w:val="none"/>
        </w:rPr>
      </w:pPr>
      <w:r>
        <w:rPr>
          <w:color w:val="auto"/>
          <w:highlight w:val="none"/>
        </w:rPr>
        <w:drawing>
          <wp:inline distT="0" distB="0" distL="114300" distR="114300">
            <wp:extent cx="4673600" cy="617220"/>
            <wp:effectExtent l="9525" t="9525" r="22225" b="2095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6"/>
                    <a:stretch>
                      <a:fillRect/>
                    </a:stretch>
                  </pic:blipFill>
                  <pic:spPr>
                    <a:xfrm>
                      <a:off x="0" y="0"/>
                      <a:ext cx="4673600" cy="617220"/>
                    </a:xfrm>
                    <a:prstGeom prst="rect">
                      <a:avLst/>
                    </a:prstGeom>
                    <a:noFill/>
                    <a:ln>
                      <a:solidFill>
                        <a:schemeClr val="tx1"/>
                      </a:solidFill>
                    </a:ln>
                  </pic:spPr>
                </pic:pic>
              </a:graphicData>
            </a:graphic>
          </wp:inline>
        </w:drawing>
      </w:r>
    </w:p>
    <w:p w14:paraId="2EEC67BE">
      <w:pPr>
        <w:pStyle w:val="30"/>
        <w:keepNext w:val="0"/>
        <w:keepLines w:val="0"/>
        <w:pageBreakBefore w:val="0"/>
        <w:widowControl w:val="0"/>
        <w:kinsoku/>
        <w:wordWrap/>
        <w:overflowPunct/>
        <w:topLinePunct w:val="0"/>
        <w:bidi w:val="0"/>
        <w:spacing w:line="520" w:lineRule="exact"/>
        <w:ind w:firstLine="420"/>
        <w:jc w:val="center"/>
        <w:rPr>
          <w:rFonts w:hint="eastAsia" w:ascii="黑体" w:hAnsi="黑体" w:eastAsia="黑体" w:cs="黑体"/>
          <w:bCs/>
          <w:color w:val="auto"/>
          <w:szCs w:val="21"/>
          <w:highlight w:val="none"/>
        </w:rPr>
      </w:pPr>
      <w:r>
        <w:rPr>
          <w:rFonts w:hint="eastAsia" w:ascii="黑体" w:hAnsi="黑体" w:eastAsia="黑体" w:cs="黑体"/>
          <w:bCs/>
          <w:color w:val="auto"/>
          <w:szCs w:val="21"/>
          <w:highlight w:val="none"/>
        </w:rPr>
        <w:t>来源：癌症相关性疲乏诊断与治疗中国专家共识</w:t>
      </w:r>
    </w:p>
    <w:p w14:paraId="3E54A3F0">
      <w:pPr>
        <w:pStyle w:val="30"/>
        <w:keepNext w:val="0"/>
        <w:keepLines w:val="0"/>
        <w:pageBreakBefore w:val="0"/>
        <w:widowControl w:val="0"/>
        <w:kinsoku/>
        <w:wordWrap/>
        <w:overflowPunct/>
        <w:topLinePunct w:val="0"/>
        <w:bidi w:val="0"/>
        <w:spacing w:line="520" w:lineRule="exact"/>
        <w:ind w:firstLine="562"/>
        <w:rPr>
          <w:rFonts w:ascii="仿宋_GB2312" w:eastAsia="仿宋_GB2312" w:cs="仿宋"/>
          <w:b/>
          <w:color w:val="auto"/>
          <w:sz w:val="28"/>
          <w:szCs w:val="28"/>
          <w:highlight w:val="none"/>
        </w:rPr>
      </w:pPr>
      <w:r>
        <w:rPr>
          <w:rFonts w:hint="eastAsia" w:ascii="仿宋_GB2312" w:eastAsia="仿宋_GB2312"/>
          <w:b/>
          <w:color w:val="auto"/>
          <w:sz w:val="28"/>
          <w:szCs w:val="28"/>
          <w:highlight w:val="none"/>
          <w:lang w:val="en-US" w:eastAsia="zh-CN"/>
        </w:rPr>
        <w:t>2</w:t>
      </w:r>
      <w:r>
        <w:rPr>
          <w:rFonts w:hint="eastAsia" w:ascii="仿宋_GB2312" w:eastAsia="仿宋_GB2312"/>
          <w:b/>
          <w:color w:val="auto"/>
          <w:sz w:val="28"/>
          <w:szCs w:val="28"/>
          <w:highlight w:val="none"/>
        </w:rPr>
        <w:t xml:space="preserve">. </w:t>
      </w:r>
      <w:r>
        <w:rPr>
          <w:rFonts w:hint="eastAsia" w:ascii="仿宋_GB2312" w:eastAsia="仿宋_GB2312" w:cs="仿宋"/>
          <w:b/>
          <w:color w:val="auto"/>
          <w:sz w:val="28"/>
          <w:szCs w:val="28"/>
          <w:highlight w:val="none"/>
        </w:rPr>
        <w:t>朱琏兴奋Ⅱ型针法</w:t>
      </w:r>
    </w:p>
    <w:p w14:paraId="502205B4">
      <w:pPr>
        <w:pStyle w:val="30"/>
        <w:keepNext w:val="0"/>
        <w:keepLines w:val="0"/>
        <w:pageBreakBefore w:val="0"/>
        <w:widowControl w:val="0"/>
        <w:numPr>
          <w:ilvl w:val="0"/>
          <w:numId w:val="0"/>
        </w:numPr>
        <w:kinsoku/>
        <w:wordWrap/>
        <w:overflowPunct/>
        <w:topLinePunct w:val="0"/>
        <w:bidi w:val="0"/>
        <w:spacing w:line="520" w:lineRule="exact"/>
        <w:ind w:firstLine="560" w:firstLineChars="20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由广西针灸学术流派创始人朱琏以巴甫洛夫的高级神经活动学说为基础而创立的一种针灸手法，是朱琏兴奋型针法之一，该针法特点是进针速度快、刺激强度小、留针时间短，令患者产生稍胀且舒适或短暂的麻或触电样针感，以调节和激发神经系统，对处于抑制状态的机体或衰退的机能具有促进兴奋、缓解抑制的作用，对感觉、运动、分泌机能减退的疾病具有较好的治疗作用。该针法是朱琏针法的重要组成部分，在多种疾病治疗中应用广泛，且疗效显著。朱琏兴奋Ⅱ型针法的定义主要参考朱琏</w:t>
      </w:r>
      <w:r>
        <w:rPr>
          <w:rFonts w:hint="eastAsia" w:ascii="仿宋_GB2312" w:eastAsia="仿宋_GB2312" w:cs="仿宋"/>
          <w:bCs/>
          <w:color w:val="auto"/>
          <w:sz w:val="28"/>
          <w:szCs w:val="28"/>
          <w:highlight w:val="none"/>
          <w:lang w:eastAsia="zh-CN"/>
        </w:rPr>
        <w:t>的《新针灸学》</w:t>
      </w:r>
      <w:r>
        <w:rPr>
          <w:rFonts w:hint="eastAsia" w:ascii="仿宋_GB2312" w:eastAsia="仿宋_GB2312" w:cs="仿宋"/>
          <w:bCs/>
          <w:color w:val="auto"/>
          <w:sz w:val="28"/>
          <w:szCs w:val="28"/>
          <w:highlight w:val="none"/>
        </w:rPr>
        <w:t>并结合广西医科大学附属肿瘤医院等起草单位的工作实际而确定。</w:t>
      </w:r>
    </w:p>
    <w:p w14:paraId="2FAD9B46">
      <w:pPr>
        <w:pStyle w:val="30"/>
        <w:keepNext w:val="0"/>
        <w:keepLines w:val="0"/>
        <w:pageBreakBefore w:val="0"/>
        <w:widowControl w:val="0"/>
        <w:shd w:val="clear"/>
        <w:kinsoku/>
        <w:wordWrap/>
        <w:overflowPunct/>
        <w:topLinePunct w:val="0"/>
        <w:bidi w:val="0"/>
        <w:spacing w:line="240" w:lineRule="auto"/>
        <w:ind w:firstLine="0" w:firstLineChars="0"/>
        <w:jc w:val="center"/>
        <w:rPr>
          <w:rFonts w:hint="eastAsia" w:ascii="黑体" w:hAnsi="黑体" w:eastAsia="黑体" w:cs="黑体"/>
          <w:bCs/>
          <w:color w:val="auto"/>
          <w:szCs w:val="21"/>
          <w:highlight w:val="none"/>
        </w:rPr>
      </w:pPr>
      <w:r>
        <w:rPr>
          <w:rFonts w:hint="eastAsia" w:ascii="黑体" w:hAnsi="黑体" w:eastAsia="黑体" w:cs="黑体"/>
          <w:bCs/>
          <w:color w:val="auto"/>
          <w:szCs w:val="21"/>
          <w:highlight w:val="none"/>
        </w:rPr>
        <w:drawing>
          <wp:inline distT="0" distB="0" distL="114300" distR="114300">
            <wp:extent cx="5258435" cy="983615"/>
            <wp:effectExtent l="9525" t="9525" r="27940" b="16510"/>
            <wp:docPr id="2" name="图片 2" descr="a167887a0b452bd39570ba109aaca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167887a0b452bd39570ba109aaca94"/>
                    <pic:cNvPicPr>
                      <a:picLocks noChangeAspect="1"/>
                    </pic:cNvPicPr>
                  </pic:nvPicPr>
                  <pic:blipFill>
                    <a:blip r:embed="rId7"/>
                    <a:srcRect l="7516" b="32681"/>
                    <a:stretch>
                      <a:fillRect/>
                    </a:stretch>
                  </pic:blipFill>
                  <pic:spPr>
                    <a:xfrm>
                      <a:off x="0" y="0"/>
                      <a:ext cx="5258435" cy="983615"/>
                    </a:xfrm>
                    <a:prstGeom prst="rect">
                      <a:avLst/>
                    </a:prstGeom>
                    <a:ln>
                      <a:solidFill>
                        <a:schemeClr val="tx1"/>
                      </a:solidFill>
                    </a:ln>
                  </pic:spPr>
                </pic:pic>
              </a:graphicData>
            </a:graphic>
          </wp:inline>
        </w:drawing>
      </w:r>
    </w:p>
    <w:p w14:paraId="262C32C3">
      <w:pPr>
        <w:pStyle w:val="30"/>
        <w:keepNext w:val="0"/>
        <w:keepLines w:val="0"/>
        <w:pageBreakBefore w:val="0"/>
        <w:widowControl w:val="0"/>
        <w:shd w:val="clear"/>
        <w:kinsoku/>
        <w:wordWrap/>
        <w:overflowPunct/>
        <w:topLinePunct w:val="0"/>
        <w:bidi w:val="0"/>
        <w:spacing w:line="240" w:lineRule="auto"/>
        <w:ind w:firstLine="0" w:firstLineChars="0"/>
        <w:jc w:val="center"/>
        <w:rPr>
          <w:rFonts w:ascii="仿宋_GB2312" w:eastAsia="仿宋_GB2312" w:cs="仿宋"/>
          <w:bCs/>
          <w:color w:val="auto"/>
          <w:sz w:val="28"/>
          <w:szCs w:val="28"/>
          <w:highlight w:val="none"/>
        </w:rPr>
      </w:pPr>
      <w:r>
        <w:rPr>
          <w:rFonts w:hint="eastAsia" w:ascii="黑体" w:hAnsi="黑体" w:eastAsia="黑体" w:cs="黑体"/>
          <w:bCs/>
          <w:color w:val="auto"/>
          <w:szCs w:val="21"/>
          <w:highlight w:val="none"/>
        </w:rPr>
        <w:t>来源：朱琏.新针灸学[M].南宁：广西科学技术出版社，2008.</w:t>
      </w:r>
    </w:p>
    <w:p w14:paraId="08A42574">
      <w:pPr>
        <w:pStyle w:val="30"/>
        <w:keepNext w:val="0"/>
        <w:keepLines w:val="0"/>
        <w:pageBreakBefore w:val="0"/>
        <w:widowControl w:val="0"/>
        <w:kinsoku/>
        <w:wordWrap/>
        <w:overflowPunct/>
        <w:topLinePunct w:val="0"/>
        <w:bidi w:val="0"/>
        <w:spacing w:line="520" w:lineRule="exact"/>
        <w:ind w:firstLine="0" w:firstLineChars="0"/>
        <w:rPr>
          <w:rFonts w:ascii="仿宋_GB2312" w:eastAsia="仿宋_GB2312"/>
          <w:b/>
          <w:color w:val="auto"/>
          <w:sz w:val="28"/>
          <w:szCs w:val="28"/>
          <w:highlight w:val="none"/>
        </w:rPr>
      </w:pPr>
      <w:r>
        <w:rPr>
          <w:rFonts w:hint="eastAsia" w:ascii="仿宋_GB2312" w:eastAsia="仿宋_GB2312" w:cs="仿宋"/>
          <w:b/>
          <w:color w:val="auto"/>
          <w:sz w:val="28"/>
          <w:szCs w:val="28"/>
          <w:highlight w:val="none"/>
        </w:rPr>
        <w:t>（二）</w:t>
      </w:r>
      <w:bookmarkStart w:id="1" w:name="_Toc130001562"/>
      <w:bookmarkStart w:id="2" w:name="_Toc130001592"/>
      <w:bookmarkStart w:id="3" w:name="_Toc130001751"/>
      <w:bookmarkStart w:id="4" w:name="_Toc129855049"/>
      <w:bookmarkStart w:id="5" w:name="_Toc129855215"/>
      <w:r>
        <w:rPr>
          <w:rFonts w:hint="eastAsia" w:ascii="仿宋_GB2312" w:eastAsia="仿宋_GB2312" w:cs="仿宋"/>
          <w:b/>
          <w:color w:val="auto"/>
          <w:sz w:val="28"/>
          <w:szCs w:val="28"/>
          <w:highlight w:val="none"/>
        </w:rPr>
        <w:t>人员要求</w:t>
      </w:r>
    </w:p>
    <w:bookmarkEnd w:id="1"/>
    <w:bookmarkEnd w:id="2"/>
    <w:bookmarkEnd w:id="3"/>
    <w:bookmarkEnd w:id="4"/>
    <w:bookmarkEnd w:id="5"/>
    <w:p w14:paraId="1C3D98FA">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人员要求参考《GB/T 40973—2021 针灸门诊基本服务规范》并结合广西医科大学附属肿瘤医院等起草单位的工作实际，确定为：操作者应取得中医类别执业医师执业资格，经过相关培训并通过考核。</w:t>
      </w:r>
    </w:p>
    <w:p w14:paraId="02226D64">
      <w:pPr>
        <w:pStyle w:val="30"/>
        <w:keepNext w:val="0"/>
        <w:keepLines w:val="0"/>
        <w:pageBreakBefore w:val="0"/>
        <w:widowControl w:val="0"/>
        <w:kinsoku/>
        <w:wordWrap/>
        <w:overflowPunct/>
        <w:topLinePunct w:val="0"/>
        <w:bidi w:val="0"/>
        <w:ind w:firstLine="0" w:firstLineChars="0"/>
        <w:jc w:val="center"/>
        <w:rPr>
          <w:color w:val="auto"/>
          <w:highlight w:val="none"/>
        </w:rPr>
      </w:pPr>
      <w:r>
        <w:rPr>
          <w:color w:val="auto"/>
          <w:highlight w:val="none"/>
        </w:rPr>
        <w:drawing>
          <wp:inline distT="0" distB="0" distL="114300" distR="114300">
            <wp:extent cx="5687060" cy="960120"/>
            <wp:effectExtent l="9525" t="9525" r="18415" b="2095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8"/>
                    <a:stretch>
                      <a:fillRect/>
                    </a:stretch>
                  </pic:blipFill>
                  <pic:spPr>
                    <a:xfrm>
                      <a:off x="0" y="0"/>
                      <a:ext cx="5687060" cy="960120"/>
                    </a:xfrm>
                    <a:prstGeom prst="rect">
                      <a:avLst/>
                    </a:prstGeom>
                    <a:noFill/>
                    <a:ln>
                      <a:solidFill>
                        <a:schemeClr val="tx1"/>
                      </a:solidFill>
                    </a:ln>
                  </pic:spPr>
                </pic:pic>
              </a:graphicData>
            </a:graphic>
          </wp:inline>
        </w:drawing>
      </w:r>
    </w:p>
    <w:p w14:paraId="7DCB3C23">
      <w:pPr>
        <w:pStyle w:val="30"/>
        <w:keepNext w:val="0"/>
        <w:keepLines w:val="0"/>
        <w:pageBreakBefore w:val="0"/>
        <w:widowControl w:val="0"/>
        <w:kinsoku/>
        <w:wordWrap/>
        <w:overflowPunct/>
        <w:topLinePunct w:val="0"/>
        <w:bidi w:val="0"/>
        <w:spacing w:line="520" w:lineRule="exact"/>
        <w:ind w:firstLine="0" w:firstLineChars="0"/>
        <w:jc w:val="center"/>
        <w:rPr>
          <w:color w:val="auto"/>
          <w:highlight w:val="none"/>
        </w:rPr>
      </w:pPr>
      <w:r>
        <w:rPr>
          <w:rFonts w:hint="eastAsia" w:ascii="黑体" w:hAnsi="黑体" w:eastAsia="黑体" w:cs="黑体"/>
          <w:bCs/>
          <w:color w:val="auto"/>
          <w:szCs w:val="21"/>
          <w:highlight w:val="none"/>
        </w:rPr>
        <w:t>来源：GB/T 40973—2021 针灸门诊基本服务规范</w:t>
      </w:r>
    </w:p>
    <w:p w14:paraId="78CF0E5D">
      <w:pPr>
        <w:pStyle w:val="30"/>
        <w:keepNext w:val="0"/>
        <w:keepLines w:val="0"/>
        <w:pageBreakBefore w:val="0"/>
        <w:widowControl w:val="0"/>
        <w:kinsoku/>
        <w:wordWrap/>
        <w:overflowPunct/>
        <w:topLinePunct w:val="0"/>
        <w:bidi w:val="0"/>
        <w:spacing w:line="520" w:lineRule="exact"/>
        <w:ind w:firstLine="0" w:firstLineChars="0"/>
        <w:rPr>
          <w:rFonts w:hint="eastAsia" w:ascii="仿宋_GB2312" w:eastAsia="仿宋_GB2312" w:cs="仿宋"/>
          <w:b/>
          <w:color w:val="auto"/>
          <w:sz w:val="28"/>
          <w:szCs w:val="28"/>
          <w:highlight w:val="none"/>
          <w:lang w:eastAsia="zh-CN"/>
        </w:rPr>
      </w:pPr>
      <w:r>
        <w:rPr>
          <w:rFonts w:hint="eastAsia" w:ascii="仿宋_GB2312" w:eastAsia="仿宋_GB2312" w:cs="仿宋"/>
          <w:b/>
          <w:color w:val="auto"/>
          <w:sz w:val="28"/>
          <w:szCs w:val="28"/>
          <w:highlight w:val="none"/>
        </w:rPr>
        <w:t>（三）</w:t>
      </w:r>
      <w:r>
        <w:rPr>
          <w:rFonts w:hint="eastAsia" w:ascii="仿宋_GB2312" w:eastAsia="仿宋_GB2312" w:cs="仿宋"/>
          <w:b/>
          <w:color w:val="auto"/>
          <w:sz w:val="28"/>
          <w:szCs w:val="28"/>
          <w:highlight w:val="none"/>
          <w:lang w:val="en-US" w:eastAsia="zh-CN"/>
        </w:rPr>
        <w:t>辨</w:t>
      </w:r>
      <w:r>
        <w:rPr>
          <w:rFonts w:hint="eastAsia" w:ascii="仿宋_GB2312" w:eastAsia="仿宋_GB2312" w:cs="仿宋"/>
          <w:b/>
          <w:color w:val="auto"/>
          <w:sz w:val="28"/>
          <w:szCs w:val="28"/>
          <w:highlight w:val="none"/>
          <w:lang w:eastAsia="zh-CN"/>
        </w:rPr>
        <w:t>证分型</w:t>
      </w:r>
    </w:p>
    <w:p w14:paraId="1BE21DBB">
      <w:pPr>
        <w:pStyle w:val="30"/>
        <w:keepNext w:val="0"/>
        <w:keepLines w:val="0"/>
        <w:pageBreakBefore w:val="0"/>
        <w:widowControl w:val="0"/>
        <w:kinsoku/>
        <w:wordWrap/>
        <w:overflowPunct/>
        <w:topLinePunct w:val="0"/>
        <w:bidi w:val="0"/>
        <w:ind w:firstLine="560"/>
        <w:rPr>
          <w:rFonts w:hint="eastAsia" w:ascii="仿宋_GB2312" w:eastAsia="仿宋_GB2312"/>
          <w:color w:val="auto"/>
          <w:sz w:val="28"/>
          <w:szCs w:val="28"/>
          <w:highlight w:val="none"/>
          <w:lang w:val="en-US" w:eastAsia="zh-CN"/>
        </w:rPr>
      </w:pPr>
      <w:r>
        <w:rPr>
          <w:rFonts w:hint="eastAsia" w:ascii="仿宋_GB2312" w:hAnsi="仿宋_GB2312" w:eastAsia="仿宋_GB2312" w:cs="仿宋_GB2312"/>
          <w:bCs/>
          <w:color w:val="auto"/>
          <w:sz w:val="28"/>
          <w:szCs w:val="28"/>
          <w:highlight w:val="none"/>
        </w:rPr>
        <w:t>参考</w:t>
      </w:r>
      <w:r>
        <w:rPr>
          <w:rFonts w:hint="eastAsia" w:ascii="仿宋_GB2312" w:hAnsi="仿宋_GB2312" w:eastAsia="仿宋_GB2312" w:cs="仿宋_GB2312"/>
          <w:bCs/>
          <w:color w:val="auto"/>
          <w:sz w:val="28"/>
          <w:szCs w:val="28"/>
          <w:highlight w:val="none"/>
        </w:rPr>
        <w:t>《中药新药治疗脾气虚证的临床研究指导原则》</w:t>
      </w:r>
      <w:r>
        <w:rPr>
          <w:rFonts w:hint="eastAsia" w:ascii="仿宋_GB2312" w:hAnsi="仿宋_GB2312" w:eastAsia="仿宋_GB2312" w:cs="仿宋_GB2312"/>
          <w:bCs/>
          <w:color w:val="auto"/>
          <w:sz w:val="28"/>
          <w:szCs w:val="28"/>
          <w:highlight w:val="none"/>
          <w:lang w:eastAsia="zh-CN"/>
        </w:rPr>
        <w:t>和</w:t>
      </w:r>
      <w:r>
        <w:rPr>
          <w:rFonts w:hint="eastAsia" w:ascii="仿宋_GB2312" w:eastAsia="仿宋_GB2312"/>
          <w:color w:val="auto"/>
          <w:sz w:val="28"/>
          <w:szCs w:val="28"/>
          <w:highlight w:val="none"/>
          <w:lang w:val="en-US" w:eastAsia="zh-CN"/>
        </w:rPr>
        <w:t>GB/T 16751.2—2021  中医临床诊疗术语 第2部分：证候，</w:t>
      </w:r>
      <w:r>
        <w:rPr>
          <w:rFonts w:hint="eastAsia" w:ascii="仿宋_GB2312" w:hAnsi="仿宋_GB2312" w:eastAsia="仿宋_GB2312" w:cs="仿宋_GB2312"/>
          <w:bCs/>
          <w:color w:val="auto"/>
          <w:sz w:val="28"/>
          <w:szCs w:val="28"/>
          <w:highlight w:val="none"/>
        </w:rPr>
        <w:t>并</w:t>
      </w:r>
      <w:r>
        <w:rPr>
          <w:rFonts w:hint="eastAsia" w:ascii="仿宋_GB2312" w:hAnsi="仿宋_GB2312" w:eastAsia="仿宋_GB2312" w:cs="仿宋_GB2312"/>
          <w:bCs/>
          <w:color w:val="auto"/>
          <w:sz w:val="28"/>
          <w:szCs w:val="28"/>
          <w:highlight w:val="none"/>
        </w:rPr>
        <w:t>结合广</w:t>
      </w:r>
      <w:r>
        <w:rPr>
          <w:rFonts w:hint="eastAsia" w:ascii="仿宋_GB2312" w:hAnsi="仿宋_GB2312" w:eastAsia="仿宋_GB2312" w:cs="仿宋_GB2312"/>
          <w:bCs/>
          <w:color w:val="auto"/>
          <w:sz w:val="28"/>
          <w:szCs w:val="28"/>
          <w:highlight w:val="none"/>
        </w:rPr>
        <w:t>西医科大学附属肿瘤医院等起草单位的工作实际而将</w:t>
      </w:r>
      <w:r>
        <w:rPr>
          <w:rFonts w:hint="eastAsia" w:ascii="仿宋_GB2312" w:hAnsi="仿宋_GB2312" w:eastAsia="仿宋_GB2312" w:cs="仿宋_GB2312"/>
          <w:bCs/>
          <w:color w:val="auto"/>
          <w:sz w:val="28"/>
          <w:szCs w:val="28"/>
          <w:highlight w:val="none"/>
          <w:lang w:eastAsia="zh-CN"/>
        </w:rPr>
        <w:t>常见证型分</w:t>
      </w:r>
      <w:r>
        <w:rPr>
          <w:rFonts w:hint="eastAsia" w:ascii="仿宋_GB2312" w:hAnsi="仿宋_GB2312" w:eastAsia="仿宋_GB2312" w:cs="仿宋_GB2312"/>
          <w:bCs/>
          <w:color w:val="auto"/>
          <w:sz w:val="28"/>
          <w:szCs w:val="28"/>
          <w:highlight w:val="none"/>
        </w:rPr>
        <w:t>为：</w:t>
      </w:r>
      <w:r>
        <w:rPr>
          <w:rFonts w:hint="eastAsia" w:ascii="仿宋_GB2312" w:eastAsia="仿宋_GB2312"/>
          <w:color w:val="auto"/>
          <w:sz w:val="28"/>
          <w:szCs w:val="28"/>
          <w:highlight w:val="none"/>
          <w:lang w:val="en-US" w:eastAsia="zh-CN"/>
        </w:rPr>
        <w:t>气血亏虚证、气阴两虚证、脾肾阳虚证、正虚气郁证、正虚毒蕴证。</w:t>
      </w:r>
    </w:p>
    <w:p w14:paraId="5BB397D3">
      <w:pPr>
        <w:pStyle w:val="30"/>
        <w:keepNext w:val="0"/>
        <w:keepLines w:val="0"/>
        <w:pageBreakBefore w:val="0"/>
        <w:widowControl w:val="0"/>
        <w:kinsoku/>
        <w:wordWrap/>
        <w:overflowPunct/>
        <w:topLinePunct w:val="0"/>
        <w:bidi w:val="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4319905" cy="2860675"/>
            <wp:effectExtent l="9525" t="9525" r="13970" b="2540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4319905" cy="2860675"/>
                    </a:xfrm>
                    <a:prstGeom prst="rect">
                      <a:avLst/>
                    </a:prstGeom>
                    <a:noFill/>
                    <a:ln>
                      <a:solidFill>
                        <a:schemeClr val="tx1"/>
                      </a:solidFill>
                    </a:ln>
                  </pic:spPr>
                </pic:pic>
              </a:graphicData>
            </a:graphic>
          </wp:inline>
        </w:drawing>
      </w:r>
    </w:p>
    <w:p w14:paraId="7D5210AA">
      <w:pPr>
        <w:pStyle w:val="30"/>
        <w:keepNext w:val="0"/>
        <w:keepLines w:val="0"/>
        <w:pageBreakBefore w:val="0"/>
        <w:widowControl w:val="0"/>
        <w:kinsoku/>
        <w:wordWrap/>
        <w:overflowPunct/>
        <w:topLinePunct w:val="0"/>
        <w:bidi w:val="0"/>
        <w:spacing w:line="520" w:lineRule="exact"/>
        <w:ind w:firstLine="0" w:firstLineChars="0"/>
        <w:jc w:val="center"/>
        <w:rPr>
          <w:rFonts w:hint="eastAsia" w:ascii="黑体" w:hAnsi="黑体" w:eastAsia="黑体" w:cs="黑体"/>
          <w:bCs/>
          <w:color w:val="auto"/>
          <w:szCs w:val="21"/>
          <w:highlight w:val="none"/>
        </w:rPr>
      </w:pPr>
      <w:r>
        <w:rPr>
          <w:rFonts w:hint="eastAsia" w:ascii="黑体" w:hAnsi="黑体" w:eastAsia="黑体" w:cs="黑体"/>
          <w:bCs/>
          <w:color w:val="auto"/>
          <w:szCs w:val="21"/>
          <w:highlight w:val="none"/>
        </w:rPr>
        <w:t>来源：中药新药治疗脾气虚证的临床研究指导原则</w:t>
      </w:r>
    </w:p>
    <w:p w14:paraId="17D6B527">
      <w:pPr>
        <w:pStyle w:val="34"/>
        <w:keepNext w:val="0"/>
        <w:keepLines w:val="0"/>
        <w:pageBreakBefore w:val="0"/>
        <w:widowControl w:val="0"/>
        <w:numPr>
          <w:ilvl w:val="0"/>
          <w:numId w:val="0"/>
        </w:numPr>
        <w:kinsoku/>
        <w:wordWrap/>
        <w:overflowPunct/>
        <w:topLinePunct w:val="0"/>
        <w:bidi w:val="0"/>
        <w:spacing w:before="0" w:after="0"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气血亏虚证的证候为：肿瘤或肿瘤治疗后出现体倦乏力、少气懒言、胸闷气短、食少纳差、腹胀，伴面色淡白或萎黄，头晕目眩，心悸失眠，健忘，唇甲色淡。舌淡，脉细弱。</w:t>
      </w:r>
    </w:p>
    <w:p w14:paraId="32CC74C3">
      <w:pPr>
        <w:pStyle w:val="30"/>
        <w:ind w:left="0" w:leftChars="0" w:firstLine="0" w:firstLineChars="0"/>
        <w:jc w:val="center"/>
        <w:rPr>
          <w:color w:val="auto"/>
          <w:highlight w:val="none"/>
        </w:rPr>
      </w:pPr>
      <w:r>
        <w:rPr>
          <w:color w:val="auto"/>
          <w:highlight w:val="none"/>
        </w:rPr>
        <w:drawing>
          <wp:inline distT="0" distB="0" distL="114300" distR="114300">
            <wp:extent cx="4908550" cy="723900"/>
            <wp:effectExtent l="9525" t="9525" r="15875" b="9525"/>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0"/>
                    <a:stretch>
                      <a:fillRect/>
                    </a:stretch>
                  </pic:blipFill>
                  <pic:spPr>
                    <a:xfrm>
                      <a:off x="0" y="0"/>
                      <a:ext cx="4908550" cy="723900"/>
                    </a:xfrm>
                    <a:prstGeom prst="rect">
                      <a:avLst/>
                    </a:prstGeom>
                    <a:noFill/>
                    <a:ln>
                      <a:solidFill>
                        <a:schemeClr val="tx1"/>
                      </a:solidFill>
                    </a:ln>
                  </pic:spPr>
                </pic:pic>
              </a:graphicData>
            </a:graphic>
          </wp:inline>
        </w:drawing>
      </w:r>
    </w:p>
    <w:p w14:paraId="39645965">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来源：中药新药治疗脾气虚证的临床研究指导原则</w:t>
      </w:r>
    </w:p>
    <w:p w14:paraId="3D4608BC">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p>
    <w:p w14:paraId="1D0AD5A7">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color w:val="auto"/>
          <w:highlight w:val="none"/>
        </w:rPr>
      </w:pPr>
      <w:r>
        <w:rPr>
          <w:color w:val="auto"/>
          <w:highlight w:val="none"/>
        </w:rPr>
        <w:drawing>
          <wp:inline distT="0" distB="0" distL="114300" distR="114300">
            <wp:extent cx="4311650" cy="1152525"/>
            <wp:effectExtent l="9525" t="9525" r="22225" b="1905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1"/>
                    <a:stretch>
                      <a:fillRect/>
                    </a:stretch>
                  </pic:blipFill>
                  <pic:spPr>
                    <a:xfrm>
                      <a:off x="0" y="0"/>
                      <a:ext cx="4311650" cy="1152525"/>
                    </a:xfrm>
                    <a:prstGeom prst="rect">
                      <a:avLst/>
                    </a:prstGeom>
                    <a:noFill/>
                    <a:ln>
                      <a:solidFill>
                        <a:schemeClr val="tx1"/>
                      </a:solidFill>
                    </a:ln>
                  </pic:spPr>
                </pic:pic>
              </a:graphicData>
            </a:graphic>
          </wp:inline>
        </w:drawing>
      </w:r>
    </w:p>
    <w:p w14:paraId="35BB99B1">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color w:val="auto"/>
          <w:highlight w:val="none"/>
        </w:rPr>
      </w:pPr>
      <w:r>
        <w:rPr>
          <w:rFonts w:hint="eastAsia" w:ascii="黑体" w:hAnsi="黑体" w:eastAsia="黑体" w:cs="黑体"/>
          <w:color w:val="auto"/>
          <w:highlight w:val="none"/>
          <w:lang w:eastAsia="zh-CN"/>
        </w:rPr>
        <w:t>来源：GB/T 16751.2—2021  中医临床诊疗术语 第2部分：证候</w:t>
      </w:r>
    </w:p>
    <w:p w14:paraId="05E216CE">
      <w:pPr>
        <w:pStyle w:val="34"/>
        <w:keepNext w:val="0"/>
        <w:keepLines w:val="0"/>
        <w:pageBreakBefore w:val="0"/>
        <w:widowControl w:val="0"/>
        <w:numPr>
          <w:ilvl w:val="0"/>
          <w:numId w:val="0"/>
        </w:numPr>
        <w:kinsoku/>
        <w:wordWrap/>
        <w:overflowPunct/>
        <w:topLinePunct w:val="0"/>
        <w:bidi w:val="0"/>
        <w:spacing w:before="0" w:after="0"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气阴两虚证的证候为：肿瘤或肿瘤治疗后出现体倦乏力、少气懒言、胸闷气短、食少纳差，稍动则心慌心悸，汗出，伴有咽干口燥，潮热盗汗，小便短少，大便干结。舌红少苔或无苔，舌边有齿痕，脉细无力或虚数。</w:t>
      </w:r>
    </w:p>
    <w:p w14:paraId="6D821C98">
      <w:pPr>
        <w:pStyle w:val="30"/>
        <w:ind w:left="0" w:leftChars="0" w:firstLine="0" w:firstLineChars="0"/>
        <w:jc w:val="center"/>
        <w:rPr>
          <w:color w:val="auto"/>
          <w:highlight w:val="none"/>
        </w:rPr>
      </w:pPr>
      <w:r>
        <w:rPr>
          <w:color w:val="auto"/>
          <w:highlight w:val="none"/>
        </w:rPr>
        <w:drawing>
          <wp:inline distT="0" distB="0" distL="114300" distR="114300">
            <wp:extent cx="4726940" cy="518160"/>
            <wp:effectExtent l="9525" t="9525" r="26035" b="24765"/>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12"/>
                    <a:stretch>
                      <a:fillRect/>
                    </a:stretch>
                  </pic:blipFill>
                  <pic:spPr>
                    <a:xfrm>
                      <a:off x="0" y="0"/>
                      <a:ext cx="4726940" cy="518160"/>
                    </a:xfrm>
                    <a:prstGeom prst="rect">
                      <a:avLst/>
                    </a:prstGeom>
                    <a:noFill/>
                    <a:ln>
                      <a:solidFill>
                        <a:schemeClr val="tx1"/>
                      </a:solidFill>
                    </a:ln>
                  </pic:spPr>
                </pic:pic>
              </a:graphicData>
            </a:graphic>
          </wp:inline>
        </w:drawing>
      </w:r>
    </w:p>
    <w:p w14:paraId="2F4EFCEA">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来源：中药新药治疗脾气虚证的临床研究指导原则</w:t>
      </w:r>
    </w:p>
    <w:p w14:paraId="4A109179">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p>
    <w:p w14:paraId="32E3DB26">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color w:val="auto"/>
          <w:highlight w:val="none"/>
        </w:rPr>
        <w:drawing>
          <wp:inline distT="0" distB="0" distL="114300" distR="114300">
            <wp:extent cx="4951095" cy="797560"/>
            <wp:effectExtent l="9525" t="9525" r="11430" b="1206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3"/>
                    <a:stretch>
                      <a:fillRect/>
                    </a:stretch>
                  </pic:blipFill>
                  <pic:spPr>
                    <a:xfrm>
                      <a:off x="0" y="0"/>
                      <a:ext cx="4951095" cy="797560"/>
                    </a:xfrm>
                    <a:prstGeom prst="rect">
                      <a:avLst/>
                    </a:prstGeom>
                    <a:noFill/>
                    <a:ln>
                      <a:solidFill>
                        <a:schemeClr val="tx1"/>
                      </a:solidFill>
                    </a:ln>
                  </pic:spPr>
                </pic:pic>
              </a:graphicData>
            </a:graphic>
          </wp:inline>
        </w:drawing>
      </w:r>
    </w:p>
    <w:p w14:paraId="610E81FC">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color w:val="auto"/>
          <w:highlight w:val="none"/>
        </w:rPr>
      </w:pPr>
      <w:r>
        <w:rPr>
          <w:rFonts w:hint="eastAsia" w:ascii="黑体" w:hAnsi="黑体" w:eastAsia="黑体" w:cs="黑体"/>
          <w:color w:val="auto"/>
          <w:highlight w:val="none"/>
          <w:lang w:eastAsia="zh-CN"/>
        </w:rPr>
        <w:t>来源：GB/T 16751.2—2021  中医临床诊疗术语 第2部分：证候</w:t>
      </w:r>
    </w:p>
    <w:p w14:paraId="7842FAEF">
      <w:pPr>
        <w:pStyle w:val="34"/>
        <w:keepNext w:val="0"/>
        <w:keepLines w:val="0"/>
        <w:pageBreakBefore w:val="0"/>
        <w:widowControl w:val="0"/>
        <w:numPr>
          <w:ilvl w:val="0"/>
          <w:numId w:val="0"/>
        </w:numPr>
        <w:kinsoku/>
        <w:wordWrap/>
        <w:overflowPunct/>
        <w:topLinePunct w:val="0"/>
        <w:bidi w:val="0"/>
        <w:spacing w:before="0" w:after="0"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脾肾阳虚的证候为：肿瘤或肿瘤治疗后出现体倦乏力、少气懒言、胸闷气短、食少纳差，伴面色㿠白，畏寒肢冷，腰酸无力，脐腹冷痛，得温稍缓，久泄不止，或五更泻，完谷不化，或久痢赤白，或浮肿、少尿。舌质淡，苔白滑，脉迟缓，尺部无力。</w:t>
      </w:r>
    </w:p>
    <w:p w14:paraId="7B4B96C6">
      <w:pPr>
        <w:pStyle w:val="3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4244340" cy="957580"/>
            <wp:effectExtent l="9525" t="9525" r="13335" b="2349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4"/>
                    <a:stretch>
                      <a:fillRect/>
                    </a:stretch>
                  </pic:blipFill>
                  <pic:spPr>
                    <a:xfrm>
                      <a:off x="0" y="0"/>
                      <a:ext cx="4244340" cy="957580"/>
                    </a:xfrm>
                    <a:prstGeom prst="rect">
                      <a:avLst/>
                    </a:prstGeom>
                    <a:noFill/>
                    <a:ln>
                      <a:solidFill>
                        <a:schemeClr val="tx1"/>
                      </a:solidFill>
                    </a:ln>
                  </pic:spPr>
                </pic:pic>
              </a:graphicData>
            </a:graphic>
          </wp:inline>
        </w:drawing>
      </w:r>
    </w:p>
    <w:p w14:paraId="415C6C4F">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来源：中药新药治疗脾气虚证的临床研究指导原则</w:t>
      </w:r>
    </w:p>
    <w:p w14:paraId="617C8A02">
      <w:pPr>
        <w:pStyle w:val="30"/>
        <w:rPr>
          <w:color w:val="auto"/>
          <w:highlight w:val="none"/>
        </w:rPr>
      </w:pPr>
    </w:p>
    <w:p w14:paraId="63325DEC">
      <w:pPr>
        <w:pStyle w:val="3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4921885" cy="927100"/>
            <wp:effectExtent l="9525" t="9525" r="21590" b="15875"/>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5"/>
                    <a:stretch>
                      <a:fillRect/>
                    </a:stretch>
                  </pic:blipFill>
                  <pic:spPr>
                    <a:xfrm>
                      <a:off x="0" y="0"/>
                      <a:ext cx="4921885" cy="927100"/>
                    </a:xfrm>
                    <a:prstGeom prst="rect">
                      <a:avLst/>
                    </a:prstGeom>
                    <a:noFill/>
                    <a:ln>
                      <a:solidFill>
                        <a:schemeClr val="tx1"/>
                      </a:solidFill>
                    </a:ln>
                  </pic:spPr>
                </pic:pic>
              </a:graphicData>
            </a:graphic>
          </wp:inline>
        </w:drawing>
      </w:r>
    </w:p>
    <w:p w14:paraId="6974251F">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color w:val="auto"/>
          <w:highlight w:val="none"/>
        </w:rPr>
      </w:pPr>
      <w:r>
        <w:rPr>
          <w:rFonts w:hint="eastAsia" w:ascii="黑体" w:hAnsi="黑体" w:eastAsia="黑体" w:cs="黑体"/>
          <w:color w:val="auto"/>
          <w:highlight w:val="none"/>
          <w:lang w:eastAsia="zh-CN"/>
        </w:rPr>
        <w:t>来源：GB/T 16751.2—2021  中医临床诊疗术语 第2部分：证候</w:t>
      </w:r>
    </w:p>
    <w:p w14:paraId="7F8B6771">
      <w:pPr>
        <w:pStyle w:val="30"/>
        <w:rPr>
          <w:rFonts w:hint="eastAsia" w:ascii="仿宋_GB2312" w:eastAsia="仿宋_GB2312"/>
          <w:color w:val="auto"/>
          <w:sz w:val="28"/>
          <w:szCs w:val="28"/>
          <w:highlight w:val="none"/>
          <w:lang w:val="en-US" w:eastAsia="zh-CN"/>
        </w:rPr>
      </w:pPr>
    </w:p>
    <w:p w14:paraId="1C015069">
      <w:pPr>
        <w:pStyle w:val="3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正虚气郁的证候为：肿瘤或肿瘤治疗后出现体倦乏力、少气懒言、胸闷气短、食少纳差，伴情志抑郁或喜怒，善叹息，胸胁胀痛，或腹胀，便溏不爽，或腹痛欲泻，泻后痛减，精神萎靡，失眠健忘，肢体麻木，或见口唇、爪甲紫暗，皮下瘀斑等。</w:t>
      </w:r>
      <w:r>
        <w:rPr>
          <w:rFonts w:hint="eastAsia" w:ascii="仿宋_GB2312" w:eastAsia="仿宋_GB2312"/>
          <w:color w:val="auto"/>
          <w:sz w:val="28"/>
          <w:szCs w:val="28"/>
          <w:highlight w:val="none"/>
          <w:lang w:val="en-US" w:eastAsia="zh-CN"/>
        </w:rPr>
        <w:t>舌质淡暗或紫暗，苔白或腻，脉弦滑或缓弱。</w:t>
      </w:r>
    </w:p>
    <w:p w14:paraId="5F2AFEF0">
      <w:pPr>
        <w:pStyle w:val="3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4184650" cy="3237865"/>
            <wp:effectExtent l="9525" t="9525" r="15875" b="10160"/>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6"/>
                    <a:stretch>
                      <a:fillRect/>
                    </a:stretch>
                  </pic:blipFill>
                  <pic:spPr>
                    <a:xfrm>
                      <a:off x="0" y="0"/>
                      <a:ext cx="4184650" cy="3237865"/>
                    </a:xfrm>
                    <a:prstGeom prst="rect">
                      <a:avLst/>
                    </a:prstGeom>
                    <a:noFill/>
                    <a:ln>
                      <a:solidFill>
                        <a:schemeClr val="tx1"/>
                      </a:solidFill>
                    </a:ln>
                  </pic:spPr>
                </pic:pic>
              </a:graphicData>
            </a:graphic>
          </wp:inline>
        </w:drawing>
      </w:r>
    </w:p>
    <w:p w14:paraId="7623B270">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来源：中药新药治疗脾气虚证的临床研究指导原则</w:t>
      </w:r>
    </w:p>
    <w:p w14:paraId="07BC5F2A">
      <w:pPr>
        <w:pStyle w:val="30"/>
        <w:rPr>
          <w:color w:val="auto"/>
          <w:highlight w:val="none"/>
        </w:rPr>
      </w:pPr>
    </w:p>
    <w:p w14:paraId="7329151E">
      <w:pPr>
        <w:pStyle w:val="3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4521835" cy="597535"/>
            <wp:effectExtent l="9525" t="9525" r="21590" b="21590"/>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7"/>
                    <a:stretch>
                      <a:fillRect/>
                    </a:stretch>
                  </pic:blipFill>
                  <pic:spPr>
                    <a:xfrm>
                      <a:off x="0" y="0"/>
                      <a:ext cx="4521835" cy="597535"/>
                    </a:xfrm>
                    <a:prstGeom prst="rect">
                      <a:avLst/>
                    </a:prstGeom>
                    <a:noFill/>
                    <a:ln>
                      <a:solidFill>
                        <a:schemeClr val="tx1"/>
                      </a:solidFill>
                    </a:ln>
                  </pic:spPr>
                </pic:pic>
              </a:graphicData>
            </a:graphic>
          </wp:inline>
        </w:drawing>
      </w:r>
    </w:p>
    <w:p w14:paraId="5EAF3718">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color w:val="auto"/>
          <w:highlight w:val="none"/>
        </w:rPr>
      </w:pPr>
      <w:r>
        <w:rPr>
          <w:rFonts w:hint="eastAsia" w:ascii="黑体" w:hAnsi="黑体" w:eastAsia="黑体" w:cs="黑体"/>
          <w:color w:val="auto"/>
          <w:highlight w:val="none"/>
          <w:lang w:eastAsia="zh-CN"/>
        </w:rPr>
        <w:t>来源：GB/T 16751.2—2021  中医临床诊疗术语 第2部分：证候</w:t>
      </w:r>
    </w:p>
    <w:p w14:paraId="49E9473F">
      <w:pPr>
        <w:pStyle w:val="3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正虚毒蕴的症候为：多见于肿瘤晚期患者，神疲乏</w:t>
      </w:r>
      <w:r>
        <w:rPr>
          <w:rFonts w:hint="eastAsia" w:ascii="仿宋_GB2312" w:eastAsia="仿宋_GB2312"/>
          <w:color w:val="auto"/>
          <w:sz w:val="28"/>
          <w:szCs w:val="28"/>
          <w:highlight w:val="none"/>
          <w:lang w:val="en-US" w:eastAsia="zh-CN"/>
        </w:rPr>
        <w:t>力，少气懒言、胸闷气短、呕吐不能食，伴久泄不止或腹胀大便不通，失眠健忘，腰膝酸软，眩晕耳鸣，或口燥咽干，自汗盗汗不止，烦躁，夜尿频多，或肌肤甲错，面色黧黑，唇甲紫暗，皮下瘀斑。舌质淡紫或紫暗，舌下脉络瘀曲紫暗，苔薄，脉虚涩或弦涩，或舌红无苔、少苔焦黄，脉细数。</w:t>
      </w:r>
    </w:p>
    <w:p w14:paraId="6D4591EC">
      <w:pPr>
        <w:pStyle w:val="30"/>
        <w:ind w:left="0" w:leftChars="0" w:firstLine="0" w:firstLineChars="0"/>
        <w:jc w:val="center"/>
        <w:rPr>
          <w:rFonts w:hint="eastAsia" w:ascii="仿宋_GB2312" w:eastAsia="仿宋_GB2312"/>
          <w:color w:val="auto"/>
          <w:sz w:val="28"/>
          <w:szCs w:val="28"/>
          <w:highlight w:val="none"/>
          <w:lang w:val="en-US" w:eastAsia="zh-CN"/>
        </w:rPr>
      </w:pPr>
      <w:r>
        <w:rPr>
          <w:color w:val="auto"/>
          <w:highlight w:val="none"/>
        </w:rPr>
        <w:drawing>
          <wp:inline distT="0" distB="0" distL="114300" distR="114300">
            <wp:extent cx="5147310" cy="1212850"/>
            <wp:effectExtent l="9525" t="9525" r="24765" b="15875"/>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8"/>
                    <a:stretch>
                      <a:fillRect/>
                    </a:stretch>
                  </pic:blipFill>
                  <pic:spPr>
                    <a:xfrm>
                      <a:off x="0" y="0"/>
                      <a:ext cx="5147310" cy="1212850"/>
                    </a:xfrm>
                    <a:prstGeom prst="rect">
                      <a:avLst/>
                    </a:prstGeom>
                    <a:noFill/>
                    <a:ln>
                      <a:solidFill>
                        <a:schemeClr val="tx1"/>
                      </a:solidFill>
                    </a:ln>
                  </pic:spPr>
                </pic:pic>
              </a:graphicData>
            </a:graphic>
          </wp:inline>
        </w:drawing>
      </w:r>
    </w:p>
    <w:p w14:paraId="07351D8E">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来源：中药新药治疗脾气虚证的临床研究指导原则</w:t>
      </w:r>
    </w:p>
    <w:p w14:paraId="0305E684">
      <w:pPr>
        <w:pStyle w:val="34"/>
        <w:keepNext w:val="0"/>
        <w:keepLines w:val="0"/>
        <w:pageBreakBefore w:val="0"/>
        <w:widowControl w:val="0"/>
        <w:numPr>
          <w:ilvl w:val="0"/>
          <w:numId w:val="0"/>
        </w:numPr>
        <w:kinsoku/>
        <w:wordWrap/>
        <w:overflowPunct/>
        <w:topLinePunct w:val="0"/>
        <w:bidi w:val="0"/>
        <w:spacing w:before="0" w:after="0" w:line="520" w:lineRule="exact"/>
        <w:jc w:val="center"/>
        <w:rPr>
          <w:rFonts w:hint="eastAsia" w:ascii="仿宋_GB2312" w:hAnsi="仿宋_GB2312" w:eastAsia="仿宋_GB2312" w:cs="仿宋_GB2312"/>
          <w:b/>
          <w:color w:val="auto"/>
          <w:sz w:val="28"/>
          <w:szCs w:val="28"/>
          <w:highlight w:val="none"/>
          <w:lang w:eastAsia="zh-CN"/>
        </w:rPr>
      </w:pPr>
    </w:p>
    <w:p w14:paraId="72DEFC37">
      <w:pPr>
        <w:pStyle w:val="30"/>
        <w:rPr>
          <w:rFonts w:hint="eastAsia"/>
          <w:color w:val="auto"/>
          <w:highlight w:val="none"/>
          <w:lang w:eastAsia="zh-CN"/>
        </w:rPr>
      </w:pPr>
      <w:r>
        <w:rPr>
          <w:color w:val="auto"/>
          <w:highlight w:val="none"/>
        </w:rPr>
        <w:drawing>
          <wp:inline distT="0" distB="0" distL="114300" distR="114300">
            <wp:extent cx="5683250" cy="712470"/>
            <wp:effectExtent l="9525" t="9525" r="22225" b="20955"/>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19"/>
                    <a:stretch>
                      <a:fillRect/>
                    </a:stretch>
                  </pic:blipFill>
                  <pic:spPr>
                    <a:xfrm>
                      <a:off x="0" y="0"/>
                      <a:ext cx="5683250" cy="712470"/>
                    </a:xfrm>
                    <a:prstGeom prst="rect">
                      <a:avLst/>
                    </a:prstGeom>
                    <a:noFill/>
                    <a:ln>
                      <a:solidFill>
                        <a:schemeClr val="tx1"/>
                      </a:solidFill>
                    </a:ln>
                  </pic:spPr>
                </pic:pic>
              </a:graphicData>
            </a:graphic>
          </wp:inline>
        </w:drawing>
      </w:r>
    </w:p>
    <w:p w14:paraId="1D41851E">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r>
        <w:rPr>
          <w:rFonts w:hint="eastAsia" w:ascii="黑体" w:hAnsi="黑体" w:eastAsia="黑体" w:cs="黑体"/>
          <w:color w:val="auto"/>
          <w:highlight w:val="none"/>
          <w:lang w:eastAsia="zh-CN"/>
        </w:rPr>
        <w:t>来源：GB/T 16751.2—2021  中医临床诊疗术语 第2部分：证候</w:t>
      </w:r>
    </w:p>
    <w:p w14:paraId="5DCAE747">
      <w:pPr>
        <w:pStyle w:val="30"/>
        <w:keepNext w:val="0"/>
        <w:keepLines w:val="0"/>
        <w:pageBreakBefore w:val="0"/>
        <w:widowControl/>
        <w:kinsoku/>
        <w:wordWrap/>
        <w:overflowPunct/>
        <w:topLinePunct w:val="0"/>
        <w:autoSpaceDE w:val="0"/>
        <w:autoSpaceDN w:val="0"/>
        <w:bidi w:val="0"/>
        <w:adjustRightInd/>
        <w:snapToGrid/>
        <w:ind w:firstLine="0" w:firstLineChars="0"/>
        <w:jc w:val="center"/>
        <w:textAlignment w:val="auto"/>
        <w:rPr>
          <w:rFonts w:hint="eastAsia" w:ascii="黑体" w:hAnsi="黑体" w:eastAsia="黑体" w:cs="黑体"/>
          <w:color w:val="auto"/>
          <w:highlight w:val="none"/>
          <w:lang w:eastAsia="zh-CN"/>
        </w:rPr>
      </w:pPr>
    </w:p>
    <w:p w14:paraId="1DD3F53D">
      <w:pPr>
        <w:pStyle w:val="34"/>
        <w:keepNext w:val="0"/>
        <w:keepLines w:val="0"/>
        <w:pageBreakBefore w:val="0"/>
        <w:widowControl w:val="0"/>
        <w:numPr>
          <w:ilvl w:val="0"/>
          <w:numId w:val="0"/>
        </w:numPr>
        <w:kinsoku/>
        <w:wordWrap/>
        <w:overflowPunct/>
        <w:topLinePunct w:val="0"/>
        <w:bidi w:val="0"/>
        <w:spacing w:before="0" w:after="0" w:line="520" w:lineRule="exact"/>
        <w:ind w:firstLine="562" w:firstLineChars="200"/>
        <w:rPr>
          <w:rFonts w:hint="eastAsia" w:ascii="仿宋_GB2312" w:hAnsi="仿宋_GB2312" w:eastAsia="仿宋_GB2312" w:cs="仿宋_GB2312"/>
          <w:b/>
          <w:color w:val="auto"/>
          <w:sz w:val="28"/>
          <w:szCs w:val="28"/>
          <w:highlight w:val="none"/>
          <w:lang w:eastAsia="zh-CN"/>
        </w:rPr>
      </w:pPr>
      <w:r>
        <w:rPr>
          <w:rFonts w:hint="eastAsia" w:ascii="仿宋_GB2312" w:hAnsi="仿宋_GB2312" w:eastAsia="仿宋_GB2312" w:cs="仿宋_GB2312"/>
          <w:b/>
          <w:color w:val="auto"/>
          <w:sz w:val="28"/>
          <w:szCs w:val="28"/>
          <w:highlight w:val="none"/>
          <w:lang w:eastAsia="zh-CN"/>
        </w:rPr>
        <w:t>（四）</w:t>
      </w:r>
      <w:r>
        <w:rPr>
          <w:rFonts w:hint="eastAsia" w:ascii="仿宋_GB2312" w:hAnsi="仿宋_GB2312" w:eastAsia="仿宋_GB2312" w:cs="仿宋_GB2312"/>
          <w:b/>
          <w:color w:val="auto"/>
          <w:sz w:val="28"/>
          <w:szCs w:val="28"/>
          <w:highlight w:val="none"/>
        </w:rPr>
        <w:t>适应症</w:t>
      </w:r>
      <w:r>
        <w:rPr>
          <w:rFonts w:hint="eastAsia" w:ascii="仿宋_GB2312" w:hAnsi="仿宋_GB2312" w:eastAsia="仿宋_GB2312" w:cs="仿宋_GB2312"/>
          <w:b/>
          <w:color w:val="auto"/>
          <w:sz w:val="28"/>
          <w:szCs w:val="28"/>
          <w:highlight w:val="none"/>
          <w:lang w:eastAsia="zh-CN"/>
        </w:rPr>
        <w:t>和</w:t>
      </w:r>
      <w:r>
        <w:rPr>
          <w:rFonts w:hint="eastAsia" w:ascii="仿宋_GB2312" w:hAnsi="仿宋_GB2312" w:eastAsia="仿宋_GB2312" w:cs="仿宋_GB2312"/>
          <w:b/>
          <w:color w:val="auto"/>
          <w:sz w:val="28"/>
          <w:szCs w:val="28"/>
          <w:highlight w:val="none"/>
        </w:rPr>
        <w:t>禁忌症</w:t>
      </w:r>
    </w:p>
    <w:p w14:paraId="505640BE">
      <w:pPr>
        <w:pStyle w:val="34"/>
        <w:keepNext w:val="0"/>
        <w:keepLines w:val="0"/>
        <w:pageBreakBefore w:val="0"/>
        <w:widowControl w:val="0"/>
        <w:numPr>
          <w:ilvl w:val="0"/>
          <w:numId w:val="0"/>
        </w:numPr>
        <w:kinsoku/>
        <w:wordWrap/>
        <w:overflowPunct/>
        <w:topLinePunct w:val="0"/>
        <w:bidi w:val="0"/>
        <w:spacing w:before="0" w:after="0" w:line="520" w:lineRule="exact"/>
        <w:ind w:firstLine="562" w:firstLineChars="200"/>
        <w:rPr>
          <w:rFonts w:hint="eastAsia" w:ascii="仿宋_GB2312" w:hAnsi="仿宋_GB2312" w:eastAsia="仿宋_GB2312" w:cs="仿宋_GB2312"/>
          <w:b/>
          <w:color w:val="auto"/>
          <w:sz w:val="28"/>
          <w:szCs w:val="28"/>
          <w:highlight w:val="none"/>
        </w:rPr>
      </w:pPr>
      <w:r>
        <w:rPr>
          <w:rFonts w:hint="eastAsia" w:ascii="仿宋_GB2312" w:hAnsi="仿宋_GB2312" w:eastAsia="仿宋_GB2312" w:cs="仿宋_GB2312"/>
          <w:b/>
          <w:color w:val="auto"/>
          <w:sz w:val="28"/>
          <w:szCs w:val="28"/>
          <w:highlight w:val="none"/>
          <w:lang w:val="en-US" w:eastAsia="zh-CN"/>
        </w:rPr>
        <w:t>1</w:t>
      </w:r>
      <w:r>
        <w:rPr>
          <w:rFonts w:hint="eastAsia" w:ascii="仿宋_GB2312" w:eastAsia="仿宋_GB2312"/>
          <w:b/>
          <w:color w:val="auto"/>
          <w:sz w:val="28"/>
          <w:szCs w:val="28"/>
          <w:highlight w:val="none"/>
        </w:rPr>
        <w:t xml:space="preserve">. </w:t>
      </w:r>
      <w:r>
        <w:rPr>
          <w:rFonts w:hint="eastAsia" w:ascii="仿宋_GB2312" w:hAnsi="仿宋_GB2312" w:eastAsia="仿宋_GB2312" w:cs="仿宋_GB2312"/>
          <w:b/>
          <w:color w:val="auto"/>
          <w:sz w:val="28"/>
          <w:szCs w:val="28"/>
          <w:highlight w:val="none"/>
        </w:rPr>
        <w:t>适应症</w:t>
      </w:r>
    </w:p>
    <w:p w14:paraId="17FEA3F3">
      <w:pPr>
        <w:pStyle w:val="34"/>
        <w:keepNext w:val="0"/>
        <w:keepLines w:val="0"/>
        <w:pageBreakBefore w:val="0"/>
        <w:widowControl w:val="0"/>
        <w:numPr>
          <w:ilvl w:val="0"/>
          <w:numId w:val="0"/>
        </w:numPr>
        <w:kinsoku/>
        <w:wordWrap/>
        <w:overflowPunct/>
        <w:topLinePunct w:val="0"/>
        <w:bidi w:val="0"/>
        <w:spacing w:before="0" w:after="0" w:line="520" w:lineRule="exact"/>
        <w:ind w:firstLine="560" w:firstLineChars="20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1）朱琏兴奋Ⅱ型针法通常选穴较多，不一定选用末梢敏感穴位，刺激强度较小，速度较快，时间短暂，患者感觉轻（或短暂的较重刺激），使患者产生稍胀而舒适的感觉，或短时间的麻或触电样感觉，对神经系统产生较轻的刺激，因此适用于感觉和运动机能减退或丧失的疾病。</w:t>
      </w:r>
    </w:p>
    <w:p w14:paraId="1EE45C79">
      <w:pPr>
        <w:pStyle w:val="34"/>
        <w:keepNext w:val="0"/>
        <w:keepLines w:val="0"/>
        <w:pageBreakBefore w:val="0"/>
        <w:widowControl w:val="0"/>
        <w:numPr>
          <w:ilvl w:val="0"/>
          <w:numId w:val="0"/>
        </w:numPr>
        <w:kinsoku/>
        <w:wordWrap/>
        <w:overflowPunct/>
        <w:topLinePunct w:val="0"/>
        <w:bidi w:val="0"/>
        <w:spacing w:before="0" w:after="0" w:line="520" w:lineRule="exact"/>
        <w:ind w:firstLine="560" w:firstLineChars="20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2）朱琏兴奋Ⅱ型针法作用于肌肉层（人部），通过顺时针捻转和下插手法直接刺激肌纤维，增强肌肉收缩能力；浅刺结合补法操作可刺激皮肤及浅层组织的交感神经末梢，促进血管收缩，改善因血管张力不足导致的循环障碍。因此适用于血管和肌肉张力减低的疾病。</w:t>
      </w:r>
    </w:p>
    <w:p w14:paraId="39BC5477">
      <w:pPr>
        <w:pStyle w:val="30"/>
        <w:keepNext w:val="0"/>
        <w:keepLines w:val="0"/>
        <w:pageBreakBefore w:val="0"/>
        <w:widowControl w:val="0"/>
        <w:kinsoku/>
        <w:wordWrap/>
        <w:overflowPunct/>
        <w:topLinePunct w:val="0"/>
        <w:bidi w:val="0"/>
        <w:ind w:firstLine="562"/>
        <w:rPr>
          <w:rFonts w:hint="eastAsia" w:ascii="仿宋_GB2312" w:hAnsi="仿宋_GB2312" w:eastAsia="仿宋_GB2312" w:cs="仿宋_GB2312"/>
          <w:bCs/>
          <w:color w:val="auto"/>
          <w:sz w:val="28"/>
          <w:szCs w:val="28"/>
          <w:highlight w:val="none"/>
          <w:lang w:eastAsia="zh-CN"/>
        </w:rPr>
      </w:pPr>
      <w:r>
        <w:rPr>
          <w:rFonts w:hint="eastAsia" w:ascii="仿宋_GB2312" w:hAnsi="仿宋_GB2312" w:eastAsia="仿宋_GB2312" w:cs="仿宋_GB2312"/>
          <w:b/>
          <w:color w:val="auto"/>
          <w:sz w:val="28"/>
          <w:szCs w:val="28"/>
          <w:highlight w:val="none"/>
          <w:lang w:val="en-US" w:eastAsia="zh-CN"/>
        </w:rPr>
        <w:t>2</w:t>
      </w:r>
      <w:r>
        <w:rPr>
          <w:rFonts w:hint="eastAsia" w:ascii="仿宋_GB2312" w:eastAsia="仿宋_GB2312"/>
          <w:b/>
          <w:color w:val="auto"/>
          <w:sz w:val="28"/>
          <w:szCs w:val="28"/>
          <w:highlight w:val="none"/>
        </w:rPr>
        <w:t xml:space="preserve">. </w:t>
      </w:r>
      <w:r>
        <w:rPr>
          <w:rFonts w:hint="eastAsia" w:ascii="仿宋_GB2312" w:hAnsi="仿宋_GB2312" w:eastAsia="仿宋_GB2312" w:cs="仿宋_GB2312"/>
          <w:b/>
          <w:color w:val="auto"/>
          <w:sz w:val="28"/>
          <w:szCs w:val="28"/>
          <w:highlight w:val="none"/>
        </w:rPr>
        <w:t>禁忌症</w:t>
      </w:r>
    </w:p>
    <w:p w14:paraId="09013027">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（1）骨髓抑制是化疗或放疗的常见副作用，可能导致血小板减少、粒细胞缺乏等</w:t>
      </w:r>
      <w:r>
        <w:rPr>
          <w:rFonts w:hint="eastAsia" w:ascii="仿宋_GB2312" w:hAnsi="仿宋_GB2312" w:eastAsia="仿宋_GB2312" w:cs="仿宋_GB2312"/>
          <w:bCs/>
          <w:color w:val="auto"/>
          <w:sz w:val="28"/>
          <w:szCs w:val="28"/>
          <w:highlight w:val="none"/>
          <w:lang w:val="en-US" w:eastAsia="zh-CN"/>
        </w:rPr>
        <w:t>,</w:t>
      </w:r>
      <w:r>
        <w:rPr>
          <w:rFonts w:hint="eastAsia" w:ascii="仿宋_GB2312" w:hAnsi="仿宋_GB2312" w:eastAsia="仿宋_GB2312" w:cs="仿宋_GB2312"/>
          <w:bCs/>
          <w:color w:val="auto"/>
          <w:sz w:val="28"/>
          <w:szCs w:val="28"/>
          <w:highlight w:val="none"/>
          <w:lang w:val="en-US" w:eastAsia="zh-CN"/>
        </w:rPr>
        <w:t>重度</w:t>
      </w:r>
      <w:r>
        <w:rPr>
          <w:rFonts w:hint="eastAsia" w:ascii="仿宋_GB2312" w:hAnsi="仿宋_GB2312" w:eastAsia="仿宋_GB2312" w:cs="仿宋_GB2312"/>
          <w:bCs/>
          <w:color w:val="auto"/>
          <w:sz w:val="28"/>
          <w:szCs w:val="28"/>
          <w:highlight w:val="none"/>
          <w:lang w:val="en-US" w:eastAsia="zh-CN"/>
        </w:rPr>
        <w:t>骨髓抑制患者凝血功能障碍风险高，针刺可能加重出血风险</w:t>
      </w:r>
      <w:r>
        <w:rPr>
          <w:rFonts w:hint="eastAsia" w:ascii="仿宋_GB2312" w:hAnsi="仿宋_GB2312" w:eastAsia="仿宋_GB2312" w:cs="仿宋_GB2312"/>
          <w:bCs/>
          <w:color w:val="auto"/>
          <w:sz w:val="28"/>
          <w:szCs w:val="28"/>
          <w:highlight w:val="none"/>
        </w:rPr>
        <w:t>。</w:t>
      </w:r>
    </w:p>
    <w:p w14:paraId="0DA0F042">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（2）放化疗后皮肤处于修复期，针刺可能破坏愈合组织，增加感染风险。</w:t>
      </w:r>
    </w:p>
    <w:p w14:paraId="722DCE45">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（3）急性感染期机体处于高应激状态，针刺可能加重炎症反应或干扰急救治疗</w:t>
      </w:r>
      <w:r>
        <w:rPr>
          <w:rFonts w:hint="eastAsia" w:ascii="仿宋_GB2312" w:hAnsi="仿宋_GB2312" w:eastAsia="仿宋_GB2312" w:cs="仿宋_GB2312"/>
          <w:bCs/>
          <w:color w:val="auto"/>
          <w:sz w:val="28"/>
          <w:szCs w:val="28"/>
          <w:highlight w:val="none"/>
          <w:lang w:val="en-US" w:eastAsia="zh-CN"/>
        </w:rPr>
        <w:t>,并且急性感染患者免疫系统受损，针刺可能成为病原体入侵途径</w:t>
      </w:r>
      <w:r>
        <w:rPr>
          <w:rFonts w:hint="eastAsia" w:ascii="仿宋_GB2312" w:hAnsi="仿宋_GB2312" w:eastAsia="仿宋_GB2312" w:cs="仿宋_GB2312"/>
          <w:bCs/>
          <w:color w:val="auto"/>
          <w:sz w:val="28"/>
          <w:szCs w:val="28"/>
          <w:highlight w:val="none"/>
        </w:rPr>
        <w:t>，因此急性感染性疾病患者，如癌症患者合并败血症、脓毒血症等急性严重感染不应使用该针法。</w:t>
      </w:r>
    </w:p>
    <w:p w14:paraId="624F130B">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（4）生命体征不稳定（如心脑血管疾病急性发作、肿瘤破裂出血）属于急症，需优先处理</w:t>
      </w:r>
      <w:r>
        <w:rPr>
          <w:rFonts w:hint="eastAsia" w:ascii="仿宋_GB2312" w:hAnsi="仿宋_GB2312" w:eastAsia="仿宋_GB2312" w:cs="仿宋_GB2312"/>
          <w:bCs/>
          <w:color w:val="auto"/>
          <w:sz w:val="28"/>
          <w:szCs w:val="28"/>
          <w:highlight w:val="none"/>
          <w:lang w:eastAsia="zh-CN"/>
        </w:rPr>
        <w:t>，</w:t>
      </w:r>
      <w:r>
        <w:rPr>
          <w:rFonts w:hint="eastAsia" w:ascii="仿宋_GB2312" w:hAnsi="仿宋_GB2312" w:eastAsia="仿宋_GB2312" w:cs="仿宋_GB2312"/>
          <w:bCs/>
          <w:color w:val="auto"/>
          <w:sz w:val="28"/>
          <w:szCs w:val="28"/>
          <w:highlight w:val="none"/>
          <w:lang w:val="en-US" w:eastAsia="zh-CN"/>
        </w:rPr>
        <w:t>待患者病情稳定后再行针灸治疗</w:t>
      </w:r>
      <w:r>
        <w:rPr>
          <w:rFonts w:hint="eastAsia" w:ascii="仿宋_GB2312" w:hAnsi="仿宋_GB2312" w:eastAsia="仿宋_GB2312" w:cs="仿宋_GB2312"/>
          <w:bCs/>
          <w:color w:val="auto"/>
          <w:sz w:val="28"/>
          <w:szCs w:val="28"/>
          <w:highlight w:val="none"/>
        </w:rPr>
        <w:t>。</w:t>
      </w:r>
    </w:p>
    <w:p w14:paraId="0E9A6F15">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（5）</w:t>
      </w:r>
      <w:r>
        <w:rPr>
          <w:rFonts w:hint="eastAsia" w:ascii="仿宋_GB2312" w:hAnsi="仿宋_GB2312" w:eastAsia="仿宋_GB2312" w:cs="仿宋_GB2312"/>
          <w:bCs/>
          <w:color w:val="auto"/>
          <w:sz w:val="28"/>
          <w:szCs w:val="28"/>
          <w:highlight w:val="none"/>
          <w:lang w:eastAsia="zh-CN"/>
        </w:rPr>
        <w:t>对</w:t>
      </w:r>
      <w:r>
        <w:rPr>
          <w:rFonts w:hint="eastAsia" w:ascii="仿宋_GB2312" w:hAnsi="仿宋_GB2312" w:eastAsia="仿宋_GB2312" w:cs="仿宋_GB2312"/>
          <w:bCs/>
          <w:color w:val="auto"/>
          <w:sz w:val="28"/>
          <w:szCs w:val="28"/>
          <w:highlight w:val="none"/>
        </w:rPr>
        <w:t>肿瘤部位</w:t>
      </w:r>
      <w:r>
        <w:rPr>
          <w:rFonts w:hint="eastAsia" w:ascii="仿宋_GB2312" w:hAnsi="仿宋_GB2312" w:eastAsia="仿宋_GB2312" w:cs="仿宋_GB2312"/>
          <w:bCs/>
          <w:color w:val="auto"/>
          <w:sz w:val="28"/>
          <w:szCs w:val="28"/>
          <w:highlight w:val="none"/>
          <w:lang w:eastAsia="zh-CN"/>
        </w:rPr>
        <w:t>进行</w:t>
      </w:r>
      <w:r>
        <w:rPr>
          <w:rFonts w:hint="eastAsia" w:ascii="仿宋_GB2312" w:hAnsi="仿宋_GB2312" w:eastAsia="仿宋_GB2312" w:cs="仿宋_GB2312"/>
          <w:bCs/>
          <w:color w:val="auto"/>
          <w:sz w:val="28"/>
          <w:szCs w:val="28"/>
          <w:highlight w:val="none"/>
        </w:rPr>
        <w:t>针</w:t>
      </w:r>
      <w:r>
        <w:rPr>
          <w:rFonts w:hint="eastAsia" w:ascii="仿宋_GB2312" w:hAnsi="仿宋_GB2312" w:eastAsia="仿宋_GB2312" w:cs="仿宋_GB2312"/>
          <w:bCs/>
          <w:color w:val="auto"/>
          <w:sz w:val="28"/>
          <w:szCs w:val="28"/>
          <w:highlight w:val="none"/>
          <w:lang w:eastAsia="zh-CN"/>
        </w:rPr>
        <w:t>刺</w:t>
      </w:r>
      <w:r>
        <w:rPr>
          <w:rFonts w:hint="eastAsia" w:ascii="仿宋_GB2312" w:hAnsi="仿宋_GB2312" w:eastAsia="仿宋_GB2312" w:cs="仿宋_GB2312"/>
          <w:bCs/>
          <w:color w:val="auto"/>
          <w:sz w:val="28"/>
          <w:szCs w:val="28"/>
          <w:highlight w:val="none"/>
        </w:rPr>
        <w:t>，可能刺激肿瘤活性或导致出血</w:t>
      </w:r>
      <w:r>
        <w:rPr>
          <w:rFonts w:hint="eastAsia" w:ascii="仿宋_GB2312" w:hAnsi="仿宋_GB2312" w:eastAsia="仿宋_GB2312" w:cs="仿宋_GB2312"/>
          <w:bCs/>
          <w:color w:val="auto"/>
          <w:sz w:val="28"/>
          <w:szCs w:val="28"/>
          <w:highlight w:val="none"/>
          <w:lang w:eastAsia="zh-CN"/>
        </w:rPr>
        <w:t>；转移灶（如骨转移）局部组织脆弱，针刺可能引发疼痛或转移风险</w:t>
      </w:r>
      <w:r>
        <w:rPr>
          <w:rFonts w:hint="eastAsia" w:ascii="仿宋_GB2312" w:hAnsi="仿宋_GB2312" w:eastAsia="仿宋_GB2312" w:cs="仿宋_GB2312"/>
          <w:bCs/>
          <w:color w:val="auto"/>
          <w:sz w:val="28"/>
          <w:szCs w:val="28"/>
          <w:highlight w:val="none"/>
        </w:rPr>
        <w:t>。</w:t>
      </w:r>
    </w:p>
    <w:p w14:paraId="55A42330">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（6）心、肝、肾功能衰竭患者无法耐受针灸刺激，可能诱发多器官功能恶化</w:t>
      </w:r>
      <w:r>
        <w:rPr>
          <w:rFonts w:hint="eastAsia" w:ascii="仿宋_GB2312" w:hAnsi="仿宋_GB2312" w:eastAsia="仿宋_GB2312" w:cs="仿宋_GB2312"/>
          <w:bCs/>
          <w:color w:val="auto"/>
          <w:sz w:val="28"/>
          <w:szCs w:val="28"/>
          <w:highlight w:val="none"/>
          <w:lang w:eastAsia="zh-CN"/>
        </w:rPr>
        <w:t>，</w:t>
      </w:r>
      <w:r>
        <w:rPr>
          <w:rFonts w:hint="eastAsia" w:ascii="仿宋_GB2312" w:hAnsi="仿宋_GB2312" w:eastAsia="仿宋_GB2312" w:cs="仿宋_GB2312"/>
          <w:bCs/>
          <w:color w:val="auto"/>
          <w:sz w:val="28"/>
          <w:szCs w:val="28"/>
          <w:highlight w:val="none"/>
          <w:lang w:eastAsia="zh-CN"/>
        </w:rPr>
        <w:t>化疗或放疗</w:t>
      </w:r>
      <w:r>
        <w:rPr>
          <w:rFonts w:hint="eastAsia" w:ascii="仿宋_GB2312" w:hAnsi="仿宋_GB2312" w:eastAsia="仿宋_GB2312" w:cs="仿宋_GB2312"/>
          <w:bCs/>
          <w:color w:val="auto"/>
          <w:sz w:val="28"/>
          <w:szCs w:val="28"/>
          <w:highlight w:val="none"/>
          <w:lang w:val="en-US" w:eastAsia="zh-CN"/>
        </w:rPr>
        <w:t>导致的多器官功能衰竭患者随时有生命危险，患者病情不稳定不宜针灸</w:t>
      </w:r>
      <w:r>
        <w:rPr>
          <w:rFonts w:hint="eastAsia" w:ascii="仿宋_GB2312" w:hAnsi="仿宋_GB2312" w:eastAsia="仿宋_GB2312" w:cs="仿宋_GB2312"/>
          <w:bCs/>
          <w:color w:val="auto"/>
          <w:sz w:val="28"/>
          <w:szCs w:val="28"/>
          <w:highlight w:val="none"/>
        </w:rPr>
        <w:t>。</w:t>
      </w:r>
    </w:p>
    <w:p w14:paraId="14E6C8E0">
      <w:pPr>
        <w:pStyle w:val="30"/>
        <w:keepNext w:val="0"/>
        <w:keepLines w:val="0"/>
        <w:pageBreakBefore w:val="0"/>
        <w:widowControl w:val="0"/>
        <w:kinsoku/>
        <w:wordWrap/>
        <w:overflowPunct/>
        <w:topLinePunct w:val="0"/>
        <w:bidi w:val="0"/>
        <w:ind w:firstLine="560"/>
        <w:rPr>
          <w:rFonts w:hint="eastAsia" w:ascii="仿宋_GB2312" w:hAnsi="仿宋_GB2312" w:eastAsia="仿宋_GB2312" w:cs="仿宋_GB2312"/>
          <w:bCs/>
          <w:color w:val="auto"/>
          <w:sz w:val="28"/>
          <w:szCs w:val="28"/>
          <w:highlight w:val="none"/>
        </w:rPr>
      </w:pPr>
      <w:r>
        <w:rPr>
          <w:rFonts w:hint="eastAsia" w:ascii="仿宋_GB2312" w:hAnsi="仿宋_GB2312" w:eastAsia="仿宋_GB2312" w:cs="仿宋_GB2312"/>
          <w:bCs/>
          <w:color w:val="auto"/>
          <w:sz w:val="28"/>
          <w:szCs w:val="28"/>
          <w:highlight w:val="none"/>
        </w:rPr>
        <w:t>（7）颅内压升高属于急症，需紧急处理（如脱水、手术），</w:t>
      </w:r>
      <w:r>
        <w:rPr>
          <w:rFonts w:hint="eastAsia" w:ascii="仿宋_GB2312" w:hAnsi="仿宋_GB2312" w:eastAsia="仿宋_GB2312" w:cs="仿宋_GB2312"/>
          <w:bCs/>
          <w:color w:val="auto"/>
          <w:sz w:val="28"/>
          <w:szCs w:val="28"/>
          <w:highlight w:val="none"/>
          <w:lang w:val="en-US" w:eastAsia="zh-CN"/>
        </w:rPr>
        <w:t>待患者病情稳定后再行针灸治疗</w:t>
      </w:r>
      <w:r>
        <w:rPr>
          <w:rFonts w:hint="eastAsia" w:ascii="仿宋_GB2312" w:hAnsi="仿宋_GB2312" w:eastAsia="仿宋_GB2312" w:cs="仿宋_GB2312"/>
          <w:bCs/>
          <w:color w:val="auto"/>
          <w:sz w:val="28"/>
          <w:szCs w:val="28"/>
          <w:highlight w:val="none"/>
        </w:rPr>
        <w:t>。</w:t>
      </w:r>
    </w:p>
    <w:p w14:paraId="64906401">
      <w:pPr>
        <w:pStyle w:val="30"/>
        <w:keepNext w:val="0"/>
        <w:keepLines w:val="0"/>
        <w:pageBreakBefore w:val="0"/>
        <w:widowControl w:val="0"/>
        <w:kinsoku/>
        <w:wordWrap/>
        <w:overflowPunct/>
        <w:topLinePunct w:val="0"/>
        <w:bidi w:val="0"/>
        <w:spacing w:line="520" w:lineRule="exact"/>
        <w:ind w:firstLine="0" w:firstLineChars="0"/>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rPr>
        <w:t>（三）施术前准备</w:t>
      </w:r>
    </w:p>
    <w:p w14:paraId="12595E65">
      <w:pPr>
        <w:pStyle w:val="30"/>
        <w:keepNext w:val="0"/>
        <w:keepLines w:val="0"/>
        <w:pageBreakBefore w:val="0"/>
        <w:widowControl w:val="0"/>
        <w:kinsoku/>
        <w:wordWrap/>
        <w:overflowPunct/>
        <w:topLinePunct w:val="0"/>
        <w:bidi w:val="0"/>
        <w:spacing w:line="520" w:lineRule="exact"/>
        <w:ind w:firstLine="562"/>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rPr>
        <w:t>物品准备</w:t>
      </w:r>
    </w:p>
    <w:p w14:paraId="09870EFA">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朱琏兴奋Ⅱ型针法要求采用快速刺入法进针、以轻快、小幅度的行针手法捻针，将针往下插，状如雀啄，并且癌因性疲乏患者多属中医“气血两虚”“阳气不振”，常伴随慢性疼痛（如骨转移痛、化疗神经痛）。此类患者体质虚弱，耐受性差，因此要选用细针，即0.25mm规格的毫针。</w:t>
      </w:r>
    </w:p>
    <w:p w14:paraId="1D564ED6">
      <w:pPr>
        <w:pStyle w:val="30"/>
        <w:keepNext w:val="0"/>
        <w:keepLines w:val="0"/>
        <w:pageBreakBefore w:val="0"/>
        <w:widowControl w:val="0"/>
        <w:kinsoku/>
        <w:wordWrap/>
        <w:overflowPunct/>
        <w:topLinePunct w:val="0"/>
        <w:bidi w:val="0"/>
        <w:spacing w:line="520" w:lineRule="exact"/>
        <w:ind w:firstLine="0" w:firstLineChars="0"/>
        <w:rPr>
          <w:rFonts w:ascii="仿宋_GB2312" w:eastAsia="仿宋_GB2312" w:cs="仿宋"/>
          <w:bCs/>
          <w:color w:val="auto"/>
          <w:sz w:val="28"/>
          <w:szCs w:val="28"/>
          <w:highlight w:val="none"/>
        </w:rPr>
      </w:pPr>
      <w:r>
        <w:rPr>
          <w:rFonts w:hint="eastAsia" w:ascii="仿宋_GB2312" w:eastAsia="仿宋_GB2312" w:cs="仿宋"/>
          <w:b/>
          <w:color w:val="auto"/>
          <w:sz w:val="28"/>
          <w:szCs w:val="28"/>
          <w:highlight w:val="none"/>
        </w:rPr>
        <w:t>（四）施术方法</w:t>
      </w:r>
    </w:p>
    <w:p w14:paraId="131B1C32">
      <w:pPr>
        <w:pStyle w:val="30"/>
        <w:keepNext w:val="0"/>
        <w:keepLines w:val="0"/>
        <w:pageBreakBefore w:val="0"/>
        <w:widowControl w:val="0"/>
        <w:kinsoku/>
        <w:wordWrap/>
        <w:overflowPunct/>
        <w:topLinePunct w:val="0"/>
        <w:bidi w:val="0"/>
        <w:spacing w:line="520" w:lineRule="exact"/>
        <w:ind w:firstLine="562"/>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rPr>
        <w:t>1</w:t>
      </w:r>
      <w:r>
        <w:rPr>
          <w:rFonts w:hint="eastAsia" w:ascii="仿宋_GB2312" w:eastAsia="仿宋_GB2312"/>
          <w:b/>
          <w:color w:val="auto"/>
          <w:sz w:val="28"/>
          <w:szCs w:val="28"/>
          <w:highlight w:val="none"/>
        </w:rPr>
        <w:t xml:space="preserve">. </w:t>
      </w:r>
      <w:r>
        <w:rPr>
          <w:rFonts w:hint="eastAsia" w:ascii="仿宋_GB2312" w:eastAsia="仿宋_GB2312" w:cs="仿宋"/>
          <w:b/>
          <w:color w:val="auto"/>
          <w:sz w:val="28"/>
          <w:szCs w:val="28"/>
          <w:highlight w:val="none"/>
        </w:rPr>
        <w:t>穴位选择</w:t>
      </w:r>
    </w:p>
    <w:p w14:paraId="12156356">
      <w:pPr>
        <w:pStyle w:val="30"/>
        <w:keepNext w:val="0"/>
        <w:keepLines w:val="0"/>
        <w:pageBreakBefore w:val="0"/>
        <w:widowControl w:val="0"/>
        <w:kinsoku/>
        <w:wordWrap/>
        <w:overflowPunct/>
        <w:topLinePunct w:val="0"/>
        <w:bidi w:val="0"/>
        <w:spacing w:line="520" w:lineRule="exact"/>
        <w:ind w:firstLine="560"/>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rPr>
        <w:t>（1）</w:t>
      </w:r>
      <w:r>
        <w:rPr>
          <w:rFonts w:hint="eastAsia" w:ascii="仿宋_GB2312" w:eastAsia="仿宋_GB2312" w:cs="仿宋"/>
          <w:b/>
          <w:bCs w:val="0"/>
          <w:color w:val="auto"/>
          <w:sz w:val="28"/>
          <w:szCs w:val="28"/>
          <w:highlight w:val="none"/>
        </w:rPr>
        <w:t>主穴</w:t>
      </w:r>
      <w:r>
        <w:rPr>
          <w:rFonts w:hint="eastAsia" w:ascii="仿宋_GB2312" w:eastAsia="仿宋_GB2312" w:cs="仿宋"/>
          <w:bCs/>
          <w:color w:val="auto"/>
          <w:sz w:val="28"/>
          <w:szCs w:val="28"/>
          <w:highlight w:val="none"/>
          <w:lang w:eastAsia="zh-CN"/>
        </w:rPr>
        <w:t>：</w:t>
      </w:r>
    </w:p>
    <w:p w14:paraId="647F8ACB">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val="en-US" w:eastAsia="zh-CN"/>
        </w:rPr>
        <w:t>中脘</w:t>
      </w:r>
      <w:r>
        <w:rPr>
          <w:rFonts w:hint="eastAsia" w:ascii="仿宋_GB2312" w:eastAsia="仿宋_GB2312" w:cs="仿宋"/>
          <w:bCs/>
          <w:color w:val="auto"/>
          <w:sz w:val="28"/>
          <w:szCs w:val="28"/>
          <w:highlight w:val="none"/>
          <w:lang w:eastAsia="zh-CN"/>
        </w:rPr>
        <w:t>：中脘为胃之募穴，六腑之会，任脉、手太阳、足阳明经交会穴，</w:t>
      </w:r>
      <w:r>
        <w:rPr>
          <w:rFonts w:hint="eastAsia" w:ascii="仿宋_GB2312" w:eastAsia="仿宋_GB2312" w:cs="仿宋"/>
          <w:bCs/>
          <w:color w:val="auto"/>
          <w:sz w:val="28"/>
          <w:szCs w:val="28"/>
          <w:highlight w:val="none"/>
          <w:lang w:val="en-US" w:eastAsia="zh-CN"/>
        </w:rPr>
        <w:t>可</w:t>
      </w:r>
      <w:r>
        <w:rPr>
          <w:rFonts w:hint="eastAsia" w:ascii="仿宋_GB2312" w:eastAsia="仿宋_GB2312" w:cs="仿宋"/>
          <w:bCs/>
          <w:color w:val="auto"/>
          <w:sz w:val="28"/>
          <w:szCs w:val="28"/>
          <w:highlight w:val="none"/>
          <w:lang w:eastAsia="zh-CN"/>
        </w:rPr>
        <w:t>健脾和胃、消积化滞、理气止痛。</w:t>
      </w:r>
    </w:p>
    <w:p w14:paraId="3261008A">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rPr>
        <w:t>气海：</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铜人腧穴针灸图经</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记载：“气海者......治脏气虚惫，真气不足，一切气疾久不瘥，悉皆灸之，慎如常法”，用于治疗真气不足之虚证</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气海穴可</w:t>
      </w:r>
      <w:r>
        <w:rPr>
          <w:rFonts w:hint="eastAsia" w:ascii="仿宋_GB2312" w:eastAsia="仿宋_GB2312" w:cs="仿宋"/>
          <w:bCs/>
          <w:color w:val="auto"/>
          <w:sz w:val="28"/>
          <w:szCs w:val="28"/>
          <w:highlight w:val="none"/>
          <w:lang w:eastAsia="zh-CN"/>
        </w:rPr>
        <w:t>补益元气，调补下焦。</w:t>
      </w:r>
    </w:p>
    <w:p w14:paraId="59EB9D93">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default"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eastAsia="zh-CN"/>
        </w:rPr>
        <w:t>足三里：足三里为足阳明胃经</w:t>
      </w:r>
      <w:r>
        <w:rPr>
          <w:rFonts w:hint="eastAsia" w:ascii="仿宋_GB2312" w:eastAsia="仿宋_GB2312" w:cs="仿宋"/>
          <w:bCs/>
          <w:color w:val="auto"/>
          <w:sz w:val="28"/>
          <w:szCs w:val="28"/>
          <w:highlight w:val="none"/>
          <w:lang w:val="en-US" w:eastAsia="zh-CN"/>
        </w:rPr>
        <w:t>下</w:t>
      </w:r>
      <w:r>
        <w:rPr>
          <w:rFonts w:hint="eastAsia" w:ascii="仿宋_GB2312" w:eastAsia="仿宋_GB2312" w:cs="仿宋"/>
          <w:bCs/>
          <w:color w:val="auto"/>
          <w:sz w:val="28"/>
          <w:szCs w:val="28"/>
          <w:highlight w:val="none"/>
          <w:lang w:eastAsia="zh-CN"/>
        </w:rPr>
        <w:t>合穴，</w:t>
      </w:r>
      <w:r>
        <w:rPr>
          <w:rFonts w:hint="eastAsia" w:ascii="仿宋_GB2312" w:eastAsia="仿宋_GB2312" w:cs="仿宋"/>
          <w:bCs/>
          <w:color w:val="auto"/>
          <w:sz w:val="28"/>
          <w:szCs w:val="28"/>
          <w:highlight w:val="none"/>
          <w:lang w:val="en-US" w:eastAsia="zh-CN"/>
        </w:rPr>
        <w:t>足阳明胃经为多气多血之经</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太平圣惠方</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记载：“疗五劳羸瘦，七伤虚乏”。《窦太师秘传》：“治诸虚百劳病，劳嗽体倦......”。足三里可补益气血、健脾和胃。</w:t>
      </w:r>
    </w:p>
    <w:p w14:paraId="56133B70">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eastAsia="zh-CN"/>
        </w:rPr>
        <w:t>内关：内关穴为手厥阴心包经，属于八脉交会穴之一，取内关穴可宁心安神，宜可宽胸和胃。</w:t>
      </w:r>
    </w:p>
    <w:p w14:paraId="5990A46C">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eastAsia="zh-CN"/>
        </w:rPr>
        <w:t>三阴交：</w:t>
      </w:r>
      <w:r>
        <w:rPr>
          <w:rFonts w:hint="eastAsia" w:ascii="仿宋_GB2312" w:eastAsia="仿宋_GB2312" w:cs="仿宋"/>
          <w:bCs/>
          <w:color w:val="auto"/>
          <w:sz w:val="28"/>
          <w:szCs w:val="28"/>
          <w:highlight w:val="none"/>
          <w:lang w:val="en-US" w:eastAsia="zh-CN"/>
        </w:rPr>
        <w:t>三阴交为足太阴脾经、足厥阴肝经、足少阴肾经的交会穴，</w:t>
      </w:r>
      <w:r>
        <w:rPr>
          <w:rFonts w:hint="eastAsia" w:ascii="仿宋_GB2312" w:eastAsia="仿宋_GB2312" w:cs="仿宋"/>
          <w:bCs/>
          <w:color w:val="auto"/>
          <w:sz w:val="28"/>
          <w:szCs w:val="28"/>
          <w:highlight w:val="none"/>
          <w:lang w:eastAsia="zh-CN"/>
        </w:rPr>
        <w:t>足三里、三阴交相配，益气养血，健运脾胃。</w:t>
      </w:r>
    </w:p>
    <w:p w14:paraId="5AB2ADA1">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（2）</w:t>
      </w:r>
      <w:r>
        <w:rPr>
          <w:rFonts w:hint="eastAsia" w:ascii="仿宋_GB2312" w:eastAsia="仿宋_GB2312" w:cs="仿宋"/>
          <w:b/>
          <w:bCs w:val="0"/>
          <w:color w:val="auto"/>
          <w:sz w:val="28"/>
          <w:szCs w:val="28"/>
          <w:highlight w:val="none"/>
        </w:rPr>
        <w:t>配穴</w:t>
      </w:r>
    </w:p>
    <w:p w14:paraId="4F938CDE">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bCs w:val="0"/>
          <w:color w:val="auto"/>
          <w:sz w:val="28"/>
          <w:szCs w:val="28"/>
          <w:highlight w:val="none"/>
        </w:rPr>
      </w:pPr>
      <w:r>
        <w:rPr>
          <w:rFonts w:hint="eastAsia" w:ascii="仿宋_GB2312" w:eastAsia="仿宋_GB2312" w:cs="仿宋"/>
          <w:b/>
          <w:bCs w:val="0"/>
          <w:color w:val="auto"/>
          <w:sz w:val="28"/>
          <w:szCs w:val="28"/>
          <w:highlight w:val="none"/>
        </w:rPr>
        <w:t>气血亏虚证：</w:t>
      </w:r>
    </w:p>
    <w:p w14:paraId="4318B398">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百会：调节气血、提升阳气，强健体魄，改善头部及全身气机。</w:t>
      </w:r>
    </w:p>
    <w:p w14:paraId="3B7FD251">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eastAsia="zh-CN"/>
        </w:rPr>
        <w:t>建里：调理脾胃，增强运化功能。</w:t>
      </w:r>
    </w:p>
    <w:p w14:paraId="7302E3F0">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rPr>
        <w:t>血海：活血调血，改善气血不足。</w:t>
      </w:r>
    </w:p>
    <w:p w14:paraId="048F6D1E">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脾俞</w:t>
      </w:r>
      <w:r>
        <w:rPr>
          <w:rFonts w:hint="eastAsia" w:ascii="仿宋_GB2312" w:eastAsia="仿宋_GB2312" w:cs="仿宋"/>
          <w:bCs/>
          <w:color w:val="auto"/>
          <w:sz w:val="28"/>
          <w:szCs w:val="28"/>
          <w:highlight w:val="none"/>
        </w:rPr>
        <w:t>：</w:t>
      </w:r>
      <w:r>
        <w:rPr>
          <w:rFonts w:hint="eastAsia" w:ascii="仿宋_GB2312" w:eastAsia="仿宋_GB2312" w:cs="仿宋"/>
          <w:bCs/>
          <w:color w:val="auto"/>
          <w:sz w:val="28"/>
          <w:szCs w:val="28"/>
          <w:highlight w:val="none"/>
          <w:lang w:val="en-US" w:eastAsia="zh-CN"/>
        </w:rPr>
        <w:t>脾俞为足太阴脾经的背俞穴，可健脾益气、调和脾胃</w:t>
      </w:r>
      <w:r>
        <w:rPr>
          <w:rFonts w:hint="eastAsia" w:ascii="仿宋_GB2312" w:eastAsia="仿宋_GB2312" w:cs="仿宋"/>
          <w:bCs/>
          <w:color w:val="auto"/>
          <w:sz w:val="28"/>
          <w:szCs w:val="28"/>
          <w:highlight w:val="none"/>
        </w:rPr>
        <w:t>。</w:t>
      </w:r>
    </w:p>
    <w:p w14:paraId="5AFB7D5D">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胃俞：脾俞为足阳明胃经的背俞穴，调和脾胃、降逆止呕。脾俞、胃俞相配可健脾益气、化生气血。</w:t>
      </w:r>
    </w:p>
    <w:p w14:paraId="72BE4645">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bCs w:val="0"/>
          <w:color w:val="auto"/>
          <w:sz w:val="28"/>
          <w:szCs w:val="28"/>
          <w:highlight w:val="none"/>
          <w:lang w:eastAsia="zh-CN"/>
        </w:rPr>
      </w:pPr>
      <w:r>
        <w:rPr>
          <w:rFonts w:hint="eastAsia" w:ascii="仿宋_GB2312" w:eastAsia="仿宋_GB2312" w:cs="仿宋"/>
          <w:b/>
          <w:bCs w:val="0"/>
          <w:color w:val="auto"/>
          <w:sz w:val="28"/>
          <w:szCs w:val="28"/>
          <w:highlight w:val="none"/>
        </w:rPr>
        <w:t>气阴两虚证</w:t>
      </w:r>
      <w:r>
        <w:rPr>
          <w:rFonts w:hint="eastAsia" w:ascii="仿宋_GB2312" w:eastAsia="仿宋_GB2312" w:cs="仿宋"/>
          <w:b/>
          <w:bCs w:val="0"/>
          <w:color w:val="auto"/>
          <w:sz w:val="28"/>
          <w:szCs w:val="28"/>
          <w:highlight w:val="none"/>
          <w:lang w:eastAsia="zh-CN"/>
        </w:rPr>
        <w:t>：</w:t>
      </w:r>
    </w:p>
    <w:p w14:paraId="7D25BECE">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val="en-US" w:eastAsia="zh-CN"/>
        </w:rPr>
        <w:t>关元</w:t>
      </w:r>
      <w:r>
        <w:rPr>
          <w:rFonts w:hint="eastAsia" w:ascii="仿宋_GB2312" w:eastAsia="仿宋_GB2312" w:cs="仿宋"/>
          <w:bCs/>
          <w:color w:val="auto"/>
          <w:sz w:val="28"/>
          <w:szCs w:val="28"/>
          <w:highlight w:val="none"/>
          <w:lang w:eastAsia="zh-CN"/>
        </w:rPr>
        <w:t>：温补下焦、固本培元。</w:t>
      </w:r>
    </w:p>
    <w:p w14:paraId="24A37207">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太溪</w:t>
      </w:r>
      <w:r>
        <w:rPr>
          <w:rFonts w:hint="eastAsia" w:ascii="仿宋_GB2312" w:eastAsia="仿宋_GB2312" w:cs="仿宋"/>
          <w:bCs/>
          <w:color w:val="auto"/>
          <w:sz w:val="28"/>
          <w:szCs w:val="28"/>
          <w:highlight w:val="none"/>
        </w:rPr>
        <w:t>：</w:t>
      </w:r>
      <w:r>
        <w:rPr>
          <w:rFonts w:hint="eastAsia" w:ascii="仿宋_GB2312" w:eastAsia="仿宋_GB2312" w:cs="仿宋"/>
          <w:bCs/>
          <w:color w:val="auto"/>
          <w:sz w:val="28"/>
          <w:szCs w:val="28"/>
          <w:highlight w:val="none"/>
          <w:lang w:val="en-US" w:eastAsia="zh-CN"/>
        </w:rPr>
        <w:t>足太阴肾经原穴，可滋阴益肾</w:t>
      </w:r>
      <w:r>
        <w:rPr>
          <w:rFonts w:hint="eastAsia" w:ascii="仿宋_GB2312" w:eastAsia="仿宋_GB2312" w:cs="仿宋"/>
          <w:bCs/>
          <w:color w:val="auto"/>
          <w:sz w:val="28"/>
          <w:szCs w:val="28"/>
          <w:highlight w:val="none"/>
        </w:rPr>
        <w:t>。</w:t>
      </w:r>
    </w:p>
    <w:p w14:paraId="591266E4">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复溜：为足太阴肾经的经穴，可滋阴补肾。</w:t>
      </w:r>
    </w:p>
    <w:p w14:paraId="57BDBF25">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default"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照海：滋阴降火、滋肾利水。</w:t>
      </w:r>
    </w:p>
    <w:p w14:paraId="49F35D29">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bCs w:val="0"/>
          <w:color w:val="auto"/>
          <w:sz w:val="28"/>
          <w:szCs w:val="28"/>
          <w:highlight w:val="none"/>
          <w:lang w:eastAsia="zh-CN"/>
        </w:rPr>
      </w:pPr>
      <w:r>
        <w:rPr>
          <w:rFonts w:hint="eastAsia" w:ascii="仿宋_GB2312" w:eastAsia="仿宋_GB2312" w:cs="仿宋"/>
          <w:b/>
          <w:bCs w:val="0"/>
          <w:color w:val="auto"/>
          <w:sz w:val="28"/>
          <w:szCs w:val="28"/>
          <w:highlight w:val="none"/>
        </w:rPr>
        <w:t>脾肾阳虚证</w:t>
      </w:r>
      <w:r>
        <w:rPr>
          <w:rFonts w:hint="eastAsia" w:ascii="仿宋_GB2312" w:eastAsia="仿宋_GB2312" w:cs="仿宋"/>
          <w:b/>
          <w:bCs w:val="0"/>
          <w:color w:val="auto"/>
          <w:sz w:val="28"/>
          <w:szCs w:val="28"/>
          <w:highlight w:val="none"/>
          <w:lang w:eastAsia="zh-CN"/>
        </w:rPr>
        <w:t>：</w:t>
      </w:r>
    </w:p>
    <w:p w14:paraId="05C3DB14">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脾俞</w:t>
      </w:r>
      <w:r>
        <w:rPr>
          <w:rFonts w:hint="eastAsia" w:ascii="仿宋_GB2312" w:eastAsia="仿宋_GB2312" w:cs="仿宋"/>
          <w:bCs/>
          <w:color w:val="auto"/>
          <w:sz w:val="28"/>
          <w:szCs w:val="28"/>
          <w:highlight w:val="none"/>
          <w:lang w:eastAsia="zh-CN"/>
        </w:rPr>
        <w:t>：健脾益气、调和脾胃</w:t>
      </w:r>
      <w:r>
        <w:rPr>
          <w:rFonts w:hint="eastAsia" w:ascii="仿宋_GB2312" w:eastAsia="仿宋_GB2312" w:cs="仿宋"/>
          <w:bCs/>
          <w:color w:val="auto"/>
          <w:sz w:val="28"/>
          <w:szCs w:val="28"/>
          <w:highlight w:val="none"/>
        </w:rPr>
        <w:t>。</w:t>
      </w:r>
    </w:p>
    <w:p w14:paraId="230B4587">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eastAsia="zh-CN"/>
        </w:rPr>
        <w:t>肾俞：益肾助阳、强腰利水</w:t>
      </w:r>
    </w:p>
    <w:p w14:paraId="4EB7683D">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lang w:val="en-US" w:eastAsia="zh-CN"/>
        </w:rPr>
        <w:t>关元</w:t>
      </w:r>
      <w:r>
        <w:rPr>
          <w:rFonts w:hint="eastAsia" w:ascii="仿宋_GB2312" w:eastAsia="仿宋_GB2312" w:cs="仿宋"/>
          <w:bCs/>
          <w:color w:val="auto"/>
          <w:sz w:val="28"/>
          <w:szCs w:val="28"/>
          <w:highlight w:val="none"/>
          <w:lang w:eastAsia="zh-CN"/>
        </w:rPr>
        <w:t>：温补下焦、固本培元。</w:t>
      </w:r>
    </w:p>
    <w:p w14:paraId="58973084">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命门</w:t>
      </w:r>
      <w:r>
        <w:rPr>
          <w:rFonts w:hint="eastAsia" w:ascii="仿宋_GB2312" w:eastAsia="仿宋_GB2312" w:cs="仿宋"/>
          <w:bCs/>
          <w:color w:val="auto"/>
          <w:sz w:val="28"/>
          <w:szCs w:val="28"/>
          <w:highlight w:val="none"/>
        </w:rPr>
        <w:t>：补益下焦、温阳固脱。</w:t>
      </w:r>
    </w:p>
    <w:p w14:paraId="47360333">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bCs w:val="0"/>
          <w:color w:val="auto"/>
          <w:sz w:val="28"/>
          <w:szCs w:val="28"/>
          <w:highlight w:val="none"/>
          <w:lang w:eastAsia="zh-CN"/>
        </w:rPr>
      </w:pPr>
      <w:r>
        <w:rPr>
          <w:rFonts w:hint="eastAsia" w:ascii="仿宋_GB2312" w:eastAsia="仿宋_GB2312" w:cs="仿宋"/>
          <w:b/>
          <w:bCs w:val="0"/>
          <w:color w:val="auto"/>
          <w:sz w:val="28"/>
          <w:szCs w:val="28"/>
          <w:highlight w:val="none"/>
        </w:rPr>
        <w:t>正虚气郁证</w:t>
      </w:r>
      <w:r>
        <w:rPr>
          <w:rFonts w:hint="eastAsia" w:ascii="仿宋_GB2312" w:eastAsia="仿宋_GB2312" w:cs="仿宋"/>
          <w:b/>
          <w:bCs w:val="0"/>
          <w:color w:val="auto"/>
          <w:sz w:val="28"/>
          <w:szCs w:val="28"/>
          <w:highlight w:val="none"/>
          <w:lang w:eastAsia="zh-CN"/>
        </w:rPr>
        <w:t>：</w:t>
      </w:r>
    </w:p>
    <w:p w14:paraId="27353501">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百会：调节气血、提升阳气，强健体魄。</w:t>
      </w:r>
    </w:p>
    <w:p w14:paraId="4A682098">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膻中：主调气降逆、宽胸利膈，宁心安神。</w:t>
      </w:r>
    </w:p>
    <w:p w14:paraId="418C46BF">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气海：补益元气，调补下焦</w:t>
      </w:r>
      <w:r>
        <w:rPr>
          <w:rFonts w:hint="eastAsia" w:ascii="仿宋_GB2312" w:eastAsia="仿宋_GB2312" w:cs="仿宋"/>
          <w:bCs/>
          <w:color w:val="auto"/>
          <w:sz w:val="28"/>
          <w:szCs w:val="28"/>
          <w:highlight w:val="none"/>
          <w:lang w:eastAsia="zh-CN"/>
        </w:rPr>
        <w:t>。</w:t>
      </w:r>
    </w:p>
    <w:p w14:paraId="1901FBD6">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合谷：手阳明大肠经原穴，疏肝解郁，调和气血。</w:t>
      </w:r>
    </w:p>
    <w:p w14:paraId="067DA76E">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太冲：足厥阴肝经原穴，平肝潜阳，疏肝理气。</w:t>
      </w:r>
    </w:p>
    <w:p w14:paraId="3EF2672D">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bCs w:val="0"/>
          <w:color w:val="auto"/>
          <w:sz w:val="28"/>
          <w:szCs w:val="28"/>
          <w:highlight w:val="none"/>
          <w:lang w:eastAsia="zh-CN"/>
        </w:rPr>
      </w:pPr>
      <w:r>
        <w:rPr>
          <w:rFonts w:hint="eastAsia" w:ascii="仿宋_GB2312" w:eastAsia="仿宋_GB2312" w:cs="仿宋"/>
          <w:b/>
          <w:bCs w:val="0"/>
          <w:color w:val="auto"/>
          <w:sz w:val="28"/>
          <w:szCs w:val="28"/>
          <w:highlight w:val="none"/>
        </w:rPr>
        <w:t>正虚毒蕴证</w:t>
      </w:r>
      <w:r>
        <w:rPr>
          <w:rFonts w:hint="eastAsia" w:ascii="仿宋_GB2312" w:eastAsia="仿宋_GB2312" w:cs="仿宋"/>
          <w:b/>
          <w:bCs w:val="0"/>
          <w:color w:val="auto"/>
          <w:sz w:val="28"/>
          <w:szCs w:val="28"/>
          <w:highlight w:val="none"/>
          <w:lang w:eastAsia="zh-CN"/>
        </w:rPr>
        <w:t>：</w:t>
      </w:r>
    </w:p>
    <w:p w14:paraId="40F39C0F">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百会：调节气血、提升阳气，扶正祛邪。</w:t>
      </w:r>
    </w:p>
    <w:p w14:paraId="0A5C790B">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lang w:eastAsia="zh-CN"/>
        </w:rPr>
      </w:pPr>
      <w:r>
        <w:rPr>
          <w:rFonts w:hint="eastAsia" w:ascii="仿宋_GB2312" w:eastAsia="仿宋_GB2312" w:cs="仿宋"/>
          <w:bCs/>
          <w:color w:val="auto"/>
          <w:sz w:val="28"/>
          <w:szCs w:val="28"/>
          <w:highlight w:val="none"/>
        </w:rPr>
        <w:t>气海：补益元气，调补下焦</w:t>
      </w:r>
      <w:r>
        <w:rPr>
          <w:rFonts w:hint="eastAsia" w:ascii="仿宋_GB2312" w:eastAsia="仿宋_GB2312" w:cs="仿宋"/>
          <w:bCs/>
          <w:color w:val="auto"/>
          <w:sz w:val="28"/>
          <w:szCs w:val="28"/>
          <w:highlight w:val="none"/>
          <w:lang w:eastAsia="zh-CN"/>
        </w:rPr>
        <w:t>。</w:t>
      </w:r>
    </w:p>
    <w:p w14:paraId="7C0D26D3">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default"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关元：温补下焦、固本培元。</w:t>
      </w:r>
    </w:p>
    <w:p w14:paraId="40459DEE">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太溪：足太阴肾经原穴，可滋阴益肾</w:t>
      </w:r>
      <w:r>
        <w:rPr>
          <w:rFonts w:hint="eastAsia" w:ascii="仿宋_GB2312" w:eastAsia="仿宋_GB2312" w:cs="仿宋"/>
          <w:bCs/>
          <w:color w:val="auto"/>
          <w:sz w:val="28"/>
          <w:szCs w:val="28"/>
          <w:highlight w:val="none"/>
        </w:rPr>
        <w:t>。</w:t>
      </w:r>
    </w:p>
    <w:p w14:paraId="1FCB8C84">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hint="eastAsia"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血海：活血</w:t>
      </w:r>
      <w:r>
        <w:rPr>
          <w:rFonts w:hint="eastAsia" w:ascii="仿宋_GB2312" w:eastAsia="仿宋_GB2312" w:cs="仿宋"/>
          <w:bCs/>
          <w:color w:val="auto"/>
          <w:sz w:val="28"/>
          <w:szCs w:val="28"/>
          <w:highlight w:val="none"/>
          <w:lang w:val="en-US" w:eastAsia="zh-CN"/>
        </w:rPr>
        <w:t>补血、化瘀祛毒</w:t>
      </w:r>
      <w:bookmarkStart w:id="6" w:name="_GoBack"/>
      <w:bookmarkEnd w:id="6"/>
      <w:r>
        <w:rPr>
          <w:rFonts w:hint="eastAsia" w:ascii="仿宋_GB2312" w:eastAsia="仿宋_GB2312" w:cs="仿宋"/>
          <w:bCs/>
          <w:color w:val="auto"/>
          <w:sz w:val="28"/>
          <w:szCs w:val="28"/>
          <w:highlight w:val="none"/>
        </w:rPr>
        <w:t>。</w:t>
      </w:r>
    </w:p>
    <w:p w14:paraId="07E7CBB9">
      <w:pPr>
        <w:pStyle w:val="30"/>
        <w:keepNext w:val="0"/>
        <w:keepLines w:val="0"/>
        <w:pageBreakBefore w:val="0"/>
        <w:widowControl w:val="0"/>
        <w:kinsoku/>
        <w:wordWrap/>
        <w:overflowPunct/>
        <w:topLinePunct w:val="0"/>
        <w:autoSpaceDE w:val="0"/>
        <w:autoSpaceDN w:val="0"/>
        <w:bidi w:val="0"/>
        <w:adjustRightInd/>
        <w:snapToGrid/>
        <w:spacing w:line="520" w:lineRule="exact"/>
        <w:ind w:firstLine="1120" w:firstLineChars="400"/>
        <w:textAlignment w:val="auto"/>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lang w:val="en-US" w:eastAsia="zh-CN"/>
        </w:rPr>
        <w:t>膈俞：为八会穴之血会，理气宽胸，活血通脉</w:t>
      </w:r>
      <w:r>
        <w:rPr>
          <w:rFonts w:hint="eastAsia" w:ascii="仿宋_GB2312" w:eastAsia="仿宋_GB2312" w:cs="仿宋"/>
          <w:bCs/>
          <w:color w:val="auto"/>
          <w:sz w:val="28"/>
          <w:szCs w:val="28"/>
          <w:highlight w:val="none"/>
        </w:rPr>
        <w:t>。</w:t>
      </w:r>
    </w:p>
    <w:p w14:paraId="627F2BE8">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color w:val="auto"/>
          <w:sz w:val="28"/>
          <w:szCs w:val="28"/>
          <w:highlight w:val="none"/>
          <w:lang w:eastAsia="zh-CN"/>
        </w:rPr>
      </w:pPr>
      <w:r>
        <w:rPr>
          <w:rFonts w:hint="eastAsia" w:ascii="仿宋_GB2312" w:eastAsia="仿宋_GB2312" w:cs="仿宋"/>
          <w:b/>
          <w:color w:val="auto"/>
          <w:sz w:val="28"/>
          <w:szCs w:val="28"/>
          <w:highlight w:val="none"/>
        </w:rPr>
        <w:t>2</w:t>
      </w:r>
      <w:r>
        <w:rPr>
          <w:rFonts w:hint="eastAsia" w:ascii="仿宋_GB2312" w:eastAsia="仿宋_GB2312"/>
          <w:b/>
          <w:color w:val="auto"/>
          <w:sz w:val="28"/>
          <w:szCs w:val="28"/>
          <w:highlight w:val="none"/>
        </w:rPr>
        <w:t xml:space="preserve">. </w:t>
      </w:r>
      <w:r>
        <w:rPr>
          <w:rFonts w:hint="eastAsia" w:ascii="仿宋_GB2312" w:eastAsia="仿宋_GB2312" w:cs="仿宋"/>
          <w:b/>
          <w:color w:val="auto"/>
          <w:sz w:val="28"/>
          <w:szCs w:val="28"/>
          <w:highlight w:val="none"/>
          <w:lang w:eastAsia="zh-CN"/>
        </w:rPr>
        <w:t>针刺操作</w:t>
      </w:r>
    </w:p>
    <w:p w14:paraId="7424FD0F">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针刺操作的内容主要参考了朱琏的《新针灸学》和《范郁山朱琏针法发挥》并结合起草单位的临床实际而确定为：</w:t>
      </w:r>
    </w:p>
    <w:p w14:paraId="40DD7CAF">
      <w:pPr>
        <w:pStyle w:val="30"/>
        <w:keepNext w:val="0"/>
        <w:keepLines w:val="0"/>
        <w:pageBreakBefore w:val="0"/>
        <w:widowControl w:val="0"/>
        <w:numPr>
          <w:ilvl w:val="0"/>
          <w:numId w:val="0"/>
        </w:numPr>
        <w:kinsoku/>
        <w:wordWrap/>
        <w:overflowPunct/>
        <w:topLinePunct w:val="0"/>
        <w:bidi w:val="0"/>
        <w:spacing w:line="520" w:lineRule="exact"/>
        <w:ind w:firstLine="560" w:firstLineChars="200"/>
        <w:rPr>
          <w:rFonts w:hint="eastAsia" w:ascii="仿宋_GB2312" w:eastAsia="仿宋_GB2312" w:cs="仿宋"/>
          <w:b w:val="0"/>
          <w:bCs/>
          <w:color w:val="auto"/>
          <w:sz w:val="28"/>
          <w:szCs w:val="28"/>
          <w:highlight w:val="none"/>
          <w:lang w:val="en-US" w:eastAsia="zh-CN"/>
        </w:rPr>
      </w:pPr>
      <w:r>
        <w:rPr>
          <w:rFonts w:hint="eastAsia" w:ascii="仿宋_GB2312" w:hAnsi="Calibri" w:eastAsia="仿宋_GB2312" w:cs="仿宋"/>
          <w:b w:val="0"/>
          <w:bCs/>
          <w:color w:val="auto"/>
          <w:sz w:val="28"/>
          <w:szCs w:val="28"/>
          <w:highlight w:val="none"/>
          <w:lang w:val="en-US" w:eastAsia="zh-CN" w:bidi="ar-SA"/>
        </w:rPr>
        <w:t>（1）</w:t>
      </w:r>
      <w:r>
        <w:rPr>
          <w:rFonts w:hint="eastAsia" w:ascii="仿宋_GB2312" w:eastAsia="仿宋_GB2312" w:cs="仿宋"/>
          <w:b w:val="0"/>
          <w:bCs/>
          <w:color w:val="auto"/>
          <w:sz w:val="28"/>
          <w:szCs w:val="28"/>
          <w:highlight w:val="none"/>
          <w:lang w:val="en-US" w:eastAsia="zh-CN"/>
        </w:rPr>
        <w:t>选择合适的体位，对局部腧穴常规消毒后，采用快速刺入法进针，针尖对准穴位在1s内刺入。</w:t>
      </w:r>
    </w:p>
    <w:p w14:paraId="3F6BDDB2">
      <w:pPr>
        <w:pStyle w:val="30"/>
        <w:keepNext w:val="0"/>
        <w:keepLines w:val="0"/>
        <w:pageBreakBefore w:val="0"/>
        <w:widowControl w:val="0"/>
        <w:numPr>
          <w:ilvl w:val="0"/>
          <w:numId w:val="0"/>
        </w:numPr>
        <w:kinsoku/>
        <w:wordWrap/>
        <w:overflowPunct/>
        <w:topLinePunct w:val="0"/>
        <w:bidi w:val="0"/>
        <w:spacing w:line="520" w:lineRule="exact"/>
        <w:ind w:firstLine="560" w:firstLineChars="200"/>
        <w:rPr>
          <w:rFonts w:hint="eastAsia" w:ascii="仿宋_GB2312" w:eastAsia="仿宋_GB2312" w:cs="仿宋"/>
          <w:b w:val="0"/>
          <w:bCs/>
          <w:color w:val="auto"/>
          <w:sz w:val="28"/>
          <w:szCs w:val="28"/>
          <w:highlight w:val="none"/>
          <w:lang w:val="en-US" w:eastAsia="zh-CN"/>
        </w:rPr>
      </w:pPr>
      <w:r>
        <w:rPr>
          <w:rFonts w:hint="eastAsia" w:ascii="仿宋_GB2312" w:hAnsi="Calibri" w:eastAsia="仿宋_GB2312" w:cs="仿宋"/>
          <w:b w:val="0"/>
          <w:bCs/>
          <w:color w:val="auto"/>
          <w:sz w:val="28"/>
          <w:szCs w:val="28"/>
          <w:highlight w:val="none"/>
          <w:lang w:val="en-US" w:eastAsia="zh-CN" w:bidi="ar-SA"/>
        </w:rPr>
        <w:t>（2）</w:t>
      </w:r>
      <w:r>
        <w:rPr>
          <w:rFonts w:hint="eastAsia" w:ascii="仿宋_GB2312" w:eastAsia="仿宋_GB2312" w:cs="仿宋"/>
          <w:b w:val="0"/>
          <w:bCs/>
          <w:color w:val="auto"/>
          <w:sz w:val="28"/>
          <w:szCs w:val="28"/>
          <w:highlight w:val="none"/>
          <w:lang w:val="en-US" w:eastAsia="zh-CN"/>
        </w:rPr>
        <w:t>针刺入皮肤后，以轻快、小幅度的行针手法捻针，将针往下插，状如雀啄。</w:t>
      </w:r>
    </w:p>
    <w:p w14:paraId="079CA7A3">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（3）针进至肌肉层后，进行小幅度的指虚捻针（执针柄的手指稍为放松）。</w:t>
      </w:r>
    </w:p>
    <w:p w14:paraId="7E26F5A9">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（4）捻转时以顺时针与逆时针相结合，以顺时针捻转为主，捻转频率为120r/min～180r/min，待患者产生稍胀而舒适的感觉后，留针20min。</w:t>
      </w:r>
    </w:p>
    <w:p w14:paraId="0E4C46EA">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（5）起针时，快速出针，用消毒棉签按压针孔。</w:t>
      </w:r>
    </w:p>
    <w:p w14:paraId="65D20C4E">
      <w:pPr>
        <w:pStyle w:val="30"/>
        <w:keepNext w:val="0"/>
        <w:keepLines w:val="0"/>
        <w:pageBreakBefore w:val="0"/>
        <w:widowControl w:val="0"/>
        <w:kinsoku/>
        <w:wordWrap/>
        <w:overflowPunct/>
        <w:topLinePunct w:val="0"/>
        <w:bidi w:val="0"/>
        <w:spacing w:line="240" w:lineRule="auto"/>
        <w:ind w:left="0" w:leftChars="0" w:firstLine="0" w:firstLineChars="0"/>
        <w:jc w:val="center"/>
        <w:rPr>
          <w:rFonts w:hint="eastAsia" w:ascii="仿宋_GB2312" w:eastAsia="仿宋_GB2312" w:cs="仿宋"/>
          <w:b w:val="0"/>
          <w:bCs/>
          <w:color w:val="auto"/>
          <w:sz w:val="28"/>
          <w:szCs w:val="28"/>
          <w:highlight w:val="none"/>
          <w:lang w:val="en-US" w:eastAsia="zh-CN"/>
        </w:rPr>
      </w:pPr>
      <w:r>
        <w:rPr>
          <w:color w:val="auto"/>
          <w:highlight w:val="none"/>
        </w:rPr>
        <w:drawing>
          <wp:inline distT="0" distB="0" distL="114300" distR="114300">
            <wp:extent cx="5687060" cy="1045845"/>
            <wp:effectExtent l="9525" t="9525" r="18415" b="1143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0"/>
                    <a:stretch>
                      <a:fillRect/>
                    </a:stretch>
                  </pic:blipFill>
                  <pic:spPr>
                    <a:xfrm>
                      <a:off x="0" y="0"/>
                      <a:ext cx="5687060" cy="1045845"/>
                    </a:xfrm>
                    <a:prstGeom prst="rect">
                      <a:avLst/>
                    </a:prstGeom>
                    <a:noFill/>
                    <a:ln>
                      <a:solidFill>
                        <a:schemeClr val="tx1"/>
                      </a:solidFill>
                    </a:ln>
                  </pic:spPr>
                </pic:pic>
              </a:graphicData>
            </a:graphic>
          </wp:inline>
        </w:drawing>
      </w:r>
    </w:p>
    <w:p w14:paraId="12CE4F39">
      <w:pPr>
        <w:pStyle w:val="30"/>
        <w:keepNext w:val="0"/>
        <w:keepLines w:val="0"/>
        <w:pageBreakBefore w:val="0"/>
        <w:widowControl w:val="0"/>
        <w:shd w:val="clear"/>
        <w:kinsoku/>
        <w:wordWrap/>
        <w:overflowPunct/>
        <w:topLinePunct w:val="0"/>
        <w:bidi w:val="0"/>
        <w:spacing w:line="240" w:lineRule="auto"/>
        <w:ind w:firstLine="0" w:firstLineChars="0"/>
        <w:jc w:val="center"/>
        <w:rPr>
          <w:rFonts w:ascii="仿宋_GB2312" w:eastAsia="仿宋_GB2312" w:cs="仿宋"/>
          <w:bCs/>
          <w:color w:val="auto"/>
          <w:sz w:val="28"/>
          <w:szCs w:val="28"/>
          <w:highlight w:val="none"/>
        </w:rPr>
      </w:pPr>
      <w:r>
        <w:rPr>
          <w:rFonts w:hint="eastAsia" w:ascii="黑体" w:hAnsi="黑体" w:eastAsia="黑体" w:cs="黑体"/>
          <w:bCs/>
          <w:color w:val="auto"/>
          <w:szCs w:val="21"/>
          <w:highlight w:val="none"/>
        </w:rPr>
        <w:t>来源：朱琏.新针灸学[M].南宁：广西科学技术出版社，2008.</w:t>
      </w:r>
    </w:p>
    <w:p w14:paraId="1693A10E">
      <w:pPr>
        <w:pStyle w:val="30"/>
        <w:keepNext w:val="0"/>
        <w:keepLines w:val="0"/>
        <w:pageBreakBefore w:val="0"/>
        <w:widowControl w:val="0"/>
        <w:kinsoku/>
        <w:wordWrap/>
        <w:overflowPunct/>
        <w:topLinePunct w:val="0"/>
        <w:bidi w:val="0"/>
        <w:spacing w:line="240" w:lineRule="auto"/>
        <w:ind w:left="0" w:leftChars="0" w:firstLine="0" w:firstLineChars="0"/>
        <w:jc w:val="center"/>
        <w:rPr>
          <w:rFonts w:hint="eastAsia"/>
          <w:color w:val="auto"/>
          <w:highlight w:val="none"/>
          <w:lang w:val="en-US" w:eastAsia="zh-CN"/>
        </w:rPr>
      </w:pPr>
      <w:r>
        <w:rPr>
          <w:color w:val="auto"/>
          <w:highlight w:val="none"/>
        </w:rPr>
        <w:drawing>
          <wp:inline distT="0" distB="0" distL="114300" distR="114300">
            <wp:extent cx="3571875" cy="1383030"/>
            <wp:effectExtent l="9525" t="9525" r="19050" b="1714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21"/>
                    <a:stretch>
                      <a:fillRect/>
                    </a:stretch>
                  </pic:blipFill>
                  <pic:spPr>
                    <a:xfrm>
                      <a:off x="0" y="0"/>
                      <a:ext cx="3571875" cy="1383030"/>
                    </a:xfrm>
                    <a:prstGeom prst="rect">
                      <a:avLst/>
                    </a:prstGeom>
                    <a:noFill/>
                    <a:ln>
                      <a:solidFill>
                        <a:schemeClr val="tx1"/>
                      </a:solidFill>
                    </a:ln>
                  </pic:spPr>
                </pic:pic>
              </a:graphicData>
            </a:graphic>
          </wp:inline>
        </w:drawing>
      </w:r>
    </w:p>
    <w:p w14:paraId="78267FF7">
      <w:pPr>
        <w:pStyle w:val="30"/>
        <w:keepNext w:val="0"/>
        <w:keepLines w:val="0"/>
        <w:pageBreakBefore w:val="0"/>
        <w:widowControl w:val="0"/>
        <w:kinsoku/>
        <w:wordWrap/>
        <w:overflowPunct/>
        <w:topLinePunct w:val="0"/>
        <w:bidi w:val="0"/>
        <w:spacing w:line="240" w:lineRule="auto"/>
        <w:ind w:left="0" w:leftChars="0" w:firstLine="0" w:firstLineChars="0"/>
        <w:jc w:val="center"/>
        <w:rPr>
          <w:rFonts w:hint="eastAsia" w:ascii="黑体" w:hAnsi="黑体" w:eastAsia="黑体" w:cs="黑体"/>
          <w:color w:val="auto"/>
          <w:highlight w:val="none"/>
        </w:rPr>
      </w:pPr>
      <w:r>
        <w:rPr>
          <w:rFonts w:hint="eastAsia" w:ascii="黑体" w:hAnsi="黑体" w:eastAsia="黑体" w:cs="黑体"/>
          <w:i w:val="0"/>
          <w:iCs w:val="0"/>
          <w:caps w:val="0"/>
          <w:color w:val="auto"/>
          <w:spacing w:val="0"/>
          <w:sz w:val="21"/>
          <w:szCs w:val="21"/>
          <w:highlight w:val="none"/>
          <w:shd w:val="clear" w:fill="FBFBFB"/>
          <w:lang w:eastAsia="zh-CN"/>
        </w:rPr>
        <w:t>来源：</w:t>
      </w:r>
      <w:r>
        <w:rPr>
          <w:rFonts w:hint="eastAsia" w:ascii="黑体" w:hAnsi="黑体" w:eastAsia="黑体" w:cs="黑体"/>
          <w:i w:val="0"/>
          <w:iCs w:val="0"/>
          <w:caps w:val="0"/>
          <w:color w:val="auto"/>
          <w:spacing w:val="0"/>
          <w:sz w:val="21"/>
          <w:szCs w:val="21"/>
          <w:highlight w:val="none"/>
          <w:shd w:val="clear" w:fill="FBFBFB"/>
        </w:rPr>
        <w:t>贺彩,范郁山.范郁山朱琏针法发挥[J].中医药导报, 2020.</w:t>
      </w:r>
    </w:p>
    <w:p w14:paraId="6DEC408F">
      <w:pPr>
        <w:pStyle w:val="30"/>
        <w:keepNext w:val="0"/>
        <w:keepLines w:val="0"/>
        <w:pageBreakBefore w:val="0"/>
        <w:widowControl w:val="0"/>
        <w:numPr>
          <w:ilvl w:val="0"/>
          <w:numId w:val="7"/>
        </w:numPr>
        <w:kinsoku/>
        <w:wordWrap/>
        <w:overflowPunct/>
        <w:topLinePunct w:val="0"/>
        <w:bidi w:val="0"/>
        <w:adjustRightInd/>
        <w:snapToGrid/>
        <w:spacing w:line="510" w:lineRule="exact"/>
        <w:ind w:left="0" w:leftChars="0" w:firstLine="560" w:firstLineChars="200"/>
        <w:textAlignment w:val="auto"/>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留针时间参考朱琏的《新针灸学》和《范郁山朱琏针法发挥》并结合起草单位的临床实际，</w:t>
      </w:r>
      <w:r>
        <w:rPr>
          <w:rFonts w:hint="eastAsia" w:ascii="仿宋_GB2312" w:eastAsia="仿宋_GB2312" w:cs="仿宋_GB2312"/>
          <w:b w:val="0"/>
          <w:bCs/>
          <w:color w:val="auto"/>
          <w:sz w:val="28"/>
          <w:szCs w:val="28"/>
          <w:highlight w:val="none"/>
          <w:lang w:val="en-US" w:eastAsia="zh-CN"/>
        </w:rPr>
        <w:t>癌因性疲乏属于慢性虚损性病症，留针时间20min，相比于留针5min而言可更好的候气、守气，达到气至而效至的效果，</w:t>
      </w:r>
      <w:r>
        <w:rPr>
          <w:rFonts w:hint="eastAsia" w:ascii="仿宋_GB2312" w:eastAsia="仿宋_GB2312" w:cs="仿宋"/>
          <w:b w:val="0"/>
          <w:bCs/>
          <w:color w:val="auto"/>
          <w:sz w:val="28"/>
          <w:szCs w:val="28"/>
          <w:highlight w:val="none"/>
          <w:lang w:val="en-US" w:eastAsia="zh-CN"/>
        </w:rPr>
        <w:t>因此确定为20min。</w:t>
      </w:r>
    </w:p>
    <w:p w14:paraId="745A6437">
      <w:pPr>
        <w:pStyle w:val="30"/>
        <w:keepNext w:val="0"/>
        <w:keepLines w:val="0"/>
        <w:pageBreakBefore w:val="0"/>
        <w:widowControl w:val="0"/>
        <w:kinsoku/>
        <w:wordWrap/>
        <w:overflowPunct/>
        <w:topLinePunct w:val="0"/>
        <w:bidi w:val="0"/>
        <w:spacing w:line="240" w:lineRule="auto"/>
        <w:ind w:left="0" w:leftChars="0" w:firstLine="0" w:firstLineChars="0"/>
        <w:jc w:val="center"/>
        <w:rPr>
          <w:color w:val="auto"/>
          <w:highlight w:val="none"/>
        </w:rPr>
      </w:pPr>
      <w:r>
        <w:rPr>
          <w:color w:val="auto"/>
          <w:highlight w:val="none"/>
        </w:rPr>
        <w:drawing>
          <wp:inline distT="0" distB="0" distL="114300" distR="114300">
            <wp:extent cx="4510405" cy="2428875"/>
            <wp:effectExtent l="9525" t="9525" r="13970" b="1905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22"/>
                    <a:stretch>
                      <a:fillRect/>
                    </a:stretch>
                  </pic:blipFill>
                  <pic:spPr>
                    <a:xfrm>
                      <a:off x="0" y="0"/>
                      <a:ext cx="4510405" cy="2428875"/>
                    </a:xfrm>
                    <a:prstGeom prst="rect">
                      <a:avLst/>
                    </a:prstGeom>
                    <a:noFill/>
                    <a:ln>
                      <a:solidFill>
                        <a:schemeClr val="tx1"/>
                      </a:solidFill>
                    </a:ln>
                  </pic:spPr>
                </pic:pic>
              </a:graphicData>
            </a:graphic>
          </wp:inline>
        </w:drawing>
      </w:r>
    </w:p>
    <w:p w14:paraId="3928E7FE">
      <w:pPr>
        <w:pStyle w:val="30"/>
        <w:keepNext w:val="0"/>
        <w:keepLines w:val="0"/>
        <w:pageBreakBefore w:val="0"/>
        <w:widowControl w:val="0"/>
        <w:shd w:val="clear"/>
        <w:kinsoku/>
        <w:wordWrap/>
        <w:overflowPunct/>
        <w:topLinePunct w:val="0"/>
        <w:bidi w:val="0"/>
        <w:spacing w:line="240" w:lineRule="auto"/>
        <w:ind w:firstLine="0" w:firstLineChars="0"/>
        <w:jc w:val="center"/>
        <w:rPr>
          <w:rFonts w:ascii="仿宋_GB2312" w:eastAsia="仿宋_GB2312" w:cs="仿宋"/>
          <w:bCs/>
          <w:color w:val="auto"/>
          <w:sz w:val="28"/>
          <w:szCs w:val="28"/>
          <w:highlight w:val="none"/>
        </w:rPr>
      </w:pPr>
      <w:r>
        <w:rPr>
          <w:rFonts w:hint="eastAsia" w:ascii="黑体" w:hAnsi="黑体" w:eastAsia="黑体" w:cs="黑体"/>
          <w:bCs/>
          <w:color w:val="auto"/>
          <w:szCs w:val="21"/>
          <w:highlight w:val="none"/>
        </w:rPr>
        <w:t>来源：朱琏.新针灸学[M].南宁：广西科学技术出版社，2008.</w:t>
      </w:r>
    </w:p>
    <w:p w14:paraId="31BEC5A2">
      <w:pPr>
        <w:pStyle w:val="30"/>
        <w:keepNext w:val="0"/>
        <w:keepLines w:val="0"/>
        <w:pageBreakBefore w:val="0"/>
        <w:widowControl w:val="0"/>
        <w:kinsoku/>
        <w:wordWrap/>
        <w:overflowPunct/>
        <w:topLinePunct w:val="0"/>
        <w:bidi w:val="0"/>
        <w:spacing w:line="240" w:lineRule="auto"/>
        <w:ind w:left="0" w:leftChars="0" w:firstLine="0" w:firstLineChars="0"/>
        <w:jc w:val="center"/>
        <w:rPr>
          <w:rFonts w:hint="eastAsia"/>
          <w:color w:val="auto"/>
          <w:highlight w:val="none"/>
          <w:lang w:val="en-US" w:eastAsia="zh-CN"/>
        </w:rPr>
      </w:pPr>
    </w:p>
    <w:p w14:paraId="0D6315CB">
      <w:pPr>
        <w:pStyle w:val="30"/>
        <w:keepNext w:val="0"/>
        <w:keepLines w:val="0"/>
        <w:pageBreakBefore w:val="0"/>
        <w:widowControl w:val="0"/>
        <w:kinsoku/>
        <w:wordWrap/>
        <w:overflowPunct/>
        <w:topLinePunct w:val="0"/>
        <w:bidi w:val="0"/>
        <w:spacing w:line="520" w:lineRule="exact"/>
        <w:ind w:firstLine="562"/>
        <w:rPr>
          <w:rFonts w:hint="eastAsia"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下表是癌因性疲乏朱琏兴奋Ⅱ型针法治疗记录：</w:t>
      </w:r>
    </w:p>
    <w:p w14:paraId="1D601145">
      <w:pPr>
        <w:pStyle w:val="30"/>
        <w:keepNext w:val="0"/>
        <w:keepLines w:val="0"/>
        <w:pageBreakBefore w:val="0"/>
        <w:widowControl w:val="0"/>
        <w:kinsoku/>
        <w:wordWrap/>
        <w:overflowPunct/>
        <w:topLinePunct w:val="0"/>
        <w:bidi w:val="0"/>
        <w:spacing w:line="520" w:lineRule="exact"/>
        <w:ind w:firstLine="0" w:firstLineChars="0"/>
        <w:jc w:val="center"/>
        <w:rPr>
          <w:rFonts w:hint="eastAsia" w:ascii="黑体" w:hAnsi="黑体" w:eastAsia="黑体" w:cs="黑体"/>
          <w:bCs/>
          <w:color w:val="auto"/>
          <w:sz w:val="24"/>
          <w:szCs w:val="24"/>
          <w:highlight w:val="none"/>
        </w:rPr>
      </w:pPr>
      <w:r>
        <w:rPr>
          <w:rFonts w:hint="eastAsia" w:ascii="黑体" w:hAnsi="黑体" w:eastAsia="黑体" w:cs="黑体"/>
          <w:bCs/>
          <w:color w:val="auto"/>
          <w:sz w:val="24"/>
          <w:szCs w:val="24"/>
          <w:highlight w:val="none"/>
        </w:rPr>
        <w:t>癌因性疲乏朱琏兴奋Ⅱ型针法治疗记录</w:t>
      </w:r>
    </w:p>
    <w:tbl>
      <w:tblPr>
        <w:tblStyle w:val="16"/>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1919"/>
        <w:gridCol w:w="4661"/>
        <w:gridCol w:w="1840"/>
      </w:tblGrid>
      <w:tr w14:paraId="69E41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1012" w:type="dxa"/>
            <w:vAlign w:val="center"/>
          </w:tcPr>
          <w:p w14:paraId="5211FC4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年份</w:t>
            </w:r>
          </w:p>
        </w:tc>
        <w:tc>
          <w:tcPr>
            <w:tcW w:w="1919" w:type="dxa"/>
            <w:vAlign w:val="center"/>
          </w:tcPr>
          <w:p w14:paraId="20680D18">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实际治疗方法</w:t>
            </w:r>
          </w:p>
        </w:tc>
        <w:tc>
          <w:tcPr>
            <w:tcW w:w="4661" w:type="dxa"/>
            <w:vAlign w:val="center"/>
          </w:tcPr>
          <w:p w14:paraId="7093D06A">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治疗效果</w:t>
            </w:r>
          </w:p>
        </w:tc>
        <w:tc>
          <w:tcPr>
            <w:tcW w:w="1840" w:type="dxa"/>
            <w:vAlign w:val="center"/>
          </w:tcPr>
          <w:p w14:paraId="462F5FFD">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核心指标的分析确定</w:t>
            </w:r>
          </w:p>
        </w:tc>
      </w:tr>
      <w:tr w14:paraId="21168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012" w:type="dxa"/>
            <w:vAlign w:val="center"/>
          </w:tcPr>
          <w:p w14:paraId="21F15C6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2022</w:t>
            </w:r>
          </w:p>
        </w:tc>
        <w:tc>
          <w:tcPr>
            <w:tcW w:w="1919" w:type="dxa"/>
            <w:vAlign w:val="center"/>
          </w:tcPr>
          <w:p w14:paraId="088B8CF4">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eastAsia" w:ascii="仿宋_GB2312" w:eastAsia="仿宋_GB2312" w:cs="仿宋"/>
                <w:bCs/>
                <w:color w:val="auto"/>
                <w:sz w:val="24"/>
                <w:szCs w:val="24"/>
                <w:highlight w:val="none"/>
                <w:lang w:eastAsia="zh-CN"/>
              </w:rPr>
            </w:pPr>
            <w:r>
              <w:rPr>
                <w:rFonts w:hint="eastAsia" w:ascii="仿宋_GB2312" w:eastAsia="仿宋_GB2312" w:cs="仿宋"/>
                <w:bCs/>
                <w:color w:val="auto"/>
                <w:sz w:val="24"/>
                <w:szCs w:val="24"/>
                <w:highlight w:val="none"/>
                <w:lang w:val="en-US" w:eastAsia="zh-CN"/>
              </w:rPr>
              <w:t>辨</w:t>
            </w:r>
            <w:r>
              <w:rPr>
                <w:rFonts w:hint="eastAsia" w:ascii="仿宋_GB2312" w:eastAsia="仿宋_GB2312" w:cs="仿宋"/>
                <w:bCs/>
                <w:color w:val="auto"/>
                <w:sz w:val="24"/>
                <w:szCs w:val="24"/>
                <w:highlight w:val="none"/>
                <w:lang w:eastAsia="zh-CN"/>
              </w:rPr>
              <w:t>证选穴</w:t>
            </w:r>
          </w:p>
        </w:tc>
        <w:tc>
          <w:tcPr>
            <w:tcW w:w="4661" w:type="dxa"/>
            <w:vAlign w:val="center"/>
          </w:tcPr>
          <w:p w14:paraId="59B58D45">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998</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598</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798</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898</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99</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90</w:t>
            </w:r>
            <w:r>
              <w:rPr>
                <w:rFonts w:hint="eastAsia" w:ascii="仿宋_GB2312" w:eastAsia="仿宋_GB2312" w:cs="仿宋"/>
                <w:bCs/>
                <w:color w:val="auto"/>
                <w:sz w:val="24"/>
                <w:szCs w:val="24"/>
                <w:highlight w:val="none"/>
              </w:rPr>
              <w:t>%。</w:t>
            </w:r>
          </w:p>
        </w:tc>
        <w:tc>
          <w:tcPr>
            <w:tcW w:w="1840" w:type="dxa"/>
            <w:vMerge w:val="restart"/>
            <w:vAlign w:val="center"/>
          </w:tcPr>
          <w:p w14:paraId="3E652BE5">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患者主观</w:t>
            </w:r>
            <w:r>
              <w:rPr>
                <w:rFonts w:hint="eastAsia" w:ascii="仿宋_GB2312" w:eastAsia="仿宋_GB2312" w:cs="仿宋"/>
                <w:bCs/>
                <w:color w:val="auto"/>
                <w:sz w:val="24"/>
                <w:szCs w:val="24"/>
                <w:highlight w:val="none"/>
                <w:lang w:eastAsia="zh-CN"/>
              </w:rPr>
              <w:t>症状</w:t>
            </w:r>
            <w:r>
              <w:rPr>
                <w:rFonts w:hint="eastAsia" w:ascii="仿宋_GB2312" w:eastAsia="仿宋_GB2312" w:cs="仿宋"/>
                <w:bCs/>
                <w:color w:val="auto"/>
                <w:sz w:val="24"/>
                <w:szCs w:val="24"/>
                <w:highlight w:val="none"/>
                <w:lang w:val="en-US" w:eastAsia="zh-CN"/>
              </w:rPr>
              <w:t>改善</w:t>
            </w:r>
          </w:p>
        </w:tc>
      </w:tr>
      <w:tr w14:paraId="611B8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54C38F29">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2023</w:t>
            </w:r>
          </w:p>
        </w:tc>
        <w:tc>
          <w:tcPr>
            <w:tcW w:w="1919" w:type="dxa"/>
            <w:vAlign w:val="center"/>
          </w:tcPr>
          <w:p w14:paraId="189E2E91">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lang w:val="en-US" w:eastAsia="zh-CN"/>
              </w:rPr>
              <w:t>辨</w:t>
            </w:r>
            <w:r>
              <w:rPr>
                <w:rFonts w:hint="eastAsia" w:ascii="仿宋_GB2312" w:eastAsia="仿宋_GB2312" w:cs="仿宋"/>
                <w:bCs/>
                <w:color w:val="auto"/>
                <w:sz w:val="24"/>
                <w:szCs w:val="24"/>
                <w:highlight w:val="none"/>
                <w:lang w:eastAsia="zh-CN"/>
              </w:rPr>
              <w:t>证选穴</w:t>
            </w:r>
          </w:p>
        </w:tc>
        <w:tc>
          <w:tcPr>
            <w:tcW w:w="4661" w:type="dxa"/>
            <w:vAlign w:val="center"/>
          </w:tcPr>
          <w:p w14:paraId="4A3E799E">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3546</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2127</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2836</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3120</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425</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88</w:t>
            </w:r>
            <w:r>
              <w:rPr>
                <w:rFonts w:hint="eastAsia" w:ascii="仿宋_GB2312" w:eastAsia="仿宋_GB2312" w:cs="仿宋"/>
                <w:bCs/>
                <w:color w:val="auto"/>
                <w:sz w:val="24"/>
                <w:szCs w:val="24"/>
                <w:highlight w:val="none"/>
              </w:rPr>
              <w:t>%。</w:t>
            </w:r>
          </w:p>
        </w:tc>
        <w:tc>
          <w:tcPr>
            <w:tcW w:w="1840" w:type="dxa"/>
            <w:vMerge w:val="continue"/>
            <w:vAlign w:val="center"/>
          </w:tcPr>
          <w:p w14:paraId="68F34A5C">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p>
        </w:tc>
      </w:tr>
      <w:tr w14:paraId="3502E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012" w:type="dxa"/>
            <w:vAlign w:val="center"/>
          </w:tcPr>
          <w:p w14:paraId="7C29D170">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2024</w:t>
            </w:r>
          </w:p>
        </w:tc>
        <w:tc>
          <w:tcPr>
            <w:tcW w:w="1919" w:type="dxa"/>
            <w:vAlign w:val="center"/>
          </w:tcPr>
          <w:p w14:paraId="0E52ED1C">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lang w:val="en-US" w:eastAsia="zh-CN"/>
              </w:rPr>
              <w:t>辨</w:t>
            </w:r>
            <w:r>
              <w:rPr>
                <w:rFonts w:hint="eastAsia" w:ascii="仿宋_GB2312" w:eastAsia="仿宋_GB2312" w:cs="仿宋"/>
                <w:bCs/>
                <w:color w:val="auto"/>
                <w:sz w:val="24"/>
                <w:szCs w:val="24"/>
                <w:highlight w:val="none"/>
                <w:lang w:eastAsia="zh-CN"/>
              </w:rPr>
              <w:t>证选穴</w:t>
            </w:r>
          </w:p>
        </w:tc>
        <w:tc>
          <w:tcPr>
            <w:tcW w:w="4661" w:type="dxa"/>
            <w:vAlign w:val="center"/>
          </w:tcPr>
          <w:p w14:paraId="05F00414">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7131</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4635</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4991</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6346</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784</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89</w:t>
            </w:r>
            <w:r>
              <w:rPr>
                <w:rFonts w:hint="eastAsia" w:ascii="仿宋_GB2312" w:eastAsia="仿宋_GB2312" w:cs="仿宋"/>
                <w:bCs/>
                <w:color w:val="auto"/>
                <w:sz w:val="24"/>
                <w:szCs w:val="24"/>
                <w:highlight w:val="none"/>
              </w:rPr>
              <w:t>%。</w:t>
            </w:r>
          </w:p>
        </w:tc>
        <w:tc>
          <w:tcPr>
            <w:tcW w:w="1840" w:type="dxa"/>
            <w:vMerge w:val="continue"/>
            <w:vAlign w:val="center"/>
          </w:tcPr>
          <w:p w14:paraId="153E97D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p>
        </w:tc>
      </w:tr>
      <w:tr w14:paraId="5C94B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2" w:type="dxa"/>
            <w:vAlign w:val="center"/>
          </w:tcPr>
          <w:p w14:paraId="5DA65E8B">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2025</w:t>
            </w:r>
          </w:p>
        </w:tc>
        <w:tc>
          <w:tcPr>
            <w:tcW w:w="1919" w:type="dxa"/>
            <w:vAlign w:val="center"/>
          </w:tcPr>
          <w:p w14:paraId="5159D413">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lang w:val="en-US" w:eastAsia="zh-CN"/>
              </w:rPr>
              <w:t>辨</w:t>
            </w:r>
            <w:r>
              <w:rPr>
                <w:rFonts w:hint="eastAsia" w:ascii="仿宋_GB2312" w:eastAsia="仿宋_GB2312" w:cs="仿宋"/>
                <w:bCs/>
                <w:color w:val="auto"/>
                <w:sz w:val="24"/>
                <w:szCs w:val="24"/>
                <w:highlight w:val="none"/>
                <w:lang w:eastAsia="zh-CN"/>
              </w:rPr>
              <w:t>证选穴</w:t>
            </w:r>
          </w:p>
        </w:tc>
        <w:tc>
          <w:tcPr>
            <w:tcW w:w="4661" w:type="dxa"/>
            <w:vAlign w:val="center"/>
          </w:tcPr>
          <w:p w14:paraId="674C36F1">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共治疗</w:t>
            </w:r>
            <w:r>
              <w:rPr>
                <w:rFonts w:hint="eastAsia" w:ascii="仿宋_GB2312" w:eastAsia="仿宋_GB2312" w:cs="仿宋"/>
                <w:bCs/>
                <w:color w:val="auto"/>
                <w:sz w:val="24"/>
                <w:szCs w:val="24"/>
                <w:highlight w:val="none"/>
                <w:lang w:val="en-US" w:eastAsia="zh-CN"/>
              </w:rPr>
              <w:t>4216</w:t>
            </w:r>
            <w:r>
              <w:rPr>
                <w:rFonts w:hint="eastAsia" w:ascii="仿宋_GB2312" w:eastAsia="仿宋_GB2312" w:cs="仿宋"/>
                <w:bCs/>
                <w:color w:val="auto"/>
                <w:sz w:val="24"/>
                <w:szCs w:val="24"/>
                <w:highlight w:val="none"/>
              </w:rPr>
              <w:t>例患者，其中痊愈</w:t>
            </w:r>
            <w:r>
              <w:rPr>
                <w:rFonts w:hint="eastAsia" w:ascii="仿宋_GB2312" w:eastAsia="仿宋_GB2312" w:cs="仿宋"/>
                <w:bCs/>
                <w:color w:val="auto"/>
                <w:sz w:val="24"/>
                <w:szCs w:val="24"/>
                <w:highlight w:val="none"/>
                <w:lang w:val="en-US" w:eastAsia="zh-CN"/>
              </w:rPr>
              <w:t>2866</w:t>
            </w:r>
            <w:r>
              <w:rPr>
                <w:rFonts w:hint="eastAsia" w:ascii="仿宋_GB2312" w:eastAsia="仿宋_GB2312" w:cs="仿宋"/>
                <w:bCs/>
                <w:color w:val="auto"/>
                <w:sz w:val="24"/>
                <w:szCs w:val="24"/>
                <w:highlight w:val="none"/>
              </w:rPr>
              <w:t>例，显效</w:t>
            </w:r>
            <w:r>
              <w:rPr>
                <w:rFonts w:hint="eastAsia" w:ascii="仿宋_GB2312" w:eastAsia="仿宋_GB2312" w:cs="仿宋"/>
                <w:bCs/>
                <w:color w:val="auto"/>
                <w:sz w:val="24"/>
                <w:szCs w:val="24"/>
                <w:highlight w:val="none"/>
                <w:lang w:val="en-US" w:eastAsia="zh-CN"/>
              </w:rPr>
              <w:t>2951</w:t>
            </w:r>
            <w:r>
              <w:rPr>
                <w:rFonts w:hint="eastAsia" w:ascii="仿宋_GB2312" w:eastAsia="仿宋_GB2312" w:cs="仿宋"/>
                <w:bCs/>
                <w:color w:val="auto"/>
                <w:sz w:val="24"/>
                <w:szCs w:val="24"/>
                <w:highlight w:val="none"/>
              </w:rPr>
              <w:t>例，有效</w:t>
            </w:r>
            <w:r>
              <w:rPr>
                <w:rFonts w:hint="eastAsia" w:ascii="仿宋_GB2312" w:eastAsia="仿宋_GB2312" w:cs="仿宋"/>
                <w:bCs/>
                <w:color w:val="auto"/>
                <w:sz w:val="24"/>
                <w:szCs w:val="24"/>
                <w:highlight w:val="none"/>
                <w:lang w:val="en-US" w:eastAsia="zh-CN"/>
              </w:rPr>
              <w:t>3794</w:t>
            </w:r>
            <w:r>
              <w:rPr>
                <w:rFonts w:hint="eastAsia" w:ascii="仿宋_GB2312" w:eastAsia="仿宋_GB2312" w:cs="仿宋"/>
                <w:bCs/>
                <w:color w:val="auto"/>
                <w:sz w:val="24"/>
                <w:szCs w:val="24"/>
                <w:highlight w:val="none"/>
              </w:rPr>
              <w:t>例，无效</w:t>
            </w:r>
            <w:r>
              <w:rPr>
                <w:rFonts w:hint="eastAsia" w:ascii="仿宋_GB2312" w:eastAsia="仿宋_GB2312" w:cs="仿宋"/>
                <w:bCs/>
                <w:color w:val="auto"/>
                <w:sz w:val="24"/>
                <w:szCs w:val="24"/>
                <w:highlight w:val="none"/>
                <w:lang w:val="en-US" w:eastAsia="zh-CN"/>
              </w:rPr>
              <w:t>421</w:t>
            </w:r>
            <w:r>
              <w:rPr>
                <w:rFonts w:hint="eastAsia" w:ascii="仿宋_GB2312" w:eastAsia="仿宋_GB2312" w:cs="仿宋"/>
                <w:bCs/>
                <w:color w:val="auto"/>
                <w:sz w:val="24"/>
                <w:szCs w:val="24"/>
                <w:highlight w:val="none"/>
              </w:rPr>
              <w:t>例，总有效率</w:t>
            </w:r>
            <w:r>
              <w:rPr>
                <w:rFonts w:hint="eastAsia" w:ascii="仿宋_GB2312" w:eastAsia="仿宋_GB2312" w:cs="仿宋"/>
                <w:bCs/>
                <w:color w:val="auto"/>
                <w:sz w:val="24"/>
                <w:szCs w:val="24"/>
                <w:highlight w:val="none"/>
                <w:lang w:val="en-US" w:eastAsia="zh-CN"/>
              </w:rPr>
              <w:t>90</w:t>
            </w:r>
            <w:r>
              <w:rPr>
                <w:rFonts w:hint="eastAsia" w:ascii="仿宋_GB2312" w:eastAsia="仿宋_GB2312" w:cs="仿宋"/>
                <w:bCs/>
                <w:color w:val="auto"/>
                <w:sz w:val="24"/>
                <w:szCs w:val="24"/>
                <w:highlight w:val="none"/>
              </w:rPr>
              <w:t>%。</w:t>
            </w:r>
          </w:p>
        </w:tc>
        <w:tc>
          <w:tcPr>
            <w:tcW w:w="1840" w:type="dxa"/>
            <w:vMerge w:val="continue"/>
            <w:vAlign w:val="center"/>
          </w:tcPr>
          <w:p w14:paraId="5ACC3D47">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p>
        </w:tc>
      </w:tr>
    </w:tbl>
    <w:p w14:paraId="1D15E03D">
      <w:pPr>
        <w:pStyle w:val="30"/>
        <w:keepNext w:val="0"/>
        <w:keepLines w:val="0"/>
        <w:pageBreakBefore w:val="0"/>
        <w:widowControl w:val="0"/>
        <w:kinsoku/>
        <w:wordWrap/>
        <w:overflowPunct/>
        <w:topLinePunct w:val="0"/>
        <w:bidi w:val="0"/>
        <w:spacing w:line="520" w:lineRule="exact"/>
        <w:ind w:firstLine="562"/>
        <w:rPr>
          <w:rFonts w:hint="default" w:ascii="仿宋_GB2312" w:eastAsia="仿宋_GB2312" w:cs="仿宋"/>
          <w:b w:val="0"/>
          <w:bCs/>
          <w:color w:val="auto"/>
          <w:sz w:val="28"/>
          <w:szCs w:val="28"/>
          <w:highlight w:val="none"/>
          <w:lang w:val="en-US" w:eastAsia="zh-CN"/>
        </w:rPr>
      </w:pPr>
      <w:r>
        <w:rPr>
          <w:rFonts w:hint="eastAsia" w:ascii="仿宋_GB2312" w:eastAsia="仿宋_GB2312" w:cs="仿宋"/>
          <w:b w:val="0"/>
          <w:bCs/>
          <w:color w:val="auto"/>
          <w:sz w:val="28"/>
          <w:szCs w:val="28"/>
          <w:highlight w:val="none"/>
          <w:lang w:val="en-US" w:eastAsia="zh-CN"/>
        </w:rPr>
        <w:t>由表可见，经</w:t>
      </w:r>
      <w:r>
        <w:rPr>
          <w:rFonts w:hint="eastAsia" w:ascii="仿宋_GB2312" w:eastAsia="仿宋_GB2312" w:cs="仿宋"/>
          <w:bCs/>
          <w:color w:val="auto"/>
          <w:sz w:val="24"/>
          <w:szCs w:val="24"/>
          <w:highlight w:val="none"/>
          <w:lang w:val="en-US" w:eastAsia="zh-CN"/>
        </w:rPr>
        <w:t>辨</w:t>
      </w:r>
      <w:r>
        <w:rPr>
          <w:rFonts w:hint="eastAsia" w:ascii="仿宋_GB2312" w:eastAsia="仿宋_GB2312" w:cs="仿宋"/>
          <w:b w:val="0"/>
          <w:bCs/>
          <w:color w:val="auto"/>
          <w:sz w:val="28"/>
          <w:szCs w:val="28"/>
          <w:highlight w:val="none"/>
          <w:lang w:val="en-US" w:eastAsia="zh-CN"/>
        </w:rPr>
        <w:t>证选穴后采用朱琏兴奋Ⅱ型针法进行针刺操作治疗癌因性疲乏的有效率在</w:t>
      </w:r>
      <w:r>
        <w:rPr>
          <w:rFonts w:hint="eastAsia" w:ascii="仿宋_GB2312" w:eastAsia="仿宋_GB2312" w:cs="仿宋"/>
          <w:b w:val="0"/>
          <w:bCs/>
          <w:color w:val="auto"/>
          <w:sz w:val="28"/>
          <w:szCs w:val="28"/>
          <w:highlight w:val="none"/>
          <w:lang w:val="en-US" w:eastAsia="zh-CN"/>
        </w:rPr>
        <w:t>80-90%</w:t>
      </w:r>
      <w:r>
        <w:rPr>
          <w:rFonts w:hint="eastAsia" w:ascii="仿宋_GB2312" w:eastAsia="仿宋_GB2312" w:cs="仿宋"/>
          <w:b w:val="0"/>
          <w:bCs/>
          <w:color w:val="auto"/>
          <w:sz w:val="28"/>
          <w:szCs w:val="28"/>
          <w:highlight w:val="none"/>
          <w:lang w:val="en-US" w:eastAsia="zh-CN"/>
        </w:rPr>
        <w:t>以上，该针法经临床验证有效，因此采用该针法操作。</w:t>
      </w:r>
    </w:p>
    <w:p w14:paraId="1AA09634">
      <w:pPr>
        <w:pStyle w:val="30"/>
        <w:keepNext w:val="0"/>
        <w:keepLines w:val="0"/>
        <w:pageBreakBefore w:val="0"/>
        <w:widowControl w:val="0"/>
        <w:kinsoku/>
        <w:wordWrap/>
        <w:overflowPunct/>
        <w:topLinePunct w:val="0"/>
        <w:bidi w:val="0"/>
        <w:spacing w:line="520" w:lineRule="exact"/>
        <w:ind w:firstLine="562"/>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lang w:val="en-US" w:eastAsia="zh-CN"/>
        </w:rPr>
        <w:t>3</w:t>
      </w:r>
      <w:r>
        <w:rPr>
          <w:rFonts w:hint="eastAsia" w:ascii="仿宋_GB2312" w:eastAsia="仿宋_GB2312"/>
          <w:b/>
          <w:color w:val="auto"/>
          <w:sz w:val="28"/>
          <w:szCs w:val="28"/>
          <w:highlight w:val="none"/>
        </w:rPr>
        <w:t xml:space="preserve">. </w:t>
      </w:r>
      <w:r>
        <w:rPr>
          <w:rFonts w:hint="eastAsia" w:ascii="仿宋_GB2312" w:eastAsia="仿宋_GB2312" w:cs="仿宋"/>
          <w:b/>
          <w:color w:val="auto"/>
          <w:sz w:val="28"/>
          <w:szCs w:val="28"/>
          <w:highlight w:val="none"/>
        </w:rPr>
        <w:t>疗程</w:t>
      </w:r>
    </w:p>
    <w:p w14:paraId="1DAEF972">
      <w:pPr>
        <w:pStyle w:val="30"/>
        <w:keepNext w:val="0"/>
        <w:keepLines w:val="0"/>
        <w:pageBreakBefore w:val="0"/>
        <w:widowControl w:val="0"/>
        <w:kinsoku/>
        <w:wordWrap/>
        <w:overflowPunct/>
        <w:topLinePunct w:val="0"/>
        <w:bidi w:val="0"/>
        <w:spacing w:line="520" w:lineRule="exact"/>
        <w:ind w:firstLine="560"/>
        <w:rPr>
          <w:rFonts w:hint="default"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rPr>
        <w:t>每天1次，10次为1个疗程，根据病情调整治疗疗程。</w:t>
      </w:r>
      <w:r>
        <w:rPr>
          <w:rFonts w:hint="eastAsia" w:ascii="仿宋_GB2312" w:eastAsia="仿宋_GB2312" w:cs="仿宋"/>
          <w:bCs/>
          <w:color w:val="auto"/>
          <w:sz w:val="28"/>
          <w:szCs w:val="28"/>
          <w:highlight w:val="none"/>
        </w:rPr>
        <w:t>针刺疗效是一个逐渐累积的过程。随治疗时间的积累，针刺剂量逐渐增大，治疗效果也逐渐增强</w:t>
      </w:r>
      <w:r>
        <w:rPr>
          <w:rFonts w:hint="eastAsia" w:ascii="仿宋_GB2312" w:eastAsia="仿宋_GB2312" w:cs="仿宋"/>
          <w:bCs/>
          <w:color w:val="auto"/>
          <w:sz w:val="28"/>
          <w:szCs w:val="28"/>
          <w:highlight w:val="none"/>
          <w:lang w:eastAsia="zh-CN"/>
        </w:rPr>
        <w:t>，</w:t>
      </w:r>
      <w:r>
        <w:rPr>
          <w:rFonts w:hint="eastAsia" w:ascii="仿宋_GB2312" w:eastAsia="仿宋_GB2312" w:cs="仿宋"/>
          <w:bCs/>
          <w:color w:val="auto"/>
          <w:sz w:val="28"/>
          <w:szCs w:val="28"/>
          <w:highlight w:val="none"/>
          <w:lang w:val="en-US" w:eastAsia="zh-CN"/>
        </w:rPr>
        <w:t>10次可明显改善患者的疲乏症状。</w:t>
      </w:r>
    </w:p>
    <w:p w14:paraId="07B95F85">
      <w:pPr>
        <w:pStyle w:val="30"/>
        <w:keepNext w:val="0"/>
        <w:keepLines w:val="0"/>
        <w:pageBreakBefore w:val="0"/>
        <w:widowControl w:val="0"/>
        <w:kinsoku/>
        <w:wordWrap/>
        <w:overflowPunct/>
        <w:topLinePunct w:val="0"/>
        <w:bidi w:val="0"/>
        <w:spacing w:line="520" w:lineRule="exact"/>
        <w:ind w:firstLine="0" w:firstLineChars="0"/>
        <w:rPr>
          <w:rFonts w:hint="eastAsia" w:ascii="仿宋_GB2312" w:eastAsia="仿宋_GB2312" w:cs="仿宋"/>
          <w:b/>
          <w:color w:val="auto"/>
          <w:sz w:val="28"/>
          <w:szCs w:val="28"/>
          <w:highlight w:val="none"/>
          <w:lang w:eastAsia="zh-CN"/>
        </w:rPr>
      </w:pPr>
      <w:r>
        <w:rPr>
          <w:rFonts w:hint="eastAsia" w:ascii="仿宋_GB2312" w:eastAsia="仿宋_GB2312" w:cs="仿宋"/>
          <w:b/>
          <w:color w:val="auto"/>
          <w:sz w:val="28"/>
          <w:szCs w:val="28"/>
          <w:highlight w:val="none"/>
        </w:rPr>
        <w:t>（五）施术后处理</w:t>
      </w:r>
    </w:p>
    <w:p w14:paraId="6D9220BE">
      <w:pPr>
        <w:pStyle w:val="30"/>
        <w:keepNext w:val="0"/>
        <w:keepLines w:val="0"/>
        <w:pageBreakBefore w:val="0"/>
        <w:widowControl w:val="0"/>
        <w:kinsoku/>
        <w:wordWrap/>
        <w:overflowPunct/>
        <w:topLinePunct w:val="0"/>
        <w:bidi w:val="0"/>
        <w:spacing w:line="520" w:lineRule="exact"/>
        <w:ind w:firstLine="560"/>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1. 向患者说明出现皮肤微红、轻度酸痛、沉重感等为正常现象，消除患者的紧张和恐惧心理，避免患者因过度担心而产生不必要的心理负担。</w:t>
      </w:r>
    </w:p>
    <w:p w14:paraId="6C8A6720">
      <w:pPr>
        <w:pStyle w:val="30"/>
        <w:keepNext w:val="0"/>
        <w:keepLines w:val="0"/>
        <w:pageBreakBefore w:val="0"/>
        <w:widowControl w:val="0"/>
        <w:kinsoku/>
        <w:wordWrap/>
        <w:overflowPunct/>
        <w:topLinePunct w:val="0"/>
        <w:bidi w:val="0"/>
        <w:spacing w:line="520" w:lineRule="exact"/>
        <w:ind w:firstLine="560"/>
        <w:rPr>
          <w:rFonts w:hint="eastAsia"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2. 针感遗留可能会让患者感到不适，通过局部揉按或施灸可以起到一定的缓解作用，帮助患者放松肌肉，减轻针感带来的异样感觉，3min</w:t>
      </w:r>
      <w:r>
        <w:rPr>
          <w:rFonts w:hint="default" w:ascii="Times New Roman" w:hAnsi="Times New Roman" w:eastAsia="仿宋_GB2312" w:cs="Times New Roman"/>
          <w:bCs/>
          <w:color w:val="auto"/>
          <w:sz w:val="28"/>
          <w:szCs w:val="28"/>
          <w:highlight w:val="none"/>
          <w:lang w:val="en-US" w:eastAsia="zh-CN"/>
        </w:rPr>
        <w:t>~</w:t>
      </w:r>
      <w:r>
        <w:rPr>
          <w:rFonts w:hint="eastAsia" w:ascii="仿宋_GB2312" w:eastAsia="仿宋_GB2312" w:cs="仿宋"/>
          <w:bCs/>
          <w:color w:val="auto"/>
          <w:sz w:val="28"/>
          <w:szCs w:val="28"/>
          <w:highlight w:val="none"/>
          <w:lang w:val="en-US" w:eastAsia="zh-CN"/>
        </w:rPr>
        <w:t>5min的揉按时间，既能起到一定缓解作用，又不会过度刺激局部肌肉，避免造成患者新的不适；5min</w:t>
      </w:r>
      <w:r>
        <w:rPr>
          <w:rFonts w:hint="default" w:ascii="Times New Roman" w:hAnsi="Times New Roman" w:eastAsia="仿宋_GB2312" w:cs="Times New Roman"/>
          <w:bCs/>
          <w:color w:val="auto"/>
          <w:sz w:val="28"/>
          <w:szCs w:val="28"/>
          <w:highlight w:val="none"/>
          <w:lang w:val="en-US" w:eastAsia="zh-CN"/>
        </w:rPr>
        <w:t>~</w:t>
      </w:r>
      <w:r>
        <w:rPr>
          <w:rFonts w:hint="eastAsia" w:ascii="仿宋_GB2312" w:eastAsia="仿宋_GB2312" w:cs="仿宋"/>
          <w:bCs/>
          <w:color w:val="auto"/>
          <w:sz w:val="28"/>
          <w:szCs w:val="28"/>
          <w:highlight w:val="none"/>
          <w:lang w:val="en-US" w:eastAsia="zh-CN"/>
        </w:rPr>
        <w:t>10min的施灸时间，能使局部气血充分疏通，发挥施灸的治疗作用，促进针刺后局部的恢复。揉按和施灸能够促进局部气血运行，加速针刺后局部组织的恢复，有助于针孔的愈合，同时也能进一步发挥针刺的治疗作用。强刺激手法会加重局部组织的损伤，不利于术后恢复。</w:t>
      </w:r>
    </w:p>
    <w:p w14:paraId="29447D41">
      <w:pPr>
        <w:pStyle w:val="30"/>
        <w:keepNext w:val="0"/>
        <w:keepLines w:val="0"/>
        <w:pageBreakBefore w:val="0"/>
        <w:widowControl w:val="0"/>
        <w:kinsoku/>
        <w:wordWrap/>
        <w:overflowPunct/>
        <w:topLinePunct w:val="0"/>
        <w:bidi w:val="0"/>
        <w:spacing w:line="520" w:lineRule="exact"/>
        <w:ind w:firstLine="560"/>
        <w:rPr>
          <w:rFonts w:hint="default" w:ascii="仿宋_GB2312" w:eastAsia="仿宋_GB2312" w:cs="仿宋"/>
          <w:bCs/>
          <w:color w:val="auto"/>
          <w:sz w:val="28"/>
          <w:szCs w:val="28"/>
          <w:highlight w:val="none"/>
          <w:lang w:val="en-US" w:eastAsia="zh-CN"/>
        </w:rPr>
      </w:pPr>
      <w:r>
        <w:rPr>
          <w:rFonts w:hint="eastAsia" w:ascii="仿宋_GB2312" w:eastAsia="仿宋_GB2312" w:cs="仿宋"/>
          <w:bCs/>
          <w:color w:val="auto"/>
          <w:sz w:val="28"/>
          <w:szCs w:val="28"/>
          <w:highlight w:val="none"/>
          <w:lang w:val="en-US" w:eastAsia="zh-CN"/>
        </w:rPr>
        <w:t>3. 癌因性疲乏患者本身身体较为虚弱，注意休息、避免劳累可以防止身体过度消耗，为身体的恢复提供充足的能量和时间。适当运动可以增强患者的体质，提高机体的免疫力和抗病能力，有助于缓解疲乏症状。健康饮食可以为身体提供丰富的营养物质，促进气血的生成，改善身体的虚弱状态，从整体上提高患者的健康水平。避风寒可以防止外邪侵袭，避免因感冒等外邪加重身体的不适，影响治疗效果。放松心情可以减轻患者的心理压力，避免不良情绪对身体的负面影响，有利于疾病的治疗和康复。</w:t>
      </w:r>
    </w:p>
    <w:p w14:paraId="4BFEA09D">
      <w:pPr>
        <w:pStyle w:val="30"/>
        <w:keepNext w:val="0"/>
        <w:keepLines w:val="0"/>
        <w:pageBreakBefore w:val="0"/>
        <w:widowControl w:val="0"/>
        <w:kinsoku/>
        <w:wordWrap/>
        <w:overflowPunct/>
        <w:topLinePunct w:val="0"/>
        <w:bidi w:val="0"/>
        <w:spacing w:line="520" w:lineRule="exact"/>
        <w:ind w:firstLine="0" w:firstLineChars="0"/>
        <w:rPr>
          <w:rFonts w:ascii="仿宋_GB2312" w:eastAsia="仿宋_GB2312" w:cs="仿宋"/>
          <w:b/>
          <w:color w:val="auto"/>
          <w:sz w:val="28"/>
          <w:szCs w:val="28"/>
          <w:highlight w:val="none"/>
        </w:rPr>
      </w:pPr>
      <w:r>
        <w:rPr>
          <w:rFonts w:hint="eastAsia" w:ascii="仿宋_GB2312" w:eastAsia="仿宋_GB2312" w:cs="仿宋"/>
          <w:b/>
          <w:color w:val="auto"/>
          <w:sz w:val="28"/>
          <w:szCs w:val="28"/>
          <w:highlight w:val="none"/>
        </w:rPr>
        <w:t>（六）注意事项</w:t>
      </w:r>
    </w:p>
    <w:p w14:paraId="02649782">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1</w:t>
      </w:r>
      <w:r>
        <w:rPr>
          <w:rFonts w:hint="eastAsia" w:ascii="仿宋_GB2312" w:eastAsia="仿宋_GB2312"/>
          <w:b w:val="0"/>
          <w:bCs/>
          <w:color w:val="auto"/>
          <w:sz w:val="28"/>
          <w:szCs w:val="28"/>
          <w:highlight w:val="none"/>
        </w:rPr>
        <w:t>. 紧张焦虑会使身体处于应激状态，干扰经络气血的正常运行，降低针刺疗效，甚至加剧不适。沟通能消除患者对针刺的恐惧，使其更愿意配合治疗，确保针刺顺利进行，保障治疗效果</w:t>
      </w:r>
      <w:r>
        <w:rPr>
          <w:rFonts w:hint="eastAsia" w:ascii="仿宋_GB2312" w:eastAsia="仿宋_GB2312" w:cs="仿宋"/>
          <w:bCs/>
          <w:color w:val="auto"/>
          <w:sz w:val="28"/>
          <w:szCs w:val="28"/>
          <w:highlight w:val="none"/>
        </w:rPr>
        <w:t>。</w:t>
      </w:r>
    </w:p>
    <w:p w14:paraId="6814FBFD">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2</w:t>
      </w:r>
      <w:r>
        <w:rPr>
          <w:rFonts w:hint="eastAsia" w:ascii="仿宋_GB2312" w:eastAsia="仿宋_GB2312"/>
          <w:b w:val="0"/>
          <w:bCs/>
          <w:color w:val="auto"/>
          <w:sz w:val="28"/>
          <w:szCs w:val="28"/>
          <w:highlight w:val="none"/>
        </w:rPr>
        <w:t>. 过饱时，胃肠道负担重，针刺可能引发恶心、呕吐等不适；过饥时，血糖较低，易在针刺过程中出现低血糖反应，如头晕、心慌等。进食后适当休息再针刺，可让身体机能恢复正常，提高耐受性。</w:t>
      </w:r>
    </w:p>
    <w:p w14:paraId="081407BC">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3</w:t>
      </w:r>
      <w:r>
        <w:rPr>
          <w:rFonts w:hint="eastAsia" w:ascii="仿宋_GB2312" w:eastAsia="仿宋_GB2312"/>
          <w:b w:val="0"/>
          <w:bCs/>
          <w:color w:val="auto"/>
          <w:sz w:val="28"/>
          <w:szCs w:val="28"/>
          <w:highlight w:val="none"/>
        </w:rPr>
        <w:t>. 针灸过程可能出现多种异常情况，按GB/T 33415</w:t>
      </w:r>
      <w:r>
        <w:rPr>
          <w:rFonts w:hint="eastAsia" w:ascii="仿宋_GB2312" w:eastAsia="仿宋_GB2312"/>
          <w:b w:val="0"/>
          <w:bCs/>
          <w:color w:val="auto"/>
          <w:sz w:val="28"/>
          <w:szCs w:val="28"/>
          <w:highlight w:val="none"/>
          <w:lang w:eastAsia="zh-CN"/>
        </w:rPr>
        <w:t>的</w:t>
      </w:r>
      <w:r>
        <w:rPr>
          <w:rFonts w:hint="eastAsia" w:ascii="仿宋_GB2312" w:eastAsia="仿宋_GB2312"/>
          <w:b w:val="0"/>
          <w:bCs/>
          <w:color w:val="auto"/>
          <w:sz w:val="28"/>
          <w:szCs w:val="28"/>
          <w:highlight w:val="none"/>
        </w:rPr>
        <w:t>规定处理，能及时应对突发状况，避免对患者造成进一步伤害，确保治疗安全。</w:t>
      </w:r>
    </w:p>
    <w:p w14:paraId="03797438">
      <w:pPr>
        <w:pStyle w:val="30"/>
        <w:keepNext w:val="0"/>
        <w:keepLines w:val="0"/>
        <w:pageBreakBefore w:val="0"/>
        <w:widowControl w:val="0"/>
        <w:kinsoku/>
        <w:wordWrap/>
        <w:overflowPunct/>
        <w:topLinePunct w:val="0"/>
        <w:bidi w:val="0"/>
        <w:spacing w:line="520" w:lineRule="exact"/>
        <w:ind w:firstLine="560"/>
        <w:rPr>
          <w:rFonts w:ascii="仿宋_GB2312" w:eastAsia="仿宋_GB2312" w:cs="仿宋"/>
          <w:bCs/>
          <w:color w:val="auto"/>
          <w:sz w:val="28"/>
          <w:szCs w:val="28"/>
          <w:highlight w:val="none"/>
        </w:rPr>
      </w:pPr>
      <w:r>
        <w:rPr>
          <w:rFonts w:hint="eastAsia" w:ascii="仿宋_GB2312" w:eastAsia="仿宋_GB2312" w:cs="仿宋"/>
          <w:bCs/>
          <w:color w:val="auto"/>
          <w:sz w:val="28"/>
          <w:szCs w:val="28"/>
          <w:highlight w:val="none"/>
        </w:rPr>
        <w:t>4</w:t>
      </w:r>
      <w:r>
        <w:rPr>
          <w:rFonts w:hint="eastAsia" w:ascii="仿宋_GB2312" w:eastAsia="仿宋_GB2312"/>
          <w:b w:val="0"/>
          <w:bCs/>
          <w:color w:val="auto"/>
          <w:sz w:val="28"/>
          <w:szCs w:val="28"/>
          <w:highlight w:val="none"/>
        </w:rPr>
        <w:t>. 靠近脏器或危险区域的穴位，如不按规范操作，可能刺伤脏器或引发危险，严格规范操作确保针刺安全有效</w:t>
      </w:r>
      <w:r>
        <w:rPr>
          <w:rFonts w:hint="eastAsia" w:ascii="仿宋_GB2312" w:eastAsia="仿宋_GB2312" w:cs="仿宋"/>
          <w:bCs/>
          <w:color w:val="auto"/>
          <w:sz w:val="28"/>
          <w:szCs w:val="28"/>
          <w:highlight w:val="none"/>
        </w:rPr>
        <w:t>。</w:t>
      </w:r>
    </w:p>
    <w:p w14:paraId="656C2F4E">
      <w:pPr>
        <w:pStyle w:val="32"/>
        <w:keepNext w:val="0"/>
        <w:keepLines w:val="0"/>
        <w:pageBreakBefore w:val="0"/>
        <w:widowControl w:val="0"/>
        <w:numPr>
          <w:ilvl w:val="0"/>
          <w:numId w:val="0"/>
        </w:numPr>
        <w:kinsoku/>
        <w:wordWrap/>
        <w:overflowPunct/>
        <w:topLinePunct w:val="0"/>
        <w:bidi w:val="0"/>
        <w:spacing w:beforeLines="0" w:afterLines="0" w:line="360" w:lineRule="auto"/>
        <w:rPr>
          <w:bCs/>
          <w:color w:val="auto"/>
          <w:sz w:val="32"/>
          <w:szCs w:val="32"/>
          <w:highlight w:val="none"/>
        </w:rPr>
      </w:pPr>
      <w:r>
        <w:rPr>
          <w:rFonts w:hint="eastAsia"/>
          <w:b/>
          <w:bCs/>
          <w:color w:val="auto"/>
          <w:sz w:val="32"/>
          <w:szCs w:val="32"/>
          <w:highlight w:val="none"/>
        </w:rPr>
        <w:t>六</w:t>
      </w:r>
      <w:r>
        <w:rPr>
          <w:rFonts w:hint="eastAsia"/>
          <w:bCs/>
          <w:color w:val="auto"/>
          <w:sz w:val="32"/>
          <w:szCs w:val="32"/>
          <w:highlight w:val="none"/>
        </w:rPr>
        <w:t>、</w:t>
      </w:r>
      <w:r>
        <w:rPr>
          <w:rFonts w:hint="eastAsia"/>
          <w:color w:val="auto"/>
          <w:sz w:val="32"/>
          <w:szCs w:val="32"/>
          <w:highlight w:val="none"/>
        </w:rPr>
        <w:t>重大意见分歧的处理依据和结果</w:t>
      </w:r>
    </w:p>
    <w:p w14:paraId="025FAE90">
      <w:pPr>
        <w:keepNext w:val="0"/>
        <w:keepLines w:val="0"/>
        <w:pageBreakBefore w:val="0"/>
        <w:widowControl w:val="0"/>
        <w:kinsoku/>
        <w:wordWrap/>
        <w:overflowPunct/>
        <w:topLinePunct w:val="0"/>
        <w:bidi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本标准研制过程中无重大分歧意见。</w:t>
      </w:r>
    </w:p>
    <w:p w14:paraId="2BB87B04">
      <w:pPr>
        <w:keepNext w:val="0"/>
        <w:keepLines w:val="0"/>
        <w:pageBreakBefore w:val="0"/>
        <w:widowControl w:val="0"/>
        <w:kinsoku/>
        <w:wordWrap/>
        <w:overflowPunct/>
        <w:topLinePunct w:val="0"/>
        <w:autoSpaceDE w:val="0"/>
        <w:autoSpaceDN w:val="0"/>
        <w:bidi w:val="0"/>
        <w:adjustRightInd w:val="0"/>
        <w:spacing w:before="156" w:beforeLines="50" w:after="156" w:afterLines="50" w:line="520" w:lineRule="exact"/>
        <w:outlineLvl w:val="0"/>
        <w:rPr>
          <w:rFonts w:eastAsia="黑体"/>
          <w:color w:val="auto"/>
          <w:sz w:val="32"/>
          <w:szCs w:val="32"/>
          <w:highlight w:val="none"/>
        </w:rPr>
      </w:pPr>
      <w:r>
        <w:rPr>
          <w:rFonts w:hint="eastAsia" w:ascii="黑体" w:eastAsia="黑体"/>
          <w:bCs/>
          <w:color w:val="auto"/>
          <w:sz w:val="32"/>
          <w:szCs w:val="32"/>
          <w:highlight w:val="none"/>
        </w:rPr>
        <w:t>七、</w:t>
      </w:r>
      <w:r>
        <w:rPr>
          <w:rFonts w:hint="eastAsia" w:eastAsia="黑体"/>
          <w:color w:val="auto"/>
          <w:sz w:val="32"/>
          <w:szCs w:val="32"/>
          <w:highlight w:val="none"/>
        </w:rPr>
        <w:t>实施标准的措施</w:t>
      </w:r>
    </w:p>
    <w:p w14:paraId="5F5424D7">
      <w:pPr>
        <w:keepNext w:val="0"/>
        <w:keepLines w:val="0"/>
        <w:pageBreakBefore w:val="0"/>
        <w:widowControl w:val="0"/>
        <w:kinsoku/>
        <w:wordWrap/>
        <w:overflowPunct/>
        <w:topLinePunct w:val="0"/>
        <w:bidi w:val="0"/>
        <w:spacing w:line="50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（一）标准报批发布后，成立标准宣贯工作组</w:t>
      </w:r>
    </w:p>
    <w:p w14:paraId="3A163B86">
      <w:pPr>
        <w:keepNext w:val="0"/>
        <w:keepLines w:val="0"/>
        <w:pageBreakBefore w:val="0"/>
        <w:widowControl w:val="0"/>
        <w:kinsoku/>
        <w:wordWrap/>
        <w:overflowPunct/>
        <w:topLinePunct w:val="0"/>
        <w:bidi w:val="0"/>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01F66158">
      <w:pPr>
        <w:keepNext w:val="0"/>
        <w:keepLines w:val="0"/>
        <w:pageBreakBefore w:val="0"/>
        <w:widowControl w:val="0"/>
        <w:kinsoku/>
        <w:wordWrap/>
        <w:overflowPunct/>
        <w:topLinePunct w:val="0"/>
        <w:bidi w:val="0"/>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（二）组织开展标准宣贯培训</w:t>
      </w:r>
    </w:p>
    <w:p w14:paraId="64012264">
      <w:pPr>
        <w:keepNext w:val="0"/>
        <w:keepLines w:val="0"/>
        <w:pageBreakBefore w:val="0"/>
        <w:widowControl w:val="0"/>
        <w:kinsoku/>
        <w:wordWrap/>
        <w:overflowPunct/>
        <w:topLinePunct w:val="0"/>
        <w:bidi w:val="0"/>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1A9143BA">
      <w:pPr>
        <w:keepNext w:val="0"/>
        <w:keepLines w:val="0"/>
        <w:pageBreakBefore w:val="0"/>
        <w:widowControl w:val="0"/>
        <w:kinsoku/>
        <w:wordWrap/>
        <w:overflowPunct/>
        <w:topLinePunct w:val="0"/>
        <w:bidi w:val="0"/>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（三）开展标准实施交流会，收集标准实施反馈信息</w:t>
      </w:r>
    </w:p>
    <w:p w14:paraId="51E0088B">
      <w:pPr>
        <w:keepNext w:val="0"/>
        <w:keepLines w:val="0"/>
        <w:pageBreakBefore w:val="0"/>
        <w:widowControl w:val="0"/>
        <w:kinsoku/>
        <w:wordWrap/>
        <w:overflowPunct/>
        <w:topLinePunct w:val="0"/>
        <w:bidi w:val="0"/>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标准起草小组深入各市县医疗机构组织医师和医护人员召开标准实施交流会，听取标准实施过程中存在的问题并做好记录和解答，对存在的问题组织专家团队进行研讨，为标准的复审修订做准备。</w:t>
      </w:r>
    </w:p>
    <w:p w14:paraId="1AB48B66">
      <w:pPr>
        <w:keepNext w:val="0"/>
        <w:keepLines w:val="0"/>
        <w:pageBreakBefore w:val="0"/>
        <w:widowControl w:val="0"/>
        <w:kinsoku/>
        <w:wordWrap/>
        <w:overflowPunct/>
        <w:topLinePunct w:val="0"/>
        <w:bidi w:val="0"/>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（四）开展标准实施效果评估</w:t>
      </w:r>
    </w:p>
    <w:p w14:paraId="1B5485CC">
      <w:pPr>
        <w:keepNext w:val="0"/>
        <w:keepLines w:val="0"/>
        <w:pageBreakBefore w:val="0"/>
        <w:widowControl w:val="0"/>
        <w:kinsoku/>
        <w:wordWrap/>
        <w:overflowPunct/>
        <w:topLinePunct w:val="0"/>
        <w:bidi w:val="0"/>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标准实施满2年，每年标准宣贯工作组采取网络调查、问卷调查、实地调研、召开座谈会或论证会、专家咨询等方式开展标准实施效果评估，并形成标准实施效果评估报告，为标准的复审修订做准备。</w:t>
      </w:r>
    </w:p>
    <w:p w14:paraId="149DB05D">
      <w:pPr>
        <w:keepNext w:val="0"/>
        <w:keepLines w:val="0"/>
        <w:pageBreakBefore w:val="0"/>
        <w:widowControl w:val="0"/>
        <w:kinsoku/>
        <w:wordWrap/>
        <w:overflowPunct/>
        <w:topLinePunct w:val="0"/>
        <w:bidi w:val="0"/>
        <w:spacing w:before="240" w:after="60" w:line="520" w:lineRule="exact"/>
        <w:outlineLvl w:val="0"/>
        <w:rPr>
          <w:rFonts w:ascii="黑体" w:eastAsia="黑体"/>
          <w:bCs/>
          <w:color w:val="auto"/>
          <w:sz w:val="32"/>
          <w:szCs w:val="32"/>
          <w:highlight w:val="none"/>
        </w:rPr>
      </w:pPr>
      <w:r>
        <w:rPr>
          <w:rFonts w:hint="eastAsia" w:ascii="黑体" w:eastAsia="黑体"/>
          <w:bCs/>
          <w:color w:val="auto"/>
          <w:sz w:val="32"/>
          <w:szCs w:val="32"/>
          <w:highlight w:val="none"/>
        </w:rPr>
        <w:t>八、其他应当说明的事项</w:t>
      </w:r>
    </w:p>
    <w:p w14:paraId="63CA3FF7">
      <w:pPr>
        <w:keepNext w:val="0"/>
        <w:keepLines w:val="0"/>
        <w:pageBreakBefore w:val="0"/>
        <w:widowControl w:val="0"/>
        <w:kinsoku/>
        <w:wordWrap/>
        <w:overflowPunct/>
        <w:topLinePunct w:val="0"/>
        <w:bidi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无。</w:t>
      </w:r>
    </w:p>
    <w:p w14:paraId="5444D109">
      <w:pPr>
        <w:keepNext w:val="0"/>
        <w:keepLines w:val="0"/>
        <w:pageBreakBefore w:val="0"/>
        <w:widowControl w:val="0"/>
        <w:kinsoku/>
        <w:wordWrap/>
        <w:overflowPunct/>
        <w:topLinePunct w:val="0"/>
        <w:autoSpaceDE w:val="0"/>
        <w:autoSpaceDN w:val="0"/>
        <w:bidi w:val="0"/>
        <w:adjustRightInd w:val="0"/>
        <w:spacing w:before="156" w:beforeLines="50" w:after="156" w:afterLines="50" w:line="520" w:lineRule="exact"/>
        <w:outlineLvl w:val="0"/>
        <w:rPr>
          <w:rFonts w:eastAsia="黑体"/>
          <w:color w:val="auto"/>
          <w:sz w:val="32"/>
          <w:szCs w:val="32"/>
          <w:highlight w:val="none"/>
        </w:rPr>
      </w:pPr>
      <w:r>
        <w:rPr>
          <w:rFonts w:hint="eastAsia" w:eastAsia="黑体"/>
          <w:color w:val="auto"/>
          <w:sz w:val="32"/>
          <w:szCs w:val="32"/>
          <w:highlight w:val="none"/>
        </w:rPr>
        <w:t>九、自我承诺</w:t>
      </w:r>
    </w:p>
    <w:p w14:paraId="6F142248">
      <w:pPr>
        <w:keepNext w:val="0"/>
        <w:keepLines w:val="0"/>
        <w:pageBreakBefore w:val="0"/>
        <w:widowControl w:val="0"/>
        <w:kinsoku/>
        <w:wordWrap/>
        <w:overflowPunct/>
        <w:topLinePunct w:val="0"/>
        <w:bidi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该标准的内容符合国家相关法律法规，技术要求不低于强制性国家标准的相关技术要求，与相关的国家、行业推荐性标准协调一致，标准的编写符合GB/T 1.1-2020的要求。</w:t>
      </w:r>
    </w:p>
    <w:p w14:paraId="72740B8E">
      <w:pPr>
        <w:pStyle w:val="23"/>
        <w:keepNext w:val="0"/>
        <w:keepLines w:val="0"/>
        <w:pageBreakBefore w:val="0"/>
        <w:widowControl w:val="0"/>
        <w:kinsoku/>
        <w:wordWrap/>
        <w:overflowPunct/>
        <w:topLinePunct w:val="0"/>
        <w:bidi w:val="0"/>
        <w:rPr>
          <w:rFonts w:ascii="仿宋_GB2312" w:eastAsia="仿宋_GB2312"/>
          <w:color w:val="auto"/>
          <w:sz w:val="28"/>
          <w:szCs w:val="28"/>
          <w:highlight w:val="none"/>
        </w:rPr>
      </w:pPr>
    </w:p>
    <w:p w14:paraId="68EC39E6">
      <w:pPr>
        <w:pStyle w:val="23"/>
        <w:keepNext w:val="0"/>
        <w:keepLines w:val="0"/>
        <w:pageBreakBefore w:val="0"/>
        <w:widowControl w:val="0"/>
        <w:kinsoku/>
        <w:wordWrap/>
        <w:overflowPunct/>
        <w:topLinePunct w:val="0"/>
        <w:bidi w:val="0"/>
        <w:rPr>
          <w:rFonts w:ascii="仿宋_GB2312" w:eastAsia="仿宋_GB2312"/>
          <w:color w:val="auto"/>
          <w:sz w:val="28"/>
          <w:szCs w:val="28"/>
          <w:highlight w:val="none"/>
        </w:rPr>
      </w:pPr>
    </w:p>
    <w:p w14:paraId="49761B60">
      <w:pPr>
        <w:keepNext w:val="0"/>
        <w:keepLines w:val="0"/>
        <w:pageBreakBefore w:val="0"/>
        <w:widowControl w:val="0"/>
        <w:kinsoku/>
        <w:wordWrap/>
        <w:overflowPunct/>
        <w:topLinePunct w:val="0"/>
        <w:bidi w:val="0"/>
        <w:spacing w:before="240" w:after="60" w:line="520" w:lineRule="exact"/>
        <w:ind w:firstLine="3220" w:firstLineChars="1150"/>
        <w:outlineLvl w:val="0"/>
        <w:rPr>
          <w:rFonts w:ascii="仿宋_GB2312" w:eastAsia="仿宋_GB2312"/>
          <w:color w:val="auto"/>
          <w:sz w:val="28"/>
          <w:szCs w:val="28"/>
          <w:highlight w:val="none"/>
        </w:rPr>
      </w:pPr>
      <w:r>
        <w:rPr>
          <w:rFonts w:hint="eastAsia" w:ascii="仿宋_GB2312" w:eastAsia="仿宋_GB2312"/>
          <w:color w:val="auto"/>
          <w:sz w:val="28"/>
          <w:szCs w:val="28"/>
          <w:highlight w:val="none"/>
        </w:rPr>
        <w:t>团体标准《癌因性疲乏朱琏兴奋Ⅱ型针法技术操作规范》</w:t>
      </w:r>
    </w:p>
    <w:p w14:paraId="5304FE27">
      <w:pPr>
        <w:keepNext w:val="0"/>
        <w:keepLines w:val="0"/>
        <w:pageBreakBefore w:val="0"/>
        <w:widowControl w:val="0"/>
        <w:kinsoku/>
        <w:wordWrap/>
        <w:overflowPunct/>
        <w:topLinePunct w:val="0"/>
        <w:bidi w:val="0"/>
        <w:spacing w:line="520" w:lineRule="exact"/>
        <w:ind w:right="1120"/>
        <w:jc w:val="center"/>
        <w:rPr>
          <w:rFonts w:ascii="仿宋_GB2312" w:eastAsia="仿宋_GB2312"/>
          <w:color w:val="auto"/>
          <w:sz w:val="28"/>
          <w:szCs w:val="28"/>
          <w:highlight w:val="none"/>
        </w:rPr>
      </w:pPr>
      <w:r>
        <w:rPr>
          <w:rFonts w:hint="eastAsia" w:ascii="仿宋_GB2312" w:eastAsia="仿宋_GB2312"/>
          <w:color w:val="auto"/>
          <w:sz w:val="28"/>
          <w:szCs w:val="28"/>
          <w:highlight w:val="none"/>
        </w:rPr>
        <w:t xml:space="preserve">                                  标准编制工作组</w:t>
      </w:r>
    </w:p>
    <w:p w14:paraId="5B02760E">
      <w:pPr>
        <w:keepNext w:val="0"/>
        <w:keepLines w:val="0"/>
        <w:pageBreakBefore w:val="0"/>
        <w:widowControl w:val="0"/>
        <w:kinsoku/>
        <w:wordWrap/>
        <w:overflowPunct/>
        <w:topLinePunct w:val="0"/>
        <w:bidi w:val="0"/>
        <w:spacing w:line="520" w:lineRule="exact"/>
        <w:ind w:firstLine="640" w:firstLineChars="200"/>
        <w:rPr>
          <w:rFonts w:ascii="仿宋_GB2312" w:eastAsia="仿宋_GB2312"/>
          <w:color w:val="auto"/>
          <w:sz w:val="28"/>
          <w:szCs w:val="28"/>
          <w:highlight w:val="none"/>
        </w:rPr>
      </w:pPr>
      <w:r>
        <w:rPr>
          <w:rFonts w:hint="eastAsia" w:ascii="仿宋_GB2312" w:eastAsia="仿宋_GB2312"/>
          <w:color w:val="auto"/>
          <w:sz w:val="32"/>
          <w:szCs w:val="28"/>
          <w:highlight w:val="none"/>
        </w:rPr>
        <w:t xml:space="preserve">                             </w:t>
      </w:r>
      <w:r>
        <w:rPr>
          <w:rFonts w:hint="eastAsia" w:ascii="仿宋_GB2312" w:eastAsia="仿宋_GB2312"/>
          <w:color w:val="auto"/>
          <w:sz w:val="28"/>
          <w:szCs w:val="28"/>
          <w:highlight w:val="none"/>
        </w:rPr>
        <w:t>2025年6月</w:t>
      </w:r>
      <w:r>
        <w:rPr>
          <w:rFonts w:hint="eastAsia" w:ascii="仿宋_GB2312" w:eastAsia="仿宋_GB2312"/>
          <w:color w:val="auto"/>
          <w:sz w:val="28"/>
          <w:szCs w:val="28"/>
          <w:highlight w:val="none"/>
          <w:lang w:val="en-US" w:eastAsia="zh-CN"/>
        </w:rPr>
        <w:t>30</w:t>
      </w:r>
      <w:r>
        <w:rPr>
          <w:rFonts w:hint="eastAsia" w:ascii="仿宋_GB2312" w:eastAsia="仿宋_GB2312"/>
          <w:color w:val="auto"/>
          <w:sz w:val="28"/>
          <w:szCs w:val="28"/>
          <w:highlight w:val="none"/>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CE835F0-F1D4-4D2B-B2AB-ACC238470B7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473CE04C-C304-4EA6-B407-7D43E6D18602}"/>
  </w:font>
  <w:font w:name="等线">
    <w:altName w:val="微软雅黑"/>
    <w:panose1 w:val="02010600030101010101"/>
    <w:charset w:val="86"/>
    <w:family w:val="auto"/>
    <w:pitch w:val="default"/>
    <w:sig w:usb0="00000000" w:usb1="00000000"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066BC06D-995B-4EFF-AC80-31D682B11FE4}"/>
  </w:font>
  <w:font w:name="仿宋_GB2312">
    <w:panose1 w:val="02010609030101010101"/>
    <w:charset w:val="86"/>
    <w:family w:val="modern"/>
    <w:pitch w:val="default"/>
    <w:sig w:usb0="00000001" w:usb1="080E0000" w:usb2="00000000" w:usb3="00000000" w:csb0="00040000" w:csb1="00000000"/>
    <w:embedRegular r:id="rId4" w:fontKey="{8CB99F21-B3F6-48A7-8928-67B14AF91B20}"/>
  </w:font>
  <w:font w:name="仿宋">
    <w:panose1 w:val="02010609060101010101"/>
    <w:charset w:val="86"/>
    <w:family w:val="modern"/>
    <w:pitch w:val="default"/>
    <w:sig w:usb0="800002BF" w:usb1="38CF7CFA" w:usb2="00000016" w:usb3="00000000" w:csb0="00040001" w:csb1="00000000"/>
    <w:embedRegular r:id="rId5" w:fontKey="{758D5261-9084-43BE-933D-4390A28967BC}"/>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F22462">
    <w:pPr>
      <w:pStyle w:val="1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0CB15A46">
                          <w:pPr>
                            <w:pStyle w:val="1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0CB15A46">
                    <w:pPr>
                      <w:pStyle w:val="1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DAB8A486"/>
    <w:multiLevelType w:val="singleLevel"/>
    <w:tmpl w:val="DAB8A486"/>
    <w:lvl w:ilvl="0" w:tentative="0">
      <w:start w:val="1"/>
      <w:numFmt w:val="decimal"/>
      <w:suff w:val="space"/>
      <w:lvlText w:val="%1."/>
      <w:lvlJc w:val="left"/>
    </w:lvl>
  </w:abstractNum>
  <w:abstractNum w:abstractNumId="2">
    <w:nsid w:val="0FFFFF7E"/>
    <w:multiLevelType w:val="singleLevel"/>
    <w:tmpl w:val="0FFFFF7E"/>
    <w:lvl w:ilvl="0" w:tentative="0">
      <w:start w:val="1"/>
      <w:numFmt w:val="decimal"/>
      <w:lvlText w:val="%1."/>
      <w:lvlJc w:val="left"/>
      <w:pPr>
        <w:tabs>
          <w:tab w:val="left" w:pos="1200"/>
        </w:tabs>
        <w:ind w:left="1200" w:hanging="360"/>
      </w:pPr>
    </w:lvl>
  </w:abstractNum>
  <w:abstractNum w:abstractNumId="3">
    <w:nsid w:val="0FFFFF7F"/>
    <w:multiLevelType w:val="singleLevel"/>
    <w:tmpl w:val="0FFFFF7F"/>
    <w:lvl w:ilvl="0" w:tentative="0">
      <w:start w:val="1"/>
      <w:numFmt w:val="decimal"/>
      <w:lvlText w:val="%1."/>
      <w:lvlJc w:val="left"/>
      <w:pPr>
        <w:tabs>
          <w:tab w:val="left" w:pos="780"/>
        </w:tabs>
        <w:ind w:left="780" w:hanging="360"/>
      </w:pPr>
    </w:lvl>
  </w:abstractNum>
  <w:abstractNum w:abstractNumId="4">
    <w:nsid w:val="2C5917C3"/>
    <w:multiLevelType w:val="multilevel"/>
    <w:tmpl w:val="2C5917C3"/>
    <w:lvl w:ilvl="0" w:tentative="0">
      <w:start w:val="1"/>
      <w:numFmt w:val="none"/>
      <w:pStyle w:val="55"/>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5">
    <w:nsid w:val="44C50F90"/>
    <w:multiLevelType w:val="multilevel"/>
    <w:tmpl w:val="44C50F90"/>
    <w:lvl w:ilvl="0" w:tentative="0">
      <w:start w:val="1"/>
      <w:numFmt w:val="lowerLetter"/>
      <w:pStyle w:val="50"/>
      <w:lvlText w:val="%1)"/>
      <w:lvlJc w:val="left"/>
      <w:pPr>
        <w:tabs>
          <w:tab w:val="left" w:pos="851"/>
        </w:tabs>
        <w:ind w:left="851" w:hanging="426"/>
      </w:pPr>
      <w:rPr>
        <w:rFonts w:hint="eastAsia" w:ascii="宋体" w:hAnsi="Times New Roman" w:eastAsia="宋体"/>
        <w:sz w:val="21"/>
      </w:rPr>
    </w:lvl>
    <w:lvl w:ilvl="1" w:tentative="0">
      <w:start w:val="1"/>
      <w:numFmt w:val="decimal"/>
      <w:pStyle w:val="48"/>
      <w:lvlText w:val="%2)"/>
      <w:lvlJc w:val="left"/>
      <w:pPr>
        <w:tabs>
          <w:tab w:val="left" w:pos="1276"/>
        </w:tabs>
        <w:ind w:left="1276" w:hanging="425"/>
      </w:pPr>
      <w:rPr>
        <w:rFonts w:hint="eastAsia" w:ascii="宋体" w:hAnsi="Times New Roman" w:eastAsia="宋体"/>
        <w:sz w:val="21"/>
      </w:rPr>
    </w:lvl>
    <w:lvl w:ilvl="2" w:tentative="0">
      <w:start w:val="1"/>
      <w:numFmt w:val="decimal"/>
      <w:pStyle w:val="4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6">
    <w:nsid w:val="5A9B6960"/>
    <w:multiLevelType w:val="multilevel"/>
    <w:tmpl w:val="5A9B6960"/>
    <w:lvl w:ilvl="0" w:tentative="0">
      <w:start w:val="1"/>
      <w:numFmt w:val="none"/>
      <w:pStyle w:val="38"/>
      <w:suff w:val="nothing"/>
      <w:lvlText w:val="%1"/>
      <w:legacy w:legacy="1" w:legacySpace="0" w:legacyIndent="0"/>
      <w:lvlJc w:val="left"/>
      <w:pPr>
        <w:ind w:left="0" w:firstLine="0"/>
      </w:pPr>
      <w:rPr>
        <w:rFonts w:hint="eastAsia"/>
      </w:rPr>
    </w:lvl>
    <w:lvl w:ilvl="1" w:tentative="0">
      <w:start w:val="1"/>
      <w:numFmt w:val="decimal"/>
      <w:pStyle w:val="3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6"/>
  </w:num>
  <w:num w:numId="2">
    <w:abstractNumId w:val="0"/>
  </w:num>
  <w:num w:numId="3">
    <w:abstractNumId w:val="3"/>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9"/>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55442"/>
    <w:rsid w:val="000678FF"/>
    <w:rsid w:val="00072103"/>
    <w:rsid w:val="00075653"/>
    <w:rsid w:val="00082613"/>
    <w:rsid w:val="000C517B"/>
    <w:rsid w:val="000D75AA"/>
    <w:rsid w:val="000E53EA"/>
    <w:rsid w:val="001133E6"/>
    <w:rsid w:val="001655CC"/>
    <w:rsid w:val="0018012C"/>
    <w:rsid w:val="001821C9"/>
    <w:rsid w:val="001A7570"/>
    <w:rsid w:val="001C58D4"/>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E3C13"/>
    <w:rsid w:val="005E7B33"/>
    <w:rsid w:val="005F1668"/>
    <w:rsid w:val="005F2FD2"/>
    <w:rsid w:val="005F4961"/>
    <w:rsid w:val="00617B08"/>
    <w:rsid w:val="00627AB4"/>
    <w:rsid w:val="006335ED"/>
    <w:rsid w:val="006343EC"/>
    <w:rsid w:val="0063539D"/>
    <w:rsid w:val="006360BD"/>
    <w:rsid w:val="00637F53"/>
    <w:rsid w:val="006511A8"/>
    <w:rsid w:val="0067378F"/>
    <w:rsid w:val="00691000"/>
    <w:rsid w:val="00692719"/>
    <w:rsid w:val="006B0BA0"/>
    <w:rsid w:val="006B12C0"/>
    <w:rsid w:val="00714DDE"/>
    <w:rsid w:val="0074491A"/>
    <w:rsid w:val="007557E4"/>
    <w:rsid w:val="00756356"/>
    <w:rsid w:val="00774434"/>
    <w:rsid w:val="007756AB"/>
    <w:rsid w:val="00781D6C"/>
    <w:rsid w:val="00784DBC"/>
    <w:rsid w:val="007A149B"/>
    <w:rsid w:val="007C244C"/>
    <w:rsid w:val="007F29ED"/>
    <w:rsid w:val="00801A7F"/>
    <w:rsid w:val="00814260"/>
    <w:rsid w:val="008247C4"/>
    <w:rsid w:val="00826BFA"/>
    <w:rsid w:val="00853F5C"/>
    <w:rsid w:val="0087433D"/>
    <w:rsid w:val="00874BB5"/>
    <w:rsid w:val="008779C2"/>
    <w:rsid w:val="00887632"/>
    <w:rsid w:val="00895F4A"/>
    <w:rsid w:val="008973E6"/>
    <w:rsid w:val="008B6B5F"/>
    <w:rsid w:val="008E1EB5"/>
    <w:rsid w:val="00926E1B"/>
    <w:rsid w:val="00932BA3"/>
    <w:rsid w:val="00934BE7"/>
    <w:rsid w:val="009354B1"/>
    <w:rsid w:val="00947EBA"/>
    <w:rsid w:val="009718CC"/>
    <w:rsid w:val="009A4141"/>
    <w:rsid w:val="009E3161"/>
    <w:rsid w:val="00A06B7F"/>
    <w:rsid w:val="00A16A3E"/>
    <w:rsid w:val="00A263D3"/>
    <w:rsid w:val="00A365A2"/>
    <w:rsid w:val="00A37FDF"/>
    <w:rsid w:val="00A42C5E"/>
    <w:rsid w:val="00A75476"/>
    <w:rsid w:val="00A87F41"/>
    <w:rsid w:val="00AC57C3"/>
    <w:rsid w:val="00AD0172"/>
    <w:rsid w:val="00B07A8A"/>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17139"/>
    <w:rsid w:val="00D35977"/>
    <w:rsid w:val="00D43F5A"/>
    <w:rsid w:val="00D646C4"/>
    <w:rsid w:val="00D8569E"/>
    <w:rsid w:val="00D87F07"/>
    <w:rsid w:val="00D9142A"/>
    <w:rsid w:val="00D9735E"/>
    <w:rsid w:val="00DB7F6F"/>
    <w:rsid w:val="00DD5A6C"/>
    <w:rsid w:val="00DF4FB8"/>
    <w:rsid w:val="00E27034"/>
    <w:rsid w:val="00E32D4B"/>
    <w:rsid w:val="00E41116"/>
    <w:rsid w:val="00E414EF"/>
    <w:rsid w:val="00E455A5"/>
    <w:rsid w:val="00E835A1"/>
    <w:rsid w:val="00E83E2D"/>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14D0B1B"/>
    <w:rsid w:val="01A7022B"/>
    <w:rsid w:val="022573A2"/>
    <w:rsid w:val="023615AF"/>
    <w:rsid w:val="02614FC7"/>
    <w:rsid w:val="02DC2156"/>
    <w:rsid w:val="030A6CC4"/>
    <w:rsid w:val="035148F2"/>
    <w:rsid w:val="036C0D75"/>
    <w:rsid w:val="039B3DC0"/>
    <w:rsid w:val="03C265F6"/>
    <w:rsid w:val="03CC3F79"/>
    <w:rsid w:val="042B5143"/>
    <w:rsid w:val="04363AE8"/>
    <w:rsid w:val="04DA4474"/>
    <w:rsid w:val="04EC1DF7"/>
    <w:rsid w:val="050D2A9B"/>
    <w:rsid w:val="057B7A05"/>
    <w:rsid w:val="059B1E55"/>
    <w:rsid w:val="059C6184"/>
    <w:rsid w:val="059F2C87"/>
    <w:rsid w:val="05CD222A"/>
    <w:rsid w:val="05F467EB"/>
    <w:rsid w:val="05FD2B10"/>
    <w:rsid w:val="06084616"/>
    <w:rsid w:val="0619721E"/>
    <w:rsid w:val="06456265"/>
    <w:rsid w:val="068C6F34"/>
    <w:rsid w:val="06956059"/>
    <w:rsid w:val="06A9292B"/>
    <w:rsid w:val="071B1228"/>
    <w:rsid w:val="074B78AB"/>
    <w:rsid w:val="07BE53C7"/>
    <w:rsid w:val="07DC6755"/>
    <w:rsid w:val="08892439"/>
    <w:rsid w:val="08EF7A39"/>
    <w:rsid w:val="09272E13"/>
    <w:rsid w:val="095073FA"/>
    <w:rsid w:val="09C13E54"/>
    <w:rsid w:val="09EB05D3"/>
    <w:rsid w:val="0A530F50"/>
    <w:rsid w:val="0A5844F0"/>
    <w:rsid w:val="0B0B671F"/>
    <w:rsid w:val="0B3D750A"/>
    <w:rsid w:val="0B435FF2"/>
    <w:rsid w:val="0B843DF7"/>
    <w:rsid w:val="0B927BA2"/>
    <w:rsid w:val="0BC74F47"/>
    <w:rsid w:val="0BF57DE5"/>
    <w:rsid w:val="0CE51C08"/>
    <w:rsid w:val="0D4A5F0F"/>
    <w:rsid w:val="0DB22432"/>
    <w:rsid w:val="0E2A646C"/>
    <w:rsid w:val="0EE41D10"/>
    <w:rsid w:val="0F227143"/>
    <w:rsid w:val="0F403A6D"/>
    <w:rsid w:val="0F666E2F"/>
    <w:rsid w:val="0FB12275"/>
    <w:rsid w:val="0FE20680"/>
    <w:rsid w:val="11186A50"/>
    <w:rsid w:val="11386E78"/>
    <w:rsid w:val="11535CDA"/>
    <w:rsid w:val="11B73ED3"/>
    <w:rsid w:val="121E62E8"/>
    <w:rsid w:val="12241424"/>
    <w:rsid w:val="12277661"/>
    <w:rsid w:val="12B66520"/>
    <w:rsid w:val="12D70CD4"/>
    <w:rsid w:val="12E52961"/>
    <w:rsid w:val="13053004"/>
    <w:rsid w:val="133D4C82"/>
    <w:rsid w:val="13416BD8"/>
    <w:rsid w:val="135E2714"/>
    <w:rsid w:val="137026BC"/>
    <w:rsid w:val="13D12EE6"/>
    <w:rsid w:val="13EE1CEA"/>
    <w:rsid w:val="13F37300"/>
    <w:rsid w:val="14700951"/>
    <w:rsid w:val="147A532B"/>
    <w:rsid w:val="168D7116"/>
    <w:rsid w:val="169F0A74"/>
    <w:rsid w:val="16A11295"/>
    <w:rsid w:val="16B94831"/>
    <w:rsid w:val="174D6D27"/>
    <w:rsid w:val="17B9616B"/>
    <w:rsid w:val="17C675A6"/>
    <w:rsid w:val="17D631C0"/>
    <w:rsid w:val="17DD454F"/>
    <w:rsid w:val="17F36597"/>
    <w:rsid w:val="187C78C4"/>
    <w:rsid w:val="18C40B3D"/>
    <w:rsid w:val="18CE5C46"/>
    <w:rsid w:val="18FC27B3"/>
    <w:rsid w:val="19265A82"/>
    <w:rsid w:val="194C364D"/>
    <w:rsid w:val="196F7429"/>
    <w:rsid w:val="198A4786"/>
    <w:rsid w:val="19C77265"/>
    <w:rsid w:val="1A2024D1"/>
    <w:rsid w:val="1A2A2D28"/>
    <w:rsid w:val="1A3B730B"/>
    <w:rsid w:val="1A514D80"/>
    <w:rsid w:val="1A531CCB"/>
    <w:rsid w:val="1ABC0F82"/>
    <w:rsid w:val="1B081680"/>
    <w:rsid w:val="1B0C2E76"/>
    <w:rsid w:val="1B5B5EB7"/>
    <w:rsid w:val="1B643A72"/>
    <w:rsid w:val="1B9C64CF"/>
    <w:rsid w:val="1BD619E1"/>
    <w:rsid w:val="1C0F4EF3"/>
    <w:rsid w:val="1C5E2638"/>
    <w:rsid w:val="1CAC31A1"/>
    <w:rsid w:val="1CDC3027"/>
    <w:rsid w:val="1D300B23"/>
    <w:rsid w:val="1D4806BC"/>
    <w:rsid w:val="1D633229"/>
    <w:rsid w:val="1DA461C7"/>
    <w:rsid w:val="1DDA061F"/>
    <w:rsid w:val="1E625D07"/>
    <w:rsid w:val="1E6C7E3E"/>
    <w:rsid w:val="1E8C6387"/>
    <w:rsid w:val="1EEE7042"/>
    <w:rsid w:val="1EF0375A"/>
    <w:rsid w:val="1F294332"/>
    <w:rsid w:val="1F436741"/>
    <w:rsid w:val="1F505606"/>
    <w:rsid w:val="1F825CF7"/>
    <w:rsid w:val="20346CD6"/>
    <w:rsid w:val="206228B2"/>
    <w:rsid w:val="206E043A"/>
    <w:rsid w:val="20B63B8F"/>
    <w:rsid w:val="211200FF"/>
    <w:rsid w:val="215A71C3"/>
    <w:rsid w:val="21B005DE"/>
    <w:rsid w:val="21B75E11"/>
    <w:rsid w:val="21CF315A"/>
    <w:rsid w:val="22216801"/>
    <w:rsid w:val="22B61C24"/>
    <w:rsid w:val="23046E34"/>
    <w:rsid w:val="23675615"/>
    <w:rsid w:val="23E80503"/>
    <w:rsid w:val="24376F6E"/>
    <w:rsid w:val="2443573A"/>
    <w:rsid w:val="248144B4"/>
    <w:rsid w:val="24F86524"/>
    <w:rsid w:val="25483AE1"/>
    <w:rsid w:val="25496D80"/>
    <w:rsid w:val="25670B39"/>
    <w:rsid w:val="25AB3597"/>
    <w:rsid w:val="25CD79B1"/>
    <w:rsid w:val="25DC3EE8"/>
    <w:rsid w:val="25E42F4C"/>
    <w:rsid w:val="27095D8A"/>
    <w:rsid w:val="27532138"/>
    <w:rsid w:val="277B51EB"/>
    <w:rsid w:val="279E6744"/>
    <w:rsid w:val="27A37603"/>
    <w:rsid w:val="27B0758A"/>
    <w:rsid w:val="28276561"/>
    <w:rsid w:val="2829733C"/>
    <w:rsid w:val="288325A9"/>
    <w:rsid w:val="288D78CB"/>
    <w:rsid w:val="28B25635"/>
    <w:rsid w:val="28FA6206"/>
    <w:rsid w:val="29B10892"/>
    <w:rsid w:val="29C22B06"/>
    <w:rsid w:val="2AB6770F"/>
    <w:rsid w:val="2B011EAB"/>
    <w:rsid w:val="2BAD2B02"/>
    <w:rsid w:val="2CF9713B"/>
    <w:rsid w:val="2D1934DC"/>
    <w:rsid w:val="2D4B05DB"/>
    <w:rsid w:val="2DAD00C8"/>
    <w:rsid w:val="2DD6761F"/>
    <w:rsid w:val="2E0C3040"/>
    <w:rsid w:val="2E40384E"/>
    <w:rsid w:val="2E550337"/>
    <w:rsid w:val="2E574CAE"/>
    <w:rsid w:val="2E8B0409"/>
    <w:rsid w:val="2ED81174"/>
    <w:rsid w:val="2F083808"/>
    <w:rsid w:val="2F0B058C"/>
    <w:rsid w:val="2F454A5C"/>
    <w:rsid w:val="2F465CA7"/>
    <w:rsid w:val="2F7C5FA4"/>
    <w:rsid w:val="2F82534F"/>
    <w:rsid w:val="2FCF4325"/>
    <w:rsid w:val="300C7328"/>
    <w:rsid w:val="302723B3"/>
    <w:rsid w:val="302A1EA4"/>
    <w:rsid w:val="303040B7"/>
    <w:rsid w:val="303911DA"/>
    <w:rsid w:val="30AA08EF"/>
    <w:rsid w:val="30AE6631"/>
    <w:rsid w:val="3106021B"/>
    <w:rsid w:val="3197089A"/>
    <w:rsid w:val="320C1861"/>
    <w:rsid w:val="327A0EC0"/>
    <w:rsid w:val="32ED17CB"/>
    <w:rsid w:val="34047FF5"/>
    <w:rsid w:val="34D01D12"/>
    <w:rsid w:val="3573099D"/>
    <w:rsid w:val="35C44201"/>
    <w:rsid w:val="366B28CE"/>
    <w:rsid w:val="367B0D63"/>
    <w:rsid w:val="37183A1F"/>
    <w:rsid w:val="372F1B4E"/>
    <w:rsid w:val="373919BF"/>
    <w:rsid w:val="38206066"/>
    <w:rsid w:val="388D2FD0"/>
    <w:rsid w:val="393E01A9"/>
    <w:rsid w:val="396B1F46"/>
    <w:rsid w:val="39DC7D6B"/>
    <w:rsid w:val="39EF3F42"/>
    <w:rsid w:val="3AC413D7"/>
    <w:rsid w:val="3B651FE2"/>
    <w:rsid w:val="3B714E2B"/>
    <w:rsid w:val="3B8E3934"/>
    <w:rsid w:val="3BAE3989"/>
    <w:rsid w:val="3C722C08"/>
    <w:rsid w:val="3CB44FCF"/>
    <w:rsid w:val="3CE968BC"/>
    <w:rsid w:val="3D6C58AA"/>
    <w:rsid w:val="3D8C5F4C"/>
    <w:rsid w:val="3E313DDB"/>
    <w:rsid w:val="3E3D3477"/>
    <w:rsid w:val="3E94330A"/>
    <w:rsid w:val="3F971280"/>
    <w:rsid w:val="401F30A7"/>
    <w:rsid w:val="403F2E01"/>
    <w:rsid w:val="40D3481B"/>
    <w:rsid w:val="40F520C7"/>
    <w:rsid w:val="41837924"/>
    <w:rsid w:val="4235270E"/>
    <w:rsid w:val="42B74801"/>
    <w:rsid w:val="42CD0EA8"/>
    <w:rsid w:val="42FD18E1"/>
    <w:rsid w:val="431A1904"/>
    <w:rsid w:val="43947908"/>
    <w:rsid w:val="43A30CF6"/>
    <w:rsid w:val="43B21B3C"/>
    <w:rsid w:val="441A7E0D"/>
    <w:rsid w:val="44B10046"/>
    <w:rsid w:val="44CB4DED"/>
    <w:rsid w:val="44F56185"/>
    <w:rsid w:val="44FD328B"/>
    <w:rsid w:val="45413951"/>
    <w:rsid w:val="456B31CF"/>
    <w:rsid w:val="46893028"/>
    <w:rsid w:val="46E47FFF"/>
    <w:rsid w:val="47090753"/>
    <w:rsid w:val="4779601E"/>
    <w:rsid w:val="478F466E"/>
    <w:rsid w:val="481B0E08"/>
    <w:rsid w:val="48353A66"/>
    <w:rsid w:val="486E1ECD"/>
    <w:rsid w:val="489160CA"/>
    <w:rsid w:val="48981C49"/>
    <w:rsid w:val="48B461BA"/>
    <w:rsid w:val="48E01E61"/>
    <w:rsid w:val="49327CD0"/>
    <w:rsid w:val="493E1AE1"/>
    <w:rsid w:val="49492F43"/>
    <w:rsid w:val="497879AC"/>
    <w:rsid w:val="497A75A0"/>
    <w:rsid w:val="4A0B2ACB"/>
    <w:rsid w:val="4A3D078E"/>
    <w:rsid w:val="4A9B6FA0"/>
    <w:rsid w:val="4ADC7A1F"/>
    <w:rsid w:val="4B2238EC"/>
    <w:rsid w:val="4B48294B"/>
    <w:rsid w:val="4C52210E"/>
    <w:rsid w:val="4C5B0FC3"/>
    <w:rsid w:val="4C7D362F"/>
    <w:rsid w:val="4CAA0C68"/>
    <w:rsid w:val="4CD55219"/>
    <w:rsid w:val="4D627EC9"/>
    <w:rsid w:val="4DCA00AA"/>
    <w:rsid w:val="4DDD59C1"/>
    <w:rsid w:val="4DE1199C"/>
    <w:rsid w:val="4E141D71"/>
    <w:rsid w:val="4E1D6B04"/>
    <w:rsid w:val="4E395334"/>
    <w:rsid w:val="4E593C28"/>
    <w:rsid w:val="4EB77081"/>
    <w:rsid w:val="4EFD2805"/>
    <w:rsid w:val="4F053468"/>
    <w:rsid w:val="4F145BB6"/>
    <w:rsid w:val="4F214C15"/>
    <w:rsid w:val="4F7D23C8"/>
    <w:rsid w:val="4FC74BC1"/>
    <w:rsid w:val="501778F7"/>
    <w:rsid w:val="501A2F43"/>
    <w:rsid w:val="509F6E94"/>
    <w:rsid w:val="50C41A32"/>
    <w:rsid w:val="512E314A"/>
    <w:rsid w:val="51662C85"/>
    <w:rsid w:val="516E71BC"/>
    <w:rsid w:val="51976A7D"/>
    <w:rsid w:val="51B02576"/>
    <w:rsid w:val="51EB103B"/>
    <w:rsid w:val="51FB0B52"/>
    <w:rsid w:val="52270DB5"/>
    <w:rsid w:val="525F17E0"/>
    <w:rsid w:val="526130AB"/>
    <w:rsid w:val="52EB22F4"/>
    <w:rsid w:val="531F075A"/>
    <w:rsid w:val="5338205E"/>
    <w:rsid w:val="537E1566"/>
    <w:rsid w:val="53D82970"/>
    <w:rsid w:val="541A3BEB"/>
    <w:rsid w:val="5457287D"/>
    <w:rsid w:val="54A0435F"/>
    <w:rsid w:val="566E7185"/>
    <w:rsid w:val="569D042A"/>
    <w:rsid w:val="56C63E25"/>
    <w:rsid w:val="57555F1B"/>
    <w:rsid w:val="578A31A2"/>
    <w:rsid w:val="5794447B"/>
    <w:rsid w:val="57996E43"/>
    <w:rsid w:val="57A01936"/>
    <w:rsid w:val="57A57FD6"/>
    <w:rsid w:val="57F01F2D"/>
    <w:rsid w:val="583A6878"/>
    <w:rsid w:val="58733B38"/>
    <w:rsid w:val="588E44CE"/>
    <w:rsid w:val="58D367F3"/>
    <w:rsid w:val="59103135"/>
    <w:rsid w:val="592C1295"/>
    <w:rsid w:val="595B4CF8"/>
    <w:rsid w:val="5992568E"/>
    <w:rsid w:val="59C7413C"/>
    <w:rsid w:val="59DD74BB"/>
    <w:rsid w:val="59EF3692"/>
    <w:rsid w:val="5A420BA5"/>
    <w:rsid w:val="5A8C449C"/>
    <w:rsid w:val="5A9D14EB"/>
    <w:rsid w:val="5B571FFB"/>
    <w:rsid w:val="5BBB1A7E"/>
    <w:rsid w:val="5BFB00CD"/>
    <w:rsid w:val="5C3B671B"/>
    <w:rsid w:val="5C452F47"/>
    <w:rsid w:val="5C537F09"/>
    <w:rsid w:val="5C6C140D"/>
    <w:rsid w:val="5C867919"/>
    <w:rsid w:val="5CD5091E"/>
    <w:rsid w:val="5D086F45"/>
    <w:rsid w:val="5D2A041C"/>
    <w:rsid w:val="5D4D6706"/>
    <w:rsid w:val="5DF76C0B"/>
    <w:rsid w:val="5E42134A"/>
    <w:rsid w:val="5ED15115"/>
    <w:rsid w:val="5EFD5F0A"/>
    <w:rsid w:val="5F160B12"/>
    <w:rsid w:val="5FC92290"/>
    <w:rsid w:val="5FD17AC2"/>
    <w:rsid w:val="5FEF619A"/>
    <w:rsid w:val="60252B89"/>
    <w:rsid w:val="60483AFC"/>
    <w:rsid w:val="604F4E8B"/>
    <w:rsid w:val="60675D31"/>
    <w:rsid w:val="60B11334"/>
    <w:rsid w:val="60BD0047"/>
    <w:rsid w:val="60FE3AFC"/>
    <w:rsid w:val="61333E65"/>
    <w:rsid w:val="61661FF0"/>
    <w:rsid w:val="616C2448"/>
    <w:rsid w:val="61882403"/>
    <w:rsid w:val="61922DB6"/>
    <w:rsid w:val="61AA3C9A"/>
    <w:rsid w:val="62764951"/>
    <w:rsid w:val="628C5F22"/>
    <w:rsid w:val="62A35132"/>
    <w:rsid w:val="62C44CEE"/>
    <w:rsid w:val="630E06E5"/>
    <w:rsid w:val="634A0790"/>
    <w:rsid w:val="63CB1C09"/>
    <w:rsid w:val="63DF2082"/>
    <w:rsid w:val="64E33DF4"/>
    <w:rsid w:val="652F2B95"/>
    <w:rsid w:val="654A16B4"/>
    <w:rsid w:val="654C7BEB"/>
    <w:rsid w:val="65984BDE"/>
    <w:rsid w:val="65E76184"/>
    <w:rsid w:val="660F1D12"/>
    <w:rsid w:val="6632293D"/>
    <w:rsid w:val="664803B2"/>
    <w:rsid w:val="66770C98"/>
    <w:rsid w:val="67277FC8"/>
    <w:rsid w:val="677C2407"/>
    <w:rsid w:val="678F07BF"/>
    <w:rsid w:val="67901765"/>
    <w:rsid w:val="67B331D4"/>
    <w:rsid w:val="6804655B"/>
    <w:rsid w:val="682E182A"/>
    <w:rsid w:val="68C47A98"/>
    <w:rsid w:val="68C53F3C"/>
    <w:rsid w:val="69C75E24"/>
    <w:rsid w:val="69C85359"/>
    <w:rsid w:val="6B170353"/>
    <w:rsid w:val="6B805A13"/>
    <w:rsid w:val="6B913722"/>
    <w:rsid w:val="6C3137BF"/>
    <w:rsid w:val="6CC80E6D"/>
    <w:rsid w:val="6D196D61"/>
    <w:rsid w:val="6D1B6779"/>
    <w:rsid w:val="6D480C98"/>
    <w:rsid w:val="6DDA15E5"/>
    <w:rsid w:val="6DED0C6F"/>
    <w:rsid w:val="6F986B5B"/>
    <w:rsid w:val="705C233E"/>
    <w:rsid w:val="70814BED"/>
    <w:rsid w:val="709C1A26"/>
    <w:rsid w:val="70B2124A"/>
    <w:rsid w:val="70F47B1E"/>
    <w:rsid w:val="710B6BAC"/>
    <w:rsid w:val="712B2DAA"/>
    <w:rsid w:val="71A62431"/>
    <w:rsid w:val="71CC633B"/>
    <w:rsid w:val="71F238C8"/>
    <w:rsid w:val="72534367"/>
    <w:rsid w:val="738A5B9F"/>
    <w:rsid w:val="73C6500C"/>
    <w:rsid w:val="741F6AAA"/>
    <w:rsid w:val="74417AC1"/>
    <w:rsid w:val="74A0585D"/>
    <w:rsid w:val="750E3D01"/>
    <w:rsid w:val="753F5076"/>
    <w:rsid w:val="75436915"/>
    <w:rsid w:val="75FF643B"/>
    <w:rsid w:val="769129BD"/>
    <w:rsid w:val="76D01A14"/>
    <w:rsid w:val="77550B81"/>
    <w:rsid w:val="77882B18"/>
    <w:rsid w:val="77A7157C"/>
    <w:rsid w:val="781E5417"/>
    <w:rsid w:val="78B143BF"/>
    <w:rsid w:val="790C1713"/>
    <w:rsid w:val="793F5645"/>
    <w:rsid w:val="795066F2"/>
    <w:rsid w:val="7A035425"/>
    <w:rsid w:val="7A6535D9"/>
    <w:rsid w:val="7A7C4677"/>
    <w:rsid w:val="7A8F6158"/>
    <w:rsid w:val="7A937FAF"/>
    <w:rsid w:val="7A9560AA"/>
    <w:rsid w:val="7AB465B7"/>
    <w:rsid w:val="7ACC115A"/>
    <w:rsid w:val="7AF81F4F"/>
    <w:rsid w:val="7B215011"/>
    <w:rsid w:val="7B6C6499"/>
    <w:rsid w:val="7B7B492E"/>
    <w:rsid w:val="7BEC3554"/>
    <w:rsid w:val="7BEF6C3D"/>
    <w:rsid w:val="7BFA6408"/>
    <w:rsid w:val="7C356D7F"/>
    <w:rsid w:val="7C5A2796"/>
    <w:rsid w:val="7C8B6DF3"/>
    <w:rsid w:val="7CB63E70"/>
    <w:rsid w:val="7D221505"/>
    <w:rsid w:val="7D902913"/>
    <w:rsid w:val="7DE81904"/>
    <w:rsid w:val="7E2B6198"/>
    <w:rsid w:val="7F6D458E"/>
    <w:rsid w:val="7FCE77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Calibri"/>
      <w:kern w:val="2"/>
      <w:sz w:val="21"/>
      <w:szCs w:val="24"/>
      <w:lang w:val="en-US" w:eastAsia="zh-CN" w:bidi="ar-SA"/>
    </w:rPr>
  </w:style>
  <w:style w:type="paragraph" w:styleId="3">
    <w:name w:val="heading 1"/>
    <w:basedOn w:val="1"/>
    <w:next w:val="1"/>
    <w:autoRedefine/>
    <w:qFormat/>
    <w:uiPriority w:val="0"/>
    <w:pPr>
      <w:keepNext/>
      <w:keepLines/>
      <w:spacing w:before="340" w:after="330" w:line="578" w:lineRule="auto"/>
      <w:outlineLvl w:val="0"/>
    </w:pPr>
    <w:rPr>
      <w:b/>
      <w:bCs/>
      <w:kern w:val="44"/>
      <w:sz w:val="44"/>
    </w:rPr>
  </w:style>
  <w:style w:type="paragraph" w:styleId="4">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5">
    <w:name w:val="heading 3"/>
    <w:basedOn w:val="1"/>
    <w:next w:val="1"/>
    <w:autoRedefine/>
    <w:qFormat/>
    <w:uiPriority w:val="0"/>
    <w:pPr>
      <w:keepNext/>
      <w:keepLines/>
      <w:spacing w:before="260" w:after="260" w:line="415" w:lineRule="auto"/>
      <w:outlineLvl w:val="2"/>
    </w:pPr>
    <w:rPr>
      <w:b/>
      <w:sz w:val="32"/>
    </w:rPr>
  </w:style>
  <w:style w:type="paragraph" w:styleId="6">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7">
    <w:name w:val="heading 7"/>
    <w:basedOn w:val="1"/>
    <w:next w:val="1"/>
    <w:link w:val="24"/>
    <w:autoRedefine/>
    <w:qFormat/>
    <w:uiPriority w:val="9"/>
    <w:pPr>
      <w:keepNext/>
      <w:keepLines/>
      <w:spacing w:before="240" w:after="64" w:line="320" w:lineRule="auto"/>
      <w:outlineLvl w:val="6"/>
    </w:pPr>
    <w:rPr>
      <w:b/>
      <w:bCs/>
      <w:sz w:val="24"/>
    </w:rPr>
  </w:style>
  <w:style w:type="character" w:default="1" w:styleId="17">
    <w:name w:val="Default Paragraph Font"/>
    <w:semiHidden/>
    <w:unhideWhenUsed/>
    <w:qFormat/>
    <w:uiPriority w:val="1"/>
  </w:style>
  <w:style w:type="table" w:default="1" w:styleId="1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customStyle="1" w:styleId="2">
    <w:name w:val="BodyText2"/>
    <w:basedOn w:val="1"/>
    <w:autoRedefine/>
    <w:qFormat/>
    <w:uiPriority w:val="0"/>
    <w:pPr>
      <w:spacing w:after="120" w:line="480" w:lineRule="auto"/>
      <w:textAlignment w:val="baseline"/>
    </w:pPr>
    <w:rPr>
      <w:rFonts w:cs="Times New Roman"/>
      <w:sz w:val="32"/>
      <w:szCs w:val="32"/>
    </w:rPr>
  </w:style>
  <w:style w:type="paragraph" w:styleId="8">
    <w:name w:val="annotation text"/>
    <w:basedOn w:val="1"/>
    <w:link w:val="25"/>
    <w:autoRedefine/>
    <w:unhideWhenUsed/>
    <w:qFormat/>
    <w:uiPriority w:val="99"/>
    <w:pPr>
      <w:adjustRightInd w:val="0"/>
      <w:spacing w:line="400" w:lineRule="exact"/>
      <w:jc w:val="left"/>
    </w:pPr>
    <w:rPr>
      <w:szCs w:val="21"/>
    </w:rPr>
  </w:style>
  <w:style w:type="paragraph" w:styleId="9">
    <w:name w:val="Balloon Text"/>
    <w:basedOn w:val="1"/>
    <w:link w:val="26"/>
    <w:autoRedefine/>
    <w:unhideWhenUsed/>
    <w:qFormat/>
    <w:uiPriority w:val="99"/>
    <w:rPr>
      <w:sz w:val="18"/>
      <w:szCs w:val="18"/>
    </w:rPr>
  </w:style>
  <w:style w:type="paragraph" w:styleId="10">
    <w:name w:val="footer"/>
    <w:basedOn w:val="1"/>
    <w:link w:val="27"/>
    <w:autoRedefine/>
    <w:qFormat/>
    <w:uiPriority w:val="99"/>
    <w:pPr>
      <w:tabs>
        <w:tab w:val="center" w:pos="4153"/>
        <w:tab w:val="right" w:pos="8306"/>
      </w:tabs>
      <w:snapToGrid w:val="0"/>
      <w:jc w:val="left"/>
    </w:pPr>
    <w:rPr>
      <w:sz w:val="18"/>
      <w:szCs w:val="18"/>
    </w:rPr>
  </w:style>
  <w:style w:type="paragraph" w:styleId="11">
    <w:name w:val="envelope return"/>
    <w:basedOn w:val="1"/>
    <w:autoRedefine/>
    <w:qFormat/>
    <w:uiPriority w:val="0"/>
    <w:pPr>
      <w:snapToGrid w:val="0"/>
    </w:pPr>
    <w:rPr>
      <w:rFonts w:ascii="Times New Roman" w:hAnsi="Times New Roman"/>
    </w:rPr>
  </w:style>
  <w:style w:type="paragraph" w:styleId="12">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3">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4">
    <w:name w:val="Normal (Web)"/>
    <w:basedOn w:val="1"/>
    <w:autoRedefine/>
    <w:semiHidden/>
    <w:unhideWhenUsed/>
    <w:qFormat/>
    <w:uiPriority w:val="99"/>
    <w:rPr>
      <w:sz w:val="24"/>
    </w:rPr>
  </w:style>
  <w:style w:type="table" w:styleId="16">
    <w:name w:val="Table Grid"/>
    <w:basedOn w:val="15"/>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Strong"/>
    <w:basedOn w:val="17"/>
    <w:autoRedefine/>
    <w:qFormat/>
    <w:uiPriority w:val="22"/>
    <w:rPr>
      <w:b/>
    </w:rPr>
  </w:style>
  <w:style w:type="character" w:styleId="19">
    <w:name w:val="line number"/>
    <w:autoRedefine/>
    <w:qFormat/>
    <w:uiPriority w:val="0"/>
  </w:style>
  <w:style w:type="character" w:styleId="20">
    <w:name w:val="Hyperlink"/>
    <w:autoRedefine/>
    <w:qFormat/>
    <w:uiPriority w:val="0"/>
    <w:rPr>
      <w:rFonts w:ascii="宋体" w:eastAsia="宋体"/>
      <w:color w:val="auto"/>
      <w:spacing w:val="0"/>
      <w:w w:val="100"/>
      <w:position w:val="0"/>
      <w:sz w:val="21"/>
      <w:u w:val="none"/>
      <w:vertAlign w:val="baseline"/>
    </w:rPr>
  </w:style>
  <w:style w:type="character" w:styleId="21">
    <w:name w:val="annotation reference"/>
    <w:basedOn w:val="17"/>
    <w:autoRedefine/>
    <w:qFormat/>
    <w:uiPriority w:val="99"/>
    <w:rPr>
      <w:sz w:val="21"/>
      <w:szCs w:val="21"/>
    </w:rPr>
  </w:style>
  <w:style w:type="character" w:styleId="22">
    <w:name w:val="footnote reference"/>
    <w:autoRedefine/>
    <w:qFormat/>
    <w:uiPriority w:val="0"/>
    <w:rPr>
      <w:vertAlign w:val="superscript"/>
    </w:rPr>
  </w:style>
  <w:style w:type="paragraph" w:customStyle="1" w:styleId="23">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4">
    <w:name w:val="标题 7 字符"/>
    <w:link w:val="7"/>
    <w:autoRedefine/>
    <w:qFormat/>
    <w:uiPriority w:val="0"/>
    <w:rPr>
      <w:rFonts w:eastAsia="宋体"/>
      <w:b/>
      <w:bCs/>
      <w:kern w:val="2"/>
      <w:sz w:val="24"/>
      <w:szCs w:val="24"/>
    </w:rPr>
  </w:style>
  <w:style w:type="character" w:customStyle="1" w:styleId="25">
    <w:name w:val="批注文字 字符"/>
    <w:link w:val="8"/>
    <w:autoRedefine/>
    <w:semiHidden/>
    <w:qFormat/>
    <w:uiPriority w:val="99"/>
    <w:rPr>
      <w:rFonts w:ascii="Calibri" w:hAnsi="Calibri" w:eastAsia="宋体"/>
      <w:kern w:val="2"/>
      <w:sz w:val="21"/>
      <w:szCs w:val="21"/>
    </w:rPr>
  </w:style>
  <w:style w:type="character" w:customStyle="1" w:styleId="26">
    <w:name w:val="批注框文本 字符"/>
    <w:link w:val="9"/>
    <w:autoRedefine/>
    <w:semiHidden/>
    <w:qFormat/>
    <w:uiPriority w:val="99"/>
    <w:rPr>
      <w:rFonts w:eastAsia="宋体"/>
      <w:kern w:val="2"/>
      <w:sz w:val="18"/>
      <w:szCs w:val="18"/>
    </w:rPr>
  </w:style>
  <w:style w:type="character" w:customStyle="1" w:styleId="27">
    <w:name w:val="页脚 字符"/>
    <w:link w:val="10"/>
    <w:autoRedefine/>
    <w:qFormat/>
    <w:locked/>
    <w:uiPriority w:val="99"/>
    <w:rPr>
      <w:rFonts w:eastAsia="宋体"/>
      <w:kern w:val="2"/>
      <w:sz w:val="18"/>
      <w:szCs w:val="18"/>
    </w:rPr>
  </w:style>
  <w:style w:type="paragraph" w:customStyle="1" w:styleId="28">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9">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0">
    <w:name w:val="标准文件_段"/>
    <w:link w:val="31"/>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1">
    <w:name w:val="标准文件_段 Char"/>
    <w:link w:val="30"/>
    <w:autoRedefine/>
    <w:qFormat/>
    <w:uiPriority w:val="0"/>
    <w:rPr>
      <w:rFonts w:ascii="宋体" w:eastAsia="宋体"/>
      <w:sz w:val="21"/>
    </w:rPr>
  </w:style>
  <w:style w:type="paragraph" w:customStyle="1" w:styleId="32">
    <w:name w:val="标准文件_章标题"/>
    <w:next w:val="30"/>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3">
    <w:name w:val="标准文件_二级条标题"/>
    <w:next w:val="30"/>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4">
    <w:name w:val="标准文件_一级条标题"/>
    <w:basedOn w:val="32"/>
    <w:next w:val="30"/>
    <w:autoRedefine/>
    <w:qFormat/>
    <w:uiPriority w:val="0"/>
    <w:pPr>
      <w:numPr>
        <w:ilvl w:val="2"/>
      </w:numPr>
      <w:spacing w:before="50" w:beforeLines="0" w:after="50" w:afterLines="0"/>
      <w:outlineLvl w:val="1"/>
    </w:pPr>
  </w:style>
  <w:style w:type="paragraph" w:customStyle="1" w:styleId="35">
    <w:name w:val="标准文件_三级条标题"/>
    <w:basedOn w:val="33"/>
    <w:next w:val="30"/>
    <w:autoRedefine/>
    <w:qFormat/>
    <w:uiPriority w:val="0"/>
    <w:pPr>
      <w:outlineLvl w:val="3"/>
    </w:pPr>
  </w:style>
  <w:style w:type="paragraph" w:customStyle="1" w:styleId="36">
    <w:name w:val="标准文件_四级条标题"/>
    <w:next w:val="30"/>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7">
    <w:name w:val="标准文件_五级条标题"/>
    <w:next w:val="33"/>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8">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9">
    <w:name w:val="标准文件_四级无标题"/>
    <w:basedOn w:val="36"/>
    <w:autoRedefine/>
    <w:qFormat/>
    <w:uiPriority w:val="0"/>
    <w:pPr>
      <w:numPr>
        <w:ilvl w:val="5"/>
        <w:numId w:val="1"/>
      </w:numPr>
    </w:pPr>
    <w:rPr>
      <w:rFonts w:ascii="宋体" w:eastAsia="宋体"/>
      <w:szCs w:val="52"/>
    </w:rPr>
  </w:style>
  <w:style w:type="paragraph" w:customStyle="1" w:styleId="40">
    <w:name w:val="标准文件_三级无标题"/>
    <w:basedOn w:val="35"/>
    <w:autoRedefine/>
    <w:qFormat/>
    <w:uiPriority w:val="0"/>
    <w:pPr>
      <w:numPr>
        <w:ilvl w:val="4"/>
        <w:numId w:val="1"/>
      </w:numPr>
    </w:pPr>
    <w:rPr>
      <w:rFonts w:ascii="宋体" w:eastAsia="宋体"/>
    </w:rPr>
  </w:style>
  <w:style w:type="paragraph" w:customStyle="1" w:styleId="41">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2">
    <w:name w:val="font11"/>
    <w:autoRedefine/>
    <w:qFormat/>
    <w:uiPriority w:val="0"/>
    <w:rPr>
      <w:rFonts w:ascii="等线" w:eastAsia="等线"/>
      <w:b/>
      <w:bCs/>
      <w:color w:val="FF0000"/>
      <w:sz w:val="22"/>
      <w:szCs w:val="22"/>
      <w:u w:val="none"/>
    </w:rPr>
  </w:style>
  <w:style w:type="character" w:customStyle="1" w:styleId="43">
    <w:name w:val="font01"/>
    <w:autoRedefine/>
    <w:qFormat/>
    <w:uiPriority w:val="0"/>
    <w:rPr>
      <w:rFonts w:ascii="等线" w:eastAsia="等线"/>
      <w:color w:val="000000"/>
      <w:sz w:val="22"/>
      <w:szCs w:val="22"/>
      <w:u w:val="none"/>
    </w:rPr>
  </w:style>
  <w:style w:type="paragraph" w:customStyle="1" w:styleId="44">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5">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6">
    <w:name w:val="标准文件_二级无标题"/>
    <w:basedOn w:val="33"/>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7">
    <w:name w:val="Char Char Char Char"/>
    <w:basedOn w:val="1"/>
    <w:autoRedefine/>
    <w:qFormat/>
    <w:uiPriority w:val="0"/>
  </w:style>
  <w:style w:type="paragraph" w:customStyle="1" w:styleId="48">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9">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0">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1">
    <w:name w:val="标准文件_术语条一"/>
    <w:basedOn w:val="1"/>
    <w:next w:val="30"/>
    <w:autoRedefine/>
    <w:qFormat/>
    <w:uiPriority w:val="0"/>
    <w:pPr>
      <w:widowControl/>
    </w:pPr>
    <w:rPr>
      <w:rFonts w:ascii="宋体"/>
      <w:kern w:val="0"/>
      <w:szCs w:val="20"/>
    </w:rPr>
  </w:style>
  <w:style w:type="paragraph" w:customStyle="1" w:styleId="52">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3">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4">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5">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6">
    <w:name w:val="普通(网站) Char"/>
    <w:basedOn w:val="1"/>
    <w:qFormat/>
    <w:uiPriority w:val="0"/>
    <w:pPr>
      <w:spacing w:beforeAutospacing="1" w:afterAutospacing="1"/>
      <w:jc w:val="left"/>
    </w:pPr>
    <w:rPr>
      <w:rFonts w:hint="eastAsia" w:ascii="宋体" w:hAnsi="宋体" w:cs="Times New Roman"/>
      <w:kern w:val="0"/>
      <w:sz w:val="24"/>
    </w:rPr>
  </w:style>
  <w:style w:type="paragraph" w:styleId="57">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9845</Words>
  <Characters>10269</Characters>
  <Lines>73</Lines>
  <Paragraphs>20</Paragraphs>
  <TotalTime>2</TotalTime>
  <ScaleCrop>false</ScaleCrop>
  <LinksUpToDate>false</LinksUpToDate>
  <CharactersWithSpaces>10323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dcterms:modified xsi:type="dcterms:W3CDTF">2025-06-30T01:35:22Z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6A40DB9821DB4257A6E4F7EF352513C3_13</vt:lpwstr>
  </property>
  <property fmtid="{D5CDD505-2E9C-101B-9397-08002B2CF9AE}" pid="4" name="KSOTemplateDocerSaveRecord">
    <vt:lpwstr>eyJoZGlkIjoiMzg2YTk3YWJlMzJiOWE4NmU5OTkxNmM1MjU1OThkOTQiLCJ1c2VySWQiOiIzMjAyMTY5NjkifQ==</vt:lpwstr>
  </property>
</Properties>
</file>