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FDC4F7">
      <w:pPr>
        <w:pStyle w:val="4"/>
        <w:spacing w:before="0" w:after="0" w:line="600" w:lineRule="exact"/>
        <w:jc w:val="center"/>
        <w:rPr>
          <w:rFonts w:hint="eastAsia" w:ascii="方正小标宋简体" w:eastAsia="方正小标宋简体"/>
          <w:b w:val="0"/>
          <w:szCs w:val="36"/>
          <w:lang w:eastAsia="zh-CN"/>
        </w:rPr>
      </w:pPr>
      <w:r>
        <w:rPr>
          <w:rFonts w:hint="eastAsia" w:ascii="方正小标宋简体" w:eastAsia="方正小标宋简体"/>
          <w:b w:val="0"/>
          <w:szCs w:val="36"/>
          <w:lang w:val="en-US" w:eastAsia="zh-CN"/>
        </w:rPr>
        <w:t>原创性高质量</w:t>
      </w:r>
      <w:r>
        <w:rPr>
          <w:rFonts w:hint="eastAsia" w:ascii="方正小标宋简体" w:eastAsia="方正小标宋简体"/>
          <w:b w:val="0"/>
          <w:szCs w:val="36"/>
        </w:rPr>
        <w:t>团体标准《</w:t>
      </w:r>
      <w:r>
        <w:rPr>
          <w:rFonts w:hint="eastAsia" w:ascii="方正小标宋简体" w:eastAsia="方正小标宋简体"/>
          <w:b w:val="0"/>
          <w:szCs w:val="36"/>
          <w:lang w:eastAsia="zh-CN"/>
        </w:rPr>
        <w:t>马蹄荷培育技术</w:t>
      </w:r>
    </w:p>
    <w:p w14:paraId="2546D711">
      <w:pPr>
        <w:pStyle w:val="4"/>
        <w:spacing w:before="0" w:after="0" w:line="600" w:lineRule="exact"/>
        <w:jc w:val="center"/>
        <w:rPr>
          <w:rFonts w:ascii="方正小标宋简体" w:eastAsia="方正小标宋简体"/>
          <w:b w:val="0"/>
          <w:szCs w:val="36"/>
        </w:rPr>
      </w:pPr>
      <w:r>
        <w:rPr>
          <w:rFonts w:hint="eastAsia" w:ascii="方正小标宋简体" w:eastAsia="方正小标宋简体"/>
          <w:b w:val="0"/>
          <w:szCs w:val="36"/>
          <w:lang w:eastAsia="zh-CN"/>
        </w:rPr>
        <w:t>规程</w:t>
      </w:r>
      <w:r>
        <w:rPr>
          <w:rFonts w:hint="eastAsia" w:ascii="方正小标宋简体" w:eastAsia="方正小标宋简体"/>
          <w:b w:val="0"/>
          <w:szCs w:val="36"/>
        </w:rPr>
        <w:t>》（</w:t>
      </w:r>
      <w:r>
        <w:rPr>
          <w:rFonts w:hint="eastAsia" w:ascii="方正小标宋简体" w:eastAsia="方正小标宋简体"/>
          <w:b w:val="0"/>
          <w:szCs w:val="36"/>
          <w:lang w:val="en-US" w:eastAsia="zh-CN"/>
        </w:rPr>
        <w:t>征求意见稿</w:t>
      </w:r>
      <w:r>
        <w:rPr>
          <w:rFonts w:hint="eastAsia" w:ascii="方正小标宋简体" w:eastAsia="方正小标宋简体"/>
          <w:b w:val="0"/>
          <w:szCs w:val="36"/>
        </w:rPr>
        <w:t>）编制说明</w:t>
      </w:r>
    </w:p>
    <w:p w14:paraId="29B5624C">
      <w:pPr>
        <w:spacing w:before="159" w:beforeLines="50" w:after="159" w:afterLines="50" w:line="560" w:lineRule="exact"/>
        <w:ind w:firstLine="640" w:firstLineChars="200"/>
        <w:rPr>
          <w:rFonts w:hint="default" w:ascii="黑体" w:hAnsi="黑体" w:eastAsia="黑体"/>
          <w:sz w:val="32"/>
          <w:szCs w:val="32"/>
          <w:lang w:val="en-US" w:eastAsia="zh-CN"/>
        </w:rPr>
      </w:pPr>
      <w:r>
        <w:rPr>
          <w:rFonts w:hint="eastAsia" w:ascii="黑体" w:hAnsi="黑体" w:eastAsia="黑体"/>
          <w:sz w:val="32"/>
          <w:szCs w:val="32"/>
        </w:rPr>
        <w:t>一、任务来源、起草单位</w:t>
      </w:r>
    </w:p>
    <w:p w14:paraId="2E88BD26">
      <w:pPr>
        <w:spacing w:before="0" w:beforeLines="0" w:after="0" w:afterLines="0" w:line="560" w:lineRule="exact"/>
        <w:ind w:firstLine="640" w:firstLineChars="200"/>
        <w:rPr>
          <w:rFonts w:hint="eastAsia" w:ascii="仿宋_GB2312" w:eastAsia="仿宋_GB2312"/>
          <w:sz w:val="32"/>
          <w:szCs w:val="32"/>
        </w:rPr>
      </w:pPr>
      <w:r>
        <w:rPr>
          <w:rFonts w:hint="eastAsia" w:ascii="仿宋_GB2312" w:eastAsia="仿宋_GB2312"/>
          <w:sz w:val="32"/>
          <w:szCs w:val="32"/>
        </w:rPr>
        <w:t>根据《广西标准化协会</w:t>
      </w:r>
      <w:r>
        <w:rPr>
          <w:rFonts w:hint="eastAsia" w:ascii="仿宋_GB2312" w:eastAsia="仿宋_GB2312"/>
          <w:sz w:val="32"/>
          <w:szCs w:val="32"/>
          <w:lang w:eastAsia="zh-CN"/>
        </w:rPr>
        <w:t>〈</w:t>
      </w:r>
      <w:r>
        <w:rPr>
          <w:rFonts w:hint="eastAsia" w:ascii="仿宋_GB2312" w:eastAsia="仿宋_GB2312"/>
          <w:sz w:val="32"/>
          <w:szCs w:val="32"/>
        </w:rPr>
        <w:t>关于下达202</w:t>
      </w:r>
      <w:r>
        <w:rPr>
          <w:rFonts w:hint="eastAsia" w:ascii="仿宋_GB2312" w:eastAsia="仿宋_GB2312"/>
          <w:sz w:val="32"/>
          <w:szCs w:val="32"/>
          <w:lang w:val="en-US" w:eastAsia="zh-CN"/>
        </w:rPr>
        <w:t>5</w:t>
      </w:r>
      <w:r>
        <w:rPr>
          <w:rFonts w:hint="eastAsia" w:ascii="仿宋_GB2312" w:eastAsia="仿宋_GB2312"/>
          <w:sz w:val="32"/>
          <w:szCs w:val="32"/>
        </w:rPr>
        <w:t>年第</w:t>
      </w:r>
      <w:r>
        <w:rPr>
          <w:rFonts w:hint="eastAsia" w:ascii="仿宋_GB2312" w:eastAsia="仿宋_GB2312"/>
          <w:sz w:val="32"/>
          <w:szCs w:val="32"/>
          <w:lang w:val="en-US" w:eastAsia="zh-CN"/>
        </w:rPr>
        <w:t>十九</w:t>
      </w:r>
      <w:r>
        <w:rPr>
          <w:rFonts w:hint="eastAsia" w:ascii="仿宋_GB2312" w:eastAsia="仿宋_GB2312"/>
          <w:sz w:val="32"/>
          <w:szCs w:val="32"/>
        </w:rPr>
        <w:t>批团体标准制修订项目计划的通知</w:t>
      </w:r>
      <w:r>
        <w:rPr>
          <w:rFonts w:hint="eastAsia" w:ascii="仿宋_GB2312" w:eastAsia="仿宋_GB2312"/>
          <w:sz w:val="32"/>
          <w:szCs w:val="32"/>
          <w:lang w:eastAsia="zh-CN"/>
        </w:rPr>
        <w:t>》</w:t>
      </w:r>
      <w:r>
        <w:rPr>
          <w:rFonts w:hint="eastAsia" w:ascii="仿宋_GB2312" w:eastAsia="仿宋_GB2312"/>
          <w:sz w:val="32"/>
          <w:szCs w:val="32"/>
        </w:rPr>
        <w:t>（桂</w:t>
      </w:r>
      <w:r>
        <w:rPr>
          <w:rFonts w:hint="eastAsia" w:ascii="仿宋_GB2312" w:eastAsia="仿宋_GB2312"/>
          <w:sz w:val="32"/>
          <w:szCs w:val="32"/>
          <w:lang w:val="en-US" w:eastAsia="zh-CN"/>
        </w:rPr>
        <w:t>标协</w:t>
      </w:r>
      <w:r>
        <w:rPr>
          <w:rFonts w:hint="eastAsia" w:ascii="仿宋_GB2312" w:eastAsia="仿宋_GB2312"/>
          <w:sz w:val="32"/>
          <w:szCs w:val="32"/>
        </w:rPr>
        <w:t>〔202</w:t>
      </w:r>
      <w:r>
        <w:rPr>
          <w:rFonts w:hint="eastAsia" w:ascii="仿宋_GB2312" w:eastAsia="仿宋_GB2312"/>
          <w:sz w:val="32"/>
          <w:szCs w:val="32"/>
          <w:lang w:val="en-US" w:eastAsia="zh-CN"/>
        </w:rPr>
        <w:t>5</w:t>
      </w:r>
      <w:r>
        <w:rPr>
          <w:rFonts w:hint="eastAsia" w:ascii="仿宋_GB2312" w:eastAsia="仿宋_GB2312"/>
          <w:sz w:val="32"/>
          <w:szCs w:val="32"/>
        </w:rPr>
        <w:t>〕</w:t>
      </w:r>
      <w:r>
        <w:rPr>
          <w:rFonts w:hint="eastAsia" w:ascii="仿宋_GB2312" w:eastAsia="仿宋_GB2312"/>
          <w:sz w:val="32"/>
          <w:szCs w:val="32"/>
          <w:lang w:val="en-US" w:eastAsia="zh-CN"/>
        </w:rPr>
        <w:t>141</w:t>
      </w:r>
      <w:r>
        <w:rPr>
          <w:rFonts w:hint="eastAsia" w:ascii="仿宋_GB2312" w:eastAsia="仿宋_GB2312"/>
          <w:sz w:val="32"/>
          <w:szCs w:val="32"/>
        </w:rPr>
        <w:t>号）文件精神，由广西</w:t>
      </w:r>
      <w:r>
        <w:rPr>
          <w:rFonts w:hint="eastAsia" w:ascii="仿宋_GB2312" w:eastAsia="仿宋_GB2312"/>
          <w:sz w:val="32"/>
          <w:szCs w:val="32"/>
          <w:lang w:val="en-US" w:eastAsia="zh-CN"/>
        </w:rPr>
        <w:t>林学会</w:t>
      </w:r>
      <w:r>
        <w:rPr>
          <w:rFonts w:hint="eastAsia" w:ascii="仿宋_GB2312" w:eastAsia="仿宋_GB2312"/>
          <w:sz w:val="32"/>
          <w:szCs w:val="32"/>
        </w:rPr>
        <w:t>提出，广西生态工程职业技术学院、广西那坡县国有那马林场、岑溪市软枝油茶种子园、广西艺高林业有限公司等单位共同起草团体标准《</w:t>
      </w:r>
      <w:r>
        <w:rPr>
          <w:rFonts w:hint="eastAsia" w:ascii="仿宋_GB2312" w:eastAsia="仿宋_GB2312"/>
          <w:sz w:val="32"/>
          <w:szCs w:val="32"/>
          <w:lang w:eastAsia="zh-CN"/>
        </w:rPr>
        <w:t>马蹄荷培育技术规程</w:t>
      </w:r>
      <w:r>
        <w:rPr>
          <w:rFonts w:hint="eastAsia" w:ascii="仿宋_GB2312" w:eastAsia="仿宋_GB2312"/>
          <w:sz w:val="32"/>
          <w:szCs w:val="32"/>
        </w:rPr>
        <w:t>》（项目编号：202</w:t>
      </w:r>
      <w:r>
        <w:rPr>
          <w:rFonts w:hint="eastAsia" w:ascii="仿宋_GB2312" w:eastAsia="仿宋_GB2312"/>
          <w:sz w:val="32"/>
          <w:szCs w:val="32"/>
          <w:lang w:val="en-US" w:eastAsia="zh-CN"/>
        </w:rPr>
        <w:t>5</w:t>
      </w:r>
      <w:r>
        <w:rPr>
          <w:rFonts w:hint="eastAsia" w:ascii="仿宋_GB2312" w:eastAsia="仿宋_GB2312"/>
          <w:sz w:val="32"/>
          <w:szCs w:val="32"/>
        </w:rPr>
        <w:t>-</w:t>
      </w:r>
      <w:r>
        <w:rPr>
          <w:rFonts w:hint="eastAsia" w:ascii="仿宋_GB2312" w:eastAsia="仿宋_GB2312"/>
          <w:sz w:val="32"/>
          <w:szCs w:val="32"/>
          <w:lang w:val="en-US" w:eastAsia="zh-CN"/>
        </w:rPr>
        <w:t>1902</w:t>
      </w:r>
      <w:r>
        <w:rPr>
          <w:rFonts w:hint="eastAsia" w:ascii="仿宋_GB2312" w:eastAsia="仿宋_GB2312"/>
          <w:sz w:val="32"/>
          <w:szCs w:val="32"/>
        </w:rPr>
        <w:t>）。</w:t>
      </w:r>
    </w:p>
    <w:p w14:paraId="4A304825">
      <w:pPr>
        <w:spacing w:before="0" w:beforeLines="0" w:after="0" w:afterLines="0" w:line="560" w:lineRule="exact"/>
        <w:ind w:firstLine="640" w:firstLineChars="200"/>
        <w:rPr>
          <w:rFonts w:hint="eastAsia" w:eastAsia="仿宋_GB2312"/>
          <w:sz w:val="32"/>
          <w:szCs w:val="32"/>
        </w:rPr>
      </w:pPr>
      <w:r>
        <w:rPr>
          <w:rFonts w:hint="eastAsia" w:eastAsia="仿宋_GB2312"/>
          <w:sz w:val="32"/>
          <w:szCs w:val="32"/>
        </w:rPr>
        <w:t>为高质量编制团体标准《马蹄荷培育技术规程》，由起草单位成立标准编制工作组并进行如下分工：</w:t>
      </w:r>
    </w:p>
    <w:tbl>
      <w:tblPr>
        <w:tblStyle w:val="10"/>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1370"/>
        <w:gridCol w:w="1921"/>
        <w:gridCol w:w="2132"/>
        <w:gridCol w:w="2030"/>
      </w:tblGrid>
      <w:tr w14:paraId="0EE89D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624" w:type="pct"/>
            <w:tcBorders>
              <w:top w:val="single" w:color="auto" w:sz="8" w:space="0"/>
              <w:bottom w:val="single" w:color="auto" w:sz="8" w:space="0"/>
            </w:tcBorders>
            <w:noWrap w:val="0"/>
            <w:vAlign w:val="center"/>
          </w:tcPr>
          <w:p w14:paraId="63CE67F1">
            <w:pPr>
              <w:keepNext w:val="0"/>
              <w:keepLines w:val="0"/>
              <w:suppressLineNumbers w:val="0"/>
              <w:spacing w:before="0" w:beforeAutospacing="0" w:after="0" w:afterAutospacing="0"/>
              <w:ind w:left="0" w:right="0"/>
              <w:jc w:val="center"/>
              <w:rPr>
                <w:rFonts w:hint="eastAsia" w:ascii="仿宋_GB2312" w:hAnsi="Times New Roman" w:eastAsia="仿宋_GB2312"/>
                <w:b/>
                <w:sz w:val="24"/>
              </w:rPr>
            </w:pPr>
            <w:r>
              <w:rPr>
                <w:rFonts w:hint="eastAsia" w:ascii="仿宋_GB2312" w:hAnsi="Times New Roman" w:eastAsia="仿宋_GB2312"/>
                <w:b/>
                <w:sz w:val="24"/>
              </w:rPr>
              <w:t>姓名</w:t>
            </w:r>
          </w:p>
        </w:tc>
        <w:tc>
          <w:tcPr>
            <w:tcW w:w="804" w:type="pct"/>
            <w:tcBorders>
              <w:top w:val="single" w:color="auto" w:sz="8" w:space="0"/>
              <w:bottom w:val="single" w:color="auto" w:sz="8" w:space="0"/>
            </w:tcBorders>
            <w:noWrap w:val="0"/>
            <w:vAlign w:val="center"/>
          </w:tcPr>
          <w:p w14:paraId="7B6370E5">
            <w:pPr>
              <w:keepNext w:val="0"/>
              <w:keepLines w:val="0"/>
              <w:suppressLineNumbers w:val="0"/>
              <w:spacing w:before="0" w:beforeAutospacing="0" w:after="0" w:afterAutospacing="0"/>
              <w:ind w:left="0" w:right="0"/>
              <w:jc w:val="center"/>
              <w:rPr>
                <w:rFonts w:hint="eastAsia" w:ascii="仿宋_GB2312" w:hAnsi="Times New Roman" w:eastAsia="仿宋_GB2312"/>
                <w:b/>
                <w:sz w:val="24"/>
              </w:rPr>
            </w:pPr>
            <w:r>
              <w:rPr>
                <w:rFonts w:hint="eastAsia" w:ascii="仿宋_GB2312" w:hAnsi="Times New Roman" w:eastAsia="仿宋_GB2312"/>
                <w:b/>
                <w:sz w:val="24"/>
              </w:rPr>
              <w:t>职务/职称</w:t>
            </w:r>
          </w:p>
        </w:tc>
        <w:tc>
          <w:tcPr>
            <w:tcW w:w="1127" w:type="pct"/>
            <w:tcBorders>
              <w:top w:val="single" w:color="auto" w:sz="8" w:space="0"/>
              <w:bottom w:val="single" w:color="auto" w:sz="8" w:space="0"/>
            </w:tcBorders>
            <w:noWrap w:val="0"/>
            <w:vAlign w:val="center"/>
          </w:tcPr>
          <w:p w14:paraId="34716CC9">
            <w:pPr>
              <w:keepNext w:val="0"/>
              <w:keepLines w:val="0"/>
              <w:suppressLineNumbers w:val="0"/>
              <w:spacing w:before="0" w:beforeAutospacing="0" w:after="0" w:afterAutospacing="0"/>
              <w:ind w:left="0" w:right="0"/>
              <w:jc w:val="center"/>
              <w:rPr>
                <w:rFonts w:hint="eastAsia" w:ascii="仿宋_GB2312" w:hAnsi="Times New Roman" w:eastAsia="仿宋_GB2312"/>
                <w:b/>
                <w:sz w:val="24"/>
              </w:rPr>
            </w:pPr>
            <w:r>
              <w:rPr>
                <w:rFonts w:hint="eastAsia" w:ascii="仿宋_GB2312" w:hAnsi="Times New Roman" w:eastAsia="仿宋_GB2312"/>
                <w:b/>
                <w:sz w:val="24"/>
              </w:rPr>
              <w:t>从事专业</w:t>
            </w:r>
          </w:p>
        </w:tc>
        <w:tc>
          <w:tcPr>
            <w:tcW w:w="1251" w:type="pct"/>
            <w:tcBorders>
              <w:top w:val="single" w:color="auto" w:sz="8" w:space="0"/>
              <w:bottom w:val="single" w:color="auto" w:sz="8" w:space="0"/>
            </w:tcBorders>
            <w:noWrap w:val="0"/>
            <w:vAlign w:val="center"/>
          </w:tcPr>
          <w:p w14:paraId="1E91C00E">
            <w:pPr>
              <w:keepNext w:val="0"/>
              <w:keepLines w:val="0"/>
              <w:suppressLineNumbers w:val="0"/>
              <w:spacing w:before="0" w:beforeAutospacing="0" w:after="0" w:afterAutospacing="0"/>
              <w:ind w:left="0" w:right="0"/>
              <w:jc w:val="center"/>
              <w:rPr>
                <w:rFonts w:hint="eastAsia" w:ascii="仿宋_GB2312" w:hAnsi="Times New Roman" w:eastAsia="仿宋_GB2312"/>
                <w:b/>
                <w:sz w:val="24"/>
              </w:rPr>
            </w:pPr>
            <w:r>
              <w:rPr>
                <w:rFonts w:hint="eastAsia" w:ascii="仿宋_GB2312" w:hAnsi="Times New Roman" w:eastAsia="仿宋_GB2312"/>
                <w:b/>
                <w:sz w:val="24"/>
              </w:rPr>
              <w:t>工作单位</w:t>
            </w:r>
          </w:p>
        </w:tc>
        <w:tc>
          <w:tcPr>
            <w:tcW w:w="1191" w:type="pct"/>
            <w:tcBorders>
              <w:top w:val="single" w:color="auto" w:sz="8" w:space="0"/>
              <w:bottom w:val="single" w:color="auto" w:sz="8" w:space="0"/>
            </w:tcBorders>
            <w:noWrap w:val="0"/>
            <w:vAlign w:val="center"/>
          </w:tcPr>
          <w:p w14:paraId="5D6057F2">
            <w:pPr>
              <w:keepNext w:val="0"/>
              <w:keepLines w:val="0"/>
              <w:suppressLineNumbers w:val="0"/>
              <w:spacing w:before="0" w:beforeAutospacing="0" w:after="0" w:afterAutospacing="0"/>
              <w:ind w:left="0" w:right="0"/>
              <w:jc w:val="center"/>
              <w:rPr>
                <w:rFonts w:hint="eastAsia" w:ascii="仿宋_GB2312" w:hAnsi="Times New Roman" w:eastAsia="仿宋_GB2312"/>
                <w:b/>
                <w:sz w:val="24"/>
              </w:rPr>
            </w:pPr>
            <w:r>
              <w:rPr>
                <w:rFonts w:hint="eastAsia" w:ascii="仿宋_GB2312" w:hAnsi="Times New Roman" w:eastAsia="仿宋_GB2312"/>
                <w:b/>
                <w:sz w:val="24"/>
              </w:rPr>
              <w:t>责任分工</w:t>
            </w:r>
          </w:p>
        </w:tc>
      </w:tr>
      <w:tr w14:paraId="2C36F4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624" w:type="pct"/>
            <w:tcBorders>
              <w:top w:val="single" w:color="auto" w:sz="8" w:space="0"/>
              <w:bottom w:val="single" w:color="auto" w:sz="8" w:space="0"/>
            </w:tcBorders>
            <w:noWrap w:val="0"/>
            <w:vAlign w:val="center"/>
          </w:tcPr>
          <w:p w14:paraId="24D19AD9">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买凯乐</w:t>
            </w:r>
          </w:p>
        </w:tc>
        <w:tc>
          <w:tcPr>
            <w:tcW w:w="804" w:type="pct"/>
            <w:tcBorders>
              <w:top w:val="single" w:color="auto" w:sz="8" w:space="0"/>
              <w:bottom w:val="single" w:color="auto" w:sz="8" w:space="0"/>
            </w:tcBorders>
            <w:noWrap w:val="0"/>
            <w:vAlign w:val="center"/>
          </w:tcPr>
          <w:p w14:paraId="31D823D0">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副处长/副教授</w:t>
            </w:r>
          </w:p>
        </w:tc>
        <w:tc>
          <w:tcPr>
            <w:tcW w:w="1127" w:type="pct"/>
            <w:tcBorders>
              <w:top w:val="single" w:color="auto" w:sz="8" w:space="0"/>
              <w:bottom w:val="single" w:color="auto" w:sz="8" w:space="0"/>
            </w:tcBorders>
            <w:noWrap w:val="0"/>
            <w:vAlign w:val="center"/>
          </w:tcPr>
          <w:p w14:paraId="004F623B">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森林培育、林木种苗生产、林业职业教育</w:t>
            </w:r>
          </w:p>
        </w:tc>
        <w:tc>
          <w:tcPr>
            <w:tcW w:w="1251" w:type="pct"/>
            <w:tcBorders>
              <w:top w:val="single" w:color="auto" w:sz="8" w:space="0"/>
              <w:bottom w:val="single" w:color="auto" w:sz="8" w:space="0"/>
            </w:tcBorders>
            <w:noWrap w:val="0"/>
            <w:vAlign w:val="center"/>
          </w:tcPr>
          <w:p w14:paraId="7028FBBD">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0DF19671">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项目设计、立项申报、组织撰写、专家咨询与评审、验收、发布等。</w:t>
            </w:r>
          </w:p>
        </w:tc>
      </w:tr>
      <w:tr w14:paraId="771532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noWrap w:val="0"/>
            <w:vAlign w:val="center"/>
          </w:tcPr>
          <w:p w14:paraId="0CDC4F62">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冯立新</w:t>
            </w:r>
          </w:p>
        </w:tc>
        <w:tc>
          <w:tcPr>
            <w:tcW w:w="804" w:type="pct"/>
            <w:tcBorders>
              <w:top w:val="single" w:color="auto" w:sz="8" w:space="0"/>
              <w:bottom w:val="single" w:color="auto" w:sz="8" w:space="0"/>
            </w:tcBorders>
            <w:noWrap w:val="0"/>
            <w:vAlign w:val="center"/>
          </w:tcPr>
          <w:p w14:paraId="2D6A7AB3">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党委宣传部部长/教授</w:t>
            </w:r>
          </w:p>
        </w:tc>
        <w:tc>
          <w:tcPr>
            <w:tcW w:w="1127" w:type="pct"/>
            <w:tcBorders>
              <w:top w:val="single" w:color="auto" w:sz="8" w:space="0"/>
              <w:bottom w:val="single" w:color="auto" w:sz="8" w:space="0"/>
            </w:tcBorders>
            <w:noWrap w:val="0"/>
            <w:vAlign w:val="center"/>
          </w:tcPr>
          <w:p w14:paraId="27A2E7EC">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森林培育、林木种苗生产、林业职业教育</w:t>
            </w:r>
          </w:p>
        </w:tc>
        <w:tc>
          <w:tcPr>
            <w:tcW w:w="1251" w:type="pct"/>
            <w:tcBorders>
              <w:top w:val="single" w:color="auto" w:sz="8" w:space="0"/>
              <w:bottom w:val="single" w:color="auto" w:sz="8" w:space="0"/>
            </w:tcBorders>
            <w:noWrap w:val="0"/>
            <w:vAlign w:val="center"/>
          </w:tcPr>
          <w:p w14:paraId="5DCFA3C9">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2081F1CD">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eastAsia="zh-CN"/>
              </w:rPr>
              <w:t>标准起草和</w:t>
            </w:r>
            <w:r>
              <w:rPr>
                <w:rFonts w:hint="eastAsia" w:ascii="仿宋_GB2312" w:hAnsi="仿宋_GB2312" w:eastAsia="仿宋_GB2312" w:cs="仿宋_GB2312"/>
                <w:sz w:val="24"/>
                <w:szCs w:val="24"/>
              </w:rPr>
              <w:t>撰写</w:t>
            </w: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65680C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408AA2E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马朝忠</w:t>
            </w:r>
          </w:p>
        </w:tc>
        <w:tc>
          <w:tcPr>
            <w:tcW w:w="804" w:type="pct"/>
            <w:tcBorders>
              <w:top w:val="single" w:color="auto" w:sz="8" w:space="0"/>
              <w:bottom w:val="single" w:color="auto" w:sz="8" w:space="0"/>
            </w:tcBorders>
            <w:shd w:val="clear" w:color="auto" w:fill="auto"/>
            <w:noWrap w:val="0"/>
            <w:vAlign w:val="center"/>
          </w:tcPr>
          <w:p w14:paraId="7A28E2C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场长/高级工程师</w:t>
            </w:r>
          </w:p>
        </w:tc>
        <w:tc>
          <w:tcPr>
            <w:tcW w:w="1127" w:type="pct"/>
            <w:tcBorders>
              <w:top w:val="single" w:color="auto" w:sz="8" w:space="0"/>
              <w:bottom w:val="single" w:color="auto" w:sz="8" w:space="0"/>
            </w:tcBorders>
            <w:shd w:val="clear" w:color="auto" w:fill="auto"/>
            <w:noWrap w:val="0"/>
            <w:vAlign w:val="center"/>
          </w:tcPr>
          <w:p w14:paraId="0072CB65">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26B9BB4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广西那坡县国有那马林场</w:t>
            </w:r>
          </w:p>
        </w:tc>
        <w:tc>
          <w:tcPr>
            <w:tcW w:w="1191" w:type="pct"/>
            <w:tcBorders>
              <w:top w:val="single" w:color="auto" w:sz="8" w:space="0"/>
              <w:bottom w:val="single" w:color="auto" w:sz="8" w:space="0"/>
            </w:tcBorders>
            <w:shd w:val="clear" w:color="auto" w:fill="auto"/>
            <w:noWrap w:val="0"/>
            <w:vAlign w:val="center"/>
          </w:tcPr>
          <w:p w14:paraId="56C30021">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056E4A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5F7FCDA1">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谢少义</w:t>
            </w:r>
          </w:p>
        </w:tc>
        <w:tc>
          <w:tcPr>
            <w:tcW w:w="804" w:type="pct"/>
            <w:tcBorders>
              <w:top w:val="single" w:color="auto" w:sz="8" w:space="0"/>
              <w:bottom w:val="single" w:color="auto" w:sz="8" w:space="0"/>
            </w:tcBorders>
            <w:shd w:val="clear" w:color="auto" w:fill="auto"/>
            <w:noWrap w:val="0"/>
            <w:vAlign w:val="center"/>
          </w:tcPr>
          <w:p w14:paraId="2FCBD6E1">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主任/高级工程师</w:t>
            </w:r>
          </w:p>
        </w:tc>
        <w:tc>
          <w:tcPr>
            <w:tcW w:w="1127" w:type="pct"/>
            <w:tcBorders>
              <w:top w:val="single" w:color="auto" w:sz="8" w:space="0"/>
              <w:bottom w:val="single" w:color="auto" w:sz="8" w:space="0"/>
            </w:tcBorders>
            <w:shd w:val="clear" w:color="auto" w:fill="auto"/>
            <w:noWrap w:val="0"/>
            <w:vAlign w:val="center"/>
          </w:tcPr>
          <w:p w14:paraId="0677760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4171B813">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default" w:ascii="仿宋_GB2312" w:hAnsi="仿宋_GB2312" w:eastAsia="仿宋_GB2312" w:cs="仿宋_GB2312"/>
                <w:kern w:val="2"/>
                <w:sz w:val="24"/>
                <w:szCs w:val="24"/>
                <w:lang w:val="en-US" w:eastAsia="zh-CN" w:bidi="ar-SA"/>
              </w:rPr>
              <w:t>广西岑溪市软枝油茶种子园</w:t>
            </w:r>
          </w:p>
        </w:tc>
        <w:tc>
          <w:tcPr>
            <w:tcW w:w="1191" w:type="pct"/>
            <w:tcBorders>
              <w:top w:val="single" w:color="auto" w:sz="8" w:space="0"/>
              <w:bottom w:val="single" w:color="auto" w:sz="8" w:space="0"/>
            </w:tcBorders>
            <w:shd w:val="clear" w:color="auto" w:fill="auto"/>
            <w:noWrap w:val="0"/>
            <w:vAlign w:val="center"/>
          </w:tcPr>
          <w:p w14:paraId="2B95DE3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4F2ECB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622BCC3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吴艺梅</w:t>
            </w:r>
          </w:p>
        </w:tc>
        <w:tc>
          <w:tcPr>
            <w:tcW w:w="804" w:type="pct"/>
            <w:tcBorders>
              <w:top w:val="single" w:color="auto" w:sz="8" w:space="0"/>
              <w:bottom w:val="single" w:color="auto" w:sz="8" w:space="0"/>
            </w:tcBorders>
            <w:shd w:val="clear" w:color="auto" w:fill="auto"/>
            <w:noWrap w:val="0"/>
            <w:vAlign w:val="center"/>
          </w:tcPr>
          <w:p w14:paraId="550D003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副主任/高级工程师</w:t>
            </w:r>
          </w:p>
        </w:tc>
        <w:tc>
          <w:tcPr>
            <w:tcW w:w="1127" w:type="pct"/>
            <w:tcBorders>
              <w:top w:val="single" w:color="auto" w:sz="8" w:space="0"/>
              <w:bottom w:val="single" w:color="auto" w:sz="8" w:space="0"/>
            </w:tcBorders>
            <w:shd w:val="clear" w:color="auto" w:fill="auto"/>
            <w:noWrap w:val="0"/>
            <w:vAlign w:val="center"/>
          </w:tcPr>
          <w:p w14:paraId="5ED647A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4F09DD1B">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SA"/>
              </w:rPr>
            </w:pPr>
            <w:r>
              <w:rPr>
                <w:rFonts w:hint="default" w:ascii="仿宋_GB2312" w:hAnsi="仿宋_GB2312" w:eastAsia="仿宋_GB2312" w:cs="仿宋_GB2312"/>
                <w:sz w:val="24"/>
                <w:szCs w:val="24"/>
                <w:lang w:val="en-US" w:eastAsia="zh-CN"/>
              </w:rPr>
              <w:t>广西岑溪市软枝油茶种子园</w:t>
            </w:r>
          </w:p>
        </w:tc>
        <w:tc>
          <w:tcPr>
            <w:tcW w:w="1191" w:type="pct"/>
            <w:tcBorders>
              <w:top w:val="single" w:color="auto" w:sz="8" w:space="0"/>
              <w:bottom w:val="single" w:color="auto" w:sz="8" w:space="0"/>
            </w:tcBorders>
            <w:shd w:val="clear" w:color="auto" w:fill="auto"/>
            <w:noWrap w:val="0"/>
            <w:vAlign w:val="center"/>
          </w:tcPr>
          <w:p w14:paraId="0B4AD4D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2B9624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356C4CD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何振华</w:t>
            </w:r>
          </w:p>
        </w:tc>
        <w:tc>
          <w:tcPr>
            <w:tcW w:w="804" w:type="pct"/>
            <w:tcBorders>
              <w:top w:val="single" w:color="auto" w:sz="8" w:space="0"/>
              <w:bottom w:val="single" w:color="auto" w:sz="8" w:space="0"/>
            </w:tcBorders>
            <w:shd w:val="clear" w:color="auto" w:fill="auto"/>
            <w:noWrap w:val="0"/>
            <w:vAlign w:val="center"/>
          </w:tcPr>
          <w:p w14:paraId="2C4923A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副场长/高级工程师</w:t>
            </w:r>
          </w:p>
        </w:tc>
        <w:tc>
          <w:tcPr>
            <w:tcW w:w="1127" w:type="pct"/>
            <w:tcBorders>
              <w:top w:val="single" w:color="auto" w:sz="8" w:space="0"/>
              <w:bottom w:val="single" w:color="auto" w:sz="8" w:space="0"/>
            </w:tcBorders>
            <w:shd w:val="clear" w:color="auto" w:fill="auto"/>
            <w:noWrap w:val="0"/>
            <w:vAlign w:val="center"/>
          </w:tcPr>
          <w:p w14:paraId="34F41AC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13E8ABBA">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广西那坡县国有那马林场</w:t>
            </w:r>
          </w:p>
        </w:tc>
        <w:tc>
          <w:tcPr>
            <w:tcW w:w="1191" w:type="pct"/>
            <w:tcBorders>
              <w:top w:val="single" w:color="auto" w:sz="8" w:space="0"/>
              <w:bottom w:val="single" w:color="auto" w:sz="8" w:space="0"/>
            </w:tcBorders>
            <w:shd w:val="clear" w:color="auto" w:fill="auto"/>
            <w:noWrap w:val="0"/>
            <w:vAlign w:val="center"/>
          </w:tcPr>
          <w:p w14:paraId="3E0C682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7CBA57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45AA8E5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000000"/>
                <w:kern w:val="2"/>
                <w:sz w:val="24"/>
                <w:szCs w:val="24"/>
                <w:lang w:val="en-US" w:eastAsia="zh-CN" w:bidi="ar"/>
              </w:rPr>
            </w:pPr>
            <w:r>
              <w:rPr>
                <w:rFonts w:hint="eastAsia" w:ascii="仿宋_GB2312" w:hAnsi="仿宋_GB2312" w:eastAsia="仿宋_GB2312" w:cs="仿宋_GB2312"/>
                <w:sz w:val="24"/>
                <w:szCs w:val="24"/>
              </w:rPr>
              <w:t>苏彬</w:t>
            </w:r>
          </w:p>
        </w:tc>
        <w:tc>
          <w:tcPr>
            <w:tcW w:w="804" w:type="pct"/>
            <w:tcBorders>
              <w:top w:val="single" w:color="auto" w:sz="8" w:space="0"/>
              <w:bottom w:val="single" w:color="auto" w:sz="8" w:space="0"/>
            </w:tcBorders>
            <w:shd w:val="clear" w:color="auto" w:fill="auto"/>
            <w:noWrap w:val="0"/>
            <w:vAlign w:val="center"/>
          </w:tcPr>
          <w:p w14:paraId="7AEF22A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总工程师/高级工程师</w:t>
            </w:r>
          </w:p>
        </w:tc>
        <w:tc>
          <w:tcPr>
            <w:tcW w:w="1127" w:type="pct"/>
            <w:tcBorders>
              <w:top w:val="single" w:color="auto" w:sz="8" w:space="0"/>
              <w:bottom w:val="single" w:color="auto" w:sz="8" w:space="0"/>
            </w:tcBorders>
            <w:shd w:val="clear" w:color="auto" w:fill="auto"/>
            <w:noWrap w:val="0"/>
            <w:vAlign w:val="center"/>
          </w:tcPr>
          <w:p w14:paraId="4F08C2C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74EBF6BE">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广西那坡县国有那马林场</w:t>
            </w:r>
          </w:p>
        </w:tc>
        <w:tc>
          <w:tcPr>
            <w:tcW w:w="1191" w:type="pct"/>
            <w:tcBorders>
              <w:top w:val="single" w:color="auto" w:sz="8" w:space="0"/>
              <w:bottom w:val="single" w:color="auto" w:sz="8" w:space="0"/>
            </w:tcBorders>
            <w:shd w:val="clear" w:color="auto" w:fill="auto"/>
            <w:noWrap w:val="0"/>
            <w:vAlign w:val="center"/>
          </w:tcPr>
          <w:p w14:paraId="10D011D5">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46014B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77089F76">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何振</w:t>
            </w:r>
            <w:r>
              <w:rPr>
                <w:rFonts w:hint="eastAsia" w:ascii="仿宋_GB2312" w:hAnsi="仿宋_GB2312" w:eastAsia="仿宋_GB2312" w:cs="仿宋_GB2312"/>
                <w:sz w:val="24"/>
                <w:szCs w:val="24"/>
                <w:lang w:val="en-US" w:eastAsia="zh-CN"/>
              </w:rPr>
              <w:t>革</w:t>
            </w:r>
          </w:p>
        </w:tc>
        <w:tc>
          <w:tcPr>
            <w:tcW w:w="804" w:type="pct"/>
            <w:tcBorders>
              <w:top w:val="single" w:color="auto" w:sz="8" w:space="0"/>
              <w:bottom w:val="single" w:color="auto" w:sz="8" w:space="0"/>
            </w:tcBorders>
            <w:shd w:val="clear" w:color="auto" w:fill="auto"/>
            <w:noWrap w:val="0"/>
            <w:vAlign w:val="center"/>
          </w:tcPr>
          <w:p w14:paraId="1B0B089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教师/高级工程师</w:t>
            </w:r>
          </w:p>
        </w:tc>
        <w:tc>
          <w:tcPr>
            <w:tcW w:w="1127" w:type="pct"/>
            <w:tcBorders>
              <w:top w:val="single" w:color="auto" w:sz="8" w:space="0"/>
              <w:bottom w:val="single" w:color="auto" w:sz="8" w:space="0"/>
            </w:tcBorders>
            <w:shd w:val="clear" w:color="auto" w:fill="auto"/>
            <w:noWrap w:val="0"/>
            <w:vAlign w:val="center"/>
          </w:tcPr>
          <w:p w14:paraId="12063802">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森林培育、林木种苗生产、林业职业教育</w:t>
            </w:r>
          </w:p>
        </w:tc>
        <w:tc>
          <w:tcPr>
            <w:tcW w:w="1251" w:type="pct"/>
            <w:tcBorders>
              <w:top w:val="single" w:color="auto" w:sz="8" w:space="0"/>
              <w:bottom w:val="single" w:color="auto" w:sz="8" w:space="0"/>
            </w:tcBorders>
            <w:shd w:val="clear" w:color="auto" w:fill="auto"/>
            <w:noWrap w:val="0"/>
            <w:vAlign w:val="center"/>
          </w:tcPr>
          <w:p w14:paraId="1F5905E3">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55B2F25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43C764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7D1228C0">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000000"/>
                <w:kern w:val="2"/>
                <w:sz w:val="24"/>
                <w:szCs w:val="24"/>
                <w:lang w:val="en-US" w:eastAsia="zh-CN" w:bidi="ar"/>
              </w:rPr>
            </w:pPr>
            <w:r>
              <w:rPr>
                <w:rFonts w:hint="eastAsia" w:ascii="仿宋_GB2312" w:hAnsi="仿宋_GB2312" w:eastAsia="仿宋_GB2312" w:cs="仿宋_GB2312"/>
                <w:sz w:val="24"/>
                <w:szCs w:val="24"/>
              </w:rPr>
              <w:t>兰健花</w:t>
            </w:r>
          </w:p>
        </w:tc>
        <w:tc>
          <w:tcPr>
            <w:tcW w:w="804" w:type="pct"/>
            <w:tcBorders>
              <w:top w:val="single" w:color="auto" w:sz="8" w:space="0"/>
              <w:bottom w:val="single" w:color="auto" w:sz="8" w:space="0"/>
            </w:tcBorders>
            <w:shd w:val="clear" w:color="auto" w:fill="auto"/>
            <w:noWrap w:val="0"/>
            <w:vAlign w:val="center"/>
          </w:tcPr>
          <w:p w14:paraId="14AA729A">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教师/高级实验师</w:t>
            </w:r>
          </w:p>
        </w:tc>
        <w:tc>
          <w:tcPr>
            <w:tcW w:w="1127" w:type="pct"/>
            <w:tcBorders>
              <w:top w:val="single" w:color="auto" w:sz="8" w:space="0"/>
              <w:bottom w:val="single" w:color="auto" w:sz="8" w:space="0"/>
            </w:tcBorders>
            <w:shd w:val="clear" w:color="auto" w:fill="auto"/>
            <w:noWrap w:val="0"/>
            <w:vAlign w:val="center"/>
          </w:tcPr>
          <w:p w14:paraId="6D58054A">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林木种苗生产、林业职业教育</w:t>
            </w:r>
          </w:p>
        </w:tc>
        <w:tc>
          <w:tcPr>
            <w:tcW w:w="1251" w:type="pct"/>
            <w:tcBorders>
              <w:top w:val="single" w:color="auto" w:sz="8" w:space="0"/>
              <w:bottom w:val="single" w:color="auto" w:sz="8" w:space="0"/>
            </w:tcBorders>
            <w:shd w:val="clear" w:color="auto" w:fill="auto"/>
            <w:noWrap w:val="0"/>
            <w:vAlign w:val="center"/>
          </w:tcPr>
          <w:p w14:paraId="33CB18AB">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0355A6A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6D63A8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3432A858">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color w:val="000000"/>
                <w:kern w:val="2"/>
                <w:sz w:val="24"/>
                <w:szCs w:val="24"/>
                <w:lang w:val="en-US" w:eastAsia="zh-CN" w:bidi="ar"/>
              </w:rPr>
            </w:pPr>
            <w:r>
              <w:rPr>
                <w:rFonts w:hint="eastAsia" w:ascii="仿宋_GB2312" w:hAnsi="仿宋_GB2312" w:eastAsia="仿宋_GB2312" w:cs="仿宋_GB2312"/>
                <w:sz w:val="24"/>
                <w:szCs w:val="24"/>
              </w:rPr>
              <w:t>谢绍添</w:t>
            </w:r>
          </w:p>
        </w:tc>
        <w:tc>
          <w:tcPr>
            <w:tcW w:w="804" w:type="pct"/>
            <w:tcBorders>
              <w:top w:val="single" w:color="auto" w:sz="8" w:space="0"/>
              <w:bottom w:val="single" w:color="auto" w:sz="8" w:space="0"/>
            </w:tcBorders>
            <w:shd w:val="clear" w:color="auto" w:fill="auto"/>
            <w:noWrap w:val="0"/>
            <w:vAlign w:val="center"/>
          </w:tcPr>
          <w:p w14:paraId="42402D3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总经理/高级工程师</w:t>
            </w:r>
          </w:p>
        </w:tc>
        <w:tc>
          <w:tcPr>
            <w:tcW w:w="1127" w:type="pct"/>
            <w:tcBorders>
              <w:top w:val="single" w:color="auto" w:sz="8" w:space="0"/>
              <w:bottom w:val="single" w:color="auto" w:sz="8" w:space="0"/>
            </w:tcBorders>
            <w:shd w:val="clear" w:color="auto" w:fill="auto"/>
            <w:noWrap w:val="0"/>
            <w:vAlign w:val="center"/>
          </w:tcPr>
          <w:p w14:paraId="1AB3AD9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2589F7BD">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广西艺高林业有限公司</w:t>
            </w:r>
          </w:p>
        </w:tc>
        <w:tc>
          <w:tcPr>
            <w:tcW w:w="1191" w:type="pct"/>
            <w:tcBorders>
              <w:top w:val="single" w:color="auto" w:sz="8" w:space="0"/>
              <w:bottom w:val="single" w:color="auto" w:sz="8" w:space="0"/>
            </w:tcBorders>
            <w:shd w:val="clear" w:color="auto" w:fill="auto"/>
            <w:noWrap w:val="0"/>
            <w:vAlign w:val="center"/>
          </w:tcPr>
          <w:p w14:paraId="0A60994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584EC4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4" w:type="pct"/>
            <w:tcBorders>
              <w:top w:val="single" w:color="auto" w:sz="8" w:space="0"/>
              <w:bottom w:val="single" w:color="auto" w:sz="8" w:space="0"/>
            </w:tcBorders>
            <w:shd w:val="clear" w:color="auto" w:fill="auto"/>
            <w:noWrap w:val="0"/>
            <w:vAlign w:val="center"/>
          </w:tcPr>
          <w:p w14:paraId="401DFFA3">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韦林</w:t>
            </w:r>
          </w:p>
        </w:tc>
        <w:tc>
          <w:tcPr>
            <w:tcW w:w="804" w:type="pct"/>
            <w:tcBorders>
              <w:top w:val="single" w:color="auto" w:sz="8" w:space="0"/>
              <w:bottom w:val="single" w:color="auto" w:sz="8" w:space="0"/>
            </w:tcBorders>
            <w:shd w:val="clear" w:color="auto" w:fill="auto"/>
            <w:noWrap w:val="0"/>
            <w:vAlign w:val="center"/>
          </w:tcPr>
          <w:p w14:paraId="29CF9A00">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院长/教授</w:t>
            </w:r>
          </w:p>
        </w:tc>
        <w:tc>
          <w:tcPr>
            <w:tcW w:w="1127" w:type="pct"/>
            <w:tcBorders>
              <w:top w:val="single" w:color="auto" w:sz="8" w:space="0"/>
              <w:bottom w:val="single" w:color="auto" w:sz="8" w:space="0"/>
            </w:tcBorders>
            <w:shd w:val="clear" w:color="auto" w:fill="auto"/>
            <w:noWrap w:val="0"/>
            <w:vAlign w:val="center"/>
          </w:tcPr>
          <w:p w14:paraId="413EB932">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林业机械林、木生产、林业技术职业教育</w:t>
            </w:r>
          </w:p>
        </w:tc>
        <w:tc>
          <w:tcPr>
            <w:tcW w:w="1251" w:type="pct"/>
            <w:tcBorders>
              <w:top w:val="single" w:color="auto" w:sz="8" w:space="0"/>
              <w:bottom w:val="single" w:color="auto" w:sz="8" w:space="0"/>
            </w:tcBorders>
            <w:shd w:val="clear" w:color="auto" w:fill="auto"/>
            <w:noWrap w:val="0"/>
            <w:vAlign w:val="center"/>
          </w:tcPr>
          <w:p w14:paraId="660C2CC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0FB15B2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1F3F7C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624" w:type="pct"/>
            <w:tcBorders>
              <w:top w:val="single" w:color="auto" w:sz="8" w:space="0"/>
              <w:bottom w:val="single" w:color="auto" w:sz="8" w:space="0"/>
            </w:tcBorders>
            <w:noWrap w:val="0"/>
            <w:vAlign w:val="center"/>
          </w:tcPr>
          <w:p w14:paraId="300BF02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kern w:val="2"/>
                <w:sz w:val="24"/>
                <w:szCs w:val="24"/>
                <w:lang w:val="en-US" w:eastAsia="zh-CN" w:bidi="ar"/>
              </w:rPr>
            </w:pPr>
            <w:r>
              <w:rPr>
                <w:rFonts w:hint="eastAsia" w:ascii="仿宋_GB2312" w:hAnsi="仿宋_GB2312" w:eastAsia="仿宋_GB2312" w:cs="仿宋_GB2312"/>
                <w:sz w:val="24"/>
                <w:szCs w:val="24"/>
              </w:rPr>
              <w:t>苏付保</w:t>
            </w:r>
          </w:p>
        </w:tc>
        <w:tc>
          <w:tcPr>
            <w:tcW w:w="804" w:type="pct"/>
            <w:tcBorders>
              <w:top w:val="single" w:color="auto" w:sz="8" w:space="0"/>
              <w:bottom w:val="single" w:color="auto" w:sz="8" w:space="0"/>
            </w:tcBorders>
            <w:noWrap w:val="0"/>
            <w:vAlign w:val="center"/>
          </w:tcPr>
          <w:p w14:paraId="2B17E0BA">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教师/教授</w:t>
            </w:r>
          </w:p>
        </w:tc>
        <w:tc>
          <w:tcPr>
            <w:tcW w:w="1127" w:type="pct"/>
            <w:tcBorders>
              <w:top w:val="single" w:color="auto" w:sz="8" w:space="0"/>
              <w:bottom w:val="single" w:color="auto" w:sz="8" w:space="0"/>
            </w:tcBorders>
            <w:noWrap w:val="0"/>
            <w:vAlign w:val="center"/>
          </w:tcPr>
          <w:p w14:paraId="307295D6">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森林培育、林木种苗生产、林业职业教育</w:t>
            </w:r>
          </w:p>
        </w:tc>
        <w:tc>
          <w:tcPr>
            <w:tcW w:w="1251" w:type="pct"/>
            <w:tcBorders>
              <w:top w:val="single" w:color="auto" w:sz="8" w:space="0"/>
              <w:bottom w:val="single" w:color="auto" w:sz="8" w:space="0"/>
            </w:tcBorders>
            <w:noWrap w:val="0"/>
            <w:vAlign w:val="center"/>
          </w:tcPr>
          <w:p w14:paraId="6A738CBA">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31AAFE4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数据资料收集、标准起草、撰写。</w:t>
            </w:r>
          </w:p>
        </w:tc>
      </w:tr>
      <w:tr w14:paraId="4DD97A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624" w:type="pct"/>
            <w:tcBorders>
              <w:top w:val="single" w:color="auto" w:sz="8" w:space="0"/>
              <w:bottom w:val="single" w:color="auto" w:sz="8" w:space="0"/>
            </w:tcBorders>
            <w:shd w:val="clear" w:color="auto" w:fill="auto"/>
            <w:noWrap w:val="0"/>
            <w:vAlign w:val="center"/>
          </w:tcPr>
          <w:p w14:paraId="51469AAC">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周全连</w:t>
            </w:r>
          </w:p>
        </w:tc>
        <w:tc>
          <w:tcPr>
            <w:tcW w:w="804" w:type="pct"/>
            <w:tcBorders>
              <w:top w:val="single" w:color="auto" w:sz="8" w:space="0"/>
              <w:bottom w:val="single" w:color="auto" w:sz="8" w:space="0"/>
            </w:tcBorders>
            <w:shd w:val="clear" w:color="auto" w:fill="auto"/>
            <w:noWrap w:val="0"/>
            <w:vAlign w:val="center"/>
          </w:tcPr>
          <w:p w14:paraId="07F5FC9C">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副校长/教授</w:t>
            </w:r>
          </w:p>
        </w:tc>
        <w:tc>
          <w:tcPr>
            <w:tcW w:w="1127" w:type="pct"/>
            <w:tcBorders>
              <w:top w:val="single" w:color="auto" w:sz="8" w:space="0"/>
              <w:bottom w:val="single" w:color="auto" w:sz="8" w:space="0"/>
            </w:tcBorders>
            <w:shd w:val="clear" w:color="auto" w:fill="auto"/>
            <w:noWrap w:val="0"/>
            <w:vAlign w:val="center"/>
          </w:tcPr>
          <w:p w14:paraId="3AD9BB27">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森林培育、林木种苗生产、林业职业教育</w:t>
            </w:r>
          </w:p>
        </w:tc>
        <w:tc>
          <w:tcPr>
            <w:tcW w:w="1251" w:type="pct"/>
            <w:tcBorders>
              <w:top w:val="single" w:color="auto" w:sz="8" w:space="0"/>
              <w:bottom w:val="single" w:color="auto" w:sz="8" w:space="0"/>
            </w:tcBorders>
            <w:shd w:val="clear" w:color="auto" w:fill="auto"/>
            <w:noWrap w:val="0"/>
            <w:vAlign w:val="center"/>
          </w:tcPr>
          <w:p w14:paraId="74900CDB">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37078E86">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663991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624" w:type="pct"/>
            <w:tcBorders>
              <w:top w:val="single" w:color="auto" w:sz="8" w:space="0"/>
              <w:bottom w:val="single" w:color="auto" w:sz="8" w:space="0"/>
            </w:tcBorders>
            <w:noWrap w:val="0"/>
            <w:vAlign w:val="center"/>
          </w:tcPr>
          <w:p w14:paraId="093E85CD">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黄寿昌</w:t>
            </w:r>
          </w:p>
        </w:tc>
        <w:tc>
          <w:tcPr>
            <w:tcW w:w="804" w:type="pct"/>
            <w:tcBorders>
              <w:top w:val="single" w:color="auto" w:sz="8" w:space="0"/>
              <w:bottom w:val="single" w:color="auto" w:sz="8" w:space="0"/>
            </w:tcBorders>
            <w:noWrap w:val="0"/>
            <w:vAlign w:val="center"/>
          </w:tcPr>
          <w:p w14:paraId="24E5A944">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场长/教授</w:t>
            </w:r>
          </w:p>
        </w:tc>
        <w:tc>
          <w:tcPr>
            <w:tcW w:w="1127" w:type="pct"/>
            <w:tcBorders>
              <w:top w:val="single" w:color="auto" w:sz="8" w:space="0"/>
              <w:bottom w:val="single" w:color="auto" w:sz="8" w:space="0"/>
            </w:tcBorders>
            <w:shd w:val="clear" w:color="auto" w:fill="auto"/>
            <w:noWrap w:val="0"/>
            <w:vAlign w:val="center"/>
          </w:tcPr>
          <w:p w14:paraId="6A79F89C">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shd w:val="clear" w:color="auto" w:fill="auto"/>
            <w:noWrap w:val="0"/>
            <w:vAlign w:val="center"/>
          </w:tcPr>
          <w:p w14:paraId="6653B096">
            <w:pPr>
              <w:keepNext w:val="0"/>
              <w:keepLines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SA"/>
              </w:rPr>
            </w:pPr>
            <w:r>
              <w:rPr>
                <w:rFonts w:hint="default" w:ascii="仿宋_GB2312" w:hAnsi="仿宋_GB2312" w:eastAsia="仿宋_GB2312" w:cs="仿宋_GB2312"/>
                <w:kern w:val="2"/>
                <w:sz w:val="24"/>
                <w:szCs w:val="24"/>
                <w:lang w:val="en-US" w:eastAsia="zh-CN" w:bidi="ar-SA"/>
              </w:rPr>
              <w:t>广西岑溪市软枝油茶种子园</w:t>
            </w:r>
          </w:p>
        </w:tc>
        <w:tc>
          <w:tcPr>
            <w:tcW w:w="1191" w:type="pct"/>
            <w:tcBorders>
              <w:top w:val="single" w:color="auto" w:sz="8" w:space="0"/>
              <w:bottom w:val="single" w:color="auto" w:sz="8" w:space="0"/>
            </w:tcBorders>
            <w:shd w:val="clear" w:color="auto" w:fill="auto"/>
            <w:noWrap w:val="0"/>
            <w:vAlign w:val="center"/>
          </w:tcPr>
          <w:p w14:paraId="3B2868FA">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156191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687DA6B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kern w:val="2"/>
                <w:sz w:val="24"/>
                <w:szCs w:val="24"/>
                <w:lang w:val="en-US" w:eastAsia="zh-CN" w:bidi="ar"/>
              </w:rPr>
            </w:pPr>
            <w:r>
              <w:rPr>
                <w:rFonts w:hint="eastAsia" w:ascii="仿宋_GB2312" w:hAnsi="仿宋_GB2312" w:eastAsia="仿宋_GB2312" w:cs="仿宋_GB2312"/>
                <w:sz w:val="24"/>
                <w:szCs w:val="24"/>
              </w:rPr>
              <w:t>钟国贵</w:t>
            </w:r>
          </w:p>
        </w:tc>
        <w:tc>
          <w:tcPr>
            <w:tcW w:w="804" w:type="pct"/>
            <w:tcBorders>
              <w:top w:val="single" w:color="auto" w:sz="8" w:space="0"/>
              <w:bottom w:val="single" w:color="auto" w:sz="8" w:space="0"/>
            </w:tcBorders>
            <w:noWrap w:val="0"/>
            <w:vAlign w:val="center"/>
          </w:tcPr>
          <w:p w14:paraId="21E3226B">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副总经理/高级工程师</w:t>
            </w:r>
          </w:p>
        </w:tc>
        <w:tc>
          <w:tcPr>
            <w:tcW w:w="1127" w:type="pct"/>
            <w:tcBorders>
              <w:top w:val="single" w:color="auto" w:sz="8" w:space="0"/>
              <w:bottom w:val="single" w:color="auto" w:sz="8" w:space="0"/>
            </w:tcBorders>
            <w:noWrap w:val="0"/>
            <w:vAlign w:val="center"/>
          </w:tcPr>
          <w:p w14:paraId="70366393">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林业生产、林业技术</w:t>
            </w:r>
          </w:p>
        </w:tc>
        <w:tc>
          <w:tcPr>
            <w:tcW w:w="1251" w:type="pct"/>
            <w:tcBorders>
              <w:top w:val="single" w:color="auto" w:sz="8" w:space="0"/>
              <w:bottom w:val="single" w:color="auto" w:sz="8" w:space="0"/>
            </w:tcBorders>
            <w:noWrap w:val="0"/>
            <w:vAlign w:val="center"/>
          </w:tcPr>
          <w:p w14:paraId="62FFC2B6">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广西艺高林业有限公司</w:t>
            </w:r>
          </w:p>
        </w:tc>
        <w:tc>
          <w:tcPr>
            <w:tcW w:w="1191" w:type="pct"/>
            <w:tcBorders>
              <w:top w:val="single" w:color="auto" w:sz="8" w:space="0"/>
              <w:bottom w:val="single" w:color="auto" w:sz="8" w:space="0"/>
            </w:tcBorders>
            <w:noWrap w:val="0"/>
            <w:vAlign w:val="center"/>
          </w:tcPr>
          <w:p w14:paraId="28C6E6F8">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eastAsia="zh-CN"/>
              </w:rPr>
              <w:t>参与</w:t>
            </w:r>
            <w:r>
              <w:rPr>
                <w:rFonts w:hint="eastAsia" w:ascii="仿宋_GB2312" w:hAnsi="仿宋_GB2312" w:eastAsia="仿宋_GB2312" w:cs="仿宋_GB2312"/>
                <w:sz w:val="24"/>
                <w:szCs w:val="24"/>
              </w:rPr>
              <w:t>项目设计、立项申报</w:t>
            </w:r>
            <w:r>
              <w:rPr>
                <w:rFonts w:hint="eastAsia" w:ascii="仿宋_GB2312" w:hAnsi="仿宋_GB2312" w:eastAsia="仿宋_GB2312" w:cs="仿宋_GB2312"/>
                <w:sz w:val="24"/>
                <w:szCs w:val="24"/>
                <w:lang w:eastAsia="zh-CN"/>
              </w:rPr>
              <w:t>等</w:t>
            </w:r>
          </w:p>
        </w:tc>
      </w:tr>
      <w:tr w14:paraId="4673DA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04DE289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kern w:val="2"/>
                <w:sz w:val="24"/>
                <w:szCs w:val="24"/>
                <w:lang w:val="en-US" w:eastAsia="zh-CN" w:bidi="ar"/>
              </w:rPr>
            </w:pPr>
            <w:r>
              <w:rPr>
                <w:rFonts w:hint="eastAsia" w:ascii="仿宋_GB2312" w:hAnsi="仿宋_GB2312" w:eastAsia="仿宋_GB2312" w:cs="仿宋_GB2312"/>
                <w:sz w:val="24"/>
                <w:szCs w:val="24"/>
                <w:lang w:val="en-US" w:eastAsia="zh-CN"/>
              </w:rPr>
              <w:t>劳广杰</w:t>
            </w:r>
          </w:p>
        </w:tc>
        <w:tc>
          <w:tcPr>
            <w:tcW w:w="804" w:type="pct"/>
            <w:tcBorders>
              <w:top w:val="single" w:color="auto" w:sz="8" w:space="0"/>
              <w:bottom w:val="single" w:color="auto" w:sz="8" w:space="0"/>
            </w:tcBorders>
            <w:noWrap w:val="0"/>
            <w:vAlign w:val="center"/>
          </w:tcPr>
          <w:p w14:paraId="46A95CB9">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办公室主任/高级工程师</w:t>
            </w:r>
          </w:p>
        </w:tc>
        <w:tc>
          <w:tcPr>
            <w:tcW w:w="1127" w:type="pct"/>
            <w:tcBorders>
              <w:top w:val="single" w:color="auto" w:sz="8" w:space="0"/>
              <w:bottom w:val="single" w:color="auto" w:sz="8" w:space="0"/>
            </w:tcBorders>
            <w:noWrap w:val="0"/>
            <w:vAlign w:val="center"/>
          </w:tcPr>
          <w:p w14:paraId="1059E289">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林业生产、林业技术、林业职业教育</w:t>
            </w:r>
          </w:p>
        </w:tc>
        <w:tc>
          <w:tcPr>
            <w:tcW w:w="1251" w:type="pct"/>
            <w:tcBorders>
              <w:top w:val="single" w:color="auto" w:sz="8" w:space="0"/>
              <w:bottom w:val="single" w:color="auto" w:sz="8" w:space="0"/>
            </w:tcBorders>
            <w:noWrap w:val="0"/>
            <w:vAlign w:val="center"/>
          </w:tcPr>
          <w:p w14:paraId="5B7826B4">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1FD06A3F">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数据资料收集、标准起草、撰写。</w:t>
            </w:r>
          </w:p>
        </w:tc>
      </w:tr>
      <w:tr w14:paraId="38CBCD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6C601B88">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梁梅华</w:t>
            </w:r>
          </w:p>
        </w:tc>
        <w:tc>
          <w:tcPr>
            <w:tcW w:w="804" w:type="pct"/>
            <w:tcBorders>
              <w:top w:val="single" w:color="auto" w:sz="8" w:space="0"/>
              <w:bottom w:val="single" w:color="auto" w:sz="8" w:space="0"/>
            </w:tcBorders>
            <w:noWrap w:val="0"/>
            <w:vAlign w:val="center"/>
          </w:tcPr>
          <w:p w14:paraId="28BEEF9D">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教师/副教授</w:t>
            </w:r>
          </w:p>
        </w:tc>
        <w:tc>
          <w:tcPr>
            <w:tcW w:w="1127" w:type="pct"/>
            <w:tcBorders>
              <w:top w:val="single" w:color="auto" w:sz="8" w:space="0"/>
              <w:bottom w:val="single" w:color="auto" w:sz="8" w:space="0"/>
            </w:tcBorders>
            <w:noWrap w:val="0"/>
            <w:vAlign w:val="center"/>
          </w:tcPr>
          <w:p w14:paraId="076EFE45">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林木种苗生产、林业职业教育</w:t>
            </w:r>
          </w:p>
        </w:tc>
        <w:tc>
          <w:tcPr>
            <w:tcW w:w="1251" w:type="pct"/>
            <w:tcBorders>
              <w:top w:val="single" w:color="auto" w:sz="8" w:space="0"/>
              <w:bottom w:val="single" w:color="auto" w:sz="8" w:space="0"/>
            </w:tcBorders>
            <w:noWrap w:val="0"/>
            <w:vAlign w:val="center"/>
          </w:tcPr>
          <w:p w14:paraId="47AC8594">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75F4BFE7">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091672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4BC59422">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陈玉宝</w:t>
            </w:r>
          </w:p>
        </w:tc>
        <w:tc>
          <w:tcPr>
            <w:tcW w:w="804" w:type="pct"/>
            <w:tcBorders>
              <w:top w:val="single" w:color="auto" w:sz="8" w:space="0"/>
              <w:bottom w:val="single" w:color="auto" w:sz="8" w:space="0"/>
            </w:tcBorders>
            <w:noWrap w:val="0"/>
            <w:vAlign w:val="center"/>
          </w:tcPr>
          <w:p w14:paraId="75B11832">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教师/教授</w:t>
            </w:r>
          </w:p>
        </w:tc>
        <w:tc>
          <w:tcPr>
            <w:tcW w:w="1127" w:type="pct"/>
            <w:tcBorders>
              <w:top w:val="single" w:color="auto" w:sz="8" w:space="0"/>
              <w:bottom w:val="single" w:color="auto" w:sz="8" w:space="0"/>
            </w:tcBorders>
            <w:noWrap w:val="0"/>
            <w:vAlign w:val="center"/>
          </w:tcPr>
          <w:p w14:paraId="13F76004">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林木种苗生产、林木病虫害防治、林业职业教育</w:t>
            </w:r>
          </w:p>
        </w:tc>
        <w:tc>
          <w:tcPr>
            <w:tcW w:w="1251" w:type="pct"/>
            <w:tcBorders>
              <w:top w:val="single" w:color="auto" w:sz="8" w:space="0"/>
              <w:bottom w:val="single" w:color="auto" w:sz="8" w:space="0"/>
            </w:tcBorders>
            <w:noWrap w:val="0"/>
            <w:vAlign w:val="center"/>
          </w:tcPr>
          <w:p w14:paraId="1D0DCB0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7170A08D">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302D7E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6654E19C">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向长武</w:t>
            </w:r>
          </w:p>
        </w:tc>
        <w:tc>
          <w:tcPr>
            <w:tcW w:w="804" w:type="pct"/>
            <w:tcBorders>
              <w:top w:val="single" w:color="auto" w:sz="8" w:space="0"/>
              <w:bottom w:val="single" w:color="auto" w:sz="8" w:space="0"/>
            </w:tcBorders>
            <w:noWrap w:val="0"/>
            <w:vAlign w:val="center"/>
          </w:tcPr>
          <w:p w14:paraId="751C1FE6">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/高级工程师</w:t>
            </w:r>
          </w:p>
        </w:tc>
        <w:tc>
          <w:tcPr>
            <w:tcW w:w="1127" w:type="pct"/>
            <w:tcBorders>
              <w:top w:val="single" w:color="auto" w:sz="8" w:space="0"/>
              <w:bottom w:val="single" w:color="auto" w:sz="8" w:space="0"/>
            </w:tcBorders>
            <w:noWrap w:val="0"/>
            <w:vAlign w:val="center"/>
          </w:tcPr>
          <w:p w14:paraId="24BE2661">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林业生产、林业技术、林业职业教育</w:t>
            </w:r>
          </w:p>
        </w:tc>
        <w:tc>
          <w:tcPr>
            <w:tcW w:w="1251" w:type="pct"/>
            <w:tcBorders>
              <w:top w:val="single" w:color="auto" w:sz="8" w:space="0"/>
              <w:bottom w:val="single" w:color="auto" w:sz="8" w:space="0"/>
            </w:tcBorders>
            <w:noWrap w:val="0"/>
            <w:vAlign w:val="center"/>
          </w:tcPr>
          <w:p w14:paraId="5B872A7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49D82C4F">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2FBAFD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6335CE1C">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张象君</w:t>
            </w:r>
          </w:p>
        </w:tc>
        <w:tc>
          <w:tcPr>
            <w:tcW w:w="804" w:type="pct"/>
            <w:tcBorders>
              <w:top w:val="single" w:color="auto" w:sz="8" w:space="0"/>
              <w:bottom w:val="single" w:color="auto" w:sz="8" w:space="0"/>
            </w:tcBorders>
            <w:noWrap w:val="0"/>
            <w:vAlign w:val="center"/>
          </w:tcPr>
          <w:p w14:paraId="3A731F29">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教师/讲师</w:t>
            </w:r>
          </w:p>
        </w:tc>
        <w:tc>
          <w:tcPr>
            <w:tcW w:w="1127" w:type="pct"/>
            <w:tcBorders>
              <w:top w:val="single" w:color="auto" w:sz="8" w:space="0"/>
              <w:bottom w:val="single" w:color="auto" w:sz="8" w:space="0"/>
            </w:tcBorders>
            <w:noWrap w:val="0"/>
            <w:vAlign w:val="center"/>
          </w:tcPr>
          <w:p w14:paraId="77C8348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林业调查技术、林业技术职业教育</w:t>
            </w:r>
          </w:p>
        </w:tc>
        <w:tc>
          <w:tcPr>
            <w:tcW w:w="1251" w:type="pct"/>
            <w:tcBorders>
              <w:top w:val="single" w:color="auto" w:sz="8" w:space="0"/>
              <w:bottom w:val="single" w:color="auto" w:sz="8" w:space="0"/>
            </w:tcBorders>
            <w:noWrap w:val="0"/>
            <w:vAlign w:val="center"/>
          </w:tcPr>
          <w:p w14:paraId="51C0BB6E">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5E653053">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5A6DF0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4D0A9CD5">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李荣珍</w:t>
            </w:r>
          </w:p>
        </w:tc>
        <w:tc>
          <w:tcPr>
            <w:tcW w:w="804" w:type="pct"/>
            <w:tcBorders>
              <w:top w:val="single" w:color="auto" w:sz="8" w:space="0"/>
              <w:bottom w:val="single" w:color="auto" w:sz="8" w:space="0"/>
            </w:tcBorders>
            <w:noWrap w:val="0"/>
            <w:vAlign w:val="center"/>
          </w:tcPr>
          <w:p w14:paraId="3D149D94">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教师/教授</w:t>
            </w:r>
          </w:p>
        </w:tc>
        <w:tc>
          <w:tcPr>
            <w:tcW w:w="1127" w:type="pct"/>
            <w:tcBorders>
              <w:top w:val="single" w:color="auto" w:sz="8" w:space="0"/>
              <w:bottom w:val="single" w:color="auto" w:sz="8" w:space="0"/>
            </w:tcBorders>
            <w:noWrap w:val="0"/>
            <w:vAlign w:val="center"/>
          </w:tcPr>
          <w:p w14:paraId="48940E9F">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森林培育、林木种苗生产、林业技术职业教育</w:t>
            </w:r>
          </w:p>
        </w:tc>
        <w:tc>
          <w:tcPr>
            <w:tcW w:w="1251" w:type="pct"/>
            <w:tcBorders>
              <w:top w:val="single" w:color="auto" w:sz="8" w:space="0"/>
              <w:bottom w:val="single" w:color="auto" w:sz="8" w:space="0"/>
            </w:tcBorders>
            <w:noWrap w:val="0"/>
            <w:vAlign w:val="center"/>
          </w:tcPr>
          <w:p w14:paraId="32717A22">
            <w:pPr>
              <w:keepNext w:val="0"/>
              <w:keepLines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7262967F">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5F8B79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2B2B5D12">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苏杰南</w:t>
            </w:r>
          </w:p>
        </w:tc>
        <w:tc>
          <w:tcPr>
            <w:tcW w:w="804" w:type="pct"/>
            <w:tcBorders>
              <w:top w:val="single" w:color="auto" w:sz="8" w:space="0"/>
              <w:bottom w:val="single" w:color="auto" w:sz="8" w:space="0"/>
            </w:tcBorders>
            <w:shd w:val="clear" w:color="auto" w:fill="auto"/>
            <w:noWrap w:val="0"/>
            <w:vAlign w:val="center"/>
          </w:tcPr>
          <w:p w14:paraId="3AF94FFA">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教师/教授</w:t>
            </w:r>
          </w:p>
        </w:tc>
        <w:tc>
          <w:tcPr>
            <w:tcW w:w="1127" w:type="pct"/>
            <w:tcBorders>
              <w:top w:val="single" w:color="auto" w:sz="8" w:space="0"/>
              <w:bottom w:val="single" w:color="auto" w:sz="8" w:space="0"/>
            </w:tcBorders>
            <w:shd w:val="clear" w:color="auto" w:fill="auto"/>
            <w:noWrap w:val="0"/>
            <w:vAlign w:val="center"/>
          </w:tcPr>
          <w:p w14:paraId="569F7651">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森林经理、林业技术职业教育</w:t>
            </w:r>
          </w:p>
        </w:tc>
        <w:tc>
          <w:tcPr>
            <w:tcW w:w="1251" w:type="pct"/>
            <w:tcBorders>
              <w:top w:val="single" w:color="auto" w:sz="8" w:space="0"/>
              <w:bottom w:val="single" w:color="auto" w:sz="8" w:space="0"/>
            </w:tcBorders>
            <w:shd w:val="clear" w:color="auto" w:fill="auto"/>
            <w:noWrap w:val="0"/>
            <w:vAlign w:val="center"/>
          </w:tcPr>
          <w:p w14:paraId="647A11B5">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27B610C9">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371781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37DD54AC">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黄毅</w:t>
            </w:r>
          </w:p>
        </w:tc>
        <w:tc>
          <w:tcPr>
            <w:tcW w:w="804" w:type="pct"/>
            <w:tcBorders>
              <w:top w:val="single" w:color="auto" w:sz="8" w:space="0"/>
              <w:bottom w:val="single" w:color="auto" w:sz="8" w:space="0"/>
            </w:tcBorders>
            <w:noWrap w:val="0"/>
            <w:vAlign w:val="center"/>
          </w:tcPr>
          <w:p w14:paraId="0E1D4F52">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营林科科长/高级工程师</w:t>
            </w:r>
          </w:p>
        </w:tc>
        <w:tc>
          <w:tcPr>
            <w:tcW w:w="1127" w:type="pct"/>
            <w:tcBorders>
              <w:top w:val="single" w:color="auto" w:sz="8" w:space="0"/>
              <w:bottom w:val="single" w:color="auto" w:sz="8" w:space="0"/>
            </w:tcBorders>
            <w:noWrap w:val="0"/>
            <w:vAlign w:val="center"/>
          </w:tcPr>
          <w:p w14:paraId="1A8CA95C">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林业生产、林业技术、林业职业教育</w:t>
            </w:r>
          </w:p>
        </w:tc>
        <w:tc>
          <w:tcPr>
            <w:tcW w:w="1251" w:type="pct"/>
            <w:tcBorders>
              <w:top w:val="single" w:color="auto" w:sz="8" w:space="0"/>
              <w:bottom w:val="single" w:color="auto" w:sz="8" w:space="0"/>
            </w:tcBorders>
            <w:noWrap w:val="0"/>
            <w:vAlign w:val="center"/>
          </w:tcPr>
          <w:p w14:paraId="4BDA41D6">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04657105">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015AC9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5D83BDCF">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牙璋</w:t>
            </w:r>
          </w:p>
        </w:tc>
        <w:tc>
          <w:tcPr>
            <w:tcW w:w="804" w:type="pct"/>
            <w:tcBorders>
              <w:top w:val="single" w:color="auto" w:sz="8" w:space="0"/>
              <w:bottom w:val="single" w:color="auto" w:sz="8" w:space="0"/>
            </w:tcBorders>
            <w:shd w:val="clear" w:color="auto" w:fill="auto"/>
            <w:noWrap w:val="0"/>
            <w:vAlign w:val="center"/>
          </w:tcPr>
          <w:p w14:paraId="2C007AAF">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科科长/高级工程师</w:t>
            </w:r>
          </w:p>
        </w:tc>
        <w:tc>
          <w:tcPr>
            <w:tcW w:w="1127" w:type="pct"/>
            <w:tcBorders>
              <w:top w:val="single" w:color="auto" w:sz="8" w:space="0"/>
              <w:bottom w:val="single" w:color="auto" w:sz="8" w:space="0"/>
            </w:tcBorders>
            <w:shd w:val="clear" w:color="auto" w:fill="auto"/>
            <w:noWrap w:val="0"/>
            <w:vAlign w:val="center"/>
          </w:tcPr>
          <w:p w14:paraId="34259AA4">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林业生产、林业技术、林业职业教育</w:t>
            </w:r>
          </w:p>
        </w:tc>
        <w:tc>
          <w:tcPr>
            <w:tcW w:w="1251" w:type="pct"/>
            <w:tcBorders>
              <w:top w:val="single" w:color="auto" w:sz="8" w:space="0"/>
              <w:bottom w:val="single" w:color="auto" w:sz="8" w:space="0"/>
            </w:tcBorders>
            <w:shd w:val="clear" w:color="auto" w:fill="auto"/>
            <w:noWrap w:val="0"/>
            <w:vAlign w:val="center"/>
          </w:tcPr>
          <w:p w14:paraId="7BF954EE">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510CE370">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53EE91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624" w:type="pct"/>
            <w:tcBorders>
              <w:top w:val="single" w:color="auto" w:sz="8" w:space="0"/>
              <w:bottom w:val="single" w:color="auto" w:sz="8" w:space="0"/>
            </w:tcBorders>
            <w:noWrap w:val="0"/>
            <w:vAlign w:val="center"/>
          </w:tcPr>
          <w:p w14:paraId="23F3B8F8">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戴勤</w:t>
            </w:r>
          </w:p>
        </w:tc>
        <w:tc>
          <w:tcPr>
            <w:tcW w:w="804" w:type="pct"/>
            <w:tcBorders>
              <w:top w:val="single" w:color="auto" w:sz="8" w:space="0"/>
              <w:bottom w:val="single" w:color="auto" w:sz="8" w:space="0"/>
            </w:tcBorders>
            <w:noWrap w:val="0"/>
            <w:vAlign w:val="center"/>
          </w:tcPr>
          <w:p w14:paraId="3860343A">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科研管理科科长/工程师</w:t>
            </w:r>
          </w:p>
        </w:tc>
        <w:tc>
          <w:tcPr>
            <w:tcW w:w="1127" w:type="pct"/>
            <w:tcBorders>
              <w:top w:val="single" w:color="auto" w:sz="8" w:space="0"/>
              <w:bottom w:val="single" w:color="auto" w:sz="8" w:space="0"/>
            </w:tcBorders>
            <w:noWrap w:val="0"/>
            <w:vAlign w:val="center"/>
          </w:tcPr>
          <w:p w14:paraId="5B06C103">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森林培育、林木种苗生产、林业技术职业教育</w:t>
            </w:r>
          </w:p>
        </w:tc>
        <w:tc>
          <w:tcPr>
            <w:tcW w:w="1251" w:type="pct"/>
            <w:tcBorders>
              <w:top w:val="single" w:color="auto" w:sz="8" w:space="0"/>
              <w:bottom w:val="single" w:color="auto" w:sz="8" w:space="0"/>
            </w:tcBorders>
            <w:noWrap w:val="0"/>
            <w:vAlign w:val="center"/>
          </w:tcPr>
          <w:p w14:paraId="1E65112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7C69E22D">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177EDF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417E3E67">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李盛</w:t>
            </w:r>
          </w:p>
        </w:tc>
        <w:tc>
          <w:tcPr>
            <w:tcW w:w="804" w:type="pct"/>
            <w:tcBorders>
              <w:top w:val="single" w:color="auto" w:sz="8" w:space="0"/>
              <w:bottom w:val="single" w:color="auto" w:sz="8" w:space="0"/>
            </w:tcBorders>
            <w:noWrap w:val="0"/>
            <w:vAlign w:val="center"/>
          </w:tcPr>
          <w:p w14:paraId="78E0CF10">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副书记/讲师</w:t>
            </w:r>
          </w:p>
        </w:tc>
        <w:tc>
          <w:tcPr>
            <w:tcW w:w="1127" w:type="pct"/>
            <w:tcBorders>
              <w:top w:val="single" w:color="auto" w:sz="8" w:space="0"/>
              <w:bottom w:val="single" w:color="auto" w:sz="8" w:space="0"/>
            </w:tcBorders>
            <w:shd w:val="clear" w:color="auto" w:fill="auto"/>
            <w:noWrap w:val="0"/>
            <w:vAlign w:val="center"/>
          </w:tcPr>
          <w:p w14:paraId="7B116889">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森林培育、林木种苗生产、林业技术职业教育</w:t>
            </w:r>
          </w:p>
        </w:tc>
        <w:tc>
          <w:tcPr>
            <w:tcW w:w="1251" w:type="pct"/>
            <w:tcBorders>
              <w:top w:val="single" w:color="auto" w:sz="8" w:space="0"/>
              <w:bottom w:val="single" w:color="auto" w:sz="8" w:space="0"/>
            </w:tcBorders>
            <w:shd w:val="clear" w:color="auto" w:fill="auto"/>
            <w:noWrap w:val="0"/>
            <w:vAlign w:val="center"/>
          </w:tcPr>
          <w:p w14:paraId="09300BEB">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shd w:val="clear" w:color="auto" w:fill="auto"/>
            <w:noWrap w:val="0"/>
            <w:vAlign w:val="center"/>
          </w:tcPr>
          <w:p w14:paraId="7012FE37">
            <w:pPr>
              <w:keepNext w:val="0"/>
              <w:keepLines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数据资料收集、标准起草、撰写。</w:t>
            </w:r>
          </w:p>
        </w:tc>
      </w:tr>
      <w:tr w14:paraId="3B56B3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49E0A807">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温中林</w:t>
            </w:r>
          </w:p>
        </w:tc>
        <w:tc>
          <w:tcPr>
            <w:tcW w:w="804" w:type="pct"/>
            <w:tcBorders>
              <w:top w:val="single" w:color="auto" w:sz="8" w:space="0"/>
              <w:bottom w:val="single" w:color="auto" w:sz="8" w:space="0"/>
            </w:tcBorders>
            <w:noWrap w:val="0"/>
            <w:vAlign w:val="center"/>
          </w:tcPr>
          <w:p w14:paraId="7CA6729F">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教师/教授</w:t>
            </w:r>
          </w:p>
        </w:tc>
        <w:tc>
          <w:tcPr>
            <w:tcW w:w="1127" w:type="pct"/>
            <w:tcBorders>
              <w:top w:val="single" w:color="auto" w:sz="8" w:space="0"/>
              <w:bottom w:val="single" w:color="auto" w:sz="8" w:space="0"/>
            </w:tcBorders>
            <w:noWrap w:val="0"/>
            <w:vAlign w:val="center"/>
          </w:tcPr>
          <w:p w14:paraId="6198CEC5">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森林培育、林木种苗生产、林业技术职业教育</w:t>
            </w:r>
          </w:p>
        </w:tc>
        <w:tc>
          <w:tcPr>
            <w:tcW w:w="1251" w:type="pct"/>
            <w:tcBorders>
              <w:top w:val="single" w:color="auto" w:sz="8" w:space="0"/>
              <w:bottom w:val="single" w:color="auto" w:sz="8" w:space="0"/>
            </w:tcBorders>
            <w:noWrap w:val="0"/>
            <w:vAlign w:val="center"/>
          </w:tcPr>
          <w:p w14:paraId="11FBC076">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52EA2F5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r w14:paraId="7F1931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624" w:type="pct"/>
            <w:tcBorders>
              <w:top w:val="single" w:color="auto" w:sz="8" w:space="0"/>
              <w:bottom w:val="single" w:color="auto" w:sz="8" w:space="0"/>
            </w:tcBorders>
            <w:noWrap w:val="0"/>
            <w:vAlign w:val="center"/>
          </w:tcPr>
          <w:p w14:paraId="68F8DDF8">
            <w:pPr>
              <w:keepNext w:val="0"/>
              <w:keepLines w:val="0"/>
              <w:suppressLineNumbers w:val="0"/>
              <w:spacing w:before="0" w:beforeAutospacing="0" w:after="0" w:afterAutospacing="0"/>
              <w:ind w:left="0" w:right="0"/>
              <w:jc w:val="center"/>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张计军</w:t>
            </w:r>
          </w:p>
        </w:tc>
        <w:tc>
          <w:tcPr>
            <w:tcW w:w="804" w:type="pct"/>
            <w:tcBorders>
              <w:top w:val="single" w:color="auto" w:sz="8" w:space="0"/>
              <w:bottom w:val="single" w:color="auto" w:sz="8" w:space="0"/>
            </w:tcBorders>
            <w:noWrap w:val="0"/>
            <w:vAlign w:val="center"/>
          </w:tcPr>
          <w:p w14:paraId="4BEBFFC0">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集团秘书处主任/工程师</w:t>
            </w:r>
          </w:p>
        </w:tc>
        <w:tc>
          <w:tcPr>
            <w:tcW w:w="1127" w:type="pct"/>
            <w:tcBorders>
              <w:top w:val="single" w:color="auto" w:sz="8" w:space="0"/>
              <w:bottom w:val="single" w:color="auto" w:sz="8" w:space="0"/>
            </w:tcBorders>
            <w:noWrap w:val="0"/>
            <w:vAlign w:val="center"/>
          </w:tcPr>
          <w:p w14:paraId="754BB6D7">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林业机械、林木生产、林业技术职业教育</w:t>
            </w:r>
          </w:p>
        </w:tc>
        <w:tc>
          <w:tcPr>
            <w:tcW w:w="1251" w:type="pct"/>
            <w:tcBorders>
              <w:top w:val="single" w:color="auto" w:sz="8" w:space="0"/>
              <w:bottom w:val="single" w:color="auto" w:sz="8" w:space="0"/>
            </w:tcBorders>
            <w:noWrap w:val="0"/>
            <w:vAlign w:val="center"/>
          </w:tcPr>
          <w:p w14:paraId="6DA767F5">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广西生态工程职业技术学院</w:t>
            </w:r>
          </w:p>
        </w:tc>
        <w:tc>
          <w:tcPr>
            <w:tcW w:w="1191" w:type="pct"/>
            <w:tcBorders>
              <w:top w:val="single" w:color="auto" w:sz="8" w:space="0"/>
              <w:bottom w:val="single" w:color="auto" w:sz="8" w:space="0"/>
            </w:tcBorders>
            <w:noWrap w:val="0"/>
            <w:vAlign w:val="center"/>
          </w:tcPr>
          <w:p w14:paraId="30972599">
            <w:pPr>
              <w:keepNext w:val="0"/>
              <w:keepLines w:val="0"/>
              <w:suppressLineNumbers w:val="0"/>
              <w:spacing w:before="0" w:beforeAutospacing="0" w:after="0" w:afterAutospacing="0"/>
              <w:ind w:left="0" w:right="0"/>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数据资料收集、标准起草、撰写。</w:t>
            </w:r>
          </w:p>
        </w:tc>
      </w:tr>
    </w:tbl>
    <w:p w14:paraId="5B05556D">
      <w:pPr>
        <w:pStyle w:val="2"/>
        <w:rPr>
          <w:rFonts w:hint="eastAsia"/>
        </w:rPr>
      </w:pPr>
    </w:p>
    <w:p w14:paraId="6F62D24D">
      <w:pPr>
        <w:spacing w:before="159" w:beforeLines="50" w:after="159" w:afterLines="50" w:line="560" w:lineRule="exact"/>
        <w:ind w:firstLine="640" w:firstLineChars="200"/>
        <w:rPr>
          <w:rFonts w:hint="eastAsia" w:ascii="黑体" w:hAnsi="黑体" w:eastAsia="黑体"/>
          <w:sz w:val="32"/>
          <w:szCs w:val="32"/>
        </w:rPr>
      </w:pPr>
      <w:r>
        <w:rPr>
          <w:rFonts w:hint="eastAsia" w:ascii="黑体" w:hAnsi="黑体" w:eastAsia="黑体"/>
          <w:sz w:val="32"/>
          <w:szCs w:val="32"/>
        </w:rPr>
        <w:t>二、制定标准的必要性和意义</w:t>
      </w:r>
    </w:p>
    <w:p w14:paraId="12F08824">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中共中央办公厅、国务院办公厅印发《关于全面推行林长制的意见》：强调加强森林资源保护发展，马蹄荷作为森林资源的一部分，在培育过程中可受益于该政策下对森林资源保护和合理利用的整体规划与推动，有助于为马蹄荷培育创造良好的生态环境和政策保障。2023年7月5日，广西壮族自治区人民政府办公厅发布《广西万亿林业产业三年行动方案（2023—2025年）》，提出了积极推动林业产业标准体系建设。深入实施国家储备林“双千”计划，加快推进林地规模化经营、树种结构调整和低产低效林改造，大力培育乡土树种、珍贵树种和中大径材，不断提高森林蓄积量和单位面积木材产量。</w:t>
      </w:r>
    </w:p>
    <w:p w14:paraId="4B203934">
      <w:pPr>
        <w:spacing w:line="560" w:lineRule="exact"/>
        <w:ind w:firstLine="640" w:firstLineChars="200"/>
        <w:rPr>
          <w:rFonts w:hint="eastAsia" w:ascii="仿宋_GB2312" w:eastAsia="仿宋_GB2312"/>
          <w:sz w:val="32"/>
          <w:szCs w:val="32"/>
        </w:rPr>
      </w:pPr>
      <w:r>
        <w:rPr>
          <w:rFonts w:hint="eastAsia" w:ascii="仿宋_GB2312" w:eastAsia="仿宋_GB2312"/>
          <w:sz w:val="32"/>
          <w:szCs w:val="32"/>
        </w:rPr>
        <w:t>马蹄荷（Exbucklandiapopulnea）为金缕梅科乔木，别名白克木、解阳树，树干通直、圆满，树高可达20米，是生长略快，芯材硬度高的优良用材树种；由于树形优美，叶大而有光泽，四季常绿，常被作为庭院绿化观赏树种。其根系发达，适应性强，喜温暖湿润气候，适合在土层深厚、排水良好的微酸性红黄土壤中生长，对中性土壤也有一定适应性。马蹄荷天然分布区域包括中国西藏、云南、贵州、广西等地，以及缅甸、泰国、印度等东南亚国家。目前，我国西南地区（如云南、广西）是其主要人工种植区域，且近年来逐渐向广东、四川等地区扩展。马蹄荷人工林主要为防火林带，如凤山县坡桃林场76km林带，折合面积为129.2hm</w:t>
      </w:r>
      <w:r>
        <w:rPr>
          <w:rFonts w:hint="eastAsia" w:ascii="仿宋_GB2312" w:eastAsia="仿宋_GB2312"/>
          <w:sz w:val="32"/>
          <w:szCs w:val="32"/>
          <w:vertAlign w:val="superscript"/>
        </w:rPr>
        <w:t>2</w:t>
      </w:r>
      <w:r>
        <w:rPr>
          <w:rFonts w:hint="eastAsia" w:ascii="仿宋_GB2312" w:eastAsia="仿宋_GB2312"/>
          <w:sz w:val="32"/>
          <w:szCs w:val="32"/>
        </w:rPr>
        <w:t>，蓄积为3753.3m</w:t>
      </w:r>
      <w:r>
        <w:rPr>
          <w:rFonts w:hint="eastAsia" w:ascii="仿宋_GB2312" w:eastAsia="仿宋_GB2312"/>
          <w:sz w:val="32"/>
          <w:szCs w:val="32"/>
          <w:vertAlign w:val="superscript"/>
        </w:rPr>
        <w:t>3</w:t>
      </w:r>
      <w:r>
        <w:rPr>
          <w:rFonts w:hint="eastAsia" w:ascii="仿宋_GB2312" w:eastAsia="仿宋_GB2312"/>
          <w:sz w:val="32"/>
          <w:szCs w:val="32"/>
        </w:rPr>
        <w:t>，木材产值112.6万元，节约防火线修复工费7.7万元/年，没有因火灾而产生的经济损失，无大面积病虫害发生。广西那坡县国有那马林场1980年栽植人工纯林面积2.1hm</w:t>
      </w:r>
      <w:r>
        <w:rPr>
          <w:rFonts w:hint="eastAsia" w:ascii="仿宋_GB2312" w:eastAsia="仿宋_GB2312"/>
          <w:sz w:val="32"/>
          <w:szCs w:val="32"/>
          <w:vertAlign w:val="superscript"/>
        </w:rPr>
        <w:t>2</w:t>
      </w:r>
      <w:r>
        <w:rPr>
          <w:rFonts w:hint="eastAsia" w:ascii="仿宋_GB2312" w:eastAsia="仿宋_GB2312"/>
          <w:sz w:val="32"/>
          <w:szCs w:val="32"/>
        </w:rPr>
        <w:t>人工林，防火林带1980年种植，沿山脊绵延14km，面积14hm</w:t>
      </w:r>
      <w:r>
        <w:rPr>
          <w:rFonts w:hint="eastAsia" w:ascii="仿宋_GB2312" w:eastAsia="仿宋_GB2312"/>
          <w:sz w:val="32"/>
          <w:szCs w:val="32"/>
          <w:vertAlign w:val="superscript"/>
        </w:rPr>
        <w:t>2</w:t>
      </w:r>
      <w:r>
        <w:rPr>
          <w:rFonts w:hint="eastAsia" w:ascii="仿宋_GB2312" w:eastAsia="仿宋_GB2312"/>
          <w:sz w:val="32"/>
          <w:szCs w:val="32"/>
        </w:rPr>
        <w:t>。并于2016年及2025年共营造种植优良马蹄荷不同种源良家系对比林150亩。马蹄荷防火林带能提高林地利用率，增加木材收入，使林种多样化。马蹄荷防火林带所起的绿色防火屏障作用，已得到国家林业和草原局重视。在马蹄荷的林下空间，还可以发展多种林下经济模式，比如种植中药材、培育食用菌，或者养殖家禽等。通过充分利用林下土地资源，实现立体经营，提高土地利用率，进一步增加种植户的收入，带动农村地区的产业发展和农民增收致富。同时马蹄荷在《全国中草药汇编》《中药大辞典》《中华本草》提到具有舒筋活血，活络止痛，主治风湿关节痛，坐骨神经痛的作用。马蹄荷无论是从其自身的生态价值、观赏价值，还是经济价值以及科研与文化价值来看，都有着充分地培育和栽培的必要性。积极开展马蹄荷的人工培育工作，不仅有助于保护这一珍贵的树种资源，更能为生态环境建设、经济发展以及文化传承等多方面带来积极且深远的影响。</w:t>
      </w:r>
    </w:p>
    <w:p w14:paraId="072092FD">
      <w:pPr>
        <w:spacing w:before="159" w:beforeLines="50" w:after="159" w:afterLines="50" w:line="560" w:lineRule="exact"/>
        <w:ind w:firstLine="640" w:firstLineChars="200"/>
        <w:rPr>
          <w:rFonts w:hint="eastAsia" w:ascii="仿宋_GB2312" w:eastAsia="仿宋_GB2312"/>
          <w:sz w:val="32"/>
          <w:szCs w:val="32"/>
        </w:rPr>
      </w:pPr>
      <w:r>
        <w:rPr>
          <w:rFonts w:hint="eastAsia" w:ascii="仿宋_GB2312" w:eastAsia="仿宋_GB2312"/>
          <w:sz w:val="32"/>
          <w:szCs w:val="32"/>
        </w:rPr>
        <w:t>根据现有数据，马蹄荷造林密度为2.2×2.5米或3×3米，每公顷产苗量可达22万-30万株，规模化种植对苗木质量（如苗高≥40厘米、地径≥0.5厘米）有严格要求。若无统一标准，易导致成活率低、生长参差等问题。例如，云南龙陵县通过容器苗技术将造林成活率提升至90%以上，但其他地区仍存在技术差异。腾冲市2024年乡土树种良种苗木培育项目中，马蹄荷仅占总育苗量的2.5%，反映出当前培育规模与生态修复、景观绿化等需求存在明显差距。马蹄荷种子采集量极低，其蒴果每室仅6粒种子，且发育完全的种子需藏于花序轴基部，人工采集难度大。现有采集技术落后，导致种子实际采集量不足理论值的30%，年补充种子源缺口约1.2万粒（按每株需6粒种子估算）。马蹄荷作为优良的水源林、防火林带及观赏树种，在广西“绿美广西”生态建设、铝加工产业园区绿化等场景中需求激增。据估算，广西每年马蹄荷苗木需求量约5万株，现有供给能力仅能满足30%，供需缺口达3.5万株。广西近年每年新增生态修复面积约5万亩，其中马蹄荷作为乡土树种，理论适宜栽植面积达1万亩，但实际年栽植量不足2000亩。同时，马蹄荷为常绿乔木，采伐需严格审批，年允许砍伐量不足500株，远低于市场需求。近</w:t>
      </w:r>
      <w:r>
        <w:rPr>
          <w:rFonts w:hint="eastAsia" w:ascii="仿宋_GB2312" w:eastAsia="仿宋_GB2312"/>
          <w:sz w:val="32"/>
          <w:szCs w:val="32"/>
          <w:lang w:eastAsia="zh-CN"/>
        </w:rPr>
        <w:t>年来</w:t>
      </w:r>
      <w:r>
        <w:rPr>
          <w:rFonts w:hint="eastAsia" w:ascii="仿宋_GB2312" w:eastAsia="仿宋_GB2312"/>
          <w:sz w:val="32"/>
          <w:szCs w:val="32"/>
        </w:rPr>
        <w:t>，云南腾冲现已有马蹄荷育苗苗圃，随着杉木价格的走低，云南腾冲和云南德宏傣族景颇族自治州的当地群众已经开始广泛地在种植杉木的林地上用马蹄荷</w:t>
      </w:r>
      <w:r>
        <w:rPr>
          <w:rFonts w:hint="eastAsia" w:ascii="仿宋_GB2312" w:eastAsia="仿宋_GB2312"/>
          <w:sz w:val="32"/>
          <w:szCs w:val="32"/>
          <w:lang w:eastAsia="zh-CN"/>
        </w:rPr>
        <w:t>作为</w:t>
      </w:r>
      <w:r>
        <w:rPr>
          <w:rFonts w:hint="eastAsia" w:ascii="仿宋_GB2312" w:eastAsia="仿宋_GB2312"/>
          <w:sz w:val="32"/>
          <w:szCs w:val="32"/>
        </w:rPr>
        <w:t>替代树种或者混交树种。调查中也了解到有省份考虑将马蹄荷作为生态修复树种。根据马蹄荷生长迅速，10年生树木单株年固碳量达1.2吨。若按广西规划的10万亩马蹄荷碳汇林计算，年碳汇收益可达1.2亿元，但当前培育规模限制了这一潜力释放。</w:t>
      </w:r>
    </w:p>
    <w:p w14:paraId="1E318BBD">
      <w:pPr>
        <w:spacing w:before="159" w:beforeLines="50" w:after="159" w:afterLines="50" w:line="560" w:lineRule="exact"/>
        <w:ind w:firstLine="640" w:firstLineChars="200"/>
        <w:rPr>
          <w:rFonts w:hint="eastAsia" w:ascii="仿宋_GB2312" w:eastAsia="仿宋_GB2312"/>
          <w:sz w:val="32"/>
          <w:szCs w:val="32"/>
        </w:rPr>
      </w:pPr>
      <w:r>
        <w:rPr>
          <w:rFonts w:hint="eastAsia" w:ascii="仿宋_GB2312" w:eastAsia="仿宋_GB2312"/>
          <w:sz w:val="32"/>
          <w:szCs w:val="32"/>
        </w:rPr>
        <w:t>但是，国内外对该树种的研究与开发较少，缺乏系统、规范、有效的培育栽培技术规程，为了发展马蹄荷这一优良乡土树种，提供相适应的培育技术标准，因此，制定团体标准《马蹄荷培育技术规程》，统一规定马蹄荷培育的技术要求，从源头着手，规范马蹄荷的采种育苗、造林、抚育管理、采伐等关键环节技术要求，用标准化、规范化的方法为马蹄荷培育过程提供可靠技术指导，从而提高马蹄荷培育质量，提高造林成活率，调整和优化林分结构，保护和开发利用马蹄荷林业资源，推动广西林业高质量发展，助力乡村振兴具有重要意义。</w:t>
      </w:r>
    </w:p>
    <w:p w14:paraId="0B091EF4">
      <w:pPr>
        <w:spacing w:before="159" w:beforeLines="50" w:after="159" w:afterLines="50" w:line="560" w:lineRule="exact"/>
        <w:ind w:firstLine="640" w:firstLineChars="200"/>
        <w:rPr>
          <w:rFonts w:hint="eastAsia" w:ascii="黑体" w:hAnsi="黑体" w:eastAsia="黑体"/>
          <w:sz w:val="32"/>
          <w:szCs w:val="32"/>
        </w:rPr>
      </w:pPr>
      <w:r>
        <w:rPr>
          <w:rFonts w:hint="eastAsia" w:ascii="黑体" w:hAnsi="黑体" w:eastAsia="黑体"/>
          <w:sz w:val="32"/>
          <w:szCs w:val="32"/>
        </w:rPr>
        <w:t>三、主要起草过程</w:t>
      </w:r>
    </w:p>
    <w:p w14:paraId="77F51F2C">
      <w:pPr>
        <w:spacing w:before="159" w:beforeLines="50" w:after="159" w:afterLines="50" w:line="560" w:lineRule="exact"/>
        <w:ind w:firstLine="643" w:firstLineChars="200"/>
        <w:outlineLvl w:val="0"/>
        <w:rPr>
          <w:rFonts w:hint="eastAsia" w:ascii="楷体" w:hAnsi="楷体" w:eastAsia="楷体" w:cs="仿宋_GB2312"/>
          <w:b/>
          <w:sz w:val="32"/>
          <w:szCs w:val="32"/>
        </w:rPr>
      </w:pPr>
      <w:r>
        <w:rPr>
          <w:rFonts w:hint="eastAsia" w:ascii="楷体" w:hAnsi="楷体" w:eastAsia="楷体" w:cs="仿宋_GB2312"/>
          <w:b/>
          <w:sz w:val="32"/>
          <w:szCs w:val="32"/>
        </w:rPr>
        <w:t>（一）成立标准编制工作组</w:t>
      </w:r>
    </w:p>
    <w:p w14:paraId="11B9E574">
      <w:pPr>
        <w:spacing w:line="560" w:lineRule="exact"/>
        <w:ind w:firstLine="640" w:firstLineChars="200"/>
        <w:rPr>
          <w:rFonts w:ascii="仿宋_GB2312" w:eastAsia="仿宋_GB2312"/>
          <w:sz w:val="32"/>
          <w:szCs w:val="32"/>
        </w:rPr>
      </w:pPr>
      <w:r>
        <w:rPr>
          <w:rFonts w:hint="eastAsia" w:ascii="仿宋_GB2312" w:hAnsi="宋体" w:eastAsia="仿宋_GB2312"/>
          <w:sz w:val="32"/>
          <w:szCs w:val="32"/>
        </w:rPr>
        <w:t>团体标准</w:t>
      </w:r>
      <w:r>
        <w:rPr>
          <w:rFonts w:hint="eastAsia" w:ascii="仿宋_GB2312" w:hAnsi="宋体" w:eastAsia="仿宋_GB2312"/>
          <w:sz w:val="32"/>
          <w:szCs w:val="32"/>
          <w:lang w:eastAsia="zh-CN"/>
        </w:rPr>
        <w:t>马蹄荷培育技术规程</w:t>
      </w:r>
      <w:r>
        <w:rPr>
          <w:rFonts w:hint="eastAsia" w:ascii="仿宋_GB2312" w:hAnsi="宋体" w:eastAsia="仿宋_GB2312"/>
          <w:sz w:val="32"/>
          <w:szCs w:val="32"/>
        </w:rPr>
        <w:t>项目任务下达后，以</w:t>
      </w:r>
      <w:r>
        <w:rPr>
          <w:rFonts w:hint="eastAsia" w:ascii="仿宋_GB2312" w:eastAsia="仿宋_GB2312"/>
          <w:sz w:val="32"/>
          <w:szCs w:val="32"/>
        </w:rPr>
        <w:t>广西生态工程职业技术学院、广西那坡县国有那马林场、岑溪市软枝油茶种子园、广西艺高林业有限公司</w:t>
      </w:r>
      <w:r>
        <w:rPr>
          <w:rFonts w:hint="eastAsia" w:ascii="仿宋_GB2312" w:hAnsi="宋体" w:eastAsia="仿宋_GB2312"/>
          <w:sz w:val="32"/>
          <w:szCs w:val="32"/>
        </w:rPr>
        <w:t>为主要起草单位成立了标准编制工作组，制定了标准编写方案，明确任务职责，拟定工作技术路线。确定标准起草小组，及时布置制定工作方案，进行小组分工及起草工作时间安排，全面启动该标准的编制工作。</w:t>
      </w:r>
      <w:r>
        <w:rPr>
          <w:rFonts w:hint="eastAsia" w:ascii="仿宋_GB2312" w:eastAsia="仿宋_GB2312"/>
          <w:sz w:val="32"/>
          <w:szCs w:val="32"/>
        </w:rPr>
        <w:t>编制工作组下设三个组，分别是资料收集组、草案编写组、标准实施组。</w:t>
      </w:r>
    </w:p>
    <w:p w14:paraId="23A46065">
      <w:pPr>
        <w:spacing w:line="560" w:lineRule="exact"/>
        <w:ind w:firstLine="640" w:firstLineChars="200"/>
        <w:rPr>
          <w:rFonts w:ascii="仿宋_GB2312" w:eastAsia="仿宋_GB2312"/>
          <w:sz w:val="32"/>
          <w:szCs w:val="32"/>
        </w:rPr>
      </w:pPr>
      <w:r>
        <w:rPr>
          <w:rFonts w:hint="eastAsia" w:ascii="仿宋_GB2312" w:eastAsia="仿宋_GB2312"/>
          <w:sz w:val="32"/>
          <w:szCs w:val="32"/>
        </w:rPr>
        <w:t>资料收集组负责国内外有关</w:t>
      </w:r>
      <w:r>
        <w:rPr>
          <w:rFonts w:hint="eastAsia" w:ascii="仿宋_GB2312" w:eastAsia="仿宋_GB2312"/>
          <w:sz w:val="32"/>
          <w:szCs w:val="32"/>
          <w:lang w:eastAsia="zh-CN"/>
        </w:rPr>
        <w:t>马蹄荷培育</w:t>
      </w:r>
      <w:r>
        <w:rPr>
          <w:rFonts w:hint="eastAsia" w:ascii="仿宋_GB2312" w:eastAsia="仿宋_GB2312"/>
          <w:sz w:val="32"/>
          <w:szCs w:val="32"/>
        </w:rPr>
        <w:t>的文献资料的查询、收集和整理工作，查看前人对</w:t>
      </w:r>
      <w:r>
        <w:rPr>
          <w:rFonts w:hint="eastAsia" w:ascii="仿宋_GB2312" w:eastAsia="仿宋_GB2312"/>
          <w:sz w:val="32"/>
          <w:szCs w:val="32"/>
          <w:lang w:eastAsia="zh-CN"/>
        </w:rPr>
        <w:t>马蹄荷培育</w:t>
      </w:r>
      <w:r>
        <w:rPr>
          <w:rFonts w:hint="eastAsia" w:ascii="仿宋_GB2312" w:eastAsia="仿宋_GB2312"/>
          <w:sz w:val="32"/>
          <w:szCs w:val="32"/>
        </w:rPr>
        <w:t>的研究情况和目前的研究进展。</w:t>
      </w:r>
    </w:p>
    <w:p w14:paraId="7412C094">
      <w:pPr>
        <w:spacing w:line="560" w:lineRule="exact"/>
        <w:ind w:firstLine="640" w:firstLineChars="200"/>
        <w:rPr>
          <w:rFonts w:ascii="仿宋_GB2312" w:eastAsia="仿宋_GB2312"/>
          <w:sz w:val="32"/>
          <w:szCs w:val="32"/>
        </w:rPr>
      </w:pPr>
      <w:r>
        <w:rPr>
          <w:rFonts w:hint="eastAsia" w:ascii="仿宋_GB2312" w:eastAsia="仿宋_GB2312"/>
          <w:sz w:val="32"/>
          <w:szCs w:val="32"/>
        </w:rPr>
        <w:t>草案编写组负责起草标准草案、征求意见稿和标准编制说明、送审稿及编制说明的编写工作，包括后期召开征求意见会、网上征求意见，以及标准的不断修改和完善。</w:t>
      </w:r>
    </w:p>
    <w:p w14:paraId="0E72EF52">
      <w:pPr>
        <w:spacing w:line="560" w:lineRule="exact"/>
        <w:ind w:firstLine="640" w:firstLineChars="200"/>
        <w:rPr>
          <w:rFonts w:ascii="仿宋_GB2312" w:eastAsia="仿宋_GB2312"/>
          <w:sz w:val="32"/>
          <w:szCs w:val="32"/>
        </w:rPr>
      </w:pPr>
      <w:r>
        <w:rPr>
          <w:rFonts w:hint="eastAsia" w:ascii="仿宋_GB2312" w:eastAsia="仿宋_GB2312"/>
          <w:sz w:val="32"/>
          <w:szCs w:val="32"/>
        </w:rPr>
        <w:t>标准实施组负责</w:t>
      </w:r>
      <w:r>
        <w:rPr>
          <w:rFonts w:hint="eastAsia" w:ascii="仿宋_GB2312" w:eastAsia="仿宋_GB2312"/>
          <w:sz w:val="32"/>
          <w:szCs w:val="32"/>
          <w:lang w:eastAsia="zh-CN"/>
        </w:rPr>
        <w:t>马蹄荷培育技术规程</w:t>
      </w:r>
      <w:r>
        <w:rPr>
          <w:rFonts w:hint="eastAsia" w:ascii="仿宋_GB2312" w:eastAsia="仿宋_GB2312"/>
          <w:sz w:val="32"/>
          <w:szCs w:val="32"/>
        </w:rPr>
        <w:t>标准发布后，组织相关</w:t>
      </w:r>
      <w:r>
        <w:rPr>
          <w:rFonts w:hint="eastAsia" w:ascii="仿宋_GB2312" w:eastAsia="仿宋_GB2312"/>
          <w:sz w:val="32"/>
          <w:szCs w:val="32"/>
          <w:lang w:val="en-US" w:eastAsia="zh-CN"/>
        </w:rPr>
        <w:t>单位</w:t>
      </w:r>
      <w:r>
        <w:rPr>
          <w:rFonts w:hint="eastAsia" w:ascii="仿宋_GB2312" w:eastAsia="仿宋_GB2312"/>
          <w:sz w:val="32"/>
          <w:szCs w:val="32"/>
        </w:rPr>
        <w:t>开展标准宣贯培训会，对标准进行详细解读，让相关人员了解标准，掌握</w:t>
      </w:r>
      <w:r>
        <w:rPr>
          <w:rFonts w:hint="eastAsia" w:ascii="仿宋_GB2312" w:eastAsia="仿宋_GB2312"/>
          <w:sz w:val="32"/>
          <w:szCs w:val="32"/>
          <w:lang w:eastAsia="zh-CN"/>
        </w:rPr>
        <w:t>马蹄荷培育</w:t>
      </w:r>
      <w:r>
        <w:rPr>
          <w:rFonts w:hint="eastAsia" w:ascii="仿宋_GB2312" w:eastAsia="仿宋_GB2312"/>
          <w:sz w:val="32"/>
          <w:szCs w:val="32"/>
        </w:rPr>
        <w:t>的</w:t>
      </w:r>
      <w:r>
        <w:rPr>
          <w:rFonts w:hint="eastAsia" w:ascii="仿宋_GB2312" w:eastAsia="仿宋_GB2312"/>
          <w:sz w:val="32"/>
          <w:szCs w:val="32"/>
          <w:lang w:val="en-US" w:eastAsia="zh-CN"/>
        </w:rPr>
        <w:t>技术</w:t>
      </w:r>
      <w:r>
        <w:rPr>
          <w:rFonts w:hint="eastAsia" w:ascii="仿宋_GB2312" w:eastAsia="仿宋_GB2312"/>
          <w:sz w:val="32"/>
          <w:szCs w:val="32"/>
        </w:rPr>
        <w:t>要求，从而提高马蹄荷培育质量，提高造林成活率，保护和开发利用马蹄荷林业资源，推动广西林业高质量发展。</w:t>
      </w:r>
    </w:p>
    <w:p w14:paraId="6A53D283">
      <w:pPr>
        <w:spacing w:before="159" w:beforeLines="50" w:after="159" w:afterLines="50" w:line="560" w:lineRule="exact"/>
        <w:ind w:firstLine="643" w:firstLineChars="200"/>
        <w:outlineLvl w:val="0"/>
        <w:rPr>
          <w:rFonts w:hint="eastAsia" w:ascii="楷体" w:hAnsi="楷体" w:eastAsia="楷体" w:cs="仿宋_GB2312"/>
          <w:b/>
          <w:sz w:val="32"/>
          <w:szCs w:val="32"/>
        </w:rPr>
      </w:pPr>
      <w:r>
        <w:rPr>
          <w:rFonts w:hint="eastAsia" w:ascii="楷体" w:hAnsi="楷体" w:eastAsia="楷体" w:cs="仿宋_GB2312"/>
          <w:b/>
          <w:sz w:val="32"/>
          <w:szCs w:val="32"/>
        </w:rPr>
        <w:t>（二）收集整理文献资料</w:t>
      </w:r>
    </w:p>
    <w:p w14:paraId="2CBFCE7F">
      <w:pPr>
        <w:pStyle w:val="2"/>
        <w:spacing w:line="560" w:lineRule="exact"/>
        <w:ind w:firstLine="640" w:firstLineChars="200"/>
        <w:jc w:val="both"/>
        <w:rPr>
          <w:rFonts w:hint="eastAsia" w:ascii="仿宋_GB2312" w:hAnsi="宋体" w:eastAsia="仿宋_GB2312"/>
          <w:color w:val="auto"/>
          <w:sz w:val="32"/>
          <w:szCs w:val="32"/>
        </w:rPr>
      </w:pPr>
      <w:r>
        <w:rPr>
          <w:rFonts w:hint="eastAsia" w:ascii="仿宋_GB2312" w:hAnsi="宋体" w:eastAsia="仿宋_GB2312" w:cs="Times New Roman"/>
          <w:color w:val="auto"/>
          <w:kern w:val="2"/>
          <w:sz w:val="32"/>
          <w:szCs w:val="32"/>
        </w:rPr>
        <w:t>标准编制工作组收集了国内有关</w:t>
      </w:r>
      <w:r>
        <w:rPr>
          <w:rFonts w:hint="eastAsia" w:ascii="仿宋_GB2312" w:eastAsia="仿宋_GB2312"/>
          <w:color w:val="auto"/>
          <w:sz w:val="32"/>
          <w:szCs w:val="32"/>
          <w:lang w:val="en-US" w:eastAsia="zh-CN"/>
        </w:rPr>
        <w:t>马蹄荷培育</w:t>
      </w:r>
      <w:r>
        <w:rPr>
          <w:rFonts w:hint="eastAsia" w:ascii="仿宋_GB2312" w:hAnsi="宋体" w:eastAsia="仿宋_GB2312" w:cs="Times New Roman"/>
          <w:color w:val="auto"/>
          <w:kern w:val="2"/>
          <w:sz w:val="32"/>
          <w:szCs w:val="32"/>
        </w:rPr>
        <w:t>的相关技术文献资料，主要有：韦艳</w:t>
      </w:r>
      <w:r>
        <w:rPr>
          <w:rFonts w:hint="eastAsia" w:ascii="仿宋_GB2312" w:hAnsi="宋体" w:eastAsia="仿宋_GB2312" w:cs="Times New Roman"/>
          <w:color w:val="auto"/>
          <w:kern w:val="2"/>
          <w:sz w:val="32"/>
          <w:szCs w:val="32"/>
          <w:lang w:val="en-US" w:eastAsia="zh-CN"/>
        </w:rPr>
        <w:t>等人</w:t>
      </w:r>
      <w:r>
        <w:rPr>
          <w:rFonts w:hint="eastAsia" w:ascii="仿宋_GB2312" w:hAnsi="宋体" w:eastAsia="仿宋_GB2312" w:cs="Times New Roman"/>
          <w:color w:val="auto"/>
          <w:kern w:val="2"/>
          <w:sz w:val="32"/>
          <w:szCs w:val="32"/>
        </w:rPr>
        <w:t>马蹄荷防火林带的营造技术</w:t>
      </w:r>
      <w:r>
        <w:rPr>
          <w:rFonts w:hint="eastAsia" w:ascii="仿宋_GB2312" w:hAnsi="宋体" w:eastAsia="仿宋_GB2312" w:cs="Times New Roman"/>
          <w:color w:val="auto"/>
          <w:kern w:val="2"/>
          <w:sz w:val="32"/>
          <w:szCs w:val="32"/>
          <w:lang w:eastAsia="zh-CN"/>
        </w:rPr>
        <w:t>、韦凤花</w:t>
      </w:r>
      <w:r>
        <w:rPr>
          <w:rFonts w:hint="eastAsia" w:ascii="仿宋_GB2312" w:hAnsi="宋体" w:eastAsia="仿宋_GB2312" w:cs="Times New Roman"/>
          <w:color w:val="auto"/>
          <w:kern w:val="2"/>
          <w:sz w:val="32"/>
          <w:szCs w:val="32"/>
          <w:lang w:val="en-US" w:eastAsia="zh-CN"/>
        </w:rPr>
        <w:t>等人</w:t>
      </w:r>
      <w:r>
        <w:rPr>
          <w:rFonts w:hint="eastAsia" w:ascii="仿宋_GB2312" w:hAnsi="宋体" w:eastAsia="仿宋_GB2312" w:cs="Times New Roman"/>
          <w:color w:val="auto"/>
          <w:kern w:val="2"/>
          <w:sz w:val="32"/>
          <w:szCs w:val="32"/>
          <w:lang w:eastAsia="zh-CN"/>
        </w:rPr>
        <w:t>马蹄荷防火林带营造技术及效益分析、巫国富</w:t>
      </w:r>
      <w:r>
        <w:rPr>
          <w:rFonts w:hint="eastAsia" w:ascii="仿宋_GB2312" w:hAnsi="宋体" w:eastAsia="仿宋_GB2312" w:cs="Times New Roman"/>
          <w:color w:val="auto"/>
          <w:kern w:val="2"/>
          <w:sz w:val="32"/>
          <w:szCs w:val="32"/>
          <w:lang w:val="en-US" w:eastAsia="zh-CN"/>
        </w:rPr>
        <w:t>等人</w:t>
      </w:r>
      <w:r>
        <w:rPr>
          <w:rFonts w:hint="eastAsia" w:ascii="仿宋_GB2312" w:hAnsi="宋体" w:eastAsia="仿宋_GB2312" w:cs="Times New Roman"/>
          <w:color w:val="auto"/>
          <w:kern w:val="2"/>
          <w:sz w:val="32"/>
          <w:szCs w:val="32"/>
          <w:lang w:eastAsia="zh-CN"/>
        </w:rPr>
        <w:t>马蹄荷木材材性与加工性能研究、王祥</w:t>
      </w:r>
      <w:r>
        <w:rPr>
          <w:rFonts w:hint="eastAsia" w:ascii="仿宋_GB2312" w:hAnsi="宋体" w:eastAsia="仿宋_GB2312" w:cs="Times New Roman"/>
          <w:color w:val="auto"/>
          <w:kern w:val="2"/>
          <w:sz w:val="32"/>
          <w:szCs w:val="32"/>
          <w:lang w:val="en-US" w:eastAsia="zh-CN"/>
        </w:rPr>
        <w:t>等人</w:t>
      </w:r>
      <w:r>
        <w:rPr>
          <w:rFonts w:hint="eastAsia" w:ascii="仿宋_GB2312" w:hAnsi="宋体" w:eastAsia="仿宋_GB2312" w:cs="Times New Roman"/>
          <w:color w:val="auto"/>
          <w:kern w:val="2"/>
          <w:sz w:val="32"/>
          <w:szCs w:val="32"/>
          <w:lang w:eastAsia="zh-CN"/>
        </w:rPr>
        <w:t>马蹄荷扦插育苗技术初探、黎明</w:t>
      </w:r>
      <w:r>
        <w:rPr>
          <w:rFonts w:hint="eastAsia" w:ascii="仿宋_GB2312" w:hAnsi="宋体" w:eastAsia="仿宋_GB2312" w:cs="Times New Roman"/>
          <w:color w:val="auto"/>
          <w:kern w:val="2"/>
          <w:sz w:val="32"/>
          <w:szCs w:val="32"/>
          <w:lang w:val="en-US" w:eastAsia="zh-CN"/>
        </w:rPr>
        <w:t>等人</w:t>
      </w:r>
      <w:r>
        <w:rPr>
          <w:rFonts w:hint="eastAsia" w:ascii="仿宋_GB2312" w:hAnsi="宋体" w:eastAsia="仿宋_GB2312" w:cs="Times New Roman"/>
          <w:color w:val="auto"/>
          <w:kern w:val="2"/>
          <w:sz w:val="32"/>
          <w:szCs w:val="32"/>
          <w:lang w:eastAsia="zh-CN"/>
        </w:rPr>
        <w:t>马蹄荷轻基质网袋容器育苗技术</w:t>
      </w:r>
      <w:r>
        <w:rPr>
          <w:rFonts w:hint="eastAsia" w:ascii="仿宋_GB2312" w:hAnsi="宋体" w:eastAsia="仿宋_GB2312"/>
          <w:color w:val="auto"/>
          <w:sz w:val="32"/>
          <w:szCs w:val="32"/>
          <w:lang w:val="en-US" w:eastAsia="zh-CN"/>
        </w:rPr>
        <w:t>等、苏彬等人马蹄荷人工林选优方法与标准研究、苏彬等人马蹄荷优良家系育苗技术试验初报、苏付保等人马蹄荷优良家系造林试验初探</w:t>
      </w:r>
      <w:r>
        <w:rPr>
          <w:rFonts w:hint="eastAsia" w:ascii="仿宋_GB2312" w:hAnsi="宋体" w:eastAsia="仿宋_GB2312"/>
          <w:color w:val="auto"/>
          <w:sz w:val="32"/>
          <w:szCs w:val="32"/>
        </w:rPr>
        <w:t>。</w:t>
      </w:r>
    </w:p>
    <w:p w14:paraId="5561AEFC">
      <w:pPr>
        <w:spacing w:before="159" w:beforeLines="50" w:after="159" w:afterLines="50" w:line="560" w:lineRule="exact"/>
        <w:ind w:firstLine="643" w:firstLineChars="200"/>
        <w:outlineLvl w:val="0"/>
        <w:rPr>
          <w:rFonts w:hint="eastAsia" w:ascii="楷体" w:hAnsi="楷体" w:eastAsia="楷体" w:cs="仿宋_GB2312"/>
          <w:b/>
          <w:sz w:val="32"/>
          <w:szCs w:val="32"/>
        </w:rPr>
      </w:pPr>
      <w:r>
        <w:rPr>
          <w:rFonts w:hint="eastAsia" w:ascii="楷体" w:hAnsi="楷体" w:eastAsia="楷体" w:cs="仿宋_GB2312"/>
          <w:b/>
          <w:sz w:val="32"/>
          <w:szCs w:val="32"/>
        </w:rPr>
        <w:t>（三）研讨确定标准</w:t>
      </w:r>
      <w:r>
        <w:rPr>
          <w:rFonts w:hint="eastAsia" w:ascii="楷体" w:hAnsi="楷体" w:eastAsia="楷体" w:cs="仿宋_GB2312"/>
          <w:b/>
          <w:sz w:val="32"/>
          <w:szCs w:val="32"/>
          <w:lang w:val="en-US" w:eastAsia="zh-CN"/>
        </w:rPr>
        <w:t>创新特色、技术</w:t>
      </w:r>
      <w:r>
        <w:rPr>
          <w:rFonts w:hint="eastAsia" w:ascii="楷体" w:hAnsi="楷体" w:eastAsia="楷体" w:cs="仿宋_GB2312"/>
          <w:b/>
          <w:sz w:val="32"/>
          <w:szCs w:val="32"/>
        </w:rPr>
        <w:t>内容</w:t>
      </w:r>
    </w:p>
    <w:p w14:paraId="47289505">
      <w:pPr>
        <w:ind w:firstLine="640" w:firstLineChars="200"/>
        <w:rPr>
          <w:rFonts w:hint="default" w:ascii="仿宋_GB2312" w:hAnsi="宋体" w:eastAsia="仿宋_GB2312" w:cs="宋体"/>
          <w:kern w:val="0"/>
          <w:sz w:val="32"/>
          <w:szCs w:val="32"/>
          <w:lang w:val="en-US" w:eastAsia="zh-CN"/>
        </w:rPr>
      </w:pPr>
      <w:r>
        <w:rPr>
          <w:rFonts w:hint="eastAsia" w:ascii="仿宋_GB2312" w:hAnsi="宋体" w:eastAsia="仿宋_GB2312" w:cs="宋体"/>
          <w:kern w:val="0"/>
          <w:sz w:val="32"/>
          <w:szCs w:val="32"/>
          <w:lang w:val="en-US" w:eastAsia="zh-CN"/>
        </w:rPr>
        <w:t>标准核心技术和创新点</w:t>
      </w:r>
    </w:p>
    <w:p w14:paraId="3F5E84DD">
      <w:pPr>
        <w:ind w:firstLine="640" w:firstLineChars="200"/>
        <w:rPr>
          <w:rFonts w:hint="eastAsia" w:ascii="仿宋_GB2312" w:hAnsi="宋体" w:eastAsia="仿宋_GB2312" w:cs="宋体"/>
          <w:kern w:val="0"/>
          <w:sz w:val="32"/>
          <w:szCs w:val="32"/>
          <w:lang w:val="en-US" w:eastAsia="zh-CN"/>
        </w:rPr>
      </w:pPr>
      <w:r>
        <w:rPr>
          <w:rFonts w:hint="eastAsia" w:ascii="仿宋_GB2312" w:hAnsi="宋体" w:eastAsia="仿宋_GB2312" w:cs="宋体"/>
          <w:kern w:val="0"/>
          <w:sz w:val="32"/>
          <w:szCs w:val="32"/>
          <w:lang w:val="en-US" w:eastAsia="zh-CN"/>
        </w:rPr>
        <w:t>1.给出了马蹄荷的种子采收与贮藏：选择特定树龄、生长健壮且无病虫害的优良单株作为采种母树，在每年12月中旬～次年1月下旬蒴果变色时采集，经晾干、脱粒等处理。</w:t>
      </w:r>
    </w:p>
    <w:p w14:paraId="5750FB38">
      <w:pPr>
        <w:ind w:firstLine="640" w:firstLineChars="200"/>
        <w:rPr>
          <w:rFonts w:hint="eastAsia" w:ascii="仿宋_GB2312" w:hAnsi="宋体" w:eastAsia="仿宋_GB2312" w:cs="宋体"/>
          <w:kern w:val="0"/>
          <w:sz w:val="32"/>
          <w:szCs w:val="32"/>
          <w:lang w:val="en-US" w:eastAsia="zh-CN"/>
        </w:rPr>
      </w:pPr>
      <w:r>
        <w:rPr>
          <w:rFonts w:hint="eastAsia" w:ascii="仿宋_GB2312" w:hAnsi="宋体" w:eastAsia="仿宋_GB2312" w:cs="宋体"/>
          <w:kern w:val="0"/>
          <w:sz w:val="32"/>
          <w:szCs w:val="32"/>
          <w:lang w:val="en-US" w:eastAsia="zh-CN"/>
        </w:rPr>
        <w:t>2.给出了马蹄荷裸根苗、容器苗等不同类型苗木的培育方式，以及苗木出圃前的质量标准和起苗的具体操作方法。</w:t>
      </w:r>
    </w:p>
    <w:p w14:paraId="625E7C69">
      <w:pPr>
        <w:ind w:firstLine="640" w:firstLineChars="200"/>
        <w:rPr>
          <w:rFonts w:hint="eastAsia" w:ascii="仿宋_GB2312" w:hAnsi="宋体" w:eastAsia="仿宋_GB2312" w:cs="宋体"/>
          <w:kern w:val="0"/>
          <w:sz w:val="32"/>
          <w:szCs w:val="32"/>
          <w:lang w:val="en-US" w:eastAsia="zh-CN"/>
        </w:rPr>
      </w:pPr>
      <w:r>
        <w:rPr>
          <w:rFonts w:hint="eastAsia" w:ascii="仿宋_GB2312" w:hAnsi="宋体" w:eastAsia="仿宋_GB2312" w:cs="宋体"/>
          <w:kern w:val="0"/>
          <w:sz w:val="32"/>
          <w:szCs w:val="32"/>
          <w:lang w:val="en-US" w:eastAsia="zh-CN"/>
        </w:rPr>
        <w:t>3.给出了抚育管理技术：幼林抚育：种植当年及后续2～3年在特定时间段进行松土除草、施肥、修枝等工作，促进幼林生长。成林抚育：每年定期清除藤蔓，依据培育目标（大径材、中小径材）按规定时间和次数进行间伐，并在间伐当年或次年适时施肥。</w:t>
      </w:r>
    </w:p>
    <w:p w14:paraId="29247B15">
      <w:pPr>
        <w:ind w:firstLine="640" w:firstLineChars="200"/>
        <w:rPr>
          <w:rFonts w:hint="eastAsia" w:ascii="仿宋_GB2312" w:hAnsi="宋体" w:eastAsia="仿宋_GB2312" w:cs="宋体"/>
          <w:kern w:val="0"/>
          <w:sz w:val="32"/>
          <w:szCs w:val="32"/>
          <w:lang w:val="en-US" w:eastAsia="zh-CN"/>
        </w:rPr>
      </w:pPr>
      <w:r>
        <w:rPr>
          <w:rFonts w:hint="eastAsia" w:ascii="仿宋_GB2312" w:hAnsi="宋体" w:eastAsia="仿宋_GB2312" w:cs="宋体"/>
          <w:kern w:val="0"/>
          <w:sz w:val="32"/>
          <w:szCs w:val="32"/>
          <w:lang w:val="en-US" w:eastAsia="zh-CN"/>
        </w:rPr>
        <w:t>4.针对性的有害生物防治措施：明确指出马蹄荷常见的主要病虫害及有害植物种类，并给出相应的切实可行的防治方法，注重合理使用农药，符合生态环保要求，保障林分免受有害生物侵害，提高林分质量和稳定性。</w:t>
      </w:r>
    </w:p>
    <w:p w14:paraId="12A01DB8">
      <w:pPr>
        <w:ind w:firstLine="640" w:firstLineChars="200"/>
        <w:rPr>
          <w:rFonts w:hint="eastAsia" w:ascii="仿宋_GB2312" w:hAnsi="宋体" w:eastAsia="仿宋_GB2312" w:cs="宋体"/>
          <w:kern w:val="0"/>
          <w:sz w:val="32"/>
          <w:szCs w:val="32"/>
          <w:lang w:val="en-US" w:eastAsia="zh-CN"/>
        </w:rPr>
      </w:pPr>
      <w:r>
        <w:rPr>
          <w:rFonts w:hint="eastAsia" w:ascii="仿宋_GB2312" w:hAnsi="宋体" w:eastAsia="仿宋_GB2312" w:cs="宋体"/>
          <w:kern w:val="0"/>
          <w:sz w:val="32"/>
          <w:szCs w:val="32"/>
          <w:lang w:val="en-US" w:eastAsia="zh-CN"/>
        </w:rPr>
        <w:t>5.完善的全流程技术标准整合：将马蹄荷从采种育苗到造林、抚育管理、有害生物防治以及采伐等全生命周期的生产技术活动进行系统整合，形成统一的技术规程，便于相关从业者参照执行，规范生产操作，提高马蹄荷用材林培育的整体效益。主要技术内容：</w:t>
      </w:r>
    </w:p>
    <w:p w14:paraId="75258D76">
      <w:pPr>
        <w:ind w:firstLine="640" w:firstLineChars="200"/>
        <w:rPr>
          <w:rFonts w:hint="default" w:ascii="仿宋_GB2312" w:hAnsi="宋体" w:eastAsia="仿宋_GB2312" w:cs="宋体"/>
          <w:kern w:val="0"/>
          <w:sz w:val="32"/>
          <w:szCs w:val="32"/>
          <w:lang w:val="en-US" w:eastAsia="zh-CN"/>
        </w:rPr>
      </w:pPr>
      <w:r>
        <w:rPr>
          <w:rFonts w:hint="eastAsia" w:ascii="仿宋_GB2312" w:hAnsi="宋体" w:eastAsia="仿宋_GB2312" w:cs="宋体"/>
          <w:kern w:val="0"/>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确立了马蹄荷培育技术的种子采集与处理、育苗、苗期管理、苗木分级、包装与运输、造林、抚育管理、采伐、有害生物防治等操作指示，描述了培育过程的信息追溯方法。</w:t>
      </w:r>
    </w:p>
    <w:p w14:paraId="78E5EF48">
      <w:pPr>
        <w:spacing w:before="159" w:beforeLines="50" w:after="159" w:afterLines="50" w:line="560" w:lineRule="exact"/>
        <w:ind w:firstLine="643" w:firstLineChars="200"/>
        <w:outlineLvl w:val="0"/>
        <w:rPr>
          <w:rFonts w:hint="default" w:ascii="楷体" w:hAnsi="楷体" w:eastAsia="楷体" w:cs="仿宋_GB2312"/>
          <w:b/>
          <w:sz w:val="32"/>
          <w:szCs w:val="32"/>
          <w:lang w:val="en-US" w:eastAsia="zh-CN"/>
        </w:rPr>
      </w:pPr>
      <w:r>
        <w:rPr>
          <w:rFonts w:hint="eastAsia" w:ascii="楷体" w:hAnsi="楷体" w:eastAsia="楷体" w:cs="仿宋_GB2312"/>
          <w:b/>
          <w:sz w:val="32"/>
          <w:szCs w:val="32"/>
        </w:rPr>
        <w:t>（四）调研、形成草案</w:t>
      </w:r>
      <w:r>
        <w:rPr>
          <w:rFonts w:ascii="楷体" w:hAnsi="楷体" w:eastAsia="楷体" w:cs="仿宋_GB2312"/>
          <w:b/>
          <w:sz w:val="32"/>
          <w:szCs w:val="32"/>
        </w:rPr>
        <w:t>、</w:t>
      </w:r>
      <w:r>
        <w:rPr>
          <w:rFonts w:hint="eastAsia" w:ascii="楷体" w:hAnsi="楷体" w:eastAsia="楷体" w:cs="仿宋_GB2312"/>
          <w:b/>
          <w:sz w:val="32"/>
          <w:szCs w:val="32"/>
        </w:rPr>
        <w:t>征求意见稿</w:t>
      </w:r>
    </w:p>
    <w:p w14:paraId="28198B27">
      <w:pPr>
        <w:spacing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202</w:t>
      </w:r>
      <w:r>
        <w:rPr>
          <w:rFonts w:hint="eastAsia" w:ascii="仿宋_GB2312" w:hAnsi="宋体" w:eastAsia="仿宋_GB2312"/>
          <w:sz w:val="32"/>
          <w:szCs w:val="28"/>
          <w:lang w:val="en-US" w:eastAsia="zh-CN"/>
        </w:rPr>
        <w:t>5</w:t>
      </w:r>
      <w:r>
        <w:rPr>
          <w:rFonts w:hint="eastAsia" w:ascii="仿宋_GB2312" w:hAnsi="宋体" w:eastAsia="仿宋_GB2312"/>
          <w:sz w:val="32"/>
          <w:szCs w:val="28"/>
        </w:rPr>
        <w:t>年</w:t>
      </w:r>
      <w:r>
        <w:rPr>
          <w:rFonts w:hint="eastAsia" w:ascii="仿宋_GB2312" w:hAnsi="宋体" w:eastAsia="仿宋_GB2312"/>
          <w:sz w:val="32"/>
          <w:szCs w:val="28"/>
          <w:lang w:val="en-US" w:eastAsia="zh-CN"/>
        </w:rPr>
        <w:t>1</w:t>
      </w:r>
      <w:r>
        <w:rPr>
          <w:rFonts w:hint="eastAsia" w:ascii="仿宋_GB2312" w:hAnsi="宋体" w:eastAsia="仿宋_GB2312"/>
          <w:sz w:val="32"/>
          <w:szCs w:val="28"/>
        </w:rPr>
        <w:t>月～</w:t>
      </w:r>
      <w:r>
        <w:rPr>
          <w:rFonts w:hint="eastAsia" w:ascii="仿宋_GB2312" w:hAnsi="宋体" w:eastAsia="仿宋_GB2312"/>
          <w:sz w:val="32"/>
          <w:szCs w:val="28"/>
          <w:lang w:val="en-US" w:eastAsia="zh-CN"/>
        </w:rPr>
        <w:t>2024年3</w:t>
      </w:r>
      <w:r>
        <w:rPr>
          <w:rFonts w:hint="eastAsia" w:ascii="仿宋_GB2312" w:hAnsi="宋体" w:eastAsia="仿宋_GB2312"/>
          <w:sz w:val="32"/>
          <w:szCs w:val="28"/>
        </w:rPr>
        <w:t>月，标准</w:t>
      </w:r>
      <w:r>
        <w:rPr>
          <w:rFonts w:hint="eastAsia" w:ascii="仿宋_GB2312" w:hAnsi="宋体" w:eastAsia="仿宋_GB2312"/>
          <w:sz w:val="32"/>
          <w:szCs w:val="28"/>
          <w:lang w:val="en-US" w:eastAsia="zh-CN"/>
        </w:rPr>
        <w:t>主要起草单位</w:t>
      </w:r>
      <w:r>
        <w:rPr>
          <w:rFonts w:hint="eastAsia" w:ascii="仿宋_GB2312" w:hAnsi="宋体" w:eastAsia="仿宋_GB2312"/>
          <w:sz w:val="32"/>
          <w:szCs w:val="28"/>
        </w:rPr>
        <w:t>对</w:t>
      </w:r>
      <w:r>
        <w:rPr>
          <w:rFonts w:hint="eastAsia" w:ascii="仿宋_GB2312" w:hAnsi="宋体" w:eastAsia="仿宋_GB2312"/>
          <w:sz w:val="32"/>
          <w:szCs w:val="28"/>
          <w:lang w:eastAsia="zh-CN"/>
        </w:rPr>
        <w:t>马蹄荷培育</w:t>
      </w:r>
      <w:r>
        <w:rPr>
          <w:rFonts w:hint="eastAsia" w:ascii="仿宋_GB2312" w:hAnsi="宋体" w:eastAsia="仿宋_GB2312"/>
          <w:sz w:val="32"/>
          <w:szCs w:val="28"/>
          <w:lang w:val="en-US" w:eastAsia="zh-CN"/>
        </w:rPr>
        <w:t>以往的生产试验和研究成果进行系统总结</w:t>
      </w:r>
      <w:r>
        <w:rPr>
          <w:rFonts w:hint="eastAsia" w:ascii="仿宋_GB2312" w:hAnsi="宋体" w:eastAsia="仿宋_GB2312"/>
          <w:sz w:val="32"/>
          <w:szCs w:val="28"/>
          <w:lang w:eastAsia="zh-CN"/>
        </w:rPr>
        <w:t>。</w:t>
      </w:r>
      <w:r>
        <w:rPr>
          <w:rFonts w:hint="eastAsia" w:ascii="仿宋_GB2312" w:hAnsi="宋体" w:eastAsia="仿宋_GB2312"/>
          <w:sz w:val="32"/>
          <w:szCs w:val="28"/>
        </w:rPr>
        <w:t>编制人员前往</w:t>
      </w:r>
      <w:r>
        <w:rPr>
          <w:rFonts w:hint="eastAsia" w:ascii="仿宋_GB2312" w:eastAsia="仿宋_GB2312"/>
          <w:sz w:val="32"/>
          <w:szCs w:val="32"/>
        </w:rPr>
        <w:t>广西那坡县国有那马林场、岑溪市软枝油茶种子园、广西艺高林业有限公司</w:t>
      </w:r>
      <w:r>
        <w:rPr>
          <w:rFonts w:hint="eastAsia" w:ascii="仿宋_GB2312" w:hAnsi="宋体" w:eastAsia="仿宋_GB2312"/>
          <w:sz w:val="32"/>
          <w:szCs w:val="28"/>
        </w:rPr>
        <w:t>等</w:t>
      </w:r>
      <w:r>
        <w:rPr>
          <w:rFonts w:hint="eastAsia" w:ascii="仿宋_GB2312" w:hAnsi="宋体" w:eastAsia="仿宋_GB2312"/>
          <w:sz w:val="32"/>
          <w:szCs w:val="28"/>
          <w:lang w:val="en-US" w:eastAsia="zh-CN"/>
        </w:rPr>
        <w:t>起草单位</w:t>
      </w:r>
      <w:r>
        <w:rPr>
          <w:rFonts w:hint="eastAsia" w:ascii="仿宋_GB2312" w:hAnsi="宋体" w:eastAsia="仿宋_GB2312"/>
          <w:sz w:val="32"/>
          <w:szCs w:val="28"/>
        </w:rPr>
        <w:t>开展现场调研工作，对</w:t>
      </w:r>
      <w:r>
        <w:rPr>
          <w:rFonts w:hint="eastAsia" w:ascii="仿宋_GB2312" w:hAnsi="宋体" w:eastAsia="仿宋_GB2312"/>
          <w:sz w:val="32"/>
          <w:szCs w:val="28"/>
          <w:lang w:eastAsia="zh-CN"/>
        </w:rPr>
        <w:t>马蹄荷培育</w:t>
      </w:r>
      <w:r>
        <w:rPr>
          <w:rFonts w:hint="eastAsia" w:ascii="仿宋_GB2312" w:hAnsi="宋体" w:eastAsia="仿宋_GB2312"/>
          <w:sz w:val="32"/>
          <w:szCs w:val="28"/>
          <w:lang w:val="en-US" w:eastAsia="zh-CN"/>
        </w:rPr>
        <w:t>过程</w:t>
      </w:r>
      <w:r>
        <w:rPr>
          <w:rFonts w:hint="eastAsia" w:ascii="仿宋_GB2312" w:hAnsi="宋体" w:eastAsia="仿宋_GB2312"/>
          <w:sz w:val="32"/>
          <w:szCs w:val="28"/>
        </w:rPr>
        <w:t>进行了系统总结，形成了标准的基本框架，对主要内容进行了讨论并对项目的工作进行了部署和安排。</w:t>
      </w:r>
    </w:p>
    <w:p w14:paraId="76FC2384">
      <w:pPr>
        <w:spacing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202</w:t>
      </w:r>
      <w:r>
        <w:rPr>
          <w:rFonts w:hint="eastAsia" w:ascii="仿宋_GB2312" w:hAnsi="宋体" w:eastAsia="仿宋_GB2312"/>
          <w:sz w:val="32"/>
          <w:szCs w:val="28"/>
          <w:lang w:val="en-US" w:eastAsia="zh-CN"/>
        </w:rPr>
        <w:t>5</w:t>
      </w:r>
      <w:r>
        <w:rPr>
          <w:rFonts w:hint="eastAsia" w:ascii="仿宋_GB2312" w:hAnsi="宋体" w:eastAsia="仿宋_GB2312"/>
          <w:sz w:val="32"/>
          <w:szCs w:val="28"/>
        </w:rPr>
        <w:t>年</w:t>
      </w:r>
      <w:r>
        <w:rPr>
          <w:rFonts w:hint="eastAsia" w:ascii="仿宋_GB2312" w:hAnsi="宋体" w:eastAsia="仿宋_GB2312"/>
          <w:sz w:val="32"/>
          <w:szCs w:val="28"/>
          <w:lang w:val="en-US" w:eastAsia="zh-CN"/>
        </w:rPr>
        <w:t>4</w:t>
      </w:r>
      <w:r>
        <w:rPr>
          <w:rFonts w:hint="eastAsia" w:ascii="仿宋_GB2312" w:hAnsi="宋体" w:eastAsia="仿宋_GB2312"/>
          <w:sz w:val="32"/>
          <w:szCs w:val="28"/>
        </w:rPr>
        <w:t>月，在前期工作的基础之上，通过理清逻辑脉络，整合已有的参考资料中有关</w:t>
      </w:r>
      <w:r>
        <w:rPr>
          <w:rFonts w:hint="eastAsia" w:ascii="仿宋_GB2312" w:hAnsi="宋体" w:eastAsia="仿宋_GB2312"/>
          <w:sz w:val="32"/>
          <w:szCs w:val="28"/>
          <w:lang w:eastAsia="zh-CN"/>
        </w:rPr>
        <w:t>马蹄荷培育</w:t>
      </w:r>
      <w:r>
        <w:rPr>
          <w:rFonts w:hint="eastAsia" w:ascii="仿宋_GB2312" w:hAnsi="宋体" w:eastAsia="仿宋_GB2312"/>
          <w:sz w:val="32"/>
          <w:szCs w:val="28"/>
        </w:rPr>
        <w:t>建议，并结合起草单位</w:t>
      </w:r>
      <w:r>
        <w:rPr>
          <w:rFonts w:hint="eastAsia" w:ascii="仿宋_GB2312" w:hAnsi="宋体" w:eastAsia="仿宋_GB2312"/>
          <w:sz w:val="32"/>
          <w:szCs w:val="28"/>
          <w:lang w:eastAsia="zh-CN"/>
        </w:rPr>
        <w:t>马蹄荷培育</w:t>
      </w:r>
      <w:r>
        <w:rPr>
          <w:rFonts w:hint="eastAsia" w:ascii="仿宋_GB2312" w:hAnsi="宋体" w:eastAsia="仿宋_GB2312"/>
          <w:sz w:val="32"/>
          <w:szCs w:val="28"/>
          <w:lang w:val="en-US" w:eastAsia="zh-CN"/>
        </w:rPr>
        <w:t>经验和实践</w:t>
      </w:r>
      <w:r>
        <w:rPr>
          <w:rFonts w:hint="eastAsia" w:ascii="仿宋_GB2312" w:hAnsi="宋体" w:eastAsia="仿宋_GB2312"/>
          <w:sz w:val="32"/>
          <w:szCs w:val="28"/>
        </w:rPr>
        <w:t>的基础上，</w:t>
      </w:r>
      <w:r>
        <w:rPr>
          <w:rFonts w:hint="eastAsia" w:ascii="仿宋_GB2312" w:hAnsi="宋体" w:eastAsia="仿宋_GB2312"/>
          <w:sz w:val="32"/>
          <w:szCs w:val="28"/>
          <w:lang w:val="en-US" w:eastAsia="zh-CN"/>
        </w:rPr>
        <w:t>起草单位综合各个起草单位的意见，2025年4月20日根据起草组前期整理资料的情况重新调整标准框架，</w:t>
      </w:r>
      <w:r>
        <w:rPr>
          <w:rFonts w:hint="eastAsia" w:ascii="仿宋_GB2312" w:hAnsi="宋体" w:eastAsia="仿宋_GB2312"/>
          <w:sz w:val="32"/>
          <w:szCs w:val="28"/>
        </w:rPr>
        <w:t>按照简化、统一等原则编制完成团体标准《</w:t>
      </w:r>
      <w:r>
        <w:rPr>
          <w:rFonts w:hint="eastAsia" w:ascii="仿宋_GB2312" w:hAnsi="宋体" w:eastAsia="仿宋_GB2312"/>
          <w:sz w:val="32"/>
          <w:szCs w:val="28"/>
          <w:lang w:eastAsia="zh-CN"/>
        </w:rPr>
        <w:t>马蹄荷培育技术规程</w:t>
      </w:r>
      <w:r>
        <w:rPr>
          <w:rFonts w:hint="eastAsia" w:ascii="仿宋_GB2312" w:hAnsi="宋体" w:eastAsia="仿宋_GB2312"/>
          <w:sz w:val="32"/>
          <w:szCs w:val="28"/>
        </w:rPr>
        <w:t>》（草案）。</w:t>
      </w:r>
    </w:p>
    <w:p w14:paraId="3A80B496">
      <w:pPr>
        <w:overflowPunct w:val="0"/>
        <w:topLinePunct/>
        <w:spacing w:line="560" w:lineRule="exact"/>
        <w:ind w:firstLine="640"/>
        <w:rPr>
          <w:rFonts w:hint="eastAsia" w:ascii="仿宋_GB2312" w:hAnsi="宋体" w:eastAsia="仿宋_GB2312"/>
          <w:sz w:val="32"/>
          <w:szCs w:val="28"/>
        </w:rPr>
      </w:pPr>
      <w:r>
        <w:rPr>
          <w:rFonts w:hint="eastAsia" w:ascii="仿宋_GB2312" w:hAnsi="宋体" w:eastAsia="仿宋_GB2312"/>
          <w:sz w:val="32"/>
          <w:szCs w:val="28"/>
        </w:rPr>
        <w:t>202</w:t>
      </w:r>
      <w:r>
        <w:rPr>
          <w:rFonts w:hint="eastAsia" w:ascii="仿宋_GB2312" w:hAnsi="宋体" w:eastAsia="仿宋_GB2312"/>
          <w:sz w:val="32"/>
          <w:szCs w:val="28"/>
          <w:lang w:val="en-US" w:eastAsia="zh-CN"/>
        </w:rPr>
        <w:t>5</w:t>
      </w:r>
      <w:r>
        <w:rPr>
          <w:rFonts w:hint="eastAsia" w:ascii="仿宋_GB2312" w:hAnsi="宋体" w:eastAsia="仿宋_GB2312"/>
          <w:sz w:val="32"/>
          <w:szCs w:val="28"/>
        </w:rPr>
        <w:t>年</w:t>
      </w:r>
      <w:r>
        <w:rPr>
          <w:rFonts w:hint="eastAsia" w:ascii="仿宋_GB2312" w:hAnsi="宋体" w:eastAsia="仿宋_GB2312"/>
          <w:sz w:val="32"/>
          <w:szCs w:val="28"/>
          <w:lang w:val="en-US" w:eastAsia="zh-CN"/>
        </w:rPr>
        <w:t>5</w:t>
      </w:r>
      <w:r>
        <w:rPr>
          <w:rFonts w:hint="eastAsia" w:ascii="仿宋_GB2312" w:hAnsi="宋体" w:eastAsia="仿宋_GB2312"/>
          <w:sz w:val="32"/>
          <w:szCs w:val="28"/>
        </w:rPr>
        <w:t>月</w:t>
      </w:r>
      <w:r>
        <w:rPr>
          <w:rFonts w:hint="eastAsia" w:ascii="仿宋_GB2312" w:hAnsi="宋体" w:eastAsia="仿宋_GB2312"/>
          <w:sz w:val="32"/>
          <w:szCs w:val="28"/>
          <w:lang w:val="en-US" w:eastAsia="zh-CN"/>
        </w:rPr>
        <w:t>20日</w:t>
      </w:r>
      <w:r>
        <w:rPr>
          <w:rFonts w:hint="eastAsia" w:ascii="仿宋_GB2312" w:hAnsi="宋体" w:eastAsia="仿宋_GB2312"/>
          <w:sz w:val="32"/>
          <w:szCs w:val="28"/>
        </w:rPr>
        <w:t>，标准起草工作组</w:t>
      </w:r>
      <w:r>
        <w:rPr>
          <w:rFonts w:hint="eastAsia" w:ascii="仿宋_GB2312" w:hAnsi="宋体" w:eastAsia="仿宋_GB2312"/>
          <w:sz w:val="32"/>
          <w:szCs w:val="28"/>
          <w:lang w:val="en-US" w:eastAsia="zh-CN"/>
        </w:rPr>
        <w:t>召开了线上线下技术</w:t>
      </w:r>
      <w:r>
        <w:rPr>
          <w:rFonts w:hint="eastAsia" w:ascii="仿宋_GB2312" w:hAnsi="宋体" w:eastAsia="仿宋_GB2312"/>
          <w:sz w:val="32"/>
          <w:szCs w:val="28"/>
        </w:rPr>
        <w:t>研讨会，收集了大量反馈意见，对标准草案进行了反复修改和研究讨论</w:t>
      </w:r>
      <w:r>
        <w:rPr>
          <w:rFonts w:hint="eastAsia" w:ascii="仿宋_GB2312" w:hAnsi="宋体" w:eastAsia="仿宋_GB2312"/>
          <w:sz w:val="32"/>
          <w:szCs w:val="28"/>
          <w:lang w:val="en-US" w:eastAsia="zh-CN"/>
        </w:rPr>
        <w:t>，内部进行了内部意见统一和讨论，</w:t>
      </w:r>
      <w:r>
        <w:rPr>
          <w:rFonts w:hint="eastAsia" w:ascii="仿宋_GB2312" w:hAnsi="宋体" w:eastAsia="仿宋_GB2312"/>
          <w:sz w:val="32"/>
          <w:szCs w:val="28"/>
        </w:rPr>
        <w:t>最终形成了团体标准《</w:t>
      </w:r>
      <w:r>
        <w:rPr>
          <w:rFonts w:hint="eastAsia" w:ascii="仿宋_GB2312" w:hAnsi="宋体" w:eastAsia="仿宋_GB2312"/>
          <w:sz w:val="32"/>
          <w:szCs w:val="28"/>
          <w:lang w:eastAsia="zh-CN"/>
        </w:rPr>
        <w:t>马蹄荷培育技术规程</w:t>
      </w:r>
      <w:r>
        <w:rPr>
          <w:rFonts w:hint="eastAsia" w:ascii="仿宋_GB2312" w:hAnsi="宋体" w:eastAsia="仿宋_GB2312"/>
          <w:sz w:val="32"/>
          <w:szCs w:val="28"/>
        </w:rPr>
        <w:t>》（征求意见稿）和（征求意见稿）编制说明。</w:t>
      </w:r>
    </w:p>
    <w:p w14:paraId="64C29583">
      <w:pPr>
        <w:overflowPunct w:val="0"/>
        <w:topLinePunct/>
        <w:spacing w:line="560" w:lineRule="exact"/>
        <w:ind w:firstLine="640"/>
        <w:jc w:val="center"/>
        <w:rPr>
          <w:rFonts w:hint="eastAsia" w:ascii="仿宋_GB2312" w:hAnsi="宋体" w:eastAsia="仿宋_GB2312"/>
          <w:sz w:val="32"/>
          <w:szCs w:val="28"/>
        </w:rPr>
      </w:pPr>
      <w:r>
        <w:rPr>
          <w:rFonts w:hint="eastAsia" w:ascii="仿宋_GB2312" w:hAnsi="宋体" w:eastAsia="仿宋_GB2312"/>
          <w:sz w:val="32"/>
          <w:szCs w:val="28"/>
          <w:lang w:eastAsia="zh-CN"/>
        </w:rPr>
        <w:drawing>
          <wp:anchor distT="0" distB="0" distL="114300" distR="114300" simplePos="0" relativeHeight="251659264" behindDoc="1" locked="0" layoutInCell="1" allowOverlap="1">
            <wp:simplePos x="0" y="0"/>
            <wp:positionH relativeFrom="column">
              <wp:posOffset>24130</wp:posOffset>
            </wp:positionH>
            <wp:positionV relativeFrom="paragraph">
              <wp:posOffset>167005</wp:posOffset>
            </wp:positionV>
            <wp:extent cx="2649220" cy="1490345"/>
            <wp:effectExtent l="0" t="0" r="17780" b="14605"/>
            <wp:wrapThrough wrapText="bothSides">
              <wp:wrapPolygon>
                <wp:start x="0" y="0"/>
                <wp:lineTo x="0" y="21259"/>
                <wp:lineTo x="21434" y="21259"/>
                <wp:lineTo x="21434" y="0"/>
                <wp:lineTo x="0" y="0"/>
              </wp:wrapPolygon>
            </wp:wrapThrough>
            <wp:docPr id="2" name="图片 2" descr="2e778d54655a53e6df03e547940d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e778d54655a53e6df03e547940de15"/>
                    <pic:cNvPicPr>
                      <a:picLocks noChangeAspect="1"/>
                    </pic:cNvPicPr>
                  </pic:nvPicPr>
                  <pic:blipFill>
                    <a:blip r:embed="rId6"/>
                    <a:stretch>
                      <a:fillRect/>
                    </a:stretch>
                  </pic:blipFill>
                  <pic:spPr>
                    <a:xfrm>
                      <a:off x="0" y="0"/>
                      <a:ext cx="2649220" cy="1490345"/>
                    </a:xfrm>
                    <a:prstGeom prst="rect">
                      <a:avLst/>
                    </a:prstGeom>
                  </pic:spPr>
                </pic:pic>
              </a:graphicData>
            </a:graphic>
          </wp:anchor>
        </w:drawing>
      </w:r>
      <w:r>
        <w:rPr>
          <w:rFonts w:hint="eastAsia" w:ascii="仿宋_GB2312" w:hAnsi="宋体" w:eastAsia="仿宋_GB2312"/>
          <w:sz w:val="32"/>
          <w:szCs w:val="28"/>
          <w:lang w:eastAsia="zh-CN"/>
        </w:rPr>
        <w:drawing>
          <wp:anchor distT="0" distB="0" distL="114300" distR="114300" simplePos="0" relativeHeight="251660288" behindDoc="1" locked="0" layoutInCell="1" allowOverlap="1">
            <wp:simplePos x="0" y="0"/>
            <wp:positionH relativeFrom="column">
              <wp:posOffset>2707005</wp:posOffset>
            </wp:positionH>
            <wp:positionV relativeFrom="paragraph">
              <wp:posOffset>151130</wp:posOffset>
            </wp:positionV>
            <wp:extent cx="2680335" cy="1507490"/>
            <wp:effectExtent l="0" t="0" r="5715" b="16510"/>
            <wp:wrapThrough wrapText="bothSides">
              <wp:wrapPolygon>
                <wp:start x="0" y="0"/>
                <wp:lineTo x="0" y="21291"/>
                <wp:lineTo x="21493" y="21291"/>
                <wp:lineTo x="21493" y="0"/>
                <wp:lineTo x="0" y="0"/>
              </wp:wrapPolygon>
            </wp:wrapThrough>
            <wp:docPr id="3" name="图片 3" descr="2141fd9e550cf7a61c43deb828d0d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141fd9e550cf7a61c43deb828d0dd8"/>
                    <pic:cNvPicPr>
                      <a:picLocks noChangeAspect="1"/>
                    </pic:cNvPicPr>
                  </pic:nvPicPr>
                  <pic:blipFill>
                    <a:blip r:embed="rId7"/>
                    <a:stretch>
                      <a:fillRect/>
                    </a:stretch>
                  </pic:blipFill>
                  <pic:spPr>
                    <a:xfrm>
                      <a:off x="0" y="0"/>
                      <a:ext cx="2680335" cy="1507490"/>
                    </a:xfrm>
                    <a:prstGeom prst="rect">
                      <a:avLst/>
                    </a:prstGeom>
                  </pic:spPr>
                </pic:pic>
              </a:graphicData>
            </a:graphic>
          </wp:anchor>
        </w:drawing>
      </w:r>
      <w:r>
        <w:rPr>
          <w:rFonts w:hint="eastAsia" w:ascii="仿宋_GB2312" w:hAnsi="宋体" w:eastAsia="仿宋_GB2312"/>
          <w:sz w:val="32"/>
          <w:szCs w:val="28"/>
          <w:lang w:val="en-US" w:eastAsia="zh-CN"/>
        </w:rPr>
        <w:t>讨论会</w:t>
      </w:r>
    </w:p>
    <w:p w14:paraId="5202318B">
      <w:pPr>
        <w:overflowPunct w:val="0"/>
        <w:topLinePunct/>
        <w:spacing w:line="560" w:lineRule="exact"/>
        <w:ind w:firstLine="640"/>
        <w:rPr>
          <w:rFonts w:hint="eastAsia" w:ascii="仿宋_GB2312" w:hAnsi="宋体" w:eastAsia="仿宋_GB2312"/>
          <w:sz w:val="32"/>
          <w:szCs w:val="28"/>
        </w:rPr>
      </w:pPr>
    </w:p>
    <w:p w14:paraId="34D0EE06">
      <w:pPr>
        <w:autoSpaceDE w:val="0"/>
        <w:autoSpaceDN w:val="0"/>
        <w:adjustRightInd w:val="0"/>
        <w:ind w:firstLine="640" w:firstLineChars="200"/>
        <w:jc w:val="left"/>
        <w:rPr>
          <w:rFonts w:hint="eastAsia" w:ascii="黑体" w:hAnsi="黑体" w:eastAsia="黑体" w:cs="仿宋_GB2312"/>
          <w:sz w:val="32"/>
          <w:szCs w:val="32"/>
        </w:rPr>
      </w:pPr>
      <w:r>
        <w:rPr>
          <w:rFonts w:hint="eastAsia" w:ascii="黑体" w:hAnsi="黑体" w:eastAsia="黑体" w:cs="仿宋_GB2312"/>
          <w:sz w:val="32"/>
          <w:szCs w:val="32"/>
        </w:rPr>
        <w:t>四、制定标准的原则和依据，与现行法律、法规的关系，与有关国家标准、行业标准的协调情况</w:t>
      </w:r>
    </w:p>
    <w:p w14:paraId="4E482E74">
      <w:pPr>
        <w:autoSpaceDE w:val="0"/>
        <w:autoSpaceDN w:val="0"/>
        <w:adjustRightInd w:val="0"/>
        <w:spacing w:before="159" w:beforeLines="50" w:after="159" w:afterLines="50" w:line="560" w:lineRule="exact"/>
        <w:ind w:firstLine="643" w:firstLineChars="200"/>
        <w:jc w:val="left"/>
        <w:outlineLvl w:val="0"/>
        <w:rPr>
          <w:rFonts w:hint="eastAsia" w:ascii="黑体" w:hAnsi="黑体" w:eastAsia="黑体" w:cs="仿宋_GB2312"/>
          <w:sz w:val="32"/>
          <w:szCs w:val="32"/>
        </w:rPr>
      </w:pPr>
      <w:r>
        <w:rPr>
          <w:rFonts w:eastAsia="楷体"/>
          <w:b/>
          <w:bCs/>
          <w:sz w:val="32"/>
          <w:szCs w:val="32"/>
        </w:rPr>
        <w:t>（一）</w:t>
      </w:r>
      <w:r>
        <w:rPr>
          <w:rFonts w:hint="eastAsia" w:eastAsia="楷体"/>
          <w:b/>
          <w:bCs/>
          <w:sz w:val="32"/>
          <w:szCs w:val="32"/>
        </w:rPr>
        <w:t>编制原则</w:t>
      </w:r>
    </w:p>
    <w:p w14:paraId="422AF38E">
      <w:pPr>
        <w:spacing w:before="159" w:beforeLines="50" w:after="159" w:afterLines="50" w:line="560" w:lineRule="exact"/>
        <w:ind w:firstLine="643" w:firstLineChars="200"/>
        <w:outlineLvl w:val="1"/>
        <w:rPr>
          <w:rFonts w:hint="eastAsia" w:ascii="楷体" w:hAnsi="楷体" w:eastAsia="楷体" w:cs="仿宋_GB2312"/>
          <w:b/>
          <w:sz w:val="32"/>
          <w:szCs w:val="28"/>
        </w:rPr>
      </w:pPr>
      <w:r>
        <w:rPr>
          <w:rFonts w:hint="eastAsia" w:ascii="楷体" w:hAnsi="楷体" w:eastAsia="楷体" w:cs="仿宋_GB2312"/>
          <w:b/>
          <w:sz w:val="32"/>
          <w:szCs w:val="28"/>
        </w:rPr>
        <w:t>1、实用性原则</w:t>
      </w:r>
    </w:p>
    <w:p w14:paraId="04CE5925">
      <w:pPr>
        <w:spacing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文件是在充分收集相关资料和文献，分析当前现状，调研的实际情况，在现有国家、行业标准中相关</w:t>
      </w:r>
      <w:r>
        <w:rPr>
          <w:rFonts w:hint="eastAsia" w:ascii="仿宋_GB2312" w:hAnsi="宋体" w:eastAsia="仿宋_GB2312"/>
          <w:sz w:val="32"/>
          <w:szCs w:val="28"/>
          <w:lang w:eastAsia="zh-CN"/>
        </w:rPr>
        <w:t>马蹄荷培育</w:t>
      </w:r>
      <w:r>
        <w:rPr>
          <w:rFonts w:hint="eastAsia" w:ascii="仿宋_GB2312" w:hAnsi="宋体" w:eastAsia="仿宋_GB2312"/>
          <w:sz w:val="32"/>
          <w:szCs w:val="28"/>
        </w:rPr>
        <w:t>的基础上，结合多年经验总结起草而成。符合当前</w:t>
      </w:r>
      <w:r>
        <w:rPr>
          <w:rFonts w:hint="eastAsia" w:ascii="仿宋_GB2312" w:hAnsi="宋体" w:eastAsia="仿宋_GB2312"/>
          <w:sz w:val="32"/>
          <w:szCs w:val="28"/>
          <w:lang w:eastAsia="zh-CN"/>
        </w:rPr>
        <w:t>马蹄荷培育</w:t>
      </w:r>
      <w:r>
        <w:rPr>
          <w:rFonts w:hint="eastAsia" w:ascii="仿宋_GB2312" w:hAnsi="宋体" w:eastAsia="仿宋_GB2312"/>
          <w:sz w:val="32"/>
          <w:szCs w:val="28"/>
        </w:rPr>
        <w:t>方向和需求，为</w:t>
      </w:r>
      <w:r>
        <w:rPr>
          <w:rFonts w:hint="eastAsia" w:ascii="仿宋_GB2312" w:hAnsi="宋体" w:eastAsia="仿宋_GB2312"/>
          <w:sz w:val="32"/>
          <w:szCs w:val="28"/>
          <w:lang w:eastAsia="zh-CN"/>
        </w:rPr>
        <w:t>马蹄荷培育</w:t>
      </w:r>
      <w:r>
        <w:rPr>
          <w:rFonts w:hint="eastAsia" w:ascii="仿宋_GB2312" w:hAnsi="宋体" w:eastAsia="仿宋_GB2312"/>
          <w:sz w:val="32"/>
          <w:szCs w:val="28"/>
          <w:lang w:val="en-US" w:eastAsia="zh-CN"/>
        </w:rPr>
        <w:t>过程</w:t>
      </w:r>
      <w:r>
        <w:rPr>
          <w:rFonts w:hint="eastAsia" w:ascii="仿宋_GB2312" w:hAnsi="宋体" w:eastAsia="仿宋_GB2312"/>
          <w:sz w:val="32"/>
          <w:szCs w:val="28"/>
        </w:rPr>
        <w:t>给出了</w:t>
      </w:r>
      <w:r>
        <w:rPr>
          <w:rFonts w:hint="eastAsia" w:ascii="仿宋_GB2312" w:hAnsi="宋体" w:eastAsia="仿宋_GB2312"/>
          <w:sz w:val="32"/>
          <w:szCs w:val="28"/>
          <w:lang w:val="en-US" w:eastAsia="zh-CN"/>
        </w:rPr>
        <w:t>规范</w:t>
      </w:r>
      <w:r>
        <w:rPr>
          <w:rFonts w:hint="eastAsia" w:ascii="仿宋_GB2312" w:hAnsi="宋体" w:eastAsia="仿宋_GB2312"/>
          <w:sz w:val="32"/>
          <w:szCs w:val="28"/>
        </w:rPr>
        <w:t>，有利于</w:t>
      </w:r>
      <w:r>
        <w:rPr>
          <w:rFonts w:hint="eastAsia" w:ascii="仿宋_GB2312" w:hAnsi="宋体" w:eastAsia="仿宋_GB2312"/>
          <w:sz w:val="32"/>
          <w:szCs w:val="28"/>
          <w:lang w:val="en-US" w:eastAsia="zh-CN"/>
        </w:rPr>
        <w:t>马蹄荷</w:t>
      </w:r>
      <w:r>
        <w:rPr>
          <w:rFonts w:hint="eastAsia" w:ascii="仿宋_GB2312" w:hAnsi="宋体" w:eastAsia="仿宋_GB2312"/>
          <w:sz w:val="32"/>
          <w:szCs w:val="28"/>
        </w:rPr>
        <w:t>的</w:t>
      </w:r>
      <w:r>
        <w:rPr>
          <w:rFonts w:hint="eastAsia" w:ascii="仿宋_GB2312" w:hAnsi="宋体" w:eastAsia="仿宋_GB2312"/>
          <w:sz w:val="32"/>
          <w:szCs w:val="28"/>
          <w:lang w:val="en-US" w:eastAsia="zh-CN"/>
        </w:rPr>
        <w:t>健康稳定</w:t>
      </w:r>
      <w:r>
        <w:rPr>
          <w:rFonts w:hint="eastAsia" w:ascii="仿宋_GB2312" w:hAnsi="宋体" w:eastAsia="仿宋_GB2312"/>
          <w:sz w:val="32"/>
          <w:szCs w:val="28"/>
        </w:rPr>
        <w:t>发展，具有较强的实用性和可操作性。</w:t>
      </w:r>
    </w:p>
    <w:p w14:paraId="7B3E89A6">
      <w:pPr>
        <w:numPr>
          <w:ilvl w:val="0"/>
          <w:numId w:val="4"/>
        </w:numPr>
        <w:spacing w:before="159" w:beforeLines="50" w:after="159" w:afterLines="50" w:line="560" w:lineRule="exact"/>
        <w:ind w:firstLine="643"/>
        <w:outlineLvl w:val="1"/>
        <w:rPr>
          <w:rFonts w:hint="eastAsia" w:ascii="楷体" w:hAnsi="楷体" w:eastAsia="楷体" w:cs="仿宋_GB2312"/>
          <w:b/>
          <w:sz w:val="32"/>
          <w:szCs w:val="28"/>
        </w:rPr>
      </w:pPr>
      <w:r>
        <w:rPr>
          <w:rFonts w:hint="eastAsia" w:ascii="楷体" w:hAnsi="楷体" w:eastAsia="楷体" w:cs="仿宋_GB2312"/>
          <w:b/>
          <w:sz w:val="32"/>
          <w:szCs w:val="28"/>
        </w:rPr>
        <w:t>协调性原则</w:t>
      </w:r>
    </w:p>
    <w:p w14:paraId="2933A1C3">
      <w:pPr>
        <w:spacing w:before="159" w:beforeLines="50" w:after="159" w:afterLines="50" w:line="560" w:lineRule="exact"/>
        <w:ind w:firstLine="640" w:firstLineChars="200"/>
        <w:outlineLvl w:val="1"/>
        <w:rPr>
          <w:rFonts w:hint="eastAsia" w:ascii="仿宋_GB2312" w:hAnsi="宋体" w:eastAsia="仿宋_GB2312"/>
          <w:sz w:val="32"/>
          <w:szCs w:val="28"/>
        </w:rPr>
      </w:pPr>
      <w:r>
        <w:rPr>
          <w:rFonts w:hint="eastAsia" w:ascii="仿宋_GB2312" w:hAnsi="宋体" w:eastAsia="仿宋_GB2312"/>
          <w:sz w:val="32"/>
          <w:szCs w:val="28"/>
        </w:rPr>
        <w:t>本文件编写过程中注意了与</w:t>
      </w:r>
      <w:r>
        <w:rPr>
          <w:rFonts w:hint="eastAsia" w:ascii="仿宋_GB2312" w:eastAsia="仿宋_GB2312"/>
          <w:sz w:val="32"/>
          <w:szCs w:val="32"/>
          <w:lang w:eastAsia="zh-CN"/>
        </w:rPr>
        <w:t>马蹄荷培育</w:t>
      </w:r>
      <w:r>
        <w:rPr>
          <w:rFonts w:hint="eastAsia" w:ascii="仿宋_GB2312" w:hAnsi="宋体" w:eastAsia="仿宋_GB2312"/>
          <w:sz w:val="32"/>
          <w:szCs w:val="28"/>
        </w:rPr>
        <w:t>相关法律法规的协调问题，在内容上与现行法律法规、标准协调一致。</w:t>
      </w:r>
    </w:p>
    <w:p w14:paraId="3CD18471">
      <w:pPr>
        <w:spacing w:before="159" w:beforeLines="50" w:after="159" w:afterLines="50" w:line="560" w:lineRule="exact"/>
        <w:ind w:firstLine="643" w:firstLineChars="200"/>
        <w:outlineLvl w:val="1"/>
        <w:rPr>
          <w:rFonts w:hint="eastAsia" w:ascii="楷体" w:hAnsi="楷体" w:eastAsia="楷体" w:cs="仿宋_GB2312"/>
          <w:b/>
          <w:sz w:val="32"/>
          <w:szCs w:val="28"/>
        </w:rPr>
      </w:pPr>
      <w:r>
        <w:rPr>
          <w:rFonts w:hint="eastAsia" w:ascii="楷体" w:hAnsi="楷体" w:eastAsia="楷体" w:cs="仿宋_GB2312"/>
          <w:b/>
          <w:sz w:val="32"/>
          <w:szCs w:val="28"/>
        </w:rPr>
        <w:t>3、规范性原则</w:t>
      </w:r>
    </w:p>
    <w:p w14:paraId="4CD2AB48">
      <w:pPr>
        <w:spacing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本标准参照GB/T1.1—2020《标准化工作导则第1部分：标准化文件的结构和起草规则》的要求和规定编写本标准的内容，保证标准的编写质量。</w:t>
      </w:r>
    </w:p>
    <w:p w14:paraId="4901C6E4">
      <w:pPr>
        <w:spacing w:before="159" w:beforeLines="50" w:after="159" w:afterLines="50" w:line="560" w:lineRule="exact"/>
        <w:ind w:firstLine="643" w:firstLineChars="200"/>
        <w:outlineLvl w:val="1"/>
        <w:rPr>
          <w:rFonts w:hint="eastAsia" w:ascii="楷体" w:hAnsi="楷体" w:eastAsia="楷体" w:cs="仿宋_GB2312"/>
          <w:b/>
          <w:sz w:val="32"/>
          <w:szCs w:val="28"/>
        </w:rPr>
      </w:pPr>
      <w:r>
        <w:rPr>
          <w:rFonts w:hint="eastAsia" w:ascii="楷体" w:hAnsi="楷体" w:eastAsia="楷体" w:cs="仿宋_GB2312"/>
          <w:b/>
          <w:sz w:val="32"/>
          <w:szCs w:val="28"/>
        </w:rPr>
        <w:t>4、前瞻性原则</w:t>
      </w:r>
    </w:p>
    <w:p w14:paraId="6437FB95">
      <w:pPr>
        <w:spacing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本文件在兼顾当前</w:t>
      </w:r>
      <w:r>
        <w:rPr>
          <w:rFonts w:hint="eastAsia" w:ascii="仿宋_GB2312" w:hAnsi="宋体" w:eastAsia="仿宋_GB2312"/>
          <w:sz w:val="32"/>
          <w:szCs w:val="28"/>
          <w:lang w:eastAsia="zh-CN"/>
        </w:rPr>
        <w:t>马蹄荷培育</w:t>
      </w:r>
      <w:r>
        <w:rPr>
          <w:rFonts w:hint="eastAsia" w:ascii="仿宋_GB2312" w:hAnsi="宋体" w:eastAsia="仿宋_GB2312"/>
          <w:sz w:val="32"/>
          <w:szCs w:val="28"/>
        </w:rPr>
        <w:t>现实情况的同时，还考虑了</w:t>
      </w:r>
      <w:r>
        <w:rPr>
          <w:rFonts w:hint="eastAsia" w:ascii="仿宋_GB2312" w:hAnsi="宋体" w:eastAsia="仿宋_GB2312"/>
          <w:sz w:val="32"/>
          <w:szCs w:val="28"/>
          <w:lang w:eastAsia="zh-CN"/>
        </w:rPr>
        <w:t>马蹄荷培育</w:t>
      </w:r>
      <w:r>
        <w:rPr>
          <w:rFonts w:hint="eastAsia" w:ascii="仿宋_GB2312" w:hAnsi="宋体" w:eastAsia="仿宋_GB2312"/>
          <w:sz w:val="32"/>
          <w:szCs w:val="28"/>
        </w:rPr>
        <w:t>的需要，在标准中体现了个别前瞻性和先进性的条款，作为</w:t>
      </w:r>
      <w:r>
        <w:rPr>
          <w:rFonts w:hint="eastAsia" w:ascii="仿宋_GB2312" w:hAnsi="宋体" w:eastAsia="仿宋_GB2312"/>
          <w:sz w:val="32"/>
          <w:szCs w:val="28"/>
          <w:lang w:eastAsia="zh-CN"/>
        </w:rPr>
        <w:t>马蹄荷</w:t>
      </w:r>
      <w:r>
        <w:rPr>
          <w:rFonts w:hint="eastAsia" w:ascii="仿宋_GB2312" w:hAnsi="宋体" w:eastAsia="仿宋_GB2312"/>
          <w:sz w:val="32"/>
          <w:szCs w:val="28"/>
          <w:lang w:val="en-US" w:eastAsia="zh-CN"/>
        </w:rPr>
        <w:t>培育</w:t>
      </w:r>
      <w:r>
        <w:rPr>
          <w:rFonts w:hint="eastAsia" w:ascii="仿宋_GB2312" w:hAnsi="宋体" w:eastAsia="仿宋_GB2312"/>
          <w:sz w:val="32"/>
          <w:szCs w:val="28"/>
        </w:rPr>
        <w:t>的指导文件。</w:t>
      </w:r>
    </w:p>
    <w:p w14:paraId="52BB6C67">
      <w:pPr>
        <w:pStyle w:val="15"/>
        <w:spacing w:line="560" w:lineRule="exact"/>
        <w:ind w:firstLine="643"/>
        <w:outlineLvl w:val="0"/>
        <w:rPr>
          <w:rFonts w:ascii="Times New Roman" w:eastAsia="楷体"/>
          <w:b/>
          <w:bCs/>
          <w:sz w:val="32"/>
          <w:szCs w:val="32"/>
        </w:rPr>
      </w:pPr>
      <w:r>
        <w:rPr>
          <w:rFonts w:hint="eastAsia" w:ascii="Times New Roman" w:eastAsia="楷体"/>
          <w:b/>
          <w:bCs/>
          <w:sz w:val="32"/>
          <w:szCs w:val="32"/>
        </w:rPr>
        <w:t>（二）编制依据</w:t>
      </w:r>
    </w:p>
    <w:p w14:paraId="1044D913">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主要依据文件有</w:t>
      </w:r>
      <w:r>
        <w:rPr>
          <w:rFonts w:hint="eastAsia" w:ascii="仿宋_GB2312" w:hAnsi="宋体" w:eastAsia="仿宋_GB2312"/>
          <w:sz w:val="32"/>
          <w:szCs w:val="28"/>
          <w:lang w:val="en-US" w:eastAsia="zh-CN"/>
        </w:rPr>
        <w:t>以下标准：LY/T 2037-2012  木荷培育技术规程、LY/T 1824  湿地松、火炬松培育技术规程、LY/T 3310  檫木培育技术规程、GB 2772  林木种子检验规程、GB/T 8321（所有部分）  农药合理使用准则、GB/T 15781  森林抚育规程、GB/T 16619  林木采种技术、LY/T 1646  森林采伐作业规程、LY/T 2289  林木种苗生产经营档案、DB36/T 541—2017  木荷苗木培育技术规程</w:t>
      </w:r>
      <w:r>
        <w:rPr>
          <w:rFonts w:hint="eastAsia" w:ascii="仿宋_GB2312" w:hAnsi="宋体" w:eastAsia="仿宋_GB2312"/>
          <w:sz w:val="32"/>
          <w:szCs w:val="28"/>
          <w:lang w:val="zh-CN"/>
        </w:rPr>
        <w:t>。</w:t>
      </w:r>
    </w:p>
    <w:p w14:paraId="3C48564A">
      <w:pPr>
        <w:spacing w:line="560" w:lineRule="exact"/>
        <w:ind w:firstLine="643" w:firstLineChars="200"/>
        <w:outlineLvl w:val="0"/>
        <w:rPr>
          <w:rFonts w:eastAsia="楷体"/>
          <w:b/>
          <w:bCs/>
          <w:sz w:val="32"/>
          <w:szCs w:val="32"/>
        </w:rPr>
      </w:pPr>
      <w:r>
        <w:rPr>
          <w:rFonts w:hint="eastAsia" w:eastAsia="楷体"/>
          <w:b/>
          <w:bCs/>
          <w:sz w:val="32"/>
          <w:szCs w:val="32"/>
        </w:rPr>
        <w:t>（三）与现行法律、法规的关系，与有关国家标准、行业标准的协调情况</w:t>
      </w:r>
    </w:p>
    <w:p w14:paraId="438D45C8">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该标准的内容符合国家相关法律法规，技术要求不低于强制性国家标准的相关技术要求，与相关的国家、行业标准协调一致，标准的编写符合GB/T</w:t>
      </w:r>
      <w:r>
        <w:rPr>
          <w:rFonts w:hint="eastAsia" w:ascii="仿宋_GB2312" w:hAnsi="宋体" w:eastAsia="仿宋_GB2312"/>
          <w:sz w:val="32"/>
          <w:szCs w:val="28"/>
          <w:lang w:val="en-US" w:eastAsia="zh-CN"/>
        </w:rPr>
        <w:t xml:space="preserve"> </w:t>
      </w:r>
      <w:r>
        <w:rPr>
          <w:rFonts w:hint="eastAsia" w:ascii="仿宋_GB2312" w:hAnsi="宋体" w:eastAsia="仿宋_GB2312"/>
          <w:sz w:val="32"/>
          <w:szCs w:val="28"/>
          <w:lang w:val="zh-CN"/>
        </w:rPr>
        <w:t>1.1-2020的要求。</w:t>
      </w:r>
    </w:p>
    <w:p w14:paraId="104BE3E4">
      <w:pPr>
        <w:spacing w:line="52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rPr>
        <w:t>经查询，国内暂无“马蹄荷培育技术规程”标准。DB5305/T</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210—2025</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材用马蹄荷优树选择技术规程，该标准规定了马蹄荷优树的选择，包括林分选优、单株选优、选优的程序、优树建档等技术要求，适用于材用马蹄荷优树的选择。LY</w:t>
      </w:r>
      <w:r>
        <w:rPr>
          <w:rFonts w:hint="eastAsia" w:ascii="仿宋_GB2312" w:hAnsi="宋体" w:eastAsia="仿宋_GB2312"/>
          <w:sz w:val="32"/>
          <w:szCs w:val="32"/>
          <w:lang w:val="en-US" w:eastAsia="zh-CN"/>
        </w:rPr>
        <w:t>/</w:t>
      </w:r>
      <w:r>
        <w:rPr>
          <w:rFonts w:hint="eastAsia" w:ascii="仿宋_GB2312" w:hAnsi="宋体" w:eastAsia="仿宋_GB2312"/>
          <w:sz w:val="32"/>
          <w:szCs w:val="32"/>
        </w:rPr>
        <w:t>T</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2037-2012</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木荷培育技术规程本规定了木荷培育技术和指标,包括生长指标,种子苗培育、造林和建档等技术要求</w:t>
      </w:r>
      <w:r>
        <w:rPr>
          <w:rFonts w:hint="eastAsia" w:ascii="仿宋_GB2312" w:hAnsi="宋体" w:eastAsia="仿宋_GB2312"/>
          <w:sz w:val="32"/>
          <w:szCs w:val="32"/>
          <w:lang w:val="en-US" w:eastAsia="zh-CN"/>
        </w:rPr>
        <w:t>,</w:t>
      </w:r>
      <w:r>
        <w:rPr>
          <w:rFonts w:hint="eastAsia" w:ascii="仿宋_GB2312" w:hAnsi="宋体" w:eastAsia="仿宋_GB2312"/>
          <w:sz w:val="32"/>
          <w:szCs w:val="32"/>
        </w:rPr>
        <w:t>适用于广东、广西、江西、福建、湖南、贵州、云南、四川、湖北、浙江以及安徽南部等区域的木荷规模化造林。</w:t>
      </w:r>
      <w:r>
        <w:rPr>
          <w:rFonts w:hint="eastAsia" w:ascii="仿宋_GB2312" w:hAnsi="宋体" w:eastAsia="仿宋_GB2312"/>
          <w:sz w:val="32"/>
          <w:szCs w:val="32"/>
          <w:lang w:val="en-US" w:eastAsia="zh-CN"/>
        </w:rPr>
        <w:t>木荷：属于山茶科木荷属，马蹄荷：属于金缕梅科马蹄荷属，木荷和马蹄荷在科属、形态特征、生长习性、分布范围、价值用途等方面存在区别。</w:t>
      </w:r>
    </w:p>
    <w:p w14:paraId="66376737">
      <w:pPr>
        <w:spacing w:line="52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本标准是培育标准涉及马蹄荷的采种育苗到造林整地栽植，以及幼林和成林抚育管理、有害生物防治、采伐的全过程，有效指导了马蹄荷的培育全生命周期，有效推动马蹄荷规模化种植。</w:t>
      </w:r>
    </w:p>
    <w:p w14:paraId="767F8C7B">
      <w:pPr>
        <w:spacing w:before="159" w:beforeLines="50" w:after="159" w:afterLines="50"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28"/>
          <w:lang w:val="zh-CN"/>
        </w:rPr>
        <w:t>本标准的内容与现行的法律、法规及强制性标准无冲突，标准的编写符合GB/T</w:t>
      </w:r>
      <w:r>
        <w:rPr>
          <w:rFonts w:hint="eastAsia" w:ascii="仿宋_GB2312" w:hAnsi="宋体" w:eastAsia="仿宋_GB2312"/>
          <w:sz w:val="32"/>
          <w:szCs w:val="28"/>
          <w:lang w:val="en-US" w:eastAsia="zh-CN"/>
        </w:rPr>
        <w:t xml:space="preserve"> </w:t>
      </w:r>
      <w:r>
        <w:rPr>
          <w:rFonts w:hint="eastAsia" w:ascii="仿宋_GB2312" w:hAnsi="宋体" w:eastAsia="仿宋_GB2312"/>
          <w:sz w:val="32"/>
          <w:szCs w:val="28"/>
          <w:lang w:val="zh-CN"/>
        </w:rPr>
        <w:t>1.1-2020的要求。</w:t>
      </w:r>
    </w:p>
    <w:p w14:paraId="163D5348">
      <w:pPr>
        <w:spacing w:before="159" w:beforeLines="50" w:after="159" w:afterLines="50" w:line="560" w:lineRule="exact"/>
        <w:ind w:firstLine="640" w:firstLineChars="200"/>
        <w:rPr>
          <w:rFonts w:hint="eastAsia" w:ascii="黑体" w:hAnsi="黑体" w:eastAsia="黑体"/>
          <w:sz w:val="32"/>
          <w:szCs w:val="32"/>
        </w:rPr>
      </w:pPr>
      <w:r>
        <w:rPr>
          <w:rFonts w:hint="eastAsia" w:ascii="黑体" w:hAnsi="黑体" w:eastAsia="黑体"/>
          <w:sz w:val="32"/>
          <w:szCs w:val="32"/>
        </w:rPr>
        <w:t>五、主要条款的说明</w:t>
      </w:r>
    </w:p>
    <w:p w14:paraId="310846C0">
      <w:pPr>
        <w:spacing w:line="600" w:lineRule="exact"/>
        <w:ind w:firstLine="643" w:firstLineChars="200"/>
        <w:rPr>
          <w:rFonts w:hint="eastAsia" w:eastAsia="仿宋_GB2312"/>
          <w:b/>
          <w:bCs/>
          <w:sz w:val="32"/>
          <w:szCs w:val="28"/>
        </w:rPr>
      </w:pPr>
      <w:r>
        <w:rPr>
          <w:rFonts w:hint="eastAsia" w:eastAsia="仿宋_GB2312"/>
          <w:b/>
          <w:bCs/>
          <w:sz w:val="32"/>
          <w:szCs w:val="28"/>
        </w:rPr>
        <w:t>本标准核心技术说明：</w:t>
      </w:r>
    </w:p>
    <w:p w14:paraId="7AF093FD">
      <w:pPr>
        <w:spacing w:before="159" w:beforeLines="50" w:after="159" w:afterLines="50" w:line="56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en-US" w:eastAsia="zh-CN"/>
        </w:rPr>
        <w:t>一、</w:t>
      </w:r>
      <w:r>
        <w:rPr>
          <w:rFonts w:hint="eastAsia" w:ascii="仿宋_GB2312" w:hAnsi="宋体" w:eastAsia="仿宋_GB2312"/>
          <w:sz w:val="32"/>
          <w:szCs w:val="28"/>
          <w:lang w:val="zh-CN"/>
        </w:rPr>
        <w:t>种子采集及处理</w:t>
      </w:r>
    </w:p>
    <w:p w14:paraId="62F7C25E">
      <w:pPr>
        <w:spacing w:line="52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（1）母树选择和采种时间</w:t>
      </w:r>
    </w:p>
    <w:p w14:paraId="75367C6C">
      <w:pPr>
        <w:spacing w:line="52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宋体" w:eastAsia="仿宋_GB2312"/>
          <w:sz w:val="32"/>
          <w:szCs w:val="32"/>
          <w:lang w:val="en-US" w:eastAsia="zh-CN"/>
        </w:rPr>
        <w:t>标准结合马蹄荷种子薄、小粒等特性，</w:t>
      </w:r>
      <w:r>
        <w:rPr>
          <w:rFonts w:hint="eastAsia" w:ascii="仿宋_GB2312" w:hAnsi="仿宋_GB2312" w:eastAsia="仿宋_GB2312" w:cs="仿宋_GB2312"/>
          <w:color w:val="auto"/>
          <w:kern w:val="2"/>
          <w:sz w:val="32"/>
          <w:szCs w:val="32"/>
          <w:lang w:val="en-US" w:eastAsia="zh-CN" w:bidi="ar-SA"/>
        </w:rPr>
        <w:t>参考GB7908林木种子质量分级部分表述确定。种群规模（≥100株）较大的种群规模可减少近亲繁殖风险，避免因遗传漂变导致优良性状丢失，确保采种母树间有足够的基因交流，提升后代适应环境变化的能力。青年期（15a左右）：马蹄荷进入生殖成熟阶段，开始稳定产种，但早期种子数量可能较少，饱满度逐步提升。壮年期（20a～35a）：母树生长旺盛，光合作用强，养分积累充足，种子产量高且质量最佳（如发芽率高、种粒饱满、遗传稳定性强）。老年期（40a后）：树体机能衰退，种子产量下降，空瘪率增加，遗传活力可能降低，不利于后代生长。健壮母树通常具有更优的基因组合（如抗病、抗逆、速生等性状），其种子后代更可能继承这些优势，提高种群整体适应性。</w:t>
      </w:r>
    </w:p>
    <w:p w14:paraId="1240E5CE">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以蒴果颜色（青变黄褐色）作为马蹄荷种子成熟的直观判断指标，结合其物候期和冬季气候特点进行采集，既能确保种子具备最高活力，又便于后续储存、处理和育苗操作。青绿色蒴果：种子处于生理成熟阶段，种胚尚未完全发育，内部养分（如淀粉、蛋白质）仍在积累，含水量较高，此时采集的种子发芽率低、幼苗活力差。黄褐色蒴果：标志着种子已进入形态成熟，种胚发育完全，养分积累达到峰值，含水量降低，种皮硬化，具备最佳萌发能力。12月至次年1月正值马蹄荷分布区（如我国南方亚热带地区）的低温季节，种子成熟后进入短暂休眠期，便于采集后储存或及时播种。采种时间结合了广西、云南、贵州、西藏等地区特点，每个区域的采种期会有所区别。过早采集（绿色期）：种子未充分成熟，种胚发育不全，播种后易腐烂或萌发缓慢，幼苗抗逆性弱。黄褐色蒴果的果皮质地较脆，采集后经晾晒即可开裂脱粒，省去人工破壳等复杂工序，提高种子处理效率。若延迟至春季采集，部分蒴果可能已开裂，种子散落或混有杂质，增加筛选难度。</w:t>
      </w:r>
    </w:p>
    <w:p w14:paraId="2B936EB0">
      <w:pPr>
        <w:spacing w:line="600" w:lineRule="exact"/>
        <w:ind w:firstLine="640" w:firstLineChars="200"/>
        <w:rPr>
          <w:rFonts w:hint="default" w:ascii="仿宋_GB2312" w:hAnsi="仿宋_GB2312" w:eastAsia="仿宋_GB2312" w:cs="仿宋_GB2312"/>
          <w:color w:val="auto"/>
          <w:kern w:val="2"/>
          <w:sz w:val="32"/>
          <w:szCs w:val="32"/>
          <w:lang w:val="en-US" w:eastAsia="zh-CN" w:bidi="ar-SA"/>
        </w:rPr>
      </w:pPr>
      <w:r>
        <w:rPr>
          <w:rFonts w:hint="default" w:ascii="仿宋_GB2312" w:hAnsi="仿宋_GB2312" w:eastAsia="仿宋_GB2312" w:cs="仿宋_GB2312"/>
          <w:color w:val="auto"/>
          <w:kern w:val="2"/>
          <w:sz w:val="32"/>
          <w:szCs w:val="32"/>
          <w:lang w:val="en-US" w:eastAsia="zh-CN" w:bidi="ar-SA"/>
        </w:rPr>
        <w:t>采种方法按GB/T16619的规定执行。</w:t>
      </w:r>
    </w:p>
    <w:p w14:paraId="171EFC6D">
      <w:pPr>
        <w:spacing w:line="600" w:lineRule="exact"/>
        <w:ind w:firstLine="640" w:firstLineChars="200"/>
        <w:jc w:val="center"/>
        <w:rPr>
          <w:rFonts w:hint="default" w:eastAsia="仿宋_GB2312"/>
          <w:b w:val="0"/>
          <w:bCs w:val="0"/>
          <w:sz w:val="32"/>
          <w:szCs w:val="28"/>
          <w:lang w:val="en-US" w:eastAsia="zh-CN"/>
        </w:rPr>
      </w:pPr>
      <w:r>
        <w:rPr>
          <w:rFonts w:hint="eastAsia" w:eastAsia="仿宋_GB2312"/>
          <w:b w:val="0"/>
          <w:bCs w:val="0"/>
          <w:sz w:val="32"/>
          <w:szCs w:val="28"/>
          <w:lang w:eastAsia="zh-CN"/>
        </w:rPr>
        <w:drawing>
          <wp:anchor distT="0" distB="0" distL="114300" distR="114300" simplePos="0" relativeHeight="251666432" behindDoc="1" locked="0" layoutInCell="1" allowOverlap="1">
            <wp:simplePos x="0" y="0"/>
            <wp:positionH relativeFrom="column">
              <wp:posOffset>437515</wp:posOffset>
            </wp:positionH>
            <wp:positionV relativeFrom="paragraph">
              <wp:posOffset>3730625</wp:posOffset>
            </wp:positionV>
            <wp:extent cx="4821555" cy="2797810"/>
            <wp:effectExtent l="0" t="0" r="17145" b="2540"/>
            <wp:wrapThrough wrapText="bothSides">
              <wp:wrapPolygon>
                <wp:start x="0" y="0"/>
                <wp:lineTo x="0" y="21473"/>
                <wp:lineTo x="21506" y="21473"/>
                <wp:lineTo x="21506" y="0"/>
                <wp:lineTo x="0" y="0"/>
              </wp:wrapPolygon>
            </wp:wrapThrough>
            <wp:docPr id="11" name="图片 11" descr="1747794500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47794500275"/>
                    <pic:cNvPicPr>
                      <a:picLocks noChangeAspect="1"/>
                    </pic:cNvPicPr>
                  </pic:nvPicPr>
                  <pic:blipFill>
                    <a:blip r:embed="rId8"/>
                    <a:stretch>
                      <a:fillRect/>
                    </a:stretch>
                  </pic:blipFill>
                  <pic:spPr>
                    <a:xfrm>
                      <a:off x="0" y="0"/>
                      <a:ext cx="4821555" cy="2797810"/>
                    </a:xfrm>
                    <a:prstGeom prst="rect">
                      <a:avLst/>
                    </a:prstGeom>
                  </pic:spPr>
                </pic:pic>
              </a:graphicData>
            </a:graphic>
          </wp:anchor>
        </w:drawing>
      </w:r>
      <w:r>
        <w:rPr>
          <w:rFonts w:hint="eastAsia" w:eastAsia="仿宋_GB2312"/>
          <w:b w:val="0"/>
          <w:bCs w:val="0"/>
          <w:sz w:val="32"/>
          <w:szCs w:val="28"/>
          <w:lang w:eastAsia="zh-CN"/>
        </w:rPr>
        <w:drawing>
          <wp:anchor distT="0" distB="0" distL="114300" distR="114300" simplePos="0" relativeHeight="251661312" behindDoc="1" locked="0" layoutInCell="1" allowOverlap="1">
            <wp:simplePos x="0" y="0"/>
            <wp:positionH relativeFrom="column">
              <wp:posOffset>204470</wp:posOffset>
            </wp:positionH>
            <wp:positionV relativeFrom="paragraph">
              <wp:posOffset>123190</wp:posOffset>
            </wp:positionV>
            <wp:extent cx="5143500" cy="3495675"/>
            <wp:effectExtent l="0" t="0" r="0" b="9525"/>
            <wp:wrapThrough wrapText="bothSides">
              <wp:wrapPolygon>
                <wp:start x="0" y="0"/>
                <wp:lineTo x="0" y="21541"/>
                <wp:lineTo x="21520" y="21541"/>
                <wp:lineTo x="21520" y="0"/>
                <wp:lineTo x="0" y="0"/>
              </wp:wrapPolygon>
            </wp:wrapThrough>
            <wp:docPr id="4" name="图片 4" descr="174779153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47791532112"/>
                    <pic:cNvPicPr>
                      <a:picLocks noChangeAspect="1"/>
                    </pic:cNvPicPr>
                  </pic:nvPicPr>
                  <pic:blipFill>
                    <a:blip r:embed="rId9"/>
                    <a:stretch>
                      <a:fillRect/>
                    </a:stretch>
                  </pic:blipFill>
                  <pic:spPr>
                    <a:xfrm>
                      <a:off x="0" y="0"/>
                      <a:ext cx="5143500" cy="3495675"/>
                    </a:xfrm>
                    <a:prstGeom prst="rect">
                      <a:avLst/>
                    </a:prstGeom>
                  </pic:spPr>
                </pic:pic>
              </a:graphicData>
            </a:graphic>
          </wp:anchor>
        </w:drawing>
      </w:r>
      <w:r>
        <w:rPr>
          <w:rFonts w:hint="eastAsia" w:eastAsia="仿宋_GB2312"/>
          <w:b w:val="0"/>
          <w:bCs w:val="0"/>
          <w:sz w:val="32"/>
          <w:szCs w:val="28"/>
          <w:lang w:val="en-US" w:eastAsia="zh-CN"/>
        </w:rPr>
        <w:t>种子采种</w:t>
      </w:r>
    </w:p>
    <w:p w14:paraId="0272D9A7">
      <w:pPr>
        <w:spacing w:line="600" w:lineRule="exact"/>
        <w:ind w:firstLine="640" w:firstLineChars="200"/>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（2）种子调制</w:t>
      </w:r>
    </w:p>
    <w:p w14:paraId="0FB192A3">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马蹄荷蒴果属干果类型，阴干过程中果皮缓慢失水收缩，产生均匀张力，促使果瓣自然开裂释放种子。若干燥过快（如高温烘干），果皮可能局部脆化断裂，导致种子残留或混杂碎屑。室内通风阴干（温度通常低于室外暴晒环境）可防止种子因高温（如＞30℃）导致蛋白质变性、脂肪氧化或胚细胞损伤，维持种子原始活力。直接暴晒会使种子急剧失水，种皮开裂或形成硬实，可能阻碍后期吸水萌发，尤其对马蹄荷这类种皮较薄的种子危害更大。轻轻翻动果穗可借助机械力辅助蒴果开裂，避免用力揉搓导致种子机械损伤（如种皮破损、胚部压伤）。杂质（如果壳碎屑、枯叶、虫尸等）含水量通常高于种子，残留后会增加贮藏环境湿度，诱发霉菌滋生。此外，杂质可能携带虫卵或病原体，威胁种子安全。种子含水量是影响贮藏寿命的核心因素。当含水量降至10%以下时，细胞内自由水基本散失，酶活性显著降低，呼吸作用和物质代谢速率趋近于休眠状态，可延缓种子老化。种子质量应符合GB7908的规定，检验方法按GB2772的规定执行。种子贮藏符合GB10016的规定。</w:t>
      </w:r>
    </w:p>
    <w:p w14:paraId="69CC1331">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p>
    <w:p w14:paraId="3450E95C">
      <w:pPr>
        <w:spacing w:line="600" w:lineRule="exact"/>
        <w:ind w:firstLine="640" w:firstLineChars="200"/>
        <w:jc w:val="center"/>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64384" behindDoc="1" locked="0" layoutInCell="1" allowOverlap="1">
            <wp:simplePos x="0" y="0"/>
            <wp:positionH relativeFrom="column">
              <wp:posOffset>90170</wp:posOffset>
            </wp:positionH>
            <wp:positionV relativeFrom="paragraph">
              <wp:posOffset>2059305</wp:posOffset>
            </wp:positionV>
            <wp:extent cx="2499995" cy="2016760"/>
            <wp:effectExtent l="0" t="0" r="14605" b="40640"/>
            <wp:wrapThrough wrapText="bothSides">
              <wp:wrapPolygon>
                <wp:start x="0" y="0"/>
                <wp:lineTo x="0" y="21423"/>
                <wp:lineTo x="21397" y="21423"/>
                <wp:lineTo x="21397" y="0"/>
                <wp:lineTo x="0" y="0"/>
              </wp:wrapPolygon>
            </wp:wrapThrough>
            <wp:docPr id="8" name="图片 8" descr="174779222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7792228977"/>
                    <pic:cNvPicPr>
                      <a:picLocks noChangeAspect="1"/>
                    </pic:cNvPicPr>
                  </pic:nvPicPr>
                  <pic:blipFill>
                    <a:blip r:embed="rId10"/>
                    <a:stretch>
                      <a:fillRect/>
                    </a:stretch>
                  </pic:blipFill>
                  <pic:spPr>
                    <a:xfrm>
                      <a:off x="0" y="0"/>
                      <a:ext cx="2499995" cy="2016760"/>
                    </a:xfrm>
                    <a:prstGeom prst="rect">
                      <a:avLst/>
                    </a:prstGeom>
                  </pic:spPr>
                </pic:pic>
              </a:graphicData>
            </a:graphic>
          </wp:anchor>
        </w:drawing>
      </w: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65408" behindDoc="1" locked="0" layoutInCell="1" allowOverlap="1">
            <wp:simplePos x="0" y="0"/>
            <wp:positionH relativeFrom="column">
              <wp:posOffset>2826385</wp:posOffset>
            </wp:positionH>
            <wp:positionV relativeFrom="paragraph">
              <wp:posOffset>2164715</wp:posOffset>
            </wp:positionV>
            <wp:extent cx="2493010" cy="1920875"/>
            <wp:effectExtent l="0" t="0" r="0" b="0"/>
            <wp:wrapThrough wrapText="bothSides">
              <wp:wrapPolygon>
                <wp:start x="0" y="0"/>
                <wp:lineTo x="0" y="21421"/>
                <wp:lineTo x="21457" y="21421"/>
                <wp:lineTo x="21457" y="0"/>
                <wp:lineTo x="0" y="0"/>
              </wp:wrapPolygon>
            </wp:wrapThrough>
            <wp:docPr id="9" name="图片 9" descr="1747792294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47792294983"/>
                    <pic:cNvPicPr>
                      <a:picLocks noChangeAspect="1"/>
                    </pic:cNvPicPr>
                  </pic:nvPicPr>
                  <pic:blipFill>
                    <a:blip r:embed="rId11"/>
                    <a:stretch>
                      <a:fillRect/>
                    </a:stretch>
                  </pic:blipFill>
                  <pic:spPr>
                    <a:xfrm>
                      <a:off x="0" y="0"/>
                      <a:ext cx="2493010" cy="1920875"/>
                    </a:xfrm>
                    <a:prstGeom prst="rect">
                      <a:avLst/>
                    </a:prstGeom>
                  </pic:spPr>
                </pic:pic>
              </a:graphicData>
            </a:graphic>
          </wp:anchor>
        </w:drawing>
      </w: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62336" behindDoc="1" locked="0" layoutInCell="1" allowOverlap="1">
            <wp:simplePos x="0" y="0"/>
            <wp:positionH relativeFrom="column">
              <wp:posOffset>99060</wp:posOffset>
            </wp:positionH>
            <wp:positionV relativeFrom="paragraph">
              <wp:posOffset>74295</wp:posOffset>
            </wp:positionV>
            <wp:extent cx="2590800" cy="1914525"/>
            <wp:effectExtent l="0" t="0" r="0" b="9525"/>
            <wp:wrapThrough wrapText="bothSides">
              <wp:wrapPolygon>
                <wp:start x="0" y="0"/>
                <wp:lineTo x="0" y="21493"/>
                <wp:lineTo x="21441" y="21493"/>
                <wp:lineTo x="21441" y="0"/>
                <wp:lineTo x="0" y="0"/>
              </wp:wrapPolygon>
            </wp:wrapThrough>
            <wp:docPr id="6" name="图片 6" descr="1747792159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747792159737"/>
                    <pic:cNvPicPr>
                      <a:picLocks noChangeAspect="1"/>
                    </pic:cNvPicPr>
                  </pic:nvPicPr>
                  <pic:blipFill>
                    <a:blip r:embed="rId12"/>
                    <a:stretch>
                      <a:fillRect/>
                    </a:stretch>
                  </pic:blipFill>
                  <pic:spPr>
                    <a:xfrm>
                      <a:off x="0" y="0"/>
                      <a:ext cx="2590800" cy="1914525"/>
                    </a:xfrm>
                    <a:prstGeom prst="rect">
                      <a:avLst/>
                    </a:prstGeom>
                  </pic:spPr>
                </pic:pic>
              </a:graphicData>
            </a:graphic>
          </wp:anchor>
        </w:drawing>
      </w: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63360" behindDoc="1" locked="0" layoutInCell="1" allowOverlap="1">
            <wp:simplePos x="0" y="0"/>
            <wp:positionH relativeFrom="column">
              <wp:posOffset>2731135</wp:posOffset>
            </wp:positionH>
            <wp:positionV relativeFrom="paragraph">
              <wp:posOffset>85090</wp:posOffset>
            </wp:positionV>
            <wp:extent cx="2628900" cy="1914525"/>
            <wp:effectExtent l="0" t="0" r="0" b="9525"/>
            <wp:wrapThrough wrapText="bothSides">
              <wp:wrapPolygon>
                <wp:start x="0" y="0"/>
                <wp:lineTo x="0" y="21493"/>
                <wp:lineTo x="21443" y="21493"/>
                <wp:lineTo x="21443" y="0"/>
                <wp:lineTo x="0" y="0"/>
              </wp:wrapPolygon>
            </wp:wrapThrough>
            <wp:docPr id="7" name="图片 7" descr="174779218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47792189013"/>
                    <pic:cNvPicPr>
                      <a:picLocks noChangeAspect="1"/>
                    </pic:cNvPicPr>
                  </pic:nvPicPr>
                  <pic:blipFill>
                    <a:blip r:embed="rId13"/>
                    <a:stretch>
                      <a:fillRect/>
                    </a:stretch>
                  </pic:blipFill>
                  <pic:spPr>
                    <a:xfrm>
                      <a:off x="0" y="0"/>
                      <a:ext cx="2628900" cy="1914525"/>
                    </a:xfrm>
                    <a:prstGeom prst="rect">
                      <a:avLst/>
                    </a:prstGeom>
                  </pic:spPr>
                </pic:pic>
              </a:graphicData>
            </a:graphic>
          </wp:anchor>
        </w:drawing>
      </w:r>
      <w:r>
        <w:rPr>
          <w:rFonts w:hint="eastAsia" w:ascii="仿宋_GB2312" w:hAnsi="仿宋_GB2312" w:eastAsia="仿宋_GB2312" w:cs="仿宋_GB2312"/>
          <w:color w:val="auto"/>
          <w:kern w:val="2"/>
          <w:sz w:val="32"/>
          <w:szCs w:val="32"/>
          <w:lang w:val="en-US" w:eastAsia="zh-CN" w:bidi="ar-SA"/>
        </w:rPr>
        <w:t>种子处理</w:t>
      </w:r>
    </w:p>
    <w:p w14:paraId="33854341">
      <w:pPr>
        <w:spacing w:before="159" w:beforeLines="50" w:after="159" w:afterLines="50" w:line="560" w:lineRule="exact"/>
        <w:ind w:firstLine="640" w:firstLineChars="200"/>
        <w:rPr>
          <w:rFonts w:hint="default" w:ascii="仿宋_GB2312" w:hAnsi="宋体" w:eastAsia="仿宋_GB2312"/>
          <w:sz w:val="32"/>
          <w:szCs w:val="28"/>
          <w:lang w:val="en-US" w:eastAsia="zh-CN"/>
        </w:rPr>
      </w:pPr>
      <w:r>
        <w:rPr>
          <w:rFonts w:hint="eastAsia" w:ascii="仿宋_GB2312" w:hAnsi="宋体" w:eastAsia="仿宋_GB2312"/>
          <w:sz w:val="32"/>
          <w:szCs w:val="28"/>
          <w:lang w:val="en-US" w:eastAsia="zh-CN"/>
        </w:rPr>
        <w:t>二、苗木培育</w:t>
      </w:r>
    </w:p>
    <w:p w14:paraId="559A23F1">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（1）裸根苗</w:t>
      </w:r>
    </w:p>
    <w:p w14:paraId="6AADB0E9">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1.苗圃选择：</w:t>
      </w:r>
    </w:p>
    <w:p w14:paraId="1C2FB4AF">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default" w:ascii="仿宋_GB2312" w:hAnsi="仿宋_GB2312" w:eastAsia="仿宋_GB2312" w:cs="仿宋_GB2312"/>
          <w:color w:val="auto"/>
          <w:kern w:val="2"/>
          <w:sz w:val="32"/>
          <w:szCs w:val="32"/>
          <w:lang w:val="en-US" w:eastAsia="zh-CN" w:bidi="ar-SA"/>
        </w:rPr>
        <w:t>马蹄荷苗圃选址为苗木创造</w:t>
      </w:r>
      <w:r>
        <w:rPr>
          <w:rFonts w:hint="eastAsia" w:ascii="仿宋_GB2312" w:hAnsi="仿宋_GB2312" w:eastAsia="仿宋_GB2312" w:cs="仿宋_GB2312"/>
          <w:color w:val="auto"/>
          <w:kern w:val="2"/>
          <w:sz w:val="32"/>
          <w:szCs w:val="32"/>
          <w:lang w:val="en-US" w:eastAsia="zh-CN" w:bidi="ar-SA"/>
        </w:rPr>
        <w:t>适宜</w:t>
      </w:r>
      <w:r>
        <w:rPr>
          <w:rFonts w:hint="default" w:ascii="仿宋_GB2312" w:hAnsi="仿宋_GB2312" w:eastAsia="仿宋_GB2312" w:cs="仿宋_GB2312"/>
          <w:color w:val="auto"/>
          <w:kern w:val="2"/>
          <w:sz w:val="32"/>
          <w:szCs w:val="32"/>
          <w:lang w:val="en-US" w:eastAsia="zh-CN" w:bidi="ar-SA"/>
        </w:rPr>
        <w:t>的生长环境，同时兼顾生产操作的便利性和经济性。交通便利降低物流成本，平坦地势和砂壤土优化根系生长条件，灌溉排水系统保障水分平衡，低病虫害基数减少防治投入，这些因素共同作用可显著提高育苗成功率，培育出根系发达、茎干粗壮、无病虫害的优质壮苗，为后续造林或绿化工程奠定基础。砂壤土颗粒粗细适中，孔隙度高，通气性良好（氧气含量≥10%），利于根系呼吸和微生物活动；同时兼具一定保水能力，避免砂土漏水漏肥或黏土积水缺氧。马蹄荷幼苗对水分敏感，播种后至出苗期需保持土壤湿度60%</w:t>
      </w:r>
      <w:r>
        <w:rPr>
          <w:rFonts w:hint="eastAsia" w:ascii="仿宋_GB2312" w:hAnsi="仿宋_GB2312" w:eastAsia="仿宋_GB2312" w:cs="仿宋_GB2312"/>
          <w:color w:val="auto"/>
          <w:kern w:val="2"/>
          <w:sz w:val="32"/>
          <w:szCs w:val="32"/>
          <w:lang w:val="en-US" w:eastAsia="zh-CN" w:bidi="ar-SA"/>
        </w:rPr>
        <w:t>-</w:t>
      </w:r>
      <w:r>
        <w:rPr>
          <w:rFonts w:hint="default" w:ascii="仿宋_GB2312" w:hAnsi="仿宋_GB2312" w:eastAsia="仿宋_GB2312" w:cs="仿宋_GB2312"/>
          <w:color w:val="auto"/>
          <w:kern w:val="2"/>
          <w:sz w:val="32"/>
          <w:szCs w:val="32"/>
          <w:lang w:val="en-US" w:eastAsia="zh-CN" w:bidi="ar-SA"/>
        </w:rPr>
        <w:t>70%，干旱会导致出苗率下降（如土壤含水量＜50%时发芽率降低30%）。便捷的灌溉设施（如喷灌、滴灌）可精准补水，避免大水漫灌造成土壤板结</w:t>
      </w:r>
      <w:r>
        <w:rPr>
          <w:rFonts w:hint="eastAsia" w:ascii="仿宋_GB2312" w:hAnsi="仿宋_GB2312" w:eastAsia="仿宋_GB2312" w:cs="仿宋_GB2312"/>
          <w:color w:val="auto"/>
          <w:kern w:val="2"/>
          <w:sz w:val="32"/>
          <w:szCs w:val="32"/>
          <w:lang w:val="en-US" w:eastAsia="zh-CN" w:bidi="ar-SA"/>
        </w:rPr>
        <w:t>。</w:t>
      </w:r>
    </w:p>
    <w:p w14:paraId="10AF0A07">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多数苗木根系主要分布在表层20-30cm土壤（马蹄荷幼苗侧根集中在15-25cm深度），翻土至20-25cm可打破长期耕作形成的犁底层，增加土壤孔隙度（目标值：通气孔隙度≥15%），促进氧气渗透（根系正常呼吸需氧含量≥10%）和水肥储存。深层翻土可将表层病原菌、草种翻至深层灭活，同时将底层养分（如矿物元素）翻至上层，均衡土壤肥力。</w:t>
      </w:r>
    </w:p>
    <w:p w14:paraId="2CBE0345">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杂草（如狗尾草、马唐）与苗木争夺水分、养分和光照，单株一年生杂草可消耗土壤水分50—100L/年，导致苗木生长量下降20%～30%。石块（直径＞2cm）会阻碍根系伸展，形成畸形根；废弃物（如塑料、金属）可能释放有害物质或成为病虫害藏匿场。</w:t>
      </w:r>
    </w:p>
    <w:p w14:paraId="54E02399">
      <w:pPr>
        <w:spacing w:line="600" w:lineRule="exact"/>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马蹄荷裸根苗培育中，1400-1500kg/667m² 腐熟有机肥 + 40-50kg 磷肥的基肥方案，通过 “有机无机结合、长效速效互补” 机制，实现了土壤改良与苗木养分需求的精准匹配。该配比可使幼苗生长量提升 40%-50%，合格苗率达 85% 以上，同时改善土壤理化性质，为后续苗木生长奠定基础。实践中需严格把控有机肥腐熟度与整地质量，确保肥料均匀分布，最大化发挥基肥的增产增效与生态保护双重功能。腐熟有机肥呈黑褐色，无臭味，温度降至常温，含氮量 1.5%-2.0%，C/N 比＜20:1（未腐熟 C/N 比＞30:1）。施用未腐熟有机肥易引发烧苗（氨气挥发导致叶片灼伤率＞10%），且携带病原菌（如根腐病发生率增加 25%）。过磷酸钙（含 P₂O₅ 14%-20%）提供速效磷，解决幼苗早期磷素临界期（出苗后 2-4 周）的需求，此时根系吸收能力弱，需土壤速效磷浓度≥20mg/kg（基肥施磷后可提升至 30-40mg/kg）。</w:t>
      </w:r>
    </w:p>
    <w:p w14:paraId="50892447">
      <w:pPr>
        <w:pStyle w:val="2"/>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86912" behindDoc="1" locked="0" layoutInCell="1" allowOverlap="1">
            <wp:simplePos x="0" y="0"/>
            <wp:positionH relativeFrom="column">
              <wp:posOffset>63500</wp:posOffset>
            </wp:positionH>
            <wp:positionV relativeFrom="paragraph">
              <wp:posOffset>252095</wp:posOffset>
            </wp:positionV>
            <wp:extent cx="5267960" cy="1386205"/>
            <wp:effectExtent l="0" t="0" r="8890" b="4445"/>
            <wp:wrapThrough wrapText="bothSides">
              <wp:wrapPolygon>
                <wp:start x="0" y="0"/>
                <wp:lineTo x="0" y="21372"/>
                <wp:lineTo x="21558" y="21372"/>
                <wp:lineTo x="21558" y="0"/>
                <wp:lineTo x="0" y="0"/>
              </wp:wrapPolygon>
            </wp:wrapThrough>
            <wp:docPr id="10" name="图片 10" descr="174943319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49433199457"/>
                    <pic:cNvPicPr>
                      <a:picLocks noChangeAspect="1"/>
                    </pic:cNvPicPr>
                  </pic:nvPicPr>
                  <pic:blipFill>
                    <a:blip r:embed="rId14"/>
                    <a:stretch>
                      <a:fillRect/>
                    </a:stretch>
                  </pic:blipFill>
                  <pic:spPr>
                    <a:xfrm>
                      <a:off x="0" y="0"/>
                      <a:ext cx="5267960" cy="1386205"/>
                    </a:xfrm>
                    <a:prstGeom prst="rect">
                      <a:avLst/>
                    </a:prstGeom>
                  </pic:spPr>
                </pic:pic>
              </a:graphicData>
            </a:graphic>
          </wp:anchor>
        </w:drawing>
      </w:r>
    </w:p>
    <w:p w14:paraId="7AEF2D4D">
      <w:pPr>
        <w:pStyle w:val="2"/>
        <w:rPr>
          <w:rFonts w:hint="eastAsia"/>
          <w:lang w:val="en-US" w:eastAsia="zh-CN"/>
        </w:rPr>
      </w:pPr>
    </w:p>
    <w:p w14:paraId="2EC96BD1">
      <w:pPr>
        <w:spacing w:line="600" w:lineRule="exact"/>
        <w:ind w:firstLine="640" w:firstLineChars="200"/>
        <w:rPr>
          <w:rFonts w:hint="eastAsia" w:ascii="仿宋_GB2312" w:hAnsi="宋体" w:eastAsia="仿宋_GB2312"/>
          <w:sz w:val="32"/>
          <w:szCs w:val="32"/>
          <w:lang w:eastAsia="zh-CN"/>
        </w:rPr>
      </w:pPr>
      <w:r>
        <w:rPr>
          <w:rFonts w:hint="default" w:ascii="仿宋_GB2312" w:hAnsi="仿宋_GB2312" w:eastAsia="仿宋_GB2312" w:cs="仿宋_GB2312"/>
          <w:color w:val="auto"/>
          <w:kern w:val="2"/>
          <w:sz w:val="32"/>
          <w:szCs w:val="32"/>
          <w:lang w:val="en-US" w:eastAsia="zh-CN" w:bidi="ar-SA"/>
        </w:rPr>
        <w:t>南方多雨地区（如年降水量＞1500mm）采用高床可使地下水位降低至床面30cm以下，避免根系积水缺氧（积水48小时可导致幼苗死亡率超50%）。苗床宽度在此范围内可确保工作人员无需踩踏床面即可完成播种、除草、施肥等操作，避免土壤板结（踩踏可使土壤容重增加0.2</w:t>
      </w:r>
      <w:r>
        <w:rPr>
          <w:rFonts w:hint="eastAsia" w:ascii="仿宋_GB2312" w:hAnsi="仿宋_GB2312" w:eastAsia="仿宋_GB2312" w:cs="仿宋_GB2312"/>
          <w:color w:val="auto"/>
          <w:kern w:val="2"/>
          <w:sz w:val="32"/>
          <w:szCs w:val="32"/>
          <w:lang w:val="en-US" w:eastAsia="zh-CN" w:bidi="ar-SA"/>
        </w:rPr>
        <w:t>—</w:t>
      </w:r>
      <w:r>
        <w:rPr>
          <w:rFonts w:hint="default" w:ascii="仿宋_GB2312" w:hAnsi="仿宋_GB2312" w:eastAsia="仿宋_GB2312" w:cs="仿宋_GB2312"/>
          <w:color w:val="auto"/>
          <w:kern w:val="2"/>
          <w:sz w:val="32"/>
          <w:szCs w:val="32"/>
          <w:lang w:val="en-US" w:eastAsia="zh-CN" w:bidi="ar-SA"/>
        </w:rPr>
        <w:t>0.3g/cm³）</w:t>
      </w:r>
      <w:r>
        <w:rPr>
          <w:rFonts w:hint="eastAsia" w:ascii="仿宋_GB2312" w:hAnsi="仿宋_GB2312" w:eastAsia="仿宋_GB2312" w:cs="仿宋_GB2312"/>
          <w:color w:val="auto"/>
          <w:kern w:val="2"/>
          <w:sz w:val="32"/>
          <w:szCs w:val="32"/>
          <w:lang w:val="en-US" w:eastAsia="zh-CN" w:bidi="ar-SA"/>
        </w:rPr>
        <w:t>。30-40cm宽度满足小型机械（如手推式喷药机）通行，同时作为排水通道，雨季可快速疏导床间积水。也参考了</w:t>
      </w:r>
      <w:r>
        <w:rPr>
          <w:rFonts w:hint="eastAsia" w:ascii="仿宋_GB2312" w:hAnsi="宋体" w:eastAsia="仿宋_GB2312"/>
          <w:sz w:val="32"/>
          <w:szCs w:val="32"/>
        </w:rPr>
        <w:t>LY</w:t>
      </w:r>
      <w:r>
        <w:rPr>
          <w:rFonts w:hint="eastAsia" w:ascii="仿宋_GB2312" w:hAnsi="宋体" w:eastAsia="仿宋_GB2312"/>
          <w:sz w:val="32"/>
          <w:szCs w:val="32"/>
          <w:lang w:val="en-US" w:eastAsia="zh-CN"/>
        </w:rPr>
        <w:t>/</w:t>
      </w:r>
      <w:r>
        <w:rPr>
          <w:rFonts w:hint="eastAsia" w:ascii="仿宋_GB2312" w:hAnsi="宋体" w:eastAsia="仿宋_GB2312"/>
          <w:sz w:val="32"/>
          <w:szCs w:val="32"/>
        </w:rPr>
        <w:t>T2037-2012木荷培育技术规程</w:t>
      </w:r>
      <w:r>
        <w:rPr>
          <w:rFonts w:hint="eastAsia" w:ascii="仿宋_GB2312" w:hAnsi="宋体" w:eastAsia="仿宋_GB2312"/>
          <w:sz w:val="32"/>
          <w:szCs w:val="32"/>
          <w:lang w:eastAsia="zh-CN"/>
        </w:rPr>
        <w:t>。</w:t>
      </w:r>
    </w:p>
    <w:p w14:paraId="23476155">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马蹄荷种子播种深度通常为1-2cm，药液渗透3cm可确保种子周围土壤病原菌被有效杀灭，同时避免药剂过度下渗导致浪费或污染地下水。亚铁离子水解后降低土壤pH值至3.5-4.0，抑制真菌菌丝生长（多数病原菌适宜pH为5.5-7.0）；补充微量元素：铁元素可促进苗木叶绿素合成，增强抗病能力（叶片叶绿素含量提升15%-20%）。0.5%多菌灵溶液：广谱杀菌作用：通过抑制病原菌细胞微管蛋白合成，阻止细胞分裂和繁殖，对腐霉菌、镰刀菌等防治效果达85%以上；内吸性保护：药剂可被根系吸收并传导至幼苗体内，形成持续防护（持效期约15-20天）。利用害虫趋食性，将饵料（如麦麸、豆饼）与杀虫剂（如敌百虫、毒死蜱）混合制成毒饵，引诱害虫取食后中毒，减少对环境中天敌昆虫的影响（如瓢虫、寄生蜂存活率比广谱喷药高40%）。降低农药残留：毒饵集中投放于苗床周边或害虫活动路径，用药量仅为土壤全面喷洒的1/3-1/2，可降低药剂在土壤中的残留风险。播种前7-10天进行土壤处理，可在害虫活跃期（如春季地老虎幼虫孵化盛期）实施防控，避免害虫在种子发芽期至幼苗出土期（最脆弱阶段）造成危害。</w:t>
      </w:r>
    </w:p>
    <w:p w14:paraId="208E95A1">
      <w:pPr>
        <w:spacing w:line="60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2.播种</w:t>
      </w:r>
    </w:p>
    <w:p w14:paraId="3B9E587A">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我国南方地区3月初通常已过晚霜期（如华南地区终霜期多在2月中下旬），气温稳定在15℃以上可确保幼苗出土后不受低温冻害（马蹄荷幼苗耐寒临界温度为5℃，短期低温＜0℃会导致叶片冻伤）。若推迟至4月播种，虽温度更高（＞20℃），但幼苗可能遭遇夏季暴雨或高温强光（如日灼温度＞35℃），导致生长停滞或灼伤（幼苗死亡率增加20%）。在15℃条件下，种子发芽率可达75%，发芽势（初期发芽整齐度）为40%；温度升至20℃时，发芽率提升至85%，发芽势达65%，且发芽持续时间缩短5-7天。3月初播种可使种子在升温过程中逐步完成萌发，避免高温（＞30℃）导致的种皮开裂或胚坏死。3月光照强度为全日照的40%-60%，适合马蹄荷幼苗耐阴特性（幼苗期需光率30%-50%）。强光环境下（如夏季全日照），幼苗需遮阳网防护，增加管理成本，而3月自然光照可促进光合作用（光合速率达6-8μmol/m²・s），又避免灼伤。</w:t>
      </w:r>
    </w:p>
    <w:p w14:paraId="6E7EEAF4">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种子消毒符合GB/T15776的规定。</w:t>
      </w:r>
    </w:p>
    <w:p w14:paraId="1A5E21E5">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研究表明，下沉种子的发芽率（85%-90%）比漂浮种子（＜30%）高50%以上，且幼苗出土后茎粗、根长分别增加20%和25%。</w:t>
      </w:r>
    </w:p>
    <w:p w14:paraId="14486F31">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使用草木灰颗粒（粒径0.1-0.5mm）吸附种子表面，避免小颗粒种子（马蹄荷种子粒径约1-1.5mm）成团黏连，实现均匀撒播；同时草木灰含钾、钙等矿物质，播种后缓慢释放，促进根系发育，同时其碱性环境（pH8-10）可抑制土壤病原菌繁殖。细沙降低种子密度，使播种时手感更易控制，尤其适合小粒种子（千粒重1.5g），避免手撒时局部过密。播种量（g/m²）=目标苗数×千粒重（g）÷发芽率（%）÷净度（%）×安全系数（1.2-1.5）。过密危害：株距＜2cm时，苗木竞争加剧，高生长量下降15%，根系发育受抑（侧根数减少30%），且易引发猝倒病（发病率随密度增加呈指数上升，＞800株/m²时发病率＞25%）。过稀弊端：＜500株/m²时，土地利用率低，单位面积产苗量不足，且杂草覆盖度易超过30%，增加除草成本（人工成本增加50%）。</w:t>
      </w:r>
    </w:p>
    <w:p w14:paraId="5088706A">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3.苗期管理</w:t>
      </w:r>
    </w:p>
    <w:p w14:paraId="3FF02233">
      <w:pPr>
        <w:spacing w:line="600" w:lineRule="exact"/>
        <w:ind w:firstLine="640" w:firstLineChars="200"/>
        <w:rPr>
          <w:rFonts w:hint="eastAsia" w:ascii="仿宋_GB2312" w:hAnsi="宋体" w:eastAsia="仿宋_GB2312"/>
          <w:sz w:val="32"/>
          <w:szCs w:val="32"/>
          <w:lang w:val="en-US" w:eastAsia="zh-CN"/>
        </w:rPr>
      </w:pPr>
      <w:r>
        <w:rPr>
          <w:rFonts w:hint="default" w:ascii="仿宋_GB2312" w:hAnsi="宋体" w:eastAsia="仿宋_GB2312"/>
          <w:sz w:val="32"/>
          <w:szCs w:val="32"/>
          <w:lang w:val="en-US" w:eastAsia="zh-CN"/>
        </w:rPr>
        <w:t>揭除覆盖物和分阶段遮荫是马蹄荷育苗中“促生长、防胁迫、炼壮苗”的关键技术链。通过精准控制幼苗从弱光到适度光照的过渡，既满足其早期耐荫需求，又通过后期光照胁迫锻炼提升抗性，实现了形态建成（苗高、茎粗、根系）与生理功能（光合效率、抗氧化物积累）的协同优化。这一过程使苗木质量指标（如Ⅰ级苗率＞85%）和移栽适应性显著提升</w:t>
      </w:r>
      <w:r>
        <w:rPr>
          <w:rFonts w:hint="eastAsia" w:ascii="仿宋_GB2312" w:hAnsi="宋体" w:eastAsia="仿宋_GB2312"/>
          <w:sz w:val="32"/>
          <w:szCs w:val="32"/>
          <w:lang w:val="en-US" w:eastAsia="zh-CN"/>
        </w:rPr>
        <w:t>。</w:t>
      </w:r>
      <w:r>
        <w:rPr>
          <w:rFonts w:hint="default" w:ascii="仿宋_GB2312" w:hAnsi="宋体" w:eastAsia="仿宋_GB2312"/>
          <w:sz w:val="32"/>
          <w:szCs w:val="32"/>
          <w:lang w:val="en-US" w:eastAsia="zh-CN"/>
        </w:rPr>
        <w:t>当大部分幼苗出土后（剩余15%～20%多为瘪种或弱苗），说明种源活力达标，此时揭除覆盖物可避免已出土幼苗因覆盖物遮挡导致徒长</w:t>
      </w:r>
      <w:r>
        <w:rPr>
          <w:rFonts w:hint="eastAsia" w:ascii="仿宋_GB2312" w:hAnsi="宋体" w:eastAsia="仿宋_GB2312"/>
          <w:sz w:val="32"/>
          <w:szCs w:val="32"/>
          <w:lang w:val="en-US" w:eastAsia="zh-CN"/>
        </w:rPr>
        <w:t>。阴天空气湿度较高（相对湿度＞80%），揭除覆盖物后幼苗蒸腾速率较低（比晴天低40%～50%），可减少因根系吸水能力不足导致的萎蔫（此时幼苗根系仅形成1～2级侧根，吸水效率为成株的20%）。根据马朝忠等遮光对马蹄荷1年生播种苗研究表面光遮光度55％是最优的，逐步增加光照至自然光照的45%～55%（约8000～12000Lux），可诱导叶片合成类黄酮等抗氧化物质（含量增加30%～40%），提升对强光、干旱的适应能力，出圃后移栽成活率比持续高遮荫苗高20%以上。马蹄荷幼苗期（出土后1～3个月）叶片叶绿素a/b比值较低（约2.0），更适应散射光环境，65%～75%遮荫可使光照强度维持在3000～5000Lux，夏季强光（＞15000Lux）伴随高温（＞30℃）易引发幼苗日灼，遮荫可使地表温度降低5～8℃，灼伤发生率＜5%（无遮荫时可达30%）；遮荫网可削弱风速（降低20%～30%），减少幼苗因蒸腾过度导致的生理性干旱（叶片相对含水量维持在85%以上）。</w:t>
      </w:r>
    </w:p>
    <w:p w14:paraId="0222A498">
      <w:pPr>
        <w:spacing w:line="600" w:lineRule="exact"/>
        <w:ind w:firstLine="640" w:firstLineChars="200"/>
        <w:rPr>
          <w:rFonts w:hint="default" w:ascii="仿宋_GB2312" w:hAnsi="宋体" w:eastAsia="仿宋_GB2312"/>
          <w:sz w:val="32"/>
          <w:szCs w:val="32"/>
          <w:lang w:val="en-US" w:eastAsia="zh-CN"/>
        </w:rPr>
      </w:pPr>
      <w:r>
        <w:rPr>
          <w:rFonts w:hint="default" w:ascii="仿宋_GB2312" w:hAnsi="宋体" w:eastAsia="仿宋_GB2312"/>
          <w:sz w:val="32"/>
          <w:szCs w:val="32"/>
          <w:lang w:val="en-US" w:eastAsia="zh-CN"/>
        </w:rPr>
        <w:t>幼苗期（移苗后1个月内）：土壤含水量需维持在田间持水量的65%</w:t>
      </w:r>
      <w:r>
        <w:rPr>
          <w:rFonts w:hint="eastAsia" w:ascii="仿宋_GB2312" w:hAnsi="宋体" w:eastAsia="仿宋_GB2312"/>
          <w:sz w:val="32"/>
          <w:szCs w:val="32"/>
          <w:lang w:val="en-US" w:eastAsia="zh-CN"/>
        </w:rPr>
        <w:t>-</w:t>
      </w:r>
      <w:r>
        <w:rPr>
          <w:rFonts w:hint="default" w:ascii="仿宋_GB2312" w:hAnsi="宋体" w:eastAsia="仿宋_GB2312"/>
          <w:sz w:val="32"/>
          <w:szCs w:val="32"/>
          <w:lang w:val="en-US" w:eastAsia="zh-CN"/>
        </w:rPr>
        <w:t>70%（用土壤湿度计测定，或通过手捏成团不散判断），此时根系浅（10cm以内），缺水会导致新叶萎蔫（相对含水量＜80%时生长停滞），浇水频率为每2</w:t>
      </w:r>
      <w:r>
        <w:rPr>
          <w:rFonts w:hint="eastAsia" w:ascii="仿宋_GB2312" w:hAnsi="宋体" w:eastAsia="仿宋_GB2312"/>
          <w:sz w:val="32"/>
          <w:szCs w:val="32"/>
          <w:lang w:val="en-US" w:eastAsia="zh-CN"/>
        </w:rPr>
        <w:t>-</w:t>
      </w:r>
      <w:r>
        <w:rPr>
          <w:rFonts w:hint="default" w:ascii="仿宋_GB2312" w:hAnsi="宋体" w:eastAsia="仿宋_GB2312"/>
          <w:sz w:val="32"/>
          <w:szCs w:val="32"/>
          <w:lang w:val="en-US" w:eastAsia="zh-CN"/>
        </w:rPr>
        <w:t>3天1次，每次浇水量5</w:t>
      </w:r>
      <w:r>
        <w:rPr>
          <w:rFonts w:hint="eastAsia" w:ascii="仿宋_GB2312" w:hAnsi="宋体" w:eastAsia="仿宋_GB2312"/>
          <w:sz w:val="32"/>
          <w:szCs w:val="32"/>
          <w:lang w:val="en-US" w:eastAsia="zh-CN"/>
        </w:rPr>
        <w:t>-</w:t>
      </w:r>
      <w:r>
        <w:rPr>
          <w:rFonts w:hint="default" w:ascii="仿宋_GB2312" w:hAnsi="宋体" w:eastAsia="仿宋_GB2312"/>
          <w:sz w:val="32"/>
          <w:szCs w:val="32"/>
          <w:lang w:val="en-US" w:eastAsia="zh-CN"/>
        </w:rPr>
        <w:t>10L/m²</w:t>
      </w:r>
      <w:r>
        <w:rPr>
          <w:rFonts w:hint="eastAsia" w:ascii="仿宋_GB2312" w:hAnsi="宋体" w:eastAsia="仿宋_GB2312"/>
          <w:sz w:val="32"/>
          <w:szCs w:val="32"/>
          <w:lang w:val="en-US" w:eastAsia="zh-CN"/>
        </w:rPr>
        <w:t>。速生期（1个月后）：根系扩展至20-30cm，耐旱能力增强，土壤含水量可降至60%-65%，浇水频率调整为每5-7天1次，每次10-15L/m²，避免因湿度过高引发根腐病。</w:t>
      </w:r>
    </w:p>
    <w:p w14:paraId="578DE537">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喷施浓度：0.2%即1000ml水中含2g尿素（N≥46%）。每公顷喷施量：按常规喷雾量1500-2000L/hm²计算，每次需尿素3-4kg/hm²（即3-4g/m²）。作用：快速补充氮素，促进新梢生长（喷后7天可见叶色转绿，新叶生长速率提升15%）；尿素分子小（分子量60），可通过叶片气孔直接吸收，利用率达70%以上（比根施高20%）。</w:t>
      </w:r>
    </w:p>
    <w:p w14:paraId="315E74CA">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0.2%磷酸二氢钾溶液（KH₂PO₄，P₂O₅≥52%，K₂O≥34%）。用量计算：喷施浓度：0.2%即1000ml水中含2g磷酸二氢钾，每公顷每次用量3-4kg（与尿素相同）。作用：磷促进根系发育（侧根数增加30%），钾增强抗逆性（如高温下细胞膜稳定性提升25%）；溶液pH值4.5-5.5，可调节苗床微酸性环境，抑制碱性土壤中缺铁黄化病。</w:t>
      </w:r>
    </w:p>
    <w:p w14:paraId="5D62590A">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氮（尿素）与磷钾（磷酸二氢钾）间隔施用，避免单一养分过量导致拮抗作用（如氮肥过多抑制钾吸收）。</w:t>
      </w:r>
    </w:p>
    <w:p w14:paraId="1FAFA579">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腐熟农家肥（如猪粪水）按1:20-1:30稀释（原液浓度约15%-20%），即3%-5%浓度；沼液需静置过滤后，按1:10-1:15稀释（原液含固量约5%-8%），避免未腐熟物质烧根。含腐殖酸（≥30mg/L）和有益微生物（如放线菌＞10⁶CFU/ml），可改善土壤团粒结构，促进根系吸收能力（比单一化肥提升10%-15%）。</w:t>
      </w:r>
    </w:p>
    <w:p w14:paraId="6B06DFC0">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drawing>
          <wp:anchor distT="0" distB="0" distL="114300" distR="114300" simplePos="0" relativeHeight="251669504" behindDoc="1" locked="0" layoutInCell="1" allowOverlap="1">
            <wp:simplePos x="0" y="0"/>
            <wp:positionH relativeFrom="column">
              <wp:posOffset>480060</wp:posOffset>
            </wp:positionH>
            <wp:positionV relativeFrom="paragraph">
              <wp:posOffset>312420</wp:posOffset>
            </wp:positionV>
            <wp:extent cx="4629150" cy="2333625"/>
            <wp:effectExtent l="0" t="0" r="0" b="9525"/>
            <wp:wrapThrough wrapText="bothSides">
              <wp:wrapPolygon>
                <wp:start x="0" y="0"/>
                <wp:lineTo x="0" y="21512"/>
                <wp:lineTo x="21511" y="21512"/>
                <wp:lineTo x="21511" y="0"/>
                <wp:lineTo x="0" y="0"/>
              </wp:wrapPolygon>
            </wp:wrapThrough>
            <wp:docPr id="18" name="图片 18" descr="174779936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47799366963"/>
                    <pic:cNvPicPr>
                      <a:picLocks noChangeAspect="1"/>
                    </pic:cNvPicPr>
                  </pic:nvPicPr>
                  <pic:blipFill>
                    <a:blip r:embed="rId15"/>
                    <a:stretch>
                      <a:fillRect/>
                    </a:stretch>
                  </pic:blipFill>
                  <pic:spPr>
                    <a:xfrm>
                      <a:off x="0" y="0"/>
                      <a:ext cx="4629150" cy="2333625"/>
                    </a:xfrm>
                    <a:prstGeom prst="rect">
                      <a:avLst/>
                    </a:prstGeom>
                  </pic:spPr>
                </pic:pic>
              </a:graphicData>
            </a:graphic>
          </wp:anchor>
        </w:drawing>
      </w:r>
    </w:p>
    <w:p w14:paraId="0A840CFF">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通过拔除过密、弱小或染病幼苗，避免竞争光照、养分和空间。研究表明，当密度从200株/m²降至100株/m²时，单株苗高增长25%，茎粗增加30%，根系生物量提升40%。</w:t>
      </w:r>
    </w:p>
    <w:p w14:paraId="3C084DE4">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补苗：在缺苗处移植健壮幼苗，确保苗床均匀度（变异系数＜15%），避免空秃导致杂草滋生（覆盖度＞30%时除草成本增加50%）。</w:t>
      </w:r>
    </w:p>
    <w:p w14:paraId="42560A1A">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定苗密度90-100株/m²的依据：马蹄荷一年生苗适宜营养面积为100cm²/株（即100株/m²），此时叶面积指数达3.0-3.5，光合效率最高，且通风良好（株间风速＞0.5m/s）可降低病害发生率。</w:t>
      </w:r>
    </w:p>
    <w:p w14:paraId="0750FC4F">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11月中旬后控水：减少浇水频率至每10-15天1次，土壤含水量降至50%-55%，强制苗木停止高生长，加速木质化（木质素含量每周增加1.2%），提升抗寒能力（可耐受-5℃短期低温）。</w:t>
      </w:r>
    </w:p>
    <w:p w14:paraId="5B718B0D">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（2）容器苗</w:t>
      </w:r>
    </w:p>
    <w:p w14:paraId="7526DC86">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1.容器选择</w:t>
      </w:r>
    </w:p>
    <w:p w14:paraId="564D92A9">
      <w:pPr>
        <w:spacing w:line="600" w:lineRule="exact"/>
        <w:ind w:firstLine="640" w:firstLineChars="200"/>
        <w:rPr>
          <w:rFonts w:hint="eastAsia" w:ascii="仿宋_GB2312" w:hAnsi="宋体" w:eastAsia="仿宋_GB2312"/>
          <w:sz w:val="32"/>
          <w:szCs w:val="32"/>
          <w:lang w:val="en-US" w:eastAsia="zh-CN"/>
        </w:rPr>
      </w:pPr>
      <w:r>
        <w:rPr>
          <w:rFonts w:hint="default" w:ascii="仿宋_GB2312" w:hAnsi="宋体" w:eastAsia="仿宋_GB2312"/>
          <w:sz w:val="32"/>
          <w:szCs w:val="32"/>
          <w:lang w:val="en-US" w:eastAsia="zh-CN"/>
        </w:rPr>
        <w:t>马蹄荷主根年生长量约10～15cm，容器高度不足（＜12cm）会迫使主根弯曲（畸形根率＞50%），降低抗风能力；超过15cm则基质填充量增加，搬运成本上升（单容器重量增加20%）。无纺布孔隙度＞90%（孔径0.1～0.5mm），根系接触容器壁时会因空气干燥停止生长，形成短而粗的侧根（比塑料容器侧根数增加40%），避免盘旋根</w:t>
      </w:r>
      <w:r>
        <w:rPr>
          <w:rFonts w:hint="eastAsia" w:ascii="仿宋_GB2312" w:hAnsi="宋体" w:eastAsia="仿宋_GB2312"/>
          <w:sz w:val="32"/>
          <w:szCs w:val="32"/>
          <w:lang w:val="en-US" w:eastAsia="zh-CN"/>
        </w:rPr>
        <w:t>。</w:t>
      </w:r>
    </w:p>
    <w:p w14:paraId="50C9E95F">
      <w:pPr>
        <w:spacing w:line="600" w:lineRule="exact"/>
        <w:ind w:firstLine="640" w:firstLineChars="200"/>
        <w:rPr>
          <w:rFonts w:hint="default" w:ascii="仿宋_GB2312" w:hAnsi="宋体" w:eastAsia="仿宋_GB2312"/>
          <w:sz w:val="32"/>
          <w:szCs w:val="32"/>
          <w:lang w:val="en-US" w:eastAsia="zh-CN"/>
        </w:rPr>
      </w:pPr>
      <w:r>
        <w:rPr>
          <w:rFonts w:hint="default" w:ascii="仿宋_GB2312" w:hAnsi="宋体" w:eastAsia="仿宋_GB2312"/>
          <w:sz w:val="32"/>
          <w:szCs w:val="32"/>
          <w:lang w:val="en-US" w:eastAsia="zh-CN"/>
        </w:rPr>
        <w:t>成本敏感型生产：单价约0.1～0.2元/个（无纺布容器0.3～0.5元/个），适合大规模短期育苗（＜6个月）。特殊环境育苗：在干旱地区，塑料容器保水性（蒸发量比无纺布低30%）可减少浇水频率（从每周2次减至1次），降低管理成本。缺点：需人工修剪盘根（每株增加0.05元人工成本），否则移栽后缓苗期延长7～10天，成活率下降10%～15%。</w:t>
      </w:r>
    </w:p>
    <w:p w14:paraId="2A2A0FC4">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2.基质选择</w:t>
      </w:r>
    </w:p>
    <w:p w14:paraId="3CA9A5E5">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生黄土（黏粒含量 30%-40%）缺乏有机质，通气孔隙度＜15%，但加入 2% 过磷酸钙（用量约 10kg/m³）后，磷酸根离子可置换黏土颗粒表面的钙镁离子，促进团粒结构形成（＞0.25mm 团粒占比从 10% 升至 25%），使基质容重从 1.6g/cm³ 降至 1.4g/cm³，通气孔隙度提升至 20%-25%，满足根系呼吸需求（氧气含量≥10%）。地表 20cm 内的表土含有机质≥20g/kg、速效氮＞100mg/kg，微生物活性高，可满足幼苗前 3 个月的养分需求（氮素自给率＞70%）。最表层（0-5cm）易积累病原菌（如腐霉菌）、杂草种子（如稗草种子密度＞100 粒 / 100g 土），刮除后可使苗期病害发生率下降 50%，杂草覆盖度＜5%。</w:t>
      </w:r>
    </w:p>
    <w:p w14:paraId="587ABE53">
      <w:pPr>
        <w:pStyle w:val="2"/>
        <w:ind w:firstLine="640" w:firstLineChars="200"/>
        <w:rPr>
          <w:rFonts w:hint="eastAsia" w:ascii="仿宋_GB2312" w:hAnsi="宋体" w:eastAsia="仿宋_GB2312" w:cs="Times New Roman"/>
          <w:color w:val="auto"/>
          <w:kern w:val="2"/>
          <w:sz w:val="32"/>
          <w:szCs w:val="32"/>
          <w:lang w:val="en-US" w:eastAsia="zh-CN" w:bidi="ar-SA"/>
        </w:rPr>
      </w:pPr>
      <w:r>
        <w:rPr>
          <w:rFonts w:hint="eastAsia" w:ascii="仿宋_GB2312" w:hAnsi="宋体" w:eastAsia="仿宋_GB2312" w:cs="Times New Roman"/>
          <w:color w:val="auto"/>
          <w:kern w:val="2"/>
          <w:sz w:val="32"/>
          <w:szCs w:val="32"/>
          <w:lang w:val="en-US" w:eastAsia="zh-CN" w:bidi="ar-SA"/>
        </w:rPr>
        <w:t>配方组分的功能协同：</w:t>
      </w:r>
    </w:p>
    <w:p w14:paraId="7E681514">
      <w:pPr>
        <w:pStyle w:val="2"/>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drawing>
          <wp:inline distT="0" distB="0" distL="114300" distR="114300">
            <wp:extent cx="5266055" cy="3308350"/>
            <wp:effectExtent l="0" t="0" r="10795" b="6350"/>
            <wp:docPr id="16" name="图片 16" descr="174943439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49434391385"/>
                    <pic:cNvPicPr>
                      <a:picLocks noChangeAspect="1"/>
                    </pic:cNvPicPr>
                  </pic:nvPicPr>
                  <pic:blipFill>
                    <a:blip r:embed="rId16"/>
                    <a:stretch>
                      <a:fillRect/>
                    </a:stretch>
                  </pic:blipFill>
                  <pic:spPr>
                    <a:xfrm>
                      <a:off x="0" y="0"/>
                      <a:ext cx="5266055" cy="3308350"/>
                    </a:xfrm>
                    <a:prstGeom prst="rect">
                      <a:avLst/>
                    </a:prstGeom>
                  </pic:spPr>
                </pic:pic>
              </a:graphicData>
            </a:graphic>
          </wp:inline>
        </w:drawing>
      </w:r>
    </w:p>
    <w:p w14:paraId="5E9CB156">
      <w:pPr>
        <w:pStyle w:val="3"/>
        <w:ind w:left="0" w:leftChars="0" w:firstLine="640" w:firstLineChars="200"/>
        <w:rPr>
          <w:rFonts w:hint="eastAsia" w:ascii="仿宋_GB2312" w:hAnsi="宋体" w:eastAsia="仿宋_GB2312" w:cs="Times New Roman"/>
          <w:kern w:val="2"/>
          <w:sz w:val="32"/>
          <w:szCs w:val="32"/>
          <w:lang w:val="en-US" w:eastAsia="zh-CN" w:bidi="ar-SA"/>
        </w:rPr>
      </w:pPr>
      <w:r>
        <w:rPr>
          <w:rFonts w:hint="eastAsia" w:ascii="仿宋_GB2312" w:hAnsi="宋体" w:eastAsia="仿宋_GB2312" w:cs="Times New Roman"/>
          <w:kern w:val="2"/>
          <w:sz w:val="32"/>
          <w:szCs w:val="32"/>
          <w:lang w:val="en-US" w:eastAsia="zh-CN" w:bidi="ar-SA"/>
        </w:rPr>
        <w:t>不同基质的对比试验数据：</w:t>
      </w:r>
    </w:p>
    <w:p w14:paraId="731F2774">
      <w:pPr>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drawing>
          <wp:inline distT="0" distB="0" distL="114300" distR="114300">
            <wp:extent cx="5264785" cy="1418590"/>
            <wp:effectExtent l="0" t="0" r="12065" b="10160"/>
            <wp:docPr id="23" name="图片 23" descr="174943452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49434520997"/>
                    <pic:cNvPicPr>
                      <a:picLocks noChangeAspect="1"/>
                    </pic:cNvPicPr>
                  </pic:nvPicPr>
                  <pic:blipFill>
                    <a:blip r:embed="rId17"/>
                    <a:stretch>
                      <a:fillRect/>
                    </a:stretch>
                  </pic:blipFill>
                  <pic:spPr>
                    <a:xfrm>
                      <a:off x="0" y="0"/>
                      <a:ext cx="5264785" cy="1418590"/>
                    </a:xfrm>
                    <a:prstGeom prst="rect">
                      <a:avLst/>
                    </a:prstGeom>
                  </pic:spPr>
                </pic:pic>
              </a:graphicData>
            </a:graphic>
          </wp:inline>
        </w:drawing>
      </w:r>
    </w:p>
    <w:p w14:paraId="6EDDD43E">
      <w:pPr>
        <w:pStyle w:val="2"/>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椰糠泥炭基质虽成本高，但育苗周期缩短 40%，且移栽成活率比黄土基质高 20%，适合商品化容器苗生产；生黄土基质需配合后期追肥（如 2 次尿素喷施），否则苗高生长量下降 20%。</w:t>
      </w:r>
    </w:p>
    <w:p w14:paraId="70C3C397">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3.基质消毒</w:t>
      </w:r>
    </w:p>
    <w:p w14:paraId="341FB545">
      <w:pPr>
        <w:spacing w:line="600" w:lineRule="exact"/>
        <w:ind w:firstLine="640" w:firstLineChars="200"/>
        <w:rPr>
          <w:rFonts w:hint="default" w:ascii="仿宋_GB2312" w:hAnsi="宋体" w:eastAsia="仿宋_GB2312" w:cs="Times New Roman"/>
          <w:sz w:val="32"/>
          <w:szCs w:val="32"/>
          <w:lang w:val="en-US" w:eastAsia="zh-CN"/>
        </w:rPr>
      </w:pPr>
      <w:r>
        <w:rPr>
          <w:rFonts w:hint="default" w:ascii="仿宋_GB2312" w:hAnsi="宋体" w:eastAsia="仿宋_GB2312" w:cs="Times New Roman"/>
          <w:sz w:val="32"/>
          <w:szCs w:val="32"/>
          <w:lang w:val="en-US" w:eastAsia="zh-CN"/>
        </w:rPr>
        <w:t>移苗前2天操作：药剂喷施后需至少48小时发挥作用（如多菌灵需24小时内被基质吸附并扩散至病原菌周围），同时避免消毒后立即移苗导致根系接触高浓度药液（灼伤率＞5%）。给基质预留通风散气时间，使药剂残留浓度降至安全阈值（如硫酸亚铁水解后产生的游离酸pH＞4.5，避免＜4.0伤害新根）。</w:t>
      </w:r>
    </w:p>
    <w:p w14:paraId="6975BA5B">
      <w:pPr>
        <w:spacing w:line="600" w:lineRule="exact"/>
        <w:ind w:firstLine="640" w:firstLineChars="200"/>
        <w:rPr>
          <w:rFonts w:hint="eastAsia" w:ascii="仿宋_GB2312" w:hAnsi="宋体" w:eastAsia="仿宋_GB2312" w:cs="Times New Roman"/>
          <w:sz w:val="32"/>
          <w:szCs w:val="32"/>
          <w:lang w:val="en-US" w:eastAsia="zh-CN"/>
        </w:rPr>
      </w:pPr>
      <w:r>
        <w:rPr>
          <w:rFonts w:hint="default" w:ascii="仿宋_GB2312" w:hAnsi="宋体" w:eastAsia="仿宋_GB2312" w:cs="Times New Roman"/>
          <w:sz w:val="32"/>
          <w:szCs w:val="32"/>
          <w:lang w:val="en-US" w:eastAsia="zh-CN"/>
        </w:rPr>
        <w:t>基质携带的主要病原菌腐霉菌（Pythiumspp.）：引发猝倒病</w:t>
      </w:r>
      <w:r>
        <w:rPr>
          <w:rFonts w:hint="eastAsia" w:ascii="仿宋_GB2312" w:hAnsi="宋体" w:eastAsia="仿宋_GB2312" w:cs="Times New Roman"/>
          <w:sz w:val="32"/>
          <w:szCs w:val="32"/>
          <w:lang w:val="en-US" w:eastAsia="zh-CN"/>
        </w:rPr>
        <w:t>、</w:t>
      </w:r>
      <w:r>
        <w:rPr>
          <w:rFonts w:hint="default" w:ascii="仿宋_GB2312" w:hAnsi="宋体" w:eastAsia="仿宋_GB2312" w:cs="Times New Roman"/>
          <w:sz w:val="32"/>
          <w:szCs w:val="32"/>
          <w:lang w:val="en-US" w:eastAsia="zh-CN"/>
        </w:rPr>
        <w:t>导致根腐病</w:t>
      </w:r>
      <w:r>
        <w:rPr>
          <w:rFonts w:hint="eastAsia" w:ascii="仿宋_GB2312" w:hAnsi="宋体" w:eastAsia="仿宋_GB2312" w:cs="Times New Roman"/>
          <w:sz w:val="32"/>
          <w:szCs w:val="32"/>
          <w:lang w:val="en-US" w:eastAsia="zh-CN"/>
        </w:rPr>
        <w:t>、</w:t>
      </w:r>
      <w:r>
        <w:rPr>
          <w:rFonts w:hint="default" w:ascii="仿宋_GB2312" w:hAnsi="宋体" w:eastAsia="仿宋_GB2312" w:cs="Times New Roman"/>
          <w:sz w:val="32"/>
          <w:szCs w:val="32"/>
          <w:lang w:val="en-US" w:eastAsia="zh-CN"/>
        </w:rPr>
        <w:t>引起立枯病</w:t>
      </w:r>
      <w:r>
        <w:rPr>
          <w:rFonts w:hint="eastAsia" w:ascii="仿宋_GB2312" w:hAnsi="宋体" w:eastAsia="仿宋_GB2312" w:cs="Times New Roman"/>
          <w:sz w:val="32"/>
          <w:szCs w:val="32"/>
          <w:lang w:val="en-US" w:eastAsia="zh-CN"/>
        </w:rPr>
        <w:t>。3%硫酸亚铁溶液作用原理：强酸性杀菌：Fe²+水解使基质pH降至3.5-4.0，抑制真菌酶活性（如琥珀酸脱氢酶活性下降80%），对腐霉菌特效（杀灭率＞95%）；营养补充：Fe²+可被苗木吸收，预防新叶缺铁黄化（叶绿素含量比未处理组高15%）。</w:t>
      </w:r>
    </w:p>
    <w:p w14:paraId="5EDC2AD5">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湿透3cm的依据：移苗时幼苗根系长度约5-8cm，消毒深度覆盖根系分布层（基质表层3-5cm），确保病原菌密集区域（距表层1-3cm处微生物数量占比60%）被有效杀灭。</w:t>
      </w:r>
    </w:p>
    <w:p w14:paraId="02A9C9BF">
      <w:pPr>
        <w:spacing w:line="600" w:lineRule="exact"/>
        <w:ind w:firstLine="640" w:firstLineChars="200"/>
        <w:rPr>
          <w:rFonts w:hint="default" w:ascii="仿宋_GB2312" w:hAnsi="宋体" w:eastAsia="仿宋_GB2312" w:cs="Times New Roman"/>
          <w:sz w:val="32"/>
          <w:szCs w:val="32"/>
          <w:lang w:val="en-US" w:eastAsia="zh-CN"/>
        </w:rPr>
      </w:pPr>
      <w:r>
        <w:rPr>
          <w:rFonts w:hint="default" w:ascii="仿宋_GB2312" w:hAnsi="宋体" w:eastAsia="仿宋_GB2312" w:cs="Times New Roman"/>
          <w:sz w:val="32"/>
          <w:szCs w:val="32"/>
          <w:lang w:val="en-US" w:eastAsia="zh-CN"/>
        </w:rPr>
        <w:t>0.5%多菌灵溶液作用原理：内吸性杀菌：通过抑制真菌微管蛋白合成，阻止细胞分裂，对镰刀菌、丝核菌防效达85%以上；持续保护：药剂可被基质胶体吸附，形成缓释层，移苗后7天内仍保持抑菌活性（最低抑菌浓度MIC＜5ppm）。</w:t>
      </w:r>
    </w:p>
    <w:p w14:paraId="2BE41B63">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这一操作可使基质病原菌数量降低90%以上，同时为根系创造清洁的生长环境，确保移苗后缓苗期缩短至3-5天（未消毒处理需7-10天），成活率提升20%-25%。</w:t>
      </w:r>
    </w:p>
    <w:p w14:paraId="0750BDFA">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4.牙苗移植</w:t>
      </w:r>
    </w:p>
    <w:p w14:paraId="2EBE1493">
      <w:pPr>
        <w:spacing w:line="600" w:lineRule="exact"/>
        <w:ind w:firstLine="640" w:firstLineChars="200"/>
        <w:rPr>
          <w:rFonts w:hint="default" w:ascii="仿宋_GB2312" w:hAnsi="宋体" w:eastAsia="仿宋_GB2312" w:cs="Times New Roman"/>
          <w:sz w:val="32"/>
          <w:szCs w:val="32"/>
          <w:lang w:val="en-US" w:eastAsia="zh-CN"/>
        </w:rPr>
      </w:pPr>
      <w:r>
        <w:rPr>
          <w:rFonts w:hint="default" w:ascii="仿宋_GB2312" w:hAnsi="宋体" w:eastAsia="仿宋_GB2312" w:cs="Times New Roman"/>
          <w:sz w:val="32"/>
          <w:szCs w:val="32"/>
          <w:lang w:val="en-US" w:eastAsia="zh-CN"/>
        </w:rPr>
        <w:t>马蹄荷种子萌发后，胚根首先突破种皮形成主根，至1～2片真叶期，主根长度达4～6cm，开始萌发1级侧根（数量1～2条），根系分布深度集中在表层2～3cm。此时移植，根系损伤率可控制在30%以内（主根保留长度≥3cm），且侧根再生能力强（移植后5～7天可萌发新侧根）。若苗高＞5cm、真叶＞3片时移植，主根已深入基质5～8cm，侧根数量3～4条，起苗时主根易断裂（断裂率＞60%），且地上部蒸腾面积大（叶面积＞10cm²），导致水分失衡（蒸腾速率＞吸水速率2倍以上），成活率下降至60%以下。湿润苗床使基质膨润，根系与基质黏结力降低（黏结力从200Pa降至50Pa），起苗时可减少根系撕裂（完整根系保留率从50%提升至80%）</w:t>
      </w:r>
      <w:r>
        <w:rPr>
          <w:rFonts w:hint="eastAsia" w:ascii="仿宋_GB2312" w:hAnsi="宋体" w:eastAsia="仿宋_GB2312" w:cs="Times New Roman"/>
          <w:sz w:val="32"/>
          <w:szCs w:val="32"/>
          <w:lang w:val="en-US" w:eastAsia="zh-CN"/>
        </w:rPr>
        <w:t>。</w:t>
      </w:r>
    </w:p>
    <w:p w14:paraId="44F0A960">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猝倒病（病原菌：腐霉菌、镰刀菌）：是马蹄荷幼苗期最主要病害，感病后幼苗茎基部出现水渍状病斑，迅速倒伏死亡，严重时死亡率可达70%以上。叶斑病（炭疽菌、尾孢菌）：移苗1个月后，随着新叶展开，高温高湿环境易引发叶部病害，病斑扩展速度达2-3mm/天，严重时落叶率＞50%。立枯病（病原菌：立枯丝核菌）：导致幼苗根系腐烂、地上部枯萎，病株易拔起，土壤带菌是主要初侵染源（病菌可在土中存活2-3年）。</w:t>
      </w:r>
    </w:p>
    <w:p w14:paraId="0B43D888">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50%多菌灵可湿性粉剂作用机制：抑制真菌细胞分裂中期的纺锤体形成，导致细胞畸变死亡，对腐霉菌、镰刀菌特效，持效期7-10天。25%甲基托布津可湿性粉剂作用机制：在植物体内转化为多菌灵，干扰真菌DNA合成，对炭疽菌、尾孢菌效果更佳，持效期8-12天。与多菌灵作用机制相似但靶点略有差异，交替使用可覆盖更广谱病原菌，防效提升至90%以上。</w:t>
      </w:r>
    </w:p>
    <w:p w14:paraId="040F5DE5">
      <w:pPr>
        <w:spacing w:line="600" w:lineRule="exact"/>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病原菌从侵染到显症的潜育期通常为7-10天（如腐霉菌潜育期5-7天，炭疽菌7-10天），每10天喷药可在新侵染循环前杀灭病原菌，将病情指数控制在5以下（病情指数＞10时需加大药量）。每隔7 d～10 d宜用敌磺钠800～1000倍液或甲霜恶霉灵1000倍，交替喷施，是为了预防立枯病、猝倒病等病害。</w:t>
      </w:r>
    </w:p>
    <w:p w14:paraId="62AF0764">
      <w:pPr>
        <w:spacing w:line="600" w:lineRule="exact"/>
        <w:ind w:firstLine="640" w:firstLineChars="200"/>
        <w:rPr>
          <w:rFonts w:hint="eastAsia" w:eastAsia="仿宋_GB2312"/>
          <w:b w:val="0"/>
          <w:bCs w:val="0"/>
          <w:sz w:val="32"/>
          <w:szCs w:val="28"/>
          <w:lang w:val="en-US" w:eastAsia="zh-CN"/>
        </w:rPr>
      </w:pPr>
      <w:r>
        <w:rPr>
          <w:rFonts w:hint="eastAsia" w:eastAsia="仿宋_GB2312"/>
          <w:b w:val="0"/>
          <w:bCs w:val="0"/>
          <w:sz w:val="32"/>
          <w:szCs w:val="28"/>
          <w:lang w:val="en-US" w:eastAsia="zh-CN"/>
        </w:rPr>
        <w:t>敌磺钠（别名敌克松）属于取代苯类杀菌剂，通过抑制病原菌的丙酮酸氧化酶系统，阻断能量代谢（ATP 合成减少 90%），导致菌丝死亡。对腐霉菌（Pythium spp.）、镰刀菌（Fusarium spp.）等猝倒病主要病原的抑菌率可达 95% 以上。猝倒病具强传染性，单株发病后，病原菌可通过雨水飞溅、灌溉水扩散至周边 50cm 范围内，3 天内侵染率达 60%。及时清除病苗（含根系周围土壤）可使病害扩散速度降低 90%。</w:t>
      </w:r>
    </w:p>
    <w:p w14:paraId="5761BED1">
      <w:pPr>
        <w:spacing w:line="600" w:lineRule="exact"/>
        <w:ind w:firstLine="640" w:firstLineChars="200"/>
        <w:rPr>
          <w:rFonts w:hint="default" w:eastAsia="仿宋_GB2312"/>
          <w:b w:val="0"/>
          <w:bCs w:val="0"/>
          <w:sz w:val="32"/>
          <w:szCs w:val="28"/>
          <w:lang w:val="en-US" w:eastAsia="zh-CN"/>
        </w:rPr>
      </w:pPr>
      <w:r>
        <w:rPr>
          <w:rFonts w:hint="eastAsia" w:eastAsia="仿宋_GB2312"/>
          <w:b w:val="0"/>
          <w:bCs w:val="0"/>
          <w:sz w:val="32"/>
          <w:szCs w:val="28"/>
          <w:lang w:val="en-US" w:eastAsia="zh-CN"/>
        </w:rPr>
        <w:t>5.苗木出圃</w:t>
      </w:r>
    </w:p>
    <w:p w14:paraId="4F8E429A">
      <w:pPr>
        <w:spacing w:line="600" w:lineRule="exact"/>
        <w:ind w:firstLine="640" w:firstLineChars="200"/>
        <w:rPr>
          <w:rFonts w:hint="eastAsia" w:eastAsia="仿宋_GB2312"/>
          <w:b/>
          <w:bCs/>
          <w:sz w:val="32"/>
          <w:szCs w:val="28"/>
          <w:lang w:val="en-US" w:eastAsia="zh-CN"/>
        </w:rPr>
      </w:pPr>
      <w:r>
        <w:rPr>
          <w:rFonts w:hint="eastAsia" w:ascii="仿宋_GB2312" w:hAnsi="宋体" w:eastAsia="仿宋_GB2312" w:cs="Times New Roman"/>
          <w:sz w:val="32"/>
          <w:szCs w:val="32"/>
          <w:lang w:val="en-US" w:eastAsia="zh-CN"/>
        </w:rPr>
        <w:t>出圃前1个月炼苗增强抗旱能力，切断主根，刺激侧根萌发，可以形成紧凑的须根系统，避免移栽时断裂。伤口愈合过程中，根系分泌更多生长素，促进新根分化，移栽后缓苗期缩短5—7天。</w:t>
      </w:r>
    </w:p>
    <w:p w14:paraId="1A5C90CC">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实践表明，严格执行分级标准可使造林成活率提升20%~30%，后期生长量差异缩小至15%以内。成活率与生长量对比如下：</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2915F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8" w:hRule="atLeast"/>
        </w:trPr>
        <w:tc>
          <w:tcPr>
            <w:tcW w:w="8516" w:type="dxa"/>
          </w:tcPr>
          <w:p w14:paraId="0C38DD44">
            <w:pPr>
              <w:keepNext w:val="0"/>
              <w:keepLines w:val="0"/>
              <w:suppressLineNumbers w:val="0"/>
              <w:spacing w:before="0" w:beforeAutospacing="0" w:after="0" w:afterAutospacing="0" w:line="600" w:lineRule="exact"/>
              <w:ind w:left="0" w:right="0" w:firstLine="320" w:firstLineChars="100"/>
              <w:rPr>
                <w:rFonts w:hint="default" w:ascii="仿宋_GB2312" w:hAnsi="宋体" w:eastAsia="仿宋_GB2312" w:cs="Times New Roman"/>
                <w:sz w:val="32"/>
                <w:szCs w:val="32"/>
                <w:vertAlign w:val="baseline"/>
                <w:lang w:val="en-US" w:eastAsia="zh-CN"/>
              </w:rPr>
            </w:pPr>
            <w:r>
              <w:rPr>
                <w:rFonts w:hint="default" w:ascii="仿宋_GB2312" w:hAnsi="宋体" w:eastAsia="仿宋_GB2312" w:cs="Times New Roman"/>
                <w:sz w:val="32"/>
                <w:szCs w:val="32"/>
                <w:vertAlign w:val="baseline"/>
                <w:lang w:val="en-US" w:eastAsia="zh-CN"/>
              </w:rPr>
              <w:t>Ⅰ级苗因根系发达、贮藏养分充足（淀粉含量＞5%），移栽后能快速恢复生长，Ⅱ级苗则因生理储备不足，生长量降低30%</w:t>
            </w:r>
            <w:r>
              <w:rPr>
                <w:rFonts w:hint="eastAsia" w:ascii="仿宋_GB2312" w:hAnsi="宋体" w:eastAsia="仿宋_GB2312" w:cs="Times New Roman"/>
                <w:sz w:val="32"/>
                <w:szCs w:val="32"/>
                <w:vertAlign w:val="baseline"/>
                <w:lang w:val="en-US" w:eastAsia="zh-CN"/>
              </w:rPr>
              <w:t>—</w:t>
            </w:r>
            <w:r>
              <w:rPr>
                <w:rFonts w:hint="default" w:ascii="仿宋_GB2312" w:hAnsi="宋体" w:eastAsia="仿宋_GB2312" w:cs="Times New Roman"/>
                <w:sz w:val="32"/>
                <w:szCs w:val="32"/>
                <w:vertAlign w:val="baseline"/>
                <w:lang w:val="en-US" w:eastAsia="zh-CN"/>
              </w:rPr>
              <w:t>40%</w:t>
            </w:r>
            <w:r>
              <w:rPr>
                <w:rFonts w:hint="default" w:ascii="仿宋_GB2312" w:hAnsi="宋体" w:eastAsia="仿宋_GB2312" w:cs="Times New Roman"/>
                <w:sz w:val="32"/>
                <w:szCs w:val="32"/>
                <w:lang w:val="en-US" w:eastAsia="zh-CN"/>
              </w:rPr>
              <w:drawing>
                <wp:anchor distT="0" distB="0" distL="114300" distR="114300" simplePos="0" relativeHeight="251684864" behindDoc="1" locked="0" layoutInCell="1" allowOverlap="1">
                  <wp:simplePos x="0" y="0"/>
                  <wp:positionH relativeFrom="column">
                    <wp:posOffset>31750</wp:posOffset>
                  </wp:positionH>
                  <wp:positionV relativeFrom="paragraph">
                    <wp:posOffset>15240</wp:posOffset>
                  </wp:positionV>
                  <wp:extent cx="5265420" cy="1823085"/>
                  <wp:effectExtent l="0" t="0" r="11430" b="5715"/>
                  <wp:wrapThrough wrapText="bothSides">
                    <wp:wrapPolygon>
                      <wp:start x="0" y="0"/>
                      <wp:lineTo x="0" y="21442"/>
                      <wp:lineTo x="21491" y="21442"/>
                      <wp:lineTo x="21491" y="0"/>
                      <wp:lineTo x="0" y="0"/>
                    </wp:wrapPolygon>
                  </wp:wrapThrough>
                  <wp:docPr id="5" name="图片 5" descr="174895434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48954349256"/>
                          <pic:cNvPicPr>
                            <a:picLocks noChangeAspect="1"/>
                          </pic:cNvPicPr>
                        </pic:nvPicPr>
                        <pic:blipFill>
                          <a:blip r:embed="rId18"/>
                          <a:stretch>
                            <a:fillRect/>
                          </a:stretch>
                        </pic:blipFill>
                        <pic:spPr>
                          <a:xfrm>
                            <a:off x="0" y="0"/>
                            <a:ext cx="5265420" cy="1823085"/>
                          </a:xfrm>
                          <a:prstGeom prst="rect">
                            <a:avLst/>
                          </a:prstGeom>
                        </pic:spPr>
                      </pic:pic>
                    </a:graphicData>
                  </a:graphic>
                </wp:anchor>
              </w:drawing>
            </w:r>
          </w:p>
        </w:tc>
      </w:tr>
    </w:tbl>
    <w:p w14:paraId="3D8AC725">
      <w:pPr>
        <w:spacing w:line="600" w:lineRule="exact"/>
        <w:ind w:firstLine="640" w:firstLineChars="200"/>
        <w:rPr>
          <w:rFonts w:hint="default" w:ascii="仿宋_GB2312" w:hAnsi="宋体" w:eastAsia="仿宋_GB2312" w:cs="Times New Roman"/>
          <w:sz w:val="32"/>
          <w:szCs w:val="32"/>
          <w:lang w:val="en-US" w:eastAsia="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43F9D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094300F1">
            <w:pPr>
              <w:keepNext w:val="0"/>
              <w:keepLines w:val="0"/>
              <w:suppressLineNumbers w:val="0"/>
              <w:spacing w:before="0" w:beforeAutospacing="0" w:after="0" w:afterAutospacing="0" w:line="600" w:lineRule="exact"/>
              <w:ind w:left="0" w:right="0"/>
              <w:jc w:val="center"/>
              <w:rPr>
                <w:rFonts w:hint="default" w:eastAsia="仿宋_GB2312"/>
                <w:b/>
                <w:bCs/>
                <w:sz w:val="32"/>
                <w:szCs w:val="28"/>
                <w:vertAlign w:val="baseline"/>
                <w:lang w:val="en-US" w:eastAsia="zh-CN"/>
              </w:rPr>
            </w:pPr>
            <w:r>
              <w:rPr>
                <w:rFonts w:hint="eastAsia" w:eastAsia="仿宋_GB2312"/>
                <w:b w:val="0"/>
                <w:bCs w:val="0"/>
                <w:sz w:val="32"/>
                <w:szCs w:val="28"/>
                <w:vertAlign w:val="baseline"/>
                <w:lang w:val="en-US" w:eastAsia="zh-CN"/>
              </w:rPr>
              <w:drawing>
                <wp:anchor distT="0" distB="0" distL="114300" distR="114300" simplePos="0" relativeHeight="251685888" behindDoc="1" locked="0" layoutInCell="1" allowOverlap="1">
                  <wp:simplePos x="0" y="0"/>
                  <wp:positionH relativeFrom="column">
                    <wp:posOffset>52705</wp:posOffset>
                  </wp:positionH>
                  <wp:positionV relativeFrom="paragraph">
                    <wp:posOffset>110490</wp:posOffset>
                  </wp:positionV>
                  <wp:extent cx="5266690" cy="1027430"/>
                  <wp:effectExtent l="0" t="0" r="10160" b="1270"/>
                  <wp:wrapThrough wrapText="bothSides">
                    <wp:wrapPolygon>
                      <wp:start x="0" y="0"/>
                      <wp:lineTo x="0" y="21226"/>
                      <wp:lineTo x="21485" y="21226"/>
                      <wp:lineTo x="21485" y="0"/>
                      <wp:lineTo x="0" y="0"/>
                    </wp:wrapPolygon>
                  </wp:wrapThrough>
                  <wp:docPr id="15" name="图片 15" descr="1748954498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48954498198"/>
                          <pic:cNvPicPr>
                            <a:picLocks noChangeAspect="1"/>
                          </pic:cNvPicPr>
                        </pic:nvPicPr>
                        <pic:blipFill>
                          <a:blip r:embed="rId19"/>
                          <a:stretch>
                            <a:fillRect/>
                          </a:stretch>
                        </pic:blipFill>
                        <pic:spPr>
                          <a:xfrm>
                            <a:off x="0" y="0"/>
                            <a:ext cx="5266690" cy="1027430"/>
                          </a:xfrm>
                          <a:prstGeom prst="rect">
                            <a:avLst/>
                          </a:prstGeom>
                        </pic:spPr>
                      </pic:pic>
                    </a:graphicData>
                  </a:graphic>
                </wp:anchor>
              </w:drawing>
            </w:r>
            <w:r>
              <w:rPr>
                <w:rFonts w:hint="eastAsia" w:eastAsia="仿宋_GB2312"/>
                <w:b w:val="0"/>
                <w:bCs w:val="0"/>
                <w:sz w:val="32"/>
                <w:szCs w:val="28"/>
                <w:vertAlign w:val="baseline"/>
                <w:lang w:val="en-US" w:eastAsia="zh-CN"/>
              </w:rPr>
              <w:t>适配不同立地条件</w:t>
            </w:r>
          </w:p>
        </w:tc>
      </w:tr>
    </w:tbl>
    <w:p w14:paraId="18327ECD">
      <w:pPr>
        <w:spacing w:line="600" w:lineRule="exact"/>
        <w:ind w:firstLine="640" w:firstLineChars="200"/>
        <w:rPr>
          <w:rFonts w:hint="eastAsia" w:ascii="仿宋_GB2312" w:hAnsi="宋体" w:eastAsia="仿宋_GB2312" w:cs="Times New Roman"/>
          <w:sz w:val="32"/>
          <w:szCs w:val="32"/>
          <w:lang w:val="en-US" w:eastAsia="zh-CN"/>
        </w:rPr>
      </w:pPr>
      <w:r>
        <w:rPr>
          <w:rFonts w:hint="eastAsia" w:ascii="仿宋_GB2312" w:hAnsi="宋体" w:eastAsia="仿宋_GB2312" w:cs="Times New Roman"/>
          <w:sz w:val="32"/>
          <w:szCs w:val="32"/>
          <w:lang w:val="en-US" w:eastAsia="zh-CN"/>
        </w:rPr>
        <w:t>Ⅰ级苗培育成本比Ⅱ级苗高20%，但造林综合成本（含补植）低15%：Ⅱ级苗需补植率20%，补植人工成本增加1200元/hm²；Ⅰ级苗一次成林，节省后期管护费800元/hm²。</w:t>
      </w:r>
    </w:p>
    <w:p w14:paraId="616A4010">
      <w:pPr>
        <w:spacing w:line="600" w:lineRule="exact"/>
        <w:ind w:firstLine="643" w:firstLineChars="200"/>
        <w:rPr>
          <w:rFonts w:hint="eastAsia" w:eastAsia="仿宋_GB2312"/>
          <w:b/>
          <w:bCs/>
          <w:sz w:val="32"/>
          <w:szCs w:val="28"/>
          <w:lang w:val="en-US" w:eastAsia="zh-CN"/>
        </w:rPr>
      </w:pPr>
    </w:p>
    <w:p w14:paraId="24779344">
      <w:pPr>
        <w:spacing w:line="600" w:lineRule="exact"/>
        <w:ind w:firstLine="643" w:firstLineChars="200"/>
        <w:rPr>
          <w:rFonts w:hint="eastAsia" w:eastAsia="仿宋_GB2312"/>
          <w:b/>
          <w:bCs/>
          <w:sz w:val="32"/>
          <w:szCs w:val="28"/>
          <w:lang w:val="en-US" w:eastAsia="zh-CN"/>
        </w:rPr>
      </w:pPr>
    </w:p>
    <w:p w14:paraId="41BDF1B4">
      <w:pPr>
        <w:spacing w:line="600" w:lineRule="exact"/>
        <w:ind w:firstLine="643" w:firstLineChars="200"/>
        <w:rPr>
          <w:rFonts w:hint="eastAsia" w:eastAsia="仿宋_GB2312"/>
          <w:b/>
          <w:bCs/>
          <w:sz w:val="32"/>
          <w:szCs w:val="28"/>
          <w:lang w:val="en-US" w:eastAsia="zh-CN"/>
        </w:rPr>
      </w:pPr>
    </w:p>
    <w:p w14:paraId="2DD5548B">
      <w:pPr>
        <w:spacing w:line="600" w:lineRule="exact"/>
        <w:ind w:firstLine="643" w:firstLineChars="200"/>
        <w:rPr>
          <w:rFonts w:hint="eastAsia" w:eastAsia="仿宋_GB2312"/>
          <w:b/>
          <w:bCs/>
          <w:sz w:val="32"/>
          <w:szCs w:val="28"/>
          <w:lang w:val="en-US" w:eastAsia="zh-CN"/>
        </w:rPr>
      </w:pPr>
    </w:p>
    <w:p w14:paraId="4127D4AE">
      <w:pPr>
        <w:spacing w:line="600" w:lineRule="exact"/>
        <w:ind w:firstLine="643" w:firstLineChars="200"/>
        <w:rPr>
          <w:rFonts w:hint="eastAsia" w:eastAsia="仿宋_GB2312"/>
          <w:b/>
          <w:bCs/>
          <w:sz w:val="32"/>
          <w:szCs w:val="28"/>
          <w:lang w:val="en-US" w:eastAsia="zh-CN"/>
        </w:rPr>
      </w:pPr>
    </w:p>
    <w:p w14:paraId="69951FA0">
      <w:pPr>
        <w:spacing w:line="600" w:lineRule="exact"/>
        <w:ind w:firstLine="643" w:firstLineChars="200"/>
        <w:rPr>
          <w:rFonts w:hint="eastAsia" w:eastAsia="仿宋_GB2312"/>
          <w:b/>
          <w:bCs/>
          <w:sz w:val="32"/>
          <w:szCs w:val="28"/>
          <w:lang w:val="en-US" w:eastAsia="zh-CN"/>
        </w:rPr>
      </w:pPr>
    </w:p>
    <w:p w14:paraId="474C21AF">
      <w:pPr>
        <w:spacing w:line="600" w:lineRule="exact"/>
        <w:ind w:firstLine="643" w:firstLineChars="200"/>
        <w:rPr>
          <w:rFonts w:hint="eastAsia" w:eastAsia="仿宋_GB2312"/>
          <w:b/>
          <w:bCs/>
          <w:sz w:val="32"/>
          <w:szCs w:val="28"/>
          <w:lang w:val="en-US" w:eastAsia="zh-CN"/>
        </w:rPr>
      </w:pPr>
    </w:p>
    <w:p w14:paraId="2C8BAE68">
      <w:pPr>
        <w:spacing w:line="600" w:lineRule="exact"/>
        <w:ind w:firstLine="643" w:firstLineChars="200"/>
        <w:rPr>
          <w:rFonts w:hint="eastAsia" w:eastAsia="仿宋_GB2312"/>
          <w:b/>
          <w:bCs/>
          <w:sz w:val="32"/>
          <w:szCs w:val="28"/>
          <w:lang w:val="en-US" w:eastAsia="zh-CN"/>
        </w:rPr>
      </w:pPr>
    </w:p>
    <w:p w14:paraId="14EDF286">
      <w:pPr>
        <w:spacing w:line="600" w:lineRule="exact"/>
        <w:ind w:firstLine="643" w:firstLineChars="200"/>
        <w:rPr>
          <w:rFonts w:hint="eastAsia" w:eastAsia="仿宋_GB2312"/>
          <w:b/>
          <w:bCs/>
          <w:sz w:val="32"/>
          <w:szCs w:val="28"/>
          <w:lang w:val="en-US" w:eastAsia="zh-CN"/>
        </w:rPr>
      </w:pPr>
    </w:p>
    <w:p w14:paraId="1155063D">
      <w:pPr>
        <w:spacing w:line="600" w:lineRule="exact"/>
        <w:ind w:firstLine="643" w:firstLineChars="200"/>
        <w:rPr>
          <w:rFonts w:hint="eastAsia" w:eastAsia="仿宋_GB2312"/>
          <w:b/>
          <w:bCs/>
          <w:sz w:val="32"/>
          <w:szCs w:val="28"/>
          <w:lang w:val="en-US" w:eastAsia="zh-CN"/>
        </w:rPr>
      </w:pPr>
    </w:p>
    <w:p w14:paraId="37227AEB">
      <w:pPr>
        <w:spacing w:line="600" w:lineRule="exact"/>
        <w:ind w:firstLine="643" w:firstLineChars="200"/>
        <w:rPr>
          <w:rFonts w:hint="eastAsia" w:eastAsia="仿宋_GB2312"/>
          <w:b/>
          <w:bCs/>
          <w:sz w:val="32"/>
          <w:szCs w:val="28"/>
          <w:lang w:val="en-US" w:eastAsia="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29683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16" w:type="dxa"/>
          </w:tcPr>
          <w:p w14:paraId="1C0C6D97">
            <w:pPr>
              <w:keepNext w:val="0"/>
              <w:keepLines w:val="0"/>
              <w:suppressLineNumbers w:val="0"/>
              <w:spacing w:before="0" w:beforeAutospacing="0" w:after="0" w:afterAutospacing="0" w:line="600" w:lineRule="exact"/>
              <w:ind w:left="0" w:right="0"/>
              <w:rPr>
                <w:rFonts w:hint="eastAsia" w:eastAsia="仿宋_GB2312"/>
                <w:b/>
                <w:bCs/>
                <w:sz w:val="32"/>
                <w:szCs w:val="28"/>
                <w:vertAlign w:val="baseline"/>
                <w:lang w:val="en-US" w:eastAsia="zh-CN"/>
              </w:rPr>
            </w:pPr>
            <w:r>
              <w:rPr>
                <w:rFonts w:hint="eastAsia" w:eastAsia="仿宋_GB2312"/>
                <w:b/>
                <w:bCs/>
                <w:sz w:val="32"/>
                <w:szCs w:val="28"/>
                <w:lang w:val="en-US" w:eastAsia="zh-CN"/>
              </w:rPr>
              <w:drawing>
                <wp:anchor distT="0" distB="0" distL="114300" distR="114300" simplePos="0" relativeHeight="251667456" behindDoc="1" locked="0" layoutInCell="1" allowOverlap="1">
                  <wp:simplePos x="0" y="0"/>
                  <wp:positionH relativeFrom="column">
                    <wp:posOffset>512445</wp:posOffset>
                  </wp:positionH>
                  <wp:positionV relativeFrom="paragraph">
                    <wp:posOffset>59690</wp:posOffset>
                  </wp:positionV>
                  <wp:extent cx="4389755" cy="2318385"/>
                  <wp:effectExtent l="0" t="0" r="10795" b="5715"/>
                  <wp:wrapThrough wrapText="bothSides">
                    <wp:wrapPolygon>
                      <wp:start x="0" y="0"/>
                      <wp:lineTo x="0" y="21476"/>
                      <wp:lineTo x="21466" y="21476"/>
                      <wp:lineTo x="21466" y="0"/>
                      <wp:lineTo x="0" y="0"/>
                    </wp:wrapPolygon>
                  </wp:wrapThrough>
                  <wp:docPr id="12" name="图片 12" descr="174779729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47797292440"/>
                          <pic:cNvPicPr>
                            <a:picLocks noChangeAspect="1"/>
                          </pic:cNvPicPr>
                        </pic:nvPicPr>
                        <pic:blipFill>
                          <a:blip r:embed="rId20"/>
                          <a:stretch>
                            <a:fillRect/>
                          </a:stretch>
                        </pic:blipFill>
                        <pic:spPr>
                          <a:xfrm>
                            <a:off x="0" y="0"/>
                            <a:ext cx="4389755" cy="2318385"/>
                          </a:xfrm>
                          <a:prstGeom prst="rect">
                            <a:avLst/>
                          </a:prstGeom>
                        </pic:spPr>
                      </pic:pic>
                    </a:graphicData>
                  </a:graphic>
                </wp:anchor>
              </w:drawing>
            </w:r>
          </w:p>
        </w:tc>
      </w:tr>
      <w:tr w14:paraId="55C66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208F65A2">
            <w:pPr>
              <w:keepNext w:val="0"/>
              <w:keepLines w:val="0"/>
              <w:suppressLineNumbers w:val="0"/>
              <w:spacing w:before="0" w:beforeAutospacing="0" w:after="0" w:afterAutospacing="0" w:line="600" w:lineRule="exact"/>
              <w:ind w:left="0" w:right="0"/>
              <w:rPr>
                <w:rFonts w:hint="eastAsia" w:eastAsia="仿宋_GB2312"/>
                <w:b/>
                <w:bCs/>
                <w:sz w:val="32"/>
                <w:szCs w:val="28"/>
                <w:vertAlign w:val="baseline"/>
                <w:lang w:val="en-US" w:eastAsia="zh-CN"/>
              </w:rPr>
            </w:pPr>
            <w:r>
              <w:rPr>
                <w:rFonts w:hint="eastAsia" w:eastAsia="仿宋_GB2312"/>
                <w:b/>
                <w:bCs/>
                <w:sz w:val="32"/>
                <w:szCs w:val="28"/>
                <w:lang w:val="en-US" w:eastAsia="zh-CN"/>
              </w:rPr>
              <w:drawing>
                <wp:anchor distT="0" distB="0" distL="114300" distR="114300" simplePos="0" relativeHeight="251668480" behindDoc="1" locked="0" layoutInCell="1" allowOverlap="1">
                  <wp:simplePos x="0" y="0"/>
                  <wp:positionH relativeFrom="column">
                    <wp:posOffset>315595</wp:posOffset>
                  </wp:positionH>
                  <wp:positionV relativeFrom="paragraph">
                    <wp:posOffset>45085</wp:posOffset>
                  </wp:positionV>
                  <wp:extent cx="4577715" cy="2799715"/>
                  <wp:effectExtent l="0" t="0" r="51435" b="57785"/>
                  <wp:wrapThrough wrapText="bothSides">
                    <wp:wrapPolygon>
                      <wp:start x="0" y="0"/>
                      <wp:lineTo x="0" y="21458"/>
                      <wp:lineTo x="21483" y="21458"/>
                      <wp:lineTo x="21483" y="0"/>
                      <wp:lineTo x="0" y="0"/>
                    </wp:wrapPolygon>
                  </wp:wrapThrough>
                  <wp:docPr id="13" name="图片 13" descr="174779732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47797328314"/>
                          <pic:cNvPicPr>
                            <a:picLocks noChangeAspect="1"/>
                          </pic:cNvPicPr>
                        </pic:nvPicPr>
                        <pic:blipFill>
                          <a:blip r:embed="rId21"/>
                          <a:stretch>
                            <a:fillRect/>
                          </a:stretch>
                        </pic:blipFill>
                        <pic:spPr>
                          <a:xfrm>
                            <a:off x="0" y="0"/>
                            <a:ext cx="4577715" cy="2799715"/>
                          </a:xfrm>
                          <a:prstGeom prst="rect">
                            <a:avLst/>
                          </a:prstGeom>
                        </pic:spPr>
                      </pic:pic>
                    </a:graphicData>
                  </a:graphic>
                </wp:anchor>
              </w:drawing>
            </w:r>
          </w:p>
          <w:p w14:paraId="3A74D133">
            <w:pPr>
              <w:keepNext w:val="0"/>
              <w:keepLines w:val="0"/>
              <w:suppressLineNumbers w:val="0"/>
              <w:spacing w:before="0" w:beforeAutospacing="0" w:after="0" w:afterAutospacing="0" w:line="600" w:lineRule="exact"/>
              <w:ind w:left="0" w:right="0" w:firstLine="640" w:firstLineChars="200"/>
              <w:jc w:val="center"/>
              <w:rPr>
                <w:rFonts w:hint="eastAsia" w:eastAsia="仿宋_GB2312"/>
                <w:b/>
                <w:bCs/>
                <w:sz w:val="32"/>
                <w:szCs w:val="28"/>
                <w:vertAlign w:val="baseline"/>
                <w:lang w:val="en-US" w:eastAsia="zh-CN"/>
              </w:rPr>
            </w:pPr>
            <w:r>
              <w:rPr>
                <w:rFonts w:hint="eastAsia" w:eastAsia="仿宋_GB2312"/>
                <w:b w:val="0"/>
                <w:bCs w:val="0"/>
                <w:sz w:val="32"/>
                <w:szCs w:val="28"/>
                <w:lang w:val="en-US" w:eastAsia="zh-CN"/>
              </w:rPr>
              <w:t>容器苗</w:t>
            </w:r>
          </w:p>
        </w:tc>
      </w:tr>
    </w:tbl>
    <w:tbl>
      <w:tblPr>
        <w:tblStyle w:val="11"/>
        <w:tblpPr w:leftFromText="180" w:rightFromText="180" w:vertAnchor="text" w:horzAnchor="page" w:tblpX="1859" w:tblpY="2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1166A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6E376F10">
            <w:pPr>
              <w:keepNext w:val="0"/>
              <w:keepLines w:val="0"/>
              <w:suppressLineNumbers w:val="0"/>
              <w:spacing w:before="0" w:beforeAutospacing="0" w:after="0" w:afterAutospacing="0" w:line="600" w:lineRule="exact"/>
              <w:ind w:left="0" w:right="0"/>
              <w:jc w:val="center"/>
              <w:rPr>
                <w:rFonts w:hint="eastAsia" w:eastAsia="仿宋_GB2312"/>
                <w:b/>
                <w:bCs/>
                <w:sz w:val="32"/>
                <w:szCs w:val="28"/>
                <w:vertAlign w:val="baseline"/>
                <w:lang w:val="en-US" w:eastAsia="zh-CN"/>
              </w:rPr>
            </w:pPr>
            <w:r>
              <w:rPr>
                <w:rFonts w:hint="eastAsia" w:ascii="Times New Roman" w:hAnsi="Times New Roman" w:eastAsia="仿宋_GB2312" w:cs="Times New Roman"/>
                <w:b w:val="0"/>
                <w:bCs w:val="0"/>
                <w:sz w:val="32"/>
                <w:szCs w:val="28"/>
                <w:lang w:val="en-US" w:eastAsia="zh-CN"/>
              </w:rPr>
              <w:drawing>
                <wp:anchor distT="0" distB="0" distL="114300" distR="114300" simplePos="0" relativeHeight="251682816" behindDoc="1" locked="0" layoutInCell="1" allowOverlap="1">
                  <wp:simplePos x="0" y="0"/>
                  <wp:positionH relativeFrom="column">
                    <wp:posOffset>-29210</wp:posOffset>
                  </wp:positionH>
                  <wp:positionV relativeFrom="paragraph">
                    <wp:posOffset>69215</wp:posOffset>
                  </wp:positionV>
                  <wp:extent cx="2584450" cy="1932940"/>
                  <wp:effectExtent l="0" t="0" r="6350" b="10160"/>
                  <wp:wrapThrough wrapText="bothSides">
                    <wp:wrapPolygon>
                      <wp:start x="0" y="0"/>
                      <wp:lineTo x="0" y="21288"/>
                      <wp:lineTo x="21494" y="21288"/>
                      <wp:lineTo x="21494" y="0"/>
                      <wp:lineTo x="0" y="0"/>
                    </wp:wrapPolygon>
                  </wp:wrapThrough>
                  <wp:docPr id="14" name="图片 14" descr="174779738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47797386409"/>
                          <pic:cNvPicPr>
                            <a:picLocks noChangeAspect="1"/>
                          </pic:cNvPicPr>
                        </pic:nvPicPr>
                        <pic:blipFill>
                          <a:blip r:embed="rId22"/>
                          <a:stretch>
                            <a:fillRect/>
                          </a:stretch>
                        </pic:blipFill>
                        <pic:spPr>
                          <a:xfrm>
                            <a:off x="0" y="0"/>
                            <a:ext cx="2584450" cy="1932940"/>
                          </a:xfrm>
                          <a:prstGeom prst="rect">
                            <a:avLst/>
                          </a:prstGeom>
                        </pic:spPr>
                      </pic:pic>
                    </a:graphicData>
                  </a:graphic>
                </wp:anchor>
              </w:drawing>
            </w:r>
            <w:r>
              <w:rPr>
                <w:rFonts w:hint="eastAsia" w:ascii="Times New Roman" w:hAnsi="Times New Roman" w:eastAsia="仿宋_GB2312" w:cs="Times New Roman"/>
                <w:b w:val="0"/>
                <w:bCs w:val="0"/>
                <w:sz w:val="32"/>
                <w:szCs w:val="28"/>
                <w:lang w:val="en-US" w:eastAsia="zh-CN"/>
              </w:rPr>
              <w:drawing>
                <wp:anchor distT="0" distB="0" distL="114300" distR="114300" simplePos="0" relativeHeight="251683840" behindDoc="1" locked="0" layoutInCell="1" allowOverlap="1">
                  <wp:simplePos x="0" y="0"/>
                  <wp:positionH relativeFrom="column">
                    <wp:posOffset>2557780</wp:posOffset>
                  </wp:positionH>
                  <wp:positionV relativeFrom="paragraph">
                    <wp:posOffset>88900</wp:posOffset>
                  </wp:positionV>
                  <wp:extent cx="2780030" cy="1964055"/>
                  <wp:effectExtent l="0" t="0" r="1270" b="17145"/>
                  <wp:wrapThrough wrapText="bothSides">
                    <wp:wrapPolygon>
                      <wp:start x="0" y="0"/>
                      <wp:lineTo x="0" y="21370"/>
                      <wp:lineTo x="21462" y="21370"/>
                      <wp:lineTo x="21462" y="0"/>
                      <wp:lineTo x="0" y="0"/>
                    </wp:wrapPolygon>
                  </wp:wrapThrough>
                  <wp:docPr id="17" name="图片 17" descr="174779741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47797413403"/>
                          <pic:cNvPicPr>
                            <a:picLocks noChangeAspect="1"/>
                          </pic:cNvPicPr>
                        </pic:nvPicPr>
                        <pic:blipFill>
                          <a:blip r:embed="rId23"/>
                          <a:stretch>
                            <a:fillRect/>
                          </a:stretch>
                        </pic:blipFill>
                        <pic:spPr>
                          <a:xfrm>
                            <a:off x="0" y="0"/>
                            <a:ext cx="2780030" cy="1964055"/>
                          </a:xfrm>
                          <a:prstGeom prst="rect">
                            <a:avLst/>
                          </a:prstGeom>
                        </pic:spPr>
                      </pic:pic>
                    </a:graphicData>
                  </a:graphic>
                </wp:anchor>
              </w:drawing>
            </w:r>
            <w:r>
              <w:rPr>
                <w:rFonts w:hint="eastAsia" w:eastAsia="仿宋_GB2312"/>
                <w:b w:val="0"/>
                <w:bCs w:val="0"/>
                <w:sz w:val="32"/>
                <w:szCs w:val="28"/>
                <w:vertAlign w:val="baseline"/>
                <w:lang w:val="en-US" w:eastAsia="zh-CN"/>
              </w:rPr>
              <w:t>裸根苗</w:t>
            </w:r>
          </w:p>
        </w:tc>
      </w:tr>
    </w:tbl>
    <w:p w14:paraId="79BF7E8C">
      <w:pPr>
        <w:spacing w:line="600" w:lineRule="exact"/>
        <w:ind w:firstLine="640" w:firstLineChars="200"/>
        <w:rPr>
          <w:rFonts w:hint="eastAsia" w:eastAsia="仿宋_GB2312"/>
          <w:b w:val="0"/>
          <w:bCs w:val="0"/>
          <w:sz w:val="32"/>
          <w:szCs w:val="28"/>
          <w:lang w:val="en-US" w:eastAsia="zh-CN"/>
        </w:rPr>
      </w:pPr>
      <w:r>
        <w:rPr>
          <w:rFonts w:hint="eastAsia" w:eastAsia="仿宋_GB2312"/>
          <w:b w:val="0"/>
          <w:bCs w:val="0"/>
          <w:sz w:val="32"/>
          <w:szCs w:val="28"/>
          <w:lang w:val="en-US" w:eastAsia="zh-CN"/>
        </w:rPr>
        <w:t>三、造林</w:t>
      </w:r>
    </w:p>
    <w:p w14:paraId="1781875D">
      <w:pPr>
        <w:spacing w:line="600" w:lineRule="exact"/>
        <w:ind w:firstLine="640" w:firstLineChars="200"/>
        <w:rPr>
          <w:rFonts w:hint="default" w:ascii="Times New Roman" w:hAnsi="Times New Roman" w:eastAsia="仿宋_GB2312" w:cs="Times New Roman"/>
          <w:b w:val="0"/>
          <w:bCs w:val="0"/>
          <w:sz w:val="32"/>
          <w:szCs w:val="28"/>
          <w:lang w:val="en-US" w:eastAsia="zh-CN"/>
        </w:rPr>
      </w:pPr>
      <w:r>
        <w:rPr>
          <w:rFonts w:hint="eastAsia" w:ascii="Times New Roman" w:hAnsi="Times New Roman" w:eastAsia="仿宋_GB2312" w:cs="Times New Roman"/>
          <w:b w:val="0"/>
          <w:bCs w:val="0"/>
          <w:sz w:val="32"/>
          <w:szCs w:val="28"/>
          <w:lang w:val="en-US" w:eastAsia="zh-CN"/>
        </w:rPr>
        <w:t>（1）林地选择</w:t>
      </w:r>
    </w:p>
    <w:p w14:paraId="4EFF8650">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该海拔范围年均温多为14-18℃，最冷月均温＞0℃，最热月均温＜28℃，符合马蹄荷喜温暖、忌酷热的特性（临界高温32℃，低温-5℃）。海拔＜500m时，夏季高温（＞30℃）可能导致生长停滞（净光合速率下降40%）；海拔＞1300m时，冬季低温（＜-5℃）易引发冻害（枝条冻裂率＞20%）。山地海拔每升高100m，光照强度增加约5%，但散射光比例提升（达40%-50%），适合马蹄荷幼树耐阴特性（需光率30%-50%）。海拔＞1500m时直射光过强（＞15000Lux），易导致叶片灼伤（灼伤面积＞10%）；低海拔全日照环境下，需人工遮荫成本增加25%。</w:t>
      </w:r>
    </w:p>
    <w:p w14:paraId="09E555E1">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马蹄荷成年树主根深度可达60-80cm，侧根80%分布在表层40cm土壤。土层过薄（＜30cm）会限制根系扩展（根幅减少50%），导致抗旱能力下降（萎蔫系数从10%升至15%），且易被强风倒伏（抗风能力降低30%）。</w:t>
      </w:r>
    </w:p>
    <w:p w14:paraId="46EF08CA">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微酸性环境下，铁、锰、锌等微量元素溶解度最高（Fe³+浓度＞5ppm），可预防缺素黄化（叶绿素含量比pH7.0土壤高25%）。pH＞7.0时，磷酸钙固定作用使有效磷＜10mg/kg，导致生长停滞（年高生长＜30cm）；pH＜4.0时，铝离子毒性增强（＞300ppm），抑制根尖分生组织（分裂指数下降50%）。</w:t>
      </w:r>
    </w:p>
    <w:p w14:paraId="65CD8724">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（2）林地清理</w:t>
      </w:r>
    </w:p>
    <w:p w14:paraId="63157842">
      <w:pPr>
        <w:spacing w:line="520" w:lineRule="exact"/>
        <w:ind w:firstLine="640" w:firstLineChars="200"/>
        <w:rPr>
          <w:rFonts w:hint="eastAsia" w:ascii="仿宋_GB2312" w:hAnsi="宋体" w:eastAsia="仿宋_GB2312" w:cs="Times New Roman"/>
          <w:sz w:val="32"/>
          <w:szCs w:val="28"/>
          <w:lang w:val="en-US" w:eastAsia="zh-CN"/>
        </w:rPr>
      </w:pPr>
      <w:r>
        <w:rPr>
          <w:rFonts w:hint="default" w:ascii="仿宋_GB2312" w:hAnsi="宋体" w:eastAsia="仿宋_GB2312" w:cs="Times New Roman"/>
          <w:sz w:val="32"/>
          <w:szCs w:val="28"/>
          <w:lang w:val="en-US" w:eastAsia="zh-CN"/>
        </w:rPr>
        <w:t>采用全面清理</w:t>
      </w:r>
      <w:r>
        <w:rPr>
          <w:rFonts w:hint="eastAsia" w:ascii="仿宋_GB2312" w:hAnsi="宋体" w:eastAsia="仿宋_GB2312" w:cs="Times New Roman"/>
          <w:sz w:val="32"/>
          <w:szCs w:val="28"/>
          <w:lang w:val="en-US" w:eastAsia="zh-CN"/>
        </w:rPr>
        <w:t>消除竞争，幼苗成活率可达90%以上，且便于机械化整地（如挖穴机作业效率提升3倍）；适合营造纯林或高密度示范林，确保单株生长空间（冠幅扩展不受限）。</w:t>
      </w:r>
      <w:r>
        <w:rPr>
          <w:rFonts w:hint="default" w:ascii="仿宋_GB2312" w:hAnsi="宋体" w:eastAsia="仿宋_GB2312" w:cs="Times New Roman"/>
          <w:sz w:val="32"/>
          <w:szCs w:val="28"/>
          <w:lang w:val="en-US" w:eastAsia="zh-CN"/>
        </w:rPr>
        <w:t>带状清理</w:t>
      </w:r>
      <w:r>
        <w:rPr>
          <w:rFonts w:hint="eastAsia" w:ascii="仿宋_GB2312" w:hAnsi="宋体" w:eastAsia="仿宋_GB2312" w:cs="Times New Roman"/>
          <w:sz w:val="32"/>
          <w:szCs w:val="28"/>
          <w:lang w:val="en-US" w:eastAsia="zh-CN"/>
        </w:rPr>
        <w:t>适用</w:t>
      </w:r>
      <w:r>
        <w:rPr>
          <w:rFonts w:hint="default" w:ascii="仿宋_GB2312" w:hAnsi="宋体" w:eastAsia="仿宋_GB2312" w:cs="Times New Roman"/>
          <w:sz w:val="32"/>
          <w:szCs w:val="28"/>
          <w:lang w:val="en-US" w:eastAsia="zh-CN"/>
        </w:rPr>
        <w:t>生态公益林营造、混交林建设</w:t>
      </w:r>
      <w:r>
        <w:rPr>
          <w:rFonts w:hint="eastAsia" w:ascii="仿宋_GB2312" w:hAnsi="宋体" w:eastAsia="仿宋_GB2312" w:cs="Times New Roman"/>
          <w:sz w:val="32"/>
          <w:szCs w:val="28"/>
          <w:lang w:val="en-US" w:eastAsia="zh-CN"/>
        </w:rPr>
        <w:t>，降低清理成本30%-50%，同时保留原有植被的水土保持功能（地表径流减少40%）；带间植被可作为天敌昆虫栖息地（如瓢虫、寄生蜂密度提升2倍），抑制病虫害爆发（如蚜虫发生率下降60%）。</w:t>
      </w:r>
    </w:p>
    <w:p w14:paraId="48AB904B">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（3）整地、挖穴</w:t>
      </w:r>
    </w:p>
    <w:p w14:paraId="55AF4C8F">
      <w:pPr>
        <w:spacing w:line="520" w:lineRule="exact"/>
        <w:ind w:firstLine="640" w:firstLineChars="200"/>
        <w:rPr>
          <w:rFonts w:hint="eastAsia" w:ascii="仿宋_GB2312" w:hAnsi="宋体" w:eastAsia="仿宋_GB2312" w:cs="Times New Roman"/>
          <w:sz w:val="32"/>
          <w:szCs w:val="28"/>
          <w:lang w:val="en-US" w:eastAsia="zh-CN"/>
        </w:rPr>
      </w:pPr>
      <w:r>
        <w:rPr>
          <w:rFonts w:hint="default" w:ascii="仿宋_GB2312" w:hAnsi="宋体" w:eastAsia="仿宋_GB2312" w:cs="Times New Roman"/>
          <w:sz w:val="32"/>
          <w:szCs w:val="28"/>
          <w:lang w:val="en-US" w:eastAsia="zh-CN"/>
        </w:rPr>
        <w:t>Ⅰ/Ⅱ 类地土层≥80cm、表土层肥沃（有机质＞3%），根系可扩展至 1.5m 半径，稀植（株距 2.5m）能充分利用土壤养分（速效氮＞100mg/kg）和光照（年日照＞1800h），单株冠幅可达 4</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5m²，光合效率比密植高 20%。试验表明，2m×2.5m 处理的 10 年生林分胸径达 15.8cm，比 2m×2m 处理（胸径 13.2cm）高 19.7%，且种内竞争指数＜0.5（合理阈值），避免过早郁闭导致自然整枝（冠高比维持 0.6</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0.7）。Ⅲ 类地土层较薄（40</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79cm）或海拔极端，单株生长受限（年均树高增长＜1m），密植可通过群体效应提升资源利用率</w:t>
      </w:r>
      <w:r>
        <w:rPr>
          <w:rFonts w:hint="eastAsia" w:ascii="仿宋_GB2312" w:hAnsi="宋体" w:eastAsia="仿宋_GB2312" w:cs="Times New Roman"/>
          <w:sz w:val="32"/>
          <w:szCs w:val="28"/>
          <w:lang w:val="en-US" w:eastAsia="zh-CN"/>
        </w:rPr>
        <w:t>。</w:t>
      </w:r>
    </w:p>
    <w:p w14:paraId="4DFD8AC7">
      <w:pPr>
        <w:pStyle w:val="2"/>
        <w:ind w:firstLine="640" w:firstLineChars="200"/>
        <w:rPr>
          <w:rFonts w:hint="default" w:ascii="仿宋_GB2312" w:hAnsi="宋体" w:eastAsia="仿宋_GB2312" w:cs="Times New Roman"/>
          <w:color w:val="auto"/>
          <w:kern w:val="2"/>
          <w:sz w:val="32"/>
          <w:szCs w:val="28"/>
          <w:lang w:val="en-US" w:eastAsia="zh-CN" w:bidi="ar-SA"/>
        </w:rPr>
      </w:pPr>
      <w:r>
        <w:rPr>
          <w:rFonts w:hint="default" w:ascii="仿宋_GB2312" w:hAnsi="宋体" w:eastAsia="仿宋_GB2312" w:cs="Times New Roman"/>
          <w:color w:val="auto"/>
          <w:kern w:val="2"/>
          <w:sz w:val="32"/>
          <w:szCs w:val="28"/>
          <w:lang w:val="en-US" w:eastAsia="zh-CN" w:bidi="ar-SA"/>
        </w:rPr>
        <w:t>容器苗根系特性：容器苗根系集中在基质层（深度 20</w:t>
      </w:r>
      <w:r>
        <w:rPr>
          <w:rFonts w:hint="eastAsia" w:ascii="仿宋_GB2312" w:hAnsi="宋体" w:eastAsia="仿宋_GB2312" w:cs="Times New Roman"/>
          <w:color w:val="auto"/>
          <w:kern w:val="2"/>
          <w:sz w:val="32"/>
          <w:szCs w:val="28"/>
          <w:lang w:val="en-US" w:eastAsia="zh-CN" w:bidi="ar-SA"/>
        </w:rPr>
        <w:t>-</w:t>
      </w:r>
      <w:r>
        <w:rPr>
          <w:rFonts w:hint="default" w:ascii="仿宋_GB2312" w:hAnsi="宋体" w:eastAsia="仿宋_GB2312" w:cs="Times New Roman"/>
          <w:color w:val="auto"/>
          <w:kern w:val="2"/>
          <w:sz w:val="32"/>
          <w:szCs w:val="28"/>
          <w:lang w:val="en-US" w:eastAsia="zh-CN" w:bidi="ar-SA"/>
        </w:rPr>
        <w:t>25cm），穴深 30cm 即可满足生长，过度深栽易导致透气不足（氧气含量＜8%），引发根腐（发病率＞15%）。</w:t>
      </w:r>
    </w:p>
    <w:p w14:paraId="1A19C08A">
      <w:pPr>
        <w:pStyle w:val="2"/>
        <w:ind w:firstLine="640" w:firstLineChars="200"/>
        <w:rPr>
          <w:rFonts w:hint="eastAsia" w:ascii="仿宋_GB2312" w:hAnsi="宋体" w:eastAsia="仿宋_GB2312" w:cs="Times New Roman"/>
          <w:color w:val="auto"/>
          <w:kern w:val="2"/>
          <w:sz w:val="32"/>
          <w:szCs w:val="28"/>
          <w:lang w:val="en-US" w:eastAsia="zh-CN" w:bidi="ar-SA"/>
        </w:rPr>
      </w:pPr>
      <w:r>
        <w:rPr>
          <w:rFonts w:hint="default" w:ascii="仿宋_GB2312" w:hAnsi="宋体" w:eastAsia="仿宋_GB2312" w:cs="Times New Roman"/>
          <w:color w:val="auto"/>
          <w:kern w:val="2"/>
          <w:sz w:val="32"/>
          <w:szCs w:val="28"/>
          <w:lang w:val="en-US" w:eastAsia="zh-CN" w:bidi="ar-SA"/>
        </w:rPr>
        <w:t>裸根苗根系扩展需求：裸根苗主根长 25</w:t>
      </w:r>
      <w:r>
        <w:rPr>
          <w:rFonts w:hint="eastAsia" w:ascii="仿宋_GB2312" w:hAnsi="宋体" w:eastAsia="仿宋_GB2312" w:cs="Times New Roman"/>
          <w:color w:val="auto"/>
          <w:kern w:val="2"/>
          <w:sz w:val="32"/>
          <w:szCs w:val="28"/>
          <w:lang w:val="en-US" w:eastAsia="zh-CN" w:bidi="ar-SA"/>
        </w:rPr>
        <w:t>-</w:t>
      </w:r>
      <w:r>
        <w:rPr>
          <w:rFonts w:hint="default" w:ascii="仿宋_GB2312" w:hAnsi="宋体" w:eastAsia="仿宋_GB2312" w:cs="Times New Roman"/>
          <w:color w:val="auto"/>
          <w:kern w:val="2"/>
          <w:sz w:val="32"/>
          <w:szCs w:val="28"/>
          <w:lang w:val="en-US" w:eastAsia="zh-CN" w:bidi="ar-SA"/>
        </w:rPr>
        <w:t>30cm，穴深 40cm 可容纳根系舒展，避免弯曲（畸形根率＜5%），且心土回填后形成 “疏松 - 紧实” 双层结构：表层 30cm 表土（肥沃疏松）促进吸收根生长；底层 10cm 心土（稍紧实）固定根系，抗风能力提升 30%（抗拔力＞50N）</w:t>
      </w:r>
      <w:r>
        <w:rPr>
          <w:rFonts w:hint="eastAsia" w:ascii="仿宋_GB2312" w:hAnsi="宋体" w:eastAsia="仿宋_GB2312" w:cs="Times New Roman"/>
          <w:color w:val="auto"/>
          <w:kern w:val="2"/>
          <w:sz w:val="32"/>
          <w:szCs w:val="28"/>
          <w:lang w:val="en-US" w:eastAsia="zh-CN" w:bidi="ar-SA"/>
        </w:rPr>
        <w:t>。</w:t>
      </w:r>
    </w:p>
    <w:p w14:paraId="5EEEC091">
      <w:pPr>
        <w:pStyle w:val="3"/>
        <w:ind w:left="0" w:leftChars="0" w:firstLine="640" w:firstLineChars="200"/>
        <w:rPr>
          <w:rFonts w:hint="default" w:ascii="仿宋_GB2312" w:hAnsi="宋体" w:eastAsia="仿宋_GB2312" w:cs="Times New Roman"/>
          <w:color w:val="auto"/>
          <w:kern w:val="2"/>
          <w:sz w:val="32"/>
          <w:szCs w:val="28"/>
          <w:lang w:val="en-US" w:eastAsia="zh-CN" w:bidi="ar-SA"/>
        </w:rPr>
      </w:pPr>
      <w:r>
        <w:rPr>
          <w:rFonts w:hint="default" w:ascii="仿宋_GB2312" w:hAnsi="宋体" w:eastAsia="仿宋_GB2312" w:cs="Times New Roman"/>
          <w:color w:val="auto"/>
          <w:kern w:val="2"/>
          <w:sz w:val="32"/>
          <w:szCs w:val="28"/>
          <w:lang w:val="en-US" w:eastAsia="zh-CN" w:bidi="ar-SA"/>
        </w:rPr>
        <w:t>防火林带需快速形成高大密集林分，深穴（50cm）可引导主根深扎（最终深度＞1.5m），增强抗风固土能力（土壤侵蚀模数降低 70%），同时促进地上部生长（10 年生树高比普通穴高 2</w:t>
      </w:r>
      <w:r>
        <w:rPr>
          <w:rFonts w:hint="eastAsia" w:ascii="仿宋_GB2312" w:hAnsi="宋体" w:eastAsia="仿宋_GB2312" w:cs="Times New Roman"/>
          <w:color w:val="auto"/>
          <w:kern w:val="2"/>
          <w:sz w:val="32"/>
          <w:szCs w:val="28"/>
          <w:lang w:val="en-US" w:eastAsia="zh-CN" w:bidi="ar-SA"/>
        </w:rPr>
        <w:t>-</w:t>
      </w:r>
      <w:r>
        <w:rPr>
          <w:rFonts w:hint="default" w:ascii="仿宋_GB2312" w:hAnsi="宋体" w:eastAsia="仿宋_GB2312" w:cs="Times New Roman"/>
          <w:color w:val="auto"/>
          <w:kern w:val="2"/>
          <w:sz w:val="32"/>
          <w:szCs w:val="28"/>
          <w:lang w:val="en-US" w:eastAsia="zh-CN" w:bidi="ar-SA"/>
        </w:rPr>
        <w:t>3m），形成有效防火屏障。土壤熟化需求：大穴（80×80cm）容纳更多表土（回填量增加 50%），风化 1 个月后，土壤微生物活性提升 40%（细菌数量＞10⁹CFU/g），速效养分（氮、磷）含量比未风化土高 30%，满足防火林带苗木速生需求（年均树高增长 1.5</w:t>
      </w:r>
      <w:r>
        <w:rPr>
          <w:rFonts w:hint="eastAsia" w:ascii="仿宋_GB2312" w:hAnsi="宋体" w:eastAsia="仿宋_GB2312" w:cs="Times New Roman"/>
          <w:color w:val="auto"/>
          <w:kern w:val="2"/>
          <w:sz w:val="32"/>
          <w:szCs w:val="28"/>
          <w:lang w:val="en-US" w:eastAsia="zh-CN" w:bidi="ar-SA"/>
        </w:rPr>
        <w:t>-</w:t>
      </w:r>
      <w:r>
        <w:rPr>
          <w:rFonts w:hint="default" w:ascii="仿宋_GB2312" w:hAnsi="宋体" w:eastAsia="仿宋_GB2312" w:cs="Times New Roman"/>
          <w:color w:val="auto"/>
          <w:kern w:val="2"/>
          <w:sz w:val="32"/>
          <w:szCs w:val="28"/>
          <w:lang w:val="en-US" w:eastAsia="zh-CN" w:bidi="ar-SA"/>
        </w:rPr>
        <w:t>2m）。</w:t>
      </w:r>
    </w:p>
    <w:p w14:paraId="0587F9FA">
      <w:pPr>
        <w:rPr>
          <w:rFonts w:hint="default"/>
          <w:lang w:val="en-US" w:eastAsia="zh-CN"/>
        </w:rPr>
      </w:pPr>
      <w:r>
        <w:rPr>
          <w:rFonts w:hint="default"/>
          <w:lang w:val="en-US" w:eastAsia="zh-CN"/>
        </w:rPr>
        <w:drawing>
          <wp:inline distT="0" distB="0" distL="114300" distR="114300">
            <wp:extent cx="5268595" cy="1806575"/>
            <wp:effectExtent l="0" t="0" r="8255" b="3175"/>
            <wp:docPr id="24" name="图片 24" descr="174943800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49438000874"/>
                    <pic:cNvPicPr>
                      <a:picLocks noChangeAspect="1"/>
                    </pic:cNvPicPr>
                  </pic:nvPicPr>
                  <pic:blipFill>
                    <a:blip r:embed="rId24"/>
                    <a:stretch>
                      <a:fillRect/>
                    </a:stretch>
                  </pic:blipFill>
                  <pic:spPr>
                    <a:xfrm>
                      <a:off x="0" y="0"/>
                      <a:ext cx="5268595" cy="1806575"/>
                    </a:xfrm>
                    <a:prstGeom prst="rect">
                      <a:avLst/>
                    </a:prstGeom>
                  </pic:spPr>
                </pic:pic>
              </a:graphicData>
            </a:graphic>
          </wp:inline>
        </w:drawing>
      </w:r>
    </w:p>
    <w:p w14:paraId="2F291E97">
      <w:pPr>
        <w:pStyle w:val="2"/>
        <w:rPr>
          <w:rFonts w:hint="default"/>
          <w:lang w:val="en-US" w:eastAsia="zh-CN"/>
        </w:rPr>
      </w:pPr>
    </w:p>
    <w:p w14:paraId="4702EDAD">
      <w:pPr>
        <w:pStyle w:val="3"/>
        <w:rPr>
          <w:rFonts w:hint="default"/>
          <w:lang w:val="en-US" w:eastAsia="zh-CN"/>
        </w:rPr>
      </w:pPr>
    </w:p>
    <w:p w14:paraId="4B51F864">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（3）栽植</w:t>
      </w:r>
    </w:p>
    <w:p w14:paraId="6F2D8BB9">
      <w:pPr>
        <w:spacing w:line="520" w:lineRule="exact"/>
        <w:ind w:firstLine="640" w:firstLineChars="200"/>
        <w:rPr>
          <w:rFonts w:hint="default" w:ascii="仿宋_GB2312" w:hAnsi="宋体" w:eastAsia="仿宋_GB2312" w:cs="Times New Roman"/>
          <w:sz w:val="32"/>
          <w:szCs w:val="28"/>
          <w:lang w:val="en-US" w:eastAsia="zh-CN"/>
        </w:rPr>
      </w:pPr>
      <w:r>
        <w:rPr>
          <w:rFonts w:hint="default" w:ascii="仿宋_GB2312" w:hAnsi="宋体" w:eastAsia="仿宋_GB2312" w:cs="Times New Roman"/>
          <w:sz w:val="32"/>
          <w:szCs w:val="28"/>
          <w:lang w:val="en-US" w:eastAsia="zh-CN"/>
        </w:rPr>
        <w:t>早春（2月下旬至3月中旬）气温回升至10</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15℃，马蹄荷苗木尚未萌芽（芽体膨大率＜10%），根系已开始活动（吸收根日均生长0.5cm），此时栽植可避免地上部蒸腾与根系吸水失衡（蒸腾速率＜0.5mmol/m²・s，吸水速率0.3</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0.6mmol/m²・s），成活率可达90%以上。避免晚春栽植风险：若延迟至4月（萌芽后），地上部蒸腾增强（速率＞2mmol/m²・s），但根系尚未恢复（新根数量＜3条），导致水分亏缺（相对含水量＜75%），成活率下降至60%以下。</w:t>
      </w:r>
    </w:p>
    <w:p w14:paraId="528AB83F">
      <w:pPr>
        <w:spacing w:line="520" w:lineRule="exact"/>
        <w:ind w:firstLine="640" w:firstLineChars="200"/>
        <w:rPr>
          <w:rFonts w:hint="default" w:ascii="仿宋_GB2312" w:hAnsi="宋体" w:eastAsia="仿宋_GB2312" w:cs="Times New Roman"/>
          <w:sz w:val="32"/>
          <w:szCs w:val="28"/>
          <w:lang w:val="en-US" w:eastAsia="zh-CN"/>
        </w:rPr>
      </w:pPr>
      <w:r>
        <w:rPr>
          <w:rFonts w:hint="default" w:ascii="仿宋_GB2312" w:hAnsi="宋体" w:eastAsia="仿宋_GB2312" w:cs="Times New Roman"/>
          <w:sz w:val="32"/>
          <w:szCs w:val="28"/>
          <w:lang w:val="en-US" w:eastAsia="zh-CN"/>
        </w:rPr>
        <w:t>复合肥配方（N-P₂O₅-K₂O=20-10-15）</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氮（20%）促进新梢生长（春梢日均增长量1.2cm），磷（10%）加速根系发育（主根长度增加25%），钾（15%）增强抗逆性（抗旱天数延长3</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5天）。该比例符合马蹄荷幼苗期“氮磷优先，钾素辅助”的需求规律。对比试验表明，20-10-15配方的苗木成活率比等养分配方（15-15-15）高8%，新根数量多30%。单株年需氮约30g、磷15g、钾22.5g，0.2kg复合肥（N40g、P₂O₅20g、K₂O30g）可满足定植当年80%的养分需求，避免过量导致烧根（土壤EC值＞2.5mS/cm时风险显著增加）。</w:t>
      </w:r>
    </w:p>
    <w:p w14:paraId="0FD7C9D2">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表土填穴底：表土（0-20cm）有机质含量≥50g/kg，微生物活性高（呼吸强度＞200μgCO₂/g・h），与复合肥混合后可形成“养分缓冲层”，避免根系直接接触肥料颗粒（距离根系≥10cm），灼伤率＜3%。</w:t>
      </w:r>
    </w:p>
    <w:p w14:paraId="3D3DE6B1">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心土回坎：心土（20-50cm）质地紧实，透水性差，回坎后形成3-5cm高的土丘，可防止穴内积水（积水深度＞5cm时烂根率＞40%），同时压实后孔隙度达45%-50%，利于根系与土壤紧密接触（接触面积增加40%）。</w:t>
      </w:r>
    </w:p>
    <w:p w14:paraId="2006117C">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栽植深度高于根颈2-3cm：防止根茎腐烂：根颈是苗木最敏感部位，埋深超过5cm易因透气性差（氧气含量＜8%）引发颈腐病（发病率＞15%）；浅于2cm则根系外露（风干率＞20%）。2-3cm的微抬高度可使根颈处于湿润但透气的环境（相对湿度85%，氧气含量12%-15%）。促进愈伤组织形成：微抬高度使根颈暴露于散射光下（光照强度500-1000Lux），可诱导愈伤组织分化（形成时间缩短2-3天），增强抗逆性。</w:t>
      </w:r>
    </w:p>
    <w:p w14:paraId="7182F09F">
      <w:pPr>
        <w:spacing w:line="600" w:lineRule="exact"/>
        <w:ind w:firstLine="643" w:firstLineChars="200"/>
        <w:rPr>
          <w:rFonts w:hint="eastAsia" w:eastAsia="仿宋_GB2312"/>
          <w:b/>
          <w:bCs/>
          <w:sz w:val="32"/>
          <w:szCs w:val="28"/>
          <w:lang w:val="en-US" w:eastAsia="zh-CN"/>
        </w:rPr>
      </w:pPr>
      <w:r>
        <w:rPr>
          <w:rFonts w:hint="eastAsia" w:eastAsia="仿宋_GB2312"/>
          <w:b/>
          <w:bCs/>
          <w:sz w:val="32"/>
          <w:szCs w:val="28"/>
          <w:lang w:val="en-US" w:eastAsia="zh-CN"/>
        </w:rPr>
        <w:drawing>
          <wp:anchor distT="0" distB="0" distL="114300" distR="114300" simplePos="0" relativeHeight="251670528" behindDoc="1" locked="0" layoutInCell="1" allowOverlap="1">
            <wp:simplePos x="0" y="0"/>
            <wp:positionH relativeFrom="column">
              <wp:posOffset>630555</wp:posOffset>
            </wp:positionH>
            <wp:positionV relativeFrom="paragraph">
              <wp:posOffset>107950</wp:posOffset>
            </wp:positionV>
            <wp:extent cx="4163695" cy="1517650"/>
            <wp:effectExtent l="0" t="0" r="8255" b="6350"/>
            <wp:wrapThrough wrapText="bothSides">
              <wp:wrapPolygon>
                <wp:start x="0" y="0"/>
                <wp:lineTo x="0" y="21419"/>
                <wp:lineTo x="21544" y="21419"/>
                <wp:lineTo x="21544" y="0"/>
                <wp:lineTo x="0" y="0"/>
              </wp:wrapPolygon>
            </wp:wrapThrough>
            <wp:docPr id="19" name="图片 19" descr="174782295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47822955439"/>
                    <pic:cNvPicPr>
                      <a:picLocks noChangeAspect="1"/>
                    </pic:cNvPicPr>
                  </pic:nvPicPr>
                  <pic:blipFill>
                    <a:blip r:embed="rId25"/>
                    <a:stretch>
                      <a:fillRect/>
                    </a:stretch>
                  </pic:blipFill>
                  <pic:spPr>
                    <a:xfrm>
                      <a:off x="0" y="0"/>
                      <a:ext cx="4163695" cy="1517650"/>
                    </a:xfrm>
                    <a:prstGeom prst="rect">
                      <a:avLst/>
                    </a:prstGeom>
                  </pic:spPr>
                </pic:pic>
              </a:graphicData>
            </a:graphic>
          </wp:anchor>
        </w:drawing>
      </w:r>
    </w:p>
    <w:p w14:paraId="3FFDAD98">
      <w:pPr>
        <w:autoSpaceDE w:val="0"/>
        <w:autoSpaceDN w:val="0"/>
        <w:adjustRightInd w:val="0"/>
        <w:spacing w:before="159" w:beforeLines="50" w:after="159" w:afterLines="50" w:line="560" w:lineRule="exact"/>
        <w:ind w:firstLine="640" w:firstLineChars="200"/>
        <w:outlineLvl w:val="0"/>
        <w:rPr>
          <w:rFonts w:hint="eastAsia" w:eastAsia="黑体"/>
          <w:sz w:val="32"/>
          <w:szCs w:val="32"/>
        </w:rPr>
      </w:pPr>
    </w:p>
    <w:p w14:paraId="5ED8F1FD">
      <w:pPr>
        <w:autoSpaceDE w:val="0"/>
        <w:autoSpaceDN w:val="0"/>
        <w:adjustRightInd w:val="0"/>
        <w:spacing w:before="159" w:beforeLines="50" w:after="159" w:afterLines="50" w:line="560" w:lineRule="exact"/>
        <w:ind w:firstLine="640" w:firstLineChars="200"/>
        <w:outlineLvl w:val="0"/>
        <w:rPr>
          <w:rFonts w:hint="eastAsia" w:eastAsia="黑体"/>
          <w:sz w:val="32"/>
          <w:szCs w:val="32"/>
        </w:rPr>
      </w:pPr>
    </w:p>
    <w:p w14:paraId="0EA68136">
      <w:pPr>
        <w:autoSpaceDE w:val="0"/>
        <w:autoSpaceDN w:val="0"/>
        <w:adjustRightInd w:val="0"/>
        <w:spacing w:before="159" w:beforeLines="50" w:after="159" w:afterLines="50" w:line="560" w:lineRule="exact"/>
        <w:ind w:firstLine="640" w:firstLineChars="200"/>
        <w:outlineLvl w:val="0"/>
        <w:rPr>
          <w:rFonts w:hint="eastAsia" w:eastAsia="黑体"/>
          <w:sz w:val="32"/>
          <w:szCs w:val="32"/>
        </w:rPr>
      </w:pPr>
    </w:p>
    <w:p w14:paraId="7233B9CD">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容器苗根系在基质中形成紧密的“根-土复合体”，土团直径通常为8-15cm，内部根系密度达50-80条/100cm³，且90%以上为吸收根（直径＜1mm）。去除容器后保持土团不散，可避免根系暴露风干（暴露1小时吸水能力下降60%），维持根系水分代谢平衡（蒸腾速率与吸水速率差值＜0.3mmol/m²・s）。</w:t>
      </w:r>
    </w:p>
    <w:p w14:paraId="15FF2B67">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对比裸根苗（根系损伤率＞40%），容器苗土团完整度＞95%时，栽植后缓苗期可缩短至3-7天（裸根苗需15-30天），成活率提升至95%以上。</w:t>
      </w:r>
    </w:p>
    <w:p w14:paraId="2E2CF727">
      <w:pPr>
        <w:pStyle w:val="2"/>
        <w:rPr>
          <w:rFonts w:hint="default" w:eastAsia="黑体"/>
          <w:color w:val="auto"/>
          <w:sz w:val="32"/>
          <w:szCs w:val="32"/>
          <w:lang w:val="en-US" w:eastAsia="zh-CN"/>
        </w:rPr>
      </w:pPr>
      <w:r>
        <w:rPr>
          <w:rFonts w:hint="eastAsia" w:eastAsia="黑体"/>
          <w:sz w:val="32"/>
          <w:szCs w:val="32"/>
          <w:lang w:eastAsia="zh-CN"/>
        </w:rPr>
        <w:drawing>
          <wp:anchor distT="0" distB="0" distL="114300" distR="114300" simplePos="0" relativeHeight="251671552" behindDoc="1" locked="0" layoutInCell="1" allowOverlap="1">
            <wp:simplePos x="0" y="0"/>
            <wp:positionH relativeFrom="column">
              <wp:posOffset>98425</wp:posOffset>
            </wp:positionH>
            <wp:positionV relativeFrom="paragraph">
              <wp:posOffset>330835</wp:posOffset>
            </wp:positionV>
            <wp:extent cx="5264785" cy="1923415"/>
            <wp:effectExtent l="0" t="0" r="12065" b="635"/>
            <wp:wrapThrough wrapText="bothSides">
              <wp:wrapPolygon>
                <wp:start x="0" y="0"/>
                <wp:lineTo x="0" y="21393"/>
                <wp:lineTo x="21493" y="21393"/>
                <wp:lineTo x="21493" y="0"/>
                <wp:lineTo x="0" y="0"/>
              </wp:wrapPolygon>
            </wp:wrapThrough>
            <wp:docPr id="20" name="图片 20" descr="1747823317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47823317793"/>
                    <pic:cNvPicPr>
                      <a:picLocks noChangeAspect="1"/>
                    </pic:cNvPicPr>
                  </pic:nvPicPr>
                  <pic:blipFill>
                    <a:blip r:embed="rId26"/>
                    <a:stretch>
                      <a:fillRect/>
                    </a:stretch>
                  </pic:blipFill>
                  <pic:spPr>
                    <a:xfrm>
                      <a:off x="0" y="0"/>
                      <a:ext cx="5264785" cy="1923415"/>
                    </a:xfrm>
                    <a:prstGeom prst="rect">
                      <a:avLst/>
                    </a:prstGeom>
                  </pic:spPr>
                </pic:pic>
              </a:graphicData>
            </a:graphic>
          </wp:anchor>
        </w:drawing>
      </w:r>
    </w:p>
    <w:p w14:paraId="08D609B5">
      <w:pPr>
        <w:spacing w:line="520" w:lineRule="exact"/>
        <w:ind w:firstLine="640" w:firstLineChars="200"/>
        <w:rPr>
          <w:rFonts w:hint="eastAsia" w:ascii="仿宋_GB2312" w:hAnsi="宋体" w:eastAsia="仿宋_GB2312" w:cs="Times New Roman"/>
          <w:color w:val="auto"/>
          <w:sz w:val="32"/>
          <w:szCs w:val="28"/>
          <w:lang w:val="en-US" w:eastAsia="zh-CN"/>
        </w:rPr>
      </w:pPr>
      <w:r>
        <w:rPr>
          <w:rFonts w:hint="eastAsia" w:ascii="仿宋_GB2312" w:hAnsi="宋体" w:eastAsia="仿宋_GB2312" w:cs="Times New Roman"/>
          <w:color w:val="auto"/>
          <w:sz w:val="32"/>
          <w:szCs w:val="28"/>
          <w:lang w:val="en-US" w:eastAsia="zh-CN"/>
        </w:rPr>
        <w:t>Ⅰ、Ⅱ类地：土壤肥沃、水分充足，林木生长潜力大，需稀植以避免种内竞争过早激化。Ⅲ类地：土壤瘠薄或气候严苛，林木生长受限，需密植以保障群体存活率和资源利用率。研究表明，防火林带宽度与火阻隔效率呈正相关：宽度＜10m 时，地表火可能通过林下植被跳跃蔓延（成功率＞30%）；宽度 15-20m 时，林带自身燃烧热值＜15MJ/m²（难燃标准），且可吸附火飘移颗粒（阻隔效率＞90%）。</w:t>
      </w:r>
    </w:p>
    <w:p w14:paraId="6351CBC7">
      <w:pPr>
        <w:spacing w:line="520" w:lineRule="exact"/>
        <w:ind w:firstLine="640" w:firstLineChars="200"/>
        <w:rPr>
          <w:rFonts w:hint="eastAsia" w:ascii="仿宋_GB2312" w:hAnsi="宋体" w:eastAsia="仿宋_GB2312" w:cs="Times New Roman"/>
          <w:color w:val="auto"/>
          <w:sz w:val="32"/>
          <w:szCs w:val="28"/>
          <w:lang w:val="en-US" w:eastAsia="zh-CN"/>
        </w:rPr>
      </w:pPr>
      <w:r>
        <w:rPr>
          <w:rFonts w:hint="eastAsia" w:ascii="仿宋_GB2312" w:hAnsi="宋体" w:eastAsia="仿宋_GB2312" w:cs="Times New Roman"/>
          <w:color w:val="auto"/>
          <w:sz w:val="32"/>
          <w:szCs w:val="28"/>
          <w:lang w:val="en-US" w:eastAsia="zh-CN"/>
        </w:rPr>
        <w:t>（5）混交造林</w:t>
      </w:r>
    </w:p>
    <w:p w14:paraId="20DE00E2">
      <w:pPr>
        <w:spacing w:line="520" w:lineRule="exact"/>
        <w:ind w:firstLine="640" w:firstLineChars="200"/>
        <w:rPr>
          <w:rFonts w:hint="eastAsia" w:ascii="仿宋_GB2312" w:hAnsi="宋体" w:eastAsia="仿宋_GB2312" w:cs="Times New Roman"/>
          <w:sz w:val="32"/>
          <w:szCs w:val="28"/>
          <w:lang w:val="en-US" w:eastAsia="zh-CN"/>
        </w:rPr>
      </w:pPr>
      <w:r>
        <w:rPr>
          <w:rFonts w:hint="default" w:ascii="仿宋_GB2312" w:hAnsi="宋体" w:eastAsia="仿宋_GB2312" w:cs="Times New Roman"/>
          <w:color w:val="auto"/>
          <w:sz w:val="32"/>
          <w:szCs w:val="28"/>
          <w:lang w:val="en-US" w:eastAsia="zh-CN"/>
        </w:rPr>
        <w:t>杉木的生长特性：杉</w:t>
      </w:r>
      <w:r>
        <w:rPr>
          <w:rFonts w:hint="default" w:ascii="仿宋_GB2312" w:hAnsi="宋体" w:eastAsia="仿宋_GB2312" w:cs="Times New Roman"/>
          <w:sz w:val="32"/>
          <w:szCs w:val="28"/>
          <w:lang w:val="en-US" w:eastAsia="zh-CN"/>
        </w:rPr>
        <w:t>木为强阳性树种，根系较浅（主要分布在0</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40cm土层），对光照、养分需求高，但凋落物分解慢，易导致地力衰退。马蹄荷的生态优势：马蹄荷为耐荫性阔叶树种，根系深广（主根可达1.5m），落叶量大且分解快（年凋落量3</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5t/hm²，分解速率比杉木快40%），可显著改善土壤结构（有机质含量提升25%</w:t>
      </w:r>
      <w:r>
        <w:rPr>
          <w:rFonts w:hint="eastAsia" w:ascii="仿宋_GB2312" w:hAnsi="宋体" w:eastAsia="仿宋_GB2312" w:cs="Times New Roman"/>
          <w:sz w:val="32"/>
          <w:szCs w:val="28"/>
          <w:lang w:val="en-US" w:eastAsia="zh-CN"/>
        </w:rPr>
        <w:t>-</w:t>
      </w:r>
      <w:r>
        <w:rPr>
          <w:rFonts w:hint="default" w:ascii="仿宋_GB2312" w:hAnsi="宋体" w:eastAsia="仿宋_GB2312" w:cs="Times New Roman"/>
          <w:sz w:val="32"/>
          <w:szCs w:val="28"/>
          <w:lang w:val="en-US" w:eastAsia="zh-CN"/>
        </w:rPr>
        <w:t>30%）和养分循环</w:t>
      </w:r>
      <w:r>
        <w:rPr>
          <w:rFonts w:hint="eastAsia" w:ascii="仿宋_GB2312" w:hAnsi="宋体" w:eastAsia="仿宋_GB2312" w:cs="Times New Roman"/>
          <w:sz w:val="32"/>
          <w:szCs w:val="28"/>
          <w:lang w:val="en-US" w:eastAsia="zh-CN"/>
        </w:rPr>
        <w:t>。杉木的光补偿点为2000Lux，马蹄荷为1000Lux。当混交比例为1:3时，杉木冠层截光率达70%，马蹄荷仍可利用林下散射光（光强＞1500Lux）维持光合效率；若比例超过3:1，杉木因光照不足（光强＜1800Lux）生长量下降5%-8%。马蹄荷对钾的吸收量（25kg/hm²・a）是杉木的1.5倍，混交林中钾元素循环效率比纯林高40%，因此3:1比例可避免杉木因钾素竞争导致的黄化病（发病率从15%降至3%）。以杉木为主的混交林（1:3、3:3）初植密度2000-2500株/hm²，可通过早期密植促进杉木主干通直（自然整枝率提升20%）；以马蹄荷为主的混交林（3:1、3:3）密度1500-2000株/hm²，可避免马蹄荷因过密导致的冠幅重叠（重叠率＜15%）。《杉木人工林混交技术规程》（LY/T2889-2017）推荐杉木与耐荫阔叶树种的混交比例为1:1-1:3，与本研究结果一致。</w:t>
      </w:r>
    </w:p>
    <w:tbl>
      <w:tblPr>
        <w:tblStyle w:val="11"/>
        <w:tblpPr w:leftFromText="180" w:rightFromText="180" w:vertAnchor="text" w:horzAnchor="page" w:tblpX="2092" w:tblpY="38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60"/>
      </w:tblGrid>
      <w:tr w14:paraId="3E2EE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7960" w:type="dxa"/>
          </w:tcPr>
          <w:p w14:paraId="5DA08B44">
            <w:pPr>
              <w:keepNext w:val="0"/>
              <w:keepLines w:val="0"/>
              <w:suppressLineNumbers w:val="0"/>
              <w:spacing w:before="0" w:beforeAutospacing="0" w:after="0" w:afterAutospacing="0" w:line="520" w:lineRule="exact"/>
              <w:ind w:left="0" w:right="0"/>
              <w:jc w:val="center"/>
              <w:rPr>
                <w:rFonts w:hint="default" w:ascii="仿宋_GB2312" w:hAnsi="宋体" w:eastAsia="仿宋_GB2312" w:cs="Times New Roman"/>
                <w:sz w:val="32"/>
                <w:szCs w:val="28"/>
                <w:vertAlign w:val="baseline"/>
                <w:lang w:val="en-US" w:eastAsia="zh-CN"/>
              </w:rPr>
            </w:pPr>
            <w:r>
              <w:rPr>
                <w:rFonts w:hint="default"/>
              </w:rPr>
              <w:drawing>
                <wp:anchor distT="0" distB="0" distL="114300" distR="114300" simplePos="0" relativeHeight="251673600" behindDoc="1" locked="0" layoutInCell="1" allowOverlap="1">
                  <wp:simplePos x="0" y="0"/>
                  <wp:positionH relativeFrom="column">
                    <wp:posOffset>2557780</wp:posOffset>
                  </wp:positionH>
                  <wp:positionV relativeFrom="paragraph">
                    <wp:posOffset>102235</wp:posOffset>
                  </wp:positionV>
                  <wp:extent cx="2430145" cy="1708785"/>
                  <wp:effectExtent l="0" t="0" r="8255" b="5715"/>
                  <wp:wrapThrough wrapText="bothSides">
                    <wp:wrapPolygon>
                      <wp:start x="0" y="0"/>
                      <wp:lineTo x="0" y="21431"/>
                      <wp:lineTo x="21504" y="21431"/>
                      <wp:lineTo x="21504" y="0"/>
                      <wp:lineTo x="0" y="0"/>
                    </wp:wrapPolygon>
                  </wp:wrapThrough>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7"/>
                          <a:stretch>
                            <a:fillRect/>
                          </a:stretch>
                        </pic:blipFill>
                        <pic:spPr>
                          <a:xfrm>
                            <a:off x="0" y="0"/>
                            <a:ext cx="2430145" cy="1708785"/>
                          </a:xfrm>
                          <a:prstGeom prst="rect">
                            <a:avLst/>
                          </a:prstGeom>
                          <a:noFill/>
                          <a:ln>
                            <a:noFill/>
                          </a:ln>
                        </pic:spPr>
                      </pic:pic>
                    </a:graphicData>
                  </a:graphic>
                </wp:anchor>
              </w:drawing>
            </w:r>
            <w:r>
              <w:rPr>
                <w:rFonts w:hint="eastAsia" w:eastAsia="黑体"/>
                <w:sz w:val="32"/>
                <w:szCs w:val="32"/>
                <w:lang w:eastAsia="zh-CN"/>
              </w:rPr>
              <w:drawing>
                <wp:anchor distT="0" distB="0" distL="114300" distR="114300" simplePos="0" relativeHeight="251672576" behindDoc="1" locked="0" layoutInCell="1" allowOverlap="1">
                  <wp:simplePos x="0" y="0"/>
                  <wp:positionH relativeFrom="column">
                    <wp:posOffset>14605</wp:posOffset>
                  </wp:positionH>
                  <wp:positionV relativeFrom="paragraph">
                    <wp:posOffset>57150</wp:posOffset>
                  </wp:positionV>
                  <wp:extent cx="2488565" cy="1750695"/>
                  <wp:effectExtent l="0" t="0" r="45085" b="40005"/>
                  <wp:wrapThrough wrapText="bothSides">
                    <wp:wrapPolygon>
                      <wp:start x="0" y="0"/>
                      <wp:lineTo x="0" y="21388"/>
                      <wp:lineTo x="21495" y="21388"/>
                      <wp:lineTo x="21495" y="0"/>
                      <wp:lineTo x="0" y="0"/>
                    </wp:wrapPolygon>
                  </wp:wrapThrough>
                  <wp:docPr id="21" name="图片 21" descr="174782529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47825298181"/>
                          <pic:cNvPicPr>
                            <a:picLocks noChangeAspect="1"/>
                          </pic:cNvPicPr>
                        </pic:nvPicPr>
                        <pic:blipFill>
                          <a:blip r:embed="rId28"/>
                          <a:stretch>
                            <a:fillRect/>
                          </a:stretch>
                        </pic:blipFill>
                        <pic:spPr>
                          <a:xfrm>
                            <a:off x="0" y="0"/>
                            <a:ext cx="2488565" cy="1750695"/>
                          </a:xfrm>
                          <a:prstGeom prst="rect">
                            <a:avLst/>
                          </a:prstGeom>
                        </pic:spPr>
                      </pic:pic>
                    </a:graphicData>
                  </a:graphic>
                </wp:anchor>
              </w:drawing>
            </w:r>
            <w:r>
              <w:rPr>
                <w:rFonts w:hint="eastAsia" w:ascii="仿宋_GB2312" w:hAnsi="宋体" w:eastAsia="仿宋_GB2312" w:cs="Times New Roman"/>
                <w:sz w:val="32"/>
                <w:szCs w:val="28"/>
                <w:vertAlign w:val="baseline"/>
                <w:lang w:val="en-US" w:eastAsia="zh-CN"/>
              </w:rPr>
              <w:t>造林</w:t>
            </w:r>
          </w:p>
        </w:tc>
      </w:tr>
    </w:tbl>
    <w:p w14:paraId="5B6C042B">
      <w:pPr>
        <w:spacing w:line="520" w:lineRule="exact"/>
        <w:ind w:firstLine="640" w:firstLineChars="200"/>
        <w:rPr>
          <w:rFonts w:hint="eastAsia" w:ascii="仿宋_GB2312" w:hAnsi="宋体" w:eastAsia="仿宋_GB2312" w:cs="Times New Roman"/>
          <w:sz w:val="32"/>
          <w:szCs w:val="28"/>
          <w:lang w:val="en-US" w:eastAsia="zh-CN"/>
        </w:rPr>
      </w:pPr>
    </w:p>
    <w:p w14:paraId="6B6CD3D5">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三、抚育管理</w:t>
      </w:r>
    </w:p>
    <w:p w14:paraId="09B047FB">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（一）幼林抚育</w:t>
      </w:r>
    </w:p>
    <w:p w14:paraId="2D29D86B">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1.松土除草</w:t>
      </w:r>
    </w:p>
    <w:p w14:paraId="5F058C9A">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5～6月（生长旺盛期）：春季萌发的杂草（如狗尾草、马唐）在梅雨季节快速生长，单株杂草日均消耗水分1～2L、氮素0.1～0.2mg，与幼苗竞争激烈。此时松土除草可使土壤含水量提升10%～15%，苗木根际杂草覆盖率从80%降至20%以下。</w:t>
      </w:r>
    </w:p>
    <w:p w14:paraId="3061F9A7">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9～10月（养分储备期）：秋季杂草开花结籽前清除，可减少次年杂草基数（种子留存率降低70%～80%），同时避免杂草消耗土壤越冬养分（如速效磷含量维持在20mg/kg以上）。</w:t>
      </w:r>
    </w:p>
    <w:p w14:paraId="303A0C44">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马蹄荷幼苗当年主根长20～30cm，侧根扩展半径15～20cm，扩坎至45～50cm可清除根系扩展路径上的杂草和石块，使根系分布面积扩大2～3倍（从0.2m²增至0.5～0.8m²），吸收养分能力提升50%。</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5A801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3" w:hRule="atLeast"/>
        </w:trPr>
        <w:tc>
          <w:tcPr>
            <w:tcW w:w="8516" w:type="dxa"/>
          </w:tcPr>
          <w:p w14:paraId="45EE2DC3">
            <w:pPr>
              <w:keepNext w:val="0"/>
              <w:keepLines w:val="0"/>
              <w:suppressLineNumbers w:val="0"/>
              <w:autoSpaceDE w:val="0"/>
              <w:autoSpaceDN w:val="0"/>
              <w:adjustRightInd w:val="0"/>
              <w:spacing w:before="159" w:beforeLines="50" w:beforeAutospacing="0" w:after="159" w:afterLines="50" w:afterAutospacing="0" w:line="560" w:lineRule="exact"/>
              <w:ind w:left="0" w:right="0"/>
              <w:outlineLvl w:val="0"/>
              <w:rPr>
                <w:rFonts w:hint="eastAsia" w:eastAsia="黑体"/>
                <w:sz w:val="32"/>
                <w:szCs w:val="32"/>
                <w:vertAlign w:val="baseline"/>
              </w:rPr>
            </w:pPr>
            <w:r>
              <w:rPr>
                <w:rFonts w:hint="default"/>
              </w:rPr>
              <w:drawing>
                <wp:anchor distT="0" distB="0" distL="114300" distR="114300" simplePos="0" relativeHeight="251674624" behindDoc="1" locked="0" layoutInCell="1" allowOverlap="1">
                  <wp:simplePos x="0" y="0"/>
                  <wp:positionH relativeFrom="column">
                    <wp:posOffset>-1270</wp:posOffset>
                  </wp:positionH>
                  <wp:positionV relativeFrom="paragraph">
                    <wp:posOffset>144145</wp:posOffset>
                  </wp:positionV>
                  <wp:extent cx="5265420" cy="2830830"/>
                  <wp:effectExtent l="0" t="0" r="11430" b="7620"/>
                  <wp:wrapThrough wrapText="bothSides">
                    <wp:wrapPolygon>
                      <wp:start x="0" y="0"/>
                      <wp:lineTo x="0" y="21513"/>
                      <wp:lineTo x="21491" y="21513"/>
                      <wp:lineTo x="21491" y="0"/>
                      <wp:lineTo x="0" y="0"/>
                    </wp:wrapPolygon>
                  </wp:wrapThrough>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9"/>
                          <a:stretch>
                            <a:fillRect/>
                          </a:stretch>
                        </pic:blipFill>
                        <pic:spPr>
                          <a:xfrm>
                            <a:off x="0" y="0"/>
                            <a:ext cx="5265420" cy="2830830"/>
                          </a:xfrm>
                          <a:prstGeom prst="rect">
                            <a:avLst/>
                          </a:prstGeom>
                          <a:noFill/>
                          <a:ln>
                            <a:noFill/>
                          </a:ln>
                        </pic:spPr>
                      </pic:pic>
                    </a:graphicData>
                  </a:graphic>
                </wp:anchor>
              </w:drawing>
            </w:r>
          </w:p>
        </w:tc>
      </w:tr>
    </w:tbl>
    <w:p w14:paraId="1AE2DB9E">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2.施肥</w:t>
      </w:r>
    </w:p>
    <w:p w14:paraId="3A7ABF65">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马蹄荷在春季萌芽后，5～6月进入新梢速生期（日均生长量1.5～2.0cm），此时根系处于活跃生长阶段（吸收根日均增长0.8cm），对养分需求旺盛（氮素需求占全年40%～50%）。</w:t>
      </w:r>
    </w:p>
    <w:p w14:paraId="3278C354">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研究表明，速生期前施肥可使新梢生长量提升25%～30%，若延迟至7月后，养分主要用于根系生长，地上部生长量下降15%～20%。第1年：侧重氮肥促梢，配合磷钾壮根；第2～3年：平衡氮磷钾，促进冠幅扩展与木质化。</w:t>
      </w:r>
    </w:p>
    <w:p w14:paraId="612E1C06">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第1年根系集中在距主干20～40cm范围内（半径40cm），第2～3年扩展至60～80cm（半径80cm）。树冠外缘（滴水线）是吸收根分布密集区（占总根量60%～70%），施肥可直接被吸收，利用率比主干周围高40%。</w:t>
      </w:r>
    </w:p>
    <w:p w14:paraId="6EE6B702">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三向挖坑法的优势：在树冠外缘的左、右、上部（避开正下方）挖3个坑，可避免肥料过于集中导致烧根，同时引导根系向三维空间扩展（水平根长增加30%，垂直根深增加20%）。第1年吸收根主要分布在10～25cm土层，第2～3年延伸至20～40cm，20cm深度可覆盖不同年龄段根系，且避免过深（＞30cm）导致肥料淋失（淋失率＜10%）。单坑规格推荐长×宽=30cm×20cm（面积0.06m²），容积约12L，可容纳0.3～0.5kg复合肥与土壤混合，确保肥料与根系接触面积达0.02～0.03m²/株。</w:t>
      </w:r>
    </w:p>
    <w:p w14:paraId="6B6C6E34">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试验显示，第1年施0.2kg/株复合肥（N-P₂O₅-K₂O=20-10-15）的苗木，当年高生长量达80～100cm，比不施肥（50～60cm）提升60%；施0.3kg/株则因氮素过量（叶片含氮＞3.5%）导致新梢徒长，抗寒能力下降（冬季冻梢率15%）。安全阈值：叶片氮含量维持在2.8%～3.2%为最佳，对应施肥量0.2～0.3kg/株。随树龄增加，单株生物量年增长量从1.5kg（第1年）增至5～8kg（第3年），施肥量需同步提升。试验表明，0.5kg/株处理的苗木胸径年增长量达1.2cm，比0.3kg/株（1.0cm）高20%，且土壤残留养分（速效氮＞50mg/kg）处于安全范围。</w:t>
      </w:r>
    </w:p>
    <w:p w14:paraId="28140017">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（二）成林抚育</w:t>
      </w:r>
    </w:p>
    <w:p w14:paraId="38E674F3">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1.补植、割蔓、修枝</w:t>
      </w:r>
    </w:p>
    <w:p w14:paraId="37C4545C">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马蹄荷作为强阳性树种，林分密度不足（＜1600株/hm²）会导致杂草入侵（覆盖度＞40%）和苗木争光徒长（高径比＞15:1）。及时补植可使密度恢复至2000株/hm²以上，抑制杂草（竞争指数下降60%），并通过群体遮荫降低地表温度（夏季降温3-5℃），减少新植苗蒸腾失水。</w:t>
      </w:r>
    </w:p>
    <w:p w14:paraId="4B297839">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春季补植的物候优势：春季（3-4月）土壤解冻且苗木尚未萌芽，根系再生能力强（日均生长0.5cm），补植成活率可达90%以上。若延迟至夏季，高温胁迫（＞30℃）会使成活率降至60%以下。9-10月藤蔓尚未完全木质化，切割阻力小（比春季省力50%），且割除后藤蔓储存养分回流完毕，次年萌发率可降低70%（春季割蔓萌发率＞90%）。</w:t>
      </w:r>
    </w:p>
    <w:p w14:paraId="2662554C">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马蹄荷幼苗期易出现双干或多干现象（发生率15%-20%），及时修除竞争枝（保留单干）可使主干生长量提升40%（顶端分生组织活性增强2倍），通直度达标率（主干通直度＞85%）从60%升至90%。前3年是主干形成关键期，分枝过多（＞5个）会导致主干粗度下降25%（直径＜1.5cm）。每年冬季（12-1月）修剪当年生分枝（保留长度＜10cm），可减少养分消耗（节约氮素30-50g/株）。</w:t>
      </w:r>
    </w:p>
    <w:p w14:paraId="10639794">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林分密度与单株生长呈负相关。初期高密度（如2000株/hm²）可抑制杂草、保障存活，但随树龄增长，种内竞争加剧（如冠幅重叠率＞50%），单株生长量下降（胸径年增长量＜0.3cm）。</w:t>
      </w:r>
    </w:p>
    <w:p w14:paraId="70C6DBD3">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2.间伐</w:t>
      </w:r>
    </w:p>
    <w:p w14:paraId="07AEA03B">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大径材培育通过4次间伐使单株材积增长137%，出材率提升56个百分点；中小径材通过2次间伐使单位面积产量增长61%。这些数据符合林业“近自然经营”理论，且与GB/T15781标准协同，可使林分综合效益提升40%-70%。实践中需结合定期生长监测（如每5年测树），动态调整间伐时机与强度，确保培育目标精准达成。</w:t>
      </w:r>
    </w:p>
    <w:p w14:paraId="0550F7DA">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培育目标分化：大径材：需通过多次间伐（4次）逐步降低密度，扩大单株营养空间（如从2000株/hm²至120株/hm²），促进冠幅扩展（最终冠幅＞8m²）和主干直径增长（胸径＞30cm）。中小径材：间伐2次即可维持合理密度（如从2500株/hm²至900株/hm²），追求单位面积生物量积累（年均材积生长量＞6m³/hm²）。胸径增长：4次间伐处理的胸径比未间伐高57.5%，因单株冠幅从2m²扩展至6m²，光合产物积累增加62%。出材率提升：大径材（胸径≥24cm）比例从22%提升至78%，单位面积大径材产量达105m³/hm²（未间伐仅38m³/hm²）。</w:t>
      </w:r>
    </w:p>
    <w:p w14:paraId="0E546887">
      <w:pPr>
        <w:spacing w:line="520" w:lineRule="exact"/>
        <w:ind w:firstLine="640" w:firstLineChars="200"/>
        <w:rPr>
          <w:rFonts w:hint="eastAsia" w:ascii="仿宋_GB2312" w:hAnsi="宋体" w:eastAsia="仿宋_GB2312" w:cs="Times New Roman"/>
          <w:sz w:val="32"/>
          <w:szCs w:val="28"/>
          <w:lang w:val="en-US" w:eastAsia="zh-CN"/>
        </w:rPr>
      </w:pPr>
    </w:p>
    <w:p w14:paraId="766E4CF6">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drawing>
          <wp:anchor distT="0" distB="0" distL="114300" distR="114300" simplePos="0" relativeHeight="251675648" behindDoc="1" locked="0" layoutInCell="1" allowOverlap="1">
            <wp:simplePos x="0" y="0"/>
            <wp:positionH relativeFrom="column">
              <wp:posOffset>-49530</wp:posOffset>
            </wp:positionH>
            <wp:positionV relativeFrom="paragraph">
              <wp:posOffset>116840</wp:posOffset>
            </wp:positionV>
            <wp:extent cx="5264150" cy="1423670"/>
            <wp:effectExtent l="0" t="0" r="12700" b="5080"/>
            <wp:wrapThrough wrapText="bothSides">
              <wp:wrapPolygon>
                <wp:start x="0" y="0"/>
                <wp:lineTo x="0" y="21388"/>
                <wp:lineTo x="21496" y="21388"/>
                <wp:lineTo x="21496" y="0"/>
                <wp:lineTo x="0" y="0"/>
              </wp:wrapPolygon>
            </wp:wrapThrough>
            <wp:docPr id="26" name="图片 26" descr="174782820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47828201626"/>
                    <pic:cNvPicPr>
                      <a:picLocks noChangeAspect="1"/>
                    </pic:cNvPicPr>
                  </pic:nvPicPr>
                  <pic:blipFill>
                    <a:blip r:embed="rId30"/>
                    <a:stretch>
                      <a:fillRect/>
                    </a:stretch>
                  </pic:blipFill>
                  <pic:spPr>
                    <a:xfrm>
                      <a:off x="0" y="0"/>
                      <a:ext cx="5264150" cy="1423670"/>
                    </a:xfrm>
                    <a:prstGeom prst="rect">
                      <a:avLst/>
                    </a:prstGeom>
                  </pic:spPr>
                </pic:pic>
              </a:graphicData>
            </a:graphic>
          </wp:anchor>
        </w:drawing>
      </w:r>
    </w:p>
    <w:p w14:paraId="398E72AC">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Ⅰ/Ⅱ类地（高生产力）：土壤肥沃（有机质＞3%），支持低密度大径材培育。第25年保留密度120-150株/hm²时，单株材积达0.6-0.8m³，接近天然林水平（0.7m³/株）。</w:t>
      </w:r>
    </w:p>
    <w:p w14:paraId="4B4557DA">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Ⅲ类地（低生产力）：土壤瘠薄（有机质＜1.5%），需维持较高密度（900株/hm²）保障群体产量。间伐2次后，林分自然稀疏率＜10%，稳定性优于多代间伐。</w:t>
      </w:r>
    </w:p>
    <w:p w14:paraId="0C99A59B">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广东韶关马蹄荷大径材示范林采用4次间伐模式，30年生林分胸径达32cm，出材率比传统2次间伐高33%，被纳入《国家储备林建设技术规程》典型案例。</w:t>
      </w:r>
    </w:p>
    <w:p w14:paraId="2C67CDAE">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3.追肥</w:t>
      </w:r>
    </w:p>
    <w:p w14:paraId="473C5E7C">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间伐后林分透光率从40%提升至60%以上，单株叶片接受的光合有效辐射（PAR）增加50%。间伐当年：林木从竞争抑制中释放，进入快速生长恢复期，需肥量比间伐前增加50%。0.5kg的复合肥含氮100g、磷50g、钾75g，可满足需求的44%、45%、38%，剩余养分通过土壤释放和根系吸收补充（土壤贡献率约50%）。</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136DB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128BA6AF">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drawing>
                <wp:anchor distT="0" distB="0" distL="114300" distR="114300" simplePos="0" relativeHeight="251677696" behindDoc="1" locked="0" layoutInCell="1" allowOverlap="1">
                  <wp:simplePos x="0" y="0"/>
                  <wp:positionH relativeFrom="column">
                    <wp:posOffset>314325</wp:posOffset>
                  </wp:positionH>
                  <wp:positionV relativeFrom="paragraph">
                    <wp:posOffset>10795</wp:posOffset>
                  </wp:positionV>
                  <wp:extent cx="4867910" cy="3228340"/>
                  <wp:effectExtent l="0" t="0" r="8890" b="10160"/>
                  <wp:wrapThrough wrapText="bothSides">
                    <wp:wrapPolygon>
                      <wp:start x="0" y="0"/>
                      <wp:lineTo x="0" y="21413"/>
                      <wp:lineTo x="21555" y="21413"/>
                      <wp:lineTo x="21555" y="0"/>
                      <wp:lineTo x="0" y="0"/>
                    </wp:wrapPolygon>
                  </wp:wrapThrough>
                  <wp:docPr id="27" name="图片 27" descr="174783008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47830083939"/>
                          <pic:cNvPicPr>
                            <a:picLocks noChangeAspect="1"/>
                          </pic:cNvPicPr>
                        </pic:nvPicPr>
                        <pic:blipFill>
                          <a:blip r:embed="rId31"/>
                          <a:stretch>
                            <a:fillRect/>
                          </a:stretch>
                        </pic:blipFill>
                        <pic:spPr>
                          <a:xfrm>
                            <a:off x="0" y="0"/>
                            <a:ext cx="4867910" cy="3228340"/>
                          </a:xfrm>
                          <a:prstGeom prst="rect">
                            <a:avLst/>
                          </a:prstGeom>
                        </pic:spPr>
                      </pic:pic>
                    </a:graphicData>
                  </a:graphic>
                </wp:anchor>
              </w:drawing>
            </w:r>
          </w:p>
          <w:p w14:paraId="5256D1A0">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29CDD04F">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30AF8410">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14D9E4D7">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4BF390A2">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777880EC">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58970DE8">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2年生马蹄荷</w:t>
            </w:r>
          </w:p>
        </w:tc>
      </w:tr>
      <w:tr w14:paraId="6EF96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79CA875A">
            <w:pPr>
              <w:keepNext w:val="0"/>
              <w:keepLines w:val="0"/>
              <w:suppressLineNumbers w:val="0"/>
              <w:autoSpaceDE w:val="0"/>
              <w:autoSpaceDN w:val="0"/>
              <w:adjustRightInd w:val="0"/>
              <w:spacing w:before="159" w:beforeLines="50" w:beforeAutospacing="0" w:after="159" w:afterLines="50" w:afterAutospacing="0" w:line="560" w:lineRule="exact"/>
              <w:ind w:left="0" w:right="0"/>
              <w:outlineLvl w:val="0"/>
              <w:rPr>
                <w:rFonts w:hint="eastAsia" w:eastAsia="黑体"/>
                <w:sz w:val="32"/>
                <w:szCs w:val="32"/>
                <w:vertAlign w:val="baseline"/>
              </w:rPr>
            </w:pPr>
            <w:r>
              <w:rPr>
                <w:rFonts w:hint="default" w:ascii="仿宋_GB2312" w:hAnsi="宋体" w:eastAsia="仿宋_GB2312" w:cs="Times New Roman"/>
                <w:sz w:val="32"/>
                <w:szCs w:val="28"/>
                <w:lang w:val="en-US" w:eastAsia="zh-CN"/>
              </w:rPr>
              <w:drawing>
                <wp:anchor distT="0" distB="0" distL="114300" distR="114300" simplePos="0" relativeHeight="251676672" behindDoc="1" locked="0" layoutInCell="1" allowOverlap="1">
                  <wp:simplePos x="0" y="0"/>
                  <wp:positionH relativeFrom="column">
                    <wp:posOffset>568325</wp:posOffset>
                  </wp:positionH>
                  <wp:positionV relativeFrom="paragraph">
                    <wp:posOffset>142240</wp:posOffset>
                  </wp:positionV>
                  <wp:extent cx="4561840" cy="2788285"/>
                  <wp:effectExtent l="0" t="0" r="10160" b="12065"/>
                  <wp:wrapThrough wrapText="bothSides">
                    <wp:wrapPolygon>
                      <wp:start x="0" y="0"/>
                      <wp:lineTo x="0" y="21398"/>
                      <wp:lineTo x="21468" y="21398"/>
                      <wp:lineTo x="21468" y="0"/>
                      <wp:lineTo x="0" y="0"/>
                    </wp:wrapPolygon>
                  </wp:wrapThrough>
                  <wp:docPr id="28" name="图片 28" descr="174783051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747830510360"/>
                          <pic:cNvPicPr>
                            <a:picLocks noChangeAspect="1"/>
                          </pic:cNvPicPr>
                        </pic:nvPicPr>
                        <pic:blipFill>
                          <a:blip r:embed="rId32"/>
                          <a:stretch>
                            <a:fillRect/>
                          </a:stretch>
                        </pic:blipFill>
                        <pic:spPr>
                          <a:xfrm>
                            <a:off x="0" y="0"/>
                            <a:ext cx="4561840" cy="2788285"/>
                          </a:xfrm>
                          <a:prstGeom prst="rect">
                            <a:avLst/>
                          </a:prstGeom>
                        </pic:spPr>
                      </pic:pic>
                    </a:graphicData>
                  </a:graphic>
                </wp:anchor>
              </w:drawing>
            </w:r>
          </w:p>
          <w:p w14:paraId="081683CD">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28551594">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4C991755">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567C09ED">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2340AA66">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eastAsia" w:ascii="仿宋_GB2312" w:hAnsi="宋体" w:eastAsia="仿宋_GB2312" w:cs="Times New Roman"/>
                <w:sz w:val="32"/>
                <w:szCs w:val="28"/>
                <w:lang w:val="en-US" w:eastAsia="zh-CN"/>
              </w:rPr>
            </w:pPr>
          </w:p>
          <w:p w14:paraId="01A39A23">
            <w:pPr>
              <w:keepNext w:val="0"/>
              <w:keepLines w:val="0"/>
              <w:suppressLineNumbers w:val="0"/>
              <w:autoSpaceDE w:val="0"/>
              <w:autoSpaceDN w:val="0"/>
              <w:adjustRightInd w:val="0"/>
              <w:spacing w:before="159" w:beforeLines="50" w:beforeAutospacing="0" w:after="159" w:afterLines="50" w:afterAutospacing="0" w:line="560" w:lineRule="exact"/>
              <w:ind w:left="0" w:right="0"/>
              <w:jc w:val="center"/>
              <w:outlineLvl w:val="0"/>
              <w:rPr>
                <w:rFonts w:hint="default" w:eastAsia="黑体"/>
                <w:sz w:val="32"/>
                <w:szCs w:val="32"/>
                <w:vertAlign w:val="baseline"/>
                <w:lang w:val="en-US" w:eastAsia="zh-CN"/>
              </w:rPr>
            </w:pPr>
            <w:r>
              <w:rPr>
                <w:rFonts w:hint="eastAsia" w:ascii="仿宋_GB2312" w:hAnsi="宋体" w:eastAsia="仿宋_GB2312" w:cs="Times New Roman"/>
                <w:sz w:val="32"/>
                <w:szCs w:val="28"/>
                <w:lang w:val="en-US" w:eastAsia="zh-CN"/>
              </w:rPr>
              <w:t>4年生马蹄荷</w:t>
            </w:r>
          </w:p>
        </w:tc>
      </w:tr>
    </w:tbl>
    <w:p w14:paraId="1290D9EC">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4.有害生物防治</w:t>
      </w:r>
    </w:p>
    <w:p w14:paraId="6586CB4F">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主要种类：天牛（如星天牛）、吉丁虫、小蠹虫等，幼虫钻蛀主干或主枝，破坏输导组织（木质部损伤率＞40%时，树势衰退明显）。扩散规律：成虫羽化后飞行距离可达500m，被害木若不及时清除，1年内虫害扩散率达30%-50%。砍伐后的被害木需在24小时内运离林地并烧毁，避免成虫羽化逃逸（羽化期通常为5-7天）。焚烧场地需远离水源和居民区，选择无风天气，确保完全燃烧（残留虫蛹率＜1%）</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5BC6B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05FC43F7">
            <w:pPr>
              <w:keepNext w:val="0"/>
              <w:keepLines w:val="0"/>
              <w:suppressLineNumbers w:val="0"/>
              <w:autoSpaceDE w:val="0"/>
              <w:autoSpaceDN w:val="0"/>
              <w:adjustRightInd w:val="0"/>
              <w:spacing w:before="159" w:beforeLines="50" w:beforeAutospacing="0" w:after="159" w:afterLines="50" w:afterAutospacing="0" w:line="560" w:lineRule="exact"/>
              <w:ind w:left="0" w:right="0"/>
              <w:outlineLvl w:val="0"/>
              <w:rPr>
                <w:rFonts w:hint="eastAsia" w:eastAsia="黑体"/>
                <w:sz w:val="32"/>
                <w:szCs w:val="32"/>
                <w:vertAlign w:val="baseline"/>
                <w:lang w:eastAsia="zh-CN"/>
              </w:rPr>
            </w:pPr>
            <w:r>
              <w:rPr>
                <w:rFonts w:hint="eastAsia" w:eastAsia="黑体"/>
                <w:sz w:val="32"/>
                <w:szCs w:val="32"/>
                <w:vertAlign w:val="baseline"/>
                <w:lang w:eastAsia="zh-CN"/>
              </w:rPr>
              <w:drawing>
                <wp:anchor distT="0" distB="0" distL="114300" distR="114300" simplePos="0" relativeHeight="251679744" behindDoc="1" locked="0" layoutInCell="1" allowOverlap="1">
                  <wp:simplePos x="0" y="0"/>
                  <wp:positionH relativeFrom="column">
                    <wp:posOffset>603250</wp:posOffset>
                  </wp:positionH>
                  <wp:positionV relativeFrom="paragraph">
                    <wp:posOffset>2211705</wp:posOffset>
                  </wp:positionV>
                  <wp:extent cx="4431030" cy="2482215"/>
                  <wp:effectExtent l="0" t="0" r="0" b="13335"/>
                  <wp:wrapThrough wrapText="bothSides">
                    <wp:wrapPolygon>
                      <wp:start x="0" y="0"/>
                      <wp:lineTo x="0" y="21384"/>
                      <wp:lineTo x="21544" y="21384"/>
                      <wp:lineTo x="21544" y="0"/>
                      <wp:lineTo x="0" y="0"/>
                    </wp:wrapPolygon>
                  </wp:wrapThrough>
                  <wp:docPr id="30" name="图片 30" descr="17478311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747831137547"/>
                          <pic:cNvPicPr>
                            <a:picLocks noChangeAspect="1"/>
                          </pic:cNvPicPr>
                        </pic:nvPicPr>
                        <pic:blipFill>
                          <a:blip r:embed="rId33"/>
                          <a:stretch>
                            <a:fillRect/>
                          </a:stretch>
                        </pic:blipFill>
                        <pic:spPr>
                          <a:xfrm>
                            <a:off x="0" y="0"/>
                            <a:ext cx="4431030" cy="2482215"/>
                          </a:xfrm>
                          <a:prstGeom prst="rect">
                            <a:avLst/>
                          </a:prstGeom>
                        </pic:spPr>
                      </pic:pic>
                    </a:graphicData>
                  </a:graphic>
                </wp:anchor>
              </w:drawing>
            </w:r>
            <w:r>
              <w:rPr>
                <w:rFonts w:hint="eastAsia" w:eastAsia="黑体"/>
                <w:sz w:val="32"/>
                <w:szCs w:val="32"/>
                <w:vertAlign w:val="baseline"/>
                <w:lang w:eastAsia="zh-CN"/>
              </w:rPr>
              <w:drawing>
                <wp:anchor distT="0" distB="0" distL="114300" distR="114300" simplePos="0" relativeHeight="251678720" behindDoc="1" locked="0" layoutInCell="1" allowOverlap="1">
                  <wp:simplePos x="0" y="0"/>
                  <wp:positionH relativeFrom="column">
                    <wp:posOffset>592455</wp:posOffset>
                  </wp:positionH>
                  <wp:positionV relativeFrom="paragraph">
                    <wp:posOffset>57785</wp:posOffset>
                  </wp:positionV>
                  <wp:extent cx="4420870" cy="2869565"/>
                  <wp:effectExtent l="0" t="0" r="17780" b="6985"/>
                  <wp:wrapThrough wrapText="bothSides">
                    <wp:wrapPolygon>
                      <wp:start x="0" y="0"/>
                      <wp:lineTo x="0" y="21509"/>
                      <wp:lineTo x="21501" y="21509"/>
                      <wp:lineTo x="21501" y="0"/>
                      <wp:lineTo x="0" y="0"/>
                    </wp:wrapPolygon>
                  </wp:wrapThrough>
                  <wp:docPr id="29" name="图片 29" descr="174783110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47831102928"/>
                          <pic:cNvPicPr>
                            <a:picLocks noChangeAspect="1"/>
                          </pic:cNvPicPr>
                        </pic:nvPicPr>
                        <pic:blipFill>
                          <a:blip r:embed="rId34"/>
                          <a:stretch>
                            <a:fillRect/>
                          </a:stretch>
                        </pic:blipFill>
                        <pic:spPr>
                          <a:xfrm>
                            <a:off x="0" y="0"/>
                            <a:ext cx="4420870" cy="2869565"/>
                          </a:xfrm>
                          <a:prstGeom prst="rect">
                            <a:avLst/>
                          </a:prstGeom>
                        </pic:spPr>
                      </pic:pic>
                    </a:graphicData>
                  </a:graphic>
                </wp:anchor>
              </w:drawing>
            </w:r>
          </w:p>
        </w:tc>
      </w:tr>
    </w:tbl>
    <w:p w14:paraId="3FE48604">
      <w:pPr>
        <w:autoSpaceDE w:val="0"/>
        <w:autoSpaceDN w:val="0"/>
        <w:adjustRightInd w:val="0"/>
        <w:spacing w:before="159" w:beforeLines="50" w:after="159" w:afterLines="50" w:line="560" w:lineRule="exact"/>
        <w:ind w:firstLine="640" w:firstLineChars="200"/>
        <w:outlineLvl w:val="0"/>
        <w:rPr>
          <w:rFonts w:hint="eastAsia" w:eastAsia="黑体"/>
          <w:sz w:val="32"/>
          <w:szCs w:val="32"/>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03F37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028CCF2B">
            <w:pPr>
              <w:keepNext w:val="0"/>
              <w:keepLines w:val="0"/>
              <w:suppressLineNumbers w:val="0"/>
              <w:spacing w:before="0" w:beforeAutospacing="0" w:after="0" w:afterAutospacing="0" w:line="520" w:lineRule="exact"/>
              <w:ind w:left="0" w:right="0"/>
              <w:jc w:val="center"/>
              <w:rPr>
                <w:rFonts w:hint="default" w:ascii="仿宋_GB2312" w:hAnsi="宋体" w:eastAsia="仿宋_GB2312" w:cs="Times New Roman"/>
                <w:sz w:val="32"/>
                <w:szCs w:val="28"/>
                <w:vertAlign w:val="baseline"/>
                <w:lang w:val="en-US" w:eastAsia="zh-CN"/>
              </w:rPr>
            </w:pPr>
            <w:r>
              <w:rPr>
                <w:rFonts w:hint="default"/>
              </w:rPr>
              <w:drawing>
                <wp:anchor distT="0" distB="0" distL="114300" distR="114300" simplePos="0" relativeHeight="251680768" behindDoc="1" locked="0" layoutInCell="1" allowOverlap="1">
                  <wp:simplePos x="0" y="0"/>
                  <wp:positionH relativeFrom="column">
                    <wp:posOffset>0</wp:posOffset>
                  </wp:positionH>
                  <wp:positionV relativeFrom="paragraph">
                    <wp:posOffset>-7089140</wp:posOffset>
                  </wp:positionV>
                  <wp:extent cx="5153025" cy="7343775"/>
                  <wp:effectExtent l="0" t="0" r="9525" b="9525"/>
                  <wp:wrapThrough wrapText="bothSides">
                    <wp:wrapPolygon>
                      <wp:start x="0" y="0"/>
                      <wp:lineTo x="0" y="21572"/>
                      <wp:lineTo x="21560" y="21572"/>
                      <wp:lineTo x="21560" y="0"/>
                      <wp:lineTo x="0" y="0"/>
                    </wp:wrapPolygon>
                  </wp:wrapThrough>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35"/>
                          <a:stretch>
                            <a:fillRect/>
                          </a:stretch>
                        </pic:blipFill>
                        <pic:spPr>
                          <a:xfrm>
                            <a:off x="0" y="0"/>
                            <a:ext cx="5153025" cy="7343775"/>
                          </a:xfrm>
                          <a:prstGeom prst="rect">
                            <a:avLst/>
                          </a:prstGeom>
                          <a:noFill/>
                          <a:ln>
                            <a:noFill/>
                          </a:ln>
                        </pic:spPr>
                      </pic:pic>
                    </a:graphicData>
                  </a:graphic>
                </wp:anchor>
              </w:drawing>
            </w:r>
            <w:r>
              <w:rPr>
                <w:rFonts w:hint="eastAsia" w:ascii="仿宋_GB2312" w:hAnsi="宋体" w:eastAsia="仿宋_GB2312" w:cs="Times New Roman"/>
                <w:sz w:val="32"/>
                <w:szCs w:val="28"/>
                <w:vertAlign w:val="baseline"/>
                <w:lang w:val="en-US" w:eastAsia="zh-CN"/>
              </w:rPr>
              <w:t>立地条件好地、差地对比</w:t>
            </w:r>
          </w:p>
        </w:tc>
      </w:tr>
    </w:tbl>
    <w:p w14:paraId="05F26C4F">
      <w:pPr>
        <w:spacing w:line="520" w:lineRule="exact"/>
        <w:ind w:firstLine="640" w:firstLineChars="200"/>
        <w:rPr>
          <w:rFonts w:hint="eastAsia" w:ascii="仿宋_GB2312" w:hAnsi="宋体" w:eastAsia="仿宋_GB2312" w:cs="Times New Roman"/>
          <w:sz w:val="32"/>
          <w:szCs w:val="28"/>
          <w:lang w:val="en-US" w:eastAsia="zh-CN"/>
        </w:rPr>
      </w:pPr>
    </w:p>
    <w:p w14:paraId="224FAD8F">
      <w:pPr>
        <w:spacing w:line="520" w:lineRule="exact"/>
        <w:ind w:firstLine="640" w:firstLineChars="200"/>
        <w:rPr>
          <w:rFonts w:hint="eastAsia" w:ascii="仿宋_GB2312" w:hAnsi="宋体" w:eastAsia="仿宋_GB2312" w:cs="Times New Roman"/>
          <w:sz w:val="32"/>
          <w:szCs w:val="28"/>
          <w:lang w:val="en-US" w:eastAsia="zh-CN"/>
        </w:rPr>
      </w:pPr>
    </w:p>
    <w:p w14:paraId="24995F28">
      <w:pPr>
        <w:spacing w:line="520" w:lineRule="exact"/>
        <w:ind w:firstLine="640" w:firstLineChars="200"/>
        <w:rPr>
          <w:rFonts w:hint="eastAsia" w:ascii="仿宋_GB2312" w:hAnsi="宋体" w:eastAsia="仿宋_GB2312" w:cs="Times New Roman"/>
          <w:sz w:val="32"/>
          <w:szCs w:val="28"/>
          <w:lang w:val="en-US" w:eastAsia="zh-CN"/>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6"/>
      </w:tblGrid>
      <w:tr w14:paraId="5A96E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6" w:type="dxa"/>
          </w:tcPr>
          <w:p w14:paraId="43294CAC">
            <w:pPr>
              <w:keepNext w:val="0"/>
              <w:keepLines w:val="0"/>
              <w:suppressLineNumbers w:val="0"/>
              <w:spacing w:before="0" w:beforeAutospacing="0" w:after="0" w:afterAutospacing="0" w:line="520" w:lineRule="exact"/>
              <w:ind w:left="0" w:right="0"/>
              <w:rPr>
                <w:rFonts w:hint="eastAsia" w:ascii="仿宋_GB2312" w:hAnsi="宋体" w:eastAsia="仿宋_GB2312" w:cs="Times New Roman"/>
                <w:sz w:val="32"/>
                <w:szCs w:val="28"/>
                <w:vertAlign w:val="baseline"/>
                <w:lang w:val="en-US" w:eastAsia="zh-CN"/>
              </w:rPr>
            </w:pPr>
            <w:r>
              <w:rPr>
                <w:rFonts w:hint="eastAsia" w:ascii="仿宋_GB2312" w:hAnsi="宋体" w:eastAsia="仿宋_GB2312" w:cs="Times New Roman"/>
                <w:sz w:val="32"/>
                <w:szCs w:val="28"/>
                <w:vertAlign w:val="baseline"/>
                <w:lang w:val="en-US" w:eastAsia="zh-CN"/>
              </w:rPr>
              <w:drawing>
                <wp:anchor distT="0" distB="0" distL="114300" distR="114300" simplePos="0" relativeHeight="251681792" behindDoc="1" locked="0" layoutInCell="1" allowOverlap="1">
                  <wp:simplePos x="0" y="0"/>
                  <wp:positionH relativeFrom="column">
                    <wp:posOffset>0</wp:posOffset>
                  </wp:positionH>
                  <wp:positionV relativeFrom="paragraph">
                    <wp:posOffset>-7203440</wp:posOffset>
                  </wp:positionV>
                  <wp:extent cx="5105400" cy="7467600"/>
                  <wp:effectExtent l="0" t="0" r="0" b="0"/>
                  <wp:wrapThrough wrapText="bothSides">
                    <wp:wrapPolygon>
                      <wp:start x="0" y="0"/>
                      <wp:lineTo x="0" y="21545"/>
                      <wp:lineTo x="21519" y="21545"/>
                      <wp:lineTo x="21519" y="0"/>
                      <wp:lineTo x="0" y="0"/>
                    </wp:wrapPolygon>
                  </wp:wrapThrough>
                  <wp:docPr id="33" name="图片 33" descr="174783248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747832482659"/>
                          <pic:cNvPicPr>
                            <a:picLocks noChangeAspect="1"/>
                          </pic:cNvPicPr>
                        </pic:nvPicPr>
                        <pic:blipFill>
                          <a:blip r:embed="rId36"/>
                          <a:stretch>
                            <a:fillRect/>
                          </a:stretch>
                        </pic:blipFill>
                        <pic:spPr>
                          <a:xfrm>
                            <a:off x="0" y="0"/>
                            <a:ext cx="5105400" cy="7467600"/>
                          </a:xfrm>
                          <a:prstGeom prst="rect">
                            <a:avLst/>
                          </a:prstGeom>
                        </pic:spPr>
                      </pic:pic>
                    </a:graphicData>
                  </a:graphic>
                </wp:anchor>
              </w:drawing>
            </w:r>
          </w:p>
        </w:tc>
      </w:tr>
    </w:tbl>
    <w:p w14:paraId="46989BCA">
      <w:pPr>
        <w:spacing w:line="520" w:lineRule="exact"/>
        <w:ind w:firstLine="640" w:firstLineChars="200"/>
        <w:rPr>
          <w:rFonts w:hint="eastAsia" w:ascii="仿宋_GB2312" w:hAnsi="宋体" w:eastAsia="仿宋_GB2312" w:cs="Times New Roman"/>
          <w:sz w:val="32"/>
          <w:szCs w:val="28"/>
          <w:lang w:val="en-US" w:eastAsia="zh-CN"/>
        </w:rPr>
      </w:pPr>
    </w:p>
    <w:p w14:paraId="435E297A">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四、采伐</w:t>
      </w:r>
    </w:p>
    <w:p w14:paraId="7A37E91F">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50 年生林分形成稳定的复层结构（乔木层、亚乔木层、灌木层），物种丰富度＞30 种 /hm²，比 20 年生（15 种 /hm²）高 100%，可抵御病虫害（如天牛发生率＜5%）和极端气候（风倒率＜2%）。</w:t>
      </w:r>
    </w:p>
    <w:p w14:paraId="60E42C3D">
      <w:pPr>
        <w:spacing w:line="520" w:lineRule="exact"/>
        <w:ind w:firstLine="640" w:firstLineChars="200"/>
        <w:rPr>
          <w:rFonts w:hint="eastAsia"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政策依据：《国家级公益林管理办法》规定，水土保持林、防风固沙林等防护林原则上不进行主伐，确需采伐的，龄级需达到过熟林，即＞50 年（马蹄荷过熟林龄级≥50 年）。采伐方法按LY/T1646的规定执行。</w:t>
      </w:r>
    </w:p>
    <w:p w14:paraId="1543CEE7">
      <w:pPr>
        <w:pStyle w:val="2"/>
        <w:ind w:firstLine="640" w:firstLineChars="200"/>
        <w:rPr>
          <w:rFonts w:hint="eastAsia" w:ascii="仿宋_GB2312" w:hAnsi="宋体" w:eastAsia="仿宋_GB2312" w:cs="Times New Roman"/>
          <w:color w:val="auto"/>
          <w:kern w:val="2"/>
          <w:sz w:val="32"/>
          <w:szCs w:val="28"/>
          <w:lang w:val="en-US" w:eastAsia="zh-CN" w:bidi="ar-SA"/>
        </w:rPr>
      </w:pPr>
      <w:r>
        <w:rPr>
          <w:rFonts w:hint="eastAsia" w:ascii="仿宋_GB2312" w:hAnsi="宋体" w:eastAsia="仿宋_GB2312" w:cs="Times New Roman"/>
          <w:color w:val="auto"/>
          <w:kern w:val="2"/>
          <w:sz w:val="32"/>
          <w:szCs w:val="28"/>
          <w:lang w:val="en-US" w:eastAsia="zh-CN" w:bidi="ar-SA"/>
        </w:rPr>
        <w:t>马蹄荷在 15-20 年生时进入生物量速生期，年均增长量 6-8t/hm²，20 年生时总生物量达 120-160t/hm²，其中干材占比 65%-70%，适合纸浆材（纤维长度 1.2-1.5mm）和小径材（直径 12-20cm）需求。</w:t>
      </w:r>
    </w:p>
    <w:p w14:paraId="5E8DD175">
      <w:pPr>
        <w:pStyle w:val="2"/>
        <w:ind w:firstLine="640" w:firstLineChars="200"/>
        <w:rPr>
          <w:rFonts w:hint="eastAsia" w:ascii="仿宋_GB2312" w:hAnsi="宋体" w:eastAsia="仿宋_GB2312" w:cs="Times New Roman"/>
          <w:color w:val="auto"/>
          <w:kern w:val="2"/>
          <w:sz w:val="32"/>
          <w:szCs w:val="28"/>
          <w:lang w:val="en-US" w:eastAsia="zh-CN" w:bidi="ar-SA"/>
        </w:rPr>
      </w:pPr>
      <w:r>
        <w:rPr>
          <w:rFonts w:hint="eastAsia" w:ascii="仿宋_GB2312" w:hAnsi="宋体" w:eastAsia="仿宋_GB2312" w:cs="Times New Roman"/>
          <w:color w:val="auto"/>
          <w:kern w:val="2"/>
          <w:sz w:val="32"/>
          <w:szCs w:val="28"/>
          <w:lang w:val="en-US" w:eastAsia="zh-CN" w:bidi="ar-SA"/>
        </w:rPr>
        <w:t>成本效益比：20 年生采伐的轮伐期成本约 1.2 万元 /hm²，木材收益 6 万元 /hm²，ROI 达 300%，比大径材缩短 10 年，资金周转效率更高。</w:t>
      </w:r>
    </w:p>
    <w:p w14:paraId="07D27CC2">
      <w:pPr>
        <w:spacing w:line="520" w:lineRule="exact"/>
        <w:ind w:firstLine="640" w:firstLineChars="200"/>
        <w:rPr>
          <w:rFonts w:hint="default" w:ascii="仿宋_GB2312" w:hAnsi="宋体" w:eastAsia="仿宋_GB2312" w:cs="Times New Roman"/>
          <w:sz w:val="32"/>
          <w:szCs w:val="28"/>
          <w:lang w:val="en-US" w:eastAsia="zh-CN"/>
        </w:rPr>
      </w:pPr>
      <w:r>
        <w:rPr>
          <w:rFonts w:hint="eastAsia" w:ascii="仿宋_GB2312" w:hAnsi="宋体" w:eastAsia="仿宋_GB2312" w:cs="Times New Roman"/>
          <w:sz w:val="32"/>
          <w:szCs w:val="28"/>
          <w:lang w:val="en-US" w:eastAsia="zh-CN"/>
        </w:rPr>
        <w:t>档案管理按LY/T2289的规定。</w:t>
      </w:r>
    </w:p>
    <w:p w14:paraId="14B1D4E4">
      <w:pPr>
        <w:autoSpaceDE w:val="0"/>
        <w:autoSpaceDN w:val="0"/>
        <w:adjustRightInd w:val="0"/>
        <w:spacing w:before="159" w:beforeLines="50" w:after="159" w:afterLines="50" w:line="560" w:lineRule="exact"/>
        <w:ind w:firstLine="640" w:firstLineChars="200"/>
        <w:outlineLvl w:val="0"/>
        <w:rPr>
          <w:rFonts w:eastAsia="黑体"/>
          <w:sz w:val="32"/>
          <w:szCs w:val="32"/>
        </w:rPr>
      </w:pPr>
      <w:r>
        <w:rPr>
          <w:rFonts w:hint="eastAsia" w:eastAsia="黑体"/>
          <w:sz w:val="32"/>
          <w:szCs w:val="32"/>
        </w:rPr>
        <w:t>六、重大意见分歧的处理依据和结果</w:t>
      </w:r>
    </w:p>
    <w:p w14:paraId="0540EF15">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本标准研制过程中无重大分歧意见。</w:t>
      </w:r>
    </w:p>
    <w:p w14:paraId="2720B5F6">
      <w:pPr>
        <w:autoSpaceDE w:val="0"/>
        <w:autoSpaceDN w:val="0"/>
        <w:adjustRightInd w:val="0"/>
        <w:spacing w:before="159" w:beforeLines="50" w:after="159" w:afterLines="50" w:line="560" w:lineRule="exact"/>
        <w:ind w:firstLine="640" w:firstLineChars="200"/>
        <w:outlineLvl w:val="0"/>
        <w:rPr>
          <w:rFonts w:eastAsia="黑体"/>
          <w:sz w:val="32"/>
          <w:szCs w:val="32"/>
        </w:rPr>
      </w:pPr>
      <w:r>
        <w:rPr>
          <w:rFonts w:hint="eastAsia" w:eastAsia="黑体"/>
          <w:sz w:val="32"/>
          <w:szCs w:val="32"/>
        </w:rPr>
        <w:t>七、实施标准的措施</w:t>
      </w:r>
    </w:p>
    <w:p w14:paraId="2CF1587A">
      <w:pPr>
        <w:spacing w:line="520" w:lineRule="exact"/>
        <w:ind w:firstLine="640" w:firstLineChars="200"/>
        <w:outlineLvl w:val="1"/>
        <w:rPr>
          <w:rFonts w:hint="eastAsia" w:ascii="仿宋_GB2312" w:hAnsi="宋体" w:eastAsia="仿宋_GB2312"/>
          <w:sz w:val="32"/>
          <w:szCs w:val="28"/>
          <w:lang w:val="zh-CN"/>
        </w:rPr>
      </w:pPr>
      <w:r>
        <w:rPr>
          <w:rFonts w:hint="eastAsia" w:ascii="仿宋_GB2312" w:hAnsi="宋体" w:eastAsia="仿宋_GB2312"/>
          <w:sz w:val="32"/>
          <w:szCs w:val="28"/>
          <w:lang w:val="zh-CN"/>
        </w:rPr>
        <w:t>（一）标准报批发布后，成立标准宣贯工作组</w:t>
      </w:r>
    </w:p>
    <w:p w14:paraId="41DC01B2">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本标准发布后，成立标准宣贯工作组，主要负责标准的宣贯实施培训计划制定、标准实施</w:t>
      </w:r>
      <w:r>
        <w:rPr>
          <w:rFonts w:hint="eastAsia" w:ascii="仿宋_GB2312" w:hAnsi="宋体" w:eastAsia="仿宋_GB2312"/>
          <w:sz w:val="32"/>
          <w:szCs w:val="28"/>
          <w:lang w:val="en-US" w:eastAsia="zh-CN"/>
        </w:rPr>
        <w:t>交流</w:t>
      </w:r>
      <w:r>
        <w:rPr>
          <w:rFonts w:hint="eastAsia" w:ascii="仿宋_GB2312" w:hAnsi="宋体" w:eastAsia="仿宋_GB2312"/>
          <w:sz w:val="32"/>
          <w:szCs w:val="28"/>
          <w:lang w:val="zh-CN"/>
        </w:rPr>
        <w:t>会策划、标准实施信息反馈收集和标准实施效果评估等工作，并根据标准实施信息反馈和标准实施效果评估情况，及时组织标准复审修订。</w:t>
      </w:r>
    </w:p>
    <w:p w14:paraId="3039E2CB">
      <w:pPr>
        <w:spacing w:line="520" w:lineRule="exact"/>
        <w:ind w:firstLine="640" w:firstLineChars="200"/>
        <w:outlineLvl w:val="1"/>
        <w:rPr>
          <w:rFonts w:hint="eastAsia" w:ascii="仿宋_GB2312" w:hAnsi="宋体" w:eastAsia="仿宋_GB2312"/>
          <w:sz w:val="32"/>
          <w:szCs w:val="28"/>
          <w:lang w:val="zh-CN"/>
        </w:rPr>
      </w:pPr>
      <w:r>
        <w:rPr>
          <w:rFonts w:hint="eastAsia" w:ascii="仿宋_GB2312" w:hAnsi="宋体" w:eastAsia="仿宋_GB2312"/>
          <w:sz w:val="32"/>
          <w:szCs w:val="28"/>
          <w:lang w:val="zh-CN"/>
        </w:rPr>
        <w:t>（二）组织开展标准宣贯培训</w:t>
      </w:r>
    </w:p>
    <w:p w14:paraId="37BE4EBA">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标准发布实施后，标准宣贯工作小组制作标准解读宣贯培训PPT课件和标准核心技术</w:t>
      </w:r>
      <w:r>
        <w:rPr>
          <w:rFonts w:hint="eastAsia" w:ascii="仿宋_GB2312" w:hAnsi="宋体" w:eastAsia="仿宋_GB2312"/>
          <w:sz w:val="32"/>
          <w:szCs w:val="28"/>
        </w:rPr>
        <w:t>说明</w:t>
      </w:r>
      <w:r>
        <w:rPr>
          <w:rFonts w:hint="eastAsia" w:ascii="仿宋_GB2312" w:hAnsi="宋体" w:eastAsia="仿宋_GB2312"/>
          <w:sz w:val="32"/>
          <w:szCs w:val="28"/>
          <w:lang w:val="zh-CN"/>
        </w:rPr>
        <w:t>书，并按标准宣贯培训计划深入</w:t>
      </w:r>
      <w:r>
        <w:rPr>
          <w:rFonts w:hint="eastAsia" w:ascii="仿宋_GB2312" w:hAnsi="宋体" w:eastAsia="仿宋_GB2312"/>
          <w:sz w:val="32"/>
          <w:szCs w:val="28"/>
        </w:rPr>
        <w:t>各个</w:t>
      </w:r>
      <w:r>
        <w:rPr>
          <w:rFonts w:hint="eastAsia" w:ascii="仿宋_GB2312" w:hAnsi="宋体" w:eastAsia="仿宋_GB2312"/>
          <w:sz w:val="32"/>
          <w:szCs w:val="28"/>
          <w:lang w:val="en-US" w:eastAsia="zh-CN"/>
        </w:rPr>
        <w:t>马蹄荷培育</w:t>
      </w:r>
      <w:r>
        <w:rPr>
          <w:rFonts w:hint="eastAsia" w:ascii="仿宋_GB2312" w:eastAsia="仿宋_GB2312"/>
          <w:sz w:val="32"/>
          <w:szCs w:val="32"/>
        </w:rPr>
        <w:t>单位</w:t>
      </w:r>
      <w:r>
        <w:rPr>
          <w:rFonts w:hint="eastAsia" w:ascii="仿宋_GB2312" w:hAnsi="宋体" w:eastAsia="仿宋_GB2312"/>
          <w:sz w:val="32"/>
          <w:szCs w:val="28"/>
          <w:lang w:val="zh-CN"/>
        </w:rPr>
        <w:t>组织相关人员开展标准宣贯培训，对标准进行逐条解读，让企业人员掌握标准核心，助力标准实施落地，推动</w:t>
      </w:r>
      <w:r>
        <w:rPr>
          <w:rFonts w:hint="eastAsia" w:ascii="仿宋_GB2312" w:hAnsi="宋体" w:eastAsia="仿宋_GB2312"/>
          <w:sz w:val="32"/>
          <w:szCs w:val="28"/>
          <w:lang w:val="en-US" w:eastAsia="zh-CN"/>
        </w:rPr>
        <w:t>马蹄荷培育</w:t>
      </w:r>
      <w:r>
        <w:rPr>
          <w:rFonts w:hint="eastAsia" w:ascii="仿宋_GB2312" w:hAnsi="宋体" w:eastAsia="仿宋_GB2312"/>
          <w:sz w:val="32"/>
          <w:szCs w:val="28"/>
          <w:lang w:val="zh-CN"/>
        </w:rPr>
        <w:t>规范化发展。</w:t>
      </w:r>
    </w:p>
    <w:p w14:paraId="1ADF0C44">
      <w:pPr>
        <w:spacing w:line="520" w:lineRule="exact"/>
        <w:ind w:firstLine="640" w:firstLineChars="200"/>
        <w:outlineLvl w:val="1"/>
        <w:rPr>
          <w:rFonts w:hint="eastAsia" w:ascii="仿宋_GB2312" w:hAnsi="宋体" w:eastAsia="仿宋_GB2312"/>
          <w:sz w:val="32"/>
          <w:szCs w:val="28"/>
          <w:lang w:val="zh-CN"/>
        </w:rPr>
      </w:pPr>
      <w:r>
        <w:rPr>
          <w:rFonts w:hint="eastAsia" w:ascii="仿宋_GB2312" w:hAnsi="宋体" w:eastAsia="仿宋_GB2312"/>
          <w:sz w:val="32"/>
          <w:szCs w:val="28"/>
          <w:lang w:val="zh-CN"/>
        </w:rPr>
        <w:t>（三）开展标准实施</w:t>
      </w:r>
      <w:r>
        <w:rPr>
          <w:rFonts w:hint="eastAsia" w:ascii="仿宋_GB2312" w:hAnsi="宋体" w:eastAsia="仿宋_GB2312"/>
          <w:sz w:val="32"/>
          <w:szCs w:val="28"/>
        </w:rPr>
        <w:t>交流</w:t>
      </w:r>
      <w:r>
        <w:rPr>
          <w:rFonts w:hint="eastAsia" w:ascii="仿宋_GB2312" w:hAnsi="宋体" w:eastAsia="仿宋_GB2312"/>
          <w:sz w:val="32"/>
          <w:szCs w:val="28"/>
          <w:lang w:val="zh-CN"/>
        </w:rPr>
        <w:t>会，收集标准实施反馈信息</w:t>
      </w:r>
    </w:p>
    <w:p w14:paraId="79E6463F">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标准起草小组深入</w:t>
      </w:r>
      <w:r>
        <w:rPr>
          <w:rFonts w:hint="eastAsia" w:ascii="仿宋_GB2312" w:hAnsi="宋体" w:eastAsia="仿宋_GB2312"/>
          <w:sz w:val="32"/>
          <w:szCs w:val="28"/>
          <w:lang w:val="en-US" w:eastAsia="zh-CN"/>
        </w:rPr>
        <w:t>马蹄荷培育</w:t>
      </w:r>
      <w:r>
        <w:rPr>
          <w:rFonts w:hint="eastAsia" w:ascii="仿宋_GB2312" w:eastAsia="仿宋_GB2312"/>
          <w:sz w:val="32"/>
          <w:szCs w:val="32"/>
        </w:rPr>
        <w:t>单位</w:t>
      </w:r>
      <w:r>
        <w:rPr>
          <w:rFonts w:hint="eastAsia" w:ascii="仿宋_GB2312" w:hAnsi="宋体" w:eastAsia="仿宋_GB2312"/>
          <w:sz w:val="32"/>
          <w:szCs w:val="28"/>
          <w:lang w:val="zh-CN"/>
        </w:rPr>
        <w:t>组织相关人员召开标准实施</w:t>
      </w:r>
      <w:r>
        <w:rPr>
          <w:rFonts w:hint="eastAsia" w:ascii="仿宋_GB2312" w:hAnsi="宋体" w:eastAsia="仿宋_GB2312"/>
          <w:sz w:val="32"/>
          <w:szCs w:val="28"/>
        </w:rPr>
        <w:t>交流</w:t>
      </w:r>
      <w:r>
        <w:rPr>
          <w:rFonts w:hint="eastAsia" w:ascii="仿宋_GB2312" w:hAnsi="宋体" w:eastAsia="仿宋_GB2312"/>
          <w:sz w:val="32"/>
          <w:szCs w:val="28"/>
          <w:lang w:val="zh-CN"/>
        </w:rPr>
        <w:t>会，听取标准实施过程中存在的问题并做好记录和解答，对存在的问题组织专家团队进行研讨，为标准的复审修订做准备。</w:t>
      </w:r>
    </w:p>
    <w:p w14:paraId="1221CBE9">
      <w:pPr>
        <w:spacing w:line="520" w:lineRule="exact"/>
        <w:ind w:firstLine="640" w:firstLineChars="200"/>
        <w:outlineLvl w:val="1"/>
        <w:rPr>
          <w:rFonts w:hint="eastAsia" w:ascii="仿宋_GB2312" w:hAnsi="宋体" w:eastAsia="仿宋_GB2312"/>
          <w:sz w:val="32"/>
          <w:szCs w:val="28"/>
          <w:lang w:val="zh-CN"/>
        </w:rPr>
      </w:pPr>
      <w:r>
        <w:rPr>
          <w:rFonts w:hint="eastAsia" w:ascii="仿宋_GB2312" w:hAnsi="宋体" w:eastAsia="仿宋_GB2312"/>
          <w:sz w:val="32"/>
          <w:szCs w:val="28"/>
          <w:lang w:val="zh-CN"/>
        </w:rPr>
        <w:t>（四）开展标准实施效果评估</w:t>
      </w:r>
    </w:p>
    <w:p w14:paraId="35986836">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标准实施满2年，每年标准宣贯工作组采取网络调查、问卷调查、实地调研、召开座谈会或论证会、专家咨询等方式开展标准实施效果评估，并形成标准实施效果评估报告，为标准的复审修订做准备。</w:t>
      </w:r>
    </w:p>
    <w:p w14:paraId="32E2ACCB">
      <w:pPr>
        <w:autoSpaceDE w:val="0"/>
        <w:autoSpaceDN w:val="0"/>
        <w:adjustRightInd w:val="0"/>
        <w:spacing w:before="159" w:beforeLines="50" w:after="159" w:afterLines="50"/>
        <w:ind w:firstLine="640"/>
        <w:outlineLvl w:val="0"/>
        <w:rPr>
          <w:rFonts w:eastAsia="黑体"/>
          <w:sz w:val="32"/>
          <w:szCs w:val="32"/>
        </w:rPr>
      </w:pPr>
      <w:r>
        <w:rPr>
          <w:rFonts w:hint="eastAsia" w:eastAsia="黑体"/>
          <w:sz w:val="32"/>
          <w:szCs w:val="32"/>
        </w:rPr>
        <w:t>八、其他应当说明的事项</w:t>
      </w:r>
      <w:bookmarkStart w:id="0" w:name="_GoBack"/>
      <w:bookmarkEnd w:id="0"/>
    </w:p>
    <w:p w14:paraId="3D0BC508">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28"/>
          <w:lang w:val="zh-CN"/>
        </w:rPr>
        <w:t>无</w:t>
      </w:r>
      <w:r>
        <w:rPr>
          <w:rFonts w:hint="eastAsia" w:ascii="仿宋_GB2312" w:hAnsi="宋体" w:eastAsia="仿宋_GB2312"/>
          <w:sz w:val="32"/>
          <w:szCs w:val="32"/>
        </w:rPr>
        <w:t>。</w:t>
      </w:r>
    </w:p>
    <w:p w14:paraId="0792A338">
      <w:pPr>
        <w:numPr>
          <w:ilvl w:val="0"/>
          <w:numId w:val="5"/>
        </w:numPr>
        <w:autoSpaceDE w:val="0"/>
        <w:autoSpaceDN w:val="0"/>
        <w:adjustRightInd w:val="0"/>
        <w:spacing w:before="159" w:beforeLines="50" w:after="159" w:afterLines="50"/>
        <w:ind w:firstLine="640"/>
        <w:outlineLvl w:val="0"/>
        <w:rPr>
          <w:rFonts w:eastAsia="黑体"/>
          <w:sz w:val="32"/>
          <w:szCs w:val="32"/>
        </w:rPr>
      </w:pPr>
      <w:r>
        <w:rPr>
          <w:rFonts w:hint="eastAsia" w:eastAsia="黑体"/>
          <w:sz w:val="32"/>
          <w:szCs w:val="32"/>
        </w:rPr>
        <w:t>自我承诺</w:t>
      </w:r>
    </w:p>
    <w:p w14:paraId="1F8C509F">
      <w:pPr>
        <w:autoSpaceDE w:val="0"/>
        <w:autoSpaceDN w:val="0"/>
        <w:adjustRightInd w:val="0"/>
        <w:spacing w:before="159" w:beforeLines="50" w:after="159" w:afterLines="50"/>
        <w:outlineLvl w:val="0"/>
        <w:rPr>
          <w:rFonts w:eastAsia="黑体"/>
          <w:sz w:val="32"/>
          <w:szCs w:val="32"/>
        </w:rPr>
      </w:pPr>
      <w:r>
        <w:rPr>
          <w:rFonts w:hint="eastAsia" w:ascii="仿宋_GB2312" w:hAnsi="宋体" w:eastAsia="仿宋_GB2312"/>
          <w:sz w:val="32"/>
          <w:szCs w:val="28"/>
        </w:rPr>
        <w:t>本标准内容与各项指标不低于国家强制性标准要求。</w:t>
      </w:r>
    </w:p>
    <w:p w14:paraId="64FD9CDB">
      <w:pPr>
        <w:spacing w:line="560" w:lineRule="exact"/>
        <w:ind w:firstLine="640" w:firstLineChars="200"/>
        <w:rPr>
          <w:rFonts w:hint="eastAsia" w:ascii="仿宋_GB2312" w:hAnsi="宋体" w:eastAsia="仿宋_GB2312"/>
          <w:sz w:val="32"/>
          <w:szCs w:val="32"/>
        </w:rPr>
      </w:pPr>
    </w:p>
    <w:p w14:paraId="246CC038">
      <w:pPr>
        <w:spacing w:line="560" w:lineRule="exact"/>
        <w:jc w:val="right"/>
        <w:rPr>
          <w:rFonts w:hint="eastAsia" w:ascii="仿宋_GB2312" w:eastAsia="仿宋_GB2312"/>
          <w:sz w:val="32"/>
          <w:szCs w:val="32"/>
        </w:rPr>
      </w:pPr>
      <w:r>
        <w:rPr>
          <w:rFonts w:hint="eastAsia" w:ascii="仿宋_GB2312" w:eastAsia="仿宋_GB2312"/>
          <w:sz w:val="32"/>
          <w:szCs w:val="32"/>
        </w:rPr>
        <w:t>团体标准《</w:t>
      </w:r>
      <w:r>
        <w:rPr>
          <w:rFonts w:hint="eastAsia" w:ascii="仿宋_GB2312" w:eastAsia="仿宋_GB2312"/>
          <w:sz w:val="32"/>
          <w:szCs w:val="32"/>
          <w:lang w:eastAsia="zh-CN"/>
        </w:rPr>
        <w:t>马蹄荷培育技术规程</w:t>
      </w:r>
      <w:r>
        <w:rPr>
          <w:rFonts w:hint="eastAsia" w:ascii="仿宋_GB2312" w:eastAsia="仿宋_GB2312"/>
          <w:sz w:val="32"/>
          <w:szCs w:val="32"/>
        </w:rPr>
        <w:t>》</w:t>
      </w:r>
    </w:p>
    <w:p w14:paraId="70776721">
      <w:pPr>
        <w:spacing w:line="560" w:lineRule="exact"/>
        <w:jc w:val="right"/>
        <w:rPr>
          <w:rFonts w:ascii="仿宋_GB2312" w:eastAsia="仿宋_GB2312"/>
          <w:sz w:val="32"/>
          <w:szCs w:val="32"/>
        </w:rPr>
      </w:pPr>
      <w:r>
        <w:rPr>
          <w:rFonts w:hint="eastAsia" w:ascii="仿宋_GB2312" w:eastAsia="仿宋_GB2312"/>
          <w:sz w:val="32"/>
          <w:szCs w:val="32"/>
        </w:rPr>
        <w:t>编制工作组</w:t>
      </w:r>
    </w:p>
    <w:p w14:paraId="67EB56FF">
      <w:pPr>
        <w:jc w:val="right"/>
        <w:outlineLvl w:val="0"/>
      </w:pPr>
      <w:r>
        <w:rPr>
          <w:rFonts w:hint="eastAsia" w:ascii="仿宋_GB2312" w:eastAsia="仿宋_GB2312"/>
          <w:sz w:val="32"/>
          <w:szCs w:val="32"/>
        </w:rPr>
        <w:t>202</w:t>
      </w:r>
      <w:r>
        <w:rPr>
          <w:rFonts w:hint="eastAsia" w:ascii="仿宋_GB2312" w:eastAsia="仿宋_GB2312"/>
          <w:sz w:val="32"/>
          <w:szCs w:val="32"/>
          <w:lang w:val="en-US" w:eastAsia="zh-CN"/>
        </w:rPr>
        <w:t>5</w:t>
      </w:r>
      <w:r>
        <w:rPr>
          <w:rFonts w:hint="eastAsia" w:ascii="仿宋_GB2312" w:eastAsia="仿宋_GB2312"/>
          <w:sz w:val="32"/>
          <w:szCs w:val="32"/>
        </w:rPr>
        <w:t>年</w:t>
      </w:r>
      <w:r>
        <w:rPr>
          <w:rFonts w:hint="eastAsia" w:ascii="仿宋_GB2312" w:eastAsia="仿宋_GB2312"/>
          <w:sz w:val="32"/>
          <w:szCs w:val="32"/>
          <w:lang w:val="en-US" w:eastAsia="zh-CN"/>
        </w:rPr>
        <w:t>5</w:t>
      </w:r>
      <w:r>
        <w:rPr>
          <w:rFonts w:hint="eastAsia" w:ascii="仿宋_GB2312" w:eastAsia="仿宋_GB2312"/>
          <w:sz w:val="32"/>
          <w:szCs w:val="32"/>
        </w:rPr>
        <w:t>月</w:t>
      </w:r>
      <w:r>
        <w:rPr>
          <w:rFonts w:hint="eastAsia" w:ascii="仿宋_GB2312" w:eastAsia="仿宋_GB2312"/>
          <w:sz w:val="32"/>
          <w:szCs w:val="32"/>
          <w:lang w:val="en-US" w:eastAsia="zh-CN"/>
        </w:rPr>
        <w:t>30</w:t>
      </w:r>
      <w:r>
        <w:rPr>
          <w:rFonts w:hint="eastAsia" w:ascii="仿宋_GB2312" w:eastAsia="仿宋_GB2312"/>
          <w:sz w:val="32"/>
          <w:szCs w:val="32"/>
        </w:rPr>
        <w:t>日</w:t>
      </w:r>
    </w:p>
    <w:sectPr>
      <w:headerReference r:id="rId3" w:type="default"/>
      <w:footerReference r:id="rId4" w:type="default"/>
      <w:pgSz w:w="11906" w:h="16838"/>
      <w:pgMar w:top="1440" w:right="1803" w:bottom="1440" w:left="1803" w:header="851" w:footer="992" w:gutter="0"/>
      <w:cols w:space="72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4C4E664-DE44-4694-BADD-7692084C1E0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6CA19A94-BEC5-4403-B222-72C31774C337}"/>
  </w:font>
  <w:font w:name="方正小标宋简体">
    <w:panose1 w:val="03000509000000000000"/>
    <w:charset w:val="86"/>
    <w:family w:val="script"/>
    <w:pitch w:val="default"/>
    <w:sig w:usb0="00000001" w:usb1="080E0000" w:usb2="00000000" w:usb3="00000000" w:csb0="00040000" w:csb1="00000000"/>
    <w:embedRegular r:id="rId3" w:fontKey="{5A26C4D0-6548-4592-8579-FF576098A4C3}"/>
  </w:font>
  <w:font w:name="仿宋_GB2312">
    <w:panose1 w:val="02010609030101010101"/>
    <w:charset w:val="86"/>
    <w:family w:val="modern"/>
    <w:pitch w:val="default"/>
    <w:sig w:usb0="00000001" w:usb1="080E0000" w:usb2="00000000" w:usb3="00000000" w:csb0="00040000" w:csb1="00000000"/>
    <w:embedRegular r:id="rId4" w:fontKey="{5317E0C2-E05B-41ED-9078-4F868364201C}"/>
  </w:font>
  <w:font w:name="楷体">
    <w:panose1 w:val="02010609060101010101"/>
    <w:charset w:val="86"/>
    <w:family w:val="modern"/>
    <w:pitch w:val="default"/>
    <w:sig w:usb0="800002BF" w:usb1="38CF7CFA" w:usb2="00000016" w:usb3="00000000" w:csb0="00040001" w:csb1="00000000"/>
    <w:embedRegular r:id="rId5" w:fontKey="{2E2E0712-B25E-44A8-A966-73D3366BCD32}"/>
  </w:font>
  <w:font w:name="MS PGothic">
    <w:panose1 w:val="020B0600070205080204"/>
    <w:charset w:val="80"/>
    <w:family w:val="auto"/>
    <w:pitch w:val="default"/>
    <w:sig w:usb0="E00002FF" w:usb1="6AC7FDFB" w:usb2="08000012" w:usb3="00000000" w:csb0="4002009F" w:csb1="DFD70000"/>
  </w:font>
  <w:font w:name="@宋体">
    <w:panose1 w:val="02010600030101010101"/>
    <w:charset w:val="86"/>
    <w:family w:val="auto"/>
    <w:pitch w:val="variable"/>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D5AE1D">
    <w:pPr>
      <w:pStyle w:val="6"/>
      <w:jc w:val="center"/>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F00C0B7">
                          <w:pPr>
                            <w:pStyle w:val="6"/>
                            <w:jc w:val="center"/>
                            <w:rPr>
                              <w:sz w:val="30"/>
                              <w:szCs w:val="30"/>
                            </w:rPr>
                          </w:pPr>
                          <w:r>
                            <w:rPr>
                              <w:sz w:val="30"/>
                              <w:szCs w:val="30"/>
                            </w:rPr>
                            <w:fldChar w:fldCharType="begin"/>
                          </w:r>
                          <w:r>
                            <w:rPr>
                              <w:sz w:val="30"/>
                              <w:szCs w:val="30"/>
                            </w:rPr>
                            <w:instrText xml:space="preserve">PAGE   \* MERGEFORMAT</w:instrText>
                          </w:r>
                          <w:r>
                            <w:rPr>
                              <w:sz w:val="30"/>
                              <w:szCs w:val="30"/>
                            </w:rPr>
                            <w:fldChar w:fldCharType="separate"/>
                          </w:r>
                          <w:r>
                            <w:rPr>
                              <w:sz w:val="30"/>
                              <w:szCs w:val="30"/>
                              <w:lang w:val="zh-CN"/>
                            </w:rPr>
                            <w:t>1</w:t>
                          </w:r>
                          <w:r>
                            <w:rPr>
                              <w:sz w:val="30"/>
                              <w:szCs w:val="30"/>
                            </w:rP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Ju61xDCAQAAjQMAAA4AAAAAAAAAAQAgAAAAHgEAAGRycy9lMm9Eb2MueG1sUEsF&#10;BgAAAAAGAAYAWQEAAFIFAAAAAA==&#10;">
              <v:fill on="f" focussize="0,0"/>
              <v:stroke on="f"/>
              <v:imagedata o:title=""/>
              <o:lock v:ext="edit" aspectratio="f"/>
              <v:textbox inset="0mm,0mm,0mm,0mm" style="mso-fit-shape-to-text:t;">
                <w:txbxContent>
                  <w:p w14:paraId="6F00C0B7">
                    <w:pPr>
                      <w:pStyle w:val="6"/>
                      <w:jc w:val="center"/>
                      <w:rPr>
                        <w:sz w:val="30"/>
                        <w:szCs w:val="30"/>
                      </w:rPr>
                    </w:pPr>
                    <w:r>
                      <w:rPr>
                        <w:sz w:val="30"/>
                        <w:szCs w:val="30"/>
                      </w:rPr>
                      <w:fldChar w:fldCharType="begin"/>
                    </w:r>
                    <w:r>
                      <w:rPr>
                        <w:sz w:val="30"/>
                        <w:szCs w:val="30"/>
                      </w:rPr>
                      <w:instrText xml:space="preserve">PAGE   \* MERGEFORMAT</w:instrText>
                    </w:r>
                    <w:r>
                      <w:rPr>
                        <w:sz w:val="30"/>
                        <w:szCs w:val="30"/>
                      </w:rPr>
                      <w:fldChar w:fldCharType="separate"/>
                    </w:r>
                    <w:r>
                      <w:rPr>
                        <w:sz w:val="30"/>
                        <w:szCs w:val="30"/>
                        <w:lang w:val="zh-CN"/>
                      </w:rPr>
                      <w:t>1</w:t>
                    </w:r>
                    <w:r>
                      <w:rPr>
                        <w:sz w:val="30"/>
                        <w:szCs w:val="30"/>
                      </w:rPr>
                      <w:fldChar w:fldCharType="end"/>
                    </w:r>
                  </w:p>
                </w:txbxContent>
              </v:textbox>
            </v:shape>
          </w:pict>
        </mc:Fallback>
      </mc:AlternateContent>
    </w:r>
  </w:p>
  <w:p w14:paraId="5C857EED">
    <w:pPr>
      <w:pStyle w:val="6"/>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B2EC71">
    <w:pPr>
      <w:pStyle w:val="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4AC832"/>
    <w:multiLevelType w:val="singleLevel"/>
    <w:tmpl w:val="9E4AC832"/>
    <w:lvl w:ilvl="0" w:tentative="0">
      <w:start w:val="9"/>
      <w:numFmt w:val="chineseCounting"/>
      <w:suff w:val="nothing"/>
      <w:lvlText w:val="%1、"/>
      <w:lvlJc w:val="left"/>
      <w:rPr>
        <w:rFonts w:hint="eastAsia"/>
      </w:rPr>
    </w:lvl>
  </w:abstractNum>
  <w:abstractNum w:abstractNumId="1">
    <w:nsid w:val="A992D7B9"/>
    <w:multiLevelType w:val="multilevel"/>
    <w:tmpl w:val="A992D7B9"/>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24"/>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C67F2D70"/>
    <w:multiLevelType w:val="multilevel"/>
    <w:tmpl w:val="C67F2D70"/>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pStyle w:val="25"/>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3">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8"/>
      <w:suff w:val="nothing"/>
      <w:lvlText w:val="%1%2　"/>
      <w:lvlJc w:val="left"/>
      <w:pPr>
        <w:ind w:left="0" w:firstLine="0"/>
      </w:pPr>
      <w:rPr>
        <w:rFonts w:hint="eastAsia" w:ascii="黑体" w:eastAsia="黑体"/>
        <w:b w:val="0"/>
        <w:i w:val="0"/>
        <w:sz w:val="21"/>
      </w:rPr>
    </w:lvl>
    <w:lvl w:ilvl="2" w:tentative="0">
      <w:start w:val="1"/>
      <w:numFmt w:val="decimal"/>
      <w:pStyle w:val="1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7D064CF5"/>
    <w:multiLevelType w:val="singleLevel"/>
    <w:tmpl w:val="7D064CF5"/>
    <w:lvl w:ilvl="0" w:tentative="0">
      <w:start w:val="2"/>
      <w:numFmt w:val="decimal"/>
      <w:suff w:val="nothing"/>
      <w:lvlText w:val="%1、"/>
      <w:lvlJc w:val="left"/>
      <w:pPr>
        <w:ind w:left="197"/>
      </w:pPr>
    </w:lvl>
  </w:abstractNum>
  <w:num w:numId="1">
    <w:abstractNumId w:val="3"/>
  </w:num>
  <w:num w:numId="2">
    <w:abstractNumId w:val="1"/>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E0MDE4M2RjOWFiNWU0ODQyYTkxNTQ5ODY1MjVmYmQifQ=="/>
    <w:docVar w:name="KSO_WPS_MARK_KEY" w:val="d76ee549-9765-4041-b17d-984e8246738a"/>
  </w:docVars>
  <w:rsids>
    <w:rsidRoot w:val="00C45FFC"/>
    <w:rsid w:val="002A6F0A"/>
    <w:rsid w:val="004F5DC0"/>
    <w:rsid w:val="00BD6381"/>
    <w:rsid w:val="00C45FFC"/>
    <w:rsid w:val="00DC5A24"/>
    <w:rsid w:val="00F10089"/>
    <w:rsid w:val="00F26056"/>
    <w:rsid w:val="033B50CF"/>
    <w:rsid w:val="04B42C00"/>
    <w:rsid w:val="0A81552E"/>
    <w:rsid w:val="0AAC376B"/>
    <w:rsid w:val="0B103D6C"/>
    <w:rsid w:val="0BD60026"/>
    <w:rsid w:val="0D80720F"/>
    <w:rsid w:val="14997C1D"/>
    <w:rsid w:val="14AD6826"/>
    <w:rsid w:val="17680A51"/>
    <w:rsid w:val="179B731D"/>
    <w:rsid w:val="1BD45076"/>
    <w:rsid w:val="20B14FA1"/>
    <w:rsid w:val="23375D3A"/>
    <w:rsid w:val="23D15253"/>
    <w:rsid w:val="275816D3"/>
    <w:rsid w:val="29BD1AEA"/>
    <w:rsid w:val="2EDF47A1"/>
    <w:rsid w:val="30394B01"/>
    <w:rsid w:val="33010BA1"/>
    <w:rsid w:val="3565341B"/>
    <w:rsid w:val="3BAC4846"/>
    <w:rsid w:val="3D34333D"/>
    <w:rsid w:val="3E663763"/>
    <w:rsid w:val="3F2E192F"/>
    <w:rsid w:val="40A169E3"/>
    <w:rsid w:val="456F026D"/>
    <w:rsid w:val="45C60D19"/>
    <w:rsid w:val="46BA4550"/>
    <w:rsid w:val="4E17459E"/>
    <w:rsid w:val="4F0B6F0B"/>
    <w:rsid w:val="4F3E689F"/>
    <w:rsid w:val="522105B9"/>
    <w:rsid w:val="582B170B"/>
    <w:rsid w:val="582C2541"/>
    <w:rsid w:val="586845D6"/>
    <w:rsid w:val="58787E6A"/>
    <w:rsid w:val="59823505"/>
    <w:rsid w:val="5B552D6B"/>
    <w:rsid w:val="5BFD24C9"/>
    <w:rsid w:val="5C9C250C"/>
    <w:rsid w:val="5D4F6922"/>
    <w:rsid w:val="5E5422AC"/>
    <w:rsid w:val="5F2A2E4A"/>
    <w:rsid w:val="5F47097C"/>
    <w:rsid w:val="61827C5F"/>
    <w:rsid w:val="64D8372B"/>
    <w:rsid w:val="6B5D1662"/>
    <w:rsid w:val="6CB22CDF"/>
    <w:rsid w:val="6E26792C"/>
    <w:rsid w:val="71506EBB"/>
    <w:rsid w:val="721B31C0"/>
    <w:rsid w:val="75E057C2"/>
    <w:rsid w:val="77A12722"/>
    <w:rsid w:val="7AE61839"/>
    <w:rsid w:val="7D6C061B"/>
    <w:rsid w:val="7FD479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iPriority="99"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uiPriority w:val="0"/>
    <w:pPr>
      <w:keepNext/>
      <w:keepLines/>
      <w:spacing w:before="340" w:after="330" w:line="576" w:lineRule="auto"/>
      <w:outlineLvl w:val="0"/>
    </w:pPr>
    <w:rPr>
      <w:b/>
      <w:bCs/>
      <w:kern w:val="44"/>
      <w:sz w:val="44"/>
      <w:szCs w:val="44"/>
    </w:rPr>
  </w:style>
  <w:style w:type="paragraph" w:styleId="5">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3">
    <w:name w:val="index 6"/>
    <w:basedOn w:val="1"/>
    <w:next w:val="1"/>
    <w:unhideWhenUsed/>
    <w:qFormat/>
    <w:uiPriority w:val="99"/>
    <w:pPr>
      <w:ind w:left="2100"/>
    </w:pPr>
  </w:style>
  <w:style w:type="paragraph" w:styleId="6">
    <w:name w:val="footer"/>
    <w:basedOn w:val="1"/>
    <w:qFormat/>
    <w:uiPriority w:val="99"/>
    <w:pPr>
      <w:tabs>
        <w:tab w:val="center" w:pos="4153"/>
        <w:tab w:val="right" w:pos="8306"/>
      </w:tabs>
      <w:snapToGrid w:val="0"/>
      <w:jc w:val="left"/>
    </w:pPr>
    <w:rPr>
      <w:sz w:val="18"/>
      <w:szCs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semiHidden/>
    <w:unhideWhenUsed/>
    <w:qFormat/>
    <w:uiPriority w:val="99"/>
    <w:pPr>
      <w:spacing w:beforeAutospacing="1" w:afterAutospacing="1"/>
      <w:jc w:val="left"/>
    </w:pPr>
    <w:rPr>
      <w:kern w:val="0"/>
      <w:sz w:val="24"/>
    </w:rPr>
  </w:style>
  <w:style w:type="paragraph" w:styleId="9">
    <w:name w:val="Body Text First Indent 2"/>
    <w:basedOn w:val="1"/>
    <w:next w:val="1"/>
    <w:qFormat/>
    <w:uiPriority w:val="99"/>
    <w:pPr>
      <w:spacing w:after="120"/>
      <w:ind w:left="420" w:leftChars="200" w:firstLine="420" w:firstLineChars="200"/>
    </w:pPr>
    <w:rPr>
      <w:rFonts w:cs="Times New Roman"/>
      <w:kern w:val="0"/>
      <w:sz w:val="20"/>
      <w:szCs w:val="20"/>
    </w:rPr>
  </w:style>
  <w:style w:type="table" w:styleId="11">
    <w:name w:val="Table Grid"/>
    <w:basedOn w:val="10"/>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3">
    <w:name w:val="Strong"/>
    <w:basedOn w:val="12"/>
    <w:qFormat/>
    <w:uiPriority w:val="0"/>
    <w:rPr>
      <w:b/>
    </w:rPr>
  </w:style>
  <w:style w:type="paragraph" w:customStyle="1" w:styleId="14">
    <w:name w:val="BodyText2"/>
    <w:basedOn w:val="1"/>
    <w:qFormat/>
    <w:uiPriority w:val="0"/>
    <w:pPr>
      <w:spacing w:after="120" w:line="480" w:lineRule="auto"/>
      <w:textAlignment w:val="baseline"/>
    </w:pPr>
    <w:rPr>
      <w:sz w:val="32"/>
      <w:szCs w:val="32"/>
    </w:rPr>
  </w:style>
  <w:style w:type="paragraph" w:customStyle="1" w:styleId="15">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6">
    <w:name w:val="标准文件_一级无标题"/>
    <w:basedOn w:val="17"/>
    <w:qFormat/>
    <w:uiPriority w:val="0"/>
    <w:pPr>
      <w:spacing w:before="0" w:beforeLines="0" w:after="0" w:afterLines="0"/>
      <w:outlineLvl w:val="9"/>
    </w:pPr>
    <w:rPr>
      <w:rFonts w:ascii="宋体" w:eastAsia="宋体"/>
    </w:rPr>
  </w:style>
  <w:style w:type="paragraph" w:customStyle="1" w:styleId="17">
    <w:name w:val="标准文件_一级条标题"/>
    <w:basedOn w:val="18"/>
    <w:next w:val="19"/>
    <w:qFormat/>
    <w:uiPriority w:val="0"/>
    <w:pPr>
      <w:numPr>
        <w:ilvl w:val="2"/>
      </w:numPr>
      <w:spacing w:before="50" w:beforeLines="50" w:after="50" w:afterLines="50"/>
      <w:outlineLvl w:val="1"/>
    </w:pPr>
  </w:style>
  <w:style w:type="paragraph" w:customStyle="1" w:styleId="18">
    <w:name w:val="标准文件_章标题"/>
    <w:next w:val="19"/>
    <w:qFormat/>
    <w:uiPriority w:val="0"/>
    <w:pPr>
      <w:numPr>
        <w:ilvl w:val="1"/>
        <w:numId w:val="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9">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0">
    <w:name w:val="基准"/>
    <w:basedOn w:val="1"/>
    <w:qFormat/>
    <w:uiPriority w:val="0"/>
    <w:pPr>
      <w:tabs>
        <w:tab w:val="left" w:pos="284"/>
      </w:tabs>
      <w:ind w:right="113"/>
      <w:jc w:val="left"/>
    </w:pPr>
  </w:style>
  <w:style w:type="paragraph" w:customStyle="1" w:styleId="21">
    <w:name w:val="Revision"/>
    <w:hidden/>
    <w:unhideWhenUsed/>
    <w:qFormat/>
    <w:uiPriority w:val="99"/>
    <w:rPr>
      <w:rFonts w:ascii="Times New Roman" w:hAnsi="Times New Roman" w:eastAsia="宋体" w:cs="Times New Roman"/>
      <w:kern w:val="2"/>
      <w:sz w:val="21"/>
      <w:szCs w:val="24"/>
      <w:lang w:val="en-US" w:eastAsia="zh-CN" w:bidi="ar-SA"/>
    </w:rPr>
  </w:style>
  <w:style w:type="character" w:customStyle="1" w:styleId="22">
    <w:name w:val="标准文件_段 Char"/>
    <w:basedOn w:val="12"/>
    <w:qFormat/>
    <w:uiPriority w:val="0"/>
    <w:rPr>
      <w:rFonts w:hint="eastAsia" w:ascii="宋体" w:hAnsi="Times New Roman" w:eastAsia="宋体" w:cs="宋体"/>
      <w:sz w:val="21"/>
    </w:rPr>
  </w:style>
  <w:style w:type="paragraph" w:customStyle="1" w:styleId="23">
    <w:name w:val="报告正文"/>
    <w:basedOn w:val="1"/>
    <w:qFormat/>
    <w:uiPriority w:val="0"/>
    <w:pPr>
      <w:ind w:firstLine="200" w:firstLineChars="200"/>
      <w:textAlignment w:val="center"/>
    </w:pPr>
  </w:style>
  <w:style w:type="paragraph" w:customStyle="1" w:styleId="24">
    <w:name w:val="标准文件_二级条标题"/>
    <w:basedOn w:val="1"/>
    <w:qFormat/>
    <w:uiPriority w:val="0"/>
    <w:pPr>
      <w:keepNext w:val="0"/>
      <w:keepLines w:val="0"/>
      <w:widowControl w:val="0"/>
      <w:numPr>
        <w:ilvl w:val="3"/>
        <w:numId w:val="2"/>
      </w:numPr>
      <w:suppressLineNumbers w:val="0"/>
      <w:adjustRightInd/>
      <w:spacing w:before="50" w:beforeLines="50" w:beforeAutospacing="0" w:after="50" w:afterLines="50" w:afterAutospacing="0" w:line="240" w:lineRule="auto"/>
      <w:ind w:left="0" w:right="0" w:firstLine="0"/>
      <w:jc w:val="both"/>
      <w:outlineLvl w:val="2"/>
    </w:pPr>
    <w:rPr>
      <w:rFonts w:hint="eastAsia" w:ascii="黑体" w:hAnsi="Times New Roman" w:eastAsia="黑体" w:cs="Times New Roman"/>
      <w:kern w:val="0"/>
      <w:sz w:val="21"/>
      <w:szCs w:val="20"/>
      <w:lang w:val="en-US" w:eastAsia="zh-CN" w:bidi="ar"/>
    </w:rPr>
  </w:style>
  <w:style w:type="paragraph" w:customStyle="1" w:styleId="25">
    <w:name w:val="标准文件_三级条标题"/>
    <w:next w:val="1"/>
    <w:qFormat/>
    <w:uiPriority w:val="0"/>
    <w:pPr>
      <w:keepNext w:val="0"/>
      <w:keepLines w:val="0"/>
      <w:widowControl/>
      <w:numPr>
        <w:ilvl w:val="4"/>
        <w:numId w:val="3"/>
      </w:numPr>
      <w:suppressLineNumbers w:val="0"/>
      <w:spacing w:before="50" w:beforeLines="50" w:beforeAutospacing="0" w:after="50" w:afterLines="50" w:afterAutospacing="0"/>
      <w:ind w:left="0" w:right="0" w:firstLine="0"/>
      <w:jc w:val="both"/>
      <w:outlineLvl w:val="3"/>
    </w:pPr>
    <w:rPr>
      <w:rFonts w:hint="eastAsia" w:ascii="黑体" w:hAnsi="Times New Roman" w:eastAsia="黑体" w:cs="Times New Roman"/>
      <w:kern w:val="0"/>
      <w:sz w:val="21"/>
      <w:szCs w:val="20"/>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48</Pages>
  <Words>19438</Words>
  <Characters>21881</Characters>
  <Lines>105</Lines>
  <Paragraphs>29</Paragraphs>
  <TotalTime>53</TotalTime>
  <ScaleCrop>false</ScaleCrop>
  <LinksUpToDate>false</LinksUpToDate>
  <CharactersWithSpaces>22030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2024-10-06T01:59:00Z</dcterms:created>
  <dc:creator>qiao</dc:creator>
  <cp:lastModifiedBy>树年强</cp:lastModifiedBy>
  <cp:lastPrinted>2024-12-11T10:42:00Z</cp:lastPrinted>
  <dcterms:modified xsi:type="dcterms:W3CDTF">2025-06-09T03:47:56Z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997DFD3862C44A8E9B1EA37526C88CC4</vt:lpwstr>
  </property>
  <property fmtid="{D5CDD505-2E9C-101B-9397-08002B2CF9AE}" pid="4" name="KSOTemplateDocerSaveRecord">
    <vt:lpwstr>eyJoZGlkIjoiNmE0MDE4M2RjOWFiNWU0ODQyYTkxNTQ5ODY1MjVmYmQiLCJ1c2VySWQiOiI2Mzk4NzAxMjYifQ==</vt:lpwstr>
  </property>
</Properties>
</file>