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A7C3F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小标宋简体" w:eastAsia="方正小标宋简体" w:cs="仿宋_GB2312"/>
          <w:bCs/>
          <w:color w:val="000000"/>
          <w:sz w:val="36"/>
          <w:szCs w:val="32"/>
        </w:rPr>
      </w:pPr>
      <w:r>
        <w:rPr>
          <w:rFonts w:hint="eastAsia" w:ascii="方正小标宋简体" w:eastAsia="方正小标宋简体" w:cs="仿宋_GB2312"/>
          <w:bCs/>
          <w:color w:val="000000"/>
          <w:sz w:val="36"/>
          <w:szCs w:val="32"/>
        </w:rPr>
        <w:t>团体标准《</w:t>
      </w:r>
      <w:r>
        <w:rPr>
          <w:rFonts w:hint="eastAsia" w:ascii="方正小标宋简体" w:eastAsia="方正小标宋简体" w:cs="仿宋_GB2312"/>
          <w:bCs/>
          <w:color w:val="000000"/>
          <w:sz w:val="36"/>
          <w:szCs w:val="32"/>
          <w:lang w:eastAsia="zh-CN"/>
        </w:rPr>
        <w:t>腹膜透析患者并发症评估规范</w:t>
      </w:r>
      <w:r>
        <w:rPr>
          <w:rFonts w:hint="eastAsia" w:ascii="方正小标宋简体" w:eastAsia="方正小标宋简体" w:cs="仿宋_GB2312"/>
          <w:bCs/>
          <w:color w:val="000000"/>
          <w:sz w:val="36"/>
          <w:szCs w:val="32"/>
        </w:rPr>
        <w:t>》（征求意见稿）编制说明</w:t>
      </w:r>
    </w:p>
    <w:p w14:paraId="3E16342C">
      <w:pPr>
        <w:keepNext w:val="0"/>
        <w:keepLines w:val="0"/>
        <w:pageBreakBefore w:val="0"/>
        <w:widowControl w:val="0"/>
        <w:kinsoku/>
        <w:wordWrap/>
        <w:overflowPunct/>
        <w:topLinePunct w:val="0"/>
        <w:bidi w:val="0"/>
        <w:jc w:val="center"/>
        <w:rPr>
          <w:rFonts w:hint="eastAsia" w:ascii="方正小标宋简体" w:eastAsia="方正小标宋简体" w:cs="仿宋_GB2312"/>
          <w:bCs/>
          <w:color w:val="000000"/>
          <w:sz w:val="18"/>
          <w:szCs w:val="18"/>
        </w:rPr>
      </w:pPr>
    </w:p>
    <w:p w14:paraId="74DC5A77">
      <w:pPr>
        <w:keepNext w:val="0"/>
        <w:keepLines w:val="0"/>
        <w:pageBreakBefore w:val="0"/>
        <w:widowControl w:val="0"/>
        <w:kinsoku/>
        <w:wordWrap/>
        <w:overflowPunct/>
        <w:topLinePunct w:val="0"/>
        <w:bidi w:val="0"/>
        <w:spacing w:line="520" w:lineRule="exact"/>
        <w:ind w:firstLine="640"/>
        <w:rPr>
          <w:rFonts w:hint="eastAsia" w:ascii="黑体" w:eastAsia="黑体" w:cs="仿宋_GB2312"/>
          <w:bCs/>
          <w:sz w:val="32"/>
          <w:szCs w:val="32"/>
        </w:rPr>
      </w:pPr>
      <w:r>
        <w:rPr>
          <w:rFonts w:hint="eastAsia" w:ascii="黑体" w:eastAsia="黑体" w:cs="仿宋_GB2312"/>
          <w:sz w:val="32"/>
          <w:szCs w:val="32"/>
        </w:rPr>
        <w:t>一、任务来源、起草单位、主要起草人</w:t>
      </w:r>
    </w:p>
    <w:p w14:paraId="090ED7ED">
      <w:pPr>
        <w:keepNext w:val="0"/>
        <w:keepLines w:val="0"/>
        <w:pageBreakBefore w:val="0"/>
        <w:widowControl w:val="0"/>
        <w:kinsoku/>
        <w:wordWrap/>
        <w:overflowPunct/>
        <w:topLinePunct w:val="0"/>
        <w:bidi w:val="0"/>
        <w:spacing w:line="520" w:lineRule="exact"/>
        <w:ind w:firstLine="560"/>
        <w:rPr>
          <w:rFonts w:hint="eastAsia" w:eastAsia="仿宋_GB2312"/>
          <w:color w:val="auto"/>
          <w:szCs w:val="28"/>
          <w:lang w:eastAsia="zh-CN"/>
        </w:rPr>
      </w:pPr>
      <w:r>
        <w:rPr>
          <w:rFonts w:hint="eastAsia"/>
          <w:color w:val="auto"/>
          <w:szCs w:val="28"/>
        </w:rPr>
        <w:t>根据《广西标准化协会关于下达202</w:t>
      </w:r>
      <w:r>
        <w:rPr>
          <w:rFonts w:hint="eastAsia"/>
          <w:color w:val="auto"/>
          <w:szCs w:val="28"/>
          <w:lang w:val="en-US" w:eastAsia="zh-CN"/>
        </w:rPr>
        <w:t>5</w:t>
      </w:r>
      <w:r>
        <w:rPr>
          <w:rFonts w:hint="eastAsia"/>
          <w:color w:val="auto"/>
          <w:szCs w:val="28"/>
        </w:rPr>
        <w:t>年第</w:t>
      </w:r>
      <w:r>
        <w:rPr>
          <w:rFonts w:hint="eastAsia"/>
          <w:color w:val="auto"/>
          <w:szCs w:val="28"/>
          <w:lang w:eastAsia="zh-CN"/>
        </w:rPr>
        <w:t>十</w:t>
      </w:r>
      <w:r>
        <w:rPr>
          <w:rFonts w:hint="eastAsia"/>
          <w:color w:val="auto"/>
          <w:szCs w:val="28"/>
        </w:rPr>
        <w:t>批团体标准制修订项目计划的通知》（桂标协〔202</w:t>
      </w:r>
      <w:r>
        <w:rPr>
          <w:rFonts w:hint="eastAsia"/>
          <w:color w:val="auto"/>
          <w:szCs w:val="28"/>
          <w:lang w:val="en-US" w:eastAsia="zh-CN"/>
        </w:rPr>
        <w:t>5</w:t>
      </w:r>
      <w:r>
        <w:rPr>
          <w:rFonts w:hint="eastAsia"/>
          <w:color w:val="auto"/>
          <w:szCs w:val="28"/>
        </w:rPr>
        <w:t>〕</w:t>
      </w:r>
      <w:r>
        <w:rPr>
          <w:rFonts w:hint="eastAsia"/>
          <w:color w:val="auto"/>
          <w:szCs w:val="28"/>
          <w:lang w:val="en-US" w:eastAsia="zh-CN"/>
        </w:rPr>
        <w:t>84</w:t>
      </w:r>
      <w:r>
        <w:rPr>
          <w:rFonts w:hint="eastAsia"/>
          <w:color w:val="auto"/>
          <w:szCs w:val="28"/>
        </w:rPr>
        <w:t>号）精神，由广西护理学会提出，玉林市第一人民医院、浙江大学医学院附属第一医院、南方医科大学南方医院、中国科学技术大学附属第一医院(安徽省立医院)、温州医科大学附属第一医院、赣南医科大学第一附属医院、福州大学附属省立医院、贵州医科大学附属医院、南昌大学第一附属医院、广西医科大学第一附属医院、广西医科大学第二附属医院、广西中医药大学第一附属医院、广西壮族自治区人民医院、右江民族医学院附属医院、桂林医学院附属医院、柳州市人民医院、柳州市工人医院、丽水市中心医院、瑞安市人民医院、中山市中医院、南方医科大学顺德医院、百色市人民医院、广西柳钢医疗有限公司医院、玉林市红十字会医院、钦州市第一人民医院、贵港市人民医院、广西壮族自治区民族医院、广西壮族自治区桂东人民医院、北海市第二人民医院、平南县人民医院、博白县人民医院等单位共同起草的团体标准《</w:t>
      </w:r>
      <w:r>
        <w:rPr>
          <w:rFonts w:hint="eastAsia"/>
          <w:color w:val="auto"/>
          <w:szCs w:val="28"/>
          <w:lang w:eastAsia="zh-CN"/>
        </w:rPr>
        <w:t>腹膜透析患者并发症评估规范</w:t>
      </w:r>
      <w:r>
        <w:rPr>
          <w:rFonts w:hint="eastAsia"/>
          <w:color w:val="auto"/>
          <w:szCs w:val="28"/>
        </w:rPr>
        <w:t>》（项目编号：202</w:t>
      </w:r>
      <w:r>
        <w:rPr>
          <w:rFonts w:hint="eastAsia"/>
          <w:color w:val="auto"/>
          <w:szCs w:val="28"/>
          <w:lang w:val="en-US" w:eastAsia="zh-CN"/>
        </w:rPr>
        <w:t>5</w:t>
      </w:r>
      <w:r>
        <w:rPr>
          <w:rFonts w:hint="eastAsia"/>
          <w:color w:val="auto"/>
          <w:szCs w:val="28"/>
        </w:rPr>
        <w:t>-</w:t>
      </w:r>
      <w:r>
        <w:rPr>
          <w:rFonts w:hint="eastAsia"/>
          <w:color w:val="auto"/>
          <w:szCs w:val="28"/>
          <w:lang w:val="en-US" w:eastAsia="zh-CN"/>
        </w:rPr>
        <w:t>1001</w:t>
      </w:r>
      <w:r>
        <w:rPr>
          <w:rFonts w:hint="eastAsia"/>
          <w:color w:val="auto"/>
          <w:szCs w:val="28"/>
        </w:rPr>
        <w:t>），已获立项。</w:t>
      </w:r>
    </w:p>
    <w:p w14:paraId="1EAB5BC4">
      <w:pPr>
        <w:keepNext w:val="0"/>
        <w:keepLines w:val="0"/>
        <w:pageBreakBefore w:val="0"/>
        <w:widowControl w:val="0"/>
        <w:kinsoku/>
        <w:wordWrap/>
        <w:overflowPunct/>
        <w:topLinePunct w:val="0"/>
        <w:bidi w:val="0"/>
        <w:spacing w:line="520" w:lineRule="exact"/>
        <w:ind w:firstLine="560"/>
        <w:rPr>
          <w:rFonts w:hint="eastAsia" w:eastAsia="仿宋_GB2312"/>
          <w:sz w:val="32"/>
          <w:szCs w:val="32"/>
          <w:lang w:eastAsia="zh-CN"/>
        </w:rPr>
      </w:pPr>
      <w:r>
        <w:rPr>
          <w:rFonts w:hint="eastAsia"/>
          <w:szCs w:val="28"/>
        </w:rPr>
        <w:t>为高质量编制团体标准《</w:t>
      </w:r>
      <w:r>
        <w:rPr>
          <w:rFonts w:hint="eastAsia"/>
          <w:szCs w:val="28"/>
          <w:lang w:eastAsia="zh-CN"/>
        </w:rPr>
        <w:t>腹膜透析患者并发症评估规范</w:t>
      </w:r>
      <w:r>
        <w:rPr>
          <w:rFonts w:hint="eastAsia"/>
          <w:szCs w:val="28"/>
        </w:rPr>
        <w:t>》，由起草单位成立标准编制工作组并进行如下分工：</w:t>
      </w:r>
    </w:p>
    <w:tbl>
      <w:tblPr>
        <w:tblStyle w:val="21"/>
        <w:tblW w:w="93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
        <w:gridCol w:w="1421"/>
        <w:gridCol w:w="1208"/>
        <w:gridCol w:w="2030"/>
        <w:gridCol w:w="3658"/>
      </w:tblGrid>
      <w:tr w14:paraId="28A73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6B7D4485">
            <w:pPr>
              <w:keepNext w:val="0"/>
              <w:keepLines w:val="0"/>
              <w:suppressLineNumbers w:val="0"/>
              <w:spacing w:before="0" w:beforeAutospacing="0" w:after="0" w:afterAutospacing="0"/>
              <w:ind w:left="0" w:right="0"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姓名</w:t>
            </w:r>
          </w:p>
        </w:tc>
        <w:tc>
          <w:tcPr>
            <w:tcW w:w="1421" w:type="dxa"/>
            <w:tcBorders>
              <w:top w:val="single" w:color="auto" w:sz="4" w:space="0"/>
              <w:left w:val="single" w:color="auto" w:sz="4" w:space="0"/>
              <w:bottom w:val="single" w:color="auto" w:sz="4" w:space="0"/>
              <w:right w:val="single" w:color="auto" w:sz="4" w:space="0"/>
            </w:tcBorders>
            <w:vAlign w:val="center"/>
          </w:tcPr>
          <w:p w14:paraId="3FBA9DCC">
            <w:pPr>
              <w:keepNext w:val="0"/>
              <w:keepLines w:val="0"/>
              <w:suppressLineNumbers w:val="0"/>
              <w:spacing w:before="0" w:beforeAutospacing="0" w:after="0" w:afterAutospacing="0"/>
              <w:ind w:left="0" w:right="0"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职务/职称</w:t>
            </w:r>
          </w:p>
        </w:tc>
        <w:tc>
          <w:tcPr>
            <w:tcW w:w="1208" w:type="dxa"/>
            <w:tcBorders>
              <w:top w:val="single" w:color="auto" w:sz="4" w:space="0"/>
              <w:left w:val="single" w:color="auto" w:sz="4" w:space="0"/>
              <w:bottom w:val="single" w:color="auto" w:sz="4" w:space="0"/>
              <w:right w:val="single" w:color="auto" w:sz="4" w:space="0"/>
            </w:tcBorders>
            <w:vAlign w:val="center"/>
          </w:tcPr>
          <w:p w14:paraId="75448222">
            <w:pPr>
              <w:keepNext w:val="0"/>
              <w:keepLines w:val="0"/>
              <w:suppressLineNumbers w:val="0"/>
              <w:spacing w:before="0" w:beforeAutospacing="0" w:after="0" w:afterAutospacing="0"/>
              <w:ind w:left="0" w:right="0"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从事专业</w:t>
            </w:r>
          </w:p>
        </w:tc>
        <w:tc>
          <w:tcPr>
            <w:tcW w:w="2030" w:type="dxa"/>
            <w:tcBorders>
              <w:top w:val="single" w:color="auto" w:sz="4" w:space="0"/>
              <w:left w:val="single" w:color="auto" w:sz="4" w:space="0"/>
              <w:bottom w:val="single" w:color="auto" w:sz="4" w:space="0"/>
              <w:right w:val="single" w:color="auto" w:sz="4" w:space="0"/>
            </w:tcBorders>
            <w:vAlign w:val="center"/>
          </w:tcPr>
          <w:p w14:paraId="6041493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工作单位</w:t>
            </w:r>
          </w:p>
        </w:tc>
        <w:tc>
          <w:tcPr>
            <w:tcW w:w="3658" w:type="dxa"/>
            <w:tcBorders>
              <w:top w:val="single" w:color="auto" w:sz="4" w:space="0"/>
              <w:left w:val="single" w:color="auto" w:sz="4" w:space="0"/>
              <w:bottom w:val="single" w:color="auto" w:sz="4" w:space="0"/>
              <w:right w:val="single" w:color="auto" w:sz="4" w:space="0"/>
            </w:tcBorders>
            <w:vAlign w:val="center"/>
          </w:tcPr>
          <w:p w14:paraId="43A19393">
            <w:pPr>
              <w:keepNext w:val="0"/>
              <w:keepLines w:val="0"/>
              <w:suppressLineNumbers w:val="0"/>
              <w:spacing w:before="0" w:beforeAutospacing="0" w:after="0" w:afterAutospacing="0"/>
              <w:ind w:left="0" w:right="0" w:firstLine="241" w:firstLineChars="100"/>
              <w:jc w:val="left"/>
              <w:rPr>
                <w:rFonts w:hint="eastAsia" w:ascii="仿宋" w:hAnsi="仿宋" w:eastAsia="仿宋" w:cs="仿宋"/>
                <w:b/>
                <w:color w:val="0000FF"/>
                <w:sz w:val="24"/>
              </w:rPr>
            </w:pPr>
            <w:r>
              <w:rPr>
                <w:rFonts w:hint="eastAsia" w:ascii="仿宋" w:hAnsi="仿宋" w:eastAsia="仿宋" w:cs="仿宋"/>
                <w:b/>
                <w:sz w:val="24"/>
              </w:rPr>
              <w:t>主要负责工作</w:t>
            </w:r>
          </w:p>
        </w:tc>
      </w:tr>
      <w:tr w14:paraId="2AE8A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334672CF">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杨雪群</w:t>
            </w:r>
          </w:p>
        </w:tc>
        <w:tc>
          <w:tcPr>
            <w:tcW w:w="1421" w:type="dxa"/>
            <w:tcBorders>
              <w:top w:val="single" w:color="auto" w:sz="4" w:space="0"/>
              <w:left w:val="single" w:color="auto" w:sz="4" w:space="0"/>
              <w:bottom w:val="single" w:color="auto" w:sz="4" w:space="0"/>
              <w:right w:val="single" w:color="auto" w:sz="4" w:space="0"/>
            </w:tcBorders>
            <w:vAlign w:val="center"/>
          </w:tcPr>
          <w:p w14:paraId="30AF4DE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护士长/主任护师</w:t>
            </w:r>
          </w:p>
        </w:tc>
        <w:tc>
          <w:tcPr>
            <w:tcW w:w="1208" w:type="dxa"/>
            <w:tcBorders>
              <w:top w:val="single" w:color="auto" w:sz="4" w:space="0"/>
              <w:left w:val="single" w:color="auto" w:sz="4" w:space="0"/>
              <w:bottom w:val="single" w:color="auto" w:sz="4" w:space="0"/>
              <w:right w:val="single" w:color="auto" w:sz="4" w:space="0"/>
            </w:tcBorders>
            <w:vAlign w:val="center"/>
          </w:tcPr>
          <w:p w14:paraId="504CADE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护理学</w:t>
            </w:r>
          </w:p>
        </w:tc>
        <w:tc>
          <w:tcPr>
            <w:tcW w:w="2030" w:type="dxa"/>
            <w:tcBorders>
              <w:top w:val="single" w:color="auto" w:sz="4" w:space="0"/>
              <w:left w:val="single" w:color="auto" w:sz="4" w:space="0"/>
              <w:bottom w:val="single" w:color="auto" w:sz="4" w:space="0"/>
              <w:right w:val="single" w:color="auto" w:sz="4" w:space="0"/>
            </w:tcBorders>
            <w:vAlign w:val="center"/>
          </w:tcPr>
          <w:p w14:paraId="28B82A9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vAlign w:val="center"/>
          </w:tcPr>
          <w:p w14:paraId="3C47D5FA">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统筹主持标准编制工作</w:t>
            </w:r>
          </w:p>
        </w:tc>
      </w:tr>
      <w:tr w14:paraId="3248C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3A08E82F">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黄楚乔</w:t>
            </w:r>
          </w:p>
        </w:tc>
        <w:tc>
          <w:tcPr>
            <w:tcW w:w="1421" w:type="dxa"/>
            <w:tcBorders>
              <w:top w:val="single" w:color="auto" w:sz="4" w:space="0"/>
              <w:left w:val="single" w:color="auto" w:sz="4" w:space="0"/>
              <w:bottom w:val="single" w:color="auto" w:sz="4" w:space="0"/>
              <w:right w:val="single" w:color="auto" w:sz="4" w:space="0"/>
            </w:tcBorders>
            <w:vAlign w:val="center"/>
          </w:tcPr>
          <w:p w14:paraId="02C01444">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主管护师</w:t>
            </w:r>
          </w:p>
        </w:tc>
        <w:tc>
          <w:tcPr>
            <w:tcW w:w="1208" w:type="dxa"/>
            <w:tcBorders>
              <w:top w:val="single" w:color="auto" w:sz="4" w:space="0"/>
              <w:left w:val="single" w:color="auto" w:sz="4" w:space="0"/>
              <w:bottom w:val="single" w:color="auto" w:sz="4" w:space="0"/>
              <w:right w:val="single" w:color="auto" w:sz="4" w:space="0"/>
            </w:tcBorders>
            <w:vAlign w:val="center"/>
          </w:tcPr>
          <w:p w14:paraId="1DD6293B">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护理学</w:t>
            </w:r>
          </w:p>
        </w:tc>
        <w:tc>
          <w:tcPr>
            <w:tcW w:w="2030" w:type="dxa"/>
            <w:tcBorders>
              <w:top w:val="single" w:color="auto" w:sz="4" w:space="0"/>
              <w:left w:val="single" w:color="auto" w:sz="4" w:space="0"/>
              <w:bottom w:val="single" w:color="auto" w:sz="4" w:space="0"/>
              <w:right w:val="single" w:color="auto" w:sz="4" w:space="0"/>
            </w:tcBorders>
            <w:vAlign w:val="center"/>
          </w:tcPr>
          <w:p w14:paraId="3BF87C9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vAlign w:val="center"/>
          </w:tcPr>
          <w:p w14:paraId="46CFF077">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参与标准编制工作，组织人员进行标准发布后的宣贯培训</w:t>
            </w:r>
          </w:p>
        </w:tc>
      </w:tr>
      <w:tr w14:paraId="7BD6D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2E5261D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邓兆燕</w:t>
            </w:r>
          </w:p>
        </w:tc>
        <w:tc>
          <w:tcPr>
            <w:tcW w:w="1421" w:type="dxa"/>
            <w:tcBorders>
              <w:top w:val="single" w:color="auto" w:sz="4" w:space="0"/>
              <w:left w:val="single" w:color="auto" w:sz="4" w:space="0"/>
              <w:bottom w:val="single" w:color="auto" w:sz="4" w:space="0"/>
              <w:right w:val="single" w:color="auto" w:sz="4" w:space="0"/>
            </w:tcBorders>
            <w:vAlign w:val="center"/>
          </w:tcPr>
          <w:p w14:paraId="2980C688">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科主任/主任医生</w:t>
            </w:r>
          </w:p>
        </w:tc>
        <w:tc>
          <w:tcPr>
            <w:tcW w:w="1208" w:type="dxa"/>
            <w:tcBorders>
              <w:top w:val="single" w:color="auto" w:sz="4" w:space="0"/>
              <w:left w:val="single" w:color="auto" w:sz="4" w:space="0"/>
              <w:bottom w:val="single" w:color="auto" w:sz="4" w:space="0"/>
              <w:right w:val="single" w:color="auto" w:sz="4" w:space="0"/>
            </w:tcBorders>
            <w:vAlign w:val="center"/>
          </w:tcPr>
          <w:p w14:paraId="4C4D1D2E">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肾脏病</w:t>
            </w:r>
          </w:p>
        </w:tc>
        <w:tc>
          <w:tcPr>
            <w:tcW w:w="2030" w:type="dxa"/>
            <w:tcBorders>
              <w:top w:val="single" w:color="auto" w:sz="4" w:space="0"/>
              <w:left w:val="single" w:color="auto" w:sz="4" w:space="0"/>
              <w:bottom w:val="single" w:color="auto" w:sz="4" w:space="0"/>
              <w:right w:val="single" w:color="auto" w:sz="4" w:space="0"/>
            </w:tcBorders>
            <w:vAlign w:val="center"/>
          </w:tcPr>
          <w:p w14:paraId="45655C6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vAlign w:val="center"/>
          </w:tcPr>
          <w:p w14:paraId="5C95D9F1">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参与标准文本及编制说明编写，质量控制</w:t>
            </w:r>
          </w:p>
        </w:tc>
      </w:tr>
      <w:tr w14:paraId="4C419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4A6B2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廖小珍</w:t>
            </w:r>
          </w:p>
        </w:tc>
        <w:tc>
          <w:tcPr>
            <w:tcW w:w="1421" w:type="dxa"/>
            <w:tcBorders>
              <w:top w:val="single" w:color="auto" w:sz="4" w:space="0"/>
              <w:left w:val="single" w:color="auto" w:sz="4" w:space="0"/>
              <w:bottom w:val="single" w:color="auto" w:sz="4" w:space="0"/>
              <w:right w:val="single" w:color="auto" w:sz="4" w:space="0"/>
            </w:tcBorders>
            <w:vAlign w:val="center"/>
          </w:tcPr>
          <w:p w14:paraId="31590F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副主任护师</w:t>
            </w:r>
          </w:p>
        </w:tc>
        <w:tc>
          <w:tcPr>
            <w:tcW w:w="1208" w:type="dxa"/>
            <w:tcBorders>
              <w:top w:val="single" w:color="auto" w:sz="4" w:space="0"/>
              <w:left w:val="single" w:color="auto" w:sz="4" w:space="0"/>
              <w:bottom w:val="single" w:color="auto" w:sz="4" w:space="0"/>
              <w:right w:val="single" w:color="auto" w:sz="4" w:space="0"/>
            </w:tcBorders>
            <w:vAlign w:val="center"/>
          </w:tcPr>
          <w:p w14:paraId="4A1EEBC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腹膜透析护理</w:t>
            </w:r>
          </w:p>
        </w:tc>
        <w:tc>
          <w:tcPr>
            <w:tcW w:w="2030" w:type="dxa"/>
            <w:tcBorders>
              <w:top w:val="single" w:color="auto" w:sz="4" w:space="0"/>
              <w:left w:val="single" w:color="auto" w:sz="4" w:space="0"/>
              <w:bottom w:val="single" w:color="auto" w:sz="4" w:space="0"/>
              <w:right w:val="single" w:color="auto" w:sz="4" w:space="0"/>
            </w:tcBorders>
            <w:vAlign w:val="center"/>
          </w:tcPr>
          <w:p w14:paraId="3DD9D25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vAlign w:val="center"/>
          </w:tcPr>
          <w:p w14:paraId="3F08E797">
            <w:pPr>
              <w:keepNext w:val="0"/>
              <w:keepLines w:val="0"/>
              <w:suppressLineNumbers w:val="0"/>
              <w:spacing w:before="0" w:beforeAutospacing="0" w:after="0" w:afterAutospacing="0"/>
              <w:ind w:left="0" w:right="0" w:firstLine="240" w:firstLineChars="100"/>
              <w:jc w:val="left"/>
              <w:rPr>
                <w:rFonts w:hint="eastAsia" w:cs="仿宋_GB2312"/>
                <w:sz w:val="24"/>
                <w:lang w:bidi="ar"/>
              </w:rPr>
            </w:pPr>
          </w:p>
        </w:tc>
      </w:tr>
      <w:tr w14:paraId="7F904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B23E1B8">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涂文婷</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2A975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主任护师</w:t>
            </w:r>
          </w:p>
        </w:tc>
        <w:tc>
          <w:tcPr>
            <w:tcW w:w="1208" w:type="dxa"/>
            <w:tcBorders>
              <w:top w:val="single" w:color="auto" w:sz="4" w:space="0"/>
              <w:left w:val="single" w:color="auto" w:sz="4" w:space="0"/>
              <w:bottom w:val="single" w:color="auto" w:sz="4" w:space="0"/>
              <w:right w:val="single" w:color="auto" w:sz="4" w:space="0"/>
            </w:tcBorders>
            <w:vAlign w:val="center"/>
          </w:tcPr>
          <w:p w14:paraId="0A93265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临床护理</w:t>
            </w:r>
          </w:p>
        </w:tc>
        <w:tc>
          <w:tcPr>
            <w:tcW w:w="2030" w:type="dxa"/>
            <w:tcBorders>
              <w:top w:val="single" w:color="auto" w:sz="4" w:space="0"/>
              <w:left w:val="single" w:color="auto" w:sz="4" w:space="0"/>
              <w:bottom w:val="single" w:color="auto" w:sz="4" w:space="0"/>
              <w:right w:val="single" w:color="auto" w:sz="4" w:space="0"/>
            </w:tcBorders>
            <w:vAlign w:val="center"/>
          </w:tcPr>
          <w:p w14:paraId="4A32F39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浙江省温州医科大学附属第一医院</w:t>
            </w:r>
          </w:p>
        </w:tc>
        <w:tc>
          <w:tcPr>
            <w:tcW w:w="3658" w:type="dxa"/>
            <w:tcBorders>
              <w:top w:val="single" w:color="auto" w:sz="4" w:space="0"/>
              <w:left w:val="single" w:color="auto" w:sz="4" w:space="0"/>
              <w:bottom w:val="single" w:color="auto" w:sz="4" w:space="0"/>
              <w:right w:val="single" w:color="auto" w:sz="4" w:space="0"/>
            </w:tcBorders>
            <w:vAlign w:val="center"/>
          </w:tcPr>
          <w:p w14:paraId="1FB861E5">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6B540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5CFA65DE">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何佩佩</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0D22E5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0ED199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肾脏病护理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1A062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浙江大学医学院附属第一医院</w:t>
            </w:r>
          </w:p>
        </w:tc>
        <w:tc>
          <w:tcPr>
            <w:tcW w:w="3658" w:type="dxa"/>
            <w:tcBorders>
              <w:top w:val="single" w:color="auto" w:sz="4" w:space="0"/>
              <w:left w:val="single" w:color="auto" w:sz="4" w:space="0"/>
              <w:bottom w:val="single" w:color="auto" w:sz="4" w:space="0"/>
              <w:right w:val="single" w:color="auto" w:sz="4" w:space="0"/>
            </w:tcBorders>
          </w:tcPr>
          <w:p w14:paraId="7A38AD0F">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5708E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1129341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吴一平</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74C0E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主管护师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27BC0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肾脏病护理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72722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广西医科大学第一附属医院</w:t>
            </w:r>
          </w:p>
        </w:tc>
        <w:tc>
          <w:tcPr>
            <w:tcW w:w="3658" w:type="dxa"/>
            <w:tcBorders>
              <w:top w:val="single" w:color="auto" w:sz="4" w:space="0"/>
              <w:left w:val="single" w:color="auto" w:sz="4" w:space="0"/>
              <w:bottom w:val="single" w:color="auto" w:sz="4" w:space="0"/>
              <w:right w:val="single" w:color="auto" w:sz="4" w:space="0"/>
            </w:tcBorders>
          </w:tcPr>
          <w:p w14:paraId="208630BF">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1ACFE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B24B08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陈梅</w:t>
            </w:r>
          </w:p>
        </w:tc>
        <w:tc>
          <w:tcPr>
            <w:tcW w:w="1421" w:type="dxa"/>
            <w:tcBorders>
              <w:top w:val="single" w:color="auto" w:sz="4" w:space="0"/>
              <w:left w:val="single" w:color="auto" w:sz="4" w:space="0"/>
              <w:bottom w:val="single" w:color="auto" w:sz="4" w:space="0"/>
              <w:right w:val="single" w:color="auto" w:sz="4" w:space="0"/>
            </w:tcBorders>
            <w:vAlign w:val="center"/>
          </w:tcPr>
          <w:p w14:paraId="19955CD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副主任护师</w:t>
            </w:r>
          </w:p>
        </w:tc>
        <w:tc>
          <w:tcPr>
            <w:tcW w:w="1208" w:type="dxa"/>
            <w:tcBorders>
              <w:top w:val="single" w:color="auto" w:sz="4" w:space="0"/>
              <w:left w:val="single" w:color="auto" w:sz="4" w:space="0"/>
              <w:bottom w:val="single" w:color="auto" w:sz="4" w:space="0"/>
              <w:right w:val="single" w:color="auto" w:sz="4" w:space="0"/>
            </w:tcBorders>
            <w:vAlign w:val="center"/>
          </w:tcPr>
          <w:p w14:paraId="1217CBF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护理学</w:t>
            </w:r>
          </w:p>
        </w:tc>
        <w:tc>
          <w:tcPr>
            <w:tcW w:w="2030" w:type="dxa"/>
            <w:tcBorders>
              <w:top w:val="single" w:color="auto" w:sz="4" w:space="0"/>
              <w:left w:val="single" w:color="auto" w:sz="4" w:space="0"/>
              <w:bottom w:val="single" w:color="auto" w:sz="4" w:space="0"/>
              <w:right w:val="single" w:color="auto" w:sz="4" w:space="0"/>
            </w:tcBorders>
            <w:vAlign w:val="center"/>
          </w:tcPr>
          <w:p w14:paraId="35F7D7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tcPr>
          <w:p w14:paraId="0024B211">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00B08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347A466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龚妮容</w:t>
            </w:r>
          </w:p>
        </w:tc>
        <w:tc>
          <w:tcPr>
            <w:tcW w:w="1421" w:type="dxa"/>
            <w:tcBorders>
              <w:top w:val="single" w:color="auto" w:sz="4" w:space="0"/>
              <w:left w:val="single" w:color="auto" w:sz="4" w:space="0"/>
              <w:bottom w:val="single" w:color="auto" w:sz="4" w:space="0"/>
              <w:right w:val="single" w:color="auto" w:sz="4" w:space="0"/>
            </w:tcBorders>
            <w:vAlign w:val="center"/>
          </w:tcPr>
          <w:p w14:paraId="51EB660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主任护师/护士长</w:t>
            </w:r>
          </w:p>
        </w:tc>
        <w:tc>
          <w:tcPr>
            <w:tcW w:w="1208" w:type="dxa"/>
            <w:tcBorders>
              <w:top w:val="single" w:color="auto" w:sz="4" w:space="0"/>
              <w:left w:val="single" w:color="auto" w:sz="4" w:space="0"/>
              <w:bottom w:val="single" w:color="auto" w:sz="4" w:space="0"/>
              <w:right w:val="single" w:color="auto" w:sz="4" w:space="0"/>
            </w:tcBorders>
            <w:vAlign w:val="center"/>
          </w:tcPr>
          <w:p w14:paraId="4EB63CD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护理管理</w:t>
            </w:r>
          </w:p>
        </w:tc>
        <w:tc>
          <w:tcPr>
            <w:tcW w:w="2030" w:type="dxa"/>
            <w:tcBorders>
              <w:top w:val="single" w:color="auto" w:sz="4" w:space="0"/>
              <w:left w:val="single" w:color="auto" w:sz="4" w:space="0"/>
              <w:bottom w:val="single" w:color="auto" w:sz="4" w:space="0"/>
              <w:right w:val="single" w:color="auto" w:sz="4" w:space="0"/>
            </w:tcBorders>
            <w:vAlign w:val="center"/>
          </w:tcPr>
          <w:p w14:paraId="4048C83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南方医院肾内科</w:t>
            </w:r>
          </w:p>
        </w:tc>
        <w:tc>
          <w:tcPr>
            <w:tcW w:w="3658" w:type="dxa"/>
            <w:tcBorders>
              <w:top w:val="single" w:color="auto" w:sz="4" w:space="0"/>
              <w:left w:val="single" w:color="auto" w:sz="4" w:space="0"/>
              <w:bottom w:val="single" w:color="auto" w:sz="4" w:space="0"/>
              <w:right w:val="single" w:color="auto" w:sz="4" w:space="0"/>
            </w:tcBorders>
          </w:tcPr>
          <w:p w14:paraId="4335C417">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3827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F01C68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黎伟</w:t>
            </w:r>
          </w:p>
        </w:tc>
        <w:tc>
          <w:tcPr>
            <w:tcW w:w="1421" w:type="dxa"/>
            <w:tcBorders>
              <w:top w:val="single" w:color="auto" w:sz="4" w:space="0"/>
              <w:left w:val="single" w:color="auto" w:sz="4" w:space="0"/>
              <w:bottom w:val="single" w:color="auto" w:sz="4" w:space="0"/>
              <w:right w:val="single" w:color="auto" w:sz="4" w:space="0"/>
            </w:tcBorders>
            <w:vAlign w:val="center"/>
          </w:tcPr>
          <w:p w14:paraId="5229E64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主任医师/科主任</w:t>
            </w:r>
          </w:p>
        </w:tc>
        <w:tc>
          <w:tcPr>
            <w:tcW w:w="1208" w:type="dxa"/>
            <w:tcBorders>
              <w:top w:val="single" w:color="auto" w:sz="4" w:space="0"/>
              <w:left w:val="single" w:color="auto" w:sz="4" w:space="0"/>
              <w:bottom w:val="single" w:color="auto" w:sz="4" w:space="0"/>
              <w:right w:val="single" w:color="auto" w:sz="4" w:space="0"/>
            </w:tcBorders>
            <w:vAlign w:val="center"/>
          </w:tcPr>
          <w:p w14:paraId="2C7366AE">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vAlign w:val="center"/>
          </w:tcPr>
          <w:p w14:paraId="6236E43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广西医科大学第二附属医院</w:t>
            </w:r>
          </w:p>
        </w:tc>
        <w:tc>
          <w:tcPr>
            <w:tcW w:w="3658" w:type="dxa"/>
            <w:tcBorders>
              <w:top w:val="single" w:color="auto" w:sz="4" w:space="0"/>
              <w:left w:val="single" w:color="auto" w:sz="4" w:space="0"/>
              <w:bottom w:val="single" w:color="auto" w:sz="4" w:space="0"/>
              <w:right w:val="single" w:color="auto" w:sz="4" w:space="0"/>
            </w:tcBorders>
          </w:tcPr>
          <w:p w14:paraId="6EDD3AD6">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6A48D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F2DBD02">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李秋林</w:t>
            </w:r>
          </w:p>
        </w:tc>
        <w:tc>
          <w:tcPr>
            <w:tcW w:w="1421" w:type="dxa"/>
            <w:tcBorders>
              <w:top w:val="single" w:color="auto" w:sz="4" w:space="0"/>
              <w:left w:val="single" w:color="auto" w:sz="4" w:space="0"/>
              <w:bottom w:val="single" w:color="auto" w:sz="4" w:space="0"/>
              <w:right w:val="single" w:color="auto" w:sz="4" w:space="0"/>
            </w:tcBorders>
            <w:vAlign w:val="center"/>
          </w:tcPr>
          <w:p w14:paraId="28B8E7C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主治医师</w:t>
            </w:r>
          </w:p>
        </w:tc>
        <w:tc>
          <w:tcPr>
            <w:tcW w:w="1208" w:type="dxa"/>
            <w:tcBorders>
              <w:top w:val="single" w:color="auto" w:sz="4" w:space="0"/>
              <w:left w:val="single" w:color="auto" w:sz="4" w:space="0"/>
              <w:bottom w:val="single" w:color="auto" w:sz="4" w:space="0"/>
              <w:right w:val="single" w:color="auto" w:sz="4" w:space="0"/>
            </w:tcBorders>
            <w:vAlign w:val="center"/>
          </w:tcPr>
          <w:p w14:paraId="58A0359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vAlign w:val="center"/>
          </w:tcPr>
          <w:p w14:paraId="15342D6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tcPr>
          <w:p w14:paraId="0DBEC2EE">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46A1A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777050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甘剑光</w:t>
            </w:r>
          </w:p>
        </w:tc>
        <w:tc>
          <w:tcPr>
            <w:tcW w:w="1421" w:type="dxa"/>
            <w:tcBorders>
              <w:top w:val="single" w:color="auto" w:sz="4" w:space="0"/>
              <w:left w:val="single" w:color="auto" w:sz="4" w:space="0"/>
              <w:bottom w:val="single" w:color="auto" w:sz="4" w:space="0"/>
              <w:right w:val="single" w:color="auto" w:sz="4" w:space="0"/>
            </w:tcBorders>
            <w:vAlign w:val="center"/>
          </w:tcPr>
          <w:p w14:paraId="7C088F4B">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副主任医师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6F6E217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vAlign w:val="center"/>
          </w:tcPr>
          <w:p w14:paraId="6F06976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tcPr>
          <w:p w14:paraId="6AEAA3FA">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1B5A6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29579D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孟晓燕</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7B6F6F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副院长/主任医师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7D15E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4C96B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柳州市工人医院</w:t>
            </w:r>
          </w:p>
        </w:tc>
        <w:tc>
          <w:tcPr>
            <w:tcW w:w="3658" w:type="dxa"/>
            <w:tcBorders>
              <w:top w:val="single" w:color="auto" w:sz="4" w:space="0"/>
              <w:left w:val="single" w:color="auto" w:sz="4" w:space="0"/>
              <w:bottom w:val="single" w:color="auto" w:sz="4" w:space="0"/>
              <w:right w:val="single" w:color="auto" w:sz="4" w:space="0"/>
            </w:tcBorders>
          </w:tcPr>
          <w:p w14:paraId="4CCE247B">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63856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5ECA338">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陆世颖</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123E8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038C6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3B9BF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广西壮族自治区人民医院</w:t>
            </w:r>
          </w:p>
        </w:tc>
        <w:tc>
          <w:tcPr>
            <w:tcW w:w="3658" w:type="dxa"/>
            <w:tcBorders>
              <w:top w:val="single" w:color="auto" w:sz="4" w:space="0"/>
              <w:left w:val="single" w:color="auto" w:sz="4" w:space="0"/>
              <w:bottom w:val="single" w:color="auto" w:sz="4" w:space="0"/>
              <w:right w:val="single" w:color="auto" w:sz="4" w:space="0"/>
            </w:tcBorders>
          </w:tcPr>
          <w:p w14:paraId="68536CE4">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3D1CD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11911A6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吕蔚</w:t>
            </w:r>
          </w:p>
        </w:tc>
        <w:tc>
          <w:tcPr>
            <w:tcW w:w="1421" w:type="dxa"/>
            <w:tcBorders>
              <w:top w:val="single" w:color="auto" w:sz="4" w:space="0"/>
              <w:left w:val="single" w:color="auto" w:sz="4" w:space="0"/>
              <w:bottom w:val="single" w:color="auto" w:sz="4" w:space="0"/>
              <w:right w:val="single" w:color="auto" w:sz="4" w:space="0"/>
            </w:tcBorders>
            <w:vAlign w:val="center"/>
          </w:tcPr>
          <w:p w14:paraId="0E1F1ABF">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主管护师</w:t>
            </w:r>
          </w:p>
        </w:tc>
        <w:tc>
          <w:tcPr>
            <w:tcW w:w="1208" w:type="dxa"/>
            <w:tcBorders>
              <w:top w:val="single" w:color="auto" w:sz="4" w:space="0"/>
              <w:left w:val="single" w:color="auto" w:sz="4" w:space="0"/>
              <w:bottom w:val="single" w:color="auto" w:sz="4" w:space="0"/>
              <w:right w:val="single" w:color="auto" w:sz="4" w:space="0"/>
            </w:tcBorders>
            <w:vAlign w:val="center"/>
          </w:tcPr>
          <w:p w14:paraId="127B947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护理学</w:t>
            </w:r>
          </w:p>
        </w:tc>
        <w:tc>
          <w:tcPr>
            <w:tcW w:w="2030" w:type="dxa"/>
            <w:tcBorders>
              <w:top w:val="single" w:color="auto" w:sz="4" w:space="0"/>
              <w:left w:val="single" w:color="auto" w:sz="4" w:space="0"/>
              <w:bottom w:val="single" w:color="auto" w:sz="4" w:space="0"/>
              <w:right w:val="single" w:color="auto" w:sz="4" w:space="0"/>
            </w:tcBorders>
            <w:vAlign w:val="center"/>
          </w:tcPr>
          <w:p w14:paraId="7CFD715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tcPr>
          <w:p w14:paraId="1EC9A58D">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078CE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9FD6FD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阮开娇</w:t>
            </w:r>
          </w:p>
        </w:tc>
        <w:tc>
          <w:tcPr>
            <w:tcW w:w="1421" w:type="dxa"/>
            <w:tcBorders>
              <w:top w:val="single" w:color="auto" w:sz="4" w:space="0"/>
              <w:left w:val="single" w:color="auto" w:sz="4" w:space="0"/>
              <w:bottom w:val="single" w:color="auto" w:sz="4" w:space="0"/>
              <w:right w:val="single" w:color="auto" w:sz="4" w:space="0"/>
            </w:tcBorders>
            <w:vAlign w:val="center"/>
          </w:tcPr>
          <w:p w14:paraId="7550E36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主管护师</w:t>
            </w:r>
          </w:p>
        </w:tc>
        <w:tc>
          <w:tcPr>
            <w:tcW w:w="1208" w:type="dxa"/>
            <w:tcBorders>
              <w:top w:val="single" w:color="auto" w:sz="4" w:space="0"/>
              <w:left w:val="single" w:color="auto" w:sz="4" w:space="0"/>
              <w:bottom w:val="single" w:color="auto" w:sz="4" w:space="0"/>
              <w:right w:val="single" w:color="auto" w:sz="4" w:space="0"/>
            </w:tcBorders>
            <w:vAlign w:val="center"/>
          </w:tcPr>
          <w:p w14:paraId="2E9DFB9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护理学</w:t>
            </w:r>
          </w:p>
        </w:tc>
        <w:tc>
          <w:tcPr>
            <w:tcW w:w="2030" w:type="dxa"/>
            <w:tcBorders>
              <w:top w:val="single" w:color="auto" w:sz="4" w:space="0"/>
              <w:left w:val="single" w:color="auto" w:sz="4" w:space="0"/>
              <w:bottom w:val="single" w:color="auto" w:sz="4" w:space="0"/>
              <w:right w:val="single" w:color="auto" w:sz="4" w:space="0"/>
            </w:tcBorders>
            <w:vAlign w:val="center"/>
          </w:tcPr>
          <w:p w14:paraId="79987D1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bidi="ar"/>
              </w:rPr>
              <w:t>玉林市第一人民医院</w:t>
            </w:r>
          </w:p>
        </w:tc>
        <w:tc>
          <w:tcPr>
            <w:tcW w:w="3658" w:type="dxa"/>
            <w:tcBorders>
              <w:top w:val="single" w:color="auto" w:sz="4" w:space="0"/>
              <w:left w:val="single" w:color="auto" w:sz="4" w:space="0"/>
              <w:bottom w:val="single" w:color="auto" w:sz="4" w:space="0"/>
              <w:right w:val="single" w:color="auto" w:sz="4" w:space="0"/>
            </w:tcBorders>
          </w:tcPr>
          <w:p w14:paraId="7AC0B947">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7082B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F52D524">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苏文琼</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77C79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E0D0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护理学</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14AD7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广西壮族自治区桂东人民医院</w:t>
            </w:r>
          </w:p>
        </w:tc>
        <w:tc>
          <w:tcPr>
            <w:tcW w:w="3658" w:type="dxa"/>
            <w:tcBorders>
              <w:top w:val="single" w:color="auto" w:sz="4" w:space="0"/>
              <w:left w:val="single" w:color="auto" w:sz="4" w:space="0"/>
              <w:bottom w:val="single" w:color="auto" w:sz="4" w:space="0"/>
              <w:right w:val="single" w:color="auto" w:sz="4" w:space="0"/>
            </w:tcBorders>
          </w:tcPr>
          <w:p w14:paraId="5DCBDA4E">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4925A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62575D92">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许雪芳</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4CAD8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9470D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75E8C5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钦州市第一人民医院</w:t>
            </w:r>
          </w:p>
        </w:tc>
        <w:tc>
          <w:tcPr>
            <w:tcW w:w="3658" w:type="dxa"/>
            <w:tcBorders>
              <w:top w:val="single" w:color="auto" w:sz="4" w:space="0"/>
              <w:left w:val="single" w:color="auto" w:sz="4" w:space="0"/>
              <w:bottom w:val="single" w:color="auto" w:sz="4" w:space="0"/>
              <w:right w:val="single" w:color="auto" w:sz="4" w:space="0"/>
            </w:tcBorders>
          </w:tcPr>
          <w:p w14:paraId="7DF8B431">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r>
              <w:rPr>
                <w:rFonts w:hint="eastAsia" w:cs="仿宋_GB2312"/>
                <w:sz w:val="24"/>
                <w:lang w:bidi="ar"/>
              </w:rPr>
              <w:t>参与标准文本及编制说明的编写；组织开展标准征求意见会；对标准实施情况进行总结分析，不断对标准提出修正意见</w:t>
            </w:r>
          </w:p>
        </w:tc>
      </w:tr>
      <w:tr w14:paraId="7DDD4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44BEAE8">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龚乐为</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2F7FAF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50761C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5E372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南方医科大学第八附属医院</w:t>
            </w:r>
          </w:p>
        </w:tc>
        <w:tc>
          <w:tcPr>
            <w:tcW w:w="3658" w:type="dxa"/>
            <w:tcBorders>
              <w:top w:val="single" w:color="auto" w:sz="4" w:space="0"/>
              <w:left w:val="single" w:color="auto" w:sz="4" w:space="0"/>
              <w:bottom w:val="single" w:color="auto" w:sz="4" w:space="0"/>
              <w:right w:val="single" w:color="auto" w:sz="4" w:space="0"/>
            </w:tcBorders>
          </w:tcPr>
          <w:p w14:paraId="03D42D5F">
            <w:pPr>
              <w:keepNext w:val="0"/>
              <w:keepLines w:val="0"/>
              <w:suppressLineNumbers w:val="0"/>
              <w:spacing w:before="0" w:beforeAutospacing="0" w:after="0" w:afterAutospacing="0"/>
              <w:ind w:left="0" w:right="0" w:firstLine="240" w:firstLineChars="100"/>
              <w:jc w:val="left"/>
              <w:rPr>
                <w:rFonts w:hint="default" w:ascii="Calibri" w:hAnsi="Calibri" w:cs="Times New Roman"/>
              </w:rPr>
            </w:pPr>
            <w:bookmarkStart w:id="0" w:name="OLE_LINK5"/>
            <w:r>
              <w:rPr>
                <w:rFonts w:hint="eastAsia" w:cs="仿宋_GB2312"/>
                <w:sz w:val="24"/>
                <w:lang w:bidi="ar"/>
              </w:rPr>
              <w:t>参与标准文本及编制说明的编写；组织开展标准征求意见会；对标准实施情况进行总结分析，不断对标准提出修正意见</w:t>
            </w:r>
            <w:bookmarkEnd w:id="0"/>
          </w:p>
        </w:tc>
      </w:tr>
      <w:tr w14:paraId="54B9D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2D4303B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徐素娟</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7EF23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2DC2E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282042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贵港市人民医院</w:t>
            </w:r>
          </w:p>
        </w:tc>
        <w:tc>
          <w:tcPr>
            <w:tcW w:w="3658" w:type="dxa"/>
            <w:tcBorders>
              <w:top w:val="single" w:color="auto" w:sz="4" w:space="0"/>
              <w:left w:val="single" w:color="auto" w:sz="4" w:space="0"/>
              <w:bottom w:val="single" w:color="auto" w:sz="4" w:space="0"/>
              <w:right w:val="single" w:color="auto" w:sz="4" w:space="0"/>
            </w:tcBorders>
          </w:tcPr>
          <w:p w14:paraId="78AE6085">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0D0C0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773D33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洪波</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317ADD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519A7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2E5C3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赣南医科大学第一附属医院</w:t>
            </w:r>
          </w:p>
        </w:tc>
        <w:tc>
          <w:tcPr>
            <w:tcW w:w="3658" w:type="dxa"/>
            <w:tcBorders>
              <w:top w:val="single" w:color="auto" w:sz="4" w:space="0"/>
              <w:left w:val="single" w:color="auto" w:sz="4" w:space="0"/>
              <w:bottom w:val="single" w:color="auto" w:sz="4" w:space="0"/>
              <w:right w:val="single" w:color="auto" w:sz="4" w:space="0"/>
            </w:tcBorders>
          </w:tcPr>
          <w:p w14:paraId="23DA6972">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157A4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6B4742D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王洁</w:t>
            </w:r>
          </w:p>
        </w:tc>
        <w:tc>
          <w:tcPr>
            <w:tcW w:w="1421" w:type="dxa"/>
            <w:tcBorders>
              <w:top w:val="single" w:color="auto" w:sz="4" w:space="0"/>
              <w:left w:val="single" w:color="auto" w:sz="4" w:space="0"/>
              <w:bottom w:val="single" w:color="auto" w:sz="4" w:space="0"/>
              <w:right w:val="single" w:color="auto" w:sz="4" w:space="0"/>
            </w:tcBorders>
            <w:vAlign w:val="center"/>
          </w:tcPr>
          <w:p w14:paraId="27DB47C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科主任/主任医师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225DA73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vAlign w:val="center"/>
          </w:tcPr>
          <w:p w14:paraId="7DE591F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右江民族医学院附院</w:t>
            </w:r>
          </w:p>
        </w:tc>
        <w:tc>
          <w:tcPr>
            <w:tcW w:w="3658" w:type="dxa"/>
            <w:tcBorders>
              <w:top w:val="single" w:color="auto" w:sz="4" w:space="0"/>
              <w:left w:val="single" w:color="auto" w:sz="4" w:space="0"/>
              <w:bottom w:val="single" w:color="auto" w:sz="4" w:space="0"/>
              <w:right w:val="single" w:color="auto" w:sz="4" w:space="0"/>
            </w:tcBorders>
          </w:tcPr>
          <w:p w14:paraId="6B1EBE5F">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02768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CBA0C6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易富敢</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5C025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科副主任/副主任医师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68B2F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肾脏内科</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06A1A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玉林市红十字会医院</w:t>
            </w:r>
          </w:p>
        </w:tc>
        <w:tc>
          <w:tcPr>
            <w:tcW w:w="3658" w:type="dxa"/>
            <w:tcBorders>
              <w:top w:val="single" w:color="auto" w:sz="4" w:space="0"/>
              <w:left w:val="single" w:color="auto" w:sz="4" w:space="0"/>
              <w:bottom w:val="single" w:color="auto" w:sz="4" w:space="0"/>
              <w:right w:val="single" w:color="auto" w:sz="4" w:space="0"/>
            </w:tcBorders>
          </w:tcPr>
          <w:p w14:paraId="24D5EF89">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7A968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1D6BE672">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王静</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4F746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科护士长/主管护师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EBA49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肾脏病护理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0B90F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南昌大学第一附属医院</w:t>
            </w:r>
          </w:p>
        </w:tc>
        <w:tc>
          <w:tcPr>
            <w:tcW w:w="3658" w:type="dxa"/>
            <w:tcBorders>
              <w:top w:val="single" w:color="auto" w:sz="4" w:space="0"/>
              <w:left w:val="single" w:color="auto" w:sz="4" w:space="0"/>
              <w:bottom w:val="single" w:color="auto" w:sz="4" w:space="0"/>
              <w:right w:val="single" w:color="auto" w:sz="4" w:space="0"/>
            </w:tcBorders>
          </w:tcPr>
          <w:p w14:paraId="527F596D">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37542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13D519D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曹芳</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04BF91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552FC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护理学</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41A3B6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福州大学附属省立医院</w:t>
            </w:r>
          </w:p>
        </w:tc>
        <w:tc>
          <w:tcPr>
            <w:tcW w:w="3658" w:type="dxa"/>
            <w:tcBorders>
              <w:top w:val="single" w:color="auto" w:sz="4" w:space="0"/>
              <w:left w:val="single" w:color="auto" w:sz="4" w:space="0"/>
              <w:bottom w:val="single" w:color="auto" w:sz="4" w:space="0"/>
              <w:right w:val="single" w:color="auto" w:sz="4" w:space="0"/>
            </w:tcBorders>
          </w:tcPr>
          <w:p w14:paraId="2986592B">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0B56C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2B3671C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孙维文</w:t>
            </w:r>
          </w:p>
        </w:tc>
        <w:tc>
          <w:tcPr>
            <w:tcW w:w="1421" w:type="dxa"/>
            <w:tcBorders>
              <w:top w:val="single" w:color="auto" w:sz="4" w:space="0"/>
              <w:left w:val="single" w:color="auto" w:sz="4" w:space="0"/>
              <w:bottom w:val="single" w:color="auto" w:sz="4" w:space="0"/>
              <w:right w:val="single" w:color="auto" w:sz="4" w:space="0"/>
            </w:tcBorders>
            <w:vAlign w:val="center"/>
          </w:tcPr>
          <w:p w14:paraId="62B6CA6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vAlign w:val="center"/>
          </w:tcPr>
          <w:p w14:paraId="197FFB0F">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肾内科护理管理</w:t>
            </w:r>
          </w:p>
        </w:tc>
        <w:tc>
          <w:tcPr>
            <w:tcW w:w="2030" w:type="dxa"/>
            <w:tcBorders>
              <w:top w:val="single" w:color="auto" w:sz="4" w:space="0"/>
              <w:left w:val="single" w:color="auto" w:sz="4" w:space="0"/>
              <w:bottom w:val="single" w:color="auto" w:sz="4" w:space="0"/>
              <w:right w:val="single" w:color="auto" w:sz="4" w:space="0"/>
            </w:tcBorders>
            <w:vAlign w:val="center"/>
          </w:tcPr>
          <w:p w14:paraId="5DCF2A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瑞安市人民医院</w:t>
            </w:r>
          </w:p>
        </w:tc>
        <w:tc>
          <w:tcPr>
            <w:tcW w:w="3658" w:type="dxa"/>
            <w:tcBorders>
              <w:top w:val="single" w:color="auto" w:sz="4" w:space="0"/>
              <w:left w:val="single" w:color="auto" w:sz="4" w:space="0"/>
              <w:bottom w:val="single" w:color="auto" w:sz="4" w:space="0"/>
              <w:right w:val="single" w:color="auto" w:sz="4" w:space="0"/>
            </w:tcBorders>
          </w:tcPr>
          <w:p w14:paraId="6FAE433F">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31FF3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644BCCD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朱虹</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4AFF0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53E32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护理管理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2E153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丽水市中心医院</w:t>
            </w:r>
          </w:p>
        </w:tc>
        <w:tc>
          <w:tcPr>
            <w:tcW w:w="3658" w:type="dxa"/>
            <w:tcBorders>
              <w:top w:val="single" w:color="auto" w:sz="4" w:space="0"/>
              <w:left w:val="single" w:color="auto" w:sz="4" w:space="0"/>
              <w:bottom w:val="single" w:color="auto" w:sz="4" w:space="0"/>
              <w:right w:val="single" w:color="auto" w:sz="4" w:space="0"/>
            </w:tcBorders>
          </w:tcPr>
          <w:p w14:paraId="7E80E5DD">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6C95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2AFFC1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项新</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64661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科主任/主任医师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AA29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肾内科</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0BDDD0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广西壮族自治区民族医院</w:t>
            </w:r>
          </w:p>
        </w:tc>
        <w:tc>
          <w:tcPr>
            <w:tcW w:w="3658" w:type="dxa"/>
            <w:tcBorders>
              <w:top w:val="single" w:color="auto" w:sz="4" w:space="0"/>
              <w:left w:val="single" w:color="auto" w:sz="4" w:space="0"/>
              <w:bottom w:val="single" w:color="auto" w:sz="4" w:space="0"/>
              <w:right w:val="single" w:color="auto" w:sz="4" w:space="0"/>
            </w:tcBorders>
          </w:tcPr>
          <w:p w14:paraId="57A1931C">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5F4E2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626A41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朱征西</w:t>
            </w:r>
          </w:p>
        </w:tc>
        <w:tc>
          <w:tcPr>
            <w:tcW w:w="1421" w:type="dxa"/>
            <w:tcBorders>
              <w:top w:val="single" w:color="auto" w:sz="4" w:space="0"/>
              <w:left w:val="single" w:color="auto" w:sz="4" w:space="0"/>
              <w:bottom w:val="single" w:color="auto" w:sz="4" w:space="0"/>
              <w:right w:val="single" w:color="auto" w:sz="4" w:space="0"/>
            </w:tcBorders>
            <w:vAlign w:val="center"/>
          </w:tcPr>
          <w:p w14:paraId="3BC6F568">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b/>
                <w:bCs/>
                <w:sz w:val="24"/>
                <w:szCs w:val="24"/>
              </w:rPr>
            </w:pPr>
            <w:r>
              <w:rPr>
                <w:rFonts w:hint="eastAsia" w:ascii="仿宋_GB2312" w:hAnsi="仿宋_GB2312" w:eastAsia="仿宋_GB2312" w:cs="仿宋_GB2312"/>
                <w:sz w:val="24"/>
                <w:szCs w:val="24"/>
              </w:rPr>
              <w:t>副院长</w:t>
            </w:r>
            <w:r>
              <w:rPr>
                <w:rFonts w:hint="eastAsia" w:ascii="仿宋_GB2312" w:hAnsi="仿宋_GB2312" w:eastAsia="仿宋_GB2312" w:cs="仿宋_GB2312"/>
                <w:sz w:val="24"/>
                <w:szCs w:val="24"/>
                <w:lang w:val="en-US" w:eastAsia="zh-CN"/>
              </w:rPr>
              <w:t>/</w:t>
            </w:r>
            <w:r>
              <w:rPr>
                <w:rFonts w:hint="eastAsia" w:ascii="仿宋_GB2312" w:hAnsi="仿宋_GB2312" w:eastAsia="仿宋_GB2312" w:cs="仿宋_GB2312"/>
                <w:sz w:val="24"/>
                <w:szCs w:val="24"/>
              </w:rPr>
              <w:t>副主任医师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1DF03D5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肾内科</w:t>
            </w:r>
          </w:p>
        </w:tc>
        <w:tc>
          <w:tcPr>
            <w:tcW w:w="2030" w:type="dxa"/>
            <w:tcBorders>
              <w:top w:val="single" w:color="auto" w:sz="4" w:space="0"/>
              <w:left w:val="single" w:color="auto" w:sz="4" w:space="0"/>
              <w:bottom w:val="single" w:color="auto" w:sz="4" w:space="0"/>
              <w:right w:val="single" w:color="auto" w:sz="4" w:space="0"/>
            </w:tcBorders>
            <w:vAlign w:val="center"/>
          </w:tcPr>
          <w:p w14:paraId="7BEE5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百色市人民医院</w:t>
            </w:r>
          </w:p>
        </w:tc>
        <w:tc>
          <w:tcPr>
            <w:tcW w:w="3658" w:type="dxa"/>
            <w:tcBorders>
              <w:top w:val="single" w:color="auto" w:sz="4" w:space="0"/>
              <w:left w:val="single" w:color="auto" w:sz="4" w:space="0"/>
              <w:bottom w:val="single" w:color="auto" w:sz="4" w:space="0"/>
              <w:right w:val="single" w:color="auto" w:sz="4" w:space="0"/>
            </w:tcBorders>
          </w:tcPr>
          <w:p w14:paraId="7CEF85DD">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067EE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412778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王谨</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1855A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护士长/主管护师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0E156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肾内科护理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3B594B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中山市中医院</w:t>
            </w:r>
          </w:p>
        </w:tc>
        <w:tc>
          <w:tcPr>
            <w:tcW w:w="3658" w:type="dxa"/>
            <w:tcBorders>
              <w:top w:val="single" w:color="auto" w:sz="4" w:space="0"/>
              <w:left w:val="single" w:color="auto" w:sz="4" w:space="0"/>
              <w:bottom w:val="single" w:color="auto" w:sz="4" w:space="0"/>
              <w:right w:val="single" w:color="auto" w:sz="4" w:space="0"/>
            </w:tcBorders>
          </w:tcPr>
          <w:p w14:paraId="1C047348">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365BD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48B2649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黄冠美</w:t>
            </w:r>
          </w:p>
        </w:tc>
        <w:tc>
          <w:tcPr>
            <w:tcW w:w="1421" w:type="dxa"/>
            <w:tcBorders>
              <w:top w:val="single" w:color="auto" w:sz="4" w:space="0"/>
              <w:left w:val="single" w:color="auto" w:sz="4" w:space="0"/>
              <w:bottom w:val="single" w:color="auto" w:sz="4" w:space="0"/>
              <w:right w:val="single" w:color="auto" w:sz="4" w:space="0"/>
            </w:tcBorders>
            <w:vAlign w:val="center"/>
          </w:tcPr>
          <w:p w14:paraId="55FB0DF0">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副主任医师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28903CD9">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肾脏病</w:t>
            </w:r>
          </w:p>
        </w:tc>
        <w:tc>
          <w:tcPr>
            <w:tcW w:w="2030" w:type="dxa"/>
            <w:tcBorders>
              <w:top w:val="single" w:color="auto" w:sz="4" w:space="0"/>
              <w:left w:val="single" w:color="auto" w:sz="4" w:space="0"/>
              <w:bottom w:val="single" w:color="auto" w:sz="4" w:space="0"/>
              <w:right w:val="single" w:color="auto" w:sz="4" w:space="0"/>
            </w:tcBorders>
            <w:vAlign w:val="center"/>
          </w:tcPr>
          <w:p w14:paraId="490875D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北海市第二人民医院</w:t>
            </w:r>
          </w:p>
        </w:tc>
        <w:tc>
          <w:tcPr>
            <w:tcW w:w="3658" w:type="dxa"/>
            <w:tcBorders>
              <w:top w:val="single" w:color="auto" w:sz="4" w:space="0"/>
              <w:left w:val="single" w:color="auto" w:sz="4" w:space="0"/>
              <w:bottom w:val="single" w:color="auto" w:sz="4" w:space="0"/>
              <w:right w:val="single" w:color="auto" w:sz="4" w:space="0"/>
            </w:tcBorders>
          </w:tcPr>
          <w:p w14:paraId="4D9E9AF3">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7DA66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2BC8D22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赵璐</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4BD7D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64DA98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护理专业</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1CCFA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玉林市红十字会医院</w:t>
            </w:r>
          </w:p>
        </w:tc>
        <w:tc>
          <w:tcPr>
            <w:tcW w:w="3658" w:type="dxa"/>
            <w:tcBorders>
              <w:top w:val="single" w:color="auto" w:sz="4" w:space="0"/>
              <w:left w:val="single" w:color="auto" w:sz="4" w:space="0"/>
              <w:bottom w:val="single" w:color="auto" w:sz="4" w:space="0"/>
              <w:right w:val="single" w:color="auto" w:sz="4" w:space="0"/>
            </w:tcBorders>
          </w:tcPr>
          <w:p w14:paraId="54F31753">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6EA54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E11A042">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文玉先</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6BD86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副护士长/副主任护师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25EE9E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7C0B0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桂林医科大学第一附属医院</w:t>
            </w:r>
          </w:p>
        </w:tc>
        <w:tc>
          <w:tcPr>
            <w:tcW w:w="3658" w:type="dxa"/>
            <w:tcBorders>
              <w:top w:val="single" w:color="auto" w:sz="4" w:space="0"/>
              <w:left w:val="single" w:color="auto" w:sz="4" w:space="0"/>
              <w:bottom w:val="single" w:color="auto" w:sz="4" w:space="0"/>
              <w:right w:val="single" w:color="auto" w:sz="4" w:space="0"/>
            </w:tcBorders>
          </w:tcPr>
          <w:p w14:paraId="1E409195">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476C0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88A0AC2">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严笛芸</w:t>
            </w:r>
          </w:p>
        </w:tc>
        <w:tc>
          <w:tcPr>
            <w:tcW w:w="1421" w:type="dxa"/>
            <w:tcBorders>
              <w:top w:val="single" w:color="auto" w:sz="4" w:space="0"/>
              <w:left w:val="single" w:color="auto" w:sz="4" w:space="0"/>
              <w:bottom w:val="single" w:color="auto" w:sz="4" w:space="0"/>
              <w:right w:val="single" w:color="auto" w:sz="4" w:space="0"/>
            </w:tcBorders>
            <w:vAlign w:val="center"/>
          </w:tcPr>
          <w:p w14:paraId="2A8B6AC4">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护士长/主管护师</w:t>
            </w:r>
          </w:p>
        </w:tc>
        <w:tc>
          <w:tcPr>
            <w:tcW w:w="1208" w:type="dxa"/>
            <w:tcBorders>
              <w:top w:val="single" w:color="auto" w:sz="4" w:space="0"/>
              <w:left w:val="single" w:color="auto" w:sz="4" w:space="0"/>
              <w:bottom w:val="single" w:color="auto" w:sz="4" w:space="0"/>
              <w:right w:val="single" w:color="auto" w:sz="4" w:space="0"/>
            </w:tcBorders>
            <w:vAlign w:val="center"/>
          </w:tcPr>
          <w:p w14:paraId="3729BD3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vAlign w:val="center"/>
          </w:tcPr>
          <w:p w14:paraId="299476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广西柳钢医疗有限公司医院</w:t>
            </w:r>
          </w:p>
        </w:tc>
        <w:tc>
          <w:tcPr>
            <w:tcW w:w="3658" w:type="dxa"/>
            <w:tcBorders>
              <w:top w:val="single" w:color="auto" w:sz="4" w:space="0"/>
              <w:left w:val="single" w:color="auto" w:sz="4" w:space="0"/>
              <w:bottom w:val="single" w:color="auto" w:sz="4" w:space="0"/>
              <w:right w:val="single" w:color="auto" w:sz="4" w:space="0"/>
            </w:tcBorders>
          </w:tcPr>
          <w:p w14:paraId="2837EAA3">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794A0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30DE3F20">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李奕龙</w:t>
            </w:r>
          </w:p>
        </w:tc>
        <w:tc>
          <w:tcPr>
            <w:tcW w:w="1421" w:type="dxa"/>
            <w:tcBorders>
              <w:top w:val="single" w:color="auto" w:sz="4" w:space="0"/>
              <w:left w:val="single" w:color="auto" w:sz="4" w:space="0"/>
              <w:bottom w:val="single" w:color="auto" w:sz="4" w:space="0"/>
              <w:right w:val="single" w:color="auto" w:sz="4" w:space="0"/>
            </w:tcBorders>
            <w:vAlign w:val="center"/>
          </w:tcPr>
          <w:p w14:paraId="5F2D094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科主任/主任医师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2ED7111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肾内科</w:t>
            </w:r>
          </w:p>
        </w:tc>
        <w:tc>
          <w:tcPr>
            <w:tcW w:w="2030" w:type="dxa"/>
            <w:tcBorders>
              <w:top w:val="single" w:color="auto" w:sz="4" w:space="0"/>
              <w:left w:val="single" w:color="auto" w:sz="4" w:space="0"/>
              <w:bottom w:val="single" w:color="auto" w:sz="4" w:space="0"/>
              <w:right w:val="single" w:color="auto" w:sz="4" w:space="0"/>
            </w:tcBorders>
            <w:vAlign w:val="center"/>
          </w:tcPr>
          <w:p w14:paraId="5C7131F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博白县人民医院</w:t>
            </w:r>
          </w:p>
        </w:tc>
        <w:tc>
          <w:tcPr>
            <w:tcW w:w="3658" w:type="dxa"/>
            <w:tcBorders>
              <w:top w:val="single" w:color="auto" w:sz="4" w:space="0"/>
              <w:left w:val="single" w:color="auto" w:sz="4" w:space="0"/>
              <w:bottom w:val="single" w:color="auto" w:sz="4" w:space="0"/>
              <w:right w:val="single" w:color="auto" w:sz="4" w:space="0"/>
            </w:tcBorders>
          </w:tcPr>
          <w:p w14:paraId="4BE27A42">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6E15D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AE2A07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余坤</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6FA31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3BDA5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6DFCBA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柳州市人民医院</w:t>
            </w:r>
          </w:p>
        </w:tc>
        <w:tc>
          <w:tcPr>
            <w:tcW w:w="3658" w:type="dxa"/>
            <w:tcBorders>
              <w:top w:val="single" w:color="auto" w:sz="4" w:space="0"/>
              <w:left w:val="single" w:color="auto" w:sz="4" w:space="0"/>
              <w:bottom w:val="single" w:color="auto" w:sz="4" w:space="0"/>
              <w:right w:val="single" w:color="auto" w:sz="4" w:space="0"/>
            </w:tcBorders>
          </w:tcPr>
          <w:p w14:paraId="4F498804">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227A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0A5336C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宋文玉</w:t>
            </w:r>
          </w:p>
        </w:tc>
        <w:tc>
          <w:tcPr>
            <w:tcW w:w="1421" w:type="dxa"/>
            <w:tcBorders>
              <w:top w:val="single" w:color="auto" w:sz="4" w:space="0"/>
              <w:left w:val="single" w:color="auto" w:sz="4" w:space="0"/>
              <w:bottom w:val="single" w:color="auto" w:sz="4" w:space="0"/>
              <w:right w:val="single" w:color="auto" w:sz="4" w:space="0"/>
            </w:tcBorders>
            <w:vAlign w:val="center"/>
          </w:tcPr>
          <w:p w14:paraId="08B6F21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副主任医师</w:t>
            </w:r>
          </w:p>
        </w:tc>
        <w:tc>
          <w:tcPr>
            <w:tcW w:w="1208" w:type="dxa"/>
            <w:tcBorders>
              <w:top w:val="single" w:color="auto" w:sz="4" w:space="0"/>
              <w:left w:val="single" w:color="auto" w:sz="4" w:space="0"/>
              <w:bottom w:val="single" w:color="auto" w:sz="4" w:space="0"/>
              <w:right w:val="single" w:color="auto" w:sz="4" w:space="0"/>
            </w:tcBorders>
            <w:vAlign w:val="center"/>
          </w:tcPr>
          <w:p w14:paraId="1297ECFB">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肾脏病</w:t>
            </w:r>
          </w:p>
        </w:tc>
        <w:tc>
          <w:tcPr>
            <w:tcW w:w="2030" w:type="dxa"/>
            <w:tcBorders>
              <w:top w:val="single" w:color="auto" w:sz="4" w:space="0"/>
              <w:left w:val="single" w:color="auto" w:sz="4" w:space="0"/>
              <w:bottom w:val="single" w:color="auto" w:sz="4" w:space="0"/>
              <w:right w:val="single" w:color="auto" w:sz="4" w:space="0"/>
            </w:tcBorders>
            <w:vAlign w:val="center"/>
          </w:tcPr>
          <w:p w14:paraId="4A8E966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贵州医科大学附属医院</w:t>
            </w:r>
          </w:p>
        </w:tc>
        <w:tc>
          <w:tcPr>
            <w:tcW w:w="3658" w:type="dxa"/>
            <w:tcBorders>
              <w:top w:val="single" w:color="auto" w:sz="4" w:space="0"/>
              <w:left w:val="single" w:color="auto" w:sz="4" w:space="0"/>
              <w:bottom w:val="single" w:color="auto" w:sz="4" w:space="0"/>
              <w:right w:val="single" w:color="auto" w:sz="4" w:space="0"/>
            </w:tcBorders>
          </w:tcPr>
          <w:p w14:paraId="66419891">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69D09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1A9EF900">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刘娥</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52049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741875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718D0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广西中医药大学第一附属医院</w:t>
            </w:r>
          </w:p>
        </w:tc>
        <w:tc>
          <w:tcPr>
            <w:tcW w:w="3658" w:type="dxa"/>
            <w:tcBorders>
              <w:top w:val="single" w:color="auto" w:sz="4" w:space="0"/>
              <w:left w:val="single" w:color="auto" w:sz="4" w:space="0"/>
              <w:bottom w:val="single" w:color="auto" w:sz="4" w:space="0"/>
              <w:right w:val="single" w:color="auto" w:sz="4" w:space="0"/>
            </w:tcBorders>
          </w:tcPr>
          <w:p w14:paraId="0F973066">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r w14:paraId="2E5DD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96" w:type="dxa"/>
            <w:tcBorders>
              <w:top w:val="single" w:color="auto" w:sz="4" w:space="0"/>
              <w:left w:val="single" w:color="auto" w:sz="4" w:space="0"/>
              <w:bottom w:val="single" w:color="auto" w:sz="4" w:space="0"/>
              <w:right w:val="single" w:color="auto" w:sz="4" w:space="0"/>
            </w:tcBorders>
            <w:vAlign w:val="center"/>
          </w:tcPr>
          <w:p w14:paraId="7F8FFD2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王媚</w:t>
            </w:r>
          </w:p>
        </w:tc>
        <w:tc>
          <w:tcPr>
            <w:tcW w:w="1421" w:type="dxa"/>
            <w:tcBorders>
              <w:top w:val="single" w:color="auto" w:sz="4" w:space="0"/>
              <w:left w:val="single" w:color="auto" w:sz="4" w:space="0"/>
              <w:bottom w:val="single" w:color="auto" w:sz="4" w:space="0"/>
              <w:right w:val="single" w:color="auto" w:sz="4" w:space="0"/>
            </w:tcBorders>
            <w:shd w:val="clear" w:color="auto" w:fill="auto"/>
            <w:vAlign w:val="center"/>
          </w:tcPr>
          <w:p w14:paraId="4E95D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护士长/副主任护师</w:t>
            </w:r>
          </w:p>
        </w:tc>
        <w:tc>
          <w:tcPr>
            <w:tcW w:w="1208" w:type="dxa"/>
            <w:tcBorders>
              <w:top w:val="single" w:color="auto" w:sz="4" w:space="0"/>
              <w:left w:val="single" w:color="auto" w:sz="4" w:space="0"/>
              <w:bottom w:val="single" w:color="auto" w:sz="4" w:space="0"/>
              <w:right w:val="single" w:color="auto" w:sz="4" w:space="0"/>
            </w:tcBorders>
            <w:shd w:val="clear" w:color="auto" w:fill="auto"/>
            <w:vAlign w:val="center"/>
          </w:tcPr>
          <w:p w14:paraId="61D06A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临床护理、护理管理</w:t>
            </w:r>
          </w:p>
        </w:tc>
        <w:tc>
          <w:tcPr>
            <w:tcW w:w="2030" w:type="dxa"/>
            <w:tcBorders>
              <w:top w:val="single" w:color="auto" w:sz="4" w:space="0"/>
              <w:left w:val="single" w:color="auto" w:sz="4" w:space="0"/>
              <w:bottom w:val="single" w:color="auto" w:sz="4" w:space="0"/>
              <w:right w:val="single" w:color="auto" w:sz="4" w:space="0"/>
            </w:tcBorders>
            <w:shd w:val="clear" w:color="auto" w:fill="auto"/>
            <w:vAlign w:val="center"/>
          </w:tcPr>
          <w:p w14:paraId="70E93D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firstLine="0" w:firstLineChars="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平南县人民医院</w:t>
            </w:r>
          </w:p>
        </w:tc>
        <w:tc>
          <w:tcPr>
            <w:tcW w:w="3658" w:type="dxa"/>
            <w:tcBorders>
              <w:top w:val="single" w:color="auto" w:sz="4" w:space="0"/>
              <w:left w:val="single" w:color="auto" w:sz="4" w:space="0"/>
              <w:bottom w:val="single" w:color="auto" w:sz="4" w:space="0"/>
              <w:right w:val="single" w:color="auto" w:sz="4" w:space="0"/>
            </w:tcBorders>
          </w:tcPr>
          <w:p w14:paraId="069A12B6">
            <w:pPr>
              <w:keepNext w:val="0"/>
              <w:keepLines w:val="0"/>
              <w:suppressLineNumbers w:val="0"/>
              <w:spacing w:before="0" w:beforeAutospacing="0" w:after="0" w:afterAutospacing="0"/>
              <w:ind w:left="0" w:right="0" w:firstLine="240" w:firstLineChars="100"/>
              <w:jc w:val="left"/>
              <w:rPr>
                <w:rFonts w:hint="eastAsia" w:cs="仿宋_GB2312"/>
                <w:sz w:val="24"/>
                <w:lang w:bidi="ar"/>
              </w:rPr>
            </w:pPr>
            <w:r>
              <w:rPr>
                <w:rFonts w:hint="eastAsia" w:cs="仿宋_GB2312"/>
                <w:sz w:val="24"/>
                <w:lang w:bidi="ar"/>
              </w:rPr>
              <w:t>参与标准文本及编制说明的编写；组织开展标准征求意见会；对标准实施情况进行总结分析，不断对标准提出修正意见</w:t>
            </w:r>
          </w:p>
        </w:tc>
      </w:tr>
    </w:tbl>
    <w:p w14:paraId="7A9F3D13">
      <w:pPr>
        <w:keepNext w:val="0"/>
        <w:keepLines w:val="0"/>
        <w:pageBreakBefore w:val="0"/>
        <w:widowControl w:val="0"/>
        <w:kinsoku/>
        <w:wordWrap/>
        <w:overflowPunct/>
        <w:topLinePunct w:val="0"/>
        <w:bidi w:val="0"/>
        <w:spacing w:line="520" w:lineRule="exact"/>
        <w:ind w:firstLine="640"/>
        <w:rPr>
          <w:rFonts w:hint="eastAsia" w:ascii="仿宋_GB2312" w:hAnsi="仿宋_GB2312" w:eastAsia="仿宋_GB2312" w:cs="仿宋_GB2312"/>
          <w:sz w:val="32"/>
          <w:szCs w:val="32"/>
        </w:rPr>
      </w:pPr>
    </w:p>
    <w:p w14:paraId="366D890D">
      <w:pPr>
        <w:keepNext w:val="0"/>
        <w:keepLines w:val="0"/>
        <w:pageBreakBefore w:val="0"/>
        <w:widowControl w:val="0"/>
        <w:kinsoku/>
        <w:wordWrap/>
        <w:overflowPunct/>
        <w:topLinePunct w:val="0"/>
        <w:bidi w:val="0"/>
        <w:spacing w:line="520" w:lineRule="exact"/>
        <w:ind w:firstLine="640"/>
        <w:rPr>
          <w:rFonts w:hint="eastAsia" w:ascii="黑体" w:eastAsia="黑体" w:cs="仿宋_GB2312"/>
          <w:sz w:val="32"/>
          <w:szCs w:val="32"/>
        </w:rPr>
      </w:pPr>
      <w:r>
        <w:rPr>
          <w:rFonts w:hint="eastAsia" w:ascii="黑体" w:eastAsia="黑体" w:cs="仿宋_GB2312"/>
          <w:sz w:val="32"/>
          <w:szCs w:val="32"/>
        </w:rPr>
        <w:t>二、制定标准的必要性和意义</w:t>
      </w:r>
    </w:p>
    <w:p w14:paraId="7019C622">
      <w:pPr>
        <w:keepNext w:val="0"/>
        <w:keepLines w:val="0"/>
        <w:pageBreakBefore w:val="0"/>
        <w:widowControl w:val="0"/>
        <w:kinsoku/>
        <w:wordWrap/>
        <w:overflowPunct/>
        <w:topLinePunct w:val="0"/>
        <w:bidi w:val="0"/>
        <w:spacing w:line="520" w:lineRule="exact"/>
        <w:ind w:firstLine="560"/>
        <w:rPr>
          <w:rFonts w:hint="eastAsia"/>
        </w:rPr>
      </w:pPr>
      <w:r>
        <w:rPr>
          <w:rFonts w:hint="eastAsia"/>
        </w:rPr>
        <w:t>慢性肾脏疾病是全球性的公共卫生问题，我国成年人群中慢性肾脏病发病率8.2%。终末期肾脏病（ESRD）是原发性或继发性肾脏损害发展至肾衰竭的严重阶段。除慢性肾小球肾炎外，许多常见疾病如高血压病、糖尿病、痛风、系统性红斑狼疮等均可导致慢性肾脏病。而随着上述疾病发病率增高，以及人口老龄化、环境污染等因素的影响，ESRD 发病率逐渐上升，并已成为危害人类健康的主要因素。</w:t>
      </w:r>
    </w:p>
    <w:p w14:paraId="77699A22">
      <w:pPr>
        <w:keepNext w:val="0"/>
        <w:keepLines w:val="0"/>
        <w:pageBreakBefore w:val="0"/>
        <w:widowControl w:val="0"/>
        <w:kinsoku/>
        <w:wordWrap/>
        <w:overflowPunct/>
        <w:topLinePunct w:val="0"/>
        <w:bidi w:val="0"/>
        <w:spacing w:line="520" w:lineRule="exact"/>
        <w:ind w:firstLine="560"/>
        <w:rPr>
          <w:rFonts w:hint="eastAsia"/>
        </w:rPr>
      </w:pPr>
      <w:r>
        <w:rPr>
          <w:rFonts w:hint="eastAsia"/>
        </w:rPr>
        <w:t>我国正步入老龄化社会，人口基数大，引起肾脏损害的原发疾病的发病率高，罹患ESRD的患者亦逐渐增多，2020年，我国ESRD患者的患病率达到每百万人口1200例。ESRD阶段并发症及合并症多，需要进行肾脏替代治疗。目前肾脏替代治疗方式主要有肾移植（Renal Transplant)、腹膜透析（Peritoneal Dialysis,PD)及血液透析（Hemodialysis,HD)。我国主要因肾源缺乏，治疗费用昂贵，使肾移植不能广泛开展；目前国内外应用最为广泛的是维持性血液透析（Maintenance Hemodialysis, MHD)和腹膜透析（peritoneal dialysis，PD)治疗。</w:t>
      </w:r>
    </w:p>
    <w:p w14:paraId="6E7384AD">
      <w:pPr>
        <w:keepNext w:val="0"/>
        <w:keepLines w:val="0"/>
        <w:pageBreakBefore w:val="0"/>
        <w:widowControl w:val="0"/>
        <w:kinsoku/>
        <w:wordWrap/>
        <w:overflowPunct/>
        <w:topLinePunct w:val="0"/>
        <w:bidi w:val="0"/>
        <w:spacing w:line="520" w:lineRule="exact"/>
        <w:ind w:firstLine="560"/>
        <w:rPr>
          <w:rFonts w:hint="eastAsia"/>
        </w:rPr>
      </w:pPr>
      <w:r>
        <w:rPr>
          <w:rFonts w:hint="eastAsia"/>
        </w:rPr>
        <w:t>截至2024年全国腹膜透析患者152745人，新增21949人，全国腹膜透析中心数量1424家。截至2024年广西腹膜透析患者4973例，开展腹膜透析的医疗机构53家。2024年全区腹膜透析在透患者血液生化季度检测率约13.47%，血常规季度检测率约13.85%，iPTH半年检测率约20.53%，腹膜平衡试验半年检测率约30.64%，血清白蛋白和转铁蛋白饱和度半年检测完成率约12.29%，C反应蛋白半年检测完成率约20.08%，血红蛋白达标率约36.81%，CKD-MBD控制率约10.47%，血清白蛋白控制率约39.68%，KT/V及总Ccr控制率约47.77%，退出治疗时间为39.49个月。由质控数据可见，区内随访管理、检测指标检测率低，患者总体质量不理想。如何形成以临床路径为指引，以指标监测为主线，以结果为导向，对患者进行全面整体的并发症评估是提高腹膜透析整体质量，降低死亡率，延长退出腹膜透析的时间，延长生存期，降低医疗费用的关键。</w:t>
      </w:r>
    </w:p>
    <w:p w14:paraId="524CD09A">
      <w:pPr>
        <w:keepNext w:val="0"/>
        <w:keepLines w:val="0"/>
        <w:pageBreakBefore w:val="0"/>
        <w:widowControl w:val="0"/>
        <w:kinsoku/>
        <w:wordWrap/>
        <w:overflowPunct/>
        <w:topLinePunct w:val="0"/>
        <w:bidi w:val="0"/>
        <w:spacing w:line="520" w:lineRule="exact"/>
        <w:ind w:firstLine="560"/>
        <w:rPr>
          <w:rFonts w:hint="eastAsia"/>
        </w:rPr>
      </w:pPr>
      <w:r>
        <w:rPr>
          <w:rFonts w:hint="eastAsia"/>
        </w:rPr>
        <w:t>腹膜透析是治疗终末期肾脏疾病的主要肾脏替代疗法之一，因不受限制通行的影响，且其不影响工作、学习，具有利于保护残余肾功能、治疗费用相对血液透析低、生活质量高的特点，被越来越多的病人接受。有文献报道，对腹膜透析病人进行长期随访管理，可以降低腹膜透析病人相关性腹膜炎的发生率，改善病人的营养及整体健康状况,是保证腹透治疗质量、延长其生存期的前提,有利于病人回归社会及正常工作。</w:t>
      </w:r>
    </w:p>
    <w:p w14:paraId="6A15CA98">
      <w:pPr>
        <w:keepNext w:val="0"/>
        <w:keepLines w:val="0"/>
        <w:pageBreakBefore w:val="0"/>
        <w:widowControl w:val="0"/>
        <w:kinsoku/>
        <w:wordWrap/>
        <w:overflowPunct/>
        <w:topLinePunct w:val="0"/>
        <w:bidi w:val="0"/>
        <w:spacing w:line="520" w:lineRule="exact"/>
        <w:ind w:firstLine="560"/>
        <w:rPr>
          <w:rFonts w:hint="eastAsia"/>
        </w:rPr>
      </w:pPr>
      <w:r>
        <w:rPr>
          <w:rFonts w:hint="eastAsia"/>
        </w:rPr>
        <w:t>腹膜透析患者并发症的评估至关重要‌，因为它直接关系到患者的治疗效果和生存率。腹膜透析作为终末期肾脏疾病的主要替代治疗方法，虽然具有操作简便、价格相对低廉等优势，但其并发症是影响透析顺利进行的重要因素。这些并发症包括但不限于腹膜炎、管周渗漏、手术缺口渗血、导管移位、导管功能障碍等。这些并发症不仅会影响腹膜透析的效果，还可能危及患者的生命。合理评估和治疗患者电解质紊乱、贫血、营养不良、钙磷代谢障碍、心脑血管危险因素也是腹透患者管理的基础。心脑血管疾病是腹膜透析患者死亡的主要原因，而腹透患者心脑血管危险因素的评估和管理具有其特殊性，如残余肾功能下降对总体死亡率及心血管死亡率的影响，以及腹透液产生的负面代谢效应等‌。</w:t>
      </w:r>
    </w:p>
    <w:p w14:paraId="5FAB8741">
      <w:pPr>
        <w:keepNext w:val="0"/>
        <w:keepLines w:val="0"/>
        <w:pageBreakBefore w:val="0"/>
        <w:widowControl w:val="0"/>
        <w:kinsoku/>
        <w:wordWrap/>
        <w:overflowPunct/>
        <w:topLinePunct w:val="0"/>
        <w:bidi w:val="0"/>
        <w:spacing w:line="520" w:lineRule="exact"/>
        <w:ind w:firstLine="560"/>
        <w:rPr>
          <w:rFonts w:hint="eastAsia"/>
        </w:rPr>
      </w:pPr>
      <w:r>
        <w:rPr>
          <w:rFonts w:hint="eastAsia"/>
        </w:rPr>
        <w:t>腹膜透析以居家治疗为主，患者的自我管理能力及依从性是减少并发症、提高健康水平，实现高质量透析的关键。因此，定期评估了解患者的自我管理能力及依从性，及时发现问题，行针对性的再培训，能减少操作并发症，减少饮食等因素导致的容量负荷过重、血钾异常、营养不良等并发症。</w:t>
      </w:r>
    </w:p>
    <w:p w14:paraId="7F396BF4">
      <w:pPr>
        <w:keepNext w:val="0"/>
        <w:keepLines w:val="0"/>
        <w:pageBreakBefore w:val="0"/>
        <w:widowControl w:val="0"/>
        <w:kinsoku/>
        <w:wordWrap/>
        <w:overflowPunct/>
        <w:topLinePunct w:val="0"/>
        <w:bidi w:val="0"/>
        <w:spacing w:line="520" w:lineRule="exact"/>
        <w:ind w:firstLine="560"/>
        <w:rPr>
          <w:rFonts w:hint="eastAsia"/>
        </w:rPr>
      </w:pPr>
      <w:r>
        <w:rPr>
          <w:rFonts w:hint="eastAsia"/>
        </w:rPr>
        <w:t>此外，腹膜功能的评估也是关键。随着腹膜透析时间的延长，患者腹膜功能可能逐渐衰退，直至发生超滤衰竭，导致透析失败。因此，了解腹膜功能减退的主要影响因素、寻找更有效的评估和预测腹膜功能变化的指标，对于延长腹膜透析时间、提高患者生存率尤为重要‌。腹膜透析患者并发症的评估不仅有助于及时发现和处理并发症，提高透析效果，还能为患者制定更合理的治疗方案，从而提高患者的生存率和生活质量‌。</w:t>
      </w:r>
    </w:p>
    <w:p w14:paraId="3148E282">
      <w:pPr>
        <w:keepNext w:val="0"/>
        <w:keepLines w:val="0"/>
        <w:pageBreakBefore w:val="0"/>
        <w:widowControl w:val="0"/>
        <w:kinsoku/>
        <w:wordWrap/>
        <w:overflowPunct/>
        <w:topLinePunct w:val="0"/>
        <w:bidi w:val="0"/>
        <w:spacing w:line="520" w:lineRule="exact"/>
        <w:ind w:firstLine="560"/>
        <w:rPr>
          <w:rFonts w:hint="eastAsia"/>
        </w:rPr>
      </w:pPr>
      <w:r>
        <w:rPr>
          <w:rFonts w:hint="eastAsia"/>
        </w:rPr>
        <w:t>腹膜透析作为治疗终末期肾脏疾病的重要手段，其并发症的发生直接影响患者的治疗效果和生存率。电解质紊乱、贫血、营养不良、钙磷代谢障碍、容量负荷是影响患者生存质量的要素，心脑血管疾病是腹膜透析患者死亡的主要原因，而合理评估和治疗相关危险因素是腹透患者管理的基础‌。此外，腹膜透析患者还面临着腹膜炎、腹膜功能障碍、超滤衰竭等多种并发症的威胁，这些并发症的发生不仅影响透析效果，还可能危及患者的生命‌。而自我管理能力及依从性是减少上述危险因素的的要素之一。</w:t>
      </w:r>
    </w:p>
    <w:p w14:paraId="6E2CA80B">
      <w:pPr>
        <w:keepNext w:val="0"/>
        <w:keepLines w:val="0"/>
        <w:pageBreakBefore w:val="0"/>
        <w:widowControl w:val="0"/>
        <w:kinsoku/>
        <w:wordWrap/>
        <w:overflowPunct/>
        <w:topLinePunct w:val="0"/>
        <w:bidi w:val="0"/>
        <w:spacing w:line="520" w:lineRule="exact"/>
        <w:ind w:firstLine="560"/>
        <w:rPr>
          <w:rFonts w:hint="eastAsia"/>
        </w:rPr>
      </w:pPr>
      <w:r>
        <w:rPr>
          <w:rFonts w:hint="eastAsia"/>
        </w:rPr>
        <w:t>随着腹膜透析技术的不断发展和普及，越来越多的患者选择腹膜透析作为治疗手段。然而，由于并发症的多样性和复杂性，临床上对于腹膜透析患者并发症的评估和管理仍面临诸多挑战。因此，制定一套科学、全面、实用的腹膜透析患者并发症评估标准显得尤为重要。通过制定评估标准，可以规范临床医生的评估行为，提高评估的准确性和一致性，从而为患者制定更合理的治疗方案，提高治疗效果和生存率。同时，评估标准还可以作为临床研究和学术交流的基础，推动腹膜透析技术的不断进步和发展。</w:t>
      </w:r>
    </w:p>
    <w:p w14:paraId="22DA83E6">
      <w:pPr>
        <w:keepNext w:val="0"/>
        <w:keepLines w:val="0"/>
        <w:pageBreakBefore w:val="0"/>
        <w:widowControl w:val="0"/>
        <w:kinsoku/>
        <w:wordWrap/>
        <w:overflowPunct/>
        <w:topLinePunct w:val="0"/>
        <w:bidi w:val="0"/>
        <w:spacing w:line="520" w:lineRule="exact"/>
        <w:ind w:firstLine="560"/>
        <w:rPr>
          <w:rFonts w:hint="eastAsia"/>
        </w:rPr>
      </w:pPr>
      <w:r>
        <w:rPr>
          <w:rFonts w:hint="eastAsia"/>
        </w:rPr>
        <w:t>通过制定团体标准《腹膜透析患者并发症评估规范》，统一规定腹膜透析患者并发症评估技术要求，对提高腹膜透析患者并发症评估技术水平，促进医疗服务业高质量发展具有重要意义。</w:t>
      </w:r>
    </w:p>
    <w:p w14:paraId="71C4EA7D">
      <w:pPr>
        <w:keepNext w:val="0"/>
        <w:keepLines w:val="0"/>
        <w:pageBreakBefore w:val="0"/>
        <w:widowControl w:val="0"/>
        <w:kinsoku/>
        <w:wordWrap/>
        <w:overflowPunct/>
        <w:topLinePunct w:val="0"/>
        <w:autoSpaceDE w:val="0"/>
        <w:autoSpaceDN w:val="0"/>
        <w:bidi w:val="0"/>
        <w:adjustRightInd w:val="0"/>
        <w:spacing w:line="520" w:lineRule="exact"/>
        <w:ind w:firstLine="640"/>
        <w:jc w:val="left"/>
        <w:rPr>
          <w:rFonts w:hint="eastAsia" w:ascii="黑体" w:eastAsia="黑体" w:cs="仿宋_GB2312"/>
          <w:sz w:val="32"/>
          <w:szCs w:val="32"/>
        </w:rPr>
      </w:pPr>
      <w:r>
        <w:rPr>
          <w:rFonts w:hint="eastAsia" w:ascii="黑体" w:eastAsia="黑体" w:cs="仿宋_GB2312"/>
          <w:sz w:val="32"/>
          <w:szCs w:val="32"/>
        </w:rPr>
        <w:t>三、主要起草过程</w:t>
      </w:r>
    </w:p>
    <w:p w14:paraId="2A64A064">
      <w:pPr>
        <w:keepNext w:val="0"/>
        <w:keepLines w:val="0"/>
        <w:pageBreakBefore w:val="0"/>
        <w:widowControl w:val="0"/>
        <w:kinsoku/>
        <w:wordWrap/>
        <w:overflowPunct/>
        <w:topLinePunct w:val="0"/>
        <w:bidi w:val="0"/>
        <w:spacing w:line="520" w:lineRule="exact"/>
        <w:ind w:firstLine="562"/>
        <w:rPr>
          <w:rFonts w:hint="eastAsia"/>
          <w:szCs w:val="28"/>
        </w:rPr>
      </w:pPr>
      <w:r>
        <w:rPr>
          <w:rFonts w:hint="eastAsia" w:cs="仿宋_GB2312"/>
          <w:b/>
          <w:szCs w:val="28"/>
        </w:rPr>
        <w:t>（一）成立标准编制工作组</w:t>
      </w:r>
    </w:p>
    <w:p w14:paraId="7169F437">
      <w:pPr>
        <w:keepNext w:val="0"/>
        <w:keepLines w:val="0"/>
        <w:pageBreakBefore w:val="0"/>
        <w:widowControl w:val="0"/>
        <w:kinsoku/>
        <w:wordWrap/>
        <w:overflowPunct/>
        <w:topLinePunct w:val="0"/>
        <w:bidi w:val="0"/>
        <w:spacing w:line="520" w:lineRule="exact"/>
        <w:ind w:firstLine="560"/>
        <w:jc w:val="left"/>
        <w:rPr>
          <w:rFonts w:hint="eastAsia"/>
          <w:szCs w:val="28"/>
        </w:rPr>
      </w:pPr>
      <w:r>
        <w:rPr>
          <w:rFonts w:hint="eastAsia" w:hAnsi="宋体"/>
          <w:szCs w:val="28"/>
        </w:rPr>
        <w:t>团体标准</w:t>
      </w:r>
      <w:r>
        <w:rPr>
          <w:rFonts w:hint="eastAsia"/>
          <w:szCs w:val="28"/>
        </w:rPr>
        <w:t>《</w:t>
      </w:r>
      <w:r>
        <w:rPr>
          <w:rFonts w:hint="eastAsia"/>
          <w:szCs w:val="28"/>
          <w:lang w:eastAsia="zh-CN"/>
        </w:rPr>
        <w:t>腹膜透析患者并发症评估规范</w:t>
      </w:r>
      <w:r>
        <w:rPr>
          <w:rFonts w:hint="eastAsia"/>
          <w:szCs w:val="28"/>
        </w:rPr>
        <w:t>》项目任务下达后，由</w:t>
      </w:r>
      <w:r>
        <w:rPr>
          <w:rFonts w:hint="eastAsia"/>
          <w:color w:val="auto"/>
          <w:szCs w:val="28"/>
        </w:rPr>
        <w:t>玉林市第一人民医院</w:t>
      </w:r>
      <w:r>
        <w:rPr>
          <w:rFonts w:hint="eastAsia"/>
          <w:szCs w:val="28"/>
        </w:rPr>
        <w:t>牵头组织成立了标准编制工作组，制定了起草编写方案与进度安排，明确任务职责，确定工作技术路线，开展标准研制工作。具体标准编制工作由起草单位相关人员配合完成。</w:t>
      </w:r>
    </w:p>
    <w:p w14:paraId="08CAE4A9">
      <w:pPr>
        <w:keepNext w:val="0"/>
        <w:keepLines w:val="0"/>
        <w:pageBreakBefore w:val="0"/>
        <w:widowControl w:val="0"/>
        <w:kinsoku/>
        <w:wordWrap/>
        <w:overflowPunct/>
        <w:topLinePunct w:val="0"/>
        <w:bidi w:val="0"/>
        <w:spacing w:line="520" w:lineRule="exact"/>
        <w:ind w:firstLine="560"/>
        <w:rPr>
          <w:rFonts w:hint="eastAsia" w:cs="仿宋_GB2312"/>
          <w:szCs w:val="28"/>
        </w:rPr>
      </w:pPr>
      <w:r>
        <w:rPr>
          <w:rFonts w:hint="eastAsia"/>
          <w:szCs w:val="28"/>
        </w:rPr>
        <w:t>为了明确标准编制的任务职责，确定工作技术路线，开展标准研制工作。标准编制工作组下设二个组，分别是资料收集组、草案编写组。资料收集组负责国内外有关</w:t>
      </w:r>
      <w:r>
        <w:rPr>
          <w:rFonts w:hint="eastAsia"/>
          <w:szCs w:val="28"/>
          <w:lang w:eastAsia="zh-CN"/>
        </w:rPr>
        <w:t>腹膜透析患者并发症评估</w:t>
      </w:r>
      <w:r>
        <w:rPr>
          <w:rFonts w:hint="eastAsia"/>
          <w:szCs w:val="28"/>
        </w:rPr>
        <w:t>方面的文献资料的查询、收集和整理工作，查阅前期对</w:t>
      </w:r>
      <w:r>
        <w:rPr>
          <w:rFonts w:hint="eastAsia"/>
          <w:szCs w:val="28"/>
          <w:lang w:eastAsia="zh-CN"/>
        </w:rPr>
        <w:t>腹膜透析患者并发症评估</w:t>
      </w:r>
      <w:r>
        <w:rPr>
          <w:rFonts w:hint="eastAsia"/>
          <w:szCs w:val="28"/>
        </w:rPr>
        <w:t>方面的有关研究情况和目前科学界</w:t>
      </w:r>
      <w:r>
        <w:rPr>
          <w:rFonts w:hint="eastAsia"/>
          <w:szCs w:val="28"/>
          <w:lang w:eastAsia="zh-CN"/>
        </w:rPr>
        <w:t>腹膜透析患者并发症</w:t>
      </w:r>
      <w:r>
        <w:rPr>
          <w:rFonts w:hint="eastAsia"/>
          <w:szCs w:val="28"/>
        </w:rPr>
        <w:t>的研究进展；草案编写组负责起草标准草案及后续征求意见稿和标准编制说明、送审稿及编制说明等编写工作，包括后期召开征求意见会、网上征求意见，以及标准的不断修改和完善。</w:t>
      </w:r>
    </w:p>
    <w:p w14:paraId="6AB2D27A">
      <w:pPr>
        <w:keepNext w:val="0"/>
        <w:keepLines w:val="0"/>
        <w:pageBreakBefore w:val="0"/>
        <w:widowControl w:val="0"/>
        <w:kinsoku/>
        <w:wordWrap/>
        <w:overflowPunct/>
        <w:topLinePunct w:val="0"/>
        <w:bidi w:val="0"/>
        <w:spacing w:line="520" w:lineRule="exact"/>
        <w:ind w:firstLine="562"/>
        <w:rPr>
          <w:rFonts w:hint="eastAsia" w:cs="仿宋_GB2312"/>
          <w:b/>
          <w:szCs w:val="28"/>
        </w:rPr>
      </w:pPr>
      <w:r>
        <w:rPr>
          <w:rFonts w:hint="eastAsia" w:cs="仿宋_GB2312"/>
          <w:b/>
          <w:szCs w:val="28"/>
        </w:rPr>
        <w:t>（二）收集整理文献资料</w:t>
      </w:r>
    </w:p>
    <w:p w14:paraId="69417D2A">
      <w:pPr>
        <w:keepNext w:val="0"/>
        <w:keepLines w:val="0"/>
        <w:pageBreakBefore w:val="0"/>
        <w:widowControl w:val="0"/>
        <w:kinsoku/>
        <w:wordWrap/>
        <w:overflowPunct/>
        <w:topLinePunct w:val="0"/>
        <w:bidi w:val="0"/>
        <w:spacing w:line="520" w:lineRule="exact"/>
        <w:ind w:firstLine="560"/>
        <w:rPr>
          <w:rFonts w:hint="eastAsia" w:eastAsia="仿宋_GB2312"/>
          <w:szCs w:val="28"/>
          <w:lang w:eastAsia="zh-CN"/>
        </w:rPr>
      </w:pPr>
      <w:r>
        <w:rPr>
          <w:rFonts w:hint="eastAsia"/>
          <w:szCs w:val="28"/>
        </w:rPr>
        <w:t>标准编制工作组收集了国内有关</w:t>
      </w:r>
      <w:r>
        <w:rPr>
          <w:rFonts w:hint="eastAsia"/>
          <w:szCs w:val="28"/>
          <w:lang w:eastAsia="zh-CN"/>
        </w:rPr>
        <w:t>腹膜透析患者并发症评估</w:t>
      </w:r>
      <w:r>
        <w:rPr>
          <w:rFonts w:hint="eastAsia"/>
          <w:szCs w:val="28"/>
        </w:rPr>
        <w:t>的相关文献资料。主要有：</w:t>
      </w:r>
    </w:p>
    <w:p w14:paraId="0E59555A">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[1]  成水芹,余乐,张志宏,俞雨生.2023版国际腹膜透析协会腹膜透析导管相关感染防治指南建议解读[J].中国血液净化,2024,23(2):81-85.</w:t>
      </w:r>
    </w:p>
    <w:p w14:paraId="02EE3493">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 xml:space="preserve">[2] </w:t>
      </w:r>
      <w:r>
        <w:rPr>
          <w:rFonts w:hint="eastAsia"/>
          <w:color w:val="auto"/>
          <w:szCs w:val="28"/>
          <w:highlight w:val="none"/>
          <w:lang w:val="en-US" w:eastAsia="zh-CN"/>
        </w:rPr>
        <w:t xml:space="preserve"> </w:t>
      </w:r>
      <w:r>
        <w:rPr>
          <w:rFonts w:hint="default" w:eastAsia="仿宋_GB2312"/>
          <w:color w:val="auto"/>
          <w:szCs w:val="28"/>
          <w:highlight w:val="none"/>
          <w:lang w:val="en-US" w:eastAsia="zh-CN"/>
        </w:rPr>
        <w:t>杨蔚波,陈学波.腹膜透析患者导管出口处管理的临床研究进展[J].中国乡村医药,2024,31(24):74-75.</w:t>
      </w:r>
    </w:p>
    <w:p w14:paraId="722E2979">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[3]  欧阳龙源,张繁,伏文皓,胡笑笑,林芝,关键.迟发性腹膜透析液渗漏的CT诊断及分析[J].影像诊断与介入放射学,2019,28(5):364-367.</w:t>
      </w:r>
    </w:p>
    <w:p w14:paraId="0BA7ADA4">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 xml:space="preserve">[4] </w:t>
      </w:r>
      <w:r>
        <w:rPr>
          <w:rFonts w:hint="eastAsia"/>
          <w:color w:val="auto"/>
          <w:szCs w:val="28"/>
          <w:highlight w:val="none"/>
          <w:lang w:val="en-US" w:eastAsia="zh-CN"/>
        </w:rPr>
        <w:t xml:space="preserve"> </w:t>
      </w:r>
      <w:r>
        <w:rPr>
          <w:rFonts w:hint="default" w:eastAsia="仿宋_GB2312"/>
          <w:color w:val="auto"/>
          <w:szCs w:val="28"/>
          <w:highlight w:val="none"/>
          <w:lang w:val="en-US" w:eastAsia="zh-CN"/>
        </w:rPr>
        <w:t>程鹏,张庆红,费沛,殷莹.2例腹膜透析合并胸腹瘘的诊治体会[J].国际泌尿系统杂志,2023,43(5):909-911.</w:t>
      </w:r>
    </w:p>
    <w:p w14:paraId="196694FB">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[5]  梅长林,陈晓农,郝传明,等.慢性肾脏病高钾血症风险评估及管理专家建议（2020版）.中华医学杂志,2020，100(44):3489-3493.</w:t>
      </w:r>
    </w:p>
    <w:p w14:paraId="140D68E7">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[6]  中国医师协会肾脏内科医师分会肾性贫血指南工作组.中国肾性贫血诊治临床实践指南[J].中华医学杂志,2021,101(20):1463-1502.</w:t>
      </w:r>
    </w:p>
    <w:p w14:paraId="157E5158">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[7]  中国医师协会肾脏内科医师分会,中国中西医结合学会肾脏疾病专业委员会营养治疗指南专家协作组,中国慢性肾脏病营养治疗临床实践指南（2021版）.中华医学杂志,2021，101(08):539-559.</w:t>
      </w:r>
    </w:p>
    <w:p w14:paraId="6AEF9C10">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[8]  中华医学会肾脏病学分会专家组,连续性肾替代治疗容量评估与管理专家共识.中华肾脏病杂志,2024，40(01):74-81.</w:t>
      </w:r>
    </w:p>
    <w:p w14:paraId="0FA8820C">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[9]  《中国腹膜透析管理现状白皮书》项目组.中国腹膜透析管理现状白皮书[J].中华肾脏病杂志,2022,38(12):1076-1104.</w:t>
      </w:r>
    </w:p>
    <w:p w14:paraId="279C233E">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[10]  Project group of "White paper on the status of peritoneal dialysis management in China". White paper on the current status of peritoneal dialysis management in China[J]. Chinese Journal of Nephrology,2022,38(12): 1076-1104.</w:t>
      </w:r>
    </w:p>
    <w:p w14:paraId="0415F14B">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[11]  余永武,周加军,张凌.《中国慢性肾脏病矿物质和骨异常诊治指南》的解读与思考[J].中华肾病研究电子杂志,2020,9(01):17-21.</w:t>
      </w:r>
    </w:p>
    <w:p w14:paraId="01352211">
      <w:pPr>
        <w:keepNext w:val="0"/>
        <w:keepLines w:val="0"/>
        <w:pageBreakBefore w:val="0"/>
        <w:widowControl w:val="0"/>
        <w:kinsoku/>
        <w:wordWrap/>
        <w:overflowPunct/>
        <w:topLinePunct w:val="0"/>
        <w:bidi w:val="0"/>
        <w:spacing w:line="520" w:lineRule="exact"/>
        <w:ind w:firstLine="560"/>
        <w:rPr>
          <w:rFonts w:hint="default" w:eastAsia="仿宋_GB2312"/>
          <w:color w:val="auto"/>
          <w:szCs w:val="28"/>
          <w:highlight w:val="none"/>
          <w:lang w:val="en-US" w:eastAsia="zh-CN"/>
        </w:rPr>
      </w:pPr>
      <w:r>
        <w:rPr>
          <w:rFonts w:hint="default" w:eastAsia="仿宋_GB2312"/>
          <w:color w:val="auto"/>
          <w:szCs w:val="28"/>
          <w:highlight w:val="none"/>
          <w:lang w:val="en-US" w:eastAsia="zh-CN"/>
        </w:rPr>
        <w:t>[12]陈香美,倪兆慧,袁伟杰,等.腹膜透析标准操作规程:2010版[J].人民军医出版社, 2010.</w:t>
      </w:r>
    </w:p>
    <w:p w14:paraId="3DA1DD3F">
      <w:pPr>
        <w:keepNext w:val="0"/>
        <w:keepLines w:val="0"/>
        <w:pageBreakBefore w:val="0"/>
        <w:widowControl w:val="0"/>
        <w:kinsoku/>
        <w:wordWrap/>
        <w:overflowPunct/>
        <w:topLinePunct w:val="0"/>
        <w:bidi w:val="0"/>
        <w:spacing w:line="520" w:lineRule="exact"/>
        <w:ind w:firstLine="562"/>
        <w:rPr>
          <w:rFonts w:hint="eastAsia" w:cs="仿宋_GB2312"/>
          <w:b/>
          <w:color w:val="auto"/>
          <w:szCs w:val="28"/>
        </w:rPr>
      </w:pPr>
      <w:r>
        <w:rPr>
          <w:rFonts w:hint="eastAsia" w:cs="仿宋_GB2312"/>
          <w:b/>
          <w:color w:val="auto"/>
          <w:szCs w:val="28"/>
        </w:rPr>
        <w:t>（三）研讨确定标准主体内容及标准创新点</w:t>
      </w:r>
    </w:p>
    <w:p w14:paraId="05B18678">
      <w:pPr>
        <w:pStyle w:val="40"/>
        <w:keepNext w:val="0"/>
        <w:keepLines w:val="0"/>
        <w:pageBreakBefore w:val="0"/>
        <w:widowControl w:val="0"/>
        <w:kinsoku/>
        <w:wordWrap/>
        <w:overflowPunct/>
        <w:topLinePunct w:val="0"/>
        <w:bidi w:val="0"/>
        <w:spacing w:line="520" w:lineRule="exact"/>
        <w:ind w:firstLine="560"/>
        <w:rPr>
          <w:rFonts w:ascii="仿宋_GB2312" w:eastAsia="仿宋_GB2312"/>
          <w:color w:val="auto"/>
          <w:sz w:val="28"/>
          <w:szCs w:val="28"/>
        </w:rPr>
      </w:pPr>
      <w:r>
        <w:rPr>
          <w:rFonts w:hint="eastAsia" w:ascii="仿宋_GB2312" w:eastAsia="仿宋_GB2312"/>
          <w:color w:val="auto"/>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color w:val="auto"/>
          <w:sz w:val="28"/>
          <w:szCs w:val="28"/>
          <w:lang w:eastAsia="zh-CN"/>
        </w:rPr>
        <w:t>腹膜透析患者并发症评估</w:t>
      </w:r>
      <w:r>
        <w:rPr>
          <w:rFonts w:hint="eastAsia" w:ascii="仿宋_GB2312" w:eastAsia="仿宋_GB2312"/>
          <w:color w:val="auto"/>
          <w:sz w:val="28"/>
          <w:szCs w:val="28"/>
        </w:rPr>
        <w:t>的</w:t>
      </w:r>
      <w:r>
        <w:rPr>
          <w:rFonts w:hint="eastAsia" w:ascii="仿宋_GB2312" w:eastAsia="仿宋_GB2312"/>
          <w:color w:val="auto"/>
          <w:sz w:val="28"/>
          <w:szCs w:val="28"/>
          <w:lang w:eastAsia="zh-CN"/>
        </w:rPr>
        <w:t>基本要求</w:t>
      </w:r>
      <w:r>
        <w:rPr>
          <w:rFonts w:hint="eastAsia" w:ascii="仿宋_GB2312" w:eastAsia="仿宋_GB2312"/>
          <w:color w:val="auto"/>
          <w:sz w:val="28"/>
          <w:szCs w:val="28"/>
        </w:rPr>
        <w:t>、评估</w:t>
      </w:r>
      <w:r>
        <w:rPr>
          <w:rFonts w:hint="eastAsia" w:ascii="仿宋_GB2312" w:eastAsia="仿宋_GB2312"/>
          <w:color w:val="auto"/>
          <w:sz w:val="28"/>
          <w:szCs w:val="28"/>
          <w:lang w:eastAsia="zh-CN"/>
        </w:rPr>
        <w:t>流程</w:t>
      </w:r>
      <w:r>
        <w:rPr>
          <w:rFonts w:hint="eastAsia" w:ascii="仿宋_GB2312" w:eastAsia="仿宋_GB2312"/>
          <w:color w:val="auto"/>
          <w:sz w:val="28"/>
          <w:szCs w:val="28"/>
        </w:rPr>
        <w:t>、</w:t>
      </w:r>
      <w:r>
        <w:rPr>
          <w:rFonts w:hint="eastAsia" w:ascii="仿宋_GB2312" w:eastAsia="仿宋_GB2312"/>
          <w:color w:val="auto"/>
          <w:sz w:val="28"/>
          <w:szCs w:val="28"/>
          <w:lang w:eastAsia="zh-CN"/>
        </w:rPr>
        <w:t>评估内容</w:t>
      </w:r>
      <w:r>
        <w:rPr>
          <w:rFonts w:hint="eastAsia" w:ascii="仿宋_GB2312" w:eastAsia="仿宋_GB2312"/>
          <w:color w:val="auto"/>
          <w:sz w:val="28"/>
          <w:szCs w:val="28"/>
        </w:rPr>
        <w:t>。</w:t>
      </w:r>
    </w:p>
    <w:p w14:paraId="0368A5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Autospacing="0" w:afterAutospacing="0" w:line="240" w:lineRule="auto"/>
        <w:ind w:leftChars="0" w:right="0" w:rightChars="0" w:firstLine="560" w:firstLineChars="200"/>
        <w:jc w:val="both"/>
        <w:textAlignment w:val="auto"/>
        <w:outlineLvl w:val="1"/>
        <w:rPr>
          <w:rFonts w:ascii="仿宋_GB2312" w:eastAsia="仿宋_GB2312"/>
          <w:color w:val="auto"/>
          <w:sz w:val="28"/>
          <w:szCs w:val="28"/>
          <w:highlight w:val="none"/>
        </w:rPr>
      </w:pPr>
      <w:r>
        <w:rPr>
          <w:rFonts w:hint="eastAsia" w:ascii="仿宋_GB2312" w:eastAsia="仿宋_GB2312"/>
          <w:color w:val="auto"/>
          <w:sz w:val="28"/>
          <w:szCs w:val="28"/>
          <w:highlight w:val="none"/>
        </w:rPr>
        <w:t>标准创新点为：（1）腹膜透析随访管理临床路径：明确了随访的时间、频率、形式和内容，临床路径的实现为全面评估提供客观的临床数据</w:t>
      </w:r>
      <w:r>
        <w:rPr>
          <w:rFonts w:hint="eastAsia" w:ascii="仿宋_GB2312" w:eastAsia="仿宋_GB2312"/>
          <w:color w:val="auto"/>
          <w:sz w:val="28"/>
          <w:szCs w:val="28"/>
          <w:highlight w:val="none"/>
          <w:lang w:eastAsia="zh-CN"/>
        </w:rPr>
        <w:t>；</w:t>
      </w:r>
      <w:r>
        <w:rPr>
          <w:rFonts w:hint="eastAsia" w:ascii="仿宋_GB2312" w:eastAsia="仿宋_GB2312"/>
          <w:color w:val="auto"/>
          <w:sz w:val="28"/>
          <w:szCs w:val="28"/>
          <w:highlight w:val="none"/>
        </w:rPr>
        <w:t>（2）标准化腹膜透析评估指标体系</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sz w:val="28"/>
          <w:szCs w:val="28"/>
          <w:highlight w:val="none"/>
          <w:lang w:val="en-US" w:eastAsia="zh-CN" w:bidi="ar"/>
        </w:rPr>
        <w:t>腹膜透析相关性腹膜炎评估、</w:t>
      </w:r>
      <w:r>
        <w:rPr>
          <w:rFonts w:hint="eastAsia" w:ascii="仿宋_GB2312" w:hAnsi="仿宋_GB2312" w:eastAsia="仿宋_GB2312" w:cs="仿宋_GB2312"/>
          <w:kern w:val="0"/>
          <w:sz w:val="28"/>
          <w:szCs w:val="28"/>
          <w:highlight w:val="none"/>
          <w:lang w:val="en-US" w:eastAsia="zh-CN" w:bidi="ar"/>
        </w:rPr>
        <w:t>腹腔内压力增高性并发症评估、导管功能障碍评估、代谢与系统并发症评估、腹膜功能评估</w:t>
      </w:r>
      <w:r>
        <w:rPr>
          <w:rFonts w:hint="eastAsia" w:ascii="仿宋_GB2312" w:eastAsia="仿宋_GB2312"/>
          <w:color w:val="auto"/>
          <w:sz w:val="28"/>
          <w:szCs w:val="28"/>
          <w:highlight w:val="none"/>
        </w:rPr>
        <w:t>等指标体系；（3）标准化腹膜透析评估管理流程（PDCA）:评估</w:t>
      </w:r>
      <w:r>
        <w:rPr>
          <w:rFonts w:hint="eastAsia"/>
          <w:color w:val="auto"/>
          <w:sz w:val="28"/>
          <w:szCs w:val="28"/>
          <w:highlight w:val="none"/>
          <w:lang w:eastAsia="zh-CN"/>
        </w:rPr>
        <w:t>时机和频率—临床症状评估—实验室检查及影像评估—病因与危险因素评估—评估结果判断—预防</w:t>
      </w:r>
      <w:r>
        <w:rPr>
          <w:rFonts w:hint="eastAsia" w:ascii="仿宋_GB2312" w:eastAsia="仿宋_GB2312"/>
          <w:color w:val="auto"/>
          <w:sz w:val="28"/>
          <w:szCs w:val="28"/>
          <w:highlight w:val="none"/>
        </w:rPr>
        <w:t>。</w:t>
      </w:r>
    </w:p>
    <w:p w14:paraId="6098FA57">
      <w:pPr>
        <w:keepNext w:val="0"/>
        <w:keepLines w:val="0"/>
        <w:pageBreakBefore w:val="0"/>
        <w:widowControl w:val="0"/>
        <w:kinsoku/>
        <w:wordWrap/>
        <w:overflowPunct/>
        <w:topLinePunct w:val="0"/>
        <w:bidi w:val="0"/>
        <w:spacing w:line="520" w:lineRule="exact"/>
        <w:ind w:firstLine="562"/>
        <w:rPr>
          <w:rFonts w:hint="eastAsia" w:cs="仿宋_GB2312"/>
          <w:b/>
          <w:szCs w:val="28"/>
        </w:rPr>
      </w:pPr>
      <w:r>
        <w:rPr>
          <w:rFonts w:hint="eastAsia" w:cs="仿宋_GB2312"/>
          <w:b/>
          <w:color w:val="auto"/>
          <w:szCs w:val="28"/>
        </w:rPr>
        <w:t>（四）调研及形成</w:t>
      </w:r>
      <w:r>
        <w:rPr>
          <w:rFonts w:hint="eastAsia" w:cs="仿宋_GB2312"/>
          <w:b/>
          <w:szCs w:val="28"/>
        </w:rPr>
        <w:t>草案、征求意见稿</w:t>
      </w:r>
    </w:p>
    <w:p w14:paraId="67C8D73C">
      <w:pPr>
        <w:keepNext w:val="0"/>
        <w:keepLines w:val="0"/>
        <w:pageBreakBefore w:val="0"/>
        <w:widowControl w:val="0"/>
        <w:kinsoku/>
        <w:wordWrap/>
        <w:overflowPunct/>
        <w:topLinePunct w:val="0"/>
        <w:bidi w:val="0"/>
        <w:spacing w:line="520" w:lineRule="exact"/>
        <w:ind w:firstLine="560"/>
        <w:rPr>
          <w:rFonts w:hint="eastAsia"/>
          <w:color w:val="auto"/>
          <w:kern w:val="0"/>
          <w:szCs w:val="28"/>
        </w:rPr>
      </w:pPr>
      <w:r>
        <w:rPr>
          <w:rFonts w:hint="eastAsia"/>
          <w:kern w:val="0"/>
          <w:szCs w:val="28"/>
        </w:rPr>
        <w:t>2025年3月，标准编制工作组查阅了大量的国内文献资料，对</w:t>
      </w:r>
      <w:r>
        <w:rPr>
          <w:rFonts w:hint="eastAsia"/>
          <w:color w:val="auto"/>
          <w:kern w:val="0"/>
          <w:szCs w:val="28"/>
          <w:lang w:eastAsia="zh-CN"/>
        </w:rPr>
        <w:t>腹膜透析患者并发症评估</w:t>
      </w:r>
      <w:r>
        <w:rPr>
          <w:rFonts w:hint="eastAsia"/>
          <w:kern w:val="0"/>
          <w:szCs w:val="28"/>
        </w:rPr>
        <w:t>相关的文件进行系统总结。形成了标准的基本</w:t>
      </w:r>
      <w:r>
        <w:rPr>
          <w:rFonts w:hint="eastAsia"/>
          <w:color w:val="auto"/>
          <w:kern w:val="0"/>
          <w:szCs w:val="28"/>
        </w:rPr>
        <w:t>构架，对主要内容进行了讨论并对项目的工作进行了部署和安排。</w:t>
      </w:r>
    </w:p>
    <w:p w14:paraId="1EF60DC3">
      <w:pPr>
        <w:keepNext w:val="0"/>
        <w:keepLines w:val="0"/>
        <w:pageBreakBefore w:val="0"/>
        <w:widowControl w:val="0"/>
        <w:kinsoku/>
        <w:wordWrap/>
        <w:overflowPunct/>
        <w:topLinePunct w:val="0"/>
        <w:bidi w:val="0"/>
        <w:spacing w:line="520" w:lineRule="exact"/>
        <w:ind w:firstLine="560"/>
        <w:rPr>
          <w:rFonts w:hint="eastAsia"/>
          <w:color w:val="auto"/>
          <w:szCs w:val="28"/>
        </w:rPr>
      </w:pPr>
      <w:r>
        <w:rPr>
          <w:rFonts w:hint="eastAsia"/>
          <w:color w:val="auto"/>
          <w:kern w:val="0"/>
          <w:szCs w:val="28"/>
        </w:rPr>
        <w:t>202</w:t>
      </w:r>
      <w:r>
        <w:rPr>
          <w:rFonts w:hint="eastAsia"/>
          <w:color w:val="auto"/>
          <w:kern w:val="0"/>
          <w:szCs w:val="28"/>
          <w:lang w:val="en-US" w:eastAsia="zh-CN"/>
        </w:rPr>
        <w:t>5</w:t>
      </w:r>
      <w:r>
        <w:rPr>
          <w:rFonts w:hint="eastAsia"/>
          <w:color w:val="auto"/>
          <w:kern w:val="0"/>
          <w:szCs w:val="28"/>
        </w:rPr>
        <w:t>年</w:t>
      </w:r>
      <w:r>
        <w:rPr>
          <w:rFonts w:hint="eastAsia"/>
          <w:color w:val="auto"/>
          <w:kern w:val="0"/>
          <w:szCs w:val="28"/>
          <w:lang w:val="en-US" w:eastAsia="zh-CN"/>
        </w:rPr>
        <w:t>4</w:t>
      </w:r>
      <w:r>
        <w:rPr>
          <w:rFonts w:hint="eastAsia"/>
          <w:color w:val="auto"/>
          <w:kern w:val="0"/>
          <w:szCs w:val="28"/>
        </w:rPr>
        <w:t>月，团体标准《</w:t>
      </w:r>
      <w:r>
        <w:rPr>
          <w:rFonts w:hint="eastAsia"/>
          <w:color w:val="auto"/>
          <w:kern w:val="0"/>
          <w:szCs w:val="28"/>
          <w:lang w:eastAsia="zh-CN"/>
        </w:rPr>
        <w:t>腹膜透析患者并发症评估规范</w:t>
      </w:r>
      <w:r>
        <w:rPr>
          <w:rFonts w:hint="eastAsia"/>
          <w:color w:val="auto"/>
          <w:kern w:val="0"/>
          <w:szCs w:val="28"/>
        </w:rPr>
        <w:t>》</w:t>
      </w:r>
      <w:r>
        <w:rPr>
          <w:rFonts w:hint="eastAsia" w:hAnsi="宋体"/>
          <w:color w:val="auto"/>
          <w:szCs w:val="28"/>
        </w:rPr>
        <w:t>获批立项</w:t>
      </w:r>
      <w:r>
        <w:rPr>
          <w:rFonts w:hint="eastAsia"/>
          <w:color w:val="auto"/>
          <w:kern w:val="0"/>
          <w:szCs w:val="28"/>
        </w:rPr>
        <w:t>，</w:t>
      </w:r>
      <w:r>
        <w:rPr>
          <w:rFonts w:hint="eastAsia"/>
          <w:kern w:val="0"/>
          <w:szCs w:val="28"/>
        </w:rPr>
        <w:t>在前期工作的基础之上，通过理清逻辑脉络，整合已有参考资料中有关</w:t>
      </w:r>
      <w:r>
        <w:rPr>
          <w:rFonts w:hint="eastAsia"/>
          <w:szCs w:val="28"/>
          <w:lang w:eastAsia="zh-CN"/>
        </w:rPr>
        <w:t>腹膜透析患者并发症评估</w:t>
      </w:r>
      <w:r>
        <w:rPr>
          <w:rFonts w:hint="eastAsia"/>
          <w:kern w:val="0"/>
          <w:szCs w:val="28"/>
        </w:rPr>
        <w:t>的要求，并在目前</w:t>
      </w:r>
      <w:r>
        <w:rPr>
          <w:rFonts w:hint="eastAsia" w:ascii="仿宋_GB2312" w:eastAsia="仿宋_GB2312"/>
          <w:color w:val="auto"/>
          <w:sz w:val="28"/>
          <w:szCs w:val="28"/>
          <w:lang w:eastAsia="zh-CN"/>
        </w:rPr>
        <w:t>腹膜透析患者并发症评估</w:t>
      </w:r>
      <w:r>
        <w:rPr>
          <w:rFonts w:hint="eastAsia"/>
          <w:kern w:val="0"/>
          <w:szCs w:val="28"/>
        </w:rPr>
        <w:t>实际操作的基础上，按照简化、统一等原则编制完成团体标准《</w:t>
      </w:r>
      <w:r>
        <w:rPr>
          <w:rFonts w:hint="eastAsia"/>
          <w:kern w:val="0"/>
          <w:szCs w:val="28"/>
          <w:lang w:eastAsia="zh-CN"/>
        </w:rPr>
        <w:t>腹膜透析患者并发症评估规范</w:t>
      </w:r>
      <w:r>
        <w:rPr>
          <w:rFonts w:hint="eastAsia"/>
          <w:kern w:val="0"/>
          <w:szCs w:val="28"/>
        </w:rPr>
        <w:t>》（</w:t>
      </w:r>
      <w:r>
        <w:rPr>
          <w:rFonts w:hint="eastAsia"/>
          <w:color w:val="auto"/>
          <w:kern w:val="0"/>
          <w:szCs w:val="28"/>
        </w:rPr>
        <w:t>草案）。</w:t>
      </w:r>
    </w:p>
    <w:p w14:paraId="607ABA12">
      <w:pPr>
        <w:keepNext w:val="0"/>
        <w:keepLines w:val="0"/>
        <w:pageBreakBefore w:val="0"/>
        <w:widowControl w:val="0"/>
        <w:kinsoku/>
        <w:wordWrap/>
        <w:overflowPunct/>
        <w:topLinePunct w:val="0"/>
        <w:bidi w:val="0"/>
        <w:spacing w:line="520" w:lineRule="exact"/>
        <w:ind w:firstLine="560"/>
        <w:rPr>
          <w:rFonts w:hint="eastAsia"/>
          <w:kern w:val="0"/>
          <w:szCs w:val="28"/>
        </w:rPr>
      </w:pPr>
      <w:r>
        <w:rPr>
          <w:rFonts w:hint="eastAsia"/>
          <w:color w:val="auto"/>
          <w:kern w:val="0"/>
          <w:szCs w:val="28"/>
        </w:rPr>
        <w:t>202</w:t>
      </w:r>
      <w:r>
        <w:rPr>
          <w:rFonts w:hint="eastAsia"/>
          <w:color w:val="auto"/>
          <w:kern w:val="0"/>
          <w:szCs w:val="28"/>
          <w:lang w:val="en-US" w:eastAsia="zh-CN"/>
        </w:rPr>
        <w:t>5</w:t>
      </w:r>
      <w:r>
        <w:rPr>
          <w:rFonts w:hint="eastAsia"/>
          <w:color w:val="auto"/>
          <w:kern w:val="0"/>
          <w:szCs w:val="28"/>
        </w:rPr>
        <w:t>年</w:t>
      </w:r>
      <w:r>
        <w:rPr>
          <w:rFonts w:hint="eastAsia"/>
          <w:color w:val="auto"/>
          <w:kern w:val="0"/>
          <w:szCs w:val="28"/>
          <w:lang w:val="en-US" w:eastAsia="zh-CN"/>
        </w:rPr>
        <w:t>4</w:t>
      </w:r>
      <w:r>
        <w:rPr>
          <w:rFonts w:hint="eastAsia"/>
          <w:color w:val="auto"/>
          <w:kern w:val="0"/>
          <w:szCs w:val="28"/>
        </w:rPr>
        <w:t>月～202</w:t>
      </w:r>
      <w:r>
        <w:rPr>
          <w:rFonts w:hint="eastAsia"/>
          <w:color w:val="auto"/>
          <w:kern w:val="0"/>
          <w:szCs w:val="28"/>
          <w:lang w:val="en-US" w:eastAsia="zh-CN"/>
        </w:rPr>
        <w:t>5</w:t>
      </w:r>
      <w:r>
        <w:rPr>
          <w:rFonts w:hint="eastAsia"/>
          <w:color w:val="auto"/>
          <w:kern w:val="0"/>
          <w:szCs w:val="28"/>
        </w:rPr>
        <w:t>年</w:t>
      </w:r>
      <w:r>
        <w:rPr>
          <w:rFonts w:hint="eastAsia"/>
          <w:color w:val="auto"/>
          <w:kern w:val="0"/>
          <w:szCs w:val="28"/>
          <w:lang w:val="en-US" w:eastAsia="zh-CN"/>
        </w:rPr>
        <w:t>6</w:t>
      </w:r>
      <w:r>
        <w:rPr>
          <w:rFonts w:hint="eastAsia"/>
          <w:color w:val="auto"/>
          <w:kern w:val="0"/>
          <w:szCs w:val="28"/>
        </w:rPr>
        <w:t>月，标准编制工作组深入各地实施</w:t>
      </w:r>
      <w:r>
        <w:rPr>
          <w:rFonts w:hint="eastAsia" w:ascii="仿宋_GB2312" w:eastAsia="仿宋_GB2312"/>
          <w:color w:val="auto"/>
          <w:sz w:val="28"/>
          <w:szCs w:val="28"/>
          <w:lang w:eastAsia="zh-CN"/>
        </w:rPr>
        <w:t>腹膜透析患者并发症评估</w:t>
      </w:r>
      <w:r>
        <w:rPr>
          <w:rFonts w:hint="eastAsia" w:hAnsi="宋体"/>
          <w:color w:val="auto"/>
          <w:szCs w:val="28"/>
        </w:rPr>
        <w:t>的有代表性的医院，如</w:t>
      </w:r>
      <w:r>
        <w:rPr>
          <w:rFonts w:hint="eastAsia"/>
          <w:color w:val="auto"/>
          <w:szCs w:val="28"/>
        </w:rPr>
        <w:t>玉林市第一人民医院、浙江大学医学院附属第一医院、南方医科大学南方医院、中国科学技术大学附属第一医院(安徽省立医院)、温州医科大学附属第一医院、赣南医科大学第一附属医院、福州大学附属省立医院、贵州医科大学附属医院、南昌大学第一附属医院、广西医科大学第一附属医院、广西医科大学第二附属医院、广西中医药大学第一附属医院、广西壮族自治区人民医院、右江民族医学院附属医院、桂林医学院附属医院、柳州市人民医院、柳州市工人医院、丽水市中心医院、瑞安市人民医院、中山市中医院、南方医科大学顺德医院、百色市人民医院、广西柳钢医疗有限公司医院、玉林市红十字会医院、钦州市第一人民医院、贵港市人民医院、广西壮族自治区民族医院、广西壮族自治区桂东人民医院、北海市第二人民医院、平南县人民医院、博白县人民医院</w:t>
      </w:r>
      <w:r>
        <w:rPr>
          <w:rFonts w:hint="eastAsia"/>
          <w:kern w:val="0"/>
          <w:szCs w:val="28"/>
        </w:rPr>
        <w:t>等召开标准研讨会，收集反馈了大量意见，对标准草案进行了反复修改和研究讨论，掌握了</w:t>
      </w:r>
      <w:r>
        <w:rPr>
          <w:rFonts w:hint="eastAsia"/>
          <w:kern w:val="0"/>
          <w:szCs w:val="28"/>
          <w:lang w:eastAsia="zh-CN"/>
        </w:rPr>
        <w:t>腹膜透析患者并发症评估</w:t>
      </w:r>
      <w:r>
        <w:rPr>
          <w:rFonts w:hint="eastAsia"/>
          <w:kern w:val="0"/>
          <w:szCs w:val="28"/>
        </w:rPr>
        <w:t>的基本情况以及要求，最终形成了</w:t>
      </w:r>
      <w:bookmarkStart w:id="1" w:name="_Hlk120181503"/>
      <w:r>
        <w:rPr>
          <w:rFonts w:hint="eastAsia"/>
          <w:kern w:val="0"/>
          <w:szCs w:val="28"/>
        </w:rPr>
        <w:t>团体标准《</w:t>
      </w:r>
      <w:r>
        <w:rPr>
          <w:rFonts w:hint="eastAsia"/>
          <w:kern w:val="0"/>
          <w:szCs w:val="28"/>
          <w:lang w:eastAsia="zh-CN"/>
        </w:rPr>
        <w:t>腹膜透析患者并发症评估规范</w:t>
      </w:r>
      <w:r>
        <w:rPr>
          <w:rFonts w:hint="eastAsia"/>
          <w:kern w:val="0"/>
          <w:szCs w:val="28"/>
        </w:rPr>
        <w:t>》（征求意见稿）及其编制说明。</w:t>
      </w:r>
      <w:bookmarkEnd w:id="1"/>
    </w:p>
    <w:p w14:paraId="5F412246">
      <w:pPr>
        <w:keepNext w:val="0"/>
        <w:keepLines w:val="0"/>
        <w:pageBreakBefore w:val="0"/>
        <w:widowControl w:val="0"/>
        <w:kinsoku/>
        <w:wordWrap/>
        <w:overflowPunct/>
        <w:topLinePunct w:val="0"/>
        <w:autoSpaceDE w:val="0"/>
        <w:autoSpaceDN w:val="0"/>
        <w:bidi w:val="0"/>
        <w:adjustRightInd w:val="0"/>
        <w:spacing w:line="520" w:lineRule="exact"/>
        <w:ind w:firstLine="640"/>
        <w:jc w:val="left"/>
        <w:rPr>
          <w:rFonts w:hint="eastAsia"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60CCBA2F">
      <w:pPr>
        <w:keepNext w:val="0"/>
        <w:keepLines w:val="0"/>
        <w:pageBreakBefore w:val="0"/>
        <w:widowControl w:val="0"/>
        <w:tabs>
          <w:tab w:val="center" w:pos="4201"/>
          <w:tab w:val="right" w:leader="dot" w:pos="9298"/>
        </w:tabs>
        <w:kinsoku/>
        <w:wordWrap/>
        <w:overflowPunct/>
        <w:topLinePunct w:val="0"/>
        <w:autoSpaceDE w:val="0"/>
        <w:autoSpaceDN w:val="0"/>
        <w:bidi w:val="0"/>
        <w:spacing w:line="520" w:lineRule="exact"/>
        <w:ind w:firstLine="562"/>
        <w:outlineLvl w:val="1"/>
        <w:rPr>
          <w:rFonts w:hint="eastAsia"/>
          <w:b/>
          <w:bCs/>
          <w:kern w:val="0"/>
          <w:szCs w:val="28"/>
        </w:rPr>
      </w:pPr>
      <w:r>
        <w:rPr>
          <w:rFonts w:hint="eastAsia"/>
          <w:b/>
          <w:bCs/>
          <w:kern w:val="0"/>
          <w:szCs w:val="28"/>
        </w:rPr>
        <w:t>（一）编制原则</w:t>
      </w:r>
    </w:p>
    <w:p w14:paraId="290F865A">
      <w:pPr>
        <w:keepNext w:val="0"/>
        <w:keepLines w:val="0"/>
        <w:pageBreakBefore w:val="0"/>
        <w:widowControl w:val="0"/>
        <w:kinsoku/>
        <w:wordWrap/>
        <w:overflowPunct/>
        <w:topLinePunct w:val="0"/>
        <w:bidi w:val="0"/>
        <w:spacing w:line="520" w:lineRule="exact"/>
        <w:ind w:firstLine="562"/>
        <w:rPr>
          <w:rFonts w:hint="eastAsia"/>
          <w:b/>
          <w:szCs w:val="28"/>
        </w:rPr>
      </w:pPr>
      <w:r>
        <w:rPr>
          <w:rFonts w:hint="eastAsia"/>
          <w:b/>
          <w:szCs w:val="28"/>
        </w:rPr>
        <w:t>1、实用性原则</w:t>
      </w:r>
    </w:p>
    <w:p w14:paraId="53A1E60A">
      <w:pPr>
        <w:keepNext w:val="0"/>
        <w:keepLines w:val="0"/>
        <w:pageBreakBefore w:val="0"/>
        <w:widowControl w:val="0"/>
        <w:kinsoku/>
        <w:wordWrap/>
        <w:overflowPunct/>
        <w:topLinePunct w:val="0"/>
        <w:bidi w:val="0"/>
        <w:spacing w:line="520" w:lineRule="exact"/>
        <w:ind w:firstLine="560"/>
        <w:rPr>
          <w:rFonts w:hint="eastAsia" w:cs="仿宋"/>
          <w:szCs w:val="28"/>
        </w:rPr>
      </w:pPr>
      <w:r>
        <w:rPr>
          <w:rFonts w:hint="eastAsia" w:cs="仿宋"/>
          <w:szCs w:val="28"/>
        </w:rPr>
        <w:t>本标准是在充分收集国内外相关资料和文献、调研分析</w:t>
      </w:r>
      <w:r>
        <w:rPr>
          <w:rFonts w:hint="eastAsia"/>
          <w:kern w:val="0"/>
          <w:szCs w:val="28"/>
          <w:lang w:eastAsia="zh-CN"/>
        </w:rPr>
        <w:t>腹膜透析患者并发症评估</w:t>
      </w:r>
      <w:r>
        <w:rPr>
          <w:rFonts w:hint="eastAsia" w:cs="仿宋"/>
          <w:szCs w:val="28"/>
        </w:rPr>
        <w:t>现状，结合起草单位前期研究工作取得的研究成果及积累的实践经验，并借鉴国内</w:t>
      </w:r>
      <w:r>
        <w:rPr>
          <w:rFonts w:hint="eastAsia"/>
          <w:kern w:val="0"/>
          <w:szCs w:val="28"/>
          <w:lang w:eastAsia="zh-CN"/>
        </w:rPr>
        <w:t>腹膜透析患者并发症评估</w:t>
      </w:r>
      <w:r>
        <w:rPr>
          <w:rFonts w:hint="eastAsia" w:cs="仿宋"/>
          <w:szCs w:val="28"/>
        </w:rPr>
        <w:t>进行总结起草的，符合工作实际，利于</w:t>
      </w:r>
      <w:r>
        <w:rPr>
          <w:rFonts w:hint="eastAsia"/>
          <w:kern w:val="0"/>
          <w:szCs w:val="28"/>
          <w:lang w:eastAsia="zh-CN"/>
        </w:rPr>
        <w:t>腹膜透析患者并发症评估</w:t>
      </w:r>
      <w:r>
        <w:rPr>
          <w:rFonts w:hint="eastAsia" w:cs="仿宋"/>
          <w:szCs w:val="28"/>
        </w:rPr>
        <w:t>的实施与推广，具有可操作性和实用性。</w:t>
      </w:r>
    </w:p>
    <w:p w14:paraId="0502E215">
      <w:pPr>
        <w:keepNext w:val="0"/>
        <w:keepLines w:val="0"/>
        <w:pageBreakBefore w:val="0"/>
        <w:widowControl w:val="0"/>
        <w:kinsoku/>
        <w:wordWrap/>
        <w:overflowPunct/>
        <w:topLinePunct w:val="0"/>
        <w:bidi w:val="0"/>
        <w:spacing w:line="520" w:lineRule="exact"/>
        <w:ind w:firstLine="562"/>
        <w:rPr>
          <w:rFonts w:hint="eastAsia"/>
          <w:b/>
          <w:szCs w:val="28"/>
        </w:rPr>
      </w:pPr>
      <w:r>
        <w:rPr>
          <w:rFonts w:hint="eastAsia"/>
          <w:b/>
          <w:szCs w:val="28"/>
        </w:rPr>
        <w:t>2、协调性原则</w:t>
      </w:r>
    </w:p>
    <w:p w14:paraId="5AA7E7F0">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本文件编写过程中注意了与</w:t>
      </w:r>
      <w:r>
        <w:rPr>
          <w:rFonts w:hint="eastAsia"/>
          <w:kern w:val="0"/>
          <w:szCs w:val="28"/>
          <w:lang w:eastAsia="zh-CN"/>
        </w:rPr>
        <w:t>腹膜透析患者并发症评估</w:t>
      </w:r>
      <w:r>
        <w:rPr>
          <w:rFonts w:hint="eastAsia"/>
          <w:szCs w:val="28"/>
        </w:rPr>
        <w:t>相关法律法规的协调问题，在内容上与现行法律法规、标准协调一致。</w:t>
      </w:r>
    </w:p>
    <w:p w14:paraId="7679D7BF">
      <w:pPr>
        <w:keepNext w:val="0"/>
        <w:keepLines w:val="0"/>
        <w:pageBreakBefore w:val="0"/>
        <w:widowControl w:val="0"/>
        <w:kinsoku/>
        <w:wordWrap/>
        <w:overflowPunct/>
        <w:topLinePunct w:val="0"/>
        <w:bidi w:val="0"/>
        <w:spacing w:line="520" w:lineRule="exact"/>
        <w:ind w:firstLine="562"/>
        <w:rPr>
          <w:rFonts w:hint="eastAsia"/>
          <w:b/>
          <w:szCs w:val="28"/>
        </w:rPr>
      </w:pPr>
      <w:r>
        <w:rPr>
          <w:rFonts w:hint="eastAsia"/>
          <w:b/>
          <w:szCs w:val="28"/>
        </w:rPr>
        <w:t>3、规范性原则</w:t>
      </w:r>
    </w:p>
    <w:p w14:paraId="3B56BA5D">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本文件严格按照GB/T 1.1—2020《标准化工作导则  第1部分：标准化文件的结构和起草规则》编写本标准的内容，保证标准的编写质量。</w:t>
      </w:r>
    </w:p>
    <w:p w14:paraId="093864EB">
      <w:pPr>
        <w:keepNext w:val="0"/>
        <w:keepLines w:val="0"/>
        <w:pageBreakBefore w:val="0"/>
        <w:widowControl w:val="0"/>
        <w:kinsoku/>
        <w:wordWrap/>
        <w:overflowPunct/>
        <w:topLinePunct w:val="0"/>
        <w:bidi w:val="0"/>
        <w:spacing w:line="520" w:lineRule="exact"/>
        <w:ind w:firstLine="562"/>
        <w:rPr>
          <w:rFonts w:hint="eastAsia"/>
          <w:b/>
          <w:szCs w:val="28"/>
        </w:rPr>
      </w:pPr>
      <w:r>
        <w:rPr>
          <w:rFonts w:hint="eastAsia"/>
          <w:b/>
          <w:szCs w:val="28"/>
        </w:rPr>
        <w:t>4、前瞻性原则</w:t>
      </w:r>
    </w:p>
    <w:p w14:paraId="53844AC2">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本文件在兼顾当前区内</w:t>
      </w:r>
      <w:r>
        <w:rPr>
          <w:rFonts w:hint="eastAsia"/>
          <w:kern w:val="0"/>
          <w:szCs w:val="28"/>
          <w:lang w:eastAsia="zh-CN"/>
        </w:rPr>
        <w:t>腹膜透析患者并发症评估</w:t>
      </w:r>
      <w:r>
        <w:rPr>
          <w:rFonts w:hint="eastAsia"/>
          <w:szCs w:val="28"/>
        </w:rPr>
        <w:t>现实情况的同时，还考虑到了</w:t>
      </w:r>
      <w:r>
        <w:rPr>
          <w:rFonts w:hint="eastAsia"/>
          <w:kern w:val="0"/>
          <w:szCs w:val="28"/>
          <w:lang w:eastAsia="zh-CN"/>
        </w:rPr>
        <w:t>腹膜透析患者并发症评估</w:t>
      </w:r>
      <w:r>
        <w:rPr>
          <w:rFonts w:hint="eastAsia"/>
          <w:szCs w:val="28"/>
        </w:rPr>
        <w:t>的需要，在标准中体现了个别特色性、前瞻性和先进性条款，作为对</w:t>
      </w:r>
      <w:r>
        <w:rPr>
          <w:rFonts w:hint="eastAsia"/>
          <w:kern w:val="0"/>
          <w:szCs w:val="28"/>
          <w:lang w:eastAsia="zh-CN"/>
        </w:rPr>
        <w:t>腹膜透析患者并发症评估</w:t>
      </w:r>
      <w:r>
        <w:rPr>
          <w:rFonts w:hint="eastAsia"/>
          <w:szCs w:val="28"/>
        </w:rPr>
        <w:t>发展的指导。</w:t>
      </w:r>
    </w:p>
    <w:p w14:paraId="1534E7F2">
      <w:pPr>
        <w:keepNext w:val="0"/>
        <w:keepLines w:val="0"/>
        <w:pageBreakBefore w:val="0"/>
        <w:widowControl w:val="0"/>
        <w:kinsoku/>
        <w:wordWrap/>
        <w:overflowPunct/>
        <w:topLinePunct w:val="0"/>
        <w:bidi w:val="0"/>
        <w:spacing w:line="520" w:lineRule="exact"/>
        <w:ind w:firstLine="562"/>
        <w:rPr>
          <w:rFonts w:hint="eastAsia"/>
          <w:b/>
          <w:bCs/>
          <w:szCs w:val="28"/>
        </w:rPr>
      </w:pPr>
      <w:r>
        <w:rPr>
          <w:rFonts w:hint="eastAsia"/>
          <w:b/>
          <w:bCs/>
          <w:szCs w:val="28"/>
        </w:rPr>
        <w:t>（二）编制依据</w:t>
      </w:r>
    </w:p>
    <w:p w14:paraId="29B2DEDF">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本标准严格按照GB/T 1.1—2020《标准化工作导则  第1部分：标准化文件的结构和起草规则》的规则起草，标准主要内容依据起草单位在</w:t>
      </w:r>
      <w:r>
        <w:rPr>
          <w:rFonts w:hint="eastAsia"/>
          <w:kern w:val="0"/>
          <w:szCs w:val="28"/>
          <w:lang w:eastAsia="zh-CN"/>
        </w:rPr>
        <w:t>腹膜透析患者并发症评估</w:t>
      </w:r>
      <w:r>
        <w:rPr>
          <w:rFonts w:hint="eastAsia"/>
          <w:szCs w:val="28"/>
        </w:rPr>
        <w:t>研究应用过程中的实践经验确定。</w:t>
      </w:r>
    </w:p>
    <w:p w14:paraId="4E1CCE14">
      <w:pPr>
        <w:keepNext w:val="0"/>
        <w:keepLines w:val="0"/>
        <w:pageBreakBefore w:val="0"/>
        <w:widowControl w:val="0"/>
        <w:kinsoku/>
        <w:wordWrap/>
        <w:overflowPunct/>
        <w:topLinePunct w:val="0"/>
        <w:bidi w:val="0"/>
        <w:spacing w:line="520" w:lineRule="exact"/>
        <w:ind w:firstLine="562"/>
        <w:rPr>
          <w:rFonts w:hint="eastAsia"/>
          <w:b/>
          <w:bCs/>
          <w:szCs w:val="28"/>
        </w:rPr>
      </w:pPr>
      <w:r>
        <w:rPr>
          <w:rFonts w:hint="eastAsia"/>
          <w:b/>
          <w:bCs/>
          <w:szCs w:val="28"/>
        </w:rPr>
        <w:t>（三）与现行法律、法规的关系，与有关国家标准、行业标准的协调情况</w:t>
      </w:r>
    </w:p>
    <w:p w14:paraId="421AB087">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本标准与相关法律法规、强制性标准协调一致，无冲突。</w:t>
      </w:r>
    </w:p>
    <w:p w14:paraId="24980EAF">
      <w:pPr>
        <w:keepNext w:val="0"/>
        <w:keepLines w:val="0"/>
        <w:pageBreakBefore w:val="0"/>
        <w:widowControl w:val="0"/>
        <w:kinsoku/>
        <w:wordWrap/>
        <w:overflowPunct/>
        <w:topLinePunct w:val="0"/>
        <w:bidi w:val="0"/>
        <w:adjustRightInd w:val="0"/>
        <w:snapToGrid w:val="0"/>
        <w:spacing w:line="520" w:lineRule="exact"/>
        <w:ind w:firstLine="560"/>
        <w:rPr>
          <w:rFonts w:hint="eastAsia" w:cs="仿宋"/>
          <w:bCs/>
          <w:szCs w:val="28"/>
        </w:rPr>
      </w:pPr>
      <w:r>
        <w:rPr>
          <w:rFonts w:hint="eastAsia" w:cs="仿宋"/>
          <w:bCs/>
          <w:szCs w:val="28"/>
        </w:rPr>
        <w:t>经查阅，国内暂无与“腹膜透析  并发症”、“透析  并发症评估”相关的标准。</w:t>
      </w:r>
    </w:p>
    <w:p w14:paraId="4F6AB2FB">
      <w:pPr>
        <w:keepNext w:val="0"/>
        <w:keepLines w:val="0"/>
        <w:pageBreakBefore w:val="0"/>
        <w:widowControl w:val="0"/>
        <w:kinsoku/>
        <w:wordWrap/>
        <w:overflowPunct/>
        <w:topLinePunct w:val="0"/>
        <w:bidi w:val="0"/>
        <w:adjustRightInd w:val="0"/>
        <w:snapToGrid w:val="0"/>
        <w:spacing w:line="520" w:lineRule="exact"/>
        <w:ind w:firstLine="560"/>
        <w:rPr>
          <w:rFonts w:hint="eastAsia"/>
        </w:rPr>
      </w:pPr>
      <w:r>
        <w:rPr>
          <w:rFonts w:hint="eastAsia" w:cs="仿宋"/>
          <w:bCs/>
          <w:szCs w:val="28"/>
        </w:rPr>
        <w:t>当前未制定有团体标准《</w:t>
      </w:r>
      <w:r>
        <w:rPr>
          <w:rFonts w:hint="eastAsia" w:cs="仿宋"/>
          <w:bCs/>
          <w:szCs w:val="28"/>
          <w:lang w:eastAsia="zh-CN"/>
        </w:rPr>
        <w:t>腹膜透析患者并发症评估规范</w:t>
      </w:r>
      <w:r>
        <w:rPr>
          <w:rFonts w:hint="eastAsia" w:cs="仿宋"/>
          <w:bCs/>
          <w:szCs w:val="28"/>
        </w:rPr>
        <w:t>》。</w:t>
      </w:r>
    </w:p>
    <w:p w14:paraId="4B611CC0">
      <w:pPr>
        <w:keepNext w:val="0"/>
        <w:keepLines w:val="0"/>
        <w:pageBreakBefore w:val="0"/>
        <w:widowControl w:val="0"/>
        <w:kinsoku/>
        <w:wordWrap/>
        <w:overflowPunct/>
        <w:topLinePunct w:val="0"/>
        <w:bidi w:val="0"/>
        <w:spacing w:before="240" w:after="60" w:line="520" w:lineRule="exact"/>
        <w:ind w:firstLine="640"/>
        <w:jc w:val="left"/>
        <w:outlineLvl w:val="0"/>
        <w:rPr>
          <w:rFonts w:hint="eastAsia" w:ascii="黑体" w:eastAsia="黑体"/>
          <w:bCs/>
          <w:sz w:val="32"/>
          <w:szCs w:val="32"/>
        </w:rPr>
      </w:pPr>
      <w:r>
        <w:rPr>
          <w:rFonts w:hint="eastAsia" w:ascii="黑体" w:eastAsia="黑体"/>
          <w:bCs/>
          <w:sz w:val="32"/>
          <w:szCs w:val="32"/>
        </w:rPr>
        <w:t>五、主要条款的说明</w:t>
      </w:r>
    </w:p>
    <w:p w14:paraId="6798DC3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b/>
          <w:bCs/>
          <w:sz w:val="28"/>
          <w:szCs w:val="28"/>
        </w:rPr>
        <w:t>标准技术内容规定了</w:t>
      </w:r>
      <w:r>
        <w:rPr>
          <w:rFonts w:hint="eastAsia" w:ascii="仿宋_GB2312" w:eastAsia="仿宋_GB2312" w:cs="仿宋"/>
          <w:sz w:val="28"/>
          <w:szCs w:val="28"/>
          <w:lang w:eastAsia="zh-CN"/>
        </w:rPr>
        <w:t>腹膜透析患者并发症评估</w:t>
      </w:r>
      <w:r>
        <w:rPr>
          <w:rFonts w:hint="eastAsia" w:ascii="仿宋_GB2312" w:eastAsia="仿宋_GB2312" w:cs="仿宋"/>
          <w:sz w:val="28"/>
          <w:szCs w:val="28"/>
        </w:rPr>
        <w:t>的人员要求、评估</w:t>
      </w:r>
      <w:r>
        <w:rPr>
          <w:rFonts w:hint="eastAsia" w:ascii="仿宋_GB2312" w:eastAsia="仿宋_GB2312" w:cs="仿宋"/>
          <w:sz w:val="28"/>
          <w:szCs w:val="28"/>
          <w:lang w:eastAsia="zh-CN"/>
        </w:rPr>
        <w:t>流程</w:t>
      </w:r>
      <w:r>
        <w:rPr>
          <w:rFonts w:hint="eastAsia" w:ascii="仿宋_GB2312" w:eastAsia="仿宋_GB2312" w:cs="仿宋"/>
          <w:sz w:val="28"/>
          <w:szCs w:val="28"/>
        </w:rPr>
        <w:t>、</w:t>
      </w:r>
      <w:r>
        <w:rPr>
          <w:rFonts w:hint="eastAsia" w:ascii="仿宋_GB2312" w:eastAsia="仿宋_GB2312" w:cs="仿宋"/>
          <w:sz w:val="28"/>
          <w:szCs w:val="28"/>
          <w:lang w:eastAsia="zh-CN"/>
        </w:rPr>
        <w:t>评估内容</w:t>
      </w:r>
      <w:r>
        <w:rPr>
          <w:rFonts w:hint="eastAsia" w:ascii="仿宋_GB2312" w:eastAsia="仿宋_GB2312" w:cs="仿宋"/>
          <w:sz w:val="28"/>
          <w:szCs w:val="28"/>
        </w:rPr>
        <w:t>的要求</w:t>
      </w:r>
      <w:r>
        <w:rPr>
          <w:rFonts w:hint="eastAsia" w:ascii="仿宋_GB2312" w:eastAsia="仿宋_GB2312" w:cs="仿宋"/>
          <w:sz w:val="28"/>
          <w:szCs w:val="28"/>
          <w:lang w:eastAsia="zh-CN"/>
        </w:rPr>
        <w:t>。</w:t>
      </w:r>
    </w:p>
    <w:p w14:paraId="7657DD11">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b w:val="0"/>
          <w:bCs w:val="0"/>
          <w:sz w:val="28"/>
          <w:szCs w:val="28"/>
          <w:lang w:val="en-US" w:eastAsia="zh-CN"/>
        </w:rPr>
      </w:pPr>
      <w:r>
        <w:rPr>
          <w:rFonts w:hint="eastAsia" w:ascii="仿宋_GB2312" w:eastAsia="仿宋_GB2312" w:cs="仿宋"/>
          <w:b w:val="0"/>
          <w:bCs w:val="0"/>
          <w:sz w:val="28"/>
          <w:szCs w:val="28"/>
          <w:lang w:val="en-US" w:eastAsia="zh-CN"/>
        </w:rPr>
        <w:t>（一）术语和定义</w:t>
      </w:r>
    </w:p>
    <w:p w14:paraId="3202711B">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腹膜透析</w:t>
      </w:r>
      <w:r>
        <w:rPr>
          <w:rFonts w:hint="eastAsia" w:ascii="仿宋_GB2312" w:eastAsia="仿宋_GB2312" w:cs="仿宋"/>
          <w:b w:val="0"/>
          <w:bCs w:val="0"/>
          <w:sz w:val="28"/>
          <w:szCs w:val="28"/>
          <w:lang w:eastAsia="zh-CN"/>
        </w:rPr>
        <w:t>的术语和定义参考《</w:t>
      </w:r>
      <w:r>
        <w:rPr>
          <w:rFonts w:hint="eastAsia" w:ascii="仿宋_GB2312" w:eastAsia="仿宋_GB2312" w:cs="仿宋"/>
          <w:sz w:val="28"/>
          <w:szCs w:val="28"/>
          <w:lang w:eastAsia="zh-CN"/>
        </w:rPr>
        <w:t>腹膜透析透析标准操作规程（2010版）</w:t>
      </w:r>
      <w:r>
        <w:rPr>
          <w:rFonts w:hint="eastAsia" w:ascii="仿宋_GB2312" w:eastAsia="仿宋_GB2312" w:cs="仿宋"/>
          <w:b w:val="0"/>
          <w:bCs w:val="0"/>
          <w:sz w:val="28"/>
          <w:szCs w:val="28"/>
          <w:lang w:eastAsia="zh-CN"/>
        </w:rPr>
        <w:t>》并结合起草单位的工作实际而确定为：一种将透析液灌入腹腔，通过腹膜进行弥散和超滤，清除体内代谢废物和水分，补充溶质的方法。</w:t>
      </w:r>
    </w:p>
    <w:p w14:paraId="5D944FB6">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b w:val="0"/>
          <w:bCs w:val="0"/>
          <w:sz w:val="28"/>
          <w:szCs w:val="28"/>
          <w:lang w:eastAsia="zh-CN"/>
        </w:rPr>
      </w:pPr>
      <w:r>
        <w:drawing>
          <wp:inline distT="0" distB="0" distL="0" distR="0">
            <wp:extent cx="3761105" cy="1896110"/>
            <wp:effectExtent l="9525" t="9525" r="20320" b="18415"/>
            <wp:docPr id="1958709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709428" name="图片 1"/>
                    <pic:cNvPicPr>
                      <a:picLocks noChangeAspect="1"/>
                    </pic:cNvPicPr>
                  </pic:nvPicPr>
                  <pic:blipFill>
                    <a:blip r:embed="rId7"/>
                    <a:stretch>
                      <a:fillRect/>
                    </a:stretch>
                  </pic:blipFill>
                  <pic:spPr>
                    <a:xfrm>
                      <a:off x="0" y="0"/>
                      <a:ext cx="3761105" cy="1896110"/>
                    </a:xfrm>
                    <a:prstGeom prst="rect">
                      <a:avLst/>
                    </a:prstGeom>
                    <a:ln>
                      <a:solidFill>
                        <a:schemeClr val="tx1"/>
                      </a:solidFill>
                    </a:ln>
                  </pic:spPr>
                </pic:pic>
              </a:graphicData>
            </a:graphic>
          </wp:inline>
        </w:drawing>
      </w:r>
    </w:p>
    <w:p w14:paraId="3A94E06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0B87B05C">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腹膜透析相关性腹膜炎</w:t>
      </w:r>
      <w:r>
        <w:rPr>
          <w:rFonts w:hint="eastAsia" w:ascii="仿宋_GB2312" w:eastAsia="仿宋_GB2312" w:cs="仿宋"/>
          <w:b w:val="0"/>
          <w:bCs w:val="0"/>
          <w:sz w:val="28"/>
          <w:szCs w:val="28"/>
          <w:lang w:eastAsia="zh-CN"/>
        </w:rPr>
        <w:t>的术语和定义参考《</w:t>
      </w:r>
      <w:r>
        <w:rPr>
          <w:rFonts w:hint="eastAsia" w:ascii="仿宋_GB2312" w:eastAsia="仿宋_GB2312" w:cs="仿宋"/>
          <w:sz w:val="28"/>
          <w:szCs w:val="28"/>
          <w:lang w:eastAsia="zh-CN"/>
        </w:rPr>
        <w:t>腹膜透析透析标准操作规程（2010版）</w:t>
      </w:r>
      <w:r>
        <w:rPr>
          <w:rFonts w:hint="eastAsia" w:ascii="仿宋_GB2312" w:eastAsia="仿宋_GB2312" w:cs="仿宋"/>
          <w:b w:val="0"/>
          <w:bCs w:val="0"/>
          <w:sz w:val="28"/>
          <w:szCs w:val="28"/>
          <w:lang w:eastAsia="zh-CN"/>
        </w:rPr>
        <w:t>》并结合起草单位的工作实际而确定为：患者在腹膜透析治疗过程中由于接触污染、胃肠道炎症、导管相关感染及医源性操作等原因造成致病原侵入腹腔引起的腹腔内急性感染性炎症。</w:t>
      </w:r>
    </w:p>
    <w:p w14:paraId="66B706E9">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0" distR="0">
            <wp:extent cx="5037455" cy="1044575"/>
            <wp:effectExtent l="0" t="0" r="0" b="0"/>
            <wp:docPr id="2545782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78290" name="图片 1"/>
                    <pic:cNvPicPr>
                      <a:picLocks noChangeAspect="1"/>
                    </pic:cNvPicPr>
                  </pic:nvPicPr>
                  <pic:blipFill>
                    <a:blip r:embed="rId8"/>
                    <a:srcRect t="40976"/>
                    <a:stretch>
                      <a:fillRect/>
                    </a:stretch>
                  </pic:blipFill>
                  <pic:spPr>
                    <a:xfrm>
                      <a:off x="0" y="0"/>
                      <a:ext cx="5049198" cy="1044575"/>
                    </a:xfrm>
                    <a:prstGeom prst="rect">
                      <a:avLst/>
                    </a:prstGeom>
                    <a:ln>
                      <a:solidFill>
                        <a:schemeClr val="tx1"/>
                      </a:solidFill>
                    </a:ln>
                  </pic:spPr>
                </pic:pic>
              </a:graphicData>
            </a:graphic>
          </wp:inline>
        </w:drawing>
      </w:r>
    </w:p>
    <w:p w14:paraId="2F23304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54EBF27E">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腹膜透析导管相关感染</w:t>
      </w:r>
      <w:r>
        <w:rPr>
          <w:rFonts w:hint="eastAsia" w:ascii="仿宋_GB2312" w:eastAsia="仿宋_GB2312" w:cs="仿宋"/>
          <w:b w:val="0"/>
          <w:bCs w:val="0"/>
          <w:sz w:val="28"/>
          <w:szCs w:val="28"/>
          <w:lang w:eastAsia="zh-CN"/>
        </w:rPr>
        <w:t>的术语和定义参考《</w:t>
      </w:r>
      <w:r>
        <w:rPr>
          <w:rFonts w:hint="eastAsia" w:ascii="仿宋_GB2312" w:eastAsia="仿宋_GB2312" w:cs="仿宋"/>
          <w:sz w:val="28"/>
          <w:szCs w:val="28"/>
          <w:lang w:eastAsia="zh-CN"/>
        </w:rPr>
        <w:t>腹膜透析透析标准操作规程（2010版）</w:t>
      </w:r>
      <w:r>
        <w:rPr>
          <w:rFonts w:hint="eastAsia" w:ascii="仿宋_GB2312" w:eastAsia="仿宋_GB2312" w:cs="仿宋"/>
          <w:b w:val="0"/>
          <w:bCs w:val="0"/>
          <w:sz w:val="28"/>
          <w:szCs w:val="28"/>
          <w:lang w:eastAsia="zh-CN"/>
        </w:rPr>
        <w:t>》并结合起草单位的工作实际而确定为：出口处感染和隧道感染统称为腹膜透析导管相关感染。</w:t>
      </w:r>
    </w:p>
    <w:p w14:paraId="684EB45B">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0" distR="0">
            <wp:extent cx="4978400" cy="1742440"/>
            <wp:effectExtent l="9525" t="9525" r="22225" b="19685"/>
            <wp:docPr id="19284304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30426" name="图片 1"/>
                    <pic:cNvPicPr>
                      <a:picLocks noChangeAspect="1"/>
                    </pic:cNvPicPr>
                  </pic:nvPicPr>
                  <pic:blipFill>
                    <a:blip r:embed="rId9"/>
                    <a:stretch>
                      <a:fillRect/>
                    </a:stretch>
                  </pic:blipFill>
                  <pic:spPr>
                    <a:xfrm>
                      <a:off x="0" y="0"/>
                      <a:ext cx="4978400" cy="1742440"/>
                    </a:xfrm>
                    <a:prstGeom prst="rect">
                      <a:avLst/>
                    </a:prstGeom>
                    <a:ln>
                      <a:solidFill>
                        <a:schemeClr val="tx1"/>
                      </a:solidFill>
                    </a:ln>
                  </pic:spPr>
                </pic:pic>
              </a:graphicData>
            </a:graphic>
          </wp:inline>
        </w:drawing>
      </w:r>
    </w:p>
    <w:p w14:paraId="104A7968">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3AB55C00">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腹腔内压力增高性并发症</w:t>
      </w:r>
      <w:r>
        <w:rPr>
          <w:rFonts w:hint="eastAsia" w:ascii="仿宋_GB2312" w:eastAsia="仿宋_GB2312" w:cs="仿宋"/>
          <w:b w:val="0"/>
          <w:bCs w:val="0"/>
          <w:sz w:val="28"/>
          <w:szCs w:val="28"/>
          <w:lang w:eastAsia="zh-CN"/>
        </w:rPr>
        <w:t>的术语和定义参考《腹膜透析相关并发症及防治研究进展》并结合起草单位的工作实际而确定为腹膜透析液灌入及腹部用力等因素至腹内压增高引起的疝气（腹股沟疝、脐疝、切口疝、股疝）和渗漏（胸腹漏、阴囊积液、会阴肿胀、腹壁渗漏等）并发症。</w:t>
      </w:r>
    </w:p>
    <w:p w14:paraId="78F6569D">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114300" distR="114300">
            <wp:extent cx="2194560" cy="2336800"/>
            <wp:effectExtent l="9525" t="9525" r="24765" b="1587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0"/>
                    <a:stretch>
                      <a:fillRect/>
                    </a:stretch>
                  </pic:blipFill>
                  <pic:spPr>
                    <a:xfrm>
                      <a:off x="0" y="0"/>
                      <a:ext cx="2194560" cy="2336800"/>
                    </a:xfrm>
                    <a:prstGeom prst="rect">
                      <a:avLst/>
                    </a:prstGeom>
                    <a:noFill/>
                    <a:ln>
                      <a:solidFill>
                        <a:schemeClr val="tx1"/>
                      </a:solidFill>
                    </a:ln>
                  </pic:spPr>
                </pic:pic>
              </a:graphicData>
            </a:graphic>
          </wp:inline>
        </w:drawing>
      </w:r>
    </w:p>
    <w:p w14:paraId="1D199765">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来源：腹膜透析相关并发症及防治研究进展</w:t>
      </w:r>
    </w:p>
    <w:p w14:paraId="230919C5">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导管功能障碍</w:t>
      </w:r>
      <w:r>
        <w:rPr>
          <w:rFonts w:hint="eastAsia" w:ascii="仿宋_GB2312" w:eastAsia="仿宋_GB2312" w:cs="仿宋"/>
          <w:b w:val="0"/>
          <w:bCs w:val="0"/>
          <w:sz w:val="28"/>
          <w:szCs w:val="28"/>
          <w:lang w:eastAsia="zh-CN"/>
        </w:rPr>
        <w:t>的术语和定义参考《腹膜透析导管相关并发症防治进展》并结合起草单位的工作实际而确定为：各种原因导致的腹膜透析导管不能发挥其引流和灌注功能，影响腹膜透析的顺利进行。</w:t>
      </w:r>
    </w:p>
    <w:p w14:paraId="17EA0AFA">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114300" distR="114300">
            <wp:extent cx="2345055" cy="2238375"/>
            <wp:effectExtent l="9525" t="9525" r="26670" b="190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2345055" cy="2238375"/>
                    </a:xfrm>
                    <a:prstGeom prst="rect">
                      <a:avLst/>
                    </a:prstGeom>
                    <a:noFill/>
                    <a:ln>
                      <a:solidFill>
                        <a:schemeClr val="tx1"/>
                      </a:solidFill>
                    </a:ln>
                  </pic:spPr>
                </pic:pic>
              </a:graphicData>
            </a:graphic>
          </wp:inline>
        </w:drawing>
      </w:r>
    </w:p>
    <w:p w14:paraId="67D05FC7">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来源：腹膜透析导管相关并发症防治进展</w:t>
      </w:r>
    </w:p>
    <w:p w14:paraId="22AACBA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代谢与系统并发症</w:t>
      </w:r>
      <w:r>
        <w:rPr>
          <w:rFonts w:hint="eastAsia" w:ascii="仿宋_GB2312" w:eastAsia="仿宋_GB2312" w:cs="仿宋"/>
          <w:b w:val="0"/>
          <w:bCs w:val="0"/>
          <w:sz w:val="28"/>
          <w:szCs w:val="28"/>
          <w:lang w:eastAsia="zh-CN"/>
        </w:rPr>
        <w:t>的术语和定义参考《腹膜透析非感染相关并发症的防治》并结合起草单位的工作实际而确定为：由腹透治疗引发的体内代谢紊乱以及累及全身多系统的病理改变。</w:t>
      </w:r>
    </w:p>
    <w:p w14:paraId="1232E154">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114300" distR="114300">
            <wp:extent cx="2621280" cy="2530475"/>
            <wp:effectExtent l="9525" t="9525" r="17145" b="1270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2"/>
                    <a:stretch>
                      <a:fillRect/>
                    </a:stretch>
                  </pic:blipFill>
                  <pic:spPr>
                    <a:xfrm>
                      <a:off x="0" y="0"/>
                      <a:ext cx="2621280" cy="2530475"/>
                    </a:xfrm>
                    <a:prstGeom prst="rect">
                      <a:avLst/>
                    </a:prstGeom>
                    <a:noFill/>
                    <a:ln>
                      <a:solidFill>
                        <a:schemeClr val="tx1"/>
                      </a:solidFill>
                    </a:ln>
                  </pic:spPr>
                </pic:pic>
              </a:graphicData>
            </a:graphic>
          </wp:inline>
        </w:drawing>
      </w:r>
    </w:p>
    <w:p w14:paraId="7B1A97EF">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来源：腹膜透析非感染相关并发症的防治</w:t>
      </w:r>
    </w:p>
    <w:p w14:paraId="533D3137">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val="0"/>
          <w:bCs w:val="0"/>
          <w:sz w:val="28"/>
          <w:szCs w:val="28"/>
          <w:lang w:eastAsia="zh-CN"/>
        </w:rPr>
      </w:pPr>
      <w:r>
        <w:rPr>
          <w:rFonts w:hint="eastAsia" w:ascii="仿宋_GB2312" w:eastAsia="仿宋_GB2312" w:cs="仿宋"/>
          <w:b/>
          <w:bCs/>
          <w:sz w:val="28"/>
          <w:szCs w:val="28"/>
          <w:lang w:eastAsia="zh-CN"/>
        </w:rPr>
        <w:t>腹膜功能障碍</w:t>
      </w:r>
      <w:r>
        <w:rPr>
          <w:rFonts w:hint="eastAsia" w:ascii="仿宋_GB2312" w:eastAsia="仿宋_GB2312" w:cs="仿宋"/>
          <w:b w:val="0"/>
          <w:bCs w:val="0"/>
          <w:sz w:val="28"/>
          <w:szCs w:val="28"/>
          <w:lang w:eastAsia="zh-CN"/>
        </w:rPr>
        <w:t>的术语和定义参考《ISPD recommendations for the evaluation of peritoneal membrane dysfunction in adults》等文献并结合起草单位的工作实际而确定为：腹膜作为透析膜的功能受损，导致超滤能力下降和/或溶质清除效率降低，从而影响腹膜透析的充分性。</w:t>
      </w:r>
    </w:p>
    <w:p w14:paraId="5E59CA6C">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b w:val="0"/>
          <w:bCs w:val="0"/>
          <w:sz w:val="28"/>
          <w:szCs w:val="28"/>
          <w:lang w:eastAsia="zh-CN"/>
        </w:rPr>
      </w:pPr>
      <w:r>
        <w:rPr>
          <w:rFonts w:hint="eastAsia" w:eastAsia="宋体"/>
          <w:lang w:eastAsia="zh-CN"/>
        </w:rPr>
        <w:drawing>
          <wp:inline distT="0" distB="0" distL="114300" distR="114300">
            <wp:extent cx="1727835" cy="2160270"/>
            <wp:effectExtent l="9525" t="9525" r="15240" b="20955"/>
            <wp:docPr id="24" name="图片 24" descr="058835175e484418ac9c05d9a1a5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58835175e484418ac9c05d9a1a5a7c"/>
                    <pic:cNvPicPr>
                      <a:picLocks noChangeAspect="1"/>
                    </pic:cNvPicPr>
                  </pic:nvPicPr>
                  <pic:blipFill>
                    <a:blip r:embed="rId13"/>
                    <a:srcRect t="19207" b="23126"/>
                    <a:stretch>
                      <a:fillRect/>
                    </a:stretch>
                  </pic:blipFill>
                  <pic:spPr>
                    <a:xfrm>
                      <a:off x="0" y="0"/>
                      <a:ext cx="1727835" cy="2160270"/>
                    </a:xfrm>
                    <a:prstGeom prst="rect">
                      <a:avLst/>
                    </a:prstGeom>
                    <a:ln>
                      <a:solidFill>
                        <a:schemeClr val="tx1"/>
                      </a:solidFill>
                    </a:ln>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1830705" cy="2160270"/>
            <wp:effectExtent l="9525" t="9525" r="26670" b="20955"/>
            <wp:docPr id="25" name="图片 25" descr="77adae0cdcc3c48de00f2c28bb5f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7adae0cdcc3c48de00f2c28bb5fd61"/>
                    <pic:cNvPicPr>
                      <a:picLocks noChangeAspect="1"/>
                    </pic:cNvPicPr>
                  </pic:nvPicPr>
                  <pic:blipFill>
                    <a:blip r:embed="rId14"/>
                    <a:srcRect t="26860" b="15223"/>
                    <a:stretch>
                      <a:fillRect/>
                    </a:stretch>
                  </pic:blipFill>
                  <pic:spPr>
                    <a:xfrm>
                      <a:off x="0" y="0"/>
                      <a:ext cx="1830705" cy="2160270"/>
                    </a:xfrm>
                    <a:prstGeom prst="rect">
                      <a:avLst/>
                    </a:prstGeom>
                    <a:ln>
                      <a:solidFill>
                        <a:schemeClr val="tx1"/>
                      </a:solidFill>
                    </a:ln>
                  </pic:spPr>
                </pic:pic>
              </a:graphicData>
            </a:graphic>
          </wp:inline>
        </w:drawing>
      </w:r>
    </w:p>
    <w:p w14:paraId="553E9EDE">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来源：ISPD recommendations for the evaluation of peritoneal membrane dysfunction in adults</w:t>
      </w:r>
    </w:p>
    <w:p w14:paraId="78DE8106">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（二）基本要求</w:t>
      </w:r>
    </w:p>
    <w:p w14:paraId="6AEC6CAD">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val="en-US" w:eastAsia="zh-CN"/>
        </w:rPr>
        <w:t xml:space="preserve">1. </w:t>
      </w:r>
      <w:r>
        <w:rPr>
          <w:rFonts w:hint="eastAsia" w:ascii="仿宋_GB2312" w:eastAsia="仿宋_GB2312" w:cs="仿宋"/>
          <w:b/>
          <w:bCs/>
          <w:sz w:val="28"/>
          <w:szCs w:val="28"/>
          <w:lang w:eastAsia="zh-CN"/>
        </w:rPr>
        <w:t>人员要求</w:t>
      </w:r>
    </w:p>
    <w:p w14:paraId="3AEA75F7">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1</w:t>
      </w:r>
      <w:r>
        <w:rPr>
          <w:rFonts w:hint="eastAsia" w:ascii="仿宋_GB2312" w:eastAsia="仿宋_GB2312" w:cs="仿宋"/>
          <w:sz w:val="28"/>
          <w:szCs w:val="28"/>
          <w:lang w:eastAsia="zh-CN"/>
        </w:rPr>
        <w:t>）腹膜透析并发症的评估常需多领域专业知识协同（如感染识别、营养影响、操作因素、康复需求），多学科团队协作确保并发症被全面识别、准确归因并制定综合管理方案。</w:t>
      </w:r>
    </w:p>
    <w:p w14:paraId="2DB3AF53">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2</w:t>
      </w:r>
      <w:r>
        <w:rPr>
          <w:rFonts w:hint="eastAsia" w:ascii="仿宋_GB2312" w:eastAsia="仿宋_GB2312" w:cs="仿宋"/>
          <w:sz w:val="28"/>
          <w:szCs w:val="28"/>
          <w:lang w:eastAsia="zh-CN"/>
        </w:rPr>
        <w:t>）要求评估人员具备深厚医学知识、丰富临床经验及腹膜透析专科技能，保障其能精准识别各类并发症特征、评估严重程度并制定有效的针对性干预计划。</w:t>
      </w:r>
    </w:p>
    <w:p w14:paraId="491483FE">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3</w:t>
      </w:r>
      <w:r>
        <w:rPr>
          <w:rFonts w:hint="eastAsia" w:ascii="仿宋_GB2312" w:eastAsia="仿宋_GB2312" w:cs="仿宋"/>
          <w:sz w:val="28"/>
          <w:szCs w:val="28"/>
          <w:lang w:eastAsia="zh-CN"/>
        </w:rPr>
        <w:t>）确保护士具备合法资质、系统腹膜透析培训及考核合格，核心在于保障其具备识别并发症早期迹象、执行规范初步评估（如透出液检查）及采取初步措施的能力，为及时处理提供基础。</w:t>
      </w:r>
    </w:p>
    <w:p w14:paraId="3D4B0ADB">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4</w:t>
      </w:r>
      <w:r>
        <w:rPr>
          <w:rFonts w:hint="eastAsia" w:ascii="仿宋_GB2312" w:eastAsia="仿宋_GB2312" w:cs="仿宋"/>
          <w:sz w:val="28"/>
          <w:szCs w:val="28"/>
          <w:lang w:eastAsia="zh-CN"/>
        </w:rPr>
        <w:t>）要求医生具备肾脏病专科资质及腹膜透析专项培训，核心在于保障其拥有诊断复杂/严重并发症、评估全身影响及制定高级诊疗方案（如抗生素应用、导管处理）的专业能力与决策权责。</w:t>
      </w:r>
    </w:p>
    <w:p w14:paraId="10649C10">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5</w:t>
      </w:r>
      <w:r>
        <w:rPr>
          <w:rFonts w:hint="eastAsia" w:ascii="仿宋_GB2312" w:eastAsia="仿宋_GB2312" w:cs="仿宋"/>
          <w:sz w:val="28"/>
          <w:szCs w:val="28"/>
          <w:lang w:eastAsia="zh-CN"/>
        </w:rPr>
        <w:t>）要求评估人员具备良好的沟通能力和患者教育技巧，核心在于确保能有效指导患者识别及报告并发症征兆，这是实现并发症早期发现和及时评估的关键。</w:t>
      </w:r>
    </w:p>
    <w:p w14:paraId="51600F36">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2. 环境要求</w:t>
      </w:r>
    </w:p>
    <w:p w14:paraId="471F0265">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1</w:t>
      </w:r>
      <w:r>
        <w:rPr>
          <w:rFonts w:hint="eastAsia" w:ascii="仿宋_GB2312" w:eastAsia="仿宋_GB2312" w:cs="仿宋"/>
          <w:sz w:val="28"/>
          <w:szCs w:val="28"/>
          <w:lang w:eastAsia="zh-CN"/>
        </w:rPr>
        <w:t>）确保环境符合GB</w:t>
      </w:r>
      <w:r>
        <w:rPr>
          <w:rFonts w:hint="eastAsia" w:ascii="仿宋_GB2312" w:eastAsia="仿宋_GB2312" w:cs="仿宋"/>
          <w:sz w:val="28"/>
          <w:szCs w:val="28"/>
          <w:lang w:val="en-US" w:eastAsia="zh-CN"/>
        </w:rPr>
        <w:t xml:space="preserve"> </w:t>
      </w:r>
      <w:r>
        <w:rPr>
          <w:rFonts w:hint="eastAsia" w:ascii="仿宋_GB2312" w:eastAsia="仿宋_GB2312" w:cs="仿宋"/>
          <w:sz w:val="28"/>
          <w:szCs w:val="28"/>
          <w:lang w:eastAsia="zh-CN"/>
        </w:rPr>
        <w:t>15982，充足光线便于精确观察透出液性状（如浑浊、纤维块）及患者体征，安静环境减少操作干扰，降低污染风险。</w:t>
      </w:r>
    </w:p>
    <w:p w14:paraId="0721A65D">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2</w:t>
      </w:r>
      <w:r>
        <w:rPr>
          <w:rFonts w:hint="eastAsia" w:ascii="仿宋_GB2312" w:eastAsia="仿宋_GB2312" w:cs="仿宋"/>
          <w:sz w:val="28"/>
          <w:szCs w:val="28"/>
          <w:lang w:eastAsia="zh-CN"/>
        </w:rPr>
        <w:t>）器械消毒灭菌分级管理：降低感染风险。</w:t>
      </w:r>
    </w:p>
    <w:p w14:paraId="4E8954E2">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3</w:t>
      </w:r>
      <w:r>
        <w:rPr>
          <w:rFonts w:hint="eastAsia" w:ascii="仿宋_GB2312" w:eastAsia="仿宋_GB2312" w:cs="仿宋"/>
          <w:sz w:val="28"/>
          <w:szCs w:val="28"/>
          <w:lang w:eastAsia="zh-CN"/>
        </w:rPr>
        <w:t>）储藏区通风避光干燥并符合GB</w:t>
      </w:r>
      <w:r>
        <w:rPr>
          <w:rFonts w:hint="eastAsia" w:ascii="仿宋_GB2312" w:eastAsia="仿宋_GB2312" w:cs="仿宋"/>
          <w:sz w:val="28"/>
          <w:szCs w:val="28"/>
          <w:lang w:val="en-US" w:eastAsia="zh-CN"/>
        </w:rPr>
        <w:t xml:space="preserve"> </w:t>
      </w:r>
      <w:r>
        <w:rPr>
          <w:rFonts w:hint="eastAsia" w:ascii="仿宋_GB2312" w:eastAsia="仿宋_GB2312" w:cs="仿宋"/>
          <w:sz w:val="28"/>
          <w:szCs w:val="28"/>
          <w:lang w:eastAsia="zh-CN"/>
        </w:rPr>
        <w:t>15982的要求可维持无菌耗材（透析液/敷料）稳定性，避免潮湿变质或微生物滋生。</w:t>
      </w:r>
    </w:p>
    <w:p w14:paraId="7BF3B66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4</w:t>
      </w:r>
      <w:r>
        <w:rPr>
          <w:rFonts w:hint="eastAsia" w:ascii="仿宋_GB2312" w:eastAsia="仿宋_GB2312" w:cs="仿宋"/>
          <w:sz w:val="28"/>
          <w:szCs w:val="28"/>
          <w:lang w:eastAsia="zh-CN"/>
        </w:rPr>
        <w:t>）配置有盖式污物桶旨在密闭封存含病原体的污染废弃物（如感染性透出液、敷料），阻断微生物扩散及接触传播路径；设置洗手池则确保操作人员即时清除手部污染物，切断“污染物→手→患者/环境”的感染链。</w:t>
      </w:r>
    </w:p>
    <w:p w14:paraId="0F79C4BA">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（二）腹膜透析相关性腹膜炎</w:t>
      </w:r>
    </w:p>
    <w:p w14:paraId="5456BC53">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1. 时机和频率</w:t>
      </w:r>
    </w:p>
    <w:p w14:paraId="698B289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患者主诉疑似征象时：患者主观症状（如腹痛）需专业验证。</w:t>
      </w:r>
    </w:p>
    <w:p w14:paraId="170695D7">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随访发现指征时：定期随访中需主动筛查感染迹象（如出口处红肿）。</w:t>
      </w:r>
    </w:p>
    <w:p w14:paraId="359D3C10">
      <w:pPr>
        <w:pStyle w:val="40"/>
        <w:keepNext w:val="0"/>
        <w:keepLines w:val="0"/>
        <w:pageBreakBefore w:val="0"/>
        <w:widowControl w:val="0"/>
        <w:numPr>
          <w:ilvl w:val="0"/>
          <w:numId w:val="9"/>
        </w:numPr>
        <w:kinsoku/>
        <w:wordWrap/>
        <w:overflowPunct/>
        <w:topLinePunct w:val="0"/>
        <w:bidi w:val="0"/>
        <w:spacing w:line="520" w:lineRule="exact"/>
        <w:ind w:firstLine="562"/>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临床症状</w:t>
      </w:r>
    </w:p>
    <w:p w14:paraId="67AA613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1</w:t>
      </w:r>
      <w:r>
        <w:rPr>
          <w:rFonts w:hint="eastAsia" w:ascii="仿宋_GB2312" w:eastAsia="仿宋_GB2312" w:cs="仿宋"/>
          <w:sz w:val="28"/>
          <w:szCs w:val="28"/>
          <w:lang w:eastAsia="zh-CN"/>
        </w:rPr>
        <w:t>）腹痛特征（部位/性质/程度）及腹部体征（肌紧张/反跳痛）是判断感染严重度的核心依据。</w:t>
      </w:r>
    </w:p>
    <w:p w14:paraId="3F1A1252">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2</w:t>
      </w:r>
      <w:r>
        <w:rPr>
          <w:rFonts w:hint="eastAsia" w:ascii="仿宋_GB2312" w:eastAsia="仿宋_GB2312" w:cs="仿宋"/>
          <w:sz w:val="28"/>
          <w:szCs w:val="28"/>
          <w:lang w:eastAsia="zh-CN"/>
        </w:rPr>
        <w:t>）透出液浑浊（纤维块、絮状物）是腹膜炎的直观标志，需记录性状与量。</w:t>
      </w:r>
    </w:p>
    <w:p w14:paraId="19169653">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3</w:t>
      </w:r>
      <w:r>
        <w:rPr>
          <w:rFonts w:hint="eastAsia" w:ascii="仿宋_GB2312" w:eastAsia="仿宋_GB2312" w:cs="仿宋"/>
          <w:sz w:val="28"/>
          <w:szCs w:val="28"/>
          <w:lang w:eastAsia="zh-CN"/>
        </w:rPr>
        <w:t>）出口/隧道感染是腹膜炎的常见诱因，需排查红肿、渗液。</w:t>
      </w:r>
    </w:p>
    <w:p w14:paraId="5F3C9E17">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4</w:t>
      </w:r>
      <w:r>
        <w:rPr>
          <w:rFonts w:hint="eastAsia" w:ascii="仿宋_GB2312" w:eastAsia="仿宋_GB2312" w:cs="仿宋"/>
          <w:sz w:val="28"/>
          <w:szCs w:val="28"/>
          <w:lang w:eastAsia="zh-CN"/>
        </w:rPr>
        <w:t>）管路完整性检查（导管破损、接头松动）可排除技术性污染。</w:t>
      </w:r>
    </w:p>
    <w:p w14:paraId="77067AC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5</w:t>
      </w:r>
      <w:r>
        <w:rPr>
          <w:rFonts w:hint="eastAsia" w:ascii="仿宋_GB2312" w:eastAsia="仿宋_GB2312" w:cs="仿宋"/>
          <w:sz w:val="28"/>
          <w:szCs w:val="28"/>
          <w:lang w:eastAsia="zh-CN"/>
        </w:rPr>
        <w:t>）全身症状（发热、呕吐）反映感染全身性进展。</w:t>
      </w:r>
    </w:p>
    <w:p w14:paraId="64C2F79F">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6</w:t>
      </w:r>
      <w:r>
        <w:rPr>
          <w:rFonts w:hint="eastAsia" w:ascii="仿宋_GB2312" w:eastAsia="仿宋_GB2312" w:cs="仿宋"/>
          <w:sz w:val="28"/>
          <w:szCs w:val="28"/>
          <w:lang w:eastAsia="zh-CN"/>
        </w:rPr>
        <w:t>）追溯操作失误（碘伏帽复用）、饮食/排便异常（便秘致肠道菌易位）。</w:t>
      </w:r>
    </w:p>
    <w:p w14:paraId="1162CF91">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7</w:t>
      </w:r>
      <w:r>
        <w:rPr>
          <w:rFonts w:hint="eastAsia" w:ascii="仿宋_GB2312" w:eastAsia="仿宋_GB2312" w:cs="仿宋"/>
          <w:sz w:val="28"/>
          <w:szCs w:val="28"/>
          <w:lang w:eastAsia="zh-CN"/>
        </w:rPr>
        <w:t>）慢性腹腔炎症史（如阑尾炎）提示感染易感性。</w:t>
      </w:r>
    </w:p>
    <w:p w14:paraId="5DA65BEA">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b/>
          <w:bCs/>
          <w:sz w:val="28"/>
          <w:szCs w:val="28"/>
          <w:lang w:val="en-US" w:eastAsia="zh-CN"/>
        </w:rPr>
        <w:t>3. 实验室检查</w:t>
      </w:r>
    </w:p>
    <w:p w14:paraId="1B411BC6">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引流液的留取：《2023版国际腹膜透析协会腹膜透析导管相关感染防治指南》中明确引流液留腹时间至少</w:t>
      </w:r>
      <w:r>
        <w:rPr>
          <w:rFonts w:hint="eastAsia" w:ascii="仿宋_GB2312" w:eastAsia="仿宋_GB2312" w:cs="仿宋"/>
          <w:sz w:val="28"/>
          <w:szCs w:val="28"/>
          <w:lang w:val="en-US" w:eastAsia="zh-CN"/>
        </w:rPr>
        <w:t>2h，</w:t>
      </w:r>
      <w:r>
        <w:rPr>
          <w:rFonts w:hint="eastAsia" w:ascii="仿宋_GB2312" w:eastAsia="仿宋_GB2312" w:cs="仿宋"/>
          <w:sz w:val="28"/>
          <w:szCs w:val="28"/>
          <w:lang w:eastAsia="zh-CN"/>
        </w:rPr>
        <w:t>《腹膜透析透析标准操作规程（2010版）》中给出常规透出液取</w:t>
      </w:r>
      <w:r>
        <w:rPr>
          <w:rFonts w:hint="eastAsia" w:ascii="仿宋_GB2312" w:eastAsia="仿宋_GB2312" w:cs="仿宋"/>
          <w:sz w:val="28"/>
          <w:szCs w:val="28"/>
          <w:lang w:val="en-US" w:eastAsia="zh-CN"/>
        </w:rPr>
        <w:t>5</w:t>
      </w:r>
      <w:r>
        <w:rPr>
          <w:rFonts w:hint="default" w:ascii="Times New Roman" w:hAnsi="Times New Roman" w:eastAsia="仿宋_GB2312" w:cs="Times New Roman"/>
          <w:sz w:val="28"/>
          <w:szCs w:val="28"/>
          <w:lang w:val="en-US" w:eastAsia="zh-CN"/>
        </w:rPr>
        <w:t>~</w:t>
      </w:r>
      <w:r>
        <w:rPr>
          <w:rFonts w:hint="eastAsia" w:ascii="仿宋_GB2312" w:eastAsia="仿宋_GB2312" w:cs="仿宋"/>
          <w:sz w:val="28"/>
          <w:szCs w:val="28"/>
          <w:lang w:val="en-US" w:eastAsia="zh-CN"/>
        </w:rPr>
        <w:t>10</w:t>
      </w:r>
      <w:r>
        <w:rPr>
          <w:rFonts w:hint="eastAsia" w:ascii="仿宋_GB2312" w:eastAsia="仿宋_GB2312" w:cs="仿宋"/>
          <w:sz w:val="28"/>
          <w:szCs w:val="28"/>
          <w:lang w:eastAsia="zh-CN"/>
        </w:rPr>
        <w:t>mL，参考以上文献并根据临床实际确定为：取浑浊的引流液10mL，以首袋最佳，或至少在腹腔保留2h以上。</w:t>
      </w:r>
    </w:p>
    <w:p w14:paraId="3380C28D">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319905" cy="2316480"/>
            <wp:effectExtent l="9525" t="9525" r="13970" b="1714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15"/>
                    <a:srcRect t="15326"/>
                    <a:stretch>
                      <a:fillRect/>
                    </a:stretch>
                  </pic:blipFill>
                  <pic:spPr>
                    <a:xfrm>
                      <a:off x="0" y="0"/>
                      <a:ext cx="4319905" cy="2316480"/>
                    </a:xfrm>
                    <a:prstGeom prst="rect">
                      <a:avLst/>
                    </a:prstGeom>
                    <a:noFill/>
                    <a:ln>
                      <a:solidFill>
                        <a:schemeClr val="tx1"/>
                      </a:solidFill>
                    </a:ln>
                  </pic:spPr>
                </pic:pic>
              </a:graphicData>
            </a:graphic>
          </wp:inline>
        </w:drawing>
      </w:r>
    </w:p>
    <w:p w14:paraId="62A9BC95">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来源：2023版国际腹膜透析协会腹膜透析导管相关感染防治指南建议解读</w:t>
      </w:r>
    </w:p>
    <w:p w14:paraId="56DF8ABC">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319905" cy="1420495"/>
            <wp:effectExtent l="9525" t="9525" r="13970" b="17780"/>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16"/>
                    <a:srcRect b="18103"/>
                    <a:stretch>
                      <a:fillRect/>
                    </a:stretch>
                  </pic:blipFill>
                  <pic:spPr>
                    <a:xfrm>
                      <a:off x="0" y="0"/>
                      <a:ext cx="4319905" cy="1420495"/>
                    </a:xfrm>
                    <a:prstGeom prst="rect">
                      <a:avLst/>
                    </a:prstGeom>
                    <a:noFill/>
                    <a:ln>
                      <a:solidFill>
                        <a:schemeClr val="tx1"/>
                      </a:solidFill>
                    </a:ln>
                  </pic:spPr>
                </pic:pic>
              </a:graphicData>
            </a:graphic>
          </wp:inline>
        </w:drawing>
      </w:r>
    </w:p>
    <w:p w14:paraId="0FEFBA58">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2E496763">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val="en-US" w:eastAsia="zh-CN"/>
        </w:rPr>
        <w:t xml:space="preserve">4. </w:t>
      </w:r>
      <w:r>
        <w:rPr>
          <w:rFonts w:hint="eastAsia" w:ascii="仿宋_GB2312" w:eastAsia="仿宋_GB2312" w:cs="仿宋"/>
          <w:b/>
          <w:bCs/>
          <w:sz w:val="28"/>
          <w:szCs w:val="28"/>
          <w:lang w:eastAsia="zh-CN"/>
        </w:rPr>
        <w:t>病因与危险因素</w:t>
      </w:r>
    </w:p>
    <w:p w14:paraId="55138AEC">
      <w:pPr>
        <w:pStyle w:val="40"/>
        <w:keepNext w:val="0"/>
        <w:keepLines w:val="0"/>
        <w:pageBreakBefore w:val="0"/>
        <w:widowControl w:val="0"/>
        <w:kinsoku/>
        <w:wordWrap/>
        <w:overflowPunct/>
        <w:topLinePunct w:val="0"/>
        <w:bidi w:val="0"/>
        <w:spacing w:line="520" w:lineRule="exact"/>
        <w:ind w:firstLine="562"/>
        <w:rPr>
          <w:rFonts w:hint="default" w:ascii="仿宋_GB2312" w:hAnsi="仿宋_GB2312" w:eastAsia="仿宋_GB2312" w:cs="仿宋_GB2312"/>
          <w:sz w:val="28"/>
          <w:szCs w:val="28"/>
          <w:lang w:val="en-US" w:eastAsia="zh-CN"/>
        </w:rPr>
      </w:pPr>
      <w:r>
        <w:rPr>
          <w:rFonts w:hint="eastAsia" w:ascii="仿宋_GB2312" w:eastAsia="仿宋_GB2312" w:cs="仿宋"/>
          <w:sz w:val="28"/>
          <w:szCs w:val="28"/>
          <w:lang w:eastAsia="zh-CN"/>
        </w:rPr>
        <w:t>紫外线灯使用不规范的确定参考《如何正确使用紫外线灯》并结合临床实际而确定。《如何正确使用紫外线灯》中明确紫外线用于空气消毒时照射时间为</w:t>
      </w:r>
      <w:r>
        <w:rPr>
          <w:rFonts w:hint="eastAsia" w:ascii="仿宋_GB2312" w:eastAsia="仿宋_GB2312" w:cs="仿宋"/>
          <w:sz w:val="28"/>
          <w:szCs w:val="28"/>
          <w:lang w:val="en-US" w:eastAsia="zh-CN"/>
        </w:rPr>
        <w:t>30</w:t>
      </w:r>
      <w:r>
        <w:rPr>
          <w:rFonts w:hint="default" w:ascii="Times New Roman" w:hAnsi="Times New Roman" w:eastAsia="仿宋_GB2312" w:cs="Times New Roman"/>
          <w:sz w:val="28"/>
          <w:szCs w:val="28"/>
          <w:lang w:val="en-US" w:eastAsia="zh-CN"/>
        </w:rPr>
        <w:t>~</w:t>
      </w:r>
      <w:r>
        <w:rPr>
          <w:rFonts w:hint="eastAsia" w:ascii="仿宋_GB2312" w:hAnsi="仿宋_GB2312" w:eastAsia="仿宋_GB2312" w:cs="仿宋_GB2312"/>
          <w:sz w:val="28"/>
          <w:szCs w:val="28"/>
          <w:lang w:val="en-US" w:eastAsia="zh-CN"/>
        </w:rPr>
        <w:t>60min，紫外线灯管应每隔1</w:t>
      </w:r>
      <w:r>
        <w:rPr>
          <w:rFonts w:hint="default" w:ascii="Times New Roman" w:hAnsi="Times New Roman" w:eastAsia="仿宋_GB2312" w:cs="Times New Roman"/>
          <w:sz w:val="28"/>
          <w:szCs w:val="28"/>
          <w:lang w:val="en-US" w:eastAsia="zh-CN"/>
        </w:rPr>
        <w:t>~</w:t>
      </w:r>
      <w:r>
        <w:rPr>
          <w:rFonts w:hint="eastAsia" w:ascii="Times New Roman" w:hAnsi="Times New Roman" w:eastAsia="仿宋_GB2312" w:cs="Times New Roman"/>
          <w:sz w:val="28"/>
          <w:szCs w:val="28"/>
          <w:lang w:val="en-US" w:eastAsia="zh-CN"/>
        </w:rPr>
        <w:t>2周擦拭一次，紫外线灯管使用1000h后应经过强度检测合格后才可继续使用，因此根据起草单位的临床实际，将</w:t>
      </w:r>
      <w:r>
        <w:rPr>
          <w:rFonts w:hint="eastAsia" w:ascii="仿宋_GB2312" w:eastAsia="仿宋_GB2312" w:cs="仿宋"/>
          <w:sz w:val="28"/>
          <w:szCs w:val="28"/>
          <w:lang w:eastAsia="zh-CN"/>
        </w:rPr>
        <w:t>紫外线灯使用不规范的内容确定为：每次紫外线照射时间＜30min，紫外线灯管超7d未擦拭，累积使用时长＞1000h。</w:t>
      </w:r>
    </w:p>
    <w:p w14:paraId="6AF8219B">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5085715" cy="2666365"/>
            <wp:effectExtent l="9525" t="9525" r="10160" b="1016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17"/>
                    <a:stretch>
                      <a:fillRect/>
                    </a:stretch>
                  </pic:blipFill>
                  <pic:spPr>
                    <a:xfrm>
                      <a:off x="0" y="0"/>
                      <a:ext cx="5085715" cy="2666365"/>
                    </a:xfrm>
                    <a:prstGeom prst="rect">
                      <a:avLst/>
                    </a:prstGeom>
                    <a:noFill/>
                    <a:ln>
                      <a:solidFill>
                        <a:schemeClr val="tx1"/>
                      </a:solidFill>
                    </a:ln>
                  </pic:spPr>
                </pic:pic>
              </a:graphicData>
            </a:graphic>
          </wp:inline>
        </w:drawing>
      </w:r>
    </w:p>
    <w:p w14:paraId="00C115BC">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来源：如何正确使用紫外线灯</w:t>
      </w:r>
    </w:p>
    <w:p w14:paraId="2D8B9CC4">
      <w:pPr>
        <w:pStyle w:val="40"/>
        <w:keepNext w:val="0"/>
        <w:keepLines w:val="0"/>
        <w:pageBreakBefore w:val="0"/>
        <w:widowControl w:val="0"/>
        <w:numPr>
          <w:ilvl w:val="0"/>
          <w:numId w:val="0"/>
        </w:numPr>
        <w:kinsoku/>
        <w:wordWrap/>
        <w:overflowPunct/>
        <w:topLinePunct w:val="0"/>
        <w:bidi w:val="0"/>
        <w:spacing w:line="520" w:lineRule="exact"/>
        <w:ind w:firstLine="562" w:firstLineChars="200"/>
        <w:rPr>
          <w:rFonts w:hint="default" w:ascii="仿宋_GB2312" w:eastAsia="仿宋_GB2312" w:cs="仿宋"/>
          <w:b/>
          <w:bCs/>
          <w:sz w:val="28"/>
          <w:szCs w:val="28"/>
          <w:lang w:val="en-US" w:eastAsia="zh-CN"/>
        </w:rPr>
      </w:pPr>
      <w:r>
        <w:rPr>
          <w:rFonts w:hint="default" w:ascii="仿宋_GB2312" w:hAnsi="Calibri" w:eastAsia="仿宋_GB2312" w:cs="仿宋"/>
          <w:b/>
          <w:bCs/>
          <w:sz w:val="28"/>
          <w:szCs w:val="28"/>
          <w:lang w:val="en-US" w:eastAsia="zh-CN" w:bidi="ar-SA"/>
        </w:rPr>
        <w:t>5.</w:t>
      </w:r>
      <w:r>
        <w:rPr>
          <w:rFonts w:hint="eastAsia" w:ascii="仿宋_GB2312" w:eastAsia="仿宋_GB2312" w:cs="仿宋"/>
          <w:b/>
          <w:bCs/>
          <w:sz w:val="28"/>
          <w:szCs w:val="28"/>
          <w:lang w:val="en-US" w:eastAsia="zh-CN"/>
        </w:rPr>
        <w:t>评估结果判断</w:t>
      </w:r>
    </w:p>
    <w:p w14:paraId="20DCF396">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评估结果判断参考《2023版国际腹膜透析协会腹膜透析导管相关感染防治指南》和《腹膜透析透析标准操作规程（2010版）》并结合起草单位的临床实际确定为：</w:t>
      </w:r>
    </w:p>
    <w:p w14:paraId="3E5501CE">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符合下列3项中2项或以上诊断为腹膜透析相关性感染：</w:t>
      </w:r>
    </w:p>
    <w:p w14:paraId="53D176E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1</w:t>
      </w:r>
      <w:r>
        <w:rPr>
          <w:rFonts w:hint="eastAsia" w:ascii="仿宋_GB2312" w:eastAsia="仿宋_GB2312" w:cs="仿宋"/>
          <w:sz w:val="28"/>
          <w:szCs w:val="28"/>
          <w:lang w:eastAsia="zh-CN"/>
        </w:rPr>
        <w:t>）腹痛和/或透出液浑浊，伴或不伴发热；</w:t>
      </w:r>
    </w:p>
    <w:p w14:paraId="109AB73B">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2</w:t>
      </w:r>
      <w:r>
        <w:rPr>
          <w:rFonts w:hint="eastAsia" w:ascii="仿宋_GB2312" w:eastAsia="仿宋_GB2312" w:cs="仿宋"/>
          <w:sz w:val="28"/>
          <w:szCs w:val="28"/>
          <w:lang w:eastAsia="zh-CN"/>
        </w:rPr>
        <w:t>）透出液白细胞计数超过100×10</w:t>
      </w:r>
      <w:r>
        <w:rPr>
          <w:rFonts w:hint="eastAsia" w:ascii="仿宋_GB2312" w:eastAsia="仿宋_GB2312" w:cs="仿宋"/>
          <w:sz w:val="28"/>
          <w:szCs w:val="28"/>
          <w:vertAlign w:val="superscript"/>
          <w:lang w:eastAsia="zh-CN"/>
        </w:rPr>
        <w:t>6</w:t>
      </w:r>
      <w:r>
        <w:rPr>
          <w:rFonts w:hint="eastAsia" w:ascii="仿宋_GB2312" w:eastAsia="仿宋_GB2312" w:cs="仿宋"/>
          <w:sz w:val="28"/>
          <w:szCs w:val="28"/>
          <w:lang w:eastAsia="zh-CN"/>
        </w:rPr>
        <w:t>/L，其中多形核，中性粒细胞＞50％；</w:t>
      </w:r>
    </w:p>
    <w:p w14:paraId="698FDBBA">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3</w:t>
      </w:r>
      <w:r>
        <w:rPr>
          <w:rFonts w:hint="eastAsia" w:ascii="仿宋_GB2312" w:eastAsia="仿宋_GB2312" w:cs="仿宋"/>
          <w:sz w:val="28"/>
          <w:szCs w:val="28"/>
          <w:lang w:eastAsia="zh-CN"/>
        </w:rPr>
        <w:t>）透出液微生物培养阳性。</w:t>
      </w:r>
    </w:p>
    <w:p w14:paraId="3AC993E1">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114165" cy="2206625"/>
            <wp:effectExtent l="9525" t="9525" r="10160" b="12700"/>
            <wp:docPr id="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0"/>
                    <pic:cNvPicPr>
                      <a:picLocks noChangeAspect="1"/>
                    </pic:cNvPicPr>
                  </pic:nvPicPr>
                  <pic:blipFill>
                    <a:blip r:embed="rId15"/>
                    <a:srcRect t="15326"/>
                    <a:stretch>
                      <a:fillRect/>
                    </a:stretch>
                  </pic:blipFill>
                  <pic:spPr>
                    <a:xfrm>
                      <a:off x="0" y="0"/>
                      <a:ext cx="4114165" cy="2206625"/>
                    </a:xfrm>
                    <a:prstGeom prst="rect">
                      <a:avLst/>
                    </a:prstGeom>
                    <a:noFill/>
                    <a:ln>
                      <a:solidFill>
                        <a:schemeClr val="tx1"/>
                      </a:solidFill>
                    </a:ln>
                  </pic:spPr>
                </pic:pic>
              </a:graphicData>
            </a:graphic>
          </wp:inline>
        </w:drawing>
      </w:r>
    </w:p>
    <w:p w14:paraId="62BC1302">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来源：2023版国际腹膜透析协会腹膜透析导管相关感染防治指南建议解读</w:t>
      </w:r>
    </w:p>
    <w:p w14:paraId="1500FA81">
      <w:pPr>
        <w:pStyle w:val="40"/>
        <w:keepNext w:val="0"/>
        <w:keepLines w:val="0"/>
        <w:pageBreakBefore w:val="0"/>
        <w:widowControl w:val="0"/>
        <w:numPr>
          <w:ilvl w:val="0"/>
          <w:numId w:val="0"/>
        </w:numPr>
        <w:kinsoku/>
        <w:wordWrap/>
        <w:overflowPunct/>
        <w:topLinePunct w:val="0"/>
        <w:bidi w:val="0"/>
        <w:spacing w:line="240" w:lineRule="auto"/>
        <w:jc w:val="center"/>
      </w:pPr>
      <w:r>
        <w:drawing>
          <wp:inline distT="0" distB="0" distL="114300" distR="114300">
            <wp:extent cx="3970655" cy="1458595"/>
            <wp:effectExtent l="9525" t="9525" r="20320" b="177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3970655" cy="1458595"/>
                    </a:xfrm>
                    <a:prstGeom prst="rect">
                      <a:avLst/>
                    </a:prstGeom>
                    <a:noFill/>
                    <a:ln>
                      <a:solidFill>
                        <a:schemeClr val="tx1"/>
                      </a:solidFill>
                    </a:ln>
                  </pic:spPr>
                </pic:pic>
              </a:graphicData>
            </a:graphic>
          </wp:inline>
        </w:drawing>
      </w:r>
    </w:p>
    <w:p w14:paraId="5860332C">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28999902">
      <w:pPr>
        <w:pStyle w:val="40"/>
        <w:keepNext w:val="0"/>
        <w:keepLines w:val="0"/>
        <w:pageBreakBefore w:val="0"/>
        <w:widowControl w:val="0"/>
        <w:numPr>
          <w:ilvl w:val="0"/>
          <w:numId w:val="10"/>
        </w:numPr>
        <w:kinsoku/>
        <w:wordWrap/>
        <w:overflowPunct/>
        <w:topLinePunct w:val="0"/>
        <w:bidi w:val="0"/>
        <w:spacing w:line="520" w:lineRule="exact"/>
        <w:ind w:left="0" w:leftChars="0" w:firstLine="562" w:firstLineChars="200"/>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监测报告</w:t>
      </w:r>
    </w:p>
    <w:p w14:paraId="24187ACC">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2022版国际腹膜透析协会腹膜透析相关性腹膜炎防治指南更新重点内容》中汇总了《国际腹膜透析协会腹膜透析相关性腹膜炎防治指南》中腹膜炎指标的单位、频率及靶目标，监测报告参考该汇总数据并结合起草单位的临床实际而确定。</w:t>
      </w:r>
    </w:p>
    <w:p w14:paraId="6A31102B">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0" distR="0">
            <wp:extent cx="4377690" cy="2254885"/>
            <wp:effectExtent l="9525" t="9525" r="13335" b="21590"/>
            <wp:docPr id="21227231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723136" name="图片 3"/>
                    <pic:cNvPicPr>
                      <a:picLocks noChangeAspect="1" noChangeArrowheads="1"/>
                    </pic:cNvPicPr>
                  </pic:nvPicPr>
                  <pic:blipFill>
                    <a:blip r:embed="rId19" cstate="print">
                      <a:extLst>
                        <a:ext uri="{28A0092B-C50C-407E-A947-70E740481C1C}">
                          <a14:useLocalDpi xmlns:a14="http://schemas.microsoft.com/office/drawing/2010/main" val="0"/>
                        </a:ext>
                      </a:extLst>
                    </a:blip>
                    <a:srcRect r="2865"/>
                    <a:stretch>
                      <a:fillRect/>
                    </a:stretch>
                  </pic:blipFill>
                  <pic:spPr>
                    <a:xfrm>
                      <a:off x="0" y="0"/>
                      <a:ext cx="4377690" cy="2254885"/>
                    </a:xfrm>
                    <a:prstGeom prst="rect">
                      <a:avLst/>
                    </a:prstGeom>
                    <a:noFill/>
                    <a:ln>
                      <a:solidFill>
                        <a:schemeClr val="tx1"/>
                      </a:solidFill>
                    </a:ln>
                  </pic:spPr>
                </pic:pic>
              </a:graphicData>
            </a:graphic>
          </wp:inline>
        </w:drawing>
      </w:r>
    </w:p>
    <w:p w14:paraId="7F7D5394">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来源：2022版国际腹膜透析协会腹膜透析相关性腹膜炎防治指南更新重点内容</w:t>
      </w:r>
    </w:p>
    <w:p w14:paraId="6F36CC2D">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（三）腹膜透析导管相关感染</w:t>
      </w:r>
    </w:p>
    <w:p w14:paraId="3BDD2BA2">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val="en-US" w:eastAsia="zh-CN"/>
        </w:rPr>
      </w:pPr>
      <w:r>
        <w:rPr>
          <w:rFonts w:hint="eastAsia" w:ascii="仿宋_GB2312" w:eastAsia="仿宋_GB2312" w:cs="仿宋"/>
          <w:b/>
          <w:bCs/>
          <w:sz w:val="28"/>
          <w:szCs w:val="28"/>
          <w:lang w:eastAsia="zh-CN"/>
        </w:rPr>
        <w:t>监测报告</w:t>
      </w:r>
      <w:r>
        <w:rPr>
          <w:rFonts w:hint="eastAsia" w:ascii="仿宋_GB2312" w:eastAsia="仿宋_GB2312" w:cs="仿宋"/>
          <w:sz w:val="28"/>
          <w:szCs w:val="28"/>
          <w:lang w:eastAsia="zh-CN"/>
        </w:rPr>
        <w:t>参考《2023版国际腹膜透析协会腹膜透析导管相关感染防治指南》并结合起草单位的实际而确定</w:t>
      </w:r>
      <w:r>
        <w:rPr>
          <w:rFonts w:hint="eastAsia" w:ascii="仿宋_GB2312" w:eastAsia="仿宋_GB2312" w:cs="仿宋"/>
          <w:sz w:val="28"/>
          <w:szCs w:val="28"/>
          <w:lang w:val="en-US" w:eastAsia="zh-CN"/>
        </w:rPr>
        <w:t>为：</w:t>
      </w:r>
    </w:p>
    <w:p w14:paraId="50169050">
      <w:pPr>
        <w:pStyle w:val="40"/>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leftChars="0" w:firstLine="560" w:firstLineChars="200"/>
        <w:textAlignment w:val="auto"/>
        <w:rPr>
          <w:rFonts w:hint="eastAsia" w:ascii="仿宋_GB2312" w:eastAsia="仿宋_GB2312" w:cs="仿宋"/>
          <w:sz w:val="28"/>
          <w:szCs w:val="28"/>
          <w:lang w:val="en-US" w:eastAsia="zh-CN"/>
        </w:rPr>
      </w:pPr>
      <w:r>
        <w:rPr>
          <w:rFonts w:hint="eastAsia" w:ascii="仿宋_GB2312" w:eastAsia="仿宋_GB2312" w:cs="仿宋"/>
          <w:sz w:val="28"/>
          <w:szCs w:val="28"/>
          <w:lang w:val="en-US" w:eastAsia="zh-CN"/>
        </w:rPr>
        <w:t>1.至少每年测量和监测1次导管相关感染的发生率。</w:t>
      </w:r>
    </w:p>
    <w:p w14:paraId="5C47F8B4">
      <w:pPr>
        <w:pStyle w:val="40"/>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leftChars="0" w:firstLine="560" w:firstLineChars="200"/>
        <w:textAlignment w:val="auto"/>
        <w:rPr>
          <w:rFonts w:hint="eastAsia" w:ascii="仿宋_GB2312" w:eastAsia="仿宋_GB2312" w:cs="仿宋"/>
          <w:sz w:val="28"/>
          <w:szCs w:val="28"/>
          <w:lang w:val="en-US" w:eastAsia="zh-CN"/>
        </w:rPr>
      </w:pPr>
      <w:r>
        <w:rPr>
          <w:rFonts w:hint="eastAsia" w:ascii="仿宋_GB2312" w:eastAsia="仿宋_GB2312" w:cs="仿宋"/>
          <w:sz w:val="28"/>
          <w:szCs w:val="28"/>
          <w:lang w:val="en-US" w:eastAsia="zh-CN"/>
        </w:rPr>
        <w:t>2.导管相关感染率应报告为每风险年的发生次数。</w:t>
      </w:r>
    </w:p>
    <w:p w14:paraId="4DE87487">
      <w:pPr>
        <w:pStyle w:val="40"/>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leftChars="0" w:firstLine="560" w:firstLineChars="200"/>
        <w:textAlignment w:val="auto"/>
        <w:rPr>
          <w:rFonts w:hint="eastAsia" w:ascii="仿宋_GB2312" w:eastAsia="仿宋_GB2312" w:cs="仿宋"/>
          <w:sz w:val="28"/>
          <w:szCs w:val="28"/>
          <w:lang w:val="en-US" w:eastAsia="zh-CN"/>
        </w:rPr>
      </w:pPr>
      <w:r>
        <w:rPr>
          <w:rFonts w:hint="eastAsia" w:ascii="仿宋_GB2312" w:eastAsia="仿宋_GB2312" w:cs="仿宋"/>
          <w:sz w:val="28"/>
          <w:szCs w:val="28"/>
          <w:lang w:val="en-US" w:eastAsia="zh-CN"/>
        </w:rPr>
        <w:t>3.出口处和隧道感染率应单独报告为每风险年的发生次数。</w:t>
      </w:r>
    </w:p>
    <w:p w14:paraId="22B6173C">
      <w:pPr>
        <w:pStyle w:val="40"/>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leftChars="0" w:firstLine="560" w:firstLineChars="200"/>
        <w:textAlignment w:val="auto"/>
        <w:rPr>
          <w:rFonts w:hint="eastAsia" w:ascii="仿宋_GB2312" w:eastAsia="仿宋_GB2312" w:cs="仿宋"/>
          <w:sz w:val="28"/>
          <w:szCs w:val="28"/>
          <w:lang w:val="en-US" w:eastAsia="zh-CN"/>
        </w:rPr>
      </w:pPr>
      <w:r>
        <w:rPr>
          <w:rFonts w:hint="eastAsia" w:ascii="仿宋_GB2312" w:eastAsia="仿宋_GB2312" w:cs="仿宋"/>
          <w:sz w:val="28"/>
          <w:szCs w:val="28"/>
          <w:lang w:val="en-US" w:eastAsia="zh-CN"/>
        </w:rPr>
        <w:t>4.出口处感染率不应超过0.40次/患者年。</w:t>
      </w:r>
    </w:p>
    <w:p w14:paraId="08D4FDE3">
      <w:pPr>
        <w:pStyle w:val="40"/>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leftChars="0" w:firstLine="560" w:firstLineChars="200"/>
        <w:textAlignment w:val="auto"/>
        <w:rPr>
          <w:rFonts w:hint="default" w:ascii="仿宋_GB2312" w:eastAsia="仿宋_GB2312" w:cs="仿宋"/>
          <w:b/>
          <w:bCs/>
          <w:sz w:val="28"/>
          <w:szCs w:val="28"/>
          <w:lang w:val="en-US" w:eastAsia="zh-CN"/>
        </w:rPr>
      </w:pPr>
      <w:r>
        <w:rPr>
          <w:rFonts w:hint="eastAsia" w:ascii="仿宋_GB2312" w:eastAsia="仿宋_GB2312" w:cs="仿宋"/>
          <w:sz w:val="28"/>
          <w:szCs w:val="28"/>
          <w:lang w:val="en-US" w:eastAsia="zh-CN"/>
        </w:rPr>
        <w:t>5.PD导管置入30 d内发生的PD置管相关感染比例应低于所有置管患者的5％。</w:t>
      </w:r>
    </w:p>
    <w:p w14:paraId="4A590A84">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0" distR="0">
            <wp:extent cx="3141980" cy="2005965"/>
            <wp:effectExtent l="9525" t="9525" r="10795" b="22860"/>
            <wp:docPr id="8504746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74654" name="图片 1"/>
                    <pic:cNvPicPr>
                      <a:picLocks noChangeAspect="1"/>
                    </pic:cNvPicPr>
                  </pic:nvPicPr>
                  <pic:blipFill>
                    <a:blip r:embed="rId20"/>
                    <a:stretch>
                      <a:fillRect/>
                    </a:stretch>
                  </pic:blipFill>
                  <pic:spPr>
                    <a:xfrm>
                      <a:off x="0" y="0"/>
                      <a:ext cx="3141980" cy="2005965"/>
                    </a:xfrm>
                    <a:prstGeom prst="rect">
                      <a:avLst/>
                    </a:prstGeom>
                    <a:ln>
                      <a:solidFill>
                        <a:schemeClr val="tx1"/>
                      </a:solidFill>
                    </a:ln>
                  </pic:spPr>
                </pic:pic>
              </a:graphicData>
            </a:graphic>
          </wp:inline>
        </w:drawing>
      </w:r>
    </w:p>
    <w:p w14:paraId="2170DD95">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来源：2023版国际腹膜透析协会腹膜透析导管相关感染防治指南建议解读</w:t>
      </w:r>
    </w:p>
    <w:p w14:paraId="03DEC7D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（四）腹腔内压力增高性并发症</w:t>
      </w:r>
    </w:p>
    <w:p w14:paraId="0F76509E">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临床症状</w:t>
      </w:r>
    </w:p>
    <w:p w14:paraId="49125ACF">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《紧急起始腹膜透析患者发生管周渗漏的危险因素分析》</w:t>
      </w:r>
      <w:r>
        <w:rPr>
          <w:rFonts w:hint="eastAsia" w:ascii="仿宋_GB2312" w:eastAsia="仿宋_GB2312" w:cs="仿宋"/>
          <w:sz w:val="28"/>
          <w:szCs w:val="28"/>
          <w:lang w:val="en-US" w:eastAsia="zh-CN"/>
        </w:rPr>
        <w:t>中给出了</w:t>
      </w:r>
      <w:r>
        <w:rPr>
          <w:rFonts w:hint="eastAsia" w:ascii="仿宋_GB2312" w:eastAsia="仿宋_GB2312" w:cs="仿宋"/>
          <w:sz w:val="28"/>
          <w:szCs w:val="28"/>
          <w:lang w:eastAsia="zh-CN"/>
        </w:rPr>
        <w:t>早晚期渗漏的界定，</w:t>
      </w:r>
      <w:r>
        <w:rPr>
          <w:rFonts w:hint="eastAsia" w:ascii="仿宋_GB2312" w:eastAsia="仿宋_GB2312" w:cs="仿宋"/>
          <w:sz w:val="28"/>
          <w:szCs w:val="28"/>
          <w:lang w:val="en-US" w:eastAsia="zh-CN"/>
        </w:rPr>
        <w:t>起草单位结合该文献以及临床实际确定了</w:t>
      </w:r>
      <w:r>
        <w:rPr>
          <w:rFonts w:hint="eastAsia" w:ascii="仿宋_GB2312" w:eastAsia="仿宋_GB2312" w:cs="仿宋"/>
          <w:sz w:val="28"/>
          <w:szCs w:val="28"/>
          <w:lang w:eastAsia="zh-CN"/>
        </w:rPr>
        <w:t>早期渗漏</w:t>
      </w:r>
      <w:r>
        <w:rPr>
          <w:rFonts w:hint="eastAsia" w:ascii="仿宋_GB2312" w:eastAsia="仿宋_GB2312" w:cs="仿宋"/>
          <w:sz w:val="28"/>
          <w:szCs w:val="28"/>
          <w:lang w:val="en-US" w:eastAsia="zh-CN"/>
        </w:rPr>
        <w:t>为置管后＜30d内，晚期渗漏为置管后≥30d后。</w:t>
      </w:r>
    </w:p>
    <w:p w14:paraId="4093FD79">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519805" cy="1722755"/>
            <wp:effectExtent l="9525" t="9525" r="13970" b="2032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21"/>
                    <a:srcRect r="51573" b="5342"/>
                    <a:stretch>
                      <a:fillRect/>
                    </a:stretch>
                  </pic:blipFill>
                  <pic:spPr>
                    <a:xfrm>
                      <a:off x="0" y="0"/>
                      <a:ext cx="3519805" cy="1722755"/>
                    </a:xfrm>
                    <a:prstGeom prst="rect">
                      <a:avLst/>
                    </a:prstGeom>
                    <a:noFill/>
                    <a:ln>
                      <a:solidFill>
                        <a:schemeClr val="tx1"/>
                      </a:solidFill>
                    </a:ln>
                  </pic:spPr>
                </pic:pic>
              </a:graphicData>
            </a:graphic>
          </wp:inline>
        </w:drawing>
      </w:r>
    </w:p>
    <w:p w14:paraId="0B32F49D">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来源：紧急起始腹膜透析患者发生管周渗漏的危险因素分析</w:t>
      </w:r>
    </w:p>
    <w:p w14:paraId="308FDCAA">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b/>
          <w:bCs/>
          <w:sz w:val="28"/>
          <w:szCs w:val="28"/>
          <w:lang w:eastAsia="zh-CN"/>
        </w:rPr>
        <w:t>实验室检查及影像</w:t>
      </w:r>
    </w:p>
    <w:p w14:paraId="2A235F34">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val="en-US" w:eastAsia="zh-CN"/>
        </w:rPr>
        <w:t>《腹膜透析并发胸腹瘘的诊治进展》给出了</w:t>
      </w:r>
      <w:r>
        <w:rPr>
          <w:rFonts w:hint="eastAsia" w:ascii="仿宋_GB2312" w:eastAsia="仿宋_GB2312" w:cs="仿宋"/>
          <w:sz w:val="28"/>
          <w:szCs w:val="28"/>
          <w:lang w:eastAsia="zh-CN"/>
        </w:rPr>
        <w:t>胸腹漏的评估内容，</w:t>
      </w:r>
      <w:r>
        <w:rPr>
          <w:rFonts w:hint="eastAsia" w:ascii="仿宋_GB2312" w:eastAsia="仿宋_GB2312" w:cs="仿宋"/>
          <w:sz w:val="28"/>
          <w:szCs w:val="28"/>
          <w:lang w:val="en-US" w:eastAsia="zh-CN"/>
        </w:rPr>
        <w:t>起草单位结合该文献以及临床实际确定了</w:t>
      </w:r>
      <w:r>
        <w:rPr>
          <w:rFonts w:hint="eastAsia" w:ascii="仿宋_GB2312" w:eastAsia="仿宋_GB2312" w:cs="仿宋"/>
          <w:sz w:val="28"/>
          <w:szCs w:val="28"/>
          <w:lang w:eastAsia="zh-CN"/>
        </w:rPr>
        <w:t>胸腹漏的评估内容：胸腹漏：胸片检查提示单侧胸腔积液，右侧为主时，应考虑胸腹瘘，行胸腔穿刺胸水送检，胸水葡萄糖浓度大于40mmol/L时或行亚甲蓝试验阳性时可确诊为胸腹漏。</w:t>
      </w:r>
    </w:p>
    <w:p w14:paraId="2D1BC68D">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2443480" cy="1391285"/>
            <wp:effectExtent l="9525" t="9525" r="23495" b="2794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22"/>
                    <a:srcRect r="50783" b="56798"/>
                    <a:stretch>
                      <a:fillRect/>
                    </a:stretch>
                  </pic:blipFill>
                  <pic:spPr>
                    <a:xfrm>
                      <a:off x="0" y="0"/>
                      <a:ext cx="2443480" cy="1391285"/>
                    </a:xfrm>
                    <a:prstGeom prst="rect">
                      <a:avLst/>
                    </a:prstGeom>
                    <a:noFill/>
                    <a:ln>
                      <a:solidFill>
                        <a:schemeClr val="tx1"/>
                      </a:solidFill>
                    </a:ln>
                  </pic:spPr>
                </pic:pic>
              </a:graphicData>
            </a:graphic>
          </wp:inline>
        </w:drawing>
      </w:r>
    </w:p>
    <w:p w14:paraId="5408254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来源：腹膜透析并发胸腹瘘的诊治进展</w:t>
      </w:r>
    </w:p>
    <w:p w14:paraId="528179B2">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评估结果判断</w:t>
      </w:r>
    </w:p>
    <w:p w14:paraId="64253894">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《腹膜透析患者腹腔内压力的临床研究》</w:t>
      </w:r>
      <w:r>
        <w:rPr>
          <w:rFonts w:hint="eastAsia" w:ascii="仿宋_GB2312" w:eastAsia="仿宋_GB2312" w:cs="仿宋"/>
          <w:sz w:val="28"/>
          <w:szCs w:val="28"/>
          <w:lang w:val="en-US" w:eastAsia="zh-CN"/>
        </w:rPr>
        <w:t>给出：成年人群生理条件下仰卧位时腹腔压力正常值为5mmHg～7mmHg（1mmHg=0.133kPa），当IAP＞15mmHg即可达到腹内高压状态(intra-abdominalhypertension,IAH)，腹内高压状态的评估参考该文献并结合临床实际而确定。</w:t>
      </w:r>
    </w:p>
    <w:p w14:paraId="64BEB807">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2626360" cy="1544320"/>
            <wp:effectExtent l="9525" t="9525" r="12065" b="2730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23"/>
                    <a:srcRect t="44228" r="50370"/>
                    <a:stretch>
                      <a:fillRect/>
                    </a:stretch>
                  </pic:blipFill>
                  <pic:spPr>
                    <a:xfrm>
                      <a:off x="0" y="0"/>
                      <a:ext cx="2626360" cy="1544320"/>
                    </a:xfrm>
                    <a:prstGeom prst="rect">
                      <a:avLst/>
                    </a:prstGeom>
                    <a:noFill/>
                    <a:ln>
                      <a:solidFill>
                        <a:schemeClr val="tx1"/>
                      </a:solidFill>
                    </a:ln>
                  </pic:spPr>
                </pic:pic>
              </a:graphicData>
            </a:graphic>
          </wp:inline>
        </w:drawing>
      </w:r>
    </w:p>
    <w:p w14:paraId="38A2904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来源：腹膜透析患者腹腔内压力的临床研究</w:t>
      </w:r>
    </w:p>
    <w:p w14:paraId="1B6CB770">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w:t>
      </w:r>
      <w:r>
        <w:rPr>
          <w:rFonts w:hint="eastAsia" w:ascii="仿宋_GB2312" w:eastAsia="仿宋_GB2312" w:cs="仿宋"/>
          <w:b/>
          <w:bCs/>
          <w:sz w:val="28"/>
          <w:szCs w:val="28"/>
          <w:lang w:val="en-US" w:eastAsia="zh-CN"/>
        </w:rPr>
        <w:t>六</w:t>
      </w:r>
      <w:r>
        <w:rPr>
          <w:rFonts w:hint="eastAsia" w:ascii="仿宋_GB2312" w:eastAsia="仿宋_GB2312" w:cs="仿宋"/>
          <w:b/>
          <w:bCs/>
          <w:sz w:val="28"/>
          <w:szCs w:val="28"/>
          <w:lang w:eastAsia="zh-CN"/>
        </w:rPr>
        <w:t>）代谢与系统并发症</w:t>
      </w:r>
    </w:p>
    <w:p w14:paraId="6158145F">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1. 低血钾症</w:t>
      </w:r>
    </w:p>
    <w:p w14:paraId="08ED906F">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《慢性肾脏病高钾血症风险评估及管理专家建议（2020版）》</w:t>
      </w:r>
      <w:r>
        <w:rPr>
          <w:rFonts w:hint="eastAsia" w:ascii="仿宋_GB2312" w:eastAsia="仿宋_GB2312" w:cs="仿宋"/>
          <w:sz w:val="28"/>
          <w:szCs w:val="28"/>
          <w:lang w:val="en-US" w:eastAsia="zh-CN"/>
        </w:rPr>
        <w:t>中给出：血液透析和腹膜透析患者常规每1</w:t>
      </w:r>
      <w:r>
        <w:rPr>
          <w:rFonts w:hint="default" w:ascii="Times New Roman" w:hAnsi="Times New Roman" w:eastAsia="仿宋_GB2312" w:cs="Times New Roman"/>
          <w:sz w:val="28"/>
          <w:szCs w:val="28"/>
          <w:lang w:val="en-US" w:eastAsia="zh-CN"/>
        </w:rPr>
        <w:t>~</w:t>
      </w:r>
      <w:r>
        <w:rPr>
          <w:rFonts w:hint="eastAsia" w:ascii="仿宋_GB2312" w:eastAsia="仿宋_GB2312" w:cs="仿宋"/>
          <w:sz w:val="28"/>
          <w:szCs w:val="28"/>
          <w:lang w:val="en-US" w:eastAsia="zh-CN"/>
        </w:rPr>
        <w:t>3个月复查血钾,尤其是开始透析时间不长的患者,如有低钾或高钾风险或已发生过一次低钾血症或高钾血症，建议增加监测频率(至少每月1次),直到诱发因素评估明确并已纠正。</w:t>
      </w:r>
      <w:r>
        <w:rPr>
          <w:rFonts w:hint="eastAsia" w:ascii="仿宋_GB2312" w:eastAsia="仿宋_GB2312" w:cs="仿宋"/>
          <w:b/>
          <w:bCs/>
          <w:sz w:val="28"/>
          <w:szCs w:val="28"/>
          <w:lang w:eastAsia="zh-CN"/>
        </w:rPr>
        <w:t>医生与护士</w:t>
      </w:r>
      <w:r>
        <w:rPr>
          <w:rFonts w:hint="eastAsia" w:ascii="仿宋_GB2312" w:eastAsia="仿宋_GB2312" w:cs="仿宋"/>
          <w:b/>
          <w:bCs/>
          <w:sz w:val="28"/>
          <w:szCs w:val="28"/>
          <w:lang w:val="en-US" w:eastAsia="zh-CN"/>
        </w:rPr>
        <w:t>的评估频率</w:t>
      </w:r>
      <w:r>
        <w:rPr>
          <w:rFonts w:hint="eastAsia" w:ascii="仿宋_GB2312" w:eastAsia="仿宋_GB2312" w:cs="仿宋"/>
          <w:sz w:val="28"/>
          <w:szCs w:val="28"/>
          <w:lang w:val="en-US" w:eastAsia="zh-CN"/>
        </w:rPr>
        <w:t>参考该文献并结合临床实际确定为：对随访中患者每1～3个月（待补充依据）评估1次。</w:t>
      </w:r>
    </w:p>
    <w:p w14:paraId="42B91EC6">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650615" cy="1156335"/>
            <wp:effectExtent l="9525" t="9525" r="16510" b="1524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4"/>
                    <a:srcRect t="32365" r="50160" b="14021"/>
                    <a:stretch>
                      <a:fillRect/>
                    </a:stretch>
                  </pic:blipFill>
                  <pic:spPr>
                    <a:xfrm>
                      <a:off x="0" y="0"/>
                      <a:ext cx="3650615" cy="1156335"/>
                    </a:xfrm>
                    <a:prstGeom prst="rect">
                      <a:avLst/>
                    </a:prstGeom>
                    <a:noFill/>
                    <a:ln>
                      <a:solidFill>
                        <a:schemeClr val="tx1"/>
                      </a:solidFill>
                    </a:ln>
                  </pic:spPr>
                </pic:pic>
              </a:graphicData>
            </a:graphic>
          </wp:inline>
        </w:drawing>
      </w:r>
    </w:p>
    <w:p w14:paraId="3888DF6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来源：慢性肾脏病高钾血症风险评估及管理专家建议（2020版）</w:t>
      </w:r>
    </w:p>
    <w:p w14:paraId="272A5BC3">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《慢性肾脏病高钾血症风险评估及管理专家建议（2020版）》</w:t>
      </w:r>
      <w:r>
        <w:rPr>
          <w:rFonts w:hint="eastAsia" w:ascii="仿宋_GB2312" w:eastAsia="仿宋_GB2312" w:cs="仿宋"/>
          <w:sz w:val="28"/>
          <w:szCs w:val="28"/>
          <w:lang w:val="en-US" w:eastAsia="zh-CN"/>
        </w:rPr>
        <w:t>给出了</w:t>
      </w:r>
      <w:r>
        <w:rPr>
          <w:rFonts w:hint="eastAsia" w:ascii="仿宋_GB2312" w:eastAsia="仿宋_GB2312" w:cs="仿宋"/>
          <w:b/>
          <w:bCs/>
          <w:sz w:val="28"/>
          <w:szCs w:val="28"/>
          <w:lang w:val="en-US" w:eastAsia="zh-CN"/>
        </w:rPr>
        <w:t>低钾血症的诊断依据</w:t>
      </w:r>
      <w:r>
        <w:rPr>
          <w:rFonts w:hint="eastAsia" w:ascii="仿宋_GB2312" w:eastAsia="仿宋_GB2312" w:cs="仿宋"/>
          <w:sz w:val="28"/>
          <w:szCs w:val="28"/>
          <w:lang w:val="en-US" w:eastAsia="zh-CN"/>
        </w:rPr>
        <w:t>：血清钾＜3.5mmol/L即可诊断为低钾血症。</w:t>
      </w:r>
    </w:p>
    <w:p w14:paraId="05E2CCF9">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5219700" cy="3447415"/>
            <wp:effectExtent l="9525" t="9525" r="9525" b="10160"/>
            <wp:docPr id="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5"/>
                    <pic:cNvPicPr>
                      <a:picLocks noChangeAspect="1"/>
                    </pic:cNvPicPr>
                  </pic:nvPicPr>
                  <pic:blipFill>
                    <a:blip r:embed="rId25"/>
                    <a:stretch>
                      <a:fillRect/>
                    </a:stretch>
                  </pic:blipFill>
                  <pic:spPr>
                    <a:xfrm>
                      <a:off x="0" y="0"/>
                      <a:ext cx="5219700" cy="3447415"/>
                    </a:xfrm>
                    <a:prstGeom prst="rect">
                      <a:avLst/>
                    </a:prstGeom>
                    <a:noFill/>
                    <a:ln>
                      <a:solidFill>
                        <a:schemeClr val="tx1"/>
                      </a:solidFill>
                    </a:ln>
                  </pic:spPr>
                </pic:pic>
              </a:graphicData>
            </a:graphic>
          </wp:inline>
        </w:drawing>
      </w:r>
    </w:p>
    <w:p w14:paraId="28DC552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来源：慢性肾脏病高钾血症风险评估及管理专家建议（2020版）</w:t>
      </w:r>
    </w:p>
    <w:p w14:paraId="3D51BC0F">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《慢性肾脏病高钾血症风险评估及管理专家建议（2020版）》</w:t>
      </w:r>
      <w:r>
        <w:rPr>
          <w:rFonts w:hint="eastAsia" w:ascii="仿宋_GB2312" w:eastAsia="仿宋_GB2312" w:cs="仿宋"/>
          <w:sz w:val="28"/>
          <w:szCs w:val="28"/>
          <w:lang w:val="en-US" w:eastAsia="zh-CN"/>
        </w:rPr>
        <w:t>还给出了</w:t>
      </w:r>
      <w:r>
        <w:rPr>
          <w:rFonts w:hint="eastAsia" w:ascii="仿宋_GB2312" w:eastAsia="仿宋_GB2312" w:cs="仿宋"/>
          <w:b/>
          <w:bCs/>
          <w:sz w:val="28"/>
          <w:szCs w:val="28"/>
          <w:lang w:val="en-US" w:eastAsia="zh-CN"/>
        </w:rPr>
        <w:t>低血钾症分级标准以及正常血钾范围</w:t>
      </w:r>
      <w:r>
        <w:rPr>
          <w:rFonts w:hint="eastAsia" w:ascii="仿宋_GB2312" w:eastAsia="仿宋_GB2312" w:cs="仿宋"/>
          <w:sz w:val="28"/>
          <w:szCs w:val="28"/>
          <w:lang w:val="en-US" w:eastAsia="zh-CN"/>
        </w:rPr>
        <w:t>：</w:t>
      </w:r>
    </w:p>
    <w:p w14:paraId="2D961CBE">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683760" cy="1504315"/>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6"/>
                    <a:srcRect t="15120"/>
                    <a:stretch>
                      <a:fillRect/>
                    </a:stretch>
                  </pic:blipFill>
                  <pic:spPr>
                    <a:xfrm>
                      <a:off x="0" y="0"/>
                      <a:ext cx="4683760" cy="1504315"/>
                    </a:xfrm>
                    <a:prstGeom prst="rect">
                      <a:avLst/>
                    </a:prstGeom>
                    <a:noFill/>
                    <a:ln>
                      <a:solidFill>
                        <a:schemeClr val="tx1"/>
                      </a:solidFill>
                    </a:ln>
                  </pic:spPr>
                </pic:pic>
              </a:graphicData>
            </a:graphic>
          </wp:inline>
        </w:drawing>
      </w:r>
    </w:p>
    <w:p w14:paraId="3B13AB6E">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来源：慢性肾脏病高钾血症风险评估及管理专家建议（2020版）</w:t>
      </w:r>
    </w:p>
    <w:p w14:paraId="5FA530D6">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763135" cy="841375"/>
            <wp:effectExtent l="9525" t="9525" r="12700" b="1778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27"/>
                    <a:srcRect b="70276"/>
                    <a:stretch>
                      <a:fillRect/>
                    </a:stretch>
                  </pic:blipFill>
                  <pic:spPr>
                    <a:xfrm>
                      <a:off x="0" y="0"/>
                      <a:ext cx="4763135" cy="841375"/>
                    </a:xfrm>
                    <a:prstGeom prst="rect">
                      <a:avLst/>
                    </a:prstGeom>
                    <a:noFill/>
                    <a:ln>
                      <a:solidFill>
                        <a:schemeClr val="tx1"/>
                      </a:solidFill>
                    </a:ln>
                  </pic:spPr>
                </pic:pic>
              </a:graphicData>
            </a:graphic>
          </wp:inline>
        </w:drawing>
      </w:r>
    </w:p>
    <w:p w14:paraId="7ABF7CD0">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来源：慢性肾脏病高钾血症风险评估及管理专家建议（2020版）</w:t>
      </w:r>
    </w:p>
    <w:p w14:paraId="555F73B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val="en-US" w:eastAsia="zh-CN"/>
        </w:rPr>
      </w:pPr>
    </w:p>
    <w:p w14:paraId="7D243A91">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val="en-US" w:eastAsia="zh-CN"/>
        </w:rPr>
        <w:t xml:space="preserve">2. </w:t>
      </w:r>
      <w:r>
        <w:rPr>
          <w:rFonts w:hint="eastAsia" w:ascii="仿宋_GB2312" w:eastAsia="仿宋_GB2312" w:cs="仿宋"/>
          <w:b/>
          <w:bCs/>
          <w:sz w:val="28"/>
          <w:szCs w:val="28"/>
          <w:lang w:eastAsia="zh-CN"/>
        </w:rPr>
        <w:t>高钾血症</w:t>
      </w:r>
    </w:p>
    <w:p w14:paraId="4F5D90ED">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《慢性肾脏病高钾血症风险评估及管理专家建议（2020版）》</w:t>
      </w:r>
      <w:r>
        <w:rPr>
          <w:rFonts w:hint="eastAsia" w:ascii="仿宋_GB2312" w:eastAsia="仿宋_GB2312" w:cs="仿宋"/>
          <w:sz w:val="28"/>
          <w:szCs w:val="28"/>
          <w:lang w:val="en-US" w:eastAsia="zh-CN"/>
        </w:rPr>
        <w:t>给出了急性高血钾症的严重程度，本标准高血钾症的评估结果判断参考该专家建议并结合临床实际而确定。</w:t>
      </w:r>
    </w:p>
    <w:p w14:paraId="16EBAA5A">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199130" cy="1981200"/>
            <wp:effectExtent l="9525" t="9525" r="10795" b="9525"/>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pic:cNvPicPr>
                  </pic:nvPicPr>
                  <pic:blipFill>
                    <a:blip r:embed="rId28"/>
                    <a:srcRect l="1904" t="21753" r="52669" b="7990"/>
                    <a:stretch>
                      <a:fillRect/>
                    </a:stretch>
                  </pic:blipFill>
                  <pic:spPr>
                    <a:xfrm>
                      <a:off x="0" y="0"/>
                      <a:ext cx="3199130" cy="1981200"/>
                    </a:xfrm>
                    <a:prstGeom prst="rect">
                      <a:avLst/>
                    </a:prstGeom>
                    <a:noFill/>
                    <a:ln>
                      <a:solidFill>
                        <a:schemeClr val="tx1"/>
                      </a:solidFill>
                    </a:ln>
                  </pic:spPr>
                </pic:pic>
              </a:graphicData>
            </a:graphic>
          </wp:inline>
        </w:drawing>
      </w:r>
    </w:p>
    <w:p w14:paraId="5FB1EE63">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来源：慢性肾脏病高钾血症风险评估及管理专家建议（2020版）</w:t>
      </w:r>
    </w:p>
    <w:p w14:paraId="5B645E33">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p>
    <w:p w14:paraId="68700AD3">
      <w:pPr>
        <w:pStyle w:val="40"/>
        <w:keepNext w:val="0"/>
        <w:keepLines w:val="0"/>
        <w:pageBreakBefore w:val="0"/>
        <w:widowControl w:val="0"/>
        <w:numPr>
          <w:ilvl w:val="0"/>
          <w:numId w:val="9"/>
        </w:numPr>
        <w:kinsoku/>
        <w:wordWrap/>
        <w:overflowPunct/>
        <w:topLinePunct w:val="0"/>
        <w:bidi w:val="0"/>
        <w:spacing w:line="520" w:lineRule="exact"/>
        <w:ind w:left="0" w:leftChars="0" w:firstLine="562" w:firstLineChars="200"/>
        <w:rPr>
          <w:rFonts w:hint="default" w:ascii="仿宋_GB2312" w:eastAsia="仿宋_GB2312" w:cs="仿宋"/>
          <w:b/>
          <w:bCs/>
          <w:sz w:val="28"/>
          <w:szCs w:val="28"/>
          <w:lang w:val="en-US" w:eastAsia="zh-CN"/>
        </w:rPr>
      </w:pPr>
      <w:r>
        <w:rPr>
          <w:rFonts w:hint="eastAsia" w:ascii="仿宋_GB2312" w:eastAsia="仿宋_GB2312" w:cs="仿宋"/>
          <w:b/>
          <w:bCs/>
          <w:sz w:val="28"/>
          <w:szCs w:val="28"/>
          <w:lang w:val="en-US" w:eastAsia="zh-CN"/>
        </w:rPr>
        <w:t>贫血</w:t>
      </w:r>
    </w:p>
    <w:p w14:paraId="26661B7A">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评估时机或频率</w:t>
      </w:r>
    </w:p>
    <w:p w14:paraId="776379E7">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val="en-US" w:eastAsia="zh-CN"/>
        </w:rPr>
        <w:t>参考《中国肾性贫血诊治临床实践指南》并结合临床实际将医生与护士的评估频率确定为：</w:t>
      </w:r>
    </w:p>
    <w:p w14:paraId="4B0C906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1）</w:t>
      </w:r>
      <w:r>
        <w:rPr>
          <w:rFonts w:hint="eastAsia" w:ascii="仿宋_GB2312" w:eastAsia="仿宋_GB2312" w:cs="仿宋"/>
          <w:sz w:val="28"/>
          <w:szCs w:val="28"/>
          <w:lang w:eastAsia="zh-CN"/>
        </w:rPr>
        <w:t>对随访中患者ESAs初始治疗阶段或调整用药阶段的患者至少每月1次。</w:t>
      </w:r>
    </w:p>
    <w:p w14:paraId="0043BAE6">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sz w:val="28"/>
          <w:szCs w:val="28"/>
          <w:lang w:eastAsia="zh-CN"/>
        </w:rPr>
        <w:t>（</w:t>
      </w:r>
      <w:r>
        <w:rPr>
          <w:rFonts w:hint="eastAsia" w:ascii="仿宋_GB2312" w:eastAsia="仿宋_GB2312" w:cs="仿宋"/>
          <w:sz w:val="28"/>
          <w:szCs w:val="28"/>
          <w:lang w:val="en-US" w:eastAsia="zh-CN"/>
        </w:rPr>
        <w:t>2</w:t>
      </w:r>
      <w:r>
        <w:rPr>
          <w:rFonts w:hint="eastAsia" w:ascii="仿宋_GB2312" w:eastAsia="仿宋_GB2312" w:cs="仿宋"/>
          <w:sz w:val="28"/>
          <w:szCs w:val="28"/>
          <w:lang w:eastAsia="zh-CN"/>
        </w:rPr>
        <w:t>）对随访中患者合并贫血但未使用ESAs治疗患者至少每3个月1次。</w:t>
      </w:r>
    </w:p>
    <w:p w14:paraId="20B3E325">
      <w:pPr>
        <w:pStyle w:val="40"/>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仿宋_GB2312" w:eastAsia="仿宋_GB2312" w:cs="仿宋"/>
          <w:sz w:val="28"/>
          <w:szCs w:val="28"/>
          <w:lang w:eastAsia="zh-CN"/>
        </w:rPr>
      </w:pPr>
      <w:r>
        <w:drawing>
          <wp:inline distT="0" distB="0" distL="114300" distR="114300">
            <wp:extent cx="4138930" cy="2482215"/>
            <wp:effectExtent l="9525" t="9525" r="12065" b="2286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9"/>
                    <a:stretch>
                      <a:fillRect/>
                    </a:stretch>
                  </pic:blipFill>
                  <pic:spPr>
                    <a:xfrm>
                      <a:off x="0" y="0"/>
                      <a:ext cx="4138930" cy="2482215"/>
                    </a:xfrm>
                    <a:prstGeom prst="rect">
                      <a:avLst/>
                    </a:prstGeom>
                    <a:noFill/>
                    <a:ln>
                      <a:solidFill>
                        <a:schemeClr val="tx1"/>
                      </a:solidFill>
                    </a:ln>
                  </pic:spPr>
                </pic:pic>
              </a:graphicData>
            </a:graphic>
          </wp:inline>
        </w:drawing>
      </w:r>
    </w:p>
    <w:p w14:paraId="3577FAA1">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来源：中国肾性贫血诊治临床实践指南</w:t>
      </w:r>
    </w:p>
    <w:p w14:paraId="20646AFD">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实验室检查</w:t>
      </w:r>
    </w:p>
    <w:p w14:paraId="5A938F9F">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《中国肾性贫血诊治临床实践指南》</w:t>
      </w:r>
      <w:r>
        <w:rPr>
          <w:rFonts w:hint="eastAsia" w:ascii="仿宋_GB2312" w:eastAsia="仿宋_GB2312" w:cs="仿宋"/>
          <w:sz w:val="28"/>
          <w:szCs w:val="28"/>
          <w:lang w:val="en-US" w:eastAsia="zh-CN"/>
        </w:rPr>
        <w:t>给出，肾性贫血患者血红蛋白（Hb)＜100g/dL，正常Hb的浓度范围是110g/L～130g/L。</w:t>
      </w:r>
    </w:p>
    <w:p w14:paraId="1EB45960">
      <w:pPr>
        <w:pStyle w:val="40"/>
        <w:keepNext w:val="0"/>
        <w:keepLines w:val="0"/>
        <w:pageBreakBefore w:val="0"/>
        <w:widowControl w:val="0"/>
        <w:kinsoku/>
        <w:wordWrap/>
        <w:overflowPunct/>
        <w:topLinePunct w:val="0"/>
        <w:bidi w:val="0"/>
        <w:spacing w:line="240" w:lineRule="auto"/>
        <w:ind w:left="0" w:leftChars="0" w:firstLine="0" w:firstLineChars="0"/>
        <w:jc w:val="center"/>
      </w:pPr>
      <w:r>
        <w:drawing>
          <wp:inline distT="0" distB="0" distL="114300" distR="114300">
            <wp:extent cx="2945130" cy="2399030"/>
            <wp:effectExtent l="0" t="0" r="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30"/>
                    <a:srcRect l="6306" t="39764" r="44036"/>
                    <a:stretch>
                      <a:fillRect/>
                    </a:stretch>
                  </pic:blipFill>
                  <pic:spPr>
                    <a:xfrm>
                      <a:off x="0" y="0"/>
                      <a:ext cx="2945130" cy="2399030"/>
                    </a:xfrm>
                    <a:prstGeom prst="rect">
                      <a:avLst/>
                    </a:prstGeom>
                    <a:noFill/>
                    <a:ln>
                      <a:solidFill>
                        <a:schemeClr val="tx1"/>
                      </a:solidFill>
                    </a:ln>
                  </pic:spPr>
                </pic:pic>
              </a:graphicData>
            </a:graphic>
          </wp:inline>
        </w:drawing>
      </w:r>
    </w:p>
    <w:p w14:paraId="6CF388B1">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lang w:eastAsia="zh-CN"/>
        </w:rPr>
      </w:pPr>
      <w:r>
        <w:drawing>
          <wp:inline distT="0" distB="0" distL="114300" distR="114300">
            <wp:extent cx="2865755" cy="172402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1"/>
                    <a:srcRect l="5240" r="46503" b="41424"/>
                    <a:stretch>
                      <a:fillRect/>
                    </a:stretch>
                  </pic:blipFill>
                  <pic:spPr>
                    <a:xfrm>
                      <a:off x="0" y="0"/>
                      <a:ext cx="2865755" cy="1724025"/>
                    </a:xfrm>
                    <a:prstGeom prst="rect">
                      <a:avLst/>
                    </a:prstGeom>
                    <a:noFill/>
                    <a:ln>
                      <a:solidFill>
                        <a:schemeClr val="tx1"/>
                      </a:solidFill>
                    </a:ln>
                  </pic:spPr>
                </pic:pic>
              </a:graphicData>
            </a:graphic>
          </wp:inline>
        </w:drawing>
      </w:r>
    </w:p>
    <w:p w14:paraId="644EF40F">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来源：中国肾性贫血诊治临床实践指南</w:t>
      </w:r>
    </w:p>
    <w:p w14:paraId="515DFEAB">
      <w:pPr>
        <w:pStyle w:val="40"/>
        <w:keepNext w:val="0"/>
        <w:keepLines w:val="0"/>
        <w:pageBreakBefore w:val="0"/>
        <w:widowControl w:val="0"/>
        <w:numPr>
          <w:ilvl w:val="0"/>
          <w:numId w:val="9"/>
        </w:numPr>
        <w:kinsoku/>
        <w:wordWrap/>
        <w:overflowPunct/>
        <w:topLinePunct w:val="0"/>
        <w:bidi w:val="0"/>
        <w:spacing w:line="520" w:lineRule="exact"/>
        <w:ind w:left="0" w:leftChars="0" w:firstLine="562" w:firstLineChars="200"/>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营养不良</w:t>
      </w:r>
    </w:p>
    <w:p w14:paraId="1BD6D565">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生化指标：低血清白蛋白＜35g/L，前白蛋白＜300mg/L，总胆固醇＜2.59mmol/L。</w:t>
      </w:r>
      <w:r>
        <w:rPr>
          <w:rFonts w:hint="eastAsia" w:ascii="仿宋_GB2312" w:eastAsia="仿宋_GB2312" w:cs="仿宋"/>
          <w:sz w:val="28"/>
          <w:szCs w:val="28"/>
          <w:lang w:val="en-US" w:eastAsia="zh-CN"/>
        </w:rPr>
        <w:t>该指标参考《腹膜透析透析标准操作规程（2010版）》并结合起草单位的工作实际而确定。</w:t>
      </w:r>
    </w:p>
    <w:p w14:paraId="3030DB6D">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140710" cy="1795145"/>
            <wp:effectExtent l="9525" t="9525" r="12065" b="2413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32"/>
                    <a:stretch>
                      <a:fillRect/>
                    </a:stretch>
                  </pic:blipFill>
                  <pic:spPr>
                    <a:xfrm>
                      <a:off x="0" y="0"/>
                      <a:ext cx="3140710" cy="1795145"/>
                    </a:xfrm>
                    <a:prstGeom prst="rect">
                      <a:avLst/>
                    </a:prstGeom>
                    <a:noFill/>
                    <a:ln>
                      <a:solidFill>
                        <a:schemeClr val="tx1"/>
                      </a:solidFill>
                    </a:ln>
                  </pic:spPr>
                </pic:pic>
              </a:graphicData>
            </a:graphic>
          </wp:inline>
        </w:drawing>
      </w:r>
    </w:p>
    <w:p w14:paraId="7DCA3EF2">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2C12B690">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val="en-US" w:eastAsia="zh-CN"/>
        </w:rPr>
      </w:pPr>
      <w:r>
        <w:rPr>
          <w:rFonts w:hint="eastAsia" w:ascii="仿宋_GB2312" w:eastAsia="仿宋_GB2312" w:cs="仿宋"/>
          <w:b/>
          <w:bCs/>
          <w:sz w:val="28"/>
          <w:szCs w:val="28"/>
          <w:lang w:val="en-US" w:eastAsia="zh-CN"/>
        </w:rPr>
        <w:t>能量摄入计算</w:t>
      </w:r>
      <w:r>
        <w:rPr>
          <w:rFonts w:hint="eastAsia" w:ascii="仿宋_GB2312" w:eastAsia="仿宋_GB2312" w:cs="仿宋"/>
          <w:sz w:val="28"/>
          <w:szCs w:val="28"/>
          <w:lang w:val="en-US" w:eastAsia="zh-CN"/>
        </w:rPr>
        <w:t>：参考《中国慢性肾脏病营养治疗临床实践指南（2021版）》，将患者饮食记录的时间确定为3天。</w:t>
      </w:r>
    </w:p>
    <w:p w14:paraId="10E2B6A2">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default" w:ascii="仿宋_GB2312" w:eastAsia="仿宋_GB2312" w:cs="仿宋"/>
          <w:sz w:val="28"/>
          <w:szCs w:val="28"/>
          <w:lang w:val="en-US" w:eastAsia="zh-CN"/>
        </w:rPr>
      </w:pPr>
      <w:r>
        <w:drawing>
          <wp:inline distT="0" distB="0" distL="114300" distR="114300">
            <wp:extent cx="2169795" cy="1497965"/>
            <wp:effectExtent l="9525" t="9525" r="15240" b="1651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3"/>
                    <a:srcRect l="50769" b="46559"/>
                    <a:stretch>
                      <a:fillRect/>
                    </a:stretch>
                  </pic:blipFill>
                  <pic:spPr>
                    <a:xfrm>
                      <a:off x="0" y="0"/>
                      <a:ext cx="2169795" cy="1497965"/>
                    </a:xfrm>
                    <a:prstGeom prst="rect">
                      <a:avLst/>
                    </a:prstGeom>
                    <a:noFill/>
                    <a:ln>
                      <a:solidFill>
                        <a:schemeClr val="tx1"/>
                      </a:solidFill>
                    </a:ln>
                  </pic:spPr>
                </pic:pic>
              </a:graphicData>
            </a:graphic>
          </wp:inline>
        </w:drawing>
      </w:r>
    </w:p>
    <w:p w14:paraId="6B33950B">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来源：中国慢性肾脏病营养治疗临床实践指南（2021版）</w:t>
      </w:r>
    </w:p>
    <w:p w14:paraId="01CA9D31">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腹膜透析每日通过超滤液丢失</w:t>
      </w:r>
      <w:r>
        <w:rPr>
          <w:rFonts w:hint="eastAsia" w:ascii="仿宋_GB2312" w:eastAsia="仿宋_GB2312" w:cs="仿宋"/>
          <w:sz w:val="28"/>
          <w:szCs w:val="28"/>
          <w:lang w:val="en-US" w:eastAsia="zh-CN"/>
        </w:rPr>
        <w:t>蛋白质的量参考《腹膜透析透析标准操作规程（2010版）》确定为5g～15g。</w:t>
      </w:r>
    </w:p>
    <w:p w14:paraId="76102DF1">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811270" cy="1383665"/>
            <wp:effectExtent l="9525" t="9525" r="27305" b="1651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4"/>
                    <a:srcRect b="42943"/>
                    <a:stretch>
                      <a:fillRect/>
                    </a:stretch>
                  </pic:blipFill>
                  <pic:spPr>
                    <a:xfrm>
                      <a:off x="0" y="0"/>
                      <a:ext cx="3811270" cy="1383665"/>
                    </a:xfrm>
                    <a:prstGeom prst="rect">
                      <a:avLst/>
                    </a:prstGeom>
                    <a:noFill/>
                    <a:ln>
                      <a:solidFill>
                        <a:schemeClr val="tx1"/>
                      </a:solidFill>
                    </a:ln>
                  </pic:spPr>
                </pic:pic>
              </a:graphicData>
            </a:graphic>
          </wp:inline>
        </w:drawing>
      </w:r>
    </w:p>
    <w:p w14:paraId="661CC906">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65B06535">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b/>
          <w:bCs/>
          <w:sz w:val="28"/>
          <w:szCs w:val="28"/>
          <w:lang w:eastAsia="zh-CN"/>
        </w:rPr>
        <w:t>评估结果判断</w:t>
      </w:r>
      <w:r>
        <w:rPr>
          <w:rFonts w:hint="eastAsia" w:ascii="仿宋_GB2312" w:eastAsia="仿宋_GB2312" w:cs="仿宋"/>
          <w:sz w:val="28"/>
          <w:szCs w:val="28"/>
          <w:lang w:val="en-US" w:eastAsia="zh-CN"/>
        </w:rPr>
        <w:t>参考《中国慢性肾脏病营养治疗临床实践指南（2021版）》并结合起草单位的临床实际给出，其中，正常血清蛋白应大于38g/L。</w:t>
      </w:r>
    </w:p>
    <w:p w14:paraId="6B257A5D">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2001520" cy="1700530"/>
            <wp:effectExtent l="9525" t="9525" r="15875" b="1206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35"/>
                    <a:srcRect l="51438" t="2845" b="36840"/>
                    <a:stretch>
                      <a:fillRect/>
                    </a:stretch>
                  </pic:blipFill>
                  <pic:spPr>
                    <a:xfrm>
                      <a:off x="0" y="0"/>
                      <a:ext cx="2001520" cy="1700530"/>
                    </a:xfrm>
                    <a:prstGeom prst="rect">
                      <a:avLst/>
                    </a:prstGeom>
                    <a:noFill/>
                    <a:ln>
                      <a:solidFill>
                        <a:schemeClr val="tx1"/>
                      </a:solidFill>
                    </a:ln>
                  </pic:spPr>
                </pic:pic>
              </a:graphicData>
            </a:graphic>
          </wp:inline>
        </w:drawing>
      </w:r>
    </w:p>
    <w:p w14:paraId="7F4BA01B">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仿宋_GB2312" w:eastAsia="仿宋_GB2312" w:cs="仿宋"/>
          <w:sz w:val="28"/>
          <w:szCs w:val="28"/>
          <w:lang w:eastAsia="zh-CN"/>
        </w:rPr>
      </w:pPr>
      <w:r>
        <w:rPr>
          <w:rFonts w:hint="eastAsia" w:ascii="黑体" w:hAnsi="黑体" w:eastAsia="黑体" w:cs="黑体"/>
          <w:sz w:val="21"/>
          <w:szCs w:val="21"/>
          <w:lang w:eastAsia="zh-CN"/>
        </w:rPr>
        <w:t>来源：中国慢性肾脏病营养治疗临床实践指南（2021版）</w:t>
      </w:r>
    </w:p>
    <w:p w14:paraId="40FED709">
      <w:pPr>
        <w:pStyle w:val="40"/>
        <w:keepNext w:val="0"/>
        <w:keepLines w:val="0"/>
        <w:pageBreakBefore w:val="0"/>
        <w:widowControl w:val="0"/>
        <w:numPr>
          <w:ilvl w:val="0"/>
          <w:numId w:val="9"/>
        </w:numPr>
        <w:kinsoku/>
        <w:wordWrap/>
        <w:overflowPunct/>
        <w:topLinePunct w:val="0"/>
        <w:bidi w:val="0"/>
        <w:spacing w:line="520" w:lineRule="exact"/>
        <w:ind w:left="0" w:leftChars="0" w:firstLine="562" w:firstLineChars="200"/>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钙磷代谢紊乱</w:t>
      </w:r>
    </w:p>
    <w:p w14:paraId="21333880">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医生与护士</w:t>
      </w:r>
      <w:r>
        <w:rPr>
          <w:rFonts w:hint="eastAsia" w:ascii="仿宋_GB2312" w:eastAsia="仿宋_GB2312" w:cs="仿宋"/>
          <w:sz w:val="28"/>
          <w:szCs w:val="28"/>
          <w:lang w:val="en-US" w:eastAsia="zh-CN"/>
        </w:rPr>
        <w:t>随访频率参考《腹膜透析透析标准操作规程（2010版）》并结合起草单位的临床实际给出。</w:t>
      </w:r>
    </w:p>
    <w:p w14:paraId="105BBEC3">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2879090" cy="1731645"/>
            <wp:effectExtent l="9525" t="9525" r="26035" b="1143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36"/>
                    <a:stretch>
                      <a:fillRect/>
                    </a:stretch>
                  </pic:blipFill>
                  <pic:spPr>
                    <a:xfrm>
                      <a:off x="0" y="0"/>
                      <a:ext cx="2879090" cy="1731645"/>
                    </a:xfrm>
                    <a:prstGeom prst="rect">
                      <a:avLst/>
                    </a:prstGeom>
                    <a:noFill/>
                    <a:ln>
                      <a:solidFill>
                        <a:schemeClr val="tx1"/>
                      </a:solidFill>
                    </a:ln>
                  </pic:spPr>
                </pic:pic>
              </a:graphicData>
            </a:graphic>
          </wp:inline>
        </w:drawing>
      </w:r>
    </w:p>
    <w:p w14:paraId="1AD9EC01">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0B9D05EB">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生化指标</w:t>
      </w:r>
      <w:r>
        <w:rPr>
          <w:rFonts w:hint="eastAsia" w:ascii="仿宋_GB2312" w:eastAsia="仿宋_GB2312" w:cs="仿宋"/>
          <w:sz w:val="28"/>
          <w:szCs w:val="28"/>
          <w:lang w:val="en-US" w:eastAsia="zh-CN"/>
        </w:rPr>
        <w:t>参考《腹膜透析透析标准操作规程（2010版）》并结合起草单位的临床实际确定了血清钙、血清磷、甲状旁腺激素（iPTH）、碱性磷酸酶（ALP）等指标的范围。</w:t>
      </w:r>
    </w:p>
    <w:p w14:paraId="6C700AD6">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307715" cy="1569720"/>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37"/>
                    <a:srcRect b="9196"/>
                    <a:stretch>
                      <a:fillRect/>
                    </a:stretch>
                  </pic:blipFill>
                  <pic:spPr>
                    <a:xfrm>
                      <a:off x="0" y="0"/>
                      <a:ext cx="3307715" cy="1569720"/>
                    </a:xfrm>
                    <a:prstGeom prst="rect">
                      <a:avLst/>
                    </a:prstGeom>
                    <a:noFill/>
                    <a:ln>
                      <a:solidFill>
                        <a:schemeClr val="tx1"/>
                      </a:solidFill>
                    </a:ln>
                  </pic:spPr>
                </pic:pic>
              </a:graphicData>
            </a:graphic>
          </wp:inline>
        </w:drawing>
      </w:r>
    </w:p>
    <w:p w14:paraId="4DA51C80">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2294DF0E">
      <w:pPr>
        <w:pStyle w:val="40"/>
        <w:keepNext w:val="0"/>
        <w:keepLines w:val="0"/>
        <w:pageBreakBefore w:val="0"/>
        <w:widowControl w:val="0"/>
        <w:numPr>
          <w:ilvl w:val="0"/>
          <w:numId w:val="9"/>
        </w:numPr>
        <w:kinsoku/>
        <w:wordWrap/>
        <w:overflowPunct/>
        <w:topLinePunct w:val="0"/>
        <w:bidi w:val="0"/>
        <w:spacing w:line="520" w:lineRule="exact"/>
        <w:ind w:left="0" w:leftChars="0" w:firstLine="562" w:firstLineChars="200"/>
        <w:rPr>
          <w:rFonts w:hint="eastAsia" w:ascii="仿宋_GB2312" w:eastAsia="仿宋_GB2312" w:cs="仿宋"/>
          <w:sz w:val="28"/>
          <w:szCs w:val="28"/>
          <w:lang w:eastAsia="zh-CN"/>
        </w:rPr>
      </w:pPr>
      <w:r>
        <w:rPr>
          <w:rFonts w:hint="eastAsia" w:ascii="仿宋_GB2312" w:eastAsia="仿宋_GB2312" w:cs="仿宋"/>
          <w:b/>
          <w:bCs/>
          <w:sz w:val="28"/>
          <w:szCs w:val="28"/>
          <w:lang w:eastAsia="zh-CN"/>
        </w:rPr>
        <w:t>容量超负荷</w:t>
      </w:r>
    </w:p>
    <w:p w14:paraId="6FF393B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val="en-US" w:eastAsia="zh-CN"/>
        </w:rPr>
      </w:pPr>
      <w:r>
        <w:rPr>
          <w:rFonts w:hint="eastAsia" w:ascii="仿宋_GB2312" w:eastAsia="仿宋_GB2312" w:cs="仿宋"/>
          <w:sz w:val="28"/>
          <w:szCs w:val="28"/>
          <w:lang w:eastAsia="zh-CN"/>
        </w:rPr>
        <w:t>容量超负荷</w:t>
      </w:r>
      <w:r>
        <w:rPr>
          <w:rFonts w:hint="eastAsia" w:ascii="仿宋_GB2312" w:eastAsia="仿宋_GB2312" w:cs="仿宋"/>
          <w:sz w:val="28"/>
          <w:szCs w:val="28"/>
          <w:lang w:val="en-US" w:eastAsia="zh-CN"/>
        </w:rPr>
        <w:t>患者的评估频率参考《腹膜透析透析标准操作规程（2010版）》并结合起草单位的临床实际确定为：</w:t>
      </w:r>
    </w:p>
    <w:p w14:paraId="4A13387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val="en-US" w:eastAsia="zh-CN"/>
        </w:rPr>
      </w:pPr>
      <w:r>
        <w:rPr>
          <w:rFonts w:hint="eastAsia" w:ascii="仿宋_GB2312" w:eastAsia="仿宋_GB2312" w:cs="仿宋"/>
          <w:sz w:val="28"/>
          <w:szCs w:val="28"/>
          <w:lang w:val="en-US" w:eastAsia="zh-CN"/>
        </w:rPr>
        <w:t>（1）可长期容量超负荷患者，至少每月评估1次。</w:t>
      </w:r>
    </w:p>
    <w:p w14:paraId="1EE38132">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val="en-US" w:eastAsia="zh-CN"/>
        </w:rPr>
        <w:t>（2）随访中患者每3个月评估1次。</w:t>
      </w:r>
    </w:p>
    <w:p w14:paraId="1A0F285C">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159760" cy="2282190"/>
            <wp:effectExtent l="9525" t="9525" r="15875" b="952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8"/>
                    <a:stretch>
                      <a:fillRect/>
                    </a:stretch>
                  </pic:blipFill>
                  <pic:spPr>
                    <a:xfrm>
                      <a:off x="0" y="0"/>
                      <a:ext cx="3159760" cy="2282190"/>
                    </a:xfrm>
                    <a:prstGeom prst="rect">
                      <a:avLst/>
                    </a:prstGeom>
                    <a:noFill/>
                    <a:ln>
                      <a:solidFill>
                        <a:schemeClr val="tx1"/>
                      </a:solidFill>
                    </a:ln>
                  </pic:spPr>
                </pic:pic>
              </a:graphicData>
            </a:graphic>
          </wp:inline>
        </w:drawing>
      </w:r>
    </w:p>
    <w:p w14:paraId="69AB382A">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6853989B">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sz w:val="28"/>
          <w:szCs w:val="28"/>
          <w:lang w:eastAsia="zh-CN"/>
        </w:rPr>
      </w:pPr>
      <w:r>
        <w:rPr>
          <w:rFonts w:hint="eastAsia" w:ascii="仿宋_GB2312" w:eastAsia="仿宋_GB2312" w:cs="仿宋"/>
          <w:b/>
          <w:bCs/>
          <w:sz w:val="28"/>
          <w:szCs w:val="28"/>
          <w:lang w:eastAsia="zh-CN"/>
        </w:rPr>
        <w:t>评估结果判断</w:t>
      </w:r>
    </w:p>
    <w:p w14:paraId="3FBAEE24">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评估结果判断</w:t>
      </w:r>
      <w:r>
        <w:rPr>
          <w:rFonts w:hint="eastAsia" w:ascii="仿宋_GB2312" w:eastAsia="仿宋_GB2312" w:cs="仿宋"/>
          <w:sz w:val="28"/>
          <w:szCs w:val="28"/>
          <w:lang w:val="en-US" w:eastAsia="zh-CN"/>
        </w:rPr>
        <w:t>参考《腹膜透析透析标准操作规程（2010版）》并结合起草单位的临床实际确定。</w:t>
      </w:r>
    </w:p>
    <w:p w14:paraId="2AFA9280">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415030" cy="1842135"/>
            <wp:effectExtent l="9525" t="9525" r="19685" b="2286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39"/>
                    <a:stretch>
                      <a:fillRect/>
                    </a:stretch>
                  </pic:blipFill>
                  <pic:spPr>
                    <a:xfrm>
                      <a:off x="0" y="0"/>
                      <a:ext cx="3415030" cy="1842135"/>
                    </a:xfrm>
                    <a:prstGeom prst="rect">
                      <a:avLst/>
                    </a:prstGeom>
                    <a:noFill/>
                    <a:ln>
                      <a:solidFill>
                        <a:schemeClr val="tx1"/>
                      </a:solidFill>
                    </a:ln>
                  </pic:spPr>
                </pic:pic>
              </a:graphicData>
            </a:graphic>
          </wp:inline>
        </w:drawing>
      </w:r>
    </w:p>
    <w:p w14:paraId="34DD84C6">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18BF3EF4">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eastAsia="zh-CN"/>
        </w:rPr>
        <w:t>（</w:t>
      </w:r>
      <w:r>
        <w:rPr>
          <w:rFonts w:hint="eastAsia" w:ascii="仿宋_GB2312" w:eastAsia="仿宋_GB2312" w:cs="仿宋"/>
          <w:b/>
          <w:bCs/>
          <w:sz w:val="28"/>
          <w:szCs w:val="28"/>
          <w:lang w:val="en-US" w:eastAsia="zh-CN"/>
        </w:rPr>
        <w:t>七</w:t>
      </w:r>
      <w:r>
        <w:rPr>
          <w:rFonts w:hint="eastAsia" w:ascii="仿宋_GB2312" w:eastAsia="仿宋_GB2312" w:cs="仿宋"/>
          <w:b/>
          <w:bCs/>
          <w:sz w:val="28"/>
          <w:szCs w:val="28"/>
          <w:lang w:eastAsia="zh-CN"/>
        </w:rPr>
        <w:t>）腹膜功能障碍</w:t>
      </w:r>
    </w:p>
    <w:p w14:paraId="26DB6989">
      <w:pPr>
        <w:pStyle w:val="40"/>
        <w:keepNext w:val="0"/>
        <w:keepLines w:val="0"/>
        <w:pageBreakBefore w:val="0"/>
        <w:widowControl w:val="0"/>
        <w:kinsoku/>
        <w:wordWrap/>
        <w:overflowPunct/>
        <w:topLinePunct w:val="0"/>
        <w:bidi w:val="0"/>
        <w:spacing w:line="520" w:lineRule="exact"/>
        <w:ind w:firstLine="562"/>
        <w:rPr>
          <w:rFonts w:hint="eastAsia" w:ascii="仿宋_GB2312" w:eastAsia="仿宋_GB2312" w:cs="仿宋"/>
          <w:b/>
          <w:bCs/>
          <w:sz w:val="28"/>
          <w:szCs w:val="28"/>
          <w:lang w:eastAsia="zh-CN"/>
        </w:rPr>
      </w:pPr>
      <w:r>
        <w:rPr>
          <w:rFonts w:hint="eastAsia" w:ascii="仿宋_GB2312" w:eastAsia="仿宋_GB2312" w:cs="仿宋"/>
          <w:b/>
          <w:bCs/>
          <w:sz w:val="28"/>
          <w:szCs w:val="28"/>
          <w:lang w:val="en-US" w:eastAsia="zh-CN"/>
        </w:rPr>
        <w:t xml:space="preserve">1. </w:t>
      </w:r>
      <w:r>
        <w:rPr>
          <w:rFonts w:hint="eastAsia" w:ascii="仿宋_GB2312" w:eastAsia="仿宋_GB2312" w:cs="仿宋"/>
          <w:b/>
          <w:bCs/>
          <w:sz w:val="28"/>
          <w:szCs w:val="28"/>
          <w:lang w:eastAsia="zh-CN"/>
        </w:rPr>
        <w:t>评估时机或频率</w:t>
      </w:r>
    </w:p>
    <w:p w14:paraId="6DB65794">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val="en-US" w:eastAsia="zh-CN"/>
        </w:rPr>
        <w:t>参考《腹膜透析透析标准操作规程（2010版）》并结合起草单位的临床实际确定。</w:t>
      </w:r>
    </w:p>
    <w:p w14:paraId="6B25AA30">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4047490" cy="1473200"/>
            <wp:effectExtent l="9525" t="9525" r="12065" b="1079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0"/>
                    <a:stretch>
                      <a:fillRect/>
                    </a:stretch>
                  </pic:blipFill>
                  <pic:spPr>
                    <a:xfrm>
                      <a:off x="0" y="0"/>
                      <a:ext cx="4047490" cy="1473200"/>
                    </a:xfrm>
                    <a:prstGeom prst="rect">
                      <a:avLst/>
                    </a:prstGeom>
                    <a:noFill/>
                    <a:ln>
                      <a:solidFill>
                        <a:schemeClr val="tx1"/>
                      </a:solidFill>
                    </a:ln>
                  </pic:spPr>
                </pic:pic>
              </a:graphicData>
            </a:graphic>
          </wp:inline>
        </w:drawing>
      </w:r>
    </w:p>
    <w:p w14:paraId="220C9E6E">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来源：腹膜透析透析标准操作规程（2010版）</w:t>
      </w:r>
    </w:p>
    <w:p w14:paraId="2B2C2A29">
      <w:pPr>
        <w:pStyle w:val="40"/>
        <w:keepNext w:val="0"/>
        <w:keepLines w:val="0"/>
        <w:pageBreakBefore w:val="0"/>
        <w:widowControl w:val="0"/>
        <w:kinsoku/>
        <w:wordWrap/>
        <w:overflowPunct/>
        <w:topLinePunct w:val="0"/>
        <w:bidi w:val="0"/>
        <w:spacing w:line="520" w:lineRule="exact"/>
        <w:ind w:firstLine="562"/>
        <w:rPr>
          <w:rFonts w:hint="default" w:ascii="仿宋_GB2312" w:eastAsia="仿宋_GB2312" w:cs="仿宋"/>
          <w:sz w:val="28"/>
          <w:szCs w:val="28"/>
          <w:lang w:val="en-US" w:eastAsia="zh-CN"/>
        </w:rPr>
      </w:pPr>
      <w:r>
        <w:rPr>
          <w:rFonts w:hint="eastAsia" w:ascii="仿宋_GB2312" w:eastAsia="仿宋_GB2312" w:cs="仿宋"/>
          <w:sz w:val="28"/>
          <w:szCs w:val="28"/>
          <w:lang w:eastAsia="zh-CN"/>
        </w:rPr>
        <w:t>超滤衰竭</w:t>
      </w:r>
      <w:r>
        <w:rPr>
          <w:rFonts w:hint="eastAsia" w:ascii="仿宋_GB2312" w:eastAsia="仿宋_GB2312" w:cs="仿宋"/>
          <w:sz w:val="28"/>
          <w:szCs w:val="28"/>
          <w:lang w:val="en-US" w:eastAsia="zh-CN"/>
        </w:rPr>
        <w:t>的指标参考《腹膜透析超滤衰竭的诊治策略》并结合起草单位的临床实际而确定为nUF＜400mL。</w:t>
      </w:r>
    </w:p>
    <w:p w14:paraId="42C123D1">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792855" cy="1668145"/>
            <wp:effectExtent l="9525" t="9525" r="22860" b="139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41"/>
                    <a:stretch>
                      <a:fillRect/>
                    </a:stretch>
                  </pic:blipFill>
                  <pic:spPr>
                    <a:xfrm>
                      <a:off x="0" y="0"/>
                      <a:ext cx="3792855" cy="1668145"/>
                    </a:xfrm>
                    <a:prstGeom prst="rect">
                      <a:avLst/>
                    </a:prstGeom>
                    <a:noFill/>
                    <a:ln>
                      <a:solidFill>
                        <a:schemeClr val="tx1"/>
                      </a:solidFill>
                    </a:ln>
                  </pic:spPr>
                </pic:pic>
              </a:graphicData>
            </a:graphic>
          </wp:inline>
        </w:drawing>
      </w:r>
    </w:p>
    <w:p w14:paraId="24E9D042">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来源：腹膜透析超滤衰竭的诊治策略</w:t>
      </w:r>
    </w:p>
    <w:p w14:paraId="427409D7">
      <w:pPr>
        <w:pStyle w:val="40"/>
        <w:keepNext w:val="0"/>
        <w:keepLines w:val="0"/>
        <w:pageBreakBefore w:val="0"/>
        <w:widowControl w:val="0"/>
        <w:kinsoku/>
        <w:wordWrap/>
        <w:overflowPunct/>
        <w:topLinePunct w:val="0"/>
        <w:bidi w:val="0"/>
        <w:spacing w:line="520" w:lineRule="exact"/>
        <w:rPr>
          <w:rFonts w:hint="default" w:ascii="仿宋_GB2312" w:eastAsia="仿宋_GB2312" w:cs="仿宋"/>
          <w:sz w:val="28"/>
          <w:szCs w:val="28"/>
          <w:lang w:val="en-US" w:eastAsia="zh-CN"/>
        </w:rPr>
      </w:pPr>
      <w:r>
        <w:rPr>
          <w:rFonts w:hint="eastAsia" w:ascii="仿宋_GB2312" w:eastAsia="仿宋_GB2312" w:cs="仿宋"/>
          <w:sz w:val="28"/>
          <w:szCs w:val="28"/>
          <w:lang w:eastAsia="zh-CN"/>
        </w:rPr>
        <w:t>PET评估腹膜转运特性</w:t>
      </w:r>
      <w:r>
        <w:rPr>
          <w:rFonts w:hint="eastAsia" w:ascii="仿宋_GB2312" w:eastAsia="仿宋_GB2312" w:cs="仿宋"/>
          <w:sz w:val="28"/>
          <w:szCs w:val="28"/>
          <w:lang w:val="en-US" w:eastAsia="zh-CN"/>
        </w:rPr>
        <w:t>参考《腹膜透析透析标准操作规程（2010版）》并结合起草单位的临床实际确定。</w:t>
      </w:r>
    </w:p>
    <w:p w14:paraId="25A70EB9">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eastAsia" w:ascii="仿宋_GB2312" w:eastAsia="仿宋_GB2312" w:cs="仿宋"/>
          <w:sz w:val="28"/>
          <w:szCs w:val="28"/>
          <w:lang w:eastAsia="zh-CN"/>
        </w:rPr>
      </w:pPr>
      <w:r>
        <w:drawing>
          <wp:inline distT="0" distB="0" distL="114300" distR="114300">
            <wp:extent cx="3919855" cy="1658620"/>
            <wp:effectExtent l="9525" t="9525" r="17780" b="2349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2"/>
                    <a:stretch>
                      <a:fillRect/>
                    </a:stretch>
                  </pic:blipFill>
                  <pic:spPr>
                    <a:xfrm>
                      <a:off x="0" y="0"/>
                      <a:ext cx="3919855" cy="1658620"/>
                    </a:xfrm>
                    <a:prstGeom prst="rect">
                      <a:avLst/>
                    </a:prstGeom>
                    <a:noFill/>
                    <a:ln>
                      <a:solidFill>
                        <a:schemeClr val="tx1"/>
                      </a:solidFill>
                    </a:ln>
                  </pic:spPr>
                </pic:pic>
              </a:graphicData>
            </a:graphic>
          </wp:inline>
        </w:drawing>
      </w:r>
    </w:p>
    <w:p w14:paraId="379E058C">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u w:val="none"/>
          <w:lang w:eastAsia="zh-CN"/>
        </w:rPr>
      </w:pPr>
      <w:r>
        <w:rPr>
          <w:rFonts w:hint="eastAsia" w:ascii="黑体" w:hAnsi="黑体" w:eastAsia="黑体" w:cs="黑体"/>
          <w:sz w:val="21"/>
          <w:szCs w:val="21"/>
          <w:u w:val="none"/>
          <w:lang w:eastAsia="zh-CN"/>
        </w:rPr>
        <w:t>来源：腹膜透析透析标准操作规程（2010版）</w:t>
      </w:r>
    </w:p>
    <w:p w14:paraId="33000254">
      <w:pPr>
        <w:pStyle w:val="40"/>
        <w:keepNext w:val="0"/>
        <w:keepLines w:val="0"/>
        <w:pageBreakBefore w:val="0"/>
        <w:widowControl w:val="0"/>
        <w:kinsoku/>
        <w:wordWrap/>
        <w:overflowPunct/>
        <w:topLinePunct w:val="0"/>
        <w:bidi w:val="0"/>
        <w:spacing w:line="520" w:lineRule="exact"/>
        <w:rPr>
          <w:rFonts w:hint="eastAsia" w:ascii="仿宋_GB2312" w:eastAsia="仿宋_GB2312" w:cs="仿宋"/>
          <w:sz w:val="28"/>
          <w:szCs w:val="28"/>
          <w:lang w:val="en-US" w:eastAsia="zh-CN"/>
        </w:rPr>
      </w:pPr>
      <w:r>
        <w:rPr>
          <w:rFonts w:hint="eastAsia" w:ascii="仿宋_GB2312" w:eastAsia="仿宋_GB2312" w:cs="仿宋"/>
          <w:sz w:val="28"/>
          <w:szCs w:val="28"/>
          <w:lang w:eastAsia="zh-CN"/>
        </w:rPr>
        <w:t>Kt/V或肌酐清除率不达标</w:t>
      </w:r>
      <w:r>
        <w:rPr>
          <w:rFonts w:hint="eastAsia" w:ascii="仿宋_GB2312" w:eastAsia="仿宋_GB2312" w:cs="仿宋"/>
          <w:sz w:val="28"/>
          <w:szCs w:val="28"/>
          <w:lang w:val="en-US" w:eastAsia="zh-CN"/>
        </w:rPr>
        <w:t>的指标参考《腹膜透析透析标准操作规程（2010版）》并结合起草单位的临床实际确定。</w:t>
      </w:r>
    </w:p>
    <w:p w14:paraId="24D3D357">
      <w:pPr>
        <w:pStyle w:val="40"/>
        <w:keepNext w:val="0"/>
        <w:keepLines w:val="0"/>
        <w:pageBreakBefore w:val="0"/>
        <w:widowControl w:val="0"/>
        <w:kinsoku/>
        <w:wordWrap/>
        <w:overflowPunct/>
        <w:topLinePunct w:val="0"/>
        <w:bidi w:val="0"/>
        <w:spacing w:line="240" w:lineRule="auto"/>
        <w:ind w:left="0" w:leftChars="0" w:firstLine="0" w:firstLineChars="0"/>
        <w:jc w:val="center"/>
        <w:rPr>
          <w:rFonts w:hint="default" w:ascii="仿宋_GB2312" w:eastAsia="仿宋_GB2312" w:cs="仿宋"/>
          <w:sz w:val="28"/>
          <w:szCs w:val="28"/>
          <w:lang w:val="en-US" w:eastAsia="zh-CN"/>
        </w:rPr>
      </w:pPr>
      <w:r>
        <w:drawing>
          <wp:inline distT="0" distB="0" distL="114300" distR="114300">
            <wp:extent cx="3848100" cy="1800225"/>
            <wp:effectExtent l="9525" t="9525" r="13335" b="1905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43"/>
                    <a:stretch>
                      <a:fillRect/>
                    </a:stretch>
                  </pic:blipFill>
                  <pic:spPr>
                    <a:xfrm>
                      <a:off x="0" y="0"/>
                      <a:ext cx="3848100" cy="1800225"/>
                    </a:xfrm>
                    <a:prstGeom prst="rect">
                      <a:avLst/>
                    </a:prstGeom>
                    <a:noFill/>
                    <a:ln>
                      <a:solidFill>
                        <a:schemeClr val="tx1"/>
                      </a:solidFill>
                    </a:ln>
                  </pic:spPr>
                </pic:pic>
              </a:graphicData>
            </a:graphic>
          </wp:inline>
        </w:drawing>
      </w:r>
    </w:p>
    <w:p w14:paraId="6E528CAC">
      <w:pPr>
        <w:pStyle w:val="40"/>
        <w:keepNext w:val="0"/>
        <w:keepLines w:val="0"/>
        <w:pageBreakBefore w:val="0"/>
        <w:widowControl w:val="0"/>
        <w:kinsoku/>
        <w:wordWrap/>
        <w:overflowPunct/>
        <w:topLinePunct w:val="0"/>
        <w:bidi w:val="0"/>
        <w:spacing w:line="520" w:lineRule="exact"/>
        <w:ind w:left="0" w:leftChars="0" w:firstLine="0" w:firstLineChars="0"/>
        <w:jc w:val="center"/>
        <w:rPr>
          <w:rFonts w:hint="eastAsia" w:ascii="黑体" w:hAnsi="黑体" w:eastAsia="黑体" w:cs="黑体"/>
          <w:sz w:val="21"/>
          <w:szCs w:val="21"/>
          <w:u w:val="none"/>
          <w:lang w:eastAsia="zh-CN"/>
        </w:rPr>
      </w:pPr>
      <w:r>
        <w:rPr>
          <w:rFonts w:hint="eastAsia" w:ascii="黑体" w:hAnsi="黑体" w:eastAsia="黑体" w:cs="黑体"/>
          <w:sz w:val="21"/>
          <w:szCs w:val="21"/>
          <w:u w:val="none"/>
          <w:lang w:eastAsia="zh-CN"/>
        </w:rPr>
        <w:t>来源：腹膜透析透析标准操作规程（2010版）</w:t>
      </w:r>
    </w:p>
    <w:p w14:paraId="22E9E462">
      <w:pPr>
        <w:pStyle w:val="42"/>
        <w:keepNext w:val="0"/>
        <w:keepLines w:val="0"/>
        <w:pageBreakBefore w:val="0"/>
        <w:widowControl w:val="0"/>
        <w:numPr>
          <w:ilvl w:val="0"/>
          <w:numId w:val="0"/>
        </w:numPr>
        <w:kinsoku/>
        <w:wordWrap/>
        <w:overflowPunct/>
        <w:topLinePunct w:val="0"/>
        <w:bidi w:val="0"/>
        <w:spacing w:beforeLines="0" w:afterLines="0" w:line="360" w:lineRule="auto"/>
        <w:ind w:firstLine="643" w:firstLineChars="200"/>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01EB37AE">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本标准研制过程中无重大分歧意见。</w:t>
      </w:r>
    </w:p>
    <w:p w14:paraId="37C3CAE7">
      <w:pPr>
        <w:keepNext w:val="0"/>
        <w:keepLines w:val="0"/>
        <w:pageBreakBefore w:val="0"/>
        <w:widowControl w:val="0"/>
        <w:kinsoku/>
        <w:wordWrap/>
        <w:overflowPunct/>
        <w:topLinePunct w:val="0"/>
        <w:autoSpaceDE w:val="0"/>
        <w:autoSpaceDN w:val="0"/>
        <w:bidi w:val="0"/>
        <w:adjustRightInd w:val="0"/>
        <w:spacing w:before="156" w:beforeLines="50" w:after="156" w:afterLines="50" w:line="520" w:lineRule="exact"/>
        <w:ind w:firstLine="640"/>
        <w:outlineLvl w:val="0"/>
        <w:rPr>
          <w:rFonts w:hint="eastAsia" w:eastAsia="黑体"/>
          <w:sz w:val="32"/>
          <w:szCs w:val="32"/>
        </w:rPr>
      </w:pPr>
      <w:r>
        <w:rPr>
          <w:rFonts w:hint="eastAsia" w:ascii="黑体" w:eastAsia="黑体"/>
          <w:bCs/>
          <w:sz w:val="32"/>
          <w:szCs w:val="32"/>
        </w:rPr>
        <w:t>七、</w:t>
      </w:r>
      <w:r>
        <w:rPr>
          <w:rFonts w:hint="eastAsia" w:eastAsia="黑体"/>
          <w:sz w:val="32"/>
          <w:szCs w:val="32"/>
        </w:rPr>
        <w:t>实施标准的措施</w:t>
      </w:r>
    </w:p>
    <w:p w14:paraId="6D4BDEB4">
      <w:pPr>
        <w:keepNext w:val="0"/>
        <w:keepLines w:val="0"/>
        <w:pageBreakBefore w:val="0"/>
        <w:widowControl w:val="0"/>
        <w:kinsoku/>
        <w:wordWrap/>
        <w:overflowPunct/>
        <w:topLinePunct w:val="0"/>
        <w:bidi w:val="0"/>
        <w:spacing w:line="500" w:lineRule="exact"/>
        <w:ind w:firstLine="562"/>
        <w:rPr>
          <w:rFonts w:hint="eastAsia" w:cs="仿宋_GB2312"/>
          <w:b/>
          <w:szCs w:val="28"/>
        </w:rPr>
      </w:pPr>
      <w:r>
        <w:rPr>
          <w:rFonts w:hint="eastAsia" w:cs="仿宋_GB2312"/>
          <w:b/>
          <w:szCs w:val="28"/>
        </w:rPr>
        <w:t>（一）标准报批发布后，成立标准宣贯工作组</w:t>
      </w:r>
    </w:p>
    <w:p w14:paraId="12AB879E">
      <w:pPr>
        <w:keepNext w:val="0"/>
        <w:keepLines w:val="0"/>
        <w:pageBreakBefore w:val="0"/>
        <w:widowControl w:val="0"/>
        <w:kinsoku/>
        <w:wordWrap/>
        <w:overflowPunct/>
        <w:topLinePunct w:val="0"/>
        <w:bidi w:val="0"/>
        <w:spacing w:line="500" w:lineRule="exact"/>
        <w:ind w:firstLine="560"/>
        <w:rPr>
          <w:rFonts w:hint="eastAsia"/>
          <w:szCs w:val="28"/>
        </w:rPr>
      </w:pPr>
      <w:r>
        <w:rPr>
          <w:rFonts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97E8559">
      <w:pPr>
        <w:keepNext w:val="0"/>
        <w:keepLines w:val="0"/>
        <w:pageBreakBefore w:val="0"/>
        <w:widowControl w:val="0"/>
        <w:kinsoku/>
        <w:wordWrap/>
        <w:overflowPunct/>
        <w:topLinePunct w:val="0"/>
        <w:bidi w:val="0"/>
        <w:spacing w:line="500" w:lineRule="exact"/>
        <w:ind w:firstLine="562"/>
        <w:rPr>
          <w:rFonts w:hint="eastAsia"/>
          <w:b/>
          <w:szCs w:val="28"/>
        </w:rPr>
      </w:pPr>
      <w:r>
        <w:rPr>
          <w:rFonts w:hint="eastAsia"/>
          <w:b/>
          <w:szCs w:val="28"/>
        </w:rPr>
        <w:t>（二）组织开展标准宣贯培训</w:t>
      </w:r>
    </w:p>
    <w:p w14:paraId="65CE9613">
      <w:pPr>
        <w:keepNext w:val="0"/>
        <w:keepLines w:val="0"/>
        <w:pageBreakBefore w:val="0"/>
        <w:widowControl w:val="0"/>
        <w:kinsoku/>
        <w:wordWrap/>
        <w:overflowPunct/>
        <w:topLinePunct w:val="0"/>
        <w:bidi w:val="0"/>
        <w:spacing w:line="500" w:lineRule="exact"/>
        <w:ind w:firstLine="560"/>
        <w:rPr>
          <w:rFonts w:hint="eastAsia"/>
          <w:szCs w:val="28"/>
        </w:rPr>
      </w:pPr>
      <w:r>
        <w:rPr>
          <w:rFonts w:hint="eastAsia"/>
          <w:szCs w:val="28"/>
        </w:rPr>
        <w:t>标准发布实施后，标准宣贯工作小组制作标准解读宣贯培训PPT课件和标准核心技术</w:t>
      </w:r>
      <w:r>
        <w:rPr>
          <w:rFonts w:hint="eastAsia"/>
          <w:szCs w:val="28"/>
          <w:lang w:eastAsia="zh-CN"/>
        </w:rPr>
        <w:t>说明</w:t>
      </w:r>
      <w:r>
        <w:rPr>
          <w:rFonts w:hint="eastAsia"/>
          <w:szCs w:val="28"/>
        </w:rPr>
        <w:t>书，并按标准宣贯培训计划深入各市县医疗机构，对医师和医护人员开展标准宣贯培训，对标准进行逐条解读，让医师和医护人员掌握标准核心技术内容，助力标准实施落地，推动广西</w:t>
      </w:r>
      <w:r>
        <w:rPr>
          <w:rFonts w:hint="eastAsia"/>
          <w:szCs w:val="28"/>
          <w:lang w:eastAsia="zh-CN"/>
        </w:rPr>
        <w:t>医疗</w:t>
      </w:r>
      <w:r>
        <w:rPr>
          <w:rFonts w:hint="eastAsia"/>
          <w:szCs w:val="28"/>
        </w:rPr>
        <w:t>技术高质量发展。</w:t>
      </w:r>
    </w:p>
    <w:p w14:paraId="41604293">
      <w:pPr>
        <w:keepNext w:val="0"/>
        <w:keepLines w:val="0"/>
        <w:pageBreakBefore w:val="0"/>
        <w:widowControl w:val="0"/>
        <w:kinsoku/>
        <w:wordWrap/>
        <w:overflowPunct/>
        <w:topLinePunct w:val="0"/>
        <w:bidi w:val="0"/>
        <w:spacing w:line="500" w:lineRule="exact"/>
        <w:ind w:firstLine="562"/>
        <w:rPr>
          <w:rFonts w:hint="eastAsia"/>
          <w:b/>
          <w:szCs w:val="28"/>
        </w:rPr>
      </w:pPr>
      <w:r>
        <w:rPr>
          <w:rFonts w:hint="eastAsia"/>
          <w:b/>
          <w:szCs w:val="28"/>
        </w:rPr>
        <w:t>（三）开展标准实施交流会，收集标准实施反馈信息</w:t>
      </w:r>
    </w:p>
    <w:p w14:paraId="24E6DBEB">
      <w:pPr>
        <w:keepNext w:val="0"/>
        <w:keepLines w:val="0"/>
        <w:pageBreakBefore w:val="0"/>
        <w:widowControl w:val="0"/>
        <w:kinsoku/>
        <w:wordWrap/>
        <w:overflowPunct/>
        <w:topLinePunct w:val="0"/>
        <w:bidi w:val="0"/>
        <w:spacing w:line="500" w:lineRule="exact"/>
        <w:ind w:firstLine="560"/>
        <w:rPr>
          <w:rFonts w:hint="eastAsia"/>
          <w:szCs w:val="28"/>
        </w:rPr>
      </w:pPr>
      <w:r>
        <w:rPr>
          <w:rFonts w:hint="eastAsia"/>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14:paraId="478F8A08">
      <w:pPr>
        <w:keepNext w:val="0"/>
        <w:keepLines w:val="0"/>
        <w:pageBreakBefore w:val="0"/>
        <w:widowControl w:val="0"/>
        <w:kinsoku/>
        <w:wordWrap/>
        <w:overflowPunct/>
        <w:topLinePunct w:val="0"/>
        <w:bidi w:val="0"/>
        <w:spacing w:line="500" w:lineRule="exact"/>
        <w:ind w:firstLine="562"/>
        <w:rPr>
          <w:rFonts w:hint="eastAsia"/>
          <w:b/>
          <w:szCs w:val="28"/>
        </w:rPr>
      </w:pPr>
      <w:r>
        <w:rPr>
          <w:rFonts w:hint="eastAsia"/>
          <w:b/>
          <w:szCs w:val="28"/>
        </w:rPr>
        <w:t>（四）开展标准实施效果评估</w:t>
      </w:r>
    </w:p>
    <w:p w14:paraId="68AF2F91">
      <w:pPr>
        <w:keepNext w:val="0"/>
        <w:keepLines w:val="0"/>
        <w:pageBreakBefore w:val="0"/>
        <w:widowControl w:val="0"/>
        <w:kinsoku/>
        <w:wordWrap/>
        <w:overflowPunct/>
        <w:topLinePunct w:val="0"/>
        <w:bidi w:val="0"/>
        <w:spacing w:line="500" w:lineRule="exact"/>
        <w:ind w:firstLine="560"/>
        <w:rPr>
          <w:rFonts w:hint="eastAsia"/>
          <w:szCs w:val="28"/>
        </w:rPr>
      </w:pPr>
      <w:r>
        <w:rPr>
          <w:rFonts w:hint="eastAsia"/>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23C0C5A3">
      <w:pPr>
        <w:keepNext w:val="0"/>
        <w:keepLines w:val="0"/>
        <w:pageBreakBefore w:val="0"/>
        <w:widowControl w:val="0"/>
        <w:kinsoku/>
        <w:wordWrap/>
        <w:overflowPunct/>
        <w:topLinePunct w:val="0"/>
        <w:bidi w:val="0"/>
        <w:spacing w:before="240" w:after="60" w:line="520" w:lineRule="exact"/>
        <w:ind w:firstLine="640"/>
        <w:outlineLvl w:val="0"/>
        <w:rPr>
          <w:rFonts w:hint="eastAsia" w:ascii="黑体" w:eastAsia="黑体"/>
          <w:bCs/>
          <w:sz w:val="32"/>
          <w:szCs w:val="32"/>
        </w:rPr>
      </w:pPr>
      <w:r>
        <w:rPr>
          <w:rFonts w:hint="eastAsia" w:ascii="黑体" w:eastAsia="黑体"/>
          <w:bCs/>
          <w:sz w:val="32"/>
          <w:szCs w:val="32"/>
        </w:rPr>
        <w:t>八、其他应当说明的事项</w:t>
      </w:r>
    </w:p>
    <w:p w14:paraId="356AD0A3">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无。</w:t>
      </w:r>
    </w:p>
    <w:p w14:paraId="5DD2CF8F">
      <w:pPr>
        <w:keepNext w:val="0"/>
        <w:keepLines w:val="0"/>
        <w:pageBreakBefore w:val="0"/>
        <w:widowControl w:val="0"/>
        <w:kinsoku/>
        <w:wordWrap/>
        <w:overflowPunct/>
        <w:topLinePunct w:val="0"/>
        <w:autoSpaceDE w:val="0"/>
        <w:autoSpaceDN w:val="0"/>
        <w:bidi w:val="0"/>
        <w:adjustRightInd w:val="0"/>
        <w:spacing w:before="156" w:beforeLines="50" w:after="156" w:afterLines="50" w:line="520" w:lineRule="exact"/>
        <w:ind w:firstLine="640"/>
        <w:outlineLvl w:val="0"/>
        <w:rPr>
          <w:rFonts w:hint="eastAsia" w:eastAsia="黑体"/>
          <w:sz w:val="32"/>
          <w:szCs w:val="32"/>
        </w:rPr>
      </w:pPr>
      <w:r>
        <w:rPr>
          <w:rFonts w:hint="eastAsia" w:eastAsia="黑体"/>
          <w:sz w:val="32"/>
          <w:szCs w:val="32"/>
        </w:rPr>
        <w:t>九、自我承诺</w:t>
      </w:r>
    </w:p>
    <w:p w14:paraId="7B7192B0">
      <w:pPr>
        <w:keepNext w:val="0"/>
        <w:keepLines w:val="0"/>
        <w:pageBreakBefore w:val="0"/>
        <w:widowControl w:val="0"/>
        <w:kinsoku/>
        <w:wordWrap/>
        <w:overflowPunct/>
        <w:topLinePunct w:val="0"/>
        <w:bidi w:val="0"/>
        <w:spacing w:line="520" w:lineRule="exact"/>
        <w:ind w:firstLine="560"/>
        <w:rPr>
          <w:rFonts w:hint="eastAsia"/>
          <w:szCs w:val="28"/>
        </w:rPr>
      </w:pPr>
      <w:r>
        <w:rPr>
          <w:rFonts w:hint="eastAsia"/>
          <w:szCs w:val="28"/>
        </w:rPr>
        <w:t>该标准的内容符合国家相关法律法规，技术要求不低于强制性国家标准的相关技术要求，与相关的国家、行业推荐性标准协调一致，标准的编写符合GB/T 1.1-2020的要求。</w:t>
      </w:r>
    </w:p>
    <w:p w14:paraId="4F155FCD">
      <w:pPr>
        <w:keepNext w:val="0"/>
        <w:keepLines w:val="0"/>
        <w:pageBreakBefore w:val="0"/>
        <w:widowControl w:val="0"/>
        <w:kinsoku/>
        <w:wordWrap/>
        <w:overflowPunct/>
        <w:topLinePunct w:val="0"/>
        <w:bidi w:val="0"/>
        <w:spacing w:before="240" w:after="60" w:line="520" w:lineRule="exact"/>
        <w:jc w:val="right"/>
        <w:outlineLvl w:val="0"/>
        <w:rPr>
          <w:rFonts w:hint="eastAsia"/>
          <w:szCs w:val="28"/>
        </w:rPr>
      </w:pPr>
      <w:r>
        <w:rPr>
          <w:rFonts w:hint="eastAsia"/>
          <w:szCs w:val="28"/>
        </w:rPr>
        <w:t>团体标准《</w:t>
      </w:r>
      <w:r>
        <w:rPr>
          <w:rFonts w:hint="eastAsia"/>
          <w:szCs w:val="28"/>
          <w:lang w:eastAsia="zh-CN"/>
        </w:rPr>
        <w:t>腹膜透析患者并发症评估规范</w:t>
      </w:r>
      <w:r>
        <w:rPr>
          <w:rFonts w:hint="eastAsia"/>
          <w:szCs w:val="28"/>
        </w:rPr>
        <w:t>》</w:t>
      </w:r>
    </w:p>
    <w:p w14:paraId="02090AAD">
      <w:pPr>
        <w:keepNext w:val="0"/>
        <w:keepLines w:val="0"/>
        <w:pageBreakBefore w:val="0"/>
        <w:widowControl w:val="0"/>
        <w:kinsoku/>
        <w:wordWrap/>
        <w:overflowPunct/>
        <w:topLinePunct w:val="0"/>
        <w:bidi w:val="0"/>
        <w:spacing w:line="520" w:lineRule="exact"/>
        <w:ind w:right="1120"/>
        <w:jc w:val="center"/>
        <w:rPr>
          <w:rFonts w:hint="eastAsia"/>
          <w:szCs w:val="28"/>
        </w:rPr>
      </w:pPr>
      <w:r>
        <w:rPr>
          <w:rFonts w:hint="eastAsia"/>
          <w:szCs w:val="28"/>
        </w:rPr>
        <w:t xml:space="preserve">                                  标准编制工作组</w:t>
      </w:r>
    </w:p>
    <w:p w14:paraId="5722CA3C">
      <w:pPr>
        <w:keepNext w:val="0"/>
        <w:keepLines w:val="0"/>
        <w:pageBreakBefore w:val="0"/>
        <w:widowControl w:val="0"/>
        <w:kinsoku/>
        <w:wordWrap/>
        <w:overflowPunct/>
        <w:topLinePunct w:val="0"/>
        <w:bidi w:val="0"/>
        <w:spacing w:line="520" w:lineRule="exact"/>
        <w:ind w:firstLine="640"/>
        <w:rPr>
          <w:rFonts w:hint="eastAsia"/>
          <w:szCs w:val="28"/>
        </w:rPr>
      </w:pPr>
      <w:r>
        <w:rPr>
          <w:rFonts w:hint="eastAsia"/>
          <w:sz w:val="32"/>
          <w:szCs w:val="28"/>
        </w:rPr>
        <w:t xml:space="preserve">                           </w:t>
      </w:r>
      <w:r>
        <w:rPr>
          <w:rFonts w:hint="eastAsia"/>
          <w:sz w:val="32"/>
          <w:szCs w:val="28"/>
          <w:lang w:val="en-US" w:eastAsia="zh-CN"/>
        </w:rPr>
        <w:t xml:space="preserve"> </w:t>
      </w:r>
      <w:r>
        <w:rPr>
          <w:rFonts w:hint="eastAsia"/>
          <w:sz w:val="32"/>
          <w:szCs w:val="28"/>
        </w:rPr>
        <w:t xml:space="preserve">  </w:t>
      </w:r>
      <w:r>
        <w:rPr>
          <w:rFonts w:hint="eastAsia"/>
          <w:szCs w:val="28"/>
        </w:rPr>
        <w:t>2025年</w:t>
      </w:r>
      <w:r>
        <w:rPr>
          <w:rFonts w:hint="eastAsia"/>
          <w:szCs w:val="28"/>
          <w:lang w:val="en-US" w:eastAsia="zh-CN"/>
        </w:rPr>
        <w:t>7</w:t>
      </w:r>
      <w:r>
        <w:rPr>
          <w:rFonts w:hint="eastAsia"/>
          <w:szCs w:val="28"/>
        </w:rPr>
        <w:t>月</w:t>
      </w:r>
      <w:r>
        <w:rPr>
          <w:rFonts w:hint="eastAsia"/>
          <w:color w:val="auto"/>
          <w:szCs w:val="28"/>
          <w:lang w:val="en-US" w:eastAsia="zh-CN"/>
        </w:rPr>
        <w:t>15</w:t>
      </w:r>
      <w:bookmarkStart w:id="2" w:name="_GoBack"/>
      <w:bookmarkEnd w:id="2"/>
      <w:r>
        <w:rPr>
          <w:rFonts w:hint="eastAsia"/>
          <w:szCs w:val="28"/>
        </w:rPr>
        <w:t>日</w:t>
      </w:r>
    </w:p>
    <w:sectPr>
      <w:footerReference r:id="rId5" w:type="default"/>
      <w:pgSz w:w="11906" w:h="16838"/>
      <w:pgMar w:top="1474" w:right="1474" w:bottom="1474" w:left="1474"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3EF3CE7-697C-4727-BCD3-2F1F992F1DE8}"/>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A0A1C14A-B528-42C7-8570-E14477F6D3E6}"/>
  </w:font>
  <w:font w:name="仿宋_GB2312">
    <w:panose1 w:val="02010609030101010101"/>
    <w:charset w:val="86"/>
    <w:family w:val="modern"/>
    <w:pitch w:val="default"/>
    <w:sig w:usb0="00000001" w:usb1="080E0000" w:usb2="00000000" w:usb3="00000000" w:csb0="00040000" w:csb1="00000000"/>
    <w:embedRegular r:id="rId3" w:fontKey="{7862036E-D32A-4076-AFCD-3A20E2199A1B}"/>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方正小标宋简体">
    <w:panose1 w:val="03000509000000000000"/>
    <w:charset w:val="86"/>
    <w:family w:val="script"/>
    <w:pitch w:val="default"/>
    <w:sig w:usb0="00000001" w:usb1="080E0000" w:usb2="00000000" w:usb3="00000000" w:csb0="00040000" w:csb1="00000000"/>
    <w:embedRegular r:id="rId4" w:fontKey="{85771E4A-8484-441F-85B5-DA511F58178A}"/>
  </w:font>
  <w:font w:name="仿宋">
    <w:panose1 w:val="02010609060101010101"/>
    <w:charset w:val="86"/>
    <w:family w:val="modern"/>
    <w:pitch w:val="default"/>
    <w:sig w:usb0="800002BF" w:usb1="38CF7CFA" w:usb2="00000016" w:usb3="00000000" w:csb0="00040001" w:csb1="00000000"/>
    <w:embedRegular r:id="rId5" w:fontKey="{09E9D7C4-0C99-448C-805E-0ED0372A1D82}"/>
  </w:font>
  <w:font w:name="Cambria Math">
    <w:panose1 w:val="02040503050406030204"/>
    <w:charset w:val="00"/>
    <w:family w:val="auto"/>
    <w:pitch w:val="variable"/>
    <w:sig w:usb0="E00002FF" w:usb1="420024FF" w:usb2="00000000" w:usb3="00000000" w:csb0="2000019F" w:csb1="00000000"/>
  </w:font>
  <w:font w:name="@宋体">
    <w:panose1 w:val="02010600030101010101"/>
    <w:charset w:val="86"/>
    <w:family w:val="auto"/>
    <w:pitch w:val="variable"/>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BF30B">
    <w:pPr>
      <w:pStyle w:val="14"/>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42AEB217">
                          <w:pPr>
                            <w:pStyle w:val="14"/>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42AEB217">
                    <w:pPr>
                      <w:pStyle w:val="14"/>
                      <w:rPr>
                        <w:rFonts w:hint="eastAsia"/>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51"/>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937B87A8"/>
    <w:multiLevelType w:val="singleLevel"/>
    <w:tmpl w:val="937B87A8"/>
    <w:lvl w:ilvl="0" w:tentative="0">
      <w:start w:val="6"/>
      <w:numFmt w:val="decimal"/>
      <w:suff w:val="space"/>
      <w:lvlText w:val="%1."/>
      <w:lvlJc w:val="left"/>
    </w:lvl>
  </w:abstractNum>
  <w:abstractNum w:abstractNumId="2">
    <w:nsid w:val="B13D85C7"/>
    <w:multiLevelType w:val="singleLevel"/>
    <w:tmpl w:val="B13D85C7"/>
    <w:lvl w:ilvl="0" w:tentative="0">
      <w:start w:val="2"/>
      <w:numFmt w:val="decimal"/>
      <w:suff w:val="space"/>
      <w:lvlText w:val="%1."/>
      <w:lvlJc w:val="left"/>
    </w:lvl>
  </w:abstractNum>
  <w:abstractNum w:abstractNumId="3">
    <w:nsid w:val="CCD0087F"/>
    <w:multiLevelType w:val="multilevel"/>
    <w:tmpl w:val="CCD0087F"/>
    <w:lvl w:ilvl="0" w:tentative="0">
      <w:start w:val="1"/>
      <w:numFmt w:val="none"/>
      <w:pStyle w:val="67"/>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4">
    <w:nsid w:val="0FFFFF7E"/>
    <w:multiLevelType w:val="singleLevel"/>
    <w:tmpl w:val="0FFFFF7E"/>
    <w:lvl w:ilvl="0" w:tentative="0">
      <w:start w:val="1"/>
      <w:numFmt w:val="decimal"/>
      <w:lvlText w:val="%1."/>
      <w:lvlJc w:val="left"/>
      <w:pPr>
        <w:tabs>
          <w:tab w:val="left" w:pos="1200"/>
        </w:tabs>
        <w:ind w:left="1200" w:hanging="360"/>
      </w:pPr>
    </w:lvl>
  </w:abstractNum>
  <w:abstractNum w:abstractNumId="5">
    <w:nsid w:val="0FFFFF7F"/>
    <w:multiLevelType w:val="singleLevel"/>
    <w:tmpl w:val="0FFFFF7F"/>
    <w:lvl w:ilvl="0" w:tentative="0">
      <w:start w:val="1"/>
      <w:numFmt w:val="decimal"/>
      <w:lvlText w:val="%1."/>
      <w:lvlJc w:val="left"/>
      <w:pPr>
        <w:tabs>
          <w:tab w:val="left" w:pos="780"/>
        </w:tabs>
        <w:ind w:left="780" w:hanging="360"/>
      </w:pPr>
    </w:lvl>
  </w:abstractNum>
  <w:abstractNum w:abstractNumId="6">
    <w:nsid w:val="29F5D8E3"/>
    <w:multiLevelType w:val="multilevel"/>
    <w:tmpl w:val="29F5D8E3"/>
    <w:lvl w:ilvl="0" w:tentative="0">
      <w:start w:val="1"/>
      <w:numFmt w:val="decimal"/>
      <w:pStyle w:val="92"/>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72" w:hanging="1418"/>
      </w:pPr>
    </w:lvl>
    <w:lvl w:ilvl="8" w:tentative="0">
      <w:start w:val="1"/>
      <w:numFmt w:val="decimal"/>
      <w:lvlText w:val="%1.%2.%3.%4.%5.%6.%7.%8.%9"/>
      <w:lvlJc w:val="left"/>
      <w:pPr>
        <w:tabs>
          <w:tab w:val="left" w:pos="4774"/>
        </w:tabs>
        <w:ind w:left="4677" w:hanging="1702"/>
      </w:pPr>
    </w:lvl>
  </w:abstractNum>
  <w:abstractNum w:abstractNumId="7">
    <w:nsid w:val="2C5917C3"/>
    <w:multiLevelType w:val="multilevel"/>
    <w:tmpl w:val="2C5917C3"/>
    <w:lvl w:ilvl="0" w:tentative="0">
      <w:start w:val="1"/>
      <w:numFmt w:val="none"/>
      <w:pStyle w:val="65"/>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tentative="0">
      <w:start w:val="1"/>
      <w:numFmt w:val="lowerLetter"/>
      <w:pStyle w:val="60"/>
      <w:lvlText w:val="%1)"/>
      <w:lvlJc w:val="left"/>
      <w:pPr>
        <w:tabs>
          <w:tab w:val="left" w:pos="851"/>
        </w:tabs>
        <w:ind w:left="851" w:hanging="426"/>
      </w:pPr>
      <w:rPr>
        <w:rFonts w:hint="eastAsia" w:ascii="宋体" w:hAnsi="Times New Roman" w:eastAsia="宋体"/>
        <w:sz w:val="21"/>
      </w:rPr>
    </w:lvl>
    <w:lvl w:ilvl="1" w:tentative="0">
      <w:start w:val="1"/>
      <w:numFmt w:val="decimal"/>
      <w:pStyle w:val="58"/>
      <w:lvlText w:val="%2)"/>
      <w:lvlJc w:val="left"/>
      <w:pPr>
        <w:tabs>
          <w:tab w:val="left" w:pos="1276"/>
        </w:tabs>
        <w:ind w:left="1276" w:hanging="425"/>
      </w:pPr>
      <w:rPr>
        <w:rFonts w:hint="eastAsia" w:ascii="宋体" w:hAnsi="Times New Roman" w:eastAsia="宋体"/>
        <w:sz w:val="21"/>
      </w:rPr>
    </w:lvl>
    <w:lvl w:ilvl="2" w:tentative="0">
      <w:start w:val="1"/>
      <w:numFmt w:val="decimal"/>
      <w:pStyle w:val="5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tentative="0">
      <w:start w:val="1"/>
      <w:numFmt w:val="none"/>
      <w:pStyle w:val="48"/>
      <w:suff w:val="nothing"/>
      <w:lvlText w:val="%1"/>
      <w:legacy w:legacy="1" w:legacySpace="0" w:legacyIndent="0"/>
      <w:lvlJc w:val="left"/>
      <w:pPr>
        <w:ind w:left="0" w:firstLine="0"/>
      </w:pPr>
      <w:rPr>
        <w:rFonts w:hint="eastAsia"/>
      </w:rPr>
    </w:lvl>
    <w:lvl w:ilvl="1" w:tentative="0">
      <w:start w:val="1"/>
      <w:numFmt w:val="decimal"/>
      <w:pStyle w:val="42"/>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44"/>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50"/>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9"/>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7"/>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9"/>
  </w:num>
  <w:num w:numId="2">
    <w:abstractNumId w:val="0"/>
  </w:num>
  <w:num w:numId="3">
    <w:abstractNumId w:val="5"/>
  </w:num>
  <w:num w:numId="4">
    <w:abstractNumId w:val="4"/>
  </w:num>
  <w:num w:numId="5">
    <w:abstractNumId w:val="8"/>
  </w:num>
  <w:num w:numId="6">
    <w:abstractNumId w:val="7"/>
  </w:num>
  <w:num w:numId="7">
    <w:abstractNumId w:val="3"/>
  </w:num>
  <w:num w:numId="8">
    <w:abstractNumId w:val="6"/>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JiMDJlZWZlY2I0YWYyNzg4ODk0YmIxNWMwMmQyY2UifQ=="/>
  </w:docVars>
  <w:rsids>
    <w:rsidRoot w:val="000D75AA"/>
    <w:rsid w:val="000068A2"/>
    <w:rsid w:val="00014983"/>
    <w:rsid w:val="000178C8"/>
    <w:rsid w:val="00055442"/>
    <w:rsid w:val="00072103"/>
    <w:rsid w:val="00075653"/>
    <w:rsid w:val="00082613"/>
    <w:rsid w:val="000C517B"/>
    <w:rsid w:val="000D75AA"/>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14B4"/>
    <w:rsid w:val="00554B7D"/>
    <w:rsid w:val="00564A0C"/>
    <w:rsid w:val="00576405"/>
    <w:rsid w:val="005A23F9"/>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A6DE3"/>
    <w:rsid w:val="008B6B5F"/>
    <w:rsid w:val="008E1EB5"/>
    <w:rsid w:val="008F65F2"/>
    <w:rsid w:val="00926E1B"/>
    <w:rsid w:val="00932BA3"/>
    <w:rsid w:val="00947EBA"/>
    <w:rsid w:val="009718CC"/>
    <w:rsid w:val="009A4141"/>
    <w:rsid w:val="009E3161"/>
    <w:rsid w:val="00A16A3E"/>
    <w:rsid w:val="00A263D3"/>
    <w:rsid w:val="00A365A2"/>
    <w:rsid w:val="00A37FDF"/>
    <w:rsid w:val="00A42C5E"/>
    <w:rsid w:val="00A75476"/>
    <w:rsid w:val="00A87F41"/>
    <w:rsid w:val="00AA4963"/>
    <w:rsid w:val="00AC57C3"/>
    <w:rsid w:val="00AD0172"/>
    <w:rsid w:val="00B07A8A"/>
    <w:rsid w:val="00B2729B"/>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266D"/>
    <w:rsid w:val="00E27034"/>
    <w:rsid w:val="00E32D4B"/>
    <w:rsid w:val="00E41116"/>
    <w:rsid w:val="00E414EF"/>
    <w:rsid w:val="00E455A5"/>
    <w:rsid w:val="00E835A1"/>
    <w:rsid w:val="00E83E2D"/>
    <w:rsid w:val="00EA3A93"/>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DC2156"/>
    <w:rsid w:val="036C0D75"/>
    <w:rsid w:val="03CC3F79"/>
    <w:rsid w:val="03F1442C"/>
    <w:rsid w:val="057B7A05"/>
    <w:rsid w:val="05CD222A"/>
    <w:rsid w:val="06084616"/>
    <w:rsid w:val="06A9292B"/>
    <w:rsid w:val="06CB54AE"/>
    <w:rsid w:val="06CD322E"/>
    <w:rsid w:val="07400551"/>
    <w:rsid w:val="07BE53C7"/>
    <w:rsid w:val="08EF7A39"/>
    <w:rsid w:val="09EB05D3"/>
    <w:rsid w:val="0A5844F0"/>
    <w:rsid w:val="0AA42754"/>
    <w:rsid w:val="0B927BA2"/>
    <w:rsid w:val="0DB7274E"/>
    <w:rsid w:val="0EE41D10"/>
    <w:rsid w:val="11386E78"/>
    <w:rsid w:val="11B73ED3"/>
    <w:rsid w:val="12277661"/>
    <w:rsid w:val="12B94EC3"/>
    <w:rsid w:val="133D4C82"/>
    <w:rsid w:val="13D12EE6"/>
    <w:rsid w:val="13EE1CEA"/>
    <w:rsid w:val="13F37300"/>
    <w:rsid w:val="17160203"/>
    <w:rsid w:val="174D6D27"/>
    <w:rsid w:val="18933D98"/>
    <w:rsid w:val="18CE5C46"/>
    <w:rsid w:val="1A2A2D28"/>
    <w:rsid w:val="1B9C64CF"/>
    <w:rsid w:val="1C5E2638"/>
    <w:rsid w:val="1D221A46"/>
    <w:rsid w:val="1D931894"/>
    <w:rsid w:val="1E6C7E3E"/>
    <w:rsid w:val="1EEE7042"/>
    <w:rsid w:val="20346CD6"/>
    <w:rsid w:val="206E043A"/>
    <w:rsid w:val="21B75E11"/>
    <w:rsid w:val="22182AE0"/>
    <w:rsid w:val="2443573A"/>
    <w:rsid w:val="25496D80"/>
    <w:rsid w:val="27095D8A"/>
    <w:rsid w:val="277B51EB"/>
    <w:rsid w:val="279E6744"/>
    <w:rsid w:val="2BAD2B02"/>
    <w:rsid w:val="2E0C3040"/>
    <w:rsid w:val="2E40384E"/>
    <w:rsid w:val="2F083808"/>
    <w:rsid w:val="2F0B058C"/>
    <w:rsid w:val="2F454A5C"/>
    <w:rsid w:val="2F7C5FA4"/>
    <w:rsid w:val="2F82534F"/>
    <w:rsid w:val="302723B3"/>
    <w:rsid w:val="32113AB2"/>
    <w:rsid w:val="360F0344"/>
    <w:rsid w:val="395C4F01"/>
    <w:rsid w:val="3B495B47"/>
    <w:rsid w:val="3BBA3614"/>
    <w:rsid w:val="3C0E4A13"/>
    <w:rsid w:val="3C9A5E26"/>
    <w:rsid w:val="3D6C58AA"/>
    <w:rsid w:val="403F2E01"/>
    <w:rsid w:val="41505E15"/>
    <w:rsid w:val="431A1904"/>
    <w:rsid w:val="44F56185"/>
    <w:rsid w:val="45413951"/>
    <w:rsid w:val="46E47FFF"/>
    <w:rsid w:val="4779601E"/>
    <w:rsid w:val="481B0E08"/>
    <w:rsid w:val="493E1AE1"/>
    <w:rsid w:val="4A0057FF"/>
    <w:rsid w:val="4ABB2AFC"/>
    <w:rsid w:val="4B2238EC"/>
    <w:rsid w:val="4D8D1007"/>
    <w:rsid w:val="4DDD59C1"/>
    <w:rsid w:val="4F8F53EF"/>
    <w:rsid w:val="512841B5"/>
    <w:rsid w:val="51FB0B52"/>
    <w:rsid w:val="526220A7"/>
    <w:rsid w:val="531F075A"/>
    <w:rsid w:val="56C63E25"/>
    <w:rsid w:val="5701665C"/>
    <w:rsid w:val="57A01936"/>
    <w:rsid w:val="57A57FD6"/>
    <w:rsid w:val="57F01F2D"/>
    <w:rsid w:val="58743842"/>
    <w:rsid w:val="58D367F3"/>
    <w:rsid w:val="59233858"/>
    <w:rsid w:val="592C1295"/>
    <w:rsid w:val="593F2EFE"/>
    <w:rsid w:val="59DD74BB"/>
    <w:rsid w:val="5A8C449C"/>
    <w:rsid w:val="5B571FFB"/>
    <w:rsid w:val="5BFB00CD"/>
    <w:rsid w:val="5C452F47"/>
    <w:rsid w:val="5C867919"/>
    <w:rsid w:val="5D086F45"/>
    <w:rsid w:val="5D4D6706"/>
    <w:rsid w:val="60252B89"/>
    <w:rsid w:val="60431755"/>
    <w:rsid w:val="604F4E8B"/>
    <w:rsid w:val="60AB1DE6"/>
    <w:rsid w:val="61172C3C"/>
    <w:rsid w:val="616C2448"/>
    <w:rsid w:val="624E2AC8"/>
    <w:rsid w:val="63DF2082"/>
    <w:rsid w:val="654A16B4"/>
    <w:rsid w:val="660F1D12"/>
    <w:rsid w:val="67277FC8"/>
    <w:rsid w:val="677C2407"/>
    <w:rsid w:val="68C47A98"/>
    <w:rsid w:val="68C53F3C"/>
    <w:rsid w:val="6A233377"/>
    <w:rsid w:val="6CC80E6D"/>
    <w:rsid w:val="6F2C0891"/>
    <w:rsid w:val="6F887445"/>
    <w:rsid w:val="70096E04"/>
    <w:rsid w:val="710B6BAC"/>
    <w:rsid w:val="714F0947"/>
    <w:rsid w:val="71CC633B"/>
    <w:rsid w:val="71F238C8"/>
    <w:rsid w:val="72534367"/>
    <w:rsid w:val="738A5B9F"/>
    <w:rsid w:val="741F6AAA"/>
    <w:rsid w:val="74A0585D"/>
    <w:rsid w:val="74C076C8"/>
    <w:rsid w:val="77A7157C"/>
    <w:rsid w:val="78B143BF"/>
    <w:rsid w:val="790042E4"/>
    <w:rsid w:val="7A035425"/>
    <w:rsid w:val="7A937FAF"/>
    <w:rsid w:val="7AB465B7"/>
    <w:rsid w:val="7B215011"/>
    <w:rsid w:val="7CB63E70"/>
    <w:rsid w:val="7D221505"/>
    <w:rsid w:val="7E2B6198"/>
    <w:rsid w:val="7F485956"/>
    <w:rsid w:val="7FE16A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720" w:firstLineChars="200"/>
      <w:jc w:val="both"/>
    </w:pPr>
    <w:rPr>
      <w:rFonts w:ascii="仿宋_GB2312" w:hAnsi="仿宋_GB2312" w:eastAsia="仿宋_GB2312" w:cs="Calibri"/>
      <w:kern w:val="2"/>
      <w:sz w:val="28"/>
      <w:szCs w:val="24"/>
      <w:lang w:val="en-US" w:eastAsia="zh-CN" w:bidi="ar-SA"/>
    </w:rPr>
  </w:style>
  <w:style w:type="paragraph" w:styleId="2">
    <w:name w:val="heading 1"/>
    <w:basedOn w:val="1"/>
    <w:next w:val="1"/>
    <w:link w:val="69"/>
    <w:qFormat/>
    <w:uiPriority w:val="0"/>
    <w:pPr>
      <w:keepNext/>
      <w:keepLines/>
      <w:spacing w:before="340" w:after="330" w:line="578" w:lineRule="auto"/>
      <w:outlineLvl w:val="0"/>
    </w:pPr>
    <w:rPr>
      <w:b/>
      <w:bCs/>
      <w:kern w:val="44"/>
      <w:sz w:val="44"/>
    </w:rPr>
  </w:style>
  <w:style w:type="paragraph" w:styleId="3">
    <w:name w:val="heading 2"/>
    <w:basedOn w:val="1"/>
    <w:next w:val="1"/>
    <w:link w:val="71"/>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link w:val="72"/>
    <w:qFormat/>
    <w:uiPriority w:val="0"/>
    <w:pPr>
      <w:keepNext/>
      <w:keepLines/>
      <w:spacing w:before="260" w:after="260" w:line="415" w:lineRule="auto"/>
      <w:outlineLvl w:val="2"/>
    </w:pPr>
    <w:rPr>
      <w:b/>
      <w:sz w:val="32"/>
    </w:rPr>
  </w:style>
  <w:style w:type="paragraph" w:styleId="5">
    <w:name w:val="heading 4"/>
    <w:basedOn w:val="1"/>
    <w:next w:val="1"/>
    <w:link w:val="73"/>
    <w:semiHidden/>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link w:val="74"/>
    <w:semiHidden/>
    <w:unhideWhenUsed/>
    <w:qFormat/>
    <w:uiPriority w:val="9"/>
    <w:pPr>
      <w:keepNext/>
      <w:keepLines/>
      <w:spacing w:before="280" w:beforeLines="0" w:beforeAutospacing="0" w:after="290" w:afterLines="0" w:afterAutospacing="0" w:line="372" w:lineRule="auto"/>
      <w:outlineLvl w:val="4"/>
    </w:pPr>
    <w:rPr>
      <w:b/>
      <w:sz w:val="28"/>
    </w:rPr>
  </w:style>
  <w:style w:type="paragraph" w:styleId="7">
    <w:name w:val="heading 6"/>
    <w:basedOn w:val="1"/>
    <w:next w:val="1"/>
    <w:link w:val="75"/>
    <w:semiHidden/>
    <w:unhideWhenUsed/>
    <w:qFormat/>
    <w:uiPriority w:val="9"/>
    <w:pPr>
      <w:keepNext/>
      <w:keepLines/>
      <w:spacing w:before="240" w:beforeLines="0" w:beforeAutospacing="0" w:after="64" w:afterLines="0" w:afterAutospacing="0" w:line="317" w:lineRule="auto"/>
      <w:outlineLvl w:val="5"/>
    </w:pPr>
    <w:rPr>
      <w:rFonts w:ascii="Arial" w:hAnsi="Arial" w:eastAsia="黑体"/>
      <w:b/>
      <w:sz w:val="24"/>
    </w:rPr>
  </w:style>
  <w:style w:type="paragraph" w:styleId="8">
    <w:name w:val="heading 7"/>
    <w:basedOn w:val="1"/>
    <w:next w:val="1"/>
    <w:link w:val="34"/>
    <w:qFormat/>
    <w:uiPriority w:val="9"/>
    <w:pPr>
      <w:keepNext/>
      <w:keepLines/>
      <w:spacing w:before="240" w:after="64" w:line="320" w:lineRule="auto"/>
      <w:outlineLvl w:val="6"/>
    </w:pPr>
    <w:rPr>
      <w:b/>
      <w:bCs/>
      <w:sz w:val="24"/>
    </w:rPr>
  </w:style>
  <w:style w:type="paragraph" w:styleId="9">
    <w:name w:val="heading 8"/>
    <w:basedOn w:val="1"/>
    <w:next w:val="1"/>
    <w:link w:val="76"/>
    <w:semiHidden/>
    <w:unhideWhenUsed/>
    <w:qFormat/>
    <w:uiPriority w:val="9"/>
    <w:pPr>
      <w:keepNext/>
      <w:keepLines/>
      <w:spacing w:before="240" w:beforeLines="0" w:beforeAutospacing="0" w:after="64" w:afterLines="0" w:afterAutospacing="0" w:line="317" w:lineRule="auto"/>
      <w:outlineLvl w:val="7"/>
    </w:pPr>
    <w:rPr>
      <w:rFonts w:ascii="Arial" w:hAnsi="Arial" w:eastAsia="黑体"/>
      <w:sz w:val="24"/>
    </w:rPr>
  </w:style>
  <w:style w:type="paragraph" w:styleId="10">
    <w:name w:val="heading 9"/>
    <w:basedOn w:val="1"/>
    <w:next w:val="1"/>
    <w:link w:val="78"/>
    <w:semiHidden/>
    <w:unhideWhenUsed/>
    <w:qFormat/>
    <w:uiPriority w:val="9"/>
    <w:pPr>
      <w:keepNext/>
      <w:keepLines/>
      <w:spacing w:before="240" w:beforeLines="0" w:beforeAutospacing="0" w:after="64" w:afterLines="0" w:afterAutospacing="0" w:line="317" w:lineRule="auto"/>
      <w:outlineLvl w:val="8"/>
    </w:pPr>
    <w:rPr>
      <w:rFonts w:ascii="Arial" w:hAnsi="Arial" w:eastAsia="黑体"/>
      <w:sz w:val="21"/>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annotation text"/>
    <w:basedOn w:val="1"/>
    <w:link w:val="35"/>
    <w:unhideWhenUsed/>
    <w:qFormat/>
    <w:uiPriority w:val="99"/>
    <w:pPr>
      <w:adjustRightInd w:val="0"/>
      <w:spacing w:line="400" w:lineRule="exact"/>
      <w:jc w:val="left"/>
    </w:pPr>
    <w:rPr>
      <w:rFonts w:ascii="Calibri" w:hAnsi="Calibri"/>
      <w:szCs w:val="21"/>
    </w:rPr>
  </w:style>
  <w:style w:type="paragraph" w:styleId="12">
    <w:name w:val="Body Text"/>
    <w:basedOn w:val="1"/>
    <w:link w:val="79"/>
    <w:semiHidden/>
    <w:unhideWhenUsed/>
    <w:qFormat/>
    <w:uiPriority w:val="99"/>
    <w:pPr>
      <w:spacing w:after="120" w:afterLines="0" w:afterAutospacing="0"/>
    </w:pPr>
  </w:style>
  <w:style w:type="paragraph" w:styleId="13">
    <w:name w:val="Balloon Text"/>
    <w:basedOn w:val="1"/>
    <w:link w:val="36"/>
    <w:unhideWhenUsed/>
    <w:qFormat/>
    <w:uiPriority w:val="99"/>
    <w:rPr>
      <w:sz w:val="18"/>
      <w:szCs w:val="18"/>
    </w:rPr>
  </w:style>
  <w:style w:type="paragraph" w:styleId="14">
    <w:name w:val="footer"/>
    <w:basedOn w:val="1"/>
    <w:link w:val="37"/>
    <w:qFormat/>
    <w:uiPriority w:val="99"/>
    <w:pPr>
      <w:tabs>
        <w:tab w:val="center" w:pos="4153"/>
        <w:tab w:val="right" w:pos="8306"/>
      </w:tabs>
      <w:snapToGrid w:val="0"/>
      <w:jc w:val="left"/>
    </w:pPr>
    <w:rPr>
      <w:sz w:val="18"/>
      <w:szCs w:val="18"/>
    </w:rPr>
  </w:style>
  <w:style w:type="paragraph" w:styleId="15">
    <w:name w:val="envelope return"/>
    <w:basedOn w:val="1"/>
    <w:qFormat/>
    <w:uiPriority w:val="0"/>
    <w:pPr>
      <w:snapToGrid w:val="0"/>
    </w:pPr>
    <w:rPr>
      <w:rFonts w:ascii="Times New Roman" w:hAnsi="Times New Roman"/>
    </w:rPr>
  </w:style>
  <w:style w:type="paragraph" w:styleId="16">
    <w:name w:val="header"/>
    <w:basedOn w:val="1"/>
    <w:link w:val="80"/>
    <w:qFormat/>
    <w:uiPriority w:val="0"/>
    <w:pPr>
      <w:pBdr>
        <w:bottom w:val="single" w:color="auto" w:sz="6" w:space="1"/>
      </w:pBdr>
      <w:tabs>
        <w:tab w:val="center" w:pos="4153"/>
        <w:tab w:val="right" w:pos="8306"/>
      </w:tabs>
      <w:snapToGrid w:val="0"/>
      <w:jc w:val="center"/>
    </w:pPr>
    <w:rPr>
      <w:sz w:val="18"/>
      <w:szCs w:val="18"/>
    </w:rPr>
  </w:style>
  <w:style w:type="paragraph" w:styleId="17">
    <w:name w:val="toc 4"/>
    <w:basedOn w:val="1"/>
    <w:next w:val="1"/>
    <w:unhideWhenUsed/>
    <w:qFormat/>
    <w:uiPriority w:val="39"/>
    <w:pPr>
      <w:tabs>
        <w:tab w:val="right" w:leader="dot" w:pos="9344"/>
      </w:tabs>
      <w:adjustRightInd w:val="0"/>
      <w:spacing w:line="300" w:lineRule="exact"/>
      <w:ind w:left="629"/>
    </w:pPr>
    <w:rPr>
      <w:rFonts w:ascii="宋体" w:hAnsi="Calibri"/>
      <w:szCs w:val="21"/>
    </w:rPr>
  </w:style>
  <w:style w:type="paragraph" w:styleId="18">
    <w:name w:val="footnote text"/>
    <w:basedOn w:val="1"/>
    <w:link w:val="81"/>
    <w:semiHidden/>
    <w:unhideWhenUsed/>
    <w:qFormat/>
    <w:uiPriority w:val="99"/>
    <w:pPr>
      <w:snapToGrid w:val="0"/>
      <w:jc w:val="left"/>
    </w:pPr>
    <w:rPr>
      <w:sz w:val="18"/>
    </w:rPr>
  </w:style>
  <w:style w:type="paragraph" w:styleId="19">
    <w:name w:val="Normal (Web)"/>
    <w:basedOn w:val="1"/>
    <w:semiHidden/>
    <w:unhideWhenUsed/>
    <w:qFormat/>
    <w:uiPriority w:val="99"/>
    <w:pPr>
      <w:keepNext w:val="0"/>
      <w:keepLines w:val="0"/>
      <w:widowControl w:val="0"/>
      <w:suppressLineNumbers w:val="0"/>
      <w:adjustRightInd/>
      <w:spacing w:before="0" w:beforeAutospacing="1" w:after="0" w:afterAutospacing="1" w:line="240" w:lineRule="auto"/>
      <w:ind w:left="0" w:right="0"/>
      <w:jc w:val="left"/>
    </w:pPr>
    <w:rPr>
      <w:rFonts w:hint="eastAsia" w:ascii="等线" w:hAnsi="等线" w:eastAsia="宋体" w:cs="Times New Roman"/>
      <w:kern w:val="0"/>
      <w:sz w:val="24"/>
      <w:szCs w:val="24"/>
      <w:lang w:val="en-US" w:eastAsia="zh-CN" w:bidi="ar"/>
    </w:rPr>
  </w:style>
  <w:style w:type="paragraph" w:styleId="20">
    <w:name w:val="Title"/>
    <w:basedOn w:val="1"/>
    <w:link w:val="82"/>
    <w:qFormat/>
    <w:uiPriority w:val="10"/>
    <w:pPr>
      <w:spacing w:before="240" w:beforeLines="0" w:beforeAutospacing="0" w:after="60" w:afterLines="0" w:afterAutospacing="0"/>
      <w:jc w:val="center"/>
      <w:outlineLvl w:val="0"/>
    </w:pPr>
    <w:rPr>
      <w:rFonts w:ascii="Arial" w:hAnsi="Arial"/>
      <w:b/>
      <w:sz w:val="32"/>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24">
    <w:name w:val="Strong"/>
    <w:basedOn w:val="23"/>
    <w:qFormat/>
    <w:uiPriority w:val="22"/>
    <w:rPr>
      <w:b/>
    </w:rPr>
  </w:style>
  <w:style w:type="character" w:styleId="25">
    <w:name w:val="page number"/>
    <w:basedOn w:val="23"/>
    <w:semiHidden/>
    <w:unhideWhenUsed/>
    <w:qFormat/>
    <w:uiPriority w:val="99"/>
    <w:rPr>
      <w:rFonts w:hint="eastAsia" w:ascii="宋体" w:hAnsi="Times New Roman" w:eastAsia="宋体" w:cs="宋体"/>
      <w:sz w:val="18"/>
    </w:rPr>
  </w:style>
  <w:style w:type="character" w:styleId="26">
    <w:name w:val="FollowedHyperlink"/>
    <w:basedOn w:val="23"/>
    <w:semiHidden/>
    <w:unhideWhenUsed/>
    <w:qFormat/>
    <w:uiPriority w:val="99"/>
    <w:rPr>
      <w:color w:val="954F72"/>
      <w:u w:val="single"/>
    </w:rPr>
  </w:style>
  <w:style w:type="character" w:styleId="27">
    <w:name w:val="Emphasis"/>
    <w:basedOn w:val="23"/>
    <w:qFormat/>
    <w:uiPriority w:val="20"/>
    <w:rPr>
      <w:i/>
    </w:rPr>
  </w:style>
  <w:style w:type="character" w:styleId="28">
    <w:name w:val="line number"/>
    <w:qFormat/>
    <w:uiPriority w:val="0"/>
  </w:style>
  <w:style w:type="character" w:styleId="29">
    <w:name w:val="Hyperlink"/>
    <w:qFormat/>
    <w:uiPriority w:val="0"/>
    <w:rPr>
      <w:rFonts w:ascii="宋体" w:eastAsia="宋体"/>
      <w:color w:val="auto"/>
      <w:spacing w:val="0"/>
      <w:w w:val="100"/>
      <w:position w:val="0"/>
      <w:sz w:val="21"/>
      <w:u w:val="none"/>
      <w:vertAlign w:val="baseline"/>
    </w:rPr>
  </w:style>
  <w:style w:type="character" w:styleId="30">
    <w:name w:val="annotation reference"/>
    <w:qFormat/>
    <w:uiPriority w:val="99"/>
    <w:rPr>
      <w:sz w:val="21"/>
    </w:rPr>
  </w:style>
  <w:style w:type="character" w:styleId="31">
    <w:name w:val="footnote reference"/>
    <w:qFormat/>
    <w:uiPriority w:val="0"/>
    <w:rPr>
      <w:vertAlign w:val="superscript"/>
    </w:rPr>
  </w:style>
  <w:style w:type="paragraph" w:customStyle="1" w:styleId="32">
    <w:name w:val="BodyText2"/>
    <w:basedOn w:val="1"/>
    <w:qFormat/>
    <w:uiPriority w:val="0"/>
    <w:pPr>
      <w:spacing w:after="120" w:line="480" w:lineRule="auto"/>
      <w:textAlignment w:val="baseline"/>
    </w:pPr>
    <w:rPr>
      <w:rFonts w:ascii="Calibri" w:hAnsi="Calibri" w:eastAsia="宋体" w:cs="Times New Roman"/>
      <w:sz w:val="32"/>
      <w:szCs w:val="32"/>
    </w:rPr>
  </w:style>
  <w:style w:type="paragraph" w:customStyle="1" w:styleId="33">
    <w:name w:val="正文-公1"/>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34">
    <w:name w:val="标题 7 字符"/>
    <w:link w:val="8"/>
    <w:qFormat/>
    <w:uiPriority w:val="0"/>
    <w:rPr>
      <w:rFonts w:eastAsia="宋体"/>
      <w:b/>
      <w:bCs/>
      <w:kern w:val="2"/>
      <w:sz w:val="24"/>
      <w:szCs w:val="24"/>
    </w:rPr>
  </w:style>
  <w:style w:type="character" w:customStyle="1" w:styleId="35">
    <w:name w:val="批注文字 字符"/>
    <w:link w:val="11"/>
    <w:semiHidden/>
    <w:qFormat/>
    <w:uiPriority w:val="99"/>
    <w:rPr>
      <w:rFonts w:ascii="Calibri" w:hAnsi="Calibri" w:eastAsia="宋体"/>
      <w:kern w:val="2"/>
      <w:sz w:val="21"/>
      <w:szCs w:val="21"/>
    </w:rPr>
  </w:style>
  <w:style w:type="character" w:customStyle="1" w:styleId="36">
    <w:name w:val="批注框文本 字符"/>
    <w:link w:val="13"/>
    <w:semiHidden/>
    <w:qFormat/>
    <w:uiPriority w:val="99"/>
    <w:rPr>
      <w:rFonts w:eastAsia="宋体"/>
      <w:kern w:val="2"/>
      <w:sz w:val="18"/>
      <w:szCs w:val="18"/>
    </w:rPr>
  </w:style>
  <w:style w:type="character" w:customStyle="1" w:styleId="37">
    <w:name w:val="页脚 字符"/>
    <w:link w:val="14"/>
    <w:qFormat/>
    <w:locked/>
    <w:uiPriority w:val="99"/>
    <w:rPr>
      <w:rFonts w:eastAsia="宋体"/>
      <w:kern w:val="2"/>
      <w:sz w:val="18"/>
      <w:szCs w:val="18"/>
    </w:rPr>
  </w:style>
  <w:style w:type="paragraph" w:customStyle="1" w:styleId="38">
    <w:name w:val="其他标准称谓"/>
    <w:qFormat/>
    <w:uiPriority w:val="0"/>
    <w:pPr>
      <w:spacing w:line="0" w:lineRule="atLeast"/>
      <w:jc w:val="distribute"/>
    </w:pPr>
    <w:rPr>
      <w:rFonts w:ascii="黑体" w:hAnsi="Calibri" w:eastAsia="黑体" w:cs="Calibri"/>
      <w:sz w:val="52"/>
      <w:lang w:val="en-US" w:eastAsia="zh-CN" w:bidi="ar-SA"/>
    </w:rPr>
  </w:style>
  <w:style w:type="paragraph" w:customStyle="1" w:styleId="39">
    <w:name w:val="封面标准号1"/>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40">
    <w:name w:val="标准文件_段"/>
    <w:link w:val="41"/>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41">
    <w:name w:val="标准文件_段 Char"/>
    <w:link w:val="40"/>
    <w:qFormat/>
    <w:uiPriority w:val="0"/>
    <w:rPr>
      <w:rFonts w:ascii="宋体" w:eastAsia="宋体"/>
      <w:sz w:val="21"/>
    </w:rPr>
  </w:style>
  <w:style w:type="paragraph" w:customStyle="1" w:styleId="42">
    <w:name w:val="标准文件_章标题"/>
    <w:next w:val="40"/>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43">
    <w:name w:val="标准文件_二级条标题"/>
    <w:next w:val="40"/>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44">
    <w:name w:val="标准文件_一级条标题"/>
    <w:basedOn w:val="42"/>
    <w:next w:val="40"/>
    <w:qFormat/>
    <w:uiPriority w:val="0"/>
    <w:pPr>
      <w:numPr>
        <w:ilvl w:val="2"/>
      </w:numPr>
      <w:spacing w:before="50" w:beforeLines="0" w:after="50" w:afterLines="0"/>
      <w:outlineLvl w:val="1"/>
    </w:pPr>
  </w:style>
  <w:style w:type="paragraph" w:customStyle="1" w:styleId="45">
    <w:name w:val="标准文件_三级条标题"/>
    <w:basedOn w:val="43"/>
    <w:next w:val="40"/>
    <w:qFormat/>
    <w:uiPriority w:val="0"/>
    <w:pPr>
      <w:outlineLvl w:val="3"/>
    </w:pPr>
  </w:style>
  <w:style w:type="paragraph" w:customStyle="1" w:styleId="46">
    <w:name w:val="标准文件_四级条标题"/>
    <w:next w:val="40"/>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7">
    <w:name w:val="标准文件_五级条标题"/>
    <w:next w:val="40"/>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8">
    <w:name w:val="前言标题"/>
    <w:next w:val="1"/>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9">
    <w:name w:val="标准文件_四级无标题"/>
    <w:basedOn w:val="46"/>
    <w:qFormat/>
    <w:uiPriority w:val="0"/>
    <w:pPr>
      <w:numPr>
        <w:ilvl w:val="5"/>
        <w:numId w:val="1"/>
      </w:numPr>
    </w:pPr>
    <w:rPr>
      <w:rFonts w:ascii="宋体" w:eastAsia="宋体"/>
      <w:szCs w:val="52"/>
    </w:rPr>
  </w:style>
  <w:style w:type="paragraph" w:customStyle="1" w:styleId="50">
    <w:name w:val="标准文件_三级无标题"/>
    <w:basedOn w:val="45"/>
    <w:qFormat/>
    <w:uiPriority w:val="0"/>
    <w:pPr>
      <w:numPr>
        <w:ilvl w:val="4"/>
        <w:numId w:val="1"/>
      </w:numPr>
    </w:pPr>
    <w:rPr>
      <w:rFonts w:ascii="宋体" w:eastAsia="宋体"/>
    </w:rPr>
  </w:style>
  <w:style w:type="paragraph" w:customStyle="1" w:styleId="51">
    <w:name w:val="标准文件_正文表标题"/>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52">
    <w:name w:val="font11"/>
    <w:qFormat/>
    <w:uiPriority w:val="0"/>
    <w:rPr>
      <w:rFonts w:ascii="等线" w:eastAsia="等线"/>
      <w:b/>
      <w:bCs/>
      <w:color w:val="FF0000"/>
      <w:sz w:val="22"/>
      <w:szCs w:val="22"/>
      <w:u w:val="none"/>
    </w:rPr>
  </w:style>
  <w:style w:type="character" w:customStyle="1" w:styleId="53">
    <w:name w:val="font01"/>
    <w:qFormat/>
    <w:uiPriority w:val="0"/>
    <w:rPr>
      <w:rFonts w:ascii="等线" w:eastAsia="等线"/>
      <w:color w:val="000000"/>
      <w:sz w:val="22"/>
      <w:szCs w:val="22"/>
      <w:u w:val="none"/>
    </w:rPr>
  </w:style>
  <w:style w:type="paragraph" w:customStyle="1" w:styleId="54">
    <w:name w:val="段"/>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55">
    <w:name w:val="二级无"/>
    <w:basedOn w:val="1"/>
    <w:qFormat/>
    <w:uiPriority w:val="0"/>
    <w:pPr>
      <w:widowControl/>
      <w:numPr>
        <w:ilvl w:val="2"/>
        <w:numId w:val="3"/>
      </w:numPr>
      <w:tabs>
        <w:tab w:val="left" w:pos="780"/>
      </w:tabs>
      <w:jc w:val="left"/>
      <w:outlineLvl w:val="3"/>
    </w:pPr>
    <w:rPr>
      <w:rFonts w:ascii="宋体"/>
      <w:kern w:val="0"/>
      <w:szCs w:val="21"/>
    </w:rPr>
  </w:style>
  <w:style w:type="paragraph" w:customStyle="1" w:styleId="56">
    <w:name w:val="标准文件_二级无标题"/>
    <w:basedOn w:val="43"/>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7">
    <w:name w:val="Char Char Char Char"/>
    <w:basedOn w:val="1"/>
    <w:qFormat/>
    <w:uiPriority w:val="0"/>
  </w:style>
  <w:style w:type="paragraph" w:customStyle="1" w:styleId="58">
    <w:name w:val="标准文件_数字编号列项（二级）"/>
    <w:qFormat/>
    <w:uiPriority w:val="0"/>
    <w:pPr>
      <w:numPr>
        <w:ilvl w:val="1"/>
        <w:numId w:val="5"/>
      </w:numPr>
      <w:jc w:val="both"/>
    </w:pPr>
    <w:rPr>
      <w:rFonts w:ascii="宋体" w:hAnsi="Calibri" w:eastAsia="宋体" w:cs="Calibri"/>
      <w:sz w:val="21"/>
      <w:lang w:val="en-US" w:eastAsia="zh-CN" w:bidi="ar-SA"/>
    </w:rPr>
  </w:style>
  <w:style w:type="paragraph" w:customStyle="1" w:styleId="59">
    <w:name w:val="标准文件_编号列项（三级）"/>
    <w:qFormat/>
    <w:uiPriority w:val="0"/>
    <w:pPr>
      <w:numPr>
        <w:ilvl w:val="2"/>
        <w:numId w:val="5"/>
      </w:numPr>
    </w:pPr>
    <w:rPr>
      <w:rFonts w:ascii="宋体" w:hAnsi="Calibri" w:eastAsia="宋体" w:cs="Calibri"/>
      <w:sz w:val="21"/>
      <w:lang w:val="en-US" w:eastAsia="zh-CN" w:bidi="ar-SA"/>
    </w:rPr>
  </w:style>
  <w:style w:type="paragraph" w:customStyle="1" w:styleId="60">
    <w:name w:val="标准文件_字母编号列项（一级）"/>
    <w:qFormat/>
    <w:uiPriority w:val="0"/>
    <w:pPr>
      <w:numPr>
        <w:ilvl w:val="0"/>
        <w:numId w:val="5"/>
      </w:numPr>
      <w:jc w:val="both"/>
    </w:pPr>
    <w:rPr>
      <w:rFonts w:ascii="宋体" w:hAnsi="Calibri" w:eastAsia="宋体" w:cs="Calibri"/>
      <w:sz w:val="21"/>
      <w:lang w:val="en-US" w:eastAsia="zh-CN" w:bidi="ar-SA"/>
    </w:rPr>
  </w:style>
  <w:style w:type="paragraph" w:customStyle="1" w:styleId="61">
    <w:name w:val="标准文件_术语条一"/>
    <w:basedOn w:val="1"/>
    <w:next w:val="40"/>
    <w:qFormat/>
    <w:uiPriority w:val="0"/>
    <w:pPr>
      <w:widowControl/>
    </w:pPr>
    <w:rPr>
      <w:rFonts w:ascii="宋体"/>
      <w:kern w:val="0"/>
      <w:szCs w:val="20"/>
    </w:rPr>
  </w:style>
  <w:style w:type="paragraph" w:customStyle="1" w:styleId="62">
    <w:name w:val="abstract"/>
    <w:basedOn w:val="1"/>
    <w:qFormat/>
    <w:uiPriority w:val="0"/>
    <w:pPr>
      <w:widowControl/>
      <w:spacing w:before="100" w:beforeAutospacing="1" w:after="100" w:afterAutospacing="1"/>
      <w:jc w:val="left"/>
    </w:pPr>
    <w:rPr>
      <w:rFonts w:ascii="宋体" w:hAnsi="宋体" w:cs="宋体"/>
      <w:kern w:val="0"/>
      <w:sz w:val="24"/>
    </w:rPr>
  </w:style>
  <w:style w:type="paragraph" w:customStyle="1" w:styleId="63">
    <w:name w:val="abstract_more"/>
    <w:basedOn w:val="1"/>
    <w:qFormat/>
    <w:uiPriority w:val="0"/>
    <w:pPr>
      <w:widowControl/>
      <w:spacing w:before="100" w:beforeAutospacing="1" w:after="100" w:afterAutospacing="1"/>
      <w:jc w:val="left"/>
    </w:pPr>
    <w:rPr>
      <w:rFonts w:ascii="宋体" w:hAnsi="宋体" w:cs="宋体"/>
      <w:kern w:val="0"/>
      <w:sz w:val="24"/>
    </w:rPr>
  </w:style>
  <w:style w:type="paragraph" w:styleId="64">
    <w:name w:val="No Spacing"/>
    <w:qFormat/>
    <w:uiPriority w:val="99"/>
    <w:pPr>
      <w:widowControl w:val="0"/>
      <w:jc w:val="both"/>
    </w:pPr>
    <w:rPr>
      <w:rFonts w:ascii="Calibri" w:hAnsi="Calibri" w:eastAsia="宋体" w:cs="Times New Roman"/>
      <w:kern w:val="2"/>
      <w:sz w:val="21"/>
      <w:szCs w:val="24"/>
      <w:lang w:val="en-US" w:eastAsia="zh-CN" w:bidi="ar-SA"/>
    </w:rPr>
  </w:style>
  <w:style w:type="paragraph" w:customStyle="1" w:styleId="65">
    <w:name w:val="标准文件_一级项"/>
    <w:qFormat/>
    <w:uiPriority w:val="0"/>
    <w:pPr>
      <w:numPr>
        <w:ilvl w:val="0"/>
        <w:numId w:val="6"/>
      </w:numPr>
    </w:pPr>
    <w:rPr>
      <w:rFonts w:ascii="宋体" w:hAnsi="Times New Roman" w:eastAsia="宋体" w:cs="Times New Roman"/>
      <w:sz w:val="21"/>
      <w:lang w:val="en-US" w:eastAsia="zh-CN" w:bidi="ar-SA"/>
    </w:rPr>
  </w:style>
  <w:style w:type="paragraph" w:customStyle="1" w:styleId="66">
    <w:name w:val="标准文件_一级无标题"/>
    <w:basedOn w:val="44"/>
    <w:qFormat/>
    <w:uiPriority w:val="0"/>
    <w:pPr>
      <w:spacing w:before="0" w:after="0"/>
      <w:outlineLvl w:val="9"/>
    </w:pPr>
    <w:rPr>
      <w:rFonts w:ascii="宋体" w:eastAsia="宋体"/>
    </w:rPr>
  </w:style>
  <w:style w:type="paragraph" w:customStyle="1" w:styleId="67">
    <w:name w:val="标准文件_注："/>
    <w:basedOn w:val="1"/>
    <w:next w:val="1"/>
    <w:qFormat/>
    <w:uiPriority w:val="0"/>
    <w:pPr>
      <w:numPr>
        <w:ilvl w:val="0"/>
        <w:numId w:val="7"/>
      </w:numPr>
      <w:autoSpaceDE w:val="0"/>
      <w:autoSpaceDN w:val="0"/>
    </w:pPr>
    <w:rPr>
      <w:rFonts w:hint="eastAsia" w:ascii="宋体" w:hAnsi="Times New Roman" w:eastAsia="宋体" w:cs="Times New Roman"/>
      <w:kern w:val="0"/>
      <w:sz w:val="18"/>
      <w:szCs w:val="18"/>
    </w:rPr>
  </w:style>
  <w:style w:type="paragraph" w:customStyle="1" w:styleId="68">
    <w:name w:val="标准文件_表格"/>
    <w:basedOn w:val="1"/>
    <w:qFormat/>
    <w:uiPriority w:val="0"/>
    <w:pPr>
      <w:widowControl/>
      <w:autoSpaceDE w:val="0"/>
      <w:autoSpaceDN w:val="0"/>
      <w:jc w:val="center"/>
    </w:pPr>
    <w:rPr>
      <w:rFonts w:hint="eastAsia" w:ascii="宋体" w:hAnsi="Times New Roman" w:eastAsia="宋体" w:cs="Times New Roman"/>
      <w:kern w:val="0"/>
      <w:sz w:val="18"/>
      <w:szCs w:val="20"/>
    </w:rPr>
  </w:style>
  <w:style w:type="character" w:customStyle="1" w:styleId="69">
    <w:name w:val="标题 1 字符"/>
    <w:basedOn w:val="23"/>
    <w:link w:val="2"/>
    <w:qFormat/>
    <w:uiPriority w:val="0"/>
    <w:rPr>
      <w:b/>
      <w:bCs/>
      <w:kern w:val="44"/>
      <w:sz w:val="44"/>
      <w:szCs w:val="44"/>
    </w:rPr>
  </w:style>
  <w:style w:type="character" w:customStyle="1" w:styleId="70">
    <w:name w:val="msoplaceholdertext"/>
    <w:basedOn w:val="23"/>
    <w:qFormat/>
    <w:uiPriority w:val="0"/>
    <w:rPr>
      <w:color w:val="808080"/>
    </w:rPr>
  </w:style>
  <w:style w:type="character" w:customStyle="1" w:styleId="71">
    <w:name w:val="标题 2 字符"/>
    <w:basedOn w:val="23"/>
    <w:link w:val="3"/>
    <w:qFormat/>
    <w:uiPriority w:val="0"/>
    <w:rPr>
      <w:rFonts w:ascii="Arial" w:hAnsi="Arial" w:eastAsia="黑体" w:cs="Arial"/>
      <w:b/>
      <w:bCs/>
      <w:kern w:val="2"/>
      <w:sz w:val="32"/>
      <w:szCs w:val="32"/>
    </w:rPr>
  </w:style>
  <w:style w:type="character" w:customStyle="1" w:styleId="72">
    <w:name w:val="标题 3 字符"/>
    <w:basedOn w:val="23"/>
    <w:link w:val="4"/>
    <w:qFormat/>
    <w:uiPriority w:val="0"/>
    <w:rPr>
      <w:b/>
      <w:bCs/>
      <w:kern w:val="2"/>
      <w:sz w:val="32"/>
      <w:szCs w:val="32"/>
    </w:rPr>
  </w:style>
  <w:style w:type="character" w:customStyle="1" w:styleId="73">
    <w:name w:val="标题 4 字符"/>
    <w:basedOn w:val="23"/>
    <w:link w:val="5"/>
    <w:qFormat/>
    <w:uiPriority w:val="0"/>
    <w:rPr>
      <w:rFonts w:hint="default" w:ascii="Arial" w:hAnsi="Arial" w:eastAsia="黑体" w:cs="Arial"/>
      <w:b/>
      <w:bCs/>
      <w:kern w:val="2"/>
      <w:sz w:val="28"/>
      <w:szCs w:val="28"/>
    </w:rPr>
  </w:style>
  <w:style w:type="character" w:customStyle="1" w:styleId="74">
    <w:name w:val="标题 5 字符"/>
    <w:basedOn w:val="23"/>
    <w:link w:val="6"/>
    <w:qFormat/>
    <w:uiPriority w:val="0"/>
    <w:rPr>
      <w:b/>
      <w:bCs/>
      <w:kern w:val="2"/>
      <w:sz w:val="28"/>
      <w:szCs w:val="28"/>
    </w:rPr>
  </w:style>
  <w:style w:type="character" w:customStyle="1" w:styleId="75">
    <w:name w:val="标题 6 字符"/>
    <w:basedOn w:val="23"/>
    <w:link w:val="7"/>
    <w:qFormat/>
    <w:uiPriority w:val="0"/>
    <w:rPr>
      <w:rFonts w:hint="default" w:ascii="Arial" w:hAnsi="Arial" w:eastAsia="黑体" w:cs="Arial"/>
      <w:b/>
      <w:bCs/>
      <w:kern w:val="2"/>
      <w:sz w:val="24"/>
      <w:szCs w:val="24"/>
    </w:rPr>
  </w:style>
  <w:style w:type="character" w:customStyle="1" w:styleId="76">
    <w:name w:val="标题 8 字符"/>
    <w:basedOn w:val="23"/>
    <w:link w:val="9"/>
    <w:qFormat/>
    <w:uiPriority w:val="0"/>
    <w:rPr>
      <w:rFonts w:hint="default" w:ascii="Arial" w:hAnsi="Arial" w:eastAsia="黑体" w:cs="Arial"/>
      <w:kern w:val="2"/>
      <w:sz w:val="24"/>
      <w:szCs w:val="24"/>
    </w:rPr>
  </w:style>
  <w:style w:type="character" w:customStyle="1" w:styleId="77">
    <w:name w:val="个人撰写风格"/>
    <w:basedOn w:val="23"/>
    <w:qFormat/>
    <w:uiPriority w:val="0"/>
    <w:rPr>
      <w:rFonts w:hint="default" w:ascii="Arial" w:hAnsi="Arial" w:eastAsia="宋体" w:cs="Arial"/>
      <w:color w:val="auto"/>
      <w:spacing w:val="0"/>
      <w:sz w:val="20"/>
    </w:rPr>
  </w:style>
  <w:style w:type="character" w:customStyle="1" w:styleId="78">
    <w:name w:val="标题 9 字符"/>
    <w:basedOn w:val="23"/>
    <w:link w:val="10"/>
    <w:qFormat/>
    <w:uiPriority w:val="0"/>
    <w:rPr>
      <w:rFonts w:hint="default" w:ascii="Arial" w:hAnsi="Arial" w:eastAsia="黑体" w:cs="Arial"/>
      <w:kern w:val="2"/>
      <w:sz w:val="21"/>
      <w:szCs w:val="21"/>
    </w:rPr>
  </w:style>
  <w:style w:type="character" w:customStyle="1" w:styleId="79">
    <w:name w:val="正文文本 字符"/>
    <w:basedOn w:val="23"/>
    <w:link w:val="12"/>
    <w:qFormat/>
    <w:uiPriority w:val="0"/>
    <w:rPr>
      <w:kern w:val="2"/>
      <w:sz w:val="21"/>
      <w:szCs w:val="21"/>
    </w:rPr>
  </w:style>
  <w:style w:type="character" w:customStyle="1" w:styleId="80">
    <w:name w:val="页眉 字符"/>
    <w:basedOn w:val="23"/>
    <w:link w:val="16"/>
    <w:qFormat/>
    <w:uiPriority w:val="0"/>
    <w:rPr>
      <w:kern w:val="2"/>
      <w:sz w:val="18"/>
      <w:szCs w:val="18"/>
    </w:rPr>
  </w:style>
  <w:style w:type="character" w:customStyle="1" w:styleId="81">
    <w:name w:val="脚注文本 字符"/>
    <w:basedOn w:val="23"/>
    <w:link w:val="18"/>
    <w:qFormat/>
    <w:uiPriority w:val="0"/>
    <w:rPr>
      <w:rFonts w:hint="eastAsia" w:ascii="宋体" w:hAnsi="宋体" w:eastAsia="宋体" w:cs="宋体"/>
      <w:kern w:val="2"/>
      <w:sz w:val="18"/>
      <w:szCs w:val="18"/>
    </w:rPr>
  </w:style>
  <w:style w:type="character" w:customStyle="1" w:styleId="82">
    <w:name w:val="标题 字符"/>
    <w:basedOn w:val="23"/>
    <w:link w:val="20"/>
    <w:qFormat/>
    <w:uiPriority w:val="0"/>
    <w:rPr>
      <w:rFonts w:hint="default" w:ascii="Arial" w:hAnsi="Arial" w:cs="Arial"/>
      <w:b/>
      <w:bCs/>
      <w:kern w:val="2"/>
      <w:sz w:val="32"/>
      <w:szCs w:val="32"/>
    </w:rPr>
  </w:style>
  <w:style w:type="character" w:customStyle="1" w:styleId="83">
    <w:name w:val="引用 字符"/>
    <w:basedOn w:val="23"/>
    <w:qFormat/>
    <w:uiPriority w:val="0"/>
    <w:rPr>
      <w:i/>
      <w:iCs/>
      <w:color w:val="000000"/>
      <w:kern w:val="2"/>
      <w:sz w:val="21"/>
      <w:szCs w:val="21"/>
    </w:rPr>
  </w:style>
  <w:style w:type="character" w:customStyle="1" w:styleId="84">
    <w:name w:val="标准文件_图表脚注内容"/>
    <w:basedOn w:val="23"/>
    <w:qFormat/>
    <w:uiPriority w:val="0"/>
    <w:rPr>
      <w:rFonts w:hint="eastAsia" w:ascii="宋体" w:hAnsi="宋体" w:eastAsia="宋体" w:cs="Times New Roman"/>
      <w:spacing w:val="0"/>
      <w:sz w:val="18"/>
      <w:vertAlign w:val="superscript"/>
    </w:rPr>
  </w:style>
  <w:style w:type="character" w:customStyle="1" w:styleId="85">
    <w:name w:val="标准文件_发布"/>
    <w:basedOn w:val="23"/>
    <w:qFormat/>
    <w:uiPriority w:val="0"/>
    <w:rPr>
      <w:rFonts w:hint="eastAsia" w:ascii="黑体" w:hAnsi="宋体" w:eastAsia="黑体" w:cs="黑体"/>
      <w:spacing w:val="0"/>
      <w:w w:val="100"/>
      <w:position w:val="3"/>
      <w:sz w:val="28"/>
    </w:rPr>
  </w:style>
  <w:style w:type="character" w:customStyle="1" w:styleId="86">
    <w:name w:val="不明显参考1"/>
    <w:basedOn w:val="23"/>
    <w:qFormat/>
    <w:uiPriority w:val="0"/>
    <w:rPr>
      <w:smallCaps/>
      <w:color w:val="C0504D"/>
      <w:u w:val="single"/>
    </w:rPr>
  </w:style>
  <w:style w:type="character" w:customStyle="1" w:styleId="87">
    <w:name w:val="发布"/>
    <w:basedOn w:val="23"/>
    <w:qFormat/>
    <w:uiPriority w:val="0"/>
    <w:rPr>
      <w:rFonts w:hint="eastAsia" w:ascii="黑体" w:hAnsi="宋体" w:eastAsia="黑体" w:cs="黑体"/>
      <w:spacing w:val="85"/>
      <w:w w:val="100"/>
      <w:position w:val="3"/>
      <w:sz w:val="28"/>
      <w:szCs w:val="28"/>
    </w:rPr>
  </w:style>
  <w:style w:type="character" w:customStyle="1" w:styleId="88">
    <w:name w:val="标准文件_来源"/>
    <w:basedOn w:val="23"/>
    <w:qFormat/>
    <w:uiPriority w:val="0"/>
    <w:rPr>
      <w:rFonts w:hint="eastAsia" w:ascii="宋体" w:hAnsi="宋体" w:eastAsia="宋体" w:cs="宋体"/>
      <w:sz w:val="21"/>
    </w:rPr>
  </w:style>
  <w:style w:type="character" w:customStyle="1" w:styleId="89">
    <w:name w:val="标准文件_示例X后 字符"/>
    <w:qFormat/>
    <w:uiPriority w:val="0"/>
    <w:rPr>
      <w:rFonts w:hint="eastAsia" w:ascii="宋体" w:hAnsi="Times New Roman" w:eastAsia="宋体" w:cs="宋体"/>
      <w:sz w:val="18"/>
    </w:rPr>
  </w:style>
  <w:style w:type="character" w:customStyle="1" w:styleId="90">
    <w:name w:val="个人答复风格"/>
    <w:basedOn w:val="23"/>
    <w:qFormat/>
    <w:uiPriority w:val="0"/>
    <w:rPr>
      <w:rFonts w:hint="default" w:ascii="Arial" w:hAnsi="Arial" w:eastAsia="宋体" w:cs="Arial"/>
      <w:color w:val="auto"/>
      <w:spacing w:val="0"/>
      <w:sz w:val="20"/>
    </w:rPr>
  </w:style>
  <w:style w:type="table" w:customStyle="1" w:styleId="91">
    <w:name w:val="网格型1"/>
    <w:basedOn w:val="21"/>
    <w:qFormat/>
    <w:uiPriority w:val="0"/>
    <w:pPr>
      <w:keepNext w:val="0"/>
      <w:keepLines w:val="0"/>
      <w:widowControl/>
      <w:suppressLineNumbers w:val="0"/>
      <w:spacing w:before="0" w:beforeAutospacing="0" w:after="0" w:afterAutospacing="0"/>
      <w:ind w:left="0" w:right="0"/>
    </w:pPr>
    <w:rPr>
      <w:rFonts w:hint="default" w:ascii="Calibri" w:hAnsi="Calibri" w:cs="Calibri"/>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paragraph" w:customStyle="1" w:styleId="92">
    <w:name w:val="标准文件_正文图标题"/>
    <w:basedOn w:val="1"/>
    <w:next w:val="1"/>
    <w:qFormat/>
    <w:uiPriority w:val="0"/>
    <w:pPr>
      <w:keepNext w:val="0"/>
      <w:keepLines w:val="0"/>
      <w:widowControl/>
      <w:numPr>
        <w:ilvl w:val="0"/>
        <w:numId w:val="8"/>
      </w:numPr>
      <w:suppressLineNumbers w:val="0"/>
      <w:adjustRightInd/>
      <w:spacing w:before="50" w:beforeLines="50" w:beforeAutospacing="0" w:after="50" w:afterLines="50" w:afterAutospacing="0" w:line="240" w:lineRule="auto"/>
      <w:ind w:left="0" w:right="0" w:firstLine="0"/>
      <w:jc w:val="center"/>
    </w:pPr>
    <w:rPr>
      <w:rFonts w:hint="eastAsia" w:ascii="黑体" w:hAnsi="Times New Roman" w:eastAsia="黑体" w:cs="Times New Roman"/>
      <w:kern w:val="0"/>
      <w:sz w:val="21"/>
      <w:szCs w:val="20"/>
      <w:lang w:val="en-US" w:eastAsia="zh-CN" w:bidi="ar"/>
    </w:rPr>
  </w:style>
  <w:style w:type="paragraph" w:customStyle="1" w:styleId="93">
    <w:name w:val="标准文件_五级无标题"/>
    <w:basedOn w:val="47"/>
    <w:qFormat/>
    <w:uiPriority w:val="0"/>
    <w:pPr>
      <w:spacing w:before="0" w:beforeLines="0" w:after="0" w:afterLines="0"/>
      <w:outlineLvl w:val="9"/>
    </w:pPr>
    <w:rPr>
      <w:rFonts w:ascii="宋体" w:eastAsia="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30</Pages>
  <Words>13151</Words>
  <Characters>14337</Characters>
  <Lines>70</Lines>
  <Paragraphs>19</Paragraphs>
  <TotalTime>11</TotalTime>
  <ScaleCrop>false</ScaleCrop>
  <LinksUpToDate>false</LinksUpToDate>
  <CharactersWithSpaces>14502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2025-04-29T14:48:00Z</dcterms:created>
  <dc:creator>Administrator</dc:creator>
  <cp:lastModifiedBy>对方正在输入...</cp:lastModifiedBy>
  <dcterms:modified xsi:type="dcterms:W3CDTF">2025-07-16T06:51:55Z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B9EA02C71E27486793AEE043ED5A277A_13</vt:lpwstr>
  </property>
  <property fmtid="{D5CDD505-2E9C-101B-9397-08002B2CF9AE}" pid="4" name="KSOTemplateDocerSaveRecord">
    <vt:lpwstr>eyJoZGlkIjoiMzg2YTk3YWJlMzJiOWE4NmU5OTkxNmM1MjU1OThkOTQiLCJ1c2VySWQiOiIzMjAyMTY5NjkifQ==</vt:lpwstr>
  </property>
</Properties>
</file>