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F6EF147">
      <w:pPr>
        <w:jc w:val="center"/>
        <w:rPr>
          <w:rFonts w:hint="eastAsia" w:ascii="方正小标宋简体" w:eastAsia="方正小标宋简体" w:cs="仿宋_GB2312"/>
          <w:bCs/>
          <w:color w:val="auto"/>
          <w:sz w:val="36"/>
          <w:szCs w:val="32"/>
          <w:highlight w:val="none"/>
        </w:rPr>
      </w:pPr>
      <w:r>
        <w:rPr>
          <w:rFonts w:hint="eastAsia" w:ascii="方正小标宋简体" w:eastAsia="方正小标宋简体" w:cs="仿宋_GB2312"/>
          <w:bCs/>
          <w:color w:val="auto"/>
          <w:sz w:val="36"/>
          <w:szCs w:val="32"/>
          <w:highlight w:val="none"/>
        </w:rPr>
        <w:t>团体标准《腹膜透析患者随访规范》（征求意见稿）编制说明</w:t>
      </w:r>
    </w:p>
    <w:p w14:paraId="0E2B277C">
      <w:pPr>
        <w:ind w:firstLine="360"/>
        <w:jc w:val="center"/>
        <w:rPr>
          <w:rFonts w:hint="eastAsia" w:ascii="方正小标宋简体" w:eastAsia="方正小标宋简体" w:cs="仿宋_GB2312"/>
          <w:bCs/>
          <w:color w:val="auto"/>
          <w:sz w:val="18"/>
          <w:szCs w:val="18"/>
          <w:highlight w:val="none"/>
        </w:rPr>
      </w:pPr>
    </w:p>
    <w:p w14:paraId="289668BC">
      <w:pPr>
        <w:spacing w:line="520" w:lineRule="exact"/>
        <w:ind w:firstLine="640"/>
        <w:rPr>
          <w:rFonts w:hint="eastAsia" w:ascii="黑体" w:eastAsia="黑体" w:cs="仿宋_GB2312"/>
          <w:bCs/>
          <w:color w:val="auto"/>
          <w:sz w:val="32"/>
          <w:szCs w:val="32"/>
          <w:highlight w:val="none"/>
        </w:rPr>
      </w:pPr>
      <w:r>
        <w:rPr>
          <w:rFonts w:hint="eastAsia" w:ascii="黑体" w:eastAsia="黑体" w:cs="仿宋_GB2312"/>
          <w:color w:val="auto"/>
          <w:sz w:val="32"/>
          <w:szCs w:val="32"/>
          <w:highlight w:val="none"/>
        </w:rPr>
        <w:t>一、任务来源、起草单位、主要起草人</w:t>
      </w:r>
    </w:p>
    <w:p w14:paraId="2D3CBFFA">
      <w:pPr>
        <w:spacing w:line="520" w:lineRule="exact"/>
        <w:ind w:firstLine="560"/>
        <w:rPr>
          <w:rFonts w:hint="eastAsia"/>
          <w:color w:val="auto"/>
          <w:szCs w:val="28"/>
          <w:highlight w:val="none"/>
        </w:rPr>
      </w:pPr>
      <w:r>
        <w:rPr>
          <w:rFonts w:hint="eastAsia"/>
          <w:color w:val="auto"/>
          <w:szCs w:val="28"/>
          <w:highlight w:val="none"/>
        </w:rPr>
        <w:t>根据《广西标准化协会关于下达2025年第十批团体标准制修订项目计划的通知》（桂标协〔2025〕84号）精神，由广西护理学会提出，玉林市第一人民医院、浙江大学医学院附属第一医院、南方医科大学南方医院、中国科学技术大学附届第一医院(安徽省立医院)、温州医科大学附属第一医院、赣南医科大学第一附属医院、福州大学附届省立医院、贵州医科大学附属医院、南昌大学第一附属医院、广西医科大学第一附属医院、广西医科大学第二附属医院、广西中医药大学第一附属医院、广西壮族自治区人民医院、右江民族医学院附属医院、桂林医学院附属医院、柳州市人民医院、柳州市工人医院、丽水市中心医院、瑞安市人民医院、中山市中医院、南方医科大学顺德医院、百色市人民医院、广西柳钢医疗有限公司医院、玉林市红十字会医院、钦州市第一人民医院、贵港市人民医院、广西壮族自治区民族医院、广西壮族自治区桂东人民医院、北海市第二人民医院、平南县人民医院、博白县人民医院等单位共同起草的团体标准《腹膜透析患者随访规范》（项目编号：2025-1002），已获立项。</w:t>
      </w:r>
    </w:p>
    <w:p w14:paraId="0E9D9ED5">
      <w:pPr>
        <w:spacing w:line="520" w:lineRule="exact"/>
        <w:ind w:firstLine="560"/>
        <w:rPr>
          <w:rFonts w:hint="eastAsia"/>
          <w:color w:val="auto"/>
          <w:szCs w:val="28"/>
          <w:highlight w:val="none"/>
        </w:rPr>
      </w:pPr>
      <w:r>
        <w:rPr>
          <w:rFonts w:hint="eastAsia"/>
          <w:color w:val="auto"/>
          <w:szCs w:val="28"/>
          <w:highlight w:val="none"/>
        </w:rPr>
        <w:t>为高质量编制团体标准《腹膜透析患者随访规范》，由起草单位成立标准编制工作组并进行如下分工：</w:t>
      </w:r>
    </w:p>
    <w:tbl>
      <w:tblPr>
        <w:tblStyle w:val="13"/>
        <w:tblW w:w="93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1426"/>
        <w:gridCol w:w="1212"/>
        <w:gridCol w:w="2038"/>
        <w:gridCol w:w="3674"/>
      </w:tblGrid>
      <w:tr w14:paraId="15773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FE31005">
            <w:pPr>
              <w:ind w:firstLine="0" w:firstLineChars="0"/>
              <w:jc w:val="center"/>
              <w:rPr>
                <w:rFonts w:hint="eastAsia" w:cs="仿宋_GB2312"/>
                <w:b/>
                <w:color w:val="auto"/>
                <w:sz w:val="24"/>
                <w:highlight w:val="none"/>
              </w:rPr>
            </w:pPr>
            <w:r>
              <w:rPr>
                <w:rFonts w:hint="eastAsia" w:cs="仿宋_GB2312"/>
                <w:b/>
                <w:color w:val="auto"/>
                <w:sz w:val="24"/>
                <w:highlight w:val="none"/>
              </w:rPr>
              <w:t>姓名</w:t>
            </w:r>
          </w:p>
        </w:tc>
        <w:tc>
          <w:tcPr>
            <w:tcW w:w="1426" w:type="dxa"/>
            <w:tcBorders>
              <w:top w:val="single" w:color="auto" w:sz="4" w:space="0"/>
              <w:left w:val="single" w:color="auto" w:sz="4" w:space="0"/>
              <w:bottom w:val="single" w:color="auto" w:sz="4" w:space="0"/>
              <w:right w:val="single" w:color="auto" w:sz="4" w:space="0"/>
            </w:tcBorders>
            <w:vAlign w:val="center"/>
          </w:tcPr>
          <w:p w14:paraId="54EA63F6">
            <w:pPr>
              <w:ind w:firstLine="0" w:firstLineChars="0"/>
              <w:jc w:val="center"/>
              <w:rPr>
                <w:rFonts w:hint="eastAsia" w:cs="仿宋_GB2312"/>
                <w:b/>
                <w:color w:val="auto"/>
                <w:sz w:val="24"/>
                <w:highlight w:val="none"/>
              </w:rPr>
            </w:pPr>
            <w:r>
              <w:rPr>
                <w:rFonts w:hint="eastAsia" w:cs="仿宋_GB2312"/>
                <w:b/>
                <w:color w:val="auto"/>
                <w:sz w:val="24"/>
                <w:highlight w:val="none"/>
              </w:rPr>
              <w:t>职务/职称</w:t>
            </w:r>
          </w:p>
        </w:tc>
        <w:tc>
          <w:tcPr>
            <w:tcW w:w="1212" w:type="dxa"/>
            <w:tcBorders>
              <w:top w:val="single" w:color="auto" w:sz="4" w:space="0"/>
              <w:left w:val="single" w:color="auto" w:sz="4" w:space="0"/>
              <w:bottom w:val="single" w:color="auto" w:sz="4" w:space="0"/>
              <w:right w:val="single" w:color="auto" w:sz="4" w:space="0"/>
            </w:tcBorders>
            <w:vAlign w:val="center"/>
          </w:tcPr>
          <w:p w14:paraId="3F09AD88">
            <w:pPr>
              <w:ind w:firstLine="0" w:firstLineChars="0"/>
              <w:jc w:val="center"/>
              <w:rPr>
                <w:rFonts w:hint="eastAsia" w:cs="仿宋_GB2312"/>
                <w:b/>
                <w:color w:val="auto"/>
                <w:sz w:val="24"/>
                <w:highlight w:val="none"/>
              </w:rPr>
            </w:pPr>
            <w:r>
              <w:rPr>
                <w:rFonts w:hint="eastAsia" w:cs="仿宋_GB2312"/>
                <w:b/>
                <w:color w:val="auto"/>
                <w:sz w:val="24"/>
                <w:highlight w:val="none"/>
              </w:rPr>
              <w:t>从事专业</w:t>
            </w:r>
          </w:p>
        </w:tc>
        <w:tc>
          <w:tcPr>
            <w:tcW w:w="2038" w:type="dxa"/>
            <w:tcBorders>
              <w:top w:val="single" w:color="auto" w:sz="4" w:space="0"/>
              <w:left w:val="single" w:color="auto" w:sz="4" w:space="0"/>
              <w:bottom w:val="single" w:color="auto" w:sz="4" w:space="0"/>
              <w:right w:val="single" w:color="auto" w:sz="4" w:space="0"/>
            </w:tcBorders>
            <w:vAlign w:val="center"/>
          </w:tcPr>
          <w:p w14:paraId="71531A16">
            <w:pPr>
              <w:spacing w:line="400" w:lineRule="exact"/>
              <w:ind w:firstLine="0" w:firstLineChars="0"/>
              <w:jc w:val="center"/>
              <w:rPr>
                <w:rFonts w:hint="eastAsia" w:cs="仿宋_GB2312"/>
                <w:b/>
                <w:color w:val="auto"/>
                <w:sz w:val="24"/>
                <w:highlight w:val="none"/>
              </w:rPr>
            </w:pPr>
            <w:r>
              <w:rPr>
                <w:rFonts w:hint="eastAsia" w:cs="仿宋_GB2312"/>
                <w:b/>
                <w:color w:val="auto"/>
                <w:sz w:val="24"/>
                <w:highlight w:val="none"/>
              </w:rPr>
              <w:t>工作单位</w:t>
            </w:r>
          </w:p>
        </w:tc>
        <w:tc>
          <w:tcPr>
            <w:tcW w:w="3674" w:type="dxa"/>
            <w:tcBorders>
              <w:top w:val="single" w:color="auto" w:sz="4" w:space="0"/>
              <w:left w:val="single" w:color="auto" w:sz="4" w:space="0"/>
              <w:bottom w:val="single" w:color="auto" w:sz="4" w:space="0"/>
              <w:right w:val="single" w:color="auto" w:sz="4" w:space="0"/>
            </w:tcBorders>
            <w:vAlign w:val="center"/>
          </w:tcPr>
          <w:p w14:paraId="1C1CBC79">
            <w:pPr>
              <w:ind w:firstLine="0" w:firstLineChars="0"/>
              <w:jc w:val="left"/>
              <w:rPr>
                <w:rFonts w:hint="eastAsia" w:cs="仿宋_GB2312"/>
                <w:b/>
                <w:color w:val="auto"/>
                <w:sz w:val="24"/>
                <w:highlight w:val="none"/>
              </w:rPr>
            </w:pPr>
            <w:r>
              <w:rPr>
                <w:rFonts w:hint="eastAsia" w:cs="仿宋_GB2312"/>
                <w:b/>
                <w:color w:val="auto"/>
                <w:sz w:val="24"/>
                <w:highlight w:val="none"/>
              </w:rPr>
              <w:t>主要负责工作</w:t>
            </w:r>
          </w:p>
        </w:tc>
      </w:tr>
      <w:tr w14:paraId="6394AC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9CB48A6">
            <w:pPr>
              <w:ind w:firstLine="0" w:firstLineChars="0"/>
              <w:jc w:val="center"/>
              <w:rPr>
                <w:rFonts w:hint="eastAsia" w:cs="仿宋_GB2312"/>
                <w:color w:val="auto"/>
                <w:sz w:val="24"/>
                <w:highlight w:val="none"/>
              </w:rPr>
            </w:pPr>
            <w:r>
              <w:rPr>
                <w:rFonts w:hint="eastAsia" w:cs="仿宋_GB2312"/>
                <w:color w:val="auto"/>
                <w:sz w:val="24"/>
                <w:highlight w:val="none"/>
              </w:rPr>
              <w:t>杨雪群</w:t>
            </w:r>
          </w:p>
        </w:tc>
        <w:tc>
          <w:tcPr>
            <w:tcW w:w="1426" w:type="dxa"/>
            <w:tcBorders>
              <w:top w:val="single" w:color="auto" w:sz="4" w:space="0"/>
              <w:left w:val="single" w:color="auto" w:sz="4" w:space="0"/>
              <w:bottom w:val="single" w:color="auto" w:sz="4" w:space="0"/>
              <w:right w:val="single" w:color="auto" w:sz="4" w:space="0"/>
            </w:tcBorders>
            <w:vAlign w:val="center"/>
          </w:tcPr>
          <w:p w14:paraId="26AECDEA">
            <w:pPr>
              <w:ind w:firstLine="0" w:firstLineChars="0"/>
              <w:jc w:val="center"/>
              <w:rPr>
                <w:rFonts w:hint="eastAsia" w:cs="仿宋_GB2312"/>
                <w:color w:val="auto"/>
                <w:sz w:val="24"/>
                <w:highlight w:val="none"/>
              </w:rPr>
            </w:pPr>
            <w:r>
              <w:rPr>
                <w:rFonts w:hint="eastAsia" w:cs="仿宋_GB2312"/>
                <w:color w:val="auto"/>
                <w:sz w:val="24"/>
                <w:highlight w:val="none"/>
              </w:rPr>
              <w:t>护士长/主任护师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1B1E5A09">
            <w:pPr>
              <w:ind w:firstLine="0" w:firstLineChars="0"/>
              <w:jc w:val="center"/>
              <w:rPr>
                <w:rFonts w:hint="eastAsia" w:cs="仿宋_GB2312"/>
                <w:color w:val="auto"/>
                <w:sz w:val="24"/>
                <w:highlight w:val="none"/>
              </w:rPr>
            </w:pPr>
            <w:r>
              <w:rPr>
                <w:rFonts w:hint="eastAsia" w:cs="仿宋_GB2312"/>
                <w:color w:val="auto"/>
                <w:sz w:val="24"/>
                <w:highlight w:val="none"/>
              </w:rPr>
              <w:t>护理管理/肾脏病及血液净化护理</w:t>
            </w:r>
          </w:p>
        </w:tc>
        <w:tc>
          <w:tcPr>
            <w:tcW w:w="2038" w:type="dxa"/>
            <w:tcBorders>
              <w:top w:val="single" w:color="auto" w:sz="4" w:space="0"/>
              <w:left w:val="single" w:color="auto" w:sz="4" w:space="0"/>
              <w:bottom w:val="single" w:color="auto" w:sz="4" w:space="0"/>
              <w:right w:val="single" w:color="auto" w:sz="4" w:space="0"/>
            </w:tcBorders>
            <w:vAlign w:val="center"/>
          </w:tcPr>
          <w:p w14:paraId="7670BE71">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lang w:bidi="ar"/>
              </w:rPr>
              <w:t>玉林市第一人民医院</w:t>
            </w:r>
          </w:p>
        </w:tc>
        <w:tc>
          <w:tcPr>
            <w:tcW w:w="3674" w:type="dxa"/>
            <w:tcBorders>
              <w:top w:val="single" w:color="auto" w:sz="4" w:space="0"/>
              <w:left w:val="single" w:color="auto" w:sz="4" w:space="0"/>
              <w:bottom w:val="single" w:color="auto" w:sz="4" w:space="0"/>
              <w:right w:val="single" w:color="auto" w:sz="4" w:space="0"/>
            </w:tcBorders>
            <w:vAlign w:val="center"/>
          </w:tcPr>
          <w:p w14:paraId="5E46F793">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统筹主持标准编制工作</w:t>
            </w:r>
          </w:p>
        </w:tc>
      </w:tr>
      <w:tr w14:paraId="1200CB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9A7AC42">
            <w:pPr>
              <w:ind w:firstLine="0" w:firstLineChars="0"/>
              <w:jc w:val="center"/>
              <w:rPr>
                <w:rFonts w:hint="eastAsia" w:cs="仿宋_GB2312"/>
                <w:color w:val="auto"/>
                <w:sz w:val="24"/>
                <w:highlight w:val="none"/>
              </w:rPr>
            </w:pPr>
            <w:r>
              <w:rPr>
                <w:rFonts w:hint="eastAsia" w:cs="仿宋_GB2312"/>
                <w:color w:val="auto"/>
                <w:sz w:val="24"/>
                <w:highlight w:val="none"/>
              </w:rPr>
              <w:t>廖小珍</w:t>
            </w:r>
          </w:p>
        </w:tc>
        <w:tc>
          <w:tcPr>
            <w:tcW w:w="1426" w:type="dxa"/>
            <w:tcBorders>
              <w:top w:val="single" w:color="auto" w:sz="4" w:space="0"/>
              <w:left w:val="single" w:color="auto" w:sz="4" w:space="0"/>
              <w:bottom w:val="single" w:color="auto" w:sz="4" w:space="0"/>
              <w:right w:val="single" w:color="auto" w:sz="4" w:space="0"/>
            </w:tcBorders>
            <w:vAlign w:val="center"/>
          </w:tcPr>
          <w:p w14:paraId="108857F1">
            <w:pPr>
              <w:ind w:firstLine="0" w:firstLineChars="0"/>
              <w:jc w:val="center"/>
              <w:rPr>
                <w:rFonts w:hint="eastAsia" w:cs="仿宋_GB2312"/>
                <w:color w:val="auto"/>
                <w:sz w:val="24"/>
                <w:highlight w:val="none"/>
              </w:rPr>
            </w:pPr>
            <w:r>
              <w:rPr>
                <w:rFonts w:hint="eastAsia" w:cs="仿宋_GB2312"/>
                <w:color w:val="auto"/>
                <w:sz w:val="24"/>
                <w:highlight w:val="none"/>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59A2649B">
            <w:pPr>
              <w:ind w:firstLine="0" w:firstLineChars="0"/>
              <w:jc w:val="center"/>
              <w:rPr>
                <w:rFonts w:hint="eastAsia" w:cs="仿宋_GB2312"/>
                <w:color w:val="auto"/>
                <w:sz w:val="24"/>
                <w:highlight w:val="none"/>
              </w:rPr>
            </w:pPr>
            <w:r>
              <w:rPr>
                <w:rFonts w:hint="eastAsia" w:cs="仿宋_GB2312"/>
                <w:color w:val="auto"/>
                <w:sz w:val="24"/>
                <w:highlight w:val="none"/>
              </w:rPr>
              <w:t>腹膜透析护理</w:t>
            </w:r>
          </w:p>
        </w:tc>
        <w:tc>
          <w:tcPr>
            <w:tcW w:w="2038" w:type="dxa"/>
            <w:tcBorders>
              <w:top w:val="single" w:color="auto" w:sz="4" w:space="0"/>
              <w:left w:val="single" w:color="auto" w:sz="4" w:space="0"/>
              <w:bottom w:val="single" w:color="auto" w:sz="4" w:space="0"/>
              <w:right w:val="single" w:color="auto" w:sz="4" w:space="0"/>
            </w:tcBorders>
            <w:vAlign w:val="center"/>
          </w:tcPr>
          <w:p w14:paraId="45FA8705">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lang w:bidi="ar"/>
              </w:rPr>
              <w:t>玉林市第一人民医院</w:t>
            </w:r>
          </w:p>
        </w:tc>
        <w:tc>
          <w:tcPr>
            <w:tcW w:w="3674" w:type="dxa"/>
            <w:tcBorders>
              <w:top w:val="single" w:color="auto" w:sz="4" w:space="0"/>
              <w:left w:val="single" w:color="auto" w:sz="4" w:space="0"/>
              <w:bottom w:val="single" w:color="auto" w:sz="4" w:space="0"/>
              <w:right w:val="single" w:color="auto" w:sz="4" w:space="0"/>
            </w:tcBorders>
            <w:vAlign w:val="center"/>
          </w:tcPr>
          <w:p w14:paraId="371A9632">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参与标准编制工作，组织人员进行标准发布后的宣贯培训</w:t>
            </w:r>
          </w:p>
        </w:tc>
      </w:tr>
      <w:tr w14:paraId="3D2108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39207E2">
            <w:pPr>
              <w:ind w:firstLine="0" w:firstLineChars="0"/>
              <w:jc w:val="center"/>
              <w:rPr>
                <w:rFonts w:hint="eastAsia" w:cs="仿宋_GB2312"/>
                <w:color w:val="auto"/>
                <w:sz w:val="24"/>
                <w:highlight w:val="none"/>
              </w:rPr>
            </w:pPr>
            <w:r>
              <w:rPr>
                <w:rFonts w:hint="eastAsia" w:cs="仿宋_GB2312"/>
                <w:color w:val="auto"/>
                <w:sz w:val="24"/>
                <w:highlight w:val="none"/>
              </w:rPr>
              <w:t>邓兆燕</w:t>
            </w:r>
          </w:p>
        </w:tc>
        <w:tc>
          <w:tcPr>
            <w:tcW w:w="1426" w:type="dxa"/>
            <w:tcBorders>
              <w:top w:val="single" w:color="auto" w:sz="4" w:space="0"/>
              <w:left w:val="single" w:color="auto" w:sz="4" w:space="0"/>
              <w:bottom w:val="single" w:color="auto" w:sz="4" w:space="0"/>
              <w:right w:val="single" w:color="auto" w:sz="4" w:space="0"/>
            </w:tcBorders>
            <w:vAlign w:val="center"/>
          </w:tcPr>
          <w:p w14:paraId="54453BBF">
            <w:pPr>
              <w:ind w:firstLine="0" w:firstLineChars="0"/>
              <w:jc w:val="center"/>
              <w:rPr>
                <w:rFonts w:hint="eastAsia" w:cs="仿宋_GB2312"/>
                <w:color w:val="auto"/>
                <w:sz w:val="24"/>
                <w:highlight w:val="none"/>
              </w:rPr>
            </w:pPr>
            <w:r>
              <w:rPr>
                <w:rFonts w:hint="eastAsia" w:cs="仿宋_GB2312"/>
                <w:color w:val="auto"/>
                <w:sz w:val="24"/>
                <w:highlight w:val="none"/>
              </w:rPr>
              <w:t>科主任/主任医师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7F11F5A2">
            <w:pPr>
              <w:ind w:firstLine="0" w:firstLineChars="0"/>
              <w:jc w:val="center"/>
              <w:rPr>
                <w:rFonts w:hint="eastAsia" w:cs="仿宋_GB2312"/>
                <w:color w:val="auto"/>
                <w:sz w:val="24"/>
                <w:highlight w:val="none"/>
              </w:rPr>
            </w:pPr>
            <w:r>
              <w:rPr>
                <w:rFonts w:hint="eastAsia" w:cs="仿宋_GB2312"/>
                <w:color w:val="auto"/>
                <w:sz w:val="24"/>
                <w:highlight w:val="none"/>
              </w:rPr>
              <w:t>肾脏病</w:t>
            </w:r>
          </w:p>
        </w:tc>
        <w:tc>
          <w:tcPr>
            <w:tcW w:w="2038" w:type="dxa"/>
            <w:tcBorders>
              <w:top w:val="single" w:color="auto" w:sz="4" w:space="0"/>
              <w:left w:val="single" w:color="auto" w:sz="4" w:space="0"/>
              <w:bottom w:val="single" w:color="auto" w:sz="4" w:space="0"/>
              <w:right w:val="single" w:color="auto" w:sz="4" w:space="0"/>
            </w:tcBorders>
            <w:vAlign w:val="center"/>
          </w:tcPr>
          <w:p w14:paraId="6F095397">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lang w:bidi="ar"/>
              </w:rPr>
              <w:t>玉林市第一人民医院</w:t>
            </w:r>
          </w:p>
        </w:tc>
        <w:tc>
          <w:tcPr>
            <w:tcW w:w="3674" w:type="dxa"/>
            <w:tcBorders>
              <w:top w:val="single" w:color="auto" w:sz="4" w:space="0"/>
              <w:left w:val="single" w:color="auto" w:sz="4" w:space="0"/>
              <w:bottom w:val="single" w:color="auto" w:sz="4" w:space="0"/>
              <w:right w:val="single" w:color="auto" w:sz="4" w:space="0"/>
            </w:tcBorders>
            <w:vAlign w:val="center"/>
          </w:tcPr>
          <w:p w14:paraId="53D8BEEA">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参与标准文本及编制说明编写，质量控制</w:t>
            </w:r>
          </w:p>
        </w:tc>
      </w:tr>
      <w:tr w14:paraId="44918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37621CDD">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黄楚乔</w:t>
            </w:r>
          </w:p>
        </w:tc>
        <w:tc>
          <w:tcPr>
            <w:tcW w:w="1426" w:type="dxa"/>
            <w:tcBorders>
              <w:top w:val="single" w:color="auto" w:sz="4" w:space="0"/>
              <w:left w:val="single" w:color="auto" w:sz="4" w:space="0"/>
              <w:bottom w:val="single" w:color="auto" w:sz="4" w:space="0"/>
              <w:right w:val="single" w:color="auto" w:sz="4" w:space="0"/>
            </w:tcBorders>
            <w:vAlign w:val="center"/>
          </w:tcPr>
          <w:p w14:paraId="49FA0D0C">
            <w:pPr>
              <w:ind w:firstLine="0" w:firstLineChars="0"/>
              <w:jc w:val="center"/>
              <w:rPr>
                <w:rFonts w:hint="eastAsia" w:cs="仿宋_GB2312"/>
                <w:color w:val="auto"/>
                <w:sz w:val="24"/>
                <w:highlight w:val="none"/>
              </w:rPr>
            </w:pPr>
            <w:r>
              <w:rPr>
                <w:rFonts w:hint="eastAsia" w:cs="仿宋_GB2312"/>
                <w:color w:val="auto"/>
                <w:sz w:val="24"/>
                <w:highlight w:val="none"/>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18D35922">
            <w:pPr>
              <w:ind w:firstLine="0" w:firstLineChars="0"/>
              <w:jc w:val="center"/>
              <w:rPr>
                <w:rFonts w:hint="eastAsia" w:cs="仿宋_GB2312"/>
                <w:color w:val="auto"/>
                <w:sz w:val="24"/>
                <w:highlight w:val="none"/>
              </w:rPr>
            </w:pPr>
            <w:r>
              <w:rPr>
                <w:rFonts w:hint="eastAsia" w:cs="仿宋_GB2312"/>
                <w:color w:val="auto"/>
                <w:sz w:val="24"/>
                <w:highlight w:val="none"/>
              </w:rPr>
              <w:t>护理学</w:t>
            </w:r>
          </w:p>
        </w:tc>
        <w:tc>
          <w:tcPr>
            <w:tcW w:w="2038" w:type="dxa"/>
            <w:tcBorders>
              <w:top w:val="single" w:color="auto" w:sz="4" w:space="0"/>
              <w:left w:val="single" w:color="auto" w:sz="4" w:space="0"/>
              <w:bottom w:val="single" w:color="auto" w:sz="4" w:space="0"/>
              <w:right w:val="single" w:color="auto" w:sz="4" w:space="0"/>
            </w:tcBorders>
            <w:vAlign w:val="center"/>
          </w:tcPr>
          <w:p w14:paraId="7F0F23AC">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lang w:bidi="ar"/>
              </w:rPr>
              <w:t>玉林市第一人民医院</w:t>
            </w:r>
          </w:p>
        </w:tc>
        <w:tc>
          <w:tcPr>
            <w:tcW w:w="3674" w:type="dxa"/>
            <w:tcBorders>
              <w:top w:val="single" w:color="auto" w:sz="4" w:space="0"/>
              <w:left w:val="single" w:color="auto" w:sz="4" w:space="0"/>
              <w:bottom w:val="single" w:color="auto" w:sz="4" w:space="0"/>
              <w:right w:val="single" w:color="auto" w:sz="4" w:space="0"/>
            </w:tcBorders>
            <w:vAlign w:val="center"/>
          </w:tcPr>
          <w:p w14:paraId="02D871C7">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40A1B7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F2E6773">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覃惠星</w:t>
            </w:r>
          </w:p>
        </w:tc>
        <w:tc>
          <w:tcPr>
            <w:tcW w:w="1426" w:type="dxa"/>
            <w:tcBorders>
              <w:top w:val="single" w:color="auto" w:sz="4" w:space="0"/>
              <w:left w:val="single" w:color="auto" w:sz="4" w:space="0"/>
              <w:bottom w:val="single" w:color="auto" w:sz="4" w:space="0"/>
              <w:right w:val="single" w:color="auto" w:sz="4" w:space="0"/>
            </w:tcBorders>
            <w:vAlign w:val="center"/>
          </w:tcPr>
          <w:p w14:paraId="524376CD">
            <w:pPr>
              <w:ind w:firstLine="0" w:firstLineChars="0"/>
              <w:jc w:val="center"/>
              <w:rPr>
                <w:rFonts w:hint="eastAsia" w:cs="仿宋_GB2312"/>
                <w:color w:val="auto"/>
                <w:sz w:val="24"/>
                <w:highlight w:val="none"/>
              </w:rPr>
            </w:pPr>
            <w:r>
              <w:rPr>
                <w:rFonts w:hint="eastAsia" w:cs="仿宋_GB2312"/>
                <w:color w:val="auto"/>
                <w:sz w:val="24"/>
                <w:highlight w:val="none"/>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01317004">
            <w:pPr>
              <w:ind w:firstLine="0" w:firstLineChars="0"/>
              <w:jc w:val="center"/>
              <w:rPr>
                <w:rFonts w:hint="eastAsia" w:cs="仿宋_GB2312"/>
                <w:color w:val="auto"/>
                <w:sz w:val="24"/>
                <w:highlight w:val="none"/>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60A2FF40">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广西柳州市工人医院</w:t>
            </w:r>
          </w:p>
        </w:tc>
        <w:tc>
          <w:tcPr>
            <w:tcW w:w="3674" w:type="dxa"/>
            <w:tcBorders>
              <w:top w:val="single" w:color="auto" w:sz="4" w:space="0"/>
              <w:left w:val="single" w:color="auto" w:sz="4" w:space="0"/>
              <w:bottom w:val="single" w:color="auto" w:sz="4" w:space="0"/>
              <w:right w:val="single" w:color="auto" w:sz="4" w:space="0"/>
            </w:tcBorders>
          </w:tcPr>
          <w:p w14:paraId="6827241F">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7D5951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7159EC0">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许雪芳</w:t>
            </w:r>
          </w:p>
        </w:tc>
        <w:tc>
          <w:tcPr>
            <w:tcW w:w="1426" w:type="dxa"/>
            <w:tcBorders>
              <w:top w:val="single" w:color="auto" w:sz="4" w:space="0"/>
              <w:left w:val="single" w:color="auto" w:sz="4" w:space="0"/>
              <w:bottom w:val="single" w:color="auto" w:sz="4" w:space="0"/>
              <w:right w:val="single" w:color="auto" w:sz="4" w:space="0"/>
            </w:tcBorders>
            <w:vAlign w:val="center"/>
          </w:tcPr>
          <w:p w14:paraId="3377ECB7">
            <w:pPr>
              <w:ind w:firstLine="0" w:firstLineChars="0"/>
              <w:jc w:val="center"/>
              <w:rPr>
                <w:rFonts w:hint="eastAsia" w:cs="仿宋_GB2312"/>
                <w:color w:val="auto"/>
                <w:sz w:val="24"/>
                <w:highlight w:val="none"/>
              </w:rPr>
            </w:pPr>
            <w:r>
              <w:rPr>
                <w:rFonts w:hint="eastAsia" w:cs="仿宋_GB2312"/>
                <w:color w:val="auto"/>
                <w:sz w:val="24"/>
                <w:highlight w:val="none"/>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1AC0EE77">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768917BB">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钦州市第一人民医院</w:t>
            </w:r>
          </w:p>
        </w:tc>
        <w:tc>
          <w:tcPr>
            <w:tcW w:w="3674" w:type="dxa"/>
            <w:tcBorders>
              <w:top w:val="single" w:color="auto" w:sz="4" w:space="0"/>
              <w:left w:val="single" w:color="auto" w:sz="4" w:space="0"/>
              <w:bottom w:val="single" w:color="auto" w:sz="4" w:space="0"/>
              <w:right w:val="single" w:color="auto" w:sz="4" w:space="0"/>
            </w:tcBorders>
          </w:tcPr>
          <w:p w14:paraId="04604C3C">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5F7E2B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69740DB">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陆世颖</w:t>
            </w:r>
          </w:p>
        </w:tc>
        <w:tc>
          <w:tcPr>
            <w:tcW w:w="1426" w:type="dxa"/>
            <w:tcBorders>
              <w:top w:val="single" w:color="auto" w:sz="4" w:space="0"/>
              <w:left w:val="single" w:color="auto" w:sz="4" w:space="0"/>
              <w:bottom w:val="single" w:color="auto" w:sz="4" w:space="0"/>
              <w:right w:val="single" w:color="auto" w:sz="4" w:space="0"/>
            </w:tcBorders>
            <w:vAlign w:val="center"/>
          </w:tcPr>
          <w:p w14:paraId="53A010DC">
            <w:pPr>
              <w:ind w:firstLine="0" w:firstLineChars="0"/>
              <w:jc w:val="center"/>
              <w:rPr>
                <w:rFonts w:hint="eastAsia" w:cs="仿宋_GB2312"/>
                <w:color w:val="auto"/>
                <w:sz w:val="24"/>
                <w:highlight w:val="none"/>
              </w:rPr>
            </w:pPr>
            <w:r>
              <w:rPr>
                <w:rFonts w:hint="eastAsia" w:cs="仿宋_GB2312"/>
                <w:color w:val="auto"/>
                <w:sz w:val="24"/>
                <w:highlight w:val="none"/>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3EB3B910">
            <w:pPr>
              <w:ind w:firstLine="0" w:firstLineChars="0"/>
              <w:jc w:val="center"/>
              <w:rPr>
                <w:rFonts w:hint="eastAsia" w:cs="仿宋_GB2312"/>
                <w:color w:val="auto"/>
                <w:sz w:val="24"/>
                <w:highlight w:val="none"/>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0FCF7F4B">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广西壮族自治区人民医院</w:t>
            </w:r>
          </w:p>
        </w:tc>
        <w:tc>
          <w:tcPr>
            <w:tcW w:w="3674" w:type="dxa"/>
            <w:tcBorders>
              <w:top w:val="single" w:color="auto" w:sz="4" w:space="0"/>
              <w:left w:val="single" w:color="auto" w:sz="4" w:space="0"/>
              <w:bottom w:val="single" w:color="auto" w:sz="4" w:space="0"/>
              <w:right w:val="single" w:color="auto" w:sz="4" w:space="0"/>
            </w:tcBorders>
          </w:tcPr>
          <w:p w14:paraId="265329FA">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48680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65677A9">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吴一平</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3E39326F">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主管护师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3350B453">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3A22B27D">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广西医科大学第一附属医院</w:t>
            </w:r>
          </w:p>
        </w:tc>
        <w:tc>
          <w:tcPr>
            <w:tcW w:w="3674" w:type="dxa"/>
            <w:tcBorders>
              <w:top w:val="single" w:color="auto" w:sz="4" w:space="0"/>
              <w:left w:val="single" w:color="auto" w:sz="4" w:space="0"/>
              <w:bottom w:val="single" w:color="auto" w:sz="4" w:space="0"/>
              <w:right w:val="single" w:color="auto" w:sz="4" w:space="0"/>
            </w:tcBorders>
          </w:tcPr>
          <w:p w14:paraId="6026332F">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5BC5D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705DDBB">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陈梅</w:t>
            </w:r>
          </w:p>
        </w:tc>
        <w:tc>
          <w:tcPr>
            <w:tcW w:w="1426" w:type="dxa"/>
            <w:tcBorders>
              <w:top w:val="single" w:color="auto" w:sz="4" w:space="0"/>
              <w:left w:val="single" w:color="auto" w:sz="4" w:space="0"/>
              <w:bottom w:val="single" w:color="auto" w:sz="4" w:space="0"/>
              <w:right w:val="single" w:color="auto" w:sz="4" w:space="0"/>
            </w:tcBorders>
            <w:vAlign w:val="center"/>
          </w:tcPr>
          <w:p w14:paraId="27180735">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5FD93F8A">
            <w:pPr>
              <w:ind w:firstLine="0" w:firstLineChars="0"/>
              <w:jc w:val="center"/>
              <w:rPr>
                <w:rFonts w:hint="eastAsia" w:cs="仿宋_GB2312"/>
                <w:color w:val="auto"/>
                <w:sz w:val="24"/>
                <w:highlight w:val="none"/>
              </w:rPr>
            </w:pPr>
            <w:r>
              <w:rPr>
                <w:rFonts w:hint="eastAsia" w:cs="仿宋_GB2312"/>
                <w:color w:val="auto"/>
                <w:sz w:val="24"/>
                <w:highlight w:val="none"/>
              </w:rPr>
              <w:t>护理学</w:t>
            </w:r>
          </w:p>
        </w:tc>
        <w:tc>
          <w:tcPr>
            <w:tcW w:w="2038" w:type="dxa"/>
            <w:tcBorders>
              <w:top w:val="single" w:color="auto" w:sz="4" w:space="0"/>
              <w:left w:val="single" w:color="auto" w:sz="4" w:space="0"/>
              <w:bottom w:val="single" w:color="auto" w:sz="4" w:space="0"/>
              <w:right w:val="single" w:color="auto" w:sz="4" w:space="0"/>
            </w:tcBorders>
            <w:vAlign w:val="center"/>
          </w:tcPr>
          <w:p w14:paraId="2C676F52">
            <w:pPr>
              <w:spacing w:line="400" w:lineRule="exact"/>
              <w:ind w:firstLine="0" w:firstLineChars="0"/>
              <w:jc w:val="center"/>
              <w:rPr>
                <w:rFonts w:hint="eastAsia" w:cs="仿宋_GB2312"/>
                <w:color w:val="auto"/>
                <w:sz w:val="24"/>
                <w:highlight w:val="none"/>
              </w:rPr>
            </w:pPr>
            <w:r>
              <w:rPr>
                <w:rFonts w:hint="eastAsia" w:cs="仿宋_GB2312"/>
                <w:color w:val="auto"/>
                <w:kern w:val="0"/>
                <w:sz w:val="24"/>
                <w:highlight w:val="none"/>
                <w:lang w:bidi="ar"/>
              </w:rPr>
              <w:t>玉林市第一人民医院</w:t>
            </w:r>
          </w:p>
        </w:tc>
        <w:tc>
          <w:tcPr>
            <w:tcW w:w="3674" w:type="dxa"/>
            <w:tcBorders>
              <w:top w:val="single" w:color="auto" w:sz="4" w:space="0"/>
              <w:left w:val="single" w:color="auto" w:sz="4" w:space="0"/>
              <w:bottom w:val="single" w:color="auto" w:sz="4" w:space="0"/>
              <w:right w:val="single" w:color="auto" w:sz="4" w:space="0"/>
            </w:tcBorders>
          </w:tcPr>
          <w:p w14:paraId="17265CA1">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79F43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64A063A">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薛毅</w:t>
            </w:r>
          </w:p>
        </w:tc>
        <w:tc>
          <w:tcPr>
            <w:tcW w:w="1426" w:type="dxa"/>
            <w:tcBorders>
              <w:top w:val="single" w:color="auto" w:sz="4" w:space="0"/>
              <w:left w:val="single" w:color="auto" w:sz="4" w:space="0"/>
              <w:bottom w:val="single" w:color="auto" w:sz="4" w:space="0"/>
              <w:right w:val="single" w:color="auto" w:sz="4" w:space="0"/>
            </w:tcBorders>
            <w:vAlign w:val="center"/>
          </w:tcPr>
          <w:p w14:paraId="30DD9E63">
            <w:pPr>
              <w:ind w:firstLine="0" w:firstLineChars="0"/>
              <w:jc w:val="center"/>
              <w:rPr>
                <w:rFonts w:hint="eastAsia" w:cs="仿宋_GB2312"/>
                <w:color w:val="auto"/>
                <w:sz w:val="24"/>
                <w:highlight w:val="none"/>
              </w:rPr>
            </w:pPr>
            <w:r>
              <w:rPr>
                <w:rFonts w:hint="eastAsia" w:cs="仿宋_GB2312"/>
                <w:color w:val="auto"/>
                <w:sz w:val="24"/>
                <w:highlight w:val="none"/>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41120219">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肾内科护理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6AE75385">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右江民族医学院附属医院</w:t>
            </w:r>
          </w:p>
        </w:tc>
        <w:tc>
          <w:tcPr>
            <w:tcW w:w="3674" w:type="dxa"/>
            <w:tcBorders>
              <w:top w:val="single" w:color="auto" w:sz="4" w:space="0"/>
              <w:left w:val="single" w:color="auto" w:sz="4" w:space="0"/>
              <w:bottom w:val="single" w:color="auto" w:sz="4" w:space="0"/>
              <w:right w:val="single" w:color="auto" w:sz="4" w:space="0"/>
            </w:tcBorders>
          </w:tcPr>
          <w:p w14:paraId="477BF85F">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62683C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8667B93">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苏文琼</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7E9F8440">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48A180E3">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护理学</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76DA6532">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广西壮族自治区桂东人民医院</w:t>
            </w:r>
          </w:p>
        </w:tc>
        <w:tc>
          <w:tcPr>
            <w:tcW w:w="3674" w:type="dxa"/>
            <w:tcBorders>
              <w:top w:val="single" w:color="auto" w:sz="4" w:space="0"/>
              <w:left w:val="single" w:color="auto" w:sz="4" w:space="0"/>
              <w:bottom w:val="single" w:color="auto" w:sz="4" w:space="0"/>
              <w:right w:val="single" w:color="auto" w:sz="4" w:space="0"/>
            </w:tcBorders>
          </w:tcPr>
          <w:p w14:paraId="33691C1C">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5F9BF9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3DA9585">
            <w:pPr>
              <w:ind w:firstLine="0" w:firstLineChars="0"/>
              <w:jc w:val="center"/>
              <w:rPr>
                <w:rFonts w:hint="eastAsia" w:cs="仿宋_GB2312"/>
                <w:color w:val="auto"/>
                <w:sz w:val="24"/>
                <w:highlight w:val="none"/>
              </w:rPr>
            </w:pPr>
            <w:r>
              <w:rPr>
                <w:rFonts w:hint="eastAsia" w:cs="仿宋_GB2312"/>
                <w:color w:val="auto"/>
                <w:sz w:val="24"/>
                <w:highlight w:val="none"/>
              </w:rPr>
              <w:t>龚妮容</w:t>
            </w:r>
          </w:p>
        </w:tc>
        <w:tc>
          <w:tcPr>
            <w:tcW w:w="1426" w:type="dxa"/>
            <w:tcBorders>
              <w:top w:val="single" w:color="auto" w:sz="4" w:space="0"/>
              <w:left w:val="single" w:color="auto" w:sz="4" w:space="0"/>
              <w:bottom w:val="single" w:color="auto" w:sz="4" w:space="0"/>
              <w:right w:val="single" w:color="auto" w:sz="4" w:space="0"/>
            </w:tcBorders>
            <w:vAlign w:val="center"/>
          </w:tcPr>
          <w:p w14:paraId="03A6E81C">
            <w:pPr>
              <w:ind w:firstLine="0" w:firstLineChars="0"/>
              <w:jc w:val="center"/>
              <w:rPr>
                <w:rFonts w:hint="eastAsia" w:cs="仿宋_GB2312"/>
                <w:color w:val="auto"/>
                <w:sz w:val="24"/>
                <w:highlight w:val="none"/>
              </w:rPr>
            </w:pPr>
            <w:r>
              <w:rPr>
                <w:rFonts w:hint="eastAsia" w:cs="仿宋_GB2312"/>
                <w:color w:val="auto"/>
                <w:sz w:val="24"/>
                <w:highlight w:val="none"/>
              </w:rPr>
              <w:t>主任护师/护士长</w:t>
            </w:r>
          </w:p>
        </w:tc>
        <w:tc>
          <w:tcPr>
            <w:tcW w:w="1212" w:type="dxa"/>
            <w:tcBorders>
              <w:top w:val="single" w:color="auto" w:sz="4" w:space="0"/>
              <w:left w:val="single" w:color="auto" w:sz="4" w:space="0"/>
              <w:bottom w:val="single" w:color="auto" w:sz="4" w:space="0"/>
              <w:right w:val="single" w:color="auto" w:sz="4" w:space="0"/>
            </w:tcBorders>
            <w:vAlign w:val="center"/>
          </w:tcPr>
          <w:p w14:paraId="35233704">
            <w:pPr>
              <w:ind w:firstLine="0" w:firstLineChars="0"/>
              <w:jc w:val="center"/>
              <w:rPr>
                <w:rFonts w:hint="eastAsia" w:cs="仿宋_GB2312"/>
                <w:color w:val="auto"/>
                <w:sz w:val="24"/>
                <w:highlight w:val="none"/>
              </w:rPr>
            </w:pPr>
            <w:r>
              <w:rPr>
                <w:rFonts w:hint="eastAsia" w:cs="仿宋_GB2312"/>
                <w:color w:val="auto"/>
                <w:sz w:val="24"/>
                <w:highlight w:val="none"/>
              </w:rPr>
              <w:t>护理管理</w:t>
            </w:r>
          </w:p>
        </w:tc>
        <w:tc>
          <w:tcPr>
            <w:tcW w:w="2038" w:type="dxa"/>
            <w:tcBorders>
              <w:top w:val="single" w:color="auto" w:sz="4" w:space="0"/>
              <w:left w:val="single" w:color="auto" w:sz="4" w:space="0"/>
              <w:bottom w:val="single" w:color="auto" w:sz="4" w:space="0"/>
              <w:right w:val="single" w:color="auto" w:sz="4" w:space="0"/>
            </w:tcBorders>
            <w:vAlign w:val="center"/>
          </w:tcPr>
          <w:p w14:paraId="23025AD0">
            <w:pPr>
              <w:ind w:firstLine="0" w:firstLineChars="0"/>
              <w:jc w:val="center"/>
              <w:rPr>
                <w:rFonts w:hint="eastAsia" w:cs="仿宋_GB2312"/>
                <w:color w:val="auto"/>
                <w:sz w:val="24"/>
                <w:highlight w:val="none"/>
              </w:rPr>
            </w:pPr>
            <w:r>
              <w:rPr>
                <w:rFonts w:hint="eastAsia" w:cs="仿宋_GB2312"/>
                <w:color w:val="auto"/>
                <w:sz w:val="24"/>
                <w:highlight w:val="none"/>
              </w:rPr>
              <w:t>南方医院肾内科</w:t>
            </w:r>
          </w:p>
        </w:tc>
        <w:tc>
          <w:tcPr>
            <w:tcW w:w="3674" w:type="dxa"/>
            <w:tcBorders>
              <w:top w:val="single" w:color="auto" w:sz="4" w:space="0"/>
              <w:left w:val="single" w:color="auto" w:sz="4" w:space="0"/>
              <w:bottom w:val="single" w:color="auto" w:sz="4" w:space="0"/>
              <w:right w:val="single" w:color="auto" w:sz="4" w:space="0"/>
            </w:tcBorders>
          </w:tcPr>
          <w:p w14:paraId="2C62A68B">
            <w:pPr>
              <w:ind w:firstLine="240" w:firstLineChars="100"/>
              <w:rPr>
                <w:rFonts w:hint="eastAsia" w:cs="仿宋_GB2312"/>
                <w:color w:val="auto"/>
                <w:sz w:val="24"/>
                <w:highlight w:val="none"/>
              </w:rPr>
            </w:pPr>
            <w:r>
              <w:rPr>
                <w:rFonts w:hint="eastAsia" w:cs="仿宋_GB2312"/>
                <w:color w:val="auto"/>
                <w:sz w:val="24"/>
                <w:highlight w:val="none"/>
              </w:rPr>
              <w:t>参与标准文本及编制说明的编写；组织开展标准征求意见会；对标准实施情况进行总结分析，不断对标准提出修正意见</w:t>
            </w:r>
          </w:p>
        </w:tc>
      </w:tr>
      <w:tr w14:paraId="1FEDC0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DB38658">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龚乐为</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6B35CAFD">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护士长/主任护师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09B930D8">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2093755C">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南方医科大学第八附属医院</w:t>
            </w:r>
          </w:p>
        </w:tc>
        <w:tc>
          <w:tcPr>
            <w:tcW w:w="3674" w:type="dxa"/>
            <w:tcBorders>
              <w:top w:val="single" w:color="auto" w:sz="4" w:space="0"/>
              <w:left w:val="single" w:color="auto" w:sz="4" w:space="0"/>
              <w:bottom w:val="single" w:color="auto" w:sz="4" w:space="0"/>
              <w:right w:val="single" w:color="auto" w:sz="4" w:space="0"/>
            </w:tcBorders>
          </w:tcPr>
          <w:p w14:paraId="540A0850">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61EB2F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EF53342">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徐素娟</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1FBC6D47">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1AB911D7">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48EE1ECD">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贵港市人民医院</w:t>
            </w:r>
          </w:p>
        </w:tc>
        <w:tc>
          <w:tcPr>
            <w:tcW w:w="3674" w:type="dxa"/>
            <w:tcBorders>
              <w:top w:val="single" w:color="auto" w:sz="4" w:space="0"/>
              <w:left w:val="single" w:color="auto" w:sz="4" w:space="0"/>
              <w:bottom w:val="single" w:color="auto" w:sz="4" w:space="0"/>
              <w:right w:val="single" w:color="auto" w:sz="4" w:space="0"/>
            </w:tcBorders>
          </w:tcPr>
          <w:p w14:paraId="72207310">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1BB7D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6951F58">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甘玉芬</w:t>
            </w:r>
          </w:p>
        </w:tc>
        <w:tc>
          <w:tcPr>
            <w:tcW w:w="1426" w:type="dxa"/>
            <w:tcBorders>
              <w:top w:val="single" w:color="auto" w:sz="4" w:space="0"/>
              <w:left w:val="single" w:color="auto" w:sz="4" w:space="0"/>
              <w:bottom w:val="single" w:color="auto" w:sz="4" w:space="0"/>
              <w:right w:val="single" w:color="auto" w:sz="4" w:space="0"/>
            </w:tcBorders>
            <w:vAlign w:val="center"/>
          </w:tcPr>
          <w:p w14:paraId="71E026F7">
            <w:pPr>
              <w:ind w:firstLine="0" w:firstLineChars="0"/>
              <w:jc w:val="center"/>
              <w:rPr>
                <w:rFonts w:hint="eastAsia" w:cs="仿宋_GB2312"/>
                <w:color w:val="auto"/>
                <w:sz w:val="24"/>
                <w:highlight w:val="none"/>
              </w:rPr>
            </w:pPr>
            <w:r>
              <w:rPr>
                <w:rFonts w:hint="eastAsia" w:cs="仿宋_GB2312"/>
                <w:color w:val="auto"/>
                <w:sz w:val="24"/>
                <w:highlight w:val="none"/>
              </w:rPr>
              <w:t>护士长/主任护师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3F43D42E">
            <w:pPr>
              <w:ind w:firstLine="0" w:firstLineChars="0"/>
              <w:jc w:val="center"/>
              <w:rPr>
                <w:rFonts w:hint="eastAsia" w:cs="仿宋_GB2312"/>
                <w:color w:val="auto"/>
                <w:sz w:val="24"/>
                <w:highlight w:val="none"/>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282FCBB1">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百色市人民医院</w:t>
            </w:r>
          </w:p>
        </w:tc>
        <w:tc>
          <w:tcPr>
            <w:tcW w:w="3674" w:type="dxa"/>
            <w:tcBorders>
              <w:top w:val="single" w:color="auto" w:sz="4" w:space="0"/>
              <w:left w:val="single" w:color="auto" w:sz="4" w:space="0"/>
              <w:bottom w:val="single" w:color="auto" w:sz="4" w:space="0"/>
              <w:right w:val="single" w:color="auto" w:sz="4" w:space="0"/>
            </w:tcBorders>
          </w:tcPr>
          <w:p w14:paraId="4CA61D1E">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55D1E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7AF6917">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涂文婷</w:t>
            </w:r>
          </w:p>
        </w:tc>
        <w:tc>
          <w:tcPr>
            <w:tcW w:w="1426" w:type="dxa"/>
            <w:tcBorders>
              <w:top w:val="single" w:color="auto" w:sz="4" w:space="0"/>
              <w:left w:val="single" w:color="auto" w:sz="4" w:space="0"/>
              <w:bottom w:val="single" w:color="auto" w:sz="4" w:space="0"/>
              <w:right w:val="single" w:color="auto" w:sz="4" w:space="0"/>
            </w:tcBorders>
            <w:vAlign w:val="center"/>
          </w:tcPr>
          <w:p w14:paraId="1F5F81D5">
            <w:pPr>
              <w:ind w:firstLine="0" w:firstLineChars="0"/>
              <w:jc w:val="center"/>
              <w:rPr>
                <w:rFonts w:hint="eastAsia" w:cs="仿宋_GB2312"/>
                <w:color w:val="auto"/>
                <w:sz w:val="24"/>
                <w:highlight w:val="none"/>
              </w:rPr>
            </w:pPr>
            <w:r>
              <w:rPr>
                <w:rFonts w:hint="eastAsia" w:cs="仿宋_GB2312"/>
                <w:color w:val="auto"/>
                <w:sz w:val="24"/>
                <w:highlight w:val="none"/>
              </w:rPr>
              <w:t>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2E048034">
            <w:pPr>
              <w:ind w:firstLine="0" w:firstLineChars="0"/>
              <w:jc w:val="center"/>
              <w:rPr>
                <w:rFonts w:hint="eastAsia" w:cs="仿宋_GB2312"/>
                <w:color w:val="auto"/>
                <w:sz w:val="24"/>
                <w:highlight w:val="none"/>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7DB70ABA">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浙江省温州医科大学附属第一医院</w:t>
            </w:r>
          </w:p>
        </w:tc>
        <w:tc>
          <w:tcPr>
            <w:tcW w:w="3674" w:type="dxa"/>
            <w:tcBorders>
              <w:top w:val="single" w:color="auto" w:sz="4" w:space="0"/>
              <w:left w:val="single" w:color="auto" w:sz="4" w:space="0"/>
              <w:bottom w:val="single" w:color="auto" w:sz="4" w:space="0"/>
              <w:right w:val="single" w:color="auto" w:sz="4" w:space="0"/>
            </w:tcBorders>
          </w:tcPr>
          <w:p w14:paraId="7223787B">
            <w:pPr>
              <w:ind w:firstLine="240" w:firstLineChars="100"/>
              <w:jc w:val="left"/>
              <w:rPr>
                <w:rFonts w:hint="eastAsia" w:cs="仿宋_GB2312"/>
                <w:color w:val="auto"/>
                <w:sz w:val="24"/>
                <w:highlight w:val="none"/>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3678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12634D6">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何佩佩</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61C5E515">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护士长</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7FF253D5">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肾脏病护理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0E87003A">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浙江大学医学院附属第一医院</w:t>
            </w:r>
          </w:p>
        </w:tc>
        <w:tc>
          <w:tcPr>
            <w:tcW w:w="3674" w:type="dxa"/>
            <w:tcBorders>
              <w:top w:val="single" w:color="auto" w:sz="4" w:space="0"/>
              <w:left w:val="single" w:color="auto" w:sz="4" w:space="0"/>
              <w:bottom w:val="single" w:color="auto" w:sz="4" w:space="0"/>
              <w:right w:val="single" w:color="auto" w:sz="4" w:space="0"/>
            </w:tcBorders>
          </w:tcPr>
          <w:p w14:paraId="6C206FA2">
            <w:pPr>
              <w:ind w:firstLine="240" w:firstLineChars="100"/>
              <w:jc w:val="left"/>
              <w:rPr>
                <w:rFonts w:hint="eastAsia" w:cs="仿宋_GB2312"/>
                <w:color w:val="auto"/>
                <w:sz w:val="24"/>
                <w:highlight w:val="none"/>
              </w:rPr>
            </w:pPr>
            <w:bookmarkStart w:id="0" w:name="OLE_LINK5"/>
            <w:r>
              <w:rPr>
                <w:rFonts w:hint="eastAsia" w:cs="仿宋_GB2312"/>
                <w:color w:val="auto"/>
                <w:sz w:val="24"/>
                <w:highlight w:val="none"/>
                <w:lang w:bidi="ar"/>
              </w:rPr>
              <w:t>参与标准文本及编制说明的编写；组织开展标准征求意见会；对标准实施情况进行总结分析，不断对标准提出修正意见</w:t>
            </w:r>
            <w:bookmarkEnd w:id="0"/>
          </w:p>
        </w:tc>
      </w:tr>
      <w:tr w14:paraId="5F7C1F5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6A812C4">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王谨</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18E4B017">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护士长/主管护师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18440F64">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肾内科护理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060F292D">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中山市中医院</w:t>
            </w:r>
          </w:p>
        </w:tc>
        <w:tc>
          <w:tcPr>
            <w:tcW w:w="3674" w:type="dxa"/>
            <w:tcBorders>
              <w:top w:val="single" w:color="auto" w:sz="4" w:space="0"/>
              <w:left w:val="single" w:color="auto" w:sz="4" w:space="0"/>
              <w:bottom w:val="single" w:color="auto" w:sz="4" w:space="0"/>
              <w:right w:val="single" w:color="auto" w:sz="4" w:space="0"/>
            </w:tcBorders>
          </w:tcPr>
          <w:p w14:paraId="0EAB5F85">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13AA2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37CA7ADC">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李浩宇</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6DD81D3D">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科护士长</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16E6ACC4">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护理管理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2A7E9B91">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广西医科大学第二附属医院</w:t>
            </w:r>
          </w:p>
        </w:tc>
        <w:tc>
          <w:tcPr>
            <w:tcW w:w="3674" w:type="dxa"/>
            <w:tcBorders>
              <w:top w:val="single" w:color="auto" w:sz="4" w:space="0"/>
              <w:left w:val="single" w:color="auto" w:sz="4" w:space="0"/>
              <w:bottom w:val="single" w:color="auto" w:sz="4" w:space="0"/>
              <w:right w:val="single" w:color="auto" w:sz="4" w:space="0"/>
            </w:tcBorders>
          </w:tcPr>
          <w:p w14:paraId="5622E4A3">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95EB18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2CDD7E1">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曹芳</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2DDF8039">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7246C7FF">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护理学</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207388CF">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福州大学附属省立医院</w:t>
            </w:r>
          </w:p>
        </w:tc>
        <w:tc>
          <w:tcPr>
            <w:tcW w:w="3674" w:type="dxa"/>
            <w:tcBorders>
              <w:top w:val="single" w:color="auto" w:sz="4" w:space="0"/>
              <w:left w:val="single" w:color="auto" w:sz="4" w:space="0"/>
              <w:bottom w:val="single" w:color="auto" w:sz="4" w:space="0"/>
              <w:right w:val="single" w:color="auto" w:sz="4" w:space="0"/>
            </w:tcBorders>
          </w:tcPr>
          <w:p w14:paraId="0B543AC1">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AD099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0CCDFA9">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王静</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4EAD0D8B">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科护士长/主管护师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5FED5B59">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肾脏病护理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2FD64012">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南昌大学第一附属医院</w:t>
            </w:r>
          </w:p>
        </w:tc>
        <w:tc>
          <w:tcPr>
            <w:tcW w:w="3674" w:type="dxa"/>
            <w:tcBorders>
              <w:top w:val="single" w:color="auto" w:sz="4" w:space="0"/>
              <w:left w:val="single" w:color="auto" w:sz="4" w:space="0"/>
              <w:bottom w:val="single" w:color="auto" w:sz="4" w:space="0"/>
              <w:right w:val="single" w:color="auto" w:sz="4" w:space="0"/>
            </w:tcBorders>
          </w:tcPr>
          <w:p w14:paraId="4964CB1B">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B0E74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F8E99E4">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洪波</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4CB2AE0C">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7DCBE3B0">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11EAD545">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赣南医科大学第一附属医院</w:t>
            </w:r>
          </w:p>
        </w:tc>
        <w:tc>
          <w:tcPr>
            <w:tcW w:w="3674" w:type="dxa"/>
            <w:tcBorders>
              <w:top w:val="single" w:color="auto" w:sz="4" w:space="0"/>
              <w:left w:val="single" w:color="auto" w:sz="4" w:space="0"/>
              <w:bottom w:val="single" w:color="auto" w:sz="4" w:space="0"/>
              <w:right w:val="single" w:color="auto" w:sz="4" w:space="0"/>
            </w:tcBorders>
          </w:tcPr>
          <w:p w14:paraId="79047521">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3E64A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349C8E2B">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宋文玉</w:t>
            </w:r>
          </w:p>
        </w:tc>
        <w:tc>
          <w:tcPr>
            <w:tcW w:w="1426" w:type="dxa"/>
            <w:tcBorders>
              <w:top w:val="single" w:color="auto" w:sz="4" w:space="0"/>
              <w:left w:val="single" w:color="auto" w:sz="4" w:space="0"/>
              <w:bottom w:val="single" w:color="auto" w:sz="4" w:space="0"/>
              <w:right w:val="single" w:color="auto" w:sz="4" w:space="0"/>
            </w:tcBorders>
            <w:vAlign w:val="center"/>
          </w:tcPr>
          <w:p w14:paraId="7506C702">
            <w:pPr>
              <w:ind w:firstLine="0" w:firstLineChars="0"/>
              <w:jc w:val="center"/>
              <w:rPr>
                <w:rFonts w:hint="eastAsia" w:cs="仿宋_GB2312"/>
                <w:color w:val="auto"/>
                <w:sz w:val="24"/>
                <w:highlight w:val="none"/>
              </w:rPr>
            </w:pPr>
            <w:r>
              <w:rPr>
                <w:rFonts w:hint="eastAsia" w:cs="仿宋_GB2312"/>
                <w:color w:val="auto"/>
                <w:sz w:val="24"/>
                <w:highlight w:val="none"/>
              </w:rPr>
              <w:t>副主任医师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200D8B31">
            <w:pPr>
              <w:ind w:firstLine="0" w:firstLineChars="0"/>
              <w:jc w:val="center"/>
              <w:rPr>
                <w:rFonts w:hint="eastAsia" w:cs="仿宋_GB2312"/>
                <w:color w:val="auto"/>
                <w:sz w:val="24"/>
                <w:highlight w:val="none"/>
              </w:rPr>
            </w:pPr>
            <w:r>
              <w:rPr>
                <w:rFonts w:hint="eastAsia" w:cs="仿宋_GB2312"/>
                <w:color w:val="auto"/>
                <w:sz w:val="24"/>
                <w:highlight w:val="none"/>
              </w:rPr>
              <w:t>肾脏病</w:t>
            </w:r>
          </w:p>
        </w:tc>
        <w:tc>
          <w:tcPr>
            <w:tcW w:w="2038" w:type="dxa"/>
            <w:tcBorders>
              <w:top w:val="single" w:color="auto" w:sz="4" w:space="0"/>
              <w:left w:val="single" w:color="auto" w:sz="4" w:space="0"/>
              <w:bottom w:val="single" w:color="auto" w:sz="4" w:space="0"/>
              <w:right w:val="single" w:color="auto" w:sz="4" w:space="0"/>
            </w:tcBorders>
            <w:vAlign w:val="center"/>
          </w:tcPr>
          <w:p w14:paraId="42A1AD31">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贵州医科大学附属医院</w:t>
            </w:r>
          </w:p>
        </w:tc>
        <w:tc>
          <w:tcPr>
            <w:tcW w:w="3674" w:type="dxa"/>
            <w:tcBorders>
              <w:top w:val="single" w:color="auto" w:sz="4" w:space="0"/>
              <w:left w:val="single" w:color="auto" w:sz="4" w:space="0"/>
              <w:bottom w:val="single" w:color="auto" w:sz="4" w:space="0"/>
              <w:right w:val="single" w:color="auto" w:sz="4" w:space="0"/>
            </w:tcBorders>
          </w:tcPr>
          <w:p w14:paraId="4F7E1B33">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271AD0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4CB657A">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孙维文</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2A00CD9E">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7BDCE722">
            <w:pPr>
              <w:ind w:firstLine="0" w:firstLineChars="0"/>
              <w:jc w:val="center"/>
              <w:rPr>
                <w:rFonts w:hint="eastAsia" w:cs="仿宋_GB2312"/>
                <w:color w:val="auto"/>
                <w:sz w:val="24"/>
                <w:highlight w:val="none"/>
              </w:rPr>
            </w:pPr>
            <w:r>
              <w:rPr>
                <w:rFonts w:hint="eastAsia" w:cs="仿宋_GB2312"/>
                <w:color w:val="auto"/>
                <w:sz w:val="24"/>
                <w:highlight w:val="none"/>
              </w:rPr>
              <w:t>肾内科护理管理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649C0127">
            <w:pPr>
              <w:ind w:firstLine="0" w:firstLineChars="0"/>
              <w:jc w:val="center"/>
              <w:rPr>
                <w:rFonts w:hint="eastAsia" w:cs="仿宋_GB2312"/>
                <w:color w:val="auto"/>
                <w:sz w:val="24"/>
                <w:highlight w:val="none"/>
              </w:rPr>
            </w:pPr>
            <w:r>
              <w:rPr>
                <w:rFonts w:hint="eastAsia" w:cs="仿宋_GB2312"/>
                <w:color w:val="auto"/>
                <w:sz w:val="24"/>
                <w:highlight w:val="none"/>
              </w:rPr>
              <w:t>瑞安市人民医院</w:t>
            </w:r>
          </w:p>
        </w:tc>
        <w:tc>
          <w:tcPr>
            <w:tcW w:w="3674" w:type="dxa"/>
            <w:tcBorders>
              <w:top w:val="single" w:color="auto" w:sz="4" w:space="0"/>
              <w:left w:val="single" w:color="auto" w:sz="4" w:space="0"/>
              <w:bottom w:val="single" w:color="auto" w:sz="4" w:space="0"/>
              <w:right w:val="single" w:color="auto" w:sz="4" w:space="0"/>
            </w:tcBorders>
          </w:tcPr>
          <w:p w14:paraId="4FE53478">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04F9C4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AC6A0C6">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朱虹</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4112BC06">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06C401D5">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护理管理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2886FF14">
            <w:pPr>
              <w:widowControl/>
              <w:ind w:firstLine="0" w:firstLineChars="0"/>
              <w:jc w:val="center"/>
              <w:textAlignment w:val="center"/>
              <w:rPr>
                <w:rFonts w:hint="eastAsia" w:cs="仿宋_GB2312"/>
                <w:color w:val="auto"/>
                <w:sz w:val="24"/>
                <w:highlight w:val="none"/>
              </w:rPr>
            </w:pPr>
            <w:r>
              <w:rPr>
                <w:rFonts w:hint="eastAsia" w:cs="仿宋_GB2312"/>
                <w:color w:val="auto"/>
                <w:kern w:val="0"/>
                <w:sz w:val="24"/>
                <w:highlight w:val="none"/>
                <w:lang w:bidi="ar"/>
              </w:rPr>
              <w:t>丽水市中心医院</w:t>
            </w:r>
          </w:p>
        </w:tc>
        <w:tc>
          <w:tcPr>
            <w:tcW w:w="3674" w:type="dxa"/>
            <w:tcBorders>
              <w:top w:val="single" w:color="auto" w:sz="4" w:space="0"/>
              <w:left w:val="single" w:color="auto" w:sz="4" w:space="0"/>
              <w:bottom w:val="single" w:color="auto" w:sz="4" w:space="0"/>
              <w:right w:val="single" w:color="auto" w:sz="4" w:space="0"/>
            </w:tcBorders>
          </w:tcPr>
          <w:p w14:paraId="5DF46CAB">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01CBEA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CE5B798">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刘娥</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13C1365C">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764F2FE0">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56EC9704">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广西中医药大学第一附属医院</w:t>
            </w:r>
          </w:p>
        </w:tc>
        <w:tc>
          <w:tcPr>
            <w:tcW w:w="3674" w:type="dxa"/>
            <w:tcBorders>
              <w:top w:val="single" w:color="auto" w:sz="4" w:space="0"/>
              <w:left w:val="single" w:color="auto" w:sz="4" w:space="0"/>
              <w:bottom w:val="single" w:color="auto" w:sz="4" w:space="0"/>
              <w:right w:val="single" w:color="auto" w:sz="4" w:space="0"/>
            </w:tcBorders>
          </w:tcPr>
          <w:p w14:paraId="4D6A4AFF">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3E63226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6F43193">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余坤</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611E9225">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6CD979AF">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6E1E20D6">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柳州市人民医院</w:t>
            </w:r>
          </w:p>
        </w:tc>
        <w:tc>
          <w:tcPr>
            <w:tcW w:w="3674" w:type="dxa"/>
            <w:tcBorders>
              <w:top w:val="single" w:color="auto" w:sz="4" w:space="0"/>
              <w:left w:val="single" w:color="auto" w:sz="4" w:space="0"/>
              <w:bottom w:val="single" w:color="auto" w:sz="4" w:space="0"/>
              <w:right w:val="single" w:color="auto" w:sz="4" w:space="0"/>
            </w:tcBorders>
          </w:tcPr>
          <w:p w14:paraId="14DEB219">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189EDE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C2BA188">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赵璐</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30E0CFA0">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3B89F249">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护理专业</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3620A719">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玉林市红十字会医院</w:t>
            </w:r>
          </w:p>
        </w:tc>
        <w:tc>
          <w:tcPr>
            <w:tcW w:w="3674" w:type="dxa"/>
            <w:tcBorders>
              <w:top w:val="single" w:color="auto" w:sz="4" w:space="0"/>
              <w:left w:val="single" w:color="auto" w:sz="4" w:space="0"/>
              <w:bottom w:val="single" w:color="auto" w:sz="4" w:space="0"/>
              <w:right w:val="single" w:color="auto" w:sz="4" w:space="0"/>
            </w:tcBorders>
          </w:tcPr>
          <w:p w14:paraId="1DB735FD">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108AF0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1C92D82">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阮开娇</w:t>
            </w:r>
          </w:p>
        </w:tc>
        <w:tc>
          <w:tcPr>
            <w:tcW w:w="1426" w:type="dxa"/>
            <w:tcBorders>
              <w:top w:val="single" w:color="auto" w:sz="4" w:space="0"/>
              <w:left w:val="single" w:color="auto" w:sz="4" w:space="0"/>
              <w:bottom w:val="single" w:color="auto" w:sz="4" w:space="0"/>
              <w:right w:val="single" w:color="auto" w:sz="4" w:space="0"/>
            </w:tcBorders>
            <w:vAlign w:val="center"/>
          </w:tcPr>
          <w:p w14:paraId="3DE3A97F">
            <w:pPr>
              <w:ind w:firstLine="0" w:firstLineChars="0"/>
              <w:jc w:val="center"/>
              <w:rPr>
                <w:rFonts w:hint="eastAsia" w:cs="仿宋_GB2312"/>
                <w:color w:val="auto"/>
                <w:sz w:val="24"/>
                <w:highlight w:val="none"/>
              </w:rPr>
            </w:pPr>
            <w:r>
              <w:rPr>
                <w:rFonts w:hint="eastAsia" w:cs="仿宋_GB2312"/>
                <w:color w:val="auto"/>
                <w:sz w:val="24"/>
                <w:highlight w:val="none"/>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61EA3BBC">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护理专业</w:t>
            </w:r>
          </w:p>
        </w:tc>
        <w:tc>
          <w:tcPr>
            <w:tcW w:w="2038" w:type="dxa"/>
            <w:tcBorders>
              <w:top w:val="single" w:color="auto" w:sz="4" w:space="0"/>
              <w:left w:val="single" w:color="auto" w:sz="4" w:space="0"/>
              <w:bottom w:val="single" w:color="auto" w:sz="4" w:space="0"/>
              <w:right w:val="single" w:color="auto" w:sz="4" w:space="0"/>
            </w:tcBorders>
            <w:vAlign w:val="center"/>
          </w:tcPr>
          <w:p w14:paraId="720289E3">
            <w:pPr>
              <w:spacing w:line="400" w:lineRule="exact"/>
              <w:ind w:firstLine="0" w:firstLineChars="0"/>
              <w:jc w:val="center"/>
              <w:rPr>
                <w:rFonts w:hint="eastAsia" w:cs="仿宋_GB2312"/>
                <w:color w:val="auto"/>
                <w:sz w:val="24"/>
                <w:highlight w:val="none"/>
              </w:rPr>
            </w:pPr>
            <w:r>
              <w:rPr>
                <w:rFonts w:hint="eastAsia" w:cs="仿宋_GB2312"/>
                <w:color w:val="auto"/>
                <w:kern w:val="0"/>
                <w:sz w:val="24"/>
                <w:highlight w:val="none"/>
                <w:lang w:bidi="ar"/>
              </w:rPr>
              <w:t>玉林市第一人民医院</w:t>
            </w:r>
          </w:p>
        </w:tc>
        <w:tc>
          <w:tcPr>
            <w:tcW w:w="3674" w:type="dxa"/>
            <w:tcBorders>
              <w:top w:val="single" w:color="auto" w:sz="4" w:space="0"/>
              <w:left w:val="single" w:color="auto" w:sz="4" w:space="0"/>
              <w:bottom w:val="single" w:color="auto" w:sz="4" w:space="0"/>
              <w:right w:val="single" w:color="auto" w:sz="4" w:space="0"/>
            </w:tcBorders>
          </w:tcPr>
          <w:p w14:paraId="6670CD90">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02305D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3D2B8552">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吕蔚</w:t>
            </w:r>
          </w:p>
        </w:tc>
        <w:tc>
          <w:tcPr>
            <w:tcW w:w="1426" w:type="dxa"/>
            <w:tcBorders>
              <w:top w:val="single" w:color="auto" w:sz="4" w:space="0"/>
              <w:left w:val="single" w:color="auto" w:sz="4" w:space="0"/>
              <w:bottom w:val="single" w:color="auto" w:sz="4" w:space="0"/>
              <w:right w:val="single" w:color="auto" w:sz="4" w:space="0"/>
            </w:tcBorders>
            <w:vAlign w:val="center"/>
          </w:tcPr>
          <w:p w14:paraId="49A67860">
            <w:pPr>
              <w:ind w:firstLine="0" w:firstLineChars="0"/>
              <w:jc w:val="center"/>
              <w:rPr>
                <w:rFonts w:hint="eastAsia" w:cs="仿宋_GB2312"/>
                <w:color w:val="auto"/>
                <w:sz w:val="24"/>
                <w:highlight w:val="none"/>
              </w:rPr>
            </w:pPr>
            <w:r>
              <w:rPr>
                <w:rFonts w:hint="eastAsia" w:cs="仿宋_GB2312"/>
                <w:color w:val="auto"/>
                <w:sz w:val="24"/>
                <w:highlight w:val="none"/>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1264CFB2">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护理专业</w:t>
            </w:r>
          </w:p>
        </w:tc>
        <w:tc>
          <w:tcPr>
            <w:tcW w:w="2038" w:type="dxa"/>
            <w:tcBorders>
              <w:top w:val="single" w:color="auto" w:sz="4" w:space="0"/>
              <w:left w:val="single" w:color="auto" w:sz="4" w:space="0"/>
              <w:bottom w:val="single" w:color="auto" w:sz="4" w:space="0"/>
              <w:right w:val="single" w:color="auto" w:sz="4" w:space="0"/>
            </w:tcBorders>
            <w:vAlign w:val="center"/>
          </w:tcPr>
          <w:p w14:paraId="4080AAD1">
            <w:pPr>
              <w:spacing w:line="400" w:lineRule="exact"/>
              <w:ind w:firstLine="0" w:firstLineChars="0"/>
              <w:jc w:val="center"/>
              <w:rPr>
                <w:rFonts w:hint="eastAsia" w:cs="仿宋_GB2312"/>
                <w:color w:val="auto"/>
                <w:sz w:val="24"/>
                <w:highlight w:val="none"/>
              </w:rPr>
            </w:pPr>
            <w:r>
              <w:rPr>
                <w:rFonts w:hint="eastAsia" w:cs="仿宋_GB2312"/>
                <w:color w:val="auto"/>
                <w:kern w:val="0"/>
                <w:sz w:val="24"/>
                <w:highlight w:val="none"/>
                <w:lang w:bidi="ar"/>
              </w:rPr>
              <w:t>玉林市第一人民医院</w:t>
            </w:r>
          </w:p>
        </w:tc>
        <w:tc>
          <w:tcPr>
            <w:tcW w:w="3674" w:type="dxa"/>
            <w:tcBorders>
              <w:top w:val="single" w:color="auto" w:sz="4" w:space="0"/>
              <w:left w:val="single" w:color="auto" w:sz="4" w:space="0"/>
              <w:bottom w:val="single" w:color="auto" w:sz="4" w:space="0"/>
              <w:right w:val="single" w:color="auto" w:sz="4" w:space="0"/>
            </w:tcBorders>
          </w:tcPr>
          <w:p w14:paraId="2325F4E3">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05C184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4833B61">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文玉先</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0989C3B2">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副护士长/副主任护师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05254AC6">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02B24FDF">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桂林医科大学第一附属医院</w:t>
            </w:r>
          </w:p>
        </w:tc>
        <w:tc>
          <w:tcPr>
            <w:tcW w:w="3674" w:type="dxa"/>
            <w:tcBorders>
              <w:top w:val="single" w:color="auto" w:sz="4" w:space="0"/>
              <w:left w:val="single" w:color="auto" w:sz="4" w:space="0"/>
              <w:bottom w:val="single" w:color="auto" w:sz="4" w:space="0"/>
              <w:right w:val="single" w:color="auto" w:sz="4" w:space="0"/>
            </w:tcBorders>
          </w:tcPr>
          <w:p w14:paraId="0DAECB7F">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107B32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C0250C4">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严笛芸</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2FE1631E">
            <w:pPr>
              <w:ind w:firstLine="0" w:firstLineChars="0"/>
              <w:jc w:val="center"/>
              <w:rPr>
                <w:rFonts w:hint="eastAsia" w:cs="仿宋_GB2312"/>
                <w:color w:val="auto"/>
                <w:sz w:val="24"/>
                <w:highlight w:val="none"/>
              </w:rPr>
            </w:pPr>
            <w:r>
              <w:rPr>
                <w:rFonts w:hint="eastAsia" w:cs="仿宋_GB2312"/>
                <w:color w:val="auto"/>
                <w:sz w:val="24"/>
                <w:highlight w:val="none"/>
              </w:rPr>
              <w:t>护士长/主管护师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74A44FBC">
            <w:pPr>
              <w:ind w:firstLine="0" w:firstLineChars="0"/>
              <w:jc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5E93D755">
            <w:pPr>
              <w:ind w:firstLine="0" w:firstLineChars="0"/>
              <w:jc w:val="center"/>
              <w:rPr>
                <w:rFonts w:hint="eastAsia" w:cs="仿宋_GB2312"/>
                <w:color w:val="auto"/>
                <w:sz w:val="24"/>
                <w:highlight w:val="none"/>
              </w:rPr>
            </w:pPr>
            <w:r>
              <w:rPr>
                <w:rFonts w:hint="eastAsia" w:cs="仿宋_GB2312"/>
                <w:color w:val="auto"/>
                <w:sz w:val="24"/>
                <w:highlight w:val="none"/>
              </w:rPr>
              <w:t>广西柳钢医疗有限公司医院</w:t>
            </w:r>
          </w:p>
        </w:tc>
        <w:tc>
          <w:tcPr>
            <w:tcW w:w="3674" w:type="dxa"/>
            <w:tcBorders>
              <w:top w:val="single" w:color="auto" w:sz="4" w:space="0"/>
              <w:left w:val="single" w:color="auto" w:sz="4" w:space="0"/>
              <w:bottom w:val="single" w:color="auto" w:sz="4" w:space="0"/>
              <w:right w:val="single" w:color="auto" w:sz="4" w:space="0"/>
            </w:tcBorders>
          </w:tcPr>
          <w:p w14:paraId="68B8B16B">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17AFD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13B46C7">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庄光群</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3A173362">
            <w:pPr>
              <w:ind w:firstLine="0" w:firstLineChars="0"/>
              <w:jc w:val="center"/>
              <w:rPr>
                <w:rFonts w:hint="eastAsia" w:cs="仿宋_GB2312"/>
                <w:color w:val="auto"/>
                <w:sz w:val="24"/>
                <w:highlight w:val="none"/>
              </w:rPr>
            </w:pPr>
            <w:r>
              <w:rPr>
                <w:rFonts w:hint="eastAsia" w:cs="仿宋_GB2312"/>
                <w:color w:val="auto"/>
                <w:sz w:val="24"/>
                <w:highlight w:val="none"/>
              </w:rPr>
              <w:t>护士长/主管护师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271B1071">
            <w:pPr>
              <w:ind w:firstLine="0" w:firstLineChars="0"/>
              <w:jc w:val="center"/>
              <w:rPr>
                <w:rFonts w:hint="eastAsia" w:cs="仿宋_GB2312"/>
                <w:color w:val="auto"/>
                <w:kern w:val="0"/>
                <w:sz w:val="24"/>
                <w:highlight w:val="none"/>
                <w:lang w:bidi="ar"/>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545290B9">
            <w:pPr>
              <w:ind w:firstLine="0" w:firstLineChars="0"/>
              <w:jc w:val="center"/>
              <w:rPr>
                <w:rFonts w:hint="eastAsia" w:cs="仿宋_GB2312"/>
                <w:color w:val="auto"/>
                <w:sz w:val="24"/>
                <w:highlight w:val="none"/>
              </w:rPr>
            </w:pPr>
            <w:r>
              <w:rPr>
                <w:rFonts w:hint="eastAsia" w:cs="仿宋_GB2312"/>
                <w:color w:val="auto"/>
                <w:sz w:val="24"/>
                <w:highlight w:val="none"/>
              </w:rPr>
              <w:t>中国科大附属第一医院（安徽省立医院）</w:t>
            </w:r>
          </w:p>
        </w:tc>
        <w:tc>
          <w:tcPr>
            <w:tcW w:w="3674" w:type="dxa"/>
            <w:tcBorders>
              <w:top w:val="single" w:color="auto" w:sz="4" w:space="0"/>
              <w:left w:val="single" w:color="auto" w:sz="4" w:space="0"/>
              <w:bottom w:val="single" w:color="auto" w:sz="4" w:space="0"/>
              <w:right w:val="single" w:color="auto" w:sz="4" w:space="0"/>
            </w:tcBorders>
          </w:tcPr>
          <w:p w14:paraId="7E86E298">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0AB373D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FAA31F3">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王媚</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4F4B299E">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护士长/副主任护师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11887349">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临床护理、护理管理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3ABB65AD">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平南县人民医院</w:t>
            </w:r>
          </w:p>
        </w:tc>
        <w:tc>
          <w:tcPr>
            <w:tcW w:w="3674" w:type="dxa"/>
            <w:tcBorders>
              <w:top w:val="single" w:color="auto" w:sz="4" w:space="0"/>
              <w:left w:val="single" w:color="auto" w:sz="4" w:space="0"/>
              <w:bottom w:val="single" w:color="auto" w:sz="4" w:space="0"/>
              <w:right w:val="single" w:color="auto" w:sz="4" w:space="0"/>
            </w:tcBorders>
          </w:tcPr>
          <w:p w14:paraId="4238737E">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4059E5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1704C30">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林炎虹</w:t>
            </w:r>
          </w:p>
        </w:tc>
        <w:tc>
          <w:tcPr>
            <w:tcW w:w="1426" w:type="dxa"/>
            <w:tcBorders>
              <w:top w:val="single" w:color="auto" w:sz="4" w:space="0"/>
              <w:left w:val="single" w:color="auto" w:sz="4" w:space="0"/>
              <w:bottom w:val="single" w:color="auto" w:sz="4" w:space="0"/>
              <w:right w:val="single" w:color="auto" w:sz="4" w:space="0"/>
            </w:tcBorders>
            <w:vAlign w:val="center"/>
          </w:tcPr>
          <w:p w14:paraId="6C2786AE">
            <w:pPr>
              <w:ind w:firstLine="0" w:firstLineChars="0"/>
              <w:jc w:val="center"/>
              <w:rPr>
                <w:rFonts w:hint="eastAsia" w:cs="仿宋_GB2312"/>
                <w:color w:val="auto"/>
                <w:sz w:val="24"/>
                <w:highlight w:val="none"/>
              </w:rPr>
            </w:pPr>
            <w:r>
              <w:rPr>
                <w:rFonts w:hint="eastAsia" w:cs="仿宋_GB2312"/>
                <w:color w:val="auto"/>
                <w:sz w:val="24"/>
                <w:highlight w:val="none"/>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4366B8B9">
            <w:pPr>
              <w:tabs>
                <w:tab w:val="left" w:pos="286"/>
              </w:tabs>
              <w:ind w:firstLine="0" w:firstLineChars="0"/>
              <w:jc w:val="left"/>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56C96041">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南方医科大学南方医院</w:t>
            </w:r>
          </w:p>
        </w:tc>
        <w:tc>
          <w:tcPr>
            <w:tcW w:w="3674" w:type="dxa"/>
            <w:tcBorders>
              <w:top w:val="single" w:color="auto" w:sz="4" w:space="0"/>
              <w:left w:val="single" w:color="auto" w:sz="4" w:space="0"/>
              <w:bottom w:val="single" w:color="auto" w:sz="4" w:space="0"/>
              <w:right w:val="single" w:color="auto" w:sz="4" w:space="0"/>
            </w:tcBorders>
          </w:tcPr>
          <w:p w14:paraId="067E8FA8">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6BF3F4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3B495A3">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陈惟英</w:t>
            </w:r>
          </w:p>
        </w:tc>
        <w:tc>
          <w:tcPr>
            <w:tcW w:w="1426" w:type="dxa"/>
            <w:tcBorders>
              <w:top w:val="single" w:color="auto" w:sz="4" w:space="0"/>
              <w:left w:val="single" w:color="auto" w:sz="4" w:space="0"/>
              <w:bottom w:val="single" w:color="auto" w:sz="4" w:space="0"/>
              <w:right w:val="single" w:color="auto" w:sz="4" w:space="0"/>
            </w:tcBorders>
            <w:vAlign w:val="center"/>
          </w:tcPr>
          <w:p w14:paraId="51DD625C">
            <w:pPr>
              <w:ind w:firstLine="0" w:firstLineChars="0"/>
              <w:jc w:val="center"/>
              <w:rPr>
                <w:rFonts w:hint="eastAsia" w:cs="仿宋_GB2312"/>
                <w:color w:val="auto"/>
                <w:sz w:val="24"/>
                <w:highlight w:val="none"/>
              </w:rPr>
            </w:pPr>
            <w:r>
              <w:rPr>
                <w:rFonts w:hint="eastAsia" w:cs="仿宋_GB2312"/>
                <w:color w:val="auto"/>
                <w:sz w:val="24"/>
                <w:highlight w:val="none"/>
              </w:rPr>
              <w:t>护士长/副主任护师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35133C96">
            <w:pPr>
              <w:ind w:firstLine="0" w:firstLineChars="0"/>
              <w:jc w:val="center"/>
              <w:rPr>
                <w:rFonts w:hint="eastAsia" w:cs="仿宋_GB2312"/>
                <w:color w:val="auto"/>
                <w:sz w:val="24"/>
                <w:highlight w:val="none"/>
              </w:rPr>
            </w:pPr>
            <w:r>
              <w:rPr>
                <w:rFonts w:hint="eastAsia" w:cs="仿宋_GB2312"/>
                <w:color w:val="auto"/>
                <w:sz w:val="24"/>
                <w:highlight w:val="none"/>
              </w:rPr>
              <w:t>肾内科临床护理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3E08262D">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北海市第二人民医院</w:t>
            </w:r>
          </w:p>
        </w:tc>
        <w:tc>
          <w:tcPr>
            <w:tcW w:w="3674" w:type="dxa"/>
            <w:tcBorders>
              <w:top w:val="single" w:color="auto" w:sz="4" w:space="0"/>
              <w:left w:val="single" w:color="auto" w:sz="4" w:space="0"/>
              <w:bottom w:val="single" w:color="auto" w:sz="4" w:space="0"/>
              <w:right w:val="single" w:color="auto" w:sz="4" w:space="0"/>
            </w:tcBorders>
          </w:tcPr>
          <w:p w14:paraId="59AD6476">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4E8B84D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8E7B514">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韦丽莉</w:t>
            </w:r>
          </w:p>
        </w:tc>
        <w:tc>
          <w:tcPr>
            <w:tcW w:w="1426" w:type="dxa"/>
            <w:tcBorders>
              <w:top w:val="single" w:color="auto" w:sz="4" w:space="0"/>
              <w:left w:val="single" w:color="auto" w:sz="4" w:space="0"/>
              <w:bottom w:val="single" w:color="auto" w:sz="4" w:space="0"/>
              <w:right w:val="single" w:color="auto" w:sz="4" w:space="0"/>
            </w:tcBorders>
            <w:vAlign w:val="center"/>
          </w:tcPr>
          <w:p w14:paraId="3C1A8606">
            <w:pPr>
              <w:ind w:firstLine="0" w:firstLineChars="0"/>
              <w:jc w:val="center"/>
              <w:rPr>
                <w:rFonts w:hint="eastAsia" w:cs="仿宋_GB2312"/>
                <w:color w:val="auto"/>
                <w:sz w:val="24"/>
                <w:highlight w:val="none"/>
              </w:rPr>
            </w:pPr>
            <w:r>
              <w:rPr>
                <w:rFonts w:hint="eastAsia" w:cs="仿宋_GB2312"/>
                <w:color w:val="auto"/>
                <w:sz w:val="24"/>
                <w:highlight w:val="none"/>
              </w:rPr>
              <w:t>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60947223">
            <w:pPr>
              <w:ind w:firstLine="0" w:firstLineChars="0"/>
              <w:rPr>
                <w:rFonts w:hint="eastAsia" w:cs="仿宋_GB2312"/>
                <w:color w:val="auto"/>
                <w:sz w:val="24"/>
                <w:highlight w:val="none"/>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39EBA060">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柳州市工人医院</w:t>
            </w:r>
          </w:p>
        </w:tc>
        <w:tc>
          <w:tcPr>
            <w:tcW w:w="3674" w:type="dxa"/>
            <w:tcBorders>
              <w:top w:val="single" w:color="auto" w:sz="4" w:space="0"/>
              <w:left w:val="single" w:color="auto" w:sz="4" w:space="0"/>
              <w:bottom w:val="single" w:color="auto" w:sz="4" w:space="0"/>
              <w:right w:val="single" w:color="auto" w:sz="4" w:space="0"/>
            </w:tcBorders>
          </w:tcPr>
          <w:p w14:paraId="1F745FCA">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071AF3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9746913">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莫应玲</w:t>
            </w:r>
          </w:p>
        </w:tc>
        <w:tc>
          <w:tcPr>
            <w:tcW w:w="1426" w:type="dxa"/>
            <w:tcBorders>
              <w:top w:val="single" w:color="auto" w:sz="4" w:space="0"/>
              <w:left w:val="single" w:color="auto" w:sz="4" w:space="0"/>
              <w:bottom w:val="single" w:color="auto" w:sz="4" w:space="0"/>
              <w:right w:val="single" w:color="auto" w:sz="4" w:space="0"/>
            </w:tcBorders>
            <w:vAlign w:val="center"/>
          </w:tcPr>
          <w:p w14:paraId="61EFDB7C">
            <w:pPr>
              <w:ind w:firstLine="0" w:firstLineChars="0"/>
              <w:jc w:val="center"/>
              <w:rPr>
                <w:rFonts w:hint="eastAsia" w:cs="仿宋_GB2312"/>
                <w:color w:val="auto"/>
                <w:sz w:val="24"/>
                <w:highlight w:val="none"/>
              </w:rPr>
            </w:pPr>
            <w:r>
              <w:rPr>
                <w:rFonts w:hint="eastAsia" w:cs="仿宋_GB2312"/>
                <w:color w:val="auto"/>
                <w:sz w:val="24"/>
                <w:highlight w:val="none"/>
              </w:rPr>
              <w:t>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49C41F3B">
            <w:pPr>
              <w:ind w:firstLine="0" w:firstLineChars="0"/>
              <w:jc w:val="center"/>
              <w:rPr>
                <w:rFonts w:hint="eastAsia" w:cs="仿宋_GB2312"/>
                <w:color w:val="auto"/>
                <w:sz w:val="24"/>
                <w:highlight w:val="none"/>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03EEE597">
            <w:pPr>
              <w:spacing w:line="400" w:lineRule="exact"/>
              <w:ind w:firstLine="0" w:firstLineChars="0"/>
              <w:jc w:val="center"/>
              <w:rPr>
                <w:rFonts w:hint="eastAsia" w:cs="仿宋_GB2312"/>
                <w:color w:val="auto"/>
                <w:sz w:val="24"/>
                <w:highlight w:val="none"/>
              </w:rPr>
            </w:pPr>
            <w:r>
              <w:rPr>
                <w:rFonts w:hint="eastAsia" w:cs="仿宋_GB2312"/>
                <w:color w:val="auto"/>
                <w:sz w:val="24"/>
                <w:highlight w:val="none"/>
              </w:rPr>
              <w:t>柳州市工人医院</w:t>
            </w:r>
          </w:p>
        </w:tc>
        <w:tc>
          <w:tcPr>
            <w:tcW w:w="3674" w:type="dxa"/>
            <w:tcBorders>
              <w:top w:val="single" w:color="auto" w:sz="4" w:space="0"/>
              <w:left w:val="single" w:color="auto" w:sz="4" w:space="0"/>
              <w:bottom w:val="single" w:color="auto" w:sz="4" w:space="0"/>
              <w:right w:val="single" w:color="auto" w:sz="4" w:space="0"/>
            </w:tcBorders>
          </w:tcPr>
          <w:p w14:paraId="7EEA8C72">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0D09C6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FF3494D">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秦素艳</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234FE165">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肾内风湿免疫科护士长/大内科护士长</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4A86B20A">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临床护理</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2C68F503">
            <w:pPr>
              <w:widowControl/>
              <w:ind w:firstLine="0" w:firstLineChars="0"/>
              <w:jc w:val="left"/>
              <w:textAlignment w:val="center"/>
              <w:rPr>
                <w:rFonts w:hint="eastAsia" w:cs="仿宋_GB2312"/>
                <w:color w:val="auto"/>
                <w:sz w:val="24"/>
                <w:highlight w:val="none"/>
              </w:rPr>
            </w:pPr>
            <w:r>
              <w:rPr>
                <w:rFonts w:hint="eastAsia" w:cs="仿宋_GB2312"/>
                <w:color w:val="auto"/>
                <w:kern w:val="0"/>
                <w:sz w:val="24"/>
                <w:highlight w:val="none"/>
                <w:lang w:bidi="ar"/>
              </w:rPr>
              <w:t>广西壮族自治区民族医院</w:t>
            </w:r>
          </w:p>
        </w:tc>
        <w:tc>
          <w:tcPr>
            <w:tcW w:w="3674" w:type="dxa"/>
            <w:tcBorders>
              <w:top w:val="single" w:color="auto" w:sz="4" w:space="0"/>
              <w:left w:val="single" w:color="auto" w:sz="4" w:space="0"/>
              <w:bottom w:val="single" w:color="auto" w:sz="4" w:space="0"/>
              <w:right w:val="single" w:color="auto" w:sz="4" w:space="0"/>
            </w:tcBorders>
          </w:tcPr>
          <w:p w14:paraId="518C4397">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r w14:paraId="750BCC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4B235DD4">
            <w:pPr>
              <w:ind w:firstLine="0" w:firstLineChars="0"/>
              <w:jc w:val="center"/>
              <w:rPr>
                <w:rFonts w:hint="eastAsia" w:cs="仿宋_GB2312"/>
                <w:color w:val="auto"/>
                <w:kern w:val="0"/>
                <w:sz w:val="24"/>
                <w:highlight w:val="none"/>
                <w:lang w:bidi="ar"/>
              </w:rPr>
            </w:pPr>
            <w:r>
              <w:rPr>
                <w:rFonts w:hint="eastAsia" w:cs="仿宋_GB2312"/>
                <w:color w:val="auto"/>
                <w:kern w:val="0"/>
                <w:sz w:val="24"/>
                <w:highlight w:val="none"/>
                <w:lang w:bidi="ar"/>
              </w:rPr>
              <w:t>梁金凤</w:t>
            </w:r>
          </w:p>
        </w:tc>
        <w:tc>
          <w:tcPr>
            <w:tcW w:w="1426" w:type="dxa"/>
            <w:tcBorders>
              <w:top w:val="single" w:color="auto" w:sz="4" w:space="0"/>
              <w:left w:val="single" w:color="auto" w:sz="4" w:space="0"/>
              <w:bottom w:val="single" w:color="auto" w:sz="4" w:space="0"/>
              <w:right w:val="single" w:color="auto" w:sz="4" w:space="0"/>
            </w:tcBorders>
            <w:vAlign w:val="center"/>
          </w:tcPr>
          <w:p w14:paraId="26D37545">
            <w:pPr>
              <w:ind w:firstLine="0" w:firstLineChars="0"/>
              <w:jc w:val="center"/>
              <w:rPr>
                <w:rFonts w:hint="eastAsia" w:cs="仿宋_GB2312"/>
                <w:color w:val="auto"/>
                <w:sz w:val="24"/>
                <w:highlight w:val="none"/>
              </w:rPr>
            </w:pPr>
            <w:r>
              <w:rPr>
                <w:rFonts w:hint="eastAsia" w:cs="仿宋_GB2312"/>
                <w:color w:val="auto"/>
                <w:sz w:val="24"/>
                <w:highlight w:val="none"/>
              </w:rPr>
              <w:t>护师</w:t>
            </w:r>
          </w:p>
        </w:tc>
        <w:tc>
          <w:tcPr>
            <w:tcW w:w="1212" w:type="dxa"/>
            <w:tcBorders>
              <w:top w:val="single" w:color="auto" w:sz="4" w:space="0"/>
              <w:left w:val="single" w:color="auto" w:sz="4" w:space="0"/>
              <w:bottom w:val="single" w:color="auto" w:sz="4" w:space="0"/>
              <w:right w:val="single" w:color="auto" w:sz="4" w:space="0"/>
            </w:tcBorders>
            <w:vAlign w:val="center"/>
          </w:tcPr>
          <w:p w14:paraId="19469715">
            <w:pPr>
              <w:ind w:firstLine="0" w:firstLineChars="0"/>
              <w:jc w:val="center"/>
              <w:rPr>
                <w:rFonts w:hint="eastAsia" w:cs="仿宋_GB2312"/>
                <w:color w:val="auto"/>
                <w:sz w:val="24"/>
                <w:highlight w:val="none"/>
              </w:rPr>
            </w:pPr>
            <w:r>
              <w:rPr>
                <w:rFonts w:hint="eastAsia" w:cs="仿宋_GB2312"/>
                <w:color w:val="auto"/>
                <w:sz w:val="24"/>
                <w:highlight w:val="none"/>
              </w:rPr>
              <w:t>临床护理</w:t>
            </w:r>
          </w:p>
        </w:tc>
        <w:tc>
          <w:tcPr>
            <w:tcW w:w="2038" w:type="dxa"/>
            <w:tcBorders>
              <w:top w:val="single" w:color="auto" w:sz="4" w:space="0"/>
              <w:left w:val="single" w:color="auto" w:sz="4" w:space="0"/>
              <w:bottom w:val="single" w:color="auto" w:sz="4" w:space="0"/>
              <w:right w:val="single" w:color="auto" w:sz="4" w:space="0"/>
            </w:tcBorders>
            <w:vAlign w:val="center"/>
          </w:tcPr>
          <w:p w14:paraId="441ED140">
            <w:pPr>
              <w:spacing w:line="400" w:lineRule="exact"/>
              <w:ind w:firstLine="0" w:firstLineChars="0"/>
              <w:jc w:val="center"/>
              <w:rPr>
                <w:rFonts w:hint="eastAsia" w:cs="仿宋_GB2312"/>
                <w:color w:val="auto"/>
                <w:sz w:val="24"/>
                <w:highlight w:val="none"/>
              </w:rPr>
            </w:pPr>
            <w:r>
              <w:rPr>
                <w:rFonts w:hint="eastAsia" w:cs="仿宋_GB2312"/>
                <w:color w:val="auto"/>
                <w:kern w:val="0"/>
                <w:sz w:val="24"/>
                <w:highlight w:val="none"/>
                <w:lang w:bidi="ar"/>
              </w:rPr>
              <w:t>梁金凤</w:t>
            </w:r>
          </w:p>
        </w:tc>
        <w:tc>
          <w:tcPr>
            <w:tcW w:w="3674" w:type="dxa"/>
            <w:tcBorders>
              <w:top w:val="single" w:color="auto" w:sz="4" w:space="0"/>
              <w:left w:val="single" w:color="auto" w:sz="4" w:space="0"/>
              <w:bottom w:val="single" w:color="auto" w:sz="4" w:space="0"/>
              <w:right w:val="single" w:color="auto" w:sz="4" w:space="0"/>
            </w:tcBorders>
          </w:tcPr>
          <w:p w14:paraId="6D4E6F2C">
            <w:pPr>
              <w:ind w:firstLine="240" w:firstLineChars="100"/>
              <w:jc w:val="left"/>
              <w:rPr>
                <w:rFonts w:hint="eastAsia" w:cs="仿宋_GB2312"/>
                <w:color w:val="auto"/>
                <w:sz w:val="24"/>
                <w:highlight w:val="none"/>
                <w:lang w:bidi="ar"/>
              </w:rPr>
            </w:pPr>
            <w:r>
              <w:rPr>
                <w:rFonts w:hint="eastAsia" w:cs="仿宋_GB2312"/>
                <w:color w:val="auto"/>
                <w:sz w:val="24"/>
                <w:highlight w:val="none"/>
                <w:lang w:bidi="ar"/>
              </w:rPr>
              <w:t>参与标准文本及编制说明的编写；组织开展标准征求意见会；对标准实施情况进行总结分析，不断对标准提出修正意见</w:t>
            </w:r>
          </w:p>
        </w:tc>
      </w:tr>
    </w:tbl>
    <w:p w14:paraId="60B2B727">
      <w:pPr>
        <w:spacing w:line="520" w:lineRule="exact"/>
        <w:ind w:firstLine="640"/>
        <w:rPr>
          <w:rFonts w:hint="eastAsia" w:ascii="黑体" w:eastAsia="黑体" w:cs="仿宋_GB2312"/>
          <w:color w:val="auto"/>
          <w:sz w:val="32"/>
          <w:szCs w:val="32"/>
          <w:highlight w:val="none"/>
        </w:rPr>
      </w:pPr>
      <w:r>
        <w:rPr>
          <w:rFonts w:hint="eastAsia" w:ascii="黑体" w:eastAsia="黑体" w:cs="仿宋_GB2312"/>
          <w:color w:val="auto"/>
          <w:sz w:val="32"/>
          <w:szCs w:val="32"/>
          <w:highlight w:val="none"/>
        </w:rPr>
        <w:t>二、制定标准的必要性和意义</w:t>
      </w:r>
    </w:p>
    <w:p w14:paraId="43293819">
      <w:pPr>
        <w:spacing w:line="520" w:lineRule="exact"/>
        <w:ind w:firstLine="560"/>
        <w:rPr>
          <w:rFonts w:hint="eastAsia"/>
          <w:color w:val="auto"/>
          <w:highlight w:val="none"/>
        </w:rPr>
      </w:pPr>
      <w:r>
        <w:rPr>
          <w:rFonts w:hint="eastAsia"/>
          <w:color w:val="auto"/>
          <w:highlight w:val="none"/>
        </w:rPr>
        <w:t>慢性肾脏疾病是全球性的公共卫生问题，我国成年人群中慢性肾脏病发病率8.2%。终末期肾脏病（ESRD）是原发性或继发性肾脏损害发展至肾衰竭的严重阶段。除慢性肾小球肾炎外，许多常见疾病如高血压病、糖尿病、痛风、系统性红斑狼疮等均可导致慢性肾脏病。而随着上述疾病发病率增高，以及人口老龄化、环境污染等因素的影响，ESRD发病率逐渐上升，并已成为危害人类健康的主要因素。美国肾脏病数据库（the United States Renal Database,USRDS)的调查显示，ESRD的发病率在逐渐上升，并由此导致了严重的全球经济负担。</w:t>
      </w:r>
    </w:p>
    <w:p w14:paraId="1F59E443">
      <w:pPr>
        <w:spacing w:line="520" w:lineRule="exact"/>
        <w:ind w:firstLine="560"/>
        <w:rPr>
          <w:rFonts w:hint="eastAsia"/>
          <w:color w:val="auto"/>
          <w:highlight w:val="none"/>
        </w:rPr>
      </w:pPr>
      <w:r>
        <w:rPr>
          <w:rFonts w:hint="eastAsia"/>
          <w:color w:val="auto"/>
          <w:highlight w:val="none"/>
        </w:rPr>
        <w:t>我国正步入老龄化社会，人口基数大，引起肾脏损害的原发疾病的发病率高，罹患ESRD的患者亦逐渐增多，到2020年，我国ESRD患者的患病率达到每百万人口1200例。ESRD发病率逐年增加，并发症及合并症多，需要进行肾脏替代治疗。目前肾脏替代治疗方式主要有肾移植（Renal Transplant)、腹膜透析（Peritoneal Dialysis,PD)及血液透析（Hemodialysis,HD)。我国主要因肾源缺乏，治疗费用昂贵，使肾移植不能广泛开展；目前国内外应用最为广泛的是维持性血液透析（Maintenance Hemodialysis, MHD)和腹膜透析（peritoneal dialysis，PD)治疗。</w:t>
      </w:r>
    </w:p>
    <w:p w14:paraId="56969543">
      <w:pPr>
        <w:spacing w:line="520" w:lineRule="exact"/>
        <w:ind w:firstLine="560"/>
        <w:rPr>
          <w:rFonts w:hint="eastAsia"/>
          <w:color w:val="auto"/>
          <w:highlight w:val="none"/>
        </w:rPr>
      </w:pPr>
      <w:r>
        <w:rPr>
          <w:rFonts w:hint="eastAsia"/>
          <w:color w:val="auto"/>
          <w:highlight w:val="none"/>
        </w:rPr>
        <w:t>腹膜透析是治疗终末期肾脏疾病的主要肾脏替代疗法之一，因不受限制通行的影响，且其不影响工作、学习，具有利于保护残余肾功能、治疗费用相对血液透析低、生活质量高的特点，被越来越多的病人接受。有文献报道，对腹膜透析病人进行长期随访管理，可以降低腹膜透析病人相关性腹膜炎的发生率，改善病人的营养及整体健康状况,是保证腹透治疗质量、延长其生存期的前提,有利于病人回归社会及正常工作。</w:t>
      </w:r>
    </w:p>
    <w:p w14:paraId="69E90AA5">
      <w:pPr>
        <w:spacing w:line="520" w:lineRule="exact"/>
        <w:ind w:firstLine="560"/>
        <w:rPr>
          <w:rFonts w:hint="eastAsia"/>
          <w:color w:val="auto"/>
          <w:highlight w:val="none"/>
        </w:rPr>
      </w:pPr>
      <w:r>
        <w:rPr>
          <w:rFonts w:hint="eastAsia"/>
          <w:color w:val="auto"/>
          <w:highlight w:val="none"/>
        </w:rPr>
        <w:t>在目前信息技术的迅猛发展形势下，信息技术与医疗服务的融合为患者带来新的服务模式，有文献报道利用云随访管理平台等信息化手段管理PD患者，能提高患者依从性及满意度，提高专职护士工作效率的报道。而互联网慢病管理可以做到对患者进行用药提醒、不良习惯排查、复诊通知或线上复诊等，对慢病患者科学管理具有重要作用，在数据基础上进行慢病管理的方案设计是互联网慢病管理的核心。</w:t>
      </w:r>
    </w:p>
    <w:p w14:paraId="2C4A5DF2">
      <w:pPr>
        <w:spacing w:line="520" w:lineRule="exact"/>
        <w:ind w:firstLine="560"/>
        <w:rPr>
          <w:rFonts w:hint="eastAsia"/>
          <w:color w:val="auto"/>
          <w:highlight w:val="none"/>
        </w:rPr>
      </w:pPr>
      <w:r>
        <w:rPr>
          <w:rFonts w:hint="eastAsia"/>
          <w:color w:val="auto"/>
          <w:highlight w:val="none"/>
        </w:rPr>
        <w:t>截至2024年全国腹膜透析患者152745人，新增21949人，全国腹膜透析中心数量1424家。截至2024年广西腹膜透析患者4973例，开展腹膜透析的医疗机构53家。2024年全区腹膜透析在透患者血液生化季度检测率约13.47%，血常规季度检测率约13.85%，iPTH半年检测率约20.53%，腹膜平衡试验半年检测率约30.64%，血清白蛋白和转铁蛋白饱和度半年检测完成率约12.29%，C反应蛋白半年检测完成率约20.08%，血红蛋白达标率约36.81%，CKD-MBD控制率约10.47%，血清白蛋白控制率约39.68%，KT/V及总Ccr控制率约47.77%，退出治疗时间为39.49个月。由质控数据可见，区内随访管理、检测指标检测率低，患者总体质量不理想。目前，玉林市第一人民医院的腹膜透析随访管理已经在柳州市工人医院、柳州市中医院、右江医学院附属医院、贵港市人民医院、博白县人民医院、玉林市红十字会医院、容县人民医院、北海市人民医院、钦州市第一人民医院等10余家医院推广，带动了区域内腹膜透析推广及质量提升。患者社会回归率26.45%；患者满意度92.3%。</w:t>
      </w:r>
    </w:p>
    <w:p w14:paraId="3C02C603">
      <w:pPr>
        <w:spacing w:line="520" w:lineRule="exact"/>
        <w:ind w:firstLine="560"/>
        <w:rPr>
          <w:rFonts w:hint="eastAsia"/>
          <w:color w:val="auto"/>
          <w:highlight w:val="none"/>
        </w:rPr>
      </w:pPr>
      <w:r>
        <w:rPr>
          <w:rFonts w:hint="eastAsia"/>
          <w:color w:val="auto"/>
          <w:highlight w:val="none"/>
        </w:rPr>
        <w:t>PD作为作为居家透析方式，患者与照护者承担着90%以上的治疗与护理工作,如果缺乏疾病健康知识的培训以及自我管理能力培养，则容易出现PD相关性腹膜炎、营养不良、高磷血症、肾性骨病 (chronic kidney disease-mineral and bonedisorder,CKD-MBD)、低钾血症等并发症，严重影响其治疗效果和寿命，增加家庭及社会经济负担，所以对延续性随访管理具有较高的需求，因此,为PD患者提供专业全面全程的随访管理至关重要。加强团队合作，对PD患者实施系统、全程、个性化长期随访管理，培养患者自我管理，是保证腹透治疗质量、预防疾病进展和并发症的发生，延长其生存期的前提。</w:t>
      </w:r>
    </w:p>
    <w:p w14:paraId="5173244D">
      <w:pPr>
        <w:spacing w:line="520" w:lineRule="exact"/>
        <w:ind w:firstLine="560"/>
        <w:rPr>
          <w:rFonts w:hint="eastAsia"/>
          <w:color w:val="auto"/>
          <w:highlight w:val="none"/>
        </w:rPr>
      </w:pPr>
      <w:r>
        <w:rPr>
          <w:rFonts w:hint="eastAsia"/>
          <w:color w:val="auto"/>
          <w:highlight w:val="none"/>
        </w:rPr>
        <w:t>目前传统的腹膜透析诊疗只注重住院阶段，诊疗存在片段性、经验性、分散式问题，未注重院后的随访管理。因缺乏统一随访管理标准及方法，缺乏经过培训的腹膜透析管理团队，腹膜透析患者随访管理不到位，容易出现腹膜透析相关性腹膜炎、贫血、营养不良等并发症，患者整体质量不理想，严重影响医者及患者对腹膜透析治疗的信心，导致患者更倾向于选择血液透析或出现并发症的腹膜透析患者转向血液透析，从而引发高额的治疗费用支出，极大地增加了患者经济负担。</w:t>
      </w:r>
    </w:p>
    <w:p w14:paraId="49447530">
      <w:pPr>
        <w:spacing w:line="520" w:lineRule="exact"/>
        <w:ind w:firstLine="560"/>
        <w:rPr>
          <w:rFonts w:hint="eastAsia"/>
          <w:color w:val="auto"/>
          <w:highlight w:val="none"/>
        </w:rPr>
      </w:pPr>
      <w:r>
        <w:rPr>
          <w:rFonts w:hint="eastAsia" w:hAnsi="宋体"/>
          <w:color w:val="auto"/>
          <w:szCs w:val="21"/>
          <w:highlight w:val="none"/>
        </w:rPr>
        <w:t>通过制定团体标准《腹膜透析患者随访规范》，统一规定腹膜透析患者随访技术要求，对提高腹膜透析患者随访技术水平，促进医疗服务业高质量发展具有重要意义。</w:t>
      </w:r>
    </w:p>
    <w:p w14:paraId="62509CC2">
      <w:pPr>
        <w:autoSpaceDE w:val="0"/>
        <w:autoSpaceDN w:val="0"/>
        <w:adjustRightInd w:val="0"/>
        <w:spacing w:line="520" w:lineRule="exact"/>
        <w:ind w:firstLine="640"/>
        <w:jc w:val="left"/>
        <w:rPr>
          <w:rFonts w:hint="eastAsia" w:ascii="黑体" w:eastAsia="黑体" w:cs="仿宋_GB2312"/>
          <w:color w:val="auto"/>
          <w:sz w:val="32"/>
          <w:szCs w:val="32"/>
          <w:highlight w:val="none"/>
        </w:rPr>
      </w:pPr>
      <w:r>
        <w:rPr>
          <w:rFonts w:hint="eastAsia" w:ascii="黑体" w:eastAsia="黑体" w:cs="仿宋_GB2312"/>
          <w:color w:val="auto"/>
          <w:sz w:val="32"/>
          <w:szCs w:val="32"/>
          <w:highlight w:val="none"/>
        </w:rPr>
        <w:t>三、主要起草过程</w:t>
      </w:r>
    </w:p>
    <w:p w14:paraId="499AB503">
      <w:pPr>
        <w:spacing w:line="520" w:lineRule="exact"/>
        <w:ind w:firstLine="562"/>
        <w:rPr>
          <w:rFonts w:hint="eastAsia"/>
          <w:color w:val="auto"/>
          <w:szCs w:val="28"/>
          <w:highlight w:val="none"/>
        </w:rPr>
      </w:pPr>
      <w:r>
        <w:rPr>
          <w:rFonts w:hint="eastAsia" w:cs="仿宋_GB2312"/>
          <w:b/>
          <w:color w:val="auto"/>
          <w:szCs w:val="28"/>
          <w:highlight w:val="none"/>
        </w:rPr>
        <w:t>（一）成立标准编制工作组</w:t>
      </w:r>
    </w:p>
    <w:p w14:paraId="4F1F1B91">
      <w:pPr>
        <w:spacing w:line="520" w:lineRule="exact"/>
        <w:ind w:firstLine="560"/>
        <w:jc w:val="left"/>
        <w:rPr>
          <w:rFonts w:hint="eastAsia"/>
          <w:color w:val="auto"/>
          <w:szCs w:val="28"/>
          <w:highlight w:val="none"/>
        </w:rPr>
      </w:pPr>
      <w:r>
        <w:rPr>
          <w:rFonts w:hint="eastAsia" w:hAnsi="宋体"/>
          <w:color w:val="auto"/>
          <w:szCs w:val="28"/>
          <w:highlight w:val="none"/>
        </w:rPr>
        <w:t>团体标准</w:t>
      </w:r>
      <w:r>
        <w:rPr>
          <w:rFonts w:hint="eastAsia"/>
          <w:color w:val="auto"/>
          <w:szCs w:val="28"/>
          <w:highlight w:val="none"/>
        </w:rPr>
        <w:t>《腹膜透析患者随访规范》项目任务下达后，由玉林市第一人民医院牵头组织成立了标准编制工作组，制定了起草编写方案与进度安排，明确任务职责，确定工作技术路线，开展标准研制工作。具体标准编制工作由起草单位相关人员配合完成。</w:t>
      </w:r>
    </w:p>
    <w:p w14:paraId="77715D98">
      <w:pPr>
        <w:spacing w:line="520" w:lineRule="exact"/>
        <w:ind w:firstLine="560"/>
        <w:rPr>
          <w:rFonts w:hint="eastAsia" w:cs="仿宋_GB2312"/>
          <w:color w:val="auto"/>
          <w:szCs w:val="28"/>
          <w:highlight w:val="none"/>
        </w:rPr>
      </w:pPr>
      <w:r>
        <w:rPr>
          <w:rFonts w:hint="eastAsia"/>
          <w:color w:val="auto"/>
          <w:szCs w:val="28"/>
          <w:highlight w:val="none"/>
        </w:rPr>
        <w:t>为了明确标准编制的任务职责，确定工作技术路线，开展标准研制工作。标准编制工作组下设二个组，分别是资料收集组、草案编写组。资料收集组负责国内外有关腹膜透析患者随访方面的文献资料的查询、收集和整理工作，查阅前期对腹膜透析患者随访方面的有关研究情况和目前科学界腹膜透析患者并发症的研究进展；草案编写组负责起草标准草案及后续征求意见稿和标准编制说明、送审稿及编制说明等编写工作，包括后期召开征求意见会、网上征求意见，以及标准的不断修改和完善。</w:t>
      </w:r>
    </w:p>
    <w:p w14:paraId="53207AD7">
      <w:pPr>
        <w:spacing w:line="520" w:lineRule="exact"/>
        <w:ind w:firstLine="562"/>
        <w:rPr>
          <w:rFonts w:hint="eastAsia" w:cs="仿宋_GB2312"/>
          <w:b/>
          <w:color w:val="auto"/>
          <w:szCs w:val="28"/>
          <w:highlight w:val="none"/>
        </w:rPr>
      </w:pPr>
      <w:r>
        <w:rPr>
          <w:rFonts w:hint="eastAsia" w:cs="仿宋_GB2312"/>
          <w:b/>
          <w:color w:val="auto"/>
          <w:szCs w:val="28"/>
          <w:highlight w:val="none"/>
        </w:rPr>
        <w:t>（二）收集整理文献资料</w:t>
      </w:r>
    </w:p>
    <w:p w14:paraId="2015763B">
      <w:pPr>
        <w:spacing w:line="520" w:lineRule="exact"/>
        <w:ind w:firstLine="560"/>
        <w:rPr>
          <w:rFonts w:hint="eastAsia"/>
          <w:color w:val="auto"/>
          <w:szCs w:val="28"/>
          <w:highlight w:val="none"/>
        </w:rPr>
      </w:pPr>
      <w:r>
        <w:rPr>
          <w:rFonts w:hint="eastAsia"/>
          <w:color w:val="auto"/>
          <w:szCs w:val="28"/>
          <w:highlight w:val="none"/>
        </w:rPr>
        <w:t>标准编制工作组收集了国内有关腹膜透析患者随访的相关文献资料。主要有：</w:t>
      </w:r>
    </w:p>
    <w:p w14:paraId="72656D07">
      <w:pPr>
        <w:spacing w:line="520" w:lineRule="exact"/>
        <w:ind w:firstLine="560"/>
        <w:rPr>
          <w:rFonts w:hint="eastAsia"/>
          <w:color w:val="auto"/>
          <w:szCs w:val="28"/>
          <w:highlight w:val="none"/>
        </w:rPr>
      </w:pPr>
      <w:r>
        <w:rPr>
          <w:color w:val="auto"/>
          <w:szCs w:val="28"/>
          <w:highlight w:val="none"/>
        </w:rPr>
        <w:t xml:space="preserve">[1] </w:t>
      </w:r>
      <w:r>
        <w:rPr>
          <w:rFonts w:hint="eastAsia"/>
          <w:color w:val="auto"/>
          <w:szCs w:val="28"/>
          <w:highlight w:val="none"/>
        </w:rPr>
        <w:t xml:space="preserve"> </w:t>
      </w:r>
      <w:r>
        <w:rPr>
          <w:color w:val="auto"/>
          <w:szCs w:val="28"/>
          <w:highlight w:val="none"/>
        </w:rPr>
        <w:t>陈香美.腹膜透析标准操作[M].北京：人民军医出版社,2010.</w:t>
      </w:r>
    </w:p>
    <w:p w14:paraId="38149D34">
      <w:pPr>
        <w:spacing w:line="520" w:lineRule="exact"/>
        <w:ind w:firstLine="560"/>
        <w:rPr>
          <w:rFonts w:hint="eastAsia"/>
          <w:color w:val="auto"/>
          <w:szCs w:val="28"/>
          <w:highlight w:val="none"/>
        </w:rPr>
      </w:pPr>
      <w:r>
        <w:rPr>
          <w:color w:val="auto"/>
          <w:szCs w:val="28"/>
          <w:highlight w:val="none"/>
        </w:rPr>
        <w:t>[2]</w:t>
      </w:r>
      <w:r>
        <w:rPr>
          <w:rFonts w:hint="eastAsia"/>
          <w:color w:val="auto"/>
          <w:szCs w:val="28"/>
          <w:highlight w:val="none"/>
        </w:rPr>
        <w:t xml:space="preserve">  </w:t>
      </w:r>
      <w:r>
        <w:rPr>
          <w:color w:val="auto"/>
          <w:szCs w:val="28"/>
          <w:highlight w:val="none"/>
        </w:rPr>
        <w:t>陈香美.实用腹膜透析操作教程[M].北京：人民军医出版社,2015.</w:t>
      </w:r>
    </w:p>
    <w:p w14:paraId="09DFB0E1">
      <w:pPr>
        <w:spacing w:line="520" w:lineRule="exact"/>
        <w:ind w:firstLine="560"/>
        <w:rPr>
          <w:rFonts w:hint="eastAsia"/>
          <w:color w:val="auto"/>
          <w:szCs w:val="28"/>
          <w:highlight w:val="none"/>
        </w:rPr>
      </w:pPr>
      <w:r>
        <w:rPr>
          <w:color w:val="auto"/>
          <w:szCs w:val="28"/>
          <w:highlight w:val="none"/>
        </w:rPr>
        <w:t>[3]  中国医师协会肾脏内科医师分会,中国中西医结合学会肾脏疾病专业委员会,国家肾病专业医疗质量管理与控制中心.自动化腹膜透析中国专家共识[J].中华医学杂志,2021,101(6)：388-399.</w:t>
      </w:r>
    </w:p>
    <w:p w14:paraId="65916B2C">
      <w:pPr>
        <w:spacing w:line="520" w:lineRule="exact"/>
        <w:ind w:firstLine="560"/>
        <w:rPr>
          <w:rFonts w:hint="eastAsia"/>
          <w:color w:val="auto"/>
          <w:szCs w:val="28"/>
          <w:highlight w:val="none"/>
        </w:rPr>
      </w:pPr>
      <w:r>
        <w:rPr>
          <w:color w:val="auto"/>
          <w:szCs w:val="28"/>
          <w:highlight w:val="none"/>
        </w:rPr>
        <w:t>[4]  孙柳,苏春燕,孙庆华,聂建东,汪涛.门诊腹膜透析患者分层分级管理的实践[J].中国护理管理，2012,12(5)：75-78.</w:t>
      </w:r>
    </w:p>
    <w:p w14:paraId="16C9631C">
      <w:pPr>
        <w:spacing w:line="520" w:lineRule="exact"/>
        <w:ind w:firstLine="560"/>
        <w:rPr>
          <w:rFonts w:hint="eastAsia"/>
          <w:color w:val="auto"/>
          <w:szCs w:val="28"/>
          <w:highlight w:val="none"/>
        </w:rPr>
      </w:pPr>
      <w:r>
        <w:rPr>
          <w:color w:val="auto"/>
          <w:szCs w:val="28"/>
          <w:highlight w:val="none"/>
        </w:rPr>
        <w:t>[5]  高兰英,孙冬梅.网络交流平台在门诊腹膜透析患者管理中的应用观察[J].基层医学论坛,2017,21(3)：363-364.</w:t>
      </w:r>
    </w:p>
    <w:p w14:paraId="46EBE0C5">
      <w:pPr>
        <w:spacing w:line="520" w:lineRule="exact"/>
        <w:ind w:firstLine="560"/>
        <w:rPr>
          <w:rFonts w:hint="eastAsia"/>
          <w:color w:val="auto"/>
          <w:szCs w:val="28"/>
          <w:highlight w:val="none"/>
        </w:rPr>
      </w:pPr>
      <w:r>
        <w:rPr>
          <w:color w:val="auto"/>
          <w:szCs w:val="28"/>
          <w:highlight w:val="none"/>
        </w:rPr>
        <w:t>[6]</w:t>
      </w:r>
      <w:r>
        <w:rPr>
          <w:rFonts w:hint="eastAsia"/>
          <w:color w:val="auto"/>
          <w:szCs w:val="28"/>
          <w:highlight w:val="none"/>
        </w:rPr>
        <w:t xml:space="preserve">  </w:t>
      </w:r>
      <w:r>
        <w:rPr>
          <w:color w:val="auto"/>
          <w:szCs w:val="28"/>
          <w:highlight w:val="none"/>
        </w:rPr>
        <w:t>徐睿,尹月,王刚,周云飞,刘文虎.分层分级管理在门诊腹膜透析患者中的应用[J].临床和实验医学杂志,2016,15(23):2378-2380.</w:t>
      </w:r>
    </w:p>
    <w:p w14:paraId="621AB6DD">
      <w:pPr>
        <w:spacing w:line="520" w:lineRule="exact"/>
        <w:ind w:firstLine="560"/>
        <w:rPr>
          <w:rFonts w:hint="eastAsia"/>
          <w:color w:val="auto"/>
          <w:szCs w:val="28"/>
          <w:highlight w:val="none"/>
        </w:rPr>
      </w:pPr>
      <w:r>
        <w:rPr>
          <w:color w:val="auto"/>
          <w:szCs w:val="28"/>
          <w:highlight w:val="none"/>
        </w:rPr>
        <w:t>[7]</w:t>
      </w:r>
      <w:r>
        <w:rPr>
          <w:rFonts w:hint="eastAsia"/>
          <w:color w:val="auto"/>
          <w:szCs w:val="28"/>
          <w:highlight w:val="none"/>
        </w:rPr>
        <w:t xml:space="preserve">  </w:t>
      </w:r>
      <w:r>
        <w:rPr>
          <w:color w:val="auto"/>
          <w:szCs w:val="28"/>
          <w:highlight w:val="none"/>
        </w:rPr>
        <w:t>朱萍,李春萍.持续质量改进在腹膜透析患者随访管理中的应用[J].保健文汇,2021,22(14):198-199.</w:t>
      </w:r>
    </w:p>
    <w:p w14:paraId="35E61932">
      <w:pPr>
        <w:spacing w:line="520" w:lineRule="exact"/>
        <w:ind w:firstLine="560"/>
        <w:rPr>
          <w:rFonts w:hint="eastAsia"/>
          <w:color w:val="auto"/>
          <w:szCs w:val="28"/>
          <w:highlight w:val="none"/>
        </w:rPr>
      </w:pPr>
      <w:r>
        <w:rPr>
          <w:color w:val="auto"/>
          <w:szCs w:val="28"/>
          <w:highlight w:val="none"/>
        </w:rPr>
        <w:t>[8]</w:t>
      </w:r>
      <w:r>
        <w:rPr>
          <w:rFonts w:hint="eastAsia"/>
          <w:color w:val="auto"/>
          <w:szCs w:val="28"/>
          <w:highlight w:val="none"/>
        </w:rPr>
        <w:t xml:space="preserve">  </w:t>
      </w:r>
      <w:r>
        <w:rPr>
          <w:color w:val="auto"/>
          <w:szCs w:val="28"/>
          <w:highlight w:val="none"/>
        </w:rPr>
        <w:t>邵敏,王娟,曹东维,蒋春明,张苗.微信随访提高腹膜透析患者自我管理能力及需求满意度的效果分析[J].现代临床护理,2018,17(3):33-37.</w:t>
      </w:r>
    </w:p>
    <w:p w14:paraId="576175FE">
      <w:pPr>
        <w:spacing w:line="520" w:lineRule="exact"/>
        <w:ind w:firstLine="560"/>
        <w:rPr>
          <w:rFonts w:hint="eastAsia"/>
          <w:color w:val="auto"/>
          <w:szCs w:val="28"/>
          <w:highlight w:val="none"/>
        </w:rPr>
      </w:pPr>
      <w:r>
        <w:rPr>
          <w:color w:val="auto"/>
          <w:szCs w:val="28"/>
          <w:highlight w:val="none"/>
        </w:rPr>
        <w:t>[9]</w:t>
      </w:r>
      <w:r>
        <w:rPr>
          <w:rFonts w:hint="eastAsia"/>
          <w:color w:val="auto"/>
          <w:szCs w:val="28"/>
          <w:highlight w:val="none"/>
        </w:rPr>
        <w:t xml:space="preserve">  </w:t>
      </w:r>
      <w:r>
        <w:rPr>
          <w:color w:val="auto"/>
          <w:szCs w:val="28"/>
          <w:highlight w:val="none"/>
        </w:rPr>
        <w:t>杨雪芳,倪小英,唐坚.家庭随访对提高居家腹膜透析患者自我管理能力的影响[J].当代护士（中旬刊）,2017,(6):92-94.</w:t>
      </w:r>
    </w:p>
    <w:p w14:paraId="50F88184">
      <w:pPr>
        <w:spacing w:line="520" w:lineRule="exact"/>
        <w:ind w:firstLine="560"/>
        <w:rPr>
          <w:rFonts w:hint="eastAsia"/>
          <w:color w:val="auto"/>
          <w:szCs w:val="28"/>
          <w:highlight w:val="none"/>
        </w:rPr>
      </w:pPr>
      <w:r>
        <w:rPr>
          <w:color w:val="auto"/>
          <w:szCs w:val="28"/>
          <w:highlight w:val="none"/>
        </w:rPr>
        <w:t>[10]</w:t>
      </w:r>
      <w:r>
        <w:rPr>
          <w:rFonts w:hint="eastAsia"/>
          <w:color w:val="auto"/>
          <w:szCs w:val="28"/>
          <w:highlight w:val="none"/>
        </w:rPr>
        <w:t xml:space="preserve">  </w:t>
      </w:r>
      <w:r>
        <w:rPr>
          <w:color w:val="auto"/>
          <w:szCs w:val="28"/>
          <w:highlight w:val="none"/>
        </w:rPr>
        <w:t>顾静,汪林菲,杨利才,徐旭东.云随访管理平台对居家腹膜透析患者自我管理和透析质量的影响[J].中国中西医结合肾病杂志,2023,24(5):446-448.</w:t>
      </w:r>
    </w:p>
    <w:p w14:paraId="688D8289">
      <w:pPr>
        <w:spacing w:line="520" w:lineRule="exact"/>
        <w:ind w:firstLine="562"/>
        <w:rPr>
          <w:rFonts w:hint="eastAsia" w:cs="仿宋_GB2312"/>
          <w:b/>
          <w:color w:val="auto"/>
          <w:szCs w:val="28"/>
          <w:highlight w:val="none"/>
        </w:rPr>
      </w:pPr>
      <w:r>
        <w:rPr>
          <w:rFonts w:hint="eastAsia" w:cs="仿宋_GB2312"/>
          <w:b/>
          <w:color w:val="auto"/>
          <w:szCs w:val="28"/>
          <w:highlight w:val="none"/>
        </w:rPr>
        <w:t>（三）研讨确定标准主体内容及标准创新点</w:t>
      </w:r>
    </w:p>
    <w:p w14:paraId="17D5BCF4">
      <w:pPr>
        <w:pStyle w:val="29"/>
        <w:spacing w:line="520" w:lineRule="exact"/>
        <w:ind w:firstLine="560"/>
        <w:rPr>
          <w:rFonts w:ascii="仿宋_GB2312" w:eastAsia="仿宋_GB2312"/>
          <w:color w:val="auto"/>
          <w:sz w:val="28"/>
          <w:szCs w:val="28"/>
          <w:highlight w:val="none"/>
        </w:rPr>
      </w:pPr>
      <w:r>
        <w:rPr>
          <w:rFonts w:hint="eastAsia" w:ascii="仿宋_GB2312" w:eastAsia="仿宋_GB2312"/>
          <w:color w:val="auto"/>
          <w:sz w:val="28"/>
          <w:szCs w:val="28"/>
          <w:highlight w:val="none"/>
        </w:rPr>
        <w:t>标准编制工作组在对收集的资料进行整理研究之后，标准编制工作组召开了标准编制会议，对标准的整体框架结构进行了研究，并对标准的关键性内容进行了初步探讨。经过研究，标准的主体内容为腹膜透析患者随访的基本要求、评估流程、评估内容。</w:t>
      </w:r>
    </w:p>
    <w:p w14:paraId="7DBEA7CA">
      <w:pPr>
        <w:widowControl/>
        <w:ind w:firstLine="560"/>
        <w:outlineLvl w:val="1"/>
        <w:rPr>
          <w:rFonts w:hint="eastAsia"/>
          <w:color w:val="auto"/>
          <w:szCs w:val="28"/>
          <w:highlight w:val="none"/>
        </w:rPr>
      </w:pPr>
      <w:r>
        <w:rPr>
          <w:rFonts w:hint="eastAsia"/>
          <w:color w:val="auto"/>
          <w:szCs w:val="28"/>
          <w:highlight w:val="none"/>
        </w:rPr>
        <w:t>标准创新点为：（1）标准化腹膜透析随访管理临床路径：明确了随访的时间、频率、形式和内容；（2）标准化腹膜透析分级管理指标体系，采用分级管理评分表评估，根据得分确定随访的形式和频率，确保随访管理的个性化及精准性。（3）标准化腹膜透析随访管理形式和内容，采用戴明环持续质量改善理论（PDCA）对患者实施全病程闭环管理，促进临床路径达成，给予自我管理能力的支持，实施并发症、营养及康复管理等。</w:t>
      </w:r>
    </w:p>
    <w:p w14:paraId="1637F7B5">
      <w:pPr>
        <w:spacing w:line="520" w:lineRule="exact"/>
        <w:ind w:firstLine="562"/>
        <w:rPr>
          <w:rFonts w:hint="eastAsia" w:cs="仿宋_GB2312"/>
          <w:b/>
          <w:color w:val="auto"/>
          <w:szCs w:val="28"/>
          <w:highlight w:val="none"/>
        </w:rPr>
      </w:pPr>
      <w:r>
        <w:rPr>
          <w:rFonts w:hint="eastAsia" w:cs="仿宋_GB2312"/>
          <w:b/>
          <w:color w:val="auto"/>
          <w:szCs w:val="28"/>
          <w:highlight w:val="none"/>
        </w:rPr>
        <w:t>（四）调研及形成草案、征求意见稿</w:t>
      </w:r>
    </w:p>
    <w:p w14:paraId="7C269006">
      <w:pPr>
        <w:spacing w:line="520" w:lineRule="exact"/>
        <w:ind w:firstLine="560"/>
        <w:rPr>
          <w:rFonts w:hint="eastAsia"/>
          <w:color w:val="auto"/>
          <w:kern w:val="0"/>
          <w:szCs w:val="28"/>
          <w:highlight w:val="none"/>
        </w:rPr>
      </w:pPr>
      <w:r>
        <w:rPr>
          <w:rFonts w:hint="eastAsia"/>
          <w:color w:val="auto"/>
          <w:kern w:val="0"/>
          <w:szCs w:val="28"/>
          <w:highlight w:val="none"/>
        </w:rPr>
        <w:t>2025年3月，标准编制工作组查阅了大量的国内文献资料，对腹膜透析患者随访相关的文件进行系统总结。形成了标准的基本构架，对主要内容进行了讨论并对项目的工作进行了部署和安排。</w:t>
      </w:r>
    </w:p>
    <w:p w14:paraId="6E703C00">
      <w:pPr>
        <w:spacing w:line="520" w:lineRule="exact"/>
        <w:ind w:firstLine="560"/>
        <w:rPr>
          <w:rFonts w:hint="eastAsia"/>
          <w:color w:val="auto"/>
          <w:szCs w:val="28"/>
          <w:highlight w:val="none"/>
        </w:rPr>
      </w:pPr>
      <w:r>
        <w:rPr>
          <w:rFonts w:hint="eastAsia"/>
          <w:color w:val="auto"/>
          <w:kern w:val="0"/>
          <w:szCs w:val="28"/>
          <w:highlight w:val="none"/>
        </w:rPr>
        <w:t>2025年4月，团体标准《腹膜透析患者随访规范》</w:t>
      </w:r>
      <w:r>
        <w:rPr>
          <w:rFonts w:hint="eastAsia" w:hAnsi="宋体"/>
          <w:color w:val="auto"/>
          <w:szCs w:val="28"/>
          <w:highlight w:val="none"/>
        </w:rPr>
        <w:t>获批立项</w:t>
      </w:r>
      <w:r>
        <w:rPr>
          <w:rFonts w:hint="eastAsia"/>
          <w:color w:val="auto"/>
          <w:kern w:val="0"/>
          <w:szCs w:val="28"/>
          <w:highlight w:val="none"/>
        </w:rPr>
        <w:t>，在前期工作的基础之上，通过理清逻辑脉络，整合已有参考资料中有关</w:t>
      </w:r>
      <w:r>
        <w:rPr>
          <w:rFonts w:hint="eastAsia"/>
          <w:color w:val="auto"/>
          <w:szCs w:val="28"/>
          <w:highlight w:val="none"/>
        </w:rPr>
        <w:t>腹膜透析患者随访</w:t>
      </w:r>
      <w:r>
        <w:rPr>
          <w:rFonts w:hint="eastAsia"/>
          <w:color w:val="auto"/>
          <w:kern w:val="0"/>
          <w:szCs w:val="28"/>
          <w:highlight w:val="none"/>
        </w:rPr>
        <w:t>的要求，并在目前</w:t>
      </w:r>
      <w:r>
        <w:rPr>
          <w:rFonts w:hint="eastAsia"/>
          <w:color w:val="auto"/>
          <w:szCs w:val="28"/>
          <w:highlight w:val="none"/>
        </w:rPr>
        <w:t>腹膜透析患者随访</w:t>
      </w:r>
      <w:r>
        <w:rPr>
          <w:rFonts w:hint="eastAsia"/>
          <w:color w:val="auto"/>
          <w:kern w:val="0"/>
          <w:szCs w:val="28"/>
          <w:highlight w:val="none"/>
        </w:rPr>
        <w:t>实际操作的基础上，按照简化、统一等原则编制完成团体标准《腹膜透析患者随访规范》（草案）。</w:t>
      </w:r>
    </w:p>
    <w:p w14:paraId="62BAB5B9">
      <w:pPr>
        <w:spacing w:line="520" w:lineRule="exact"/>
        <w:ind w:firstLine="560"/>
        <w:rPr>
          <w:rFonts w:hint="eastAsia"/>
          <w:color w:val="auto"/>
          <w:kern w:val="0"/>
          <w:szCs w:val="28"/>
          <w:highlight w:val="none"/>
        </w:rPr>
      </w:pPr>
      <w:r>
        <w:rPr>
          <w:rFonts w:hint="eastAsia"/>
          <w:color w:val="auto"/>
          <w:kern w:val="0"/>
          <w:szCs w:val="28"/>
          <w:highlight w:val="none"/>
        </w:rPr>
        <w:t>2025年4月～2025年6月，标准编制工作组深入各地实施</w:t>
      </w:r>
      <w:r>
        <w:rPr>
          <w:rFonts w:hint="eastAsia"/>
          <w:color w:val="auto"/>
          <w:szCs w:val="28"/>
          <w:highlight w:val="none"/>
        </w:rPr>
        <w:t>腹膜透析患者随访</w:t>
      </w:r>
      <w:r>
        <w:rPr>
          <w:rFonts w:hint="eastAsia" w:hAnsi="宋体"/>
          <w:color w:val="auto"/>
          <w:szCs w:val="28"/>
          <w:highlight w:val="none"/>
        </w:rPr>
        <w:t>的有代表性的医院，如</w:t>
      </w:r>
      <w:r>
        <w:rPr>
          <w:rFonts w:hint="eastAsia"/>
          <w:color w:val="auto"/>
          <w:szCs w:val="28"/>
          <w:highlight w:val="none"/>
        </w:rPr>
        <w:t>玉林市第一人民医院、浙江大学医学院附属第一医院、南方医科大学南方医院、中国科学技术大学附届第一医院(安徽省立医院)、温州医科大学附属第一医院、赣南医科大学第一附属医院、福州大学附届省立医院、贵州医科大学附属医院、南昌大学第一附属医院、广西医科大学第一附属医院、广西医科大学第二附属医院、广西中医药大学第一附属医院、广西壮族自治区人民医院、右江民族医学院附属医院、桂林医学院附属医院、柳州市人民医院、柳州市工人医院、丽水市中心医院、瑞安市人民医院、中山市中医院、南方医科大学顺德医院、百色市人民医院、广西柳钢医疗有限公司医院、玉林市红十字会医院、钦州市第一人民医院、贵港市人民医院、广西壮族自治区民族医院、广西壮族自治区桂东人民医院、北海市第二人民医院、平南县人民医院、博白县人民医院</w:t>
      </w:r>
      <w:r>
        <w:rPr>
          <w:rFonts w:hint="eastAsia"/>
          <w:color w:val="auto"/>
          <w:kern w:val="0"/>
          <w:szCs w:val="28"/>
          <w:highlight w:val="none"/>
        </w:rPr>
        <w:t>等召开标准研讨会，收集反馈了大量意见，对标准草案进行了反复修改和研究讨论，掌握了腹膜透析患者随访的基本情况以及要求，最终形成了</w:t>
      </w:r>
      <w:bookmarkStart w:id="1" w:name="_Hlk120181503"/>
      <w:r>
        <w:rPr>
          <w:rFonts w:hint="eastAsia"/>
          <w:color w:val="auto"/>
          <w:kern w:val="0"/>
          <w:szCs w:val="28"/>
          <w:highlight w:val="none"/>
        </w:rPr>
        <w:t>团体标准《腹膜透析患者随访规范》（征求意见稿）及其编制说明。</w:t>
      </w:r>
      <w:bookmarkEnd w:id="1"/>
    </w:p>
    <w:p w14:paraId="2FDA5F70">
      <w:pPr>
        <w:autoSpaceDE w:val="0"/>
        <w:autoSpaceDN w:val="0"/>
        <w:adjustRightInd w:val="0"/>
        <w:spacing w:line="520" w:lineRule="exact"/>
        <w:ind w:firstLine="640"/>
        <w:jc w:val="left"/>
        <w:rPr>
          <w:rFonts w:hint="eastAsia" w:ascii="黑体" w:eastAsia="黑体" w:cs="仿宋_GB2312"/>
          <w:color w:val="auto"/>
          <w:sz w:val="32"/>
          <w:szCs w:val="32"/>
          <w:highlight w:val="none"/>
        </w:rPr>
      </w:pPr>
      <w:r>
        <w:rPr>
          <w:rFonts w:hint="eastAsia" w:ascii="黑体" w:eastAsia="黑体" w:cs="仿宋_GB2312"/>
          <w:color w:val="auto"/>
          <w:sz w:val="32"/>
          <w:szCs w:val="32"/>
          <w:highlight w:val="none"/>
        </w:rPr>
        <w:t>四、制定标准的原则和依据，与现行法律、法规的关系，与有关国家标准、行业标准的协调情况</w:t>
      </w:r>
    </w:p>
    <w:p w14:paraId="678C0E5F">
      <w:pPr>
        <w:widowControl/>
        <w:tabs>
          <w:tab w:val="center" w:pos="4201"/>
          <w:tab w:val="right" w:leader="dot" w:pos="9298"/>
        </w:tabs>
        <w:autoSpaceDE w:val="0"/>
        <w:autoSpaceDN w:val="0"/>
        <w:spacing w:line="520" w:lineRule="exact"/>
        <w:ind w:firstLine="562"/>
        <w:outlineLvl w:val="1"/>
        <w:rPr>
          <w:rFonts w:hint="eastAsia"/>
          <w:b/>
          <w:bCs/>
          <w:color w:val="auto"/>
          <w:kern w:val="0"/>
          <w:szCs w:val="28"/>
          <w:highlight w:val="none"/>
        </w:rPr>
      </w:pPr>
      <w:r>
        <w:rPr>
          <w:rFonts w:hint="eastAsia"/>
          <w:b/>
          <w:bCs/>
          <w:color w:val="auto"/>
          <w:kern w:val="0"/>
          <w:szCs w:val="28"/>
          <w:highlight w:val="none"/>
        </w:rPr>
        <w:t>（一）编制原则</w:t>
      </w:r>
    </w:p>
    <w:p w14:paraId="031045AE">
      <w:pPr>
        <w:spacing w:line="520" w:lineRule="exact"/>
        <w:ind w:firstLine="562"/>
        <w:rPr>
          <w:rFonts w:hint="eastAsia"/>
          <w:b/>
          <w:color w:val="auto"/>
          <w:szCs w:val="28"/>
          <w:highlight w:val="none"/>
        </w:rPr>
      </w:pPr>
      <w:r>
        <w:rPr>
          <w:rFonts w:hint="eastAsia"/>
          <w:b/>
          <w:color w:val="auto"/>
          <w:szCs w:val="28"/>
          <w:highlight w:val="none"/>
        </w:rPr>
        <w:t>1、实用性原则</w:t>
      </w:r>
    </w:p>
    <w:p w14:paraId="224DDEA8">
      <w:pPr>
        <w:spacing w:line="520" w:lineRule="exact"/>
        <w:ind w:firstLine="560"/>
        <w:rPr>
          <w:rFonts w:hint="eastAsia" w:cs="仿宋"/>
          <w:color w:val="auto"/>
          <w:szCs w:val="28"/>
          <w:highlight w:val="none"/>
        </w:rPr>
      </w:pPr>
      <w:r>
        <w:rPr>
          <w:rFonts w:hint="eastAsia" w:cs="仿宋"/>
          <w:color w:val="auto"/>
          <w:szCs w:val="28"/>
          <w:highlight w:val="none"/>
        </w:rPr>
        <w:t>本标准是在充分收集国内外相关资料和文献、调研分析</w:t>
      </w:r>
      <w:r>
        <w:rPr>
          <w:rFonts w:hint="eastAsia"/>
          <w:color w:val="auto"/>
          <w:kern w:val="0"/>
          <w:szCs w:val="28"/>
          <w:highlight w:val="none"/>
        </w:rPr>
        <w:t>腹膜透析患者随访</w:t>
      </w:r>
      <w:r>
        <w:rPr>
          <w:rFonts w:hint="eastAsia" w:cs="仿宋"/>
          <w:color w:val="auto"/>
          <w:szCs w:val="28"/>
          <w:highlight w:val="none"/>
        </w:rPr>
        <w:t>现状，结合起草单位前期研究工作取得的研究成果及积累的实践经验，并借鉴国内</w:t>
      </w:r>
      <w:r>
        <w:rPr>
          <w:rFonts w:hint="eastAsia"/>
          <w:color w:val="auto"/>
          <w:kern w:val="0"/>
          <w:szCs w:val="28"/>
          <w:highlight w:val="none"/>
        </w:rPr>
        <w:t>腹膜透析患者随访</w:t>
      </w:r>
      <w:r>
        <w:rPr>
          <w:rFonts w:hint="eastAsia" w:cs="仿宋"/>
          <w:color w:val="auto"/>
          <w:szCs w:val="28"/>
          <w:highlight w:val="none"/>
        </w:rPr>
        <w:t>进行总结起草的，符合工作实际，利于</w:t>
      </w:r>
      <w:r>
        <w:rPr>
          <w:rFonts w:hint="eastAsia"/>
          <w:color w:val="auto"/>
          <w:kern w:val="0"/>
          <w:szCs w:val="28"/>
          <w:highlight w:val="none"/>
        </w:rPr>
        <w:t>腹膜透析患者随访</w:t>
      </w:r>
      <w:r>
        <w:rPr>
          <w:rFonts w:hint="eastAsia" w:cs="仿宋"/>
          <w:color w:val="auto"/>
          <w:szCs w:val="28"/>
          <w:highlight w:val="none"/>
        </w:rPr>
        <w:t>的实施与推广，具有可操作性和实用性。</w:t>
      </w:r>
    </w:p>
    <w:p w14:paraId="2063A096">
      <w:pPr>
        <w:spacing w:line="520" w:lineRule="exact"/>
        <w:ind w:firstLine="562"/>
        <w:rPr>
          <w:rFonts w:hint="eastAsia"/>
          <w:b/>
          <w:color w:val="auto"/>
          <w:szCs w:val="28"/>
          <w:highlight w:val="none"/>
        </w:rPr>
      </w:pPr>
      <w:r>
        <w:rPr>
          <w:rFonts w:hint="eastAsia"/>
          <w:b/>
          <w:color w:val="auto"/>
          <w:szCs w:val="28"/>
          <w:highlight w:val="none"/>
        </w:rPr>
        <w:t>2、协调性原则</w:t>
      </w:r>
    </w:p>
    <w:p w14:paraId="291464E6">
      <w:pPr>
        <w:spacing w:line="520" w:lineRule="exact"/>
        <w:ind w:firstLine="560"/>
        <w:rPr>
          <w:rFonts w:hint="eastAsia"/>
          <w:color w:val="auto"/>
          <w:szCs w:val="28"/>
          <w:highlight w:val="none"/>
        </w:rPr>
      </w:pPr>
      <w:r>
        <w:rPr>
          <w:rFonts w:hint="eastAsia"/>
          <w:color w:val="auto"/>
          <w:szCs w:val="28"/>
          <w:highlight w:val="none"/>
        </w:rPr>
        <w:t>本文件编写过程中注意了与</w:t>
      </w:r>
      <w:r>
        <w:rPr>
          <w:rFonts w:hint="eastAsia"/>
          <w:color w:val="auto"/>
          <w:kern w:val="0"/>
          <w:szCs w:val="28"/>
          <w:highlight w:val="none"/>
        </w:rPr>
        <w:t>腹膜透析患者随访</w:t>
      </w:r>
      <w:r>
        <w:rPr>
          <w:rFonts w:hint="eastAsia"/>
          <w:color w:val="auto"/>
          <w:szCs w:val="28"/>
          <w:highlight w:val="none"/>
        </w:rPr>
        <w:t>相关法律法规的协调问题，在内容上与现行法律法规、标准协调一致。</w:t>
      </w:r>
    </w:p>
    <w:p w14:paraId="0E6F8D32">
      <w:pPr>
        <w:spacing w:line="520" w:lineRule="exact"/>
        <w:ind w:firstLine="562"/>
        <w:rPr>
          <w:rFonts w:hint="eastAsia"/>
          <w:b/>
          <w:color w:val="auto"/>
          <w:szCs w:val="28"/>
          <w:highlight w:val="none"/>
        </w:rPr>
      </w:pPr>
      <w:r>
        <w:rPr>
          <w:rFonts w:hint="eastAsia"/>
          <w:b/>
          <w:color w:val="auto"/>
          <w:szCs w:val="28"/>
          <w:highlight w:val="none"/>
        </w:rPr>
        <w:t>3、规范性原则</w:t>
      </w:r>
    </w:p>
    <w:p w14:paraId="68886F22">
      <w:pPr>
        <w:spacing w:line="520" w:lineRule="exact"/>
        <w:ind w:firstLine="560"/>
        <w:rPr>
          <w:rFonts w:hint="eastAsia"/>
          <w:color w:val="auto"/>
          <w:szCs w:val="28"/>
          <w:highlight w:val="none"/>
        </w:rPr>
      </w:pPr>
      <w:r>
        <w:rPr>
          <w:rFonts w:hint="eastAsia"/>
          <w:color w:val="auto"/>
          <w:szCs w:val="28"/>
          <w:highlight w:val="none"/>
        </w:rPr>
        <w:t>本文件严格按照GB/T 1.1—2020《标准化工作导则  第1部分：标准化文件的结构和起草规则》编写本标准的内容，保证标准的编写质量。</w:t>
      </w:r>
    </w:p>
    <w:p w14:paraId="551C5F7D">
      <w:pPr>
        <w:spacing w:line="520" w:lineRule="exact"/>
        <w:ind w:firstLine="562"/>
        <w:rPr>
          <w:rFonts w:hint="eastAsia"/>
          <w:b/>
          <w:color w:val="auto"/>
          <w:szCs w:val="28"/>
          <w:highlight w:val="none"/>
        </w:rPr>
      </w:pPr>
      <w:r>
        <w:rPr>
          <w:rFonts w:hint="eastAsia"/>
          <w:b/>
          <w:color w:val="auto"/>
          <w:szCs w:val="28"/>
          <w:highlight w:val="none"/>
        </w:rPr>
        <w:t>4、前瞻性原则</w:t>
      </w:r>
    </w:p>
    <w:p w14:paraId="3C882D14">
      <w:pPr>
        <w:spacing w:line="520" w:lineRule="exact"/>
        <w:ind w:firstLine="560"/>
        <w:rPr>
          <w:rFonts w:hint="eastAsia"/>
          <w:color w:val="auto"/>
          <w:szCs w:val="28"/>
          <w:highlight w:val="none"/>
        </w:rPr>
      </w:pPr>
      <w:r>
        <w:rPr>
          <w:rFonts w:hint="eastAsia"/>
          <w:color w:val="auto"/>
          <w:szCs w:val="28"/>
          <w:highlight w:val="none"/>
        </w:rPr>
        <w:t>本文件在兼顾当前区内</w:t>
      </w:r>
      <w:r>
        <w:rPr>
          <w:rFonts w:hint="eastAsia"/>
          <w:color w:val="auto"/>
          <w:kern w:val="0"/>
          <w:szCs w:val="28"/>
          <w:highlight w:val="none"/>
        </w:rPr>
        <w:t>腹膜透析患者随访</w:t>
      </w:r>
      <w:r>
        <w:rPr>
          <w:rFonts w:hint="eastAsia"/>
          <w:color w:val="auto"/>
          <w:szCs w:val="28"/>
          <w:highlight w:val="none"/>
        </w:rPr>
        <w:t>现实情况的同时，还考虑到了</w:t>
      </w:r>
      <w:r>
        <w:rPr>
          <w:rFonts w:hint="eastAsia"/>
          <w:color w:val="auto"/>
          <w:kern w:val="0"/>
          <w:szCs w:val="28"/>
          <w:highlight w:val="none"/>
        </w:rPr>
        <w:t>腹膜透析患者随访</w:t>
      </w:r>
      <w:r>
        <w:rPr>
          <w:rFonts w:hint="eastAsia"/>
          <w:color w:val="auto"/>
          <w:szCs w:val="28"/>
          <w:highlight w:val="none"/>
        </w:rPr>
        <w:t>的需要，在标准中体现了个别特色性、前瞻性和先进性条款，作为对</w:t>
      </w:r>
      <w:r>
        <w:rPr>
          <w:rFonts w:hint="eastAsia"/>
          <w:color w:val="auto"/>
          <w:kern w:val="0"/>
          <w:szCs w:val="28"/>
          <w:highlight w:val="none"/>
        </w:rPr>
        <w:t>腹膜透析患者随访</w:t>
      </w:r>
      <w:r>
        <w:rPr>
          <w:rFonts w:hint="eastAsia"/>
          <w:color w:val="auto"/>
          <w:szCs w:val="28"/>
          <w:highlight w:val="none"/>
        </w:rPr>
        <w:t>发展的指导。</w:t>
      </w:r>
    </w:p>
    <w:p w14:paraId="4F363CF8">
      <w:pPr>
        <w:spacing w:line="520" w:lineRule="exact"/>
        <w:ind w:firstLine="562"/>
        <w:rPr>
          <w:rFonts w:hint="eastAsia"/>
          <w:b/>
          <w:bCs/>
          <w:color w:val="auto"/>
          <w:szCs w:val="28"/>
          <w:highlight w:val="none"/>
        </w:rPr>
      </w:pPr>
      <w:r>
        <w:rPr>
          <w:rFonts w:hint="eastAsia"/>
          <w:b/>
          <w:bCs/>
          <w:color w:val="auto"/>
          <w:szCs w:val="28"/>
          <w:highlight w:val="none"/>
        </w:rPr>
        <w:t>（二）编制依据</w:t>
      </w:r>
    </w:p>
    <w:p w14:paraId="6ECDD4BA">
      <w:pPr>
        <w:spacing w:line="520" w:lineRule="exact"/>
        <w:ind w:firstLine="560"/>
        <w:rPr>
          <w:rFonts w:hint="eastAsia"/>
          <w:color w:val="auto"/>
          <w:szCs w:val="28"/>
          <w:highlight w:val="none"/>
        </w:rPr>
      </w:pPr>
      <w:r>
        <w:rPr>
          <w:rFonts w:hint="eastAsia"/>
          <w:color w:val="auto"/>
          <w:szCs w:val="28"/>
          <w:highlight w:val="none"/>
        </w:rPr>
        <w:t>本标准严格按照GB/T 1.1—2020《标准化工作导则  第1部分：标准化文件的结构和起草规则》的规则起草，标准主要内容依据起草单位在</w:t>
      </w:r>
      <w:r>
        <w:rPr>
          <w:rFonts w:hint="eastAsia"/>
          <w:color w:val="auto"/>
          <w:kern w:val="0"/>
          <w:szCs w:val="28"/>
          <w:highlight w:val="none"/>
        </w:rPr>
        <w:t>腹膜透析患者随访</w:t>
      </w:r>
      <w:r>
        <w:rPr>
          <w:rFonts w:hint="eastAsia"/>
          <w:color w:val="auto"/>
          <w:szCs w:val="28"/>
          <w:highlight w:val="none"/>
        </w:rPr>
        <w:t>研究应用过程中的实践经验确定。</w:t>
      </w:r>
    </w:p>
    <w:p w14:paraId="6966CD38">
      <w:pPr>
        <w:spacing w:line="520" w:lineRule="exact"/>
        <w:ind w:firstLine="562"/>
        <w:rPr>
          <w:rFonts w:hint="eastAsia"/>
          <w:b/>
          <w:bCs/>
          <w:color w:val="auto"/>
          <w:szCs w:val="28"/>
          <w:highlight w:val="none"/>
        </w:rPr>
      </w:pPr>
      <w:r>
        <w:rPr>
          <w:rFonts w:hint="eastAsia"/>
          <w:b/>
          <w:bCs/>
          <w:color w:val="auto"/>
          <w:szCs w:val="28"/>
          <w:highlight w:val="none"/>
        </w:rPr>
        <w:t>（三）与现行法律、法规的关系，与有关国家标准、行业标准的协调情况</w:t>
      </w:r>
    </w:p>
    <w:p w14:paraId="27DBBBAE">
      <w:pPr>
        <w:spacing w:line="520" w:lineRule="exact"/>
        <w:ind w:firstLine="560"/>
        <w:rPr>
          <w:rFonts w:hint="eastAsia"/>
          <w:color w:val="auto"/>
          <w:szCs w:val="28"/>
          <w:highlight w:val="none"/>
        </w:rPr>
      </w:pPr>
      <w:r>
        <w:rPr>
          <w:rFonts w:hint="eastAsia"/>
          <w:color w:val="auto"/>
          <w:szCs w:val="28"/>
          <w:highlight w:val="none"/>
        </w:rPr>
        <w:t>本标准与相关法律法规、强制性标准协调一致，无冲突。</w:t>
      </w:r>
    </w:p>
    <w:p w14:paraId="33BBCFFD">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经查阅，国内暂无与“腹膜透析  患者随访”、“患者  随访”相关的标准有：</w:t>
      </w:r>
    </w:p>
    <w:p w14:paraId="4726E537">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1.《WS/T 483.12-2016  健康档案共享文档规范第12部分：高血压患者随访服务》规定了高血压患者随访记录的文档模板，文档架构的要求以及对文档头和文档体的一系列约束。适用于疾病管理中的高血压患者随访服务业务文档的应用。</w:t>
      </w:r>
    </w:p>
    <w:p w14:paraId="3A3453AF">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2.《WS/T 483.13-2016  健康档案共享文档规范第13部分：2型糖尿病患者随访服务》规定了2型糖尿病患者随访记录的文档模板、文档架构的要求以及对文档头和文档体的一系列约束。适用于疾病管理中的2型糖尿病患者随访服务业务文档的应用。</w:t>
      </w:r>
    </w:p>
    <w:p w14:paraId="047B3F36">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3.《WS/T 483.15-2016  健康档案共享文档规范第15部分：重性精神疾病患者随访服务》规定了重性精神疾病患者随访服务业务的文档模板、文档架构的要求以及对文档头和文档体的一系列约束。适用于疾病管理中的重性精神疾病患者随访服务业务文档的应用。</w:t>
      </w:r>
    </w:p>
    <w:p w14:paraId="0734BDE8">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4.《T/ZCHSP 006-2024  妊娠用药咨询门诊患者随访规范》规定了妊娠用药咨询门诊患者随访的基本要求、随访对象及模式、随访流程、质量控制等内容。适用于开展妊娠用药咨询门诊患者随访工作的医疗机构，其他涉及妊娠用药咨询服务的机构开展随访工作可参照执行。</w:t>
      </w:r>
    </w:p>
    <w:p w14:paraId="0D66251B">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5.《T/CHAS 10-2-33-2019  中国医院质量安全管理  第2-33部分：患者服务  随访服务》规范了出院患者随访准备、随访实施与随访管理等主要质量安全管理相关的医疗随访服务标准，明确了医疗随访服务关键要素。适用于医疗机构临床医务人员开展出院患者医疗随访服务及其质量安全的管理与评价。</w:t>
      </w:r>
    </w:p>
    <w:p w14:paraId="22AA3CA6">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6.《T/GDACM 0128—2024  中医慢病管理技术规范  腹膜透析》规定了腹膜透析中医慢病管理基本要求、流程、内容和方法等。适用于各级中医院、社区卫生机构、健康服务机构、健康管理机构，用于指导和规范腹膜透析中医健康管理技术。</w:t>
      </w:r>
    </w:p>
    <w:p w14:paraId="77E57CD9">
      <w:pPr>
        <w:adjustRightInd w:val="0"/>
        <w:snapToGrid w:val="0"/>
        <w:spacing w:line="520" w:lineRule="exact"/>
        <w:ind w:firstLine="560"/>
        <w:rPr>
          <w:rFonts w:hint="eastAsia" w:cs="仿宋"/>
          <w:bCs/>
          <w:color w:val="auto"/>
          <w:szCs w:val="28"/>
          <w:highlight w:val="none"/>
        </w:rPr>
      </w:pPr>
      <w:r>
        <w:rPr>
          <w:rFonts w:hint="eastAsia" w:cs="仿宋"/>
          <w:bCs/>
          <w:color w:val="auto"/>
          <w:szCs w:val="28"/>
          <w:highlight w:val="none"/>
        </w:rPr>
        <w:t>上述标准主要是针对高血压、2型糖尿病、重性精神疾病、妊娠用药咨询等方面的患者的随访服务，而本标准针对肾脏疾病进行腹膜透析的患者进行随访管理，两者的标准化对象不一致。《T/GDACM 0128—2024  中医慢病管理技术规范  腹膜透析》通过建立健康档案，确立分级管理、定制管理项目，提出实施随访计划、随访频次、注意事项对腹膜透析进行随访管理。本标准通过确定腹膜透析的临床路径，细化随访形式（应用戴明环持续质量改善理论，实施腹膜透析个案随访管理，从（评估—计划—实施—反馈—评价—预约下次复诊—再评估）形成系统的随访管理，并按分级管理标准的分值确定随访频率，能更好地对腹膜透析患者进行高效的随访管理，充分体现出本标准的原创性、先进性的特色与特点。</w:t>
      </w:r>
    </w:p>
    <w:p w14:paraId="39F39B26">
      <w:pPr>
        <w:adjustRightInd w:val="0"/>
        <w:snapToGrid w:val="0"/>
        <w:spacing w:line="520" w:lineRule="exact"/>
        <w:ind w:firstLine="560"/>
        <w:rPr>
          <w:rFonts w:hint="eastAsia"/>
          <w:color w:val="auto"/>
          <w:highlight w:val="none"/>
        </w:rPr>
      </w:pPr>
      <w:r>
        <w:rPr>
          <w:rFonts w:hint="eastAsia" w:cs="仿宋"/>
          <w:bCs/>
          <w:color w:val="auto"/>
          <w:szCs w:val="28"/>
          <w:highlight w:val="none"/>
        </w:rPr>
        <w:t>当前未制定有团体标准《腹膜透析患者随访规范》。</w:t>
      </w:r>
    </w:p>
    <w:p w14:paraId="5193E6A2">
      <w:pPr>
        <w:spacing w:before="240" w:after="60" w:line="520" w:lineRule="exact"/>
        <w:ind w:firstLine="640"/>
        <w:jc w:val="left"/>
        <w:outlineLvl w:val="0"/>
        <w:rPr>
          <w:rFonts w:hint="eastAsia" w:ascii="黑体" w:eastAsia="黑体"/>
          <w:bCs/>
          <w:color w:val="auto"/>
          <w:sz w:val="32"/>
          <w:szCs w:val="32"/>
          <w:highlight w:val="none"/>
        </w:rPr>
      </w:pPr>
      <w:r>
        <w:rPr>
          <w:rFonts w:hint="eastAsia" w:ascii="黑体" w:eastAsia="黑体"/>
          <w:bCs/>
          <w:color w:val="auto"/>
          <w:sz w:val="32"/>
          <w:szCs w:val="32"/>
          <w:highlight w:val="none"/>
        </w:rPr>
        <w:t>五、主要条款的说明</w:t>
      </w:r>
    </w:p>
    <w:p w14:paraId="3203A8EC">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标准技术内容规定了</w:t>
      </w:r>
      <w:r>
        <w:rPr>
          <w:rFonts w:hint="eastAsia" w:ascii="仿宋_GB2312" w:eastAsia="仿宋_GB2312" w:cs="仿宋"/>
          <w:color w:val="auto"/>
          <w:sz w:val="28"/>
          <w:szCs w:val="28"/>
          <w:highlight w:val="none"/>
        </w:rPr>
        <w:t>腹膜透析患者随访的人员要求、评估流程、评估内容的要求。</w:t>
      </w:r>
    </w:p>
    <w:p w14:paraId="517437EE">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（一）随访人员要求</w:t>
      </w:r>
    </w:p>
    <w:p w14:paraId="72928943">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1. 负责随访的医务人员包括腹膜透析中心负责医生、腹膜透析专科医生和专职护士，应经过至少3个月的腹膜透析理论和临床培训并考核合格，熟悉腹膜透析的相关知识和操作流程，熟悉腹膜透析随访管理规范。确保随访人员掌握必需的专业知识、操作技能及管理规范，能准确评估患者状</w:t>
      </w:r>
      <w:r>
        <w:rPr>
          <w:rFonts w:hint="eastAsia" w:ascii="仿宋_GB2312" w:eastAsia="仿宋_GB2312" w:cs="仿宋"/>
          <w:color w:val="auto"/>
          <w:sz w:val="28"/>
          <w:szCs w:val="28"/>
          <w:highlight w:val="none"/>
        </w:rPr>
        <w:t>况、识别并发症风险，从而保障治疗安全和有效性。</w:t>
      </w:r>
    </w:p>
    <w:p w14:paraId="7AA8CD71">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2. 随访人员应具备良好</w:t>
      </w:r>
      <w:r>
        <w:rPr>
          <w:rFonts w:hint="eastAsia" w:ascii="仿宋_GB2312" w:eastAsia="仿宋_GB2312" w:cs="仿宋"/>
          <w:color w:val="auto"/>
          <w:sz w:val="28"/>
          <w:szCs w:val="28"/>
          <w:highlight w:val="none"/>
        </w:rPr>
        <w:t>的沟通能力和患者教育技巧。良好的沟通和教育技巧是指导患者正确居家操作、提升自我管理能力、建立信任关系、及时发现潜在问题并确保长期治疗依从性的核心要素。</w:t>
      </w:r>
    </w:p>
    <w:p w14:paraId="38DE5CDD">
      <w:pPr>
        <w:pStyle w:val="29"/>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（二）随访方式</w:t>
      </w:r>
    </w:p>
    <w:p w14:paraId="459D6B04">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1. 根据随访实现先后排序，随访方式包括门诊随访、住院随访、电话随访、网络随访、家庭随访等方式。</w:t>
      </w:r>
    </w:p>
    <w:p w14:paraId="431F6566">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2. 按随访频率不同，确定随访指标。</w:t>
      </w:r>
    </w:p>
    <w:p w14:paraId="2681D7F1">
      <w:pPr>
        <w:pStyle w:val="29"/>
        <w:spacing w:line="520" w:lineRule="exact"/>
        <w:ind w:firstLine="562"/>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b/>
          <w:bCs/>
          <w:color w:val="auto"/>
          <w:sz w:val="28"/>
          <w:szCs w:val="28"/>
          <w:highlight w:val="none"/>
        </w:rPr>
        <w:t>腹膜透析随访管理临床路径：</w:t>
      </w:r>
      <w:r>
        <w:rPr>
          <w:rFonts w:hint="eastAsia" w:ascii="仿宋_GB2312" w:hAnsi="仿宋_GB2312" w:eastAsia="仿宋_GB2312" w:cs="仿宋_GB2312"/>
          <w:color w:val="auto"/>
          <w:sz w:val="28"/>
          <w:szCs w:val="28"/>
          <w:highlight w:val="none"/>
        </w:rPr>
        <w:t>腹膜透析是一种居家终末期肾病替代治疗的方式，所以对延续性随访管理具有较高的需求，但缺乏统一的随访管理标准和内容，为此需要制定标准化腹膜透析随访管理路径，明确随访的时间、频率、形式和内容，并推行以临床路径为指引，以指标监测为主线、以结果为导向的全病程管理，实现基于循证动态的诊疗及管理，确保诊疗管理的个性化精准性，提高患者的健康水平。</w:t>
      </w:r>
    </w:p>
    <w:p w14:paraId="5E4602E1">
      <w:pPr>
        <w:pStyle w:val="29"/>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（三）随访周期与频率</w:t>
      </w:r>
    </w:p>
    <w:p w14:paraId="3EE952C5">
      <w:pPr>
        <w:pStyle w:val="29"/>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1. 门诊随访</w:t>
      </w:r>
    </w:p>
    <w:p w14:paraId="18193206">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腹膜透析置管术后半年内因导管感染风险最高、需频繁调整透析处方确保充分性、且患者及操作者处于技术学习和适应关键期，密集随访能早期发现问题并干预，因此要每月门诊随访；</w:t>
      </w:r>
    </w:p>
    <w:p w14:paraId="19A0DD95">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病情稳定时风险相对降低、处方趋于平稳，定期监测即可维持，因此病情稳定半年后延长至1</w:t>
      </w:r>
      <w:r>
        <w:rPr>
          <w:rFonts w:ascii="Times New Roman" w:hAnsi="Times New Roman" w:eastAsia="仿宋_GB2312" w:cs="Times New Roman"/>
          <w:color w:val="auto"/>
          <w:sz w:val="28"/>
          <w:szCs w:val="28"/>
          <w:highlight w:val="none"/>
        </w:rPr>
        <w:t>~</w:t>
      </w:r>
      <w:r>
        <w:rPr>
          <w:rFonts w:hint="eastAsia" w:ascii="仿宋_GB2312" w:eastAsia="仿宋_GB2312" w:cs="仿宋"/>
          <w:color w:val="auto"/>
          <w:sz w:val="28"/>
          <w:szCs w:val="28"/>
          <w:highlight w:val="none"/>
        </w:rPr>
        <w:t>3月/次；但任何不稳定迹象（如感染、引流不畅、容量问题）都需立即就诊以防严重后果。</w:t>
      </w:r>
    </w:p>
    <w:p w14:paraId="4B6168F5">
      <w:pPr>
        <w:pStyle w:val="29"/>
        <w:numPr>
          <w:ilvl w:val="0"/>
          <w:numId w:val="9"/>
        </w:numPr>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住院随访</w:t>
      </w:r>
    </w:p>
    <w:p w14:paraId="730451F2">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腹膜透析置管术后术后早期腹膜处于磨合期，需</w:t>
      </w:r>
      <w:r>
        <w:rPr>
          <w:rFonts w:hint="eastAsia" w:ascii="仿宋_GB2312" w:eastAsia="仿宋_GB2312" w:cs="仿宋"/>
          <w:color w:val="auto"/>
          <w:sz w:val="28"/>
          <w:szCs w:val="28"/>
          <w:highlight w:val="none"/>
        </w:rPr>
        <w:t>在术后</w:t>
      </w:r>
      <w:r>
        <w:rPr>
          <w:rFonts w:ascii="仿宋_GB2312" w:eastAsia="仿宋_GB2312" w:cs="仿宋"/>
          <w:color w:val="auto"/>
          <w:sz w:val="28"/>
          <w:szCs w:val="28"/>
          <w:highlight w:val="none"/>
        </w:rPr>
        <w:t>通过PET精准测定溶质转运速率（高/低转运），这是制定个体化透析处方的核心依据</w:t>
      </w:r>
      <w:r>
        <w:rPr>
          <w:rFonts w:hint="eastAsia" w:ascii="仿宋_GB2312" w:eastAsia="仿宋_GB2312" w:cs="仿宋"/>
          <w:color w:val="auto"/>
          <w:sz w:val="28"/>
          <w:szCs w:val="28"/>
          <w:highlight w:val="none"/>
        </w:rPr>
        <w:t>；住院确保严格标准化操作（统一透析液浓度、留腹时间、体位），避免居家操作误差影响结果。</w:t>
      </w:r>
    </w:p>
    <w:p w14:paraId="07C8B40B">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长期透析可能导致腹膜纤维化/硬化（如葡萄糖暴露、反复腹膜炎），PET能早期发现超滤衰竭或溶质清除能力下降，因此规律腹膜透析后每半年住院随访1次。</w:t>
      </w:r>
    </w:p>
    <w:p w14:paraId="39AFB8AD">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腹膜炎痊愈后1个月住院随访：腹膜炎可引起腹膜炎症反应和微结构损伤，住院复查PET+透出液生物标志物可量化腹膜残余损伤程度，预测远期功能。腹膜炎可能复发，住院期间严密监测透出液细胞计数、培养，确保感染彻底清除。若发现腹膜功能受损（如高转运状态导致超滤减少），需重新设计透析策略或提前准备转血液透析。</w:t>
      </w:r>
    </w:p>
    <w:p w14:paraId="254CA4E8">
      <w:pPr>
        <w:pStyle w:val="29"/>
        <w:numPr>
          <w:ilvl w:val="0"/>
          <w:numId w:val="9"/>
        </w:numPr>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电话随访</w:t>
      </w:r>
    </w:p>
    <w:p w14:paraId="085F2CE1">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新置管/术后患者（出院7天内）：高频随访（首周），因导管感染、操作失误风险最高；</w:t>
      </w:r>
    </w:p>
    <w:p w14:paraId="464969FC">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病情不稳定者（如腹膜炎痊愈初期、心衰）：需密集监测（每周1-2次），预防并发症恶化；</w:t>
      </w:r>
    </w:p>
    <w:p w14:paraId="0973D5DF">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稳定期患者：低频随访（1</w:t>
      </w:r>
      <w:r>
        <w:rPr>
          <w:rFonts w:ascii="Times New Roman" w:hAnsi="Times New Roman" w:eastAsia="仿宋_GB2312" w:cs="Times New Roman"/>
          <w:color w:val="auto"/>
          <w:sz w:val="28"/>
          <w:szCs w:val="28"/>
          <w:highlight w:val="none"/>
        </w:rPr>
        <w:t>~</w:t>
      </w:r>
      <w:r>
        <w:rPr>
          <w:rFonts w:hint="eastAsia" w:ascii="仿宋_GB2312" w:eastAsia="仿宋_GB2312" w:cs="仿宋"/>
          <w:color w:val="auto"/>
          <w:sz w:val="28"/>
          <w:szCs w:val="28"/>
          <w:highlight w:val="none"/>
        </w:rPr>
        <w:t>3月1次），确保基础安全的同时节省医疗资源；</w:t>
      </w:r>
    </w:p>
    <w:p w14:paraId="3BE08003">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腹膜透析分级</w:t>
      </w:r>
      <w:r>
        <w:rPr>
          <w:rFonts w:hint="eastAsia" w:ascii="仿宋_GB2312" w:hAnsi="仿宋_GB2312" w:eastAsia="仿宋_GB2312" w:cs="仿宋_GB2312"/>
          <w:b/>
          <w:bCs/>
          <w:color w:val="auto"/>
          <w:sz w:val="28"/>
          <w:szCs w:val="28"/>
          <w:highlight w:val="none"/>
        </w:rPr>
        <w:t>管理评估表：</w:t>
      </w:r>
      <w:r>
        <w:rPr>
          <w:rFonts w:hint="eastAsia" w:ascii="仿宋_GB2312" w:hAnsi="仿宋_GB2312" w:eastAsia="仿宋_GB2312" w:cs="仿宋_GB2312"/>
          <w:color w:val="auto"/>
          <w:sz w:val="28"/>
          <w:szCs w:val="28"/>
          <w:highlight w:val="none"/>
        </w:rPr>
        <w:t>不同的患者个体或同一患者个体在疾病的不同阶段病情存在差异，为保障管理的全面性及个性化精准性，以节省人力，提高了工作效率，提高患者的管理质量。以Kaiser Triangle慢性疾病管理模型和分级护理方式为理论框架，从患者常见并发症（如容量超负荷、贫血、营养、CKD-MBD、腹膜炎等）、治疗依从性、心理及睡眠等12个指标维度确定24项内容，根据每项内容的不同严重程度赋予分值，经过专家咨询形成标准的腹膜透析分级管理评估表，应用该评估表对患者进行评估，根据分值将患者分为重患者、高危患者和平稳患者3个层次进行管理，并提供相应的个案护理。</w:t>
      </w:r>
    </w:p>
    <w:p w14:paraId="2E9BCF2E">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容量情况</w:t>
      </w:r>
      <w:r>
        <w:rPr>
          <w:rFonts w:hint="eastAsia" w:ascii="仿宋_GB2312" w:eastAsia="仿宋_GB2312" w:cs="仿宋"/>
          <w:color w:val="auto"/>
          <w:sz w:val="28"/>
          <w:szCs w:val="28"/>
          <w:highlight w:val="none"/>
        </w:rPr>
        <w:t>的随访管理内容参考《腹膜透析患者容量管理的最佳证据总结》、《腹膜透析透析标准操作规程（2010版）》、《慢性肾脏病高血压指南解读》和《&lt;中国透析患者慢性心力衰竭管理指南&gt;解读》并结合起草单位的工作实际而确定。</w:t>
      </w:r>
    </w:p>
    <w:p w14:paraId="2A67D441">
      <w:pPr>
        <w:pStyle w:val="29"/>
        <w:ind w:firstLine="0" w:firstLineChars="0"/>
        <w:jc w:val="center"/>
        <w:rPr>
          <w:rFonts w:ascii="仿宋_GB2312" w:eastAsia="仿宋_GB2312" w:cs="仿宋"/>
          <w:color w:val="auto"/>
          <w:sz w:val="28"/>
          <w:szCs w:val="28"/>
          <w:highlight w:val="none"/>
        </w:rPr>
      </w:pPr>
      <w:r>
        <w:rPr>
          <w:color w:val="auto"/>
          <w:highlight w:val="none"/>
        </w:rPr>
        <w:drawing>
          <wp:inline distT="0" distB="0" distL="114300" distR="114300">
            <wp:extent cx="4719320" cy="1372870"/>
            <wp:effectExtent l="9525" t="9525" r="14605" b="27305"/>
            <wp:docPr id="6" name="图片 6" descr="988886594c8e8187d7021333f8ec9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88886594c8e8187d7021333f8ec958"/>
                    <pic:cNvPicPr>
                      <a:picLocks noChangeAspect="1"/>
                    </pic:cNvPicPr>
                  </pic:nvPicPr>
                  <pic:blipFill>
                    <a:blip r:embed="rId7"/>
                    <a:stretch>
                      <a:fillRect/>
                    </a:stretch>
                  </pic:blipFill>
                  <pic:spPr>
                    <a:xfrm>
                      <a:off x="0" y="0"/>
                      <a:ext cx="4719320" cy="1372870"/>
                    </a:xfrm>
                    <a:prstGeom prst="rect">
                      <a:avLst/>
                    </a:prstGeom>
                    <a:ln>
                      <a:solidFill>
                        <a:schemeClr val="tx1"/>
                      </a:solidFill>
                    </a:ln>
                  </pic:spPr>
                </pic:pic>
              </a:graphicData>
            </a:graphic>
          </wp:inline>
        </w:drawing>
      </w:r>
    </w:p>
    <w:p w14:paraId="6C469275">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来源：腹膜透析患者容量管理的最佳证据总结</w:t>
      </w:r>
    </w:p>
    <w:p w14:paraId="6A6D9254">
      <w:pPr>
        <w:pStyle w:val="29"/>
        <w:widowControl w:val="0"/>
        <w:ind w:firstLine="0" w:firstLineChars="0"/>
        <w:jc w:val="center"/>
        <w:rPr>
          <w:rFonts w:hint="eastAsia" w:ascii="黑体" w:hAnsi="黑体" w:eastAsia="黑体" w:cs="黑体"/>
          <w:color w:val="auto"/>
          <w:szCs w:val="21"/>
          <w:highlight w:val="none"/>
        </w:rPr>
      </w:pPr>
      <w:r>
        <w:rPr>
          <w:color w:val="auto"/>
          <w:highlight w:val="none"/>
        </w:rPr>
        <w:drawing>
          <wp:inline distT="0" distB="0" distL="114300" distR="114300">
            <wp:extent cx="2316480" cy="1547495"/>
            <wp:effectExtent l="9525" t="9525" r="17145" b="2413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8"/>
                    <a:stretch>
                      <a:fillRect/>
                    </a:stretch>
                  </pic:blipFill>
                  <pic:spPr>
                    <a:xfrm>
                      <a:off x="0" y="0"/>
                      <a:ext cx="2316480" cy="1547495"/>
                    </a:xfrm>
                    <a:prstGeom prst="rect">
                      <a:avLst/>
                    </a:prstGeom>
                    <a:noFill/>
                    <a:ln>
                      <a:solidFill>
                        <a:schemeClr val="tx1"/>
                      </a:solidFill>
                    </a:ln>
                  </pic:spPr>
                </pic:pic>
              </a:graphicData>
            </a:graphic>
          </wp:inline>
        </w:drawing>
      </w:r>
      <w:r>
        <w:rPr>
          <w:color w:val="auto"/>
          <w:highlight w:val="none"/>
        </w:rPr>
        <w:drawing>
          <wp:inline distT="0" distB="0" distL="114300" distR="114300">
            <wp:extent cx="2231390" cy="1528445"/>
            <wp:effectExtent l="9525" t="9525" r="19685" b="1143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9"/>
                    <a:stretch>
                      <a:fillRect/>
                    </a:stretch>
                  </pic:blipFill>
                  <pic:spPr>
                    <a:xfrm>
                      <a:off x="0" y="0"/>
                      <a:ext cx="2231390" cy="1528445"/>
                    </a:xfrm>
                    <a:prstGeom prst="rect">
                      <a:avLst/>
                    </a:prstGeom>
                    <a:noFill/>
                    <a:ln>
                      <a:solidFill>
                        <a:schemeClr val="tx1"/>
                      </a:solidFill>
                    </a:ln>
                  </pic:spPr>
                </pic:pic>
              </a:graphicData>
            </a:graphic>
          </wp:inline>
        </w:drawing>
      </w:r>
    </w:p>
    <w:p w14:paraId="08939C3A">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来源：腹膜透析透析标准操作规程（2010版）</w:t>
      </w:r>
    </w:p>
    <w:p w14:paraId="21DD0C47">
      <w:pPr>
        <w:pStyle w:val="29"/>
        <w:ind w:firstLine="0" w:firstLineChars="0"/>
        <w:jc w:val="center"/>
        <w:rPr>
          <w:rFonts w:ascii="仿宋_GB2312" w:eastAsia="仿宋_GB2312" w:cs="仿宋"/>
          <w:color w:val="auto"/>
          <w:sz w:val="28"/>
          <w:szCs w:val="28"/>
          <w:highlight w:val="none"/>
        </w:rPr>
      </w:pPr>
      <w:r>
        <w:rPr>
          <w:rFonts w:hint="eastAsia"/>
          <w:color w:val="auto"/>
          <w:highlight w:val="none"/>
        </w:rPr>
        <w:drawing>
          <wp:inline distT="0" distB="0" distL="114300" distR="114300">
            <wp:extent cx="4204335" cy="3883660"/>
            <wp:effectExtent l="9525" t="9525" r="15240" b="12065"/>
            <wp:docPr id="45" name="图片 45" descr="d3011d8f1b677a607c04a992412ddb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3011d8f1b677a607c04a992412ddb8"/>
                    <pic:cNvPicPr>
                      <a:picLocks noChangeAspect="1"/>
                    </pic:cNvPicPr>
                  </pic:nvPicPr>
                  <pic:blipFill>
                    <a:blip r:embed="rId10"/>
                    <a:stretch>
                      <a:fillRect/>
                    </a:stretch>
                  </pic:blipFill>
                  <pic:spPr>
                    <a:xfrm>
                      <a:off x="0" y="0"/>
                      <a:ext cx="4204335" cy="3883660"/>
                    </a:xfrm>
                    <a:prstGeom prst="rect">
                      <a:avLst/>
                    </a:prstGeom>
                    <a:ln>
                      <a:solidFill>
                        <a:schemeClr val="tx1"/>
                      </a:solidFill>
                    </a:ln>
                  </pic:spPr>
                </pic:pic>
              </a:graphicData>
            </a:graphic>
          </wp:inline>
        </w:drawing>
      </w:r>
    </w:p>
    <w:p w14:paraId="382CC3E7">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来源：慢性肾脏病高血压指南解读</w:t>
      </w:r>
    </w:p>
    <w:p w14:paraId="28645308">
      <w:pPr>
        <w:pStyle w:val="29"/>
        <w:ind w:firstLine="0" w:firstLineChars="0"/>
        <w:jc w:val="center"/>
        <w:rPr>
          <w:rFonts w:ascii="仿宋_GB2312" w:eastAsia="仿宋_GB2312" w:cs="仿宋"/>
          <w:color w:val="auto"/>
          <w:sz w:val="28"/>
          <w:szCs w:val="28"/>
          <w:highlight w:val="none"/>
        </w:rPr>
      </w:pPr>
      <w:r>
        <w:rPr>
          <w:rFonts w:hint="eastAsia"/>
          <w:color w:val="auto"/>
          <w:highlight w:val="none"/>
        </w:rPr>
        <w:drawing>
          <wp:inline distT="0" distB="0" distL="114300" distR="114300">
            <wp:extent cx="4286885" cy="1141095"/>
            <wp:effectExtent l="9525" t="9525" r="27940" b="11430"/>
            <wp:docPr id="28" name="图片 28" descr="15e0c1475ed49b9bbfe1171af1fbf0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15e0c1475ed49b9bbfe1171af1fbf0b"/>
                    <pic:cNvPicPr>
                      <a:picLocks noChangeAspect="1"/>
                    </pic:cNvPicPr>
                  </pic:nvPicPr>
                  <pic:blipFill>
                    <a:blip r:embed="rId11"/>
                    <a:stretch>
                      <a:fillRect/>
                    </a:stretch>
                  </pic:blipFill>
                  <pic:spPr>
                    <a:xfrm>
                      <a:off x="0" y="0"/>
                      <a:ext cx="4286885" cy="1141095"/>
                    </a:xfrm>
                    <a:prstGeom prst="rect">
                      <a:avLst/>
                    </a:prstGeom>
                    <a:ln>
                      <a:solidFill>
                        <a:schemeClr val="tx1"/>
                      </a:solidFill>
                    </a:ln>
                  </pic:spPr>
                </pic:pic>
              </a:graphicData>
            </a:graphic>
          </wp:inline>
        </w:drawing>
      </w:r>
    </w:p>
    <w:p w14:paraId="2BD212C7">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来源：《中国透析患者慢性心力衰竭管理指南》解读</w:t>
      </w:r>
    </w:p>
    <w:p w14:paraId="352730F7">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透析充分性</w:t>
      </w:r>
      <w:r>
        <w:rPr>
          <w:rFonts w:hint="eastAsia" w:ascii="仿宋_GB2312" w:eastAsia="仿宋_GB2312" w:cs="仿宋"/>
          <w:color w:val="auto"/>
          <w:sz w:val="28"/>
          <w:szCs w:val="28"/>
          <w:highlight w:val="none"/>
        </w:rPr>
        <w:t>的随访管理内容参考了《腹膜透析透析标准操作规程（2010版）》。</w:t>
      </w:r>
    </w:p>
    <w:p w14:paraId="3B8E30F3">
      <w:pPr>
        <w:pStyle w:val="29"/>
        <w:ind w:firstLine="0" w:firstLineChars="0"/>
        <w:jc w:val="center"/>
        <w:rPr>
          <w:rFonts w:ascii="仿宋_GB2312" w:eastAsia="仿宋_GB2312" w:cs="仿宋"/>
          <w:color w:val="auto"/>
          <w:sz w:val="28"/>
          <w:szCs w:val="28"/>
          <w:highlight w:val="none"/>
        </w:rPr>
      </w:pPr>
      <w:r>
        <w:rPr>
          <w:color w:val="auto"/>
          <w:highlight w:val="none"/>
        </w:rPr>
        <w:drawing>
          <wp:inline distT="0" distB="0" distL="114300" distR="114300">
            <wp:extent cx="3848100" cy="1800225"/>
            <wp:effectExtent l="9525" t="9525" r="9525" b="19050"/>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2"/>
                    <a:stretch>
                      <a:fillRect/>
                    </a:stretch>
                  </pic:blipFill>
                  <pic:spPr>
                    <a:xfrm>
                      <a:off x="0" y="0"/>
                      <a:ext cx="3848100" cy="1800225"/>
                    </a:xfrm>
                    <a:prstGeom prst="rect">
                      <a:avLst/>
                    </a:prstGeom>
                    <a:noFill/>
                    <a:ln>
                      <a:solidFill>
                        <a:schemeClr val="tx1"/>
                      </a:solidFill>
                    </a:ln>
                  </pic:spPr>
                </pic:pic>
              </a:graphicData>
            </a:graphic>
          </wp:inline>
        </w:drawing>
      </w:r>
    </w:p>
    <w:p w14:paraId="58F89D1D">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来源：腹膜透析透析标准操作规程（2010版）</w:t>
      </w:r>
    </w:p>
    <w:p w14:paraId="54B03C46">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生化指标</w:t>
      </w:r>
      <w:r>
        <w:rPr>
          <w:rFonts w:hint="eastAsia" w:ascii="仿宋_GB2312" w:eastAsia="仿宋_GB2312" w:cs="仿宋"/>
          <w:color w:val="auto"/>
          <w:sz w:val="28"/>
          <w:szCs w:val="28"/>
          <w:highlight w:val="none"/>
        </w:rPr>
        <w:t>的随访管理内容参考了《慢性肾脏病高钾血症风险评估及管理专家建议（2020版）》。</w:t>
      </w:r>
    </w:p>
    <w:p w14:paraId="08052200">
      <w:pPr>
        <w:pStyle w:val="29"/>
        <w:ind w:firstLine="0" w:firstLineChars="0"/>
        <w:jc w:val="center"/>
        <w:rPr>
          <w:rFonts w:ascii="仿宋_GB2312" w:eastAsia="仿宋_GB2312" w:cs="仿宋"/>
          <w:color w:val="auto"/>
          <w:sz w:val="28"/>
          <w:szCs w:val="28"/>
          <w:highlight w:val="none"/>
        </w:rPr>
      </w:pPr>
      <w:r>
        <w:rPr>
          <w:color w:val="auto"/>
          <w:highlight w:val="none"/>
        </w:rPr>
        <w:drawing>
          <wp:inline distT="0" distB="0" distL="114300" distR="114300">
            <wp:extent cx="2593340" cy="1605915"/>
            <wp:effectExtent l="9525" t="9525" r="26035" b="22860"/>
            <wp:docPr id="26"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4"/>
                    <pic:cNvPicPr>
                      <a:picLocks noChangeAspect="1"/>
                    </pic:cNvPicPr>
                  </pic:nvPicPr>
                  <pic:blipFill>
                    <a:blip r:embed="rId13"/>
                    <a:srcRect l="1904" t="21753" r="52669" b="7990"/>
                    <a:stretch>
                      <a:fillRect/>
                    </a:stretch>
                  </pic:blipFill>
                  <pic:spPr>
                    <a:xfrm>
                      <a:off x="0" y="0"/>
                      <a:ext cx="2593340" cy="1605915"/>
                    </a:xfrm>
                    <a:prstGeom prst="rect">
                      <a:avLst/>
                    </a:prstGeom>
                    <a:noFill/>
                    <a:ln>
                      <a:solidFill>
                        <a:schemeClr val="tx1"/>
                      </a:solidFill>
                    </a:ln>
                  </pic:spPr>
                </pic:pic>
              </a:graphicData>
            </a:graphic>
          </wp:inline>
        </w:drawing>
      </w:r>
      <w:r>
        <w:rPr>
          <w:color w:val="auto"/>
          <w:highlight w:val="none"/>
        </w:rPr>
        <w:drawing>
          <wp:inline distT="0" distB="0" distL="114300" distR="114300">
            <wp:extent cx="2773680" cy="1616075"/>
            <wp:effectExtent l="9525" t="9525" r="17145" b="12700"/>
            <wp:docPr id="2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0"/>
                    <pic:cNvPicPr>
                      <a:picLocks noChangeAspect="1"/>
                    </pic:cNvPicPr>
                  </pic:nvPicPr>
                  <pic:blipFill>
                    <a:blip r:embed="rId14"/>
                    <a:srcRect t="15120"/>
                    <a:stretch>
                      <a:fillRect/>
                    </a:stretch>
                  </pic:blipFill>
                  <pic:spPr>
                    <a:xfrm>
                      <a:off x="0" y="0"/>
                      <a:ext cx="2773680" cy="1616075"/>
                    </a:xfrm>
                    <a:prstGeom prst="rect">
                      <a:avLst/>
                    </a:prstGeom>
                    <a:noFill/>
                    <a:ln>
                      <a:solidFill>
                        <a:schemeClr val="tx1"/>
                      </a:solidFill>
                    </a:ln>
                  </pic:spPr>
                </pic:pic>
              </a:graphicData>
            </a:graphic>
          </wp:inline>
        </w:drawing>
      </w:r>
    </w:p>
    <w:p w14:paraId="47F601F0">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来源：慢性肾脏病高钾血症风险评估及管理专家建议（2020版）</w:t>
      </w:r>
    </w:p>
    <w:p w14:paraId="43B526E9">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贫血指标</w:t>
      </w:r>
      <w:r>
        <w:rPr>
          <w:rFonts w:hint="eastAsia" w:ascii="仿宋_GB2312" w:eastAsia="仿宋_GB2312" w:cs="仿宋"/>
          <w:color w:val="auto"/>
          <w:sz w:val="28"/>
          <w:szCs w:val="28"/>
          <w:highlight w:val="none"/>
        </w:rPr>
        <w:t>的随访管理内容参考了《中国肾性贫血诊治临床实践指南》。</w:t>
      </w:r>
    </w:p>
    <w:p w14:paraId="17A28081">
      <w:pPr>
        <w:pStyle w:val="29"/>
        <w:ind w:firstLine="0" w:firstLineChars="0"/>
        <w:jc w:val="center"/>
        <w:rPr>
          <w:rFonts w:ascii="仿宋_GB2312" w:eastAsia="仿宋_GB2312" w:cs="仿宋"/>
          <w:color w:val="auto"/>
          <w:sz w:val="28"/>
          <w:szCs w:val="28"/>
          <w:highlight w:val="none"/>
        </w:rPr>
      </w:pPr>
      <w:r>
        <w:rPr>
          <w:color w:val="auto"/>
          <w:highlight w:val="none"/>
        </w:rPr>
        <w:drawing>
          <wp:inline distT="0" distB="0" distL="114300" distR="114300">
            <wp:extent cx="2104390" cy="1714500"/>
            <wp:effectExtent l="9525" t="9525" r="19685" b="9525"/>
            <wp:docPr id="1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8"/>
                    <pic:cNvPicPr>
                      <a:picLocks noChangeAspect="1"/>
                    </pic:cNvPicPr>
                  </pic:nvPicPr>
                  <pic:blipFill>
                    <a:blip r:embed="rId15"/>
                    <a:srcRect l="6306" t="39764" r="44036"/>
                    <a:stretch>
                      <a:fillRect/>
                    </a:stretch>
                  </pic:blipFill>
                  <pic:spPr>
                    <a:xfrm>
                      <a:off x="0" y="0"/>
                      <a:ext cx="2104390" cy="1714500"/>
                    </a:xfrm>
                    <a:prstGeom prst="rect">
                      <a:avLst/>
                    </a:prstGeom>
                    <a:noFill/>
                    <a:ln>
                      <a:solidFill>
                        <a:schemeClr val="tx1"/>
                      </a:solidFill>
                    </a:ln>
                  </pic:spPr>
                </pic:pic>
              </a:graphicData>
            </a:graphic>
          </wp:inline>
        </w:drawing>
      </w:r>
      <w:r>
        <w:rPr>
          <w:color w:val="auto"/>
          <w:highlight w:val="none"/>
        </w:rPr>
        <w:drawing>
          <wp:inline distT="0" distB="0" distL="114300" distR="114300">
            <wp:extent cx="2124710" cy="1724025"/>
            <wp:effectExtent l="9525" t="9525" r="18415" b="19050"/>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16"/>
                    <a:srcRect l="5240" r="46503" b="41424"/>
                    <a:stretch>
                      <a:fillRect/>
                    </a:stretch>
                  </pic:blipFill>
                  <pic:spPr>
                    <a:xfrm>
                      <a:off x="0" y="0"/>
                      <a:ext cx="2124710" cy="1724025"/>
                    </a:xfrm>
                    <a:prstGeom prst="rect">
                      <a:avLst/>
                    </a:prstGeom>
                    <a:noFill/>
                    <a:ln>
                      <a:solidFill>
                        <a:schemeClr val="tx1"/>
                      </a:solidFill>
                    </a:ln>
                  </pic:spPr>
                </pic:pic>
              </a:graphicData>
            </a:graphic>
          </wp:inline>
        </w:drawing>
      </w:r>
    </w:p>
    <w:p w14:paraId="50288FC2">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来源：中国肾性贫血诊治临床实践指南</w:t>
      </w:r>
    </w:p>
    <w:p w14:paraId="3F1FD679">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营养指标</w:t>
      </w:r>
      <w:r>
        <w:rPr>
          <w:rFonts w:hint="eastAsia" w:ascii="仿宋_GB2312" w:eastAsia="仿宋_GB2312" w:cs="仿宋"/>
          <w:color w:val="auto"/>
          <w:sz w:val="28"/>
          <w:szCs w:val="28"/>
          <w:highlight w:val="none"/>
        </w:rPr>
        <w:t>的随访管理内容参考了《腹膜透析透析标准操作规程（2010版）》。</w:t>
      </w:r>
    </w:p>
    <w:p w14:paraId="4373C75C">
      <w:pPr>
        <w:pStyle w:val="29"/>
        <w:ind w:firstLine="0" w:firstLineChars="0"/>
        <w:jc w:val="center"/>
        <w:rPr>
          <w:rFonts w:ascii="仿宋_GB2312" w:eastAsia="仿宋_GB2312" w:cs="仿宋"/>
          <w:color w:val="auto"/>
          <w:sz w:val="28"/>
          <w:szCs w:val="28"/>
          <w:highlight w:val="none"/>
        </w:rPr>
      </w:pPr>
      <w:r>
        <w:rPr>
          <w:color w:val="auto"/>
          <w:highlight w:val="none"/>
        </w:rPr>
        <w:drawing>
          <wp:inline distT="0" distB="0" distL="114300" distR="114300">
            <wp:extent cx="3140710" cy="1795145"/>
            <wp:effectExtent l="9525" t="9525" r="12065" b="24130"/>
            <wp:docPr id="2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9"/>
                    <pic:cNvPicPr>
                      <a:picLocks noChangeAspect="1"/>
                    </pic:cNvPicPr>
                  </pic:nvPicPr>
                  <pic:blipFill>
                    <a:blip r:embed="rId17"/>
                    <a:stretch>
                      <a:fillRect/>
                    </a:stretch>
                  </pic:blipFill>
                  <pic:spPr>
                    <a:xfrm>
                      <a:off x="0" y="0"/>
                      <a:ext cx="3140710" cy="1795145"/>
                    </a:xfrm>
                    <a:prstGeom prst="rect">
                      <a:avLst/>
                    </a:prstGeom>
                    <a:noFill/>
                    <a:ln>
                      <a:solidFill>
                        <a:schemeClr val="tx1"/>
                      </a:solidFill>
                    </a:ln>
                  </pic:spPr>
                </pic:pic>
              </a:graphicData>
            </a:graphic>
          </wp:inline>
        </w:drawing>
      </w:r>
    </w:p>
    <w:p w14:paraId="4BB3E15F">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来源：腹膜透析透析标准操作规程（2010版）</w:t>
      </w:r>
    </w:p>
    <w:p w14:paraId="4ED9E841">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CKD-MBD</w:t>
      </w:r>
      <w:r>
        <w:rPr>
          <w:rFonts w:hint="eastAsia" w:ascii="仿宋_GB2312" w:eastAsia="仿宋_GB2312" w:cs="仿宋"/>
          <w:color w:val="auto"/>
          <w:sz w:val="28"/>
          <w:szCs w:val="28"/>
          <w:highlight w:val="none"/>
        </w:rPr>
        <w:t>的随访管理内容参考了《腹膜透析透析标准操作规程（2010版）》。</w:t>
      </w:r>
    </w:p>
    <w:p w14:paraId="18AFF14A">
      <w:pPr>
        <w:pStyle w:val="29"/>
        <w:ind w:firstLine="0" w:firstLineChars="0"/>
        <w:jc w:val="center"/>
        <w:rPr>
          <w:rFonts w:ascii="仿宋_GB2312" w:eastAsia="仿宋_GB2312" w:cs="仿宋"/>
          <w:color w:val="auto"/>
          <w:sz w:val="28"/>
          <w:szCs w:val="28"/>
          <w:highlight w:val="none"/>
        </w:rPr>
      </w:pPr>
      <w:r>
        <w:rPr>
          <w:color w:val="auto"/>
          <w:highlight w:val="none"/>
        </w:rPr>
        <w:drawing>
          <wp:inline distT="0" distB="0" distL="114300" distR="114300">
            <wp:extent cx="3307715" cy="1569720"/>
            <wp:effectExtent l="9525" t="9525" r="16510" b="20955"/>
            <wp:docPr id="19"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
                    <pic:cNvPicPr>
                      <a:picLocks noChangeAspect="1"/>
                    </pic:cNvPicPr>
                  </pic:nvPicPr>
                  <pic:blipFill>
                    <a:blip r:embed="rId18"/>
                    <a:srcRect b="9196"/>
                    <a:stretch>
                      <a:fillRect/>
                    </a:stretch>
                  </pic:blipFill>
                  <pic:spPr>
                    <a:xfrm>
                      <a:off x="0" y="0"/>
                      <a:ext cx="3307715" cy="1569720"/>
                    </a:xfrm>
                    <a:prstGeom prst="rect">
                      <a:avLst/>
                    </a:prstGeom>
                    <a:noFill/>
                    <a:ln>
                      <a:solidFill>
                        <a:schemeClr val="tx1"/>
                      </a:solidFill>
                    </a:ln>
                  </pic:spPr>
                </pic:pic>
              </a:graphicData>
            </a:graphic>
          </wp:inline>
        </w:drawing>
      </w:r>
    </w:p>
    <w:p w14:paraId="30C85809">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来源：腹膜透析透析标准操作规程（2010版）</w:t>
      </w:r>
    </w:p>
    <w:p w14:paraId="10E614EF">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PD相关并发症</w:t>
      </w:r>
      <w:r>
        <w:rPr>
          <w:rFonts w:hint="eastAsia" w:ascii="仿宋_GB2312" w:eastAsia="仿宋_GB2312" w:cs="仿宋"/>
          <w:color w:val="auto"/>
          <w:sz w:val="28"/>
          <w:szCs w:val="28"/>
          <w:highlight w:val="none"/>
        </w:rPr>
        <w:t>的随访管理内容参考了《腹膜透析透析标准操作规程（2010版）》。</w:t>
      </w:r>
    </w:p>
    <w:p w14:paraId="65BDC91F">
      <w:pPr>
        <w:pStyle w:val="29"/>
        <w:ind w:firstLine="0" w:firstLineChars="0"/>
        <w:jc w:val="center"/>
        <w:rPr>
          <w:rFonts w:ascii="仿宋_GB2312" w:eastAsia="仿宋_GB2312" w:cs="仿宋"/>
          <w:color w:val="auto"/>
          <w:sz w:val="28"/>
          <w:szCs w:val="28"/>
          <w:highlight w:val="none"/>
        </w:rPr>
      </w:pPr>
      <w:r>
        <w:rPr>
          <w:color w:val="auto"/>
          <w:highlight w:val="none"/>
        </w:rPr>
        <w:drawing>
          <wp:inline distT="0" distB="0" distL="114300" distR="114300">
            <wp:extent cx="4674235" cy="1685290"/>
            <wp:effectExtent l="9525" t="9525" r="21590" b="19685"/>
            <wp:docPr id="1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7"/>
                    <pic:cNvPicPr>
                      <a:picLocks noChangeAspect="1"/>
                    </pic:cNvPicPr>
                  </pic:nvPicPr>
                  <pic:blipFill>
                    <a:blip r:embed="rId19"/>
                    <a:stretch>
                      <a:fillRect/>
                    </a:stretch>
                  </pic:blipFill>
                  <pic:spPr>
                    <a:xfrm>
                      <a:off x="0" y="0"/>
                      <a:ext cx="4674235" cy="1685290"/>
                    </a:xfrm>
                    <a:prstGeom prst="rect">
                      <a:avLst/>
                    </a:prstGeom>
                    <a:noFill/>
                    <a:ln>
                      <a:solidFill>
                        <a:schemeClr val="tx1"/>
                      </a:solidFill>
                    </a:ln>
                  </pic:spPr>
                </pic:pic>
              </a:graphicData>
            </a:graphic>
          </wp:inline>
        </w:drawing>
      </w:r>
    </w:p>
    <w:p w14:paraId="3CD9A239">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来源：腹膜透析透析标准操作规程（2010版）</w:t>
      </w:r>
    </w:p>
    <w:p w14:paraId="04313722">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治疗依从性自我管理能力</w:t>
      </w:r>
      <w:r>
        <w:rPr>
          <w:rFonts w:hint="eastAsia" w:ascii="仿宋_GB2312" w:eastAsia="仿宋_GB2312" w:cs="仿宋"/>
          <w:color w:val="auto"/>
          <w:sz w:val="28"/>
          <w:szCs w:val="28"/>
          <w:highlight w:val="none"/>
        </w:rPr>
        <w:t>的随访管理内容参考了《中文版腹膜透析患者自我管理量表的编制与信度效度检验》。</w:t>
      </w:r>
    </w:p>
    <w:p w14:paraId="6F1CBF55">
      <w:pPr>
        <w:pStyle w:val="29"/>
        <w:ind w:firstLine="0" w:firstLineChars="0"/>
        <w:jc w:val="center"/>
        <w:rPr>
          <w:rFonts w:ascii="仿宋_GB2312" w:eastAsia="仿宋_GB2312" w:cs="仿宋"/>
          <w:color w:val="auto"/>
          <w:sz w:val="28"/>
          <w:szCs w:val="28"/>
          <w:highlight w:val="none"/>
        </w:rPr>
      </w:pPr>
      <w:r>
        <w:rPr>
          <w:rFonts w:hint="eastAsia"/>
          <w:color w:val="auto"/>
          <w:highlight w:val="none"/>
        </w:rPr>
        <w:drawing>
          <wp:inline distT="0" distB="0" distL="114300" distR="114300">
            <wp:extent cx="1755140" cy="1309370"/>
            <wp:effectExtent l="9525" t="9525" r="26035" b="14605"/>
            <wp:docPr id="29" name="图片 29" descr="ee1439c178300cf97f26f797f9d0d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ee1439c178300cf97f26f797f9d0d33"/>
                    <pic:cNvPicPr>
                      <a:picLocks noChangeAspect="1"/>
                    </pic:cNvPicPr>
                  </pic:nvPicPr>
                  <pic:blipFill>
                    <a:blip r:embed="rId20"/>
                    <a:stretch>
                      <a:fillRect/>
                    </a:stretch>
                  </pic:blipFill>
                  <pic:spPr>
                    <a:xfrm>
                      <a:off x="0" y="0"/>
                      <a:ext cx="1755140" cy="1309370"/>
                    </a:xfrm>
                    <a:prstGeom prst="rect">
                      <a:avLst/>
                    </a:prstGeom>
                    <a:ln>
                      <a:solidFill>
                        <a:schemeClr val="tx1"/>
                      </a:solidFill>
                    </a:ln>
                  </pic:spPr>
                </pic:pic>
              </a:graphicData>
            </a:graphic>
          </wp:inline>
        </w:drawing>
      </w:r>
      <w:r>
        <w:rPr>
          <w:rFonts w:hint="eastAsia"/>
          <w:color w:val="auto"/>
          <w:highlight w:val="none"/>
        </w:rPr>
        <w:drawing>
          <wp:inline distT="0" distB="0" distL="114300" distR="114300">
            <wp:extent cx="1565910" cy="1296670"/>
            <wp:effectExtent l="9525" t="9525" r="24765" b="27305"/>
            <wp:docPr id="30" name="图片 30" descr="578b3c71cfaddccac84ce4724975c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578b3c71cfaddccac84ce4724975cdc"/>
                    <pic:cNvPicPr>
                      <a:picLocks noChangeAspect="1"/>
                    </pic:cNvPicPr>
                  </pic:nvPicPr>
                  <pic:blipFill>
                    <a:blip r:embed="rId21"/>
                    <a:stretch>
                      <a:fillRect/>
                    </a:stretch>
                  </pic:blipFill>
                  <pic:spPr>
                    <a:xfrm>
                      <a:off x="0" y="0"/>
                      <a:ext cx="1565910" cy="1296670"/>
                    </a:xfrm>
                    <a:prstGeom prst="rect">
                      <a:avLst/>
                    </a:prstGeom>
                    <a:ln>
                      <a:solidFill>
                        <a:schemeClr val="tx1"/>
                      </a:solidFill>
                    </a:ln>
                  </pic:spPr>
                </pic:pic>
              </a:graphicData>
            </a:graphic>
          </wp:inline>
        </w:drawing>
      </w:r>
      <w:r>
        <w:rPr>
          <w:rFonts w:hint="eastAsia"/>
          <w:color w:val="auto"/>
          <w:highlight w:val="none"/>
        </w:rPr>
        <w:drawing>
          <wp:inline distT="0" distB="0" distL="114300" distR="114300">
            <wp:extent cx="1778635" cy="1320800"/>
            <wp:effectExtent l="9525" t="9525" r="21590" b="22225"/>
            <wp:docPr id="31" name="图片 31" descr="d1bb37fb47a0adf45e33201d261c1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d1bb37fb47a0adf45e33201d261c1fe"/>
                    <pic:cNvPicPr>
                      <a:picLocks noChangeAspect="1"/>
                    </pic:cNvPicPr>
                  </pic:nvPicPr>
                  <pic:blipFill>
                    <a:blip r:embed="rId22"/>
                    <a:stretch>
                      <a:fillRect/>
                    </a:stretch>
                  </pic:blipFill>
                  <pic:spPr>
                    <a:xfrm>
                      <a:off x="0" y="0"/>
                      <a:ext cx="1778635" cy="1320800"/>
                    </a:xfrm>
                    <a:prstGeom prst="rect">
                      <a:avLst/>
                    </a:prstGeom>
                    <a:ln>
                      <a:solidFill>
                        <a:schemeClr val="tx1"/>
                      </a:solidFill>
                    </a:ln>
                  </pic:spPr>
                </pic:pic>
              </a:graphicData>
            </a:graphic>
          </wp:inline>
        </w:drawing>
      </w:r>
    </w:p>
    <w:p w14:paraId="3CE5119F">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来源：中文版腹膜透析患者自我管理量表的编制与信度效度检验</w:t>
      </w:r>
    </w:p>
    <w:p w14:paraId="3AE1D069">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治疗依从性药物管理情况</w:t>
      </w:r>
      <w:r>
        <w:rPr>
          <w:rFonts w:hint="eastAsia" w:ascii="仿宋_GB2312" w:eastAsia="仿宋_GB2312" w:cs="仿宋"/>
          <w:color w:val="auto"/>
          <w:sz w:val="28"/>
          <w:szCs w:val="28"/>
          <w:highlight w:val="none"/>
        </w:rPr>
        <w:t>的随访管理内容参考了《慢性病共病患者服药依从性现状及影响因素分析》。</w:t>
      </w:r>
    </w:p>
    <w:p w14:paraId="04052936">
      <w:pPr>
        <w:pStyle w:val="29"/>
        <w:ind w:firstLine="0" w:firstLineChars="0"/>
        <w:jc w:val="center"/>
        <w:rPr>
          <w:color w:val="auto"/>
          <w:highlight w:val="none"/>
        </w:rPr>
      </w:pPr>
      <w:r>
        <w:rPr>
          <w:color w:val="auto"/>
          <w:highlight w:val="none"/>
        </w:rPr>
        <w:drawing>
          <wp:inline distT="0" distB="0" distL="114300" distR="114300">
            <wp:extent cx="3982720" cy="977900"/>
            <wp:effectExtent l="9525" t="9525" r="27305" b="22225"/>
            <wp:docPr id="33"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15"/>
                    <pic:cNvPicPr>
                      <a:picLocks noChangeAspect="1"/>
                    </pic:cNvPicPr>
                  </pic:nvPicPr>
                  <pic:blipFill>
                    <a:blip r:embed="rId23"/>
                    <a:stretch>
                      <a:fillRect/>
                    </a:stretch>
                  </pic:blipFill>
                  <pic:spPr>
                    <a:xfrm>
                      <a:off x="0" y="0"/>
                      <a:ext cx="3982720" cy="977900"/>
                    </a:xfrm>
                    <a:prstGeom prst="rect">
                      <a:avLst/>
                    </a:prstGeom>
                    <a:noFill/>
                    <a:ln>
                      <a:solidFill>
                        <a:schemeClr val="tx1"/>
                      </a:solidFill>
                    </a:ln>
                  </pic:spPr>
                </pic:pic>
              </a:graphicData>
            </a:graphic>
          </wp:inline>
        </w:drawing>
      </w:r>
    </w:p>
    <w:p w14:paraId="550AA0A8">
      <w:pPr>
        <w:pStyle w:val="29"/>
        <w:ind w:firstLine="0" w:firstLineChars="0"/>
        <w:jc w:val="center"/>
        <w:rPr>
          <w:color w:val="auto"/>
          <w:highlight w:val="none"/>
        </w:rPr>
      </w:pPr>
      <w:r>
        <w:rPr>
          <w:color w:val="auto"/>
          <w:highlight w:val="none"/>
        </w:rPr>
        <w:drawing>
          <wp:inline distT="0" distB="0" distL="114300" distR="114300">
            <wp:extent cx="1867535" cy="1692910"/>
            <wp:effectExtent l="9525" t="9525" r="27940" b="12065"/>
            <wp:docPr id="35"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7"/>
                    <pic:cNvPicPr>
                      <a:picLocks noChangeAspect="1"/>
                    </pic:cNvPicPr>
                  </pic:nvPicPr>
                  <pic:blipFill>
                    <a:blip r:embed="rId24"/>
                    <a:stretch>
                      <a:fillRect/>
                    </a:stretch>
                  </pic:blipFill>
                  <pic:spPr>
                    <a:xfrm>
                      <a:off x="0" y="0"/>
                      <a:ext cx="1867535" cy="1692910"/>
                    </a:xfrm>
                    <a:prstGeom prst="rect">
                      <a:avLst/>
                    </a:prstGeom>
                    <a:noFill/>
                    <a:ln>
                      <a:solidFill>
                        <a:schemeClr val="tx1"/>
                      </a:solidFill>
                    </a:ln>
                  </pic:spPr>
                </pic:pic>
              </a:graphicData>
            </a:graphic>
          </wp:inline>
        </w:drawing>
      </w:r>
    </w:p>
    <w:p w14:paraId="13C23509">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来源：慢性病共病患者服药依从性现状及影响因素分析</w:t>
      </w:r>
    </w:p>
    <w:p w14:paraId="1C79523E">
      <w:pPr>
        <w:pStyle w:val="29"/>
        <w:spacing w:line="520" w:lineRule="exact"/>
        <w:ind w:firstLine="562"/>
        <w:rPr>
          <w:rFonts w:ascii="仿宋_GB2312" w:eastAsia="仿宋_GB2312" w:cs="仿宋"/>
          <w:color w:val="auto"/>
          <w:sz w:val="28"/>
          <w:szCs w:val="28"/>
          <w:highlight w:val="none"/>
        </w:rPr>
      </w:pPr>
      <w:r>
        <w:rPr>
          <w:rFonts w:hint="eastAsia" w:ascii="仿宋_GB2312" w:eastAsia="仿宋_GB2312" w:cs="仿宋"/>
          <w:b/>
          <w:bCs/>
          <w:color w:val="auto"/>
          <w:sz w:val="28"/>
          <w:szCs w:val="28"/>
          <w:highlight w:val="none"/>
        </w:rPr>
        <w:t>睡眠</w:t>
      </w:r>
      <w:r>
        <w:rPr>
          <w:rFonts w:hint="eastAsia" w:ascii="仿宋_GB2312" w:eastAsia="仿宋_GB2312" w:cs="仿宋"/>
          <w:color w:val="auto"/>
          <w:sz w:val="28"/>
          <w:szCs w:val="28"/>
          <w:highlight w:val="none"/>
        </w:rPr>
        <w:t>的随访管理内容参考了《腹膜透析患者睡眠障碍影响因素及评估工具的研究进展》。</w:t>
      </w:r>
    </w:p>
    <w:p w14:paraId="7554E24C">
      <w:pPr>
        <w:pStyle w:val="29"/>
        <w:ind w:firstLine="0" w:firstLineChars="0"/>
        <w:jc w:val="center"/>
        <w:rPr>
          <w:color w:val="auto"/>
          <w:highlight w:val="none"/>
        </w:rPr>
      </w:pPr>
      <w:r>
        <w:rPr>
          <w:color w:val="auto"/>
          <w:highlight w:val="none"/>
        </w:rPr>
        <w:drawing>
          <wp:inline distT="0" distB="0" distL="114300" distR="114300">
            <wp:extent cx="2849880" cy="1463040"/>
            <wp:effectExtent l="9525" t="9525" r="17145" b="13335"/>
            <wp:docPr id="3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1"/>
                    <pic:cNvPicPr>
                      <a:picLocks noChangeAspect="1"/>
                    </pic:cNvPicPr>
                  </pic:nvPicPr>
                  <pic:blipFill>
                    <a:blip r:embed="rId25"/>
                    <a:stretch>
                      <a:fillRect/>
                    </a:stretch>
                  </pic:blipFill>
                  <pic:spPr>
                    <a:xfrm>
                      <a:off x="0" y="0"/>
                      <a:ext cx="2849880" cy="1463040"/>
                    </a:xfrm>
                    <a:prstGeom prst="rect">
                      <a:avLst/>
                    </a:prstGeom>
                    <a:noFill/>
                    <a:ln>
                      <a:solidFill>
                        <a:schemeClr val="tx1"/>
                      </a:solidFill>
                    </a:ln>
                  </pic:spPr>
                </pic:pic>
              </a:graphicData>
            </a:graphic>
          </wp:inline>
        </w:drawing>
      </w:r>
    </w:p>
    <w:p w14:paraId="547A6C47">
      <w:pPr>
        <w:pStyle w:val="29"/>
        <w:ind w:firstLine="0" w:firstLineChars="0"/>
        <w:jc w:val="center"/>
        <w:rPr>
          <w:color w:val="auto"/>
          <w:highlight w:val="none"/>
        </w:rPr>
      </w:pPr>
      <w:r>
        <w:rPr>
          <w:color w:val="auto"/>
          <w:highlight w:val="none"/>
        </w:rPr>
        <w:drawing>
          <wp:inline distT="0" distB="0" distL="114300" distR="114300">
            <wp:extent cx="1979930" cy="2600325"/>
            <wp:effectExtent l="9525" t="9525" r="10795" b="19050"/>
            <wp:docPr id="40"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22"/>
                    <pic:cNvPicPr>
                      <a:picLocks noChangeAspect="1"/>
                    </pic:cNvPicPr>
                  </pic:nvPicPr>
                  <pic:blipFill>
                    <a:blip r:embed="rId26"/>
                    <a:stretch>
                      <a:fillRect/>
                    </a:stretch>
                  </pic:blipFill>
                  <pic:spPr>
                    <a:xfrm>
                      <a:off x="0" y="0"/>
                      <a:ext cx="1979930" cy="2600325"/>
                    </a:xfrm>
                    <a:prstGeom prst="rect">
                      <a:avLst/>
                    </a:prstGeom>
                    <a:noFill/>
                    <a:ln>
                      <a:solidFill>
                        <a:schemeClr val="tx1"/>
                      </a:solidFill>
                    </a:ln>
                  </pic:spPr>
                </pic:pic>
              </a:graphicData>
            </a:graphic>
          </wp:inline>
        </w:drawing>
      </w:r>
      <w:r>
        <w:rPr>
          <w:rFonts w:hint="eastAsia"/>
          <w:color w:val="auto"/>
          <w:highlight w:val="none"/>
        </w:rPr>
        <w:t xml:space="preserve"> </w:t>
      </w:r>
      <w:r>
        <w:rPr>
          <w:color w:val="auto"/>
          <w:highlight w:val="none"/>
        </w:rPr>
        <w:drawing>
          <wp:inline distT="0" distB="0" distL="114300" distR="114300">
            <wp:extent cx="1979930" cy="2600960"/>
            <wp:effectExtent l="9525" t="9525" r="10795" b="18415"/>
            <wp:docPr id="41"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23"/>
                    <pic:cNvPicPr>
                      <a:picLocks noChangeAspect="1"/>
                    </pic:cNvPicPr>
                  </pic:nvPicPr>
                  <pic:blipFill>
                    <a:blip r:embed="rId27"/>
                    <a:stretch>
                      <a:fillRect/>
                    </a:stretch>
                  </pic:blipFill>
                  <pic:spPr>
                    <a:xfrm>
                      <a:off x="0" y="0"/>
                      <a:ext cx="1979930" cy="2600960"/>
                    </a:xfrm>
                    <a:prstGeom prst="rect">
                      <a:avLst/>
                    </a:prstGeom>
                    <a:noFill/>
                    <a:ln>
                      <a:solidFill>
                        <a:schemeClr val="tx1"/>
                      </a:solidFill>
                    </a:ln>
                  </pic:spPr>
                </pic:pic>
              </a:graphicData>
            </a:graphic>
          </wp:inline>
        </w:drawing>
      </w:r>
    </w:p>
    <w:p w14:paraId="7798C492">
      <w:pPr>
        <w:pStyle w:val="29"/>
        <w:widowControl w:val="0"/>
        <w:spacing w:line="520" w:lineRule="exact"/>
        <w:ind w:firstLine="0" w:firstLineChars="0"/>
        <w:jc w:val="center"/>
        <w:rPr>
          <w:rFonts w:hint="eastAsia" w:ascii="黑体" w:hAnsi="黑体" w:eastAsia="黑体" w:cs="黑体"/>
          <w:color w:val="auto"/>
          <w:szCs w:val="21"/>
          <w:highlight w:val="none"/>
        </w:rPr>
      </w:pPr>
      <w:r>
        <w:rPr>
          <w:rFonts w:hint="eastAsia" w:ascii="黑体" w:hAnsi="黑体" w:eastAsia="黑体" w:cs="黑体"/>
          <w:color w:val="auto"/>
          <w:szCs w:val="21"/>
          <w:highlight w:val="none"/>
        </w:rPr>
        <w:t>来源：腹膜透析患者睡眠障碍影响因素及评估工具的研究进展</w:t>
      </w:r>
    </w:p>
    <w:p w14:paraId="3AB9FAA4">
      <w:pPr>
        <w:pStyle w:val="29"/>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（四）随访内容及要求</w:t>
      </w:r>
    </w:p>
    <w:p w14:paraId="0BD14B1C">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基于可及性及必要性，确定了不同随访方式的内容及要求。</w:t>
      </w:r>
    </w:p>
    <w:p w14:paraId="773B295D">
      <w:pPr>
        <w:pStyle w:val="29"/>
        <w:numPr>
          <w:ilvl w:val="0"/>
          <w:numId w:val="10"/>
        </w:numPr>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门诊随访</w:t>
      </w:r>
    </w:p>
    <w:p w14:paraId="33AEDDD5">
      <w:pPr>
        <w:pStyle w:val="29"/>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1.1 随访内容</w:t>
      </w:r>
    </w:p>
    <w:p w14:paraId="5680F065">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1.1.1. 一般情况及体格检查，包括但不限于：</w:t>
      </w:r>
    </w:p>
    <w:p w14:paraId="2B933F7D">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——询问临床症状、饮食、睡眠、二便，检查有无水肿。及时发现透析不充分、容量失衡、感染或营养不良的早期信号，避免病情恶化。</w:t>
      </w:r>
    </w:p>
    <w:p w14:paraId="4AF76E5C">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评估出口情况：有无分泌物及性质，有无结痂，有无肉芽组织形成，有无红肿、疼痛，隧道有无压痛；询问平时换药情况，是否使用莫匹罗星等预防感染等，并做好检查记录。评估是否存在感染或机械并发症，及时干预可显著降低腹膜炎和导管失功风险。</w:t>
      </w:r>
    </w:p>
    <w:p w14:paraId="115191FF">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——测量血压、心率、体重、营养测量及评估（SGA）并做好登记。量化容量状态与营养储备，指导精准调整透析处方和饮食药物。</w:t>
      </w:r>
    </w:p>
    <w:p w14:paraId="015A9D8F">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——如有条件可对患者进行心理健康、生存质量、睡眠、家庭支持、自我管理能力评估。识别影响依从性和长期预后的社会心理因素，提前干预提升整体疗效。</w:t>
      </w:r>
    </w:p>
    <w:p w14:paraId="0C5B3A17">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1.1.2. 居家腹膜透析操作相关情况，包括但不限于：</w:t>
      </w:r>
    </w:p>
    <w:p w14:paraId="22D02E3E">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——居家环境是否合适，确认居家进行腹膜透析操作的空间是否洁净、光线充足、水源安全，是否存在感染风险。</w:t>
      </w:r>
    </w:p>
    <w:p w14:paraId="278AD41C">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——腹膜透析护士检查患者每日透析记录情况，检查透析剂量与超滤目标是否达标，及时发现漏记、错记及趋势异常。</w:t>
      </w:r>
    </w:p>
    <w:p w14:paraId="13F7EE42">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——询问腹膜透析相关情况（换液操作、出入液通畅情况、管路、透析处方执行情况及腹膜透析并发症等）、用药情况，了解是否存在操作失误、机械故障或临床恶化，立即纠正以防出现腹膜炎和相关并发症。</w:t>
      </w:r>
    </w:p>
    <w:p w14:paraId="297C1F06">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——每6个月内更换外接短管，防止生物膜和接头老化破裂，将导管相关感染风险降到最低。</w:t>
      </w:r>
    </w:p>
    <w:p w14:paraId="19BEFE7D">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1.1.3</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完善实验室及辅助检查，包括但不限于：</w:t>
      </w:r>
    </w:p>
    <w:p w14:paraId="4F35C050">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——留取血液、24h尿液和24h腹膜透析液标本送检，进行透析充分性（Kt/V、CCr）、残余肾功能及并发症评估，用Kt/V与CCr量化透析剂量及残余肾功能，及时校正防止累积毒性或过度超滤。</w:t>
      </w:r>
    </w:p>
    <w:p w14:paraId="5C1F966A">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——按随访管理临床路径完善检验及辅助检查，系统筛查贫血、骨矿</w:t>
      </w:r>
      <w:r>
        <w:rPr>
          <w:rFonts w:hint="eastAsia" w:ascii="仿宋_GB2312" w:hAnsi="仿宋_GB2312" w:eastAsia="仿宋_GB2312" w:cs="仿宋_GB2312"/>
          <w:color w:val="auto"/>
          <w:sz w:val="28"/>
          <w:szCs w:val="28"/>
          <w:highlight w:val="none"/>
        </w:rPr>
        <w:t>物质</w:t>
      </w:r>
      <w:r>
        <w:rPr>
          <w:rFonts w:hint="eastAsia" w:ascii="仿宋_GB2312" w:hAnsi="仿宋_GB2312" w:eastAsia="仿宋_GB2312" w:cs="仿宋_GB2312"/>
          <w:color w:val="auto"/>
          <w:sz w:val="28"/>
          <w:szCs w:val="28"/>
          <w:highlight w:val="none"/>
        </w:rPr>
        <w:t>代谢、电解质及炎症指标，做到并发症早发现早干预。对于腹膜透析5年以上患者进行钠筛检测和腹部CT检查腹膜硬化情况。早期捕捉腹膜转运特性改变及包裹性硬化性腹膜炎征象，争取在不可逆前启动治疗或转透</w:t>
      </w:r>
      <w:r>
        <w:rPr>
          <w:rFonts w:hint="eastAsia" w:ascii="仿宋_GB2312" w:hAnsi="仿宋_GB2312" w:eastAsia="仿宋_GB2312" w:cs="仿宋_GB2312"/>
          <w:color w:val="auto"/>
          <w:sz w:val="28"/>
          <w:szCs w:val="28"/>
          <w:highlight w:val="none"/>
        </w:rPr>
        <w:t>析</w:t>
      </w:r>
      <w:r>
        <w:rPr>
          <w:rFonts w:hint="eastAsia" w:ascii="仿宋_GB2312" w:hAnsi="仿宋_GB2312" w:eastAsia="仿宋_GB2312" w:cs="仿宋_GB2312"/>
          <w:color w:val="auto"/>
          <w:sz w:val="28"/>
          <w:szCs w:val="28"/>
          <w:highlight w:val="none"/>
        </w:rPr>
        <w:t>方案。</w:t>
      </w:r>
    </w:p>
    <w:p w14:paraId="42DA3E78">
      <w:pPr>
        <w:pStyle w:val="29"/>
        <w:spacing w:line="520" w:lineRule="exact"/>
        <w:ind w:firstLine="562"/>
        <w:rPr>
          <w:rFonts w:hint="eastAsia" w:ascii="仿宋_GB2312" w:hAnsi="仿宋_GB2312" w:eastAsia="仿宋_GB2312" w:cs="仿宋_GB2312"/>
          <w:b/>
          <w:bCs/>
          <w:color w:val="auto"/>
          <w:sz w:val="28"/>
          <w:szCs w:val="28"/>
          <w:highlight w:val="none"/>
        </w:rPr>
      </w:pPr>
      <w:r>
        <w:rPr>
          <w:rFonts w:hint="eastAsia" w:ascii="仿宋_GB2312" w:hAnsi="仿宋_GB2312" w:eastAsia="仿宋_GB2312" w:cs="仿宋_GB2312"/>
          <w:b/>
          <w:bCs/>
          <w:color w:val="auto"/>
          <w:sz w:val="28"/>
          <w:szCs w:val="28"/>
          <w:highlight w:val="none"/>
        </w:rPr>
        <w:t>1.2. 随访要求</w:t>
      </w:r>
    </w:p>
    <w:p w14:paraId="499B52E4">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1.2.1. 腹透护士实时收集检查结果，准确记录，并完成PET、Kt/V、CCr计算。如有特殊情况及时报告腹透主管医生进行处理。确保数据零误差、异常零延误，让医生及时调整处方，防止并发症恶化。</w:t>
      </w:r>
    </w:p>
    <w:p w14:paraId="66C7D1BD">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1.2.2. 根据随访检查结果，进行透析处方调整及开药，反馈给患者及家属，并进行健康教育，包括但不限于：</w:t>
      </w:r>
    </w:p>
    <w:p w14:paraId="1AC6227E">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——对腹膜透析治疗相关操作进行指导、定期培训、再培训、再考核；</w:t>
      </w:r>
    </w:p>
    <w:p w14:paraId="3E2605A7">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——指导饮食；</w:t>
      </w:r>
    </w:p>
    <w:p w14:paraId="53B3B541">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——指导用药；</w:t>
      </w:r>
    </w:p>
    <w:p w14:paraId="303D536F">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——指导透析处方调整的要求及执行；</w:t>
      </w:r>
    </w:p>
    <w:p w14:paraId="3BB6947A">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——指导运动、心理调节、生活方式等；</w:t>
      </w:r>
    </w:p>
    <w:p w14:paraId="666AED47">
      <w:pPr>
        <w:pStyle w:val="29"/>
        <w:spacing w:line="520" w:lineRule="exact"/>
        <w:ind w:firstLine="560"/>
        <w:rPr>
          <w:rFonts w:hint="eastAsia" w:ascii="仿宋_GB2312" w:hAnsi="仿宋_GB2312" w:eastAsia="仿宋_GB2312" w:cs="仿宋_GB2312"/>
          <w:color w:val="auto"/>
          <w:sz w:val="28"/>
          <w:szCs w:val="28"/>
          <w:highlight w:val="none"/>
        </w:rPr>
      </w:pPr>
      <w:r>
        <w:rPr>
          <w:rFonts w:hint="eastAsia" w:ascii="仿宋_GB2312" w:hAnsi="仿宋_GB2312" w:eastAsia="仿宋_GB2312" w:cs="仿宋_GB2312"/>
          <w:color w:val="auto"/>
          <w:sz w:val="28"/>
          <w:szCs w:val="28"/>
          <w:highlight w:val="none"/>
        </w:rPr>
        <w:t>——预约下一次复诊。</w:t>
      </w:r>
    </w:p>
    <w:p w14:paraId="2F1D9848">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进行全面指导（操作、饮食、用药、处方调整、生活方式）并预约复诊，通过</w:t>
      </w:r>
      <w:r>
        <w:rPr>
          <w:rFonts w:hint="eastAsia" w:ascii="仿宋_GB2312" w:eastAsia="仿宋_GB2312" w:cs="仿宋"/>
          <w:color w:val="auto"/>
          <w:sz w:val="28"/>
          <w:szCs w:val="28"/>
          <w:highlight w:val="none"/>
        </w:rPr>
        <w:t>宣教</w:t>
      </w:r>
      <w:r>
        <w:rPr>
          <w:rFonts w:ascii="仿宋_GB2312" w:eastAsia="仿宋_GB2312" w:cs="仿宋"/>
          <w:color w:val="auto"/>
          <w:sz w:val="28"/>
          <w:szCs w:val="28"/>
          <w:highlight w:val="none"/>
        </w:rPr>
        <w:t>确保</w:t>
      </w:r>
      <w:r>
        <w:rPr>
          <w:rFonts w:hint="eastAsia" w:ascii="仿宋_GB2312" w:hAnsi="仿宋_GB2312" w:eastAsia="仿宋_GB2312" w:cs="仿宋_GB2312"/>
          <w:color w:val="auto"/>
          <w:sz w:val="28"/>
          <w:szCs w:val="28"/>
          <w:highlight w:val="none"/>
        </w:rPr>
        <w:t>腹膜透析治疗</w:t>
      </w:r>
      <w:r>
        <w:rPr>
          <w:rFonts w:ascii="仿宋_GB2312" w:eastAsia="仿宋_GB2312" w:cs="仿宋"/>
          <w:color w:val="auto"/>
          <w:sz w:val="28"/>
          <w:szCs w:val="28"/>
          <w:highlight w:val="none"/>
        </w:rPr>
        <w:t>安全有效、预防并发症，并提升患者生存质量。</w:t>
      </w:r>
    </w:p>
    <w:p w14:paraId="1D67D3AE">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2</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住院随访</w:t>
      </w:r>
    </w:p>
    <w:p w14:paraId="333085AA">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2.1</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随访内容</w:t>
      </w:r>
    </w:p>
    <w:p w14:paraId="6784A139">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2.1.1</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评估本次住院原因并做好记录</w:t>
      </w:r>
      <w:r>
        <w:rPr>
          <w:rFonts w:hint="eastAsia" w:ascii="仿宋_GB2312" w:eastAsia="仿宋_GB2312" w:cs="仿宋"/>
          <w:color w:val="auto"/>
          <w:sz w:val="28"/>
          <w:szCs w:val="28"/>
          <w:highlight w:val="none"/>
        </w:rPr>
        <w:t>，为追溯并去除再入院原因提供依据。</w:t>
      </w:r>
    </w:p>
    <w:p w14:paraId="6629F912">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2.1.2</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询问患者一般情况及体格检查，包括以下内容</w:t>
      </w:r>
      <w:r>
        <w:rPr>
          <w:rFonts w:hint="eastAsia" w:ascii="仿宋_GB2312" w:eastAsia="仿宋_GB2312" w:cs="仿宋"/>
          <w:color w:val="auto"/>
          <w:sz w:val="28"/>
          <w:szCs w:val="28"/>
          <w:highlight w:val="none"/>
        </w:rPr>
        <w:t>：</w:t>
      </w:r>
    </w:p>
    <w:p w14:paraId="734520EC">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——患者一般情况：临床症状、生命体征、饮食、睡眠；</w:t>
      </w:r>
    </w:p>
    <w:p w14:paraId="3E0CE177">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——患者居家腹膜透析操作相关情况，包括以下内容：</w:t>
      </w:r>
    </w:p>
    <w:p w14:paraId="0F326315">
      <w:pPr>
        <w:pStyle w:val="29"/>
        <w:spacing w:line="520" w:lineRule="exact"/>
        <w:ind w:firstLine="1120" w:firstLineChars="400"/>
        <w:rPr>
          <w:rFonts w:ascii="仿宋_GB2312" w:eastAsia="仿宋_GB2312" w:cs="仿宋"/>
          <w:color w:val="auto"/>
          <w:sz w:val="28"/>
          <w:szCs w:val="28"/>
          <w:highlight w:val="none"/>
        </w:rPr>
      </w:pPr>
      <w:r>
        <w:rPr>
          <w:rFonts w:ascii="仿宋_GB2312" w:eastAsia="仿宋_GB2312" w:cs="仿宋"/>
          <w:color w:val="auto"/>
          <w:sz w:val="28"/>
          <w:szCs w:val="28"/>
          <w:highlight w:val="none"/>
        </w:rPr>
        <w:t>•</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居家环境是否合适；</w:t>
      </w:r>
    </w:p>
    <w:p w14:paraId="1B0FCFBC">
      <w:pPr>
        <w:pStyle w:val="29"/>
        <w:spacing w:line="520" w:lineRule="exact"/>
        <w:ind w:firstLine="1120" w:firstLineChars="400"/>
        <w:rPr>
          <w:rFonts w:ascii="仿宋_GB2312" w:eastAsia="仿宋_GB2312" w:cs="仿宋"/>
          <w:color w:val="auto"/>
          <w:sz w:val="28"/>
          <w:szCs w:val="28"/>
          <w:highlight w:val="none"/>
        </w:rPr>
      </w:pPr>
      <w:r>
        <w:rPr>
          <w:rFonts w:ascii="仿宋_GB2312" w:eastAsia="仿宋_GB2312" w:cs="仿宋"/>
          <w:color w:val="auto"/>
          <w:sz w:val="28"/>
          <w:szCs w:val="28"/>
          <w:highlight w:val="none"/>
        </w:rPr>
        <w:t>•</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评估更换外接短管时间</w:t>
      </w:r>
      <w:r>
        <w:rPr>
          <w:rFonts w:hint="eastAsia" w:ascii="仿宋_GB2312" w:eastAsia="仿宋_GB2312" w:cs="仿宋"/>
          <w:color w:val="auto"/>
          <w:sz w:val="28"/>
          <w:szCs w:val="28"/>
          <w:highlight w:val="none"/>
        </w:rPr>
        <w:t>，</w:t>
      </w:r>
      <w:r>
        <w:rPr>
          <w:rFonts w:ascii="仿宋_GB2312" w:eastAsia="仿宋_GB2312" w:cs="仿宋"/>
          <w:color w:val="auto"/>
          <w:sz w:val="28"/>
          <w:szCs w:val="28"/>
          <w:highlight w:val="none"/>
        </w:rPr>
        <w:t>核对上次更换时间</w:t>
      </w:r>
      <w:r>
        <w:rPr>
          <w:rFonts w:hint="eastAsia" w:ascii="仿宋_GB2312" w:eastAsia="仿宋_GB2312" w:cs="仿宋"/>
          <w:color w:val="auto"/>
          <w:sz w:val="28"/>
          <w:szCs w:val="28"/>
          <w:highlight w:val="none"/>
        </w:rPr>
        <w:t>，避免管路老化导致的裂纹、渗漏及感染等；</w:t>
      </w:r>
    </w:p>
    <w:p w14:paraId="48A10E20">
      <w:pPr>
        <w:pStyle w:val="29"/>
        <w:spacing w:line="520" w:lineRule="exact"/>
        <w:ind w:firstLine="1120" w:firstLineChars="400"/>
        <w:rPr>
          <w:rFonts w:ascii="仿宋_GB2312" w:eastAsia="仿宋_GB2312" w:cs="仿宋"/>
          <w:color w:val="auto"/>
          <w:sz w:val="28"/>
          <w:szCs w:val="28"/>
          <w:highlight w:val="none"/>
        </w:rPr>
      </w:pPr>
      <w:r>
        <w:rPr>
          <w:rFonts w:ascii="仿宋_GB2312" w:eastAsia="仿宋_GB2312" w:cs="仿宋"/>
          <w:color w:val="auto"/>
          <w:sz w:val="28"/>
          <w:szCs w:val="28"/>
          <w:highlight w:val="none"/>
        </w:rPr>
        <w:t>•</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腹膜透析护士检查患者每日透析记录情况</w:t>
      </w:r>
      <w:r>
        <w:rPr>
          <w:rFonts w:hint="eastAsia" w:ascii="仿宋_GB2312" w:eastAsia="仿宋_GB2312" w:cs="仿宋"/>
          <w:color w:val="auto"/>
          <w:sz w:val="28"/>
          <w:szCs w:val="28"/>
          <w:highlight w:val="none"/>
        </w:rPr>
        <w:t>，比对实际透析情况与医嘱是否一致，识别漏记、错记或趋势性偏差，作为调整透析剂量与宣教的直接依据</w:t>
      </w:r>
      <w:r>
        <w:rPr>
          <w:rFonts w:ascii="仿宋_GB2312" w:eastAsia="仿宋_GB2312" w:cs="仿宋"/>
          <w:color w:val="auto"/>
          <w:sz w:val="28"/>
          <w:szCs w:val="28"/>
          <w:highlight w:val="none"/>
        </w:rPr>
        <w:t>；</w:t>
      </w:r>
    </w:p>
    <w:p w14:paraId="65A7CF9E">
      <w:pPr>
        <w:pStyle w:val="29"/>
        <w:spacing w:line="520" w:lineRule="exact"/>
        <w:ind w:firstLine="1120" w:firstLineChars="400"/>
        <w:rPr>
          <w:rFonts w:ascii="仿宋_GB2312" w:eastAsia="仿宋_GB2312" w:cs="仿宋"/>
          <w:color w:val="auto"/>
          <w:sz w:val="28"/>
          <w:szCs w:val="28"/>
          <w:highlight w:val="none"/>
        </w:rPr>
      </w:pPr>
      <w:r>
        <w:rPr>
          <w:rFonts w:ascii="仿宋_GB2312" w:eastAsia="仿宋_GB2312" w:cs="仿宋"/>
          <w:color w:val="auto"/>
          <w:sz w:val="28"/>
          <w:szCs w:val="28"/>
          <w:highlight w:val="none"/>
        </w:rPr>
        <w:t>•</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询问临床症状、腹膜透析相关情况（换液操作、出入液通畅情况、管路、透析处方执行情况及腹膜透析</w:t>
      </w:r>
      <w:r>
        <w:rPr>
          <w:rFonts w:hint="eastAsia" w:ascii="仿宋_GB2312" w:eastAsia="仿宋_GB2312" w:cs="仿宋"/>
          <w:color w:val="auto"/>
          <w:sz w:val="28"/>
          <w:szCs w:val="28"/>
          <w:highlight w:val="none"/>
        </w:rPr>
        <w:t>相关</w:t>
      </w:r>
      <w:r>
        <w:rPr>
          <w:rFonts w:ascii="仿宋_GB2312" w:eastAsia="仿宋_GB2312" w:cs="仿宋"/>
          <w:color w:val="auto"/>
          <w:sz w:val="28"/>
          <w:szCs w:val="28"/>
          <w:highlight w:val="none"/>
        </w:rPr>
        <w:t>并发症等）、用药情况</w:t>
      </w:r>
      <w:r>
        <w:rPr>
          <w:rFonts w:hint="eastAsia" w:ascii="仿宋_GB2312" w:eastAsia="仿宋_GB2312" w:cs="仿宋"/>
          <w:color w:val="auto"/>
          <w:sz w:val="28"/>
          <w:szCs w:val="28"/>
          <w:highlight w:val="none"/>
        </w:rPr>
        <w:t>，发现并纠正处方偏差、操作缺陷与药物遗漏，确保出院后透析安全与疗效持续稳定；</w:t>
      </w:r>
    </w:p>
    <w:p w14:paraId="71D4D31C">
      <w:pPr>
        <w:pStyle w:val="29"/>
        <w:spacing w:line="520" w:lineRule="exact"/>
        <w:ind w:firstLine="1120" w:firstLineChars="400"/>
        <w:rPr>
          <w:rFonts w:ascii="仿宋_GB2312" w:eastAsia="仿宋_GB2312" w:cs="仿宋"/>
          <w:color w:val="auto"/>
          <w:sz w:val="28"/>
          <w:szCs w:val="28"/>
          <w:highlight w:val="none"/>
        </w:rPr>
      </w:pPr>
      <w:r>
        <w:rPr>
          <w:rFonts w:ascii="仿宋_GB2312" w:eastAsia="仿宋_GB2312" w:cs="仿宋"/>
          <w:color w:val="auto"/>
          <w:sz w:val="28"/>
          <w:szCs w:val="28"/>
          <w:highlight w:val="none"/>
        </w:rPr>
        <w:t>•</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腹膜透析导管出口检查，包括：腹膜透析导管出口检查包括有无分泌物及性质，有无结痂，有无肉芽组织形成，有无红肿、疼痛，隧道有无压痛；询问平时换药情况，是否使用莫匹罗星等预防感染等，并做好检查记录。及时发现和处置感染或机械隐患，规范出院后出口护理标准，降低导管相关并发症风险。</w:t>
      </w:r>
    </w:p>
    <w:p w14:paraId="0CB3DCE6">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2.1.3</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测量血压、心率、体重、营养评估（SGA）并做好登记</w:t>
      </w:r>
      <w:r>
        <w:rPr>
          <w:rFonts w:hint="eastAsia" w:ascii="仿宋_GB2312" w:eastAsia="仿宋_GB2312" w:cs="仿宋"/>
          <w:color w:val="auto"/>
          <w:sz w:val="28"/>
          <w:szCs w:val="28"/>
          <w:highlight w:val="none"/>
        </w:rPr>
        <w:t>，量化容量与营养状态，指导出院前调整。</w:t>
      </w:r>
    </w:p>
    <w:p w14:paraId="6B2E239E">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2.1.4</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进行</w:t>
      </w:r>
      <w:r>
        <w:rPr>
          <w:rFonts w:hint="eastAsia" w:ascii="仿宋_GB2312" w:eastAsia="仿宋_GB2312" w:cs="仿宋"/>
          <w:color w:val="auto"/>
          <w:sz w:val="28"/>
          <w:szCs w:val="28"/>
          <w:highlight w:val="none"/>
        </w:rPr>
        <w:t>腹膜透析相关性腹膜炎</w:t>
      </w:r>
      <w:r>
        <w:rPr>
          <w:rFonts w:hint="eastAsia" w:ascii="仿宋_GB2312" w:eastAsia="仿宋_GB2312" w:cs="仿宋"/>
          <w:color w:val="auto"/>
          <w:sz w:val="28"/>
          <w:szCs w:val="28"/>
          <w:highlight w:val="none"/>
        </w:rPr>
        <w:t>及</w:t>
      </w:r>
      <w:r>
        <w:rPr>
          <w:rFonts w:ascii="仿宋_GB2312" w:eastAsia="仿宋_GB2312" w:cs="仿宋"/>
          <w:color w:val="auto"/>
          <w:sz w:val="28"/>
          <w:szCs w:val="28"/>
          <w:highlight w:val="none"/>
        </w:rPr>
        <w:t>导管相关性并发症风险因素评估</w:t>
      </w:r>
      <w:r>
        <w:rPr>
          <w:rFonts w:hint="eastAsia" w:ascii="仿宋_GB2312" w:eastAsia="仿宋_GB2312" w:cs="仿宋"/>
          <w:color w:val="auto"/>
          <w:sz w:val="28"/>
          <w:szCs w:val="28"/>
          <w:highlight w:val="none"/>
        </w:rPr>
        <w:t>，住院期是发现隐患的黄金窗口，评估</w:t>
      </w:r>
      <w:r>
        <w:rPr>
          <w:rFonts w:hint="eastAsia" w:ascii="仿宋_GB2312" w:eastAsia="仿宋_GB2312" w:cs="仿宋"/>
          <w:color w:val="auto"/>
          <w:sz w:val="28"/>
          <w:szCs w:val="28"/>
          <w:highlight w:val="none"/>
        </w:rPr>
        <w:t>腹膜透析相关性腹膜炎及</w:t>
      </w:r>
      <w:r>
        <w:rPr>
          <w:rFonts w:ascii="仿宋_GB2312" w:eastAsia="仿宋_GB2312" w:cs="仿宋"/>
          <w:color w:val="auto"/>
          <w:sz w:val="28"/>
          <w:szCs w:val="28"/>
          <w:highlight w:val="none"/>
        </w:rPr>
        <w:t>导管相关性并发症风险因素</w:t>
      </w:r>
      <w:r>
        <w:rPr>
          <w:rFonts w:hint="eastAsia" w:ascii="仿宋_GB2312" w:eastAsia="仿宋_GB2312" w:cs="仿宋"/>
          <w:color w:val="auto"/>
          <w:sz w:val="28"/>
          <w:szCs w:val="28"/>
          <w:highlight w:val="none"/>
        </w:rPr>
        <w:t>可避免</w:t>
      </w:r>
      <w:r>
        <w:rPr>
          <w:rFonts w:hint="eastAsia" w:ascii="仿宋_GB2312" w:eastAsia="仿宋_GB2312" w:cs="仿宋"/>
          <w:color w:val="auto"/>
          <w:sz w:val="28"/>
          <w:szCs w:val="28"/>
          <w:highlight w:val="none"/>
        </w:rPr>
        <w:t>感染相关与导管功能障碍并发症</w:t>
      </w:r>
      <w:r>
        <w:rPr>
          <w:rFonts w:hint="eastAsia" w:ascii="仿宋_GB2312" w:eastAsia="仿宋_GB2312" w:cs="仿宋"/>
          <w:color w:val="auto"/>
          <w:sz w:val="28"/>
          <w:szCs w:val="28"/>
          <w:highlight w:val="none"/>
        </w:rPr>
        <w:t>的关键。</w:t>
      </w:r>
    </w:p>
    <w:p w14:paraId="641949D9">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2.1.5</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如有条件可对患者进行心理健康、生存质量、睡眠、家庭支持情况、自我管理能力评估。住院患者因病情加重承受巨大心理压力，抑郁焦虑会显著降低治疗依从性（如随意停药、忽视操作规范），家属操作失误或支持不足是腹膜炎的主要人为诱因。</w:t>
      </w:r>
    </w:p>
    <w:p w14:paraId="393307F0">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2.1.6</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进行透析充分性</w:t>
      </w:r>
      <w:bookmarkStart w:id="2" w:name="_GoBack"/>
      <w:bookmarkEnd w:id="2"/>
      <w:r>
        <w:rPr>
          <w:rFonts w:ascii="仿宋_GB2312" w:eastAsia="仿宋_GB2312" w:cs="仿宋"/>
          <w:color w:val="auto"/>
          <w:sz w:val="28"/>
          <w:szCs w:val="28"/>
          <w:highlight w:val="none"/>
        </w:rPr>
        <w:t>、残余肾功能和腹膜功能评估</w:t>
      </w:r>
      <w:r>
        <w:rPr>
          <w:rFonts w:hint="eastAsia" w:ascii="仿宋_GB2312" w:eastAsia="仿宋_GB2312" w:cs="仿宋"/>
          <w:color w:val="auto"/>
          <w:sz w:val="28"/>
          <w:szCs w:val="28"/>
          <w:highlight w:val="none"/>
        </w:rPr>
        <w:t>，找出透析不充分或超滤衰竭的根本原因。</w:t>
      </w:r>
    </w:p>
    <w:p w14:paraId="75C4508F">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2.1.7</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根据随访管理要求，完善相关检验检查，进行腹膜透析代谢及系统发症评估，如电解质异常、贫血、钙磷代谢异常、营养不良、容量负荷等评估。</w:t>
      </w:r>
    </w:p>
    <w:p w14:paraId="07537E01">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2.2</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随访要求</w:t>
      </w:r>
    </w:p>
    <w:p w14:paraId="2915B02D">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2.2.1</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腹透护士实时收集检查结果，准确记录，并完成PET、Kt/V、CCr计算。如有特殊情况及时报告腹透主管医生进行处理。</w:t>
      </w:r>
    </w:p>
    <w:p w14:paraId="40147096">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2.2.2</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根据随访检查结果，医护患共同决策，调整治疗方案，由腹透护士及时将调整方案反馈给患者或其家属，并进行健康教育，包括但不限于：</w:t>
      </w:r>
    </w:p>
    <w:p w14:paraId="6B2FF3D8">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——本次检查结果反馈，正常指标及异常指标；</w:t>
      </w:r>
    </w:p>
    <w:p w14:paraId="29AA9F01">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——指导透析处方调整的要求及执行；</w:t>
      </w:r>
    </w:p>
    <w:p w14:paraId="11A2B4D2">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——指导用药；</w:t>
      </w:r>
    </w:p>
    <w:p w14:paraId="29FF8C65">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——指导饮食；</w:t>
      </w:r>
    </w:p>
    <w:p w14:paraId="4BB9C9B2">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——指导运动、心理调节、生活方式等；</w:t>
      </w:r>
    </w:p>
    <w:p w14:paraId="317B84B0">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——预约下一次复诊时间、内容、形式。</w:t>
      </w:r>
    </w:p>
    <w:p w14:paraId="6A9E114D">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3</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电话随访</w:t>
      </w:r>
    </w:p>
    <w:p w14:paraId="4D0AAE1C">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3.1</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随访内容</w:t>
      </w:r>
    </w:p>
    <w:p w14:paraId="2DC63AAB">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3.1.1</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一般情况，包括但不限于生命体征、体重、血压、超滤量、尿量、饮食、睡眠、运动及大便情况，是否水肿。在院外阶段早期识别容量失衡、营养不良或透析不充分</w:t>
      </w:r>
      <w:r>
        <w:rPr>
          <w:rFonts w:hint="eastAsia" w:ascii="仿宋_GB2312" w:eastAsia="仿宋_GB2312" w:cs="仿宋"/>
          <w:color w:val="auto"/>
          <w:sz w:val="28"/>
          <w:szCs w:val="28"/>
          <w:highlight w:val="none"/>
        </w:rPr>
        <w:t>等</w:t>
      </w:r>
      <w:r>
        <w:rPr>
          <w:rFonts w:ascii="仿宋_GB2312" w:eastAsia="仿宋_GB2312" w:cs="仿宋"/>
          <w:color w:val="auto"/>
          <w:sz w:val="28"/>
          <w:szCs w:val="28"/>
          <w:highlight w:val="none"/>
        </w:rPr>
        <w:t>，便于及时干预。</w:t>
      </w:r>
    </w:p>
    <w:p w14:paraId="28C58B70">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3.1.2</w:t>
      </w:r>
      <w:r>
        <w:rPr>
          <w:rFonts w:hint="eastAsia" w:ascii="仿宋_GB2312" w:eastAsia="仿宋_GB2312" w:cs="仿宋"/>
          <w:color w:val="auto"/>
          <w:sz w:val="28"/>
          <w:szCs w:val="28"/>
          <w:highlight w:val="none"/>
        </w:rPr>
        <w:t xml:space="preserve">. </w:t>
      </w:r>
      <w:r>
        <w:rPr>
          <w:rFonts w:ascii="仿宋_GB2312" w:eastAsia="仿宋_GB2312" w:cs="仿宋"/>
          <w:color w:val="auto"/>
          <w:sz w:val="28"/>
          <w:szCs w:val="28"/>
          <w:highlight w:val="none"/>
        </w:rPr>
        <w:t>居家腹膜透析操作相关情况，包括但不限于：</w:t>
      </w:r>
    </w:p>
    <w:p w14:paraId="3D830EF2">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——居家环境、操作过程是否顺利，透析处方执行情况及腹膜透析相关并发症；</w:t>
      </w:r>
    </w:p>
    <w:p w14:paraId="67E129C9">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——每日透析记录情况、遵医嘱用药情况等。</w:t>
      </w:r>
    </w:p>
    <w:p w14:paraId="440CF5FC">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远程核查居家环境、操作流程、处方执行、透析并发症、记录完整性与用药依从性</w:t>
      </w:r>
      <w:r>
        <w:rPr>
          <w:rFonts w:hint="eastAsia" w:ascii="仿宋_GB2312" w:eastAsia="仿宋_GB2312" w:cs="仿宋"/>
          <w:color w:val="auto"/>
          <w:sz w:val="28"/>
          <w:szCs w:val="28"/>
          <w:highlight w:val="none"/>
        </w:rPr>
        <w:t>，</w:t>
      </w:r>
      <w:r>
        <w:rPr>
          <w:rFonts w:ascii="仿宋_GB2312" w:eastAsia="仿宋_GB2312" w:cs="仿宋"/>
          <w:color w:val="auto"/>
          <w:sz w:val="28"/>
          <w:szCs w:val="28"/>
          <w:highlight w:val="none"/>
        </w:rPr>
        <w:t>持续监督居家透析质量，降低感染、机械故障及治疗偏差</w:t>
      </w:r>
      <w:r>
        <w:rPr>
          <w:rFonts w:hint="eastAsia" w:ascii="仿宋_GB2312" w:eastAsia="仿宋_GB2312" w:cs="仿宋"/>
          <w:color w:val="auto"/>
          <w:sz w:val="28"/>
          <w:szCs w:val="28"/>
          <w:highlight w:val="none"/>
        </w:rPr>
        <w:t>的</w:t>
      </w:r>
      <w:r>
        <w:rPr>
          <w:rFonts w:ascii="仿宋_GB2312" w:eastAsia="仿宋_GB2312" w:cs="仿宋"/>
          <w:color w:val="auto"/>
          <w:sz w:val="28"/>
          <w:szCs w:val="28"/>
          <w:highlight w:val="none"/>
        </w:rPr>
        <w:t>发生率。</w:t>
      </w:r>
    </w:p>
    <w:p w14:paraId="4045A8F3">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3.2</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随访要求</w:t>
      </w:r>
    </w:p>
    <w:p w14:paraId="4B6F5B67">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根据随访结果，进行反馈及居家健康教育，包括但不限于：</w:t>
      </w:r>
    </w:p>
    <w:p w14:paraId="0A125231">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——饮食指导；</w:t>
      </w:r>
    </w:p>
    <w:p w14:paraId="7BE7D81F">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——用药指导；</w:t>
      </w:r>
    </w:p>
    <w:p w14:paraId="085B118E">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——风险因素规避；</w:t>
      </w:r>
    </w:p>
    <w:p w14:paraId="28BD2478">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——应急情况的处理及求助方式。</w:t>
      </w:r>
    </w:p>
    <w:p w14:paraId="7B2CC5B0">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依据电话随访结果，给予饮食、用药、风险规避及应急处理指导，确保居家透析安全与疗效连续。</w:t>
      </w:r>
    </w:p>
    <w:p w14:paraId="7FA8F6AE">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4</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网络随访</w:t>
      </w:r>
    </w:p>
    <w:p w14:paraId="100C7A42">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4.1</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随访内容</w:t>
      </w:r>
    </w:p>
    <w:p w14:paraId="49BAF1FE">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包括但不限于：</w:t>
      </w:r>
    </w:p>
    <w:p w14:paraId="23E28A12">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——需要住院时及时安排床位，减少患者就诊程序以便及时得到救治</w:t>
      </w:r>
      <w:r>
        <w:rPr>
          <w:rFonts w:hint="eastAsia" w:ascii="仿宋_GB2312" w:eastAsia="仿宋_GB2312" w:cs="仿宋"/>
          <w:color w:val="auto"/>
          <w:sz w:val="28"/>
          <w:szCs w:val="28"/>
          <w:highlight w:val="none"/>
        </w:rPr>
        <w:t>；</w:t>
      </w:r>
    </w:p>
    <w:p w14:paraId="44D7A47D">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——对患者在自我照护过程出现的问题进行解答，帮助患者解决实际问题；</w:t>
      </w:r>
    </w:p>
    <w:p w14:paraId="1FCE21FC">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——定期上传腹膜健康教育教育视频、PPT等</w:t>
      </w:r>
      <w:r>
        <w:rPr>
          <w:rFonts w:hint="eastAsia" w:ascii="仿宋_GB2312" w:eastAsia="仿宋_GB2312" w:cs="仿宋"/>
          <w:color w:val="auto"/>
          <w:sz w:val="28"/>
          <w:szCs w:val="28"/>
          <w:highlight w:val="none"/>
        </w:rPr>
        <w:t>，持续强化患者及家属对腹膜透析的认知，减少认知偏差带来的错误操作</w:t>
      </w:r>
      <w:r>
        <w:rPr>
          <w:rFonts w:ascii="仿宋_GB2312" w:eastAsia="仿宋_GB2312" w:cs="仿宋"/>
          <w:color w:val="auto"/>
          <w:sz w:val="28"/>
          <w:szCs w:val="28"/>
          <w:highlight w:val="none"/>
        </w:rPr>
        <w:t>；</w:t>
      </w:r>
    </w:p>
    <w:p w14:paraId="41FA7A77">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——有条件的医疗机构通过小程序推送腹膜透析宣教知识，并监测学习进度</w:t>
      </w:r>
      <w:r>
        <w:rPr>
          <w:rFonts w:hint="eastAsia" w:ascii="仿宋_GB2312" w:eastAsia="仿宋_GB2312" w:cs="仿宋"/>
          <w:color w:val="auto"/>
          <w:sz w:val="28"/>
          <w:szCs w:val="28"/>
          <w:highlight w:val="none"/>
        </w:rPr>
        <w:t>，多元化持续强化患者及家属对腹膜透析的认知</w:t>
      </w:r>
      <w:r>
        <w:rPr>
          <w:rFonts w:ascii="仿宋_GB2312" w:eastAsia="仿宋_GB2312" w:cs="仿宋"/>
          <w:color w:val="auto"/>
          <w:sz w:val="28"/>
          <w:szCs w:val="28"/>
          <w:highlight w:val="none"/>
        </w:rPr>
        <w:t>；</w:t>
      </w:r>
    </w:p>
    <w:p w14:paraId="413910BB">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——推送调查问卷，进行心理、自我管理能力、依从性等调查</w:t>
      </w:r>
      <w:r>
        <w:rPr>
          <w:rFonts w:hint="eastAsia" w:ascii="仿宋_GB2312" w:eastAsia="仿宋_GB2312" w:cs="仿宋"/>
          <w:color w:val="auto"/>
          <w:sz w:val="28"/>
          <w:szCs w:val="28"/>
          <w:highlight w:val="none"/>
        </w:rPr>
        <w:t>，周期性评估心理状况、依从性及自我管理能力，及时发现风险人群并启动干预；</w:t>
      </w:r>
    </w:p>
    <w:p w14:paraId="4543A62F">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自动化腹膜透析远程患者管理（RPM-APD），监测患者治疗处方依从性，及时发现并处理异常情况。云端分析处方执行率、留腹时间、超滤曲线及报警日志，对偏离阈值的数据自动告警，指导医师在线调整处方或安排面诊，减少透析不充分及</w:t>
      </w:r>
      <w:r>
        <w:rPr>
          <w:rFonts w:hint="eastAsia" w:ascii="仿宋_GB2312" w:eastAsia="仿宋_GB2312" w:cs="仿宋"/>
          <w:color w:val="auto"/>
          <w:sz w:val="28"/>
          <w:szCs w:val="28"/>
          <w:highlight w:val="none"/>
        </w:rPr>
        <w:t>导管</w:t>
      </w:r>
      <w:r>
        <w:rPr>
          <w:rFonts w:ascii="仿宋_GB2312" w:eastAsia="仿宋_GB2312" w:cs="仿宋"/>
          <w:color w:val="auto"/>
          <w:sz w:val="28"/>
          <w:szCs w:val="28"/>
          <w:highlight w:val="none"/>
        </w:rPr>
        <w:t>故障所致住院。</w:t>
      </w:r>
    </w:p>
    <w:p w14:paraId="4F4B2128">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4.2</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随访要求</w:t>
      </w:r>
    </w:p>
    <w:p w14:paraId="1043CB55">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包括但不限于：</w:t>
      </w:r>
    </w:p>
    <w:p w14:paraId="13DC4084">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——建立腹膜透析交流群，肾友及时加入腹透交流群。构建医患、患患互动平台，实现经验分享、同伴支持及官方公告同步发布，降低患者因信息孤岛导致的焦虑与错误决策</w:t>
      </w:r>
      <w:r>
        <w:rPr>
          <w:rFonts w:hint="eastAsia" w:ascii="仿宋_GB2312" w:eastAsia="仿宋_GB2312" w:cs="仿宋"/>
          <w:color w:val="auto"/>
          <w:sz w:val="28"/>
          <w:szCs w:val="28"/>
          <w:highlight w:val="none"/>
        </w:rPr>
        <w:t>；</w:t>
      </w:r>
    </w:p>
    <w:p w14:paraId="03A3CA1E">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——由专职腹透护士于每日的固定时间轮值管理</w:t>
      </w:r>
      <w:r>
        <w:rPr>
          <w:rFonts w:hint="eastAsia" w:ascii="仿宋_GB2312" w:eastAsia="仿宋_GB2312" w:cs="仿宋"/>
          <w:color w:val="auto"/>
          <w:sz w:val="28"/>
          <w:szCs w:val="28"/>
          <w:highlight w:val="none"/>
        </w:rPr>
        <w:t>，</w:t>
      </w:r>
      <w:r>
        <w:rPr>
          <w:rFonts w:ascii="仿宋_GB2312" w:eastAsia="仿宋_GB2312" w:cs="仿宋"/>
          <w:color w:val="auto"/>
          <w:sz w:val="28"/>
          <w:szCs w:val="28"/>
          <w:highlight w:val="none"/>
        </w:rPr>
        <w:t>及时解决患者及家属的疑难问题等</w:t>
      </w:r>
      <w:r>
        <w:rPr>
          <w:rFonts w:hint="eastAsia" w:ascii="仿宋_GB2312" w:eastAsia="仿宋_GB2312" w:cs="仿宋"/>
          <w:color w:val="auto"/>
          <w:sz w:val="28"/>
          <w:szCs w:val="28"/>
          <w:highlight w:val="none"/>
        </w:rPr>
        <w:t>；</w:t>
      </w:r>
    </w:p>
    <w:p w14:paraId="3D8DA349">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——在网络平台上及时推送腹膜透析最新资讯信息，满足病人了解腹膜透析最新进展及反复强化学习的需求。</w:t>
      </w:r>
    </w:p>
    <w:p w14:paraId="7DBDFECF">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定期在后台查看患者治疗数据，根据上传的数据，评估患者治疗情况，如有需要，线上调整处方，远程发送，处理各种并发症。随访频率为新患者出院后2～4周内随访，稳定的APD患者每3个月门诊随访，电话和远程随访每周1次。新患者出院后2～4周内安排高频随访以巩固操作技能；病情稳定者每3个月门诊面诊，每周1次电话/远程随访，实现风险早期发现。</w:t>
      </w:r>
    </w:p>
    <w:p w14:paraId="7CE53C7D">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5</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家庭随访</w:t>
      </w:r>
    </w:p>
    <w:p w14:paraId="014E79D4">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5.1</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随访内容</w:t>
      </w:r>
    </w:p>
    <w:p w14:paraId="3AA47B94">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包括但不限于：</w:t>
      </w:r>
    </w:p>
    <w:p w14:paraId="5325B422">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——居家环境、腹膜透析液和药物存储情况、个人卫生情况、腹膜透析换液操作执行情况、相关知识的掌握情况</w:t>
      </w:r>
      <w:r>
        <w:rPr>
          <w:rFonts w:hint="eastAsia" w:ascii="仿宋_GB2312" w:eastAsia="仿宋_GB2312" w:cs="仿宋"/>
          <w:color w:val="auto"/>
          <w:sz w:val="28"/>
          <w:szCs w:val="28"/>
          <w:highlight w:val="none"/>
        </w:rPr>
        <w:t>，确认现场条件与操作细节是否符合无菌规范，降低感染与处方偏离风险</w:t>
      </w:r>
      <w:r>
        <w:rPr>
          <w:rFonts w:ascii="仿宋_GB2312" w:eastAsia="仿宋_GB2312" w:cs="仿宋"/>
          <w:color w:val="auto"/>
          <w:sz w:val="28"/>
          <w:szCs w:val="28"/>
          <w:highlight w:val="none"/>
        </w:rPr>
        <w:t>；</w:t>
      </w:r>
    </w:p>
    <w:p w14:paraId="687C59B6">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——腹膜透析相关并发症的紧急处理、污物处理、腹膜透析相关性腹膜炎的预防及处理、出口感染的预防及处理等</w:t>
      </w:r>
      <w:r>
        <w:rPr>
          <w:rFonts w:hint="eastAsia" w:ascii="仿宋_GB2312" w:eastAsia="仿宋_GB2312" w:cs="仿宋"/>
          <w:color w:val="auto"/>
          <w:sz w:val="28"/>
          <w:szCs w:val="28"/>
          <w:highlight w:val="none"/>
        </w:rPr>
        <w:t>，确保患者与家属掌握正确流程并能即时实施；</w:t>
      </w:r>
    </w:p>
    <w:p w14:paraId="058A8166">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——给予截瘫等行动不便的患者采集血、尿、腹透液标本并送检，更换腹膜透析短管。对行动受限患者完成标本采集与短管更换，保证检验时效与管路安全，避免因外出困难而延误诊疗。</w:t>
      </w:r>
    </w:p>
    <w:p w14:paraId="2D92D736">
      <w:pPr>
        <w:pStyle w:val="29"/>
        <w:spacing w:line="520" w:lineRule="exact"/>
        <w:ind w:firstLine="562"/>
        <w:rPr>
          <w:rFonts w:ascii="仿宋_GB2312" w:eastAsia="仿宋_GB2312" w:cs="仿宋"/>
          <w:b/>
          <w:bCs/>
          <w:color w:val="auto"/>
          <w:sz w:val="28"/>
          <w:szCs w:val="28"/>
          <w:highlight w:val="none"/>
        </w:rPr>
      </w:pPr>
      <w:r>
        <w:rPr>
          <w:rFonts w:ascii="仿宋_GB2312" w:eastAsia="仿宋_GB2312" w:cs="仿宋"/>
          <w:b/>
          <w:bCs/>
          <w:color w:val="auto"/>
          <w:sz w:val="28"/>
          <w:szCs w:val="28"/>
          <w:highlight w:val="none"/>
        </w:rPr>
        <w:t>5.2</w:t>
      </w:r>
      <w:r>
        <w:rPr>
          <w:rFonts w:hint="eastAsia" w:ascii="仿宋_GB2312" w:eastAsia="仿宋_GB2312" w:cs="仿宋"/>
          <w:b/>
          <w:bCs/>
          <w:color w:val="auto"/>
          <w:sz w:val="28"/>
          <w:szCs w:val="28"/>
          <w:highlight w:val="none"/>
        </w:rPr>
        <w:t xml:space="preserve">. </w:t>
      </w:r>
      <w:r>
        <w:rPr>
          <w:rFonts w:ascii="仿宋_GB2312" w:eastAsia="仿宋_GB2312" w:cs="仿宋"/>
          <w:b/>
          <w:bCs/>
          <w:color w:val="auto"/>
          <w:sz w:val="28"/>
          <w:szCs w:val="28"/>
          <w:highlight w:val="none"/>
        </w:rPr>
        <w:t>随访要求</w:t>
      </w:r>
    </w:p>
    <w:p w14:paraId="7556EC16">
      <w:pPr>
        <w:pStyle w:val="29"/>
        <w:spacing w:line="520" w:lineRule="exact"/>
        <w:ind w:firstLine="560"/>
        <w:rPr>
          <w:rFonts w:ascii="仿宋_GB2312" w:eastAsia="仿宋_GB2312" w:cs="仿宋"/>
          <w:color w:val="auto"/>
          <w:sz w:val="28"/>
          <w:szCs w:val="28"/>
          <w:highlight w:val="none"/>
        </w:rPr>
      </w:pPr>
      <w:r>
        <w:rPr>
          <w:rFonts w:ascii="仿宋_GB2312" w:eastAsia="仿宋_GB2312" w:cs="仿宋"/>
          <w:color w:val="auto"/>
          <w:sz w:val="28"/>
          <w:szCs w:val="28"/>
          <w:highlight w:val="none"/>
        </w:rPr>
        <w:t>根据家庭随访的结果，进行反馈及指导，健康教育。做好家访记录，存储在患者腹膜透析档案。依据家庭随访所见即时反馈并实施个体化健康教育，完整记录现场评估结果与指导意见，纳入腹膜透析档案，实现资料连续可追溯并为后续随访提供依据。</w:t>
      </w:r>
    </w:p>
    <w:p w14:paraId="22ABEE0C">
      <w:pPr>
        <w:pStyle w:val="29"/>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（五）随访记录与处理</w:t>
      </w:r>
    </w:p>
    <w:p w14:paraId="38D8051F">
      <w:pPr>
        <w:pStyle w:val="29"/>
        <w:spacing w:line="520" w:lineRule="exact"/>
        <w:ind w:firstLine="560"/>
        <w:rPr>
          <w:rFonts w:ascii="仿宋_GB2312" w:eastAsia="仿宋_GB2312" w:cs="仿宋"/>
          <w:b/>
          <w:bCs/>
          <w:color w:val="auto"/>
          <w:sz w:val="28"/>
          <w:szCs w:val="28"/>
          <w:highlight w:val="none"/>
        </w:rPr>
      </w:pPr>
      <w:r>
        <w:rPr>
          <w:rFonts w:hint="eastAsia" w:ascii="仿宋_GB2312" w:eastAsia="仿宋_GB2312" w:cs="仿宋"/>
          <w:color w:val="auto"/>
          <w:sz w:val="28"/>
          <w:szCs w:val="28"/>
          <w:highlight w:val="none"/>
        </w:rPr>
        <w:t>1. 及时规范存档：为保证信息准确可溯、保障连续照护、满足规范要求，要求随访后2日内完成记录整理归档，确保信息完整、准确、可随时查阅，为患者安全管理和医疗规范提供依据。</w:t>
      </w:r>
    </w:p>
    <w:p w14:paraId="52494A08">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2. 即时问题处置：为保证保障患者安全、体现随访价值，对随访中发现的问题（如症状、体征异常、化验结果问题等）要及时给出明确处理意见。</w:t>
      </w:r>
    </w:p>
    <w:p w14:paraId="60A9F197">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3. 定期分析改进：提升随访质量、优化流程，随访小组需每季度对整体随访工作进行分析总结。基于分析结果提出改进措施，并在后续随访中落实，建立持续改进机制，不断提升随访效能和患者管理质量。</w:t>
      </w:r>
    </w:p>
    <w:p w14:paraId="72A62224">
      <w:pPr>
        <w:pStyle w:val="29"/>
        <w:spacing w:line="520" w:lineRule="exact"/>
        <w:ind w:firstLine="562"/>
        <w:rPr>
          <w:rFonts w:ascii="仿宋_GB2312" w:eastAsia="仿宋_GB2312" w:cs="仿宋"/>
          <w:b/>
          <w:bCs/>
          <w:color w:val="auto"/>
          <w:sz w:val="28"/>
          <w:szCs w:val="28"/>
          <w:highlight w:val="none"/>
        </w:rPr>
      </w:pPr>
      <w:r>
        <w:rPr>
          <w:rFonts w:hint="eastAsia" w:ascii="仿宋_GB2312" w:eastAsia="仿宋_GB2312" w:cs="仿宋"/>
          <w:b/>
          <w:bCs/>
          <w:color w:val="auto"/>
          <w:sz w:val="28"/>
          <w:szCs w:val="28"/>
          <w:highlight w:val="none"/>
        </w:rPr>
        <w:t>（六）评价与改进</w:t>
      </w:r>
    </w:p>
    <w:p w14:paraId="6A78BBAE">
      <w:pPr>
        <w:pStyle w:val="29"/>
        <w:spacing w:line="520" w:lineRule="exact"/>
        <w:ind w:firstLine="560"/>
        <w:rPr>
          <w:rFonts w:ascii="仿宋_GB2312" w:eastAsia="仿宋_GB2312" w:cs="仿宋"/>
          <w:color w:val="auto"/>
          <w:sz w:val="28"/>
          <w:szCs w:val="28"/>
          <w:highlight w:val="none"/>
        </w:rPr>
      </w:pPr>
      <w:r>
        <w:rPr>
          <w:rFonts w:hint="eastAsia" w:ascii="仿宋_GB2312" w:eastAsia="仿宋_GB2312" w:cs="仿宋"/>
          <w:color w:val="auto"/>
          <w:sz w:val="28"/>
          <w:szCs w:val="28"/>
          <w:highlight w:val="none"/>
        </w:rPr>
        <w:t>为持续优化随访服务质量，随访工作中应通过电话随访、实地访视及问卷调查等多形式，定期主动收集患者对随访管理的评价与建议；对征集的意见进行分析并制定针对性改进措施，确保患者诉求有效解决，驱动随访体系持续贴近临床需求。</w:t>
      </w:r>
    </w:p>
    <w:p w14:paraId="34C5051D">
      <w:pPr>
        <w:pStyle w:val="31"/>
        <w:numPr>
          <w:ilvl w:val="0"/>
          <w:numId w:val="0"/>
        </w:numPr>
        <w:spacing w:beforeLines="0" w:afterLines="0" w:line="360" w:lineRule="auto"/>
        <w:ind w:firstLine="643" w:firstLineChars="200"/>
        <w:rPr>
          <w:bCs/>
          <w:color w:val="auto"/>
          <w:sz w:val="32"/>
          <w:szCs w:val="32"/>
          <w:highlight w:val="none"/>
        </w:rPr>
      </w:pPr>
      <w:r>
        <w:rPr>
          <w:rFonts w:hint="eastAsia"/>
          <w:b/>
          <w:bCs/>
          <w:color w:val="auto"/>
          <w:sz w:val="32"/>
          <w:szCs w:val="32"/>
          <w:highlight w:val="none"/>
        </w:rPr>
        <w:t>六</w:t>
      </w:r>
      <w:r>
        <w:rPr>
          <w:rFonts w:hint="eastAsia"/>
          <w:bCs/>
          <w:color w:val="auto"/>
          <w:sz w:val="32"/>
          <w:szCs w:val="32"/>
          <w:highlight w:val="none"/>
        </w:rPr>
        <w:t>、</w:t>
      </w:r>
      <w:r>
        <w:rPr>
          <w:rFonts w:hint="eastAsia"/>
          <w:color w:val="auto"/>
          <w:sz w:val="32"/>
          <w:szCs w:val="32"/>
          <w:highlight w:val="none"/>
        </w:rPr>
        <w:t>重大意见分歧的处理依据和结果</w:t>
      </w:r>
    </w:p>
    <w:p w14:paraId="0561E987">
      <w:pPr>
        <w:spacing w:line="520" w:lineRule="exact"/>
        <w:ind w:firstLine="560"/>
        <w:rPr>
          <w:rFonts w:hint="eastAsia"/>
          <w:color w:val="auto"/>
          <w:szCs w:val="28"/>
          <w:highlight w:val="none"/>
        </w:rPr>
      </w:pPr>
      <w:r>
        <w:rPr>
          <w:rFonts w:hint="eastAsia"/>
          <w:color w:val="auto"/>
          <w:szCs w:val="28"/>
          <w:highlight w:val="none"/>
        </w:rPr>
        <w:t>本标准研制过程中无重大分歧意见。</w:t>
      </w:r>
    </w:p>
    <w:p w14:paraId="1848982B">
      <w:pPr>
        <w:autoSpaceDE w:val="0"/>
        <w:autoSpaceDN w:val="0"/>
        <w:adjustRightInd w:val="0"/>
        <w:spacing w:before="156" w:beforeLines="50" w:after="156" w:afterLines="50" w:line="520" w:lineRule="exact"/>
        <w:ind w:firstLine="640"/>
        <w:outlineLvl w:val="0"/>
        <w:rPr>
          <w:rFonts w:hint="eastAsia" w:eastAsia="黑体"/>
          <w:color w:val="auto"/>
          <w:sz w:val="32"/>
          <w:szCs w:val="32"/>
          <w:highlight w:val="none"/>
        </w:rPr>
      </w:pPr>
      <w:r>
        <w:rPr>
          <w:rFonts w:hint="eastAsia" w:ascii="黑体" w:eastAsia="黑体"/>
          <w:bCs/>
          <w:color w:val="auto"/>
          <w:sz w:val="32"/>
          <w:szCs w:val="32"/>
          <w:highlight w:val="none"/>
        </w:rPr>
        <w:t>七、</w:t>
      </w:r>
      <w:r>
        <w:rPr>
          <w:rFonts w:hint="eastAsia" w:eastAsia="黑体"/>
          <w:color w:val="auto"/>
          <w:sz w:val="32"/>
          <w:szCs w:val="32"/>
          <w:highlight w:val="none"/>
        </w:rPr>
        <w:t>实施标准的措施</w:t>
      </w:r>
    </w:p>
    <w:p w14:paraId="34025EF9">
      <w:pPr>
        <w:spacing w:line="500" w:lineRule="exact"/>
        <w:ind w:firstLine="562"/>
        <w:rPr>
          <w:rFonts w:hint="eastAsia" w:cs="仿宋_GB2312"/>
          <w:b/>
          <w:color w:val="auto"/>
          <w:szCs w:val="28"/>
          <w:highlight w:val="none"/>
        </w:rPr>
      </w:pPr>
      <w:r>
        <w:rPr>
          <w:rFonts w:hint="eastAsia" w:cs="仿宋_GB2312"/>
          <w:b/>
          <w:color w:val="auto"/>
          <w:szCs w:val="28"/>
          <w:highlight w:val="none"/>
        </w:rPr>
        <w:t>（一）标准报批发布后，成立标准宣贯工作组</w:t>
      </w:r>
    </w:p>
    <w:p w14:paraId="5A023685">
      <w:pPr>
        <w:spacing w:line="500" w:lineRule="exact"/>
        <w:ind w:firstLine="560"/>
        <w:rPr>
          <w:rFonts w:hint="eastAsia"/>
          <w:color w:val="auto"/>
          <w:szCs w:val="28"/>
          <w:highlight w:val="none"/>
        </w:rPr>
      </w:pPr>
      <w:r>
        <w:rPr>
          <w:rFonts w:hint="eastAsia"/>
          <w:color w:val="auto"/>
          <w:szCs w:val="28"/>
          <w:highlight w:val="none"/>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21F271C5">
      <w:pPr>
        <w:spacing w:line="500" w:lineRule="exact"/>
        <w:ind w:firstLine="562"/>
        <w:rPr>
          <w:rFonts w:hint="eastAsia"/>
          <w:b/>
          <w:color w:val="auto"/>
          <w:szCs w:val="28"/>
          <w:highlight w:val="none"/>
        </w:rPr>
      </w:pPr>
      <w:r>
        <w:rPr>
          <w:rFonts w:hint="eastAsia"/>
          <w:b/>
          <w:color w:val="auto"/>
          <w:szCs w:val="28"/>
          <w:highlight w:val="none"/>
        </w:rPr>
        <w:t>（二）组织开展标准宣贯培训</w:t>
      </w:r>
    </w:p>
    <w:p w14:paraId="6D036A28">
      <w:pPr>
        <w:spacing w:line="500" w:lineRule="exact"/>
        <w:ind w:firstLine="560"/>
        <w:rPr>
          <w:rFonts w:hint="eastAsia"/>
          <w:color w:val="auto"/>
          <w:szCs w:val="28"/>
          <w:highlight w:val="none"/>
        </w:rPr>
      </w:pPr>
      <w:r>
        <w:rPr>
          <w:rFonts w:hint="eastAsia"/>
          <w:color w:val="auto"/>
          <w:szCs w:val="28"/>
          <w:highlight w:val="none"/>
        </w:rPr>
        <w:t>标准发布实施后，标准宣贯工作小组制作标准解读宣贯培训PPT课件和标准核心技术明白书，并按标准宣贯培训计划深入各市县医疗机构，对医师和医护人员开展标准宣贯培训，对标准进行逐条解读，让医师和医护人员掌握标准核心技术内容，助力标准实施落地，推动广西医疗技术高质量发展。</w:t>
      </w:r>
    </w:p>
    <w:p w14:paraId="370C6755">
      <w:pPr>
        <w:spacing w:line="500" w:lineRule="exact"/>
        <w:ind w:firstLine="562"/>
        <w:rPr>
          <w:rFonts w:hint="eastAsia"/>
          <w:b/>
          <w:color w:val="auto"/>
          <w:szCs w:val="28"/>
          <w:highlight w:val="none"/>
        </w:rPr>
      </w:pPr>
      <w:r>
        <w:rPr>
          <w:rFonts w:hint="eastAsia"/>
          <w:b/>
          <w:color w:val="auto"/>
          <w:szCs w:val="28"/>
          <w:highlight w:val="none"/>
        </w:rPr>
        <w:t>（三）开展标准实施交流会，收集标准实施反馈信息</w:t>
      </w:r>
    </w:p>
    <w:p w14:paraId="71E509CF">
      <w:pPr>
        <w:spacing w:line="500" w:lineRule="exact"/>
        <w:ind w:firstLine="560"/>
        <w:rPr>
          <w:rFonts w:hint="eastAsia"/>
          <w:color w:val="auto"/>
          <w:szCs w:val="28"/>
          <w:highlight w:val="none"/>
        </w:rPr>
      </w:pPr>
      <w:r>
        <w:rPr>
          <w:rFonts w:hint="eastAsia"/>
          <w:color w:val="auto"/>
          <w:szCs w:val="28"/>
          <w:highlight w:val="none"/>
        </w:rPr>
        <w:t>标准起草小组深入各市县医疗机构组织医师和医护人员召开标准实施交流会，听取标准实施过程中存在的问题并做好记录和解答，对存在的问题组织专家团队进行研讨，为标准的复审修订做准备。</w:t>
      </w:r>
    </w:p>
    <w:p w14:paraId="7AB6338C">
      <w:pPr>
        <w:spacing w:line="500" w:lineRule="exact"/>
        <w:ind w:firstLine="562"/>
        <w:rPr>
          <w:rFonts w:hint="eastAsia"/>
          <w:b/>
          <w:color w:val="auto"/>
          <w:szCs w:val="28"/>
          <w:highlight w:val="none"/>
        </w:rPr>
      </w:pPr>
      <w:r>
        <w:rPr>
          <w:rFonts w:hint="eastAsia"/>
          <w:b/>
          <w:color w:val="auto"/>
          <w:szCs w:val="28"/>
          <w:highlight w:val="none"/>
        </w:rPr>
        <w:t>（四）开展标准实施效果评估</w:t>
      </w:r>
    </w:p>
    <w:p w14:paraId="3AE46AAF">
      <w:pPr>
        <w:spacing w:line="500" w:lineRule="exact"/>
        <w:ind w:firstLine="560"/>
        <w:rPr>
          <w:rFonts w:hint="eastAsia"/>
          <w:color w:val="auto"/>
          <w:szCs w:val="28"/>
          <w:highlight w:val="none"/>
        </w:rPr>
      </w:pPr>
      <w:r>
        <w:rPr>
          <w:rFonts w:hint="eastAsia"/>
          <w:color w:val="auto"/>
          <w:szCs w:val="28"/>
          <w:highlight w:val="none"/>
        </w:rPr>
        <w:t>标准实施满2年，每年标准宣贯工作组采取网络调查、问卷调查、实地调研、召开座谈会或论证会、专家咨询等方式开展标准实施效果评估，并形成标准实施效果评估报告，为标准的复审修订做准备。</w:t>
      </w:r>
    </w:p>
    <w:p w14:paraId="67DD99E8">
      <w:pPr>
        <w:spacing w:before="240" w:after="60" w:line="520" w:lineRule="exact"/>
        <w:ind w:firstLine="640"/>
        <w:outlineLvl w:val="0"/>
        <w:rPr>
          <w:rFonts w:hint="eastAsia" w:ascii="黑体" w:eastAsia="黑体"/>
          <w:bCs/>
          <w:color w:val="auto"/>
          <w:sz w:val="32"/>
          <w:szCs w:val="32"/>
          <w:highlight w:val="none"/>
        </w:rPr>
      </w:pPr>
      <w:r>
        <w:rPr>
          <w:rFonts w:hint="eastAsia" w:ascii="黑体" w:eastAsia="黑体"/>
          <w:bCs/>
          <w:color w:val="auto"/>
          <w:sz w:val="32"/>
          <w:szCs w:val="32"/>
          <w:highlight w:val="none"/>
        </w:rPr>
        <w:t>八、其他应当说明的事项</w:t>
      </w:r>
    </w:p>
    <w:p w14:paraId="3B664D6C">
      <w:pPr>
        <w:spacing w:line="520" w:lineRule="exact"/>
        <w:ind w:firstLine="560"/>
        <w:rPr>
          <w:rFonts w:hint="eastAsia"/>
          <w:color w:val="auto"/>
          <w:szCs w:val="28"/>
          <w:highlight w:val="none"/>
        </w:rPr>
      </w:pPr>
      <w:r>
        <w:rPr>
          <w:rFonts w:hint="eastAsia"/>
          <w:color w:val="auto"/>
          <w:szCs w:val="28"/>
          <w:highlight w:val="none"/>
        </w:rPr>
        <w:t>无。</w:t>
      </w:r>
    </w:p>
    <w:p w14:paraId="5EB4F08A">
      <w:pPr>
        <w:autoSpaceDE w:val="0"/>
        <w:autoSpaceDN w:val="0"/>
        <w:adjustRightInd w:val="0"/>
        <w:spacing w:before="156" w:beforeLines="50" w:after="156" w:afterLines="50" w:line="520" w:lineRule="exact"/>
        <w:ind w:firstLine="640"/>
        <w:outlineLvl w:val="0"/>
        <w:rPr>
          <w:rFonts w:hint="eastAsia" w:eastAsia="黑体"/>
          <w:color w:val="auto"/>
          <w:sz w:val="32"/>
          <w:szCs w:val="32"/>
          <w:highlight w:val="none"/>
        </w:rPr>
      </w:pPr>
      <w:r>
        <w:rPr>
          <w:rFonts w:hint="eastAsia" w:eastAsia="黑体"/>
          <w:color w:val="auto"/>
          <w:sz w:val="32"/>
          <w:szCs w:val="32"/>
          <w:highlight w:val="none"/>
        </w:rPr>
        <w:t>九、自我承诺</w:t>
      </w:r>
    </w:p>
    <w:p w14:paraId="5E7CC2D6">
      <w:pPr>
        <w:spacing w:line="520" w:lineRule="exact"/>
        <w:ind w:firstLine="560"/>
        <w:rPr>
          <w:rFonts w:hint="eastAsia"/>
          <w:color w:val="auto"/>
          <w:szCs w:val="28"/>
          <w:highlight w:val="none"/>
        </w:rPr>
      </w:pPr>
      <w:r>
        <w:rPr>
          <w:rFonts w:hint="eastAsia"/>
          <w:color w:val="auto"/>
          <w:szCs w:val="28"/>
          <w:highlight w:val="none"/>
        </w:rPr>
        <w:t>该标准的内容符合国家相关法律法规，技术要求不低于强制性国家标准的相关技术要求，与相关的国家、行业推荐性标准协调一致，标准的编写符合GB/T 1.1-2020的要求。</w:t>
      </w:r>
    </w:p>
    <w:p w14:paraId="734B6A60">
      <w:pPr>
        <w:spacing w:before="240" w:after="60" w:line="520" w:lineRule="exact"/>
        <w:ind w:firstLine="560"/>
        <w:jc w:val="right"/>
        <w:outlineLvl w:val="0"/>
        <w:rPr>
          <w:rFonts w:hint="eastAsia"/>
          <w:color w:val="auto"/>
          <w:szCs w:val="28"/>
          <w:highlight w:val="none"/>
        </w:rPr>
      </w:pPr>
      <w:r>
        <w:rPr>
          <w:rFonts w:hint="eastAsia"/>
          <w:color w:val="auto"/>
          <w:szCs w:val="28"/>
          <w:highlight w:val="none"/>
        </w:rPr>
        <w:t>团体标准《腹膜透析患者随访规范》</w:t>
      </w:r>
    </w:p>
    <w:p w14:paraId="2F3CCE86">
      <w:pPr>
        <w:spacing w:line="520" w:lineRule="exact"/>
        <w:ind w:right="1120" w:firstLine="560"/>
        <w:jc w:val="center"/>
        <w:rPr>
          <w:rFonts w:hint="eastAsia"/>
          <w:color w:val="auto"/>
          <w:szCs w:val="28"/>
          <w:highlight w:val="none"/>
        </w:rPr>
      </w:pPr>
      <w:r>
        <w:rPr>
          <w:rFonts w:hint="eastAsia"/>
          <w:color w:val="auto"/>
          <w:szCs w:val="28"/>
          <w:highlight w:val="none"/>
        </w:rPr>
        <w:t xml:space="preserve">                                  标准编制工作组</w:t>
      </w:r>
    </w:p>
    <w:p w14:paraId="4ACBC904">
      <w:pPr>
        <w:spacing w:line="520" w:lineRule="exact"/>
        <w:ind w:firstLine="640"/>
        <w:rPr>
          <w:rFonts w:hint="eastAsia"/>
          <w:color w:val="auto"/>
          <w:szCs w:val="28"/>
          <w:highlight w:val="none"/>
        </w:rPr>
      </w:pPr>
      <w:r>
        <w:rPr>
          <w:rFonts w:hint="eastAsia"/>
          <w:color w:val="auto"/>
          <w:sz w:val="32"/>
          <w:szCs w:val="28"/>
          <w:highlight w:val="none"/>
        </w:rPr>
        <w:t xml:space="preserve">                              </w:t>
      </w:r>
      <w:r>
        <w:rPr>
          <w:rFonts w:hint="eastAsia"/>
          <w:color w:val="auto"/>
          <w:szCs w:val="28"/>
          <w:highlight w:val="none"/>
        </w:rPr>
        <w:t>2025年7月15日</w:t>
      </w:r>
    </w:p>
    <w:sectPr>
      <w:footerReference r:id="rId5" w:type="default"/>
      <w:pgSz w:w="11906" w:h="16838"/>
      <w:pgMar w:top="1474" w:right="1474" w:bottom="1474" w:left="1474" w:header="851" w:footer="992"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E43CEFB6-E778-4B3F-BECF-96E557243798}"/>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embedRegular r:id="rId2" w:fontKey="{BB9A3AFE-ABB8-4D11-9B2D-C854267160DA}"/>
  </w:font>
  <w:font w:name="等线">
    <w:altName w:val="微软雅黑"/>
    <w:panose1 w:val="02010600030101010101"/>
    <w:charset w:val="86"/>
    <w:family w:val="auto"/>
    <w:pitch w:val="default"/>
    <w:sig w:usb0="00000000" w:usb1="00000000" w:usb2="00000016" w:usb3="00000000" w:csb0="0004000F" w:csb1="00000000"/>
  </w:font>
  <w:font w:name="DengXian">
    <w:altName w:val="Segoe Print"/>
    <w:panose1 w:val="00000000000000000000"/>
    <w:charset w:val="00"/>
    <w:family w:val="auto"/>
    <w:pitch w:val="default"/>
    <w:sig w:usb0="00000000" w:usb1="00000000" w:usb2="00000000" w:usb3="00000000" w:csb0="00000000" w:csb1="00000000"/>
  </w:font>
  <w:font w:name="方正小标宋简体">
    <w:panose1 w:val="03000509000000000000"/>
    <w:charset w:val="86"/>
    <w:family w:val="script"/>
    <w:pitch w:val="default"/>
    <w:sig w:usb0="00000001" w:usb1="080E0000" w:usb2="00000000" w:usb3="00000000" w:csb0="00040000" w:csb1="00000000"/>
    <w:embedRegular r:id="rId3" w:fontKey="{300EC970-197A-48CB-B0B7-552A40CD7F24}"/>
  </w:font>
  <w:font w:name="仿宋">
    <w:panose1 w:val="02010609060101010101"/>
    <w:charset w:val="86"/>
    <w:family w:val="modern"/>
    <w:pitch w:val="default"/>
    <w:sig w:usb0="800002BF" w:usb1="38CF7CFA" w:usb2="00000016" w:usb3="00000000" w:csb0="00040001" w:csb1="00000000"/>
    <w:embedRegular r:id="rId4" w:fontKey="{40716A20-CA85-4B9A-A672-D1963A711738}"/>
  </w:font>
  <w:font w:name="微软雅黑">
    <w:panose1 w:val="020B0503020204020204"/>
    <w:charset w:val="86"/>
    <w:family w:val="auto"/>
    <w:pitch w:val="default"/>
    <w:sig w:usb0="80000287" w:usb1="280F3C52" w:usb2="00000016" w:usb3="00000000" w:csb0="0004001F" w:csb1="00000000"/>
  </w:font>
  <w:font w:name="Segoe Print">
    <w:panose1 w:val="02000600000000000000"/>
    <w:charset w:val="00"/>
    <w:family w:val="auto"/>
    <w:pitch w:val="default"/>
    <w:sig w:usb0="0000028F" w:usb1="00000000" w:usb2="00000000" w:usb3="00000000" w:csb0="2000009F" w:csb1="4701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F027C59">
    <w:pPr>
      <w:pStyle w:val="8"/>
      <w:ind w:firstLine="360"/>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004667C6">
                          <w:pPr>
                            <w:pStyle w:val="8"/>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004667C6">
                    <w:pPr>
                      <w:pStyle w:val="8"/>
                      <w:ind w:firstLine="360"/>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560"/>
      </w:pPr>
      <w:r>
        <w:separator/>
      </w:r>
    </w:p>
  </w:footnote>
  <w:footnote w:type="continuationSeparator" w:id="1">
    <w:p>
      <w:pPr>
        <w:ind w:firstLine="56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DDF8329"/>
    <w:multiLevelType w:val="multilevel"/>
    <w:tmpl w:val="8DDF8329"/>
    <w:lvl w:ilvl="0" w:tentative="0">
      <w:start w:val="1"/>
      <w:numFmt w:val="decimal"/>
      <w:pStyle w:val="40"/>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1">
    <w:nsid w:val="AB6CC0E3"/>
    <w:multiLevelType w:val="multilevel"/>
    <w:tmpl w:val="AB6CC0E3"/>
    <w:lvl w:ilvl="0" w:tentative="0">
      <w:start w:val="1"/>
      <w:numFmt w:val="none"/>
      <w:lvlText w:val="%1——"/>
      <w:lvlJc w:val="left"/>
      <w:pPr>
        <w:tabs>
          <w:tab w:val="left" w:pos="851"/>
        </w:tabs>
        <w:ind w:left="851" w:hanging="426"/>
      </w:pPr>
      <w:rPr>
        <w:rFonts w:hint="eastAsia" w:ascii="宋体" w:hAnsi="Times New Roman" w:eastAsia="宋体" w:cs="宋体"/>
        <w:b w:val="0"/>
        <w:i w:val="0"/>
        <w:sz w:val="21"/>
      </w:rPr>
    </w:lvl>
    <w:lvl w:ilvl="1" w:tentative="0">
      <w:start w:val="1"/>
      <w:numFmt w:val="none"/>
      <w:pStyle w:val="58"/>
      <w:lvlText w:val=""/>
      <w:lvlJc w:val="left"/>
      <w:pPr>
        <w:ind w:left="851" w:hanging="431"/>
      </w:pPr>
      <w:rPr>
        <w:rFonts w:ascii="Symbol" w:hAnsi="Symbol" w:cs="Symbol"/>
        <w:sz w:val="21"/>
      </w:rPr>
    </w:lvl>
    <w:lvl w:ilvl="2" w:tentative="0">
      <w:start w:val="1"/>
      <w:numFmt w:val="bullet"/>
      <w:lvlText w:val=""/>
      <w:lvlJc w:val="left"/>
      <w:pPr>
        <w:ind w:left="851" w:hanging="426"/>
      </w:pPr>
      <w:rPr>
        <w:rFonts w:hint="default" w:ascii="Wingdings" w:hAnsi="Wingdings" w:cs="Wingdings"/>
        <w:sz w:val="21"/>
      </w:rPr>
    </w:lvl>
    <w:lvl w:ilvl="3" w:tentative="0">
      <w:start w:val="1"/>
      <w:numFmt w:val="decimal"/>
      <w:lvlText w:val="%4."/>
      <w:lvlJc w:val="left"/>
      <w:pPr>
        <w:tabs>
          <w:tab w:val="left" w:pos="2071"/>
        </w:tabs>
        <w:ind w:left="1884" w:hanging="528"/>
      </w:pPr>
    </w:lvl>
    <w:lvl w:ilvl="4" w:tentative="0">
      <w:start w:val="1"/>
      <w:numFmt w:val="lowerLetter"/>
      <w:lvlText w:val="%5)"/>
      <w:lvlJc w:val="left"/>
      <w:pPr>
        <w:tabs>
          <w:tab w:val="left" w:pos="2383"/>
        </w:tabs>
        <w:ind w:left="2196" w:hanging="528"/>
      </w:pPr>
    </w:lvl>
    <w:lvl w:ilvl="5" w:tentative="0">
      <w:start w:val="1"/>
      <w:numFmt w:val="lowerRoman"/>
      <w:lvlText w:val="%6."/>
      <w:lvlJc w:val="right"/>
      <w:pPr>
        <w:tabs>
          <w:tab w:val="left" w:pos="2695"/>
        </w:tabs>
        <w:ind w:left="2508" w:hanging="528"/>
      </w:pPr>
    </w:lvl>
    <w:lvl w:ilvl="6" w:tentative="0">
      <w:start w:val="1"/>
      <w:numFmt w:val="decimal"/>
      <w:lvlText w:val="%7."/>
      <w:lvlJc w:val="left"/>
      <w:pPr>
        <w:tabs>
          <w:tab w:val="left" w:pos="3007"/>
        </w:tabs>
        <w:ind w:left="2820" w:hanging="528"/>
      </w:pPr>
    </w:lvl>
    <w:lvl w:ilvl="7" w:tentative="0">
      <w:start w:val="1"/>
      <w:numFmt w:val="lowerLetter"/>
      <w:lvlText w:val="%8)"/>
      <w:lvlJc w:val="left"/>
      <w:pPr>
        <w:tabs>
          <w:tab w:val="left" w:pos="3319"/>
        </w:tabs>
        <w:ind w:left="3132" w:hanging="528"/>
      </w:pPr>
    </w:lvl>
    <w:lvl w:ilvl="8" w:tentative="0">
      <w:start w:val="1"/>
      <w:numFmt w:val="lowerRoman"/>
      <w:lvlText w:val="%9."/>
      <w:lvlJc w:val="right"/>
      <w:pPr>
        <w:tabs>
          <w:tab w:val="left" w:pos="3631"/>
        </w:tabs>
        <w:ind w:left="3444" w:hanging="528"/>
      </w:pPr>
    </w:lvl>
  </w:abstractNum>
  <w:abstractNum w:abstractNumId="2">
    <w:nsid w:val="CCD0087F"/>
    <w:multiLevelType w:val="multilevel"/>
    <w:tmpl w:val="CCD0087F"/>
    <w:lvl w:ilvl="0" w:tentative="0">
      <w:start w:val="1"/>
      <w:numFmt w:val="none"/>
      <w:pStyle w:val="56"/>
      <w:lvlText w:val="%1注："/>
      <w:lvlJc w:val="left"/>
      <w:pPr>
        <w:ind w:left="737" w:hanging="374"/>
      </w:pPr>
      <w:rPr>
        <w:rFonts w:hint="eastAsia" w:ascii="黑体" w:hAnsi="Times New Roman" w:eastAsia="黑体" w:cs="黑体"/>
        <w:b w:val="0"/>
        <w:i w:val="0"/>
        <w:sz w:val="18"/>
      </w:rPr>
    </w:lvl>
    <w:lvl w:ilvl="1" w:tentative="0">
      <w:start w:val="1"/>
      <w:numFmt w:val="lowerLetter"/>
      <w:lvlText w:val="%2)"/>
      <w:lvlJc w:val="left"/>
      <w:pPr>
        <w:tabs>
          <w:tab w:val="left" w:pos="1140"/>
        </w:tabs>
        <w:ind w:left="726" w:hanging="363"/>
      </w:pPr>
    </w:lvl>
    <w:lvl w:ilvl="2" w:tentative="0">
      <w:start w:val="1"/>
      <w:numFmt w:val="lowerRoman"/>
      <w:lvlText w:val="%3."/>
      <w:lvlJc w:val="right"/>
      <w:pPr>
        <w:tabs>
          <w:tab w:val="left" w:pos="1140"/>
        </w:tabs>
        <w:ind w:left="726" w:hanging="363"/>
      </w:pPr>
    </w:lvl>
    <w:lvl w:ilvl="3" w:tentative="0">
      <w:start w:val="1"/>
      <w:numFmt w:val="decimal"/>
      <w:lvlText w:val="%4."/>
      <w:lvlJc w:val="left"/>
      <w:pPr>
        <w:tabs>
          <w:tab w:val="left" w:pos="1140"/>
        </w:tabs>
        <w:ind w:left="726" w:hanging="363"/>
      </w:pPr>
    </w:lvl>
    <w:lvl w:ilvl="4" w:tentative="0">
      <w:start w:val="1"/>
      <w:numFmt w:val="lowerLetter"/>
      <w:lvlText w:val="%5)"/>
      <w:lvlJc w:val="left"/>
      <w:pPr>
        <w:tabs>
          <w:tab w:val="left" w:pos="1140"/>
        </w:tabs>
        <w:ind w:left="726" w:hanging="363"/>
      </w:pPr>
    </w:lvl>
    <w:lvl w:ilvl="5" w:tentative="0">
      <w:start w:val="1"/>
      <w:numFmt w:val="lowerRoman"/>
      <w:lvlText w:val="%6."/>
      <w:lvlJc w:val="right"/>
      <w:pPr>
        <w:tabs>
          <w:tab w:val="left" w:pos="1140"/>
        </w:tabs>
        <w:ind w:left="726" w:hanging="363"/>
      </w:pPr>
    </w:lvl>
    <w:lvl w:ilvl="6" w:tentative="0">
      <w:start w:val="1"/>
      <w:numFmt w:val="decimal"/>
      <w:lvlText w:val="%7."/>
      <w:lvlJc w:val="left"/>
      <w:pPr>
        <w:tabs>
          <w:tab w:val="left" w:pos="1140"/>
        </w:tabs>
        <w:ind w:left="726" w:hanging="363"/>
      </w:pPr>
    </w:lvl>
    <w:lvl w:ilvl="7" w:tentative="0">
      <w:start w:val="1"/>
      <w:numFmt w:val="lowerLetter"/>
      <w:lvlText w:val="%8)"/>
      <w:lvlJc w:val="left"/>
      <w:pPr>
        <w:tabs>
          <w:tab w:val="left" w:pos="1140"/>
        </w:tabs>
        <w:ind w:left="726" w:hanging="363"/>
      </w:pPr>
    </w:lvl>
    <w:lvl w:ilvl="8" w:tentative="0">
      <w:start w:val="1"/>
      <w:numFmt w:val="lowerRoman"/>
      <w:lvlText w:val="%9."/>
      <w:lvlJc w:val="right"/>
      <w:pPr>
        <w:tabs>
          <w:tab w:val="left" w:pos="1140"/>
        </w:tabs>
        <w:ind w:left="726" w:hanging="363"/>
      </w:pPr>
    </w:lvl>
  </w:abstractNum>
  <w:abstractNum w:abstractNumId="3">
    <w:nsid w:val="DD825534"/>
    <w:multiLevelType w:val="singleLevel"/>
    <w:tmpl w:val="DD825534"/>
    <w:lvl w:ilvl="0" w:tentative="0">
      <w:start w:val="1"/>
      <w:numFmt w:val="decimal"/>
      <w:suff w:val="space"/>
      <w:lvlText w:val="%1."/>
      <w:lvlJc w:val="left"/>
    </w:lvl>
  </w:abstractNum>
  <w:abstractNum w:abstractNumId="4">
    <w:nsid w:val="0FFFFF7E"/>
    <w:multiLevelType w:val="singleLevel"/>
    <w:tmpl w:val="0FFFFF7E"/>
    <w:lvl w:ilvl="0" w:tentative="0">
      <w:start w:val="1"/>
      <w:numFmt w:val="decimal"/>
      <w:lvlText w:val="%1."/>
      <w:lvlJc w:val="left"/>
      <w:pPr>
        <w:tabs>
          <w:tab w:val="left" w:pos="1200"/>
        </w:tabs>
        <w:ind w:left="1200" w:hanging="360"/>
      </w:pPr>
    </w:lvl>
  </w:abstractNum>
  <w:abstractNum w:abstractNumId="5">
    <w:nsid w:val="0FFFFF7F"/>
    <w:multiLevelType w:val="singleLevel"/>
    <w:tmpl w:val="0FFFFF7F"/>
    <w:lvl w:ilvl="0" w:tentative="0">
      <w:start w:val="1"/>
      <w:numFmt w:val="decimal"/>
      <w:lvlText w:val="%1."/>
      <w:lvlJc w:val="left"/>
      <w:pPr>
        <w:tabs>
          <w:tab w:val="left" w:pos="780"/>
        </w:tabs>
        <w:ind w:left="780" w:hanging="360"/>
      </w:pPr>
    </w:lvl>
  </w:abstractNum>
  <w:abstractNum w:abstractNumId="6">
    <w:nsid w:val="2C5917C3"/>
    <w:multiLevelType w:val="multilevel"/>
    <w:tmpl w:val="2C5917C3"/>
    <w:lvl w:ilvl="0" w:tentative="0">
      <w:start w:val="1"/>
      <w:numFmt w:val="none"/>
      <w:pStyle w:val="54"/>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7">
    <w:nsid w:val="44C50F90"/>
    <w:multiLevelType w:val="multilevel"/>
    <w:tmpl w:val="44C50F90"/>
    <w:lvl w:ilvl="0" w:tentative="0">
      <w:start w:val="1"/>
      <w:numFmt w:val="lowerLetter"/>
      <w:pStyle w:val="49"/>
      <w:lvlText w:val="%1)"/>
      <w:lvlJc w:val="left"/>
      <w:pPr>
        <w:tabs>
          <w:tab w:val="left" w:pos="851"/>
        </w:tabs>
        <w:ind w:left="851" w:hanging="426"/>
      </w:pPr>
      <w:rPr>
        <w:rFonts w:hint="eastAsia" w:ascii="宋体" w:hAnsi="Times New Roman" w:eastAsia="宋体"/>
        <w:sz w:val="21"/>
      </w:rPr>
    </w:lvl>
    <w:lvl w:ilvl="1" w:tentative="0">
      <w:start w:val="1"/>
      <w:numFmt w:val="decimal"/>
      <w:pStyle w:val="47"/>
      <w:lvlText w:val="%2)"/>
      <w:lvlJc w:val="left"/>
      <w:pPr>
        <w:tabs>
          <w:tab w:val="left" w:pos="1276"/>
        </w:tabs>
        <w:ind w:left="1276" w:hanging="425"/>
      </w:pPr>
      <w:rPr>
        <w:rFonts w:hint="eastAsia" w:ascii="宋体" w:hAnsi="Times New Roman" w:eastAsia="宋体"/>
        <w:sz w:val="21"/>
      </w:rPr>
    </w:lvl>
    <w:lvl w:ilvl="2" w:tentative="0">
      <w:start w:val="1"/>
      <w:numFmt w:val="decimal"/>
      <w:pStyle w:val="4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8">
    <w:nsid w:val="47DFD2F4"/>
    <w:multiLevelType w:val="singleLevel"/>
    <w:tmpl w:val="47DFD2F4"/>
    <w:lvl w:ilvl="0" w:tentative="0">
      <w:start w:val="2"/>
      <w:numFmt w:val="decimal"/>
      <w:suff w:val="space"/>
      <w:lvlText w:val="%1."/>
      <w:lvlJc w:val="left"/>
    </w:lvl>
  </w:abstractNum>
  <w:abstractNum w:abstractNumId="9">
    <w:nsid w:val="5A9B6960"/>
    <w:multiLevelType w:val="multilevel"/>
    <w:tmpl w:val="5A9B6960"/>
    <w:lvl w:ilvl="0" w:tentative="0">
      <w:start w:val="1"/>
      <w:numFmt w:val="none"/>
      <w:pStyle w:val="37"/>
      <w:suff w:val="nothing"/>
      <w:lvlText w:val="%1"/>
      <w:legacy w:legacy="1" w:legacySpace="0" w:legacyIndent="0"/>
      <w:lvlJc w:val="left"/>
      <w:pPr>
        <w:ind w:left="0" w:firstLine="0"/>
      </w:pPr>
      <w:rPr>
        <w:rFonts w:hint="eastAsia"/>
      </w:rPr>
    </w:lvl>
    <w:lvl w:ilvl="1" w:tentative="0">
      <w:start w:val="1"/>
      <w:numFmt w:val="decimal"/>
      <w:pStyle w:val="31"/>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3"/>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9"/>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8"/>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6"/>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9"/>
  </w:num>
  <w:num w:numId="2">
    <w:abstractNumId w:val="0"/>
  </w:num>
  <w:num w:numId="3">
    <w:abstractNumId w:val="5"/>
  </w:num>
  <w:num w:numId="4">
    <w:abstractNumId w:val="4"/>
  </w:num>
  <w:num w:numId="5">
    <w:abstractNumId w:val="7"/>
  </w:num>
  <w:num w:numId="6">
    <w:abstractNumId w:val="6"/>
  </w:num>
  <w:num w:numId="7">
    <w:abstractNumId w:val="2"/>
  </w:num>
  <w:num w:numId="8">
    <w:abstractNumId w:val="1"/>
  </w:num>
  <w:num w:numId="9">
    <w:abstractNumId w:val="8"/>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JiMDJlZWZlY2I0YWYyNzg4ODk0YmIxNWMwMmQyY2UifQ=="/>
  </w:docVars>
  <w:rsids>
    <w:rsidRoot w:val="000D75AA"/>
    <w:rsid w:val="000068A2"/>
    <w:rsid w:val="00014983"/>
    <w:rsid w:val="000178C8"/>
    <w:rsid w:val="00055442"/>
    <w:rsid w:val="000644BF"/>
    <w:rsid w:val="00072103"/>
    <w:rsid w:val="00075653"/>
    <w:rsid w:val="00082613"/>
    <w:rsid w:val="000C517B"/>
    <w:rsid w:val="000D75AA"/>
    <w:rsid w:val="000E53EA"/>
    <w:rsid w:val="001133E6"/>
    <w:rsid w:val="00140F67"/>
    <w:rsid w:val="001655CC"/>
    <w:rsid w:val="0018012C"/>
    <w:rsid w:val="001821C9"/>
    <w:rsid w:val="001A7570"/>
    <w:rsid w:val="001D3156"/>
    <w:rsid w:val="001E2D73"/>
    <w:rsid w:val="0020127F"/>
    <w:rsid w:val="00205352"/>
    <w:rsid w:val="002210B4"/>
    <w:rsid w:val="0022236C"/>
    <w:rsid w:val="002324B6"/>
    <w:rsid w:val="00234F7D"/>
    <w:rsid w:val="00236909"/>
    <w:rsid w:val="00236EB4"/>
    <w:rsid w:val="00241F8A"/>
    <w:rsid w:val="00243E1D"/>
    <w:rsid w:val="00281F39"/>
    <w:rsid w:val="0028500C"/>
    <w:rsid w:val="002879F6"/>
    <w:rsid w:val="00292F73"/>
    <w:rsid w:val="0029554A"/>
    <w:rsid w:val="002A3479"/>
    <w:rsid w:val="002A7CB0"/>
    <w:rsid w:val="002B7C92"/>
    <w:rsid w:val="002E357A"/>
    <w:rsid w:val="002E590E"/>
    <w:rsid w:val="00321E92"/>
    <w:rsid w:val="003259AF"/>
    <w:rsid w:val="003332BA"/>
    <w:rsid w:val="00340D9B"/>
    <w:rsid w:val="003517E7"/>
    <w:rsid w:val="00372E66"/>
    <w:rsid w:val="00375933"/>
    <w:rsid w:val="00382E35"/>
    <w:rsid w:val="00396F2C"/>
    <w:rsid w:val="003D485E"/>
    <w:rsid w:val="00426DC5"/>
    <w:rsid w:val="004373E9"/>
    <w:rsid w:val="0044036C"/>
    <w:rsid w:val="0044065E"/>
    <w:rsid w:val="004805DB"/>
    <w:rsid w:val="0048511D"/>
    <w:rsid w:val="004A75FF"/>
    <w:rsid w:val="004B4D68"/>
    <w:rsid w:val="004F29B4"/>
    <w:rsid w:val="00503F7F"/>
    <w:rsid w:val="00515B82"/>
    <w:rsid w:val="0051755E"/>
    <w:rsid w:val="00533B2A"/>
    <w:rsid w:val="005514B4"/>
    <w:rsid w:val="00554B7D"/>
    <w:rsid w:val="00564A0C"/>
    <w:rsid w:val="00576405"/>
    <w:rsid w:val="005A23F9"/>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6D4221"/>
    <w:rsid w:val="006D7955"/>
    <w:rsid w:val="00714DDE"/>
    <w:rsid w:val="00735CE6"/>
    <w:rsid w:val="0074491A"/>
    <w:rsid w:val="007557E4"/>
    <w:rsid w:val="00756356"/>
    <w:rsid w:val="00774434"/>
    <w:rsid w:val="007756AB"/>
    <w:rsid w:val="00781D6C"/>
    <w:rsid w:val="007A149B"/>
    <w:rsid w:val="007C244C"/>
    <w:rsid w:val="00801A7F"/>
    <w:rsid w:val="00814260"/>
    <w:rsid w:val="008247C4"/>
    <w:rsid w:val="00826BFA"/>
    <w:rsid w:val="00853F5C"/>
    <w:rsid w:val="00874BB5"/>
    <w:rsid w:val="008779C2"/>
    <w:rsid w:val="008857D7"/>
    <w:rsid w:val="00887632"/>
    <w:rsid w:val="00887EF3"/>
    <w:rsid w:val="00895F4A"/>
    <w:rsid w:val="008973E6"/>
    <w:rsid w:val="008A6DE3"/>
    <w:rsid w:val="008B6B5F"/>
    <w:rsid w:val="008C5D53"/>
    <w:rsid w:val="008E1EB5"/>
    <w:rsid w:val="008F65F2"/>
    <w:rsid w:val="00913891"/>
    <w:rsid w:val="00926E1B"/>
    <w:rsid w:val="00932BA3"/>
    <w:rsid w:val="00947EBA"/>
    <w:rsid w:val="009540B2"/>
    <w:rsid w:val="009718CC"/>
    <w:rsid w:val="009A4141"/>
    <w:rsid w:val="009E3161"/>
    <w:rsid w:val="00A16A3E"/>
    <w:rsid w:val="00A263D3"/>
    <w:rsid w:val="00A33A69"/>
    <w:rsid w:val="00A365A2"/>
    <w:rsid w:val="00A37FDF"/>
    <w:rsid w:val="00A42C5E"/>
    <w:rsid w:val="00A75476"/>
    <w:rsid w:val="00A87F41"/>
    <w:rsid w:val="00AA4963"/>
    <w:rsid w:val="00AC57C3"/>
    <w:rsid w:val="00AD0172"/>
    <w:rsid w:val="00B07A8A"/>
    <w:rsid w:val="00B2729B"/>
    <w:rsid w:val="00B66676"/>
    <w:rsid w:val="00B73416"/>
    <w:rsid w:val="00B77477"/>
    <w:rsid w:val="00B94EFE"/>
    <w:rsid w:val="00B954B8"/>
    <w:rsid w:val="00BA570D"/>
    <w:rsid w:val="00BB6932"/>
    <w:rsid w:val="00BB7B52"/>
    <w:rsid w:val="00BD2990"/>
    <w:rsid w:val="00C01DA0"/>
    <w:rsid w:val="00C07069"/>
    <w:rsid w:val="00C123EE"/>
    <w:rsid w:val="00C13CB6"/>
    <w:rsid w:val="00C20386"/>
    <w:rsid w:val="00CC71EF"/>
    <w:rsid w:val="00CE7CD2"/>
    <w:rsid w:val="00D0457A"/>
    <w:rsid w:val="00D35977"/>
    <w:rsid w:val="00D43F5A"/>
    <w:rsid w:val="00D5312C"/>
    <w:rsid w:val="00D87F07"/>
    <w:rsid w:val="00D9142A"/>
    <w:rsid w:val="00D9735E"/>
    <w:rsid w:val="00DB7F6F"/>
    <w:rsid w:val="00DF4FB8"/>
    <w:rsid w:val="00E04858"/>
    <w:rsid w:val="00E2266D"/>
    <w:rsid w:val="00E27034"/>
    <w:rsid w:val="00E32D4B"/>
    <w:rsid w:val="00E41116"/>
    <w:rsid w:val="00E414EF"/>
    <w:rsid w:val="00E455A5"/>
    <w:rsid w:val="00E835A1"/>
    <w:rsid w:val="00E83E2D"/>
    <w:rsid w:val="00EA3A93"/>
    <w:rsid w:val="00ED41E5"/>
    <w:rsid w:val="00EE332B"/>
    <w:rsid w:val="00EF4610"/>
    <w:rsid w:val="00EF6CB2"/>
    <w:rsid w:val="00F01A5C"/>
    <w:rsid w:val="00F40513"/>
    <w:rsid w:val="00F424A9"/>
    <w:rsid w:val="00F5729F"/>
    <w:rsid w:val="00F65587"/>
    <w:rsid w:val="00F77E06"/>
    <w:rsid w:val="00F864DC"/>
    <w:rsid w:val="00F9021F"/>
    <w:rsid w:val="00FA7D60"/>
    <w:rsid w:val="00FB260A"/>
    <w:rsid w:val="00FC7CE6"/>
    <w:rsid w:val="00FD6497"/>
    <w:rsid w:val="00FF2EC3"/>
    <w:rsid w:val="012A4E2C"/>
    <w:rsid w:val="02DC2156"/>
    <w:rsid w:val="036C0D75"/>
    <w:rsid w:val="03CC3F79"/>
    <w:rsid w:val="057B7A05"/>
    <w:rsid w:val="05CD222A"/>
    <w:rsid w:val="06084616"/>
    <w:rsid w:val="06A9292B"/>
    <w:rsid w:val="06CB54AE"/>
    <w:rsid w:val="06CD322E"/>
    <w:rsid w:val="07BE53C7"/>
    <w:rsid w:val="08EF7A39"/>
    <w:rsid w:val="090A67D6"/>
    <w:rsid w:val="09EB05D3"/>
    <w:rsid w:val="0A5844F0"/>
    <w:rsid w:val="0AA42754"/>
    <w:rsid w:val="0B927BA2"/>
    <w:rsid w:val="0EE41D10"/>
    <w:rsid w:val="0F0701D6"/>
    <w:rsid w:val="0F8E195F"/>
    <w:rsid w:val="11386E78"/>
    <w:rsid w:val="11B73ED3"/>
    <w:rsid w:val="12277661"/>
    <w:rsid w:val="12B94EC3"/>
    <w:rsid w:val="133D4C82"/>
    <w:rsid w:val="13D12EE6"/>
    <w:rsid w:val="13EE1CEA"/>
    <w:rsid w:val="13F37300"/>
    <w:rsid w:val="16BC74EB"/>
    <w:rsid w:val="16CE53A9"/>
    <w:rsid w:val="174D6D27"/>
    <w:rsid w:val="18933D98"/>
    <w:rsid w:val="18CE5C46"/>
    <w:rsid w:val="1A2A2D28"/>
    <w:rsid w:val="1B9C64CF"/>
    <w:rsid w:val="1C5E2638"/>
    <w:rsid w:val="1D931894"/>
    <w:rsid w:val="1E6C7E3E"/>
    <w:rsid w:val="1EEE7042"/>
    <w:rsid w:val="20346CD6"/>
    <w:rsid w:val="206E043A"/>
    <w:rsid w:val="21B75E11"/>
    <w:rsid w:val="222419EE"/>
    <w:rsid w:val="2443573A"/>
    <w:rsid w:val="25496D80"/>
    <w:rsid w:val="27095D8A"/>
    <w:rsid w:val="277B51EB"/>
    <w:rsid w:val="279E6744"/>
    <w:rsid w:val="29817476"/>
    <w:rsid w:val="2BAD2B02"/>
    <w:rsid w:val="2DF63777"/>
    <w:rsid w:val="2E0C3040"/>
    <w:rsid w:val="2E40384E"/>
    <w:rsid w:val="2F083808"/>
    <w:rsid w:val="2F0B058C"/>
    <w:rsid w:val="2F454A5C"/>
    <w:rsid w:val="2F7C5FA4"/>
    <w:rsid w:val="2F82534F"/>
    <w:rsid w:val="302723B3"/>
    <w:rsid w:val="317C6D62"/>
    <w:rsid w:val="32113AB2"/>
    <w:rsid w:val="32276E0F"/>
    <w:rsid w:val="360F0344"/>
    <w:rsid w:val="3C0E4A13"/>
    <w:rsid w:val="3C9A5E26"/>
    <w:rsid w:val="3D6C58AA"/>
    <w:rsid w:val="40015B44"/>
    <w:rsid w:val="403F2E01"/>
    <w:rsid w:val="41505E15"/>
    <w:rsid w:val="41881EF5"/>
    <w:rsid w:val="41F955F2"/>
    <w:rsid w:val="431A1904"/>
    <w:rsid w:val="44F56185"/>
    <w:rsid w:val="45413951"/>
    <w:rsid w:val="46A37B49"/>
    <w:rsid w:val="46E47FFF"/>
    <w:rsid w:val="4779601E"/>
    <w:rsid w:val="481B0E08"/>
    <w:rsid w:val="493E1AE1"/>
    <w:rsid w:val="4ABB2AFC"/>
    <w:rsid w:val="4B2238EC"/>
    <w:rsid w:val="4DDD59C1"/>
    <w:rsid w:val="4F8F53EF"/>
    <w:rsid w:val="512841B5"/>
    <w:rsid w:val="51FB0B52"/>
    <w:rsid w:val="526220A7"/>
    <w:rsid w:val="531F075A"/>
    <w:rsid w:val="56C63E25"/>
    <w:rsid w:val="5701665C"/>
    <w:rsid w:val="57A01936"/>
    <w:rsid w:val="57A57FD6"/>
    <w:rsid w:val="57F01F2D"/>
    <w:rsid w:val="58743842"/>
    <w:rsid w:val="58D367F3"/>
    <w:rsid w:val="592C1295"/>
    <w:rsid w:val="593F2EFE"/>
    <w:rsid w:val="59575D1D"/>
    <w:rsid w:val="59DD74BB"/>
    <w:rsid w:val="5A8C449C"/>
    <w:rsid w:val="5B571FFB"/>
    <w:rsid w:val="5B9B24E5"/>
    <w:rsid w:val="5BFB00CD"/>
    <w:rsid w:val="5C452F47"/>
    <w:rsid w:val="5C867919"/>
    <w:rsid w:val="5D086F45"/>
    <w:rsid w:val="5D4D6706"/>
    <w:rsid w:val="60252B89"/>
    <w:rsid w:val="60431755"/>
    <w:rsid w:val="604F4E8B"/>
    <w:rsid w:val="60AB1DE6"/>
    <w:rsid w:val="616C2448"/>
    <w:rsid w:val="63DF2082"/>
    <w:rsid w:val="654A16B4"/>
    <w:rsid w:val="660F1D12"/>
    <w:rsid w:val="67277FC8"/>
    <w:rsid w:val="677C2407"/>
    <w:rsid w:val="688D39BE"/>
    <w:rsid w:val="68C47A98"/>
    <w:rsid w:val="68C53F3C"/>
    <w:rsid w:val="6A233377"/>
    <w:rsid w:val="6CC80E6D"/>
    <w:rsid w:val="6F2C0891"/>
    <w:rsid w:val="6F887445"/>
    <w:rsid w:val="70096E04"/>
    <w:rsid w:val="710B6BAC"/>
    <w:rsid w:val="71CC633B"/>
    <w:rsid w:val="71F238C8"/>
    <w:rsid w:val="72534367"/>
    <w:rsid w:val="72E6342D"/>
    <w:rsid w:val="738A5B9F"/>
    <w:rsid w:val="741F6AAA"/>
    <w:rsid w:val="74A0585D"/>
    <w:rsid w:val="763E5F0A"/>
    <w:rsid w:val="77602B2D"/>
    <w:rsid w:val="77A7157C"/>
    <w:rsid w:val="78066C1F"/>
    <w:rsid w:val="78B143BF"/>
    <w:rsid w:val="790042E4"/>
    <w:rsid w:val="79426EE3"/>
    <w:rsid w:val="7A035425"/>
    <w:rsid w:val="7A937FAF"/>
    <w:rsid w:val="7AB465B7"/>
    <w:rsid w:val="7B0321DE"/>
    <w:rsid w:val="7B215011"/>
    <w:rsid w:val="7C3C40BE"/>
    <w:rsid w:val="7CB63E70"/>
    <w:rsid w:val="7D221505"/>
    <w:rsid w:val="7E2B6198"/>
    <w:rsid w:val="7F48595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720" w:firstLineChars="200"/>
      <w:jc w:val="both"/>
    </w:pPr>
    <w:rPr>
      <w:rFonts w:ascii="仿宋_GB2312" w:hAnsi="仿宋_GB2312" w:eastAsia="仿宋_GB2312" w:cs="Calibri"/>
      <w:kern w:val="2"/>
      <w:sz w:val="28"/>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rPr>
  </w:style>
  <w:style w:type="paragraph" w:styleId="3">
    <w:name w:val="heading 2"/>
    <w:basedOn w:val="1"/>
    <w:next w:val="1"/>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qFormat/>
    <w:uiPriority w:val="0"/>
    <w:pPr>
      <w:keepNext/>
      <w:keepLines/>
      <w:spacing w:before="260" w:after="260" w:line="415" w:lineRule="auto"/>
      <w:outlineLvl w:val="2"/>
    </w:pPr>
    <w:rPr>
      <w:b/>
      <w:sz w:val="32"/>
    </w:rPr>
  </w:style>
  <w:style w:type="paragraph" w:styleId="5">
    <w:name w:val="heading 7"/>
    <w:basedOn w:val="1"/>
    <w:next w:val="1"/>
    <w:link w:val="23"/>
    <w:qFormat/>
    <w:uiPriority w:val="9"/>
    <w:pPr>
      <w:keepNext/>
      <w:keepLines/>
      <w:spacing w:before="240" w:after="64" w:line="320" w:lineRule="auto"/>
      <w:outlineLvl w:val="6"/>
    </w:pPr>
    <w:rPr>
      <w:b/>
      <w:bCs/>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24"/>
    <w:unhideWhenUsed/>
    <w:qFormat/>
    <w:uiPriority w:val="99"/>
    <w:pPr>
      <w:adjustRightInd w:val="0"/>
      <w:spacing w:line="400" w:lineRule="exact"/>
      <w:jc w:val="left"/>
    </w:pPr>
    <w:rPr>
      <w:rFonts w:ascii="Calibri" w:hAnsi="Calibri"/>
      <w:szCs w:val="21"/>
    </w:rPr>
  </w:style>
  <w:style w:type="paragraph" w:styleId="7">
    <w:name w:val="Balloon Text"/>
    <w:basedOn w:val="1"/>
    <w:link w:val="25"/>
    <w:unhideWhenUsed/>
    <w:qFormat/>
    <w:uiPriority w:val="99"/>
    <w:rPr>
      <w:sz w:val="18"/>
      <w:szCs w:val="18"/>
    </w:rPr>
  </w:style>
  <w:style w:type="paragraph" w:styleId="8">
    <w:name w:val="footer"/>
    <w:basedOn w:val="1"/>
    <w:link w:val="26"/>
    <w:qFormat/>
    <w:uiPriority w:val="99"/>
    <w:pPr>
      <w:tabs>
        <w:tab w:val="center" w:pos="4153"/>
        <w:tab w:val="right" w:pos="8306"/>
      </w:tabs>
      <w:snapToGrid w:val="0"/>
      <w:jc w:val="left"/>
    </w:pPr>
    <w:rPr>
      <w:sz w:val="18"/>
      <w:szCs w:val="18"/>
    </w:rPr>
  </w:style>
  <w:style w:type="paragraph" w:styleId="9">
    <w:name w:val="envelope return"/>
    <w:basedOn w:val="1"/>
    <w:qFormat/>
    <w:uiPriority w:val="0"/>
    <w:pPr>
      <w:snapToGrid w:val="0"/>
    </w:pPr>
    <w:rPr>
      <w:rFonts w:ascii="Times New Roman" w:hAnsi="Times New Roman"/>
    </w:rPr>
  </w:style>
  <w:style w:type="paragraph" w:styleId="10">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unhideWhenUsed/>
    <w:qFormat/>
    <w:uiPriority w:val="39"/>
    <w:pPr>
      <w:tabs>
        <w:tab w:val="right" w:leader="dot" w:pos="9344"/>
      </w:tabs>
      <w:adjustRightInd w:val="0"/>
      <w:spacing w:line="300" w:lineRule="exact"/>
      <w:ind w:left="629"/>
    </w:pPr>
    <w:rPr>
      <w:rFonts w:ascii="宋体" w:hAnsi="Calibri"/>
      <w:szCs w:val="21"/>
    </w:rPr>
  </w:style>
  <w:style w:type="paragraph" w:styleId="12">
    <w:name w:val="Normal (Web)"/>
    <w:basedOn w:val="1"/>
    <w:semiHidden/>
    <w:unhideWhenUsed/>
    <w:qFormat/>
    <w:uiPriority w:val="99"/>
    <w:pPr>
      <w:spacing w:beforeAutospacing="1" w:afterAutospacing="1"/>
      <w:jc w:val="left"/>
    </w:pPr>
    <w:rPr>
      <w:rFonts w:hint="eastAsia" w:ascii="等线" w:hAnsi="等线" w:eastAsia="宋体" w:cs="Times New Roman"/>
      <w:kern w:val="0"/>
      <w:sz w:val="24"/>
    </w:rPr>
  </w:style>
  <w:style w:type="table" w:styleId="14">
    <w:name w:val="Table Grid"/>
    <w:basedOn w:val="13"/>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6">
    <w:name w:val="Strong"/>
    <w:basedOn w:val="15"/>
    <w:qFormat/>
    <w:uiPriority w:val="22"/>
    <w:rPr>
      <w:b/>
    </w:rPr>
  </w:style>
  <w:style w:type="character" w:styleId="17">
    <w:name w:val="line number"/>
    <w:qFormat/>
    <w:uiPriority w:val="0"/>
  </w:style>
  <w:style w:type="character" w:styleId="18">
    <w:name w:val="Hyperlink"/>
    <w:qFormat/>
    <w:uiPriority w:val="0"/>
    <w:rPr>
      <w:rFonts w:ascii="宋体" w:eastAsia="宋体"/>
      <w:color w:val="auto"/>
      <w:spacing w:val="0"/>
      <w:w w:val="100"/>
      <w:position w:val="0"/>
      <w:sz w:val="21"/>
      <w:u w:val="none"/>
      <w:vertAlign w:val="baseline"/>
    </w:rPr>
  </w:style>
  <w:style w:type="character" w:styleId="19">
    <w:name w:val="annotation reference"/>
    <w:qFormat/>
    <w:uiPriority w:val="99"/>
    <w:rPr>
      <w:sz w:val="21"/>
    </w:rPr>
  </w:style>
  <w:style w:type="character" w:styleId="20">
    <w:name w:val="footnote reference"/>
    <w:qFormat/>
    <w:uiPriority w:val="0"/>
    <w:rPr>
      <w:vertAlign w:val="superscript"/>
    </w:rPr>
  </w:style>
  <w:style w:type="paragraph" w:customStyle="1" w:styleId="21">
    <w:name w:val="BodyText2"/>
    <w:basedOn w:val="1"/>
    <w:qFormat/>
    <w:uiPriority w:val="0"/>
    <w:pPr>
      <w:spacing w:after="120" w:line="480" w:lineRule="auto"/>
      <w:textAlignment w:val="baseline"/>
    </w:pPr>
    <w:rPr>
      <w:rFonts w:ascii="Calibri" w:hAnsi="Calibri" w:eastAsia="宋体" w:cs="Times New Roman"/>
      <w:sz w:val="32"/>
      <w:szCs w:val="32"/>
    </w:rPr>
  </w:style>
  <w:style w:type="paragraph" w:customStyle="1" w:styleId="22">
    <w:name w:val="正文-公1"/>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3">
    <w:name w:val="标题 7 字符"/>
    <w:link w:val="5"/>
    <w:qFormat/>
    <w:uiPriority w:val="0"/>
    <w:rPr>
      <w:rFonts w:eastAsia="宋体"/>
      <w:b/>
      <w:bCs/>
      <w:kern w:val="2"/>
      <w:sz w:val="24"/>
      <w:szCs w:val="24"/>
    </w:rPr>
  </w:style>
  <w:style w:type="character" w:customStyle="1" w:styleId="24">
    <w:name w:val="批注文字 字符"/>
    <w:link w:val="6"/>
    <w:semiHidden/>
    <w:qFormat/>
    <w:uiPriority w:val="99"/>
    <w:rPr>
      <w:rFonts w:ascii="Calibri" w:hAnsi="Calibri" w:eastAsia="宋体"/>
      <w:kern w:val="2"/>
      <w:sz w:val="21"/>
      <w:szCs w:val="21"/>
    </w:rPr>
  </w:style>
  <w:style w:type="character" w:customStyle="1" w:styleId="25">
    <w:name w:val="批注框文本 字符"/>
    <w:link w:val="7"/>
    <w:semiHidden/>
    <w:qFormat/>
    <w:uiPriority w:val="99"/>
    <w:rPr>
      <w:rFonts w:eastAsia="宋体"/>
      <w:kern w:val="2"/>
      <w:sz w:val="18"/>
      <w:szCs w:val="18"/>
    </w:rPr>
  </w:style>
  <w:style w:type="character" w:customStyle="1" w:styleId="26">
    <w:name w:val="页脚 字符"/>
    <w:link w:val="8"/>
    <w:qFormat/>
    <w:locked/>
    <w:uiPriority w:val="99"/>
    <w:rPr>
      <w:rFonts w:eastAsia="宋体"/>
      <w:kern w:val="2"/>
      <w:sz w:val="18"/>
      <w:szCs w:val="18"/>
    </w:rPr>
  </w:style>
  <w:style w:type="paragraph" w:customStyle="1" w:styleId="27">
    <w:name w:val="其他标准称谓"/>
    <w:qFormat/>
    <w:uiPriority w:val="0"/>
    <w:pPr>
      <w:spacing w:line="0" w:lineRule="atLeast"/>
      <w:jc w:val="distribute"/>
    </w:pPr>
    <w:rPr>
      <w:rFonts w:ascii="黑体" w:hAnsi="Calibri" w:eastAsia="黑体" w:cs="Calibri"/>
      <w:sz w:val="52"/>
      <w:lang w:val="en-US" w:eastAsia="zh-CN" w:bidi="ar-SA"/>
    </w:rPr>
  </w:style>
  <w:style w:type="paragraph" w:customStyle="1" w:styleId="28">
    <w:name w:val="封面标准号1"/>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9">
    <w:name w:val="标准文件_段"/>
    <w:link w:val="30"/>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30">
    <w:name w:val="标准文件_段 Char"/>
    <w:link w:val="29"/>
    <w:qFormat/>
    <w:uiPriority w:val="0"/>
    <w:rPr>
      <w:rFonts w:ascii="宋体" w:eastAsia="宋体"/>
      <w:sz w:val="21"/>
    </w:rPr>
  </w:style>
  <w:style w:type="paragraph" w:customStyle="1" w:styleId="31">
    <w:name w:val="标准文件_章标题"/>
    <w:next w:val="29"/>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2">
    <w:name w:val="标准文件_二级条标题"/>
    <w:next w:val="29"/>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3">
    <w:name w:val="标准文件_一级条标题"/>
    <w:basedOn w:val="31"/>
    <w:next w:val="29"/>
    <w:qFormat/>
    <w:uiPriority w:val="0"/>
    <w:pPr>
      <w:numPr>
        <w:ilvl w:val="2"/>
      </w:numPr>
      <w:spacing w:before="50" w:beforeLines="0" w:after="50" w:afterLines="0"/>
      <w:outlineLvl w:val="1"/>
    </w:pPr>
  </w:style>
  <w:style w:type="paragraph" w:customStyle="1" w:styleId="34">
    <w:name w:val="标准文件_三级条标题"/>
    <w:basedOn w:val="32"/>
    <w:next w:val="29"/>
    <w:qFormat/>
    <w:uiPriority w:val="0"/>
    <w:pPr>
      <w:outlineLvl w:val="3"/>
    </w:pPr>
  </w:style>
  <w:style w:type="paragraph" w:customStyle="1" w:styleId="35">
    <w:name w:val="标准文件_四级条标题"/>
    <w:next w:val="29"/>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6">
    <w:name w:val="标准文件_五级条标题"/>
    <w:next w:val="32"/>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7">
    <w:name w:val="前言标题"/>
    <w:next w:val="1"/>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8">
    <w:name w:val="标准文件_四级无标题"/>
    <w:basedOn w:val="35"/>
    <w:qFormat/>
    <w:uiPriority w:val="0"/>
    <w:pPr>
      <w:numPr>
        <w:ilvl w:val="5"/>
        <w:numId w:val="1"/>
      </w:numPr>
    </w:pPr>
    <w:rPr>
      <w:rFonts w:ascii="宋体" w:eastAsia="宋体"/>
      <w:szCs w:val="52"/>
    </w:rPr>
  </w:style>
  <w:style w:type="paragraph" w:customStyle="1" w:styleId="39">
    <w:name w:val="标准文件_三级无标题"/>
    <w:basedOn w:val="34"/>
    <w:qFormat/>
    <w:uiPriority w:val="0"/>
    <w:pPr>
      <w:numPr>
        <w:ilvl w:val="4"/>
        <w:numId w:val="1"/>
      </w:numPr>
    </w:pPr>
    <w:rPr>
      <w:rFonts w:ascii="宋体" w:eastAsia="宋体"/>
    </w:rPr>
  </w:style>
  <w:style w:type="paragraph" w:customStyle="1" w:styleId="40">
    <w:name w:val="标准文件_正文表标题"/>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1">
    <w:name w:val="font11"/>
    <w:qFormat/>
    <w:uiPriority w:val="0"/>
    <w:rPr>
      <w:rFonts w:ascii="等线" w:eastAsia="等线"/>
      <w:b/>
      <w:bCs/>
      <w:color w:val="FF0000"/>
      <w:sz w:val="22"/>
      <w:szCs w:val="22"/>
      <w:u w:val="none"/>
    </w:rPr>
  </w:style>
  <w:style w:type="character" w:customStyle="1" w:styleId="42">
    <w:name w:val="font01"/>
    <w:qFormat/>
    <w:uiPriority w:val="0"/>
    <w:rPr>
      <w:rFonts w:ascii="等线" w:eastAsia="等线"/>
      <w:color w:val="000000"/>
      <w:sz w:val="22"/>
      <w:szCs w:val="22"/>
      <w:u w:val="none"/>
    </w:rPr>
  </w:style>
  <w:style w:type="paragraph" w:customStyle="1" w:styleId="43">
    <w:name w:val="段"/>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4">
    <w:name w:val="二级无"/>
    <w:basedOn w:val="1"/>
    <w:qFormat/>
    <w:uiPriority w:val="0"/>
    <w:pPr>
      <w:widowControl/>
      <w:numPr>
        <w:ilvl w:val="2"/>
        <w:numId w:val="3"/>
      </w:numPr>
      <w:tabs>
        <w:tab w:val="left" w:pos="780"/>
      </w:tabs>
      <w:jc w:val="left"/>
      <w:outlineLvl w:val="3"/>
    </w:pPr>
    <w:rPr>
      <w:rFonts w:ascii="宋体"/>
      <w:kern w:val="0"/>
      <w:szCs w:val="21"/>
    </w:rPr>
  </w:style>
  <w:style w:type="paragraph" w:customStyle="1" w:styleId="45">
    <w:name w:val="标准文件_二级无标题"/>
    <w:basedOn w:val="32"/>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6">
    <w:name w:val="Char Char Char Char"/>
    <w:basedOn w:val="1"/>
    <w:qFormat/>
    <w:uiPriority w:val="0"/>
  </w:style>
  <w:style w:type="paragraph" w:customStyle="1" w:styleId="47">
    <w:name w:val="标准文件_数字编号列项（二级）"/>
    <w:qFormat/>
    <w:uiPriority w:val="0"/>
    <w:pPr>
      <w:numPr>
        <w:ilvl w:val="1"/>
        <w:numId w:val="5"/>
      </w:numPr>
      <w:jc w:val="both"/>
    </w:pPr>
    <w:rPr>
      <w:rFonts w:ascii="宋体" w:hAnsi="Calibri" w:eastAsia="宋体" w:cs="Calibri"/>
      <w:sz w:val="21"/>
      <w:lang w:val="en-US" w:eastAsia="zh-CN" w:bidi="ar-SA"/>
    </w:rPr>
  </w:style>
  <w:style w:type="paragraph" w:customStyle="1" w:styleId="48">
    <w:name w:val="标准文件_编号列项（三级）"/>
    <w:qFormat/>
    <w:uiPriority w:val="0"/>
    <w:pPr>
      <w:numPr>
        <w:ilvl w:val="2"/>
        <w:numId w:val="5"/>
      </w:numPr>
    </w:pPr>
    <w:rPr>
      <w:rFonts w:ascii="宋体" w:hAnsi="Calibri" w:eastAsia="宋体" w:cs="Calibri"/>
      <w:sz w:val="21"/>
      <w:lang w:val="en-US" w:eastAsia="zh-CN" w:bidi="ar-SA"/>
    </w:rPr>
  </w:style>
  <w:style w:type="paragraph" w:customStyle="1" w:styleId="49">
    <w:name w:val="标准文件_字母编号列项（一级）"/>
    <w:qFormat/>
    <w:uiPriority w:val="0"/>
    <w:pPr>
      <w:numPr>
        <w:ilvl w:val="0"/>
        <w:numId w:val="5"/>
      </w:numPr>
      <w:jc w:val="both"/>
    </w:pPr>
    <w:rPr>
      <w:rFonts w:ascii="宋体" w:hAnsi="Calibri" w:eastAsia="宋体" w:cs="Calibri"/>
      <w:sz w:val="21"/>
      <w:lang w:val="en-US" w:eastAsia="zh-CN" w:bidi="ar-SA"/>
    </w:rPr>
  </w:style>
  <w:style w:type="paragraph" w:customStyle="1" w:styleId="50">
    <w:name w:val="标准文件_术语条一"/>
    <w:basedOn w:val="1"/>
    <w:next w:val="29"/>
    <w:qFormat/>
    <w:uiPriority w:val="0"/>
    <w:pPr>
      <w:widowControl/>
    </w:pPr>
    <w:rPr>
      <w:rFonts w:ascii="宋体"/>
      <w:kern w:val="0"/>
      <w:szCs w:val="20"/>
    </w:rPr>
  </w:style>
  <w:style w:type="paragraph" w:customStyle="1" w:styleId="51">
    <w:name w:val="abstract"/>
    <w:basedOn w:val="1"/>
    <w:qFormat/>
    <w:uiPriority w:val="0"/>
    <w:pPr>
      <w:widowControl/>
      <w:spacing w:before="100" w:beforeAutospacing="1" w:after="100" w:afterAutospacing="1"/>
      <w:jc w:val="left"/>
    </w:pPr>
    <w:rPr>
      <w:rFonts w:ascii="宋体" w:hAnsi="宋体" w:cs="宋体"/>
      <w:kern w:val="0"/>
      <w:sz w:val="24"/>
    </w:rPr>
  </w:style>
  <w:style w:type="paragraph" w:customStyle="1" w:styleId="52">
    <w:name w:val="abstract_more"/>
    <w:basedOn w:val="1"/>
    <w:qFormat/>
    <w:uiPriority w:val="0"/>
    <w:pPr>
      <w:widowControl/>
      <w:spacing w:before="100" w:beforeAutospacing="1" w:after="100" w:afterAutospacing="1"/>
      <w:jc w:val="left"/>
    </w:pPr>
    <w:rPr>
      <w:rFonts w:ascii="宋体" w:hAnsi="宋体" w:cs="宋体"/>
      <w:kern w:val="0"/>
      <w:sz w:val="24"/>
    </w:rPr>
  </w:style>
  <w:style w:type="paragraph" w:styleId="53">
    <w:name w:val="No Spacing"/>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4">
    <w:name w:val="标准文件_一级项"/>
    <w:qFormat/>
    <w:uiPriority w:val="0"/>
    <w:pPr>
      <w:numPr>
        <w:ilvl w:val="0"/>
        <w:numId w:val="6"/>
      </w:numPr>
    </w:pPr>
    <w:rPr>
      <w:rFonts w:ascii="宋体" w:hAnsi="Times New Roman" w:eastAsia="宋体" w:cs="Times New Roman"/>
      <w:sz w:val="21"/>
      <w:lang w:val="en-US" w:eastAsia="zh-CN" w:bidi="ar-SA"/>
    </w:rPr>
  </w:style>
  <w:style w:type="paragraph" w:customStyle="1" w:styleId="55">
    <w:name w:val="标准文件_一级无标题"/>
    <w:basedOn w:val="33"/>
    <w:qFormat/>
    <w:uiPriority w:val="0"/>
    <w:pPr>
      <w:spacing w:before="0" w:after="0"/>
      <w:outlineLvl w:val="9"/>
    </w:pPr>
    <w:rPr>
      <w:rFonts w:ascii="宋体" w:eastAsia="宋体"/>
    </w:rPr>
  </w:style>
  <w:style w:type="paragraph" w:customStyle="1" w:styleId="56">
    <w:name w:val="标准文件_注："/>
    <w:basedOn w:val="1"/>
    <w:next w:val="1"/>
    <w:qFormat/>
    <w:uiPriority w:val="0"/>
    <w:pPr>
      <w:numPr>
        <w:ilvl w:val="0"/>
        <w:numId w:val="7"/>
      </w:numPr>
      <w:autoSpaceDE w:val="0"/>
      <w:autoSpaceDN w:val="0"/>
    </w:pPr>
    <w:rPr>
      <w:rFonts w:hint="eastAsia" w:ascii="宋体" w:hAnsi="Times New Roman" w:eastAsia="宋体" w:cs="Times New Roman"/>
      <w:kern w:val="0"/>
      <w:sz w:val="18"/>
      <w:szCs w:val="18"/>
    </w:rPr>
  </w:style>
  <w:style w:type="paragraph" w:customStyle="1" w:styleId="57">
    <w:name w:val="标准文件_表格"/>
    <w:basedOn w:val="1"/>
    <w:qFormat/>
    <w:uiPriority w:val="0"/>
    <w:pPr>
      <w:widowControl/>
      <w:autoSpaceDE w:val="0"/>
      <w:autoSpaceDN w:val="0"/>
      <w:jc w:val="center"/>
    </w:pPr>
    <w:rPr>
      <w:rFonts w:hint="eastAsia" w:ascii="宋体" w:hAnsi="Times New Roman" w:eastAsia="宋体" w:cs="Times New Roman"/>
      <w:kern w:val="0"/>
      <w:sz w:val="18"/>
      <w:szCs w:val="20"/>
    </w:rPr>
  </w:style>
  <w:style w:type="paragraph" w:customStyle="1" w:styleId="58">
    <w:name w:val="标准文件_二级项2"/>
    <w:basedOn w:val="1"/>
    <w:qFormat/>
    <w:uiPriority w:val="0"/>
    <w:pPr>
      <w:widowControl/>
      <w:numPr>
        <w:ilvl w:val="1"/>
        <w:numId w:val="8"/>
      </w:numPr>
      <w:autoSpaceDE w:val="0"/>
      <w:autoSpaceDN w:val="0"/>
      <w:ind w:firstLine="0"/>
    </w:pPr>
    <w:rPr>
      <w:rFonts w:hint="eastAsia" w:ascii="宋体" w:hAnsi="Times New Roman" w:eastAsia="宋体" w:cs="Times New Roman"/>
      <w:kern w:val="0"/>
      <w:sz w:val="21"/>
      <w:szCs w:val="20"/>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28</Pages>
  <Words>15244</Words>
  <Characters>16187</Characters>
  <Lines>510</Lines>
  <Paragraphs>432</Paragraphs>
  <TotalTime>23</TotalTime>
  <ScaleCrop>false</ScaleCrop>
  <LinksUpToDate>false</LinksUpToDate>
  <CharactersWithSpaces>16370</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2025-04-29T14:48:00Z</dcterms:created>
  <dc:creator>Administrator</dc:creator>
  <cp:lastModifiedBy>对方正在输入...</cp:lastModifiedBy>
  <dcterms:modified xsi:type="dcterms:W3CDTF">2025-07-17T00:26:55Z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C9F75377A4F34BDB88A3F7E4A2B9A327_13</vt:lpwstr>
  </property>
  <property fmtid="{D5CDD505-2E9C-101B-9397-08002B2CF9AE}" pid="4" name="KSOTemplateDocerSaveRecord">
    <vt:lpwstr>eyJoZGlkIjoiMzg2YTk3YWJlMzJiOWE4NmU5OTkxNmM1MjU1OThkOTQiLCJ1c2VySWQiOiIzMjAyMTY5NjkifQ==</vt:lpwstr>
  </property>
</Properties>
</file>