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2E76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49D1679B">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F1DDB0E">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11.020</w:t>
            </w:r>
            <w:r>
              <w:rPr>
                <w:rFonts w:ascii="黑体" w:hAnsi="黑体" w:eastAsia="黑体"/>
                <w:sz w:val="21"/>
                <w:szCs w:val="21"/>
              </w:rPr>
              <w:fldChar w:fldCharType="end"/>
            </w:r>
            <w:bookmarkEnd w:id="0"/>
          </w:p>
        </w:tc>
      </w:tr>
      <w:tr w14:paraId="5C1F6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C4D0DAA">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7B9C037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2FE6B7A8">
                  <w:pPr>
                    <w:pStyle w:val="53"/>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13559324">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C </w:t>
            </w:r>
            <w:r>
              <w:rPr>
                <w:rFonts w:hint="eastAsia" w:ascii="黑体" w:hAnsi="黑体" w:eastAsia="黑体"/>
                <w:sz w:val="21"/>
                <w:szCs w:val="21"/>
              </w:rPr>
              <w:t>50</w:t>
            </w:r>
            <w:r>
              <w:rPr>
                <w:rFonts w:ascii="黑体" w:hAnsi="黑体" w:eastAsia="黑体"/>
                <w:sz w:val="21"/>
                <w:szCs w:val="21"/>
              </w:rPr>
              <w:fldChar w:fldCharType="end"/>
            </w:r>
            <w:bookmarkEnd w:id="2"/>
          </w:p>
        </w:tc>
      </w:tr>
    </w:tbl>
    <w:p w14:paraId="7E3D6E4A">
      <w:pPr>
        <w:pStyle w:val="54"/>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117028E4">
      <w:pPr>
        <w:pStyle w:val="199"/>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2025</w:t>
      </w:r>
      <w:r>
        <w:fldChar w:fldCharType="end"/>
      </w:r>
      <w:bookmarkEnd w:id="6"/>
    </w:p>
    <w:p w14:paraId="4DAACD03">
      <w:pPr>
        <w:pStyle w:val="200"/>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39D39F74">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1905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14:paraId="57495966">
      <w:pPr>
        <w:pStyle w:val="54"/>
        <w:framePr w:w="9639" w:h="6976" w:hRule="exact" w:hSpace="0" w:vSpace="0" w:wrap="around" w:hAnchor="page" w:y="6408"/>
        <w:jc w:val="center"/>
        <w:rPr>
          <w:rFonts w:ascii="黑体" w:hAnsi="黑体" w:eastAsia="黑体"/>
          <w:b w:val="0"/>
          <w:bCs w:val="0"/>
          <w:w w:val="100"/>
        </w:rPr>
      </w:pPr>
    </w:p>
    <w:p w14:paraId="387FE674">
      <w:pPr>
        <w:pStyle w:val="201"/>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面向东盟国际技术经理人培训规范</w:t>
      </w:r>
      <w:r>
        <w:fldChar w:fldCharType="end"/>
      </w:r>
      <w:bookmarkEnd w:id="8"/>
    </w:p>
    <w:p w14:paraId="6FBFBEBD">
      <w:pPr>
        <w:framePr w:w="9639" w:h="6974" w:hRule="exact" w:wrap="around" w:vAnchor="page" w:hAnchor="page" w:x="1419" w:y="6408" w:anchorLock="1"/>
        <w:ind w:left="-1418"/>
      </w:pPr>
    </w:p>
    <w:p w14:paraId="253587DF">
      <w:pPr>
        <w:pStyle w:val="129"/>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Specification for international technical manager training of towards the Association of Southeast Asian Nations</w:t>
      </w:r>
      <w:r>
        <w:rPr>
          <w:rFonts w:ascii="黑体" w:hAnsi="黑体" w:eastAsia="黑体"/>
          <w:szCs w:val="28"/>
        </w:rPr>
        <w:fldChar w:fldCharType="end"/>
      </w:r>
      <w:bookmarkEnd w:id="9"/>
    </w:p>
    <w:p w14:paraId="462DF8F9">
      <w:pPr>
        <w:framePr w:w="9639" w:h="6974" w:hRule="exact" w:wrap="around" w:vAnchor="page" w:hAnchor="page" w:x="1419" w:y="6408" w:anchorLock="1"/>
        <w:spacing w:line="760" w:lineRule="exact"/>
        <w:ind w:left="-1418"/>
      </w:pPr>
    </w:p>
    <w:p w14:paraId="64BB8A43">
      <w:pPr>
        <w:pStyle w:val="129"/>
        <w:framePr w:w="9639" w:h="6974" w:hRule="exact" w:wrap="around" w:vAnchor="page" w:hAnchor="page" w:x="1419" w:y="6408" w:anchorLock="1"/>
        <w:textAlignment w:val="bottom"/>
        <w:rPr>
          <w:rFonts w:eastAsia="黑体"/>
          <w:szCs w:val="28"/>
        </w:rPr>
      </w:pPr>
    </w:p>
    <w:p w14:paraId="7191A108">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73210ECC">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5F0272EB">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rFonts w:ascii="Calibri" w:hAnsi="Calibri"/>
          <w:b/>
          <w:kern w:val="2"/>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rFonts w:ascii="Calibri" w:hAnsi="Calibri"/>
          <w:b/>
          <w:kern w:val="2"/>
          <w:sz w:val="21"/>
          <w:szCs w:val="28"/>
        </w:rPr>
        <w:instrText xml:space="preserve"> FORMDROPDOWN </w:instrText>
      </w:r>
      <w:r>
        <w:rPr>
          <w:rFonts w:ascii="Calibri" w:hAnsi="Calibri"/>
          <w:b/>
          <w:kern w:val="2"/>
          <w:sz w:val="21"/>
          <w:szCs w:val="28"/>
        </w:rPr>
        <w:fldChar w:fldCharType="separate"/>
      </w:r>
      <w:r>
        <w:rPr>
          <w:rFonts w:ascii="Calibri" w:hAnsi="Calibri"/>
          <w:b/>
          <w:kern w:val="2"/>
          <w:sz w:val="21"/>
          <w:szCs w:val="28"/>
        </w:rPr>
        <w:fldChar w:fldCharType="end"/>
      </w:r>
      <w:bookmarkEnd w:id="12"/>
    </w:p>
    <w:p w14:paraId="3528D56E">
      <w:pPr>
        <w:pStyle w:val="197"/>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00CCCFC8">
      <w:pPr>
        <w:pStyle w:val="198"/>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2025</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7C355DFC">
      <w:pPr>
        <w:pStyle w:val="155"/>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33"/>
          <w:rFonts w:hint="eastAsia" w:hAnsi="黑体"/>
          <w:position w:val="0"/>
        </w:rPr>
        <w:t>发</w:t>
      </w:r>
      <w:r>
        <w:rPr>
          <w:rStyle w:val="233"/>
          <w:rFonts w:hint="eastAsia" w:hAnsi="黑体"/>
          <w:spacing w:val="0"/>
          <w:position w:val="0"/>
        </w:rPr>
        <w:t>布</w:t>
      </w:r>
    </w:p>
    <w:p w14:paraId="74A8ED22">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19050"/>
                <wp:wrapNone/>
                <wp:docPr id="7"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5"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MUR26uMB&#10;AACqAwAADgAAAAAAAAABACAAAAAmAQAAZHJzL2Uyb0RvYy54bWxQSwUGAAAAAAYABgBZAQAAewUA&#10;AAAA&#10;">
                <v:fill on="f" focussize="0,0"/>
                <v:stroke color="#000000" joinstyle="round"/>
                <v:imagedata o:title=""/>
                <o:lock v:ext="edit" aspectratio="f"/>
                <w10:anchorlock/>
              </v:line>
            </w:pict>
          </mc:Fallback>
        </mc:AlternateContent>
      </w:r>
    </w:p>
    <w:p w14:paraId="4C4A3F45">
      <w:pPr>
        <w:pStyle w:val="95"/>
        <w:spacing w:after="360"/>
        <w:rPr>
          <w:rFonts w:hint="eastAsia"/>
        </w:rPr>
      </w:pPr>
      <w:bookmarkStart w:id="20" w:name="BookMark1"/>
      <w:bookmarkStart w:id="21" w:name="_Toc178176537"/>
      <w:bookmarkStart w:id="22" w:name="_Toc128040839"/>
      <w:bookmarkStart w:id="23" w:name="_Toc182921653"/>
      <w:bookmarkStart w:id="24" w:name="_Toc129870537"/>
      <w:bookmarkStart w:id="25" w:name="_Toc133225920"/>
      <w:bookmarkStart w:id="26" w:name="_Toc185260615"/>
      <w:bookmarkStart w:id="27" w:name="_Toc198665334"/>
      <w:bookmarkStart w:id="28" w:name="_Toc119923845"/>
      <w:bookmarkStart w:id="29" w:name="_Toc133229136"/>
      <w:bookmarkStart w:id="30" w:name="_Toc184734314"/>
      <w:bookmarkStart w:id="31" w:name="_Toc198665361"/>
      <w:bookmarkStart w:id="32" w:name="_Toc128314905"/>
      <w:bookmarkStart w:id="33" w:name="_Toc190161176"/>
      <w:bookmarkStart w:id="34" w:name="_Toc190027555"/>
      <w:bookmarkStart w:id="35" w:name="_Toc174091920"/>
      <w:bookmarkStart w:id="36" w:name="_Toc173330490"/>
      <w:bookmarkStart w:id="37" w:name="_Toc182921679"/>
      <w:bookmarkStart w:id="38" w:name="_Toc120603745"/>
      <w:bookmarkStart w:id="39" w:name="_Toc199318858"/>
      <w:bookmarkStart w:id="40" w:name="_Toc200650126"/>
      <w:bookmarkStart w:id="41" w:name="_Toc133226004"/>
      <w:bookmarkStart w:id="42" w:name="_Toc173331504"/>
      <w:bookmarkStart w:id="43" w:name="_Toc173344669"/>
      <w:r>
        <w:rPr>
          <w:rFonts w:hint="eastAsia"/>
          <w:spacing w:val="320"/>
        </w:rPr>
        <w:t>目</w:t>
      </w:r>
      <w:r>
        <w:rPr>
          <w:rFonts w:hint="eastAsia"/>
        </w:rPr>
        <w:t>次</w:t>
      </w:r>
    </w:p>
    <w:p w14:paraId="75DC6495">
      <w:pPr>
        <w:pStyle w:val="21"/>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"_Toc203405692" </w:instrText>
      </w:r>
      <w:r>
        <w:fldChar w:fldCharType="separate"/>
      </w:r>
      <w:r>
        <w:rPr>
          <w:rStyle w:val="35"/>
          <w:rFonts w:hint="eastAsia"/>
        </w:rPr>
        <w:t>前言</w:t>
      </w:r>
      <w:r>
        <w:tab/>
      </w:r>
      <w:r>
        <w:fldChar w:fldCharType="begin"/>
      </w:r>
      <w:r>
        <w:instrText xml:space="preserve"> PAGEREF _Toc203405692 \h </w:instrText>
      </w:r>
      <w:r>
        <w:fldChar w:fldCharType="separate"/>
      </w:r>
      <w:r>
        <w:t>II</w:t>
      </w:r>
      <w:r>
        <w:fldChar w:fldCharType="end"/>
      </w:r>
      <w:r>
        <w:fldChar w:fldCharType="end"/>
      </w:r>
    </w:p>
    <w:p w14:paraId="0CBEC587">
      <w:pPr>
        <w:pStyle w:val="21"/>
        <w:tabs>
          <w:tab w:val="right" w:leader="dot" w:pos="9344"/>
        </w:tabs>
        <w:rPr>
          <w:rFonts w:asciiTheme="minorHAnsi" w:hAnsiTheme="minorHAnsi" w:eastAsiaTheme="minorEastAsia" w:cstheme="minorBidi"/>
          <w:szCs w:val="22"/>
        </w:rPr>
      </w:pPr>
      <w:r>
        <w:fldChar w:fldCharType="begin"/>
      </w:r>
      <w:r>
        <w:instrText xml:space="preserve"> HYPERLINK \l "_Toc203405693" </w:instrText>
      </w:r>
      <w:r>
        <w:fldChar w:fldCharType="separate"/>
      </w:r>
      <w:r>
        <w:rPr>
          <w:rStyle w:val="35"/>
        </w:rPr>
        <w:t xml:space="preserve">1 </w:t>
      </w:r>
      <w:r>
        <w:rPr>
          <w:rStyle w:val="35"/>
          <w:rFonts w:hint="eastAsia"/>
        </w:rPr>
        <w:t xml:space="preserve"> 范围</w:t>
      </w:r>
      <w:r>
        <w:tab/>
      </w:r>
      <w:r>
        <w:fldChar w:fldCharType="begin"/>
      </w:r>
      <w:r>
        <w:instrText xml:space="preserve"> PAGEREF _Toc203405693 \h </w:instrText>
      </w:r>
      <w:r>
        <w:fldChar w:fldCharType="separate"/>
      </w:r>
      <w:r>
        <w:t>1</w:t>
      </w:r>
      <w:r>
        <w:fldChar w:fldCharType="end"/>
      </w:r>
      <w:r>
        <w:fldChar w:fldCharType="end"/>
      </w:r>
    </w:p>
    <w:p w14:paraId="1EAAD837">
      <w:pPr>
        <w:pStyle w:val="21"/>
        <w:tabs>
          <w:tab w:val="right" w:leader="dot" w:pos="9344"/>
        </w:tabs>
        <w:rPr>
          <w:rFonts w:asciiTheme="minorHAnsi" w:hAnsiTheme="minorHAnsi" w:eastAsiaTheme="minorEastAsia" w:cstheme="minorBidi"/>
          <w:szCs w:val="22"/>
        </w:rPr>
      </w:pPr>
      <w:r>
        <w:fldChar w:fldCharType="begin"/>
      </w:r>
      <w:r>
        <w:instrText xml:space="preserve"> HYPERLINK \l "_Toc203405694" </w:instrText>
      </w:r>
      <w:r>
        <w:fldChar w:fldCharType="separate"/>
      </w:r>
      <w:r>
        <w:rPr>
          <w:rStyle w:val="35"/>
        </w:rPr>
        <w:t xml:space="preserve">2 </w:t>
      </w:r>
      <w:r>
        <w:rPr>
          <w:rStyle w:val="35"/>
          <w:rFonts w:hint="eastAsia"/>
        </w:rPr>
        <w:t xml:space="preserve"> 规范性引用文件</w:t>
      </w:r>
      <w:r>
        <w:tab/>
      </w:r>
      <w:r>
        <w:fldChar w:fldCharType="begin"/>
      </w:r>
      <w:r>
        <w:instrText xml:space="preserve"> PAGEREF _Toc203405694 \h </w:instrText>
      </w:r>
      <w:r>
        <w:fldChar w:fldCharType="separate"/>
      </w:r>
      <w:r>
        <w:t>1</w:t>
      </w:r>
      <w:r>
        <w:fldChar w:fldCharType="end"/>
      </w:r>
      <w:r>
        <w:fldChar w:fldCharType="end"/>
      </w:r>
    </w:p>
    <w:p w14:paraId="4B277EF6">
      <w:pPr>
        <w:pStyle w:val="21"/>
        <w:tabs>
          <w:tab w:val="right" w:leader="dot" w:pos="9344"/>
        </w:tabs>
        <w:rPr>
          <w:rFonts w:asciiTheme="minorHAnsi" w:hAnsiTheme="minorHAnsi" w:eastAsiaTheme="minorEastAsia" w:cstheme="minorBidi"/>
          <w:szCs w:val="22"/>
        </w:rPr>
      </w:pPr>
      <w:r>
        <w:fldChar w:fldCharType="begin"/>
      </w:r>
      <w:r>
        <w:instrText xml:space="preserve"> HYPERLINK \l "_Toc203405695" </w:instrText>
      </w:r>
      <w:r>
        <w:fldChar w:fldCharType="separate"/>
      </w:r>
      <w:r>
        <w:rPr>
          <w:rStyle w:val="35"/>
        </w:rPr>
        <w:t xml:space="preserve">3 </w:t>
      </w:r>
      <w:r>
        <w:rPr>
          <w:rStyle w:val="35"/>
          <w:rFonts w:hint="eastAsia"/>
        </w:rPr>
        <w:t xml:space="preserve"> 术语和定义</w:t>
      </w:r>
      <w:r>
        <w:tab/>
      </w:r>
      <w:r>
        <w:fldChar w:fldCharType="begin"/>
      </w:r>
      <w:r>
        <w:instrText xml:space="preserve"> PAGEREF _Toc203405695 \h </w:instrText>
      </w:r>
      <w:r>
        <w:fldChar w:fldCharType="separate"/>
      </w:r>
      <w:r>
        <w:t>1</w:t>
      </w:r>
      <w:r>
        <w:fldChar w:fldCharType="end"/>
      </w:r>
      <w:r>
        <w:fldChar w:fldCharType="end"/>
      </w:r>
    </w:p>
    <w:p w14:paraId="08C6F0D1">
      <w:pPr>
        <w:pStyle w:val="21"/>
        <w:tabs>
          <w:tab w:val="right" w:leader="dot" w:pos="9344"/>
        </w:tabs>
        <w:rPr>
          <w:rFonts w:asciiTheme="minorHAnsi" w:hAnsiTheme="minorHAnsi" w:eastAsiaTheme="minorEastAsia" w:cstheme="minorBidi"/>
          <w:szCs w:val="22"/>
        </w:rPr>
      </w:pPr>
      <w:r>
        <w:fldChar w:fldCharType="begin"/>
      </w:r>
      <w:r>
        <w:instrText xml:space="preserve"> HYPERLINK \l "_Toc203405696" </w:instrText>
      </w:r>
      <w:r>
        <w:fldChar w:fldCharType="separate"/>
      </w:r>
      <w:r>
        <w:rPr>
          <w:rStyle w:val="35"/>
        </w:rPr>
        <w:t xml:space="preserve">4 </w:t>
      </w:r>
      <w:r>
        <w:rPr>
          <w:rStyle w:val="35"/>
          <w:rFonts w:hint="eastAsia"/>
        </w:rPr>
        <w:t xml:space="preserve"> 基本要求</w:t>
      </w:r>
      <w:r>
        <w:tab/>
      </w:r>
      <w:r>
        <w:fldChar w:fldCharType="begin"/>
      </w:r>
      <w:r>
        <w:instrText xml:space="preserve"> PAGEREF _Toc203405696 \h </w:instrText>
      </w:r>
      <w:r>
        <w:fldChar w:fldCharType="separate"/>
      </w:r>
      <w:r>
        <w:t>1</w:t>
      </w:r>
      <w:r>
        <w:fldChar w:fldCharType="end"/>
      </w:r>
      <w:r>
        <w:fldChar w:fldCharType="end"/>
      </w:r>
    </w:p>
    <w:p w14:paraId="592CF5C7">
      <w:pPr>
        <w:pStyle w:val="26"/>
        <w:rPr>
          <w:rFonts w:asciiTheme="minorHAnsi" w:hAnsiTheme="minorHAnsi" w:eastAsiaTheme="minorEastAsia" w:cstheme="minorBidi"/>
          <w:szCs w:val="22"/>
        </w:rPr>
      </w:pPr>
      <w:r>
        <w:fldChar w:fldCharType="begin"/>
      </w:r>
      <w:r>
        <w:instrText xml:space="preserve"> HYPERLINK \l "_Toc203405697" </w:instrText>
      </w:r>
      <w:r>
        <w:fldChar w:fldCharType="separate"/>
      </w:r>
      <w:r>
        <w:rPr>
          <w:rStyle w:val="35"/>
        </w:rPr>
        <w:t xml:space="preserve">4.1 </w:t>
      </w:r>
      <w:r>
        <w:rPr>
          <w:rStyle w:val="35"/>
          <w:rFonts w:hint="eastAsia"/>
        </w:rPr>
        <w:t xml:space="preserve"> 培训机构</w:t>
      </w:r>
      <w:r>
        <w:tab/>
      </w:r>
      <w:r>
        <w:fldChar w:fldCharType="begin"/>
      </w:r>
      <w:r>
        <w:instrText xml:space="preserve"> PAGEREF _Toc203405697 \h </w:instrText>
      </w:r>
      <w:r>
        <w:fldChar w:fldCharType="separate"/>
      </w:r>
      <w:r>
        <w:t>1</w:t>
      </w:r>
      <w:r>
        <w:fldChar w:fldCharType="end"/>
      </w:r>
      <w:r>
        <w:fldChar w:fldCharType="end"/>
      </w:r>
    </w:p>
    <w:p w14:paraId="2F68281E">
      <w:pPr>
        <w:pStyle w:val="26"/>
        <w:rPr>
          <w:rFonts w:asciiTheme="minorHAnsi" w:hAnsiTheme="minorHAnsi" w:eastAsiaTheme="minorEastAsia" w:cstheme="minorBidi"/>
          <w:szCs w:val="22"/>
        </w:rPr>
      </w:pPr>
      <w:r>
        <w:fldChar w:fldCharType="begin"/>
      </w:r>
      <w:r>
        <w:instrText xml:space="preserve"> HYPERLINK \l "_Toc203405698" </w:instrText>
      </w:r>
      <w:r>
        <w:fldChar w:fldCharType="separate"/>
      </w:r>
      <w:r>
        <w:rPr>
          <w:rStyle w:val="35"/>
        </w:rPr>
        <w:t xml:space="preserve">4.2 </w:t>
      </w:r>
      <w:r>
        <w:rPr>
          <w:rStyle w:val="35"/>
          <w:rFonts w:hint="eastAsia"/>
        </w:rPr>
        <w:t xml:space="preserve"> 场所及设施</w:t>
      </w:r>
      <w:r>
        <w:tab/>
      </w:r>
      <w:r>
        <w:fldChar w:fldCharType="begin"/>
      </w:r>
      <w:r>
        <w:instrText xml:space="preserve"> PAGEREF _Toc203405698 \h </w:instrText>
      </w:r>
      <w:r>
        <w:fldChar w:fldCharType="separate"/>
      </w:r>
      <w:r>
        <w:t>1</w:t>
      </w:r>
      <w:r>
        <w:fldChar w:fldCharType="end"/>
      </w:r>
      <w:r>
        <w:fldChar w:fldCharType="end"/>
      </w:r>
    </w:p>
    <w:p w14:paraId="4FEAF901">
      <w:pPr>
        <w:pStyle w:val="26"/>
        <w:rPr>
          <w:rFonts w:asciiTheme="minorHAnsi" w:hAnsiTheme="minorHAnsi" w:eastAsiaTheme="minorEastAsia" w:cstheme="minorBidi"/>
          <w:szCs w:val="22"/>
        </w:rPr>
      </w:pPr>
      <w:r>
        <w:fldChar w:fldCharType="begin"/>
      </w:r>
      <w:r>
        <w:instrText xml:space="preserve"> HYPERLINK \l "_Toc203405699" </w:instrText>
      </w:r>
      <w:r>
        <w:fldChar w:fldCharType="separate"/>
      </w:r>
      <w:r>
        <w:rPr>
          <w:rStyle w:val="35"/>
        </w:rPr>
        <w:t xml:space="preserve">4.3 </w:t>
      </w:r>
      <w:r>
        <w:rPr>
          <w:rStyle w:val="35"/>
          <w:rFonts w:hint="eastAsia"/>
        </w:rPr>
        <w:t xml:space="preserve"> 从业人员</w:t>
      </w:r>
      <w:r>
        <w:tab/>
      </w:r>
      <w:r>
        <w:fldChar w:fldCharType="begin"/>
      </w:r>
      <w:r>
        <w:instrText xml:space="preserve"> PAGEREF _Toc203405699 \h </w:instrText>
      </w:r>
      <w:r>
        <w:fldChar w:fldCharType="separate"/>
      </w:r>
      <w:r>
        <w:t>1</w:t>
      </w:r>
      <w:r>
        <w:fldChar w:fldCharType="end"/>
      </w:r>
      <w:r>
        <w:fldChar w:fldCharType="end"/>
      </w:r>
    </w:p>
    <w:p w14:paraId="0F8151FD">
      <w:pPr>
        <w:pStyle w:val="26"/>
        <w:rPr>
          <w:rFonts w:asciiTheme="minorHAnsi" w:hAnsiTheme="minorHAnsi" w:eastAsiaTheme="minorEastAsia" w:cstheme="minorBidi"/>
          <w:szCs w:val="22"/>
        </w:rPr>
      </w:pPr>
      <w:r>
        <w:fldChar w:fldCharType="begin"/>
      </w:r>
      <w:r>
        <w:instrText xml:space="preserve"> HYPERLINK \l "_Toc203405700" </w:instrText>
      </w:r>
      <w:r>
        <w:fldChar w:fldCharType="separate"/>
      </w:r>
      <w:r>
        <w:rPr>
          <w:rStyle w:val="35"/>
        </w:rPr>
        <w:t xml:space="preserve">4.4 </w:t>
      </w:r>
      <w:r>
        <w:rPr>
          <w:rStyle w:val="35"/>
          <w:rFonts w:hint="eastAsia"/>
        </w:rPr>
        <w:t xml:space="preserve"> 教学资源</w:t>
      </w:r>
      <w:r>
        <w:tab/>
      </w:r>
      <w:r>
        <w:fldChar w:fldCharType="begin"/>
      </w:r>
      <w:r>
        <w:instrText xml:space="preserve"> PAGEREF _Toc203405700 \h </w:instrText>
      </w:r>
      <w:r>
        <w:fldChar w:fldCharType="separate"/>
      </w:r>
      <w:r>
        <w:t>2</w:t>
      </w:r>
      <w:r>
        <w:fldChar w:fldCharType="end"/>
      </w:r>
      <w:r>
        <w:fldChar w:fldCharType="end"/>
      </w:r>
    </w:p>
    <w:p w14:paraId="6B496200">
      <w:pPr>
        <w:pStyle w:val="21"/>
        <w:tabs>
          <w:tab w:val="right" w:leader="dot" w:pos="9344"/>
        </w:tabs>
        <w:rPr>
          <w:rFonts w:asciiTheme="minorHAnsi" w:hAnsiTheme="minorHAnsi" w:eastAsiaTheme="minorEastAsia" w:cstheme="minorBidi"/>
          <w:szCs w:val="22"/>
        </w:rPr>
      </w:pPr>
      <w:r>
        <w:fldChar w:fldCharType="begin"/>
      </w:r>
      <w:r>
        <w:instrText xml:space="preserve"> HYPERLINK \l "_Toc203405701" </w:instrText>
      </w:r>
      <w:r>
        <w:fldChar w:fldCharType="separate"/>
      </w:r>
      <w:r>
        <w:rPr>
          <w:rStyle w:val="35"/>
        </w:rPr>
        <w:t xml:space="preserve">5 </w:t>
      </w:r>
      <w:r>
        <w:rPr>
          <w:rStyle w:val="35"/>
          <w:rFonts w:hint="eastAsia"/>
        </w:rPr>
        <w:t xml:space="preserve"> 培养目标</w:t>
      </w:r>
      <w:r>
        <w:tab/>
      </w:r>
      <w:r>
        <w:fldChar w:fldCharType="begin"/>
      </w:r>
      <w:r>
        <w:instrText xml:space="preserve"> PAGEREF _Toc203405701 \h </w:instrText>
      </w:r>
      <w:r>
        <w:fldChar w:fldCharType="separate"/>
      </w:r>
      <w:r>
        <w:t>2</w:t>
      </w:r>
      <w:r>
        <w:fldChar w:fldCharType="end"/>
      </w:r>
      <w:r>
        <w:fldChar w:fldCharType="end"/>
      </w:r>
    </w:p>
    <w:p w14:paraId="12FF58E8">
      <w:pPr>
        <w:pStyle w:val="26"/>
        <w:rPr>
          <w:rFonts w:asciiTheme="minorHAnsi" w:hAnsiTheme="minorHAnsi" w:eastAsiaTheme="minorEastAsia" w:cstheme="minorBidi"/>
          <w:szCs w:val="22"/>
        </w:rPr>
      </w:pPr>
      <w:r>
        <w:fldChar w:fldCharType="begin"/>
      </w:r>
      <w:r>
        <w:instrText xml:space="preserve"> HYPERLINK \l "_Toc203405702" </w:instrText>
      </w:r>
      <w:r>
        <w:fldChar w:fldCharType="separate"/>
      </w:r>
      <w:r>
        <w:rPr>
          <w:rStyle w:val="35"/>
        </w:rPr>
        <w:t xml:space="preserve">5.1 </w:t>
      </w:r>
      <w:r>
        <w:rPr>
          <w:rStyle w:val="35"/>
          <w:rFonts w:hint="eastAsia"/>
        </w:rPr>
        <w:t xml:space="preserve"> 基本职业素养</w:t>
      </w:r>
      <w:r>
        <w:tab/>
      </w:r>
      <w:r>
        <w:fldChar w:fldCharType="begin"/>
      </w:r>
      <w:r>
        <w:instrText xml:space="preserve"> PAGEREF _Toc203405702 \h </w:instrText>
      </w:r>
      <w:r>
        <w:fldChar w:fldCharType="separate"/>
      </w:r>
      <w:r>
        <w:t>2</w:t>
      </w:r>
      <w:r>
        <w:fldChar w:fldCharType="end"/>
      </w:r>
      <w:r>
        <w:fldChar w:fldCharType="end"/>
      </w:r>
    </w:p>
    <w:p w14:paraId="5D9FB6E7">
      <w:pPr>
        <w:pStyle w:val="26"/>
        <w:rPr>
          <w:rFonts w:asciiTheme="minorHAnsi" w:hAnsiTheme="minorHAnsi" w:eastAsiaTheme="minorEastAsia" w:cstheme="minorBidi"/>
          <w:szCs w:val="22"/>
        </w:rPr>
      </w:pPr>
      <w:r>
        <w:fldChar w:fldCharType="begin"/>
      </w:r>
      <w:r>
        <w:instrText xml:space="preserve"> HYPERLINK \l "_Toc203405703" </w:instrText>
      </w:r>
      <w:r>
        <w:fldChar w:fldCharType="separate"/>
      </w:r>
      <w:r>
        <w:rPr>
          <w:rStyle w:val="35"/>
        </w:rPr>
        <w:t xml:space="preserve">5.2 </w:t>
      </w:r>
      <w:r>
        <w:rPr>
          <w:rStyle w:val="35"/>
          <w:rFonts w:hint="eastAsia"/>
        </w:rPr>
        <w:t xml:space="preserve"> 能力水平</w:t>
      </w:r>
      <w:r>
        <w:tab/>
      </w:r>
      <w:r>
        <w:fldChar w:fldCharType="begin"/>
      </w:r>
      <w:r>
        <w:instrText xml:space="preserve"> PAGEREF _Toc203405703 \h </w:instrText>
      </w:r>
      <w:r>
        <w:fldChar w:fldCharType="separate"/>
      </w:r>
      <w:r>
        <w:t>2</w:t>
      </w:r>
      <w:r>
        <w:fldChar w:fldCharType="end"/>
      </w:r>
      <w:r>
        <w:fldChar w:fldCharType="end"/>
      </w:r>
    </w:p>
    <w:p w14:paraId="1160E746">
      <w:pPr>
        <w:pStyle w:val="21"/>
        <w:tabs>
          <w:tab w:val="right" w:leader="dot" w:pos="9344"/>
        </w:tabs>
        <w:rPr>
          <w:rFonts w:asciiTheme="minorHAnsi" w:hAnsiTheme="minorHAnsi" w:eastAsiaTheme="minorEastAsia" w:cstheme="minorBidi"/>
          <w:szCs w:val="22"/>
        </w:rPr>
      </w:pPr>
      <w:r>
        <w:fldChar w:fldCharType="begin"/>
      </w:r>
      <w:r>
        <w:instrText xml:space="preserve"> HYPERLINK \l "_Toc203405704" </w:instrText>
      </w:r>
      <w:r>
        <w:fldChar w:fldCharType="separate"/>
      </w:r>
      <w:r>
        <w:rPr>
          <w:rStyle w:val="35"/>
        </w:rPr>
        <w:t xml:space="preserve">6 </w:t>
      </w:r>
      <w:r>
        <w:rPr>
          <w:rStyle w:val="35"/>
          <w:rFonts w:hint="eastAsia"/>
        </w:rPr>
        <w:t xml:space="preserve"> 培训对象</w:t>
      </w:r>
      <w:r>
        <w:tab/>
      </w:r>
      <w:r>
        <w:fldChar w:fldCharType="begin"/>
      </w:r>
      <w:r>
        <w:instrText xml:space="preserve"> PAGEREF _Toc203405704 \h </w:instrText>
      </w:r>
      <w:r>
        <w:fldChar w:fldCharType="separate"/>
      </w:r>
      <w:r>
        <w:t>3</w:t>
      </w:r>
      <w:r>
        <w:fldChar w:fldCharType="end"/>
      </w:r>
      <w:r>
        <w:fldChar w:fldCharType="end"/>
      </w:r>
    </w:p>
    <w:p w14:paraId="3F581DE3">
      <w:pPr>
        <w:pStyle w:val="21"/>
        <w:tabs>
          <w:tab w:val="right" w:leader="dot" w:pos="9344"/>
        </w:tabs>
        <w:rPr>
          <w:rFonts w:asciiTheme="minorHAnsi" w:hAnsiTheme="minorHAnsi" w:eastAsiaTheme="minorEastAsia" w:cstheme="minorBidi"/>
          <w:szCs w:val="22"/>
        </w:rPr>
      </w:pPr>
      <w:r>
        <w:fldChar w:fldCharType="begin"/>
      </w:r>
      <w:r>
        <w:instrText xml:space="preserve"> HYPERLINK \l "_Toc203405705" </w:instrText>
      </w:r>
      <w:r>
        <w:fldChar w:fldCharType="separate"/>
      </w:r>
      <w:r>
        <w:rPr>
          <w:rStyle w:val="35"/>
        </w:rPr>
        <w:t xml:space="preserve">7 </w:t>
      </w:r>
      <w:r>
        <w:rPr>
          <w:rStyle w:val="35"/>
          <w:rFonts w:hint="eastAsia"/>
        </w:rPr>
        <w:t xml:space="preserve"> 培训内容</w:t>
      </w:r>
      <w:r>
        <w:tab/>
      </w:r>
      <w:r>
        <w:fldChar w:fldCharType="begin"/>
      </w:r>
      <w:r>
        <w:instrText xml:space="preserve"> PAGEREF _Toc203405705 \h </w:instrText>
      </w:r>
      <w:r>
        <w:fldChar w:fldCharType="separate"/>
      </w:r>
      <w:r>
        <w:t>4</w:t>
      </w:r>
      <w:r>
        <w:fldChar w:fldCharType="end"/>
      </w:r>
      <w:r>
        <w:fldChar w:fldCharType="end"/>
      </w:r>
    </w:p>
    <w:p w14:paraId="09478643">
      <w:pPr>
        <w:pStyle w:val="26"/>
        <w:rPr>
          <w:rFonts w:asciiTheme="minorHAnsi" w:hAnsiTheme="minorHAnsi" w:eastAsiaTheme="minorEastAsia" w:cstheme="minorBidi"/>
          <w:szCs w:val="22"/>
        </w:rPr>
      </w:pPr>
      <w:r>
        <w:fldChar w:fldCharType="begin"/>
      </w:r>
      <w:r>
        <w:instrText xml:space="preserve"> HYPERLINK \l "_Toc203405706" </w:instrText>
      </w:r>
      <w:r>
        <w:fldChar w:fldCharType="separate"/>
      </w:r>
      <w:r>
        <w:rPr>
          <w:rStyle w:val="35"/>
        </w:rPr>
        <w:t xml:space="preserve">7.1 </w:t>
      </w:r>
      <w:r>
        <w:rPr>
          <w:rStyle w:val="35"/>
          <w:rFonts w:hint="eastAsia"/>
        </w:rPr>
        <w:t xml:space="preserve"> 理论知识</w:t>
      </w:r>
      <w:r>
        <w:tab/>
      </w:r>
      <w:r>
        <w:fldChar w:fldCharType="begin"/>
      </w:r>
      <w:r>
        <w:instrText xml:space="preserve"> PAGEREF _Toc203405706 \h </w:instrText>
      </w:r>
      <w:r>
        <w:fldChar w:fldCharType="separate"/>
      </w:r>
      <w:r>
        <w:t>4</w:t>
      </w:r>
      <w:r>
        <w:fldChar w:fldCharType="end"/>
      </w:r>
      <w:r>
        <w:fldChar w:fldCharType="end"/>
      </w:r>
    </w:p>
    <w:p w14:paraId="37577B02">
      <w:pPr>
        <w:pStyle w:val="26"/>
        <w:rPr>
          <w:rFonts w:asciiTheme="minorHAnsi" w:hAnsiTheme="minorHAnsi" w:eastAsiaTheme="minorEastAsia" w:cstheme="minorBidi"/>
          <w:szCs w:val="22"/>
        </w:rPr>
      </w:pPr>
      <w:r>
        <w:fldChar w:fldCharType="begin"/>
      </w:r>
      <w:r>
        <w:instrText xml:space="preserve"> HYPERLINK \l "_Toc203405707" </w:instrText>
      </w:r>
      <w:r>
        <w:fldChar w:fldCharType="separate"/>
      </w:r>
      <w:r>
        <w:rPr>
          <w:rStyle w:val="35"/>
        </w:rPr>
        <w:t xml:space="preserve">7.2 </w:t>
      </w:r>
      <w:r>
        <w:rPr>
          <w:rStyle w:val="35"/>
          <w:rFonts w:hint="eastAsia"/>
        </w:rPr>
        <w:t xml:space="preserve"> 实操实训</w:t>
      </w:r>
      <w:r>
        <w:tab/>
      </w:r>
      <w:r>
        <w:fldChar w:fldCharType="begin"/>
      </w:r>
      <w:r>
        <w:instrText xml:space="preserve"> PAGEREF _Toc203405707 \h </w:instrText>
      </w:r>
      <w:r>
        <w:fldChar w:fldCharType="separate"/>
      </w:r>
      <w:r>
        <w:t>4</w:t>
      </w:r>
      <w:r>
        <w:fldChar w:fldCharType="end"/>
      </w:r>
      <w:r>
        <w:fldChar w:fldCharType="end"/>
      </w:r>
    </w:p>
    <w:p w14:paraId="4CE03B3A">
      <w:pPr>
        <w:pStyle w:val="26"/>
        <w:rPr>
          <w:rFonts w:asciiTheme="minorHAnsi" w:hAnsiTheme="minorHAnsi" w:eastAsiaTheme="minorEastAsia" w:cstheme="minorBidi"/>
          <w:szCs w:val="22"/>
        </w:rPr>
      </w:pPr>
      <w:r>
        <w:fldChar w:fldCharType="begin"/>
      </w:r>
      <w:r>
        <w:instrText xml:space="preserve"> HYPERLINK \l "_Toc203405708" </w:instrText>
      </w:r>
      <w:r>
        <w:fldChar w:fldCharType="separate"/>
      </w:r>
      <w:r>
        <w:rPr>
          <w:rStyle w:val="35"/>
        </w:rPr>
        <w:t xml:space="preserve">7.3 </w:t>
      </w:r>
      <w:r>
        <w:rPr>
          <w:rStyle w:val="35"/>
          <w:rFonts w:hint="eastAsia"/>
        </w:rPr>
        <w:t xml:space="preserve"> 课程设置</w:t>
      </w:r>
      <w:r>
        <w:tab/>
      </w:r>
      <w:r>
        <w:fldChar w:fldCharType="begin"/>
      </w:r>
      <w:r>
        <w:instrText xml:space="preserve"> PAGEREF _Toc203405708 \h </w:instrText>
      </w:r>
      <w:r>
        <w:fldChar w:fldCharType="separate"/>
      </w:r>
      <w:r>
        <w:t>4</w:t>
      </w:r>
      <w:r>
        <w:fldChar w:fldCharType="end"/>
      </w:r>
      <w:r>
        <w:fldChar w:fldCharType="end"/>
      </w:r>
    </w:p>
    <w:p w14:paraId="3DD08CB9">
      <w:pPr>
        <w:pStyle w:val="21"/>
        <w:tabs>
          <w:tab w:val="right" w:leader="dot" w:pos="9344"/>
        </w:tabs>
        <w:rPr>
          <w:rFonts w:asciiTheme="minorHAnsi" w:hAnsiTheme="minorHAnsi" w:eastAsiaTheme="minorEastAsia" w:cstheme="minorBidi"/>
          <w:szCs w:val="22"/>
        </w:rPr>
      </w:pPr>
      <w:r>
        <w:fldChar w:fldCharType="begin"/>
      </w:r>
      <w:r>
        <w:instrText xml:space="preserve"> HYPERLINK \l "_Toc203405709" </w:instrText>
      </w:r>
      <w:r>
        <w:fldChar w:fldCharType="separate"/>
      </w:r>
      <w:r>
        <w:rPr>
          <w:rStyle w:val="35"/>
        </w:rPr>
        <w:t xml:space="preserve">8 </w:t>
      </w:r>
      <w:r>
        <w:rPr>
          <w:rStyle w:val="35"/>
          <w:rFonts w:hint="eastAsia"/>
        </w:rPr>
        <w:t xml:space="preserve"> 培训形式</w:t>
      </w:r>
      <w:r>
        <w:tab/>
      </w:r>
      <w:r>
        <w:fldChar w:fldCharType="begin"/>
      </w:r>
      <w:r>
        <w:instrText xml:space="preserve"> PAGEREF _Toc203405709 \h </w:instrText>
      </w:r>
      <w:r>
        <w:fldChar w:fldCharType="separate"/>
      </w:r>
      <w:r>
        <w:t>5</w:t>
      </w:r>
      <w:r>
        <w:fldChar w:fldCharType="end"/>
      </w:r>
      <w:r>
        <w:fldChar w:fldCharType="end"/>
      </w:r>
    </w:p>
    <w:p w14:paraId="4D3F78E9">
      <w:pPr>
        <w:pStyle w:val="26"/>
        <w:rPr>
          <w:rFonts w:asciiTheme="minorHAnsi" w:hAnsiTheme="minorHAnsi" w:eastAsiaTheme="minorEastAsia" w:cstheme="minorBidi"/>
          <w:szCs w:val="22"/>
        </w:rPr>
      </w:pPr>
      <w:r>
        <w:fldChar w:fldCharType="begin"/>
      </w:r>
      <w:r>
        <w:instrText xml:space="preserve"> HYPERLINK \l "_Toc203405710" </w:instrText>
      </w:r>
      <w:r>
        <w:fldChar w:fldCharType="separate"/>
      </w:r>
      <w:r>
        <w:rPr>
          <w:rStyle w:val="35"/>
        </w:rPr>
        <w:t xml:space="preserve">8.1 </w:t>
      </w:r>
      <w:r>
        <w:rPr>
          <w:rStyle w:val="35"/>
          <w:rFonts w:hint="eastAsia"/>
        </w:rPr>
        <w:t xml:space="preserve"> 线下培训</w:t>
      </w:r>
      <w:r>
        <w:tab/>
      </w:r>
      <w:r>
        <w:fldChar w:fldCharType="begin"/>
      </w:r>
      <w:r>
        <w:instrText xml:space="preserve"> PAGEREF _Toc203405710 \h </w:instrText>
      </w:r>
      <w:r>
        <w:fldChar w:fldCharType="separate"/>
      </w:r>
      <w:r>
        <w:t>5</w:t>
      </w:r>
      <w:r>
        <w:fldChar w:fldCharType="end"/>
      </w:r>
      <w:r>
        <w:fldChar w:fldCharType="end"/>
      </w:r>
    </w:p>
    <w:p w14:paraId="5E2256DB">
      <w:pPr>
        <w:pStyle w:val="26"/>
        <w:rPr>
          <w:rFonts w:asciiTheme="minorHAnsi" w:hAnsiTheme="minorHAnsi" w:eastAsiaTheme="minorEastAsia" w:cstheme="minorBidi"/>
          <w:szCs w:val="22"/>
        </w:rPr>
      </w:pPr>
      <w:r>
        <w:fldChar w:fldCharType="begin"/>
      </w:r>
      <w:r>
        <w:instrText xml:space="preserve"> HYPERLINK \l "_Toc203405711" </w:instrText>
      </w:r>
      <w:r>
        <w:fldChar w:fldCharType="separate"/>
      </w:r>
      <w:r>
        <w:rPr>
          <w:rStyle w:val="35"/>
        </w:rPr>
        <w:t xml:space="preserve">8.2 </w:t>
      </w:r>
      <w:r>
        <w:rPr>
          <w:rStyle w:val="35"/>
          <w:rFonts w:hint="eastAsia"/>
        </w:rPr>
        <w:t xml:space="preserve"> 线上培训</w:t>
      </w:r>
      <w:r>
        <w:tab/>
      </w:r>
      <w:r>
        <w:fldChar w:fldCharType="begin"/>
      </w:r>
      <w:r>
        <w:instrText xml:space="preserve"> PAGEREF _Toc203405711 \h </w:instrText>
      </w:r>
      <w:r>
        <w:fldChar w:fldCharType="separate"/>
      </w:r>
      <w:r>
        <w:t>5</w:t>
      </w:r>
      <w:r>
        <w:fldChar w:fldCharType="end"/>
      </w:r>
      <w:r>
        <w:fldChar w:fldCharType="end"/>
      </w:r>
    </w:p>
    <w:p w14:paraId="2A8A0FAD">
      <w:pPr>
        <w:pStyle w:val="26"/>
        <w:rPr>
          <w:rFonts w:asciiTheme="minorHAnsi" w:hAnsiTheme="minorHAnsi" w:eastAsiaTheme="minorEastAsia" w:cstheme="minorBidi"/>
          <w:szCs w:val="22"/>
        </w:rPr>
      </w:pPr>
      <w:r>
        <w:fldChar w:fldCharType="begin"/>
      </w:r>
      <w:r>
        <w:instrText xml:space="preserve"> HYPERLINK \l "_Toc203405712" </w:instrText>
      </w:r>
      <w:r>
        <w:fldChar w:fldCharType="separate"/>
      </w:r>
      <w:r>
        <w:rPr>
          <w:rStyle w:val="35"/>
        </w:rPr>
        <w:t xml:space="preserve">8.3 </w:t>
      </w:r>
      <w:r>
        <w:rPr>
          <w:rStyle w:val="35"/>
          <w:rFonts w:hint="eastAsia"/>
        </w:rPr>
        <w:t xml:space="preserve"> 混合式培训</w:t>
      </w:r>
      <w:r>
        <w:tab/>
      </w:r>
      <w:r>
        <w:fldChar w:fldCharType="begin"/>
      </w:r>
      <w:r>
        <w:instrText xml:space="preserve"> PAGEREF _Toc203405712 \h </w:instrText>
      </w:r>
      <w:r>
        <w:fldChar w:fldCharType="separate"/>
      </w:r>
      <w:r>
        <w:t>6</w:t>
      </w:r>
      <w:r>
        <w:fldChar w:fldCharType="end"/>
      </w:r>
      <w:r>
        <w:fldChar w:fldCharType="end"/>
      </w:r>
    </w:p>
    <w:p w14:paraId="5D3079B7">
      <w:pPr>
        <w:pStyle w:val="21"/>
        <w:tabs>
          <w:tab w:val="right" w:leader="dot" w:pos="9344"/>
        </w:tabs>
        <w:rPr>
          <w:rFonts w:asciiTheme="minorHAnsi" w:hAnsiTheme="minorHAnsi" w:eastAsiaTheme="minorEastAsia" w:cstheme="minorBidi"/>
          <w:szCs w:val="22"/>
        </w:rPr>
      </w:pPr>
      <w:r>
        <w:fldChar w:fldCharType="begin"/>
      </w:r>
      <w:r>
        <w:instrText xml:space="preserve"> HYPERLINK \l "_Toc203405713" </w:instrText>
      </w:r>
      <w:r>
        <w:fldChar w:fldCharType="separate"/>
      </w:r>
      <w:r>
        <w:rPr>
          <w:rStyle w:val="35"/>
        </w:rPr>
        <w:t xml:space="preserve">9 </w:t>
      </w:r>
      <w:r>
        <w:rPr>
          <w:rStyle w:val="35"/>
          <w:rFonts w:hint="eastAsia"/>
        </w:rPr>
        <w:t xml:space="preserve"> 培训要求</w:t>
      </w:r>
      <w:r>
        <w:tab/>
      </w:r>
      <w:r>
        <w:fldChar w:fldCharType="begin"/>
      </w:r>
      <w:r>
        <w:instrText xml:space="preserve"> PAGEREF _Toc203405713 \h </w:instrText>
      </w:r>
      <w:r>
        <w:fldChar w:fldCharType="separate"/>
      </w:r>
      <w:r>
        <w:t>6</w:t>
      </w:r>
      <w:r>
        <w:fldChar w:fldCharType="end"/>
      </w:r>
      <w:r>
        <w:fldChar w:fldCharType="end"/>
      </w:r>
    </w:p>
    <w:p w14:paraId="4C33D3C3">
      <w:pPr>
        <w:pStyle w:val="26"/>
        <w:rPr>
          <w:rFonts w:asciiTheme="minorHAnsi" w:hAnsiTheme="minorHAnsi" w:eastAsiaTheme="minorEastAsia" w:cstheme="minorBidi"/>
          <w:szCs w:val="22"/>
        </w:rPr>
      </w:pPr>
      <w:r>
        <w:fldChar w:fldCharType="begin"/>
      </w:r>
      <w:r>
        <w:instrText xml:space="preserve"> HYPERLINK \l "_Toc203405714" </w:instrText>
      </w:r>
      <w:r>
        <w:fldChar w:fldCharType="separate"/>
      </w:r>
      <w:r>
        <w:rPr>
          <w:rStyle w:val="35"/>
        </w:rPr>
        <w:t xml:space="preserve">9.1 </w:t>
      </w:r>
      <w:r>
        <w:rPr>
          <w:rStyle w:val="35"/>
          <w:rFonts w:hint="eastAsia"/>
        </w:rPr>
        <w:t xml:space="preserve"> 培训前准备</w:t>
      </w:r>
      <w:r>
        <w:tab/>
      </w:r>
      <w:r>
        <w:fldChar w:fldCharType="begin"/>
      </w:r>
      <w:r>
        <w:instrText xml:space="preserve"> PAGEREF _Toc203405714 \h </w:instrText>
      </w:r>
      <w:r>
        <w:fldChar w:fldCharType="separate"/>
      </w:r>
      <w:r>
        <w:t>6</w:t>
      </w:r>
      <w:r>
        <w:fldChar w:fldCharType="end"/>
      </w:r>
      <w:r>
        <w:fldChar w:fldCharType="end"/>
      </w:r>
    </w:p>
    <w:p w14:paraId="586362C6">
      <w:pPr>
        <w:pStyle w:val="26"/>
        <w:rPr>
          <w:rFonts w:asciiTheme="minorHAnsi" w:hAnsiTheme="minorHAnsi" w:eastAsiaTheme="minorEastAsia" w:cstheme="minorBidi"/>
          <w:szCs w:val="22"/>
        </w:rPr>
      </w:pPr>
      <w:r>
        <w:fldChar w:fldCharType="begin"/>
      </w:r>
      <w:r>
        <w:instrText xml:space="preserve"> HYPERLINK \l "_Toc203405715" </w:instrText>
      </w:r>
      <w:r>
        <w:fldChar w:fldCharType="separate"/>
      </w:r>
      <w:r>
        <w:rPr>
          <w:rStyle w:val="35"/>
        </w:rPr>
        <w:t xml:space="preserve">9.2 </w:t>
      </w:r>
      <w:r>
        <w:rPr>
          <w:rStyle w:val="35"/>
          <w:rFonts w:hint="eastAsia"/>
        </w:rPr>
        <w:t xml:space="preserve"> 实施培训</w:t>
      </w:r>
      <w:r>
        <w:tab/>
      </w:r>
      <w:r>
        <w:fldChar w:fldCharType="begin"/>
      </w:r>
      <w:r>
        <w:instrText xml:space="preserve"> PAGEREF _Toc203405715 \h </w:instrText>
      </w:r>
      <w:r>
        <w:fldChar w:fldCharType="separate"/>
      </w:r>
      <w:r>
        <w:t>6</w:t>
      </w:r>
      <w:r>
        <w:fldChar w:fldCharType="end"/>
      </w:r>
      <w:r>
        <w:fldChar w:fldCharType="end"/>
      </w:r>
    </w:p>
    <w:p w14:paraId="64505462">
      <w:pPr>
        <w:pStyle w:val="26"/>
        <w:rPr>
          <w:rFonts w:asciiTheme="minorHAnsi" w:hAnsiTheme="minorHAnsi" w:eastAsiaTheme="minorEastAsia" w:cstheme="minorBidi"/>
          <w:szCs w:val="22"/>
        </w:rPr>
      </w:pPr>
      <w:r>
        <w:fldChar w:fldCharType="begin"/>
      </w:r>
      <w:r>
        <w:instrText xml:space="preserve"> HYPERLINK \l "_Toc203405716" </w:instrText>
      </w:r>
      <w:r>
        <w:fldChar w:fldCharType="separate"/>
      </w:r>
      <w:r>
        <w:rPr>
          <w:rStyle w:val="35"/>
        </w:rPr>
        <w:t xml:space="preserve">9.3 </w:t>
      </w:r>
      <w:r>
        <w:rPr>
          <w:rStyle w:val="35"/>
          <w:rFonts w:hint="eastAsia"/>
        </w:rPr>
        <w:t xml:space="preserve"> 培训考核</w:t>
      </w:r>
      <w:r>
        <w:tab/>
      </w:r>
      <w:r>
        <w:fldChar w:fldCharType="begin"/>
      </w:r>
      <w:r>
        <w:instrText xml:space="preserve"> PAGEREF _Toc203405716 \h </w:instrText>
      </w:r>
      <w:r>
        <w:fldChar w:fldCharType="separate"/>
      </w:r>
      <w:r>
        <w:t>6</w:t>
      </w:r>
      <w:r>
        <w:fldChar w:fldCharType="end"/>
      </w:r>
      <w:r>
        <w:fldChar w:fldCharType="end"/>
      </w:r>
    </w:p>
    <w:p w14:paraId="3A48D6BE">
      <w:pPr>
        <w:pStyle w:val="21"/>
        <w:tabs>
          <w:tab w:val="right" w:leader="dot" w:pos="9344"/>
        </w:tabs>
        <w:rPr>
          <w:rFonts w:asciiTheme="minorHAnsi" w:hAnsiTheme="minorHAnsi" w:eastAsiaTheme="minorEastAsia" w:cstheme="minorBidi"/>
          <w:szCs w:val="22"/>
        </w:rPr>
      </w:pPr>
      <w:r>
        <w:fldChar w:fldCharType="begin"/>
      </w:r>
      <w:r>
        <w:instrText xml:space="preserve"> HYPERLINK \l "_Toc203405717" </w:instrText>
      </w:r>
      <w:r>
        <w:fldChar w:fldCharType="separate"/>
      </w:r>
      <w:r>
        <w:rPr>
          <w:rStyle w:val="35"/>
        </w:rPr>
        <w:t xml:space="preserve">10 </w:t>
      </w:r>
      <w:r>
        <w:rPr>
          <w:rStyle w:val="35"/>
          <w:rFonts w:hint="eastAsia"/>
        </w:rPr>
        <w:t xml:space="preserve"> 评价与改进</w:t>
      </w:r>
      <w:r>
        <w:tab/>
      </w:r>
      <w:r>
        <w:fldChar w:fldCharType="begin"/>
      </w:r>
      <w:r>
        <w:instrText xml:space="preserve"> PAGEREF _Toc203405717 \h </w:instrText>
      </w:r>
      <w:r>
        <w:fldChar w:fldCharType="separate"/>
      </w:r>
      <w:r>
        <w:t>7</w:t>
      </w:r>
      <w:r>
        <w:fldChar w:fldCharType="end"/>
      </w:r>
      <w:r>
        <w:fldChar w:fldCharType="end"/>
      </w:r>
    </w:p>
    <w:p w14:paraId="4D14F5F2">
      <w:pPr>
        <w:pStyle w:val="21"/>
        <w:tabs>
          <w:tab w:val="right" w:leader="dot" w:pos="9344"/>
        </w:tabs>
        <w:rPr>
          <w:rFonts w:asciiTheme="minorHAnsi" w:hAnsiTheme="minorHAnsi" w:eastAsiaTheme="minorEastAsia" w:cstheme="minorBidi"/>
          <w:szCs w:val="22"/>
        </w:rPr>
      </w:pPr>
      <w:r>
        <w:fldChar w:fldCharType="begin"/>
      </w:r>
      <w:r>
        <w:instrText xml:space="preserve"> HYPERLINK \l "_Toc203405718" </w:instrText>
      </w:r>
      <w:r>
        <w:fldChar w:fldCharType="separate"/>
      </w:r>
      <w:r>
        <w:rPr>
          <w:rStyle w:val="35"/>
        </w:rPr>
        <w:t xml:space="preserve">11 </w:t>
      </w:r>
      <w:r>
        <w:rPr>
          <w:rStyle w:val="35"/>
          <w:rFonts w:hint="eastAsia"/>
        </w:rPr>
        <w:t xml:space="preserve"> 档案管理</w:t>
      </w:r>
      <w:r>
        <w:tab/>
      </w:r>
      <w:r>
        <w:fldChar w:fldCharType="begin"/>
      </w:r>
      <w:r>
        <w:instrText xml:space="preserve"> PAGEREF _Toc203405718 \h </w:instrText>
      </w:r>
      <w:r>
        <w:fldChar w:fldCharType="separate"/>
      </w:r>
      <w:r>
        <w:t>7</w:t>
      </w:r>
      <w:r>
        <w:fldChar w:fldCharType="end"/>
      </w:r>
      <w:r>
        <w:fldChar w:fldCharType="end"/>
      </w:r>
    </w:p>
    <w:p w14:paraId="264447D4">
      <w:pPr>
        <w:pStyle w:val="21"/>
        <w:tabs>
          <w:tab w:val="right" w:leader="dot" w:pos="9344"/>
        </w:tabs>
        <w:rPr>
          <w:rFonts w:asciiTheme="minorHAnsi" w:hAnsiTheme="minorHAnsi" w:eastAsiaTheme="minorEastAsia" w:cstheme="minorBidi"/>
          <w:szCs w:val="22"/>
        </w:rPr>
      </w:pPr>
      <w:r>
        <w:fldChar w:fldCharType="begin"/>
      </w:r>
      <w:r>
        <w:instrText xml:space="preserve"> HYPERLINK \l "_Toc203405719" </w:instrText>
      </w:r>
      <w:r>
        <w:fldChar w:fldCharType="separate"/>
      </w:r>
      <w:r>
        <w:rPr>
          <w:rStyle w:val="35"/>
          <w:rFonts w:hint="eastAsia"/>
        </w:rPr>
        <w:t>参考文献</w:t>
      </w:r>
      <w:r>
        <w:tab/>
      </w:r>
      <w:r>
        <w:fldChar w:fldCharType="begin"/>
      </w:r>
      <w:r>
        <w:instrText xml:space="preserve"> PAGEREF _Toc203405719 \h </w:instrText>
      </w:r>
      <w:r>
        <w:fldChar w:fldCharType="separate"/>
      </w:r>
      <w:r>
        <w:t>8</w:t>
      </w:r>
      <w:r>
        <w:fldChar w:fldCharType="end"/>
      </w:r>
      <w:r>
        <w:fldChar w:fldCharType="end"/>
      </w:r>
    </w:p>
    <w:p w14:paraId="511F4A3D">
      <w:pPr>
        <w:pStyle w:val="95"/>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14:paraId="086A1921">
      <w:pPr>
        <w:pStyle w:val="93"/>
        <w:spacing w:after="360"/>
      </w:pPr>
      <w:bookmarkStart w:id="44" w:name="_Toc203405692"/>
      <w:bookmarkStart w:id="45" w:name="BookMark2"/>
      <w:r>
        <w:rPr>
          <w:spacing w:val="320"/>
        </w:rPr>
        <w:t>前</w:t>
      </w:r>
      <w:r>
        <w:t>言</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55FDB973">
      <w:pPr>
        <w:pStyle w:val="60"/>
        <w:ind w:firstLine="420"/>
      </w:pPr>
      <w:r>
        <w:rPr>
          <w:rFonts w:hint="eastAsia"/>
        </w:rPr>
        <w:t>本文件参照GB/T 1.1—2020《标准化工作导则  第1部分：标准化文件的结构和起草规则》的规定起草。</w:t>
      </w:r>
    </w:p>
    <w:p w14:paraId="4F766769">
      <w:pPr>
        <w:pStyle w:val="60"/>
        <w:ind w:firstLine="420"/>
      </w:pPr>
      <w:r>
        <w:rPr>
          <w:rFonts w:hint="eastAsia"/>
        </w:rPr>
        <w:t>请注意本文件的某些内容可能涉及专利。本文件的发布机构不承担识别专利的责任。</w:t>
      </w:r>
    </w:p>
    <w:p w14:paraId="53B0E67C">
      <w:pPr>
        <w:pStyle w:val="60"/>
        <w:ind w:firstLine="420"/>
      </w:pPr>
      <w:r>
        <w:rPr>
          <w:rFonts w:hint="eastAsia"/>
        </w:rPr>
        <w:t>本文件由广西东盟技术转移中心提出并宣贯。</w:t>
      </w:r>
    </w:p>
    <w:p w14:paraId="74003C04">
      <w:pPr>
        <w:pStyle w:val="60"/>
        <w:ind w:firstLine="420"/>
      </w:pPr>
      <w:r>
        <w:rPr>
          <w:rFonts w:hint="eastAsia"/>
        </w:rPr>
        <w:t>本文件由广西标准化协会归口。</w:t>
      </w:r>
    </w:p>
    <w:p w14:paraId="28CEFEEB">
      <w:pPr>
        <w:pStyle w:val="60"/>
        <w:ind w:firstLine="420"/>
      </w:pPr>
      <w:r>
        <w:rPr>
          <w:rFonts w:hint="eastAsia"/>
        </w:rPr>
        <w:t>本文件起草单位：广西东盟技术转移中心、文莱—中国一带一路促进会、缅甸科技部研究与创新司国家分析实验室、泰中科技协会、越南国立农业大学有机农业促进与研究中心、广西国际商务职业技术学院、上海东部科技成果转化有限公司、APEC技术转移中心、成都兴隆智汇科技有限公司、广东省华南技术转移中心有限公司。</w:t>
      </w:r>
    </w:p>
    <w:p w14:paraId="0A88DDE4">
      <w:pPr>
        <w:pStyle w:val="60"/>
        <w:ind w:firstLine="420"/>
      </w:pPr>
      <w:r>
        <w:rPr>
          <w:rFonts w:hint="eastAsia"/>
        </w:rPr>
        <w:t>本文件主要起草人：</w:t>
      </w:r>
      <w:r>
        <w:rPr>
          <w:rFonts w:hint="eastAsia"/>
          <w:color w:val="000000" w:themeColor="text1"/>
          <w14:textFill>
            <w14:solidFill>
              <w14:schemeClr w14:val="tx1"/>
            </w14:solidFill>
          </w14:textFill>
        </w:rPr>
        <w:t>刁朔、施敏、李泉、詹智琼、杨士彪、荣薏、何香蓉、陈卓、花维慧、</w:t>
      </w:r>
      <w:r>
        <w:rPr>
          <w:color w:val="000000" w:themeColor="text1"/>
          <w14:textFill>
            <w14:solidFill>
              <w14:schemeClr w14:val="tx1"/>
            </w14:solidFill>
          </w14:textFill>
        </w:rPr>
        <w:t>Dr.</w:t>
      </w:r>
      <w:r>
        <w:t xml:space="preserve"> Pichai Sonchaeng</w:t>
      </w:r>
      <w:r>
        <w:rPr>
          <w:rFonts w:hint="eastAsia"/>
        </w:rPr>
        <w:t>、</w:t>
      </w:r>
      <w:r>
        <w:t>Mr. Xuan Li</w:t>
      </w:r>
      <w:r>
        <w:rPr>
          <w:rFonts w:hint="eastAsia"/>
        </w:rPr>
        <w:t>、</w:t>
      </w:r>
      <w:bookmarkStart w:id="452" w:name="_GoBack"/>
      <w:bookmarkEnd w:id="452"/>
      <w:r>
        <w:t>Dr. Thazin Han</w:t>
      </w:r>
      <w:r>
        <w:rPr>
          <w:rFonts w:hint="eastAsia"/>
        </w:rPr>
        <w:t>、</w:t>
      </w:r>
      <w:r>
        <w:t>Dr. Myat Soe Aung</w:t>
      </w:r>
      <w:r>
        <w:rPr>
          <w:rFonts w:hint="eastAsia"/>
        </w:rPr>
        <w:t>、</w:t>
      </w:r>
      <w:r>
        <w:t>CHU ANHTIEP</w:t>
      </w:r>
      <w:r>
        <w:rPr>
          <w:rFonts w:hint="eastAsia"/>
        </w:rPr>
        <w:t>、</w:t>
      </w:r>
      <w:r>
        <w:t>VU DUYHOANG</w:t>
      </w:r>
      <w:r>
        <w:rPr>
          <w:rFonts w:hint="eastAsia"/>
        </w:rPr>
        <w:t>、沈宗祥、刘杰英、黄秋玲、刘婕、李莉、滕镛、许一珈、皋德宇、李万鹏、赵小锋、曹钰希、邱珊珊、廖晓东、闫永骅。</w:t>
      </w:r>
    </w:p>
    <w:p w14:paraId="367E5411">
      <w:pPr>
        <w:pStyle w:val="60"/>
        <w:ind w:firstLine="420"/>
      </w:pPr>
    </w:p>
    <w:bookmarkEnd w:id="45"/>
    <w:p w14:paraId="3B964FC3">
      <w:pPr>
        <w:spacing w:line="20" w:lineRule="exact"/>
        <w:jc w:val="center"/>
        <w:rPr>
          <w:rFonts w:ascii="黑体" w:hAnsi="黑体" w:eastAsia="黑体"/>
          <w:sz w:val="32"/>
          <w:szCs w:val="32"/>
        </w:rPr>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bookmarkStart w:id="46" w:name="BookMark4"/>
    </w:p>
    <w:p w14:paraId="6B228FC5">
      <w:pPr>
        <w:spacing w:line="20" w:lineRule="exact"/>
        <w:jc w:val="center"/>
        <w:rPr>
          <w:rFonts w:ascii="黑体" w:hAnsi="黑体" w:eastAsia="黑体"/>
          <w:sz w:val="32"/>
          <w:szCs w:val="32"/>
        </w:rPr>
      </w:pPr>
    </w:p>
    <w:p w14:paraId="45C28BFE">
      <w:pPr>
        <w:spacing w:line="20" w:lineRule="exact"/>
        <w:jc w:val="center"/>
        <w:rPr>
          <w:rFonts w:ascii="黑体" w:hAnsi="黑体" w:eastAsia="黑体"/>
          <w:sz w:val="32"/>
          <w:szCs w:val="32"/>
        </w:rPr>
      </w:pPr>
    </w:p>
    <w:sdt>
      <w:sdtPr>
        <w:tag w:val="NEW_STAND_NAME"/>
        <w:id w:val="595910757"/>
        <w:lock w:val="sdtLocked"/>
        <w:placeholder>
          <w:docPart w:val="C7827B97E2EF46B699090886EA678801"/>
        </w:placeholder>
      </w:sdtPr>
      <w:sdtContent>
        <w:p w14:paraId="2D8D25E7">
          <w:pPr>
            <w:pStyle w:val="181"/>
            <w:spacing w:before="240" w:beforeLines="100" w:after="528" w:afterLines="220"/>
          </w:pPr>
          <w:bookmarkStart w:id="47" w:name="NEW_STAND_NAME"/>
          <w:r>
            <w:rPr>
              <w:rFonts w:hint="eastAsia"/>
            </w:rPr>
            <w:t>面向东盟国际技术经理人培训规范</w:t>
          </w:r>
        </w:p>
      </w:sdtContent>
    </w:sdt>
    <w:bookmarkEnd w:id="47"/>
    <w:p w14:paraId="736CF70F">
      <w:pPr>
        <w:pStyle w:val="108"/>
        <w:spacing w:before="240" w:after="240"/>
      </w:pPr>
      <w:bookmarkStart w:id="48" w:name="_Toc190027556"/>
      <w:bookmarkStart w:id="49" w:name="_Toc17233325"/>
      <w:bookmarkStart w:id="50" w:name="_Toc184734315"/>
      <w:bookmarkStart w:id="51" w:name="_Toc26718930"/>
      <w:bookmarkStart w:id="52" w:name="_Toc199318859"/>
      <w:bookmarkStart w:id="53" w:name="_Toc200650127"/>
      <w:bookmarkStart w:id="54" w:name="_Toc128040840"/>
      <w:bookmarkStart w:id="55" w:name="_Toc182921680"/>
      <w:bookmarkStart w:id="56" w:name="_Toc178176538"/>
      <w:bookmarkStart w:id="57" w:name="_Toc133229137"/>
      <w:bookmarkStart w:id="58" w:name="_Toc173344670"/>
      <w:bookmarkStart w:id="59" w:name="_Toc198665362"/>
      <w:bookmarkStart w:id="60" w:name="_Toc185260616"/>
      <w:bookmarkStart w:id="61" w:name="_Toc26986771"/>
      <w:bookmarkStart w:id="62" w:name="_Toc97192964"/>
      <w:bookmarkStart w:id="63" w:name="_Toc119923846"/>
      <w:bookmarkStart w:id="64" w:name="_Toc173331505"/>
      <w:bookmarkStart w:id="65" w:name="_Toc174091921"/>
      <w:bookmarkStart w:id="66" w:name="_Toc26648465"/>
      <w:bookmarkStart w:id="67" w:name="_Toc133226005"/>
      <w:bookmarkStart w:id="68" w:name="_Toc173330491"/>
      <w:bookmarkStart w:id="69" w:name="_Toc190161177"/>
      <w:bookmarkStart w:id="70" w:name="_Toc182921654"/>
      <w:bookmarkStart w:id="71" w:name="_Toc133225921"/>
      <w:bookmarkStart w:id="72" w:name="_Toc24884211"/>
      <w:bookmarkStart w:id="73" w:name="_Toc24884218"/>
      <w:bookmarkStart w:id="74" w:name="_Toc120603746"/>
      <w:bookmarkStart w:id="75" w:name="_Toc26986530"/>
      <w:bookmarkStart w:id="76" w:name="_Toc129870538"/>
      <w:bookmarkStart w:id="77" w:name="_Toc17233333"/>
      <w:bookmarkStart w:id="78" w:name="_Toc128314906"/>
      <w:bookmarkStart w:id="79" w:name="_Toc198665335"/>
      <w:bookmarkStart w:id="80" w:name="_Toc203405693"/>
      <w:r>
        <w:rPr>
          <w:rFonts w:hint="eastAsia"/>
        </w:rPr>
        <w:t>范围</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42959C9C">
      <w:pPr>
        <w:pStyle w:val="60"/>
        <w:ind w:firstLine="420"/>
      </w:pPr>
      <w:bookmarkStart w:id="81" w:name="_Toc24884219"/>
      <w:bookmarkStart w:id="82" w:name="_Toc17233334"/>
      <w:bookmarkStart w:id="83" w:name="_Toc24884212"/>
      <w:bookmarkStart w:id="84" w:name="_Toc17233326"/>
      <w:bookmarkStart w:id="85" w:name="_Toc26648466"/>
      <w:r>
        <w:rPr>
          <w:rFonts w:hint="eastAsia"/>
        </w:rPr>
        <w:t>本文件界定了面向东盟国际技术经理人培训涉及的术语和定义，规定了面向东盟国际技术经理人培训的</w:t>
      </w:r>
      <w:bookmarkStart w:id="86" w:name="OLE_LINK17"/>
      <w:bookmarkStart w:id="87" w:name="OLE_LINK16"/>
      <w:r>
        <w:rPr>
          <w:rFonts w:hint="eastAsia"/>
        </w:rPr>
        <w:t>基本要求、培养目标、培训对象、培训内容、培训要求、培训考核、评价与改进</w:t>
      </w:r>
      <w:bookmarkEnd w:id="86"/>
      <w:bookmarkEnd w:id="87"/>
      <w:r>
        <w:rPr>
          <w:rFonts w:hint="eastAsia"/>
        </w:rPr>
        <w:t>、档案管理的要求。</w:t>
      </w:r>
    </w:p>
    <w:p w14:paraId="77B99BEF">
      <w:pPr>
        <w:pStyle w:val="60"/>
        <w:ind w:firstLine="420"/>
      </w:pPr>
      <w:r>
        <w:rPr>
          <w:rFonts w:hint="eastAsia"/>
        </w:rPr>
        <w:t>本文件适用于面向东盟国际技术经理人的培训。</w:t>
      </w:r>
    </w:p>
    <w:p w14:paraId="2682C9D1">
      <w:pPr>
        <w:pStyle w:val="108"/>
        <w:spacing w:before="240" w:after="240"/>
      </w:pPr>
      <w:bookmarkStart w:id="88" w:name="_Toc129870539"/>
      <w:bookmarkStart w:id="89" w:name="_Toc178176539"/>
      <w:bookmarkStart w:id="90" w:name="_Toc128040841"/>
      <w:bookmarkStart w:id="91" w:name="_Toc26986531"/>
      <w:bookmarkStart w:id="92" w:name="_Toc199318860"/>
      <w:bookmarkStart w:id="93" w:name="_Toc173344671"/>
      <w:bookmarkStart w:id="94" w:name="_Toc120603747"/>
      <w:bookmarkStart w:id="95" w:name="_Toc182921681"/>
      <w:bookmarkStart w:id="96" w:name="_Toc119923847"/>
      <w:bookmarkStart w:id="97" w:name="_Toc173331506"/>
      <w:bookmarkStart w:id="98" w:name="_Toc133226006"/>
      <w:bookmarkStart w:id="99" w:name="_Toc26718931"/>
      <w:bookmarkStart w:id="100" w:name="_Toc198665336"/>
      <w:bookmarkStart w:id="101" w:name="_Toc133229138"/>
      <w:bookmarkStart w:id="102" w:name="_Toc173330492"/>
      <w:bookmarkStart w:id="103" w:name="_Toc185260617"/>
      <w:bookmarkStart w:id="104" w:name="_Toc190027557"/>
      <w:bookmarkStart w:id="105" w:name="_Toc200650128"/>
      <w:bookmarkStart w:id="106" w:name="_Toc182921655"/>
      <w:bookmarkStart w:id="107" w:name="_Toc190161178"/>
      <w:bookmarkStart w:id="108" w:name="_Toc184734316"/>
      <w:bookmarkStart w:id="109" w:name="_Toc174091922"/>
      <w:bookmarkStart w:id="110" w:name="_Toc133225922"/>
      <w:bookmarkStart w:id="111" w:name="_Toc97192965"/>
      <w:bookmarkStart w:id="112" w:name="_Toc26986772"/>
      <w:bookmarkStart w:id="113" w:name="_Toc203405694"/>
      <w:bookmarkStart w:id="114" w:name="_Toc198665363"/>
      <w:bookmarkStart w:id="115" w:name="_Toc128314907"/>
      <w:r>
        <w:rPr>
          <w:rFonts w:hint="eastAsia"/>
        </w:rPr>
        <w:t>规范性引用文件</w:t>
      </w:r>
      <w:bookmarkEnd w:id="81"/>
      <w:bookmarkEnd w:id="82"/>
      <w:bookmarkEnd w:id="83"/>
      <w:bookmarkEnd w:id="84"/>
      <w:bookmarkEnd w:id="85"/>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sdt>
      <w:sdtPr>
        <w:rPr>
          <w:rFonts w:hint="eastAsia"/>
        </w:rPr>
        <w:id w:val="715848253"/>
        <w:placeholder>
          <w:docPart w:val="24F45DEEC9394C9AA31FCDC349B7532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2C0D8F84">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384291D">
      <w:pPr>
        <w:pStyle w:val="60"/>
        <w:ind w:firstLine="420"/>
      </w:pPr>
      <w:bookmarkStart w:id="116" w:name="_Toc97192966"/>
      <w:r>
        <w:rPr>
          <w:rFonts w:hint="eastAsia"/>
        </w:rPr>
        <w:t>GB/T 346</w:t>
      </w:r>
      <w:r>
        <w:t>70</w:t>
      </w:r>
      <w:r>
        <w:rPr>
          <w:rFonts w:hint="eastAsia"/>
        </w:rPr>
        <w:t xml:space="preserve">  技术转移服务规范</w:t>
      </w:r>
    </w:p>
    <w:p w14:paraId="158EFE9F">
      <w:pPr>
        <w:pStyle w:val="108"/>
        <w:spacing w:before="240" w:after="240"/>
      </w:pPr>
      <w:bookmarkStart w:id="117" w:name="_Toc198665364"/>
      <w:bookmarkStart w:id="118" w:name="_Toc128040842"/>
      <w:bookmarkStart w:id="119" w:name="_Toc185260618"/>
      <w:bookmarkStart w:id="120" w:name="_Toc133229139"/>
      <w:bookmarkStart w:id="121" w:name="_Toc190161179"/>
      <w:bookmarkStart w:id="122" w:name="_Toc203405695"/>
      <w:bookmarkStart w:id="123" w:name="_Toc133226007"/>
      <w:bookmarkStart w:id="124" w:name="_Toc182921682"/>
      <w:bookmarkStart w:id="125" w:name="_Toc173330493"/>
      <w:bookmarkStart w:id="126" w:name="_Toc198665337"/>
      <w:bookmarkStart w:id="127" w:name="_Toc190027558"/>
      <w:bookmarkStart w:id="128" w:name="_Toc128314908"/>
      <w:bookmarkStart w:id="129" w:name="_Toc129870540"/>
      <w:bookmarkStart w:id="130" w:name="_Toc178176540"/>
      <w:bookmarkStart w:id="131" w:name="_Toc120603748"/>
      <w:bookmarkStart w:id="132" w:name="_Toc173331507"/>
      <w:bookmarkStart w:id="133" w:name="_Toc199318861"/>
      <w:bookmarkStart w:id="134" w:name="_Toc119923848"/>
      <w:bookmarkStart w:id="135" w:name="_Toc173344672"/>
      <w:bookmarkStart w:id="136" w:name="_Toc174091923"/>
      <w:bookmarkStart w:id="137" w:name="_Toc184734317"/>
      <w:bookmarkStart w:id="138" w:name="_Toc200650129"/>
      <w:bookmarkStart w:id="139" w:name="_Toc182921656"/>
      <w:bookmarkStart w:id="140" w:name="_Toc133225923"/>
      <w:r>
        <w:rPr>
          <w:rFonts w:hint="eastAsia"/>
          <w:szCs w:val="21"/>
        </w:rPr>
        <w:t>术语和定义</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5060E01E">
      <w:pPr>
        <w:pStyle w:val="60"/>
        <w:ind w:firstLine="420"/>
      </w:pPr>
      <w:bookmarkStart w:id="141" w:name="_Toc26986532"/>
      <w:bookmarkEnd w:id="141"/>
      <w:sdt>
        <w:sdtPr>
          <w:id w:val="-1909835108"/>
          <w:placeholder>
            <w:docPart w:val="8D75296159C040E9935F429DB0927CF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rPr>
              <w:rFonts w:hint="eastAsia"/>
            </w:rPr>
            <w:t>GB/T 34670界定的以及下列术语和定义适用于本文件</w:t>
          </w:r>
        </w:sdtContent>
      </w:sdt>
      <w:r>
        <w:rPr>
          <w:rFonts w:hint="eastAsia"/>
        </w:rPr>
        <w:t>。</w:t>
      </w:r>
    </w:p>
    <w:p w14:paraId="2F9AE6C8">
      <w:pPr>
        <w:pStyle w:val="227"/>
        <w:ind w:left="420" w:hanging="420" w:hangingChars="200"/>
        <w:rPr>
          <w:rFonts w:ascii="黑体" w:hAnsi="黑体" w:eastAsia="黑体"/>
        </w:rPr>
      </w:pPr>
    </w:p>
    <w:p w14:paraId="0138FFA6">
      <w:pPr>
        <w:pStyle w:val="227"/>
        <w:ind w:left="420" w:hanging="420" w:hangingChars="200"/>
        <w:rPr>
          <w:rFonts w:ascii="黑体" w:hAnsi="黑体" w:eastAsia="黑体"/>
        </w:rPr>
      </w:pPr>
      <w:r>
        <w:rPr>
          <w:rFonts w:hint="eastAsia" w:ascii="黑体" w:hAnsi="黑体" w:eastAsia="黑体"/>
        </w:rPr>
        <w:t>国际技术经理人  international technical manager</w:t>
      </w:r>
    </w:p>
    <w:p w14:paraId="438F6CC6">
      <w:pPr>
        <w:pStyle w:val="60"/>
        <w:ind w:firstLine="420"/>
      </w:pPr>
      <w:r>
        <w:rPr>
          <w:rFonts w:hint="eastAsia"/>
        </w:rPr>
        <w:t>在科技成果转移、转化和产业化过程中，发挥组织、协调、管理、咨询等作用，面向东盟国家从事成果挖掘、培育、孵化、熟化、评价、推广、交易并提供金融、法律、知识产权等相关服务的专业人员。</w:t>
      </w:r>
      <w:bookmarkStart w:id="142" w:name="OLE_LINK58"/>
    </w:p>
    <w:p w14:paraId="5E800095">
      <w:pPr>
        <w:pStyle w:val="227"/>
        <w:ind w:left="420" w:hanging="420" w:hangingChars="200"/>
        <w:rPr>
          <w:rFonts w:ascii="黑体" w:hAnsi="黑体" w:eastAsia="黑体"/>
        </w:rPr>
      </w:pPr>
    </w:p>
    <w:p w14:paraId="1A8299F4">
      <w:pPr>
        <w:pStyle w:val="227"/>
        <w:ind w:left="420" w:hanging="420" w:hangingChars="200"/>
        <w:rPr>
          <w:rFonts w:ascii="黑体" w:hAnsi="黑体" w:eastAsia="黑体"/>
        </w:rPr>
      </w:pPr>
      <w:r>
        <w:rPr>
          <w:rFonts w:hint="eastAsia" w:ascii="黑体" w:hAnsi="黑体" w:eastAsia="黑体"/>
        </w:rPr>
        <w:t>面向东盟技术转移  t</w:t>
      </w:r>
      <w:r>
        <w:rPr>
          <w:rFonts w:ascii="黑体" w:hAnsi="黑体" w:eastAsia="黑体"/>
        </w:rPr>
        <w:t>echnology transfer of towards the Association of Southeast Asian Nations</w:t>
      </w:r>
    </w:p>
    <w:p w14:paraId="2D9F59AC">
      <w:pPr>
        <w:pStyle w:val="60"/>
        <w:ind w:firstLine="420"/>
        <w:rPr>
          <w:rFonts w:hint="eastAsia"/>
        </w:rPr>
      </w:pPr>
      <w:r>
        <w:rPr>
          <w:rFonts w:hint="eastAsia"/>
        </w:rPr>
        <w:t>在中国与东盟成员国之间，通过政策协调、平台搭建、资源共享等方式，推动技术、知识、标准等创新要素跨境流动与应用的合作过程。</w:t>
      </w:r>
    </w:p>
    <w:p w14:paraId="6299F72C">
      <w:pPr>
        <w:pStyle w:val="183"/>
      </w:pPr>
      <w:r>
        <w:rPr>
          <w:rFonts w:hint="eastAsia"/>
        </w:rPr>
        <w:t>东盟成员国包括文莱、柬埔寨、印度尼西亚、老挝、马来西亚、缅甸、菲律宾、新加坡、泰国和越南。</w:t>
      </w:r>
    </w:p>
    <w:p w14:paraId="7D410E13">
      <w:pPr>
        <w:pStyle w:val="108"/>
        <w:spacing w:before="240" w:after="240"/>
      </w:pPr>
      <w:bookmarkStart w:id="143" w:name="_Toc185260619"/>
      <w:bookmarkStart w:id="144" w:name="_Toc133225924"/>
      <w:bookmarkStart w:id="145" w:name="_Toc182921657"/>
      <w:bookmarkStart w:id="146" w:name="_Toc178176541"/>
      <w:bookmarkStart w:id="147" w:name="_Toc198665341"/>
      <w:bookmarkStart w:id="148" w:name="_Toc182921683"/>
      <w:bookmarkStart w:id="149" w:name="_Toc173344673"/>
      <w:bookmarkStart w:id="150" w:name="_Toc184734318"/>
      <w:bookmarkStart w:id="151" w:name="_Toc203405696"/>
      <w:bookmarkStart w:id="152" w:name="_Toc128040843"/>
      <w:bookmarkStart w:id="153" w:name="_Toc190161180"/>
      <w:bookmarkStart w:id="154" w:name="_Toc190027559"/>
      <w:bookmarkStart w:id="155" w:name="_Toc120603749"/>
      <w:bookmarkStart w:id="156" w:name="_Toc198665368"/>
      <w:bookmarkStart w:id="157" w:name="_Toc129870541"/>
      <w:bookmarkStart w:id="158" w:name="_Toc128314909"/>
      <w:bookmarkStart w:id="159" w:name="_Toc200650130"/>
      <w:bookmarkStart w:id="160" w:name="_Toc173330494"/>
      <w:bookmarkStart w:id="161" w:name="_Toc133226008"/>
      <w:bookmarkStart w:id="162" w:name="_Toc173331508"/>
      <w:bookmarkStart w:id="163" w:name="_Toc133229140"/>
      <w:bookmarkStart w:id="164" w:name="_Toc199318862"/>
      <w:bookmarkStart w:id="165" w:name="_Toc174091924"/>
      <w:bookmarkStart w:id="166" w:name="_Toc119923849"/>
      <w:bookmarkStart w:id="167" w:name="_Toc198665365"/>
      <w:bookmarkStart w:id="168" w:name="_Toc198665338"/>
      <w:r>
        <w:rPr>
          <w:rFonts w:hint="eastAsia"/>
        </w:rPr>
        <w:t>基本要求</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6421F542">
      <w:pPr>
        <w:pStyle w:val="109"/>
        <w:spacing w:before="120" w:after="120"/>
      </w:pPr>
      <w:bookmarkStart w:id="169" w:name="_Toc190027560"/>
      <w:bookmarkStart w:id="170" w:name="_Toc198665369"/>
      <w:bookmarkStart w:id="171" w:name="_Toc199318863"/>
      <w:bookmarkStart w:id="172" w:name="_Toc203405697"/>
      <w:bookmarkStart w:id="173" w:name="_Toc190161181"/>
      <w:bookmarkStart w:id="174" w:name="_Toc200650131"/>
      <w:bookmarkStart w:id="175" w:name="_Toc198665342"/>
      <w:r>
        <w:rPr>
          <w:rFonts w:hint="eastAsia"/>
        </w:rPr>
        <w:t>培训机构</w:t>
      </w:r>
      <w:bookmarkEnd w:id="169"/>
      <w:bookmarkEnd w:id="170"/>
      <w:bookmarkEnd w:id="171"/>
      <w:bookmarkEnd w:id="172"/>
      <w:bookmarkEnd w:id="173"/>
      <w:bookmarkEnd w:id="174"/>
      <w:bookmarkEnd w:id="175"/>
    </w:p>
    <w:p w14:paraId="4FA60127">
      <w:pPr>
        <w:pStyle w:val="169"/>
        <w:ind w:left="0" w:firstLine="1"/>
      </w:pPr>
      <w:bookmarkStart w:id="176" w:name="OLE_LINK19"/>
      <w:bookmarkStart w:id="177" w:name="OLE_LINK18"/>
      <w:r>
        <w:rPr>
          <w:rFonts w:hint="eastAsia"/>
        </w:rPr>
        <w:t>具有完善的教学组织管理、学员档案管理、学员考核管理、培训经费管理、后勤保障管理、培训后跟踪管理、财务管理等制度。</w:t>
      </w:r>
    </w:p>
    <w:p w14:paraId="4D11B22F">
      <w:pPr>
        <w:pStyle w:val="169"/>
        <w:ind w:left="0" w:firstLine="1"/>
      </w:pPr>
      <w:r>
        <w:rPr>
          <w:rFonts w:hint="eastAsia"/>
        </w:rPr>
        <w:t>具备相关领域的培训资质和丰富的培训经验，拥有成熟的教学管理体系。</w:t>
      </w:r>
    </w:p>
    <w:p w14:paraId="3862CBCA">
      <w:pPr>
        <w:pStyle w:val="169"/>
        <w:ind w:left="0" w:firstLine="1"/>
      </w:pPr>
      <w:r>
        <w:rPr>
          <w:rFonts w:hint="eastAsia"/>
        </w:rPr>
        <w:t>在国际技术转移领域有一定的资源积累，包括与东盟国家相关机构建立的合作关系。</w:t>
      </w:r>
    </w:p>
    <w:p w14:paraId="30DD48B6">
      <w:pPr>
        <w:pStyle w:val="169"/>
        <w:ind w:left="0" w:firstLine="1"/>
      </w:pPr>
      <w:r>
        <w:rPr>
          <w:rFonts w:hint="eastAsia"/>
        </w:rPr>
        <w:t>有结构合理的专职、兼职讲师队伍。</w:t>
      </w:r>
    </w:p>
    <w:p w14:paraId="4EF63931">
      <w:pPr>
        <w:pStyle w:val="169"/>
        <w:ind w:left="0" w:firstLine="1"/>
      </w:pPr>
      <w:r>
        <w:rPr>
          <w:rFonts w:hint="eastAsia"/>
        </w:rPr>
        <w:t>拥有能够保障培训顺利开展的资金和后勤支持能力。</w:t>
      </w:r>
    </w:p>
    <w:p w14:paraId="48543E7B">
      <w:pPr>
        <w:pStyle w:val="169"/>
        <w:ind w:left="0" w:firstLine="1"/>
      </w:pPr>
      <w:r>
        <w:rPr>
          <w:rFonts w:hint="eastAsia"/>
        </w:rPr>
        <w:t>无科研诚信不良记录。</w:t>
      </w:r>
    </w:p>
    <w:bookmarkEnd w:id="176"/>
    <w:bookmarkEnd w:id="177"/>
    <w:p w14:paraId="3AF8AF6D">
      <w:pPr>
        <w:pStyle w:val="109"/>
        <w:spacing w:before="120" w:after="120"/>
      </w:pPr>
      <w:bookmarkStart w:id="178" w:name="_Toc198665370"/>
      <w:bookmarkStart w:id="179" w:name="_Toc173344674"/>
      <w:bookmarkStart w:id="180" w:name="_Toc190027561"/>
      <w:bookmarkStart w:id="181" w:name="_Toc184734319"/>
      <w:bookmarkStart w:id="182" w:name="_Toc185260620"/>
      <w:bookmarkStart w:id="183" w:name="_Toc198665343"/>
      <w:bookmarkStart w:id="184" w:name="_Toc178176542"/>
      <w:bookmarkStart w:id="185" w:name="_Toc182921658"/>
      <w:bookmarkStart w:id="186" w:name="_Toc203405698"/>
      <w:bookmarkStart w:id="187" w:name="_Toc199318864"/>
      <w:bookmarkStart w:id="188" w:name="_Toc182921684"/>
      <w:bookmarkStart w:id="189" w:name="_Toc190161182"/>
      <w:bookmarkStart w:id="190" w:name="_Toc174091925"/>
      <w:bookmarkStart w:id="191" w:name="_Toc200650132"/>
      <w:r>
        <w:rPr>
          <w:rFonts w:hint="eastAsia"/>
        </w:rPr>
        <w:t>场所及设施</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750333AF">
      <w:pPr>
        <w:pStyle w:val="60"/>
        <w:ind w:firstLine="420"/>
      </w:pPr>
      <w:bookmarkStart w:id="192" w:name="OLE_LINK21"/>
      <w:bookmarkStart w:id="193" w:name="OLE_LINK20"/>
      <w:r>
        <w:rPr>
          <w:rFonts w:hint="eastAsia"/>
        </w:rPr>
        <w:t>应具有满足培训需要的培训场所、培训设施设备、安全保障设施和实践基地等</w:t>
      </w:r>
      <w:bookmarkEnd w:id="192"/>
      <w:bookmarkEnd w:id="193"/>
      <w:r>
        <w:rPr>
          <w:rFonts w:hint="eastAsia"/>
        </w:rPr>
        <w:t>。</w:t>
      </w:r>
    </w:p>
    <w:p w14:paraId="691396CD">
      <w:pPr>
        <w:pStyle w:val="109"/>
        <w:spacing w:before="120" w:after="120"/>
      </w:pPr>
      <w:bookmarkStart w:id="194" w:name="_Toc200650133"/>
      <w:bookmarkStart w:id="195" w:name="_Toc199318865"/>
      <w:bookmarkStart w:id="196" w:name="_Toc198665371"/>
      <w:bookmarkStart w:id="197" w:name="_Toc198665344"/>
      <w:bookmarkStart w:id="198" w:name="_Toc203405699"/>
      <w:r>
        <w:rPr>
          <w:rFonts w:hint="eastAsia"/>
        </w:rPr>
        <w:t>从业人员</w:t>
      </w:r>
      <w:bookmarkEnd w:id="194"/>
      <w:bookmarkEnd w:id="195"/>
      <w:bookmarkEnd w:id="196"/>
      <w:bookmarkEnd w:id="197"/>
      <w:bookmarkEnd w:id="198"/>
    </w:p>
    <w:p w14:paraId="0393F7D8">
      <w:pPr>
        <w:pStyle w:val="69"/>
        <w:spacing w:before="120" w:after="120"/>
        <w:ind w:left="0"/>
      </w:pPr>
      <w:r>
        <w:rPr>
          <w:rFonts w:hint="eastAsia"/>
        </w:rPr>
        <w:t>培训师</w:t>
      </w:r>
    </w:p>
    <w:p w14:paraId="7FAB7111">
      <w:pPr>
        <w:pStyle w:val="60"/>
        <w:ind w:firstLine="420"/>
      </w:pPr>
      <w:r>
        <w:rPr>
          <w:rFonts w:hint="eastAsia"/>
        </w:rPr>
        <w:t>应具备以下条件：</w:t>
      </w:r>
    </w:p>
    <w:p w14:paraId="4F0FF7EC">
      <w:pPr>
        <w:pStyle w:val="136"/>
      </w:pPr>
      <w:r>
        <w:rPr>
          <w:rFonts w:hint="eastAsia"/>
        </w:rPr>
        <w:t>具备从事技术转移3年以上的经历和相关的教育培训经验；</w:t>
      </w:r>
    </w:p>
    <w:p w14:paraId="453335E4">
      <w:pPr>
        <w:pStyle w:val="136"/>
      </w:pPr>
      <w:r>
        <w:rPr>
          <w:rFonts w:hint="eastAsia"/>
        </w:rPr>
        <w:t>具备良好的教学能力，能根据培训需求设计系统、科学的课程体系，能灵活运用各种教学方法，有效传授知识，激发学员学习兴趣，并能根据学员需求设计和调整教学内容和方法；</w:t>
      </w:r>
    </w:p>
    <w:p w14:paraId="64D9C688">
      <w:pPr>
        <w:pStyle w:val="136"/>
      </w:pPr>
      <w:r>
        <w:rPr>
          <w:rFonts w:hint="eastAsia"/>
        </w:rPr>
        <w:t>具备丰富的技术转移、政策法律法规以及商业化专业知识与实战经验，精通国际技术转移流程，熟悉东盟国家技术市场特点及技术标准差异；</w:t>
      </w:r>
    </w:p>
    <w:p w14:paraId="3486114B">
      <w:pPr>
        <w:pStyle w:val="136"/>
      </w:pPr>
      <w:r>
        <w:rPr>
          <w:rFonts w:hint="eastAsia"/>
        </w:rPr>
        <w:t>了解东盟国家产业政策、科技发展规划，熟悉国际贸易规则，熟悉面向东盟国家有关区域政策，掌握国际知识产权法律法规有参与国际合作项目或跨国培训的经历，熟悉国际教育交流的规则和流程，熟悉技术经理人职业路径，能指导学员应对实际工作中的挑战；</w:t>
      </w:r>
    </w:p>
    <w:p w14:paraId="06D9BBFA">
      <w:pPr>
        <w:pStyle w:val="136"/>
      </w:pPr>
      <w:r>
        <w:rPr>
          <w:rFonts w:hint="eastAsia"/>
        </w:rPr>
        <w:t>具备国际视野与资源，了解中国-东盟技术合作趋势，熟悉东盟科技创新生态系统；</w:t>
      </w:r>
    </w:p>
    <w:p w14:paraId="2A1ED789">
      <w:pPr>
        <w:pStyle w:val="136"/>
      </w:pPr>
      <w:r>
        <w:rPr>
          <w:rFonts w:hint="eastAsia"/>
        </w:rPr>
        <w:t>具备良好的跨文化沟通能力，熟悉东盟商务礼仪，指导学员能识别并应对跨文化沟通障碍，有良好的沟通与表达、演绎能力。</w:t>
      </w:r>
    </w:p>
    <w:p w14:paraId="5E46A37E">
      <w:pPr>
        <w:pStyle w:val="69"/>
        <w:spacing w:before="120" w:after="120"/>
        <w:ind w:left="0"/>
      </w:pPr>
      <w:r>
        <w:rPr>
          <w:rFonts w:hint="eastAsia"/>
        </w:rPr>
        <w:t>管理人员</w:t>
      </w:r>
    </w:p>
    <w:p w14:paraId="5C82DC12">
      <w:pPr>
        <w:pStyle w:val="60"/>
        <w:ind w:firstLine="420"/>
      </w:pPr>
      <w:r>
        <w:rPr>
          <w:rFonts w:hint="eastAsia"/>
        </w:rPr>
        <w:t>应具备以下条件：</w:t>
      </w:r>
    </w:p>
    <w:p w14:paraId="7E2F9D0A">
      <w:pPr>
        <w:pStyle w:val="136"/>
      </w:pPr>
      <w:r>
        <w:rPr>
          <w:rFonts w:hint="eastAsia"/>
        </w:rPr>
        <w:t>具备2年以上培训从业经验，熟悉本机构的管理规范和培训服务要求，熟练掌握从事岗位的专业基础知识、作业规范和培训服务技能技巧；</w:t>
      </w:r>
    </w:p>
    <w:p w14:paraId="3AA1F33E">
      <w:pPr>
        <w:pStyle w:val="136"/>
      </w:pPr>
      <w:r>
        <w:rPr>
          <w:rFonts w:hint="eastAsia"/>
        </w:rPr>
        <w:t>按培训协议（合同）约定的相关内容提供服务；</w:t>
      </w:r>
    </w:p>
    <w:p w14:paraId="28EC0B3C">
      <w:pPr>
        <w:pStyle w:val="136"/>
      </w:pPr>
      <w:r>
        <w:rPr>
          <w:rFonts w:hint="eastAsia"/>
        </w:rPr>
        <w:t>有良好的组织、管理、沟通和协调能力。</w:t>
      </w:r>
    </w:p>
    <w:p w14:paraId="79DD36DA">
      <w:pPr>
        <w:pStyle w:val="109"/>
        <w:spacing w:before="120" w:after="120"/>
      </w:pPr>
      <w:bookmarkStart w:id="199" w:name="_Toc199318866"/>
      <w:bookmarkStart w:id="200" w:name="_Toc190161184"/>
      <w:bookmarkStart w:id="201" w:name="_Toc200650134"/>
      <w:bookmarkStart w:id="202" w:name="_Toc198665372"/>
      <w:bookmarkStart w:id="203" w:name="_Toc190027563"/>
      <w:bookmarkStart w:id="204" w:name="_Toc198665345"/>
      <w:bookmarkStart w:id="205" w:name="_Toc203405700"/>
      <w:r>
        <w:rPr>
          <w:rFonts w:hint="eastAsia"/>
        </w:rPr>
        <w:t>教学资源</w:t>
      </w:r>
      <w:bookmarkEnd w:id="199"/>
      <w:bookmarkEnd w:id="200"/>
      <w:bookmarkEnd w:id="201"/>
      <w:bookmarkEnd w:id="202"/>
      <w:bookmarkEnd w:id="203"/>
      <w:bookmarkEnd w:id="204"/>
      <w:bookmarkEnd w:id="205"/>
    </w:p>
    <w:p w14:paraId="6621EB8B">
      <w:pPr>
        <w:pStyle w:val="169"/>
        <w:ind w:left="0"/>
      </w:pPr>
      <w:bookmarkStart w:id="206" w:name="OLE_LINK23"/>
      <w:bookmarkStart w:id="207" w:name="OLE_LINK22"/>
      <w:r>
        <w:rPr>
          <w:rFonts w:hint="eastAsia"/>
        </w:rPr>
        <w:t>教材应选用国家或国际认可的技术转移、跨文化沟通与谈判、科技创新与知识产权管理等专业出版物。</w:t>
      </w:r>
    </w:p>
    <w:p w14:paraId="01A586CD">
      <w:pPr>
        <w:pStyle w:val="169"/>
        <w:ind w:left="0"/>
      </w:pPr>
      <w:r>
        <w:rPr>
          <w:rFonts w:hint="eastAsia"/>
        </w:rPr>
        <w:t>国际技术转移领域的最新研究成果以及面向东盟国家的成果转化等实操案例分析。</w:t>
      </w:r>
    </w:p>
    <w:p w14:paraId="3290D2AC">
      <w:pPr>
        <w:pStyle w:val="169"/>
        <w:ind w:left="0"/>
      </w:pPr>
      <w:r>
        <w:rPr>
          <w:rFonts w:hint="eastAsia"/>
        </w:rPr>
        <w:t>东盟国家的产业技术需求、文化背景及区域合作相关政策。</w:t>
      </w:r>
    </w:p>
    <w:bookmarkEnd w:id="206"/>
    <w:bookmarkEnd w:id="207"/>
    <w:p w14:paraId="2F3AF7CF">
      <w:pPr>
        <w:pStyle w:val="108"/>
        <w:spacing w:before="240" w:after="240"/>
      </w:pPr>
      <w:bookmarkStart w:id="208" w:name="_Toc203405701"/>
      <w:bookmarkStart w:id="209" w:name="_Toc199318867"/>
      <w:bookmarkStart w:id="210" w:name="_Toc200650135"/>
      <w:r>
        <w:rPr>
          <w:rFonts w:hint="eastAsia"/>
        </w:rPr>
        <w:t>培养目标</w:t>
      </w:r>
      <w:bookmarkEnd w:id="167"/>
      <w:bookmarkEnd w:id="168"/>
      <w:bookmarkEnd w:id="208"/>
      <w:bookmarkEnd w:id="209"/>
      <w:bookmarkEnd w:id="210"/>
    </w:p>
    <w:p w14:paraId="3252A291">
      <w:pPr>
        <w:pStyle w:val="109"/>
        <w:spacing w:before="120" w:after="120"/>
      </w:pPr>
      <w:bookmarkStart w:id="211" w:name="_Toc200650136"/>
      <w:bookmarkStart w:id="212" w:name="_Toc198665339"/>
      <w:bookmarkStart w:id="213" w:name="_Toc198665366"/>
      <w:bookmarkStart w:id="214" w:name="_Toc203405702"/>
      <w:bookmarkStart w:id="215" w:name="_Toc199318868"/>
      <w:r>
        <w:rPr>
          <w:rFonts w:hint="eastAsia"/>
        </w:rPr>
        <w:t>基本职业素养</w:t>
      </w:r>
      <w:bookmarkEnd w:id="211"/>
      <w:bookmarkEnd w:id="212"/>
      <w:bookmarkEnd w:id="213"/>
      <w:bookmarkEnd w:id="214"/>
      <w:bookmarkEnd w:id="215"/>
    </w:p>
    <w:p w14:paraId="4DADBDEF">
      <w:pPr>
        <w:pStyle w:val="169"/>
        <w:ind w:left="0"/>
      </w:pPr>
      <w:r>
        <w:rPr>
          <w:rFonts w:hint="eastAsia"/>
        </w:rPr>
        <w:t>应提供客观和公正的服务。保证服务的准确性、真实性和完整性，保障客户信息安全，公平竞争，实事求是，全面履行承诺。</w:t>
      </w:r>
    </w:p>
    <w:p w14:paraId="24E7D118">
      <w:pPr>
        <w:pStyle w:val="169"/>
        <w:ind w:left="0"/>
      </w:pPr>
      <w:r>
        <w:rPr>
          <w:rFonts w:hint="eastAsia"/>
        </w:rPr>
        <w:t>应热爱事业，恪守职业操守，严谨求实，钻研业务，奋发进取，做好本职工作。</w:t>
      </w:r>
    </w:p>
    <w:p w14:paraId="4EE1D22E">
      <w:pPr>
        <w:pStyle w:val="169"/>
        <w:ind w:left="0"/>
      </w:pPr>
      <w:r>
        <w:rPr>
          <w:rFonts w:hint="eastAsia"/>
        </w:rPr>
        <w:t>应保守委托人和相关组织的商业秘密，尊重、维护其知识产权及合法权益。</w:t>
      </w:r>
    </w:p>
    <w:p w14:paraId="54A8BE17">
      <w:pPr>
        <w:pStyle w:val="169"/>
        <w:ind w:left="0"/>
      </w:pPr>
      <w:r>
        <w:rPr>
          <w:rFonts w:hint="eastAsia"/>
        </w:rPr>
        <w:t>应公私分明，崇廉拒腐。能正确处理职业权利与职业义务的关系。</w:t>
      </w:r>
    </w:p>
    <w:p w14:paraId="71B2807D">
      <w:pPr>
        <w:pStyle w:val="169"/>
        <w:ind w:left="0"/>
      </w:pPr>
      <w:r>
        <w:rPr>
          <w:rFonts w:hint="eastAsia"/>
        </w:rPr>
        <w:t>宜具备一定的东盟国家官方语言能力。</w:t>
      </w:r>
    </w:p>
    <w:p w14:paraId="1A87FA35">
      <w:pPr>
        <w:pStyle w:val="183"/>
      </w:pPr>
      <w:r>
        <w:rPr>
          <w:rFonts w:hint="eastAsia"/>
        </w:rPr>
        <w:t>东盟国家官方语言包括：英语、马来语、泰语、越南语、老挝语、缅甸语、柬埔寨语、印尼语、菲律宾语、泰米尔语等。</w:t>
      </w:r>
    </w:p>
    <w:p w14:paraId="05F4889F">
      <w:pPr>
        <w:pStyle w:val="109"/>
        <w:spacing w:before="120" w:after="120"/>
      </w:pPr>
      <w:bookmarkStart w:id="216" w:name="_Toc198665340"/>
      <w:bookmarkStart w:id="217" w:name="_Toc198665367"/>
      <w:bookmarkStart w:id="218" w:name="_Toc199318869"/>
      <w:bookmarkStart w:id="219" w:name="_Toc200650137"/>
      <w:bookmarkStart w:id="220" w:name="_Toc203405703"/>
      <w:r>
        <w:rPr>
          <w:rFonts w:hint="eastAsia"/>
        </w:rPr>
        <w:t>能力</w:t>
      </w:r>
      <w:bookmarkEnd w:id="216"/>
      <w:bookmarkEnd w:id="217"/>
      <w:r>
        <w:rPr>
          <w:rFonts w:hint="eastAsia"/>
        </w:rPr>
        <w:t>水平</w:t>
      </w:r>
      <w:bookmarkEnd w:id="218"/>
      <w:bookmarkEnd w:id="219"/>
      <w:bookmarkEnd w:id="220"/>
    </w:p>
    <w:p w14:paraId="24A75B18">
      <w:pPr>
        <w:pStyle w:val="69"/>
        <w:spacing w:before="120" w:after="120"/>
        <w:ind w:left="0"/>
      </w:pPr>
      <w:r>
        <w:rPr>
          <w:rFonts w:hint="eastAsia"/>
        </w:rPr>
        <w:t>面向东盟初级技术经理人</w:t>
      </w:r>
    </w:p>
    <w:p w14:paraId="67942BB3">
      <w:pPr>
        <w:pStyle w:val="60"/>
        <w:ind w:firstLine="420"/>
      </w:pPr>
      <w:r>
        <w:rPr>
          <w:rFonts w:hint="eastAsia"/>
        </w:rPr>
        <w:t>技术转移执行者，负责基础协调与执行工作</w:t>
      </w:r>
      <w:bookmarkStart w:id="221" w:name="OLE_LINK64"/>
      <w:bookmarkStart w:id="222" w:name="OLE_LINK65"/>
      <w:r>
        <w:rPr>
          <w:rFonts w:hint="eastAsia"/>
        </w:rPr>
        <w:t>，应具备以下相关能力要求。</w:t>
      </w:r>
      <w:bookmarkEnd w:id="221"/>
      <w:bookmarkEnd w:id="222"/>
    </w:p>
    <w:p w14:paraId="21CCC140">
      <w:pPr>
        <w:pStyle w:val="136"/>
      </w:pPr>
      <w:r>
        <w:rPr>
          <w:rFonts w:hint="eastAsia"/>
        </w:rPr>
        <w:t>知识与能力要求：掌握从事技术转移工作的相关概念、基础知识、政策法规、东盟商务礼仪与文化、东盟技术市场概况、中国以及东盟国家技术贸易法规，以及需求挖掘、技术评价、技术交易、技术合同管理等实务基础，具备面向东盟国家开展初级技术转移服务的知识素养和服务能力，胜任技术转移执行与协调工作。</w:t>
      </w:r>
    </w:p>
    <w:p w14:paraId="6A2EE096">
      <w:pPr>
        <w:pStyle w:val="136"/>
      </w:pPr>
      <w:r>
        <w:rPr>
          <w:rFonts w:hint="eastAsia"/>
        </w:rPr>
        <w:t>核心能力：</w:t>
      </w:r>
    </w:p>
    <w:p w14:paraId="2D3D274C">
      <w:pPr>
        <w:pStyle w:val="191"/>
      </w:pPr>
      <w:r>
        <w:rPr>
          <w:rFonts w:hint="eastAsia"/>
        </w:rPr>
        <w:t>技术理解力：掌握技术转移基本流程，能识别技术需求方的技术痛点与适配性；</w:t>
      </w:r>
    </w:p>
    <w:p w14:paraId="2517A34F">
      <w:pPr>
        <w:pStyle w:val="191"/>
      </w:pPr>
      <w:r>
        <w:rPr>
          <w:rFonts w:hint="eastAsia"/>
        </w:rPr>
        <w:t>跨文化沟通基础：具备英语或东盟国家语言基础沟通能力，理解东盟商务礼仪差异，需具备东盟国家风俗与宗教信仰的认知能力；</w:t>
      </w:r>
    </w:p>
    <w:p w14:paraId="1E4C1C81">
      <w:pPr>
        <w:pStyle w:val="191"/>
      </w:pPr>
      <w:r>
        <w:rPr>
          <w:rFonts w:hint="eastAsia"/>
        </w:rPr>
        <w:t>项目执行支持：协助完成技术转移项目管理、市场调研报告撰写，协调技术供需双方的基础对接；</w:t>
      </w:r>
    </w:p>
    <w:p w14:paraId="055C4DDA">
      <w:pPr>
        <w:pStyle w:val="191"/>
      </w:pPr>
      <w:r>
        <w:rPr>
          <w:rFonts w:hint="eastAsia"/>
        </w:rPr>
        <w:t>工具应用能力：熟练科技成果评价、数据分析等工具；</w:t>
      </w:r>
    </w:p>
    <w:p w14:paraId="30FABDD1">
      <w:pPr>
        <w:pStyle w:val="191"/>
      </w:pPr>
      <w:r>
        <w:rPr>
          <w:rFonts w:hint="eastAsia"/>
        </w:rPr>
        <w:t>东盟场景适配能力：了解东盟国家科技政策、法律法规差异，处理简单跨文化冲突。</w:t>
      </w:r>
    </w:p>
    <w:p w14:paraId="01A3FD27">
      <w:pPr>
        <w:pStyle w:val="69"/>
        <w:spacing w:before="120" w:after="120"/>
        <w:ind w:left="0"/>
      </w:pPr>
      <w:r>
        <w:rPr>
          <w:rFonts w:hint="eastAsia"/>
        </w:rPr>
        <w:t>面向东盟中级技术经理人</w:t>
      </w:r>
    </w:p>
    <w:p w14:paraId="5B18A18F">
      <w:pPr>
        <w:pStyle w:val="60"/>
        <w:ind w:firstLine="420"/>
      </w:pPr>
      <w:r>
        <w:rPr>
          <w:rFonts w:hint="eastAsia"/>
        </w:rPr>
        <w:t>技术转移项目管理者，独立负责项目全流程推进，应具备以下相关能力要求。</w:t>
      </w:r>
    </w:p>
    <w:p w14:paraId="36F200B0">
      <w:pPr>
        <w:pStyle w:val="136"/>
      </w:pPr>
      <w:r>
        <w:rPr>
          <w:rFonts w:hint="eastAsia"/>
        </w:rPr>
        <w:t>知识与能力要求：了解相关专业领域的技术知识和发展趋势，具备提供资本和基金运作等的知识结构和服务能力，熟悉创业孵化流程，熟练掌握专利申请流程、商务谈判技巧等专业技能，具备面向东盟国家提供专业化、个性化技术转移服务的能力。</w:t>
      </w:r>
    </w:p>
    <w:p w14:paraId="30D6F556">
      <w:pPr>
        <w:pStyle w:val="136"/>
      </w:pPr>
      <w:r>
        <w:rPr>
          <w:rFonts w:hint="eastAsia"/>
        </w:rPr>
        <w:t>核心能力：</w:t>
      </w:r>
    </w:p>
    <w:p w14:paraId="73569C54">
      <w:pPr>
        <w:pStyle w:val="191"/>
      </w:pPr>
      <w:r>
        <w:rPr>
          <w:rFonts w:hint="eastAsia"/>
        </w:rPr>
        <w:t>技术商业化能力</w:t>
      </w:r>
      <w:bookmarkStart w:id="223" w:name="OLE_LINK66"/>
      <w:r>
        <w:rPr>
          <w:rFonts w:hint="eastAsia"/>
        </w:rPr>
        <w:t>：</w:t>
      </w:r>
      <w:bookmarkEnd w:id="223"/>
      <w:r>
        <w:rPr>
          <w:rFonts w:hint="eastAsia"/>
        </w:rPr>
        <w:t>能分析技术市场潜力，制定技术商业化路径。主导技术许可协议谈判，平衡技术输出方与接收方的利益诉求；</w:t>
      </w:r>
    </w:p>
    <w:p w14:paraId="20D00219">
      <w:pPr>
        <w:pStyle w:val="191"/>
      </w:pPr>
      <w:r>
        <w:rPr>
          <w:rFonts w:hint="eastAsia"/>
        </w:rPr>
        <w:t>跨文化资源整合：熟练运用具备英语或东盟国家语言进行商务谈判，协调东盟国家政策差异；</w:t>
      </w:r>
    </w:p>
    <w:p w14:paraId="21A7E724">
      <w:pPr>
        <w:pStyle w:val="191"/>
      </w:pPr>
      <w:r>
        <w:rPr>
          <w:rFonts w:hint="eastAsia"/>
        </w:rPr>
        <w:t>项目管理与风险控制：制定项目计划并监控执行进度，解决技术转移中的常见问题，识别政治与法律风险；</w:t>
      </w:r>
    </w:p>
    <w:p w14:paraId="0ADD4FE7">
      <w:pPr>
        <w:pStyle w:val="191"/>
      </w:pPr>
      <w:r>
        <w:rPr>
          <w:rFonts w:hint="eastAsia"/>
        </w:rPr>
        <w:t>区域网络构建：搭建东盟国家合作网络，参与国际会议、论坛、赛事等活动；</w:t>
      </w:r>
    </w:p>
    <w:p w14:paraId="20E73052">
      <w:pPr>
        <w:pStyle w:val="191"/>
      </w:pPr>
      <w:r>
        <w:rPr>
          <w:rFonts w:hint="eastAsia"/>
        </w:rPr>
        <w:t>东盟场景适配能力：深入理解东盟国家产业政策，分析市场需求，主导处理中等复杂度冲突。</w:t>
      </w:r>
    </w:p>
    <w:p w14:paraId="2E3CE0B3">
      <w:pPr>
        <w:pStyle w:val="69"/>
        <w:spacing w:before="120" w:after="120"/>
        <w:ind w:left="0" w:firstLine="1"/>
      </w:pPr>
      <w:r>
        <w:rPr>
          <w:rFonts w:hint="eastAsia"/>
        </w:rPr>
        <w:t>面向东盟高级技术经理人</w:t>
      </w:r>
    </w:p>
    <w:p w14:paraId="773B5D4F">
      <w:pPr>
        <w:pStyle w:val="60"/>
        <w:ind w:firstLine="420"/>
      </w:pPr>
      <w:r>
        <w:rPr>
          <w:rFonts w:hint="eastAsia"/>
        </w:rPr>
        <w:t>战略决策者，推动技术转移生态建设与国际合作，应具备以下相关能力要求。</w:t>
      </w:r>
    </w:p>
    <w:p w14:paraId="513B5A4E">
      <w:pPr>
        <w:pStyle w:val="136"/>
      </w:pPr>
      <w:r>
        <w:rPr>
          <w:rFonts w:hint="eastAsia"/>
        </w:rPr>
        <w:t>知识及能力要求：熟悉国内外相关产业领域技术知识和发展趋势，能够运用专利布局、专利运营，提供高质量、高价值专利并实施技术转移，了解国内外技术转移机构及其运营式，能够结合企业实际需求熟练运用。具备开展更深入、更专业技术转移的知识储备和服务能力，能够独立或带领团队制定战略规划，开展技术转移服务，主导跨国技术生态建设。</w:t>
      </w:r>
    </w:p>
    <w:p w14:paraId="0EE998F7">
      <w:pPr>
        <w:pStyle w:val="136"/>
      </w:pPr>
      <w:r>
        <w:rPr>
          <w:rFonts w:hint="eastAsia"/>
        </w:rPr>
        <w:t>核心能力：</w:t>
      </w:r>
    </w:p>
    <w:p w14:paraId="3F961A44">
      <w:pPr>
        <w:pStyle w:val="191"/>
      </w:pPr>
      <w:r>
        <w:rPr>
          <w:rFonts w:hint="eastAsia"/>
        </w:rPr>
        <w:t>战略规划与政策影响力：制定跨国技术转移战略，参与制定区域技术标准；</w:t>
      </w:r>
    </w:p>
    <w:p w14:paraId="724C561A">
      <w:pPr>
        <w:pStyle w:val="191"/>
      </w:pPr>
      <w:r>
        <w:rPr>
          <w:rFonts w:hint="eastAsia"/>
        </w:rPr>
        <w:t>复杂生态系统协调：整合政府、科研机构、高校及企业等资源，协调双边或多边合作机制；</w:t>
      </w:r>
    </w:p>
    <w:p w14:paraId="46766867">
      <w:pPr>
        <w:pStyle w:val="191"/>
      </w:pPr>
      <w:r>
        <w:rPr>
          <w:rFonts w:hint="eastAsia"/>
        </w:rPr>
        <w:t>创新生态构建：设计技术转移孵化模式，推动技术转移与绿色经济、数字经济的融合；</w:t>
      </w:r>
    </w:p>
    <w:p w14:paraId="761A7CC1">
      <w:pPr>
        <w:pStyle w:val="191"/>
      </w:pPr>
      <w:r>
        <w:rPr>
          <w:rFonts w:hint="eastAsia"/>
        </w:rPr>
        <w:t>全球视野与领导力：领导跨国团队应对技术转移中的系统性风险，代表企业/机构参与国际技术转移规则制定；</w:t>
      </w:r>
    </w:p>
    <w:p w14:paraId="012F19F8">
      <w:pPr>
        <w:pStyle w:val="191"/>
      </w:pPr>
      <w:r>
        <w:rPr>
          <w:rFonts w:hint="eastAsia"/>
        </w:rPr>
        <w:t>东盟场景适配：主导解决高阶复杂问题，构建区域性技术转移品牌。</w:t>
      </w:r>
    </w:p>
    <w:bookmarkEnd w:id="142"/>
    <w:p w14:paraId="600603B0">
      <w:pPr>
        <w:pStyle w:val="108"/>
        <w:spacing w:before="240" w:after="240"/>
      </w:pPr>
      <w:bookmarkStart w:id="224" w:name="_Toc133226009"/>
      <w:bookmarkStart w:id="225" w:name="_Toc178176545"/>
      <w:bookmarkStart w:id="226" w:name="_Toc200650138"/>
      <w:bookmarkStart w:id="227" w:name="_Toc190027564"/>
      <w:bookmarkStart w:id="228" w:name="_Toc173344677"/>
      <w:bookmarkStart w:id="229" w:name="_Toc190161185"/>
      <w:bookmarkStart w:id="230" w:name="_Toc174091928"/>
      <w:bookmarkStart w:id="231" w:name="_Toc129870542"/>
      <w:bookmarkStart w:id="232" w:name="_Toc119923850"/>
      <w:bookmarkStart w:id="233" w:name="_Toc198665373"/>
      <w:bookmarkStart w:id="234" w:name="_Toc173330495"/>
      <w:bookmarkStart w:id="235" w:name="_Toc173331509"/>
      <w:bookmarkStart w:id="236" w:name="_Toc182921687"/>
      <w:bookmarkStart w:id="237" w:name="_Toc182921661"/>
      <w:bookmarkStart w:id="238" w:name="_Toc184734322"/>
      <w:bookmarkStart w:id="239" w:name="_Toc133229141"/>
      <w:bookmarkStart w:id="240" w:name="_Toc133225925"/>
      <w:bookmarkStart w:id="241" w:name="_Toc203405704"/>
      <w:bookmarkStart w:id="242" w:name="_Toc185260623"/>
      <w:bookmarkStart w:id="243" w:name="_Toc199318870"/>
      <w:bookmarkStart w:id="244" w:name="_Toc198665346"/>
      <w:bookmarkStart w:id="245" w:name="_Toc128314910"/>
      <w:bookmarkStart w:id="246" w:name="_Toc120603750"/>
      <w:bookmarkStart w:id="247" w:name="_Toc128040844"/>
      <w:r>
        <w:rPr>
          <w:rFonts w:hint="eastAsia"/>
        </w:rPr>
        <w:t>培训对象</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F49A2BF">
      <w:pPr>
        <w:pStyle w:val="60"/>
        <w:ind w:firstLine="420"/>
      </w:pPr>
      <w:r>
        <w:rPr>
          <w:rFonts w:hint="eastAsia"/>
        </w:rPr>
        <w:t>培训对象主要包含以下人员：</w:t>
      </w:r>
    </w:p>
    <w:p w14:paraId="6318100C">
      <w:pPr>
        <w:pStyle w:val="136"/>
      </w:pPr>
      <w:r>
        <w:rPr>
          <w:rFonts w:hint="eastAsia"/>
        </w:rPr>
        <w:t>高等院校、科研院所研发人员与成果转化人员；</w:t>
      </w:r>
    </w:p>
    <w:p w14:paraId="15D0F1CD">
      <w:pPr>
        <w:pStyle w:val="136"/>
      </w:pPr>
      <w:r>
        <w:rPr>
          <w:rFonts w:hint="eastAsia"/>
        </w:rPr>
        <w:t>科技型企业负责人、市场经理、产品经理、技术转移部门负责人；</w:t>
      </w:r>
    </w:p>
    <w:p w14:paraId="7593430C">
      <w:pPr>
        <w:pStyle w:val="136"/>
      </w:pPr>
      <w:r>
        <w:rPr>
          <w:rFonts w:hint="eastAsia"/>
        </w:rPr>
        <w:t>科技园区管理高层和技术经济管理人员；</w:t>
      </w:r>
    </w:p>
    <w:p w14:paraId="0E478970">
      <w:pPr>
        <w:pStyle w:val="136"/>
      </w:pPr>
      <w:r>
        <w:rPr>
          <w:rFonts w:hint="eastAsia"/>
        </w:rPr>
        <w:t>政府科技管理和技术转移职能部门负责人；</w:t>
      </w:r>
    </w:p>
    <w:p w14:paraId="3625DD11">
      <w:pPr>
        <w:pStyle w:val="136"/>
      </w:pPr>
      <w:r>
        <w:rPr>
          <w:rFonts w:hint="eastAsia"/>
        </w:rPr>
        <w:t>为技术转移提供法律、商务、知识产权服务的人员；</w:t>
      </w:r>
    </w:p>
    <w:p w14:paraId="2305D2AE">
      <w:pPr>
        <w:pStyle w:val="136"/>
      </w:pPr>
      <w:r>
        <w:rPr>
          <w:rFonts w:hint="eastAsia"/>
        </w:rPr>
        <w:t>提供技术转移相关服务的第三方机构人员；</w:t>
      </w:r>
    </w:p>
    <w:p w14:paraId="2B2C64A9">
      <w:pPr>
        <w:pStyle w:val="136"/>
      </w:pPr>
      <w:r>
        <w:rPr>
          <w:rFonts w:hint="eastAsia"/>
        </w:rPr>
        <w:t>技术研发、技术交易、技术转移等各类培训机构的师资与服务人员；</w:t>
      </w:r>
    </w:p>
    <w:p w14:paraId="6C04BE44">
      <w:pPr>
        <w:pStyle w:val="136"/>
      </w:pPr>
      <w:r>
        <w:rPr>
          <w:rFonts w:hint="eastAsia"/>
        </w:rPr>
        <w:t>投资机构的投资经理等；</w:t>
      </w:r>
    </w:p>
    <w:p w14:paraId="1652AA00">
      <w:pPr>
        <w:pStyle w:val="136"/>
      </w:pPr>
      <w:r>
        <w:rPr>
          <w:rFonts w:hint="eastAsia"/>
        </w:rPr>
        <w:t>其他技术转移服务机构从业人员。</w:t>
      </w:r>
    </w:p>
    <w:p w14:paraId="0F2AB3F1">
      <w:pPr>
        <w:pStyle w:val="60"/>
        <w:ind w:firstLine="420"/>
      </w:pPr>
    </w:p>
    <w:p w14:paraId="3867C6EB">
      <w:pPr>
        <w:pStyle w:val="60"/>
        <w:ind w:firstLine="420"/>
      </w:pPr>
    </w:p>
    <w:p w14:paraId="71077119">
      <w:pPr>
        <w:pStyle w:val="60"/>
        <w:ind w:firstLine="420"/>
      </w:pPr>
    </w:p>
    <w:p w14:paraId="4F8430BB">
      <w:pPr>
        <w:pStyle w:val="60"/>
        <w:ind w:firstLine="420"/>
      </w:pPr>
    </w:p>
    <w:p w14:paraId="0226DE2A">
      <w:pPr>
        <w:pStyle w:val="108"/>
        <w:spacing w:before="240" w:after="240"/>
      </w:pPr>
      <w:bookmarkStart w:id="248" w:name="_Toc178176546"/>
      <w:bookmarkStart w:id="249" w:name="_Toc198665374"/>
      <w:bookmarkStart w:id="250" w:name="_Toc190027565"/>
      <w:bookmarkStart w:id="251" w:name="_Toc200650139"/>
      <w:bookmarkStart w:id="252" w:name="_Toc182921662"/>
      <w:bookmarkStart w:id="253" w:name="_Toc119923851"/>
      <w:bookmarkStart w:id="254" w:name="_Toc120603751"/>
      <w:bookmarkStart w:id="255" w:name="_Toc199318871"/>
      <w:bookmarkStart w:id="256" w:name="_Toc173330496"/>
      <w:bookmarkStart w:id="257" w:name="_Toc190161186"/>
      <w:bookmarkStart w:id="258" w:name="_Toc133229142"/>
      <w:bookmarkStart w:id="259" w:name="_Toc173331510"/>
      <w:bookmarkStart w:id="260" w:name="_Toc129870543"/>
      <w:bookmarkStart w:id="261" w:name="_Toc203405705"/>
      <w:bookmarkStart w:id="262" w:name="_Toc184734323"/>
      <w:bookmarkStart w:id="263" w:name="_Toc185260624"/>
      <w:bookmarkStart w:id="264" w:name="_Toc173344678"/>
      <w:bookmarkStart w:id="265" w:name="_Toc174091929"/>
      <w:bookmarkStart w:id="266" w:name="_Toc182921688"/>
      <w:bookmarkStart w:id="267" w:name="_Toc128314911"/>
      <w:bookmarkStart w:id="268" w:name="_Toc198665347"/>
      <w:bookmarkStart w:id="269" w:name="_Toc133226010"/>
      <w:bookmarkStart w:id="270" w:name="_Toc128040845"/>
      <w:bookmarkStart w:id="271" w:name="_Toc133225926"/>
      <w:r>
        <w:rPr>
          <w:rFonts w:hint="eastAsia"/>
        </w:rPr>
        <w:t>培训内容</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0E94C711">
      <w:pPr>
        <w:pStyle w:val="109"/>
        <w:spacing w:before="120" w:after="120"/>
      </w:pPr>
      <w:bookmarkStart w:id="272" w:name="_Toc198665348"/>
      <w:bookmarkStart w:id="273" w:name="_Toc203405706"/>
      <w:bookmarkStart w:id="274" w:name="_Toc200650140"/>
      <w:bookmarkStart w:id="275" w:name="_Toc199318872"/>
      <w:bookmarkStart w:id="276" w:name="_Toc198665375"/>
      <w:r>
        <w:rPr>
          <w:rFonts w:hint="eastAsia"/>
        </w:rPr>
        <w:t>理论知识</w:t>
      </w:r>
      <w:bookmarkEnd w:id="272"/>
      <w:bookmarkEnd w:id="273"/>
      <w:bookmarkEnd w:id="274"/>
      <w:bookmarkEnd w:id="275"/>
      <w:bookmarkEnd w:id="276"/>
    </w:p>
    <w:p w14:paraId="03C1A0AE">
      <w:pPr>
        <w:pStyle w:val="60"/>
        <w:ind w:firstLine="420"/>
      </w:pPr>
      <w:r>
        <w:rPr>
          <w:rFonts w:hint="eastAsia"/>
        </w:rPr>
        <w:t>包括但不限于以下内容：</w:t>
      </w:r>
    </w:p>
    <w:p w14:paraId="2C12BFC7">
      <w:pPr>
        <w:pStyle w:val="136"/>
      </w:pPr>
      <w:r>
        <w:rPr>
          <w:rFonts w:hint="eastAsia"/>
        </w:rPr>
        <w:t>基础知识：</w:t>
      </w:r>
      <w:bookmarkStart w:id="277" w:name="OLE_LINK3"/>
      <w:r>
        <w:rPr>
          <w:rFonts w:hint="eastAsia"/>
        </w:rPr>
        <w:t>技术经纪知识、科技服务业、技术转移服务规范、产业技术领域</w:t>
      </w:r>
      <w:bookmarkEnd w:id="277"/>
      <w:r>
        <w:rPr>
          <w:rFonts w:hint="eastAsia"/>
        </w:rPr>
        <w:t>等；</w:t>
      </w:r>
    </w:p>
    <w:p w14:paraId="38F2E176">
      <w:pPr>
        <w:pStyle w:val="136"/>
      </w:pPr>
      <w:r>
        <w:rPr>
          <w:rFonts w:hint="eastAsia"/>
        </w:rPr>
        <w:t>法律法规：</w:t>
      </w:r>
      <w:bookmarkStart w:id="278" w:name="OLE_LINK4"/>
      <w:r>
        <w:rPr>
          <w:rFonts w:hint="eastAsia"/>
        </w:rPr>
        <w:t>民商法、知识产权法律法规、保密法、中华人民共和国技术进出口管理条例</w:t>
      </w:r>
      <w:bookmarkEnd w:id="278"/>
      <w:r>
        <w:rPr>
          <w:rFonts w:hint="eastAsia"/>
        </w:rPr>
        <w:t>等；</w:t>
      </w:r>
    </w:p>
    <w:p w14:paraId="25D8D7BE">
      <w:pPr>
        <w:pStyle w:val="136"/>
      </w:pPr>
      <w:r>
        <w:rPr>
          <w:rFonts w:hint="eastAsia"/>
        </w:rPr>
        <w:t>技术评估：评估基础理论、技术经济学、无形资产评估、科技成果评价、尽职调查、概念验证等；</w:t>
      </w:r>
    </w:p>
    <w:p w14:paraId="04A16E52">
      <w:pPr>
        <w:pStyle w:val="136"/>
      </w:pPr>
      <w:r>
        <w:rPr>
          <w:rFonts w:hint="eastAsia"/>
        </w:rPr>
        <w:t>知识产权：知识产权申请前评估、专利撰写与申请、知识产权布局等；</w:t>
      </w:r>
    </w:p>
    <w:p w14:paraId="1FDCC46D">
      <w:pPr>
        <w:pStyle w:val="136"/>
      </w:pPr>
      <w:r>
        <w:rPr>
          <w:rFonts w:hint="eastAsia"/>
        </w:rPr>
        <w:t>运营管理：企业孵化、中试熟化与技术集成、财税知识、经济学、管理学、项目管理、商业模式、股权结构设计等；</w:t>
      </w:r>
    </w:p>
    <w:p w14:paraId="70CF62A5">
      <w:pPr>
        <w:pStyle w:val="136"/>
      </w:pPr>
      <w:r>
        <w:rPr>
          <w:rFonts w:hint="eastAsia"/>
        </w:rPr>
        <w:t>资本运作：</w:t>
      </w:r>
      <w:bookmarkStart w:id="279" w:name="OLE_LINK13"/>
      <w:bookmarkStart w:id="280" w:name="OLE_LINK15"/>
      <w:bookmarkStart w:id="281" w:name="OLE_LINK14"/>
      <w:r>
        <w:rPr>
          <w:rFonts w:hint="eastAsia"/>
        </w:rPr>
        <w:t>项目投资计划与融资、融资渠道与金融工具、基金运营与管理、企业并购与技术作价入</w:t>
      </w:r>
      <w:bookmarkEnd w:id="279"/>
      <w:r>
        <w:rPr>
          <w:rFonts w:hint="eastAsia"/>
        </w:rPr>
        <w:t>股</w:t>
      </w:r>
      <w:bookmarkEnd w:id="280"/>
      <w:bookmarkEnd w:id="281"/>
      <w:r>
        <w:rPr>
          <w:rFonts w:hint="eastAsia"/>
        </w:rPr>
        <w:t>等；</w:t>
      </w:r>
    </w:p>
    <w:p w14:paraId="52BDB723">
      <w:pPr>
        <w:pStyle w:val="136"/>
      </w:pPr>
      <w:r>
        <w:rPr>
          <w:rFonts w:hint="eastAsia"/>
        </w:rPr>
        <w:t>商务谈判：商务策划、法律文本管理、谈判技巧等；</w:t>
      </w:r>
    </w:p>
    <w:p w14:paraId="015EE394">
      <w:pPr>
        <w:pStyle w:val="136"/>
      </w:pPr>
      <w:r>
        <w:rPr>
          <w:rFonts w:hint="eastAsia"/>
        </w:rPr>
        <w:t>产业专业知识：面向东盟国家合作需求及本地产业发展等主题的产业领域专业课程；</w:t>
      </w:r>
    </w:p>
    <w:p w14:paraId="7871828B">
      <w:pPr>
        <w:pStyle w:val="136"/>
      </w:pPr>
      <w:r>
        <w:rPr>
          <w:rFonts w:hint="eastAsia"/>
        </w:rPr>
        <w:t>工具使用：人工智能（AI）、互联网、资源搜索等基本路径与工具使用等；</w:t>
      </w:r>
    </w:p>
    <w:p w14:paraId="6A5E46DE">
      <w:pPr>
        <w:pStyle w:val="136"/>
      </w:pPr>
      <w:r>
        <w:rPr>
          <w:rFonts w:hint="eastAsia"/>
        </w:rPr>
        <w:t>东盟适配：</w:t>
      </w:r>
      <w:bookmarkStart w:id="282" w:name="OLE_LINK12"/>
      <w:bookmarkStart w:id="283" w:name="OLE_LINK11"/>
      <w:r>
        <w:rPr>
          <w:rFonts w:hint="eastAsia"/>
        </w:rPr>
        <w:t>东盟文化基础、东盟国家市场分析、跨文化沟通与合作</w:t>
      </w:r>
      <w:bookmarkEnd w:id="282"/>
      <w:bookmarkEnd w:id="283"/>
      <w:r>
        <w:rPr>
          <w:rFonts w:hint="eastAsia"/>
        </w:rPr>
        <w:t>、东盟科技创新生态构建、</w:t>
      </w:r>
      <w:bookmarkStart w:id="284" w:name="OLE_LINK5"/>
      <w:bookmarkStart w:id="285" w:name="OLE_LINK6"/>
      <w:r>
        <w:rPr>
          <w:rFonts w:hint="eastAsia"/>
        </w:rPr>
        <w:t>国际技术标准与政策、东盟国家知识产权法律法规、东盟国家科技创新政策</w:t>
      </w:r>
      <w:bookmarkEnd w:id="284"/>
      <w:bookmarkEnd w:id="285"/>
      <w:r>
        <w:rPr>
          <w:rFonts w:hint="eastAsia"/>
        </w:rPr>
        <w:t>、国际技术转移流程、东盟科技投融资等专业课程。</w:t>
      </w:r>
    </w:p>
    <w:p w14:paraId="52D3377C">
      <w:pPr>
        <w:pStyle w:val="109"/>
        <w:spacing w:before="120" w:after="120"/>
      </w:pPr>
      <w:bookmarkStart w:id="286" w:name="_Toc198665376"/>
      <w:bookmarkStart w:id="287" w:name="_Toc198665349"/>
      <w:bookmarkStart w:id="288" w:name="_Toc199318873"/>
      <w:bookmarkStart w:id="289" w:name="_Toc203405707"/>
      <w:bookmarkStart w:id="290" w:name="_Toc200650141"/>
      <w:r>
        <w:rPr>
          <w:rFonts w:hint="eastAsia"/>
        </w:rPr>
        <w:t>实操</w:t>
      </w:r>
      <w:bookmarkEnd w:id="286"/>
      <w:bookmarkEnd w:id="287"/>
      <w:r>
        <w:rPr>
          <w:rFonts w:hint="eastAsia"/>
        </w:rPr>
        <w:t>实训</w:t>
      </w:r>
      <w:bookmarkEnd w:id="288"/>
      <w:bookmarkEnd w:id="289"/>
      <w:bookmarkEnd w:id="290"/>
    </w:p>
    <w:p w14:paraId="3DF931C0">
      <w:pPr>
        <w:pStyle w:val="60"/>
        <w:ind w:firstLine="420"/>
      </w:pPr>
      <w:r>
        <w:rPr>
          <w:rFonts w:hint="eastAsia"/>
        </w:rPr>
        <w:t>应建立实训课程、搭建科技成果转移转化人才信息交流展示平台，吸纳参培结业人员到相关技术交易机构实习，引导学员从成果分析、市场匹配、价值评估、实际交易等环节对交易全流程进行实操模拟，提高学员的实战能力和促成技术交易的实操水平，包括但不限于以下内容：</w:t>
      </w:r>
    </w:p>
    <w:p w14:paraId="7C86A3EA">
      <w:pPr>
        <w:pStyle w:val="136"/>
      </w:pPr>
      <w:r>
        <w:rPr>
          <w:rFonts w:hint="eastAsia"/>
        </w:rPr>
        <w:t>收集、储备、筛选、发布各类科技成果信息，促进交易各方建立联系；</w:t>
      </w:r>
    </w:p>
    <w:p w14:paraId="1CB1F3F2">
      <w:pPr>
        <w:pStyle w:val="136"/>
      </w:pPr>
      <w:r>
        <w:rPr>
          <w:rFonts w:hint="eastAsia"/>
        </w:rPr>
        <w:t>为技术交易各方提供技术成果在科技、经济、市场等方面评估评价、分析咨询、尽职调查、商务策划等服务；为交易各方提供需求挖掘、筛选、匹配和对接等服务。</w:t>
      </w:r>
    </w:p>
    <w:p w14:paraId="2CE96B30">
      <w:pPr>
        <w:pStyle w:val="109"/>
        <w:spacing w:before="120" w:after="120"/>
      </w:pPr>
      <w:bookmarkStart w:id="291" w:name="_Toc200650142"/>
      <w:bookmarkStart w:id="292" w:name="_Toc203405708"/>
      <w:bookmarkStart w:id="293" w:name="_Toc199318874"/>
      <w:r>
        <w:rPr>
          <w:rFonts w:hint="eastAsia"/>
        </w:rPr>
        <w:t>课程设置</w:t>
      </w:r>
      <w:bookmarkEnd w:id="291"/>
      <w:bookmarkEnd w:id="292"/>
      <w:bookmarkEnd w:id="293"/>
    </w:p>
    <w:p w14:paraId="41771BA6">
      <w:pPr>
        <w:pStyle w:val="169"/>
        <w:ind w:left="0"/>
      </w:pPr>
      <w:bookmarkStart w:id="294" w:name="OLE_LINK27"/>
      <w:bookmarkStart w:id="295" w:name="OLE_LINK26"/>
      <w:r>
        <w:rPr>
          <w:rFonts w:hint="eastAsia"/>
        </w:rPr>
        <w:t>课程内容应涉及东盟国家的产业技术需求、文化背景及区域合作相关政策。</w:t>
      </w:r>
    </w:p>
    <w:p w14:paraId="602F8886">
      <w:pPr>
        <w:pStyle w:val="169"/>
        <w:ind w:left="0"/>
      </w:pPr>
      <w:r>
        <w:rPr>
          <w:rFonts w:hint="eastAsia"/>
        </w:rPr>
        <w:t>课程内容应尊重东盟国家文化、宗教与习俗，既符合当地职业教育要求，又体现行业新技术、新工艺、新标准、新规范，满足产业动态发展需求</w:t>
      </w:r>
      <w:bookmarkEnd w:id="294"/>
      <w:bookmarkEnd w:id="295"/>
      <w:r>
        <w:rPr>
          <w:rFonts w:hint="eastAsia"/>
        </w:rPr>
        <w:t>。</w:t>
      </w:r>
    </w:p>
    <w:p w14:paraId="3E5DFDE1">
      <w:pPr>
        <w:pStyle w:val="169"/>
        <w:ind w:left="0"/>
      </w:pPr>
      <w:bookmarkStart w:id="296" w:name="OLE_LINK28"/>
      <w:r>
        <w:rPr>
          <w:rFonts w:hint="eastAsia"/>
        </w:rPr>
        <w:t>不同等级面向东盟国际技术经理人的课程设置见表1</w:t>
      </w:r>
      <w:bookmarkEnd w:id="296"/>
      <w:r>
        <w:rPr>
          <w:rFonts w:hint="eastAsia"/>
        </w:rPr>
        <w:t>。</w:t>
      </w:r>
    </w:p>
    <w:p w14:paraId="79CEF529">
      <w:pPr>
        <w:pStyle w:val="116"/>
        <w:spacing w:before="120" w:after="120"/>
      </w:pPr>
      <w:bookmarkStart w:id="297" w:name="OLE_LINK7"/>
      <w:r>
        <w:rPr>
          <w:rFonts w:hint="eastAsia"/>
        </w:rPr>
        <w:t>不同等级面向东盟国际技术经理人的课程设置</w:t>
      </w:r>
    </w:p>
    <w:bookmarkEnd w:id="297"/>
    <w:tbl>
      <w:tblPr>
        <w:tblStyle w:val="30"/>
        <w:tblW w:w="900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28"/>
        <w:gridCol w:w="3309"/>
        <w:gridCol w:w="1144"/>
        <w:gridCol w:w="937"/>
        <w:gridCol w:w="1144"/>
        <w:gridCol w:w="1144"/>
      </w:tblGrid>
      <w:tr w14:paraId="51BDF6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328" w:type="dxa"/>
            <w:tcBorders>
              <w:top w:val="single" w:color="auto" w:sz="8" w:space="0"/>
              <w:left w:val="single" w:color="auto" w:sz="8" w:space="0"/>
              <w:bottom w:val="single" w:color="auto" w:sz="8" w:space="0"/>
              <w:right w:val="single" w:color="auto" w:sz="4" w:space="0"/>
            </w:tcBorders>
            <w:vAlign w:val="center"/>
          </w:tcPr>
          <w:p w14:paraId="4FE1646C">
            <w:pPr>
              <w:pStyle w:val="182"/>
            </w:pPr>
            <w:r>
              <w:t>知识模块</w:t>
            </w:r>
          </w:p>
        </w:tc>
        <w:tc>
          <w:tcPr>
            <w:tcW w:w="3309" w:type="dxa"/>
            <w:tcBorders>
              <w:top w:val="single" w:color="auto" w:sz="8" w:space="0"/>
              <w:left w:val="single" w:color="auto" w:sz="4" w:space="0"/>
              <w:bottom w:val="single" w:color="auto" w:sz="8" w:space="0"/>
              <w:right w:val="single" w:color="auto" w:sz="4" w:space="0"/>
            </w:tcBorders>
            <w:vAlign w:val="center"/>
          </w:tcPr>
          <w:p w14:paraId="69787F9C">
            <w:pPr>
              <w:pStyle w:val="182"/>
            </w:pPr>
            <w:r>
              <w:t>课程名称</w:t>
            </w:r>
          </w:p>
        </w:tc>
        <w:tc>
          <w:tcPr>
            <w:tcW w:w="1144" w:type="dxa"/>
            <w:tcBorders>
              <w:top w:val="single" w:color="auto" w:sz="8" w:space="0"/>
              <w:left w:val="single" w:color="auto" w:sz="4" w:space="0"/>
              <w:bottom w:val="single" w:color="auto" w:sz="8" w:space="0"/>
              <w:right w:val="single" w:color="auto" w:sz="4" w:space="0"/>
            </w:tcBorders>
            <w:vAlign w:val="center"/>
          </w:tcPr>
          <w:p w14:paraId="7FE03B7E">
            <w:pPr>
              <w:pStyle w:val="182"/>
            </w:pPr>
            <w:r>
              <w:t>课时</w:t>
            </w:r>
          </w:p>
        </w:tc>
        <w:tc>
          <w:tcPr>
            <w:tcW w:w="937" w:type="dxa"/>
            <w:tcBorders>
              <w:top w:val="single" w:color="auto" w:sz="8" w:space="0"/>
              <w:left w:val="single" w:color="auto" w:sz="4" w:space="0"/>
              <w:bottom w:val="single" w:color="auto" w:sz="8" w:space="0"/>
              <w:right w:val="single" w:color="auto" w:sz="4" w:space="0"/>
            </w:tcBorders>
            <w:vAlign w:val="center"/>
          </w:tcPr>
          <w:p w14:paraId="613D5FFC">
            <w:pPr>
              <w:pStyle w:val="182"/>
            </w:pPr>
            <w:r>
              <w:t>总课时</w:t>
            </w:r>
          </w:p>
        </w:tc>
        <w:tc>
          <w:tcPr>
            <w:tcW w:w="1144" w:type="dxa"/>
            <w:tcBorders>
              <w:top w:val="single" w:color="auto" w:sz="8" w:space="0"/>
              <w:left w:val="single" w:color="auto" w:sz="4" w:space="0"/>
              <w:bottom w:val="single" w:color="auto" w:sz="8" w:space="0"/>
              <w:right w:val="single" w:color="auto" w:sz="4" w:space="0"/>
            </w:tcBorders>
            <w:vAlign w:val="center"/>
          </w:tcPr>
          <w:p w14:paraId="46D77BBA">
            <w:pPr>
              <w:pStyle w:val="182"/>
            </w:pPr>
            <w:r>
              <w:t>培训形式</w:t>
            </w:r>
          </w:p>
        </w:tc>
        <w:tc>
          <w:tcPr>
            <w:tcW w:w="1144" w:type="dxa"/>
            <w:tcBorders>
              <w:top w:val="single" w:color="auto" w:sz="8" w:space="0"/>
              <w:left w:val="single" w:color="auto" w:sz="4" w:space="0"/>
              <w:bottom w:val="single" w:color="auto" w:sz="8" w:space="0"/>
              <w:right w:val="single" w:color="auto" w:sz="8" w:space="0"/>
            </w:tcBorders>
            <w:vAlign w:val="center"/>
          </w:tcPr>
          <w:p w14:paraId="4F9D4292">
            <w:pPr>
              <w:pStyle w:val="182"/>
            </w:pPr>
            <w:r>
              <w:t>备注</w:t>
            </w:r>
          </w:p>
        </w:tc>
      </w:tr>
      <w:tr w14:paraId="495DB3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restart"/>
            <w:tcBorders>
              <w:top w:val="single" w:color="auto" w:sz="8" w:space="0"/>
              <w:left w:val="single" w:color="auto" w:sz="8" w:space="0"/>
              <w:bottom w:val="single" w:color="auto" w:sz="4" w:space="0"/>
              <w:right w:val="single" w:color="auto" w:sz="4" w:space="0"/>
            </w:tcBorders>
            <w:vAlign w:val="center"/>
          </w:tcPr>
          <w:p w14:paraId="604F9270">
            <w:pPr>
              <w:pStyle w:val="182"/>
            </w:pPr>
            <w:r>
              <w:t>基础知识</w:t>
            </w:r>
          </w:p>
        </w:tc>
        <w:tc>
          <w:tcPr>
            <w:tcW w:w="3309" w:type="dxa"/>
            <w:tcBorders>
              <w:top w:val="single" w:color="auto" w:sz="8" w:space="0"/>
              <w:left w:val="single" w:color="auto" w:sz="4" w:space="0"/>
              <w:bottom w:val="single" w:color="auto" w:sz="4" w:space="0"/>
              <w:right w:val="single" w:color="auto" w:sz="4" w:space="0"/>
            </w:tcBorders>
            <w:vAlign w:val="center"/>
          </w:tcPr>
          <w:p w14:paraId="20FB1B96">
            <w:pPr>
              <w:pStyle w:val="182"/>
            </w:pPr>
            <w:r>
              <w:t>技术商品与技术市场</w:t>
            </w:r>
          </w:p>
        </w:tc>
        <w:tc>
          <w:tcPr>
            <w:tcW w:w="1144" w:type="dxa"/>
            <w:tcBorders>
              <w:top w:val="single" w:color="auto" w:sz="8" w:space="0"/>
              <w:left w:val="single" w:color="auto" w:sz="4" w:space="0"/>
              <w:bottom w:val="single" w:color="auto" w:sz="4" w:space="0"/>
              <w:right w:val="single" w:color="auto" w:sz="4" w:space="0"/>
            </w:tcBorders>
            <w:vAlign w:val="center"/>
          </w:tcPr>
          <w:p w14:paraId="3F96B589">
            <w:pPr>
              <w:pStyle w:val="182"/>
            </w:pPr>
            <w:r>
              <w:t>1</w:t>
            </w:r>
          </w:p>
        </w:tc>
        <w:tc>
          <w:tcPr>
            <w:tcW w:w="937" w:type="dxa"/>
            <w:vMerge w:val="restart"/>
            <w:tcBorders>
              <w:top w:val="single" w:color="auto" w:sz="8" w:space="0"/>
              <w:left w:val="single" w:color="auto" w:sz="4" w:space="0"/>
              <w:bottom w:val="single" w:color="auto" w:sz="4" w:space="0"/>
              <w:right w:val="single" w:color="auto" w:sz="4" w:space="0"/>
            </w:tcBorders>
            <w:vAlign w:val="center"/>
          </w:tcPr>
          <w:p w14:paraId="75A3644A">
            <w:pPr>
              <w:pStyle w:val="182"/>
            </w:pPr>
            <w:r>
              <w:t>6</w:t>
            </w:r>
          </w:p>
        </w:tc>
        <w:tc>
          <w:tcPr>
            <w:tcW w:w="1144" w:type="dxa"/>
            <w:vMerge w:val="restart"/>
            <w:tcBorders>
              <w:top w:val="single" w:color="auto" w:sz="8" w:space="0"/>
              <w:left w:val="single" w:color="auto" w:sz="4" w:space="0"/>
              <w:bottom w:val="single" w:color="auto" w:sz="4" w:space="0"/>
              <w:right w:val="single" w:color="auto" w:sz="4" w:space="0"/>
            </w:tcBorders>
            <w:vAlign w:val="center"/>
          </w:tcPr>
          <w:p w14:paraId="39E4DAA9">
            <w:pPr>
              <w:pStyle w:val="182"/>
            </w:pPr>
            <w:r>
              <w:t>线上培训</w:t>
            </w:r>
          </w:p>
        </w:tc>
        <w:tc>
          <w:tcPr>
            <w:tcW w:w="1144" w:type="dxa"/>
            <w:vMerge w:val="restart"/>
            <w:tcBorders>
              <w:top w:val="single" w:color="auto" w:sz="8" w:space="0"/>
              <w:left w:val="single" w:color="auto" w:sz="4" w:space="0"/>
              <w:bottom w:val="single" w:color="auto" w:sz="4" w:space="0"/>
              <w:right w:val="single" w:color="auto" w:sz="8" w:space="0"/>
            </w:tcBorders>
            <w:vAlign w:val="center"/>
          </w:tcPr>
          <w:p w14:paraId="1FB247C5">
            <w:pPr>
              <w:pStyle w:val="182"/>
            </w:pPr>
            <w:r>
              <w:t>初级必修</w:t>
            </w:r>
          </w:p>
        </w:tc>
      </w:tr>
      <w:tr w14:paraId="2439EB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8" w:space="0"/>
              <w:left w:val="single" w:color="auto" w:sz="8" w:space="0"/>
              <w:bottom w:val="single" w:color="auto" w:sz="4" w:space="0"/>
              <w:right w:val="single" w:color="auto" w:sz="4" w:space="0"/>
            </w:tcBorders>
            <w:vAlign w:val="center"/>
          </w:tcPr>
          <w:p w14:paraId="1B044FE9">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24A8CDF0">
            <w:pPr>
              <w:pStyle w:val="182"/>
            </w:pPr>
            <w:r>
              <w:t>技术转移与成果转化</w:t>
            </w:r>
          </w:p>
        </w:tc>
        <w:tc>
          <w:tcPr>
            <w:tcW w:w="1144" w:type="dxa"/>
            <w:tcBorders>
              <w:top w:val="single" w:color="auto" w:sz="4" w:space="0"/>
              <w:left w:val="single" w:color="auto" w:sz="4" w:space="0"/>
              <w:bottom w:val="single" w:color="auto" w:sz="4" w:space="0"/>
              <w:right w:val="single" w:color="auto" w:sz="4" w:space="0"/>
            </w:tcBorders>
            <w:vAlign w:val="center"/>
          </w:tcPr>
          <w:p w14:paraId="1A55E333">
            <w:pPr>
              <w:pStyle w:val="182"/>
            </w:pPr>
            <w:r>
              <w:t>1</w:t>
            </w:r>
          </w:p>
        </w:tc>
        <w:tc>
          <w:tcPr>
            <w:tcW w:w="937" w:type="dxa"/>
            <w:vMerge w:val="continue"/>
            <w:tcBorders>
              <w:top w:val="single" w:color="auto" w:sz="8" w:space="0"/>
              <w:left w:val="single" w:color="auto" w:sz="4" w:space="0"/>
              <w:bottom w:val="single" w:color="auto" w:sz="4" w:space="0"/>
              <w:right w:val="single" w:color="auto" w:sz="4" w:space="0"/>
            </w:tcBorders>
            <w:vAlign w:val="center"/>
          </w:tcPr>
          <w:p w14:paraId="37E449E8">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4" w:space="0"/>
            </w:tcBorders>
            <w:vAlign w:val="center"/>
          </w:tcPr>
          <w:p w14:paraId="3A5C12F4">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001253C9">
            <w:pPr>
              <w:rPr>
                <w:rFonts w:ascii="Times New Roman" w:hAnsi="Times New Roman"/>
                <w:sz w:val="20"/>
                <w:szCs w:val="20"/>
              </w:rPr>
            </w:pPr>
          </w:p>
        </w:tc>
      </w:tr>
      <w:tr w14:paraId="426258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8" w:space="0"/>
              <w:left w:val="single" w:color="auto" w:sz="8" w:space="0"/>
              <w:bottom w:val="single" w:color="auto" w:sz="4" w:space="0"/>
              <w:right w:val="single" w:color="auto" w:sz="4" w:space="0"/>
            </w:tcBorders>
            <w:vAlign w:val="center"/>
          </w:tcPr>
          <w:p w14:paraId="249C9830">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45540DD9">
            <w:pPr>
              <w:pStyle w:val="182"/>
            </w:pPr>
            <w:r>
              <w:t>技术经纪</w:t>
            </w:r>
            <w:r>
              <w:rPr>
                <w:rFonts w:hint="eastAsia"/>
              </w:rPr>
              <w:t>与技术经纪人</w:t>
            </w:r>
          </w:p>
        </w:tc>
        <w:tc>
          <w:tcPr>
            <w:tcW w:w="1144" w:type="dxa"/>
            <w:tcBorders>
              <w:top w:val="single" w:color="auto" w:sz="4" w:space="0"/>
              <w:left w:val="single" w:color="auto" w:sz="4" w:space="0"/>
              <w:bottom w:val="single" w:color="auto" w:sz="4" w:space="0"/>
              <w:right w:val="single" w:color="auto" w:sz="4" w:space="0"/>
            </w:tcBorders>
            <w:vAlign w:val="center"/>
          </w:tcPr>
          <w:p w14:paraId="5CD09955">
            <w:pPr>
              <w:pStyle w:val="182"/>
            </w:pPr>
            <w:r>
              <w:t>1</w:t>
            </w:r>
          </w:p>
        </w:tc>
        <w:tc>
          <w:tcPr>
            <w:tcW w:w="937" w:type="dxa"/>
            <w:vMerge w:val="continue"/>
            <w:tcBorders>
              <w:top w:val="single" w:color="auto" w:sz="8" w:space="0"/>
              <w:left w:val="single" w:color="auto" w:sz="4" w:space="0"/>
              <w:bottom w:val="single" w:color="auto" w:sz="4" w:space="0"/>
              <w:right w:val="single" w:color="auto" w:sz="4" w:space="0"/>
            </w:tcBorders>
            <w:vAlign w:val="center"/>
          </w:tcPr>
          <w:p w14:paraId="38284F8F">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4" w:space="0"/>
            </w:tcBorders>
            <w:vAlign w:val="center"/>
          </w:tcPr>
          <w:p w14:paraId="07A0ACCB">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42F80CA9">
            <w:pPr>
              <w:rPr>
                <w:rFonts w:ascii="Times New Roman" w:hAnsi="Times New Roman"/>
                <w:sz w:val="20"/>
                <w:szCs w:val="20"/>
              </w:rPr>
            </w:pPr>
          </w:p>
        </w:tc>
      </w:tr>
      <w:tr w14:paraId="6E21E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28" w:type="dxa"/>
            <w:vMerge w:val="continue"/>
            <w:tcBorders>
              <w:top w:val="single" w:color="auto" w:sz="8" w:space="0"/>
              <w:left w:val="single" w:color="auto" w:sz="8" w:space="0"/>
              <w:bottom w:val="single" w:color="auto" w:sz="4" w:space="0"/>
              <w:right w:val="single" w:color="auto" w:sz="4" w:space="0"/>
            </w:tcBorders>
            <w:vAlign w:val="center"/>
          </w:tcPr>
          <w:p w14:paraId="0FD5FCD7">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036F8322">
            <w:pPr>
              <w:pStyle w:val="182"/>
            </w:pPr>
            <w:r>
              <w:t>东盟文化基础知识</w:t>
            </w:r>
          </w:p>
        </w:tc>
        <w:tc>
          <w:tcPr>
            <w:tcW w:w="1144" w:type="dxa"/>
            <w:tcBorders>
              <w:top w:val="single" w:color="auto" w:sz="4" w:space="0"/>
              <w:left w:val="single" w:color="auto" w:sz="4" w:space="0"/>
              <w:bottom w:val="single" w:color="auto" w:sz="4" w:space="0"/>
              <w:right w:val="single" w:color="auto" w:sz="4" w:space="0"/>
            </w:tcBorders>
            <w:vAlign w:val="center"/>
          </w:tcPr>
          <w:p w14:paraId="19306546">
            <w:pPr>
              <w:pStyle w:val="182"/>
            </w:pPr>
            <w:r>
              <w:t>1</w:t>
            </w:r>
          </w:p>
        </w:tc>
        <w:tc>
          <w:tcPr>
            <w:tcW w:w="937" w:type="dxa"/>
            <w:vMerge w:val="continue"/>
            <w:tcBorders>
              <w:top w:val="single" w:color="auto" w:sz="8" w:space="0"/>
              <w:left w:val="single" w:color="auto" w:sz="4" w:space="0"/>
              <w:bottom w:val="single" w:color="auto" w:sz="4" w:space="0"/>
              <w:right w:val="single" w:color="auto" w:sz="4" w:space="0"/>
            </w:tcBorders>
            <w:vAlign w:val="center"/>
          </w:tcPr>
          <w:p w14:paraId="1928D06A">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4" w:space="0"/>
            </w:tcBorders>
            <w:vAlign w:val="center"/>
          </w:tcPr>
          <w:p w14:paraId="32995712">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73AD373B">
            <w:pPr>
              <w:rPr>
                <w:rFonts w:ascii="Times New Roman" w:hAnsi="Times New Roman"/>
                <w:sz w:val="20"/>
                <w:szCs w:val="20"/>
              </w:rPr>
            </w:pPr>
          </w:p>
        </w:tc>
      </w:tr>
      <w:tr w14:paraId="23F680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8" w:space="0"/>
              <w:left w:val="single" w:color="auto" w:sz="8" w:space="0"/>
              <w:bottom w:val="single" w:color="auto" w:sz="4" w:space="0"/>
              <w:right w:val="single" w:color="auto" w:sz="4" w:space="0"/>
            </w:tcBorders>
            <w:vAlign w:val="center"/>
          </w:tcPr>
          <w:p w14:paraId="1EC137F8">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12F255D8">
            <w:pPr>
              <w:pStyle w:val="182"/>
            </w:pPr>
            <w:r>
              <w:t>科技服务业</w:t>
            </w:r>
          </w:p>
        </w:tc>
        <w:tc>
          <w:tcPr>
            <w:tcW w:w="1144" w:type="dxa"/>
            <w:tcBorders>
              <w:top w:val="single" w:color="auto" w:sz="4" w:space="0"/>
              <w:left w:val="single" w:color="auto" w:sz="4" w:space="0"/>
              <w:bottom w:val="single" w:color="auto" w:sz="4" w:space="0"/>
              <w:right w:val="single" w:color="auto" w:sz="4" w:space="0"/>
            </w:tcBorders>
            <w:vAlign w:val="center"/>
          </w:tcPr>
          <w:p w14:paraId="536E5266">
            <w:pPr>
              <w:pStyle w:val="182"/>
            </w:pPr>
            <w:r>
              <w:t>1</w:t>
            </w:r>
          </w:p>
        </w:tc>
        <w:tc>
          <w:tcPr>
            <w:tcW w:w="937" w:type="dxa"/>
            <w:vMerge w:val="continue"/>
            <w:tcBorders>
              <w:top w:val="single" w:color="auto" w:sz="8" w:space="0"/>
              <w:left w:val="single" w:color="auto" w:sz="4" w:space="0"/>
              <w:bottom w:val="single" w:color="auto" w:sz="4" w:space="0"/>
              <w:right w:val="single" w:color="auto" w:sz="4" w:space="0"/>
            </w:tcBorders>
            <w:vAlign w:val="center"/>
          </w:tcPr>
          <w:p w14:paraId="7F4E1296">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4" w:space="0"/>
            </w:tcBorders>
            <w:vAlign w:val="center"/>
          </w:tcPr>
          <w:p w14:paraId="4211BC20">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609C9318">
            <w:pPr>
              <w:rPr>
                <w:rFonts w:ascii="Times New Roman" w:hAnsi="Times New Roman"/>
                <w:sz w:val="20"/>
                <w:szCs w:val="20"/>
              </w:rPr>
            </w:pPr>
          </w:p>
        </w:tc>
      </w:tr>
      <w:tr w14:paraId="104F04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8" w:space="0"/>
              <w:left w:val="single" w:color="auto" w:sz="8" w:space="0"/>
              <w:bottom w:val="single" w:color="auto" w:sz="4" w:space="0"/>
              <w:right w:val="single" w:color="auto" w:sz="4" w:space="0"/>
            </w:tcBorders>
            <w:vAlign w:val="center"/>
          </w:tcPr>
          <w:p w14:paraId="47251F4C">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6DD2C97F">
            <w:pPr>
              <w:pStyle w:val="182"/>
            </w:pPr>
            <w:r>
              <w:t>技术转移服务</w:t>
            </w:r>
            <w:r>
              <w:rPr>
                <w:rFonts w:hint="eastAsia"/>
              </w:rPr>
              <w:t>规范</w:t>
            </w:r>
          </w:p>
        </w:tc>
        <w:tc>
          <w:tcPr>
            <w:tcW w:w="1144" w:type="dxa"/>
            <w:tcBorders>
              <w:top w:val="single" w:color="auto" w:sz="4" w:space="0"/>
              <w:left w:val="single" w:color="auto" w:sz="4" w:space="0"/>
              <w:bottom w:val="single" w:color="auto" w:sz="4" w:space="0"/>
              <w:right w:val="single" w:color="auto" w:sz="4" w:space="0"/>
            </w:tcBorders>
            <w:vAlign w:val="center"/>
          </w:tcPr>
          <w:p w14:paraId="21FDF841">
            <w:pPr>
              <w:pStyle w:val="182"/>
            </w:pPr>
            <w:r>
              <w:t>1</w:t>
            </w:r>
          </w:p>
        </w:tc>
        <w:tc>
          <w:tcPr>
            <w:tcW w:w="937" w:type="dxa"/>
            <w:vMerge w:val="continue"/>
            <w:tcBorders>
              <w:top w:val="single" w:color="auto" w:sz="8" w:space="0"/>
              <w:left w:val="single" w:color="auto" w:sz="4" w:space="0"/>
              <w:bottom w:val="single" w:color="auto" w:sz="4" w:space="0"/>
              <w:right w:val="single" w:color="auto" w:sz="4" w:space="0"/>
            </w:tcBorders>
            <w:vAlign w:val="center"/>
          </w:tcPr>
          <w:p w14:paraId="0095DEFC">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4" w:space="0"/>
            </w:tcBorders>
            <w:vAlign w:val="center"/>
          </w:tcPr>
          <w:p w14:paraId="0AC31DD3">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156E0799">
            <w:pPr>
              <w:rPr>
                <w:rFonts w:ascii="Times New Roman" w:hAnsi="Times New Roman"/>
                <w:sz w:val="20"/>
                <w:szCs w:val="20"/>
              </w:rPr>
            </w:pPr>
          </w:p>
        </w:tc>
      </w:tr>
      <w:tr w14:paraId="51754A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restart"/>
            <w:tcBorders>
              <w:top w:val="single" w:color="auto" w:sz="4" w:space="0"/>
              <w:left w:val="single" w:color="auto" w:sz="8" w:space="0"/>
              <w:bottom w:val="single" w:color="auto" w:sz="4" w:space="0"/>
              <w:right w:val="single" w:color="auto" w:sz="4" w:space="0"/>
            </w:tcBorders>
            <w:vAlign w:val="center"/>
          </w:tcPr>
          <w:p w14:paraId="25CDCE27">
            <w:pPr>
              <w:pStyle w:val="182"/>
            </w:pPr>
            <w:r>
              <w:t>政策法规</w:t>
            </w:r>
          </w:p>
        </w:tc>
        <w:tc>
          <w:tcPr>
            <w:tcW w:w="3309" w:type="dxa"/>
            <w:tcBorders>
              <w:top w:val="single" w:color="auto" w:sz="4" w:space="0"/>
              <w:left w:val="single" w:color="auto" w:sz="4" w:space="0"/>
              <w:bottom w:val="single" w:color="auto" w:sz="4" w:space="0"/>
              <w:right w:val="single" w:color="auto" w:sz="4" w:space="0"/>
            </w:tcBorders>
            <w:vAlign w:val="center"/>
          </w:tcPr>
          <w:p w14:paraId="221D1821">
            <w:pPr>
              <w:pStyle w:val="182"/>
            </w:pPr>
            <w:r>
              <w:t>科技法律法规</w:t>
            </w:r>
          </w:p>
        </w:tc>
        <w:tc>
          <w:tcPr>
            <w:tcW w:w="1144" w:type="dxa"/>
            <w:tcBorders>
              <w:top w:val="single" w:color="auto" w:sz="4" w:space="0"/>
              <w:left w:val="single" w:color="auto" w:sz="4" w:space="0"/>
              <w:bottom w:val="single" w:color="auto" w:sz="4" w:space="0"/>
              <w:right w:val="single" w:color="auto" w:sz="4" w:space="0"/>
            </w:tcBorders>
            <w:vAlign w:val="center"/>
          </w:tcPr>
          <w:p w14:paraId="54A248BF">
            <w:pPr>
              <w:pStyle w:val="182"/>
            </w:pPr>
            <w:r>
              <w:t>1</w:t>
            </w:r>
          </w:p>
        </w:tc>
        <w:tc>
          <w:tcPr>
            <w:tcW w:w="937" w:type="dxa"/>
            <w:vMerge w:val="restart"/>
            <w:tcBorders>
              <w:top w:val="single" w:color="auto" w:sz="4" w:space="0"/>
              <w:left w:val="single" w:color="auto" w:sz="4" w:space="0"/>
              <w:bottom w:val="single" w:color="auto" w:sz="4" w:space="0"/>
              <w:right w:val="single" w:color="auto" w:sz="4" w:space="0"/>
            </w:tcBorders>
            <w:vAlign w:val="center"/>
          </w:tcPr>
          <w:p w14:paraId="32676144">
            <w:pPr>
              <w:pStyle w:val="182"/>
            </w:pPr>
            <w:r>
              <w:t>8</w:t>
            </w:r>
          </w:p>
        </w:tc>
        <w:tc>
          <w:tcPr>
            <w:tcW w:w="1144" w:type="dxa"/>
            <w:vMerge w:val="restart"/>
            <w:tcBorders>
              <w:top w:val="single" w:color="auto" w:sz="4" w:space="0"/>
              <w:left w:val="single" w:color="auto" w:sz="4" w:space="0"/>
              <w:bottom w:val="single" w:color="auto" w:sz="4" w:space="0"/>
              <w:right w:val="single" w:color="auto" w:sz="4" w:space="0"/>
            </w:tcBorders>
            <w:vAlign w:val="center"/>
          </w:tcPr>
          <w:p w14:paraId="77E233EF">
            <w:pPr>
              <w:pStyle w:val="182"/>
            </w:pPr>
            <w:r>
              <w:t>线上培训</w:t>
            </w: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19BE2B81">
            <w:pPr>
              <w:rPr>
                <w:rFonts w:ascii="Times New Roman" w:hAnsi="Times New Roman"/>
                <w:sz w:val="20"/>
                <w:szCs w:val="20"/>
              </w:rPr>
            </w:pPr>
          </w:p>
        </w:tc>
      </w:tr>
      <w:tr w14:paraId="00174C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1ACC29E5">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3B77EB45">
            <w:pPr>
              <w:pStyle w:val="182"/>
            </w:pPr>
            <w:r>
              <w:t>中华人民共和国技术进出口管理条例</w:t>
            </w:r>
          </w:p>
        </w:tc>
        <w:tc>
          <w:tcPr>
            <w:tcW w:w="1144" w:type="dxa"/>
            <w:tcBorders>
              <w:top w:val="single" w:color="auto" w:sz="4" w:space="0"/>
              <w:left w:val="single" w:color="auto" w:sz="4" w:space="0"/>
              <w:bottom w:val="single" w:color="auto" w:sz="4" w:space="0"/>
              <w:right w:val="single" w:color="auto" w:sz="4" w:space="0"/>
            </w:tcBorders>
            <w:vAlign w:val="center"/>
          </w:tcPr>
          <w:p w14:paraId="66E1BA58">
            <w:pPr>
              <w:pStyle w:val="182"/>
            </w:pPr>
            <w:r>
              <w:t>1</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504830C1">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6EF61400">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06936861">
            <w:pPr>
              <w:rPr>
                <w:rFonts w:ascii="Times New Roman" w:hAnsi="Times New Roman"/>
                <w:sz w:val="20"/>
                <w:szCs w:val="20"/>
              </w:rPr>
            </w:pPr>
          </w:p>
        </w:tc>
      </w:tr>
      <w:tr w14:paraId="17F329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75E424DD">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3ABAEA2B">
            <w:pPr>
              <w:pStyle w:val="182"/>
            </w:pPr>
            <w:r>
              <w:rPr>
                <w:rStyle w:val="32"/>
                <w:b w:val="0"/>
                <w:bCs w:val="0"/>
              </w:rPr>
              <w:t>民法典合同编理论与实务</w:t>
            </w:r>
          </w:p>
        </w:tc>
        <w:tc>
          <w:tcPr>
            <w:tcW w:w="1144" w:type="dxa"/>
            <w:tcBorders>
              <w:top w:val="single" w:color="auto" w:sz="4" w:space="0"/>
              <w:left w:val="single" w:color="auto" w:sz="4" w:space="0"/>
              <w:bottom w:val="single" w:color="auto" w:sz="4" w:space="0"/>
              <w:right w:val="single" w:color="auto" w:sz="4" w:space="0"/>
            </w:tcBorders>
            <w:vAlign w:val="center"/>
          </w:tcPr>
          <w:p w14:paraId="75E93964">
            <w:pPr>
              <w:pStyle w:val="182"/>
            </w:pPr>
            <w:r>
              <w:t>1</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087BB488">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3F5829DD">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6636F8C6">
            <w:pPr>
              <w:rPr>
                <w:rFonts w:ascii="Times New Roman" w:hAnsi="Times New Roman"/>
                <w:sz w:val="20"/>
                <w:szCs w:val="20"/>
              </w:rPr>
            </w:pPr>
          </w:p>
        </w:tc>
      </w:tr>
      <w:tr w14:paraId="739697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4366A966">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2C719E33">
            <w:pPr>
              <w:pStyle w:val="182"/>
            </w:pPr>
            <w:r>
              <w:rPr>
                <w:rStyle w:val="32"/>
                <w:b w:val="0"/>
                <w:bCs w:val="0"/>
              </w:rPr>
              <w:t>商法总论与公司法​</w:t>
            </w:r>
          </w:p>
        </w:tc>
        <w:tc>
          <w:tcPr>
            <w:tcW w:w="1144" w:type="dxa"/>
            <w:tcBorders>
              <w:top w:val="single" w:color="auto" w:sz="4" w:space="0"/>
              <w:left w:val="single" w:color="auto" w:sz="4" w:space="0"/>
              <w:bottom w:val="single" w:color="auto" w:sz="4" w:space="0"/>
              <w:right w:val="single" w:color="auto" w:sz="4" w:space="0"/>
            </w:tcBorders>
            <w:vAlign w:val="center"/>
          </w:tcPr>
          <w:p w14:paraId="05AAF7CD">
            <w:pPr>
              <w:pStyle w:val="182"/>
            </w:pPr>
            <w:r>
              <w:t>1</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24DF5901">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7AE8785A">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145F2992">
            <w:pPr>
              <w:rPr>
                <w:rFonts w:ascii="Times New Roman" w:hAnsi="Times New Roman"/>
                <w:sz w:val="20"/>
                <w:szCs w:val="20"/>
              </w:rPr>
            </w:pPr>
          </w:p>
        </w:tc>
      </w:tr>
      <w:tr w14:paraId="73F850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79BE735C">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595A518D">
            <w:pPr>
              <w:pStyle w:val="182"/>
            </w:pPr>
            <w:r>
              <w:t>知识产权法律法规</w:t>
            </w:r>
          </w:p>
        </w:tc>
        <w:tc>
          <w:tcPr>
            <w:tcW w:w="1144" w:type="dxa"/>
            <w:tcBorders>
              <w:top w:val="single" w:color="auto" w:sz="4" w:space="0"/>
              <w:left w:val="single" w:color="auto" w:sz="4" w:space="0"/>
              <w:bottom w:val="single" w:color="auto" w:sz="4" w:space="0"/>
              <w:right w:val="single" w:color="auto" w:sz="4" w:space="0"/>
            </w:tcBorders>
            <w:vAlign w:val="center"/>
          </w:tcPr>
          <w:p w14:paraId="23BCCD2F">
            <w:pPr>
              <w:pStyle w:val="182"/>
            </w:pPr>
            <w:r>
              <w:t>1</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5050EB8D">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102C6EFB">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748663E3">
            <w:pPr>
              <w:rPr>
                <w:rFonts w:ascii="Times New Roman" w:hAnsi="Times New Roman"/>
                <w:sz w:val="20"/>
                <w:szCs w:val="20"/>
              </w:rPr>
            </w:pPr>
          </w:p>
        </w:tc>
      </w:tr>
      <w:tr w14:paraId="6523D1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31BAD7E1">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4B3DDBC7">
            <w:pPr>
              <w:pStyle w:val="182"/>
            </w:pPr>
            <w:r>
              <w:t>东盟国家知识产权法律法规</w:t>
            </w:r>
          </w:p>
        </w:tc>
        <w:tc>
          <w:tcPr>
            <w:tcW w:w="1144" w:type="dxa"/>
            <w:tcBorders>
              <w:top w:val="single" w:color="auto" w:sz="4" w:space="0"/>
              <w:left w:val="single" w:color="auto" w:sz="4" w:space="0"/>
              <w:bottom w:val="single" w:color="auto" w:sz="4" w:space="0"/>
              <w:right w:val="single" w:color="auto" w:sz="4" w:space="0"/>
            </w:tcBorders>
            <w:vAlign w:val="center"/>
          </w:tcPr>
          <w:p w14:paraId="2F5C619D">
            <w:pPr>
              <w:pStyle w:val="182"/>
            </w:pPr>
            <w:r>
              <w:t>1</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0821FDC1">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5EBE5FF4">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3CDF0057">
            <w:pPr>
              <w:rPr>
                <w:rFonts w:ascii="Times New Roman" w:hAnsi="Times New Roman"/>
                <w:sz w:val="20"/>
                <w:szCs w:val="20"/>
              </w:rPr>
            </w:pPr>
          </w:p>
        </w:tc>
      </w:tr>
      <w:tr w14:paraId="2F8524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4AB18D75">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75BE6F50">
            <w:pPr>
              <w:pStyle w:val="182"/>
            </w:pPr>
            <w:r>
              <w:t>国际技术标准与政策</w:t>
            </w:r>
          </w:p>
        </w:tc>
        <w:tc>
          <w:tcPr>
            <w:tcW w:w="1144" w:type="dxa"/>
            <w:tcBorders>
              <w:top w:val="single" w:color="auto" w:sz="4" w:space="0"/>
              <w:left w:val="single" w:color="auto" w:sz="4" w:space="0"/>
              <w:bottom w:val="single" w:color="auto" w:sz="4" w:space="0"/>
              <w:right w:val="single" w:color="auto" w:sz="4" w:space="0"/>
            </w:tcBorders>
            <w:vAlign w:val="center"/>
          </w:tcPr>
          <w:p w14:paraId="0451BB6A">
            <w:pPr>
              <w:pStyle w:val="182"/>
            </w:pPr>
            <w:r>
              <w:t>1</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4DF885EA">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54197B64">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17787F24">
            <w:pPr>
              <w:rPr>
                <w:rFonts w:ascii="Times New Roman" w:hAnsi="Times New Roman"/>
                <w:sz w:val="20"/>
                <w:szCs w:val="20"/>
              </w:rPr>
            </w:pPr>
          </w:p>
        </w:tc>
      </w:tr>
      <w:tr w14:paraId="03907F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3E4F4359">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6755A624">
            <w:pPr>
              <w:pStyle w:val="182"/>
            </w:pPr>
            <w:r>
              <w:t>东盟国家科技政策</w:t>
            </w:r>
          </w:p>
        </w:tc>
        <w:tc>
          <w:tcPr>
            <w:tcW w:w="1144" w:type="dxa"/>
            <w:tcBorders>
              <w:top w:val="single" w:color="auto" w:sz="4" w:space="0"/>
              <w:left w:val="single" w:color="auto" w:sz="4" w:space="0"/>
              <w:bottom w:val="single" w:color="auto" w:sz="4" w:space="0"/>
              <w:right w:val="single" w:color="auto" w:sz="4" w:space="0"/>
            </w:tcBorders>
            <w:vAlign w:val="center"/>
          </w:tcPr>
          <w:p w14:paraId="7C55F4B9">
            <w:pPr>
              <w:pStyle w:val="182"/>
            </w:pPr>
            <w:r>
              <w:t>1</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33AC2DE5">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432C6A40">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1223402B">
            <w:pPr>
              <w:rPr>
                <w:rFonts w:ascii="Times New Roman" w:hAnsi="Times New Roman"/>
                <w:sz w:val="20"/>
                <w:szCs w:val="20"/>
              </w:rPr>
            </w:pPr>
          </w:p>
        </w:tc>
      </w:tr>
      <w:tr w14:paraId="47296A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restart"/>
            <w:tcBorders>
              <w:top w:val="single" w:color="auto" w:sz="4" w:space="0"/>
              <w:left w:val="single" w:color="auto" w:sz="8" w:space="0"/>
              <w:bottom w:val="single" w:color="auto" w:sz="4" w:space="0"/>
              <w:right w:val="single" w:color="auto" w:sz="4" w:space="0"/>
            </w:tcBorders>
            <w:vAlign w:val="center"/>
          </w:tcPr>
          <w:p w14:paraId="1109E335">
            <w:pPr>
              <w:pStyle w:val="182"/>
            </w:pPr>
            <w:r>
              <w:t>实务技能模块一</w:t>
            </w:r>
          </w:p>
        </w:tc>
        <w:tc>
          <w:tcPr>
            <w:tcW w:w="3309" w:type="dxa"/>
            <w:tcBorders>
              <w:top w:val="single" w:color="auto" w:sz="4" w:space="0"/>
              <w:left w:val="single" w:color="auto" w:sz="4" w:space="0"/>
              <w:bottom w:val="single" w:color="auto" w:sz="4" w:space="0"/>
              <w:right w:val="single" w:color="auto" w:sz="4" w:space="0"/>
            </w:tcBorders>
            <w:vAlign w:val="center"/>
          </w:tcPr>
          <w:p w14:paraId="7F6DAA06">
            <w:pPr>
              <w:pStyle w:val="182"/>
            </w:pPr>
            <w:r>
              <w:t>需求甄别与分析</w:t>
            </w:r>
          </w:p>
        </w:tc>
        <w:tc>
          <w:tcPr>
            <w:tcW w:w="1144" w:type="dxa"/>
            <w:tcBorders>
              <w:top w:val="single" w:color="auto" w:sz="4" w:space="0"/>
              <w:left w:val="single" w:color="auto" w:sz="4" w:space="0"/>
              <w:bottom w:val="single" w:color="auto" w:sz="4" w:space="0"/>
              <w:right w:val="single" w:color="auto" w:sz="4" w:space="0"/>
            </w:tcBorders>
            <w:vAlign w:val="center"/>
          </w:tcPr>
          <w:p w14:paraId="716A7615">
            <w:pPr>
              <w:pStyle w:val="182"/>
            </w:pPr>
            <w:r>
              <w:t>2</w:t>
            </w:r>
          </w:p>
        </w:tc>
        <w:tc>
          <w:tcPr>
            <w:tcW w:w="937" w:type="dxa"/>
            <w:vMerge w:val="restart"/>
            <w:tcBorders>
              <w:top w:val="single" w:color="auto" w:sz="4" w:space="0"/>
              <w:left w:val="single" w:color="auto" w:sz="4" w:space="0"/>
              <w:bottom w:val="single" w:color="auto" w:sz="4" w:space="0"/>
              <w:right w:val="single" w:color="auto" w:sz="4" w:space="0"/>
            </w:tcBorders>
            <w:vAlign w:val="center"/>
          </w:tcPr>
          <w:p w14:paraId="183492D8">
            <w:pPr>
              <w:pStyle w:val="182"/>
            </w:pPr>
            <w:r>
              <w:t>12</w:t>
            </w:r>
          </w:p>
        </w:tc>
        <w:tc>
          <w:tcPr>
            <w:tcW w:w="1144" w:type="dxa"/>
            <w:vMerge w:val="restart"/>
            <w:tcBorders>
              <w:top w:val="single" w:color="auto" w:sz="4" w:space="0"/>
              <w:left w:val="single" w:color="auto" w:sz="4" w:space="0"/>
              <w:bottom w:val="single" w:color="auto" w:sz="4" w:space="0"/>
              <w:right w:val="single" w:color="auto" w:sz="4" w:space="0"/>
            </w:tcBorders>
            <w:vAlign w:val="center"/>
          </w:tcPr>
          <w:p w14:paraId="6B8CB897">
            <w:pPr>
              <w:pStyle w:val="182"/>
            </w:pPr>
            <w:r>
              <w:t>混合式培训</w:t>
            </w: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6CA08D0C">
            <w:pPr>
              <w:rPr>
                <w:rFonts w:ascii="Times New Roman" w:hAnsi="Times New Roman"/>
                <w:sz w:val="20"/>
                <w:szCs w:val="20"/>
              </w:rPr>
            </w:pPr>
          </w:p>
        </w:tc>
      </w:tr>
      <w:tr w14:paraId="44709E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44B96E48">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14352FBF">
            <w:pPr>
              <w:pStyle w:val="182"/>
            </w:pPr>
            <w:r>
              <w:t>技术评估评价实务</w:t>
            </w:r>
          </w:p>
        </w:tc>
        <w:tc>
          <w:tcPr>
            <w:tcW w:w="1144" w:type="dxa"/>
            <w:tcBorders>
              <w:top w:val="single" w:color="auto" w:sz="4" w:space="0"/>
              <w:left w:val="single" w:color="auto" w:sz="4" w:space="0"/>
              <w:bottom w:val="single" w:color="auto" w:sz="4" w:space="0"/>
              <w:right w:val="single" w:color="auto" w:sz="4" w:space="0"/>
            </w:tcBorders>
            <w:vAlign w:val="center"/>
          </w:tcPr>
          <w:p w14:paraId="30463DCC">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07AB7A9D">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26F81850">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75DE0599">
            <w:pPr>
              <w:rPr>
                <w:rFonts w:ascii="Times New Roman" w:hAnsi="Times New Roman"/>
                <w:sz w:val="20"/>
                <w:szCs w:val="20"/>
              </w:rPr>
            </w:pPr>
          </w:p>
        </w:tc>
      </w:tr>
      <w:tr w14:paraId="23A8FA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47362E77">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595992BA">
            <w:pPr>
              <w:pStyle w:val="182"/>
            </w:pPr>
            <w:r>
              <w:t>融资渠道与金融工具</w:t>
            </w:r>
          </w:p>
        </w:tc>
        <w:tc>
          <w:tcPr>
            <w:tcW w:w="1144" w:type="dxa"/>
            <w:tcBorders>
              <w:top w:val="single" w:color="auto" w:sz="4" w:space="0"/>
              <w:left w:val="single" w:color="auto" w:sz="4" w:space="0"/>
              <w:bottom w:val="single" w:color="auto" w:sz="4" w:space="0"/>
              <w:right w:val="single" w:color="auto" w:sz="4" w:space="0"/>
            </w:tcBorders>
            <w:vAlign w:val="center"/>
          </w:tcPr>
          <w:p w14:paraId="0A6221E4">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7809478F">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4B9448CC">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32EE0B44">
            <w:pPr>
              <w:rPr>
                <w:rFonts w:ascii="Times New Roman" w:hAnsi="Times New Roman"/>
                <w:sz w:val="20"/>
                <w:szCs w:val="20"/>
              </w:rPr>
            </w:pPr>
          </w:p>
        </w:tc>
      </w:tr>
      <w:tr w14:paraId="4A0EE8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59119685">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2CFC7FC0">
            <w:pPr>
              <w:pStyle w:val="182"/>
            </w:pPr>
            <w:r>
              <w:t>技术交易商务策划</w:t>
            </w:r>
          </w:p>
        </w:tc>
        <w:tc>
          <w:tcPr>
            <w:tcW w:w="1144" w:type="dxa"/>
            <w:tcBorders>
              <w:top w:val="single" w:color="auto" w:sz="4" w:space="0"/>
              <w:left w:val="single" w:color="auto" w:sz="4" w:space="0"/>
              <w:bottom w:val="single" w:color="auto" w:sz="4" w:space="0"/>
              <w:right w:val="single" w:color="auto" w:sz="4" w:space="0"/>
            </w:tcBorders>
            <w:vAlign w:val="center"/>
          </w:tcPr>
          <w:p w14:paraId="0B75E964">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7287D657">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35C0C9D5">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6DCA7502">
            <w:pPr>
              <w:rPr>
                <w:rFonts w:ascii="Times New Roman" w:hAnsi="Times New Roman"/>
                <w:sz w:val="20"/>
                <w:szCs w:val="20"/>
              </w:rPr>
            </w:pPr>
          </w:p>
        </w:tc>
      </w:tr>
      <w:tr w14:paraId="53A54A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1344AAF2">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04097E4D">
            <w:pPr>
              <w:pStyle w:val="182"/>
            </w:pPr>
            <w:r>
              <w:t>技术合同登记</w:t>
            </w:r>
          </w:p>
        </w:tc>
        <w:tc>
          <w:tcPr>
            <w:tcW w:w="1144" w:type="dxa"/>
            <w:tcBorders>
              <w:top w:val="single" w:color="auto" w:sz="4" w:space="0"/>
              <w:left w:val="single" w:color="auto" w:sz="4" w:space="0"/>
              <w:bottom w:val="single" w:color="auto" w:sz="4" w:space="0"/>
              <w:right w:val="single" w:color="auto" w:sz="4" w:space="0"/>
            </w:tcBorders>
            <w:vAlign w:val="center"/>
          </w:tcPr>
          <w:p w14:paraId="3FCD6F90">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1D15BB22">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3BE548DA">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6882BCFB">
            <w:pPr>
              <w:rPr>
                <w:rFonts w:ascii="Times New Roman" w:hAnsi="Times New Roman"/>
                <w:sz w:val="20"/>
                <w:szCs w:val="20"/>
              </w:rPr>
            </w:pPr>
          </w:p>
        </w:tc>
      </w:tr>
      <w:tr w14:paraId="3A52B3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49FB6E33">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16BCB125">
            <w:pPr>
              <w:pStyle w:val="182"/>
            </w:pPr>
            <w:r>
              <w:t>案例研讨与分析</w:t>
            </w:r>
          </w:p>
        </w:tc>
        <w:tc>
          <w:tcPr>
            <w:tcW w:w="1144" w:type="dxa"/>
            <w:tcBorders>
              <w:top w:val="single" w:color="auto" w:sz="4" w:space="0"/>
              <w:left w:val="single" w:color="auto" w:sz="4" w:space="0"/>
              <w:bottom w:val="single" w:color="auto" w:sz="4" w:space="0"/>
              <w:right w:val="single" w:color="auto" w:sz="4" w:space="0"/>
            </w:tcBorders>
            <w:vAlign w:val="center"/>
          </w:tcPr>
          <w:p w14:paraId="66F072B7">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4DF807EB">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32E370A8">
            <w:pPr>
              <w:rPr>
                <w:rFonts w:ascii="Times New Roman" w:hAnsi="Times New Roman"/>
                <w:sz w:val="20"/>
                <w:szCs w:val="20"/>
              </w:rPr>
            </w:pPr>
          </w:p>
        </w:tc>
        <w:tc>
          <w:tcPr>
            <w:tcW w:w="1144" w:type="dxa"/>
            <w:vMerge w:val="continue"/>
            <w:tcBorders>
              <w:top w:val="single" w:color="auto" w:sz="8" w:space="0"/>
              <w:left w:val="single" w:color="auto" w:sz="4" w:space="0"/>
              <w:bottom w:val="single" w:color="auto" w:sz="4" w:space="0"/>
              <w:right w:val="single" w:color="auto" w:sz="8" w:space="0"/>
            </w:tcBorders>
            <w:vAlign w:val="center"/>
          </w:tcPr>
          <w:p w14:paraId="420125C1">
            <w:pPr>
              <w:rPr>
                <w:rFonts w:ascii="Times New Roman" w:hAnsi="Times New Roman"/>
                <w:sz w:val="20"/>
                <w:szCs w:val="20"/>
              </w:rPr>
            </w:pPr>
          </w:p>
        </w:tc>
      </w:tr>
      <w:tr w14:paraId="78A652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restart"/>
            <w:tcBorders>
              <w:top w:val="single" w:color="auto" w:sz="4" w:space="0"/>
              <w:left w:val="single" w:color="auto" w:sz="8" w:space="0"/>
              <w:bottom w:val="single" w:color="auto" w:sz="4" w:space="0"/>
              <w:right w:val="single" w:color="auto" w:sz="4" w:space="0"/>
            </w:tcBorders>
            <w:vAlign w:val="center"/>
          </w:tcPr>
          <w:p w14:paraId="53D07F87">
            <w:pPr>
              <w:pStyle w:val="182"/>
            </w:pPr>
            <w:r>
              <w:t>实务技能模块二</w:t>
            </w:r>
          </w:p>
        </w:tc>
        <w:tc>
          <w:tcPr>
            <w:tcW w:w="3309" w:type="dxa"/>
            <w:tcBorders>
              <w:top w:val="single" w:color="auto" w:sz="4" w:space="0"/>
              <w:left w:val="single" w:color="auto" w:sz="4" w:space="0"/>
              <w:bottom w:val="single" w:color="auto" w:sz="4" w:space="0"/>
              <w:right w:val="single" w:color="auto" w:sz="4" w:space="0"/>
            </w:tcBorders>
            <w:vAlign w:val="center"/>
          </w:tcPr>
          <w:p w14:paraId="643AA67B">
            <w:pPr>
              <w:pStyle w:val="182"/>
            </w:pPr>
            <w:r>
              <w:t>创业孵化</w:t>
            </w:r>
          </w:p>
        </w:tc>
        <w:tc>
          <w:tcPr>
            <w:tcW w:w="1144" w:type="dxa"/>
            <w:tcBorders>
              <w:top w:val="single" w:color="auto" w:sz="4" w:space="0"/>
              <w:left w:val="single" w:color="auto" w:sz="4" w:space="0"/>
              <w:bottom w:val="single" w:color="auto" w:sz="4" w:space="0"/>
              <w:right w:val="single" w:color="auto" w:sz="4" w:space="0"/>
            </w:tcBorders>
            <w:vAlign w:val="center"/>
          </w:tcPr>
          <w:p w14:paraId="18B05C37">
            <w:pPr>
              <w:pStyle w:val="182"/>
            </w:pPr>
            <w:r>
              <w:t>2</w:t>
            </w:r>
          </w:p>
        </w:tc>
        <w:tc>
          <w:tcPr>
            <w:tcW w:w="937" w:type="dxa"/>
            <w:vMerge w:val="restart"/>
            <w:tcBorders>
              <w:top w:val="single" w:color="auto" w:sz="4" w:space="0"/>
              <w:left w:val="single" w:color="auto" w:sz="4" w:space="0"/>
              <w:bottom w:val="single" w:color="auto" w:sz="4" w:space="0"/>
              <w:right w:val="single" w:color="auto" w:sz="4" w:space="0"/>
            </w:tcBorders>
            <w:vAlign w:val="center"/>
          </w:tcPr>
          <w:p w14:paraId="035E2D8F">
            <w:pPr>
              <w:pStyle w:val="182"/>
            </w:pPr>
            <w:r>
              <w:t>20</w:t>
            </w:r>
          </w:p>
        </w:tc>
        <w:tc>
          <w:tcPr>
            <w:tcW w:w="1144" w:type="dxa"/>
            <w:vMerge w:val="restart"/>
            <w:tcBorders>
              <w:top w:val="single" w:color="auto" w:sz="4" w:space="0"/>
              <w:left w:val="single" w:color="auto" w:sz="4" w:space="0"/>
              <w:bottom w:val="single" w:color="auto" w:sz="4" w:space="0"/>
              <w:right w:val="single" w:color="auto" w:sz="4" w:space="0"/>
            </w:tcBorders>
            <w:vAlign w:val="center"/>
          </w:tcPr>
          <w:p w14:paraId="56781DCE">
            <w:pPr>
              <w:pStyle w:val="182"/>
            </w:pPr>
            <w:r>
              <w:t>混合式培训</w:t>
            </w:r>
          </w:p>
        </w:tc>
        <w:tc>
          <w:tcPr>
            <w:tcW w:w="1144" w:type="dxa"/>
            <w:vMerge w:val="restart"/>
            <w:tcBorders>
              <w:top w:val="single" w:color="auto" w:sz="4" w:space="0"/>
              <w:left w:val="single" w:color="auto" w:sz="4" w:space="0"/>
              <w:bottom w:val="single" w:color="auto" w:sz="4" w:space="0"/>
              <w:right w:val="single" w:color="auto" w:sz="8" w:space="0"/>
            </w:tcBorders>
            <w:vAlign w:val="center"/>
          </w:tcPr>
          <w:p w14:paraId="79497F48">
            <w:pPr>
              <w:pStyle w:val="182"/>
            </w:pPr>
            <w:r>
              <w:t>中级必修</w:t>
            </w:r>
          </w:p>
        </w:tc>
      </w:tr>
      <w:tr w14:paraId="023653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54ACD94B">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0DE96FAB">
            <w:pPr>
              <w:pStyle w:val="182"/>
            </w:pPr>
            <w:r>
              <w:t>中试熟化与技术集成</w:t>
            </w:r>
          </w:p>
        </w:tc>
        <w:tc>
          <w:tcPr>
            <w:tcW w:w="1144" w:type="dxa"/>
            <w:tcBorders>
              <w:top w:val="single" w:color="auto" w:sz="4" w:space="0"/>
              <w:left w:val="single" w:color="auto" w:sz="4" w:space="0"/>
              <w:bottom w:val="single" w:color="auto" w:sz="4" w:space="0"/>
              <w:right w:val="single" w:color="auto" w:sz="4" w:space="0"/>
            </w:tcBorders>
            <w:vAlign w:val="center"/>
          </w:tcPr>
          <w:p w14:paraId="4A0DA3B7">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1AF8999B">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370509DA">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0959F648">
            <w:pPr>
              <w:rPr>
                <w:rFonts w:ascii="Times New Roman" w:hAnsi="Times New Roman"/>
                <w:sz w:val="20"/>
                <w:szCs w:val="20"/>
              </w:rPr>
            </w:pPr>
          </w:p>
        </w:tc>
      </w:tr>
      <w:tr w14:paraId="09D870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45507C0F">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38B356F9">
            <w:pPr>
              <w:pStyle w:val="182"/>
            </w:pPr>
            <w:r>
              <w:t>企业并购与技术作价入股</w:t>
            </w:r>
          </w:p>
        </w:tc>
        <w:tc>
          <w:tcPr>
            <w:tcW w:w="1144" w:type="dxa"/>
            <w:tcBorders>
              <w:top w:val="single" w:color="auto" w:sz="4" w:space="0"/>
              <w:left w:val="single" w:color="auto" w:sz="4" w:space="0"/>
              <w:bottom w:val="single" w:color="auto" w:sz="4" w:space="0"/>
              <w:right w:val="single" w:color="auto" w:sz="4" w:space="0"/>
            </w:tcBorders>
            <w:vAlign w:val="center"/>
          </w:tcPr>
          <w:p w14:paraId="40879A05">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4EF31F66">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7EC1311F">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699F3D2D">
            <w:pPr>
              <w:rPr>
                <w:rFonts w:ascii="Times New Roman" w:hAnsi="Times New Roman"/>
                <w:sz w:val="20"/>
                <w:szCs w:val="20"/>
              </w:rPr>
            </w:pPr>
          </w:p>
        </w:tc>
      </w:tr>
      <w:tr w14:paraId="71CCDB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7BA40D4A">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0048CC99">
            <w:pPr>
              <w:pStyle w:val="182"/>
            </w:pPr>
            <w:r>
              <w:t>资本募集与基金运营</w:t>
            </w:r>
          </w:p>
        </w:tc>
        <w:tc>
          <w:tcPr>
            <w:tcW w:w="1144" w:type="dxa"/>
            <w:tcBorders>
              <w:top w:val="single" w:color="auto" w:sz="4" w:space="0"/>
              <w:left w:val="single" w:color="auto" w:sz="4" w:space="0"/>
              <w:bottom w:val="single" w:color="auto" w:sz="4" w:space="0"/>
              <w:right w:val="single" w:color="auto" w:sz="4" w:space="0"/>
            </w:tcBorders>
            <w:vAlign w:val="center"/>
          </w:tcPr>
          <w:p w14:paraId="1527A439">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6537D71C">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566B27E2">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1DA67EA5">
            <w:pPr>
              <w:rPr>
                <w:rFonts w:ascii="Times New Roman" w:hAnsi="Times New Roman"/>
                <w:sz w:val="20"/>
                <w:szCs w:val="20"/>
              </w:rPr>
            </w:pPr>
          </w:p>
        </w:tc>
      </w:tr>
      <w:tr w14:paraId="602580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0DFA6321">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1BA231D5">
            <w:pPr>
              <w:pStyle w:val="182"/>
            </w:pPr>
            <w:r>
              <w:t>专利运营</w:t>
            </w:r>
          </w:p>
        </w:tc>
        <w:tc>
          <w:tcPr>
            <w:tcW w:w="1144" w:type="dxa"/>
            <w:tcBorders>
              <w:top w:val="single" w:color="auto" w:sz="4" w:space="0"/>
              <w:left w:val="single" w:color="auto" w:sz="4" w:space="0"/>
              <w:bottom w:val="single" w:color="auto" w:sz="4" w:space="0"/>
              <w:right w:val="single" w:color="auto" w:sz="4" w:space="0"/>
            </w:tcBorders>
            <w:vAlign w:val="center"/>
          </w:tcPr>
          <w:p w14:paraId="31D15B94">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7087D172">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1BF2263A">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7EE1B8CD">
            <w:pPr>
              <w:rPr>
                <w:rFonts w:ascii="Times New Roman" w:hAnsi="Times New Roman"/>
                <w:sz w:val="20"/>
                <w:szCs w:val="20"/>
              </w:rPr>
            </w:pPr>
          </w:p>
        </w:tc>
      </w:tr>
      <w:tr w14:paraId="0C3DA1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5DD97C22">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56215C76">
            <w:pPr>
              <w:pStyle w:val="182"/>
            </w:pPr>
            <w:r>
              <w:t>商务谈判技巧</w:t>
            </w:r>
          </w:p>
        </w:tc>
        <w:tc>
          <w:tcPr>
            <w:tcW w:w="1144" w:type="dxa"/>
            <w:tcBorders>
              <w:top w:val="single" w:color="auto" w:sz="4" w:space="0"/>
              <w:left w:val="single" w:color="auto" w:sz="4" w:space="0"/>
              <w:bottom w:val="single" w:color="auto" w:sz="4" w:space="0"/>
              <w:right w:val="single" w:color="auto" w:sz="4" w:space="0"/>
            </w:tcBorders>
            <w:vAlign w:val="center"/>
          </w:tcPr>
          <w:p w14:paraId="23F42CA9">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452A4D72">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30AFF20F">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256863DF">
            <w:pPr>
              <w:rPr>
                <w:rFonts w:ascii="Times New Roman" w:hAnsi="Times New Roman"/>
                <w:sz w:val="20"/>
                <w:szCs w:val="20"/>
              </w:rPr>
            </w:pPr>
          </w:p>
        </w:tc>
      </w:tr>
      <w:tr w14:paraId="12FAA5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1C146F83">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47A0F8A8">
            <w:pPr>
              <w:pStyle w:val="182"/>
            </w:pPr>
            <w:r>
              <w:t>盈利模式与案例分析</w:t>
            </w:r>
          </w:p>
        </w:tc>
        <w:tc>
          <w:tcPr>
            <w:tcW w:w="1144" w:type="dxa"/>
            <w:tcBorders>
              <w:top w:val="single" w:color="auto" w:sz="4" w:space="0"/>
              <w:left w:val="single" w:color="auto" w:sz="4" w:space="0"/>
              <w:bottom w:val="single" w:color="auto" w:sz="4" w:space="0"/>
              <w:right w:val="single" w:color="auto" w:sz="4" w:space="0"/>
            </w:tcBorders>
            <w:vAlign w:val="center"/>
          </w:tcPr>
          <w:p w14:paraId="122BBE7D">
            <w:pPr>
              <w:pStyle w:val="182"/>
            </w:pPr>
            <w:r>
              <w:t>4</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18B2D859">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68D93AEE">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622133D3">
            <w:pPr>
              <w:rPr>
                <w:rFonts w:ascii="Times New Roman" w:hAnsi="Times New Roman"/>
                <w:sz w:val="20"/>
                <w:szCs w:val="20"/>
              </w:rPr>
            </w:pPr>
          </w:p>
        </w:tc>
      </w:tr>
      <w:tr w14:paraId="0300F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15A5D491">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5B907EEB">
            <w:pPr>
              <w:pStyle w:val="182"/>
            </w:pPr>
            <w:r>
              <w:t>跨文化沟通与合作</w:t>
            </w:r>
          </w:p>
        </w:tc>
        <w:tc>
          <w:tcPr>
            <w:tcW w:w="1144" w:type="dxa"/>
            <w:tcBorders>
              <w:top w:val="single" w:color="auto" w:sz="4" w:space="0"/>
              <w:left w:val="single" w:color="auto" w:sz="4" w:space="0"/>
              <w:bottom w:val="single" w:color="auto" w:sz="4" w:space="0"/>
              <w:right w:val="single" w:color="auto" w:sz="4" w:space="0"/>
            </w:tcBorders>
            <w:vAlign w:val="center"/>
          </w:tcPr>
          <w:p w14:paraId="5C33DC41">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2784A681">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75F00B10">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56A6D799">
            <w:pPr>
              <w:rPr>
                <w:rFonts w:ascii="Times New Roman" w:hAnsi="Times New Roman"/>
                <w:sz w:val="20"/>
                <w:szCs w:val="20"/>
              </w:rPr>
            </w:pPr>
          </w:p>
        </w:tc>
      </w:tr>
      <w:tr w14:paraId="7578B3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3D35C4E7">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5140C9EB">
            <w:pPr>
              <w:pStyle w:val="182"/>
            </w:pPr>
            <w:r>
              <w:t>东盟国家市场分析</w:t>
            </w:r>
          </w:p>
        </w:tc>
        <w:tc>
          <w:tcPr>
            <w:tcW w:w="1144" w:type="dxa"/>
            <w:tcBorders>
              <w:top w:val="single" w:color="auto" w:sz="4" w:space="0"/>
              <w:left w:val="single" w:color="auto" w:sz="4" w:space="0"/>
              <w:bottom w:val="single" w:color="auto" w:sz="4" w:space="0"/>
              <w:right w:val="single" w:color="auto" w:sz="4" w:space="0"/>
            </w:tcBorders>
            <w:vAlign w:val="center"/>
          </w:tcPr>
          <w:p w14:paraId="7F8897F5">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4574CD9C">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7D73BB5D">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41E5AFD1">
            <w:pPr>
              <w:rPr>
                <w:rFonts w:ascii="Times New Roman" w:hAnsi="Times New Roman"/>
                <w:sz w:val="20"/>
                <w:szCs w:val="20"/>
              </w:rPr>
            </w:pPr>
          </w:p>
        </w:tc>
      </w:tr>
      <w:tr w14:paraId="259B56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restart"/>
            <w:tcBorders>
              <w:top w:val="single" w:color="auto" w:sz="4" w:space="0"/>
              <w:left w:val="single" w:color="auto" w:sz="8" w:space="0"/>
              <w:bottom w:val="single" w:color="auto" w:sz="4" w:space="0"/>
              <w:right w:val="single" w:color="auto" w:sz="4" w:space="0"/>
            </w:tcBorders>
            <w:vAlign w:val="center"/>
          </w:tcPr>
          <w:p w14:paraId="613E6E03">
            <w:pPr>
              <w:pStyle w:val="182"/>
            </w:pPr>
            <w:r>
              <w:t>实务技能模块三</w:t>
            </w:r>
          </w:p>
        </w:tc>
        <w:tc>
          <w:tcPr>
            <w:tcW w:w="3309" w:type="dxa"/>
            <w:tcBorders>
              <w:top w:val="single" w:color="auto" w:sz="4" w:space="0"/>
              <w:left w:val="single" w:color="auto" w:sz="4" w:space="0"/>
              <w:bottom w:val="single" w:color="auto" w:sz="4" w:space="0"/>
              <w:right w:val="single" w:color="auto" w:sz="4" w:space="0"/>
            </w:tcBorders>
            <w:vAlign w:val="center"/>
          </w:tcPr>
          <w:p w14:paraId="46490D4D">
            <w:pPr>
              <w:pStyle w:val="182"/>
            </w:pPr>
            <w:r>
              <w:t>专利撰写</w:t>
            </w:r>
          </w:p>
        </w:tc>
        <w:tc>
          <w:tcPr>
            <w:tcW w:w="1144" w:type="dxa"/>
            <w:tcBorders>
              <w:top w:val="single" w:color="auto" w:sz="4" w:space="0"/>
              <w:left w:val="single" w:color="auto" w:sz="4" w:space="0"/>
              <w:bottom w:val="single" w:color="auto" w:sz="4" w:space="0"/>
              <w:right w:val="single" w:color="auto" w:sz="4" w:space="0"/>
            </w:tcBorders>
            <w:vAlign w:val="center"/>
          </w:tcPr>
          <w:p w14:paraId="1A9E9B30">
            <w:pPr>
              <w:pStyle w:val="182"/>
            </w:pPr>
            <w:r>
              <w:t>3</w:t>
            </w:r>
          </w:p>
        </w:tc>
        <w:tc>
          <w:tcPr>
            <w:tcW w:w="937" w:type="dxa"/>
            <w:vMerge w:val="restart"/>
            <w:tcBorders>
              <w:top w:val="single" w:color="auto" w:sz="4" w:space="0"/>
              <w:left w:val="single" w:color="auto" w:sz="4" w:space="0"/>
              <w:bottom w:val="single" w:color="auto" w:sz="4" w:space="0"/>
              <w:right w:val="single" w:color="auto" w:sz="4" w:space="0"/>
            </w:tcBorders>
            <w:vAlign w:val="center"/>
          </w:tcPr>
          <w:p w14:paraId="3076BE31">
            <w:pPr>
              <w:pStyle w:val="182"/>
            </w:pPr>
            <w:r>
              <w:t>20</w:t>
            </w:r>
          </w:p>
        </w:tc>
        <w:tc>
          <w:tcPr>
            <w:tcW w:w="1144" w:type="dxa"/>
            <w:vMerge w:val="restart"/>
            <w:tcBorders>
              <w:top w:val="single" w:color="auto" w:sz="4" w:space="0"/>
              <w:left w:val="single" w:color="auto" w:sz="4" w:space="0"/>
              <w:bottom w:val="single" w:color="auto" w:sz="4" w:space="0"/>
              <w:right w:val="single" w:color="auto" w:sz="4" w:space="0"/>
            </w:tcBorders>
            <w:vAlign w:val="center"/>
          </w:tcPr>
          <w:p w14:paraId="2A0F1B8E">
            <w:pPr>
              <w:pStyle w:val="182"/>
            </w:pPr>
            <w:r>
              <w:t>混合式培训</w:t>
            </w:r>
          </w:p>
        </w:tc>
        <w:tc>
          <w:tcPr>
            <w:tcW w:w="1144" w:type="dxa"/>
            <w:vMerge w:val="restart"/>
            <w:tcBorders>
              <w:top w:val="single" w:color="auto" w:sz="4" w:space="0"/>
              <w:left w:val="single" w:color="auto" w:sz="4" w:space="0"/>
              <w:bottom w:val="single" w:color="auto" w:sz="4" w:space="0"/>
              <w:right w:val="single" w:color="auto" w:sz="8" w:space="0"/>
            </w:tcBorders>
            <w:vAlign w:val="center"/>
          </w:tcPr>
          <w:p w14:paraId="723823F1">
            <w:pPr>
              <w:pStyle w:val="182"/>
            </w:pPr>
            <w:r>
              <w:t>高级必修</w:t>
            </w:r>
          </w:p>
        </w:tc>
      </w:tr>
      <w:tr w14:paraId="3BCBD6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1" w:hRule="atLeast"/>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5D5D4341">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16E8B6F5">
            <w:pPr>
              <w:pStyle w:val="182"/>
            </w:pPr>
            <w:r>
              <w:t>商业计划书撰写</w:t>
            </w:r>
          </w:p>
        </w:tc>
        <w:tc>
          <w:tcPr>
            <w:tcW w:w="1144" w:type="dxa"/>
            <w:tcBorders>
              <w:top w:val="single" w:color="auto" w:sz="4" w:space="0"/>
              <w:left w:val="single" w:color="auto" w:sz="4" w:space="0"/>
              <w:bottom w:val="single" w:color="auto" w:sz="4" w:space="0"/>
              <w:right w:val="single" w:color="auto" w:sz="4" w:space="0"/>
            </w:tcBorders>
            <w:vAlign w:val="center"/>
          </w:tcPr>
          <w:p w14:paraId="74833D51">
            <w:pPr>
              <w:pStyle w:val="182"/>
            </w:pPr>
            <w:r>
              <w:t>3</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0E56AE28">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47F9C1FA">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47F48AFC">
            <w:pPr>
              <w:rPr>
                <w:rFonts w:ascii="Times New Roman" w:hAnsi="Times New Roman"/>
                <w:sz w:val="20"/>
                <w:szCs w:val="20"/>
              </w:rPr>
            </w:pPr>
          </w:p>
        </w:tc>
      </w:tr>
      <w:tr w14:paraId="6A84F8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097B1959">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263B67D1">
            <w:pPr>
              <w:pStyle w:val="182"/>
            </w:pPr>
            <w:r>
              <w:t>知识产权资本化与专利运营</w:t>
            </w:r>
          </w:p>
        </w:tc>
        <w:tc>
          <w:tcPr>
            <w:tcW w:w="1144" w:type="dxa"/>
            <w:tcBorders>
              <w:top w:val="single" w:color="auto" w:sz="4" w:space="0"/>
              <w:left w:val="single" w:color="auto" w:sz="4" w:space="0"/>
              <w:bottom w:val="single" w:color="auto" w:sz="4" w:space="0"/>
              <w:right w:val="single" w:color="auto" w:sz="4" w:space="0"/>
            </w:tcBorders>
            <w:vAlign w:val="center"/>
          </w:tcPr>
          <w:p w14:paraId="6041BEC5">
            <w:pPr>
              <w:pStyle w:val="182"/>
            </w:pPr>
            <w:r>
              <w:t>3</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588287BE">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40173294">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19E6A0B5">
            <w:pPr>
              <w:rPr>
                <w:rFonts w:ascii="Times New Roman" w:hAnsi="Times New Roman"/>
                <w:sz w:val="20"/>
                <w:szCs w:val="20"/>
              </w:rPr>
            </w:pPr>
          </w:p>
        </w:tc>
      </w:tr>
      <w:tr w14:paraId="133846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36005AD5">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779131D1">
            <w:pPr>
              <w:pStyle w:val="182"/>
            </w:pPr>
            <w:r>
              <w:t>国际技术转移</w:t>
            </w:r>
          </w:p>
        </w:tc>
        <w:tc>
          <w:tcPr>
            <w:tcW w:w="1144" w:type="dxa"/>
            <w:tcBorders>
              <w:top w:val="single" w:color="auto" w:sz="4" w:space="0"/>
              <w:left w:val="single" w:color="auto" w:sz="4" w:space="0"/>
              <w:bottom w:val="single" w:color="auto" w:sz="4" w:space="0"/>
              <w:right w:val="single" w:color="auto" w:sz="4" w:space="0"/>
            </w:tcBorders>
            <w:vAlign w:val="center"/>
          </w:tcPr>
          <w:p w14:paraId="5E337A9A">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543955A1">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6BE16400">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51A0CF7B">
            <w:pPr>
              <w:rPr>
                <w:rFonts w:ascii="Times New Roman" w:hAnsi="Times New Roman"/>
                <w:sz w:val="20"/>
                <w:szCs w:val="20"/>
              </w:rPr>
            </w:pPr>
          </w:p>
        </w:tc>
      </w:tr>
      <w:tr w14:paraId="4E9AAE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16471482">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0675A0A9">
            <w:pPr>
              <w:pStyle w:val="182"/>
            </w:pPr>
            <w:r>
              <w:t>实操案例分析</w:t>
            </w:r>
          </w:p>
        </w:tc>
        <w:tc>
          <w:tcPr>
            <w:tcW w:w="1144" w:type="dxa"/>
            <w:tcBorders>
              <w:top w:val="single" w:color="auto" w:sz="4" w:space="0"/>
              <w:left w:val="single" w:color="auto" w:sz="4" w:space="0"/>
              <w:bottom w:val="single" w:color="auto" w:sz="4" w:space="0"/>
              <w:right w:val="single" w:color="auto" w:sz="4" w:space="0"/>
            </w:tcBorders>
            <w:vAlign w:val="center"/>
          </w:tcPr>
          <w:p w14:paraId="54E1E03F">
            <w:pPr>
              <w:pStyle w:val="182"/>
            </w:pPr>
            <w:r>
              <w:t>5</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2A187552">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5770C86E">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4AED98E4">
            <w:pPr>
              <w:rPr>
                <w:rFonts w:ascii="Times New Roman" w:hAnsi="Times New Roman"/>
                <w:sz w:val="20"/>
                <w:szCs w:val="20"/>
              </w:rPr>
            </w:pPr>
          </w:p>
        </w:tc>
      </w:tr>
      <w:tr w14:paraId="1A9778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09123101">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5DE3942B">
            <w:pPr>
              <w:pStyle w:val="182"/>
            </w:pPr>
            <w:r>
              <w:t>东盟国家国别报告分享</w:t>
            </w:r>
          </w:p>
        </w:tc>
        <w:tc>
          <w:tcPr>
            <w:tcW w:w="1144" w:type="dxa"/>
            <w:tcBorders>
              <w:top w:val="single" w:color="auto" w:sz="4" w:space="0"/>
              <w:left w:val="single" w:color="auto" w:sz="4" w:space="0"/>
              <w:bottom w:val="single" w:color="auto" w:sz="4" w:space="0"/>
              <w:right w:val="single" w:color="auto" w:sz="4" w:space="0"/>
            </w:tcBorders>
            <w:vAlign w:val="center"/>
          </w:tcPr>
          <w:p w14:paraId="1E86F020">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06F4F12A">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023B01E6">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1BC29CA5">
            <w:pPr>
              <w:rPr>
                <w:rFonts w:ascii="Times New Roman" w:hAnsi="Times New Roman"/>
                <w:sz w:val="20"/>
                <w:szCs w:val="20"/>
              </w:rPr>
            </w:pPr>
          </w:p>
        </w:tc>
      </w:tr>
      <w:tr w14:paraId="7E1ABD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4" w:space="0"/>
              <w:right w:val="single" w:color="auto" w:sz="4" w:space="0"/>
            </w:tcBorders>
            <w:vAlign w:val="center"/>
          </w:tcPr>
          <w:p w14:paraId="4BCFEE21">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1F22D85D">
            <w:pPr>
              <w:pStyle w:val="182"/>
            </w:pPr>
            <w:r>
              <w:t>东盟国家科技投融资</w:t>
            </w:r>
          </w:p>
        </w:tc>
        <w:tc>
          <w:tcPr>
            <w:tcW w:w="1144" w:type="dxa"/>
            <w:tcBorders>
              <w:top w:val="single" w:color="auto" w:sz="4" w:space="0"/>
              <w:left w:val="single" w:color="auto" w:sz="4" w:space="0"/>
              <w:bottom w:val="single" w:color="auto" w:sz="4" w:space="0"/>
              <w:right w:val="single" w:color="auto" w:sz="4" w:space="0"/>
            </w:tcBorders>
            <w:vAlign w:val="center"/>
          </w:tcPr>
          <w:p w14:paraId="2E16625E">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0AD62DCB">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3541E37D">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31227087">
            <w:pPr>
              <w:rPr>
                <w:rFonts w:ascii="Times New Roman" w:hAnsi="Times New Roman"/>
                <w:sz w:val="20"/>
                <w:szCs w:val="20"/>
              </w:rPr>
            </w:pPr>
          </w:p>
        </w:tc>
      </w:tr>
      <w:tr w14:paraId="3513AE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restart"/>
            <w:tcBorders>
              <w:top w:val="single" w:color="auto" w:sz="4" w:space="0"/>
              <w:left w:val="single" w:color="auto" w:sz="8" w:space="0"/>
              <w:right w:val="single" w:color="auto" w:sz="4" w:space="0"/>
            </w:tcBorders>
            <w:vAlign w:val="center"/>
          </w:tcPr>
          <w:p w14:paraId="12D11C3C">
            <w:pPr>
              <w:pStyle w:val="182"/>
            </w:pPr>
            <w:r>
              <w:t>能力提升</w:t>
            </w:r>
          </w:p>
        </w:tc>
        <w:tc>
          <w:tcPr>
            <w:tcW w:w="3309" w:type="dxa"/>
            <w:tcBorders>
              <w:top w:val="single" w:color="auto" w:sz="4" w:space="0"/>
              <w:left w:val="single" w:color="auto" w:sz="4" w:space="0"/>
              <w:bottom w:val="single" w:color="auto" w:sz="4" w:space="0"/>
              <w:right w:val="single" w:color="auto" w:sz="4" w:space="0"/>
            </w:tcBorders>
            <w:vAlign w:val="center"/>
          </w:tcPr>
          <w:p w14:paraId="754B7EAC">
            <w:pPr>
              <w:pStyle w:val="182"/>
            </w:pPr>
            <w:r>
              <w:t>经济学基础知识</w:t>
            </w:r>
          </w:p>
        </w:tc>
        <w:tc>
          <w:tcPr>
            <w:tcW w:w="1144" w:type="dxa"/>
            <w:tcBorders>
              <w:top w:val="single" w:color="auto" w:sz="4" w:space="0"/>
              <w:left w:val="single" w:color="auto" w:sz="4" w:space="0"/>
              <w:bottom w:val="single" w:color="auto" w:sz="4" w:space="0"/>
              <w:right w:val="single" w:color="auto" w:sz="4" w:space="0"/>
            </w:tcBorders>
            <w:vAlign w:val="center"/>
          </w:tcPr>
          <w:p w14:paraId="3B22837F">
            <w:pPr>
              <w:pStyle w:val="182"/>
            </w:pPr>
            <w:r>
              <w:t>3</w:t>
            </w:r>
          </w:p>
        </w:tc>
        <w:tc>
          <w:tcPr>
            <w:tcW w:w="937" w:type="dxa"/>
            <w:vMerge w:val="restart"/>
            <w:tcBorders>
              <w:top w:val="single" w:color="auto" w:sz="4" w:space="0"/>
              <w:left w:val="single" w:color="auto" w:sz="4" w:space="0"/>
              <w:bottom w:val="single" w:color="auto" w:sz="4" w:space="0"/>
              <w:right w:val="single" w:color="auto" w:sz="4" w:space="0"/>
            </w:tcBorders>
            <w:vAlign w:val="center"/>
          </w:tcPr>
          <w:p w14:paraId="02A47EFB">
            <w:pPr>
              <w:pStyle w:val="182"/>
            </w:pPr>
            <w:r>
              <w:t>10</w:t>
            </w:r>
          </w:p>
        </w:tc>
        <w:tc>
          <w:tcPr>
            <w:tcW w:w="1144" w:type="dxa"/>
            <w:vMerge w:val="restart"/>
            <w:tcBorders>
              <w:top w:val="single" w:color="auto" w:sz="4" w:space="0"/>
              <w:left w:val="single" w:color="auto" w:sz="4" w:space="0"/>
              <w:bottom w:val="single" w:color="auto" w:sz="4" w:space="0"/>
              <w:right w:val="single" w:color="auto" w:sz="4" w:space="0"/>
            </w:tcBorders>
            <w:vAlign w:val="center"/>
          </w:tcPr>
          <w:p w14:paraId="2055EA5C">
            <w:pPr>
              <w:pStyle w:val="182"/>
            </w:pPr>
            <w:r>
              <w:t>线上培训</w:t>
            </w:r>
          </w:p>
        </w:tc>
        <w:tc>
          <w:tcPr>
            <w:tcW w:w="1144" w:type="dxa"/>
            <w:vMerge w:val="restart"/>
            <w:tcBorders>
              <w:top w:val="single" w:color="auto" w:sz="4" w:space="0"/>
              <w:left w:val="single" w:color="auto" w:sz="4" w:space="0"/>
              <w:bottom w:val="single" w:color="auto" w:sz="4" w:space="0"/>
              <w:right w:val="single" w:color="auto" w:sz="8" w:space="0"/>
            </w:tcBorders>
            <w:vAlign w:val="center"/>
          </w:tcPr>
          <w:p w14:paraId="3ECCE1D5">
            <w:pPr>
              <w:pStyle w:val="182"/>
            </w:pPr>
            <w:r>
              <w:t>选修</w:t>
            </w:r>
          </w:p>
        </w:tc>
      </w:tr>
      <w:tr w14:paraId="242920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left w:val="single" w:color="auto" w:sz="8" w:space="0"/>
              <w:right w:val="single" w:color="auto" w:sz="4" w:space="0"/>
            </w:tcBorders>
            <w:vAlign w:val="center"/>
          </w:tcPr>
          <w:p w14:paraId="433F9992">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787DFD2D">
            <w:pPr>
              <w:pStyle w:val="182"/>
            </w:pPr>
            <w:r>
              <w:t>金融基础知识</w:t>
            </w:r>
          </w:p>
        </w:tc>
        <w:tc>
          <w:tcPr>
            <w:tcW w:w="1144" w:type="dxa"/>
            <w:tcBorders>
              <w:top w:val="single" w:color="auto" w:sz="4" w:space="0"/>
              <w:left w:val="single" w:color="auto" w:sz="4" w:space="0"/>
              <w:bottom w:val="single" w:color="auto" w:sz="4" w:space="0"/>
              <w:right w:val="single" w:color="auto" w:sz="4" w:space="0"/>
            </w:tcBorders>
            <w:vAlign w:val="center"/>
          </w:tcPr>
          <w:p w14:paraId="5703139C">
            <w:pPr>
              <w:pStyle w:val="182"/>
            </w:pPr>
            <w:r>
              <w:t>3</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79B6E2F6">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6C594171">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0902FB02">
            <w:pPr>
              <w:rPr>
                <w:rFonts w:ascii="Times New Roman" w:hAnsi="Times New Roman"/>
                <w:sz w:val="20"/>
                <w:szCs w:val="20"/>
              </w:rPr>
            </w:pPr>
          </w:p>
        </w:tc>
      </w:tr>
      <w:tr w14:paraId="5F5E90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left w:val="single" w:color="auto" w:sz="8" w:space="0"/>
              <w:right w:val="single" w:color="auto" w:sz="4" w:space="0"/>
            </w:tcBorders>
            <w:vAlign w:val="center"/>
          </w:tcPr>
          <w:p w14:paraId="100BE926">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05999355">
            <w:pPr>
              <w:pStyle w:val="182"/>
            </w:pPr>
            <w:r>
              <w:t>财会、税务基础知识</w:t>
            </w:r>
          </w:p>
        </w:tc>
        <w:tc>
          <w:tcPr>
            <w:tcW w:w="1144" w:type="dxa"/>
            <w:tcBorders>
              <w:top w:val="single" w:color="auto" w:sz="4" w:space="0"/>
              <w:left w:val="single" w:color="auto" w:sz="4" w:space="0"/>
              <w:bottom w:val="single" w:color="auto" w:sz="4" w:space="0"/>
              <w:right w:val="single" w:color="auto" w:sz="4" w:space="0"/>
            </w:tcBorders>
            <w:vAlign w:val="center"/>
          </w:tcPr>
          <w:p w14:paraId="73C2AE3E">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45FE153D">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28C053FC">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0A493849">
            <w:pPr>
              <w:rPr>
                <w:rFonts w:ascii="Times New Roman" w:hAnsi="Times New Roman"/>
                <w:sz w:val="20"/>
                <w:szCs w:val="20"/>
              </w:rPr>
            </w:pPr>
          </w:p>
        </w:tc>
      </w:tr>
      <w:tr w14:paraId="62D2DC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28" w:type="dxa"/>
            <w:vMerge w:val="continue"/>
            <w:tcBorders>
              <w:left w:val="single" w:color="auto" w:sz="8" w:space="0"/>
              <w:right w:val="single" w:color="auto" w:sz="4" w:space="0"/>
            </w:tcBorders>
            <w:vAlign w:val="center"/>
          </w:tcPr>
          <w:p w14:paraId="414C8613">
            <w:pPr>
              <w:rPr>
                <w:rFonts w:ascii="Times New Roman" w:hAnsi="Times New Roman"/>
                <w:sz w:val="20"/>
                <w:szCs w:val="20"/>
              </w:rPr>
            </w:pPr>
          </w:p>
        </w:tc>
        <w:tc>
          <w:tcPr>
            <w:tcW w:w="3309" w:type="dxa"/>
            <w:tcBorders>
              <w:top w:val="single" w:color="auto" w:sz="4" w:space="0"/>
              <w:left w:val="single" w:color="auto" w:sz="4" w:space="0"/>
              <w:bottom w:val="single" w:color="auto" w:sz="4" w:space="0"/>
              <w:right w:val="single" w:color="auto" w:sz="4" w:space="0"/>
            </w:tcBorders>
            <w:vAlign w:val="center"/>
          </w:tcPr>
          <w:p w14:paraId="21BEBD90">
            <w:pPr>
              <w:pStyle w:val="182"/>
            </w:pPr>
            <w:r>
              <w:t>产业技术领域基础知识</w:t>
            </w:r>
          </w:p>
        </w:tc>
        <w:tc>
          <w:tcPr>
            <w:tcW w:w="1144" w:type="dxa"/>
            <w:tcBorders>
              <w:top w:val="single" w:color="auto" w:sz="4" w:space="0"/>
              <w:left w:val="single" w:color="auto" w:sz="4" w:space="0"/>
              <w:bottom w:val="single" w:color="auto" w:sz="4" w:space="0"/>
              <w:right w:val="single" w:color="auto" w:sz="4" w:space="0"/>
            </w:tcBorders>
            <w:vAlign w:val="center"/>
          </w:tcPr>
          <w:p w14:paraId="2A1558A5">
            <w:pPr>
              <w:pStyle w:val="182"/>
            </w:pPr>
            <w:r>
              <w:t>2</w:t>
            </w:r>
          </w:p>
        </w:tc>
        <w:tc>
          <w:tcPr>
            <w:tcW w:w="937" w:type="dxa"/>
            <w:vMerge w:val="continue"/>
            <w:tcBorders>
              <w:top w:val="single" w:color="auto" w:sz="4" w:space="0"/>
              <w:left w:val="single" w:color="auto" w:sz="4" w:space="0"/>
              <w:bottom w:val="single" w:color="auto" w:sz="4" w:space="0"/>
              <w:right w:val="single" w:color="auto" w:sz="4" w:space="0"/>
            </w:tcBorders>
            <w:vAlign w:val="center"/>
          </w:tcPr>
          <w:p w14:paraId="4F7DCF28">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4" w:space="0"/>
            </w:tcBorders>
            <w:vAlign w:val="center"/>
          </w:tcPr>
          <w:p w14:paraId="4FFF85FC">
            <w:pPr>
              <w:rPr>
                <w:rFonts w:ascii="Times New Roman" w:hAnsi="Times New Roman"/>
                <w:sz w:val="20"/>
                <w:szCs w:val="20"/>
              </w:rPr>
            </w:pPr>
          </w:p>
        </w:tc>
        <w:tc>
          <w:tcPr>
            <w:tcW w:w="1144" w:type="dxa"/>
            <w:vMerge w:val="continue"/>
            <w:tcBorders>
              <w:top w:val="single" w:color="auto" w:sz="4" w:space="0"/>
              <w:left w:val="single" w:color="auto" w:sz="4" w:space="0"/>
              <w:bottom w:val="single" w:color="auto" w:sz="4" w:space="0"/>
              <w:right w:val="single" w:color="auto" w:sz="8" w:space="0"/>
            </w:tcBorders>
            <w:vAlign w:val="center"/>
          </w:tcPr>
          <w:p w14:paraId="17418B3F">
            <w:pPr>
              <w:rPr>
                <w:rFonts w:ascii="Times New Roman" w:hAnsi="Times New Roman"/>
                <w:sz w:val="20"/>
                <w:szCs w:val="20"/>
              </w:rPr>
            </w:pPr>
          </w:p>
        </w:tc>
      </w:tr>
      <w:tr w14:paraId="56E9AB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97" w:hRule="atLeast"/>
          <w:jc w:val="center"/>
        </w:trPr>
        <w:tc>
          <w:tcPr>
            <w:tcW w:w="1328" w:type="dxa"/>
            <w:tcBorders>
              <w:left w:val="single" w:color="auto" w:sz="8" w:space="0"/>
              <w:bottom w:val="single" w:color="auto" w:sz="4" w:space="0"/>
              <w:right w:val="single" w:color="auto" w:sz="4" w:space="0"/>
            </w:tcBorders>
            <w:vAlign w:val="center"/>
          </w:tcPr>
          <w:p w14:paraId="5FE2568C">
            <w:pPr>
              <w:jc w:val="center"/>
              <w:rPr>
                <w:rFonts w:ascii="Times New Roman" w:hAnsi="Times New Roman"/>
                <w:sz w:val="20"/>
                <w:szCs w:val="20"/>
              </w:rPr>
            </w:pPr>
            <w:r>
              <w:rPr>
                <w:rFonts w:hint="eastAsia" w:ascii="Times New Roman" w:hAnsi="Times New Roman"/>
                <w:sz w:val="20"/>
                <w:szCs w:val="20"/>
              </w:rPr>
              <w:t>专项培训</w:t>
            </w:r>
          </w:p>
        </w:tc>
        <w:tc>
          <w:tcPr>
            <w:tcW w:w="3309" w:type="dxa"/>
            <w:tcBorders>
              <w:top w:val="single" w:color="auto" w:sz="4" w:space="0"/>
              <w:left w:val="single" w:color="auto" w:sz="4" w:space="0"/>
              <w:bottom w:val="single" w:color="auto" w:sz="4" w:space="0"/>
              <w:right w:val="single" w:color="auto" w:sz="4" w:space="0"/>
            </w:tcBorders>
            <w:vAlign w:val="center"/>
          </w:tcPr>
          <w:p w14:paraId="65500480">
            <w:pPr>
              <w:pStyle w:val="182"/>
            </w:pPr>
            <w:r>
              <w:rPr>
                <w:rFonts w:hint="eastAsia"/>
              </w:rPr>
              <w:t>东盟国家</w:t>
            </w:r>
            <w:r>
              <w:t>技术转移</w:t>
            </w:r>
            <w:r>
              <w:rPr>
                <w:rFonts w:hint="eastAsia"/>
              </w:rPr>
              <w:t>合规指南</w:t>
            </w:r>
          </w:p>
        </w:tc>
        <w:tc>
          <w:tcPr>
            <w:tcW w:w="1144" w:type="dxa"/>
            <w:tcBorders>
              <w:top w:val="single" w:color="auto" w:sz="4" w:space="0"/>
              <w:left w:val="single" w:color="auto" w:sz="4" w:space="0"/>
              <w:bottom w:val="single" w:color="auto" w:sz="4" w:space="0"/>
              <w:right w:val="single" w:color="auto" w:sz="4" w:space="0"/>
            </w:tcBorders>
            <w:vAlign w:val="center"/>
          </w:tcPr>
          <w:p w14:paraId="73E90908">
            <w:pPr>
              <w:pStyle w:val="182"/>
              <w:rPr>
                <w:szCs w:val="18"/>
              </w:rPr>
            </w:pPr>
            <w:r>
              <w:rPr>
                <w:rFonts w:hint="eastAsia"/>
                <w:szCs w:val="18"/>
              </w:rPr>
              <w:t>每个国家</w:t>
            </w:r>
          </w:p>
          <w:p w14:paraId="421DF0A6">
            <w:pPr>
              <w:pStyle w:val="182"/>
              <w:rPr>
                <w:szCs w:val="18"/>
              </w:rPr>
            </w:pPr>
            <w:r>
              <w:rPr>
                <w:rFonts w:hint="eastAsia"/>
                <w:szCs w:val="18"/>
              </w:rPr>
              <w:t>2个</w:t>
            </w:r>
          </w:p>
        </w:tc>
        <w:tc>
          <w:tcPr>
            <w:tcW w:w="937" w:type="dxa"/>
            <w:tcBorders>
              <w:top w:val="single" w:color="auto" w:sz="4" w:space="0"/>
              <w:left w:val="single" w:color="auto" w:sz="4" w:space="0"/>
              <w:bottom w:val="single" w:color="auto" w:sz="4" w:space="0"/>
              <w:right w:val="single" w:color="auto" w:sz="4" w:space="0"/>
            </w:tcBorders>
            <w:vAlign w:val="center"/>
          </w:tcPr>
          <w:p w14:paraId="07DAEF35">
            <w:pPr>
              <w:jc w:val="center"/>
              <w:rPr>
                <w:rFonts w:ascii="宋体" w:hAnsi="宋体"/>
                <w:sz w:val="18"/>
                <w:szCs w:val="18"/>
              </w:rPr>
            </w:pPr>
            <w:r>
              <w:rPr>
                <w:rFonts w:hint="eastAsia" w:ascii="宋体" w:hAnsi="宋体"/>
                <w:sz w:val="18"/>
                <w:szCs w:val="18"/>
              </w:rPr>
              <w:t>20</w:t>
            </w:r>
          </w:p>
        </w:tc>
        <w:tc>
          <w:tcPr>
            <w:tcW w:w="1144" w:type="dxa"/>
            <w:tcBorders>
              <w:top w:val="single" w:color="auto" w:sz="4" w:space="0"/>
              <w:left w:val="single" w:color="auto" w:sz="4" w:space="0"/>
              <w:bottom w:val="single" w:color="auto" w:sz="4" w:space="0"/>
              <w:right w:val="single" w:color="auto" w:sz="4" w:space="0"/>
            </w:tcBorders>
            <w:vAlign w:val="center"/>
          </w:tcPr>
          <w:p w14:paraId="7654047E">
            <w:pPr>
              <w:pStyle w:val="182"/>
              <w:rPr>
                <w:rFonts w:ascii="Times New Roman"/>
                <w:szCs w:val="18"/>
              </w:rPr>
            </w:pPr>
            <w:r>
              <w:rPr>
                <w:rFonts w:hint="eastAsia"/>
                <w:szCs w:val="18"/>
              </w:rPr>
              <w:t>混合</w:t>
            </w:r>
            <w:r>
              <w:rPr>
                <w:szCs w:val="18"/>
              </w:rPr>
              <w:t>培训</w:t>
            </w:r>
          </w:p>
        </w:tc>
        <w:tc>
          <w:tcPr>
            <w:tcW w:w="1144" w:type="dxa"/>
            <w:tcBorders>
              <w:top w:val="single" w:color="auto" w:sz="4" w:space="0"/>
              <w:left w:val="single" w:color="auto" w:sz="4" w:space="0"/>
              <w:bottom w:val="single" w:color="auto" w:sz="4" w:space="0"/>
              <w:right w:val="single" w:color="auto" w:sz="8" w:space="0"/>
            </w:tcBorders>
            <w:vAlign w:val="center"/>
          </w:tcPr>
          <w:p w14:paraId="33C7F1CF">
            <w:pPr>
              <w:pStyle w:val="182"/>
              <w:rPr>
                <w:rFonts w:ascii="Times New Roman"/>
                <w:sz w:val="20"/>
              </w:rPr>
            </w:pPr>
            <w:r>
              <w:t>选修</w:t>
            </w:r>
          </w:p>
        </w:tc>
      </w:tr>
      <w:tr w14:paraId="398A3F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328" w:type="dxa"/>
            <w:vMerge w:val="restart"/>
            <w:tcBorders>
              <w:top w:val="single" w:color="auto" w:sz="4" w:space="0"/>
              <w:left w:val="single" w:color="auto" w:sz="8" w:space="0"/>
              <w:bottom w:val="single" w:color="auto" w:sz="8" w:space="0"/>
              <w:right w:val="single" w:color="auto" w:sz="4" w:space="0"/>
            </w:tcBorders>
            <w:vAlign w:val="center"/>
          </w:tcPr>
          <w:p w14:paraId="09875B0D">
            <w:pPr>
              <w:pStyle w:val="182"/>
            </w:pPr>
            <w:r>
              <w:t>总计</w:t>
            </w:r>
          </w:p>
        </w:tc>
        <w:tc>
          <w:tcPr>
            <w:tcW w:w="4453" w:type="dxa"/>
            <w:gridSpan w:val="2"/>
            <w:tcBorders>
              <w:top w:val="single" w:color="auto" w:sz="4" w:space="0"/>
              <w:left w:val="single" w:color="auto" w:sz="4" w:space="0"/>
              <w:bottom w:val="single" w:color="auto" w:sz="4" w:space="0"/>
              <w:right w:val="single" w:color="auto" w:sz="4" w:space="0"/>
            </w:tcBorders>
            <w:vAlign w:val="center"/>
          </w:tcPr>
          <w:p w14:paraId="4BBCCC20">
            <w:pPr>
              <w:pStyle w:val="182"/>
            </w:pPr>
            <w:r>
              <w:t>面向东盟初级技术经理人</w:t>
            </w:r>
          </w:p>
        </w:tc>
        <w:tc>
          <w:tcPr>
            <w:tcW w:w="2081" w:type="dxa"/>
            <w:gridSpan w:val="2"/>
            <w:tcBorders>
              <w:top w:val="single" w:color="auto" w:sz="4" w:space="0"/>
              <w:left w:val="single" w:color="auto" w:sz="4" w:space="0"/>
              <w:bottom w:val="single" w:color="auto" w:sz="4" w:space="0"/>
              <w:right w:val="single" w:color="auto" w:sz="4" w:space="0"/>
            </w:tcBorders>
            <w:vAlign w:val="center"/>
          </w:tcPr>
          <w:p w14:paraId="1E573C03">
            <w:pPr>
              <w:pStyle w:val="182"/>
              <w:rPr>
                <w:color w:val="FF0000"/>
              </w:rPr>
            </w:pPr>
            <w:r>
              <w:t>26</w:t>
            </w:r>
          </w:p>
        </w:tc>
        <w:tc>
          <w:tcPr>
            <w:tcW w:w="1144" w:type="dxa"/>
            <w:vMerge w:val="restart"/>
            <w:tcBorders>
              <w:top w:val="single" w:color="auto" w:sz="4" w:space="0"/>
              <w:left w:val="single" w:color="auto" w:sz="4" w:space="0"/>
              <w:bottom w:val="single" w:color="auto" w:sz="8" w:space="0"/>
              <w:right w:val="single" w:color="auto" w:sz="8" w:space="0"/>
            </w:tcBorders>
            <w:vAlign w:val="center"/>
          </w:tcPr>
          <w:p w14:paraId="68921B11">
            <w:pPr>
              <w:pStyle w:val="182"/>
            </w:pPr>
            <w:r>
              <w:t>必修</w:t>
            </w:r>
          </w:p>
        </w:tc>
      </w:tr>
      <w:tr w14:paraId="75AC92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09" w:hRule="atLeast"/>
          <w:jc w:val="center"/>
        </w:trPr>
        <w:tc>
          <w:tcPr>
            <w:tcW w:w="1328" w:type="dxa"/>
            <w:vMerge w:val="continue"/>
            <w:tcBorders>
              <w:top w:val="single" w:color="auto" w:sz="4" w:space="0"/>
              <w:left w:val="single" w:color="auto" w:sz="8" w:space="0"/>
              <w:bottom w:val="single" w:color="auto" w:sz="8" w:space="0"/>
              <w:right w:val="single" w:color="auto" w:sz="4" w:space="0"/>
            </w:tcBorders>
            <w:vAlign w:val="center"/>
          </w:tcPr>
          <w:p w14:paraId="75EF0B72">
            <w:pPr>
              <w:rPr>
                <w:rFonts w:ascii="Times New Roman" w:hAnsi="Times New Roman"/>
                <w:sz w:val="20"/>
                <w:szCs w:val="20"/>
              </w:rPr>
            </w:pPr>
          </w:p>
        </w:tc>
        <w:tc>
          <w:tcPr>
            <w:tcW w:w="4453" w:type="dxa"/>
            <w:gridSpan w:val="2"/>
            <w:tcBorders>
              <w:top w:val="single" w:color="auto" w:sz="4" w:space="0"/>
              <w:left w:val="single" w:color="auto" w:sz="4" w:space="0"/>
              <w:bottom w:val="single" w:color="auto" w:sz="4" w:space="0"/>
              <w:right w:val="single" w:color="auto" w:sz="4" w:space="0"/>
            </w:tcBorders>
            <w:vAlign w:val="center"/>
          </w:tcPr>
          <w:p w14:paraId="3F682CBB">
            <w:pPr>
              <w:pStyle w:val="182"/>
            </w:pPr>
            <w:r>
              <w:t>面向东盟中级技术经理人</w:t>
            </w:r>
          </w:p>
        </w:tc>
        <w:tc>
          <w:tcPr>
            <w:tcW w:w="2081" w:type="dxa"/>
            <w:gridSpan w:val="2"/>
            <w:tcBorders>
              <w:top w:val="single" w:color="auto" w:sz="4" w:space="0"/>
              <w:left w:val="single" w:color="auto" w:sz="4" w:space="0"/>
              <w:bottom w:val="single" w:color="auto" w:sz="4" w:space="0"/>
              <w:right w:val="single" w:color="auto" w:sz="4" w:space="0"/>
            </w:tcBorders>
            <w:vAlign w:val="center"/>
          </w:tcPr>
          <w:p w14:paraId="58936B46">
            <w:pPr>
              <w:pStyle w:val="182"/>
            </w:pPr>
            <w:r>
              <w:t>20</w:t>
            </w:r>
          </w:p>
        </w:tc>
        <w:tc>
          <w:tcPr>
            <w:tcW w:w="1144" w:type="dxa"/>
            <w:vMerge w:val="continue"/>
            <w:tcBorders>
              <w:top w:val="single" w:color="auto" w:sz="4" w:space="0"/>
              <w:left w:val="single" w:color="auto" w:sz="4" w:space="0"/>
              <w:bottom w:val="single" w:color="auto" w:sz="8" w:space="0"/>
              <w:right w:val="single" w:color="auto" w:sz="8" w:space="0"/>
            </w:tcBorders>
            <w:vAlign w:val="center"/>
          </w:tcPr>
          <w:p w14:paraId="6D520B35">
            <w:pPr>
              <w:rPr>
                <w:rFonts w:ascii="Times New Roman" w:hAnsi="Times New Roman"/>
                <w:sz w:val="20"/>
                <w:szCs w:val="20"/>
              </w:rPr>
            </w:pPr>
          </w:p>
        </w:tc>
      </w:tr>
      <w:tr w14:paraId="067E94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8" w:type="dxa"/>
            <w:vMerge w:val="continue"/>
            <w:tcBorders>
              <w:top w:val="single" w:color="auto" w:sz="4" w:space="0"/>
              <w:left w:val="single" w:color="auto" w:sz="8" w:space="0"/>
              <w:bottom w:val="single" w:color="auto" w:sz="8" w:space="0"/>
              <w:right w:val="single" w:color="auto" w:sz="4" w:space="0"/>
            </w:tcBorders>
            <w:vAlign w:val="center"/>
          </w:tcPr>
          <w:p w14:paraId="76E7E557">
            <w:pPr>
              <w:rPr>
                <w:rFonts w:ascii="Times New Roman" w:hAnsi="Times New Roman"/>
                <w:sz w:val="20"/>
                <w:szCs w:val="20"/>
              </w:rPr>
            </w:pPr>
          </w:p>
        </w:tc>
        <w:tc>
          <w:tcPr>
            <w:tcW w:w="4453" w:type="dxa"/>
            <w:gridSpan w:val="2"/>
            <w:tcBorders>
              <w:top w:val="single" w:color="auto" w:sz="4" w:space="0"/>
              <w:left w:val="single" w:color="auto" w:sz="4" w:space="0"/>
              <w:bottom w:val="single" w:color="auto" w:sz="8" w:space="0"/>
              <w:right w:val="single" w:color="auto" w:sz="4" w:space="0"/>
            </w:tcBorders>
            <w:vAlign w:val="center"/>
          </w:tcPr>
          <w:p w14:paraId="30CD38D9">
            <w:pPr>
              <w:pStyle w:val="182"/>
            </w:pPr>
            <w:r>
              <w:t>面向东盟高级技术经理人</w:t>
            </w:r>
          </w:p>
        </w:tc>
        <w:tc>
          <w:tcPr>
            <w:tcW w:w="2081" w:type="dxa"/>
            <w:gridSpan w:val="2"/>
            <w:tcBorders>
              <w:top w:val="single" w:color="auto" w:sz="4" w:space="0"/>
              <w:left w:val="single" w:color="auto" w:sz="4" w:space="0"/>
              <w:bottom w:val="single" w:color="auto" w:sz="8" w:space="0"/>
              <w:right w:val="single" w:color="auto" w:sz="4" w:space="0"/>
            </w:tcBorders>
            <w:vAlign w:val="center"/>
          </w:tcPr>
          <w:p w14:paraId="2367AB54">
            <w:pPr>
              <w:pStyle w:val="182"/>
            </w:pPr>
            <w:r>
              <w:t>20</w:t>
            </w:r>
          </w:p>
        </w:tc>
        <w:tc>
          <w:tcPr>
            <w:tcW w:w="1144" w:type="dxa"/>
            <w:vMerge w:val="continue"/>
            <w:tcBorders>
              <w:top w:val="single" w:color="auto" w:sz="4" w:space="0"/>
              <w:left w:val="single" w:color="auto" w:sz="4" w:space="0"/>
              <w:bottom w:val="single" w:color="auto" w:sz="8" w:space="0"/>
              <w:right w:val="single" w:color="auto" w:sz="8" w:space="0"/>
            </w:tcBorders>
            <w:vAlign w:val="center"/>
          </w:tcPr>
          <w:p w14:paraId="074BCFA4">
            <w:pPr>
              <w:rPr>
                <w:rFonts w:ascii="Times New Roman" w:hAnsi="Times New Roman"/>
                <w:sz w:val="20"/>
                <w:szCs w:val="20"/>
              </w:rPr>
            </w:pPr>
          </w:p>
        </w:tc>
      </w:tr>
    </w:tbl>
    <w:p w14:paraId="1906B09E">
      <w:pPr>
        <w:pStyle w:val="60"/>
        <w:ind w:firstLine="420" w:firstLineChars="0"/>
        <w:rPr>
          <w:rFonts w:hint="eastAsia"/>
        </w:rPr>
      </w:pPr>
    </w:p>
    <w:p w14:paraId="4E987E89">
      <w:pPr>
        <w:pStyle w:val="60"/>
        <w:ind w:firstLine="420" w:firstLineChars="0"/>
      </w:pPr>
    </w:p>
    <w:p w14:paraId="4A80E349">
      <w:pPr>
        <w:pStyle w:val="108"/>
        <w:spacing w:before="240" w:after="240"/>
      </w:pPr>
      <w:bookmarkStart w:id="298" w:name="_Toc128314914"/>
      <w:bookmarkStart w:id="299" w:name="_Toc174091930"/>
      <w:bookmarkStart w:id="300" w:name="_Toc133229145"/>
      <w:bookmarkStart w:id="301" w:name="_Toc119923854"/>
      <w:bookmarkStart w:id="302" w:name="_Toc182921689"/>
      <w:bookmarkStart w:id="303" w:name="_Toc133225929"/>
      <w:bookmarkStart w:id="304" w:name="_Toc129870546"/>
      <w:bookmarkStart w:id="305" w:name="_Toc185260625"/>
      <w:bookmarkStart w:id="306" w:name="_Toc178176547"/>
      <w:bookmarkStart w:id="307" w:name="_Toc184734324"/>
      <w:bookmarkStart w:id="308" w:name="_Toc173344679"/>
      <w:bookmarkStart w:id="309" w:name="_Toc182921663"/>
      <w:bookmarkStart w:id="310" w:name="_Toc128040848"/>
      <w:bookmarkStart w:id="311" w:name="_Toc173331511"/>
      <w:bookmarkStart w:id="312" w:name="_Toc133226013"/>
      <w:bookmarkStart w:id="313" w:name="_Toc173330497"/>
      <w:bookmarkStart w:id="314" w:name="_Toc120603754"/>
      <w:bookmarkStart w:id="315" w:name="_Toc190161187"/>
      <w:bookmarkStart w:id="316" w:name="_Toc198665377"/>
      <w:bookmarkStart w:id="317" w:name="_Toc190027566"/>
      <w:bookmarkStart w:id="318" w:name="_Toc198665350"/>
      <w:bookmarkStart w:id="319" w:name="_Toc203405709"/>
      <w:bookmarkStart w:id="320" w:name="_Toc199318875"/>
      <w:bookmarkStart w:id="321" w:name="_Toc200650143"/>
      <w:r>
        <w:rPr>
          <w:rFonts w:hint="eastAsia"/>
        </w:rPr>
        <w:t>培训</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Pr>
          <w:rFonts w:hint="eastAsia"/>
        </w:rPr>
        <w:t>形式</w:t>
      </w:r>
      <w:bookmarkEnd w:id="315"/>
      <w:bookmarkEnd w:id="316"/>
      <w:bookmarkEnd w:id="317"/>
      <w:bookmarkEnd w:id="318"/>
      <w:bookmarkEnd w:id="319"/>
      <w:bookmarkEnd w:id="320"/>
      <w:bookmarkEnd w:id="321"/>
    </w:p>
    <w:p w14:paraId="6CFC6926">
      <w:pPr>
        <w:pStyle w:val="109"/>
        <w:spacing w:before="120" w:after="120"/>
      </w:pPr>
      <w:bookmarkStart w:id="322" w:name="_Toc198665351"/>
      <w:bookmarkStart w:id="323" w:name="_Toc199318876"/>
      <w:bookmarkStart w:id="324" w:name="_Toc203405710"/>
      <w:bookmarkStart w:id="325" w:name="_Toc198665378"/>
      <w:bookmarkStart w:id="326" w:name="_Toc200650144"/>
      <w:r>
        <w:rPr>
          <w:rFonts w:hint="eastAsia"/>
        </w:rPr>
        <w:t>线下培训</w:t>
      </w:r>
      <w:bookmarkEnd w:id="322"/>
      <w:bookmarkEnd w:id="323"/>
      <w:bookmarkEnd w:id="324"/>
      <w:bookmarkEnd w:id="325"/>
      <w:bookmarkEnd w:id="326"/>
    </w:p>
    <w:p w14:paraId="383ED305">
      <w:pPr>
        <w:pStyle w:val="60"/>
        <w:ind w:firstLine="420"/>
      </w:pPr>
      <w:r>
        <w:rPr>
          <w:rFonts w:hint="eastAsia"/>
        </w:rPr>
        <w:t>包括但不限于以下内容：</w:t>
      </w:r>
    </w:p>
    <w:p w14:paraId="307BEC45">
      <w:pPr>
        <w:pStyle w:val="136"/>
      </w:pPr>
      <w:r>
        <w:rPr>
          <w:rFonts w:hint="eastAsia"/>
        </w:rPr>
        <w:t>集中授课：邀请中国专家和学者或东盟国家的专家和学者进行面对面授课，分享东盟地区的行业动态和实践经验；</w:t>
      </w:r>
    </w:p>
    <w:p w14:paraId="1666BCA1">
      <w:pPr>
        <w:pStyle w:val="136"/>
      </w:pPr>
      <w:r>
        <w:rPr>
          <w:rFonts w:hint="eastAsia"/>
        </w:rPr>
        <w:t>实践操作：在实训场地进行实际操作训练，模拟东盟国家的工作环境和流程，让学员更好地适应东盟地区的工作需求；</w:t>
      </w:r>
    </w:p>
    <w:p w14:paraId="25C51706">
      <w:pPr>
        <w:pStyle w:val="136"/>
      </w:pPr>
      <w:bookmarkStart w:id="327" w:name="OLE_LINK1"/>
      <w:bookmarkStart w:id="328" w:name="OLE_LINK2"/>
      <w:r>
        <w:rPr>
          <w:rFonts w:hint="eastAsia"/>
        </w:rPr>
        <w:t>工作坊</w:t>
      </w:r>
      <w:bookmarkEnd w:id="327"/>
      <w:bookmarkEnd w:id="328"/>
      <w:r>
        <w:rPr>
          <w:rFonts w:hint="eastAsia"/>
        </w:rPr>
        <w:t>：通过小组讨论、案例分析、角色扮演等形式，促进学员之间的互动和交流，加深对东盟国家文化和商业环境的理解；</w:t>
      </w:r>
    </w:p>
    <w:p w14:paraId="61DA0B51">
      <w:pPr>
        <w:pStyle w:val="136"/>
      </w:pPr>
      <w:r>
        <w:rPr>
          <w:rFonts w:hint="eastAsia"/>
        </w:rPr>
        <w:t>实地考察：组织学员参观东盟国家的相关企业或机构，了解当地的实际运作情况，增强培训的实用性。</w:t>
      </w:r>
    </w:p>
    <w:p w14:paraId="2CF2B816">
      <w:pPr>
        <w:pStyle w:val="109"/>
        <w:spacing w:before="120" w:after="120"/>
      </w:pPr>
      <w:bookmarkStart w:id="329" w:name="_Toc198665352"/>
      <w:bookmarkStart w:id="330" w:name="_Toc203405711"/>
      <w:bookmarkStart w:id="331" w:name="_Toc198665379"/>
      <w:bookmarkStart w:id="332" w:name="_Toc200650145"/>
      <w:bookmarkStart w:id="333" w:name="_Toc199318877"/>
      <w:r>
        <w:rPr>
          <w:rFonts w:hint="eastAsia"/>
        </w:rPr>
        <w:t>线上培训</w:t>
      </w:r>
      <w:bookmarkEnd w:id="329"/>
      <w:bookmarkEnd w:id="330"/>
      <w:bookmarkEnd w:id="331"/>
      <w:bookmarkEnd w:id="332"/>
      <w:bookmarkEnd w:id="333"/>
    </w:p>
    <w:p w14:paraId="249E749B">
      <w:pPr>
        <w:pStyle w:val="60"/>
        <w:ind w:firstLine="420"/>
      </w:pPr>
      <w:r>
        <w:rPr>
          <w:rFonts w:hint="eastAsia"/>
        </w:rPr>
        <w:t>包括但不限于以下内容：</w:t>
      </w:r>
    </w:p>
    <w:p w14:paraId="0AFFB939">
      <w:pPr>
        <w:pStyle w:val="136"/>
      </w:pPr>
      <w:r>
        <w:rPr>
          <w:rFonts w:hint="eastAsia"/>
        </w:rPr>
        <w:t>直播课程：通过在线直播平台进行实时授课，邀请东盟国家的专家进行线上讲解和互动，方便学员远程学习；</w:t>
      </w:r>
    </w:p>
    <w:p w14:paraId="2B6471E7">
      <w:pPr>
        <w:pStyle w:val="136"/>
      </w:pPr>
      <w:r>
        <w:rPr>
          <w:rFonts w:hint="eastAsia"/>
        </w:rPr>
        <w:t>录播课程：提供录播视频，学员可以根据自己的时间安排进行学习，内容涵盖东盟国家的语言、文化、商业规则等；</w:t>
      </w:r>
    </w:p>
    <w:p w14:paraId="328A7E03">
      <w:pPr>
        <w:pStyle w:val="136"/>
      </w:pPr>
      <w:r>
        <w:rPr>
          <w:rFonts w:hint="eastAsia"/>
        </w:rPr>
        <w:t>在线讨论：通过在线论坛或讨论组，促进学员之间的交流和互动，解答疑问，分享在东盟国家工作和生活的经验；</w:t>
      </w:r>
    </w:p>
    <w:p w14:paraId="165ACA1F">
      <w:pPr>
        <w:pStyle w:val="136"/>
      </w:pPr>
      <w:r>
        <w:rPr>
          <w:rFonts w:hint="eastAsia"/>
        </w:rPr>
        <w:t>在线测试：通过在线测试平台，对学员的学习效果进行评估和反馈，确保学员掌握东盟相关的知识和技能。</w:t>
      </w:r>
    </w:p>
    <w:p w14:paraId="0E301C4C">
      <w:pPr>
        <w:pStyle w:val="109"/>
        <w:spacing w:before="120" w:after="120"/>
      </w:pPr>
      <w:bookmarkStart w:id="334" w:name="_Toc203405712"/>
      <w:bookmarkStart w:id="335" w:name="_Toc198665353"/>
      <w:bookmarkStart w:id="336" w:name="_Toc199318878"/>
      <w:bookmarkStart w:id="337" w:name="_Toc198665380"/>
      <w:bookmarkStart w:id="338" w:name="_Toc200650146"/>
      <w:r>
        <w:rPr>
          <w:rFonts w:hint="eastAsia"/>
        </w:rPr>
        <w:t>混合式培训</w:t>
      </w:r>
      <w:bookmarkEnd w:id="334"/>
      <w:bookmarkEnd w:id="335"/>
      <w:bookmarkEnd w:id="336"/>
      <w:bookmarkEnd w:id="337"/>
      <w:bookmarkEnd w:id="338"/>
    </w:p>
    <w:p w14:paraId="0A72B2B3">
      <w:pPr>
        <w:pStyle w:val="60"/>
        <w:ind w:firstLine="420"/>
      </w:pPr>
      <w:r>
        <w:rPr>
          <w:rFonts w:hint="eastAsia"/>
        </w:rPr>
        <w:t>线下集中授课和线上自主学习相结合。</w:t>
      </w:r>
    </w:p>
    <w:p w14:paraId="27837C52">
      <w:pPr>
        <w:pStyle w:val="108"/>
        <w:spacing w:before="240" w:after="240"/>
        <w:rPr>
          <w:color w:val="FF0000"/>
        </w:rPr>
      </w:pPr>
      <w:bookmarkStart w:id="339" w:name="_Toc199318879"/>
      <w:bookmarkStart w:id="340" w:name="_Toc190161188"/>
      <w:bookmarkStart w:id="341" w:name="_Toc203405713"/>
      <w:bookmarkStart w:id="342" w:name="_Toc198665381"/>
      <w:bookmarkStart w:id="343" w:name="_Toc200650147"/>
      <w:bookmarkStart w:id="344" w:name="_Toc198665354"/>
      <w:bookmarkStart w:id="345" w:name="_Toc190027567"/>
      <w:r>
        <w:rPr>
          <w:rFonts w:hint="eastAsia"/>
        </w:rPr>
        <w:t>培训要求</w:t>
      </w:r>
      <w:bookmarkEnd w:id="339"/>
      <w:bookmarkEnd w:id="340"/>
      <w:bookmarkEnd w:id="341"/>
      <w:bookmarkEnd w:id="342"/>
      <w:bookmarkEnd w:id="343"/>
      <w:bookmarkEnd w:id="344"/>
      <w:bookmarkEnd w:id="345"/>
    </w:p>
    <w:p w14:paraId="59B03380">
      <w:pPr>
        <w:pStyle w:val="109"/>
        <w:spacing w:before="120" w:after="120"/>
      </w:pPr>
      <w:bookmarkStart w:id="346" w:name="_Toc198665382"/>
      <w:bookmarkStart w:id="347" w:name="_Toc203405714"/>
      <w:bookmarkStart w:id="348" w:name="_Toc190161189"/>
      <w:bookmarkStart w:id="349" w:name="_Toc200650148"/>
      <w:bookmarkStart w:id="350" w:name="_Toc199318880"/>
      <w:bookmarkStart w:id="351" w:name="_Toc198665355"/>
      <w:r>
        <w:rPr>
          <w:rFonts w:hint="eastAsia"/>
        </w:rPr>
        <w:t>培训前准备</w:t>
      </w:r>
      <w:bookmarkEnd w:id="346"/>
      <w:bookmarkEnd w:id="347"/>
      <w:bookmarkEnd w:id="348"/>
      <w:bookmarkEnd w:id="349"/>
      <w:bookmarkEnd w:id="350"/>
      <w:bookmarkEnd w:id="351"/>
    </w:p>
    <w:p w14:paraId="0F023984">
      <w:pPr>
        <w:pStyle w:val="169"/>
        <w:ind w:left="0"/>
      </w:pPr>
      <w:r>
        <w:rPr>
          <w:rFonts w:hint="eastAsia"/>
        </w:rPr>
        <w:t>开展培训需求调研，对培训需求进行分析，在标准课程基础上，按需增设课程。</w:t>
      </w:r>
    </w:p>
    <w:p w14:paraId="766B1FB4">
      <w:pPr>
        <w:pStyle w:val="169"/>
        <w:ind w:left="0"/>
      </w:pPr>
      <w:r>
        <w:rPr>
          <w:rFonts w:hint="eastAsia"/>
        </w:rPr>
        <w:t>根据培训的目的制定培训方案，包括但不限于时间、地点、人员、课程设置、教学师资、教学时数、考核要求、经费预算等内容。</w:t>
      </w:r>
    </w:p>
    <w:p w14:paraId="0705F9E3">
      <w:pPr>
        <w:pStyle w:val="169"/>
        <w:ind w:left="0"/>
      </w:pPr>
      <w:r>
        <w:rPr>
          <w:rFonts w:hint="eastAsia"/>
        </w:rPr>
        <w:t>根据培训方案进行筹备工作，筹备内容包括但不限于：</w:t>
      </w:r>
    </w:p>
    <w:p w14:paraId="26C7251E">
      <w:pPr>
        <w:pStyle w:val="136"/>
      </w:pPr>
      <w:r>
        <w:rPr>
          <w:rFonts w:hint="eastAsia"/>
        </w:rPr>
        <w:t>设置培训课程：课程目标明确，体现知识、技能技巧的传授和能力及职业道德的培养；课程内容实用，课程理论知识与技能操作比例科学；</w:t>
      </w:r>
    </w:p>
    <w:p w14:paraId="513AC01C">
      <w:pPr>
        <w:pStyle w:val="136"/>
      </w:pPr>
      <w:r>
        <w:rPr>
          <w:rFonts w:hint="eastAsia"/>
        </w:rPr>
        <w:t>选定培训师资：合理配置师资，根据培训性质、教学形式和内容的特点确定合理的专兼职教师数量；</w:t>
      </w:r>
    </w:p>
    <w:p w14:paraId="10E60C6F">
      <w:pPr>
        <w:pStyle w:val="136"/>
      </w:pPr>
      <w:r>
        <w:rPr>
          <w:rFonts w:hint="eastAsia"/>
        </w:rPr>
        <w:t>选择适合的培训教材，教材完整、准确，与培训内容相匹配，体现专科课程特点；</w:t>
      </w:r>
    </w:p>
    <w:p w14:paraId="52FC6498">
      <w:pPr>
        <w:pStyle w:val="136"/>
      </w:pPr>
      <w:r>
        <w:rPr>
          <w:rFonts w:hint="eastAsia"/>
        </w:rPr>
        <w:t>确定培训场所：培训场地、教学设备等方面满足培训需求。</w:t>
      </w:r>
    </w:p>
    <w:p w14:paraId="66D68193">
      <w:pPr>
        <w:pStyle w:val="169"/>
        <w:ind w:left="0"/>
      </w:pPr>
      <w:r>
        <w:rPr>
          <w:rFonts w:hint="eastAsia"/>
        </w:rPr>
        <w:t>提前发布培训通知。通知应明确培训时间、地点、内容及报名条件等。</w:t>
      </w:r>
    </w:p>
    <w:p w14:paraId="03A28679">
      <w:pPr>
        <w:pStyle w:val="169"/>
        <w:ind w:left="0"/>
      </w:pPr>
      <w:r>
        <w:rPr>
          <w:rFonts w:hint="eastAsia"/>
        </w:rPr>
        <w:t>审核报名对象的资质，确定培训人员名单并及时反馈。</w:t>
      </w:r>
    </w:p>
    <w:p w14:paraId="29FB9B13">
      <w:pPr>
        <w:pStyle w:val="169"/>
        <w:ind w:left="0"/>
      </w:pPr>
      <w:r>
        <w:rPr>
          <w:rFonts w:hint="eastAsia"/>
        </w:rPr>
        <w:t>提前与学员沟通，了解其学习目标和期望，根据学员背景和需求进行分组，提前通知学员培训时间、地点、内容和注意事项，提供培训日程表和学习资料，帮助学员做好准备。</w:t>
      </w:r>
    </w:p>
    <w:p w14:paraId="19BA6B06">
      <w:pPr>
        <w:pStyle w:val="169"/>
        <w:ind w:left="0"/>
      </w:pPr>
      <w:r>
        <w:rPr>
          <w:rFonts w:hint="eastAsia"/>
        </w:rPr>
        <w:t>线下授课提前做好培训场所的设备调试、学员座次安排等准备工作。线上授课提前向学员发放平台使用说明，提前做好线上授课调试准备工作。</w:t>
      </w:r>
    </w:p>
    <w:p w14:paraId="0B8BF419">
      <w:pPr>
        <w:pStyle w:val="169"/>
        <w:ind w:left="0"/>
      </w:pPr>
      <w:r>
        <w:rPr>
          <w:rFonts w:hint="eastAsia"/>
        </w:rPr>
        <w:t>制定应急预案，培训期间安排专人负责应急处理，确保培训的顺利进行。</w:t>
      </w:r>
    </w:p>
    <w:p w14:paraId="6448EF3D">
      <w:pPr>
        <w:pStyle w:val="109"/>
        <w:spacing w:before="120" w:after="120"/>
      </w:pPr>
      <w:bookmarkStart w:id="352" w:name="_Toc200650149"/>
      <w:bookmarkStart w:id="353" w:name="_Toc190161190"/>
      <w:bookmarkStart w:id="354" w:name="_Toc199318881"/>
      <w:bookmarkStart w:id="355" w:name="_Toc198665356"/>
      <w:bookmarkStart w:id="356" w:name="_Toc198665383"/>
      <w:bookmarkStart w:id="357" w:name="_Toc190027572"/>
      <w:bookmarkStart w:id="358" w:name="_Toc203405715"/>
      <w:r>
        <w:rPr>
          <w:rFonts w:hint="eastAsia"/>
        </w:rPr>
        <w:t>实施培训</w:t>
      </w:r>
      <w:bookmarkEnd w:id="352"/>
      <w:bookmarkEnd w:id="353"/>
      <w:bookmarkEnd w:id="354"/>
      <w:bookmarkEnd w:id="355"/>
      <w:bookmarkEnd w:id="356"/>
      <w:bookmarkEnd w:id="357"/>
      <w:bookmarkEnd w:id="358"/>
    </w:p>
    <w:p w14:paraId="6E826F1E">
      <w:pPr>
        <w:pStyle w:val="169"/>
        <w:ind w:left="0"/>
      </w:pPr>
      <w:r>
        <w:rPr>
          <w:rFonts w:hint="eastAsia"/>
        </w:rPr>
        <w:t>在符合培训场所组织学员进行集中现场相关理论及实操培训，建立班委制度。</w:t>
      </w:r>
    </w:p>
    <w:p w14:paraId="642AB65F">
      <w:pPr>
        <w:pStyle w:val="169"/>
        <w:ind w:left="0"/>
      </w:pPr>
      <w:r>
        <w:rPr>
          <w:rFonts w:hint="eastAsia"/>
        </w:rPr>
        <w:t>培训形式采取线上+线下相结合，主要以专题讲座、观看教学视频、课堂体验、案例分享、情景演练等形式。</w:t>
      </w:r>
    </w:p>
    <w:p w14:paraId="1C900315">
      <w:pPr>
        <w:pStyle w:val="169"/>
        <w:ind w:left="0"/>
      </w:pPr>
      <w:bookmarkStart w:id="359" w:name="OLE_LINK31"/>
      <w:bookmarkStart w:id="360" w:name="OLE_LINK30"/>
      <w:r>
        <w:rPr>
          <w:rFonts w:hint="eastAsia"/>
        </w:rPr>
        <w:t>按照不同等级培训，理论学习占40％，实践训练占60％。每个学员至少应参加培训班85％的线下线上理论课程，应参加85％以上实践训练</w:t>
      </w:r>
      <w:bookmarkEnd w:id="359"/>
      <w:bookmarkEnd w:id="360"/>
      <w:r>
        <w:rPr>
          <w:rFonts w:hint="eastAsia"/>
        </w:rPr>
        <w:t>。</w:t>
      </w:r>
    </w:p>
    <w:p w14:paraId="79F9834B">
      <w:pPr>
        <w:pStyle w:val="169"/>
        <w:ind w:left="0"/>
      </w:pPr>
      <w:r>
        <w:rPr>
          <w:rFonts w:hint="eastAsia"/>
        </w:rPr>
        <w:t>建立考勤制度，统计学员的出勤情况。学员应达到规定的出勤率（不低于80％）方可参加结业考核。</w:t>
      </w:r>
    </w:p>
    <w:p w14:paraId="369110A8">
      <w:pPr>
        <w:pStyle w:val="169"/>
        <w:ind w:left="0"/>
      </w:pPr>
      <w:r>
        <w:rPr>
          <w:rFonts w:hint="eastAsia"/>
        </w:rPr>
        <w:t>跟进教学服务，解决培训过程中的技术支持问题，按照课时进度授课。</w:t>
      </w:r>
    </w:p>
    <w:p w14:paraId="39CCDDD2">
      <w:pPr>
        <w:pStyle w:val="169"/>
        <w:ind w:left="0"/>
      </w:pPr>
      <w:r>
        <w:rPr>
          <w:rFonts w:hint="eastAsia"/>
        </w:rPr>
        <w:t>建立教学质量管理制度，在培训过程中，收集学员对培训内容、形式、师资等方面的反馈意见，对存在的问题运用质量管理工具分析、整改，持续改进提升教学质量。</w:t>
      </w:r>
    </w:p>
    <w:p w14:paraId="0AE07D9F">
      <w:pPr>
        <w:pStyle w:val="169"/>
        <w:ind w:left="0"/>
      </w:pPr>
      <w:r>
        <w:rPr>
          <w:rFonts w:hint="eastAsia"/>
        </w:rPr>
        <w:t>建立投诉处理机制，及时有效处理培训学员的投诉。</w:t>
      </w:r>
    </w:p>
    <w:p w14:paraId="52D3FC72">
      <w:pPr>
        <w:pStyle w:val="109"/>
        <w:spacing w:before="120" w:after="120"/>
        <w:rPr>
          <w:color w:val="FF0000"/>
        </w:rPr>
      </w:pPr>
      <w:bookmarkStart w:id="361" w:name="_Toc203405716"/>
      <w:bookmarkStart w:id="362" w:name="_Toc184734325"/>
      <w:bookmarkStart w:id="363" w:name="_Toc174091931"/>
      <w:bookmarkStart w:id="364" w:name="_Toc199318882"/>
      <w:bookmarkStart w:id="365" w:name="_Toc173330498"/>
      <w:bookmarkStart w:id="366" w:name="_Toc182921664"/>
      <w:bookmarkStart w:id="367" w:name="_Toc198665357"/>
      <w:bookmarkStart w:id="368" w:name="_Toc178176548"/>
      <w:bookmarkStart w:id="369" w:name="_Toc182921690"/>
      <w:bookmarkStart w:id="370" w:name="_Toc190027573"/>
      <w:bookmarkStart w:id="371" w:name="_Toc200650150"/>
      <w:bookmarkStart w:id="372" w:name="_Toc185260626"/>
      <w:bookmarkStart w:id="373" w:name="_Toc173344680"/>
      <w:bookmarkStart w:id="374" w:name="_Toc198665384"/>
      <w:bookmarkStart w:id="375" w:name="_Toc190161191"/>
      <w:bookmarkStart w:id="376" w:name="_Toc173331512"/>
      <w:r>
        <w:rPr>
          <w:rFonts w:hint="eastAsia"/>
        </w:rPr>
        <w:t>培训考核</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1B7DC2EB">
      <w:pPr>
        <w:pStyle w:val="169"/>
        <w:ind w:left="0"/>
      </w:pPr>
      <w:bookmarkStart w:id="377" w:name="OLE_LINK33"/>
      <w:bookmarkStart w:id="378" w:name="OLE_LINK32"/>
      <w:r>
        <w:rPr>
          <w:rFonts w:hint="eastAsia"/>
        </w:rPr>
        <w:t>考评内容包括但不限于：</w:t>
      </w:r>
    </w:p>
    <w:p w14:paraId="16410DC7">
      <w:pPr>
        <w:pStyle w:val="136"/>
      </w:pPr>
      <w:r>
        <w:rPr>
          <w:rFonts w:hint="eastAsia"/>
        </w:rPr>
        <w:t>过程评价，根据学员出勤情况、遵守纪律情况和课堂学习互动表现情况进行评价；</w:t>
      </w:r>
    </w:p>
    <w:p w14:paraId="58BAD3D7">
      <w:pPr>
        <w:pStyle w:val="136"/>
      </w:pPr>
      <w:r>
        <w:rPr>
          <w:rFonts w:hint="eastAsia"/>
        </w:rPr>
        <w:t>理论知识考核：通过笔试或在线测试等方式，检验学员对国际技术转移基础知识、东盟市场与科技概况等的掌握程度；</w:t>
      </w:r>
    </w:p>
    <w:p w14:paraId="4D0CC89C">
      <w:pPr>
        <w:pStyle w:val="136"/>
      </w:pPr>
      <w:r>
        <w:rPr>
          <w:rFonts w:hint="eastAsia"/>
        </w:rPr>
        <w:t>案例分析报告：要求学员对某个或某几个技术转移案例进行深入分析，撰写案例分析报告，展示其分析问题和解决问题的能力；</w:t>
      </w:r>
    </w:p>
    <w:p w14:paraId="01D9FE59">
      <w:pPr>
        <w:pStyle w:val="136"/>
      </w:pPr>
      <w:r>
        <w:rPr>
          <w:rFonts w:hint="eastAsia"/>
        </w:rPr>
        <w:t>实战模拟演练：通过模拟技术转移过程中的实际场景，如商务谈判、合同制定等，检验学员的实战能力和应变能力；</w:t>
      </w:r>
    </w:p>
    <w:p w14:paraId="24D093DE">
      <w:pPr>
        <w:pStyle w:val="136"/>
      </w:pPr>
      <w:r>
        <w:rPr>
          <w:rFonts w:hint="eastAsia"/>
        </w:rPr>
        <w:t>国别报告分享评估：通过国别报告分享，探讨合作领域、合作模式，提出合作需求，评估学员的跨文化沟通能力和语言水平。</w:t>
      </w:r>
    </w:p>
    <w:p w14:paraId="0964C8E9">
      <w:pPr>
        <w:pStyle w:val="169"/>
        <w:ind w:left="0"/>
      </w:pPr>
      <w:r>
        <w:rPr>
          <w:rFonts w:hint="eastAsia"/>
        </w:rPr>
        <w:t>考核成绩达到合格后由培训机构相关部门发放培训合格证书，证书为电子证书或纸质证书，不同等级面向东盟国际技术经理人的考核方式如下：</w:t>
      </w:r>
    </w:p>
    <w:p w14:paraId="36887889">
      <w:pPr>
        <w:pStyle w:val="136"/>
      </w:pPr>
      <w:r>
        <w:rPr>
          <w:rFonts w:hint="eastAsia"/>
        </w:rPr>
        <w:t>面向东盟初级技术经理人：采取闭卷笔试方式进行，以客观题为主，考核时间为2</w:t>
      </w:r>
      <w:r>
        <w:rPr>
          <w:rFonts w:hint="eastAsia"/>
          <w:vertAlign w:val="superscript"/>
        </w:rPr>
        <w:t xml:space="preserve"> </w:t>
      </w:r>
      <w:r>
        <w:rPr>
          <w:rFonts w:hint="eastAsia"/>
        </w:rPr>
        <w:t>h，满分100分，60分及格；</w:t>
      </w:r>
    </w:p>
    <w:p w14:paraId="0F972B2E">
      <w:pPr>
        <w:pStyle w:val="136"/>
      </w:pPr>
      <w:r>
        <w:rPr>
          <w:rFonts w:hint="eastAsia"/>
        </w:rPr>
        <w:t>面向东盟中级技术经理人：采取闭卷笔试和提交案例分析报告相结合的方式进行，笔试考核时间为2</w:t>
      </w:r>
      <w:r>
        <w:rPr>
          <w:rFonts w:hint="eastAsia"/>
          <w:vertAlign w:val="superscript"/>
        </w:rPr>
        <w:t xml:space="preserve"> </w:t>
      </w:r>
      <w:r>
        <w:rPr>
          <w:rFonts w:hint="eastAsia"/>
        </w:rPr>
        <w:t>h，满分为100分，60分及格；经笔试合格，并撰写完成1篇案例分析报告，考核成绩合格；</w:t>
      </w:r>
    </w:p>
    <w:p w14:paraId="5999B768">
      <w:pPr>
        <w:pStyle w:val="136"/>
      </w:pPr>
      <w:r>
        <w:rPr>
          <w:rFonts w:hint="eastAsia"/>
        </w:rPr>
        <w:t>面向东盟高级技术经理人：采取闭卷笔试和提交专利申请或论文等相结合的方式进行，笔试考核时间为2</w:t>
      </w:r>
      <w:r>
        <w:rPr>
          <w:rFonts w:hint="eastAsia"/>
          <w:vertAlign w:val="superscript"/>
        </w:rPr>
        <w:t xml:space="preserve"> </w:t>
      </w:r>
      <w:r>
        <w:rPr>
          <w:rFonts w:hint="eastAsia"/>
        </w:rPr>
        <w:t>h，满分为100分，60分及格；经笔试合格，并独自或者不超过</w:t>
      </w:r>
      <w:r>
        <w:t>5人的学习小组共同</w:t>
      </w:r>
      <w:r>
        <w:rPr>
          <w:rFonts w:hint="eastAsia"/>
        </w:rPr>
        <w:t>撰写完成2份专利申请（或论文、商业计划书、国际技术转移案例分析报告、东盟市场分析报告等），考核成绩合格。</w:t>
      </w:r>
    </w:p>
    <w:p w14:paraId="457AB24B">
      <w:pPr>
        <w:pStyle w:val="169"/>
        <w:ind w:left="0"/>
      </w:pPr>
      <w:r>
        <w:rPr>
          <w:rFonts w:hint="eastAsia"/>
        </w:rPr>
        <w:t>培训结束后，应制定专门评价制度进行流动考核，推行技术经理人管理制度</w:t>
      </w:r>
      <w:bookmarkEnd w:id="377"/>
      <w:bookmarkEnd w:id="378"/>
      <w:r>
        <w:rPr>
          <w:rFonts w:hint="eastAsia"/>
        </w:rPr>
        <w:t>。</w:t>
      </w:r>
    </w:p>
    <w:p w14:paraId="25D2883C">
      <w:pPr>
        <w:pStyle w:val="108"/>
        <w:spacing w:before="240" w:after="240"/>
      </w:pPr>
      <w:bookmarkStart w:id="379" w:name="_Toc129870549"/>
      <w:bookmarkEnd w:id="379"/>
      <w:bookmarkStart w:id="380" w:name="_Toc198665358"/>
      <w:bookmarkStart w:id="381" w:name="_Toc184734326"/>
      <w:bookmarkStart w:id="382" w:name="_Toc128040851"/>
      <w:bookmarkStart w:id="383" w:name="_Toc173331513"/>
      <w:bookmarkStart w:id="384" w:name="_Toc200650151"/>
      <w:bookmarkStart w:id="385" w:name="_Toc190161192"/>
      <w:bookmarkStart w:id="386" w:name="_Toc129870550"/>
      <w:bookmarkStart w:id="387" w:name="_Toc128314917"/>
      <w:bookmarkStart w:id="388" w:name="_Toc120603757"/>
      <w:bookmarkStart w:id="389" w:name="_Toc203405717"/>
      <w:bookmarkStart w:id="390" w:name="_Toc182921665"/>
      <w:bookmarkStart w:id="391" w:name="_Toc174091932"/>
      <w:bookmarkStart w:id="392" w:name="_Toc173330499"/>
      <w:bookmarkStart w:id="393" w:name="_Toc190027574"/>
      <w:bookmarkStart w:id="394" w:name="_Toc199318883"/>
      <w:bookmarkStart w:id="395" w:name="_Toc182921691"/>
      <w:bookmarkStart w:id="396" w:name="_Toc198665385"/>
      <w:bookmarkStart w:id="397" w:name="_Toc173344681"/>
      <w:bookmarkStart w:id="398" w:name="_Toc185260627"/>
      <w:bookmarkStart w:id="399" w:name="_Toc119923857"/>
      <w:bookmarkStart w:id="400" w:name="_Toc178176549"/>
      <w:r>
        <w:rPr>
          <w:rFonts w:hint="eastAsia"/>
        </w:rPr>
        <w:t>评价与改进</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7C06C875">
      <w:pPr>
        <w:pStyle w:val="166"/>
      </w:pPr>
      <w:bookmarkStart w:id="401" w:name="OLE_LINK35"/>
      <w:bookmarkStart w:id="402" w:name="OLE_LINK34"/>
      <w:r>
        <w:rPr>
          <w:rFonts w:hint="eastAsia"/>
        </w:rPr>
        <w:t>在培训过程中和结束后，收集学员对培训内容、形式、师资等方面的反馈意见。</w:t>
      </w:r>
    </w:p>
    <w:p w14:paraId="4E1265AF">
      <w:pPr>
        <w:pStyle w:val="166"/>
      </w:pPr>
      <w:r>
        <w:rPr>
          <w:rFonts w:hint="eastAsia"/>
        </w:rPr>
        <w:t>通过问卷调查、跟踪回访等方式评估培训效果，了解学员在实际工作中的应用情况和进步。</w:t>
      </w:r>
    </w:p>
    <w:p w14:paraId="2916552D">
      <w:pPr>
        <w:pStyle w:val="166"/>
      </w:pPr>
      <w:r>
        <w:rPr>
          <w:rFonts w:hint="eastAsia"/>
        </w:rPr>
        <w:t>根据反馈意见和效果评估结果，定期对培训方案进行优化和改进课程设计、教学方法，必要时根据学员需求增加课程内容，对开展工作中遇到的特殊案例开展案例督导，不断提升培训质量</w:t>
      </w:r>
      <w:bookmarkEnd w:id="401"/>
      <w:bookmarkEnd w:id="402"/>
      <w:r>
        <w:rPr>
          <w:rFonts w:hint="eastAsia"/>
        </w:rPr>
        <w:t>。</w:t>
      </w:r>
    </w:p>
    <w:p w14:paraId="5889F037">
      <w:pPr>
        <w:pStyle w:val="108"/>
        <w:spacing w:before="240" w:after="240"/>
      </w:pPr>
      <w:bookmarkStart w:id="403" w:name="_Toc173331514"/>
      <w:bookmarkStart w:id="404" w:name="_Toc119923858"/>
      <w:bookmarkStart w:id="405" w:name="_Toc200650152"/>
      <w:bookmarkStart w:id="406" w:name="_Toc128040852"/>
      <w:bookmarkStart w:id="407" w:name="_Toc182921692"/>
      <w:bookmarkStart w:id="408" w:name="_Toc190161193"/>
      <w:bookmarkStart w:id="409" w:name="_Toc198665386"/>
      <w:bookmarkStart w:id="410" w:name="_Toc173344682"/>
      <w:bookmarkStart w:id="411" w:name="_Toc185260628"/>
      <w:bookmarkStart w:id="412" w:name="_Toc178176550"/>
      <w:bookmarkStart w:id="413" w:name="_Toc199318884"/>
      <w:bookmarkStart w:id="414" w:name="_Toc184734327"/>
      <w:bookmarkStart w:id="415" w:name="_Toc198665359"/>
      <w:bookmarkStart w:id="416" w:name="_Toc128314918"/>
      <w:bookmarkStart w:id="417" w:name="_Toc190027575"/>
      <w:bookmarkStart w:id="418" w:name="_Toc120603758"/>
      <w:bookmarkStart w:id="419" w:name="_Toc203405718"/>
      <w:bookmarkStart w:id="420" w:name="_Toc129870551"/>
      <w:bookmarkStart w:id="421" w:name="_Toc174091933"/>
      <w:bookmarkStart w:id="422" w:name="_Toc173330500"/>
      <w:bookmarkStart w:id="423" w:name="_Toc182921666"/>
      <w:r>
        <w:rPr>
          <w:rFonts w:hint="eastAsia"/>
        </w:rPr>
        <w:t>档案管理</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649E162C">
      <w:pPr>
        <w:pStyle w:val="166"/>
      </w:pPr>
      <w:r>
        <w:rPr>
          <w:rFonts w:hint="eastAsia"/>
        </w:rPr>
        <w:t>建立每批学员的培训档案，包括报名材料、学习记录、考核成绩、反馈意见、学员基础信息、工作业绩等。</w:t>
      </w:r>
    </w:p>
    <w:p w14:paraId="3349AF2B">
      <w:pPr>
        <w:pStyle w:val="166"/>
      </w:pPr>
      <w:r>
        <w:rPr>
          <w:rFonts w:hint="eastAsia"/>
        </w:rPr>
        <w:t>培训过程中形成的各种记录进行汇总、分类、储存，形成统一的档案资料。</w:t>
      </w:r>
    </w:p>
    <w:p w14:paraId="1E822DD9">
      <w:pPr>
        <w:pStyle w:val="166"/>
      </w:pPr>
      <w:r>
        <w:rPr>
          <w:rFonts w:hint="eastAsia"/>
        </w:rPr>
        <w:t>严格管理学员档案，确保个人信息和隐私的安全与保密。</w:t>
      </w:r>
    </w:p>
    <w:p w14:paraId="7CB650A2">
      <w:pPr>
        <w:pStyle w:val="166"/>
      </w:pPr>
      <w:r>
        <w:rPr>
          <w:rFonts w:hint="eastAsia"/>
        </w:rPr>
        <w:t>培训档案应及时归档并妥善保存，按照相关规定保存二年，便于查阅和管理。</w:t>
      </w:r>
    </w:p>
    <w:p w14:paraId="114D7E44">
      <w:pPr>
        <w:pStyle w:val="169"/>
        <w:numPr>
          <w:ilvl w:val="0"/>
          <w:numId w:val="0"/>
        </w:numPr>
      </w:pPr>
    </w:p>
    <w:p w14:paraId="1639CD19">
      <w:pPr>
        <w:pStyle w:val="109"/>
        <w:numPr>
          <w:ilvl w:val="0"/>
          <w:numId w:val="0"/>
        </w:numPr>
        <w:spacing w:before="240" w:beforeLines="100" w:after="120"/>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linePitch="312" w:charSpace="0"/>
        </w:sectPr>
      </w:pPr>
    </w:p>
    <w:bookmarkEnd w:id="46"/>
    <w:p w14:paraId="36CF6406">
      <w:pPr>
        <w:pStyle w:val="67"/>
        <w:spacing w:after="120"/>
      </w:pPr>
      <w:bookmarkStart w:id="424" w:name="_Toc203405719"/>
      <w:bookmarkStart w:id="425" w:name="_Toc190027576"/>
      <w:bookmarkStart w:id="426" w:name="_Toc182921667"/>
      <w:bookmarkStart w:id="427" w:name="_Toc129870553"/>
      <w:bookmarkStart w:id="428" w:name="_Toc200650153"/>
      <w:bookmarkStart w:id="429" w:name="_Toc120603759"/>
      <w:bookmarkStart w:id="430" w:name="_Toc199318885"/>
      <w:bookmarkStart w:id="431" w:name="_Toc174091934"/>
      <w:bookmarkStart w:id="432" w:name="_Toc173331515"/>
      <w:bookmarkStart w:id="433" w:name="_Toc173344683"/>
      <w:bookmarkStart w:id="434" w:name="_Toc119923859"/>
      <w:bookmarkStart w:id="435" w:name="_Toc185260629"/>
      <w:bookmarkStart w:id="436" w:name="_Toc128040854"/>
      <w:bookmarkStart w:id="437" w:name="_Toc133225935"/>
      <w:bookmarkStart w:id="438" w:name="_Toc133229151"/>
      <w:bookmarkStart w:id="439" w:name="_Toc128314920"/>
      <w:bookmarkStart w:id="440" w:name="_Toc190161194"/>
      <w:bookmarkStart w:id="441" w:name="_Toc198665387"/>
      <w:bookmarkStart w:id="442" w:name="_Toc133226019"/>
      <w:bookmarkStart w:id="443" w:name="_Toc182921693"/>
      <w:bookmarkStart w:id="444" w:name="_Toc173330501"/>
      <w:bookmarkStart w:id="445" w:name="_Toc184734328"/>
      <w:bookmarkStart w:id="446" w:name="_Toc178176551"/>
      <w:bookmarkStart w:id="447" w:name="_Toc198665360"/>
      <w:bookmarkStart w:id="448" w:name="BookMark6"/>
      <w:r>
        <w:rPr>
          <w:rFonts w:hint="eastAsia"/>
          <w:spacing w:val="105"/>
        </w:rPr>
        <w:t>参考文</w:t>
      </w:r>
      <w:r>
        <w:rPr>
          <w:rFonts w:hint="eastAsia"/>
        </w:rPr>
        <w:t>献</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14:paraId="75A6A880">
      <w:pPr>
        <w:pStyle w:val="60"/>
        <w:ind w:firstLine="420"/>
      </w:pPr>
      <w:r>
        <w:rPr>
          <w:rFonts w:hint="eastAsia"/>
        </w:rPr>
        <w:t>[</w:t>
      </w:r>
      <w:r>
        <w:t xml:space="preserve">1] </w:t>
      </w:r>
      <w:r>
        <w:rPr>
          <w:rFonts w:hint="eastAsia"/>
        </w:rPr>
        <w:t xml:space="preserve"> DB3713/T 318—2024</w:t>
      </w:r>
      <w:r>
        <w:t xml:space="preserve">  </w:t>
      </w:r>
      <w:r>
        <w:rPr>
          <w:rFonts w:hint="eastAsia"/>
        </w:rPr>
        <w:t>技术经纪人培训服务规范</w:t>
      </w:r>
    </w:p>
    <w:p w14:paraId="68371B5A">
      <w:pPr>
        <w:pStyle w:val="60"/>
        <w:ind w:firstLine="420"/>
      </w:pPr>
      <w:r>
        <w:rPr>
          <w:rFonts w:hint="eastAsia"/>
        </w:rPr>
        <w:t>[2]  DB34/T 4973—2025  技术经理人培育规范</w:t>
      </w:r>
    </w:p>
    <w:p w14:paraId="58BE77AF">
      <w:pPr>
        <w:pStyle w:val="60"/>
        <w:ind w:firstLine="420"/>
      </w:pPr>
      <w:r>
        <w:rPr>
          <w:rFonts w:hint="eastAsia"/>
        </w:rPr>
        <w:t xml:space="preserve">[3]  T/GXAS 763—2024  面向东盟跨境电商直播人才培训服务规范 </w:t>
      </w:r>
    </w:p>
    <w:p w14:paraId="00382037">
      <w:pPr>
        <w:pStyle w:val="60"/>
        <w:ind w:firstLine="420"/>
      </w:pPr>
      <w:r>
        <w:rPr>
          <w:rFonts w:hint="eastAsia"/>
        </w:rPr>
        <w:t xml:space="preserve">[4]  </w:t>
      </w:r>
      <w:bookmarkStart w:id="449" w:name="OLE_LINK24"/>
      <w:bookmarkStart w:id="450" w:name="OLE_LINK25"/>
      <w:r>
        <w:rPr>
          <w:rFonts w:hint="eastAsia"/>
        </w:rPr>
        <w:t>《国家技术转移专业人员能力等级培训大纲（试行）》.2020年3月</w:t>
      </w:r>
      <w:bookmarkEnd w:id="449"/>
      <w:bookmarkEnd w:id="450"/>
    </w:p>
    <w:bookmarkEnd w:id="448"/>
    <w:p w14:paraId="1FBBF92A">
      <w:pPr>
        <w:pStyle w:val="60"/>
        <w:ind w:firstLine="0" w:firstLineChars="0"/>
        <w:jc w:val="center"/>
      </w:pPr>
      <w:bookmarkStart w:id="451" w:name="BookMark8"/>
      <w:r>
        <w:drawing>
          <wp:inline distT="0" distB="0" distL="0" distR="0">
            <wp:extent cx="1485900" cy="317500"/>
            <wp:effectExtent l="0" t="0" r="0"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0"/>
                    <a:stretch>
                      <a:fillRect/>
                    </a:stretch>
                  </pic:blipFill>
                  <pic:spPr>
                    <a:xfrm>
                      <a:off x="0" y="0"/>
                      <a:ext cx="1485900" cy="317500"/>
                    </a:xfrm>
                    <a:prstGeom prst="rect">
                      <a:avLst/>
                    </a:prstGeom>
                  </pic:spPr>
                </pic:pic>
              </a:graphicData>
            </a:graphic>
          </wp:inline>
        </w:drawing>
      </w:r>
      <w:bookmarkEnd w:id="451"/>
    </w:p>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58B8D">
    <w:pPr>
      <w:pStyle w:val="19"/>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55D98">
    <w:pPr>
      <w:pStyle w:val="56"/>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201930" cy="147955"/>
              <wp:effectExtent l="1905" t="0" r="0" b="0"/>
              <wp:wrapNone/>
              <wp:docPr id="3" name="Text Box 2"/>
              <wp:cNvGraphicFramePr/>
              <a:graphic xmlns:a="http://schemas.openxmlformats.org/drawingml/2006/main">
                <a:graphicData uri="http://schemas.microsoft.com/office/word/2010/wordprocessingShape">
                  <wps:wsp>
                    <wps:cNvSpPr txBox="1">
                      <a:spLocks noChangeArrowheads="1"/>
                    </wps:cNvSpPr>
                    <wps:spPr bwMode="auto">
                      <a:xfrm>
                        <a:off x="0" y="0"/>
                        <a:ext cx="201930" cy="147955"/>
                      </a:xfrm>
                      <a:prstGeom prst="rect">
                        <a:avLst/>
                      </a:prstGeom>
                      <a:noFill/>
                      <a:ln>
                        <a:noFill/>
                      </a:ln>
                    </wps:spPr>
                    <wps:txbx>
                      <w:txbxContent>
                        <w:p w14:paraId="3E54BB18">
                          <w:pPr>
                            <w:pStyle w:val="56"/>
                          </w:pPr>
                          <w:r>
                            <w:fldChar w:fldCharType="begin"/>
                          </w:r>
                          <w:r>
                            <w:instrText xml:space="preserve">PAGE   \* MERGEFORMAT</w:instrText>
                          </w:r>
                          <w:r>
                            <w:fldChar w:fldCharType="separate"/>
                          </w:r>
                          <w:r>
                            <w:rPr>
                              <w:lang w:val="zh-CN"/>
                            </w:rPr>
                            <w:t>9</w:t>
                          </w:r>
                          <w: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0pt;height:11.65pt;width:15.9pt;mso-position-horizontal:right;mso-position-horizontal-relative:margin;mso-wrap-style:none;z-index:251659264;mso-width-relative:page;mso-height-relative:page;" filled="f" stroked="f" coordsize="21600,21600" o:gfxdata="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3PpGnRAAAAAwEAAA8AAAAAAAAAAQAgAAAAIgAAAGRycy9kb3ducmV2LnhtbFBLAQIU&#10;ABQAAAAIAIdO4kCbfl0g+gEAAAEEAAAOAAAAAAAAAAEAIAAAACABAABkcnMvZTJvRG9jLnhtbFBL&#10;BQYAAAAABgAGAFkBAACMBQAAAAA=&#10;">
              <v:fill on="f" focussize="0,0"/>
              <v:stroke on="f"/>
              <v:imagedata o:title=""/>
              <o:lock v:ext="edit" aspectratio="f"/>
              <v:textbox inset="0mm,0mm,0mm,0mm" style="mso-fit-shape-to-text:t;">
                <w:txbxContent>
                  <w:p w14:paraId="3E54BB18">
                    <w:pPr>
                      <w:pStyle w:val="56"/>
                    </w:pPr>
                    <w:r>
                      <w:fldChar w:fldCharType="begin"/>
                    </w:r>
                    <w:r>
                      <w:instrText xml:space="preserve">PAGE   \* MERGEFORMAT</w:instrText>
                    </w:r>
                    <w:r>
                      <w:fldChar w:fldCharType="separate"/>
                    </w:r>
                    <w:r>
                      <w:rPr>
                        <w:lang w:val="zh-CN"/>
                      </w:rPr>
                      <w:t>9</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DD645">
    <w:pPr>
      <w:pStyle w:val="55"/>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1905" t="0" r="0" b="0"/>
              <wp:wrapNone/>
              <wp:docPr id="5" name="Text Box 3"/>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47C6C184">
                          <w:pPr>
                            <w:pStyle w:val="55"/>
                          </w:pPr>
                        </w:p>
                      </w:txbxContent>
                    </wps:txbx>
                    <wps:bodyPr rot="0" vert="horz" wrap="none" lIns="0" tIns="0" rIns="0" bIns="0" anchor="t" anchorCtr="0" upright="1">
                      <a:spAutoFit/>
                    </wps:bodyPr>
                  </wps:wsp>
                </a:graphicData>
              </a:graphic>
            </wp:anchor>
          </w:drawing>
        </mc:Choice>
        <mc:Fallback>
          <w:pict>
            <v:shape id="Text Box 3"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ql5uc8AAAAFAQAADwAAAAAAAAABACAAAAAiAAAAZHJzL2Rvd25yZXYueG1sUEsBAhQAFAAAAAgA&#10;h07iQL37yb31AQAAAwQAAA4AAAAAAAAAAQAgAAAAHgEAAGRycy9lMm9Eb2MueG1sUEsFBgAAAAAG&#10;AAYAWQEAAIUFAAAAAA==&#10;">
              <v:fill on="f" focussize="0,0"/>
              <v:stroke on="f"/>
              <v:imagedata o:title=""/>
              <o:lock v:ext="edit" aspectratio="f"/>
              <v:textbox inset="0mm,0mm,0mm,0mm" style="mso-fit-shape-to-text:t;">
                <w:txbxContent>
                  <w:p w14:paraId="47C6C184">
                    <w:pPr>
                      <w:pStyle w:val="55"/>
                    </w:pPr>
                  </w:p>
                </w:txbxContent>
              </v:textbox>
            </v:shape>
          </w:pict>
        </mc:Fallback>
      </mc:AlternateContent>
    </w:r>
    <w:r>
      <w:rPr>
        <w:rFonts w:hint="eastAsia"/>
      </w:rPr>
      <w:t>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7452E">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A0565">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ADCB0">
    <w:pPr>
      <w:pStyle w:val="56"/>
    </w:pPr>
    <w:r>
      <w:rPr>
        <w:rFonts w:hint="eastAsia"/>
      </w:rP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4CFF4">
    <w:pPr>
      <w:pStyle w:val="5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72081">
    <w:pPr>
      <w:pStyle w:val="56"/>
    </w:pPr>
    <w:r>
      <w:rPr>
        <w:rFonts w:hint="eastAsia"/>
      </w:rPr>
      <w:t>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79AE8">
    <w:pPr>
      <w:pStyle w:val="5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A8BFA">
    <w:pPr>
      <w:pStyle w:val="56"/>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57785" cy="147955"/>
              <wp:effectExtent l="1905" t="0" r="0" b="0"/>
              <wp:wrapNone/>
              <wp:docPr id="6" name="Text Box 5"/>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wps:spPr>
                    <wps:txbx>
                      <w:txbxContent>
                        <w:p w14:paraId="6A032DE1">
                          <w:pPr>
                            <w:pStyle w:val="19"/>
                          </w:pPr>
                          <w:r>
                            <w:fldChar w:fldCharType="begin"/>
                          </w:r>
                          <w:r>
                            <w:instrText xml:space="preserve"> PAGE  \* MERGEFORMAT </w:instrText>
                          </w:r>
                          <w:r>
                            <w:fldChar w:fldCharType="separate"/>
                          </w:r>
                          <w:r>
                            <w:t>7</w:t>
                          </w:r>
                          <w:r>
                            <w:fldChar w:fldCharType="end"/>
                          </w:r>
                        </w:p>
                      </w:txbxContent>
                    </wps:txbx>
                    <wps:bodyPr rot="0" vert="horz" wrap="none" lIns="0" tIns="0" rIns="0" bIns="0" anchor="t" anchorCtr="0" upright="1">
                      <a:spAutoFit/>
                    </wps:bodyPr>
                  </wps:wsp>
                </a:graphicData>
              </a:graphic>
            </wp:anchor>
          </w:drawing>
        </mc:Choice>
        <mc:Fallback>
          <w:pict>
            <v:shape id="Text Box 5" o:spid="_x0000_s1026" o:spt="202" type="#_x0000_t202" style="position:absolute;left:0pt;margin-top:0pt;height:11.65pt;width:4.55pt;mso-position-horizontal:right;mso-position-horizontal-relative:margin;mso-wrap-style:none;z-index:251661312;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fLHALRAAAAAgEAAA8AAAAAAAAAAQAgAAAAIgAAAGRycy9kb3ducmV2LnhtbFBLAQIU&#10;ABQAAAAIAIdO4kCu36Hj+gEAAAAEAAAOAAAAAAAAAAEAIAAAACABAABkcnMvZTJvRG9jLnhtbFBL&#10;BQYAAAAABgAGAFkBAACMBQAAAAA=&#10;">
              <v:fill on="f" focussize="0,0"/>
              <v:stroke on="f"/>
              <v:imagedata o:title=""/>
              <o:lock v:ext="edit" aspectratio="f"/>
              <v:textbox inset="0mm,0mm,0mm,0mm" style="mso-fit-shape-to-text:t;">
                <w:txbxContent>
                  <w:p w14:paraId="6A032DE1">
                    <w:pPr>
                      <w:pStyle w:val="19"/>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B308D">
    <w:pPr>
      <w:pStyle w:val="55"/>
    </w:pPr>
    <w:r>
      <w:rPr>
        <w:rFonts w:hint="eastAsia"/>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DB8D7">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6DBD0">
    <w:pPr>
      <w:pStyle w:val="65"/>
    </w:pPr>
    <w:r>
      <w:fldChar w:fldCharType="begin"/>
    </w:r>
    <w:r>
      <w:instrText xml:space="preserve"> STYLEREF  标准文件_文件编号  \* MERGEFORMAT </w:instrText>
    </w:r>
    <w:r>
      <w:fldChar w:fldCharType="separate"/>
    </w:r>
    <w:r>
      <w:t>T/GXAS XXXX—2025</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392C0">
    <w:pPr>
      <w:pStyle w:val="66"/>
    </w:pPr>
    <w:r>
      <w:fldChar w:fldCharType="begin"/>
    </w:r>
    <w:r>
      <w:instrText xml:space="preserve"> STYLEREF  标准文件_文件编号 \* MERGEFORMAT </w:instrText>
    </w:r>
    <w:r>
      <w:fldChar w:fldCharType="separate"/>
    </w:r>
    <w:r>
      <w:t>T/GXAS XXXX—2025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48830">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A9D59">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0C8D4">
    <w:pPr>
      <w:pStyle w:val="65"/>
    </w:pPr>
    <w:r>
      <w:fldChar w:fldCharType="begin"/>
    </w:r>
    <w:r>
      <w:instrText xml:space="preserve"> STYLEREF  标准文件_文件编号  \* MERGEFORMAT </w:instrText>
    </w:r>
    <w:r>
      <w:fldChar w:fldCharType="separate"/>
    </w:r>
    <w:r>
      <w:t>T/GXAS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9CF6D1">
    <w:pPr>
      <w:pStyle w:val="66"/>
    </w:pPr>
    <w:r>
      <w:fldChar w:fldCharType="begin"/>
    </w:r>
    <w:r>
      <w:instrText xml:space="preserve"> STYLEREF  标准文件_文件编号 \* MERGEFORMAT </w:instrText>
    </w:r>
    <w:r>
      <w:fldChar w:fldCharType="separate"/>
    </w:r>
    <w:r>
      <w:t>T/GXAS XXXX—2025</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49DFE">
    <w:pPr>
      <w:pStyle w:val="65"/>
    </w:pPr>
    <w:r>
      <w:fldChar w:fldCharType="begin"/>
    </w:r>
    <w:r>
      <w:instrText xml:space="preserve"> STYLEREF  标准文件_文件编号  \* MERGEFORMAT </w:instrText>
    </w:r>
    <w:r>
      <w:fldChar w:fldCharType="separate"/>
    </w:r>
    <w:r>
      <w:t>T/GXAS XXXX—2025</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50D73">
    <w:pPr>
      <w:pStyle w:val="66"/>
    </w:pPr>
    <w:r>
      <w:fldChar w:fldCharType="begin"/>
    </w:r>
    <w:r>
      <w:instrText xml:space="preserve"> STYLEREF  标准文件_文件编号 \* MERGEFORMAT </w:instrText>
    </w:r>
    <w:r>
      <w:fldChar w:fldCharType="separate"/>
    </w:r>
    <w:r>
      <w:t>T/GXAS XXXX—2025</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78E0C">
    <w:pPr>
      <w:pStyle w:val="65"/>
    </w:pPr>
    <w:r>
      <w:fldChar w:fldCharType="begin"/>
    </w:r>
    <w:r>
      <w:instrText xml:space="preserve"> STYLEREF  标准文件_文件编号  \* MERGEFORMAT </w:instrText>
    </w:r>
    <w:r>
      <w:fldChar w:fldCharType="separate"/>
    </w:r>
    <w:r>
      <w:t>T/GXAS XXXX—2025</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BBA30">
    <w:pPr>
      <w:pStyle w:val="66"/>
    </w:pPr>
    <w:r>
      <w:fldChar w:fldCharType="begin"/>
    </w:r>
    <w:r>
      <w:instrText xml:space="preserve"> STYLEREF  标准文件_文件编号 \* MERGEFORMAT </w:instrText>
    </w:r>
    <w:r>
      <w:fldChar w:fldCharType="separate"/>
    </w:r>
    <w:r>
      <w:t>T/GXAS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i w:val="0"/>
        <w:iCs w:val="0"/>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color w:val="auto"/>
        <w:sz w:val="21"/>
      </w:rPr>
    </w:lvl>
    <w:lvl w:ilvl="2" w:tentative="0">
      <w:start w:val="1"/>
      <w:numFmt w:val="decimal"/>
      <w:pStyle w:val="109"/>
      <w:suff w:val="nothing"/>
      <w:lvlText w:val="%1%2.%3　"/>
      <w:lvlJc w:val="left"/>
      <w:pPr>
        <w:ind w:left="156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9"/>
      <w:suff w:val="nothing"/>
      <w:lvlText w:val="%1%2.%3.%4　"/>
      <w:lvlJc w:val="left"/>
      <w:pPr>
        <w:ind w:left="1135" w:firstLine="0"/>
      </w:pPr>
      <w:rPr>
        <w:rFonts w:hint="eastAsia" w:ascii="黑体" w:eastAsia="黑体"/>
        <w:b w:val="0"/>
        <w:i w:val="0"/>
        <w:sz w:val="21"/>
      </w:rPr>
    </w:lvl>
    <w:lvl w:ilvl="4" w:tentative="0">
      <w:start w:val="1"/>
      <w:numFmt w:val="decimal"/>
      <w:pStyle w:val="98"/>
      <w:suff w:val="nothing"/>
      <w:lvlText w:val="%1%2.%3.%4.%5　"/>
      <w:lvlJc w:val="left"/>
      <w:pPr>
        <w:ind w:left="709"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iNzA5OWExZjc0MmJlMjRmNjY0NTExY2FmY2U1ZjcifQ=="/>
    <w:docVar w:name="KY_MEDREF_DOCUID" w:val="{54824044-D5D9-4C0D-B7A3-46DA3FBB831B}"/>
    <w:docVar w:name="KY_MEDREF_VERSION" w:val="3"/>
  </w:docVars>
  <w:rsids>
    <w:rsidRoot w:val="002E5DB6"/>
    <w:rsid w:val="0000040A"/>
    <w:rsid w:val="00000A94"/>
    <w:rsid w:val="00001456"/>
    <w:rsid w:val="00001972"/>
    <w:rsid w:val="00001D9A"/>
    <w:rsid w:val="00005AA1"/>
    <w:rsid w:val="00006FD1"/>
    <w:rsid w:val="00007B3A"/>
    <w:rsid w:val="0001038A"/>
    <w:rsid w:val="000107E0"/>
    <w:rsid w:val="00011C16"/>
    <w:rsid w:val="00011FDE"/>
    <w:rsid w:val="00012FFD"/>
    <w:rsid w:val="00014162"/>
    <w:rsid w:val="00014340"/>
    <w:rsid w:val="00014A60"/>
    <w:rsid w:val="00016464"/>
    <w:rsid w:val="00016A9C"/>
    <w:rsid w:val="000210C0"/>
    <w:rsid w:val="00022184"/>
    <w:rsid w:val="00022762"/>
    <w:rsid w:val="000238E0"/>
    <w:rsid w:val="000249DB"/>
    <w:rsid w:val="0002595E"/>
    <w:rsid w:val="000278A5"/>
    <w:rsid w:val="000303C3"/>
    <w:rsid w:val="000331D3"/>
    <w:rsid w:val="000346A5"/>
    <w:rsid w:val="0003545D"/>
    <w:rsid w:val="000359C3"/>
    <w:rsid w:val="00035A7D"/>
    <w:rsid w:val="000365ED"/>
    <w:rsid w:val="0004249A"/>
    <w:rsid w:val="00043282"/>
    <w:rsid w:val="00044286"/>
    <w:rsid w:val="00044A3E"/>
    <w:rsid w:val="00047F28"/>
    <w:rsid w:val="000503AA"/>
    <w:rsid w:val="000506A1"/>
    <w:rsid w:val="000515DD"/>
    <w:rsid w:val="0005265A"/>
    <w:rsid w:val="000529FF"/>
    <w:rsid w:val="000539DD"/>
    <w:rsid w:val="00053BD3"/>
    <w:rsid w:val="000556ED"/>
    <w:rsid w:val="00055FE2"/>
    <w:rsid w:val="0005616F"/>
    <w:rsid w:val="00060C2E"/>
    <w:rsid w:val="00061033"/>
    <w:rsid w:val="0006183F"/>
    <w:rsid w:val="000619E9"/>
    <w:rsid w:val="000620EF"/>
    <w:rsid w:val="000622D4"/>
    <w:rsid w:val="0006357D"/>
    <w:rsid w:val="00065F11"/>
    <w:rsid w:val="00067F1E"/>
    <w:rsid w:val="00071CC0"/>
    <w:rsid w:val="00071CFC"/>
    <w:rsid w:val="0007249C"/>
    <w:rsid w:val="00073C8C"/>
    <w:rsid w:val="00074A48"/>
    <w:rsid w:val="00074E02"/>
    <w:rsid w:val="00075C19"/>
    <w:rsid w:val="0007712C"/>
    <w:rsid w:val="00077B64"/>
    <w:rsid w:val="00080A1C"/>
    <w:rsid w:val="00082317"/>
    <w:rsid w:val="00083D2C"/>
    <w:rsid w:val="00086168"/>
    <w:rsid w:val="00086AA1"/>
    <w:rsid w:val="0008751A"/>
    <w:rsid w:val="00087A77"/>
    <w:rsid w:val="00090CA6"/>
    <w:rsid w:val="000917C6"/>
    <w:rsid w:val="00092B8A"/>
    <w:rsid w:val="00092FB0"/>
    <w:rsid w:val="000934C5"/>
    <w:rsid w:val="00093D25"/>
    <w:rsid w:val="00093DAB"/>
    <w:rsid w:val="00094D73"/>
    <w:rsid w:val="00094F71"/>
    <w:rsid w:val="00096373"/>
    <w:rsid w:val="00096D63"/>
    <w:rsid w:val="000A0B60"/>
    <w:rsid w:val="000A0EB8"/>
    <w:rsid w:val="000A19FC"/>
    <w:rsid w:val="000A296B"/>
    <w:rsid w:val="000A3C14"/>
    <w:rsid w:val="000A7311"/>
    <w:rsid w:val="000B060F"/>
    <w:rsid w:val="000B1592"/>
    <w:rsid w:val="000B1BEE"/>
    <w:rsid w:val="000B1FF2"/>
    <w:rsid w:val="000B3139"/>
    <w:rsid w:val="000B3CDA"/>
    <w:rsid w:val="000B3EBB"/>
    <w:rsid w:val="000B591A"/>
    <w:rsid w:val="000B6A0B"/>
    <w:rsid w:val="000C0F6C"/>
    <w:rsid w:val="000C11DB"/>
    <w:rsid w:val="000C1492"/>
    <w:rsid w:val="000C1C3E"/>
    <w:rsid w:val="000C223E"/>
    <w:rsid w:val="000C23C6"/>
    <w:rsid w:val="000C2FBD"/>
    <w:rsid w:val="000C4382"/>
    <w:rsid w:val="000C4B41"/>
    <w:rsid w:val="000C57D6"/>
    <w:rsid w:val="000C60F5"/>
    <w:rsid w:val="000C6362"/>
    <w:rsid w:val="000C7666"/>
    <w:rsid w:val="000D0A9C"/>
    <w:rsid w:val="000D1795"/>
    <w:rsid w:val="000D1E27"/>
    <w:rsid w:val="000D329A"/>
    <w:rsid w:val="000D4B9C"/>
    <w:rsid w:val="000D4EB6"/>
    <w:rsid w:val="000D753B"/>
    <w:rsid w:val="000D7DB3"/>
    <w:rsid w:val="000E0214"/>
    <w:rsid w:val="000E0224"/>
    <w:rsid w:val="000E1A6D"/>
    <w:rsid w:val="000E4B2F"/>
    <w:rsid w:val="000E4C9E"/>
    <w:rsid w:val="000E59EC"/>
    <w:rsid w:val="000E675A"/>
    <w:rsid w:val="000E6F98"/>
    <w:rsid w:val="000E6FD7"/>
    <w:rsid w:val="000E7144"/>
    <w:rsid w:val="000F06E1"/>
    <w:rsid w:val="000F0E3C"/>
    <w:rsid w:val="000F1890"/>
    <w:rsid w:val="000F19D5"/>
    <w:rsid w:val="000F2D1A"/>
    <w:rsid w:val="000F4050"/>
    <w:rsid w:val="000F4AEA"/>
    <w:rsid w:val="000F67E9"/>
    <w:rsid w:val="0010354C"/>
    <w:rsid w:val="00104926"/>
    <w:rsid w:val="00104DFD"/>
    <w:rsid w:val="00107C7A"/>
    <w:rsid w:val="00113B1E"/>
    <w:rsid w:val="00114356"/>
    <w:rsid w:val="001150DD"/>
    <w:rsid w:val="0011711C"/>
    <w:rsid w:val="00120EE0"/>
    <w:rsid w:val="001229B9"/>
    <w:rsid w:val="001235F8"/>
    <w:rsid w:val="00124319"/>
    <w:rsid w:val="00124E4F"/>
    <w:rsid w:val="001260B7"/>
    <w:rsid w:val="001265CB"/>
    <w:rsid w:val="00131744"/>
    <w:rsid w:val="001321C6"/>
    <w:rsid w:val="001325C4"/>
    <w:rsid w:val="00133010"/>
    <w:rsid w:val="001338EE"/>
    <w:rsid w:val="00133AAE"/>
    <w:rsid w:val="00135323"/>
    <w:rsid w:val="001356C4"/>
    <w:rsid w:val="00137565"/>
    <w:rsid w:val="00141114"/>
    <w:rsid w:val="001423F0"/>
    <w:rsid w:val="00142969"/>
    <w:rsid w:val="00144087"/>
    <w:rsid w:val="001446C2"/>
    <w:rsid w:val="001457E7"/>
    <w:rsid w:val="00145D9D"/>
    <w:rsid w:val="00146388"/>
    <w:rsid w:val="00146C82"/>
    <w:rsid w:val="00151808"/>
    <w:rsid w:val="001529E5"/>
    <w:rsid w:val="00152FB3"/>
    <w:rsid w:val="00153C7E"/>
    <w:rsid w:val="00156B25"/>
    <w:rsid w:val="00156E1A"/>
    <w:rsid w:val="00157894"/>
    <w:rsid w:val="00157B55"/>
    <w:rsid w:val="00162A36"/>
    <w:rsid w:val="001642FA"/>
    <w:rsid w:val="001649EB"/>
    <w:rsid w:val="00164BAF"/>
    <w:rsid w:val="00164FA8"/>
    <w:rsid w:val="00165065"/>
    <w:rsid w:val="00165434"/>
    <w:rsid w:val="0016580B"/>
    <w:rsid w:val="00165F49"/>
    <w:rsid w:val="00166B88"/>
    <w:rsid w:val="0016770A"/>
    <w:rsid w:val="00170804"/>
    <w:rsid w:val="001708E9"/>
    <w:rsid w:val="0017116F"/>
    <w:rsid w:val="0017340B"/>
    <w:rsid w:val="00173FB1"/>
    <w:rsid w:val="001749E0"/>
    <w:rsid w:val="00176DFD"/>
    <w:rsid w:val="001852C9"/>
    <w:rsid w:val="00187A0B"/>
    <w:rsid w:val="00187EB9"/>
    <w:rsid w:val="00190087"/>
    <w:rsid w:val="0019038E"/>
    <w:rsid w:val="001913C4"/>
    <w:rsid w:val="0019348F"/>
    <w:rsid w:val="00193A07"/>
    <w:rsid w:val="00194652"/>
    <w:rsid w:val="001947CF"/>
    <w:rsid w:val="001949F8"/>
    <w:rsid w:val="00194C95"/>
    <w:rsid w:val="00195152"/>
    <w:rsid w:val="00195C34"/>
    <w:rsid w:val="00196EF5"/>
    <w:rsid w:val="001979F4"/>
    <w:rsid w:val="001A1A53"/>
    <w:rsid w:val="001A234A"/>
    <w:rsid w:val="001A2777"/>
    <w:rsid w:val="001A4CF3"/>
    <w:rsid w:val="001A4D15"/>
    <w:rsid w:val="001A51BB"/>
    <w:rsid w:val="001A5DA7"/>
    <w:rsid w:val="001A6696"/>
    <w:rsid w:val="001B06E8"/>
    <w:rsid w:val="001B46A2"/>
    <w:rsid w:val="001B5108"/>
    <w:rsid w:val="001B71D0"/>
    <w:rsid w:val="001B71EE"/>
    <w:rsid w:val="001C04A8"/>
    <w:rsid w:val="001C2C03"/>
    <w:rsid w:val="001C35C6"/>
    <w:rsid w:val="001C42F7"/>
    <w:rsid w:val="001C49E5"/>
    <w:rsid w:val="001C680C"/>
    <w:rsid w:val="001C6815"/>
    <w:rsid w:val="001C7DAF"/>
    <w:rsid w:val="001C7FEA"/>
    <w:rsid w:val="001D0079"/>
    <w:rsid w:val="001D0499"/>
    <w:rsid w:val="001D0BBE"/>
    <w:rsid w:val="001D0ED4"/>
    <w:rsid w:val="001D1C74"/>
    <w:rsid w:val="001D212F"/>
    <w:rsid w:val="001D29D7"/>
    <w:rsid w:val="001D2DE7"/>
    <w:rsid w:val="001D411C"/>
    <w:rsid w:val="001D681E"/>
    <w:rsid w:val="001D6D49"/>
    <w:rsid w:val="001E1B6A"/>
    <w:rsid w:val="001E229E"/>
    <w:rsid w:val="001E2484"/>
    <w:rsid w:val="001E3CC4"/>
    <w:rsid w:val="001E4882"/>
    <w:rsid w:val="001E73AB"/>
    <w:rsid w:val="001E7D88"/>
    <w:rsid w:val="001F092D"/>
    <w:rsid w:val="001F0F67"/>
    <w:rsid w:val="001F12C4"/>
    <w:rsid w:val="001F143A"/>
    <w:rsid w:val="001F1605"/>
    <w:rsid w:val="001F2508"/>
    <w:rsid w:val="001F3304"/>
    <w:rsid w:val="001F468A"/>
    <w:rsid w:val="001F4816"/>
    <w:rsid w:val="001F540E"/>
    <w:rsid w:val="001F6795"/>
    <w:rsid w:val="001F69B4"/>
    <w:rsid w:val="001F77C7"/>
    <w:rsid w:val="00200183"/>
    <w:rsid w:val="00200333"/>
    <w:rsid w:val="0020107D"/>
    <w:rsid w:val="00202AA4"/>
    <w:rsid w:val="002031F7"/>
    <w:rsid w:val="00203EB3"/>
    <w:rsid w:val="002040E6"/>
    <w:rsid w:val="0020527B"/>
    <w:rsid w:val="00205F2C"/>
    <w:rsid w:val="0020776D"/>
    <w:rsid w:val="00207951"/>
    <w:rsid w:val="0021065C"/>
    <w:rsid w:val="00210B15"/>
    <w:rsid w:val="00213C00"/>
    <w:rsid w:val="0021407B"/>
    <w:rsid w:val="002142EA"/>
    <w:rsid w:val="00215446"/>
    <w:rsid w:val="00215ADD"/>
    <w:rsid w:val="002204BB"/>
    <w:rsid w:val="00221B79"/>
    <w:rsid w:val="00221C6B"/>
    <w:rsid w:val="00224D5F"/>
    <w:rsid w:val="002253A1"/>
    <w:rsid w:val="00225596"/>
    <w:rsid w:val="00225CF8"/>
    <w:rsid w:val="002262C4"/>
    <w:rsid w:val="0022794E"/>
    <w:rsid w:val="00231EE0"/>
    <w:rsid w:val="00233D64"/>
    <w:rsid w:val="0023482A"/>
    <w:rsid w:val="002359CB"/>
    <w:rsid w:val="00243540"/>
    <w:rsid w:val="002438B1"/>
    <w:rsid w:val="002438EE"/>
    <w:rsid w:val="0024497B"/>
    <w:rsid w:val="0024515B"/>
    <w:rsid w:val="00246021"/>
    <w:rsid w:val="0024666E"/>
    <w:rsid w:val="00247B25"/>
    <w:rsid w:val="00247F52"/>
    <w:rsid w:val="00250279"/>
    <w:rsid w:val="00250B25"/>
    <w:rsid w:val="00250BBE"/>
    <w:rsid w:val="00250C59"/>
    <w:rsid w:val="002515C2"/>
    <w:rsid w:val="0025194F"/>
    <w:rsid w:val="00251DC5"/>
    <w:rsid w:val="002533E9"/>
    <w:rsid w:val="002576EC"/>
    <w:rsid w:val="0026148A"/>
    <w:rsid w:val="00262696"/>
    <w:rsid w:val="00263D25"/>
    <w:rsid w:val="002643C3"/>
    <w:rsid w:val="0026456A"/>
    <w:rsid w:val="00264A0C"/>
    <w:rsid w:val="00266EEB"/>
    <w:rsid w:val="00267D24"/>
    <w:rsid w:val="00267EF4"/>
    <w:rsid w:val="00270798"/>
    <w:rsid w:val="00270CB8"/>
    <w:rsid w:val="00272B08"/>
    <w:rsid w:val="00277548"/>
    <w:rsid w:val="00277F50"/>
    <w:rsid w:val="00281BB8"/>
    <w:rsid w:val="00281E9E"/>
    <w:rsid w:val="00282405"/>
    <w:rsid w:val="00285170"/>
    <w:rsid w:val="00285361"/>
    <w:rsid w:val="00287920"/>
    <w:rsid w:val="00292D60"/>
    <w:rsid w:val="002939F0"/>
    <w:rsid w:val="00293B30"/>
    <w:rsid w:val="00294D34"/>
    <w:rsid w:val="00294E3B"/>
    <w:rsid w:val="00296193"/>
    <w:rsid w:val="00296C66"/>
    <w:rsid w:val="00296EBE"/>
    <w:rsid w:val="002974E3"/>
    <w:rsid w:val="002A084B"/>
    <w:rsid w:val="002A1260"/>
    <w:rsid w:val="002A1589"/>
    <w:rsid w:val="002A1608"/>
    <w:rsid w:val="002A163B"/>
    <w:rsid w:val="002A25DC"/>
    <w:rsid w:val="002A3498"/>
    <w:rsid w:val="002A3AAB"/>
    <w:rsid w:val="002A4CEA"/>
    <w:rsid w:val="002A5977"/>
    <w:rsid w:val="002A5A13"/>
    <w:rsid w:val="002A72B3"/>
    <w:rsid w:val="002A757F"/>
    <w:rsid w:val="002A7F44"/>
    <w:rsid w:val="002B0C40"/>
    <w:rsid w:val="002B1966"/>
    <w:rsid w:val="002B4508"/>
    <w:rsid w:val="002B5779"/>
    <w:rsid w:val="002B643F"/>
    <w:rsid w:val="002B7332"/>
    <w:rsid w:val="002B7F51"/>
    <w:rsid w:val="002C09E7"/>
    <w:rsid w:val="002C1E06"/>
    <w:rsid w:val="002C305E"/>
    <w:rsid w:val="002C3F07"/>
    <w:rsid w:val="002C5278"/>
    <w:rsid w:val="002C7EBB"/>
    <w:rsid w:val="002D06C1"/>
    <w:rsid w:val="002D273F"/>
    <w:rsid w:val="002D2796"/>
    <w:rsid w:val="002D42B5"/>
    <w:rsid w:val="002D4F1A"/>
    <w:rsid w:val="002D6EC6"/>
    <w:rsid w:val="002D79AC"/>
    <w:rsid w:val="002E039D"/>
    <w:rsid w:val="002E12AD"/>
    <w:rsid w:val="002E1ED9"/>
    <w:rsid w:val="002E2272"/>
    <w:rsid w:val="002E4D5A"/>
    <w:rsid w:val="002E5DB6"/>
    <w:rsid w:val="002E6138"/>
    <w:rsid w:val="002E6326"/>
    <w:rsid w:val="002E6517"/>
    <w:rsid w:val="002E6A20"/>
    <w:rsid w:val="002F27F8"/>
    <w:rsid w:val="002F30E0"/>
    <w:rsid w:val="002F35E4"/>
    <w:rsid w:val="002F3730"/>
    <w:rsid w:val="002F38E1"/>
    <w:rsid w:val="002F540C"/>
    <w:rsid w:val="002F67F0"/>
    <w:rsid w:val="002F6A0A"/>
    <w:rsid w:val="002F7AF6"/>
    <w:rsid w:val="00300E63"/>
    <w:rsid w:val="0030139C"/>
    <w:rsid w:val="00302ED4"/>
    <w:rsid w:val="00302F5F"/>
    <w:rsid w:val="00304125"/>
    <w:rsid w:val="0030441D"/>
    <w:rsid w:val="00306063"/>
    <w:rsid w:val="00313B85"/>
    <w:rsid w:val="00317988"/>
    <w:rsid w:val="003221B4"/>
    <w:rsid w:val="0032258D"/>
    <w:rsid w:val="00322793"/>
    <w:rsid w:val="00322E62"/>
    <w:rsid w:val="003231B6"/>
    <w:rsid w:val="003247EB"/>
    <w:rsid w:val="00324D13"/>
    <w:rsid w:val="00324EDD"/>
    <w:rsid w:val="00330662"/>
    <w:rsid w:val="003331E4"/>
    <w:rsid w:val="00336C64"/>
    <w:rsid w:val="00337162"/>
    <w:rsid w:val="0034194F"/>
    <w:rsid w:val="003422C3"/>
    <w:rsid w:val="003444F3"/>
    <w:rsid w:val="00344605"/>
    <w:rsid w:val="003458FE"/>
    <w:rsid w:val="00346B46"/>
    <w:rsid w:val="003474AA"/>
    <w:rsid w:val="00350D1D"/>
    <w:rsid w:val="00352C83"/>
    <w:rsid w:val="00352F1A"/>
    <w:rsid w:val="003567B2"/>
    <w:rsid w:val="003576D9"/>
    <w:rsid w:val="003601A3"/>
    <w:rsid w:val="0036107C"/>
    <w:rsid w:val="003615D2"/>
    <w:rsid w:val="00363438"/>
    <w:rsid w:val="0036429C"/>
    <w:rsid w:val="00364A53"/>
    <w:rsid w:val="003654CB"/>
    <w:rsid w:val="00365AA9"/>
    <w:rsid w:val="00365F86"/>
    <w:rsid w:val="00365F87"/>
    <w:rsid w:val="00366E89"/>
    <w:rsid w:val="00367E54"/>
    <w:rsid w:val="003705F4"/>
    <w:rsid w:val="00370D58"/>
    <w:rsid w:val="00371316"/>
    <w:rsid w:val="00373D8A"/>
    <w:rsid w:val="00376713"/>
    <w:rsid w:val="00377E62"/>
    <w:rsid w:val="00381414"/>
    <w:rsid w:val="00381815"/>
    <w:rsid w:val="00381970"/>
    <w:rsid w:val="003819AF"/>
    <w:rsid w:val="003820E9"/>
    <w:rsid w:val="00382DE7"/>
    <w:rsid w:val="00384500"/>
    <w:rsid w:val="00384FFC"/>
    <w:rsid w:val="0038615C"/>
    <w:rsid w:val="003872FC"/>
    <w:rsid w:val="0038754D"/>
    <w:rsid w:val="00387ADC"/>
    <w:rsid w:val="00390020"/>
    <w:rsid w:val="003903D6"/>
    <w:rsid w:val="00390EE6"/>
    <w:rsid w:val="0039118F"/>
    <w:rsid w:val="003920C0"/>
    <w:rsid w:val="00392AD7"/>
    <w:rsid w:val="003938D9"/>
    <w:rsid w:val="00394192"/>
    <w:rsid w:val="00394376"/>
    <w:rsid w:val="003943FF"/>
    <w:rsid w:val="00394457"/>
    <w:rsid w:val="003974EB"/>
    <w:rsid w:val="00397CC5"/>
    <w:rsid w:val="003A0498"/>
    <w:rsid w:val="003A11D1"/>
    <w:rsid w:val="003A1582"/>
    <w:rsid w:val="003A3D9C"/>
    <w:rsid w:val="003A4077"/>
    <w:rsid w:val="003A4AA7"/>
    <w:rsid w:val="003A5AD6"/>
    <w:rsid w:val="003A647A"/>
    <w:rsid w:val="003A6AAE"/>
    <w:rsid w:val="003B0883"/>
    <w:rsid w:val="003B09AD"/>
    <w:rsid w:val="003B1969"/>
    <w:rsid w:val="003B1DBC"/>
    <w:rsid w:val="003B1F18"/>
    <w:rsid w:val="003B2514"/>
    <w:rsid w:val="003B37FA"/>
    <w:rsid w:val="003B5BF0"/>
    <w:rsid w:val="003B60BF"/>
    <w:rsid w:val="003B6262"/>
    <w:rsid w:val="003B6BE3"/>
    <w:rsid w:val="003C010C"/>
    <w:rsid w:val="003C080A"/>
    <w:rsid w:val="003C0A6C"/>
    <w:rsid w:val="003C14F8"/>
    <w:rsid w:val="003C312F"/>
    <w:rsid w:val="003C5A43"/>
    <w:rsid w:val="003D0519"/>
    <w:rsid w:val="003D0FF6"/>
    <w:rsid w:val="003D1945"/>
    <w:rsid w:val="003D25DB"/>
    <w:rsid w:val="003D262C"/>
    <w:rsid w:val="003D4E9C"/>
    <w:rsid w:val="003D6D61"/>
    <w:rsid w:val="003E019F"/>
    <w:rsid w:val="003E091D"/>
    <w:rsid w:val="003E0E95"/>
    <w:rsid w:val="003E1C53"/>
    <w:rsid w:val="003E1E52"/>
    <w:rsid w:val="003E2256"/>
    <w:rsid w:val="003E2A69"/>
    <w:rsid w:val="003E2D49"/>
    <w:rsid w:val="003E2FD4"/>
    <w:rsid w:val="003E49F6"/>
    <w:rsid w:val="003E660F"/>
    <w:rsid w:val="003E7971"/>
    <w:rsid w:val="003F0841"/>
    <w:rsid w:val="003F23D3"/>
    <w:rsid w:val="003F3F08"/>
    <w:rsid w:val="003F49F1"/>
    <w:rsid w:val="003F6272"/>
    <w:rsid w:val="00400B2C"/>
    <w:rsid w:val="00400E72"/>
    <w:rsid w:val="00401400"/>
    <w:rsid w:val="00403479"/>
    <w:rsid w:val="00404869"/>
    <w:rsid w:val="00405884"/>
    <w:rsid w:val="004066ED"/>
    <w:rsid w:val="00407D39"/>
    <w:rsid w:val="0041320E"/>
    <w:rsid w:val="00414574"/>
    <w:rsid w:val="0041477A"/>
    <w:rsid w:val="004167A3"/>
    <w:rsid w:val="0042052F"/>
    <w:rsid w:val="004211F5"/>
    <w:rsid w:val="00422074"/>
    <w:rsid w:val="00422ED9"/>
    <w:rsid w:val="00423F91"/>
    <w:rsid w:val="004271ED"/>
    <w:rsid w:val="004313E2"/>
    <w:rsid w:val="00432DAA"/>
    <w:rsid w:val="00434305"/>
    <w:rsid w:val="00435714"/>
    <w:rsid w:val="00435DF7"/>
    <w:rsid w:val="0044083F"/>
    <w:rsid w:val="00441AE7"/>
    <w:rsid w:val="00445574"/>
    <w:rsid w:val="004467FB"/>
    <w:rsid w:val="0045293B"/>
    <w:rsid w:val="00452D6B"/>
    <w:rsid w:val="00454484"/>
    <w:rsid w:val="0045517B"/>
    <w:rsid w:val="00457495"/>
    <w:rsid w:val="004624F3"/>
    <w:rsid w:val="00463B77"/>
    <w:rsid w:val="00463C7B"/>
    <w:rsid w:val="004644A6"/>
    <w:rsid w:val="00464F08"/>
    <w:rsid w:val="004659BD"/>
    <w:rsid w:val="004670A4"/>
    <w:rsid w:val="00470775"/>
    <w:rsid w:val="004746B1"/>
    <w:rsid w:val="0047583F"/>
    <w:rsid w:val="00475DE8"/>
    <w:rsid w:val="004779AA"/>
    <w:rsid w:val="00481C44"/>
    <w:rsid w:val="00484936"/>
    <w:rsid w:val="00485C89"/>
    <w:rsid w:val="00486BE3"/>
    <w:rsid w:val="00486FFC"/>
    <w:rsid w:val="004905E4"/>
    <w:rsid w:val="00490A89"/>
    <w:rsid w:val="00490AB4"/>
    <w:rsid w:val="00491B9A"/>
    <w:rsid w:val="004925FC"/>
    <w:rsid w:val="00492F02"/>
    <w:rsid w:val="004939AE"/>
    <w:rsid w:val="004975C3"/>
    <w:rsid w:val="004A12DF"/>
    <w:rsid w:val="004A1AF8"/>
    <w:rsid w:val="004A1BA8"/>
    <w:rsid w:val="004A2F22"/>
    <w:rsid w:val="004A4B57"/>
    <w:rsid w:val="004A63FA"/>
    <w:rsid w:val="004A6A3D"/>
    <w:rsid w:val="004A78C6"/>
    <w:rsid w:val="004B0272"/>
    <w:rsid w:val="004B12CD"/>
    <w:rsid w:val="004B2701"/>
    <w:rsid w:val="004B2E1B"/>
    <w:rsid w:val="004B3AA8"/>
    <w:rsid w:val="004B3E93"/>
    <w:rsid w:val="004B6582"/>
    <w:rsid w:val="004B79EE"/>
    <w:rsid w:val="004C1FBC"/>
    <w:rsid w:val="004C25A2"/>
    <w:rsid w:val="004C3F1D"/>
    <w:rsid w:val="004C458D"/>
    <w:rsid w:val="004C5D66"/>
    <w:rsid w:val="004C7556"/>
    <w:rsid w:val="004C7E8B"/>
    <w:rsid w:val="004C7E9D"/>
    <w:rsid w:val="004C7F67"/>
    <w:rsid w:val="004D0529"/>
    <w:rsid w:val="004D076D"/>
    <w:rsid w:val="004D0EF1"/>
    <w:rsid w:val="004D2253"/>
    <w:rsid w:val="004D325F"/>
    <w:rsid w:val="004D4406"/>
    <w:rsid w:val="004D761E"/>
    <w:rsid w:val="004D7C42"/>
    <w:rsid w:val="004E02DA"/>
    <w:rsid w:val="004E0465"/>
    <w:rsid w:val="004E127B"/>
    <w:rsid w:val="004E1C0A"/>
    <w:rsid w:val="004E30C5"/>
    <w:rsid w:val="004E3DBE"/>
    <w:rsid w:val="004E4AA5"/>
    <w:rsid w:val="004E4AEE"/>
    <w:rsid w:val="004E59E3"/>
    <w:rsid w:val="004E62B7"/>
    <w:rsid w:val="004E67C0"/>
    <w:rsid w:val="004F0636"/>
    <w:rsid w:val="004F391A"/>
    <w:rsid w:val="004F3CFB"/>
    <w:rsid w:val="004F6370"/>
    <w:rsid w:val="004F6456"/>
    <w:rsid w:val="004F696E"/>
    <w:rsid w:val="004F6C71"/>
    <w:rsid w:val="00501139"/>
    <w:rsid w:val="0050211B"/>
    <w:rsid w:val="0050363E"/>
    <w:rsid w:val="00503694"/>
    <w:rsid w:val="005039BC"/>
    <w:rsid w:val="00503BCC"/>
    <w:rsid w:val="005043BB"/>
    <w:rsid w:val="00504A3D"/>
    <w:rsid w:val="00505767"/>
    <w:rsid w:val="005073F0"/>
    <w:rsid w:val="00510A7B"/>
    <w:rsid w:val="00512ED9"/>
    <w:rsid w:val="00512F6E"/>
    <w:rsid w:val="00513038"/>
    <w:rsid w:val="00514174"/>
    <w:rsid w:val="00515139"/>
    <w:rsid w:val="005156AE"/>
    <w:rsid w:val="00516088"/>
    <w:rsid w:val="00516B0B"/>
    <w:rsid w:val="005204AA"/>
    <w:rsid w:val="005220EC"/>
    <w:rsid w:val="00523F95"/>
    <w:rsid w:val="00524D65"/>
    <w:rsid w:val="00525B16"/>
    <w:rsid w:val="00533D04"/>
    <w:rsid w:val="00534804"/>
    <w:rsid w:val="00534BDF"/>
    <w:rsid w:val="005354EA"/>
    <w:rsid w:val="0053585F"/>
    <w:rsid w:val="00535EC4"/>
    <w:rsid w:val="00535ED9"/>
    <w:rsid w:val="00536211"/>
    <w:rsid w:val="0053692B"/>
    <w:rsid w:val="00540571"/>
    <w:rsid w:val="00540D87"/>
    <w:rsid w:val="00541853"/>
    <w:rsid w:val="00543BDA"/>
    <w:rsid w:val="005441CC"/>
    <w:rsid w:val="005479DA"/>
    <w:rsid w:val="00547BCC"/>
    <w:rsid w:val="0055013B"/>
    <w:rsid w:val="00551F6F"/>
    <w:rsid w:val="00553301"/>
    <w:rsid w:val="00555044"/>
    <w:rsid w:val="00560E32"/>
    <w:rsid w:val="00561475"/>
    <w:rsid w:val="00562308"/>
    <w:rsid w:val="0056487B"/>
    <w:rsid w:val="00564FB9"/>
    <w:rsid w:val="0057025A"/>
    <w:rsid w:val="005704A9"/>
    <w:rsid w:val="00570B54"/>
    <w:rsid w:val="00572C63"/>
    <w:rsid w:val="00573D9E"/>
    <w:rsid w:val="00575A37"/>
    <w:rsid w:val="005801E3"/>
    <w:rsid w:val="00581802"/>
    <w:rsid w:val="005836A8"/>
    <w:rsid w:val="0058409C"/>
    <w:rsid w:val="00584262"/>
    <w:rsid w:val="00584443"/>
    <w:rsid w:val="00586630"/>
    <w:rsid w:val="00587ADD"/>
    <w:rsid w:val="00590A80"/>
    <w:rsid w:val="00592EAD"/>
    <w:rsid w:val="00593A49"/>
    <w:rsid w:val="005947E2"/>
    <w:rsid w:val="00596160"/>
    <w:rsid w:val="005966E2"/>
    <w:rsid w:val="00597007"/>
    <w:rsid w:val="005A0966"/>
    <w:rsid w:val="005A11B7"/>
    <w:rsid w:val="005A1D8C"/>
    <w:rsid w:val="005A260B"/>
    <w:rsid w:val="005A4A1B"/>
    <w:rsid w:val="005A7830"/>
    <w:rsid w:val="005A7FCE"/>
    <w:rsid w:val="005B0F3F"/>
    <w:rsid w:val="005B11E8"/>
    <w:rsid w:val="005B191C"/>
    <w:rsid w:val="005B3845"/>
    <w:rsid w:val="005B4903"/>
    <w:rsid w:val="005B51CE"/>
    <w:rsid w:val="005B5885"/>
    <w:rsid w:val="005B5CD7"/>
    <w:rsid w:val="005B6CF6"/>
    <w:rsid w:val="005B7422"/>
    <w:rsid w:val="005B7DBF"/>
    <w:rsid w:val="005C29B8"/>
    <w:rsid w:val="005C5F21"/>
    <w:rsid w:val="005C6502"/>
    <w:rsid w:val="005C7156"/>
    <w:rsid w:val="005D0C75"/>
    <w:rsid w:val="005D2E07"/>
    <w:rsid w:val="005D342F"/>
    <w:rsid w:val="005D3531"/>
    <w:rsid w:val="005D4171"/>
    <w:rsid w:val="005D6A95"/>
    <w:rsid w:val="005D6B2C"/>
    <w:rsid w:val="005D6D9C"/>
    <w:rsid w:val="005D7486"/>
    <w:rsid w:val="005E1C83"/>
    <w:rsid w:val="005E2335"/>
    <w:rsid w:val="005E2560"/>
    <w:rsid w:val="005E34CA"/>
    <w:rsid w:val="005E3C18"/>
    <w:rsid w:val="005E4250"/>
    <w:rsid w:val="005E5DB6"/>
    <w:rsid w:val="005E6812"/>
    <w:rsid w:val="005E7881"/>
    <w:rsid w:val="005E78E0"/>
    <w:rsid w:val="005E7D9A"/>
    <w:rsid w:val="005F0D9C"/>
    <w:rsid w:val="005F284E"/>
    <w:rsid w:val="005F4581"/>
    <w:rsid w:val="005F68AB"/>
    <w:rsid w:val="006015CE"/>
    <w:rsid w:val="0060453A"/>
    <w:rsid w:val="00604784"/>
    <w:rsid w:val="00606419"/>
    <w:rsid w:val="00607D29"/>
    <w:rsid w:val="00612952"/>
    <w:rsid w:val="006149A4"/>
    <w:rsid w:val="00614CC1"/>
    <w:rsid w:val="00615A9D"/>
    <w:rsid w:val="00617387"/>
    <w:rsid w:val="006205D6"/>
    <w:rsid w:val="006252D8"/>
    <w:rsid w:val="006259BC"/>
    <w:rsid w:val="00625DFA"/>
    <w:rsid w:val="0062636B"/>
    <w:rsid w:val="00632182"/>
    <w:rsid w:val="00632AE0"/>
    <w:rsid w:val="00633859"/>
    <w:rsid w:val="00633C17"/>
    <w:rsid w:val="00634D9E"/>
    <w:rsid w:val="00636E3E"/>
    <w:rsid w:val="006379F7"/>
    <w:rsid w:val="00637E4D"/>
    <w:rsid w:val="00640620"/>
    <w:rsid w:val="00641A1F"/>
    <w:rsid w:val="0064267E"/>
    <w:rsid w:val="00642A34"/>
    <w:rsid w:val="006452DF"/>
    <w:rsid w:val="00645904"/>
    <w:rsid w:val="006464DB"/>
    <w:rsid w:val="006519D0"/>
    <w:rsid w:val="00651ACB"/>
    <w:rsid w:val="00651C47"/>
    <w:rsid w:val="00652178"/>
    <w:rsid w:val="00652AB2"/>
    <w:rsid w:val="00653FED"/>
    <w:rsid w:val="00654EC0"/>
    <w:rsid w:val="0065525B"/>
    <w:rsid w:val="00655D4F"/>
    <w:rsid w:val="00656D29"/>
    <w:rsid w:val="00657174"/>
    <w:rsid w:val="00657B89"/>
    <w:rsid w:val="006640E5"/>
    <w:rsid w:val="006646F1"/>
    <w:rsid w:val="00664929"/>
    <w:rsid w:val="00664F62"/>
    <w:rsid w:val="006655E1"/>
    <w:rsid w:val="00672060"/>
    <w:rsid w:val="00672B0D"/>
    <w:rsid w:val="00672BFD"/>
    <w:rsid w:val="006770F4"/>
    <w:rsid w:val="00677A84"/>
    <w:rsid w:val="0068026D"/>
    <w:rsid w:val="00680A27"/>
    <w:rsid w:val="006816A4"/>
    <w:rsid w:val="006819B8"/>
    <w:rsid w:val="006840A6"/>
    <w:rsid w:val="006850CD"/>
    <w:rsid w:val="00685AAB"/>
    <w:rsid w:val="00685F96"/>
    <w:rsid w:val="00692A2A"/>
    <w:rsid w:val="00693237"/>
    <w:rsid w:val="0069536D"/>
    <w:rsid w:val="006A07AA"/>
    <w:rsid w:val="006A25E5"/>
    <w:rsid w:val="006A2B46"/>
    <w:rsid w:val="006A336D"/>
    <w:rsid w:val="006A37B9"/>
    <w:rsid w:val="006A3AA1"/>
    <w:rsid w:val="006A4152"/>
    <w:rsid w:val="006A5F86"/>
    <w:rsid w:val="006A781C"/>
    <w:rsid w:val="006B2672"/>
    <w:rsid w:val="006B54BF"/>
    <w:rsid w:val="006B5738"/>
    <w:rsid w:val="006B5F44"/>
    <w:rsid w:val="006B5F90"/>
    <w:rsid w:val="006B62E4"/>
    <w:rsid w:val="006C1726"/>
    <w:rsid w:val="006C1BBA"/>
    <w:rsid w:val="006C2079"/>
    <w:rsid w:val="006C5A62"/>
    <w:rsid w:val="006C5C28"/>
    <w:rsid w:val="006C5D68"/>
    <w:rsid w:val="006C642D"/>
    <w:rsid w:val="006C6976"/>
    <w:rsid w:val="006C6DD0"/>
    <w:rsid w:val="006C6EBB"/>
    <w:rsid w:val="006D04EA"/>
    <w:rsid w:val="006D16C4"/>
    <w:rsid w:val="006D3E96"/>
    <w:rsid w:val="006D4515"/>
    <w:rsid w:val="006D4BB1"/>
    <w:rsid w:val="006D6593"/>
    <w:rsid w:val="006E7D07"/>
    <w:rsid w:val="006F03A8"/>
    <w:rsid w:val="006F2ACA"/>
    <w:rsid w:val="006F2ADC"/>
    <w:rsid w:val="006F2BFE"/>
    <w:rsid w:val="006F31E9"/>
    <w:rsid w:val="006F61B0"/>
    <w:rsid w:val="006F6284"/>
    <w:rsid w:val="007002C5"/>
    <w:rsid w:val="0070354B"/>
    <w:rsid w:val="00704387"/>
    <w:rsid w:val="00707669"/>
    <w:rsid w:val="007104E3"/>
    <w:rsid w:val="00711CBA"/>
    <w:rsid w:val="00711FB5"/>
    <w:rsid w:val="00712A01"/>
    <w:rsid w:val="007144FC"/>
    <w:rsid w:val="00714F58"/>
    <w:rsid w:val="00717478"/>
    <w:rsid w:val="0072249B"/>
    <w:rsid w:val="00722A7F"/>
    <w:rsid w:val="00722FBF"/>
    <w:rsid w:val="00722FC2"/>
    <w:rsid w:val="00724A7D"/>
    <w:rsid w:val="00724E1B"/>
    <w:rsid w:val="00725949"/>
    <w:rsid w:val="00727FA2"/>
    <w:rsid w:val="007322D9"/>
    <w:rsid w:val="00732BC0"/>
    <w:rsid w:val="007345A6"/>
    <w:rsid w:val="00735F79"/>
    <w:rsid w:val="007361EA"/>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165"/>
    <w:rsid w:val="00755402"/>
    <w:rsid w:val="00756B26"/>
    <w:rsid w:val="00756EDF"/>
    <w:rsid w:val="007600E3"/>
    <w:rsid w:val="0076181D"/>
    <w:rsid w:val="00764596"/>
    <w:rsid w:val="00765C43"/>
    <w:rsid w:val="00765EFB"/>
    <w:rsid w:val="007671CA"/>
    <w:rsid w:val="0076765A"/>
    <w:rsid w:val="00767C61"/>
    <w:rsid w:val="0077008A"/>
    <w:rsid w:val="00770321"/>
    <w:rsid w:val="0077364E"/>
    <w:rsid w:val="00773C1F"/>
    <w:rsid w:val="00774DA4"/>
    <w:rsid w:val="00776599"/>
    <w:rsid w:val="0078114B"/>
    <w:rsid w:val="00781DD2"/>
    <w:rsid w:val="00783ECF"/>
    <w:rsid w:val="0078413A"/>
    <w:rsid w:val="007917EC"/>
    <w:rsid w:val="007959E8"/>
    <w:rsid w:val="00795E9C"/>
    <w:rsid w:val="007A0521"/>
    <w:rsid w:val="007A2E12"/>
    <w:rsid w:val="007A3475"/>
    <w:rsid w:val="007A41C8"/>
    <w:rsid w:val="007A54CE"/>
    <w:rsid w:val="007A5D3A"/>
    <w:rsid w:val="007A62C0"/>
    <w:rsid w:val="007A6FD9"/>
    <w:rsid w:val="007A7FFA"/>
    <w:rsid w:val="007B04EB"/>
    <w:rsid w:val="007B0BCF"/>
    <w:rsid w:val="007B0C9A"/>
    <w:rsid w:val="007B0D26"/>
    <w:rsid w:val="007B0D4F"/>
    <w:rsid w:val="007B4286"/>
    <w:rsid w:val="007B4F9A"/>
    <w:rsid w:val="007B5A3D"/>
    <w:rsid w:val="007B5B95"/>
    <w:rsid w:val="007B6032"/>
    <w:rsid w:val="007B68EA"/>
    <w:rsid w:val="007B7453"/>
    <w:rsid w:val="007C2328"/>
    <w:rsid w:val="007C2D89"/>
    <w:rsid w:val="007C4593"/>
    <w:rsid w:val="007C5309"/>
    <w:rsid w:val="007C6069"/>
    <w:rsid w:val="007C6CB7"/>
    <w:rsid w:val="007C7F3B"/>
    <w:rsid w:val="007D06C4"/>
    <w:rsid w:val="007D0DC6"/>
    <w:rsid w:val="007D1352"/>
    <w:rsid w:val="007D2508"/>
    <w:rsid w:val="007D2D07"/>
    <w:rsid w:val="007D346A"/>
    <w:rsid w:val="007D5C39"/>
    <w:rsid w:val="007D6518"/>
    <w:rsid w:val="007D6D68"/>
    <w:rsid w:val="007D76BD"/>
    <w:rsid w:val="007E0BF1"/>
    <w:rsid w:val="007E1228"/>
    <w:rsid w:val="007E6770"/>
    <w:rsid w:val="007F0ED8"/>
    <w:rsid w:val="007F0F63"/>
    <w:rsid w:val="007F2C3D"/>
    <w:rsid w:val="007F2FA8"/>
    <w:rsid w:val="007F75CE"/>
    <w:rsid w:val="007F7BDE"/>
    <w:rsid w:val="00800E3C"/>
    <w:rsid w:val="008013A4"/>
    <w:rsid w:val="008027CE"/>
    <w:rsid w:val="00802F42"/>
    <w:rsid w:val="00804383"/>
    <w:rsid w:val="00804BB7"/>
    <w:rsid w:val="00804D41"/>
    <w:rsid w:val="00810257"/>
    <w:rsid w:val="008104F5"/>
    <w:rsid w:val="00811072"/>
    <w:rsid w:val="00811369"/>
    <w:rsid w:val="00812FC8"/>
    <w:rsid w:val="00813B30"/>
    <w:rsid w:val="00815419"/>
    <w:rsid w:val="008163C8"/>
    <w:rsid w:val="008164A1"/>
    <w:rsid w:val="00817325"/>
    <w:rsid w:val="008209E6"/>
    <w:rsid w:val="008215B4"/>
    <w:rsid w:val="00821D19"/>
    <w:rsid w:val="0082307A"/>
    <w:rsid w:val="00823303"/>
    <w:rsid w:val="008233B2"/>
    <w:rsid w:val="00823A9F"/>
    <w:rsid w:val="00823C85"/>
    <w:rsid w:val="008249ED"/>
    <w:rsid w:val="00825138"/>
    <w:rsid w:val="008269DD"/>
    <w:rsid w:val="00830621"/>
    <w:rsid w:val="0083258B"/>
    <w:rsid w:val="0083348C"/>
    <w:rsid w:val="0083734F"/>
    <w:rsid w:val="008373D3"/>
    <w:rsid w:val="0083768C"/>
    <w:rsid w:val="00840617"/>
    <w:rsid w:val="00840955"/>
    <w:rsid w:val="00840F84"/>
    <w:rsid w:val="00842A47"/>
    <w:rsid w:val="00843C13"/>
    <w:rsid w:val="00843DEF"/>
    <w:rsid w:val="00843E1F"/>
    <w:rsid w:val="008454F8"/>
    <w:rsid w:val="00845850"/>
    <w:rsid w:val="0084712B"/>
    <w:rsid w:val="00851498"/>
    <w:rsid w:val="0085173A"/>
    <w:rsid w:val="008524F7"/>
    <w:rsid w:val="008566FC"/>
    <w:rsid w:val="0086007F"/>
    <w:rsid w:val="008603CE"/>
    <w:rsid w:val="0086041E"/>
    <w:rsid w:val="008620FC"/>
    <w:rsid w:val="00862405"/>
    <w:rsid w:val="008626F7"/>
    <w:rsid w:val="008627A5"/>
    <w:rsid w:val="00863D92"/>
    <w:rsid w:val="00863E05"/>
    <w:rsid w:val="0086498C"/>
    <w:rsid w:val="00865ACA"/>
    <w:rsid w:val="00865D28"/>
    <w:rsid w:val="00865F85"/>
    <w:rsid w:val="00867C10"/>
    <w:rsid w:val="00870439"/>
    <w:rsid w:val="00870DA1"/>
    <w:rsid w:val="0087142F"/>
    <w:rsid w:val="00871859"/>
    <w:rsid w:val="00872EAE"/>
    <w:rsid w:val="008730F9"/>
    <w:rsid w:val="00875CD4"/>
    <w:rsid w:val="00883F93"/>
    <w:rsid w:val="00884808"/>
    <w:rsid w:val="00884DB3"/>
    <w:rsid w:val="00885A9D"/>
    <w:rsid w:val="008864F6"/>
    <w:rsid w:val="00887193"/>
    <w:rsid w:val="0088784B"/>
    <w:rsid w:val="0089049D"/>
    <w:rsid w:val="008928C9"/>
    <w:rsid w:val="00892A6F"/>
    <w:rsid w:val="008930CB"/>
    <w:rsid w:val="0089354B"/>
    <w:rsid w:val="008938DC"/>
    <w:rsid w:val="00893FD1"/>
    <w:rsid w:val="00894288"/>
    <w:rsid w:val="00894836"/>
    <w:rsid w:val="00895172"/>
    <w:rsid w:val="00895680"/>
    <w:rsid w:val="00895706"/>
    <w:rsid w:val="00895D17"/>
    <w:rsid w:val="00896DFF"/>
    <w:rsid w:val="0089762C"/>
    <w:rsid w:val="00897C80"/>
    <w:rsid w:val="008A173B"/>
    <w:rsid w:val="008A1893"/>
    <w:rsid w:val="008A1CB6"/>
    <w:rsid w:val="008A57E6"/>
    <w:rsid w:val="008A6F81"/>
    <w:rsid w:val="008A769A"/>
    <w:rsid w:val="008A7932"/>
    <w:rsid w:val="008B0C9C"/>
    <w:rsid w:val="008B166D"/>
    <w:rsid w:val="008B17F4"/>
    <w:rsid w:val="008B2035"/>
    <w:rsid w:val="008B23F6"/>
    <w:rsid w:val="008B3615"/>
    <w:rsid w:val="008B3B83"/>
    <w:rsid w:val="008B4AC4"/>
    <w:rsid w:val="008B50C8"/>
    <w:rsid w:val="008B5281"/>
    <w:rsid w:val="008B5FC5"/>
    <w:rsid w:val="008B6BF1"/>
    <w:rsid w:val="008B7E05"/>
    <w:rsid w:val="008C04A0"/>
    <w:rsid w:val="008C1797"/>
    <w:rsid w:val="008C1DA1"/>
    <w:rsid w:val="008C219C"/>
    <w:rsid w:val="008C475E"/>
    <w:rsid w:val="008C619A"/>
    <w:rsid w:val="008D0CE8"/>
    <w:rsid w:val="008D1FCB"/>
    <w:rsid w:val="008D2D1D"/>
    <w:rsid w:val="008D4411"/>
    <w:rsid w:val="008D453D"/>
    <w:rsid w:val="008D4797"/>
    <w:rsid w:val="008D53AD"/>
    <w:rsid w:val="008D562B"/>
    <w:rsid w:val="008D5733"/>
    <w:rsid w:val="008D622B"/>
    <w:rsid w:val="008D666C"/>
    <w:rsid w:val="008D7B54"/>
    <w:rsid w:val="008E0C9D"/>
    <w:rsid w:val="008E0E4F"/>
    <w:rsid w:val="008E1648"/>
    <w:rsid w:val="008E1B3E"/>
    <w:rsid w:val="008E2319"/>
    <w:rsid w:val="008E4BB6"/>
    <w:rsid w:val="008E4C13"/>
    <w:rsid w:val="008E5518"/>
    <w:rsid w:val="008E6A84"/>
    <w:rsid w:val="008F0CDC"/>
    <w:rsid w:val="008F17A3"/>
    <w:rsid w:val="008F1ED3"/>
    <w:rsid w:val="008F4C29"/>
    <w:rsid w:val="008F70BD"/>
    <w:rsid w:val="008F788F"/>
    <w:rsid w:val="008F7EA2"/>
    <w:rsid w:val="00902722"/>
    <w:rsid w:val="009027BC"/>
    <w:rsid w:val="00903849"/>
    <w:rsid w:val="009062E6"/>
    <w:rsid w:val="00911BE5"/>
    <w:rsid w:val="00913CA9"/>
    <w:rsid w:val="009145AE"/>
    <w:rsid w:val="009146CE"/>
    <w:rsid w:val="00914A2E"/>
    <w:rsid w:val="00914CA7"/>
    <w:rsid w:val="00915C3E"/>
    <w:rsid w:val="009161A8"/>
    <w:rsid w:val="00916CFB"/>
    <w:rsid w:val="0092139B"/>
    <w:rsid w:val="00921584"/>
    <w:rsid w:val="009245AE"/>
    <w:rsid w:val="009245F5"/>
    <w:rsid w:val="009249EC"/>
    <w:rsid w:val="009270FA"/>
    <w:rsid w:val="009273B3"/>
    <w:rsid w:val="009301B5"/>
    <w:rsid w:val="009305B5"/>
    <w:rsid w:val="009313B9"/>
    <w:rsid w:val="00931447"/>
    <w:rsid w:val="009371A5"/>
    <w:rsid w:val="009378DD"/>
    <w:rsid w:val="009429D5"/>
    <w:rsid w:val="00942BF1"/>
    <w:rsid w:val="00942E8B"/>
    <w:rsid w:val="00943C50"/>
    <w:rsid w:val="00945180"/>
    <w:rsid w:val="00945428"/>
    <w:rsid w:val="0094607B"/>
    <w:rsid w:val="0094614F"/>
    <w:rsid w:val="00953604"/>
    <w:rsid w:val="00953CFF"/>
    <w:rsid w:val="00953F44"/>
    <w:rsid w:val="0095496B"/>
    <w:rsid w:val="009563F5"/>
    <w:rsid w:val="00960F1E"/>
    <w:rsid w:val="009610DC"/>
    <w:rsid w:val="00961490"/>
    <w:rsid w:val="0096381A"/>
    <w:rsid w:val="00963C54"/>
    <w:rsid w:val="00965E04"/>
    <w:rsid w:val="0096656D"/>
    <w:rsid w:val="009674AD"/>
    <w:rsid w:val="00970CDC"/>
    <w:rsid w:val="00971E0B"/>
    <w:rsid w:val="009737FB"/>
    <w:rsid w:val="00975727"/>
    <w:rsid w:val="00977010"/>
    <w:rsid w:val="00977D02"/>
    <w:rsid w:val="00977FF9"/>
    <w:rsid w:val="009806F2"/>
    <w:rsid w:val="009809BB"/>
    <w:rsid w:val="0098364B"/>
    <w:rsid w:val="009908A3"/>
    <w:rsid w:val="00990F2F"/>
    <w:rsid w:val="009911AF"/>
    <w:rsid w:val="00991875"/>
    <w:rsid w:val="00991A24"/>
    <w:rsid w:val="00991F92"/>
    <w:rsid w:val="00992985"/>
    <w:rsid w:val="00993889"/>
    <w:rsid w:val="00993ACE"/>
    <w:rsid w:val="00993DCD"/>
    <w:rsid w:val="0099551B"/>
    <w:rsid w:val="00996BD2"/>
    <w:rsid w:val="0099703F"/>
    <w:rsid w:val="00997BF1"/>
    <w:rsid w:val="009A089C"/>
    <w:rsid w:val="009A118E"/>
    <w:rsid w:val="009A1CB9"/>
    <w:rsid w:val="009A21CD"/>
    <w:rsid w:val="009A278C"/>
    <w:rsid w:val="009A2BC2"/>
    <w:rsid w:val="009A42C1"/>
    <w:rsid w:val="009A5429"/>
    <w:rsid w:val="009A72AD"/>
    <w:rsid w:val="009A78E5"/>
    <w:rsid w:val="009B09E0"/>
    <w:rsid w:val="009B0BC5"/>
    <w:rsid w:val="009B1247"/>
    <w:rsid w:val="009B257F"/>
    <w:rsid w:val="009B48D9"/>
    <w:rsid w:val="009B6029"/>
    <w:rsid w:val="009B6971"/>
    <w:rsid w:val="009C27F1"/>
    <w:rsid w:val="009C3152"/>
    <w:rsid w:val="009C3257"/>
    <w:rsid w:val="009C4CFA"/>
    <w:rsid w:val="009C5070"/>
    <w:rsid w:val="009D112C"/>
    <w:rsid w:val="009D1385"/>
    <w:rsid w:val="009D2561"/>
    <w:rsid w:val="009D3B8F"/>
    <w:rsid w:val="009D47FA"/>
    <w:rsid w:val="009D4C5B"/>
    <w:rsid w:val="009D50D2"/>
    <w:rsid w:val="009D6BCA"/>
    <w:rsid w:val="009D7BA6"/>
    <w:rsid w:val="009D7E31"/>
    <w:rsid w:val="009E0F62"/>
    <w:rsid w:val="009E49A5"/>
    <w:rsid w:val="009E4A58"/>
    <w:rsid w:val="009E5A2D"/>
    <w:rsid w:val="009E5AB2"/>
    <w:rsid w:val="009E6219"/>
    <w:rsid w:val="009E654F"/>
    <w:rsid w:val="009E7F0B"/>
    <w:rsid w:val="009F03B3"/>
    <w:rsid w:val="009F4A4D"/>
    <w:rsid w:val="009F597A"/>
    <w:rsid w:val="009F69E5"/>
    <w:rsid w:val="00A0096C"/>
    <w:rsid w:val="00A00EC5"/>
    <w:rsid w:val="00A01757"/>
    <w:rsid w:val="00A028C0"/>
    <w:rsid w:val="00A02BAE"/>
    <w:rsid w:val="00A06A6B"/>
    <w:rsid w:val="00A07E47"/>
    <w:rsid w:val="00A10B5C"/>
    <w:rsid w:val="00A118FE"/>
    <w:rsid w:val="00A129D0"/>
    <w:rsid w:val="00A12C33"/>
    <w:rsid w:val="00A12E07"/>
    <w:rsid w:val="00A138BA"/>
    <w:rsid w:val="00A14C8E"/>
    <w:rsid w:val="00A1529C"/>
    <w:rsid w:val="00A153D9"/>
    <w:rsid w:val="00A15F09"/>
    <w:rsid w:val="00A169B6"/>
    <w:rsid w:val="00A2271D"/>
    <w:rsid w:val="00A237D5"/>
    <w:rsid w:val="00A2742C"/>
    <w:rsid w:val="00A30EFC"/>
    <w:rsid w:val="00A31540"/>
    <w:rsid w:val="00A31984"/>
    <w:rsid w:val="00A31CFF"/>
    <w:rsid w:val="00A32D73"/>
    <w:rsid w:val="00A3367B"/>
    <w:rsid w:val="00A33C67"/>
    <w:rsid w:val="00A34E07"/>
    <w:rsid w:val="00A3597D"/>
    <w:rsid w:val="00A36DD1"/>
    <w:rsid w:val="00A373CA"/>
    <w:rsid w:val="00A4006C"/>
    <w:rsid w:val="00A40091"/>
    <w:rsid w:val="00A4030F"/>
    <w:rsid w:val="00A41C79"/>
    <w:rsid w:val="00A41CB5"/>
    <w:rsid w:val="00A42CDF"/>
    <w:rsid w:val="00A43EB3"/>
    <w:rsid w:val="00A4452E"/>
    <w:rsid w:val="00A4472C"/>
    <w:rsid w:val="00A44E69"/>
    <w:rsid w:val="00A4661E"/>
    <w:rsid w:val="00A4732E"/>
    <w:rsid w:val="00A4746F"/>
    <w:rsid w:val="00A474D0"/>
    <w:rsid w:val="00A5344D"/>
    <w:rsid w:val="00A55726"/>
    <w:rsid w:val="00A55BD6"/>
    <w:rsid w:val="00A55D50"/>
    <w:rsid w:val="00A57142"/>
    <w:rsid w:val="00A60F17"/>
    <w:rsid w:val="00A615C4"/>
    <w:rsid w:val="00A6163C"/>
    <w:rsid w:val="00A624B1"/>
    <w:rsid w:val="00A648CD"/>
    <w:rsid w:val="00A6537A"/>
    <w:rsid w:val="00A667C3"/>
    <w:rsid w:val="00A668F4"/>
    <w:rsid w:val="00A67309"/>
    <w:rsid w:val="00A67866"/>
    <w:rsid w:val="00A70B07"/>
    <w:rsid w:val="00A723F8"/>
    <w:rsid w:val="00A77CCB"/>
    <w:rsid w:val="00A83D8D"/>
    <w:rsid w:val="00A8446B"/>
    <w:rsid w:val="00A8473F"/>
    <w:rsid w:val="00A862D6"/>
    <w:rsid w:val="00A8715E"/>
    <w:rsid w:val="00A8749C"/>
    <w:rsid w:val="00A9295B"/>
    <w:rsid w:val="00A92FA4"/>
    <w:rsid w:val="00A93B09"/>
    <w:rsid w:val="00A952D7"/>
    <w:rsid w:val="00A95BD7"/>
    <w:rsid w:val="00A963F7"/>
    <w:rsid w:val="00A96AD8"/>
    <w:rsid w:val="00AA052C"/>
    <w:rsid w:val="00AA1E45"/>
    <w:rsid w:val="00AA3F9D"/>
    <w:rsid w:val="00AA4286"/>
    <w:rsid w:val="00AA456B"/>
    <w:rsid w:val="00AA57F5"/>
    <w:rsid w:val="00AA672E"/>
    <w:rsid w:val="00AA6EC9"/>
    <w:rsid w:val="00AA779D"/>
    <w:rsid w:val="00AB0499"/>
    <w:rsid w:val="00AB24D7"/>
    <w:rsid w:val="00AB4796"/>
    <w:rsid w:val="00AB6309"/>
    <w:rsid w:val="00AB6C5F"/>
    <w:rsid w:val="00AB7129"/>
    <w:rsid w:val="00AB7F8C"/>
    <w:rsid w:val="00AC024A"/>
    <w:rsid w:val="00AC0381"/>
    <w:rsid w:val="00AC0E6D"/>
    <w:rsid w:val="00AC18A7"/>
    <w:rsid w:val="00AC27A6"/>
    <w:rsid w:val="00AC30F7"/>
    <w:rsid w:val="00AC3613"/>
    <w:rsid w:val="00AC3A5A"/>
    <w:rsid w:val="00AC4D95"/>
    <w:rsid w:val="00AC584E"/>
    <w:rsid w:val="00AC5DF4"/>
    <w:rsid w:val="00AC6BF1"/>
    <w:rsid w:val="00AD0AEF"/>
    <w:rsid w:val="00AD11B7"/>
    <w:rsid w:val="00AD1A94"/>
    <w:rsid w:val="00AD1C05"/>
    <w:rsid w:val="00AD3045"/>
    <w:rsid w:val="00AD360E"/>
    <w:rsid w:val="00AD3BCC"/>
    <w:rsid w:val="00AD4126"/>
    <w:rsid w:val="00AD421C"/>
    <w:rsid w:val="00AD44FA"/>
    <w:rsid w:val="00AD49D8"/>
    <w:rsid w:val="00AD4F02"/>
    <w:rsid w:val="00AD4F5B"/>
    <w:rsid w:val="00AE070A"/>
    <w:rsid w:val="00AE101C"/>
    <w:rsid w:val="00AE2A69"/>
    <w:rsid w:val="00AE37E5"/>
    <w:rsid w:val="00AE5EB4"/>
    <w:rsid w:val="00AE6548"/>
    <w:rsid w:val="00AE6ACC"/>
    <w:rsid w:val="00AF090A"/>
    <w:rsid w:val="00AF0C18"/>
    <w:rsid w:val="00AF1AA4"/>
    <w:rsid w:val="00AF401A"/>
    <w:rsid w:val="00AF47C5"/>
    <w:rsid w:val="00AF5398"/>
    <w:rsid w:val="00AF6FC4"/>
    <w:rsid w:val="00B008B6"/>
    <w:rsid w:val="00B010DC"/>
    <w:rsid w:val="00B0137C"/>
    <w:rsid w:val="00B035FB"/>
    <w:rsid w:val="00B04052"/>
    <w:rsid w:val="00B049AF"/>
    <w:rsid w:val="00B0710D"/>
    <w:rsid w:val="00B07242"/>
    <w:rsid w:val="00B10534"/>
    <w:rsid w:val="00B113DB"/>
    <w:rsid w:val="00B11D8A"/>
    <w:rsid w:val="00B12981"/>
    <w:rsid w:val="00B13022"/>
    <w:rsid w:val="00B147DD"/>
    <w:rsid w:val="00B156FD"/>
    <w:rsid w:val="00B17752"/>
    <w:rsid w:val="00B210EC"/>
    <w:rsid w:val="00B21A86"/>
    <w:rsid w:val="00B21F61"/>
    <w:rsid w:val="00B235BE"/>
    <w:rsid w:val="00B261F1"/>
    <w:rsid w:val="00B265BC"/>
    <w:rsid w:val="00B269C3"/>
    <w:rsid w:val="00B31FB1"/>
    <w:rsid w:val="00B33952"/>
    <w:rsid w:val="00B33C5E"/>
    <w:rsid w:val="00B342F4"/>
    <w:rsid w:val="00B34369"/>
    <w:rsid w:val="00B34DC2"/>
    <w:rsid w:val="00B36398"/>
    <w:rsid w:val="00B37274"/>
    <w:rsid w:val="00B378E5"/>
    <w:rsid w:val="00B427B0"/>
    <w:rsid w:val="00B4346D"/>
    <w:rsid w:val="00B43C58"/>
    <w:rsid w:val="00B440F4"/>
    <w:rsid w:val="00B447A5"/>
    <w:rsid w:val="00B4654C"/>
    <w:rsid w:val="00B47293"/>
    <w:rsid w:val="00B50E50"/>
    <w:rsid w:val="00B51027"/>
    <w:rsid w:val="00B51232"/>
    <w:rsid w:val="00B52120"/>
    <w:rsid w:val="00B54ABC"/>
    <w:rsid w:val="00B552D4"/>
    <w:rsid w:val="00B56FBE"/>
    <w:rsid w:val="00B60ACF"/>
    <w:rsid w:val="00B6240C"/>
    <w:rsid w:val="00B62920"/>
    <w:rsid w:val="00B62B58"/>
    <w:rsid w:val="00B63A9A"/>
    <w:rsid w:val="00B65149"/>
    <w:rsid w:val="00B66567"/>
    <w:rsid w:val="00B66F52"/>
    <w:rsid w:val="00B66FE5"/>
    <w:rsid w:val="00B72880"/>
    <w:rsid w:val="00B758BF"/>
    <w:rsid w:val="00B76D0F"/>
    <w:rsid w:val="00B77EC8"/>
    <w:rsid w:val="00B8015C"/>
    <w:rsid w:val="00B81E8D"/>
    <w:rsid w:val="00B827A6"/>
    <w:rsid w:val="00B831CE"/>
    <w:rsid w:val="00B84786"/>
    <w:rsid w:val="00B86677"/>
    <w:rsid w:val="00B87131"/>
    <w:rsid w:val="00B939B1"/>
    <w:rsid w:val="00B95A7F"/>
    <w:rsid w:val="00B96D40"/>
    <w:rsid w:val="00B970F9"/>
    <w:rsid w:val="00B97386"/>
    <w:rsid w:val="00B9762F"/>
    <w:rsid w:val="00BA263B"/>
    <w:rsid w:val="00BA42B2"/>
    <w:rsid w:val="00BA4792"/>
    <w:rsid w:val="00BA4BA6"/>
    <w:rsid w:val="00BA58D4"/>
    <w:rsid w:val="00BA5B9E"/>
    <w:rsid w:val="00BA7C9A"/>
    <w:rsid w:val="00BB3923"/>
    <w:rsid w:val="00BB5F21"/>
    <w:rsid w:val="00BB5F8F"/>
    <w:rsid w:val="00BB657A"/>
    <w:rsid w:val="00BC1A4E"/>
    <w:rsid w:val="00BC3B99"/>
    <w:rsid w:val="00BC5813"/>
    <w:rsid w:val="00BC5DC7"/>
    <w:rsid w:val="00BC6B8B"/>
    <w:rsid w:val="00BC73D8"/>
    <w:rsid w:val="00BD1D3A"/>
    <w:rsid w:val="00BD21B1"/>
    <w:rsid w:val="00BD52D7"/>
    <w:rsid w:val="00BD5AD2"/>
    <w:rsid w:val="00BD6536"/>
    <w:rsid w:val="00BD6E31"/>
    <w:rsid w:val="00BE22F3"/>
    <w:rsid w:val="00BE37BB"/>
    <w:rsid w:val="00BE5B52"/>
    <w:rsid w:val="00BE7B8D"/>
    <w:rsid w:val="00BF0993"/>
    <w:rsid w:val="00BF10A9"/>
    <w:rsid w:val="00BF1703"/>
    <w:rsid w:val="00BF231C"/>
    <w:rsid w:val="00BF275A"/>
    <w:rsid w:val="00BF3F2C"/>
    <w:rsid w:val="00BF51E5"/>
    <w:rsid w:val="00BF74A6"/>
    <w:rsid w:val="00C00493"/>
    <w:rsid w:val="00C013AD"/>
    <w:rsid w:val="00C04904"/>
    <w:rsid w:val="00C0548F"/>
    <w:rsid w:val="00C056B3"/>
    <w:rsid w:val="00C06A8A"/>
    <w:rsid w:val="00C103E5"/>
    <w:rsid w:val="00C1248F"/>
    <w:rsid w:val="00C13319"/>
    <w:rsid w:val="00C13EE9"/>
    <w:rsid w:val="00C15C0F"/>
    <w:rsid w:val="00C20D2E"/>
    <w:rsid w:val="00C20DEB"/>
    <w:rsid w:val="00C21540"/>
    <w:rsid w:val="00C21906"/>
    <w:rsid w:val="00C21BFA"/>
    <w:rsid w:val="00C23399"/>
    <w:rsid w:val="00C24C8D"/>
    <w:rsid w:val="00C25FE2"/>
    <w:rsid w:val="00C262B8"/>
    <w:rsid w:val="00C26B53"/>
    <w:rsid w:val="00C26FDC"/>
    <w:rsid w:val="00C279B2"/>
    <w:rsid w:val="00C31D8B"/>
    <w:rsid w:val="00C33E50"/>
    <w:rsid w:val="00C34C20"/>
    <w:rsid w:val="00C35A3E"/>
    <w:rsid w:val="00C42130"/>
    <w:rsid w:val="00C423A4"/>
    <w:rsid w:val="00C423E3"/>
    <w:rsid w:val="00C44BF5"/>
    <w:rsid w:val="00C50F25"/>
    <w:rsid w:val="00C521D6"/>
    <w:rsid w:val="00C55232"/>
    <w:rsid w:val="00C553A4"/>
    <w:rsid w:val="00C55A06"/>
    <w:rsid w:val="00C55D03"/>
    <w:rsid w:val="00C601BC"/>
    <w:rsid w:val="00C62FC8"/>
    <w:rsid w:val="00C6329F"/>
    <w:rsid w:val="00C63340"/>
    <w:rsid w:val="00C643F9"/>
    <w:rsid w:val="00C64E95"/>
    <w:rsid w:val="00C71372"/>
    <w:rsid w:val="00C72410"/>
    <w:rsid w:val="00C7287F"/>
    <w:rsid w:val="00C73C49"/>
    <w:rsid w:val="00C779EB"/>
    <w:rsid w:val="00C80BA5"/>
    <w:rsid w:val="00C80CB8"/>
    <w:rsid w:val="00C819F8"/>
    <w:rsid w:val="00C8248C"/>
    <w:rsid w:val="00C82A26"/>
    <w:rsid w:val="00C84E33"/>
    <w:rsid w:val="00C86D6F"/>
    <w:rsid w:val="00C86F7A"/>
    <w:rsid w:val="00C90369"/>
    <w:rsid w:val="00C905FC"/>
    <w:rsid w:val="00C91A51"/>
    <w:rsid w:val="00C92630"/>
    <w:rsid w:val="00C92D03"/>
    <w:rsid w:val="00C9319C"/>
    <w:rsid w:val="00C9435D"/>
    <w:rsid w:val="00C94DF2"/>
    <w:rsid w:val="00C96741"/>
    <w:rsid w:val="00C97836"/>
    <w:rsid w:val="00CA2D1B"/>
    <w:rsid w:val="00CA2D4D"/>
    <w:rsid w:val="00CA375D"/>
    <w:rsid w:val="00CA662A"/>
    <w:rsid w:val="00CA7AFD"/>
    <w:rsid w:val="00CA7C3C"/>
    <w:rsid w:val="00CB0189"/>
    <w:rsid w:val="00CB0BA2"/>
    <w:rsid w:val="00CB1A42"/>
    <w:rsid w:val="00CB1B0C"/>
    <w:rsid w:val="00CB2B2D"/>
    <w:rsid w:val="00CB2C0B"/>
    <w:rsid w:val="00CB4E57"/>
    <w:rsid w:val="00CB517D"/>
    <w:rsid w:val="00CB6203"/>
    <w:rsid w:val="00CC02BE"/>
    <w:rsid w:val="00CC0365"/>
    <w:rsid w:val="00CC038D"/>
    <w:rsid w:val="00CC08DB"/>
    <w:rsid w:val="00CC200F"/>
    <w:rsid w:val="00CC39FF"/>
    <w:rsid w:val="00CC3C2F"/>
    <w:rsid w:val="00CC4AC8"/>
    <w:rsid w:val="00CC4C27"/>
    <w:rsid w:val="00CC5233"/>
    <w:rsid w:val="00CC5DE6"/>
    <w:rsid w:val="00CC6E4E"/>
    <w:rsid w:val="00CC6FE8"/>
    <w:rsid w:val="00CC7202"/>
    <w:rsid w:val="00CD1BAE"/>
    <w:rsid w:val="00CD2122"/>
    <w:rsid w:val="00CD2808"/>
    <w:rsid w:val="00CD28BF"/>
    <w:rsid w:val="00CD4092"/>
    <w:rsid w:val="00CD4A20"/>
    <w:rsid w:val="00CD50A1"/>
    <w:rsid w:val="00CD519E"/>
    <w:rsid w:val="00CE0031"/>
    <w:rsid w:val="00CE0C4F"/>
    <w:rsid w:val="00CE1520"/>
    <w:rsid w:val="00CE30EA"/>
    <w:rsid w:val="00CE4D10"/>
    <w:rsid w:val="00CF02B4"/>
    <w:rsid w:val="00CF048A"/>
    <w:rsid w:val="00CF0AC2"/>
    <w:rsid w:val="00CF155A"/>
    <w:rsid w:val="00CF2947"/>
    <w:rsid w:val="00CF4A00"/>
    <w:rsid w:val="00CF612B"/>
    <w:rsid w:val="00CF686F"/>
    <w:rsid w:val="00CF6E60"/>
    <w:rsid w:val="00CF7BCA"/>
    <w:rsid w:val="00D008FD"/>
    <w:rsid w:val="00D010E9"/>
    <w:rsid w:val="00D0321C"/>
    <w:rsid w:val="00D0333E"/>
    <w:rsid w:val="00D035EC"/>
    <w:rsid w:val="00D03F28"/>
    <w:rsid w:val="00D05A7D"/>
    <w:rsid w:val="00D05D8E"/>
    <w:rsid w:val="00D063FB"/>
    <w:rsid w:val="00D06A7D"/>
    <w:rsid w:val="00D06AB1"/>
    <w:rsid w:val="00D06FC1"/>
    <w:rsid w:val="00D072ED"/>
    <w:rsid w:val="00D07A16"/>
    <w:rsid w:val="00D1067E"/>
    <w:rsid w:val="00D10DF9"/>
    <w:rsid w:val="00D10F50"/>
    <w:rsid w:val="00D11272"/>
    <w:rsid w:val="00D126F5"/>
    <w:rsid w:val="00D12AF4"/>
    <w:rsid w:val="00D12B94"/>
    <w:rsid w:val="00D1489E"/>
    <w:rsid w:val="00D20737"/>
    <w:rsid w:val="00D21096"/>
    <w:rsid w:val="00D21E81"/>
    <w:rsid w:val="00D223DE"/>
    <w:rsid w:val="00D23A80"/>
    <w:rsid w:val="00D25E37"/>
    <w:rsid w:val="00D2661A"/>
    <w:rsid w:val="00D27582"/>
    <w:rsid w:val="00D27EC4"/>
    <w:rsid w:val="00D32719"/>
    <w:rsid w:val="00D3281F"/>
    <w:rsid w:val="00D32D96"/>
    <w:rsid w:val="00D33333"/>
    <w:rsid w:val="00D33BB5"/>
    <w:rsid w:val="00D352A2"/>
    <w:rsid w:val="00D4162B"/>
    <w:rsid w:val="00D42C25"/>
    <w:rsid w:val="00D4514F"/>
    <w:rsid w:val="00D451E2"/>
    <w:rsid w:val="00D45E89"/>
    <w:rsid w:val="00D45E8D"/>
    <w:rsid w:val="00D466AE"/>
    <w:rsid w:val="00D4734F"/>
    <w:rsid w:val="00D507B8"/>
    <w:rsid w:val="00D51BF3"/>
    <w:rsid w:val="00D52B0D"/>
    <w:rsid w:val="00D53741"/>
    <w:rsid w:val="00D57B34"/>
    <w:rsid w:val="00D57E7D"/>
    <w:rsid w:val="00D6266D"/>
    <w:rsid w:val="00D63A5F"/>
    <w:rsid w:val="00D6541F"/>
    <w:rsid w:val="00D65A9B"/>
    <w:rsid w:val="00D6641B"/>
    <w:rsid w:val="00D66846"/>
    <w:rsid w:val="00D675FB"/>
    <w:rsid w:val="00D70D3F"/>
    <w:rsid w:val="00D71F25"/>
    <w:rsid w:val="00D72A9C"/>
    <w:rsid w:val="00D73DB8"/>
    <w:rsid w:val="00D77031"/>
    <w:rsid w:val="00D8014E"/>
    <w:rsid w:val="00D84941"/>
    <w:rsid w:val="00D84FA1"/>
    <w:rsid w:val="00D851F0"/>
    <w:rsid w:val="00D85993"/>
    <w:rsid w:val="00D86DB7"/>
    <w:rsid w:val="00D87BF5"/>
    <w:rsid w:val="00D90721"/>
    <w:rsid w:val="00D926D0"/>
    <w:rsid w:val="00D93030"/>
    <w:rsid w:val="00D93536"/>
    <w:rsid w:val="00D950E1"/>
    <w:rsid w:val="00D952A6"/>
    <w:rsid w:val="00D96E97"/>
    <w:rsid w:val="00D97F99"/>
    <w:rsid w:val="00DA1E08"/>
    <w:rsid w:val="00DA24F8"/>
    <w:rsid w:val="00DA2871"/>
    <w:rsid w:val="00DA28E8"/>
    <w:rsid w:val="00DA2B64"/>
    <w:rsid w:val="00DA38D3"/>
    <w:rsid w:val="00DA3932"/>
    <w:rsid w:val="00DA3AFC"/>
    <w:rsid w:val="00DA4880"/>
    <w:rsid w:val="00DA64F8"/>
    <w:rsid w:val="00DA67E4"/>
    <w:rsid w:val="00DA6C15"/>
    <w:rsid w:val="00DB0258"/>
    <w:rsid w:val="00DB38EE"/>
    <w:rsid w:val="00DB498B"/>
    <w:rsid w:val="00DB66CA"/>
    <w:rsid w:val="00DB69F4"/>
    <w:rsid w:val="00DB6BCA"/>
    <w:rsid w:val="00DB6F54"/>
    <w:rsid w:val="00DB73F7"/>
    <w:rsid w:val="00DC0240"/>
    <w:rsid w:val="00DC0321"/>
    <w:rsid w:val="00DC3067"/>
    <w:rsid w:val="00DC370B"/>
    <w:rsid w:val="00DC4440"/>
    <w:rsid w:val="00DC5B90"/>
    <w:rsid w:val="00DD00FF"/>
    <w:rsid w:val="00DD0619"/>
    <w:rsid w:val="00DD07FB"/>
    <w:rsid w:val="00DD25C6"/>
    <w:rsid w:val="00DD26E4"/>
    <w:rsid w:val="00DD4FE5"/>
    <w:rsid w:val="00DD54B0"/>
    <w:rsid w:val="00DD57EE"/>
    <w:rsid w:val="00DD6732"/>
    <w:rsid w:val="00DD6BCC"/>
    <w:rsid w:val="00DE0A4B"/>
    <w:rsid w:val="00DE2410"/>
    <w:rsid w:val="00DE2939"/>
    <w:rsid w:val="00DE3067"/>
    <w:rsid w:val="00DE6E81"/>
    <w:rsid w:val="00DE703F"/>
    <w:rsid w:val="00DE7595"/>
    <w:rsid w:val="00DF0D1A"/>
    <w:rsid w:val="00DF1961"/>
    <w:rsid w:val="00DF1FA8"/>
    <w:rsid w:val="00DF2DDD"/>
    <w:rsid w:val="00DF38AB"/>
    <w:rsid w:val="00DF44DE"/>
    <w:rsid w:val="00E00620"/>
    <w:rsid w:val="00E01138"/>
    <w:rsid w:val="00E02DFB"/>
    <w:rsid w:val="00E030F9"/>
    <w:rsid w:val="00E0311A"/>
    <w:rsid w:val="00E03138"/>
    <w:rsid w:val="00E05779"/>
    <w:rsid w:val="00E06404"/>
    <w:rsid w:val="00E10BAF"/>
    <w:rsid w:val="00E11A85"/>
    <w:rsid w:val="00E1244C"/>
    <w:rsid w:val="00E12495"/>
    <w:rsid w:val="00E12BCE"/>
    <w:rsid w:val="00E14FB3"/>
    <w:rsid w:val="00E15CCD"/>
    <w:rsid w:val="00E15FE4"/>
    <w:rsid w:val="00E202EF"/>
    <w:rsid w:val="00E210B5"/>
    <w:rsid w:val="00E226FD"/>
    <w:rsid w:val="00E228B9"/>
    <w:rsid w:val="00E2552F"/>
    <w:rsid w:val="00E3137A"/>
    <w:rsid w:val="00E31815"/>
    <w:rsid w:val="00E32858"/>
    <w:rsid w:val="00E32CCF"/>
    <w:rsid w:val="00E34A98"/>
    <w:rsid w:val="00E352EA"/>
    <w:rsid w:val="00E35A21"/>
    <w:rsid w:val="00E35D1E"/>
    <w:rsid w:val="00E364F9"/>
    <w:rsid w:val="00E365FA"/>
    <w:rsid w:val="00E36789"/>
    <w:rsid w:val="00E42A0F"/>
    <w:rsid w:val="00E44A83"/>
    <w:rsid w:val="00E45334"/>
    <w:rsid w:val="00E45E56"/>
    <w:rsid w:val="00E502C1"/>
    <w:rsid w:val="00E502DD"/>
    <w:rsid w:val="00E50D3A"/>
    <w:rsid w:val="00E51387"/>
    <w:rsid w:val="00E51DB7"/>
    <w:rsid w:val="00E51E68"/>
    <w:rsid w:val="00E52EFD"/>
    <w:rsid w:val="00E53BE2"/>
    <w:rsid w:val="00E5408A"/>
    <w:rsid w:val="00E55C6B"/>
    <w:rsid w:val="00E56800"/>
    <w:rsid w:val="00E60C63"/>
    <w:rsid w:val="00E615DB"/>
    <w:rsid w:val="00E61798"/>
    <w:rsid w:val="00E62567"/>
    <w:rsid w:val="00E62FF9"/>
    <w:rsid w:val="00E635D6"/>
    <w:rsid w:val="00E639BC"/>
    <w:rsid w:val="00E664CC"/>
    <w:rsid w:val="00E66825"/>
    <w:rsid w:val="00E70388"/>
    <w:rsid w:val="00E70F92"/>
    <w:rsid w:val="00E74313"/>
    <w:rsid w:val="00E74C54"/>
    <w:rsid w:val="00E76321"/>
    <w:rsid w:val="00E77A03"/>
    <w:rsid w:val="00E822E8"/>
    <w:rsid w:val="00E82554"/>
    <w:rsid w:val="00E82606"/>
    <w:rsid w:val="00E831C1"/>
    <w:rsid w:val="00E846C8"/>
    <w:rsid w:val="00E84957"/>
    <w:rsid w:val="00E84A55"/>
    <w:rsid w:val="00E85BFF"/>
    <w:rsid w:val="00E85F20"/>
    <w:rsid w:val="00E90391"/>
    <w:rsid w:val="00E906C2"/>
    <w:rsid w:val="00E90C5E"/>
    <w:rsid w:val="00E925E6"/>
    <w:rsid w:val="00E9311F"/>
    <w:rsid w:val="00E934D1"/>
    <w:rsid w:val="00E93813"/>
    <w:rsid w:val="00E94AF0"/>
    <w:rsid w:val="00E95D13"/>
    <w:rsid w:val="00E95DD3"/>
    <w:rsid w:val="00E969D5"/>
    <w:rsid w:val="00EA29E8"/>
    <w:rsid w:val="00EA58D1"/>
    <w:rsid w:val="00EA61BC"/>
    <w:rsid w:val="00EA681A"/>
    <w:rsid w:val="00EA6A03"/>
    <w:rsid w:val="00EA735B"/>
    <w:rsid w:val="00EB174F"/>
    <w:rsid w:val="00EB1E69"/>
    <w:rsid w:val="00EB2086"/>
    <w:rsid w:val="00EB31ED"/>
    <w:rsid w:val="00EB5EDF"/>
    <w:rsid w:val="00EB60FE"/>
    <w:rsid w:val="00EB74DB"/>
    <w:rsid w:val="00EC1AF8"/>
    <w:rsid w:val="00EC5359"/>
    <w:rsid w:val="00EC562A"/>
    <w:rsid w:val="00ED067A"/>
    <w:rsid w:val="00ED2B50"/>
    <w:rsid w:val="00ED3D16"/>
    <w:rsid w:val="00ED6682"/>
    <w:rsid w:val="00EE0350"/>
    <w:rsid w:val="00EE0719"/>
    <w:rsid w:val="00EE0E80"/>
    <w:rsid w:val="00EE23BA"/>
    <w:rsid w:val="00EE613F"/>
    <w:rsid w:val="00EE7295"/>
    <w:rsid w:val="00EE7869"/>
    <w:rsid w:val="00EF054A"/>
    <w:rsid w:val="00EF2511"/>
    <w:rsid w:val="00EF3235"/>
    <w:rsid w:val="00EF57E8"/>
    <w:rsid w:val="00EF6551"/>
    <w:rsid w:val="00EF7E72"/>
    <w:rsid w:val="00F06C2F"/>
    <w:rsid w:val="00F06D37"/>
    <w:rsid w:val="00F07B9D"/>
    <w:rsid w:val="00F11586"/>
    <w:rsid w:val="00F1183B"/>
    <w:rsid w:val="00F11C9F"/>
    <w:rsid w:val="00F12263"/>
    <w:rsid w:val="00F12406"/>
    <w:rsid w:val="00F1409D"/>
    <w:rsid w:val="00F14214"/>
    <w:rsid w:val="00F157A9"/>
    <w:rsid w:val="00F15E44"/>
    <w:rsid w:val="00F16F00"/>
    <w:rsid w:val="00F25BB6"/>
    <w:rsid w:val="00F26B7E"/>
    <w:rsid w:val="00F27A3B"/>
    <w:rsid w:val="00F32780"/>
    <w:rsid w:val="00F33817"/>
    <w:rsid w:val="00F3717A"/>
    <w:rsid w:val="00F420D5"/>
    <w:rsid w:val="00F437CE"/>
    <w:rsid w:val="00F451EA"/>
    <w:rsid w:val="00F45447"/>
    <w:rsid w:val="00F456C6"/>
    <w:rsid w:val="00F4577B"/>
    <w:rsid w:val="00F45A93"/>
    <w:rsid w:val="00F46496"/>
    <w:rsid w:val="00F474D0"/>
    <w:rsid w:val="00F4773D"/>
    <w:rsid w:val="00F50179"/>
    <w:rsid w:val="00F515EE"/>
    <w:rsid w:val="00F5449B"/>
    <w:rsid w:val="00F56511"/>
    <w:rsid w:val="00F57227"/>
    <w:rsid w:val="00F6194E"/>
    <w:rsid w:val="00F623AC"/>
    <w:rsid w:val="00F63699"/>
    <w:rsid w:val="00F6412A"/>
    <w:rsid w:val="00F65893"/>
    <w:rsid w:val="00F6602F"/>
    <w:rsid w:val="00F66A4A"/>
    <w:rsid w:val="00F71E22"/>
    <w:rsid w:val="00F72142"/>
    <w:rsid w:val="00F72AE7"/>
    <w:rsid w:val="00F753E1"/>
    <w:rsid w:val="00F77208"/>
    <w:rsid w:val="00F833BA"/>
    <w:rsid w:val="00F84FD0"/>
    <w:rsid w:val="00F859A8"/>
    <w:rsid w:val="00F86D87"/>
    <w:rsid w:val="00F876B9"/>
    <w:rsid w:val="00F9108B"/>
    <w:rsid w:val="00F91349"/>
    <w:rsid w:val="00F930CC"/>
    <w:rsid w:val="00F93A8A"/>
    <w:rsid w:val="00F946F6"/>
    <w:rsid w:val="00F94CDF"/>
    <w:rsid w:val="00F95248"/>
    <w:rsid w:val="00F956A9"/>
    <w:rsid w:val="00F963ED"/>
    <w:rsid w:val="00F966CF"/>
    <w:rsid w:val="00F96BC7"/>
    <w:rsid w:val="00F96CAE"/>
    <w:rsid w:val="00F97C99"/>
    <w:rsid w:val="00FA01D2"/>
    <w:rsid w:val="00FA3B4A"/>
    <w:rsid w:val="00FA53AF"/>
    <w:rsid w:val="00FA5BBA"/>
    <w:rsid w:val="00FA62D2"/>
    <w:rsid w:val="00FA662D"/>
    <w:rsid w:val="00FA73B1"/>
    <w:rsid w:val="00FB0CB9"/>
    <w:rsid w:val="00FB231D"/>
    <w:rsid w:val="00FB2B58"/>
    <w:rsid w:val="00FB45F1"/>
    <w:rsid w:val="00FB4A72"/>
    <w:rsid w:val="00FB4E83"/>
    <w:rsid w:val="00FB54E8"/>
    <w:rsid w:val="00FB7054"/>
    <w:rsid w:val="00FC17B7"/>
    <w:rsid w:val="00FC2CB7"/>
    <w:rsid w:val="00FC4090"/>
    <w:rsid w:val="00FC55B4"/>
    <w:rsid w:val="00FC7F30"/>
    <w:rsid w:val="00FD00E6"/>
    <w:rsid w:val="00FD09A1"/>
    <w:rsid w:val="00FD2A7C"/>
    <w:rsid w:val="00FD59EB"/>
    <w:rsid w:val="00FD7299"/>
    <w:rsid w:val="00FE1FBE"/>
    <w:rsid w:val="00FE3901"/>
    <w:rsid w:val="00FE39D3"/>
    <w:rsid w:val="00FE4BCE"/>
    <w:rsid w:val="00FE54AE"/>
    <w:rsid w:val="00FE576A"/>
    <w:rsid w:val="00FE62CF"/>
    <w:rsid w:val="00FE6C4B"/>
    <w:rsid w:val="00FE7843"/>
    <w:rsid w:val="00FE7E79"/>
    <w:rsid w:val="00FF3E7D"/>
    <w:rsid w:val="00FF51DE"/>
    <w:rsid w:val="00FF5B99"/>
    <w:rsid w:val="00FF730C"/>
    <w:rsid w:val="00FF73F4"/>
    <w:rsid w:val="00FF7622"/>
    <w:rsid w:val="00FF7CE4"/>
    <w:rsid w:val="00FF7E39"/>
    <w:rsid w:val="07236529"/>
    <w:rsid w:val="07273656"/>
    <w:rsid w:val="09701452"/>
    <w:rsid w:val="09D7608F"/>
    <w:rsid w:val="0CE265BB"/>
    <w:rsid w:val="0D841421"/>
    <w:rsid w:val="0DDC1304"/>
    <w:rsid w:val="0E062AC0"/>
    <w:rsid w:val="10901226"/>
    <w:rsid w:val="11A46BFE"/>
    <w:rsid w:val="12D1072D"/>
    <w:rsid w:val="16041765"/>
    <w:rsid w:val="172634B4"/>
    <w:rsid w:val="17FE1B30"/>
    <w:rsid w:val="18E72253"/>
    <w:rsid w:val="18F02060"/>
    <w:rsid w:val="20BB7DC0"/>
    <w:rsid w:val="2B740765"/>
    <w:rsid w:val="2E5C2F11"/>
    <w:rsid w:val="40E21FA4"/>
    <w:rsid w:val="40F91EBF"/>
    <w:rsid w:val="41927CEE"/>
    <w:rsid w:val="429C5A6D"/>
    <w:rsid w:val="46D1694E"/>
    <w:rsid w:val="471C6FB5"/>
    <w:rsid w:val="4B435245"/>
    <w:rsid w:val="4F820602"/>
    <w:rsid w:val="4FBF3F5F"/>
    <w:rsid w:val="4FFC3F12"/>
    <w:rsid w:val="504B0DF2"/>
    <w:rsid w:val="52D7336D"/>
    <w:rsid w:val="53FB5F46"/>
    <w:rsid w:val="5791383A"/>
    <w:rsid w:val="5C387250"/>
    <w:rsid w:val="5FD41A84"/>
    <w:rsid w:val="669A2BB6"/>
    <w:rsid w:val="67A2157D"/>
    <w:rsid w:val="6D0C286C"/>
    <w:rsid w:val="6E6B0AC4"/>
    <w:rsid w:val="70B00131"/>
    <w:rsid w:val="714746FF"/>
    <w:rsid w:val="760426D1"/>
    <w:rsid w:val="78BD5037"/>
    <w:rsid w:val="78F80153"/>
    <w:rsid w:val="79EC2353"/>
    <w:rsid w:val="7D494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41"/>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autoRedefine/>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Document Map"/>
    <w:basedOn w:val="1"/>
    <w:link w:val="237"/>
    <w:autoRedefine/>
    <w:semiHidden/>
    <w:unhideWhenUsed/>
    <w:qFormat/>
    <w:uiPriority w:val="99"/>
    <w:rPr>
      <w:rFonts w:ascii="宋体"/>
      <w:sz w:val="18"/>
      <w:szCs w:val="18"/>
    </w:rPr>
  </w:style>
  <w:style w:type="paragraph" w:styleId="14">
    <w:name w:val="annotation text"/>
    <w:basedOn w:val="1"/>
    <w:link w:val="235"/>
    <w:autoRedefine/>
    <w:semiHidden/>
    <w:unhideWhenUsed/>
    <w:qFormat/>
    <w:uiPriority w:val="99"/>
    <w:pPr>
      <w:jc w:val="left"/>
    </w:pPr>
  </w:style>
  <w:style w:type="paragraph" w:styleId="15">
    <w:name w:val="Body Text"/>
    <w:basedOn w:val="1"/>
    <w:link w:val="90"/>
    <w:autoRedefine/>
    <w:qFormat/>
    <w:uiPriority w:val="0"/>
    <w:pPr>
      <w:spacing w:after="120"/>
    </w:pPr>
  </w:style>
  <w:style w:type="paragraph" w:styleId="16">
    <w:name w:val="toc 5"/>
    <w:basedOn w:val="1"/>
    <w:next w:val="1"/>
    <w:autoRedefine/>
    <w:unhideWhenUsed/>
    <w:qFormat/>
    <w:uiPriority w:val="39"/>
    <w:pPr>
      <w:ind w:left="839"/>
    </w:pPr>
    <w:rPr>
      <w:rFonts w:ascii="宋体"/>
    </w:rPr>
  </w:style>
  <w:style w:type="paragraph" w:styleId="17">
    <w:name w:val="toc 3"/>
    <w:basedOn w:val="1"/>
    <w:next w:val="1"/>
    <w:autoRedefine/>
    <w:unhideWhenUsed/>
    <w:qFormat/>
    <w:uiPriority w:val="39"/>
    <w:pPr>
      <w:spacing w:line="300" w:lineRule="exact"/>
      <w:ind w:left="420"/>
    </w:pPr>
    <w:rPr>
      <w:rFonts w:ascii="宋体"/>
    </w:rPr>
  </w:style>
  <w:style w:type="paragraph" w:styleId="18">
    <w:name w:val="Balloon Text"/>
    <w:basedOn w:val="1"/>
    <w:link w:val="49"/>
    <w:autoRedefine/>
    <w:semiHidden/>
    <w:unhideWhenUsed/>
    <w:qFormat/>
    <w:uiPriority w:val="99"/>
    <w:rPr>
      <w:sz w:val="18"/>
      <w:szCs w:val="18"/>
    </w:rPr>
  </w:style>
  <w:style w:type="paragraph" w:styleId="19">
    <w:name w:val="footer"/>
    <w:basedOn w:val="1"/>
    <w:link w:val="48"/>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autoRedefine/>
    <w:qFormat/>
    <w:uiPriority w:val="99"/>
    <w:pPr>
      <w:tabs>
        <w:tab w:val="center" w:pos="4153"/>
        <w:tab w:val="right" w:pos="8306"/>
      </w:tabs>
      <w:adjustRightInd/>
      <w:snapToGrid w:val="0"/>
      <w:jc w:val="center"/>
    </w:pPr>
    <w:rPr>
      <w:sz w:val="18"/>
      <w:szCs w:val="18"/>
    </w:rPr>
  </w:style>
  <w:style w:type="paragraph" w:styleId="21">
    <w:name w:val="toc 1"/>
    <w:basedOn w:val="1"/>
    <w:next w:val="1"/>
    <w:autoRedefine/>
    <w:unhideWhenUsed/>
    <w:qFormat/>
    <w:uiPriority w:val="39"/>
    <w:rPr>
      <w:rFonts w:ascii="宋体"/>
    </w:rPr>
  </w:style>
  <w:style w:type="paragraph" w:styleId="22">
    <w:name w:val="toc 4"/>
    <w:basedOn w:val="1"/>
    <w:next w:val="1"/>
    <w:autoRedefine/>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autoRedefine/>
    <w:unhideWhenUsed/>
    <w:qFormat/>
    <w:uiPriority w:val="39"/>
    <w:pPr>
      <w:spacing w:line="300" w:lineRule="exact"/>
      <w:ind w:left="1049"/>
    </w:pPr>
    <w:rPr>
      <w:rFonts w:ascii="宋体"/>
    </w:rPr>
  </w:style>
  <w:style w:type="paragraph" w:styleId="25">
    <w:name w:val="table of figures"/>
    <w:basedOn w:val="1"/>
    <w:next w:val="1"/>
    <w:autoRedefine/>
    <w:semiHidden/>
    <w:qFormat/>
    <w:uiPriority w:val="0"/>
    <w:pPr>
      <w:adjustRightInd/>
      <w:spacing w:line="240" w:lineRule="auto"/>
      <w:jc w:val="left"/>
    </w:pPr>
    <w:rPr>
      <w:szCs w:val="24"/>
    </w:rPr>
  </w:style>
  <w:style w:type="paragraph" w:styleId="26">
    <w:name w:val="toc 2"/>
    <w:basedOn w:val="1"/>
    <w:next w:val="1"/>
    <w:autoRedefine/>
    <w:unhideWhenUsed/>
    <w:qFormat/>
    <w:uiPriority w:val="39"/>
    <w:pPr>
      <w:tabs>
        <w:tab w:val="right" w:leader="dot" w:pos="9344"/>
      </w:tabs>
      <w:spacing w:line="300" w:lineRule="exact"/>
      <w:ind w:left="210"/>
    </w:pPr>
    <w:rPr>
      <w:rFonts w:ascii="宋体"/>
    </w:rPr>
  </w:style>
  <w:style w:type="paragraph" w:styleId="27">
    <w:name w:val="Title"/>
    <w:basedOn w:val="1"/>
    <w:link w:val="52"/>
    <w:autoRedefine/>
    <w:qFormat/>
    <w:uiPriority w:val="0"/>
    <w:pPr>
      <w:spacing w:before="240" w:after="60"/>
      <w:jc w:val="center"/>
      <w:outlineLvl w:val="0"/>
    </w:pPr>
    <w:rPr>
      <w:rFonts w:ascii="Arial" w:hAnsi="Arial" w:cs="Arial"/>
      <w:b/>
      <w:bCs/>
      <w:sz w:val="32"/>
      <w:szCs w:val="32"/>
    </w:rPr>
  </w:style>
  <w:style w:type="paragraph" w:styleId="28">
    <w:name w:val="annotation subject"/>
    <w:basedOn w:val="14"/>
    <w:next w:val="14"/>
    <w:link w:val="236"/>
    <w:autoRedefine/>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basedOn w:val="31"/>
    <w:autoRedefine/>
    <w:qFormat/>
    <w:uiPriority w:val="22"/>
    <w:rPr>
      <w:b/>
      <w:bCs/>
    </w:rPr>
  </w:style>
  <w:style w:type="character" w:styleId="33">
    <w:name w:val="page number"/>
    <w:autoRedefine/>
    <w:qFormat/>
    <w:uiPriority w:val="0"/>
    <w:rPr>
      <w:rFonts w:ascii="宋体" w:hAnsi="Times New Roman" w:eastAsia="宋体"/>
      <w:sz w:val="18"/>
    </w:rPr>
  </w:style>
  <w:style w:type="character" w:styleId="34">
    <w:name w:val="Emphasis"/>
    <w:autoRedefine/>
    <w:qFormat/>
    <w:uiPriority w:val="20"/>
    <w:rPr>
      <w:i/>
      <w:iCs/>
    </w:rPr>
  </w:style>
  <w:style w:type="character" w:styleId="35">
    <w:name w:val="Hyperlink"/>
    <w:autoRedefine/>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autoRedefine/>
    <w:semiHidden/>
    <w:unhideWhenUsed/>
    <w:qFormat/>
    <w:uiPriority w:val="99"/>
    <w:rPr>
      <w:sz w:val="21"/>
      <w:szCs w:val="21"/>
    </w:rPr>
  </w:style>
  <w:style w:type="character" w:styleId="37">
    <w:name w:val="footnote reference"/>
    <w:autoRedefine/>
    <w:semiHidden/>
    <w:qFormat/>
    <w:uiPriority w:val="0"/>
    <w:rPr>
      <w:rFonts w:ascii="宋体" w:hAnsi="宋体" w:eastAsia="宋体" w:cs="Times New Roman"/>
      <w:spacing w:val="0"/>
      <w:sz w:val="18"/>
      <w:vertAlign w:val="superscript"/>
    </w:rPr>
  </w:style>
  <w:style w:type="character" w:customStyle="1" w:styleId="38">
    <w:name w:val="标题 1 Char"/>
    <w:link w:val="2"/>
    <w:autoRedefine/>
    <w:qFormat/>
    <w:uiPriority w:val="0"/>
    <w:rPr>
      <w:b/>
      <w:bCs/>
      <w:kern w:val="44"/>
      <w:sz w:val="44"/>
      <w:szCs w:val="44"/>
    </w:rPr>
  </w:style>
  <w:style w:type="character" w:customStyle="1" w:styleId="39">
    <w:name w:val="标题 2 Char"/>
    <w:link w:val="3"/>
    <w:autoRedefine/>
    <w:qFormat/>
    <w:uiPriority w:val="0"/>
    <w:rPr>
      <w:rFonts w:ascii="Arial" w:hAnsi="Arial" w:eastAsia="黑体"/>
      <w:b/>
      <w:bCs/>
      <w:kern w:val="2"/>
      <w:sz w:val="32"/>
      <w:szCs w:val="32"/>
    </w:rPr>
  </w:style>
  <w:style w:type="character" w:customStyle="1" w:styleId="40">
    <w:name w:val="标题 3 Char"/>
    <w:link w:val="4"/>
    <w:autoRedefine/>
    <w:qFormat/>
    <w:uiPriority w:val="0"/>
    <w:rPr>
      <w:b/>
      <w:bCs/>
      <w:kern w:val="2"/>
      <w:sz w:val="32"/>
      <w:szCs w:val="32"/>
    </w:rPr>
  </w:style>
  <w:style w:type="character" w:customStyle="1" w:styleId="41">
    <w:name w:val="标题 4 Char"/>
    <w:link w:val="5"/>
    <w:autoRedefine/>
    <w:qFormat/>
    <w:uiPriority w:val="0"/>
    <w:rPr>
      <w:rFonts w:ascii="Arial" w:hAnsi="Arial" w:eastAsia="黑体"/>
      <w:b/>
      <w:bCs/>
      <w:kern w:val="2"/>
      <w:sz w:val="28"/>
      <w:szCs w:val="28"/>
    </w:rPr>
  </w:style>
  <w:style w:type="character" w:customStyle="1" w:styleId="42">
    <w:name w:val="标题 5 Char"/>
    <w:link w:val="6"/>
    <w:autoRedefine/>
    <w:qFormat/>
    <w:uiPriority w:val="0"/>
    <w:rPr>
      <w:b/>
      <w:bCs/>
      <w:kern w:val="2"/>
      <w:sz w:val="28"/>
      <w:szCs w:val="28"/>
    </w:rPr>
  </w:style>
  <w:style w:type="character" w:customStyle="1" w:styleId="43">
    <w:name w:val="标题 6 Char"/>
    <w:link w:val="7"/>
    <w:autoRedefine/>
    <w:qFormat/>
    <w:uiPriority w:val="0"/>
    <w:rPr>
      <w:rFonts w:ascii="Arial" w:hAnsi="Arial" w:eastAsia="黑体"/>
      <w:b/>
      <w:bCs/>
      <w:kern w:val="2"/>
      <w:sz w:val="24"/>
      <w:szCs w:val="24"/>
    </w:rPr>
  </w:style>
  <w:style w:type="character" w:customStyle="1" w:styleId="44">
    <w:name w:val="标题 7 Char"/>
    <w:link w:val="8"/>
    <w:autoRedefine/>
    <w:qFormat/>
    <w:uiPriority w:val="0"/>
    <w:rPr>
      <w:b/>
      <w:bCs/>
      <w:kern w:val="2"/>
      <w:sz w:val="24"/>
      <w:szCs w:val="24"/>
    </w:rPr>
  </w:style>
  <w:style w:type="character" w:customStyle="1" w:styleId="45">
    <w:name w:val="标题 8 Char"/>
    <w:link w:val="9"/>
    <w:autoRedefine/>
    <w:qFormat/>
    <w:uiPriority w:val="0"/>
    <w:rPr>
      <w:rFonts w:ascii="Arial" w:hAnsi="Arial" w:eastAsia="黑体"/>
      <w:kern w:val="2"/>
      <w:sz w:val="24"/>
      <w:szCs w:val="24"/>
    </w:rPr>
  </w:style>
  <w:style w:type="character" w:customStyle="1" w:styleId="46">
    <w:name w:val="标题 9 Char"/>
    <w:link w:val="10"/>
    <w:autoRedefine/>
    <w:qFormat/>
    <w:uiPriority w:val="0"/>
    <w:rPr>
      <w:rFonts w:ascii="Arial" w:hAnsi="Arial" w:eastAsia="黑体"/>
      <w:kern w:val="2"/>
      <w:sz w:val="21"/>
      <w:szCs w:val="21"/>
    </w:rPr>
  </w:style>
  <w:style w:type="character" w:customStyle="1" w:styleId="47">
    <w:name w:val="页眉 Char"/>
    <w:link w:val="20"/>
    <w:autoRedefine/>
    <w:qFormat/>
    <w:uiPriority w:val="99"/>
    <w:rPr>
      <w:kern w:val="2"/>
      <w:sz w:val="18"/>
      <w:szCs w:val="18"/>
    </w:rPr>
  </w:style>
  <w:style w:type="character" w:customStyle="1" w:styleId="48">
    <w:name w:val="页脚 Char"/>
    <w:link w:val="19"/>
    <w:autoRedefine/>
    <w:qFormat/>
    <w:uiPriority w:val="99"/>
    <w:rPr>
      <w:rFonts w:ascii="宋体"/>
      <w:kern w:val="2"/>
      <w:sz w:val="18"/>
      <w:szCs w:val="18"/>
    </w:rPr>
  </w:style>
  <w:style w:type="character" w:customStyle="1" w:styleId="49">
    <w:name w:val="批注框文本 Char"/>
    <w:link w:val="18"/>
    <w:autoRedefine/>
    <w:semiHidden/>
    <w:qFormat/>
    <w:uiPriority w:val="99"/>
    <w:rPr>
      <w:kern w:val="2"/>
      <w:sz w:val="18"/>
      <w:szCs w:val="18"/>
    </w:rPr>
  </w:style>
  <w:style w:type="paragraph" w:styleId="50">
    <w:name w:val="Quote"/>
    <w:basedOn w:val="1"/>
    <w:next w:val="1"/>
    <w:link w:val="51"/>
    <w:autoRedefine/>
    <w:qFormat/>
    <w:uiPriority w:val="29"/>
    <w:rPr>
      <w:i/>
      <w:iCs/>
      <w:color w:val="000000"/>
    </w:rPr>
  </w:style>
  <w:style w:type="character" w:customStyle="1" w:styleId="51">
    <w:name w:val="引用 Char"/>
    <w:link w:val="50"/>
    <w:autoRedefine/>
    <w:qFormat/>
    <w:uiPriority w:val="29"/>
    <w:rPr>
      <w:i/>
      <w:iCs/>
      <w:color w:val="000000"/>
      <w:kern w:val="2"/>
      <w:sz w:val="21"/>
      <w:szCs w:val="21"/>
    </w:rPr>
  </w:style>
  <w:style w:type="character" w:customStyle="1" w:styleId="52">
    <w:name w:val="标题 Char"/>
    <w:link w:val="27"/>
    <w:autoRedefine/>
    <w:qFormat/>
    <w:uiPriority w:val="0"/>
    <w:rPr>
      <w:rFonts w:ascii="Arial" w:hAnsi="Arial" w:cs="Arial"/>
      <w:b/>
      <w:bCs/>
      <w:kern w:val="2"/>
      <w:sz w:val="32"/>
      <w:szCs w:val="32"/>
    </w:rPr>
  </w:style>
  <w:style w:type="paragraph" w:customStyle="1" w:styleId="53">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autoRedefine/>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autoRedefine/>
    <w:qFormat/>
    <w:uiPriority w:val="0"/>
    <w:pPr>
      <w:spacing w:line="0" w:lineRule="atLeast"/>
    </w:pPr>
    <w:rPr>
      <w:rFonts w:ascii="黑体" w:hAnsi="宋体" w:eastAsia="黑体"/>
    </w:rPr>
  </w:style>
  <w:style w:type="paragraph" w:customStyle="1" w:styleId="59">
    <w:name w:val="标准文件_标准正文"/>
    <w:basedOn w:val="1"/>
    <w:next w:val="60"/>
    <w:autoRedefine/>
    <w:qFormat/>
    <w:uiPriority w:val="0"/>
    <w:pPr>
      <w:snapToGrid w:val="0"/>
      <w:ind w:firstLine="200" w:firstLineChars="200"/>
    </w:pPr>
    <w:rPr>
      <w:kern w:val="0"/>
    </w:rPr>
  </w:style>
  <w:style w:type="paragraph" w:customStyle="1" w:styleId="60">
    <w:name w:val="标准文件_段"/>
    <w:link w:val="188"/>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autoRedefine/>
    <w:qFormat/>
    <w:uiPriority w:val="0"/>
    <w:pPr>
      <w:adjustRightInd/>
      <w:snapToGrid/>
      <w:ind w:firstLine="0" w:firstLineChars="0"/>
    </w:pPr>
    <w:rPr>
      <w:rFonts w:ascii="宋体" w:hAnsi="宋体"/>
      <w:kern w:val="2"/>
    </w:rPr>
  </w:style>
  <w:style w:type="paragraph" w:customStyle="1" w:styleId="62">
    <w:name w:val="标准文件_标准部门"/>
    <w:basedOn w:val="1"/>
    <w:autoRedefine/>
    <w:qFormat/>
    <w:uiPriority w:val="0"/>
    <w:pPr>
      <w:jc w:val="center"/>
    </w:pPr>
    <w:rPr>
      <w:rFonts w:ascii="黑体" w:eastAsia="黑体"/>
      <w:kern w:val="0"/>
      <w:sz w:val="44"/>
    </w:rPr>
  </w:style>
  <w:style w:type="paragraph" w:customStyle="1" w:styleId="63">
    <w:name w:val="标准文件_标准代替"/>
    <w:basedOn w:val="1"/>
    <w:next w:val="1"/>
    <w:autoRedefine/>
    <w:qFormat/>
    <w:uiPriority w:val="0"/>
    <w:pPr>
      <w:spacing w:line="310" w:lineRule="exact"/>
      <w:jc w:val="right"/>
    </w:pPr>
    <w:rPr>
      <w:rFonts w:ascii="宋体" w:hAnsi="宋体"/>
      <w:kern w:val="0"/>
    </w:rPr>
  </w:style>
  <w:style w:type="paragraph" w:customStyle="1" w:styleId="64">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autoRedefine/>
    <w:qFormat/>
    <w:uiPriority w:val="0"/>
    <w:pPr>
      <w:jc w:val="left"/>
    </w:pPr>
  </w:style>
  <w:style w:type="paragraph" w:customStyle="1" w:styleId="67">
    <w:name w:val="标准文件_参考文献标题"/>
    <w:basedOn w:val="1"/>
    <w:next w:val="1"/>
    <w:autoRedefine/>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8">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autoRedefine/>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0">
    <w:name w:val="标准文件_发布"/>
    <w:autoRedefine/>
    <w:qFormat/>
    <w:uiPriority w:val="0"/>
    <w:rPr>
      <w:rFonts w:ascii="黑体" w:eastAsia="黑体"/>
      <w:spacing w:val="0"/>
      <w:w w:val="100"/>
      <w:position w:val="3"/>
      <w:sz w:val="28"/>
    </w:rPr>
  </w:style>
  <w:style w:type="paragraph" w:customStyle="1" w:styleId="71">
    <w:name w:val="标准文件_方框数字列项"/>
    <w:basedOn w:val="60"/>
    <w:autoRedefine/>
    <w:qFormat/>
    <w:uiPriority w:val="0"/>
    <w:pPr>
      <w:numPr>
        <w:ilvl w:val="0"/>
        <w:numId w:val="3"/>
      </w:numPr>
      <w:ind w:firstLine="0" w:firstLineChars="0"/>
    </w:pPr>
  </w:style>
  <w:style w:type="paragraph" w:customStyle="1" w:styleId="72">
    <w:name w:val="标准文件_封面标准编号"/>
    <w:basedOn w:val="1"/>
    <w:next w:val="63"/>
    <w:autoRedefine/>
    <w:qFormat/>
    <w:uiPriority w:val="0"/>
    <w:pPr>
      <w:spacing w:line="310" w:lineRule="exact"/>
      <w:jc w:val="right"/>
    </w:pPr>
    <w:rPr>
      <w:rFonts w:ascii="黑体" w:eastAsia="黑体"/>
      <w:kern w:val="0"/>
      <w:sz w:val="28"/>
    </w:rPr>
  </w:style>
  <w:style w:type="paragraph" w:customStyle="1" w:styleId="73">
    <w:name w:val="标准文件_封面标准分类号"/>
    <w:basedOn w:val="1"/>
    <w:autoRedefine/>
    <w:qFormat/>
    <w:uiPriority w:val="0"/>
    <w:rPr>
      <w:rFonts w:ascii="黑体" w:eastAsia="黑体"/>
      <w:b/>
      <w:kern w:val="0"/>
      <w:sz w:val="28"/>
    </w:rPr>
  </w:style>
  <w:style w:type="paragraph" w:customStyle="1" w:styleId="74">
    <w:name w:val="标准文件_封面标准名称"/>
    <w:basedOn w:val="1"/>
    <w:autoRedefine/>
    <w:qFormat/>
    <w:uiPriority w:val="0"/>
    <w:pPr>
      <w:spacing w:line="240" w:lineRule="auto"/>
      <w:jc w:val="center"/>
    </w:pPr>
    <w:rPr>
      <w:rFonts w:ascii="黑体" w:eastAsia="黑体"/>
      <w:kern w:val="0"/>
      <w:sz w:val="52"/>
    </w:rPr>
  </w:style>
  <w:style w:type="paragraph" w:customStyle="1" w:styleId="75">
    <w:name w:val="标准文件_封面标准英文名称"/>
    <w:basedOn w:val="1"/>
    <w:autoRedefine/>
    <w:qFormat/>
    <w:uiPriority w:val="0"/>
    <w:pPr>
      <w:spacing w:line="240" w:lineRule="auto"/>
      <w:jc w:val="center"/>
    </w:pPr>
    <w:rPr>
      <w:rFonts w:ascii="黑体" w:eastAsia="黑体"/>
      <w:b/>
      <w:sz w:val="28"/>
    </w:rPr>
  </w:style>
  <w:style w:type="paragraph" w:customStyle="1" w:styleId="76">
    <w:name w:val="标准文件_封面发布日期"/>
    <w:basedOn w:val="1"/>
    <w:autoRedefine/>
    <w:qFormat/>
    <w:uiPriority w:val="0"/>
    <w:pPr>
      <w:spacing w:line="310" w:lineRule="exact"/>
    </w:pPr>
    <w:rPr>
      <w:rFonts w:ascii="黑体" w:eastAsia="黑体"/>
      <w:kern w:val="0"/>
      <w:sz w:val="28"/>
    </w:rPr>
  </w:style>
  <w:style w:type="paragraph" w:customStyle="1" w:styleId="77">
    <w:name w:val="标准文件_封面密级"/>
    <w:basedOn w:val="1"/>
    <w:autoRedefine/>
    <w:qFormat/>
    <w:uiPriority w:val="0"/>
    <w:rPr>
      <w:rFonts w:eastAsia="黑体"/>
      <w:sz w:val="32"/>
    </w:rPr>
  </w:style>
  <w:style w:type="paragraph" w:customStyle="1" w:styleId="78">
    <w:name w:val="标准文件_封面实施日期"/>
    <w:basedOn w:val="1"/>
    <w:autoRedefine/>
    <w:qFormat/>
    <w:uiPriority w:val="0"/>
    <w:pPr>
      <w:spacing w:line="310" w:lineRule="exact"/>
      <w:jc w:val="right"/>
    </w:pPr>
    <w:rPr>
      <w:rFonts w:ascii="黑体" w:eastAsia="黑体"/>
      <w:sz w:val="28"/>
    </w:rPr>
  </w:style>
  <w:style w:type="paragraph" w:customStyle="1" w:styleId="79">
    <w:name w:val="标准文件_封面抬头"/>
    <w:basedOn w:val="60"/>
    <w:autoRedefine/>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autoRedefine/>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autoRedefine/>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autoRedefine/>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autoRedefine/>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autoRedefine/>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autoRedefine/>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autoRedefine/>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autoRedefine/>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5"/>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Char"/>
    <w:link w:val="15"/>
    <w:autoRedefine/>
    <w:qFormat/>
    <w:uiPriority w:val="0"/>
    <w:rPr>
      <w:kern w:val="2"/>
      <w:sz w:val="21"/>
      <w:szCs w:val="21"/>
    </w:rPr>
  </w:style>
  <w:style w:type="paragraph" w:customStyle="1" w:styleId="91">
    <w:name w:val="标准文件_附录章标题"/>
    <w:next w:val="60"/>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autoRedefine/>
    <w:qFormat/>
    <w:uiPriority w:val="0"/>
    <w:pPr>
      <w:ind w:left="488" w:leftChars="200" w:hanging="289" w:hangingChars="290"/>
    </w:pPr>
  </w:style>
  <w:style w:type="paragraph" w:customStyle="1" w:styleId="93">
    <w:name w:val="标准文件_前言、引言标题"/>
    <w:next w:val="1"/>
    <w:autoRedefine/>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autoRedefine/>
    <w:qFormat/>
    <w:uiPriority w:val="0"/>
    <w:pPr>
      <w:spacing w:line="460" w:lineRule="exact"/>
      <w:ind w:left="0" w:firstLine="0"/>
    </w:pPr>
  </w:style>
  <w:style w:type="paragraph" w:customStyle="1" w:styleId="95">
    <w:name w:val="标准文件_目录标题"/>
    <w:basedOn w:val="1"/>
    <w:autoRedefine/>
    <w:qFormat/>
    <w:uiPriority w:val="0"/>
    <w:pPr>
      <w:spacing w:before="480" w:afterLines="150" w:line="240" w:lineRule="auto"/>
      <w:jc w:val="center"/>
    </w:pPr>
    <w:rPr>
      <w:rFonts w:ascii="黑体" w:eastAsia="黑体"/>
      <w:sz w:val="32"/>
    </w:rPr>
  </w:style>
  <w:style w:type="paragraph" w:customStyle="1" w:styleId="96">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autoRedefine/>
    <w:qFormat/>
    <w:uiPriority w:val="0"/>
    <w:pPr>
      <w:numPr>
        <w:numId w:val="10"/>
      </w:numPr>
    </w:pPr>
  </w:style>
  <w:style w:type="paragraph" w:customStyle="1" w:styleId="98">
    <w:name w:val="标准文件_三级条标题"/>
    <w:basedOn w:val="69"/>
    <w:next w:val="60"/>
    <w:autoRedefine/>
    <w:qFormat/>
    <w:uiPriority w:val="0"/>
    <w:pPr>
      <w:widowControl/>
      <w:numPr>
        <w:ilvl w:val="4"/>
      </w:numPr>
      <w:outlineLvl w:val="3"/>
    </w:pPr>
  </w:style>
  <w:style w:type="character" w:customStyle="1" w:styleId="99">
    <w:name w:val="不明显参考1"/>
    <w:autoRedefine/>
    <w:qFormat/>
    <w:uiPriority w:val="31"/>
    <w:rPr>
      <w:smallCaps/>
      <w:color w:val="C0504D"/>
      <w:u w:val="single"/>
    </w:rPr>
  </w:style>
  <w:style w:type="paragraph" w:customStyle="1" w:styleId="100">
    <w:name w:val="标准文件_示例后续"/>
    <w:basedOn w:val="1"/>
    <w:autoRedefine/>
    <w:qFormat/>
    <w:uiPriority w:val="0"/>
    <w:pPr>
      <w:adjustRightInd/>
      <w:spacing w:line="240" w:lineRule="auto"/>
      <w:ind w:firstLine="200" w:firstLineChars="200"/>
    </w:pPr>
    <w:rPr>
      <w:sz w:val="18"/>
      <w:szCs w:val="24"/>
    </w:rPr>
  </w:style>
  <w:style w:type="paragraph" w:customStyle="1" w:styleId="101">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autoRedefine/>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3">
    <w:name w:val="脚注文本 Char"/>
    <w:link w:val="23"/>
    <w:autoRedefine/>
    <w:semiHidden/>
    <w:qFormat/>
    <w:uiPriority w:val="0"/>
    <w:rPr>
      <w:rFonts w:ascii="宋体"/>
      <w:kern w:val="2"/>
      <w:sz w:val="18"/>
      <w:szCs w:val="18"/>
    </w:rPr>
  </w:style>
  <w:style w:type="paragraph" w:customStyle="1" w:styleId="104">
    <w:name w:val="标准文件_条文脚注"/>
    <w:basedOn w:val="23"/>
    <w:autoRedefine/>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autoRedefine/>
    <w:qFormat/>
    <w:uiPriority w:val="0"/>
    <w:pPr>
      <w:numPr>
        <w:ilvl w:val="0"/>
        <w:numId w:val="12"/>
      </w:numPr>
      <w:spacing w:line="240" w:lineRule="auto"/>
      <w:jc w:val="left"/>
    </w:pPr>
    <w:rPr>
      <w:rFonts w:ascii="宋体" w:hAnsi="宋体"/>
      <w:sz w:val="18"/>
    </w:rPr>
  </w:style>
  <w:style w:type="character" w:customStyle="1" w:styleId="106">
    <w:name w:val="标准文件_图表脚注内容"/>
    <w:autoRedefine/>
    <w:qFormat/>
    <w:uiPriority w:val="0"/>
    <w:rPr>
      <w:rFonts w:ascii="宋体" w:hAnsi="宋体" w:eastAsia="宋体" w:cs="Times New Roman"/>
      <w:spacing w:val="0"/>
      <w:sz w:val="18"/>
      <w:vertAlign w:val="superscript"/>
    </w:rPr>
  </w:style>
  <w:style w:type="paragraph" w:customStyle="1" w:styleId="107">
    <w:name w:val="标准文件_五级条标题"/>
    <w:next w:val="60"/>
    <w:autoRedefine/>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autoRedefine/>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autoRedefine/>
    <w:qFormat/>
    <w:uiPriority w:val="0"/>
    <w:pPr>
      <w:numPr>
        <w:ilvl w:val="2"/>
      </w:numPr>
      <w:spacing w:beforeLines="50" w:afterLines="50"/>
      <w:ind w:left="0"/>
      <w:outlineLvl w:val="1"/>
    </w:pPr>
  </w:style>
  <w:style w:type="paragraph" w:customStyle="1" w:styleId="110">
    <w:name w:val="标准文件_一致程度"/>
    <w:basedOn w:val="1"/>
    <w:autoRedefine/>
    <w:qFormat/>
    <w:uiPriority w:val="0"/>
    <w:pPr>
      <w:spacing w:line="440" w:lineRule="exact"/>
      <w:jc w:val="center"/>
    </w:pPr>
    <w:rPr>
      <w:sz w:val="28"/>
    </w:rPr>
  </w:style>
  <w:style w:type="paragraph" w:customStyle="1" w:styleId="111">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autoRedefine/>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autoRedefine/>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4">
    <w:name w:val="标准文件_英文注："/>
    <w:basedOn w:val="1"/>
    <w:next w:val="60"/>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autoRedefine/>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autoRedefine/>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autoRedefine/>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autoRedefine/>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2">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3">
    <w:name w:val="发布部门"/>
    <w:next w:val="60"/>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autoRedefine/>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autoRedefine/>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autoRedefine/>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autoRedefine/>
    <w:qFormat/>
    <w:uiPriority w:val="0"/>
    <w:pPr>
      <w:outlineLvl w:val="6"/>
    </w:pPr>
  </w:style>
  <w:style w:type="paragraph" w:customStyle="1" w:styleId="138">
    <w:name w:val="附录性质"/>
    <w:basedOn w:val="1"/>
    <w:autoRedefine/>
    <w:qFormat/>
    <w:uiPriority w:val="0"/>
    <w:pPr>
      <w:widowControl/>
      <w:adjustRightInd/>
      <w:jc w:val="center"/>
    </w:pPr>
    <w:rPr>
      <w:rFonts w:ascii="黑体" w:eastAsia="黑体"/>
    </w:rPr>
  </w:style>
  <w:style w:type="paragraph" w:customStyle="1" w:styleId="139">
    <w:name w:val="附录一级无标题条"/>
    <w:basedOn w:val="91"/>
    <w:next w:val="60"/>
    <w:autoRedefine/>
    <w:qFormat/>
    <w:uiPriority w:val="0"/>
    <w:pPr>
      <w:autoSpaceDN w:val="0"/>
      <w:outlineLvl w:val="2"/>
    </w:pPr>
    <w:rPr>
      <w:rFonts w:ascii="宋体" w:hAnsi="宋体" w:eastAsia="宋体"/>
    </w:rPr>
  </w:style>
  <w:style w:type="character" w:customStyle="1" w:styleId="140">
    <w:name w:val="个人答复风格"/>
    <w:autoRedefine/>
    <w:qFormat/>
    <w:uiPriority w:val="0"/>
    <w:rPr>
      <w:rFonts w:ascii="Arial" w:hAnsi="Arial" w:eastAsia="宋体" w:cs="Arial"/>
      <w:color w:val="auto"/>
      <w:spacing w:val="0"/>
      <w:sz w:val="20"/>
    </w:rPr>
  </w:style>
  <w:style w:type="character" w:customStyle="1" w:styleId="141">
    <w:name w:val="个人撰写风格"/>
    <w:autoRedefine/>
    <w:qFormat/>
    <w:uiPriority w:val="0"/>
    <w:rPr>
      <w:rFonts w:ascii="Arial" w:hAnsi="Arial" w:eastAsia="宋体" w:cs="Arial"/>
      <w:color w:val="auto"/>
      <w:spacing w:val="0"/>
      <w:sz w:val="20"/>
    </w:rPr>
  </w:style>
  <w:style w:type="paragraph" w:customStyle="1" w:styleId="142">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autoRedefine/>
    <w:qFormat/>
    <w:uiPriority w:val="0"/>
    <w:pPr>
      <w:tabs>
        <w:tab w:val="left" w:pos="840"/>
      </w:tabs>
    </w:pPr>
  </w:style>
  <w:style w:type="paragraph" w:customStyle="1" w:styleId="145">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autoRedefine/>
    <w:semiHidden/>
    <w:qFormat/>
    <w:uiPriority w:val="0"/>
    <w:pPr>
      <w:adjustRightInd/>
      <w:spacing w:line="240" w:lineRule="auto"/>
      <w:jc w:val="left"/>
    </w:pPr>
    <w:rPr>
      <w:bCs/>
      <w:iCs/>
    </w:rPr>
  </w:style>
  <w:style w:type="paragraph" w:customStyle="1" w:styleId="147">
    <w:name w:val="目录 31"/>
    <w:basedOn w:val="1"/>
    <w:next w:val="1"/>
    <w:autoRedefine/>
    <w:semiHidden/>
    <w:qFormat/>
    <w:uiPriority w:val="0"/>
    <w:pPr>
      <w:spacing w:line="240" w:lineRule="auto"/>
    </w:pPr>
    <w:rPr>
      <w:rFonts w:ascii="宋体" w:hAnsi="宋体"/>
      <w:iCs/>
    </w:rPr>
  </w:style>
  <w:style w:type="paragraph" w:customStyle="1" w:styleId="148">
    <w:name w:val="目录 41"/>
    <w:basedOn w:val="1"/>
    <w:next w:val="1"/>
    <w:autoRedefine/>
    <w:semiHidden/>
    <w:qFormat/>
    <w:uiPriority w:val="0"/>
    <w:pPr>
      <w:adjustRightInd/>
      <w:spacing w:line="240" w:lineRule="auto"/>
      <w:jc w:val="left"/>
    </w:pPr>
  </w:style>
  <w:style w:type="paragraph" w:customStyle="1" w:styleId="149">
    <w:name w:val="目录 51"/>
    <w:basedOn w:val="1"/>
    <w:next w:val="1"/>
    <w:autoRedefine/>
    <w:semiHidden/>
    <w:qFormat/>
    <w:uiPriority w:val="0"/>
    <w:pPr>
      <w:spacing w:line="240" w:lineRule="auto"/>
    </w:pPr>
    <w:rPr>
      <w:rFonts w:ascii="宋体" w:hAnsi="宋体"/>
    </w:rPr>
  </w:style>
  <w:style w:type="paragraph" w:customStyle="1" w:styleId="150">
    <w:name w:val="目录 61"/>
    <w:basedOn w:val="1"/>
    <w:next w:val="1"/>
    <w:autoRedefine/>
    <w:semiHidden/>
    <w:qFormat/>
    <w:uiPriority w:val="0"/>
    <w:pPr>
      <w:adjustRightInd/>
      <w:spacing w:line="240" w:lineRule="auto"/>
      <w:jc w:val="left"/>
    </w:pPr>
  </w:style>
  <w:style w:type="paragraph" w:customStyle="1" w:styleId="151">
    <w:name w:val="目录 71"/>
    <w:basedOn w:val="150"/>
    <w:autoRedefine/>
    <w:semiHidden/>
    <w:qFormat/>
    <w:uiPriority w:val="0"/>
    <w:pPr>
      <w:ind w:left="1260"/>
    </w:pPr>
  </w:style>
  <w:style w:type="paragraph" w:customStyle="1" w:styleId="152">
    <w:name w:val="目录 81"/>
    <w:basedOn w:val="151"/>
    <w:autoRedefine/>
    <w:semiHidden/>
    <w:qFormat/>
    <w:uiPriority w:val="0"/>
    <w:pPr>
      <w:ind w:left="1470"/>
    </w:pPr>
  </w:style>
  <w:style w:type="paragraph" w:customStyle="1" w:styleId="153">
    <w:name w:val="目录 91"/>
    <w:basedOn w:val="152"/>
    <w:autoRedefine/>
    <w:semiHidden/>
    <w:qFormat/>
    <w:uiPriority w:val="0"/>
    <w:pPr>
      <w:ind w:left="1680"/>
    </w:pPr>
  </w:style>
  <w:style w:type="paragraph" w:customStyle="1" w:styleId="154">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autoRedefine/>
    <w:qFormat/>
    <w:uiPriority w:val="0"/>
    <w:pPr>
      <w:framePr w:wrap="around"/>
      <w:spacing w:line="0" w:lineRule="atLeast"/>
    </w:pPr>
    <w:rPr>
      <w:rFonts w:ascii="黑体" w:eastAsia="黑体"/>
      <w:b w:val="0"/>
    </w:rPr>
  </w:style>
  <w:style w:type="paragraph" w:customStyle="1" w:styleId="156">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8">
    <w:name w:val="实施日期"/>
    <w:basedOn w:val="124"/>
    <w:autoRedefine/>
    <w:qFormat/>
    <w:uiPriority w:val="0"/>
    <w:pPr>
      <w:framePr w:hSpace="0" w:wrap="around" w:xAlign="right"/>
      <w:jc w:val="right"/>
    </w:pPr>
  </w:style>
  <w:style w:type="paragraph" w:customStyle="1" w:styleId="159">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60">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autoRedefine/>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autoRedefine/>
    <w:qFormat/>
    <w:uiPriority w:val="0"/>
    <w:pPr>
      <w:numPr>
        <w:ilvl w:val="6"/>
        <w:numId w:val="20"/>
      </w:numPr>
      <w:adjustRightInd/>
    </w:pPr>
    <w:rPr>
      <w:szCs w:val="24"/>
    </w:rPr>
  </w:style>
  <w:style w:type="paragraph" w:customStyle="1" w:styleId="163">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4">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autoRedefine/>
    <w:qFormat/>
    <w:uiPriority w:val="0"/>
    <w:pPr>
      <w:ind w:left="1406" w:leftChars="0" w:hanging="499" w:firstLineChars="0"/>
    </w:pPr>
  </w:style>
  <w:style w:type="paragraph" w:customStyle="1" w:styleId="166">
    <w:name w:val="标准文件_一级无标题"/>
    <w:basedOn w:val="109"/>
    <w:autoRedefine/>
    <w:qFormat/>
    <w:uiPriority w:val="0"/>
    <w:pPr>
      <w:spacing w:beforeLines="0" w:afterLines="0"/>
      <w:outlineLvl w:val="9"/>
    </w:pPr>
    <w:rPr>
      <w:rFonts w:ascii="宋体" w:eastAsia="宋体"/>
    </w:rPr>
  </w:style>
  <w:style w:type="paragraph" w:customStyle="1" w:styleId="167">
    <w:name w:val="标准文件_五级无标题"/>
    <w:basedOn w:val="107"/>
    <w:autoRedefine/>
    <w:qFormat/>
    <w:uiPriority w:val="0"/>
    <w:pPr>
      <w:spacing w:beforeLines="0" w:afterLines="0"/>
      <w:outlineLvl w:val="9"/>
    </w:pPr>
    <w:rPr>
      <w:rFonts w:ascii="宋体" w:eastAsia="宋体"/>
    </w:rPr>
  </w:style>
  <w:style w:type="paragraph" w:customStyle="1" w:styleId="168">
    <w:name w:val="标准文件_三级无标题"/>
    <w:basedOn w:val="98"/>
    <w:autoRedefine/>
    <w:qFormat/>
    <w:uiPriority w:val="0"/>
    <w:pPr>
      <w:spacing w:beforeLines="0" w:afterLines="0"/>
      <w:outlineLvl w:val="9"/>
    </w:pPr>
    <w:rPr>
      <w:rFonts w:ascii="宋体" w:eastAsia="宋体"/>
    </w:rPr>
  </w:style>
  <w:style w:type="paragraph" w:customStyle="1" w:styleId="169">
    <w:name w:val="标准文件_二级无标题"/>
    <w:basedOn w:val="69"/>
    <w:autoRedefine/>
    <w:qFormat/>
    <w:uiPriority w:val="0"/>
    <w:pPr>
      <w:spacing w:beforeLines="0" w:afterLines="0"/>
      <w:outlineLvl w:val="9"/>
    </w:pPr>
    <w:rPr>
      <w:rFonts w:ascii="宋体" w:eastAsia="宋体"/>
    </w:rPr>
  </w:style>
  <w:style w:type="paragraph" w:customStyle="1" w:styleId="170">
    <w:name w:val="标准_四级无标题"/>
    <w:basedOn w:val="102"/>
    <w:next w:val="60"/>
    <w:autoRedefine/>
    <w:qFormat/>
    <w:uiPriority w:val="0"/>
    <w:rPr>
      <w:rFonts w:eastAsia="宋体"/>
    </w:rPr>
  </w:style>
  <w:style w:type="paragraph" w:customStyle="1" w:styleId="171">
    <w:name w:val="标准文件_四级无标题"/>
    <w:basedOn w:val="102"/>
    <w:autoRedefine/>
    <w:qFormat/>
    <w:uiPriority w:val="0"/>
    <w:pPr>
      <w:spacing w:beforeLines="0" w:afterLines="0"/>
      <w:outlineLvl w:val="9"/>
    </w:pPr>
    <w:rPr>
      <w:rFonts w:ascii="宋体" w:hAnsi="黑体" w:eastAsia="宋体"/>
      <w:szCs w:val="52"/>
    </w:rPr>
  </w:style>
  <w:style w:type="paragraph" w:customStyle="1" w:styleId="172">
    <w:name w:val="标准文件_大写罗马数字编号列项"/>
    <w:basedOn w:val="60"/>
    <w:autoRedefine/>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autoRedefine/>
    <w:qFormat/>
    <w:uiPriority w:val="0"/>
    <w:pPr>
      <w:numPr>
        <w:ilvl w:val="0"/>
        <w:numId w:val="24"/>
      </w:numPr>
      <w:ind w:firstLine="0" w:firstLineChars="0"/>
    </w:pPr>
    <w:rPr>
      <w:rFonts w:cs="Arial"/>
      <w:szCs w:val="28"/>
    </w:rPr>
  </w:style>
  <w:style w:type="paragraph" w:customStyle="1" w:styleId="174">
    <w:name w:val="标准文件_附录标题"/>
    <w:basedOn w:val="80"/>
    <w:autoRedefine/>
    <w:qFormat/>
    <w:uiPriority w:val="0"/>
    <w:pPr>
      <w:numPr>
        <w:numId w:val="0"/>
      </w:numPr>
      <w:spacing w:after="280"/>
      <w:outlineLvl w:val="9"/>
    </w:pPr>
  </w:style>
  <w:style w:type="paragraph" w:customStyle="1" w:styleId="175">
    <w:name w:val="标准文件_二级项"/>
    <w:autoRedefine/>
    <w:qFormat/>
    <w:uiPriority w:val="0"/>
    <w:rPr>
      <w:rFonts w:ascii="宋体" w:hAnsi="Times New Roman" w:eastAsia="宋体" w:cs="Times New Roman"/>
      <w:sz w:val="21"/>
      <w:lang w:val="en-US" w:eastAsia="zh-CN" w:bidi="ar-SA"/>
    </w:rPr>
  </w:style>
  <w:style w:type="paragraph" w:customStyle="1" w:styleId="176">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autoRedefine/>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autoRedefine/>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autoRedefine/>
    <w:qFormat/>
    <w:uiPriority w:val="0"/>
    <w:pPr>
      <w:ind w:firstLine="0" w:firstLineChars="0"/>
      <w:jc w:val="center"/>
    </w:pPr>
    <w:rPr>
      <w:sz w:val="18"/>
    </w:rPr>
  </w:style>
  <w:style w:type="paragraph" w:customStyle="1" w:styleId="183">
    <w:name w:val="标准文件_注："/>
    <w:next w:val="60"/>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autoRedefine/>
    <w:qFormat/>
    <w:uiPriority w:val="0"/>
    <w:pPr>
      <w:ind w:firstLine="420"/>
    </w:pPr>
    <w:rPr>
      <w:sz w:val="18"/>
    </w:rPr>
  </w:style>
  <w:style w:type="paragraph" w:customStyle="1" w:styleId="187">
    <w:name w:val="标准文件_示例×："/>
    <w:basedOn w:val="1"/>
    <w:next w:val="186"/>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autoRedefine/>
    <w:qFormat/>
    <w:uiPriority w:val="0"/>
    <w:rPr>
      <w:rFonts w:ascii="宋体" w:hAnsi="Times New Roman"/>
      <w:sz w:val="21"/>
    </w:rPr>
  </w:style>
  <w:style w:type="paragraph" w:customStyle="1" w:styleId="189">
    <w:name w:val="标准文件_表格续"/>
    <w:basedOn w:val="60"/>
    <w:next w:val="60"/>
    <w:autoRedefine/>
    <w:qFormat/>
    <w:uiPriority w:val="0"/>
    <w:pPr>
      <w:jc w:val="center"/>
    </w:pPr>
    <w:rPr>
      <w:rFonts w:ascii="黑体" w:hAnsi="黑体" w:eastAsia="黑体"/>
    </w:rPr>
  </w:style>
  <w:style w:type="character" w:styleId="190">
    <w:name w:val="Placeholder Text"/>
    <w:basedOn w:val="31"/>
    <w:autoRedefine/>
    <w:semiHidden/>
    <w:qFormat/>
    <w:uiPriority w:val="99"/>
    <w:rPr>
      <w:color w:val="808080"/>
    </w:rPr>
  </w:style>
  <w:style w:type="paragraph" w:customStyle="1" w:styleId="191">
    <w:name w:val="标准文件_二级项2"/>
    <w:basedOn w:val="60"/>
    <w:autoRedefine/>
    <w:qFormat/>
    <w:uiPriority w:val="0"/>
    <w:pPr>
      <w:numPr>
        <w:ilvl w:val="1"/>
        <w:numId w:val="21"/>
      </w:numPr>
      <w:ind w:firstLine="0" w:firstLineChars="0"/>
    </w:pPr>
  </w:style>
  <w:style w:type="paragraph" w:customStyle="1" w:styleId="192">
    <w:name w:val="标准文件_三级项2"/>
    <w:basedOn w:val="60"/>
    <w:autoRedefine/>
    <w:qFormat/>
    <w:uiPriority w:val="0"/>
    <w:pPr>
      <w:numPr>
        <w:ilvl w:val="0"/>
        <w:numId w:val="30"/>
      </w:numPr>
      <w:spacing w:line="300" w:lineRule="exact"/>
      <w:ind w:firstLineChars="0"/>
    </w:pPr>
    <w:rPr>
      <w:rFonts w:ascii="Times New Roman"/>
    </w:rPr>
  </w:style>
  <w:style w:type="paragraph" w:customStyle="1" w:styleId="193">
    <w:name w:val="标准文件_一级项2"/>
    <w:basedOn w:val="60"/>
    <w:autoRedefine/>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autoRedefine/>
    <w:qFormat/>
    <w:uiPriority w:val="0"/>
    <w:pPr>
      <w:ind w:firstLine="420"/>
    </w:pPr>
    <w:rPr>
      <w:rFonts w:ascii="黑体" w:eastAsia="黑体"/>
    </w:rPr>
  </w:style>
  <w:style w:type="character" w:customStyle="1" w:styleId="195">
    <w:name w:val="标准文件_来源"/>
    <w:basedOn w:val="31"/>
    <w:autoRedefine/>
    <w:qFormat/>
    <w:uiPriority w:val="1"/>
    <w:rPr>
      <w:rFonts w:eastAsia="宋体"/>
      <w:sz w:val="21"/>
    </w:rPr>
  </w:style>
  <w:style w:type="paragraph" w:customStyle="1" w:styleId="196">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autoRedefine/>
    <w:qFormat/>
    <w:uiPriority w:val="0"/>
    <w:pPr>
      <w:framePr w:w="3997" w:h="471" w:hRule="exact" w:hSpace="0" w:vSpace="181" w:wrap="around" w:vAnchor="page" w:hAnchor="page" w:x="1419" w:y="14097"/>
    </w:pPr>
  </w:style>
  <w:style w:type="paragraph" w:customStyle="1" w:styleId="198">
    <w:name w:val="其他实施日期"/>
    <w:basedOn w:val="158"/>
    <w:autoRedefine/>
    <w:qFormat/>
    <w:uiPriority w:val="0"/>
    <w:pPr>
      <w:framePr w:w="3997" w:h="471" w:hRule="exact" w:vSpace="181" w:wrap="around" w:vAnchor="page" w:hAnchor="page" w:x="7089" w:y="14097"/>
    </w:pPr>
  </w:style>
  <w:style w:type="paragraph" w:customStyle="1" w:styleId="199">
    <w:name w:val="标准文件_文件编号"/>
    <w:basedOn w:val="60"/>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autoRedefine/>
    <w:qFormat/>
    <w:uiPriority w:val="0"/>
    <w:pPr>
      <w:spacing w:before="57"/>
    </w:pPr>
    <w:rPr>
      <w:sz w:val="21"/>
    </w:rPr>
  </w:style>
  <w:style w:type="paragraph" w:customStyle="1" w:styleId="201">
    <w:name w:val="标准文件_文件名称"/>
    <w:basedOn w:val="60"/>
    <w:next w:val="60"/>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autoRedefine/>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autoRedefine/>
    <w:qFormat/>
    <w:uiPriority w:val="0"/>
    <w:pPr>
      <w:numPr>
        <w:ilvl w:val="1"/>
        <w:numId w:val="8"/>
      </w:numPr>
      <w:spacing w:beforeLines="50" w:afterLines="50"/>
      <w:ind w:firstLineChars="0"/>
    </w:pPr>
    <w:rPr>
      <w:rFonts w:ascii="黑体" w:eastAsia="黑体"/>
    </w:rPr>
  </w:style>
  <w:style w:type="paragraph" w:customStyle="1" w:styleId="205">
    <w:name w:val="标准文件_引言二级条标题"/>
    <w:basedOn w:val="60"/>
    <w:next w:val="60"/>
    <w:autoRedefine/>
    <w:qFormat/>
    <w:uiPriority w:val="0"/>
    <w:pPr>
      <w:numPr>
        <w:ilvl w:val="2"/>
        <w:numId w:val="8"/>
      </w:numPr>
      <w:spacing w:beforeLines="50" w:afterLines="50"/>
      <w:ind w:firstLineChars="0"/>
    </w:pPr>
    <w:rPr>
      <w:rFonts w:ascii="黑体" w:eastAsia="黑体"/>
    </w:rPr>
  </w:style>
  <w:style w:type="paragraph" w:customStyle="1" w:styleId="206">
    <w:name w:val="标准文件_引言三级条标题"/>
    <w:basedOn w:val="60"/>
    <w:next w:val="60"/>
    <w:autoRedefine/>
    <w:qFormat/>
    <w:uiPriority w:val="0"/>
    <w:pPr>
      <w:numPr>
        <w:ilvl w:val="3"/>
        <w:numId w:val="8"/>
      </w:numPr>
      <w:spacing w:beforeLines="50" w:afterLines="50"/>
      <w:ind w:firstLineChars="0"/>
    </w:pPr>
    <w:rPr>
      <w:rFonts w:ascii="黑体" w:eastAsia="黑体"/>
    </w:rPr>
  </w:style>
  <w:style w:type="paragraph" w:customStyle="1" w:styleId="207">
    <w:name w:val="标准文件_引言四级条标题"/>
    <w:basedOn w:val="60"/>
    <w:next w:val="60"/>
    <w:autoRedefine/>
    <w:qFormat/>
    <w:uiPriority w:val="0"/>
    <w:pPr>
      <w:numPr>
        <w:ilvl w:val="4"/>
        <w:numId w:val="8"/>
      </w:numPr>
      <w:spacing w:beforeLines="50" w:afterLines="50"/>
      <w:ind w:firstLineChars="0"/>
    </w:pPr>
    <w:rPr>
      <w:rFonts w:ascii="黑体" w:eastAsia="黑体"/>
    </w:rPr>
  </w:style>
  <w:style w:type="paragraph" w:customStyle="1" w:styleId="208">
    <w:name w:val="标准文件_引言五级条标题"/>
    <w:basedOn w:val="60"/>
    <w:next w:val="60"/>
    <w:autoRedefine/>
    <w:qFormat/>
    <w:uiPriority w:val="0"/>
    <w:pPr>
      <w:numPr>
        <w:ilvl w:val="5"/>
        <w:numId w:val="8"/>
      </w:numPr>
      <w:spacing w:beforeLines="50" w:afterLines="50"/>
      <w:ind w:firstLineChars="0"/>
    </w:pPr>
    <w:rPr>
      <w:rFonts w:ascii="黑体" w:eastAsia="黑体"/>
    </w:rPr>
  </w:style>
  <w:style w:type="paragraph" w:customStyle="1" w:styleId="209">
    <w:name w:val="标准文件_注后"/>
    <w:basedOn w:val="60"/>
    <w:autoRedefine/>
    <w:qFormat/>
    <w:uiPriority w:val="0"/>
    <w:pPr>
      <w:ind w:left="811" w:firstLine="0" w:firstLineChars="0"/>
    </w:pPr>
    <w:rPr>
      <w:sz w:val="18"/>
    </w:rPr>
  </w:style>
  <w:style w:type="paragraph" w:customStyle="1" w:styleId="210">
    <w:name w:val="标准文件_注X后"/>
    <w:basedOn w:val="60"/>
    <w:autoRedefine/>
    <w:qFormat/>
    <w:uiPriority w:val="0"/>
    <w:pPr>
      <w:ind w:left="811" w:firstLine="0" w:firstLineChars="0"/>
    </w:pPr>
    <w:rPr>
      <w:sz w:val="18"/>
    </w:rPr>
  </w:style>
  <w:style w:type="paragraph" w:customStyle="1" w:styleId="211">
    <w:name w:val="标准文件_示例后"/>
    <w:basedOn w:val="60"/>
    <w:autoRedefine/>
    <w:qFormat/>
    <w:uiPriority w:val="0"/>
    <w:pPr>
      <w:ind w:left="964" w:firstLine="0" w:firstLineChars="0"/>
    </w:pPr>
    <w:rPr>
      <w:sz w:val="18"/>
    </w:rPr>
  </w:style>
  <w:style w:type="paragraph" w:customStyle="1" w:styleId="212">
    <w:name w:val="标准文件_示例X后"/>
    <w:basedOn w:val="60"/>
    <w:link w:val="213"/>
    <w:autoRedefine/>
    <w:qFormat/>
    <w:uiPriority w:val="0"/>
    <w:pPr>
      <w:ind w:left="1049" w:firstLine="0" w:firstLineChars="0"/>
    </w:pPr>
    <w:rPr>
      <w:sz w:val="18"/>
    </w:rPr>
  </w:style>
  <w:style w:type="character" w:customStyle="1" w:styleId="213">
    <w:name w:val="标准文件_示例X后 字符"/>
    <w:basedOn w:val="188"/>
    <w:link w:val="212"/>
    <w:autoRedefine/>
    <w:qFormat/>
    <w:uiPriority w:val="0"/>
    <w:rPr>
      <w:rFonts w:ascii="宋体" w:hAnsi="Times New Roman"/>
      <w:sz w:val="18"/>
    </w:rPr>
  </w:style>
  <w:style w:type="paragraph" w:customStyle="1" w:styleId="214">
    <w:name w:val="标准文件_索引项"/>
    <w:basedOn w:val="60"/>
    <w:next w:val="60"/>
    <w:autoRedefine/>
    <w:qFormat/>
    <w:uiPriority w:val="0"/>
    <w:pPr>
      <w:tabs>
        <w:tab w:val="right" w:leader="dot" w:pos="9356"/>
      </w:tabs>
      <w:ind w:left="210" w:hanging="210" w:firstLineChars="0"/>
      <w:jc w:val="left"/>
    </w:pPr>
  </w:style>
  <w:style w:type="paragraph" w:customStyle="1" w:styleId="215">
    <w:name w:val="标准文件_附录一级无标题"/>
    <w:basedOn w:val="82"/>
    <w:autoRedefine/>
    <w:qFormat/>
    <w:uiPriority w:val="0"/>
    <w:pPr>
      <w:spacing w:beforeLines="0" w:afterLines="0" w:line="276" w:lineRule="auto"/>
      <w:outlineLvl w:val="9"/>
    </w:pPr>
    <w:rPr>
      <w:rFonts w:ascii="宋体" w:eastAsia="宋体"/>
    </w:rPr>
  </w:style>
  <w:style w:type="paragraph" w:customStyle="1" w:styleId="216">
    <w:name w:val="标准文件_附录二级无标题"/>
    <w:basedOn w:val="83"/>
    <w:autoRedefine/>
    <w:qFormat/>
    <w:uiPriority w:val="0"/>
    <w:pPr>
      <w:spacing w:beforeLines="0" w:afterLines="0" w:line="276" w:lineRule="auto"/>
      <w:outlineLvl w:val="9"/>
    </w:pPr>
    <w:rPr>
      <w:rFonts w:ascii="宋体" w:eastAsia="宋体"/>
    </w:rPr>
  </w:style>
  <w:style w:type="paragraph" w:customStyle="1" w:styleId="217">
    <w:name w:val="标准文件_附录三级无标题"/>
    <w:basedOn w:val="85"/>
    <w:autoRedefine/>
    <w:qFormat/>
    <w:uiPriority w:val="0"/>
    <w:pPr>
      <w:spacing w:beforeLines="0" w:afterLines="0" w:line="276" w:lineRule="auto"/>
      <w:outlineLvl w:val="9"/>
    </w:pPr>
    <w:rPr>
      <w:rFonts w:ascii="宋体" w:eastAsia="宋体"/>
    </w:rPr>
  </w:style>
  <w:style w:type="paragraph" w:customStyle="1" w:styleId="218">
    <w:name w:val="标准文件_附录四级无标题"/>
    <w:basedOn w:val="86"/>
    <w:autoRedefine/>
    <w:qFormat/>
    <w:uiPriority w:val="0"/>
    <w:pPr>
      <w:spacing w:beforeLines="0" w:afterLines="0" w:line="276" w:lineRule="auto"/>
      <w:outlineLvl w:val="9"/>
    </w:pPr>
    <w:rPr>
      <w:rFonts w:ascii="宋体" w:eastAsia="宋体"/>
    </w:rPr>
  </w:style>
  <w:style w:type="paragraph" w:customStyle="1" w:styleId="219">
    <w:name w:val="标准文件_附录五级无标题"/>
    <w:basedOn w:val="88"/>
    <w:autoRedefine/>
    <w:qFormat/>
    <w:uiPriority w:val="0"/>
    <w:pPr>
      <w:spacing w:beforeLines="0" w:afterLines="0" w:line="276" w:lineRule="auto"/>
      <w:outlineLvl w:val="9"/>
    </w:pPr>
    <w:rPr>
      <w:rFonts w:ascii="宋体" w:eastAsia="宋体"/>
    </w:rPr>
  </w:style>
  <w:style w:type="paragraph" w:customStyle="1" w:styleId="220">
    <w:name w:val="标准文件_引言一级无标题"/>
    <w:basedOn w:val="204"/>
    <w:next w:val="60"/>
    <w:autoRedefine/>
    <w:qFormat/>
    <w:uiPriority w:val="0"/>
    <w:pPr>
      <w:spacing w:beforeLines="0" w:afterLines="0" w:line="276" w:lineRule="auto"/>
    </w:pPr>
    <w:rPr>
      <w:rFonts w:ascii="宋体" w:eastAsia="宋体"/>
    </w:rPr>
  </w:style>
  <w:style w:type="paragraph" w:customStyle="1" w:styleId="221">
    <w:name w:val="标准文件_引言二级无标题"/>
    <w:basedOn w:val="205"/>
    <w:next w:val="60"/>
    <w:autoRedefine/>
    <w:qFormat/>
    <w:uiPriority w:val="0"/>
    <w:pPr>
      <w:spacing w:beforeLines="0" w:afterLines="0" w:line="276" w:lineRule="auto"/>
    </w:pPr>
    <w:rPr>
      <w:rFonts w:ascii="宋体" w:eastAsia="宋体"/>
    </w:rPr>
  </w:style>
  <w:style w:type="paragraph" w:customStyle="1" w:styleId="222">
    <w:name w:val="标准文件_引言三级无标题"/>
    <w:basedOn w:val="206"/>
    <w:autoRedefine/>
    <w:qFormat/>
    <w:uiPriority w:val="0"/>
    <w:pPr>
      <w:spacing w:beforeLines="0" w:afterLines="0" w:line="276" w:lineRule="auto"/>
    </w:pPr>
    <w:rPr>
      <w:rFonts w:ascii="宋体" w:eastAsia="宋体"/>
    </w:rPr>
  </w:style>
  <w:style w:type="paragraph" w:customStyle="1" w:styleId="223">
    <w:name w:val="标准文件_引言四级无标题"/>
    <w:basedOn w:val="207"/>
    <w:next w:val="60"/>
    <w:autoRedefine/>
    <w:qFormat/>
    <w:uiPriority w:val="0"/>
    <w:pPr>
      <w:spacing w:beforeLines="0" w:afterLines="0" w:line="276" w:lineRule="auto"/>
    </w:pPr>
    <w:rPr>
      <w:rFonts w:ascii="宋体" w:eastAsia="宋体"/>
    </w:rPr>
  </w:style>
  <w:style w:type="paragraph" w:customStyle="1" w:styleId="224">
    <w:name w:val="标准文件_引言五级无标题"/>
    <w:basedOn w:val="208"/>
    <w:next w:val="60"/>
    <w:autoRedefine/>
    <w:qFormat/>
    <w:uiPriority w:val="0"/>
    <w:pPr>
      <w:spacing w:beforeLines="0" w:afterLines="0" w:line="276" w:lineRule="auto"/>
    </w:pPr>
    <w:rPr>
      <w:rFonts w:ascii="宋体" w:eastAsia="宋体"/>
    </w:rPr>
  </w:style>
  <w:style w:type="paragraph" w:customStyle="1" w:styleId="225">
    <w:name w:val="标准文件_索引标题"/>
    <w:basedOn w:val="67"/>
    <w:next w:val="60"/>
    <w:autoRedefine/>
    <w:qFormat/>
    <w:uiPriority w:val="0"/>
    <w:rPr>
      <w:rFonts w:hAnsi="黑体"/>
    </w:rPr>
  </w:style>
  <w:style w:type="paragraph" w:customStyle="1" w:styleId="226">
    <w:name w:val="标准文件_脚注内容"/>
    <w:basedOn w:val="60"/>
    <w:autoRedefine/>
    <w:qFormat/>
    <w:uiPriority w:val="0"/>
    <w:pPr>
      <w:ind w:left="400" w:leftChars="200" w:hanging="200" w:hangingChars="200"/>
    </w:pPr>
    <w:rPr>
      <w:sz w:val="15"/>
    </w:rPr>
  </w:style>
  <w:style w:type="paragraph" w:customStyle="1" w:styleId="227">
    <w:name w:val="标准文件_术语条一"/>
    <w:basedOn w:val="166"/>
    <w:next w:val="60"/>
    <w:autoRedefine/>
    <w:qFormat/>
    <w:uiPriority w:val="0"/>
  </w:style>
  <w:style w:type="paragraph" w:customStyle="1" w:styleId="228">
    <w:name w:val="标准文件_术语条二"/>
    <w:basedOn w:val="169"/>
    <w:next w:val="60"/>
    <w:autoRedefine/>
    <w:qFormat/>
    <w:uiPriority w:val="0"/>
  </w:style>
  <w:style w:type="paragraph" w:customStyle="1" w:styleId="229">
    <w:name w:val="标准文件_术语条三"/>
    <w:basedOn w:val="168"/>
    <w:next w:val="60"/>
    <w:autoRedefine/>
    <w:qFormat/>
    <w:uiPriority w:val="0"/>
  </w:style>
  <w:style w:type="paragraph" w:customStyle="1" w:styleId="230">
    <w:name w:val="标准文件_术语条四"/>
    <w:basedOn w:val="171"/>
    <w:next w:val="60"/>
    <w:autoRedefine/>
    <w:qFormat/>
    <w:uiPriority w:val="0"/>
  </w:style>
  <w:style w:type="paragraph" w:customStyle="1" w:styleId="231">
    <w:name w:val="标准文件_术语条五"/>
    <w:basedOn w:val="167"/>
    <w:next w:val="60"/>
    <w:autoRedefine/>
    <w:qFormat/>
    <w:uiPriority w:val="0"/>
  </w:style>
  <w:style w:type="paragraph" w:customStyle="1" w:styleId="232">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autoRedefine/>
    <w:qFormat/>
    <w:uiPriority w:val="0"/>
    <w:rPr>
      <w:rFonts w:ascii="黑体" w:eastAsia="黑体"/>
      <w:spacing w:val="85"/>
      <w:w w:val="100"/>
      <w:position w:val="3"/>
      <w:sz w:val="28"/>
      <w:szCs w:val="28"/>
    </w:rPr>
  </w:style>
  <w:style w:type="paragraph" w:customStyle="1" w:styleId="234">
    <w:name w:val="Body text|1"/>
    <w:basedOn w:val="1"/>
    <w:autoRedefine/>
    <w:qFormat/>
    <w:uiPriority w:val="0"/>
    <w:pPr>
      <w:adjustRightInd/>
      <w:spacing w:line="336" w:lineRule="auto"/>
      <w:ind w:firstLine="400"/>
    </w:pPr>
    <w:rPr>
      <w:rFonts w:ascii="宋体" w:hAnsi="宋体" w:cs="宋体"/>
      <w:sz w:val="20"/>
      <w:szCs w:val="20"/>
      <w:lang w:val="zh-TW" w:eastAsia="zh-TW" w:bidi="zh-TW"/>
    </w:rPr>
  </w:style>
  <w:style w:type="character" w:customStyle="1" w:styleId="235">
    <w:name w:val="批注文字 Char"/>
    <w:basedOn w:val="31"/>
    <w:link w:val="14"/>
    <w:autoRedefine/>
    <w:semiHidden/>
    <w:qFormat/>
    <w:uiPriority w:val="99"/>
    <w:rPr>
      <w:kern w:val="2"/>
      <w:sz w:val="21"/>
      <w:szCs w:val="21"/>
    </w:rPr>
  </w:style>
  <w:style w:type="character" w:customStyle="1" w:styleId="236">
    <w:name w:val="批注主题 Char"/>
    <w:basedOn w:val="235"/>
    <w:link w:val="28"/>
    <w:autoRedefine/>
    <w:semiHidden/>
    <w:qFormat/>
    <w:uiPriority w:val="99"/>
    <w:rPr>
      <w:b/>
      <w:bCs/>
      <w:kern w:val="2"/>
      <w:sz w:val="21"/>
      <w:szCs w:val="21"/>
    </w:rPr>
  </w:style>
  <w:style w:type="character" w:customStyle="1" w:styleId="237">
    <w:name w:val="文档结构图 Char"/>
    <w:basedOn w:val="31"/>
    <w:link w:val="13"/>
    <w:autoRedefine/>
    <w:semiHidden/>
    <w:qFormat/>
    <w:uiPriority w:val="99"/>
    <w:rPr>
      <w:rFonts w:ascii="宋体"/>
      <w:kern w:val="2"/>
      <w:sz w:val="18"/>
      <w:szCs w:val="18"/>
    </w:rPr>
  </w:style>
  <w:style w:type="character" w:customStyle="1" w:styleId="238">
    <w:name w:val="15"/>
    <w:basedOn w:val="31"/>
    <w:autoRedefine/>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glossaryDocument" Target="glossary/document.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3.jpeg"/><Relationship Id="rId3" Type="http://schemas.openxmlformats.org/officeDocument/2006/relationships/footnotes" Target="footnotes.xml"/><Relationship Id="rId29" Type="http://schemas.openxmlformats.org/officeDocument/2006/relationships/image" Target="media/image2.png"/><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7827B97E2EF46B699090886EA678801"/>
        <w:style w:val=""/>
        <w:category>
          <w:name w:val="常规"/>
          <w:gallery w:val="placeholder"/>
        </w:category>
        <w:types>
          <w:type w:val="bbPlcHdr"/>
        </w:types>
        <w:behaviors>
          <w:behavior w:val="content"/>
        </w:behaviors>
        <w:description w:val=""/>
        <w:guid w:val="{234A4542-806C-4E96-87AE-B8F1FCA4A24A}"/>
      </w:docPartPr>
      <w:docPartBody>
        <w:p w14:paraId="5AD02C0D">
          <w:pPr>
            <w:pStyle w:val="5"/>
          </w:pPr>
          <w:r>
            <w:rPr>
              <w:rStyle w:val="4"/>
              <w:rFonts w:hint="eastAsia"/>
            </w:rPr>
            <w:t>单击或点击此处输入文字。</w:t>
          </w:r>
        </w:p>
      </w:docPartBody>
    </w:docPart>
    <w:docPart>
      <w:docPartPr>
        <w:name w:val="24F45DEEC9394C9AA31FCDC349B75326"/>
        <w:style w:val=""/>
        <w:category>
          <w:name w:val="常规"/>
          <w:gallery w:val="placeholder"/>
        </w:category>
        <w:types>
          <w:type w:val="bbPlcHdr"/>
        </w:types>
        <w:behaviors>
          <w:behavior w:val="content"/>
        </w:behaviors>
        <w:description w:val=""/>
        <w:guid w:val="{AF41CDE6-83FB-4F41-B1A6-9DA6A1D01B51}"/>
      </w:docPartPr>
      <w:docPartBody>
        <w:p w14:paraId="77510F3A">
          <w:pPr>
            <w:pStyle w:val="6"/>
          </w:pPr>
          <w:r>
            <w:rPr>
              <w:rStyle w:val="4"/>
              <w:rFonts w:hint="eastAsia"/>
            </w:rPr>
            <w:t>选择一项。</w:t>
          </w:r>
        </w:p>
      </w:docPartBody>
    </w:docPart>
    <w:docPart>
      <w:docPartPr>
        <w:name w:val="8D75296159C040E9935F429DB0927CF7"/>
        <w:style w:val=""/>
        <w:category>
          <w:name w:val="常规"/>
          <w:gallery w:val="placeholder"/>
        </w:category>
        <w:types>
          <w:type w:val="bbPlcHdr"/>
        </w:types>
        <w:behaviors>
          <w:behavior w:val="content"/>
        </w:behaviors>
        <w:description w:val=""/>
        <w:guid w:val="{8353A0A3-D08E-409D-85B9-48E5F110282D}"/>
      </w:docPartPr>
      <w:docPartBody>
        <w:p w14:paraId="27368FCA">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6038AB"/>
    <w:rsid w:val="00055E44"/>
    <w:rsid w:val="000A472E"/>
    <w:rsid w:val="000A4E5A"/>
    <w:rsid w:val="000D32B8"/>
    <w:rsid w:val="00125720"/>
    <w:rsid w:val="001412B1"/>
    <w:rsid w:val="00156A5B"/>
    <w:rsid w:val="00165790"/>
    <w:rsid w:val="0017138B"/>
    <w:rsid w:val="001B1E19"/>
    <w:rsid w:val="001E5706"/>
    <w:rsid w:val="00201B24"/>
    <w:rsid w:val="00266BEB"/>
    <w:rsid w:val="00292756"/>
    <w:rsid w:val="002C169A"/>
    <w:rsid w:val="002D2202"/>
    <w:rsid w:val="002E0594"/>
    <w:rsid w:val="00301BE9"/>
    <w:rsid w:val="003074F1"/>
    <w:rsid w:val="00320DEF"/>
    <w:rsid w:val="00357C1C"/>
    <w:rsid w:val="003D3D23"/>
    <w:rsid w:val="003D7254"/>
    <w:rsid w:val="00400AA1"/>
    <w:rsid w:val="00411EC1"/>
    <w:rsid w:val="004603CA"/>
    <w:rsid w:val="004B5114"/>
    <w:rsid w:val="00503C17"/>
    <w:rsid w:val="0055349D"/>
    <w:rsid w:val="00587E8F"/>
    <w:rsid w:val="005F792E"/>
    <w:rsid w:val="00600624"/>
    <w:rsid w:val="006038AB"/>
    <w:rsid w:val="00614963"/>
    <w:rsid w:val="006830A6"/>
    <w:rsid w:val="006850DD"/>
    <w:rsid w:val="006F27FC"/>
    <w:rsid w:val="0070159B"/>
    <w:rsid w:val="00712CBA"/>
    <w:rsid w:val="00726F2C"/>
    <w:rsid w:val="007424CC"/>
    <w:rsid w:val="00744149"/>
    <w:rsid w:val="00753CCA"/>
    <w:rsid w:val="007D0B37"/>
    <w:rsid w:val="007E7EC6"/>
    <w:rsid w:val="00811E6F"/>
    <w:rsid w:val="00834C2F"/>
    <w:rsid w:val="00881CF5"/>
    <w:rsid w:val="008D620B"/>
    <w:rsid w:val="008E7CF6"/>
    <w:rsid w:val="00937792"/>
    <w:rsid w:val="00965C0D"/>
    <w:rsid w:val="009F75AF"/>
    <w:rsid w:val="00A21497"/>
    <w:rsid w:val="00A61A41"/>
    <w:rsid w:val="00A83E69"/>
    <w:rsid w:val="00AC63ED"/>
    <w:rsid w:val="00AD0438"/>
    <w:rsid w:val="00AD7864"/>
    <w:rsid w:val="00AF62D1"/>
    <w:rsid w:val="00B423E8"/>
    <w:rsid w:val="00BB4B39"/>
    <w:rsid w:val="00BF59FB"/>
    <w:rsid w:val="00C03682"/>
    <w:rsid w:val="00C215AD"/>
    <w:rsid w:val="00C239B6"/>
    <w:rsid w:val="00C606E7"/>
    <w:rsid w:val="00C72D12"/>
    <w:rsid w:val="00C9733E"/>
    <w:rsid w:val="00CD2F90"/>
    <w:rsid w:val="00CD7CF2"/>
    <w:rsid w:val="00CE506A"/>
    <w:rsid w:val="00D00334"/>
    <w:rsid w:val="00D05EB8"/>
    <w:rsid w:val="00D16D4B"/>
    <w:rsid w:val="00E05A9E"/>
    <w:rsid w:val="00E17BAB"/>
    <w:rsid w:val="00E66067"/>
    <w:rsid w:val="00E92C94"/>
    <w:rsid w:val="00E935CF"/>
    <w:rsid w:val="00ED1A65"/>
    <w:rsid w:val="00F3735F"/>
    <w:rsid w:val="00F65D5F"/>
    <w:rsid w:val="00F72C7D"/>
    <w:rsid w:val="00FD01A5"/>
    <w:rsid w:val="00FE45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7827B97E2EF46B699090886EA67880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4F45DEEC9394C9AA31FCDC349B7532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D75296159C040E9935F429DB0927CF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8E6FE2-CA17-4A0F-9C57-E82A3F1437CF}">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12</Pages>
  <Words>4402</Words>
  <Characters>4725</Characters>
  <Lines>74</Lines>
  <Paragraphs>20</Paragraphs>
  <TotalTime>4</TotalTime>
  <ScaleCrop>false</ScaleCrop>
  <LinksUpToDate>false</LinksUpToDate>
  <CharactersWithSpaces>4866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2023-03-16T06:48:00Z</dcterms:created>
  <dc:creator>Administrator</dc:creator>
  <cp:lastModifiedBy>冯流莹</cp:lastModifiedBy>
  <cp:lastPrinted>2025-07-21T08:59:00Z</cp:lastPrinted>
  <dcterms:modified xsi:type="dcterms:W3CDTF">2025-07-30T12:23:33Z</dcterms:modified>
  <dc:title>团体标准</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2052-12.1.0.21915</vt:lpwstr>
  </property>
  <property fmtid="{D5CDD505-2E9C-101B-9397-08002B2CF9AE}" pid="16" name="ICV">
    <vt:lpwstr>33C502E81D8C4D02897BBA1B908D0A79_13</vt:lpwstr>
  </property>
  <property fmtid="{D5CDD505-2E9C-101B-9397-08002B2CF9AE}" pid="17" name="KSOTemplateDocerSaveRecord">
    <vt:lpwstr>eyJoZGlkIjoiOGFkZjVhNDJiMGExNWUxMjVmMmMwZDU4OWJmZWEzNzAiLCJ1c2VySWQiOiIyNDQ0MTQwMzQifQ==</vt:lpwstr>
  </property>
</Properties>
</file>