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92C6">
      <w:pPr>
        <w:jc w:val="center"/>
        <w:rPr>
          <w:rFonts w:hint="eastAsia" w:ascii="方正小标宋简体" w:eastAsia="方正小标宋简体" w:cs="仿宋_GB2312"/>
          <w:b w:val="0"/>
          <w:bCs/>
          <w:color w:val="000000"/>
          <w:sz w:val="36"/>
          <w:szCs w:val="32"/>
        </w:rPr>
      </w:pPr>
      <w:r>
        <w:rPr>
          <w:rFonts w:hint="eastAsia" w:ascii="方正小标宋简体" w:eastAsia="方正小标宋简体" w:cs="仿宋_GB2312"/>
          <w:b w:val="0"/>
          <w:bCs/>
          <w:color w:val="000000"/>
          <w:sz w:val="36"/>
          <w:szCs w:val="32"/>
        </w:rPr>
        <w:t>团体标准《</w:t>
      </w:r>
      <w:r>
        <w:rPr>
          <w:rFonts w:hint="eastAsia" w:ascii="方正小标宋简体" w:eastAsia="方正小标宋简体" w:cs="仿宋_GB2312"/>
          <w:b w:val="0"/>
          <w:bCs/>
          <w:color w:val="000000"/>
          <w:sz w:val="36"/>
          <w:szCs w:val="32"/>
          <w:lang w:eastAsia="zh-CN"/>
        </w:rPr>
        <w:t>帕金森病健康教育</w:t>
      </w:r>
      <w:r>
        <w:rPr>
          <w:rFonts w:hint="eastAsia" w:ascii="方正小标宋简体" w:eastAsia="方正小标宋简体" w:cs="仿宋_GB2312"/>
          <w:b w:val="0"/>
          <w:bCs/>
          <w:color w:val="000000"/>
          <w:sz w:val="36"/>
          <w:szCs w:val="32"/>
        </w:rPr>
        <w:t>规范》（</w:t>
      </w:r>
      <w:r>
        <w:rPr>
          <w:rFonts w:hint="eastAsia" w:ascii="方正小标宋简体" w:eastAsia="方正小标宋简体" w:cs="仿宋_GB2312"/>
          <w:b w:val="0"/>
          <w:bCs/>
          <w:color w:val="000000"/>
          <w:sz w:val="36"/>
          <w:szCs w:val="32"/>
          <w:lang w:val="en-US" w:eastAsia="zh-CN"/>
        </w:rPr>
        <w:t>征求意见</w:t>
      </w:r>
      <w:r>
        <w:rPr>
          <w:rFonts w:hint="eastAsia" w:ascii="方正小标宋简体" w:eastAsia="方正小标宋简体" w:cs="仿宋_GB2312"/>
          <w:b w:val="0"/>
          <w:bCs/>
          <w:color w:val="000000"/>
          <w:sz w:val="36"/>
          <w:szCs w:val="32"/>
        </w:rPr>
        <w:t>稿）</w:t>
      </w:r>
    </w:p>
    <w:p w14:paraId="3849E0FA">
      <w:pPr>
        <w:jc w:val="center"/>
        <w:rPr>
          <w:rFonts w:ascii="方正小标宋简体" w:eastAsia="方正小标宋简体" w:cs="仿宋_GB2312"/>
          <w:b w:val="0"/>
          <w:bCs/>
          <w:color w:val="000000"/>
          <w:sz w:val="36"/>
          <w:szCs w:val="32"/>
        </w:rPr>
      </w:pPr>
      <w:r>
        <w:rPr>
          <w:rFonts w:hint="eastAsia" w:ascii="方正小标宋简体" w:eastAsia="方正小标宋简体" w:cs="仿宋_GB2312"/>
          <w:b w:val="0"/>
          <w:bCs/>
          <w:color w:val="000000"/>
          <w:sz w:val="36"/>
          <w:szCs w:val="32"/>
        </w:rPr>
        <w:t>编制说明</w:t>
      </w:r>
    </w:p>
    <w:p w14:paraId="01B1F6BF">
      <w:pPr>
        <w:jc w:val="center"/>
        <w:rPr>
          <w:rFonts w:ascii="方正小标宋简体" w:eastAsia="方正小标宋简体" w:cs="仿宋_GB2312"/>
          <w:bCs/>
          <w:color w:val="000000"/>
          <w:sz w:val="18"/>
          <w:szCs w:val="18"/>
        </w:rPr>
      </w:pPr>
    </w:p>
    <w:p w14:paraId="3DA60CA7">
      <w:pPr>
        <w:spacing w:line="520" w:lineRule="exact"/>
        <w:ind w:firstLine="640" w:firstLineChars="200"/>
        <w:rPr>
          <w:rFonts w:ascii="黑体" w:eastAsia="黑体" w:cs="仿宋_GB2312"/>
          <w:bCs/>
          <w:sz w:val="32"/>
          <w:szCs w:val="32"/>
        </w:rPr>
      </w:pPr>
      <w:r>
        <w:rPr>
          <w:rFonts w:hint="eastAsia" w:ascii="黑体" w:eastAsia="黑体" w:cs="仿宋_GB2312"/>
          <w:sz w:val="32"/>
          <w:szCs w:val="32"/>
        </w:rPr>
        <w:t>一、任务来源、起草单位、主要起草人</w:t>
      </w:r>
    </w:p>
    <w:p w14:paraId="7AF89231">
      <w:pPr>
        <w:spacing w:line="520" w:lineRule="exact"/>
        <w:ind w:firstLine="560" w:firstLineChars="200"/>
        <w:rPr>
          <w:rFonts w:ascii="仿宋_GB2312" w:eastAsia="仿宋_GB2312"/>
          <w:sz w:val="28"/>
          <w:szCs w:val="28"/>
        </w:rPr>
      </w:pPr>
      <w:r>
        <w:rPr>
          <w:rFonts w:hint="eastAsia" w:ascii="仿宋_GB2312" w:eastAsia="仿宋_GB2312"/>
          <w:sz w:val="28"/>
          <w:szCs w:val="28"/>
        </w:rPr>
        <w:t>根据《广西标准化协会关于下达2025年第十</w:t>
      </w:r>
      <w:r>
        <w:rPr>
          <w:rFonts w:hint="eastAsia" w:ascii="仿宋_GB2312" w:eastAsia="仿宋_GB2312"/>
          <w:sz w:val="28"/>
          <w:szCs w:val="28"/>
          <w:lang w:eastAsia="zh-CN"/>
        </w:rPr>
        <w:t>八</w:t>
      </w:r>
      <w:r>
        <w:rPr>
          <w:rFonts w:hint="eastAsia" w:ascii="仿宋_GB2312" w:eastAsia="仿宋_GB2312"/>
          <w:sz w:val="28"/>
          <w:szCs w:val="28"/>
        </w:rPr>
        <w:t>批团体标准制修订项目计划的通知》（桂标协〔2025〕</w:t>
      </w:r>
      <w:r>
        <w:rPr>
          <w:rFonts w:hint="eastAsia" w:ascii="仿宋_GB2312" w:eastAsia="仿宋_GB2312"/>
          <w:sz w:val="28"/>
          <w:szCs w:val="28"/>
          <w:lang w:val="en-US" w:eastAsia="zh-CN"/>
        </w:rPr>
        <w:t>140</w:t>
      </w:r>
      <w:r>
        <w:rPr>
          <w:rFonts w:hint="eastAsia" w:ascii="仿宋_GB2312" w:eastAsia="仿宋_GB2312"/>
          <w:sz w:val="28"/>
          <w:szCs w:val="28"/>
        </w:rPr>
        <w:t>号）精神，由广西护理学会提出，广西中医药大学附属瑞康医院、广西医科大学第二附属医院、柳州市中医医院、桂林市中医医院、桂林市中西医结合医院等单位共同起草的团体标准《</w:t>
      </w:r>
      <w:r>
        <w:rPr>
          <w:rFonts w:hint="eastAsia" w:ascii="仿宋_GB2312" w:eastAsia="仿宋_GB2312"/>
          <w:sz w:val="28"/>
          <w:szCs w:val="28"/>
          <w:lang w:eastAsia="zh-CN"/>
        </w:rPr>
        <w:t>帕金森病健康教育</w:t>
      </w:r>
      <w:r>
        <w:rPr>
          <w:rFonts w:hint="eastAsia" w:ascii="仿宋_GB2312" w:eastAsia="仿宋_GB2312"/>
          <w:sz w:val="28"/>
          <w:szCs w:val="28"/>
        </w:rPr>
        <w:t>规范》（项目编号：2025-1006），已获立项。</w:t>
      </w:r>
    </w:p>
    <w:p w14:paraId="64F997F9">
      <w:pPr>
        <w:spacing w:line="520" w:lineRule="exact"/>
        <w:ind w:firstLine="560" w:firstLineChars="200"/>
        <w:rPr>
          <w:rFonts w:hint="eastAsia" w:ascii="仿宋_GB2312" w:eastAsia="仿宋_GB2312"/>
          <w:color w:val="0000FF"/>
          <w:sz w:val="32"/>
          <w:szCs w:val="32"/>
          <w:lang w:eastAsia="zh-CN"/>
        </w:rPr>
      </w:pPr>
      <w:r>
        <w:rPr>
          <w:rFonts w:hint="eastAsia" w:ascii="仿宋_GB2312" w:eastAsia="仿宋_GB2312"/>
          <w:sz w:val="28"/>
          <w:szCs w:val="28"/>
        </w:rPr>
        <w:t>为高质量编制团体标准《</w:t>
      </w:r>
      <w:r>
        <w:rPr>
          <w:rFonts w:hint="eastAsia" w:ascii="仿宋_GB2312" w:eastAsia="仿宋_GB2312"/>
          <w:sz w:val="28"/>
          <w:szCs w:val="28"/>
          <w:lang w:eastAsia="zh-CN"/>
        </w:rPr>
        <w:t>帕金森病健康教育</w:t>
      </w:r>
      <w:r>
        <w:rPr>
          <w:rFonts w:hint="eastAsia" w:ascii="仿宋_GB2312" w:eastAsia="仿宋_GB2312"/>
          <w:sz w:val="28"/>
          <w:szCs w:val="28"/>
        </w:rPr>
        <w:t>规范》，由起草单位成立标准编制工作组并进行如下分工：</w:t>
      </w:r>
    </w:p>
    <w:tbl>
      <w:tblPr>
        <w:tblStyle w:val="14"/>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536"/>
        <w:gridCol w:w="984"/>
        <w:gridCol w:w="1970"/>
        <w:gridCol w:w="3643"/>
      </w:tblGrid>
      <w:tr w14:paraId="7CD5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0EA6E2F3">
            <w:pPr>
              <w:jc w:val="center"/>
              <w:rPr>
                <w:rFonts w:ascii="仿宋" w:hAnsi="仿宋" w:eastAsia="仿宋" w:cs="仿宋"/>
                <w:b/>
                <w:sz w:val="24"/>
              </w:rPr>
            </w:pPr>
            <w:r>
              <w:rPr>
                <w:rFonts w:hint="eastAsia" w:ascii="仿宋" w:hAnsi="仿宋" w:eastAsia="仿宋" w:cs="仿宋"/>
                <w:b/>
                <w:sz w:val="24"/>
              </w:rPr>
              <w:t>姓名</w:t>
            </w:r>
          </w:p>
        </w:tc>
        <w:tc>
          <w:tcPr>
            <w:tcW w:w="1536" w:type="dxa"/>
            <w:tcBorders>
              <w:top w:val="single" w:color="auto" w:sz="4" w:space="0"/>
              <w:left w:val="single" w:color="auto" w:sz="4" w:space="0"/>
              <w:bottom w:val="single" w:color="auto" w:sz="4" w:space="0"/>
              <w:right w:val="single" w:color="auto" w:sz="4" w:space="0"/>
            </w:tcBorders>
            <w:vAlign w:val="center"/>
          </w:tcPr>
          <w:p w14:paraId="56BC08D5">
            <w:pPr>
              <w:jc w:val="center"/>
              <w:rPr>
                <w:rFonts w:ascii="仿宋" w:hAnsi="仿宋" w:eastAsia="仿宋" w:cs="仿宋"/>
                <w:b/>
                <w:sz w:val="24"/>
              </w:rPr>
            </w:pPr>
            <w:r>
              <w:rPr>
                <w:rFonts w:hint="eastAsia" w:ascii="仿宋" w:hAnsi="仿宋" w:eastAsia="仿宋" w:cs="仿宋"/>
                <w:b/>
                <w:sz w:val="24"/>
              </w:rPr>
              <w:t>职务/职称</w:t>
            </w:r>
          </w:p>
        </w:tc>
        <w:tc>
          <w:tcPr>
            <w:tcW w:w="984" w:type="dxa"/>
            <w:tcBorders>
              <w:top w:val="single" w:color="auto" w:sz="4" w:space="0"/>
              <w:left w:val="single" w:color="auto" w:sz="4" w:space="0"/>
              <w:bottom w:val="single" w:color="auto" w:sz="4" w:space="0"/>
              <w:right w:val="single" w:color="auto" w:sz="4" w:space="0"/>
            </w:tcBorders>
            <w:vAlign w:val="center"/>
          </w:tcPr>
          <w:p w14:paraId="7579093F">
            <w:pPr>
              <w:jc w:val="center"/>
              <w:rPr>
                <w:rFonts w:ascii="仿宋" w:hAnsi="仿宋" w:eastAsia="仿宋" w:cs="仿宋"/>
                <w:b/>
                <w:sz w:val="24"/>
              </w:rPr>
            </w:pPr>
            <w:r>
              <w:rPr>
                <w:rFonts w:hint="eastAsia" w:ascii="仿宋" w:hAnsi="仿宋" w:eastAsia="仿宋" w:cs="仿宋"/>
                <w:b/>
                <w:sz w:val="24"/>
              </w:rPr>
              <w:t>从事</w:t>
            </w:r>
          </w:p>
          <w:p w14:paraId="77F36A20">
            <w:pPr>
              <w:jc w:val="center"/>
              <w:rPr>
                <w:rFonts w:ascii="仿宋" w:hAnsi="仿宋" w:eastAsia="仿宋" w:cs="仿宋"/>
                <w:b/>
                <w:sz w:val="24"/>
              </w:rPr>
            </w:pPr>
            <w:r>
              <w:rPr>
                <w:rFonts w:hint="eastAsia" w:ascii="仿宋" w:hAnsi="仿宋" w:eastAsia="仿宋" w:cs="仿宋"/>
                <w:b/>
                <w:sz w:val="24"/>
              </w:rPr>
              <w:t>专业</w:t>
            </w:r>
          </w:p>
        </w:tc>
        <w:tc>
          <w:tcPr>
            <w:tcW w:w="1970" w:type="dxa"/>
            <w:tcBorders>
              <w:top w:val="single" w:color="auto" w:sz="4" w:space="0"/>
              <w:left w:val="single" w:color="auto" w:sz="4" w:space="0"/>
              <w:bottom w:val="single" w:color="auto" w:sz="4" w:space="0"/>
              <w:right w:val="single" w:color="auto" w:sz="4" w:space="0"/>
            </w:tcBorders>
            <w:vAlign w:val="center"/>
          </w:tcPr>
          <w:p w14:paraId="43D85D77">
            <w:pPr>
              <w:jc w:val="center"/>
              <w:rPr>
                <w:rFonts w:ascii="仿宋" w:hAnsi="仿宋" w:eastAsia="仿宋" w:cs="仿宋"/>
                <w:b/>
                <w:sz w:val="24"/>
              </w:rPr>
            </w:pPr>
            <w:r>
              <w:rPr>
                <w:rFonts w:hint="eastAsia" w:ascii="仿宋" w:hAnsi="仿宋" w:eastAsia="仿宋" w:cs="仿宋"/>
                <w:b/>
                <w:sz w:val="24"/>
              </w:rPr>
              <w:t>工作单位</w:t>
            </w:r>
          </w:p>
        </w:tc>
        <w:tc>
          <w:tcPr>
            <w:tcW w:w="3643" w:type="dxa"/>
            <w:tcBorders>
              <w:top w:val="single" w:color="auto" w:sz="4" w:space="0"/>
              <w:left w:val="single" w:color="auto" w:sz="4" w:space="0"/>
              <w:bottom w:val="single" w:color="auto" w:sz="4" w:space="0"/>
              <w:right w:val="single" w:color="auto" w:sz="4" w:space="0"/>
            </w:tcBorders>
            <w:vAlign w:val="center"/>
          </w:tcPr>
          <w:p w14:paraId="5465A466">
            <w:pPr>
              <w:jc w:val="left"/>
              <w:rPr>
                <w:rFonts w:ascii="仿宋" w:hAnsi="仿宋" w:eastAsia="仿宋" w:cs="仿宋"/>
                <w:b/>
                <w:sz w:val="24"/>
              </w:rPr>
            </w:pPr>
            <w:r>
              <w:rPr>
                <w:rFonts w:hint="eastAsia" w:ascii="仿宋" w:hAnsi="仿宋" w:eastAsia="仿宋" w:cs="仿宋"/>
                <w:b/>
                <w:sz w:val="24"/>
              </w:rPr>
              <w:t>主要负责工作</w:t>
            </w:r>
          </w:p>
        </w:tc>
      </w:tr>
      <w:tr w14:paraId="17533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73CCF11F">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金  婕</w:t>
            </w:r>
          </w:p>
        </w:tc>
        <w:tc>
          <w:tcPr>
            <w:tcW w:w="1536" w:type="dxa"/>
            <w:tcBorders>
              <w:top w:val="single" w:color="auto" w:sz="4" w:space="0"/>
              <w:left w:val="single" w:color="auto" w:sz="4" w:space="0"/>
              <w:bottom w:val="single" w:color="auto" w:sz="4" w:space="0"/>
              <w:right w:val="single" w:color="auto" w:sz="4" w:space="0"/>
            </w:tcBorders>
            <w:vAlign w:val="center"/>
          </w:tcPr>
          <w:p w14:paraId="763B2148">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护理部副主任/主任护师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036E51B7">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4A001803">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vAlign w:val="center"/>
          </w:tcPr>
          <w:p w14:paraId="34736F8D">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53B7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3F7A1F0F">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龙秀红</w:t>
            </w:r>
          </w:p>
        </w:tc>
        <w:tc>
          <w:tcPr>
            <w:tcW w:w="1536" w:type="dxa"/>
            <w:tcBorders>
              <w:top w:val="single" w:color="auto" w:sz="4" w:space="0"/>
              <w:left w:val="single" w:color="auto" w:sz="4" w:space="0"/>
              <w:bottom w:val="single" w:color="auto" w:sz="4" w:space="0"/>
              <w:right w:val="single" w:color="auto" w:sz="4" w:space="0"/>
            </w:tcBorders>
            <w:vAlign w:val="center"/>
          </w:tcPr>
          <w:p w14:paraId="618A5064">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护理总督导/主任护师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01B9A72A">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40624BAC">
            <w:pPr>
              <w:jc w:val="center"/>
              <w:rPr>
                <w:rFonts w:hint="eastAsia"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vAlign w:val="center"/>
          </w:tcPr>
          <w:p w14:paraId="0F1A6D55">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参与标准文本及编制说明编写，质量控制</w:t>
            </w:r>
          </w:p>
        </w:tc>
      </w:tr>
      <w:tr w14:paraId="259AE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472CCBD">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涂惠琼</w:t>
            </w:r>
          </w:p>
        </w:tc>
        <w:tc>
          <w:tcPr>
            <w:tcW w:w="1536" w:type="dxa"/>
            <w:tcBorders>
              <w:top w:val="single" w:color="auto" w:sz="4" w:space="0"/>
              <w:left w:val="single" w:color="auto" w:sz="4" w:space="0"/>
              <w:bottom w:val="single" w:color="auto" w:sz="4" w:space="0"/>
              <w:right w:val="single" w:color="auto" w:sz="4" w:space="0"/>
            </w:tcBorders>
            <w:vAlign w:val="center"/>
          </w:tcPr>
          <w:p w14:paraId="461EF5FE">
            <w:pPr>
              <w:jc w:val="center"/>
              <w:rPr>
                <w:rFonts w:hint="eastAsia" w:ascii="仿宋_GB2312" w:hAnsi="仿宋" w:eastAsia="仿宋_GB2312" w:cs="仿宋"/>
                <w:sz w:val="24"/>
                <w:lang w:eastAsia="zh-CN"/>
              </w:rPr>
            </w:pPr>
            <w:r>
              <w:rPr>
                <w:rFonts w:hint="eastAsia" w:ascii="仿宋_GB2312" w:hAnsi="仿宋" w:eastAsia="仿宋_GB2312" w:cs="仿宋"/>
                <w:sz w:val="24"/>
                <w:lang w:val="en-US" w:eastAsia="zh-CN"/>
              </w:rPr>
              <w:t>护理部副主任（主持工作）/主任护师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38084842">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07EE997B">
            <w:pPr>
              <w:jc w:val="center"/>
              <w:rPr>
                <w:rFonts w:hint="eastAsia"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vAlign w:val="center"/>
          </w:tcPr>
          <w:p w14:paraId="1442D893">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参与标准文本及编制说明编写，质量控制</w:t>
            </w:r>
          </w:p>
        </w:tc>
      </w:tr>
      <w:tr w14:paraId="2B581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0F557DA9">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文晓东</w:t>
            </w:r>
          </w:p>
        </w:tc>
        <w:tc>
          <w:tcPr>
            <w:tcW w:w="1536" w:type="dxa"/>
            <w:tcBorders>
              <w:top w:val="single" w:color="auto" w:sz="4" w:space="0"/>
              <w:left w:val="single" w:color="auto" w:sz="4" w:space="0"/>
              <w:bottom w:val="single" w:color="auto" w:sz="4" w:space="0"/>
              <w:right w:val="single" w:color="auto" w:sz="4" w:space="0"/>
            </w:tcBorders>
            <w:vAlign w:val="center"/>
          </w:tcPr>
          <w:p w14:paraId="68EC7617">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主任医师</w:t>
            </w:r>
          </w:p>
        </w:tc>
        <w:tc>
          <w:tcPr>
            <w:tcW w:w="984" w:type="dxa"/>
            <w:tcBorders>
              <w:top w:val="single" w:color="auto" w:sz="4" w:space="0"/>
              <w:left w:val="single" w:color="auto" w:sz="4" w:space="0"/>
              <w:bottom w:val="single" w:color="auto" w:sz="4" w:space="0"/>
              <w:right w:val="single" w:color="auto" w:sz="4" w:space="0"/>
            </w:tcBorders>
            <w:vAlign w:val="center"/>
          </w:tcPr>
          <w:p w14:paraId="3538020F">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医疗</w:t>
            </w:r>
          </w:p>
        </w:tc>
        <w:tc>
          <w:tcPr>
            <w:tcW w:w="1970" w:type="dxa"/>
            <w:tcBorders>
              <w:top w:val="single" w:color="auto" w:sz="4" w:space="0"/>
              <w:left w:val="single" w:color="auto" w:sz="4" w:space="0"/>
              <w:bottom w:val="single" w:color="auto" w:sz="4" w:space="0"/>
              <w:right w:val="single" w:color="auto" w:sz="4" w:space="0"/>
            </w:tcBorders>
            <w:vAlign w:val="center"/>
          </w:tcPr>
          <w:p w14:paraId="68B9DA10">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vAlign w:val="center"/>
          </w:tcPr>
          <w:p w14:paraId="70F88D9D">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参与标准编制工作，组织人员进行标准发布后的宣贯培训</w:t>
            </w:r>
          </w:p>
        </w:tc>
      </w:tr>
      <w:tr w14:paraId="1C51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236768DB">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卢建政</w:t>
            </w:r>
          </w:p>
        </w:tc>
        <w:tc>
          <w:tcPr>
            <w:tcW w:w="1536" w:type="dxa"/>
            <w:tcBorders>
              <w:top w:val="single" w:color="auto" w:sz="4" w:space="0"/>
              <w:left w:val="single" w:color="auto" w:sz="4" w:space="0"/>
              <w:bottom w:val="single" w:color="auto" w:sz="4" w:space="0"/>
              <w:right w:val="single" w:color="auto" w:sz="4" w:space="0"/>
            </w:tcBorders>
            <w:vAlign w:val="center"/>
          </w:tcPr>
          <w:p w14:paraId="72CAD09E">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副主任医师</w:t>
            </w:r>
          </w:p>
        </w:tc>
        <w:tc>
          <w:tcPr>
            <w:tcW w:w="984" w:type="dxa"/>
            <w:tcBorders>
              <w:top w:val="single" w:color="auto" w:sz="4" w:space="0"/>
              <w:left w:val="single" w:color="auto" w:sz="4" w:space="0"/>
              <w:bottom w:val="single" w:color="auto" w:sz="4" w:space="0"/>
              <w:right w:val="single" w:color="auto" w:sz="4" w:space="0"/>
            </w:tcBorders>
            <w:vAlign w:val="center"/>
          </w:tcPr>
          <w:p w14:paraId="4E7623DC">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医疗</w:t>
            </w:r>
          </w:p>
        </w:tc>
        <w:tc>
          <w:tcPr>
            <w:tcW w:w="1970" w:type="dxa"/>
            <w:tcBorders>
              <w:top w:val="single" w:color="auto" w:sz="4" w:space="0"/>
              <w:left w:val="single" w:color="auto" w:sz="4" w:space="0"/>
              <w:bottom w:val="single" w:color="auto" w:sz="4" w:space="0"/>
              <w:right w:val="single" w:color="auto" w:sz="4" w:space="0"/>
            </w:tcBorders>
            <w:vAlign w:val="center"/>
          </w:tcPr>
          <w:p w14:paraId="534B1893">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vAlign w:val="center"/>
          </w:tcPr>
          <w:p w14:paraId="46368C05">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参与标准文本及编制说明编写，质量控制</w:t>
            </w:r>
          </w:p>
        </w:tc>
      </w:tr>
      <w:tr w14:paraId="4C4E2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8B2729D">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杨甜甜</w:t>
            </w:r>
          </w:p>
        </w:tc>
        <w:tc>
          <w:tcPr>
            <w:tcW w:w="1536" w:type="dxa"/>
            <w:tcBorders>
              <w:top w:val="single" w:color="auto" w:sz="4" w:space="0"/>
              <w:left w:val="single" w:color="auto" w:sz="4" w:space="0"/>
              <w:bottom w:val="single" w:color="auto" w:sz="4" w:space="0"/>
              <w:right w:val="single" w:color="auto" w:sz="4" w:space="0"/>
            </w:tcBorders>
            <w:vAlign w:val="center"/>
          </w:tcPr>
          <w:p w14:paraId="16FCC092">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护士长/主管护师</w:t>
            </w:r>
          </w:p>
        </w:tc>
        <w:tc>
          <w:tcPr>
            <w:tcW w:w="984" w:type="dxa"/>
            <w:tcBorders>
              <w:top w:val="single" w:color="auto" w:sz="4" w:space="0"/>
              <w:left w:val="single" w:color="auto" w:sz="4" w:space="0"/>
              <w:bottom w:val="single" w:color="auto" w:sz="4" w:space="0"/>
              <w:right w:val="single" w:color="auto" w:sz="4" w:space="0"/>
            </w:tcBorders>
            <w:vAlign w:val="center"/>
          </w:tcPr>
          <w:p w14:paraId="661B39AF">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131C1AE8">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vAlign w:val="center"/>
          </w:tcPr>
          <w:p w14:paraId="7743CC7C">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1BF1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CE12855">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银星凤</w:t>
            </w:r>
          </w:p>
        </w:tc>
        <w:tc>
          <w:tcPr>
            <w:tcW w:w="1536" w:type="dxa"/>
            <w:tcBorders>
              <w:top w:val="single" w:color="auto" w:sz="4" w:space="0"/>
              <w:left w:val="single" w:color="auto" w:sz="4" w:space="0"/>
              <w:bottom w:val="single" w:color="auto" w:sz="4" w:space="0"/>
              <w:right w:val="single" w:color="auto" w:sz="4" w:space="0"/>
            </w:tcBorders>
            <w:vAlign w:val="center"/>
          </w:tcPr>
          <w:p w14:paraId="63DF79BD">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护士长/副主任护师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0E641B61">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2D76CBB6">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345E6363">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1FFC9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354F3F17">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周晓燕</w:t>
            </w:r>
          </w:p>
        </w:tc>
        <w:tc>
          <w:tcPr>
            <w:tcW w:w="1536" w:type="dxa"/>
            <w:tcBorders>
              <w:top w:val="single" w:color="auto" w:sz="4" w:space="0"/>
              <w:left w:val="single" w:color="auto" w:sz="4" w:space="0"/>
              <w:bottom w:val="single" w:color="auto" w:sz="4" w:space="0"/>
              <w:right w:val="single" w:color="auto" w:sz="4" w:space="0"/>
            </w:tcBorders>
            <w:vAlign w:val="center"/>
          </w:tcPr>
          <w:p w14:paraId="30C3B8A9">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护士长/副主任护师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619BF43B">
            <w:pPr>
              <w:jc w:val="center"/>
              <w:rPr>
                <w:rFonts w:hint="eastAsia" w:ascii="仿宋_GB2312" w:hAnsi="仿宋" w:eastAsia="仿宋_GB2312" w:cs="仿宋"/>
                <w:sz w:val="24"/>
                <w:lang w:eastAsia="zh-CN"/>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38D0EFBC">
            <w:pPr>
              <w:jc w:val="center"/>
              <w:rPr>
                <w:rFonts w:hint="eastAsia"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6AB9529C">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003BE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080063E1">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李江兰</w:t>
            </w:r>
          </w:p>
        </w:tc>
        <w:tc>
          <w:tcPr>
            <w:tcW w:w="1536" w:type="dxa"/>
            <w:tcBorders>
              <w:top w:val="single" w:color="auto" w:sz="4" w:space="0"/>
              <w:left w:val="single" w:color="auto" w:sz="4" w:space="0"/>
              <w:bottom w:val="single" w:color="auto" w:sz="4" w:space="0"/>
              <w:right w:val="single" w:color="auto" w:sz="4" w:space="0"/>
            </w:tcBorders>
            <w:vAlign w:val="center"/>
          </w:tcPr>
          <w:p w14:paraId="4E1F4D0A">
            <w:pPr>
              <w:jc w:val="center"/>
              <w:rPr>
                <w:rFonts w:ascii="仿宋_GB2312" w:hAnsi="仿宋" w:eastAsia="仿宋_GB2312" w:cs="仿宋"/>
                <w:sz w:val="24"/>
              </w:rPr>
            </w:pPr>
            <w:r>
              <w:rPr>
                <w:rFonts w:hint="eastAsia" w:ascii="仿宋_GB2312" w:hAnsi="仿宋" w:eastAsia="仿宋_GB2312" w:cs="仿宋"/>
                <w:sz w:val="24"/>
                <w:lang w:val="en-US" w:eastAsia="zh-CN"/>
              </w:rPr>
              <w:t>副护士长/副主任护师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689B6168">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41FE0637">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1FA72E2B">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7C88F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7B1A8E82">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范葵钰</w:t>
            </w:r>
          </w:p>
        </w:tc>
        <w:tc>
          <w:tcPr>
            <w:tcW w:w="1536" w:type="dxa"/>
            <w:tcBorders>
              <w:top w:val="single" w:color="auto" w:sz="4" w:space="0"/>
              <w:left w:val="single" w:color="auto" w:sz="4" w:space="0"/>
              <w:bottom w:val="single" w:color="auto" w:sz="4" w:space="0"/>
              <w:right w:val="single" w:color="auto" w:sz="4" w:space="0"/>
            </w:tcBorders>
            <w:vAlign w:val="center"/>
          </w:tcPr>
          <w:p w14:paraId="2C014AAB">
            <w:pPr>
              <w:jc w:val="center"/>
              <w:rPr>
                <w:rFonts w:ascii="仿宋_GB2312" w:hAnsi="仿宋" w:eastAsia="仿宋_GB2312" w:cs="仿宋"/>
                <w:sz w:val="24"/>
              </w:rPr>
            </w:pPr>
            <w:r>
              <w:rPr>
                <w:rFonts w:hint="eastAsia" w:ascii="仿宋_GB2312" w:hAnsi="仿宋" w:eastAsia="仿宋_GB2312" w:cs="仿宋"/>
                <w:sz w:val="24"/>
                <w:lang w:val="en-US" w:eastAsia="zh-CN"/>
              </w:rPr>
              <w:t>护士长/副主任护师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12000355">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6D9BC271">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1D555BA2">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036C9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5643295F">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蒋圆圆</w:t>
            </w:r>
          </w:p>
        </w:tc>
        <w:tc>
          <w:tcPr>
            <w:tcW w:w="1536" w:type="dxa"/>
            <w:tcBorders>
              <w:top w:val="single" w:color="auto" w:sz="4" w:space="0"/>
              <w:left w:val="single" w:color="auto" w:sz="4" w:space="0"/>
              <w:bottom w:val="single" w:color="auto" w:sz="4" w:space="0"/>
              <w:right w:val="single" w:color="auto" w:sz="4" w:space="0"/>
            </w:tcBorders>
            <w:vAlign w:val="center"/>
          </w:tcPr>
          <w:p w14:paraId="52F15997">
            <w:pPr>
              <w:jc w:val="center"/>
              <w:rPr>
                <w:rFonts w:ascii="仿宋_GB2312" w:hAnsi="仿宋" w:eastAsia="仿宋_GB2312" w:cs="仿宋"/>
                <w:sz w:val="24"/>
              </w:rPr>
            </w:pPr>
            <w:r>
              <w:rPr>
                <w:rFonts w:hint="eastAsia" w:ascii="仿宋_GB2312" w:hAnsi="仿宋" w:eastAsia="仿宋_GB2312" w:cs="仿宋"/>
                <w:sz w:val="24"/>
                <w:lang w:val="en-US" w:eastAsia="zh-CN"/>
              </w:rPr>
              <w:t>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5E3C5B10">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7BD37DE9">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34B9E7B9">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57FB8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6C43105">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钟灿华</w:t>
            </w:r>
          </w:p>
        </w:tc>
        <w:tc>
          <w:tcPr>
            <w:tcW w:w="1536" w:type="dxa"/>
            <w:tcBorders>
              <w:top w:val="single" w:color="auto" w:sz="4" w:space="0"/>
              <w:left w:val="single" w:color="auto" w:sz="4" w:space="0"/>
              <w:bottom w:val="single" w:color="auto" w:sz="4" w:space="0"/>
              <w:right w:val="single" w:color="auto" w:sz="4" w:space="0"/>
            </w:tcBorders>
            <w:vAlign w:val="center"/>
          </w:tcPr>
          <w:p w14:paraId="00EE6607">
            <w:pPr>
              <w:jc w:val="center"/>
              <w:rPr>
                <w:rFonts w:ascii="仿宋_GB2312" w:hAnsi="仿宋" w:eastAsia="仿宋_GB2312" w:cs="仿宋"/>
                <w:sz w:val="24"/>
              </w:rPr>
            </w:pPr>
            <w:r>
              <w:rPr>
                <w:rFonts w:hint="eastAsia" w:ascii="仿宋_GB2312" w:hAnsi="仿宋" w:eastAsia="仿宋_GB2312" w:cs="仿宋"/>
                <w:sz w:val="24"/>
                <w:lang w:val="en-US" w:eastAsia="zh-CN"/>
              </w:rPr>
              <w:t>护士长/副主任护师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7D7DEAE6">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6B3F50B0">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69899074">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32B1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5910C3E">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李芯睿</w:t>
            </w:r>
          </w:p>
        </w:tc>
        <w:tc>
          <w:tcPr>
            <w:tcW w:w="1536" w:type="dxa"/>
            <w:tcBorders>
              <w:top w:val="single" w:color="auto" w:sz="4" w:space="0"/>
              <w:left w:val="single" w:color="auto" w:sz="4" w:space="0"/>
              <w:bottom w:val="single" w:color="auto" w:sz="4" w:space="0"/>
              <w:right w:val="single" w:color="auto" w:sz="4" w:space="0"/>
            </w:tcBorders>
            <w:vAlign w:val="center"/>
          </w:tcPr>
          <w:p w14:paraId="23BEB794">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科护士长/副主任护师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527F496B">
            <w:pPr>
              <w:jc w:val="center"/>
              <w:rPr>
                <w:rFonts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25F287C3">
            <w:pPr>
              <w:jc w:val="center"/>
              <w:rPr>
                <w:rFonts w:ascii="仿宋_GB2312" w:hAnsi="仿宋" w:eastAsia="仿宋_GB2312" w:cs="仿宋"/>
                <w:sz w:val="24"/>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517AE6A9">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79EB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4DEE484">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李莉娟</w:t>
            </w:r>
          </w:p>
        </w:tc>
        <w:tc>
          <w:tcPr>
            <w:tcW w:w="1536" w:type="dxa"/>
            <w:tcBorders>
              <w:top w:val="single" w:color="auto" w:sz="4" w:space="0"/>
              <w:left w:val="single" w:color="auto" w:sz="4" w:space="0"/>
              <w:bottom w:val="single" w:color="auto" w:sz="4" w:space="0"/>
              <w:right w:val="single" w:color="auto" w:sz="4" w:space="0"/>
            </w:tcBorders>
            <w:vAlign w:val="center"/>
          </w:tcPr>
          <w:p w14:paraId="77D1AF84">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主管护师</w:t>
            </w:r>
          </w:p>
        </w:tc>
        <w:tc>
          <w:tcPr>
            <w:tcW w:w="984" w:type="dxa"/>
            <w:tcBorders>
              <w:top w:val="single" w:color="auto" w:sz="4" w:space="0"/>
              <w:left w:val="single" w:color="auto" w:sz="4" w:space="0"/>
              <w:bottom w:val="single" w:color="auto" w:sz="4" w:space="0"/>
              <w:right w:val="single" w:color="auto" w:sz="4" w:space="0"/>
            </w:tcBorders>
            <w:vAlign w:val="center"/>
          </w:tcPr>
          <w:p w14:paraId="6909E4CB">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04304FBB">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55ED2F10">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0323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C1A993D">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李  琪</w:t>
            </w:r>
          </w:p>
        </w:tc>
        <w:tc>
          <w:tcPr>
            <w:tcW w:w="1536" w:type="dxa"/>
            <w:tcBorders>
              <w:top w:val="single" w:color="auto" w:sz="4" w:space="0"/>
              <w:left w:val="single" w:color="auto" w:sz="4" w:space="0"/>
              <w:bottom w:val="single" w:color="auto" w:sz="4" w:space="0"/>
              <w:right w:val="single" w:color="auto" w:sz="4" w:space="0"/>
            </w:tcBorders>
            <w:vAlign w:val="center"/>
          </w:tcPr>
          <w:p w14:paraId="2FE3DE9E">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主管护师</w:t>
            </w:r>
          </w:p>
        </w:tc>
        <w:tc>
          <w:tcPr>
            <w:tcW w:w="984" w:type="dxa"/>
            <w:tcBorders>
              <w:top w:val="single" w:color="auto" w:sz="4" w:space="0"/>
              <w:left w:val="single" w:color="auto" w:sz="4" w:space="0"/>
              <w:bottom w:val="single" w:color="auto" w:sz="4" w:space="0"/>
              <w:right w:val="single" w:color="auto" w:sz="4" w:space="0"/>
            </w:tcBorders>
            <w:vAlign w:val="center"/>
          </w:tcPr>
          <w:p w14:paraId="7CBE825C">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413ACDA9">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6B1A0203">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284F6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38A11041">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张秋丽</w:t>
            </w:r>
          </w:p>
        </w:tc>
        <w:tc>
          <w:tcPr>
            <w:tcW w:w="1536" w:type="dxa"/>
            <w:tcBorders>
              <w:top w:val="single" w:color="auto" w:sz="4" w:space="0"/>
              <w:left w:val="single" w:color="auto" w:sz="4" w:space="0"/>
              <w:bottom w:val="single" w:color="auto" w:sz="4" w:space="0"/>
              <w:right w:val="single" w:color="auto" w:sz="4" w:space="0"/>
            </w:tcBorders>
            <w:vAlign w:val="center"/>
          </w:tcPr>
          <w:p w14:paraId="3A492994">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副主任护师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04F25B62">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71105115">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广西中医药大学附属瑞康医院</w:t>
            </w:r>
          </w:p>
        </w:tc>
        <w:tc>
          <w:tcPr>
            <w:tcW w:w="3643" w:type="dxa"/>
            <w:tcBorders>
              <w:top w:val="single" w:color="auto" w:sz="4" w:space="0"/>
              <w:left w:val="single" w:color="auto" w:sz="4" w:space="0"/>
              <w:bottom w:val="single" w:color="auto" w:sz="4" w:space="0"/>
              <w:right w:val="single" w:color="auto" w:sz="4" w:space="0"/>
            </w:tcBorders>
          </w:tcPr>
          <w:p w14:paraId="6A9E71C0">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7988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93C2CD4">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黄宇霞</w:t>
            </w:r>
          </w:p>
        </w:tc>
        <w:tc>
          <w:tcPr>
            <w:tcW w:w="1536" w:type="dxa"/>
            <w:tcBorders>
              <w:top w:val="single" w:color="auto" w:sz="4" w:space="0"/>
              <w:left w:val="single" w:color="auto" w:sz="4" w:space="0"/>
              <w:bottom w:val="single" w:color="auto" w:sz="4" w:space="0"/>
              <w:right w:val="single" w:color="auto" w:sz="4" w:space="0"/>
            </w:tcBorders>
            <w:vAlign w:val="center"/>
          </w:tcPr>
          <w:p w14:paraId="3F334BDA">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护理部主任/主任护师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234199E1">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54275644">
            <w:pPr>
              <w:jc w:val="center"/>
              <w:rPr>
                <w:rFonts w:hint="default" w:ascii="仿宋_GB2312" w:hAnsi="仿宋" w:eastAsia="仿宋_GB2312" w:cs="仿宋"/>
                <w:sz w:val="24"/>
                <w:lang w:val="en-US"/>
              </w:rPr>
            </w:pPr>
            <w:r>
              <w:rPr>
                <w:rFonts w:hint="eastAsia" w:ascii="仿宋_GB2312" w:hAnsi="仿宋" w:eastAsia="仿宋_GB2312" w:cs="仿宋"/>
                <w:sz w:val="24"/>
                <w:lang w:val="en-US" w:eastAsia="zh-CN"/>
              </w:rPr>
              <w:t>柳州市人民医院</w:t>
            </w:r>
          </w:p>
        </w:tc>
        <w:tc>
          <w:tcPr>
            <w:tcW w:w="3643" w:type="dxa"/>
            <w:tcBorders>
              <w:top w:val="single" w:color="auto" w:sz="4" w:space="0"/>
              <w:left w:val="single" w:color="auto" w:sz="4" w:space="0"/>
              <w:bottom w:val="single" w:color="auto" w:sz="4" w:space="0"/>
              <w:right w:val="single" w:color="auto" w:sz="4" w:space="0"/>
            </w:tcBorders>
          </w:tcPr>
          <w:p w14:paraId="4347E135">
            <w:pPr>
              <w:jc w:val="left"/>
              <w:rPr>
                <w:rFonts w:hint="eastAsia"/>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29A26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2B2CE6AA">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龚  璇</w:t>
            </w:r>
          </w:p>
        </w:tc>
        <w:tc>
          <w:tcPr>
            <w:tcW w:w="1536" w:type="dxa"/>
            <w:tcBorders>
              <w:top w:val="single" w:color="auto" w:sz="4" w:space="0"/>
              <w:left w:val="single" w:color="auto" w:sz="4" w:space="0"/>
              <w:bottom w:val="single" w:color="auto" w:sz="4" w:space="0"/>
              <w:right w:val="single" w:color="auto" w:sz="4" w:space="0"/>
            </w:tcBorders>
            <w:vAlign w:val="center"/>
          </w:tcPr>
          <w:p w14:paraId="69C74306">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护理部主任/主任护师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7260528B">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1BD3A3B4">
            <w:pPr>
              <w:jc w:val="center"/>
              <w:rPr>
                <w:rFonts w:hint="default" w:ascii="仿宋_GB2312" w:hAnsi="仿宋" w:eastAsia="仿宋_GB2312" w:cs="仿宋"/>
                <w:sz w:val="24"/>
                <w:lang w:val="en-US"/>
              </w:rPr>
            </w:pPr>
            <w:r>
              <w:rPr>
                <w:rFonts w:hint="eastAsia" w:ascii="仿宋_GB2312" w:hAnsi="仿宋" w:eastAsia="仿宋_GB2312" w:cs="仿宋"/>
                <w:sz w:val="24"/>
                <w:lang w:val="en-US" w:eastAsia="zh-CN"/>
              </w:rPr>
              <w:t>桂林市中西医结合医院</w:t>
            </w:r>
          </w:p>
        </w:tc>
        <w:tc>
          <w:tcPr>
            <w:tcW w:w="3643" w:type="dxa"/>
            <w:tcBorders>
              <w:top w:val="single" w:color="auto" w:sz="4" w:space="0"/>
              <w:left w:val="single" w:color="auto" w:sz="4" w:space="0"/>
              <w:bottom w:val="single" w:color="auto" w:sz="4" w:space="0"/>
              <w:right w:val="single" w:color="auto" w:sz="4" w:space="0"/>
            </w:tcBorders>
          </w:tcPr>
          <w:p w14:paraId="7FC6DA84">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5152C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70A3F169">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马  惠</w:t>
            </w:r>
          </w:p>
        </w:tc>
        <w:tc>
          <w:tcPr>
            <w:tcW w:w="1536" w:type="dxa"/>
            <w:tcBorders>
              <w:top w:val="single" w:color="auto" w:sz="4" w:space="0"/>
              <w:left w:val="single" w:color="auto" w:sz="4" w:space="0"/>
              <w:bottom w:val="single" w:color="auto" w:sz="4" w:space="0"/>
              <w:right w:val="single" w:color="auto" w:sz="4" w:space="0"/>
            </w:tcBorders>
            <w:vAlign w:val="center"/>
          </w:tcPr>
          <w:p w14:paraId="354FF0CA">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护理部主任/主任护师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1DE0D385">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2F6B959D">
            <w:pPr>
              <w:jc w:val="center"/>
              <w:rPr>
                <w:rFonts w:hint="default" w:ascii="仿宋_GB2312" w:hAnsi="仿宋" w:eastAsia="仿宋_GB2312" w:cs="仿宋"/>
                <w:sz w:val="24"/>
                <w:lang w:val="en-US"/>
              </w:rPr>
            </w:pPr>
            <w:r>
              <w:rPr>
                <w:rFonts w:hint="eastAsia" w:ascii="仿宋_GB2312" w:hAnsi="仿宋" w:eastAsia="仿宋_GB2312" w:cs="仿宋"/>
                <w:sz w:val="24"/>
                <w:lang w:val="en-US" w:eastAsia="zh-CN"/>
              </w:rPr>
              <w:t>钦州市第一人民医院</w:t>
            </w:r>
          </w:p>
        </w:tc>
        <w:tc>
          <w:tcPr>
            <w:tcW w:w="3643" w:type="dxa"/>
            <w:tcBorders>
              <w:top w:val="single" w:color="auto" w:sz="4" w:space="0"/>
              <w:left w:val="single" w:color="auto" w:sz="4" w:space="0"/>
              <w:bottom w:val="single" w:color="auto" w:sz="4" w:space="0"/>
              <w:right w:val="single" w:color="auto" w:sz="4" w:space="0"/>
            </w:tcBorders>
          </w:tcPr>
          <w:p w14:paraId="3CC217A2">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600E8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E20308D">
            <w:pPr>
              <w:jc w:val="center"/>
              <w:rPr>
                <w:rFonts w:hint="eastAsia" w:ascii="仿宋_GB2312" w:hAnsi="仿宋" w:eastAsia="仿宋_GB2312" w:cs="仿宋"/>
                <w:sz w:val="24"/>
                <w:lang w:val="en-US" w:eastAsia="zh-CN"/>
              </w:rPr>
            </w:pPr>
            <w:r>
              <w:rPr>
                <w:rFonts w:hint="eastAsia" w:ascii="仿宋_GB2312" w:hAnsi="仿宋" w:eastAsia="仿宋_GB2312" w:cs="仿宋"/>
                <w:sz w:val="24"/>
                <w:lang w:val="en-US" w:eastAsia="zh-CN"/>
              </w:rPr>
              <w:t>黄允香</w:t>
            </w:r>
          </w:p>
        </w:tc>
        <w:tc>
          <w:tcPr>
            <w:tcW w:w="1536" w:type="dxa"/>
            <w:tcBorders>
              <w:top w:val="single" w:color="auto" w:sz="4" w:space="0"/>
              <w:left w:val="single" w:color="auto" w:sz="4" w:space="0"/>
              <w:bottom w:val="single" w:color="auto" w:sz="4" w:space="0"/>
              <w:right w:val="single" w:color="auto" w:sz="4" w:space="0"/>
            </w:tcBorders>
            <w:vAlign w:val="center"/>
          </w:tcPr>
          <w:p w14:paraId="28DB65F7">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护理部主任/主任护师</w:t>
            </w:r>
          </w:p>
        </w:tc>
        <w:tc>
          <w:tcPr>
            <w:tcW w:w="984" w:type="dxa"/>
            <w:tcBorders>
              <w:top w:val="single" w:color="auto" w:sz="4" w:space="0"/>
              <w:left w:val="single" w:color="auto" w:sz="4" w:space="0"/>
              <w:bottom w:val="single" w:color="auto" w:sz="4" w:space="0"/>
              <w:right w:val="single" w:color="auto" w:sz="4" w:space="0"/>
            </w:tcBorders>
            <w:vAlign w:val="center"/>
          </w:tcPr>
          <w:p w14:paraId="0BD1817E">
            <w:pPr>
              <w:jc w:val="center"/>
              <w:rPr>
                <w:rFonts w:hint="eastAsia" w:ascii="仿宋_GB2312" w:hAnsi="仿宋" w:eastAsia="仿宋_GB2312" w:cs="仿宋"/>
                <w:sz w:val="24"/>
              </w:rPr>
            </w:pPr>
            <w:r>
              <w:rPr>
                <w:rFonts w:hint="eastAsia" w:ascii="仿宋_GB2312" w:hAnsi="仿宋" w:eastAsia="仿宋_GB2312" w:cs="仿宋"/>
                <w:sz w:val="24"/>
                <w:lang w:val="en-US" w:eastAsia="zh-CN"/>
              </w:rPr>
              <w:t>护理</w:t>
            </w:r>
          </w:p>
        </w:tc>
        <w:tc>
          <w:tcPr>
            <w:tcW w:w="1970" w:type="dxa"/>
            <w:tcBorders>
              <w:top w:val="single" w:color="auto" w:sz="4" w:space="0"/>
              <w:left w:val="single" w:color="auto" w:sz="4" w:space="0"/>
              <w:bottom w:val="single" w:color="auto" w:sz="4" w:space="0"/>
              <w:right w:val="single" w:color="auto" w:sz="4" w:space="0"/>
            </w:tcBorders>
            <w:vAlign w:val="center"/>
          </w:tcPr>
          <w:p w14:paraId="04ED8CE9">
            <w:pPr>
              <w:jc w:val="center"/>
              <w:rPr>
                <w:rFonts w:hint="default" w:ascii="仿宋_GB2312" w:hAnsi="仿宋" w:eastAsia="仿宋_GB2312" w:cs="仿宋"/>
                <w:sz w:val="24"/>
                <w:lang w:val="en-US" w:eastAsia="zh-CN"/>
              </w:rPr>
            </w:pPr>
            <w:r>
              <w:rPr>
                <w:rFonts w:hint="eastAsia" w:ascii="仿宋_GB2312" w:hAnsi="仿宋" w:eastAsia="仿宋_GB2312" w:cs="仿宋"/>
                <w:sz w:val="24"/>
                <w:lang w:val="en-US" w:eastAsia="zh-CN"/>
              </w:rPr>
              <w:t>南宁市中西医结合医院</w:t>
            </w:r>
          </w:p>
        </w:tc>
        <w:tc>
          <w:tcPr>
            <w:tcW w:w="3643" w:type="dxa"/>
            <w:tcBorders>
              <w:top w:val="single" w:color="auto" w:sz="4" w:space="0"/>
              <w:left w:val="single" w:color="auto" w:sz="4" w:space="0"/>
              <w:bottom w:val="single" w:color="auto" w:sz="4" w:space="0"/>
              <w:right w:val="single" w:color="auto" w:sz="4" w:space="0"/>
            </w:tcBorders>
          </w:tcPr>
          <w:p w14:paraId="14B6DA83">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bl>
    <w:p w14:paraId="5495D506">
      <w:pPr>
        <w:spacing w:line="520" w:lineRule="exact"/>
        <w:ind w:firstLine="640" w:firstLineChars="200"/>
        <w:rPr>
          <w:rFonts w:ascii="黑体" w:eastAsia="黑体" w:cs="仿宋_GB2312"/>
          <w:sz w:val="32"/>
          <w:szCs w:val="32"/>
        </w:rPr>
      </w:pPr>
      <w:r>
        <w:rPr>
          <w:rFonts w:hint="eastAsia" w:ascii="黑体" w:eastAsia="黑体" w:cs="仿宋_GB2312"/>
          <w:sz w:val="32"/>
          <w:szCs w:val="32"/>
        </w:rPr>
        <w:t>二、制定标准的必要性和意义</w:t>
      </w:r>
    </w:p>
    <w:p w14:paraId="40C762B2">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健康是促进人的全面发展的必然要求，是经济社会发展的基础条件，党和国家历来高度重视人民健康。健康教育是预防疾病进展、管理慢性疾病、促进全民健康的方式之一。《“健康中国2030”规划纲要》和《关于开展全民健康素养提升三年行动（2024-2027年）的通知》均明确提出，要推动健康教育普及工作，提高全民健康素养水平，推动健康中国建设，且要充分发挥中医药独特优势，提升中医药服务能力，推进中医药继承创新，为中西医结合防治帕金森病等慢性病提供了宏观政策支持，鼓励在慢性病防治中运用中医药特色疗法。帕金森病是一种常见的中老年神经系统退行性疾病，帕金森病和帕金森综合症被纳入门诊慢特病保障范围。2023年，国家卫生健康委、国家发展改革委、财政部、人力资源社会保障部、国家医保局、国家药监局联合印发《深化医药卫生体制改革2023年下半年重点工作任务》，指出了：加强重大慢性病健康管理，加强心理健康和精神卫生工作，持续推进职业健康保护行动。同年，国家卫生健康委、国家中医药管理局联合印发了《全面提升医疗质量行动计划（2023-2025年）》规范医疗技术管理。医疗机构全面梳理本机构医疗技术临床应用情况，以限制类技术、内镜和介入技术等为重点加强质量安全管理，强化新技术、新项目机构内准入管理，完善技术授权和动态管理等相应的管理制度及工作流程，在保障医疗质量安全的基础上，加强新技术临床应用和适宜技术推广。《关于促进中医药传承创新发展的意见》：强调坚持中西医并重，推动中医药和西医药相互补充、协调发展，支持中西医结合防治重大疾病，为中西医结合在帕金森病防治中的发展提供了政策保障，推动了中西医结合在帕金森病防治领域的研究和实践。</w:t>
      </w:r>
    </w:p>
    <w:p w14:paraId="77655FB1">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2022年，《广西壮族自治区人民政府关于印发广西卫生健康发展“十四五”规划的通知》（桂政发〔2022〕15号）强调要深入实施健康广西行动，基本原则提出要中西并重，特色发展。发挥中医药壮瑶医药独特优势，促进中西医相互补充、协调发展。探索中医药可持续多元发展路径，创新中医药壮瑶医药服务模式，培育特色医药产业。此外强调深入实施《“健康广西2030”规划》，围绕高发慢性病、传染病及地方病防治，安全与急救等重点领域开展健康教育，针对不同重点人群开展差异化健康教育，提升居民健康素养。实施慢性病综合防控策略。完善自治区、市、县、乡四级慢性病防治工作网络，逐步建立覆盖全人群、全生命周期的慢性病健康管理体系，推动防、治、康、管融合发展。</w:t>
      </w:r>
    </w:p>
    <w:p w14:paraId="594B0044">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帕金森病（Parkinson′s disease）是一种常见的中老年神经系统退行性疾病，主要以黑质多巴胺能神经元进行性退变和路易小体形成的病理变化，纹状体区多巴胺递质降低、多巴胺与乙酰胆碱递质失平衡的生化改变，震颤、肌强直、动作迟缓、姿势平衡障碍的运动症状和睡眠障碍、嗅觉障碍、自主神经功能障碍、认知和精神障碍等非运动症状的临床表现为显著特征。流行病学调查研究显示欧美国家60岁以上帕金森病患病率达到1%，80岁以上超过4%，我国65岁以上人群患病率为1.7%，与欧美国家相似。我国是世界上人口最多的国家，未来我国帕金森病患病人数将从2005年的199万人上升到2030年的500万人，几乎占到全球帕金森病患病人数的一半。随着疾病的进展，帕金森病的运动和非运动症状会逐渐加重，一方面会损害患者本身的日常活动，另一方面，也会带来巨大的社会和医疗负担。</w:t>
      </w:r>
    </w:p>
    <w:p w14:paraId="2C9995F6">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帕金森病在中医学中归属于“颤证”“震颤”等范畴。早在《黄帝内经》中就有记载。《黄帝内经•素问•至真要大论》曰：“诸风掉眩，皆属于肝。”为后世医家认识和诊治颤证提供了理论基础。其病理性质主要归为本虚标实，本虚为肝肾阴虚、气血不足，标实为痰、瘀、风、毒等闭阻脑窍。中医学历代医家通过长期对帕金森病的不断探索和验证积累，逐步形成了中医学理论体系诊治帕金森病的措施、方法和经验。近年来，从中西药联合治疗本病的研究来看，不仅显著提高了临床疗效，减轻患者运动及感觉障碍、自主神经功能障碍、精神和认知障碍等非运动症状，而且明显减少了西药的用量及降低了不良反应，起到神经保护的作用。</w:t>
      </w:r>
    </w:p>
    <w:p w14:paraId="49A182CD">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据不完全统计，目前我国帕金森病患者数量居世界第一，已成为继肿瘤、心脑血管疾病之后危害我国中老年人健康的“第三大杀手”，《中国帕金森病治疗指南第四版》指出，到2030年我国帕金森病患者数将达500万。自治区民政厅数据显示，截至2023年底，广西60周岁及以上常住老年人口为937万，占常住人口总数的18.64%，预计到2030年，60岁以上老年人口将达1000万人，人口老龄化率超过20%。广西地处中国地势第二阶梯中的云贵高原东南边缘，两广丘陵西部，气候温暖，雨水丰沛，天多炎热。帕金森病是仅次于阿尔茨海默病的第二大神经退行性疾病，多发于60岁以上人群，但约10%患者在50岁前发病（“早发型帕金森”）。目前我国帕金森病患者约300万（占全球1/3），65岁以上人群患病率高达1.7%，且随着我国老龄化加剧，患病人数仍在快速增加。有公开资料显示，广西目前约有8万帕金森病患者，占广西总人口的1.06%。对广西北海地区常驻居民进行随机抽样调查，发现3111人中帕金森患者47人，男性28人，女性19人，总患病率为1.511%；男性患病率1.969%，女性患病率1.124%；40-49岁、50-59岁、60-69岁、70-79岁、≥80岁人群的发病率分别为0.296%、0.903%、2.773%、3.647%、4.065%。此外，农药接触史、帕金森病家族史、体力劳动、糖尿病是帕金森病的危险因素；饮酒、饮茶、食用海产品是帕金森病的保护因素。</w:t>
      </w:r>
    </w:p>
    <w:p w14:paraId="15601DAC">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截止2022年，广西壮族自治区医疗卫生机构共有34500家，其中：综合医院444家，中医类医院145家（包含中医医院119家，中西医结合医院21家，民族医院5家）。在145家中医类医院中，三级医院25家，二级医院81家，一级医院34家；中医类门诊部37家，中医类诊所2307个，中医类研究机构3家。目前全区尚无统一的《帕金森病健康教育规范》，本规范适用于帕金森病患者的健康教育等，供全区各级医疗机构的神经内科、脑病科、急诊科、中医科、针灸科、康复科、老年病科、内科、全科医学等相关科室医护人员使用。</w:t>
      </w:r>
    </w:p>
    <w:p w14:paraId="3CEBCACE">
      <w:pPr>
        <w:spacing w:line="520" w:lineRule="exact"/>
        <w:ind w:firstLine="560" w:firstLineChars="200"/>
        <w:rPr>
          <w:rFonts w:ascii="仿宋_GB2312" w:eastAsia="仿宋_GB2312"/>
          <w:sz w:val="28"/>
          <w:szCs w:val="28"/>
        </w:rPr>
      </w:pPr>
      <w:r>
        <w:rPr>
          <w:rFonts w:hint="eastAsia" w:ascii="仿宋_GB2312" w:eastAsia="仿宋_GB2312"/>
          <w:sz w:val="28"/>
          <w:szCs w:val="28"/>
        </w:rPr>
        <w:t>首先，健康教育可以帮助患者更好地理解他们的疾病。帕金森病是一个复杂的神经系统疾病，患者可能会经历运动障碍、肌肉僵硬、平衡问题等。如果患者不了解这些症状的原因和影响，可能会感到无助或者害怕。健康教育可以帮助他们认识到这些症状是正常的，并且了解帕金森病如何影响患者的日常生活。其次，健康教育可以帮助患者制定有效的日常护理计划。帕金森病患者可能需要调整饮食、睡眠、运动等生活习惯。健康教育可以指导他们如何合理安排时间，如何使用辅助设备来辅助生活、如何管理情绪等。健康教育对帕金森病患者的重要性是多方面的。它不仅有助于患者更好地了解疾病和管理健康，还能促进家庭支持、提高生活质量、促进康复和建立信心。然而，要实现这些好处，健康教育的实施需要科学的设计和持续的改进提高患者认知，帮助患者和家属更好地了解帕金森病的性质、症状以及可能的并发症，增强他们的认知，减少误解和恐惧。此外，通过早期健康教育，患者和家属可以学习预防跌倒、肌肉僵硬等并发症的方法，从而降低并发症的风险；帮助患者学习有效的康复训练方法，逐步恢复运动能力和生活质量。通过健康教育，患者可以更好地理解医生的建议，并提高依从性，从而获得更好的治疗效果。。</w:t>
      </w:r>
    </w:p>
    <w:p w14:paraId="32D264E7">
      <w:pPr>
        <w:spacing w:line="520" w:lineRule="exact"/>
        <w:ind w:firstLine="560" w:firstLineChars="200"/>
        <w:rPr>
          <w:rFonts w:ascii="仿宋_GB2312" w:eastAsia="仿宋_GB2312"/>
          <w:sz w:val="28"/>
          <w:szCs w:val="28"/>
        </w:rPr>
      </w:pPr>
      <w:r>
        <w:rPr>
          <w:rFonts w:hint="eastAsia" w:ascii="仿宋_GB2312" w:eastAsia="仿宋_GB2312"/>
          <w:sz w:val="28"/>
          <w:szCs w:val="28"/>
        </w:rPr>
        <w:t>通过制定团体标准《</w:t>
      </w:r>
      <w:r>
        <w:rPr>
          <w:rFonts w:hint="eastAsia" w:ascii="仿宋_GB2312" w:eastAsia="仿宋_GB2312"/>
          <w:sz w:val="28"/>
          <w:szCs w:val="28"/>
          <w:lang w:eastAsia="zh-CN"/>
        </w:rPr>
        <w:t>帕金森病健康教育</w:t>
      </w:r>
      <w:r>
        <w:rPr>
          <w:rFonts w:hint="eastAsia" w:ascii="仿宋_GB2312" w:eastAsia="仿宋_GB2312"/>
          <w:sz w:val="28"/>
          <w:szCs w:val="28"/>
        </w:rPr>
        <w:t>规范》，统一规定统一规范</w:t>
      </w:r>
      <w:r>
        <w:rPr>
          <w:rFonts w:hint="eastAsia" w:ascii="仿宋_GB2312" w:eastAsia="仿宋_GB2312"/>
          <w:sz w:val="28"/>
          <w:szCs w:val="28"/>
          <w:lang w:eastAsia="zh-CN"/>
        </w:rPr>
        <w:t>帕金森病健康教育</w:t>
      </w:r>
      <w:r>
        <w:rPr>
          <w:rFonts w:hint="eastAsia" w:ascii="仿宋_GB2312" w:eastAsia="仿宋_GB2312"/>
          <w:sz w:val="28"/>
          <w:szCs w:val="28"/>
        </w:rPr>
        <w:t>要求，可以填补广西</w:t>
      </w:r>
      <w:r>
        <w:rPr>
          <w:rFonts w:hint="eastAsia" w:ascii="仿宋_GB2312" w:eastAsia="仿宋_GB2312"/>
          <w:sz w:val="28"/>
          <w:szCs w:val="28"/>
          <w:lang w:eastAsia="zh-CN"/>
        </w:rPr>
        <w:t>帕金森病健康教育</w:t>
      </w:r>
      <w:r>
        <w:rPr>
          <w:rFonts w:hint="eastAsia" w:ascii="仿宋_GB2312" w:eastAsia="仿宋_GB2312"/>
          <w:sz w:val="28"/>
          <w:szCs w:val="28"/>
        </w:rPr>
        <w:t>标准的空白，对推广</w:t>
      </w:r>
      <w:r>
        <w:rPr>
          <w:rFonts w:hint="eastAsia" w:ascii="仿宋_GB2312" w:eastAsia="仿宋_GB2312"/>
          <w:sz w:val="28"/>
          <w:szCs w:val="28"/>
          <w:lang w:eastAsia="zh-CN"/>
        </w:rPr>
        <w:t>帕金森病健康教育</w:t>
      </w:r>
      <w:r>
        <w:rPr>
          <w:rFonts w:hint="eastAsia" w:ascii="仿宋_GB2312" w:eastAsia="仿宋_GB2312"/>
          <w:sz w:val="28"/>
          <w:szCs w:val="28"/>
        </w:rPr>
        <w:t>高质量发展具有</w:t>
      </w:r>
      <w:r>
        <w:rPr>
          <w:rFonts w:hint="eastAsia" w:ascii="仿宋_GB2312" w:eastAsia="仿宋_GB2312"/>
          <w:sz w:val="28"/>
          <w:szCs w:val="28"/>
          <w:lang w:eastAsia="zh-CN"/>
        </w:rPr>
        <w:t>积极</w:t>
      </w:r>
      <w:r>
        <w:rPr>
          <w:rFonts w:hint="eastAsia" w:ascii="仿宋_GB2312" w:eastAsia="仿宋_GB2312"/>
          <w:sz w:val="28"/>
          <w:szCs w:val="28"/>
        </w:rPr>
        <w:t>意义。</w:t>
      </w:r>
    </w:p>
    <w:p w14:paraId="3E8AE2E3">
      <w:pPr>
        <w:autoSpaceDE w:val="0"/>
        <w:autoSpaceDN w:val="0"/>
        <w:adjustRightInd w:val="0"/>
        <w:spacing w:line="520" w:lineRule="exact"/>
        <w:ind w:firstLine="640" w:firstLineChars="200"/>
        <w:jc w:val="left"/>
        <w:rPr>
          <w:rFonts w:ascii="黑体" w:eastAsia="黑体" w:cs="仿宋_GB2312"/>
          <w:sz w:val="32"/>
          <w:szCs w:val="32"/>
        </w:rPr>
      </w:pPr>
      <w:r>
        <w:rPr>
          <w:rFonts w:hint="eastAsia" w:ascii="黑体" w:eastAsia="黑体" w:cs="仿宋_GB2312"/>
          <w:sz w:val="32"/>
          <w:szCs w:val="32"/>
        </w:rPr>
        <w:t>三、主要起草过程</w:t>
      </w:r>
    </w:p>
    <w:p w14:paraId="2F2453D7">
      <w:pPr>
        <w:spacing w:line="520" w:lineRule="exact"/>
        <w:ind w:firstLine="562" w:firstLineChars="200"/>
        <w:rPr>
          <w:rFonts w:ascii="仿宋_GB2312" w:eastAsia="仿宋_GB2312"/>
          <w:sz w:val="28"/>
          <w:szCs w:val="28"/>
        </w:rPr>
      </w:pPr>
      <w:r>
        <w:rPr>
          <w:rFonts w:hint="eastAsia" w:ascii="仿宋_GB2312" w:eastAsia="仿宋_GB2312" w:cs="仿宋_GB2312"/>
          <w:b/>
          <w:sz w:val="28"/>
          <w:szCs w:val="28"/>
        </w:rPr>
        <w:t>（一）成立标准编制工作组</w:t>
      </w:r>
    </w:p>
    <w:p w14:paraId="7D731110">
      <w:pPr>
        <w:spacing w:line="520" w:lineRule="exact"/>
        <w:ind w:firstLine="560" w:firstLineChars="200"/>
        <w:jc w:val="left"/>
        <w:rPr>
          <w:rFonts w:ascii="仿宋_GB2312" w:eastAsia="仿宋_GB2312"/>
          <w:sz w:val="28"/>
          <w:szCs w:val="28"/>
        </w:rPr>
      </w:pPr>
      <w:r>
        <w:rPr>
          <w:rFonts w:hint="eastAsia" w:ascii="仿宋_GB2312" w:hAnsi="宋体" w:eastAsia="仿宋_GB2312"/>
          <w:sz w:val="28"/>
          <w:szCs w:val="28"/>
        </w:rPr>
        <w:t>团体标准</w:t>
      </w:r>
      <w:r>
        <w:rPr>
          <w:rFonts w:hint="eastAsia" w:ascii="仿宋_GB2312" w:eastAsia="仿宋_GB2312"/>
          <w:sz w:val="28"/>
          <w:szCs w:val="28"/>
        </w:rPr>
        <w:t>《</w:t>
      </w:r>
      <w:r>
        <w:rPr>
          <w:rFonts w:hint="eastAsia" w:ascii="仿宋_GB2312" w:eastAsia="仿宋_GB2312"/>
          <w:sz w:val="28"/>
          <w:szCs w:val="28"/>
          <w:lang w:eastAsia="zh-CN"/>
        </w:rPr>
        <w:t>帕金森病健康教育</w:t>
      </w:r>
      <w:r>
        <w:rPr>
          <w:rFonts w:hint="eastAsia" w:ascii="仿宋_GB2312" w:eastAsia="仿宋_GB2312"/>
          <w:sz w:val="28"/>
          <w:szCs w:val="28"/>
        </w:rPr>
        <w:t>规范》项目任务下达后，</w:t>
      </w:r>
      <w:r>
        <w:rPr>
          <w:rFonts w:hint="eastAsia" w:ascii="仿宋_GB2312" w:eastAsia="仿宋_GB2312"/>
          <w:sz w:val="28"/>
          <w:szCs w:val="28"/>
          <w:lang w:eastAsia="zh-CN"/>
        </w:rPr>
        <w:t>广西中医药大学附属瑞康医院、广西医科大学第二附属医院、柳州市中医医院、桂林市中医医院、桂林市中西医结合医院等单位</w:t>
      </w:r>
      <w:r>
        <w:rPr>
          <w:rFonts w:hint="eastAsia" w:ascii="仿宋_GB2312" w:eastAsia="仿宋_GB2312"/>
          <w:sz w:val="28"/>
          <w:szCs w:val="28"/>
        </w:rPr>
        <w:t>成立了标准编制工作组，制定了起草编写方案与进度安排，明确任务职责，确定工作技术路线，开展标准研制工作。具体标准编制工作由起草单位相关人员配合完成。</w:t>
      </w:r>
    </w:p>
    <w:p w14:paraId="05850743">
      <w:pPr>
        <w:spacing w:line="520" w:lineRule="exact"/>
        <w:ind w:firstLine="560" w:firstLineChars="200"/>
        <w:rPr>
          <w:rFonts w:ascii="仿宋_GB2312" w:eastAsia="仿宋_GB2312" w:cs="仿宋_GB2312"/>
          <w:sz w:val="28"/>
          <w:szCs w:val="28"/>
        </w:rPr>
      </w:pPr>
      <w:r>
        <w:rPr>
          <w:rFonts w:hint="eastAsia" w:ascii="仿宋_GB2312" w:eastAsia="仿宋_GB2312"/>
          <w:sz w:val="28"/>
          <w:szCs w:val="28"/>
        </w:rPr>
        <w:t>为了明确标准编制的任务职责，确定工作技术路线，开展标准研制工作。标准编制工作组下设二个组，分别是资料收集组、草案编写组。资料收集组负责有关</w:t>
      </w:r>
      <w:r>
        <w:rPr>
          <w:rFonts w:hint="eastAsia" w:ascii="仿宋_GB2312" w:eastAsia="仿宋_GB2312"/>
          <w:sz w:val="28"/>
          <w:szCs w:val="28"/>
          <w:lang w:eastAsia="zh-CN"/>
        </w:rPr>
        <w:t>帕金森病健康教育</w:t>
      </w:r>
      <w:r>
        <w:rPr>
          <w:rFonts w:hint="eastAsia" w:ascii="仿宋_GB2312" w:eastAsia="仿宋_GB2312"/>
          <w:sz w:val="28"/>
          <w:szCs w:val="28"/>
        </w:rPr>
        <w:t>方面的文献资料的查询、收集和整理工作，查阅前期对</w:t>
      </w:r>
      <w:r>
        <w:rPr>
          <w:rFonts w:hint="eastAsia" w:ascii="仿宋_GB2312" w:eastAsia="仿宋_GB2312"/>
          <w:sz w:val="28"/>
          <w:szCs w:val="28"/>
          <w:lang w:eastAsia="zh-CN"/>
        </w:rPr>
        <w:t>帕金森病健康教育</w:t>
      </w:r>
      <w:r>
        <w:rPr>
          <w:rFonts w:hint="eastAsia" w:ascii="仿宋_GB2312" w:eastAsia="仿宋_GB2312"/>
          <w:sz w:val="28"/>
          <w:szCs w:val="28"/>
        </w:rPr>
        <w:t>方面的有关研究情况和目前科学界禅更病的研究进展；草案编写组负责起草标准草案及后续征求意见稿和标准编制说明、送审稿及编制说明等编写工作，包括后期召开征求意见会、网上征求意见，以及标准的不断修改和完善。</w:t>
      </w:r>
    </w:p>
    <w:p w14:paraId="4F73A71E">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（二）收集整理文献资料</w:t>
      </w:r>
    </w:p>
    <w:p w14:paraId="107A02F5">
      <w:pPr>
        <w:spacing w:line="520" w:lineRule="exact"/>
        <w:ind w:firstLine="560" w:firstLineChars="200"/>
        <w:rPr>
          <w:rFonts w:ascii="仿宋_GB2312" w:eastAsia="仿宋_GB2312"/>
          <w:sz w:val="28"/>
          <w:szCs w:val="28"/>
        </w:rPr>
      </w:pPr>
      <w:r>
        <w:rPr>
          <w:rFonts w:hint="eastAsia" w:ascii="仿宋_GB2312" w:eastAsia="仿宋_GB2312"/>
          <w:sz w:val="28"/>
          <w:szCs w:val="28"/>
        </w:rPr>
        <w:t>标准编制工作组收集了有关</w:t>
      </w:r>
      <w:r>
        <w:rPr>
          <w:rFonts w:hint="eastAsia" w:ascii="仿宋_GB2312" w:eastAsia="仿宋_GB2312"/>
          <w:sz w:val="28"/>
          <w:szCs w:val="28"/>
          <w:lang w:eastAsia="zh-CN"/>
        </w:rPr>
        <w:t>帕金森病健康教育</w:t>
      </w:r>
      <w:r>
        <w:rPr>
          <w:rFonts w:hint="eastAsia" w:ascii="仿宋_GB2312" w:eastAsia="仿宋_GB2312"/>
          <w:sz w:val="28"/>
          <w:szCs w:val="28"/>
        </w:rPr>
        <w:t>的相关文献资料。主要有：</w:t>
      </w:r>
    </w:p>
    <w:p w14:paraId="3270993A">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[1]中华医学会神经病学分会帕金森病及运动障碍学组，中国医师协会神经内科医师分会帕金森病及运动障碍专业.中国帕金森病的诊断标准（2016版）[J].中华神经科杂志,2016,49(4):268-271.</w:t>
      </w:r>
    </w:p>
    <w:p w14:paraId="343F4971">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[2]Li G,Ma J,Cui S,et al.Parkinson’s disease in China: a forty year growing track of bedside work[J].Transl Neurodegener, 2019,8(1):22.</w:t>
      </w:r>
    </w:p>
    <w:p w14:paraId="4D870762">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[3]杨琰,董泗芹,赵宝生,等.早中期帕金森病患者运动管理的最佳证据总结[J].护理学报,2023,30</w:t>
      </w:r>
    </w:p>
    <w:p w14:paraId="2E614ACB">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(09):37-42.</w:t>
      </w:r>
    </w:p>
    <w:p w14:paraId="5BA5E345">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[4]周玲.基于帕金森病PDCA循环的健康教育对帕金森综合征患者知信行及生活质量的影响[J].广西医学,2022,44(03):351-355.</w:t>
      </w:r>
    </w:p>
    <w:p w14:paraId="77422510">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[5]王毅.血管性帕金森综合征中西医结合诊治专家共识2022[J].中国卒中杂志,2022,17(04):334-340.</w:t>
      </w:r>
    </w:p>
    <w:p w14:paraId="3F64C547">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[6]Corbin JM, Strauss A.A nursing model for chronic illness management based upon the TrajectoryFramework[J]. Sch Inq Nurs Pract. 1991 Fall;5(3):155-74. PMID: 1763239.</w:t>
      </w:r>
    </w:p>
    <w:p w14:paraId="659FC111">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[7]徐雪梅,杨雪丽,刘军,等.基于慢性病轨迹框架模式的干预对老年糖尿病合并胰腺炎患者疾病认知情况、自我管理能力的影响[J].中国医药导报,2023,20(36):169-172.</w:t>
      </w:r>
    </w:p>
    <w:p w14:paraId="0E38EE3F">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[8]陈风云,吴霞,郁昊达,等.慢性轨迹模式护理对靶向治疗肺癌患者的效果及价值分析[J].护理实践与研究,2024,21(04):583-588.</w:t>
      </w:r>
    </w:p>
    <w:p w14:paraId="206EA83B">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[9]中华医学会神经病学分会帕金森病及运动障碍学组,中国医师协会神经内科医师分会帕金森病及运动障碍学组.中国帕金森病治疗指南（第四版）[J].中华神经科杂志,2020,53(12):973-986.</w:t>
      </w:r>
    </w:p>
    <w:p w14:paraId="71A6BD62">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w:t>
      </w:r>
      <w:r>
        <w:rPr>
          <w:rFonts w:hint="eastAsia" w:ascii="仿宋_GB2312" w:eastAsia="仿宋_GB2312" w:cs="仿宋_GB2312"/>
          <w:bCs/>
          <w:sz w:val="28"/>
          <w:szCs w:val="28"/>
          <w:lang w:val="en-US" w:eastAsia="zh-CN"/>
        </w:rPr>
        <w:t>10</w:t>
      </w:r>
      <w:r>
        <w:rPr>
          <w:rFonts w:hint="eastAsia" w:ascii="仿宋_GB2312" w:eastAsia="仿宋_GB2312" w:cs="仿宋_GB2312"/>
          <w:bCs/>
          <w:sz w:val="28"/>
          <w:szCs w:val="28"/>
        </w:rPr>
        <w:t>]刘晓玉,张超,凌颜,等. 帕金森病患者伴发抑郁非药物管理的最佳证据总结[J]. 中华现代护理杂志,2024,30(1):70-76.</w:t>
      </w:r>
    </w:p>
    <w:p w14:paraId="484C51CD">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lang w:val="en-US" w:eastAsia="zh-CN"/>
        </w:rPr>
        <w:t>11</w:t>
      </w:r>
      <w:r>
        <w:rPr>
          <w:rFonts w:hint="eastAsia" w:ascii="仿宋_GB2312" w:eastAsia="仿宋_GB2312" w:cs="仿宋_GB2312"/>
          <w:bCs/>
          <w:sz w:val="28"/>
          <w:szCs w:val="28"/>
        </w:rPr>
        <w:t>]周兰兰,徐群利,沈蓝君,等.帕金森病患者睡眠障碍评估与护理干预的最佳证据总结[J].中华护理杂志,2023,58(15):1885-1891.</w:t>
      </w:r>
    </w:p>
    <w:p w14:paraId="50065BE4">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w:t>
      </w:r>
      <w:r>
        <w:rPr>
          <w:rFonts w:hint="eastAsia" w:ascii="仿宋_GB2312" w:eastAsia="仿宋_GB2312" w:cs="仿宋_GB2312"/>
          <w:bCs/>
          <w:sz w:val="28"/>
          <w:szCs w:val="28"/>
          <w:lang w:val="en-US" w:eastAsia="zh-CN"/>
        </w:rPr>
        <w:t>12</w:t>
      </w:r>
      <w:r>
        <w:rPr>
          <w:rFonts w:hint="eastAsia" w:ascii="仿宋_GB2312" w:eastAsia="仿宋_GB2312" w:cs="仿宋_GB2312"/>
          <w:bCs/>
          <w:sz w:val="28"/>
          <w:szCs w:val="28"/>
        </w:rPr>
        <w:t>]田华雨,谷晓玲,胡玲.益生菌对帕金森病患者非运动症状影响的Meta分析[J].中华现代护理杂志,2023,29(13):1704-1710. </w:t>
      </w:r>
    </w:p>
    <w:p w14:paraId="378724EE">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w:t>
      </w:r>
      <w:r>
        <w:rPr>
          <w:rFonts w:hint="eastAsia" w:ascii="仿宋_GB2312" w:eastAsia="仿宋_GB2312" w:cs="仿宋_GB2312"/>
          <w:bCs/>
          <w:sz w:val="28"/>
          <w:szCs w:val="28"/>
          <w:lang w:val="en-US" w:eastAsia="zh-CN"/>
        </w:rPr>
        <w:t>13</w:t>
      </w:r>
      <w:r>
        <w:rPr>
          <w:rFonts w:hint="eastAsia" w:ascii="仿宋_GB2312" w:eastAsia="仿宋_GB2312" w:cs="仿宋_GB2312"/>
          <w:bCs/>
          <w:sz w:val="28"/>
          <w:szCs w:val="28"/>
        </w:rPr>
        <w:t>]袁灿兴,刘振国.中西医结合治疗早期帕金森病专家共识（2021）[J].上海中医药杂志,2022,56(01):1-6.</w:t>
      </w:r>
    </w:p>
    <w:p w14:paraId="645041C1">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w:t>
      </w:r>
      <w:r>
        <w:rPr>
          <w:rFonts w:hint="eastAsia" w:ascii="仿宋_GB2312" w:eastAsia="仿宋_GB2312" w:cs="仿宋_GB2312"/>
          <w:bCs/>
          <w:sz w:val="28"/>
          <w:szCs w:val="28"/>
          <w:lang w:val="en-US" w:eastAsia="zh-CN"/>
        </w:rPr>
        <w:t>14</w:t>
      </w:r>
      <w:r>
        <w:rPr>
          <w:rFonts w:hint="eastAsia" w:ascii="仿宋_GB2312" w:eastAsia="仿宋_GB2312" w:cs="仿宋_GB2312"/>
          <w:bCs/>
          <w:sz w:val="28"/>
          <w:szCs w:val="28"/>
        </w:rPr>
        <w:t>]吴成翰,周小炫,谢敏,等.中医治未病·帕金森抑郁和/或焦虑专家共识[J].中国中医药信息杂志,2020,27(01):1-5.</w:t>
      </w:r>
    </w:p>
    <w:p w14:paraId="6F7E8E89">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w:t>
      </w:r>
      <w:r>
        <w:rPr>
          <w:rFonts w:hint="eastAsia" w:ascii="仿宋_GB2312" w:eastAsia="仿宋_GB2312" w:cs="仿宋_GB2312"/>
          <w:bCs/>
          <w:sz w:val="28"/>
          <w:szCs w:val="28"/>
          <w:lang w:val="en-US" w:eastAsia="zh-CN"/>
        </w:rPr>
        <w:t>15</w:t>
      </w:r>
      <w:r>
        <w:rPr>
          <w:rFonts w:hint="eastAsia" w:ascii="仿宋_GB2312" w:eastAsia="仿宋_GB2312" w:cs="仿宋_GB2312"/>
          <w:bCs/>
          <w:sz w:val="28"/>
          <w:szCs w:val="28"/>
        </w:rPr>
        <w:t>]宋鲁平,王强.帕金森病康复中国专家共识[J].中国康复理论与实践,2018,24(07):745-752.</w:t>
      </w:r>
    </w:p>
    <w:p w14:paraId="254A003A">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w:t>
      </w:r>
      <w:r>
        <w:rPr>
          <w:rFonts w:hint="eastAsia" w:ascii="仿宋_GB2312" w:eastAsia="仿宋_GB2312" w:cs="仿宋_GB2312"/>
          <w:bCs/>
          <w:sz w:val="28"/>
          <w:szCs w:val="28"/>
          <w:lang w:val="en-US" w:eastAsia="zh-CN"/>
        </w:rPr>
        <w:t>16</w:t>
      </w:r>
      <w:r>
        <w:rPr>
          <w:rFonts w:hint="eastAsia" w:ascii="仿宋_GB2312" w:eastAsia="仿宋_GB2312" w:cs="仿宋_GB2312"/>
          <w:bCs/>
          <w:sz w:val="28"/>
          <w:szCs w:val="28"/>
        </w:rPr>
        <w:t>]李颖馨,蒋运兰,易银萍,等.慢性病轨迹框架在国外慢性疾病护理中的应用研究[J].护理研究,2016,30(25):3073-3076.</w:t>
      </w:r>
    </w:p>
    <w:p w14:paraId="3660FE56">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（三）研讨确定标准特色、创新点及主体内容</w:t>
      </w:r>
    </w:p>
    <w:p w14:paraId="3143A6A6">
      <w:pPr>
        <w:pStyle w:val="29"/>
        <w:spacing w:line="520" w:lineRule="exact"/>
        <w:ind w:firstLine="560"/>
        <w:rPr>
          <w:rFonts w:ascii="仿宋_GB2312" w:eastAsia="仿宋_GB2312"/>
          <w:sz w:val="28"/>
          <w:szCs w:val="28"/>
        </w:rPr>
      </w:pPr>
      <w:r>
        <w:rPr>
          <w:rFonts w:hint="eastAsia" w:ascii="仿宋_GB2312" w:eastAsia="仿宋_GB2312"/>
          <w:sz w:val="28"/>
          <w:szCs w:val="28"/>
        </w:rPr>
        <w:t>1.主要特色和创新点</w:t>
      </w:r>
    </w:p>
    <w:p w14:paraId="4E453BCD">
      <w:pPr>
        <w:pStyle w:val="29"/>
        <w:spacing w:line="520" w:lineRule="exact"/>
        <w:ind w:firstLine="560"/>
        <w:rPr>
          <w:rFonts w:ascii="仿宋_GB2312" w:eastAsia="仿宋_GB2312"/>
          <w:sz w:val="28"/>
          <w:szCs w:val="28"/>
        </w:rPr>
      </w:pPr>
      <w:r>
        <w:rPr>
          <w:rFonts w:hint="eastAsia" w:ascii="仿宋_GB2312" w:eastAsia="仿宋_GB2312"/>
          <w:sz w:val="28"/>
          <w:szCs w:val="28"/>
        </w:rPr>
        <w:t>核心技术和创新点一是结合了中西医结合理念，将中医调养与西医治疗相结合，从帕金森病的预防、治疗、康复到临终关怀全生命周期的不同阶段，为患者提供生活、运动、饮食、心理、药物、理疗等中西医结合健康指导，如春夏“夜卧早起”，秋季“早卧早起”，冬季”早卧晚起”的生活作息；太极拳、五禽戏、八段锦等养生功法的习练；丝瓜薏苡仁粥、乌梢蛇金钱龟汤、红枣桂圆枸杞粥、银杞莲子汤等药膳的调养以及刮痧疗法、中药热熨、穴位贴敷、耳穴贴压、艾灸法等中医特色技术的调理，与西医药物、手术、康复治疗形成互补效应，有助于提高治疗效果、减轻药物副作用、实现个性化治疗、促进康复。同时，通过中西医结合的健康教育方式，还可有效促进患者对中医文化的了解和认同，增强文化自信。二是通过个性化指导、媒体科普、专题讲座、健康宣教手册和视频等多元化教育模式，将健康教育内容精准、高效地传达给患者及其照顾者，可有效提高患者及其照顾者对健康教育内容的接受度和理解度。通过照顾者回授法教育、病友会、家庭访视等教育方式，可加强与患者及其照顾者的互动和沟通，有助于建立良好的医患关系，提高康复的依从性和满意度。</w:t>
      </w:r>
    </w:p>
    <w:p w14:paraId="79CCFEC7">
      <w:pPr>
        <w:pStyle w:val="29"/>
        <w:spacing w:line="520" w:lineRule="exact"/>
        <w:ind w:firstLine="560"/>
        <w:rPr>
          <w:rFonts w:ascii="仿宋_GB2312" w:eastAsia="仿宋_GB2312"/>
          <w:sz w:val="28"/>
          <w:szCs w:val="28"/>
        </w:rPr>
      </w:pPr>
      <w:r>
        <w:rPr>
          <w:rFonts w:hint="eastAsia" w:ascii="仿宋_GB2312" w:eastAsia="仿宋_GB2312"/>
          <w:sz w:val="28"/>
          <w:szCs w:val="28"/>
        </w:rPr>
        <w:t>2.主体内容</w:t>
      </w:r>
    </w:p>
    <w:p w14:paraId="3946A23A">
      <w:pPr>
        <w:pStyle w:val="29"/>
        <w:spacing w:line="520" w:lineRule="exact"/>
        <w:ind w:firstLine="560"/>
        <w:rPr>
          <w:rFonts w:ascii="仿宋_GB2312" w:eastAsia="仿宋_GB2312"/>
          <w:sz w:val="28"/>
          <w:szCs w:val="28"/>
        </w:rPr>
      </w:pPr>
      <w:r>
        <w:rPr>
          <w:rFonts w:hint="eastAsia" w:ascii="仿宋_GB2312" w:eastAsia="仿宋_GB2312"/>
          <w:sz w:val="28"/>
          <w:szCs w:val="28"/>
        </w:rPr>
        <w:t>标准编制工作组在对收集的资料进行整理研究之后，标准编制工作组召开了标准编制会议，对标准的整体框架结构进行了研究，并对标准的关键性内容进行了初步探讨。经过研究，标准的主体内容为</w:t>
      </w:r>
      <w:r>
        <w:rPr>
          <w:rFonts w:hint="eastAsia" w:ascii="仿宋_GB2312" w:eastAsia="仿宋_GB2312"/>
          <w:sz w:val="28"/>
          <w:szCs w:val="28"/>
          <w:lang w:eastAsia="zh-CN"/>
        </w:rPr>
        <w:t>帕金森病健康教育</w:t>
      </w:r>
      <w:r>
        <w:rPr>
          <w:rFonts w:hint="eastAsia" w:ascii="仿宋_GB2312" w:eastAsia="仿宋_GB2312"/>
          <w:sz w:val="28"/>
          <w:szCs w:val="28"/>
        </w:rPr>
        <w:t>的基本要求、诊断、治疗、日常调护的要求。</w:t>
      </w:r>
    </w:p>
    <w:p w14:paraId="0DE941F3">
      <w:pPr>
        <w:spacing w:line="520" w:lineRule="exact"/>
        <w:ind w:firstLine="562" w:firstLineChars="200"/>
        <w:rPr>
          <w:rFonts w:hint="default" w:ascii="仿宋_GB2312" w:eastAsia="仿宋_GB2312" w:cs="仿宋_GB2312"/>
          <w:b/>
          <w:sz w:val="28"/>
          <w:szCs w:val="28"/>
          <w:lang w:val="en-US" w:eastAsia="zh-CN"/>
        </w:rPr>
      </w:pPr>
      <w:r>
        <w:rPr>
          <w:rFonts w:hint="eastAsia" w:ascii="仿宋_GB2312" w:eastAsia="仿宋_GB2312" w:cs="仿宋_GB2312"/>
          <w:b/>
          <w:sz w:val="28"/>
          <w:szCs w:val="28"/>
        </w:rPr>
        <w:t>（四）调研及形成草案、征求意见稿</w:t>
      </w:r>
    </w:p>
    <w:p w14:paraId="16ABBAE8">
      <w:pPr>
        <w:spacing w:line="520" w:lineRule="exact"/>
        <w:ind w:firstLine="560" w:firstLineChars="200"/>
        <w:rPr>
          <w:rFonts w:ascii="仿宋_GB2312" w:eastAsia="仿宋_GB2312"/>
          <w:kern w:val="0"/>
          <w:sz w:val="28"/>
          <w:szCs w:val="28"/>
        </w:rPr>
      </w:pPr>
      <w:r>
        <w:rPr>
          <w:rFonts w:hint="eastAsia" w:ascii="仿宋_GB2312" w:eastAsia="仿宋_GB2312"/>
          <w:kern w:val="0"/>
          <w:sz w:val="28"/>
          <w:szCs w:val="28"/>
        </w:rPr>
        <w:t>2025</w:t>
      </w:r>
      <w:r>
        <w:rPr>
          <w:rFonts w:hint="eastAsia" w:ascii="仿宋_GB2312" w:eastAsia="仿宋_GB2312"/>
          <w:kern w:val="0"/>
          <w:sz w:val="28"/>
          <w:szCs w:val="28"/>
          <w:lang w:eastAsia="zh-CN"/>
        </w:rPr>
        <w:t>年</w:t>
      </w:r>
      <w:r>
        <w:rPr>
          <w:rFonts w:hint="eastAsia" w:ascii="仿宋_GB2312" w:eastAsia="仿宋_GB2312"/>
          <w:kern w:val="0"/>
          <w:sz w:val="28"/>
          <w:szCs w:val="28"/>
          <w:lang w:val="en-US" w:eastAsia="zh-CN"/>
        </w:rPr>
        <w:t>4</w:t>
      </w:r>
      <w:r>
        <w:rPr>
          <w:rFonts w:hint="eastAsia" w:ascii="仿宋_GB2312" w:eastAsia="仿宋_GB2312"/>
          <w:kern w:val="0"/>
          <w:sz w:val="28"/>
          <w:szCs w:val="28"/>
        </w:rPr>
        <w:t>月，标准编制工作组查阅了大量的国内文献资料，对</w:t>
      </w:r>
      <w:r>
        <w:rPr>
          <w:rFonts w:hint="eastAsia" w:ascii="仿宋_GB2312" w:eastAsia="仿宋_GB2312"/>
          <w:sz w:val="28"/>
          <w:szCs w:val="28"/>
          <w:lang w:eastAsia="zh-CN"/>
        </w:rPr>
        <w:t>帕金森病健康教育</w:t>
      </w:r>
      <w:r>
        <w:rPr>
          <w:rFonts w:hint="eastAsia" w:ascii="仿宋_GB2312" w:eastAsia="仿宋_GB2312"/>
          <w:kern w:val="0"/>
          <w:sz w:val="28"/>
          <w:szCs w:val="28"/>
        </w:rPr>
        <w:t>相关的文件进行系统总结。形成了标准的基本构架，对主要内容进行了讨论并对项目的工作进行了部署和安排。</w:t>
      </w:r>
    </w:p>
    <w:p w14:paraId="66E4013E">
      <w:pPr>
        <w:spacing w:line="520" w:lineRule="exact"/>
        <w:ind w:firstLine="560" w:firstLineChars="200"/>
        <w:rPr>
          <w:sz w:val="28"/>
          <w:szCs w:val="28"/>
        </w:rPr>
      </w:pPr>
      <w:r>
        <w:rPr>
          <w:rFonts w:hint="eastAsia" w:ascii="仿宋_GB2312" w:eastAsia="仿宋_GB2312"/>
          <w:kern w:val="0"/>
          <w:sz w:val="28"/>
          <w:szCs w:val="28"/>
        </w:rPr>
        <w:t>2025年</w:t>
      </w:r>
      <w:r>
        <w:rPr>
          <w:rFonts w:hint="eastAsia" w:ascii="仿宋_GB2312" w:eastAsia="仿宋_GB2312"/>
          <w:kern w:val="0"/>
          <w:sz w:val="28"/>
          <w:szCs w:val="28"/>
          <w:lang w:val="en-US" w:eastAsia="zh-CN"/>
        </w:rPr>
        <w:t>5</w:t>
      </w:r>
      <w:r>
        <w:rPr>
          <w:rFonts w:hint="eastAsia" w:ascii="仿宋_GB2312" w:eastAsia="仿宋_GB2312"/>
          <w:kern w:val="0"/>
          <w:sz w:val="28"/>
          <w:szCs w:val="28"/>
        </w:rPr>
        <w:t>月，团体标准《</w:t>
      </w:r>
      <w:r>
        <w:rPr>
          <w:rFonts w:hint="eastAsia" w:ascii="仿宋_GB2312" w:eastAsia="仿宋_GB2312"/>
          <w:kern w:val="0"/>
          <w:sz w:val="28"/>
          <w:szCs w:val="28"/>
          <w:lang w:eastAsia="zh-CN"/>
        </w:rPr>
        <w:t>帕金森病健康教育</w:t>
      </w:r>
      <w:r>
        <w:rPr>
          <w:rFonts w:hint="eastAsia" w:ascii="仿宋_GB2312" w:eastAsia="仿宋_GB2312"/>
          <w:kern w:val="0"/>
          <w:sz w:val="28"/>
          <w:szCs w:val="28"/>
        </w:rPr>
        <w:t>规范》</w:t>
      </w:r>
      <w:r>
        <w:rPr>
          <w:rFonts w:hint="eastAsia" w:ascii="仿宋_GB2312" w:hAnsi="宋体" w:eastAsia="仿宋_GB2312"/>
          <w:sz w:val="28"/>
          <w:szCs w:val="28"/>
        </w:rPr>
        <w:t>获批立项</w:t>
      </w:r>
      <w:r>
        <w:rPr>
          <w:rFonts w:hint="eastAsia" w:ascii="仿宋_GB2312" w:eastAsia="仿宋_GB2312"/>
          <w:kern w:val="0"/>
          <w:sz w:val="28"/>
          <w:szCs w:val="28"/>
        </w:rPr>
        <w:t>，在前期工作的基础之上，通过理清逻辑脉络，整合已有参考资料中有关</w:t>
      </w:r>
      <w:r>
        <w:rPr>
          <w:rFonts w:hint="eastAsia" w:ascii="仿宋_GB2312" w:eastAsia="仿宋_GB2312"/>
          <w:sz w:val="28"/>
          <w:szCs w:val="28"/>
          <w:lang w:eastAsia="zh-CN"/>
        </w:rPr>
        <w:t>帕金森病健康教育</w:t>
      </w:r>
      <w:r>
        <w:rPr>
          <w:rFonts w:hint="eastAsia" w:ascii="仿宋_GB2312" w:eastAsia="仿宋_GB2312"/>
          <w:kern w:val="0"/>
          <w:sz w:val="28"/>
          <w:szCs w:val="28"/>
        </w:rPr>
        <w:t>的要求，并在目前</w:t>
      </w:r>
      <w:r>
        <w:rPr>
          <w:rFonts w:hint="eastAsia" w:ascii="仿宋_GB2312" w:eastAsia="仿宋_GB2312"/>
          <w:sz w:val="28"/>
          <w:szCs w:val="28"/>
          <w:lang w:eastAsia="zh-CN"/>
        </w:rPr>
        <w:t>帕金森病健康教育</w:t>
      </w:r>
      <w:r>
        <w:rPr>
          <w:rFonts w:hint="eastAsia" w:ascii="仿宋_GB2312" w:eastAsia="仿宋_GB2312"/>
          <w:kern w:val="0"/>
          <w:sz w:val="28"/>
          <w:szCs w:val="28"/>
        </w:rPr>
        <w:t>的基础上，按照简化、统一等原则编制完成团体标准《</w:t>
      </w:r>
      <w:r>
        <w:rPr>
          <w:rFonts w:hint="eastAsia" w:ascii="仿宋_GB2312" w:eastAsia="仿宋_GB2312"/>
          <w:kern w:val="0"/>
          <w:sz w:val="28"/>
          <w:szCs w:val="28"/>
          <w:lang w:eastAsia="zh-CN"/>
        </w:rPr>
        <w:t>帕金森病健康教育</w:t>
      </w:r>
      <w:r>
        <w:rPr>
          <w:rFonts w:hint="eastAsia" w:ascii="仿宋_GB2312" w:eastAsia="仿宋_GB2312"/>
          <w:kern w:val="0"/>
          <w:sz w:val="28"/>
          <w:szCs w:val="28"/>
        </w:rPr>
        <w:t>规范》（草案）。</w:t>
      </w:r>
    </w:p>
    <w:p w14:paraId="2B0E0273">
      <w:pPr>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2025年</w:t>
      </w:r>
      <w:r>
        <w:rPr>
          <w:rFonts w:hint="eastAsia" w:ascii="仿宋_GB2312" w:eastAsia="仿宋_GB2312"/>
          <w:kern w:val="0"/>
          <w:sz w:val="28"/>
          <w:szCs w:val="28"/>
          <w:lang w:val="en-US" w:eastAsia="zh-CN"/>
        </w:rPr>
        <w:t>6</w:t>
      </w:r>
      <w:r>
        <w:rPr>
          <w:rFonts w:hint="eastAsia" w:ascii="仿宋_GB2312" w:eastAsia="仿宋_GB2312"/>
          <w:kern w:val="0"/>
          <w:sz w:val="28"/>
          <w:szCs w:val="28"/>
        </w:rPr>
        <w:t>月-7月，标准编制工作组深入广西中医药大学附属瑞康医院、广西医科大学第二附属医院、柳州市中医医院、桂林市中医医院、桂林市中西医结合医院等各</w:t>
      </w:r>
      <w:r>
        <w:rPr>
          <w:rFonts w:hint="eastAsia" w:ascii="仿宋_GB2312" w:eastAsia="仿宋_GB2312"/>
          <w:kern w:val="0"/>
          <w:sz w:val="28"/>
          <w:szCs w:val="28"/>
          <w:lang w:eastAsia="zh-CN"/>
        </w:rPr>
        <w:t>医院</w:t>
      </w:r>
      <w:r>
        <w:rPr>
          <w:rFonts w:hint="eastAsia" w:ascii="仿宋_GB2312" w:eastAsia="仿宋_GB2312"/>
          <w:kern w:val="0"/>
          <w:sz w:val="28"/>
          <w:szCs w:val="28"/>
        </w:rPr>
        <w:t>实施</w:t>
      </w:r>
      <w:r>
        <w:rPr>
          <w:rFonts w:hint="eastAsia" w:ascii="仿宋_GB2312" w:eastAsia="仿宋_GB2312"/>
          <w:kern w:val="0"/>
          <w:sz w:val="28"/>
          <w:szCs w:val="28"/>
          <w:lang w:eastAsia="zh-CN"/>
        </w:rPr>
        <w:t>帕金森病健康教育</w:t>
      </w:r>
      <w:r>
        <w:rPr>
          <w:rFonts w:hint="eastAsia" w:ascii="仿宋_GB2312" w:hAnsi="宋体" w:eastAsia="仿宋_GB2312"/>
          <w:sz w:val="28"/>
          <w:szCs w:val="28"/>
        </w:rPr>
        <w:t>的有代表性的医院</w:t>
      </w:r>
      <w:r>
        <w:rPr>
          <w:rFonts w:hint="eastAsia" w:ascii="仿宋_GB2312" w:eastAsia="仿宋_GB2312"/>
          <w:kern w:val="0"/>
          <w:sz w:val="28"/>
          <w:szCs w:val="28"/>
        </w:rPr>
        <w:t>进行实地调研，并组织起草单位等召开标准研讨会，收集反馈了大量意见，对标准草案进行了反复修改和研究讨论，掌握了</w:t>
      </w:r>
      <w:r>
        <w:rPr>
          <w:rFonts w:hint="eastAsia" w:ascii="仿宋_GB2312" w:eastAsia="仿宋_GB2312"/>
          <w:kern w:val="0"/>
          <w:sz w:val="28"/>
          <w:szCs w:val="28"/>
          <w:lang w:eastAsia="zh-CN"/>
        </w:rPr>
        <w:t>帕金森病健康教育</w:t>
      </w:r>
      <w:r>
        <w:rPr>
          <w:rFonts w:hint="eastAsia" w:ascii="仿宋_GB2312" w:eastAsia="仿宋_GB2312"/>
          <w:kern w:val="0"/>
          <w:sz w:val="28"/>
          <w:szCs w:val="28"/>
        </w:rPr>
        <w:t>的基本情况以及要求，最终形成了</w:t>
      </w:r>
      <w:bookmarkStart w:id="0" w:name="_Hlk120181503"/>
      <w:r>
        <w:rPr>
          <w:rFonts w:hint="eastAsia" w:ascii="仿宋_GB2312" w:eastAsia="仿宋_GB2312"/>
          <w:kern w:val="0"/>
          <w:sz w:val="28"/>
          <w:szCs w:val="28"/>
        </w:rPr>
        <w:t>团体标准《</w:t>
      </w:r>
      <w:r>
        <w:rPr>
          <w:rFonts w:hint="eastAsia" w:ascii="仿宋_GB2312" w:eastAsia="仿宋_GB2312"/>
          <w:kern w:val="0"/>
          <w:sz w:val="28"/>
          <w:szCs w:val="28"/>
          <w:lang w:eastAsia="zh-CN"/>
        </w:rPr>
        <w:t>帕金森病健康教育</w:t>
      </w:r>
      <w:r>
        <w:rPr>
          <w:rFonts w:hint="eastAsia" w:ascii="仿宋_GB2312" w:eastAsia="仿宋_GB2312"/>
          <w:kern w:val="0"/>
          <w:sz w:val="28"/>
          <w:szCs w:val="28"/>
        </w:rPr>
        <w:t>规范》（征求意见稿）及其编制说明。</w:t>
      </w:r>
      <w:bookmarkEnd w:id="0"/>
    </w:p>
    <w:p w14:paraId="58C3D290">
      <w:pPr>
        <w:autoSpaceDE w:val="0"/>
        <w:autoSpaceDN w:val="0"/>
        <w:adjustRightInd w:val="0"/>
        <w:spacing w:line="520" w:lineRule="exact"/>
        <w:ind w:firstLine="640" w:firstLineChars="200"/>
        <w:jc w:val="left"/>
        <w:rPr>
          <w:rFonts w:ascii="黑体" w:eastAsia="黑体" w:cs="仿宋_GB2312"/>
          <w:sz w:val="32"/>
          <w:szCs w:val="32"/>
        </w:rPr>
      </w:pPr>
      <w:r>
        <w:rPr>
          <w:rFonts w:hint="eastAsia" w:ascii="黑体" w:eastAsia="黑体" w:cs="仿宋_GB2312"/>
          <w:sz w:val="32"/>
          <w:szCs w:val="32"/>
        </w:rPr>
        <w:t>四、制定标准的原则和依据，与现行法律、法规的关系，与有关国家标准、行业标准的协调情况</w:t>
      </w:r>
    </w:p>
    <w:p w14:paraId="271D6467">
      <w:pPr>
        <w:widowControl/>
        <w:tabs>
          <w:tab w:val="center" w:pos="4201"/>
          <w:tab w:val="right" w:leader="dot" w:pos="9298"/>
        </w:tabs>
        <w:autoSpaceDE w:val="0"/>
        <w:autoSpaceDN w:val="0"/>
        <w:spacing w:line="520" w:lineRule="exact"/>
        <w:ind w:firstLine="562" w:firstLineChars="200"/>
        <w:outlineLvl w:val="1"/>
        <w:rPr>
          <w:rFonts w:ascii="仿宋_GB2312" w:eastAsia="仿宋_GB2312"/>
          <w:b/>
          <w:bCs/>
          <w:kern w:val="0"/>
          <w:sz w:val="28"/>
          <w:szCs w:val="28"/>
        </w:rPr>
      </w:pPr>
      <w:r>
        <w:rPr>
          <w:rFonts w:hint="eastAsia" w:ascii="仿宋_GB2312" w:eastAsia="仿宋_GB2312"/>
          <w:b/>
          <w:bCs/>
          <w:kern w:val="0"/>
          <w:sz w:val="28"/>
          <w:szCs w:val="28"/>
        </w:rPr>
        <w:t>（一）编制原则</w:t>
      </w:r>
    </w:p>
    <w:p w14:paraId="49B2D13B">
      <w:pPr>
        <w:spacing w:line="520" w:lineRule="exact"/>
        <w:ind w:firstLine="562" w:firstLineChars="200"/>
        <w:rPr>
          <w:rFonts w:ascii="仿宋_GB2312" w:eastAsia="仿宋_GB2312"/>
          <w:b/>
          <w:sz w:val="28"/>
          <w:szCs w:val="28"/>
        </w:rPr>
      </w:pPr>
      <w:r>
        <w:rPr>
          <w:rFonts w:hint="eastAsia" w:ascii="仿宋_GB2312" w:eastAsia="仿宋_GB2312"/>
          <w:b/>
          <w:sz w:val="28"/>
          <w:szCs w:val="28"/>
        </w:rPr>
        <w:t>1、实用性原则</w:t>
      </w:r>
    </w:p>
    <w:p w14:paraId="05B93C23">
      <w:pPr>
        <w:spacing w:line="520" w:lineRule="exact"/>
        <w:ind w:firstLine="560" w:firstLineChars="200"/>
        <w:rPr>
          <w:rFonts w:ascii="仿宋_GB2312" w:eastAsia="仿宋_GB2312" w:cs="仿宋"/>
          <w:sz w:val="28"/>
          <w:szCs w:val="28"/>
        </w:rPr>
      </w:pPr>
      <w:r>
        <w:rPr>
          <w:rFonts w:hint="eastAsia" w:ascii="仿宋_GB2312" w:eastAsia="仿宋_GB2312" w:cs="仿宋"/>
          <w:sz w:val="28"/>
          <w:szCs w:val="28"/>
        </w:rPr>
        <w:t>本标准是在充分收集国内外相关资料和文献、调研分析</w:t>
      </w:r>
      <w:r>
        <w:rPr>
          <w:rFonts w:hint="eastAsia" w:ascii="仿宋_GB2312" w:eastAsia="仿宋_GB2312"/>
          <w:kern w:val="0"/>
          <w:sz w:val="28"/>
          <w:szCs w:val="28"/>
          <w:lang w:eastAsia="zh-CN"/>
        </w:rPr>
        <w:t>帕金森病健康教育</w:t>
      </w:r>
      <w:r>
        <w:rPr>
          <w:rFonts w:hint="eastAsia" w:ascii="仿宋_GB2312" w:eastAsia="仿宋_GB2312" w:cs="仿宋"/>
          <w:sz w:val="28"/>
          <w:szCs w:val="28"/>
        </w:rPr>
        <w:t>现状，结合起草单位前期研究工作取得的研究成果及积累的实践经验，并借鉴国内</w:t>
      </w:r>
      <w:r>
        <w:rPr>
          <w:rFonts w:hint="eastAsia" w:ascii="仿宋_GB2312" w:eastAsia="仿宋_GB2312"/>
          <w:kern w:val="0"/>
          <w:sz w:val="28"/>
          <w:szCs w:val="28"/>
          <w:lang w:eastAsia="zh-CN"/>
        </w:rPr>
        <w:t>帕金森病健康教育</w:t>
      </w:r>
      <w:r>
        <w:rPr>
          <w:rFonts w:hint="eastAsia" w:ascii="仿宋_GB2312" w:eastAsia="仿宋_GB2312" w:cs="仿宋"/>
          <w:sz w:val="28"/>
          <w:szCs w:val="28"/>
        </w:rPr>
        <w:t>进行总结起草的，符合工作实际，利于</w:t>
      </w:r>
      <w:r>
        <w:rPr>
          <w:rFonts w:hint="eastAsia" w:ascii="仿宋_GB2312" w:eastAsia="仿宋_GB2312"/>
          <w:kern w:val="0"/>
          <w:sz w:val="28"/>
          <w:szCs w:val="28"/>
          <w:lang w:eastAsia="zh-CN"/>
        </w:rPr>
        <w:t>帕金森病健康教育</w:t>
      </w:r>
      <w:r>
        <w:rPr>
          <w:rFonts w:hint="eastAsia" w:ascii="仿宋_GB2312" w:eastAsia="仿宋_GB2312" w:cs="仿宋"/>
          <w:sz w:val="28"/>
          <w:szCs w:val="28"/>
        </w:rPr>
        <w:t>的实施与推广，具有可操作性和实用性。</w:t>
      </w:r>
    </w:p>
    <w:p w14:paraId="41534A43">
      <w:pPr>
        <w:spacing w:line="520" w:lineRule="exact"/>
        <w:ind w:firstLine="562" w:firstLineChars="200"/>
        <w:rPr>
          <w:rFonts w:ascii="仿宋_GB2312" w:eastAsia="仿宋_GB2312"/>
          <w:b/>
          <w:sz w:val="28"/>
          <w:szCs w:val="28"/>
        </w:rPr>
      </w:pPr>
      <w:r>
        <w:rPr>
          <w:rFonts w:hint="eastAsia" w:ascii="仿宋_GB2312" w:eastAsia="仿宋_GB2312"/>
          <w:b/>
          <w:sz w:val="28"/>
          <w:szCs w:val="28"/>
        </w:rPr>
        <w:t>2、协调性原则</w:t>
      </w:r>
    </w:p>
    <w:p w14:paraId="52512CCA">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本文件编写过程中注意了与</w:t>
      </w:r>
      <w:r>
        <w:rPr>
          <w:rFonts w:hint="eastAsia" w:ascii="仿宋_GB2312" w:eastAsia="仿宋_GB2312"/>
          <w:kern w:val="0"/>
          <w:sz w:val="28"/>
          <w:szCs w:val="28"/>
          <w:lang w:eastAsia="zh-CN"/>
        </w:rPr>
        <w:t>帕金森病健康教育</w:t>
      </w:r>
      <w:r>
        <w:rPr>
          <w:rFonts w:hint="eastAsia" w:ascii="仿宋_GB2312" w:eastAsia="仿宋_GB2312"/>
          <w:sz w:val="28"/>
          <w:szCs w:val="28"/>
        </w:rPr>
        <w:t>相关法律法规的协调问题，在内容上与现行法律法规、标准协调一致。</w:t>
      </w:r>
    </w:p>
    <w:p w14:paraId="74DB7C34">
      <w:pPr>
        <w:spacing w:line="520" w:lineRule="exact"/>
        <w:ind w:firstLine="562" w:firstLineChars="200"/>
        <w:rPr>
          <w:rFonts w:ascii="仿宋_GB2312" w:eastAsia="仿宋_GB2312"/>
          <w:b/>
          <w:sz w:val="28"/>
          <w:szCs w:val="28"/>
        </w:rPr>
      </w:pPr>
      <w:r>
        <w:rPr>
          <w:rFonts w:hint="eastAsia" w:ascii="仿宋_GB2312" w:eastAsia="仿宋_GB2312"/>
          <w:b/>
          <w:sz w:val="28"/>
          <w:szCs w:val="28"/>
        </w:rPr>
        <w:t>3、规范性原则</w:t>
      </w:r>
    </w:p>
    <w:p w14:paraId="70BA34D5">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本文件严格按照GB/T 1.1—2020《标准化工作导则  第1部分：标准化文件的结构和起草规则》编写本标准的内容，保证标准的编写质量。</w:t>
      </w:r>
    </w:p>
    <w:p w14:paraId="6E17638F">
      <w:pPr>
        <w:spacing w:line="520" w:lineRule="exact"/>
        <w:ind w:firstLine="562" w:firstLineChars="200"/>
        <w:rPr>
          <w:rFonts w:ascii="仿宋_GB2312" w:eastAsia="仿宋_GB2312"/>
          <w:b/>
          <w:sz w:val="28"/>
          <w:szCs w:val="28"/>
        </w:rPr>
      </w:pPr>
      <w:r>
        <w:rPr>
          <w:rFonts w:hint="eastAsia" w:ascii="仿宋_GB2312" w:eastAsia="仿宋_GB2312"/>
          <w:b/>
          <w:sz w:val="28"/>
          <w:szCs w:val="28"/>
        </w:rPr>
        <w:t>4、前瞻性原则</w:t>
      </w:r>
    </w:p>
    <w:p w14:paraId="5709C23C">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本文件在兼顾当前区内</w:t>
      </w:r>
      <w:r>
        <w:rPr>
          <w:rFonts w:hint="eastAsia" w:ascii="仿宋_GB2312" w:eastAsia="仿宋_GB2312"/>
          <w:kern w:val="0"/>
          <w:sz w:val="28"/>
          <w:szCs w:val="28"/>
          <w:lang w:eastAsia="zh-CN"/>
        </w:rPr>
        <w:t>帕金森病健康教育</w:t>
      </w:r>
      <w:r>
        <w:rPr>
          <w:rFonts w:hint="eastAsia" w:ascii="仿宋_GB2312" w:eastAsia="仿宋_GB2312"/>
          <w:sz w:val="28"/>
          <w:szCs w:val="28"/>
        </w:rPr>
        <w:t>现实情况的同时，还考虑到了</w:t>
      </w:r>
      <w:r>
        <w:rPr>
          <w:rFonts w:hint="eastAsia" w:ascii="仿宋_GB2312" w:eastAsia="仿宋_GB2312"/>
          <w:kern w:val="0"/>
          <w:sz w:val="28"/>
          <w:szCs w:val="28"/>
          <w:lang w:eastAsia="zh-CN"/>
        </w:rPr>
        <w:t>帕金森病健康教育</w:t>
      </w:r>
      <w:r>
        <w:rPr>
          <w:rFonts w:hint="eastAsia" w:ascii="仿宋_GB2312" w:eastAsia="仿宋_GB2312"/>
          <w:sz w:val="28"/>
          <w:szCs w:val="28"/>
        </w:rPr>
        <w:t>的需要，在标准中体现了个别特色性、前瞻性和先进性条款，作为对</w:t>
      </w:r>
      <w:r>
        <w:rPr>
          <w:rFonts w:hint="eastAsia" w:ascii="仿宋_GB2312" w:eastAsia="仿宋_GB2312"/>
          <w:kern w:val="0"/>
          <w:sz w:val="28"/>
          <w:szCs w:val="28"/>
          <w:lang w:eastAsia="zh-CN"/>
        </w:rPr>
        <w:t>帕金森病健康教育</w:t>
      </w:r>
      <w:r>
        <w:rPr>
          <w:rFonts w:hint="eastAsia" w:ascii="仿宋_GB2312" w:eastAsia="仿宋_GB2312"/>
          <w:sz w:val="28"/>
          <w:szCs w:val="28"/>
        </w:rPr>
        <w:t>发展的指导。</w:t>
      </w:r>
    </w:p>
    <w:p w14:paraId="28036EA4">
      <w:pPr>
        <w:spacing w:line="520" w:lineRule="exact"/>
        <w:ind w:firstLine="562" w:firstLineChars="200"/>
        <w:rPr>
          <w:rFonts w:ascii="仿宋_GB2312" w:eastAsia="仿宋_GB2312"/>
          <w:b/>
          <w:bCs/>
          <w:sz w:val="28"/>
          <w:szCs w:val="28"/>
        </w:rPr>
      </w:pPr>
      <w:r>
        <w:rPr>
          <w:rFonts w:hint="eastAsia" w:ascii="仿宋_GB2312" w:eastAsia="仿宋_GB2312"/>
          <w:b/>
          <w:bCs/>
          <w:sz w:val="28"/>
          <w:szCs w:val="28"/>
        </w:rPr>
        <w:t>（二）编制依据</w:t>
      </w:r>
    </w:p>
    <w:p w14:paraId="2E4A3F7C">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本标准严格按照GB/T 1.1—2020《标准化工作导则  第1部分：标准化文件的结构和起草规则》的规则起草，标准主要内容依据起草单位在</w:t>
      </w:r>
      <w:r>
        <w:rPr>
          <w:rFonts w:hint="eastAsia" w:ascii="仿宋_GB2312" w:eastAsia="仿宋_GB2312"/>
          <w:kern w:val="0"/>
          <w:sz w:val="28"/>
          <w:szCs w:val="28"/>
          <w:lang w:eastAsia="zh-CN"/>
        </w:rPr>
        <w:t>帕金森病健康教育</w:t>
      </w:r>
      <w:r>
        <w:rPr>
          <w:rFonts w:hint="eastAsia" w:ascii="仿宋_GB2312" w:eastAsia="仿宋_GB2312"/>
          <w:sz w:val="28"/>
          <w:szCs w:val="28"/>
        </w:rPr>
        <w:t>研究应用过程中的实践经验确定。</w:t>
      </w:r>
    </w:p>
    <w:p w14:paraId="5D035386">
      <w:pPr>
        <w:spacing w:line="520" w:lineRule="exact"/>
        <w:ind w:firstLine="562" w:firstLineChars="200"/>
        <w:rPr>
          <w:rFonts w:ascii="仿宋_GB2312" w:eastAsia="仿宋_GB2312"/>
          <w:b/>
          <w:bCs/>
          <w:sz w:val="28"/>
          <w:szCs w:val="28"/>
        </w:rPr>
      </w:pPr>
      <w:r>
        <w:rPr>
          <w:rFonts w:hint="eastAsia" w:ascii="仿宋_GB2312" w:eastAsia="仿宋_GB2312"/>
          <w:b/>
          <w:bCs/>
          <w:sz w:val="28"/>
          <w:szCs w:val="28"/>
        </w:rPr>
        <w:t>（三）与现行法律、法规的关系，与有关国家标准、行业标准的协调情况</w:t>
      </w:r>
    </w:p>
    <w:p w14:paraId="3917549A">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本标准与相关法律法规、强制性标准协调一致，无冲突。</w:t>
      </w:r>
    </w:p>
    <w:p w14:paraId="4696574D">
      <w:pPr>
        <w:adjustRightInd w:val="0"/>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经查阅，目前暂无与“</w:t>
      </w:r>
      <w:r>
        <w:rPr>
          <w:rFonts w:hint="eastAsia" w:ascii="仿宋_GB2312" w:eastAsia="仿宋_GB2312"/>
          <w:sz w:val="28"/>
          <w:szCs w:val="28"/>
          <w:lang w:eastAsia="zh-CN"/>
        </w:rPr>
        <w:t>帕金森病健康教育</w:t>
      </w:r>
      <w:r>
        <w:rPr>
          <w:rFonts w:hint="eastAsia" w:ascii="仿宋_GB2312" w:eastAsia="仿宋_GB2312"/>
          <w:sz w:val="28"/>
          <w:szCs w:val="28"/>
        </w:rPr>
        <w:t>规范”相关的标准，与“帕金森病”有关的标准有：DB64/T 1523.5-2018老年慢性病护理服务规范 第5部分：帕金森病；分析如下：</w:t>
      </w:r>
    </w:p>
    <w:p w14:paraId="50673BA4">
      <w:pPr>
        <w:adjustRightInd w:val="0"/>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《DB64/T 1523.5-2018  老年慢性病护理服务规范 第5部分：帕金森病》规范了帕金森病的定义、病因、症状、健康评估、护理诊断、护理措施、护理流程、质量评估，适用于宁夏回族自治区行政区域内养老机构、居家和社区养老服务场所提供的护理服务。</w:t>
      </w:r>
    </w:p>
    <w:p w14:paraId="1C503AB9">
      <w:pPr>
        <w:adjustRightInd w:val="0"/>
        <w:snapToGrid w:val="0"/>
        <w:spacing w:line="520" w:lineRule="exact"/>
        <w:ind w:firstLine="560" w:firstLineChars="200"/>
      </w:pPr>
      <w:r>
        <w:rPr>
          <w:rFonts w:hint="eastAsia" w:ascii="仿宋_GB2312" w:eastAsia="仿宋_GB2312"/>
          <w:sz w:val="28"/>
          <w:szCs w:val="28"/>
        </w:rPr>
        <w:t>综上所述，本标准主要针对帕金森病健康教育提出要求，相较于帕金森病护理服务，本标准针对帕金森病健康教育，更具针对性，与上述现行标准的侧重点和核心内容均存在差异，将有效指导帕金森病健康教育</w:t>
      </w:r>
      <w:r>
        <w:rPr>
          <w:rFonts w:hint="eastAsia" w:ascii="仿宋_GB2312" w:eastAsia="仿宋_GB2312" w:cs="仿宋"/>
          <w:bCs/>
          <w:sz w:val="28"/>
          <w:szCs w:val="28"/>
        </w:rPr>
        <w:t>。</w:t>
      </w:r>
    </w:p>
    <w:p w14:paraId="01EB6A88">
      <w:pPr>
        <w:spacing w:before="240" w:after="60" w:line="520" w:lineRule="exact"/>
        <w:ind w:firstLine="640" w:firstLineChars="200"/>
        <w:jc w:val="left"/>
        <w:outlineLvl w:val="0"/>
        <w:rPr>
          <w:rFonts w:ascii="黑体" w:eastAsia="黑体"/>
          <w:bCs/>
          <w:sz w:val="32"/>
          <w:szCs w:val="32"/>
        </w:rPr>
      </w:pPr>
      <w:r>
        <w:rPr>
          <w:rFonts w:hint="eastAsia" w:ascii="黑体" w:eastAsia="黑体"/>
          <w:bCs/>
          <w:sz w:val="32"/>
          <w:szCs w:val="32"/>
        </w:rPr>
        <w:t>五、主要条款的说明</w:t>
      </w:r>
    </w:p>
    <w:p w14:paraId="06912F65">
      <w:pPr>
        <w:pStyle w:val="29"/>
        <w:spacing w:line="520" w:lineRule="exact"/>
        <w:ind w:firstLine="562"/>
        <w:rPr>
          <w:rFonts w:hint="eastAsia" w:ascii="仿宋_GB2312" w:eastAsia="仿宋_GB2312" w:cs="仿宋"/>
          <w:sz w:val="28"/>
          <w:szCs w:val="28"/>
        </w:rPr>
      </w:pPr>
      <w:r>
        <w:rPr>
          <w:rFonts w:hint="eastAsia" w:ascii="仿宋_GB2312" w:eastAsia="仿宋_GB2312" w:cs="仿宋"/>
          <w:b/>
          <w:bCs/>
          <w:sz w:val="28"/>
          <w:szCs w:val="28"/>
        </w:rPr>
        <w:t>标准核心技术主要在于</w:t>
      </w:r>
      <w:r>
        <w:rPr>
          <w:rFonts w:hint="eastAsia" w:ascii="仿宋_GB2312" w:eastAsia="仿宋_GB2312" w:cs="仿宋"/>
          <w:b/>
          <w:bCs/>
          <w:sz w:val="28"/>
          <w:szCs w:val="28"/>
          <w:lang w:eastAsia="zh-CN"/>
        </w:rPr>
        <w:t>：</w:t>
      </w:r>
      <w:r>
        <w:rPr>
          <w:rFonts w:hint="eastAsia" w:ascii="仿宋_GB2312" w:eastAsia="仿宋_GB2312" w:cs="仿宋"/>
          <w:b w:val="0"/>
          <w:bCs w:val="0"/>
          <w:sz w:val="28"/>
          <w:szCs w:val="28"/>
        </w:rPr>
        <w:t>基于慢性病轨迹框架理论，通过循证研究及德尔菲法，构建了帕金森病中西医结合健康教育方案。该方案整合中西医优势，具备较高的科学性、可靠性与可行性性，可为帕金森病全程健康管理提供标准化工具，为临床护士开展帕金森健康教育工作提供循证依据，有效指导护士临床实践。</w:t>
      </w:r>
      <w:r>
        <w:rPr>
          <w:rFonts w:hint="eastAsia" w:ascii="仿宋_GB2312" w:eastAsia="仿宋_GB2312" w:cs="仿宋"/>
          <w:sz w:val="28"/>
          <w:szCs w:val="28"/>
        </w:rPr>
        <w:t>通过个性化指导、媒体科普、专题讲座、健康宣教手册和视频等多元化教育模式，将健康教育内容精准、高效地传达给</w:t>
      </w:r>
      <w:r>
        <w:rPr>
          <w:rFonts w:hint="eastAsia" w:ascii="仿宋_GB2312" w:eastAsia="仿宋_GB2312" w:cs="仿宋"/>
          <w:sz w:val="28"/>
          <w:szCs w:val="28"/>
          <w:lang w:eastAsia="zh-CN"/>
        </w:rPr>
        <w:t>高危人群、</w:t>
      </w:r>
      <w:r>
        <w:rPr>
          <w:rFonts w:hint="eastAsia" w:ascii="仿宋_GB2312" w:eastAsia="仿宋_GB2312" w:cs="仿宋"/>
          <w:sz w:val="28"/>
          <w:szCs w:val="28"/>
        </w:rPr>
        <w:t>患者及其照顾者，可有效提高</w:t>
      </w:r>
      <w:r>
        <w:rPr>
          <w:rFonts w:hint="eastAsia" w:ascii="仿宋_GB2312" w:eastAsia="仿宋_GB2312" w:cs="仿宋"/>
          <w:sz w:val="28"/>
          <w:szCs w:val="28"/>
          <w:lang w:eastAsia="zh-CN"/>
        </w:rPr>
        <w:t>高危人群、</w:t>
      </w:r>
      <w:r>
        <w:rPr>
          <w:rFonts w:hint="eastAsia" w:ascii="仿宋_GB2312" w:eastAsia="仿宋_GB2312" w:cs="仿宋"/>
          <w:sz w:val="28"/>
          <w:szCs w:val="28"/>
        </w:rPr>
        <w:t>患者及其照顾者对健康教育内容的接受度和理解度。通过照顾者回授法教育、病友会、家庭访视等教育方式，可加强与患者及其照顾者的互动和沟通，有助于建立良好的医患关系，提高康复的依从性和满意度。</w:t>
      </w:r>
    </w:p>
    <w:p w14:paraId="0F03DFF6">
      <w:pPr>
        <w:pStyle w:val="29"/>
        <w:spacing w:line="520" w:lineRule="exact"/>
        <w:ind w:firstLine="562"/>
        <w:rPr>
          <w:rFonts w:hint="eastAsia" w:ascii="仿宋_GB2312" w:eastAsia="仿宋_GB2312" w:cs="仿宋"/>
          <w:sz w:val="28"/>
          <w:szCs w:val="28"/>
        </w:rPr>
      </w:pPr>
      <w:r>
        <w:rPr>
          <w:rFonts w:hint="eastAsia" w:ascii="仿宋_GB2312" w:eastAsia="仿宋_GB2312" w:cs="仿宋"/>
          <w:sz w:val="28"/>
          <w:szCs w:val="28"/>
          <w:lang w:eastAsia="zh-CN"/>
        </w:rPr>
        <w:t>针对</w:t>
      </w:r>
      <w:r>
        <w:rPr>
          <w:rFonts w:hint="eastAsia" w:ascii="仿宋_GB2312" w:eastAsia="仿宋_GB2312" w:cs="仿宋"/>
          <w:sz w:val="28"/>
          <w:szCs w:val="28"/>
        </w:rPr>
        <w:t>帕金森病</w:t>
      </w:r>
      <w:r>
        <w:rPr>
          <w:rFonts w:hint="eastAsia" w:ascii="仿宋_GB2312" w:eastAsia="仿宋_GB2312" w:cs="仿宋"/>
          <w:sz w:val="28"/>
          <w:szCs w:val="28"/>
          <w:lang w:eastAsia="zh-CN"/>
        </w:rPr>
        <w:t>不同人群的</w:t>
      </w:r>
      <w:r>
        <w:rPr>
          <w:rFonts w:hint="eastAsia" w:ascii="仿宋_GB2312" w:eastAsia="仿宋_GB2312" w:cs="仿宋"/>
          <w:sz w:val="28"/>
          <w:szCs w:val="28"/>
        </w:rPr>
        <w:t>健康教育</w:t>
      </w:r>
      <w:r>
        <w:rPr>
          <w:rFonts w:hint="eastAsia" w:ascii="仿宋_GB2312" w:eastAsia="仿宋_GB2312" w:cs="仿宋"/>
          <w:sz w:val="28"/>
          <w:szCs w:val="28"/>
          <w:lang w:eastAsia="zh-CN"/>
        </w:rPr>
        <w:t>方案，</w:t>
      </w:r>
      <w:r>
        <w:rPr>
          <w:rFonts w:hint="eastAsia" w:ascii="仿宋_GB2312" w:eastAsia="仿宋_GB2312" w:cs="仿宋"/>
          <w:sz w:val="28"/>
          <w:szCs w:val="28"/>
        </w:rPr>
        <w:t>共发放192份问卷表，回收有效问卷188份，问卷有效回收率为97.92%，护士对方案的可行性测评</w:t>
      </w:r>
      <w:r>
        <w:rPr>
          <w:rFonts w:hint="eastAsia" w:ascii="仿宋_GB2312" w:eastAsia="仿宋_GB2312" w:cs="仿宋"/>
          <w:sz w:val="28"/>
          <w:szCs w:val="28"/>
          <w:lang w:eastAsia="zh-CN"/>
        </w:rPr>
        <w:t>见</w:t>
      </w:r>
      <w:r>
        <w:rPr>
          <w:rFonts w:hint="eastAsia" w:ascii="仿宋_GB2312" w:eastAsia="仿宋_GB2312" w:cs="仿宋"/>
          <w:sz w:val="28"/>
          <w:szCs w:val="28"/>
        </w:rPr>
        <w:t>表</w:t>
      </w:r>
      <w:r>
        <w:rPr>
          <w:rFonts w:hint="eastAsia" w:ascii="仿宋_GB2312" w:eastAsia="仿宋_GB2312" w:cs="仿宋"/>
          <w:sz w:val="28"/>
          <w:szCs w:val="28"/>
          <w:lang w:val="en-US" w:eastAsia="zh-CN"/>
        </w:rPr>
        <w:t>1</w:t>
      </w:r>
      <w:r>
        <w:rPr>
          <w:rFonts w:hint="eastAsia" w:ascii="仿宋_GB2312" w:eastAsia="仿宋_GB2312" w:cs="仿宋"/>
          <w:sz w:val="28"/>
          <w:szCs w:val="28"/>
        </w:rPr>
        <w:t>。</w:t>
      </w:r>
    </w:p>
    <w:p w14:paraId="1F1288A1">
      <w:pPr>
        <w:keepNext w:val="0"/>
        <w:keepLines w:val="0"/>
        <w:pageBreakBefore w:val="0"/>
        <w:widowControl/>
        <w:suppressLineNumbers w:val="0"/>
        <w:kinsoku/>
        <w:wordWrap/>
        <w:overflowPunct/>
        <w:topLinePunct w:val="0"/>
        <w:autoSpaceDE/>
        <w:autoSpaceDN/>
        <w:bidi w:val="0"/>
        <w:adjustRightInd/>
        <w:snapToGrid/>
        <w:spacing w:line="440" w:lineRule="exact"/>
        <w:ind w:firstLine="368" w:firstLineChars="200"/>
        <w:jc w:val="center"/>
        <w:textAlignment w:val="auto"/>
        <w:rPr>
          <w:rFonts w:hint="default" w:ascii="宋体" w:hAnsi="宋体" w:eastAsia="宋体" w:cs="宋体"/>
          <w:b w:val="0"/>
          <w:bCs w:val="0"/>
          <w:i w:val="0"/>
          <w:iCs w:val="0"/>
          <w:caps w:val="0"/>
          <w:color w:val="000000"/>
          <w:spacing w:val="2"/>
          <w:sz w:val="21"/>
          <w:szCs w:val="21"/>
          <w:shd w:val="clear" w:fill="FFFFFF"/>
          <w:lang w:val="en-US" w:eastAsia="zh-CN"/>
        </w:rPr>
      </w:pPr>
      <w:r>
        <w:rPr>
          <w:rFonts w:hint="eastAsia" w:ascii="宋体" w:hAnsi="宋体" w:eastAsia="宋体" w:cs="宋体"/>
          <w:b w:val="0"/>
          <w:bCs w:val="0"/>
          <w:i w:val="0"/>
          <w:iCs w:val="0"/>
          <w:caps w:val="0"/>
          <w:color w:val="000000"/>
          <w:spacing w:val="2"/>
          <w:sz w:val="18"/>
          <w:szCs w:val="18"/>
          <w:shd w:val="clear" w:fill="FFFFFF"/>
          <w:lang w:val="en-US" w:eastAsia="zh-CN"/>
        </w:rPr>
        <w:t xml:space="preserve"> 表1  方案可行性测评表</w:t>
      </w:r>
      <w:r>
        <w:rPr>
          <w:rFonts w:hint="eastAsia" w:ascii="宋体" w:hAnsi="宋体" w:eastAsia="宋体" w:cs="宋体"/>
          <w:b w:val="0"/>
          <w:bCs w:val="0"/>
          <w:i w:val="0"/>
          <w:iCs w:val="0"/>
          <w:caps w:val="0"/>
          <w:color w:val="000000"/>
          <w:spacing w:val="2"/>
          <w:sz w:val="21"/>
          <w:szCs w:val="21"/>
          <w:shd w:val="clear" w:fill="FFFFFF"/>
          <w:lang w:val="en-US" w:eastAsia="zh-CN"/>
        </w:rPr>
        <w:t xml:space="preserve">  </w:t>
      </w:r>
      <w:r>
        <w:rPr>
          <w:rFonts w:hint="eastAsia" w:eastAsia="宋体" w:cs="Times New Roman"/>
          <w:sz w:val="18"/>
          <w:szCs w:val="18"/>
          <w:lang w:val="en-US" w:eastAsia="zh-CN"/>
        </w:rPr>
        <w:t xml:space="preserve">        （分，</w:t>
      </w:r>
      <w:r>
        <w:rPr>
          <w:rFonts w:hint="eastAsia" w:eastAsia="宋体" w:cs="Times New Roman"/>
          <w:position w:val="-6"/>
          <w:sz w:val="18"/>
          <w:szCs w:val="18"/>
          <w:lang w:val="en-US" w:eastAsia="zh-CN"/>
        </w:rPr>
        <w:object>
          <v:shape id="_x0000_i1025" o:spt="75" type="#_x0000_t75" style="height:17pt;width:1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eastAsia="宋体" w:cs="Times New Roman"/>
          <w:sz w:val="18"/>
          <w:szCs w:val="18"/>
          <w:lang w:val="en-US" w:eastAsia="zh-CN"/>
        </w:rPr>
        <w:t>±</w:t>
      </w:r>
      <w:r>
        <w:rPr>
          <w:rFonts w:hint="eastAsia" w:eastAsia="宋体" w:cs="Times New Roman"/>
          <w:i/>
          <w:iCs/>
          <w:sz w:val="18"/>
          <w:szCs w:val="18"/>
          <w:lang w:val="en-US" w:eastAsia="zh-CN"/>
        </w:rPr>
        <w:t>s</w:t>
      </w:r>
      <w:r>
        <w:rPr>
          <w:rFonts w:hint="eastAsia" w:eastAsia="宋体" w:cs="Times New Roman"/>
          <w:i w:val="0"/>
          <w:iCs w:val="0"/>
          <w:sz w:val="21"/>
          <w:szCs w:val="21"/>
          <w:lang w:val="en-US" w:eastAsia="zh-CN"/>
        </w:rPr>
        <w:t>）</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3"/>
        <w:gridCol w:w="4050"/>
        <w:gridCol w:w="1449"/>
        <w:gridCol w:w="1449"/>
      </w:tblGrid>
      <w:tr w14:paraId="31AE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tcBorders>
              <w:left w:val="nil"/>
              <w:right w:val="nil"/>
            </w:tcBorders>
          </w:tcPr>
          <w:p w14:paraId="2E43F1EF">
            <w:pPr>
              <w:jc w:val="center"/>
              <w:rPr>
                <w:rFonts w:hint="eastAsia" w:eastAsia="宋体" w:cs="Times New Roman"/>
                <w:sz w:val="18"/>
                <w:szCs w:val="18"/>
                <w:vertAlign w:val="baseline"/>
                <w:lang w:val="en-US" w:eastAsia="zh-CN"/>
              </w:rPr>
            </w:pPr>
            <w:r>
              <w:rPr>
                <w:rFonts w:hint="eastAsia" w:eastAsia="宋体" w:cs="Times New Roman"/>
                <w:sz w:val="18"/>
                <w:szCs w:val="18"/>
                <w:vertAlign w:val="baseline"/>
                <w:lang w:val="en-US" w:eastAsia="zh-CN"/>
              </w:rPr>
              <w:t>维度</w:t>
            </w:r>
          </w:p>
        </w:tc>
        <w:tc>
          <w:tcPr>
            <w:tcW w:w="4050" w:type="dxa"/>
            <w:tcBorders>
              <w:left w:val="nil"/>
              <w:right w:val="nil"/>
            </w:tcBorders>
          </w:tcPr>
          <w:p w14:paraId="1245BA70">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条目</w:t>
            </w:r>
          </w:p>
        </w:tc>
        <w:tc>
          <w:tcPr>
            <w:tcW w:w="1449" w:type="dxa"/>
            <w:tcBorders>
              <w:left w:val="nil"/>
              <w:right w:val="nil"/>
            </w:tcBorders>
          </w:tcPr>
          <w:p w14:paraId="79DF0EA1">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条目得分</w:t>
            </w:r>
          </w:p>
        </w:tc>
        <w:tc>
          <w:tcPr>
            <w:tcW w:w="1449" w:type="dxa"/>
            <w:tcBorders>
              <w:left w:val="nil"/>
              <w:right w:val="nil"/>
            </w:tcBorders>
          </w:tcPr>
          <w:p w14:paraId="57503F7C">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维度得分</w:t>
            </w:r>
          </w:p>
        </w:tc>
      </w:tr>
      <w:tr w14:paraId="3542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restart"/>
            <w:tcBorders>
              <w:left w:val="nil"/>
              <w:bottom w:val="nil"/>
              <w:right w:val="nil"/>
            </w:tcBorders>
          </w:tcPr>
          <w:p w14:paraId="63D3C7A4">
            <w:pPr>
              <w:jc w:val="left"/>
              <w:rPr>
                <w:rFonts w:hint="eastAsia" w:ascii="宋体" w:hAnsi="宋体" w:eastAsia="宋体" w:cs="宋体"/>
                <w:b w:val="0"/>
                <w:bCs w:val="0"/>
                <w:i w:val="0"/>
                <w:iCs w:val="0"/>
                <w:caps w:val="0"/>
                <w:color w:val="060607"/>
                <w:spacing w:val="2"/>
                <w:sz w:val="18"/>
                <w:szCs w:val="18"/>
                <w:shd w:val="clear" w:fill="FFFFFF"/>
                <w:lang w:val="en-US" w:eastAsia="zh-CN"/>
              </w:rPr>
            </w:pPr>
            <w:r>
              <w:rPr>
                <w:rFonts w:hint="default" w:ascii="宋体" w:hAnsi="宋体" w:eastAsia="宋体" w:cs="宋体"/>
                <w:b w:val="0"/>
                <w:bCs w:val="0"/>
                <w:i w:val="0"/>
                <w:iCs w:val="0"/>
                <w:caps w:val="0"/>
                <w:color w:val="060607"/>
                <w:spacing w:val="2"/>
                <w:sz w:val="18"/>
                <w:szCs w:val="18"/>
                <w:shd w:val="clear" w:fill="FFFFFF"/>
                <w:lang w:val="en-US" w:eastAsia="zh-CN"/>
              </w:rPr>
              <w:t>方案结构合理性</w:t>
            </w:r>
          </w:p>
        </w:tc>
        <w:tc>
          <w:tcPr>
            <w:tcW w:w="4050" w:type="dxa"/>
            <w:tcBorders>
              <w:left w:val="nil"/>
              <w:bottom w:val="nil"/>
              <w:right w:val="nil"/>
            </w:tcBorders>
          </w:tcPr>
          <w:p w14:paraId="6AE4B725">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疾病分期框架符合临床进展规律</w:t>
            </w:r>
          </w:p>
        </w:tc>
        <w:tc>
          <w:tcPr>
            <w:tcW w:w="1449" w:type="dxa"/>
            <w:tcBorders>
              <w:left w:val="nil"/>
              <w:bottom w:val="nil"/>
              <w:right w:val="nil"/>
            </w:tcBorders>
            <w:vAlign w:val="top"/>
          </w:tcPr>
          <w:p w14:paraId="56BDDCFC">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4.58±0.62</w:t>
            </w:r>
          </w:p>
        </w:tc>
        <w:tc>
          <w:tcPr>
            <w:tcW w:w="1449" w:type="dxa"/>
            <w:vMerge w:val="restart"/>
            <w:tcBorders>
              <w:left w:val="nil"/>
              <w:bottom w:val="nil"/>
              <w:right w:val="nil"/>
            </w:tcBorders>
            <w:vAlign w:val="top"/>
          </w:tcPr>
          <w:p w14:paraId="6488E3A6">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4.51±0.50</w:t>
            </w:r>
          </w:p>
        </w:tc>
      </w:tr>
      <w:tr w14:paraId="6831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top w:val="nil"/>
              <w:left w:val="nil"/>
              <w:right w:val="nil"/>
            </w:tcBorders>
          </w:tcPr>
          <w:p w14:paraId="71773A1C">
            <w:pPr>
              <w:jc w:val="left"/>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1A02FC55">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各阶段教育目标与疾病分期特征匹配度高</w:t>
            </w:r>
          </w:p>
        </w:tc>
        <w:tc>
          <w:tcPr>
            <w:tcW w:w="1449" w:type="dxa"/>
            <w:tcBorders>
              <w:top w:val="nil"/>
              <w:left w:val="nil"/>
              <w:bottom w:val="nil"/>
              <w:right w:val="nil"/>
            </w:tcBorders>
            <w:vAlign w:val="top"/>
          </w:tcPr>
          <w:p w14:paraId="611D548B">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4.50±0.36</w:t>
            </w:r>
          </w:p>
        </w:tc>
        <w:tc>
          <w:tcPr>
            <w:tcW w:w="1449" w:type="dxa"/>
            <w:vMerge w:val="continue"/>
            <w:tcBorders>
              <w:top w:val="nil"/>
              <w:left w:val="nil"/>
              <w:right w:val="nil"/>
            </w:tcBorders>
            <w:vAlign w:val="top"/>
          </w:tcPr>
          <w:p w14:paraId="3EF99578">
            <w:pPr>
              <w:jc w:val="center"/>
              <w:rPr>
                <w:rFonts w:hint="eastAsia" w:ascii="宋体" w:hAnsi="宋体" w:eastAsia="宋体" w:cs="宋体"/>
                <w:b w:val="0"/>
                <w:bCs w:val="0"/>
                <w:i w:val="0"/>
                <w:iCs w:val="0"/>
                <w:caps w:val="0"/>
                <w:color w:val="060607"/>
                <w:spacing w:val="2"/>
                <w:sz w:val="18"/>
                <w:szCs w:val="18"/>
                <w:shd w:val="clear" w:fill="FFFFFF"/>
                <w:lang w:val="en-US" w:eastAsia="zh-CN"/>
              </w:rPr>
            </w:pPr>
          </w:p>
        </w:tc>
      </w:tr>
      <w:tr w14:paraId="58EF2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bottom w:val="nil"/>
              <w:right w:val="nil"/>
            </w:tcBorders>
          </w:tcPr>
          <w:p w14:paraId="0F9DB671">
            <w:pPr>
              <w:jc w:val="left"/>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3D6875B3">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教育内容权重分配科学（中西医比例合理）</w:t>
            </w:r>
          </w:p>
        </w:tc>
        <w:tc>
          <w:tcPr>
            <w:tcW w:w="1449" w:type="dxa"/>
            <w:tcBorders>
              <w:top w:val="nil"/>
              <w:left w:val="nil"/>
              <w:bottom w:val="nil"/>
              <w:right w:val="nil"/>
            </w:tcBorders>
            <w:vAlign w:val="top"/>
          </w:tcPr>
          <w:p w14:paraId="6C5FA570">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4.44±0.51</w:t>
            </w:r>
          </w:p>
        </w:tc>
        <w:tc>
          <w:tcPr>
            <w:tcW w:w="1449" w:type="dxa"/>
            <w:vMerge w:val="continue"/>
            <w:tcBorders>
              <w:left w:val="nil"/>
              <w:bottom w:val="nil"/>
              <w:right w:val="nil"/>
            </w:tcBorders>
            <w:vAlign w:val="top"/>
          </w:tcPr>
          <w:p w14:paraId="6B0EF09A">
            <w:pPr>
              <w:jc w:val="center"/>
              <w:rPr>
                <w:rFonts w:hint="eastAsia" w:ascii="宋体" w:hAnsi="宋体" w:eastAsia="宋体" w:cs="宋体"/>
                <w:b w:val="0"/>
                <w:bCs w:val="0"/>
                <w:i w:val="0"/>
                <w:iCs w:val="0"/>
                <w:caps w:val="0"/>
                <w:color w:val="060607"/>
                <w:spacing w:val="2"/>
                <w:sz w:val="18"/>
                <w:szCs w:val="18"/>
                <w:shd w:val="clear" w:fill="FFFFFF"/>
                <w:lang w:val="en-US" w:eastAsia="zh-CN"/>
              </w:rPr>
            </w:pPr>
          </w:p>
        </w:tc>
      </w:tr>
      <w:tr w14:paraId="1FEDF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restart"/>
            <w:tcBorders>
              <w:top w:val="nil"/>
              <w:left w:val="nil"/>
              <w:right w:val="nil"/>
            </w:tcBorders>
          </w:tcPr>
          <w:p w14:paraId="37E48DEE">
            <w:pPr>
              <w:jc w:val="left"/>
              <w:rPr>
                <w:rFonts w:hint="eastAsia" w:ascii="宋体" w:hAnsi="宋体" w:eastAsia="宋体" w:cs="宋体"/>
                <w:b w:val="0"/>
                <w:bCs w:val="0"/>
                <w:i w:val="0"/>
                <w:iCs w:val="0"/>
                <w:caps w:val="0"/>
                <w:color w:val="060607"/>
                <w:spacing w:val="2"/>
                <w:sz w:val="18"/>
                <w:szCs w:val="18"/>
                <w:shd w:val="clear" w:fill="FFFFFF"/>
                <w:lang w:val="en-US" w:eastAsia="zh-CN"/>
              </w:rPr>
            </w:pPr>
            <w:r>
              <w:rPr>
                <w:rFonts w:hint="default" w:ascii="宋体" w:hAnsi="宋体" w:eastAsia="宋体" w:cs="宋体"/>
                <w:b w:val="0"/>
                <w:bCs w:val="0"/>
                <w:i w:val="0"/>
                <w:iCs w:val="0"/>
                <w:caps w:val="0"/>
                <w:color w:val="060607"/>
                <w:spacing w:val="2"/>
                <w:sz w:val="18"/>
                <w:szCs w:val="18"/>
                <w:shd w:val="clear" w:fill="FFFFFF"/>
                <w:lang w:val="en-US" w:eastAsia="zh-CN"/>
              </w:rPr>
              <w:t>内容科学性</w:t>
            </w:r>
          </w:p>
        </w:tc>
        <w:tc>
          <w:tcPr>
            <w:tcW w:w="4050" w:type="dxa"/>
            <w:tcBorders>
              <w:top w:val="nil"/>
              <w:left w:val="nil"/>
              <w:bottom w:val="nil"/>
              <w:right w:val="nil"/>
            </w:tcBorders>
          </w:tcPr>
          <w:p w14:paraId="11C24019">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教育措施基于高质量循证证据</w:t>
            </w:r>
          </w:p>
        </w:tc>
        <w:tc>
          <w:tcPr>
            <w:tcW w:w="1449" w:type="dxa"/>
            <w:tcBorders>
              <w:top w:val="nil"/>
              <w:left w:val="nil"/>
              <w:bottom w:val="nil"/>
              <w:right w:val="nil"/>
            </w:tcBorders>
            <w:vAlign w:val="top"/>
          </w:tcPr>
          <w:p w14:paraId="3A07A76D">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4.73±0.45</w:t>
            </w:r>
          </w:p>
        </w:tc>
        <w:tc>
          <w:tcPr>
            <w:tcW w:w="1449" w:type="dxa"/>
            <w:vMerge w:val="restart"/>
            <w:tcBorders>
              <w:top w:val="nil"/>
              <w:left w:val="nil"/>
              <w:right w:val="nil"/>
            </w:tcBorders>
            <w:vAlign w:val="top"/>
          </w:tcPr>
          <w:p w14:paraId="1DF3EC40">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4.78±0.49</w:t>
            </w:r>
          </w:p>
        </w:tc>
      </w:tr>
      <w:tr w14:paraId="33D65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right w:val="nil"/>
            </w:tcBorders>
          </w:tcPr>
          <w:p w14:paraId="3A8BBCD1">
            <w:pPr>
              <w:jc w:val="left"/>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05A6D374">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中西医结合措施具有互补性和实操性</w:t>
            </w:r>
          </w:p>
        </w:tc>
        <w:tc>
          <w:tcPr>
            <w:tcW w:w="1449" w:type="dxa"/>
            <w:tcBorders>
              <w:top w:val="nil"/>
              <w:left w:val="nil"/>
              <w:bottom w:val="nil"/>
              <w:right w:val="nil"/>
            </w:tcBorders>
            <w:vAlign w:val="top"/>
          </w:tcPr>
          <w:p w14:paraId="16D53FBC">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4.82±0.39</w:t>
            </w:r>
          </w:p>
        </w:tc>
        <w:tc>
          <w:tcPr>
            <w:tcW w:w="1449" w:type="dxa"/>
            <w:vMerge w:val="continue"/>
            <w:tcBorders>
              <w:left w:val="nil"/>
              <w:right w:val="nil"/>
            </w:tcBorders>
            <w:vAlign w:val="top"/>
          </w:tcPr>
          <w:p w14:paraId="01AE7B76">
            <w:pPr>
              <w:jc w:val="center"/>
              <w:rPr>
                <w:rFonts w:hint="eastAsia" w:ascii="宋体" w:hAnsi="宋体" w:eastAsia="宋体" w:cs="宋体"/>
                <w:b w:val="0"/>
                <w:bCs w:val="0"/>
                <w:i w:val="0"/>
                <w:iCs w:val="0"/>
                <w:caps w:val="0"/>
                <w:color w:val="060607"/>
                <w:spacing w:val="2"/>
                <w:sz w:val="18"/>
                <w:szCs w:val="18"/>
                <w:shd w:val="clear" w:fill="FFFFFF"/>
                <w:lang w:val="en-US" w:eastAsia="zh-CN"/>
              </w:rPr>
            </w:pPr>
          </w:p>
        </w:tc>
      </w:tr>
      <w:tr w14:paraId="1162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bottom w:val="nil"/>
              <w:right w:val="nil"/>
            </w:tcBorders>
          </w:tcPr>
          <w:p w14:paraId="6FC8A49E">
            <w:pPr>
              <w:jc w:val="left"/>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352446B9">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非药物治疗方法符合患者功能状态</w:t>
            </w:r>
          </w:p>
        </w:tc>
        <w:tc>
          <w:tcPr>
            <w:tcW w:w="1449" w:type="dxa"/>
            <w:tcBorders>
              <w:top w:val="nil"/>
              <w:left w:val="nil"/>
              <w:bottom w:val="nil"/>
              <w:right w:val="nil"/>
            </w:tcBorders>
            <w:vAlign w:val="top"/>
          </w:tcPr>
          <w:p w14:paraId="11DDA2AB">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4.78±0.62</w:t>
            </w:r>
          </w:p>
        </w:tc>
        <w:tc>
          <w:tcPr>
            <w:tcW w:w="1449" w:type="dxa"/>
            <w:vMerge w:val="continue"/>
            <w:tcBorders>
              <w:left w:val="nil"/>
              <w:bottom w:val="nil"/>
              <w:right w:val="nil"/>
            </w:tcBorders>
            <w:vAlign w:val="top"/>
          </w:tcPr>
          <w:p w14:paraId="0B193F4B">
            <w:pPr>
              <w:jc w:val="center"/>
              <w:rPr>
                <w:rFonts w:hint="eastAsia" w:ascii="宋体" w:hAnsi="宋体" w:eastAsia="宋体" w:cs="宋体"/>
                <w:b w:val="0"/>
                <w:bCs w:val="0"/>
                <w:i w:val="0"/>
                <w:iCs w:val="0"/>
                <w:caps w:val="0"/>
                <w:color w:val="060607"/>
                <w:spacing w:val="2"/>
                <w:sz w:val="18"/>
                <w:szCs w:val="18"/>
                <w:shd w:val="clear" w:fill="FFFFFF"/>
                <w:lang w:val="en-US" w:eastAsia="zh-CN"/>
              </w:rPr>
            </w:pPr>
          </w:p>
        </w:tc>
      </w:tr>
      <w:tr w14:paraId="2511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restart"/>
            <w:tcBorders>
              <w:top w:val="nil"/>
              <w:left w:val="nil"/>
              <w:right w:val="nil"/>
            </w:tcBorders>
          </w:tcPr>
          <w:p w14:paraId="6C15E6CF">
            <w:pPr>
              <w:jc w:val="left"/>
              <w:rPr>
                <w:rFonts w:hint="eastAsia" w:ascii="宋体" w:hAnsi="宋体" w:eastAsia="宋体" w:cs="宋体"/>
                <w:b w:val="0"/>
                <w:bCs w:val="0"/>
                <w:i w:val="0"/>
                <w:iCs w:val="0"/>
                <w:caps w:val="0"/>
                <w:color w:val="060607"/>
                <w:spacing w:val="2"/>
                <w:sz w:val="18"/>
                <w:szCs w:val="18"/>
                <w:shd w:val="clear" w:fill="FFFFFF"/>
                <w:lang w:val="en-US" w:eastAsia="zh-CN"/>
              </w:rPr>
            </w:pPr>
            <w:r>
              <w:rPr>
                <w:rFonts w:hint="default" w:ascii="宋体" w:hAnsi="宋体" w:eastAsia="宋体" w:cs="宋体"/>
                <w:b w:val="0"/>
                <w:bCs w:val="0"/>
                <w:i w:val="0"/>
                <w:iCs w:val="0"/>
                <w:caps w:val="0"/>
                <w:color w:val="060607"/>
                <w:spacing w:val="2"/>
                <w:sz w:val="18"/>
                <w:szCs w:val="18"/>
                <w:shd w:val="clear" w:fill="FFFFFF"/>
                <w:lang w:val="en-US" w:eastAsia="zh-CN"/>
              </w:rPr>
              <w:t>实施可行性</w:t>
            </w:r>
          </w:p>
        </w:tc>
        <w:tc>
          <w:tcPr>
            <w:tcW w:w="4050" w:type="dxa"/>
            <w:tcBorders>
              <w:top w:val="nil"/>
              <w:left w:val="nil"/>
              <w:bottom w:val="nil"/>
              <w:right w:val="nil"/>
            </w:tcBorders>
          </w:tcPr>
          <w:p w14:paraId="799FAA99">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教育方式适配不同场景需求（医院/家庭/社区）</w:t>
            </w:r>
          </w:p>
        </w:tc>
        <w:tc>
          <w:tcPr>
            <w:tcW w:w="1449" w:type="dxa"/>
            <w:tcBorders>
              <w:top w:val="nil"/>
              <w:left w:val="nil"/>
              <w:bottom w:val="nil"/>
              <w:right w:val="nil"/>
            </w:tcBorders>
            <w:vAlign w:val="top"/>
          </w:tcPr>
          <w:p w14:paraId="700FCF3C">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4.54±0.51</w:t>
            </w:r>
          </w:p>
        </w:tc>
        <w:tc>
          <w:tcPr>
            <w:tcW w:w="1449" w:type="dxa"/>
            <w:vMerge w:val="restart"/>
            <w:tcBorders>
              <w:top w:val="nil"/>
              <w:left w:val="nil"/>
              <w:right w:val="nil"/>
            </w:tcBorders>
            <w:vAlign w:val="top"/>
          </w:tcPr>
          <w:p w14:paraId="1E04783D">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4.52±0.42</w:t>
            </w:r>
          </w:p>
        </w:tc>
      </w:tr>
      <w:tr w14:paraId="4453F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right w:val="nil"/>
            </w:tcBorders>
          </w:tcPr>
          <w:p w14:paraId="69703315">
            <w:pPr>
              <w:jc w:val="left"/>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2B64A8B1">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教育材料语言通俗易懂，文化适切性强</w:t>
            </w:r>
          </w:p>
        </w:tc>
        <w:tc>
          <w:tcPr>
            <w:tcW w:w="1449" w:type="dxa"/>
            <w:tcBorders>
              <w:top w:val="nil"/>
              <w:left w:val="nil"/>
              <w:bottom w:val="nil"/>
              <w:right w:val="nil"/>
            </w:tcBorders>
            <w:vAlign w:val="top"/>
          </w:tcPr>
          <w:p w14:paraId="7318FC16">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4.48±0.33</w:t>
            </w:r>
          </w:p>
        </w:tc>
        <w:tc>
          <w:tcPr>
            <w:tcW w:w="1449" w:type="dxa"/>
            <w:vMerge w:val="continue"/>
            <w:tcBorders>
              <w:left w:val="nil"/>
              <w:right w:val="nil"/>
            </w:tcBorders>
            <w:vAlign w:val="top"/>
          </w:tcPr>
          <w:p w14:paraId="15698A67">
            <w:pPr>
              <w:jc w:val="center"/>
              <w:rPr>
                <w:rFonts w:hint="eastAsia" w:ascii="宋体" w:hAnsi="宋体" w:eastAsia="宋体" w:cs="宋体"/>
                <w:b w:val="0"/>
                <w:bCs w:val="0"/>
                <w:i w:val="0"/>
                <w:iCs w:val="0"/>
                <w:caps w:val="0"/>
                <w:color w:val="060607"/>
                <w:spacing w:val="2"/>
                <w:sz w:val="18"/>
                <w:szCs w:val="18"/>
                <w:shd w:val="clear" w:fill="FFFFFF"/>
                <w:lang w:val="en-US" w:eastAsia="zh-CN"/>
              </w:rPr>
            </w:pPr>
          </w:p>
        </w:tc>
      </w:tr>
      <w:tr w14:paraId="252A4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bottom w:val="nil"/>
              <w:right w:val="nil"/>
            </w:tcBorders>
          </w:tcPr>
          <w:p w14:paraId="417B3524">
            <w:pPr>
              <w:jc w:val="left"/>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744340C5">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护士执行方案所需资源可及性高</w:t>
            </w:r>
          </w:p>
        </w:tc>
        <w:tc>
          <w:tcPr>
            <w:tcW w:w="1449" w:type="dxa"/>
            <w:tcBorders>
              <w:top w:val="nil"/>
              <w:left w:val="nil"/>
              <w:bottom w:val="nil"/>
              <w:right w:val="nil"/>
            </w:tcBorders>
            <w:vAlign w:val="top"/>
          </w:tcPr>
          <w:p w14:paraId="3A529E3E">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4.55±0.42</w:t>
            </w:r>
          </w:p>
        </w:tc>
        <w:tc>
          <w:tcPr>
            <w:tcW w:w="1449" w:type="dxa"/>
            <w:vMerge w:val="continue"/>
            <w:tcBorders>
              <w:left w:val="nil"/>
              <w:bottom w:val="nil"/>
              <w:right w:val="nil"/>
            </w:tcBorders>
            <w:vAlign w:val="top"/>
          </w:tcPr>
          <w:p w14:paraId="0C8DF628">
            <w:pPr>
              <w:jc w:val="center"/>
              <w:rPr>
                <w:rFonts w:hint="eastAsia" w:ascii="宋体" w:hAnsi="宋体" w:eastAsia="宋体" w:cs="宋体"/>
                <w:b w:val="0"/>
                <w:bCs w:val="0"/>
                <w:i w:val="0"/>
                <w:iCs w:val="0"/>
                <w:caps w:val="0"/>
                <w:color w:val="060607"/>
                <w:spacing w:val="2"/>
                <w:sz w:val="18"/>
                <w:szCs w:val="18"/>
                <w:shd w:val="clear" w:fill="FFFFFF"/>
                <w:lang w:val="en-US" w:eastAsia="zh-CN"/>
              </w:rPr>
            </w:pPr>
          </w:p>
        </w:tc>
      </w:tr>
      <w:tr w14:paraId="6C65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restart"/>
            <w:tcBorders>
              <w:top w:val="nil"/>
              <w:left w:val="nil"/>
              <w:right w:val="nil"/>
            </w:tcBorders>
          </w:tcPr>
          <w:p w14:paraId="641F6C70">
            <w:pPr>
              <w:jc w:val="left"/>
              <w:rPr>
                <w:rFonts w:hint="eastAsia" w:ascii="宋体" w:hAnsi="宋体" w:eastAsia="宋体" w:cs="宋体"/>
                <w:b w:val="0"/>
                <w:bCs w:val="0"/>
                <w:i w:val="0"/>
                <w:iCs w:val="0"/>
                <w:caps w:val="0"/>
                <w:color w:val="060607"/>
                <w:spacing w:val="2"/>
                <w:sz w:val="18"/>
                <w:szCs w:val="18"/>
                <w:shd w:val="clear" w:fill="FFFFFF"/>
                <w:lang w:val="en-US" w:eastAsia="zh-CN"/>
              </w:rPr>
            </w:pPr>
            <w:r>
              <w:rPr>
                <w:rFonts w:hint="default" w:ascii="宋体" w:hAnsi="宋体" w:eastAsia="宋体" w:cs="宋体"/>
                <w:b w:val="0"/>
                <w:bCs w:val="0"/>
                <w:i w:val="0"/>
                <w:iCs w:val="0"/>
                <w:caps w:val="0"/>
                <w:color w:val="060607"/>
                <w:spacing w:val="2"/>
                <w:sz w:val="18"/>
                <w:szCs w:val="18"/>
                <w:shd w:val="clear" w:fill="FFFFFF"/>
                <w:lang w:val="en-US" w:eastAsia="zh-CN"/>
              </w:rPr>
              <w:t>整体评价</w:t>
            </w:r>
          </w:p>
        </w:tc>
        <w:tc>
          <w:tcPr>
            <w:tcW w:w="4050" w:type="dxa"/>
            <w:tcBorders>
              <w:top w:val="nil"/>
              <w:left w:val="nil"/>
              <w:bottom w:val="nil"/>
              <w:right w:val="nil"/>
            </w:tcBorders>
          </w:tcPr>
          <w:p w14:paraId="4866404B">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方案对提升患者生活质量的预期效果明确</w:t>
            </w:r>
          </w:p>
        </w:tc>
        <w:tc>
          <w:tcPr>
            <w:tcW w:w="1449" w:type="dxa"/>
            <w:tcBorders>
              <w:top w:val="nil"/>
              <w:left w:val="nil"/>
              <w:bottom w:val="nil"/>
              <w:right w:val="nil"/>
            </w:tcBorders>
            <w:vAlign w:val="top"/>
          </w:tcPr>
          <w:p w14:paraId="45076F38">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4.41±0.38</w:t>
            </w:r>
          </w:p>
        </w:tc>
        <w:tc>
          <w:tcPr>
            <w:tcW w:w="1449" w:type="dxa"/>
            <w:vMerge w:val="restart"/>
            <w:tcBorders>
              <w:top w:val="nil"/>
              <w:left w:val="nil"/>
              <w:right w:val="nil"/>
            </w:tcBorders>
            <w:vAlign w:val="top"/>
          </w:tcPr>
          <w:p w14:paraId="4073B8DF">
            <w:pPr>
              <w:jc w:val="cente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4.62±0.46</w:t>
            </w:r>
          </w:p>
        </w:tc>
      </w:tr>
      <w:tr w14:paraId="5A02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right w:val="nil"/>
            </w:tcBorders>
          </w:tcPr>
          <w:p w14:paraId="09200BCF">
            <w:pPr>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bottom w:val="nil"/>
              <w:right w:val="nil"/>
            </w:tcBorders>
          </w:tcPr>
          <w:p w14:paraId="40250AEC">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整体方案具备临床推广价值</w:t>
            </w:r>
          </w:p>
        </w:tc>
        <w:tc>
          <w:tcPr>
            <w:tcW w:w="1449" w:type="dxa"/>
            <w:tcBorders>
              <w:top w:val="nil"/>
              <w:left w:val="nil"/>
              <w:bottom w:val="nil"/>
              <w:right w:val="nil"/>
            </w:tcBorders>
            <w:vAlign w:val="top"/>
          </w:tcPr>
          <w:p w14:paraId="59C77115">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4.68±0.53</w:t>
            </w:r>
          </w:p>
        </w:tc>
        <w:tc>
          <w:tcPr>
            <w:tcW w:w="1449" w:type="dxa"/>
            <w:vMerge w:val="continue"/>
            <w:tcBorders>
              <w:left w:val="nil"/>
              <w:right w:val="nil"/>
            </w:tcBorders>
            <w:vAlign w:val="top"/>
          </w:tcPr>
          <w:p w14:paraId="12166255">
            <w:pPr>
              <w:jc w:val="center"/>
              <w:rPr>
                <w:rFonts w:hint="eastAsia" w:ascii="宋体" w:hAnsi="宋体" w:eastAsia="宋体" w:cs="宋体"/>
                <w:b w:val="0"/>
                <w:bCs w:val="0"/>
                <w:i w:val="0"/>
                <w:iCs w:val="0"/>
                <w:caps w:val="0"/>
                <w:color w:val="060607"/>
                <w:spacing w:val="2"/>
                <w:sz w:val="21"/>
                <w:szCs w:val="21"/>
                <w:shd w:val="clear" w:fill="FFFFFF"/>
                <w:lang w:val="en-US" w:eastAsia="zh-CN"/>
              </w:rPr>
            </w:pPr>
          </w:p>
        </w:tc>
      </w:tr>
      <w:tr w14:paraId="75C16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3" w:type="dxa"/>
            <w:vMerge w:val="continue"/>
            <w:tcBorders>
              <w:left w:val="nil"/>
              <w:right w:val="nil"/>
            </w:tcBorders>
          </w:tcPr>
          <w:p w14:paraId="45984DAC">
            <w:pPr>
              <w:rPr>
                <w:rFonts w:hint="eastAsia" w:ascii="宋体" w:hAnsi="宋体" w:eastAsia="宋体" w:cs="宋体"/>
                <w:b w:val="0"/>
                <w:bCs w:val="0"/>
                <w:i w:val="0"/>
                <w:iCs w:val="0"/>
                <w:caps w:val="0"/>
                <w:color w:val="060607"/>
                <w:spacing w:val="2"/>
                <w:sz w:val="18"/>
                <w:szCs w:val="18"/>
                <w:shd w:val="clear" w:fill="FFFFFF"/>
                <w:lang w:val="en-US" w:eastAsia="zh-CN"/>
              </w:rPr>
            </w:pPr>
          </w:p>
        </w:tc>
        <w:tc>
          <w:tcPr>
            <w:tcW w:w="4050" w:type="dxa"/>
            <w:tcBorders>
              <w:top w:val="nil"/>
              <w:left w:val="nil"/>
              <w:right w:val="nil"/>
            </w:tcBorders>
          </w:tcPr>
          <w:p w14:paraId="55DB9C23">
            <w:pPr>
              <w:rPr>
                <w:rFonts w:hint="eastAsia"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对方案的整体满意度</w:t>
            </w:r>
          </w:p>
        </w:tc>
        <w:tc>
          <w:tcPr>
            <w:tcW w:w="1449" w:type="dxa"/>
            <w:tcBorders>
              <w:top w:val="nil"/>
              <w:left w:val="nil"/>
              <w:right w:val="nil"/>
            </w:tcBorders>
            <w:vAlign w:val="top"/>
          </w:tcPr>
          <w:p w14:paraId="646E4157">
            <w:pPr>
              <w:jc w:val="center"/>
              <w:rPr>
                <w:rFonts w:hint="default" w:ascii="宋体" w:hAnsi="宋体" w:eastAsia="宋体" w:cs="宋体"/>
                <w:b w:val="0"/>
                <w:bCs w:val="0"/>
                <w:i w:val="0"/>
                <w:iCs w:val="0"/>
                <w:caps w:val="0"/>
                <w:color w:val="060607"/>
                <w:spacing w:val="2"/>
                <w:sz w:val="18"/>
                <w:szCs w:val="18"/>
                <w:shd w:val="clear" w:fill="FFFFFF"/>
                <w:lang w:val="en-US" w:eastAsia="zh-CN"/>
              </w:rPr>
            </w:pPr>
            <w:r>
              <w:rPr>
                <w:rFonts w:hint="eastAsia" w:ascii="宋体" w:hAnsi="宋体" w:eastAsia="宋体" w:cs="宋体"/>
                <w:b w:val="0"/>
                <w:bCs w:val="0"/>
                <w:i w:val="0"/>
                <w:iCs w:val="0"/>
                <w:caps w:val="0"/>
                <w:color w:val="060607"/>
                <w:spacing w:val="2"/>
                <w:sz w:val="18"/>
                <w:szCs w:val="18"/>
                <w:shd w:val="clear" w:fill="FFFFFF"/>
                <w:lang w:val="en-US" w:eastAsia="zh-CN"/>
              </w:rPr>
              <w:t>4.78±0.47</w:t>
            </w:r>
          </w:p>
        </w:tc>
        <w:tc>
          <w:tcPr>
            <w:tcW w:w="1449" w:type="dxa"/>
            <w:vMerge w:val="continue"/>
            <w:tcBorders>
              <w:left w:val="nil"/>
              <w:right w:val="nil"/>
            </w:tcBorders>
            <w:vAlign w:val="top"/>
          </w:tcPr>
          <w:p w14:paraId="1ECB6932">
            <w:pPr>
              <w:jc w:val="center"/>
              <w:rPr>
                <w:rFonts w:hint="eastAsia" w:ascii="宋体" w:hAnsi="宋体" w:eastAsia="宋体" w:cs="宋体"/>
                <w:b w:val="0"/>
                <w:bCs w:val="0"/>
                <w:i w:val="0"/>
                <w:iCs w:val="0"/>
                <w:caps w:val="0"/>
                <w:color w:val="060607"/>
                <w:spacing w:val="2"/>
                <w:sz w:val="21"/>
                <w:szCs w:val="21"/>
                <w:shd w:val="clear" w:fill="FFFFFF"/>
                <w:lang w:val="en-US" w:eastAsia="zh-CN"/>
              </w:rPr>
            </w:pPr>
          </w:p>
        </w:tc>
      </w:tr>
    </w:tbl>
    <w:p w14:paraId="64B6788D">
      <w:pPr>
        <w:pStyle w:val="29"/>
        <w:spacing w:line="520" w:lineRule="exact"/>
        <w:ind w:firstLine="562"/>
        <w:rPr>
          <w:rFonts w:hint="eastAsia" w:ascii="仿宋_GB2312" w:eastAsia="仿宋_GB2312" w:cs="仿宋"/>
          <w:sz w:val="28"/>
          <w:szCs w:val="28"/>
          <w:lang w:eastAsia="zh-CN"/>
        </w:rPr>
      </w:pPr>
      <w:r>
        <w:rPr>
          <w:rFonts w:hint="eastAsia" w:ascii="仿宋_GB2312" w:eastAsia="仿宋_GB2312" w:cs="仿宋"/>
          <w:sz w:val="28"/>
          <w:szCs w:val="28"/>
          <w:lang w:eastAsia="zh-CN"/>
        </w:rPr>
        <w:t>研究基于慢性病轨迹框架理论，通过循证研究及德尔法，结合帕金森病H-Y分级和临床实际，从病前、始发、确诊、治疗、稳定、恶化、临终等7个疾病轨迹阶段构建帕金森病中西医结合健康教育方案，内容涵盖各疾病轨迹阶段的教育重点、教育方式、教育目标和教育措施。研究结果的可靠性由专家来源、积极性、权威性和协调程度等确定。本研究遴选的函询专家均为副高级及以上职称，在中医、西医、中西医结合医院工作15年以上的脑病、康复、营养、心理领域的医疗、护理专家，具有丰富的临床及科研经验。2轮专家权威系数（Cr）分别为0.815和0.855（均＞0.70），变异系数平均值分别为0.043和0.037（均＜0.25），肯德尔和谐系数分别为0.420和0.481（P＜0.01），说明专家具有较高的权威性、意见一致性较高且集中，结果科学、可靠。</w:t>
      </w:r>
    </w:p>
    <w:p w14:paraId="4288D7AA">
      <w:pPr>
        <w:pStyle w:val="29"/>
        <w:spacing w:line="520" w:lineRule="exact"/>
        <w:ind w:firstLine="562"/>
        <w:rPr>
          <w:rFonts w:hint="eastAsia" w:ascii="仿宋_GB2312" w:eastAsia="仿宋_GB2312" w:cs="仿宋"/>
          <w:sz w:val="28"/>
          <w:szCs w:val="28"/>
          <w:lang w:eastAsia="zh-CN"/>
        </w:rPr>
      </w:pPr>
      <w:r>
        <w:rPr>
          <w:rFonts w:hint="eastAsia" w:ascii="仿宋_GB2312" w:eastAsia="仿宋_GB2312" w:cs="仿宋"/>
          <w:sz w:val="28"/>
          <w:szCs w:val="28"/>
          <w:lang w:eastAsia="zh-CN"/>
        </w:rPr>
        <w:t>以慢性病轨迹框架为理论依据，将疾病分期由传统的早中晚3期，按照帕金森病 H-Y分级和临床实际细分为从病前、始发、确诊、治疗、稳定、恶化、临终等7个疾病轨迹阶段，更符合疾病发展规律，有助于针对性地制定健康教育方案。方案构建初期，研究团队从7个轨迹阶段中各选取帕金森病患者或照顾者2例（共14人）进行访谈，深度挖掘患者及其照顾者对疾病认知与体验；健康教育的需求与期望；健康教育的实施与反馈；心理支持与社交需求等方面的信息，确保健康教育方案能够紧密贴合患者的实际需求，实现精准化、个性化的健康教育服务。</w:t>
      </w:r>
    </w:p>
    <w:p w14:paraId="3F8352D8">
      <w:pPr>
        <w:pStyle w:val="29"/>
        <w:spacing w:line="520" w:lineRule="exact"/>
        <w:ind w:firstLine="0" w:firstLineChars="0"/>
        <w:rPr>
          <w:rFonts w:ascii="仿宋_GB2312" w:eastAsia="仿宋_GB2312"/>
          <w:sz w:val="28"/>
          <w:szCs w:val="28"/>
        </w:rPr>
      </w:pPr>
      <w:r>
        <w:rPr>
          <w:rFonts w:hint="eastAsia" w:ascii="仿宋_GB2312" w:eastAsia="仿宋_GB2312" w:cs="仿宋"/>
          <w:b/>
          <w:sz w:val="28"/>
          <w:szCs w:val="28"/>
        </w:rPr>
        <w:t>（</w:t>
      </w:r>
      <w:r>
        <w:rPr>
          <w:rFonts w:hint="eastAsia" w:ascii="仿宋_GB2312" w:eastAsia="仿宋_GB2312" w:cs="仿宋"/>
          <w:b/>
          <w:sz w:val="28"/>
          <w:szCs w:val="28"/>
          <w:lang w:eastAsia="zh-CN"/>
        </w:rPr>
        <w:t>一</w:t>
      </w:r>
      <w:r>
        <w:rPr>
          <w:rFonts w:hint="eastAsia" w:ascii="仿宋_GB2312" w:eastAsia="仿宋_GB2312" w:cs="仿宋"/>
          <w:b/>
          <w:sz w:val="28"/>
          <w:szCs w:val="28"/>
        </w:rPr>
        <w:t>）基本要求</w:t>
      </w:r>
    </w:p>
    <w:p w14:paraId="65FCFB4F">
      <w:pPr>
        <w:pStyle w:val="29"/>
        <w:spacing w:line="520" w:lineRule="exact"/>
        <w:ind w:firstLine="560"/>
        <w:rPr>
          <w:rFonts w:hint="eastAsia" w:ascii="仿宋_GB2312" w:eastAsia="仿宋_GB2312"/>
          <w:sz w:val="28"/>
          <w:szCs w:val="28"/>
        </w:rPr>
      </w:pPr>
      <w:r>
        <w:rPr>
          <w:rFonts w:hint="eastAsia" w:ascii="仿宋_GB2312" w:eastAsia="仿宋_GB2312"/>
          <w:b/>
          <w:bCs/>
          <w:sz w:val="28"/>
          <w:szCs w:val="28"/>
        </w:rPr>
        <w:t>教育目标</w:t>
      </w:r>
      <w:r>
        <w:rPr>
          <w:rFonts w:hint="eastAsia" w:ascii="仿宋_GB2312" w:eastAsia="仿宋_GB2312"/>
          <w:sz w:val="28"/>
          <w:szCs w:val="28"/>
          <w:lang w:eastAsia="zh-CN"/>
        </w:rPr>
        <w:t>：</w:t>
      </w:r>
      <w:r>
        <w:rPr>
          <w:rFonts w:hint="eastAsia" w:ascii="仿宋_GB2312" w:eastAsia="仿宋_GB2312"/>
          <w:sz w:val="28"/>
          <w:szCs w:val="28"/>
        </w:rPr>
        <w:t>提升帕金森病高危人群、患者及其照顾者疾病防控能力，降低疾病发生风险，延缓疾病进展，全面提升生活质量，不同人群的教育目标如下：</w:t>
      </w:r>
    </w:p>
    <w:p w14:paraId="73514DF4">
      <w:pPr>
        <w:pStyle w:val="29"/>
        <w:spacing w:line="520" w:lineRule="exact"/>
        <w:ind w:firstLine="560"/>
        <w:rPr>
          <w:rFonts w:hint="eastAsia" w:ascii="仿宋_GB2312" w:eastAsia="仿宋_GB2312"/>
          <w:sz w:val="28"/>
          <w:szCs w:val="28"/>
        </w:rPr>
      </w:pPr>
      <w:r>
        <w:rPr>
          <w:rFonts w:hint="eastAsia" w:ascii="仿宋_GB2312" w:eastAsia="仿宋_GB2312"/>
          <w:sz w:val="28"/>
          <w:szCs w:val="28"/>
        </w:rPr>
        <w:t>——帕金森病高危人群：提升其风险认知及早期预警能力，以降低疾病发生风险；</w:t>
      </w:r>
    </w:p>
    <w:p w14:paraId="4A95096B">
      <w:pPr>
        <w:pStyle w:val="29"/>
        <w:spacing w:line="520" w:lineRule="exact"/>
        <w:ind w:firstLine="560"/>
        <w:rPr>
          <w:rFonts w:hint="eastAsia" w:ascii="仿宋_GB2312" w:eastAsia="仿宋_GB2312"/>
          <w:sz w:val="28"/>
          <w:szCs w:val="28"/>
        </w:rPr>
      </w:pPr>
      <w:r>
        <w:rPr>
          <w:rFonts w:hint="eastAsia" w:ascii="仿宋_GB2312" w:eastAsia="仿宋_GB2312"/>
          <w:sz w:val="28"/>
          <w:szCs w:val="28"/>
        </w:rPr>
        <w:t>——帕金森病患者：提升其治疗依从性和自我管理能力，延缓疾病进展；</w:t>
      </w:r>
    </w:p>
    <w:p w14:paraId="3D6F8B23">
      <w:pPr>
        <w:pStyle w:val="29"/>
        <w:spacing w:line="520" w:lineRule="exact"/>
        <w:ind w:firstLine="560"/>
        <w:rPr>
          <w:rFonts w:hint="eastAsia" w:ascii="仿宋_GB2312" w:eastAsia="仿宋_GB2312"/>
          <w:sz w:val="28"/>
          <w:szCs w:val="28"/>
        </w:rPr>
      </w:pPr>
      <w:r>
        <w:rPr>
          <w:rFonts w:hint="eastAsia" w:ascii="仿宋_GB2312" w:eastAsia="仿宋_GB2312"/>
          <w:sz w:val="28"/>
          <w:szCs w:val="28"/>
        </w:rPr>
        <w:t>——帕金森病照顾者：提升其照护能力，帮助患者提升生活质量。</w:t>
      </w:r>
    </w:p>
    <w:p w14:paraId="1BB601CB">
      <w:pPr>
        <w:pStyle w:val="29"/>
        <w:spacing w:line="520" w:lineRule="exact"/>
        <w:ind w:firstLine="560"/>
        <w:rPr>
          <w:rFonts w:hint="eastAsia" w:ascii="仿宋_GB2312" w:eastAsia="仿宋_GB2312"/>
          <w:sz w:val="28"/>
          <w:szCs w:val="28"/>
        </w:rPr>
      </w:pPr>
      <w:r>
        <w:rPr>
          <w:rFonts w:hint="eastAsia" w:ascii="仿宋_GB2312" w:eastAsia="仿宋_GB2312"/>
          <w:b/>
          <w:bCs/>
          <w:sz w:val="28"/>
          <w:szCs w:val="28"/>
        </w:rPr>
        <w:t>管理要求</w:t>
      </w:r>
      <w:r>
        <w:rPr>
          <w:rFonts w:hint="eastAsia" w:ascii="仿宋_GB2312" w:eastAsia="仿宋_GB2312"/>
          <w:sz w:val="28"/>
          <w:szCs w:val="28"/>
          <w:lang w:eastAsia="zh-CN"/>
        </w:rPr>
        <w:t>：</w:t>
      </w:r>
      <w:r>
        <w:rPr>
          <w:rFonts w:hint="eastAsia" w:ascii="仿宋_GB2312" w:eastAsia="仿宋_GB2312"/>
          <w:sz w:val="28"/>
          <w:szCs w:val="28"/>
        </w:rPr>
        <w:t>应建立健全与健康教育相关的工作流程、岗位职责等管理制度。健康教育内容应通俗易懂，具有科学性、针对性和适用性。</w:t>
      </w:r>
    </w:p>
    <w:p w14:paraId="59BDFD90">
      <w:pPr>
        <w:pStyle w:val="29"/>
        <w:spacing w:line="520" w:lineRule="exact"/>
        <w:ind w:firstLine="560"/>
        <w:rPr>
          <w:rFonts w:hint="eastAsia" w:ascii="仿宋_GB2312" w:eastAsia="仿宋_GB2312"/>
          <w:sz w:val="28"/>
          <w:szCs w:val="28"/>
        </w:rPr>
      </w:pPr>
      <w:r>
        <w:rPr>
          <w:rFonts w:hint="eastAsia" w:ascii="仿宋_GB2312" w:eastAsia="仿宋_GB2312"/>
          <w:b/>
          <w:bCs/>
          <w:sz w:val="28"/>
          <w:szCs w:val="28"/>
        </w:rPr>
        <w:t>健康教育人员</w:t>
      </w:r>
      <w:r>
        <w:rPr>
          <w:rFonts w:hint="eastAsia" w:ascii="仿宋_GB2312" w:eastAsia="仿宋_GB2312"/>
          <w:sz w:val="28"/>
          <w:szCs w:val="28"/>
        </w:rPr>
        <w:t>应具备与帕金森病健康教育相匹配的专业知识，并具有良好的沟通与协调能力。</w:t>
      </w:r>
    </w:p>
    <w:p w14:paraId="44DE87B3">
      <w:pPr>
        <w:pStyle w:val="29"/>
        <w:spacing w:line="520" w:lineRule="exact"/>
        <w:ind w:firstLine="560"/>
        <w:rPr>
          <w:rFonts w:ascii="仿宋_GB2312" w:eastAsia="仿宋_GB2312"/>
          <w:sz w:val="28"/>
          <w:szCs w:val="28"/>
        </w:rPr>
      </w:pPr>
      <w:r>
        <w:rPr>
          <w:rFonts w:hint="eastAsia" w:ascii="仿宋_GB2312" w:eastAsia="仿宋_GB2312"/>
          <w:b/>
          <w:bCs/>
          <w:sz w:val="28"/>
          <w:szCs w:val="28"/>
        </w:rPr>
        <w:t>健康教育对象</w:t>
      </w:r>
      <w:r>
        <w:rPr>
          <w:rFonts w:hint="eastAsia" w:ascii="仿宋_GB2312" w:eastAsia="仿宋_GB2312"/>
          <w:sz w:val="28"/>
          <w:szCs w:val="28"/>
        </w:rPr>
        <w:t>包括但不限于帕金森病高危人群、帕金森病患者及其照顾者。针对不同目标人群，应提供相应的健康教育内容。</w:t>
      </w:r>
    </w:p>
    <w:p w14:paraId="482EFF80">
      <w:pPr>
        <w:pStyle w:val="29"/>
        <w:spacing w:line="520" w:lineRule="exact"/>
        <w:ind w:firstLine="0" w:firstLineChars="0"/>
        <w:rPr>
          <w:rFonts w:hint="eastAsia" w:ascii="仿宋_GB2312" w:eastAsia="仿宋_GB2312"/>
          <w:b/>
          <w:sz w:val="28"/>
          <w:szCs w:val="28"/>
          <w:lang w:eastAsia="zh-CN"/>
        </w:rPr>
      </w:pPr>
      <w:r>
        <w:rPr>
          <w:rFonts w:hint="eastAsia" w:ascii="仿宋_GB2312" w:eastAsia="仿宋_GB2312" w:cs="仿宋"/>
          <w:b/>
          <w:sz w:val="28"/>
          <w:szCs w:val="28"/>
        </w:rPr>
        <w:t>（</w:t>
      </w:r>
      <w:r>
        <w:rPr>
          <w:rFonts w:hint="eastAsia" w:ascii="仿宋_GB2312" w:eastAsia="仿宋_GB2312" w:cs="仿宋"/>
          <w:b/>
          <w:sz w:val="28"/>
          <w:szCs w:val="28"/>
          <w:lang w:eastAsia="zh-CN"/>
        </w:rPr>
        <w:t>二</w:t>
      </w:r>
      <w:r>
        <w:rPr>
          <w:rFonts w:hint="eastAsia" w:ascii="仿宋_GB2312" w:eastAsia="仿宋_GB2312" w:cs="仿宋"/>
          <w:b/>
          <w:sz w:val="28"/>
          <w:szCs w:val="28"/>
        </w:rPr>
        <w:t>）</w:t>
      </w:r>
      <w:bookmarkStart w:id="1" w:name="_Toc129855049"/>
      <w:bookmarkStart w:id="2" w:name="_Toc130001562"/>
      <w:bookmarkStart w:id="3" w:name="_Toc130001751"/>
      <w:bookmarkStart w:id="4" w:name="_Toc130001592"/>
      <w:bookmarkStart w:id="5" w:name="_Toc129855215"/>
      <w:r>
        <w:rPr>
          <w:rFonts w:hint="eastAsia" w:ascii="仿宋_GB2312" w:eastAsia="仿宋_GB2312" w:cs="仿宋"/>
          <w:b/>
          <w:sz w:val="28"/>
          <w:szCs w:val="28"/>
          <w:lang w:eastAsia="zh-CN"/>
        </w:rPr>
        <w:t>教育内容</w:t>
      </w:r>
    </w:p>
    <w:p w14:paraId="38E86FA4">
      <w:pPr>
        <w:pStyle w:val="29"/>
        <w:spacing w:line="520" w:lineRule="exact"/>
        <w:ind w:firstLine="0" w:firstLineChars="0"/>
        <w:rPr>
          <w:rFonts w:hint="eastAsia" w:ascii="仿宋_GB2312" w:eastAsia="仿宋_GB2312" w:cs="仿宋"/>
          <w:b/>
          <w:bCs/>
          <w:sz w:val="28"/>
          <w:szCs w:val="28"/>
          <w:lang w:eastAsia="zh-CN"/>
        </w:rPr>
      </w:pPr>
      <w:r>
        <w:rPr>
          <w:rFonts w:hint="eastAsia" w:ascii="仿宋_GB2312" w:eastAsia="仿宋_GB2312" w:cs="仿宋"/>
          <w:b/>
          <w:bCs/>
          <w:sz w:val="28"/>
          <w:szCs w:val="28"/>
        </w:rPr>
        <w:t>1</w:t>
      </w:r>
      <w:bookmarkEnd w:id="1"/>
      <w:bookmarkEnd w:id="2"/>
      <w:bookmarkEnd w:id="3"/>
      <w:bookmarkEnd w:id="4"/>
      <w:bookmarkEnd w:id="5"/>
      <w:r>
        <w:rPr>
          <w:rFonts w:hint="eastAsia" w:ascii="仿宋_GB2312" w:eastAsia="仿宋_GB2312" w:cs="仿宋"/>
          <w:b/>
          <w:bCs/>
          <w:sz w:val="28"/>
          <w:szCs w:val="28"/>
        </w:rPr>
        <w:t>.</w:t>
      </w:r>
      <w:r>
        <w:rPr>
          <w:rFonts w:hint="eastAsia" w:ascii="仿宋_GB2312" w:eastAsia="仿宋_GB2312" w:cs="仿宋"/>
          <w:b/>
          <w:bCs/>
          <w:sz w:val="28"/>
          <w:szCs w:val="28"/>
          <w:lang w:eastAsia="zh-CN"/>
        </w:rPr>
        <w:t>帕金森病高危人群</w:t>
      </w:r>
    </w:p>
    <w:p w14:paraId="0E4082FA">
      <w:pPr>
        <w:pStyle w:val="29"/>
        <w:spacing w:line="520" w:lineRule="exact"/>
        <w:ind w:firstLine="562"/>
        <w:rPr>
          <w:rFonts w:hint="eastAsia" w:ascii="仿宋_GB2312" w:eastAsia="仿宋_GB2312" w:cs="仿宋"/>
          <w:bCs/>
          <w:sz w:val="28"/>
          <w:szCs w:val="28"/>
        </w:rPr>
      </w:pPr>
      <w:r>
        <w:rPr>
          <w:rFonts w:hint="eastAsia" w:ascii="仿宋_GB2312" w:eastAsia="仿宋_GB2312" w:cs="仿宋"/>
          <w:b/>
          <w:bCs w:val="0"/>
          <w:sz w:val="28"/>
          <w:szCs w:val="28"/>
        </w:rPr>
        <w:t>疾病知识教育</w:t>
      </w:r>
      <w:r>
        <w:rPr>
          <w:rFonts w:hint="eastAsia" w:ascii="仿宋_GB2312" w:eastAsia="仿宋_GB2312" w:cs="仿宋"/>
          <w:bCs/>
          <w:sz w:val="28"/>
          <w:szCs w:val="28"/>
          <w:lang w:eastAsia="zh-CN"/>
        </w:rPr>
        <w:t>：主要是为了</w:t>
      </w:r>
      <w:r>
        <w:rPr>
          <w:rFonts w:hint="eastAsia" w:ascii="仿宋_GB2312" w:eastAsia="仿宋_GB2312" w:cs="仿宋"/>
          <w:bCs/>
          <w:sz w:val="28"/>
          <w:szCs w:val="28"/>
        </w:rPr>
        <w:t>提高帕金森病高风险人群健康意识，降低发病率。重点内容：介绍帕金森病的定义、病因，如年龄增长、遗传因素、环境因素（长期接触农药、杀虫剂等）、神经系统老化等；讲解其典型症状，包括静止性震颤、肌强直、运动迟缓、姿势平衡障碍，以及非运动症状如嗅觉减退、便秘、睡眠障碍、抑郁等。让高危人群了解疾病的基本情况，提高对帕金森病的认识，增强防范意识，以便在出现相关症状时能及时察觉并就医。</w:t>
      </w:r>
    </w:p>
    <w:p w14:paraId="3F1EB1E5">
      <w:pPr>
        <w:pStyle w:val="29"/>
        <w:spacing w:line="520" w:lineRule="exact"/>
        <w:ind w:firstLine="562"/>
        <w:rPr>
          <w:rFonts w:hint="eastAsia" w:ascii="仿宋_GB2312" w:eastAsia="仿宋_GB2312" w:cs="仿宋"/>
          <w:bCs/>
          <w:sz w:val="28"/>
          <w:szCs w:val="28"/>
        </w:rPr>
      </w:pPr>
      <w:r>
        <w:rPr>
          <w:rFonts w:hint="eastAsia" w:ascii="仿宋_GB2312" w:eastAsia="仿宋_GB2312" w:cs="仿宋"/>
          <w:b/>
          <w:bCs w:val="0"/>
          <w:sz w:val="28"/>
          <w:szCs w:val="28"/>
          <w:lang w:eastAsia="zh-CN"/>
        </w:rPr>
        <w:t>生活方式</w:t>
      </w:r>
      <w:r>
        <w:rPr>
          <w:rFonts w:hint="eastAsia" w:ascii="仿宋_GB2312" w:eastAsia="仿宋_GB2312" w:cs="仿宋"/>
          <w:b/>
          <w:bCs w:val="0"/>
          <w:sz w:val="28"/>
          <w:szCs w:val="28"/>
        </w:rPr>
        <w:t>指导</w:t>
      </w:r>
      <w:r>
        <w:rPr>
          <w:rFonts w:hint="eastAsia" w:ascii="仿宋_GB2312" w:eastAsia="仿宋_GB2312" w:cs="仿宋"/>
          <w:bCs/>
          <w:sz w:val="28"/>
          <w:szCs w:val="28"/>
          <w:lang w:eastAsia="zh-CN"/>
        </w:rPr>
        <w:t>：</w:t>
      </w:r>
      <w:r>
        <w:rPr>
          <w:rFonts w:hint="eastAsia" w:ascii="仿宋_GB2312" w:eastAsia="仿宋_GB2312" w:cs="仿宋"/>
          <w:bCs/>
          <w:sz w:val="28"/>
          <w:szCs w:val="28"/>
        </w:rPr>
        <w:t>建议高危人群保持均衡饮食，多吃富含优质蛋白、维生素和膳食纤维的食物，如瘦肉、鱼类、豆类、新鲜蔬菜和水果等；限制高脂肪、高胆固醇食物的摄入；保证充足的水分摄入，预防便秘。合理的饮食有助于维持身体的正常功能，为大脑提供充足的营养，可能对延缓帕金森病的发病或减轻症状有一定帮助。同时，预防便秘可以减少因便秘导致的腹压增加等问题，降低对身体的影响。鼓励高危人群进行适度的有氧运动，如散步、慢跑、太极拳、瑜伽等；还可进行一些针对平衡能力、协调能力和肌肉力量的训练，如单脚站立、闭目站立、上下楼梯、握拳伸指等。运动锻炼可以促进血液循环，增强身体的代谢功能，提高神经系统的灵活性和协调性，有助于维持肌肉力量和关节活动度，对预防帕金森病的发生和发展具有积极作用。告知高危人群帕金森病可能会对心理产生影响，如焦虑、抑郁等，鼓励他们保持积极乐观的心态，学会应对压力和情绪的方法，如通过与家人朋友交流、参加社交活动、培养兴趣爱好等方式缓解心理压力。良好的心理状态对身体健康至关重要，积极的心态可以增强身体的免疫力，提高对疾病的抵抗力，同时也有助于提高生活质量，减少因心理问题导致的其他健康问题。</w:t>
      </w:r>
    </w:p>
    <w:p w14:paraId="2B4AEB45">
      <w:pPr>
        <w:pStyle w:val="29"/>
        <w:spacing w:line="520" w:lineRule="exact"/>
        <w:ind w:firstLine="0" w:firstLineChars="0"/>
        <w:rPr>
          <w:rFonts w:hint="eastAsia" w:ascii="仿宋_GB2312" w:eastAsia="仿宋_GB2312" w:cs="仿宋"/>
          <w:b/>
          <w:sz w:val="28"/>
          <w:szCs w:val="28"/>
          <w:lang w:eastAsia="zh-CN"/>
        </w:rPr>
      </w:pPr>
      <w:r>
        <w:rPr>
          <w:rFonts w:hint="eastAsia" w:ascii="仿宋_GB2312" w:eastAsia="仿宋_GB2312" w:cs="仿宋"/>
          <w:b/>
          <w:sz w:val="28"/>
          <w:szCs w:val="28"/>
        </w:rPr>
        <w:t>2.</w:t>
      </w:r>
      <w:r>
        <w:rPr>
          <w:rFonts w:hint="eastAsia" w:ascii="仿宋_GB2312" w:eastAsia="仿宋_GB2312" w:cs="仿宋"/>
          <w:b/>
          <w:sz w:val="28"/>
          <w:szCs w:val="28"/>
          <w:lang w:eastAsia="zh-CN"/>
        </w:rPr>
        <w:t>帕金森病患者</w:t>
      </w:r>
    </w:p>
    <w:p w14:paraId="46690D92">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
          <w:bCs w:val="0"/>
          <w:sz w:val="28"/>
          <w:szCs w:val="28"/>
        </w:rPr>
        <w:t>疾病知识宣教</w:t>
      </w:r>
      <w:r>
        <w:rPr>
          <w:rFonts w:hint="eastAsia" w:ascii="仿宋_GB2312" w:eastAsia="仿宋_GB2312" w:cs="仿宋"/>
          <w:bCs/>
          <w:sz w:val="28"/>
          <w:szCs w:val="28"/>
          <w:lang w:eastAsia="zh-CN"/>
        </w:rPr>
        <w:t>：</w:t>
      </w:r>
      <w:r>
        <w:rPr>
          <w:rFonts w:hint="eastAsia" w:ascii="仿宋_GB2312" w:eastAsia="仿宋_GB2312" w:cs="仿宋"/>
          <w:bCs/>
          <w:sz w:val="28"/>
          <w:szCs w:val="28"/>
        </w:rPr>
        <w:t>应讲解帕金森病的定义、病因机制、常见症状、治疗目标、治疗方法、护理风险及检查项目等，让患者对疾病有充分的认知。主要</w:t>
      </w:r>
      <w:r>
        <w:rPr>
          <w:rFonts w:hint="eastAsia" w:ascii="仿宋_GB2312" w:eastAsia="仿宋_GB2312" w:cs="仿宋"/>
          <w:bCs/>
          <w:sz w:val="28"/>
          <w:szCs w:val="28"/>
          <w:lang w:eastAsia="zh-CN"/>
        </w:rPr>
        <w:t>目的是</w:t>
      </w:r>
      <w:r>
        <w:rPr>
          <w:rFonts w:hint="eastAsia" w:ascii="仿宋_GB2312" w:eastAsia="仿宋_GB2312" w:cs="仿宋"/>
          <w:bCs/>
          <w:sz w:val="28"/>
          <w:szCs w:val="28"/>
        </w:rPr>
        <w:t>缓解患者负面情绪，使其尽早就医，积极配合治疗</w:t>
      </w:r>
      <w:r>
        <w:rPr>
          <w:rFonts w:hint="eastAsia" w:ascii="仿宋_GB2312" w:eastAsia="仿宋_GB2312" w:cs="仿宋"/>
          <w:bCs/>
          <w:sz w:val="28"/>
          <w:szCs w:val="28"/>
          <w:lang w:eastAsia="zh-CN"/>
        </w:rPr>
        <w:t>。重点让患者了解帕金森病的症状发展过程，如早期可能仅出现轻微手抖、动作变慢，随着病情进展，会逐渐影响平衡、语言等功能；明白药物治疗的作用和局限性，药物能有效控制症状，但可能存在副作用和“蜜月期”后药效减退的情况。帕金森病是一种慢性进展性疾病，患者对自身疾病有清晰认知，能更好地配合治疗和护理，避免因症状加重产生过度焦虑，也能理解治疗过程中可能出现的问题，增强治疗的依从性。</w:t>
      </w:r>
    </w:p>
    <w:p w14:paraId="49D02544">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Cs/>
          <w:sz w:val="28"/>
          <w:szCs w:val="28"/>
          <w:lang w:eastAsia="zh-CN"/>
        </w:rPr>
        <w:t>用药指导：强调药物治疗是帕金森病主要治疗方法，包括中医药辨证治疗和西药对症治疗。告知服用中药汤剂的目的及方法，药物应温服，服药期间忌食生冷、油腻、辛辣、腥臭等刺激性食物，与西药间隔至少30min至1h服用。告知抗帕金森病药物的目的及服用方法，如左旋多巴应在餐前1h或餐后1.5h服用，以减少胃肠道反应；盐酸司来吉兰在早晨、中午服用；雷沙吉兰早晨服用，胃溃疡者禁用；金刚烷胺每日最后一次服药时间应在下午4时前，以避免失眠。指导识别药物不良反应，如恶心、呕吐、失眠、直立性低血压等，出现药物不良反应，应及时告知医护人员。强调应严格按照医嘱按时按量服用药物，不可自行增减药量，以免加重病情。告知药物治疗并不能完全缓解所有的症状且没有统一的治疗模式，有时需要多种治疗方法联合应用并反复调整方案。</w:t>
      </w:r>
    </w:p>
    <w:p w14:paraId="358BAA1F">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
          <w:bCs w:val="0"/>
          <w:sz w:val="28"/>
          <w:szCs w:val="28"/>
          <w:lang w:eastAsia="zh-CN"/>
        </w:rPr>
        <w:t>治疗指导</w:t>
      </w:r>
      <w:r>
        <w:rPr>
          <w:rFonts w:hint="eastAsia" w:ascii="仿宋_GB2312" w:eastAsia="仿宋_GB2312" w:cs="仿宋"/>
          <w:bCs/>
          <w:sz w:val="28"/>
          <w:szCs w:val="28"/>
          <w:lang w:eastAsia="zh-CN"/>
        </w:rPr>
        <w:t>：接受DBS等手术治疗者，应做好术前、术后宣教，告知手术目的、过程、预期效果及可能的风险及术后病情观察要点、规律作息、规律服药、营养均衡、康复锻炼、定期复查等内容；实施中医外治法前应辨证，操作前告知目的、方法及注意事项；伴有运动障碍、肌强直、身体疼痛者推荐刮痧疗法，或中药热熨疼痛处，以活血化瘀、舒筋通络；伴有便秘者针刺或穴位按摩中脘、下脘、气海、关元、脾俞、胃俞、大肠俞、小肠俞等穴，以温肾健脾、通便润肠。实秘者推荐大黄粉贴敷神阙穴，必要时采用中药灌肠通便；虚秘者中药砭石热熨脐周；伴有失眠者推荐耳穴贴压心、神门、皮质下、交感等耳穴处；或用芳香疗法、音乐疗法助眠；伴有排尿障碍者推荐艾灸气海、关元、命门穴，以改善尿频、尿急、夜尿增多现象；伴有多汗者推荐牡蛎散贴敷神阙、大椎、肾腧、足三里穴，以温肾益气、敛阴止汗；伴有运动障碍者推荐脊髓电刺激（SCS）、重复经颅磁刺激（rTMS）、水疗等物理治疗，以改善步态冻结、肌强直等运动障碍及运动迟缓、震颤及抑郁等非运动症状。</w:t>
      </w:r>
    </w:p>
    <w:p w14:paraId="55EFBF27">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Cs/>
          <w:sz w:val="28"/>
          <w:szCs w:val="28"/>
          <w:lang w:eastAsia="zh-CN"/>
        </w:rPr>
        <w:t>饮食指导：帕金森病患者多为老年人，消化系统功能减退，还可能合并胃肠蠕动乏力、痉挛、便秘等，合理的饮食有助于维持身体正常代谢，预防便秘，同时避免食物与药物相互作用影响药效。应解释饮食治疗对疾病恢复的作用。指导饮食应以高纤维、高抗氧化、科学蛋白（每日总量≤0.8g/kg，集中晚餐补充）、富含维生素B6食物为宜，建议服用维生素D补充剂，忌高脂肪、高糖、生冷、肥甘厚腻之品；应根据症状及中医辨证结果，提供个性化药膳调理建议，如手抖僵硬加重推荐天麻鲫鱼汤，便秘口干舌红推荐决明子蜂蜜饮，乏力畏冷推荐黄芪山药粥，失眠烦躁推荐酸枣仁莲子羹；痰热风动证推荐瓜蒌仁天麻陈皮汤、丝瓜薏苡仁粥；血瘀动风证推荐补阳还五汤（药膳化）、乌梢蛇金钱龟汤；气血两虚证推荐八珍汤加天麻钩藤饮（药膳化）、红枣桂圆枸杞粥；肝肾不足证推荐猪肝滋补汤、银杞莲子汤等；告知进食应细嚼慢咽、少量多餐，进食前配合医护人员进行咀嚼与吞咽功能评估，根据评估结果选择食物的种类及进食方式，确保进食安全；应做好体重监测，建议使用“体重监测表”，早期每3个月测量1次体重，中晚期每月测量1次体重，及时分析体重减轻或增加的原因，调整饮食方案；营养不良时应寻求并听从营养师指导（营养师介入指征：吞咽障碍FOIS评分≤3级、血清白蛋白＜35g/L、反复吸入性肺炎史）。</w:t>
      </w:r>
    </w:p>
    <w:p w14:paraId="776903E6">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
          <w:bCs w:val="0"/>
          <w:sz w:val="28"/>
          <w:szCs w:val="28"/>
          <w:lang w:eastAsia="zh-CN"/>
        </w:rPr>
        <w:t>心理指导</w:t>
      </w:r>
      <w:r>
        <w:rPr>
          <w:rFonts w:hint="eastAsia" w:ascii="仿宋_GB2312" w:eastAsia="仿宋_GB2312" w:cs="仿宋"/>
          <w:bCs/>
          <w:sz w:val="28"/>
          <w:szCs w:val="28"/>
          <w:lang w:eastAsia="zh-CN"/>
        </w:rPr>
        <w:t>：帕金森病患者常伴有抑郁、焦虑等精神障碍，心理调节有助于改善患者的心理状态，提高生活质量，增强对疾病的应对能力。因此，应解释积极心态对疾病康复的重要作用，提供疾病相关知识，提高患者认知水平，减少不必要的恐慌和焦虑；应指导正视、接纳自己的情绪，建议撰写情绪日志，学会情绪管理；应指导进行深呼吸、肌肉放松、正念训练、冥想训练等自我放松技术，缓解不良情绪；应鼓励培养音乐、舞蹈、绘画、园艺等兴趣爱好，多听相声、舒缓性音乐，观看喜剧类节目，以制约其悲、恐、思、忧等不良情绪；应鼓励家属陪伴，及时了解患者想法和需求，给予情感上的支持和关爱；应鼓励患者参与适当的社交活动，如帕金森病俱乐部、病友会等，与其他患者交流心得和经验，相互鼓励和支持；应尊重患者意愿和宗教信仰，鼓励其做力所能及的事情；应教授情绪急救三步骤：识别警报信号、5分钟 grounding 技术、紧急联系人卡；应向患者强调在出现焦虑、抑郁等不良情绪时应及时寻求专业心理咨询师或心理医师的帮助。</w:t>
      </w:r>
    </w:p>
    <w:p w14:paraId="16EA212C">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Cs/>
          <w:sz w:val="28"/>
          <w:szCs w:val="28"/>
          <w:lang w:eastAsia="zh-CN"/>
        </w:rPr>
        <w:t>康复运动指导：运动锻炼可以增强心肺功能，提高身体耐力，改善平衡能力，减少跌倒风险，还能锻炼肌肉力量，减缓肌肉萎缩，对帕金森病患者的身体功能维持和改善有积极作用。因此，应解释运动治疗对改善症状、提高生活质量的重要性；确诊后即可开始运动康复，建议在用药后46～60min或一天中运动并发症最少的时间进行锻炼；应建议在医生或康复师的指导下进行体重支持跑步机训练、水上运动、普拉提、平衡和步态训练机器人辅助步态平衡等运动方式，运动前配合医生进行运动评估与测试，以便医生制定个性化的运动方案（运动目标、类型、频率、时间）；稳定期患者应鼓励继续居家康复训练，根据医生建议选择自己喜欢的运动方式，如八段锦、太极、舞蹈、跑步等；根据患者病情及知识掌握情况制定居家康复计划，并进行记录，以持续保持肌肉力量、平衡能力和协调性，提高日常生活能力；晚期患者应鼓励继续维持基本康复治疗，如呼吸功能训练、吞咽功能训练、日常生活功能训练等；应强调发生以下情况应停止运动：恶心、胸闷或胸痛超过几分钟，呼吸急促（≥40次/min），头晕或头痛，心动过速，疼痛，冷汗，严重疲劳感或运动期间收缩压降低超过10 mmHg。</w:t>
      </w:r>
    </w:p>
    <w:p w14:paraId="7D43AE95">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
          <w:bCs w:val="0"/>
          <w:sz w:val="28"/>
          <w:szCs w:val="28"/>
          <w:lang w:eastAsia="zh-CN"/>
        </w:rPr>
        <w:t>生活方式指导</w:t>
      </w:r>
      <w:r>
        <w:rPr>
          <w:rFonts w:hint="eastAsia" w:ascii="仿宋_GB2312" w:eastAsia="仿宋_GB2312" w:cs="仿宋"/>
          <w:bCs/>
          <w:sz w:val="28"/>
          <w:szCs w:val="28"/>
          <w:lang w:eastAsia="zh-CN"/>
        </w:rPr>
        <w:t>：帕金森病患者存在运动障碍，容易发生跌倒等意外，安全的家居环境和合适的穿着有助于减少意外风险，良好的睡眠习惯则有助于患者保持身体和精神状态。应鼓励继续保持健康的生活方式，避免久坐、久卧，积极参加家务和娱乐活动；应指导患者建立规律的睡眠模式、优化睡眠环境、避免睡前摄入兴奋剂（如咖啡、茶）和大量饮水，必要时使用辅助睡眠设备，促进睡眠质量；应指导建立规律的排便习惯及排便姿势，白天适当增加液体和纤维摄入量，保持大便通畅，必要时使用益生菌、番泻叶等缓解便秘和促进排便；建议使用蹲便器或者模拟蹲坐的姿势进行排便，以增加肠腔内压力；应指导保持口腔卫生的必要性以及保持口腔健康的方法：如正确刷牙和使用牙线、高氟牙膏的策略；口干症患者，选用含苹果酸、柠檬酸的唾液替代品或咀嚼无糖口香糖刺激唾液分泌；服用药物后60～90min进行牙科就诊，以最大限度地利用帕金森病药物；应强调居家安全隐患及防范措施，如跌倒发生的原因及防范措施；服药期间不宜驾驶车辆，操纵机械和高空作业等；应鼓励自我管理和症状监测，如记录症状变化、药物使用情况及不良反应；应鼓励参与适当的社交活动，如帕金森病俱乐部、病友会等，与其他患者交流心得和经验，相互鼓励和支持。应开展预防跌倒、压力性损伤等居家风险防控，心血管事件识别、呼救自救、家庭急救常识等应急教育。</w:t>
      </w:r>
    </w:p>
    <w:p w14:paraId="09E291EB">
      <w:pPr>
        <w:pStyle w:val="29"/>
        <w:spacing w:line="520" w:lineRule="exact"/>
        <w:ind w:firstLine="0" w:firstLineChars="0"/>
        <w:rPr>
          <w:rFonts w:hint="eastAsia" w:ascii="仿宋_GB2312" w:eastAsia="仿宋_GB2312" w:cs="仿宋"/>
          <w:b/>
          <w:sz w:val="28"/>
          <w:szCs w:val="28"/>
          <w:lang w:eastAsia="zh-CN"/>
        </w:rPr>
      </w:pPr>
      <w:r>
        <w:rPr>
          <w:rFonts w:hint="eastAsia" w:ascii="仿宋_GB2312" w:eastAsia="仿宋_GB2312" w:cs="仿宋"/>
          <w:b/>
          <w:sz w:val="28"/>
          <w:szCs w:val="28"/>
          <w:lang w:val="en-US" w:eastAsia="zh-CN"/>
        </w:rPr>
        <w:t>3.</w:t>
      </w:r>
      <w:r>
        <w:rPr>
          <w:rFonts w:hint="eastAsia" w:ascii="仿宋_GB2312" w:eastAsia="仿宋_GB2312" w:cs="仿宋"/>
          <w:b/>
          <w:sz w:val="28"/>
          <w:szCs w:val="28"/>
          <w:lang w:eastAsia="zh-CN"/>
        </w:rPr>
        <w:t>帕金森病照顾者</w:t>
      </w:r>
    </w:p>
    <w:p w14:paraId="6032FD97">
      <w:pPr>
        <w:pStyle w:val="29"/>
        <w:spacing w:line="520" w:lineRule="exact"/>
        <w:ind w:firstLine="560"/>
        <w:rPr>
          <w:rFonts w:hint="eastAsia" w:ascii="仿宋_GB2312" w:eastAsia="仿宋_GB2312" w:cs="仿宋"/>
          <w:bCs/>
          <w:sz w:val="28"/>
          <w:szCs w:val="28"/>
          <w:lang w:eastAsia="zh-CN"/>
        </w:rPr>
      </w:pPr>
      <w:r>
        <w:rPr>
          <w:rFonts w:hint="eastAsia" w:ascii="仿宋_GB2312" w:eastAsia="仿宋_GB2312" w:cs="仿宋"/>
          <w:bCs/>
          <w:sz w:val="28"/>
          <w:szCs w:val="28"/>
          <w:lang w:eastAsia="zh-CN"/>
        </w:rPr>
        <w:t>帕金森病是一种慢性进行性神经系统疾病，照顾者只有充分了解疾病，才能更好地理解患者的行为和需求，做好相应的照顾工作，也能避免因对疾病不了解而产生不必要的焦虑和恐惧。帕金森病患者通常需要长期甚至终身服药，药物治疗是控制症状的重要手段，但药物可能会出现副作用和不良反应，照顾者掌握用药指导，能确保患者按时、正确服药，及时发现和处理药物相关问题，提高治疗效果。运动锻炼有助于维持患者的身体功能，延缓病情进展，提高生活质量，但患者可能因病情原因难以自行坚持运动，需要照顾者的协助和督促。此外，帕金森病患者可能会出现各种紧急情况，照顾者掌握紧急处理方法，能在关键时刻挽救患者的生命，提高患者的生存率和生活质量。因此，应指导识别运动症状（震颤、肌强直、步态冻结）及高优先级非运动症状（便秘、吞咽困难、体位性低血压），在康复师指导下用关节活动+温热疗法缓解疼痛、僵硬症状。应指导协助患者按时按量遵医嘱服用药物，记录剂末现象/异动症，及时反馈医护人员。应落实防跌倒改造（移除门槛、安装扶手、防滑垫），在医护人员指导下协助患者进行适宜的运动康复锻炼。应提供防误吸饮食方案及便秘管理指导。应为失智失能、生活自理能力低下患者提供照护指导，如每2 h翻身、被动关节活动、安全用药工具使用等。 应为晚期患者提供痴呆行为管理以及舒缓疗护资源对接。应为照顾者提供减压技巧、躯体防护培训及喘息服务资源。</w:t>
      </w:r>
    </w:p>
    <w:p w14:paraId="06FF7DF4">
      <w:pPr>
        <w:pStyle w:val="29"/>
        <w:spacing w:line="520" w:lineRule="exact"/>
        <w:ind w:firstLine="0" w:firstLineChars="0"/>
        <w:rPr>
          <w:rFonts w:hint="eastAsia" w:ascii="仿宋_GB2312" w:eastAsia="仿宋_GB2312" w:cs="仿宋"/>
          <w:b/>
          <w:sz w:val="28"/>
          <w:szCs w:val="28"/>
          <w:lang w:eastAsia="zh-CN"/>
        </w:rPr>
      </w:pPr>
      <w:r>
        <w:rPr>
          <w:rFonts w:hint="eastAsia" w:ascii="仿宋_GB2312" w:eastAsia="仿宋_GB2312" w:cs="仿宋"/>
          <w:b/>
          <w:sz w:val="28"/>
          <w:szCs w:val="28"/>
        </w:rPr>
        <w:t>（三）</w:t>
      </w:r>
      <w:r>
        <w:rPr>
          <w:rFonts w:hint="eastAsia" w:ascii="仿宋_GB2312" w:eastAsia="仿宋_GB2312" w:cs="仿宋"/>
          <w:b/>
          <w:sz w:val="28"/>
          <w:szCs w:val="28"/>
          <w:lang w:eastAsia="zh-CN"/>
        </w:rPr>
        <w:t>教育形式</w:t>
      </w:r>
    </w:p>
    <w:p w14:paraId="6EC805C5">
      <w:pPr>
        <w:pStyle w:val="29"/>
        <w:ind w:firstLine="562"/>
        <w:rPr>
          <w:rFonts w:hint="eastAsia" w:ascii="仿宋_GB2312" w:eastAsia="仿宋_GB2312" w:cs="仿宋"/>
          <w:b w:val="0"/>
          <w:bCs/>
          <w:sz w:val="28"/>
          <w:szCs w:val="28"/>
        </w:rPr>
      </w:pPr>
      <w:r>
        <w:rPr>
          <w:rFonts w:hint="eastAsia" w:ascii="仿宋_GB2312" w:eastAsia="仿宋_GB2312" w:cs="仿宋"/>
          <w:b w:val="0"/>
          <w:bCs/>
          <w:sz w:val="28"/>
          <w:szCs w:val="28"/>
        </w:rPr>
        <w:t>对帕金森病高危人群宜采用风险量化工具MDS前驱症状自测表联合健康咨询、媒体科普、社区筛查活动、宣传日活动进行科普教育；对帕金森病照顾者宜采用照护实操训练、回授法、跨场景培训等形式。对帕金森病患者应提供基于Hoehn-Yahr分级的阶梯式教育形式：</w:t>
      </w:r>
    </w:p>
    <w:p w14:paraId="498D0CC4">
      <w:pPr>
        <w:pStyle w:val="29"/>
        <w:ind w:firstLine="562"/>
        <w:rPr>
          <w:rFonts w:hint="eastAsia" w:ascii="仿宋_GB2312" w:eastAsia="仿宋_GB2312" w:cs="仿宋"/>
          <w:b w:val="0"/>
          <w:bCs/>
          <w:sz w:val="28"/>
          <w:szCs w:val="28"/>
        </w:rPr>
      </w:pPr>
      <w:r>
        <w:rPr>
          <w:rFonts w:hint="eastAsia" w:ascii="仿宋_GB2312" w:eastAsia="仿宋_GB2312" w:cs="仿宋"/>
          <w:b w:val="0"/>
          <w:bCs/>
          <w:sz w:val="28"/>
          <w:szCs w:val="28"/>
        </w:rPr>
        <w:t>——1～2级：宜采用媒体科普、健康教育手册或视频、健康讲座、在线课程等形式；</w:t>
      </w:r>
    </w:p>
    <w:p w14:paraId="51144FD7">
      <w:pPr>
        <w:pStyle w:val="29"/>
        <w:ind w:firstLine="562"/>
        <w:rPr>
          <w:rFonts w:hint="eastAsia" w:ascii="仿宋_GB2312" w:eastAsia="仿宋_GB2312" w:cs="仿宋"/>
          <w:b w:val="0"/>
          <w:bCs/>
          <w:sz w:val="28"/>
          <w:szCs w:val="28"/>
        </w:rPr>
      </w:pPr>
      <w:r>
        <w:rPr>
          <w:rFonts w:hint="eastAsia" w:ascii="仿宋_GB2312" w:eastAsia="仿宋_GB2312" w:cs="仿宋"/>
          <w:b w:val="0"/>
          <w:bCs/>
          <w:sz w:val="28"/>
          <w:szCs w:val="28"/>
        </w:rPr>
        <w:t>——3～4级：宜采用健康讲座、健康教育手册或视频、同伴教育、VR/AR模拟、在线课程、电话、互联网随访等形式；</w:t>
      </w:r>
    </w:p>
    <w:p w14:paraId="713C2196">
      <w:pPr>
        <w:pStyle w:val="29"/>
        <w:ind w:firstLine="562"/>
        <w:rPr>
          <w:rFonts w:hint="eastAsia" w:ascii="仿宋_GB2312" w:eastAsia="仿宋_GB2312" w:cs="仿宋"/>
          <w:b w:val="0"/>
          <w:bCs/>
          <w:sz w:val="28"/>
          <w:szCs w:val="28"/>
        </w:rPr>
      </w:pPr>
      <w:r>
        <w:rPr>
          <w:rFonts w:hint="eastAsia" w:ascii="仿宋_GB2312" w:eastAsia="仿宋_GB2312" w:cs="仿宋"/>
          <w:b w:val="0"/>
          <w:bCs/>
          <w:sz w:val="28"/>
          <w:szCs w:val="28"/>
        </w:rPr>
        <w:t>——5级：宜采用视频指导、家庭访视、临终关怀等形式。</w:t>
      </w:r>
    </w:p>
    <w:p w14:paraId="691C893F">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lang w:eastAsia="zh-CN"/>
        </w:rPr>
        <w:t>（四）</w:t>
      </w:r>
      <w:r>
        <w:rPr>
          <w:rFonts w:hint="eastAsia" w:ascii="仿宋_GB2312" w:eastAsia="仿宋_GB2312" w:cs="仿宋"/>
          <w:b/>
          <w:bCs w:val="0"/>
          <w:sz w:val="28"/>
          <w:szCs w:val="28"/>
        </w:rPr>
        <w:t>教育流程及要求</w:t>
      </w:r>
    </w:p>
    <w:p w14:paraId="04983F64">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rPr>
        <w:t>需求评估</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收集帕金森病高危人群、患者、照顾者的相关信息，评估其人口学特征、健康相关行为及影响因素、需求，确定优先干预的健康问题及危险因素。根据帕金森病高危人群、患者、照顾者面临的主要健康问题及危险因素，结合《帕金森病健康教育需求调查问卷》，分析并确定健康教育需求。</w:t>
      </w:r>
    </w:p>
    <w:p w14:paraId="0B53F1D0">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rPr>
        <w:t>制定方案</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根据需求评估结果，结合健康教育对象的学习特点，制定健康教育方案，包括但不限于时间、主题、场所、设施设备、形式、内容。</w:t>
      </w:r>
    </w:p>
    <w:p w14:paraId="394254BE">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rPr>
        <w:t>教育准备</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应做好健康教育场地、设施设备、宣传资料、内容、健康教育实施人员等准备。</w:t>
      </w:r>
    </w:p>
    <w:p w14:paraId="5F6E2171">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rPr>
        <w:t>教育实施</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应根据健康教育方案，开展健康教育活动，宜建立并登记健康教育活动记录表。活动过程中，应及时听取健康教育对象的意见，动态调整健康教育内容及形式等。健康教育结束后，应及时收集健康教育对象的意见；应整理保存健康教育资料，包括文字资料、图片等。</w:t>
      </w:r>
    </w:p>
    <w:p w14:paraId="5FE5D0E9">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rPr>
        <w:t>效果评价</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对帕金森病患者及易患人群的健康教育知识知晓率、用药依从性等进行评价</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采用健康教育满意度评价健康教育效果。</w:t>
      </w:r>
    </w:p>
    <w:p w14:paraId="31F9C055">
      <w:pPr>
        <w:pStyle w:val="29"/>
        <w:ind w:firstLine="562"/>
        <w:rPr>
          <w:rFonts w:hint="eastAsia" w:ascii="仿宋_GB2312" w:eastAsia="仿宋_GB2312" w:cs="仿宋"/>
          <w:b w:val="0"/>
          <w:bCs/>
          <w:sz w:val="28"/>
          <w:szCs w:val="28"/>
        </w:rPr>
      </w:pPr>
      <w:r>
        <w:rPr>
          <w:rFonts w:hint="eastAsia" w:ascii="仿宋_GB2312" w:eastAsia="仿宋_GB2312" w:cs="仿宋"/>
          <w:b/>
          <w:bCs w:val="0"/>
          <w:sz w:val="28"/>
          <w:szCs w:val="28"/>
          <w:lang w:eastAsia="zh-CN"/>
        </w:rPr>
        <w:t>（五）</w:t>
      </w:r>
      <w:r>
        <w:rPr>
          <w:rFonts w:hint="eastAsia" w:ascii="仿宋_GB2312" w:eastAsia="仿宋_GB2312" w:cs="仿宋"/>
          <w:b/>
          <w:bCs w:val="0"/>
          <w:sz w:val="28"/>
          <w:szCs w:val="28"/>
        </w:rPr>
        <w:t>改进与提高</w:t>
      </w:r>
    </w:p>
    <w:p w14:paraId="32F8EC66">
      <w:pPr>
        <w:pStyle w:val="29"/>
        <w:ind w:firstLine="562"/>
        <w:rPr>
          <w:rFonts w:hint="eastAsia" w:ascii="仿宋_GB2312" w:eastAsia="仿宋_GB2312" w:cs="仿宋"/>
          <w:b w:val="0"/>
          <w:bCs/>
          <w:sz w:val="28"/>
          <w:szCs w:val="28"/>
        </w:rPr>
      </w:pPr>
      <w:r>
        <w:rPr>
          <w:rFonts w:hint="eastAsia" w:ascii="仿宋_GB2312" w:eastAsia="仿宋_GB2312" w:cs="仿宋"/>
          <w:b w:val="0"/>
          <w:bCs/>
          <w:sz w:val="28"/>
          <w:szCs w:val="28"/>
        </w:rPr>
        <w:t>结果应用</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效果评价结果宜用于各级各类医疗机构、健康教育专业机构，其他有健康教育需求的机构。</w:t>
      </w:r>
    </w:p>
    <w:p w14:paraId="0C486A0A">
      <w:pPr>
        <w:pStyle w:val="29"/>
        <w:ind w:firstLine="562"/>
        <w:rPr>
          <w:rFonts w:hint="eastAsia" w:ascii="仿宋_GB2312" w:eastAsia="仿宋_GB2312" w:cs="仿宋"/>
          <w:b w:val="0"/>
          <w:bCs/>
          <w:sz w:val="28"/>
          <w:szCs w:val="28"/>
        </w:rPr>
      </w:pPr>
      <w:r>
        <w:rPr>
          <w:rFonts w:hint="eastAsia" w:ascii="仿宋_GB2312" w:eastAsia="仿宋_GB2312" w:cs="仿宋"/>
          <w:b w:val="0"/>
          <w:bCs/>
          <w:sz w:val="28"/>
          <w:szCs w:val="28"/>
        </w:rPr>
        <w:t>持续改进</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rPr>
        <w:t>应根据效果评价结果，制定健康教育改进措施，持续改进，不断提高健康教育质量。</w:t>
      </w:r>
    </w:p>
    <w:p w14:paraId="3291E6DA">
      <w:pPr>
        <w:pStyle w:val="31"/>
        <w:numPr>
          <w:ilvl w:val="0"/>
          <w:numId w:val="0"/>
        </w:numPr>
        <w:spacing w:beforeLines="0" w:afterLines="0" w:line="360" w:lineRule="auto"/>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77488839">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本标准研制过程中无重大分歧意见。</w:t>
      </w:r>
    </w:p>
    <w:p w14:paraId="54323522">
      <w:pPr>
        <w:autoSpaceDE w:val="0"/>
        <w:autoSpaceDN w:val="0"/>
        <w:adjustRightInd w:val="0"/>
        <w:spacing w:before="156" w:beforeLines="50" w:after="156" w:afterLines="50" w:line="520" w:lineRule="exact"/>
        <w:ind w:firstLine="640" w:firstLineChars="200"/>
        <w:outlineLvl w:val="0"/>
        <w:rPr>
          <w:rFonts w:eastAsia="黑体"/>
          <w:sz w:val="32"/>
          <w:szCs w:val="32"/>
        </w:rPr>
      </w:pPr>
      <w:r>
        <w:rPr>
          <w:rFonts w:hint="eastAsia" w:ascii="黑体" w:eastAsia="黑体"/>
          <w:bCs/>
          <w:sz w:val="32"/>
          <w:szCs w:val="32"/>
        </w:rPr>
        <w:t>七、</w:t>
      </w:r>
      <w:r>
        <w:rPr>
          <w:rFonts w:hint="eastAsia" w:eastAsia="黑体"/>
          <w:sz w:val="32"/>
          <w:szCs w:val="32"/>
        </w:rPr>
        <w:t>实施标准的措施</w:t>
      </w:r>
    </w:p>
    <w:p w14:paraId="17B37D2B">
      <w:pPr>
        <w:spacing w:line="50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（一）标准报批发布后，成立标准宣贯工作组</w:t>
      </w:r>
    </w:p>
    <w:p w14:paraId="20B72740">
      <w:pPr>
        <w:spacing w:line="500" w:lineRule="exact"/>
        <w:ind w:firstLine="560" w:firstLineChars="200"/>
        <w:rPr>
          <w:rFonts w:ascii="仿宋_GB2312" w:eastAsia="仿宋_GB2312"/>
          <w:sz w:val="28"/>
          <w:szCs w:val="28"/>
        </w:rPr>
      </w:pPr>
      <w:r>
        <w:rPr>
          <w:rFonts w:hint="eastAsia" w:ascii="仿宋_GB2312" w:eastAsia="仿宋_GB2312"/>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4187DE20">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（二）组织开展标准宣贯培训</w:t>
      </w:r>
    </w:p>
    <w:p w14:paraId="74E3CDA6">
      <w:pPr>
        <w:spacing w:line="500" w:lineRule="exact"/>
        <w:ind w:firstLine="560" w:firstLineChars="200"/>
        <w:rPr>
          <w:rFonts w:ascii="仿宋_GB2312" w:eastAsia="仿宋_GB2312"/>
          <w:sz w:val="28"/>
          <w:szCs w:val="28"/>
        </w:rPr>
      </w:pPr>
      <w:r>
        <w:rPr>
          <w:rFonts w:hint="eastAsia" w:ascii="仿宋_GB2312" w:eastAsia="仿宋_GB2312"/>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14:paraId="0E511345">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（三）开展标准实施交流会，收集标准实施反馈信息</w:t>
      </w:r>
    </w:p>
    <w:p w14:paraId="2F43BE2E">
      <w:pPr>
        <w:spacing w:line="500" w:lineRule="exact"/>
        <w:ind w:firstLine="560" w:firstLineChars="200"/>
        <w:rPr>
          <w:rFonts w:ascii="仿宋_GB2312" w:eastAsia="仿宋_GB2312"/>
          <w:sz w:val="28"/>
          <w:szCs w:val="28"/>
        </w:rPr>
      </w:pPr>
      <w:r>
        <w:rPr>
          <w:rFonts w:hint="eastAsia" w:ascii="仿宋_GB2312" w:eastAsia="仿宋_GB2312"/>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08F60A95">
      <w:pPr>
        <w:spacing w:line="500" w:lineRule="exact"/>
        <w:ind w:firstLine="562" w:firstLineChars="200"/>
        <w:rPr>
          <w:rFonts w:ascii="仿宋_GB2312" w:eastAsia="仿宋_GB2312"/>
          <w:b/>
          <w:sz w:val="28"/>
          <w:szCs w:val="28"/>
        </w:rPr>
      </w:pPr>
      <w:r>
        <w:rPr>
          <w:rFonts w:hint="eastAsia" w:ascii="仿宋_GB2312" w:eastAsia="仿宋_GB2312"/>
          <w:b/>
          <w:sz w:val="28"/>
          <w:szCs w:val="28"/>
        </w:rPr>
        <w:t>（四）开展标准实施效果评估</w:t>
      </w:r>
    </w:p>
    <w:p w14:paraId="285979AA">
      <w:pPr>
        <w:spacing w:line="500" w:lineRule="exact"/>
        <w:ind w:firstLine="560" w:firstLineChars="200"/>
        <w:rPr>
          <w:rFonts w:ascii="仿宋_GB2312" w:eastAsia="仿宋_GB2312"/>
          <w:sz w:val="28"/>
          <w:szCs w:val="28"/>
        </w:rPr>
      </w:pPr>
      <w:r>
        <w:rPr>
          <w:rFonts w:hint="eastAsia" w:ascii="仿宋_GB2312" w:eastAsia="仿宋_GB2312"/>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567A706E">
      <w:pPr>
        <w:spacing w:before="240" w:after="60" w:line="520" w:lineRule="exact"/>
        <w:ind w:firstLine="640" w:firstLineChars="200"/>
        <w:outlineLvl w:val="0"/>
        <w:rPr>
          <w:rFonts w:ascii="黑体" w:eastAsia="黑体"/>
          <w:bCs/>
          <w:sz w:val="32"/>
          <w:szCs w:val="32"/>
        </w:rPr>
      </w:pPr>
      <w:r>
        <w:rPr>
          <w:rFonts w:hint="eastAsia" w:ascii="黑体" w:eastAsia="黑体"/>
          <w:bCs/>
          <w:sz w:val="32"/>
          <w:szCs w:val="32"/>
        </w:rPr>
        <w:t>八、其他应当说明的事项</w:t>
      </w:r>
    </w:p>
    <w:p w14:paraId="5E7BD1DA">
      <w:pPr>
        <w:spacing w:line="520" w:lineRule="exact"/>
        <w:ind w:firstLine="560" w:firstLineChars="200"/>
        <w:rPr>
          <w:rFonts w:ascii="仿宋_GB2312" w:eastAsia="仿宋_GB2312"/>
          <w:sz w:val="28"/>
          <w:szCs w:val="28"/>
        </w:rPr>
      </w:pPr>
      <w:r>
        <w:rPr>
          <w:rFonts w:hint="eastAsia" w:ascii="仿宋_GB2312" w:eastAsia="仿宋_GB2312"/>
          <w:sz w:val="28"/>
          <w:szCs w:val="28"/>
        </w:rPr>
        <w:t>无。</w:t>
      </w:r>
    </w:p>
    <w:p w14:paraId="551997B1">
      <w:pPr>
        <w:autoSpaceDE w:val="0"/>
        <w:autoSpaceDN w:val="0"/>
        <w:adjustRightInd w:val="0"/>
        <w:spacing w:before="156" w:beforeLines="50" w:after="156" w:afterLines="50" w:line="520" w:lineRule="exact"/>
        <w:ind w:firstLine="640"/>
        <w:outlineLvl w:val="0"/>
        <w:rPr>
          <w:rFonts w:eastAsia="黑体"/>
          <w:sz w:val="32"/>
          <w:szCs w:val="32"/>
        </w:rPr>
      </w:pPr>
      <w:r>
        <w:rPr>
          <w:rFonts w:hint="eastAsia" w:eastAsia="黑体"/>
          <w:sz w:val="32"/>
          <w:szCs w:val="32"/>
        </w:rPr>
        <w:t>九、自我承诺</w:t>
      </w:r>
    </w:p>
    <w:p w14:paraId="7C228D99">
      <w:pPr>
        <w:spacing w:line="520" w:lineRule="exact"/>
        <w:ind w:firstLine="560" w:firstLineChars="200"/>
        <w:rPr>
          <w:rFonts w:ascii="仿宋_GB2312" w:eastAsia="仿宋_GB2312"/>
          <w:sz w:val="28"/>
          <w:szCs w:val="28"/>
        </w:rPr>
      </w:pPr>
      <w:r>
        <w:rPr>
          <w:rFonts w:hint="eastAsia" w:ascii="仿宋_GB2312" w:eastAsia="仿宋_GB2312"/>
          <w:sz w:val="28"/>
          <w:szCs w:val="28"/>
        </w:rPr>
        <w:t>该标准的内容符合国家相关法律法规，技术要求不低于强制性国家标准的相关技术要求，与相关的国家、行业推荐性标准协调一致，标准的编写符合GB/T 1.1-2020的要求。</w:t>
      </w:r>
    </w:p>
    <w:p w14:paraId="776778BD">
      <w:pPr>
        <w:spacing w:before="240" w:after="60" w:line="520" w:lineRule="exact"/>
        <w:ind w:firstLine="3920" w:firstLineChars="1400"/>
        <w:outlineLvl w:val="0"/>
        <w:rPr>
          <w:rFonts w:ascii="仿宋_GB2312" w:eastAsia="仿宋_GB2312"/>
          <w:sz w:val="28"/>
          <w:szCs w:val="28"/>
        </w:rPr>
      </w:pPr>
      <w:r>
        <w:rPr>
          <w:rFonts w:hint="eastAsia" w:ascii="仿宋_GB2312" w:eastAsia="仿宋_GB2312"/>
          <w:sz w:val="28"/>
          <w:szCs w:val="28"/>
        </w:rPr>
        <w:t>团体标准《</w:t>
      </w:r>
      <w:r>
        <w:rPr>
          <w:rFonts w:hint="eastAsia" w:ascii="仿宋_GB2312" w:eastAsia="仿宋_GB2312"/>
          <w:sz w:val="28"/>
          <w:szCs w:val="28"/>
          <w:lang w:eastAsia="zh-CN"/>
        </w:rPr>
        <w:t>帕金森病健康教育</w:t>
      </w:r>
      <w:r>
        <w:rPr>
          <w:rFonts w:hint="eastAsia" w:ascii="仿宋_GB2312" w:eastAsia="仿宋_GB2312"/>
          <w:sz w:val="28"/>
          <w:szCs w:val="28"/>
        </w:rPr>
        <w:t>规范》</w:t>
      </w:r>
    </w:p>
    <w:p w14:paraId="3B325D5F">
      <w:pPr>
        <w:spacing w:line="520" w:lineRule="exact"/>
        <w:ind w:right="1120"/>
        <w:jc w:val="center"/>
        <w:rPr>
          <w:rFonts w:ascii="仿宋_GB2312" w:eastAsia="仿宋_GB2312"/>
          <w:sz w:val="28"/>
          <w:szCs w:val="28"/>
        </w:rPr>
      </w:pPr>
      <w:r>
        <w:rPr>
          <w:rFonts w:hint="eastAsia" w:ascii="仿宋_GB2312" w:eastAsia="仿宋_GB2312"/>
          <w:sz w:val="28"/>
          <w:szCs w:val="28"/>
        </w:rPr>
        <w:t xml:space="preserve">                                  标准编制工作组</w:t>
      </w:r>
    </w:p>
    <w:p w14:paraId="16256467">
      <w:pPr>
        <w:spacing w:line="520" w:lineRule="exact"/>
        <w:ind w:firstLine="640" w:firstLineChars="200"/>
        <w:rPr>
          <w:rFonts w:ascii="仿宋_GB2312" w:eastAsia="仿宋_GB2312"/>
          <w:sz w:val="28"/>
          <w:szCs w:val="28"/>
        </w:rPr>
      </w:pPr>
      <w:r>
        <w:rPr>
          <w:rFonts w:hint="eastAsia" w:ascii="仿宋_GB2312" w:eastAsia="仿宋_GB2312"/>
          <w:sz w:val="32"/>
          <w:szCs w:val="28"/>
        </w:rPr>
        <w:t xml:space="preserve">                             </w:t>
      </w:r>
      <w:r>
        <w:rPr>
          <w:rFonts w:hint="eastAsia" w:ascii="仿宋_GB2312" w:eastAsia="仿宋_GB2312"/>
          <w:sz w:val="28"/>
          <w:szCs w:val="28"/>
        </w:rPr>
        <w:t>2025年</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28</w:t>
      </w:r>
      <w:bookmarkStart w:id="6" w:name="_GoBack"/>
      <w:bookmarkEnd w:id="6"/>
      <w:r>
        <w:rPr>
          <w:rFonts w:hint="eastAsia" w:ascii="仿宋_GB2312" w:eastAsia="仿宋_GB2312"/>
          <w:sz w:val="28"/>
          <w:szCs w:val="28"/>
        </w:rPr>
        <w:t>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070D9D-365E-4EAD-8FD6-86BACE639F1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2" w:fontKey="{F90C69F3-DF1F-41C9-9886-A1A2586AC01E}"/>
  </w:font>
  <w:font w:name="仿宋_GB2312">
    <w:panose1 w:val="02010609030101010101"/>
    <w:charset w:val="86"/>
    <w:family w:val="modern"/>
    <w:pitch w:val="default"/>
    <w:sig w:usb0="00000001" w:usb1="080E0000" w:usb2="00000000" w:usb3="00000000" w:csb0="00040000" w:csb1="00000000"/>
    <w:embedRegular r:id="rId3" w:fontKey="{D454C5FD-D67E-46F9-A361-BB59A25B1B96}"/>
  </w:font>
  <w:font w:name="仿宋">
    <w:panose1 w:val="02010609060101010101"/>
    <w:charset w:val="86"/>
    <w:family w:val="modern"/>
    <w:pitch w:val="default"/>
    <w:sig w:usb0="800002BF" w:usb1="38CF7CFA" w:usb2="00000016" w:usb3="00000000" w:csb0="00040001" w:csb1="00000000"/>
    <w:embedRegular r:id="rId4" w:fontKey="{D660337D-B02A-4470-8D88-39D7AC0AA902}"/>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A4D30">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39F5FEAA">
                          <w:pPr>
                            <w:pStyle w:val="9"/>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39F5FEAA">
                    <w:pPr>
                      <w:pStyle w:val="9"/>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0"/>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2C5917C3"/>
    <w:multiLevelType w:val="multilevel"/>
    <w:tmpl w:val="2C5917C3"/>
    <w:lvl w:ilvl="0" w:tentative="0">
      <w:start w:val="1"/>
      <w:numFmt w:val="none"/>
      <w:pStyle w:val="54"/>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2">
    <w:nsid w:val="44C50F90"/>
    <w:multiLevelType w:val="multilevel"/>
    <w:tmpl w:val="44C50F90"/>
    <w:lvl w:ilvl="0" w:tentative="0">
      <w:start w:val="1"/>
      <w:numFmt w:val="lowerLetter"/>
      <w:pStyle w:val="49"/>
      <w:lvlText w:val="%1)"/>
      <w:lvlJc w:val="left"/>
      <w:pPr>
        <w:tabs>
          <w:tab w:val="left" w:pos="851"/>
        </w:tabs>
        <w:ind w:left="851" w:hanging="426"/>
      </w:pPr>
      <w:rPr>
        <w:rFonts w:hint="eastAsia" w:ascii="宋体" w:hAnsi="Times New Roman" w:eastAsia="宋体"/>
        <w:sz w:val="21"/>
      </w:rPr>
    </w:lvl>
    <w:lvl w:ilvl="1" w:tentative="0">
      <w:start w:val="1"/>
      <w:numFmt w:val="decimal"/>
      <w:pStyle w:val="47"/>
      <w:lvlText w:val="%2)"/>
      <w:lvlJc w:val="left"/>
      <w:pPr>
        <w:tabs>
          <w:tab w:val="left" w:pos="1276"/>
        </w:tabs>
        <w:ind w:left="1276" w:hanging="425"/>
      </w:pPr>
      <w:rPr>
        <w:rFonts w:hint="eastAsia" w:ascii="宋体" w:hAnsi="Times New Roman" w:eastAsia="宋体"/>
        <w:sz w:val="21"/>
      </w:rPr>
    </w:lvl>
    <w:lvl w:ilvl="2" w:tentative="0">
      <w:start w:val="1"/>
      <w:numFmt w:val="decimal"/>
      <w:pStyle w:val="4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5A9B6960"/>
    <w:multiLevelType w:val="multilevel"/>
    <w:tmpl w:val="5A9B6960"/>
    <w:lvl w:ilvl="0" w:tentative="0">
      <w:start w:val="1"/>
      <w:numFmt w:val="none"/>
      <w:pStyle w:val="37"/>
      <w:suff w:val="nothing"/>
      <w:lvlText w:val="%1"/>
      <w:legacy w:legacy="1" w:legacySpace="0" w:legacyIndent="0"/>
      <w:lvlJc w:val="left"/>
      <w:pPr>
        <w:ind w:left="0" w:firstLine="0"/>
      </w:pPr>
      <w:rPr>
        <w:rFonts w:hint="eastAsia"/>
      </w:rPr>
    </w:lvl>
    <w:lvl w:ilvl="1" w:tentative="0">
      <w:start w:val="1"/>
      <w:numFmt w:val="decimal"/>
      <w:pStyle w:val="31"/>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39"/>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38"/>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6"/>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68A2"/>
    <w:rsid w:val="00014983"/>
    <w:rsid w:val="000178C8"/>
    <w:rsid w:val="00055442"/>
    <w:rsid w:val="00072103"/>
    <w:rsid w:val="00075653"/>
    <w:rsid w:val="00082613"/>
    <w:rsid w:val="000857DA"/>
    <w:rsid w:val="0008716D"/>
    <w:rsid w:val="000C517B"/>
    <w:rsid w:val="000D75AA"/>
    <w:rsid w:val="000E306A"/>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36F9C"/>
    <w:rsid w:val="00340D9B"/>
    <w:rsid w:val="003517E7"/>
    <w:rsid w:val="003709DC"/>
    <w:rsid w:val="00372E66"/>
    <w:rsid w:val="00375933"/>
    <w:rsid w:val="00382E35"/>
    <w:rsid w:val="00396F2C"/>
    <w:rsid w:val="003C008B"/>
    <w:rsid w:val="003D485E"/>
    <w:rsid w:val="003F6FB2"/>
    <w:rsid w:val="00426DC5"/>
    <w:rsid w:val="004333E5"/>
    <w:rsid w:val="004373E9"/>
    <w:rsid w:val="0044036C"/>
    <w:rsid w:val="0044065E"/>
    <w:rsid w:val="004805DB"/>
    <w:rsid w:val="0048511D"/>
    <w:rsid w:val="004A75FF"/>
    <w:rsid w:val="004B4D68"/>
    <w:rsid w:val="004E0926"/>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6C5EAA"/>
    <w:rsid w:val="00714DDE"/>
    <w:rsid w:val="0074491A"/>
    <w:rsid w:val="00744D10"/>
    <w:rsid w:val="007557E4"/>
    <w:rsid w:val="00756356"/>
    <w:rsid w:val="00774434"/>
    <w:rsid w:val="007756AB"/>
    <w:rsid w:val="00781D6C"/>
    <w:rsid w:val="007A149B"/>
    <w:rsid w:val="007C244C"/>
    <w:rsid w:val="007C4AFF"/>
    <w:rsid w:val="00801A7F"/>
    <w:rsid w:val="00814260"/>
    <w:rsid w:val="008247C4"/>
    <w:rsid w:val="00826BFA"/>
    <w:rsid w:val="00853F5C"/>
    <w:rsid w:val="0086614F"/>
    <w:rsid w:val="00874BB5"/>
    <w:rsid w:val="008779C2"/>
    <w:rsid w:val="00887632"/>
    <w:rsid w:val="00895F4A"/>
    <w:rsid w:val="008973E6"/>
    <w:rsid w:val="008B6B5F"/>
    <w:rsid w:val="008E1EB5"/>
    <w:rsid w:val="008F78EC"/>
    <w:rsid w:val="0090442F"/>
    <w:rsid w:val="00907450"/>
    <w:rsid w:val="00926E1B"/>
    <w:rsid w:val="00932BA3"/>
    <w:rsid w:val="00947EBA"/>
    <w:rsid w:val="009718CC"/>
    <w:rsid w:val="0099500A"/>
    <w:rsid w:val="009A4141"/>
    <w:rsid w:val="009E3161"/>
    <w:rsid w:val="009F1A1B"/>
    <w:rsid w:val="00A16A3E"/>
    <w:rsid w:val="00A263D3"/>
    <w:rsid w:val="00A365A2"/>
    <w:rsid w:val="00A37FDF"/>
    <w:rsid w:val="00A42C5E"/>
    <w:rsid w:val="00A467FF"/>
    <w:rsid w:val="00A75476"/>
    <w:rsid w:val="00A87F41"/>
    <w:rsid w:val="00AC57C3"/>
    <w:rsid w:val="00AD0172"/>
    <w:rsid w:val="00AE5D2F"/>
    <w:rsid w:val="00B07A8A"/>
    <w:rsid w:val="00B66676"/>
    <w:rsid w:val="00B73416"/>
    <w:rsid w:val="00B77477"/>
    <w:rsid w:val="00B94EFE"/>
    <w:rsid w:val="00B954B8"/>
    <w:rsid w:val="00BA570D"/>
    <w:rsid w:val="00BB6932"/>
    <w:rsid w:val="00BB7B52"/>
    <w:rsid w:val="00BC216F"/>
    <w:rsid w:val="00BC4498"/>
    <w:rsid w:val="00BD2990"/>
    <w:rsid w:val="00C07069"/>
    <w:rsid w:val="00C123EE"/>
    <w:rsid w:val="00C13CB6"/>
    <w:rsid w:val="00C20386"/>
    <w:rsid w:val="00C9037B"/>
    <w:rsid w:val="00CB1B06"/>
    <w:rsid w:val="00CC71EF"/>
    <w:rsid w:val="00CE7CD2"/>
    <w:rsid w:val="00D0457A"/>
    <w:rsid w:val="00D35977"/>
    <w:rsid w:val="00D43F5A"/>
    <w:rsid w:val="00D52F10"/>
    <w:rsid w:val="00D544D5"/>
    <w:rsid w:val="00D54B9D"/>
    <w:rsid w:val="00D75DFA"/>
    <w:rsid w:val="00D87F07"/>
    <w:rsid w:val="00D9142A"/>
    <w:rsid w:val="00D9735E"/>
    <w:rsid w:val="00DB7F6F"/>
    <w:rsid w:val="00DD1E43"/>
    <w:rsid w:val="00DF4FB8"/>
    <w:rsid w:val="00E27034"/>
    <w:rsid w:val="00E32D4B"/>
    <w:rsid w:val="00E41116"/>
    <w:rsid w:val="00E414EF"/>
    <w:rsid w:val="00E455A5"/>
    <w:rsid w:val="00E5127E"/>
    <w:rsid w:val="00E568FB"/>
    <w:rsid w:val="00E635AB"/>
    <w:rsid w:val="00E75387"/>
    <w:rsid w:val="00E835A1"/>
    <w:rsid w:val="00E83E2D"/>
    <w:rsid w:val="00E911B3"/>
    <w:rsid w:val="00EB4AB2"/>
    <w:rsid w:val="00ED41E5"/>
    <w:rsid w:val="00ED5986"/>
    <w:rsid w:val="00EE332B"/>
    <w:rsid w:val="00EF4610"/>
    <w:rsid w:val="00EF6CB2"/>
    <w:rsid w:val="00F01A5C"/>
    <w:rsid w:val="00F06270"/>
    <w:rsid w:val="00F40513"/>
    <w:rsid w:val="00F424A9"/>
    <w:rsid w:val="00F5729F"/>
    <w:rsid w:val="00F65587"/>
    <w:rsid w:val="00F77E06"/>
    <w:rsid w:val="00F805D2"/>
    <w:rsid w:val="00F9021F"/>
    <w:rsid w:val="00F93181"/>
    <w:rsid w:val="00F94C4C"/>
    <w:rsid w:val="00FA7D60"/>
    <w:rsid w:val="00FB260A"/>
    <w:rsid w:val="00FC7CE6"/>
    <w:rsid w:val="00FD6497"/>
    <w:rsid w:val="00FE31A4"/>
    <w:rsid w:val="00FF2EC3"/>
    <w:rsid w:val="012A4E2C"/>
    <w:rsid w:val="016F5397"/>
    <w:rsid w:val="017E4CA1"/>
    <w:rsid w:val="01FE5971"/>
    <w:rsid w:val="02451F0E"/>
    <w:rsid w:val="027125E7"/>
    <w:rsid w:val="02DC2156"/>
    <w:rsid w:val="036C0D75"/>
    <w:rsid w:val="03CC3F79"/>
    <w:rsid w:val="057B7A05"/>
    <w:rsid w:val="05CD222A"/>
    <w:rsid w:val="06084616"/>
    <w:rsid w:val="065B3392"/>
    <w:rsid w:val="06A9292B"/>
    <w:rsid w:val="07320DFA"/>
    <w:rsid w:val="07B94814"/>
    <w:rsid w:val="07BE53C7"/>
    <w:rsid w:val="08EF7A39"/>
    <w:rsid w:val="096A7AF4"/>
    <w:rsid w:val="09EB05D3"/>
    <w:rsid w:val="0A5844F0"/>
    <w:rsid w:val="0A6E1714"/>
    <w:rsid w:val="0A8E1F88"/>
    <w:rsid w:val="0B1B3304"/>
    <w:rsid w:val="0B6D076D"/>
    <w:rsid w:val="0B927BA2"/>
    <w:rsid w:val="0C036C46"/>
    <w:rsid w:val="0DAE4B32"/>
    <w:rsid w:val="0E060087"/>
    <w:rsid w:val="0EE3661B"/>
    <w:rsid w:val="0EE41D10"/>
    <w:rsid w:val="10FD39C4"/>
    <w:rsid w:val="11386E78"/>
    <w:rsid w:val="11427629"/>
    <w:rsid w:val="11592BC4"/>
    <w:rsid w:val="11B73ED3"/>
    <w:rsid w:val="11B779C1"/>
    <w:rsid w:val="12277661"/>
    <w:rsid w:val="12891287"/>
    <w:rsid w:val="132A0B32"/>
    <w:rsid w:val="133D4C82"/>
    <w:rsid w:val="13D12EE6"/>
    <w:rsid w:val="13D22765"/>
    <w:rsid w:val="13EE1CEA"/>
    <w:rsid w:val="13F37300"/>
    <w:rsid w:val="144C471F"/>
    <w:rsid w:val="14863CD0"/>
    <w:rsid w:val="14C06E26"/>
    <w:rsid w:val="174D6D27"/>
    <w:rsid w:val="18574301"/>
    <w:rsid w:val="18C43E6B"/>
    <w:rsid w:val="18CE5C46"/>
    <w:rsid w:val="1A2A2D28"/>
    <w:rsid w:val="1A9D1D74"/>
    <w:rsid w:val="1B943177"/>
    <w:rsid w:val="1B9C64CF"/>
    <w:rsid w:val="1BE96AFB"/>
    <w:rsid w:val="1C5E2638"/>
    <w:rsid w:val="1CA613B3"/>
    <w:rsid w:val="1CB3587E"/>
    <w:rsid w:val="1DCE7476"/>
    <w:rsid w:val="1DF70B2D"/>
    <w:rsid w:val="1E6C7E3E"/>
    <w:rsid w:val="1EEE7042"/>
    <w:rsid w:val="1EF503D0"/>
    <w:rsid w:val="20346CD6"/>
    <w:rsid w:val="206E043A"/>
    <w:rsid w:val="20B9542D"/>
    <w:rsid w:val="20D55501"/>
    <w:rsid w:val="20F46465"/>
    <w:rsid w:val="211017CA"/>
    <w:rsid w:val="213D1BBA"/>
    <w:rsid w:val="21B75E11"/>
    <w:rsid w:val="22123047"/>
    <w:rsid w:val="226B06BA"/>
    <w:rsid w:val="239C706C"/>
    <w:rsid w:val="23ED78C8"/>
    <w:rsid w:val="2443573A"/>
    <w:rsid w:val="24C90335"/>
    <w:rsid w:val="24DA0D94"/>
    <w:rsid w:val="25496D80"/>
    <w:rsid w:val="257F5FA5"/>
    <w:rsid w:val="25BF5294"/>
    <w:rsid w:val="26B431D0"/>
    <w:rsid w:val="27095D8A"/>
    <w:rsid w:val="271433BD"/>
    <w:rsid w:val="277B51EB"/>
    <w:rsid w:val="279E6744"/>
    <w:rsid w:val="27E965F8"/>
    <w:rsid w:val="280F4A23"/>
    <w:rsid w:val="286B2CA4"/>
    <w:rsid w:val="28A95D87"/>
    <w:rsid w:val="29312005"/>
    <w:rsid w:val="297A4E53"/>
    <w:rsid w:val="2A821F7F"/>
    <w:rsid w:val="2BAD2B02"/>
    <w:rsid w:val="2CD930DF"/>
    <w:rsid w:val="2E0C3040"/>
    <w:rsid w:val="2E40384E"/>
    <w:rsid w:val="2E62025B"/>
    <w:rsid w:val="2F083808"/>
    <w:rsid w:val="2F0B058C"/>
    <w:rsid w:val="2F454A5C"/>
    <w:rsid w:val="2F6B1FE9"/>
    <w:rsid w:val="2F7C5FA4"/>
    <w:rsid w:val="2F82534F"/>
    <w:rsid w:val="302723B3"/>
    <w:rsid w:val="31097D0B"/>
    <w:rsid w:val="3159659D"/>
    <w:rsid w:val="32BD2B5B"/>
    <w:rsid w:val="3304078A"/>
    <w:rsid w:val="34130C75"/>
    <w:rsid w:val="357A3838"/>
    <w:rsid w:val="35972EC8"/>
    <w:rsid w:val="3614429B"/>
    <w:rsid w:val="36AC53C0"/>
    <w:rsid w:val="373C4996"/>
    <w:rsid w:val="37865C12"/>
    <w:rsid w:val="383E64EC"/>
    <w:rsid w:val="38E30E42"/>
    <w:rsid w:val="39697599"/>
    <w:rsid w:val="3A695377"/>
    <w:rsid w:val="3B20012B"/>
    <w:rsid w:val="3B56386B"/>
    <w:rsid w:val="3BDC22A4"/>
    <w:rsid w:val="3BDC6776"/>
    <w:rsid w:val="3C2854E9"/>
    <w:rsid w:val="3C553E04"/>
    <w:rsid w:val="3C5F2CE2"/>
    <w:rsid w:val="3D6C58AA"/>
    <w:rsid w:val="3F982986"/>
    <w:rsid w:val="3FA330D9"/>
    <w:rsid w:val="40183AC7"/>
    <w:rsid w:val="403F2E01"/>
    <w:rsid w:val="41630D72"/>
    <w:rsid w:val="431A1904"/>
    <w:rsid w:val="43486471"/>
    <w:rsid w:val="4379487C"/>
    <w:rsid w:val="446077EA"/>
    <w:rsid w:val="44F56185"/>
    <w:rsid w:val="453C3DB3"/>
    <w:rsid w:val="45413951"/>
    <w:rsid w:val="45F2070C"/>
    <w:rsid w:val="45FD7702"/>
    <w:rsid w:val="46535859"/>
    <w:rsid w:val="46E47FFF"/>
    <w:rsid w:val="4779601E"/>
    <w:rsid w:val="47E75418"/>
    <w:rsid w:val="47E81FD1"/>
    <w:rsid w:val="481B0E08"/>
    <w:rsid w:val="493E1AE1"/>
    <w:rsid w:val="494476DB"/>
    <w:rsid w:val="494E2307"/>
    <w:rsid w:val="498521CD"/>
    <w:rsid w:val="4A437992"/>
    <w:rsid w:val="4A724196"/>
    <w:rsid w:val="4B2238EC"/>
    <w:rsid w:val="4B5D4A84"/>
    <w:rsid w:val="4C7C718B"/>
    <w:rsid w:val="4CCE79E7"/>
    <w:rsid w:val="4DDD59C1"/>
    <w:rsid w:val="4E872798"/>
    <w:rsid w:val="4EC83C2B"/>
    <w:rsid w:val="4EEA4880"/>
    <w:rsid w:val="51FB0B52"/>
    <w:rsid w:val="528B0128"/>
    <w:rsid w:val="52BF7DD2"/>
    <w:rsid w:val="531F075A"/>
    <w:rsid w:val="53400F13"/>
    <w:rsid w:val="55B6370E"/>
    <w:rsid w:val="561A3C9D"/>
    <w:rsid w:val="5641747C"/>
    <w:rsid w:val="56614AC6"/>
    <w:rsid w:val="56C63E25"/>
    <w:rsid w:val="576D604E"/>
    <w:rsid w:val="578453FF"/>
    <w:rsid w:val="57A01936"/>
    <w:rsid w:val="57A57FD6"/>
    <w:rsid w:val="57BC2B32"/>
    <w:rsid w:val="57F01F2D"/>
    <w:rsid w:val="583C439E"/>
    <w:rsid w:val="58D367F3"/>
    <w:rsid w:val="58D77C23"/>
    <w:rsid w:val="592C1295"/>
    <w:rsid w:val="59432E91"/>
    <w:rsid w:val="59DD74BB"/>
    <w:rsid w:val="5A8C449C"/>
    <w:rsid w:val="5AED1980"/>
    <w:rsid w:val="5B23040F"/>
    <w:rsid w:val="5B24111A"/>
    <w:rsid w:val="5B571FFB"/>
    <w:rsid w:val="5BAB0BC1"/>
    <w:rsid w:val="5BC621D1"/>
    <w:rsid w:val="5BF679A0"/>
    <w:rsid w:val="5BFB00CD"/>
    <w:rsid w:val="5C452F47"/>
    <w:rsid w:val="5C571080"/>
    <w:rsid w:val="5C867919"/>
    <w:rsid w:val="5CD62CE9"/>
    <w:rsid w:val="5D086F45"/>
    <w:rsid w:val="5D292A17"/>
    <w:rsid w:val="5D4D6706"/>
    <w:rsid w:val="5E1B6804"/>
    <w:rsid w:val="5F4C0C3F"/>
    <w:rsid w:val="5F702B80"/>
    <w:rsid w:val="60252B89"/>
    <w:rsid w:val="604F4E8B"/>
    <w:rsid w:val="616C2448"/>
    <w:rsid w:val="61AB7E9F"/>
    <w:rsid w:val="61C939A0"/>
    <w:rsid w:val="61C947C9"/>
    <w:rsid w:val="61CB4225"/>
    <w:rsid w:val="622B7232"/>
    <w:rsid w:val="62571DD5"/>
    <w:rsid w:val="62A3501A"/>
    <w:rsid w:val="6397110D"/>
    <w:rsid w:val="63DF2082"/>
    <w:rsid w:val="64047D3A"/>
    <w:rsid w:val="6457283E"/>
    <w:rsid w:val="645E7808"/>
    <w:rsid w:val="64920E2E"/>
    <w:rsid w:val="651E4E2C"/>
    <w:rsid w:val="654A16B4"/>
    <w:rsid w:val="65E36256"/>
    <w:rsid w:val="660F1D12"/>
    <w:rsid w:val="663E7534"/>
    <w:rsid w:val="669453A6"/>
    <w:rsid w:val="67277FC8"/>
    <w:rsid w:val="677C2407"/>
    <w:rsid w:val="68C33D20"/>
    <w:rsid w:val="68C47A98"/>
    <w:rsid w:val="68C53F3C"/>
    <w:rsid w:val="69823BDB"/>
    <w:rsid w:val="698C1452"/>
    <w:rsid w:val="69DB32EB"/>
    <w:rsid w:val="6A505A87"/>
    <w:rsid w:val="6AC41FD2"/>
    <w:rsid w:val="6AC50C1E"/>
    <w:rsid w:val="6CC80E6D"/>
    <w:rsid w:val="6E6F1069"/>
    <w:rsid w:val="6EA6036C"/>
    <w:rsid w:val="6F685621"/>
    <w:rsid w:val="6FD44A65"/>
    <w:rsid w:val="703E6382"/>
    <w:rsid w:val="710475CC"/>
    <w:rsid w:val="710B6BAC"/>
    <w:rsid w:val="71A16BC9"/>
    <w:rsid w:val="71CC633B"/>
    <w:rsid w:val="71F238C8"/>
    <w:rsid w:val="71F4601C"/>
    <w:rsid w:val="72113D4E"/>
    <w:rsid w:val="72534367"/>
    <w:rsid w:val="726245AA"/>
    <w:rsid w:val="738A5B9F"/>
    <w:rsid w:val="741F6AAA"/>
    <w:rsid w:val="74A0585D"/>
    <w:rsid w:val="759F78C3"/>
    <w:rsid w:val="76157B85"/>
    <w:rsid w:val="76F53C3E"/>
    <w:rsid w:val="77A7157C"/>
    <w:rsid w:val="77CD0717"/>
    <w:rsid w:val="78B143BF"/>
    <w:rsid w:val="78F63C9E"/>
    <w:rsid w:val="7A035425"/>
    <w:rsid w:val="7A044199"/>
    <w:rsid w:val="7A937FAF"/>
    <w:rsid w:val="7AB465B7"/>
    <w:rsid w:val="7B215011"/>
    <w:rsid w:val="7BED75DA"/>
    <w:rsid w:val="7BFC7C22"/>
    <w:rsid w:val="7C037EE7"/>
    <w:rsid w:val="7CB63E70"/>
    <w:rsid w:val="7D221505"/>
    <w:rsid w:val="7D3F20B7"/>
    <w:rsid w:val="7DC205F3"/>
    <w:rsid w:val="7E2B6198"/>
    <w:rsid w:val="7E5D031B"/>
    <w:rsid w:val="7EA76B4B"/>
    <w:rsid w:val="7F203312"/>
    <w:rsid w:val="7F6E0A32"/>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rPr>
  </w:style>
  <w:style w:type="paragraph" w:styleId="4">
    <w:name w:val="heading 2"/>
    <w:basedOn w:val="1"/>
    <w:next w:val="1"/>
    <w:autoRedefine/>
    <w:qFormat/>
    <w:uiPriority w:val="0"/>
    <w:pPr>
      <w:keepNext/>
      <w:keepLines/>
      <w:spacing w:before="260" w:after="260" w:line="415" w:lineRule="auto"/>
      <w:outlineLvl w:val="1"/>
    </w:pPr>
    <w:rPr>
      <w:rFonts w:ascii="Times New Roman" w:hAnsi="Times New Roman" w:eastAsia="黑体"/>
      <w:b/>
      <w:sz w:val="32"/>
    </w:rPr>
  </w:style>
  <w:style w:type="paragraph" w:styleId="5">
    <w:name w:val="heading 3"/>
    <w:basedOn w:val="1"/>
    <w:next w:val="1"/>
    <w:autoRedefine/>
    <w:qFormat/>
    <w:uiPriority w:val="0"/>
    <w:pPr>
      <w:keepNext/>
      <w:keepLines/>
      <w:spacing w:before="260" w:after="260" w:line="415" w:lineRule="auto"/>
      <w:outlineLvl w:val="2"/>
    </w:pPr>
    <w:rPr>
      <w:b/>
      <w:sz w:val="32"/>
    </w:rPr>
  </w:style>
  <w:style w:type="paragraph" w:styleId="6">
    <w:name w:val="heading 7"/>
    <w:basedOn w:val="1"/>
    <w:next w:val="1"/>
    <w:link w:val="23"/>
    <w:autoRedefine/>
    <w:qFormat/>
    <w:uiPriority w:val="9"/>
    <w:pPr>
      <w:keepNext/>
      <w:keepLines/>
      <w:spacing w:before="240" w:after="64" w:line="320" w:lineRule="auto"/>
      <w:outlineLvl w:val="6"/>
    </w:pPr>
    <w:rPr>
      <w:b/>
      <w:bCs/>
      <w:sz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autoRedefine/>
    <w:qFormat/>
    <w:uiPriority w:val="0"/>
    <w:pPr>
      <w:spacing w:after="120" w:line="480" w:lineRule="auto"/>
      <w:textAlignment w:val="baseline"/>
    </w:pPr>
    <w:rPr>
      <w:rFonts w:cs="Times New Roman"/>
      <w:sz w:val="32"/>
      <w:szCs w:val="32"/>
    </w:rPr>
  </w:style>
  <w:style w:type="paragraph" w:styleId="7">
    <w:name w:val="annotation text"/>
    <w:basedOn w:val="1"/>
    <w:link w:val="24"/>
    <w:autoRedefine/>
    <w:unhideWhenUsed/>
    <w:qFormat/>
    <w:uiPriority w:val="99"/>
    <w:pPr>
      <w:adjustRightInd w:val="0"/>
      <w:spacing w:line="400" w:lineRule="exact"/>
      <w:jc w:val="left"/>
    </w:pPr>
    <w:rPr>
      <w:szCs w:val="21"/>
    </w:rPr>
  </w:style>
  <w:style w:type="paragraph" w:styleId="8">
    <w:name w:val="Balloon Text"/>
    <w:basedOn w:val="1"/>
    <w:link w:val="25"/>
    <w:autoRedefine/>
    <w:unhideWhenUsed/>
    <w:qFormat/>
    <w:uiPriority w:val="99"/>
    <w:rPr>
      <w:sz w:val="18"/>
      <w:szCs w:val="18"/>
    </w:rPr>
  </w:style>
  <w:style w:type="paragraph" w:styleId="9">
    <w:name w:val="footer"/>
    <w:basedOn w:val="1"/>
    <w:link w:val="26"/>
    <w:autoRedefine/>
    <w:qFormat/>
    <w:uiPriority w:val="99"/>
    <w:pPr>
      <w:tabs>
        <w:tab w:val="center" w:pos="4153"/>
        <w:tab w:val="right" w:pos="8306"/>
      </w:tabs>
      <w:snapToGrid w:val="0"/>
      <w:jc w:val="left"/>
    </w:pPr>
    <w:rPr>
      <w:sz w:val="18"/>
      <w:szCs w:val="18"/>
    </w:rPr>
  </w:style>
  <w:style w:type="paragraph" w:styleId="10">
    <w:name w:val="envelope return"/>
    <w:basedOn w:val="1"/>
    <w:autoRedefine/>
    <w:qFormat/>
    <w:uiPriority w:val="0"/>
    <w:pPr>
      <w:snapToGrid w:val="0"/>
    </w:pPr>
    <w:rPr>
      <w:rFonts w:ascii="Times New Roman" w:hAnsi="Times New Roman"/>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4"/>
    <w:basedOn w:val="1"/>
    <w:next w:val="1"/>
    <w:autoRedefine/>
    <w:unhideWhenUsed/>
    <w:qFormat/>
    <w:uiPriority w:val="39"/>
    <w:pPr>
      <w:tabs>
        <w:tab w:val="right" w:leader="dot" w:pos="9344"/>
      </w:tabs>
      <w:adjustRightInd w:val="0"/>
      <w:spacing w:line="300" w:lineRule="exact"/>
      <w:ind w:left="629"/>
    </w:pPr>
    <w:rPr>
      <w:rFonts w:ascii="宋体"/>
      <w:szCs w:val="21"/>
    </w:rPr>
  </w:style>
  <w:style w:type="paragraph" w:styleId="13">
    <w:name w:val="Normal (Web)"/>
    <w:basedOn w:val="1"/>
    <w:autoRedefine/>
    <w:semiHidden/>
    <w:unhideWhenUsed/>
    <w:qFormat/>
    <w:uiPriority w:val="99"/>
    <w:rPr>
      <w:sz w:val="24"/>
    </w:rPr>
  </w:style>
  <w:style w:type="table" w:styleId="15">
    <w:name w:val="Table Grid"/>
    <w:basedOn w:val="1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autoRedefine/>
    <w:qFormat/>
    <w:uiPriority w:val="22"/>
    <w:rPr>
      <w:b/>
    </w:rPr>
  </w:style>
  <w:style w:type="character" w:styleId="18">
    <w:name w:val="line number"/>
    <w:autoRedefine/>
    <w:qFormat/>
    <w:uiPriority w:val="0"/>
  </w:style>
  <w:style w:type="character" w:styleId="19">
    <w:name w:val="Hyperlink"/>
    <w:autoRedefine/>
    <w:qFormat/>
    <w:uiPriority w:val="0"/>
    <w:rPr>
      <w:rFonts w:ascii="宋体" w:eastAsia="宋体"/>
      <w:color w:val="auto"/>
      <w:spacing w:val="0"/>
      <w:w w:val="100"/>
      <w:position w:val="0"/>
      <w:sz w:val="21"/>
      <w:u w:val="none"/>
      <w:vertAlign w:val="baseline"/>
    </w:rPr>
  </w:style>
  <w:style w:type="character" w:styleId="20">
    <w:name w:val="annotation reference"/>
    <w:autoRedefine/>
    <w:qFormat/>
    <w:uiPriority w:val="99"/>
    <w:rPr>
      <w:sz w:val="21"/>
    </w:rPr>
  </w:style>
  <w:style w:type="character" w:styleId="21">
    <w:name w:val="footnote reference"/>
    <w:autoRedefine/>
    <w:qFormat/>
    <w:uiPriority w:val="0"/>
    <w:rPr>
      <w:vertAlign w:val="superscript"/>
    </w:rPr>
  </w:style>
  <w:style w:type="paragraph" w:customStyle="1" w:styleId="22">
    <w:name w:val="正文-公1"/>
    <w:autoRedefine/>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3">
    <w:name w:val="标题 7 Char"/>
    <w:link w:val="6"/>
    <w:autoRedefine/>
    <w:qFormat/>
    <w:uiPriority w:val="0"/>
    <w:rPr>
      <w:rFonts w:eastAsia="宋体"/>
      <w:b/>
      <w:bCs/>
      <w:kern w:val="2"/>
      <w:sz w:val="24"/>
      <w:szCs w:val="24"/>
    </w:rPr>
  </w:style>
  <w:style w:type="character" w:customStyle="1" w:styleId="24">
    <w:name w:val="批注文字 Char"/>
    <w:link w:val="7"/>
    <w:autoRedefine/>
    <w:semiHidden/>
    <w:qFormat/>
    <w:uiPriority w:val="99"/>
    <w:rPr>
      <w:rFonts w:ascii="Calibri" w:hAnsi="Calibri" w:eastAsia="宋体"/>
      <w:kern w:val="2"/>
      <w:sz w:val="21"/>
      <w:szCs w:val="21"/>
    </w:rPr>
  </w:style>
  <w:style w:type="character" w:customStyle="1" w:styleId="25">
    <w:name w:val="批注框文本 Char"/>
    <w:link w:val="8"/>
    <w:autoRedefine/>
    <w:semiHidden/>
    <w:qFormat/>
    <w:uiPriority w:val="99"/>
    <w:rPr>
      <w:rFonts w:eastAsia="宋体"/>
      <w:kern w:val="2"/>
      <w:sz w:val="18"/>
      <w:szCs w:val="18"/>
    </w:rPr>
  </w:style>
  <w:style w:type="character" w:customStyle="1" w:styleId="26">
    <w:name w:val="页脚 Char"/>
    <w:link w:val="9"/>
    <w:autoRedefine/>
    <w:qFormat/>
    <w:locked/>
    <w:uiPriority w:val="99"/>
    <w:rPr>
      <w:rFonts w:eastAsia="宋体"/>
      <w:kern w:val="2"/>
      <w:sz w:val="18"/>
      <w:szCs w:val="18"/>
    </w:rPr>
  </w:style>
  <w:style w:type="paragraph" w:customStyle="1" w:styleId="27">
    <w:name w:val="其他标准称谓"/>
    <w:autoRedefine/>
    <w:qFormat/>
    <w:uiPriority w:val="0"/>
    <w:pPr>
      <w:spacing w:line="0" w:lineRule="atLeast"/>
      <w:jc w:val="distribute"/>
    </w:pPr>
    <w:rPr>
      <w:rFonts w:ascii="黑体" w:hAnsi="Calibri" w:eastAsia="黑体" w:cs="Calibri"/>
      <w:sz w:val="52"/>
      <w:lang w:val="en-US" w:eastAsia="zh-CN" w:bidi="ar-SA"/>
    </w:rPr>
  </w:style>
  <w:style w:type="paragraph" w:customStyle="1" w:styleId="28">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29">
    <w:name w:val="标准文件_段"/>
    <w:link w:val="30"/>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0">
    <w:name w:val="标准文件_段 Char"/>
    <w:link w:val="29"/>
    <w:autoRedefine/>
    <w:qFormat/>
    <w:uiPriority w:val="0"/>
    <w:rPr>
      <w:rFonts w:ascii="宋体" w:eastAsia="宋体"/>
      <w:sz w:val="21"/>
    </w:rPr>
  </w:style>
  <w:style w:type="paragraph" w:customStyle="1" w:styleId="31">
    <w:name w:val="标准文件_章标题"/>
    <w:next w:val="29"/>
    <w:autoRedefine/>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2">
    <w:name w:val="标准文件_二级条标题"/>
    <w:next w:val="29"/>
    <w:autoRedefine/>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3">
    <w:name w:val="标准文件_一级条标题"/>
    <w:basedOn w:val="31"/>
    <w:next w:val="29"/>
    <w:autoRedefine/>
    <w:qFormat/>
    <w:uiPriority w:val="0"/>
    <w:pPr>
      <w:numPr>
        <w:ilvl w:val="0"/>
        <w:numId w:val="0"/>
      </w:numPr>
      <w:spacing w:before="50" w:beforeLines="0" w:after="50" w:afterLines="0" w:line="520" w:lineRule="exact"/>
      <w:ind w:left="560"/>
      <w:outlineLvl w:val="1"/>
    </w:pPr>
  </w:style>
  <w:style w:type="paragraph" w:customStyle="1" w:styleId="34">
    <w:name w:val="标准文件_三级条标题"/>
    <w:basedOn w:val="32"/>
    <w:next w:val="29"/>
    <w:autoRedefine/>
    <w:qFormat/>
    <w:uiPriority w:val="0"/>
    <w:pPr>
      <w:outlineLvl w:val="3"/>
    </w:pPr>
  </w:style>
  <w:style w:type="paragraph" w:customStyle="1" w:styleId="35">
    <w:name w:val="标准文件_四级条标题"/>
    <w:next w:val="29"/>
    <w:autoRedefine/>
    <w:qFormat/>
    <w:uiPriority w:val="0"/>
    <w:pPr>
      <w:widowControl w:val="0"/>
      <w:spacing w:before="50" w:beforeLines="50" w:after="50" w:afterLines="50"/>
      <w:jc w:val="both"/>
      <w:outlineLvl w:val="4"/>
    </w:pPr>
    <w:rPr>
      <w:rFonts w:ascii="黑体" w:hAnsi="Calibri" w:eastAsia="黑体" w:cs="Calibri"/>
      <w:sz w:val="21"/>
      <w:lang w:val="en-US" w:eastAsia="zh-CN" w:bidi="ar-SA"/>
    </w:rPr>
  </w:style>
  <w:style w:type="paragraph" w:customStyle="1" w:styleId="36">
    <w:name w:val="标准文件_五级条标题"/>
    <w:next w:val="32"/>
    <w:autoRedefine/>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7">
    <w:name w:val="前言标题"/>
    <w:next w:val="1"/>
    <w:autoRedefine/>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38">
    <w:name w:val="标准文件_四级无标题"/>
    <w:basedOn w:val="35"/>
    <w:autoRedefine/>
    <w:qFormat/>
    <w:uiPriority w:val="0"/>
    <w:pPr>
      <w:numPr>
        <w:ilvl w:val="5"/>
        <w:numId w:val="1"/>
      </w:numPr>
    </w:pPr>
    <w:rPr>
      <w:rFonts w:ascii="宋体" w:eastAsia="宋体"/>
      <w:szCs w:val="52"/>
    </w:rPr>
  </w:style>
  <w:style w:type="paragraph" w:customStyle="1" w:styleId="39">
    <w:name w:val="标准文件_三级无标题"/>
    <w:basedOn w:val="34"/>
    <w:autoRedefine/>
    <w:qFormat/>
    <w:uiPriority w:val="0"/>
    <w:pPr>
      <w:numPr>
        <w:ilvl w:val="4"/>
        <w:numId w:val="1"/>
      </w:numPr>
    </w:pPr>
    <w:rPr>
      <w:rFonts w:ascii="宋体" w:eastAsia="宋体"/>
    </w:rPr>
  </w:style>
  <w:style w:type="paragraph" w:customStyle="1" w:styleId="40">
    <w:name w:val="标准文件_正文表标题"/>
    <w:autoRedefine/>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1">
    <w:name w:val="font11"/>
    <w:autoRedefine/>
    <w:qFormat/>
    <w:uiPriority w:val="0"/>
    <w:rPr>
      <w:rFonts w:ascii="等线" w:eastAsia="等线"/>
      <w:b/>
      <w:bCs/>
      <w:color w:val="FF0000"/>
      <w:sz w:val="22"/>
      <w:szCs w:val="22"/>
      <w:u w:val="none"/>
    </w:rPr>
  </w:style>
  <w:style w:type="character" w:customStyle="1" w:styleId="42">
    <w:name w:val="font01"/>
    <w:autoRedefine/>
    <w:qFormat/>
    <w:uiPriority w:val="0"/>
    <w:rPr>
      <w:rFonts w:ascii="等线" w:eastAsia="等线"/>
      <w:color w:val="000000"/>
      <w:sz w:val="22"/>
      <w:szCs w:val="22"/>
      <w:u w:val="none"/>
    </w:rPr>
  </w:style>
  <w:style w:type="paragraph" w:customStyle="1" w:styleId="43">
    <w:name w:val="段"/>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4">
    <w:name w:val="二级无"/>
    <w:basedOn w:val="1"/>
    <w:autoRedefine/>
    <w:qFormat/>
    <w:uiPriority w:val="0"/>
    <w:pPr>
      <w:widowControl/>
      <w:tabs>
        <w:tab w:val="left" w:pos="780"/>
      </w:tabs>
      <w:ind w:left="780" w:hanging="360"/>
      <w:jc w:val="left"/>
      <w:outlineLvl w:val="3"/>
    </w:pPr>
    <w:rPr>
      <w:rFonts w:ascii="宋体"/>
      <w:kern w:val="0"/>
      <w:szCs w:val="21"/>
    </w:rPr>
  </w:style>
  <w:style w:type="paragraph" w:customStyle="1" w:styleId="45">
    <w:name w:val="标准文件_二级无标题"/>
    <w:basedOn w:val="32"/>
    <w:autoRedefine/>
    <w:qFormat/>
    <w:uiPriority w:val="0"/>
    <w:pPr>
      <w:tabs>
        <w:tab w:val="left" w:pos="1200"/>
      </w:tabs>
      <w:spacing w:before="0" w:beforeLines="0" w:after="0" w:afterLines="0"/>
      <w:ind w:left="1200" w:hanging="360"/>
      <w:outlineLvl w:val="9"/>
    </w:pPr>
    <w:rPr>
      <w:rFonts w:ascii="宋体" w:eastAsia="宋体"/>
    </w:rPr>
  </w:style>
  <w:style w:type="paragraph" w:customStyle="1" w:styleId="46">
    <w:name w:val="Char Char Char Char"/>
    <w:basedOn w:val="1"/>
    <w:autoRedefine/>
    <w:qFormat/>
    <w:uiPriority w:val="0"/>
  </w:style>
  <w:style w:type="paragraph" w:customStyle="1" w:styleId="47">
    <w:name w:val="标准文件_数字编号列项（二级）"/>
    <w:autoRedefine/>
    <w:qFormat/>
    <w:uiPriority w:val="0"/>
    <w:pPr>
      <w:numPr>
        <w:ilvl w:val="1"/>
        <w:numId w:val="3"/>
      </w:numPr>
      <w:jc w:val="both"/>
    </w:pPr>
    <w:rPr>
      <w:rFonts w:ascii="宋体" w:hAnsi="Calibri" w:eastAsia="宋体" w:cs="Calibri"/>
      <w:sz w:val="21"/>
      <w:lang w:val="en-US" w:eastAsia="zh-CN" w:bidi="ar-SA"/>
    </w:rPr>
  </w:style>
  <w:style w:type="paragraph" w:customStyle="1" w:styleId="48">
    <w:name w:val="标准文件_编号列项（三级）"/>
    <w:autoRedefine/>
    <w:qFormat/>
    <w:uiPriority w:val="0"/>
    <w:pPr>
      <w:numPr>
        <w:ilvl w:val="2"/>
        <w:numId w:val="3"/>
      </w:numPr>
    </w:pPr>
    <w:rPr>
      <w:rFonts w:ascii="宋体" w:hAnsi="Calibri" w:eastAsia="宋体" w:cs="Calibri"/>
      <w:sz w:val="21"/>
      <w:lang w:val="en-US" w:eastAsia="zh-CN" w:bidi="ar-SA"/>
    </w:rPr>
  </w:style>
  <w:style w:type="paragraph" w:customStyle="1" w:styleId="49">
    <w:name w:val="标准文件_字母编号列项（一级）"/>
    <w:autoRedefine/>
    <w:qFormat/>
    <w:uiPriority w:val="0"/>
    <w:pPr>
      <w:numPr>
        <w:ilvl w:val="0"/>
        <w:numId w:val="3"/>
      </w:numPr>
      <w:jc w:val="both"/>
    </w:pPr>
    <w:rPr>
      <w:rFonts w:ascii="宋体" w:hAnsi="Calibri" w:eastAsia="宋体" w:cs="Calibri"/>
      <w:sz w:val="21"/>
      <w:lang w:val="en-US" w:eastAsia="zh-CN" w:bidi="ar-SA"/>
    </w:rPr>
  </w:style>
  <w:style w:type="paragraph" w:customStyle="1" w:styleId="50">
    <w:name w:val="标准文件_术语条一"/>
    <w:basedOn w:val="1"/>
    <w:next w:val="29"/>
    <w:autoRedefine/>
    <w:qFormat/>
    <w:uiPriority w:val="0"/>
    <w:pPr>
      <w:widowControl/>
    </w:pPr>
    <w:rPr>
      <w:rFonts w:ascii="宋体"/>
      <w:kern w:val="0"/>
      <w:szCs w:val="20"/>
    </w:rPr>
  </w:style>
  <w:style w:type="paragraph" w:customStyle="1" w:styleId="51">
    <w:name w:val="abstrac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2">
    <w:name w:val="abstract_more"/>
    <w:basedOn w:val="1"/>
    <w:autoRedefine/>
    <w:qFormat/>
    <w:uiPriority w:val="0"/>
    <w:pPr>
      <w:widowControl/>
      <w:spacing w:before="100" w:beforeAutospacing="1" w:after="100" w:afterAutospacing="1"/>
      <w:jc w:val="left"/>
    </w:pPr>
    <w:rPr>
      <w:rFonts w:ascii="宋体" w:hAnsi="宋体" w:cs="宋体"/>
      <w:kern w:val="0"/>
      <w:sz w:val="24"/>
    </w:rPr>
  </w:style>
  <w:style w:type="paragraph" w:styleId="53">
    <w:name w:val="No Spacing"/>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4">
    <w:name w:val="标准文件_一级项"/>
    <w:autoRedefine/>
    <w:qFormat/>
    <w:uiPriority w:val="0"/>
    <w:pPr>
      <w:numPr>
        <w:ilvl w:val="0"/>
        <w:numId w:val="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7987</Words>
  <Characters>8861</Characters>
  <Lines>92</Lines>
  <Paragraphs>26</Paragraphs>
  <TotalTime>224</TotalTime>
  <ScaleCrop>false</ScaleCrop>
  <LinksUpToDate>false</LinksUpToDate>
  <CharactersWithSpaces>8936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2023-11-07T15:48:00Z</dcterms:created>
  <dc:creator>Administrator</dc:creator>
  <cp:lastModifiedBy>冯流莹</cp:lastModifiedBy>
  <cp:lastPrinted>2025-07-28T02:40:00Z</cp:lastPrinted>
  <dcterms:modified xsi:type="dcterms:W3CDTF">2025-07-28T06:31:57Z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C243690D3EFB47028FEBA524CEAF753E_13</vt:lpwstr>
  </property>
  <property fmtid="{D5CDD505-2E9C-101B-9397-08002B2CF9AE}" pid="4" name="KSOTemplateDocerSaveRecord">
    <vt:lpwstr>eyJoZGlkIjoiOGFkZjVhNDJiMGExNWUxMjVmMmMwZDU4OWJmZWEzNzAiLCJ1c2VySWQiOiIyNDQ0MTQwMzQifQ==</vt:lpwstr>
  </property>
</Properties>
</file>