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DA85B2C">
      <w:pPr>
        <w:spacing w:line="520" w:lineRule="exact"/>
        <w:ind w:firstLine="720" w:firstLineChars="200"/>
        <w:jc w:val="center"/>
        <w:rPr>
          <w:rFonts w:hint="eastAsia" w:ascii="黑体" w:eastAsia="黑体" w:cs="仿宋_GB2312"/>
          <w:color w:val="auto"/>
          <w:sz w:val="36"/>
          <w:szCs w:val="36"/>
        </w:rPr>
      </w:pPr>
      <w:r>
        <w:rPr>
          <w:rFonts w:hint="eastAsia" w:ascii="黑体" w:eastAsia="黑体" w:cs="仿宋_GB2312"/>
          <w:color w:val="auto"/>
          <w:sz w:val="36"/>
          <w:szCs w:val="36"/>
          <w:lang w:eastAsia="zh-CN"/>
        </w:rPr>
        <w:t>团体标准《成人重症患者导管相关性黏膜压力性损伤预防规范》（征求意见</w:t>
      </w:r>
      <w:r>
        <w:rPr>
          <w:rFonts w:hint="eastAsia" w:ascii="黑体" w:eastAsia="黑体" w:cs="仿宋_GB2312"/>
          <w:color w:val="auto"/>
          <w:sz w:val="36"/>
          <w:szCs w:val="36"/>
        </w:rPr>
        <w:t>稿）编制说明</w:t>
      </w:r>
    </w:p>
    <w:p w14:paraId="5C534F24">
      <w:pPr>
        <w:jc w:val="center"/>
        <w:rPr>
          <w:rFonts w:hint="eastAsia" w:ascii="方正小标宋简体" w:eastAsia="方正小标宋简体" w:cs="仿宋_GB2312"/>
          <w:bCs/>
          <w:color w:val="auto"/>
          <w:sz w:val="18"/>
          <w:szCs w:val="18"/>
        </w:rPr>
      </w:pPr>
    </w:p>
    <w:p w14:paraId="2E0749D1">
      <w:pPr>
        <w:spacing w:line="520" w:lineRule="exact"/>
        <w:ind w:firstLine="640" w:firstLineChars="200"/>
        <w:rPr>
          <w:rFonts w:hint="eastAsia" w:ascii="黑体" w:eastAsia="黑体" w:cs="仿宋_GB2312"/>
          <w:bCs/>
          <w:color w:val="auto"/>
          <w:sz w:val="32"/>
          <w:szCs w:val="32"/>
        </w:rPr>
      </w:pPr>
      <w:r>
        <w:rPr>
          <w:rFonts w:hint="eastAsia" w:ascii="黑体" w:eastAsia="黑体" w:cs="仿宋_GB2312"/>
          <w:color w:val="auto"/>
          <w:sz w:val="32"/>
          <w:szCs w:val="32"/>
        </w:rPr>
        <w:t>一、任务来源、起草单位、主要起草人</w:t>
      </w:r>
    </w:p>
    <w:p w14:paraId="37CF72A6">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根据《</w:t>
      </w:r>
      <w:r>
        <w:rPr>
          <w:rFonts w:hint="eastAsia" w:ascii="仿宋_GB2312" w:eastAsia="仿宋_GB2312"/>
          <w:color w:val="auto"/>
          <w:sz w:val="28"/>
          <w:szCs w:val="28"/>
          <w:lang w:eastAsia="zh-CN"/>
        </w:rPr>
        <w:t>广西标准化协会</w:t>
      </w:r>
      <w:r>
        <w:rPr>
          <w:rFonts w:hint="eastAsia" w:ascii="仿宋_GB2312" w:eastAsia="仿宋_GB2312"/>
          <w:color w:val="auto"/>
          <w:sz w:val="28"/>
          <w:szCs w:val="28"/>
        </w:rPr>
        <w:t>关于下达202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年第</w:t>
      </w:r>
      <w:r>
        <w:rPr>
          <w:rFonts w:hint="eastAsia" w:ascii="仿宋_GB2312" w:eastAsia="仿宋_GB2312"/>
          <w:color w:val="auto"/>
          <w:sz w:val="28"/>
          <w:szCs w:val="28"/>
          <w:lang w:val="en-US" w:eastAsia="zh-CN"/>
        </w:rPr>
        <w:t>二十五</w:t>
      </w:r>
      <w:r>
        <w:rPr>
          <w:rFonts w:hint="eastAsia" w:ascii="仿宋_GB2312" w:eastAsia="仿宋_GB2312"/>
          <w:color w:val="auto"/>
          <w:sz w:val="28"/>
          <w:szCs w:val="28"/>
          <w:lang w:eastAsia="zh-CN"/>
        </w:rPr>
        <w:t>批</w:t>
      </w:r>
      <w:r>
        <w:rPr>
          <w:rFonts w:hint="eastAsia" w:ascii="仿宋_GB2312" w:eastAsia="仿宋_GB2312"/>
          <w:color w:val="auto"/>
          <w:sz w:val="28"/>
          <w:szCs w:val="28"/>
        </w:rPr>
        <w:t>批团体标准制修订项目计划的通知》（桂标协〔202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w:t>
      </w:r>
      <w:r>
        <w:rPr>
          <w:rFonts w:hint="eastAsia" w:ascii="仿宋_GB2312" w:eastAsia="仿宋_GB2312"/>
          <w:color w:val="auto"/>
          <w:sz w:val="28"/>
          <w:szCs w:val="28"/>
          <w:lang w:val="en-US" w:eastAsia="zh-CN"/>
        </w:rPr>
        <w:t>221</w:t>
      </w:r>
      <w:r>
        <w:rPr>
          <w:rFonts w:hint="eastAsia" w:ascii="仿宋_GB2312" w:eastAsia="仿宋_GB2312"/>
          <w:color w:val="auto"/>
          <w:sz w:val="28"/>
          <w:szCs w:val="28"/>
        </w:rPr>
        <w:t>号）精神，由广西</w:t>
      </w:r>
      <w:r>
        <w:rPr>
          <w:rFonts w:hint="eastAsia" w:ascii="仿宋_GB2312" w:eastAsia="仿宋_GB2312"/>
          <w:color w:val="auto"/>
          <w:sz w:val="28"/>
          <w:szCs w:val="28"/>
          <w:lang w:val="en-US" w:eastAsia="zh-CN"/>
        </w:rPr>
        <w:t>护理学会</w:t>
      </w:r>
      <w:r>
        <w:rPr>
          <w:rFonts w:hint="eastAsia" w:ascii="仿宋_GB2312" w:eastAsia="仿宋_GB2312"/>
          <w:color w:val="auto"/>
          <w:sz w:val="28"/>
          <w:szCs w:val="28"/>
        </w:rPr>
        <w:t>提出，</w:t>
      </w:r>
      <w:r>
        <w:rPr>
          <w:rFonts w:hint="eastAsia" w:ascii="仿宋_GB2312" w:eastAsia="仿宋_GB2312"/>
          <w:color w:val="auto"/>
          <w:sz w:val="28"/>
          <w:szCs w:val="28"/>
          <w:lang w:val="en-US" w:eastAsia="zh-CN"/>
        </w:rPr>
        <w:t>广西医科大学第一附属医院、广西医科大学第二附属医院、广西中医药大学附属瑞康医院、广西壮族自治区民族医院、海南西部中心医院、南宁市第三人民医院、广西壮族自治区桂东人民医院、厦门大学附属中山医院、复旦大学附属华东医院、玉林市第一人民医院、吴忠市人民医院、百色市人民医院、桂林医学院附属医院、</w:t>
      </w:r>
      <w:bookmarkStart w:id="0" w:name="OLE_LINK9"/>
      <w:r>
        <w:rPr>
          <w:rFonts w:hint="eastAsia" w:ascii="仿宋_GB2312" w:eastAsia="仿宋_GB2312"/>
          <w:color w:val="auto"/>
          <w:sz w:val="28"/>
          <w:szCs w:val="28"/>
          <w:lang w:val="en-US" w:eastAsia="zh-CN"/>
        </w:rPr>
        <w:t>南宁市第二人民医院</w:t>
      </w:r>
      <w:bookmarkEnd w:id="0"/>
      <w:r>
        <w:rPr>
          <w:rFonts w:hint="eastAsia" w:ascii="仿宋_GB2312" w:eastAsia="仿宋_GB2312"/>
          <w:color w:val="auto"/>
          <w:sz w:val="28"/>
          <w:szCs w:val="28"/>
        </w:rPr>
        <w:t>等单位共同起草的团体标准《</w:t>
      </w:r>
      <w:r>
        <w:rPr>
          <w:rFonts w:hint="eastAsia" w:ascii="仿宋_GB2312" w:eastAsia="仿宋_GB2312"/>
          <w:color w:val="auto"/>
          <w:sz w:val="28"/>
          <w:szCs w:val="28"/>
          <w:lang w:val="en-US" w:eastAsia="zh-CN"/>
        </w:rPr>
        <w:t>成人重症患者导管相关性黏膜压力性损伤预防规范</w:t>
      </w:r>
      <w:r>
        <w:rPr>
          <w:rFonts w:hint="eastAsia" w:ascii="仿宋_GB2312" w:eastAsia="仿宋_GB2312"/>
          <w:color w:val="auto"/>
          <w:sz w:val="28"/>
          <w:szCs w:val="28"/>
        </w:rPr>
        <w:t>》（项目编号</w:t>
      </w:r>
      <w:r>
        <w:rPr>
          <w:rFonts w:hint="eastAsia" w:ascii="仿宋_GB2312" w:eastAsia="仿宋_GB2312"/>
          <w:color w:val="auto"/>
          <w:sz w:val="28"/>
          <w:szCs w:val="28"/>
          <w:lang w:eastAsia="zh-CN"/>
        </w:rPr>
        <w:t>：</w:t>
      </w:r>
      <w:r>
        <w:rPr>
          <w:rFonts w:hint="eastAsia" w:ascii="仿宋_GB2312" w:eastAsia="仿宋_GB2312"/>
          <w:color w:val="auto"/>
          <w:sz w:val="28"/>
          <w:szCs w:val="28"/>
        </w:rPr>
        <w:t>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w:t>
      </w:r>
      <w:r>
        <w:rPr>
          <w:rFonts w:hint="eastAsia" w:ascii="仿宋_GB2312" w:eastAsia="仿宋_GB2312"/>
          <w:color w:val="auto"/>
          <w:sz w:val="28"/>
          <w:szCs w:val="28"/>
          <w:lang w:val="en-US" w:eastAsia="zh-CN"/>
        </w:rPr>
        <w:t>1205</w:t>
      </w:r>
      <w:r>
        <w:rPr>
          <w:rFonts w:hint="eastAsia" w:ascii="仿宋_GB2312" w:eastAsia="仿宋_GB2312"/>
          <w:color w:val="auto"/>
          <w:sz w:val="28"/>
          <w:szCs w:val="28"/>
        </w:rPr>
        <w:t>）</w:t>
      </w:r>
      <w:r>
        <w:rPr>
          <w:rFonts w:hint="eastAsia" w:ascii="仿宋_GB2312" w:eastAsia="仿宋_GB2312"/>
          <w:color w:val="auto"/>
          <w:sz w:val="28"/>
          <w:szCs w:val="28"/>
          <w:lang w:eastAsia="zh-CN"/>
        </w:rPr>
        <w:t>，已获立项</w:t>
      </w:r>
      <w:r>
        <w:rPr>
          <w:rFonts w:hint="eastAsia" w:ascii="仿宋_GB2312" w:eastAsia="仿宋_GB2312"/>
          <w:color w:val="auto"/>
          <w:sz w:val="28"/>
          <w:szCs w:val="28"/>
        </w:rPr>
        <w:t>。</w:t>
      </w:r>
    </w:p>
    <w:p w14:paraId="6E7ED8E7">
      <w:pPr>
        <w:spacing w:line="520" w:lineRule="exact"/>
        <w:ind w:firstLine="560" w:firstLineChars="200"/>
        <w:rPr>
          <w:rFonts w:hint="eastAsia" w:ascii="仿宋_GB2312" w:eastAsia="仿宋_GB2312"/>
          <w:color w:val="auto"/>
          <w:sz w:val="28"/>
          <w:szCs w:val="28"/>
          <w:highlight w:val="yellow"/>
          <w:lang w:eastAsia="zh-CN"/>
        </w:rPr>
      </w:pPr>
      <w:r>
        <w:rPr>
          <w:rFonts w:hint="eastAsia" w:ascii="仿宋_GB2312" w:eastAsia="仿宋_GB2312"/>
          <w:color w:val="auto"/>
          <w:sz w:val="28"/>
          <w:szCs w:val="28"/>
        </w:rPr>
        <w:t>为高质量编制</w:t>
      </w:r>
      <w:r>
        <w:rPr>
          <w:rFonts w:hint="eastAsia" w:ascii="仿宋_GB2312" w:eastAsia="仿宋_GB2312"/>
          <w:color w:val="auto"/>
          <w:sz w:val="28"/>
          <w:szCs w:val="28"/>
          <w:lang w:val="en-US" w:eastAsia="zh-CN"/>
        </w:rPr>
        <w:t>团体</w:t>
      </w:r>
      <w:r>
        <w:rPr>
          <w:rFonts w:hint="eastAsia" w:ascii="仿宋_GB2312" w:eastAsia="仿宋_GB2312"/>
          <w:color w:val="auto"/>
          <w:sz w:val="28"/>
          <w:szCs w:val="28"/>
        </w:rPr>
        <w:t>标准《</w:t>
      </w:r>
      <w:r>
        <w:rPr>
          <w:rFonts w:hint="eastAsia" w:ascii="仿宋_GB2312" w:eastAsia="仿宋_GB2312"/>
          <w:color w:val="auto"/>
          <w:sz w:val="28"/>
          <w:szCs w:val="28"/>
          <w:lang w:eastAsia="zh-CN"/>
        </w:rPr>
        <w:t>成人重症患者导管相关性黏膜压力性损伤预防规范</w:t>
      </w:r>
      <w:r>
        <w:rPr>
          <w:rFonts w:hint="eastAsia" w:ascii="仿宋_GB2312" w:eastAsia="仿宋_GB2312"/>
          <w:color w:val="auto"/>
          <w:sz w:val="28"/>
          <w:szCs w:val="28"/>
        </w:rPr>
        <w:t>》，由起草单位成立标准编制工作组并进行如下分工</w:t>
      </w:r>
      <w:r>
        <w:rPr>
          <w:rFonts w:hint="eastAsia" w:ascii="仿宋_GB2312" w:eastAsia="仿宋_GB2312"/>
          <w:color w:val="auto"/>
          <w:sz w:val="28"/>
          <w:szCs w:val="28"/>
          <w:highlight w:val="none"/>
        </w:rPr>
        <w:t>：</w:t>
      </w:r>
      <w:bookmarkStart w:id="11" w:name="_GoBack"/>
      <w:bookmarkEnd w:id="11"/>
    </w:p>
    <w:tbl>
      <w:tblPr>
        <w:tblStyle w:val="14"/>
        <w:tblW w:w="5000"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147"/>
        <w:gridCol w:w="1656"/>
        <w:gridCol w:w="1417"/>
        <w:gridCol w:w="1703"/>
        <w:gridCol w:w="3251"/>
      </w:tblGrid>
      <w:tr w14:paraId="73EE9B0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bottom w:val="single" w:color="auto" w:sz="4" w:space="0"/>
            </w:tcBorders>
            <w:noWrap w:val="0"/>
            <w:vAlign w:val="center"/>
          </w:tcPr>
          <w:p w14:paraId="6DEEBB55">
            <w:pPr>
              <w:keepNext w:val="0"/>
              <w:keepLines w:val="0"/>
              <w:suppressLineNumbers w:val="0"/>
              <w:spacing w:before="0" w:beforeAutospacing="0" w:after="0" w:afterAutospacing="0"/>
              <w:ind w:left="0" w:right="0"/>
              <w:jc w:val="center"/>
              <w:rPr>
                <w:rFonts w:hint="eastAsia" w:ascii="仿宋" w:hAnsi="仿宋" w:eastAsia="仿宋"/>
                <w:b/>
                <w:sz w:val="24"/>
              </w:rPr>
            </w:pPr>
            <w:r>
              <w:rPr>
                <w:rFonts w:hint="eastAsia" w:ascii="仿宋" w:hAnsi="仿宋" w:eastAsia="仿宋"/>
                <w:b/>
                <w:sz w:val="24"/>
              </w:rPr>
              <w:t>姓名</w:t>
            </w:r>
          </w:p>
        </w:tc>
        <w:tc>
          <w:tcPr>
            <w:tcW w:w="902" w:type="pct"/>
            <w:tcBorders>
              <w:top w:val="single" w:color="auto" w:sz="4" w:space="0"/>
              <w:bottom w:val="single" w:color="auto" w:sz="4" w:space="0"/>
            </w:tcBorders>
            <w:noWrap w:val="0"/>
            <w:vAlign w:val="center"/>
          </w:tcPr>
          <w:p w14:paraId="1A47257B">
            <w:pPr>
              <w:keepNext w:val="0"/>
              <w:keepLines w:val="0"/>
              <w:suppressLineNumbers w:val="0"/>
              <w:spacing w:before="0" w:beforeAutospacing="0" w:after="0" w:afterAutospacing="0"/>
              <w:ind w:left="0" w:right="0"/>
              <w:jc w:val="center"/>
              <w:rPr>
                <w:rFonts w:hint="eastAsia" w:ascii="仿宋" w:hAnsi="仿宋" w:eastAsia="仿宋"/>
                <w:b/>
                <w:sz w:val="24"/>
              </w:rPr>
            </w:pPr>
            <w:r>
              <w:rPr>
                <w:rFonts w:hint="eastAsia" w:ascii="仿宋" w:hAnsi="仿宋" w:eastAsia="仿宋"/>
                <w:b/>
                <w:sz w:val="24"/>
              </w:rPr>
              <w:t>职务/职称</w:t>
            </w:r>
          </w:p>
        </w:tc>
        <w:tc>
          <w:tcPr>
            <w:tcW w:w="772" w:type="pct"/>
            <w:tcBorders>
              <w:top w:val="single" w:color="auto" w:sz="4" w:space="0"/>
              <w:bottom w:val="single" w:color="auto" w:sz="4" w:space="0"/>
            </w:tcBorders>
            <w:noWrap w:val="0"/>
            <w:vAlign w:val="center"/>
          </w:tcPr>
          <w:p w14:paraId="2DD3A069">
            <w:pPr>
              <w:keepNext w:val="0"/>
              <w:keepLines w:val="0"/>
              <w:suppressLineNumbers w:val="0"/>
              <w:spacing w:before="0" w:beforeAutospacing="0" w:after="0" w:afterAutospacing="0"/>
              <w:ind w:left="0" w:right="0"/>
              <w:jc w:val="center"/>
              <w:rPr>
                <w:rFonts w:hint="eastAsia" w:ascii="仿宋" w:hAnsi="仿宋" w:eastAsia="仿宋"/>
                <w:b/>
                <w:sz w:val="24"/>
              </w:rPr>
            </w:pPr>
            <w:r>
              <w:rPr>
                <w:rFonts w:hint="eastAsia" w:ascii="仿宋" w:hAnsi="仿宋" w:eastAsia="仿宋"/>
                <w:b/>
                <w:sz w:val="24"/>
              </w:rPr>
              <w:t>从事专业</w:t>
            </w:r>
          </w:p>
        </w:tc>
        <w:tc>
          <w:tcPr>
            <w:tcW w:w="928" w:type="pct"/>
            <w:tcBorders>
              <w:top w:val="single" w:color="auto" w:sz="4" w:space="0"/>
              <w:bottom w:val="single" w:color="auto" w:sz="4" w:space="0"/>
            </w:tcBorders>
            <w:noWrap w:val="0"/>
            <w:vAlign w:val="center"/>
          </w:tcPr>
          <w:p w14:paraId="5566B4D4">
            <w:pPr>
              <w:keepNext w:val="0"/>
              <w:keepLines w:val="0"/>
              <w:suppressLineNumbers w:val="0"/>
              <w:spacing w:before="0" w:beforeAutospacing="0" w:after="0" w:afterAutospacing="0"/>
              <w:ind w:left="0" w:right="0"/>
              <w:jc w:val="center"/>
              <w:rPr>
                <w:rFonts w:hint="eastAsia" w:ascii="仿宋" w:hAnsi="仿宋" w:eastAsia="仿宋"/>
                <w:b/>
                <w:sz w:val="24"/>
              </w:rPr>
            </w:pPr>
            <w:r>
              <w:rPr>
                <w:rFonts w:hint="eastAsia" w:ascii="仿宋" w:hAnsi="仿宋" w:eastAsia="仿宋"/>
                <w:b/>
                <w:sz w:val="24"/>
              </w:rPr>
              <w:t>工作单位</w:t>
            </w:r>
          </w:p>
        </w:tc>
        <w:tc>
          <w:tcPr>
            <w:tcW w:w="1771" w:type="pct"/>
            <w:tcBorders>
              <w:top w:val="single" w:color="auto" w:sz="4" w:space="0"/>
              <w:bottom w:val="single" w:color="auto" w:sz="4" w:space="0"/>
            </w:tcBorders>
            <w:noWrap w:val="0"/>
            <w:vAlign w:val="center"/>
          </w:tcPr>
          <w:p w14:paraId="4DAEA5D1">
            <w:pPr>
              <w:keepNext w:val="0"/>
              <w:keepLines w:val="0"/>
              <w:suppressLineNumbers w:val="0"/>
              <w:spacing w:before="0" w:beforeAutospacing="0" w:after="0" w:afterAutospacing="0"/>
              <w:ind w:left="0" w:right="0"/>
              <w:jc w:val="center"/>
              <w:rPr>
                <w:rFonts w:hint="eastAsia" w:ascii="仿宋" w:hAnsi="仿宋" w:eastAsia="仿宋"/>
                <w:b/>
                <w:sz w:val="24"/>
              </w:rPr>
            </w:pPr>
            <w:r>
              <w:rPr>
                <w:rFonts w:hint="eastAsia" w:ascii="仿宋" w:hAnsi="仿宋" w:eastAsia="仿宋"/>
                <w:b/>
                <w:sz w:val="24"/>
              </w:rPr>
              <w:t>责任分工</w:t>
            </w:r>
          </w:p>
        </w:tc>
      </w:tr>
      <w:tr w14:paraId="3D78AF2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29A01F0F">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sz w:val="24"/>
                <w:lang w:val="en-US" w:eastAsia="zh-CN" w:bidi="ar"/>
              </w:rPr>
            </w:pPr>
            <w:r>
              <w:rPr>
                <w:rFonts w:hint="eastAsia" w:ascii="宋体" w:hAnsi="宋体" w:eastAsia="宋体" w:cs="宋体"/>
                <w:kern w:val="2"/>
                <w:sz w:val="21"/>
                <w:szCs w:val="21"/>
                <w:lang w:val="en-US" w:eastAsia="zh-CN" w:bidi="ar"/>
              </w:rPr>
              <w:t>黄宇</w:t>
            </w:r>
          </w:p>
        </w:tc>
        <w:tc>
          <w:tcPr>
            <w:tcW w:w="902" w:type="pct"/>
            <w:tcBorders>
              <w:top w:val="single" w:color="auto" w:sz="4" w:space="0"/>
              <w:bottom w:val="single" w:color="auto" w:sz="4" w:space="0"/>
            </w:tcBorders>
            <w:noWrap w:val="0"/>
            <w:vAlign w:val="center"/>
          </w:tcPr>
          <w:p w14:paraId="4D928E73">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val="en-US" w:eastAsia="zh-CN" w:bidi="ar"/>
              </w:rPr>
            </w:pPr>
            <w:r>
              <w:rPr>
                <w:rFonts w:hint="eastAsia" w:ascii="宋体" w:hAnsi="宋体" w:eastAsia="宋体" w:cs="宋体"/>
                <w:kern w:val="2"/>
                <w:sz w:val="21"/>
                <w:szCs w:val="21"/>
                <w:lang w:val="en-US" w:eastAsia="zh-CN" w:bidi="ar"/>
              </w:rPr>
              <w:t>副主任护师</w:t>
            </w:r>
          </w:p>
        </w:tc>
        <w:tc>
          <w:tcPr>
            <w:tcW w:w="772" w:type="pct"/>
            <w:tcBorders>
              <w:top w:val="single" w:color="auto" w:sz="4" w:space="0"/>
              <w:bottom w:val="single" w:color="auto" w:sz="4" w:space="0"/>
            </w:tcBorders>
            <w:noWrap w:val="0"/>
            <w:vAlign w:val="center"/>
          </w:tcPr>
          <w:p w14:paraId="4C9E8212">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15BA7CB7">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广西医科大学第一附属医院</w:t>
            </w:r>
          </w:p>
        </w:tc>
        <w:tc>
          <w:tcPr>
            <w:tcW w:w="1771" w:type="pct"/>
            <w:tcBorders>
              <w:top w:val="single" w:color="auto" w:sz="4" w:space="0"/>
              <w:bottom w:val="single" w:color="auto" w:sz="4" w:space="0"/>
              <w:right w:val="single" w:color="auto" w:sz="4" w:space="0"/>
            </w:tcBorders>
            <w:noWrap w:val="0"/>
            <w:vAlign w:val="center"/>
          </w:tcPr>
          <w:p w14:paraId="51ADD643">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eastAsia="zh-CN" w:bidi="ar"/>
              </w:rPr>
            </w:pPr>
            <w:r>
              <w:rPr>
                <w:rFonts w:hint="eastAsia" w:ascii="仿宋_GB2312" w:hAnsi="仿宋_GB2312" w:eastAsia="仿宋_GB2312" w:cs="仿宋_GB2312"/>
                <w:sz w:val="24"/>
                <w:lang w:bidi="ar"/>
              </w:rPr>
              <w:t>统筹主持标准编制工作</w:t>
            </w:r>
            <w:r>
              <w:rPr>
                <w:rFonts w:hint="eastAsia" w:ascii="仿宋_GB2312" w:hAnsi="仿宋_GB2312" w:eastAsia="仿宋_GB2312" w:cs="仿宋_GB2312"/>
                <w:sz w:val="24"/>
                <w:lang w:eastAsia="zh-CN" w:bidi="ar"/>
              </w:rPr>
              <w:t>。</w:t>
            </w:r>
          </w:p>
        </w:tc>
      </w:tr>
      <w:tr w14:paraId="2106FF9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5F7C2EE1">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黄德斌</w:t>
            </w:r>
          </w:p>
        </w:tc>
        <w:tc>
          <w:tcPr>
            <w:tcW w:w="902" w:type="pct"/>
            <w:tcBorders>
              <w:top w:val="single" w:color="auto" w:sz="4" w:space="0"/>
              <w:bottom w:val="single" w:color="auto" w:sz="4" w:space="0"/>
            </w:tcBorders>
            <w:noWrap w:val="0"/>
            <w:vAlign w:val="center"/>
          </w:tcPr>
          <w:p w14:paraId="0BB1F8F1">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护理部副主任/主任护师</w:t>
            </w:r>
          </w:p>
        </w:tc>
        <w:tc>
          <w:tcPr>
            <w:tcW w:w="772" w:type="pct"/>
            <w:tcBorders>
              <w:top w:val="single" w:color="auto" w:sz="4" w:space="0"/>
              <w:bottom w:val="single" w:color="auto" w:sz="4" w:space="0"/>
            </w:tcBorders>
            <w:noWrap w:val="0"/>
            <w:vAlign w:val="center"/>
          </w:tcPr>
          <w:p w14:paraId="7C57A076">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6C010477">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广西医科大学第一附属医院</w:t>
            </w:r>
          </w:p>
        </w:tc>
        <w:tc>
          <w:tcPr>
            <w:tcW w:w="1771" w:type="pct"/>
            <w:tcBorders>
              <w:top w:val="single" w:color="auto" w:sz="4" w:space="0"/>
              <w:bottom w:val="single" w:color="auto" w:sz="4" w:space="0"/>
              <w:right w:val="single" w:color="auto" w:sz="4" w:space="0"/>
            </w:tcBorders>
            <w:noWrap w:val="0"/>
            <w:vAlign w:val="center"/>
          </w:tcPr>
          <w:p w14:paraId="5122BF4F">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对标准实施情况进行总结分析，不断对标准提出修正意见。</w:t>
            </w:r>
          </w:p>
        </w:tc>
      </w:tr>
      <w:tr w14:paraId="10B12CB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7411CBEE">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马娟</w:t>
            </w:r>
          </w:p>
        </w:tc>
        <w:tc>
          <w:tcPr>
            <w:tcW w:w="902" w:type="pct"/>
            <w:tcBorders>
              <w:top w:val="single" w:color="auto" w:sz="4" w:space="0"/>
              <w:bottom w:val="single" w:color="auto" w:sz="4" w:space="0"/>
            </w:tcBorders>
            <w:noWrap w:val="0"/>
            <w:vAlign w:val="center"/>
          </w:tcPr>
          <w:p w14:paraId="3A9C3221">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护士长</w:t>
            </w:r>
            <w:r>
              <w:rPr>
                <w:rFonts w:hint="default" w:ascii="宋体" w:hAnsi="宋体" w:eastAsia="宋体" w:cs="宋体"/>
                <w:kern w:val="2"/>
                <w:sz w:val="21"/>
                <w:szCs w:val="21"/>
                <w:lang w:val="en-US" w:eastAsia="zh-CN" w:bidi="ar"/>
              </w:rPr>
              <w:t>/</w:t>
            </w:r>
            <w:r>
              <w:rPr>
                <w:rFonts w:hint="eastAsia" w:ascii="宋体" w:hAnsi="宋体" w:eastAsia="宋体" w:cs="宋体"/>
                <w:kern w:val="2"/>
                <w:sz w:val="21"/>
                <w:szCs w:val="21"/>
                <w:lang w:val="en-US" w:eastAsia="zh-CN" w:bidi="ar"/>
              </w:rPr>
              <w:t>主任护师</w:t>
            </w:r>
          </w:p>
        </w:tc>
        <w:tc>
          <w:tcPr>
            <w:tcW w:w="772" w:type="pct"/>
            <w:tcBorders>
              <w:top w:val="single" w:color="auto" w:sz="4" w:space="0"/>
              <w:bottom w:val="single" w:color="auto" w:sz="4" w:space="0"/>
            </w:tcBorders>
            <w:noWrap w:val="0"/>
            <w:vAlign w:val="center"/>
          </w:tcPr>
          <w:p w14:paraId="5A5C1927">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24DC2AEF">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广西医科大学第一附属医院</w:t>
            </w:r>
          </w:p>
        </w:tc>
        <w:tc>
          <w:tcPr>
            <w:tcW w:w="1771" w:type="pct"/>
            <w:tcBorders>
              <w:top w:val="single" w:color="auto" w:sz="4" w:space="0"/>
              <w:bottom w:val="single" w:color="auto" w:sz="4" w:space="0"/>
              <w:right w:val="single" w:color="auto" w:sz="4" w:space="0"/>
            </w:tcBorders>
            <w:noWrap w:val="0"/>
            <w:vAlign w:val="center"/>
          </w:tcPr>
          <w:p w14:paraId="614CA192">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6BD20B5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10379F6A">
            <w:pPr>
              <w:keepNext w:val="0"/>
              <w:keepLines w:val="0"/>
              <w:widowControl w:val="0"/>
              <w:suppressLineNumbers w:val="0"/>
              <w:spacing w:before="0" w:beforeAutospacing="0" w:after="0" w:afterAutospacing="0" w:line="400" w:lineRule="exact"/>
              <w:ind w:left="0" w:leftChars="0" w:right="0" w:rightChars="0"/>
              <w:jc w:val="center"/>
              <w:rPr>
                <w:rFonts w:hint="default"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卢敏英</w:t>
            </w:r>
          </w:p>
        </w:tc>
        <w:tc>
          <w:tcPr>
            <w:tcW w:w="902" w:type="pct"/>
            <w:tcBorders>
              <w:top w:val="single" w:color="auto" w:sz="4" w:space="0"/>
              <w:bottom w:val="single" w:color="auto" w:sz="4" w:space="0"/>
            </w:tcBorders>
            <w:noWrap w:val="0"/>
            <w:vAlign w:val="center"/>
          </w:tcPr>
          <w:p w14:paraId="3E505908">
            <w:pPr>
              <w:keepNext w:val="0"/>
              <w:keepLines w:val="0"/>
              <w:widowControl w:val="0"/>
              <w:suppressLineNumbers w:val="0"/>
              <w:spacing w:before="0" w:beforeAutospacing="0" w:after="0" w:afterAutospacing="0" w:line="400" w:lineRule="exact"/>
              <w:ind w:left="0" w:leftChars="0" w:right="0" w:rightChars="0"/>
              <w:jc w:val="center"/>
              <w:rPr>
                <w:rFonts w:hint="eastAsia"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主管护师</w:t>
            </w:r>
          </w:p>
        </w:tc>
        <w:tc>
          <w:tcPr>
            <w:tcW w:w="772" w:type="pct"/>
            <w:tcBorders>
              <w:top w:val="single" w:color="auto" w:sz="4" w:space="0"/>
              <w:bottom w:val="single" w:color="auto" w:sz="4" w:space="0"/>
            </w:tcBorders>
            <w:noWrap w:val="0"/>
            <w:vAlign w:val="center"/>
          </w:tcPr>
          <w:p w14:paraId="4B91C63C">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53FC2224">
            <w:pPr>
              <w:keepNext w:val="0"/>
              <w:keepLines w:val="0"/>
              <w:widowControl w:val="0"/>
              <w:suppressLineNumbers w:val="0"/>
              <w:spacing w:before="0" w:beforeAutospacing="0" w:after="0" w:afterAutospacing="0" w:line="400" w:lineRule="exact"/>
              <w:ind w:left="0" w:leftChars="0" w:right="0" w:rightChars="0"/>
              <w:jc w:val="center"/>
              <w:rPr>
                <w:rFonts w:hint="eastAsia"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广西医科大学第一附属医院</w:t>
            </w:r>
          </w:p>
        </w:tc>
        <w:tc>
          <w:tcPr>
            <w:tcW w:w="1771" w:type="pct"/>
            <w:tcBorders>
              <w:top w:val="single" w:color="auto" w:sz="4" w:space="0"/>
              <w:bottom w:val="single" w:color="auto" w:sz="4" w:space="0"/>
              <w:right w:val="single" w:color="auto" w:sz="4" w:space="0"/>
            </w:tcBorders>
            <w:noWrap w:val="0"/>
            <w:vAlign w:val="center"/>
          </w:tcPr>
          <w:p w14:paraId="57F45607">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6219C13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0F3AAAA3">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韩丹丹</w:t>
            </w:r>
          </w:p>
        </w:tc>
        <w:tc>
          <w:tcPr>
            <w:tcW w:w="902" w:type="pct"/>
            <w:tcBorders>
              <w:top w:val="single" w:color="auto" w:sz="4" w:space="0"/>
              <w:bottom w:val="single" w:color="auto" w:sz="4" w:space="0"/>
            </w:tcBorders>
            <w:noWrap w:val="0"/>
            <w:vAlign w:val="center"/>
          </w:tcPr>
          <w:p w14:paraId="0A75D9E4">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护士长</w:t>
            </w:r>
            <w:r>
              <w:rPr>
                <w:rFonts w:hint="default" w:ascii="宋体" w:hAnsi="宋体" w:eastAsia="宋体" w:cs="宋体"/>
                <w:kern w:val="2"/>
                <w:sz w:val="21"/>
                <w:szCs w:val="21"/>
                <w:lang w:val="en-US" w:eastAsia="zh-CN" w:bidi="ar"/>
              </w:rPr>
              <w:t>/</w:t>
            </w:r>
            <w:r>
              <w:rPr>
                <w:rFonts w:hint="eastAsia" w:ascii="宋体" w:hAnsi="宋体" w:eastAsia="宋体" w:cs="宋体"/>
                <w:kern w:val="2"/>
                <w:sz w:val="21"/>
                <w:szCs w:val="21"/>
                <w:lang w:val="en-US" w:eastAsia="zh-CN" w:bidi="ar"/>
              </w:rPr>
              <w:t>副主任护师</w:t>
            </w:r>
          </w:p>
        </w:tc>
        <w:tc>
          <w:tcPr>
            <w:tcW w:w="772" w:type="pct"/>
            <w:tcBorders>
              <w:top w:val="single" w:color="auto" w:sz="4" w:space="0"/>
              <w:bottom w:val="single" w:color="auto" w:sz="4" w:space="0"/>
            </w:tcBorders>
            <w:noWrap w:val="0"/>
            <w:vAlign w:val="center"/>
          </w:tcPr>
          <w:p w14:paraId="5137DCB6">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4294C8A7">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广西医科大学第二附属医院</w:t>
            </w:r>
          </w:p>
        </w:tc>
        <w:tc>
          <w:tcPr>
            <w:tcW w:w="1771" w:type="pct"/>
            <w:tcBorders>
              <w:top w:val="single" w:color="auto" w:sz="4" w:space="0"/>
              <w:bottom w:val="single" w:color="auto" w:sz="4" w:space="0"/>
              <w:right w:val="single" w:color="auto" w:sz="4" w:space="0"/>
            </w:tcBorders>
            <w:noWrap w:val="0"/>
            <w:vAlign w:val="center"/>
          </w:tcPr>
          <w:p w14:paraId="33226111">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0C2C170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68742C8F">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吴静</w:t>
            </w:r>
          </w:p>
        </w:tc>
        <w:tc>
          <w:tcPr>
            <w:tcW w:w="902" w:type="pct"/>
            <w:tcBorders>
              <w:top w:val="single" w:color="auto" w:sz="4" w:space="0"/>
              <w:bottom w:val="single" w:color="auto" w:sz="4" w:space="0"/>
            </w:tcBorders>
            <w:noWrap w:val="0"/>
            <w:vAlign w:val="center"/>
          </w:tcPr>
          <w:p w14:paraId="77F07577">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主管护师</w:t>
            </w:r>
          </w:p>
        </w:tc>
        <w:tc>
          <w:tcPr>
            <w:tcW w:w="772" w:type="pct"/>
            <w:tcBorders>
              <w:top w:val="single" w:color="auto" w:sz="4" w:space="0"/>
              <w:bottom w:val="single" w:color="auto" w:sz="4" w:space="0"/>
            </w:tcBorders>
            <w:noWrap w:val="0"/>
            <w:vAlign w:val="center"/>
          </w:tcPr>
          <w:p w14:paraId="5B025152">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2781C2C9">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广西医科大学第一附属医院</w:t>
            </w:r>
          </w:p>
        </w:tc>
        <w:tc>
          <w:tcPr>
            <w:tcW w:w="1771" w:type="pct"/>
            <w:tcBorders>
              <w:top w:val="single" w:color="auto" w:sz="4" w:space="0"/>
              <w:bottom w:val="single" w:color="auto" w:sz="4" w:space="0"/>
              <w:right w:val="single" w:color="auto" w:sz="4" w:space="0"/>
            </w:tcBorders>
            <w:noWrap w:val="0"/>
            <w:vAlign w:val="center"/>
          </w:tcPr>
          <w:p w14:paraId="2D6A8B1C">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4EB4654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74D80859">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val="en-US" w:eastAsia="zh-CN" w:bidi="ar"/>
              </w:rPr>
            </w:pPr>
            <w:r>
              <w:rPr>
                <w:rFonts w:hint="eastAsia" w:ascii="仿宋_GB2312" w:hAnsi="仿宋_GB2312" w:eastAsia="仿宋_GB2312" w:cs="仿宋_GB2312"/>
                <w:sz w:val="24"/>
                <w:lang w:val="en-US" w:eastAsia="zh-CN" w:bidi="ar"/>
              </w:rPr>
              <w:t>谭幼娴</w:t>
            </w:r>
          </w:p>
        </w:tc>
        <w:tc>
          <w:tcPr>
            <w:tcW w:w="902" w:type="pct"/>
            <w:tcBorders>
              <w:top w:val="single" w:color="auto" w:sz="4" w:space="0"/>
              <w:bottom w:val="single" w:color="auto" w:sz="4" w:space="0"/>
            </w:tcBorders>
            <w:noWrap w:val="0"/>
            <w:vAlign w:val="center"/>
          </w:tcPr>
          <w:p w14:paraId="06CDABD4">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主管护师</w:t>
            </w:r>
          </w:p>
        </w:tc>
        <w:tc>
          <w:tcPr>
            <w:tcW w:w="772" w:type="pct"/>
            <w:tcBorders>
              <w:top w:val="single" w:color="auto" w:sz="4" w:space="0"/>
              <w:bottom w:val="single" w:color="auto" w:sz="4" w:space="0"/>
            </w:tcBorders>
            <w:noWrap w:val="0"/>
            <w:vAlign w:val="center"/>
          </w:tcPr>
          <w:p w14:paraId="5B213875">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0EFD2FA7">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广西医科大学第一附属医院</w:t>
            </w:r>
          </w:p>
        </w:tc>
        <w:tc>
          <w:tcPr>
            <w:tcW w:w="1771" w:type="pct"/>
            <w:tcBorders>
              <w:top w:val="single" w:color="auto" w:sz="4" w:space="0"/>
              <w:bottom w:val="single" w:color="auto" w:sz="4" w:space="0"/>
              <w:right w:val="single" w:color="auto" w:sz="4" w:space="0"/>
            </w:tcBorders>
            <w:noWrap w:val="0"/>
            <w:vAlign w:val="center"/>
          </w:tcPr>
          <w:p w14:paraId="10BC760A">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226527A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5FE2630B">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val="en-US" w:eastAsia="zh-CN" w:bidi="ar"/>
              </w:rPr>
            </w:pPr>
            <w:r>
              <w:rPr>
                <w:rFonts w:hint="eastAsia" w:ascii="宋体" w:hAnsi="宋体" w:eastAsia="宋体" w:cs="宋体"/>
                <w:kern w:val="2"/>
                <w:sz w:val="21"/>
                <w:szCs w:val="21"/>
                <w:lang w:val="en-US" w:eastAsia="zh-CN" w:bidi="ar"/>
              </w:rPr>
              <w:t>黄静铭</w:t>
            </w:r>
          </w:p>
        </w:tc>
        <w:tc>
          <w:tcPr>
            <w:tcW w:w="902" w:type="pct"/>
            <w:tcBorders>
              <w:top w:val="single" w:color="auto" w:sz="4" w:space="0"/>
              <w:bottom w:val="single" w:color="auto" w:sz="4" w:space="0"/>
            </w:tcBorders>
            <w:noWrap w:val="0"/>
            <w:vAlign w:val="center"/>
          </w:tcPr>
          <w:p w14:paraId="742608BC">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护士长</w:t>
            </w:r>
            <w:r>
              <w:rPr>
                <w:rFonts w:hint="default" w:ascii="宋体" w:hAnsi="宋体" w:eastAsia="宋体" w:cs="宋体"/>
                <w:kern w:val="2"/>
                <w:sz w:val="21"/>
                <w:szCs w:val="21"/>
                <w:lang w:val="en-US" w:eastAsia="zh-CN" w:bidi="ar"/>
              </w:rPr>
              <w:t>/</w:t>
            </w:r>
            <w:r>
              <w:rPr>
                <w:rFonts w:hint="eastAsia" w:ascii="宋体" w:hAnsi="宋体" w:eastAsia="宋体" w:cs="宋体"/>
                <w:kern w:val="2"/>
                <w:sz w:val="21"/>
                <w:szCs w:val="21"/>
                <w:lang w:val="en-US" w:eastAsia="zh-CN" w:bidi="ar"/>
              </w:rPr>
              <w:t>副主任护师</w:t>
            </w:r>
          </w:p>
        </w:tc>
        <w:tc>
          <w:tcPr>
            <w:tcW w:w="772" w:type="pct"/>
            <w:tcBorders>
              <w:top w:val="single" w:color="auto" w:sz="4" w:space="0"/>
              <w:bottom w:val="single" w:color="auto" w:sz="4" w:space="0"/>
            </w:tcBorders>
            <w:noWrap w:val="0"/>
            <w:vAlign w:val="center"/>
          </w:tcPr>
          <w:p w14:paraId="5C34C5F4">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58041E32">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广西中医药大学附属瑞康医院</w:t>
            </w:r>
          </w:p>
        </w:tc>
        <w:tc>
          <w:tcPr>
            <w:tcW w:w="1771" w:type="pct"/>
            <w:tcBorders>
              <w:top w:val="single" w:color="auto" w:sz="4" w:space="0"/>
              <w:bottom w:val="single" w:color="auto" w:sz="4" w:space="0"/>
              <w:right w:val="single" w:color="auto" w:sz="4" w:space="0"/>
            </w:tcBorders>
            <w:noWrap w:val="0"/>
            <w:vAlign w:val="center"/>
          </w:tcPr>
          <w:p w14:paraId="133CB0E2">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367A812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1CACA6F6">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val="en-US" w:eastAsia="zh-CN" w:bidi="ar"/>
              </w:rPr>
            </w:pPr>
            <w:r>
              <w:rPr>
                <w:rFonts w:hint="eastAsia" w:ascii="宋体" w:hAnsi="宋体" w:eastAsia="宋体" w:cs="宋体"/>
                <w:kern w:val="2"/>
                <w:sz w:val="21"/>
                <w:szCs w:val="21"/>
                <w:lang w:val="en-US" w:eastAsia="zh-CN" w:bidi="ar"/>
              </w:rPr>
              <w:t>吴金梅</w:t>
            </w:r>
          </w:p>
        </w:tc>
        <w:tc>
          <w:tcPr>
            <w:tcW w:w="902" w:type="pct"/>
            <w:tcBorders>
              <w:top w:val="single" w:color="auto" w:sz="4" w:space="0"/>
              <w:bottom w:val="single" w:color="auto" w:sz="4" w:space="0"/>
            </w:tcBorders>
            <w:noWrap w:val="0"/>
            <w:vAlign w:val="center"/>
          </w:tcPr>
          <w:p w14:paraId="658FD1FE">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护士长</w:t>
            </w:r>
            <w:r>
              <w:rPr>
                <w:rFonts w:hint="default" w:ascii="宋体" w:hAnsi="宋体" w:eastAsia="宋体" w:cs="宋体"/>
                <w:kern w:val="2"/>
                <w:sz w:val="21"/>
                <w:szCs w:val="21"/>
                <w:lang w:val="en-US" w:eastAsia="zh-CN" w:bidi="ar"/>
              </w:rPr>
              <w:t>/</w:t>
            </w:r>
            <w:r>
              <w:rPr>
                <w:rFonts w:hint="eastAsia" w:ascii="宋体" w:hAnsi="宋体" w:eastAsia="宋体" w:cs="宋体"/>
                <w:kern w:val="2"/>
                <w:sz w:val="21"/>
                <w:szCs w:val="21"/>
                <w:lang w:val="en-US" w:eastAsia="zh-CN" w:bidi="ar"/>
              </w:rPr>
              <w:t>主管护师</w:t>
            </w:r>
          </w:p>
        </w:tc>
        <w:tc>
          <w:tcPr>
            <w:tcW w:w="772" w:type="pct"/>
            <w:tcBorders>
              <w:top w:val="single" w:color="auto" w:sz="4" w:space="0"/>
              <w:bottom w:val="single" w:color="auto" w:sz="4" w:space="0"/>
            </w:tcBorders>
            <w:noWrap w:val="0"/>
            <w:vAlign w:val="center"/>
          </w:tcPr>
          <w:p w14:paraId="0C44786A">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23DE1790">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广西壮族自治区民族医院</w:t>
            </w:r>
          </w:p>
        </w:tc>
        <w:tc>
          <w:tcPr>
            <w:tcW w:w="1771" w:type="pct"/>
            <w:tcBorders>
              <w:top w:val="single" w:color="auto" w:sz="4" w:space="0"/>
              <w:bottom w:val="single" w:color="auto" w:sz="4" w:space="0"/>
              <w:right w:val="single" w:color="auto" w:sz="4" w:space="0"/>
            </w:tcBorders>
            <w:noWrap w:val="0"/>
            <w:vAlign w:val="center"/>
          </w:tcPr>
          <w:p w14:paraId="48C09B2B">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76C9415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72BD3D52">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val="en-US" w:eastAsia="zh-CN" w:bidi="ar"/>
              </w:rPr>
            </w:pPr>
            <w:r>
              <w:rPr>
                <w:rFonts w:hint="eastAsia" w:ascii="宋体" w:hAnsi="宋体" w:eastAsia="宋体" w:cs="宋体"/>
                <w:kern w:val="2"/>
                <w:sz w:val="21"/>
                <w:szCs w:val="21"/>
                <w:lang w:val="en-US" w:eastAsia="zh-CN" w:bidi="ar"/>
              </w:rPr>
              <w:t>韩丹丹</w:t>
            </w:r>
          </w:p>
        </w:tc>
        <w:tc>
          <w:tcPr>
            <w:tcW w:w="902" w:type="pct"/>
            <w:tcBorders>
              <w:top w:val="single" w:color="auto" w:sz="4" w:space="0"/>
              <w:bottom w:val="single" w:color="auto" w:sz="4" w:space="0"/>
            </w:tcBorders>
            <w:noWrap w:val="0"/>
            <w:vAlign w:val="center"/>
          </w:tcPr>
          <w:p w14:paraId="083AF8F5">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护士长</w:t>
            </w:r>
            <w:r>
              <w:rPr>
                <w:rFonts w:hint="default" w:ascii="宋体" w:hAnsi="宋体" w:eastAsia="宋体" w:cs="宋体"/>
                <w:kern w:val="2"/>
                <w:sz w:val="21"/>
                <w:szCs w:val="21"/>
                <w:lang w:val="en-US" w:eastAsia="zh-CN" w:bidi="ar"/>
              </w:rPr>
              <w:t>/</w:t>
            </w:r>
            <w:r>
              <w:rPr>
                <w:rFonts w:hint="eastAsia" w:ascii="宋体" w:hAnsi="宋体" w:eastAsia="宋体" w:cs="宋体"/>
                <w:kern w:val="2"/>
                <w:sz w:val="21"/>
                <w:szCs w:val="21"/>
                <w:lang w:val="en-US" w:eastAsia="zh-CN" w:bidi="ar"/>
              </w:rPr>
              <w:t>副主任护师</w:t>
            </w:r>
          </w:p>
        </w:tc>
        <w:tc>
          <w:tcPr>
            <w:tcW w:w="772" w:type="pct"/>
            <w:tcBorders>
              <w:top w:val="single" w:color="auto" w:sz="4" w:space="0"/>
              <w:bottom w:val="single" w:color="auto" w:sz="4" w:space="0"/>
            </w:tcBorders>
            <w:noWrap w:val="0"/>
            <w:vAlign w:val="center"/>
          </w:tcPr>
          <w:p w14:paraId="3C919A41">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6BE2A18B">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广西医科大学第二附属医院</w:t>
            </w:r>
          </w:p>
        </w:tc>
        <w:tc>
          <w:tcPr>
            <w:tcW w:w="1771" w:type="pct"/>
            <w:tcBorders>
              <w:top w:val="single" w:color="auto" w:sz="4" w:space="0"/>
              <w:bottom w:val="single" w:color="auto" w:sz="4" w:space="0"/>
              <w:right w:val="single" w:color="auto" w:sz="4" w:space="0"/>
            </w:tcBorders>
            <w:noWrap w:val="0"/>
            <w:vAlign w:val="center"/>
          </w:tcPr>
          <w:p w14:paraId="521CA120">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04EDDD4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36235E6C">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val="en-US" w:eastAsia="zh-CN" w:bidi="ar"/>
              </w:rPr>
            </w:pPr>
            <w:r>
              <w:rPr>
                <w:rFonts w:hint="eastAsia" w:ascii="宋体" w:hAnsi="宋体" w:eastAsia="宋体" w:cs="宋体"/>
                <w:kern w:val="2"/>
                <w:sz w:val="21"/>
                <w:szCs w:val="21"/>
                <w:lang w:val="en-US" w:eastAsia="zh-CN" w:bidi="ar"/>
              </w:rPr>
              <w:t>何梅细</w:t>
            </w:r>
          </w:p>
        </w:tc>
        <w:tc>
          <w:tcPr>
            <w:tcW w:w="902" w:type="pct"/>
            <w:tcBorders>
              <w:top w:val="single" w:color="auto" w:sz="4" w:space="0"/>
              <w:bottom w:val="single" w:color="auto" w:sz="4" w:space="0"/>
            </w:tcBorders>
            <w:noWrap w:val="0"/>
            <w:vAlign w:val="center"/>
          </w:tcPr>
          <w:p w14:paraId="20301FF9">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主管护师</w:t>
            </w:r>
          </w:p>
        </w:tc>
        <w:tc>
          <w:tcPr>
            <w:tcW w:w="772" w:type="pct"/>
            <w:tcBorders>
              <w:top w:val="single" w:color="auto" w:sz="4" w:space="0"/>
              <w:bottom w:val="single" w:color="auto" w:sz="4" w:space="0"/>
            </w:tcBorders>
            <w:noWrap w:val="0"/>
            <w:vAlign w:val="center"/>
          </w:tcPr>
          <w:p w14:paraId="56ED311B">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57258D40">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南宁市第二人民医院</w:t>
            </w:r>
          </w:p>
        </w:tc>
        <w:tc>
          <w:tcPr>
            <w:tcW w:w="1771" w:type="pct"/>
            <w:tcBorders>
              <w:top w:val="single" w:color="auto" w:sz="4" w:space="0"/>
              <w:bottom w:val="single" w:color="auto" w:sz="4" w:space="0"/>
              <w:right w:val="single" w:color="auto" w:sz="4" w:space="0"/>
            </w:tcBorders>
            <w:noWrap w:val="0"/>
            <w:vAlign w:val="center"/>
          </w:tcPr>
          <w:p w14:paraId="473274F5">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23E123B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19A6AB66">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周桂益</w:t>
            </w:r>
          </w:p>
        </w:tc>
        <w:tc>
          <w:tcPr>
            <w:tcW w:w="902" w:type="pct"/>
            <w:tcBorders>
              <w:top w:val="single" w:color="auto" w:sz="4" w:space="0"/>
              <w:bottom w:val="single" w:color="auto" w:sz="4" w:space="0"/>
            </w:tcBorders>
            <w:noWrap w:val="0"/>
            <w:vAlign w:val="center"/>
          </w:tcPr>
          <w:p w14:paraId="723BE174">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sz w:val="24"/>
                <w:lang w:val="en-US" w:eastAsia="zh-CN" w:bidi="ar"/>
              </w:rPr>
            </w:pPr>
            <w:r>
              <w:rPr>
                <w:rFonts w:hint="eastAsia" w:ascii="宋体" w:hAnsi="宋体" w:eastAsia="宋体" w:cs="宋体"/>
                <w:kern w:val="2"/>
                <w:sz w:val="21"/>
                <w:szCs w:val="21"/>
                <w:lang w:val="en-US" w:eastAsia="zh-CN" w:bidi="ar"/>
              </w:rPr>
              <w:t>主管护师</w:t>
            </w:r>
          </w:p>
        </w:tc>
        <w:tc>
          <w:tcPr>
            <w:tcW w:w="772" w:type="pct"/>
            <w:tcBorders>
              <w:top w:val="single" w:color="auto" w:sz="4" w:space="0"/>
              <w:bottom w:val="single" w:color="auto" w:sz="4" w:space="0"/>
            </w:tcBorders>
            <w:noWrap w:val="0"/>
            <w:vAlign w:val="center"/>
          </w:tcPr>
          <w:p w14:paraId="3A5ACC7E">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349CA453">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南宁市第三人民医院</w:t>
            </w:r>
          </w:p>
        </w:tc>
        <w:tc>
          <w:tcPr>
            <w:tcW w:w="1771" w:type="pct"/>
            <w:tcBorders>
              <w:top w:val="single" w:color="auto" w:sz="4" w:space="0"/>
              <w:bottom w:val="single" w:color="auto" w:sz="4" w:space="0"/>
              <w:right w:val="single" w:color="auto" w:sz="4" w:space="0"/>
            </w:tcBorders>
            <w:noWrap w:val="0"/>
            <w:vAlign w:val="center"/>
          </w:tcPr>
          <w:p w14:paraId="03CEFD89">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3F8BD40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116F04F0">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曾庆玲</w:t>
            </w:r>
          </w:p>
        </w:tc>
        <w:tc>
          <w:tcPr>
            <w:tcW w:w="902" w:type="pct"/>
            <w:tcBorders>
              <w:top w:val="single" w:color="auto" w:sz="4" w:space="0"/>
              <w:bottom w:val="single" w:color="auto" w:sz="4" w:space="0"/>
            </w:tcBorders>
            <w:noWrap w:val="0"/>
            <w:vAlign w:val="center"/>
          </w:tcPr>
          <w:p w14:paraId="0C3F9DC4">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sz w:val="24"/>
                <w:lang w:val="en-US" w:eastAsia="zh-CN" w:bidi="ar"/>
              </w:rPr>
            </w:pPr>
            <w:r>
              <w:rPr>
                <w:rFonts w:hint="eastAsia" w:ascii="宋体" w:hAnsi="宋体" w:eastAsia="宋体" w:cs="宋体"/>
                <w:kern w:val="2"/>
                <w:sz w:val="21"/>
                <w:szCs w:val="21"/>
                <w:lang w:val="en-US" w:eastAsia="zh-CN" w:bidi="ar"/>
              </w:rPr>
              <w:t>副护士长</w:t>
            </w:r>
            <w:r>
              <w:rPr>
                <w:rFonts w:hint="default" w:ascii="宋体" w:hAnsi="宋体" w:eastAsia="宋体" w:cs="宋体"/>
                <w:kern w:val="2"/>
                <w:sz w:val="21"/>
                <w:szCs w:val="21"/>
                <w:lang w:val="en-US" w:eastAsia="zh-CN" w:bidi="ar"/>
              </w:rPr>
              <w:t>/</w:t>
            </w:r>
            <w:r>
              <w:rPr>
                <w:rFonts w:hint="eastAsia" w:ascii="宋体" w:hAnsi="宋体" w:eastAsia="宋体" w:cs="宋体"/>
                <w:kern w:val="2"/>
                <w:sz w:val="21"/>
                <w:szCs w:val="21"/>
                <w:lang w:val="en-US" w:eastAsia="zh-CN" w:bidi="ar"/>
              </w:rPr>
              <w:t>副主任护师</w:t>
            </w:r>
          </w:p>
        </w:tc>
        <w:tc>
          <w:tcPr>
            <w:tcW w:w="772" w:type="pct"/>
            <w:tcBorders>
              <w:top w:val="single" w:color="auto" w:sz="4" w:space="0"/>
              <w:bottom w:val="single" w:color="auto" w:sz="4" w:space="0"/>
            </w:tcBorders>
            <w:noWrap w:val="0"/>
            <w:vAlign w:val="center"/>
          </w:tcPr>
          <w:p w14:paraId="40E888C1">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2FE9CAE4">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仿宋_GB2312" w:hAnsi="仿宋_GB2312" w:eastAsia="仿宋_GB2312" w:cs="仿宋_GB2312"/>
                <w:sz w:val="24"/>
                <w:lang w:bidi="ar"/>
              </w:rPr>
              <w:t>桂林医学院附属医院</w:t>
            </w:r>
          </w:p>
        </w:tc>
        <w:tc>
          <w:tcPr>
            <w:tcW w:w="1771" w:type="pct"/>
            <w:tcBorders>
              <w:top w:val="single" w:color="auto" w:sz="4" w:space="0"/>
              <w:bottom w:val="single" w:color="auto" w:sz="4" w:space="0"/>
              <w:right w:val="single" w:color="auto" w:sz="4" w:space="0"/>
            </w:tcBorders>
            <w:noWrap w:val="0"/>
            <w:vAlign w:val="center"/>
          </w:tcPr>
          <w:p w14:paraId="3DBE038C">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08EC225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78A4AFAF">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班银燕</w:t>
            </w:r>
          </w:p>
        </w:tc>
        <w:tc>
          <w:tcPr>
            <w:tcW w:w="902" w:type="pct"/>
            <w:tcBorders>
              <w:top w:val="single" w:color="auto" w:sz="4" w:space="0"/>
              <w:bottom w:val="single" w:color="auto" w:sz="4" w:space="0"/>
            </w:tcBorders>
            <w:noWrap w:val="0"/>
            <w:vAlign w:val="center"/>
          </w:tcPr>
          <w:p w14:paraId="7E3F88E6">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sz w:val="24"/>
                <w:lang w:val="en-US" w:eastAsia="zh-CN" w:bidi="ar"/>
              </w:rPr>
            </w:pPr>
            <w:r>
              <w:rPr>
                <w:rFonts w:hint="eastAsia" w:ascii="宋体" w:hAnsi="宋体" w:eastAsia="宋体" w:cs="宋体"/>
                <w:kern w:val="2"/>
                <w:sz w:val="21"/>
                <w:szCs w:val="21"/>
                <w:lang w:val="en-US" w:eastAsia="zh-CN" w:bidi="ar"/>
              </w:rPr>
              <w:t>主任护师</w:t>
            </w:r>
          </w:p>
        </w:tc>
        <w:tc>
          <w:tcPr>
            <w:tcW w:w="772" w:type="pct"/>
            <w:tcBorders>
              <w:top w:val="single" w:color="auto" w:sz="4" w:space="0"/>
              <w:bottom w:val="single" w:color="auto" w:sz="4" w:space="0"/>
            </w:tcBorders>
            <w:noWrap w:val="0"/>
            <w:vAlign w:val="center"/>
          </w:tcPr>
          <w:p w14:paraId="771E6AD7">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19E5F0FE">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百色市人民医院</w:t>
            </w:r>
          </w:p>
        </w:tc>
        <w:tc>
          <w:tcPr>
            <w:tcW w:w="1771" w:type="pct"/>
            <w:tcBorders>
              <w:top w:val="single" w:color="auto" w:sz="4" w:space="0"/>
              <w:bottom w:val="single" w:color="auto" w:sz="4" w:space="0"/>
              <w:right w:val="single" w:color="auto" w:sz="4" w:space="0"/>
            </w:tcBorders>
            <w:noWrap w:val="0"/>
            <w:vAlign w:val="center"/>
          </w:tcPr>
          <w:p w14:paraId="165C0ECE">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24FC0FE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1576F3D5">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刘宪珍</w:t>
            </w:r>
          </w:p>
        </w:tc>
        <w:tc>
          <w:tcPr>
            <w:tcW w:w="902" w:type="pct"/>
            <w:tcBorders>
              <w:top w:val="single" w:color="auto" w:sz="4" w:space="0"/>
              <w:bottom w:val="single" w:color="auto" w:sz="4" w:space="0"/>
            </w:tcBorders>
            <w:noWrap w:val="0"/>
            <w:vAlign w:val="center"/>
          </w:tcPr>
          <w:p w14:paraId="178A4EF5">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sz w:val="24"/>
                <w:lang w:val="en-US" w:eastAsia="zh-CN" w:bidi="ar"/>
              </w:rPr>
            </w:pPr>
            <w:r>
              <w:rPr>
                <w:rFonts w:hint="eastAsia" w:ascii="宋体" w:hAnsi="宋体" w:eastAsia="宋体" w:cs="宋体"/>
                <w:kern w:val="2"/>
                <w:sz w:val="21"/>
                <w:szCs w:val="21"/>
                <w:lang w:val="en-US" w:eastAsia="zh-CN" w:bidi="ar"/>
              </w:rPr>
              <w:t>副主任护师</w:t>
            </w:r>
          </w:p>
        </w:tc>
        <w:tc>
          <w:tcPr>
            <w:tcW w:w="772" w:type="pct"/>
            <w:tcBorders>
              <w:top w:val="single" w:color="auto" w:sz="4" w:space="0"/>
              <w:bottom w:val="single" w:color="auto" w:sz="4" w:space="0"/>
            </w:tcBorders>
            <w:noWrap w:val="0"/>
            <w:vAlign w:val="center"/>
          </w:tcPr>
          <w:p w14:paraId="511EA8A1">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54CFEFC2">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玉林市第一人民医院</w:t>
            </w:r>
          </w:p>
        </w:tc>
        <w:tc>
          <w:tcPr>
            <w:tcW w:w="1771" w:type="pct"/>
            <w:tcBorders>
              <w:top w:val="single" w:color="auto" w:sz="4" w:space="0"/>
              <w:bottom w:val="single" w:color="auto" w:sz="4" w:space="0"/>
              <w:right w:val="single" w:color="auto" w:sz="4" w:space="0"/>
            </w:tcBorders>
            <w:noWrap w:val="0"/>
            <w:vAlign w:val="center"/>
          </w:tcPr>
          <w:p w14:paraId="69494756">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2059EBD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1719935A">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蒋亚灯</w:t>
            </w:r>
          </w:p>
        </w:tc>
        <w:tc>
          <w:tcPr>
            <w:tcW w:w="902" w:type="pct"/>
            <w:tcBorders>
              <w:top w:val="single" w:color="auto" w:sz="4" w:space="0"/>
              <w:bottom w:val="single" w:color="auto" w:sz="4" w:space="0"/>
            </w:tcBorders>
            <w:noWrap w:val="0"/>
            <w:vAlign w:val="center"/>
          </w:tcPr>
          <w:p w14:paraId="40D4B7CB">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sz w:val="24"/>
                <w:lang w:val="en-US" w:eastAsia="zh-CN" w:bidi="ar"/>
              </w:rPr>
            </w:pPr>
            <w:r>
              <w:rPr>
                <w:rFonts w:hint="eastAsia" w:ascii="宋体" w:hAnsi="宋体" w:eastAsia="宋体" w:cs="宋体"/>
                <w:kern w:val="2"/>
                <w:sz w:val="21"/>
                <w:szCs w:val="21"/>
                <w:lang w:val="en-US" w:eastAsia="zh-CN" w:bidi="ar"/>
              </w:rPr>
              <w:t>主管护师</w:t>
            </w:r>
          </w:p>
        </w:tc>
        <w:tc>
          <w:tcPr>
            <w:tcW w:w="772" w:type="pct"/>
            <w:tcBorders>
              <w:top w:val="single" w:color="auto" w:sz="4" w:space="0"/>
              <w:bottom w:val="single" w:color="auto" w:sz="4" w:space="0"/>
            </w:tcBorders>
            <w:noWrap w:val="0"/>
            <w:vAlign w:val="center"/>
          </w:tcPr>
          <w:p w14:paraId="24025107">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02339DB5">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广西壮族自治区桂东人民医院</w:t>
            </w:r>
          </w:p>
        </w:tc>
        <w:tc>
          <w:tcPr>
            <w:tcW w:w="1771" w:type="pct"/>
            <w:tcBorders>
              <w:top w:val="single" w:color="auto" w:sz="4" w:space="0"/>
              <w:bottom w:val="single" w:color="auto" w:sz="4" w:space="0"/>
              <w:right w:val="single" w:color="auto" w:sz="4" w:space="0"/>
            </w:tcBorders>
            <w:noWrap w:val="0"/>
            <w:vAlign w:val="center"/>
          </w:tcPr>
          <w:p w14:paraId="0D2F5679">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4908AC6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7EDE7BA0">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朱丽菲</w:t>
            </w:r>
          </w:p>
        </w:tc>
        <w:tc>
          <w:tcPr>
            <w:tcW w:w="902" w:type="pct"/>
            <w:tcBorders>
              <w:top w:val="single" w:color="auto" w:sz="4" w:space="0"/>
              <w:bottom w:val="single" w:color="auto" w:sz="4" w:space="0"/>
            </w:tcBorders>
            <w:noWrap w:val="0"/>
            <w:vAlign w:val="center"/>
          </w:tcPr>
          <w:p w14:paraId="43CE02E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00" w:lineRule="exact"/>
              <w:ind w:left="0" w:leftChars="0" w:right="0" w:rightChars="0"/>
              <w:jc w:val="center"/>
              <w:textAlignment w:val="auto"/>
              <w:rPr>
                <w:rFonts w:hint="eastAsia" w:ascii="仿宋_GB2312" w:hAnsi="仿宋_GB2312" w:eastAsia="仿宋_GB2312" w:cs="仿宋_GB2312"/>
                <w:sz w:val="24"/>
                <w:lang w:val="en-US" w:eastAsia="zh-CN" w:bidi="ar"/>
              </w:rPr>
            </w:pPr>
            <w:r>
              <w:rPr>
                <w:rFonts w:hint="eastAsia" w:ascii="宋体" w:hAnsi="宋体" w:eastAsia="宋体" w:cs="宋体"/>
                <w:kern w:val="2"/>
                <w:sz w:val="21"/>
                <w:szCs w:val="21"/>
                <w:lang w:val="en-US" w:eastAsia="zh-CN" w:bidi="ar"/>
              </w:rPr>
              <w:t>护士长</w:t>
            </w:r>
            <w:r>
              <w:rPr>
                <w:rFonts w:hint="default" w:ascii="宋体" w:hAnsi="宋体" w:eastAsia="宋体" w:cs="宋体"/>
                <w:kern w:val="2"/>
                <w:sz w:val="21"/>
                <w:szCs w:val="21"/>
                <w:lang w:val="en-US" w:eastAsia="zh-CN" w:bidi="ar"/>
              </w:rPr>
              <w:t>/</w:t>
            </w:r>
            <w:r>
              <w:rPr>
                <w:rFonts w:hint="eastAsia" w:ascii="宋体" w:hAnsi="宋体" w:eastAsia="宋体" w:cs="宋体"/>
                <w:kern w:val="2"/>
                <w:sz w:val="21"/>
                <w:szCs w:val="21"/>
                <w:lang w:val="en-US" w:eastAsia="zh-CN" w:bidi="ar"/>
              </w:rPr>
              <w:t>主管护师</w:t>
            </w:r>
          </w:p>
        </w:tc>
        <w:tc>
          <w:tcPr>
            <w:tcW w:w="772" w:type="pct"/>
            <w:tcBorders>
              <w:top w:val="single" w:color="auto" w:sz="4" w:space="0"/>
              <w:bottom w:val="single" w:color="auto" w:sz="4" w:space="0"/>
            </w:tcBorders>
            <w:noWrap w:val="0"/>
            <w:vAlign w:val="center"/>
          </w:tcPr>
          <w:p w14:paraId="1BAAB29A">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2FC9D1C0">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海南西部中心医院</w:t>
            </w:r>
          </w:p>
        </w:tc>
        <w:tc>
          <w:tcPr>
            <w:tcW w:w="1771" w:type="pct"/>
            <w:tcBorders>
              <w:top w:val="single" w:color="auto" w:sz="4" w:space="0"/>
              <w:bottom w:val="single" w:color="auto" w:sz="4" w:space="0"/>
              <w:right w:val="single" w:color="auto" w:sz="4" w:space="0"/>
            </w:tcBorders>
            <w:noWrap w:val="0"/>
            <w:vAlign w:val="center"/>
          </w:tcPr>
          <w:p w14:paraId="1BE11DF6">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6DE583E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18D188E5">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房晨斐</w:t>
            </w:r>
          </w:p>
        </w:tc>
        <w:tc>
          <w:tcPr>
            <w:tcW w:w="902" w:type="pct"/>
            <w:tcBorders>
              <w:top w:val="single" w:color="auto" w:sz="4" w:space="0"/>
              <w:bottom w:val="single" w:color="auto" w:sz="4" w:space="0"/>
            </w:tcBorders>
            <w:noWrap w:val="0"/>
            <w:vAlign w:val="center"/>
          </w:tcPr>
          <w:p w14:paraId="78CACE8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00" w:lineRule="exact"/>
              <w:ind w:left="0" w:leftChars="0" w:right="0" w:rightChars="0"/>
              <w:jc w:val="center"/>
              <w:textAlignment w:val="auto"/>
              <w:rPr>
                <w:rFonts w:hint="eastAsia" w:ascii="仿宋_GB2312" w:hAnsi="仿宋_GB2312" w:eastAsia="仿宋_GB2312" w:cs="仿宋_GB2312"/>
                <w:sz w:val="24"/>
                <w:lang w:val="en-US" w:eastAsia="zh-CN" w:bidi="ar"/>
              </w:rPr>
            </w:pPr>
            <w:r>
              <w:rPr>
                <w:rFonts w:hint="eastAsia" w:ascii="宋体" w:hAnsi="宋体" w:eastAsia="宋体" w:cs="宋体"/>
                <w:kern w:val="2"/>
                <w:sz w:val="21"/>
                <w:szCs w:val="21"/>
                <w:lang w:val="en-US" w:eastAsia="zh-CN" w:bidi="ar"/>
              </w:rPr>
              <w:t>护士长</w:t>
            </w:r>
            <w:r>
              <w:rPr>
                <w:rFonts w:hint="default" w:ascii="宋体" w:hAnsi="宋体" w:eastAsia="宋体" w:cs="宋体"/>
                <w:kern w:val="2"/>
                <w:sz w:val="21"/>
                <w:szCs w:val="21"/>
                <w:lang w:val="en-US" w:eastAsia="zh-CN" w:bidi="ar"/>
              </w:rPr>
              <w:t>/</w:t>
            </w:r>
            <w:r>
              <w:rPr>
                <w:rFonts w:hint="eastAsia" w:ascii="宋体" w:hAnsi="宋体" w:eastAsia="宋体" w:cs="宋体"/>
                <w:kern w:val="2"/>
                <w:sz w:val="21"/>
                <w:szCs w:val="21"/>
                <w:lang w:val="en-US" w:eastAsia="zh-CN" w:bidi="ar"/>
              </w:rPr>
              <w:t>主管护师</w:t>
            </w:r>
          </w:p>
        </w:tc>
        <w:tc>
          <w:tcPr>
            <w:tcW w:w="772" w:type="pct"/>
            <w:tcBorders>
              <w:top w:val="single" w:color="auto" w:sz="4" w:space="0"/>
              <w:bottom w:val="single" w:color="auto" w:sz="4" w:space="0"/>
            </w:tcBorders>
            <w:noWrap w:val="0"/>
            <w:vAlign w:val="center"/>
          </w:tcPr>
          <w:p w14:paraId="1D5979A5">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59FD8026">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复旦大学附属华东医院</w:t>
            </w:r>
          </w:p>
        </w:tc>
        <w:tc>
          <w:tcPr>
            <w:tcW w:w="1771" w:type="pct"/>
            <w:tcBorders>
              <w:top w:val="single" w:color="auto" w:sz="4" w:space="0"/>
              <w:bottom w:val="single" w:color="auto" w:sz="4" w:space="0"/>
              <w:right w:val="single" w:color="auto" w:sz="4" w:space="0"/>
            </w:tcBorders>
            <w:noWrap w:val="0"/>
            <w:vAlign w:val="center"/>
          </w:tcPr>
          <w:p w14:paraId="727583EB">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116AC8D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0F926031">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陈小霞</w:t>
            </w:r>
          </w:p>
        </w:tc>
        <w:tc>
          <w:tcPr>
            <w:tcW w:w="902" w:type="pct"/>
            <w:tcBorders>
              <w:top w:val="single" w:color="auto" w:sz="4" w:space="0"/>
              <w:bottom w:val="single" w:color="auto" w:sz="4" w:space="0"/>
            </w:tcBorders>
            <w:noWrap w:val="0"/>
            <w:vAlign w:val="center"/>
          </w:tcPr>
          <w:p w14:paraId="17730D19">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sz w:val="24"/>
                <w:lang w:val="en-US" w:eastAsia="zh-CN" w:bidi="ar"/>
              </w:rPr>
            </w:pPr>
            <w:r>
              <w:rPr>
                <w:rFonts w:hint="eastAsia" w:ascii="宋体" w:hAnsi="宋体" w:eastAsia="宋体" w:cs="宋体"/>
                <w:kern w:val="2"/>
                <w:sz w:val="21"/>
                <w:szCs w:val="21"/>
                <w:lang w:val="en-US" w:eastAsia="zh-CN" w:bidi="ar"/>
              </w:rPr>
              <w:t>副主任护师</w:t>
            </w:r>
          </w:p>
        </w:tc>
        <w:tc>
          <w:tcPr>
            <w:tcW w:w="772" w:type="pct"/>
            <w:tcBorders>
              <w:top w:val="single" w:color="auto" w:sz="4" w:space="0"/>
              <w:bottom w:val="single" w:color="auto" w:sz="4" w:space="0"/>
            </w:tcBorders>
            <w:noWrap w:val="0"/>
            <w:vAlign w:val="center"/>
          </w:tcPr>
          <w:p w14:paraId="57651D7E">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36F3517E">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sz w:val="24"/>
                <w:lang w:bidi="ar"/>
              </w:rPr>
            </w:pPr>
            <w:r>
              <w:rPr>
                <w:rFonts w:hint="eastAsia" w:ascii="宋体" w:hAnsi="宋体" w:eastAsia="宋体" w:cs="宋体"/>
                <w:kern w:val="2"/>
                <w:sz w:val="21"/>
                <w:szCs w:val="21"/>
                <w:lang w:val="en-US" w:eastAsia="zh-CN" w:bidi="ar"/>
              </w:rPr>
              <w:t>厦门大学附属中山医院</w:t>
            </w:r>
          </w:p>
        </w:tc>
        <w:tc>
          <w:tcPr>
            <w:tcW w:w="1771" w:type="pct"/>
            <w:tcBorders>
              <w:top w:val="single" w:color="auto" w:sz="4" w:space="0"/>
              <w:bottom w:val="single" w:color="auto" w:sz="4" w:space="0"/>
              <w:right w:val="single" w:color="auto" w:sz="4" w:space="0"/>
            </w:tcBorders>
            <w:noWrap w:val="0"/>
            <w:vAlign w:val="center"/>
          </w:tcPr>
          <w:p w14:paraId="0157A577">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290843A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56C9902E">
            <w:pPr>
              <w:keepNext w:val="0"/>
              <w:keepLines w:val="0"/>
              <w:widowControl w:val="0"/>
              <w:suppressLineNumbers w:val="0"/>
              <w:spacing w:before="0" w:beforeAutospacing="0" w:after="0" w:afterAutospacing="0" w:line="400" w:lineRule="exact"/>
              <w:ind w:left="0" w:leftChars="0" w:right="0" w:rightChars="0"/>
              <w:jc w:val="center"/>
              <w:rPr>
                <w:rFonts w:hint="default" w:ascii="仿宋_GB2312" w:hAnsi="仿宋_GB2312" w:eastAsia="仿宋_GB2312" w:cs="仿宋_GB2312"/>
                <w:sz w:val="24"/>
                <w:lang w:bidi="ar"/>
              </w:rPr>
            </w:pPr>
            <w:r>
              <w:rPr>
                <w:rFonts w:hint="eastAsia" w:ascii="宋体" w:hAnsi="宋体" w:eastAsia="宋体" w:cs="宋体"/>
                <w:kern w:val="2"/>
                <w:sz w:val="21"/>
                <w:szCs w:val="21"/>
                <w:lang w:val="en-US" w:eastAsia="zh-CN" w:bidi="ar"/>
              </w:rPr>
              <w:t>杨秀玲</w:t>
            </w:r>
          </w:p>
        </w:tc>
        <w:tc>
          <w:tcPr>
            <w:tcW w:w="902" w:type="pct"/>
            <w:tcBorders>
              <w:top w:val="single" w:color="auto" w:sz="4" w:space="0"/>
              <w:bottom w:val="single" w:color="auto" w:sz="4" w:space="0"/>
            </w:tcBorders>
            <w:noWrap w:val="0"/>
            <w:vAlign w:val="center"/>
          </w:tcPr>
          <w:p w14:paraId="63B4A118">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sz w:val="24"/>
                <w:lang w:val="en-US" w:eastAsia="zh-CN" w:bidi="ar"/>
              </w:rPr>
            </w:pPr>
            <w:r>
              <w:rPr>
                <w:rFonts w:hint="eastAsia" w:ascii="宋体" w:hAnsi="宋体" w:eastAsia="宋体" w:cs="宋体"/>
                <w:kern w:val="2"/>
                <w:sz w:val="21"/>
                <w:szCs w:val="21"/>
                <w:lang w:val="en-US" w:eastAsia="zh-CN" w:bidi="ar"/>
              </w:rPr>
              <w:t>副主任护师</w:t>
            </w:r>
          </w:p>
        </w:tc>
        <w:tc>
          <w:tcPr>
            <w:tcW w:w="772" w:type="pct"/>
            <w:tcBorders>
              <w:top w:val="single" w:color="auto" w:sz="4" w:space="0"/>
              <w:bottom w:val="single" w:color="auto" w:sz="4" w:space="0"/>
            </w:tcBorders>
            <w:noWrap w:val="0"/>
            <w:vAlign w:val="center"/>
          </w:tcPr>
          <w:p w14:paraId="56E0D297">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77070C7C">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sz w:val="24"/>
                <w:lang w:bidi="ar"/>
              </w:rPr>
            </w:pPr>
            <w:r>
              <w:rPr>
                <w:rFonts w:hint="eastAsia" w:ascii="宋体" w:hAnsi="宋体" w:eastAsia="宋体" w:cs="宋体"/>
                <w:kern w:val="2"/>
                <w:sz w:val="21"/>
                <w:szCs w:val="21"/>
                <w:lang w:val="en-US" w:eastAsia="zh-CN" w:bidi="ar"/>
              </w:rPr>
              <w:t>吴忠市人民医院</w:t>
            </w:r>
          </w:p>
        </w:tc>
        <w:tc>
          <w:tcPr>
            <w:tcW w:w="1771" w:type="pct"/>
            <w:tcBorders>
              <w:top w:val="single" w:color="auto" w:sz="4" w:space="0"/>
              <w:bottom w:val="single" w:color="auto" w:sz="4" w:space="0"/>
              <w:right w:val="single" w:color="auto" w:sz="4" w:space="0"/>
            </w:tcBorders>
            <w:noWrap w:val="0"/>
            <w:vAlign w:val="center"/>
          </w:tcPr>
          <w:p w14:paraId="18D86A3D">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2AF00D1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6EAE82FC">
            <w:pPr>
              <w:keepNext w:val="0"/>
              <w:keepLines w:val="0"/>
              <w:widowControl w:val="0"/>
              <w:suppressLineNumbers w:val="0"/>
              <w:spacing w:before="0" w:beforeAutospacing="0" w:after="0" w:afterAutospacing="0" w:line="400" w:lineRule="exact"/>
              <w:ind w:left="0" w:leftChars="0" w:right="0" w:rightChars="0"/>
              <w:jc w:val="center"/>
              <w:rPr>
                <w:rFonts w:hint="default"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朱雨婷</w:t>
            </w:r>
          </w:p>
        </w:tc>
        <w:tc>
          <w:tcPr>
            <w:tcW w:w="902" w:type="pct"/>
            <w:tcBorders>
              <w:top w:val="single" w:color="auto" w:sz="4" w:space="0"/>
              <w:bottom w:val="single" w:color="auto" w:sz="4" w:space="0"/>
            </w:tcBorders>
            <w:noWrap w:val="0"/>
            <w:vAlign w:val="center"/>
          </w:tcPr>
          <w:p w14:paraId="0BA91A2C">
            <w:pPr>
              <w:keepNext w:val="0"/>
              <w:keepLines w:val="0"/>
              <w:widowControl w:val="0"/>
              <w:suppressLineNumbers w:val="0"/>
              <w:spacing w:before="0" w:beforeAutospacing="0" w:after="0" w:afterAutospacing="0" w:line="400" w:lineRule="exact"/>
              <w:ind w:left="0" w:leftChars="0" w:right="0" w:rightChars="0"/>
              <w:jc w:val="center"/>
              <w:rPr>
                <w:rFonts w:hint="eastAsia"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主管护师</w:t>
            </w:r>
          </w:p>
        </w:tc>
        <w:tc>
          <w:tcPr>
            <w:tcW w:w="772" w:type="pct"/>
            <w:tcBorders>
              <w:top w:val="single" w:color="auto" w:sz="4" w:space="0"/>
              <w:bottom w:val="single" w:color="auto" w:sz="4" w:space="0"/>
            </w:tcBorders>
            <w:noWrap w:val="0"/>
            <w:vAlign w:val="center"/>
          </w:tcPr>
          <w:p w14:paraId="63718175">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79024D93">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广西医科大学第一附属医院</w:t>
            </w:r>
          </w:p>
        </w:tc>
        <w:tc>
          <w:tcPr>
            <w:tcW w:w="1771" w:type="pct"/>
            <w:tcBorders>
              <w:top w:val="single" w:color="auto" w:sz="4" w:space="0"/>
              <w:bottom w:val="single" w:color="auto" w:sz="4" w:space="0"/>
              <w:right w:val="single" w:color="auto" w:sz="4" w:space="0"/>
            </w:tcBorders>
            <w:noWrap w:val="0"/>
            <w:vAlign w:val="center"/>
          </w:tcPr>
          <w:p w14:paraId="30B654DD">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1514C79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21AEC3F4">
            <w:pPr>
              <w:keepNext w:val="0"/>
              <w:keepLines w:val="0"/>
              <w:widowControl w:val="0"/>
              <w:suppressLineNumbers w:val="0"/>
              <w:spacing w:before="0" w:beforeAutospacing="0" w:after="0" w:afterAutospacing="0" w:line="400" w:lineRule="exact"/>
              <w:ind w:left="0" w:leftChars="0" w:right="0" w:rightChars="0"/>
              <w:jc w:val="center"/>
              <w:rPr>
                <w:rFonts w:hint="default"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蒋静</w:t>
            </w:r>
          </w:p>
        </w:tc>
        <w:tc>
          <w:tcPr>
            <w:tcW w:w="902" w:type="pct"/>
            <w:tcBorders>
              <w:top w:val="single" w:color="auto" w:sz="4" w:space="0"/>
              <w:bottom w:val="single" w:color="auto" w:sz="4" w:space="0"/>
            </w:tcBorders>
            <w:noWrap w:val="0"/>
            <w:vAlign w:val="center"/>
          </w:tcPr>
          <w:p w14:paraId="50BDB84E">
            <w:pPr>
              <w:keepNext w:val="0"/>
              <w:keepLines w:val="0"/>
              <w:widowControl w:val="0"/>
              <w:suppressLineNumbers w:val="0"/>
              <w:spacing w:before="0" w:beforeAutospacing="0" w:after="0" w:afterAutospacing="0" w:line="400" w:lineRule="exact"/>
              <w:ind w:left="0" w:leftChars="0" w:right="0" w:rightChars="0"/>
              <w:jc w:val="center"/>
              <w:rPr>
                <w:rFonts w:hint="eastAsia"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主管护师</w:t>
            </w:r>
          </w:p>
        </w:tc>
        <w:tc>
          <w:tcPr>
            <w:tcW w:w="772" w:type="pct"/>
            <w:tcBorders>
              <w:top w:val="single" w:color="auto" w:sz="4" w:space="0"/>
              <w:bottom w:val="single" w:color="auto" w:sz="4" w:space="0"/>
            </w:tcBorders>
            <w:noWrap w:val="0"/>
            <w:vAlign w:val="center"/>
          </w:tcPr>
          <w:p w14:paraId="48A0DE52">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700C90E8">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广西医科大学第一附属医院</w:t>
            </w:r>
          </w:p>
        </w:tc>
        <w:tc>
          <w:tcPr>
            <w:tcW w:w="1771" w:type="pct"/>
            <w:tcBorders>
              <w:top w:val="single" w:color="auto" w:sz="4" w:space="0"/>
              <w:bottom w:val="single" w:color="auto" w:sz="4" w:space="0"/>
              <w:right w:val="single" w:color="auto" w:sz="4" w:space="0"/>
            </w:tcBorders>
            <w:noWrap w:val="0"/>
            <w:vAlign w:val="center"/>
          </w:tcPr>
          <w:p w14:paraId="725998A4">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3BC4FB6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75CD2158">
            <w:pPr>
              <w:keepNext w:val="0"/>
              <w:keepLines w:val="0"/>
              <w:widowControl w:val="0"/>
              <w:suppressLineNumbers w:val="0"/>
              <w:spacing w:before="0" w:beforeAutospacing="0" w:after="0" w:afterAutospacing="0" w:line="400" w:lineRule="exact"/>
              <w:ind w:left="0" w:leftChars="0" w:right="0" w:rightChars="0"/>
              <w:jc w:val="center"/>
              <w:rPr>
                <w:rFonts w:hint="default"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黄安石</w:t>
            </w:r>
          </w:p>
        </w:tc>
        <w:tc>
          <w:tcPr>
            <w:tcW w:w="902" w:type="pct"/>
            <w:tcBorders>
              <w:top w:val="single" w:color="auto" w:sz="4" w:space="0"/>
              <w:bottom w:val="single" w:color="auto" w:sz="4" w:space="0"/>
            </w:tcBorders>
            <w:noWrap w:val="0"/>
            <w:vAlign w:val="center"/>
          </w:tcPr>
          <w:p w14:paraId="3C5B96C6">
            <w:pPr>
              <w:keepNext w:val="0"/>
              <w:keepLines w:val="0"/>
              <w:widowControl w:val="0"/>
              <w:suppressLineNumbers w:val="0"/>
              <w:spacing w:before="0" w:beforeAutospacing="0" w:after="0" w:afterAutospacing="0" w:line="400" w:lineRule="exact"/>
              <w:ind w:left="0" w:leftChars="0" w:right="0" w:rightChars="0"/>
              <w:jc w:val="center"/>
              <w:rPr>
                <w:rFonts w:hint="eastAsia"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主管护师</w:t>
            </w:r>
          </w:p>
        </w:tc>
        <w:tc>
          <w:tcPr>
            <w:tcW w:w="772" w:type="pct"/>
            <w:tcBorders>
              <w:top w:val="single" w:color="auto" w:sz="4" w:space="0"/>
              <w:bottom w:val="single" w:color="auto" w:sz="4" w:space="0"/>
            </w:tcBorders>
            <w:noWrap w:val="0"/>
            <w:vAlign w:val="center"/>
          </w:tcPr>
          <w:p w14:paraId="0D9CE784">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15D944B7">
            <w:pPr>
              <w:keepNext w:val="0"/>
              <w:keepLines w:val="0"/>
              <w:widowControl w:val="0"/>
              <w:suppressLineNumbers w:val="0"/>
              <w:spacing w:before="0" w:beforeAutospacing="0" w:after="0" w:afterAutospacing="0" w:line="400" w:lineRule="exact"/>
              <w:ind w:left="0" w:leftChars="0" w:right="0" w:rightChars="0"/>
              <w:jc w:val="center"/>
              <w:rPr>
                <w:rFonts w:hint="eastAsia" w:ascii="仿宋_GB2312" w:hAnsi="仿宋_GB2312" w:eastAsia="仿宋_GB2312" w:cs="仿宋_GB2312"/>
                <w:kern w:val="2"/>
                <w:sz w:val="24"/>
                <w:szCs w:val="24"/>
                <w:lang w:val="en-US" w:eastAsia="zh-CN" w:bidi="ar"/>
              </w:rPr>
            </w:pPr>
            <w:r>
              <w:rPr>
                <w:rFonts w:hint="eastAsia" w:ascii="宋体" w:hAnsi="宋体" w:eastAsia="宋体" w:cs="宋体"/>
                <w:kern w:val="2"/>
                <w:sz w:val="21"/>
                <w:szCs w:val="21"/>
                <w:lang w:val="en-US" w:eastAsia="zh-CN" w:bidi="ar"/>
              </w:rPr>
              <w:t>广西医科大学第一附属医院</w:t>
            </w:r>
          </w:p>
        </w:tc>
        <w:tc>
          <w:tcPr>
            <w:tcW w:w="1771" w:type="pct"/>
            <w:tcBorders>
              <w:top w:val="single" w:color="auto" w:sz="4" w:space="0"/>
              <w:bottom w:val="single" w:color="auto" w:sz="4" w:space="0"/>
              <w:right w:val="single" w:color="auto" w:sz="4" w:space="0"/>
            </w:tcBorders>
            <w:noWrap w:val="0"/>
            <w:vAlign w:val="center"/>
          </w:tcPr>
          <w:p w14:paraId="4CFBAE38">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3BABC07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6194EDA4">
            <w:pPr>
              <w:keepNext w:val="0"/>
              <w:keepLines w:val="0"/>
              <w:widowControl w:val="0"/>
              <w:suppressLineNumbers w:val="0"/>
              <w:spacing w:before="0" w:beforeAutospacing="0" w:after="0" w:afterAutospacing="0" w:line="400" w:lineRule="exact"/>
              <w:ind w:left="0" w:leftChars="0" w:right="0" w:rightChars="0"/>
              <w:jc w:val="center"/>
              <w:rPr>
                <w:rFonts w:hint="default"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赵翠松</w:t>
            </w:r>
          </w:p>
        </w:tc>
        <w:tc>
          <w:tcPr>
            <w:tcW w:w="902" w:type="pct"/>
            <w:tcBorders>
              <w:top w:val="single" w:color="auto" w:sz="4" w:space="0"/>
              <w:bottom w:val="single" w:color="auto" w:sz="4" w:space="0"/>
            </w:tcBorders>
            <w:noWrap w:val="0"/>
            <w:vAlign w:val="center"/>
          </w:tcPr>
          <w:p w14:paraId="6F52EAA3">
            <w:pPr>
              <w:keepNext w:val="0"/>
              <w:keepLines w:val="0"/>
              <w:widowControl w:val="0"/>
              <w:suppressLineNumbers w:val="0"/>
              <w:spacing w:before="0" w:beforeAutospacing="0" w:after="0" w:afterAutospacing="0" w:line="400" w:lineRule="exact"/>
              <w:ind w:left="0" w:leftChars="0" w:right="0" w:rightChars="0"/>
              <w:jc w:val="center"/>
              <w:rPr>
                <w:rFonts w:hint="eastAsia"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科护士长</w:t>
            </w:r>
            <w:r>
              <w:rPr>
                <w:rFonts w:hint="default" w:ascii="宋体" w:hAnsi="宋体" w:eastAsia="宋体" w:cs="宋体"/>
                <w:kern w:val="2"/>
                <w:sz w:val="21"/>
                <w:szCs w:val="21"/>
                <w:lang w:val="en-US" w:eastAsia="zh-CN" w:bidi="ar"/>
              </w:rPr>
              <w:t>/</w:t>
            </w:r>
            <w:r>
              <w:rPr>
                <w:rFonts w:hint="eastAsia" w:ascii="宋体" w:hAnsi="宋体" w:eastAsia="宋体" w:cs="宋体"/>
                <w:kern w:val="2"/>
                <w:sz w:val="21"/>
                <w:szCs w:val="21"/>
                <w:lang w:val="en-US" w:eastAsia="zh-CN" w:bidi="ar"/>
              </w:rPr>
              <w:t>主任护师</w:t>
            </w:r>
          </w:p>
        </w:tc>
        <w:tc>
          <w:tcPr>
            <w:tcW w:w="772" w:type="pct"/>
            <w:tcBorders>
              <w:top w:val="single" w:color="auto" w:sz="4" w:space="0"/>
              <w:bottom w:val="single" w:color="auto" w:sz="4" w:space="0"/>
            </w:tcBorders>
            <w:noWrap w:val="0"/>
            <w:vAlign w:val="center"/>
          </w:tcPr>
          <w:p w14:paraId="7452B118">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4"/>
                <w:lang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35B769DB">
            <w:pPr>
              <w:keepNext w:val="0"/>
              <w:keepLines w:val="0"/>
              <w:widowControl w:val="0"/>
              <w:suppressLineNumbers w:val="0"/>
              <w:spacing w:before="0" w:beforeAutospacing="0" w:after="0" w:afterAutospacing="0" w:line="400" w:lineRule="exact"/>
              <w:ind w:left="0" w:leftChars="0" w:right="0" w:rightChars="0"/>
              <w:jc w:val="center"/>
              <w:rPr>
                <w:rFonts w:hint="eastAsia"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广西医科大学第一附属医院</w:t>
            </w:r>
          </w:p>
        </w:tc>
        <w:tc>
          <w:tcPr>
            <w:tcW w:w="1771" w:type="pct"/>
            <w:tcBorders>
              <w:top w:val="single" w:color="auto" w:sz="4" w:space="0"/>
              <w:bottom w:val="single" w:color="auto" w:sz="4" w:space="0"/>
              <w:right w:val="single" w:color="auto" w:sz="4" w:space="0"/>
            </w:tcBorders>
            <w:noWrap w:val="0"/>
            <w:vAlign w:val="center"/>
          </w:tcPr>
          <w:p w14:paraId="0CCF1495">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r w14:paraId="4943F2F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4" w:space="0"/>
              <w:left w:val="single" w:color="auto" w:sz="4" w:space="0"/>
              <w:bottom w:val="single" w:color="auto" w:sz="4" w:space="0"/>
            </w:tcBorders>
            <w:noWrap w:val="0"/>
            <w:vAlign w:val="center"/>
          </w:tcPr>
          <w:p w14:paraId="39A9E6DB">
            <w:pPr>
              <w:keepNext w:val="0"/>
              <w:keepLines w:val="0"/>
              <w:widowControl w:val="0"/>
              <w:suppressLineNumbers w:val="0"/>
              <w:spacing w:before="0" w:beforeAutospacing="0" w:after="0" w:afterAutospacing="0" w:line="400" w:lineRule="exact"/>
              <w:ind w:left="0" w:leftChars="0" w:right="0" w:rightChars="0"/>
              <w:jc w:val="center"/>
              <w:rPr>
                <w:rFonts w:hint="eastAsia"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莫敏</w:t>
            </w:r>
          </w:p>
        </w:tc>
        <w:tc>
          <w:tcPr>
            <w:tcW w:w="902" w:type="pct"/>
            <w:tcBorders>
              <w:top w:val="single" w:color="auto" w:sz="4" w:space="0"/>
              <w:bottom w:val="single" w:color="auto" w:sz="4" w:space="0"/>
            </w:tcBorders>
            <w:noWrap w:val="0"/>
            <w:vAlign w:val="center"/>
          </w:tcPr>
          <w:p w14:paraId="69DC0251">
            <w:pPr>
              <w:keepNext w:val="0"/>
              <w:keepLines w:val="0"/>
              <w:widowControl w:val="0"/>
              <w:suppressLineNumbers w:val="0"/>
              <w:spacing w:before="0" w:beforeAutospacing="0" w:after="0" w:afterAutospacing="0" w:line="400" w:lineRule="exact"/>
              <w:ind w:left="0" w:leftChars="0" w:right="0" w:rightChars="0"/>
              <w:jc w:val="center"/>
              <w:rPr>
                <w:rFonts w:hint="eastAsia"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副护士长</w:t>
            </w:r>
            <w:r>
              <w:rPr>
                <w:rFonts w:hint="default" w:ascii="宋体" w:hAnsi="宋体" w:eastAsia="宋体" w:cs="宋体"/>
                <w:kern w:val="2"/>
                <w:sz w:val="21"/>
                <w:szCs w:val="21"/>
                <w:lang w:val="en-US" w:eastAsia="zh-CN" w:bidi="ar"/>
              </w:rPr>
              <w:t>/</w:t>
            </w:r>
            <w:r>
              <w:rPr>
                <w:rFonts w:hint="eastAsia" w:ascii="宋体" w:hAnsi="宋体" w:eastAsia="宋体" w:cs="宋体"/>
                <w:kern w:val="2"/>
                <w:sz w:val="21"/>
                <w:szCs w:val="21"/>
                <w:lang w:val="en-US" w:eastAsia="zh-CN" w:bidi="ar"/>
              </w:rPr>
              <w:t>副主任护师</w:t>
            </w:r>
          </w:p>
        </w:tc>
        <w:tc>
          <w:tcPr>
            <w:tcW w:w="772" w:type="pct"/>
            <w:tcBorders>
              <w:top w:val="single" w:color="auto" w:sz="4" w:space="0"/>
              <w:bottom w:val="single" w:color="auto" w:sz="4" w:space="0"/>
            </w:tcBorders>
            <w:noWrap w:val="0"/>
            <w:vAlign w:val="center"/>
          </w:tcPr>
          <w:p w14:paraId="6FE339D8">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4"/>
                <w:lang w:bidi="ar"/>
              </w:rPr>
            </w:pPr>
            <w:r>
              <w:rPr>
                <w:rFonts w:hint="eastAsia" w:ascii="仿宋_GB2312" w:hAnsi="仿宋_GB2312" w:eastAsia="仿宋_GB2312" w:cs="仿宋_GB2312"/>
                <w:sz w:val="24"/>
                <w:lang w:val="en-US" w:eastAsia="zh-CN" w:bidi="ar"/>
              </w:rPr>
              <w:t>护理</w:t>
            </w:r>
          </w:p>
        </w:tc>
        <w:tc>
          <w:tcPr>
            <w:tcW w:w="928" w:type="pct"/>
            <w:tcBorders>
              <w:top w:val="single" w:color="auto" w:sz="4" w:space="0"/>
              <w:bottom w:val="single" w:color="auto" w:sz="4" w:space="0"/>
            </w:tcBorders>
            <w:noWrap w:val="0"/>
            <w:vAlign w:val="center"/>
          </w:tcPr>
          <w:p w14:paraId="6EAA33AC">
            <w:pPr>
              <w:keepNext w:val="0"/>
              <w:keepLines w:val="0"/>
              <w:widowControl w:val="0"/>
              <w:suppressLineNumbers w:val="0"/>
              <w:spacing w:before="0" w:beforeAutospacing="0" w:after="0" w:afterAutospacing="0" w:line="400" w:lineRule="exact"/>
              <w:ind w:left="0" w:leftChars="0" w:right="0" w:rightChars="0"/>
              <w:jc w:val="center"/>
              <w:rPr>
                <w:rFonts w:hint="eastAsia"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广西壮族自治区桂东人民医院</w:t>
            </w:r>
          </w:p>
        </w:tc>
        <w:tc>
          <w:tcPr>
            <w:tcW w:w="1771" w:type="pct"/>
            <w:tcBorders>
              <w:top w:val="single" w:color="auto" w:sz="4" w:space="0"/>
              <w:bottom w:val="single" w:color="auto" w:sz="4" w:space="0"/>
              <w:right w:val="single" w:color="auto" w:sz="4" w:space="0"/>
            </w:tcBorders>
            <w:noWrap w:val="0"/>
            <w:vAlign w:val="center"/>
          </w:tcPr>
          <w:p w14:paraId="4445F6EE">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参与标准文本及编制说明编写，组织开展标准征求意见会，</w:t>
            </w:r>
            <w:r>
              <w:rPr>
                <w:rFonts w:hint="default" w:ascii="仿宋_GB2312" w:hAnsi="仿宋_GB2312" w:eastAsia="仿宋_GB2312" w:cs="仿宋_GB2312"/>
                <w:sz w:val="24"/>
                <w:lang w:bidi="ar"/>
              </w:rPr>
              <w:t>协调各单位参与会议</w:t>
            </w:r>
            <w:r>
              <w:rPr>
                <w:rFonts w:hint="eastAsia" w:ascii="仿宋_GB2312" w:hAnsi="仿宋_GB2312" w:eastAsia="仿宋_GB2312" w:cs="仿宋_GB2312"/>
                <w:sz w:val="24"/>
                <w:lang w:bidi="ar"/>
              </w:rPr>
              <w:t>。</w:t>
            </w:r>
          </w:p>
        </w:tc>
      </w:tr>
    </w:tbl>
    <w:p w14:paraId="33BC8E98">
      <w:pPr>
        <w:spacing w:line="520" w:lineRule="exact"/>
        <w:ind w:firstLine="640" w:firstLineChars="200"/>
        <w:rPr>
          <w:rFonts w:hint="eastAsia" w:ascii="黑体" w:eastAsia="黑体" w:cs="仿宋_GB2312"/>
          <w:color w:val="auto"/>
          <w:sz w:val="32"/>
          <w:szCs w:val="32"/>
        </w:rPr>
      </w:pPr>
      <w:r>
        <w:rPr>
          <w:rFonts w:hint="eastAsia" w:ascii="黑体" w:eastAsia="黑体" w:cs="仿宋_GB2312"/>
          <w:color w:val="auto"/>
          <w:sz w:val="32"/>
          <w:szCs w:val="32"/>
        </w:rPr>
        <w:t>二、制定标准的必要性和意义</w:t>
      </w:r>
    </w:p>
    <w:p w14:paraId="1CE21A79">
      <w:pPr>
        <w:spacing w:line="520" w:lineRule="exact"/>
        <w:ind w:firstLine="560" w:firstLineChars="200"/>
        <w:rPr>
          <w:rFonts w:hint="eastAsia" w:ascii="仿宋_GB2312" w:eastAsia="仿宋_GB2312"/>
          <w:color w:val="auto"/>
          <w:sz w:val="28"/>
          <w:szCs w:val="28"/>
        </w:rPr>
      </w:pPr>
      <w:bookmarkStart w:id="1" w:name="OLE_LINK1"/>
      <w:r>
        <w:rPr>
          <w:rFonts w:hint="eastAsia" w:ascii="仿宋_GB2312" w:eastAsia="仿宋_GB2312"/>
          <w:color w:val="auto"/>
          <w:sz w:val="28"/>
          <w:szCs w:val="28"/>
        </w:rPr>
        <w:t>医疗器械相关性压力性损伤</w:t>
      </w:r>
      <w:bookmarkEnd w:id="1"/>
      <w:r>
        <w:rPr>
          <w:rFonts w:hint="eastAsia" w:ascii="仿宋_GB2312" w:eastAsia="仿宋_GB2312"/>
          <w:color w:val="auto"/>
          <w:sz w:val="28"/>
          <w:szCs w:val="28"/>
        </w:rPr>
        <w:t>(medical device</w:t>
      </w:r>
      <w:r>
        <w:rPr>
          <w:rFonts w:hint="eastAsia" w:ascii="仿宋_GB2312" w:eastAsia="仿宋_GB2312"/>
          <w:color w:val="auto"/>
          <w:sz w:val="28"/>
          <w:szCs w:val="28"/>
          <w:lang w:val="en-US" w:eastAsia="zh-CN"/>
        </w:rPr>
        <w:t>-</w:t>
      </w:r>
      <w:r>
        <w:rPr>
          <w:rFonts w:hint="eastAsia" w:ascii="仿宋_GB2312" w:eastAsia="仿宋_GB2312"/>
          <w:color w:val="auto"/>
          <w:sz w:val="28"/>
          <w:szCs w:val="28"/>
        </w:rPr>
        <w:t>related pressure injuries，MDRPI)是由于体外医疗器械产生压力而造成的皮肤／或皮下组织（包括黏膜）的局部损伤，损伤形状与器械形状相似，可分为皮肤设备相关压力性损伤和黏膜压力性损伤（mucosal membrane pressure injury，MMPI）。黏膜压力性损伤（MMPI）主要由医疗器械的持续压力、摩擦力或剪切力引起，在医疗器械压力性损伤中黏膜压力性损伤发生率为38.71%，</w:t>
      </w:r>
      <w:r>
        <w:rPr>
          <w:rFonts w:hint="eastAsia" w:ascii="仿宋_GB2312" w:eastAsia="仿宋_GB2312"/>
          <w:color w:val="auto"/>
          <w:sz w:val="28"/>
          <w:szCs w:val="28"/>
          <w:lang w:eastAsia="zh-CN"/>
        </w:rPr>
        <w:t>其中</w:t>
      </w:r>
      <w:r>
        <w:rPr>
          <w:rFonts w:hint="eastAsia" w:ascii="仿宋_GB2312" w:eastAsia="仿宋_GB2312"/>
          <w:color w:val="auto"/>
          <w:sz w:val="28"/>
          <w:szCs w:val="28"/>
        </w:rPr>
        <w:t>最常见的部位是鼻黏膜。成人重症患者</w:t>
      </w:r>
      <w:r>
        <w:rPr>
          <w:rFonts w:hint="eastAsia" w:ascii="仿宋_GB2312" w:eastAsia="仿宋_GB2312"/>
          <w:color w:val="auto"/>
          <w:sz w:val="28"/>
          <w:szCs w:val="28"/>
          <w:lang w:eastAsia="zh-CN"/>
        </w:rPr>
        <w:t>中，</w:t>
      </w:r>
      <w:r>
        <w:rPr>
          <w:rFonts w:hint="eastAsia" w:ascii="仿宋_GB2312" w:eastAsia="仿宋_GB2312"/>
          <w:color w:val="auto"/>
          <w:sz w:val="28"/>
          <w:szCs w:val="28"/>
          <w:lang w:val="en-US" w:eastAsia="zh-CN"/>
        </w:rPr>
        <w:t>导管相关性</w:t>
      </w:r>
      <w:r>
        <w:rPr>
          <w:rFonts w:hint="eastAsia" w:ascii="仿宋_GB2312" w:eastAsia="仿宋_GB2312"/>
          <w:color w:val="auto"/>
          <w:sz w:val="28"/>
          <w:szCs w:val="28"/>
          <w:lang w:eastAsia="zh-CN"/>
        </w:rPr>
        <w:t>黏膜压力性损伤</w:t>
      </w:r>
      <w:r>
        <w:rPr>
          <w:rFonts w:hint="eastAsia" w:ascii="仿宋_GB2312" w:eastAsia="仿宋_GB2312"/>
          <w:color w:val="auto"/>
          <w:sz w:val="28"/>
          <w:szCs w:val="28"/>
        </w:rPr>
        <w:t>常见于以下三种：鼻胃管/鼻肠管、</w:t>
      </w:r>
      <w:r>
        <w:rPr>
          <w:rFonts w:hint="eastAsia" w:ascii="仿宋_GB2312" w:eastAsia="仿宋_GB2312"/>
          <w:color w:val="auto"/>
          <w:sz w:val="28"/>
          <w:szCs w:val="28"/>
          <w:lang w:val="en-US" w:eastAsia="zh-CN"/>
        </w:rPr>
        <w:t>经口</w:t>
      </w:r>
      <w:r>
        <w:rPr>
          <w:rFonts w:hint="eastAsia" w:ascii="仿宋_GB2312" w:eastAsia="仿宋_GB2312"/>
          <w:color w:val="auto"/>
          <w:sz w:val="28"/>
          <w:szCs w:val="28"/>
        </w:rPr>
        <w:t>气管插管、导尿管</w:t>
      </w:r>
      <w:r>
        <w:rPr>
          <w:rFonts w:hint="eastAsia" w:ascii="仿宋_GB2312" w:eastAsia="仿宋_GB2312"/>
          <w:color w:val="auto"/>
          <w:sz w:val="28"/>
          <w:szCs w:val="28"/>
          <w:lang w:eastAsia="zh-CN"/>
        </w:rPr>
        <w:t>。</w:t>
      </w:r>
    </w:p>
    <w:p w14:paraId="1DE86D81">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鼻胃管类损伤</w:t>
      </w:r>
      <w:r>
        <w:rPr>
          <w:rFonts w:hint="eastAsia" w:ascii="仿宋_GB2312" w:eastAsia="仿宋_GB2312"/>
          <w:color w:val="auto"/>
          <w:sz w:val="28"/>
          <w:szCs w:val="28"/>
          <w:lang w:eastAsia="zh-CN"/>
        </w:rPr>
        <w:t>发病率高，占</w:t>
      </w:r>
      <w:r>
        <w:rPr>
          <w:rFonts w:hint="eastAsia" w:ascii="仿宋_GB2312" w:eastAsia="仿宋_GB2312"/>
          <w:color w:val="auto"/>
          <w:sz w:val="28"/>
          <w:szCs w:val="28"/>
        </w:rPr>
        <w:t>器械相关压力性损伤</w:t>
      </w:r>
      <w:r>
        <w:rPr>
          <w:rFonts w:hint="eastAsia" w:ascii="仿宋_GB2312" w:eastAsia="仿宋_GB2312"/>
          <w:color w:val="auto"/>
          <w:sz w:val="28"/>
          <w:szCs w:val="28"/>
          <w:lang w:eastAsia="zh-CN"/>
        </w:rPr>
        <w:t>的</w:t>
      </w:r>
      <w:r>
        <w:rPr>
          <w:rFonts w:hint="eastAsia" w:ascii="仿宋_GB2312" w:eastAsia="仿宋_GB2312"/>
          <w:color w:val="auto"/>
          <w:sz w:val="28"/>
          <w:szCs w:val="28"/>
        </w:rPr>
        <w:t>51.84%</w:t>
      </w:r>
      <w:r>
        <w:rPr>
          <w:rFonts w:hint="eastAsia" w:ascii="仿宋_GB2312" w:eastAsia="仿宋_GB2312"/>
          <w:color w:val="auto"/>
          <w:sz w:val="28"/>
          <w:szCs w:val="28"/>
          <w:lang w:eastAsia="zh-CN"/>
        </w:rPr>
        <w:t>。</w:t>
      </w:r>
      <w:r>
        <w:rPr>
          <w:rFonts w:hint="eastAsia" w:ascii="仿宋_GB2312" w:eastAsia="仿宋_GB2312"/>
          <w:color w:val="auto"/>
          <w:sz w:val="28"/>
          <w:szCs w:val="28"/>
        </w:rPr>
        <w:t>鼻胃管/鼻肠管长期压迫鼻黏膜，可能导致鼻翼压痕、糜烂，甚至深部组织损伤，新生儿或长期留置患者风险更高</w:t>
      </w:r>
      <w:r>
        <w:rPr>
          <w:rFonts w:hint="eastAsia" w:ascii="仿宋_GB2312" w:eastAsia="仿宋_GB2312"/>
          <w:color w:val="auto"/>
          <w:sz w:val="28"/>
          <w:szCs w:val="28"/>
          <w:lang w:eastAsia="zh-CN"/>
        </w:rPr>
        <w:t>；同时</w:t>
      </w:r>
      <w:r>
        <w:rPr>
          <w:rFonts w:hint="eastAsia" w:ascii="仿宋_GB2312" w:eastAsia="仿宋_GB2312"/>
          <w:color w:val="auto"/>
          <w:sz w:val="28"/>
          <w:szCs w:val="28"/>
          <w:lang w:val="en-US" w:eastAsia="zh-CN"/>
        </w:rPr>
        <w:t>ICU鼻胃管插管时间长，发生率会更高。</w:t>
      </w:r>
      <w:r>
        <w:rPr>
          <w:rFonts w:hint="eastAsia" w:ascii="仿宋_GB2312" w:eastAsia="仿宋_GB2312"/>
          <w:color w:val="auto"/>
          <w:sz w:val="28"/>
          <w:szCs w:val="28"/>
        </w:rPr>
        <w:t>国外一项针对ICU鼻胃管插管超过48h患者进行的研究表明</w:t>
      </w:r>
      <w:r>
        <w:rPr>
          <w:rFonts w:hint="eastAsia" w:ascii="仿宋_GB2312" w:eastAsia="仿宋_GB2312"/>
          <w:color w:val="auto"/>
          <w:sz w:val="28"/>
          <w:szCs w:val="28"/>
          <w:lang w:eastAsia="zh-CN"/>
        </w:rPr>
        <w:t>，</w:t>
      </w:r>
      <w:r>
        <w:rPr>
          <w:rFonts w:hint="eastAsia" w:ascii="仿宋_GB2312" w:eastAsia="仿宋_GB2312"/>
          <w:color w:val="auto"/>
          <w:sz w:val="28"/>
          <w:szCs w:val="28"/>
        </w:rPr>
        <w:t>经鼻内窥镜检查发现</w:t>
      </w:r>
      <w:r>
        <w:rPr>
          <w:rFonts w:hint="eastAsia" w:ascii="仿宋_GB2312" w:eastAsia="仿宋_GB2312"/>
          <w:color w:val="auto"/>
          <w:sz w:val="28"/>
          <w:szCs w:val="28"/>
          <w:lang w:val="en-US" w:eastAsia="zh-CN"/>
        </w:rPr>
        <w:t>M</w:t>
      </w:r>
      <w:r>
        <w:rPr>
          <w:rFonts w:hint="eastAsia" w:ascii="仿宋_GB2312" w:eastAsia="仿宋_GB2312"/>
          <w:color w:val="auto"/>
          <w:sz w:val="28"/>
          <w:szCs w:val="28"/>
        </w:rPr>
        <w:t>MPI发生率为88.2%，MMPI在鼻内出现的平均时间为（11.3±6.17）d，</w:t>
      </w:r>
      <w:r>
        <w:rPr>
          <w:rFonts w:hint="eastAsia" w:ascii="仿宋_GB2312" w:eastAsia="仿宋_GB2312"/>
          <w:color w:val="auto"/>
          <w:sz w:val="28"/>
          <w:szCs w:val="28"/>
          <w:lang w:eastAsia="zh-CN"/>
        </w:rPr>
        <w:t>其中</w:t>
      </w:r>
      <w:r>
        <w:rPr>
          <w:rFonts w:hint="eastAsia" w:ascii="仿宋_GB2312" w:eastAsia="仿宋_GB2312"/>
          <w:color w:val="auto"/>
          <w:sz w:val="28"/>
          <w:szCs w:val="28"/>
          <w:lang w:val="en-US" w:eastAsia="zh-CN"/>
        </w:rPr>
        <w:t>鼻</w:t>
      </w:r>
      <w:r>
        <w:rPr>
          <w:rFonts w:hint="eastAsia" w:ascii="仿宋_GB2312" w:eastAsia="仿宋_GB2312"/>
          <w:color w:val="auto"/>
          <w:sz w:val="28"/>
          <w:szCs w:val="28"/>
        </w:rPr>
        <w:t>小柱是最常受累和受影响最严重的解剖部位。</w:t>
      </w:r>
    </w:p>
    <w:p w14:paraId="20CF5466">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经口气管导管损伤</w:t>
      </w:r>
      <w:r>
        <w:rPr>
          <w:rFonts w:hint="eastAsia" w:ascii="仿宋_GB2312" w:eastAsia="仿宋_GB2312"/>
          <w:color w:val="auto"/>
          <w:sz w:val="28"/>
          <w:szCs w:val="28"/>
          <w:lang w:eastAsia="zh-CN"/>
        </w:rPr>
        <w:t>发病率其次，占</w:t>
      </w:r>
      <w:r>
        <w:rPr>
          <w:rFonts w:hint="eastAsia" w:ascii="仿宋_GB2312" w:eastAsia="仿宋_GB2312"/>
          <w:color w:val="auto"/>
          <w:sz w:val="28"/>
          <w:szCs w:val="28"/>
        </w:rPr>
        <w:t>器械相关压力性损伤</w:t>
      </w:r>
      <w:r>
        <w:rPr>
          <w:rFonts w:hint="eastAsia" w:ascii="仿宋_GB2312" w:eastAsia="仿宋_GB2312"/>
          <w:color w:val="auto"/>
          <w:sz w:val="28"/>
          <w:szCs w:val="28"/>
          <w:lang w:eastAsia="zh-CN"/>
        </w:rPr>
        <w:t>的</w:t>
      </w:r>
      <w:r>
        <w:rPr>
          <w:rFonts w:hint="eastAsia" w:ascii="仿宋_GB2312" w:eastAsia="仿宋_GB2312"/>
          <w:color w:val="auto"/>
          <w:sz w:val="28"/>
          <w:szCs w:val="28"/>
        </w:rPr>
        <w:t>34.61%</w:t>
      </w:r>
      <w:r>
        <w:rPr>
          <w:rFonts w:hint="eastAsia" w:ascii="仿宋_GB2312" w:eastAsia="仿宋_GB2312"/>
          <w:color w:val="auto"/>
          <w:sz w:val="28"/>
          <w:szCs w:val="28"/>
          <w:lang w:eastAsia="zh-CN"/>
        </w:rPr>
        <w:t>。</w:t>
      </w:r>
      <w:r>
        <w:rPr>
          <w:rFonts w:hint="eastAsia" w:ascii="仿宋_GB2312" w:eastAsia="仿宋_GB2312"/>
          <w:color w:val="auto"/>
          <w:sz w:val="28"/>
          <w:szCs w:val="28"/>
        </w:rPr>
        <w:t>经口</w:t>
      </w:r>
      <w:r>
        <w:rPr>
          <w:rFonts w:hint="eastAsia" w:ascii="仿宋_GB2312" w:eastAsia="仿宋_GB2312"/>
          <w:color w:val="auto"/>
          <w:sz w:val="28"/>
          <w:szCs w:val="28"/>
          <w:lang w:val="en-US" w:eastAsia="zh-CN"/>
        </w:rPr>
        <w:t>/</w:t>
      </w:r>
      <w:r>
        <w:rPr>
          <w:rFonts w:hint="eastAsia" w:ascii="仿宋_GB2312" w:eastAsia="仿宋_GB2312"/>
          <w:color w:val="auto"/>
          <w:sz w:val="28"/>
          <w:szCs w:val="28"/>
        </w:rPr>
        <w:t>鼻气管插管会压迫口腔、鼻腔黏膜，尤其是长时间固定后易导致黏膜血栓、溃疡</w:t>
      </w:r>
      <w:r>
        <w:rPr>
          <w:rFonts w:hint="eastAsia" w:ascii="仿宋_GB2312" w:eastAsia="仿宋_GB2312"/>
          <w:color w:val="auto"/>
          <w:sz w:val="28"/>
          <w:szCs w:val="28"/>
          <w:lang w:eastAsia="zh-CN"/>
        </w:rPr>
        <w:t>；同时</w:t>
      </w:r>
      <w:r>
        <w:rPr>
          <w:rFonts w:hint="eastAsia" w:ascii="仿宋_GB2312" w:eastAsia="仿宋_GB2312"/>
          <w:color w:val="auto"/>
          <w:sz w:val="28"/>
          <w:szCs w:val="28"/>
        </w:rPr>
        <w:t>导管材质过硬或固定装置（如牙垫、胶带）过紧会加重损伤</w:t>
      </w:r>
      <w:r>
        <w:rPr>
          <w:rFonts w:hint="eastAsia" w:ascii="仿宋_GB2312" w:eastAsia="仿宋_GB2312"/>
          <w:color w:val="auto"/>
          <w:sz w:val="28"/>
          <w:szCs w:val="28"/>
          <w:lang w:eastAsia="zh-CN"/>
        </w:rPr>
        <w:t>；根据国外相关研究数据</w:t>
      </w:r>
      <w:r>
        <w:rPr>
          <w:rFonts w:hint="eastAsia" w:ascii="仿宋_GB2312" w:eastAsia="仿宋_GB2312"/>
          <w:color w:val="auto"/>
          <w:sz w:val="28"/>
          <w:szCs w:val="28"/>
        </w:rPr>
        <w:t>，使用气管插管的ICU患者，其下、上和合并部位口腔黏膜压力性损伤的平均发生率分别为36.3％、11.5％和7.1％。</w:t>
      </w:r>
    </w:p>
    <w:p w14:paraId="210D43EA">
      <w:pPr>
        <w:spacing w:line="520" w:lineRule="exact"/>
        <w:ind w:firstLine="560" w:firstLineChars="200"/>
        <w:rPr>
          <w:rFonts w:hint="eastAsia" w:ascii="仿宋_GB2312" w:eastAsia="仿宋_GB2312"/>
          <w:color w:val="auto"/>
          <w:sz w:val="28"/>
          <w:szCs w:val="28"/>
          <w:lang w:val="en-US" w:eastAsia="zh-CN"/>
        </w:rPr>
      </w:pPr>
      <w:r>
        <w:rPr>
          <w:rFonts w:hint="eastAsia" w:ascii="仿宋_GB2312" w:eastAsia="仿宋_GB2312"/>
          <w:color w:val="auto"/>
          <w:sz w:val="28"/>
          <w:szCs w:val="28"/>
        </w:rPr>
        <w:t>导尿管是ICU黏膜损伤的第三大常见原因</w:t>
      </w:r>
      <w:r>
        <w:rPr>
          <w:rFonts w:hint="eastAsia" w:ascii="仿宋_GB2312" w:eastAsia="仿宋_GB2312"/>
          <w:color w:val="auto"/>
          <w:sz w:val="28"/>
          <w:szCs w:val="28"/>
          <w:lang w:eastAsia="zh-CN"/>
        </w:rPr>
        <w:t>，相关研究表明</w:t>
      </w:r>
      <w:r>
        <w:rPr>
          <w:rFonts w:hint="eastAsia" w:ascii="仿宋_GB2312" w:eastAsia="仿宋_GB2312"/>
          <w:color w:val="auto"/>
          <w:sz w:val="28"/>
          <w:szCs w:val="28"/>
        </w:rPr>
        <w:t>导</w:t>
      </w:r>
      <w:bookmarkStart w:id="2" w:name="OLE_LINK2"/>
      <w:bookmarkStart w:id="3" w:name="OLE_LINK3"/>
      <w:r>
        <w:rPr>
          <w:rFonts w:hint="eastAsia" w:ascii="仿宋_GB2312" w:eastAsia="仿宋_GB2312"/>
          <w:color w:val="auto"/>
          <w:sz w:val="28"/>
          <w:szCs w:val="28"/>
        </w:rPr>
        <w:t>尿管相关损伤</w:t>
      </w:r>
      <w:bookmarkEnd w:id="2"/>
      <w:bookmarkEnd w:id="3"/>
      <w:r>
        <w:rPr>
          <w:rFonts w:hint="eastAsia" w:ascii="仿宋_GB2312" w:eastAsia="仿宋_GB2312"/>
          <w:color w:val="auto"/>
          <w:sz w:val="28"/>
          <w:szCs w:val="28"/>
        </w:rPr>
        <w:t>占</w:t>
      </w:r>
      <w:r>
        <w:rPr>
          <w:rFonts w:hint="eastAsia" w:ascii="仿宋_GB2312" w:eastAsia="仿宋_GB2312"/>
          <w:color w:val="auto"/>
          <w:sz w:val="28"/>
          <w:szCs w:val="28"/>
          <w:lang w:eastAsia="zh-CN"/>
        </w:rPr>
        <w:t>占</w:t>
      </w:r>
      <w:r>
        <w:rPr>
          <w:rFonts w:hint="eastAsia" w:ascii="仿宋_GB2312" w:eastAsia="仿宋_GB2312"/>
          <w:color w:val="auto"/>
          <w:sz w:val="28"/>
          <w:szCs w:val="28"/>
        </w:rPr>
        <w:t>器械相关压力性损伤</w:t>
      </w:r>
      <w:r>
        <w:rPr>
          <w:rFonts w:hint="eastAsia" w:ascii="仿宋_GB2312" w:eastAsia="仿宋_GB2312"/>
          <w:color w:val="auto"/>
          <w:sz w:val="28"/>
          <w:szCs w:val="28"/>
          <w:lang w:eastAsia="zh-CN"/>
        </w:rPr>
        <w:t>的</w:t>
      </w:r>
      <w:r>
        <w:rPr>
          <w:rFonts w:hint="eastAsia" w:ascii="仿宋_GB2312" w:eastAsia="仿宋_GB2312"/>
          <w:color w:val="auto"/>
          <w:sz w:val="28"/>
          <w:szCs w:val="28"/>
        </w:rPr>
        <w:t>17.1%（仅次于鼻胃管和气管插管）；尿道黏膜因导尿管摩擦或长时间压迫易发生损伤，尤其是老年或营养不良患者。在普通病房患者中，导尿管相关黏膜损伤占51.4%</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在</w:t>
      </w:r>
      <w:r>
        <w:rPr>
          <w:rFonts w:hint="eastAsia" w:ascii="仿宋_GB2312" w:eastAsia="仿宋_GB2312"/>
          <w:color w:val="auto"/>
          <w:sz w:val="28"/>
          <w:szCs w:val="28"/>
          <w:lang w:eastAsia="zh-CN"/>
        </w:rPr>
        <w:t>危重患者（ICU）导尿管相关黏膜损伤占比：84.8%</w:t>
      </w:r>
      <w:r>
        <w:rPr>
          <w:rFonts w:hint="eastAsia" w:ascii="仿宋_GB2312" w:eastAsia="仿宋_GB2312"/>
          <w:color w:val="auto"/>
          <w:sz w:val="28"/>
          <w:szCs w:val="28"/>
        </w:rPr>
        <w:t>。</w:t>
      </w:r>
      <w:r>
        <w:rPr>
          <w:rFonts w:hint="eastAsia" w:ascii="仿宋_GB2312" w:eastAsia="仿宋_GB2312"/>
          <w:color w:val="auto"/>
          <w:sz w:val="28"/>
          <w:szCs w:val="28"/>
          <w:lang w:val="en-US" w:eastAsia="zh-CN"/>
        </w:rPr>
        <w:t>尿管相关尿路感染(catheter-associated urinary tract infection,CAUTI)，主要是指患者留置导尿管后，或者拔除导尿管48h内发生的泌尿系感染，在美国，</w:t>
      </w:r>
      <w:r>
        <w:rPr>
          <w:rFonts w:hint="eastAsia" w:ascii="仿宋_GB2312" w:eastAsia="仿宋_GB2312"/>
          <w:color w:val="auto"/>
          <w:sz w:val="28"/>
          <w:szCs w:val="28"/>
        </w:rPr>
        <w:t>每年CAUTI占医院感染的35%～45%</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在我国，</w:t>
      </w:r>
      <w:r>
        <w:rPr>
          <w:rFonts w:hint="eastAsia" w:ascii="仿宋_GB2312" w:eastAsia="仿宋_GB2312"/>
          <w:color w:val="auto"/>
          <w:sz w:val="28"/>
          <w:szCs w:val="28"/>
          <w:lang w:eastAsia="zh-CN"/>
        </w:rPr>
        <w:t>CAUTI占医院感染的20.8%～31.7%，仅次于呼吸道感染；</w:t>
      </w:r>
      <w:r>
        <w:rPr>
          <w:rFonts w:hint="eastAsia" w:ascii="仿宋_GB2312" w:eastAsia="仿宋_GB2312"/>
          <w:color w:val="auto"/>
          <w:sz w:val="28"/>
          <w:szCs w:val="28"/>
          <w:lang w:val="en-US" w:eastAsia="zh-CN"/>
        </w:rPr>
        <w:t>发生CAUTI后，患者的住院时间平均延长6d，额外费用增加1000~4500美元，成人ICU 里CAUTI 的发生率为0.2‰-4.8‰，长期留置导管及易发生尿路感染，发生率高达2‰～5‰。</w:t>
      </w:r>
    </w:p>
    <w:p w14:paraId="6773D9E3">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ICU是压力性损伤高发的护理单元。ICU患者常有镇静、意识改变、长时间卧床、机械通气、使用特殊药物以及血流动力学不稳定等特点，是压力性损伤的高危人群。</w:t>
      </w:r>
      <w:r>
        <w:rPr>
          <w:rFonts w:hint="eastAsia" w:ascii="仿宋_GB2312" w:eastAsia="仿宋_GB2312"/>
          <w:color w:val="auto"/>
          <w:sz w:val="28"/>
          <w:szCs w:val="28"/>
          <w:lang w:val="en-US" w:eastAsia="zh-CN"/>
        </w:rPr>
        <w:t>相关研究表明，在ICU压力性损伤患者中黏膜压力性损伤占22%，而非ICU压力性损伤患者中黏膜压力性损伤只占2%。重症疾病患者治疗过程中使用医疗器械品种多而频繁，压力性损伤对于重症患者来说是一个持续存在的医源</w:t>
      </w:r>
      <w:r>
        <w:rPr>
          <w:rFonts w:hint="eastAsia" w:ascii="仿宋_GB2312" w:eastAsia="仿宋_GB2312"/>
          <w:color w:val="auto"/>
          <w:sz w:val="28"/>
          <w:szCs w:val="28"/>
        </w:rPr>
        <w:t>性并发症，可导致疼痛、功能丧失、感染等，增加了住院天数与医疗费用。国内外对医疗器械相关压力性损伤的关注度日益增加，但对于ICU患者MMPI的关注尚不足。</w:t>
      </w:r>
    </w:p>
    <w:p w14:paraId="61460013">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val="en-US" w:eastAsia="zh-CN"/>
        </w:rPr>
        <w:t>2017年，我院针对导尿管外固定采用大腿外侧、腹股沟外侧高举平台固定法，为明确我科危重患者导我科CAUTI发生率为 7.94‰，创新固定法，采用导尿管采用下腹部“双E”型固定法，改良后CAUTI发生率由此前的7.94‰降至3.77‰，2019年1.89‰，2020年5.27‰，2021年0.31‰，显著降低了导管相关尿路感染发生率。2019年，我院针对鼻胃管/鼻肠管固定，采用“人”字型与“双E”型相结合的固定方法；对于经口气管插管固定，采用胶布交叉固定法；为明确我院危重患者医疗器械相关性压力性损伤（MDRPI）的发生率，我院伤口造口失禁小组开展专项质量改善项目活动。在3月18日至3月31日期间，专案小组成员对7个重症监护室（ICU）共计177例患者进行查检，结果显示MDRPI发生例数为26例，导管相关黏膜发生率为14.69%。其中，鼻胃管类损伤10例，经口气管插管损伤9例，面罩类损伤5例，导尿管损伤2例。经统计分析，医疗器械压力损伤类型占比情况为：鼻胃管类损伤占38.46%，经口气管插管损伤占34.61%，面罩类占19.23%，导尿管占7.69%。为提升危重患者皮肤护理质量，改善患者健康状况，本专案由此立项，组织小组成员开展护理专案，项目名称为《降低ICU患者医疗器械相关性压力性损伤之发生率》。在护理质量改善项目中，我院对成人重症患者的鼻胃管/鼻肠管、经口气管插管、导尿管的固定方法进行了创新：针对鼻胃管/鼻肠管，采用“人”字双螺旋横向固定法+“双E”型固定法；对于经口气管插管，运用双“Y”字固定法；导尿管则采用下腹部“双E”型固定法，以此预防成人重症患者导管相关黏膜压力性损伤，降低导管相关尿路感染发生率。同时，制作了预防导管相关黏膜压力性损伤指引图谱及视频，以供临床护士参考使用。2019年7月，我院对院内7个ICU的共计162例患者进行查检，发现发生导管相关黏膜压力性损伤的患者有5例，发生率为5/162，即3.08%。黏膜压力性损伤发生率由此前的14.69%降至3.08%，显著降低了黏膜压力性损伤的发生率。</w:t>
      </w:r>
    </w:p>
    <w:p w14:paraId="56C9AA22">
      <w:pPr>
        <w:spacing w:line="520" w:lineRule="exact"/>
        <w:ind w:firstLine="560" w:firstLineChars="200"/>
        <w:rPr>
          <w:rFonts w:hint="eastAsia" w:ascii="仿宋_GB2312" w:eastAsia="仿宋_GB2312"/>
          <w:color w:val="auto"/>
          <w:sz w:val="28"/>
          <w:szCs w:val="28"/>
          <w:lang w:val="en-US" w:eastAsia="zh-CN"/>
        </w:rPr>
      </w:pPr>
      <w:r>
        <w:rPr>
          <w:rFonts w:hint="eastAsia" w:ascii="仿宋_GB2312" w:eastAsia="仿宋_GB2312"/>
          <w:color w:val="auto"/>
          <w:sz w:val="28"/>
          <w:szCs w:val="28"/>
        </w:rPr>
        <w:t>鼻胃管/鼻肠管相较于改良前</w:t>
      </w:r>
      <w:r>
        <w:rPr>
          <w:rFonts w:hint="eastAsia" w:ascii="仿宋_GB2312" w:eastAsia="仿宋_GB2312"/>
          <w:color w:val="auto"/>
          <w:sz w:val="28"/>
          <w:szCs w:val="28"/>
          <w:lang w:val="en-US" w:eastAsia="zh-CN"/>
        </w:rPr>
        <w:t xml:space="preserve">的“人”字型+“双E”型固定法，原“人”字型胶带将胃管缠绕并固定于鼻翼或鼻梁部位，极易对鼻腔黏膜产生压迫，进而造成局部血液循环受阻，使患者产生不适。同时，该固定方式可能会遮挡鼻腔黏膜，使医护人员观察受限，难以直接观察鼻腔内部状况，从而可能延误问题的发现与处理，易导致黏膜压力性损伤，尤其是重症患者，由于其无法自主活动，皮肤耐受性相对更差。改良后的“人”字双螺旋横向固定法+“双E”型固定法操作流程简便，固定牢固，减少皮肤压迫、便于观察，并提升舒适度，外观较为美观。患者黏膜压力性损伤发生率相较于改良前降低了 38.46%，且未出现黏膜压力性损伤的情况。 </w:t>
      </w:r>
    </w:p>
    <w:p w14:paraId="6974E0EA">
      <w:pPr>
        <w:spacing w:line="520" w:lineRule="exact"/>
        <w:ind w:firstLine="560" w:firstLineChars="20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经口</w:t>
      </w:r>
      <w:r>
        <w:rPr>
          <w:rFonts w:hint="eastAsia" w:ascii="仿宋_GB2312" w:eastAsia="仿宋_GB2312"/>
          <w:color w:val="auto"/>
          <w:sz w:val="28"/>
          <w:szCs w:val="28"/>
        </w:rPr>
        <w:t>气管插管</w:t>
      </w:r>
      <w:r>
        <w:rPr>
          <w:rFonts w:hint="eastAsia" w:ascii="仿宋_GB2312" w:eastAsia="仿宋_GB2312"/>
          <w:color w:val="auto"/>
          <w:sz w:val="28"/>
          <w:szCs w:val="28"/>
          <w:lang w:val="en-US" w:eastAsia="zh-CN"/>
        </w:rPr>
        <w:t>相较于胶布交叉固定法，胶布交叉固定时若缠绕过紧，胶布紧贴口角皮肤，导致口角皮肤及口唇黏膜浸渍、糜烂，增加患者痛苦。患者头部转动或咳嗽时易导致导管移位。改良后的</w:t>
      </w:r>
      <w:r>
        <w:rPr>
          <w:rFonts w:hint="eastAsia" w:ascii="仿宋_GB2312" w:eastAsia="仿宋_GB2312"/>
          <w:color w:val="auto"/>
          <w:sz w:val="28"/>
          <w:szCs w:val="28"/>
        </w:rPr>
        <w:t>双“Y”字固定法</w:t>
      </w:r>
      <w:r>
        <w:rPr>
          <w:rFonts w:hint="eastAsia" w:ascii="仿宋_GB2312" w:eastAsia="仿宋_GB2312"/>
          <w:color w:val="auto"/>
          <w:sz w:val="28"/>
          <w:szCs w:val="28"/>
          <w:lang w:val="en-US" w:eastAsia="zh-CN"/>
        </w:rPr>
        <w:t xml:space="preserve">能够充分暴露口唇，防止其受到压迫，达成了固定稳固、无压迫感、便于观察、美观舒适且操作简便的效果。患者黏膜压力性损伤的发生率为1.64%，相较于未改良之前，发生率降低了32.97%。 </w:t>
      </w:r>
    </w:p>
    <w:p w14:paraId="4906906A">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导尿管相较于改良前的导尿管大腿外侧</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腹股沟外侧高举平台</w:t>
      </w:r>
      <w:r>
        <w:rPr>
          <w:rFonts w:hint="eastAsia" w:ascii="仿宋_GB2312" w:eastAsia="仿宋_GB2312"/>
          <w:color w:val="auto"/>
          <w:sz w:val="28"/>
          <w:szCs w:val="28"/>
        </w:rPr>
        <w:t>固定法</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固定部位在</w:t>
      </w:r>
      <w:r>
        <w:rPr>
          <w:rFonts w:hint="eastAsia" w:ascii="仿宋_GB2312" w:eastAsia="仿宋_GB2312"/>
          <w:color w:val="auto"/>
          <w:sz w:val="28"/>
          <w:szCs w:val="28"/>
        </w:rPr>
        <w:t>大腿外侧</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腹股沟外侧</w:t>
      </w:r>
      <w:r>
        <w:rPr>
          <w:rFonts w:hint="eastAsia" w:ascii="仿宋_GB2312" w:eastAsia="仿宋_GB2312"/>
          <w:color w:val="auto"/>
          <w:sz w:val="28"/>
          <w:szCs w:val="28"/>
          <w:lang w:eastAsia="zh-CN"/>
        </w:rPr>
        <w:t>，</w:t>
      </w:r>
      <w:r>
        <w:rPr>
          <w:rFonts w:hint="eastAsia" w:ascii="仿宋_GB2312" w:eastAsia="仿宋_GB2312"/>
          <w:color w:val="auto"/>
          <w:sz w:val="28"/>
          <w:szCs w:val="28"/>
        </w:rPr>
        <w:t>患者翻身</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活动</w:t>
      </w:r>
      <w:r>
        <w:rPr>
          <w:rFonts w:hint="eastAsia" w:ascii="仿宋_GB2312" w:eastAsia="仿宋_GB2312"/>
          <w:color w:val="auto"/>
          <w:sz w:val="28"/>
          <w:szCs w:val="28"/>
        </w:rPr>
        <w:t>时，</w:t>
      </w:r>
      <w:r>
        <w:rPr>
          <w:rFonts w:hint="eastAsia" w:ascii="仿宋_GB2312" w:eastAsia="仿宋_GB2312"/>
          <w:color w:val="auto"/>
          <w:sz w:val="28"/>
          <w:szCs w:val="28"/>
          <w:lang w:val="en-US" w:eastAsia="zh-CN"/>
        </w:rPr>
        <w:t>导尿管</w:t>
      </w:r>
      <w:r>
        <w:rPr>
          <w:rFonts w:hint="eastAsia" w:ascii="仿宋_GB2312" w:eastAsia="仿宋_GB2312"/>
          <w:color w:val="auto"/>
          <w:sz w:val="28"/>
          <w:szCs w:val="28"/>
        </w:rPr>
        <w:t>易受牵拉，可能导致尿道内导管末端对尿道口形成持续压迫，尿道黏膜受压缺血，增加</w:t>
      </w:r>
      <w:r>
        <w:rPr>
          <w:rFonts w:hint="eastAsia" w:ascii="仿宋_GB2312" w:eastAsia="仿宋_GB2312"/>
          <w:color w:val="auto"/>
          <w:sz w:val="28"/>
          <w:szCs w:val="28"/>
          <w:lang w:val="en-US" w:eastAsia="zh-CN"/>
        </w:rPr>
        <w:t>黏膜压力性损伤</w:t>
      </w:r>
      <w:r>
        <w:rPr>
          <w:rFonts w:hint="eastAsia" w:ascii="仿宋_GB2312" w:eastAsia="仿宋_GB2312"/>
          <w:color w:val="auto"/>
          <w:sz w:val="28"/>
          <w:szCs w:val="28"/>
        </w:rPr>
        <w:t>风险</w:t>
      </w:r>
      <w:r>
        <w:rPr>
          <w:rFonts w:hint="eastAsia" w:ascii="仿宋_GB2312" w:eastAsia="仿宋_GB2312"/>
          <w:color w:val="auto"/>
          <w:sz w:val="28"/>
          <w:szCs w:val="28"/>
          <w:lang w:eastAsia="zh-CN"/>
        </w:rPr>
        <w:t>。</w:t>
      </w:r>
      <w:r>
        <w:rPr>
          <w:rFonts w:hint="eastAsia" w:ascii="仿宋_GB2312" w:eastAsia="仿宋_GB2312"/>
          <w:color w:val="auto"/>
          <w:sz w:val="28"/>
          <w:szCs w:val="28"/>
        </w:rPr>
        <w:t>改良后</w:t>
      </w:r>
      <w:r>
        <w:rPr>
          <w:rFonts w:hint="eastAsia" w:ascii="仿宋_GB2312" w:eastAsia="仿宋_GB2312"/>
          <w:color w:val="auto"/>
          <w:sz w:val="28"/>
          <w:szCs w:val="28"/>
          <w:lang w:eastAsia="zh-CN"/>
        </w:rPr>
        <w:t>的</w:t>
      </w:r>
      <w:r>
        <w:rPr>
          <w:rFonts w:hint="eastAsia" w:ascii="仿宋_GB2312" w:eastAsia="仿宋_GB2312"/>
          <w:color w:val="auto"/>
          <w:sz w:val="28"/>
          <w:szCs w:val="28"/>
          <w:lang w:val="en-US" w:eastAsia="zh-CN"/>
        </w:rPr>
        <w:t>下腹部“双E”型固定法</w:t>
      </w:r>
      <w:r>
        <w:rPr>
          <w:rFonts w:hint="eastAsia" w:ascii="仿宋_GB2312" w:eastAsia="仿宋_GB2312"/>
          <w:color w:val="auto"/>
          <w:sz w:val="28"/>
          <w:szCs w:val="28"/>
          <w:lang w:eastAsia="zh-CN"/>
        </w:rPr>
        <w:t>，其核心价值在于在确保管路安全的同时，最大化患者的舒适度与安全性，</w:t>
      </w:r>
      <w:r>
        <w:rPr>
          <w:rFonts w:hint="eastAsia" w:ascii="仿宋_GB2312" w:eastAsia="仿宋_GB2312"/>
          <w:color w:val="auto"/>
          <w:sz w:val="28"/>
          <w:szCs w:val="28"/>
          <w:lang w:val="en-US" w:eastAsia="zh-CN"/>
        </w:rPr>
        <w:t>使导管</w:t>
      </w:r>
      <w:r>
        <w:rPr>
          <w:rFonts w:hint="eastAsia" w:ascii="仿宋_GB2312" w:eastAsia="仿宋_GB2312"/>
          <w:color w:val="auto"/>
          <w:sz w:val="28"/>
          <w:szCs w:val="28"/>
        </w:rPr>
        <w:t>更牢固、无受压、无牵拉；美观、舒适、操作简单，患者</w:t>
      </w:r>
      <w:r>
        <w:rPr>
          <w:rFonts w:hint="eastAsia" w:ascii="仿宋_GB2312" w:eastAsia="仿宋_GB2312"/>
          <w:color w:val="auto"/>
          <w:sz w:val="28"/>
          <w:szCs w:val="28"/>
          <w:lang w:val="en-US" w:eastAsia="zh-CN"/>
        </w:rPr>
        <w:t>未发生</w:t>
      </w:r>
      <w:r>
        <w:rPr>
          <w:rFonts w:hint="eastAsia" w:ascii="仿宋_GB2312" w:eastAsia="仿宋_GB2312"/>
          <w:color w:val="auto"/>
          <w:sz w:val="28"/>
          <w:szCs w:val="28"/>
        </w:rPr>
        <w:t>黏膜压力性损伤，相对于未改良前发生率减少7.69%。</w:t>
      </w:r>
    </w:p>
    <w:p w14:paraId="17BB41A5">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改良后的固定方法具有普遍的适用性</w:t>
      </w:r>
      <w:r>
        <w:rPr>
          <w:rFonts w:hint="eastAsia" w:ascii="仿宋_GB2312" w:eastAsia="仿宋_GB2312"/>
          <w:color w:val="auto"/>
          <w:sz w:val="28"/>
          <w:szCs w:val="28"/>
          <w:lang w:val="en-US" w:eastAsia="zh-CN"/>
        </w:rPr>
        <w:t>。</w:t>
      </w:r>
      <w:r>
        <w:rPr>
          <w:rFonts w:hint="eastAsia" w:ascii="仿宋_GB2312" w:eastAsia="仿宋_GB2312"/>
          <w:color w:val="auto"/>
          <w:sz w:val="28"/>
          <w:szCs w:val="28"/>
          <w:lang w:eastAsia="zh-CN"/>
        </w:rPr>
        <w:t>本文件</w:t>
      </w:r>
      <w:r>
        <w:rPr>
          <w:rFonts w:hint="eastAsia" w:ascii="仿宋_GB2312" w:eastAsia="仿宋_GB2312"/>
          <w:color w:val="auto"/>
          <w:sz w:val="28"/>
          <w:szCs w:val="28"/>
          <w:lang w:val="en-US" w:eastAsia="zh-CN"/>
        </w:rPr>
        <w:t>适用于因疾病或治疗需要留置导管（如</w:t>
      </w:r>
      <w:r>
        <w:rPr>
          <w:rFonts w:hint="eastAsia" w:ascii="仿宋_GB2312" w:eastAsia="仿宋_GB2312"/>
          <w:color w:val="auto"/>
          <w:sz w:val="28"/>
          <w:szCs w:val="28"/>
          <w:lang w:eastAsia="zh-CN"/>
        </w:rPr>
        <w:t>鼻胃管/鼻肠管</w:t>
      </w:r>
      <w:r>
        <w:rPr>
          <w:rFonts w:hint="eastAsia" w:ascii="仿宋_GB2312" w:eastAsia="仿宋_GB2312"/>
          <w:color w:val="auto"/>
          <w:sz w:val="28"/>
          <w:szCs w:val="28"/>
          <w:lang w:val="en-US" w:eastAsia="zh-CN"/>
        </w:rPr>
        <w:t>、经口气管插管、导尿管）的成年患者，重点针对成人重症患者（包括病情危重者、ICU患者）；对于因昏迷、镇静、认知功能障碍等导致配合能力降低的非重症患者，在临床实践可参照本标准执行。</w:t>
      </w:r>
      <w:r>
        <w:rPr>
          <w:rFonts w:hint="eastAsia" w:ascii="仿宋_GB2312" w:eastAsia="仿宋_GB2312"/>
          <w:color w:val="auto"/>
          <w:sz w:val="28"/>
          <w:szCs w:val="28"/>
          <w:lang w:eastAsia="zh-CN"/>
        </w:rPr>
        <w:t>本标准主要基于广西地区医疗实践制定，覆盖该地区250</w:t>
      </w:r>
      <w:r>
        <w:rPr>
          <w:rFonts w:hint="eastAsia" w:ascii="仿宋_GB2312" w:eastAsia="仿宋_GB2312"/>
          <w:color w:val="auto"/>
          <w:sz w:val="28"/>
          <w:szCs w:val="28"/>
          <w:lang w:val="en-US" w:eastAsia="zh-CN"/>
        </w:rPr>
        <w:t>余</w:t>
      </w:r>
      <w:r>
        <w:rPr>
          <w:rFonts w:hint="eastAsia" w:ascii="仿宋_GB2312" w:eastAsia="仿宋_GB2312"/>
          <w:color w:val="auto"/>
          <w:sz w:val="28"/>
          <w:szCs w:val="28"/>
          <w:lang w:eastAsia="zh-CN"/>
        </w:rPr>
        <w:t>家三级及二级医院的重症患者群体；其技术要求和预防措施经过试验和临床验证，可供全国各级医疗机构参考应用，以提升导管相关性黏膜压力性损伤的预防水平。</w:t>
      </w:r>
    </w:p>
    <w:p w14:paraId="559A31B1">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通过制定团体标准《</w:t>
      </w:r>
      <w:r>
        <w:rPr>
          <w:rFonts w:hint="eastAsia" w:ascii="仿宋_GB2312" w:eastAsia="仿宋_GB2312"/>
          <w:color w:val="auto"/>
          <w:sz w:val="28"/>
          <w:szCs w:val="28"/>
          <w:lang w:eastAsia="zh-CN"/>
        </w:rPr>
        <w:t>成人重症患者导管相关性黏膜压力性损伤预防规范</w:t>
      </w:r>
      <w:r>
        <w:rPr>
          <w:rFonts w:hint="eastAsia" w:ascii="仿宋_GB2312" w:eastAsia="仿宋_GB2312"/>
          <w:color w:val="auto"/>
          <w:sz w:val="28"/>
          <w:szCs w:val="28"/>
        </w:rPr>
        <w:t>》，以标准为抓手，统一规范成人重症患者导管黏膜压力性损伤预防要求，进一步发挥改良固定方法的优势，提高重症患者皮肤护理质量，对改善患者健康结局，提高医务人员预防和识别黏膜压力性损伤能力，降低黏膜压力性损伤的发生</w:t>
      </w:r>
      <w:r>
        <w:rPr>
          <w:rFonts w:hint="eastAsia" w:ascii="仿宋_GB2312" w:eastAsia="仿宋_GB2312"/>
          <w:color w:val="auto"/>
          <w:sz w:val="28"/>
          <w:szCs w:val="28"/>
          <w:lang w:val="en-US" w:eastAsia="zh-CN"/>
        </w:rPr>
        <w:t>率</w:t>
      </w:r>
      <w:r>
        <w:rPr>
          <w:rFonts w:hint="eastAsia" w:ascii="仿宋_GB2312" w:eastAsia="仿宋_GB2312"/>
          <w:color w:val="auto"/>
          <w:sz w:val="28"/>
          <w:szCs w:val="28"/>
        </w:rPr>
        <w:t>，提高护理质量控制，促进医疗护理事业高质量发展具有重要意义。</w:t>
      </w:r>
    </w:p>
    <w:p w14:paraId="6173DA4D">
      <w:pPr>
        <w:autoSpaceDE w:val="0"/>
        <w:autoSpaceDN w:val="0"/>
        <w:adjustRightInd w:val="0"/>
        <w:spacing w:line="520" w:lineRule="exact"/>
        <w:ind w:firstLine="640" w:firstLineChars="200"/>
        <w:jc w:val="left"/>
        <w:rPr>
          <w:rFonts w:hint="eastAsia" w:ascii="黑体" w:eastAsia="黑体" w:cs="仿宋_GB2312"/>
          <w:color w:val="auto"/>
          <w:sz w:val="32"/>
          <w:szCs w:val="32"/>
        </w:rPr>
      </w:pPr>
      <w:r>
        <w:rPr>
          <w:rFonts w:hint="eastAsia" w:ascii="黑体" w:eastAsia="黑体" w:cs="仿宋_GB2312"/>
          <w:color w:val="auto"/>
          <w:sz w:val="32"/>
          <w:szCs w:val="32"/>
        </w:rPr>
        <w:t>三、主要起草过程</w:t>
      </w:r>
    </w:p>
    <w:p w14:paraId="63E78FA5">
      <w:pPr>
        <w:spacing w:line="520" w:lineRule="exact"/>
        <w:ind w:firstLine="562" w:firstLineChars="200"/>
        <w:rPr>
          <w:rFonts w:hint="eastAsia" w:ascii="仿宋_GB2312" w:eastAsia="仿宋_GB2312"/>
          <w:color w:val="auto"/>
          <w:sz w:val="28"/>
          <w:szCs w:val="28"/>
        </w:rPr>
      </w:pPr>
      <w:r>
        <w:rPr>
          <w:rFonts w:hint="eastAsia" w:ascii="仿宋_GB2312" w:eastAsia="仿宋_GB2312" w:cs="仿宋_GB2312"/>
          <w:b/>
          <w:color w:val="auto"/>
          <w:sz w:val="28"/>
          <w:szCs w:val="28"/>
        </w:rPr>
        <w:t>（一）成立标准编制工作组</w:t>
      </w:r>
    </w:p>
    <w:p w14:paraId="0880187A">
      <w:pPr>
        <w:spacing w:line="520" w:lineRule="exact"/>
        <w:ind w:firstLine="560" w:firstLineChars="200"/>
        <w:jc w:val="left"/>
        <w:rPr>
          <w:rFonts w:hint="eastAsia" w:ascii="仿宋_GB2312" w:eastAsia="仿宋_GB2312"/>
          <w:color w:val="auto"/>
          <w:sz w:val="28"/>
          <w:szCs w:val="28"/>
        </w:rPr>
      </w:pPr>
      <w:r>
        <w:rPr>
          <w:rFonts w:hint="eastAsia" w:ascii="仿宋_GB2312" w:hAnsi="宋体" w:eastAsia="仿宋_GB2312"/>
          <w:color w:val="auto"/>
          <w:sz w:val="28"/>
          <w:szCs w:val="28"/>
        </w:rPr>
        <w:t>团体标准</w:t>
      </w:r>
      <w:r>
        <w:rPr>
          <w:rFonts w:hint="eastAsia" w:ascii="仿宋_GB2312" w:eastAsia="仿宋_GB2312"/>
          <w:color w:val="auto"/>
          <w:sz w:val="28"/>
          <w:szCs w:val="28"/>
        </w:rPr>
        <w:t>《</w:t>
      </w:r>
      <w:r>
        <w:rPr>
          <w:rFonts w:hint="eastAsia" w:ascii="仿宋_GB2312" w:eastAsia="仿宋_GB2312"/>
          <w:color w:val="auto"/>
          <w:sz w:val="28"/>
          <w:szCs w:val="28"/>
          <w:lang w:val="en-US" w:eastAsia="zh-CN"/>
        </w:rPr>
        <w:t>成人重症患者导管相关性黏膜压力性损伤预防规范</w:t>
      </w:r>
      <w:r>
        <w:rPr>
          <w:rFonts w:hint="eastAsia" w:ascii="仿宋_GB2312" w:eastAsia="仿宋_GB2312"/>
          <w:color w:val="auto"/>
          <w:sz w:val="28"/>
          <w:szCs w:val="28"/>
        </w:rPr>
        <w:t>》项目任务下达后，</w:t>
      </w:r>
      <w:r>
        <w:rPr>
          <w:rFonts w:hint="eastAsia" w:ascii="仿宋_GB2312" w:eastAsia="仿宋_GB2312"/>
          <w:color w:val="auto"/>
          <w:sz w:val="28"/>
          <w:szCs w:val="28"/>
          <w:lang w:val="en-US" w:eastAsia="zh-CN"/>
        </w:rPr>
        <w:t>广西医科大学第一附属医院、广西医科大学第二附属医院、广西中医药大学附属瑞康医院、广西壮族自治区民族医院、海南西部中心医院、南宁市第三人民医院、广西壮族自治区桂东人民医院、厦门大学附属中山医院、复旦大学附属华东医院、玉林市第一人民医院、吴忠市人民医院、百色市人民医院、桂林医学院附属医院、南宁市第二人民医院</w:t>
      </w:r>
      <w:r>
        <w:rPr>
          <w:rFonts w:hint="eastAsia" w:ascii="仿宋_GB2312" w:eastAsia="仿宋_GB2312"/>
          <w:color w:val="auto"/>
          <w:sz w:val="28"/>
          <w:szCs w:val="28"/>
        </w:rPr>
        <w:t>成立了标准编制工作组，制定了起草编写方案与进度安排，明确任务职责，确定工作技术路线，开展标准研制工作。具体标准编制工作由起草单位相关人员配合完成。</w:t>
      </w:r>
    </w:p>
    <w:p w14:paraId="3AC50CC4">
      <w:pPr>
        <w:spacing w:line="520" w:lineRule="exact"/>
        <w:ind w:firstLine="560" w:firstLineChars="200"/>
        <w:rPr>
          <w:rFonts w:hint="eastAsia" w:ascii="仿宋_GB2312" w:eastAsia="仿宋_GB2312" w:cs="仿宋_GB2312"/>
          <w:color w:val="auto"/>
          <w:sz w:val="28"/>
          <w:szCs w:val="28"/>
        </w:rPr>
      </w:pPr>
      <w:r>
        <w:rPr>
          <w:rFonts w:hint="eastAsia" w:ascii="仿宋_GB2312" w:eastAsia="仿宋_GB2312"/>
          <w:color w:val="auto"/>
          <w:sz w:val="28"/>
          <w:szCs w:val="28"/>
        </w:rPr>
        <w:t>为了明确标准编制的任务职责，确定工作技术路线，开展标准研制工作。标准编制工作组下设二个组，分别是资料收集组、草案编写组。资料收集组负责国内外有关</w:t>
      </w:r>
      <w:r>
        <w:rPr>
          <w:rFonts w:hint="eastAsia" w:ascii="仿宋_GB2312" w:eastAsia="仿宋_GB2312"/>
          <w:color w:val="auto"/>
          <w:sz w:val="28"/>
          <w:szCs w:val="28"/>
          <w:lang w:eastAsia="zh-CN"/>
        </w:rPr>
        <w:t>成人重症患者导管相关性黏膜压力性损伤预防</w:t>
      </w:r>
      <w:r>
        <w:rPr>
          <w:rFonts w:hint="eastAsia" w:ascii="仿宋_GB2312" w:eastAsia="仿宋_GB2312"/>
          <w:color w:val="auto"/>
          <w:sz w:val="28"/>
          <w:szCs w:val="28"/>
        </w:rPr>
        <w:t>方面的文献资料的查询、收集和整理工作，查阅前</w:t>
      </w:r>
      <w:r>
        <w:rPr>
          <w:rFonts w:hint="eastAsia" w:ascii="仿宋_GB2312" w:eastAsia="仿宋_GB2312"/>
          <w:color w:val="auto"/>
          <w:sz w:val="28"/>
          <w:szCs w:val="28"/>
          <w:lang w:eastAsia="zh-CN"/>
        </w:rPr>
        <w:t>期</w:t>
      </w:r>
      <w:r>
        <w:rPr>
          <w:rFonts w:hint="eastAsia" w:ascii="仿宋_GB2312" w:eastAsia="仿宋_GB2312"/>
          <w:color w:val="auto"/>
          <w:sz w:val="28"/>
          <w:szCs w:val="28"/>
        </w:rPr>
        <w:t>对</w:t>
      </w:r>
      <w:r>
        <w:rPr>
          <w:rFonts w:hint="eastAsia" w:ascii="仿宋_GB2312" w:eastAsia="仿宋_GB2312"/>
          <w:color w:val="auto"/>
          <w:sz w:val="28"/>
          <w:szCs w:val="28"/>
          <w:lang w:eastAsia="zh-CN"/>
        </w:rPr>
        <w:t>成人重症患者导管相关性黏膜压力性损伤预防</w:t>
      </w:r>
      <w:r>
        <w:rPr>
          <w:rFonts w:hint="eastAsia" w:ascii="仿宋_GB2312" w:eastAsia="仿宋_GB2312"/>
          <w:color w:val="auto"/>
          <w:sz w:val="28"/>
          <w:szCs w:val="28"/>
        </w:rPr>
        <w:t>方面的有关研究情况和目前科学界</w:t>
      </w:r>
      <w:r>
        <w:rPr>
          <w:rFonts w:hint="eastAsia" w:ascii="仿宋_GB2312" w:eastAsia="仿宋_GB2312"/>
          <w:color w:val="auto"/>
          <w:sz w:val="28"/>
          <w:szCs w:val="28"/>
          <w:lang w:val="en-US" w:eastAsia="zh-CN"/>
        </w:rPr>
        <w:t>黏膜压力性损伤</w:t>
      </w:r>
      <w:r>
        <w:rPr>
          <w:rFonts w:hint="eastAsia" w:ascii="仿宋_GB2312" w:eastAsia="仿宋_GB2312"/>
          <w:color w:val="auto"/>
          <w:sz w:val="28"/>
          <w:szCs w:val="28"/>
        </w:rPr>
        <w:t>的研究进展；草案编写组负责起草标准草案及后续征求意见稿和标准编制说明、送审稿及编制说明等编写工作，包括后期召开征求意见会、网上征求意见，以及标准的不断修改和完善。</w:t>
      </w:r>
    </w:p>
    <w:p w14:paraId="4815D59F">
      <w:pPr>
        <w:spacing w:line="520" w:lineRule="exact"/>
        <w:ind w:firstLine="562" w:firstLineChars="200"/>
        <w:rPr>
          <w:rFonts w:hint="eastAsia" w:ascii="仿宋_GB2312" w:eastAsia="仿宋_GB2312" w:cs="仿宋_GB2312"/>
          <w:b/>
          <w:color w:val="auto"/>
          <w:sz w:val="28"/>
          <w:szCs w:val="28"/>
        </w:rPr>
      </w:pPr>
      <w:r>
        <w:rPr>
          <w:rFonts w:hint="eastAsia" w:ascii="仿宋_GB2312" w:eastAsia="仿宋_GB2312" w:cs="仿宋_GB2312"/>
          <w:b/>
          <w:color w:val="auto"/>
          <w:sz w:val="28"/>
          <w:szCs w:val="28"/>
        </w:rPr>
        <w:t>（二）收集整理文献资料</w:t>
      </w:r>
    </w:p>
    <w:p w14:paraId="16D557FE">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标准编制工作组收集了国内有关</w:t>
      </w:r>
      <w:r>
        <w:rPr>
          <w:rFonts w:hint="eastAsia" w:ascii="仿宋_GB2312" w:eastAsia="仿宋_GB2312"/>
          <w:color w:val="auto"/>
          <w:sz w:val="28"/>
          <w:szCs w:val="28"/>
          <w:lang w:eastAsia="zh-CN"/>
        </w:rPr>
        <w:t>成人重症患者导管相关性黏膜压力性损伤预防</w:t>
      </w:r>
      <w:r>
        <w:rPr>
          <w:rFonts w:hint="eastAsia" w:ascii="仿宋_GB2312" w:eastAsia="仿宋_GB2312"/>
          <w:color w:val="auto"/>
          <w:sz w:val="28"/>
          <w:szCs w:val="28"/>
        </w:rPr>
        <w:t>的相关文献资料。主要有：</w:t>
      </w:r>
    </w:p>
    <w:p w14:paraId="44130768">
      <w:pPr>
        <w:spacing w:line="520" w:lineRule="exact"/>
        <w:ind w:firstLine="560" w:firstLineChars="200"/>
        <w:rPr>
          <w:rFonts w:hint="eastAsia" w:ascii="仿宋_GB2312" w:eastAsia="仿宋_GB2312" w:cs="仿宋_GB2312"/>
          <w:b w:val="0"/>
          <w:bCs/>
          <w:color w:val="auto"/>
          <w:sz w:val="28"/>
          <w:szCs w:val="28"/>
          <w:lang w:val="en-US" w:eastAsia="zh-CN"/>
        </w:rPr>
      </w:pPr>
      <w:r>
        <w:rPr>
          <w:rFonts w:hint="eastAsia" w:ascii="仿宋_GB2312" w:eastAsia="仿宋_GB2312" w:cs="仿宋_GB2312"/>
          <w:b w:val="0"/>
          <w:bCs/>
          <w:color w:val="auto"/>
          <w:sz w:val="28"/>
          <w:szCs w:val="28"/>
          <w:lang w:val="en-US" w:eastAsia="zh-CN"/>
        </w:rPr>
        <w:t>[1]马娟,陆秋芳,朱雨婷,等.基于重点环节质量改进在神经内科重症患者导尿管相关尿路感染中的应用[J].齐鲁护理杂志,2020,26(21):128-130.</w:t>
      </w:r>
    </w:p>
    <w:p w14:paraId="01B4D8D9">
      <w:pPr>
        <w:spacing w:line="520" w:lineRule="exact"/>
        <w:ind w:firstLine="560" w:firstLineChars="200"/>
        <w:rPr>
          <w:rFonts w:hint="eastAsia" w:ascii="仿宋_GB2312" w:eastAsia="仿宋_GB2312" w:cs="仿宋_GB2312"/>
          <w:b w:val="0"/>
          <w:bCs/>
          <w:color w:val="auto"/>
          <w:sz w:val="28"/>
          <w:szCs w:val="28"/>
          <w:lang w:val="en-US" w:eastAsia="zh-CN"/>
        </w:rPr>
      </w:pPr>
      <w:r>
        <w:rPr>
          <w:rFonts w:hint="eastAsia" w:ascii="仿宋_GB2312" w:eastAsia="仿宋_GB2312" w:cs="仿宋_GB2312"/>
          <w:b w:val="0"/>
          <w:bCs/>
          <w:color w:val="auto"/>
          <w:sz w:val="28"/>
          <w:szCs w:val="28"/>
          <w:lang w:val="en-US" w:eastAsia="zh-CN"/>
        </w:rPr>
        <w:t>[2]运用 PDCA降低 NICU导尿管相关尿路感染发生率[J].马娟，朱雨婷，陆秋芳，卢丽芬，广西医科大学第一附属医院.（发表在医药杂志——中国科技期刊数据库）</w:t>
      </w:r>
    </w:p>
    <w:p w14:paraId="0C163588">
      <w:pPr>
        <w:spacing w:line="520" w:lineRule="exact"/>
        <w:ind w:firstLine="560" w:firstLineChars="200"/>
        <w:rPr>
          <w:rFonts w:hint="eastAsia" w:ascii="仿宋_GB2312" w:eastAsia="仿宋_GB2312" w:cs="仿宋_GB2312"/>
          <w:b w:val="0"/>
          <w:bCs/>
          <w:color w:val="auto"/>
          <w:sz w:val="28"/>
          <w:szCs w:val="28"/>
          <w:lang w:val="en-US" w:eastAsia="zh-CN"/>
        </w:rPr>
      </w:pPr>
      <w:r>
        <w:rPr>
          <w:rFonts w:hint="eastAsia" w:ascii="仿宋_GB2312" w:eastAsia="仿宋_GB2312" w:cs="仿宋_GB2312"/>
          <w:b w:val="0"/>
          <w:bCs/>
          <w:color w:val="auto"/>
          <w:sz w:val="28"/>
          <w:szCs w:val="28"/>
          <w:lang w:val="en-US" w:eastAsia="zh-CN"/>
        </w:rPr>
        <w:t>[3]黄春艳,钟娟,黄珍贤,等.EICU患者鼻胃管相关性鼻部皮肤损伤的原因调查[J].蛇志,2014,26</w:t>
      </w:r>
    </w:p>
    <w:p w14:paraId="2A21B1DB">
      <w:pPr>
        <w:spacing w:line="520" w:lineRule="exact"/>
        <w:ind w:firstLine="560" w:firstLineChars="200"/>
        <w:rPr>
          <w:rFonts w:hint="eastAsia" w:ascii="仿宋_GB2312" w:eastAsia="仿宋_GB2312" w:cs="仿宋_GB2312"/>
          <w:b w:val="0"/>
          <w:bCs/>
          <w:color w:val="auto"/>
          <w:sz w:val="28"/>
          <w:szCs w:val="28"/>
          <w:lang w:val="en-US" w:eastAsia="zh-CN"/>
        </w:rPr>
      </w:pPr>
      <w:r>
        <w:rPr>
          <w:rFonts w:hint="eastAsia" w:ascii="仿宋_GB2312" w:eastAsia="仿宋_GB2312" w:cs="仿宋_GB2312"/>
          <w:b w:val="0"/>
          <w:bCs/>
          <w:color w:val="auto"/>
          <w:sz w:val="28"/>
          <w:szCs w:val="28"/>
          <w:lang w:val="en-US" w:eastAsia="zh-CN"/>
        </w:rPr>
        <w:t>(04):405-407.</w:t>
      </w:r>
    </w:p>
    <w:p w14:paraId="708A7718">
      <w:pPr>
        <w:spacing w:line="520" w:lineRule="exact"/>
        <w:ind w:firstLine="560" w:firstLineChars="200"/>
        <w:rPr>
          <w:rFonts w:hint="eastAsia" w:ascii="仿宋_GB2312" w:eastAsia="仿宋_GB2312" w:cs="仿宋_GB2312"/>
          <w:b w:val="0"/>
          <w:bCs/>
          <w:color w:val="auto"/>
          <w:sz w:val="28"/>
          <w:szCs w:val="28"/>
          <w:lang w:val="en-US" w:eastAsia="zh-CN"/>
        </w:rPr>
      </w:pPr>
      <w:r>
        <w:rPr>
          <w:rFonts w:hint="eastAsia" w:ascii="仿宋_GB2312" w:eastAsia="仿宋_GB2312" w:cs="仿宋_GB2312"/>
          <w:b w:val="0"/>
          <w:bCs/>
          <w:color w:val="auto"/>
          <w:sz w:val="28"/>
          <w:szCs w:val="28"/>
          <w:lang w:val="en-US" w:eastAsia="zh-CN"/>
        </w:rPr>
        <w:t>[4]冯晶晶,宋剑平,黄鑫,等.《预防ICU成人患者压力性损伤过程质控工具包》的构建与思考[J].中国卫生质量管理,2025,32(01):53-56.</w:t>
      </w:r>
    </w:p>
    <w:p w14:paraId="7F4CCB86">
      <w:pPr>
        <w:spacing w:line="520" w:lineRule="exact"/>
        <w:ind w:firstLine="560" w:firstLineChars="200"/>
        <w:rPr>
          <w:rFonts w:hint="eastAsia" w:ascii="仿宋_GB2312" w:eastAsia="仿宋_GB2312" w:cs="仿宋_GB2312"/>
          <w:b w:val="0"/>
          <w:bCs/>
          <w:color w:val="auto"/>
          <w:sz w:val="28"/>
          <w:szCs w:val="28"/>
          <w:lang w:val="en-US" w:eastAsia="zh-CN"/>
        </w:rPr>
      </w:pPr>
      <w:r>
        <w:rPr>
          <w:rFonts w:hint="eastAsia" w:ascii="仿宋_GB2312" w:eastAsia="仿宋_GB2312" w:cs="仿宋_GB2312"/>
          <w:b w:val="0"/>
          <w:bCs/>
          <w:color w:val="auto"/>
          <w:sz w:val="28"/>
          <w:szCs w:val="28"/>
          <w:lang w:val="en-US" w:eastAsia="zh-CN"/>
        </w:rPr>
        <w:t>[5]蔡一伟,陆秋芳,唐忠,等.压力性损伤护理决策支持系统的设计与应用[J].中国护理管理,2024,24</w:t>
      </w:r>
    </w:p>
    <w:p w14:paraId="57F4D5B4">
      <w:pPr>
        <w:spacing w:line="520" w:lineRule="exact"/>
        <w:ind w:firstLine="560" w:firstLineChars="200"/>
        <w:rPr>
          <w:rFonts w:hint="eastAsia" w:ascii="仿宋_GB2312" w:eastAsia="仿宋_GB2312" w:cs="仿宋_GB2312"/>
          <w:b w:val="0"/>
          <w:bCs/>
          <w:color w:val="auto"/>
          <w:sz w:val="28"/>
          <w:szCs w:val="28"/>
          <w:lang w:val="en-US" w:eastAsia="zh-CN"/>
        </w:rPr>
      </w:pPr>
      <w:r>
        <w:rPr>
          <w:rFonts w:hint="eastAsia" w:ascii="仿宋_GB2312" w:eastAsia="仿宋_GB2312" w:cs="仿宋_GB2312"/>
          <w:b w:val="0"/>
          <w:bCs/>
          <w:color w:val="auto"/>
          <w:sz w:val="28"/>
          <w:szCs w:val="28"/>
          <w:lang w:val="en-US" w:eastAsia="zh-CN"/>
        </w:rPr>
        <w:t>(08):1251-1255.</w:t>
      </w:r>
    </w:p>
    <w:p w14:paraId="02D3FA75">
      <w:pPr>
        <w:spacing w:line="520" w:lineRule="exact"/>
        <w:ind w:firstLine="560" w:firstLineChars="200"/>
        <w:rPr>
          <w:rFonts w:hint="eastAsia" w:ascii="仿宋_GB2312" w:eastAsia="仿宋_GB2312" w:cs="仿宋_GB2312"/>
          <w:b w:val="0"/>
          <w:bCs/>
          <w:color w:val="auto"/>
          <w:sz w:val="28"/>
          <w:szCs w:val="28"/>
          <w:lang w:val="en-US" w:eastAsia="zh-CN"/>
        </w:rPr>
      </w:pPr>
      <w:r>
        <w:rPr>
          <w:rFonts w:hint="eastAsia" w:ascii="仿宋_GB2312" w:eastAsia="仿宋_GB2312" w:cs="仿宋_GB2312"/>
          <w:b w:val="0"/>
          <w:bCs/>
          <w:color w:val="auto"/>
          <w:sz w:val="28"/>
          <w:szCs w:val="28"/>
          <w:lang w:val="en-US" w:eastAsia="zh-CN"/>
        </w:rPr>
        <w:t>[6]韦淑,杨丽,赵翠松,等.造口伤口专科联盟医院护士的压力性损伤知识水平及其影响因素分析[J].广西医学,2023,45(19):2416-2420.</w:t>
      </w:r>
    </w:p>
    <w:p w14:paraId="498206AC">
      <w:pPr>
        <w:spacing w:line="520" w:lineRule="exact"/>
        <w:ind w:firstLine="560" w:firstLineChars="200"/>
        <w:rPr>
          <w:rFonts w:hint="eastAsia" w:ascii="仿宋_GB2312" w:eastAsia="仿宋_GB2312" w:cs="仿宋_GB2312"/>
          <w:b w:val="0"/>
          <w:bCs/>
          <w:color w:val="auto"/>
          <w:sz w:val="28"/>
          <w:szCs w:val="28"/>
          <w:lang w:val="en-US" w:eastAsia="zh-CN"/>
        </w:rPr>
      </w:pPr>
      <w:r>
        <w:rPr>
          <w:rFonts w:hint="eastAsia" w:ascii="仿宋_GB2312" w:eastAsia="仿宋_GB2312" w:cs="仿宋_GB2312"/>
          <w:b w:val="0"/>
          <w:bCs/>
          <w:color w:val="auto"/>
          <w:sz w:val="28"/>
          <w:szCs w:val="28"/>
          <w:lang w:val="en-US" w:eastAsia="zh-CN"/>
        </w:rPr>
        <w:t>[7]“人”字双螺旋横向固定法+“双E”型固定法在ICU留置鼻胃管患者中预防医疗器械相关性压力性损伤中的应用[J].黄宇，卢彦如，吴静，吴巧敏（会议壁报交流）</w:t>
      </w:r>
    </w:p>
    <w:p w14:paraId="5E673CFB">
      <w:pPr>
        <w:spacing w:line="520" w:lineRule="exact"/>
        <w:ind w:firstLine="560" w:firstLineChars="200"/>
        <w:rPr>
          <w:rFonts w:hint="eastAsia" w:ascii="仿宋_GB2312" w:eastAsia="仿宋_GB2312" w:cs="仿宋_GB2312"/>
          <w:b w:val="0"/>
          <w:bCs/>
          <w:color w:val="auto"/>
          <w:sz w:val="28"/>
          <w:szCs w:val="28"/>
          <w:lang w:val="en-US" w:eastAsia="zh-CN"/>
        </w:rPr>
      </w:pPr>
      <w:r>
        <w:rPr>
          <w:rFonts w:hint="eastAsia" w:ascii="仿宋_GB2312" w:eastAsia="仿宋_GB2312" w:cs="仿宋_GB2312"/>
          <w:b w:val="0"/>
          <w:bCs/>
          <w:color w:val="auto"/>
          <w:sz w:val="28"/>
          <w:szCs w:val="28"/>
          <w:lang w:val="en-US" w:eastAsia="zh-CN"/>
        </w:rPr>
        <w:t>[8]ICU留置胃管患者使用3M医用弹力胶带高举平台法固定胃管法预防皮肤压力性损伤效果观察[J].吴巧敏（大会交流）</w:t>
      </w:r>
    </w:p>
    <w:p w14:paraId="37088A19">
      <w:pPr>
        <w:spacing w:line="520" w:lineRule="exact"/>
        <w:ind w:firstLine="560" w:firstLineChars="200"/>
        <w:rPr>
          <w:rFonts w:hint="eastAsia" w:ascii="仿宋_GB2312" w:eastAsia="仿宋_GB2312" w:cs="仿宋_GB2312"/>
          <w:b w:val="0"/>
          <w:bCs/>
          <w:color w:val="auto"/>
          <w:sz w:val="28"/>
          <w:szCs w:val="28"/>
          <w:lang w:val="en-US" w:eastAsia="zh-CN"/>
        </w:rPr>
      </w:pPr>
      <w:r>
        <w:rPr>
          <w:rFonts w:hint="eastAsia" w:ascii="仿宋_GB2312" w:eastAsia="仿宋_GB2312" w:cs="仿宋_GB2312"/>
          <w:b w:val="0"/>
          <w:bCs/>
          <w:color w:val="auto"/>
          <w:sz w:val="28"/>
          <w:szCs w:val="28"/>
          <w:lang w:val="en-US" w:eastAsia="zh-CN"/>
        </w:rPr>
        <w:t>[9]运用PDCA循环法降低ICU患者医疗器械相关性压力性损压发生率效果观察[J].钟娟、赵翠松、韦艳、黄宇（大会交流）</w:t>
      </w:r>
    </w:p>
    <w:p w14:paraId="42E67220">
      <w:pPr>
        <w:spacing w:line="520" w:lineRule="exact"/>
        <w:ind w:firstLine="560" w:firstLineChars="200"/>
        <w:rPr>
          <w:rFonts w:hint="eastAsia" w:ascii="仿宋_GB2312" w:eastAsia="仿宋_GB2312" w:cs="仿宋_GB2312"/>
          <w:b w:val="0"/>
          <w:bCs/>
          <w:color w:val="auto"/>
          <w:sz w:val="28"/>
          <w:szCs w:val="28"/>
          <w:lang w:val="en-US" w:eastAsia="zh-CN"/>
        </w:rPr>
      </w:pPr>
      <w:r>
        <w:rPr>
          <w:rFonts w:hint="eastAsia" w:ascii="仿宋_GB2312" w:eastAsia="仿宋_GB2312" w:cs="仿宋_GB2312"/>
          <w:b w:val="0"/>
          <w:bCs/>
          <w:color w:val="auto"/>
          <w:sz w:val="28"/>
          <w:szCs w:val="28"/>
          <w:lang w:val="en-US" w:eastAsia="zh-CN"/>
        </w:rPr>
        <w:t>[10]  运用PDCA循环法降低ICU患者医疗器械相关性压力性损压发生率效果观察[J].钟娟、赵翠松、韦艳、黄宇</w:t>
      </w:r>
    </w:p>
    <w:p w14:paraId="4AA8F944">
      <w:pPr>
        <w:spacing w:line="520" w:lineRule="exact"/>
        <w:ind w:firstLine="560" w:firstLineChars="200"/>
        <w:rPr>
          <w:rFonts w:hint="eastAsia" w:ascii="仿宋_GB2312" w:eastAsia="仿宋_GB2312" w:cs="仿宋_GB2312"/>
          <w:b w:val="0"/>
          <w:bCs/>
          <w:color w:val="auto"/>
          <w:sz w:val="28"/>
          <w:szCs w:val="28"/>
          <w:lang w:val="en-US" w:eastAsia="zh-CN"/>
        </w:rPr>
      </w:pPr>
      <w:bookmarkStart w:id="4" w:name="OLE_LINK60"/>
      <w:bookmarkStart w:id="5" w:name="OLE_LINK59"/>
      <w:r>
        <w:rPr>
          <w:rFonts w:hint="eastAsia" w:ascii="仿宋_GB2312" w:eastAsia="仿宋_GB2312" w:cs="仿宋_GB2312"/>
          <w:b w:val="0"/>
          <w:bCs/>
          <w:color w:val="auto"/>
          <w:sz w:val="28"/>
          <w:szCs w:val="28"/>
          <w:lang w:val="en-US" w:eastAsia="zh-CN"/>
        </w:rPr>
        <w:t>[11]  2019国际压力性损伤指南中文版.</w:t>
      </w:r>
      <w:bookmarkEnd w:id="4"/>
      <w:bookmarkEnd w:id="5"/>
    </w:p>
    <w:p w14:paraId="419ABBF4">
      <w:pPr>
        <w:spacing w:line="520" w:lineRule="exact"/>
        <w:ind w:firstLine="562" w:firstLineChars="200"/>
        <w:rPr>
          <w:rFonts w:hint="eastAsia" w:ascii="仿宋_GB2312" w:eastAsia="仿宋_GB2312" w:cs="仿宋_GB2312"/>
          <w:b/>
          <w:color w:val="auto"/>
          <w:sz w:val="28"/>
          <w:szCs w:val="28"/>
          <w:lang w:eastAsia="zh-CN"/>
        </w:rPr>
      </w:pPr>
      <w:r>
        <w:rPr>
          <w:rFonts w:hint="eastAsia" w:ascii="仿宋_GB2312" w:eastAsia="仿宋_GB2312" w:cs="仿宋_GB2312"/>
          <w:b/>
          <w:color w:val="auto"/>
          <w:sz w:val="28"/>
          <w:szCs w:val="28"/>
        </w:rPr>
        <w:t>（三）研讨确定标准主体内容</w:t>
      </w:r>
      <w:r>
        <w:rPr>
          <w:rFonts w:hint="eastAsia" w:ascii="仿宋_GB2312" w:eastAsia="仿宋_GB2312" w:cs="仿宋_GB2312"/>
          <w:b/>
          <w:color w:val="auto"/>
          <w:sz w:val="28"/>
          <w:szCs w:val="28"/>
          <w:lang w:eastAsia="zh-CN"/>
        </w:rPr>
        <w:t>、核心技术及创新点</w:t>
      </w:r>
    </w:p>
    <w:p w14:paraId="7D714B21">
      <w:pPr>
        <w:pStyle w:val="30"/>
        <w:spacing w:line="520" w:lineRule="exact"/>
        <w:ind w:firstLine="560"/>
        <w:rPr>
          <w:rFonts w:hint="eastAsia" w:ascii="仿宋_GB2312" w:eastAsia="仿宋_GB2312"/>
          <w:color w:val="auto"/>
          <w:sz w:val="28"/>
          <w:szCs w:val="28"/>
        </w:rPr>
      </w:pPr>
      <w:r>
        <w:rPr>
          <w:rFonts w:hint="eastAsia" w:ascii="仿宋_GB2312" w:eastAsia="仿宋_GB2312"/>
          <w:color w:val="auto"/>
          <w:sz w:val="28"/>
          <w:szCs w:val="28"/>
        </w:rPr>
        <w:t>标准编制工作组在对收集的资料进行整理研究之后，标准编制工作组召开了标准编制会议，对标准的整体框架结构进行了研究，并对标准的关键性内容进行了初步探讨。经过研究，标准的主体内容为</w:t>
      </w:r>
      <w:r>
        <w:rPr>
          <w:rFonts w:hint="eastAsia" w:ascii="仿宋_GB2312" w:eastAsia="仿宋_GB2312"/>
          <w:color w:val="auto"/>
          <w:sz w:val="28"/>
          <w:szCs w:val="28"/>
          <w:lang w:val="en-US" w:eastAsia="zh-CN"/>
        </w:rPr>
        <w:t>成人重症患者导管相关性黏膜压力性损伤预防的基本要求、评估、预防措施、教育和管理的要求</w:t>
      </w:r>
      <w:r>
        <w:rPr>
          <w:rFonts w:hint="eastAsia" w:ascii="仿宋_GB2312" w:eastAsia="仿宋_GB2312"/>
          <w:color w:val="auto"/>
          <w:sz w:val="28"/>
          <w:szCs w:val="28"/>
        </w:rPr>
        <w:t>。</w:t>
      </w:r>
      <w:r>
        <w:rPr>
          <w:rFonts w:hint="eastAsia" w:ascii="仿宋_GB2312" w:eastAsia="仿宋_GB2312"/>
          <w:color w:val="auto"/>
          <w:sz w:val="28"/>
          <w:szCs w:val="28"/>
          <w:lang w:eastAsia="zh-CN"/>
        </w:rPr>
        <w:t>核心技术及创新点在于：</w:t>
      </w:r>
    </w:p>
    <w:p w14:paraId="264B692D">
      <w:pPr>
        <w:pStyle w:val="30"/>
        <w:spacing w:line="520" w:lineRule="exact"/>
        <w:ind w:firstLine="560"/>
        <w:rPr>
          <w:rFonts w:hint="eastAsia" w:ascii="仿宋_GB2312" w:eastAsia="仿宋_GB2312"/>
          <w:color w:val="auto"/>
          <w:sz w:val="28"/>
          <w:szCs w:val="28"/>
          <w:lang w:eastAsia="zh-CN"/>
        </w:rPr>
      </w:pPr>
      <w:r>
        <w:rPr>
          <w:rFonts w:hint="eastAsia" w:ascii="仿宋_GB2312" w:eastAsia="仿宋_GB2312"/>
          <w:color w:val="auto"/>
          <w:sz w:val="28"/>
          <w:szCs w:val="28"/>
          <w:lang w:val="en-US" w:eastAsia="zh-CN"/>
        </w:rPr>
        <w:t>（1）我院对成人重症患者的鼻胃管/鼻肠管、经口气管插管、导尿管的固定方法进行了创新：针对鼻胃管/鼻肠管，采用“人”字双螺旋横向固定法+“双E”型固定法；对于经口气管插管，运用双“Y”字固定法；导尿管则采用下腹部“双E”型固定法，以此预防成人重症患者导管相关黏膜压力性损伤，降低导管相关尿路感染发生率。</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2</w:t>
      </w:r>
      <w:r>
        <w:rPr>
          <w:rFonts w:hint="eastAsia" w:ascii="仿宋_GB2312" w:eastAsia="仿宋_GB2312"/>
          <w:color w:val="auto"/>
          <w:sz w:val="28"/>
          <w:szCs w:val="28"/>
          <w:lang w:eastAsia="zh-CN"/>
        </w:rPr>
        <w:t>）鼻胃管</w:t>
      </w:r>
      <w:r>
        <w:rPr>
          <w:rFonts w:hint="eastAsia" w:ascii="仿宋_GB2312" w:eastAsia="仿宋_GB2312"/>
          <w:color w:val="auto"/>
          <w:sz w:val="28"/>
          <w:szCs w:val="28"/>
          <w:lang w:val="en-US" w:eastAsia="zh-CN"/>
        </w:rPr>
        <w:t>/鼻肠管</w:t>
      </w:r>
      <w:r>
        <w:rPr>
          <w:rFonts w:hint="eastAsia" w:ascii="仿宋_GB2312" w:eastAsia="仿宋_GB2312"/>
          <w:color w:val="auto"/>
          <w:sz w:val="28"/>
          <w:szCs w:val="28"/>
          <w:lang w:eastAsia="zh-CN"/>
        </w:rPr>
        <w:t>创新改良固定方法：“人”字双螺旋横向固定法＋“双E”型固定法；相较于改良前的“人”字型+“双E”型</w:t>
      </w:r>
      <w:r>
        <w:rPr>
          <w:rFonts w:hint="eastAsia" w:ascii="仿宋_GB2312" w:eastAsia="仿宋_GB2312"/>
          <w:color w:val="auto"/>
          <w:sz w:val="28"/>
          <w:szCs w:val="28"/>
          <w:lang w:val="en-US" w:eastAsia="zh-CN"/>
        </w:rPr>
        <w:t>固定法</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改良的创新点在于调整胶带形状及规格，并改变“人”字型胶带的粘贴部位，即将“人”字型胶带双螺旋横向固定于患者鼻唇沟区域。鼻唇沟区域涵盖了鼻唇沟及其周围一</w:t>
      </w:r>
      <w:r>
        <w:rPr>
          <w:rFonts w:hint="eastAsia" w:ascii="仿宋_GB2312" w:eastAsia="仿宋_GB2312"/>
          <w:color w:val="auto"/>
          <w:sz w:val="28"/>
          <w:szCs w:val="28"/>
          <w:lang w:eastAsia="zh-CN"/>
        </w:rPr>
        <w:t>定范围的皮肤及软组织区域。</w:t>
      </w:r>
      <w:r>
        <w:rPr>
          <w:rFonts w:hint="eastAsia" w:ascii="仿宋_GB2312" w:eastAsia="仿宋_GB2312"/>
          <w:color w:val="auto"/>
          <w:sz w:val="28"/>
          <w:szCs w:val="28"/>
          <w:lang w:val="en-US" w:eastAsia="zh-CN"/>
        </w:rPr>
        <w:t>在固定胃管时，使胃管处于鼻腔正中位置，该部位皮肤相对平整，胃管不易滑动，能够有效确保管道固定稳固，同时在一定程度上可减少对皮肤的过度压迫与损伤。改良后固定方法操作流程简便，固定牢固，减少皮肤压迫、便于观察，并提升舒适度，外观较为美观。规定了尺寸：“人”字型，长14cm±2cm  宽2cm±0.5cm  底边剪去4cm；双E”型，长5cm±2cm，宽3cm±1.5cm，剪成“双E”型。</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3</w:t>
      </w:r>
      <w:r>
        <w:rPr>
          <w:rFonts w:hint="eastAsia" w:ascii="仿宋_GB2312" w:eastAsia="仿宋_GB2312"/>
          <w:color w:val="auto"/>
          <w:sz w:val="28"/>
          <w:szCs w:val="28"/>
          <w:lang w:eastAsia="zh-CN"/>
        </w:rPr>
        <w:t>）经口气管插管创新改良固定方法</w:t>
      </w:r>
      <w:bookmarkStart w:id="6" w:name="OLE_LINK5"/>
      <w:bookmarkStart w:id="7" w:name="OLE_LINK4"/>
      <w:r>
        <w:rPr>
          <w:rFonts w:hint="eastAsia" w:ascii="仿宋_GB2312" w:eastAsia="仿宋_GB2312"/>
          <w:color w:val="auto"/>
          <w:sz w:val="28"/>
          <w:szCs w:val="28"/>
          <w:lang w:eastAsia="zh-CN"/>
        </w:rPr>
        <w:t>：双</w:t>
      </w:r>
      <w:r>
        <w:rPr>
          <w:rFonts w:hint="eastAsia" w:ascii="仿宋_GB2312" w:eastAsia="仿宋_GB2312"/>
          <w:color w:val="auto"/>
          <w:sz w:val="28"/>
          <w:szCs w:val="28"/>
          <w:lang w:val="en-US" w:eastAsia="zh-CN"/>
        </w:rPr>
        <w:t>“Y”字固定法</w:t>
      </w:r>
      <w:bookmarkEnd w:id="6"/>
      <w:bookmarkEnd w:id="7"/>
      <w:r>
        <w:rPr>
          <w:rFonts w:hint="eastAsia" w:ascii="仿宋_GB2312" w:eastAsia="仿宋_GB2312"/>
          <w:color w:val="auto"/>
          <w:sz w:val="28"/>
          <w:szCs w:val="28"/>
          <w:lang w:val="en-US" w:eastAsia="zh-CN"/>
        </w:rPr>
        <w:t>，相较于改良前双“H”字固定法，创新点在于固定方式在在患者两侧口角处各预留0.5cm空间，仅能便于及时吸引口腔内的唾液及痰液，还能提升护士执行口腔护理操作的依从性，进而有效提高患者口腔清洁度，降低呼吸机相关性肺炎（VAP）的发生风险，改良后能够充分暴露口唇，防止其受到压迫，达成了固定稳固、无压迫感、便于观察、美观舒适且操作简便的效果，降低黏膜压力性损伤。规定了</w:t>
      </w:r>
      <w:r>
        <w:rPr>
          <w:rFonts w:hint="eastAsia" w:ascii="仿宋_GB2312" w:eastAsia="仿宋_GB2312"/>
          <w:color w:val="auto"/>
          <w:sz w:val="28"/>
          <w:szCs w:val="28"/>
          <w:lang w:eastAsia="zh-CN"/>
        </w:rPr>
        <w:t>尺寸：长20cm±2cm，宽3cm±0.15cm，长边对折沿着折痕剪成两等分，末端保留7cm±0.5cm不剪，共裁剪2条备用。（</w:t>
      </w:r>
      <w:r>
        <w:rPr>
          <w:rFonts w:hint="eastAsia" w:ascii="仿宋_GB2312" w:eastAsia="仿宋_GB2312"/>
          <w:color w:val="auto"/>
          <w:sz w:val="28"/>
          <w:szCs w:val="28"/>
          <w:lang w:val="en-US" w:eastAsia="zh-CN"/>
        </w:rPr>
        <w:t>裁剪尺寸可依据患者实际情况个性化调整参数</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4</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导</w:t>
      </w:r>
      <w:r>
        <w:rPr>
          <w:rFonts w:hint="eastAsia" w:ascii="仿宋_GB2312" w:eastAsia="仿宋_GB2312"/>
          <w:color w:val="auto"/>
          <w:sz w:val="28"/>
          <w:szCs w:val="28"/>
          <w:lang w:eastAsia="zh-CN"/>
        </w:rPr>
        <w:t>尿管创新改良固定方法：导尿管下腹部“双 E”型固定法，相较于改良前导尿管大腿外侧、</w:t>
      </w:r>
      <w:r>
        <w:rPr>
          <w:rFonts w:hint="eastAsia" w:ascii="仿宋_GB2312" w:eastAsia="仿宋_GB2312"/>
          <w:color w:val="auto"/>
          <w:sz w:val="28"/>
          <w:szCs w:val="28"/>
          <w:lang w:val="en-US" w:eastAsia="zh-CN"/>
        </w:rPr>
        <w:t>腹股沟外侧高举平台</w:t>
      </w:r>
      <w:r>
        <w:rPr>
          <w:rFonts w:hint="eastAsia" w:ascii="仿宋_GB2312" w:eastAsia="仿宋_GB2312"/>
          <w:color w:val="auto"/>
          <w:sz w:val="28"/>
          <w:szCs w:val="28"/>
          <w:lang w:eastAsia="zh-CN"/>
        </w:rPr>
        <w:t>固定法。</w:t>
      </w:r>
      <w:r>
        <w:rPr>
          <w:rFonts w:hint="eastAsia" w:ascii="仿宋_GB2312" w:eastAsia="仿宋_GB2312"/>
          <w:color w:val="auto"/>
          <w:sz w:val="28"/>
          <w:szCs w:val="28"/>
          <w:lang w:val="en-US" w:eastAsia="zh-CN"/>
        </w:rPr>
        <w:t>改良的创新点在于改变黏贴部位，即</w:t>
      </w:r>
      <w:r>
        <w:rPr>
          <w:rFonts w:hint="eastAsia" w:ascii="仿宋_GB2312" w:eastAsia="仿宋_GB2312"/>
          <w:color w:val="auto"/>
          <w:sz w:val="28"/>
          <w:szCs w:val="28"/>
          <w:lang w:eastAsia="zh-CN"/>
        </w:rPr>
        <w:t>导尿管采用下腹部“双E”型固定法，</w:t>
      </w:r>
      <w:r>
        <w:rPr>
          <w:rFonts w:hint="eastAsia" w:ascii="仿宋_GB2312" w:eastAsia="仿宋_GB2312"/>
          <w:color w:val="auto"/>
          <w:sz w:val="28"/>
          <w:szCs w:val="28"/>
          <w:lang w:val="en-US" w:eastAsia="zh-CN"/>
        </w:rPr>
        <w:t>固定部位选择在下腹部，固定时导</w:t>
      </w:r>
      <w:r>
        <w:rPr>
          <w:rFonts w:hint="eastAsia" w:ascii="仿宋_GB2312" w:eastAsia="仿宋_GB2312"/>
          <w:color w:val="auto"/>
          <w:sz w:val="28"/>
          <w:szCs w:val="28"/>
          <w:lang w:eastAsia="zh-CN"/>
        </w:rPr>
        <w:t>尿管</w:t>
      </w:r>
      <w:r>
        <w:rPr>
          <w:rFonts w:hint="eastAsia" w:ascii="仿宋_GB2312" w:eastAsia="仿宋_GB2312"/>
          <w:color w:val="auto"/>
          <w:sz w:val="28"/>
          <w:szCs w:val="28"/>
          <w:lang w:val="en-US" w:eastAsia="zh-CN"/>
        </w:rPr>
        <w:t>最低点</w:t>
      </w:r>
      <w:r>
        <w:rPr>
          <w:rFonts w:hint="eastAsia" w:ascii="仿宋_GB2312" w:eastAsia="仿宋_GB2312"/>
          <w:color w:val="auto"/>
          <w:sz w:val="28"/>
          <w:szCs w:val="28"/>
          <w:lang w:eastAsia="zh-CN"/>
        </w:rPr>
        <w:t>抬离床面5cm，</w:t>
      </w:r>
      <w:r>
        <w:rPr>
          <w:rFonts w:hint="eastAsia" w:ascii="仿宋_GB2312" w:eastAsia="仿宋_GB2312"/>
          <w:color w:val="auto"/>
          <w:sz w:val="28"/>
          <w:szCs w:val="28"/>
          <w:lang w:val="en-US" w:eastAsia="zh-CN"/>
        </w:rPr>
        <w:t>使可减少</w:t>
      </w:r>
      <w:r>
        <w:rPr>
          <w:rFonts w:hint="eastAsia" w:ascii="仿宋_GB2312" w:eastAsia="仿宋_GB2312"/>
          <w:color w:val="auto"/>
          <w:sz w:val="28"/>
          <w:szCs w:val="28"/>
          <w:lang w:eastAsia="zh-CN"/>
        </w:rPr>
        <w:t>尿道壁和膀胱壁的损伤机会，</w:t>
      </w:r>
      <w:r>
        <w:rPr>
          <w:rFonts w:hint="eastAsia" w:ascii="仿宋_GB2312" w:eastAsia="仿宋_GB2312"/>
          <w:color w:val="auto"/>
          <w:sz w:val="28"/>
          <w:szCs w:val="28"/>
          <w:lang w:val="en-US" w:eastAsia="zh-CN"/>
        </w:rPr>
        <w:t>避免</w:t>
      </w:r>
      <w:r>
        <w:rPr>
          <w:rFonts w:hint="eastAsia" w:ascii="仿宋_GB2312" w:eastAsia="仿宋_GB2312"/>
          <w:color w:val="auto"/>
          <w:sz w:val="28"/>
          <w:szCs w:val="28"/>
          <w:lang w:eastAsia="zh-CN"/>
        </w:rPr>
        <w:t>聚集细菌的体外尿管进入尿道引起逆行感染。是针对导尿管特殊性（需兼顾稳定性、防牵拉、皮肤保护及舒适性）设计的改良固定方式，下腹部“双E”型固定法通过力学优化（抗多方向牵拉）+ 皮肤保护（分散压力）+ 活动适配（减少束缚感） 的三重设计，成为导尿管固定的优选方案，尤其适合高风险脱管人群和长期留置患者。改良后，其核心价值在于在确保管路安全的同时，最大化患者的舒适度与安全性，更牢固、无受压、无牵拉；美观、舒适、操作简单。尺寸：“双E”型长8cm±0.8cm，宽7.5cm±1.0 cm，剪成“双E”型。</w:t>
      </w:r>
    </w:p>
    <w:p w14:paraId="31A81503">
      <w:pPr>
        <w:spacing w:line="520" w:lineRule="exact"/>
        <w:ind w:firstLine="562" w:firstLineChars="200"/>
        <w:rPr>
          <w:rFonts w:hint="eastAsia" w:ascii="仿宋_GB2312" w:eastAsia="仿宋_GB2312" w:cs="仿宋_GB2312"/>
          <w:b/>
          <w:color w:val="auto"/>
          <w:sz w:val="28"/>
          <w:szCs w:val="28"/>
          <w:lang w:eastAsia="zh-CN"/>
        </w:rPr>
      </w:pPr>
      <w:r>
        <w:rPr>
          <w:rFonts w:hint="eastAsia" w:ascii="仿宋_GB2312" w:eastAsia="仿宋_GB2312" w:cs="仿宋_GB2312"/>
          <w:b/>
          <w:color w:val="auto"/>
          <w:sz w:val="28"/>
          <w:szCs w:val="28"/>
        </w:rPr>
        <w:t>（四）调研及形成草案、征求意见稿</w:t>
      </w:r>
    </w:p>
    <w:p w14:paraId="1DAF5C86">
      <w:pPr>
        <w:spacing w:line="520" w:lineRule="exact"/>
        <w:ind w:firstLine="560" w:firstLineChars="200"/>
        <w:rPr>
          <w:rFonts w:hint="eastAsia" w:ascii="仿宋_GB2312" w:eastAsia="仿宋_GB2312"/>
          <w:color w:val="auto"/>
          <w:kern w:val="0"/>
          <w:sz w:val="28"/>
          <w:szCs w:val="28"/>
        </w:rPr>
      </w:pPr>
      <w:r>
        <w:rPr>
          <w:rFonts w:hint="eastAsia" w:ascii="仿宋_GB2312" w:eastAsia="仿宋_GB2312"/>
          <w:color w:val="auto"/>
          <w:kern w:val="0"/>
          <w:sz w:val="28"/>
          <w:szCs w:val="28"/>
          <w:lang w:eastAsia="zh-CN"/>
        </w:rPr>
        <w:t>本院于2019年完成了鼻胃管/鼻肠管、</w:t>
      </w:r>
      <w:r>
        <w:rPr>
          <w:rFonts w:hint="eastAsia" w:ascii="仿宋_GB2312" w:eastAsia="仿宋_GB2312"/>
          <w:color w:val="auto"/>
          <w:kern w:val="0"/>
          <w:sz w:val="28"/>
          <w:szCs w:val="28"/>
          <w:lang w:val="en-US" w:eastAsia="zh-CN"/>
        </w:rPr>
        <w:t>经口气管插管、导尿管固定方法的图文式操作指引制作，制作完成的图谱指引由计算机中心工作人员导入医院电子信息系统，临床护士可随时点击查看，以供参考。导管相关黏膜压力性损伤的预防取得了显著成效。据统计，自2019年以来，我院神经内科重症监护室未发生导管相关性黏膜压力性损伤，临床护理质量持续稳定提升，为推动我院及全区导管固定技术规范化发展，2019年起至今，神经内科重症监护室专科护士共为区内多个学习班开展</w:t>
      </w:r>
      <w:r>
        <w:rPr>
          <w:rFonts w:hint="eastAsia" w:ascii="仿宋_GB2312" w:eastAsia="仿宋_GB2312"/>
          <w:color w:val="auto"/>
          <w:kern w:val="0"/>
          <w:sz w:val="28"/>
          <w:szCs w:val="28"/>
          <w:lang w:eastAsia="zh-CN"/>
        </w:rPr>
        <w:t>鼻胃管/鼻肠管、</w:t>
      </w:r>
      <w:r>
        <w:rPr>
          <w:rFonts w:hint="eastAsia" w:ascii="仿宋_GB2312" w:eastAsia="仿宋_GB2312"/>
          <w:color w:val="auto"/>
          <w:kern w:val="0"/>
          <w:sz w:val="28"/>
          <w:szCs w:val="28"/>
          <w:lang w:val="en-US" w:eastAsia="zh-CN"/>
        </w:rPr>
        <w:t>经口气管插管、导尿管固定方法的工作坊共19次，2024年</w:t>
      </w:r>
      <w:r>
        <w:rPr>
          <w:rFonts w:hint="eastAsia" w:ascii="仿宋_GB2312" w:eastAsia="仿宋_GB2312"/>
          <w:color w:val="auto"/>
          <w:kern w:val="0"/>
          <w:sz w:val="28"/>
          <w:szCs w:val="28"/>
        </w:rPr>
        <w:t>在我院举办的院内广西第一</w:t>
      </w:r>
      <w:r>
        <w:rPr>
          <w:rFonts w:hint="eastAsia" w:ascii="仿宋_GB2312" w:eastAsia="仿宋_GB2312"/>
          <w:color w:val="auto"/>
          <w:kern w:val="0"/>
          <w:sz w:val="28"/>
          <w:szCs w:val="28"/>
          <w:lang w:val="en-US" w:eastAsia="zh-CN"/>
        </w:rPr>
        <w:t>届</w:t>
      </w:r>
      <w:r>
        <w:rPr>
          <w:rFonts w:hint="eastAsia" w:ascii="仿宋_GB2312" w:eastAsia="仿宋_GB2312"/>
          <w:color w:val="auto"/>
          <w:kern w:val="0"/>
          <w:sz w:val="28"/>
          <w:szCs w:val="28"/>
        </w:rPr>
        <w:t>伤口造口失禁专科护士临床培训班共32名学员老师，开展导管固定工作坊</w:t>
      </w:r>
      <w:r>
        <w:rPr>
          <w:rFonts w:hint="eastAsia" w:ascii="仿宋_GB2312" w:eastAsia="仿宋_GB2312"/>
          <w:color w:val="auto"/>
          <w:kern w:val="0"/>
          <w:sz w:val="28"/>
          <w:szCs w:val="28"/>
          <w:lang w:val="en-US" w:eastAsia="zh-CN"/>
        </w:rPr>
        <w:t>1次，在</w:t>
      </w:r>
      <w:r>
        <w:rPr>
          <w:rFonts w:hint="eastAsia" w:ascii="仿宋_GB2312" w:eastAsia="仿宋_GB2312"/>
          <w:color w:val="auto"/>
          <w:kern w:val="0"/>
          <w:sz w:val="28"/>
          <w:szCs w:val="28"/>
          <w:lang w:eastAsia="zh-CN"/>
        </w:rPr>
        <w:t>全区10个直辖市，68家医院推广并实践</w:t>
      </w:r>
      <w:r>
        <w:rPr>
          <w:rFonts w:hint="eastAsia" w:ascii="仿宋_GB2312" w:eastAsia="仿宋_GB2312"/>
          <w:color w:val="auto"/>
          <w:kern w:val="0"/>
          <w:sz w:val="28"/>
          <w:szCs w:val="28"/>
        </w:rPr>
        <w:t>。定期汇总临床反馈，收到了众多护理同仁的认可与好评，好评率100%。</w:t>
      </w:r>
      <w:r>
        <w:rPr>
          <w:rFonts w:hint="eastAsia" w:ascii="仿宋_GB2312" w:eastAsia="仿宋_GB2312"/>
          <w:color w:val="auto"/>
          <w:kern w:val="0"/>
          <w:sz w:val="28"/>
          <w:szCs w:val="28"/>
          <w:lang w:eastAsia="zh-CN"/>
        </w:rPr>
        <w:t>在广西医科大学第二附属医院、广西中医药大学附属瑞康医院、广西民族医院、桂林医学院附属医院、广西医科大学附属武鸣医院、南宁市第三人民医院、广西玉林市中医院、南宁市中医医院、</w:t>
      </w:r>
      <w:r>
        <w:rPr>
          <w:rFonts w:hint="eastAsia" w:ascii="仿宋_GB2312" w:eastAsia="仿宋_GB2312"/>
          <w:color w:val="auto"/>
          <w:kern w:val="0"/>
          <w:sz w:val="28"/>
          <w:szCs w:val="28"/>
        </w:rPr>
        <w:t>广西壮族自治区桂东人民医院</w:t>
      </w:r>
      <w:r>
        <w:rPr>
          <w:rFonts w:hint="eastAsia" w:ascii="仿宋_GB2312" w:eastAsia="仿宋_GB2312"/>
          <w:color w:val="auto"/>
          <w:kern w:val="0"/>
          <w:sz w:val="28"/>
          <w:szCs w:val="28"/>
          <w:lang w:eastAsia="zh-CN"/>
        </w:rPr>
        <w:t>等多家医疗机构得以应用。</w:t>
      </w:r>
    </w:p>
    <w:p w14:paraId="40566B4E">
      <w:pPr>
        <w:spacing w:line="520" w:lineRule="exact"/>
        <w:ind w:firstLine="560" w:firstLineChars="200"/>
        <w:rPr>
          <w:rFonts w:ascii="仿宋_GB2312" w:eastAsia="仿宋_GB2312"/>
          <w:color w:val="auto"/>
          <w:kern w:val="0"/>
          <w:sz w:val="28"/>
          <w:szCs w:val="28"/>
        </w:rPr>
      </w:pPr>
      <w:r>
        <w:rPr>
          <w:rFonts w:hint="eastAsia" w:ascii="仿宋_GB2312" w:eastAsia="仿宋_GB2312"/>
          <w:color w:val="auto"/>
          <w:kern w:val="0"/>
          <w:sz w:val="28"/>
          <w:szCs w:val="28"/>
        </w:rPr>
        <w:t>202</w:t>
      </w:r>
      <w:r>
        <w:rPr>
          <w:rFonts w:hint="eastAsia" w:ascii="仿宋_GB2312" w:eastAsia="仿宋_GB2312"/>
          <w:color w:val="auto"/>
          <w:kern w:val="0"/>
          <w:sz w:val="28"/>
          <w:szCs w:val="28"/>
          <w:lang w:val="en-US" w:eastAsia="zh-CN"/>
        </w:rPr>
        <w:t>5</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4</w:t>
      </w:r>
      <w:r>
        <w:rPr>
          <w:rFonts w:hint="eastAsia" w:ascii="仿宋_GB2312" w:eastAsia="仿宋_GB2312"/>
          <w:color w:val="auto"/>
          <w:kern w:val="0"/>
          <w:sz w:val="28"/>
          <w:szCs w:val="28"/>
        </w:rPr>
        <w:t>月～202</w:t>
      </w:r>
      <w:r>
        <w:rPr>
          <w:rFonts w:hint="eastAsia" w:ascii="仿宋_GB2312" w:eastAsia="仿宋_GB2312"/>
          <w:color w:val="auto"/>
          <w:kern w:val="0"/>
          <w:sz w:val="28"/>
          <w:szCs w:val="28"/>
          <w:lang w:val="en-US" w:eastAsia="zh-CN"/>
        </w:rPr>
        <w:t>5</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5</w:t>
      </w:r>
      <w:r>
        <w:rPr>
          <w:rFonts w:hint="eastAsia" w:ascii="仿宋_GB2312" w:eastAsia="仿宋_GB2312"/>
          <w:color w:val="auto"/>
          <w:kern w:val="0"/>
          <w:sz w:val="28"/>
          <w:szCs w:val="28"/>
        </w:rPr>
        <w:t>月，标准编制工作组查阅了大量的国内文献资料，对</w:t>
      </w:r>
      <w:r>
        <w:rPr>
          <w:rFonts w:hint="eastAsia" w:ascii="仿宋_GB2312" w:eastAsia="仿宋_GB2312"/>
          <w:color w:val="auto"/>
          <w:sz w:val="28"/>
          <w:szCs w:val="28"/>
          <w:lang w:val="en-US" w:eastAsia="zh-CN"/>
        </w:rPr>
        <w:t>成人重症患者导管相关性黏膜压力性损伤预防</w:t>
      </w:r>
      <w:r>
        <w:rPr>
          <w:rFonts w:hint="eastAsia" w:ascii="仿宋_GB2312" w:eastAsia="仿宋_GB2312"/>
          <w:color w:val="auto"/>
          <w:kern w:val="0"/>
          <w:sz w:val="28"/>
          <w:szCs w:val="28"/>
        </w:rPr>
        <w:t>相关的文件进行系统总结。形成了标准的基本构架，对主要内容进行了讨论并对项目的工作进行了部署和安排。</w:t>
      </w:r>
    </w:p>
    <w:p w14:paraId="2D211D17">
      <w:pPr>
        <w:spacing w:line="520" w:lineRule="exact"/>
        <w:ind w:firstLine="560" w:firstLineChars="200"/>
        <w:rPr>
          <w:rFonts w:hint="eastAsia"/>
          <w:color w:val="auto"/>
          <w:sz w:val="28"/>
          <w:szCs w:val="28"/>
        </w:rPr>
      </w:pPr>
      <w:r>
        <w:rPr>
          <w:rFonts w:hint="eastAsia" w:ascii="仿宋_GB2312" w:eastAsia="仿宋_GB2312"/>
          <w:color w:val="auto"/>
          <w:kern w:val="0"/>
          <w:sz w:val="28"/>
          <w:szCs w:val="28"/>
        </w:rPr>
        <w:t>202</w:t>
      </w:r>
      <w:r>
        <w:rPr>
          <w:rFonts w:hint="eastAsia" w:ascii="仿宋_GB2312" w:eastAsia="仿宋_GB2312"/>
          <w:color w:val="auto"/>
          <w:kern w:val="0"/>
          <w:sz w:val="28"/>
          <w:szCs w:val="28"/>
          <w:lang w:val="en-US" w:eastAsia="zh-CN"/>
        </w:rPr>
        <w:t>5</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6</w:t>
      </w:r>
      <w:r>
        <w:rPr>
          <w:rFonts w:hint="eastAsia" w:ascii="仿宋_GB2312" w:eastAsia="仿宋_GB2312"/>
          <w:color w:val="auto"/>
          <w:kern w:val="0"/>
          <w:sz w:val="28"/>
          <w:szCs w:val="28"/>
        </w:rPr>
        <w:t>月～</w:t>
      </w:r>
      <w:r>
        <w:rPr>
          <w:rFonts w:hint="eastAsia" w:ascii="仿宋_GB2312" w:eastAsia="仿宋_GB2312"/>
          <w:color w:val="auto"/>
          <w:kern w:val="0"/>
          <w:sz w:val="28"/>
          <w:szCs w:val="28"/>
          <w:lang w:val="en-US" w:eastAsia="zh-CN"/>
        </w:rPr>
        <w:t>7</w:t>
      </w:r>
      <w:r>
        <w:rPr>
          <w:rFonts w:hint="eastAsia" w:ascii="仿宋_GB2312" w:eastAsia="仿宋_GB2312"/>
          <w:color w:val="auto"/>
          <w:kern w:val="0"/>
          <w:sz w:val="28"/>
          <w:szCs w:val="28"/>
        </w:rPr>
        <w:t>月，</w:t>
      </w:r>
      <w:r>
        <w:rPr>
          <w:rFonts w:hint="eastAsia" w:ascii="仿宋_GB2312" w:eastAsia="仿宋_GB2312"/>
          <w:color w:val="auto"/>
          <w:kern w:val="0"/>
          <w:sz w:val="28"/>
          <w:szCs w:val="28"/>
          <w:lang w:eastAsia="zh-CN"/>
        </w:rPr>
        <w:t>团体</w:t>
      </w:r>
      <w:r>
        <w:rPr>
          <w:rFonts w:hint="eastAsia" w:ascii="仿宋_GB2312" w:eastAsia="仿宋_GB2312"/>
          <w:color w:val="auto"/>
          <w:kern w:val="0"/>
          <w:sz w:val="28"/>
          <w:szCs w:val="28"/>
        </w:rPr>
        <w:t>标准《</w:t>
      </w:r>
      <w:r>
        <w:rPr>
          <w:rFonts w:hint="eastAsia" w:ascii="仿宋_GB2312" w:eastAsia="仿宋_GB2312"/>
          <w:color w:val="auto"/>
          <w:kern w:val="0"/>
          <w:sz w:val="28"/>
          <w:szCs w:val="28"/>
          <w:lang w:eastAsia="zh-CN"/>
        </w:rPr>
        <w:t>成人重症患者导管相关性黏膜压力性损伤预防规范</w:t>
      </w:r>
      <w:r>
        <w:rPr>
          <w:rFonts w:hint="eastAsia" w:ascii="仿宋_GB2312" w:eastAsia="仿宋_GB2312"/>
          <w:color w:val="auto"/>
          <w:kern w:val="0"/>
          <w:sz w:val="28"/>
          <w:szCs w:val="28"/>
        </w:rPr>
        <w:t>》</w:t>
      </w:r>
      <w:r>
        <w:rPr>
          <w:rFonts w:hint="eastAsia" w:ascii="仿宋_GB2312" w:hAnsi="宋体" w:eastAsia="仿宋_GB2312"/>
          <w:color w:val="auto"/>
          <w:sz w:val="28"/>
          <w:szCs w:val="28"/>
        </w:rPr>
        <w:t>获批立项</w:t>
      </w:r>
      <w:r>
        <w:rPr>
          <w:rFonts w:hint="eastAsia" w:ascii="仿宋_GB2312" w:eastAsia="仿宋_GB2312"/>
          <w:color w:val="auto"/>
          <w:kern w:val="0"/>
          <w:sz w:val="28"/>
          <w:szCs w:val="28"/>
        </w:rPr>
        <w:t>，在前期工作的基础之上，通过理清逻辑脉络，整合已有参考资料中有关</w:t>
      </w:r>
      <w:r>
        <w:rPr>
          <w:rFonts w:hint="eastAsia" w:ascii="仿宋_GB2312" w:eastAsia="仿宋_GB2312"/>
          <w:color w:val="auto"/>
          <w:sz w:val="28"/>
          <w:szCs w:val="28"/>
          <w:lang w:val="en-US" w:eastAsia="zh-CN"/>
        </w:rPr>
        <w:t>导管相关性黏膜压力性损伤预防</w:t>
      </w:r>
      <w:r>
        <w:rPr>
          <w:rFonts w:hint="eastAsia" w:ascii="仿宋_GB2312" w:eastAsia="仿宋_GB2312"/>
          <w:color w:val="auto"/>
          <w:kern w:val="0"/>
          <w:sz w:val="28"/>
          <w:szCs w:val="28"/>
          <w:lang w:eastAsia="zh-CN"/>
        </w:rPr>
        <w:t>技术</w:t>
      </w:r>
      <w:r>
        <w:rPr>
          <w:rFonts w:hint="eastAsia" w:ascii="仿宋_GB2312" w:eastAsia="仿宋_GB2312"/>
          <w:color w:val="auto"/>
          <w:kern w:val="0"/>
          <w:sz w:val="28"/>
          <w:szCs w:val="28"/>
        </w:rPr>
        <w:t>的要求，并在</w:t>
      </w:r>
      <w:r>
        <w:rPr>
          <w:rFonts w:hint="eastAsia" w:ascii="仿宋_GB2312" w:eastAsia="仿宋_GB2312"/>
          <w:color w:val="auto"/>
          <w:kern w:val="0"/>
          <w:sz w:val="28"/>
          <w:szCs w:val="28"/>
          <w:lang w:eastAsia="zh-CN"/>
        </w:rPr>
        <w:t>目前</w:t>
      </w:r>
      <w:r>
        <w:rPr>
          <w:rFonts w:hint="eastAsia" w:ascii="仿宋_GB2312" w:eastAsia="仿宋_GB2312"/>
          <w:color w:val="auto"/>
          <w:sz w:val="28"/>
          <w:szCs w:val="28"/>
          <w:lang w:val="en-US" w:eastAsia="zh-CN"/>
        </w:rPr>
        <w:t>成人重症患者导管相关性黏膜压力性损伤预防</w:t>
      </w:r>
      <w:r>
        <w:rPr>
          <w:rFonts w:hint="eastAsia" w:ascii="仿宋_GB2312" w:eastAsia="仿宋_GB2312"/>
          <w:color w:val="auto"/>
          <w:kern w:val="0"/>
          <w:sz w:val="28"/>
          <w:szCs w:val="28"/>
        </w:rPr>
        <w:t>的基础上，按照简化、统一等原则编制完成</w:t>
      </w:r>
      <w:r>
        <w:rPr>
          <w:rFonts w:hint="eastAsia" w:ascii="仿宋_GB2312" w:eastAsia="仿宋_GB2312"/>
          <w:color w:val="auto"/>
          <w:kern w:val="0"/>
          <w:sz w:val="28"/>
          <w:szCs w:val="28"/>
          <w:lang w:val="en-US" w:eastAsia="zh-CN"/>
        </w:rPr>
        <w:t>团体</w:t>
      </w:r>
      <w:r>
        <w:rPr>
          <w:rFonts w:hint="eastAsia" w:ascii="仿宋_GB2312" w:eastAsia="仿宋_GB2312"/>
          <w:color w:val="auto"/>
          <w:kern w:val="0"/>
          <w:sz w:val="28"/>
          <w:szCs w:val="28"/>
        </w:rPr>
        <w:t>标准《</w:t>
      </w:r>
      <w:r>
        <w:rPr>
          <w:rFonts w:hint="eastAsia" w:ascii="仿宋_GB2312" w:eastAsia="仿宋_GB2312"/>
          <w:color w:val="auto"/>
          <w:kern w:val="0"/>
          <w:sz w:val="28"/>
          <w:szCs w:val="28"/>
          <w:lang w:eastAsia="zh-CN"/>
        </w:rPr>
        <w:t>成人重症患者导管相关性黏膜压力性损伤预防规范</w:t>
      </w:r>
      <w:r>
        <w:rPr>
          <w:rFonts w:hint="eastAsia" w:ascii="仿宋_GB2312" w:eastAsia="仿宋_GB2312"/>
          <w:color w:val="auto"/>
          <w:kern w:val="0"/>
          <w:sz w:val="28"/>
          <w:szCs w:val="28"/>
        </w:rPr>
        <w:t>》（草案）。</w:t>
      </w:r>
    </w:p>
    <w:p w14:paraId="24684DDC">
      <w:pPr>
        <w:spacing w:line="520" w:lineRule="exact"/>
        <w:ind w:firstLine="560" w:firstLineChars="200"/>
        <w:rPr>
          <w:rFonts w:ascii="仿宋_GB2312" w:eastAsia="仿宋_GB2312"/>
          <w:kern w:val="0"/>
          <w:sz w:val="28"/>
          <w:szCs w:val="28"/>
        </w:rPr>
      </w:pPr>
      <w:r>
        <w:rPr>
          <w:rFonts w:hint="eastAsia" w:ascii="仿宋_GB2312" w:eastAsia="仿宋_GB2312"/>
          <w:color w:val="auto"/>
          <w:kern w:val="0"/>
          <w:sz w:val="28"/>
          <w:szCs w:val="28"/>
        </w:rPr>
        <w:t>202</w:t>
      </w:r>
      <w:r>
        <w:rPr>
          <w:rFonts w:hint="eastAsia" w:ascii="仿宋_GB2312" w:eastAsia="仿宋_GB2312"/>
          <w:color w:val="auto"/>
          <w:kern w:val="0"/>
          <w:sz w:val="28"/>
          <w:szCs w:val="28"/>
          <w:lang w:val="en-US" w:eastAsia="zh-CN"/>
        </w:rPr>
        <w:t>4</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8</w:t>
      </w:r>
      <w:r>
        <w:rPr>
          <w:rFonts w:hint="eastAsia" w:ascii="仿宋_GB2312" w:eastAsia="仿宋_GB2312"/>
          <w:color w:val="auto"/>
          <w:kern w:val="0"/>
          <w:sz w:val="28"/>
          <w:szCs w:val="28"/>
        </w:rPr>
        <w:t>月～</w:t>
      </w:r>
      <w:r>
        <w:rPr>
          <w:rFonts w:hint="eastAsia" w:ascii="仿宋_GB2312" w:eastAsia="仿宋_GB2312"/>
          <w:color w:val="auto"/>
          <w:kern w:val="0"/>
          <w:sz w:val="28"/>
          <w:szCs w:val="28"/>
          <w:lang w:val="en-US" w:eastAsia="zh-CN"/>
        </w:rPr>
        <w:t>2024年9</w:t>
      </w:r>
      <w:r>
        <w:rPr>
          <w:rFonts w:hint="eastAsia" w:ascii="仿宋_GB2312" w:eastAsia="仿宋_GB2312"/>
          <w:color w:val="auto"/>
          <w:kern w:val="0"/>
          <w:sz w:val="28"/>
          <w:szCs w:val="28"/>
        </w:rPr>
        <w:t>月，标准编制工作组深入</w:t>
      </w:r>
      <w:r>
        <w:rPr>
          <w:rFonts w:hint="eastAsia" w:ascii="仿宋_GB2312" w:eastAsia="仿宋_GB2312"/>
          <w:color w:val="auto"/>
          <w:sz w:val="28"/>
          <w:szCs w:val="28"/>
          <w:lang w:val="en-US" w:eastAsia="zh-CN"/>
        </w:rPr>
        <w:t>海南/厦门/复旦/玉林/吴忠/百色/桂林等</w:t>
      </w:r>
      <w:r>
        <w:rPr>
          <w:rFonts w:hint="eastAsia" w:ascii="仿宋_GB2312" w:eastAsia="仿宋_GB2312"/>
          <w:color w:val="auto"/>
          <w:kern w:val="0"/>
          <w:sz w:val="28"/>
          <w:szCs w:val="28"/>
          <w:lang w:val="en-US" w:eastAsia="zh-CN"/>
        </w:rPr>
        <w:t>各级医院</w:t>
      </w:r>
      <w:r>
        <w:rPr>
          <w:rFonts w:hint="eastAsia" w:ascii="仿宋_GB2312" w:eastAsia="仿宋_GB2312"/>
          <w:color w:val="auto"/>
          <w:kern w:val="0"/>
          <w:sz w:val="28"/>
          <w:szCs w:val="28"/>
          <w:lang w:eastAsia="zh-CN"/>
        </w:rPr>
        <w:t>实施</w:t>
      </w:r>
      <w:r>
        <w:rPr>
          <w:rFonts w:hint="eastAsia" w:ascii="仿宋_GB2312" w:eastAsia="仿宋_GB2312"/>
          <w:color w:val="auto"/>
          <w:sz w:val="28"/>
          <w:szCs w:val="28"/>
          <w:lang w:val="en-US" w:eastAsia="zh-CN"/>
        </w:rPr>
        <w:t>导管相关性黏膜压力性损伤预防</w:t>
      </w:r>
      <w:r>
        <w:rPr>
          <w:rFonts w:hint="eastAsia" w:ascii="仿宋_GB2312" w:hAnsi="宋体" w:eastAsia="仿宋_GB2312"/>
          <w:color w:val="auto"/>
          <w:sz w:val="28"/>
          <w:szCs w:val="28"/>
        </w:rPr>
        <w:t>的有代表性的医院</w:t>
      </w:r>
      <w:r>
        <w:rPr>
          <w:rFonts w:hint="eastAsia" w:ascii="仿宋_GB2312" w:eastAsia="仿宋_GB2312"/>
          <w:color w:val="auto"/>
          <w:kern w:val="0"/>
          <w:sz w:val="28"/>
          <w:szCs w:val="28"/>
        </w:rPr>
        <w:t>进行实地调研</w:t>
      </w:r>
      <w:r>
        <w:rPr>
          <w:rFonts w:hint="eastAsia" w:ascii="仿宋_GB2312" w:eastAsia="仿宋_GB2312"/>
          <w:color w:val="auto"/>
          <w:kern w:val="0"/>
          <w:sz w:val="28"/>
          <w:szCs w:val="28"/>
          <w:lang w:eastAsia="zh-CN"/>
        </w:rPr>
        <w:t>、交流学习</w:t>
      </w:r>
      <w:r>
        <w:rPr>
          <w:rFonts w:hint="eastAsia" w:ascii="仿宋_GB2312" w:eastAsia="仿宋_GB2312"/>
          <w:color w:val="auto"/>
          <w:kern w:val="0"/>
          <w:sz w:val="28"/>
          <w:szCs w:val="28"/>
        </w:rPr>
        <w:t>，并组织相关主管单位、医疗机构等召开标准研讨会，收集反馈了大量意见，对标准草案进行了反复修改和研究讨论，掌握了</w:t>
      </w:r>
      <w:r>
        <w:rPr>
          <w:rFonts w:hint="eastAsia" w:ascii="仿宋_GB2312" w:eastAsia="仿宋_GB2312"/>
          <w:color w:val="auto"/>
          <w:sz w:val="28"/>
          <w:szCs w:val="28"/>
          <w:lang w:val="en-US" w:eastAsia="zh-CN"/>
        </w:rPr>
        <w:t>成人重症患者导管相关性黏膜压力性损伤预防</w:t>
      </w:r>
      <w:r>
        <w:rPr>
          <w:rFonts w:hint="eastAsia" w:ascii="仿宋_GB2312" w:eastAsia="仿宋_GB2312"/>
          <w:color w:val="auto"/>
          <w:kern w:val="0"/>
          <w:sz w:val="28"/>
          <w:szCs w:val="28"/>
        </w:rPr>
        <w:t>的基本情况</w:t>
      </w:r>
      <w:r>
        <w:rPr>
          <w:rFonts w:hint="eastAsia" w:ascii="仿宋_GB2312" w:eastAsia="仿宋_GB2312"/>
          <w:color w:val="auto"/>
          <w:kern w:val="0"/>
          <w:sz w:val="28"/>
          <w:szCs w:val="28"/>
          <w:lang w:eastAsia="zh-CN"/>
        </w:rPr>
        <w:t>以及</w:t>
      </w:r>
      <w:r>
        <w:rPr>
          <w:rFonts w:hint="eastAsia" w:ascii="仿宋_GB2312" w:eastAsia="仿宋_GB2312"/>
          <w:color w:val="auto"/>
          <w:kern w:val="0"/>
          <w:sz w:val="28"/>
          <w:szCs w:val="28"/>
        </w:rPr>
        <w:t>要求，最终形成了</w:t>
      </w:r>
      <w:bookmarkStart w:id="8" w:name="_Hlk120181503"/>
      <w:r>
        <w:rPr>
          <w:rFonts w:hint="eastAsia" w:ascii="仿宋_GB2312" w:eastAsia="仿宋_GB2312"/>
          <w:color w:val="auto"/>
          <w:kern w:val="0"/>
          <w:sz w:val="28"/>
          <w:szCs w:val="28"/>
          <w:lang w:eastAsia="zh-CN"/>
        </w:rPr>
        <w:t>团体标准</w:t>
      </w:r>
      <w:r>
        <w:rPr>
          <w:rFonts w:hint="eastAsia" w:ascii="仿宋_GB2312" w:eastAsia="仿宋_GB2312"/>
          <w:color w:val="auto"/>
          <w:kern w:val="0"/>
          <w:sz w:val="28"/>
          <w:szCs w:val="28"/>
        </w:rPr>
        <w:t>《</w:t>
      </w:r>
      <w:r>
        <w:rPr>
          <w:rFonts w:hint="eastAsia" w:ascii="仿宋_GB2312" w:eastAsia="仿宋_GB2312"/>
          <w:color w:val="auto"/>
          <w:kern w:val="0"/>
          <w:sz w:val="28"/>
          <w:szCs w:val="28"/>
          <w:lang w:eastAsia="zh-CN"/>
        </w:rPr>
        <w:t>成人重症患者导管相关性黏膜压力性损伤预防规范</w:t>
      </w:r>
      <w:r>
        <w:rPr>
          <w:rFonts w:hint="eastAsia" w:ascii="仿宋_GB2312" w:eastAsia="仿宋_GB2312"/>
          <w:color w:val="auto"/>
          <w:kern w:val="0"/>
          <w:sz w:val="28"/>
          <w:szCs w:val="28"/>
        </w:rPr>
        <w:t>》（征求意见稿）及其编制说明。</w:t>
      </w:r>
      <w:bookmarkEnd w:id="8"/>
    </w:p>
    <w:p w14:paraId="423E8998">
      <w:pPr>
        <w:autoSpaceDE w:val="0"/>
        <w:autoSpaceDN w:val="0"/>
        <w:adjustRightInd w:val="0"/>
        <w:spacing w:line="520" w:lineRule="exact"/>
        <w:ind w:firstLine="640" w:firstLineChars="200"/>
        <w:jc w:val="left"/>
        <w:rPr>
          <w:rFonts w:hint="eastAsia" w:ascii="黑体" w:eastAsia="黑体" w:cs="仿宋_GB2312"/>
          <w:color w:val="auto"/>
          <w:sz w:val="32"/>
          <w:szCs w:val="32"/>
        </w:rPr>
      </w:pPr>
      <w:r>
        <w:rPr>
          <w:rFonts w:hint="eastAsia" w:ascii="黑体" w:eastAsia="黑体" w:cs="仿宋_GB2312"/>
          <w:color w:val="auto"/>
          <w:sz w:val="32"/>
          <w:szCs w:val="32"/>
        </w:rPr>
        <w:t>四、制定标准的原则和依据，与现行法律、法规的关系，与有关国家标准、行业标准的协调情况</w:t>
      </w:r>
    </w:p>
    <w:p w14:paraId="43D9D88F">
      <w:pPr>
        <w:widowControl/>
        <w:tabs>
          <w:tab w:val="center" w:pos="4201"/>
          <w:tab w:val="right" w:leader="dot" w:pos="9298"/>
        </w:tabs>
        <w:autoSpaceDE w:val="0"/>
        <w:autoSpaceDN w:val="0"/>
        <w:spacing w:line="520" w:lineRule="exact"/>
        <w:ind w:firstLine="562" w:firstLineChars="200"/>
        <w:outlineLvl w:val="1"/>
        <w:rPr>
          <w:rFonts w:hint="eastAsia" w:ascii="仿宋_GB2312" w:eastAsia="仿宋_GB2312"/>
          <w:b/>
          <w:bCs/>
          <w:color w:val="auto"/>
          <w:kern w:val="0"/>
          <w:sz w:val="28"/>
          <w:szCs w:val="28"/>
        </w:rPr>
      </w:pPr>
      <w:r>
        <w:rPr>
          <w:rFonts w:hint="eastAsia" w:ascii="仿宋_GB2312" w:eastAsia="仿宋_GB2312"/>
          <w:b/>
          <w:bCs/>
          <w:color w:val="auto"/>
          <w:kern w:val="0"/>
          <w:sz w:val="28"/>
          <w:szCs w:val="28"/>
        </w:rPr>
        <w:t>（一）编制原则</w:t>
      </w:r>
    </w:p>
    <w:p w14:paraId="1232FA9D">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1、实用性原则</w:t>
      </w:r>
    </w:p>
    <w:p w14:paraId="109FA20F">
      <w:pPr>
        <w:spacing w:line="520" w:lineRule="exact"/>
        <w:ind w:firstLine="560" w:firstLineChars="200"/>
        <w:rPr>
          <w:rFonts w:ascii="仿宋_GB2312" w:eastAsia="仿宋_GB2312" w:cs="仿宋"/>
          <w:color w:val="auto"/>
          <w:sz w:val="28"/>
          <w:szCs w:val="28"/>
        </w:rPr>
      </w:pPr>
      <w:r>
        <w:rPr>
          <w:rFonts w:hint="eastAsia" w:ascii="仿宋_GB2312" w:eastAsia="仿宋_GB2312" w:cs="仿宋"/>
          <w:color w:val="auto"/>
          <w:sz w:val="28"/>
          <w:szCs w:val="28"/>
        </w:rPr>
        <w:t>本标准是在充分收集国内外相关资料和文献、调研分析</w:t>
      </w:r>
      <w:r>
        <w:rPr>
          <w:rFonts w:hint="eastAsia" w:ascii="仿宋_GB2312" w:eastAsia="仿宋_GB2312"/>
          <w:color w:val="auto"/>
          <w:sz w:val="28"/>
          <w:szCs w:val="28"/>
          <w:lang w:val="en-US" w:eastAsia="zh-CN"/>
        </w:rPr>
        <w:t>成人重症患者导管相关性黏膜压力性损伤预防</w:t>
      </w:r>
      <w:r>
        <w:rPr>
          <w:rFonts w:hint="eastAsia" w:ascii="仿宋_GB2312" w:eastAsia="仿宋_GB2312"/>
          <w:color w:val="auto"/>
          <w:kern w:val="0"/>
          <w:sz w:val="28"/>
          <w:szCs w:val="28"/>
          <w:lang w:eastAsia="zh-CN"/>
        </w:rPr>
        <w:t>技术</w:t>
      </w:r>
      <w:r>
        <w:rPr>
          <w:rFonts w:hint="eastAsia" w:ascii="仿宋_GB2312" w:eastAsia="仿宋_GB2312" w:cs="仿宋"/>
          <w:color w:val="auto"/>
          <w:sz w:val="28"/>
          <w:szCs w:val="28"/>
        </w:rPr>
        <w:t>现状，结合起草单位前期研究工作取得的研究成果及积累的</w:t>
      </w:r>
      <w:r>
        <w:rPr>
          <w:rFonts w:hint="eastAsia" w:ascii="仿宋_GB2312" w:eastAsia="仿宋_GB2312" w:cs="仿宋"/>
          <w:color w:val="auto"/>
          <w:sz w:val="28"/>
          <w:szCs w:val="28"/>
          <w:lang w:val="en-US" w:eastAsia="zh-CN"/>
        </w:rPr>
        <w:t>临床</w:t>
      </w:r>
      <w:r>
        <w:rPr>
          <w:rFonts w:hint="eastAsia" w:ascii="仿宋_GB2312" w:eastAsia="仿宋_GB2312" w:cs="仿宋"/>
          <w:color w:val="auto"/>
          <w:sz w:val="28"/>
          <w:szCs w:val="28"/>
        </w:rPr>
        <w:t>实践经验，并借鉴国内</w:t>
      </w:r>
      <w:r>
        <w:rPr>
          <w:rFonts w:hint="eastAsia" w:ascii="仿宋_GB2312" w:eastAsia="仿宋_GB2312"/>
          <w:color w:val="auto"/>
          <w:sz w:val="28"/>
          <w:szCs w:val="28"/>
          <w:lang w:val="en-US" w:eastAsia="zh-CN"/>
        </w:rPr>
        <w:t>成人重症患者导管相关性黏膜压力性损伤预防</w:t>
      </w:r>
      <w:r>
        <w:rPr>
          <w:rFonts w:hint="eastAsia" w:ascii="仿宋_GB2312" w:eastAsia="仿宋_GB2312"/>
          <w:color w:val="auto"/>
          <w:kern w:val="0"/>
          <w:sz w:val="28"/>
          <w:szCs w:val="28"/>
          <w:lang w:eastAsia="zh-CN"/>
        </w:rPr>
        <w:t>操作</w:t>
      </w:r>
      <w:r>
        <w:rPr>
          <w:rFonts w:hint="eastAsia" w:ascii="仿宋_GB2312" w:eastAsia="仿宋_GB2312" w:cs="仿宋"/>
          <w:color w:val="auto"/>
          <w:sz w:val="28"/>
          <w:szCs w:val="28"/>
        </w:rPr>
        <w:t>进行总结起草的，符合工作实际，利于</w:t>
      </w:r>
      <w:r>
        <w:rPr>
          <w:rFonts w:hint="eastAsia" w:ascii="仿宋_GB2312" w:eastAsia="仿宋_GB2312"/>
          <w:color w:val="auto"/>
          <w:sz w:val="28"/>
          <w:szCs w:val="28"/>
          <w:lang w:val="en-US" w:eastAsia="zh-CN"/>
        </w:rPr>
        <w:t>成人重症患者导管相关性黏膜压力性损伤预防</w:t>
      </w:r>
      <w:r>
        <w:rPr>
          <w:rFonts w:hint="eastAsia" w:ascii="仿宋_GB2312" w:eastAsia="仿宋_GB2312" w:cs="仿宋"/>
          <w:color w:val="auto"/>
          <w:sz w:val="28"/>
          <w:szCs w:val="28"/>
        </w:rPr>
        <w:t>的实施与推广，具有可操作性和实用性。</w:t>
      </w:r>
    </w:p>
    <w:p w14:paraId="2CCAEDA8">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2、协调性原则</w:t>
      </w:r>
    </w:p>
    <w:p w14:paraId="2399442B">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本文件编写过程中注意了与</w:t>
      </w:r>
      <w:r>
        <w:rPr>
          <w:rFonts w:hint="eastAsia" w:ascii="仿宋_GB2312" w:eastAsia="仿宋_GB2312"/>
          <w:color w:val="auto"/>
          <w:sz w:val="28"/>
          <w:szCs w:val="28"/>
          <w:lang w:val="en-US" w:eastAsia="zh-CN"/>
        </w:rPr>
        <w:t>成人重症患者导管相关性黏膜压力性损伤预防</w:t>
      </w:r>
      <w:r>
        <w:rPr>
          <w:rFonts w:hint="eastAsia" w:ascii="仿宋_GB2312" w:eastAsia="仿宋_GB2312"/>
          <w:color w:val="auto"/>
          <w:sz w:val="28"/>
          <w:szCs w:val="28"/>
        </w:rPr>
        <w:t>相关法律法规的协调问题，在内容上与现行法律法规、标准协调一致。</w:t>
      </w:r>
    </w:p>
    <w:p w14:paraId="7F77537C">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3、规范性原则</w:t>
      </w:r>
    </w:p>
    <w:p w14:paraId="2CA3FAA5">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本文件严格按照GB/T 1.1—2020《标准化工作导则  第1部分：标准化文件的结构和起草规则》编写本标准的内容，保证标准的编写质量。</w:t>
      </w:r>
    </w:p>
    <w:p w14:paraId="411641D6">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4、前瞻性原则</w:t>
      </w:r>
    </w:p>
    <w:p w14:paraId="480B9C6A">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本文件在兼顾当前区内</w:t>
      </w:r>
      <w:r>
        <w:rPr>
          <w:rFonts w:hint="eastAsia" w:ascii="仿宋_GB2312" w:eastAsia="仿宋_GB2312"/>
          <w:color w:val="auto"/>
          <w:sz w:val="28"/>
          <w:szCs w:val="28"/>
          <w:lang w:val="en-US" w:eastAsia="zh-CN"/>
        </w:rPr>
        <w:t>黏膜压力性损伤预防</w:t>
      </w:r>
      <w:r>
        <w:rPr>
          <w:rFonts w:hint="eastAsia" w:ascii="仿宋_GB2312" w:eastAsia="仿宋_GB2312"/>
          <w:color w:val="auto"/>
          <w:sz w:val="28"/>
          <w:szCs w:val="28"/>
        </w:rPr>
        <w:t>现实情况的同时，还考虑到了</w:t>
      </w:r>
      <w:r>
        <w:rPr>
          <w:rFonts w:hint="eastAsia" w:ascii="仿宋_GB2312" w:eastAsia="仿宋_GB2312"/>
          <w:color w:val="auto"/>
          <w:sz w:val="28"/>
          <w:szCs w:val="28"/>
          <w:lang w:val="en-US" w:eastAsia="zh-CN"/>
        </w:rPr>
        <w:t>成人重症患者导管相关性黏膜压力性损伤预防</w:t>
      </w:r>
      <w:r>
        <w:rPr>
          <w:rFonts w:hint="eastAsia" w:ascii="仿宋_GB2312" w:eastAsia="仿宋_GB2312"/>
          <w:color w:val="auto"/>
          <w:sz w:val="28"/>
          <w:szCs w:val="28"/>
        </w:rPr>
        <w:t>的需要，在标准中体现了个别特色性、前瞻性和先进性条款，作为对</w:t>
      </w:r>
      <w:r>
        <w:rPr>
          <w:rFonts w:hint="eastAsia" w:ascii="仿宋_GB2312" w:eastAsia="仿宋_GB2312"/>
          <w:color w:val="auto"/>
          <w:sz w:val="28"/>
          <w:szCs w:val="28"/>
          <w:lang w:val="en-US" w:eastAsia="zh-CN"/>
        </w:rPr>
        <w:t>成人重症患者导管相关性黏膜压力性损伤预防</w:t>
      </w:r>
      <w:r>
        <w:rPr>
          <w:rFonts w:hint="eastAsia" w:ascii="仿宋_GB2312" w:eastAsia="仿宋_GB2312"/>
          <w:color w:val="auto"/>
          <w:sz w:val="28"/>
          <w:szCs w:val="28"/>
        </w:rPr>
        <w:t>发展的指导。</w:t>
      </w:r>
    </w:p>
    <w:p w14:paraId="2D6EFC67">
      <w:pPr>
        <w:spacing w:line="520" w:lineRule="exact"/>
        <w:ind w:firstLine="562" w:firstLineChars="200"/>
        <w:rPr>
          <w:rFonts w:hint="eastAsia" w:ascii="仿宋_GB2312" w:eastAsia="仿宋_GB2312"/>
          <w:b/>
          <w:bCs/>
          <w:color w:val="auto"/>
          <w:sz w:val="28"/>
          <w:szCs w:val="28"/>
        </w:rPr>
      </w:pPr>
      <w:r>
        <w:rPr>
          <w:rFonts w:hint="eastAsia" w:ascii="仿宋_GB2312" w:eastAsia="仿宋_GB2312"/>
          <w:b/>
          <w:bCs/>
          <w:color w:val="auto"/>
          <w:sz w:val="28"/>
          <w:szCs w:val="28"/>
        </w:rPr>
        <w:t>（二）编制依据</w:t>
      </w:r>
    </w:p>
    <w:p w14:paraId="7621A57A">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本标准严格按照GB/T 1.1—2020《标准化工作导则  第1部分：标准化文件的结构和起草规则》的规则起草，标准主要内容依据起草单位在</w:t>
      </w:r>
      <w:r>
        <w:rPr>
          <w:rFonts w:hint="eastAsia" w:ascii="仿宋_GB2312" w:eastAsia="仿宋_GB2312"/>
          <w:color w:val="auto"/>
          <w:sz w:val="28"/>
          <w:szCs w:val="28"/>
          <w:lang w:val="en-US" w:eastAsia="zh-CN"/>
        </w:rPr>
        <w:t>成人重症患者导管相关性黏膜压力性损伤预防</w:t>
      </w:r>
      <w:r>
        <w:rPr>
          <w:rFonts w:hint="eastAsia" w:ascii="仿宋_GB2312" w:eastAsia="仿宋_GB2312"/>
          <w:color w:val="auto"/>
          <w:sz w:val="28"/>
          <w:szCs w:val="28"/>
        </w:rPr>
        <w:t>研究应用过程中的实践经验确定。</w:t>
      </w:r>
    </w:p>
    <w:p w14:paraId="6D47F5E6">
      <w:pPr>
        <w:spacing w:line="520" w:lineRule="exact"/>
        <w:ind w:firstLine="562" w:firstLineChars="200"/>
        <w:rPr>
          <w:rFonts w:hint="eastAsia" w:ascii="仿宋_GB2312" w:eastAsia="仿宋_GB2312"/>
          <w:b/>
          <w:bCs/>
          <w:color w:val="auto"/>
          <w:sz w:val="28"/>
          <w:szCs w:val="28"/>
        </w:rPr>
      </w:pPr>
      <w:r>
        <w:rPr>
          <w:rFonts w:hint="eastAsia" w:ascii="仿宋_GB2312" w:eastAsia="仿宋_GB2312"/>
          <w:b/>
          <w:bCs/>
          <w:color w:val="auto"/>
          <w:sz w:val="28"/>
          <w:szCs w:val="28"/>
        </w:rPr>
        <w:t>（三）与现行法律、法规的关系，与有关国家标准、行业标准的协调情况</w:t>
      </w:r>
    </w:p>
    <w:p w14:paraId="32105D20">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本标准与相关法律法规、强制性标准协调一致，无冲突。</w:t>
      </w:r>
    </w:p>
    <w:p w14:paraId="697C62EF">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经查阅，截至目前，国内暂无与“成人重症患者导管</w:t>
      </w:r>
      <w:r>
        <w:rPr>
          <w:rFonts w:hint="eastAsia" w:ascii="仿宋_GB2312" w:eastAsia="仿宋_GB2312"/>
          <w:color w:val="auto"/>
          <w:sz w:val="28"/>
          <w:szCs w:val="28"/>
          <w:lang w:val="en-US" w:eastAsia="zh-CN"/>
        </w:rPr>
        <w:t>相关</w:t>
      </w:r>
      <w:r>
        <w:rPr>
          <w:rFonts w:hint="eastAsia" w:ascii="仿宋_GB2312" w:eastAsia="仿宋_GB2312"/>
          <w:color w:val="auto"/>
          <w:sz w:val="28"/>
          <w:szCs w:val="28"/>
        </w:rPr>
        <w:t>黏膜压力性损伤预防”相关的标准。</w:t>
      </w:r>
    </w:p>
    <w:p w14:paraId="58D3D516">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与“黏膜压力性损伤”“器械相关压力性损伤”“损伤护理”“获得性压力性损伤”相关的标准有：T/CNAS 34—2023 成人呼吸支持治疗器械相关压力性损伤的预防、T/CNAS 29—2023术中获得性压力性损伤预防、T/CRHA 038—2024 成人重症患者俯卧位机械通气压力性损伤预防规范、T/SXNA 003—2021 器械相关压力性损伤护理规范、DB62/T 4269-2020 压力性损伤风险评估规范、DB62/T 4268.1-2020慢性伤口护理技术规程 第1部分：压力性损伤、DB62/T 4270-2020压力性损伤风险预防规范。</w:t>
      </w:r>
    </w:p>
    <w:p w14:paraId="4D0145D5">
      <w:pPr>
        <w:spacing w:line="520" w:lineRule="exact"/>
        <w:ind w:firstLine="560" w:firstLineChars="200"/>
        <w:rPr>
          <w:rFonts w:hint="eastAsia"/>
          <w:color w:val="auto"/>
          <w:lang w:eastAsia="zh-CN"/>
        </w:rPr>
      </w:pPr>
      <w:r>
        <w:rPr>
          <w:rFonts w:hint="eastAsia" w:ascii="仿宋_GB2312" w:eastAsia="仿宋_GB2312"/>
          <w:color w:val="auto"/>
          <w:sz w:val="28"/>
          <w:szCs w:val="28"/>
          <w:lang w:eastAsia="zh-CN"/>
        </w:rPr>
        <w:t>上述标准主要涉及压力性损伤风险预防等技术，</w:t>
      </w:r>
      <w:r>
        <w:rPr>
          <w:rFonts w:hint="eastAsia" w:ascii="仿宋_GB2312" w:eastAsia="仿宋_GB2312"/>
          <w:color w:val="auto"/>
          <w:sz w:val="28"/>
          <w:szCs w:val="28"/>
          <w:lang w:val="en-US" w:eastAsia="zh-CN"/>
        </w:rPr>
        <w:t>不涉及导管的固定方法操作内容。</w:t>
      </w:r>
      <w:r>
        <w:rPr>
          <w:rFonts w:hint="eastAsia" w:ascii="仿宋_GB2312" w:eastAsia="仿宋_GB2312"/>
          <w:color w:val="auto"/>
          <w:sz w:val="28"/>
          <w:szCs w:val="28"/>
          <w:lang w:eastAsia="zh-CN"/>
        </w:rPr>
        <w:t>相对于以上标准：本标准针对成人重症患者导管（鼻胃管/鼻肠管、</w:t>
      </w:r>
      <w:r>
        <w:rPr>
          <w:rFonts w:hint="eastAsia" w:ascii="仿宋_GB2312" w:eastAsia="仿宋_GB2312"/>
          <w:color w:val="auto"/>
          <w:sz w:val="28"/>
          <w:szCs w:val="28"/>
          <w:lang w:val="en-US" w:eastAsia="zh-CN"/>
        </w:rPr>
        <w:t>经口</w:t>
      </w:r>
      <w:r>
        <w:rPr>
          <w:rFonts w:hint="eastAsia" w:ascii="仿宋_GB2312" w:eastAsia="仿宋_GB2312"/>
          <w:color w:val="auto"/>
          <w:sz w:val="28"/>
          <w:szCs w:val="28"/>
          <w:lang w:eastAsia="zh-CN"/>
        </w:rPr>
        <w:t>气管插管、导尿管）导致的黏膜压力性损伤进行预防，给出了创新改良的固定方法：鼻胃管/鼻肠管</w:t>
      </w:r>
      <w:r>
        <w:rPr>
          <w:rFonts w:hint="eastAsia" w:ascii="仿宋_GB2312" w:eastAsia="仿宋_GB2312"/>
          <w:color w:val="auto"/>
          <w:sz w:val="28"/>
          <w:szCs w:val="28"/>
          <w:lang w:val="en-US" w:eastAsia="zh-CN"/>
        </w:rPr>
        <w:t>采用“人”字双螺旋横向固定法＋“双E”型固定法、经口</w:t>
      </w:r>
      <w:r>
        <w:rPr>
          <w:rFonts w:hint="eastAsia" w:ascii="仿宋_GB2312" w:eastAsia="仿宋_GB2312"/>
          <w:color w:val="auto"/>
          <w:sz w:val="28"/>
          <w:szCs w:val="28"/>
          <w:lang w:eastAsia="zh-CN"/>
        </w:rPr>
        <w:t>气管插管</w:t>
      </w:r>
      <w:r>
        <w:rPr>
          <w:rFonts w:hint="eastAsia" w:ascii="仿宋_GB2312" w:eastAsia="仿宋_GB2312"/>
          <w:color w:val="auto"/>
          <w:sz w:val="28"/>
          <w:szCs w:val="28"/>
          <w:lang w:val="en-US" w:eastAsia="zh-CN"/>
        </w:rPr>
        <w:t>采用</w:t>
      </w:r>
      <w:r>
        <w:rPr>
          <w:rFonts w:hint="eastAsia" w:ascii="仿宋_GB2312" w:eastAsia="仿宋_GB2312"/>
          <w:color w:val="auto"/>
          <w:sz w:val="28"/>
          <w:szCs w:val="28"/>
          <w:lang w:eastAsia="zh-CN"/>
        </w:rPr>
        <w:t>双“Y”字固定法、导尿管</w:t>
      </w:r>
      <w:r>
        <w:rPr>
          <w:rFonts w:hint="eastAsia" w:ascii="仿宋_GB2312" w:eastAsia="仿宋_GB2312"/>
          <w:color w:val="auto"/>
          <w:sz w:val="28"/>
          <w:szCs w:val="28"/>
          <w:lang w:val="en-US" w:eastAsia="zh-CN"/>
        </w:rPr>
        <w:t>采用下腹部“双E”型固定法</w:t>
      </w:r>
      <w:r>
        <w:rPr>
          <w:rFonts w:hint="eastAsia" w:ascii="仿宋_GB2312" w:eastAsia="仿宋_GB2312"/>
          <w:color w:val="auto"/>
          <w:sz w:val="28"/>
          <w:szCs w:val="28"/>
          <w:lang w:eastAsia="zh-CN"/>
        </w:rPr>
        <w:t>，显著降低了导管</w:t>
      </w:r>
      <w:r>
        <w:rPr>
          <w:rFonts w:hint="eastAsia" w:ascii="仿宋_GB2312" w:eastAsia="仿宋_GB2312"/>
          <w:color w:val="auto"/>
          <w:sz w:val="28"/>
          <w:szCs w:val="28"/>
          <w:lang w:val="en-US" w:eastAsia="zh-CN"/>
        </w:rPr>
        <w:t>相关黏膜压力性损伤的发生率</w:t>
      </w:r>
      <w:r>
        <w:rPr>
          <w:rFonts w:hint="eastAsia" w:ascii="仿宋_GB2312" w:eastAsia="仿宋_GB2312"/>
          <w:color w:val="auto"/>
          <w:sz w:val="28"/>
          <w:szCs w:val="28"/>
          <w:lang w:eastAsia="zh-CN"/>
        </w:rPr>
        <w:t>。</w:t>
      </w:r>
    </w:p>
    <w:p w14:paraId="7B6445AB">
      <w:pPr>
        <w:spacing w:before="240" w:after="60" w:line="520" w:lineRule="exact"/>
        <w:ind w:firstLine="640" w:firstLineChars="200"/>
        <w:jc w:val="left"/>
        <w:outlineLvl w:val="0"/>
        <w:rPr>
          <w:rFonts w:hint="eastAsia" w:ascii="黑体" w:eastAsia="黑体"/>
          <w:bCs/>
          <w:color w:val="auto"/>
          <w:sz w:val="32"/>
          <w:szCs w:val="32"/>
        </w:rPr>
      </w:pPr>
      <w:r>
        <w:rPr>
          <w:rFonts w:hint="eastAsia" w:ascii="黑体" w:eastAsia="黑体"/>
          <w:bCs/>
          <w:color w:val="auto"/>
          <w:sz w:val="32"/>
          <w:szCs w:val="32"/>
        </w:rPr>
        <w:t>五、主要条款的说明</w:t>
      </w:r>
    </w:p>
    <w:p w14:paraId="3ACAF5FA">
      <w:pPr>
        <w:pStyle w:val="30"/>
        <w:spacing w:line="520" w:lineRule="exact"/>
        <w:ind w:firstLine="562"/>
        <w:rPr>
          <w:rFonts w:hint="eastAsia" w:ascii="仿宋_GB2312" w:eastAsia="仿宋_GB2312" w:cs="仿宋"/>
          <w:b w:val="0"/>
          <w:bCs w:val="0"/>
          <w:color w:val="auto"/>
          <w:sz w:val="28"/>
          <w:szCs w:val="28"/>
        </w:rPr>
      </w:pPr>
      <w:r>
        <w:rPr>
          <w:rFonts w:hint="eastAsia" w:ascii="仿宋_GB2312" w:eastAsia="仿宋_GB2312" w:cs="仿宋"/>
          <w:b w:val="0"/>
          <w:bCs w:val="0"/>
          <w:color w:val="auto"/>
          <w:sz w:val="28"/>
          <w:szCs w:val="28"/>
        </w:rPr>
        <w:t>标准技术内容界定了</w:t>
      </w:r>
      <w:r>
        <w:rPr>
          <w:rFonts w:hint="eastAsia" w:ascii="仿宋_GB2312" w:eastAsia="仿宋_GB2312" w:cs="仿宋"/>
          <w:b w:val="0"/>
          <w:bCs w:val="0"/>
          <w:color w:val="auto"/>
          <w:sz w:val="28"/>
          <w:szCs w:val="28"/>
          <w:lang w:val="en-US" w:eastAsia="zh-CN"/>
        </w:rPr>
        <w:t>成人重症患者导管相关性黏膜压力性损伤预防</w:t>
      </w:r>
      <w:r>
        <w:rPr>
          <w:rFonts w:hint="eastAsia" w:ascii="仿宋_GB2312" w:eastAsia="仿宋_GB2312" w:cs="仿宋"/>
          <w:b w:val="0"/>
          <w:bCs w:val="0"/>
          <w:color w:val="auto"/>
          <w:sz w:val="28"/>
          <w:szCs w:val="28"/>
        </w:rPr>
        <w:t>涉及的术语和定义，</w:t>
      </w:r>
      <w:r>
        <w:rPr>
          <w:rFonts w:hint="eastAsia" w:ascii="仿宋_GB2312" w:eastAsia="仿宋_GB2312" w:cs="仿宋"/>
          <w:b w:val="0"/>
          <w:bCs w:val="0"/>
          <w:color w:val="auto"/>
          <w:sz w:val="28"/>
          <w:szCs w:val="28"/>
          <w:lang w:val="en-US" w:eastAsia="zh-CN"/>
        </w:rPr>
        <w:t>规定了成人重症患者导管相关性黏膜压力性损伤预防的基本要求、评估、预防措施、教育和管理的要求</w:t>
      </w:r>
      <w:r>
        <w:rPr>
          <w:rFonts w:hint="eastAsia" w:ascii="仿宋_GB2312" w:eastAsia="仿宋_GB2312" w:cs="仿宋"/>
          <w:b w:val="0"/>
          <w:bCs w:val="0"/>
          <w:color w:val="auto"/>
          <w:sz w:val="28"/>
          <w:szCs w:val="28"/>
        </w:rPr>
        <w:t>。</w:t>
      </w:r>
    </w:p>
    <w:p w14:paraId="3A3B9ADA">
      <w:pPr>
        <w:pStyle w:val="30"/>
        <w:spacing w:line="520" w:lineRule="exact"/>
        <w:ind w:firstLine="0" w:firstLineChars="0"/>
        <w:rPr>
          <w:rFonts w:hint="eastAsia" w:ascii="仿宋_GB2312" w:eastAsia="仿宋_GB2312" w:cs="仿宋"/>
          <w:b/>
          <w:bCs/>
          <w:color w:val="auto"/>
          <w:sz w:val="28"/>
          <w:szCs w:val="28"/>
        </w:rPr>
      </w:pPr>
      <w:r>
        <w:rPr>
          <w:rFonts w:hint="eastAsia" w:ascii="仿宋_GB2312" w:eastAsia="仿宋_GB2312" w:cs="仿宋"/>
          <w:b/>
          <w:bCs/>
          <w:color w:val="auto"/>
          <w:sz w:val="28"/>
          <w:szCs w:val="28"/>
          <w:lang w:eastAsia="zh-CN"/>
        </w:rPr>
        <w:t>（一）</w:t>
      </w:r>
      <w:r>
        <w:rPr>
          <w:rFonts w:hint="eastAsia" w:ascii="仿宋_GB2312" w:eastAsia="仿宋_GB2312" w:cs="仿宋"/>
          <w:b/>
          <w:bCs/>
          <w:color w:val="auto"/>
          <w:sz w:val="28"/>
          <w:szCs w:val="28"/>
        </w:rPr>
        <w:t>术语和定义</w:t>
      </w:r>
    </w:p>
    <w:p w14:paraId="7A67A355">
      <w:pPr>
        <w:pStyle w:val="30"/>
        <w:numPr>
          <w:ilvl w:val="0"/>
          <w:numId w:val="0"/>
        </w:numPr>
        <w:spacing w:line="520" w:lineRule="exact"/>
        <w:ind w:left="0" w:leftChars="0" w:firstLine="562" w:firstLineChars="200"/>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3.1 导管相关性黏膜压力性损伤</w:t>
      </w:r>
    </w:p>
    <w:p w14:paraId="1DB4C865">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该定义参考了美国国家压疮咨询委员会（NPUAP）2016年更新的压力性损伤定义和分期系统，以及国内外大量关于医疗器械相关性压力性损伤（MDRPI）的文献。其核心是将传统压力性损伤的概念从皮肤延伸至黏膜这一特殊解剖结构，并强调了致病机制（持续压力和剪切力）和发生部位（呼吸道、胃肠道、泌尿生殖道的湿性黏膜）。</w:t>
      </w:r>
    </w:p>
    <w:p w14:paraId="7B2EC2FB">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需准确描述损伤的本质（压力性损伤）、原因（管路及固定装置）、机制（持续压力和剪切力）和部位（湿性黏膜），以区别于化学性、机械性黏膜损伤。定义需涵盖所有常见的导管类型（如气管插管、鼻胃管、导尿管），适用于重症医学场景。</w:t>
      </w:r>
    </w:p>
    <w:p w14:paraId="2990F6D4">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制定原因：既往标准多聚焦于皮肤压力性损伤，对黏膜部位关注不足。明确定义是标准化的基础，有助于统一临床人员对该类损伤的认知，为后续的预防、评估和记录提供统一标尺，避免概念混淆和漏报。</w:t>
      </w:r>
    </w:p>
    <w:p w14:paraId="5171340D">
      <w:pPr>
        <w:pStyle w:val="30"/>
        <w:spacing w:line="520" w:lineRule="exact"/>
        <w:ind w:firstLine="0" w:firstLineChars="0"/>
        <w:rPr>
          <w:rFonts w:hint="eastAsia" w:ascii="仿宋_GB2312" w:eastAsia="仿宋_GB2312" w:cs="仿宋"/>
          <w:b/>
          <w:bCs/>
          <w:color w:val="auto"/>
          <w:sz w:val="28"/>
          <w:szCs w:val="28"/>
          <w:lang w:val="en-US" w:eastAsia="zh-CN"/>
        </w:rPr>
      </w:pPr>
      <w:r>
        <w:rPr>
          <w:rFonts w:hint="eastAsia" w:ascii="仿宋_GB2312" w:eastAsia="仿宋_GB2312" w:cs="仿宋"/>
          <w:b/>
          <w:bCs/>
          <w:color w:val="auto"/>
          <w:sz w:val="28"/>
          <w:szCs w:val="28"/>
          <w:lang w:eastAsia="zh-CN"/>
        </w:rPr>
        <w:t>（二）</w:t>
      </w:r>
      <w:r>
        <w:rPr>
          <w:rFonts w:hint="eastAsia" w:ascii="仿宋_GB2312" w:eastAsia="仿宋_GB2312" w:cs="仿宋"/>
          <w:b/>
          <w:bCs/>
          <w:color w:val="auto"/>
          <w:sz w:val="28"/>
          <w:szCs w:val="28"/>
          <w:lang w:val="en-US" w:eastAsia="zh-CN"/>
        </w:rPr>
        <w:t>基本要求</w:t>
      </w:r>
    </w:p>
    <w:p w14:paraId="50A18AA5">
      <w:pPr>
        <w:pStyle w:val="30"/>
        <w:numPr>
          <w:ilvl w:val="0"/>
          <w:numId w:val="0"/>
        </w:numPr>
        <w:spacing w:line="520" w:lineRule="exact"/>
        <w:ind w:left="0" w:leftChars="0" w:firstLine="562"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人员要求</w:t>
      </w:r>
      <w:r>
        <w:rPr>
          <w:rFonts w:hint="eastAsia" w:ascii="仿宋_GB2312" w:eastAsia="仿宋_GB2312" w:cs="仿宋"/>
          <w:b w:val="0"/>
          <w:bCs/>
          <w:color w:val="auto"/>
          <w:sz w:val="28"/>
          <w:szCs w:val="28"/>
          <w:highlight w:val="none"/>
          <w:lang w:val="en-US" w:eastAsia="zh-CN"/>
        </w:rPr>
        <w:t>：医务人员经过黏膜压力性损伤预防的基本原理和操作技能培训并考试合格。规定人员需经培训并考核合格，确保所有接触患者的医务人员都具备同质化的知识和技能水平，从而直接保障干预措施的有效性和患者安全。</w:t>
      </w:r>
    </w:p>
    <w:p w14:paraId="34C5A611">
      <w:pPr>
        <w:pStyle w:val="30"/>
        <w:numPr>
          <w:ilvl w:val="0"/>
          <w:numId w:val="0"/>
        </w:numPr>
        <w:spacing w:line="520" w:lineRule="exact"/>
        <w:ind w:left="0" w:leftChars="0" w:firstLine="562"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环境要求</w:t>
      </w:r>
      <w:r>
        <w:rPr>
          <w:rFonts w:hint="eastAsia" w:ascii="仿宋_GB2312" w:eastAsia="仿宋_GB2312" w:cs="仿宋"/>
          <w:b w:val="0"/>
          <w:bCs/>
          <w:color w:val="auto"/>
          <w:sz w:val="28"/>
          <w:szCs w:val="28"/>
          <w:highlight w:val="none"/>
          <w:lang w:val="en-US" w:eastAsia="zh-CN"/>
        </w:rPr>
        <w:t>：引用了国家卫生行业标准WS/T 367《医疗机构消毒技术规范》、GB 15982《医院消毒卫生标准》、WS/T 313《医务人员手卫生规范》和WS/T 509《重症监护病房医院感染预防与控制规范》。重症患者免疫力低下，任何黏膜损伤都是感染的潜在门户。保持集舒适性、安全性于一体的治疗环境，通过严格控制环境消毒、手卫生、ICU感控最大限度降低患者继发感染的风险，这是预防任何并发症的基础。</w:t>
      </w:r>
    </w:p>
    <w:p w14:paraId="6CBF7B72">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4.3 耗材及用品</w:t>
      </w:r>
    </w:p>
    <w:p w14:paraId="73C70478">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优先选择能减轻压力、减少剪切力、管理潮湿、透气且低致敏的材料。所列耗材应为临床上常用、可及性高、经过验证有效的产品。弹性棉柔胶布因其透气、低致敏、顺应性好的特性被广泛推荐。聚氨酯泡沫敷料能有效重新分布压力、管理微环境，从而预防MPI。其他合适的工具（剪刀）和辅助用品（牙垫）是执行固定方法的必备基础工具。</w:t>
      </w:r>
    </w:p>
    <w:p w14:paraId="5B02B90E">
      <w:pPr>
        <w:pStyle w:val="30"/>
        <w:spacing w:line="520" w:lineRule="exact"/>
        <w:ind w:firstLine="0" w:firstLineChars="0"/>
        <w:rPr>
          <w:rFonts w:hint="eastAsia" w:ascii="仿宋_GB2312" w:eastAsia="仿宋_GB2312" w:cs="仿宋"/>
          <w:b/>
          <w:bCs/>
          <w:color w:val="auto"/>
          <w:sz w:val="28"/>
          <w:szCs w:val="28"/>
          <w:lang w:val="en-US" w:eastAsia="zh-CN"/>
        </w:rPr>
      </w:pPr>
      <w:r>
        <w:rPr>
          <w:rFonts w:hint="eastAsia" w:ascii="仿宋_GB2312" w:eastAsia="仿宋_GB2312" w:cs="仿宋"/>
          <w:b/>
          <w:bCs/>
          <w:color w:val="auto"/>
          <w:sz w:val="28"/>
          <w:szCs w:val="28"/>
          <w:lang w:eastAsia="zh-CN"/>
        </w:rPr>
        <w:t>（三）</w:t>
      </w:r>
      <w:r>
        <w:rPr>
          <w:rFonts w:hint="eastAsia" w:ascii="仿宋_GB2312" w:eastAsia="仿宋_GB2312" w:cs="仿宋"/>
          <w:b/>
          <w:bCs/>
          <w:color w:val="auto"/>
          <w:sz w:val="28"/>
          <w:szCs w:val="28"/>
          <w:lang w:val="en-US" w:eastAsia="zh-CN"/>
        </w:rPr>
        <w:t>评估</w:t>
      </w:r>
    </w:p>
    <w:p w14:paraId="34A0A2DD">
      <w:pPr>
        <w:pStyle w:val="30"/>
        <w:numPr>
          <w:ilvl w:val="0"/>
          <w:numId w:val="0"/>
        </w:numPr>
        <w:spacing w:line="520" w:lineRule="exact"/>
        <w:ind w:left="0" w:leftChars="0" w:firstLine="562"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5.1 风险评估</w:t>
      </w:r>
      <w:r>
        <w:rPr>
          <w:rFonts w:hint="eastAsia" w:ascii="仿宋_GB2312" w:eastAsia="仿宋_GB2312" w:cs="仿宋"/>
          <w:b w:val="0"/>
          <w:bCs/>
          <w:color w:val="auto"/>
          <w:sz w:val="28"/>
          <w:szCs w:val="28"/>
          <w:highlight w:val="none"/>
          <w:lang w:val="en-US" w:eastAsia="zh-CN"/>
        </w:rPr>
        <w:t>：主要依据欧洲压疮咨询委员会（EPUAP）与美国国家压疮咨询委员会（NPIAP）联合发布的《预防和治疗压力性损伤：临床实践指南》中关于医疗器械相关性压力性损伤（MDRPI）的风险因素模型，其核心考量是系统性识别并整合患者自身高危内因（如组织耐受性）与器械相关外因（如压力、微环境），从而实现从源头上对风险进行主动干预。</w:t>
      </w:r>
    </w:p>
    <w:p w14:paraId="630D1940">
      <w:pPr>
        <w:pStyle w:val="30"/>
        <w:numPr>
          <w:ilvl w:val="0"/>
          <w:numId w:val="0"/>
        </w:numPr>
        <w:spacing w:line="520" w:lineRule="exact"/>
        <w:ind w:left="0" w:leftChars="0" w:firstLine="562"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评估时机：</w:t>
      </w:r>
      <w:r>
        <w:rPr>
          <w:rFonts w:hint="eastAsia" w:ascii="仿宋_GB2312" w:eastAsia="仿宋_GB2312" w:cs="仿宋"/>
          <w:b w:val="0"/>
          <w:bCs/>
          <w:color w:val="auto"/>
          <w:sz w:val="28"/>
          <w:szCs w:val="28"/>
          <w:highlight w:val="none"/>
          <w:lang w:val="en-US" w:eastAsia="zh-CN"/>
        </w:rPr>
        <w:t>规定了初始与动态评估的时机，主要考虑在于将评估嵌入到护理关键节点（操作前、变化时、交接班），形成闭环管理，以确保在任何病情或治疗状态变化时都能及时捕获新风险并调整预防策略。</w:t>
      </w:r>
    </w:p>
    <w:p w14:paraId="031579EA">
      <w:pPr>
        <w:pStyle w:val="30"/>
        <w:numPr>
          <w:ilvl w:val="0"/>
          <w:numId w:val="0"/>
        </w:numPr>
        <w:spacing w:line="520" w:lineRule="exact"/>
        <w:ind w:left="0" w:leftChars="0" w:firstLine="562"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评估工具</w:t>
      </w:r>
      <w:r>
        <w:rPr>
          <w:rFonts w:hint="eastAsia" w:ascii="仿宋_GB2312" w:eastAsia="仿宋_GB2312" w:cs="仿宋"/>
          <w:b w:val="0"/>
          <w:bCs/>
          <w:color w:val="auto"/>
          <w:sz w:val="28"/>
          <w:szCs w:val="28"/>
          <w:highlight w:val="none"/>
          <w:lang w:val="en-US" w:eastAsia="zh-CN"/>
        </w:rPr>
        <w:t>：推荐使用通用量表（Braden/Waterlow）结合专科工具（气囊压力监测表），依据来源于《中国医疗器械相关性压力性损伤预防与管理指南》的共识推荐，在利用成熟量表评估患者整体衰弱风险的同时，借助专科工具量化特定器械（如气管导管气囊）的机械性损伤风险，使评估更加全面与精准。</w:t>
      </w:r>
    </w:p>
    <w:p w14:paraId="1BAAC87A">
      <w:pPr>
        <w:pStyle w:val="30"/>
        <w:numPr>
          <w:ilvl w:val="0"/>
          <w:numId w:val="0"/>
        </w:numPr>
        <w:spacing w:line="520" w:lineRule="exact"/>
        <w:ind w:left="279" w:leftChars="133" w:firstLine="281" w:firstLineChars="100"/>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5.2 皮肤与黏膜评估</w:t>
      </w:r>
    </w:p>
    <w:p w14:paraId="724EBF60">
      <w:pPr>
        <w:pStyle w:val="30"/>
        <w:numPr>
          <w:ilvl w:val="0"/>
          <w:numId w:val="0"/>
        </w:numPr>
        <w:spacing w:line="520" w:lineRule="exact"/>
        <w:ind w:left="279" w:leftChars="133"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参考了多项关于MDRPI解剖部位分布特征的临床研究（如经鼻导管易损伤鼻翼、鼻小柱），主要考虑是不同器械与人体黏膜/皮肤接触的力学特点和位置，进行有重点的视诊与触诊，以最早发现微小但关键的早期损伤迹象（如压痕、苍白），从而实现超早期干预。</w:t>
      </w:r>
    </w:p>
    <w:p w14:paraId="794DB81B">
      <w:pPr>
        <w:pStyle w:val="30"/>
        <w:numPr>
          <w:ilvl w:val="0"/>
          <w:numId w:val="0"/>
        </w:numPr>
        <w:spacing w:line="520" w:lineRule="exact"/>
        <w:ind w:left="559" w:leftChars="266" w:firstLine="0" w:firstLineChars="0"/>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5.3 评估频率</w:t>
      </w:r>
    </w:p>
    <w:p w14:paraId="5B3E7183">
      <w:pPr>
        <w:pStyle w:val="30"/>
        <w:numPr>
          <w:ilvl w:val="0"/>
          <w:numId w:val="0"/>
        </w:numPr>
        <w:spacing w:line="520" w:lineRule="exact"/>
        <w:ind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规定了“至少每班一次”的频率，基于重症患者病情瞬息万变的特性及《中国重症监护病房（ICU）医院感染预防与控制规范》中的监测要求，主要考虑是在保障临床工作可行性的前提下，通过高频次评估来动态监测器械下方皮肤黏膜状况，确保能够及时发现并处理因体位改变、护理操作或病情进展（如水肿）所引发的急性损伤风险。</w:t>
      </w:r>
    </w:p>
    <w:p w14:paraId="1782C6D7">
      <w:pPr>
        <w:pStyle w:val="30"/>
        <w:spacing w:line="520" w:lineRule="exact"/>
        <w:ind w:firstLine="0" w:firstLineChars="0"/>
        <w:rPr>
          <w:rFonts w:hint="eastAsia" w:ascii="仿宋_GB2312" w:eastAsia="仿宋_GB2312" w:cs="仿宋"/>
          <w:b/>
          <w:bCs/>
          <w:color w:val="auto"/>
          <w:sz w:val="28"/>
          <w:szCs w:val="28"/>
          <w:lang w:val="en-US" w:eastAsia="zh-CN"/>
        </w:rPr>
      </w:pPr>
      <w:r>
        <w:rPr>
          <w:rFonts w:hint="eastAsia" w:ascii="仿宋_GB2312" w:eastAsia="仿宋_GB2312" w:cs="仿宋"/>
          <w:b/>
          <w:bCs/>
          <w:color w:val="auto"/>
          <w:sz w:val="28"/>
          <w:szCs w:val="28"/>
          <w:lang w:eastAsia="zh-CN"/>
        </w:rPr>
        <w:t>（四）</w:t>
      </w:r>
      <w:r>
        <w:rPr>
          <w:rFonts w:hint="eastAsia" w:ascii="仿宋_GB2312" w:eastAsia="仿宋_GB2312" w:cs="仿宋"/>
          <w:b/>
          <w:bCs/>
          <w:color w:val="auto"/>
          <w:sz w:val="28"/>
          <w:szCs w:val="28"/>
          <w:lang w:val="en-US" w:eastAsia="zh-CN"/>
        </w:rPr>
        <w:t>预防措施</w:t>
      </w:r>
    </w:p>
    <w:p w14:paraId="59F20D81">
      <w:pPr>
        <w:pStyle w:val="30"/>
        <w:numPr>
          <w:ilvl w:val="0"/>
          <w:numId w:val="0"/>
        </w:numPr>
        <w:spacing w:line="520" w:lineRule="exact"/>
        <w:ind w:left="0" w:leftChars="0" w:firstLine="562" w:firstLineChars="200"/>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6.1 营养支持</w:t>
      </w:r>
    </w:p>
    <w:p w14:paraId="07B1B31E">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主要依据欧洲肠外肠内营养学会（ESPEN）及美国肠外肠内营养学会（ASPEN）发布的重症患者营养支持指南。单纯的局部护理若没有全身营养的支持，效果将大打折扣。将营养提升为核心预防策略之一，也是整体预防方案中的基础性地位。营养不良是压力性损伤的独立危险因素。营养是维持皮肤和黏膜完整性、促进组织修复的生理基础。方案需个体化，并由多学科团队制定，以确保科学性和有效性。</w:t>
      </w:r>
    </w:p>
    <w:p w14:paraId="613D23E2">
      <w:pPr>
        <w:pStyle w:val="30"/>
        <w:numPr>
          <w:ilvl w:val="0"/>
          <w:numId w:val="0"/>
        </w:numPr>
        <w:spacing w:line="520" w:lineRule="exact"/>
        <w:ind w:left="0" w:leftChars="0" w:firstLine="560" w:firstLineChars="200"/>
        <w:rPr>
          <w:rFonts w:hint="default"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同时针对压力性损伤高危患者，规定了通过主动强化蛋白质补充（无论经口、肠内或肠外途径），旨在超越常规饮食供给，为胶原蛋白合成和组织修复提供充足的底物，以对抗疾病消耗导致的快速肌肉和组织流失。</w:t>
      </w:r>
    </w:p>
    <w:p w14:paraId="069734E0">
      <w:pPr>
        <w:pStyle w:val="30"/>
        <w:numPr>
          <w:ilvl w:val="0"/>
          <w:numId w:val="0"/>
        </w:numPr>
        <w:spacing w:line="520" w:lineRule="exact"/>
        <w:ind w:left="0" w:leftChars="0" w:firstLine="562" w:firstLineChars="200"/>
        <w:rPr>
          <w:rFonts w:hint="default" w:ascii="仿宋_GB2312" w:eastAsia="仿宋_GB2312" w:cs="仿宋"/>
          <w:b/>
          <w:bCs w:val="0"/>
          <w:color w:val="auto"/>
          <w:sz w:val="28"/>
          <w:szCs w:val="28"/>
          <w:highlight w:val="none"/>
          <w:lang w:val="en-US" w:eastAsia="zh-CN"/>
        </w:rPr>
      </w:pPr>
      <w:r>
        <w:rPr>
          <w:rFonts w:hint="default" w:ascii="仿宋_GB2312" w:eastAsia="仿宋_GB2312" w:cs="仿宋"/>
          <w:b/>
          <w:bCs w:val="0"/>
          <w:color w:val="auto"/>
          <w:sz w:val="28"/>
          <w:szCs w:val="28"/>
          <w:highlight w:val="none"/>
          <w:lang w:val="en-US" w:eastAsia="zh-CN"/>
        </w:rPr>
        <w:t>6.2.皮肤护理</w:t>
      </w:r>
    </w:p>
    <w:p w14:paraId="32302CE1">
      <w:pPr>
        <w:pStyle w:val="30"/>
        <w:numPr>
          <w:ilvl w:val="0"/>
          <w:numId w:val="0"/>
        </w:numPr>
        <w:spacing w:line="520" w:lineRule="exact"/>
        <w:ind w:left="0" w:leftChars="0" w:firstLine="560" w:firstLineChars="200"/>
        <w:rPr>
          <w:rFonts w:hint="default" w:ascii="Segoe UI" w:hAnsi="Segoe UI" w:eastAsia="Segoe UI" w:cs="Segoe UI"/>
          <w:i w:val="0"/>
          <w:iCs w:val="0"/>
          <w:caps w:val="0"/>
          <w:color w:val="404040"/>
          <w:spacing w:val="0"/>
          <w:sz w:val="24"/>
          <w:szCs w:val="24"/>
          <w:lang w:val="en-US"/>
        </w:rPr>
      </w:pPr>
      <w:r>
        <w:rPr>
          <w:rFonts w:hint="eastAsia" w:ascii="仿宋_GB2312" w:eastAsia="仿宋_GB2312" w:cs="仿宋"/>
          <w:b w:val="0"/>
          <w:bCs/>
          <w:color w:val="auto"/>
          <w:sz w:val="28"/>
          <w:szCs w:val="28"/>
          <w:highlight w:val="none"/>
          <w:lang w:val="en-US" w:eastAsia="zh-CN"/>
        </w:rPr>
        <w:t>6.2.1</w:t>
      </w:r>
      <w:r>
        <w:rPr>
          <w:rFonts w:hint="default" w:ascii="仿宋_GB2312" w:eastAsia="仿宋_GB2312" w:cs="仿宋"/>
          <w:b w:val="0"/>
          <w:bCs/>
          <w:color w:val="auto"/>
          <w:sz w:val="28"/>
          <w:szCs w:val="28"/>
          <w:highlight w:val="none"/>
          <w:lang w:val="en-US" w:eastAsia="zh-CN"/>
        </w:rPr>
        <w:t>规定入院时尽早检查全身皮肤</w:t>
      </w:r>
      <w:r>
        <w:rPr>
          <w:rFonts w:hint="eastAsia" w:ascii="仿宋_GB2312" w:eastAsia="仿宋_GB2312" w:cs="仿宋"/>
          <w:b w:val="0"/>
          <w:bCs/>
          <w:color w:val="auto"/>
          <w:sz w:val="28"/>
          <w:szCs w:val="28"/>
          <w:highlight w:val="none"/>
          <w:lang w:val="en-US" w:eastAsia="zh-CN"/>
        </w:rPr>
        <w:t>，</w:t>
      </w:r>
      <w:r>
        <w:rPr>
          <w:rFonts w:hint="default" w:ascii="仿宋_GB2312" w:eastAsia="仿宋_GB2312" w:cs="仿宋"/>
          <w:b w:val="0"/>
          <w:bCs/>
          <w:color w:val="auto"/>
          <w:sz w:val="28"/>
          <w:szCs w:val="28"/>
          <w:highlight w:val="none"/>
          <w:lang w:val="en-US" w:eastAsia="zh-CN"/>
        </w:rPr>
        <w:t>入院8小时内完成评估是基于对早期预警的强调，以便准确区分入院前既有损伤与住院期间新发损伤，为后续所有预防措施的效果评价和责任界定提供关键依据。</w:t>
      </w:r>
      <w:r>
        <w:rPr>
          <w:rFonts w:hint="eastAsia" w:ascii="仿宋_GB2312" w:eastAsia="仿宋_GB2312" w:cs="仿宋"/>
          <w:b w:val="0"/>
          <w:bCs/>
          <w:color w:val="auto"/>
          <w:sz w:val="28"/>
          <w:szCs w:val="28"/>
          <w:highlight w:val="none"/>
          <w:lang w:val="en-US" w:eastAsia="zh-CN"/>
        </w:rPr>
        <w:t>6.2.2规定了应</w:t>
      </w:r>
      <w:r>
        <w:rPr>
          <w:rFonts w:hint="default" w:ascii="仿宋_GB2312" w:eastAsia="仿宋_GB2312" w:cs="仿宋"/>
          <w:b w:val="0"/>
          <w:bCs/>
          <w:color w:val="auto"/>
          <w:sz w:val="28"/>
          <w:szCs w:val="28"/>
          <w:highlight w:val="none"/>
          <w:lang w:val="en-US" w:eastAsia="zh-CN"/>
        </w:rPr>
        <w:t>每日检查</w:t>
      </w:r>
      <w:r>
        <w:rPr>
          <w:rFonts w:hint="eastAsia" w:ascii="仿宋_GB2312" w:eastAsia="仿宋_GB2312" w:cs="仿宋"/>
          <w:b w:val="0"/>
          <w:bCs/>
          <w:color w:val="auto"/>
          <w:sz w:val="28"/>
          <w:szCs w:val="28"/>
          <w:highlight w:val="none"/>
          <w:lang w:val="en-US" w:eastAsia="zh-CN"/>
        </w:rPr>
        <w:t>，并</w:t>
      </w:r>
      <w:r>
        <w:rPr>
          <w:rFonts w:hint="default" w:ascii="仿宋_GB2312" w:eastAsia="仿宋_GB2312" w:cs="仿宋"/>
          <w:b w:val="0"/>
          <w:bCs/>
          <w:color w:val="auto"/>
          <w:sz w:val="28"/>
          <w:szCs w:val="28"/>
          <w:highlight w:val="none"/>
          <w:lang w:val="en-US" w:eastAsia="zh-CN"/>
        </w:rPr>
        <w:t xml:space="preserve">重点关注指压不变白红斑这一最早体征，确保能够动态追踪皮肤状态变化并及时触发干预流程，避免因发现延迟而错过最佳处理时机。6.2.3 </w:t>
      </w:r>
      <w:r>
        <w:rPr>
          <w:rFonts w:hint="eastAsia" w:ascii="仿宋_GB2312" w:eastAsia="仿宋_GB2312" w:cs="仿宋"/>
          <w:b w:val="0"/>
          <w:bCs/>
          <w:color w:val="auto"/>
          <w:sz w:val="28"/>
          <w:szCs w:val="28"/>
          <w:highlight w:val="none"/>
          <w:lang w:val="en-US" w:eastAsia="zh-CN"/>
        </w:rPr>
        <w:t>列出了</w:t>
      </w:r>
      <w:r>
        <w:rPr>
          <w:rFonts w:hint="default" w:ascii="仿宋_GB2312" w:eastAsia="仿宋_GB2312" w:cs="仿宋"/>
          <w:b w:val="0"/>
          <w:bCs/>
          <w:color w:val="auto"/>
          <w:sz w:val="28"/>
          <w:szCs w:val="28"/>
          <w:highlight w:val="none"/>
          <w:lang w:val="en-US" w:eastAsia="zh-CN"/>
        </w:rPr>
        <w:t>评估这些特定部位</w:t>
      </w:r>
      <w:r>
        <w:rPr>
          <w:rFonts w:hint="eastAsia" w:ascii="仿宋_GB2312" w:eastAsia="仿宋_GB2312" w:cs="仿宋"/>
          <w:b w:val="0"/>
          <w:bCs/>
          <w:color w:val="auto"/>
          <w:sz w:val="28"/>
          <w:szCs w:val="28"/>
          <w:highlight w:val="none"/>
          <w:lang w:val="en-US" w:eastAsia="zh-CN"/>
        </w:rPr>
        <w:t>，</w:t>
      </w:r>
      <w:r>
        <w:rPr>
          <w:rFonts w:hint="default" w:ascii="仿宋_GB2312" w:eastAsia="仿宋_GB2312" w:cs="仿宋"/>
          <w:b w:val="0"/>
          <w:bCs/>
          <w:color w:val="auto"/>
          <w:sz w:val="28"/>
          <w:szCs w:val="28"/>
          <w:highlight w:val="none"/>
          <w:lang w:val="en-US" w:eastAsia="zh-CN"/>
        </w:rPr>
        <w:t xml:space="preserve">系统性地筛查所有已知的高危受压点及易被忽视的器械下皮肤，实现无死角的风险管理。6.2.5 </w:t>
      </w:r>
      <w:r>
        <w:rPr>
          <w:rFonts w:hint="eastAsia" w:ascii="仿宋_GB2312" w:eastAsia="仿宋_GB2312" w:cs="仿宋"/>
          <w:b w:val="0"/>
          <w:bCs/>
          <w:color w:val="auto"/>
          <w:sz w:val="28"/>
          <w:szCs w:val="28"/>
          <w:highlight w:val="none"/>
          <w:lang w:val="en-US" w:eastAsia="zh-CN"/>
        </w:rPr>
        <w:t>规定了</w:t>
      </w:r>
      <w:r>
        <w:rPr>
          <w:rFonts w:hint="default" w:ascii="仿宋_GB2312" w:eastAsia="仿宋_GB2312" w:cs="仿宋"/>
          <w:b w:val="0"/>
          <w:bCs/>
          <w:color w:val="auto"/>
          <w:sz w:val="28"/>
          <w:szCs w:val="28"/>
          <w:highlight w:val="none"/>
          <w:lang w:val="en-US" w:eastAsia="zh-CN"/>
        </w:rPr>
        <w:t>失禁清洁：</w:t>
      </w:r>
      <w:r>
        <w:rPr>
          <w:rFonts w:hint="eastAsia" w:ascii="仿宋_GB2312" w:eastAsia="仿宋_GB2312" w:cs="仿宋"/>
          <w:b w:val="0"/>
          <w:bCs/>
          <w:color w:val="auto"/>
          <w:sz w:val="28"/>
          <w:szCs w:val="28"/>
          <w:highlight w:val="none"/>
          <w:lang w:val="en-US" w:eastAsia="zh-CN"/>
        </w:rPr>
        <w:t>主要考虑</w:t>
      </w:r>
      <w:r>
        <w:rPr>
          <w:rFonts w:hint="default" w:ascii="仿宋_GB2312" w:eastAsia="仿宋_GB2312" w:cs="仿宋"/>
          <w:b w:val="0"/>
          <w:bCs/>
          <w:color w:val="auto"/>
          <w:sz w:val="28"/>
          <w:szCs w:val="28"/>
          <w:highlight w:val="none"/>
          <w:lang w:val="en-US" w:eastAsia="zh-CN"/>
        </w:rPr>
        <w:t>是最大限度缩短粪便/尿液对皮肤角质层的侵蚀和破坏，预防失禁相关性皮炎（IAD）及其后续引发的压力性损伤。</w:t>
      </w:r>
      <w:r>
        <w:rPr>
          <w:rFonts w:hint="default" w:ascii="仿宋_GB2312" w:hAnsi="Calibri" w:eastAsia="仿宋_GB2312" w:cs="仿宋"/>
          <w:b w:val="0"/>
          <w:bCs/>
          <w:color w:val="auto"/>
          <w:kern w:val="0"/>
          <w:sz w:val="28"/>
          <w:szCs w:val="28"/>
          <w:highlight w:val="none"/>
          <w:lang w:val="en-US" w:eastAsia="zh-CN" w:bidi="ar-SA"/>
        </w:rPr>
        <w:t>6.2.6</w:t>
      </w:r>
      <w:r>
        <w:rPr>
          <w:rFonts w:hint="eastAsia" w:ascii="仿宋_GB2312" w:eastAsia="仿宋_GB2312" w:cs="仿宋"/>
          <w:b w:val="0"/>
          <w:bCs/>
          <w:color w:val="auto"/>
          <w:kern w:val="0"/>
          <w:sz w:val="28"/>
          <w:szCs w:val="28"/>
          <w:highlight w:val="none"/>
          <w:lang w:val="en-US" w:eastAsia="zh-CN" w:bidi="ar-SA"/>
        </w:rPr>
        <w:t xml:space="preserve"> </w:t>
      </w:r>
      <w:r>
        <w:rPr>
          <w:rFonts w:hint="default" w:ascii="仿宋_GB2312" w:hAnsi="Calibri" w:eastAsia="仿宋_GB2312" w:cs="仿宋"/>
          <w:b w:val="0"/>
          <w:bCs/>
          <w:color w:val="auto"/>
          <w:kern w:val="0"/>
          <w:sz w:val="28"/>
          <w:szCs w:val="28"/>
          <w:highlight w:val="none"/>
          <w:lang w:val="en-US" w:eastAsia="zh-CN" w:bidi="ar-SA"/>
        </w:rPr>
        <w:t>规定使用pH平衡清洗剂是基</w:t>
      </w:r>
      <w:r>
        <w:rPr>
          <w:rFonts w:hint="default" w:ascii="仿宋_GB2312" w:eastAsia="仿宋_GB2312" w:cs="仿宋"/>
          <w:b w:val="0"/>
          <w:bCs/>
          <w:color w:val="auto"/>
          <w:sz w:val="28"/>
          <w:szCs w:val="28"/>
          <w:highlight w:val="none"/>
          <w:lang w:val="en-US" w:eastAsia="zh-CN"/>
        </w:rPr>
        <w:t xml:space="preserve">于健康皮肤表面呈弱酸性，避免使用碱性皂类破坏皮肤的天然酸性保护膜和正常菌群，以维持皮肤屏障功能的完整性，增强其对摩擦和刺激的防御能力。6.2.7 </w:t>
      </w:r>
      <w:r>
        <w:rPr>
          <w:rFonts w:hint="eastAsia" w:ascii="仿宋_GB2312" w:eastAsia="仿宋_GB2312" w:cs="仿宋"/>
          <w:b w:val="0"/>
          <w:bCs/>
          <w:color w:val="auto"/>
          <w:sz w:val="28"/>
          <w:szCs w:val="28"/>
          <w:highlight w:val="none"/>
          <w:lang w:val="en-US" w:eastAsia="zh-CN"/>
        </w:rPr>
        <w:t>基于</w:t>
      </w:r>
      <w:r>
        <w:rPr>
          <w:rFonts w:hint="default" w:ascii="仿宋_GB2312" w:eastAsia="仿宋_GB2312" w:cs="仿宋"/>
          <w:b w:val="0"/>
          <w:bCs/>
          <w:color w:val="auto"/>
          <w:sz w:val="28"/>
          <w:szCs w:val="28"/>
          <w:highlight w:val="none"/>
          <w:lang w:val="en-US" w:eastAsia="zh-CN"/>
        </w:rPr>
        <w:t>对干燥皮肤皮肤保湿</w:t>
      </w:r>
      <w:r>
        <w:rPr>
          <w:rFonts w:hint="eastAsia" w:ascii="仿宋_GB2312" w:eastAsia="仿宋_GB2312" w:cs="仿宋"/>
          <w:b w:val="0"/>
          <w:bCs/>
          <w:color w:val="auto"/>
          <w:sz w:val="28"/>
          <w:szCs w:val="28"/>
          <w:highlight w:val="none"/>
          <w:lang w:val="en-US" w:eastAsia="zh-CN"/>
        </w:rPr>
        <w:t>的考虑，避免皮肤</w:t>
      </w:r>
      <w:r>
        <w:rPr>
          <w:rFonts w:hint="default" w:ascii="仿宋_GB2312" w:eastAsia="仿宋_GB2312" w:cs="仿宋"/>
          <w:b w:val="0"/>
          <w:bCs/>
          <w:color w:val="auto"/>
          <w:sz w:val="28"/>
          <w:szCs w:val="28"/>
          <w:highlight w:val="none"/>
          <w:lang w:val="en-US" w:eastAsia="zh-CN"/>
        </w:rPr>
        <w:t>角质层易裂、弹性下降且更易受机械力损伤的特性，通过定期补充保湿剂以恢复皮肤弹性和完整性。</w:t>
      </w:r>
      <w:r>
        <w:rPr>
          <w:rFonts w:hint="eastAsia" w:ascii="仿宋_GB2312" w:eastAsia="仿宋_GB2312" w:cs="仿宋"/>
          <w:b w:val="0"/>
          <w:bCs/>
          <w:color w:val="auto"/>
          <w:sz w:val="28"/>
          <w:szCs w:val="28"/>
          <w:highlight w:val="none"/>
          <w:lang w:val="en-US" w:eastAsia="zh-CN"/>
        </w:rPr>
        <w:t>6.</w:t>
      </w:r>
      <w:r>
        <w:rPr>
          <w:rFonts w:hint="default" w:ascii="仿宋_GB2312" w:eastAsia="仿宋_GB2312" w:cs="仿宋"/>
          <w:b w:val="0"/>
          <w:bCs/>
          <w:color w:val="auto"/>
          <w:sz w:val="28"/>
          <w:szCs w:val="28"/>
          <w:highlight w:val="none"/>
          <w:lang w:val="en-US" w:eastAsia="zh-CN"/>
        </w:rPr>
        <w:t>2.</w:t>
      </w:r>
      <w:r>
        <w:rPr>
          <w:rFonts w:hint="eastAsia" w:ascii="仿宋_GB2312" w:eastAsia="仿宋_GB2312" w:cs="仿宋"/>
          <w:b w:val="0"/>
          <w:bCs/>
          <w:color w:val="auto"/>
          <w:sz w:val="28"/>
          <w:szCs w:val="28"/>
          <w:highlight w:val="none"/>
          <w:lang w:val="en-US" w:eastAsia="zh-CN"/>
        </w:rPr>
        <w:t>8</w:t>
      </w:r>
      <w:r>
        <w:rPr>
          <w:rFonts w:hint="default" w:ascii="仿宋_GB2312" w:eastAsia="仿宋_GB2312" w:cs="仿宋"/>
          <w:b w:val="0"/>
          <w:bCs/>
          <w:color w:val="auto"/>
          <w:sz w:val="28"/>
          <w:szCs w:val="28"/>
          <w:highlight w:val="none"/>
          <w:lang w:val="en-US" w:eastAsia="zh-CN"/>
        </w:rPr>
        <w:t>汇总了临床常见的错误做法及（如热水和酒精会过度脱脂干燥皮肤，油性剂阻碍透气和散热），</w:t>
      </w:r>
      <w:r>
        <w:rPr>
          <w:rFonts w:hint="eastAsia" w:ascii="仿宋_GB2312" w:eastAsia="仿宋_GB2312" w:cs="仿宋"/>
          <w:b w:val="0"/>
          <w:bCs/>
          <w:color w:val="auto"/>
          <w:sz w:val="28"/>
          <w:szCs w:val="28"/>
          <w:highlight w:val="none"/>
          <w:lang w:val="en-US" w:eastAsia="zh-CN"/>
        </w:rPr>
        <w:t>避免了一些</w:t>
      </w:r>
      <w:r>
        <w:rPr>
          <w:rFonts w:hint="default" w:ascii="仿宋_GB2312" w:eastAsia="仿宋_GB2312" w:cs="仿宋"/>
          <w:b w:val="0"/>
          <w:bCs/>
          <w:color w:val="auto"/>
          <w:sz w:val="28"/>
          <w:szCs w:val="28"/>
          <w:highlight w:val="none"/>
          <w:lang w:val="en-US" w:eastAsia="zh-CN"/>
        </w:rPr>
        <w:t>看似有效却实则破坏皮肤屏障、加剧微环境潮湿或干扰血流循环的惯性做法。</w:t>
      </w:r>
    </w:p>
    <w:p w14:paraId="68002871">
      <w:pPr>
        <w:pStyle w:val="30"/>
        <w:numPr>
          <w:ilvl w:val="0"/>
          <w:numId w:val="0"/>
        </w:numPr>
        <w:spacing w:line="520" w:lineRule="exact"/>
        <w:ind w:left="0" w:leftChars="0" w:firstLine="562" w:firstLineChars="200"/>
        <w:rPr>
          <w:rFonts w:hint="default" w:ascii="仿宋_GB2312" w:eastAsia="仿宋_GB2312" w:cs="仿宋"/>
          <w:b/>
          <w:bCs w:val="0"/>
          <w:color w:val="auto"/>
          <w:sz w:val="28"/>
          <w:szCs w:val="28"/>
          <w:highlight w:val="none"/>
          <w:lang w:val="en-US" w:eastAsia="zh-CN"/>
        </w:rPr>
      </w:pPr>
      <w:r>
        <w:rPr>
          <w:rFonts w:hint="default" w:ascii="仿宋_GB2312" w:eastAsia="仿宋_GB2312" w:cs="仿宋"/>
          <w:b/>
          <w:bCs w:val="0"/>
          <w:color w:val="auto"/>
          <w:sz w:val="28"/>
          <w:szCs w:val="28"/>
          <w:highlight w:val="none"/>
          <w:lang w:val="en-US" w:eastAsia="zh-CN"/>
        </w:rPr>
        <w:t>6.</w:t>
      </w:r>
      <w:r>
        <w:rPr>
          <w:rFonts w:hint="eastAsia" w:ascii="仿宋_GB2312" w:eastAsia="仿宋_GB2312" w:cs="仿宋"/>
          <w:b/>
          <w:bCs w:val="0"/>
          <w:color w:val="auto"/>
          <w:sz w:val="28"/>
          <w:szCs w:val="28"/>
          <w:highlight w:val="none"/>
          <w:lang w:val="en-US" w:eastAsia="zh-CN"/>
        </w:rPr>
        <w:t>3</w:t>
      </w:r>
      <w:r>
        <w:rPr>
          <w:rFonts w:hint="default" w:ascii="仿宋_GB2312" w:eastAsia="仿宋_GB2312" w:cs="仿宋"/>
          <w:b/>
          <w:bCs w:val="0"/>
          <w:color w:val="auto"/>
          <w:sz w:val="28"/>
          <w:szCs w:val="28"/>
          <w:highlight w:val="none"/>
          <w:lang w:val="en-US" w:eastAsia="zh-CN"/>
        </w:rPr>
        <w:t>.</w:t>
      </w:r>
      <w:r>
        <w:rPr>
          <w:rFonts w:hint="eastAsia" w:ascii="仿宋_GB2312" w:eastAsia="仿宋_GB2312" w:cs="仿宋"/>
          <w:b/>
          <w:bCs w:val="0"/>
          <w:color w:val="auto"/>
          <w:sz w:val="28"/>
          <w:szCs w:val="28"/>
          <w:highlight w:val="none"/>
          <w:lang w:val="en-US" w:eastAsia="zh-CN"/>
        </w:rPr>
        <w:t>体位变换</w:t>
      </w:r>
    </w:p>
    <w:p w14:paraId="631D25A7">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皮肤护理和体位管理是预防压力性损伤（包括皮肤和黏膜）最经典、最有效的措施。体位变换主要规定了定期翻身、个性化选择支撑面的种类，无论使用何种支撑面，均需继续变换体位，但体位变化的频率会有所改变，取决于所用</w:t>
      </w:r>
      <w:bookmarkStart w:id="9" w:name="OLE_LINK47"/>
      <w:bookmarkStart w:id="10" w:name="OLE_LINK46"/>
      <w:r>
        <w:rPr>
          <w:rFonts w:hint="eastAsia" w:ascii="仿宋_GB2312" w:eastAsia="仿宋_GB2312" w:cs="仿宋"/>
          <w:b w:val="0"/>
          <w:bCs/>
          <w:color w:val="auto"/>
          <w:sz w:val="28"/>
          <w:szCs w:val="28"/>
          <w:highlight w:val="none"/>
          <w:lang w:val="en-US" w:eastAsia="zh-CN"/>
        </w:rPr>
        <w:t>支撑面的种类</w:t>
      </w:r>
      <w:bookmarkEnd w:id="9"/>
      <w:bookmarkEnd w:id="10"/>
      <w:r>
        <w:rPr>
          <w:rFonts w:hint="eastAsia" w:ascii="仿宋_GB2312" w:eastAsia="仿宋_GB2312" w:cs="仿宋"/>
          <w:b w:val="0"/>
          <w:bCs/>
          <w:color w:val="auto"/>
          <w:sz w:val="28"/>
          <w:szCs w:val="28"/>
          <w:highlight w:val="none"/>
          <w:lang w:val="en-US" w:eastAsia="zh-CN"/>
        </w:rPr>
        <w:t>。坐在椅子上或轮椅上的患者，使用可再分配压力的座垫。对于虚弱或者不能移动的坐位患者，要每小时改变体位。</w:t>
      </w:r>
    </w:p>
    <w:p w14:paraId="025254CF">
      <w:pPr>
        <w:pStyle w:val="30"/>
        <w:numPr>
          <w:ilvl w:val="0"/>
          <w:numId w:val="0"/>
        </w:numPr>
        <w:spacing w:line="520" w:lineRule="exact"/>
        <w:ind w:left="0" w:leftChars="0" w:firstLine="562" w:firstLineChars="200"/>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6.4 导管选择</w:t>
      </w:r>
    </w:p>
    <w:p w14:paraId="38C3A33C">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优先选择管径更小、生物相容性更好、材质更柔软的导管，从源头上最小化导管本身对黏膜组织的机械性刺激（压迫、摩擦）和化学性刺激，这是预防压力性损伤的第一道关口。</w:t>
      </w:r>
    </w:p>
    <w:p w14:paraId="5E33BB3A">
      <w:pPr>
        <w:pStyle w:val="30"/>
        <w:numPr>
          <w:ilvl w:val="0"/>
          <w:numId w:val="0"/>
        </w:numPr>
        <w:spacing w:line="520" w:lineRule="exact"/>
        <w:ind w:left="0" w:leftChars="0" w:firstLine="562" w:firstLineChars="200"/>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6.5 固定方法</w:t>
      </w:r>
    </w:p>
    <w:p w14:paraId="6121C269">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固定方法是本标准的技术核心，来源于临床实践中的最佳证据总结和创新方法汇编。其有效性已被多项前后对照研究或质量改进项目证实。通过图文并茂的方式详细规定裁剪尺寸和步骤，极大增强了标准的可操作性和可推广性，确保不同护士操作的同质性。</w:t>
      </w:r>
    </w:p>
    <w:p w14:paraId="45ECC6C0">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1、固定材料：选用弹性材质、无痛胶带是为了增加患者舒适度，减少因不适导致的非计划性拔管。弹性棉柔胶布与传统胶布相比在潮湿环境下更强的粘附性、更佳的透气性及更低的皮肤致敏性。</w:t>
      </w:r>
    </w:p>
    <w:p w14:paraId="150936E1">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2、禁忌症：明确列出各种固定方法的禁忌症，要求护士在执行前必须进行评估，坚决避免在已有损伤或高风险的皮肤上实施固定，防止固定操作加重原有损伤或引发新的并发症，不能因固定本身造成损伤。</w:t>
      </w:r>
    </w:p>
    <w:p w14:paraId="57D76082">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3、固定方法。</w:t>
      </w:r>
    </w:p>
    <w:p w14:paraId="546F9C73">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1）鼻胃管/鼻肠管创新改良固定方法：“人”字双螺旋横向固定法＋“双E”型固定法；相较于改良前的“人”字型+“双E”型固定法，改良的创新点在于调整胶带形状及规格，并改变“人”字型胶带的粘贴部位，即将“人”字型胶带双螺旋横向固定于患者鼻唇沟区域。鼻唇沟区域涵盖了鼻唇沟及其周围一定范围的皮肤及软组织区域。在固定胃管时，使胃管处于鼻腔正中位置，该部位皮肤相对平整，胃管不易滑动，能够有效确保管道固定稳固，同时在一定程度上可减少对皮肤的过度压迫与损伤。改良后固定方法操作流程简便，固定牢固，减少皮肤压迫、便于观察，并提升舒适度，外观较为美观。鼻胃管与鼻肠管固定方法相同，故附图以鼻胃管为例：</w:t>
      </w:r>
    </w:p>
    <w:p w14:paraId="2862AF14">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尺寸：“人”字型，长14cm±2cm，宽2cm±0.5cm，底边剪去4cm；双E”型，长5cm±2cm，宽3cm±1.5cm，剪成“双E”型（裁剪尺寸可进行个性化的参数调整）；</w:t>
      </w:r>
    </w:p>
    <w:p w14:paraId="17A99CB1">
      <w:pPr>
        <w:pStyle w:val="30"/>
        <w:keepNext w:val="0"/>
        <w:keepLines w:val="0"/>
        <w:pageBreakBefore w:val="0"/>
        <w:widowControl/>
        <w:numPr>
          <w:ilvl w:val="0"/>
          <w:numId w:val="0"/>
        </w:numPr>
        <w:kinsoku/>
        <w:wordWrap/>
        <w:overflowPunct/>
        <w:topLinePunct w:val="0"/>
        <w:autoSpaceDE w:val="0"/>
        <w:autoSpaceDN w:val="0"/>
        <w:bidi w:val="0"/>
        <w:adjustRightInd/>
        <w:snapToGrid/>
        <w:spacing w:line="240" w:lineRule="auto"/>
        <w:jc w:val="center"/>
        <w:textAlignment w:val="auto"/>
      </w:pPr>
      <w:r>
        <w:drawing>
          <wp:inline distT="0" distB="0" distL="114300" distR="114300">
            <wp:extent cx="3722370" cy="3067685"/>
            <wp:effectExtent l="0" t="0" r="11430" b="18415"/>
            <wp:docPr id="10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3"/>
                    <pic:cNvPicPr>
                      <a:picLocks noChangeAspect="1"/>
                    </pic:cNvPicPr>
                  </pic:nvPicPr>
                  <pic:blipFill>
                    <a:blip r:embed="rId5"/>
                    <a:stretch>
                      <a:fillRect/>
                    </a:stretch>
                  </pic:blipFill>
                  <pic:spPr>
                    <a:xfrm>
                      <a:off x="0" y="0"/>
                      <a:ext cx="3722370" cy="3067685"/>
                    </a:xfrm>
                    <a:prstGeom prst="rect">
                      <a:avLst/>
                    </a:prstGeom>
                    <a:noFill/>
                    <a:ln>
                      <a:noFill/>
                    </a:ln>
                  </pic:spPr>
                </pic:pic>
              </a:graphicData>
            </a:graphic>
          </wp:inline>
        </w:drawing>
      </w:r>
    </w:p>
    <w:p w14:paraId="759E8C72">
      <w:pPr>
        <w:pStyle w:val="30"/>
        <w:keepNext w:val="0"/>
        <w:keepLines w:val="0"/>
        <w:pageBreakBefore w:val="0"/>
        <w:widowControl/>
        <w:numPr>
          <w:ilvl w:val="0"/>
          <w:numId w:val="0"/>
        </w:numPr>
        <w:kinsoku/>
        <w:wordWrap/>
        <w:overflowPunct/>
        <w:topLinePunct w:val="0"/>
        <w:autoSpaceDE w:val="0"/>
        <w:autoSpaceDN w:val="0"/>
        <w:bidi w:val="0"/>
        <w:adjustRightInd/>
        <w:snapToGrid/>
        <w:spacing w:line="240" w:lineRule="auto"/>
        <w:jc w:val="center"/>
        <w:textAlignment w:val="auto"/>
      </w:pPr>
      <w:r>
        <w:drawing>
          <wp:inline distT="0" distB="0" distL="114300" distR="114300">
            <wp:extent cx="3634740" cy="1527810"/>
            <wp:effectExtent l="0" t="0" r="3810" b="15240"/>
            <wp:docPr id="10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4"/>
                    <pic:cNvPicPr>
                      <a:picLocks noChangeAspect="1"/>
                    </pic:cNvPicPr>
                  </pic:nvPicPr>
                  <pic:blipFill>
                    <a:blip r:embed="rId6"/>
                    <a:stretch>
                      <a:fillRect/>
                    </a:stretch>
                  </pic:blipFill>
                  <pic:spPr>
                    <a:xfrm>
                      <a:off x="0" y="0"/>
                      <a:ext cx="3634740" cy="1527810"/>
                    </a:xfrm>
                    <a:prstGeom prst="rect">
                      <a:avLst/>
                    </a:prstGeom>
                    <a:noFill/>
                    <a:ln>
                      <a:noFill/>
                    </a:ln>
                  </pic:spPr>
                </pic:pic>
              </a:graphicData>
            </a:graphic>
          </wp:inline>
        </w:drawing>
      </w:r>
    </w:p>
    <w:p w14:paraId="3B0B1950">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我院着手开展成人重症患者黏膜压力性损伤预防技术，此项技术曾在广西医科大学第二附属医院、广西中医药大学附属瑞康医院、广西民族医院、桂林医学院附属医院、广西医科大学附属武鸣医院、南宁市第三人民医院、广西玉林市中医院、南宁市中医医院、广西壮族自治区桂东人民医院等医疗机构得以应用。根据目前收集其他5家医院近三年前后效果对比，其中：鼻胃管/鼻肠管：2022年-2023年各家医院使用的方法有鼻翼固定法+面部高举平台二次固定法、“人”字型鼻翼固定法、“一”字抬高法或基于个人经验固定法等其他方法服务患者共1652例，黏膜损伤平均发生率为4.26%，而2024年-2025年使用改良后的固定方法后（即“人”字双螺旋横向固定法＋“双E”型固定法）共开展了1812例，平均发生率仅为0.351%，较改良前下降了3.9%；</w:t>
      </w:r>
    </w:p>
    <w:p w14:paraId="3271FDA6">
      <w:pPr>
        <w:pStyle w:val="30"/>
        <w:numPr>
          <w:ilvl w:val="0"/>
          <w:numId w:val="0"/>
        </w:numPr>
        <w:spacing w:line="520" w:lineRule="exact"/>
        <w:jc w:val="center"/>
        <w:rPr>
          <w:rFonts w:hint="default"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表1  开展标准中创新鼻胃管/鼻肠管固定方法实施前后效果对比</w:t>
      </w:r>
    </w:p>
    <w:tbl>
      <w:tblPr>
        <w:tblStyle w:val="14"/>
        <w:tblW w:w="5735" w:type="pct"/>
        <w:tblInd w:w="-58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82"/>
        <w:gridCol w:w="750"/>
        <w:gridCol w:w="1091"/>
        <w:gridCol w:w="1063"/>
        <w:gridCol w:w="873"/>
        <w:gridCol w:w="968"/>
        <w:gridCol w:w="1227"/>
        <w:gridCol w:w="996"/>
        <w:gridCol w:w="873"/>
        <w:gridCol w:w="981"/>
        <w:gridCol w:w="1019"/>
      </w:tblGrid>
      <w:tr w14:paraId="2AE17A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34" w:hRule="atLeast"/>
        </w:trPr>
        <w:tc>
          <w:tcPr>
            <w:tcW w:w="324"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52812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医院名称</w:t>
            </w:r>
          </w:p>
        </w:tc>
        <w:tc>
          <w:tcPr>
            <w:tcW w:w="356"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10EF6CB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8090C"/>
                <w:sz w:val="20"/>
                <w:szCs w:val="20"/>
                <w:u w:val="none"/>
              </w:rPr>
            </w:pPr>
            <w:r>
              <w:rPr>
                <w:rFonts w:hint="eastAsia" w:ascii="宋体" w:hAnsi="宋体" w:eastAsia="宋体" w:cs="宋体"/>
                <w:i w:val="0"/>
                <w:iCs w:val="0"/>
                <w:color w:val="08090C"/>
                <w:kern w:val="0"/>
                <w:sz w:val="20"/>
                <w:szCs w:val="20"/>
                <w:u w:val="none"/>
                <w:lang w:val="en-US" w:eastAsia="zh-CN" w:bidi="ar"/>
              </w:rPr>
              <w:t>项目</w:t>
            </w:r>
          </w:p>
        </w:tc>
        <w:tc>
          <w:tcPr>
            <w:tcW w:w="18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2A477FD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36363D"/>
                <w:sz w:val="20"/>
                <w:szCs w:val="20"/>
                <w:u w:val="none"/>
              </w:rPr>
            </w:pPr>
            <w:r>
              <w:rPr>
                <w:rFonts w:hint="eastAsia" w:ascii="宋体" w:hAnsi="宋体" w:eastAsia="宋体" w:cs="宋体"/>
                <w:b/>
                <w:bCs/>
                <w:i w:val="0"/>
                <w:iCs w:val="0"/>
                <w:color w:val="36363D"/>
                <w:kern w:val="0"/>
                <w:sz w:val="20"/>
                <w:szCs w:val="20"/>
                <w:u w:val="none"/>
                <w:lang w:val="en-US" w:eastAsia="zh-CN" w:bidi="ar"/>
              </w:rPr>
              <w:t>前（时间：2022-2023年）</w:t>
            </w:r>
          </w:p>
        </w:tc>
        <w:tc>
          <w:tcPr>
            <w:tcW w:w="1937" w:type="pct"/>
            <w:gridSpan w:val="4"/>
            <w:tcBorders>
              <w:top w:val="single" w:color="000000" w:sz="4" w:space="0"/>
              <w:left w:val="nil"/>
              <w:bottom w:val="single" w:color="000000" w:sz="4" w:space="0"/>
              <w:right w:val="nil"/>
            </w:tcBorders>
            <w:shd w:val="clear" w:color="auto" w:fill="auto"/>
            <w:vAlign w:val="center"/>
          </w:tcPr>
          <w:p w14:paraId="23A936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36363D"/>
                <w:sz w:val="20"/>
                <w:szCs w:val="20"/>
                <w:u w:val="none"/>
              </w:rPr>
            </w:pPr>
            <w:r>
              <w:rPr>
                <w:rFonts w:hint="eastAsia" w:ascii="宋体" w:hAnsi="宋体" w:eastAsia="宋体" w:cs="宋体"/>
                <w:b/>
                <w:bCs/>
                <w:i w:val="0"/>
                <w:iCs w:val="0"/>
                <w:color w:val="36363D"/>
                <w:kern w:val="0"/>
                <w:sz w:val="20"/>
                <w:szCs w:val="20"/>
                <w:u w:val="none"/>
                <w:lang w:val="en-US" w:eastAsia="zh-CN" w:bidi="ar"/>
              </w:rPr>
              <w:t>后（时间：2024-2025年）</w:t>
            </w:r>
          </w:p>
        </w:tc>
        <w:tc>
          <w:tcPr>
            <w:tcW w:w="4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EF5A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改善前后PI发生率对比</w:t>
            </w:r>
          </w:p>
        </w:tc>
      </w:tr>
      <w:tr w14:paraId="448B19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32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0290B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c>
          <w:tcPr>
            <w:tcW w:w="356"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340DDB5">
            <w:pPr>
              <w:keepNext w:val="0"/>
              <w:keepLines w:val="0"/>
              <w:suppressLineNumbers w:val="0"/>
              <w:spacing w:before="0" w:beforeAutospacing="0" w:after="0" w:afterAutospacing="0"/>
              <w:ind w:left="0" w:right="0"/>
              <w:jc w:val="center"/>
              <w:rPr>
                <w:rFonts w:hint="eastAsia" w:ascii="宋体" w:hAnsi="宋体" w:eastAsia="宋体" w:cs="宋体"/>
                <w:i w:val="0"/>
                <w:iCs w:val="0"/>
                <w:color w:val="08090C"/>
                <w:sz w:val="20"/>
                <w:szCs w:val="20"/>
                <w:u w:val="none"/>
              </w:rPr>
            </w:pPr>
          </w:p>
        </w:tc>
        <w:tc>
          <w:tcPr>
            <w:tcW w:w="518"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17BAF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8090C"/>
                <w:sz w:val="20"/>
                <w:szCs w:val="20"/>
                <w:u w:val="none"/>
              </w:rPr>
            </w:pPr>
            <w:r>
              <w:rPr>
                <w:rFonts w:hint="eastAsia" w:ascii="宋体" w:hAnsi="宋体" w:eastAsia="宋体" w:cs="宋体"/>
                <w:i w:val="0"/>
                <w:iCs w:val="0"/>
                <w:color w:val="08090C"/>
                <w:kern w:val="0"/>
                <w:sz w:val="20"/>
                <w:szCs w:val="20"/>
                <w:u w:val="none"/>
                <w:lang w:val="en-US" w:eastAsia="zh-CN" w:bidi="ar"/>
              </w:rPr>
              <w:t>固定方法</w:t>
            </w:r>
          </w:p>
        </w:tc>
        <w:tc>
          <w:tcPr>
            <w:tcW w:w="505"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677813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患者总例数（人）</w:t>
            </w:r>
          </w:p>
        </w:tc>
        <w:tc>
          <w:tcPr>
            <w:tcW w:w="41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5A81A5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发生PI例数（人）</w:t>
            </w:r>
          </w:p>
        </w:tc>
        <w:tc>
          <w:tcPr>
            <w:tcW w:w="45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018BC0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PI发生率（%）</w:t>
            </w:r>
          </w:p>
        </w:tc>
        <w:tc>
          <w:tcPr>
            <w:tcW w:w="58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980ED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Style w:val="57"/>
                <w:sz w:val="20"/>
                <w:szCs w:val="20"/>
                <w:lang w:val="en-US" w:eastAsia="zh-CN" w:bidi="ar"/>
              </w:rPr>
              <w:t>固定方法</w:t>
            </w:r>
          </w:p>
        </w:tc>
        <w:tc>
          <w:tcPr>
            <w:tcW w:w="47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BEFEB0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患者总例数（人）</w:t>
            </w:r>
          </w:p>
        </w:tc>
        <w:tc>
          <w:tcPr>
            <w:tcW w:w="41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BB554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发生PI例数（人）</w:t>
            </w:r>
          </w:p>
        </w:tc>
        <w:tc>
          <w:tcPr>
            <w:tcW w:w="466" w:type="pct"/>
            <w:tcBorders>
              <w:top w:val="single" w:color="000000" w:sz="4" w:space="0"/>
              <w:left w:val="single" w:color="000000" w:sz="4" w:space="0"/>
              <w:bottom w:val="single" w:color="000000" w:sz="4" w:space="0"/>
              <w:right w:val="nil"/>
            </w:tcBorders>
            <w:shd w:val="clear" w:color="auto" w:fill="FFFFFF"/>
            <w:vAlign w:val="center"/>
          </w:tcPr>
          <w:p w14:paraId="24ABEC9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PI发生率（%）</w:t>
            </w:r>
          </w:p>
        </w:tc>
        <w:tc>
          <w:tcPr>
            <w:tcW w:w="4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25786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是否降低</w:t>
            </w:r>
          </w:p>
        </w:tc>
      </w:tr>
      <w:tr w14:paraId="4CECB3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32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E0444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35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4396CE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鼻胃管/鼻肠管</w:t>
            </w:r>
          </w:p>
        </w:tc>
        <w:tc>
          <w:tcPr>
            <w:tcW w:w="518"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DC4591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鼻翼固定法+面部高举平台二次固定法</w:t>
            </w:r>
          </w:p>
        </w:tc>
        <w:tc>
          <w:tcPr>
            <w:tcW w:w="505"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02579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60</w:t>
            </w:r>
          </w:p>
        </w:tc>
        <w:tc>
          <w:tcPr>
            <w:tcW w:w="41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720AF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45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712AF1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3.3</w:t>
            </w:r>
          </w:p>
        </w:tc>
        <w:tc>
          <w:tcPr>
            <w:tcW w:w="58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7614D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“人”字双螺旋横向固定法＋“双E”型固定法</w:t>
            </w:r>
          </w:p>
        </w:tc>
        <w:tc>
          <w:tcPr>
            <w:tcW w:w="473"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C1D2E9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48</w:t>
            </w:r>
          </w:p>
        </w:tc>
        <w:tc>
          <w:tcPr>
            <w:tcW w:w="414"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7D8DA5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66" w:type="pct"/>
            <w:tcBorders>
              <w:top w:val="single" w:color="000000" w:sz="4" w:space="0"/>
              <w:left w:val="single" w:color="000000" w:sz="4" w:space="0"/>
              <w:bottom w:val="single" w:color="000000" w:sz="4" w:space="0"/>
              <w:right w:val="nil"/>
            </w:tcBorders>
            <w:shd w:val="clear" w:color="auto" w:fill="FFFFFF"/>
            <w:noWrap/>
            <w:vAlign w:val="center"/>
          </w:tcPr>
          <w:p w14:paraId="26761B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764C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是</w:t>
            </w:r>
          </w:p>
        </w:tc>
      </w:tr>
      <w:tr w14:paraId="2D1114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8D733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35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1B146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鼻胃管/鼻肠管</w:t>
            </w:r>
          </w:p>
        </w:tc>
        <w:tc>
          <w:tcPr>
            <w:tcW w:w="518"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30D6D9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“人”字型</w:t>
            </w:r>
          </w:p>
        </w:tc>
        <w:tc>
          <w:tcPr>
            <w:tcW w:w="505"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ECA7D6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317</w:t>
            </w:r>
          </w:p>
        </w:tc>
        <w:tc>
          <w:tcPr>
            <w:tcW w:w="41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E07C4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45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8D10A6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1.89</w:t>
            </w:r>
          </w:p>
        </w:tc>
        <w:tc>
          <w:tcPr>
            <w:tcW w:w="58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472A58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“人”字双螺旋横向固定法＋“双E”型固定法</w:t>
            </w:r>
          </w:p>
        </w:tc>
        <w:tc>
          <w:tcPr>
            <w:tcW w:w="47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74BB42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372</w:t>
            </w:r>
          </w:p>
        </w:tc>
        <w:tc>
          <w:tcPr>
            <w:tcW w:w="41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70BAF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466" w:type="pct"/>
            <w:tcBorders>
              <w:top w:val="single" w:color="000000" w:sz="4" w:space="0"/>
              <w:left w:val="single" w:color="000000" w:sz="4" w:space="0"/>
              <w:bottom w:val="single" w:color="000000" w:sz="4" w:space="0"/>
              <w:right w:val="nil"/>
            </w:tcBorders>
            <w:shd w:val="clear" w:color="auto" w:fill="FFFFFF"/>
            <w:vAlign w:val="center"/>
          </w:tcPr>
          <w:p w14:paraId="74E7DC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0.27</w:t>
            </w:r>
          </w:p>
        </w:tc>
        <w:tc>
          <w:tcPr>
            <w:tcW w:w="4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AE30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是</w:t>
            </w:r>
          </w:p>
        </w:tc>
      </w:tr>
      <w:tr w14:paraId="3C596E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37E81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35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261AA5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鼻胃管/鼻肠管</w:t>
            </w:r>
          </w:p>
        </w:tc>
        <w:tc>
          <w:tcPr>
            <w:tcW w:w="518"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E7E51F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“一”字抬高法</w:t>
            </w:r>
          </w:p>
        </w:tc>
        <w:tc>
          <w:tcPr>
            <w:tcW w:w="505"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A43BA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1095</w:t>
            </w:r>
          </w:p>
        </w:tc>
        <w:tc>
          <w:tcPr>
            <w:tcW w:w="41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BAAEC8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45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922A34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0.457</w:t>
            </w:r>
          </w:p>
        </w:tc>
        <w:tc>
          <w:tcPr>
            <w:tcW w:w="58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B84CA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“人”字双螺旋横向固定法＋“双E”型固定法</w:t>
            </w:r>
          </w:p>
        </w:tc>
        <w:tc>
          <w:tcPr>
            <w:tcW w:w="47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E8BDA8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1211</w:t>
            </w:r>
          </w:p>
        </w:tc>
        <w:tc>
          <w:tcPr>
            <w:tcW w:w="41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06877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466" w:type="pct"/>
            <w:tcBorders>
              <w:top w:val="single" w:color="000000" w:sz="4" w:space="0"/>
              <w:left w:val="single" w:color="000000" w:sz="4" w:space="0"/>
              <w:bottom w:val="single" w:color="000000" w:sz="4" w:space="0"/>
              <w:right w:val="nil"/>
            </w:tcBorders>
            <w:shd w:val="clear" w:color="auto" w:fill="FFFFFF"/>
            <w:vAlign w:val="center"/>
          </w:tcPr>
          <w:p w14:paraId="5B3C898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0.165</w:t>
            </w:r>
          </w:p>
        </w:tc>
        <w:tc>
          <w:tcPr>
            <w:tcW w:w="4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CC75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是</w:t>
            </w:r>
          </w:p>
        </w:tc>
      </w:tr>
      <w:tr w14:paraId="07D24D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4AEE5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35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E31624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鼻胃管/鼻肠管</w:t>
            </w:r>
          </w:p>
        </w:tc>
        <w:tc>
          <w:tcPr>
            <w:tcW w:w="518"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FFF6A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基于个人经验固定法</w:t>
            </w:r>
          </w:p>
        </w:tc>
        <w:tc>
          <w:tcPr>
            <w:tcW w:w="505"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83A2DF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152</w:t>
            </w:r>
          </w:p>
        </w:tc>
        <w:tc>
          <w:tcPr>
            <w:tcW w:w="41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64F273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w:t>
            </w:r>
          </w:p>
        </w:tc>
        <w:tc>
          <w:tcPr>
            <w:tcW w:w="45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B8D9C3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8.55</w:t>
            </w:r>
          </w:p>
        </w:tc>
        <w:tc>
          <w:tcPr>
            <w:tcW w:w="58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C34BA0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“人”字双螺旋横向固定法＋“双E”型固定法</w:t>
            </w:r>
          </w:p>
        </w:tc>
        <w:tc>
          <w:tcPr>
            <w:tcW w:w="47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D3F517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152</w:t>
            </w:r>
          </w:p>
        </w:tc>
        <w:tc>
          <w:tcPr>
            <w:tcW w:w="41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B0FEB3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466" w:type="pct"/>
            <w:tcBorders>
              <w:top w:val="single" w:color="000000" w:sz="4" w:space="0"/>
              <w:left w:val="single" w:color="000000" w:sz="4" w:space="0"/>
              <w:bottom w:val="single" w:color="000000" w:sz="4" w:space="0"/>
              <w:right w:val="nil"/>
            </w:tcBorders>
            <w:shd w:val="clear" w:color="auto" w:fill="FFFFFF"/>
            <w:vAlign w:val="center"/>
          </w:tcPr>
          <w:p w14:paraId="794C4CD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1.32</w:t>
            </w:r>
          </w:p>
        </w:tc>
        <w:tc>
          <w:tcPr>
            <w:tcW w:w="4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56960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是</w:t>
            </w:r>
          </w:p>
        </w:tc>
      </w:tr>
      <w:tr w14:paraId="59A1DB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C7344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35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AD8B64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鼻胃管/鼻肠管</w:t>
            </w:r>
          </w:p>
        </w:tc>
        <w:tc>
          <w:tcPr>
            <w:tcW w:w="518"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98F18B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基于个人经验固定法</w:t>
            </w:r>
          </w:p>
        </w:tc>
        <w:tc>
          <w:tcPr>
            <w:tcW w:w="505"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31DA2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28</w:t>
            </w:r>
          </w:p>
        </w:tc>
        <w:tc>
          <w:tcPr>
            <w:tcW w:w="41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9B6742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45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02EABC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7.1</w:t>
            </w:r>
          </w:p>
        </w:tc>
        <w:tc>
          <w:tcPr>
            <w:tcW w:w="58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2D3656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“人”字双螺旋横向固定法＋“双E”型固定法</w:t>
            </w:r>
          </w:p>
        </w:tc>
        <w:tc>
          <w:tcPr>
            <w:tcW w:w="47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7AF9B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29</w:t>
            </w:r>
          </w:p>
        </w:tc>
        <w:tc>
          <w:tcPr>
            <w:tcW w:w="41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50231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66" w:type="pct"/>
            <w:tcBorders>
              <w:top w:val="single" w:color="000000" w:sz="4" w:space="0"/>
              <w:left w:val="single" w:color="000000" w:sz="4" w:space="0"/>
              <w:bottom w:val="single" w:color="000000" w:sz="4" w:space="0"/>
              <w:right w:val="nil"/>
            </w:tcBorders>
            <w:shd w:val="clear" w:color="auto" w:fill="FFFFFF"/>
            <w:vAlign w:val="center"/>
          </w:tcPr>
          <w:p w14:paraId="5956DA3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AEAA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是</w:t>
            </w:r>
          </w:p>
        </w:tc>
      </w:tr>
      <w:tr w14:paraId="5D8A9C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9367CB">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合计：</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AD563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c>
          <w:tcPr>
            <w:tcW w:w="5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58D6E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c>
          <w:tcPr>
            <w:tcW w:w="50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5291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1652</w:t>
            </w:r>
          </w:p>
        </w:tc>
        <w:tc>
          <w:tcPr>
            <w:tcW w:w="4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795D6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28</w:t>
            </w:r>
          </w:p>
        </w:tc>
        <w:tc>
          <w:tcPr>
            <w:tcW w:w="4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E60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p>
        </w:tc>
        <w:tc>
          <w:tcPr>
            <w:tcW w:w="5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BAF00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c>
          <w:tcPr>
            <w:tcW w:w="47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A291E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1812</w:t>
            </w:r>
          </w:p>
        </w:tc>
        <w:tc>
          <w:tcPr>
            <w:tcW w:w="4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736EA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46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3638D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p>
        </w:tc>
        <w:tc>
          <w:tcPr>
            <w:tcW w:w="4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AAB1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是</w:t>
            </w:r>
          </w:p>
        </w:tc>
      </w:tr>
    </w:tbl>
    <w:p w14:paraId="6D525C92">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2）经口气管插管创新改良固定方法：双“Y”字固定法，相较于改良前双“H”字固定法，创新点在于固定方式在在患者两侧口角处各预留0.5cm空间，仅能便于及时吸引口腔内的唾液及痰液，还能提升护士执行口腔护理操作的依从性，进而有效提高患者口腔清洁度，降低呼吸机相关性肺炎（VAP）的发生风险，改良后能够充分暴露口唇，防止其受到压迫，达成了固定稳固、无压迫感、便于观察、美观舒适且操作简便的效果，降低黏膜压力性损伤。尺寸：长20cm±2cm，宽3cm±0.15cm，长边对折沿着折痕剪成两等分，末端保留7cm±0.5cm不剪，共裁剪2条备用。（裁剪尺寸可依据患者实际情况个性化调整参数）</w:t>
      </w:r>
    </w:p>
    <w:p w14:paraId="2E315837">
      <w:pPr>
        <w:pStyle w:val="30"/>
        <w:keepNext w:val="0"/>
        <w:keepLines w:val="0"/>
        <w:pageBreakBefore w:val="0"/>
        <w:widowControl/>
        <w:numPr>
          <w:ilvl w:val="0"/>
          <w:numId w:val="0"/>
        </w:numPr>
        <w:kinsoku/>
        <w:wordWrap/>
        <w:overflowPunct/>
        <w:topLinePunct w:val="0"/>
        <w:autoSpaceDE w:val="0"/>
        <w:autoSpaceDN w:val="0"/>
        <w:bidi w:val="0"/>
        <w:adjustRightInd/>
        <w:snapToGrid/>
        <w:spacing w:line="240" w:lineRule="auto"/>
        <w:ind w:left="0" w:leftChars="0" w:firstLine="420" w:firstLineChars="200"/>
        <w:jc w:val="center"/>
        <w:textAlignment w:val="auto"/>
      </w:pPr>
      <w:r>
        <w:drawing>
          <wp:inline distT="0" distB="0" distL="114300" distR="114300">
            <wp:extent cx="3429000" cy="2922270"/>
            <wp:effectExtent l="0" t="0" r="0" b="11430"/>
            <wp:docPr id="10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5"/>
                    <pic:cNvPicPr>
                      <a:picLocks noChangeAspect="1"/>
                    </pic:cNvPicPr>
                  </pic:nvPicPr>
                  <pic:blipFill>
                    <a:blip r:embed="rId7"/>
                    <a:stretch>
                      <a:fillRect/>
                    </a:stretch>
                  </pic:blipFill>
                  <pic:spPr>
                    <a:xfrm>
                      <a:off x="0" y="0"/>
                      <a:ext cx="3429000" cy="2922270"/>
                    </a:xfrm>
                    <a:prstGeom prst="rect">
                      <a:avLst/>
                    </a:prstGeom>
                    <a:noFill/>
                    <a:ln>
                      <a:noFill/>
                    </a:ln>
                  </pic:spPr>
                </pic:pic>
              </a:graphicData>
            </a:graphic>
          </wp:inline>
        </w:drawing>
      </w:r>
    </w:p>
    <w:p w14:paraId="17061B49">
      <w:pPr>
        <w:pStyle w:val="30"/>
        <w:keepNext w:val="0"/>
        <w:keepLines w:val="0"/>
        <w:pageBreakBefore w:val="0"/>
        <w:widowControl/>
        <w:numPr>
          <w:ilvl w:val="0"/>
          <w:numId w:val="0"/>
        </w:numPr>
        <w:kinsoku/>
        <w:wordWrap/>
        <w:overflowPunct/>
        <w:topLinePunct w:val="0"/>
        <w:autoSpaceDE w:val="0"/>
        <w:autoSpaceDN w:val="0"/>
        <w:bidi w:val="0"/>
        <w:adjustRightInd/>
        <w:snapToGrid/>
        <w:spacing w:line="240" w:lineRule="auto"/>
        <w:ind w:left="0" w:leftChars="0" w:firstLine="420" w:firstLineChars="200"/>
        <w:jc w:val="center"/>
        <w:textAlignment w:val="auto"/>
      </w:pPr>
      <w:r>
        <w:drawing>
          <wp:inline distT="0" distB="0" distL="114300" distR="114300">
            <wp:extent cx="3430905" cy="1558290"/>
            <wp:effectExtent l="0" t="0" r="17145" b="3810"/>
            <wp:docPr id="10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6"/>
                    <pic:cNvPicPr>
                      <a:picLocks noChangeAspect="1"/>
                    </pic:cNvPicPr>
                  </pic:nvPicPr>
                  <pic:blipFill>
                    <a:blip r:embed="rId8"/>
                    <a:stretch>
                      <a:fillRect/>
                    </a:stretch>
                  </pic:blipFill>
                  <pic:spPr>
                    <a:xfrm>
                      <a:off x="0" y="0"/>
                      <a:ext cx="3430905" cy="1558290"/>
                    </a:xfrm>
                    <a:prstGeom prst="rect">
                      <a:avLst/>
                    </a:prstGeom>
                    <a:noFill/>
                    <a:ln>
                      <a:noFill/>
                    </a:ln>
                  </pic:spPr>
                </pic:pic>
              </a:graphicData>
            </a:graphic>
          </wp:inline>
        </w:drawing>
      </w:r>
    </w:p>
    <w:p w14:paraId="0A0767D2">
      <w:pPr>
        <w:pStyle w:val="30"/>
        <w:keepNext w:val="0"/>
        <w:keepLines w:val="0"/>
        <w:pageBreakBefore w:val="0"/>
        <w:widowControl/>
        <w:numPr>
          <w:ilvl w:val="0"/>
          <w:numId w:val="0"/>
        </w:numPr>
        <w:kinsoku/>
        <w:wordWrap/>
        <w:overflowPunct/>
        <w:topLinePunct w:val="0"/>
        <w:autoSpaceDE w:val="0"/>
        <w:autoSpaceDN w:val="0"/>
        <w:bidi w:val="0"/>
        <w:adjustRightInd/>
        <w:snapToGrid/>
        <w:spacing w:line="240" w:lineRule="auto"/>
        <w:ind w:left="0" w:leftChars="0" w:firstLine="560" w:firstLineChars="200"/>
        <w:jc w:val="left"/>
        <w:textAlignment w:val="auto"/>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结合临床实践推广效果证明：根据目前收集5家医院前后效果对比，经口气管插管：2022年-2023年各家医院使用的方法有“X”型固定方法、双“H”字、绑带交叉或基于个人经验使用3M胶布贴于鼻腔固定法等方法共476例，黏膜损伤平均发生率为3.93%，而2024年-2025年使用改良后的固定方法后（即双“Y”字固定法）共开展了523例，平均发生率仅为1.62%，较改良前下降了2.31%；</w:t>
      </w:r>
    </w:p>
    <w:p w14:paraId="784586D3">
      <w:pPr>
        <w:pStyle w:val="30"/>
        <w:numPr>
          <w:ilvl w:val="0"/>
          <w:numId w:val="0"/>
        </w:numPr>
        <w:spacing w:line="520" w:lineRule="exact"/>
        <w:jc w:val="center"/>
        <w:rPr>
          <w:rFonts w:hint="default"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表2  开展标准中创新经口气管插管固定方法实施前后效果对比</w:t>
      </w:r>
    </w:p>
    <w:tbl>
      <w:tblPr>
        <w:tblStyle w:val="14"/>
        <w:tblW w:w="5395" w:type="pct"/>
        <w:tblInd w:w="-37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16"/>
        <w:gridCol w:w="981"/>
        <w:gridCol w:w="1157"/>
        <w:gridCol w:w="832"/>
        <w:gridCol w:w="832"/>
        <w:gridCol w:w="852"/>
        <w:gridCol w:w="1052"/>
        <w:gridCol w:w="860"/>
        <w:gridCol w:w="832"/>
        <w:gridCol w:w="917"/>
        <w:gridCol w:w="868"/>
      </w:tblGrid>
      <w:tr w14:paraId="6753B4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36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02787D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医院名称</w:t>
            </w:r>
          </w:p>
        </w:tc>
        <w:tc>
          <w:tcPr>
            <w:tcW w:w="495"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74CBDD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8090C"/>
                <w:sz w:val="20"/>
                <w:szCs w:val="20"/>
                <w:u w:val="none"/>
              </w:rPr>
            </w:pPr>
            <w:r>
              <w:rPr>
                <w:rFonts w:hint="eastAsia" w:ascii="宋体" w:hAnsi="宋体" w:eastAsia="宋体" w:cs="宋体"/>
                <w:i w:val="0"/>
                <w:iCs w:val="0"/>
                <w:color w:val="08090C"/>
                <w:kern w:val="0"/>
                <w:sz w:val="20"/>
                <w:szCs w:val="20"/>
                <w:u w:val="none"/>
                <w:lang w:val="en-US" w:eastAsia="zh-CN" w:bidi="ar"/>
              </w:rPr>
              <w:t>项目</w:t>
            </w:r>
          </w:p>
        </w:tc>
        <w:tc>
          <w:tcPr>
            <w:tcW w:w="1855"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0C90005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36363D"/>
                <w:sz w:val="20"/>
                <w:szCs w:val="20"/>
                <w:u w:val="none"/>
              </w:rPr>
            </w:pPr>
            <w:r>
              <w:rPr>
                <w:rFonts w:hint="eastAsia" w:ascii="宋体" w:hAnsi="宋体" w:eastAsia="宋体" w:cs="宋体"/>
                <w:b/>
                <w:bCs/>
                <w:i w:val="0"/>
                <w:iCs w:val="0"/>
                <w:color w:val="36363D"/>
                <w:kern w:val="0"/>
                <w:sz w:val="20"/>
                <w:szCs w:val="20"/>
                <w:u w:val="none"/>
                <w:lang w:val="en-US" w:eastAsia="zh-CN" w:bidi="ar"/>
              </w:rPr>
              <w:t>前（ 时间：2022-2023年     ）</w:t>
            </w:r>
          </w:p>
        </w:tc>
        <w:tc>
          <w:tcPr>
            <w:tcW w:w="1849" w:type="pct"/>
            <w:gridSpan w:val="4"/>
            <w:tcBorders>
              <w:top w:val="single" w:color="000000" w:sz="4" w:space="0"/>
              <w:left w:val="nil"/>
              <w:bottom w:val="single" w:color="000000" w:sz="4" w:space="0"/>
              <w:right w:val="nil"/>
            </w:tcBorders>
            <w:shd w:val="clear" w:color="auto" w:fill="auto"/>
            <w:vAlign w:val="center"/>
          </w:tcPr>
          <w:p w14:paraId="03DB737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36363D"/>
                <w:sz w:val="20"/>
                <w:szCs w:val="20"/>
                <w:u w:val="none"/>
              </w:rPr>
            </w:pPr>
            <w:r>
              <w:rPr>
                <w:rFonts w:hint="eastAsia" w:ascii="宋体" w:hAnsi="宋体" w:eastAsia="宋体" w:cs="宋体"/>
                <w:b/>
                <w:bCs/>
                <w:i w:val="0"/>
                <w:iCs w:val="0"/>
                <w:color w:val="36363D"/>
                <w:kern w:val="0"/>
                <w:sz w:val="20"/>
                <w:szCs w:val="20"/>
                <w:u w:val="none"/>
                <w:lang w:val="en-US" w:eastAsia="zh-CN" w:bidi="ar"/>
              </w:rPr>
              <w:t>后（时间：  2024-2025年      ）</w:t>
            </w:r>
          </w:p>
        </w:tc>
        <w:tc>
          <w:tcPr>
            <w:tcW w:w="4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F927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改善前后PI发生率对比</w:t>
            </w:r>
          </w:p>
        </w:tc>
      </w:tr>
      <w:tr w14:paraId="258682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3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F088F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c>
          <w:tcPr>
            <w:tcW w:w="495"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6BDCB75">
            <w:pPr>
              <w:keepNext w:val="0"/>
              <w:keepLines w:val="0"/>
              <w:suppressLineNumbers w:val="0"/>
              <w:spacing w:before="0" w:beforeAutospacing="0" w:after="0" w:afterAutospacing="0"/>
              <w:ind w:left="0" w:right="0"/>
              <w:jc w:val="center"/>
              <w:rPr>
                <w:rFonts w:hint="eastAsia" w:ascii="宋体" w:hAnsi="宋体" w:eastAsia="宋体" w:cs="宋体"/>
                <w:i w:val="0"/>
                <w:iCs w:val="0"/>
                <w:color w:val="08090C"/>
                <w:sz w:val="20"/>
                <w:szCs w:val="20"/>
                <w:u w:val="none"/>
              </w:rPr>
            </w:pPr>
          </w:p>
        </w:tc>
        <w:tc>
          <w:tcPr>
            <w:tcW w:w="58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116DC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8090C"/>
                <w:sz w:val="20"/>
                <w:szCs w:val="20"/>
                <w:u w:val="none"/>
              </w:rPr>
            </w:pPr>
            <w:r>
              <w:rPr>
                <w:rFonts w:hint="eastAsia" w:ascii="宋体" w:hAnsi="宋体" w:eastAsia="宋体" w:cs="宋体"/>
                <w:i w:val="0"/>
                <w:iCs w:val="0"/>
                <w:color w:val="08090C"/>
                <w:kern w:val="0"/>
                <w:sz w:val="20"/>
                <w:szCs w:val="20"/>
                <w:u w:val="none"/>
                <w:lang w:val="en-US" w:eastAsia="zh-CN" w:bidi="ar"/>
              </w:rPr>
              <w:t>固定方法</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6DA92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患者总例数（人）</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657D8E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发生PI例数（人）</w:t>
            </w:r>
          </w:p>
        </w:tc>
        <w:tc>
          <w:tcPr>
            <w:tcW w:w="43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914D2A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PI发生率（%）</w:t>
            </w:r>
          </w:p>
        </w:tc>
        <w:tc>
          <w:tcPr>
            <w:tcW w:w="53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F5043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固定方法</w:t>
            </w:r>
            <w:r>
              <w:rPr>
                <w:rStyle w:val="59"/>
                <w:lang w:val="en-US" w:eastAsia="zh-CN" w:bidi="ar"/>
              </w:rPr>
              <w:t>（团标中的方法）</w:t>
            </w:r>
          </w:p>
        </w:tc>
        <w:tc>
          <w:tcPr>
            <w:tcW w:w="43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50C640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患者总例数（人）</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803163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发生PI例数（人）</w:t>
            </w:r>
          </w:p>
        </w:tc>
        <w:tc>
          <w:tcPr>
            <w:tcW w:w="463" w:type="pct"/>
            <w:tcBorders>
              <w:top w:val="single" w:color="000000" w:sz="4" w:space="0"/>
              <w:left w:val="single" w:color="000000" w:sz="4" w:space="0"/>
              <w:bottom w:val="single" w:color="000000" w:sz="4" w:space="0"/>
              <w:right w:val="nil"/>
            </w:tcBorders>
            <w:shd w:val="clear" w:color="auto" w:fill="FFFFFF"/>
            <w:vAlign w:val="center"/>
          </w:tcPr>
          <w:p w14:paraId="0EAFB43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PI发生率（%）</w:t>
            </w:r>
          </w:p>
        </w:tc>
        <w:tc>
          <w:tcPr>
            <w:tcW w:w="4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BDC48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是否降低</w:t>
            </w:r>
          </w:p>
        </w:tc>
      </w:tr>
      <w:tr w14:paraId="0F4126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3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C051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495"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ED0E6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经口气管插管</w:t>
            </w:r>
          </w:p>
        </w:tc>
        <w:tc>
          <w:tcPr>
            <w:tcW w:w="58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075C4D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“X”型固定方法</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C7BAC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0A3B8E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3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1722FD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53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7B30A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双“Y”字固定法</w:t>
            </w:r>
          </w:p>
        </w:tc>
        <w:tc>
          <w:tcPr>
            <w:tcW w:w="43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7F188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0A5248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63" w:type="pct"/>
            <w:tcBorders>
              <w:top w:val="single" w:color="000000" w:sz="4" w:space="0"/>
              <w:left w:val="single" w:color="000000" w:sz="4" w:space="0"/>
              <w:bottom w:val="single" w:color="000000" w:sz="4" w:space="0"/>
              <w:right w:val="nil"/>
            </w:tcBorders>
            <w:shd w:val="clear" w:color="auto" w:fill="FFFFFF"/>
            <w:vAlign w:val="center"/>
          </w:tcPr>
          <w:p w14:paraId="2160BEA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504B5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持平</w:t>
            </w:r>
          </w:p>
        </w:tc>
      </w:tr>
      <w:tr w14:paraId="6127E6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3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F9EAE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495"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E7E2FD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经口气管插管</w:t>
            </w:r>
          </w:p>
        </w:tc>
        <w:tc>
          <w:tcPr>
            <w:tcW w:w="58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DD666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双“Y”字</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77BD9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311</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41C9E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43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6A12BA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2.57</w:t>
            </w:r>
          </w:p>
        </w:tc>
        <w:tc>
          <w:tcPr>
            <w:tcW w:w="53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CF72C0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双“Y”字固定法</w:t>
            </w:r>
          </w:p>
        </w:tc>
        <w:tc>
          <w:tcPr>
            <w:tcW w:w="43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F57F5B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357</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FF803C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463" w:type="pct"/>
            <w:tcBorders>
              <w:top w:val="single" w:color="000000" w:sz="4" w:space="0"/>
              <w:left w:val="single" w:color="000000" w:sz="4" w:space="0"/>
              <w:bottom w:val="single" w:color="000000" w:sz="4" w:space="0"/>
              <w:right w:val="nil"/>
            </w:tcBorders>
            <w:shd w:val="clear" w:color="auto" w:fill="FFFFFF"/>
            <w:vAlign w:val="center"/>
          </w:tcPr>
          <w:p w14:paraId="482DBC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0.56</w:t>
            </w:r>
          </w:p>
        </w:tc>
        <w:tc>
          <w:tcPr>
            <w:tcW w:w="4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5F47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降低</w:t>
            </w:r>
          </w:p>
        </w:tc>
      </w:tr>
      <w:tr w14:paraId="0D9B81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3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83B08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495"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3D81D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经口气管插管</w:t>
            </w:r>
          </w:p>
        </w:tc>
        <w:tc>
          <w:tcPr>
            <w:tcW w:w="58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3CAABF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E868EA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4CDC72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c>
          <w:tcPr>
            <w:tcW w:w="43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4992A4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c>
          <w:tcPr>
            <w:tcW w:w="53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DC54B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双“Y”字固定法</w:t>
            </w:r>
          </w:p>
        </w:tc>
        <w:tc>
          <w:tcPr>
            <w:tcW w:w="43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FE7F85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488D98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c>
          <w:tcPr>
            <w:tcW w:w="463" w:type="pct"/>
            <w:tcBorders>
              <w:top w:val="single" w:color="000000" w:sz="4" w:space="0"/>
              <w:left w:val="single" w:color="000000" w:sz="4" w:space="0"/>
              <w:bottom w:val="single" w:color="000000" w:sz="4" w:space="0"/>
              <w:right w:val="nil"/>
            </w:tcBorders>
            <w:shd w:val="clear" w:color="auto" w:fill="FFFFFF"/>
            <w:vAlign w:val="center"/>
          </w:tcPr>
          <w:p w14:paraId="264BDF5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c>
          <w:tcPr>
            <w:tcW w:w="4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0F09A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r>
      <w:tr w14:paraId="1182FB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3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9E50F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495"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387A6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经口气管插管</w:t>
            </w:r>
          </w:p>
        </w:tc>
        <w:tc>
          <w:tcPr>
            <w:tcW w:w="58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6EB88F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绑带交叉或基于个人经验使用3M胶布贴于鼻腔固定法</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0E035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152</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FFC270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w:t>
            </w:r>
          </w:p>
        </w:tc>
        <w:tc>
          <w:tcPr>
            <w:tcW w:w="43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A1D0FB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13.15</w:t>
            </w:r>
          </w:p>
        </w:tc>
        <w:tc>
          <w:tcPr>
            <w:tcW w:w="53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1108E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双“Y”字固定法</w:t>
            </w:r>
          </w:p>
        </w:tc>
        <w:tc>
          <w:tcPr>
            <w:tcW w:w="43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2BC447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152</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A89E59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w:t>
            </w:r>
          </w:p>
        </w:tc>
        <w:tc>
          <w:tcPr>
            <w:tcW w:w="463" w:type="pct"/>
            <w:tcBorders>
              <w:top w:val="single" w:color="000000" w:sz="4" w:space="0"/>
              <w:left w:val="single" w:color="000000" w:sz="4" w:space="0"/>
              <w:bottom w:val="single" w:color="000000" w:sz="4" w:space="0"/>
              <w:right w:val="nil"/>
            </w:tcBorders>
            <w:shd w:val="clear" w:color="auto" w:fill="FFFFFF"/>
            <w:vAlign w:val="center"/>
          </w:tcPr>
          <w:p w14:paraId="6E831B1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5.92</w:t>
            </w:r>
          </w:p>
        </w:tc>
        <w:tc>
          <w:tcPr>
            <w:tcW w:w="4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D13E3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降低</w:t>
            </w:r>
          </w:p>
        </w:tc>
      </w:tr>
      <w:tr w14:paraId="22DFB3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3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1F4B7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495"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912FC5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经口气管插管</w:t>
            </w:r>
          </w:p>
        </w:tc>
        <w:tc>
          <w:tcPr>
            <w:tcW w:w="58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ED43D5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绑带交叉或基于个人经验使用3M胶布贴于鼻腔固定法</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58B027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4FE44A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3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94CC5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53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8FDC86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双“Y”字固定法</w:t>
            </w:r>
          </w:p>
        </w:tc>
        <w:tc>
          <w:tcPr>
            <w:tcW w:w="43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455828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4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317650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63" w:type="pct"/>
            <w:tcBorders>
              <w:top w:val="single" w:color="000000" w:sz="4" w:space="0"/>
              <w:left w:val="single" w:color="000000" w:sz="4" w:space="0"/>
              <w:bottom w:val="single" w:color="000000" w:sz="4" w:space="0"/>
              <w:right w:val="nil"/>
            </w:tcBorders>
            <w:shd w:val="clear" w:color="auto" w:fill="FFFFFF"/>
            <w:vAlign w:val="center"/>
          </w:tcPr>
          <w:p w14:paraId="4D0563B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3102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持平</w:t>
            </w:r>
          </w:p>
        </w:tc>
      </w:tr>
      <w:tr w14:paraId="4F69E6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3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1650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合计</w:t>
            </w:r>
          </w:p>
        </w:tc>
        <w:tc>
          <w:tcPr>
            <w:tcW w:w="4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20520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c>
          <w:tcPr>
            <w:tcW w:w="5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172AE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c>
          <w:tcPr>
            <w:tcW w:w="4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4F123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476</w:t>
            </w:r>
          </w:p>
        </w:tc>
        <w:tc>
          <w:tcPr>
            <w:tcW w:w="4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64668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28</w:t>
            </w: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7EEEF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p>
        </w:tc>
        <w:tc>
          <w:tcPr>
            <w:tcW w:w="5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87B06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c>
          <w:tcPr>
            <w:tcW w:w="4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C8285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523</w:t>
            </w:r>
          </w:p>
        </w:tc>
        <w:tc>
          <w:tcPr>
            <w:tcW w:w="4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F7519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w:t>
            </w:r>
          </w:p>
        </w:tc>
        <w:tc>
          <w:tcPr>
            <w:tcW w:w="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7DD07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p>
        </w:tc>
        <w:tc>
          <w:tcPr>
            <w:tcW w:w="4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1B9A9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r>
    </w:tbl>
    <w:p w14:paraId="0E845115">
      <w:pPr>
        <w:pStyle w:val="30"/>
        <w:keepNext w:val="0"/>
        <w:keepLines w:val="0"/>
        <w:pageBreakBefore w:val="0"/>
        <w:widowControl/>
        <w:numPr>
          <w:ilvl w:val="0"/>
          <w:numId w:val="0"/>
        </w:numPr>
        <w:kinsoku/>
        <w:wordWrap/>
        <w:overflowPunct/>
        <w:topLinePunct w:val="0"/>
        <w:autoSpaceDE w:val="0"/>
        <w:autoSpaceDN w:val="0"/>
        <w:bidi w:val="0"/>
        <w:adjustRightInd/>
        <w:snapToGrid/>
        <w:spacing w:line="240" w:lineRule="auto"/>
        <w:ind w:left="0" w:leftChars="0" w:firstLine="420" w:firstLineChars="200"/>
        <w:jc w:val="center"/>
        <w:textAlignment w:val="auto"/>
        <w:rPr>
          <w:rFonts w:hint="eastAsia"/>
          <w:lang w:val="en-US" w:eastAsia="zh-CN"/>
        </w:rPr>
      </w:pPr>
    </w:p>
    <w:p w14:paraId="35BCC53C">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（3）导尿管创新改良固定方法：导尿管下腹部“双 E”型固定法，相较于改良前导尿管大腿外侧、腹股沟外侧高举平台固定法。改良的创新点在于改变黏贴部位，即导尿管采用下腹部“双E”型固定法，固定部位选择在下腹部，固定时导尿管最低点抬离床面5cm，使可减少尿道壁和膀胱壁的损伤机会，避免聚集细菌的体外尿管进入尿道引起逆行感染。</w:t>
      </w:r>
    </w:p>
    <w:p w14:paraId="0756B7FA">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是针对导尿管特殊性（需兼顾稳定性、防牵拉、皮肤保护及舒适性）设计的改良固定方式，下腹部“双E”型固定法通过力学优化（抗多方向牵拉）+ 皮肤保护（分散压力）+活动适配（减少束缚感）的三重设计，成为导尿管固定的优选方案，尤其适合高风险脱管人群和长期留置患者。改良后，其核心价值在于在确保管路安全的同时，最大化患者的舒适度与安全性，更牢固、无受压、无牵拉；美观、舒适、操作简单。</w:t>
      </w:r>
    </w:p>
    <w:p w14:paraId="03C2179E">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尺寸：“双E”型长8cm±0.8cm，宽7.5cm±1.0 cm，剪成“双E”型（裁剪尺寸可依据患者实际情况个性化调整参数）</w:t>
      </w:r>
    </w:p>
    <w:p w14:paraId="28C4A3A5">
      <w:pPr>
        <w:pStyle w:val="30"/>
        <w:keepNext w:val="0"/>
        <w:keepLines w:val="0"/>
        <w:pageBreakBefore w:val="0"/>
        <w:widowControl/>
        <w:numPr>
          <w:ilvl w:val="0"/>
          <w:numId w:val="0"/>
        </w:numPr>
        <w:kinsoku/>
        <w:wordWrap/>
        <w:overflowPunct/>
        <w:topLinePunct w:val="0"/>
        <w:autoSpaceDE w:val="0"/>
        <w:autoSpaceDN w:val="0"/>
        <w:bidi w:val="0"/>
        <w:adjustRightInd/>
        <w:snapToGrid/>
        <w:spacing w:line="240" w:lineRule="auto"/>
        <w:jc w:val="center"/>
        <w:textAlignment w:val="auto"/>
      </w:pPr>
      <w:r>
        <w:drawing>
          <wp:inline distT="0" distB="0" distL="114300" distR="114300">
            <wp:extent cx="4665345" cy="3862070"/>
            <wp:effectExtent l="0" t="0" r="1905" b="5080"/>
            <wp:docPr id="15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7"/>
                    <pic:cNvPicPr>
                      <a:picLocks noChangeAspect="1"/>
                    </pic:cNvPicPr>
                  </pic:nvPicPr>
                  <pic:blipFill>
                    <a:blip r:embed="rId9"/>
                    <a:stretch>
                      <a:fillRect/>
                    </a:stretch>
                  </pic:blipFill>
                  <pic:spPr>
                    <a:xfrm>
                      <a:off x="0" y="0"/>
                      <a:ext cx="4665345" cy="3862070"/>
                    </a:xfrm>
                    <a:prstGeom prst="rect">
                      <a:avLst/>
                    </a:prstGeom>
                    <a:noFill/>
                    <a:ln>
                      <a:noFill/>
                    </a:ln>
                  </pic:spPr>
                </pic:pic>
              </a:graphicData>
            </a:graphic>
          </wp:inline>
        </w:drawing>
      </w:r>
    </w:p>
    <w:p w14:paraId="7B105577">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导尿管：2022年-2023年各家医院使用的方法有大腿高举平台固定法、“单E”型、“一”字抬高法、在尿管与引流袋连接处的上方用3M胶布固定于大腿部等方法共2564例，黏膜损伤平均发生率为1.041%，2024年-2025年使用改良后的固定方法后（即下腹部“双E”型固定法）共开展了2769例，平均发生率为0%；此外，本院于2019年完成了鼻胃管/鼻肠管、经口气管插管、导尿管固定方法的图文式操作指引制作。制作完成的图谱指引由计算机中心工作人员导入医院电子信息系统，临床护士可随时点击查看，以供参考。</w:t>
      </w:r>
    </w:p>
    <w:p w14:paraId="6980F596">
      <w:pPr>
        <w:pStyle w:val="30"/>
        <w:numPr>
          <w:ilvl w:val="0"/>
          <w:numId w:val="0"/>
        </w:numPr>
        <w:spacing w:line="520" w:lineRule="exact"/>
        <w:jc w:val="center"/>
        <w:rPr>
          <w:rFonts w:hint="default"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表3  开展标准中创新导尿管固定方法实施前后效果对比</w:t>
      </w:r>
    </w:p>
    <w:tbl>
      <w:tblPr>
        <w:tblStyle w:val="14"/>
        <w:tblW w:w="5699" w:type="pct"/>
        <w:tblInd w:w="-58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77"/>
        <w:gridCol w:w="914"/>
        <w:gridCol w:w="1064"/>
        <w:gridCol w:w="940"/>
        <w:gridCol w:w="846"/>
        <w:gridCol w:w="873"/>
        <w:gridCol w:w="1213"/>
        <w:gridCol w:w="884"/>
        <w:gridCol w:w="903"/>
        <w:gridCol w:w="901"/>
        <w:gridCol w:w="1142"/>
      </w:tblGrid>
      <w:tr w14:paraId="47676D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37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450E36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医院名称</w:t>
            </w:r>
          </w:p>
        </w:tc>
        <w:tc>
          <w:tcPr>
            <w:tcW w:w="437"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76D0C07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8090C"/>
                <w:sz w:val="20"/>
                <w:szCs w:val="20"/>
                <w:u w:val="none"/>
              </w:rPr>
            </w:pPr>
            <w:r>
              <w:rPr>
                <w:rFonts w:hint="eastAsia" w:ascii="宋体" w:hAnsi="宋体" w:eastAsia="宋体" w:cs="宋体"/>
                <w:i w:val="0"/>
                <w:iCs w:val="0"/>
                <w:color w:val="08090C"/>
                <w:kern w:val="0"/>
                <w:sz w:val="20"/>
                <w:szCs w:val="20"/>
                <w:u w:val="none"/>
                <w:lang w:val="en-US" w:eastAsia="zh-CN" w:bidi="ar"/>
              </w:rPr>
              <w:t>项目</w:t>
            </w:r>
          </w:p>
        </w:tc>
        <w:tc>
          <w:tcPr>
            <w:tcW w:w="1780"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78326F2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36363D"/>
                <w:sz w:val="20"/>
                <w:szCs w:val="20"/>
                <w:u w:val="none"/>
              </w:rPr>
            </w:pPr>
            <w:r>
              <w:rPr>
                <w:rFonts w:hint="eastAsia" w:ascii="宋体" w:hAnsi="宋体" w:eastAsia="宋体" w:cs="宋体"/>
                <w:b/>
                <w:bCs/>
                <w:i w:val="0"/>
                <w:iCs w:val="0"/>
                <w:color w:val="36363D"/>
                <w:kern w:val="0"/>
                <w:sz w:val="20"/>
                <w:szCs w:val="20"/>
                <w:u w:val="none"/>
                <w:lang w:val="en-US" w:eastAsia="zh-CN" w:bidi="ar"/>
              </w:rPr>
              <w:t>前（ 时间：2022-2023年     ）</w:t>
            </w:r>
          </w:p>
        </w:tc>
        <w:tc>
          <w:tcPr>
            <w:tcW w:w="1865"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6E04CF7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36363D"/>
                <w:sz w:val="20"/>
                <w:szCs w:val="20"/>
                <w:u w:val="none"/>
              </w:rPr>
            </w:pPr>
            <w:r>
              <w:rPr>
                <w:rFonts w:hint="eastAsia" w:ascii="宋体" w:hAnsi="宋体" w:eastAsia="宋体" w:cs="宋体"/>
                <w:b/>
                <w:bCs/>
                <w:i w:val="0"/>
                <w:iCs w:val="0"/>
                <w:color w:val="36363D"/>
                <w:kern w:val="0"/>
                <w:sz w:val="20"/>
                <w:szCs w:val="20"/>
                <w:u w:val="none"/>
                <w:lang w:val="en-US" w:eastAsia="zh-CN" w:bidi="ar"/>
              </w:rPr>
              <w:t>后（时间：  2024-2025年      ）</w:t>
            </w:r>
          </w:p>
        </w:tc>
        <w:tc>
          <w:tcPr>
            <w:tcW w:w="5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7D081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改善前后PI发生率对比</w:t>
            </w:r>
          </w:p>
        </w:tc>
      </w:tr>
      <w:tr w14:paraId="410A06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37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D534E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0"/>
                <w:szCs w:val="20"/>
                <w:u w:val="none"/>
              </w:rPr>
            </w:pPr>
          </w:p>
        </w:tc>
        <w:tc>
          <w:tcPr>
            <w:tcW w:w="437"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E6F4D54">
            <w:pPr>
              <w:keepNext w:val="0"/>
              <w:keepLines w:val="0"/>
              <w:suppressLineNumbers w:val="0"/>
              <w:spacing w:before="0" w:beforeAutospacing="0" w:after="0" w:afterAutospacing="0"/>
              <w:ind w:left="0" w:right="0"/>
              <w:jc w:val="center"/>
              <w:rPr>
                <w:rFonts w:hint="eastAsia" w:ascii="宋体" w:hAnsi="宋体" w:eastAsia="宋体" w:cs="宋体"/>
                <w:i w:val="0"/>
                <w:iCs w:val="0"/>
                <w:color w:val="08090C"/>
                <w:sz w:val="20"/>
                <w:szCs w:val="20"/>
                <w:u w:val="none"/>
              </w:rPr>
            </w:pPr>
          </w:p>
        </w:tc>
        <w:tc>
          <w:tcPr>
            <w:tcW w:w="508"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300E99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8090C"/>
                <w:sz w:val="20"/>
                <w:szCs w:val="20"/>
                <w:u w:val="none"/>
              </w:rPr>
            </w:pPr>
            <w:r>
              <w:rPr>
                <w:rFonts w:hint="eastAsia" w:ascii="宋体" w:hAnsi="宋体" w:eastAsia="宋体" w:cs="宋体"/>
                <w:i w:val="0"/>
                <w:iCs w:val="0"/>
                <w:color w:val="08090C"/>
                <w:kern w:val="0"/>
                <w:sz w:val="20"/>
                <w:szCs w:val="20"/>
                <w:u w:val="none"/>
                <w:lang w:val="en-US" w:eastAsia="zh-CN" w:bidi="ar"/>
              </w:rPr>
              <w:t>固定方法</w:t>
            </w:r>
          </w:p>
        </w:tc>
        <w:tc>
          <w:tcPr>
            <w:tcW w:w="4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D8BB3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患者总例数（人）</w:t>
            </w:r>
          </w:p>
        </w:tc>
        <w:tc>
          <w:tcPr>
            <w:tcW w:w="40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209471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发生PI例数（人）</w:t>
            </w:r>
          </w:p>
        </w:tc>
        <w:tc>
          <w:tcPr>
            <w:tcW w:w="41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6CBD4C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PI发生率（%）</w:t>
            </w:r>
          </w:p>
        </w:tc>
        <w:tc>
          <w:tcPr>
            <w:tcW w:w="57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5A928F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固定方法</w:t>
            </w:r>
            <w:r>
              <w:rPr>
                <w:rFonts w:hint="eastAsia" w:ascii="宋体" w:hAnsi="宋体" w:eastAsia="宋体" w:cs="宋体"/>
                <w:b/>
                <w:bCs/>
                <w:i w:val="0"/>
                <w:iCs w:val="0"/>
                <w:color w:val="36363D"/>
                <w:kern w:val="0"/>
                <w:sz w:val="20"/>
                <w:szCs w:val="20"/>
                <w:u w:val="none"/>
                <w:lang w:val="en-US" w:eastAsia="zh-CN" w:bidi="ar"/>
              </w:rPr>
              <w:t>（团标中的方法）</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689004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患者总例数（人）</w:t>
            </w:r>
          </w:p>
        </w:tc>
        <w:tc>
          <w:tcPr>
            <w:tcW w:w="43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6AF445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发生PI例数（人）</w:t>
            </w:r>
          </w:p>
        </w:tc>
        <w:tc>
          <w:tcPr>
            <w:tcW w:w="43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2D6E44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36363D"/>
                <w:sz w:val="20"/>
                <w:szCs w:val="20"/>
                <w:u w:val="none"/>
              </w:rPr>
            </w:pPr>
            <w:r>
              <w:rPr>
                <w:rFonts w:hint="eastAsia" w:ascii="宋体" w:hAnsi="宋体" w:eastAsia="宋体" w:cs="宋体"/>
                <w:i w:val="0"/>
                <w:iCs w:val="0"/>
                <w:color w:val="36363D"/>
                <w:kern w:val="0"/>
                <w:sz w:val="20"/>
                <w:szCs w:val="20"/>
                <w:u w:val="none"/>
                <w:lang w:val="en-US" w:eastAsia="zh-CN" w:bidi="ar"/>
              </w:rPr>
              <w:t>PI发生率（%）</w:t>
            </w:r>
          </w:p>
        </w:tc>
        <w:tc>
          <w:tcPr>
            <w:tcW w:w="5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A4F67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是否降低</w:t>
            </w:r>
          </w:p>
        </w:tc>
      </w:tr>
      <w:tr w14:paraId="7EB745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3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12FB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43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6642D4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导尿管</w:t>
            </w:r>
          </w:p>
        </w:tc>
        <w:tc>
          <w:tcPr>
            <w:tcW w:w="508"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EFD7B2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大腿高举平台固定法</w:t>
            </w:r>
          </w:p>
        </w:tc>
        <w:tc>
          <w:tcPr>
            <w:tcW w:w="4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DA24FD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85</w:t>
            </w:r>
          </w:p>
        </w:tc>
        <w:tc>
          <w:tcPr>
            <w:tcW w:w="40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44C542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41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AA14D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57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820234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下腹部“双 E”型固定法</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F0392E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60</w:t>
            </w:r>
          </w:p>
        </w:tc>
        <w:tc>
          <w:tcPr>
            <w:tcW w:w="43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C553B5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3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DCF48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5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6DC1B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降低</w:t>
            </w:r>
          </w:p>
        </w:tc>
      </w:tr>
      <w:tr w14:paraId="5B44CF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3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21916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43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4DFEAF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导尿管</w:t>
            </w:r>
          </w:p>
        </w:tc>
        <w:tc>
          <w:tcPr>
            <w:tcW w:w="508"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6E2798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“单E”型</w:t>
            </w:r>
          </w:p>
        </w:tc>
        <w:tc>
          <w:tcPr>
            <w:tcW w:w="4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5E74D3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456</w:t>
            </w:r>
          </w:p>
        </w:tc>
        <w:tc>
          <w:tcPr>
            <w:tcW w:w="40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E8EA4B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41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6645C2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0.66</w:t>
            </w:r>
          </w:p>
        </w:tc>
        <w:tc>
          <w:tcPr>
            <w:tcW w:w="57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03B917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下腹部“双 E”型固定法</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5521C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488</w:t>
            </w:r>
          </w:p>
        </w:tc>
        <w:tc>
          <w:tcPr>
            <w:tcW w:w="43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923A81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3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83B50F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5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7D728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降低</w:t>
            </w:r>
          </w:p>
        </w:tc>
      </w:tr>
      <w:tr w14:paraId="50BAAD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3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2EB18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43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C4AA5A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导尿管</w:t>
            </w:r>
          </w:p>
        </w:tc>
        <w:tc>
          <w:tcPr>
            <w:tcW w:w="508"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EAEE23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“一”字抬高法</w:t>
            </w:r>
          </w:p>
        </w:tc>
        <w:tc>
          <w:tcPr>
            <w:tcW w:w="4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58F9A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1825</w:t>
            </w:r>
          </w:p>
        </w:tc>
        <w:tc>
          <w:tcPr>
            <w:tcW w:w="40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374F7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41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8B3904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0.055</w:t>
            </w:r>
          </w:p>
        </w:tc>
        <w:tc>
          <w:tcPr>
            <w:tcW w:w="57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32B730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下腹部“双 E”型固定法</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E7CF3C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2019</w:t>
            </w:r>
          </w:p>
        </w:tc>
        <w:tc>
          <w:tcPr>
            <w:tcW w:w="43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226193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3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EE9D08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5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91BB1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降低</w:t>
            </w:r>
          </w:p>
        </w:tc>
      </w:tr>
      <w:tr w14:paraId="0D1E5F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3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06A0E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43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A84752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导尿管</w:t>
            </w:r>
          </w:p>
        </w:tc>
        <w:tc>
          <w:tcPr>
            <w:tcW w:w="508"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11B52B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在尿管与引流袋连接处的上方用3M胶布固定于大腿部</w:t>
            </w:r>
          </w:p>
        </w:tc>
        <w:tc>
          <w:tcPr>
            <w:tcW w:w="4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68E45B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152</w:t>
            </w:r>
          </w:p>
        </w:tc>
        <w:tc>
          <w:tcPr>
            <w:tcW w:w="40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09E379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41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DC420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3.29</w:t>
            </w:r>
          </w:p>
        </w:tc>
        <w:tc>
          <w:tcPr>
            <w:tcW w:w="57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B9D57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下腹部“双 E”型固定法</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9C3DA3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152</w:t>
            </w:r>
          </w:p>
        </w:tc>
        <w:tc>
          <w:tcPr>
            <w:tcW w:w="43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322A63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3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866463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5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EB8F2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降低</w:t>
            </w:r>
          </w:p>
        </w:tc>
      </w:tr>
      <w:tr w14:paraId="19F9A5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3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CE690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43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43A8D4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导尿管</w:t>
            </w:r>
          </w:p>
        </w:tc>
        <w:tc>
          <w:tcPr>
            <w:tcW w:w="508"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88F05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在尿管与引流袋连接处的上方用3M胶布固定于大腿部</w:t>
            </w:r>
          </w:p>
        </w:tc>
        <w:tc>
          <w:tcPr>
            <w:tcW w:w="4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C6228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46</w:t>
            </w:r>
          </w:p>
        </w:tc>
        <w:tc>
          <w:tcPr>
            <w:tcW w:w="40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1249C9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1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797779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57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0FF04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下腹部“双 E”型固定法</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9F947C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50</w:t>
            </w:r>
          </w:p>
        </w:tc>
        <w:tc>
          <w:tcPr>
            <w:tcW w:w="43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F07F8E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43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A6CEE7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w:t>
            </w:r>
          </w:p>
        </w:tc>
        <w:tc>
          <w:tcPr>
            <w:tcW w:w="5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C0D60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持平</w:t>
            </w:r>
          </w:p>
        </w:tc>
      </w:tr>
      <w:tr w14:paraId="5FE68F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0" w:hRule="atLeast"/>
        </w:trPr>
        <w:tc>
          <w:tcPr>
            <w:tcW w:w="3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0DCD4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合计</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32695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0"/>
                <w:szCs w:val="20"/>
                <w:u w:val="none"/>
                <w:lang w:val="en-US" w:eastAsia="zh-CN" w:bidi="ar"/>
              </w:rPr>
            </w:pPr>
          </w:p>
        </w:tc>
        <w:tc>
          <w:tcPr>
            <w:tcW w:w="5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8C18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0"/>
                <w:szCs w:val="20"/>
                <w:u w:val="none"/>
                <w:lang w:val="en-US" w:eastAsia="zh-CN" w:bidi="ar"/>
              </w:rPr>
            </w:pPr>
          </w:p>
        </w:tc>
        <w:tc>
          <w:tcPr>
            <w:tcW w:w="4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3303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2564</w:t>
            </w:r>
          </w:p>
        </w:tc>
        <w:tc>
          <w:tcPr>
            <w:tcW w:w="40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52EF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0876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0"/>
                <w:szCs w:val="20"/>
                <w:u w:val="none"/>
                <w:lang w:val="en-US" w:eastAsia="zh-CN" w:bidi="ar"/>
              </w:rPr>
            </w:pPr>
          </w:p>
        </w:tc>
        <w:tc>
          <w:tcPr>
            <w:tcW w:w="5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1BBE9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0"/>
                <w:szCs w:val="20"/>
                <w:u w:val="none"/>
                <w:lang w:val="en-US" w:eastAsia="zh-CN" w:bidi="ar"/>
              </w:rPr>
            </w:pPr>
          </w:p>
        </w:tc>
        <w:tc>
          <w:tcPr>
            <w:tcW w:w="42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75DE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2769</w:t>
            </w:r>
          </w:p>
        </w:tc>
        <w:tc>
          <w:tcPr>
            <w:tcW w:w="4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7BBDC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0"/>
                <w:szCs w:val="20"/>
                <w:u w:val="none"/>
                <w:lang w:val="en-US" w:eastAsia="zh-CN" w:bidi="ar"/>
              </w:rPr>
            </w:pPr>
          </w:p>
        </w:tc>
        <w:tc>
          <w:tcPr>
            <w:tcW w:w="4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3F78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0"/>
                <w:szCs w:val="20"/>
                <w:u w:val="none"/>
                <w:lang w:val="en-US" w:eastAsia="zh-CN" w:bidi="ar"/>
              </w:rPr>
            </w:pPr>
          </w:p>
        </w:tc>
        <w:tc>
          <w:tcPr>
            <w:tcW w:w="5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41EF1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0"/>
                <w:szCs w:val="20"/>
                <w:u w:val="none"/>
                <w:lang w:val="en-US" w:eastAsia="zh-CN" w:bidi="ar"/>
              </w:rPr>
            </w:pPr>
          </w:p>
        </w:tc>
      </w:tr>
    </w:tbl>
    <w:p w14:paraId="3514F094">
      <w:pPr>
        <w:pStyle w:val="30"/>
        <w:spacing w:line="520" w:lineRule="exact"/>
        <w:ind w:firstLine="0" w:firstLineChars="0"/>
        <w:rPr>
          <w:rFonts w:hint="eastAsia" w:ascii="仿宋_GB2312" w:eastAsia="仿宋_GB2312" w:cs="仿宋"/>
          <w:b/>
          <w:bCs/>
          <w:color w:val="auto"/>
          <w:sz w:val="28"/>
          <w:szCs w:val="28"/>
          <w:lang w:val="en-US" w:eastAsia="zh-CN"/>
        </w:rPr>
      </w:pPr>
      <w:r>
        <w:rPr>
          <w:rFonts w:hint="eastAsia" w:ascii="仿宋_GB2312" w:eastAsia="仿宋_GB2312" w:cs="仿宋"/>
          <w:b/>
          <w:bCs/>
          <w:color w:val="auto"/>
          <w:sz w:val="28"/>
          <w:szCs w:val="28"/>
          <w:lang w:eastAsia="zh-CN"/>
        </w:rPr>
        <w:t>（五）</w:t>
      </w:r>
      <w:r>
        <w:rPr>
          <w:rFonts w:hint="eastAsia" w:ascii="仿宋_GB2312" w:eastAsia="仿宋_GB2312" w:cs="仿宋"/>
          <w:b/>
          <w:bCs/>
          <w:color w:val="auto"/>
          <w:sz w:val="28"/>
          <w:szCs w:val="28"/>
          <w:lang w:val="en-US" w:eastAsia="zh-CN"/>
        </w:rPr>
        <w:t>健康宣教</w:t>
      </w:r>
    </w:p>
    <w:p w14:paraId="1A6BC994">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通过双向教育既提升医护人员对医疗器械相关性压力性损伤的警觉性和规范操作技能，又使患者及家属理解配合预防措施的重要性并能识别早期迹象，从而构建主动报告和参与的第一道防线。同时应构建由医务人员主导、患者及家属参与、多学科协作的支持性环境，是确保标准长期有效实施的软性保障。</w:t>
      </w:r>
    </w:p>
    <w:p w14:paraId="7CA8A821">
      <w:pPr>
        <w:pStyle w:val="30"/>
        <w:numPr>
          <w:ilvl w:val="0"/>
          <w:numId w:val="0"/>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引用欧洲压疮咨询委员会（EPUAP）与美国国家压疮咨询委员会（NPIAP）联合指南中预防医疗器械相关性压力性损伤的首要原则，核心考量是秉持“最少的器械即是最大的安全”这一临床风险管理理念，通过每日严格评估并尽早移除任何非必需的医疗器械，从根本上消除由该器械所施加的压力源，这是最有效且最经济的预防策略。</w:t>
      </w:r>
    </w:p>
    <w:p w14:paraId="0D6B7526">
      <w:pPr>
        <w:pStyle w:val="32"/>
        <w:numPr>
          <w:ilvl w:val="0"/>
          <w:numId w:val="0"/>
        </w:numPr>
        <w:spacing w:beforeLines="0" w:afterLines="0" w:line="360" w:lineRule="auto"/>
        <w:rPr>
          <w:rFonts w:hint="eastAsia"/>
          <w:bCs/>
          <w:color w:val="auto"/>
          <w:sz w:val="32"/>
          <w:szCs w:val="32"/>
        </w:rPr>
      </w:pPr>
      <w:r>
        <w:rPr>
          <w:rFonts w:hint="eastAsia"/>
          <w:b/>
          <w:bCs/>
          <w:color w:val="auto"/>
          <w:sz w:val="32"/>
          <w:szCs w:val="32"/>
        </w:rPr>
        <w:t>六</w:t>
      </w:r>
      <w:r>
        <w:rPr>
          <w:rFonts w:hint="eastAsia"/>
          <w:bCs/>
          <w:color w:val="auto"/>
          <w:sz w:val="32"/>
          <w:szCs w:val="32"/>
        </w:rPr>
        <w:t>、</w:t>
      </w:r>
      <w:r>
        <w:rPr>
          <w:rFonts w:hint="eastAsia"/>
          <w:color w:val="auto"/>
          <w:sz w:val="32"/>
          <w:szCs w:val="32"/>
        </w:rPr>
        <w:t>重大意见分歧的处理依据和结果</w:t>
      </w:r>
    </w:p>
    <w:p w14:paraId="5901BD90">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本标准研制过程中无重大分歧意见。</w:t>
      </w:r>
    </w:p>
    <w:p w14:paraId="6B1FFC80">
      <w:pPr>
        <w:autoSpaceDE w:val="0"/>
        <w:autoSpaceDN w:val="0"/>
        <w:adjustRightInd w:val="0"/>
        <w:spacing w:before="156" w:beforeLines="50" w:after="156" w:afterLines="50" w:line="520" w:lineRule="exact"/>
        <w:ind w:firstLine="640" w:firstLineChars="200"/>
        <w:outlineLvl w:val="0"/>
        <w:rPr>
          <w:rFonts w:eastAsia="黑体"/>
          <w:color w:val="auto"/>
          <w:sz w:val="32"/>
          <w:szCs w:val="32"/>
        </w:rPr>
      </w:pPr>
      <w:r>
        <w:rPr>
          <w:rFonts w:hint="eastAsia" w:ascii="黑体" w:eastAsia="黑体"/>
          <w:bCs/>
          <w:color w:val="auto"/>
          <w:sz w:val="32"/>
          <w:szCs w:val="32"/>
        </w:rPr>
        <w:t>七、</w:t>
      </w:r>
      <w:r>
        <w:rPr>
          <w:rFonts w:hint="eastAsia" w:eastAsia="黑体"/>
          <w:color w:val="auto"/>
          <w:sz w:val="32"/>
          <w:szCs w:val="32"/>
        </w:rPr>
        <w:t>实施标准的措施</w:t>
      </w:r>
    </w:p>
    <w:p w14:paraId="43DE7DA7">
      <w:pPr>
        <w:spacing w:line="500" w:lineRule="exact"/>
        <w:ind w:firstLine="562" w:firstLineChars="200"/>
        <w:rPr>
          <w:rFonts w:hint="eastAsia" w:ascii="仿宋_GB2312" w:eastAsia="仿宋_GB2312" w:cs="仿宋_GB2312"/>
          <w:b/>
          <w:color w:val="auto"/>
          <w:sz w:val="28"/>
          <w:szCs w:val="28"/>
        </w:rPr>
      </w:pPr>
      <w:r>
        <w:rPr>
          <w:rFonts w:hint="eastAsia" w:ascii="仿宋_GB2312" w:eastAsia="仿宋_GB2312" w:cs="仿宋_GB2312"/>
          <w:b/>
          <w:color w:val="auto"/>
          <w:sz w:val="28"/>
          <w:szCs w:val="28"/>
        </w:rPr>
        <w:t>（一）标准报批发布后，成立标准宣贯工作组</w:t>
      </w:r>
    </w:p>
    <w:p w14:paraId="6254ED11">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255571FF">
      <w:pPr>
        <w:spacing w:line="50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（二）组织开展标准宣贯培训</w:t>
      </w:r>
    </w:p>
    <w:p w14:paraId="684177CD">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标准发布实施后，标准宣贯工作小组制作标准解读宣贯培训PPT课件和标准核心技术明白书，并按标准宣贯培训计划深入各市县医疗机构，对</w:t>
      </w:r>
      <w:r>
        <w:rPr>
          <w:rFonts w:hint="eastAsia" w:ascii="仿宋_GB2312" w:eastAsia="仿宋_GB2312"/>
          <w:color w:val="auto"/>
          <w:sz w:val="28"/>
          <w:szCs w:val="28"/>
          <w:lang w:val="en-US" w:eastAsia="zh-CN"/>
        </w:rPr>
        <w:t>相关</w:t>
      </w:r>
      <w:r>
        <w:rPr>
          <w:rFonts w:hint="eastAsia" w:ascii="仿宋_GB2312" w:eastAsia="仿宋_GB2312"/>
          <w:color w:val="auto"/>
          <w:sz w:val="28"/>
          <w:szCs w:val="28"/>
        </w:rPr>
        <w:t>医护人员开展标准宣贯培训，对标准进行逐条解读，让医师和医护人员掌握标准核心技术内容，助力标准实施落地，推动</w:t>
      </w:r>
      <w:r>
        <w:rPr>
          <w:rFonts w:hint="eastAsia" w:ascii="仿宋_GB2312" w:eastAsia="仿宋_GB2312"/>
          <w:color w:val="auto"/>
          <w:sz w:val="28"/>
          <w:szCs w:val="28"/>
          <w:lang w:val="en-US" w:eastAsia="zh-CN"/>
        </w:rPr>
        <w:t>医疗护理事业</w:t>
      </w:r>
      <w:r>
        <w:rPr>
          <w:rFonts w:hint="eastAsia" w:ascii="仿宋_GB2312" w:eastAsia="仿宋_GB2312"/>
          <w:color w:val="auto"/>
          <w:sz w:val="28"/>
          <w:szCs w:val="28"/>
        </w:rPr>
        <w:t>高质量发展。</w:t>
      </w:r>
    </w:p>
    <w:p w14:paraId="24F36826">
      <w:pPr>
        <w:spacing w:line="50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（三）开展标准实施交流会，收集标准实施反馈信息</w:t>
      </w:r>
    </w:p>
    <w:p w14:paraId="7488335B">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标准起草小组深入各市县医疗机构组织</w:t>
      </w:r>
      <w:r>
        <w:rPr>
          <w:rFonts w:hint="eastAsia" w:ascii="仿宋_GB2312" w:eastAsia="仿宋_GB2312"/>
          <w:color w:val="auto"/>
          <w:sz w:val="28"/>
          <w:szCs w:val="28"/>
          <w:lang w:val="en-US" w:eastAsia="zh-CN"/>
        </w:rPr>
        <w:t>相关</w:t>
      </w:r>
      <w:r>
        <w:rPr>
          <w:rFonts w:hint="eastAsia" w:ascii="仿宋_GB2312" w:eastAsia="仿宋_GB2312"/>
          <w:color w:val="auto"/>
          <w:sz w:val="28"/>
          <w:szCs w:val="28"/>
        </w:rPr>
        <w:t>医护人员召开标准实施交流会，听取标准实施过程中存在的问题并做好记录和解答，对存在的问题组织专家团队进行研讨，为标准的复审修订做准备。</w:t>
      </w:r>
    </w:p>
    <w:p w14:paraId="6712A9C8">
      <w:pPr>
        <w:spacing w:line="50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（四）开展标准实施效果评估</w:t>
      </w:r>
    </w:p>
    <w:p w14:paraId="6F26A459">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标准实施满2年，每年标准宣贯工作组采取网络调查、问卷调查、实地调研、召开座谈会或论证会、专家咨询等方式开展标准实施效果评估，并形成标准实施效果评估报告，为标准的复审修订做准备。</w:t>
      </w:r>
    </w:p>
    <w:p w14:paraId="467B4A06">
      <w:pPr>
        <w:spacing w:before="240" w:after="60" w:line="520" w:lineRule="exact"/>
        <w:ind w:firstLine="640" w:firstLineChars="200"/>
        <w:outlineLvl w:val="0"/>
        <w:rPr>
          <w:rFonts w:hint="eastAsia" w:ascii="黑体" w:eastAsia="黑体"/>
          <w:bCs/>
          <w:color w:val="auto"/>
          <w:sz w:val="32"/>
          <w:szCs w:val="32"/>
        </w:rPr>
      </w:pPr>
      <w:r>
        <w:rPr>
          <w:rFonts w:hint="eastAsia" w:ascii="黑体" w:eastAsia="黑体"/>
          <w:bCs/>
          <w:color w:val="auto"/>
          <w:sz w:val="32"/>
          <w:szCs w:val="32"/>
        </w:rPr>
        <w:t>八、其他应当说明的事项</w:t>
      </w:r>
    </w:p>
    <w:p w14:paraId="6D062A51">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无。</w:t>
      </w:r>
    </w:p>
    <w:p w14:paraId="52787E3B">
      <w:pPr>
        <w:autoSpaceDE w:val="0"/>
        <w:autoSpaceDN w:val="0"/>
        <w:adjustRightInd w:val="0"/>
        <w:spacing w:before="156" w:beforeLines="50" w:after="156" w:afterLines="50" w:line="520" w:lineRule="exact"/>
        <w:ind w:firstLine="640"/>
        <w:outlineLvl w:val="0"/>
        <w:rPr>
          <w:rFonts w:hint="eastAsia" w:eastAsia="黑体"/>
          <w:color w:val="auto"/>
          <w:sz w:val="32"/>
          <w:szCs w:val="32"/>
        </w:rPr>
      </w:pPr>
      <w:r>
        <w:rPr>
          <w:rFonts w:hint="eastAsia" w:eastAsia="黑体"/>
          <w:color w:val="auto"/>
          <w:sz w:val="32"/>
          <w:szCs w:val="32"/>
        </w:rPr>
        <w:t>九、自我承诺</w:t>
      </w:r>
    </w:p>
    <w:p w14:paraId="1CA3DC93">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该标准的内容符合国家相关法律法规，技术要求不低于强制性国家标准的相关技术要求，与相关的国家、行业推荐性标准协调一致，标准的编写符合GB/T 1.1-2020的要求。</w:t>
      </w:r>
    </w:p>
    <w:p w14:paraId="3099184D">
      <w:pPr>
        <w:pStyle w:val="23"/>
        <w:rPr>
          <w:rFonts w:hint="eastAsia" w:ascii="仿宋_GB2312" w:eastAsia="仿宋_GB2312"/>
          <w:color w:val="auto"/>
          <w:sz w:val="28"/>
          <w:szCs w:val="28"/>
        </w:rPr>
      </w:pPr>
    </w:p>
    <w:p w14:paraId="7696C500">
      <w:pPr>
        <w:pStyle w:val="23"/>
        <w:rPr>
          <w:rFonts w:hint="eastAsia" w:ascii="仿宋_GB2312" w:eastAsia="仿宋_GB2312"/>
          <w:color w:val="auto"/>
          <w:sz w:val="28"/>
          <w:szCs w:val="28"/>
        </w:rPr>
      </w:pPr>
    </w:p>
    <w:p w14:paraId="62C157D1">
      <w:pPr>
        <w:pStyle w:val="23"/>
        <w:rPr>
          <w:rFonts w:hint="eastAsia" w:ascii="仿宋_GB2312" w:eastAsia="仿宋_GB2312"/>
          <w:color w:val="auto"/>
          <w:sz w:val="28"/>
          <w:szCs w:val="28"/>
        </w:rPr>
      </w:pPr>
    </w:p>
    <w:p w14:paraId="753963BB">
      <w:pPr>
        <w:spacing w:before="240" w:after="60" w:line="520" w:lineRule="exact"/>
        <w:ind w:firstLine="1680" w:firstLineChars="600"/>
        <w:outlineLvl w:val="0"/>
        <w:rPr>
          <w:rFonts w:hint="eastAsia" w:ascii="仿宋_GB2312" w:eastAsia="仿宋_GB2312"/>
          <w:color w:val="auto"/>
          <w:sz w:val="28"/>
          <w:szCs w:val="28"/>
        </w:rPr>
      </w:pPr>
      <w:r>
        <w:rPr>
          <w:rFonts w:hint="eastAsia" w:ascii="仿宋_GB2312" w:eastAsia="仿宋_GB2312"/>
          <w:color w:val="auto"/>
          <w:sz w:val="28"/>
          <w:szCs w:val="28"/>
          <w:lang w:val="en-US" w:eastAsia="zh-CN"/>
        </w:rPr>
        <w:t>团体标准</w:t>
      </w:r>
      <w:r>
        <w:rPr>
          <w:rFonts w:hint="eastAsia" w:ascii="仿宋_GB2312" w:eastAsia="仿宋_GB2312"/>
          <w:color w:val="auto"/>
          <w:sz w:val="28"/>
          <w:szCs w:val="28"/>
        </w:rPr>
        <w:t>《</w:t>
      </w:r>
      <w:r>
        <w:rPr>
          <w:rFonts w:hint="eastAsia" w:ascii="仿宋_GB2312" w:eastAsia="仿宋_GB2312"/>
          <w:color w:val="auto"/>
          <w:sz w:val="28"/>
          <w:szCs w:val="28"/>
          <w:lang w:eastAsia="zh-CN"/>
        </w:rPr>
        <w:t>成人重症患者导管相关性黏膜压力性损伤预防规范</w:t>
      </w:r>
      <w:r>
        <w:rPr>
          <w:rFonts w:hint="eastAsia" w:ascii="仿宋_GB2312" w:eastAsia="仿宋_GB2312"/>
          <w:color w:val="auto"/>
          <w:sz w:val="28"/>
          <w:szCs w:val="28"/>
        </w:rPr>
        <w:t>》</w:t>
      </w:r>
    </w:p>
    <w:p w14:paraId="59BB109D">
      <w:pPr>
        <w:spacing w:line="520" w:lineRule="exact"/>
        <w:ind w:right="1120"/>
        <w:jc w:val="center"/>
        <w:rPr>
          <w:rFonts w:hint="eastAsia" w:ascii="仿宋_GB2312" w:eastAsia="仿宋_GB2312"/>
          <w:color w:val="auto"/>
          <w:sz w:val="28"/>
          <w:szCs w:val="28"/>
        </w:rPr>
      </w:pPr>
      <w:r>
        <w:rPr>
          <w:rFonts w:hint="eastAsia" w:ascii="仿宋_GB2312" w:eastAsia="仿宋_GB2312"/>
          <w:color w:val="auto"/>
          <w:sz w:val="28"/>
          <w:szCs w:val="28"/>
        </w:rPr>
        <w:t xml:space="preserve">                                  标准编制工作组</w:t>
      </w:r>
    </w:p>
    <w:p w14:paraId="2804818C">
      <w:pPr>
        <w:spacing w:line="520" w:lineRule="exact"/>
        <w:ind w:firstLine="640" w:firstLineChars="200"/>
        <w:rPr>
          <w:rFonts w:hint="eastAsia" w:ascii="仿宋_GB2312" w:eastAsia="仿宋_GB2312"/>
          <w:color w:val="auto"/>
          <w:sz w:val="28"/>
          <w:szCs w:val="28"/>
        </w:rPr>
      </w:pPr>
      <w:r>
        <w:rPr>
          <w:rFonts w:hint="eastAsia" w:ascii="仿宋_GB2312" w:eastAsia="仿宋_GB2312"/>
          <w:color w:val="auto"/>
          <w:sz w:val="32"/>
          <w:szCs w:val="28"/>
        </w:rPr>
        <w:t xml:space="preserve">                             </w:t>
      </w:r>
      <w:r>
        <w:rPr>
          <w:rFonts w:hint="eastAsia" w:ascii="仿宋_GB2312" w:eastAsia="仿宋_GB2312"/>
          <w:color w:val="auto"/>
          <w:sz w:val="28"/>
          <w:szCs w:val="28"/>
        </w:rPr>
        <w:t>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年</w:t>
      </w:r>
      <w:r>
        <w:rPr>
          <w:rFonts w:hint="eastAsia" w:ascii="仿宋_GB2312" w:eastAsia="仿宋_GB2312"/>
          <w:color w:val="auto"/>
          <w:sz w:val="28"/>
          <w:szCs w:val="28"/>
          <w:lang w:val="en-US" w:eastAsia="zh-CN"/>
        </w:rPr>
        <w:t>8</w:t>
      </w:r>
      <w:r>
        <w:rPr>
          <w:rFonts w:hint="eastAsia" w:ascii="仿宋_GB2312" w:eastAsia="仿宋_GB2312"/>
          <w:color w:val="auto"/>
          <w:sz w:val="28"/>
          <w:szCs w:val="28"/>
        </w:rPr>
        <w:t>月</w:t>
      </w:r>
      <w:r>
        <w:rPr>
          <w:rFonts w:hint="eastAsia" w:ascii="仿宋_GB2312" w:eastAsia="仿宋_GB2312"/>
          <w:color w:val="auto"/>
          <w:sz w:val="28"/>
          <w:szCs w:val="28"/>
          <w:lang w:val="en-US" w:eastAsia="zh-CN"/>
        </w:rPr>
        <w:t>20</w:t>
      </w:r>
      <w:r>
        <w:rPr>
          <w:rFonts w:hint="eastAsia" w:ascii="仿宋_GB2312" w:eastAsia="仿宋_GB2312"/>
          <w:color w:val="auto"/>
          <w:sz w:val="28"/>
          <w:szCs w:val="28"/>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B477AFE7-D5A4-4A36-8F23-765E5074371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embedRegular r:id="rId2" w:fontKey="{C9B60830-8F92-4E90-A57F-B607D6EE505E}"/>
  </w:font>
  <w:font w:name="等线">
    <w:panose1 w:val="02010600030101010101"/>
    <w:charset w:val="86"/>
    <w:family w:val="auto"/>
    <w:pitch w:val="default"/>
    <w:sig w:usb0="A00002BF" w:usb1="38CF7CFA" w:usb2="00000016" w:usb3="00000000" w:csb0="0004000F" w:csb1="00000000"/>
  </w:font>
  <w:font w:name="仿宋_GB2312">
    <w:panose1 w:val="02010609030101010101"/>
    <w:charset w:val="86"/>
    <w:family w:val="modern"/>
    <w:pitch w:val="default"/>
    <w:sig w:usb0="00000001" w:usb1="080E0000" w:usb2="00000000" w:usb3="00000000" w:csb0="00040000" w:csb1="00000000"/>
    <w:embedRegular r:id="rId3" w:fontKey="{81F6BC6E-7C4F-44F5-9FB5-7A5AE6587678}"/>
  </w:font>
  <w:font w:name="方正小标宋简体">
    <w:panose1 w:val="03000509000000000000"/>
    <w:charset w:val="86"/>
    <w:family w:val="script"/>
    <w:pitch w:val="default"/>
    <w:sig w:usb0="00000001" w:usb1="080E0000" w:usb2="00000000" w:usb3="00000000" w:csb0="00040000" w:csb1="00000000"/>
    <w:embedRegular r:id="rId4" w:fontKey="{C0CE08D7-DFC0-4568-9938-66ED40E22271}"/>
  </w:font>
  <w:font w:name="仿宋">
    <w:panose1 w:val="02010609060101010101"/>
    <w:charset w:val="86"/>
    <w:family w:val="modern"/>
    <w:pitch w:val="default"/>
    <w:sig w:usb0="800002BF" w:usb1="38CF7CFA" w:usb2="00000016" w:usb3="00000000" w:csb0="00040001" w:csb1="00000000"/>
    <w:embedRegular r:id="rId5" w:fontKey="{D1273F43-1ACA-46B4-A758-C1B85E6E80C8}"/>
  </w:font>
  <w:font w:name="Segoe UI">
    <w:panose1 w:val="020B0502040204020203"/>
    <w:charset w:val="00"/>
    <w:family w:val="auto"/>
    <w:pitch w:val="default"/>
    <w:sig w:usb0="E10022FF" w:usb1="C000E47F" w:usb2="00000029" w:usb3="00000000" w:csb0="200001DF" w:csb1="20000000"/>
    <w:embedRegular r:id="rId6" w:fontKey="{BE7B336F-69F1-45DA-BBD0-7C942F9D8131}"/>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D6AFB0">
    <w:pPr>
      <w:pStyle w:val="9"/>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3835A740">
                          <w:pPr>
                            <w:pStyle w:val="9"/>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3835A740">
                    <w:pPr>
                      <w:pStyle w:val="9"/>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1"/>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0FFFFF7E"/>
    <w:multiLevelType w:val="singleLevel"/>
    <w:tmpl w:val="0FFFFF7E"/>
    <w:lvl w:ilvl="0" w:tentative="0">
      <w:start w:val="1"/>
      <w:numFmt w:val="decimal"/>
      <w:lvlText w:val="%1."/>
      <w:lvlJc w:val="left"/>
      <w:pPr>
        <w:tabs>
          <w:tab w:val="left" w:pos="1200"/>
        </w:tabs>
        <w:ind w:left="1200" w:hanging="360"/>
      </w:pPr>
    </w:lvl>
  </w:abstractNum>
  <w:abstractNum w:abstractNumId="2">
    <w:nsid w:val="0FFFFF7F"/>
    <w:multiLevelType w:val="singleLevel"/>
    <w:tmpl w:val="0FFFFF7F"/>
    <w:lvl w:ilvl="0" w:tentative="0">
      <w:start w:val="1"/>
      <w:numFmt w:val="decimal"/>
      <w:lvlText w:val="%1."/>
      <w:lvlJc w:val="left"/>
      <w:pPr>
        <w:tabs>
          <w:tab w:val="left" w:pos="780"/>
        </w:tabs>
        <w:ind w:left="780" w:hanging="360"/>
      </w:pPr>
    </w:lvl>
  </w:abstractNum>
  <w:abstractNum w:abstractNumId="3">
    <w:nsid w:val="2C5917C3"/>
    <w:multiLevelType w:val="multilevel"/>
    <w:tmpl w:val="2C5917C3"/>
    <w:lvl w:ilvl="0" w:tentative="0">
      <w:start w:val="1"/>
      <w:numFmt w:val="none"/>
      <w:pStyle w:val="55"/>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4">
    <w:nsid w:val="44C50F90"/>
    <w:multiLevelType w:val="multilevel"/>
    <w:tmpl w:val="44C50F90"/>
    <w:lvl w:ilvl="0" w:tentative="0">
      <w:start w:val="1"/>
      <w:numFmt w:val="lowerLetter"/>
      <w:pStyle w:val="50"/>
      <w:lvlText w:val="%1)"/>
      <w:lvlJc w:val="left"/>
      <w:pPr>
        <w:tabs>
          <w:tab w:val="left" w:pos="851"/>
        </w:tabs>
        <w:ind w:left="851" w:hanging="426"/>
      </w:pPr>
      <w:rPr>
        <w:rFonts w:hint="eastAsia" w:ascii="宋体" w:hAnsi="Times New Roman" w:eastAsia="宋体"/>
        <w:sz w:val="21"/>
      </w:rPr>
    </w:lvl>
    <w:lvl w:ilvl="1" w:tentative="0">
      <w:start w:val="1"/>
      <w:numFmt w:val="decimal"/>
      <w:pStyle w:val="48"/>
      <w:lvlText w:val="%2)"/>
      <w:lvlJc w:val="left"/>
      <w:pPr>
        <w:tabs>
          <w:tab w:val="left" w:pos="1276"/>
        </w:tabs>
        <w:ind w:left="1276" w:hanging="425"/>
      </w:pPr>
      <w:rPr>
        <w:rFonts w:hint="eastAsia" w:ascii="宋体" w:hAnsi="Times New Roman" w:eastAsia="宋体"/>
        <w:sz w:val="21"/>
      </w:rPr>
    </w:lvl>
    <w:lvl w:ilvl="2" w:tentative="0">
      <w:start w:val="1"/>
      <w:numFmt w:val="decimal"/>
      <w:pStyle w:val="49"/>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5">
    <w:nsid w:val="5A9B6960"/>
    <w:multiLevelType w:val="multilevel"/>
    <w:tmpl w:val="5A9B6960"/>
    <w:lvl w:ilvl="0" w:tentative="0">
      <w:start w:val="1"/>
      <w:numFmt w:val="none"/>
      <w:pStyle w:val="38"/>
      <w:suff w:val="nothing"/>
      <w:lvlText w:val="%1"/>
      <w:legacy w:legacy="1" w:legacySpace="0" w:legacyIndent="0"/>
      <w:lvlJc w:val="left"/>
      <w:pPr>
        <w:ind w:left="0" w:firstLine="0"/>
      </w:pPr>
      <w:rPr>
        <w:rFonts w:hint="eastAsia"/>
      </w:rPr>
    </w:lvl>
    <w:lvl w:ilvl="1" w:tentative="0">
      <w:start w:val="1"/>
      <w:numFmt w:val="decimal"/>
      <w:pStyle w:val="32"/>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4"/>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40"/>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39"/>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37"/>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num w:numId="1">
    <w:abstractNumId w:val="5"/>
  </w:num>
  <w:num w:numId="2">
    <w:abstractNumId w:val="0"/>
  </w:num>
  <w:num w:numId="3">
    <w:abstractNumId w:val="2"/>
  </w:num>
  <w:num w:numId="4">
    <w:abstractNumId w:val="1"/>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embedTrueTypeFonts/>
  <w:saveSubset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U0OWNhMGUyYzc2MTI5ZWY2NzM4MTVkMDAwODg0YzMifQ=="/>
  </w:docVars>
  <w:rsids>
    <w:rsidRoot w:val="000D75AA"/>
    <w:rsid w:val="000068A2"/>
    <w:rsid w:val="00014983"/>
    <w:rsid w:val="000178C8"/>
    <w:rsid w:val="00055442"/>
    <w:rsid w:val="00072103"/>
    <w:rsid w:val="00075653"/>
    <w:rsid w:val="00082613"/>
    <w:rsid w:val="000C517B"/>
    <w:rsid w:val="000E53EA"/>
    <w:rsid w:val="001133E6"/>
    <w:rsid w:val="001655CC"/>
    <w:rsid w:val="0018012C"/>
    <w:rsid w:val="001821C9"/>
    <w:rsid w:val="001A7570"/>
    <w:rsid w:val="001D3156"/>
    <w:rsid w:val="001E2D73"/>
    <w:rsid w:val="0020127F"/>
    <w:rsid w:val="00205352"/>
    <w:rsid w:val="002210B4"/>
    <w:rsid w:val="0022236C"/>
    <w:rsid w:val="002324B6"/>
    <w:rsid w:val="00234F7D"/>
    <w:rsid w:val="00236909"/>
    <w:rsid w:val="00236EB4"/>
    <w:rsid w:val="00241F8A"/>
    <w:rsid w:val="00281F39"/>
    <w:rsid w:val="0028500C"/>
    <w:rsid w:val="002879F6"/>
    <w:rsid w:val="00292F73"/>
    <w:rsid w:val="0029554A"/>
    <w:rsid w:val="002A3479"/>
    <w:rsid w:val="002B7C92"/>
    <w:rsid w:val="002E357A"/>
    <w:rsid w:val="00321E92"/>
    <w:rsid w:val="003259AF"/>
    <w:rsid w:val="003332BA"/>
    <w:rsid w:val="00340D9B"/>
    <w:rsid w:val="003517E7"/>
    <w:rsid w:val="00372E66"/>
    <w:rsid w:val="00375933"/>
    <w:rsid w:val="00382E35"/>
    <w:rsid w:val="00396F2C"/>
    <w:rsid w:val="003D485E"/>
    <w:rsid w:val="00426DC5"/>
    <w:rsid w:val="004373E9"/>
    <w:rsid w:val="0044036C"/>
    <w:rsid w:val="0044065E"/>
    <w:rsid w:val="004805DB"/>
    <w:rsid w:val="0048511D"/>
    <w:rsid w:val="004A75FF"/>
    <w:rsid w:val="004B4D68"/>
    <w:rsid w:val="004F29B4"/>
    <w:rsid w:val="00515B82"/>
    <w:rsid w:val="0051755E"/>
    <w:rsid w:val="00533B2A"/>
    <w:rsid w:val="00554B7D"/>
    <w:rsid w:val="00564A0C"/>
    <w:rsid w:val="005E3C13"/>
    <w:rsid w:val="005E7B33"/>
    <w:rsid w:val="005F1668"/>
    <w:rsid w:val="005F2FD2"/>
    <w:rsid w:val="005F4961"/>
    <w:rsid w:val="00617B08"/>
    <w:rsid w:val="00627AB4"/>
    <w:rsid w:val="006335ED"/>
    <w:rsid w:val="006343EC"/>
    <w:rsid w:val="0063539D"/>
    <w:rsid w:val="00637F53"/>
    <w:rsid w:val="006511A8"/>
    <w:rsid w:val="0067378F"/>
    <w:rsid w:val="00691000"/>
    <w:rsid w:val="006B0BA0"/>
    <w:rsid w:val="006B12C0"/>
    <w:rsid w:val="00714DDE"/>
    <w:rsid w:val="0074491A"/>
    <w:rsid w:val="007557E4"/>
    <w:rsid w:val="00756356"/>
    <w:rsid w:val="00774434"/>
    <w:rsid w:val="007756AB"/>
    <w:rsid w:val="00781D6C"/>
    <w:rsid w:val="007A149B"/>
    <w:rsid w:val="007C244C"/>
    <w:rsid w:val="00801A7F"/>
    <w:rsid w:val="00814260"/>
    <w:rsid w:val="008247C4"/>
    <w:rsid w:val="00826BFA"/>
    <w:rsid w:val="00853F5C"/>
    <w:rsid w:val="00874BB5"/>
    <w:rsid w:val="008779C2"/>
    <w:rsid w:val="00887632"/>
    <w:rsid w:val="00895F4A"/>
    <w:rsid w:val="008973E6"/>
    <w:rsid w:val="008B6B5F"/>
    <w:rsid w:val="008E1EB5"/>
    <w:rsid w:val="00926E1B"/>
    <w:rsid w:val="00932BA3"/>
    <w:rsid w:val="00947EBA"/>
    <w:rsid w:val="009718CC"/>
    <w:rsid w:val="009A4141"/>
    <w:rsid w:val="009E3161"/>
    <w:rsid w:val="00A16A3E"/>
    <w:rsid w:val="00A263D3"/>
    <w:rsid w:val="00A365A2"/>
    <w:rsid w:val="00A37FDF"/>
    <w:rsid w:val="00A42C5E"/>
    <w:rsid w:val="00A75476"/>
    <w:rsid w:val="00A87F41"/>
    <w:rsid w:val="00AC57C3"/>
    <w:rsid w:val="00AD0172"/>
    <w:rsid w:val="00B07A8A"/>
    <w:rsid w:val="00B66676"/>
    <w:rsid w:val="00B73416"/>
    <w:rsid w:val="00B77477"/>
    <w:rsid w:val="00B94EFE"/>
    <w:rsid w:val="00B954B8"/>
    <w:rsid w:val="00BA570D"/>
    <w:rsid w:val="00BB6932"/>
    <w:rsid w:val="00BB7B52"/>
    <w:rsid w:val="00BD2990"/>
    <w:rsid w:val="00C07069"/>
    <w:rsid w:val="00C123EE"/>
    <w:rsid w:val="00C13CB6"/>
    <w:rsid w:val="00C20386"/>
    <w:rsid w:val="00CC71EF"/>
    <w:rsid w:val="00CE7CD2"/>
    <w:rsid w:val="00D0457A"/>
    <w:rsid w:val="00D35977"/>
    <w:rsid w:val="00D43F5A"/>
    <w:rsid w:val="00D87F07"/>
    <w:rsid w:val="00D9142A"/>
    <w:rsid w:val="00D9735E"/>
    <w:rsid w:val="00DB7F6F"/>
    <w:rsid w:val="00DF4FB8"/>
    <w:rsid w:val="00E27034"/>
    <w:rsid w:val="00E32D4B"/>
    <w:rsid w:val="00E41116"/>
    <w:rsid w:val="00E414EF"/>
    <w:rsid w:val="00E455A5"/>
    <w:rsid w:val="00E835A1"/>
    <w:rsid w:val="00E83E2D"/>
    <w:rsid w:val="00ED41E5"/>
    <w:rsid w:val="00EE332B"/>
    <w:rsid w:val="00EF4610"/>
    <w:rsid w:val="00EF6CB2"/>
    <w:rsid w:val="00F01A5C"/>
    <w:rsid w:val="00F40513"/>
    <w:rsid w:val="00F424A9"/>
    <w:rsid w:val="00F5729F"/>
    <w:rsid w:val="00F65587"/>
    <w:rsid w:val="00F77E06"/>
    <w:rsid w:val="00F9021F"/>
    <w:rsid w:val="00FA7D60"/>
    <w:rsid w:val="00FB260A"/>
    <w:rsid w:val="00FC7CE6"/>
    <w:rsid w:val="00FD6497"/>
    <w:rsid w:val="00FF2EC3"/>
    <w:rsid w:val="012A4E2C"/>
    <w:rsid w:val="02DC2156"/>
    <w:rsid w:val="03CC3F79"/>
    <w:rsid w:val="0462502C"/>
    <w:rsid w:val="05CD222A"/>
    <w:rsid w:val="06084616"/>
    <w:rsid w:val="06A9292B"/>
    <w:rsid w:val="082E6C88"/>
    <w:rsid w:val="08EF7A39"/>
    <w:rsid w:val="0A5844F0"/>
    <w:rsid w:val="0C364870"/>
    <w:rsid w:val="0CCE2B10"/>
    <w:rsid w:val="0EB92622"/>
    <w:rsid w:val="0EE41D10"/>
    <w:rsid w:val="11386E78"/>
    <w:rsid w:val="11B73ED3"/>
    <w:rsid w:val="11DF729D"/>
    <w:rsid w:val="12277661"/>
    <w:rsid w:val="133D4C82"/>
    <w:rsid w:val="13D12EE6"/>
    <w:rsid w:val="13EE1CEA"/>
    <w:rsid w:val="13F37300"/>
    <w:rsid w:val="174D6D27"/>
    <w:rsid w:val="18CE5C46"/>
    <w:rsid w:val="1A2A2D28"/>
    <w:rsid w:val="1A611AD4"/>
    <w:rsid w:val="1B43291B"/>
    <w:rsid w:val="1B440441"/>
    <w:rsid w:val="1B9C64CF"/>
    <w:rsid w:val="1D7F38C8"/>
    <w:rsid w:val="1E4A1472"/>
    <w:rsid w:val="1E6C7E3E"/>
    <w:rsid w:val="1E85324A"/>
    <w:rsid w:val="20346CD6"/>
    <w:rsid w:val="206E043A"/>
    <w:rsid w:val="21B36690"/>
    <w:rsid w:val="21B75E11"/>
    <w:rsid w:val="2443573A"/>
    <w:rsid w:val="25496D80"/>
    <w:rsid w:val="27095D8A"/>
    <w:rsid w:val="273250B0"/>
    <w:rsid w:val="27750300"/>
    <w:rsid w:val="277B51EB"/>
    <w:rsid w:val="279E6744"/>
    <w:rsid w:val="2AB253C7"/>
    <w:rsid w:val="2BAD2B02"/>
    <w:rsid w:val="2C6C6F3C"/>
    <w:rsid w:val="2E0C3040"/>
    <w:rsid w:val="2E40384E"/>
    <w:rsid w:val="2E826991"/>
    <w:rsid w:val="2F083808"/>
    <w:rsid w:val="2F0B058C"/>
    <w:rsid w:val="2F7C5FA4"/>
    <w:rsid w:val="2FDD0EDC"/>
    <w:rsid w:val="31A33CBC"/>
    <w:rsid w:val="32F32A21"/>
    <w:rsid w:val="34337579"/>
    <w:rsid w:val="344833B2"/>
    <w:rsid w:val="34E4210D"/>
    <w:rsid w:val="35146A33"/>
    <w:rsid w:val="39CD7B28"/>
    <w:rsid w:val="3D6C58AA"/>
    <w:rsid w:val="3E6639DC"/>
    <w:rsid w:val="3FC7172D"/>
    <w:rsid w:val="403F2E01"/>
    <w:rsid w:val="431A1904"/>
    <w:rsid w:val="442944F4"/>
    <w:rsid w:val="45413951"/>
    <w:rsid w:val="454F3408"/>
    <w:rsid w:val="46E47FFF"/>
    <w:rsid w:val="4779601E"/>
    <w:rsid w:val="493E1AE1"/>
    <w:rsid w:val="4B2238EC"/>
    <w:rsid w:val="4C6C7CEB"/>
    <w:rsid w:val="4DDD59C1"/>
    <w:rsid w:val="50370ABF"/>
    <w:rsid w:val="51A650B5"/>
    <w:rsid w:val="51FB0B52"/>
    <w:rsid w:val="52845057"/>
    <w:rsid w:val="531F075A"/>
    <w:rsid w:val="53F87A3F"/>
    <w:rsid w:val="56DA342C"/>
    <w:rsid w:val="57A01936"/>
    <w:rsid w:val="57A57FD6"/>
    <w:rsid w:val="57F01F2D"/>
    <w:rsid w:val="58D367F3"/>
    <w:rsid w:val="592B4413"/>
    <w:rsid w:val="592C1295"/>
    <w:rsid w:val="59DD74BB"/>
    <w:rsid w:val="5A8C449C"/>
    <w:rsid w:val="5B571FFB"/>
    <w:rsid w:val="5BD06662"/>
    <w:rsid w:val="5BFB00CD"/>
    <w:rsid w:val="5C452F47"/>
    <w:rsid w:val="5D086F45"/>
    <w:rsid w:val="5D4D6706"/>
    <w:rsid w:val="60252B89"/>
    <w:rsid w:val="616C2448"/>
    <w:rsid w:val="63057E95"/>
    <w:rsid w:val="63DF2082"/>
    <w:rsid w:val="65071890"/>
    <w:rsid w:val="654A16B4"/>
    <w:rsid w:val="660F1D12"/>
    <w:rsid w:val="66A21530"/>
    <w:rsid w:val="67277FC8"/>
    <w:rsid w:val="677C2407"/>
    <w:rsid w:val="67C27CF0"/>
    <w:rsid w:val="68C47A98"/>
    <w:rsid w:val="68C53F3C"/>
    <w:rsid w:val="6AB2229E"/>
    <w:rsid w:val="6CC80E6D"/>
    <w:rsid w:val="710B6BAC"/>
    <w:rsid w:val="71525B1E"/>
    <w:rsid w:val="716444DA"/>
    <w:rsid w:val="71CC633B"/>
    <w:rsid w:val="71F238C8"/>
    <w:rsid w:val="738A5B9F"/>
    <w:rsid w:val="741F6AAA"/>
    <w:rsid w:val="74A0585D"/>
    <w:rsid w:val="754A5489"/>
    <w:rsid w:val="763864CA"/>
    <w:rsid w:val="764D461B"/>
    <w:rsid w:val="77A7157C"/>
    <w:rsid w:val="77D048EE"/>
    <w:rsid w:val="78B143BF"/>
    <w:rsid w:val="7A035425"/>
    <w:rsid w:val="7AB465B7"/>
    <w:rsid w:val="7B215011"/>
    <w:rsid w:val="7CB63E70"/>
    <w:rsid w:val="7D221505"/>
    <w:rsid w:val="7E2B6198"/>
    <w:rsid w:val="7EF26A8C"/>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Calibr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Calibri"/>
      <w:kern w:val="2"/>
      <w:sz w:val="21"/>
      <w:szCs w:val="24"/>
      <w:lang w:val="en-US" w:eastAsia="zh-CN" w:bidi="ar-SA"/>
    </w:rPr>
  </w:style>
  <w:style w:type="paragraph" w:styleId="2">
    <w:name w:val="heading 1"/>
    <w:basedOn w:val="1"/>
    <w:next w:val="1"/>
    <w:autoRedefine/>
    <w:qFormat/>
    <w:uiPriority w:val="0"/>
    <w:pPr>
      <w:keepNext/>
      <w:keepLines/>
      <w:widowControl w:val="0"/>
      <w:spacing w:before="340" w:after="330" w:line="578" w:lineRule="auto"/>
      <w:outlineLvl w:val="0"/>
    </w:pPr>
    <w:rPr>
      <w:b/>
      <w:bCs/>
      <w:kern w:val="44"/>
      <w:sz w:val="44"/>
    </w:rPr>
  </w:style>
  <w:style w:type="paragraph" w:styleId="3">
    <w:name w:val="heading 2"/>
    <w:basedOn w:val="1"/>
    <w:next w:val="1"/>
    <w:qFormat/>
    <w:uiPriority w:val="0"/>
    <w:pPr>
      <w:keepNext/>
      <w:keepLines/>
      <w:widowControl w:val="0"/>
      <w:spacing w:before="260" w:after="260" w:line="415" w:lineRule="auto"/>
      <w:outlineLvl w:val="1"/>
    </w:pPr>
    <w:rPr>
      <w:rFonts w:ascii="Times New Roman" w:hAnsi="Times New Roman" w:eastAsia="黑体"/>
      <w:b/>
      <w:sz w:val="32"/>
    </w:rPr>
  </w:style>
  <w:style w:type="paragraph" w:styleId="4">
    <w:name w:val="heading 3"/>
    <w:basedOn w:val="1"/>
    <w:next w:val="1"/>
    <w:autoRedefine/>
    <w:qFormat/>
    <w:uiPriority w:val="0"/>
    <w:pPr>
      <w:keepNext/>
      <w:keepLines/>
      <w:widowControl w:val="0"/>
      <w:spacing w:before="260" w:after="260" w:line="415" w:lineRule="auto"/>
      <w:outlineLvl w:val="2"/>
    </w:pPr>
    <w:rPr>
      <w:b/>
      <w:sz w:val="32"/>
    </w:rPr>
  </w:style>
  <w:style w:type="paragraph" w:styleId="5">
    <w:name w:val="heading 4"/>
    <w:basedOn w:val="1"/>
    <w:next w:val="1"/>
    <w:semiHidden/>
    <w:unhideWhenUsed/>
    <w:qFormat/>
    <w:uiPriority w:val="9"/>
    <w:pPr>
      <w:spacing w:before="0" w:beforeAutospacing="1" w:after="0" w:afterAutospacing="1"/>
      <w:jc w:val="left"/>
    </w:pPr>
    <w:rPr>
      <w:rFonts w:hint="eastAsia" w:ascii="宋体" w:hAnsi="宋体" w:eastAsia="宋体" w:cs="宋体"/>
      <w:b/>
      <w:bCs/>
      <w:kern w:val="0"/>
      <w:sz w:val="24"/>
      <w:szCs w:val="24"/>
      <w:lang w:val="en-US" w:eastAsia="zh-CN" w:bidi="ar"/>
    </w:rPr>
  </w:style>
  <w:style w:type="paragraph" w:styleId="6">
    <w:name w:val="heading 7"/>
    <w:basedOn w:val="1"/>
    <w:next w:val="1"/>
    <w:link w:val="24"/>
    <w:autoRedefine/>
    <w:qFormat/>
    <w:uiPriority w:val="9"/>
    <w:pPr>
      <w:keepNext/>
      <w:keepLines/>
      <w:spacing w:before="240" w:after="64" w:line="320" w:lineRule="auto"/>
      <w:outlineLvl w:val="6"/>
    </w:pPr>
    <w:rPr>
      <w:b/>
      <w:bCs/>
      <w:sz w:val="24"/>
    </w:rPr>
  </w:style>
  <w:style w:type="character" w:default="1" w:styleId="16">
    <w:name w:val="Default Paragraph Font"/>
    <w:autoRedefine/>
    <w:qFormat/>
    <w:uiPriority w:val="0"/>
  </w:style>
  <w:style w:type="table" w:default="1" w:styleId="14">
    <w:name w:val="Normal Table"/>
    <w:unhideWhenUsed/>
    <w:qFormat/>
    <w:uiPriority w:val="9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CellMar>
        <w:top w:w="0" w:type="dxa"/>
        <w:left w:w="108" w:type="dxa"/>
        <w:bottom w:w="0" w:type="dxa"/>
        <w:right w:w="108" w:type="dxa"/>
      </w:tblCellMar>
    </w:tblPr>
  </w:style>
  <w:style w:type="paragraph" w:styleId="7">
    <w:name w:val="annotation text"/>
    <w:basedOn w:val="1"/>
    <w:link w:val="25"/>
    <w:autoRedefine/>
    <w:unhideWhenUsed/>
    <w:qFormat/>
    <w:uiPriority w:val="99"/>
    <w:pPr>
      <w:adjustRightInd w:val="0"/>
      <w:spacing w:line="400" w:lineRule="exact"/>
      <w:jc w:val="left"/>
    </w:pPr>
    <w:rPr>
      <w:rFonts w:ascii="Calibri" w:hAnsi="Calibri"/>
      <w:szCs w:val="21"/>
    </w:rPr>
  </w:style>
  <w:style w:type="paragraph" w:styleId="8">
    <w:name w:val="Balloon Text"/>
    <w:basedOn w:val="1"/>
    <w:link w:val="26"/>
    <w:autoRedefine/>
    <w:unhideWhenUsed/>
    <w:qFormat/>
    <w:uiPriority w:val="99"/>
    <w:rPr>
      <w:sz w:val="18"/>
      <w:szCs w:val="18"/>
    </w:rPr>
  </w:style>
  <w:style w:type="paragraph" w:styleId="9">
    <w:name w:val="footer"/>
    <w:basedOn w:val="1"/>
    <w:link w:val="27"/>
    <w:autoRedefine/>
    <w:qFormat/>
    <w:uiPriority w:val="99"/>
    <w:pPr>
      <w:tabs>
        <w:tab w:val="center" w:pos="4153"/>
        <w:tab w:val="right" w:pos="8306"/>
      </w:tabs>
      <w:snapToGrid w:val="0"/>
      <w:jc w:val="left"/>
    </w:pPr>
    <w:rPr>
      <w:sz w:val="18"/>
      <w:szCs w:val="18"/>
    </w:rPr>
  </w:style>
  <w:style w:type="paragraph" w:styleId="10">
    <w:name w:val="envelope return"/>
    <w:basedOn w:val="1"/>
    <w:autoRedefine/>
    <w:qFormat/>
    <w:uiPriority w:val="0"/>
    <w:pPr>
      <w:snapToGrid w:val="0"/>
    </w:pPr>
    <w:rPr>
      <w:rFonts w:ascii="Times New Roman" w:hAnsi="Times New Roman"/>
    </w:rPr>
  </w:style>
  <w:style w:type="paragraph" w:styleId="11">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2">
    <w:name w:val="toc 4"/>
    <w:basedOn w:val="1"/>
    <w:next w:val="1"/>
    <w:autoRedefine/>
    <w:unhideWhenUsed/>
    <w:qFormat/>
    <w:uiPriority w:val="39"/>
    <w:pPr>
      <w:tabs>
        <w:tab w:val="right" w:leader="dot" w:pos="9344"/>
      </w:tabs>
      <w:adjustRightInd w:val="0"/>
      <w:spacing w:line="300" w:lineRule="exact"/>
      <w:ind w:left="629"/>
    </w:pPr>
    <w:rPr>
      <w:rFonts w:ascii="宋体" w:hAnsi="Calibri"/>
      <w:szCs w:val="21"/>
    </w:rPr>
  </w:style>
  <w:style w:type="paragraph" w:styleId="13">
    <w:name w:val="Normal (Web)"/>
    <w:basedOn w:val="1"/>
    <w:autoRedefine/>
    <w:semiHidden/>
    <w:unhideWhenUsed/>
    <w:qFormat/>
    <w:uiPriority w:val="99"/>
    <w:pPr>
      <w:spacing w:before="0" w:beforeAutospacing="1" w:after="0" w:afterAutospacing="1"/>
      <w:ind w:left="0" w:right="0"/>
      <w:jc w:val="left"/>
    </w:pPr>
    <w:rPr>
      <w:kern w:val="0"/>
      <w:sz w:val="24"/>
      <w:lang w:val="en-US" w:eastAsia="zh-CN" w:bidi="ar"/>
    </w:rPr>
  </w:style>
  <w:style w:type="table" w:styleId="15">
    <w:name w:val="Table Grid"/>
    <w:basedOn w:val="14"/>
    <w:autoRedefine/>
    <w:qFormat/>
    <w:uiPriority w:val="3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tcBorders>
        <w:top w:val="single" w:color="auto" w:sz="4" w:space="0"/>
        <w:left w:val="single" w:color="auto" w:sz="4" w:space="0"/>
        <w:bottom w:val="single" w:color="auto" w:sz="4" w:space="0"/>
        <w:right w:val="single" w:color="auto" w:sz="4" w:space="0"/>
      </w:tcBorders>
    </w:tcPr>
  </w:style>
  <w:style w:type="character" w:styleId="17">
    <w:name w:val="Strong"/>
    <w:basedOn w:val="16"/>
    <w:autoRedefine/>
    <w:qFormat/>
    <w:uiPriority w:val="22"/>
    <w:rPr>
      <w:b/>
    </w:rPr>
  </w:style>
  <w:style w:type="character" w:styleId="18">
    <w:name w:val="line number"/>
    <w:autoRedefine/>
    <w:qFormat/>
    <w:uiPriority w:val="0"/>
  </w:style>
  <w:style w:type="character" w:styleId="19">
    <w:name w:val="Hyperlink"/>
    <w:autoRedefine/>
    <w:qFormat/>
    <w:uiPriority w:val="0"/>
    <w:rPr>
      <w:rFonts w:ascii="宋体" w:eastAsia="宋体"/>
      <w:color w:val="auto"/>
      <w:spacing w:val="0"/>
      <w:w w:val="100"/>
      <w:position w:val="0"/>
      <w:sz w:val="21"/>
      <w:u w:val="none"/>
      <w:vertAlign w:val="baseline"/>
    </w:rPr>
  </w:style>
  <w:style w:type="character" w:styleId="20">
    <w:name w:val="annotation reference"/>
    <w:autoRedefine/>
    <w:qFormat/>
    <w:uiPriority w:val="99"/>
    <w:rPr>
      <w:sz w:val="21"/>
    </w:rPr>
  </w:style>
  <w:style w:type="character" w:styleId="21">
    <w:name w:val="footnote reference"/>
    <w:autoRedefine/>
    <w:qFormat/>
    <w:uiPriority w:val="0"/>
    <w:rPr>
      <w:vertAlign w:val="superscript"/>
    </w:rPr>
  </w:style>
  <w:style w:type="paragraph" w:customStyle="1" w:styleId="22">
    <w:name w:val="BodyText2"/>
    <w:basedOn w:val="1"/>
    <w:autoRedefine/>
    <w:qFormat/>
    <w:uiPriority w:val="0"/>
    <w:pPr>
      <w:spacing w:after="120" w:line="480" w:lineRule="auto"/>
      <w:textAlignment w:val="baseline"/>
    </w:pPr>
    <w:rPr>
      <w:rFonts w:ascii="Calibri" w:hAnsi="Calibri" w:eastAsia="宋体" w:cs="Times New Roman"/>
      <w:sz w:val="32"/>
      <w:szCs w:val="32"/>
      <w:lang w:bidi="ar-SA"/>
    </w:rPr>
  </w:style>
  <w:style w:type="paragraph" w:customStyle="1" w:styleId="23">
    <w:name w:val="正文-公1"/>
    <w:autoRedefine/>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4">
    <w:name w:val="标题 7 字符"/>
    <w:link w:val="6"/>
    <w:autoRedefine/>
    <w:qFormat/>
    <w:uiPriority w:val="0"/>
    <w:rPr>
      <w:rFonts w:eastAsia="宋体"/>
      <w:b/>
      <w:bCs/>
      <w:kern w:val="2"/>
      <w:sz w:val="24"/>
      <w:szCs w:val="24"/>
    </w:rPr>
  </w:style>
  <w:style w:type="character" w:customStyle="1" w:styleId="25">
    <w:name w:val="批注文字 字符"/>
    <w:link w:val="7"/>
    <w:autoRedefine/>
    <w:semiHidden/>
    <w:qFormat/>
    <w:uiPriority w:val="99"/>
    <w:rPr>
      <w:rFonts w:ascii="Calibri" w:hAnsi="Calibri" w:eastAsia="宋体"/>
      <w:kern w:val="2"/>
      <w:sz w:val="21"/>
      <w:szCs w:val="21"/>
    </w:rPr>
  </w:style>
  <w:style w:type="character" w:customStyle="1" w:styleId="26">
    <w:name w:val="批注框文本 字符"/>
    <w:link w:val="8"/>
    <w:autoRedefine/>
    <w:semiHidden/>
    <w:qFormat/>
    <w:uiPriority w:val="99"/>
    <w:rPr>
      <w:rFonts w:eastAsia="宋体"/>
      <w:kern w:val="2"/>
      <w:sz w:val="18"/>
      <w:szCs w:val="18"/>
    </w:rPr>
  </w:style>
  <w:style w:type="character" w:customStyle="1" w:styleId="27">
    <w:name w:val="页脚 字符"/>
    <w:link w:val="9"/>
    <w:autoRedefine/>
    <w:qFormat/>
    <w:locked/>
    <w:uiPriority w:val="99"/>
    <w:rPr>
      <w:rFonts w:eastAsia="宋体"/>
      <w:kern w:val="2"/>
      <w:sz w:val="18"/>
      <w:szCs w:val="18"/>
    </w:rPr>
  </w:style>
  <w:style w:type="paragraph" w:customStyle="1" w:styleId="28">
    <w:name w:val="其他标准称谓"/>
    <w:autoRedefine/>
    <w:qFormat/>
    <w:uiPriority w:val="0"/>
    <w:pPr>
      <w:spacing w:line="0" w:lineRule="atLeast"/>
      <w:jc w:val="distribute"/>
    </w:pPr>
    <w:rPr>
      <w:rFonts w:ascii="黑体" w:hAnsi="Calibri" w:eastAsia="黑体" w:cs="Calibri"/>
      <w:sz w:val="52"/>
      <w:lang w:val="en-US" w:eastAsia="zh-CN" w:bidi="ar-SA"/>
    </w:rPr>
  </w:style>
  <w:style w:type="paragraph" w:customStyle="1" w:styleId="29">
    <w:name w:val="封面标准号1"/>
    <w:autoRedefine/>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30">
    <w:name w:val="标准文件_段"/>
    <w:link w:val="31"/>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character" w:customStyle="1" w:styleId="31">
    <w:name w:val="标准文件_段 Char"/>
    <w:link w:val="30"/>
    <w:autoRedefine/>
    <w:qFormat/>
    <w:uiPriority w:val="0"/>
    <w:rPr>
      <w:rFonts w:ascii="宋体" w:eastAsia="宋体"/>
      <w:sz w:val="21"/>
    </w:rPr>
  </w:style>
  <w:style w:type="paragraph" w:customStyle="1" w:styleId="32">
    <w:name w:val="标准文件_章标题"/>
    <w:next w:val="30"/>
    <w:autoRedefine/>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3">
    <w:name w:val="标准文件_二级条标题"/>
    <w:next w:val="30"/>
    <w:autoRedefine/>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4">
    <w:name w:val="标准文件_一级条标题"/>
    <w:basedOn w:val="32"/>
    <w:next w:val="30"/>
    <w:autoRedefine/>
    <w:qFormat/>
    <w:uiPriority w:val="0"/>
    <w:pPr>
      <w:numPr>
        <w:ilvl w:val="2"/>
        <w:numId w:val="1"/>
      </w:numPr>
      <w:spacing w:before="50" w:beforeLines="0" w:after="50" w:afterLines="0"/>
      <w:outlineLvl w:val="1"/>
    </w:pPr>
  </w:style>
  <w:style w:type="paragraph" w:customStyle="1" w:styleId="35">
    <w:name w:val="标准文件_三级条标题"/>
    <w:basedOn w:val="33"/>
    <w:next w:val="30"/>
    <w:autoRedefine/>
    <w:qFormat/>
    <w:uiPriority w:val="0"/>
    <w:pPr>
      <w:numPr>
        <w:ilvl w:val="4"/>
        <w:numId w:val="1"/>
      </w:numPr>
      <w:spacing w:before="50" w:beforeLines="50" w:after="50" w:afterLines="50"/>
      <w:jc w:val="both"/>
      <w:outlineLvl w:val="3"/>
    </w:pPr>
    <w:rPr>
      <w:rFonts w:ascii="黑体" w:eastAsia="黑体"/>
      <w:sz w:val="21"/>
      <w:lang w:val="en-US" w:eastAsia="zh-CN" w:bidi="ar-SA"/>
    </w:rPr>
  </w:style>
  <w:style w:type="paragraph" w:customStyle="1" w:styleId="36">
    <w:name w:val="标准文件_四级条标题"/>
    <w:next w:val="30"/>
    <w:autoRedefine/>
    <w:qFormat/>
    <w:uiPriority w:val="0"/>
    <w:pPr>
      <w:widowControl w:val="0"/>
      <w:numPr>
        <w:ilvl w:val="5"/>
        <w:numId w:val="1"/>
      </w:numPr>
      <w:spacing w:before="50" w:beforeLines="50" w:after="50" w:afterLines="50"/>
      <w:jc w:val="both"/>
      <w:outlineLvl w:val="4"/>
    </w:pPr>
    <w:rPr>
      <w:rFonts w:ascii="黑体" w:hAnsi="Calibri" w:eastAsia="黑体" w:cs="Calibri"/>
      <w:sz w:val="21"/>
      <w:lang w:val="en-US" w:eastAsia="zh-CN" w:bidi="ar-SA"/>
    </w:rPr>
  </w:style>
  <w:style w:type="paragraph" w:customStyle="1" w:styleId="37">
    <w:name w:val="标准文件_五级条标题"/>
    <w:next w:val="33"/>
    <w:autoRedefine/>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38">
    <w:name w:val="前言标题"/>
    <w:next w:val="1"/>
    <w:autoRedefine/>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39">
    <w:name w:val="标准文件_四级无标题"/>
    <w:basedOn w:val="36"/>
    <w:autoRedefine/>
    <w:qFormat/>
    <w:uiPriority w:val="0"/>
    <w:pPr>
      <w:widowControl w:val="0"/>
      <w:numPr>
        <w:ilvl w:val="5"/>
        <w:numId w:val="1"/>
      </w:numPr>
      <w:spacing w:before="50" w:after="50"/>
      <w:jc w:val="both"/>
    </w:pPr>
    <w:rPr>
      <w:rFonts w:ascii="宋体" w:hAnsi="Calibri" w:eastAsia="宋体" w:cs="Calibri"/>
      <w:sz w:val="21"/>
      <w:szCs w:val="52"/>
      <w:lang w:val="en-US" w:eastAsia="zh-CN" w:bidi="ar-SA"/>
    </w:rPr>
  </w:style>
  <w:style w:type="paragraph" w:customStyle="1" w:styleId="40">
    <w:name w:val="标准文件_三级无标题"/>
    <w:basedOn w:val="35"/>
    <w:autoRedefine/>
    <w:qFormat/>
    <w:uiPriority w:val="0"/>
    <w:pPr>
      <w:numPr>
        <w:ilvl w:val="4"/>
        <w:numId w:val="1"/>
      </w:numPr>
      <w:spacing w:before="50" w:after="50"/>
      <w:jc w:val="both"/>
    </w:pPr>
    <w:rPr>
      <w:rFonts w:ascii="宋体" w:eastAsia="宋体"/>
      <w:sz w:val="21"/>
      <w:lang w:val="en-US" w:eastAsia="zh-CN" w:bidi="ar-SA"/>
    </w:rPr>
  </w:style>
  <w:style w:type="paragraph" w:customStyle="1" w:styleId="41">
    <w:name w:val="标准文件_正文表标题"/>
    <w:autoRedefine/>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2">
    <w:name w:val="font11"/>
    <w:autoRedefine/>
    <w:qFormat/>
    <w:uiPriority w:val="0"/>
    <w:rPr>
      <w:rFonts w:ascii="等线" w:eastAsia="等线"/>
      <w:b/>
      <w:bCs/>
      <w:color w:val="FF0000"/>
      <w:sz w:val="22"/>
      <w:szCs w:val="22"/>
      <w:u w:val="none"/>
    </w:rPr>
  </w:style>
  <w:style w:type="character" w:customStyle="1" w:styleId="43">
    <w:name w:val="font01"/>
    <w:autoRedefine/>
    <w:qFormat/>
    <w:uiPriority w:val="0"/>
    <w:rPr>
      <w:rFonts w:ascii="等线" w:eastAsia="等线"/>
      <w:color w:val="000000"/>
      <w:sz w:val="22"/>
      <w:szCs w:val="22"/>
      <w:u w:val="none"/>
    </w:rPr>
  </w:style>
  <w:style w:type="paragraph" w:customStyle="1" w:styleId="44">
    <w:name w:val="段"/>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5">
    <w:name w:val="二级无"/>
    <w:basedOn w:val="1"/>
    <w:autoRedefine/>
    <w:qFormat/>
    <w:uiPriority w:val="0"/>
    <w:pPr>
      <w:widowControl/>
      <w:numPr>
        <w:ilvl w:val="2"/>
        <w:numId w:val="3"/>
      </w:numPr>
      <w:tabs>
        <w:tab w:val="left" w:pos="780"/>
      </w:tabs>
      <w:jc w:val="left"/>
      <w:outlineLvl w:val="3"/>
    </w:pPr>
    <w:rPr>
      <w:rFonts w:ascii="宋体"/>
      <w:kern w:val="0"/>
      <w:szCs w:val="21"/>
    </w:rPr>
  </w:style>
  <w:style w:type="paragraph" w:customStyle="1" w:styleId="46">
    <w:name w:val="标准文件_二级无标题"/>
    <w:basedOn w:val="33"/>
    <w:autoRedefine/>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47">
    <w:name w:val="Char Char Char Char"/>
    <w:basedOn w:val="1"/>
    <w:autoRedefine/>
    <w:qFormat/>
    <w:uiPriority w:val="0"/>
  </w:style>
  <w:style w:type="paragraph" w:customStyle="1" w:styleId="48">
    <w:name w:val="标准文件_数字编号列项（二级）"/>
    <w:autoRedefine/>
    <w:qFormat/>
    <w:uiPriority w:val="0"/>
    <w:pPr>
      <w:numPr>
        <w:ilvl w:val="1"/>
        <w:numId w:val="5"/>
      </w:numPr>
      <w:jc w:val="both"/>
    </w:pPr>
    <w:rPr>
      <w:rFonts w:ascii="宋体" w:hAnsi="Calibri" w:eastAsia="宋体" w:cs="Calibri"/>
      <w:sz w:val="21"/>
      <w:lang w:val="en-US" w:eastAsia="zh-CN" w:bidi="ar-SA"/>
    </w:rPr>
  </w:style>
  <w:style w:type="paragraph" w:customStyle="1" w:styleId="49">
    <w:name w:val="标准文件_编号列项（三级）"/>
    <w:autoRedefine/>
    <w:qFormat/>
    <w:uiPriority w:val="0"/>
    <w:pPr>
      <w:numPr>
        <w:ilvl w:val="2"/>
        <w:numId w:val="5"/>
      </w:numPr>
    </w:pPr>
    <w:rPr>
      <w:rFonts w:ascii="宋体" w:hAnsi="Calibri" w:eastAsia="宋体" w:cs="Calibri"/>
      <w:sz w:val="21"/>
      <w:lang w:val="en-US" w:eastAsia="zh-CN" w:bidi="ar-SA"/>
    </w:rPr>
  </w:style>
  <w:style w:type="paragraph" w:customStyle="1" w:styleId="50">
    <w:name w:val="标准文件_字母编号列项（一级）"/>
    <w:autoRedefine/>
    <w:qFormat/>
    <w:uiPriority w:val="0"/>
    <w:pPr>
      <w:numPr>
        <w:ilvl w:val="0"/>
        <w:numId w:val="5"/>
      </w:numPr>
      <w:jc w:val="both"/>
    </w:pPr>
    <w:rPr>
      <w:rFonts w:ascii="宋体" w:hAnsi="Calibri" w:eastAsia="宋体" w:cs="Calibri"/>
      <w:sz w:val="21"/>
      <w:lang w:val="en-US" w:eastAsia="zh-CN" w:bidi="ar-SA"/>
    </w:rPr>
  </w:style>
  <w:style w:type="paragraph" w:customStyle="1" w:styleId="51">
    <w:name w:val="标准文件_术语条一"/>
    <w:basedOn w:val="1"/>
    <w:next w:val="30"/>
    <w:autoRedefine/>
    <w:qFormat/>
    <w:uiPriority w:val="0"/>
    <w:pPr>
      <w:widowControl/>
    </w:pPr>
    <w:rPr>
      <w:rFonts w:ascii="宋体"/>
      <w:kern w:val="0"/>
      <w:szCs w:val="20"/>
    </w:rPr>
  </w:style>
  <w:style w:type="paragraph" w:customStyle="1" w:styleId="52">
    <w:name w:val="abstract"/>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53">
    <w:name w:val="abstract_more"/>
    <w:basedOn w:val="1"/>
    <w:autoRedefine/>
    <w:qFormat/>
    <w:uiPriority w:val="0"/>
    <w:pPr>
      <w:widowControl/>
      <w:spacing w:before="100" w:beforeAutospacing="1" w:after="100" w:afterAutospacing="1"/>
      <w:jc w:val="left"/>
    </w:pPr>
    <w:rPr>
      <w:rFonts w:ascii="宋体" w:hAnsi="宋体" w:cs="宋体"/>
      <w:kern w:val="0"/>
      <w:sz w:val="24"/>
    </w:rPr>
  </w:style>
  <w:style w:type="paragraph" w:styleId="54">
    <w:name w:val="No Spacing"/>
    <w:autoRedefine/>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5">
    <w:name w:val="标准文件_一级项"/>
    <w:autoRedefine/>
    <w:qFormat/>
    <w:uiPriority w:val="0"/>
    <w:pPr>
      <w:numPr>
        <w:ilvl w:val="0"/>
        <w:numId w:val="6"/>
      </w:numPr>
    </w:pPr>
    <w:rPr>
      <w:rFonts w:ascii="宋体" w:hAnsi="Times New Roman" w:eastAsia="宋体" w:cs="Times New Roman"/>
      <w:sz w:val="21"/>
      <w:lang w:val="en-US" w:eastAsia="zh-CN" w:bidi="ar-SA"/>
    </w:rPr>
  </w:style>
  <w:style w:type="paragraph" w:customStyle="1" w:styleId="56">
    <w:name w:val="标准文件_一级无标题"/>
    <w:basedOn w:val="34"/>
    <w:qFormat/>
    <w:uiPriority w:val="0"/>
    <w:pPr>
      <w:spacing w:before="0" w:beforeLines="0" w:after="0" w:afterLines="0"/>
      <w:outlineLvl w:val="9"/>
    </w:pPr>
    <w:rPr>
      <w:rFonts w:ascii="宋体" w:eastAsia="宋体"/>
    </w:rPr>
  </w:style>
  <w:style w:type="character" w:customStyle="1" w:styleId="57">
    <w:name w:val="font51"/>
    <w:basedOn w:val="16"/>
    <w:uiPriority w:val="0"/>
    <w:rPr>
      <w:rFonts w:hint="eastAsia" w:ascii="宋体" w:hAnsi="宋体" w:eastAsia="宋体" w:cs="宋体"/>
      <w:color w:val="36363D"/>
      <w:sz w:val="20"/>
      <w:szCs w:val="20"/>
      <w:u w:val="none"/>
    </w:rPr>
  </w:style>
  <w:style w:type="character" w:customStyle="1" w:styleId="58">
    <w:name w:val="font41"/>
    <w:basedOn w:val="16"/>
    <w:uiPriority w:val="0"/>
    <w:rPr>
      <w:rFonts w:hint="eastAsia" w:ascii="宋体" w:hAnsi="宋体" w:eastAsia="宋体" w:cs="宋体"/>
      <w:b/>
      <w:bCs/>
      <w:color w:val="36363D"/>
      <w:sz w:val="20"/>
      <w:szCs w:val="20"/>
      <w:u w:val="none"/>
    </w:rPr>
  </w:style>
  <w:style w:type="character" w:customStyle="1" w:styleId="59">
    <w:name w:val="font31"/>
    <w:basedOn w:val="16"/>
    <w:uiPriority w:val="0"/>
    <w:rPr>
      <w:rFonts w:hint="eastAsia" w:ascii="宋体" w:hAnsi="宋体" w:eastAsia="宋体" w:cs="宋体"/>
      <w:b/>
      <w:bCs/>
      <w:color w:val="36363D"/>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25</Pages>
  <Words>12740</Words>
  <Characters>13704</Characters>
  <Lines>140</Lines>
  <Paragraphs>39</Paragraphs>
  <TotalTime>0</TotalTime>
  <ScaleCrop>false</ScaleCrop>
  <LinksUpToDate>false</LinksUpToDate>
  <CharactersWithSpaces>13770</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2023-11-07T15:48:00Z</dcterms:created>
  <dc:creator>Administrator</dc:creator>
  <cp:lastModifiedBy>XIEX</cp:lastModifiedBy>
  <cp:lastPrinted>2025-06-12T03:01:00Z</cp:lastPrinted>
  <dcterms:modified xsi:type="dcterms:W3CDTF">2025-08-26T11:14:20Z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A922D90BF3B641DA8C66AE267C36FA1E_13</vt:lpwstr>
  </property>
  <property fmtid="{D5CDD505-2E9C-101B-9397-08002B2CF9AE}" pid="4" name="KSOTemplateDocerSaveRecord">
    <vt:lpwstr>eyJoZGlkIjoiNmU0OWNhMGUyYzc2MTI5ZWY2NzM4MTVkMDAwODg0YzMiLCJ1c2VySWQiOiI2ODM5ODUzMDMifQ==</vt:lpwstr>
  </property>
</Properties>
</file>