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179944E">
      <w:pPr>
        <w:jc w:val="center"/>
        <w:rPr>
          <w:rFonts w:hint="eastAsia" w:ascii="方正小标宋简体" w:eastAsia="方正小标宋简体" w:cs="仿宋_GB2312"/>
          <w:bCs/>
          <w:color w:val="auto"/>
          <w:sz w:val="36"/>
          <w:szCs w:val="32"/>
          <w:lang w:eastAsia="zh-CN"/>
        </w:rPr>
      </w:pPr>
      <w:r>
        <w:rPr>
          <w:rFonts w:hint="eastAsia" w:ascii="方正小标宋简体" w:eastAsia="方正小标宋简体" w:cs="仿宋_GB2312"/>
          <w:bCs/>
          <w:color w:val="auto"/>
          <w:sz w:val="36"/>
          <w:szCs w:val="32"/>
          <w:lang w:eastAsia="zh-CN"/>
        </w:rPr>
        <w:t>团体标准</w:t>
      </w:r>
      <w:bookmarkStart w:id="0" w:name="_Hlk134480189"/>
      <w:r>
        <w:rPr>
          <w:rFonts w:hint="eastAsia" w:ascii="方正小标宋简体" w:eastAsia="方正小标宋简体" w:cs="仿宋_GB2312"/>
          <w:bCs/>
          <w:color w:val="auto"/>
          <w:sz w:val="36"/>
          <w:szCs w:val="32"/>
          <w:lang w:eastAsia="zh-CN"/>
        </w:rPr>
        <w:t>《新生儿振幅整合脑电图技术规范》</w:t>
      </w:r>
      <w:bookmarkEnd w:id="0"/>
    </w:p>
    <w:p w14:paraId="2DA85B2C">
      <w:pPr>
        <w:jc w:val="center"/>
        <w:rPr>
          <w:rFonts w:hint="eastAsia" w:ascii="方正小标宋简体" w:eastAsia="方正小标宋简体" w:cs="仿宋_GB2312"/>
          <w:bCs/>
          <w:color w:val="auto"/>
          <w:sz w:val="36"/>
          <w:szCs w:val="32"/>
        </w:rPr>
      </w:pPr>
      <w:r>
        <w:rPr>
          <w:rFonts w:hint="eastAsia" w:ascii="方正小标宋简体" w:eastAsia="方正小标宋简体" w:cs="仿宋_GB2312"/>
          <w:bCs/>
          <w:color w:val="auto"/>
          <w:sz w:val="36"/>
          <w:szCs w:val="32"/>
          <w:lang w:eastAsia="zh-CN"/>
        </w:rPr>
        <w:t>（征求意见稿）编制说明</w:t>
      </w:r>
    </w:p>
    <w:p w14:paraId="5C534F24">
      <w:pPr>
        <w:jc w:val="center"/>
        <w:rPr>
          <w:rFonts w:hint="eastAsia" w:ascii="方正小标宋简体" w:eastAsia="方正小标宋简体" w:cs="仿宋_GB2312"/>
          <w:bCs/>
          <w:color w:val="auto"/>
          <w:sz w:val="18"/>
          <w:szCs w:val="18"/>
        </w:rPr>
      </w:pPr>
    </w:p>
    <w:p w14:paraId="2E0749D1">
      <w:pPr>
        <w:spacing w:line="520" w:lineRule="exact"/>
        <w:ind w:firstLine="640" w:firstLineChars="200"/>
        <w:rPr>
          <w:rFonts w:hint="eastAsia" w:ascii="黑体" w:eastAsia="黑体" w:cs="仿宋_GB2312"/>
          <w:bCs/>
          <w:color w:val="auto"/>
          <w:sz w:val="32"/>
          <w:szCs w:val="32"/>
        </w:rPr>
      </w:pPr>
      <w:r>
        <w:rPr>
          <w:rFonts w:hint="eastAsia" w:ascii="黑体" w:eastAsia="黑体" w:cs="仿宋_GB2312"/>
          <w:color w:val="auto"/>
          <w:sz w:val="32"/>
          <w:szCs w:val="32"/>
        </w:rPr>
        <w:t>一、任务来源、起草单位</w:t>
      </w:r>
    </w:p>
    <w:p w14:paraId="37CF72A6">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根据《</w:t>
      </w:r>
      <w:r>
        <w:rPr>
          <w:rFonts w:hint="eastAsia" w:ascii="仿宋_GB2312" w:eastAsia="仿宋_GB2312"/>
          <w:color w:val="auto"/>
          <w:sz w:val="28"/>
          <w:szCs w:val="28"/>
          <w:lang w:eastAsia="zh-CN"/>
        </w:rPr>
        <w:t>广西标准化协会</w:t>
      </w:r>
      <w:r>
        <w:rPr>
          <w:rFonts w:hint="eastAsia" w:ascii="仿宋_GB2312" w:eastAsia="仿宋_GB2312"/>
          <w:color w:val="auto"/>
          <w:sz w:val="28"/>
          <w:szCs w:val="28"/>
        </w:rPr>
        <w:t>关于下达202</w:t>
      </w:r>
      <w:r>
        <w:rPr>
          <w:rFonts w:hint="eastAsia" w:ascii="仿宋_GB2312" w:eastAsia="仿宋_GB2312"/>
          <w:color w:val="auto"/>
          <w:sz w:val="28"/>
          <w:szCs w:val="28"/>
          <w:lang w:val="en-US" w:eastAsia="zh-CN"/>
        </w:rPr>
        <w:t>5</w:t>
      </w:r>
      <w:r>
        <w:rPr>
          <w:rFonts w:hint="eastAsia" w:ascii="仿宋_GB2312" w:eastAsia="仿宋_GB2312"/>
          <w:color w:val="auto"/>
          <w:sz w:val="28"/>
          <w:szCs w:val="28"/>
        </w:rPr>
        <w:t>年第</w:t>
      </w:r>
      <w:r>
        <w:rPr>
          <w:rFonts w:hint="eastAsia" w:ascii="仿宋_GB2312" w:eastAsia="仿宋_GB2312"/>
          <w:sz w:val="32"/>
          <w:szCs w:val="32"/>
          <w:lang w:eastAsia="zh-CN"/>
        </w:rPr>
        <w:t>二十八</w:t>
      </w:r>
      <w:r>
        <w:rPr>
          <w:rFonts w:hint="eastAsia" w:ascii="仿宋_GB2312" w:eastAsia="仿宋_GB2312"/>
          <w:color w:val="auto"/>
          <w:sz w:val="28"/>
          <w:szCs w:val="28"/>
          <w:lang w:eastAsia="zh-CN"/>
        </w:rPr>
        <w:t>批</w:t>
      </w:r>
      <w:r>
        <w:rPr>
          <w:rFonts w:hint="eastAsia" w:ascii="仿宋_GB2312" w:eastAsia="仿宋_GB2312"/>
          <w:color w:val="auto"/>
          <w:sz w:val="28"/>
          <w:szCs w:val="28"/>
        </w:rPr>
        <w:t>团体标准制修订项目计划的通知</w:t>
      </w:r>
      <w:r>
        <w:rPr>
          <w:rFonts w:hint="eastAsia" w:ascii="仿宋_GB2312" w:hAnsi="仿宋_GB2312" w:eastAsia="仿宋_GB2312" w:cs="仿宋_GB2312"/>
          <w:sz w:val="28"/>
          <w:szCs w:val="28"/>
        </w:rPr>
        <w:t>》（桂标协〔202</w:t>
      </w:r>
      <w:r>
        <w:rPr>
          <w:rFonts w:hint="eastAsia" w:ascii="仿宋_GB2312" w:hAnsi="仿宋_GB2312" w:eastAsia="仿宋_GB2312" w:cs="仿宋_GB2312"/>
          <w:sz w:val="28"/>
          <w:szCs w:val="28"/>
          <w:lang w:val="en-US" w:eastAsia="zh-CN"/>
        </w:rPr>
        <w:t>5</w:t>
      </w:r>
      <w:r>
        <w:rPr>
          <w:rFonts w:hint="eastAsia" w:ascii="仿宋_GB2312" w:hAnsi="仿宋_GB2312" w:eastAsia="仿宋_GB2312" w:cs="仿宋_GB2312"/>
          <w:sz w:val="28"/>
          <w:szCs w:val="28"/>
        </w:rPr>
        <w:t>〕</w:t>
      </w:r>
      <w:r>
        <w:rPr>
          <w:rFonts w:hint="eastAsia" w:ascii="仿宋_GB2312" w:hAnsi="仿宋_GB2312" w:eastAsia="仿宋_GB2312" w:cs="仿宋_GB2312"/>
          <w:sz w:val="28"/>
          <w:szCs w:val="28"/>
          <w:lang w:val="en-US" w:eastAsia="zh-CN"/>
        </w:rPr>
        <w:t>255</w:t>
      </w:r>
      <w:r>
        <w:rPr>
          <w:rFonts w:hint="eastAsia" w:ascii="仿宋_GB2312" w:hAnsi="仿宋_GB2312" w:eastAsia="仿宋_GB2312" w:cs="仿宋_GB2312"/>
          <w:sz w:val="28"/>
          <w:szCs w:val="28"/>
        </w:rPr>
        <w:t>号）</w:t>
      </w:r>
      <w:r>
        <w:rPr>
          <w:rFonts w:hint="eastAsia" w:ascii="仿宋_GB2312" w:eastAsia="仿宋_GB2312"/>
          <w:color w:val="auto"/>
          <w:sz w:val="28"/>
          <w:szCs w:val="28"/>
        </w:rPr>
        <w:t>精神，由广西医科大学第二</w:t>
      </w:r>
      <w:r>
        <w:rPr>
          <w:rFonts w:hint="eastAsia" w:ascii="仿宋_GB2312" w:eastAsia="仿宋_GB2312"/>
          <w:color w:val="auto"/>
          <w:sz w:val="28"/>
          <w:szCs w:val="28"/>
          <w:lang w:eastAsia="zh-CN"/>
        </w:rPr>
        <w:t>附属</w:t>
      </w:r>
      <w:r>
        <w:rPr>
          <w:rFonts w:hint="eastAsia" w:ascii="仿宋_GB2312" w:eastAsia="仿宋_GB2312"/>
          <w:color w:val="auto"/>
          <w:sz w:val="28"/>
          <w:szCs w:val="28"/>
        </w:rPr>
        <w:t>医院提出，广西医科大学第二</w:t>
      </w:r>
      <w:r>
        <w:rPr>
          <w:rFonts w:hint="eastAsia" w:ascii="仿宋_GB2312" w:eastAsia="仿宋_GB2312"/>
          <w:color w:val="auto"/>
          <w:sz w:val="28"/>
          <w:szCs w:val="28"/>
          <w:lang w:eastAsia="zh-CN"/>
        </w:rPr>
        <w:t>附属</w:t>
      </w:r>
      <w:r>
        <w:rPr>
          <w:rFonts w:hint="eastAsia" w:ascii="仿宋_GB2312" w:eastAsia="仿宋_GB2312"/>
          <w:color w:val="auto"/>
          <w:sz w:val="28"/>
          <w:szCs w:val="28"/>
        </w:rPr>
        <w:t>医院、南宁市第二人民医院、上饶市妇幼保健院、玉林市第一人民医院</w:t>
      </w:r>
      <w:r>
        <w:rPr>
          <w:rFonts w:hint="eastAsia" w:ascii="仿宋_GB2312" w:eastAsia="仿宋_GB2312"/>
          <w:color w:val="auto"/>
          <w:sz w:val="28"/>
          <w:szCs w:val="28"/>
          <w:lang w:eastAsia="zh-CN"/>
        </w:rPr>
        <w:t>等</w:t>
      </w:r>
      <w:r>
        <w:rPr>
          <w:rFonts w:hint="eastAsia" w:ascii="仿宋_GB2312" w:eastAsia="仿宋_GB2312"/>
          <w:color w:val="auto"/>
          <w:sz w:val="28"/>
          <w:szCs w:val="28"/>
        </w:rPr>
        <w:t>单位共同起草的团体标准《新生儿振幅整合脑电图技术规范》（项目编号</w:t>
      </w:r>
      <w:r>
        <w:rPr>
          <w:rFonts w:hint="eastAsia" w:ascii="仿宋_GB2312" w:eastAsia="仿宋_GB2312"/>
          <w:color w:val="auto"/>
          <w:sz w:val="28"/>
          <w:szCs w:val="28"/>
          <w:lang w:eastAsia="zh-CN"/>
        </w:rPr>
        <w:t>：</w:t>
      </w:r>
      <w:r>
        <w:rPr>
          <w:rFonts w:hint="eastAsia" w:ascii="仿宋_GB2312" w:eastAsia="仿宋_GB2312"/>
          <w:color w:val="auto"/>
          <w:sz w:val="28"/>
          <w:szCs w:val="28"/>
        </w:rPr>
        <w:t>202</w:t>
      </w:r>
      <w:r>
        <w:rPr>
          <w:rFonts w:hint="eastAsia" w:ascii="仿宋_GB2312" w:eastAsia="仿宋_GB2312"/>
          <w:color w:val="auto"/>
          <w:sz w:val="28"/>
          <w:szCs w:val="28"/>
          <w:lang w:val="en-US" w:eastAsia="zh-CN"/>
        </w:rPr>
        <w:t>5</w:t>
      </w:r>
      <w:r>
        <w:rPr>
          <w:rFonts w:hint="eastAsia" w:ascii="仿宋_GB2312" w:eastAsia="仿宋_GB2312"/>
          <w:color w:val="auto"/>
          <w:sz w:val="28"/>
          <w:szCs w:val="28"/>
        </w:rPr>
        <w:t>-</w:t>
      </w:r>
      <w:r>
        <w:rPr>
          <w:rFonts w:hint="eastAsia" w:ascii="仿宋_GB2312" w:eastAsia="仿宋_GB2312"/>
          <w:color w:val="auto"/>
          <w:sz w:val="28"/>
          <w:szCs w:val="28"/>
          <w:lang w:val="en-US" w:eastAsia="zh-CN"/>
        </w:rPr>
        <w:t>2808）</w:t>
      </w:r>
      <w:r>
        <w:rPr>
          <w:rFonts w:hint="eastAsia" w:ascii="仿宋_GB2312" w:eastAsia="仿宋_GB2312"/>
          <w:color w:val="auto"/>
          <w:sz w:val="28"/>
          <w:szCs w:val="28"/>
          <w:lang w:eastAsia="zh-CN"/>
        </w:rPr>
        <w:t>，已获立项</w:t>
      </w:r>
      <w:r>
        <w:rPr>
          <w:rFonts w:hint="eastAsia" w:ascii="仿宋_GB2312" w:eastAsia="仿宋_GB2312"/>
          <w:color w:val="auto"/>
          <w:sz w:val="28"/>
          <w:szCs w:val="28"/>
        </w:rPr>
        <w:t>。</w:t>
      </w:r>
    </w:p>
    <w:p w14:paraId="551617D2">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为高质量编制</w:t>
      </w:r>
      <w:r>
        <w:rPr>
          <w:rFonts w:hint="eastAsia" w:ascii="仿宋_GB2312" w:eastAsia="仿宋_GB2312"/>
          <w:color w:val="auto"/>
          <w:sz w:val="28"/>
          <w:szCs w:val="28"/>
          <w:lang w:val="en-US" w:eastAsia="zh-CN"/>
        </w:rPr>
        <w:t>团体</w:t>
      </w:r>
      <w:r>
        <w:rPr>
          <w:rFonts w:hint="eastAsia" w:ascii="仿宋_GB2312" w:eastAsia="仿宋_GB2312"/>
          <w:color w:val="auto"/>
          <w:sz w:val="28"/>
          <w:szCs w:val="28"/>
        </w:rPr>
        <w:t>标准《</w:t>
      </w:r>
      <w:r>
        <w:rPr>
          <w:rFonts w:hint="eastAsia" w:ascii="仿宋_GB2312" w:hAnsi="仿宋_GB2312" w:eastAsia="仿宋_GB2312" w:cs="仿宋_GB2312"/>
          <w:sz w:val="28"/>
          <w:szCs w:val="28"/>
        </w:rPr>
        <w:t>新生儿振幅整合脑电图技术规范</w:t>
      </w:r>
      <w:r>
        <w:rPr>
          <w:rFonts w:hint="eastAsia" w:ascii="仿宋_GB2312" w:eastAsia="仿宋_GB2312"/>
          <w:color w:val="auto"/>
          <w:sz w:val="28"/>
          <w:szCs w:val="28"/>
        </w:rPr>
        <w:t>》，由起草单位成立标准编制工作组并进行如下分工：</w:t>
      </w:r>
    </w:p>
    <w:tbl>
      <w:tblPr>
        <w:tblStyle w:val="16"/>
        <w:tblW w:w="4996" w:type="pct"/>
        <w:jc w:val="center"/>
        <w:tblLayout w:type="autofit"/>
        <w:tblCellMar>
          <w:top w:w="0" w:type="dxa"/>
          <w:left w:w="108" w:type="dxa"/>
          <w:bottom w:w="0" w:type="dxa"/>
          <w:right w:w="108" w:type="dxa"/>
        </w:tblCellMar>
      </w:tblPr>
      <w:tblGrid>
        <w:gridCol w:w="587"/>
        <w:gridCol w:w="950"/>
        <w:gridCol w:w="1558"/>
        <w:gridCol w:w="1644"/>
        <w:gridCol w:w="1710"/>
        <w:gridCol w:w="2718"/>
      </w:tblGrid>
      <w:tr w14:paraId="7368A084">
        <w:tblPrEx>
          <w:tblCellMar>
            <w:top w:w="0" w:type="dxa"/>
            <w:left w:w="108" w:type="dxa"/>
            <w:bottom w:w="0" w:type="dxa"/>
            <w:right w:w="108" w:type="dxa"/>
          </w:tblCellMar>
        </w:tblPrEx>
        <w:trPr>
          <w:cantSplit/>
          <w:trHeight w:val="410" w:hRule="atLeast"/>
          <w:jc w:val="center"/>
        </w:trPr>
        <w:tc>
          <w:tcPr>
            <w:tcW w:w="320" w:type="pct"/>
            <w:tcBorders>
              <w:top w:val="single" w:color="auto" w:sz="4" w:space="0"/>
              <w:left w:val="single" w:color="auto" w:sz="4" w:space="0"/>
              <w:bottom w:val="single" w:color="auto" w:sz="4" w:space="0"/>
              <w:right w:val="single" w:color="auto" w:sz="4" w:space="0"/>
            </w:tcBorders>
            <w:noWrap w:val="0"/>
            <w:vAlign w:val="center"/>
          </w:tcPr>
          <w:p w14:paraId="77B7A8CE">
            <w:pPr>
              <w:jc w:val="both"/>
              <w:rPr>
                <w:rFonts w:hint="default"/>
                <w:b/>
                <w:bCs/>
              </w:rPr>
            </w:pPr>
            <w:r>
              <w:rPr>
                <w:rFonts w:hint="eastAsia"/>
                <w:b/>
                <w:bCs/>
              </w:rPr>
              <w:t>序号</w:t>
            </w:r>
          </w:p>
        </w:tc>
        <w:tc>
          <w:tcPr>
            <w:tcW w:w="518" w:type="pct"/>
            <w:tcBorders>
              <w:top w:val="single" w:color="auto" w:sz="4" w:space="0"/>
              <w:left w:val="single" w:color="auto" w:sz="4" w:space="0"/>
              <w:bottom w:val="single" w:color="auto" w:sz="4" w:space="0"/>
              <w:right w:val="single" w:color="auto" w:sz="4" w:space="0"/>
            </w:tcBorders>
            <w:noWrap w:val="0"/>
            <w:vAlign w:val="center"/>
          </w:tcPr>
          <w:p w14:paraId="27CB4CA0">
            <w:pPr>
              <w:jc w:val="both"/>
              <w:rPr>
                <w:rFonts w:hint="default"/>
                <w:b/>
                <w:bCs/>
              </w:rPr>
            </w:pPr>
            <w:r>
              <w:rPr>
                <w:rFonts w:hint="eastAsia"/>
                <w:b/>
                <w:bCs/>
              </w:rPr>
              <w:t>姓名</w:t>
            </w:r>
          </w:p>
        </w:tc>
        <w:tc>
          <w:tcPr>
            <w:tcW w:w="849" w:type="pct"/>
            <w:tcBorders>
              <w:top w:val="single" w:color="auto" w:sz="4" w:space="0"/>
              <w:left w:val="single" w:color="auto" w:sz="4" w:space="0"/>
              <w:bottom w:val="single" w:color="auto" w:sz="4" w:space="0"/>
              <w:right w:val="single" w:color="auto" w:sz="4" w:space="0"/>
            </w:tcBorders>
            <w:noWrap w:val="0"/>
            <w:vAlign w:val="center"/>
          </w:tcPr>
          <w:p w14:paraId="46851A16">
            <w:pPr>
              <w:jc w:val="both"/>
              <w:rPr>
                <w:rFonts w:hint="default"/>
                <w:b/>
                <w:bCs/>
              </w:rPr>
            </w:pPr>
            <w:r>
              <w:rPr>
                <w:rFonts w:hint="eastAsia"/>
                <w:b/>
                <w:bCs/>
              </w:rPr>
              <w:t>单位</w:t>
            </w:r>
          </w:p>
        </w:tc>
        <w:tc>
          <w:tcPr>
            <w:tcW w:w="896" w:type="pct"/>
            <w:tcBorders>
              <w:top w:val="single" w:color="auto" w:sz="4" w:space="0"/>
              <w:left w:val="single" w:color="auto" w:sz="4" w:space="0"/>
              <w:bottom w:val="single" w:color="auto" w:sz="4" w:space="0"/>
              <w:right w:val="single" w:color="auto" w:sz="4" w:space="0"/>
            </w:tcBorders>
            <w:noWrap w:val="0"/>
            <w:vAlign w:val="center"/>
          </w:tcPr>
          <w:p w14:paraId="775AB731">
            <w:pPr>
              <w:jc w:val="both"/>
              <w:rPr>
                <w:rFonts w:hint="default"/>
                <w:b/>
                <w:bCs/>
              </w:rPr>
            </w:pPr>
            <w:r>
              <w:rPr>
                <w:rFonts w:hint="eastAsia"/>
                <w:b/>
                <w:bCs/>
              </w:rPr>
              <w:t>职务/职称</w:t>
            </w:r>
          </w:p>
        </w:tc>
        <w:tc>
          <w:tcPr>
            <w:tcW w:w="932" w:type="pct"/>
            <w:tcBorders>
              <w:top w:val="single" w:color="auto" w:sz="4" w:space="0"/>
              <w:left w:val="single" w:color="auto" w:sz="4" w:space="0"/>
              <w:bottom w:val="single" w:color="auto" w:sz="4" w:space="0"/>
              <w:right w:val="single" w:color="auto" w:sz="4" w:space="0"/>
            </w:tcBorders>
            <w:noWrap w:val="0"/>
            <w:vAlign w:val="center"/>
          </w:tcPr>
          <w:p w14:paraId="497183DC">
            <w:pPr>
              <w:jc w:val="both"/>
              <w:rPr>
                <w:rFonts w:hint="eastAsia"/>
                <w:b/>
                <w:bCs/>
                <w:lang w:eastAsia="zh-CN"/>
              </w:rPr>
            </w:pPr>
            <w:r>
              <w:rPr>
                <w:rFonts w:hint="eastAsia"/>
                <w:b/>
                <w:bCs/>
                <w:lang w:eastAsia="zh-CN"/>
              </w:rPr>
              <w:t>从事专业</w:t>
            </w:r>
          </w:p>
        </w:tc>
        <w:tc>
          <w:tcPr>
            <w:tcW w:w="1481" w:type="pct"/>
            <w:tcBorders>
              <w:top w:val="single" w:color="auto" w:sz="4" w:space="0"/>
              <w:left w:val="single" w:color="auto" w:sz="4" w:space="0"/>
              <w:bottom w:val="single" w:color="auto" w:sz="4" w:space="0"/>
              <w:right w:val="single" w:color="auto" w:sz="4" w:space="0"/>
            </w:tcBorders>
            <w:noWrap w:val="0"/>
            <w:vAlign w:val="center"/>
          </w:tcPr>
          <w:p w14:paraId="12BC7704">
            <w:pPr>
              <w:jc w:val="both"/>
              <w:rPr>
                <w:rFonts w:hint="eastAsia"/>
                <w:b/>
                <w:bCs/>
                <w:lang w:eastAsia="zh-CN"/>
              </w:rPr>
            </w:pPr>
            <w:r>
              <w:rPr>
                <w:rFonts w:hint="eastAsia"/>
                <w:b/>
                <w:bCs/>
              </w:rPr>
              <w:t>参与编制标准分工情况</w:t>
            </w:r>
          </w:p>
        </w:tc>
      </w:tr>
      <w:tr w14:paraId="34BDDBD9">
        <w:tblPrEx>
          <w:tblCellMar>
            <w:top w:w="0" w:type="dxa"/>
            <w:left w:w="108" w:type="dxa"/>
            <w:bottom w:w="0" w:type="dxa"/>
            <w:right w:w="108" w:type="dxa"/>
          </w:tblCellMar>
        </w:tblPrEx>
        <w:trPr>
          <w:cantSplit/>
          <w:trHeight w:val="881" w:hRule="atLeast"/>
          <w:jc w:val="center"/>
        </w:trPr>
        <w:tc>
          <w:tcPr>
            <w:tcW w:w="320" w:type="pct"/>
            <w:tcBorders>
              <w:top w:val="single" w:color="auto" w:sz="4" w:space="0"/>
              <w:left w:val="single" w:color="auto" w:sz="4" w:space="0"/>
              <w:bottom w:val="single" w:color="auto" w:sz="4" w:space="0"/>
              <w:right w:val="single" w:color="auto" w:sz="4" w:space="0"/>
            </w:tcBorders>
            <w:noWrap w:val="0"/>
            <w:vAlign w:val="center"/>
          </w:tcPr>
          <w:p w14:paraId="4C97F60B">
            <w:pPr>
              <w:numPr>
                <w:ilvl w:val="0"/>
                <w:numId w:val="10"/>
              </w:numPr>
              <w:ind w:left="425" w:leftChars="0" w:hanging="425" w:firstLineChars="0"/>
              <w:jc w:val="both"/>
              <w:rPr>
                <w:rFonts w:hint="eastAsia"/>
              </w:rPr>
            </w:pPr>
          </w:p>
        </w:tc>
        <w:tc>
          <w:tcPr>
            <w:tcW w:w="518" w:type="pct"/>
            <w:tcBorders>
              <w:top w:val="single" w:color="auto" w:sz="4" w:space="0"/>
              <w:left w:val="single" w:color="auto" w:sz="4" w:space="0"/>
              <w:bottom w:val="single" w:color="auto" w:sz="4" w:space="0"/>
              <w:right w:val="single" w:color="auto" w:sz="4" w:space="0"/>
            </w:tcBorders>
            <w:noWrap w:val="0"/>
            <w:vAlign w:val="center"/>
          </w:tcPr>
          <w:p w14:paraId="66851307">
            <w:pPr>
              <w:jc w:val="both"/>
              <w:rPr>
                <w:rFonts w:hint="eastAsia"/>
              </w:rPr>
            </w:pPr>
            <w:r>
              <w:rPr>
                <w:rFonts w:hint="eastAsia"/>
              </w:rPr>
              <w:t>陈玉君</w:t>
            </w:r>
          </w:p>
        </w:tc>
        <w:tc>
          <w:tcPr>
            <w:tcW w:w="849" w:type="pct"/>
            <w:tcBorders>
              <w:top w:val="single" w:color="auto" w:sz="4" w:space="0"/>
              <w:left w:val="single" w:color="auto" w:sz="4" w:space="0"/>
              <w:bottom w:val="single" w:color="auto" w:sz="4" w:space="0"/>
              <w:right w:val="single" w:color="auto" w:sz="4" w:space="0"/>
            </w:tcBorders>
            <w:noWrap w:val="0"/>
            <w:vAlign w:val="center"/>
          </w:tcPr>
          <w:p w14:paraId="795BCDEC">
            <w:pPr>
              <w:jc w:val="both"/>
              <w:rPr>
                <w:rFonts w:hint="eastAsia"/>
              </w:rPr>
            </w:pPr>
            <w:r>
              <w:rPr>
                <w:rFonts w:hint="eastAsia"/>
              </w:rPr>
              <w:t>广西医科大学第二附属医院</w:t>
            </w:r>
          </w:p>
        </w:tc>
        <w:tc>
          <w:tcPr>
            <w:tcW w:w="896" w:type="pct"/>
            <w:tcBorders>
              <w:top w:val="single" w:color="auto" w:sz="4" w:space="0"/>
              <w:left w:val="single" w:color="auto" w:sz="4" w:space="0"/>
              <w:bottom w:val="single" w:color="auto" w:sz="4" w:space="0"/>
              <w:right w:val="single" w:color="auto" w:sz="4" w:space="0"/>
            </w:tcBorders>
            <w:noWrap w:val="0"/>
            <w:vAlign w:val="center"/>
          </w:tcPr>
          <w:p w14:paraId="4BF81E0B">
            <w:pPr>
              <w:jc w:val="both"/>
              <w:rPr>
                <w:rFonts w:hint="eastAsia"/>
              </w:rPr>
            </w:pPr>
            <w:r>
              <w:rPr>
                <w:rFonts w:hint="eastAsia"/>
              </w:rPr>
              <w:t>主任医师</w:t>
            </w:r>
          </w:p>
        </w:tc>
        <w:tc>
          <w:tcPr>
            <w:tcW w:w="932" w:type="pct"/>
            <w:tcBorders>
              <w:top w:val="single" w:color="auto" w:sz="4" w:space="0"/>
              <w:left w:val="single" w:color="auto" w:sz="4" w:space="0"/>
              <w:bottom w:val="single" w:color="auto" w:sz="4" w:space="0"/>
              <w:right w:val="single" w:color="auto" w:sz="4" w:space="0"/>
            </w:tcBorders>
            <w:noWrap w:val="0"/>
            <w:vAlign w:val="center"/>
          </w:tcPr>
          <w:p w14:paraId="45995CD8">
            <w:pPr>
              <w:jc w:val="both"/>
              <w:rPr>
                <w:rFonts w:hint="eastAsia"/>
              </w:rPr>
            </w:pPr>
            <w:r>
              <w:rPr>
                <w:rFonts w:hint="eastAsia"/>
              </w:rPr>
              <w:t>新生儿科</w:t>
            </w:r>
          </w:p>
        </w:tc>
        <w:tc>
          <w:tcPr>
            <w:tcW w:w="1481" w:type="pct"/>
            <w:tcBorders>
              <w:top w:val="single" w:color="auto" w:sz="4" w:space="0"/>
              <w:left w:val="single" w:color="auto" w:sz="4" w:space="0"/>
              <w:bottom w:val="single" w:color="auto" w:sz="4" w:space="0"/>
              <w:right w:val="single" w:color="auto" w:sz="4" w:space="0"/>
            </w:tcBorders>
            <w:noWrap w:val="0"/>
            <w:vAlign w:val="center"/>
          </w:tcPr>
          <w:p w14:paraId="0BF8383F">
            <w:pPr>
              <w:jc w:val="both"/>
              <w:rPr>
                <w:rFonts w:hint="eastAsia"/>
              </w:rPr>
            </w:pPr>
            <w:r>
              <w:rPr>
                <w:rFonts w:hint="eastAsia"/>
              </w:rPr>
              <w:t>统筹规范编制工作，组织人员进行规范发布后的宣贯培训</w:t>
            </w:r>
          </w:p>
        </w:tc>
      </w:tr>
      <w:tr w14:paraId="6047F938">
        <w:tblPrEx>
          <w:tblCellMar>
            <w:top w:w="0" w:type="dxa"/>
            <w:left w:w="108" w:type="dxa"/>
            <w:bottom w:w="0" w:type="dxa"/>
            <w:right w:w="108" w:type="dxa"/>
          </w:tblCellMar>
        </w:tblPrEx>
        <w:trPr>
          <w:cantSplit/>
          <w:trHeight w:val="1317" w:hRule="atLeast"/>
          <w:jc w:val="center"/>
        </w:trPr>
        <w:tc>
          <w:tcPr>
            <w:tcW w:w="320" w:type="pct"/>
            <w:tcBorders>
              <w:top w:val="single" w:color="auto" w:sz="4" w:space="0"/>
              <w:left w:val="single" w:color="auto" w:sz="4" w:space="0"/>
              <w:bottom w:val="single" w:color="auto" w:sz="4" w:space="0"/>
              <w:right w:val="single" w:color="auto" w:sz="4" w:space="0"/>
            </w:tcBorders>
            <w:noWrap w:val="0"/>
            <w:vAlign w:val="center"/>
          </w:tcPr>
          <w:p w14:paraId="5B9C10A6">
            <w:pPr>
              <w:numPr>
                <w:ilvl w:val="0"/>
                <w:numId w:val="10"/>
              </w:numPr>
              <w:ind w:left="425" w:leftChars="0" w:hanging="425" w:firstLineChars="0"/>
              <w:jc w:val="both"/>
              <w:rPr>
                <w:rFonts w:hint="default"/>
              </w:rPr>
            </w:pPr>
          </w:p>
        </w:tc>
        <w:tc>
          <w:tcPr>
            <w:tcW w:w="518" w:type="pct"/>
            <w:tcBorders>
              <w:top w:val="single" w:color="auto" w:sz="4" w:space="0"/>
              <w:left w:val="single" w:color="auto" w:sz="4" w:space="0"/>
              <w:bottom w:val="single" w:color="auto" w:sz="4" w:space="0"/>
              <w:right w:val="single" w:color="auto" w:sz="4" w:space="0"/>
            </w:tcBorders>
            <w:noWrap w:val="0"/>
            <w:vAlign w:val="center"/>
          </w:tcPr>
          <w:p w14:paraId="03B64CFD">
            <w:pPr>
              <w:jc w:val="both"/>
              <w:rPr>
                <w:rFonts w:hint="eastAsia"/>
              </w:rPr>
            </w:pPr>
            <w:r>
              <w:rPr>
                <w:rFonts w:hint="eastAsia"/>
              </w:rPr>
              <w:t>甄  宏</w:t>
            </w:r>
          </w:p>
        </w:tc>
        <w:tc>
          <w:tcPr>
            <w:tcW w:w="849" w:type="pct"/>
            <w:tcBorders>
              <w:top w:val="single" w:color="auto" w:sz="4" w:space="0"/>
              <w:left w:val="single" w:color="auto" w:sz="4" w:space="0"/>
              <w:bottom w:val="single" w:color="auto" w:sz="4" w:space="0"/>
              <w:right w:val="single" w:color="auto" w:sz="4" w:space="0"/>
            </w:tcBorders>
            <w:noWrap w:val="0"/>
            <w:vAlign w:val="center"/>
          </w:tcPr>
          <w:p w14:paraId="0F03F8BB">
            <w:pPr>
              <w:jc w:val="both"/>
              <w:rPr>
                <w:rFonts w:hint="eastAsia"/>
              </w:rPr>
            </w:pPr>
            <w:r>
              <w:rPr>
                <w:rFonts w:hint="eastAsia"/>
              </w:rPr>
              <w:t>广西医科大学第二附属医院</w:t>
            </w:r>
          </w:p>
        </w:tc>
        <w:tc>
          <w:tcPr>
            <w:tcW w:w="896" w:type="pct"/>
            <w:tcBorders>
              <w:top w:val="single" w:color="auto" w:sz="4" w:space="0"/>
              <w:left w:val="single" w:color="auto" w:sz="4" w:space="0"/>
              <w:bottom w:val="single" w:color="auto" w:sz="4" w:space="0"/>
              <w:right w:val="single" w:color="auto" w:sz="4" w:space="0"/>
            </w:tcBorders>
            <w:noWrap w:val="0"/>
            <w:vAlign w:val="center"/>
          </w:tcPr>
          <w:p w14:paraId="40A31E99">
            <w:pPr>
              <w:jc w:val="both"/>
              <w:rPr>
                <w:rFonts w:hint="eastAsia"/>
              </w:rPr>
            </w:pPr>
            <w:r>
              <w:rPr>
                <w:rFonts w:hint="eastAsia"/>
              </w:rPr>
              <w:t>儿科主任/主任医师</w:t>
            </w:r>
          </w:p>
        </w:tc>
        <w:tc>
          <w:tcPr>
            <w:tcW w:w="932" w:type="pct"/>
            <w:tcBorders>
              <w:top w:val="single" w:color="auto" w:sz="4" w:space="0"/>
              <w:left w:val="single" w:color="auto" w:sz="4" w:space="0"/>
              <w:bottom w:val="single" w:color="auto" w:sz="4" w:space="0"/>
              <w:right w:val="single" w:color="auto" w:sz="4" w:space="0"/>
            </w:tcBorders>
            <w:noWrap w:val="0"/>
            <w:vAlign w:val="center"/>
          </w:tcPr>
          <w:p w14:paraId="3EB4F05F">
            <w:pPr>
              <w:jc w:val="both"/>
              <w:rPr>
                <w:rFonts w:hint="eastAsia"/>
              </w:rPr>
            </w:pPr>
            <w:r>
              <w:rPr>
                <w:rFonts w:hint="eastAsia"/>
              </w:rPr>
              <w:t>儿科</w:t>
            </w:r>
          </w:p>
        </w:tc>
        <w:tc>
          <w:tcPr>
            <w:tcW w:w="1481" w:type="pct"/>
            <w:tcBorders>
              <w:top w:val="single" w:color="auto" w:sz="4" w:space="0"/>
              <w:left w:val="single" w:color="auto" w:sz="4" w:space="0"/>
              <w:bottom w:val="single" w:color="auto" w:sz="4" w:space="0"/>
              <w:right w:val="single" w:color="auto" w:sz="4" w:space="0"/>
            </w:tcBorders>
            <w:noWrap w:val="0"/>
            <w:vAlign w:val="center"/>
          </w:tcPr>
          <w:p w14:paraId="5B3F65F3">
            <w:pPr>
              <w:jc w:val="both"/>
              <w:rPr>
                <w:rFonts w:hint="eastAsia"/>
              </w:rPr>
            </w:pPr>
            <w:r>
              <w:rPr>
                <w:rFonts w:hint="eastAsia"/>
              </w:rPr>
              <w:t>指导规范文本及编制说明编写，质量控制</w:t>
            </w:r>
          </w:p>
        </w:tc>
      </w:tr>
      <w:tr w14:paraId="79D30769">
        <w:tblPrEx>
          <w:tblCellMar>
            <w:top w:w="0" w:type="dxa"/>
            <w:left w:w="108" w:type="dxa"/>
            <w:bottom w:w="0" w:type="dxa"/>
            <w:right w:w="108" w:type="dxa"/>
          </w:tblCellMar>
        </w:tblPrEx>
        <w:trPr>
          <w:cantSplit/>
          <w:trHeight w:val="1317" w:hRule="atLeast"/>
          <w:jc w:val="center"/>
        </w:trPr>
        <w:tc>
          <w:tcPr>
            <w:tcW w:w="320" w:type="pct"/>
            <w:tcBorders>
              <w:top w:val="single" w:color="auto" w:sz="4" w:space="0"/>
              <w:left w:val="single" w:color="auto" w:sz="4" w:space="0"/>
              <w:bottom w:val="single" w:color="auto" w:sz="4" w:space="0"/>
              <w:right w:val="single" w:color="auto" w:sz="4" w:space="0"/>
            </w:tcBorders>
            <w:noWrap w:val="0"/>
            <w:vAlign w:val="center"/>
          </w:tcPr>
          <w:p w14:paraId="138706C0">
            <w:pPr>
              <w:numPr>
                <w:ilvl w:val="0"/>
                <w:numId w:val="10"/>
              </w:numPr>
              <w:ind w:left="425" w:leftChars="0" w:hanging="425" w:firstLineChars="0"/>
              <w:jc w:val="both"/>
              <w:rPr>
                <w:rFonts w:hint="default"/>
              </w:rPr>
            </w:pPr>
          </w:p>
        </w:tc>
        <w:tc>
          <w:tcPr>
            <w:tcW w:w="518" w:type="pct"/>
            <w:tcBorders>
              <w:top w:val="single" w:color="auto" w:sz="4" w:space="0"/>
              <w:left w:val="single" w:color="auto" w:sz="4" w:space="0"/>
              <w:bottom w:val="single" w:color="auto" w:sz="4" w:space="0"/>
              <w:right w:val="single" w:color="auto" w:sz="4" w:space="0"/>
            </w:tcBorders>
            <w:noWrap w:val="0"/>
            <w:vAlign w:val="center"/>
          </w:tcPr>
          <w:p w14:paraId="0D4E30CA">
            <w:pPr>
              <w:jc w:val="both"/>
              <w:rPr>
                <w:rFonts w:hint="eastAsia"/>
                <w:kern w:val="2"/>
                <w:sz w:val="21"/>
                <w:szCs w:val="24"/>
                <w:lang w:val="en-US" w:eastAsia="zh-CN" w:bidi="ar-SA"/>
              </w:rPr>
            </w:pPr>
            <w:r>
              <w:rPr>
                <w:rFonts w:hint="eastAsia"/>
              </w:rPr>
              <w:t>苏  颖</w:t>
            </w:r>
          </w:p>
        </w:tc>
        <w:tc>
          <w:tcPr>
            <w:tcW w:w="849" w:type="pct"/>
            <w:tcBorders>
              <w:top w:val="single" w:color="auto" w:sz="4" w:space="0"/>
              <w:left w:val="single" w:color="auto" w:sz="4" w:space="0"/>
              <w:bottom w:val="single" w:color="auto" w:sz="4" w:space="0"/>
              <w:right w:val="single" w:color="auto" w:sz="4" w:space="0"/>
            </w:tcBorders>
            <w:noWrap w:val="0"/>
            <w:vAlign w:val="center"/>
          </w:tcPr>
          <w:p w14:paraId="2CC394AF">
            <w:pPr>
              <w:jc w:val="both"/>
              <w:rPr>
                <w:rFonts w:hint="eastAsia"/>
                <w:kern w:val="2"/>
                <w:sz w:val="21"/>
                <w:szCs w:val="24"/>
                <w:lang w:val="en-US" w:eastAsia="zh-CN" w:bidi="ar-SA"/>
              </w:rPr>
            </w:pPr>
            <w:r>
              <w:rPr>
                <w:rFonts w:hint="eastAsia"/>
              </w:rPr>
              <w:t>广西医科大学第二附属医院</w:t>
            </w:r>
          </w:p>
        </w:tc>
        <w:tc>
          <w:tcPr>
            <w:tcW w:w="896" w:type="pct"/>
            <w:tcBorders>
              <w:top w:val="single" w:color="auto" w:sz="4" w:space="0"/>
              <w:left w:val="single" w:color="auto" w:sz="4" w:space="0"/>
              <w:bottom w:val="single" w:color="auto" w:sz="4" w:space="0"/>
              <w:right w:val="single" w:color="auto" w:sz="4" w:space="0"/>
            </w:tcBorders>
            <w:noWrap w:val="0"/>
            <w:vAlign w:val="center"/>
          </w:tcPr>
          <w:p w14:paraId="7A50BBEA">
            <w:pPr>
              <w:jc w:val="both"/>
              <w:rPr>
                <w:rFonts w:hint="eastAsia"/>
                <w:kern w:val="2"/>
                <w:sz w:val="21"/>
                <w:szCs w:val="24"/>
                <w:lang w:val="en-US" w:eastAsia="zh-CN" w:bidi="ar-SA"/>
              </w:rPr>
            </w:pPr>
            <w:r>
              <w:rPr>
                <w:rFonts w:hint="eastAsia"/>
              </w:rPr>
              <w:t>护士长/副主任护师</w:t>
            </w:r>
          </w:p>
        </w:tc>
        <w:tc>
          <w:tcPr>
            <w:tcW w:w="932" w:type="pct"/>
            <w:tcBorders>
              <w:top w:val="single" w:color="auto" w:sz="4" w:space="0"/>
              <w:left w:val="single" w:color="auto" w:sz="4" w:space="0"/>
              <w:bottom w:val="single" w:color="auto" w:sz="4" w:space="0"/>
              <w:right w:val="single" w:color="auto" w:sz="4" w:space="0"/>
            </w:tcBorders>
            <w:noWrap w:val="0"/>
            <w:vAlign w:val="center"/>
          </w:tcPr>
          <w:p w14:paraId="0AFCFD88">
            <w:pPr>
              <w:jc w:val="both"/>
              <w:rPr>
                <w:rFonts w:hint="eastAsia"/>
                <w:kern w:val="2"/>
                <w:sz w:val="21"/>
                <w:szCs w:val="24"/>
                <w:lang w:val="en-US" w:eastAsia="zh-CN" w:bidi="ar-SA"/>
              </w:rPr>
            </w:pPr>
            <w:r>
              <w:rPr>
                <w:rFonts w:hint="eastAsia"/>
              </w:rPr>
              <w:t>护理</w:t>
            </w:r>
          </w:p>
        </w:tc>
        <w:tc>
          <w:tcPr>
            <w:tcW w:w="1481" w:type="pct"/>
            <w:tcBorders>
              <w:top w:val="single" w:color="auto" w:sz="4" w:space="0"/>
              <w:left w:val="single" w:color="auto" w:sz="4" w:space="0"/>
              <w:bottom w:val="single" w:color="auto" w:sz="4" w:space="0"/>
              <w:right w:val="single" w:color="auto" w:sz="4" w:space="0"/>
            </w:tcBorders>
            <w:noWrap w:val="0"/>
            <w:vAlign w:val="center"/>
          </w:tcPr>
          <w:p w14:paraId="16D0A7A5">
            <w:pPr>
              <w:jc w:val="both"/>
              <w:rPr>
                <w:rFonts w:hint="eastAsia"/>
              </w:rPr>
            </w:pPr>
            <w:r>
              <w:rPr>
                <w:rFonts w:hint="eastAsia"/>
              </w:rPr>
              <w:t>对规范实施情况进行总结分析，不断对规范提出修正意见</w:t>
            </w:r>
          </w:p>
        </w:tc>
      </w:tr>
      <w:tr w14:paraId="01C20299">
        <w:tblPrEx>
          <w:tblCellMar>
            <w:top w:w="0" w:type="dxa"/>
            <w:left w:w="108" w:type="dxa"/>
            <w:bottom w:w="0" w:type="dxa"/>
            <w:right w:w="108" w:type="dxa"/>
          </w:tblCellMar>
        </w:tblPrEx>
        <w:trPr>
          <w:cantSplit/>
          <w:trHeight w:val="786" w:hRule="atLeast"/>
          <w:jc w:val="center"/>
        </w:trPr>
        <w:tc>
          <w:tcPr>
            <w:tcW w:w="320" w:type="pct"/>
            <w:tcBorders>
              <w:top w:val="single" w:color="auto" w:sz="4" w:space="0"/>
              <w:left w:val="single" w:color="auto" w:sz="4" w:space="0"/>
              <w:bottom w:val="single" w:color="auto" w:sz="4" w:space="0"/>
              <w:right w:val="single" w:color="auto" w:sz="4" w:space="0"/>
            </w:tcBorders>
            <w:noWrap w:val="0"/>
            <w:vAlign w:val="center"/>
          </w:tcPr>
          <w:p w14:paraId="70BF9BB8">
            <w:pPr>
              <w:numPr>
                <w:ilvl w:val="0"/>
                <w:numId w:val="10"/>
              </w:numPr>
              <w:ind w:left="425" w:leftChars="0" w:hanging="425" w:firstLineChars="0"/>
              <w:jc w:val="both"/>
              <w:rPr>
                <w:rFonts w:hint="default"/>
              </w:rPr>
            </w:pPr>
          </w:p>
        </w:tc>
        <w:tc>
          <w:tcPr>
            <w:tcW w:w="518" w:type="pct"/>
            <w:tcBorders>
              <w:top w:val="single" w:color="auto" w:sz="4" w:space="0"/>
              <w:left w:val="single" w:color="auto" w:sz="4" w:space="0"/>
              <w:bottom w:val="single" w:color="auto" w:sz="4" w:space="0"/>
              <w:right w:val="single" w:color="auto" w:sz="4" w:space="0"/>
            </w:tcBorders>
            <w:noWrap w:val="0"/>
            <w:vAlign w:val="center"/>
          </w:tcPr>
          <w:p w14:paraId="3038A018">
            <w:pPr>
              <w:jc w:val="both"/>
              <w:rPr>
                <w:rFonts w:hint="eastAsia"/>
              </w:rPr>
            </w:pPr>
            <w:r>
              <w:rPr>
                <w:rFonts w:hint="eastAsia"/>
              </w:rPr>
              <w:t>韦巧珍</w:t>
            </w:r>
          </w:p>
        </w:tc>
        <w:tc>
          <w:tcPr>
            <w:tcW w:w="849" w:type="pct"/>
            <w:tcBorders>
              <w:top w:val="single" w:color="auto" w:sz="4" w:space="0"/>
              <w:left w:val="single" w:color="auto" w:sz="4" w:space="0"/>
              <w:bottom w:val="single" w:color="auto" w:sz="4" w:space="0"/>
              <w:right w:val="single" w:color="auto" w:sz="4" w:space="0"/>
            </w:tcBorders>
            <w:noWrap w:val="0"/>
            <w:vAlign w:val="center"/>
          </w:tcPr>
          <w:p w14:paraId="40752CAE">
            <w:pPr>
              <w:jc w:val="both"/>
              <w:rPr>
                <w:rFonts w:hint="eastAsia"/>
              </w:rPr>
            </w:pPr>
            <w:r>
              <w:rPr>
                <w:rFonts w:hint="eastAsia"/>
              </w:rPr>
              <w:t>广西医科大学第二附属医院</w:t>
            </w:r>
          </w:p>
        </w:tc>
        <w:tc>
          <w:tcPr>
            <w:tcW w:w="896" w:type="pct"/>
            <w:tcBorders>
              <w:top w:val="single" w:color="auto" w:sz="4" w:space="0"/>
              <w:left w:val="single" w:color="auto" w:sz="4" w:space="0"/>
              <w:bottom w:val="single" w:color="auto" w:sz="4" w:space="0"/>
              <w:right w:val="single" w:color="auto" w:sz="4" w:space="0"/>
            </w:tcBorders>
            <w:noWrap w:val="0"/>
            <w:vAlign w:val="center"/>
          </w:tcPr>
          <w:p w14:paraId="68B4E349">
            <w:pPr>
              <w:jc w:val="both"/>
              <w:rPr>
                <w:rFonts w:hint="eastAsia"/>
              </w:rPr>
            </w:pPr>
            <w:r>
              <w:rPr>
                <w:rFonts w:hint="eastAsia"/>
              </w:rPr>
              <w:t>主任医师</w:t>
            </w:r>
          </w:p>
        </w:tc>
        <w:tc>
          <w:tcPr>
            <w:tcW w:w="932" w:type="pct"/>
            <w:tcBorders>
              <w:top w:val="single" w:color="auto" w:sz="4" w:space="0"/>
              <w:left w:val="single" w:color="auto" w:sz="4" w:space="0"/>
              <w:bottom w:val="single" w:color="auto" w:sz="4" w:space="0"/>
              <w:right w:val="single" w:color="auto" w:sz="4" w:space="0"/>
            </w:tcBorders>
            <w:noWrap w:val="0"/>
            <w:vAlign w:val="center"/>
          </w:tcPr>
          <w:p w14:paraId="1D46ABFA">
            <w:pPr>
              <w:jc w:val="both"/>
              <w:rPr>
                <w:rFonts w:hint="eastAsia"/>
              </w:rPr>
            </w:pPr>
            <w:r>
              <w:rPr>
                <w:rFonts w:hint="eastAsia"/>
              </w:rPr>
              <w:t>新生儿科</w:t>
            </w:r>
          </w:p>
        </w:tc>
        <w:tc>
          <w:tcPr>
            <w:tcW w:w="1481" w:type="pct"/>
            <w:tcBorders>
              <w:top w:val="single" w:color="auto" w:sz="4" w:space="0"/>
              <w:left w:val="single" w:color="auto" w:sz="4" w:space="0"/>
              <w:bottom w:val="single" w:color="auto" w:sz="4" w:space="0"/>
              <w:right w:val="single" w:color="auto" w:sz="4" w:space="0"/>
            </w:tcBorders>
            <w:noWrap w:val="0"/>
            <w:vAlign w:val="center"/>
          </w:tcPr>
          <w:p w14:paraId="01DB2AC7">
            <w:pPr>
              <w:jc w:val="both"/>
              <w:rPr>
                <w:rFonts w:hint="eastAsia"/>
              </w:rPr>
            </w:pPr>
            <w:r>
              <w:rPr>
                <w:rFonts w:hint="eastAsia"/>
              </w:rPr>
              <w:t>负责起草规范草案，征求意见稿和规范编制说明，送审稿及编制说明的编写工作</w:t>
            </w:r>
          </w:p>
        </w:tc>
      </w:tr>
      <w:tr w14:paraId="39298FC7">
        <w:tblPrEx>
          <w:tblCellMar>
            <w:top w:w="0" w:type="dxa"/>
            <w:left w:w="108" w:type="dxa"/>
            <w:bottom w:w="0" w:type="dxa"/>
            <w:right w:w="108" w:type="dxa"/>
          </w:tblCellMar>
        </w:tblPrEx>
        <w:trPr>
          <w:cantSplit/>
          <w:trHeight w:val="936" w:hRule="atLeast"/>
          <w:jc w:val="center"/>
        </w:trPr>
        <w:tc>
          <w:tcPr>
            <w:tcW w:w="320" w:type="pct"/>
            <w:tcBorders>
              <w:top w:val="single" w:color="auto" w:sz="4" w:space="0"/>
              <w:left w:val="single" w:color="auto" w:sz="4" w:space="0"/>
              <w:bottom w:val="single" w:color="auto" w:sz="4" w:space="0"/>
              <w:right w:val="single" w:color="auto" w:sz="4" w:space="0"/>
            </w:tcBorders>
            <w:noWrap w:val="0"/>
            <w:vAlign w:val="center"/>
          </w:tcPr>
          <w:p w14:paraId="51CEF204">
            <w:pPr>
              <w:numPr>
                <w:ilvl w:val="0"/>
                <w:numId w:val="10"/>
              </w:numPr>
              <w:ind w:left="425" w:leftChars="0" w:hanging="425" w:firstLineChars="0"/>
              <w:jc w:val="both"/>
              <w:rPr>
                <w:rFonts w:hint="default"/>
              </w:rPr>
            </w:pPr>
          </w:p>
        </w:tc>
        <w:tc>
          <w:tcPr>
            <w:tcW w:w="518" w:type="pct"/>
            <w:tcBorders>
              <w:top w:val="single" w:color="auto" w:sz="4" w:space="0"/>
              <w:left w:val="single" w:color="auto" w:sz="4" w:space="0"/>
              <w:bottom w:val="single" w:color="auto" w:sz="4" w:space="0"/>
              <w:right w:val="single" w:color="auto" w:sz="4" w:space="0"/>
            </w:tcBorders>
            <w:noWrap w:val="0"/>
            <w:vAlign w:val="center"/>
          </w:tcPr>
          <w:p w14:paraId="35C959F1">
            <w:pPr>
              <w:jc w:val="both"/>
              <w:rPr>
                <w:rFonts w:hint="eastAsia"/>
              </w:rPr>
            </w:pPr>
            <w:r>
              <w:rPr>
                <w:rFonts w:hint="eastAsia"/>
              </w:rPr>
              <w:t>蓝国锋</w:t>
            </w:r>
          </w:p>
        </w:tc>
        <w:tc>
          <w:tcPr>
            <w:tcW w:w="849" w:type="pct"/>
            <w:tcBorders>
              <w:top w:val="single" w:color="auto" w:sz="4" w:space="0"/>
              <w:left w:val="single" w:color="auto" w:sz="4" w:space="0"/>
              <w:bottom w:val="single" w:color="auto" w:sz="4" w:space="0"/>
              <w:right w:val="single" w:color="auto" w:sz="4" w:space="0"/>
            </w:tcBorders>
            <w:noWrap w:val="0"/>
            <w:vAlign w:val="center"/>
          </w:tcPr>
          <w:p w14:paraId="65544326">
            <w:pPr>
              <w:jc w:val="both"/>
              <w:rPr>
                <w:rFonts w:hint="eastAsia"/>
              </w:rPr>
            </w:pPr>
            <w:r>
              <w:rPr>
                <w:rFonts w:hint="eastAsia"/>
              </w:rPr>
              <w:t>南宁市第二人民医院</w:t>
            </w:r>
          </w:p>
        </w:tc>
        <w:tc>
          <w:tcPr>
            <w:tcW w:w="896" w:type="pct"/>
            <w:tcBorders>
              <w:top w:val="single" w:color="auto" w:sz="4" w:space="0"/>
              <w:left w:val="single" w:color="auto" w:sz="4" w:space="0"/>
              <w:bottom w:val="single" w:color="auto" w:sz="4" w:space="0"/>
              <w:right w:val="single" w:color="auto" w:sz="4" w:space="0"/>
            </w:tcBorders>
            <w:noWrap w:val="0"/>
            <w:vAlign w:val="center"/>
          </w:tcPr>
          <w:p w14:paraId="0692D48F">
            <w:pPr>
              <w:jc w:val="both"/>
              <w:rPr>
                <w:rFonts w:hint="eastAsia"/>
              </w:rPr>
            </w:pPr>
            <w:r>
              <w:rPr>
                <w:rFonts w:hint="eastAsia"/>
              </w:rPr>
              <w:t>科室副主任</w:t>
            </w:r>
            <w:r>
              <w:rPr>
                <w:rFonts w:hint="eastAsia"/>
                <w:lang w:val="en-US" w:eastAsia="zh-CN"/>
              </w:rPr>
              <w:t>/</w:t>
            </w:r>
            <w:r>
              <w:rPr>
                <w:rFonts w:hint="eastAsia"/>
              </w:rPr>
              <w:t>主任医师</w:t>
            </w:r>
          </w:p>
        </w:tc>
        <w:tc>
          <w:tcPr>
            <w:tcW w:w="932" w:type="pct"/>
            <w:tcBorders>
              <w:top w:val="single" w:color="auto" w:sz="4" w:space="0"/>
              <w:left w:val="single" w:color="auto" w:sz="4" w:space="0"/>
              <w:bottom w:val="single" w:color="auto" w:sz="4" w:space="0"/>
              <w:right w:val="single" w:color="auto" w:sz="4" w:space="0"/>
            </w:tcBorders>
            <w:noWrap w:val="0"/>
            <w:vAlign w:val="center"/>
          </w:tcPr>
          <w:p w14:paraId="640C7700">
            <w:pPr>
              <w:jc w:val="both"/>
              <w:rPr>
                <w:rFonts w:hint="eastAsia"/>
              </w:rPr>
            </w:pPr>
            <w:r>
              <w:rPr>
                <w:rFonts w:hint="eastAsia"/>
              </w:rPr>
              <w:t>新生儿科</w:t>
            </w:r>
          </w:p>
        </w:tc>
        <w:tc>
          <w:tcPr>
            <w:tcW w:w="1481" w:type="pct"/>
            <w:tcBorders>
              <w:top w:val="single" w:color="auto" w:sz="4" w:space="0"/>
              <w:left w:val="single" w:color="auto" w:sz="4" w:space="0"/>
              <w:bottom w:val="single" w:color="auto" w:sz="4" w:space="0"/>
              <w:right w:val="single" w:color="auto" w:sz="4" w:space="0"/>
            </w:tcBorders>
            <w:noWrap w:val="0"/>
            <w:vAlign w:val="center"/>
          </w:tcPr>
          <w:p w14:paraId="18E8C5C3">
            <w:pPr>
              <w:jc w:val="both"/>
              <w:rPr>
                <w:rFonts w:hint="eastAsia"/>
              </w:rPr>
            </w:pPr>
            <w:r>
              <w:rPr>
                <w:rFonts w:hint="eastAsia"/>
              </w:rPr>
              <w:t>负责起草规范草案，征求意见稿和规范编制说明，送审稿及编制说明的编写工作</w:t>
            </w:r>
          </w:p>
        </w:tc>
      </w:tr>
      <w:tr w14:paraId="6A8D7F6C">
        <w:tblPrEx>
          <w:tblCellMar>
            <w:top w:w="0" w:type="dxa"/>
            <w:left w:w="108" w:type="dxa"/>
            <w:bottom w:w="0" w:type="dxa"/>
            <w:right w:w="108" w:type="dxa"/>
          </w:tblCellMar>
        </w:tblPrEx>
        <w:trPr>
          <w:cantSplit/>
          <w:trHeight w:val="881" w:hRule="atLeast"/>
          <w:jc w:val="center"/>
        </w:trPr>
        <w:tc>
          <w:tcPr>
            <w:tcW w:w="320" w:type="pct"/>
            <w:tcBorders>
              <w:top w:val="single" w:color="auto" w:sz="4" w:space="0"/>
              <w:left w:val="single" w:color="auto" w:sz="4" w:space="0"/>
              <w:bottom w:val="single" w:color="auto" w:sz="4" w:space="0"/>
              <w:right w:val="single" w:color="auto" w:sz="4" w:space="0"/>
            </w:tcBorders>
            <w:noWrap w:val="0"/>
            <w:vAlign w:val="center"/>
          </w:tcPr>
          <w:p w14:paraId="6554D3F0">
            <w:pPr>
              <w:numPr>
                <w:ilvl w:val="0"/>
                <w:numId w:val="10"/>
              </w:numPr>
              <w:ind w:left="425" w:leftChars="0" w:hanging="425" w:firstLineChars="0"/>
              <w:jc w:val="both"/>
              <w:rPr>
                <w:rFonts w:hint="default"/>
              </w:rPr>
            </w:pPr>
          </w:p>
        </w:tc>
        <w:tc>
          <w:tcPr>
            <w:tcW w:w="518" w:type="pct"/>
            <w:tcBorders>
              <w:top w:val="single" w:color="auto" w:sz="4" w:space="0"/>
              <w:left w:val="single" w:color="auto" w:sz="4" w:space="0"/>
              <w:bottom w:val="single" w:color="auto" w:sz="4" w:space="0"/>
              <w:right w:val="single" w:color="auto" w:sz="4" w:space="0"/>
            </w:tcBorders>
            <w:noWrap w:val="0"/>
            <w:vAlign w:val="center"/>
          </w:tcPr>
          <w:p w14:paraId="1EA3146E">
            <w:pPr>
              <w:jc w:val="both"/>
              <w:rPr>
                <w:rFonts w:hint="eastAsia"/>
              </w:rPr>
            </w:pPr>
            <w:r>
              <w:rPr>
                <w:rFonts w:hint="eastAsia"/>
              </w:rPr>
              <w:t>陈琦</w:t>
            </w:r>
          </w:p>
        </w:tc>
        <w:tc>
          <w:tcPr>
            <w:tcW w:w="849" w:type="pct"/>
            <w:tcBorders>
              <w:top w:val="single" w:color="auto" w:sz="4" w:space="0"/>
              <w:left w:val="single" w:color="auto" w:sz="4" w:space="0"/>
              <w:bottom w:val="single" w:color="auto" w:sz="4" w:space="0"/>
              <w:right w:val="single" w:color="auto" w:sz="4" w:space="0"/>
            </w:tcBorders>
            <w:noWrap w:val="0"/>
            <w:vAlign w:val="center"/>
          </w:tcPr>
          <w:p w14:paraId="5AA6E673">
            <w:pPr>
              <w:jc w:val="both"/>
              <w:rPr>
                <w:rFonts w:hint="eastAsia"/>
              </w:rPr>
            </w:pPr>
            <w:r>
              <w:rPr>
                <w:rFonts w:hint="eastAsia"/>
              </w:rPr>
              <w:t>上饶市妇幼保健院</w:t>
            </w:r>
          </w:p>
        </w:tc>
        <w:tc>
          <w:tcPr>
            <w:tcW w:w="896" w:type="pct"/>
            <w:tcBorders>
              <w:top w:val="single" w:color="auto" w:sz="4" w:space="0"/>
              <w:left w:val="single" w:color="auto" w:sz="4" w:space="0"/>
              <w:bottom w:val="single" w:color="auto" w:sz="4" w:space="0"/>
              <w:right w:val="single" w:color="auto" w:sz="4" w:space="0"/>
            </w:tcBorders>
            <w:noWrap w:val="0"/>
            <w:vAlign w:val="center"/>
          </w:tcPr>
          <w:p w14:paraId="6EF08049">
            <w:pPr>
              <w:jc w:val="both"/>
              <w:rPr>
                <w:rFonts w:hint="eastAsia"/>
              </w:rPr>
            </w:pPr>
            <w:r>
              <w:rPr>
                <w:rFonts w:hint="eastAsia"/>
              </w:rPr>
              <w:t>科室主任</w:t>
            </w:r>
            <w:r>
              <w:rPr>
                <w:rFonts w:hint="eastAsia"/>
                <w:lang w:val="en-US" w:eastAsia="zh-CN"/>
              </w:rPr>
              <w:t>/</w:t>
            </w:r>
            <w:r>
              <w:rPr>
                <w:rFonts w:hint="eastAsia"/>
              </w:rPr>
              <w:t>主任医师</w:t>
            </w:r>
          </w:p>
        </w:tc>
        <w:tc>
          <w:tcPr>
            <w:tcW w:w="932" w:type="pct"/>
            <w:tcBorders>
              <w:top w:val="single" w:color="auto" w:sz="4" w:space="0"/>
              <w:left w:val="single" w:color="auto" w:sz="4" w:space="0"/>
              <w:bottom w:val="single" w:color="auto" w:sz="4" w:space="0"/>
              <w:right w:val="single" w:color="auto" w:sz="4" w:space="0"/>
            </w:tcBorders>
            <w:noWrap w:val="0"/>
            <w:vAlign w:val="center"/>
          </w:tcPr>
          <w:p w14:paraId="30BEFB44">
            <w:pPr>
              <w:jc w:val="both"/>
              <w:rPr>
                <w:rFonts w:hint="eastAsia"/>
              </w:rPr>
            </w:pPr>
            <w:r>
              <w:rPr>
                <w:rFonts w:hint="eastAsia"/>
              </w:rPr>
              <w:t>新生儿科</w:t>
            </w:r>
          </w:p>
        </w:tc>
        <w:tc>
          <w:tcPr>
            <w:tcW w:w="1481" w:type="pct"/>
            <w:tcBorders>
              <w:top w:val="single" w:color="auto" w:sz="4" w:space="0"/>
              <w:left w:val="single" w:color="auto" w:sz="4" w:space="0"/>
              <w:bottom w:val="single" w:color="auto" w:sz="4" w:space="0"/>
              <w:right w:val="single" w:color="auto" w:sz="4" w:space="0"/>
            </w:tcBorders>
            <w:noWrap w:val="0"/>
            <w:vAlign w:val="center"/>
          </w:tcPr>
          <w:p w14:paraId="716DE78E">
            <w:pPr>
              <w:jc w:val="both"/>
              <w:rPr>
                <w:rFonts w:hint="eastAsia"/>
              </w:rPr>
            </w:pPr>
            <w:r>
              <w:rPr>
                <w:rFonts w:hint="eastAsia"/>
              </w:rPr>
              <w:t>负责起草规范草案，征求意见稿和规范编制说明，送审稿及编制说明的编写工作</w:t>
            </w:r>
          </w:p>
        </w:tc>
      </w:tr>
      <w:tr w14:paraId="4E78C586">
        <w:tblPrEx>
          <w:tblCellMar>
            <w:top w:w="0" w:type="dxa"/>
            <w:left w:w="108" w:type="dxa"/>
            <w:bottom w:w="0" w:type="dxa"/>
            <w:right w:w="108" w:type="dxa"/>
          </w:tblCellMar>
        </w:tblPrEx>
        <w:trPr>
          <w:cantSplit/>
          <w:trHeight w:val="881" w:hRule="atLeast"/>
          <w:jc w:val="center"/>
        </w:trPr>
        <w:tc>
          <w:tcPr>
            <w:tcW w:w="320" w:type="pct"/>
            <w:tcBorders>
              <w:top w:val="single" w:color="auto" w:sz="4" w:space="0"/>
              <w:left w:val="single" w:color="auto" w:sz="4" w:space="0"/>
              <w:bottom w:val="single" w:color="auto" w:sz="4" w:space="0"/>
              <w:right w:val="single" w:color="auto" w:sz="4" w:space="0"/>
            </w:tcBorders>
            <w:noWrap w:val="0"/>
            <w:vAlign w:val="center"/>
          </w:tcPr>
          <w:p w14:paraId="5AD2FE3E">
            <w:pPr>
              <w:numPr>
                <w:ilvl w:val="0"/>
                <w:numId w:val="10"/>
              </w:numPr>
              <w:ind w:left="425" w:leftChars="0" w:hanging="425" w:firstLineChars="0"/>
              <w:jc w:val="both"/>
              <w:rPr>
                <w:rFonts w:hint="default"/>
              </w:rPr>
            </w:pPr>
          </w:p>
        </w:tc>
        <w:tc>
          <w:tcPr>
            <w:tcW w:w="518" w:type="pct"/>
            <w:tcBorders>
              <w:top w:val="single" w:color="auto" w:sz="4" w:space="0"/>
              <w:left w:val="single" w:color="auto" w:sz="4" w:space="0"/>
              <w:bottom w:val="single" w:color="auto" w:sz="4" w:space="0"/>
              <w:right w:val="single" w:color="auto" w:sz="4" w:space="0"/>
            </w:tcBorders>
            <w:noWrap w:val="0"/>
            <w:vAlign w:val="center"/>
          </w:tcPr>
          <w:p w14:paraId="2F9A7D94">
            <w:pPr>
              <w:jc w:val="both"/>
              <w:rPr>
                <w:rFonts w:hint="eastAsia"/>
              </w:rPr>
            </w:pPr>
            <w:r>
              <w:rPr>
                <w:rFonts w:hint="eastAsia"/>
              </w:rPr>
              <w:t>段玉会</w:t>
            </w:r>
          </w:p>
        </w:tc>
        <w:tc>
          <w:tcPr>
            <w:tcW w:w="849" w:type="pct"/>
            <w:tcBorders>
              <w:top w:val="single" w:color="auto" w:sz="4" w:space="0"/>
              <w:left w:val="single" w:color="auto" w:sz="4" w:space="0"/>
              <w:bottom w:val="single" w:color="auto" w:sz="4" w:space="0"/>
              <w:right w:val="single" w:color="auto" w:sz="4" w:space="0"/>
            </w:tcBorders>
            <w:noWrap w:val="0"/>
            <w:vAlign w:val="center"/>
          </w:tcPr>
          <w:p w14:paraId="1DA99B09">
            <w:pPr>
              <w:jc w:val="both"/>
              <w:rPr>
                <w:rFonts w:hint="eastAsia"/>
              </w:rPr>
            </w:pPr>
            <w:r>
              <w:rPr>
                <w:rFonts w:hint="eastAsia"/>
              </w:rPr>
              <w:t>玉林市第一人民医院</w:t>
            </w:r>
          </w:p>
        </w:tc>
        <w:tc>
          <w:tcPr>
            <w:tcW w:w="896" w:type="pct"/>
            <w:tcBorders>
              <w:top w:val="single" w:color="auto" w:sz="4" w:space="0"/>
              <w:left w:val="single" w:color="auto" w:sz="4" w:space="0"/>
              <w:bottom w:val="single" w:color="auto" w:sz="4" w:space="0"/>
              <w:right w:val="single" w:color="auto" w:sz="4" w:space="0"/>
            </w:tcBorders>
            <w:noWrap w:val="0"/>
            <w:vAlign w:val="center"/>
          </w:tcPr>
          <w:p w14:paraId="70E9A800">
            <w:pPr>
              <w:jc w:val="both"/>
              <w:rPr>
                <w:rFonts w:hint="eastAsia"/>
              </w:rPr>
            </w:pPr>
            <w:r>
              <w:rPr>
                <w:rFonts w:hint="eastAsia"/>
              </w:rPr>
              <w:t>科室主任</w:t>
            </w:r>
            <w:r>
              <w:rPr>
                <w:rFonts w:hint="eastAsia"/>
                <w:lang w:val="en-US" w:eastAsia="zh-CN"/>
              </w:rPr>
              <w:t>/</w:t>
            </w:r>
            <w:r>
              <w:rPr>
                <w:rFonts w:hint="eastAsia"/>
              </w:rPr>
              <w:t>主任医师</w:t>
            </w:r>
          </w:p>
        </w:tc>
        <w:tc>
          <w:tcPr>
            <w:tcW w:w="932" w:type="pct"/>
            <w:tcBorders>
              <w:top w:val="single" w:color="auto" w:sz="4" w:space="0"/>
              <w:left w:val="single" w:color="auto" w:sz="4" w:space="0"/>
              <w:bottom w:val="single" w:color="auto" w:sz="4" w:space="0"/>
              <w:right w:val="single" w:color="auto" w:sz="4" w:space="0"/>
            </w:tcBorders>
            <w:noWrap w:val="0"/>
            <w:vAlign w:val="center"/>
          </w:tcPr>
          <w:p w14:paraId="00ACEF61">
            <w:pPr>
              <w:jc w:val="both"/>
              <w:rPr>
                <w:rFonts w:hint="eastAsia"/>
              </w:rPr>
            </w:pPr>
            <w:r>
              <w:rPr>
                <w:rFonts w:hint="eastAsia"/>
              </w:rPr>
              <w:t>新生儿科</w:t>
            </w:r>
          </w:p>
        </w:tc>
        <w:tc>
          <w:tcPr>
            <w:tcW w:w="1481" w:type="pct"/>
            <w:tcBorders>
              <w:top w:val="single" w:color="auto" w:sz="4" w:space="0"/>
              <w:left w:val="single" w:color="auto" w:sz="4" w:space="0"/>
              <w:bottom w:val="single" w:color="auto" w:sz="4" w:space="0"/>
              <w:right w:val="single" w:color="auto" w:sz="4" w:space="0"/>
            </w:tcBorders>
            <w:noWrap w:val="0"/>
            <w:vAlign w:val="center"/>
          </w:tcPr>
          <w:p w14:paraId="1D6A63AA">
            <w:pPr>
              <w:jc w:val="both"/>
              <w:rPr>
                <w:rFonts w:hint="eastAsia"/>
              </w:rPr>
            </w:pPr>
            <w:r>
              <w:rPr>
                <w:rFonts w:hint="eastAsia"/>
              </w:rPr>
              <w:t>负责起草规范草案，征求意见稿和规范编制说明，送审稿及编制说明的编写工作</w:t>
            </w:r>
          </w:p>
        </w:tc>
      </w:tr>
      <w:tr w14:paraId="29D118ED">
        <w:tblPrEx>
          <w:tblCellMar>
            <w:top w:w="0" w:type="dxa"/>
            <w:left w:w="108" w:type="dxa"/>
            <w:bottom w:w="0" w:type="dxa"/>
            <w:right w:w="108" w:type="dxa"/>
          </w:tblCellMar>
        </w:tblPrEx>
        <w:trPr>
          <w:cantSplit/>
          <w:trHeight w:val="881" w:hRule="atLeast"/>
          <w:jc w:val="center"/>
        </w:trPr>
        <w:tc>
          <w:tcPr>
            <w:tcW w:w="320" w:type="pct"/>
            <w:tcBorders>
              <w:top w:val="single" w:color="auto" w:sz="4" w:space="0"/>
              <w:left w:val="single" w:color="auto" w:sz="4" w:space="0"/>
              <w:bottom w:val="single" w:color="auto" w:sz="4" w:space="0"/>
              <w:right w:val="single" w:color="auto" w:sz="4" w:space="0"/>
            </w:tcBorders>
            <w:noWrap w:val="0"/>
            <w:vAlign w:val="center"/>
          </w:tcPr>
          <w:p w14:paraId="7320E2F6">
            <w:pPr>
              <w:numPr>
                <w:ilvl w:val="0"/>
                <w:numId w:val="10"/>
              </w:numPr>
              <w:ind w:left="425" w:leftChars="0" w:hanging="425" w:firstLineChars="0"/>
              <w:jc w:val="both"/>
              <w:rPr>
                <w:rFonts w:hint="default"/>
              </w:rPr>
            </w:pPr>
          </w:p>
        </w:tc>
        <w:tc>
          <w:tcPr>
            <w:tcW w:w="518" w:type="pct"/>
            <w:tcBorders>
              <w:top w:val="single" w:color="auto" w:sz="4" w:space="0"/>
              <w:left w:val="single" w:color="auto" w:sz="4" w:space="0"/>
              <w:bottom w:val="single" w:color="auto" w:sz="4" w:space="0"/>
              <w:right w:val="single" w:color="auto" w:sz="4" w:space="0"/>
            </w:tcBorders>
            <w:noWrap w:val="0"/>
            <w:vAlign w:val="center"/>
          </w:tcPr>
          <w:p w14:paraId="3C3F9070">
            <w:pPr>
              <w:jc w:val="both"/>
              <w:rPr>
                <w:rFonts w:hint="eastAsia"/>
              </w:rPr>
            </w:pPr>
            <w:r>
              <w:rPr>
                <w:rFonts w:hint="eastAsia"/>
              </w:rPr>
              <w:t>黄惠桥</w:t>
            </w:r>
          </w:p>
        </w:tc>
        <w:tc>
          <w:tcPr>
            <w:tcW w:w="849" w:type="pct"/>
            <w:tcBorders>
              <w:top w:val="single" w:color="auto" w:sz="4" w:space="0"/>
              <w:left w:val="single" w:color="auto" w:sz="4" w:space="0"/>
              <w:bottom w:val="single" w:color="auto" w:sz="4" w:space="0"/>
              <w:right w:val="single" w:color="auto" w:sz="4" w:space="0"/>
            </w:tcBorders>
            <w:noWrap w:val="0"/>
            <w:vAlign w:val="center"/>
          </w:tcPr>
          <w:p w14:paraId="0A44CD22">
            <w:pPr>
              <w:jc w:val="both"/>
              <w:rPr>
                <w:rFonts w:hint="eastAsia"/>
              </w:rPr>
            </w:pPr>
            <w:r>
              <w:rPr>
                <w:rFonts w:hint="eastAsia"/>
              </w:rPr>
              <w:t>广西医科大学第二附属医院</w:t>
            </w:r>
          </w:p>
        </w:tc>
        <w:tc>
          <w:tcPr>
            <w:tcW w:w="896" w:type="pct"/>
            <w:tcBorders>
              <w:top w:val="single" w:color="auto" w:sz="4" w:space="0"/>
              <w:left w:val="single" w:color="auto" w:sz="4" w:space="0"/>
              <w:bottom w:val="single" w:color="auto" w:sz="4" w:space="0"/>
              <w:right w:val="single" w:color="auto" w:sz="4" w:space="0"/>
            </w:tcBorders>
            <w:noWrap w:val="0"/>
            <w:vAlign w:val="center"/>
          </w:tcPr>
          <w:p w14:paraId="2461896C">
            <w:pPr>
              <w:jc w:val="both"/>
              <w:rPr>
                <w:rFonts w:hint="eastAsia"/>
              </w:rPr>
            </w:pPr>
            <w:r>
              <w:rPr>
                <w:rFonts w:hint="eastAsia"/>
              </w:rPr>
              <w:t>党委副书记/主任护师</w:t>
            </w:r>
          </w:p>
        </w:tc>
        <w:tc>
          <w:tcPr>
            <w:tcW w:w="932" w:type="pct"/>
            <w:tcBorders>
              <w:top w:val="single" w:color="auto" w:sz="4" w:space="0"/>
              <w:left w:val="single" w:color="auto" w:sz="4" w:space="0"/>
              <w:bottom w:val="single" w:color="auto" w:sz="4" w:space="0"/>
              <w:right w:val="single" w:color="auto" w:sz="4" w:space="0"/>
            </w:tcBorders>
            <w:noWrap w:val="0"/>
            <w:vAlign w:val="center"/>
          </w:tcPr>
          <w:p w14:paraId="1BE4E430">
            <w:pPr>
              <w:jc w:val="both"/>
              <w:rPr>
                <w:rFonts w:hint="eastAsia" w:eastAsia="宋体"/>
                <w:lang w:eastAsia="zh-CN"/>
              </w:rPr>
            </w:pPr>
            <w:r>
              <w:rPr>
                <w:rFonts w:hint="eastAsia"/>
                <w:lang w:eastAsia="zh-CN"/>
              </w:rPr>
              <w:t>护理</w:t>
            </w:r>
          </w:p>
        </w:tc>
        <w:tc>
          <w:tcPr>
            <w:tcW w:w="1481" w:type="pct"/>
            <w:tcBorders>
              <w:top w:val="single" w:color="auto" w:sz="4" w:space="0"/>
              <w:left w:val="single" w:color="auto" w:sz="4" w:space="0"/>
              <w:bottom w:val="single" w:color="auto" w:sz="4" w:space="0"/>
              <w:right w:val="single" w:color="auto" w:sz="4" w:space="0"/>
            </w:tcBorders>
            <w:noWrap w:val="0"/>
            <w:vAlign w:val="center"/>
          </w:tcPr>
          <w:p w14:paraId="56A62F44">
            <w:pPr>
              <w:jc w:val="both"/>
              <w:rPr>
                <w:rFonts w:hint="eastAsia"/>
              </w:rPr>
            </w:pPr>
            <w:r>
              <w:rPr>
                <w:rFonts w:hint="eastAsia"/>
              </w:rPr>
              <w:t>负责起草规范草案，征求意见稿和规范编制说明，送审稿及编制说明的编写工作</w:t>
            </w:r>
          </w:p>
        </w:tc>
      </w:tr>
      <w:tr w14:paraId="575CE717">
        <w:tblPrEx>
          <w:tblCellMar>
            <w:top w:w="0" w:type="dxa"/>
            <w:left w:w="108" w:type="dxa"/>
            <w:bottom w:w="0" w:type="dxa"/>
            <w:right w:w="108" w:type="dxa"/>
          </w:tblCellMar>
        </w:tblPrEx>
        <w:trPr>
          <w:cantSplit/>
          <w:trHeight w:val="881" w:hRule="atLeast"/>
          <w:jc w:val="center"/>
        </w:trPr>
        <w:tc>
          <w:tcPr>
            <w:tcW w:w="320" w:type="pct"/>
            <w:tcBorders>
              <w:top w:val="single" w:color="auto" w:sz="4" w:space="0"/>
              <w:left w:val="single" w:color="auto" w:sz="4" w:space="0"/>
              <w:bottom w:val="single" w:color="auto" w:sz="4" w:space="0"/>
              <w:right w:val="single" w:color="auto" w:sz="4" w:space="0"/>
            </w:tcBorders>
            <w:noWrap w:val="0"/>
            <w:vAlign w:val="center"/>
          </w:tcPr>
          <w:p w14:paraId="14F3DF1D">
            <w:pPr>
              <w:numPr>
                <w:ilvl w:val="0"/>
                <w:numId w:val="10"/>
              </w:numPr>
              <w:ind w:left="425" w:leftChars="0" w:hanging="425" w:firstLineChars="0"/>
              <w:jc w:val="both"/>
              <w:rPr>
                <w:rFonts w:hint="default"/>
              </w:rPr>
            </w:pPr>
          </w:p>
        </w:tc>
        <w:tc>
          <w:tcPr>
            <w:tcW w:w="518" w:type="pct"/>
            <w:tcBorders>
              <w:top w:val="single" w:color="auto" w:sz="4" w:space="0"/>
              <w:left w:val="single" w:color="auto" w:sz="4" w:space="0"/>
              <w:bottom w:val="single" w:color="auto" w:sz="4" w:space="0"/>
              <w:right w:val="single" w:color="auto" w:sz="4" w:space="0"/>
            </w:tcBorders>
            <w:noWrap w:val="0"/>
            <w:vAlign w:val="center"/>
          </w:tcPr>
          <w:p w14:paraId="5FB08D32">
            <w:pPr>
              <w:jc w:val="both"/>
              <w:rPr>
                <w:rFonts w:hint="eastAsia"/>
              </w:rPr>
            </w:pPr>
            <w:r>
              <w:rPr>
                <w:rFonts w:hint="eastAsia"/>
              </w:rPr>
              <w:t>梁  榕</w:t>
            </w:r>
          </w:p>
        </w:tc>
        <w:tc>
          <w:tcPr>
            <w:tcW w:w="849" w:type="pct"/>
            <w:tcBorders>
              <w:top w:val="single" w:color="auto" w:sz="4" w:space="0"/>
              <w:left w:val="single" w:color="auto" w:sz="4" w:space="0"/>
              <w:bottom w:val="single" w:color="auto" w:sz="4" w:space="0"/>
              <w:right w:val="single" w:color="auto" w:sz="4" w:space="0"/>
            </w:tcBorders>
            <w:noWrap w:val="0"/>
            <w:vAlign w:val="center"/>
          </w:tcPr>
          <w:p w14:paraId="0A8ACB52">
            <w:pPr>
              <w:jc w:val="both"/>
              <w:rPr>
                <w:rFonts w:hint="eastAsia"/>
              </w:rPr>
            </w:pPr>
            <w:r>
              <w:rPr>
                <w:rFonts w:hint="eastAsia"/>
              </w:rPr>
              <w:t>广西医科大学第二附属医院</w:t>
            </w:r>
          </w:p>
        </w:tc>
        <w:tc>
          <w:tcPr>
            <w:tcW w:w="896" w:type="pct"/>
            <w:tcBorders>
              <w:top w:val="single" w:color="auto" w:sz="4" w:space="0"/>
              <w:left w:val="single" w:color="auto" w:sz="4" w:space="0"/>
              <w:bottom w:val="single" w:color="auto" w:sz="4" w:space="0"/>
              <w:right w:val="single" w:color="auto" w:sz="4" w:space="0"/>
            </w:tcBorders>
            <w:noWrap w:val="0"/>
            <w:vAlign w:val="center"/>
          </w:tcPr>
          <w:p w14:paraId="76492F71">
            <w:pPr>
              <w:jc w:val="both"/>
              <w:rPr>
                <w:rFonts w:hint="eastAsia"/>
              </w:rPr>
            </w:pPr>
            <w:r>
              <w:rPr>
                <w:rFonts w:hint="eastAsia"/>
              </w:rPr>
              <w:t>护理部主任/主任护师</w:t>
            </w:r>
          </w:p>
        </w:tc>
        <w:tc>
          <w:tcPr>
            <w:tcW w:w="932" w:type="pct"/>
            <w:tcBorders>
              <w:top w:val="single" w:color="auto" w:sz="4" w:space="0"/>
              <w:left w:val="single" w:color="auto" w:sz="4" w:space="0"/>
              <w:bottom w:val="single" w:color="auto" w:sz="4" w:space="0"/>
              <w:right w:val="single" w:color="auto" w:sz="4" w:space="0"/>
            </w:tcBorders>
            <w:noWrap w:val="0"/>
            <w:vAlign w:val="center"/>
          </w:tcPr>
          <w:p w14:paraId="1A45CE4A">
            <w:pPr>
              <w:jc w:val="both"/>
              <w:rPr>
                <w:rFonts w:hint="eastAsia" w:eastAsia="宋体"/>
                <w:lang w:eastAsia="zh-CN"/>
              </w:rPr>
            </w:pPr>
            <w:r>
              <w:rPr>
                <w:rFonts w:hint="eastAsia"/>
                <w:lang w:eastAsia="zh-CN"/>
              </w:rPr>
              <w:t>护理</w:t>
            </w:r>
          </w:p>
        </w:tc>
        <w:tc>
          <w:tcPr>
            <w:tcW w:w="1481" w:type="pct"/>
            <w:tcBorders>
              <w:top w:val="single" w:color="auto" w:sz="4" w:space="0"/>
              <w:left w:val="single" w:color="auto" w:sz="4" w:space="0"/>
              <w:bottom w:val="single" w:color="auto" w:sz="4" w:space="0"/>
              <w:right w:val="single" w:color="auto" w:sz="4" w:space="0"/>
            </w:tcBorders>
            <w:noWrap w:val="0"/>
            <w:vAlign w:val="center"/>
          </w:tcPr>
          <w:p w14:paraId="12D714B9">
            <w:pPr>
              <w:jc w:val="both"/>
              <w:rPr>
                <w:rFonts w:hint="eastAsia"/>
              </w:rPr>
            </w:pPr>
            <w:r>
              <w:rPr>
                <w:rFonts w:hint="eastAsia"/>
              </w:rPr>
              <w:t>负责起草规范草案，数据采集，征求意见稿和规范编制说明，送审稿及编制说明的编写工作</w:t>
            </w:r>
          </w:p>
        </w:tc>
      </w:tr>
      <w:tr w14:paraId="6F6BB58F">
        <w:tblPrEx>
          <w:tblCellMar>
            <w:top w:w="0" w:type="dxa"/>
            <w:left w:w="108" w:type="dxa"/>
            <w:bottom w:w="0" w:type="dxa"/>
            <w:right w:w="108" w:type="dxa"/>
          </w:tblCellMar>
        </w:tblPrEx>
        <w:trPr>
          <w:cantSplit/>
          <w:trHeight w:val="881" w:hRule="atLeast"/>
          <w:jc w:val="center"/>
        </w:trPr>
        <w:tc>
          <w:tcPr>
            <w:tcW w:w="320" w:type="pct"/>
            <w:tcBorders>
              <w:top w:val="single" w:color="auto" w:sz="4" w:space="0"/>
              <w:left w:val="single" w:color="auto" w:sz="4" w:space="0"/>
              <w:bottom w:val="single" w:color="auto" w:sz="4" w:space="0"/>
              <w:right w:val="single" w:color="auto" w:sz="4" w:space="0"/>
            </w:tcBorders>
            <w:noWrap w:val="0"/>
            <w:vAlign w:val="center"/>
          </w:tcPr>
          <w:p w14:paraId="7198604E">
            <w:pPr>
              <w:numPr>
                <w:ilvl w:val="0"/>
                <w:numId w:val="10"/>
              </w:numPr>
              <w:ind w:left="425" w:leftChars="0" w:hanging="425" w:firstLineChars="0"/>
              <w:jc w:val="both"/>
              <w:rPr>
                <w:rFonts w:hint="default"/>
              </w:rPr>
            </w:pPr>
          </w:p>
        </w:tc>
        <w:tc>
          <w:tcPr>
            <w:tcW w:w="518" w:type="pct"/>
            <w:tcBorders>
              <w:top w:val="single" w:color="auto" w:sz="4" w:space="0"/>
              <w:left w:val="single" w:color="auto" w:sz="4" w:space="0"/>
              <w:bottom w:val="single" w:color="auto" w:sz="4" w:space="0"/>
              <w:right w:val="single" w:color="auto" w:sz="4" w:space="0"/>
            </w:tcBorders>
            <w:noWrap w:val="0"/>
            <w:vAlign w:val="center"/>
          </w:tcPr>
          <w:p w14:paraId="219FC818">
            <w:pPr>
              <w:jc w:val="both"/>
              <w:rPr>
                <w:rFonts w:hint="eastAsia"/>
              </w:rPr>
            </w:pPr>
            <w:r>
              <w:rPr>
                <w:rFonts w:hint="eastAsia"/>
              </w:rPr>
              <w:t>韦冰梅</w:t>
            </w:r>
          </w:p>
        </w:tc>
        <w:tc>
          <w:tcPr>
            <w:tcW w:w="849" w:type="pct"/>
            <w:tcBorders>
              <w:top w:val="single" w:color="auto" w:sz="4" w:space="0"/>
              <w:left w:val="single" w:color="auto" w:sz="4" w:space="0"/>
              <w:bottom w:val="single" w:color="auto" w:sz="4" w:space="0"/>
              <w:right w:val="single" w:color="auto" w:sz="4" w:space="0"/>
            </w:tcBorders>
            <w:noWrap w:val="0"/>
            <w:vAlign w:val="center"/>
          </w:tcPr>
          <w:p w14:paraId="581D087C">
            <w:pPr>
              <w:jc w:val="both"/>
              <w:rPr>
                <w:rFonts w:hint="eastAsia"/>
              </w:rPr>
            </w:pPr>
            <w:r>
              <w:rPr>
                <w:rFonts w:hint="eastAsia"/>
              </w:rPr>
              <w:t>广西医科大学第二附属医院</w:t>
            </w:r>
          </w:p>
        </w:tc>
        <w:tc>
          <w:tcPr>
            <w:tcW w:w="896" w:type="pct"/>
            <w:tcBorders>
              <w:top w:val="single" w:color="auto" w:sz="4" w:space="0"/>
              <w:left w:val="single" w:color="auto" w:sz="4" w:space="0"/>
              <w:bottom w:val="single" w:color="auto" w:sz="4" w:space="0"/>
              <w:right w:val="single" w:color="auto" w:sz="4" w:space="0"/>
            </w:tcBorders>
            <w:noWrap w:val="0"/>
            <w:vAlign w:val="center"/>
          </w:tcPr>
          <w:p w14:paraId="4EE5DB62">
            <w:pPr>
              <w:jc w:val="both"/>
              <w:rPr>
                <w:rFonts w:hint="eastAsia"/>
              </w:rPr>
            </w:pPr>
            <w:r>
              <w:rPr>
                <w:rFonts w:hint="eastAsia"/>
              </w:rPr>
              <w:t>副主任医师</w:t>
            </w:r>
          </w:p>
        </w:tc>
        <w:tc>
          <w:tcPr>
            <w:tcW w:w="932" w:type="pct"/>
            <w:tcBorders>
              <w:top w:val="single" w:color="auto" w:sz="4" w:space="0"/>
              <w:left w:val="single" w:color="auto" w:sz="4" w:space="0"/>
              <w:bottom w:val="single" w:color="auto" w:sz="4" w:space="0"/>
              <w:right w:val="single" w:color="auto" w:sz="4" w:space="0"/>
            </w:tcBorders>
            <w:noWrap w:val="0"/>
            <w:vAlign w:val="center"/>
          </w:tcPr>
          <w:p w14:paraId="6C0E49B3">
            <w:pPr>
              <w:jc w:val="both"/>
              <w:rPr>
                <w:rFonts w:hint="eastAsia"/>
              </w:rPr>
            </w:pPr>
            <w:r>
              <w:rPr>
                <w:rFonts w:hint="eastAsia"/>
              </w:rPr>
              <w:t>新生儿科</w:t>
            </w:r>
          </w:p>
        </w:tc>
        <w:tc>
          <w:tcPr>
            <w:tcW w:w="1481" w:type="pct"/>
            <w:tcBorders>
              <w:top w:val="single" w:color="auto" w:sz="4" w:space="0"/>
              <w:left w:val="single" w:color="auto" w:sz="4" w:space="0"/>
              <w:bottom w:val="single" w:color="auto" w:sz="4" w:space="0"/>
              <w:right w:val="single" w:color="auto" w:sz="4" w:space="0"/>
            </w:tcBorders>
            <w:noWrap w:val="0"/>
            <w:vAlign w:val="center"/>
          </w:tcPr>
          <w:p w14:paraId="2537171C">
            <w:pPr>
              <w:jc w:val="both"/>
              <w:rPr>
                <w:rFonts w:hint="eastAsia"/>
              </w:rPr>
            </w:pPr>
            <w:r>
              <w:rPr>
                <w:rFonts w:hint="eastAsia"/>
              </w:rPr>
              <w:t>协助起草规范草案，征求意见稿和规范编制说明，送审稿及编制说明的编写工作</w:t>
            </w:r>
          </w:p>
        </w:tc>
      </w:tr>
      <w:tr w14:paraId="44F5C5E0">
        <w:tblPrEx>
          <w:tblCellMar>
            <w:top w:w="0" w:type="dxa"/>
            <w:left w:w="108" w:type="dxa"/>
            <w:bottom w:w="0" w:type="dxa"/>
            <w:right w:w="108" w:type="dxa"/>
          </w:tblCellMar>
        </w:tblPrEx>
        <w:trPr>
          <w:cantSplit/>
          <w:trHeight w:val="881" w:hRule="atLeast"/>
          <w:jc w:val="center"/>
        </w:trPr>
        <w:tc>
          <w:tcPr>
            <w:tcW w:w="320" w:type="pct"/>
            <w:tcBorders>
              <w:top w:val="single" w:color="auto" w:sz="4" w:space="0"/>
              <w:left w:val="single" w:color="auto" w:sz="4" w:space="0"/>
              <w:bottom w:val="single" w:color="auto" w:sz="4" w:space="0"/>
              <w:right w:val="single" w:color="auto" w:sz="4" w:space="0"/>
            </w:tcBorders>
            <w:noWrap w:val="0"/>
            <w:vAlign w:val="center"/>
          </w:tcPr>
          <w:p w14:paraId="7A7EEB07">
            <w:pPr>
              <w:numPr>
                <w:ilvl w:val="0"/>
                <w:numId w:val="10"/>
              </w:numPr>
              <w:ind w:left="425" w:leftChars="0" w:hanging="425" w:firstLineChars="0"/>
              <w:jc w:val="both"/>
              <w:rPr>
                <w:rFonts w:hint="default"/>
              </w:rPr>
            </w:pPr>
          </w:p>
        </w:tc>
        <w:tc>
          <w:tcPr>
            <w:tcW w:w="518" w:type="pct"/>
            <w:tcBorders>
              <w:top w:val="single" w:color="auto" w:sz="4" w:space="0"/>
              <w:left w:val="single" w:color="auto" w:sz="4" w:space="0"/>
              <w:bottom w:val="single" w:color="auto" w:sz="4" w:space="0"/>
              <w:right w:val="single" w:color="auto" w:sz="4" w:space="0"/>
            </w:tcBorders>
            <w:noWrap w:val="0"/>
            <w:vAlign w:val="center"/>
          </w:tcPr>
          <w:p w14:paraId="0EAE6395">
            <w:pPr>
              <w:jc w:val="both"/>
              <w:rPr>
                <w:rFonts w:hint="eastAsia"/>
              </w:rPr>
            </w:pPr>
            <w:r>
              <w:rPr>
                <w:rFonts w:hint="eastAsia"/>
              </w:rPr>
              <w:t>陈  湘</w:t>
            </w:r>
          </w:p>
        </w:tc>
        <w:tc>
          <w:tcPr>
            <w:tcW w:w="849" w:type="pct"/>
            <w:tcBorders>
              <w:top w:val="single" w:color="auto" w:sz="4" w:space="0"/>
              <w:left w:val="single" w:color="auto" w:sz="4" w:space="0"/>
              <w:bottom w:val="single" w:color="auto" w:sz="4" w:space="0"/>
              <w:right w:val="single" w:color="auto" w:sz="4" w:space="0"/>
            </w:tcBorders>
            <w:noWrap w:val="0"/>
            <w:vAlign w:val="center"/>
          </w:tcPr>
          <w:p w14:paraId="20C7B21D">
            <w:pPr>
              <w:jc w:val="both"/>
              <w:rPr>
                <w:rFonts w:hint="eastAsia"/>
              </w:rPr>
            </w:pPr>
            <w:r>
              <w:rPr>
                <w:rFonts w:hint="eastAsia"/>
              </w:rPr>
              <w:t>广西医科大学第二附属医院</w:t>
            </w:r>
          </w:p>
        </w:tc>
        <w:tc>
          <w:tcPr>
            <w:tcW w:w="896" w:type="pct"/>
            <w:tcBorders>
              <w:top w:val="single" w:color="auto" w:sz="4" w:space="0"/>
              <w:left w:val="single" w:color="auto" w:sz="4" w:space="0"/>
              <w:bottom w:val="single" w:color="auto" w:sz="4" w:space="0"/>
              <w:right w:val="single" w:color="auto" w:sz="4" w:space="0"/>
            </w:tcBorders>
            <w:noWrap w:val="0"/>
            <w:vAlign w:val="center"/>
          </w:tcPr>
          <w:p w14:paraId="54904775">
            <w:pPr>
              <w:jc w:val="both"/>
              <w:rPr>
                <w:rFonts w:hint="eastAsia"/>
              </w:rPr>
            </w:pPr>
            <w:r>
              <w:rPr>
                <w:rFonts w:hint="eastAsia"/>
              </w:rPr>
              <w:t>护理部副主任/主任护师</w:t>
            </w:r>
          </w:p>
        </w:tc>
        <w:tc>
          <w:tcPr>
            <w:tcW w:w="932" w:type="pct"/>
            <w:tcBorders>
              <w:top w:val="single" w:color="auto" w:sz="4" w:space="0"/>
              <w:left w:val="single" w:color="auto" w:sz="4" w:space="0"/>
              <w:bottom w:val="single" w:color="auto" w:sz="4" w:space="0"/>
              <w:right w:val="single" w:color="auto" w:sz="4" w:space="0"/>
            </w:tcBorders>
            <w:noWrap w:val="0"/>
            <w:vAlign w:val="center"/>
          </w:tcPr>
          <w:p w14:paraId="0CEF8928">
            <w:pPr>
              <w:jc w:val="both"/>
              <w:rPr>
                <w:rFonts w:hint="eastAsia"/>
              </w:rPr>
            </w:pPr>
            <w:r>
              <w:rPr>
                <w:rFonts w:hint="eastAsia"/>
                <w:lang w:eastAsia="zh-CN"/>
              </w:rPr>
              <w:t>护理</w:t>
            </w:r>
          </w:p>
        </w:tc>
        <w:tc>
          <w:tcPr>
            <w:tcW w:w="1481" w:type="pct"/>
            <w:tcBorders>
              <w:top w:val="single" w:color="auto" w:sz="4" w:space="0"/>
              <w:left w:val="single" w:color="auto" w:sz="4" w:space="0"/>
              <w:bottom w:val="single" w:color="auto" w:sz="4" w:space="0"/>
              <w:right w:val="single" w:color="auto" w:sz="4" w:space="0"/>
            </w:tcBorders>
            <w:noWrap w:val="0"/>
            <w:vAlign w:val="center"/>
          </w:tcPr>
          <w:p w14:paraId="67B31293">
            <w:pPr>
              <w:jc w:val="both"/>
              <w:rPr>
                <w:rFonts w:hint="eastAsia"/>
              </w:rPr>
            </w:pPr>
            <w:r>
              <w:rPr>
                <w:rFonts w:hint="eastAsia"/>
              </w:rPr>
              <w:t>协助起草规范草案，征求意见稿和规范编制说明，送审稿及编制说明的编写工作</w:t>
            </w:r>
          </w:p>
        </w:tc>
      </w:tr>
      <w:tr w14:paraId="2821BA5A">
        <w:tblPrEx>
          <w:tblCellMar>
            <w:top w:w="0" w:type="dxa"/>
            <w:left w:w="108" w:type="dxa"/>
            <w:bottom w:w="0" w:type="dxa"/>
            <w:right w:w="108" w:type="dxa"/>
          </w:tblCellMar>
        </w:tblPrEx>
        <w:trPr>
          <w:cantSplit/>
          <w:trHeight w:val="881" w:hRule="atLeast"/>
          <w:jc w:val="center"/>
        </w:trPr>
        <w:tc>
          <w:tcPr>
            <w:tcW w:w="320" w:type="pct"/>
            <w:tcBorders>
              <w:top w:val="single" w:color="auto" w:sz="4" w:space="0"/>
              <w:left w:val="single" w:color="auto" w:sz="4" w:space="0"/>
              <w:bottom w:val="single" w:color="auto" w:sz="4" w:space="0"/>
              <w:right w:val="single" w:color="auto" w:sz="4" w:space="0"/>
            </w:tcBorders>
            <w:noWrap w:val="0"/>
            <w:vAlign w:val="center"/>
          </w:tcPr>
          <w:p w14:paraId="7B00972D">
            <w:pPr>
              <w:numPr>
                <w:ilvl w:val="0"/>
                <w:numId w:val="10"/>
              </w:numPr>
              <w:ind w:left="425" w:leftChars="0" w:hanging="425" w:firstLineChars="0"/>
              <w:jc w:val="both"/>
              <w:rPr>
                <w:rFonts w:hint="default"/>
              </w:rPr>
            </w:pPr>
          </w:p>
        </w:tc>
        <w:tc>
          <w:tcPr>
            <w:tcW w:w="518" w:type="pct"/>
            <w:tcBorders>
              <w:top w:val="single" w:color="auto" w:sz="4" w:space="0"/>
              <w:left w:val="single" w:color="auto" w:sz="4" w:space="0"/>
              <w:bottom w:val="single" w:color="auto" w:sz="4" w:space="0"/>
              <w:right w:val="single" w:color="auto" w:sz="4" w:space="0"/>
            </w:tcBorders>
            <w:noWrap w:val="0"/>
            <w:vAlign w:val="center"/>
          </w:tcPr>
          <w:p w14:paraId="315F7C72">
            <w:pPr>
              <w:jc w:val="both"/>
              <w:rPr>
                <w:rFonts w:hint="eastAsia"/>
              </w:rPr>
            </w:pPr>
            <w:r>
              <w:rPr>
                <w:rFonts w:hint="eastAsia"/>
              </w:rPr>
              <w:t>黄亚芬</w:t>
            </w:r>
          </w:p>
        </w:tc>
        <w:tc>
          <w:tcPr>
            <w:tcW w:w="849" w:type="pct"/>
            <w:tcBorders>
              <w:top w:val="single" w:color="auto" w:sz="4" w:space="0"/>
              <w:left w:val="single" w:color="auto" w:sz="4" w:space="0"/>
              <w:bottom w:val="single" w:color="auto" w:sz="4" w:space="0"/>
              <w:right w:val="single" w:color="auto" w:sz="4" w:space="0"/>
            </w:tcBorders>
            <w:noWrap w:val="0"/>
            <w:vAlign w:val="center"/>
          </w:tcPr>
          <w:p w14:paraId="33FDD6ED">
            <w:pPr>
              <w:jc w:val="both"/>
              <w:rPr>
                <w:rFonts w:hint="eastAsia"/>
              </w:rPr>
            </w:pPr>
            <w:r>
              <w:rPr>
                <w:rFonts w:hint="eastAsia"/>
              </w:rPr>
              <w:t>广西医科大学第二附属医院</w:t>
            </w:r>
          </w:p>
        </w:tc>
        <w:tc>
          <w:tcPr>
            <w:tcW w:w="896" w:type="pct"/>
            <w:tcBorders>
              <w:top w:val="single" w:color="auto" w:sz="4" w:space="0"/>
              <w:left w:val="single" w:color="auto" w:sz="4" w:space="0"/>
              <w:bottom w:val="single" w:color="auto" w:sz="4" w:space="0"/>
              <w:right w:val="single" w:color="auto" w:sz="4" w:space="0"/>
            </w:tcBorders>
            <w:noWrap w:val="0"/>
            <w:vAlign w:val="center"/>
          </w:tcPr>
          <w:p w14:paraId="0D9A6590">
            <w:pPr>
              <w:jc w:val="both"/>
              <w:rPr>
                <w:rFonts w:hint="eastAsia"/>
              </w:rPr>
            </w:pPr>
            <w:r>
              <w:rPr>
                <w:rFonts w:hint="eastAsia"/>
              </w:rPr>
              <w:t>护理部副主任/主任护师</w:t>
            </w:r>
          </w:p>
        </w:tc>
        <w:tc>
          <w:tcPr>
            <w:tcW w:w="932" w:type="pct"/>
            <w:tcBorders>
              <w:top w:val="single" w:color="auto" w:sz="4" w:space="0"/>
              <w:left w:val="single" w:color="auto" w:sz="4" w:space="0"/>
              <w:bottom w:val="single" w:color="auto" w:sz="4" w:space="0"/>
              <w:right w:val="single" w:color="auto" w:sz="4" w:space="0"/>
            </w:tcBorders>
            <w:noWrap w:val="0"/>
            <w:vAlign w:val="center"/>
          </w:tcPr>
          <w:p w14:paraId="48EC64A2">
            <w:pPr>
              <w:jc w:val="both"/>
              <w:rPr>
                <w:rFonts w:hint="eastAsia"/>
              </w:rPr>
            </w:pPr>
            <w:r>
              <w:rPr>
                <w:rFonts w:hint="eastAsia"/>
                <w:lang w:eastAsia="zh-CN"/>
              </w:rPr>
              <w:t>护理</w:t>
            </w:r>
          </w:p>
        </w:tc>
        <w:tc>
          <w:tcPr>
            <w:tcW w:w="1481" w:type="pct"/>
            <w:tcBorders>
              <w:top w:val="single" w:color="auto" w:sz="4" w:space="0"/>
              <w:left w:val="single" w:color="auto" w:sz="4" w:space="0"/>
              <w:bottom w:val="single" w:color="auto" w:sz="4" w:space="0"/>
              <w:right w:val="single" w:color="auto" w:sz="4" w:space="0"/>
            </w:tcBorders>
            <w:noWrap w:val="0"/>
            <w:vAlign w:val="center"/>
          </w:tcPr>
          <w:p w14:paraId="69427B59">
            <w:pPr>
              <w:jc w:val="both"/>
              <w:rPr>
                <w:rFonts w:hint="eastAsia"/>
              </w:rPr>
            </w:pPr>
            <w:r>
              <w:rPr>
                <w:rFonts w:hint="eastAsia"/>
              </w:rPr>
              <w:t>协助起草规范草案，征求意见稿和规范编制说明，送审稿及编制说明的编写工作</w:t>
            </w:r>
          </w:p>
        </w:tc>
      </w:tr>
      <w:tr w14:paraId="3650252B">
        <w:tblPrEx>
          <w:tblCellMar>
            <w:top w:w="0" w:type="dxa"/>
            <w:left w:w="108" w:type="dxa"/>
            <w:bottom w:w="0" w:type="dxa"/>
            <w:right w:w="108" w:type="dxa"/>
          </w:tblCellMar>
        </w:tblPrEx>
        <w:trPr>
          <w:cantSplit/>
          <w:trHeight w:val="881" w:hRule="atLeast"/>
          <w:jc w:val="center"/>
        </w:trPr>
        <w:tc>
          <w:tcPr>
            <w:tcW w:w="320" w:type="pct"/>
            <w:tcBorders>
              <w:top w:val="single" w:color="auto" w:sz="4" w:space="0"/>
              <w:left w:val="single" w:color="auto" w:sz="4" w:space="0"/>
              <w:bottom w:val="single" w:color="auto" w:sz="4" w:space="0"/>
              <w:right w:val="single" w:color="auto" w:sz="4" w:space="0"/>
            </w:tcBorders>
            <w:noWrap w:val="0"/>
            <w:vAlign w:val="center"/>
          </w:tcPr>
          <w:p w14:paraId="07A7A4D5">
            <w:pPr>
              <w:numPr>
                <w:ilvl w:val="0"/>
                <w:numId w:val="10"/>
              </w:numPr>
              <w:ind w:left="425" w:leftChars="0" w:hanging="425" w:firstLineChars="0"/>
              <w:jc w:val="both"/>
              <w:rPr>
                <w:rFonts w:hint="default"/>
              </w:rPr>
            </w:pPr>
          </w:p>
        </w:tc>
        <w:tc>
          <w:tcPr>
            <w:tcW w:w="518" w:type="pct"/>
            <w:tcBorders>
              <w:top w:val="single" w:color="auto" w:sz="4" w:space="0"/>
              <w:left w:val="single" w:color="auto" w:sz="4" w:space="0"/>
              <w:bottom w:val="single" w:color="auto" w:sz="4" w:space="0"/>
              <w:right w:val="single" w:color="auto" w:sz="4" w:space="0"/>
            </w:tcBorders>
            <w:noWrap w:val="0"/>
            <w:vAlign w:val="center"/>
          </w:tcPr>
          <w:p w14:paraId="5B34CA14">
            <w:pPr>
              <w:jc w:val="both"/>
              <w:rPr>
                <w:rFonts w:hint="eastAsia"/>
              </w:rPr>
            </w:pPr>
            <w:r>
              <w:rPr>
                <w:rFonts w:hint="eastAsia"/>
              </w:rPr>
              <w:t>韦月秀</w:t>
            </w:r>
          </w:p>
        </w:tc>
        <w:tc>
          <w:tcPr>
            <w:tcW w:w="849" w:type="pct"/>
            <w:tcBorders>
              <w:top w:val="single" w:color="auto" w:sz="4" w:space="0"/>
              <w:left w:val="single" w:color="auto" w:sz="4" w:space="0"/>
              <w:bottom w:val="single" w:color="auto" w:sz="4" w:space="0"/>
              <w:right w:val="single" w:color="auto" w:sz="4" w:space="0"/>
            </w:tcBorders>
            <w:noWrap w:val="0"/>
            <w:vAlign w:val="center"/>
          </w:tcPr>
          <w:p w14:paraId="4CE670BD">
            <w:pPr>
              <w:jc w:val="both"/>
              <w:rPr>
                <w:rFonts w:hint="eastAsia"/>
              </w:rPr>
            </w:pPr>
            <w:r>
              <w:rPr>
                <w:rFonts w:hint="eastAsia"/>
              </w:rPr>
              <w:t>广西医科大学第二附属医院</w:t>
            </w:r>
          </w:p>
        </w:tc>
        <w:tc>
          <w:tcPr>
            <w:tcW w:w="896" w:type="pct"/>
            <w:tcBorders>
              <w:top w:val="single" w:color="auto" w:sz="4" w:space="0"/>
              <w:left w:val="single" w:color="auto" w:sz="4" w:space="0"/>
              <w:bottom w:val="single" w:color="auto" w:sz="4" w:space="0"/>
              <w:right w:val="single" w:color="auto" w:sz="4" w:space="0"/>
            </w:tcBorders>
            <w:noWrap w:val="0"/>
            <w:vAlign w:val="center"/>
          </w:tcPr>
          <w:p w14:paraId="02FE7A94">
            <w:pPr>
              <w:jc w:val="both"/>
              <w:rPr>
                <w:rFonts w:hint="eastAsia"/>
              </w:rPr>
            </w:pPr>
            <w:r>
              <w:rPr>
                <w:rFonts w:hint="eastAsia"/>
              </w:rPr>
              <w:t>主管护师</w:t>
            </w:r>
          </w:p>
        </w:tc>
        <w:tc>
          <w:tcPr>
            <w:tcW w:w="932" w:type="pct"/>
            <w:tcBorders>
              <w:top w:val="single" w:color="auto" w:sz="4" w:space="0"/>
              <w:left w:val="single" w:color="auto" w:sz="4" w:space="0"/>
              <w:bottom w:val="single" w:color="auto" w:sz="4" w:space="0"/>
              <w:right w:val="single" w:color="auto" w:sz="4" w:space="0"/>
            </w:tcBorders>
            <w:noWrap w:val="0"/>
            <w:vAlign w:val="center"/>
          </w:tcPr>
          <w:p w14:paraId="5D9AB038">
            <w:pPr>
              <w:jc w:val="both"/>
              <w:rPr>
                <w:rFonts w:hint="eastAsia"/>
              </w:rPr>
            </w:pPr>
            <w:r>
              <w:rPr>
                <w:rFonts w:hint="eastAsia"/>
                <w:lang w:eastAsia="zh-CN"/>
              </w:rPr>
              <w:t>护理</w:t>
            </w:r>
          </w:p>
        </w:tc>
        <w:tc>
          <w:tcPr>
            <w:tcW w:w="1481" w:type="pct"/>
            <w:tcBorders>
              <w:top w:val="single" w:color="auto" w:sz="4" w:space="0"/>
              <w:left w:val="single" w:color="auto" w:sz="4" w:space="0"/>
              <w:bottom w:val="single" w:color="auto" w:sz="4" w:space="0"/>
              <w:right w:val="single" w:color="auto" w:sz="4" w:space="0"/>
            </w:tcBorders>
            <w:noWrap w:val="0"/>
            <w:vAlign w:val="center"/>
          </w:tcPr>
          <w:p w14:paraId="741F752B">
            <w:pPr>
              <w:jc w:val="both"/>
              <w:rPr>
                <w:rFonts w:hint="eastAsia"/>
              </w:rPr>
            </w:pPr>
            <w:r>
              <w:rPr>
                <w:rFonts w:hint="eastAsia"/>
              </w:rPr>
              <w:t>协助起草规范草案，征求意见稿和规范编制说明，送审稿及编制说明的编写工作</w:t>
            </w:r>
          </w:p>
        </w:tc>
      </w:tr>
      <w:tr w14:paraId="445EBB23">
        <w:tblPrEx>
          <w:tblCellMar>
            <w:top w:w="0" w:type="dxa"/>
            <w:left w:w="108" w:type="dxa"/>
            <w:bottom w:w="0" w:type="dxa"/>
            <w:right w:w="108" w:type="dxa"/>
          </w:tblCellMar>
        </w:tblPrEx>
        <w:trPr>
          <w:cantSplit/>
          <w:trHeight w:val="881" w:hRule="atLeast"/>
          <w:jc w:val="center"/>
        </w:trPr>
        <w:tc>
          <w:tcPr>
            <w:tcW w:w="320" w:type="pct"/>
            <w:tcBorders>
              <w:top w:val="single" w:color="auto" w:sz="4" w:space="0"/>
              <w:left w:val="single" w:color="auto" w:sz="4" w:space="0"/>
              <w:bottom w:val="single" w:color="auto" w:sz="4" w:space="0"/>
              <w:right w:val="single" w:color="auto" w:sz="4" w:space="0"/>
            </w:tcBorders>
            <w:noWrap w:val="0"/>
            <w:vAlign w:val="center"/>
          </w:tcPr>
          <w:p w14:paraId="68B892BC">
            <w:pPr>
              <w:numPr>
                <w:ilvl w:val="0"/>
                <w:numId w:val="10"/>
              </w:numPr>
              <w:ind w:left="425" w:leftChars="0" w:hanging="425" w:firstLineChars="0"/>
              <w:jc w:val="both"/>
              <w:rPr>
                <w:rFonts w:hint="default"/>
              </w:rPr>
            </w:pPr>
          </w:p>
        </w:tc>
        <w:tc>
          <w:tcPr>
            <w:tcW w:w="518" w:type="pct"/>
            <w:tcBorders>
              <w:top w:val="single" w:color="auto" w:sz="4" w:space="0"/>
              <w:left w:val="single" w:color="auto" w:sz="4" w:space="0"/>
              <w:bottom w:val="single" w:color="auto" w:sz="4" w:space="0"/>
              <w:right w:val="single" w:color="auto" w:sz="4" w:space="0"/>
            </w:tcBorders>
            <w:noWrap w:val="0"/>
            <w:vAlign w:val="center"/>
          </w:tcPr>
          <w:p w14:paraId="5CEC54A8">
            <w:pPr>
              <w:jc w:val="both"/>
              <w:rPr>
                <w:rFonts w:hint="eastAsia"/>
              </w:rPr>
            </w:pPr>
            <w:r>
              <w:rPr>
                <w:rFonts w:hint="eastAsia"/>
              </w:rPr>
              <w:t>胡君红</w:t>
            </w:r>
          </w:p>
        </w:tc>
        <w:tc>
          <w:tcPr>
            <w:tcW w:w="849" w:type="pct"/>
            <w:tcBorders>
              <w:top w:val="single" w:color="auto" w:sz="4" w:space="0"/>
              <w:left w:val="single" w:color="auto" w:sz="4" w:space="0"/>
              <w:bottom w:val="single" w:color="auto" w:sz="4" w:space="0"/>
              <w:right w:val="single" w:color="auto" w:sz="4" w:space="0"/>
            </w:tcBorders>
            <w:noWrap w:val="0"/>
            <w:vAlign w:val="center"/>
          </w:tcPr>
          <w:p w14:paraId="2B31EAC0">
            <w:pPr>
              <w:jc w:val="both"/>
              <w:rPr>
                <w:rFonts w:hint="eastAsia"/>
              </w:rPr>
            </w:pPr>
            <w:r>
              <w:rPr>
                <w:rFonts w:hint="eastAsia"/>
              </w:rPr>
              <w:t>广西医科大学第二附属医院</w:t>
            </w:r>
          </w:p>
        </w:tc>
        <w:tc>
          <w:tcPr>
            <w:tcW w:w="896" w:type="pct"/>
            <w:tcBorders>
              <w:top w:val="single" w:color="auto" w:sz="4" w:space="0"/>
              <w:left w:val="single" w:color="auto" w:sz="4" w:space="0"/>
              <w:bottom w:val="single" w:color="auto" w:sz="4" w:space="0"/>
              <w:right w:val="single" w:color="auto" w:sz="4" w:space="0"/>
            </w:tcBorders>
            <w:noWrap w:val="0"/>
            <w:vAlign w:val="center"/>
          </w:tcPr>
          <w:p w14:paraId="74AFDC49">
            <w:pPr>
              <w:jc w:val="both"/>
              <w:rPr>
                <w:rFonts w:hint="eastAsia"/>
              </w:rPr>
            </w:pPr>
            <w:r>
              <w:rPr>
                <w:rFonts w:hint="eastAsia"/>
              </w:rPr>
              <w:t>护士长/副主任护师</w:t>
            </w:r>
          </w:p>
        </w:tc>
        <w:tc>
          <w:tcPr>
            <w:tcW w:w="932" w:type="pct"/>
            <w:tcBorders>
              <w:top w:val="single" w:color="auto" w:sz="4" w:space="0"/>
              <w:left w:val="single" w:color="auto" w:sz="4" w:space="0"/>
              <w:bottom w:val="single" w:color="auto" w:sz="4" w:space="0"/>
              <w:right w:val="single" w:color="auto" w:sz="4" w:space="0"/>
            </w:tcBorders>
            <w:noWrap w:val="0"/>
            <w:vAlign w:val="center"/>
          </w:tcPr>
          <w:p w14:paraId="6B13E831">
            <w:pPr>
              <w:jc w:val="both"/>
              <w:rPr>
                <w:rFonts w:hint="eastAsia"/>
              </w:rPr>
            </w:pPr>
            <w:r>
              <w:rPr>
                <w:rFonts w:hint="eastAsia"/>
                <w:lang w:eastAsia="zh-CN"/>
              </w:rPr>
              <w:t>护理</w:t>
            </w:r>
          </w:p>
        </w:tc>
        <w:tc>
          <w:tcPr>
            <w:tcW w:w="1481" w:type="pct"/>
            <w:tcBorders>
              <w:top w:val="single" w:color="auto" w:sz="4" w:space="0"/>
              <w:left w:val="single" w:color="auto" w:sz="4" w:space="0"/>
              <w:bottom w:val="single" w:color="auto" w:sz="4" w:space="0"/>
              <w:right w:val="single" w:color="auto" w:sz="4" w:space="0"/>
            </w:tcBorders>
            <w:noWrap w:val="0"/>
            <w:vAlign w:val="center"/>
          </w:tcPr>
          <w:p w14:paraId="3F3494A6">
            <w:pPr>
              <w:jc w:val="both"/>
              <w:rPr>
                <w:rFonts w:hint="eastAsia"/>
              </w:rPr>
            </w:pPr>
            <w:r>
              <w:rPr>
                <w:rFonts w:hint="eastAsia"/>
              </w:rPr>
              <w:t>协助起草规范草案，征求意见稿和规范编制说明，送审稿及编制说明的编写工作</w:t>
            </w:r>
          </w:p>
        </w:tc>
      </w:tr>
      <w:tr w14:paraId="4BEF63FF">
        <w:tblPrEx>
          <w:tblCellMar>
            <w:top w:w="0" w:type="dxa"/>
            <w:left w:w="108" w:type="dxa"/>
            <w:bottom w:w="0" w:type="dxa"/>
            <w:right w:w="108" w:type="dxa"/>
          </w:tblCellMar>
        </w:tblPrEx>
        <w:trPr>
          <w:cantSplit/>
          <w:trHeight w:val="881" w:hRule="atLeast"/>
          <w:jc w:val="center"/>
        </w:trPr>
        <w:tc>
          <w:tcPr>
            <w:tcW w:w="320" w:type="pct"/>
            <w:tcBorders>
              <w:top w:val="single" w:color="auto" w:sz="4" w:space="0"/>
              <w:left w:val="single" w:color="auto" w:sz="4" w:space="0"/>
              <w:bottom w:val="single" w:color="auto" w:sz="4" w:space="0"/>
              <w:right w:val="single" w:color="auto" w:sz="4" w:space="0"/>
            </w:tcBorders>
            <w:noWrap w:val="0"/>
            <w:vAlign w:val="center"/>
          </w:tcPr>
          <w:p w14:paraId="221BFCD0">
            <w:pPr>
              <w:numPr>
                <w:ilvl w:val="0"/>
                <w:numId w:val="10"/>
              </w:numPr>
              <w:ind w:left="425" w:leftChars="0" w:hanging="425" w:firstLineChars="0"/>
              <w:jc w:val="both"/>
              <w:rPr>
                <w:rFonts w:hint="default"/>
              </w:rPr>
            </w:pPr>
          </w:p>
        </w:tc>
        <w:tc>
          <w:tcPr>
            <w:tcW w:w="518" w:type="pct"/>
            <w:tcBorders>
              <w:top w:val="single" w:color="auto" w:sz="4" w:space="0"/>
              <w:left w:val="single" w:color="auto" w:sz="4" w:space="0"/>
              <w:bottom w:val="single" w:color="auto" w:sz="4" w:space="0"/>
              <w:right w:val="single" w:color="auto" w:sz="4" w:space="0"/>
            </w:tcBorders>
            <w:noWrap w:val="0"/>
            <w:vAlign w:val="center"/>
          </w:tcPr>
          <w:p w14:paraId="4455C162">
            <w:pPr>
              <w:jc w:val="both"/>
              <w:rPr>
                <w:rFonts w:hint="eastAsia"/>
              </w:rPr>
            </w:pPr>
            <w:r>
              <w:rPr>
                <w:rFonts w:hint="eastAsia"/>
              </w:rPr>
              <w:t>赵小莲</w:t>
            </w:r>
          </w:p>
        </w:tc>
        <w:tc>
          <w:tcPr>
            <w:tcW w:w="849" w:type="pct"/>
            <w:tcBorders>
              <w:top w:val="single" w:color="auto" w:sz="4" w:space="0"/>
              <w:left w:val="single" w:color="auto" w:sz="4" w:space="0"/>
              <w:bottom w:val="single" w:color="auto" w:sz="4" w:space="0"/>
              <w:right w:val="single" w:color="auto" w:sz="4" w:space="0"/>
            </w:tcBorders>
            <w:noWrap w:val="0"/>
            <w:vAlign w:val="center"/>
          </w:tcPr>
          <w:p w14:paraId="5184D4C5">
            <w:pPr>
              <w:jc w:val="both"/>
              <w:rPr>
                <w:rFonts w:hint="eastAsia"/>
              </w:rPr>
            </w:pPr>
            <w:r>
              <w:rPr>
                <w:rFonts w:hint="eastAsia"/>
              </w:rPr>
              <w:t>广西医科大学第二附属医院</w:t>
            </w:r>
          </w:p>
        </w:tc>
        <w:tc>
          <w:tcPr>
            <w:tcW w:w="896" w:type="pct"/>
            <w:tcBorders>
              <w:top w:val="single" w:color="auto" w:sz="4" w:space="0"/>
              <w:left w:val="single" w:color="auto" w:sz="4" w:space="0"/>
              <w:bottom w:val="single" w:color="auto" w:sz="4" w:space="0"/>
              <w:right w:val="single" w:color="auto" w:sz="4" w:space="0"/>
            </w:tcBorders>
            <w:noWrap w:val="0"/>
            <w:vAlign w:val="center"/>
          </w:tcPr>
          <w:p w14:paraId="3C734AB0">
            <w:pPr>
              <w:jc w:val="both"/>
              <w:rPr>
                <w:rFonts w:hint="eastAsia"/>
              </w:rPr>
            </w:pPr>
            <w:r>
              <w:rPr>
                <w:rFonts w:hint="eastAsia"/>
                <w:lang w:val="en-US" w:eastAsia="zh-CN"/>
              </w:rPr>
              <w:t>主管</w:t>
            </w:r>
            <w:r>
              <w:rPr>
                <w:rFonts w:hint="eastAsia"/>
              </w:rPr>
              <w:t>护师</w:t>
            </w:r>
          </w:p>
        </w:tc>
        <w:tc>
          <w:tcPr>
            <w:tcW w:w="932" w:type="pct"/>
            <w:tcBorders>
              <w:top w:val="single" w:color="auto" w:sz="4" w:space="0"/>
              <w:left w:val="single" w:color="auto" w:sz="4" w:space="0"/>
              <w:bottom w:val="single" w:color="auto" w:sz="4" w:space="0"/>
              <w:right w:val="single" w:color="auto" w:sz="4" w:space="0"/>
            </w:tcBorders>
            <w:noWrap w:val="0"/>
            <w:vAlign w:val="center"/>
          </w:tcPr>
          <w:p w14:paraId="6EE75298">
            <w:pPr>
              <w:jc w:val="both"/>
              <w:rPr>
                <w:rFonts w:hint="eastAsia"/>
                <w:lang w:val="en-US" w:eastAsia="zh-CN"/>
              </w:rPr>
            </w:pPr>
            <w:r>
              <w:rPr>
                <w:rFonts w:hint="eastAsia"/>
                <w:lang w:eastAsia="zh-CN"/>
              </w:rPr>
              <w:t>护理</w:t>
            </w:r>
          </w:p>
        </w:tc>
        <w:tc>
          <w:tcPr>
            <w:tcW w:w="1481" w:type="pct"/>
            <w:tcBorders>
              <w:top w:val="single" w:color="auto" w:sz="4" w:space="0"/>
              <w:left w:val="single" w:color="auto" w:sz="4" w:space="0"/>
              <w:bottom w:val="single" w:color="auto" w:sz="4" w:space="0"/>
              <w:right w:val="single" w:color="auto" w:sz="4" w:space="0"/>
            </w:tcBorders>
            <w:noWrap w:val="0"/>
            <w:vAlign w:val="center"/>
          </w:tcPr>
          <w:p w14:paraId="0FF2765E">
            <w:pPr>
              <w:jc w:val="both"/>
              <w:rPr>
                <w:rFonts w:hint="eastAsia"/>
              </w:rPr>
            </w:pPr>
            <w:r>
              <w:rPr>
                <w:rFonts w:hint="eastAsia"/>
              </w:rPr>
              <w:t>协助起草规范草案，征求意见稿和规范编制说明，送审稿及编制说明的编写工作</w:t>
            </w:r>
          </w:p>
        </w:tc>
      </w:tr>
      <w:tr w14:paraId="5DADC227">
        <w:tblPrEx>
          <w:tblCellMar>
            <w:top w:w="0" w:type="dxa"/>
            <w:left w:w="108" w:type="dxa"/>
            <w:bottom w:w="0" w:type="dxa"/>
            <w:right w:w="108" w:type="dxa"/>
          </w:tblCellMar>
        </w:tblPrEx>
        <w:trPr>
          <w:cantSplit/>
          <w:trHeight w:val="881" w:hRule="atLeast"/>
          <w:jc w:val="center"/>
        </w:trPr>
        <w:tc>
          <w:tcPr>
            <w:tcW w:w="320" w:type="pct"/>
            <w:tcBorders>
              <w:top w:val="single" w:color="auto" w:sz="4" w:space="0"/>
              <w:left w:val="single" w:color="auto" w:sz="4" w:space="0"/>
              <w:bottom w:val="single" w:color="auto" w:sz="4" w:space="0"/>
              <w:right w:val="single" w:color="auto" w:sz="4" w:space="0"/>
            </w:tcBorders>
            <w:noWrap w:val="0"/>
            <w:vAlign w:val="center"/>
          </w:tcPr>
          <w:p w14:paraId="68E4A6A6">
            <w:pPr>
              <w:numPr>
                <w:ilvl w:val="0"/>
                <w:numId w:val="10"/>
              </w:numPr>
              <w:ind w:left="425" w:leftChars="0" w:hanging="425" w:firstLineChars="0"/>
              <w:jc w:val="both"/>
              <w:rPr>
                <w:rFonts w:hint="default"/>
              </w:rPr>
            </w:pPr>
          </w:p>
        </w:tc>
        <w:tc>
          <w:tcPr>
            <w:tcW w:w="518" w:type="pct"/>
            <w:tcBorders>
              <w:top w:val="single" w:color="auto" w:sz="4" w:space="0"/>
              <w:left w:val="single" w:color="auto" w:sz="4" w:space="0"/>
              <w:bottom w:val="single" w:color="auto" w:sz="4" w:space="0"/>
              <w:right w:val="single" w:color="auto" w:sz="4" w:space="0"/>
            </w:tcBorders>
            <w:noWrap w:val="0"/>
            <w:vAlign w:val="center"/>
          </w:tcPr>
          <w:p w14:paraId="7F543BC0">
            <w:pPr>
              <w:jc w:val="both"/>
              <w:rPr>
                <w:rFonts w:hint="eastAsia"/>
              </w:rPr>
            </w:pPr>
            <w:r>
              <w:rPr>
                <w:rFonts w:hint="eastAsia"/>
              </w:rPr>
              <w:t>沈丽仪</w:t>
            </w:r>
          </w:p>
        </w:tc>
        <w:tc>
          <w:tcPr>
            <w:tcW w:w="849" w:type="pct"/>
            <w:tcBorders>
              <w:top w:val="single" w:color="auto" w:sz="4" w:space="0"/>
              <w:left w:val="single" w:color="auto" w:sz="4" w:space="0"/>
              <w:bottom w:val="single" w:color="auto" w:sz="4" w:space="0"/>
              <w:right w:val="single" w:color="auto" w:sz="4" w:space="0"/>
            </w:tcBorders>
            <w:noWrap w:val="0"/>
            <w:vAlign w:val="center"/>
          </w:tcPr>
          <w:p w14:paraId="2275CF0F">
            <w:pPr>
              <w:jc w:val="both"/>
              <w:rPr>
                <w:rFonts w:hint="eastAsia"/>
              </w:rPr>
            </w:pPr>
            <w:r>
              <w:rPr>
                <w:rFonts w:hint="eastAsia"/>
              </w:rPr>
              <w:t>广西医科大学第二附属医院</w:t>
            </w:r>
          </w:p>
        </w:tc>
        <w:tc>
          <w:tcPr>
            <w:tcW w:w="896" w:type="pct"/>
            <w:tcBorders>
              <w:top w:val="single" w:color="auto" w:sz="4" w:space="0"/>
              <w:left w:val="single" w:color="auto" w:sz="4" w:space="0"/>
              <w:bottom w:val="single" w:color="auto" w:sz="4" w:space="0"/>
              <w:right w:val="single" w:color="auto" w:sz="4" w:space="0"/>
            </w:tcBorders>
            <w:noWrap w:val="0"/>
            <w:vAlign w:val="center"/>
          </w:tcPr>
          <w:p w14:paraId="72EC7E14">
            <w:pPr>
              <w:jc w:val="both"/>
              <w:rPr>
                <w:rFonts w:hint="eastAsia"/>
              </w:rPr>
            </w:pPr>
            <w:r>
              <w:rPr>
                <w:rFonts w:hint="eastAsia"/>
                <w:lang w:val="en-US" w:eastAsia="zh-CN"/>
              </w:rPr>
              <w:t>主管</w:t>
            </w:r>
            <w:r>
              <w:rPr>
                <w:rFonts w:hint="eastAsia"/>
              </w:rPr>
              <w:t>护师</w:t>
            </w:r>
          </w:p>
        </w:tc>
        <w:tc>
          <w:tcPr>
            <w:tcW w:w="932" w:type="pct"/>
            <w:tcBorders>
              <w:top w:val="single" w:color="auto" w:sz="4" w:space="0"/>
              <w:left w:val="single" w:color="auto" w:sz="4" w:space="0"/>
              <w:bottom w:val="single" w:color="auto" w:sz="4" w:space="0"/>
              <w:right w:val="single" w:color="auto" w:sz="4" w:space="0"/>
            </w:tcBorders>
            <w:noWrap w:val="0"/>
            <w:vAlign w:val="center"/>
          </w:tcPr>
          <w:p w14:paraId="22973465">
            <w:pPr>
              <w:jc w:val="both"/>
              <w:rPr>
                <w:rFonts w:hint="eastAsia"/>
                <w:lang w:val="en-US" w:eastAsia="zh-CN"/>
              </w:rPr>
            </w:pPr>
            <w:r>
              <w:rPr>
                <w:rFonts w:hint="eastAsia"/>
                <w:lang w:eastAsia="zh-CN"/>
              </w:rPr>
              <w:t>护理</w:t>
            </w:r>
          </w:p>
        </w:tc>
        <w:tc>
          <w:tcPr>
            <w:tcW w:w="1481" w:type="pct"/>
            <w:tcBorders>
              <w:top w:val="single" w:color="auto" w:sz="4" w:space="0"/>
              <w:left w:val="single" w:color="auto" w:sz="4" w:space="0"/>
              <w:bottom w:val="single" w:color="auto" w:sz="4" w:space="0"/>
              <w:right w:val="single" w:color="auto" w:sz="4" w:space="0"/>
            </w:tcBorders>
            <w:noWrap w:val="0"/>
            <w:vAlign w:val="center"/>
          </w:tcPr>
          <w:p w14:paraId="27207305">
            <w:pPr>
              <w:jc w:val="both"/>
              <w:rPr>
                <w:rFonts w:hint="eastAsia"/>
              </w:rPr>
            </w:pPr>
            <w:r>
              <w:rPr>
                <w:rFonts w:hint="eastAsia"/>
              </w:rPr>
              <w:t>协助起草规范草案，征求意见稿和规范编制说明，送审稿及编制说明的编写工作</w:t>
            </w:r>
          </w:p>
        </w:tc>
      </w:tr>
      <w:tr w14:paraId="77F020C6">
        <w:tblPrEx>
          <w:tblCellMar>
            <w:top w:w="0" w:type="dxa"/>
            <w:left w:w="108" w:type="dxa"/>
            <w:bottom w:w="0" w:type="dxa"/>
            <w:right w:w="108" w:type="dxa"/>
          </w:tblCellMar>
        </w:tblPrEx>
        <w:trPr>
          <w:cantSplit/>
          <w:trHeight w:val="881" w:hRule="atLeast"/>
          <w:jc w:val="center"/>
        </w:trPr>
        <w:tc>
          <w:tcPr>
            <w:tcW w:w="320" w:type="pct"/>
            <w:tcBorders>
              <w:top w:val="single" w:color="auto" w:sz="4" w:space="0"/>
              <w:left w:val="single" w:color="auto" w:sz="4" w:space="0"/>
              <w:bottom w:val="single" w:color="auto" w:sz="4" w:space="0"/>
              <w:right w:val="single" w:color="auto" w:sz="4" w:space="0"/>
            </w:tcBorders>
            <w:noWrap w:val="0"/>
            <w:vAlign w:val="center"/>
          </w:tcPr>
          <w:p w14:paraId="5C87AFBD">
            <w:pPr>
              <w:numPr>
                <w:ilvl w:val="0"/>
                <w:numId w:val="10"/>
              </w:numPr>
              <w:ind w:left="425" w:leftChars="0" w:hanging="425" w:firstLineChars="0"/>
              <w:jc w:val="both"/>
              <w:rPr>
                <w:rFonts w:hint="default"/>
              </w:rPr>
            </w:pPr>
          </w:p>
        </w:tc>
        <w:tc>
          <w:tcPr>
            <w:tcW w:w="518" w:type="pct"/>
            <w:tcBorders>
              <w:top w:val="single" w:color="auto" w:sz="4" w:space="0"/>
              <w:left w:val="single" w:color="auto" w:sz="4" w:space="0"/>
              <w:bottom w:val="single" w:color="auto" w:sz="4" w:space="0"/>
              <w:right w:val="single" w:color="auto" w:sz="4" w:space="0"/>
            </w:tcBorders>
            <w:noWrap w:val="0"/>
            <w:vAlign w:val="center"/>
          </w:tcPr>
          <w:p w14:paraId="46353666">
            <w:pPr>
              <w:jc w:val="both"/>
              <w:rPr>
                <w:rFonts w:hint="eastAsia"/>
              </w:rPr>
            </w:pPr>
            <w:r>
              <w:rPr>
                <w:rFonts w:hint="eastAsia"/>
              </w:rPr>
              <w:t>黄清梅</w:t>
            </w:r>
          </w:p>
        </w:tc>
        <w:tc>
          <w:tcPr>
            <w:tcW w:w="849" w:type="pct"/>
            <w:tcBorders>
              <w:top w:val="single" w:color="auto" w:sz="4" w:space="0"/>
              <w:left w:val="single" w:color="auto" w:sz="4" w:space="0"/>
              <w:bottom w:val="single" w:color="auto" w:sz="4" w:space="0"/>
              <w:right w:val="single" w:color="auto" w:sz="4" w:space="0"/>
            </w:tcBorders>
            <w:noWrap w:val="0"/>
            <w:vAlign w:val="center"/>
          </w:tcPr>
          <w:p w14:paraId="560B4F92">
            <w:pPr>
              <w:jc w:val="both"/>
              <w:rPr>
                <w:rFonts w:hint="eastAsia"/>
              </w:rPr>
            </w:pPr>
            <w:r>
              <w:rPr>
                <w:rFonts w:hint="eastAsia"/>
              </w:rPr>
              <w:t>广西医科大学第二附属医院</w:t>
            </w:r>
          </w:p>
        </w:tc>
        <w:tc>
          <w:tcPr>
            <w:tcW w:w="896" w:type="pct"/>
            <w:tcBorders>
              <w:top w:val="single" w:color="auto" w:sz="4" w:space="0"/>
              <w:left w:val="single" w:color="auto" w:sz="4" w:space="0"/>
              <w:bottom w:val="single" w:color="auto" w:sz="4" w:space="0"/>
              <w:right w:val="single" w:color="auto" w:sz="4" w:space="0"/>
            </w:tcBorders>
            <w:noWrap w:val="0"/>
            <w:vAlign w:val="center"/>
          </w:tcPr>
          <w:p w14:paraId="4A326C5F">
            <w:pPr>
              <w:jc w:val="both"/>
              <w:rPr>
                <w:rFonts w:hint="eastAsia"/>
              </w:rPr>
            </w:pPr>
            <w:r>
              <w:rPr>
                <w:rFonts w:hint="eastAsia"/>
              </w:rPr>
              <w:t>主治医师</w:t>
            </w:r>
          </w:p>
        </w:tc>
        <w:tc>
          <w:tcPr>
            <w:tcW w:w="932" w:type="pct"/>
            <w:tcBorders>
              <w:top w:val="single" w:color="auto" w:sz="4" w:space="0"/>
              <w:left w:val="single" w:color="auto" w:sz="4" w:space="0"/>
              <w:bottom w:val="single" w:color="auto" w:sz="4" w:space="0"/>
              <w:right w:val="single" w:color="auto" w:sz="4" w:space="0"/>
            </w:tcBorders>
            <w:noWrap w:val="0"/>
            <w:vAlign w:val="center"/>
          </w:tcPr>
          <w:p w14:paraId="35ACC519">
            <w:pPr>
              <w:jc w:val="both"/>
              <w:rPr>
                <w:rFonts w:hint="eastAsia"/>
              </w:rPr>
            </w:pPr>
            <w:r>
              <w:rPr>
                <w:rFonts w:hint="eastAsia"/>
              </w:rPr>
              <w:t>新生儿科</w:t>
            </w:r>
          </w:p>
        </w:tc>
        <w:tc>
          <w:tcPr>
            <w:tcW w:w="1481" w:type="pct"/>
            <w:tcBorders>
              <w:top w:val="single" w:color="auto" w:sz="4" w:space="0"/>
              <w:left w:val="single" w:color="auto" w:sz="4" w:space="0"/>
              <w:bottom w:val="single" w:color="auto" w:sz="4" w:space="0"/>
              <w:right w:val="single" w:color="auto" w:sz="4" w:space="0"/>
            </w:tcBorders>
            <w:noWrap w:val="0"/>
            <w:vAlign w:val="center"/>
          </w:tcPr>
          <w:p w14:paraId="33C59ED7">
            <w:pPr>
              <w:jc w:val="both"/>
              <w:rPr>
                <w:rFonts w:hint="eastAsia"/>
              </w:rPr>
            </w:pPr>
            <w:r>
              <w:rPr>
                <w:rFonts w:hint="eastAsia"/>
              </w:rPr>
              <w:t>协助起草规范草案，征求意见稿和规范编制说明，送审稿及编制说明的编写工作</w:t>
            </w:r>
          </w:p>
        </w:tc>
      </w:tr>
      <w:tr w14:paraId="7A3432CC">
        <w:tblPrEx>
          <w:tblCellMar>
            <w:top w:w="0" w:type="dxa"/>
            <w:left w:w="108" w:type="dxa"/>
            <w:bottom w:w="0" w:type="dxa"/>
            <w:right w:w="108" w:type="dxa"/>
          </w:tblCellMar>
        </w:tblPrEx>
        <w:trPr>
          <w:cantSplit/>
          <w:trHeight w:val="881" w:hRule="atLeast"/>
          <w:jc w:val="center"/>
        </w:trPr>
        <w:tc>
          <w:tcPr>
            <w:tcW w:w="320" w:type="pct"/>
            <w:tcBorders>
              <w:top w:val="single" w:color="auto" w:sz="4" w:space="0"/>
              <w:left w:val="single" w:color="auto" w:sz="4" w:space="0"/>
              <w:bottom w:val="single" w:color="auto" w:sz="4" w:space="0"/>
              <w:right w:val="single" w:color="auto" w:sz="4" w:space="0"/>
            </w:tcBorders>
            <w:noWrap w:val="0"/>
            <w:vAlign w:val="center"/>
          </w:tcPr>
          <w:p w14:paraId="4294BFB4">
            <w:pPr>
              <w:numPr>
                <w:ilvl w:val="0"/>
                <w:numId w:val="10"/>
              </w:numPr>
              <w:ind w:left="425" w:leftChars="0" w:hanging="425" w:firstLineChars="0"/>
              <w:jc w:val="both"/>
              <w:rPr>
                <w:rFonts w:hint="default"/>
              </w:rPr>
            </w:pPr>
          </w:p>
        </w:tc>
        <w:tc>
          <w:tcPr>
            <w:tcW w:w="518" w:type="pct"/>
            <w:tcBorders>
              <w:top w:val="single" w:color="auto" w:sz="4" w:space="0"/>
              <w:left w:val="single" w:color="auto" w:sz="4" w:space="0"/>
              <w:bottom w:val="single" w:color="auto" w:sz="4" w:space="0"/>
              <w:right w:val="single" w:color="auto" w:sz="4" w:space="0"/>
            </w:tcBorders>
            <w:noWrap w:val="0"/>
            <w:vAlign w:val="center"/>
          </w:tcPr>
          <w:p w14:paraId="065C72DE">
            <w:pPr>
              <w:jc w:val="both"/>
              <w:rPr>
                <w:rFonts w:hint="eastAsia"/>
              </w:rPr>
            </w:pPr>
            <w:r>
              <w:rPr>
                <w:rFonts w:hint="eastAsia"/>
              </w:rPr>
              <w:t>黎瑞珊</w:t>
            </w:r>
          </w:p>
        </w:tc>
        <w:tc>
          <w:tcPr>
            <w:tcW w:w="849" w:type="pct"/>
            <w:tcBorders>
              <w:top w:val="single" w:color="auto" w:sz="4" w:space="0"/>
              <w:left w:val="single" w:color="auto" w:sz="4" w:space="0"/>
              <w:bottom w:val="single" w:color="auto" w:sz="4" w:space="0"/>
              <w:right w:val="single" w:color="auto" w:sz="4" w:space="0"/>
            </w:tcBorders>
            <w:noWrap w:val="0"/>
            <w:vAlign w:val="center"/>
          </w:tcPr>
          <w:p w14:paraId="65BC37A1">
            <w:pPr>
              <w:jc w:val="both"/>
              <w:rPr>
                <w:rFonts w:hint="eastAsia"/>
              </w:rPr>
            </w:pPr>
            <w:r>
              <w:rPr>
                <w:rFonts w:hint="eastAsia"/>
              </w:rPr>
              <w:t>广西医科大学第二附属医院</w:t>
            </w:r>
          </w:p>
        </w:tc>
        <w:tc>
          <w:tcPr>
            <w:tcW w:w="896" w:type="pct"/>
            <w:tcBorders>
              <w:top w:val="single" w:color="auto" w:sz="4" w:space="0"/>
              <w:left w:val="single" w:color="auto" w:sz="4" w:space="0"/>
              <w:bottom w:val="single" w:color="auto" w:sz="4" w:space="0"/>
              <w:right w:val="single" w:color="auto" w:sz="4" w:space="0"/>
            </w:tcBorders>
            <w:noWrap w:val="0"/>
            <w:vAlign w:val="center"/>
          </w:tcPr>
          <w:p w14:paraId="1B7B6DC8">
            <w:pPr>
              <w:jc w:val="both"/>
              <w:rPr>
                <w:rFonts w:hint="eastAsia"/>
              </w:rPr>
            </w:pPr>
            <w:r>
              <w:rPr>
                <w:rFonts w:hint="eastAsia"/>
              </w:rPr>
              <w:t>主治医师</w:t>
            </w:r>
          </w:p>
        </w:tc>
        <w:tc>
          <w:tcPr>
            <w:tcW w:w="932" w:type="pct"/>
            <w:tcBorders>
              <w:top w:val="single" w:color="auto" w:sz="4" w:space="0"/>
              <w:left w:val="single" w:color="auto" w:sz="4" w:space="0"/>
              <w:bottom w:val="single" w:color="auto" w:sz="4" w:space="0"/>
              <w:right w:val="single" w:color="auto" w:sz="4" w:space="0"/>
            </w:tcBorders>
            <w:noWrap w:val="0"/>
            <w:vAlign w:val="center"/>
          </w:tcPr>
          <w:p w14:paraId="390CD369">
            <w:pPr>
              <w:jc w:val="both"/>
              <w:rPr>
                <w:rFonts w:hint="eastAsia"/>
              </w:rPr>
            </w:pPr>
            <w:r>
              <w:rPr>
                <w:rFonts w:hint="eastAsia"/>
              </w:rPr>
              <w:t>新生儿科</w:t>
            </w:r>
          </w:p>
        </w:tc>
        <w:tc>
          <w:tcPr>
            <w:tcW w:w="1481" w:type="pct"/>
            <w:tcBorders>
              <w:top w:val="single" w:color="auto" w:sz="4" w:space="0"/>
              <w:left w:val="single" w:color="auto" w:sz="4" w:space="0"/>
              <w:bottom w:val="single" w:color="auto" w:sz="4" w:space="0"/>
              <w:right w:val="single" w:color="auto" w:sz="4" w:space="0"/>
            </w:tcBorders>
            <w:noWrap w:val="0"/>
            <w:vAlign w:val="center"/>
          </w:tcPr>
          <w:p w14:paraId="69731423">
            <w:pPr>
              <w:jc w:val="both"/>
              <w:rPr>
                <w:rFonts w:hint="eastAsia"/>
              </w:rPr>
            </w:pPr>
            <w:r>
              <w:rPr>
                <w:rFonts w:hint="eastAsia"/>
              </w:rPr>
              <w:t>协助起草规范草案，征求意见稿和规范编制说明，送审稿及编制说明的编写工作</w:t>
            </w:r>
          </w:p>
        </w:tc>
      </w:tr>
      <w:tr w14:paraId="528CA3A9">
        <w:tblPrEx>
          <w:tblCellMar>
            <w:top w:w="0" w:type="dxa"/>
            <w:left w:w="108" w:type="dxa"/>
            <w:bottom w:w="0" w:type="dxa"/>
            <w:right w:w="108" w:type="dxa"/>
          </w:tblCellMar>
        </w:tblPrEx>
        <w:trPr>
          <w:cantSplit/>
          <w:trHeight w:val="881" w:hRule="atLeast"/>
          <w:jc w:val="center"/>
        </w:trPr>
        <w:tc>
          <w:tcPr>
            <w:tcW w:w="320" w:type="pct"/>
            <w:tcBorders>
              <w:top w:val="single" w:color="auto" w:sz="4" w:space="0"/>
              <w:left w:val="single" w:color="auto" w:sz="4" w:space="0"/>
              <w:bottom w:val="single" w:color="auto" w:sz="4" w:space="0"/>
              <w:right w:val="single" w:color="auto" w:sz="4" w:space="0"/>
            </w:tcBorders>
            <w:noWrap w:val="0"/>
            <w:vAlign w:val="center"/>
          </w:tcPr>
          <w:p w14:paraId="00EC7643">
            <w:pPr>
              <w:numPr>
                <w:ilvl w:val="0"/>
                <w:numId w:val="10"/>
              </w:numPr>
              <w:ind w:left="425" w:leftChars="0" w:hanging="425" w:firstLineChars="0"/>
              <w:jc w:val="both"/>
              <w:rPr>
                <w:rFonts w:hint="default"/>
              </w:rPr>
            </w:pPr>
          </w:p>
        </w:tc>
        <w:tc>
          <w:tcPr>
            <w:tcW w:w="518" w:type="pct"/>
            <w:tcBorders>
              <w:top w:val="single" w:color="auto" w:sz="4" w:space="0"/>
              <w:left w:val="single" w:color="auto" w:sz="4" w:space="0"/>
              <w:bottom w:val="single" w:color="auto" w:sz="4" w:space="0"/>
              <w:right w:val="single" w:color="auto" w:sz="4" w:space="0"/>
            </w:tcBorders>
            <w:noWrap w:val="0"/>
            <w:vAlign w:val="center"/>
          </w:tcPr>
          <w:p w14:paraId="19373937">
            <w:pPr>
              <w:jc w:val="both"/>
              <w:rPr>
                <w:rFonts w:hint="eastAsia"/>
              </w:rPr>
            </w:pPr>
            <w:r>
              <w:rPr>
                <w:rFonts w:hint="eastAsia"/>
              </w:rPr>
              <w:t>杨敏</w:t>
            </w:r>
          </w:p>
        </w:tc>
        <w:tc>
          <w:tcPr>
            <w:tcW w:w="849" w:type="pct"/>
            <w:tcBorders>
              <w:top w:val="single" w:color="auto" w:sz="4" w:space="0"/>
              <w:left w:val="single" w:color="auto" w:sz="4" w:space="0"/>
              <w:bottom w:val="single" w:color="auto" w:sz="4" w:space="0"/>
              <w:right w:val="single" w:color="auto" w:sz="4" w:space="0"/>
            </w:tcBorders>
            <w:noWrap w:val="0"/>
            <w:vAlign w:val="center"/>
          </w:tcPr>
          <w:p w14:paraId="046CE3AC">
            <w:pPr>
              <w:jc w:val="both"/>
              <w:rPr>
                <w:rFonts w:hint="eastAsia"/>
              </w:rPr>
            </w:pPr>
            <w:r>
              <w:rPr>
                <w:rFonts w:hint="eastAsia"/>
              </w:rPr>
              <w:t>广西医科大学第二附属医院</w:t>
            </w:r>
          </w:p>
        </w:tc>
        <w:tc>
          <w:tcPr>
            <w:tcW w:w="896" w:type="pct"/>
            <w:tcBorders>
              <w:top w:val="single" w:color="auto" w:sz="4" w:space="0"/>
              <w:left w:val="single" w:color="auto" w:sz="4" w:space="0"/>
              <w:bottom w:val="single" w:color="auto" w:sz="4" w:space="0"/>
              <w:right w:val="single" w:color="auto" w:sz="4" w:space="0"/>
            </w:tcBorders>
            <w:noWrap w:val="0"/>
            <w:vAlign w:val="center"/>
          </w:tcPr>
          <w:p w14:paraId="310B4F22">
            <w:pPr>
              <w:jc w:val="both"/>
              <w:rPr>
                <w:rFonts w:hint="eastAsia"/>
              </w:rPr>
            </w:pPr>
            <w:r>
              <w:rPr>
                <w:rFonts w:hint="eastAsia"/>
              </w:rPr>
              <w:t>主管护师</w:t>
            </w:r>
          </w:p>
        </w:tc>
        <w:tc>
          <w:tcPr>
            <w:tcW w:w="932" w:type="pct"/>
            <w:tcBorders>
              <w:top w:val="single" w:color="auto" w:sz="4" w:space="0"/>
              <w:left w:val="single" w:color="auto" w:sz="4" w:space="0"/>
              <w:bottom w:val="single" w:color="auto" w:sz="4" w:space="0"/>
              <w:right w:val="single" w:color="auto" w:sz="4" w:space="0"/>
            </w:tcBorders>
            <w:noWrap w:val="0"/>
            <w:vAlign w:val="center"/>
          </w:tcPr>
          <w:p w14:paraId="6AB390C5">
            <w:pPr>
              <w:jc w:val="both"/>
              <w:rPr>
                <w:rFonts w:hint="eastAsia" w:eastAsia="宋体"/>
                <w:lang w:eastAsia="zh-CN"/>
              </w:rPr>
            </w:pPr>
            <w:r>
              <w:rPr>
                <w:rFonts w:hint="eastAsia"/>
                <w:lang w:eastAsia="zh-CN"/>
              </w:rPr>
              <w:t>护理</w:t>
            </w:r>
          </w:p>
        </w:tc>
        <w:tc>
          <w:tcPr>
            <w:tcW w:w="1481" w:type="pct"/>
            <w:tcBorders>
              <w:top w:val="single" w:color="auto" w:sz="4" w:space="0"/>
              <w:left w:val="single" w:color="auto" w:sz="4" w:space="0"/>
              <w:bottom w:val="single" w:color="auto" w:sz="4" w:space="0"/>
              <w:right w:val="single" w:color="auto" w:sz="4" w:space="0"/>
            </w:tcBorders>
            <w:noWrap w:val="0"/>
            <w:vAlign w:val="center"/>
          </w:tcPr>
          <w:p w14:paraId="310E68B7">
            <w:pPr>
              <w:jc w:val="both"/>
              <w:rPr>
                <w:rFonts w:hint="eastAsia"/>
              </w:rPr>
            </w:pPr>
            <w:r>
              <w:rPr>
                <w:rFonts w:hint="eastAsia"/>
              </w:rPr>
              <w:t>协助起草规范草案，征求意见稿和规范编制说明，送审稿及编制说明的编写工作</w:t>
            </w:r>
          </w:p>
        </w:tc>
      </w:tr>
      <w:tr w14:paraId="7918D557">
        <w:tblPrEx>
          <w:tblCellMar>
            <w:top w:w="0" w:type="dxa"/>
            <w:left w:w="108" w:type="dxa"/>
            <w:bottom w:w="0" w:type="dxa"/>
            <w:right w:w="108" w:type="dxa"/>
          </w:tblCellMar>
        </w:tblPrEx>
        <w:trPr>
          <w:cantSplit/>
          <w:trHeight w:val="881" w:hRule="atLeast"/>
          <w:jc w:val="center"/>
        </w:trPr>
        <w:tc>
          <w:tcPr>
            <w:tcW w:w="320" w:type="pct"/>
            <w:tcBorders>
              <w:top w:val="single" w:color="auto" w:sz="4" w:space="0"/>
              <w:left w:val="single" w:color="auto" w:sz="4" w:space="0"/>
              <w:bottom w:val="single" w:color="auto" w:sz="4" w:space="0"/>
              <w:right w:val="single" w:color="auto" w:sz="4" w:space="0"/>
            </w:tcBorders>
            <w:noWrap w:val="0"/>
            <w:vAlign w:val="center"/>
          </w:tcPr>
          <w:p w14:paraId="42E8440D">
            <w:pPr>
              <w:numPr>
                <w:ilvl w:val="0"/>
                <w:numId w:val="10"/>
              </w:numPr>
              <w:ind w:left="425" w:leftChars="0" w:hanging="425" w:firstLineChars="0"/>
              <w:jc w:val="both"/>
              <w:rPr>
                <w:rFonts w:hint="default"/>
              </w:rPr>
            </w:pPr>
          </w:p>
        </w:tc>
        <w:tc>
          <w:tcPr>
            <w:tcW w:w="518" w:type="pct"/>
            <w:tcBorders>
              <w:top w:val="single" w:color="auto" w:sz="4" w:space="0"/>
              <w:left w:val="single" w:color="auto" w:sz="4" w:space="0"/>
              <w:bottom w:val="single" w:color="auto" w:sz="4" w:space="0"/>
              <w:right w:val="single" w:color="auto" w:sz="4" w:space="0"/>
            </w:tcBorders>
            <w:noWrap w:val="0"/>
            <w:vAlign w:val="center"/>
          </w:tcPr>
          <w:p w14:paraId="00EF879F">
            <w:pPr>
              <w:jc w:val="both"/>
              <w:rPr>
                <w:rFonts w:hint="eastAsia"/>
              </w:rPr>
            </w:pPr>
            <w:r>
              <w:rPr>
                <w:rFonts w:hint="eastAsia"/>
              </w:rPr>
              <w:t>方玲妮</w:t>
            </w:r>
          </w:p>
        </w:tc>
        <w:tc>
          <w:tcPr>
            <w:tcW w:w="849" w:type="pct"/>
            <w:tcBorders>
              <w:top w:val="single" w:color="auto" w:sz="4" w:space="0"/>
              <w:left w:val="single" w:color="auto" w:sz="4" w:space="0"/>
              <w:bottom w:val="single" w:color="auto" w:sz="4" w:space="0"/>
              <w:right w:val="single" w:color="auto" w:sz="4" w:space="0"/>
            </w:tcBorders>
            <w:noWrap w:val="0"/>
            <w:vAlign w:val="center"/>
          </w:tcPr>
          <w:p w14:paraId="7B44D972">
            <w:pPr>
              <w:jc w:val="both"/>
              <w:rPr>
                <w:rFonts w:hint="eastAsia"/>
              </w:rPr>
            </w:pPr>
            <w:r>
              <w:rPr>
                <w:rFonts w:hint="eastAsia"/>
              </w:rPr>
              <w:t>广西医科大学第二附属医院</w:t>
            </w:r>
          </w:p>
        </w:tc>
        <w:tc>
          <w:tcPr>
            <w:tcW w:w="896" w:type="pct"/>
            <w:tcBorders>
              <w:top w:val="single" w:color="auto" w:sz="4" w:space="0"/>
              <w:left w:val="single" w:color="auto" w:sz="4" w:space="0"/>
              <w:bottom w:val="single" w:color="auto" w:sz="4" w:space="0"/>
              <w:right w:val="single" w:color="auto" w:sz="4" w:space="0"/>
            </w:tcBorders>
            <w:noWrap w:val="0"/>
            <w:vAlign w:val="center"/>
          </w:tcPr>
          <w:p w14:paraId="04E9D0C7">
            <w:pPr>
              <w:jc w:val="both"/>
              <w:rPr>
                <w:rFonts w:hint="eastAsia"/>
              </w:rPr>
            </w:pPr>
            <w:r>
              <w:rPr>
                <w:rFonts w:hint="eastAsia"/>
              </w:rPr>
              <w:t>主管护师</w:t>
            </w:r>
          </w:p>
        </w:tc>
        <w:tc>
          <w:tcPr>
            <w:tcW w:w="932" w:type="pct"/>
            <w:tcBorders>
              <w:top w:val="single" w:color="auto" w:sz="4" w:space="0"/>
              <w:left w:val="single" w:color="auto" w:sz="4" w:space="0"/>
              <w:bottom w:val="single" w:color="auto" w:sz="4" w:space="0"/>
              <w:right w:val="single" w:color="auto" w:sz="4" w:space="0"/>
            </w:tcBorders>
            <w:noWrap w:val="0"/>
            <w:vAlign w:val="center"/>
          </w:tcPr>
          <w:p w14:paraId="4D2EA943">
            <w:pPr>
              <w:jc w:val="both"/>
              <w:rPr>
                <w:rFonts w:hint="eastAsia"/>
              </w:rPr>
            </w:pPr>
            <w:r>
              <w:rPr>
                <w:rFonts w:hint="eastAsia"/>
                <w:lang w:eastAsia="zh-CN"/>
              </w:rPr>
              <w:t>护理</w:t>
            </w:r>
          </w:p>
        </w:tc>
        <w:tc>
          <w:tcPr>
            <w:tcW w:w="1481" w:type="pct"/>
            <w:tcBorders>
              <w:top w:val="single" w:color="auto" w:sz="4" w:space="0"/>
              <w:left w:val="single" w:color="auto" w:sz="4" w:space="0"/>
              <w:bottom w:val="single" w:color="auto" w:sz="4" w:space="0"/>
              <w:right w:val="single" w:color="auto" w:sz="4" w:space="0"/>
            </w:tcBorders>
            <w:noWrap w:val="0"/>
            <w:vAlign w:val="center"/>
          </w:tcPr>
          <w:p w14:paraId="3711CAAB">
            <w:pPr>
              <w:jc w:val="both"/>
              <w:rPr>
                <w:rFonts w:hint="eastAsia"/>
              </w:rPr>
            </w:pPr>
            <w:r>
              <w:rPr>
                <w:rFonts w:hint="eastAsia"/>
              </w:rPr>
              <w:t>协助起草规范草案，征求意见稿和规范编制说明，送审稿及编制说明的编写工作</w:t>
            </w:r>
          </w:p>
        </w:tc>
      </w:tr>
      <w:tr w14:paraId="759A8AD1">
        <w:tblPrEx>
          <w:tblCellMar>
            <w:top w:w="0" w:type="dxa"/>
            <w:left w:w="108" w:type="dxa"/>
            <w:bottom w:w="0" w:type="dxa"/>
            <w:right w:w="108" w:type="dxa"/>
          </w:tblCellMar>
        </w:tblPrEx>
        <w:trPr>
          <w:cantSplit/>
          <w:trHeight w:val="881" w:hRule="atLeast"/>
          <w:jc w:val="center"/>
        </w:trPr>
        <w:tc>
          <w:tcPr>
            <w:tcW w:w="320" w:type="pct"/>
            <w:tcBorders>
              <w:top w:val="single" w:color="auto" w:sz="4" w:space="0"/>
              <w:left w:val="single" w:color="auto" w:sz="4" w:space="0"/>
              <w:bottom w:val="single" w:color="auto" w:sz="4" w:space="0"/>
              <w:right w:val="single" w:color="auto" w:sz="4" w:space="0"/>
            </w:tcBorders>
            <w:noWrap w:val="0"/>
            <w:vAlign w:val="center"/>
          </w:tcPr>
          <w:p w14:paraId="6A249163">
            <w:pPr>
              <w:numPr>
                <w:ilvl w:val="0"/>
                <w:numId w:val="10"/>
              </w:numPr>
              <w:ind w:left="425" w:leftChars="0" w:hanging="425" w:firstLineChars="0"/>
              <w:jc w:val="both"/>
              <w:rPr>
                <w:rFonts w:hint="default"/>
              </w:rPr>
            </w:pPr>
          </w:p>
        </w:tc>
        <w:tc>
          <w:tcPr>
            <w:tcW w:w="518" w:type="pct"/>
            <w:tcBorders>
              <w:top w:val="single" w:color="auto" w:sz="4" w:space="0"/>
              <w:left w:val="single" w:color="auto" w:sz="4" w:space="0"/>
              <w:bottom w:val="single" w:color="auto" w:sz="4" w:space="0"/>
              <w:right w:val="single" w:color="auto" w:sz="4" w:space="0"/>
            </w:tcBorders>
            <w:noWrap w:val="0"/>
            <w:vAlign w:val="center"/>
          </w:tcPr>
          <w:p w14:paraId="703BEF31">
            <w:pPr>
              <w:jc w:val="both"/>
              <w:rPr>
                <w:rFonts w:hint="eastAsia"/>
              </w:rPr>
            </w:pPr>
            <w:r>
              <w:rPr>
                <w:rFonts w:hint="eastAsia"/>
              </w:rPr>
              <w:t>陆飞</w:t>
            </w:r>
          </w:p>
        </w:tc>
        <w:tc>
          <w:tcPr>
            <w:tcW w:w="849" w:type="pct"/>
            <w:tcBorders>
              <w:top w:val="single" w:color="auto" w:sz="4" w:space="0"/>
              <w:left w:val="single" w:color="auto" w:sz="4" w:space="0"/>
              <w:bottom w:val="single" w:color="auto" w:sz="4" w:space="0"/>
              <w:right w:val="single" w:color="auto" w:sz="4" w:space="0"/>
            </w:tcBorders>
            <w:noWrap w:val="0"/>
            <w:vAlign w:val="center"/>
          </w:tcPr>
          <w:p w14:paraId="1475BC89">
            <w:pPr>
              <w:jc w:val="both"/>
              <w:rPr>
                <w:rFonts w:hint="eastAsia"/>
              </w:rPr>
            </w:pPr>
            <w:r>
              <w:rPr>
                <w:rFonts w:hint="eastAsia"/>
              </w:rPr>
              <w:t>广西医科大学第二附属医院</w:t>
            </w:r>
          </w:p>
        </w:tc>
        <w:tc>
          <w:tcPr>
            <w:tcW w:w="896" w:type="pct"/>
            <w:tcBorders>
              <w:top w:val="single" w:color="auto" w:sz="4" w:space="0"/>
              <w:left w:val="single" w:color="auto" w:sz="4" w:space="0"/>
              <w:bottom w:val="single" w:color="auto" w:sz="4" w:space="0"/>
              <w:right w:val="single" w:color="auto" w:sz="4" w:space="0"/>
            </w:tcBorders>
            <w:noWrap w:val="0"/>
            <w:vAlign w:val="center"/>
          </w:tcPr>
          <w:p w14:paraId="01C902CE">
            <w:pPr>
              <w:jc w:val="both"/>
              <w:rPr>
                <w:rFonts w:hint="eastAsia"/>
              </w:rPr>
            </w:pPr>
            <w:r>
              <w:rPr>
                <w:rFonts w:hint="eastAsia"/>
                <w:lang w:val="en-US" w:eastAsia="zh-CN"/>
              </w:rPr>
              <w:t>主管</w:t>
            </w:r>
            <w:r>
              <w:rPr>
                <w:rFonts w:hint="eastAsia"/>
              </w:rPr>
              <w:t>护师</w:t>
            </w:r>
          </w:p>
        </w:tc>
        <w:tc>
          <w:tcPr>
            <w:tcW w:w="932" w:type="pct"/>
            <w:tcBorders>
              <w:top w:val="single" w:color="auto" w:sz="4" w:space="0"/>
              <w:left w:val="single" w:color="auto" w:sz="4" w:space="0"/>
              <w:bottom w:val="single" w:color="auto" w:sz="4" w:space="0"/>
              <w:right w:val="single" w:color="auto" w:sz="4" w:space="0"/>
            </w:tcBorders>
            <w:noWrap w:val="0"/>
            <w:vAlign w:val="center"/>
          </w:tcPr>
          <w:p w14:paraId="3F350E2F">
            <w:pPr>
              <w:jc w:val="both"/>
              <w:rPr>
                <w:rFonts w:hint="eastAsia"/>
                <w:lang w:val="en-US" w:eastAsia="zh-CN"/>
              </w:rPr>
            </w:pPr>
            <w:r>
              <w:rPr>
                <w:rFonts w:hint="eastAsia"/>
                <w:lang w:eastAsia="zh-CN"/>
              </w:rPr>
              <w:t>护理</w:t>
            </w:r>
          </w:p>
        </w:tc>
        <w:tc>
          <w:tcPr>
            <w:tcW w:w="1481" w:type="pct"/>
            <w:tcBorders>
              <w:top w:val="single" w:color="auto" w:sz="4" w:space="0"/>
              <w:left w:val="single" w:color="auto" w:sz="4" w:space="0"/>
              <w:bottom w:val="single" w:color="auto" w:sz="4" w:space="0"/>
              <w:right w:val="single" w:color="auto" w:sz="4" w:space="0"/>
            </w:tcBorders>
            <w:noWrap w:val="0"/>
            <w:vAlign w:val="center"/>
          </w:tcPr>
          <w:p w14:paraId="6261C083">
            <w:pPr>
              <w:jc w:val="both"/>
              <w:rPr>
                <w:rFonts w:hint="eastAsia"/>
              </w:rPr>
            </w:pPr>
            <w:r>
              <w:rPr>
                <w:rFonts w:hint="eastAsia"/>
              </w:rPr>
              <w:t>协助组织开展标准征求意见会</w:t>
            </w:r>
          </w:p>
        </w:tc>
      </w:tr>
      <w:tr w14:paraId="116E997F">
        <w:tblPrEx>
          <w:tblCellMar>
            <w:top w:w="0" w:type="dxa"/>
            <w:left w:w="108" w:type="dxa"/>
            <w:bottom w:w="0" w:type="dxa"/>
            <w:right w:w="108" w:type="dxa"/>
          </w:tblCellMar>
        </w:tblPrEx>
        <w:trPr>
          <w:cantSplit/>
          <w:trHeight w:val="891" w:hRule="atLeast"/>
          <w:jc w:val="center"/>
        </w:trPr>
        <w:tc>
          <w:tcPr>
            <w:tcW w:w="320" w:type="pct"/>
            <w:tcBorders>
              <w:top w:val="single" w:color="auto" w:sz="4" w:space="0"/>
              <w:left w:val="single" w:color="auto" w:sz="4" w:space="0"/>
              <w:bottom w:val="single" w:color="auto" w:sz="4" w:space="0"/>
              <w:right w:val="single" w:color="auto" w:sz="4" w:space="0"/>
            </w:tcBorders>
            <w:noWrap w:val="0"/>
            <w:vAlign w:val="center"/>
          </w:tcPr>
          <w:p w14:paraId="7DEFDEBA">
            <w:pPr>
              <w:numPr>
                <w:ilvl w:val="0"/>
                <w:numId w:val="10"/>
              </w:numPr>
              <w:ind w:left="425" w:leftChars="0" w:hanging="425" w:firstLineChars="0"/>
              <w:jc w:val="both"/>
              <w:rPr>
                <w:rFonts w:hint="default"/>
              </w:rPr>
            </w:pPr>
          </w:p>
        </w:tc>
        <w:tc>
          <w:tcPr>
            <w:tcW w:w="518" w:type="pct"/>
            <w:tcBorders>
              <w:top w:val="single" w:color="auto" w:sz="4" w:space="0"/>
              <w:left w:val="single" w:color="auto" w:sz="4" w:space="0"/>
              <w:bottom w:val="single" w:color="auto" w:sz="4" w:space="0"/>
              <w:right w:val="single" w:color="auto" w:sz="4" w:space="0"/>
            </w:tcBorders>
            <w:noWrap w:val="0"/>
            <w:vAlign w:val="center"/>
          </w:tcPr>
          <w:p w14:paraId="100B5FB4">
            <w:pPr>
              <w:jc w:val="both"/>
              <w:rPr>
                <w:rFonts w:hint="eastAsia"/>
              </w:rPr>
            </w:pPr>
            <w:r>
              <w:rPr>
                <w:rFonts w:hint="eastAsia"/>
              </w:rPr>
              <w:t>符赵婷</w:t>
            </w:r>
          </w:p>
        </w:tc>
        <w:tc>
          <w:tcPr>
            <w:tcW w:w="849" w:type="pct"/>
            <w:tcBorders>
              <w:top w:val="single" w:color="auto" w:sz="4" w:space="0"/>
              <w:left w:val="single" w:color="auto" w:sz="4" w:space="0"/>
              <w:bottom w:val="single" w:color="auto" w:sz="4" w:space="0"/>
              <w:right w:val="single" w:color="auto" w:sz="4" w:space="0"/>
            </w:tcBorders>
            <w:noWrap w:val="0"/>
            <w:vAlign w:val="center"/>
          </w:tcPr>
          <w:p w14:paraId="1A6428EF">
            <w:pPr>
              <w:jc w:val="both"/>
              <w:rPr>
                <w:rFonts w:hint="eastAsia"/>
              </w:rPr>
            </w:pPr>
            <w:r>
              <w:rPr>
                <w:rFonts w:hint="eastAsia"/>
              </w:rPr>
              <w:t>广西医科大学第二附属医院</w:t>
            </w:r>
          </w:p>
        </w:tc>
        <w:tc>
          <w:tcPr>
            <w:tcW w:w="896" w:type="pct"/>
            <w:tcBorders>
              <w:top w:val="single" w:color="auto" w:sz="4" w:space="0"/>
              <w:left w:val="single" w:color="auto" w:sz="4" w:space="0"/>
              <w:bottom w:val="single" w:color="auto" w:sz="4" w:space="0"/>
              <w:right w:val="single" w:color="auto" w:sz="4" w:space="0"/>
            </w:tcBorders>
            <w:noWrap w:val="0"/>
            <w:vAlign w:val="center"/>
          </w:tcPr>
          <w:p w14:paraId="35E24A1F">
            <w:pPr>
              <w:jc w:val="both"/>
              <w:rPr>
                <w:rFonts w:hint="eastAsia"/>
              </w:rPr>
            </w:pPr>
            <w:r>
              <w:rPr>
                <w:rFonts w:hint="eastAsia"/>
              </w:rPr>
              <w:t>护师</w:t>
            </w:r>
          </w:p>
        </w:tc>
        <w:tc>
          <w:tcPr>
            <w:tcW w:w="932" w:type="pct"/>
            <w:tcBorders>
              <w:top w:val="single" w:color="auto" w:sz="4" w:space="0"/>
              <w:left w:val="single" w:color="auto" w:sz="4" w:space="0"/>
              <w:bottom w:val="single" w:color="auto" w:sz="4" w:space="0"/>
              <w:right w:val="single" w:color="auto" w:sz="4" w:space="0"/>
            </w:tcBorders>
            <w:noWrap w:val="0"/>
            <w:vAlign w:val="center"/>
          </w:tcPr>
          <w:p w14:paraId="3189B392">
            <w:pPr>
              <w:jc w:val="both"/>
              <w:rPr>
                <w:rFonts w:hint="eastAsia"/>
              </w:rPr>
            </w:pPr>
            <w:r>
              <w:rPr>
                <w:rFonts w:hint="eastAsia"/>
                <w:lang w:eastAsia="zh-CN"/>
              </w:rPr>
              <w:t>护理</w:t>
            </w:r>
          </w:p>
        </w:tc>
        <w:tc>
          <w:tcPr>
            <w:tcW w:w="1481" w:type="pct"/>
            <w:tcBorders>
              <w:top w:val="single" w:color="auto" w:sz="4" w:space="0"/>
              <w:left w:val="single" w:color="auto" w:sz="4" w:space="0"/>
              <w:bottom w:val="single" w:color="auto" w:sz="4" w:space="0"/>
              <w:right w:val="single" w:color="auto" w:sz="4" w:space="0"/>
            </w:tcBorders>
            <w:noWrap w:val="0"/>
            <w:vAlign w:val="center"/>
          </w:tcPr>
          <w:p w14:paraId="44D0749F">
            <w:pPr>
              <w:jc w:val="both"/>
              <w:rPr>
                <w:rFonts w:hint="eastAsia"/>
              </w:rPr>
            </w:pPr>
            <w:r>
              <w:rPr>
                <w:rFonts w:hint="eastAsia"/>
              </w:rPr>
              <w:t>协助组织开展标准征求意见会</w:t>
            </w:r>
          </w:p>
        </w:tc>
      </w:tr>
    </w:tbl>
    <w:p w14:paraId="2DAD8F97">
      <w:pPr>
        <w:pStyle w:val="2"/>
        <w:rPr>
          <w:rFonts w:hint="eastAsia"/>
        </w:rPr>
      </w:pPr>
    </w:p>
    <w:p w14:paraId="1AD4C1F5">
      <w:pPr>
        <w:autoSpaceDE w:val="0"/>
        <w:autoSpaceDN w:val="0"/>
        <w:adjustRightInd w:val="0"/>
        <w:spacing w:line="560" w:lineRule="exact"/>
        <w:ind w:firstLine="640" w:firstLineChars="200"/>
        <w:jc w:val="left"/>
        <w:rPr>
          <w:rFonts w:ascii="黑体" w:hAnsi="黑体" w:eastAsia="黑体" w:cs="仿宋_GB2312"/>
          <w:sz w:val="32"/>
          <w:szCs w:val="32"/>
        </w:rPr>
      </w:pPr>
      <w:r>
        <w:rPr>
          <w:rFonts w:hint="eastAsia" w:ascii="黑体" w:hAnsi="黑体" w:eastAsia="黑体" w:cs="仿宋_GB2312"/>
          <w:sz w:val="32"/>
          <w:szCs w:val="32"/>
        </w:rPr>
        <w:t>二、制定标准的必要性和意义</w:t>
      </w:r>
    </w:p>
    <w:p w14:paraId="4D754F35">
      <w:pPr>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脑电图（Electroencephalography,EEG）是通过记录大脑皮质电信号动态反映脑功能状态的技术，对于癫痫的诊断和定位具有不可取代的重要作用，在各种脑疾病、重症医学和新生儿领域的脑功能监测和预后评估方面也有广泛应用，同时也是脑科学研究的重要方法。</w:t>
      </w:r>
    </w:p>
    <w:p w14:paraId="61B99257">
      <w:pPr>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但由于EEG的操作和图形判读都需要专业人员进行，限制了床边监测的临床应用。随着脑电监测数字化技术和信号采集处理的提高，振幅整合脑电图设备和技术的发展，新生儿科和小儿神经科医生逐渐认识到振幅整合脑电图监测在危重新生儿管理中具有重要价值。越来越多的新生儿病房配备了脑电监测设备，包括视频脑电图（video electroencephalogram，vEEG）和振幅整合脑电图（amplitude-integrated electroencephalogram，aEEG）。尽管aEEG识别新生儿癫痫发作的敏感性和特异性不如vEEG，但仍可早期评估新生儿脑病的严重程度和预后，早期识别反复性癫痫发作和持续状态，可作为新生儿癫痫发作的筛查工具。aEEG由于操作方便、界面直观、连续记录、可同时显示原始脑电图和不需要专业人员解读等优点越来越受到重视，在新生儿领域应用逐渐增多。</w:t>
      </w:r>
    </w:p>
    <w:p w14:paraId="6A03DDDD">
      <w:pPr>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虽然aEEG极大简便了临床操作，但是否遵循规范的操作和监测流程对结果和判断效果仍会有较大影响。新生儿头围较小，适合于较大儿童的标准电极数量和导联编排需要进行相应调整；新生儿脑电活动较弱、干扰因素多，非癫痫发作和癫痫发作识别困难，对脑电监测设备、监测技术和阅读造成极大挑战。因此必须遵守严格的操作规范才能保证脑电信号采集的质量和正确解读，进而确保对危重新生儿做出正确处理。</w:t>
      </w:r>
    </w:p>
    <w:p w14:paraId="202B4E53">
      <w:pPr>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随着技术发展，目前新生儿aEEG的设备可以配置中央服务器系统，组建局域网络，可实现大容量数据存储和多个终端的远程访问。aEEG资料通过有线或无线方式实时传输到中央服务系统，同时与院内EEG检查室进行远程连接，可进行院内或院外EEG会诊，脑电图监护仪更加智能化。但只有规范操作采集的aEEG图形才具有更佳的临床意义，这就对aEEG的操作提出了更高的要求。</w:t>
      </w:r>
    </w:p>
    <w:p w14:paraId="23981551">
      <w:pPr>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aEEG适用于有脑损伤表现或存在脑损伤高危因素的新生儿、脑损伤治疗效果的评估、新生儿惊厥或疑似惊厥的检测、脑发育的评估。经编制组前期调研调查，广西区内各级医院的新生儿约达</w:t>
      </w:r>
      <w:r>
        <w:rPr>
          <w:rFonts w:hint="eastAsia" w:ascii="仿宋_GB2312" w:hAnsi="仿宋_GB2312" w:eastAsia="仿宋_GB2312" w:cs="仿宋_GB2312"/>
          <w:sz w:val="28"/>
          <w:szCs w:val="28"/>
          <w:lang w:val="en-US" w:eastAsia="zh-CN"/>
        </w:rPr>
        <w:t>5～8</w:t>
      </w:r>
      <w:r>
        <w:rPr>
          <w:rFonts w:hint="eastAsia" w:ascii="仿宋_GB2312" w:hAnsi="仿宋_GB2312" w:eastAsia="仿宋_GB2312" w:cs="仿宋_GB2312"/>
          <w:sz w:val="28"/>
          <w:szCs w:val="28"/>
        </w:rPr>
        <w:t>万人次，需使用aEEG的新生儿患者数量</w:t>
      </w:r>
      <w:r>
        <w:rPr>
          <w:rFonts w:hint="eastAsia" w:ascii="仿宋_GB2312" w:hAnsi="仿宋_GB2312" w:eastAsia="仿宋_GB2312" w:cs="仿宋_GB2312"/>
          <w:sz w:val="28"/>
          <w:szCs w:val="28"/>
          <w:lang w:val="en-US" w:eastAsia="zh-CN"/>
        </w:rPr>
        <w:t>8000～12000</w:t>
      </w:r>
      <w:r>
        <w:rPr>
          <w:rFonts w:hint="eastAsia" w:ascii="仿宋_GB2312" w:hAnsi="仿宋_GB2312" w:eastAsia="仿宋_GB2312" w:cs="仿宋_GB2312"/>
          <w:sz w:val="28"/>
          <w:szCs w:val="28"/>
        </w:rPr>
        <w:t>人次</w:t>
      </w:r>
      <w:r>
        <w:rPr>
          <w:rFonts w:hint="eastAsia" w:ascii="仿宋_GB2312" w:hAnsi="仿宋_GB2312" w:eastAsia="仿宋_GB2312" w:cs="仿宋_GB2312"/>
          <w:sz w:val="28"/>
          <w:szCs w:val="28"/>
          <w:lang w:val="en-US" w:eastAsia="zh-CN"/>
        </w:rPr>
        <w:t>/年</w:t>
      </w:r>
      <w:r>
        <w:rPr>
          <w:rFonts w:hint="eastAsia" w:ascii="仿宋_GB2312" w:hAnsi="仿宋_GB2312" w:eastAsia="仿宋_GB2312" w:cs="仿宋_GB2312"/>
          <w:sz w:val="28"/>
          <w:szCs w:val="28"/>
        </w:rPr>
        <w:t>。近3年广西医科大学第二附属医院开展新生儿aEEG数量有</w:t>
      </w:r>
      <w:r>
        <w:rPr>
          <w:rFonts w:hint="eastAsia" w:ascii="仿宋_GB2312" w:hAnsi="仿宋_GB2312" w:eastAsia="仿宋_GB2312" w:cs="仿宋_GB2312"/>
          <w:sz w:val="28"/>
          <w:szCs w:val="28"/>
          <w:lang w:val="en-US" w:eastAsia="zh-CN"/>
        </w:rPr>
        <w:t>2000千多例</w:t>
      </w:r>
      <w:r>
        <w:rPr>
          <w:rFonts w:hint="eastAsia" w:ascii="仿宋_GB2312" w:hAnsi="仿宋_GB2312" w:eastAsia="仿宋_GB2312" w:cs="仿宋_GB2312"/>
          <w:sz w:val="28"/>
          <w:szCs w:val="28"/>
        </w:rPr>
        <w:t>应用效果、评估效果准确。可见年新生儿患者应用数量多，振幅整合脑电图评估和救治技术应用需求大、且效果好。</w:t>
      </w:r>
      <w:r>
        <w:rPr>
          <w:rFonts w:hint="eastAsia" w:ascii="仿宋_GB2312" w:hAnsi="仿宋_GB2312" w:eastAsia="仿宋_GB2312" w:cs="仿宋_GB2312"/>
          <w:sz w:val="28"/>
          <w:szCs w:val="28"/>
          <w:lang w:eastAsia="zh-CN"/>
        </w:rPr>
        <w:t>预计</w:t>
      </w:r>
      <w:r>
        <w:rPr>
          <w:rFonts w:hint="eastAsia" w:ascii="仿宋_GB2312" w:hAnsi="仿宋_GB2312" w:eastAsia="仿宋_GB2312" w:cs="仿宋_GB2312"/>
          <w:sz w:val="28"/>
          <w:szCs w:val="28"/>
        </w:rPr>
        <w:t>后续有</w:t>
      </w:r>
      <w:r>
        <w:rPr>
          <w:rFonts w:hint="eastAsia" w:ascii="仿宋_GB2312" w:hAnsi="仿宋_GB2312" w:eastAsia="仿宋_GB2312" w:cs="仿宋_GB2312"/>
          <w:sz w:val="28"/>
          <w:szCs w:val="28"/>
          <w:lang w:val="en-US" w:eastAsia="zh-CN"/>
        </w:rPr>
        <w:t>110～130</w:t>
      </w:r>
      <w:r>
        <w:rPr>
          <w:rFonts w:hint="eastAsia" w:ascii="仿宋_GB2312" w:hAnsi="仿宋_GB2312" w:eastAsia="仿宋_GB2312" w:cs="仿宋_GB2312"/>
          <w:sz w:val="28"/>
          <w:szCs w:val="28"/>
        </w:rPr>
        <w:t>家医院需要该技术的指导。</w:t>
      </w:r>
    </w:p>
    <w:p w14:paraId="1E2057B7">
      <w:pPr>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通过制定团体标准《新生儿振幅整合脑电图技术规范》，以标准为抓手，统一规范新生儿振幅整合脑电图技术要求，提高新生儿振幅整合脑电图技术水平，为医护人员提供了明确、详细的操作指南与判读标准，极大降低操作失误与误判风险，显著提高诊断准确性，为新生儿提供更及时、精准的医疗服务，改善新生儿尤其是危重新生儿的救治效果与预后具有重要意义。</w:t>
      </w:r>
    </w:p>
    <w:p w14:paraId="6173DA4D">
      <w:pPr>
        <w:autoSpaceDE w:val="0"/>
        <w:autoSpaceDN w:val="0"/>
        <w:adjustRightInd w:val="0"/>
        <w:spacing w:line="520" w:lineRule="exact"/>
        <w:ind w:firstLine="640" w:firstLineChars="200"/>
        <w:jc w:val="left"/>
        <w:rPr>
          <w:rFonts w:hint="eastAsia" w:ascii="黑体" w:eastAsia="黑体" w:cs="仿宋_GB2312"/>
          <w:color w:val="auto"/>
          <w:sz w:val="32"/>
          <w:szCs w:val="32"/>
        </w:rPr>
      </w:pPr>
      <w:r>
        <w:rPr>
          <w:rFonts w:hint="eastAsia" w:ascii="黑体" w:eastAsia="黑体" w:cs="仿宋_GB2312"/>
          <w:color w:val="auto"/>
          <w:sz w:val="32"/>
          <w:szCs w:val="32"/>
        </w:rPr>
        <w:t>三、主要起草过程</w:t>
      </w:r>
    </w:p>
    <w:p w14:paraId="63E78FA5">
      <w:pPr>
        <w:spacing w:line="520" w:lineRule="exact"/>
        <w:ind w:firstLine="562" w:firstLineChars="200"/>
        <w:rPr>
          <w:rFonts w:hint="eastAsia" w:ascii="仿宋_GB2312" w:eastAsia="仿宋_GB2312"/>
          <w:color w:val="auto"/>
          <w:sz w:val="28"/>
          <w:szCs w:val="28"/>
        </w:rPr>
      </w:pPr>
      <w:r>
        <w:rPr>
          <w:rFonts w:hint="eastAsia" w:ascii="仿宋_GB2312" w:eastAsia="仿宋_GB2312" w:cs="仿宋_GB2312"/>
          <w:b/>
          <w:color w:val="auto"/>
          <w:sz w:val="28"/>
          <w:szCs w:val="28"/>
        </w:rPr>
        <w:t>（一）成立标准编制工作组</w:t>
      </w:r>
    </w:p>
    <w:p w14:paraId="0880187A">
      <w:pPr>
        <w:spacing w:line="520" w:lineRule="exact"/>
        <w:ind w:firstLine="560" w:firstLineChars="200"/>
        <w:jc w:val="left"/>
        <w:rPr>
          <w:rFonts w:hint="eastAsia" w:ascii="仿宋_GB2312" w:eastAsia="仿宋_GB2312"/>
          <w:color w:val="auto"/>
          <w:sz w:val="28"/>
          <w:szCs w:val="28"/>
        </w:rPr>
      </w:pPr>
      <w:r>
        <w:rPr>
          <w:rFonts w:hint="eastAsia" w:ascii="仿宋_GB2312" w:hAnsi="宋体" w:eastAsia="仿宋_GB2312"/>
          <w:color w:val="auto"/>
          <w:sz w:val="28"/>
          <w:szCs w:val="28"/>
        </w:rPr>
        <w:t>团体标准</w:t>
      </w:r>
      <w:r>
        <w:rPr>
          <w:rFonts w:hint="eastAsia" w:ascii="仿宋_GB2312" w:eastAsia="仿宋_GB2312"/>
          <w:color w:val="auto"/>
          <w:sz w:val="28"/>
          <w:szCs w:val="28"/>
        </w:rPr>
        <w:t>《新生儿振幅整合脑电图技术规范》项目任务下达后，广西医科大学第二</w:t>
      </w:r>
      <w:r>
        <w:rPr>
          <w:rFonts w:hint="eastAsia" w:ascii="仿宋_GB2312" w:eastAsia="仿宋_GB2312"/>
          <w:color w:val="auto"/>
          <w:sz w:val="28"/>
          <w:szCs w:val="28"/>
          <w:lang w:eastAsia="zh-CN"/>
        </w:rPr>
        <w:t>附属</w:t>
      </w:r>
      <w:r>
        <w:rPr>
          <w:rFonts w:hint="eastAsia" w:ascii="仿宋_GB2312" w:eastAsia="仿宋_GB2312"/>
          <w:color w:val="auto"/>
          <w:sz w:val="28"/>
          <w:szCs w:val="28"/>
        </w:rPr>
        <w:t>医院提出，广西医科大学第二</w:t>
      </w:r>
      <w:r>
        <w:rPr>
          <w:rFonts w:hint="eastAsia" w:ascii="仿宋_GB2312" w:eastAsia="仿宋_GB2312"/>
          <w:color w:val="auto"/>
          <w:sz w:val="28"/>
          <w:szCs w:val="28"/>
          <w:lang w:eastAsia="zh-CN"/>
        </w:rPr>
        <w:t>附属</w:t>
      </w:r>
      <w:r>
        <w:rPr>
          <w:rFonts w:hint="eastAsia" w:ascii="仿宋_GB2312" w:eastAsia="仿宋_GB2312"/>
          <w:color w:val="auto"/>
          <w:sz w:val="28"/>
          <w:szCs w:val="28"/>
        </w:rPr>
        <w:t>医院、南宁市第二人民医院、上饶市妇幼保健院、玉林市第一人民医院成立了标准编制工作组，制定了起草编写方案与进度安排，明确任务职责，确定工作技术路线，开展标准研制工作。具体标准编制工作由起草单位相关人员配合完成。</w:t>
      </w:r>
    </w:p>
    <w:p w14:paraId="3AC50CC4">
      <w:pPr>
        <w:spacing w:line="520" w:lineRule="exact"/>
        <w:ind w:firstLine="560" w:firstLineChars="200"/>
        <w:rPr>
          <w:rFonts w:hint="eastAsia" w:ascii="仿宋_GB2312" w:eastAsia="仿宋_GB2312" w:cs="仿宋_GB2312"/>
          <w:color w:val="auto"/>
          <w:sz w:val="28"/>
          <w:szCs w:val="28"/>
        </w:rPr>
      </w:pPr>
      <w:r>
        <w:rPr>
          <w:rFonts w:hint="eastAsia" w:ascii="仿宋_GB2312" w:eastAsia="仿宋_GB2312"/>
          <w:color w:val="auto"/>
          <w:sz w:val="28"/>
          <w:szCs w:val="28"/>
        </w:rPr>
        <w:t>为了明确标准编制的任务职责，确定工作技术路线，开展标准研制工作。标准编制工作组下设二个组，分别是资料收集组、草案编写组。资料收集组负责国内外有关新生儿振幅整合脑电图技术方面的文献资料的查询、收集和整理工作，查阅前</w:t>
      </w:r>
      <w:r>
        <w:rPr>
          <w:rFonts w:hint="eastAsia" w:ascii="仿宋_GB2312" w:eastAsia="仿宋_GB2312"/>
          <w:color w:val="auto"/>
          <w:sz w:val="28"/>
          <w:szCs w:val="28"/>
          <w:lang w:eastAsia="zh-CN"/>
        </w:rPr>
        <w:t>期</w:t>
      </w:r>
      <w:r>
        <w:rPr>
          <w:rFonts w:hint="eastAsia" w:ascii="仿宋_GB2312" w:eastAsia="仿宋_GB2312"/>
          <w:color w:val="auto"/>
          <w:sz w:val="28"/>
          <w:szCs w:val="28"/>
        </w:rPr>
        <w:t>对新生儿振幅整合脑电图的有关研究情况和目前科学界新生儿振幅整合脑电图技术的研究进展；草案编写组负责起草标准草案及后续征求意见稿和标准编制说明、送审稿及编制说明等编写工作，包括后期召开征求意见会、网上征求意见，以及标准的不断修改和完善。</w:t>
      </w:r>
    </w:p>
    <w:p w14:paraId="4815D59F">
      <w:pPr>
        <w:spacing w:line="520" w:lineRule="exact"/>
        <w:ind w:firstLine="562" w:firstLineChars="200"/>
        <w:rPr>
          <w:rFonts w:hint="eastAsia" w:ascii="仿宋_GB2312" w:eastAsia="仿宋_GB2312" w:cs="仿宋_GB2312"/>
          <w:b/>
          <w:color w:val="auto"/>
          <w:sz w:val="28"/>
          <w:szCs w:val="28"/>
        </w:rPr>
      </w:pPr>
      <w:r>
        <w:rPr>
          <w:rFonts w:hint="eastAsia" w:ascii="仿宋_GB2312" w:eastAsia="仿宋_GB2312" w:cs="仿宋_GB2312"/>
          <w:b/>
          <w:color w:val="auto"/>
          <w:sz w:val="28"/>
          <w:szCs w:val="28"/>
        </w:rPr>
        <w:t>（二）收集整理文献资料</w:t>
      </w:r>
    </w:p>
    <w:p w14:paraId="16D557FE">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标准编制工作组收集了国内有关新生儿振幅整合脑电图技术</w:t>
      </w:r>
      <w:r>
        <w:rPr>
          <w:rFonts w:hint="eastAsia" w:ascii="仿宋_GB2312" w:eastAsia="仿宋_GB2312"/>
          <w:color w:val="auto"/>
          <w:sz w:val="28"/>
          <w:szCs w:val="28"/>
          <w:lang w:eastAsia="zh-CN"/>
        </w:rPr>
        <w:t>操作</w:t>
      </w:r>
      <w:r>
        <w:rPr>
          <w:rFonts w:hint="eastAsia" w:ascii="仿宋_GB2312" w:eastAsia="仿宋_GB2312"/>
          <w:color w:val="auto"/>
          <w:sz w:val="28"/>
          <w:szCs w:val="28"/>
        </w:rPr>
        <w:t>的相关文献资料。主要有：</w:t>
      </w:r>
    </w:p>
    <w:p w14:paraId="0CA47E62">
      <w:pPr>
        <w:pStyle w:val="25"/>
        <w:numPr>
          <w:ilvl w:val="0"/>
          <w:numId w:val="11"/>
        </w:numPr>
        <w:ind w:firstLine="560" w:firstLineChars="200"/>
        <w:rPr>
          <w:rFonts w:hint="eastAsia" w:ascii="仿宋_GB2312" w:hAnsi="仿宋_GB2312" w:eastAsia="仿宋_GB2312" w:cs="仿宋_GB2312"/>
          <w:kern w:val="0"/>
          <w:sz w:val="28"/>
          <w:szCs w:val="28"/>
          <w:lang w:val="zh-CN"/>
        </w:rPr>
      </w:pPr>
      <w:r>
        <w:rPr>
          <w:rFonts w:hint="eastAsia" w:ascii="仿宋_GB2312" w:hAnsi="仿宋_GB2312" w:eastAsia="仿宋_GB2312" w:cs="仿宋_GB2312"/>
          <w:kern w:val="0"/>
          <w:sz w:val="28"/>
          <w:szCs w:val="28"/>
          <w:lang w:val="zh-CN"/>
        </w:rPr>
        <w:t>中华医学会儿科学分会围产专业委员会. 新生儿振幅整合脑电图临床应用专家共识[J]. 中华新生儿科杂志(中英文), 2019,34(1):3-7.DOI:10.3760/cma.j.issn.2096-2932.2019.01.002.</w:t>
      </w:r>
    </w:p>
    <w:p w14:paraId="6CCE9385">
      <w:pPr>
        <w:pStyle w:val="25"/>
        <w:ind w:firstLine="560" w:firstLineChars="200"/>
        <w:rPr>
          <w:rFonts w:hint="eastAsia" w:ascii="仿宋_GB2312" w:hAnsi="仿宋_GB2312" w:eastAsia="仿宋_GB2312" w:cs="仿宋_GB2312"/>
          <w:kern w:val="0"/>
          <w:sz w:val="28"/>
          <w:szCs w:val="28"/>
          <w:lang w:val="zh-CN"/>
        </w:rPr>
      </w:pPr>
      <w:r>
        <w:rPr>
          <w:rFonts w:hint="eastAsia" w:ascii="仿宋_GB2312" w:hAnsi="仿宋_GB2312" w:eastAsia="仿宋_GB2312" w:cs="仿宋_GB2312"/>
          <w:kern w:val="0"/>
          <w:sz w:val="28"/>
          <w:szCs w:val="28"/>
          <w:lang w:val="zh-CN"/>
        </w:rPr>
        <w:t>[2]俞秀雅，程国强，周文浩.新生儿神经重症监护单元如何应用振幅整合脑电图[J].中国循证儿科杂志， 2015,10(2)：119-125.D0:10.3969/j.issn.1673-5501.2015.02.008.</w:t>
      </w:r>
    </w:p>
    <w:p w14:paraId="2A285BF2">
      <w:pPr>
        <w:pStyle w:val="25"/>
        <w:ind w:firstLine="560" w:firstLineChars="200"/>
        <w:rPr>
          <w:rFonts w:hint="eastAsia" w:ascii="仿宋_GB2312" w:hAnsi="仿宋_GB2312" w:eastAsia="仿宋_GB2312" w:cs="仿宋_GB2312"/>
          <w:kern w:val="0"/>
          <w:sz w:val="28"/>
          <w:szCs w:val="28"/>
          <w:lang w:val="zh-CN"/>
        </w:rPr>
      </w:pPr>
      <w:r>
        <w:rPr>
          <w:rFonts w:hint="eastAsia" w:ascii="仿宋_GB2312" w:hAnsi="仿宋_GB2312" w:eastAsia="仿宋_GB2312" w:cs="仿宋_GB2312"/>
          <w:kern w:val="0"/>
          <w:sz w:val="28"/>
          <w:szCs w:val="28"/>
          <w:lang w:val="zh-CN"/>
        </w:rPr>
        <w:t>[3]程国强,周渊峰,周文浩,杨于嘉,史源,母得志,庄德义,杜立中,冯星,富建华.新生儿脑电图操作和报告书写最低技术标准专家共识[J].中国当代儿科杂志,2022,24(02):124-131.</w:t>
      </w:r>
    </w:p>
    <w:p w14:paraId="2364EDBB">
      <w:pPr>
        <w:pStyle w:val="25"/>
        <w:ind w:firstLine="560" w:firstLineChars="200"/>
        <w:rPr>
          <w:rFonts w:hint="eastAsia" w:ascii="宋体" w:hAnsi="宋体" w:eastAsia="宋体" w:cs="宋体"/>
          <w:b w:val="0"/>
          <w:bCs/>
          <w:szCs w:val="21"/>
          <w:lang w:val="en-US"/>
        </w:rPr>
      </w:pPr>
      <w:r>
        <w:rPr>
          <w:rFonts w:hint="eastAsia" w:ascii="仿宋_GB2312" w:hAnsi="仿宋_GB2312" w:eastAsia="仿宋_GB2312" w:cs="仿宋_GB2312"/>
          <w:kern w:val="0"/>
          <w:sz w:val="28"/>
          <w:szCs w:val="28"/>
          <w:lang w:val="zh-CN"/>
        </w:rPr>
        <w:t>[4]临床脑电图技术操作指南[J].癫痫杂志,2022,8(01):2+40.</w:t>
      </w:r>
    </w:p>
    <w:p w14:paraId="419ABBF4">
      <w:pPr>
        <w:spacing w:line="520" w:lineRule="exact"/>
        <w:ind w:firstLine="562" w:firstLineChars="200"/>
        <w:rPr>
          <w:rFonts w:hint="eastAsia" w:ascii="仿宋_GB2312" w:eastAsia="仿宋_GB2312" w:cs="仿宋_GB2312"/>
          <w:b/>
          <w:color w:val="auto"/>
          <w:sz w:val="28"/>
          <w:szCs w:val="28"/>
          <w:lang w:eastAsia="zh-CN"/>
        </w:rPr>
      </w:pPr>
      <w:r>
        <w:rPr>
          <w:rFonts w:hint="eastAsia" w:ascii="仿宋_GB2312" w:eastAsia="仿宋_GB2312" w:cs="仿宋_GB2312"/>
          <w:b/>
          <w:color w:val="auto"/>
          <w:sz w:val="28"/>
          <w:szCs w:val="28"/>
        </w:rPr>
        <w:t>（三）研讨确定标准主体内容</w:t>
      </w:r>
      <w:r>
        <w:rPr>
          <w:rFonts w:hint="eastAsia" w:ascii="仿宋_GB2312" w:eastAsia="仿宋_GB2312" w:cs="仿宋_GB2312"/>
          <w:b/>
          <w:color w:val="auto"/>
          <w:sz w:val="28"/>
          <w:szCs w:val="28"/>
          <w:lang w:eastAsia="zh-CN"/>
        </w:rPr>
        <w:t>、核心技术及创新点</w:t>
      </w:r>
    </w:p>
    <w:p w14:paraId="21504BF4">
      <w:pPr>
        <w:spacing w:line="520" w:lineRule="exact"/>
        <w:ind w:firstLine="560" w:firstLineChars="200"/>
        <w:rPr>
          <w:rFonts w:hint="eastAsia" w:ascii="仿宋_GB2312" w:eastAsia="仿宋_GB2312"/>
          <w:color w:val="auto"/>
          <w:sz w:val="28"/>
          <w:szCs w:val="28"/>
        </w:rPr>
      </w:pPr>
      <w:r>
        <w:rPr>
          <w:rFonts w:hint="eastAsia" w:ascii="仿宋_GB2312" w:hAnsi="宋体" w:eastAsia="仿宋_GB2312"/>
          <w:color w:val="000000"/>
          <w:sz w:val="28"/>
          <w:szCs w:val="28"/>
        </w:rPr>
        <w:t>标准起草工作组在对收集的资料进行整理研究之后召开了标准编制会议，对标准的整体框架结构进行了研究，并对标准的关键性内容进行了初步探讨。经过</w:t>
      </w:r>
      <w:r>
        <w:rPr>
          <w:rFonts w:hint="eastAsia" w:ascii="仿宋_GB2312" w:hAnsi="宋体" w:eastAsia="仿宋_GB2312" w:cs="Calibri"/>
          <w:color w:val="000000"/>
          <w:sz w:val="28"/>
          <w:szCs w:val="28"/>
        </w:rPr>
        <w:t>研究，标准的主体内容确定为新生儿振幅整合脑电图技术操作要求、操作前准备、操作流程、病情观察及护理要点、AEEG数据采集、检测时间、维护、评价、复查指征及时间</w:t>
      </w:r>
      <w:r>
        <w:rPr>
          <w:rFonts w:hint="eastAsia" w:ascii="仿宋_GB2312" w:hAnsi="宋体" w:eastAsia="仿宋_GB2312"/>
          <w:color w:val="000000"/>
          <w:sz w:val="28"/>
          <w:szCs w:val="28"/>
        </w:rPr>
        <w:t>间隔、书写报告时间等</w:t>
      </w:r>
      <w:r>
        <w:rPr>
          <w:rFonts w:hint="eastAsia" w:ascii="仿宋_GB2312" w:eastAsia="仿宋_GB2312"/>
          <w:color w:val="auto"/>
          <w:sz w:val="28"/>
          <w:szCs w:val="28"/>
        </w:rPr>
        <w:t>。本标准的主要核心技术和创新点在于：</w:t>
      </w:r>
    </w:p>
    <w:p w14:paraId="51DC73BE">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近几年通过实地走访、交流学习等形式，广泛征求区内各妇幼保健院/综合医院新生儿科的意见并结合广西医科大学第二附属医院近年在新生儿振幅整合脑电图技术中的实际经验、试验总结得出：</w:t>
      </w:r>
    </w:p>
    <w:p w14:paraId="23CCA496">
      <w:pPr>
        <w:spacing w:line="520" w:lineRule="exact"/>
        <w:ind w:firstLine="560" w:firstLineChars="200"/>
        <w:rPr>
          <w:rFonts w:hint="eastAsia" w:ascii="仿宋_GB2312" w:eastAsia="仿宋_GB2312"/>
          <w:color w:val="auto"/>
          <w:sz w:val="28"/>
          <w:szCs w:val="28"/>
          <w:lang w:val="zh-CN"/>
        </w:rPr>
      </w:pPr>
      <w:r>
        <w:rPr>
          <w:rFonts w:hint="eastAsia" w:ascii="仿宋_GB2312" w:eastAsia="仿宋_GB2312"/>
          <w:color w:val="auto"/>
          <w:sz w:val="28"/>
          <w:szCs w:val="28"/>
          <w:lang w:val="zh-CN"/>
        </w:rPr>
        <w:t>1、</w:t>
      </w:r>
      <w:r>
        <w:rPr>
          <w:rFonts w:hint="eastAsia" w:ascii="仿宋_GB2312" w:eastAsia="仿宋_GB2312"/>
          <w:color w:val="auto"/>
          <w:sz w:val="28"/>
          <w:szCs w:val="28"/>
        </w:rPr>
        <w:t>在《</w:t>
      </w:r>
      <w:r>
        <w:rPr>
          <w:rFonts w:hint="eastAsia" w:ascii="仿宋_GB2312" w:eastAsia="仿宋_GB2312"/>
          <w:color w:val="auto"/>
          <w:sz w:val="28"/>
          <w:szCs w:val="28"/>
          <w:lang w:val="zh-CN"/>
        </w:rPr>
        <w:t>新生儿振幅整合脑电图临床应用专家共识》《新生儿脑电图操作和报告书写最低技术标准专家共识</w:t>
      </w:r>
      <w:r>
        <w:rPr>
          <w:rFonts w:hint="eastAsia" w:ascii="仿宋_GB2312" w:eastAsia="仿宋_GB2312"/>
          <w:color w:val="auto"/>
          <w:sz w:val="28"/>
          <w:szCs w:val="28"/>
        </w:rPr>
        <w:t>》</w:t>
      </w:r>
      <w:r>
        <w:rPr>
          <w:rFonts w:hint="eastAsia" w:ascii="仿宋_GB2312" w:eastAsia="仿宋_GB2312"/>
          <w:color w:val="auto"/>
          <w:sz w:val="28"/>
          <w:szCs w:val="28"/>
          <w:lang w:val="zh-CN"/>
        </w:rPr>
        <w:t>《新生儿神经重症监护单元如何应用振幅整合脑电图》</w:t>
      </w:r>
      <w:r>
        <w:rPr>
          <w:rFonts w:hint="eastAsia" w:ascii="仿宋_GB2312" w:eastAsia="仿宋_GB2312"/>
          <w:color w:val="auto"/>
          <w:sz w:val="28"/>
          <w:szCs w:val="28"/>
        </w:rPr>
        <w:t>《</w:t>
      </w:r>
      <w:r>
        <w:rPr>
          <w:rFonts w:hint="eastAsia" w:ascii="仿宋_GB2312" w:eastAsia="仿宋_GB2312"/>
          <w:color w:val="auto"/>
          <w:sz w:val="28"/>
          <w:szCs w:val="28"/>
          <w:lang w:val="zh-CN"/>
        </w:rPr>
        <w:t>临床脑电图技术操作指南》的基础上，针对</w:t>
      </w:r>
      <w:r>
        <w:rPr>
          <w:rFonts w:hint="eastAsia" w:ascii="仿宋_GB2312" w:hAnsi="宋体" w:eastAsia="仿宋_GB2312"/>
          <w:sz w:val="28"/>
          <w:szCs w:val="28"/>
          <w:lang w:val="zh-CN"/>
        </w:rPr>
        <w:t>新生儿患者，</w:t>
      </w:r>
      <w:bookmarkStart w:id="119" w:name="_GoBack"/>
      <w:bookmarkEnd w:id="119"/>
      <w:r>
        <w:rPr>
          <w:rFonts w:hint="eastAsia" w:ascii="仿宋_GB2312" w:eastAsia="仿宋_GB2312"/>
          <w:color w:val="auto"/>
          <w:sz w:val="28"/>
          <w:szCs w:val="28"/>
          <w:lang w:val="zh-CN"/>
        </w:rPr>
        <w:t>整合细化了“人员要求”，并增加规定了适应症和禁忌症；（</w:t>
      </w:r>
      <w:r>
        <w:rPr>
          <w:rFonts w:hint="eastAsia" w:ascii="仿宋_GB2312" w:eastAsia="仿宋_GB2312"/>
          <w:color w:val="auto"/>
          <w:sz w:val="28"/>
          <w:szCs w:val="28"/>
        </w:rPr>
        <w:t>1</w:t>
      </w:r>
      <w:r>
        <w:rPr>
          <w:rFonts w:hint="eastAsia" w:ascii="仿宋_GB2312" w:eastAsia="仿宋_GB2312"/>
          <w:color w:val="auto"/>
          <w:sz w:val="28"/>
          <w:szCs w:val="28"/>
          <w:lang w:val="zh-CN"/>
        </w:rPr>
        <w:t>）适应症：有脑损伤表现或存在脑损伤高危因素的新生儿、脑损伤治疗效果的评估、新生儿惊厥或疑似惊厥的检测、脑发育的评估。</w:t>
      </w:r>
      <w:bookmarkStart w:id="1" w:name="_Toc179912783"/>
      <w:bookmarkStart w:id="2" w:name="_Toc181200479"/>
      <w:bookmarkStart w:id="3" w:name="_Toc181200539"/>
      <w:bookmarkStart w:id="4" w:name="_Toc180685936"/>
      <w:r>
        <w:rPr>
          <w:rFonts w:hint="eastAsia" w:ascii="仿宋_GB2312" w:eastAsia="仿宋_GB2312"/>
          <w:color w:val="auto"/>
          <w:sz w:val="28"/>
          <w:szCs w:val="28"/>
          <w:lang w:val="zh-CN"/>
        </w:rPr>
        <w:t>（</w:t>
      </w:r>
      <w:r>
        <w:rPr>
          <w:rFonts w:hint="eastAsia" w:ascii="仿宋_GB2312" w:eastAsia="仿宋_GB2312"/>
          <w:color w:val="auto"/>
          <w:sz w:val="28"/>
          <w:szCs w:val="28"/>
        </w:rPr>
        <w:t>2）</w:t>
      </w:r>
      <w:r>
        <w:rPr>
          <w:rFonts w:hint="eastAsia" w:ascii="仿宋_GB2312" w:eastAsia="仿宋_GB2312"/>
          <w:color w:val="auto"/>
          <w:sz w:val="28"/>
          <w:szCs w:val="28"/>
          <w:lang w:val="zh-CN"/>
        </w:rPr>
        <w:t>禁忌症</w:t>
      </w:r>
      <w:bookmarkEnd w:id="1"/>
      <w:bookmarkEnd w:id="2"/>
      <w:bookmarkEnd w:id="3"/>
      <w:bookmarkEnd w:id="4"/>
      <w:r>
        <w:rPr>
          <w:rFonts w:hint="eastAsia" w:ascii="仿宋_GB2312" w:eastAsia="仿宋_GB2312"/>
          <w:color w:val="auto"/>
          <w:sz w:val="28"/>
          <w:szCs w:val="28"/>
          <w:lang w:val="zh-CN"/>
        </w:rPr>
        <w:t>：绝对禁忌症：头皮外伤严重，广泛或开放性颅脑外伤。抢救状态下的危重患儿。相对禁忌症：小于25周的超早产儿。</w:t>
      </w:r>
    </w:p>
    <w:p w14:paraId="1CE0A144">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2、在相关共识的基础上，还</w:t>
      </w:r>
      <w:r>
        <w:rPr>
          <w:rFonts w:hint="eastAsia" w:ascii="仿宋_GB2312" w:eastAsia="仿宋_GB2312"/>
          <w:color w:val="auto"/>
          <w:sz w:val="28"/>
          <w:szCs w:val="28"/>
          <w:lang w:val="zh-CN"/>
        </w:rPr>
        <w:t>整合细化了患儿的准备部分、注意事项：减少对患儿的搬动、评估患儿头部是否有头颅血肿、局部头皮破损，头发茂密是否需要备皮等条款。</w:t>
      </w:r>
    </w:p>
    <w:p w14:paraId="12D83473">
      <w:pPr>
        <w:spacing w:line="520" w:lineRule="exact"/>
        <w:ind w:firstLine="560" w:firstLineChars="200"/>
        <w:rPr>
          <w:rFonts w:hint="eastAsia" w:ascii="仿宋_GB2312" w:eastAsia="仿宋_GB2312"/>
          <w:color w:val="auto"/>
          <w:sz w:val="28"/>
          <w:szCs w:val="28"/>
          <w:lang w:val="zh-CN"/>
        </w:rPr>
      </w:pPr>
      <w:r>
        <w:rPr>
          <w:rFonts w:hint="eastAsia" w:ascii="仿宋_GB2312" w:eastAsia="仿宋_GB2312"/>
          <w:color w:val="auto"/>
          <w:sz w:val="28"/>
          <w:szCs w:val="28"/>
        </w:rPr>
        <w:t>3、</w:t>
      </w:r>
      <w:r>
        <w:rPr>
          <w:rFonts w:hint="eastAsia" w:ascii="仿宋_GB2312" w:eastAsia="仿宋_GB2312"/>
          <w:color w:val="auto"/>
          <w:sz w:val="28"/>
          <w:szCs w:val="28"/>
          <w:lang w:val="zh-CN"/>
        </w:rPr>
        <w:t>电极选择规定了按新生儿情况准备电极（其中一种），脑电图帽（常规首选）、金属盘状电极、水凝胶电极或一次性电极。</w:t>
      </w:r>
      <w:r>
        <w:rPr>
          <w:rFonts w:hint="eastAsia" w:ascii="仿宋_GB2312" w:eastAsia="仿宋_GB2312"/>
          <w:color w:val="auto"/>
          <w:sz w:val="28"/>
          <w:szCs w:val="28"/>
        </w:rPr>
        <w:t>在相关共识的基础上，</w:t>
      </w:r>
      <w:r>
        <w:rPr>
          <w:rFonts w:hint="eastAsia" w:ascii="仿宋_GB2312" w:eastAsia="仿宋_GB2312"/>
          <w:color w:val="auto"/>
          <w:sz w:val="28"/>
          <w:szCs w:val="28"/>
          <w:lang w:val="zh-CN"/>
        </w:rPr>
        <w:t>增加了以及金属盘状电极的直观测量方法、水凝胶电极的选择、定位及具体操作方法。</w:t>
      </w:r>
    </w:p>
    <w:p w14:paraId="43179305">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4、规定了</w:t>
      </w:r>
      <w:bookmarkStart w:id="5" w:name="_Toc169192595"/>
      <w:bookmarkStart w:id="6" w:name="_Toc16867"/>
      <w:bookmarkStart w:id="7" w:name="_Toc180685943"/>
      <w:bookmarkStart w:id="8" w:name="_Toc174607056"/>
      <w:bookmarkStart w:id="9" w:name="_Toc168333834"/>
      <w:bookmarkStart w:id="10" w:name="_Toc181200486"/>
      <w:bookmarkStart w:id="11" w:name="_Toc179912798"/>
      <w:bookmarkStart w:id="12" w:name="_Toc173685305"/>
      <w:bookmarkStart w:id="13" w:name="_Toc181200546"/>
      <w:bookmarkStart w:id="14" w:name="_Toc168480738"/>
      <w:bookmarkStart w:id="15" w:name="_Toc175639314"/>
      <w:r>
        <w:rPr>
          <w:rFonts w:hint="eastAsia" w:ascii="仿宋_GB2312" w:eastAsia="仿宋_GB2312"/>
          <w:color w:val="auto"/>
          <w:sz w:val="28"/>
          <w:szCs w:val="28"/>
        </w:rPr>
        <w:t>数据采集与评价</w:t>
      </w:r>
      <w:bookmarkEnd w:id="5"/>
      <w:bookmarkEnd w:id="6"/>
      <w:bookmarkEnd w:id="7"/>
      <w:bookmarkEnd w:id="8"/>
      <w:bookmarkEnd w:id="9"/>
      <w:bookmarkEnd w:id="10"/>
      <w:bookmarkEnd w:id="11"/>
      <w:bookmarkEnd w:id="12"/>
      <w:bookmarkEnd w:id="13"/>
      <w:bookmarkEnd w:id="14"/>
      <w:bookmarkEnd w:id="15"/>
      <w:r>
        <w:rPr>
          <w:rFonts w:hint="eastAsia" w:ascii="仿宋_GB2312" w:eastAsia="仿宋_GB2312"/>
          <w:color w:val="auto"/>
          <w:sz w:val="28"/>
          <w:szCs w:val="28"/>
        </w:rPr>
        <w:t>章节内容，采集上边界、下边界、异常放电、爆发间期、爆发次数、连续性等数据。</w:t>
      </w:r>
      <w:bookmarkStart w:id="16" w:name="_Toc21294"/>
      <w:bookmarkStart w:id="17" w:name="_Toc173685306"/>
      <w:bookmarkStart w:id="18" w:name="_Toc174607057"/>
      <w:bookmarkStart w:id="19" w:name="_Toc169192596"/>
      <w:bookmarkStart w:id="20" w:name="_Toc181200548"/>
      <w:bookmarkStart w:id="21" w:name="_Toc181200488"/>
      <w:bookmarkStart w:id="22" w:name="_Toc180685945"/>
      <w:bookmarkStart w:id="23" w:name="_Toc179912799"/>
      <w:bookmarkStart w:id="24" w:name="_Toc175639315"/>
      <w:r>
        <w:rPr>
          <w:rFonts w:hint="eastAsia" w:ascii="仿宋_GB2312" w:eastAsia="仿宋_GB2312"/>
          <w:color w:val="auto"/>
          <w:sz w:val="28"/>
          <w:szCs w:val="28"/>
        </w:rPr>
        <w:t>评价脑电背景活动</w:t>
      </w:r>
      <w:bookmarkEnd w:id="16"/>
      <w:bookmarkEnd w:id="17"/>
      <w:bookmarkEnd w:id="18"/>
      <w:bookmarkEnd w:id="19"/>
      <w:bookmarkEnd w:id="20"/>
      <w:bookmarkEnd w:id="21"/>
      <w:bookmarkEnd w:id="22"/>
      <w:bookmarkEnd w:id="23"/>
      <w:bookmarkEnd w:id="24"/>
      <w:r>
        <w:rPr>
          <w:rFonts w:hint="eastAsia" w:ascii="仿宋_GB2312" w:eastAsia="仿宋_GB2312"/>
          <w:color w:val="auto"/>
          <w:sz w:val="28"/>
          <w:szCs w:val="28"/>
        </w:rPr>
        <w:t>、</w:t>
      </w:r>
      <w:bookmarkStart w:id="25" w:name="_Toc10941"/>
      <w:bookmarkStart w:id="26" w:name="_Toc175639316"/>
      <w:bookmarkStart w:id="27" w:name="_Toc169192597"/>
      <w:bookmarkStart w:id="28" w:name="_Toc181200549"/>
      <w:bookmarkStart w:id="29" w:name="_Toc173685307"/>
      <w:bookmarkStart w:id="30" w:name="_Toc180685946"/>
      <w:bookmarkStart w:id="31" w:name="_Toc179912800"/>
      <w:bookmarkStart w:id="32" w:name="_Toc174607058"/>
      <w:bookmarkStart w:id="33" w:name="_Toc181200489"/>
      <w:r>
        <w:rPr>
          <w:rFonts w:hint="eastAsia" w:ascii="仿宋_GB2312" w:eastAsia="仿宋_GB2312"/>
          <w:color w:val="auto"/>
          <w:sz w:val="28"/>
          <w:szCs w:val="28"/>
        </w:rPr>
        <w:t>评价睡眠周期</w:t>
      </w:r>
      <w:bookmarkEnd w:id="25"/>
      <w:bookmarkEnd w:id="26"/>
      <w:bookmarkEnd w:id="27"/>
      <w:bookmarkEnd w:id="28"/>
      <w:bookmarkEnd w:id="29"/>
      <w:bookmarkEnd w:id="30"/>
      <w:bookmarkEnd w:id="31"/>
      <w:bookmarkEnd w:id="32"/>
      <w:bookmarkEnd w:id="33"/>
      <w:r>
        <w:rPr>
          <w:rFonts w:hint="eastAsia" w:ascii="仿宋_GB2312" w:eastAsia="仿宋_GB2312"/>
          <w:color w:val="auto"/>
          <w:sz w:val="28"/>
          <w:szCs w:val="28"/>
        </w:rPr>
        <w:t>、</w:t>
      </w:r>
      <w:bookmarkStart w:id="34" w:name="_Toc173685308"/>
      <w:bookmarkStart w:id="35" w:name="_Toc175639317"/>
      <w:bookmarkStart w:id="36" w:name="_Toc181200550"/>
      <w:bookmarkStart w:id="37" w:name="_Toc179912801"/>
      <w:bookmarkStart w:id="38" w:name="_Toc11500"/>
      <w:bookmarkStart w:id="39" w:name="_Toc169192598"/>
      <w:bookmarkStart w:id="40" w:name="_Toc180685947"/>
      <w:bookmarkStart w:id="41" w:name="_Toc174607059"/>
      <w:bookmarkStart w:id="42" w:name="_Toc181200490"/>
      <w:r>
        <w:rPr>
          <w:rFonts w:hint="eastAsia" w:ascii="仿宋_GB2312" w:eastAsia="仿宋_GB2312"/>
          <w:color w:val="auto"/>
          <w:sz w:val="28"/>
          <w:szCs w:val="28"/>
        </w:rPr>
        <w:t>评价是否存在惊厥</w:t>
      </w:r>
      <w:bookmarkEnd w:id="34"/>
      <w:bookmarkEnd w:id="35"/>
      <w:bookmarkEnd w:id="36"/>
      <w:bookmarkEnd w:id="37"/>
      <w:bookmarkEnd w:id="38"/>
      <w:bookmarkEnd w:id="39"/>
      <w:bookmarkEnd w:id="40"/>
      <w:bookmarkEnd w:id="41"/>
      <w:bookmarkEnd w:id="42"/>
      <w:bookmarkStart w:id="43" w:name="_Toc173685309"/>
      <w:bookmarkStart w:id="44" w:name="_Toc181200491"/>
      <w:bookmarkStart w:id="45" w:name="_Toc175639318"/>
      <w:bookmarkStart w:id="46" w:name="_Toc174607060"/>
      <w:bookmarkStart w:id="47" w:name="_Toc19002"/>
      <w:bookmarkStart w:id="48" w:name="_Toc179912802"/>
      <w:bookmarkStart w:id="49" w:name="_Toc169192599"/>
      <w:bookmarkStart w:id="50" w:name="_Toc180685948"/>
      <w:bookmarkStart w:id="51" w:name="_Toc181200551"/>
      <w:r>
        <w:rPr>
          <w:rFonts w:hint="eastAsia" w:ascii="仿宋_GB2312" w:eastAsia="仿宋_GB2312"/>
          <w:color w:val="auto"/>
          <w:sz w:val="28"/>
          <w:szCs w:val="28"/>
        </w:rPr>
        <w:t>、正常足月儿aEEG特点</w:t>
      </w:r>
      <w:bookmarkEnd w:id="43"/>
      <w:bookmarkEnd w:id="44"/>
      <w:bookmarkEnd w:id="45"/>
      <w:bookmarkEnd w:id="46"/>
      <w:bookmarkEnd w:id="47"/>
      <w:bookmarkEnd w:id="48"/>
      <w:bookmarkEnd w:id="49"/>
      <w:bookmarkEnd w:id="50"/>
      <w:bookmarkEnd w:id="51"/>
      <w:r>
        <w:rPr>
          <w:rFonts w:hint="eastAsia" w:ascii="仿宋_GB2312" w:eastAsia="仿宋_GB2312"/>
          <w:color w:val="auto"/>
          <w:sz w:val="28"/>
          <w:szCs w:val="28"/>
        </w:rPr>
        <w:t>、</w:t>
      </w:r>
      <w:bookmarkStart w:id="52" w:name="_Toc179912803"/>
      <w:bookmarkStart w:id="53" w:name="_Toc174607061"/>
      <w:bookmarkStart w:id="54" w:name="_Toc173685310"/>
      <w:bookmarkStart w:id="55" w:name="_Toc2931"/>
      <w:bookmarkStart w:id="56" w:name="_Toc181200552"/>
      <w:bookmarkStart w:id="57" w:name="_Toc180685949"/>
      <w:bookmarkStart w:id="58" w:name="_Toc181200492"/>
      <w:bookmarkStart w:id="59" w:name="_Toc175639319"/>
      <w:bookmarkStart w:id="60" w:name="_Toc169192600"/>
      <w:r>
        <w:rPr>
          <w:rFonts w:hint="eastAsia" w:ascii="仿宋_GB2312" w:eastAsia="仿宋_GB2312"/>
          <w:color w:val="auto"/>
          <w:sz w:val="28"/>
          <w:szCs w:val="28"/>
        </w:rPr>
        <w:t>早产儿aEEG特点</w:t>
      </w:r>
      <w:bookmarkEnd w:id="52"/>
      <w:bookmarkEnd w:id="53"/>
      <w:bookmarkEnd w:id="54"/>
      <w:bookmarkEnd w:id="55"/>
      <w:bookmarkEnd w:id="56"/>
      <w:bookmarkEnd w:id="57"/>
      <w:bookmarkEnd w:id="58"/>
      <w:bookmarkEnd w:id="59"/>
      <w:bookmarkEnd w:id="60"/>
      <w:r>
        <w:rPr>
          <w:rFonts w:hint="eastAsia" w:ascii="仿宋_GB2312" w:eastAsia="仿宋_GB2312"/>
          <w:color w:val="auto"/>
          <w:sz w:val="28"/>
          <w:szCs w:val="28"/>
        </w:rPr>
        <w:t>。</w:t>
      </w:r>
    </w:p>
    <w:p w14:paraId="6F9174C3">
      <w:pPr>
        <w:spacing w:line="520" w:lineRule="exact"/>
        <w:ind w:firstLine="560" w:firstLineChars="200"/>
        <w:rPr>
          <w:rFonts w:hint="eastAsia" w:ascii="仿宋_GB2312" w:eastAsia="仿宋_GB2312"/>
          <w:color w:val="auto"/>
          <w:sz w:val="28"/>
          <w:szCs w:val="28"/>
          <w:lang w:val="zh-CN"/>
        </w:rPr>
      </w:pPr>
      <w:r>
        <w:rPr>
          <w:rFonts w:hint="eastAsia" w:ascii="仿宋_GB2312" w:eastAsia="仿宋_GB2312"/>
          <w:color w:val="auto"/>
          <w:sz w:val="28"/>
          <w:szCs w:val="28"/>
        </w:rPr>
        <w:t>5、在相关共识的基础上，</w:t>
      </w:r>
      <w:r>
        <w:rPr>
          <w:rFonts w:hint="eastAsia" w:ascii="仿宋_GB2312" w:eastAsia="仿宋_GB2312"/>
          <w:color w:val="auto"/>
          <w:sz w:val="28"/>
          <w:szCs w:val="28"/>
          <w:lang w:val="zh-CN"/>
        </w:rPr>
        <w:t>增加了</w:t>
      </w:r>
      <w:bookmarkStart w:id="61" w:name="_Toc181200553"/>
      <w:bookmarkStart w:id="62" w:name="_Toc180685951"/>
      <w:bookmarkStart w:id="63" w:name="_Toc179912806"/>
      <w:bookmarkStart w:id="64" w:name="_Toc181200493"/>
      <w:r>
        <w:rPr>
          <w:rFonts w:hint="eastAsia" w:ascii="仿宋_GB2312" w:eastAsia="仿宋_GB2312"/>
          <w:color w:val="auto"/>
          <w:sz w:val="28"/>
          <w:szCs w:val="28"/>
          <w:lang w:val="zh-CN"/>
        </w:rPr>
        <w:t>检查后处理</w:t>
      </w:r>
      <w:bookmarkEnd w:id="61"/>
      <w:bookmarkEnd w:id="62"/>
      <w:bookmarkEnd w:id="63"/>
      <w:bookmarkEnd w:id="64"/>
      <w:r>
        <w:rPr>
          <w:rFonts w:hint="eastAsia" w:ascii="仿宋_GB2312" w:eastAsia="仿宋_GB2312"/>
          <w:color w:val="auto"/>
          <w:sz w:val="28"/>
          <w:szCs w:val="28"/>
          <w:lang w:val="zh-CN"/>
        </w:rPr>
        <w:t>章节内容，对脑电图帽、金属盘状电极清洗、新生儿检查后处理进行了规定，具有较强参考价值。</w:t>
      </w:r>
    </w:p>
    <w:p w14:paraId="31A81503">
      <w:pPr>
        <w:spacing w:line="520" w:lineRule="exact"/>
        <w:ind w:firstLine="562" w:firstLineChars="200"/>
        <w:rPr>
          <w:rFonts w:hint="eastAsia" w:ascii="仿宋_GB2312" w:eastAsia="仿宋_GB2312" w:cs="仿宋_GB2312"/>
          <w:b/>
          <w:color w:val="auto"/>
          <w:sz w:val="28"/>
          <w:szCs w:val="28"/>
          <w:lang w:eastAsia="zh-CN"/>
        </w:rPr>
      </w:pPr>
      <w:r>
        <w:rPr>
          <w:rFonts w:hint="eastAsia" w:ascii="仿宋_GB2312" w:eastAsia="仿宋_GB2312" w:cs="仿宋_GB2312"/>
          <w:b/>
          <w:color w:val="auto"/>
          <w:sz w:val="28"/>
          <w:szCs w:val="28"/>
        </w:rPr>
        <w:t>（四）调研及形成草案、征求意见稿</w:t>
      </w:r>
    </w:p>
    <w:p w14:paraId="494113D8">
      <w:pPr>
        <w:spacing w:line="560" w:lineRule="exact"/>
        <w:ind w:firstLine="560" w:firstLineChars="200"/>
        <w:rPr>
          <w:rFonts w:ascii="仿宋_GB2312" w:hAnsi="宋体" w:eastAsia="仿宋_GB2312"/>
          <w:b/>
          <w:bCs/>
          <w:sz w:val="28"/>
          <w:szCs w:val="28"/>
        </w:rPr>
      </w:pPr>
      <w:r>
        <w:rPr>
          <w:rFonts w:hint="eastAsia" w:ascii="仿宋_GB2312" w:hAnsi="宋体" w:eastAsia="仿宋_GB2312"/>
          <w:sz w:val="28"/>
          <w:szCs w:val="28"/>
        </w:rPr>
        <w:t>2023年3月31日，为了促进广西新生儿医学领域的学术进步，加强区内同行间的相互交流与合作，由广西医学会儿科学分会新生儿学组主办、广西医科大学第二附属医院儿科承办的《新生儿脑损伤与监护学术会议兼aEEG实操班》在南宁以线下会议及实操的形式举办，来自广西医学会儿科学分会主任委员、广西医科大学第二附属医院、复旦大学附属儿科医院新生儿科、桂林医学院第二附属医院等区内外医院的教授及医师对新生儿振幅整合脑电图临床应用、新生儿惊厥临床管理专家共识、早产儿脑损伤、aEEG实操等方面进行了培训推广，来自广西各级医院新生儿医疗、护理人员参于了此次教育学习班。2021年10月15至17日在我院举办“全国新生儿脑功能监测技术临床规范化应用培训班，注重基础训练和实践能力相结合，强化脑功能监测技术与临床相结合，为学员搭建规范化的学习与训练平台，全体学员参与了振幅整合脑电图集中面授课程学习。通过举办两次新生儿脑功能继续教育学习班，把脑功能技术全区推广。</w:t>
      </w:r>
    </w:p>
    <w:p w14:paraId="6E7E4DF3">
      <w:pPr>
        <w:spacing w:line="560" w:lineRule="exact"/>
        <w:ind w:firstLine="560" w:firstLineChars="200"/>
        <w:rPr>
          <w:rFonts w:hint="eastAsia" w:ascii="仿宋_GB2312" w:hAnsi="宋体" w:eastAsia="仿宋_GB2312"/>
          <w:sz w:val="28"/>
          <w:szCs w:val="28"/>
        </w:rPr>
      </w:pPr>
      <w:r>
        <w:rPr>
          <w:rFonts w:hint="eastAsia" w:ascii="仿宋_GB2312" w:hAnsi="宋体" w:eastAsia="仿宋_GB2312"/>
          <w:sz w:val="28"/>
          <w:szCs w:val="28"/>
        </w:rPr>
        <w:t>2023年1月-2023年3月，标准编制工作组查阅了大量的国内文献资料，对新生儿振幅整合脑电图相关的文件进行系统总结。形成了标准的基本构架，对主要内容进行了讨论并对项目的工作进行了部署和安排。</w:t>
      </w:r>
    </w:p>
    <w:p w14:paraId="306C453E">
      <w:pPr>
        <w:spacing w:line="560" w:lineRule="exact"/>
        <w:ind w:firstLine="560" w:firstLineChars="200"/>
        <w:rPr>
          <w:rFonts w:ascii="仿宋_GB2312" w:hAnsi="宋体" w:eastAsia="仿宋_GB2312"/>
          <w:sz w:val="28"/>
          <w:szCs w:val="28"/>
        </w:rPr>
      </w:pPr>
      <w:r>
        <w:rPr>
          <w:rFonts w:hint="eastAsia" w:ascii="仿宋_GB2312" w:hAnsi="宋体" w:eastAsia="仿宋_GB2312" w:cs="Calibri"/>
          <w:sz w:val="28"/>
          <w:szCs w:val="28"/>
        </w:rPr>
        <w:t>2023年3月</w:t>
      </w:r>
      <w:r>
        <w:rPr>
          <w:rFonts w:hint="eastAsia" w:ascii="仿宋_GB2312" w:hAnsi="宋体" w:eastAsia="仿宋_GB2312" w:cs="Calibri"/>
          <w:sz w:val="28"/>
          <w:szCs w:val="28"/>
          <w:lang w:val="en-US" w:eastAsia="zh-CN"/>
        </w:rPr>
        <w:t>-</w:t>
      </w:r>
      <w:r>
        <w:rPr>
          <w:rFonts w:hint="eastAsia" w:ascii="仿宋_GB2312" w:hAnsi="宋体" w:eastAsia="仿宋_GB2312" w:cs="Calibri"/>
          <w:sz w:val="28"/>
          <w:szCs w:val="28"/>
        </w:rPr>
        <w:t>8月，在前期工作的基础之上，通过理清逻辑脉络，整合已有参考资料中有关</w:t>
      </w:r>
      <w:r>
        <w:rPr>
          <w:rFonts w:hint="eastAsia" w:ascii="仿宋_GB2312" w:hAnsi="宋体" w:eastAsia="仿宋_GB2312"/>
          <w:sz w:val="28"/>
          <w:szCs w:val="28"/>
        </w:rPr>
        <w:t>新生儿振幅整合脑电图</w:t>
      </w:r>
      <w:r>
        <w:rPr>
          <w:rFonts w:hint="eastAsia" w:ascii="仿宋_GB2312" w:hAnsi="宋体" w:eastAsia="仿宋_GB2312" w:cs="Calibri"/>
          <w:sz w:val="28"/>
          <w:szCs w:val="28"/>
        </w:rPr>
        <w:t>的要求，并在广西</w:t>
      </w:r>
      <w:r>
        <w:rPr>
          <w:rFonts w:hint="eastAsia" w:ascii="仿宋_GB2312" w:hAnsi="宋体" w:eastAsia="仿宋_GB2312"/>
          <w:sz w:val="28"/>
          <w:szCs w:val="28"/>
        </w:rPr>
        <w:t>新生儿振幅整合脑电图技术</w:t>
      </w:r>
      <w:r>
        <w:rPr>
          <w:rFonts w:hint="eastAsia" w:ascii="仿宋_GB2312" w:hAnsi="宋体" w:eastAsia="仿宋_GB2312" w:cs="Calibri"/>
          <w:sz w:val="28"/>
          <w:szCs w:val="28"/>
        </w:rPr>
        <w:t>实际操作的基础上，按照简化、统一等原则编制完成</w:t>
      </w:r>
      <w:r>
        <w:rPr>
          <w:rFonts w:hint="eastAsia" w:ascii="仿宋_GB2312" w:hAnsi="宋体" w:eastAsia="仿宋_GB2312" w:cs="Calibri"/>
          <w:sz w:val="28"/>
          <w:szCs w:val="28"/>
          <w:lang w:eastAsia="zh-CN"/>
        </w:rPr>
        <w:t>团体标准</w:t>
      </w:r>
      <w:r>
        <w:rPr>
          <w:rFonts w:hint="eastAsia" w:ascii="仿宋_GB2312" w:hAnsi="宋体" w:eastAsia="仿宋_GB2312" w:cs="Calibri"/>
          <w:sz w:val="28"/>
          <w:szCs w:val="28"/>
        </w:rPr>
        <w:t>《</w:t>
      </w:r>
      <w:r>
        <w:rPr>
          <w:rFonts w:hint="eastAsia" w:ascii="仿宋_GB2312" w:hAnsi="宋体" w:eastAsia="仿宋_GB2312"/>
          <w:sz w:val="28"/>
          <w:szCs w:val="28"/>
        </w:rPr>
        <w:t>新生儿振幅整合脑电图技术规范</w:t>
      </w:r>
      <w:r>
        <w:rPr>
          <w:rFonts w:hint="eastAsia" w:ascii="仿宋_GB2312" w:hAnsi="宋体" w:eastAsia="仿宋_GB2312" w:cs="Calibri"/>
          <w:sz w:val="28"/>
          <w:szCs w:val="28"/>
        </w:rPr>
        <w:t>》（草案）</w:t>
      </w:r>
      <w:r>
        <w:rPr>
          <w:rFonts w:ascii="仿宋_GB2312" w:hAnsi="宋体" w:eastAsia="仿宋_GB2312"/>
          <w:sz w:val="28"/>
          <w:szCs w:val="28"/>
        </w:rPr>
        <w:t>。</w:t>
      </w:r>
    </w:p>
    <w:p w14:paraId="7CB248BE">
      <w:pPr>
        <w:spacing w:line="520" w:lineRule="exact"/>
        <w:ind w:firstLine="560" w:firstLineChars="200"/>
        <w:rPr>
          <w:rFonts w:ascii="仿宋_GB2312" w:eastAsia="仿宋_GB2312"/>
          <w:kern w:val="0"/>
          <w:sz w:val="28"/>
          <w:szCs w:val="28"/>
        </w:rPr>
      </w:pPr>
      <w:r>
        <w:rPr>
          <w:rFonts w:hint="eastAsia" w:ascii="仿宋_GB2312" w:hAnsi="宋体" w:eastAsia="仿宋_GB2312"/>
          <w:sz w:val="28"/>
          <w:szCs w:val="28"/>
        </w:rPr>
        <w:t>2</w:t>
      </w:r>
      <w:r>
        <w:rPr>
          <w:rFonts w:ascii="仿宋_GB2312" w:hAnsi="宋体" w:eastAsia="仿宋_GB2312"/>
          <w:sz w:val="28"/>
          <w:szCs w:val="28"/>
        </w:rPr>
        <w:t>023</w:t>
      </w:r>
      <w:r>
        <w:rPr>
          <w:rFonts w:hint="eastAsia" w:ascii="仿宋_GB2312" w:hAnsi="宋体" w:eastAsia="仿宋_GB2312"/>
          <w:sz w:val="28"/>
          <w:szCs w:val="28"/>
        </w:rPr>
        <w:t>年9月-</w:t>
      </w:r>
      <w:r>
        <w:rPr>
          <w:rFonts w:ascii="仿宋_GB2312" w:hAnsi="宋体" w:eastAsia="仿宋_GB2312"/>
          <w:sz w:val="28"/>
          <w:szCs w:val="28"/>
        </w:rPr>
        <w:t>2024</w:t>
      </w:r>
      <w:r>
        <w:rPr>
          <w:rFonts w:hint="eastAsia" w:ascii="仿宋_GB2312" w:hAnsi="宋体" w:eastAsia="仿宋_GB2312"/>
          <w:sz w:val="28"/>
          <w:szCs w:val="28"/>
        </w:rPr>
        <w:t>年</w:t>
      </w:r>
      <w:r>
        <w:rPr>
          <w:rFonts w:hint="eastAsia" w:ascii="仿宋_GB2312" w:hAnsi="宋体" w:eastAsia="仿宋_GB2312"/>
          <w:sz w:val="28"/>
          <w:szCs w:val="28"/>
          <w:lang w:val="en-US" w:eastAsia="zh-CN"/>
        </w:rPr>
        <w:t>10</w:t>
      </w:r>
      <w:r>
        <w:rPr>
          <w:rFonts w:hint="eastAsia" w:ascii="仿宋_GB2312" w:hAnsi="宋体" w:eastAsia="仿宋_GB2312"/>
          <w:sz w:val="28"/>
          <w:szCs w:val="28"/>
        </w:rPr>
        <w:t>月，标准编制工作组多次召开会议，深入广西各地涉及新生儿振幅整合脑电图技术的有代表性的医院进行实地调研，实际征求了广西壮族自治区妇幼保健院、南宁市妇幼保健院、玉林市第一人民医院、上饶市妇幼保健院儿童医院、浙江大学医学院附属第一医院等单位的意见，收集反馈了大量意见，并组织相关主管单位、医疗机构等召开标准研讨会，对标准草案进行了反复修改和研究讨论，最终形成了</w:t>
      </w:r>
      <w:r>
        <w:rPr>
          <w:rFonts w:hint="eastAsia" w:ascii="仿宋_GB2312" w:hAnsi="宋体" w:eastAsia="仿宋_GB2312" w:cs="Calibri"/>
          <w:sz w:val="28"/>
          <w:szCs w:val="28"/>
          <w:lang w:eastAsia="zh-CN"/>
        </w:rPr>
        <w:t>团体标准</w:t>
      </w:r>
      <w:r>
        <w:rPr>
          <w:rFonts w:hint="eastAsia" w:ascii="仿宋_GB2312" w:hAnsi="宋体" w:eastAsia="仿宋_GB2312"/>
          <w:sz w:val="28"/>
          <w:szCs w:val="28"/>
        </w:rPr>
        <w:t>《新生儿振幅整合脑电图技术规范》（征求意见稿）和（征求意见稿）编制说明。</w:t>
      </w:r>
    </w:p>
    <w:p w14:paraId="423E8998">
      <w:pPr>
        <w:autoSpaceDE w:val="0"/>
        <w:autoSpaceDN w:val="0"/>
        <w:adjustRightInd w:val="0"/>
        <w:spacing w:line="520" w:lineRule="exact"/>
        <w:ind w:firstLine="640" w:firstLineChars="200"/>
        <w:jc w:val="left"/>
        <w:rPr>
          <w:rFonts w:hint="eastAsia" w:ascii="黑体" w:eastAsia="黑体" w:cs="仿宋_GB2312"/>
          <w:color w:val="auto"/>
          <w:sz w:val="32"/>
          <w:szCs w:val="32"/>
        </w:rPr>
      </w:pPr>
      <w:r>
        <w:rPr>
          <w:rFonts w:hint="eastAsia" w:ascii="黑体" w:eastAsia="黑体" w:cs="仿宋_GB2312"/>
          <w:color w:val="auto"/>
          <w:sz w:val="32"/>
          <w:szCs w:val="32"/>
        </w:rPr>
        <w:t>四、制定标准的原则和依据，与现行法律、法规的关系，与有关国家标准、行业标准的协调情况</w:t>
      </w:r>
    </w:p>
    <w:p w14:paraId="43D9D88F">
      <w:pPr>
        <w:widowControl/>
        <w:tabs>
          <w:tab w:val="center" w:pos="4201"/>
          <w:tab w:val="right" w:leader="dot" w:pos="9298"/>
        </w:tabs>
        <w:autoSpaceDE w:val="0"/>
        <w:autoSpaceDN w:val="0"/>
        <w:spacing w:line="520" w:lineRule="exact"/>
        <w:ind w:firstLine="562" w:firstLineChars="200"/>
        <w:outlineLvl w:val="1"/>
        <w:rPr>
          <w:rFonts w:hint="eastAsia" w:ascii="仿宋_GB2312" w:eastAsia="仿宋_GB2312"/>
          <w:b/>
          <w:bCs/>
          <w:color w:val="auto"/>
          <w:kern w:val="0"/>
          <w:sz w:val="28"/>
          <w:szCs w:val="28"/>
        </w:rPr>
      </w:pPr>
      <w:r>
        <w:rPr>
          <w:rFonts w:hint="eastAsia" w:ascii="仿宋_GB2312" w:eastAsia="仿宋_GB2312"/>
          <w:b/>
          <w:bCs/>
          <w:color w:val="auto"/>
          <w:kern w:val="0"/>
          <w:sz w:val="28"/>
          <w:szCs w:val="28"/>
        </w:rPr>
        <w:t>（一）编制原则</w:t>
      </w:r>
    </w:p>
    <w:p w14:paraId="1232FA9D">
      <w:pPr>
        <w:spacing w:line="52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1、实用性原则</w:t>
      </w:r>
    </w:p>
    <w:p w14:paraId="109FA20F">
      <w:pPr>
        <w:spacing w:line="520" w:lineRule="exact"/>
        <w:ind w:firstLine="560" w:firstLineChars="200"/>
        <w:rPr>
          <w:rFonts w:ascii="仿宋_GB2312" w:eastAsia="仿宋_GB2312" w:cs="仿宋"/>
          <w:color w:val="auto"/>
          <w:sz w:val="28"/>
          <w:szCs w:val="28"/>
        </w:rPr>
      </w:pPr>
      <w:r>
        <w:rPr>
          <w:rFonts w:hint="eastAsia" w:ascii="仿宋_GB2312" w:hAnsi="宋体" w:eastAsia="仿宋_GB2312"/>
          <w:sz w:val="28"/>
          <w:szCs w:val="28"/>
        </w:rPr>
        <w:t>本标准中有关新生儿振幅整合脑电图技术内容及要求的规定，是在充分收集相关资料和文献，分析区内新生儿振幅整合脑电图技术的当前现状，调研区域内关于新生儿振幅整合脑电图技术的地域要求的基础上，进行制定。符合当前区内新生儿振幅整合脑电图技术操作规范发展水平，具有较强的实用性和可操作性。</w:t>
      </w:r>
    </w:p>
    <w:p w14:paraId="2CCAEDA8">
      <w:pPr>
        <w:spacing w:line="52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2、协调性原则</w:t>
      </w:r>
    </w:p>
    <w:p w14:paraId="43CF6D49">
      <w:pPr>
        <w:spacing w:line="520" w:lineRule="exact"/>
        <w:ind w:firstLine="560" w:firstLineChars="200"/>
        <w:rPr>
          <w:rFonts w:hint="eastAsia" w:ascii="仿宋_GB2312" w:hAnsi="宋体" w:eastAsia="仿宋_GB2312"/>
          <w:sz w:val="28"/>
          <w:szCs w:val="28"/>
        </w:rPr>
      </w:pPr>
      <w:r>
        <w:rPr>
          <w:rFonts w:hint="eastAsia" w:ascii="仿宋_GB2312" w:hAnsi="宋体" w:eastAsia="仿宋_GB2312"/>
          <w:sz w:val="28"/>
          <w:szCs w:val="28"/>
        </w:rPr>
        <w:t>本文件编写过程中注意了与新生儿振幅整合脑电图技术相关法律法规的协调问题，在内容上与现行法律法规、标准协调一致。</w:t>
      </w:r>
    </w:p>
    <w:p w14:paraId="7F77537C">
      <w:pPr>
        <w:spacing w:line="52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3、规范性原则</w:t>
      </w:r>
    </w:p>
    <w:p w14:paraId="2CA3FAA5">
      <w:pPr>
        <w:spacing w:line="520" w:lineRule="exact"/>
        <w:ind w:firstLine="560" w:firstLineChars="200"/>
        <w:rPr>
          <w:rFonts w:hint="eastAsia" w:ascii="仿宋_GB2312" w:eastAsia="仿宋_GB2312"/>
          <w:color w:val="auto"/>
          <w:sz w:val="28"/>
          <w:szCs w:val="28"/>
        </w:rPr>
      </w:pPr>
      <w:r>
        <w:rPr>
          <w:rFonts w:hint="eastAsia" w:ascii="仿宋_GB2312" w:hAnsi="宋体" w:eastAsia="仿宋_GB2312"/>
          <w:sz w:val="28"/>
          <w:szCs w:val="28"/>
        </w:rPr>
        <w:t>本文件按照GB/T 1.1—2020《标准化工作导则第1部分：标准化文件的结构和起草规则》的要求和规定编写本标准的内容，保证标准的编写质量。</w:t>
      </w:r>
    </w:p>
    <w:p w14:paraId="411641D6">
      <w:pPr>
        <w:spacing w:line="52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4、前瞻性原则</w:t>
      </w:r>
    </w:p>
    <w:p w14:paraId="480B9C6A">
      <w:pPr>
        <w:spacing w:line="520" w:lineRule="exact"/>
        <w:ind w:firstLine="560" w:firstLineChars="200"/>
        <w:rPr>
          <w:rFonts w:hint="eastAsia" w:ascii="仿宋_GB2312" w:eastAsia="仿宋_GB2312"/>
          <w:color w:val="auto"/>
          <w:sz w:val="28"/>
          <w:szCs w:val="28"/>
        </w:rPr>
      </w:pPr>
      <w:r>
        <w:rPr>
          <w:rFonts w:hint="eastAsia" w:ascii="仿宋_GB2312" w:hAnsi="宋体" w:eastAsia="仿宋_GB2312"/>
          <w:sz w:val="28"/>
          <w:szCs w:val="28"/>
        </w:rPr>
        <w:t>本标准在兼顾新生儿振幅整合脑电图技术的现实情况的同时，还考虑到了医学快速发展的趋势和需要，突出了新生儿振幅整合脑电图技术的操作要点、特色，标准在新生儿振幅整合脑电图技术上体现了个别特色性、前瞻性和先进性条款，作为对行业发展的引导。</w:t>
      </w:r>
    </w:p>
    <w:p w14:paraId="2D6EFC67">
      <w:pPr>
        <w:spacing w:line="520" w:lineRule="exact"/>
        <w:ind w:firstLine="562" w:firstLineChars="200"/>
        <w:rPr>
          <w:rFonts w:hint="eastAsia" w:ascii="仿宋_GB2312" w:eastAsia="仿宋_GB2312"/>
          <w:b/>
          <w:bCs/>
          <w:color w:val="auto"/>
          <w:sz w:val="28"/>
          <w:szCs w:val="28"/>
        </w:rPr>
      </w:pPr>
      <w:r>
        <w:rPr>
          <w:rFonts w:hint="eastAsia" w:ascii="仿宋_GB2312" w:eastAsia="仿宋_GB2312"/>
          <w:b/>
          <w:bCs/>
          <w:color w:val="auto"/>
          <w:sz w:val="28"/>
          <w:szCs w:val="28"/>
        </w:rPr>
        <w:t>（二）编制依据</w:t>
      </w:r>
    </w:p>
    <w:p w14:paraId="7621A57A">
      <w:pPr>
        <w:spacing w:line="520" w:lineRule="exact"/>
        <w:ind w:firstLine="560" w:firstLineChars="200"/>
        <w:rPr>
          <w:rFonts w:hint="eastAsia" w:ascii="仿宋_GB2312" w:eastAsia="仿宋_GB2312"/>
          <w:color w:val="auto"/>
          <w:sz w:val="28"/>
          <w:szCs w:val="28"/>
        </w:rPr>
      </w:pPr>
      <w:r>
        <w:rPr>
          <w:rFonts w:hint="eastAsia" w:ascii="仿宋_GB2312" w:hAnsi="宋体" w:eastAsia="仿宋_GB2312" w:cs="Calibri"/>
          <w:sz w:val="28"/>
          <w:szCs w:val="28"/>
        </w:rPr>
        <w:t>本标准严格按照GB/T 1.1—2020《标准化工作导则  第1部分：标准化文件的结构和起草规则》的规则起草，标准主要内容依据起草单位在</w:t>
      </w:r>
      <w:r>
        <w:rPr>
          <w:rFonts w:hint="eastAsia" w:ascii="仿宋_GB2312" w:hAnsi="宋体" w:eastAsia="仿宋_GB2312"/>
          <w:sz w:val="28"/>
          <w:szCs w:val="28"/>
        </w:rPr>
        <w:t>新生儿振幅整合脑电图</w:t>
      </w:r>
      <w:r>
        <w:rPr>
          <w:rFonts w:hint="eastAsia" w:ascii="仿宋_GB2312" w:hAnsi="宋体" w:eastAsia="仿宋_GB2312" w:cs="Calibri"/>
          <w:sz w:val="28"/>
          <w:szCs w:val="28"/>
        </w:rPr>
        <w:t>技术研究应用过程中的实践经验确定。</w:t>
      </w:r>
    </w:p>
    <w:p w14:paraId="6D47F5E6">
      <w:pPr>
        <w:spacing w:line="520" w:lineRule="exact"/>
        <w:ind w:firstLine="562" w:firstLineChars="200"/>
        <w:rPr>
          <w:rFonts w:hint="eastAsia" w:ascii="仿宋_GB2312" w:eastAsia="仿宋_GB2312"/>
          <w:b/>
          <w:bCs/>
          <w:color w:val="auto"/>
          <w:sz w:val="28"/>
          <w:szCs w:val="28"/>
        </w:rPr>
      </w:pPr>
      <w:r>
        <w:rPr>
          <w:rFonts w:hint="eastAsia" w:ascii="仿宋_GB2312" w:eastAsia="仿宋_GB2312"/>
          <w:b/>
          <w:bCs/>
          <w:color w:val="auto"/>
          <w:sz w:val="28"/>
          <w:szCs w:val="28"/>
        </w:rPr>
        <w:t>（三）与现行法律、法规的关系，与有关国家标准、行业标准的协调情况</w:t>
      </w:r>
    </w:p>
    <w:p w14:paraId="118E43A5">
      <w:pPr>
        <w:spacing w:line="560" w:lineRule="exact"/>
        <w:ind w:firstLine="560" w:firstLineChars="200"/>
        <w:rPr>
          <w:rFonts w:hint="eastAsia" w:ascii="仿宋_GB2312" w:hAnsi="宋体" w:eastAsia="仿宋_GB2312" w:cs="Calibri"/>
          <w:sz w:val="28"/>
          <w:szCs w:val="28"/>
        </w:rPr>
      </w:pPr>
      <w:r>
        <w:rPr>
          <w:rFonts w:hint="eastAsia" w:ascii="仿宋_GB2312" w:hAnsi="宋体" w:eastAsia="仿宋_GB2312" w:cs="Calibri"/>
          <w:sz w:val="28"/>
          <w:szCs w:val="28"/>
        </w:rPr>
        <w:t>本标准与相关法律法规、强制性标准协调一致，无冲突。</w:t>
      </w:r>
    </w:p>
    <w:p w14:paraId="4F6667FF">
      <w:pPr>
        <w:spacing w:line="560" w:lineRule="exact"/>
        <w:ind w:firstLine="560" w:firstLineChars="200"/>
        <w:rPr>
          <w:rFonts w:hint="eastAsia" w:ascii="仿宋_GB2312" w:hAnsi="宋体" w:eastAsia="仿宋_GB2312" w:cs="Calibri"/>
          <w:sz w:val="28"/>
          <w:szCs w:val="28"/>
          <w:lang w:eastAsia="zh-CN"/>
        </w:rPr>
      </w:pPr>
      <w:r>
        <w:rPr>
          <w:rFonts w:hint="eastAsia" w:ascii="仿宋_GB2312" w:hAnsi="宋体" w:eastAsia="仿宋_GB2312" w:cs="Calibri"/>
          <w:sz w:val="28"/>
          <w:szCs w:val="28"/>
          <w:lang w:eastAsia="zh-CN"/>
        </w:rPr>
        <w:t>经查阅，截至目前，国内暂无与“新生儿振幅整合脑电图技术”相关的标准。</w:t>
      </w:r>
    </w:p>
    <w:p w14:paraId="520C4C67">
      <w:pPr>
        <w:spacing w:line="560" w:lineRule="exact"/>
        <w:ind w:firstLine="560" w:firstLineChars="200"/>
        <w:rPr>
          <w:rFonts w:hint="eastAsia" w:ascii="仿宋_GB2312" w:hAnsi="宋体" w:eastAsia="仿宋_GB2312" w:cs="Calibri"/>
          <w:sz w:val="28"/>
          <w:szCs w:val="28"/>
          <w:lang w:eastAsia="zh-CN"/>
        </w:rPr>
      </w:pPr>
      <w:r>
        <w:rPr>
          <w:rFonts w:hint="eastAsia" w:ascii="仿宋_GB2312" w:hAnsi="宋体" w:eastAsia="仿宋_GB2312" w:cs="Calibri"/>
          <w:sz w:val="28"/>
          <w:szCs w:val="28"/>
          <w:lang w:eastAsia="zh-CN"/>
        </w:rPr>
        <w:t>与“脑电图”“振幅  电图”“新生儿”有关的标准有JJG 1043-2008脑电图机检定规程、JJG 954-2019数字脑电图仪检定规程、JJG 749-2007心、脑电图机检定仪检定规程、脑电图评估神经重症患者脑功能技术规范、T/JX 078—2025  临床脑电图检查及报告规范、T/GXAS 989—2025  脑电图评估神经重症患者脑功能技术规范。</w:t>
      </w:r>
    </w:p>
    <w:p w14:paraId="19458577">
      <w:pPr>
        <w:spacing w:line="560" w:lineRule="exact"/>
        <w:ind w:firstLine="560" w:firstLineChars="200"/>
        <w:rPr>
          <w:rFonts w:hint="eastAsia" w:ascii="仿宋_GB2312" w:hAnsi="宋体" w:eastAsia="仿宋_GB2312" w:cs="Calibri"/>
          <w:sz w:val="28"/>
          <w:szCs w:val="28"/>
          <w:lang w:eastAsia="zh-CN"/>
        </w:rPr>
      </w:pPr>
      <w:r>
        <w:rPr>
          <w:rFonts w:hint="eastAsia" w:ascii="仿宋_GB2312" w:hAnsi="宋体" w:eastAsia="仿宋_GB2312" w:cs="Calibri"/>
          <w:sz w:val="28"/>
          <w:szCs w:val="28"/>
          <w:lang w:eastAsia="zh-CN"/>
        </w:rPr>
        <w:t>其中《T/GXAS 989—2025  脑电图评估神经重症患者脑功能技术规范》规定了脑电图评估神经重症患者脑功能技术的基本要求、评估前准备、评估方法与操作、评估内容、脑电图描述及诊断等方面内容。而本标准明确的新生儿检查操作包括：电极选择（按新生儿情况可选择单导、双导、多导）、脑电图帽、金属盘状电极、水凝胶脑电电极或一次性电极的操作方法，并明确了护理重点（对监测过程中新生儿出现的特殊事件，如可疑惊厥发作、呼吸暂停或喂奶、检查、治疗等）、新生儿检测时间、注意事项。同时规定了针对新生儿患者的数据采集与评价、检查后处理、复查环节评估内容，且适用于有脑损伤表现或存在脑损伤高危因素的新生儿、新生儿脑损伤治疗效果的评估、惊厥或疑似惊厥的检测、脑发育的评估，与脑电图评估神经重症患者脑功能技术要求不同。神经重症患者脑功能技术的评估内容、脑电图描述和诊断要求均与新生儿脑电图技术关注的数据采集、脑电背景活动、评价周期、aEEG特点不同。《T/JX 078—2025  临床脑电图检查及报告规范》脑电图检查的术语和定义、临床应用、检查前准备、检查操作和报告书写。均不涉及新生儿检查及数据采集、评估的内容</w:t>
      </w:r>
    </w:p>
    <w:p w14:paraId="17495402">
      <w:pPr>
        <w:spacing w:line="560" w:lineRule="exact"/>
        <w:ind w:firstLine="560" w:firstLineChars="200"/>
        <w:rPr>
          <w:rFonts w:hint="eastAsia"/>
          <w:color w:val="auto"/>
          <w:lang w:eastAsia="zh-CN"/>
        </w:rPr>
      </w:pPr>
      <w:r>
        <w:rPr>
          <w:rFonts w:hint="eastAsia" w:ascii="仿宋_GB2312" w:hAnsi="宋体" w:eastAsia="仿宋_GB2312" w:cs="Calibri"/>
          <w:sz w:val="28"/>
          <w:szCs w:val="28"/>
          <w:lang w:eastAsia="zh-CN"/>
        </w:rPr>
        <w:t>其他标准主要涉及脑电图机使用的基本要求、机型评价、产品检定规则等，不涉及应用于新生儿脑电监测的操作规范，不具有指导操作采集的aEEG图形，不能指导新生儿振幅整合脑电图的临床作用。</w:t>
      </w:r>
    </w:p>
    <w:p w14:paraId="7B6445AB">
      <w:pPr>
        <w:spacing w:before="240" w:after="60" w:line="520" w:lineRule="exact"/>
        <w:ind w:firstLine="640" w:firstLineChars="200"/>
        <w:jc w:val="left"/>
        <w:outlineLvl w:val="0"/>
        <w:rPr>
          <w:rFonts w:hint="eastAsia" w:ascii="黑体" w:eastAsia="黑体"/>
          <w:bCs/>
          <w:color w:val="auto"/>
          <w:sz w:val="32"/>
          <w:szCs w:val="32"/>
        </w:rPr>
      </w:pPr>
      <w:r>
        <w:rPr>
          <w:rFonts w:hint="eastAsia" w:ascii="黑体" w:eastAsia="黑体"/>
          <w:bCs/>
          <w:color w:val="auto"/>
          <w:sz w:val="32"/>
          <w:szCs w:val="32"/>
        </w:rPr>
        <w:t>五、主要条款的说明</w:t>
      </w:r>
    </w:p>
    <w:p w14:paraId="6D24DAB7">
      <w:pPr>
        <w:spacing w:line="560" w:lineRule="exact"/>
        <w:ind w:firstLine="560" w:firstLineChars="200"/>
        <w:rPr>
          <w:rFonts w:hint="eastAsia" w:ascii="仿宋_GB2312" w:hAnsi="宋体" w:eastAsia="仿宋_GB2312"/>
          <w:sz w:val="28"/>
          <w:szCs w:val="28"/>
        </w:rPr>
      </w:pPr>
      <w:r>
        <w:rPr>
          <w:rFonts w:hint="eastAsia" w:ascii="仿宋_GB2312" w:hAnsi="宋体" w:eastAsia="仿宋_GB2312"/>
          <w:sz w:val="28"/>
          <w:szCs w:val="28"/>
        </w:rPr>
        <w:t>本文件规定了新生儿振幅整合脑电图的基本要求、适应症和禁忌症、检查操作、数据采集与评价、检查后处理、复查时间、书写报告内容的要求。通过实地走访、交流学习等形式，广泛征求区内各妇幼保健院/综合医院新生儿科的意见结合广西医科大学第二附属医院近年在新生儿振幅整合脑电图技术中的实际经验、试验总结。在《</w:t>
      </w:r>
      <w:r>
        <w:rPr>
          <w:rFonts w:hint="eastAsia" w:ascii="仿宋_GB2312" w:hAnsi="宋体" w:eastAsia="仿宋_GB2312"/>
          <w:sz w:val="28"/>
          <w:szCs w:val="28"/>
          <w:lang w:val="zh-CN"/>
        </w:rPr>
        <w:t>新生儿振幅整合脑电图临床应用专家共识》《新生儿脑电图操作和报告书写最低技术标准专家共识</w:t>
      </w:r>
      <w:r>
        <w:rPr>
          <w:rFonts w:hint="eastAsia" w:ascii="仿宋_GB2312" w:hAnsi="宋体" w:eastAsia="仿宋_GB2312"/>
          <w:sz w:val="28"/>
          <w:szCs w:val="28"/>
        </w:rPr>
        <w:t>》</w:t>
      </w:r>
      <w:r>
        <w:rPr>
          <w:rFonts w:hint="eastAsia" w:ascii="仿宋_GB2312" w:hAnsi="宋体" w:eastAsia="仿宋_GB2312"/>
          <w:sz w:val="28"/>
          <w:szCs w:val="28"/>
          <w:lang w:val="zh-CN"/>
        </w:rPr>
        <w:t>《新生儿神经重症监护单元如何应用振幅整合脑电图》</w:t>
      </w:r>
      <w:r>
        <w:rPr>
          <w:rFonts w:hint="eastAsia" w:ascii="仿宋_GB2312" w:hAnsi="宋体" w:eastAsia="仿宋_GB2312"/>
          <w:sz w:val="28"/>
          <w:szCs w:val="28"/>
        </w:rPr>
        <w:t>《</w:t>
      </w:r>
      <w:r>
        <w:rPr>
          <w:rFonts w:hint="eastAsia" w:ascii="仿宋_GB2312" w:hAnsi="宋体" w:eastAsia="仿宋_GB2312"/>
          <w:sz w:val="28"/>
          <w:szCs w:val="28"/>
          <w:lang w:val="zh-CN"/>
        </w:rPr>
        <w:t>临床脑电图技术操作指南》的基础上，针对新生儿整合细化了“人员要求”，增加了适应症和禁忌症，整合细化了患儿准备部分：减少对患儿的搬动、评估患儿头部是否有头颅血肿、局部头皮破损，头发茂密是否需要备皮等条款。增加了以及金属盘状电极的直观测量方法、水凝胶电极的选择、定位及具体操作方法，并增加了对脑电图帽、金属盘状电极清洗、新生儿检查后处理的规定，具有较强参考价值。</w:t>
      </w:r>
    </w:p>
    <w:p w14:paraId="75F75474">
      <w:pPr>
        <w:spacing w:line="560" w:lineRule="exact"/>
        <w:ind w:firstLine="643" w:firstLineChars="200"/>
        <w:rPr>
          <w:rFonts w:hint="eastAsia" w:ascii="楷体" w:hAnsi="楷体" w:eastAsia="楷体"/>
          <w:b/>
          <w:sz w:val="32"/>
          <w:szCs w:val="32"/>
        </w:rPr>
      </w:pPr>
      <w:r>
        <w:rPr>
          <w:rFonts w:hint="eastAsia" w:ascii="楷体" w:hAnsi="楷体" w:eastAsia="楷体"/>
          <w:b/>
          <w:sz w:val="32"/>
          <w:szCs w:val="32"/>
        </w:rPr>
        <w:t>（一）术语和定义</w:t>
      </w:r>
    </w:p>
    <w:p w14:paraId="2DE5C9FA">
      <w:pPr>
        <w:keepNext w:val="0"/>
        <w:keepLines w:val="0"/>
        <w:pageBreakBefore w:val="0"/>
        <w:kinsoku/>
        <w:wordWrap/>
        <w:overflowPunct/>
        <w:topLinePunct w:val="0"/>
        <w:bidi w:val="0"/>
        <w:adjustRightInd/>
        <w:snapToGrid/>
        <w:spacing w:beforeAutospacing="0" w:afterAutospacing="0" w:line="560" w:lineRule="exact"/>
        <w:ind w:firstLine="560" w:firstLineChars="200"/>
        <w:textAlignment w:val="auto"/>
        <w:rPr>
          <w:rFonts w:hint="eastAsia" w:ascii="仿宋_GB2312" w:hAnsi="仿宋_GB2312" w:eastAsia="仿宋_GB2312" w:cs="仿宋_GB2312"/>
          <w:kern w:val="0"/>
          <w:sz w:val="28"/>
          <w:szCs w:val="28"/>
          <w:lang w:val="zh-CN"/>
        </w:rPr>
      </w:pPr>
      <w:r>
        <w:rPr>
          <w:rFonts w:hint="eastAsia" w:ascii="仿宋_GB2312" w:hAnsi="宋体" w:eastAsia="仿宋_GB2312"/>
          <w:sz w:val="28"/>
          <w:szCs w:val="28"/>
        </w:rPr>
        <w:t>明确了新生儿振幅整合脑电图</w:t>
      </w:r>
      <w:r>
        <w:rPr>
          <w:rFonts w:ascii="仿宋_GB2312" w:hAnsi="宋体" w:eastAsia="仿宋_GB2312"/>
          <w:b/>
          <w:sz w:val="28"/>
          <w:szCs w:val="28"/>
        </w:rPr>
        <w:t>——</w:t>
      </w:r>
      <w:r>
        <w:rPr>
          <w:rFonts w:hint="eastAsia" w:ascii="仿宋_GB2312" w:hAnsi="宋体" w:eastAsia="仿宋_GB2312"/>
          <w:sz w:val="28"/>
          <w:szCs w:val="28"/>
        </w:rPr>
        <w:t>新生儿、振幅整合脑电图的术语和定义，“新生儿”指出生后脐带结扎开始到整28天以内的</w:t>
      </w:r>
      <w:r>
        <w:rPr>
          <w:rFonts w:hint="eastAsia" w:ascii="仿宋_GB2312" w:hAnsi="宋体" w:eastAsia="仿宋_GB2312"/>
          <w:sz w:val="28"/>
          <w:szCs w:val="28"/>
          <w:lang w:eastAsia="zh-CN"/>
        </w:rPr>
        <w:t>婴</w:t>
      </w:r>
      <w:r>
        <w:rPr>
          <w:rFonts w:hint="eastAsia" w:ascii="仿宋_GB2312" w:hAnsi="宋体" w:eastAsia="仿宋_GB2312"/>
          <w:sz w:val="28"/>
          <w:szCs w:val="28"/>
        </w:rPr>
        <w:t>儿；“振幅整合脑电图(aEEG)”是将原始脑电图的振幅在半对数坐标下通过不对称滤波、修整、平齐以及时间压缩，使用全导或数量相对少的脑电电极进行床旁脑功能监测的方法，可持续、长程监测,结果判读直观，具有可显示脑功能趋势的一种简化电极的床旁脑电监测方法。主要依据</w:t>
      </w:r>
      <w:r>
        <w:rPr>
          <w:rFonts w:hint="eastAsia" w:ascii="仿宋_GB2312" w:hAnsi="仿宋_GB2312" w:eastAsia="仿宋_GB2312" w:cs="仿宋_GB2312"/>
          <w:kern w:val="0"/>
          <w:sz w:val="28"/>
          <w:szCs w:val="28"/>
          <w:lang w:val="zh-CN"/>
        </w:rPr>
        <w:t>中华医学会儿科学分会围产专业委员会. 新生儿振幅整合脑电图临床应用专家共识[J].中华新生儿科杂志(中英文),2019总结确定。</w:t>
      </w:r>
    </w:p>
    <w:p w14:paraId="6A9B6790">
      <w:pPr>
        <w:pStyle w:val="2"/>
        <w:keepNext w:val="0"/>
        <w:keepLines w:val="0"/>
        <w:pageBreakBefore w:val="0"/>
        <w:kinsoku/>
        <w:wordWrap/>
        <w:overflowPunct/>
        <w:topLinePunct w:val="0"/>
        <w:bidi w:val="0"/>
        <w:adjustRightInd/>
        <w:snapToGrid/>
        <w:spacing w:beforeAutospacing="0" w:afterAutospacing="0"/>
        <w:jc w:val="center"/>
        <w:textAlignment w:val="auto"/>
        <w:rPr>
          <w:rFonts w:hint="eastAsia" w:eastAsia="宋体"/>
          <w:lang w:eastAsia="zh-CN"/>
        </w:rPr>
      </w:pPr>
      <w:r>
        <w:rPr>
          <w:rFonts w:hint="eastAsia" w:eastAsia="宋体"/>
          <w:lang w:eastAsia="zh-CN"/>
        </w:rPr>
        <w:drawing>
          <wp:inline distT="0" distB="0" distL="114300" distR="114300">
            <wp:extent cx="2950210" cy="1521460"/>
            <wp:effectExtent l="0" t="0" r="2540" b="2540"/>
            <wp:docPr id="4" name="图片 1" descr="cd56669dc918c40ed2d160b9db122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cd56669dc918c40ed2d160b9db122c5"/>
                    <pic:cNvPicPr>
                      <a:picLocks noChangeAspect="1"/>
                    </pic:cNvPicPr>
                  </pic:nvPicPr>
                  <pic:blipFill>
                    <a:blip r:embed="rId5"/>
                    <a:stretch>
                      <a:fillRect/>
                    </a:stretch>
                  </pic:blipFill>
                  <pic:spPr>
                    <a:xfrm>
                      <a:off x="0" y="0"/>
                      <a:ext cx="2950210" cy="1521460"/>
                    </a:xfrm>
                    <a:prstGeom prst="rect">
                      <a:avLst/>
                    </a:prstGeom>
                    <a:noFill/>
                    <a:ln>
                      <a:noFill/>
                    </a:ln>
                  </pic:spPr>
                </pic:pic>
              </a:graphicData>
            </a:graphic>
          </wp:inline>
        </w:drawing>
      </w:r>
    </w:p>
    <w:p w14:paraId="250FFD76">
      <w:pPr>
        <w:pStyle w:val="48"/>
        <w:keepNext w:val="0"/>
        <w:keepLines w:val="0"/>
        <w:pageBreakBefore w:val="0"/>
        <w:numPr>
          <w:ilvl w:val="0"/>
          <w:numId w:val="0"/>
        </w:numPr>
        <w:kinsoku/>
        <w:wordWrap/>
        <w:overflowPunct/>
        <w:topLinePunct w:val="0"/>
        <w:bidi w:val="0"/>
        <w:adjustRightInd/>
        <w:snapToGrid/>
        <w:spacing w:before="0" w:beforeLines="0" w:beforeAutospacing="0" w:after="0" w:afterLines="0" w:afterAutospacing="0"/>
        <w:ind w:left="420" w:leftChars="200" w:firstLine="281" w:firstLineChars="100"/>
        <w:textAlignment w:val="auto"/>
        <w:rPr>
          <w:rFonts w:hint="eastAsia" w:ascii="楷体" w:hAnsi="楷体" w:eastAsia="楷体" w:cs="Calibri"/>
          <w:b/>
          <w:kern w:val="2"/>
          <w:sz w:val="28"/>
          <w:szCs w:val="28"/>
        </w:rPr>
      </w:pPr>
      <w:r>
        <w:rPr>
          <w:rFonts w:hint="eastAsia" w:ascii="楷体" w:hAnsi="楷体" w:eastAsia="楷体" w:cs="Calibri"/>
          <w:b/>
          <w:kern w:val="2"/>
          <w:sz w:val="28"/>
          <w:szCs w:val="28"/>
        </w:rPr>
        <w:t>（二）基本要求</w:t>
      </w:r>
    </w:p>
    <w:p w14:paraId="3EAB78DA">
      <w:pPr>
        <w:keepNext w:val="0"/>
        <w:keepLines w:val="0"/>
        <w:pageBreakBefore w:val="0"/>
        <w:kinsoku/>
        <w:wordWrap/>
        <w:overflowPunct/>
        <w:topLinePunct w:val="0"/>
        <w:bidi w:val="0"/>
        <w:adjustRightInd/>
        <w:snapToGrid/>
        <w:spacing w:beforeAutospacing="0" w:afterAutospacing="0"/>
        <w:ind w:firstLine="562" w:firstLineChars="200"/>
        <w:textAlignment w:val="auto"/>
        <w:rPr>
          <w:rFonts w:hint="eastAsia" w:ascii="仿宋_GB2312" w:hAnsi="宋体" w:eastAsia="仿宋_GB2312" w:cs="Calibri"/>
          <w:b/>
          <w:bCs/>
          <w:sz w:val="28"/>
          <w:szCs w:val="28"/>
        </w:rPr>
      </w:pPr>
      <w:r>
        <w:rPr>
          <w:rFonts w:hint="eastAsia" w:ascii="仿宋_GB2312" w:hAnsi="宋体" w:eastAsia="仿宋_GB2312" w:cs="Calibri"/>
          <w:b/>
          <w:bCs/>
          <w:sz w:val="28"/>
          <w:szCs w:val="28"/>
        </w:rPr>
        <w:t>1、环境</w:t>
      </w:r>
    </w:p>
    <w:p w14:paraId="438FB5FF">
      <w:pPr>
        <w:keepNext w:val="0"/>
        <w:keepLines w:val="0"/>
        <w:pageBreakBefore w:val="0"/>
        <w:kinsoku/>
        <w:wordWrap/>
        <w:overflowPunct/>
        <w:topLinePunct w:val="0"/>
        <w:bidi w:val="0"/>
        <w:adjustRightInd/>
        <w:snapToGrid/>
        <w:spacing w:beforeAutospacing="0" w:afterAutospacing="0"/>
        <w:ind w:firstLine="560" w:firstLineChars="200"/>
        <w:textAlignment w:val="auto"/>
        <w:rPr>
          <w:rFonts w:hint="eastAsia" w:ascii="楷体" w:hAnsi="楷体" w:eastAsia="仿宋_GB2312" w:cs="Calibri"/>
          <w:b/>
          <w:sz w:val="28"/>
          <w:szCs w:val="28"/>
          <w:lang w:eastAsia="zh-CN"/>
        </w:rPr>
      </w:pPr>
      <w:r>
        <w:rPr>
          <w:rFonts w:hint="eastAsia" w:ascii="仿宋_GB2312" w:hAnsi="宋体" w:eastAsia="仿宋_GB2312" w:cs="Calibri"/>
          <w:sz w:val="28"/>
          <w:szCs w:val="28"/>
        </w:rPr>
        <w:t>在各级医院的新生儿科或新生儿病房中进行，病房场地面积应满足操作需要，环境宽敞明亮，有病房治疗带适合操作及抢救，无电磁波干扰。避免影响检测结果。温度22 ℃～26 ℃。环境卫生应符合GB 15982的规定</w:t>
      </w:r>
      <w:r>
        <w:rPr>
          <w:rFonts w:hint="eastAsia" w:ascii="仿宋_GB2312" w:hAnsi="宋体" w:eastAsia="仿宋_GB2312" w:cs="Calibri"/>
          <w:sz w:val="28"/>
          <w:szCs w:val="28"/>
          <w:lang w:eastAsia="zh-CN"/>
        </w:rPr>
        <w:t>。</w:t>
      </w:r>
    </w:p>
    <w:p w14:paraId="5EF950F0">
      <w:pPr>
        <w:keepNext w:val="0"/>
        <w:keepLines w:val="0"/>
        <w:pageBreakBefore w:val="0"/>
        <w:kinsoku/>
        <w:wordWrap/>
        <w:overflowPunct/>
        <w:topLinePunct w:val="0"/>
        <w:bidi w:val="0"/>
        <w:adjustRightInd/>
        <w:snapToGrid/>
        <w:spacing w:beforeAutospacing="0" w:afterAutospacing="0"/>
        <w:ind w:firstLine="562" w:firstLineChars="200"/>
        <w:textAlignment w:val="auto"/>
        <w:rPr>
          <w:rFonts w:ascii="仿宋_GB2312" w:hAnsi="宋体" w:eastAsia="仿宋_GB2312" w:cs="Calibri"/>
          <w:sz w:val="28"/>
          <w:szCs w:val="28"/>
        </w:rPr>
      </w:pPr>
      <w:bookmarkStart w:id="65" w:name="_Toc24401"/>
      <w:r>
        <w:rPr>
          <w:rFonts w:hint="eastAsia" w:ascii="仿宋_GB2312" w:hAnsi="宋体" w:eastAsia="仿宋_GB2312" w:cs="Calibri"/>
          <w:b/>
          <w:bCs/>
          <w:sz w:val="28"/>
          <w:szCs w:val="28"/>
        </w:rPr>
        <w:t>2、人员</w:t>
      </w:r>
      <w:bookmarkEnd w:id="65"/>
      <w:r>
        <w:rPr>
          <w:rFonts w:hint="eastAsia" w:ascii="仿宋_GB2312" w:hAnsi="宋体" w:eastAsia="仿宋_GB2312" w:cs="Calibri"/>
          <w:sz w:val="28"/>
          <w:szCs w:val="28"/>
        </w:rPr>
        <w:t>：主要依据临床需要和</w:t>
      </w:r>
      <w:r>
        <w:rPr>
          <w:rFonts w:hint="eastAsia" w:ascii="仿宋_GB2312" w:hAnsi="宋体" w:eastAsia="仿宋_GB2312"/>
          <w:sz w:val="28"/>
          <w:szCs w:val="28"/>
        </w:rPr>
        <w:t>新生儿脑电图操作来分配人员职责。</w:t>
      </w:r>
    </w:p>
    <w:p w14:paraId="2A8B1D05">
      <w:pPr>
        <w:keepNext w:val="0"/>
        <w:keepLines w:val="0"/>
        <w:pageBreakBefore w:val="0"/>
        <w:kinsoku/>
        <w:wordWrap/>
        <w:overflowPunct/>
        <w:topLinePunct w:val="0"/>
        <w:bidi w:val="0"/>
        <w:adjustRightInd/>
        <w:snapToGrid/>
        <w:spacing w:beforeAutospacing="0" w:afterAutospacing="0"/>
        <w:ind w:firstLine="560" w:firstLineChars="200"/>
        <w:textAlignment w:val="auto"/>
        <w:rPr>
          <w:rFonts w:ascii="仿宋_GB2312" w:hAnsi="宋体" w:eastAsia="仿宋_GB2312" w:cs="Calibri"/>
          <w:sz w:val="28"/>
          <w:szCs w:val="28"/>
        </w:rPr>
      </w:pPr>
      <w:r>
        <w:rPr>
          <w:rFonts w:hint="eastAsia" w:ascii="仿宋_GB2312" w:hAnsi="宋体" w:eastAsia="仿宋_GB2312" w:cs="Calibri"/>
          <w:sz w:val="28"/>
          <w:szCs w:val="28"/>
        </w:rPr>
        <w:t>(1)医师：应具有执业医师资格，具有新生儿振幅整合脑电图培训合格证或全国脑电图资格证书，或有脑电进修学习经历</w:t>
      </w:r>
      <w:r>
        <w:rPr>
          <w:rFonts w:ascii="仿宋_GB2312" w:hAnsi="宋体" w:eastAsia="仿宋_GB2312" w:cs="Calibri"/>
          <w:sz w:val="28"/>
          <w:szCs w:val="28"/>
        </w:rPr>
        <w:t>。能独立进行新生儿脑电图的阅图和症状学分析，具备对振幅整合脑电图(aEEG)的实时分析能力和对原始脑电图的阅图能力，负责确定新生儿脑电图监测适应证，决定监测过程中的医疗干预。对新生儿脑电图的所有记录结果进行阅图分析和书写签发报告。脑电图数据整理，包括截图、打印、数据剪辑、存储归档和数据库管理等。</w:t>
      </w:r>
    </w:p>
    <w:p w14:paraId="7054BAA6">
      <w:pPr>
        <w:keepNext w:val="0"/>
        <w:keepLines w:val="0"/>
        <w:pageBreakBefore w:val="0"/>
        <w:kinsoku/>
        <w:wordWrap/>
        <w:overflowPunct/>
        <w:topLinePunct w:val="0"/>
        <w:bidi w:val="0"/>
        <w:adjustRightInd/>
        <w:snapToGrid/>
        <w:spacing w:beforeAutospacing="0" w:afterAutospacing="0"/>
        <w:ind w:firstLine="560" w:firstLineChars="200"/>
        <w:textAlignment w:val="auto"/>
        <w:rPr>
          <w:rFonts w:hint="eastAsia" w:ascii="仿宋_GB2312" w:hAnsi="宋体" w:eastAsia="仿宋_GB2312" w:cs="Calibri"/>
          <w:sz w:val="28"/>
          <w:szCs w:val="28"/>
        </w:rPr>
      </w:pPr>
      <w:r>
        <w:rPr>
          <w:rFonts w:hint="eastAsia" w:ascii="仿宋_GB2312" w:hAnsi="宋体" w:eastAsia="仿宋_GB2312" w:cs="Calibri"/>
          <w:sz w:val="28"/>
          <w:szCs w:val="28"/>
        </w:rPr>
        <w:t>(2)护士：具有护士执业证，并具有新生儿科岗位工作经验</w:t>
      </w:r>
      <w:r>
        <w:rPr>
          <w:rFonts w:ascii="仿宋_GB2312" w:hAnsi="宋体" w:eastAsia="仿宋_GB2312" w:cs="Calibri"/>
          <w:sz w:val="28"/>
          <w:szCs w:val="28"/>
        </w:rPr>
        <w:t>。</w:t>
      </w:r>
      <w:r>
        <w:rPr>
          <w:rFonts w:hint="eastAsia" w:ascii="仿宋_GB2312" w:hAnsi="宋体" w:eastAsia="仿宋_GB2312" w:cs="Calibri"/>
          <w:sz w:val="28"/>
          <w:szCs w:val="28"/>
        </w:rPr>
        <w:t>经过aEEG专业培训，掌握脑电图仪器的调试、电极安放、参数调整等操作，能及时识别和排除记录中的明显伪差</w:t>
      </w:r>
      <w:r>
        <w:rPr>
          <w:rFonts w:ascii="仿宋_GB2312" w:hAnsi="宋体" w:eastAsia="仿宋_GB2312" w:cs="Calibri"/>
          <w:sz w:val="28"/>
          <w:szCs w:val="28"/>
        </w:rPr>
        <w:t>。主要职责如下：</w:t>
      </w:r>
      <w:r>
        <w:rPr>
          <w:rFonts w:hint="eastAsia" w:ascii="仿宋_GB2312" w:hAnsi="宋体" w:eastAsia="仿宋_GB2312" w:cs="Calibri"/>
          <w:sz w:val="28"/>
          <w:szCs w:val="28"/>
        </w:rPr>
        <w:t>负责脑电图监测操作，包括设备调试，电极安放、维护和拆卸等</w:t>
      </w:r>
      <w:r>
        <w:rPr>
          <w:rFonts w:ascii="仿宋_GB2312" w:hAnsi="宋体" w:eastAsia="仿宋_GB2312" w:cs="Calibri"/>
          <w:sz w:val="28"/>
          <w:szCs w:val="28"/>
        </w:rPr>
        <w:t>；</w:t>
      </w:r>
      <w:r>
        <w:rPr>
          <w:rFonts w:hint="eastAsia" w:ascii="仿宋_GB2312" w:hAnsi="宋体" w:eastAsia="仿宋_GB2312" w:cs="Calibri"/>
          <w:sz w:val="28"/>
          <w:szCs w:val="28"/>
        </w:rPr>
        <w:t>负责观察及维持脑电图全过程质量，发现电极伪差等技术问题及时进行电极维护</w:t>
      </w:r>
      <w:r>
        <w:rPr>
          <w:rFonts w:ascii="仿宋_GB2312" w:hAnsi="宋体" w:eastAsia="仿宋_GB2312" w:cs="Calibri"/>
          <w:sz w:val="28"/>
          <w:szCs w:val="28"/>
        </w:rPr>
        <w:t>。</w:t>
      </w:r>
    </w:p>
    <w:p w14:paraId="14097A56">
      <w:pPr>
        <w:keepNext w:val="0"/>
        <w:keepLines w:val="0"/>
        <w:pageBreakBefore w:val="0"/>
        <w:kinsoku/>
        <w:wordWrap/>
        <w:overflowPunct/>
        <w:topLinePunct w:val="0"/>
        <w:bidi w:val="0"/>
        <w:adjustRightInd/>
        <w:snapToGrid/>
        <w:spacing w:beforeAutospacing="0" w:afterAutospacing="0"/>
        <w:ind w:firstLine="562" w:firstLineChars="200"/>
        <w:textAlignment w:val="auto"/>
        <w:rPr>
          <w:rFonts w:hint="eastAsia" w:ascii="仿宋_GB2312" w:hAnsi="宋体" w:eastAsia="仿宋_GB2312" w:cs="Calibri"/>
          <w:b/>
          <w:bCs/>
          <w:sz w:val="28"/>
          <w:szCs w:val="28"/>
        </w:rPr>
      </w:pPr>
      <w:r>
        <w:rPr>
          <w:rFonts w:hint="eastAsia" w:ascii="仿宋_GB2312" w:hAnsi="宋体" w:eastAsia="仿宋_GB2312" w:cs="Calibri"/>
          <w:b/>
          <w:bCs/>
          <w:sz w:val="28"/>
          <w:szCs w:val="28"/>
        </w:rPr>
        <w:t>3、设备</w:t>
      </w:r>
    </w:p>
    <w:p w14:paraId="137A1F45">
      <w:pPr>
        <w:keepNext w:val="0"/>
        <w:keepLines w:val="0"/>
        <w:pageBreakBefore w:val="0"/>
        <w:kinsoku/>
        <w:wordWrap/>
        <w:overflowPunct/>
        <w:topLinePunct w:val="0"/>
        <w:bidi w:val="0"/>
        <w:adjustRightInd/>
        <w:snapToGrid/>
        <w:spacing w:beforeAutospacing="0" w:afterAutospacing="0"/>
        <w:ind w:firstLine="560" w:firstLineChars="200"/>
        <w:textAlignment w:val="auto"/>
        <w:rPr>
          <w:rFonts w:hint="eastAsia" w:ascii="仿宋_GB2312" w:hAnsi="宋体" w:eastAsia="仿宋_GB2312"/>
          <w:szCs w:val="28"/>
        </w:rPr>
      </w:pPr>
      <w:r>
        <w:rPr>
          <w:rFonts w:hint="eastAsia" w:ascii="仿宋_GB2312" w:hAnsi="宋体" w:eastAsia="仿宋_GB2312" w:cs="Calibri"/>
          <w:sz w:val="28"/>
          <w:szCs w:val="28"/>
        </w:rPr>
        <w:t>主要依据《</w:t>
      </w:r>
      <w:r>
        <w:rPr>
          <w:rFonts w:hint="eastAsia" w:ascii="仿宋_GB2312" w:hAnsi="宋体" w:eastAsia="仿宋_GB2312"/>
          <w:sz w:val="28"/>
          <w:szCs w:val="28"/>
        </w:rPr>
        <w:t>新生儿脑电图操作和报告书写最低技术标准专家共识》（2022），并整合补充了“应配备满足数据采集的单、双、多通道及１个彩色高像素摄像头。应配备aEEG回放软件、分析软件，有条件的可配置aEEG网络系统。宜配备病房治疗带方便操作及抢救”等条款。</w:t>
      </w:r>
    </w:p>
    <w:p w14:paraId="4875C251">
      <w:pPr>
        <w:pStyle w:val="48"/>
        <w:keepNext w:val="0"/>
        <w:keepLines w:val="0"/>
        <w:pageBreakBefore w:val="0"/>
        <w:numPr>
          <w:ilvl w:val="0"/>
          <w:numId w:val="0"/>
        </w:numPr>
        <w:kinsoku/>
        <w:wordWrap/>
        <w:overflowPunct/>
        <w:topLinePunct w:val="0"/>
        <w:bidi w:val="0"/>
        <w:adjustRightInd/>
        <w:snapToGrid/>
        <w:spacing w:before="0" w:beforeLines="0" w:beforeAutospacing="0" w:after="0" w:afterLines="0" w:afterAutospacing="0" w:line="40" w:lineRule="atLeast"/>
        <w:jc w:val="center"/>
        <w:textAlignment w:val="auto"/>
      </w:pPr>
      <w:r>
        <w:drawing>
          <wp:inline distT="0" distB="0" distL="114300" distR="114300">
            <wp:extent cx="2454910" cy="468630"/>
            <wp:effectExtent l="0" t="0" r="254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6"/>
                    <a:srcRect b="10181"/>
                    <a:stretch>
                      <a:fillRect/>
                    </a:stretch>
                  </pic:blipFill>
                  <pic:spPr>
                    <a:xfrm>
                      <a:off x="0" y="0"/>
                      <a:ext cx="2454910" cy="468630"/>
                    </a:xfrm>
                    <a:prstGeom prst="rect">
                      <a:avLst/>
                    </a:prstGeom>
                    <a:noFill/>
                    <a:ln>
                      <a:noFill/>
                    </a:ln>
                  </pic:spPr>
                </pic:pic>
              </a:graphicData>
            </a:graphic>
          </wp:inline>
        </w:drawing>
      </w:r>
    </w:p>
    <w:p w14:paraId="1ABB7BAC">
      <w:pPr>
        <w:pStyle w:val="48"/>
        <w:keepNext w:val="0"/>
        <w:keepLines w:val="0"/>
        <w:pageBreakBefore w:val="0"/>
        <w:numPr>
          <w:ilvl w:val="0"/>
          <w:numId w:val="0"/>
        </w:numPr>
        <w:kinsoku/>
        <w:wordWrap/>
        <w:overflowPunct/>
        <w:topLinePunct w:val="0"/>
        <w:bidi w:val="0"/>
        <w:adjustRightInd/>
        <w:snapToGrid/>
        <w:spacing w:before="0" w:beforeLines="0" w:beforeAutospacing="0" w:after="0" w:afterLines="0" w:afterAutospacing="0"/>
        <w:jc w:val="center"/>
        <w:textAlignment w:val="auto"/>
      </w:pPr>
      <w:r>
        <w:drawing>
          <wp:inline distT="0" distB="0" distL="114300" distR="114300">
            <wp:extent cx="2501265" cy="2251710"/>
            <wp:effectExtent l="0" t="0" r="13335" b="1524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7"/>
                    <a:srcRect t="2895"/>
                    <a:stretch>
                      <a:fillRect/>
                    </a:stretch>
                  </pic:blipFill>
                  <pic:spPr>
                    <a:xfrm>
                      <a:off x="0" y="0"/>
                      <a:ext cx="2501265" cy="2251710"/>
                    </a:xfrm>
                    <a:prstGeom prst="rect">
                      <a:avLst/>
                    </a:prstGeom>
                    <a:noFill/>
                    <a:ln>
                      <a:noFill/>
                    </a:ln>
                  </pic:spPr>
                </pic:pic>
              </a:graphicData>
            </a:graphic>
          </wp:inline>
        </w:drawing>
      </w:r>
    </w:p>
    <w:p w14:paraId="52E23787">
      <w:pPr>
        <w:pStyle w:val="48"/>
        <w:keepNext w:val="0"/>
        <w:keepLines w:val="0"/>
        <w:pageBreakBefore w:val="0"/>
        <w:numPr>
          <w:ilvl w:val="0"/>
          <w:numId w:val="0"/>
        </w:numPr>
        <w:kinsoku/>
        <w:wordWrap/>
        <w:overflowPunct/>
        <w:topLinePunct w:val="0"/>
        <w:bidi w:val="0"/>
        <w:adjustRightInd/>
        <w:snapToGrid/>
        <w:spacing w:before="0" w:beforeLines="0" w:beforeAutospacing="0" w:after="0" w:afterLines="0" w:afterAutospacing="0"/>
        <w:jc w:val="center"/>
        <w:textAlignment w:val="auto"/>
      </w:pPr>
      <w:r>
        <w:drawing>
          <wp:inline distT="0" distB="0" distL="114300" distR="114300">
            <wp:extent cx="2430780" cy="1111885"/>
            <wp:effectExtent l="0" t="0" r="7620" b="1206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8"/>
                    <a:stretch>
                      <a:fillRect/>
                    </a:stretch>
                  </pic:blipFill>
                  <pic:spPr>
                    <a:xfrm>
                      <a:off x="0" y="0"/>
                      <a:ext cx="2430780" cy="1111885"/>
                    </a:xfrm>
                    <a:prstGeom prst="rect">
                      <a:avLst/>
                    </a:prstGeom>
                    <a:noFill/>
                    <a:ln>
                      <a:noFill/>
                    </a:ln>
                  </pic:spPr>
                </pic:pic>
              </a:graphicData>
            </a:graphic>
          </wp:inline>
        </w:drawing>
      </w:r>
    </w:p>
    <w:p w14:paraId="72D05ED8">
      <w:pPr>
        <w:pStyle w:val="48"/>
        <w:keepNext w:val="0"/>
        <w:keepLines w:val="0"/>
        <w:pageBreakBefore w:val="0"/>
        <w:numPr>
          <w:ilvl w:val="0"/>
          <w:numId w:val="0"/>
        </w:numPr>
        <w:kinsoku/>
        <w:wordWrap/>
        <w:overflowPunct/>
        <w:topLinePunct w:val="0"/>
        <w:bidi w:val="0"/>
        <w:adjustRightInd/>
        <w:snapToGrid/>
        <w:spacing w:before="0" w:beforeLines="0" w:beforeAutospacing="0" w:after="0" w:afterLines="0" w:afterAutospacing="0"/>
        <w:jc w:val="center"/>
        <w:textAlignment w:val="auto"/>
      </w:pPr>
      <w:r>
        <w:drawing>
          <wp:inline distT="0" distB="0" distL="114300" distR="114300">
            <wp:extent cx="2472055" cy="1659890"/>
            <wp:effectExtent l="0" t="0" r="4445" b="1651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9"/>
                    <a:stretch>
                      <a:fillRect/>
                    </a:stretch>
                  </pic:blipFill>
                  <pic:spPr>
                    <a:xfrm>
                      <a:off x="0" y="0"/>
                      <a:ext cx="2472055" cy="1659890"/>
                    </a:xfrm>
                    <a:prstGeom prst="rect">
                      <a:avLst/>
                    </a:prstGeom>
                    <a:noFill/>
                    <a:ln>
                      <a:noFill/>
                    </a:ln>
                  </pic:spPr>
                </pic:pic>
              </a:graphicData>
            </a:graphic>
          </wp:inline>
        </w:drawing>
      </w:r>
    </w:p>
    <w:p w14:paraId="57AA8142">
      <w:pPr>
        <w:pStyle w:val="48"/>
        <w:keepNext w:val="0"/>
        <w:keepLines w:val="0"/>
        <w:pageBreakBefore w:val="0"/>
        <w:numPr>
          <w:ilvl w:val="0"/>
          <w:numId w:val="0"/>
        </w:numPr>
        <w:kinsoku/>
        <w:wordWrap/>
        <w:overflowPunct/>
        <w:topLinePunct w:val="0"/>
        <w:bidi w:val="0"/>
        <w:adjustRightInd/>
        <w:snapToGrid/>
        <w:spacing w:before="0" w:beforeLines="0" w:beforeAutospacing="0" w:after="0" w:afterLines="0" w:afterAutospacing="0"/>
        <w:ind w:left="630" w:leftChars="300"/>
        <w:jc w:val="center"/>
        <w:textAlignment w:val="auto"/>
        <w:rPr>
          <w:rFonts w:hint="eastAsia"/>
          <w:b/>
          <w:bCs/>
        </w:rPr>
      </w:pPr>
      <w:r>
        <w:rPr>
          <w:rFonts w:hint="eastAsia"/>
          <w:b/>
          <w:bCs/>
        </w:rPr>
        <w:t>《新生儿脑电图操作和报告书写最低技术标准专家共识》（2022）</w:t>
      </w:r>
    </w:p>
    <w:p w14:paraId="1CCA06A6">
      <w:pPr>
        <w:keepNext w:val="0"/>
        <w:keepLines w:val="0"/>
        <w:pageBreakBefore w:val="0"/>
        <w:kinsoku/>
        <w:wordWrap/>
        <w:overflowPunct/>
        <w:topLinePunct w:val="0"/>
        <w:bidi w:val="0"/>
        <w:adjustRightInd/>
        <w:snapToGrid/>
        <w:spacing w:beforeAutospacing="0" w:afterAutospacing="0" w:line="560" w:lineRule="exact"/>
        <w:ind w:left="420" w:leftChars="200" w:firstLine="281" w:firstLineChars="100"/>
        <w:textAlignment w:val="auto"/>
        <w:rPr>
          <w:rFonts w:hint="eastAsia" w:ascii="楷体" w:hAnsi="楷体" w:eastAsia="楷体" w:cs="Calibri"/>
          <w:b/>
          <w:sz w:val="28"/>
          <w:szCs w:val="28"/>
          <w:lang w:eastAsia="zh-CN"/>
        </w:rPr>
      </w:pPr>
      <w:r>
        <w:rPr>
          <w:rFonts w:hint="eastAsia" w:ascii="楷体" w:hAnsi="楷体" w:eastAsia="楷体" w:cs="Calibri"/>
          <w:b/>
          <w:sz w:val="28"/>
          <w:szCs w:val="28"/>
        </w:rPr>
        <w:t>（三）</w:t>
      </w:r>
      <w:r>
        <w:rPr>
          <w:rFonts w:hint="eastAsia" w:ascii="楷体" w:hAnsi="楷体" w:eastAsia="楷体" w:cs="Calibri"/>
          <w:b/>
          <w:sz w:val="28"/>
          <w:szCs w:val="28"/>
          <w:lang w:eastAsia="zh-CN"/>
        </w:rPr>
        <w:t>适应症和禁忌症</w:t>
      </w:r>
    </w:p>
    <w:p w14:paraId="533FE5A5">
      <w:pPr>
        <w:pStyle w:val="2"/>
        <w:keepNext w:val="0"/>
        <w:keepLines w:val="0"/>
        <w:pageBreakBefore w:val="0"/>
        <w:kinsoku/>
        <w:wordWrap/>
        <w:overflowPunct/>
        <w:topLinePunct w:val="0"/>
        <w:bidi w:val="0"/>
        <w:adjustRightInd/>
        <w:snapToGrid/>
        <w:spacing w:beforeAutospacing="0" w:afterAutospacing="0"/>
        <w:ind w:left="420" w:leftChars="200" w:firstLine="210" w:firstLineChars="100"/>
        <w:textAlignment w:val="auto"/>
      </w:pPr>
      <w:r>
        <w:rPr>
          <w:rFonts w:hint="eastAsia"/>
        </w:rPr>
        <w:t>aEEG</w:t>
      </w:r>
      <w:r>
        <w:rPr>
          <w:rFonts w:hint="eastAsia"/>
          <w:lang w:eastAsia="zh-CN"/>
        </w:rPr>
        <w:t>可以检测范围</w:t>
      </w:r>
      <w:r>
        <w:rPr>
          <w:rFonts w:hint="eastAsia"/>
        </w:rPr>
        <w:t>：</w:t>
      </w:r>
    </w:p>
    <w:p w14:paraId="63301EFF">
      <w:pPr>
        <w:pStyle w:val="48"/>
        <w:keepNext w:val="0"/>
        <w:keepLines w:val="0"/>
        <w:pageBreakBefore w:val="0"/>
        <w:numPr>
          <w:ilvl w:val="0"/>
          <w:numId w:val="0"/>
        </w:numPr>
        <w:kinsoku/>
        <w:wordWrap/>
        <w:overflowPunct/>
        <w:topLinePunct w:val="0"/>
        <w:bidi w:val="0"/>
        <w:adjustRightInd/>
        <w:snapToGrid/>
        <w:spacing w:before="0" w:beforeLines="0" w:beforeAutospacing="0" w:after="0" w:afterLines="0" w:afterAutospacing="0"/>
        <w:ind w:firstLine="560" w:firstLineChars="200"/>
        <w:textAlignment w:val="auto"/>
        <w:rPr>
          <w:rFonts w:hint="eastAsia" w:ascii="仿宋_GB2312" w:hAnsi="宋体" w:eastAsia="仿宋_GB2312" w:cs="Calibri"/>
          <w:kern w:val="2"/>
          <w:sz w:val="28"/>
          <w:szCs w:val="28"/>
          <w:lang w:eastAsia="zh-CN"/>
        </w:rPr>
      </w:pPr>
      <w:r>
        <w:rPr>
          <w:rFonts w:hint="eastAsia" w:ascii="仿宋_GB2312" w:hAnsi="宋体" w:eastAsia="仿宋_GB2312" w:cs="Calibri"/>
          <w:kern w:val="2"/>
          <w:sz w:val="28"/>
          <w:szCs w:val="28"/>
        </w:rPr>
        <w:t>（1）有脑损伤表现或存在脑损伤高危因素的新生儿，高危因素包括围产期缺氧窒息史、新生儿顽固性低血糖、先天性遗传代谢病、颅内出血、脑卒中、中枢神经系统感染、严重高胆红素血症等，用于发现脑损伤、评价脑损伤的程度和预后</w:t>
      </w:r>
      <w:r>
        <w:rPr>
          <w:rFonts w:hint="eastAsia" w:ascii="仿宋_GB2312" w:hAnsi="宋体" w:eastAsia="仿宋_GB2312" w:cs="Calibri"/>
          <w:kern w:val="2"/>
          <w:sz w:val="28"/>
          <w:szCs w:val="28"/>
          <w:lang w:eastAsia="zh-CN"/>
        </w:rPr>
        <w:t>；</w:t>
      </w:r>
    </w:p>
    <w:p w14:paraId="0A979818">
      <w:pPr>
        <w:pStyle w:val="48"/>
        <w:keepNext w:val="0"/>
        <w:keepLines w:val="0"/>
        <w:pageBreakBefore w:val="0"/>
        <w:numPr>
          <w:ilvl w:val="0"/>
          <w:numId w:val="0"/>
        </w:numPr>
        <w:kinsoku/>
        <w:wordWrap/>
        <w:overflowPunct/>
        <w:topLinePunct w:val="0"/>
        <w:bidi w:val="0"/>
        <w:adjustRightInd/>
        <w:snapToGrid/>
        <w:spacing w:before="0" w:beforeLines="0" w:beforeAutospacing="0" w:after="0" w:afterLines="0" w:afterAutospacing="0"/>
        <w:ind w:firstLine="560" w:firstLineChars="200"/>
        <w:textAlignment w:val="auto"/>
        <w:rPr>
          <w:rFonts w:hint="eastAsia" w:ascii="仿宋_GB2312" w:hAnsi="宋体" w:eastAsia="仿宋_GB2312" w:cs="Calibri"/>
          <w:kern w:val="2"/>
          <w:sz w:val="28"/>
          <w:szCs w:val="28"/>
          <w:lang w:eastAsia="zh-CN"/>
        </w:rPr>
      </w:pPr>
      <w:r>
        <w:rPr>
          <w:rFonts w:hint="eastAsia" w:ascii="仿宋_GB2312" w:hAnsi="宋体" w:eastAsia="仿宋_GB2312" w:cs="Calibri"/>
          <w:kern w:val="2"/>
          <w:sz w:val="28"/>
          <w:szCs w:val="28"/>
        </w:rPr>
        <w:t>（</w:t>
      </w:r>
      <w:r>
        <w:rPr>
          <w:rFonts w:hint="eastAsia" w:ascii="仿宋_GB2312" w:hAnsi="宋体" w:eastAsia="仿宋_GB2312" w:cs="Calibri"/>
          <w:kern w:val="2"/>
          <w:sz w:val="28"/>
          <w:szCs w:val="28"/>
          <w:lang w:val="en-US" w:eastAsia="zh-CN"/>
        </w:rPr>
        <w:t>2</w:t>
      </w:r>
      <w:r>
        <w:rPr>
          <w:rFonts w:hint="eastAsia" w:ascii="仿宋_GB2312" w:hAnsi="宋体" w:eastAsia="仿宋_GB2312" w:cs="Calibri"/>
          <w:kern w:val="2"/>
          <w:sz w:val="28"/>
          <w:szCs w:val="28"/>
        </w:rPr>
        <w:t>）脑损伤治疗效果的评估，如亚低温治疗、抗惊厥药物止惊治疗等</w:t>
      </w:r>
      <w:r>
        <w:rPr>
          <w:rFonts w:hint="eastAsia" w:ascii="仿宋_GB2312" w:hAnsi="宋体" w:eastAsia="仿宋_GB2312" w:cs="Calibri"/>
          <w:kern w:val="2"/>
          <w:sz w:val="28"/>
          <w:szCs w:val="28"/>
          <w:lang w:eastAsia="zh-CN"/>
        </w:rPr>
        <w:t>；</w:t>
      </w:r>
    </w:p>
    <w:p w14:paraId="61DCF761">
      <w:pPr>
        <w:pStyle w:val="48"/>
        <w:keepNext w:val="0"/>
        <w:keepLines w:val="0"/>
        <w:pageBreakBefore w:val="0"/>
        <w:numPr>
          <w:ilvl w:val="0"/>
          <w:numId w:val="0"/>
        </w:numPr>
        <w:kinsoku/>
        <w:wordWrap/>
        <w:overflowPunct/>
        <w:topLinePunct w:val="0"/>
        <w:bidi w:val="0"/>
        <w:adjustRightInd/>
        <w:snapToGrid/>
        <w:spacing w:before="0" w:beforeLines="0" w:beforeAutospacing="0" w:after="0" w:afterLines="0" w:afterAutospacing="0"/>
        <w:ind w:firstLine="560" w:firstLineChars="200"/>
        <w:textAlignment w:val="auto"/>
        <w:rPr>
          <w:rFonts w:hint="eastAsia" w:ascii="仿宋_GB2312" w:hAnsi="宋体" w:eastAsia="仿宋_GB2312" w:cs="Calibri"/>
          <w:kern w:val="2"/>
          <w:sz w:val="28"/>
          <w:szCs w:val="28"/>
        </w:rPr>
      </w:pPr>
      <w:r>
        <w:rPr>
          <w:rFonts w:hint="eastAsia" w:ascii="仿宋_GB2312" w:hAnsi="宋体" w:eastAsia="仿宋_GB2312" w:cs="Calibri"/>
          <w:kern w:val="2"/>
          <w:sz w:val="28"/>
          <w:szCs w:val="28"/>
        </w:rPr>
        <w:t>（3）新生儿惊厥和可疑惊厥发作的检测；</w:t>
      </w:r>
    </w:p>
    <w:p w14:paraId="2F7BD47D">
      <w:pPr>
        <w:pStyle w:val="48"/>
        <w:keepNext w:val="0"/>
        <w:keepLines w:val="0"/>
        <w:pageBreakBefore w:val="0"/>
        <w:numPr>
          <w:ilvl w:val="0"/>
          <w:numId w:val="0"/>
        </w:numPr>
        <w:kinsoku/>
        <w:wordWrap/>
        <w:overflowPunct/>
        <w:topLinePunct w:val="0"/>
        <w:bidi w:val="0"/>
        <w:adjustRightInd/>
        <w:snapToGrid/>
        <w:spacing w:before="0" w:beforeLines="0" w:beforeAutospacing="0" w:after="0" w:afterLines="0" w:afterAutospacing="0"/>
        <w:ind w:firstLine="560" w:firstLineChars="200"/>
        <w:textAlignment w:val="auto"/>
        <w:rPr>
          <w:rFonts w:hint="eastAsia" w:ascii="仿宋_GB2312" w:hAnsi="宋体" w:eastAsia="仿宋_GB2312" w:cs="Calibri"/>
          <w:kern w:val="2"/>
          <w:sz w:val="28"/>
          <w:szCs w:val="28"/>
          <w:lang w:eastAsia="zh-CN"/>
        </w:rPr>
      </w:pPr>
      <w:r>
        <w:rPr>
          <w:rFonts w:hint="eastAsia" w:ascii="仿宋_GB2312" w:hAnsi="宋体" w:eastAsia="仿宋_GB2312" w:cs="Calibri"/>
          <w:kern w:val="2"/>
          <w:sz w:val="28"/>
          <w:szCs w:val="28"/>
        </w:rPr>
        <w:t>（</w:t>
      </w:r>
      <w:r>
        <w:rPr>
          <w:rFonts w:hint="eastAsia" w:ascii="仿宋_GB2312" w:hAnsi="宋体" w:eastAsia="仿宋_GB2312" w:cs="Calibri"/>
          <w:kern w:val="2"/>
          <w:sz w:val="28"/>
          <w:szCs w:val="28"/>
          <w:lang w:val="en-US" w:eastAsia="zh-CN"/>
        </w:rPr>
        <w:t>4</w:t>
      </w:r>
      <w:r>
        <w:rPr>
          <w:rFonts w:hint="eastAsia" w:ascii="仿宋_GB2312" w:hAnsi="宋体" w:eastAsia="仿宋_GB2312" w:cs="Calibri"/>
          <w:kern w:val="2"/>
          <w:sz w:val="28"/>
          <w:szCs w:val="28"/>
        </w:rPr>
        <w:t>）新生儿脑发育的评估</w:t>
      </w:r>
      <w:r>
        <w:rPr>
          <w:rFonts w:hint="eastAsia" w:ascii="仿宋_GB2312" w:hAnsi="宋体" w:eastAsia="仿宋_GB2312" w:cs="Calibri"/>
          <w:kern w:val="2"/>
          <w:sz w:val="28"/>
          <w:szCs w:val="28"/>
          <w:lang w:eastAsia="zh-CN"/>
        </w:rPr>
        <w:t>。</w:t>
      </w:r>
    </w:p>
    <w:p w14:paraId="063FDFFD">
      <w:pPr>
        <w:pStyle w:val="48"/>
        <w:keepNext w:val="0"/>
        <w:keepLines w:val="0"/>
        <w:pageBreakBefore w:val="0"/>
        <w:numPr>
          <w:ilvl w:val="0"/>
          <w:numId w:val="0"/>
        </w:numPr>
        <w:kinsoku/>
        <w:wordWrap/>
        <w:overflowPunct/>
        <w:topLinePunct w:val="0"/>
        <w:bidi w:val="0"/>
        <w:adjustRightInd/>
        <w:snapToGrid/>
        <w:spacing w:before="0" w:beforeLines="0" w:beforeAutospacing="0" w:after="0" w:afterLines="0" w:afterAutospacing="0"/>
        <w:ind w:left="630" w:leftChars="300"/>
        <w:jc w:val="left"/>
        <w:textAlignment w:val="auto"/>
        <w:rPr>
          <w:rFonts w:hint="eastAsia" w:ascii="仿宋_GB2312" w:hAnsi="宋体" w:eastAsia="仿宋_GB2312" w:cs="Calibri"/>
          <w:kern w:val="2"/>
          <w:sz w:val="28"/>
          <w:szCs w:val="28"/>
        </w:rPr>
      </w:pPr>
      <w:r>
        <w:rPr>
          <w:rFonts w:hint="eastAsia" w:ascii="仿宋_GB2312" w:hAnsi="宋体" w:eastAsia="仿宋_GB2312" w:cs="Calibri"/>
          <w:kern w:val="2"/>
          <w:sz w:val="28"/>
          <w:szCs w:val="28"/>
        </w:rPr>
        <w:t>主要依据《新生儿振幅整合脑电图临床应用专家共识》（2019）确定。</w:t>
      </w:r>
    </w:p>
    <w:p w14:paraId="5E82DC58">
      <w:pPr>
        <w:pStyle w:val="48"/>
        <w:keepNext w:val="0"/>
        <w:keepLines w:val="0"/>
        <w:pageBreakBefore w:val="0"/>
        <w:widowControl w:val="0"/>
        <w:numPr>
          <w:ilvl w:val="0"/>
          <w:numId w:val="0"/>
        </w:numPr>
        <w:kinsoku/>
        <w:wordWrap/>
        <w:overflowPunct/>
        <w:topLinePunct w:val="0"/>
        <w:autoSpaceDE/>
        <w:autoSpaceDN/>
        <w:bidi w:val="0"/>
        <w:adjustRightInd/>
        <w:snapToGrid/>
        <w:spacing w:before="0" w:beforeLines="0" w:beforeAutospacing="0" w:after="0" w:afterLines="0" w:afterAutospacing="0"/>
        <w:ind w:left="0" w:leftChars="0" w:firstLine="560" w:firstLineChars="200"/>
        <w:jc w:val="left"/>
        <w:textAlignment w:val="auto"/>
        <w:rPr>
          <w:rFonts w:hint="eastAsia" w:ascii="仿宋_GB2312" w:hAnsi="宋体" w:eastAsia="仿宋_GB2312" w:cs="Calibri"/>
          <w:kern w:val="2"/>
          <w:sz w:val="28"/>
          <w:szCs w:val="28"/>
          <w:lang w:eastAsia="zh-CN"/>
        </w:rPr>
      </w:pPr>
      <w:r>
        <w:rPr>
          <w:rFonts w:hint="eastAsia" w:ascii="仿宋_GB2312" w:hAnsi="宋体" w:eastAsia="仿宋_GB2312" w:cs="Calibri"/>
          <w:kern w:val="2"/>
          <w:sz w:val="28"/>
          <w:szCs w:val="28"/>
          <w:lang w:eastAsia="zh-CN"/>
        </w:rPr>
        <w:t>增加了对禁忌症的条款规定：头皮外伤严重，广泛或开放性颅脑外伤。抢救状态下的危重病人。相对禁忌症：小于25周的超早产儿，</w:t>
      </w:r>
      <w:r>
        <w:rPr>
          <w:rFonts w:hint="eastAsia" w:ascii="仿宋_GB2312" w:hAnsi="宋体" w:eastAsia="仿宋_GB2312" w:cs="Calibri"/>
          <w:kern w:val="2"/>
          <w:sz w:val="28"/>
          <w:szCs w:val="28"/>
          <w:lang w:val="en-US" w:eastAsia="zh-CN"/>
        </w:rPr>
        <w:t>头皮过嫩，不易操作</w:t>
      </w:r>
    </w:p>
    <w:p w14:paraId="76341BF8">
      <w:pPr>
        <w:keepNext w:val="0"/>
        <w:keepLines w:val="0"/>
        <w:pageBreakBefore w:val="0"/>
        <w:numPr>
          <w:ilvl w:val="0"/>
          <w:numId w:val="0"/>
        </w:numPr>
        <w:kinsoku/>
        <w:wordWrap/>
        <w:overflowPunct/>
        <w:topLinePunct w:val="0"/>
        <w:bidi w:val="0"/>
        <w:adjustRightInd/>
        <w:snapToGrid/>
        <w:spacing w:beforeAutospacing="0" w:afterAutospacing="0" w:line="560" w:lineRule="exact"/>
        <w:ind w:firstLine="562" w:firstLineChars="200"/>
        <w:textAlignment w:val="auto"/>
        <w:rPr>
          <w:rFonts w:hint="eastAsia" w:ascii="楷体" w:hAnsi="楷体" w:eastAsia="楷体" w:cs="Calibri"/>
          <w:b/>
          <w:sz w:val="28"/>
          <w:szCs w:val="28"/>
        </w:rPr>
      </w:pPr>
      <w:r>
        <w:rPr>
          <w:rFonts w:hint="eastAsia" w:ascii="楷体" w:hAnsi="楷体" w:eastAsia="楷体" w:cs="Calibri"/>
          <w:b/>
          <w:kern w:val="2"/>
          <w:sz w:val="28"/>
          <w:szCs w:val="28"/>
          <w:lang w:val="en-US" w:eastAsia="zh-CN" w:bidi="ar-SA"/>
        </w:rPr>
        <w:t>（四）</w:t>
      </w:r>
      <w:r>
        <w:rPr>
          <w:rFonts w:hint="eastAsia" w:ascii="楷体" w:hAnsi="楷体" w:eastAsia="楷体" w:cs="Calibri"/>
          <w:b/>
          <w:sz w:val="28"/>
          <w:szCs w:val="28"/>
          <w:lang w:eastAsia="zh-CN"/>
        </w:rPr>
        <w:t>检查操作</w:t>
      </w:r>
    </w:p>
    <w:p w14:paraId="7E45F2D7">
      <w:pPr>
        <w:pStyle w:val="48"/>
        <w:keepNext w:val="0"/>
        <w:keepLines w:val="0"/>
        <w:pageBreakBefore w:val="0"/>
        <w:numPr>
          <w:ilvl w:val="0"/>
          <w:numId w:val="0"/>
        </w:numPr>
        <w:kinsoku/>
        <w:wordWrap/>
        <w:overflowPunct/>
        <w:topLinePunct w:val="0"/>
        <w:bidi w:val="0"/>
        <w:adjustRightInd/>
        <w:snapToGrid/>
        <w:spacing w:before="0" w:beforeLines="0" w:beforeAutospacing="0" w:after="0" w:afterLines="0" w:afterAutospacing="0"/>
        <w:ind w:firstLine="843" w:firstLineChars="300"/>
        <w:jc w:val="left"/>
        <w:textAlignment w:val="auto"/>
        <w:rPr>
          <w:rFonts w:hint="eastAsia" w:ascii="仿宋_GB2312" w:hAnsi="宋体" w:eastAsia="仿宋_GB2312" w:cs="Calibri"/>
          <w:b/>
          <w:bCs/>
          <w:kern w:val="2"/>
          <w:sz w:val="28"/>
          <w:szCs w:val="28"/>
        </w:rPr>
      </w:pPr>
      <w:r>
        <w:rPr>
          <w:rFonts w:hint="eastAsia" w:ascii="仿宋_GB2312" w:hAnsi="宋体" w:eastAsia="仿宋_GB2312" w:cs="Calibri"/>
          <w:b/>
          <w:bCs/>
          <w:kern w:val="2"/>
          <w:sz w:val="28"/>
          <w:szCs w:val="28"/>
          <w:lang w:val="en-US" w:eastAsia="zh-CN"/>
        </w:rPr>
        <w:t>1.</w:t>
      </w:r>
      <w:r>
        <w:rPr>
          <w:rFonts w:hint="eastAsia" w:ascii="仿宋_GB2312" w:hAnsi="宋体" w:eastAsia="仿宋_GB2312" w:cs="Calibri"/>
          <w:b/>
          <w:bCs/>
          <w:kern w:val="2"/>
          <w:sz w:val="28"/>
          <w:szCs w:val="28"/>
        </w:rPr>
        <w:t>操作前准备：</w:t>
      </w:r>
    </w:p>
    <w:p w14:paraId="26B3FE04">
      <w:pPr>
        <w:pStyle w:val="48"/>
        <w:keepNext w:val="0"/>
        <w:keepLines w:val="0"/>
        <w:pageBreakBefore w:val="0"/>
        <w:numPr>
          <w:ilvl w:val="0"/>
          <w:numId w:val="0"/>
        </w:numPr>
        <w:kinsoku/>
        <w:wordWrap/>
        <w:overflowPunct/>
        <w:topLinePunct w:val="0"/>
        <w:bidi w:val="0"/>
        <w:adjustRightInd/>
        <w:snapToGrid/>
        <w:spacing w:before="0" w:beforeLines="0" w:beforeAutospacing="0" w:after="0" w:afterLines="0" w:afterAutospacing="0"/>
        <w:ind w:firstLine="562" w:firstLineChars="200"/>
        <w:jc w:val="left"/>
        <w:textAlignment w:val="auto"/>
        <w:rPr>
          <w:rFonts w:hint="eastAsia" w:ascii="仿宋_GB2312" w:hAnsi="宋体" w:eastAsia="仿宋_GB2312" w:cs="Calibri"/>
          <w:b w:val="0"/>
          <w:bCs w:val="0"/>
          <w:kern w:val="2"/>
          <w:sz w:val="28"/>
          <w:szCs w:val="28"/>
          <w:lang w:eastAsia="zh-CN"/>
        </w:rPr>
      </w:pPr>
      <w:r>
        <w:rPr>
          <w:rFonts w:hint="eastAsia" w:ascii="仿宋_GB2312" w:hAnsi="宋体" w:eastAsia="仿宋_GB2312" w:cs="Calibri"/>
          <w:b/>
          <w:bCs/>
          <w:kern w:val="2"/>
          <w:sz w:val="28"/>
          <w:szCs w:val="28"/>
          <w:lang w:eastAsia="zh-CN"/>
        </w:rPr>
        <w:t>（</w:t>
      </w:r>
      <w:r>
        <w:rPr>
          <w:rFonts w:hint="eastAsia" w:ascii="仿宋_GB2312" w:hAnsi="宋体" w:eastAsia="仿宋_GB2312" w:cs="Calibri"/>
          <w:b/>
          <w:bCs/>
          <w:kern w:val="2"/>
          <w:sz w:val="28"/>
          <w:szCs w:val="28"/>
          <w:lang w:val="en-US" w:eastAsia="zh-CN"/>
        </w:rPr>
        <w:t>1</w:t>
      </w:r>
      <w:r>
        <w:rPr>
          <w:rFonts w:hint="eastAsia" w:ascii="仿宋_GB2312" w:hAnsi="宋体" w:eastAsia="仿宋_GB2312" w:cs="Calibri"/>
          <w:b/>
          <w:bCs/>
          <w:kern w:val="2"/>
          <w:sz w:val="28"/>
          <w:szCs w:val="28"/>
          <w:lang w:eastAsia="zh-CN"/>
        </w:rPr>
        <w:t>）评估</w:t>
      </w:r>
      <w:r>
        <w:rPr>
          <w:rFonts w:hint="eastAsia" w:ascii="仿宋_GB2312" w:hAnsi="宋体" w:eastAsia="仿宋_GB2312" w:cs="Calibri"/>
          <w:b w:val="0"/>
          <w:bCs w:val="0"/>
          <w:kern w:val="2"/>
          <w:sz w:val="28"/>
          <w:szCs w:val="28"/>
          <w:lang w:eastAsia="zh-CN"/>
        </w:rPr>
        <w:t>：检查新生儿头部是否有头颅血肿、局部头皮破损。</w:t>
      </w:r>
    </w:p>
    <w:p w14:paraId="7F486F47">
      <w:pPr>
        <w:pStyle w:val="15"/>
        <w:keepNext w:val="0"/>
        <w:keepLines w:val="0"/>
        <w:pageBreakBefore w:val="0"/>
        <w:widowControl/>
        <w:kinsoku/>
        <w:wordWrap/>
        <w:overflowPunct/>
        <w:topLinePunct w:val="0"/>
        <w:autoSpaceDE w:val="0"/>
        <w:autoSpaceDN w:val="0"/>
        <w:bidi w:val="0"/>
        <w:adjustRightInd/>
        <w:snapToGrid/>
        <w:spacing w:before="0" w:beforeAutospacing="0" w:after="0" w:afterAutospacing="0"/>
        <w:ind w:firstLine="562" w:firstLineChars="200"/>
        <w:textAlignment w:val="auto"/>
        <w:rPr>
          <w:rFonts w:hint="eastAsia" w:ascii="仿宋_GB2312" w:hAnsi="宋体" w:eastAsia="仿宋_GB2312"/>
          <w:sz w:val="28"/>
          <w:szCs w:val="28"/>
          <w:lang w:eastAsia="zh-CN"/>
        </w:rPr>
      </w:pPr>
      <w:bookmarkStart w:id="66" w:name="_Toc14428"/>
      <w:r>
        <w:rPr>
          <w:rFonts w:hint="eastAsia" w:ascii="仿宋_GB2312" w:hAnsi="宋体" w:eastAsia="仿宋_GB2312" w:cs="Calibri"/>
          <w:b/>
          <w:bCs/>
          <w:kern w:val="2"/>
          <w:sz w:val="28"/>
          <w:szCs w:val="28"/>
        </w:rPr>
        <w:t>（2）用物</w:t>
      </w:r>
      <w:r>
        <w:rPr>
          <w:rFonts w:hint="eastAsia" w:ascii="仿宋_GB2312" w:hAnsi="宋体" w:eastAsia="仿宋_GB2312" w:cs="Calibri"/>
          <w:b/>
          <w:bCs/>
          <w:kern w:val="2"/>
          <w:sz w:val="28"/>
          <w:szCs w:val="28"/>
          <w:lang w:eastAsia="zh-CN"/>
        </w:rPr>
        <w:t>准备</w:t>
      </w:r>
      <w:r>
        <w:rPr>
          <w:rFonts w:hint="eastAsia" w:ascii="仿宋_GB2312" w:hAnsi="宋体" w:eastAsia="仿宋_GB2312" w:cs="Calibri"/>
          <w:kern w:val="2"/>
          <w:sz w:val="28"/>
          <w:szCs w:val="28"/>
        </w:rPr>
        <w:t>：主要参照依据《</w:t>
      </w:r>
      <w:r>
        <w:rPr>
          <w:rFonts w:hint="eastAsia" w:ascii="仿宋_GB2312" w:hAnsi="宋体" w:eastAsia="仿宋_GB2312"/>
          <w:sz w:val="28"/>
          <w:szCs w:val="28"/>
        </w:rPr>
        <w:t>新生儿脑电图操作和报告书写最低技术标准专家共识》（2022），准备磨砂膏、75%酒精、导电膏、棉签、一次性网帽、新生儿振幅整合脑电图测量仪、注射器等。</w:t>
      </w:r>
      <w:r>
        <w:rPr>
          <w:rFonts w:hint="eastAsia" w:ascii="仿宋_GB2312" w:hAnsi="宋体" w:eastAsia="仿宋_GB2312"/>
          <w:sz w:val="28"/>
          <w:szCs w:val="28"/>
          <w:lang w:eastAsia="zh-CN"/>
        </w:rPr>
        <w:t>应准备</w:t>
      </w:r>
      <w:r>
        <w:rPr>
          <w:rFonts w:hint="eastAsia" w:ascii="仿宋_GB2312" w:hAnsi="宋体" w:eastAsia="仿宋_GB2312"/>
          <w:sz w:val="28"/>
          <w:szCs w:val="28"/>
        </w:rPr>
        <w:t>脑电图帽</w:t>
      </w:r>
      <w:r>
        <w:rPr>
          <w:rFonts w:hint="eastAsia" w:ascii="仿宋_GB2312" w:hAnsi="宋体" w:eastAsia="仿宋_GB2312"/>
          <w:sz w:val="28"/>
          <w:szCs w:val="28"/>
          <w:lang w:eastAsia="zh-CN"/>
        </w:rPr>
        <w:t>、</w:t>
      </w:r>
      <w:r>
        <w:rPr>
          <w:rFonts w:hint="eastAsia" w:ascii="仿宋_GB2312" w:hAnsi="宋体" w:eastAsia="仿宋_GB2312"/>
          <w:sz w:val="28"/>
          <w:szCs w:val="28"/>
        </w:rPr>
        <w:t>金属盘状电极</w:t>
      </w:r>
      <w:r>
        <w:rPr>
          <w:rFonts w:hint="eastAsia" w:ascii="仿宋_GB2312" w:hAnsi="宋体" w:eastAsia="仿宋_GB2312"/>
          <w:sz w:val="28"/>
          <w:szCs w:val="28"/>
          <w:lang w:eastAsia="zh-CN"/>
        </w:rPr>
        <w:t>、</w:t>
      </w:r>
      <w:r>
        <w:rPr>
          <w:rFonts w:hint="eastAsia" w:ascii="仿宋_GB2312" w:hAnsi="宋体" w:eastAsia="仿宋_GB2312"/>
          <w:sz w:val="28"/>
          <w:szCs w:val="28"/>
        </w:rPr>
        <w:t>水凝胶电极或一次性电极</w:t>
      </w:r>
      <w:r>
        <w:rPr>
          <w:rFonts w:hint="eastAsia" w:ascii="仿宋_GB2312" w:hAnsi="宋体" w:eastAsia="仿宋_GB2312"/>
          <w:sz w:val="28"/>
          <w:szCs w:val="28"/>
          <w:lang w:eastAsia="zh-CN"/>
        </w:rPr>
        <w:t>。</w:t>
      </w:r>
    </w:p>
    <w:p w14:paraId="67DBDE7E">
      <w:pPr>
        <w:pStyle w:val="15"/>
        <w:keepNext w:val="0"/>
        <w:keepLines w:val="0"/>
        <w:pageBreakBefore w:val="0"/>
        <w:widowControl/>
        <w:kinsoku/>
        <w:wordWrap/>
        <w:overflowPunct/>
        <w:topLinePunct w:val="0"/>
        <w:autoSpaceDE w:val="0"/>
        <w:autoSpaceDN w:val="0"/>
        <w:bidi w:val="0"/>
        <w:adjustRightInd/>
        <w:snapToGrid/>
        <w:spacing w:before="0" w:beforeAutospacing="0" w:after="0" w:afterAutospacing="0"/>
        <w:ind w:firstLine="560" w:firstLineChars="200"/>
        <w:textAlignment w:val="auto"/>
        <w:rPr>
          <w:rFonts w:hint="eastAsia" w:ascii="仿宋_GB2312" w:hAnsi="宋体" w:eastAsia="仿宋_GB2312"/>
          <w:sz w:val="28"/>
          <w:szCs w:val="28"/>
          <w:lang w:eastAsia="zh-CN"/>
        </w:rPr>
      </w:pPr>
      <w:r>
        <w:rPr>
          <w:rFonts w:hint="eastAsia" w:ascii="仿宋_GB2312" w:hAnsi="宋体" w:eastAsia="仿宋_GB2312"/>
          <w:sz w:val="28"/>
          <w:szCs w:val="28"/>
          <w:lang w:eastAsia="zh-CN"/>
        </w:rPr>
        <w:t>脑电图帽:无创、可重复使用、无需定位、使用方便、不易脱落移位移位，但每次使用后需要清洗消毒。金属盘状电极:无创、可重复使用、可自主选择放置位点，适合所有新生儿使用、抗干扰性能好，但放置位置较难掌握、安放步骤较为复杂。水凝胶电极:无创、使用方便、适合头发较少的早产儿或剃头的新生儿、新生儿耐受度高、安放和摘除无不适感，但使用水凝胶电极需要剃头、无法开展长程监测、不可重复使用。根据临床需要可选择单导(单通道)aEEG、双导(双通道)aEEG、多导(多通道)aEEG。主要参照《新生儿振幅整合脑电图临床应用专家共识》（2019）。</w:t>
      </w:r>
    </w:p>
    <w:p w14:paraId="5C81B389">
      <w:pPr>
        <w:pStyle w:val="48"/>
        <w:keepNext w:val="0"/>
        <w:keepLines w:val="0"/>
        <w:pageBreakBefore w:val="0"/>
        <w:numPr>
          <w:ilvl w:val="3"/>
          <w:numId w:val="0"/>
        </w:numPr>
        <w:kinsoku/>
        <w:wordWrap/>
        <w:overflowPunct/>
        <w:topLinePunct w:val="0"/>
        <w:bidi w:val="0"/>
        <w:adjustRightInd/>
        <w:snapToGrid/>
        <w:spacing w:before="0" w:beforeLines="0" w:beforeAutospacing="0" w:after="0" w:afterLines="0" w:afterAutospacing="0"/>
        <w:jc w:val="center"/>
        <w:textAlignment w:val="auto"/>
      </w:pPr>
      <w:bookmarkStart w:id="67" w:name="_Toc1117"/>
      <w:r>
        <w:drawing>
          <wp:inline distT="0" distB="0" distL="114300" distR="114300">
            <wp:extent cx="2256790" cy="1903730"/>
            <wp:effectExtent l="0" t="0" r="10160" b="127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10"/>
                    <a:stretch>
                      <a:fillRect/>
                    </a:stretch>
                  </pic:blipFill>
                  <pic:spPr>
                    <a:xfrm>
                      <a:off x="0" y="0"/>
                      <a:ext cx="2256790" cy="1903730"/>
                    </a:xfrm>
                    <a:prstGeom prst="rect">
                      <a:avLst/>
                    </a:prstGeom>
                    <a:noFill/>
                    <a:ln>
                      <a:noFill/>
                    </a:ln>
                  </pic:spPr>
                </pic:pic>
              </a:graphicData>
            </a:graphic>
          </wp:inline>
        </w:drawing>
      </w:r>
    </w:p>
    <w:p w14:paraId="0F8D67E1">
      <w:pPr>
        <w:pStyle w:val="48"/>
        <w:keepNext w:val="0"/>
        <w:keepLines w:val="0"/>
        <w:pageBreakBefore w:val="0"/>
        <w:numPr>
          <w:ilvl w:val="3"/>
          <w:numId w:val="0"/>
        </w:numPr>
        <w:kinsoku/>
        <w:wordWrap/>
        <w:overflowPunct/>
        <w:topLinePunct w:val="0"/>
        <w:bidi w:val="0"/>
        <w:adjustRightInd/>
        <w:snapToGrid/>
        <w:spacing w:before="0" w:beforeLines="0" w:beforeAutospacing="0" w:after="0" w:afterLines="0" w:afterAutospacing="0"/>
        <w:ind w:left="630" w:leftChars="300"/>
        <w:jc w:val="center"/>
        <w:textAlignment w:val="auto"/>
        <w:rPr>
          <w:rFonts w:hint="eastAsia"/>
          <w:b/>
          <w:bCs/>
        </w:rPr>
      </w:pPr>
      <w:r>
        <w:rPr>
          <w:rFonts w:hint="eastAsia"/>
          <w:b/>
          <w:bCs/>
        </w:rPr>
        <w:t>《新生儿脑电图操作和报告书写最低技术标准专家共识》（2022）</w:t>
      </w:r>
    </w:p>
    <w:bookmarkEnd w:id="67"/>
    <w:p w14:paraId="7B2D9CED">
      <w:pPr>
        <w:pStyle w:val="48"/>
        <w:keepNext w:val="0"/>
        <w:keepLines w:val="0"/>
        <w:pageBreakBefore w:val="0"/>
        <w:numPr>
          <w:ilvl w:val="3"/>
          <w:numId w:val="0"/>
        </w:numPr>
        <w:kinsoku/>
        <w:wordWrap/>
        <w:overflowPunct/>
        <w:topLinePunct w:val="0"/>
        <w:bidi w:val="0"/>
        <w:adjustRightInd/>
        <w:snapToGrid/>
        <w:spacing w:before="0" w:beforeLines="0" w:beforeAutospacing="0" w:after="0" w:afterLines="0" w:afterAutospacing="0"/>
        <w:ind w:firstLine="562" w:firstLineChars="200"/>
        <w:jc w:val="left"/>
        <w:textAlignment w:val="auto"/>
        <w:rPr>
          <w:rFonts w:hint="eastAsia" w:ascii="仿宋_GB2312" w:hAnsi="宋体" w:eastAsia="仿宋_GB2312" w:cs="Calibri"/>
          <w:kern w:val="2"/>
          <w:sz w:val="28"/>
          <w:szCs w:val="28"/>
        </w:rPr>
      </w:pPr>
      <w:r>
        <w:rPr>
          <w:rFonts w:hint="eastAsia" w:ascii="仿宋_GB2312" w:hAnsi="宋体" w:eastAsia="仿宋_GB2312" w:cs="Calibri"/>
          <w:b/>
          <w:bCs/>
          <w:kern w:val="2"/>
          <w:sz w:val="28"/>
          <w:szCs w:val="28"/>
        </w:rPr>
        <w:t>（</w:t>
      </w:r>
      <w:r>
        <w:rPr>
          <w:rFonts w:hint="eastAsia" w:ascii="仿宋_GB2312" w:hAnsi="宋体" w:eastAsia="仿宋_GB2312" w:cs="Calibri"/>
          <w:b/>
          <w:bCs/>
          <w:kern w:val="2"/>
          <w:sz w:val="28"/>
          <w:szCs w:val="28"/>
          <w:lang w:val="en-US" w:eastAsia="zh-CN"/>
        </w:rPr>
        <w:t>3</w:t>
      </w:r>
      <w:r>
        <w:rPr>
          <w:rFonts w:hint="eastAsia" w:ascii="仿宋_GB2312" w:hAnsi="宋体" w:eastAsia="仿宋_GB2312" w:cs="Calibri"/>
          <w:b/>
          <w:bCs/>
          <w:kern w:val="2"/>
          <w:sz w:val="28"/>
          <w:szCs w:val="28"/>
        </w:rPr>
        <w:t>）消毒</w:t>
      </w:r>
      <w:r>
        <w:rPr>
          <w:rFonts w:hint="eastAsia" w:ascii="仿宋_GB2312" w:hAnsi="宋体" w:eastAsia="仿宋_GB2312" w:cs="Calibri"/>
          <w:kern w:val="2"/>
          <w:sz w:val="28"/>
          <w:szCs w:val="28"/>
        </w:rPr>
        <w:t>：依据《新生儿脑电图操作和报告书写最低技术标准专家共识》（2022）。</w:t>
      </w:r>
    </w:p>
    <w:p w14:paraId="3E2FDC12">
      <w:pPr>
        <w:pStyle w:val="48"/>
        <w:keepNext w:val="0"/>
        <w:keepLines w:val="0"/>
        <w:pageBreakBefore w:val="0"/>
        <w:numPr>
          <w:ilvl w:val="3"/>
          <w:numId w:val="0"/>
        </w:numPr>
        <w:kinsoku/>
        <w:wordWrap/>
        <w:overflowPunct/>
        <w:topLinePunct w:val="0"/>
        <w:bidi w:val="0"/>
        <w:adjustRightInd/>
        <w:snapToGrid/>
        <w:spacing w:before="0" w:beforeLines="0" w:beforeAutospacing="0" w:after="0" w:afterLines="0" w:afterAutospacing="0"/>
        <w:jc w:val="center"/>
        <w:textAlignment w:val="auto"/>
      </w:pPr>
      <w:r>
        <w:drawing>
          <wp:inline distT="0" distB="0" distL="114300" distR="114300">
            <wp:extent cx="2268855" cy="745490"/>
            <wp:effectExtent l="0" t="0" r="17145" b="16510"/>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11"/>
                    <a:stretch>
                      <a:fillRect/>
                    </a:stretch>
                  </pic:blipFill>
                  <pic:spPr>
                    <a:xfrm>
                      <a:off x="0" y="0"/>
                      <a:ext cx="2268855" cy="745490"/>
                    </a:xfrm>
                    <a:prstGeom prst="rect">
                      <a:avLst/>
                    </a:prstGeom>
                    <a:noFill/>
                    <a:ln>
                      <a:noFill/>
                    </a:ln>
                  </pic:spPr>
                </pic:pic>
              </a:graphicData>
            </a:graphic>
          </wp:inline>
        </w:drawing>
      </w:r>
    </w:p>
    <w:p w14:paraId="219A16F8">
      <w:pPr>
        <w:pStyle w:val="48"/>
        <w:keepNext w:val="0"/>
        <w:keepLines w:val="0"/>
        <w:pageBreakBefore w:val="0"/>
        <w:numPr>
          <w:ilvl w:val="3"/>
          <w:numId w:val="0"/>
        </w:numPr>
        <w:kinsoku/>
        <w:wordWrap/>
        <w:overflowPunct/>
        <w:topLinePunct w:val="0"/>
        <w:bidi w:val="0"/>
        <w:adjustRightInd/>
        <w:snapToGrid/>
        <w:spacing w:before="0" w:beforeLines="0" w:beforeAutospacing="0" w:after="0" w:afterLines="0" w:afterAutospacing="0"/>
        <w:ind w:left="630" w:leftChars="300"/>
        <w:jc w:val="center"/>
        <w:textAlignment w:val="auto"/>
        <w:rPr>
          <w:rFonts w:hint="eastAsia"/>
          <w:b/>
          <w:bCs/>
        </w:rPr>
      </w:pPr>
      <w:r>
        <w:rPr>
          <w:rFonts w:hint="eastAsia"/>
          <w:b/>
          <w:bCs/>
        </w:rPr>
        <w:t>消毒</w:t>
      </w:r>
    </w:p>
    <w:bookmarkEnd w:id="66"/>
    <w:p w14:paraId="1E6F52BD">
      <w:pPr>
        <w:pStyle w:val="48"/>
        <w:keepNext w:val="0"/>
        <w:keepLines w:val="0"/>
        <w:pageBreakBefore w:val="0"/>
        <w:numPr>
          <w:ilvl w:val="3"/>
          <w:numId w:val="0"/>
        </w:numPr>
        <w:kinsoku/>
        <w:wordWrap/>
        <w:overflowPunct/>
        <w:topLinePunct w:val="0"/>
        <w:bidi w:val="0"/>
        <w:adjustRightInd/>
        <w:snapToGrid/>
        <w:spacing w:before="0" w:beforeLines="0" w:beforeAutospacing="0" w:after="0" w:afterLines="0" w:afterAutospacing="0"/>
        <w:ind w:firstLine="560" w:firstLineChars="200"/>
        <w:jc w:val="left"/>
        <w:textAlignment w:val="auto"/>
        <w:rPr>
          <w:rFonts w:hint="eastAsia" w:ascii="仿宋_GB2312" w:hAnsi="宋体" w:eastAsia="仿宋_GB2312"/>
          <w:sz w:val="28"/>
          <w:szCs w:val="28"/>
        </w:rPr>
      </w:pPr>
    </w:p>
    <w:p w14:paraId="1D55B103">
      <w:pPr>
        <w:pStyle w:val="48"/>
        <w:keepNext w:val="0"/>
        <w:keepLines w:val="0"/>
        <w:pageBreakBefore w:val="0"/>
        <w:numPr>
          <w:ilvl w:val="3"/>
          <w:numId w:val="0"/>
        </w:numPr>
        <w:kinsoku/>
        <w:wordWrap/>
        <w:overflowPunct/>
        <w:topLinePunct w:val="0"/>
        <w:bidi w:val="0"/>
        <w:adjustRightInd/>
        <w:snapToGrid/>
        <w:spacing w:before="0" w:beforeLines="0" w:beforeAutospacing="0" w:after="0" w:afterLines="0" w:afterAutospacing="0"/>
        <w:ind w:firstLine="562" w:firstLineChars="200"/>
        <w:jc w:val="left"/>
        <w:textAlignment w:val="auto"/>
        <w:rPr>
          <w:rFonts w:hint="eastAsia" w:ascii="仿宋_GB2312" w:hAnsi="宋体" w:eastAsia="仿宋_GB2312"/>
          <w:sz w:val="28"/>
          <w:szCs w:val="28"/>
          <w:lang w:eastAsia="zh-CN"/>
        </w:rPr>
      </w:pPr>
      <w:r>
        <w:rPr>
          <w:rFonts w:hint="eastAsia" w:ascii="仿宋_GB2312" w:hAnsi="宋体" w:eastAsia="仿宋_GB2312" w:cs="Calibri"/>
          <w:b/>
          <w:bCs/>
          <w:sz w:val="28"/>
          <w:szCs w:val="28"/>
          <w:lang w:val="en-US" w:eastAsia="zh-CN"/>
        </w:rPr>
        <w:t>(4)</w:t>
      </w:r>
      <w:r>
        <w:rPr>
          <w:rFonts w:hint="eastAsia" w:ascii="仿宋_GB2312" w:hAnsi="宋体" w:eastAsia="仿宋_GB2312" w:cs="Calibri"/>
          <w:b/>
          <w:bCs/>
          <w:sz w:val="28"/>
          <w:szCs w:val="28"/>
          <w:lang w:eastAsia="zh-CN"/>
        </w:rPr>
        <w:t>新生儿准备：</w:t>
      </w:r>
      <w:r>
        <w:rPr>
          <w:rFonts w:hint="eastAsia" w:ascii="仿宋_GB2312" w:hAnsi="宋体" w:eastAsia="仿宋_GB2312" w:cs="Calibri"/>
          <w:sz w:val="28"/>
          <w:szCs w:val="28"/>
          <w:lang w:eastAsia="zh-CN"/>
        </w:rPr>
        <w:t>主要是备皮。</w:t>
      </w:r>
      <w:r>
        <w:rPr>
          <w:rFonts w:hint="eastAsia" w:ascii="仿宋_GB2312" w:hAnsi="宋体" w:eastAsia="仿宋_GB2312" w:cs="Calibri"/>
          <w:sz w:val="28"/>
          <w:szCs w:val="28"/>
        </w:rPr>
        <w:t>用棉签沾取75%的医用酒精擦拭患儿头皮，去除局部胎脂、胎粪。可酌情多次擦拭（清洁次数过少或力度过轻可能导致清洁度不够致使后续阻抗过高）。</w:t>
      </w:r>
      <w:r>
        <w:rPr>
          <w:rFonts w:ascii="仿宋_GB2312" w:hAnsi="宋体" w:eastAsia="仿宋_GB2312" w:cs="Calibri"/>
          <w:sz w:val="28"/>
          <w:szCs w:val="28"/>
        </w:rPr>
        <w:t>应用磨砂膏备皮时，动作轻柔以免造成损伤</w:t>
      </w:r>
      <w:r>
        <w:rPr>
          <w:rFonts w:hint="eastAsia" w:ascii="仿宋_GB2312" w:hAnsi="宋体" w:eastAsia="仿宋_GB2312" w:cs="Calibri"/>
          <w:sz w:val="28"/>
          <w:szCs w:val="28"/>
          <w:lang w:eastAsia="zh-CN"/>
        </w:rPr>
        <w:t>。</w:t>
      </w:r>
    </w:p>
    <w:p w14:paraId="428FF966">
      <w:pPr>
        <w:keepNext w:val="0"/>
        <w:keepLines w:val="0"/>
        <w:pageBreakBefore w:val="0"/>
        <w:numPr>
          <w:ilvl w:val="0"/>
          <w:numId w:val="12"/>
        </w:numPr>
        <w:kinsoku/>
        <w:wordWrap/>
        <w:overflowPunct/>
        <w:topLinePunct w:val="0"/>
        <w:bidi w:val="0"/>
        <w:adjustRightInd/>
        <w:snapToGrid/>
        <w:spacing w:beforeAutospacing="0" w:afterAutospacing="0"/>
        <w:ind w:firstLine="281" w:firstLineChars="100"/>
        <w:textAlignment w:val="auto"/>
        <w:rPr>
          <w:rFonts w:hint="eastAsia" w:ascii="仿宋_GB2312" w:hAnsi="宋体" w:eastAsia="仿宋_GB2312" w:cs="Calibri"/>
          <w:b/>
          <w:bCs/>
          <w:sz w:val="28"/>
          <w:szCs w:val="28"/>
        </w:rPr>
      </w:pPr>
      <w:r>
        <w:rPr>
          <w:rFonts w:hint="eastAsia" w:ascii="仿宋_GB2312" w:hAnsi="宋体" w:eastAsia="仿宋_GB2312" w:cs="Calibri"/>
          <w:b/>
          <w:bCs/>
          <w:sz w:val="28"/>
          <w:szCs w:val="28"/>
        </w:rPr>
        <w:t>操作流程</w:t>
      </w:r>
    </w:p>
    <w:p w14:paraId="4833AC4D">
      <w:pPr>
        <w:pStyle w:val="2"/>
        <w:keepNext w:val="0"/>
        <w:keepLines w:val="0"/>
        <w:pageBreakBefore w:val="0"/>
        <w:kinsoku/>
        <w:wordWrap/>
        <w:overflowPunct/>
        <w:topLinePunct w:val="0"/>
        <w:bidi w:val="0"/>
        <w:adjustRightInd/>
        <w:snapToGrid/>
        <w:spacing w:beforeAutospacing="0" w:afterAutospacing="0"/>
        <w:ind w:firstLine="560" w:firstLineChars="200"/>
        <w:textAlignment w:val="auto"/>
        <w:rPr>
          <w:rFonts w:hint="eastAsia"/>
        </w:rPr>
      </w:pPr>
      <w:r>
        <w:rPr>
          <w:rFonts w:hint="eastAsia" w:ascii="仿宋_GB2312" w:hAnsi="宋体" w:eastAsia="仿宋_GB2312" w:cs="Calibri"/>
          <w:kern w:val="2"/>
          <w:sz w:val="28"/>
          <w:szCs w:val="28"/>
          <w:lang w:val="en-US" w:eastAsia="zh-CN" w:bidi="ar-SA"/>
        </w:rPr>
        <w:t>信息录入：录入姓名、出生胎龄、出生时间、病史等。</w:t>
      </w:r>
    </w:p>
    <w:p w14:paraId="21D713C3">
      <w:pPr>
        <w:pStyle w:val="15"/>
        <w:keepNext w:val="0"/>
        <w:keepLines w:val="0"/>
        <w:pageBreakBefore w:val="0"/>
        <w:widowControl/>
        <w:kinsoku/>
        <w:wordWrap/>
        <w:overflowPunct/>
        <w:topLinePunct w:val="0"/>
        <w:autoSpaceDE w:val="0"/>
        <w:autoSpaceDN w:val="0"/>
        <w:bidi w:val="0"/>
        <w:adjustRightInd/>
        <w:snapToGrid/>
        <w:spacing w:before="0" w:beforeAutospacing="0" w:after="0" w:afterAutospacing="0"/>
        <w:ind w:firstLine="562" w:firstLineChars="200"/>
        <w:textAlignment w:val="auto"/>
        <w:rPr>
          <w:rFonts w:hint="eastAsia" w:ascii="仿宋_GB2312" w:hAnsi="宋体" w:eastAsia="仿宋_GB2312" w:cs="Calibri"/>
          <w:sz w:val="28"/>
          <w:szCs w:val="28"/>
        </w:rPr>
      </w:pPr>
      <w:bookmarkStart w:id="68" w:name="_Toc2317"/>
      <w:r>
        <w:rPr>
          <w:rFonts w:hint="eastAsia" w:ascii="仿宋_GB2312" w:hAnsi="宋体" w:eastAsia="仿宋_GB2312" w:cs="Calibri"/>
          <w:b/>
          <w:bCs/>
          <w:sz w:val="28"/>
          <w:szCs w:val="28"/>
        </w:rPr>
        <w:t>导联设置</w:t>
      </w:r>
      <w:bookmarkEnd w:id="68"/>
      <w:r>
        <w:rPr>
          <w:rFonts w:hint="eastAsia" w:ascii="仿宋_GB2312" w:hAnsi="宋体" w:eastAsia="仿宋_GB2312" w:cs="Calibri"/>
          <w:sz w:val="28"/>
          <w:szCs w:val="28"/>
        </w:rPr>
        <w:t>：单导aEEG、双导aEEG</w:t>
      </w:r>
      <w:r>
        <w:rPr>
          <w:rFonts w:hint="eastAsia" w:ascii="仿宋_GB2312" w:hAnsi="宋体" w:eastAsia="仿宋_GB2312" w:cs="Calibri"/>
          <w:sz w:val="28"/>
          <w:szCs w:val="28"/>
          <w:lang w:eastAsia="zh-CN"/>
        </w:rPr>
        <w:t>放置位置</w:t>
      </w:r>
      <w:r>
        <w:rPr>
          <w:rFonts w:hint="eastAsia" w:ascii="仿宋_GB2312" w:hAnsi="宋体" w:eastAsia="仿宋_GB2312" w:cs="Calibri"/>
          <w:sz w:val="28"/>
          <w:szCs w:val="28"/>
        </w:rPr>
        <w:t>主要参照《新生儿振幅整合脑电图临床应用专家共识》（2019）。</w:t>
      </w:r>
    </w:p>
    <w:p w14:paraId="5E14352E">
      <w:pPr>
        <w:pStyle w:val="15"/>
        <w:keepNext w:val="0"/>
        <w:keepLines w:val="0"/>
        <w:pageBreakBefore w:val="0"/>
        <w:widowControl/>
        <w:kinsoku/>
        <w:wordWrap/>
        <w:overflowPunct/>
        <w:topLinePunct w:val="0"/>
        <w:autoSpaceDE w:val="0"/>
        <w:autoSpaceDN w:val="0"/>
        <w:bidi w:val="0"/>
        <w:adjustRightInd/>
        <w:snapToGrid/>
        <w:spacing w:before="0" w:beforeAutospacing="0" w:after="0" w:afterAutospacing="0"/>
        <w:ind w:firstLine="480" w:firstLineChars="200"/>
        <w:jc w:val="center"/>
        <w:textAlignment w:val="auto"/>
        <w:rPr>
          <w:rFonts w:hint="eastAsia" w:ascii="仿宋_GB2312" w:hAnsi="宋体" w:eastAsia="仿宋_GB2312" w:cs="Calibri"/>
          <w:sz w:val="28"/>
          <w:szCs w:val="28"/>
        </w:rPr>
      </w:pPr>
      <w:r>
        <w:drawing>
          <wp:inline distT="0" distB="0" distL="114300" distR="114300">
            <wp:extent cx="2038350" cy="2920365"/>
            <wp:effectExtent l="0" t="0" r="0" b="13335"/>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12"/>
                    <a:stretch>
                      <a:fillRect/>
                    </a:stretch>
                  </pic:blipFill>
                  <pic:spPr>
                    <a:xfrm>
                      <a:off x="0" y="0"/>
                      <a:ext cx="2038350" cy="2920365"/>
                    </a:xfrm>
                    <a:prstGeom prst="rect">
                      <a:avLst/>
                    </a:prstGeom>
                    <a:noFill/>
                    <a:ln>
                      <a:noFill/>
                    </a:ln>
                  </pic:spPr>
                </pic:pic>
              </a:graphicData>
            </a:graphic>
          </wp:inline>
        </w:drawing>
      </w:r>
    </w:p>
    <w:p w14:paraId="6DCE1610">
      <w:pPr>
        <w:pStyle w:val="15"/>
        <w:keepNext w:val="0"/>
        <w:keepLines w:val="0"/>
        <w:pageBreakBefore w:val="0"/>
        <w:widowControl/>
        <w:kinsoku/>
        <w:wordWrap/>
        <w:overflowPunct/>
        <w:topLinePunct w:val="0"/>
        <w:autoSpaceDE w:val="0"/>
        <w:autoSpaceDN w:val="0"/>
        <w:bidi w:val="0"/>
        <w:adjustRightInd/>
        <w:snapToGrid/>
        <w:spacing w:before="0" w:beforeAutospacing="0" w:after="0" w:afterAutospacing="0"/>
        <w:ind w:firstLine="560" w:firstLineChars="200"/>
        <w:textAlignment w:val="auto"/>
        <w:rPr>
          <w:rFonts w:hint="eastAsia" w:ascii="仿宋_GB2312" w:hAnsi="宋体" w:eastAsia="仿宋_GB2312" w:cs="Calibri"/>
          <w:sz w:val="28"/>
          <w:szCs w:val="28"/>
        </w:rPr>
      </w:pPr>
      <w:r>
        <w:rPr>
          <w:rFonts w:hint="eastAsia" w:ascii="仿宋_GB2312" w:hAnsi="宋体" w:eastAsia="仿宋_GB2312" w:cs="Calibri"/>
          <w:sz w:val="28"/>
          <w:szCs w:val="28"/>
        </w:rPr>
        <w:t>多导aEEG：新生儿头围小，多导电极数目推荐使用9个或11个脑电记录电极。9个记录电极为10-20系统的Fp1/Fp2、C3/C4、T3/T4、01/02和Cz，其中Fp1/Fp2也可改为Fp3/Fp4(位于Fp1/Fp2和F3/F4中间的位置)。11个记录电极是在上述9个电极的基础上增加Fz和Pz。参考电极位于A1和A2。因新生儿耳垂小，也可用乳突(M1和M2)部位代替。地线(G)位于前额中线或乳突。</w:t>
      </w:r>
    </w:p>
    <w:p w14:paraId="13D39289">
      <w:pPr>
        <w:pStyle w:val="15"/>
        <w:keepNext w:val="0"/>
        <w:keepLines w:val="0"/>
        <w:pageBreakBefore w:val="0"/>
        <w:widowControl/>
        <w:kinsoku/>
        <w:wordWrap/>
        <w:overflowPunct/>
        <w:topLinePunct w:val="0"/>
        <w:autoSpaceDE w:val="0"/>
        <w:autoSpaceDN w:val="0"/>
        <w:bidi w:val="0"/>
        <w:adjustRightInd/>
        <w:snapToGrid/>
        <w:spacing w:beforeAutospacing="0" w:afterAutospacing="0"/>
        <w:textAlignment w:val="auto"/>
        <w:rPr>
          <w:rFonts w:hint="eastAsia" w:ascii="仿宋_GB2312" w:hAnsi="宋体" w:eastAsia="仿宋_GB2312" w:cs="Calibri"/>
          <w:sz w:val="28"/>
          <w:szCs w:val="28"/>
        </w:rPr>
      </w:pPr>
      <w:r>
        <w:rPr>
          <w:rFonts w:hint="eastAsia" w:ascii="仿宋_GB2312" w:hAnsi="宋体" w:eastAsia="仿宋_GB2312" w:cs="Calibri"/>
          <w:sz w:val="28"/>
          <w:szCs w:val="28"/>
        </w:rPr>
        <w:drawing>
          <wp:inline distT="0" distB="0" distL="114300" distR="114300">
            <wp:extent cx="1608455" cy="1510030"/>
            <wp:effectExtent l="0" t="0" r="10795" b="13970"/>
            <wp:docPr id="15" name="图片 9"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descr="33"/>
                    <pic:cNvPicPr>
                      <a:picLocks noChangeAspect="1"/>
                    </pic:cNvPicPr>
                  </pic:nvPicPr>
                  <pic:blipFill>
                    <a:blip r:embed="rId13"/>
                    <a:stretch>
                      <a:fillRect/>
                    </a:stretch>
                  </pic:blipFill>
                  <pic:spPr>
                    <a:xfrm>
                      <a:off x="0" y="0"/>
                      <a:ext cx="1608455" cy="1510030"/>
                    </a:xfrm>
                    <a:prstGeom prst="rect">
                      <a:avLst/>
                    </a:prstGeom>
                    <a:noFill/>
                    <a:ln>
                      <a:noFill/>
                    </a:ln>
                  </pic:spPr>
                </pic:pic>
              </a:graphicData>
            </a:graphic>
          </wp:inline>
        </w:drawing>
      </w:r>
      <w:r>
        <w:rPr>
          <w:rFonts w:hint="eastAsia" w:ascii="仿宋_GB2312" w:hAnsi="宋体" w:eastAsia="仿宋_GB2312" w:cs="Calibri"/>
          <w:sz w:val="28"/>
          <w:szCs w:val="28"/>
        </w:rPr>
        <w:drawing>
          <wp:inline distT="0" distB="0" distL="114300" distR="114300">
            <wp:extent cx="1980565" cy="1487170"/>
            <wp:effectExtent l="0" t="0" r="635" b="17780"/>
            <wp:docPr id="16" name="图片 10" descr="9导背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descr="9导背面"/>
                    <pic:cNvPicPr>
                      <a:picLocks noChangeAspect="1"/>
                    </pic:cNvPicPr>
                  </pic:nvPicPr>
                  <pic:blipFill>
                    <a:blip r:embed="rId14"/>
                    <a:stretch>
                      <a:fillRect/>
                    </a:stretch>
                  </pic:blipFill>
                  <pic:spPr>
                    <a:xfrm>
                      <a:off x="0" y="0"/>
                      <a:ext cx="1980565" cy="1487170"/>
                    </a:xfrm>
                    <a:prstGeom prst="rect">
                      <a:avLst/>
                    </a:prstGeom>
                    <a:noFill/>
                    <a:ln>
                      <a:noFill/>
                    </a:ln>
                  </pic:spPr>
                </pic:pic>
              </a:graphicData>
            </a:graphic>
          </wp:inline>
        </w:drawing>
      </w:r>
      <w:r>
        <w:rPr>
          <w:rFonts w:hint="eastAsia" w:ascii="仿宋_GB2312" w:hAnsi="宋体" w:eastAsia="仿宋_GB2312" w:cs="Calibri"/>
          <w:sz w:val="28"/>
          <w:szCs w:val="28"/>
        </w:rPr>
        <w:drawing>
          <wp:inline distT="0" distB="0" distL="114300" distR="114300">
            <wp:extent cx="2032635" cy="1525270"/>
            <wp:effectExtent l="0" t="0" r="5715" b="17780"/>
            <wp:docPr id="17" name="图片 11" descr="9导正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descr="9导正面"/>
                    <pic:cNvPicPr>
                      <a:picLocks noChangeAspect="1"/>
                    </pic:cNvPicPr>
                  </pic:nvPicPr>
                  <pic:blipFill>
                    <a:blip r:embed="rId15"/>
                    <a:stretch>
                      <a:fillRect/>
                    </a:stretch>
                  </pic:blipFill>
                  <pic:spPr>
                    <a:xfrm>
                      <a:off x="0" y="0"/>
                      <a:ext cx="2032635" cy="1525270"/>
                    </a:xfrm>
                    <a:prstGeom prst="rect">
                      <a:avLst/>
                    </a:prstGeom>
                    <a:noFill/>
                    <a:ln>
                      <a:noFill/>
                    </a:ln>
                  </pic:spPr>
                </pic:pic>
              </a:graphicData>
            </a:graphic>
          </wp:inline>
        </w:drawing>
      </w:r>
    </w:p>
    <w:p w14:paraId="77281A7B">
      <w:pPr>
        <w:pStyle w:val="15"/>
        <w:keepNext w:val="0"/>
        <w:keepLines w:val="0"/>
        <w:pageBreakBefore w:val="0"/>
        <w:widowControl/>
        <w:kinsoku/>
        <w:wordWrap/>
        <w:overflowPunct/>
        <w:topLinePunct w:val="0"/>
        <w:autoSpaceDE w:val="0"/>
        <w:autoSpaceDN w:val="0"/>
        <w:bidi w:val="0"/>
        <w:adjustRightInd/>
        <w:snapToGrid/>
        <w:spacing w:beforeAutospacing="0" w:afterAutospacing="0"/>
        <w:ind w:firstLine="562" w:firstLineChars="200"/>
        <w:jc w:val="center"/>
        <w:textAlignment w:val="auto"/>
        <w:rPr>
          <w:rFonts w:hint="eastAsia" w:ascii="仿宋_GB2312" w:hAnsi="宋体" w:eastAsia="仿宋_GB2312" w:cs="Calibri"/>
          <w:sz w:val="28"/>
          <w:szCs w:val="28"/>
        </w:rPr>
      </w:pPr>
      <w:r>
        <w:rPr>
          <w:rFonts w:hint="eastAsia" w:ascii="仿宋_GB2312" w:hAnsi="宋体" w:eastAsia="仿宋_GB2312" w:cs="Calibri"/>
          <w:b/>
          <w:bCs/>
          <w:sz w:val="28"/>
          <w:szCs w:val="28"/>
        </w:rPr>
        <w:t>9个记录电极链接方法</w:t>
      </w:r>
    </w:p>
    <w:p w14:paraId="119EBD2A">
      <w:pPr>
        <w:pStyle w:val="15"/>
        <w:keepNext w:val="0"/>
        <w:keepLines w:val="0"/>
        <w:pageBreakBefore w:val="0"/>
        <w:widowControl/>
        <w:kinsoku/>
        <w:wordWrap/>
        <w:overflowPunct/>
        <w:topLinePunct w:val="0"/>
        <w:autoSpaceDE w:val="0"/>
        <w:autoSpaceDN w:val="0"/>
        <w:bidi w:val="0"/>
        <w:adjustRightInd/>
        <w:snapToGrid/>
        <w:spacing w:beforeAutospacing="0" w:afterAutospacing="0"/>
        <w:jc w:val="center"/>
        <w:textAlignment w:val="auto"/>
        <w:rPr>
          <w:rFonts w:hint="eastAsia" w:ascii="仿宋_GB2312" w:hAnsi="宋体" w:eastAsia="仿宋_GB2312" w:cs="Calibri"/>
          <w:sz w:val="28"/>
          <w:szCs w:val="28"/>
        </w:rPr>
      </w:pPr>
      <w:r>
        <w:rPr>
          <w:rFonts w:hint="eastAsia" w:ascii="仿宋_GB2312" w:hAnsi="宋体" w:eastAsia="仿宋_GB2312" w:cs="Calibri"/>
          <w:sz w:val="28"/>
          <w:szCs w:val="28"/>
        </w:rPr>
        <w:drawing>
          <wp:inline distT="0" distB="0" distL="114300" distR="114300">
            <wp:extent cx="1988820" cy="1492250"/>
            <wp:effectExtent l="0" t="0" r="11430" b="12700"/>
            <wp:docPr id="18" name="图片 12" descr="9导背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2" descr="9导背面"/>
                    <pic:cNvPicPr>
                      <a:picLocks noChangeAspect="1"/>
                    </pic:cNvPicPr>
                  </pic:nvPicPr>
                  <pic:blipFill>
                    <a:blip r:embed="rId14"/>
                    <a:stretch>
                      <a:fillRect/>
                    </a:stretch>
                  </pic:blipFill>
                  <pic:spPr>
                    <a:xfrm>
                      <a:off x="0" y="0"/>
                      <a:ext cx="1988820" cy="1492250"/>
                    </a:xfrm>
                    <a:prstGeom prst="rect">
                      <a:avLst/>
                    </a:prstGeom>
                    <a:noFill/>
                    <a:ln>
                      <a:noFill/>
                    </a:ln>
                  </pic:spPr>
                </pic:pic>
              </a:graphicData>
            </a:graphic>
          </wp:inline>
        </w:drawing>
      </w:r>
      <w:r>
        <w:rPr>
          <w:rFonts w:hint="eastAsia" w:ascii="仿宋_GB2312" w:hAnsi="宋体" w:eastAsia="仿宋_GB2312" w:cs="Calibri"/>
          <w:sz w:val="28"/>
          <w:szCs w:val="28"/>
        </w:rPr>
        <w:drawing>
          <wp:inline distT="0" distB="0" distL="114300" distR="114300">
            <wp:extent cx="1974850" cy="1481455"/>
            <wp:effectExtent l="0" t="0" r="6350" b="4445"/>
            <wp:docPr id="19" name="图片 13" descr="11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descr="11导"/>
                    <pic:cNvPicPr>
                      <a:picLocks noChangeAspect="1"/>
                    </pic:cNvPicPr>
                  </pic:nvPicPr>
                  <pic:blipFill>
                    <a:blip r:embed="rId16"/>
                    <a:stretch>
                      <a:fillRect/>
                    </a:stretch>
                  </pic:blipFill>
                  <pic:spPr>
                    <a:xfrm>
                      <a:off x="0" y="0"/>
                      <a:ext cx="1974850" cy="1481455"/>
                    </a:xfrm>
                    <a:prstGeom prst="rect">
                      <a:avLst/>
                    </a:prstGeom>
                    <a:noFill/>
                    <a:ln>
                      <a:noFill/>
                    </a:ln>
                  </pic:spPr>
                </pic:pic>
              </a:graphicData>
            </a:graphic>
          </wp:inline>
        </w:drawing>
      </w:r>
    </w:p>
    <w:p w14:paraId="44214A31">
      <w:pPr>
        <w:pStyle w:val="15"/>
        <w:keepNext w:val="0"/>
        <w:keepLines w:val="0"/>
        <w:pageBreakBefore w:val="0"/>
        <w:widowControl/>
        <w:kinsoku/>
        <w:wordWrap/>
        <w:overflowPunct/>
        <w:topLinePunct w:val="0"/>
        <w:autoSpaceDE w:val="0"/>
        <w:autoSpaceDN w:val="0"/>
        <w:bidi w:val="0"/>
        <w:adjustRightInd/>
        <w:snapToGrid/>
        <w:spacing w:beforeAutospacing="0" w:afterAutospacing="0"/>
        <w:ind w:firstLine="562" w:firstLineChars="200"/>
        <w:jc w:val="center"/>
        <w:textAlignment w:val="auto"/>
        <w:rPr>
          <w:rFonts w:hint="eastAsia" w:ascii="仿宋_GB2312" w:hAnsi="宋体" w:eastAsia="仿宋_GB2312" w:cs="Calibri"/>
          <w:b/>
          <w:bCs/>
          <w:sz w:val="28"/>
          <w:szCs w:val="28"/>
        </w:rPr>
      </w:pPr>
      <w:r>
        <w:rPr>
          <w:rFonts w:hint="eastAsia" w:ascii="仿宋_GB2312" w:hAnsi="宋体" w:eastAsia="仿宋_GB2312" w:cs="Calibri"/>
          <w:b/>
          <w:bCs/>
          <w:sz w:val="28"/>
          <w:szCs w:val="28"/>
        </w:rPr>
        <w:t>11个记录电极链接方法</w:t>
      </w:r>
    </w:p>
    <w:p w14:paraId="3E73E323">
      <w:pPr>
        <w:pStyle w:val="15"/>
        <w:keepNext w:val="0"/>
        <w:keepLines w:val="0"/>
        <w:pageBreakBefore w:val="0"/>
        <w:widowControl/>
        <w:kinsoku/>
        <w:wordWrap/>
        <w:overflowPunct/>
        <w:topLinePunct w:val="0"/>
        <w:autoSpaceDE w:val="0"/>
        <w:autoSpaceDN w:val="0"/>
        <w:bidi w:val="0"/>
        <w:adjustRightInd/>
        <w:snapToGrid/>
        <w:spacing w:beforeAutospacing="0" w:afterAutospacing="0"/>
        <w:ind w:firstLine="562" w:firstLineChars="200"/>
        <w:textAlignment w:val="auto"/>
        <w:rPr>
          <w:rFonts w:hint="eastAsia" w:ascii="仿宋_GB2312" w:hAnsi="宋体" w:eastAsia="仿宋_GB2312" w:cs="Calibri"/>
          <w:b/>
          <w:bCs/>
          <w:sz w:val="28"/>
          <w:szCs w:val="28"/>
        </w:rPr>
      </w:pPr>
      <w:r>
        <w:rPr>
          <w:rFonts w:hint="eastAsia" w:ascii="仿宋_GB2312" w:hAnsi="宋体" w:eastAsia="仿宋_GB2312" w:cs="Calibri"/>
          <w:b/>
          <w:bCs/>
          <w:sz w:val="28"/>
          <w:szCs w:val="28"/>
        </w:rPr>
        <w:t>3.操作指导：对应电极选择，有3种不同操作：</w:t>
      </w:r>
    </w:p>
    <w:p w14:paraId="162975E2">
      <w:pPr>
        <w:pStyle w:val="15"/>
        <w:keepNext w:val="0"/>
        <w:keepLines w:val="0"/>
        <w:pageBreakBefore w:val="0"/>
        <w:widowControl/>
        <w:kinsoku/>
        <w:wordWrap/>
        <w:overflowPunct/>
        <w:topLinePunct w:val="0"/>
        <w:autoSpaceDE w:val="0"/>
        <w:autoSpaceDN w:val="0"/>
        <w:bidi w:val="0"/>
        <w:adjustRightInd/>
        <w:snapToGrid/>
        <w:spacing w:beforeAutospacing="0" w:afterAutospacing="0"/>
        <w:ind w:firstLine="562" w:firstLineChars="200"/>
        <w:textAlignment w:val="auto"/>
        <w:rPr>
          <w:rFonts w:hint="eastAsia" w:ascii="仿宋_GB2312" w:hAnsi="宋体" w:eastAsia="仿宋_GB2312"/>
          <w:color w:val="FF0000"/>
          <w:sz w:val="28"/>
          <w:szCs w:val="28"/>
        </w:rPr>
      </w:pPr>
      <w:r>
        <w:rPr>
          <w:rFonts w:ascii="仿宋_GB2312" w:hAnsi="宋体" w:eastAsia="仿宋_GB2312" w:cs="Calibri"/>
          <w:b/>
          <w:bCs/>
          <w:sz w:val="28"/>
          <w:szCs w:val="28"/>
        </w:rPr>
        <w:t>金属盘状电极操作</w:t>
      </w:r>
      <w:r>
        <w:rPr>
          <w:rFonts w:hint="eastAsia" w:ascii="仿宋_GB2312" w:hAnsi="宋体" w:eastAsia="仿宋_GB2312" w:cs="Calibri"/>
          <w:b/>
          <w:bCs/>
          <w:sz w:val="28"/>
          <w:szCs w:val="28"/>
        </w:rPr>
        <w:t>：参照</w:t>
      </w:r>
      <w:r>
        <w:rPr>
          <w:rFonts w:hint="eastAsia" w:ascii="仿宋_GB2312" w:hAnsi="宋体" w:eastAsia="仿宋_GB2312" w:cs="Calibri"/>
          <w:sz w:val="28"/>
          <w:szCs w:val="28"/>
        </w:rPr>
        <w:t>《</w:t>
      </w:r>
      <w:r>
        <w:rPr>
          <w:rFonts w:hint="eastAsia" w:ascii="仿宋_GB2312" w:hAnsi="宋体" w:eastAsia="仿宋_GB2312"/>
          <w:sz w:val="28"/>
          <w:szCs w:val="28"/>
        </w:rPr>
        <w:t>新生儿脑电图操作和报告书写最低技术标准专家共识》（2022）并增加了直观测量方法“定位Cz：鼻根至枕外隆突连线（中线）与外耳道间连线的交点即为Cz；定位C3和C4：Cz左右两侧两指节（3cm～5cm）处分别为C3，C4；定位P3和P4：C3，C4点分别平行于中线往后两指节（3cm～5cm）处分别为P3，P4；定位接地电极：接地电极放置于中线前部Fpz。”</w:t>
      </w:r>
    </w:p>
    <w:p w14:paraId="5724F14D">
      <w:pPr>
        <w:keepNext w:val="0"/>
        <w:keepLines w:val="0"/>
        <w:pageBreakBefore w:val="0"/>
        <w:kinsoku/>
        <w:wordWrap/>
        <w:overflowPunct/>
        <w:topLinePunct w:val="0"/>
        <w:bidi w:val="0"/>
        <w:adjustRightInd/>
        <w:snapToGrid/>
        <w:spacing w:beforeAutospacing="0" w:afterAutospacing="0" w:line="240" w:lineRule="auto"/>
        <w:ind w:firstLine="562" w:firstLineChars="200"/>
        <w:textAlignment w:val="auto"/>
        <w:rPr>
          <w:rFonts w:hint="eastAsia" w:ascii="仿宋_GB2312" w:hAnsi="宋体" w:eastAsia="仿宋_GB2312" w:cs="Calibri"/>
          <w:sz w:val="28"/>
          <w:szCs w:val="28"/>
        </w:rPr>
      </w:pPr>
      <w:r>
        <w:rPr>
          <w:rFonts w:ascii="仿宋_GB2312" w:hAnsi="宋体" w:eastAsia="仿宋_GB2312"/>
          <w:b/>
          <w:bCs/>
          <w:sz w:val="28"/>
          <w:szCs w:val="28"/>
        </w:rPr>
        <w:t>脑电图帽操作</w:t>
      </w:r>
      <w:r>
        <w:rPr>
          <w:rFonts w:hint="eastAsia" w:ascii="仿宋_GB2312" w:hAnsi="宋体" w:eastAsia="仿宋_GB2312"/>
          <w:b/>
          <w:bCs/>
          <w:sz w:val="28"/>
          <w:szCs w:val="28"/>
        </w:rPr>
        <w:t>：</w:t>
      </w:r>
      <w:r>
        <w:rPr>
          <w:rFonts w:ascii="仿宋_GB2312" w:hAnsi="宋体" w:eastAsia="仿宋_GB2312" w:cs="Calibri"/>
          <w:sz w:val="28"/>
          <w:szCs w:val="28"/>
        </w:rPr>
        <w:t>可选择的尺寸有26 cm～30 cm、30 cm～34 cm、34 cm～38 cm。</w:t>
      </w:r>
      <w:r>
        <w:rPr>
          <w:rFonts w:hint="eastAsia" w:ascii="仿宋_GB2312" w:hAnsi="宋体" w:eastAsia="仿宋_GB2312" w:cs="Calibri"/>
          <w:sz w:val="28"/>
          <w:szCs w:val="28"/>
        </w:rPr>
        <w:t>注入导电膏</w:t>
      </w:r>
      <w:r>
        <w:rPr>
          <w:rFonts w:hint="eastAsia" w:ascii="仿宋_GB2312" w:hAnsi="宋体" w:eastAsia="仿宋_GB2312" w:cs="Calibri"/>
          <w:sz w:val="28"/>
          <w:szCs w:val="28"/>
          <w:lang w:eastAsia="zh-CN"/>
        </w:rPr>
        <w:t>，</w:t>
      </w:r>
      <w:r>
        <w:rPr>
          <w:rFonts w:hint="eastAsia" w:ascii="仿宋_GB2312" w:hAnsi="宋体" w:eastAsia="仿宋_GB2312" w:cs="Calibri"/>
          <w:sz w:val="28"/>
          <w:szCs w:val="28"/>
        </w:rPr>
        <w:t>保证电极位点紧贴头皮</w:t>
      </w:r>
      <w:r>
        <w:rPr>
          <w:rFonts w:hint="eastAsia" w:ascii="仿宋_GB2312" w:hAnsi="宋体" w:eastAsia="仿宋_GB2312" w:cs="Calibri"/>
          <w:sz w:val="28"/>
          <w:szCs w:val="28"/>
          <w:lang w:eastAsia="zh-CN"/>
        </w:rPr>
        <w:t>。</w:t>
      </w:r>
    </w:p>
    <w:p w14:paraId="42D1D678">
      <w:pPr>
        <w:pStyle w:val="15"/>
        <w:keepNext w:val="0"/>
        <w:keepLines w:val="0"/>
        <w:pageBreakBefore w:val="0"/>
        <w:widowControl/>
        <w:kinsoku/>
        <w:wordWrap/>
        <w:overflowPunct/>
        <w:topLinePunct w:val="0"/>
        <w:autoSpaceDE w:val="0"/>
        <w:autoSpaceDN w:val="0"/>
        <w:bidi w:val="0"/>
        <w:adjustRightInd/>
        <w:snapToGrid/>
        <w:spacing w:before="0" w:beforeAutospacing="0" w:after="0" w:afterAutospacing="0" w:line="240" w:lineRule="auto"/>
        <w:ind w:firstLine="562" w:firstLineChars="200"/>
        <w:textAlignment w:val="auto"/>
        <w:rPr>
          <w:rFonts w:hint="eastAsia" w:ascii="仿宋_GB2312" w:hAnsi="宋体" w:eastAsia="仿宋_GB2312" w:cs="Calibri"/>
          <w:sz w:val="28"/>
          <w:szCs w:val="28"/>
        </w:rPr>
      </w:pPr>
      <w:r>
        <w:rPr>
          <w:rFonts w:ascii="仿宋_GB2312" w:hAnsi="宋体" w:eastAsia="仿宋_GB2312"/>
          <w:b/>
          <w:bCs/>
          <w:sz w:val="28"/>
          <w:szCs w:val="28"/>
        </w:rPr>
        <w:t>水凝胶脑电电极操作</w:t>
      </w:r>
      <w:r>
        <w:rPr>
          <w:rFonts w:hint="eastAsia" w:ascii="仿宋_GB2312" w:hAnsi="宋体" w:eastAsia="仿宋_GB2312"/>
          <w:b/>
          <w:bCs/>
          <w:sz w:val="28"/>
          <w:szCs w:val="28"/>
        </w:rPr>
        <w:t>：</w:t>
      </w:r>
      <w:r>
        <w:rPr>
          <w:rFonts w:hint="eastAsia" w:ascii="仿宋_GB2312" w:hAnsi="宋体" w:eastAsia="仿宋_GB2312" w:cs="Calibri"/>
          <w:sz w:val="28"/>
          <w:szCs w:val="28"/>
        </w:rPr>
        <w:t>定位均与金属盘状电极一致。该水凝胶脑电电极为一次性使用。在电极边缘处揭去防粘膜。保持电极导线向上从头顶的方向引出，拨开患儿毛发，将电极粘贴在清洁过的皮肤处，并用手指抚平电极片。</w:t>
      </w:r>
    </w:p>
    <w:p w14:paraId="43C30DFC">
      <w:pPr>
        <w:pStyle w:val="15"/>
        <w:keepNext w:val="0"/>
        <w:keepLines w:val="0"/>
        <w:pageBreakBefore w:val="0"/>
        <w:widowControl/>
        <w:kinsoku/>
        <w:wordWrap/>
        <w:overflowPunct/>
        <w:topLinePunct w:val="0"/>
        <w:autoSpaceDE w:val="0"/>
        <w:autoSpaceDN w:val="0"/>
        <w:bidi w:val="0"/>
        <w:adjustRightInd/>
        <w:snapToGrid/>
        <w:spacing w:before="0" w:beforeAutospacing="0" w:after="0" w:afterAutospacing="0" w:line="240" w:lineRule="auto"/>
        <w:ind w:firstLine="560" w:firstLineChars="200"/>
        <w:textAlignment w:val="auto"/>
        <w:rPr>
          <w:rFonts w:hint="eastAsia" w:ascii="仿宋_GB2312" w:hAnsi="宋体" w:eastAsia="仿宋_GB2312" w:cs="Calibri"/>
          <w:sz w:val="28"/>
          <w:szCs w:val="28"/>
        </w:rPr>
      </w:pPr>
      <w:r>
        <w:rPr>
          <w:rFonts w:hint="eastAsia" w:ascii="仿宋_GB2312" w:hAnsi="宋体" w:eastAsia="仿宋_GB2312" w:cs="Calibri"/>
          <w:sz w:val="28"/>
          <w:szCs w:val="28"/>
        </w:rPr>
        <w:t>阻抗测试颜色变为绿色即可开始检测。阻抗显示红色则需重新备皮和连接。调节视频，视频画面需包含新生儿全身，能清晰观察到新生儿头面部，胸部，手足等肢体动作。</w:t>
      </w:r>
    </w:p>
    <w:p w14:paraId="2282E88D">
      <w:pPr>
        <w:keepNext w:val="0"/>
        <w:keepLines w:val="0"/>
        <w:pageBreakBefore w:val="0"/>
        <w:numPr>
          <w:ilvl w:val="0"/>
          <w:numId w:val="0"/>
        </w:numPr>
        <w:kinsoku/>
        <w:wordWrap/>
        <w:overflowPunct/>
        <w:topLinePunct w:val="0"/>
        <w:bidi w:val="0"/>
        <w:adjustRightInd/>
        <w:snapToGrid/>
        <w:spacing w:beforeAutospacing="0" w:afterAutospacing="0" w:line="240" w:lineRule="auto"/>
        <w:ind w:left="420" w:leftChars="200" w:firstLine="281" w:firstLineChars="100"/>
        <w:textAlignment w:val="auto"/>
        <w:rPr>
          <w:rFonts w:ascii="仿宋_GB2312" w:hAnsi="宋体" w:eastAsia="仿宋_GB2312" w:cs="Calibri"/>
          <w:b/>
          <w:bCs/>
          <w:sz w:val="28"/>
          <w:szCs w:val="28"/>
        </w:rPr>
      </w:pPr>
      <w:bookmarkStart w:id="69" w:name="_Toc168333830"/>
      <w:bookmarkStart w:id="70" w:name="_Toc4761"/>
      <w:r>
        <w:rPr>
          <w:rFonts w:hint="eastAsia" w:ascii="仿宋_GB2312" w:hAnsi="宋体" w:eastAsia="仿宋_GB2312" w:cs="Calibri"/>
          <w:b/>
          <w:bCs/>
          <w:kern w:val="2"/>
          <w:sz w:val="28"/>
          <w:szCs w:val="28"/>
          <w:lang w:val="en-US" w:eastAsia="zh-CN" w:bidi="ar-SA"/>
        </w:rPr>
        <w:t>（五）</w:t>
      </w:r>
      <w:r>
        <w:rPr>
          <w:rFonts w:ascii="仿宋_GB2312" w:hAnsi="宋体" w:eastAsia="仿宋_GB2312" w:cs="Calibri"/>
          <w:b/>
          <w:bCs/>
          <w:sz w:val="28"/>
          <w:szCs w:val="28"/>
        </w:rPr>
        <w:t>观察及护理</w:t>
      </w:r>
      <w:bookmarkEnd w:id="69"/>
      <w:bookmarkEnd w:id="70"/>
    </w:p>
    <w:p w14:paraId="3E006723">
      <w:pPr>
        <w:keepNext w:val="0"/>
        <w:keepLines w:val="0"/>
        <w:pageBreakBefore w:val="0"/>
        <w:kinsoku/>
        <w:wordWrap/>
        <w:overflowPunct/>
        <w:topLinePunct w:val="0"/>
        <w:bidi w:val="0"/>
        <w:adjustRightInd/>
        <w:snapToGrid/>
        <w:spacing w:beforeAutospacing="0" w:afterAutospacing="0" w:line="240" w:lineRule="auto"/>
        <w:ind w:firstLine="560" w:firstLineChars="200"/>
        <w:textAlignment w:val="auto"/>
        <w:rPr>
          <w:rFonts w:hint="eastAsia" w:ascii="仿宋_GB2312" w:hAnsi="宋体" w:eastAsia="仿宋_GB2312" w:cs="Calibri"/>
          <w:sz w:val="28"/>
          <w:szCs w:val="28"/>
          <w:lang w:eastAsia="zh-CN"/>
        </w:rPr>
      </w:pPr>
      <w:r>
        <w:rPr>
          <w:rFonts w:hint="eastAsia" w:ascii="仿宋_GB2312" w:hAnsi="宋体" w:eastAsia="仿宋_GB2312" w:cs="Calibri"/>
          <w:sz w:val="28"/>
          <w:szCs w:val="28"/>
        </w:rPr>
        <w:t>包括减小外界噪音干扰、体位、护理重点。</w:t>
      </w:r>
      <w:bookmarkStart w:id="71" w:name="_Toc12953"/>
      <w:r>
        <w:rPr>
          <w:rFonts w:hint="eastAsia" w:ascii="仿宋_GB2312" w:hAnsi="宋体" w:eastAsia="仿宋_GB2312" w:cs="Calibri"/>
          <w:sz w:val="28"/>
          <w:szCs w:val="28"/>
        </w:rPr>
        <w:t>检测过程中减小外界噪音干扰</w:t>
      </w:r>
      <w:bookmarkEnd w:id="71"/>
      <w:r>
        <w:rPr>
          <w:rFonts w:hint="eastAsia" w:ascii="仿宋_GB2312" w:hAnsi="宋体" w:eastAsia="仿宋_GB2312" w:cs="Calibri"/>
          <w:sz w:val="28"/>
          <w:szCs w:val="28"/>
          <w:lang w:eastAsia="zh-CN"/>
        </w:rPr>
        <w:t>。</w:t>
      </w:r>
    </w:p>
    <w:p w14:paraId="71FBF76F">
      <w:pPr>
        <w:keepNext w:val="0"/>
        <w:keepLines w:val="0"/>
        <w:pageBreakBefore w:val="0"/>
        <w:kinsoku/>
        <w:wordWrap/>
        <w:overflowPunct/>
        <w:topLinePunct w:val="0"/>
        <w:bidi w:val="0"/>
        <w:adjustRightInd/>
        <w:snapToGrid/>
        <w:spacing w:beforeAutospacing="0" w:afterAutospacing="0" w:line="240" w:lineRule="auto"/>
        <w:ind w:firstLine="843" w:firstLineChars="300"/>
        <w:textAlignment w:val="auto"/>
        <w:rPr>
          <w:rFonts w:ascii="仿宋_GB2312" w:hAnsi="宋体" w:eastAsia="仿宋_GB2312" w:cs="Calibri"/>
          <w:sz w:val="28"/>
          <w:szCs w:val="28"/>
        </w:rPr>
      </w:pPr>
      <w:r>
        <w:rPr>
          <w:rFonts w:ascii="仿宋_GB2312" w:hAnsi="宋体" w:eastAsia="仿宋_GB2312" w:cs="Calibri"/>
          <w:b/>
          <w:bCs/>
          <w:sz w:val="28"/>
          <w:szCs w:val="28"/>
        </w:rPr>
        <w:t>体位</w:t>
      </w:r>
      <w:r>
        <w:rPr>
          <w:rFonts w:hint="eastAsia" w:ascii="仿宋_GB2312" w:hAnsi="宋体" w:eastAsia="仿宋_GB2312" w:cs="Calibri"/>
          <w:sz w:val="28"/>
          <w:szCs w:val="28"/>
        </w:rPr>
        <w:t>主要依据《新生儿脑电图操作和报告书写最低技术标准专家共识》（2022）</w:t>
      </w:r>
    </w:p>
    <w:p w14:paraId="39483502">
      <w:pPr>
        <w:pStyle w:val="15"/>
        <w:keepNext w:val="0"/>
        <w:keepLines w:val="0"/>
        <w:pageBreakBefore w:val="0"/>
        <w:widowControl/>
        <w:kinsoku/>
        <w:wordWrap/>
        <w:overflowPunct/>
        <w:topLinePunct w:val="0"/>
        <w:autoSpaceDE w:val="0"/>
        <w:autoSpaceDN w:val="0"/>
        <w:bidi w:val="0"/>
        <w:adjustRightInd/>
        <w:snapToGrid/>
        <w:spacing w:before="0" w:beforeAutospacing="0" w:after="0" w:afterAutospacing="0" w:line="240" w:lineRule="auto"/>
        <w:ind w:firstLine="480" w:firstLineChars="200"/>
        <w:jc w:val="center"/>
        <w:textAlignment w:val="auto"/>
        <w:rPr>
          <w:rFonts w:ascii="仿宋_GB2312" w:hAnsi="宋体" w:eastAsia="仿宋_GB2312" w:cs="Calibri"/>
          <w:b/>
          <w:bCs/>
          <w:sz w:val="28"/>
          <w:szCs w:val="28"/>
        </w:rPr>
      </w:pPr>
      <w:r>
        <w:drawing>
          <wp:inline distT="0" distB="0" distL="114300" distR="114300">
            <wp:extent cx="2642235" cy="501015"/>
            <wp:effectExtent l="0" t="0" r="5715" b="13335"/>
            <wp:docPr id="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
                    <pic:cNvPicPr>
                      <a:picLocks noChangeAspect="1"/>
                    </pic:cNvPicPr>
                  </pic:nvPicPr>
                  <pic:blipFill>
                    <a:blip r:embed="rId17"/>
                    <a:stretch>
                      <a:fillRect/>
                    </a:stretch>
                  </pic:blipFill>
                  <pic:spPr>
                    <a:xfrm>
                      <a:off x="0" y="0"/>
                      <a:ext cx="2642235" cy="501015"/>
                    </a:xfrm>
                    <a:prstGeom prst="rect">
                      <a:avLst/>
                    </a:prstGeom>
                    <a:noFill/>
                    <a:ln>
                      <a:noFill/>
                    </a:ln>
                  </pic:spPr>
                </pic:pic>
              </a:graphicData>
            </a:graphic>
          </wp:inline>
        </w:drawing>
      </w:r>
    </w:p>
    <w:p w14:paraId="20BE973D">
      <w:pPr>
        <w:pStyle w:val="48"/>
        <w:keepNext w:val="0"/>
        <w:keepLines w:val="0"/>
        <w:pageBreakBefore w:val="0"/>
        <w:numPr>
          <w:ilvl w:val="3"/>
          <w:numId w:val="0"/>
        </w:numPr>
        <w:kinsoku/>
        <w:wordWrap/>
        <w:overflowPunct/>
        <w:topLinePunct w:val="0"/>
        <w:bidi w:val="0"/>
        <w:adjustRightInd/>
        <w:snapToGrid/>
        <w:spacing w:before="0" w:beforeLines="0" w:beforeAutospacing="0" w:after="0" w:afterLines="0" w:afterAutospacing="0" w:line="240" w:lineRule="auto"/>
        <w:ind w:left="630" w:leftChars="300"/>
        <w:jc w:val="center"/>
        <w:textAlignment w:val="auto"/>
        <w:rPr>
          <w:rFonts w:hint="eastAsia"/>
          <w:b/>
          <w:bCs/>
        </w:rPr>
      </w:pPr>
      <w:r>
        <w:rPr>
          <w:rFonts w:hint="eastAsia"/>
          <w:b/>
          <w:bCs/>
        </w:rPr>
        <w:t>《新生儿脑电图操作和报告书写最低技术标准专家共识》（2022）</w:t>
      </w:r>
    </w:p>
    <w:p w14:paraId="724C797A">
      <w:pPr>
        <w:keepNext w:val="0"/>
        <w:keepLines w:val="0"/>
        <w:pageBreakBefore w:val="0"/>
        <w:widowControl/>
        <w:kinsoku/>
        <w:wordWrap/>
        <w:overflowPunct/>
        <w:topLinePunct w:val="0"/>
        <w:bidi w:val="0"/>
        <w:adjustRightInd/>
        <w:snapToGrid/>
        <w:spacing w:beforeAutospacing="0" w:afterAutospacing="0" w:line="240" w:lineRule="auto"/>
        <w:ind w:firstLine="562" w:firstLineChars="200"/>
        <w:jc w:val="left"/>
        <w:textAlignment w:val="auto"/>
        <w:rPr>
          <w:rFonts w:hint="eastAsia" w:ascii="仿宋_GB2312" w:hAnsi="宋体" w:eastAsia="仿宋_GB2312" w:cs="Calibri"/>
          <w:sz w:val="28"/>
          <w:szCs w:val="28"/>
          <w:lang w:eastAsia="zh-CN"/>
        </w:rPr>
      </w:pPr>
      <w:r>
        <w:rPr>
          <w:rFonts w:hint="eastAsia" w:ascii="仿宋_GB2312" w:hAnsi="宋体" w:eastAsia="仿宋_GB2312" w:cs="Calibri"/>
          <w:b/>
          <w:bCs/>
          <w:sz w:val="28"/>
          <w:szCs w:val="28"/>
          <w:lang w:eastAsia="zh-CN"/>
        </w:rPr>
        <w:t>护理重点</w:t>
      </w:r>
      <w:r>
        <w:rPr>
          <w:rFonts w:hint="eastAsia" w:ascii="仿宋_GB2312" w:hAnsi="宋体" w:eastAsia="仿宋_GB2312" w:cs="Calibri"/>
          <w:sz w:val="28"/>
          <w:szCs w:val="28"/>
        </w:rPr>
        <w:t>主要依据新生儿振幅整合脑电图临床应用中国专家共识（2023）</w:t>
      </w:r>
      <w:r>
        <w:rPr>
          <w:rFonts w:hint="eastAsia" w:ascii="仿宋_GB2312" w:hAnsi="宋体" w:eastAsia="仿宋_GB2312" w:cs="Calibri"/>
          <w:sz w:val="28"/>
          <w:szCs w:val="28"/>
          <w:lang w:eastAsia="zh-CN"/>
        </w:rPr>
        <w:t>、</w:t>
      </w:r>
      <w:r>
        <w:rPr>
          <w:rFonts w:hint="eastAsia" w:ascii="仿宋_GB2312" w:hAnsi="宋体" w:eastAsia="仿宋_GB2312" w:cs="Calibri"/>
          <w:sz w:val="28"/>
          <w:szCs w:val="28"/>
        </w:rPr>
        <w:t>《新生儿振幅整合脑电图临床应用专家共识》（2019）</w:t>
      </w:r>
    </w:p>
    <w:p w14:paraId="09057D22">
      <w:pPr>
        <w:pStyle w:val="2"/>
        <w:keepNext w:val="0"/>
        <w:keepLines w:val="0"/>
        <w:pageBreakBefore w:val="0"/>
        <w:kinsoku/>
        <w:wordWrap/>
        <w:overflowPunct/>
        <w:topLinePunct w:val="0"/>
        <w:bidi w:val="0"/>
        <w:adjustRightInd/>
        <w:snapToGrid/>
        <w:spacing w:beforeAutospacing="0" w:afterAutospacing="0" w:line="240" w:lineRule="auto"/>
        <w:jc w:val="center"/>
        <w:textAlignment w:val="auto"/>
      </w:pPr>
      <w:r>
        <w:drawing>
          <wp:inline distT="0" distB="0" distL="114300" distR="114300">
            <wp:extent cx="3051175" cy="797560"/>
            <wp:effectExtent l="0" t="0" r="15875" b="2540"/>
            <wp:docPr id="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5"/>
                    <pic:cNvPicPr>
                      <a:picLocks noChangeAspect="1"/>
                    </pic:cNvPicPr>
                  </pic:nvPicPr>
                  <pic:blipFill>
                    <a:blip r:embed="rId18"/>
                    <a:srcRect b="4486"/>
                    <a:stretch>
                      <a:fillRect/>
                    </a:stretch>
                  </pic:blipFill>
                  <pic:spPr>
                    <a:xfrm>
                      <a:off x="0" y="0"/>
                      <a:ext cx="3051175" cy="797560"/>
                    </a:xfrm>
                    <a:prstGeom prst="rect">
                      <a:avLst/>
                    </a:prstGeom>
                    <a:noFill/>
                    <a:ln>
                      <a:noFill/>
                    </a:ln>
                  </pic:spPr>
                </pic:pic>
              </a:graphicData>
            </a:graphic>
          </wp:inline>
        </w:drawing>
      </w:r>
    </w:p>
    <w:p w14:paraId="0270B4AD">
      <w:pPr>
        <w:pStyle w:val="2"/>
        <w:keepNext w:val="0"/>
        <w:keepLines w:val="0"/>
        <w:pageBreakBefore w:val="0"/>
        <w:kinsoku/>
        <w:wordWrap/>
        <w:overflowPunct/>
        <w:topLinePunct w:val="0"/>
        <w:bidi w:val="0"/>
        <w:adjustRightInd/>
        <w:snapToGrid/>
        <w:spacing w:beforeAutospacing="0" w:afterAutospacing="0" w:line="240" w:lineRule="auto"/>
        <w:ind w:firstLine="560" w:firstLineChars="200"/>
        <w:jc w:val="left"/>
        <w:textAlignment w:val="auto"/>
        <w:rPr>
          <w:rFonts w:hint="eastAsia" w:ascii="仿宋_GB2312" w:hAnsi="宋体" w:eastAsia="仿宋_GB2312" w:cs="Calibri"/>
          <w:kern w:val="2"/>
          <w:sz w:val="28"/>
          <w:szCs w:val="28"/>
          <w:lang w:val="en-US" w:eastAsia="zh-CN" w:bidi="ar-SA"/>
        </w:rPr>
      </w:pPr>
      <w:r>
        <w:rPr>
          <w:rFonts w:hint="eastAsia" w:ascii="仿宋_GB2312" w:hAnsi="宋体" w:eastAsia="仿宋_GB2312" w:cs="Calibri"/>
          <w:kern w:val="2"/>
          <w:sz w:val="28"/>
          <w:szCs w:val="28"/>
          <w:lang w:val="en-US" w:eastAsia="zh-CN" w:bidi="ar-SA"/>
        </w:rPr>
        <w:t>监测过程中，需要对高阻抗及电极脱落状况准确辨别，并对电极接触头皮状况、脑电图基线稳定程度和导联放置状况进行观察。护理人员安抚时不应频繁轻拍新生儿，可使用抚摸、安抚奶嘴、糖水吸吮等方法。</w:t>
      </w:r>
    </w:p>
    <w:p w14:paraId="49DFA2A0">
      <w:pPr>
        <w:pStyle w:val="15"/>
        <w:keepNext w:val="0"/>
        <w:keepLines w:val="0"/>
        <w:pageBreakBefore w:val="0"/>
        <w:widowControl/>
        <w:kinsoku/>
        <w:wordWrap/>
        <w:overflowPunct/>
        <w:topLinePunct w:val="0"/>
        <w:autoSpaceDE w:val="0"/>
        <w:autoSpaceDN w:val="0"/>
        <w:bidi w:val="0"/>
        <w:adjustRightInd/>
        <w:snapToGrid/>
        <w:spacing w:before="0" w:beforeAutospacing="0" w:after="0" w:afterAutospacing="0" w:line="240" w:lineRule="auto"/>
        <w:jc w:val="center"/>
        <w:textAlignment w:val="auto"/>
      </w:pPr>
      <w:r>
        <w:drawing>
          <wp:inline distT="0" distB="0" distL="114300" distR="114300">
            <wp:extent cx="1929765" cy="943610"/>
            <wp:effectExtent l="0" t="0" r="13335" b="8890"/>
            <wp:docPr id="1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6"/>
                    <pic:cNvPicPr>
                      <a:picLocks noChangeAspect="1"/>
                    </pic:cNvPicPr>
                  </pic:nvPicPr>
                  <pic:blipFill>
                    <a:blip r:embed="rId19"/>
                    <a:stretch>
                      <a:fillRect/>
                    </a:stretch>
                  </pic:blipFill>
                  <pic:spPr>
                    <a:xfrm>
                      <a:off x="0" y="0"/>
                      <a:ext cx="1929765" cy="943610"/>
                    </a:xfrm>
                    <a:prstGeom prst="rect">
                      <a:avLst/>
                    </a:prstGeom>
                    <a:noFill/>
                    <a:ln>
                      <a:noFill/>
                    </a:ln>
                  </pic:spPr>
                </pic:pic>
              </a:graphicData>
            </a:graphic>
          </wp:inline>
        </w:drawing>
      </w:r>
    </w:p>
    <w:p w14:paraId="4F6D5351">
      <w:pPr>
        <w:pStyle w:val="15"/>
        <w:keepNext w:val="0"/>
        <w:keepLines w:val="0"/>
        <w:pageBreakBefore w:val="0"/>
        <w:widowControl/>
        <w:kinsoku/>
        <w:wordWrap/>
        <w:overflowPunct/>
        <w:topLinePunct w:val="0"/>
        <w:autoSpaceDE w:val="0"/>
        <w:autoSpaceDN w:val="0"/>
        <w:bidi w:val="0"/>
        <w:adjustRightInd/>
        <w:snapToGrid/>
        <w:spacing w:before="0" w:beforeAutospacing="0" w:after="0" w:afterAutospacing="0" w:line="240" w:lineRule="auto"/>
        <w:jc w:val="center"/>
        <w:textAlignment w:val="auto"/>
        <w:rPr>
          <w:b/>
          <w:bCs/>
          <w:sz w:val="21"/>
          <w:szCs w:val="21"/>
        </w:rPr>
      </w:pPr>
      <w:r>
        <w:rPr>
          <w:rFonts w:hint="eastAsia" w:ascii="仿宋_GB2312" w:hAnsi="宋体" w:eastAsia="仿宋_GB2312" w:cs="Calibri"/>
          <w:b/>
          <w:bCs/>
          <w:sz w:val="21"/>
          <w:szCs w:val="21"/>
        </w:rPr>
        <w:t>《新生儿脑电图操作和报告书写最低技术标准专家共识》（2022）</w:t>
      </w:r>
    </w:p>
    <w:p w14:paraId="65A3D416">
      <w:pPr>
        <w:pStyle w:val="15"/>
        <w:keepNext w:val="0"/>
        <w:keepLines w:val="0"/>
        <w:pageBreakBefore w:val="0"/>
        <w:widowControl/>
        <w:kinsoku/>
        <w:wordWrap/>
        <w:overflowPunct/>
        <w:topLinePunct w:val="0"/>
        <w:autoSpaceDE w:val="0"/>
        <w:autoSpaceDN w:val="0"/>
        <w:bidi w:val="0"/>
        <w:adjustRightInd/>
        <w:snapToGrid/>
        <w:spacing w:before="0" w:beforeAutospacing="0" w:after="0" w:afterAutospacing="0" w:line="240" w:lineRule="auto"/>
        <w:ind w:firstLine="560" w:firstLineChars="200"/>
        <w:textAlignment w:val="auto"/>
        <w:rPr>
          <w:rFonts w:hint="eastAsia" w:ascii="仿宋_GB2312" w:hAnsi="宋体" w:eastAsia="仿宋_GB2312" w:cs="Calibri"/>
          <w:sz w:val="28"/>
          <w:szCs w:val="28"/>
        </w:rPr>
      </w:pPr>
      <w:bookmarkStart w:id="72" w:name="_Toc168333832"/>
      <w:bookmarkStart w:id="73" w:name="_Toc3169"/>
      <w:r>
        <w:rPr>
          <w:rFonts w:hint="eastAsia" w:ascii="仿宋_GB2312" w:hAnsi="宋体" w:eastAsia="仿宋_GB2312" w:cs="Calibri"/>
          <w:color w:val="auto"/>
          <w:sz w:val="28"/>
          <w:szCs w:val="28"/>
        </w:rPr>
        <w:t>aEEG导联线要避开呼吸机管路、心电监护仪导联线</w:t>
      </w:r>
      <w:r>
        <w:rPr>
          <w:rFonts w:hint="eastAsia" w:ascii="仿宋_GB2312" w:hAnsi="宋体" w:eastAsia="仿宋_GB2312" w:cs="Calibri"/>
          <w:color w:val="auto"/>
          <w:sz w:val="28"/>
          <w:szCs w:val="28"/>
          <w:lang w:eastAsia="zh-CN"/>
        </w:rPr>
        <w:t>，并确保监测过程中电极固定良好。</w:t>
      </w:r>
      <w:r>
        <w:rPr>
          <w:rFonts w:hint="eastAsia" w:ascii="仿宋_GB2312" w:hAnsi="宋体" w:eastAsia="仿宋_GB2312" w:cs="Calibri"/>
          <w:color w:val="auto"/>
          <w:sz w:val="28"/>
          <w:szCs w:val="28"/>
        </w:rPr>
        <w:t>主</w:t>
      </w:r>
      <w:r>
        <w:rPr>
          <w:rFonts w:hint="eastAsia" w:ascii="仿宋_GB2312" w:hAnsi="宋体" w:eastAsia="仿宋_GB2312" w:cs="Calibri"/>
          <w:sz w:val="28"/>
          <w:szCs w:val="28"/>
        </w:rPr>
        <w:t>要依据《新生儿振幅整合脑电图临床应用专家共识》（20</w:t>
      </w:r>
      <w:r>
        <w:rPr>
          <w:rFonts w:hint="eastAsia" w:ascii="仿宋_GB2312" w:hAnsi="宋体" w:eastAsia="仿宋_GB2312" w:cs="Calibri"/>
          <w:sz w:val="28"/>
          <w:szCs w:val="28"/>
          <w:lang w:val="en-US" w:eastAsia="zh-CN"/>
        </w:rPr>
        <w:t>19</w:t>
      </w:r>
      <w:r>
        <w:rPr>
          <w:rFonts w:hint="eastAsia" w:ascii="仿宋_GB2312" w:hAnsi="宋体" w:eastAsia="仿宋_GB2312" w:cs="Calibri"/>
          <w:sz w:val="28"/>
          <w:szCs w:val="28"/>
        </w:rPr>
        <w:t>）</w:t>
      </w:r>
      <w:r>
        <w:rPr>
          <w:rFonts w:hint="eastAsia" w:ascii="仿宋_GB2312" w:hAnsi="宋体" w:eastAsia="仿宋_GB2312" w:cs="Calibri"/>
          <w:sz w:val="28"/>
          <w:szCs w:val="28"/>
          <w:lang w:eastAsia="zh-CN"/>
        </w:rPr>
        <w:t>编制</w:t>
      </w:r>
      <w:r>
        <w:rPr>
          <w:rFonts w:hint="eastAsia" w:ascii="仿宋_GB2312" w:hAnsi="宋体" w:eastAsia="仿宋_GB2312" w:cs="Calibri"/>
          <w:sz w:val="28"/>
          <w:szCs w:val="28"/>
        </w:rPr>
        <w:t>。</w:t>
      </w:r>
    </w:p>
    <w:p w14:paraId="348194A2">
      <w:pPr>
        <w:pStyle w:val="15"/>
        <w:keepNext w:val="0"/>
        <w:keepLines w:val="0"/>
        <w:pageBreakBefore w:val="0"/>
        <w:widowControl/>
        <w:kinsoku/>
        <w:wordWrap/>
        <w:overflowPunct/>
        <w:topLinePunct w:val="0"/>
        <w:autoSpaceDE w:val="0"/>
        <w:autoSpaceDN w:val="0"/>
        <w:bidi w:val="0"/>
        <w:adjustRightInd/>
        <w:snapToGrid/>
        <w:spacing w:before="0" w:beforeAutospacing="0" w:after="0" w:afterAutospacing="0" w:line="240" w:lineRule="auto"/>
        <w:ind w:firstLine="480" w:firstLineChars="200"/>
        <w:jc w:val="center"/>
        <w:textAlignment w:val="auto"/>
      </w:pPr>
      <w:r>
        <w:drawing>
          <wp:inline distT="0" distB="0" distL="114300" distR="114300">
            <wp:extent cx="2524760" cy="522605"/>
            <wp:effectExtent l="0" t="0" r="8890" b="10795"/>
            <wp:docPr id="1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7"/>
                    <pic:cNvPicPr>
                      <a:picLocks noChangeAspect="1"/>
                    </pic:cNvPicPr>
                  </pic:nvPicPr>
                  <pic:blipFill>
                    <a:blip r:embed="rId20"/>
                    <a:srcRect t="8717"/>
                    <a:stretch>
                      <a:fillRect/>
                    </a:stretch>
                  </pic:blipFill>
                  <pic:spPr>
                    <a:xfrm>
                      <a:off x="0" y="0"/>
                      <a:ext cx="2524760" cy="522605"/>
                    </a:xfrm>
                    <a:prstGeom prst="rect">
                      <a:avLst/>
                    </a:prstGeom>
                    <a:noFill/>
                    <a:ln>
                      <a:noFill/>
                    </a:ln>
                  </pic:spPr>
                </pic:pic>
              </a:graphicData>
            </a:graphic>
          </wp:inline>
        </w:drawing>
      </w:r>
    </w:p>
    <w:p w14:paraId="1A3117BD">
      <w:pPr>
        <w:pStyle w:val="15"/>
        <w:keepNext w:val="0"/>
        <w:keepLines w:val="0"/>
        <w:pageBreakBefore w:val="0"/>
        <w:widowControl/>
        <w:kinsoku/>
        <w:wordWrap/>
        <w:overflowPunct/>
        <w:topLinePunct w:val="0"/>
        <w:autoSpaceDE w:val="0"/>
        <w:autoSpaceDN w:val="0"/>
        <w:bidi w:val="0"/>
        <w:adjustRightInd/>
        <w:snapToGrid/>
        <w:spacing w:before="0" w:beforeAutospacing="0" w:after="0" w:afterAutospacing="0" w:line="240" w:lineRule="auto"/>
        <w:ind w:firstLine="560" w:firstLineChars="200"/>
        <w:jc w:val="center"/>
        <w:textAlignment w:val="auto"/>
        <w:rPr>
          <w:rFonts w:hint="eastAsia" w:ascii="仿宋_GB2312" w:hAnsi="宋体" w:eastAsia="仿宋_GB2312" w:cs="Calibri"/>
          <w:sz w:val="28"/>
          <w:szCs w:val="28"/>
        </w:rPr>
      </w:pPr>
      <w:r>
        <w:rPr>
          <w:rFonts w:hint="eastAsia" w:ascii="仿宋_GB2312" w:hAnsi="宋体" w:eastAsia="仿宋_GB2312" w:cs="Calibri"/>
          <w:sz w:val="28"/>
          <w:szCs w:val="28"/>
        </w:rPr>
        <w:t>《新生儿振幅整合脑电图临床应用专家共识》（2019）</w:t>
      </w:r>
    </w:p>
    <w:bookmarkEnd w:id="72"/>
    <w:bookmarkEnd w:id="73"/>
    <w:p w14:paraId="595568E2">
      <w:pPr>
        <w:keepNext w:val="0"/>
        <w:keepLines w:val="0"/>
        <w:pageBreakBefore w:val="0"/>
        <w:widowControl/>
        <w:kinsoku/>
        <w:wordWrap/>
        <w:overflowPunct/>
        <w:topLinePunct w:val="0"/>
        <w:bidi w:val="0"/>
        <w:adjustRightInd/>
        <w:snapToGrid/>
        <w:spacing w:beforeAutospacing="0" w:afterAutospacing="0" w:line="240" w:lineRule="auto"/>
        <w:ind w:firstLine="562" w:firstLineChars="200"/>
        <w:jc w:val="left"/>
        <w:textAlignment w:val="auto"/>
        <w:rPr>
          <w:rFonts w:hint="eastAsia" w:ascii="仿宋_GB2312" w:hAnsi="宋体" w:eastAsia="仿宋_GB2312" w:cs="Calibri"/>
          <w:sz w:val="28"/>
          <w:szCs w:val="28"/>
        </w:rPr>
      </w:pPr>
      <w:bookmarkStart w:id="74" w:name="_Toc14570"/>
      <w:bookmarkStart w:id="75" w:name="_Toc168333835"/>
      <w:r>
        <w:rPr>
          <w:rFonts w:hint="eastAsia" w:ascii="仿宋_GB2312" w:hAnsi="宋体" w:eastAsia="仿宋_GB2312" w:cs="Calibri"/>
          <w:b/>
          <w:bCs/>
          <w:sz w:val="28"/>
          <w:szCs w:val="28"/>
          <w:lang w:eastAsia="zh-CN"/>
        </w:rPr>
        <w:t>监测时间、</w:t>
      </w:r>
      <w:r>
        <w:rPr>
          <w:rFonts w:hint="eastAsia" w:ascii="仿宋_GB2312" w:hAnsi="宋体" w:eastAsia="仿宋_GB2312" w:cs="Calibri"/>
          <w:b/>
          <w:bCs/>
          <w:sz w:val="28"/>
          <w:szCs w:val="28"/>
        </w:rPr>
        <w:t>复查时间</w:t>
      </w:r>
      <w:bookmarkEnd w:id="74"/>
      <w:bookmarkEnd w:id="75"/>
      <w:r>
        <w:rPr>
          <w:rFonts w:hint="eastAsia" w:ascii="仿宋_GB2312" w:hAnsi="宋体" w:eastAsia="仿宋_GB2312" w:cs="Calibri"/>
          <w:sz w:val="28"/>
          <w:szCs w:val="28"/>
        </w:rPr>
        <w:t>主要参考《新生儿振幅整合脑电图临床应用专家共识》（2019）。</w:t>
      </w:r>
    </w:p>
    <w:p w14:paraId="77AA11EA">
      <w:pPr>
        <w:keepNext w:val="0"/>
        <w:keepLines w:val="0"/>
        <w:pageBreakBefore w:val="0"/>
        <w:widowControl/>
        <w:kinsoku/>
        <w:wordWrap/>
        <w:overflowPunct/>
        <w:topLinePunct w:val="0"/>
        <w:bidi w:val="0"/>
        <w:adjustRightInd/>
        <w:snapToGrid/>
        <w:spacing w:beforeAutospacing="0" w:afterAutospacing="0" w:line="240" w:lineRule="auto"/>
        <w:ind w:firstLine="562" w:firstLineChars="200"/>
        <w:jc w:val="left"/>
        <w:textAlignment w:val="auto"/>
        <w:rPr>
          <w:rFonts w:hint="eastAsia" w:ascii="仿宋_GB2312" w:hAnsi="宋体" w:eastAsia="仿宋_GB2312" w:cs="Calibri"/>
          <w:sz w:val="28"/>
          <w:szCs w:val="28"/>
        </w:rPr>
      </w:pPr>
      <w:r>
        <w:rPr>
          <w:rFonts w:hint="eastAsia" w:ascii="仿宋_GB2312" w:hAnsi="宋体" w:eastAsia="仿宋_GB2312" w:cs="Calibri"/>
          <w:b/>
          <w:bCs/>
          <w:sz w:val="28"/>
          <w:szCs w:val="28"/>
        </w:rPr>
        <w:t>注意事项：</w:t>
      </w:r>
      <w:r>
        <w:rPr>
          <w:rFonts w:hint="eastAsia" w:ascii="仿宋_GB2312" w:hAnsi="宋体" w:eastAsia="仿宋_GB2312" w:cs="Calibri"/>
          <w:sz w:val="28"/>
          <w:szCs w:val="28"/>
        </w:rPr>
        <w:t>脑电图</w:t>
      </w:r>
      <w:r>
        <w:rPr>
          <w:rFonts w:hint="eastAsia" w:ascii="仿宋_GB2312" w:hAnsi="宋体" w:eastAsia="仿宋_GB2312" w:cs="Calibri"/>
          <w:sz w:val="28"/>
          <w:szCs w:val="28"/>
          <w:lang w:eastAsia="zh-CN"/>
        </w:rPr>
        <w:t>仪器</w:t>
      </w:r>
      <w:r>
        <w:rPr>
          <w:rFonts w:hint="eastAsia" w:ascii="仿宋_GB2312" w:hAnsi="宋体" w:eastAsia="仿宋_GB2312" w:cs="Calibri"/>
          <w:sz w:val="28"/>
          <w:szCs w:val="28"/>
        </w:rPr>
        <w:t>应尽可能靠近患儿头部，而远离其他医疗电器（包括输液泵、监护仪、呼吸机、ECMO氧合泵、暖箱、红外线辐射抢救台、蓝光治疗仪等)，以减少干扰伪差。如因伪差难以排除而影响必要的脑电图记录，可在病情允许情况下短暂关闭某些电器设备。新生儿脑电图监测不使用镇静剂诱导睡眠，通常在喂奶前安装电极，开始记录后喂奶哄睡。同时需要注意电极不允许和被褥或枕头等接触,以免导致振幅整合脑电图背景活动出现改变,影响检查结果的准确性。</w:t>
      </w:r>
    </w:p>
    <w:p w14:paraId="587BE4DD">
      <w:pPr>
        <w:pStyle w:val="2"/>
        <w:keepNext w:val="0"/>
        <w:keepLines w:val="0"/>
        <w:pageBreakBefore w:val="0"/>
        <w:kinsoku/>
        <w:wordWrap/>
        <w:overflowPunct/>
        <w:topLinePunct w:val="0"/>
        <w:bidi w:val="0"/>
        <w:adjustRightInd/>
        <w:snapToGrid/>
        <w:spacing w:beforeAutospacing="0" w:afterAutospacing="0" w:line="240" w:lineRule="auto"/>
        <w:jc w:val="center"/>
        <w:textAlignment w:val="auto"/>
      </w:pPr>
      <w:r>
        <w:drawing>
          <wp:inline distT="0" distB="0" distL="114300" distR="114300">
            <wp:extent cx="2065655" cy="1196340"/>
            <wp:effectExtent l="0" t="0" r="10795" b="3810"/>
            <wp:docPr id="1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8"/>
                    <pic:cNvPicPr>
                      <a:picLocks noChangeAspect="1"/>
                    </pic:cNvPicPr>
                  </pic:nvPicPr>
                  <pic:blipFill>
                    <a:blip r:embed="rId21"/>
                    <a:stretch>
                      <a:fillRect/>
                    </a:stretch>
                  </pic:blipFill>
                  <pic:spPr>
                    <a:xfrm>
                      <a:off x="0" y="0"/>
                      <a:ext cx="2065655" cy="1196340"/>
                    </a:xfrm>
                    <a:prstGeom prst="rect">
                      <a:avLst/>
                    </a:prstGeom>
                    <a:noFill/>
                    <a:ln>
                      <a:noFill/>
                    </a:ln>
                  </pic:spPr>
                </pic:pic>
              </a:graphicData>
            </a:graphic>
          </wp:inline>
        </w:drawing>
      </w:r>
    </w:p>
    <w:p w14:paraId="1E7B7D20">
      <w:pPr>
        <w:pStyle w:val="15"/>
        <w:keepNext w:val="0"/>
        <w:keepLines w:val="0"/>
        <w:pageBreakBefore w:val="0"/>
        <w:widowControl/>
        <w:kinsoku/>
        <w:wordWrap/>
        <w:overflowPunct/>
        <w:topLinePunct w:val="0"/>
        <w:autoSpaceDE w:val="0"/>
        <w:autoSpaceDN w:val="0"/>
        <w:bidi w:val="0"/>
        <w:adjustRightInd/>
        <w:snapToGrid/>
        <w:spacing w:before="0" w:beforeAutospacing="0" w:after="0" w:afterAutospacing="0" w:line="240" w:lineRule="auto"/>
        <w:ind w:firstLine="482" w:firstLineChars="200"/>
        <w:jc w:val="center"/>
        <w:textAlignment w:val="auto"/>
        <w:rPr>
          <w:rFonts w:hint="eastAsia"/>
        </w:rPr>
      </w:pPr>
      <w:r>
        <w:rPr>
          <w:rFonts w:hint="eastAsia"/>
          <w:b/>
          <w:bCs/>
        </w:rPr>
        <w:t>《新生儿脑电图操作和报告书写最低技术标准专家共识》（2022）</w:t>
      </w:r>
    </w:p>
    <w:p w14:paraId="3E993994">
      <w:pPr>
        <w:pStyle w:val="15"/>
        <w:keepNext w:val="0"/>
        <w:keepLines w:val="0"/>
        <w:pageBreakBefore w:val="0"/>
        <w:widowControl/>
        <w:numPr>
          <w:ilvl w:val="0"/>
          <w:numId w:val="0"/>
        </w:numPr>
        <w:kinsoku/>
        <w:wordWrap/>
        <w:overflowPunct/>
        <w:topLinePunct w:val="0"/>
        <w:autoSpaceDE w:val="0"/>
        <w:autoSpaceDN w:val="0"/>
        <w:bidi w:val="0"/>
        <w:adjustRightInd/>
        <w:snapToGrid/>
        <w:spacing w:before="0" w:beforeAutospacing="0" w:after="0" w:afterAutospacing="0" w:line="240" w:lineRule="auto"/>
        <w:ind w:left="420" w:leftChars="200" w:firstLine="281" w:firstLineChars="100"/>
        <w:textAlignment w:val="auto"/>
        <w:rPr>
          <w:rFonts w:hint="eastAsia" w:ascii="仿宋_GB2312" w:hAnsi="宋体" w:eastAsia="仿宋_GB2312" w:cs="Calibri"/>
          <w:b/>
          <w:bCs/>
          <w:sz w:val="28"/>
          <w:szCs w:val="28"/>
        </w:rPr>
      </w:pPr>
      <w:r>
        <w:rPr>
          <w:rFonts w:hint="eastAsia" w:ascii="仿宋_GB2312" w:hAnsi="宋体" w:eastAsia="仿宋_GB2312" w:cs="Calibri"/>
          <w:b/>
          <w:bCs/>
          <w:kern w:val="2"/>
          <w:sz w:val="28"/>
          <w:szCs w:val="28"/>
          <w:lang w:val="en-US" w:eastAsia="zh-CN" w:bidi="ar-SA"/>
        </w:rPr>
        <w:t>（六）</w:t>
      </w:r>
      <w:r>
        <w:rPr>
          <w:rFonts w:hint="eastAsia" w:ascii="仿宋_GB2312" w:hAnsi="宋体" w:eastAsia="仿宋_GB2312" w:cs="Calibri"/>
          <w:b/>
          <w:bCs/>
          <w:sz w:val="28"/>
          <w:szCs w:val="28"/>
        </w:rPr>
        <w:t>数据采集</w:t>
      </w:r>
      <w:r>
        <w:rPr>
          <w:rFonts w:hint="eastAsia" w:ascii="仿宋_GB2312" w:hAnsi="宋体" w:eastAsia="仿宋_GB2312" w:cs="Calibri"/>
          <w:b/>
          <w:bCs/>
          <w:sz w:val="28"/>
          <w:szCs w:val="28"/>
          <w:lang w:eastAsia="zh-CN"/>
        </w:rPr>
        <w:t>与评价</w:t>
      </w:r>
    </w:p>
    <w:p w14:paraId="728751CF">
      <w:pPr>
        <w:pStyle w:val="15"/>
        <w:keepNext w:val="0"/>
        <w:keepLines w:val="0"/>
        <w:pageBreakBefore w:val="0"/>
        <w:widowControl/>
        <w:numPr>
          <w:ilvl w:val="0"/>
          <w:numId w:val="0"/>
        </w:numPr>
        <w:suppressLineNumbers w:val="0"/>
        <w:kinsoku/>
        <w:wordWrap/>
        <w:overflowPunct/>
        <w:topLinePunct w:val="0"/>
        <w:bidi w:val="0"/>
        <w:adjustRightInd/>
        <w:snapToGrid/>
        <w:spacing w:before="0" w:beforeAutospacing="0" w:after="0" w:afterAutospacing="0" w:line="240" w:lineRule="auto"/>
        <w:ind w:left="141" w:leftChars="0" w:right="0" w:rightChars="0" w:firstLine="560" w:firstLineChars="200"/>
        <w:jc w:val="both"/>
        <w:textAlignment w:val="auto"/>
        <w:outlineLvl w:val="1"/>
      </w:pPr>
      <w:r>
        <w:rPr>
          <w:rFonts w:hint="eastAsia" w:ascii="仿宋_GB2312" w:hAnsi="宋体" w:eastAsia="仿宋_GB2312" w:cs="Calibri"/>
          <w:sz w:val="28"/>
          <w:szCs w:val="28"/>
        </w:rPr>
        <w:t>基本指标采集主要参考《新生儿振幅整合脑电图临床应用专家共识》（2019），</w:t>
      </w:r>
      <w:bookmarkStart w:id="76" w:name="_Toc1224"/>
      <w:r>
        <w:rPr>
          <w:rFonts w:hint="eastAsia" w:ascii="仿宋_GB2312" w:hAnsi="宋体" w:eastAsia="仿宋_GB2312" w:cs="Calibri"/>
          <w:sz w:val="28"/>
          <w:szCs w:val="28"/>
          <w:lang w:eastAsia="zh-CN"/>
        </w:rPr>
        <w:t>包括</w:t>
      </w:r>
      <w:r>
        <w:rPr>
          <w:rFonts w:hint="eastAsia" w:ascii="仿宋_GB2312" w:hAnsi="宋体" w:eastAsia="仿宋_GB2312" w:cs="Calibri"/>
          <w:sz w:val="28"/>
          <w:szCs w:val="28"/>
        </w:rPr>
        <w:t>上边界振幅</w:t>
      </w:r>
      <w:bookmarkEnd w:id="76"/>
      <w:bookmarkStart w:id="77" w:name="_Toc14568"/>
      <w:r>
        <w:rPr>
          <w:rFonts w:hint="eastAsia" w:ascii="仿宋_GB2312" w:hAnsi="宋体" w:eastAsia="仿宋_GB2312" w:cs="Calibri"/>
          <w:sz w:val="28"/>
          <w:szCs w:val="28"/>
        </w:rPr>
        <w:t>、下边界振幅</w:t>
      </w:r>
      <w:bookmarkEnd w:id="77"/>
      <w:bookmarkStart w:id="78" w:name="_Toc6854"/>
      <w:r>
        <w:rPr>
          <w:rFonts w:hint="eastAsia" w:ascii="仿宋_GB2312" w:hAnsi="宋体" w:eastAsia="仿宋_GB2312" w:cs="Calibri"/>
          <w:sz w:val="28"/>
          <w:szCs w:val="28"/>
        </w:rPr>
        <w:t>、睡眠周期</w:t>
      </w:r>
      <w:bookmarkEnd w:id="78"/>
      <w:bookmarkStart w:id="79" w:name="_Toc14482"/>
      <w:r>
        <w:rPr>
          <w:rFonts w:hint="eastAsia" w:ascii="仿宋_GB2312" w:hAnsi="宋体" w:eastAsia="仿宋_GB2312" w:cs="Calibri"/>
          <w:sz w:val="28"/>
          <w:szCs w:val="28"/>
        </w:rPr>
        <w:t>、异常放电</w:t>
      </w:r>
      <w:bookmarkEnd w:id="79"/>
      <w:bookmarkStart w:id="80" w:name="_Toc26661"/>
      <w:r>
        <w:rPr>
          <w:rFonts w:hint="eastAsia" w:ascii="仿宋_GB2312" w:hAnsi="宋体" w:eastAsia="仿宋_GB2312" w:cs="Calibri"/>
          <w:sz w:val="28"/>
          <w:szCs w:val="28"/>
        </w:rPr>
        <w:t>、爆发间期</w:t>
      </w:r>
      <w:bookmarkEnd w:id="80"/>
      <w:bookmarkStart w:id="81" w:name="_Toc21850"/>
      <w:r>
        <w:rPr>
          <w:rFonts w:hint="eastAsia" w:ascii="仿宋_GB2312" w:hAnsi="宋体" w:eastAsia="仿宋_GB2312" w:cs="Calibri"/>
          <w:sz w:val="28"/>
          <w:szCs w:val="28"/>
        </w:rPr>
        <w:t>、爆发次数</w:t>
      </w:r>
      <w:bookmarkEnd w:id="81"/>
      <w:bookmarkStart w:id="82" w:name="_Toc1508"/>
      <w:r>
        <w:rPr>
          <w:rFonts w:hint="eastAsia" w:ascii="仿宋_GB2312" w:hAnsi="宋体" w:eastAsia="仿宋_GB2312" w:cs="Calibri"/>
          <w:sz w:val="28"/>
          <w:szCs w:val="28"/>
        </w:rPr>
        <w:t>、连续性</w:t>
      </w:r>
      <w:bookmarkEnd w:id="82"/>
      <w:r>
        <w:rPr>
          <w:rFonts w:hint="eastAsia" w:ascii="仿宋_GB2312" w:hAnsi="宋体" w:eastAsia="仿宋_GB2312" w:cs="Calibri"/>
          <w:sz w:val="28"/>
          <w:szCs w:val="28"/>
          <w:lang w:eastAsia="zh-CN"/>
        </w:rPr>
        <w:t>的采集</w:t>
      </w:r>
      <w:r>
        <w:rPr>
          <w:rFonts w:hint="eastAsia" w:ascii="仿宋_GB2312" w:hAnsi="宋体" w:eastAsia="仿宋_GB2312" w:cs="Calibri"/>
          <w:sz w:val="28"/>
          <w:szCs w:val="28"/>
        </w:rPr>
        <w:t>。</w:t>
      </w:r>
      <w:bookmarkStart w:id="83" w:name="_Toc174607049"/>
      <w:bookmarkStart w:id="84" w:name="_Toc169192588"/>
      <w:bookmarkStart w:id="85" w:name="_Toc175639307"/>
      <w:bookmarkStart w:id="86" w:name="_Toc173685298"/>
      <w:r>
        <w:rPr>
          <w:rFonts w:hint="eastAsia" w:ascii="仿宋_GB2312" w:hAnsi="宋体" w:eastAsia="仿宋_GB2312" w:cs="Calibri"/>
          <w:sz w:val="28"/>
          <w:szCs w:val="28"/>
          <w:lang w:val="en-US" w:eastAsia="zh-CN"/>
        </w:rPr>
        <w:t>上边界</w:t>
      </w:r>
      <w:bookmarkEnd w:id="83"/>
      <w:bookmarkEnd w:id="84"/>
      <w:bookmarkEnd w:id="85"/>
      <w:bookmarkEnd w:id="86"/>
      <w:bookmarkStart w:id="87" w:name="_Hlk129073865"/>
      <w:bookmarkStart w:id="88" w:name="_Toc3492"/>
      <w:r>
        <w:rPr>
          <w:rFonts w:hint="eastAsia" w:ascii="仿宋_GB2312" w:hAnsi="宋体" w:eastAsia="仿宋_GB2312" w:cs="Calibri"/>
          <w:sz w:val="28"/>
          <w:szCs w:val="28"/>
          <w:lang w:val="en-US" w:eastAsia="zh-CN"/>
        </w:rPr>
        <w:t>：aEEG电压波普带上下边界之间的宽度为振幅。振幅上边界代表脑电活动波幅的平均高值，</w:t>
      </w:r>
      <w:bookmarkEnd w:id="87"/>
      <w:r>
        <w:rPr>
          <w:rFonts w:hint="eastAsia" w:ascii="仿宋_GB2312" w:hAnsi="宋体" w:eastAsia="仿宋_GB2312" w:cs="Calibri"/>
          <w:sz w:val="28"/>
          <w:szCs w:val="28"/>
          <w:lang w:val="en-US" w:eastAsia="zh-CN"/>
        </w:rPr>
        <w:t>反应脑电活动所能达到的最高强度。早产儿暴发段振幅上边界随胎龄增加而降低，至37周后振幅上边界随胎龄增加而升高。</w:t>
      </w:r>
      <w:bookmarkEnd w:id="88"/>
      <w:bookmarkStart w:id="89" w:name="_Toc169192589"/>
      <w:bookmarkStart w:id="90" w:name="_Toc175639308"/>
      <w:bookmarkStart w:id="91" w:name="_Toc173685299"/>
      <w:bookmarkStart w:id="92" w:name="_Toc174607050"/>
      <w:r>
        <w:rPr>
          <w:rFonts w:hint="eastAsia" w:ascii="仿宋_GB2312" w:hAnsi="宋体" w:eastAsia="仿宋_GB2312" w:cs="Calibri"/>
          <w:sz w:val="28"/>
          <w:szCs w:val="28"/>
          <w:lang w:val="en-US" w:eastAsia="zh-CN"/>
        </w:rPr>
        <w:t>下边界</w:t>
      </w:r>
      <w:bookmarkEnd w:id="89"/>
      <w:bookmarkEnd w:id="90"/>
      <w:bookmarkEnd w:id="91"/>
      <w:bookmarkEnd w:id="92"/>
      <w:bookmarkStart w:id="93" w:name="_Toc29886"/>
      <w:r>
        <w:rPr>
          <w:rFonts w:hint="eastAsia" w:ascii="仿宋_GB2312" w:hAnsi="宋体" w:eastAsia="仿宋_GB2312" w:cs="Calibri"/>
          <w:sz w:val="28"/>
          <w:szCs w:val="28"/>
          <w:lang w:val="en-US" w:eastAsia="zh-CN"/>
        </w:rPr>
        <w:t>：即aEEG波普带的下边界电压，反应脑电活动振幅的平均低值，随胎龄增加而增加。</w:t>
      </w:r>
      <w:bookmarkEnd w:id="93"/>
      <w:bookmarkStart w:id="94" w:name="_Toc175639309"/>
      <w:bookmarkStart w:id="95" w:name="_Toc174607051"/>
      <w:bookmarkStart w:id="96" w:name="_Toc169192590"/>
      <w:bookmarkStart w:id="97" w:name="_Toc173685300"/>
      <w:r>
        <w:rPr>
          <w:rFonts w:hint="eastAsia" w:ascii="仿宋_GB2312" w:hAnsi="宋体" w:eastAsia="仿宋_GB2312" w:cs="Calibri"/>
          <w:sz w:val="28"/>
          <w:szCs w:val="28"/>
          <w:lang w:val="en-US" w:eastAsia="zh-CN"/>
        </w:rPr>
        <w:t>睡眠周期</w:t>
      </w:r>
      <w:bookmarkEnd w:id="94"/>
      <w:bookmarkEnd w:id="95"/>
      <w:bookmarkEnd w:id="96"/>
      <w:bookmarkEnd w:id="97"/>
      <w:r>
        <w:rPr>
          <w:rFonts w:hint="eastAsia" w:ascii="仿宋_GB2312" w:hAnsi="宋体" w:eastAsia="仿宋_GB2312" w:cs="Calibri"/>
          <w:sz w:val="28"/>
          <w:szCs w:val="28"/>
          <w:lang w:val="en-US" w:eastAsia="zh-CN"/>
        </w:rPr>
        <w:t>：无睡眠周期aEEG背景活动无周期样变化，无法区分活动睡眠期期(AS期)和安静睡眠期(QS期)。不成熟睡眠周期：背景活动可见一些周期样变化，但仅有较低振幅的周期样波动，没有出现典型的正弦样变化的背景活动。睡眠周期未达到相应胎龄的成熟度，以及睡眠周期与胎龄不符，也称为不成熟睡眠。成熟睡眠周期：背景活动呈现平滑的正弦样周期性变化，一个睡眠周期持续20 min以上。</w:t>
      </w:r>
      <w:bookmarkStart w:id="98" w:name="_Toc169192591"/>
      <w:bookmarkStart w:id="99" w:name="_Toc175639310"/>
      <w:bookmarkStart w:id="100" w:name="_Toc174607052"/>
      <w:bookmarkStart w:id="101" w:name="_Toc173685301"/>
      <w:r>
        <w:rPr>
          <w:rFonts w:hint="eastAsia" w:ascii="仿宋_GB2312" w:hAnsi="宋体" w:eastAsia="仿宋_GB2312" w:cs="Calibri"/>
          <w:sz w:val="28"/>
          <w:szCs w:val="28"/>
          <w:lang w:val="en-US" w:eastAsia="zh-CN"/>
        </w:rPr>
        <w:t>异常放电</w:t>
      </w:r>
      <w:bookmarkEnd w:id="98"/>
      <w:bookmarkEnd w:id="99"/>
      <w:bookmarkEnd w:id="100"/>
      <w:bookmarkEnd w:id="101"/>
      <w:bookmarkStart w:id="102" w:name="_Toc13839"/>
      <w:r>
        <w:rPr>
          <w:rFonts w:hint="eastAsia" w:ascii="仿宋_GB2312" w:hAnsi="宋体" w:eastAsia="仿宋_GB2312" w:cs="Calibri"/>
          <w:sz w:val="28"/>
          <w:szCs w:val="28"/>
          <w:lang w:val="en-US" w:eastAsia="zh-CN"/>
        </w:rPr>
        <w:t>：1.在aEEG上表现为下边界和(或)上边界振幅突然升高，紧随其后可能出现一段短暂的电压抑制期。其中单次惊厥发作表现为背景波谱带中断的“驼峰样”改变，反复惊厥发作表现为多次“驼峰样”改变，惊厥持续状态为惊厥发作时间超过30 min，表现为“锯齿样”波形。2.aEEG可监测到电极放置位置附近、超过30 s、反复出现的惊厥发作。新生儿惊厥在EEG上表现为反复出现的刻板波形，有确定的起始、高峰和终止时间，发作过程中振幅波动＞2 μV，持续时≥10 s。</w:t>
      </w:r>
      <w:bookmarkEnd w:id="102"/>
      <w:bookmarkStart w:id="103" w:name="_Toc173685302"/>
      <w:bookmarkStart w:id="104" w:name="_Toc175639311"/>
      <w:bookmarkStart w:id="105" w:name="_Toc169192592"/>
      <w:bookmarkStart w:id="106" w:name="_Toc174607053"/>
      <w:r>
        <w:rPr>
          <w:rFonts w:hint="eastAsia" w:ascii="仿宋_GB2312" w:hAnsi="宋体" w:eastAsia="仿宋_GB2312" w:cs="Calibri"/>
          <w:sz w:val="28"/>
          <w:szCs w:val="28"/>
          <w:lang w:val="en-US" w:eastAsia="zh-CN"/>
        </w:rPr>
        <w:t>爆发间期</w:t>
      </w:r>
      <w:bookmarkEnd w:id="103"/>
      <w:bookmarkEnd w:id="104"/>
      <w:bookmarkEnd w:id="105"/>
      <w:bookmarkEnd w:id="106"/>
      <w:bookmarkStart w:id="107" w:name="_Toc4593"/>
      <w:r>
        <w:rPr>
          <w:rFonts w:hint="eastAsia" w:ascii="仿宋_GB2312" w:hAnsi="宋体" w:eastAsia="仿宋_GB2312" w:cs="Calibri"/>
          <w:sz w:val="28"/>
          <w:szCs w:val="28"/>
          <w:lang w:val="en-US" w:eastAsia="zh-CN"/>
        </w:rPr>
        <w:t>：两次爆发之间电压抑制的时间，反应脑成熟度和脑损伤的严重程度。早产儿IBI随胎龄增加而缩短。IBI长于相应胎龄提示新生儿可能存在脑损伤，IBI延长时间越长，脑损伤程度越重</w:t>
      </w:r>
      <w:bookmarkEnd w:id="107"/>
      <w:bookmarkStart w:id="108" w:name="_Toc169192593"/>
      <w:bookmarkStart w:id="109" w:name="_Toc174607054"/>
      <w:bookmarkStart w:id="110" w:name="_Toc173685303"/>
      <w:bookmarkStart w:id="111" w:name="_Toc175639312"/>
      <w:r>
        <w:rPr>
          <w:rFonts w:hint="eastAsia" w:ascii="仿宋_GB2312" w:hAnsi="宋体" w:eastAsia="仿宋_GB2312" w:cs="Calibri"/>
          <w:sz w:val="28"/>
          <w:szCs w:val="28"/>
          <w:lang w:val="en-US" w:eastAsia="zh-CN"/>
        </w:rPr>
        <w:t>。爆发次数</w:t>
      </w:r>
      <w:bookmarkEnd w:id="108"/>
      <w:bookmarkEnd w:id="109"/>
      <w:bookmarkEnd w:id="110"/>
      <w:bookmarkEnd w:id="111"/>
      <w:r>
        <w:rPr>
          <w:rFonts w:hint="eastAsia" w:ascii="仿宋_GB2312" w:hAnsi="宋体" w:eastAsia="仿宋_GB2312" w:cs="Calibri"/>
          <w:sz w:val="28"/>
          <w:szCs w:val="28"/>
          <w:lang w:val="en-US" w:eastAsia="zh-CN"/>
        </w:rPr>
        <w:t>：每小时出现爆发性脑电活动的次数，反应早产儿脑电活动的成熟度，同时也反应脑损伤的严重程度。</w:t>
      </w:r>
      <w:bookmarkStart w:id="112" w:name="_Toc174607055"/>
      <w:bookmarkStart w:id="113" w:name="_Toc175639313"/>
      <w:bookmarkStart w:id="114" w:name="_Toc169192594"/>
      <w:bookmarkStart w:id="115" w:name="_Toc173685304"/>
      <w:r>
        <w:rPr>
          <w:rFonts w:hint="eastAsia" w:ascii="仿宋_GB2312" w:hAnsi="宋体" w:eastAsia="仿宋_GB2312" w:cs="Calibri"/>
          <w:sz w:val="28"/>
          <w:szCs w:val="28"/>
          <w:lang w:val="en-US" w:eastAsia="zh-CN"/>
        </w:rPr>
        <w:t>连续性</w:t>
      </w:r>
      <w:bookmarkEnd w:id="112"/>
      <w:bookmarkEnd w:id="113"/>
      <w:bookmarkEnd w:id="114"/>
      <w:bookmarkEnd w:id="115"/>
      <w:r>
        <w:rPr>
          <w:rFonts w:hint="eastAsia" w:ascii="仿宋_GB2312" w:hAnsi="宋体" w:eastAsia="仿宋_GB2312" w:cs="Calibri"/>
          <w:sz w:val="28"/>
          <w:szCs w:val="28"/>
          <w:lang w:val="en-US" w:eastAsia="zh-CN"/>
        </w:rPr>
        <w:t>：连续图形：aEEG表现为波谱带宽度不变，下边界振幅波动于5 μV～10 μV之间，上边界振幅波动于10 μV～25 μV之间，EEG中脑电活动始终保持一定波幅并围绕基线上下波动。不连续图形：</w:t>
      </w:r>
      <w:r>
        <w:rPr>
          <w:rFonts w:hint="default" w:ascii="仿宋_GB2312" w:hAnsi="宋体" w:eastAsia="仿宋_GB2312" w:cs="Calibri"/>
          <w:sz w:val="28"/>
          <w:szCs w:val="28"/>
          <w:lang w:val="en-US" w:eastAsia="zh-CN"/>
        </w:rPr>
        <w:t>aEEG</w:t>
      </w:r>
      <w:r>
        <w:rPr>
          <w:rFonts w:hint="eastAsia" w:ascii="仿宋_GB2312" w:hAnsi="宋体" w:eastAsia="仿宋_GB2312" w:cs="Calibri"/>
          <w:sz w:val="28"/>
          <w:szCs w:val="28"/>
          <w:lang w:val="en-US" w:eastAsia="zh-CN"/>
        </w:rPr>
        <w:t>表现为波谱带增宽，下边界振幅低于</w:t>
      </w:r>
      <w:r>
        <w:rPr>
          <w:rFonts w:hint="default" w:ascii="仿宋_GB2312" w:hAnsi="宋体" w:eastAsia="仿宋_GB2312" w:cs="Calibri"/>
          <w:sz w:val="28"/>
          <w:szCs w:val="28"/>
          <w:lang w:val="en-US" w:eastAsia="zh-CN"/>
        </w:rPr>
        <w:t xml:space="preserve">5 </w:t>
      </w:r>
      <w:r>
        <w:rPr>
          <w:rFonts w:hint="eastAsia" w:ascii="仿宋_GB2312" w:hAnsi="宋体" w:eastAsia="仿宋_GB2312" w:cs="Calibri"/>
          <w:sz w:val="28"/>
          <w:szCs w:val="28"/>
          <w:lang w:val="en-US" w:eastAsia="zh-CN"/>
        </w:rPr>
        <w:t>μ</w:t>
      </w:r>
      <w:r>
        <w:rPr>
          <w:rFonts w:hint="default" w:ascii="仿宋_GB2312" w:hAnsi="宋体" w:eastAsia="仿宋_GB2312" w:cs="Calibri"/>
          <w:sz w:val="28"/>
          <w:szCs w:val="28"/>
          <w:lang w:val="en-US" w:eastAsia="zh-CN"/>
        </w:rPr>
        <w:t>V</w:t>
      </w:r>
      <w:r>
        <w:rPr>
          <w:rFonts w:hint="eastAsia" w:ascii="仿宋_GB2312" w:hAnsi="宋体" w:eastAsia="仿宋_GB2312" w:cs="Calibri"/>
          <w:sz w:val="28"/>
          <w:szCs w:val="28"/>
          <w:lang w:val="en-US" w:eastAsia="zh-CN"/>
        </w:rPr>
        <w:t>。</w:t>
      </w:r>
      <w:r>
        <w:rPr>
          <w:rFonts w:hint="default" w:ascii="仿宋_GB2312" w:hAnsi="宋体" w:eastAsia="仿宋_GB2312" w:cs="Calibri"/>
          <w:sz w:val="28"/>
          <w:szCs w:val="28"/>
          <w:lang w:val="en-US" w:eastAsia="zh-CN"/>
        </w:rPr>
        <w:t>EEC</w:t>
      </w:r>
      <w:r>
        <w:rPr>
          <w:rFonts w:hint="eastAsia" w:ascii="仿宋_GB2312" w:hAnsi="宋体" w:eastAsia="仿宋_GB2312" w:cs="Calibri"/>
          <w:sz w:val="28"/>
          <w:szCs w:val="28"/>
          <w:lang w:val="en-US" w:eastAsia="zh-CN"/>
        </w:rPr>
        <w:t>中表现为低电压背景下间断出现中</w:t>
      </w:r>
      <w:r>
        <w:rPr>
          <w:rFonts w:hint="default" w:ascii="仿宋_GB2312" w:hAnsi="宋体" w:eastAsia="仿宋_GB2312" w:cs="Calibri"/>
          <w:sz w:val="28"/>
          <w:szCs w:val="28"/>
          <w:lang w:val="en-US" w:eastAsia="zh-CN"/>
        </w:rPr>
        <w:t>-</w:t>
      </w:r>
      <w:r>
        <w:rPr>
          <w:rFonts w:hint="eastAsia" w:ascii="仿宋_GB2312" w:hAnsi="宋体" w:eastAsia="仿宋_GB2312" w:cs="Calibri"/>
          <w:sz w:val="28"/>
          <w:szCs w:val="28"/>
          <w:lang w:val="en-US" w:eastAsia="zh-CN"/>
        </w:rPr>
        <w:t>高波幅段的爆发性波群。</w:t>
      </w:r>
    </w:p>
    <w:p w14:paraId="3E7CA8F8">
      <w:pPr>
        <w:keepNext w:val="0"/>
        <w:keepLines w:val="0"/>
        <w:pageBreakBefore w:val="0"/>
        <w:widowControl/>
        <w:kinsoku/>
        <w:wordWrap/>
        <w:overflowPunct/>
        <w:topLinePunct w:val="0"/>
        <w:bidi w:val="0"/>
        <w:adjustRightInd/>
        <w:snapToGrid/>
        <w:spacing w:beforeAutospacing="0" w:afterAutospacing="0" w:line="240" w:lineRule="auto"/>
        <w:ind w:firstLine="562" w:firstLineChars="200"/>
        <w:jc w:val="left"/>
        <w:textAlignment w:val="auto"/>
        <w:rPr>
          <w:rFonts w:hint="eastAsia" w:ascii="仿宋_GB2312" w:hAnsi="宋体" w:eastAsia="仿宋_GB2312" w:cs="Calibri"/>
          <w:sz w:val="28"/>
          <w:szCs w:val="28"/>
        </w:rPr>
      </w:pPr>
      <w:r>
        <w:rPr>
          <w:rFonts w:hint="eastAsia" w:ascii="仿宋_GB2312" w:hAnsi="宋体" w:eastAsia="仿宋_GB2312" w:cs="Calibri"/>
          <w:b/>
          <w:bCs/>
          <w:sz w:val="28"/>
          <w:szCs w:val="28"/>
        </w:rPr>
        <w:t>评价：</w:t>
      </w:r>
      <w:r>
        <w:rPr>
          <w:rFonts w:hint="eastAsia" w:ascii="仿宋_GB2312" w:hAnsi="宋体" w:eastAsia="仿宋_GB2312" w:cs="Calibri"/>
          <w:sz w:val="28"/>
          <w:szCs w:val="28"/>
        </w:rPr>
        <w:t>根据脑电背景活动、睡眠周期、是否存在惊厥对脑功能</w:t>
      </w:r>
      <w:r>
        <w:rPr>
          <w:rFonts w:hint="eastAsia" w:ascii="仿宋_GB2312" w:hAnsi="宋体" w:eastAsia="仿宋_GB2312" w:cs="Calibri"/>
          <w:sz w:val="28"/>
          <w:szCs w:val="28"/>
          <w:lang w:eastAsia="zh-CN"/>
        </w:rPr>
        <w:t>、</w:t>
      </w:r>
      <w:r>
        <w:rPr>
          <w:rFonts w:hint="eastAsia" w:ascii="仿宋_GB2312" w:hAnsi="宋体" w:eastAsia="仿宋_GB2312" w:cs="Calibri"/>
          <w:sz w:val="28"/>
          <w:szCs w:val="28"/>
        </w:rPr>
        <w:t>正常足月儿aEEG特点</w:t>
      </w:r>
      <w:r>
        <w:rPr>
          <w:rFonts w:hint="eastAsia" w:ascii="仿宋_GB2312" w:hAnsi="宋体" w:eastAsia="仿宋_GB2312" w:cs="Calibri"/>
          <w:sz w:val="28"/>
          <w:szCs w:val="28"/>
          <w:lang w:val="en-US" w:eastAsia="zh-CN"/>
        </w:rPr>
        <w:t>以及</w:t>
      </w:r>
      <w:r>
        <w:rPr>
          <w:rFonts w:hint="eastAsia" w:ascii="仿宋_GB2312" w:hAnsi="宋体" w:eastAsia="仿宋_GB2312" w:cs="Calibri"/>
          <w:sz w:val="28"/>
          <w:szCs w:val="28"/>
        </w:rPr>
        <w:t>早产儿aEEG特点进行评价。主要参考</w:t>
      </w:r>
      <w:r>
        <w:rPr>
          <w:rFonts w:hint="eastAsia" w:ascii="仿宋_GB2312" w:hAnsi="宋体" w:eastAsia="仿宋_GB2312"/>
          <w:sz w:val="28"/>
          <w:szCs w:val="28"/>
        </w:rPr>
        <w:t>《新生儿振幅整合脑电图临床应用专家共识》</w:t>
      </w:r>
      <w:r>
        <w:rPr>
          <w:rFonts w:hint="eastAsia" w:ascii="仿宋_GB2312" w:hAnsi="宋体" w:eastAsia="仿宋_GB2312" w:cs="Calibri"/>
          <w:sz w:val="28"/>
          <w:szCs w:val="28"/>
        </w:rPr>
        <w:t>（2019）。</w:t>
      </w:r>
    </w:p>
    <w:p w14:paraId="32160C44">
      <w:pPr>
        <w:keepNext w:val="0"/>
        <w:keepLines w:val="0"/>
        <w:pageBreakBefore w:val="0"/>
        <w:widowControl/>
        <w:kinsoku/>
        <w:wordWrap/>
        <w:overflowPunct/>
        <w:topLinePunct w:val="0"/>
        <w:bidi w:val="0"/>
        <w:adjustRightInd/>
        <w:snapToGrid/>
        <w:spacing w:beforeAutospacing="0" w:afterAutospacing="0" w:line="240" w:lineRule="auto"/>
        <w:ind w:firstLine="560" w:firstLineChars="200"/>
        <w:jc w:val="left"/>
        <w:textAlignment w:val="auto"/>
        <w:rPr>
          <w:rFonts w:hint="eastAsia" w:ascii="仿宋_GB2312" w:hAnsi="宋体" w:eastAsia="仿宋_GB2312" w:cs="Calibri"/>
          <w:sz w:val="28"/>
          <w:szCs w:val="28"/>
          <w:lang w:eastAsia="zh-CN"/>
        </w:rPr>
      </w:pPr>
      <w:r>
        <w:rPr>
          <w:rFonts w:hint="eastAsia" w:ascii="仿宋_GB2312" w:hAnsi="宋体" w:eastAsia="仿宋_GB2312" w:cs="Calibri"/>
          <w:sz w:val="28"/>
          <w:szCs w:val="28"/>
        </w:rPr>
        <w:t>根据是否存在惊厥进行评价：仅应用单通道aEEG(P3．P4或C3．C4)检测惊厥敏感度较低，为12％一45％。结合同期记录到的原始脑电图形，即采用aEEG／EEG模式进行结果判读，诊断惊厥的敏感度可达76％一100％。双通道aEEG可使惊厥检测敏感度提高18％。推荐单通道或双通道aEEG结合同期EEG共同判读用于新生儿惊厥的筛查。在新生儿惊厥患儿中，如aEEG表现为背景活动重度异常、暴发问期超过30 S、aEEG检测过程中检测到频繁发作(发作&gt;7次)及睡眠周期消失提示患儿预后不良</w:t>
      </w:r>
      <w:r>
        <w:rPr>
          <w:rFonts w:hint="eastAsia" w:ascii="仿宋_GB2312" w:hAnsi="宋体" w:eastAsia="仿宋_GB2312" w:cs="Calibri"/>
          <w:sz w:val="28"/>
          <w:szCs w:val="28"/>
          <w:lang w:eastAsia="zh-CN"/>
        </w:rPr>
        <w:t>。</w:t>
      </w:r>
      <w:r>
        <w:rPr>
          <w:rFonts w:hint="eastAsia" w:ascii="仿宋_GB2312" w:hAnsi="宋体" w:eastAsia="仿宋_GB2312" w:cs="Calibri"/>
          <w:sz w:val="28"/>
          <w:szCs w:val="28"/>
        </w:rPr>
        <w:t>主要参考</w:t>
      </w:r>
      <w:r>
        <w:rPr>
          <w:rFonts w:hint="eastAsia" w:ascii="仿宋_GB2312" w:hAnsi="宋体" w:eastAsia="仿宋_GB2312"/>
          <w:sz w:val="28"/>
          <w:szCs w:val="28"/>
        </w:rPr>
        <w:t>《新生儿振幅整合脑电图临床应用专家共识》</w:t>
      </w:r>
      <w:r>
        <w:rPr>
          <w:rFonts w:hint="eastAsia" w:ascii="仿宋_GB2312" w:hAnsi="宋体" w:eastAsia="仿宋_GB2312" w:cs="Calibri"/>
          <w:sz w:val="28"/>
          <w:szCs w:val="28"/>
        </w:rPr>
        <w:t>（2019）。</w:t>
      </w:r>
    </w:p>
    <w:p w14:paraId="128850DC">
      <w:pPr>
        <w:keepNext w:val="0"/>
        <w:keepLines w:val="0"/>
        <w:pageBreakBefore w:val="0"/>
        <w:widowControl/>
        <w:kinsoku/>
        <w:wordWrap/>
        <w:overflowPunct/>
        <w:topLinePunct w:val="0"/>
        <w:bidi w:val="0"/>
        <w:adjustRightInd/>
        <w:snapToGrid/>
        <w:spacing w:beforeAutospacing="0" w:afterAutospacing="0" w:line="240" w:lineRule="auto"/>
        <w:ind w:firstLine="560" w:firstLineChars="200"/>
        <w:jc w:val="left"/>
        <w:textAlignment w:val="auto"/>
        <w:rPr>
          <w:rFonts w:hint="eastAsia" w:ascii="仿宋_GB2312" w:hAnsi="宋体" w:eastAsia="仿宋_GB2312" w:cs="Calibri"/>
          <w:sz w:val="28"/>
          <w:szCs w:val="28"/>
        </w:rPr>
      </w:pPr>
      <w:r>
        <w:rPr>
          <w:rFonts w:hint="eastAsia" w:ascii="仿宋_GB2312" w:hAnsi="宋体" w:eastAsia="仿宋_GB2312" w:cs="Calibri"/>
          <w:sz w:val="28"/>
          <w:szCs w:val="28"/>
        </w:rPr>
        <w:t>正常足月儿aEEG特点：背景活动为连续正常电压，即脑电活动连续，下边界振幅≥5μV，上边界振幅≥10μV，具有成熟的睡眠周期，未监测到异常波。如aEEG表现为背景异常或睡眠周期不成熟，提示患儿可能存在脑损伤。早产儿aEEG特点：背景活动、睡眠周期随胎龄变化，随胎龄的增加上边界振幅逐渐减低，下边界振幅逐渐升高，脑电图形逐渐由不连续图形过渡到交替图形最后变为连续图形，睡眠周期也从最早的无法辨认到出现成熟的正弦样变化。故可通过aEEG图形变化定性评价早产儿的脑发育。主要参考</w:t>
      </w:r>
      <w:r>
        <w:rPr>
          <w:rFonts w:hint="eastAsia" w:ascii="仿宋_GB2312" w:hAnsi="宋体" w:eastAsia="仿宋_GB2312"/>
          <w:sz w:val="28"/>
          <w:szCs w:val="28"/>
        </w:rPr>
        <w:t>《新生儿振幅整合脑电图临床应用专家共识》</w:t>
      </w:r>
      <w:r>
        <w:rPr>
          <w:rFonts w:hint="eastAsia" w:ascii="仿宋_GB2312" w:hAnsi="宋体" w:eastAsia="仿宋_GB2312" w:cs="Calibri"/>
          <w:sz w:val="28"/>
          <w:szCs w:val="28"/>
        </w:rPr>
        <w:t>（2019）。</w:t>
      </w:r>
    </w:p>
    <w:p w14:paraId="3684A2DA">
      <w:pPr>
        <w:pStyle w:val="2"/>
        <w:keepNext w:val="0"/>
        <w:keepLines w:val="0"/>
        <w:pageBreakBefore w:val="0"/>
        <w:kinsoku/>
        <w:wordWrap/>
        <w:overflowPunct/>
        <w:topLinePunct w:val="0"/>
        <w:bidi w:val="0"/>
        <w:adjustRightInd/>
        <w:snapToGrid/>
        <w:spacing w:beforeAutospacing="0" w:afterAutospacing="0" w:line="240" w:lineRule="auto"/>
        <w:ind w:firstLine="562" w:firstLineChars="200"/>
        <w:textAlignment w:val="auto"/>
        <w:rPr>
          <w:rFonts w:hint="eastAsia" w:eastAsia="仿宋_GB2312"/>
          <w:lang w:eastAsia="zh-CN"/>
        </w:rPr>
      </w:pPr>
      <w:r>
        <w:rPr>
          <w:rFonts w:hint="eastAsia" w:ascii="仿宋_GB2312" w:hAnsi="宋体" w:eastAsia="仿宋_GB2312" w:cs="Calibri"/>
          <w:b/>
          <w:bCs/>
          <w:kern w:val="2"/>
          <w:sz w:val="28"/>
          <w:szCs w:val="28"/>
        </w:rPr>
        <w:t>（</w:t>
      </w:r>
      <w:r>
        <w:rPr>
          <w:rFonts w:hint="eastAsia" w:ascii="仿宋_GB2312" w:hAnsi="宋体" w:eastAsia="仿宋_GB2312" w:cs="Calibri"/>
          <w:b/>
          <w:bCs/>
          <w:kern w:val="2"/>
          <w:sz w:val="28"/>
          <w:szCs w:val="28"/>
          <w:lang w:eastAsia="zh-CN"/>
        </w:rPr>
        <w:t>七</w:t>
      </w:r>
      <w:r>
        <w:rPr>
          <w:rFonts w:hint="eastAsia" w:ascii="仿宋_GB2312" w:hAnsi="宋体" w:eastAsia="仿宋_GB2312" w:cs="Calibri"/>
          <w:b/>
          <w:bCs/>
          <w:kern w:val="2"/>
          <w:sz w:val="28"/>
          <w:szCs w:val="28"/>
        </w:rPr>
        <w:t>）</w:t>
      </w:r>
      <w:r>
        <w:rPr>
          <w:rFonts w:hint="eastAsia" w:ascii="仿宋_GB2312" w:hAnsi="宋体" w:eastAsia="仿宋_GB2312" w:cs="Calibri"/>
          <w:b/>
          <w:bCs/>
          <w:kern w:val="2"/>
          <w:sz w:val="28"/>
          <w:szCs w:val="28"/>
          <w:lang w:eastAsia="zh-CN"/>
        </w:rPr>
        <w:t>检查后处理</w:t>
      </w:r>
      <w:r>
        <w:rPr>
          <w:rFonts w:hint="eastAsia" w:ascii="仿宋_GB2312" w:hAnsi="宋体" w:eastAsia="仿宋_GB2312" w:cs="Calibri"/>
          <w:kern w:val="2"/>
          <w:sz w:val="28"/>
          <w:szCs w:val="28"/>
          <w:lang w:val="en-US" w:eastAsia="zh-CN" w:bidi="ar-SA"/>
        </w:rPr>
        <w:t>主要增加了对新生儿的处理，去除残留的胶水等；以及检测结束后对仪器的维护。</w:t>
      </w:r>
    </w:p>
    <w:p w14:paraId="77225C36">
      <w:pPr>
        <w:pStyle w:val="34"/>
        <w:keepNext w:val="0"/>
        <w:keepLines w:val="0"/>
        <w:pageBreakBefore w:val="0"/>
        <w:numPr>
          <w:ilvl w:val="0"/>
          <w:numId w:val="0"/>
        </w:numPr>
        <w:kinsoku/>
        <w:wordWrap/>
        <w:overflowPunct/>
        <w:topLinePunct w:val="0"/>
        <w:bidi w:val="0"/>
        <w:adjustRightInd/>
        <w:snapToGrid/>
        <w:spacing w:before="0" w:beforeLines="0" w:beforeAutospacing="0" w:after="0" w:afterLines="0" w:afterAutospacing="0" w:line="240" w:lineRule="auto"/>
        <w:ind w:firstLine="562" w:firstLineChars="200"/>
        <w:textAlignment w:val="auto"/>
        <w:rPr>
          <w:rFonts w:hint="eastAsia" w:ascii="仿宋_GB2312" w:hAnsi="宋体" w:eastAsia="仿宋_GB2312" w:cs="Calibri"/>
          <w:kern w:val="2"/>
          <w:sz w:val="28"/>
          <w:szCs w:val="28"/>
          <w:lang w:eastAsia="zh-CN"/>
        </w:rPr>
      </w:pPr>
      <w:r>
        <w:rPr>
          <w:rFonts w:hint="eastAsia" w:ascii="仿宋_GB2312" w:hAnsi="宋体" w:eastAsia="仿宋_GB2312" w:cs="Calibri"/>
          <w:b/>
          <w:bCs/>
          <w:kern w:val="2"/>
          <w:sz w:val="28"/>
          <w:szCs w:val="28"/>
        </w:rPr>
        <w:t>（</w:t>
      </w:r>
      <w:r>
        <w:rPr>
          <w:rFonts w:hint="eastAsia" w:ascii="仿宋_GB2312" w:hAnsi="宋体" w:eastAsia="仿宋_GB2312" w:cs="Calibri"/>
          <w:b/>
          <w:bCs/>
          <w:kern w:val="2"/>
          <w:sz w:val="28"/>
          <w:szCs w:val="28"/>
          <w:lang w:eastAsia="zh-CN"/>
        </w:rPr>
        <w:t>八</w:t>
      </w:r>
      <w:r>
        <w:rPr>
          <w:rFonts w:hint="eastAsia" w:ascii="仿宋_GB2312" w:hAnsi="宋体" w:eastAsia="仿宋_GB2312" w:cs="Calibri"/>
          <w:b/>
          <w:bCs/>
          <w:kern w:val="2"/>
          <w:sz w:val="28"/>
          <w:szCs w:val="28"/>
        </w:rPr>
        <w:t>）报告</w:t>
      </w:r>
      <w:bookmarkStart w:id="116" w:name="_Toc9990"/>
      <w:r>
        <w:rPr>
          <w:rFonts w:hint="eastAsia" w:ascii="仿宋_GB2312" w:hAnsi="宋体" w:eastAsia="仿宋_GB2312" w:cs="Calibri"/>
          <w:b/>
          <w:bCs/>
          <w:kern w:val="2"/>
          <w:sz w:val="28"/>
          <w:szCs w:val="28"/>
          <w:lang w:val="en-US" w:eastAsia="zh-CN"/>
        </w:rPr>
        <w:t>内容</w:t>
      </w:r>
      <w:r>
        <w:rPr>
          <w:rFonts w:hint="eastAsia" w:ascii="仿宋_GB2312" w:hAnsi="宋体" w:eastAsia="仿宋_GB2312" w:cs="Calibri"/>
          <w:kern w:val="2"/>
          <w:sz w:val="28"/>
          <w:szCs w:val="28"/>
        </w:rPr>
        <w:t>包括患儿信息</w:t>
      </w:r>
      <w:bookmarkEnd w:id="116"/>
      <w:r>
        <w:rPr>
          <w:rFonts w:hint="eastAsia" w:ascii="仿宋_GB2312" w:hAnsi="宋体" w:eastAsia="仿宋_GB2312" w:cs="Calibri"/>
          <w:kern w:val="2"/>
          <w:sz w:val="28"/>
          <w:szCs w:val="28"/>
        </w:rPr>
        <w:t>、</w:t>
      </w:r>
      <w:bookmarkStart w:id="117" w:name="_Toc21865"/>
      <w:r>
        <w:rPr>
          <w:rFonts w:hint="eastAsia" w:ascii="仿宋_GB2312" w:hAnsi="宋体" w:eastAsia="仿宋_GB2312" w:cs="Calibri"/>
          <w:kern w:val="2"/>
          <w:sz w:val="28"/>
          <w:szCs w:val="28"/>
        </w:rPr>
        <w:t>脑电图形</w:t>
      </w:r>
      <w:bookmarkEnd w:id="117"/>
      <w:bookmarkStart w:id="118" w:name="_Toc15318"/>
      <w:r>
        <w:rPr>
          <w:rFonts w:hint="eastAsia" w:ascii="仿宋_GB2312" w:hAnsi="宋体" w:eastAsia="仿宋_GB2312" w:cs="Calibri"/>
          <w:kern w:val="2"/>
          <w:sz w:val="28"/>
          <w:szCs w:val="28"/>
        </w:rPr>
        <w:t>、图形描述</w:t>
      </w:r>
      <w:bookmarkEnd w:id="118"/>
      <w:r>
        <w:rPr>
          <w:rFonts w:hint="eastAsia" w:ascii="仿宋_GB2312" w:hAnsi="宋体" w:eastAsia="仿宋_GB2312" w:cs="Calibri"/>
          <w:kern w:val="2"/>
          <w:sz w:val="28"/>
          <w:szCs w:val="28"/>
        </w:rPr>
        <w:t>。主要参考</w:t>
      </w:r>
      <w:r>
        <w:rPr>
          <w:rFonts w:hint="eastAsia" w:ascii="仿宋_GB2312" w:hAnsi="宋体" w:eastAsia="仿宋_GB2312"/>
          <w:sz w:val="28"/>
          <w:szCs w:val="28"/>
        </w:rPr>
        <w:t>《新生儿振幅整合脑电图临床应用专家共识》</w:t>
      </w:r>
      <w:r>
        <w:rPr>
          <w:rFonts w:hint="eastAsia" w:ascii="仿宋_GB2312" w:hAnsi="宋体" w:eastAsia="仿宋_GB2312" w:cs="Calibri"/>
          <w:kern w:val="2"/>
          <w:sz w:val="28"/>
          <w:szCs w:val="28"/>
        </w:rPr>
        <w:t>（2019）</w:t>
      </w:r>
      <w:r>
        <w:rPr>
          <w:rFonts w:hint="eastAsia" w:ascii="仿宋_GB2312" w:hAnsi="宋体" w:eastAsia="仿宋_GB2312" w:cs="Calibri"/>
          <w:kern w:val="2"/>
          <w:sz w:val="28"/>
          <w:szCs w:val="28"/>
          <w:lang w:eastAsia="zh-CN"/>
        </w:rPr>
        <w:t>。</w:t>
      </w:r>
    </w:p>
    <w:p w14:paraId="0D6B7526">
      <w:pPr>
        <w:pStyle w:val="34"/>
        <w:numPr>
          <w:ilvl w:val="0"/>
          <w:numId w:val="0"/>
        </w:numPr>
        <w:spacing w:beforeLines="0" w:afterLines="0" w:line="360" w:lineRule="auto"/>
        <w:rPr>
          <w:rFonts w:hint="eastAsia"/>
          <w:bCs/>
          <w:color w:val="auto"/>
          <w:sz w:val="32"/>
          <w:szCs w:val="32"/>
        </w:rPr>
      </w:pPr>
      <w:r>
        <w:rPr>
          <w:rFonts w:hint="eastAsia"/>
          <w:b/>
          <w:bCs/>
          <w:color w:val="auto"/>
          <w:sz w:val="32"/>
          <w:szCs w:val="32"/>
        </w:rPr>
        <w:t>六</w:t>
      </w:r>
      <w:r>
        <w:rPr>
          <w:rFonts w:hint="eastAsia"/>
          <w:bCs/>
          <w:color w:val="auto"/>
          <w:sz w:val="32"/>
          <w:szCs w:val="32"/>
        </w:rPr>
        <w:t>、</w:t>
      </w:r>
      <w:r>
        <w:rPr>
          <w:rFonts w:hint="eastAsia"/>
          <w:color w:val="auto"/>
          <w:sz w:val="32"/>
          <w:szCs w:val="32"/>
        </w:rPr>
        <w:t>重大意见分歧的处理依据和结果</w:t>
      </w:r>
    </w:p>
    <w:p w14:paraId="5901BD90">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本标准研制过程中无重大分歧意见。</w:t>
      </w:r>
    </w:p>
    <w:p w14:paraId="6B1FFC80">
      <w:pPr>
        <w:autoSpaceDE w:val="0"/>
        <w:autoSpaceDN w:val="0"/>
        <w:adjustRightInd w:val="0"/>
        <w:spacing w:before="156" w:beforeLines="50" w:after="156" w:afterLines="50" w:line="520" w:lineRule="exact"/>
        <w:ind w:firstLine="640" w:firstLineChars="200"/>
        <w:outlineLvl w:val="0"/>
        <w:rPr>
          <w:rFonts w:eastAsia="黑体"/>
          <w:color w:val="auto"/>
          <w:sz w:val="32"/>
          <w:szCs w:val="32"/>
        </w:rPr>
      </w:pPr>
      <w:r>
        <w:rPr>
          <w:rFonts w:hint="eastAsia" w:ascii="黑体" w:eastAsia="黑体"/>
          <w:bCs/>
          <w:color w:val="auto"/>
          <w:sz w:val="32"/>
          <w:szCs w:val="32"/>
        </w:rPr>
        <w:t>七、</w:t>
      </w:r>
      <w:r>
        <w:rPr>
          <w:rFonts w:hint="eastAsia" w:eastAsia="黑体"/>
          <w:color w:val="auto"/>
          <w:sz w:val="32"/>
          <w:szCs w:val="32"/>
        </w:rPr>
        <w:t>实施标准的措施</w:t>
      </w:r>
    </w:p>
    <w:p w14:paraId="43DE7DA7">
      <w:pPr>
        <w:spacing w:line="500" w:lineRule="exact"/>
        <w:ind w:firstLine="562" w:firstLineChars="200"/>
        <w:rPr>
          <w:rFonts w:hint="eastAsia" w:ascii="仿宋_GB2312" w:eastAsia="仿宋_GB2312" w:cs="仿宋_GB2312"/>
          <w:b/>
          <w:color w:val="auto"/>
          <w:sz w:val="28"/>
          <w:szCs w:val="28"/>
        </w:rPr>
      </w:pPr>
      <w:r>
        <w:rPr>
          <w:rFonts w:hint="eastAsia" w:ascii="仿宋_GB2312" w:eastAsia="仿宋_GB2312" w:cs="仿宋_GB2312"/>
          <w:b/>
          <w:color w:val="auto"/>
          <w:sz w:val="28"/>
          <w:szCs w:val="28"/>
        </w:rPr>
        <w:t>（一）标准报批发布后，成立标准宣贯工作组</w:t>
      </w:r>
    </w:p>
    <w:p w14:paraId="6254ED11">
      <w:pPr>
        <w:spacing w:line="50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255571FF">
      <w:pPr>
        <w:spacing w:line="50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（二）组织开展标准宣贯培训</w:t>
      </w:r>
    </w:p>
    <w:p w14:paraId="684177CD">
      <w:pPr>
        <w:spacing w:line="50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标准发布实施后，标准宣贯工作小组制作标准解读宣贯培训PPT课件和标准核心技术明白书，并按标准宣贯培训计划深入各市县医疗机构，对医师和医护人员开展标准宣贯培训，对标准进行逐条解读，让医师和医护人员掌握标准核心技术内容，助力标准实施落地，推动广西中医技术高质量发展。</w:t>
      </w:r>
    </w:p>
    <w:p w14:paraId="24F36826">
      <w:pPr>
        <w:spacing w:line="50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（三）开展标准实施交流会，收集标准实施反馈信息</w:t>
      </w:r>
    </w:p>
    <w:p w14:paraId="7488335B">
      <w:pPr>
        <w:spacing w:line="50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标准起草小组深入各市县医疗机构组织医师和医护人员召开标准实施交流会，听取标准实施过程中存在的问题并做好记录和解答，对存在的问题组织专家团队进行研讨，为标准的复审修订做准备。</w:t>
      </w:r>
    </w:p>
    <w:p w14:paraId="6712A9C8">
      <w:pPr>
        <w:spacing w:line="500" w:lineRule="exac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（四）开展标准实施效果评估</w:t>
      </w:r>
    </w:p>
    <w:p w14:paraId="6F26A459">
      <w:pPr>
        <w:spacing w:line="50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467B4A06">
      <w:pPr>
        <w:spacing w:before="240" w:after="60" w:line="520" w:lineRule="exact"/>
        <w:ind w:firstLine="640" w:firstLineChars="200"/>
        <w:outlineLvl w:val="0"/>
        <w:rPr>
          <w:rFonts w:hint="eastAsia" w:ascii="黑体" w:eastAsia="黑体"/>
          <w:bCs/>
          <w:color w:val="auto"/>
          <w:sz w:val="32"/>
          <w:szCs w:val="32"/>
        </w:rPr>
      </w:pPr>
      <w:r>
        <w:rPr>
          <w:rFonts w:hint="eastAsia" w:ascii="黑体" w:eastAsia="黑体"/>
          <w:bCs/>
          <w:color w:val="auto"/>
          <w:sz w:val="32"/>
          <w:szCs w:val="32"/>
        </w:rPr>
        <w:t>八、其他应当说明的事项</w:t>
      </w:r>
    </w:p>
    <w:p w14:paraId="6D062A51">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无。</w:t>
      </w:r>
    </w:p>
    <w:p w14:paraId="52787E3B">
      <w:pPr>
        <w:autoSpaceDE w:val="0"/>
        <w:autoSpaceDN w:val="0"/>
        <w:adjustRightInd w:val="0"/>
        <w:spacing w:before="156" w:beforeLines="50" w:after="156" w:afterLines="50" w:line="520" w:lineRule="exact"/>
        <w:ind w:firstLine="640"/>
        <w:outlineLvl w:val="0"/>
        <w:rPr>
          <w:rFonts w:hint="eastAsia" w:eastAsia="黑体"/>
          <w:color w:val="auto"/>
          <w:sz w:val="32"/>
          <w:szCs w:val="32"/>
        </w:rPr>
      </w:pPr>
      <w:r>
        <w:rPr>
          <w:rFonts w:hint="eastAsia" w:eastAsia="黑体"/>
          <w:color w:val="auto"/>
          <w:sz w:val="32"/>
          <w:szCs w:val="32"/>
        </w:rPr>
        <w:t>九、自我承诺</w:t>
      </w:r>
    </w:p>
    <w:p w14:paraId="1CA3DC93">
      <w:pPr>
        <w:spacing w:line="52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该标准的内容符合国家相关法律法规，技术要求不低于强制性国家标准的相关技术要求，与相关的国家、行业推荐性标准协调一致，标准的编写符合GB/T 1.1-2020的要求。</w:t>
      </w:r>
    </w:p>
    <w:p w14:paraId="3099184D">
      <w:pPr>
        <w:pStyle w:val="2"/>
        <w:rPr>
          <w:rFonts w:hint="eastAsia" w:ascii="仿宋_GB2312" w:eastAsia="仿宋_GB2312"/>
          <w:color w:val="auto"/>
          <w:sz w:val="28"/>
          <w:szCs w:val="28"/>
        </w:rPr>
      </w:pPr>
    </w:p>
    <w:p w14:paraId="7696C500">
      <w:pPr>
        <w:pStyle w:val="2"/>
        <w:rPr>
          <w:rFonts w:hint="eastAsia" w:ascii="仿宋_GB2312" w:eastAsia="仿宋_GB2312"/>
          <w:color w:val="auto"/>
          <w:sz w:val="28"/>
          <w:szCs w:val="28"/>
        </w:rPr>
      </w:pPr>
    </w:p>
    <w:p w14:paraId="62C157D1">
      <w:pPr>
        <w:pStyle w:val="2"/>
        <w:rPr>
          <w:rFonts w:hint="eastAsia" w:ascii="仿宋_GB2312" w:eastAsia="仿宋_GB2312"/>
          <w:color w:val="auto"/>
          <w:sz w:val="28"/>
          <w:szCs w:val="28"/>
        </w:rPr>
      </w:pPr>
    </w:p>
    <w:p w14:paraId="753963BB">
      <w:pPr>
        <w:spacing w:before="240" w:after="60" w:line="520" w:lineRule="exact"/>
        <w:ind w:firstLine="2800" w:firstLineChars="1000"/>
        <w:outlineLvl w:val="0"/>
        <w:rPr>
          <w:rFonts w:hint="eastAsia" w:ascii="仿宋_GB2312" w:eastAsia="仿宋_GB2312"/>
          <w:color w:val="auto"/>
          <w:sz w:val="28"/>
          <w:szCs w:val="28"/>
        </w:rPr>
      </w:pPr>
      <w:r>
        <w:rPr>
          <w:rFonts w:hint="eastAsia" w:ascii="仿宋_GB2312" w:eastAsia="仿宋_GB2312"/>
          <w:color w:val="auto"/>
          <w:sz w:val="28"/>
          <w:szCs w:val="28"/>
          <w:lang w:val="en-US" w:eastAsia="zh-CN"/>
        </w:rPr>
        <w:t>团体标准</w:t>
      </w:r>
      <w:r>
        <w:rPr>
          <w:rFonts w:hint="eastAsia" w:ascii="仿宋_GB2312" w:eastAsia="仿宋_GB2312"/>
          <w:color w:val="auto"/>
          <w:sz w:val="28"/>
          <w:szCs w:val="28"/>
        </w:rPr>
        <w:t>《新生儿振幅整合脑电图技术规范》</w:t>
      </w:r>
    </w:p>
    <w:p w14:paraId="59BB109D">
      <w:pPr>
        <w:spacing w:line="520" w:lineRule="exact"/>
        <w:ind w:right="1120"/>
        <w:jc w:val="center"/>
        <w:rPr>
          <w:rFonts w:hint="eastAsia" w:ascii="仿宋_GB2312" w:eastAsia="仿宋_GB2312"/>
          <w:color w:val="auto"/>
          <w:sz w:val="28"/>
          <w:szCs w:val="28"/>
        </w:rPr>
      </w:pPr>
      <w:r>
        <w:rPr>
          <w:rFonts w:hint="eastAsia" w:ascii="仿宋_GB2312" w:eastAsia="仿宋_GB2312"/>
          <w:color w:val="auto"/>
          <w:sz w:val="28"/>
          <w:szCs w:val="28"/>
        </w:rPr>
        <w:t xml:space="preserve">                         </w:t>
      </w:r>
      <w:r>
        <w:rPr>
          <w:rFonts w:hint="eastAsia" w:ascii="仿宋_GB2312" w:eastAsia="仿宋_GB2312"/>
          <w:color w:val="auto"/>
          <w:sz w:val="28"/>
          <w:szCs w:val="28"/>
          <w:lang w:val="en-US" w:eastAsia="zh-CN"/>
        </w:rPr>
        <w:t xml:space="preserve">   </w:t>
      </w:r>
      <w:r>
        <w:rPr>
          <w:rFonts w:hint="eastAsia" w:ascii="仿宋_GB2312" w:eastAsia="仿宋_GB2312"/>
          <w:color w:val="auto"/>
          <w:sz w:val="28"/>
          <w:szCs w:val="28"/>
        </w:rPr>
        <w:t xml:space="preserve">         标准编制工作组</w:t>
      </w:r>
    </w:p>
    <w:p w14:paraId="2804818C">
      <w:pPr>
        <w:spacing w:line="520" w:lineRule="exact"/>
        <w:ind w:firstLine="640" w:firstLineChars="200"/>
        <w:rPr>
          <w:rFonts w:hint="eastAsia" w:ascii="仿宋_GB2312" w:eastAsia="仿宋_GB2312"/>
          <w:color w:val="auto"/>
          <w:sz w:val="28"/>
          <w:szCs w:val="28"/>
        </w:rPr>
      </w:pPr>
      <w:r>
        <w:rPr>
          <w:rFonts w:hint="eastAsia" w:ascii="仿宋_GB2312" w:eastAsia="仿宋_GB2312"/>
          <w:color w:val="auto"/>
          <w:sz w:val="32"/>
          <w:szCs w:val="28"/>
        </w:rPr>
        <w:t xml:space="preserve">                             </w:t>
      </w:r>
      <w:r>
        <w:rPr>
          <w:rFonts w:hint="eastAsia" w:ascii="仿宋_GB2312" w:eastAsia="仿宋_GB2312"/>
          <w:color w:val="auto"/>
          <w:sz w:val="28"/>
          <w:szCs w:val="28"/>
        </w:rPr>
        <w:t>202</w:t>
      </w:r>
      <w:r>
        <w:rPr>
          <w:rFonts w:hint="eastAsia" w:ascii="仿宋_GB2312" w:eastAsia="仿宋_GB2312"/>
          <w:color w:val="auto"/>
          <w:sz w:val="28"/>
          <w:szCs w:val="28"/>
          <w:lang w:val="en-US" w:eastAsia="zh-CN"/>
        </w:rPr>
        <w:t>5</w:t>
      </w:r>
      <w:r>
        <w:rPr>
          <w:rFonts w:hint="eastAsia" w:ascii="仿宋_GB2312" w:eastAsia="仿宋_GB2312"/>
          <w:color w:val="auto"/>
          <w:sz w:val="28"/>
          <w:szCs w:val="28"/>
        </w:rPr>
        <w:t>年</w:t>
      </w:r>
      <w:r>
        <w:rPr>
          <w:rFonts w:hint="eastAsia" w:ascii="仿宋_GB2312" w:eastAsia="仿宋_GB2312"/>
          <w:color w:val="auto"/>
          <w:sz w:val="28"/>
          <w:szCs w:val="28"/>
          <w:lang w:val="en-US" w:eastAsia="zh-CN"/>
        </w:rPr>
        <w:t>7</w:t>
      </w:r>
      <w:r>
        <w:rPr>
          <w:rFonts w:hint="eastAsia" w:ascii="仿宋_GB2312" w:eastAsia="仿宋_GB2312"/>
          <w:color w:val="auto"/>
          <w:sz w:val="28"/>
          <w:szCs w:val="28"/>
        </w:rPr>
        <w:t>月</w:t>
      </w:r>
      <w:r>
        <w:rPr>
          <w:rFonts w:hint="eastAsia" w:ascii="仿宋_GB2312" w:eastAsia="仿宋_GB2312"/>
          <w:color w:val="auto"/>
          <w:sz w:val="28"/>
          <w:szCs w:val="28"/>
          <w:lang w:val="en-US" w:eastAsia="zh-CN"/>
        </w:rPr>
        <w:t>15</w:t>
      </w:r>
      <w:r>
        <w:rPr>
          <w:rFonts w:hint="eastAsia" w:ascii="仿宋_GB2312" w:eastAsia="仿宋_GB2312"/>
          <w:color w:val="auto"/>
          <w:sz w:val="28"/>
          <w:szCs w:val="28"/>
        </w:rPr>
        <w:t>日</w:t>
      </w:r>
    </w:p>
    <w:sectPr>
      <w:footerReference r:id="rId3" w:type="default"/>
      <w:pgSz w:w="11906" w:h="16838"/>
      <w:pgMar w:top="1474" w:right="1474" w:bottom="1474" w:left="1474"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0825E7C5-7E6B-4D49-ADF2-EEC2B6B6153D}"/>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embedRegular r:id="rId2" w:fontKey="{281F3906-B0D5-4421-9F6E-BCCF3E5F8836}"/>
  </w:font>
  <w:font w:name="等线">
    <w:panose1 w:val="02010600030101010101"/>
    <w:charset w:val="86"/>
    <w:family w:val="auto"/>
    <w:pitch w:val="default"/>
    <w:sig w:usb0="A00002BF" w:usb1="38CF7CFA" w:usb2="00000016" w:usb3="00000000" w:csb0="0004000F" w:csb1="00000000"/>
  </w:font>
  <w:font w:name="方正小标宋简体">
    <w:panose1 w:val="03000509000000000000"/>
    <w:charset w:val="86"/>
    <w:family w:val="script"/>
    <w:pitch w:val="default"/>
    <w:sig w:usb0="00000001" w:usb1="080E0000" w:usb2="00000000" w:usb3="00000000" w:csb0="00040000" w:csb1="00000000"/>
    <w:embedRegular r:id="rId3" w:fontKey="{8C5BB135-DF54-438C-9CE8-4741D8835206}"/>
  </w:font>
  <w:font w:name="仿宋_GB2312">
    <w:panose1 w:val="02010609030101010101"/>
    <w:charset w:val="86"/>
    <w:family w:val="modern"/>
    <w:pitch w:val="default"/>
    <w:sig w:usb0="00000001" w:usb1="080E0000" w:usb2="00000000" w:usb3="00000000" w:csb0="00040000" w:csb1="00000000"/>
    <w:embedRegular r:id="rId4" w:fontKey="{DCECE89E-3470-4573-9379-DA950F8D3286}"/>
  </w:font>
  <w:font w:name="仿宋">
    <w:panose1 w:val="02010609060101010101"/>
    <w:charset w:val="86"/>
    <w:family w:val="modern"/>
    <w:pitch w:val="default"/>
    <w:sig w:usb0="800002BF" w:usb1="38CF7CFA" w:usb2="00000016" w:usb3="00000000" w:csb0="00040001" w:csb1="00000000"/>
    <w:embedRegular r:id="rId5" w:fontKey="{CAB68FA0-E3BA-42D0-AEBB-4227BE40025B}"/>
  </w:font>
  <w:font w:name="楷体">
    <w:panose1 w:val="02010609060101010101"/>
    <w:charset w:val="86"/>
    <w:family w:val="modern"/>
    <w:pitch w:val="default"/>
    <w:sig w:usb0="800002BF" w:usb1="38CF7CFA" w:usb2="00000016" w:usb3="00000000" w:csb0="00040001" w:csb1="00000000"/>
    <w:embedRegular r:id="rId6" w:fontKey="{E4F8C25B-D43C-4513-B0D6-B38B4869473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D6AFB0">
    <w:pPr>
      <w:pStyle w:val="11"/>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14:paraId="3835A740">
                          <w:pPr>
                            <w:pStyle w:val="11"/>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4.45pt;mso-position-horizontal:center;mso-position-horizontal-relative:margin;mso-wrap-style:none;z-index:251659264;mso-width-relative:page;mso-height-relative:page;" filled="f" stroked="f" coordsize="21600,21600" o:gfxdata="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HyXN5vRAAAAAgEAAA8AAAAAAAAAAQAgAAAAIgAA&#10;AGRycy9kb3ducmV2LnhtbFBLAQIUABQAAAAIAIdO4kAdICOU1gEAAKADAAAOAAAAAAAAAAEAIAAA&#10;ACABAABkcnMvZTJvRG9jLnhtbFBLBQYAAAAABgAGAFkBAABoBQAAAAA=&#10;">
              <v:fill on="f" focussize="0,0"/>
              <v:stroke on="f" weight="0.5pt"/>
              <v:imagedata o:title=""/>
              <o:lock v:ext="edit" aspectratio="f"/>
              <v:textbox inset="0mm,0mm,0mm,0mm" style="mso-fit-shape-to-text:t;">
                <w:txbxContent>
                  <w:p w14:paraId="3835A740">
                    <w:pPr>
                      <w:pStyle w:val="11"/>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DF8329"/>
    <w:multiLevelType w:val="multilevel"/>
    <w:tmpl w:val="8DDF8329"/>
    <w:lvl w:ilvl="0" w:tentative="0">
      <w:start w:val="1"/>
      <w:numFmt w:val="decimal"/>
      <w:pStyle w:val="43"/>
      <w:suff w:val="nothing"/>
      <w:lvlText w:val="表%1　"/>
      <w:legacy w:legacy="1" w:legacySpace="0" w:legacyIndent="0"/>
      <w:lvlJc w:val="left"/>
      <w:pPr>
        <w:ind w:left="0" w:firstLine="0"/>
      </w:pPr>
    </w:lvl>
    <w:lvl w:ilvl="1" w:tentative="0">
      <w:start w:val="1"/>
      <w:numFmt w:val="decimal"/>
      <w:lvlText w:val="%1.%2"/>
      <w:legacy w:legacy="1" w:legacySpace="0" w:legacyIndent="567"/>
      <w:lvlJc w:val="left"/>
      <w:pPr>
        <w:ind w:left="992" w:hanging="567"/>
      </w:pPr>
    </w:lvl>
    <w:lvl w:ilvl="2" w:tentative="0">
      <w:start w:val="1"/>
      <w:numFmt w:val="decimal"/>
      <w:lvlText w:val="%1.%2.%3"/>
      <w:legacy w:legacy="1" w:legacySpace="0" w:legacyIndent="567"/>
      <w:lvlJc w:val="left"/>
      <w:pPr>
        <w:ind w:left="1417" w:hanging="567"/>
      </w:pPr>
    </w:lvl>
    <w:lvl w:ilvl="3" w:tentative="0">
      <w:start w:val="1"/>
      <w:numFmt w:val="decimal"/>
      <w:lvlText w:val="%1.%2.%3.%4"/>
      <w:legacy w:legacy="1" w:legacySpace="0" w:legacyIndent="708"/>
      <w:lvlJc w:val="left"/>
      <w:pPr>
        <w:ind w:left="1984" w:hanging="708"/>
      </w:pPr>
    </w:lvl>
    <w:lvl w:ilvl="4" w:tentative="0">
      <w:start w:val="1"/>
      <w:numFmt w:val="decimal"/>
      <w:lvlText w:val="%1.%2.%3.%4.%5"/>
      <w:legacy w:legacy="1" w:legacySpace="0" w:legacyIndent="850"/>
      <w:lvlJc w:val="left"/>
      <w:pPr>
        <w:ind w:left="2551" w:hanging="850"/>
      </w:pPr>
    </w:lvl>
    <w:lvl w:ilvl="5" w:tentative="0">
      <w:start w:val="1"/>
      <w:numFmt w:val="decimal"/>
      <w:lvlText w:val="%1.%2.%3.%4.%5.%6"/>
      <w:legacy w:legacy="1" w:legacySpace="0" w:legacyIndent="1134"/>
      <w:lvlJc w:val="left"/>
      <w:pPr>
        <w:ind w:left="3260" w:hanging="1134"/>
      </w:pPr>
    </w:lvl>
    <w:lvl w:ilvl="6" w:tentative="0">
      <w:start w:val="1"/>
      <w:numFmt w:val="decimal"/>
      <w:lvlText w:val="%1.%2.%3.%4.%5.%6.%7"/>
      <w:legacy w:legacy="1" w:legacySpace="0" w:legacyIndent="1276"/>
      <w:lvlJc w:val="left"/>
      <w:pPr>
        <w:ind w:left="3827" w:hanging="1276"/>
      </w:pPr>
    </w:lvl>
    <w:lvl w:ilvl="7" w:tentative="0">
      <w:start w:val="1"/>
      <w:numFmt w:val="decimal"/>
      <w:lvlText w:val="%1.%2.%3.%4.%5.%6.%7.%8"/>
      <w:legacy w:legacy="1" w:legacySpace="0" w:legacyIndent="1418"/>
      <w:lvlJc w:val="left"/>
      <w:pPr>
        <w:ind w:left="4394" w:hanging="1418"/>
      </w:pPr>
    </w:lvl>
    <w:lvl w:ilvl="8" w:tentative="0">
      <w:start w:val="1"/>
      <w:numFmt w:val="decimal"/>
      <w:lvlText w:val="%1.%2.%3.%4.%5.%6.%7.%8.%9"/>
      <w:legacy w:legacy="1" w:legacySpace="0" w:legacyIndent="1700"/>
      <w:lvlJc w:val="left"/>
      <w:pPr>
        <w:ind w:left="5102" w:hanging="1700"/>
      </w:pPr>
    </w:lvl>
  </w:abstractNum>
  <w:abstractNum w:abstractNumId="1">
    <w:nsid w:val="B9A900A6"/>
    <w:multiLevelType w:val="multilevel"/>
    <w:tmpl w:val="B9A900A6"/>
    <w:lvl w:ilvl="0" w:tentative="0">
      <w:start w:val="1"/>
      <w:numFmt w:val="upperLetter"/>
      <w:lvlText w:val="%1"/>
      <w:lvlJc w:val="left"/>
      <w:pPr>
        <w:ind w:left="420" w:hanging="420"/>
      </w:pPr>
    </w:lvl>
    <w:lvl w:ilvl="1" w:tentative="0">
      <w:start w:val="1"/>
      <w:numFmt w:val="decimal"/>
      <w:pStyle w:val="63"/>
      <w:suff w:val="space"/>
      <w:lvlText w:val="图%1.%2"/>
      <w:lvlJc w:val="center"/>
      <w:pPr>
        <w:ind w:left="0" w:firstLine="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CC6EF6A0"/>
    <w:multiLevelType w:val="singleLevel"/>
    <w:tmpl w:val="CC6EF6A0"/>
    <w:lvl w:ilvl="0" w:tentative="0">
      <w:start w:val="1"/>
      <w:numFmt w:val="decimal"/>
      <w:lvlText w:val="%1"/>
      <w:lvlJc w:val="left"/>
      <w:pPr>
        <w:tabs>
          <w:tab w:val="left" w:pos="420"/>
        </w:tabs>
        <w:ind w:left="425" w:hanging="425"/>
      </w:pPr>
      <w:rPr>
        <w:rFonts w:hint="default"/>
      </w:rPr>
    </w:lvl>
  </w:abstractNum>
  <w:abstractNum w:abstractNumId="3">
    <w:nsid w:val="FD8D9061"/>
    <w:multiLevelType w:val="singleLevel"/>
    <w:tmpl w:val="FD8D9061"/>
    <w:lvl w:ilvl="0" w:tentative="0">
      <w:start w:val="2"/>
      <w:numFmt w:val="decimal"/>
      <w:suff w:val="nothing"/>
      <w:lvlText w:val="%1、"/>
      <w:lvlJc w:val="left"/>
    </w:lvl>
  </w:abstractNum>
  <w:abstractNum w:abstractNumId="4">
    <w:nsid w:val="FF75F2AE"/>
    <w:multiLevelType w:val="multilevel"/>
    <w:tmpl w:val="FF75F2AE"/>
    <w:lvl w:ilvl="0" w:tentative="0">
      <w:start w:val="1"/>
      <w:numFmt w:val="none"/>
      <w:pStyle w:val="60"/>
      <w:lvlText w:val="%1注："/>
      <w:lvlJc w:val="left"/>
      <w:pPr>
        <w:ind w:left="737" w:hanging="374"/>
      </w:pPr>
      <w:rPr>
        <w:rFonts w:hint="eastAsia" w:ascii="黑体" w:hAnsi="Times New Roman" w:eastAsia="黑体" w:cs="黑体"/>
        <w:b w:val="0"/>
        <w:i w:val="0"/>
        <w:sz w:val="18"/>
      </w:rPr>
    </w:lvl>
    <w:lvl w:ilvl="1" w:tentative="0">
      <w:start w:val="1"/>
      <w:numFmt w:val="lowerLetter"/>
      <w:lvlText w:val="%2)"/>
      <w:lvlJc w:val="left"/>
      <w:pPr>
        <w:tabs>
          <w:tab w:val="left" w:pos="1140"/>
        </w:tabs>
        <w:ind w:left="726" w:hanging="363"/>
      </w:pPr>
    </w:lvl>
    <w:lvl w:ilvl="2" w:tentative="0">
      <w:start w:val="1"/>
      <w:numFmt w:val="lowerRoman"/>
      <w:lvlText w:val="%3."/>
      <w:lvlJc w:val="right"/>
      <w:pPr>
        <w:tabs>
          <w:tab w:val="left" w:pos="1140"/>
        </w:tabs>
        <w:ind w:left="726" w:hanging="363"/>
      </w:pPr>
    </w:lvl>
    <w:lvl w:ilvl="3" w:tentative="0">
      <w:start w:val="1"/>
      <w:numFmt w:val="decimal"/>
      <w:lvlText w:val="%4."/>
      <w:lvlJc w:val="left"/>
      <w:pPr>
        <w:tabs>
          <w:tab w:val="left" w:pos="1140"/>
        </w:tabs>
        <w:ind w:left="726" w:hanging="363"/>
      </w:pPr>
    </w:lvl>
    <w:lvl w:ilvl="4" w:tentative="0">
      <w:start w:val="1"/>
      <w:numFmt w:val="lowerLetter"/>
      <w:lvlText w:val="%5)"/>
      <w:lvlJc w:val="left"/>
      <w:pPr>
        <w:tabs>
          <w:tab w:val="left" w:pos="1140"/>
        </w:tabs>
        <w:ind w:left="726" w:hanging="363"/>
      </w:pPr>
    </w:lvl>
    <w:lvl w:ilvl="5" w:tentative="0">
      <w:start w:val="1"/>
      <w:numFmt w:val="lowerRoman"/>
      <w:lvlText w:val="%6."/>
      <w:lvlJc w:val="right"/>
      <w:pPr>
        <w:tabs>
          <w:tab w:val="left" w:pos="1140"/>
        </w:tabs>
        <w:ind w:left="726" w:hanging="363"/>
      </w:pPr>
    </w:lvl>
    <w:lvl w:ilvl="6" w:tentative="0">
      <w:start w:val="1"/>
      <w:numFmt w:val="decimal"/>
      <w:lvlText w:val="%7."/>
      <w:lvlJc w:val="left"/>
      <w:pPr>
        <w:tabs>
          <w:tab w:val="left" w:pos="1140"/>
        </w:tabs>
        <w:ind w:left="726" w:hanging="363"/>
      </w:pPr>
    </w:lvl>
    <w:lvl w:ilvl="7" w:tentative="0">
      <w:start w:val="1"/>
      <w:numFmt w:val="lowerLetter"/>
      <w:lvlText w:val="%8)"/>
      <w:lvlJc w:val="left"/>
      <w:pPr>
        <w:tabs>
          <w:tab w:val="left" w:pos="1140"/>
        </w:tabs>
        <w:ind w:left="726" w:hanging="363"/>
      </w:pPr>
    </w:lvl>
    <w:lvl w:ilvl="8" w:tentative="0">
      <w:start w:val="1"/>
      <w:numFmt w:val="lowerRoman"/>
      <w:lvlText w:val="%9."/>
      <w:lvlJc w:val="right"/>
      <w:pPr>
        <w:tabs>
          <w:tab w:val="left" w:pos="1140"/>
        </w:tabs>
        <w:ind w:left="726" w:hanging="363"/>
      </w:pPr>
    </w:lvl>
  </w:abstractNum>
  <w:abstractNum w:abstractNumId="5">
    <w:nsid w:val="0962C0A6"/>
    <w:multiLevelType w:val="singleLevel"/>
    <w:tmpl w:val="0962C0A6"/>
    <w:lvl w:ilvl="0" w:tentative="0">
      <w:start w:val="1"/>
      <w:numFmt w:val="decimal"/>
      <w:lvlText w:val="[%1]"/>
      <w:lvlJc w:val="left"/>
      <w:pPr>
        <w:tabs>
          <w:tab w:val="left" w:pos="312"/>
        </w:tabs>
      </w:pPr>
    </w:lvl>
  </w:abstractNum>
  <w:abstractNum w:abstractNumId="6">
    <w:nsid w:val="0FFFFF7E"/>
    <w:multiLevelType w:val="singleLevel"/>
    <w:tmpl w:val="0FFFFF7E"/>
    <w:lvl w:ilvl="0" w:tentative="0">
      <w:start w:val="1"/>
      <w:numFmt w:val="decimal"/>
      <w:lvlText w:val="%1."/>
      <w:lvlJc w:val="left"/>
      <w:pPr>
        <w:tabs>
          <w:tab w:val="left" w:pos="1200"/>
        </w:tabs>
        <w:ind w:left="1200" w:hanging="360"/>
      </w:pPr>
    </w:lvl>
  </w:abstractNum>
  <w:abstractNum w:abstractNumId="7">
    <w:nsid w:val="0FFFFF7F"/>
    <w:multiLevelType w:val="singleLevel"/>
    <w:tmpl w:val="0FFFFF7F"/>
    <w:lvl w:ilvl="0" w:tentative="0">
      <w:start w:val="1"/>
      <w:numFmt w:val="decimal"/>
      <w:lvlText w:val="%1."/>
      <w:lvlJc w:val="left"/>
      <w:pPr>
        <w:tabs>
          <w:tab w:val="left" w:pos="780"/>
        </w:tabs>
        <w:ind w:left="780" w:hanging="360"/>
      </w:pPr>
    </w:lvl>
  </w:abstractNum>
  <w:abstractNum w:abstractNumId="8">
    <w:nsid w:val="2C5917C3"/>
    <w:multiLevelType w:val="multilevel"/>
    <w:tmpl w:val="2C5917C3"/>
    <w:lvl w:ilvl="0" w:tentative="0">
      <w:start w:val="1"/>
      <w:numFmt w:val="none"/>
      <w:pStyle w:val="57"/>
      <w:lvlText w:val="%1——"/>
      <w:lvlJc w:val="left"/>
      <w:pPr>
        <w:tabs>
          <w:tab w:val="left" w:pos="851"/>
        </w:tabs>
        <w:ind w:left="636" w:hanging="426"/>
      </w:pPr>
      <w:rPr>
        <w:rFonts w:hint="eastAsia" w:ascii="宋体" w:hAnsi="Times New Roman" w:eastAsia="宋体"/>
        <w:b w:val="0"/>
        <w:i w:val="0"/>
        <w:sz w:val="21"/>
      </w:rPr>
    </w:lvl>
    <w:lvl w:ilvl="1" w:tentative="0">
      <w:start w:val="1"/>
      <w:numFmt w:val="none"/>
      <w:lvlText w:val=""/>
      <w:lvlJc w:val="left"/>
      <w:pPr>
        <w:ind w:left="636" w:hanging="431"/>
      </w:pPr>
      <w:rPr>
        <w:rFonts w:hint="default" w:ascii="Symbol" w:hAnsi="Symbol"/>
        <w:sz w:val="21"/>
      </w:rPr>
    </w:lvl>
    <w:lvl w:ilvl="2" w:tentative="0">
      <w:start w:val="1"/>
      <w:numFmt w:val="bullet"/>
      <w:lvlText w:val=""/>
      <w:lvlJc w:val="left"/>
      <w:pPr>
        <w:ind w:left="636" w:hanging="426"/>
      </w:pPr>
      <w:rPr>
        <w:rFonts w:hint="default" w:ascii="Wingdings" w:hAnsi="Wingdings"/>
        <w:sz w:val="21"/>
      </w:rPr>
    </w:lvl>
    <w:lvl w:ilvl="3" w:tentative="0">
      <w:start w:val="1"/>
      <w:numFmt w:val="decimal"/>
      <w:lvlText w:val="%4."/>
      <w:lvlJc w:val="left"/>
      <w:pPr>
        <w:tabs>
          <w:tab w:val="left" w:pos="2071"/>
        </w:tabs>
        <w:ind w:left="1669" w:hanging="528"/>
      </w:pPr>
      <w:rPr>
        <w:rFonts w:hint="eastAsia"/>
      </w:rPr>
    </w:lvl>
    <w:lvl w:ilvl="4" w:tentative="0">
      <w:start w:val="1"/>
      <w:numFmt w:val="lowerLetter"/>
      <w:lvlText w:val="%5)"/>
      <w:lvlJc w:val="left"/>
      <w:pPr>
        <w:tabs>
          <w:tab w:val="left" w:pos="2383"/>
        </w:tabs>
        <w:ind w:left="1981" w:hanging="528"/>
      </w:pPr>
      <w:rPr>
        <w:rFonts w:hint="eastAsia"/>
      </w:rPr>
    </w:lvl>
    <w:lvl w:ilvl="5" w:tentative="0">
      <w:start w:val="1"/>
      <w:numFmt w:val="lowerRoman"/>
      <w:lvlText w:val="%6."/>
      <w:lvlJc w:val="right"/>
      <w:pPr>
        <w:tabs>
          <w:tab w:val="left" w:pos="2695"/>
        </w:tabs>
        <w:ind w:left="2293" w:hanging="528"/>
      </w:pPr>
      <w:rPr>
        <w:rFonts w:hint="eastAsia"/>
      </w:rPr>
    </w:lvl>
    <w:lvl w:ilvl="6" w:tentative="0">
      <w:start w:val="1"/>
      <w:numFmt w:val="decimal"/>
      <w:lvlText w:val="%7."/>
      <w:lvlJc w:val="left"/>
      <w:pPr>
        <w:tabs>
          <w:tab w:val="left" w:pos="3007"/>
        </w:tabs>
        <w:ind w:left="2605" w:hanging="528"/>
      </w:pPr>
      <w:rPr>
        <w:rFonts w:hint="eastAsia"/>
      </w:rPr>
    </w:lvl>
    <w:lvl w:ilvl="7" w:tentative="0">
      <w:start w:val="1"/>
      <w:numFmt w:val="lowerLetter"/>
      <w:lvlText w:val="%8)"/>
      <w:lvlJc w:val="left"/>
      <w:pPr>
        <w:tabs>
          <w:tab w:val="left" w:pos="3319"/>
        </w:tabs>
        <w:ind w:left="2917" w:hanging="528"/>
      </w:pPr>
      <w:rPr>
        <w:rFonts w:hint="eastAsia"/>
      </w:rPr>
    </w:lvl>
    <w:lvl w:ilvl="8" w:tentative="0">
      <w:start w:val="1"/>
      <w:numFmt w:val="lowerRoman"/>
      <w:lvlText w:val="%9."/>
      <w:lvlJc w:val="right"/>
      <w:pPr>
        <w:tabs>
          <w:tab w:val="left" w:pos="3631"/>
        </w:tabs>
        <w:ind w:left="3229" w:hanging="528"/>
      </w:pPr>
      <w:rPr>
        <w:rFonts w:hint="eastAsia"/>
      </w:rPr>
    </w:lvl>
  </w:abstractNum>
  <w:abstractNum w:abstractNumId="9">
    <w:nsid w:val="44C50F90"/>
    <w:multiLevelType w:val="multilevel"/>
    <w:tmpl w:val="44C50F90"/>
    <w:lvl w:ilvl="0" w:tentative="0">
      <w:start w:val="1"/>
      <w:numFmt w:val="lowerLetter"/>
      <w:pStyle w:val="52"/>
      <w:lvlText w:val="%1)"/>
      <w:lvlJc w:val="left"/>
      <w:pPr>
        <w:tabs>
          <w:tab w:val="left" w:pos="851"/>
        </w:tabs>
        <w:ind w:left="851" w:hanging="426"/>
      </w:pPr>
      <w:rPr>
        <w:rFonts w:hint="eastAsia" w:ascii="宋体" w:hAnsi="Times New Roman" w:eastAsia="宋体"/>
        <w:sz w:val="21"/>
      </w:rPr>
    </w:lvl>
    <w:lvl w:ilvl="1" w:tentative="0">
      <w:start w:val="1"/>
      <w:numFmt w:val="decimal"/>
      <w:pStyle w:val="50"/>
      <w:lvlText w:val="%2)"/>
      <w:lvlJc w:val="left"/>
      <w:pPr>
        <w:tabs>
          <w:tab w:val="left" w:pos="1276"/>
        </w:tabs>
        <w:ind w:left="1276" w:hanging="425"/>
      </w:pPr>
      <w:rPr>
        <w:rFonts w:hint="eastAsia" w:ascii="宋体" w:hAnsi="Times New Roman" w:eastAsia="宋体"/>
        <w:sz w:val="21"/>
      </w:rPr>
    </w:lvl>
    <w:lvl w:ilvl="2" w:tentative="0">
      <w:start w:val="1"/>
      <w:numFmt w:val="decimal"/>
      <w:pStyle w:val="51"/>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0">
    <w:nsid w:val="5A9B6960"/>
    <w:multiLevelType w:val="multilevel"/>
    <w:tmpl w:val="5A9B6960"/>
    <w:lvl w:ilvl="0" w:tentative="0">
      <w:start w:val="1"/>
      <w:numFmt w:val="none"/>
      <w:pStyle w:val="40"/>
      <w:suff w:val="nothing"/>
      <w:lvlText w:val="%1"/>
      <w:legacy w:legacy="1" w:legacySpace="0" w:legacyIndent="0"/>
      <w:lvlJc w:val="left"/>
      <w:pPr>
        <w:ind w:left="0" w:firstLine="0"/>
      </w:pPr>
      <w:rPr>
        <w:rFonts w:hint="eastAsia"/>
      </w:rPr>
    </w:lvl>
    <w:lvl w:ilvl="1" w:tentative="0">
      <w:start w:val="1"/>
      <w:numFmt w:val="decimal"/>
      <w:pStyle w:val="34"/>
      <w:suff w:val="nothing"/>
      <w:lvlText w:val="%1%2　"/>
      <w:legacy w:legacy="1" w:legacySpace="0" w:legacyIndent="0"/>
      <w:lvlJc w:val="left"/>
      <w:pPr>
        <w:ind w:left="0" w:firstLine="0"/>
      </w:pPr>
      <w:rPr>
        <w:rFonts w:hint="eastAsia" w:ascii="黑体" w:hAnsi="黑体" w:eastAsia="黑体"/>
        <w:b w:val="0"/>
        <w:i w:val="0"/>
        <w:sz w:val="21"/>
      </w:rPr>
    </w:lvl>
    <w:lvl w:ilvl="2" w:tentative="0">
      <w:start w:val="1"/>
      <w:numFmt w:val="decimal"/>
      <w:pStyle w:val="36"/>
      <w:suff w:val="nothing"/>
      <w:lvlText w:val="%1%2.%3　"/>
      <w:legacy w:legacy="1" w:legacySpace="0" w:legacyIndent="0"/>
      <w:lvlJc w:val="left"/>
      <w:pPr>
        <w:ind w:left="0" w:firstLine="0"/>
      </w:pPr>
      <w:rPr>
        <w:rFonts w:hint="eastAsia" w:ascii="黑体" w:hAnsi="黑体"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suff w:val="nothing"/>
      <w:lvlText w:val="%1%2.%3.%4　"/>
      <w:legacy w:legacy="1" w:legacySpace="0" w:legacyIndent="0"/>
      <w:lvlJc w:val="left"/>
      <w:pPr>
        <w:ind w:left="0" w:firstLine="0"/>
      </w:pPr>
      <w:rPr>
        <w:rFonts w:hint="eastAsia" w:ascii="黑体" w:hAnsi="黑体" w:eastAsia="黑体"/>
        <w:b w:val="0"/>
        <w:i w:val="0"/>
        <w:sz w:val="21"/>
      </w:rPr>
    </w:lvl>
    <w:lvl w:ilvl="4" w:tentative="0">
      <w:start w:val="1"/>
      <w:numFmt w:val="decimal"/>
      <w:pStyle w:val="42"/>
      <w:suff w:val="nothing"/>
      <w:lvlText w:val="%1%2.%3.%4.%5　"/>
      <w:legacy w:legacy="1" w:legacySpace="0" w:legacyIndent="0"/>
      <w:lvlJc w:val="left"/>
      <w:pPr>
        <w:ind w:left="0" w:firstLine="0"/>
      </w:pPr>
      <w:rPr>
        <w:rFonts w:hint="eastAsia" w:ascii="黑体" w:hAnsi="黑体" w:eastAsia="黑体"/>
        <w:b w:val="0"/>
        <w:i w:val="0"/>
        <w:sz w:val="21"/>
      </w:rPr>
    </w:lvl>
    <w:lvl w:ilvl="5" w:tentative="0">
      <w:start w:val="1"/>
      <w:numFmt w:val="decimal"/>
      <w:pStyle w:val="41"/>
      <w:suff w:val="nothing"/>
      <w:lvlText w:val="%1%2.%3.%4.%5.%6　"/>
      <w:legacy w:legacy="1" w:legacySpace="0" w:legacyIndent="0"/>
      <w:lvlJc w:val="left"/>
      <w:pPr>
        <w:ind w:left="0" w:firstLine="0"/>
      </w:pPr>
      <w:rPr>
        <w:rFonts w:hint="eastAsia" w:ascii="黑体" w:hAnsi="黑体" w:eastAsia="黑体"/>
        <w:b w:val="0"/>
        <w:i w:val="0"/>
        <w:sz w:val="21"/>
      </w:rPr>
    </w:lvl>
    <w:lvl w:ilvl="6" w:tentative="0">
      <w:start w:val="1"/>
      <w:numFmt w:val="decimal"/>
      <w:pStyle w:val="39"/>
      <w:suff w:val="nothing"/>
      <w:lvlText w:val="%1%2.%3.%4.%5.%6.%7　"/>
      <w:legacy w:legacy="1" w:legacySpace="0" w:legacyIndent="0"/>
      <w:lvlJc w:val="left"/>
      <w:pPr>
        <w:ind w:left="0" w:firstLine="0"/>
      </w:pPr>
      <w:rPr>
        <w:rFonts w:hint="eastAsia" w:ascii="黑体" w:hAnsi="黑体" w:eastAsia="黑体"/>
        <w:b w:val="0"/>
        <w:i w:val="0"/>
        <w:sz w:val="21"/>
      </w:rPr>
    </w:lvl>
    <w:lvl w:ilvl="7" w:tentative="0">
      <w:start w:val="1"/>
      <w:numFmt w:val="decimal"/>
      <w:lvlText w:val="%1.%2.%3.%4.%5.%6.%7.%8"/>
      <w:legacy w:legacy="1" w:legacySpace="0" w:legacyIndent="1418"/>
      <w:lvlJc w:val="left"/>
      <w:pPr>
        <w:ind w:left="3969" w:hanging="1418"/>
      </w:pPr>
      <w:rPr>
        <w:rFonts w:hint="eastAsia"/>
      </w:rPr>
    </w:lvl>
    <w:lvl w:ilvl="8" w:tentative="0">
      <w:start w:val="1"/>
      <w:numFmt w:val="decimal"/>
      <w:lvlText w:val="%1.%2.%3.%4.%5.%6.%7.%8.%9"/>
      <w:legacy w:legacy="1" w:legacySpace="0" w:legacyIndent="1700"/>
      <w:lvlJc w:val="left"/>
      <w:pPr>
        <w:ind w:left="4677" w:hanging="1700"/>
      </w:pPr>
      <w:rPr>
        <w:rFonts w:hint="eastAsia"/>
      </w:rPr>
    </w:lvl>
  </w:abstractNum>
  <w:abstractNum w:abstractNumId="11">
    <w:nsid w:val="79E5B5BF"/>
    <w:multiLevelType w:val="multilevel"/>
    <w:tmpl w:val="79E5B5BF"/>
    <w:lvl w:ilvl="0" w:tentative="0">
      <w:start w:val="1"/>
      <w:numFmt w:val="upperLetter"/>
      <w:suff w:val="nothing"/>
      <w:lvlText w:val="附录%1"/>
      <w:lvlJc w:val="left"/>
      <w:pPr>
        <w:ind w:left="0" w:firstLine="0"/>
      </w:pPr>
      <w:rPr>
        <w:spacing w:val="100"/>
      </w:rPr>
    </w:lvl>
    <w:lvl w:ilvl="1" w:tentative="0">
      <w:start w:val="1"/>
      <w:numFmt w:val="decimal"/>
      <w:pStyle w:val="62"/>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0" w:firstLine="0"/>
      </w:pPr>
      <w:rPr>
        <w:rFonts w:hint="eastAsia" w:ascii="黑体" w:hAnsi="Times New Roman" w:eastAsia="黑体" w:cs="黑体"/>
        <w:b w:val="0"/>
        <w:i w:val="0"/>
        <w:sz w:val="21"/>
      </w:rPr>
    </w:lvl>
    <w:lvl w:ilvl="3" w:tentative="0">
      <w:start w:val="1"/>
      <w:numFmt w:val="decimal"/>
      <w:suff w:val="nothing"/>
      <w:lvlText w:val="%1.%2.%3.%4　"/>
      <w:lvlJc w:val="left"/>
      <w:pPr>
        <w:ind w:left="0"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num w:numId="1">
    <w:abstractNumId w:val="10"/>
  </w:num>
  <w:num w:numId="2">
    <w:abstractNumId w:val="0"/>
  </w:num>
  <w:num w:numId="3">
    <w:abstractNumId w:val="7"/>
  </w:num>
  <w:num w:numId="4">
    <w:abstractNumId w:val="6"/>
  </w:num>
  <w:num w:numId="5">
    <w:abstractNumId w:val="9"/>
  </w:num>
  <w:num w:numId="6">
    <w:abstractNumId w:val="8"/>
  </w:num>
  <w:num w:numId="7">
    <w:abstractNumId w:val="4"/>
  </w:num>
  <w:num w:numId="8">
    <w:abstractNumId w:val="11"/>
  </w:num>
  <w:num w:numId="9">
    <w:abstractNumId w:val="1"/>
  </w:num>
  <w:num w:numId="10">
    <w:abstractNumId w:val="2"/>
  </w:num>
  <w:num w:numId="11">
    <w:abstractNumId w:val="5"/>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TrueTypeFonts/>
  <w:saveSubset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mU0OWNhMGUyYzc2MTI5ZWY2NzM4MTVkMDAwODg0YzMifQ=="/>
  </w:docVars>
  <w:rsids>
    <w:rsidRoot w:val="000D75AA"/>
    <w:rsid w:val="000068A2"/>
    <w:rsid w:val="00014983"/>
    <w:rsid w:val="000178C8"/>
    <w:rsid w:val="00055442"/>
    <w:rsid w:val="00072103"/>
    <w:rsid w:val="00075653"/>
    <w:rsid w:val="00082613"/>
    <w:rsid w:val="000C517B"/>
    <w:rsid w:val="000E53EA"/>
    <w:rsid w:val="001133E6"/>
    <w:rsid w:val="001655CC"/>
    <w:rsid w:val="0018012C"/>
    <w:rsid w:val="001821C9"/>
    <w:rsid w:val="001A7570"/>
    <w:rsid w:val="001D3156"/>
    <w:rsid w:val="001E2D73"/>
    <w:rsid w:val="0020127F"/>
    <w:rsid w:val="00205352"/>
    <w:rsid w:val="002210B4"/>
    <w:rsid w:val="0022236C"/>
    <w:rsid w:val="002324B6"/>
    <w:rsid w:val="00234F7D"/>
    <w:rsid w:val="00236909"/>
    <w:rsid w:val="00236EB4"/>
    <w:rsid w:val="00241F8A"/>
    <w:rsid w:val="00281F39"/>
    <w:rsid w:val="0028500C"/>
    <w:rsid w:val="002879F6"/>
    <w:rsid w:val="00292F73"/>
    <w:rsid w:val="0029554A"/>
    <w:rsid w:val="002A3479"/>
    <w:rsid w:val="002B7C92"/>
    <w:rsid w:val="002E357A"/>
    <w:rsid w:val="00321E92"/>
    <w:rsid w:val="003259AF"/>
    <w:rsid w:val="003332BA"/>
    <w:rsid w:val="00340D9B"/>
    <w:rsid w:val="003517E7"/>
    <w:rsid w:val="00372E66"/>
    <w:rsid w:val="00375933"/>
    <w:rsid w:val="00382E35"/>
    <w:rsid w:val="00396F2C"/>
    <w:rsid w:val="003D485E"/>
    <w:rsid w:val="00426DC5"/>
    <w:rsid w:val="004373E9"/>
    <w:rsid w:val="0044036C"/>
    <w:rsid w:val="0044065E"/>
    <w:rsid w:val="004805DB"/>
    <w:rsid w:val="0048511D"/>
    <w:rsid w:val="004A75FF"/>
    <w:rsid w:val="004B4D68"/>
    <w:rsid w:val="004F29B4"/>
    <w:rsid w:val="00515B82"/>
    <w:rsid w:val="0051755E"/>
    <w:rsid w:val="00533B2A"/>
    <w:rsid w:val="00554B7D"/>
    <w:rsid w:val="00564A0C"/>
    <w:rsid w:val="005E3C13"/>
    <w:rsid w:val="005E7B33"/>
    <w:rsid w:val="005F1668"/>
    <w:rsid w:val="005F2FD2"/>
    <w:rsid w:val="005F4961"/>
    <w:rsid w:val="00617B08"/>
    <w:rsid w:val="00627AB4"/>
    <w:rsid w:val="006335ED"/>
    <w:rsid w:val="006343EC"/>
    <w:rsid w:val="0063539D"/>
    <w:rsid w:val="00637F53"/>
    <w:rsid w:val="006511A8"/>
    <w:rsid w:val="0067378F"/>
    <w:rsid w:val="00691000"/>
    <w:rsid w:val="006B0BA0"/>
    <w:rsid w:val="006B12C0"/>
    <w:rsid w:val="00714DDE"/>
    <w:rsid w:val="0074491A"/>
    <w:rsid w:val="007557E4"/>
    <w:rsid w:val="00756356"/>
    <w:rsid w:val="00774434"/>
    <w:rsid w:val="007756AB"/>
    <w:rsid w:val="00781D6C"/>
    <w:rsid w:val="007A149B"/>
    <w:rsid w:val="007C244C"/>
    <w:rsid w:val="00801A7F"/>
    <w:rsid w:val="00814260"/>
    <w:rsid w:val="008247C4"/>
    <w:rsid w:val="00826BFA"/>
    <w:rsid w:val="00853F5C"/>
    <w:rsid w:val="00874BB5"/>
    <w:rsid w:val="008779C2"/>
    <w:rsid w:val="00887632"/>
    <w:rsid w:val="00895F4A"/>
    <w:rsid w:val="008973E6"/>
    <w:rsid w:val="008B6B5F"/>
    <w:rsid w:val="008E1EB5"/>
    <w:rsid w:val="00926E1B"/>
    <w:rsid w:val="00932BA3"/>
    <w:rsid w:val="00947EBA"/>
    <w:rsid w:val="009718CC"/>
    <w:rsid w:val="009A4141"/>
    <w:rsid w:val="009E3161"/>
    <w:rsid w:val="00A16A3E"/>
    <w:rsid w:val="00A263D3"/>
    <w:rsid w:val="00A365A2"/>
    <w:rsid w:val="00A37FDF"/>
    <w:rsid w:val="00A42C5E"/>
    <w:rsid w:val="00A75476"/>
    <w:rsid w:val="00A87F41"/>
    <w:rsid w:val="00AC57C3"/>
    <w:rsid w:val="00AD0172"/>
    <w:rsid w:val="00B07A8A"/>
    <w:rsid w:val="00B66676"/>
    <w:rsid w:val="00B73416"/>
    <w:rsid w:val="00B77477"/>
    <w:rsid w:val="00B94EFE"/>
    <w:rsid w:val="00B954B8"/>
    <w:rsid w:val="00BA570D"/>
    <w:rsid w:val="00BB6932"/>
    <w:rsid w:val="00BB7B52"/>
    <w:rsid w:val="00BD2990"/>
    <w:rsid w:val="00C07069"/>
    <w:rsid w:val="00C123EE"/>
    <w:rsid w:val="00C13CB6"/>
    <w:rsid w:val="00C20386"/>
    <w:rsid w:val="00CC71EF"/>
    <w:rsid w:val="00CE7CD2"/>
    <w:rsid w:val="00D0457A"/>
    <w:rsid w:val="00D35977"/>
    <w:rsid w:val="00D43F5A"/>
    <w:rsid w:val="00D87F07"/>
    <w:rsid w:val="00D9142A"/>
    <w:rsid w:val="00D9735E"/>
    <w:rsid w:val="00DB7F6F"/>
    <w:rsid w:val="00DF4FB8"/>
    <w:rsid w:val="00E27034"/>
    <w:rsid w:val="00E32D4B"/>
    <w:rsid w:val="00E41116"/>
    <w:rsid w:val="00E414EF"/>
    <w:rsid w:val="00E455A5"/>
    <w:rsid w:val="00E835A1"/>
    <w:rsid w:val="00E83E2D"/>
    <w:rsid w:val="00ED41E5"/>
    <w:rsid w:val="00EE332B"/>
    <w:rsid w:val="00EF4610"/>
    <w:rsid w:val="00EF6CB2"/>
    <w:rsid w:val="00F01A5C"/>
    <w:rsid w:val="00F40513"/>
    <w:rsid w:val="00F424A9"/>
    <w:rsid w:val="00F5729F"/>
    <w:rsid w:val="00F65587"/>
    <w:rsid w:val="00F77E06"/>
    <w:rsid w:val="00F9021F"/>
    <w:rsid w:val="00FA7D60"/>
    <w:rsid w:val="00FB260A"/>
    <w:rsid w:val="00FC7CE6"/>
    <w:rsid w:val="00FD6497"/>
    <w:rsid w:val="00FF2EC3"/>
    <w:rsid w:val="012A4E2C"/>
    <w:rsid w:val="02DC2156"/>
    <w:rsid w:val="03CC3F79"/>
    <w:rsid w:val="05CD222A"/>
    <w:rsid w:val="06084616"/>
    <w:rsid w:val="06A9292B"/>
    <w:rsid w:val="08471E20"/>
    <w:rsid w:val="08EF7A39"/>
    <w:rsid w:val="0A5844F0"/>
    <w:rsid w:val="0BE91440"/>
    <w:rsid w:val="0C364870"/>
    <w:rsid w:val="0CCE2B10"/>
    <w:rsid w:val="0EB92622"/>
    <w:rsid w:val="0EE41D10"/>
    <w:rsid w:val="11386E78"/>
    <w:rsid w:val="11B73ED3"/>
    <w:rsid w:val="11DF729D"/>
    <w:rsid w:val="12277661"/>
    <w:rsid w:val="133D4C82"/>
    <w:rsid w:val="13D12EE6"/>
    <w:rsid w:val="13EE1CEA"/>
    <w:rsid w:val="13F37300"/>
    <w:rsid w:val="16B27361"/>
    <w:rsid w:val="174D6D27"/>
    <w:rsid w:val="18CE5C46"/>
    <w:rsid w:val="1A2A2D28"/>
    <w:rsid w:val="1A611AD4"/>
    <w:rsid w:val="1B43291B"/>
    <w:rsid w:val="1B9C64CF"/>
    <w:rsid w:val="1E4A1472"/>
    <w:rsid w:val="1E6C7E3E"/>
    <w:rsid w:val="20346CD6"/>
    <w:rsid w:val="206E043A"/>
    <w:rsid w:val="21B36690"/>
    <w:rsid w:val="21B75E11"/>
    <w:rsid w:val="233A0AA7"/>
    <w:rsid w:val="2443573A"/>
    <w:rsid w:val="25496D80"/>
    <w:rsid w:val="27095D8A"/>
    <w:rsid w:val="273250B0"/>
    <w:rsid w:val="27750300"/>
    <w:rsid w:val="277B51EB"/>
    <w:rsid w:val="279E6744"/>
    <w:rsid w:val="2AB253C7"/>
    <w:rsid w:val="2BAD2B02"/>
    <w:rsid w:val="2C6C6F3C"/>
    <w:rsid w:val="2E0C3040"/>
    <w:rsid w:val="2E40384E"/>
    <w:rsid w:val="2E826991"/>
    <w:rsid w:val="2F083808"/>
    <w:rsid w:val="2F0B058C"/>
    <w:rsid w:val="2F7C5FA4"/>
    <w:rsid w:val="2FDD0EDC"/>
    <w:rsid w:val="31A33CBC"/>
    <w:rsid w:val="32F32A21"/>
    <w:rsid w:val="34337579"/>
    <w:rsid w:val="344833B2"/>
    <w:rsid w:val="35146A33"/>
    <w:rsid w:val="35D32F7D"/>
    <w:rsid w:val="3843385B"/>
    <w:rsid w:val="39CD7B28"/>
    <w:rsid w:val="3A4E0DF7"/>
    <w:rsid w:val="3D6C58AA"/>
    <w:rsid w:val="3D8F373A"/>
    <w:rsid w:val="3E6639DC"/>
    <w:rsid w:val="3FC7172D"/>
    <w:rsid w:val="3FD912E6"/>
    <w:rsid w:val="403F2E01"/>
    <w:rsid w:val="431A1904"/>
    <w:rsid w:val="442944F4"/>
    <w:rsid w:val="45413951"/>
    <w:rsid w:val="454F3408"/>
    <w:rsid w:val="46E47FFF"/>
    <w:rsid w:val="4779601E"/>
    <w:rsid w:val="493E1AE1"/>
    <w:rsid w:val="4B2238EC"/>
    <w:rsid w:val="4C6C7CEB"/>
    <w:rsid w:val="4DDD59C1"/>
    <w:rsid w:val="50370ABF"/>
    <w:rsid w:val="51A650B5"/>
    <w:rsid w:val="51FB0B52"/>
    <w:rsid w:val="52845057"/>
    <w:rsid w:val="530F63CB"/>
    <w:rsid w:val="531F075A"/>
    <w:rsid w:val="53F87A3F"/>
    <w:rsid w:val="56DA342C"/>
    <w:rsid w:val="57A01936"/>
    <w:rsid w:val="57A57FD6"/>
    <w:rsid w:val="57F01F2D"/>
    <w:rsid w:val="58D367F3"/>
    <w:rsid w:val="592B4413"/>
    <w:rsid w:val="592C1295"/>
    <w:rsid w:val="59DD74BB"/>
    <w:rsid w:val="5A8C449C"/>
    <w:rsid w:val="5B571FFB"/>
    <w:rsid w:val="5BD06662"/>
    <w:rsid w:val="5BFB00CD"/>
    <w:rsid w:val="5C452F47"/>
    <w:rsid w:val="5D086F45"/>
    <w:rsid w:val="5D4D6706"/>
    <w:rsid w:val="5E616FA9"/>
    <w:rsid w:val="60252B89"/>
    <w:rsid w:val="616C2448"/>
    <w:rsid w:val="63057E95"/>
    <w:rsid w:val="63DF2082"/>
    <w:rsid w:val="654A16B4"/>
    <w:rsid w:val="660F1D12"/>
    <w:rsid w:val="66A21530"/>
    <w:rsid w:val="67277FC8"/>
    <w:rsid w:val="677C2407"/>
    <w:rsid w:val="67C27CF0"/>
    <w:rsid w:val="68C47A98"/>
    <w:rsid w:val="68C53F3C"/>
    <w:rsid w:val="6AB2229E"/>
    <w:rsid w:val="6C7F2654"/>
    <w:rsid w:val="6CC80E6D"/>
    <w:rsid w:val="710B6BAC"/>
    <w:rsid w:val="71525B1E"/>
    <w:rsid w:val="716444DA"/>
    <w:rsid w:val="71CC633B"/>
    <w:rsid w:val="71F238C8"/>
    <w:rsid w:val="738A5B9F"/>
    <w:rsid w:val="741F6AAA"/>
    <w:rsid w:val="74A0585D"/>
    <w:rsid w:val="754A5489"/>
    <w:rsid w:val="763864CA"/>
    <w:rsid w:val="764D461B"/>
    <w:rsid w:val="77A7157C"/>
    <w:rsid w:val="77D048EE"/>
    <w:rsid w:val="78B143BF"/>
    <w:rsid w:val="7A035425"/>
    <w:rsid w:val="7AB465B7"/>
    <w:rsid w:val="7B215011"/>
    <w:rsid w:val="7CB63E70"/>
    <w:rsid w:val="7D221505"/>
    <w:rsid w:val="7E2B6198"/>
    <w:rsid w:val="7EF26A8C"/>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nhideWhenUsed="0" w:uiPriority="9" w:semiHidden="0"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qFormat="1"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0" w:semiHidden="0" w:name="envelope return"/>
    <w:lsdException w:qFormat="1" w:unhideWhenUsed="0" w:uiPriority="0" w:semiHidden="0" w:name="footnote reference"/>
    <w:lsdException w:qFormat="1" w:unhideWhenUsed="0" w:uiPriority="99" w:semiHidden="0" w:name="annotation reference"/>
    <w:lsdException w:qFormat="1" w:unhideWhenUsed="0" w:uiPriority="0" w:semiHidden="0"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nhideWhenUsed="0" w:uiPriority="0" w:semiHidden="0" w:name="Default Paragraph Font"/>
    <w:lsdException w:qFormat="1"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Calibri" w:hAnsi="Calibri" w:eastAsia="宋体" w:cs="Calibri"/>
      <w:kern w:val="2"/>
      <w:sz w:val="21"/>
      <w:szCs w:val="24"/>
      <w:lang w:val="en-US" w:eastAsia="zh-CN" w:bidi="ar-SA"/>
    </w:rPr>
  </w:style>
  <w:style w:type="paragraph" w:styleId="3">
    <w:name w:val="heading 1"/>
    <w:basedOn w:val="1"/>
    <w:next w:val="1"/>
    <w:autoRedefine/>
    <w:qFormat/>
    <w:uiPriority w:val="0"/>
    <w:pPr>
      <w:keepNext/>
      <w:keepLines/>
      <w:widowControl w:val="0"/>
      <w:spacing w:before="340" w:after="330" w:line="578" w:lineRule="auto"/>
      <w:outlineLvl w:val="0"/>
    </w:pPr>
    <w:rPr>
      <w:b/>
      <w:bCs/>
      <w:kern w:val="44"/>
      <w:sz w:val="44"/>
    </w:rPr>
  </w:style>
  <w:style w:type="paragraph" w:styleId="4">
    <w:name w:val="heading 2"/>
    <w:basedOn w:val="1"/>
    <w:next w:val="1"/>
    <w:qFormat/>
    <w:uiPriority w:val="0"/>
    <w:pPr>
      <w:keepNext/>
      <w:keepLines/>
      <w:widowControl w:val="0"/>
      <w:spacing w:before="260" w:after="260" w:line="415" w:lineRule="auto"/>
      <w:outlineLvl w:val="1"/>
    </w:pPr>
    <w:rPr>
      <w:rFonts w:ascii="Times New Roman" w:hAnsi="Times New Roman" w:eastAsia="黑体"/>
      <w:b/>
      <w:sz w:val="32"/>
    </w:rPr>
  </w:style>
  <w:style w:type="paragraph" w:styleId="5">
    <w:name w:val="heading 3"/>
    <w:basedOn w:val="1"/>
    <w:next w:val="1"/>
    <w:autoRedefine/>
    <w:qFormat/>
    <w:uiPriority w:val="0"/>
    <w:pPr>
      <w:keepNext/>
      <w:keepLines/>
      <w:widowControl w:val="0"/>
      <w:spacing w:before="260" w:after="260" w:line="415" w:lineRule="auto"/>
      <w:outlineLvl w:val="2"/>
    </w:pPr>
    <w:rPr>
      <w:b/>
      <w:sz w:val="32"/>
    </w:rPr>
  </w:style>
  <w:style w:type="paragraph" w:styleId="6">
    <w:name w:val="heading 4"/>
    <w:basedOn w:val="1"/>
    <w:next w:val="1"/>
    <w:semiHidden/>
    <w:unhideWhenUsed/>
    <w:qFormat/>
    <w:uiPriority w:val="9"/>
    <w:pPr>
      <w:spacing w:before="0" w:beforeAutospacing="1" w:after="0" w:afterAutospacing="1"/>
      <w:jc w:val="left"/>
    </w:pPr>
    <w:rPr>
      <w:rFonts w:hint="eastAsia" w:ascii="宋体" w:hAnsi="宋体" w:eastAsia="宋体" w:cs="宋体"/>
      <w:b/>
      <w:bCs/>
      <w:kern w:val="0"/>
      <w:sz w:val="24"/>
      <w:szCs w:val="24"/>
      <w:lang w:val="en-US" w:eastAsia="zh-CN" w:bidi="ar"/>
    </w:rPr>
  </w:style>
  <w:style w:type="paragraph" w:styleId="7">
    <w:name w:val="heading 7"/>
    <w:basedOn w:val="1"/>
    <w:next w:val="1"/>
    <w:link w:val="26"/>
    <w:autoRedefine/>
    <w:qFormat/>
    <w:uiPriority w:val="9"/>
    <w:pPr>
      <w:keepNext/>
      <w:keepLines/>
      <w:spacing w:before="240" w:after="64" w:line="320" w:lineRule="auto"/>
      <w:outlineLvl w:val="6"/>
    </w:pPr>
    <w:rPr>
      <w:b/>
      <w:bCs/>
      <w:sz w:val="24"/>
    </w:rPr>
  </w:style>
  <w:style w:type="character" w:default="1" w:styleId="18">
    <w:name w:val="Default Paragraph Font"/>
    <w:autoRedefine/>
    <w:qFormat/>
    <w:uiPriority w:val="0"/>
  </w:style>
  <w:style w:type="table" w:default="1" w:styleId="16">
    <w:name w:val="Normal Table"/>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customStyle="1" w:styleId="2">
    <w:name w:val="正文-公1"/>
    <w:autoRedefine/>
    <w:qFormat/>
    <w:uiPriority w:val="99"/>
    <w:pPr>
      <w:widowControl w:val="0"/>
      <w:suppressAutoHyphens/>
      <w:jc w:val="both"/>
    </w:pPr>
    <w:rPr>
      <w:rFonts w:ascii="Calibri" w:hAnsi="Calibri" w:eastAsia="宋体" w:cs="Times New Roman"/>
      <w:kern w:val="2"/>
      <w:sz w:val="21"/>
      <w:szCs w:val="24"/>
      <w:lang w:val="en-US" w:eastAsia="zh-CN" w:bidi="ar-SA"/>
    </w:rPr>
  </w:style>
  <w:style w:type="paragraph" w:styleId="8">
    <w:name w:val="annotation text"/>
    <w:basedOn w:val="1"/>
    <w:link w:val="27"/>
    <w:autoRedefine/>
    <w:unhideWhenUsed/>
    <w:qFormat/>
    <w:uiPriority w:val="99"/>
    <w:pPr>
      <w:adjustRightInd w:val="0"/>
      <w:spacing w:line="400" w:lineRule="exact"/>
      <w:jc w:val="left"/>
    </w:pPr>
    <w:rPr>
      <w:rFonts w:ascii="Calibri" w:hAnsi="Calibri"/>
      <w:szCs w:val="21"/>
    </w:rPr>
  </w:style>
  <w:style w:type="paragraph" w:styleId="9">
    <w:name w:val="Body Text"/>
    <w:basedOn w:val="1"/>
    <w:link w:val="59"/>
    <w:semiHidden/>
    <w:unhideWhenUsed/>
    <w:qFormat/>
    <w:uiPriority w:val="99"/>
    <w:pPr>
      <w:spacing w:after="120" w:afterLines="0" w:afterAutospacing="0"/>
    </w:pPr>
  </w:style>
  <w:style w:type="paragraph" w:styleId="10">
    <w:name w:val="Balloon Text"/>
    <w:basedOn w:val="1"/>
    <w:link w:val="28"/>
    <w:autoRedefine/>
    <w:unhideWhenUsed/>
    <w:qFormat/>
    <w:uiPriority w:val="99"/>
    <w:rPr>
      <w:sz w:val="18"/>
      <w:szCs w:val="18"/>
    </w:rPr>
  </w:style>
  <w:style w:type="paragraph" w:styleId="11">
    <w:name w:val="footer"/>
    <w:basedOn w:val="1"/>
    <w:link w:val="29"/>
    <w:autoRedefine/>
    <w:qFormat/>
    <w:uiPriority w:val="99"/>
    <w:pPr>
      <w:tabs>
        <w:tab w:val="center" w:pos="4153"/>
        <w:tab w:val="right" w:pos="8306"/>
      </w:tabs>
      <w:snapToGrid w:val="0"/>
      <w:jc w:val="left"/>
    </w:pPr>
    <w:rPr>
      <w:sz w:val="18"/>
      <w:szCs w:val="18"/>
    </w:rPr>
  </w:style>
  <w:style w:type="paragraph" w:styleId="12">
    <w:name w:val="envelope return"/>
    <w:basedOn w:val="1"/>
    <w:autoRedefine/>
    <w:qFormat/>
    <w:uiPriority w:val="0"/>
    <w:pPr>
      <w:snapToGrid w:val="0"/>
    </w:pPr>
    <w:rPr>
      <w:rFonts w:ascii="Times New Roman" w:hAnsi="Times New Roman"/>
    </w:rPr>
  </w:style>
  <w:style w:type="paragraph" w:styleId="13">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14">
    <w:name w:val="toc 4"/>
    <w:basedOn w:val="1"/>
    <w:next w:val="1"/>
    <w:autoRedefine/>
    <w:unhideWhenUsed/>
    <w:qFormat/>
    <w:uiPriority w:val="39"/>
    <w:pPr>
      <w:tabs>
        <w:tab w:val="right" w:leader="dot" w:pos="9344"/>
      </w:tabs>
      <w:adjustRightInd w:val="0"/>
      <w:spacing w:line="300" w:lineRule="exact"/>
      <w:ind w:left="629"/>
    </w:pPr>
    <w:rPr>
      <w:rFonts w:ascii="宋体" w:hAnsi="Calibri"/>
      <w:szCs w:val="21"/>
    </w:rPr>
  </w:style>
  <w:style w:type="paragraph" w:styleId="15">
    <w:name w:val="Normal (Web)"/>
    <w:basedOn w:val="1"/>
    <w:autoRedefine/>
    <w:semiHidden/>
    <w:unhideWhenUsed/>
    <w:qFormat/>
    <w:uiPriority w:val="99"/>
    <w:pPr>
      <w:spacing w:before="0" w:beforeAutospacing="1" w:after="0" w:afterAutospacing="1"/>
      <w:ind w:left="0" w:right="0"/>
      <w:jc w:val="left"/>
    </w:pPr>
    <w:rPr>
      <w:kern w:val="0"/>
      <w:sz w:val="24"/>
      <w:lang w:val="en-US" w:eastAsia="zh-CN" w:bidi="ar"/>
    </w:rPr>
  </w:style>
  <w:style w:type="table" w:styleId="17">
    <w:name w:val="Table Grid"/>
    <w:basedOn w:val="16"/>
    <w:autoRedefine/>
    <w:qFormat/>
    <w:uiPriority w:val="3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styleId="19">
    <w:name w:val="Strong"/>
    <w:basedOn w:val="18"/>
    <w:autoRedefine/>
    <w:qFormat/>
    <w:uiPriority w:val="22"/>
    <w:rPr>
      <w:b/>
    </w:rPr>
  </w:style>
  <w:style w:type="character" w:styleId="20">
    <w:name w:val="FollowedHyperlink"/>
    <w:basedOn w:val="18"/>
    <w:semiHidden/>
    <w:unhideWhenUsed/>
    <w:qFormat/>
    <w:uiPriority w:val="99"/>
    <w:rPr>
      <w:color w:val="954F72"/>
      <w:u w:val="single"/>
    </w:rPr>
  </w:style>
  <w:style w:type="character" w:styleId="21">
    <w:name w:val="line number"/>
    <w:autoRedefine/>
    <w:qFormat/>
    <w:uiPriority w:val="0"/>
  </w:style>
  <w:style w:type="character" w:styleId="22">
    <w:name w:val="Hyperlink"/>
    <w:autoRedefine/>
    <w:qFormat/>
    <w:uiPriority w:val="0"/>
    <w:rPr>
      <w:rFonts w:ascii="宋体" w:eastAsia="宋体"/>
      <w:color w:val="auto"/>
      <w:spacing w:val="0"/>
      <w:w w:val="100"/>
      <w:position w:val="0"/>
      <w:sz w:val="21"/>
      <w:u w:val="none"/>
      <w:vertAlign w:val="baseline"/>
    </w:rPr>
  </w:style>
  <w:style w:type="character" w:styleId="23">
    <w:name w:val="annotation reference"/>
    <w:autoRedefine/>
    <w:qFormat/>
    <w:uiPriority w:val="99"/>
    <w:rPr>
      <w:sz w:val="21"/>
    </w:rPr>
  </w:style>
  <w:style w:type="character" w:styleId="24">
    <w:name w:val="footnote reference"/>
    <w:autoRedefine/>
    <w:qFormat/>
    <w:uiPriority w:val="0"/>
    <w:rPr>
      <w:vertAlign w:val="superscript"/>
    </w:rPr>
  </w:style>
  <w:style w:type="paragraph" w:customStyle="1" w:styleId="25">
    <w:name w:val="BodyText2"/>
    <w:basedOn w:val="1"/>
    <w:autoRedefine/>
    <w:qFormat/>
    <w:uiPriority w:val="0"/>
    <w:pPr>
      <w:spacing w:after="120" w:line="480" w:lineRule="auto"/>
      <w:textAlignment w:val="baseline"/>
    </w:pPr>
    <w:rPr>
      <w:rFonts w:ascii="Calibri" w:hAnsi="Calibri" w:eastAsia="宋体" w:cs="Times New Roman"/>
      <w:sz w:val="32"/>
      <w:szCs w:val="32"/>
      <w:lang w:bidi="ar-SA"/>
    </w:rPr>
  </w:style>
  <w:style w:type="character" w:customStyle="1" w:styleId="26">
    <w:name w:val="标题 7 字符"/>
    <w:link w:val="7"/>
    <w:autoRedefine/>
    <w:qFormat/>
    <w:uiPriority w:val="0"/>
    <w:rPr>
      <w:rFonts w:eastAsia="宋体"/>
      <w:b/>
      <w:bCs/>
      <w:kern w:val="2"/>
      <w:sz w:val="24"/>
      <w:szCs w:val="24"/>
    </w:rPr>
  </w:style>
  <w:style w:type="character" w:customStyle="1" w:styleId="27">
    <w:name w:val="批注文字 字符"/>
    <w:link w:val="8"/>
    <w:autoRedefine/>
    <w:semiHidden/>
    <w:qFormat/>
    <w:uiPriority w:val="99"/>
    <w:rPr>
      <w:rFonts w:ascii="Calibri" w:hAnsi="Calibri" w:eastAsia="宋体"/>
      <w:kern w:val="2"/>
      <w:sz w:val="21"/>
      <w:szCs w:val="21"/>
    </w:rPr>
  </w:style>
  <w:style w:type="character" w:customStyle="1" w:styleId="28">
    <w:name w:val="批注框文本 字符"/>
    <w:link w:val="10"/>
    <w:autoRedefine/>
    <w:semiHidden/>
    <w:qFormat/>
    <w:uiPriority w:val="99"/>
    <w:rPr>
      <w:rFonts w:eastAsia="宋体"/>
      <w:kern w:val="2"/>
      <w:sz w:val="18"/>
      <w:szCs w:val="18"/>
    </w:rPr>
  </w:style>
  <w:style w:type="character" w:customStyle="1" w:styleId="29">
    <w:name w:val="页脚 字符"/>
    <w:link w:val="11"/>
    <w:autoRedefine/>
    <w:qFormat/>
    <w:locked/>
    <w:uiPriority w:val="99"/>
    <w:rPr>
      <w:rFonts w:eastAsia="宋体"/>
      <w:kern w:val="2"/>
      <w:sz w:val="18"/>
      <w:szCs w:val="18"/>
    </w:rPr>
  </w:style>
  <w:style w:type="paragraph" w:customStyle="1" w:styleId="30">
    <w:name w:val="其他标准称谓"/>
    <w:autoRedefine/>
    <w:qFormat/>
    <w:uiPriority w:val="0"/>
    <w:pPr>
      <w:spacing w:line="0" w:lineRule="atLeast"/>
      <w:jc w:val="distribute"/>
    </w:pPr>
    <w:rPr>
      <w:rFonts w:ascii="黑体" w:hAnsi="Calibri" w:eastAsia="黑体" w:cs="Calibri"/>
      <w:sz w:val="52"/>
      <w:lang w:val="en-US" w:eastAsia="zh-CN" w:bidi="ar-SA"/>
    </w:rPr>
  </w:style>
  <w:style w:type="paragraph" w:customStyle="1" w:styleId="31">
    <w:name w:val="封面标准号1"/>
    <w:autoRedefine/>
    <w:qFormat/>
    <w:uiPriority w:val="0"/>
    <w:pPr>
      <w:widowControl w:val="0"/>
      <w:kinsoku w:val="0"/>
      <w:overflowPunct w:val="0"/>
      <w:autoSpaceDE w:val="0"/>
      <w:autoSpaceDN w:val="0"/>
      <w:spacing w:before="308"/>
      <w:jc w:val="right"/>
      <w:textAlignment w:val="center"/>
    </w:pPr>
    <w:rPr>
      <w:rFonts w:ascii="Calibri" w:hAnsi="Calibri" w:eastAsia="宋体" w:cs="Calibri"/>
      <w:sz w:val="28"/>
      <w:lang w:val="en-US" w:eastAsia="zh-CN" w:bidi="ar-SA"/>
    </w:rPr>
  </w:style>
  <w:style w:type="paragraph" w:customStyle="1" w:styleId="32">
    <w:name w:val="标准文件_段"/>
    <w:link w:val="33"/>
    <w:autoRedefine/>
    <w:qFormat/>
    <w:uiPriority w:val="0"/>
    <w:pPr>
      <w:autoSpaceDE w:val="0"/>
      <w:autoSpaceDN w:val="0"/>
      <w:ind w:firstLine="200" w:firstLineChars="200"/>
      <w:jc w:val="both"/>
    </w:pPr>
    <w:rPr>
      <w:rFonts w:ascii="宋体" w:hAnsi="Calibri" w:eastAsia="宋体" w:cs="Calibri"/>
      <w:sz w:val="21"/>
      <w:lang w:val="en-US" w:eastAsia="zh-CN" w:bidi="ar-SA"/>
    </w:rPr>
  </w:style>
  <w:style w:type="character" w:customStyle="1" w:styleId="33">
    <w:name w:val="标准文件_段 Char"/>
    <w:link w:val="32"/>
    <w:autoRedefine/>
    <w:qFormat/>
    <w:uiPriority w:val="0"/>
    <w:rPr>
      <w:rFonts w:ascii="宋体" w:eastAsia="宋体"/>
      <w:sz w:val="21"/>
    </w:rPr>
  </w:style>
  <w:style w:type="paragraph" w:customStyle="1" w:styleId="34">
    <w:name w:val="标准文件_章标题"/>
    <w:next w:val="32"/>
    <w:autoRedefine/>
    <w:qFormat/>
    <w:uiPriority w:val="0"/>
    <w:pPr>
      <w:numPr>
        <w:ilvl w:val="1"/>
        <w:numId w:val="1"/>
      </w:numPr>
      <w:spacing w:before="100" w:beforeLines="100" w:after="100" w:afterLines="100"/>
      <w:jc w:val="both"/>
      <w:outlineLvl w:val="0"/>
    </w:pPr>
    <w:rPr>
      <w:rFonts w:ascii="黑体" w:hAnsi="Calibri" w:eastAsia="黑体" w:cs="Calibri"/>
      <w:sz w:val="21"/>
      <w:lang w:val="en-US" w:eastAsia="zh-CN" w:bidi="ar-SA"/>
    </w:rPr>
  </w:style>
  <w:style w:type="paragraph" w:customStyle="1" w:styleId="35">
    <w:name w:val="标准文件_二级条标题"/>
    <w:next w:val="32"/>
    <w:autoRedefine/>
    <w:qFormat/>
    <w:uiPriority w:val="0"/>
    <w:pPr>
      <w:widowControl w:val="0"/>
      <w:spacing w:before="50" w:beforeLines="50" w:after="50" w:afterLines="50"/>
      <w:jc w:val="both"/>
      <w:outlineLvl w:val="2"/>
    </w:pPr>
    <w:rPr>
      <w:rFonts w:ascii="黑体" w:hAnsi="Calibri" w:eastAsia="黑体" w:cs="Calibri"/>
      <w:sz w:val="21"/>
      <w:lang w:val="en-US" w:eastAsia="zh-CN" w:bidi="ar-SA"/>
    </w:rPr>
  </w:style>
  <w:style w:type="paragraph" w:customStyle="1" w:styleId="36">
    <w:name w:val="标准文件_一级条标题"/>
    <w:basedOn w:val="34"/>
    <w:next w:val="32"/>
    <w:autoRedefine/>
    <w:qFormat/>
    <w:uiPriority w:val="0"/>
    <w:pPr>
      <w:numPr>
        <w:ilvl w:val="2"/>
        <w:numId w:val="1"/>
      </w:numPr>
      <w:spacing w:before="50" w:beforeLines="0" w:after="50" w:afterLines="0"/>
      <w:outlineLvl w:val="1"/>
    </w:pPr>
  </w:style>
  <w:style w:type="paragraph" w:customStyle="1" w:styleId="37">
    <w:name w:val="标准文件_三级条标题"/>
    <w:basedOn w:val="35"/>
    <w:next w:val="32"/>
    <w:autoRedefine/>
    <w:qFormat/>
    <w:uiPriority w:val="0"/>
    <w:pPr>
      <w:numPr>
        <w:ilvl w:val="4"/>
        <w:numId w:val="1"/>
      </w:numPr>
      <w:spacing w:before="50" w:beforeLines="50" w:after="50" w:afterLines="50"/>
      <w:jc w:val="both"/>
      <w:outlineLvl w:val="3"/>
    </w:pPr>
    <w:rPr>
      <w:rFonts w:ascii="黑体" w:eastAsia="黑体"/>
      <w:sz w:val="21"/>
      <w:lang w:val="en-US" w:eastAsia="zh-CN" w:bidi="ar-SA"/>
    </w:rPr>
  </w:style>
  <w:style w:type="paragraph" w:customStyle="1" w:styleId="38">
    <w:name w:val="标准文件_四级条标题"/>
    <w:next w:val="32"/>
    <w:autoRedefine/>
    <w:qFormat/>
    <w:uiPriority w:val="0"/>
    <w:pPr>
      <w:widowControl w:val="0"/>
      <w:numPr>
        <w:ilvl w:val="5"/>
        <w:numId w:val="1"/>
      </w:numPr>
      <w:spacing w:before="50" w:beforeLines="50" w:after="50" w:afterLines="50"/>
      <w:jc w:val="both"/>
      <w:outlineLvl w:val="4"/>
    </w:pPr>
    <w:rPr>
      <w:rFonts w:ascii="黑体" w:hAnsi="Calibri" w:eastAsia="黑体" w:cs="Calibri"/>
      <w:sz w:val="21"/>
      <w:lang w:val="en-US" w:eastAsia="zh-CN" w:bidi="ar-SA"/>
    </w:rPr>
  </w:style>
  <w:style w:type="paragraph" w:customStyle="1" w:styleId="39">
    <w:name w:val="标准文件_五级条标题"/>
    <w:next w:val="35"/>
    <w:autoRedefine/>
    <w:qFormat/>
    <w:uiPriority w:val="0"/>
    <w:pPr>
      <w:widowControl w:val="0"/>
      <w:numPr>
        <w:ilvl w:val="6"/>
        <w:numId w:val="1"/>
      </w:numPr>
      <w:spacing w:before="50" w:beforeLines="50" w:after="50" w:afterLines="50"/>
      <w:jc w:val="both"/>
      <w:outlineLvl w:val="5"/>
    </w:pPr>
    <w:rPr>
      <w:rFonts w:ascii="黑体" w:hAnsi="Calibri" w:eastAsia="黑体" w:cs="Calibri"/>
      <w:sz w:val="21"/>
      <w:lang w:val="en-US" w:eastAsia="zh-CN" w:bidi="ar-SA"/>
    </w:rPr>
  </w:style>
  <w:style w:type="paragraph" w:customStyle="1" w:styleId="40">
    <w:name w:val="前言标题"/>
    <w:next w:val="1"/>
    <w:autoRedefine/>
    <w:qFormat/>
    <w:uiPriority w:val="0"/>
    <w:pPr>
      <w:numPr>
        <w:ilvl w:val="0"/>
        <w:numId w:val="1"/>
      </w:numPr>
      <w:shd w:val="clear" w:color="FFFFFF" w:fill="FFFFFF"/>
      <w:spacing w:before="540" w:after="600"/>
      <w:jc w:val="center"/>
      <w:outlineLvl w:val="0"/>
    </w:pPr>
    <w:rPr>
      <w:rFonts w:ascii="黑体" w:hAnsi="Calibri" w:eastAsia="黑体" w:cs="Calibri"/>
      <w:sz w:val="32"/>
      <w:lang w:val="en-US" w:eastAsia="zh-CN" w:bidi="ar-SA"/>
    </w:rPr>
  </w:style>
  <w:style w:type="paragraph" w:customStyle="1" w:styleId="41">
    <w:name w:val="标准文件_四级无标题"/>
    <w:basedOn w:val="38"/>
    <w:autoRedefine/>
    <w:qFormat/>
    <w:uiPriority w:val="0"/>
    <w:pPr>
      <w:widowControl w:val="0"/>
      <w:numPr>
        <w:ilvl w:val="5"/>
        <w:numId w:val="1"/>
      </w:numPr>
      <w:spacing w:before="50" w:after="50"/>
      <w:jc w:val="both"/>
    </w:pPr>
    <w:rPr>
      <w:rFonts w:ascii="宋体" w:hAnsi="Calibri" w:eastAsia="宋体" w:cs="Calibri"/>
      <w:sz w:val="21"/>
      <w:szCs w:val="52"/>
      <w:lang w:val="en-US" w:eastAsia="zh-CN" w:bidi="ar-SA"/>
    </w:rPr>
  </w:style>
  <w:style w:type="paragraph" w:customStyle="1" w:styleId="42">
    <w:name w:val="标准文件_三级无标题"/>
    <w:basedOn w:val="37"/>
    <w:autoRedefine/>
    <w:qFormat/>
    <w:uiPriority w:val="0"/>
    <w:pPr>
      <w:numPr>
        <w:ilvl w:val="4"/>
        <w:numId w:val="1"/>
      </w:numPr>
      <w:spacing w:before="50" w:after="50"/>
      <w:jc w:val="both"/>
    </w:pPr>
    <w:rPr>
      <w:rFonts w:ascii="宋体" w:eastAsia="宋体"/>
      <w:sz w:val="21"/>
      <w:lang w:val="en-US" w:eastAsia="zh-CN" w:bidi="ar-SA"/>
    </w:rPr>
  </w:style>
  <w:style w:type="paragraph" w:customStyle="1" w:styleId="43">
    <w:name w:val="标准文件_正文表标题"/>
    <w:autoRedefine/>
    <w:qFormat/>
    <w:uiPriority w:val="0"/>
    <w:pPr>
      <w:numPr>
        <w:ilvl w:val="0"/>
        <w:numId w:val="2"/>
      </w:numPr>
      <w:tabs>
        <w:tab w:val="left" w:pos="0"/>
      </w:tabs>
      <w:spacing w:before="50" w:beforeLines="50" w:after="50" w:afterLines="50"/>
      <w:jc w:val="center"/>
    </w:pPr>
    <w:rPr>
      <w:rFonts w:ascii="黑体" w:hAnsi="Calibri" w:eastAsia="黑体" w:cs="Calibri"/>
      <w:sz w:val="21"/>
      <w:lang w:val="en-US" w:eastAsia="zh-CN" w:bidi="ar-SA"/>
    </w:rPr>
  </w:style>
  <w:style w:type="character" w:customStyle="1" w:styleId="44">
    <w:name w:val="font11"/>
    <w:autoRedefine/>
    <w:qFormat/>
    <w:uiPriority w:val="0"/>
    <w:rPr>
      <w:rFonts w:ascii="等线" w:eastAsia="等线"/>
      <w:b/>
      <w:bCs/>
      <w:color w:val="FF0000"/>
      <w:sz w:val="22"/>
      <w:szCs w:val="22"/>
      <w:u w:val="none"/>
    </w:rPr>
  </w:style>
  <w:style w:type="character" w:customStyle="1" w:styleId="45">
    <w:name w:val="font01"/>
    <w:autoRedefine/>
    <w:qFormat/>
    <w:uiPriority w:val="0"/>
    <w:rPr>
      <w:rFonts w:ascii="等线" w:eastAsia="等线"/>
      <w:color w:val="000000"/>
      <w:sz w:val="22"/>
      <w:szCs w:val="22"/>
      <w:u w:val="none"/>
    </w:rPr>
  </w:style>
  <w:style w:type="paragraph" w:customStyle="1" w:styleId="46">
    <w:name w:val="段"/>
    <w:autoRedefine/>
    <w:qFormat/>
    <w:uiPriority w:val="0"/>
    <w:pPr>
      <w:autoSpaceDE w:val="0"/>
      <w:autoSpaceDN w:val="0"/>
      <w:ind w:firstLine="200" w:firstLineChars="200"/>
      <w:jc w:val="both"/>
    </w:pPr>
    <w:rPr>
      <w:rFonts w:ascii="宋体" w:hAnsi="Calibri" w:eastAsia="宋体" w:cs="Calibri"/>
      <w:sz w:val="21"/>
      <w:lang w:val="en-US" w:eastAsia="zh-CN" w:bidi="ar-SA"/>
    </w:rPr>
  </w:style>
  <w:style w:type="paragraph" w:customStyle="1" w:styleId="47">
    <w:name w:val="二级无"/>
    <w:basedOn w:val="1"/>
    <w:autoRedefine/>
    <w:qFormat/>
    <w:uiPriority w:val="0"/>
    <w:pPr>
      <w:widowControl/>
      <w:numPr>
        <w:ilvl w:val="2"/>
        <w:numId w:val="3"/>
      </w:numPr>
      <w:tabs>
        <w:tab w:val="left" w:pos="780"/>
      </w:tabs>
      <w:jc w:val="left"/>
      <w:outlineLvl w:val="3"/>
    </w:pPr>
    <w:rPr>
      <w:rFonts w:ascii="宋体"/>
      <w:kern w:val="0"/>
      <w:szCs w:val="21"/>
    </w:rPr>
  </w:style>
  <w:style w:type="paragraph" w:customStyle="1" w:styleId="48">
    <w:name w:val="标准文件_二级无标题"/>
    <w:basedOn w:val="35"/>
    <w:autoRedefine/>
    <w:qFormat/>
    <w:uiPriority w:val="0"/>
    <w:pPr>
      <w:numPr>
        <w:ilvl w:val="3"/>
        <w:numId w:val="4"/>
      </w:numPr>
      <w:tabs>
        <w:tab w:val="left" w:pos="1200"/>
      </w:tabs>
      <w:spacing w:before="0" w:beforeLines="0" w:after="0" w:afterLines="0"/>
      <w:outlineLvl w:val="9"/>
    </w:pPr>
    <w:rPr>
      <w:rFonts w:ascii="宋体" w:eastAsia="宋体"/>
    </w:rPr>
  </w:style>
  <w:style w:type="paragraph" w:customStyle="1" w:styleId="49">
    <w:name w:val="Char Char Char Char"/>
    <w:basedOn w:val="1"/>
    <w:autoRedefine/>
    <w:qFormat/>
    <w:uiPriority w:val="0"/>
  </w:style>
  <w:style w:type="paragraph" w:customStyle="1" w:styleId="50">
    <w:name w:val="标准文件_数字编号列项（二级）"/>
    <w:autoRedefine/>
    <w:qFormat/>
    <w:uiPriority w:val="0"/>
    <w:pPr>
      <w:numPr>
        <w:ilvl w:val="1"/>
        <w:numId w:val="5"/>
      </w:numPr>
      <w:jc w:val="both"/>
    </w:pPr>
    <w:rPr>
      <w:rFonts w:ascii="宋体" w:hAnsi="Calibri" w:eastAsia="宋体" w:cs="Calibri"/>
      <w:sz w:val="21"/>
      <w:lang w:val="en-US" w:eastAsia="zh-CN" w:bidi="ar-SA"/>
    </w:rPr>
  </w:style>
  <w:style w:type="paragraph" w:customStyle="1" w:styleId="51">
    <w:name w:val="标准文件_编号列项（三级）"/>
    <w:autoRedefine/>
    <w:qFormat/>
    <w:uiPriority w:val="0"/>
    <w:pPr>
      <w:numPr>
        <w:ilvl w:val="2"/>
        <w:numId w:val="5"/>
      </w:numPr>
    </w:pPr>
    <w:rPr>
      <w:rFonts w:ascii="宋体" w:hAnsi="Calibri" w:eastAsia="宋体" w:cs="Calibri"/>
      <w:sz w:val="21"/>
      <w:lang w:val="en-US" w:eastAsia="zh-CN" w:bidi="ar-SA"/>
    </w:rPr>
  </w:style>
  <w:style w:type="paragraph" w:customStyle="1" w:styleId="52">
    <w:name w:val="标准文件_字母编号列项（一级）"/>
    <w:autoRedefine/>
    <w:qFormat/>
    <w:uiPriority w:val="0"/>
    <w:pPr>
      <w:numPr>
        <w:ilvl w:val="0"/>
        <w:numId w:val="5"/>
      </w:numPr>
      <w:jc w:val="both"/>
    </w:pPr>
    <w:rPr>
      <w:rFonts w:ascii="宋体" w:hAnsi="Calibri" w:eastAsia="宋体" w:cs="Calibri"/>
      <w:sz w:val="21"/>
      <w:lang w:val="en-US" w:eastAsia="zh-CN" w:bidi="ar-SA"/>
    </w:rPr>
  </w:style>
  <w:style w:type="paragraph" w:customStyle="1" w:styleId="53">
    <w:name w:val="标准文件_术语条一"/>
    <w:basedOn w:val="1"/>
    <w:next w:val="32"/>
    <w:autoRedefine/>
    <w:qFormat/>
    <w:uiPriority w:val="0"/>
    <w:pPr>
      <w:widowControl/>
    </w:pPr>
    <w:rPr>
      <w:rFonts w:ascii="宋体"/>
      <w:kern w:val="0"/>
      <w:szCs w:val="20"/>
    </w:rPr>
  </w:style>
  <w:style w:type="paragraph" w:customStyle="1" w:styleId="54">
    <w:name w:val="abstract"/>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55">
    <w:name w:val="abstract_more"/>
    <w:basedOn w:val="1"/>
    <w:autoRedefine/>
    <w:qFormat/>
    <w:uiPriority w:val="0"/>
    <w:pPr>
      <w:widowControl/>
      <w:spacing w:before="100" w:beforeAutospacing="1" w:after="100" w:afterAutospacing="1"/>
      <w:jc w:val="left"/>
    </w:pPr>
    <w:rPr>
      <w:rFonts w:ascii="宋体" w:hAnsi="宋体" w:cs="宋体"/>
      <w:kern w:val="0"/>
      <w:sz w:val="24"/>
    </w:rPr>
  </w:style>
  <w:style w:type="paragraph" w:styleId="56">
    <w:name w:val="No Spacing"/>
    <w:autoRedefine/>
    <w:qFormat/>
    <w:uiPriority w:val="99"/>
    <w:pPr>
      <w:widowControl w:val="0"/>
      <w:jc w:val="both"/>
    </w:pPr>
    <w:rPr>
      <w:rFonts w:ascii="Calibri" w:hAnsi="Calibri" w:eastAsia="宋体" w:cs="Times New Roman"/>
      <w:kern w:val="2"/>
      <w:sz w:val="21"/>
      <w:szCs w:val="24"/>
      <w:lang w:val="en-US" w:eastAsia="zh-CN" w:bidi="ar-SA"/>
    </w:rPr>
  </w:style>
  <w:style w:type="paragraph" w:customStyle="1" w:styleId="57">
    <w:name w:val="标准文件_一级项"/>
    <w:autoRedefine/>
    <w:qFormat/>
    <w:uiPriority w:val="0"/>
    <w:pPr>
      <w:numPr>
        <w:ilvl w:val="0"/>
        <w:numId w:val="6"/>
      </w:numPr>
    </w:pPr>
    <w:rPr>
      <w:rFonts w:ascii="宋体" w:hAnsi="Times New Roman" w:eastAsia="宋体" w:cs="Times New Roman"/>
      <w:sz w:val="21"/>
      <w:lang w:val="en-US" w:eastAsia="zh-CN" w:bidi="ar-SA"/>
    </w:rPr>
  </w:style>
  <w:style w:type="paragraph" w:customStyle="1" w:styleId="58">
    <w:name w:val="标准文件_一级无标题"/>
    <w:basedOn w:val="36"/>
    <w:qFormat/>
    <w:uiPriority w:val="0"/>
    <w:pPr>
      <w:spacing w:before="0" w:beforeLines="0" w:after="0" w:afterLines="0"/>
      <w:outlineLvl w:val="9"/>
    </w:pPr>
    <w:rPr>
      <w:rFonts w:ascii="宋体" w:eastAsia="宋体"/>
    </w:rPr>
  </w:style>
  <w:style w:type="character" w:customStyle="1" w:styleId="59">
    <w:name w:val="正文文本 字符"/>
    <w:basedOn w:val="18"/>
    <w:link w:val="9"/>
    <w:qFormat/>
    <w:uiPriority w:val="0"/>
    <w:rPr>
      <w:rFonts w:hint="default" w:ascii="Calibri" w:hAnsi="Calibri" w:cs="Calibri"/>
      <w:kern w:val="2"/>
      <w:sz w:val="21"/>
      <w:szCs w:val="21"/>
    </w:rPr>
  </w:style>
  <w:style w:type="paragraph" w:customStyle="1" w:styleId="60">
    <w:name w:val="标准文件_注："/>
    <w:basedOn w:val="1"/>
    <w:qFormat/>
    <w:uiPriority w:val="0"/>
    <w:pPr>
      <w:keepNext w:val="0"/>
      <w:keepLines w:val="0"/>
      <w:widowControl w:val="0"/>
      <w:numPr>
        <w:ilvl w:val="0"/>
        <w:numId w:val="7"/>
      </w:numPr>
      <w:suppressLineNumbers w:val="0"/>
      <w:autoSpaceDE w:val="0"/>
      <w:autoSpaceDN w:val="0"/>
      <w:spacing w:before="0" w:beforeAutospacing="0" w:after="0" w:afterAutospacing="0"/>
      <w:ind w:left="737" w:right="0" w:hanging="374"/>
      <w:jc w:val="both"/>
    </w:pPr>
    <w:rPr>
      <w:rFonts w:hint="eastAsia" w:ascii="宋体" w:hAnsi="Times New Roman" w:eastAsia="宋体" w:cs="Times New Roman"/>
      <w:kern w:val="0"/>
      <w:sz w:val="18"/>
      <w:szCs w:val="18"/>
      <w:lang w:val="en-US" w:eastAsia="zh-CN" w:bidi="ar"/>
    </w:rPr>
  </w:style>
  <w:style w:type="paragraph" w:styleId="61">
    <w:name w:val="List Paragraph"/>
    <w:basedOn w:val="1"/>
    <w:qFormat/>
    <w:uiPriority w:val="99"/>
    <w:pPr>
      <w:ind w:firstLine="420" w:firstLineChars="200"/>
    </w:pPr>
  </w:style>
  <w:style w:type="paragraph" w:customStyle="1" w:styleId="62">
    <w:name w:val="标准文件_附录一级条标题"/>
    <w:basedOn w:val="1"/>
    <w:qFormat/>
    <w:uiPriority w:val="0"/>
    <w:pPr>
      <w:keepNext w:val="0"/>
      <w:keepLines w:val="0"/>
      <w:widowControl w:val="0"/>
      <w:numPr>
        <w:ilvl w:val="1"/>
        <w:numId w:val="8"/>
      </w:numPr>
      <w:suppressLineNumbers w:val="0"/>
      <w:spacing w:before="50" w:beforeLines="50" w:beforeAutospacing="0" w:after="50" w:afterLines="50" w:afterAutospacing="0"/>
      <w:ind w:left="0" w:right="0" w:firstLine="0"/>
      <w:jc w:val="both"/>
      <w:outlineLvl w:val="2"/>
    </w:pPr>
    <w:rPr>
      <w:rFonts w:hint="eastAsia" w:ascii="黑体" w:hAnsi="Times New Roman" w:eastAsia="黑体" w:cs="Times New Roman"/>
      <w:kern w:val="21"/>
      <w:sz w:val="21"/>
      <w:szCs w:val="20"/>
      <w:lang w:val="en-US" w:eastAsia="zh-CN" w:bidi="ar"/>
    </w:rPr>
  </w:style>
  <w:style w:type="paragraph" w:customStyle="1" w:styleId="63">
    <w:name w:val="标准文件_附录图标题"/>
    <w:basedOn w:val="1"/>
    <w:qFormat/>
    <w:uiPriority w:val="0"/>
    <w:pPr>
      <w:keepNext w:val="0"/>
      <w:keepLines w:val="0"/>
      <w:widowControl/>
      <w:numPr>
        <w:ilvl w:val="1"/>
        <w:numId w:val="9"/>
      </w:numPr>
      <w:suppressLineNumbers w:val="0"/>
      <w:adjustRightInd w:val="0"/>
      <w:snapToGrid w:val="0"/>
      <w:spacing w:before="50" w:beforeLines="50" w:beforeAutospacing="0" w:after="50" w:afterLines="50" w:afterAutospacing="0"/>
      <w:ind w:left="0" w:right="0" w:firstLine="0"/>
      <w:jc w:val="center"/>
    </w:pPr>
    <w:rPr>
      <w:rFonts w:hint="eastAsia" w:ascii="黑体" w:hAnsi="Times New Roman" w:eastAsia="黑体" w:cs="Times New Roman"/>
      <w:kern w:val="0"/>
      <w:sz w:val="21"/>
      <w:szCs w:val="20"/>
      <w:lang w:val="en-US" w:eastAsia="zh-CN" w:bidi="ar"/>
    </w:rPr>
  </w:style>
  <w:style w:type="character" w:customStyle="1" w:styleId="64">
    <w:name w:val="15"/>
    <w:basedOn w:val="18"/>
    <w:qFormat/>
    <w:uiPriority w:val="0"/>
    <w:rPr>
      <w:rFonts w:hint="default" w:ascii="Times New Roman" w:hAnsi="Times New Roman" w:cs="Times New Roman"/>
      <w:b/>
      <w:bCs/>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22</Pages>
  <Words>11542</Words>
  <Characters>12379</Characters>
  <Lines>140</Lines>
  <Paragraphs>39</Paragraphs>
  <TotalTime>1</TotalTime>
  <ScaleCrop>false</ScaleCrop>
  <LinksUpToDate>false</LinksUpToDate>
  <CharactersWithSpaces>12502</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2023-11-07T15:48:00Z</dcterms:created>
  <dc:creator>Administrator</dc:creator>
  <cp:lastModifiedBy>XIEX</cp:lastModifiedBy>
  <cp:lastPrinted>2025-06-12T03:01:00Z</cp:lastPrinted>
  <dcterms:modified xsi:type="dcterms:W3CDTF">2025-08-29T04:14:54Z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A922D90BF3B641DA8C66AE267C36FA1E_13</vt:lpwstr>
  </property>
  <property fmtid="{D5CDD505-2E9C-101B-9397-08002B2CF9AE}" pid="4" name="KSOTemplateDocerSaveRecord">
    <vt:lpwstr>eyJoZGlkIjoiNmU0OWNhMGUyYzc2MTI5ZWY2NzM4MTVkMDAwODg0YzMiLCJ1c2VySWQiOiI2ODM5ODUzMDMifQ==</vt:lpwstr>
  </property>
</Properties>
</file>