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25AE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FF705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C84EBE7">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01.080.01</w:t>
            </w:r>
            <w:r>
              <w:rPr>
                <w:rFonts w:ascii="黑体" w:hAnsi="黑体" w:eastAsia="黑体"/>
                <w:sz w:val="21"/>
                <w:szCs w:val="21"/>
              </w:rPr>
              <w:fldChar w:fldCharType="end"/>
            </w:r>
            <w:bookmarkEnd w:id="0"/>
          </w:p>
        </w:tc>
      </w:tr>
      <w:tr w14:paraId="42E8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99980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6A843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069672E">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40316B2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22</w:t>
            </w:r>
            <w:r>
              <w:rPr>
                <w:rFonts w:ascii="黑体" w:hAnsi="黑体" w:eastAsia="黑体"/>
                <w:sz w:val="21"/>
                <w:szCs w:val="21"/>
              </w:rPr>
              <w:fldChar w:fldCharType="end"/>
            </w:r>
            <w:bookmarkEnd w:id="2"/>
          </w:p>
        </w:tc>
      </w:tr>
    </w:tbl>
    <w:p w14:paraId="68479982">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DD90B7C">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A9A662B">
      <w:pPr>
        <w:pStyle w:val="196"/>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004E5C7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3DD05D">
      <w:pPr>
        <w:pStyle w:val="50"/>
        <w:framePr w:w="9639" w:h="6976" w:hRule="exact" w:hSpace="0" w:vSpace="0" w:wrap="around" w:hAnchor="page" w:y="6408"/>
        <w:jc w:val="center"/>
        <w:rPr>
          <w:rFonts w:hint="eastAsia" w:ascii="黑体" w:hAnsi="黑体" w:eastAsia="黑体"/>
          <w:b w:val="0"/>
          <w:bCs w:val="0"/>
          <w:w w:val="100"/>
        </w:rPr>
      </w:pPr>
    </w:p>
    <w:p w14:paraId="336F7427">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农业科普展览活动管理规范</w:t>
      </w:r>
      <w:r>
        <w:fldChar w:fldCharType="end"/>
      </w:r>
      <w:bookmarkEnd w:id="8"/>
    </w:p>
    <w:p w14:paraId="55C7C167">
      <w:pPr>
        <w:framePr w:w="9639" w:h="6974" w:hRule="exact" w:wrap="around" w:vAnchor="page" w:hAnchor="page" w:x="1419" w:y="6408" w:anchorLock="1"/>
        <w:ind w:left="-1418"/>
      </w:pPr>
    </w:p>
    <w:p w14:paraId="6B535FF6">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Management specification for agricultural science popularization exhibition activities</w:t>
      </w:r>
      <w:r>
        <w:rPr>
          <w:rFonts w:ascii="黑体" w:hAnsi="黑体" w:eastAsia="黑体"/>
          <w:szCs w:val="28"/>
        </w:rPr>
        <w:fldChar w:fldCharType="end"/>
      </w:r>
      <w:bookmarkEnd w:id="9"/>
    </w:p>
    <w:p w14:paraId="78954E82">
      <w:pPr>
        <w:framePr w:w="9639" w:h="6974" w:hRule="exact" w:wrap="around" w:vAnchor="page" w:hAnchor="page" w:x="1419" w:y="6408" w:anchorLock="1"/>
        <w:spacing w:line="760" w:lineRule="exact"/>
        <w:ind w:left="-1418"/>
      </w:pPr>
    </w:p>
    <w:p w14:paraId="12F1D208">
      <w:pPr>
        <w:pStyle w:val="125"/>
        <w:framePr w:w="9639" w:h="6974" w:hRule="exact" w:wrap="around" w:vAnchor="page" w:hAnchor="page" w:x="1419" w:y="6408" w:anchorLock="1"/>
        <w:textAlignment w:val="bottom"/>
        <w:rPr>
          <w:rFonts w:eastAsia="黑体"/>
          <w:szCs w:val="28"/>
        </w:rPr>
      </w:pPr>
    </w:p>
    <w:p w14:paraId="621339A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1698613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ED72E4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501696A8">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D9E8E77">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6CC2022">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FF974F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E8E264">
      <w:pPr>
        <w:pStyle w:val="91"/>
        <w:spacing w:after="360"/>
        <w:rPr>
          <w:rFonts w:hint="eastAsia"/>
        </w:rPr>
      </w:pPr>
      <w:bookmarkStart w:id="20" w:name="BookMark1"/>
      <w:r>
        <w:rPr>
          <w:rFonts w:hint="eastAsia"/>
          <w:spacing w:val="320"/>
        </w:rPr>
        <w:t>目</w:t>
      </w:r>
      <w:r>
        <w:rPr>
          <w:rFonts w:hint="eastAsia"/>
        </w:rPr>
        <w:t>次</w:t>
      </w:r>
    </w:p>
    <w:p w14:paraId="73948BC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"_Toc207360733"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_Toc207360733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4C3CC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"_Toc207360734"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_Toc207360734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8D127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"_Toc207360735"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_Toc207360735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0AA6B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"_Toc207360736"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_Toc207360736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A99C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"_Toc207360737" </w:instrText>
      </w:r>
      <w:r>
        <w:fldChar w:fldCharType="separate"/>
      </w:r>
      <w:r>
        <w:rPr>
          <w:rStyle w:val="32"/>
          <w:rFonts w:hint="eastAsia"/>
        </w:rPr>
        <w:t>4</w:t>
      </w:r>
      <w:r>
        <w:rPr>
          <w:rStyle w:val="32"/>
        </w:rPr>
        <w:t xml:space="preserve"> </w:t>
      </w:r>
      <w:r>
        <w:rPr>
          <w:rStyle w:val="32"/>
          <w:rFonts w:hint="eastAsia"/>
        </w:rPr>
        <w:t xml:space="preserve"> 人员管理要求</w:t>
      </w:r>
      <w:r>
        <w:rPr>
          <w:rFonts w:hint="eastAsia"/>
        </w:rPr>
        <w:tab/>
      </w:r>
      <w:r>
        <w:rPr>
          <w:rFonts w:hint="eastAsia"/>
        </w:rPr>
        <w:fldChar w:fldCharType="begin"/>
      </w:r>
      <w:r>
        <w:rPr>
          <w:rFonts w:hint="eastAsia"/>
        </w:rPr>
        <w:instrText xml:space="preserve"> </w:instrText>
      </w:r>
      <w:r>
        <w:instrText xml:space="preserve">PAGEREF _Toc207360737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1D2CC2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"_Toc207360738" </w:instrText>
      </w:r>
      <w:r>
        <w:fldChar w:fldCharType="separate"/>
      </w:r>
      <w:r>
        <w:rPr>
          <w:rStyle w:val="32"/>
          <w:rFonts w:hint="eastAsia"/>
        </w:rPr>
        <w:t>5</w:t>
      </w:r>
      <w:r>
        <w:rPr>
          <w:rStyle w:val="32"/>
        </w:rPr>
        <w:t xml:space="preserve"> </w:t>
      </w:r>
      <w:r>
        <w:rPr>
          <w:rStyle w:val="32"/>
          <w:rFonts w:hint="eastAsia"/>
        </w:rPr>
        <w:t xml:space="preserve"> 安全管理要求</w:t>
      </w:r>
      <w:r>
        <w:rPr>
          <w:rFonts w:hint="eastAsia"/>
        </w:rPr>
        <w:tab/>
      </w:r>
      <w:r>
        <w:rPr>
          <w:rFonts w:hint="eastAsia"/>
        </w:rPr>
        <w:fldChar w:fldCharType="begin"/>
      </w:r>
      <w:r>
        <w:rPr>
          <w:rFonts w:hint="eastAsia"/>
        </w:rPr>
        <w:instrText xml:space="preserve"> </w:instrText>
      </w:r>
      <w:r>
        <w:instrText xml:space="preserve">PAGEREF _Toc207360738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EEDA17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"_Toc207360739" </w:instrText>
      </w:r>
      <w:r>
        <w:fldChar w:fldCharType="separate"/>
      </w:r>
      <w:r>
        <w:rPr>
          <w:rStyle w:val="32"/>
          <w:rFonts w:hint="eastAsia"/>
        </w:rPr>
        <w:t>6</w:t>
      </w:r>
      <w:r>
        <w:rPr>
          <w:rStyle w:val="32"/>
        </w:rPr>
        <w:t xml:space="preserve"> </w:t>
      </w:r>
      <w:r>
        <w:rPr>
          <w:rStyle w:val="32"/>
          <w:rFonts w:hint="eastAsia"/>
        </w:rPr>
        <w:t xml:space="preserve"> 设施设备管理要求</w:t>
      </w:r>
      <w:r>
        <w:rPr>
          <w:rFonts w:hint="eastAsia"/>
        </w:rPr>
        <w:tab/>
      </w:r>
      <w:r>
        <w:rPr>
          <w:rFonts w:hint="eastAsia"/>
        </w:rPr>
        <w:fldChar w:fldCharType="begin"/>
      </w:r>
      <w:r>
        <w:rPr>
          <w:rFonts w:hint="eastAsia"/>
        </w:rPr>
        <w:instrText xml:space="preserve"> </w:instrText>
      </w:r>
      <w:r>
        <w:instrText xml:space="preserve">PAGEREF _Toc207360739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D585B1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"_Toc207360740" </w:instrText>
      </w:r>
      <w:r>
        <w:fldChar w:fldCharType="separate"/>
      </w:r>
      <w:r>
        <w:rPr>
          <w:rStyle w:val="32"/>
          <w:rFonts w:hint="eastAsia"/>
        </w:rPr>
        <w:t>7</w:t>
      </w:r>
      <w:r>
        <w:rPr>
          <w:rStyle w:val="32"/>
        </w:rPr>
        <w:t xml:space="preserve"> </w:t>
      </w:r>
      <w:r>
        <w:rPr>
          <w:rStyle w:val="32"/>
          <w:rFonts w:hint="eastAsia"/>
        </w:rPr>
        <w:t xml:space="preserve"> 场地管理要求</w:t>
      </w:r>
      <w:r>
        <w:rPr>
          <w:rFonts w:hint="eastAsia"/>
        </w:rPr>
        <w:tab/>
      </w:r>
      <w:r>
        <w:rPr>
          <w:rFonts w:hint="eastAsia"/>
        </w:rPr>
        <w:fldChar w:fldCharType="begin"/>
      </w:r>
      <w:r>
        <w:rPr>
          <w:rFonts w:hint="eastAsia"/>
        </w:rPr>
        <w:instrText xml:space="preserve"> </w:instrText>
      </w:r>
      <w:r>
        <w:instrText xml:space="preserve">PAGEREF _Toc207360740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1ACAEF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"_Toc207360741" </w:instrText>
      </w:r>
      <w:r>
        <w:fldChar w:fldCharType="separate"/>
      </w:r>
      <w:r>
        <w:rPr>
          <w:rStyle w:val="32"/>
          <w:rFonts w:hint="eastAsia"/>
          <w14:scene3d w14:prst="orthographicFront">
            <w14:lightRig w14:rig="threePt" w14:dir="t">
              <w14:rot w14:lat="0" w14:lon="0" w14:rev="0"/>
            </w14:lightRig>
          </w14:scene3d>
        </w:rPr>
        <w:t>7.1</w:t>
      </w:r>
      <w:r>
        <w:rPr>
          <w:rStyle w:val="32"/>
          <w14:scene3d w14:prst="orthographicFront">
            <w14:lightRig w14:rig="threePt" w14:dir="t">
              <w14:rot w14:lat="0" w14:lon="0" w14:rev="0"/>
            </w14:lightRig>
          </w14:scene3d>
        </w:rPr>
        <w:t xml:space="preserve"> </w:t>
      </w:r>
      <w:r>
        <w:rPr>
          <w:rStyle w:val="32"/>
          <w:rFonts w:hint="eastAsia"/>
        </w:rPr>
        <w:t xml:space="preserve"> 场地条件</w:t>
      </w:r>
      <w:r>
        <w:rPr>
          <w:rFonts w:hint="eastAsia"/>
        </w:rPr>
        <w:tab/>
      </w:r>
      <w:r>
        <w:rPr>
          <w:rFonts w:hint="eastAsia"/>
        </w:rPr>
        <w:fldChar w:fldCharType="begin"/>
      </w:r>
      <w:r>
        <w:rPr>
          <w:rFonts w:hint="eastAsia"/>
        </w:rPr>
        <w:instrText xml:space="preserve"> </w:instrText>
      </w:r>
      <w:r>
        <w:instrText xml:space="preserve">PAGEREF _Toc207360741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8C2347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"_Toc207360742" </w:instrText>
      </w:r>
      <w:r>
        <w:fldChar w:fldCharType="separate"/>
      </w:r>
      <w:r>
        <w:rPr>
          <w:rStyle w:val="32"/>
          <w:rFonts w:hint="eastAsia"/>
          <w14:scene3d w14:prst="orthographicFront">
            <w14:lightRig w14:rig="threePt" w14:dir="t">
              <w14:rot w14:lat="0" w14:lon="0" w14:rev="0"/>
            </w14:lightRig>
          </w14:scene3d>
        </w:rPr>
        <w:t>7.2</w:t>
      </w:r>
      <w:r>
        <w:rPr>
          <w:rStyle w:val="32"/>
          <w14:scene3d w14:prst="orthographicFront">
            <w14:lightRig w14:rig="threePt" w14:dir="t">
              <w14:rot w14:lat="0" w14:lon="0" w14:rev="0"/>
            </w14:lightRig>
          </w14:scene3d>
        </w:rPr>
        <w:t xml:space="preserve"> </w:t>
      </w:r>
      <w:r>
        <w:rPr>
          <w:rStyle w:val="32"/>
          <w:rFonts w:hint="eastAsia"/>
        </w:rPr>
        <w:t xml:space="preserve"> 场地布局</w:t>
      </w:r>
      <w:r>
        <w:rPr>
          <w:rFonts w:hint="eastAsia"/>
        </w:rPr>
        <w:tab/>
      </w:r>
      <w:r>
        <w:rPr>
          <w:rFonts w:hint="eastAsia"/>
        </w:rPr>
        <w:fldChar w:fldCharType="begin"/>
      </w:r>
      <w:r>
        <w:rPr>
          <w:rFonts w:hint="eastAsia"/>
        </w:rPr>
        <w:instrText xml:space="preserve"> </w:instrText>
      </w:r>
      <w:r>
        <w:instrText xml:space="preserve">PAGEREF _Toc207360742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D64A71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"_Toc207360743" </w:instrText>
      </w:r>
      <w:r>
        <w:fldChar w:fldCharType="separate"/>
      </w:r>
      <w:r>
        <w:rPr>
          <w:rStyle w:val="32"/>
          <w:rFonts w:hint="eastAsia"/>
        </w:rPr>
        <w:t>8</w:t>
      </w:r>
      <w:r>
        <w:rPr>
          <w:rStyle w:val="32"/>
        </w:rPr>
        <w:t xml:space="preserve"> </w:t>
      </w:r>
      <w:r>
        <w:rPr>
          <w:rStyle w:val="32"/>
          <w:rFonts w:hint="eastAsia"/>
        </w:rPr>
        <w:t xml:space="preserve"> 过程管理要求</w:t>
      </w:r>
      <w:r>
        <w:rPr>
          <w:rFonts w:hint="eastAsia"/>
        </w:rPr>
        <w:tab/>
      </w:r>
      <w:r>
        <w:rPr>
          <w:rFonts w:hint="eastAsia"/>
        </w:rPr>
        <w:fldChar w:fldCharType="begin"/>
      </w:r>
      <w:r>
        <w:rPr>
          <w:rFonts w:hint="eastAsia"/>
        </w:rPr>
        <w:instrText xml:space="preserve"> </w:instrText>
      </w:r>
      <w:r>
        <w:instrText xml:space="preserve">PAGEREF _Toc207360743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96B8EC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"_Toc207360744" </w:instrText>
      </w:r>
      <w:r>
        <w:fldChar w:fldCharType="separate"/>
      </w:r>
      <w:r>
        <w:rPr>
          <w:rStyle w:val="32"/>
          <w:rFonts w:hint="eastAsia"/>
          <w14:scene3d w14:prst="orthographicFront">
            <w14:lightRig w14:rig="threePt" w14:dir="t">
              <w14:rot w14:lat="0" w14:lon="0" w14:rev="0"/>
            </w14:lightRig>
          </w14:scene3d>
        </w:rPr>
        <w:t>8.1</w:t>
      </w:r>
      <w:r>
        <w:rPr>
          <w:rStyle w:val="32"/>
          <w14:scene3d w14:prst="orthographicFront">
            <w14:lightRig w14:rig="threePt" w14:dir="t">
              <w14:rot w14:lat="0" w14:lon="0" w14:rev="0"/>
            </w14:lightRig>
          </w14:scene3d>
        </w:rPr>
        <w:t xml:space="preserve"> </w:t>
      </w:r>
      <w:r>
        <w:rPr>
          <w:rStyle w:val="32"/>
          <w:rFonts w:hint="eastAsia"/>
        </w:rPr>
        <w:t xml:space="preserve"> 策划阶段管理</w:t>
      </w:r>
      <w:r>
        <w:rPr>
          <w:rFonts w:hint="eastAsia"/>
        </w:rPr>
        <w:tab/>
      </w:r>
      <w:r>
        <w:rPr>
          <w:rFonts w:hint="eastAsia"/>
        </w:rPr>
        <w:fldChar w:fldCharType="begin"/>
      </w:r>
      <w:r>
        <w:rPr>
          <w:rFonts w:hint="eastAsia"/>
        </w:rPr>
        <w:instrText xml:space="preserve"> </w:instrText>
      </w:r>
      <w:r>
        <w:instrText xml:space="preserve">PAGEREF _Toc207360744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E51253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"_Toc207360745" </w:instrText>
      </w:r>
      <w:r>
        <w:fldChar w:fldCharType="separate"/>
      </w:r>
      <w:r>
        <w:rPr>
          <w:rStyle w:val="32"/>
          <w:rFonts w:hint="eastAsia"/>
          <w14:scene3d w14:prst="orthographicFront">
            <w14:lightRig w14:rig="threePt" w14:dir="t">
              <w14:rot w14:lat="0" w14:lon="0" w14:rev="0"/>
            </w14:lightRig>
          </w14:scene3d>
        </w:rPr>
        <w:t>8.2</w:t>
      </w:r>
      <w:r>
        <w:rPr>
          <w:rStyle w:val="32"/>
          <w14:scene3d w14:prst="orthographicFront">
            <w14:lightRig w14:rig="threePt" w14:dir="t">
              <w14:rot w14:lat="0" w14:lon="0" w14:rev="0"/>
            </w14:lightRig>
          </w14:scene3d>
        </w:rPr>
        <w:t xml:space="preserve"> </w:t>
      </w:r>
      <w:r>
        <w:rPr>
          <w:rStyle w:val="32"/>
          <w:rFonts w:hint="eastAsia"/>
        </w:rPr>
        <w:t xml:space="preserve"> 布展阶段管理</w:t>
      </w:r>
      <w:r>
        <w:rPr>
          <w:rFonts w:hint="eastAsia"/>
        </w:rPr>
        <w:tab/>
      </w:r>
      <w:r>
        <w:rPr>
          <w:rFonts w:hint="eastAsia"/>
        </w:rPr>
        <w:fldChar w:fldCharType="begin"/>
      </w:r>
      <w:r>
        <w:rPr>
          <w:rFonts w:hint="eastAsia"/>
        </w:rPr>
        <w:instrText xml:space="preserve"> </w:instrText>
      </w:r>
      <w:r>
        <w:instrText xml:space="preserve">PAGEREF _Toc207360745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A0D55F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"_Toc207360746" </w:instrText>
      </w:r>
      <w:r>
        <w:fldChar w:fldCharType="separate"/>
      </w:r>
      <w:r>
        <w:rPr>
          <w:rStyle w:val="32"/>
          <w:rFonts w:hint="eastAsia"/>
          <w14:scene3d w14:prst="orthographicFront">
            <w14:lightRig w14:rig="threePt" w14:dir="t">
              <w14:rot w14:lat="0" w14:lon="0" w14:rev="0"/>
            </w14:lightRig>
          </w14:scene3d>
        </w:rPr>
        <w:t>8.3</w:t>
      </w:r>
      <w:r>
        <w:rPr>
          <w:rStyle w:val="32"/>
          <w14:scene3d w14:prst="orthographicFront">
            <w14:lightRig w14:rig="threePt" w14:dir="t">
              <w14:rot w14:lat="0" w14:lon="0" w14:rev="0"/>
            </w14:lightRig>
          </w14:scene3d>
        </w:rPr>
        <w:t xml:space="preserve"> </w:t>
      </w:r>
      <w:r>
        <w:rPr>
          <w:rStyle w:val="32"/>
          <w:rFonts w:hint="eastAsia"/>
        </w:rPr>
        <w:t xml:space="preserve"> 实施阶段管理</w:t>
      </w:r>
      <w:r>
        <w:rPr>
          <w:rFonts w:hint="eastAsia"/>
        </w:rPr>
        <w:tab/>
      </w:r>
      <w:r>
        <w:rPr>
          <w:rFonts w:hint="eastAsia"/>
        </w:rPr>
        <w:fldChar w:fldCharType="begin"/>
      </w:r>
      <w:r>
        <w:rPr>
          <w:rFonts w:hint="eastAsia"/>
        </w:rPr>
        <w:instrText xml:space="preserve"> </w:instrText>
      </w:r>
      <w:r>
        <w:instrText xml:space="preserve">PAGEREF _Toc207360746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CA6E9C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"_Toc207360747" </w:instrText>
      </w:r>
      <w:r>
        <w:fldChar w:fldCharType="separate"/>
      </w:r>
      <w:r>
        <w:rPr>
          <w:rStyle w:val="32"/>
          <w:rFonts w:hint="eastAsia"/>
          <w14:scene3d w14:prst="orthographicFront">
            <w14:lightRig w14:rig="threePt" w14:dir="t">
              <w14:rot w14:lat="0" w14:lon="0" w14:rev="0"/>
            </w14:lightRig>
          </w14:scene3d>
        </w:rPr>
        <w:t>8.4</w:t>
      </w:r>
      <w:r>
        <w:rPr>
          <w:rStyle w:val="32"/>
          <w14:scene3d w14:prst="orthographicFront">
            <w14:lightRig w14:rig="threePt" w14:dir="t">
              <w14:rot w14:lat="0" w14:lon="0" w14:rev="0"/>
            </w14:lightRig>
          </w14:scene3d>
        </w:rPr>
        <w:t xml:space="preserve"> </w:t>
      </w:r>
      <w:r>
        <w:rPr>
          <w:rStyle w:val="32"/>
          <w:rFonts w:hint="eastAsia"/>
        </w:rPr>
        <w:t xml:space="preserve"> 撤展阶段管理</w:t>
      </w:r>
      <w:r>
        <w:rPr>
          <w:rFonts w:hint="eastAsia"/>
        </w:rPr>
        <w:tab/>
      </w:r>
      <w:r>
        <w:rPr>
          <w:rFonts w:hint="eastAsia"/>
        </w:rPr>
        <w:fldChar w:fldCharType="begin"/>
      </w:r>
      <w:r>
        <w:rPr>
          <w:rFonts w:hint="eastAsia"/>
        </w:rPr>
        <w:instrText xml:space="preserve"> </w:instrText>
      </w:r>
      <w:r>
        <w:instrText xml:space="preserve">PAGEREF _Toc207360747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A63280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"_Toc207360748"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_Toc207360748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09E367F">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02F819A7">
      <w:pPr>
        <w:pStyle w:val="89"/>
        <w:spacing w:before="900" w:after="360"/>
        <w:rPr>
          <w:rFonts w:hint="eastAsia"/>
        </w:rPr>
      </w:pPr>
      <w:bookmarkStart w:id="21" w:name="_Toc207360733"/>
      <w:bookmarkStart w:id="22" w:name="BookMark2"/>
      <w:r>
        <w:rPr>
          <w:rFonts w:hint="eastAsia"/>
          <w:spacing w:val="320"/>
        </w:rPr>
        <w:t>前</w:t>
      </w:r>
      <w:r>
        <w:rPr>
          <w:rFonts w:hint="eastAsia"/>
        </w:rPr>
        <w:t>言</w:t>
      </w:r>
      <w:bookmarkEnd w:id="21"/>
    </w:p>
    <w:p w14:paraId="31D325C7">
      <w:pPr>
        <w:pStyle w:val="56"/>
        <w:ind w:firstLine="420"/>
        <w:rPr>
          <w:rFonts w:hint="eastAsia"/>
        </w:rPr>
      </w:pPr>
      <w:r>
        <w:rPr>
          <w:rFonts w:hint="eastAsia"/>
        </w:rPr>
        <w:t>本文件按照GB/T 1.1—2020《标准化工作导则  第1部分：标准化文件的结构和起草规则》的规定起草。</w:t>
      </w:r>
    </w:p>
    <w:p w14:paraId="0C5D0C5A">
      <w:pPr>
        <w:pStyle w:val="56"/>
        <w:ind w:firstLine="420"/>
        <w:rPr>
          <w:rFonts w:hint="eastAsia"/>
        </w:rPr>
      </w:pPr>
      <w:r>
        <w:rPr>
          <w:rFonts w:hint="eastAsia"/>
        </w:rPr>
        <w:t>请注意本文件的某些内容可能涉及专利。本文件的发布机构不承担识别专利的责任。</w:t>
      </w:r>
    </w:p>
    <w:p w14:paraId="68AF8FFE">
      <w:pPr>
        <w:pStyle w:val="56"/>
        <w:ind w:firstLine="420"/>
        <w:rPr>
          <w:rFonts w:hint="eastAsia"/>
        </w:rPr>
      </w:pPr>
      <w:r>
        <w:rPr>
          <w:rFonts w:hint="eastAsia"/>
        </w:rPr>
        <w:t>本文件由广西壮族自治区农业科学研究院提出、归口并宣贯。</w:t>
      </w:r>
    </w:p>
    <w:p w14:paraId="3233DF10">
      <w:pPr>
        <w:pStyle w:val="56"/>
        <w:ind w:firstLine="420"/>
        <w:rPr>
          <w:rFonts w:hint="eastAsia"/>
        </w:rPr>
      </w:pPr>
      <w:r>
        <w:rPr>
          <w:rFonts w:hint="eastAsia"/>
        </w:rPr>
        <w:t>本文件起草单位：广西壮族自治区亚热带作物研究所、广西标准化协会、农业农村部科技发展中心、广西科学技术普及传播中心、云南省热带作物科学研究所。</w:t>
      </w:r>
    </w:p>
    <w:p w14:paraId="0E84BF3C">
      <w:pPr>
        <w:pStyle w:val="56"/>
        <w:ind w:firstLine="420"/>
        <w:rPr>
          <w:rFonts w:hint="eastAsia"/>
        </w:rPr>
      </w:pPr>
      <w:r>
        <w:rPr>
          <w:rFonts w:hint="eastAsia"/>
        </w:rPr>
        <w:t>本文件主要起草人：刘思朝、黄昶吟、李鹭、覃剑峰、苏子华、苏文潘、蒋宏、黄云芳、钟涛。</w:t>
      </w:r>
    </w:p>
    <w:p w14:paraId="66A80626">
      <w:pPr>
        <w:pStyle w:val="56"/>
        <w:ind w:firstLine="420"/>
        <w:rPr>
          <w:rFonts w:hint="eastAsia"/>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2"/>
    <w:p w14:paraId="100925EA">
      <w:pPr>
        <w:spacing w:line="20" w:lineRule="exact"/>
        <w:jc w:val="center"/>
        <w:rPr>
          <w:rFonts w:hint="eastAsia" w:ascii="黑体" w:hAnsi="黑体" w:eastAsia="黑体"/>
          <w:sz w:val="32"/>
          <w:szCs w:val="32"/>
        </w:rPr>
      </w:pPr>
      <w:bookmarkStart w:id="23" w:name="BookMark4"/>
    </w:p>
    <w:p w14:paraId="4A0030FD">
      <w:pPr>
        <w:spacing w:line="20" w:lineRule="exact"/>
        <w:jc w:val="center"/>
        <w:rPr>
          <w:rFonts w:hint="eastAsia" w:ascii="黑体" w:hAnsi="黑体" w:eastAsia="黑体"/>
          <w:sz w:val="32"/>
          <w:szCs w:val="32"/>
        </w:rPr>
      </w:pPr>
    </w:p>
    <w:sdt>
      <w:sdtPr>
        <w:tag w:val="NEW_STAND_NAME"/>
        <w:id w:val="595910757"/>
        <w:lock w:val="sdtLocked"/>
        <w:placeholder>
          <w:docPart w:val="F91ADB6D891A445296E82F33C2805C78"/>
        </w:placeholder>
      </w:sdtPr>
      <w:sdtContent>
        <w:p w14:paraId="04642F7B">
          <w:pPr>
            <w:pStyle w:val="177"/>
            <w:spacing w:before="240" w:beforeLines="100" w:after="528" w:afterLines="220"/>
            <w:rPr>
              <w:rFonts w:hint="eastAsia"/>
            </w:rPr>
          </w:pPr>
          <w:bookmarkStart w:id="24" w:name="NEW_STAND_NAME"/>
          <w:r>
            <w:rPr>
              <w:rFonts w:hint="eastAsia"/>
            </w:rPr>
            <w:t>农业科普展览活动管理规范</w:t>
          </w:r>
        </w:p>
      </w:sdtContent>
    </w:sdt>
    <w:bookmarkEnd w:id="24"/>
    <w:p w14:paraId="127E45CC">
      <w:pPr>
        <w:pStyle w:val="104"/>
        <w:spacing w:before="240" w:after="240"/>
      </w:pPr>
      <w:bookmarkStart w:id="25" w:name="_Toc17233333"/>
      <w:bookmarkStart w:id="26" w:name="_Toc17233325"/>
      <w:bookmarkStart w:id="27" w:name="_Toc26718930"/>
      <w:bookmarkStart w:id="28" w:name="_Toc207360734"/>
      <w:bookmarkStart w:id="29" w:name="_Toc24884211"/>
      <w:bookmarkStart w:id="30" w:name="_Toc26648465"/>
      <w:bookmarkStart w:id="31" w:name="_Toc24884218"/>
      <w:bookmarkStart w:id="32" w:name="_Toc26986771"/>
      <w:bookmarkStart w:id="33" w:name="_Toc26986530"/>
      <w:bookmarkStart w:id="34" w:name="_Toc97192964"/>
      <w:r>
        <w:rPr>
          <w:rFonts w:hint="eastAsia"/>
        </w:rPr>
        <w:t>范围</w:t>
      </w:r>
      <w:bookmarkEnd w:id="25"/>
      <w:bookmarkEnd w:id="26"/>
      <w:bookmarkEnd w:id="27"/>
      <w:bookmarkEnd w:id="28"/>
      <w:bookmarkEnd w:id="29"/>
      <w:bookmarkEnd w:id="30"/>
      <w:bookmarkEnd w:id="31"/>
      <w:bookmarkEnd w:id="32"/>
      <w:bookmarkEnd w:id="33"/>
      <w:bookmarkEnd w:id="34"/>
    </w:p>
    <w:p w14:paraId="14002A2A">
      <w:pPr>
        <w:pStyle w:val="56"/>
        <w:ind w:firstLine="420"/>
        <w:rPr>
          <w:rFonts w:hint="eastAsia"/>
        </w:rPr>
      </w:pPr>
      <w:bookmarkStart w:id="35" w:name="_Toc17233326"/>
      <w:bookmarkStart w:id="36" w:name="_Toc17233334"/>
      <w:bookmarkStart w:id="37" w:name="_Toc24884212"/>
      <w:bookmarkStart w:id="38" w:name="_Toc24884219"/>
      <w:bookmarkStart w:id="39" w:name="_Toc26648466"/>
      <w:r>
        <w:rPr>
          <w:rFonts w:hint="eastAsia"/>
        </w:rPr>
        <w:t>本文件界定了农业科普展览活动管理涉及的术语和定义，规定了农业科普展览活动的人员管理、安全管理、设施设备管理、场地管理、过程管理的要求。</w:t>
      </w:r>
    </w:p>
    <w:p w14:paraId="11485ADC">
      <w:pPr>
        <w:pStyle w:val="56"/>
        <w:ind w:firstLine="420"/>
      </w:pPr>
      <w:r>
        <w:rPr>
          <w:rFonts w:hint="eastAsia"/>
        </w:rPr>
        <w:t>本文件适用于农业科普展览活动的管理，其它科普类型展览活动的管理可参照使用。</w:t>
      </w:r>
    </w:p>
    <w:p w14:paraId="1FD262CB">
      <w:pPr>
        <w:pStyle w:val="104"/>
        <w:spacing w:before="240" w:after="240"/>
      </w:pPr>
      <w:bookmarkStart w:id="40" w:name="_Toc26718931"/>
      <w:bookmarkStart w:id="41" w:name="_Toc26986531"/>
      <w:bookmarkStart w:id="42" w:name="_Toc26986772"/>
      <w:bookmarkStart w:id="43" w:name="_Toc97192965"/>
      <w:bookmarkStart w:id="44" w:name="_Toc207360735"/>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0A05D8FE5ACE44D6B1736B7A33FD9B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24DA6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DBF816">
      <w:pPr>
        <w:pStyle w:val="56"/>
        <w:ind w:firstLine="420"/>
      </w:pPr>
      <w:r>
        <w:rPr>
          <w:rFonts w:hint="eastAsia"/>
        </w:rPr>
        <w:t>GB/T 33170—2016  大型活动安全要求</w:t>
      </w:r>
    </w:p>
    <w:p w14:paraId="7EC94D30">
      <w:pPr>
        <w:pStyle w:val="104"/>
        <w:spacing w:before="240" w:after="240"/>
      </w:pPr>
      <w:bookmarkStart w:id="45" w:name="_Toc97192966"/>
      <w:bookmarkStart w:id="46" w:name="_Toc207360736"/>
      <w:r>
        <w:rPr>
          <w:rFonts w:hint="eastAsia"/>
          <w:szCs w:val="21"/>
        </w:rPr>
        <w:t>术语和定义</w:t>
      </w:r>
      <w:bookmarkEnd w:id="45"/>
      <w:bookmarkEnd w:id="46"/>
    </w:p>
    <w:sdt>
      <w:sdtPr>
        <w:id w:val="-1909835108"/>
        <w:placeholder>
          <w:docPart w:val="55202223DD0D4005BD037F654E63BB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A32B8B">
          <w:pPr>
            <w:pStyle w:val="56"/>
            <w:ind w:firstLine="420"/>
          </w:pPr>
          <w:bookmarkStart w:id="47" w:name="_Toc26986532"/>
          <w:bookmarkEnd w:id="47"/>
          <w:r>
            <w:t>本文件没有需要界定的术语和定义。</w:t>
          </w:r>
        </w:p>
      </w:sdtContent>
    </w:sdt>
    <w:p w14:paraId="1E01D5DA">
      <w:pPr>
        <w:pStyle w:val="104"/>
        <w:spacing w:before="240" w:after="240"/>
      </w:pPr>
      <w:bookmarkStart w:id="48" w:name="_Toc207360737"/>
      <w:r>
        <w:rPr>
          <w:rFonts w:hint="eastAsia"/>
        </w:rPr>
        <w:t>人员管理要求</w:t>
      </w:r>
      <w:bookmarkEnd w:id="48"/>
    </w:p>
    <w:p w14:paraId="4775D0C1">
      <w:pPr>
        <w:pStyle w:val="56"/>
        <w:ind w:firstLine="420"/>
      </w:pPr>
      <w:r>
        <w:rPr>
          <w:rFonts w:ascii="Times New Roman"/>
        </w:rPr>
        <w:t>应根据展览需要完善组织架构</w:t>
      </w:r>
      <w:r>
        <w:rPr>
          <w:rFonts w:hint="eastAsia" w:ascii="Times New Roman"/>
        </w:rPr>
        <w:t>，</w:t>
      </w:r>
      <w:r>
        <w:rPr>
          <w:rFonts w:ascii="Times New Roman"/>
        </w:rPr>
        <w:t>合理配置相关岗位和工作人员，明确各岗位的</w:t>
      </w:r>
      <w:r>
        <w:rPr>
          <w:rFonts w:hint="eastAsia" w:ascii="Times New Roman"/>
        </w:rPr>
        <w:t>人员分工</w:t>
      </w:r>
      <w:r>
        <w:rPr>
          <w:rFonts w:ascii="Times New Roman"/>
        </w:rPr>
        <w:t>、岗位职责等内容。农业科普展览活动人员类别和具体岗位职责见表</w:t>
      </w:r>
      <w:r>
        <w:rPr>
          <w:rFonts w:hint="eastAsia" w:ascii="Times New Roman"/>
        </w:rPr>
        <w:t>1</w:t>
      </w:r>
      <w:r>
        <w:rPr>
          <w:rFonts w:ascii="Times New Roman"/>
        </w:rPr>
        <w:t>。</w:t>
      </w:r>
    </w:p>
    <w:p w14:paraId="0DD65DAC">
      <w:pPr>
        <w:jc w:val="center"/>
      </w:pPr>
      <w:r>
        <w:rPr>
          <w:rFonts w:hint="eastAsia" w:ascii="黑体" w:hAnsi="黑体" w:eastAsia="黑体" w:cs="黑体"/>
        </w:rPr>
        <w:t>表</w:t>
      </w:r>
      <w:r>
        <w:rPr>
          <w:rFonts w:ascii="黑体" w:hAnsi="黑体" w:eastAsia="黑体" w:cs="黑体"/>
        </w:rPr>
        <w:t>1</w:t>
      </w:r>
      <w:r>
        <w:rPr>
          <w:rFonts w:hint="eastAsia" w:ascii="黑体" w:hAnsi="黑体" w:eastAsia="黑体" w:cs="黑体"/>
        </w:rPr>
        <w:t xml:space="preserve"> 农业科普展览活动人员类别和岗位职责</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418"/>
        <w:gridCol w:w="6792"/>
      </w:tblGrid>
      <w:tr w14:paraId="6C1C4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1124" w:type="dxa"/>
            <w:vAlign w:val="center"/>
          </w:tcPr>
          <w:p w14:paraId="73D455FD">
            <w:pPr>
              <w:pStyle w:val="56"/>
              <w:adjustRightInd w:val="0"/>
              <w:ind w:firstLine="0" w:firstLineChars="0"/>
              <w:jc w:val="center"/>
              <w:rPr>
                <w:rFonts w:hint="eastAsia" w:hAnsi="宋体"/>
                <w:sz w:val="18"/>
                <w:szCs w:val="18"/>
              </w:rPr>
            </w:pPr>
            <w:r>
              <w:rPr>
                <w:rFonts w:hAnsi="宋体"/>
                <w:sz w:val="18"/>
                <w:szCs w:val="18"/>
              </w:rPr>
              <w:t>人员</w:t>
            </w:r>
            <w:r>
              <w:rPr>
                <w:rFonts w:hint="eastAsia" w:hAnsi="宋体"/>
                <w:sz w:val="18"/>
                <w:szCs w:val="18"/>
              </w:rPr>
              <w:t>类别</w:t>
            </w:r>
          </w:p>
        </w:tc>
        <w:tc>
          <w:tcPr>
            <w:tcW w:w="1418" w:type="dxa"/>
            <w:vAlign w:val="center"/>
          </w:tcPr>
          <w:p w14:paraId="33F3C831">
            <w:pPr>
              <w:pStyle w:val="56"/>
              <w:adjustRightInd w:val="0"/>
              <w:ind w:firstLine="0" w:firstLineChars="0"/>
              <w:jc w:val="center"/>
              <w:rPr>
                <w:rFonts w:hint="eastAsia" w:hAnsi="宋体"/>
                <w:sz w:val="18"/>
                <w:szCs w:val="18"/>
              </w:rPr>
            </w:pPr>
            <w:r>
              <w:rPr>
                <w:rFonts w:hAnsi="宋体"/>
                <w:sz w:val="18"/>
                <w:szCs w:val="18"/>
              </w:rPr>
              <w:t>岗位类别</w:t>
            </w:r>
          </w:p>
        </w:tc>
        <w:tc>
          <w:tcPr>
            <w:tcW w:w="6792" w:type="dxa"/>
            <w:vAlign w:val="center"/>
          </w:tcPr>
          <w:p w14:paraId="2A53CE41">
            <w:pPr>
              <w:pStyle w:val="56"/>
              <w:adjustRightInd w:val="0"/>
              <w:ind w:firstLine="0" w:firstLineChars="0"/>
              <w:jc w:val="center"/>
              <w:rPr>
                <w:rFonts w:hint="eastAsia" w:hAnsi="宋体"/>
                <w:sz w:val="18"/>
                <w:szCs w:val="18"/>
              </w:rPr>
            </w:pPr>
            <w:r>
              <w:rPr>
                <w:rFonts w:hAnsi="宋体"/>
                <w:sz w:val="18"/>
                <w:szCs w:val="18"/>
              </w:rPr>
              <w:t>岗位职责</w:t>
            </w:r>
            <w:r>
              <w:rPr>
                <w:rFonts w:hint="eastAsia" w:hAnsi="宋体"/>
                <w:sz w:val="18"/>
                <w:szCs w:val="18"/>
              </w:rPr>
              <w:t>（包括但不限于）</w:t>
            </w:r>
          </w:p>
        </w:tc>
      </w:tr>
      <w:tr w14:paraId="6BE85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restart"/>
            <w:vAlign w:val="center"/>
          </w:tcPr>
          <w:p w14:paraId="14E5A343">
            <w:pPr>
              <w:pStyle w:val="56"/>
              <w:adjustRightInd w:val="0"/>
              <w:ind w:firstLine="180" w:firstLineChars="100"/>
              <w:jc w:val="left"/>
              <w:rPr>
                <w:rFonts w:hint="eastAsia" w:hAnsi="宋体"/>
                <w:sz w:val="18"/>
                <w:szCs w:val="18"/>
              </w:rPr>
            </w:pPr>
            <w:r>
              <w:rPr>
                <w:rFonts w:hAnsi="宋体"/>
                <w:sz w:val="18"/>
                <w:szCs w:val="18"/>
              </w:rPr>
              <w:t>固定人员</w:t>
            </w:r>
          </w:p>
        </w:tc>
        <w:tc>
          <w:tcPr>
            <w:tcW w:w="1418" w:type="dxa"/>
            <w:vAlign w:val="center"/>
          </w:tcPr>
          <w:p w14:paraId="48B4FD0F">
            <w:pPr>
              <w:pStyle w:val="56"/>
              <w:adjustRightInd w:val="0"/>
              <w:ind w:firstLine="180" w:firstLineChars="100"/>
              <w:jc w:val="left"/>
              <w:rPr>
                <w:rFonts w:hint="eastAsia" w:hAnsi="宋体"/>
                <w:sz w:val="18"/>
                <w:szCs w:val="18"/>
              </w:rPr>
            </w:pPr>
            <w:r>
              <w:rPr>
                <w:rFonts w:hAnsi="宋体"/>
                <w:sz w:val="18"/>
                <w:szCs w:val="18"/>
              </w:rPr>
              <w:t>活动负责人</w:t>
            </w:r>
          </w:p>
        </w:tc>
        <w:tc>
          <w:tcPr>
            <w:tcW w:w="6792" w:type="dxa"/>
            <w:vAlign w:val="center"/>
          </w:tcPr>
          <w:p w14:paraId="625CF95F">
            <w:pPr>
              <w:pStyle w:val="56"/>
              <w:numPr>
                <w:ilvl w:val="0"/>
                <w:numId w:val="32"/>
              </w:numPr>
              <w:adjustRightInd w:val="0"/>
              <w:ind w:firstLine="180" w:firstLineChars="100"/>
              <w:jc w:val="left"/>
              <w:rPr>
                <w:rFonts w:hint="eastAsia" w:hAnsi="宋体"/>
                <w:sz w:val="18"/>
                <w:szCs w:val="18"/>
              </w:rPr>
            </w:pPr>
            <w:r>
              <w:rPr>
                <w:rFonts w:hAnsi="宋体"/>
                <w:sz w:val="18"/>
                <w:szCs w:val="18"/>
              </w:rPr>
              <w:t>制定活动方案、协调组织实施，确定和审核活动的主题和内容；</w:t>
            </w:r>
          </w:p>
          <w:p w14:paraId="23D791F2">
            <w:pPr>
              <w:pStyle w:val="56"/>
              <w:numPr>
                <w:ilvl w:val="0"/>
                <w:numId w:val="32"/>
              </w:numPr>
              <w:adjustRightInd w:val="0"/>
              <w:ind w:firstLine="180" w:firstLineChars="100"/>
              <w:jc w:val="left"/>
              <w:rPr>
                <w:rFonts w:hint="eastAsia" w:hAnsi="宋体"/>
                <w:sz w:val="18"/>
                <w:szCs w:val="18"/>
              </w:rPr>
            </w:pPr>
            <w:r>
              <w:rPr>
                <w:rFonts w:hAnsi="宋体"/>
                <w:sz w:val="18"/>
                <w:szCs w:val="18"/>
              </w:rPr>
              <w:t>协调各工作小组，明确工作任务和分工；</w:t>
            </w:r>
          </w:p>
          <w:p w14:paraId="2006C1FD">
            <w:pPr>
              <w:pStyle w:val="56"/>
              <w:numPr>
                <w:ilvl w:val="0"/>
                <w:numId w:val="32"/>
              </w:numPr>
              <w:adjustRightInd w:val="0"/>
              <w:ind w:firstLine="180" w:firstLineChars="100"/>
              <w:jc w:val="left"/>
              <w:rPr>
                <w:rFonts w:hint="eastAsia" w:hAnsi="宋体"/>
                <w:sz w:val="18"/>
                <w:szCs w:val="18"/>
              </w:rPr>
            </w:pPr>
            <w:r>
              <w:rPr>
                <w:rFonts w:hAnsi="宋体"/>
                <w:sz w:val="18"/>
                <w:szCs w:val="18"/>
              </w:rPr>
              <w:t>对接相关合作单位，获取展览所需的资源和支持；</w:t>
            </w:r>
          </w:p>
          <w:p w14:paraId="3E4CCEEB">
            <w:pPr>
              <w:pStyle w:val="56"/>
              <w:numPr>
                <w:ilvl w:val="0"/>
                <w:numId w:val="32"/>
              </w:numPr>
              <w:adjustRightInd w:val="0"/>
              <w:ind w:firstLine="180" w:firstLineChars="100"/>
              <w:jc w:val="left"/>
              <w:rPr>
                <w:rFonts w:hint="eastAsia" w:hAnsi="宋体"/>
                <w:sz w:val="18"/>
                <w:szCs w:val="18"/>
              </w:rPr>
            </w:pPr>
            <w:r>
              <w:rPr>
                <w:rFonts w:hAnsi="宋体"/>
                <w:sz w:val="18"/>
                <w:szCs w:val="18"/>
              </w:rPr>
              <w:t>处理活动现场的突发情况；</w:t>
            </w:r>
          </w:p>
          <w:p w14:paraId="23AAD634">
            <w:pPr>
              <w:pStyle w:val="56"/>
              <w:numPr>
                <w:ilvl w:val="0"/>
                <w:numId w:val="32"/>
              </w:numPr>
              <w:adjustRightInd w:val="0"/>
              <w:ind w:firstLine="180" w:firstLineChars="100"/>
              <w:jc w:val="left"/>
              <w:rPr>
                <w:rFonts w:hint="eastAsia" w:hAnsi="宋体"/>
                <w:sz w:val="18"/>
                <w:szCs w:val="18"/>
              </w:rPr>
            </w:pPr>
            <w:r>
              <w:rPr>
                <w:rFonts w:hAnsi="宋体"/>
                <w:sz w:val="18"/>
                <w:szCs w:val="18"/>
              </w:rPr>
              <w:t>活动效果评估与复盘，组织展览效果调研，总结经验并形成报告。</w:t>
            </w:r>
          </w:p>
        </w:tc>
      </w:tr>
      <w:tr w14:paraId="71CE7F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continue"/>
            <w:vAlign w:val="center"/>
          </w:tcPr>
          <w:p w14:paraId="4A910F17">
            <w:pPr>
              <w:pStyle w:val="56"/>
              <w:adjustRightInd w:val="0"/>
              <w:ind w:firstLine="180" w:firstLineChars="100"/>
              <w:jc w:val="left"/>
              <w:rPr>
                <w:rFonts w:hint="eastAsia" w:hAnsi="宋体"/>
                <w:sz w:val="18"/>
                <w:szCs w:val="18"/>
              </w:rPr>
            </w:pPr>
          </w:p>
        </w:tc>
        <w:tc>
          <w:tcPr>
            <w:tcW w:w="1418" w:type="dxa"/>
            <w:vAlign w:val="center"/>
          </w:tcPr>
          <w:p w14:paraId="39FCD1C7">
            <w:pPr>
              <w:pStyle w:val="56"/>
              <w:adjustRightInd w:val="0"/>
              <w:ind w:firstLine="180" w:firstLineChars="100"/>
              <w:jc w:val="left"/>
              <w:rPr>
                <w:rFonts w:hint="eastAsia" w:hAnsi="宋体"/>
                <w:sz w:val="18"/>
                <w:szCs w:val="18"/>
              </w:rPr>
            </w:pPr>
            <w:r>
              <w:rPr>
                <w:rFonts w:hint="eastAsia" w:hAnsi="宋体"/>
                <w:sz w:val="18"/>
                <w:szCs w:val="18"/>
              </w:rPr>
              <w:t>布场组</w:t>
            </w:r>
          </w:p>
        </w:tc>
        <w:tc>
          <w:tcPr>
            <w:tcW w:w="6792" w:type="dxa"/>
            <w:vAlign w:val="center"/>
          </w:tcPr>
          <w:p w14:paraId="330892C4">
            <w:pPr>
              <w:pStyle w:val="56"/>
              <w:numPr>
                <w:ilvl w:val="0"/>
                <w:numId w:val="33"/>
              </w:numPr>
              <w:adjustRightInd w:val="0"/>
              <w:ind w:firstLine="180" w:firstLineChars="100"/>
              <w:jc w:val="left"/>
              <w:rPr>
                <w:rFonts w:hint="eastAsia" w:hAnsi="宋体"/>
                <w:sz w:val="18"/>
                <w:szCs w:val="18"/>
              </w:rPr>
            </w:pPr>
            <w:r>
              <w:rPr>
                <w:rFonts w:hAnsi="宋体"/>
                <w:sz w:val="18"/>
                <w:szCs w:val="18"/>
              </w:rPr>
              <w:t>提前对展览场地进行实地考察，检查场地的设施设备情况；</w:t>
            </w:r>
          </w:p>
          <w:p w14:paraId="6AF32A04">
            <w:pPr>
              <w:pStyle w:val="56"/>
              <w:numPr>
                <w:ilvl w:val="0"/>
                <w:numId w:val="33"/>
              </w:numPr>
              <w:adjustRightInd w:val="0"/>
              <w:ind w:firstLine="180" w:firstLineChars="100"/>
              <w:jc w:val="left"/>
              <w:rPr>
                <w:rFonts w:hint="eastAsia" w:hAnsi="宋体"/>
                <w:sz w:val="18"/>
                <w:szCs w:val="18"/>
              </w:rPr>
            </w:pPr>
            <w:r>
              <w:rPr>
                <w:rFonts w:hAnsi="宋体"/>
                <w:sz w:val="18"/>
                <w:szCs w:val="18"/>
              </w:rPr>
              <w:t>负责展品的搬运、摆放和整理，保证展品完好无损、展示有序；</w:t>
            </w:r>
          </w:p>
          <w:p w14:paraId="0D9FB9DE">
            <w:pPr>
              <w:pStyle w:val="56"/>
              <w:numPr>
                <w:ilvl w:val="0"/>
                <w:numId w:val="33"/>
              </w:numPr>
              <w:adjustRightInd w:val="0"/>
              <w:ind w:firstLine="180" w:firstLineChars="100"/>
              <w:jc w:val="left"/>
              <w:rPr>
                <w:rFonts w:hint="eastAsia" w:hAnsi="宋体"/>
                <w:sz w:val="18"/>
                <w:szCs w:val="18"/>
              </w:rPr>
            </w:pPr>
            <w:r>
              <w:rPr>
                <w:rFonts w:hAnsi="宋体"/>
                <w:sz w:val="18"/>
                <w:szCs w:val="18"/>
              </w:rPr>
              <w:t>清理展览空间的垃圾和杂物，保持展览空间的整洁；</w:t>
            </w:r>
          </w:p>
          <w:p w14:paraId="43AA2807">
            <w:pPr>
              <w:pStyle w:val="56"/>
              <w:numPr>
                <w:ilvl w:val="0"/>
                <w:numId w:val="33"/>
              </w:numPr>
              <w:adjustRightInd w:val="0"/>
              <w:ind w:firstLine="180" w:firstLineChars="100"/>
              <w:jc w:val="left"/>
              <w:rPr>
                <w:rFonts w:hint="eastAsia" w:hAnsi="宋体"/>
                <w:sz w:val="18"/>
                <w:szCs w:val="18"/>
              </w:rPr>
            </w:pPr>
            <w:r>
              <w:rPr>
                <w:rFonts w:hAnsi="宋体"/>
                <w:sz w:val="18"/>
                <w:szCs w:val="18"/>
              </w:rPr>
              <w:t>活动结束后进行桌椅、设施设备等物料归位。</w:t>
            </w:r>
          </w:p>
        </w:tc>
      </w:tr>
      <w:tr w14:paraId="72031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continue"/>
            <w:vAlign w:val="center"/>
          </w:tcPr>
          <w:p w14:paraId="19EE7A70">
            <w:pPr>
              <w:pStyle w:val="56"/>
              <w:adjustRightInd w:val="0"/>
              <w:ind w:firstLine="180" w:firstLineChars="100"/>
              <w:jc w:val="left"/>
              <w:rPr>
                <w:rFonts w:hint="eastAsia" w:hAnsi="宋体"/>
                <w:sz w:val="18"/>
                <w:szCs w:val="18"/>
              </w:rPr>
            </w:pPr>
          </w:p>
        </w:tc>
        <w:tc>
          <w:tcPr>
            <w:tcW w:w="1418" w:type="dxa"/>
            <w:vAlign w:val="center"/>
          </w:tcPr>
          <w:p w14:paraId="6CDBCF82">
            <w:pPr>
              <w:pStyle w:val="56"/>
              <w:adjustRightInd w:val="0"/>
              <w:ind w:firstLine="180" w:firstLineChars="100"/>
              <w:jc w:val="left"/>
              <w:rPr>
                <w:rFonts w:hint="eastAsia" w:hAnsi="宋体"/>
                <w:sz w:val="18"/>
                <w:szCs w:val="18"/>
              </w:rPr>
            </w:pPr>
            <w:r>
              <w:rPr>
                <w:rFonts w:hint="eastAsia" w:hAnsi="宋体"/>
                <w:sz w:val="18"/>
                <w:szCs w:val="18"/>
              </w:rPr>
              <w:t>宣传组</w:t>
            </w:r>
          </w:p>
        </w:tc>
        <w:tc>
          <w:tcPr>
            <w:tcW w:w="6792" w:type="dxa"/>
            <w:vAlign w:val="center"/>
          </w:tcPr>
          <w:p w14:paraId="47B4B09A">
            <w:pPr>
              <w:pStyle w:val="56"/>
              <w:numPr>
                <w:ilvl w:val="0"/>
                <w:numId w:val="34"/>
              </w:numPr>
              <w:adjustRightInd w:val="0"/>
              <w:ind w:firstLine="180" w:firstLineChars="100"/>
              <w:jc w:val="left"/>
              <w:rPr>
                <w:rFonts w:hint="eastAsia" w:hAnsi="宋体"/>
                <w:sz w:val="18"/>
                <w:szCs w:val="18"/>
              </w:rPr>
            </w:pPr>
            <w:r>
              <w:rPr>
                <w:rFonts w:hAnsi="宋体"/>
                <w:sz w:val="18"/>
                <w:szCs w:val="18"/>
              </w:rPr>
              <w:t>制定展览活动宣传方案，明确宣传渠道和宣传内容；</w:t>
            </w:r>
          </w:p>
          <w:p w14:paraId="79E7DFE1">
            <w:pPr>
              <w:pStyle w:val="56"/>
              <w:numPr>
                <w:ilvl w:val="0"/>
                <w:numId w:val="34"/>
              </w:numPr>
              <w:adjustRightInd w:val="0"/>
              <w:ind w:firstLine="180" w:firstLineChars="100"/>
              <w:jc w:val="left"/>
              <w:rPr>
                <w:rFonts w:hint="eastAsia" w:hAnsi="宋体"/>
                <w:sz w:val="18"/>
                <w:szCs w:val="18"/>
              </w:rPr>
            </w:pPr>
            <w:r>
              <w:rPr>
                <w:rFonts w:hAnsi="宋体"/>
                <w:sz w:val="18"/>
                <w:szCs w:val="18"/>
              </w:rPr>
              <w:t>设计制作传单、海报、宣传册、视频等宣传资料，</w:t>
            </w:r>
          </w:p>
          <w:p w14:paraId="4F84B612">
            <w:pPr>
              <w:pStyle w:val="56"/>
              <w:numPr>
                <w:ilvl w:val="0"/>
                <w:numId w:val="34"/>
              </w:numPr>
              <w:adjustRightInd w:val="0"/>
              <w:ind w:firstLine="180" w:firstLineChars="100"/>
              <w:jc w:val="left"/>
              <w:rPr>
                <w:rFonts w:hint="eastAsia" w:hAnsi="宋体"/>
                <w:sz w:val="18"/>
                <w:szCs w:val="18"/>
              </w:rPr>
            </w:pPr>
            <w:r>
              <w:rPr>
                <w:rFonts w:hAnsi="宋体"/>
                <w:sz w:val="18"/>
                <w:szCs w:val="18"/>
              </w:rPr>
              <w:t>利用线上、线下双联动宣传，线上包括在网站、公众号、视频号、微博等新媒体进行发布和平台互动，线下包括发放传单、张贴海报等活动；</w:t>
            </w:r>
          </w:p>
          <w:p w14:paraId="3149A9C8">
            <w:pPr>
              <w:pStyle w:val="56"/>
              <w:numPr>
                <w:ilvl w:val="0"/>
                <w:numId w:val="34"/>
              </w:numPr>
              <w:adjustRightInd w:val="0"/>
              <w:ind w:firstLine="180" w:firstLineChars="100"/>
              <w:jc w:val="left"/>
              <w:rPr>
                <w:rFonts w:hint="eastAsia" w:hAnsi="宋体"/>
                <w:sz w:val="18"/>
                <w:szCs w:val="18"/>
              </w:rPr>
            </w:pPr>
            <w:r>
              <w:rPr>
                <w:rFonts w:hAnsi="宋体"/>
                <w:sz w:val="18"/>
                <w:szCs w:val="18"/>
              </w:rPr>
              <w:t>现场拍摄活动照片和视频，及时在媒体平台等渠道发布，进行活动宣传。</w:t>
            </w:r>
          </w:p>
        </w:tc>
      </w:tr>
      <w:tr w14:paraId="0DB5E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continue"/>
            <w:vAlign w:val="center"/>
          </w:tcPr>
          <w:p w14:paraId="7CA0A0E8">
            <w:pPr>
              <w:pStyle w:val="56"/>
              <w:adjustRightInd w:val="0"/>
              <w:ind w:firstLine="180" w:firstLineChars="100"/>
              <w:jc w:val="left"/>
              <w:rPr>
                <w:rFonts w:hint="eastAsia" w:hAnsi="宋体"/>
                <w:sz w:val="18"/>
                <w:szCs w:val="18"/>
              </w:rPr>
            </w:pPr>
          </w:p>
        </w:tc>
        <w:tc>
          <w:tcPr>
            <w:tcW w:w="1418" w:type="dxa"/>
            <w:vAlign w:val="center"/>
          </w:tcPr>
          <w:p w14:paraId="3949D5F3">
            <w:pPr>
              <w:pStyle w:val="56"/>
              <w:adjustRightInd w:val="0"/>
              <w:ind w:firstLine="180" w:firstLineChars="100"/>
              <w:jc w:val="left"/>
              <w:rPr>
                <w:rFonts w:hint="eastAsia" w:hAnsi="宋体"/>
                <w:sz w:val="18"/>
                <w:szCs w:val="18"/>
              </w:rPr>
            </w:pPr>
            <w:r>
              <w:rPr>
                <w:rFonts w:hint="eastAsia" w:hAnsi="宋体"/>
                <w:sz w:val="18"/>
                <w:szCs w:val="18"/>
              </w:rPr>
              <w:t>后勤</w:t>
            </w:r>
            <w:r>
              <w:rPr>
                <w:rFonts w:hAnsi="宋体"/>
                <w:sz w:val="18"/>
                <w:szCs w:val="18"/>
              </w:rPr>
              <w:t>保障</w:t>
            </w:r>
            <w:r>
              <w:rPr>
                <w:rFonts w:hint="eastAsia" w:hAnsi="宋体"/>
                <w:sz w:val="18"/>
                <w:szCs w:val="18"/>
              </w:rPr>
              <w:t>组</w:t>
            </w:r>
          </w:p>
        </w:tc>
        <w:tc>
          <w:tcPr>
            <w:tcW w:w="6792" w:type="dxa"/>
            <w:vAlign w:val="center"/>
          </w:tcPr>
          <w:p w14:paraId="60A193E2">
            <w:pPr>
              <w:pStyle w:val="56"/>
              <w:numPr>
                <w:ilvl w:val="0"/>
                <w:numId w:val="35"/>
              </w:numPr>
              <w:adjustRightInd w:val="0"/>
              <w:ind w:firstLine="180" w:firstLineChars="100"/>
              <w:jc w:val="left"/>
              <w:rPr>
                <w:rFonts w:hint="eastAsia" w:hAnsi="宋体"/>
                <w:sz w:val="18"/>
                <w:szCs w:val="18"/>
              </w:rPr>
            </w:pPr>
            <w:r>
              <w:rPr>
                <w:rFonts w:hAnsi="宋体"/>
                <w:sz w:val="18"/>
                <w:szCs w:val="18"/>
              </w:rPr>
              <w:t>在展览活动前向当地公安、消防、农业农村部门报备</w:t>
            </w:r>
          </w:p>
          <w:p w14:paraId="31B31F51">
            <w:pPr>
              <w:pStyle w:val="56"/>
              <w:numPr>
                <w:ilvl w:val="0"/>
                <w:numId w:val="35"/>
              </w:numPr>
              <w:adjustRightInd w:val="0"/>
              <w:ind w:firstLine="180" w:firstLineChars="100"/>
              <w:jc w:val="left"/>
              <w:rPr>
                <w:rFonts w:hint="eastAsia" w:hAnsi="宋体"/>
                <w:sz w:val="18"/>
                <w:szCs w:val="18"/>
              </w:rPr>
            </w:pPr>
            <w:r>
              <w:rPr>
                <w:rFonts w:hAnsi="宋体"/>
                <w:sz w:val="18"/>
                <w:szCs w:val="18"/>
              </w:rPr>
              <w:t>采购活动所需公用品、饮用水、工作餐等物资，并做好物资的登记和保管工作；</w:t>
            </w:r>
          </w:p>
          <w:p w14:paraId="3FC53494">
            <w:pPr>
              <w:pStyle w:val="56"/>
              <w:numPr>
                <w:ilvl w:val="0"/>
                <w:numId w:val="35"/>
              </w:numPr>
              <w:adjustRightInd w:val="0"/>
              <w:ind w:firstLine="180" w:firstLineChars="100"/>
              <w:jc w:val="left"/>
              <w:rPr>
                <w:rFonts w:hint="eastAsia" w:hAnsi="宋体"/>
                <w:sz w:val="18"/>
                <w:szCs w:val="18"/>
              </w:rPr>
            </w:pPr>
            <w:r>
              <w:rPr>
                <w:rFonts w:hAnsi="宋体"/>
                <w:sz w:val="18"/>
                <w:szCs w:val="18"/>
              </w:rPr>
              <w:t>检查和维护活动所需的设备，确保设备正常运行；</w:t>
            </w:r>
          </w:p>
          <w:p w14:paraId="0B7ED68E">
            <w:pPr>
              <w:pStyle w:val="56"/>
              <w:numPr>
                <w:ilvl w:val="0"/>
                <w:numId w:val="35"/>
              </w:numPr>
              <w:adjustRightInd w:val="0"/>
              <w:ind w:firstLine="180" w:firstLineChars="100"/>
              <w:jc w:val="left"/>
              <w:rPr>
                <w:rFonts w:hint="eastAsia" w:hAnsi="宋体"/>
                <w:sz w:val="18"/>
                <w:szCs w:val="18"/>
              </w:rPr>
            </w:pPr>
            <w:r>
              <w:rPr>
                <w:rFonts w:hAnsi="宋体"/>
                <w:sz w:val="18"/>
                <w:szCs w:val="18"/>
              </w:rPr>
              <w:t>安排活动现场的餐饮和休息场所；</w:t>
            </w:r>
          </w:p>
          <w:p w14:paraId="1BF9AF53">
            <w:pPr>
              <w:pStyle w:val="56"/>
              <w:numPr>
                <w:ilvl w:val="0"/>
                <w:numId w:val="35"/>
              </w:numPr>
              <w:adjustRightInd w:val="0"/>
              <w:ind w:firstLine="180" w:firstLineChars="100"/>
              <w:jc w:val="left"/>
              <w:rPr>
                <w:rFonts w:hint="eastAsia" w:hAnsi="宋体"/>
                <w:sz w:val="18"/>
                <w:szCs w:val="18"/>
              </w:rPr>
            </w:pPr>
            <w:r>
              <w:rPr>
                <w:rFonts w:hAnsi="宋体"/>
                <w:sz w:val="18"/>
                <w:szCs w:val="18"/>
              </w:rPr>
              <w:t>制定安全保障方案，配备必要的安全设施和安保人员，确保活动现场的安全；</w:t>
            </w:r>
          </w:p>
          <w:p w14:paraId="54C7BD4C">
            <w:pPr>
              <w:pStyle w:val="56"/>
              <w:numPr>
                <w:ilvl w:val="0"/>
                <w:numId w:val="35"/>
              </w:numPr>
              <w:adjustRightInd w:val="0"/>
              <w:ind w:firstLine="180" w:firstLineChars="100"/>
              <w:jc w:val="left"/>
              <w:rPr>
                <w:rFonts w:hint="eastAsia" w:hAnsi="宋体"/>
                <w:sz w:val="18"/>
                <w:szCs w:val="18"/>
              </w:rPr>
            </w:pPr>
            <w:r>
              <w:rPr>
                <w:rFonts w:hAnsi="宋体"/>
                <w:sz w:val="18"/>
                <w:szCs w:val="18"/>
              </w:rPr>
              <w:t>展览空间的卫生清洁，包括展览活动现场、活动过程、活动结束的清洁工作。</w:t>
            </w:r>
          </w:p>
        </w:tc>
      </w:tr>
      <w:tr w14:paraId="5C59F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restart"/>
            <w:vAlign w:val="center"/>
          </w:tcPr>
          <w:p w14:paraId="16119E8E">
            <w:pPr>
              <w:pStyle w:val="56"/>
              <w:adjustRightInd w:val="0"/>
              <w:ind w:firstLine="180" w:firstLineChars="100"/>
              <w:jc w:val="left"/>
              <w:rPr>
                <w:rFonts w:hint="eastAsia" w:hAnsi="宋体"/>
                <w:sz w:val="18"/>
                <w:szCs w:val="18"/>
              </w:rPr>
            </w:pPr>
            <w:r>
              <w:rPr>
                <w:rFonts w:hAnsi="宋体"/>
                <w:sz w:val="18"/>
                <w:szCs w:val="18"/>
              </w:rPr>
              <w:t>流动人员</w:t>
            </w:r>
          </w:p>
        </w:tc>
        <w:tc>
          <w:tcPr>
            <w:tcW w:w="1418" w:type="dxa"/>
            <w:vAlign w:val="center"/>
          </w:tcPr>
          <w:p w14:paraId="3CFC76CB">
            <w:pPr>
              <w:pStyle w:val="56"/>
              <w:adjustRightInd w:val="0"/>
              <w:ind w:firstLine="180" w:firstLineChars="100"/>
              <w:jc w:val="left"/>
              <w:rPr>
                <w:rFonts w:hint="eastAsia" w:hAnsi="宋体"/>
                <w:sz w:val="18"/>
                <w:szCs w:val="18"/>
              </w:rPr>
            </w:pPr>
            <w:r>
              <w:rPr>
                <w:rFonts w:hAnsi="宋体"/>
                <w:sz w:val="18"/>
                <w:szCs w:val="18"/>
              </w:rPr>
              <w:t>讲解</w:t>
            </w:r>
            <w:r>
              <w:rPr>
                <w:rFonts w:hint="eastAsia" w:hAnsi="宋体"/>
                <w:sz w:val="18"/>
                <w:szCs w:val="18"/>
              </w:rPr>
              <w:t>组</w:t>
            </w:r>
          </w:p>
        </w:tc>
        <w:tc>
          <w:tcPr>
            <w:tcW w:w="6792" w:type="dxa"/>
            <w:vAlign w:val="center"/>
          </w:tcPr>
          <w:p w14:paraId="3C660EFB">
            <w:pPr>
              <w:pStyle w:val="56"/>
              <w:numPr>
                <w:ilvl w:val="0"/>
                <w:numId w:val="36"/>
              </w:numPr>
              <w:adjustRightInd w:val="0"/>
              <w:ind w:firstLine="180" w:firstLineChars="100"/>
              <w:jc w:val="left"/>
              <w:rPr>
                <w:rFonts w:hint="eastAsia" w:hAnsi="宋体"/>
                <w:sz w:val="18"/>
                <w:szCs w:val="18"/>
              </w:rPr>
            </w:pPr>
            <w:r>
              <w:rPr>
                <w:rFonts w:hAnsi="宋体"/>
                <w:sz w:val="18"/>
                <w:szCs w:val="18"/>
              </w:rPr>
              <w:t>参加培训和学习，熟悉展览活动的主题、内容和展品信息；</w:t>
            </w:r>
          </w:p>
          <w:p w14:paraId="325986BB">
            <w:pPr>
              <w:pStyle w:val="56"/>
              <w:numPr>
                <w:ilvl w:val="0"/>
                <w:numId w:val="36"/>
              </w:numPr>
              <w:adjustRightInd w:val="0"/>
              <w:ind w:firstLine="180" w:firstLineChars="100"/>
              <w:jc w:val="left"/>
              <w:rPr>
                <w:rFonts w:hint="eastAsia" w:hAnsi="宋体"/>
                <w:sz w:val="18"/>
                <w:szCs w:val="18"/>
              </w:rPr>
            </w:pPr>
            <w:r>
              <w:rPr>
                <w:rFonts w:hAnsi="宋体"/>
                <w:sz w:val="18"/>
                <w:szCs w:val="18"/>
              </w:rPr>
              <w:t>准备讲解词；</w:t>
            </w:r>
          </w:p>
          <w:p w14:paraId="2F927BB7">
            <w:pPr>
              <w:pStyle w:val="56"/>
              <w:numPr>
                <w:ilvl w:val="0"/>
                <w:numId w:val="36"/>
              </w:numPr>
              <w:adjustRightInd w:val="0"/>
              <w:ind w:firstLine="180" w:firstLineChars="100"/>
              <w:jc w:val="left"/>
              <w:rPr>
                <w:rFonts w:hint="eastAsia" w:hAnsi="宋体"/>
                <w:sz w:val="18"/>
                <w:szCs w:val="18"/>
              </w:rPr>
            </w:pPr>
            <w:r>
              <w:rPr>
                <w:rFonts w:hAnsi="宋体"/>
                <w:sz w:val="18"/>
                <w:szCs w:val="18"/>
              </w:rPr>
              <w:t>了解展览活动的流程和安排，明确自己的讲解时间和地点；</w:t>
            </w:r>
          </w:p>
          <w:p w14:paraId="21A0F5C5">
            <w:pPr>
              <w:pStyle w:val="56"/>
              <w:numPr>
                <w:ilvl w:val="0"/>
                <w:numId w:val="36"/>
              </w:numPr>
              <w:adjustRightInd w:val="0"/>
              <w:ind w:firstLine="180" w:firstLineChars="100"/>
              <w:jc w:val="left"/>
              <w:rPr>
                <w:rFonts w:hint="eastAsia" w:hAnsi="宋体"/>
                <w:sz w:val="18"/>
                <w:szCs w:val="18"/>
              </w:rPr>
            </w:pPr>
            <w:r>
              <w:rPr>
                <w:rFonts w:hAnsi="宋体"/>
                <w:sz w:val="18"/>
                <w:szCs w:val="18"/>
              </w:rPr>
              <w:t>佩戴工作证，统一工作服；</w:t>
            </w:r>
          </w:p>
          <w:p w14:paraId="37015BB0">
            <w:pPr>
              <w:pStyle w:val="56"/>
              <w:numPr>
                <w:ilvl w:val="0"/>
                <w:numId w:val="36"/>
              </w:numPr>
              <w:adjustRightInd w:val="0"/>
              <w:ind w:firstLine="180" w:firstLineChars="100"/>
              <w:jc w:val="left"/>
              <w:rPr>
                <w:rFonts w:hint="eastAsia" w:hAnsi="宋体"/>
                <w:sz w:val="18"/>
                <w:szCs w:val="18"/>
              </w:rPr>
            </w:pPr>
            <w:r>
              <w:rPr>
                <w:rFonts w:hAnsi="宋体"/>
                <w:sz w:val="18"/>
                <w:szCs w:val="18"/>
              </w:rPr>
              <w:t>按照既定的路线提供农业科普讲解服务；</w:t>
            </w:r>
          </w:p>
          <w:p w14:paraId="4A272F9A">
            <w:pPr>
              <w:pStyle w:val="56"/>
              <w:numPr>
                <w:ilvl w:val="0"/>
                <w:numId w:val="36"/>
              </w:numPr>
              <w:adjustRightInd w:val="0"/>
              <w:ind w:firstLine="180" w:firstLineChars="100"/>
              <w:jc w:val="left"/>
              <w:rPr>
                <w:rFonts w:hint="eastAsia" w:hAnsi="宋体"/>
                <w:sz w:val="18"/>
                <w:szCs w:val="18"/>
              </w:rPr>
            </w:pPr>
            <w:r>
              <w:rPr>
                <w:rFonts w:hAnsi="宋体"/>
                <w:sz w:val="18"/>
                <w:szCs w:val="18"/>
              </w:rPr>
              <w:t>解答参观者的相关问题；</w:t>
            </w:r>
          </w:p>
        </w:tc>
      </w:tr>
      <w:tr w14:paraId="1DB5E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4" w:type="dxa"/>
            <w:vMerge w:val="continue"/>
            <w:vAlign w:val="center"/>
          </w:tcPr>
          <w:p w14:paraId="0275A0DC">
            <w:pPr>
              <w:pStyle w:val="56"/>
              <w:adjustRightInd w:val="0"/>
              <w:ind w:firstLine="180" w:firstLineChars="100"/>
              <w:jc w:val="left"/>
              <w:rPr>
                <w:rFonts w:hint="eastAsia" w:hAnsi="宋体"/>
                <w:sz w:val="18"/>
                <w:szCs w:val="18"/>
              </w:rPr>
            </w:pPr>
          </w:p>
        </w:tc>
        <w:tc>
          <w:tcPr>
            <w:tcW w:w="1418" w:type="dxa"/>
            <w:vAlign w:val="center"/>
          </w:tcPr>
          <w:p w14:paraId="75A8DB5B">
            <w:pPr>
              <w:pStyle w:val="56"/>
              <w:adjustRightInd w:val="0"/>
              <w:ind w:firstLine="180" w:firstLineChars="100"/>
              <w:jc w:val="left"/>
              <w:rPr>
                <w:rFonts w:hint="eastAsia" w:hAnsi="宋体"/>
                <w:sz w:val="18"/>
                <w:szCs w:val="18"/>
              </w:rPr>
            </w:pPr>
            <w:r>
              <w:rPr>
                <w:rFonts w:hAnsi="宋体"/>
                <w:sz w:val="18"/>
                <w:szCs w:val="18"/>
              </w:rPr>
              <w:t>志愿者</w:t>
            </w:r>
          </w:p>
        </w:tc>
        <w:tc>
          <w:tcPr>
            <w:tcW w:w="6792" w:type="dxa"/>
            <w:vAlign w:val="center"/>
          </w:tcPr>
          <w:p w14:paraId="69F41E2E">
            <w:pPr>
              <w:pStyle w:val="56"/>
              <w:numPr>
                <w:ilvl w:val="0"/>
                <w:numId w:val="37"/>
              </w:numPr>
              <w:adjustRightInd w:val="0"/>
              <w:ind w:firstLine="180" w:firstLineChars="100"/>
              <w:jc w:val="left"/>
              <w:rPr>
                <w:rFonts w:hint="eastAsia" w:hAnsi="宋体"/>
                <w:sz w:val="18"/>
                <w:szCs w:val="18"/>
              </w:rPr>
            </w:pPr>
            <w:r>
              <w:rPr>
                <w:rFonts w:hAnsi="宋体"/>
                <w:sz w:val="18"/>
                <w:szCs w:val="18"/>
              </w:rPr>
              <w:t>参加活动培训，熟悉展览活动流程、各区域分布及各组工作职责，明确自身服务范围和要求；</w:t>
            </w:r>
          </w:p>
          <w:p w14:paraId="5536BFAC">
            <w:pPr>
              <w:pStyle w:val="56"/>
              <w:numPr>
                <w:ilvl w:val="0"/>
                <w:numId w:val="37"/>
              </w:numPr>
              <w:adjustRightInd w:val="0"/>
              <w:ind w:firstLine="180" w:firstLineChars="100"/>
              <w:jc w:val="left"/>
              <w:rPr>
                <w:rFonts w:hint="eastAsia" w:hAnsi="宋体"/>
                <w:sz w:val="18"/>
                <w:szCs w:val="18"/>
              </w:rPr>
            </w:pPr>
            <w:r>
              <w:rPr>
                <w:rFonts w:hAnsi="宋体"/>
                <w:sz w:val="18"/>
                <w:szCs w:val="18"/>
              </w:rPr>
              <w:t>协助其它工作小组的工作；</w:t>
            </w:r>
          </w:p>
          <w:p w14:paraId="30641814">
            <w:pPr>
              <w:pStyle w:val="56"/>
              <w:numPr>
                <w:ilvl w:val="0"/>
                <w:numId w:val="37"/>
              </w:numPr>
              <w:adjustRightInd w:val="0"/>
              <w:ind w:firstLine="180" w:firstLineChars="100"/>
              <w:jc w:val="left"/>
              <w:rPr>
                <w:rFonts w:hint="eastAsia" w:hAnsi="宋体"/>
                <w:sz w:val="18"/>
                <w:szCs w:val="18"/>
              </w:rPr>
            </w:pPr>
            <w:r>
              <w:rPr>
                <w:rFonts w:hAnsi="宋体"/>
                <w:sz w:val="18"/>
                <w:szCs w:val="18"/>
              </w:rPr>
              <w:t>佩戴工作证，统一工作服；</w:t>
            </w:r>
          </w:p>
          <w:p w14:paraId="0AFC9501">
            <w:pPr>
              <w:pStyle w:val="56"/>
              <w:numPr>
                <w:ilvl w:val="0"/>
                <w:numId w:val="37"/>
              </w:numPr>
              <w:adjustRightInd w:val="0"/>
              <w:ind w:firstLine="180" w:firstLineChars="100"/>
              <w:jc w:val="left"/>
              <w:rPr>
                <w:rFonts w:hint="eastAsia" w:hAnsi="宋体"/>
                <w:sz w:val="18"/>
                <w:szCs w:val="18"/>
              </w:rPr>
            </w:pPr>
            <w:r>
              <w:rPr>
                <w:rFonts w:hAnsi="宋体"/>
                <w:sz w:val="18"/>
                <w:szCs w:val="18"/>
              </w:rPr>
              <w:t>负责参观者的咨询、接待、指引、安检等工作；</w:t>
            </w:r>
          </w:p>
          <w:p w14:paraId="16ED03C2">
            <w:pPr>
              <w:pStyle w:val="56"/>
              <w:numPr>
                <w:ilvl w:val="0"/>
                <w:numId w:val="37"/>
              </w:numPr>
              <w:adjustRightInd w:val="0"/>
              <w:ind w:firstLine="180" w:firstLineChars="100"/>
              <w:jc w:val="left"/>
              <w:rPr>
                <w:rFonts w:hint="eastAsia" w:hAnsi="宋体"/>
                <w:sz w:val="18"/>
                <w:szCs w:val="18"/>
              </w:rPr>
            </w:pPr>
            <w:r>
              <w:rPr>
                <w:rFonts w:hAnsi="宋体"/>
                <w:sz w:val="18"/>
                <w:szCs w:val="18"/>
              </w:rPr>
              <w:t>检查和清理展览空间。</w:t>
            </w:r>
          </w:p>
        </w:tc>
      </w:tr>
    </w:tbl>
    <w:p w14:paraId="673A73AB">
      <w:pPr>
        <w:pStyle w:val="104"/>
        <w:spacing w:before="240" w:after="240"/>
      </w:pPr>
      <w:bookmarkStart w:id="49" w:name="_Toc207360738"/>
      <w:r>
        <w:rPr>
          <w:rFonts w:hint="eastAsia"/>
        </w:rPr>
        <w:t>安全管理要求</w:t>
      </w:r>
      <w:bookmarkEnd w:id="49"/>
    </w:p>
    <w:p w14:paraId="487461EE">
      <w:pPr>
        <w:pStyle w:val="56"/>
        <w:ind w:firstLine="420"/>
      </w:pPr>
      <w:r>
        <w:rPr>
          <w:rFonts w:hint="eastAsia"/>
        </w:rPr>
        <w:t>农业科普展览活动的安全管理应符</w:t>
      </w:r>
      <w:r>
        <w:t>合GB/T 33170—2016。</w:t>
      </w:r>
    </w:p>
    <w:p w14:paraId="33DDB623">
      <w:pPr>
        <w:pStyle w:val="104"/>
        <w:spacing w:before="240" w:after="240"/>
      </w:pPr>
      <w:bookmarkStart w:id="50" w:name="_Toc207360739"/>
      <w:r>
        <w:rPr>
          <w:rFonts w:hint="eastAsia"/>
        </w:rPr>
        <w:t>设施设备管理要求</w:t>
      </w:r>
      <w:bookmarkEnd w:id="50"/>
    </w:p>
    <w:p w14:paraId="5BA12BEA">
      <w:pPr>
        <w:pStyle w:val="56"/>
        <w:ind w:firstLine="420"/>
        <w:rPr>
          <w:rFonts w:ascii="Times New Roman"/>
        </w:rPr>
      </w:pPr>
      <w:r>
        <w:rPr>
          <w:rFonts w:ascii="Times New Roman"/>
        </w:rPr>
        <w:t>农业科普展览活动的设施设备包括</w:t>
      </w:r>
      <w:r>
        <w:rPr>
          <w:rFonts w:hint="eastAsia" w:ascii="Times New Roman"/>
        </w:rPr>
        <w:t>展品</w:t>
      </w:r>
      <w:r>
        <w:rPr>
          <w:rFonts w:ascii="Times New Roman"/>
        </w:rPr>
        <w:t>设施、讲解设施、服务设施、医疗救助设施</w:t>
      </w:r>
      <w:r>
        <w:rPr>
          <w:rFonts w:hint="eastAsia" w:ascii="Times New Roman"/>
        </w:rPr>
        <w:t>等</w:t>
      </w:r>
      <w:r>
        <w:rPr>
          <w:rFonts w:ascii="Times New Roman"/>
        </w:rPr>
        <w:t>。农业科普展览活动设施设备管理具体要求见表</w:t>
      </w:r>
      <w:r>
        <w:rPr>
          <w:rFonts w:hint="eastAsia" w:ascii="Times New Roman"/>
        </w:rPr>
        <w:t>2</w:t>
      </w:r>
      <w:r>
        <w:rPr>
          <w:rFonts w:ascii="Times New Roman"/>
        </w:rPr>
        <w:t>。</w:t>
      </w:r>
    </w:p>
    <w:p w14:paraId="511E899F">
      <w:pPr>
        <w:jc w:val="center"/>
      </w:pPr>
      <w:r>
        <w:rPr>
          <w:rFonts w:hint="eastAsia" w:ascii="黑体" w:hAnsi="黑体" w:eastAsia="黑体" w:cs="黑体"/>
        </w:rPr>
        <w:t>表</w:t>
      </w:r>
      <w:r>
        <w:rPr>
          <w:rFonts w:ascii="黑体" w:hAnsi="黑体" w:eastAsia="黑体" w:cs="黑体"/>
        </w:rPr>
        <w:t>2</w:t>
      </w:r>
      <w:r>
        <w:rPr>
          <w:rFonts w:hint="eastAsia" w:ascii="黑体" w:hAnsi="黑体" w:eastAsia="黑体" w:cs="黑体"/>
        </w:rPr>
        <w:t xml:space="preserve"> 农业科普展览活动设施设备类别和管理要求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10"/>
        <w:gridCol w:w="7454"/>
      </w:tblGrid>
      <w:tr w14:paraId="076D8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 w:hRule="atLeast"/>
        </w:trPr>
        <w:tc>
          <w:tcPr>
            <w:tcW w:w="1947" w:type="dxa"/>
            <w:tcBorders>
              <w:top w:val="single" w:color="auto" w:sz="8" w:space="0"/>
              <w:bottom w:val="single" w:color="auto" w:sz="8" w:space="0"/>
            </w:tcBorders>
            <w:vAlign w:val="center"/>
          </w:tcPr>
          <w:p w14:paraId="1B927BE5">
            <w:pPr>
              <w:pStyle w:val="56"/>
              <w:adjustRightInd w:val="0"/>
              <w:ind w:firstLine="0" w:firstLineChars="0"/>
              <w:jc w:val="center"/>
              <w:rPr>
                <w:rFonts w:hAnsi="宋体"/>
                <w:sz w:val="18"/>
                <w:szCs w:val="18"/>
              </w:rPr>
            </w:pPr>
            <w:r>
              <w:rPr>
                <w:rFonts w:hAnsi="宋体"/>
                <w:sz w:val="18"/>
                <w:szCs w:val="18"/>
              </w:rPr>
              <w:t>类别</w:t>
            </w:r>
          </w:p>
        </w:tc>
        <w:tc>
          <w:tcPr>
            <w:tcW w:w="7623" w:type="dxa"/>
            <w:tcBorders>
              <w:top w:val="single" w:color="auto" w:sz="8" w:space="0"/>
              <w:bottom w:val="single" w:color="auto" w:sz="8" w:space="0"/>
            </w:tcBorders>
            <w:vAlign w:val="center"/>
          </w:tcPr>
          <w:p w14:paraId="5DA7BF94">
            <w:pPr>
              <w:pStyle w:val="56"/>
              <w:adjustRightInd w:val="0"/>
              <w:ind w:firstLine="0" w:firstLineChars="0"/>
              <w:jc w:val="center"/>
              <w:rPr>
                <w:rFonts w:hAnsi="宋体"/>
                <w:sz w:val="18"/>
                <w:szCs w:val="18"/>
              </w:rPr>
            </w:pPr>
            <w:r>
              <w:rPr>
                <w:rFonts w:hAnsi="宋体"/>
                <w:sz w:val="18"/>
                <w:szCs w:val="18"/>
              </w:rPr>
              <w:t>管理要求</w:t>
            </w:r>
          </w:p>
        </w:tc>
      </w:tr>
      <w:tr w14:paraId="2368AB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947" w:type="dxa"/>
            <w:tcBorders>
              <w:top w:val="single" w:color="auto" w:sz="8" w:space="0"/>
            </w:tcBorders>
            <w:vAlign w:val="center"/>
          </w:tcPr>
          <w:p w14:paraId="0F76A1C1">
            <w:pPr>
              <w:pStyle w:val="56"/>
              <w:adjustRightInd w:val="0"/>
              <w:ind w:firstLine="180" w:firstLineChars="100"/>
              <w:jc w:val="left"/>
              <w:rPr>
                <w:rFonts w:hAnsi="宋体"/>
                <w:sz w:val="18"/>
                <w:szCs w:val="18"/>
              </w:rPr>
            </w:pPr>
            <w:r>
              <w:rPr>
                <w:rFonts w:hint="eastAsia" w:hAnsi="宋体"/>
                <w:sz w:val="18"/>
                <w:szCs w:val="18"/>
              </w:rPr>
              <w:t>展品</w:t>
            </w:r>
            <w:r>
              <w:rPr>
                <w:rFonts w:hAnsi="宋体"/>
                <w:sz w:val="18"/>
                <w:szCs w:val="18"/>
              </w:rPr>
              <w:t>设施</w:t>
            </w:r>
          </w:p>
        </w:tc>
        <w:tc>
          <w:tcPr>
            <w:tcW w:w="7623" w:type="dxa"/>
            <w:tcBorders>
              <w:top w:val="single" w:color="auto" w:sz="8" w:space="0"/>
            </w:tcBorders>
            <w:vAlign w:val="center"/>
          </w:tcPr>
          <w:p w14:paraId="5528262E">
            <w:pPr>
              <w:pStyle w:val="56"/>
              <w:numPr>
                <w:ilvl w:val="0"/>
                <w:numId w:val="38"/>
              </w:numPr>
              <w:adjustRightInd w:val="0"/>
              <w:ind w:firstLine="180" w:firstLineChars="100"/>
              <w:jc w:val="left"/>
              <w:rPr>
                <w:rFonts w:hAnsi="宋体"/>
                <w:sz w:val="18"/>
                <w:szCs w:val="18"/>
              </w:rPr>
            </w:pPr>
            <w:r>
              <w:rPr>
                <w:rFonts w:hAnsi="宋体"/>
                <w:sz w:val="18"/>
                <w:szCs w:val="18"/>
              </w:rPr>
              <w:t>农业科普展览活动主体应根据</w:t>
            </w:r>
            <w:r>
              <w:rPr>
                <w:rFonts w:hint="eastAsia" w:hAnsi="宋体"/>
                <w:sz w:val="18"/>
                <w:szCs w:val="18"/>
              </w:rPr>
              <w:t>展览</w:t>
            </w:r>
            <w:r>
              <w:rPr>
                <w:rFonts w:hAnsi="宋体"/>
                <w:sz w:val="18"/>
                <w:szCs w:val="18"/>
              </w:rPr>
              <w:t>活动规模和需求，配备</w:t>
            </w:r>
            <w:r>
              <w:rPr>
                <w:rFonts w:hint="eastAsia" w:hAnsi="宋体"/>
                <w:sz w:val="18"/>
                <w:szCs w:val="18"/>
              </w:rPr>
              <w:t>农作物、检测设备等实物展品</w:t>
            </w:r>
            <w:r>
              <w:rPr>
                <w:rFonts w:hAnsi="宋体"/>
                <w:sz w:val="18"/>
                <w:szCs w:val="18"/>
              </w:rPr>
              <w:t>、</w:t>
            </w:r>
            <w:r>
              <w:rPr>
                <w:rFonts w:hint="eastAsia" w:hAnsi="宋体"/>
                <w:sz w:val="18"/>
                <w:szCs w:val="18"/>
              </w:rPr>
              <w:t>数字展品</w:t>
            </w:r>
            <w:r>
              <w:rPr>
                <w:rFonts w:hAnsi="宋体"/>
                <w:sz w:val="18"/>
                <w:szCs w:val="18"/>
              </w:rPr>
              <w:t>、</w:t>
            </w:r>
            <w:r>
              <w:rPr>
                <w:rFonts w:hint="eastAsia" w:hAnsi="宋体"/>
                <w:sz w:val="18"/>
                <w:szCs w:val="18"/>
              </w:rPr>
              <w:t>辅助载体</w:t>
            </w:r>
            <w:r>
              <w:rPr>
                <w:rFonts w:hAnsi="宋体"/>
                <w:sz w:val="18"/>
                <w:szCs w:val="18"/>
              </w:rPr>
              <w:t>等</w:t>
            </w:r>
            <w:r>
              <w:rPr>
                <w:rFonts w:hint="eastAsia" w:hAnsi="宋体"/>
                <w:sz w:val="18"/>
                <w:szCs w:val="18"/>
              </w:rPr>
              <w:t>；</w:t>
            </w:r>
          </w:p>
          <w:p w14:paraId="004D8DFA">
            <w:pPr>
              <w:pStyle w:val="56"/>
              <w:numPr>
                <w:ilvl w:val="0"/>
                <w:numId w:val="38"/>
              </w:numPr>
              <w:adjustRightInd w:val="0"/>
              <w:ind w:firstLine="180" w:firstLineChars="100"/>
              <w:jc w:val="left"/>
              <w:rPr>
                <w:rFonts w:hAnsi="宋体"/>
                <w:sz w:val="18"/>
                <w:szCs w:val="18"/>
              </w:rPr>
            </w:pPr>
            <w:r>
              <w:rPr>
                <w:rFonts w:hint="eastAsia" w:hAnsi="宋体"/>
                <w:sz w:val="18"/>
                <w:szCs w:val="18"/>
              </w:rPr>
              <w:t>应维护和养护展览活动展品设施，安排专业工作人员进行定期检查和记录情况；</w:t>
            </w:r>
          </w:p>
          <w:p w14:paraId="3A4C6C70">
            <w:pPr>
              <w:pStyle w:val="56"/>
              <w:numPr>
                <w:ilvl w:val="0"/>
                <w:numId w:val="38"/>
              </w:numPr>
              <w:adjustRightInd w:val="0"/>
              <w:ind w:firstLine="180" w:firstLineChars="100"/>
              <w:jc w:val="left"/>
              <w:rPr>
                <w:rFonts w:hAnsi="宋体"/>
                <w:sz w:val="18"/>
                <w:szCs w:val="18"/>
              </w:rPr>
            </w:pPr>
            <w:r>
              <w:rPr>
                <w:rFonts w:hint="eastAsia" w:hAnsi="宋体"/>
                <w:sz w:val="18"/>
                <w:szCs w:val="18"/>
              </w:rPr>
              <w:t>活体生物展品需每日检查动植物的生长状态，进行相应的喂养、浇水、施肥、病虫害防治等，并设置“禁止触摸”标识；</w:t>
            </w:r>
          </w:p>
          <w:p w14:paraId="20E8DC82">
            <w:pPr>
              <w:pStyle w:val="56"/>
              <w:numPr>
                <w:ilvl w:val="0"/>
                <w:numId w:val="38"/>
              </w:numPr>
              <w:adjustRightInd w:val="0"/>
              <w:ind w:firstLine="180" w:firstLineChars="100"/>
              <w:jc w:val="left"/>
              <w:rPr>
                <w:rFonts w:hAnsi="宋体"/>
                <w:sz w:val="18"/>
                <w:szCs w:val="18"/>
              </w:rPr>
            </w:pPr>
            <w:r>
              <w:rPr>
                <w:rFonts w:hint="eastAsia" w:hAnsi="宋体"/>
                <w:sz w:val="18"/>
                <w:szCs w:val="18"/>
              </w:rPr>
              <w:t>可食用类加工农产品需保证食品安全，每天进行检查是否有发霉、腐烂、变质等现象，禁止观众直接触摸裸露食品，食品成品需用玻璃展柜或密封盒隔离；</w:t>
            </w:r>
          </w:p>
          <w:p w14:paraId="20602498">
            <w:pPr>
              <w:pStyle w:val="56"/>
              <w:numPr>
                <w:ilvl w:val="0"/>
                <w:numId w:val="38"/>
              </w:numPr>
              <w:adjustRightInd w:val="0"/>
              <w:ind w:firstLine="180" w:firstLineChars="100"/>
              <w:jc w:val="left"/>
              <w:rPr>
                <w:rFonts w:hAnsi="宋体"/>
                <w:sz w:val="18"/>
                <w:szCs w:val="18"/>
              </w:rPr>
            </w:pPr>
            <w:r>
              <w:rPr>
                <w:rFonts w:hint="eastAsia" w:hAnsi="宋体"/>
                <w:sz w:val="18"/>
                <w:szCs w:val="18"/>
              </w:rPr>
              <w:t>农业设备类展品需保证摆放平稳，并设置隔离带、安全标识等，并每天进行设备的检查。</w:t>
            </w:r>
          </w:p>
        </w:tc>
      </w:tr>
      <w:tr w14:paraId="19036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947" w:type="dxa"/>
            <w:vAlign w:val="center"/>
          </w:tcPr>
          <w:p w14:paraId="019B01C6">
            <w:pPr>
              <w:pStyle w:val="56"/>
              <w:adjustRightInd w:val="0"/>
              <w:ind w:firstLine="180" w:firstLineChars="100"/>
              <w:jc w:val="left"/>
              <w:rPr>
                <w:rFonts w:hAnsi="宋体"/>
                <w:sz w:val="18"/>
                <w:szCs w:val="18"/>
              </w:rPr>
            </w:pPr>
            <w:r>
              <w:rPr>
                <w:rFonts w:hAnsi="宋体"/>
                <w:sz w:val="18"/>
                <w:szCs w:val="18"/>
              </w:rPr>
              <w:t>讲解设施</w:t>
            </w:r>
          </w:p>
        </w:tc>
        <w:tc>
          <w:tcPr>
            <w:tcW w:w="7623" w:type="dxa"/>
            <w:vAlign w:val="center"/>
          </w:tcPr>
          <w:p w14:paraId="329FBBE2">
            <w:pPr>
              <w:pStyle w:val="56"/>
              <w:numPr>
                <w:ilvl w:val="0"/>
                <w:numId w:val="39"/>
              </w:numPr>
              <w:adjustRightInd w:val="0"/>
              <w:ind w:firstLine="180" w:firstLineChars="100"/>
              <w:jc w:val="left"/>
              <w:rPr>
                <w:rFonts w:hAnsi="宋体"/>
                <w:sz w:val="18"/>
                <w:szCs w:val="18"/>
              </w:rPr>
            </w:pPr>
            <w:r>
              <w:rPr>
                <w:rFonts w:hAnsi="宋体"/>
                <w:sz w:val="18"/>
                <w:szCs w:val="18"/>
              </w:rPr>
              <w:t>应为讲解人员配备扩音设备；</w:t>
            </w:r>
          </w:p>
          <w:p w14:paraId="34F7945C">
            <w:pPr>
              <w:pStyle w:val="56"/>
              <w:numPr>
                <w:ilvl w:val="0"/>
                <w:numId w:val="39"/>
              </w:numPr>
              <w:adjustRightInd w:val="0"/>
              <w:ind w:firstLine="180" w:firstLineChars="100"/>
              <w:jc w:val="left"/>
              <w:rPr>
                <w:rFonts w:hAnsi="宋体"/>
                <w:sz w:val="18"/>
                <w:szCs w:val="18"/>
              </w:rPr>
            </w:pPr>
            <w:r>
              <w:rPr>
                <w:rFonts w:hAnsi="宋体"/>
                <w:sz w:val="18"/>
                <w:szCs w:val="18"/>
              </w:rPr>
              <w:t>应对</w:t>
            </w:r>
            <w:r>
              <w:rPr>
                <w:rFonts w:hint="eastAsia" w:hAnsi="宋体"/>
                <w:sz w:val="18"/>
                <w:szCs w:val="18"/>
              </w:rPr>
              <w:t>讲解设施</w:t>
            </w:r>
            <w:r>
              <w:rPr>
                <w:rFonts w:hAnsi="宋体"/>
                <w:sz w:val="18"/>
                <w:szCs w:val="18"/>
              </w:rPr>
              <w:t>进行检查、调试。</w:t>
            </w:r>
          </w:p>
        </w:tc>
      </w:tr>
      <w:tr w14:paraId="4468D0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947" w:type="dxa"/>
            <w:vAlign w:val="center"/>
          </w:tcPr>
          <w:p w14:paraId="32D8345D">
            <w:pPr>
              <w:pStyle w:val="56"/>
              <w:adjustRightInd w:val="0"/>
              <w:ind w:firstLine="180" w:firstLineChars="100"/>
              <w:jc w:val="left"/>
              <w:rPr>
                <w:rFonts w:hAnsi="宋体"/>
                <w:sz w:val="18"/>
                <w:szCs w:val="18"/>
              </w:rPr>
            </w:pPr>
            <w:r>
              <w:rPr>
                <w:rFonts w:hAnsi="宋体"/>
                <w:sz w:val="18"/>
                <w:szCs w:val="18"/>
              </w:rPr>
              <w:t>服务设施</w:t>
            </w:r>
          </w:p>
        </w:tc>
        <w:tc>
          <w:tcPr>
            <w:tcW w:w="7623" w:type="dxa"/>
            <w:vAlign w:val="center"/>
          </w:tcPr>
          <w:p w14:paraId="2B5D923D">
            <w:pPr>
              <w:pStyle w:val="56"/>
              <w:numPr>
                <w:ilvl w:val="0"/>
                <w:numId w:val="40"/>
              </w:numPr>
              <w:adjustRightInd w:val="0"/>
              <w:ind w:firstLine="180" w:firstLineChars="100"/>
              <w:jc w:val="left"/>
              <w:rPr>
                <w:rFonts w:hAnsi="宋体"/>
                <w:sz w:val="18"/>
                <w:szCs w:val="18"/>
              </w:rPr>
            </w:pPr>
            <w:r>
              <w:rPr>
                <w:rFonts w:hAnsi="宋体"/>
                <w:sz w:val="18"/>
                <w:szCs w:val="18"/>
              </w:rPr>
              <w:t>活动期间应</w:t>
            </w:r>
            <w:r>
              <w:rPr>
                <w:rFonts w:hint="eastAsia" w:hAnsi="宋体"/>
                <w:sz w:val="18"/>
                <w:szCs w:val="18"/>
              </w:rPr>
              <w:t>提供</w:t>
            </w:r>
            <w:r>
              <w:rPr>
                <w:rFonts w:hAnsi="宋体"/>
                <w:sz w:val="18"/>
                <w:szCs w:val="18"/>
              </w:rPr>
              <w:t>咨询台、休息区、卫生间</w:t>
            </w:r>
            <w:r>
              <w:rPr>
                <w:rFonts w:hint="eastAsia" w:hAnsi="宋体"/>
                <w:sz w:val="18"/>
                <w:szCs w:val="18"/>
              </w:rPr>
              <w:t>、导览区等服务设施；</w:t>
            </w:r>
          </w:p>
          <w:p w14:paraId="3FC00411">
            <w:pPr>
              <w:pStyle w:val="56"/>
              <w:numPr>
                <w:ilvl w:val="0"/>
                <w:numId w:val="40"/>
              </w:numPr>
              <w:adjustRightInd w:val="0"/>
              <w:ind w:firstLine="180" w:firstLineChars="100"/>
              <w:jc w:val="left"/>
              <w:rPr>
                <w:rFonts w:hAnsi="宋体"/>
                <w:sz w:val="18"/>
                <w:szCs w:val="18"/>
              </w:rPr>
            </w:pPr>
            <w:r>
              <w:rPr>
                <w:rFonts w:hint="eastAsia" w:hAnsi="宋体"/>
                <w:sz w:val="18"/>
                <w:szCs w:val="18"/>
              </w:rPr>
              <w:t>在咨询台、导览区等配备工作人员。</w:t>
            </w:r>
          </w:p>
        </w:tc>
      </w:tr>
      <w:tr w14:paraId="3D647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947" w:type="dxa"/>
            <w:vAlign w:val="center"/>
          </w:tcPr>
          <w:p w14:paraId="04121D95">
            <w:pPr>
              <w:pStyle w:val="56"/>
              <w:adjustRightInd w:val="0"/>
              <w:ind w:firstLine="180" w:firstLineChars="100"/>
              <w:jc w:val="left"/>
              <w:rPr>
                <w:rFonts w:hAnsi="宋体"/>
                <w:sz w:val="18"/>
                <w:szCs w:val="18"/>
              </w:rPr>
            </w:pPr>
            <w:r>
              <w:rPr>
                <w:rFonts w:hAnsi="宋体"/>
                <w:sz w:val="18"/>
                <w:szCs w:val="18"/>
              </w:rPr>
              <w:t>医疗救助设施</w:t>
            </w:r>
          </w:p>
        </w:tc>
        <w:tc>
          <w:tcPr>
            <w:tcW w:w="7623" w:type="dxa"/>
            <w:vAlign w:val="center"/>
          </w:tcPr>
          <w:p w14:paraId="46058105">
            <w:pPr>
              <w:pStyle w:val="56"/>
              <w:numPr>
                <w:ilvl w:val="0"/>
                <w:numId w:val="41"/>
              </w:numPr>
              <w:adjustRightInd w:val="0"/>
              <w:ind w:firstLine="180" w:firstLineChars="100"/>
              <w:jc w:val="left"/>
              <w:rPr>
                <w:rFonts w:hAnsi="宋体"/>
                <w:sz w:val="18"/>
                <w:szCs w:val="18"/>
              </w:rPr>
            </w:pPr>
            <w:r>
              <w:rPr>
                <w:rFonts w:hAnsi="宋体"/>
                <w:sz w:val="18"/>
                <w:szCs w:val="18"/>
              </w:rPr>
              <w:t>应设置独立医疗救助区域，在醒目的地方张贴统一标识；</w:t>
            </w:r>
          </w:p>
          <w:p w14:paraId="5C3376E1">
            <w:pPr>
              <w:pStyle w:val="56"/>
              <w:numPr>
                <w:ilvl w:val="0"/>
                <w:numId w:val="41"/>
              </w:numPr>
              <w:adjustRightInd w:val="0"/>
              <w:ind w:firstLine="180" w:firstLineChars="100"/>
              <w:jc w:val="left"/>
              <w:rPr>
                <w:rFonts w:hAnsi="宋体"/>
                <w:sz w:val="18"/>
                <w:szCs w:val="18"/>
              </w:rPr>
            </w:pPr>
            <w:r>
              <w:rPr>
                <w:rFonts w:hAnsi="宋体"/>
                <w:sz w:val="18"/>
                <w:szCs w:val="18"/>
              </w:rPr>
              <w:t>应配备基础</w:t>
            </w:r>
            <w:r>
              <w:rPr>
                <w:rFonts w:hint="eastAsia" w:hAnsi="宋体"/>
                <w:sz w:val="18"/>
                <w:szCs w:val="18"/>
              </w:rPr>
              <w:t>医疗</w:t>
            </w:r>
            <w:r>
              <w:rPr>
                <w:rFonts w:hAnsi="宋体"/>
                <w:sz w:val="18"/>
                <w:szCs w:val="18"/>
              </w:rPr>
              <w:t>设备</w:t>
            </w:r>
            <w:r>
              <w:rPr>
                <w:rFonts w:hint="eastAsia" w:hAnsi="宋体"/>
                <w:sz w:val="18"/>
                <w:szCs w:val="18"/>
              </w:rPr>
              <w:t>和AED急救设备</w:t>
            </w:r>
            <w:r>
              <w:rPr>
                <w:rFonts w:hAnsi="宋体"/>
                <w:sz w:val="18"/>
                <w:szCs w:val="18"/>
              </w:rPr>
              <w:t>，需包含基础创伤处理用品、常用药品</w:t>
            </w:r>
            <w:r>
              <w:rPr>
                <w:rFonts w:hint="eastAsia" w:hAnsi="宋体"/>
                <w:sz w:val="18"/>
                <w:szCs w:val="18"/>
              </w:rPr>
              <w:t>、</w:t>
            </w:r>
            <w:r>
              <w:rPr>
                <w:rFonts w:hAnsi="宋体"/>
                <w:sz w:val="18"/>
                <w:szCs w:val="18"/>
              </w:rPr>
              <w:t>工具</w:t>
            </w:r>
            <w:r>
              <w:rPr>
                <w:rFonts w:hint="eastAsia" w:hAnsi="宋体"/>
                <w:sz w:val="18"/>
                <w:szCs w:val="18"/>
              </w:rPr>
              <w:t>及蚊虫叮咬药品等。</w:t>
            </w:r>
          </w:p>
        </w:tc>
      </w:tr>
    </w:tbl>
    <w:p w14:paraId="5301FC74">
      <w:pPr>
        <w:pStyle w:val="104"/>
        <w:spacing w:before="240" w:after="240"/>
      </w:pPr>
      <w:bookmarkStart w:id="51" w:name="_Toc207360740"/>
      <w:r>
        <w:rPr>
          <w:rFonts w:hint="eastAsia"/>
        </w:rPr>
        <w:t>场地管理要求</w:t>
      </w:r>
      <w:bookmarkEnd w:id="51"/>
    </w:p>
    <w:p w14:paraId="0E3EBD7E">
      <w:pPr>
        <w:pStyle w:val="105"/>
        <w:spacing w:before="120" w:after="120"/>
      </w:pPr>
      <w:bookmarkStart w:id="52" w:name="_Toc207360741"/>
      <w:r>
        <w:rPr>
          <w:rFonts w:hint="eastAsia"/>
        </w:rPr>
        <w:t>场地条件</w:t>
      </w:r>
      <w:bookmarkEnd w:id="52"/>
    </w:p>
    <w:p w14:paraId="17F84BF7">
      <w:pPr>
        <w:pStyle w:val="65"/>
        <w:spacing w:before="120" w:after="120"/>
        <w:rPr>
          <w:rFonts w:ascii="Times New Roman" w:eastAsia="宋体"/>
        </w:rPr>
      </w:pPr>
      <w:r>
        <w:rPr>
          <w:rFonts w:ascii="Times New Roman" w:eastAsia="宋体"/>
        </w:rPr>
        <w:t>应明确场地的最大容量和安全容量，并在活动期间经常监测活动达到的规模，包括人员日流量、总流量、瞬时最大人数、持续时间等。</w:t>
      </w:r>
    </w:p>
    <w:p w14:paraId="2B86F742">
      <w:pPr>
        <w:pStyle w:val="65"/>
        <w:spacing w:before="120" w:after="120"/>
        <w:rPr>
          <w:rFonts w:ascii="Times New Roman" w:eastAsia="宋体"/>
        </w:rPr>
      </w:pPr>
      <w:r>
        <w:rPr>
          <w:rFonts w:ascii="Times New Roman" w:eastAsia="宋体"/>
        </w:rPr>
        <w:t>应进行场地环境卫生维护，及时清理展区的</w:t>
      </w:r>
      <w:r>
        <w:rPr>
          <w:rFonts w:hint="eastAsia" w:ascii="Times New Roman" w:eastAsia="宋体"/>
        </w:rPr>
        <w:t>垃圾</w:t>
      </w:r>
      <w:r>
        <w:rPr>
          <w:rFonts w:ascii="Times New Roman" w:eastAsia="宋体"/>
        </w:rPr>
        <w:t>。</w:t>
      </w:r>
    </w:p>
    <w:p w14:paraId="73C85F1D">
      <w:pPr>
        <w:pStyle w:val="65"/>
        <w:spacing w:before="120" w:after="120"/>
      </w:pPr>
      <w:r>
        <w:rPr>
          <w:rFonts w:ascii="Times New Roman" w:eastAsia="宋体"/>
        </w:rPr>
        <w:t>临时搭建的展区需通过安全验收。</w:t>
      </w:r>
    </w:p>
    <w:p w14:paraId="68F5C7F4">
      <w:pPr>
        <w:pStyle w:val="65"/>
        <w:spacing w:before="120" w:after="120"/>
      </w:pPr>
      <w:r>
        <w:rPr>
          <w:rFonts w:ascii="Times New Roman" w:eastAsia="宋体"/>
        </w:rPr>
        <w:t>室外展览活动应</w:t>
      </w:r>
      <w:r>
        <w:rPr>
          <w:rFonts w:hint="eastAsia" w:ascii="Times New Roman" w:eastAsia="宋体"/>
        </w:rPr>
        <w:t>实时监测高温、大风、暴雨等天气对活动的影响，选择具备遮阳避雨设施、地面平整度高的活动场地，在水域区域设置游泳圈、“禁止下水”等标识。</w:t>
      </w:r>
    </w:p>
    <w:p w14:paraId="3804D58D">
      <w:pPr>
        <w:pStyle w:val="105"/>
        <w:spacing w:before="120" w:after="120"/>
      </w:pPr>
      <w:bookmarkStart w:id="53" w:name="_Toc207360742"/>
      <w:r>
        <w:rPr>
          <w:rFonts w:hint="eastAsia"/>
        </w:rPr>
        <w:t>场地布局</w:t>
      </w:r>
      <w:bookmarkEnd w:id="53"/>
    </w:p>
    <w:p w14:paraId="2C814A01">
      <w:pPr>
        <w:pStyle w:val="65"/>
        <w:spacing w:before="120" w:after="120"/>
        <w:rPr>
          <w:rFonts w:ascii="Times New Roman" w:eastAsia="宋体"/>
        </w:rPr>
      </w:pPr>
      <w:r>
        <w:rPr>
          <w:rFonts w:ascii="Times New Roman" w:eastAsia="宋体"/>
        </w:rPr>
        <w:t>应根据展品的类型进行合理的功能分区，</w:t>
      </w:r>
      <w:r>
        <w:rPr>
          <w:rFonts w:hint="eastAsia" w:ascii="Times New Roman" w:eastAsia="宋体"/>
        </w:rPr>
        <w:t>可分为展品展示区、农事体验区、科普讲解区等，</w:t>
      </w:r>
      <w:r>
        <w:rPr>
          <w:rFonts w:ascii="Times New Roman" w:eastAsia="宋体"/>
        </w:rPr>
        <w:t>并设置浏览路线。</w:t>
      </w:r>
    </w:p>
    <w:p w14:paraId="7700E2A6">
      <w:pPr>
        <w:pStyle w:val="65"/>
        <w:spacing w:before="120" w:after="120"/>
      </w:pPr>
      <w:r>
        <w:rPr>
          <w:rFonts w:ascii="Times New Roman" w:eastAsia="宋体"/>
        </w:rPr>
        <w:t>根据活动的需要，因地制宜地进行布局，应符合消防、交通、建筑、卫生、用电、地质、安全生产、安全防范、园林绿化、特种设备等有关方面的规定要求</w:t>
      </w:r>
      <w:r>
        <w:rPr>
          <w:rFonts w:hint="eastAsia" w:ascii="Times New Roman" w:eastAsia="宋体"/>
        </w:rPr>
        <w:t>。</w:t>
      </w:r>
    </w:p>
    <w:p w14:paraId="7803F5C9">
      <w:pPr>
        <w:pStyle w:val="65"/>
        <w:spacing w:before="120" w:after="120"/>
        <w:rPr>
          <w:rFonts w:ascii="Times New Roman" w:eastAsia="宋体"/>
        </w:rPr>
      </w:pPr>
      <w:r>
        <w:rPr>
          <w:rFonts w:ascii="Times New Roman" w:eastAsia="宋体"/>
        </w:rPr>
        <w:t>应按照活动的规模大小，设置有足够的通行能力和避免大规模人群聚集的缓冲空间</w:t>
      </w:r>
      <w:r>
        <w:rPr>
          <w:rFonts w:hint="eastAsia" w:ascii="Times New Roman" w:eastAsia="宋体"/>
        </w:rPr>
        <w:t>。</w:t>
      </w:r>
    </w:p>
    <w:p w14:paraId="4AF9070C">
      <w:pPr>
        <w:pStyle w:val="65"/>
        <w:spacing w:before="120" w:after="120"/>
        <w:rPr>
          <w:rFonts w:ascii="Times New Roman" w:eastAsia="宋体"/>
        </w:rPr>
      </w:pPr>
      <w:r>
        <w:rPr>
          <w:rFonts w:ascii="Times New Roman" w:eastAsia="宋体"/>
        </w:rPr>
        <w:t>应在安全通道、楼梯口等设置醒目的安全标志、标识。</w:t>
      </w:r>
    </w:p>
    <w:p w14:paraId="4E9027E8">
      <w:pPr>
        <w:pStyle w:val="104"/>
        <w:spacing w:before="240" w:after="240"/>
      </w:pPr>
      <w:bookmarkStart w:id="54" w:name="_Toc207360743"/>
      <w:r>
        <w:rPr>
          <w:rFonts w:hint="eastAsia"/>
        </w:rPr>
        <w:t>过程管理要求</w:t>
      </w:r>
      <w:bookmarkEnd w:id="54"/>
    </w:p>
    <w:p w14:paraId="434F8A7A">
      <w:pPr>
        <w:pStyle w:val="105"/>
        <w:spacing w:before="120" w:after="120"/>
      </w:pPr>
      <w:bookmarkStart w:id="55" w:name="_Toc207360744"/>
      <w:bookmarkStart w:id="61" w:name="_GoBack"/>
      <w:bookmarkEnd w:id="61"/>
      <w:r>
        <w:rPr>
          <w:rFonts w:hint="eastAsia"/>
        </w:rPr>
        <w:t>策划阶段管理</w:t>
      </w:r>
      <w:bookmarkEnd w:id="55"/>
    </w:p>
    <w:p w14:paraId="5D803074">
      <w:pPr>
        <w:pStyle w:val="56"/>
        <w:ind w:firstLine="420"/>
      </w:pPr>
      <w:r>
        <w:rPr>
          <w:rFonts w:hint="eastAsia"/>
        </w:rPr>
        <w:t>应在策划阶段形成农业科普展览活动方案，方案包括但不限于农业科普展览活动主题、时间、场地、组织单位、内容与形式、宣传和报名、人员分工、应急预案、预算。农业科普展览活动方案具体要求见表</w:t>
      </w:r>
      <w:r>
        <w:t>3</w:t>
      </w:r>
      <w:r>
        <w:rPr>
          <w:rFonts w:hint="eastAsia"/>
        </w:rPr>
        <w:t>。</w:t>
      </w:r>
    </w:p>
    <w:p w14:paraId="19CFAC95">
      <w:pPr>
        <w:pStyle w:val="56"/>
        <w:adjustRightInd w:val="0"/>
        <w:ind w:firstLine="0" w:firstLineChars="0"/>
        <w:jc w:val="center"/>
      </w:pPr>
      <w:r>
        <w:rPr>
          <w:rFonts w:hint="eastAsia" w:ascii="黑体" w:hAnsi="黑体" w:eastAsia="黑体" w:cs="黑体"/>
        </w:rPr>
        <w:t>表3 农业科普展览活动方案要求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9"/>
        <w:gridCol w:w="7655"/>
      </w:tblGrid>
      <w:tr w14:paraId="33DB3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 w:hRule="atLeast"/>
        </w:trPr>
        <w:tc>
          <w:tcPr>
            <w:tcW w:w="1741" w:type="dxa"/>
            <w:tcBorders>
              <w:top w:val="single" w:color="auto" w:sz="8" w:space="0"/>
              <w:bottom w:val="single" w:color="auto" w:sz="8" w:space="0"/>
            </w:tcBorders>
            <w:vAlign w:val="center"/>
          </w:tcPr>
          <w:p w14:paraId="4F1C8CD2">
            <w:pPr>
              <w:pStyle w:val="56"/>
              <w:adjustRightInd w:val="0"/>
              <w:ind w:firstLine="0" w:firstLineChars="0"/>
              <w:jc w:val="center"/>
              <w:rPr>
                <w:rFonts w:ascii="Times New Roman"/>
                <w:sz w:val="18"/>
                <w:szCs w:val="18"/>
              </w:rPr>
            </w:pPr>
            <w:r>
              <w:rPr>
                <w:rFonts w:ascii="Times New Roman"/>
                <w:sz w:val="18"/>
                <w:szCs w:val="18"/>
              </w:rPr>
              <w:t>内容</w:t>
            </w:r>
          </w:p>
        </w:tc>
        <w:tc>
          <w:tcPr>
            <w:tcW w:w="7829" w:type="dxa"/>
            <w:tcBorders>
              <w:top w:val="single" w:color="auto" w:sz="8" w:space="0"/>
              <w:bottom w:val="single" w:color="auto" w:sz="8" w:space="0"/>
            </w:tcBorders>
            <w:vAlign w:val="center"/>
          </w:tcPr>
          <w:p w14:paraId="15533314">
            <w:pPr>
              <w:pStyle w:val="56"/>
              <w:adjustRightInd w:val="0"/>
              <w:ind w:firstLine="0" w:firstLineChars="0"/>
              <w:jc w:val="center"/>
              <w:rPr>
                <w:rFonts w:ascii="Times New Roman"/>
                <w:sz w:val="18"/>
                <w:szCs w:val="18"/>
              </w:rPr>
            </w:pPr>
            <w:r>
              <w:rPr>
                <w:rFonts w:ascii="Times New Roman"/>
                <w:sz w:val="18"/>
                <w:szCs w:val="18"/>
              </w:rPr>
              <w:t>要求</w:t>
            </w:r>
          </w:p>
        </w:tc>
      </w:tr>
      <w:tr w14:paraId="22E3C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tcBorders>
              <w:top w:val="single" w:color="auto" w:sz="8" w:space="0"/>
            </w:tcBorders>
            <w:vAlign w:val="center"/>
          </w:tcPr>
          <w:p w14:paraId="7AF86E91">
            <w:pPr>
              <w:pStyle w:val="56"/>
              <w:adjustRightInd w:val="0"/>
              <w:ind w:firstLine="180" w:firstLineChars="100"/>
              <w:jc w:val="left"/>
              <w:rPr>
                <w:rFonts w:ascii="Times New Roman"/>
                <w:sz w:val="18"/>
                <w:szCs w:val="18"/>
              </w:rPr>
            </w:pPr>
            <w:r>
              <w:rPr>
                <w:rFonts w:ascii="Times New Roman"/>
                <w:sz w:val="18"/>
                <w:szCs w:val="18"/>
              </w:rPr>
              <w:t>活动主题</w:t>
            </w:r>
          </w:p>
        </w:tc>
        <w:tc>
          <w:tcPr>
            <w:tcW w:w="7829" w:type="dxa"/>
            <w:tcBorders>
              <w:top w:val="single" w:color="auto" w:sz="8" w:space="0"/>
            </w:tcBorders>
            <w:vAlign w:val="center"/>
          </w:tcPr>
          <w:p w14:paraId="27B697A1">
            <w:pPr>
              <w:pStyle w:val="56"/>
              <w:adjustRightInd w:val="0"/>
              <w:ind w:firstLine="180" w:firstLineChars="100"/>
              <w:jc w:val="left"/>
              <w:rPr>
                <w:rFonts w:hint="eastAsia" w:hAnsi="宋体" w:cs="宋体"/>
                <w:sz w:val="18"/>
                <w:szCs w:val="18"/>
              </w:rPr>
            </w:pPr>
            <w:r>
              <w:rPr>
                <w:rFonts w:hint="eastAsia" w:hAnsi="宋体" w:cs="宋体"/>
                <w:sz w:val="18"/>
                <w:szCs w:val="18"/>
              </w:rPr>
              <w:t>从解读与农业相关的国家政策、前沿科技、社会热点、科学家精神以及澄清科学类谣言等方向进行选题。</w:t>
            </w:r>
          </w:p>
        </w:tc>
      </w:tr>
      <w:tr w14:paraId="63F48C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170EE520">
            <w:pPr>
              <w:pStyle w:val="56"/>
              <w:adjustRightInd w:val="0"/>
              <w:ind w:firstLine="180" w:firstLineChars="100"/>
              <w:jc w:val="left"/>
              <w:rPr>
                <w:rFonts w:ascii="Times New Roman"/>
                <w:sz w:val="18"/>
                <w:szCs w:val="18"/>
              </w:rPr>
            </w:pPr>
            <w:r>
              <w:rPr>
                <w:rFonts w:ascii="Times New Roman"/>
                <w:sz w:val="18"/>
                <w:szCs w:val="18"/>
              </w:rPr>
              <w:t>时间</w:t>
            </w:r>
          </w:p>
        </w:tc>
        <w:tc>
          <w:tcPr>
            <w:tcW w:w="7829" w:type="dxa"/>
            <w:vAlign w:val="center"/>
          </w:tcPr>
          <w:p w14:paraId="3178B772">
            <w:pPr>
              <w:pStyle w:val="56"/>
              <w:numPr>
                <w:ilvl w:val="0"/>
                <w:numId w:val="42"/>
              </w:numPr>
              <w:adjustRightInd w:val="0"/>
              <w:ind w:firstLine="180" w:firstLineChars="100"/>
              <w:jc w:val="left"/>
              <w:rPr>
                <w:rFonts w:hint="eastAsia" w:hAnsi="宋体" w:cs="宋体"/>
                <w:sz w:val="18"/>
                <w:szCs w:val="18"/>
              </w:rPr>
            </w:pPr>
            <w:r>
              <w:rPr>
                <w:rFonts w:hint="eastAsia" w:hAnsi="宋体" w:cs="宋体"/>
                <w:sz w:val="18"/>
                <w:szCs w:val="18"/>
              </w:rPr>
              <w:t>确定展览活动的起始、结束时间；</w:t>
            </w:r>
          </w:p>
          <w:p w14:paraId="7F225A71">
            <w:pPr>
              <w:pStyle w:val="56"/>
              <w:numPr>
                <w:ilvl w:val="0"/>
                <w:numId w:val="42"/>
              </w:numPr>
              <w:adjustRightInd w:val="0"/>
              <w:ind w:firstLine="180" w:firstLineChars="100"/>
              <w:jc w:val="left"/>
              <w:rPr>
                <w:rFonts w:hint="eastAsia" w:hAnsi="宋体" w:cs="宋体"/>
                <w:sz w:val="18"/>
                <w:szCs w:val="18"/>
              </w:rPr>
            </w:pPr>
            <w:r>
              <w:rPr>
                <w:rFonts w:hint="eastAsia" w:hAnsi="宋体" w:cs="宋体"/>
                <w:sz w:val="18"/>
                <w:szCs w:val="18"/>
              </w:rPr>
              <w:t>根据展览时间可将展览分为临时展览和常设展览，临时展览时间为3个月以内，常设展览时间为3个月以上。</w:t>
            </w:r>
          </w:p>
        </w:tc>
      </w:tr>
      <w:tr w14:paraId="20CFA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37C1B00E">
            <w:pPr>
              <w:pStyle w:val="56"/>
              <w:adjustRightInd w:val="0"/>
              <w:ind w:firstLine="180" w:firstLineChars="100"/>
              <w:jc w:val="left"/>
              <w:rPr>
                <w:rFonts w:ascii="Times New Roman"/>
                <w:sz w:val="18"/>
                <w:szCs w:val="18"/>
              </w:rPr>
            </w:pPr>
            <w:r>
              <w:rPr>
                <w:rFonts w:ascii="Times New Roman"/>
                <w:sz w:val="18"/>
                <w:szCs w:val="18"/>
              </w:rPr>
              <w:t>场地</w:t>
            </w:r>
          </w:p>
        </w:tc>
        <w:tc>
          <w:tcPr>
            <w:tcW w:w="7829" w:type="dxa"/>
            <w:vAlign w:val="center"/>
          </w:tcPr>
          <w:p w14:paraId="1C8BDBF6">
            <w:pPr>
              <w:pStyle w:val="56"/>
              <w:numPr>
                <w:ilvl w:val="0"/>
                <w:numId w:val="43"/>
              </w:numPr>
              <w:adjustRightInd w:val="0"/>
              <w:ind w:firstLine="180" w:firstLineChars="100"/>
              <w:jc w:val="left"/>
              <w:rPr>
                <w:rFonts w:hint="eastAsia" w:hAnsi="宋体" w:cs="宋体"/>
                <w:sz w:val="18"/>
                <w:szCs w:val="18"/>
              </w:rPr>
            </w:pPr>
            <w:r>
              <w:rPr>
                <w:rFonts w:hint="eastAsia" w:hAnsi="宋体" w:cs="宋体"/>
                <w:sz w:val="18"/>
                <w:szCs w:val="18"/>
              </w:rPr>
              <w:t>展览场地分为室内和室外两种类型；</w:t>
            </w:r>
          </w:p>
          <w:p w14:paraId="3C821BCC">
            <w:pPr>
              <w:pStyle w:val="56"/>
              <w:numPr>
                <w:ilvl w:val="0"/>
                <w:numId w:val="43"/>
              </w:numPr>
              <w:adjustRightInd w:val="0"/>
              <w:ind w:firstLine="180" w:firstLineChars="100"/>
              <w:jc w:val="left"/>
              <w:rPr>
                <w:rFonts w:hint="eastAsia" w:hAnsi="宋体" w:cs="宋体"/>
                <w:sz w:val="18"/>
                <w:szCs w:val="18"/>
              </w:rPr>
            </w:pPr>
            <w:r>
              <w:rPr>
                <w:rFonts w:hint="eastAsia" w:hAnsi="宋体" w:cs="宋体"/>
                <w:sz w:val="18"/>
                <w:szCs w:val="18"/>
              </w:rPr>
              <w:t>应根据农业科普展览活动规模和需求选择合适的展览场地；</w:t>
            </w:r>
          </w:p>
          <w:p w14:paraId="66713A1F">
            <w:pPr>
              <w:pStyle w:val="56"/>
              <w:numPr>
                <w:ilvl w:val="0"/>
                <w:numId w:val="43"/>
              </w:numPr>
              <w:adjustRightInd w:val="0"/>
              <w:ind w:firstLine="180" w:firstLineChars="100"/>
              <w:jc w:val="left"/>
              <w:rPr>
                <w:rFonts w:hint="eastAsia" w:hAnsi="宋体" w:cs="宋体"/>
                <w:sz w:val="18"/>
                <w:szCs w:val="18"/>
              </w:rPr>
            </w:pPr>
            <w:r>
              <w:rPr>
                <w:rFonts w:hint="eastAsia" w:hAnsi="宋体" w:cs="宋体"/>
                <w:sz w:val="18"/>
                <w:szCs w:val="18"/>
              </w:rPr>
              <w:t>应选择安全、交通便利、环境良好、能够容纳相应人流量的场地。</w:t>
            </w:r>
          </w:p>
        </w:tc>
      </w:tr>
      <w:tr w14:paraId="2873F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5A87AFDE">
            <w:pPr>
              <w:pStyle w:val="56"/>
              <w:adjustRightInd w:val="0"/>
              <w:ind w:firstLine="180" w:firstLineChars="100"/>
              <w:jc w:val="left"/>
              <w:rPr>
                <w:rFonts w:ascii="Times New Roman"/>
                <w:sz w:val="18"/>
                <w:szCs w:val="18"/>
              </w:rPr>
            </w:pPr>
            <w:r>
              <w:rPr>
                <w:rFonts w:ascii="Times New Roman"/>
                <w:sz w:val="18"/>
                <w:szCs w:val="18"/>
              </w:rPr>
              <w:t>组织单位</w:t>
            </w:r>
          </w:p>
        </w:tc>
        <w:tc>
          <w:tcPr>
            <w:tcW w:w="7829" w:type="dxa"/>
            <w:vAlign w:val="center"/>
          </w:tcPr>
          <w:p w14:paraId="2272C81E">
            <w:pPr>
              <w:pStyle w:val="56"/>
              <w:adjustRightInd w:val="0"/>
              <w:ind w:firstLine="180" w:firstLineChars="100"/>
              <w:jc w:val="left"/>
              <w:rPr>
                <w:rFonts w:hint="eastAsia" w:hAnsi="宋体" w:cs="宋体"/>
                <w:sz w:val="18"/>
                <w:szCs w:val="18"/>
              </w:rPr>
            </w:pPr>
            <w:r>
              <w:rPr>
                <w:rFonts w:hint="eastAsia" w:hAnsi="宋体" w:cs="宋体"/>
                <w:sz w:val="18"/>
                <w:szCs w:val="18"/>
              </w:rPr>
              <w:t>应包括指导单位、主办单位、承办单位、协办单位等。</w:t>
            </w:r>
          </w:p>
        </w:tc>
      </w:tr>
      <w:tr w14:paraId="447B1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033F1C01">
            <w:pPr>
              <w:pStyle w:val="56"/>
              <w:adjustRightInd w:val="0"/>
              <w:ind w:firstLine="180" w:firstLineChars="100"/>
              <w:jc w:val="left"/>
              <w:rPr>
                <w:rFonts w:ascii="Times New Roman"/>
                <w:sz w:val="18"/>
                <w:szCs w:val="18"/>
              </w:rPr>
            </w:pPr>
            <w:r>
              <w:rPr>
                <w:rFonts w:ascii="Times New Roman"/>
                <w:sz w:val="18"/>
                <w:szCs w:val="18"/>
              </w:rPr>
              <w:t>内容与形式</w:t>
            </w:r>
          </w:p>
        </w:tc>
        <w:tc>
          <w:tcPr>
            <w:tcW w:w="7829" w:type="dxa"/>
            <w:vAlign w:val="center"/>
          </w:tcPr>
          <w:p w14:paraId="2721F847">
            <w:pPr>
              <w:pStyle w:val="56"/>
              <w:numPr>
                <w:ilvl w:val="0"/>
                <w:numId w:val="44"/>
              </w:numPr>
              <w:adjustRightInd w:val="0"/>
              <w:ind w:firstLine="180" w:firstLineChars="100"/>
              <w:jc w:val="left"/>
              <w:rPr>
                <w:rFonts w:hint="eastAsia" w:hAnsi="宋体" w:cs="宋体"/>
                <w:sz w:val="18"/>
                <w:szCs w:val="18"/>
              </w:rPr>
            </w:pPr>
            <w:r>
              <w:rPr>
                <w:rFonts w:hint="eastAsia" w:hAnsi="宋体" w:cs="宋体"/>
                <w:sz w:val="18"/>
                <w:szCs w:val="18"/>
              </w:rPr>
              <w:t>展览内容应包括农作物、农机设备等实物展品、数字展品、辅助载体；</w:t>
            </w:r>
          </w:p>
          <w:p w14:paraId="5D3E9230">
            <w:pPr>
              <w:pStyle w:val="56"/>
              <w:numPr>
                <w:ilvl w:val="0"/>
                <w:numId w:val="44"/>
              </w:numPr>
              <w:adjustRightInd w:val="0"/>
              <w:ind w:firstLine="180" w:firstLineChars="100"/>
              <w:jc w:val="left"/>
              <w:rPr>
                <w:rFonts w:hint="eastAsia" w:hAnsi="宋体" w:cs="宋体"/>
                <w:sz w:val="18"/>
                <w:szCs w:val="18"/>
              </w:rPr>
            </w:pPr>
            <w:r>
              <w:rPr>
                <w:rFonts w:hint="eastAsia" w:hAnsi="宋体" w:cs="宋体"/>
                <w:sz w:val="18"/>
                <w:szCs w:val="18"/>
              </w:rPr>
              <w:t>展览形式包括线上、线下及线上线下相结合的形式。</w:t>
            </w:r>
          </w:p>
        </w:tc>
      </w:tr>
      <w:tr w14:paraId="677E2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411A1465">
            <w:pPr>
              <w:pStyle w:val="56"/>
              <w:adjustRightInd w:val="0"/>
              <w:ind w:firstLine="180" w:firstLineChars="100"/>
              <w:jc w:val="left"/>
              <w:rPr>
                <w:rFonts w:ascii="Times New Roman"/>
                <w:sz w:val="18"/>
                <w:szCs w:val="18"/>
              </w:rPr>
            </w:pPr>
            <w:r>
              <w:rPr>
                <w:rFonts w:ascii="Times New Roman"/>
                <w:sz w:val="18"/>
                <w:szCs w:val="18"/>
              </w:rPr>
              <w:t>人员分工</w:t>
            </w:r>
          </w:p>
        </w:tc>
        <w:tc>
          <w:tcPr>
            <w:tcW w:w="7829" w:type="dxa"/>
            <w:vAlign w:val="center"/>
          </w:tcPr>
          <w:p w14:paraId="208D4ADF">
            <w:pPr>
              <w:pStyle w:val="56"/>
              <w:adjustRightInd w:val="0"/>
              <w:ind w:firstLine="180" w:firstLineChars="100"/>
              <w:jc w:val="left"/>
              <w:rPr>
                <w:rFonts w:hint="eastAsia" w:hAnsi="宋体" w:cs="宋体"/>
                <w:sz w:val="18"/>
                <w:szCs w:val="18"/>
              </w:rPr>
            </w:pPr>
            <w:r>
              <w:rPr>
                <w:rFonts w:hint="eastAsia" w:hAnsi="宋体" w:cs="宋体"/>
                <w:sz w:val="18"/>
                <w:szCs w:val="18"/>
              </w:rPr>
              <w:t>参照4 人员管理执行。</w:t>
            </w:r>
          </w:p>
        </w:tc>
      </w:tr>
      <w:tr w14:paraId="257C4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6CCDB490">
            <w:pPr>
              <w:pStyle w:val="56"/>
              <w:adjustRightInd w:val="0"/>
              <w:ind w:firstLine="180" w:firstLineChars="100"/>
              <w:jc w:val="left"/>
              <w:rPr>
                <w:rFonts w:ascii="Times New Roman"/>
                <w:sz w:val="18"/>
                <w:szCs w:val="18"/>
              </w:rPr>
            </w:pPr>
            <w:r>
              <w:rPr>
                <w:rFonts w:ascii="Times New Roman"/>
                <w:sz w:val="18"/>
                <w:szCs w:val="18"/>
              </w:rPr>
              <w:t>宣传和报名</w:t>
            </w:r>
          </w:p>
        </w:tc>
        <w:tc>
          <w:tcPr>
            <w:tcW w:w="7829" w:type="dxa"/>
            <w:vAlign w:val="center"/>
          </w:tcPr>
          <w:p w14:paraId="2A94FA3D">
            <w:pPr>
              <w:pStyle w:val="56"/>
              <w:numPr>
                <w:ilvl w:val="0"/>
                <w:numId w:val="45"/>
              </w:numPr>
              <w:adjustRightInd w:val="0"/>
              <w:ind w:firstLine="180" w:firstLineChars="100"/>
              <w:jc w:val="left"/>
              <w:rPr>
                <w:rFonts w:hint="eastAsia" w:hAnsi="宋体" w:cs="宋体"/>
                <w:sz w:val="18"/>
                <w:szCs w:val="18"/>
              </w:rPr>
            </w:pPr>
            <w:r>
              <w:rPr>
                <w:rFonts w:hint="eastAsia" w:hAnsi="宋体" w:cs="宋体"/>
                <w:sz w:val="18"/>
                <w:szCs w:val="18"/>
              </w:rPr>
              <w:t>宣传过程应包括活动前期宣传、活动过程宣传以及活动结束宣传；</w:t>
            </w:r>
          </w:p>
          <w:p w14:paraId="3050CECD">
            <w:pPr>
              <w:pStyle w:val="56"/>
              <w:numPr>
                <w:ilvl w:val="0"/>
                <w:numId w:val="45"/>
              </w:numPr>
              <w:adjustRightInd w:val="0"/>
              <w:ind w:firstLine="180" w:firstLineChars="100"/>
              <w:jc w:val="left"/>
              <w:rPr>
                <w:rFonts w:hint="eastAsia" w:hAnsi="宋体" w:cs="宋体"/>
                <w:sz w:val="18"/>
                <w:szCs w:val="18"/>
              </w:rPr>
            </w:pPr>
            <w:r>
              <w:rPr>
                <w:rFonts w:hint="eastAsia" w:hAnsi="宋体" w:cs="宋体"/>
                <w:sz w:val="18"/>
                <w:szCs w:val="18"/>
              </w:rPr>
              <w:t>宣传渠道包括微信公众号/视频号、小红书等线上宣传和发放传单、张贴海报等线下宣传。</w:t>
            </w:r>
          </w:p>
          <w:p w14:paraId="271A63BE">
            <w:pPr>
              <w:pStyle w:val="56"/>
              <w:numPr>
                <w:ilvl w:val="0"/>
                <w:numId w:val="45"/>
              </w:numPr>
              <w:adjustRightInd w:val="0"/>
              <w:ind w:firstLine="180" w:firstLineChars="100"/>
              <w:jc w:val="left"/>
              <w:rPr>
                <w:rFonts w:hint="eastAsia" w:hAnsi="宋体" w:cs="宋体"/>
                <w:sz w:val="18"/>
                <w:szCs w:val="18"/>
              </w:rPr>
            </w:pPr>
            <w:r>
              <w:rPr>
                <w:rFonts w:hint="eastAsia" w:hAnsi="宋体" w:cs="宋体"/>
                <w:sz w:val="18"/>
                <w:szCs w:val="18"/>
              </w:rPr>
              <w:t>宣传内容应包括展览介绍、导览路线、报名信息、安全须知等；</w:t>
            </w:r>
          </w:p>
          <w:p w14:paraId="3A713EA0">
            <w:pPr>
              <w:pStyle w:val="56"/>
              <w:numPr>
                <w:ilvl w:val="0"/>
                <w:numId w:val="45"/>
              </w:numPr>
              <w:adjustRightInd w:val="0"/>
              <w:ind w:firstLine="180" w:firstLineChars="100"/>
              <w:jc w:val="left"/>
              <w:rPr>
                <w:rFonts w:hint="eastAsia" w:hAnsi="宋体" w:cs="宋体"/>
                <w:sz w:val="18"/>
                <w:szCs w:val="18"/>
              </w:rPr>
            </w:pPr>
            <w:r>
              <w:rPr>
                <w:rFonts w:hint="eastAsia" w:hAnsi="宋体" w:cs="宋体"/>
                <w:sz w:val="18"/>
                <w:szCs w:val="18"/>
              </w:rPr>
              <w:t>报名方式应采用微信公众号报名、官方网站报名、电话报名、现场报名等。</w:t>
            </w:r>
          </w:p>
        </w:tc>
      </w:tr>
      <w:tr w14:paraId="70030A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2BF0A8CC">
            <w:pPr>
              <w:pStyle w:val="56"/>
              <w:adjustRightInd w:val="0"/>
              <w:ind w:firstLine="180" w:firstLineChars="100"/>
              <w:jc w:val="left"/>
              <w:rPr>
                <w:rFonts w:ascii="Times New Roman"/>
                <w:sz w:val="18"/>
                <w:szCs w:val="18"/>
              </w:rPr>
            </w:pPr>
            <w:r>
              <w:rPr>
                <w:rFonts w:ascii="Times New Roman"/>
                <w:sz w:val="18"/>
                <w:szCs w:val="18"/>
              </w:rPr>
              <w:t>应急预案</w:t>
            </w:r>
          </w:p>
        </w:tc>
        <w:tc>
          <w:tcPr>
            <w:tcW w:w="7829" w:type="dxa"/>
            <w:vAlign w:val="center"/>
          </w:tcPr>
          <w:p w14:paraId="4A885680">
            <w:pPr>
              <w:pStyle w:val="56"/>
              <w:adjustRightInd w:val="0"/>
              <w:ind w:firstLine="180" w:firstLineChars="100"/>
              <w:jc w:val="left"/>
              <w:rPr>
                <w:rFonts w:hint="eastAsia" w:hAnsi="宋体" w:cs="宋体"/>
                <w:sz w:val="18"/>
                <w:szCs w:val="18"/>
              </w:rPr>
            </w:pPr>
            <w:r>
              <w:rPr>
                <w:rFonts w:hint="eastAsia" w:hAnsi="宋体" w:cs="宋体"/>
                <w:sz w:val="18"/>
                <w:szCs w:val="18"/>
              </w:rPr>
              <w:t>应制定活动应急预案，应急预案的内容包括：</w:t>
            </w:r>
          </w:p>
          <w:p w14:paraId="6B6B55C6">
            <w:pPr>
              <w:pStyle w:val="56"/>
              <w:adjustRightInd w:val="0"/>
              <w:ind w:firstLine="180" w:firstLineChars="100"/>
              <w:jc w:val="left"/>
              <w:rPr>
                <w:rFonts w:hint="eastAsia" w:hAnsi="宋体" w:cs="宋体"/>
                <w:sz w:val="18"/>
                <w:szCs w:val="18"/>
              </w:rPr>
            </w:pPr>
            <w:r>
              <w:rPr>
                <w:rFonts w:hint="eastAsia" w:hAnsi="宋体" w:cs="宋体"/>
                <w:sz w:val="18"/>
                <w:szCs w:val="18"/>
              </w:rPr>
              <w:t>——突发事件应急处置原则；</w:t>
            </w:r>
          </w:p>
          <w:p w14:paraId="0FC66EA4">
            <w:pPr>
              <w:pStyle w:val="56"/>
              <w:adjustRightInd w:val="0"/>
              <w:ind w:firstLine="180" w:firstLineChars="100"/>
              <w:jc w:val="left"/>
              <w:rPr>
                <w:rFonts w:hint="eastAsia" w:hAnsi="宋体" w:cs="宋体"/>
                <w:sz w:val="18"/>
                <w:szCs w:val="18"/>
              </w:rPr>
            </w:pPr>
            <w:r>
              <w:rPr>
                <w:rFonts w:hint="eastAsia" w:hAnsi="宋体" w:cs="宋体"/>
                <w:sz w:val="18"/>
                <w:szCs w:val="18"/>
              </w:rPr>
              <w:t>——应急指挥系统的构成；</w:t>
            </w:r>
          </w:p>
          <w:p w14:paraId="4A8F37A9">
            <w:pPr>
              <w:pStyle w:val="56"/>
              <w:adjustRightInd w:val="0"/>
              <w:ind w:firstLine="180" w:firstLineChars="100"/>
              <w:jc w:val="left"/>
              <w:rPr>
                <w:rFonts w:hint="eastAsia" w:hAnsi="宋体" w:cs="宋体"/>
                <w:sz w:val="18"/>
                <w:szCs w:val="18"/>
              </w:rPr>
            </w:pPr>
            <w:r>
              <w:rPr>
                <w:rFonts w:hint="eastAsia" w:hAnsi="宋体" w:cs="宋体"/>
                <w:sz w:val="18"/>
                <w:szCs w:val="18"/>
              </w:rPr>
              <w:t>——应急处置力量及各岗位职责任务分工和责任人；</w:t>
            </w:r>
          </w:p>
          <w:p w14:paraId="73571D11">
            <w:pPr>
              <w:pStyle w:val="56"/>
              <w:adjustRightInd w:val="0"/>
              <w:ind w:firstLine="180" w:firstLineChars="100"/>
              <w:jc w:val="left"/>
              <w:rPr>
                <w:rFonts w:hint="eastAsia" w:hAnsi="宋体" w:cs="宋体"/>
                <w:sz w:val="18"/>
                <w:szCs w:val="18"/>
              </w:rPr>
            </w:pPr>
            <w:r>
              <w:rPr>
                <w:rFonts w:hint="eastAsia" w:hAnsi="宋体" w:cs="宋体"/>
                <w:sz w:val="18"/>
                <w:szCs w:val="18"/>
              </w:rPr>
              <w:t>——紧急疏散、抢险自救、应急处置措施等。</w:t>
            </w:r>
          </w:p>
        </w:tc>
      </w:tr>
      <w:tr w14:paraId="33D83B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741" w:type="dxa"/>
            <w:vAlign w:val="center"/>
          </w:tcPr>
          <w:p w14:paraId="3FBFCE5A">
            <w:pPr>
              <w:pStyle w:val="56"/>
              <w:adjustRightInd w:val="0"/>
              <w:ind w:firstLine="180" w:firstLineChars="100"/>
              <w:jc w:val="left"/>
              <w:rPr>
                <w:rFonts w:ascii="Times New Roman"/>
                <w:sz w:val="18"/>
                <w:szCs w:val="18"/>
              </w:rPr>
            </w:pPr>
            <w:r>
              <w:rPr>
                <w:rFonts w:ascii="Times New Roman"/>
                <w:sz w:val="18"/>
                <w:szCs w:val="18"/>
              </w:rPr>
              <w:t>预算</w:t>
            </w:r>
          </w:p>
        </w:tc>
        <w:tc>
          <w:tcPr>
            <w:tcW w:w="7829" w:type="dxa"/>
            <w:vAlign w:val="center"/>
          </w:tcPr>
          <w:p w14:paraId="3C5C1682">
            <w:pPr>
              <w:pStyle w:val="56"/>
              <w:adjustRightInd w:val="0"/>
              <w:ind w:firstLine="180" w:firstLineChars="100"/>
              <w:jc w:val="left"/>
              <w:rPr>
                <w:rFonts w:hint="eastAsia" w:hAnsi="宋体" w:cs="宋体"/>
                <w:sz w:val="18"/>
                <w:szCs w:val="18"/>
              </w:rPr>
            </w:pPr>
            <w:r>
              <w:rPr>
                <w:rFonts w:hint="eastAsia" w:hAnsi="宋体" w:cs="宋体"/>
                <w:sz w:val="18"/>
                <w:szCs w:val="18"/>
              </w:rPr>
              <w:t>活动预算应包括场地与基础设施费用、展览内容制作费用、宣传与推广费用、工作人员费用、设备与后勤保障费用等。</w:t>
            </w:r>
          </w:p>
        </w:tc>
      </w:tr>
    </w:tbl>
    <w:p w14:paraId="096E0D97">
      <w:pPr>
        <w:pStyle w:val="105"/>
        <w:spacing w:before="120" w:after="120"/>
      </w:pPr>
      <w:bookmarkStart w:id="56" w:name="_Toc207360745"/>
      <w:r>
        <w:rPr>
          <w:rFonts w:hint="eastAsia"/>
        </w:rPr>
        <w:t>布展阶段管理</w:t>
      </w:r>
      <w:bookmarkEnd w:id="56"/>
    </w:p>
    <w:p w14:paraId="5E0C06A9">
      <w:pPr>
        <w:pStyle w:val="65"/>
        <w:spacing w:before="120" w:after="120"/>
      </w:pPr>
      <w:r>
        <w:rPr>
          <w:rFonts w:hint="eastAsia"/>
          <w:snapToGrid w:val="0"/>
        </w:rPr>
        <w:t>展览内容创作与设计</w:t>
      </w:r>
    </w:p>
    <w:p w14:paraId="0E687310">
      <w:pPr>
        <w:pStyle w:val="164"/>
      </w:pPr>
      <w:r>
        <w:rPr>
          <w:rFonts w:hint="eastAsia"/>
        </w:rPr>
        <w:t>展览内容应以农业科学理论和实践成果为依据，传达的信息需准确、规范、真实可靠。</w:t>
      </w:r>
    </w:p>
    <w:p w14:paraId="5812F558">
      <w:pPr>
        <w:pStyle w:val="164"/>
      </w:pPr>
      <w:r>
        <w:rPr>
          <w:rFonts w:hint="eastAsia"/>
        </w:rPr>
        <w:t>展览</w:t>
      </w:r>
      <w:r>
        <w:rPr>
          <w:rFonts w:ascii="Times New Roman"/>
        </w:rPr>
        <w:t>内容的基</w:t>
      </w:r>
      <w:r>
        <w:t>本说明宜增设外文，并对生僻字提供中文拼音。应把中文放在首位，其他文种排在后面。中文、英文、数字宜采用GB/T 31384推荐的字体，</w:t>
      </w:r>
      <w:r>
        <w:rPr>
          <w:rFonts w:hint="eastAsia"/>
        </w:rPr>
        <w:t>也可根据设置场景的实际情况使用其他易于识别的规范字体，动植物的拉丁学名应按规范书写。</w:t>
      </w:r>
    </w:p>
    <w:p w14:paraId="6A5B0436">
      <w:pPr>
        <w:pStyle w:val="164"/>
      </w:pPr>
      <w:r>
        <w:rPr>
          <w:rFonts w:hint="eastAsia"/>
        </w:rPr>
        <w:t>展览设计应图文结合，布局合理，设置有趣味性和互动性的形式。</w:t>
      </w:r>
      <w:r>
        <w:rPr>
          <w:rFonts w:ascii="Times New Roman"/>
        </w:rPr>
        <w:t>​</w:t>
      </w:r>
    </w:p>
    <w:p w14:paraId="40BD8441">
      <w:pPr>
        <w:pStyle w:val="164"/>
      </w:pPr>
      <w:r>
        <w:rPr>
          <w:rFonts w:hint="eastAsia"/>
        </w:rPr>
        <w:t>展览</w:t>
      </w:r>
      <w:r>
        <w:t>可</w:t>
      </w:r>
      <w:r>
        <w:rPr>
          <w:rFonts w:hint="eastAsia"/>
        </w:rPr>
        <w:t>通</w:t>
      </w:r>
      <w:r>
        <w:rPr>
          <w:rFonts w:hint="eastAsia" w:ascii="Times New Roman"/>
        </w:rPr>
        <w:t>过</w:t>
      </w:r>
      <w:r>
        <w:rPr>
          <w:rFonts w:ascii="Times New Roman"/>
        </w:rPr>
        <w:t>发放</w:t>
      </w:r>
      <w:r>
        <w:rPr>
          <w:rFonts w:hint="eastAsia" w:ascii="Times New Roman"/>
        </w:rPr>
        <w:t>农业科普折页</w:t>
      </w:r>
      <w:r>
        <w:rPr>
          <w:rFonts w:ascii="Times New Roman"/>
        </w:rPr>
        <w:t>、</w:t>
      </w:r>
      <w:r>
        <w:rPr>
          <w:rFonts w:hint="eastAsia" w:ascii="Times New Roman"/>
        </w:rPr>
        <w:t>展播多媒体农业</w:t>
      </w:r>
      <w:r>
        <w:rPr>
          <w:rFonts w:ascii="Times New Roman"/>
        </w:rPr>
        <w:t>科普内容</w:t>
      </w:r>
      <w:r>
        <w:rPr>
          <w:rFonts w:hint="eastAsia" w:ascii="Times New Roman"/>
        </w:rPr>
        <w:t>、</w:t>
      </w:r>
      <w:r>
        <w:rPr>
          <w:rFonts w:ascii="Times New Roman"/>
        </w:rPr>
        <w:t>提供</w:t>
      </w:r>
      <w:r>
        <w:rPr>
          <w:rFonts w:hint="eastAsia" w:ascii="Times New Roman"/>
        </w:rPr>
        <w:t>农事</w:t>
      </w:r>
      <w:r>
        <w:rPr>
          <w:rFonts w:ascii="Times New Roman"/>
        </w:rPr>
        <w:t>互动体验等</w:t>
      </w:r>
      <w:r>
        <w:rPr>
          <w:rFonts w:hint="eastAsia" w:ascii="Times New Roman"/>
        </w:rPr>
        <w:t>多种形式进行设计。</w:t>
      </w:r>
    </w:p>
    <w:p w14:paraId="41877606">
      <w:pPr>
        <w:pStyle w:val="65"/>
        <w:spacing w:before="120" w:after="120"/>
      </w:pPr>
      <w:r>
        <w:rPr>
          <w:rFonts w:hint="eastAsia"/>
        </w:rPr>
        <w:t>展品收集</w:t>
      </w:r>
    </w:p>
    <w:p w14:paraId="04C797CE">
      <w:pPr>
        <w:pStyle w:val="164"/>
      </w:pPr>
      <w:r>
        <w:rPr>
          <w:rFonts w:hint="eastAsia"/>
        </w:rPr>
        <w:t>应通过社会征集、调取或借用、复刻等途径收集农作物、农产品、农业文献、传统农具实物、智慧农业设备等与农业相关的展品，且</w:t>
      </w:r>
      <w:r>
        <w:t>明确</w:t>
      </w:r>
      <w:r>
        <w:rPr>
          <w:rFonts w:hint="eastAsia"/>
        </w:rPr>
        <w:t>展品的</w:t>
      </w:r>
      <w:r>
        <w:t>来源合法性、运输保护标准、仓储环境要求及出入库登记流程</w:t>
      </w:r>
      <w:r>
        <w:rPr>
          <w:rFonts w:hint="eastAsia"/>
        </w:rPr>
        <w:t>等</w:t>
      </w:r>
      <w:r>
        <w:t>。</w:t>
      </w:r>
    </w:p>
    <w:p w14:paraId="78176238">
      <w:pPr>
        <w:pStyle w:val="164"/>
      </w:pPr>
      <w:r>
        <w:rPr>
          <w:rFonts w:hint="eastAsia"/>
        </w:rPr>
        <w:t>应对收集到的展品进行分类整理、检查评估等，形成展品清单。</w:t>
      </w:r>
    </w:p>
    <w:p w14:paraId="341FFAE0">
      <w:pPr>
        <w:pStyle w:val="65"/>
        <w:spacing w:before="120" w:after="120"/>
        <w:rPr>
          <w:snapToGrid w:val="0"/>
        </w:rPr>
      </w:pPr>
      <w:r>
        <w:rPr>
          <w:rFonts w:hint="eastAsia"/>
          <w:snapToGrid w:val="0"/>
        </w:rPr>
        <w:t>展览内容制作</w:t>
      </w:r>
    </w:p>
    <w:p w14:paraId="49E83905">
      <w:pPr>
        <w:pStyle w:val="164"/>
      </w:pPr>
      <w:r>
        <w:rPr>
          <w:rFonts w:hint="eastAsia"/>
        </w:rPr>
        <w:t>展览内容制作使用的材料应选用防水、防晒、防腐、环保的材料，符合可持续发展理念。</w:t>
      </w:r>
    </w:p>
    <w:p w14:paraId="6CE03FE4">
      <w:pPr>
        <w:pStyle w:val="164"/>
      </w:pPr>
      <w:r>
        <w:rPr>
          <w:rFonts w:hint="eastAsia"/>
        </w:rPr>
        <w:t>核对展览内容，确保内容准确无误</w:t>
      </w:r>
      <w:r>
        <w:t>。</w:t>
      </w:r>
    </w:p>
    <w:p w14:paraId="72000E2D">
      <w:pPr>
        <w:pStyle w:val="65"/>
        <w:spacing w:before="120" w:after="120"/>
        <w:rPr>
          <w:snapToGrid w:val="0"/>
        </w:rPr>
      </w:pPr>
      <w:r>
        <w:rPr>
          <w:rFonts w:hint="eastAsia"/>
          <w:snapToGrid w:val="0"/>
        </w:rPr>
        <w:t>展览布置</w:t>
      </w:r>
    </w:p>
    <w:p w14:paraId="072CDA66">
      <w:pPr>
        <w:pStyle w:val="164"/>
      </w:pPr>
      <w:r>
        <w:rPr>
          <w:rFonts w:hint="eastAsia"/>
        </w:rPr>
        <w:t>展览布置应</w:t>
      </w:r>
      <w:r>
        <w:t>遵循安全、美观、便于观看的原则</w:t>
      </w:r>
      <w:r>
        <w:rPr>
          <w:rFonts w:hint="eastAsia"/>
        </w:rPr>
        <w:t>，合理安排。</w:t>
      </w:r>
    </w:p>
    <w:p w14:paraId="5EC32CE1">
      <w:pPr>
        <w:pStyle w:val="164"/>
      </w:pPr>
      <w:r>
        <w:rPr>
          <w:rFonts w:hint="eastAsia"/>
        </w:rPr>
        <w:t>应在展览空间合理位置放置标识标牌，包括签到处、展览空间指示牌、方向指引牌、安全标识等。</w:t>
      </w:r>
    </w:p>
    <w:p w14:paraId="009DABED">
      <w:pPr>
        <w:pStyle w:val="164"/>
      </w:pPr>
      <w:r>
        <w:rPr>
          <w:rFonts w:hint="eastAsia"/>
        </w:rPr>
        <w:t>展览布置完成后，应进行全面的检查，包括但不限于展品摆放是否稳固、标识是否准确、设备是否正常运行、安全设施是否到位。</w:t>
      </w:r>
    </w:p>
    <w:p w14:paraId="3BD96410">
      <w:pPr>
        <w:pStyle w:val="105"/>
        <w:spacing w:before="120" w:after="120"/>
      </w:pPr>
      <w:bookmarkStart w:id="57" w:name="_Toc207360746"/>
      <w:r>
        <w:rPr>
          <w:rFonts w:hint="eastAsia"/>
        </w:rPr>
        <w:t>实施阶段管理</w:t>
      </w:r>
      <w:bookmarkEnd w:id="57"/>
    </w:p>
    <w:p w14:paraId="1DE07FCD">
      <w:pPr>
        <w:pStyle w:val="65"/>
        <w:spacing w:before="120" w:after="120"/>
        <w:rPr>
          <w:snapToGrid w:val="0"/>
        </w:rPr>
      </w:pPr>
      <w:r>
        <w:rPr>
          <w:rFonts w:hint="eastAsia"/>
          <w:snapToGrid w:val="0"/>
        </w:rPr>
        <w:t>接待与入场</w:t>
      </w:r>
    </w:p>
    <w:p w14:paraId="48938D13">
      <w:pPr>
        <w:pStyle w:val="164"/>
      </w:pPr>
      <w:r>
        <w:rPr>
          <w:rFonts w:hint="eastAsia"/>
        </w:rPr>
        <w:t>应做好车辆、人员入场管理,安排工作人员进行入场引导,维持入场秩序,必要情况下实行安检和查验。</w:t>
      </w:r>
    </w:p>
    <w:p w14:paraId="5F97F52E">
      <w:pPr>
        <w:pStyle w:val="164"/>
      </w:pPr>
      <w:r>
        <w:rPr>
          <w:rFonts w:hint="eastAsia"/>
        </w:rPr>
        <w:t>应做好邀请嘉宾与新闻媒体等人员的接待和协助入场，并配合相关工作。</w:t>
      </w:r>
    </w:p>
    <w:p w14:paraId="63A5D966">
      <w:pPr>
        <w:pStyle w:val="65"/>
        <w:spacing w:before="120" w:after="120"/>
      </w:pPr>
      <w:r>
        <w:rPr>
          <w:rFonts w:hint="eastAsia"/>
          <w:snapToGrid w:val="0"/>
        </w:rPr>
        <w:t>现场管理</w:t>
      </w:r>
    </w:p>
    <w:p w14:paraId="6C920946">
      <w:pPr>
        <w:pStyle w:val="164"/>
      </w:pPr>
      <w:r>
        <w:rPr>
          <w:rFonts w:hint="eastAsia"/>
        </w:rPr>
        <w:t>应实时监控人流量，安排工作人员在入口处限流。</w:t>
      </w:r>
    </w:p>
    <w:p w14:paraId="397ABFDC">
      <w:pPr>
        <w:pStyle w:val="164"/>
      </w:pPr>
      <w:r>
        <w:rPr>
          <w:rFonts w:hint="eastAsia"/>
        </w:rPr>
        <w:t>展览期间应对展位及设备、消防通道、环境卫生、展区内吸烟等情况进行重点巡查。</w:t>
      </w:r>
    </w:p>
    <w:p w14:paraId="351F3776">
      <w:pPr>
        <w:pStyle w:val="164"/>
      </w:pPr>
      <w:r>
        <w:rPr>
          <w:rFonts w:hint="eastAsia"/>
        </w:rPr>
        <w:t>应按照既定的讲解路线和讲解时间提供讲解服务。</w:t>
      </w:r>
    </w:p>
    <w:p w14:paraId="099F69DC">
      <w:pPr>
        <w:pStyle w:val="164"/>
      </w:pPr>
      <w:r>
        <w:rPr>
          <w:rFonts w:hint="eastAsia"/>
        </w:rPr>
        <w:t>应通过文字、拍照、录像等方式进行展览活动现场的动态记录。</w:t>
      </w:r>
    </w:p>
    <w:p w14:paraId="43ACD50B">
      <w:pPr>
        <w:pStyle w:val="164"/>
      </w:pPr>
      <w:r>
        <w:rPr>
          <w:rFonts w:hint="eastAsia"/>
        </w:rPr>
        <w:t>应实时关注活体生物展品的生长状态，进行及时的养护管理。</w:t>
      </w:r>
    </w:p>
    <w:p w14:paraId="5875E2B5">
      <w:pPr>
        <w:pStyle w:val="164"/>
      </w:pPr>
      <w:r>
        <w:rPr>
          <w:rFonts w:hint="eastAsia"/>
        </w:rPr>
        <w:t>应安排工作人员看护可食用类农产品加工展品，制止观众随意触摸或取用未处理的原料，引导规范试吃流程，同时及时清理残渣、消毒工具。</w:t>
      </w:r>
    </w:p>
    <w:p w14:paraId="3D87202E">
      <w:pPr>
        <w:pStyle w:val="164"/>
      </w:pPr>
      <w:r>
        <w:rPr>
          <w:rFonts w:hint="eastAsia"/>
        </w:rPr>
        <w:t>安排工作人员维护现场秩序，倡导参观者文明看展。</w:t>
      </w:r>
    </w:p>
    <w:p w14:paraId="03EA6A2B">
      <w:pPr>
        <w:pStyle w:val="105"/>
        <w:spacing w:before="120" w:after="120"/>
      </w:pPr>
      <w:bookmarkStart w:id="58" w:name="_Toc207360747"/>
      <w:r>
        <w:rPr>
          <w:rFonts w:hint="eastAsia"/>
        </w:rPr>
        <w:t>撤展阶段管理</w:t>
      </w:r>
      <w:bookmarkEnd w:id="58"/>
    </w:p>
    <w:p w14:paraId="52F7A4D9">
      <w:pPr>
        <w:pStyle w:val="65"/>
        <w:spacing w:before="120" w:after="120"/>
        <w:rPr>
          <w:snapToGrid w:val="0"/>
        </w:rPr>
      </w:pPr>
      <w:r>
        <w:rPr>
          <w:rFonts w:hint="eastAsia"/>
          <w:snapToGrid w:val="0"/>
        </w:rPr>
        <w:t>参观者离场</w:t>
      </w:r>
    </w:p>
    <w:p w14:paraId="017BFFA3">
      <w:pPr>
        <w:pStyle w:val="56"/>
        <w:ind w:firstLine="420"/>
      </w:pPr>
      <w:r>
        <w:rPr>
          <w:rFonts w:hint="eastAsia"/>
        </w:rPr>
        <w:t>活动结束后应组织参观者有序离场。</w:t>
      </w:r>
    </w:p>
    <w:p w14:paraId="0D0ACBC9">
      <w:pPr>
        <w:pStyle w:val="65"/>
        <w:spacing w:before="120" w:after="120"/>
        <w:rPr>
          <w:snapToGrid w:val="0"/>
        </w:rPr>
      </w:pPr>
      <w:r>
        <w:rPr>
          <w:rFonts w:hint="eastAsia"/>
          <w:snapToGrid w:val="0"/>
        </w:rPr>
        <w:t>撤展与物资回收</w:t>
      </w:r>
    </w:p>
    <w:p w14:paraId="7238A101">
      <w:pPr>
        <w:pStyle w:val="56"/>
        <w:ind w:firstLine="420"/>
      </w:pPr>
      <w:r>
        <w:rPr>
          <w:rFonts w:hint="eastAsia"/>
        </w:rPr>
        <w:t>应安全回收展品、设施设备，按照展品清单逐一清点核对，检查展品和设施设备是否遗漏、损坏，并进行相关的维护与保养工作。</w:t>
      </w:r>
    </w:p>
    <w:p w14:paraId="0185978B">
      <w:pPr>
        <w:pStyle w:val="65"/>
        <w:spacing w:before="120" w:after="120"/>
        <w:rPr>
          <w:rFonts w:ascii="宋体" w:eastAsia="宋体"/>
        </w:rPr>
      </w:pPr>
      <w:r>
        <w:rPr>
          <w:rFonts w:hint="eastAsia"/>
          <w:snapToGrid w:val="0"/>
        </w:rPr>
        <w:t>活动总结与评价</w:t>
      </w:r>
    </w:p>
    <w:p w14:paraId="7D136837">
      <w:pPr>
        <w:pStyle w:val="65"/>
        <w:numPr>
          <w:ilvl w:val="255"/>
          <w:numId w:val="0"/>
        </w:numPr>
        <w:snapToGrid w:val="0"/>
        <w:spacing w:before="120" w:after="120"/>
        <w:ind w:firstLine="420" w:firstLineChars="200"/>
        <w:rPr>
          <w:spacing w:val="105"/>
        </w:rPr>
      </w:pPr>
      <w:r>
        <w:rPr>
          <w:rFonts w:hint="eastAsia" w:ascii="宋体" w:eastAsia="宋体"/>
        </w:rPr>
        <w:t>农业科普展览活动主体应对展览活动进行总结，对活动效果、展览质量、讲解服务等进行评价</w:t>
      </w:r>
      <w:r>
        <w:rPr>
          <w:rFonts w:hint="eastAsia"/>
        </w:rPr>
        <w:t>。</w:t>
      </w:r>
      <w:r>
        <w:rPr>
          <w:rFonts w:hint="eastAsia"/>
          <w:spacing w:val="105"/>
        </w:rPr>
        <w:br w:type="page"/>
      </w:r>
    </w:p>
    <w:p w14:paraId="6C91F313">
      <w:pPr>
        <w:pStyle w:val="63"/>
        <w:snapToGrid w:val="0"/>
        <w:spacing w:before="120" w:after="120"/>
      </w:pPr>
      <w:bookmarkStart w:id="59" w:name="_Toc207360748"/>
      <w:r>
        <w:rPr>
          <w:rFonts w:hint="eastAsia"/>
          <w:spacing w:val="105"/>
        </w:rPr>
        <w:t>参考文</w:t>
      </w:r>
      <w:r>
        <w:rPr>
          <w:rFonts w:hint="eastAsia"/>
        </w:rPr>
        <w:t>献</w:t>
      </w:r>
      <w:bookmarkEnd w:id="59"/>
    </w:p>
    <w:p w14:paraId="36271744">
      <w:pPr>
        <w:pStyle w:val="56"/>
        <w:numPr>
          <w:ilvl w:val="0"/>
          <w:numId w:val="46"/>
        </w:numPr>
        <w:ind w:firstLine="420"/>
        <w:rPr>
          <w:szCs w:val="24"/>
        </w:rPr>
      </w:pPr>
      <w:r>
        <w:rPr>
          <w:rFonts w:hint="eastAsia"/>
          <w:szCs w:val="24"/>
        </w:rPr>
        <w:t>GB/T 36681—2018  展览场馆服务管理规范</w:t>
      </w:r>
    </w:p>
    <w:p w14:paraId="14B44CD2">
      <w:pPr>
        <w:pStyle w:val="56"/>
        <w:numPr>
          <w:ilvl w:val="0"/>
          <w:numId w:val="46"/>
        </w:numPr>
        <w:ind w:firstLine="420"/>
        <w:rPr>
          <w:szCs w:val="24"/>
        </w:rPr>
      </w:pPr>
      <w:r>
        <w:rPr>
          <w:rFonts w:hint="eastAsia"/>
          <w:szCs w:val="24"/>
        </w:rPr>
        <w:t>GB/T43395—2023  线下科普活动基本要求</w:t>
      </w:r>
    </w:p>
    <w:p w14:paraId="63F3C1D8">
      <w:pPr>
        <w:pStyle w:val="56"/>
        <w:numPr>
          <w:ilvl w:val="0"/>
          <w:numId w:val="46"/>
        </w:numPr>
        <w:ind w:firstLine="420"/>
        <w:rPr>
          <w:szCs w:val="24"/>
        </w:rPr>
      </w:pPr>
      <w:r>
        <w:rPr>
          <w:rFonts w:hint="eastAsia"/>
          <w:szCs w:val="24"/>
        </w:rPr>
        <w:t>DA/T 102—2024 档案展览工作规范</w:t>
      </w:r>
    </w:p>
    <w:p w14:paraId="19606618">
      <w:pPr>
        <w:pStyle w:val="56"/>
        <w:numPr>
          <w:ilvl w:val="0"/>
          <w:numId w:val="46"/>
        </w:numPr>
        <w:ind w:firstLine="420"/>
        <w:rPr>
          <w:szCs w:val="24"/>
        </w:rPr>
      </w:pPr>
      <w:r>
        <w:rPr>
          <w:rFonts w:hint="eastAsia"/>
          <w:szCs w:val="24"/>
        </w:rPr>
        <w:t>DB37/T 3437—2018  展览会主场服务规范</w:t>
      </w:r>
    </w:p>
    <w:p w14:paraId="22396C67">
      <w:pPr>
        <w:pStyle w:val="56"/>
        <w:numPr>
          <w:ilvl w:val="0"/>
          <w:numId w:val="46"/>
        </w:numPr>
        <w:ind w:firstLine="420"/>
        <w:rPr>
          <w:szCs w:val="24"/>
        </w:rPr>
      </w:pPr>
      <w:r>
        <w:rPr>
          <w:rFonts w:hint="eastAsia"/>
          <w:szCs w:val="24"/>
        </w:rPr>
        <w:t>DB4401/T 129—2021  公共科普场馆运营规范</w:t>
      </w:r>
    </w:p>
    <w:p w14:paraId="1000826A">
      <w:pPr>
        <w:pStyle w:val="56"/>
        <w:numPr>
          <w:ilvl w:val="0"/>
          <w:numId w:val="46"/>
        </w:numPr>
        <w:ind w:firstLine="420"/>
        <w:rPr>
          <w:szCs w:val="24"/>
        </w:rPr>
      </w:pPr>
      <w:r>
        <w:rPr>
          <w:rFonts w:hint="eastAsia"/>
          <w:szCs w:val="24"/>
        </w:rPr>
        <w:t>DB61T 1737—2023  展览会现场服务规范</w:t>
      </w:r>
    </w:p>
    <w:p w14:paraId="7E97CB8F">
      <w:pPr>
        <w:pStyle w:val="56"/>
        <w:numPr>
          <w:ilvl w:val="0"/>
          <w:numId w:val="46"/>
        </w:numPr>
        <w:ind w:firstLine="420"/>
        <w:rPr>
          <w:szCs w:val="24"/>
        </w:rPr>
      </w:pPr>
      <w:r>
        <w:rPr>
          <w:rFonts w:hint="eastAsia"/>
          <w:szCs w:val="24"/>
        </w:rPr>
        <w:t>T/CMES 00005—2023  流动科技馆展览教育服务规范</w:t>
      </w:r>
    </w:p>
    <w:p w14:paraId="20692FDA">
      <w:pPr>
        <w:pStyle w:val="56"/>
        <w:numPr>
          <w:ilvl w:val="0"/>
          <w:numId w:val="46"/>
        </w:numPr>
        <w:ind w:firstLine="420"/>
        <w:rPr>
          <w:szCs w:val="24"/>
        </w:rPr>
      </w:pPr>
      <w:r>
        <w:rPr>
          <w:rFonts w:hint="eastAsia"/>
          <w:szCs w:val="24"/>
        </w:rPr>
        <w:t>T/SCAS 27—2024  社区文化展览活动服务规范</w:t>
      </w:r>
    </w:p>
    <w:p w14:paraId="7E5D7E41">
      <w:pPr>
        <w:pStyle w:val="56"/>
        <w:numPr>
          <w:ilvl w:val="0"/>
          <w:numId w:val="46"/>
        </w:numPr>
        <w:ind w:firstLine="420"/>
        <w:rPr>
          <w:szCs w:val="24"/>
        </w:rPr>
      </w:pPr>
      <w:r>
        <w:rPr>
          <w:rFonts w:hint="eastAsia"/>
          <w:szCs w:val="24"/>
        </w:rPr>
        <w:t>T/GXAS 1053 农业科普场所标识标牌设置规范</w:t>
      </w:r>
    </w:p>
    <w:p w14:paraId="63C18F6D">
      <w:pPr>
        <w:pStyle w:val="56"/>
        <w:numPr>
          <w:ilvl w:val="0"/>
          <w:numId w:val="46"/>
        </w:numPr>
        <w:ind w:firstLine="420"/>
        <w:rPr>
          <w:szCs w:val="24"/>
        </w:rPr>
      </w:pPr>
      <w:r>
        <w:rPr>
          <w:rFonts w:hint="eastAsia"/>
          <w:szCs w:val="24"/>
        </w:rPr>
        <w:t>高晗.博物馆临时展览社教活动的策划与开展——以南京博物院“晋国”展和“归流”展为例[J].东方收藏,2024,(11):95-97.</w:t>
      </w:r>
    </w:p>
    <w:bookmarkEnd w:id="23"/>
    <w:p w14:paraId="019ED915">
      <w:pPr>
        <w:pStyle w:val="56"/>
        <w:ind w:firstLine="0" w:firstLineChars="0"/>
        <w:jc w:val="center"/>
      </w:pPr>
      <w:bookmarkStart w:id="60" w:name="BookMark8"/>
      <w:r>
        <w:drawing>
          <wp:inline distT="0" distB="0" distL="0" distR="0">
            <wp:extent cx="1485900" cy="317500"/>
            <wp:effectExtent l="0" t="0" r="0" b="6350"/>
            <wp:docPr id="1460037564" name="图片 1"/>
            <wp:cNvGraphicFramePr/>
            <a:graphic xmlns:a="http://schemas.openxmlformats.org/drawingml/2006/main">
              <a:graphicData uri="http://schemas.openxmlformats.org/drawingml/2006/picture">
                <pic:pic xmlns:pic="http://schemas.openxmlformats.org/drawingml/2006/picture">
                  <pic:nvPicPr>
                    <pic:cNvPr id="1460037564"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6E2C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51BA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6B0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E4210">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0F2FA">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CEFA3">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5A12">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54BD3">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5F6B3">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CEFE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8EDC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2BF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4E60A">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A1AE5">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51B2">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DC56">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AF073">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45A0B">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3AEB0"/>
    <w:multiLevelType w:val="singleLevel"/>
    <w:tmpl w:val="81E3AEB0"/>
    <w:lvl w:ilvl="0" w:tentative="0">
      <w:start w:val="1"/>
      <w:numFmt w:val="decimal"/>
      <w:suff w:val="space"/>
      <w:lvlText w:val="%1."/>
      <w:lvlJc w:val="left"/>
    </w:lvl>
  </w:abstractNum>
  <w:abstractNum w:abstractNumId="1">
    <w:nsid w:val="B79D6EFB"/>
    <w:multiLevelType w:val="singleLevel"/>
    <w:tmpl w:val="B79D6EFB"/>
    <w:lvl w:ilvl="0" w:tentative="0">
      <w:start w:val="1"/>
      <w:numFmt w:val="decimal"/>
      <w:suff w:val="space"/>
      <w:lvlText w:val="%1."/>
      <w:lvlJc w:val="left"/>
    </w:lvl>
  </w:abstractNum>
  <w:abstractNum w:abstractNumId="2">
    <w:nsid w:val="D8D6FA55"/>
    <w:multiLevelType w:val="singleLevel"/>
    <w:tmpl w:val="D8D6FA55"/>
    <w:lvl w:ilvl="0" w:tentative="0">
      <w:start w:val="1"/>
      <w:numFmt w:val="decimal"/>
      <w:suff w:val="space"/>
      <w:lvlText w:val="%1."/>
      <w:lvlJc w:val="left"/>
    </w:lvl>
  </w:abstractNum>
  <w:abstractNum w:abstractNumId="3">
    <w:nsid w:val="E4A9B772"/>
    <w:multiLevelType w:val="singleLevel"/>
    <w:tmpl w:val="E4A9B772"/>
    <w:lvl w:ilvl="0" w:tentative="0">
      <w:start w:val="1"/>
      <w:numFmt w:val="decimal"/>
      <w:suff w:val="space"/>
      <w:lvlText w:val="%1."/>
      <w:lvlJc w:val="left"/>
    </w:lvl>
  </w:abstractNum>
  <w:abstractNum w:abstractNumId="4">
    <w:nsid w:val="E567D50D"/>
    <w:multiLevelType w:val="singleLevel"/>
    <w:tmpl w:val="E567D50D"/>
    <w:lvl w:ilvl="0" w:tentative="0">
      <w:start w:val="1"/>
      <w:numFmt w:val="decimal"/>
      <w:suff w:val="space"/>
      <w:lvlText w:val="%1."/>
      <w:lvlJc w:val="left"/>
    </w:lvl>
  </w:abstractNum>
  <w:abstractNum w:abstractNumId="5">
    <w:nsid w:val="E8BEDE3C"/>
    <w:multiLevelType w:val="singleLevel"/>
    <w:tmpl w:val="E8BEDE3C"/>
    <w:lvl w:ilvl="0" w:tentative="0">
      <w:start w:val="1"/>
      <w:numFmt w:val="decimal"/>
      <w:suff w:val="space"/>
      <w:lvlText w:val="%1."/>
      <w:lvlJc w:val="left"/>
    </w:lvl>
  </w:abstractNum>
  <w:abstractNum w:abstractNumId="6">
    <w:nsid w:val="F15E449F"/>
    <w:multiLevelType w:val="singleLevel"/>
    <w:tmpl w:val="F15E449F"/>
    <w:lvl w:ilvl="0" w:tentative="0">
      <w:start w:val="1"/>
      <w:numFmt w:val="decimal"/>
      <w:suff w:val="space"/>
      <w:lvlText w:val="%1."/>
      <w:lvlJc w:val="left"/>
    </w:lvl>
  </w:abstractNum>
  <w:abstractNum w:abstractNumId="7">
    <w:nsid w:val="FCB45BB3"/>
    <w:multiLevelType w:val="singleLevel"/>
    <w:tmpl w:val="FCB45BB3"/>
    <w:lvl w:ilvl="0" w:tentative="0">
      <w:start w:val="1"/>
      <w:numFmt w:val="decimal"/>
      <w:suff w:val="space"/>
      <w:lvlText w:val="%1."/>
      <w:lvlJc w:val="left"/>
    </w:lvl>
  </w:abstractNum>
  <w:abstractNum w:abstractNumId="8">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A849232"/>
    <w:multiLevelType w:val="singleLevel"/>
    <w:tmpl w:val="0A849232"/>
    <w:lvl w:ilvl="0" w:tentative="0">
      <w:start w:val="1"/>
      <w:numFmt w:val="decimal"/>
      <w:suff w:val="space"/>
      <w:lvlText w:val="%1."/>
      <w:lvlJc w:val="left"/>
    </w:lvl>
  </w:abstractNum>
  <w:abstractNum w:abstractNumId="13">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6">
    <w:nsid w:val="0F6BDC23"/>
    <w:multiLevelType w:val="singleLevel"/>
    <w:tmpl w:val="0F6BDC23"/>
    <w:lvl w:ilvl="0" w:tentative="0">
      <w:start w:val="1"/>
      <w:numFmt w:val="decimal"/>
      <w:suff w:val="space"/>
      <w:lvlText w:val="%1."/>
      <w:lvlJc w:val="left"/>
    </w:lvl>
  </w:abstractNum>
  <w:abstractNum w:abstractNumId="1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0">
    <w:nsid w:val="2B05B19D"/>
    <w:multiLevelType w:val="singleLevel"/>
    <w:tmpl w:val="2B05B19D"/>
    <w:lvl w:ilvl="0" w:tentative="0">
      <w:start w:val="1"/>
      <w:numFmt w:val="decimal"/>
      <w:suff w:val="space"/>
      <w:lvlText w:val="%1."/>
      <w:lvlJc w:val="left"/>
    </w:lvl>
  </w:abstractNum>
  <w:abstractNum w:abstractNumId="2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2FBB3433"/>
    <w:multiLevelType w:val="singleLevel"/>
    <w:tmpl w:val="2FBB3433"/>
    <w:lvl w:ilvl="0" w:tentative="0">
      <w:start w:val="1"/>
      <w:numFmt w:val="decimal"/>
      <w:suff w:val="space"/>
      <w:lvlText w:val="%1."/>
      <w:lvlJc w:val="left"/>
    </w:lvl>
  </w:abstractNum>
  <w:abstractNum w:abstractNumId="2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43EDFFDC"/>
    <w:multiLevelType w:val="singleLevel"/>
    <w:tmpl w:val="43EDFFDC"/>
    <w:lvl w:ilvl="0" w:tentative="0">
      <w:start w:val="1"/>
      <w:numFmt w:val="decimal"/>
      <w:suff w:val="space"/>
      <w:lvlText w:val="%1."/>
      <w:lvlJc w:val="left"/>
    </w:lvl>
  </w:abstractNum>
  <w:abstractNum w:abstractNumId="25">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4ACA463B"/>
    <w:multiLevelType w:val="singleLevel"/>
    <w:tmpl w:val="4ACA463B"/>
    <w:lvl w:ilvl="0" w:tentative="0">
      <w:start w:val="1"/>
      <w:numFmt w:val="decimal"/>
      <w:suff w:val="space"/>
      <w:lvlText w:val="%1."/>
      <w:lvlJc w:val="left"/>
    </w:lvl>
  </w:abstractNum>
  <w:abstractNum w:abstractNumId="28">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9">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1">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3">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5">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6">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7">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8">
    <w:nsid w:val="686B727D"/>
    <w:multiLevelType w:val="multilevel"/>
    <w:tmpl w:val="686B727D"/>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9">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0">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3">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4">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5">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42"/>
  </w:num>
  <w:num w:numId="3">
    <w:abstractNumId w:val="14"/>
  </w:num>
  <w:num w:numId="4">
    <w:abstractNumId w:val="37"/>
  </w:num>
  <w:num w:numId="5">
    <w:abstractNumId w:val="32"/>
  </w:num>
  <w:num w:numId="6">
    <w:abstractNumId w:val="26"/>
  </w:num>
  <w:num w:numId="7">
    <w:abstractNumId w:val="18"/>
  </w:num>
  <w:num w:numId="8">
    <w:abstractNumId w:val="11"/>
  </w:num>
  <w:num w:numId="9">
    <w:abstractNumId w:val="19"/>
  </w:num>
  <w:num w:numId="10">
    <w:abstractNumId w:val="30"/>
  </w:num>
  <w:num w:numId="11">
    <w:abstractNumId w:val="40"/>
  </w:num>
  <w:num w:numId="12">
    <w:abstractNumId w:val="23"/>
  </w:num>
  <w:num w:numId="13">
    <w:abstractNumId w:val="25"/>
  </w:num>
  <w:num w:numId="14">
    <w:abstractNumId w:val="17"/>
  </w:num>
  <w:num w:numId="15">
    <w:abstractNumId w:val="33"/>
  </w:num>
  <w:num w:numId="16">
    <w:abstractNumId w:val="35"/>
  </w:num>
  <w:num w:numId="17">
    <w:abstractNumId w:val="31"/>
  </w:num>
  <w:num w:numId="18">
    <w:abstractNumId w:val="44"/>
  </w:num>
  <w:num w:numId="19">
    <w:abstractNumId w:val="29"/>
  </w:num>
  <w:num w:numId="20">
    <w:abstractNumId w:val="9"/>
  </w:num>
  <w:num w:numId="21">
    <w:abstractNumId w:val="21"/>
  </w:num>
  <w:num w:numId="22">
    <w:abstractNumId w:val="45"/>
  </w:num>
  <w:num w:numId="23">
    <w:abstractNumId w:val="34"/>
  </w:num>
  <w:num w:numId="24">
    <w:abstractNumId w:val="15"/>
  </w:num>
  <w:num w:numId="25">
    <w:abstractNumId w:val="41"/>
  </w:num>
  <w:num w:numId="26">
    <w:abstractNumId w:val="43"/>
  </w:num>
  <w:num w:numId="27">
    <w:abstractNumId w:val="10"/>
  </w:num>
  <w:num w:numId="28">
    <w:abstractNumId w:val="13"/>
  </w:num>
  <w:num w:numId="29">
    <w:abstractNumId w:val="28"/>
  </w:num>
  <w:num w:numId="30">
    <w:abstractNumId w:val="39"/>
  </w:num>
  <w:num w:numId="31">
    <w:abstractNumId w:val="36"/>
  </w:num>
  <w:num w:numId="32">
    <w:abstractNumId w:val="0"/>
  </w:num>
  <w:num w:numId="33">
    <w:abstractNumId w:val="24"/>
  </w:num>
  <w:num w:numId="34">
    <w:abstractNumId w:val="1"/>
  </w:num>
  <w:num w:numId="35">
    <w:abstractNumId w:val="12"/>
  </w:num>
  <w:num w:numId="36">
    <w:abstractNumId w:val="16"/>
  </w:num>
  <w:num w:numId="37">
    <w:abstractNumId w:val="27"/>
  </w:num>
  <w:num w:numId="38">
    <w:abstractNumId w:val="2"/>
  </w:num>
  <w:num w:numId="39">
    <w:abstractNumId w:val="22"/>
  </w:num>
  <w:num w:numId="40">
    <w:abstractNumId w:val="6"/>
  </w:num>
  <w:num w:numId="41">
    <w:abstractNumId w:val="5"/>
  </w:num>
  <w:num w:numId="42">
    <w:abstractNumId w:val="4"/>
  </w:num>
  <w:num w:numId="43">
    <w:abstractNumId w:val="3"/>
  </w:num>
  <w:num w:numId="44">
    <w:abstractNumId w:val="20"/>
  </w:num>
  <w:num w:numId="45">
    <w:abstractNumId w:val="7"/>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1" w:cryptProviderType="rsaAES" w:cryptAlgorithmClass="hash" w:cryptAlgorithmType="typeAny" w:cryptAlgorithmSid="14" w:cryptSpinCount="100000" w:hash="2H2epBzqXteXAmYKyFqR/uTRg1J0a66EtViJWcRMonYC9BbqeHCg8UD/ToFf2yM0TJkesenWP8ppgS/LyqqAVg==" w:salt="+1tVtgqAdzzvsPF3a1ut+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9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EA6"/>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09F5"/>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05A7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91ADB6D891A445296E82F33C2805C78"/>
        <w:style w:val=""/>
        <w:category>
          <w:name w:val="常规"/>
          <w:gallery w:val="placeholder"/>
        </w:category>
        <w:types>
          <w:type w:val="bbPlcHdr"/>
        </w:types>
        <w:behaviors>
          <w:behavior w:val="content"/>
        </w:behaviors>
        <w:description w:val=""/>
        <w:guid w:val="{63915857-2372-4A99-B3A9-2C3E424AE340}"/>
      </w:docPartPr>
      <w:docPartBody>
        <w:p w14:paraId="51F8F32F">
          <w:pPr>
            <w:pStyle w:val="5"/>
          </w:pPr>
          <w:r>
            <w:rPr>
              <w:rStyle w:val="4"/>
              <w:rFonts w:hint="eastAsia"/>
            </w:rPr>
            <w:t>单击或点击此处输入文字。</w:t>
          </w:r>
        </w:p>
      </w:docPartBody>
    </w:docPart>
    <w:docPart>
      <w:docPartPr>
        <w:name w:val="0A05D8FE5ACE44D6B1736B7A33FD9B1C"/>
        <w:style w:val=""/>
        <w:category>
          <w:name w:val="常规"/>
          <w:gallery w:val="placeholder"/>
        </w:category>
        <w:types>
          <w:type w:val="bbPlcHdr"/>
        </w:types>
        <w:behaviors>
          <w:behavior w:val="content"/>
        </w:behaviors>
        <w:description w:val=""/>
        <w:guid w:val="{61F0D3A7-209D-46D8-B4D5-FCDC62AE26A6}"/>
      </w:docPartPr>
      <w:docPartBody>
        <w:p w14:paraId="0632F9D6">
          <w:pPr>
            <w:pStyle w:val="6"/>
          </w:pPr>
          <w:r>
            <w:rPr>
              <w:rStyle w:val="4"/>
              <w:rFonts w:hint="eastAsia"/>
            </w:rPr>
            <w:t>选择一项。</w:t>
          </w:r>
        </w:p>
      </w:docPartBody>
    </w:docPart>
    <w:docPart>
      <w:docPartPr>
        <w:name w:val="55202223DD0D4005BD037F654E63BB8B"/>
        <w:style w:val=""/>
        <w:category>
          <w:name w:val="常规"/>
          <w:gallery w:val="placeholder"/>
        </w:category>
        <w:types>
          <w:type w:val="bbPlcHdr"/>
        </w:types>
        <w:behaviors>
          <w:behavior w:val="content"/>
        </w:behaviors>
        <w:description w:val=""/>
        <w:guid w:val="{FB70825F-EBF2-49B7-8D26-5EBE2437D6A2}"/>
      </w:docPartPr>
      <w:docPartBody>
        <w:p w14:paraId="22D986BC">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2B2"/>
    <w:rsid w:val="00075EA6"/>
    <w:rsid w:val="00691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91ADB6D891A445296E82F33C2805C78"/>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A05D8FE5ACE44D6B1736B7A33FD9B1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5202223DD0D4005BD037F654E63BB8B"/>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2965</Words>
  <Characters>3127</Characters>
  <Lines>582</Lines>
  <Paragraphs>523</Paragraphs>
  <TotalTime>4</TotalTime>
  <ScaleCrop>false</ScaleCrop>
  <LinksUpToDate>false</LinksUpToDate>
  <CharactersWithSpaces>3204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2025-08-29T03:48:00Z</dcterms:created>
  <dc:creator>Acer</dc:creator>
  <dc:description>&lt;config cover="true" show_menu="true" version="1.0.0" doctype="SDKXY"&gt;_x000d_
&lt;/config&gt;</dc:description>
  <cp:lastModifiedBy>，</cp:lastModifiedBy>
  <cp:lastPrinted>2021-02-02T08:22:00Z</cp:lastPrinted>
  <dcterms:modified xsi:type="dcterms:W3CDTF">2025-08-30T02:50:08Z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eyJoZGlkIjoiMjU4NjU2OWFmNDRjYWQ3NWE5YzYyNTg4ZjViMDI2ZWIiLCJ1c2VySWQiOiI2NTgwMDU1NDYifQ==</vt:lpwstr>
  </property>
  <property fmtid="{D5CDD505-2E9C-101B-9397-08002B2CF9AE}" pid="16" name="KSOProductBuildVer">
    <vt:lpwstr>2052-12.1.0.22529</vt:lpwstr>
  </property>
  <property fmtid="{D5CDD505-2E9C-101B-9397-08002B2CF9AE}" pid="17" name="ICV">
    <vt:lpwstr>79B34A7CC8D949B68D200C1635DFAD06_12</vt:lpwstr>
  </property>
</Properties>
</file>