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DA85B2C">
      <w:pPr>
        <w:jc w:val="center"/>
        <w:rPr>
          <w:rFonts w:hint="eastAsia" w:ascii="方正小标宋简体" w:eastAsia="方正小标宋简体" w:cs="仿宋_GB2312"/>
          <w:bCs/>
          <w:color w:val="auto"/>
          <w:sz w:val="36"/>
          <w:szCs w:val="32"/>
        </w:rPr>
      </w:pPr>
      <w:r>
        <w:rPr>
          <w:rFonts w:hint="eastAsia" w:ascii="方正小标宋简体" w:eastAsia="方正小标宋简体" w:cs="仿宋_GB2312"/>
          <w:bCs/>
          <w:color w:val="auto"/>
          <w:sz w:val="36"/>
          <w:szCs w:val="32"/>
          <w:lang w:eastAsia="zh-CN"/>
        </w:rPr>
        <w:t>团体标准</w:t>
      </w:r>
      <w:r>
        <w:rPr>
          <w:rFonts w:hint="eastAsia" w:ascii="方正小标宋简体" w:eastAsia="方正小标宋简体" w:cs="仿宋_GB2312"/>
          <w:bCs/>
          <w:color w:val="auto"/>
          <w:sz w:val="36"/>
          <w:szCs w:val="32"/>
        </w:rPr>
        <w:t>《</w:t>
      </w:r>
      <w:r>
        <w:rPr>
          <w:rFonts w:hint="eastAsia" w:ascii="方正小标宋简体" w:eastAsia="方正小标宋简体" w:cs="仿宋_GB2312"/>
          <w:bCs/>
          <w:color w:val="auto"/>
          <w:sz w:val="36"/>
          <w:szCs w:val="32"/>
          <w:lang w:val="en-US" w:eastAsia="zh-CN"/>
        </w:rPr>
        <w:t>多囊卵巢综合征导致不孕症患者穴位埋线联合雷火灸技术操作规范</w:t>
      </w:r>
      <w:r>
        <w:rPr>
          <w:rFonts w:hint="eastAsia" w:ascii="方正小标宋简体" w:eastAsia="方正小标宋简体" w:cs="仿宋_GB2312"/>
          <w:bCs/>
          <w:color w:val="auto"/>
          <w:sz w:val="36"/>
          <w:szCs w:val="32"/>
        </w:rPr>
        <w:t>》（</w:t>
      </w:r>
      <w:r>
        <w:rPr>
          <w:rFonts w:hint="eastAsia" w:ascii="方正小标宋简体" w:eastAsia="方正小标宋简体" w:cs="仿宋_GB2312"/>
          <w:bCs/>
          <w:color w:val="auto"/>
          <w:sz w:val="36"/>
          <w:szCs w:val="32"/>
          <w:lang w:eastAsia="zh-CN"/>
        </w:rPr>
        <w:t>征求意见</w:t>
      </w:r>
      <w:r>
        <w:rPr>
          <w:rFonts w:hint="eastAsia" w:ascii="方正小标宋简体" w:eastAsia="方正小标宋简体" w:cs="仿宋_GB2312"/>
          <w:bCs/>
          <w:color w:val="auto"/>
          <w:sz w:val="36"/>
          <w:szCs w:val="32"/>
        </w:rPr>
        <w:t>稿）编制说明</w:t>
      </w:r>
    </w:p>
    <w:p w14:paraId="5C534F24">
      <w:pPr>
        <w:jc w:val="center"/>
        <w:rPr>
          <w:rFonts w:hint="eastAsia" w:ascii="方正小标宋简体" w:eastAsia="方正小标宋简体" w:cs="仿宋_GB2312"/>
          <w:bCs/>
          <w:color w:val="auto"/>
          <w:sz w:val="18"/>
          <w:szCs w:val="18"/>
        </w:rPr>
      </w:pPr>
    </w:p>
    <w:p w14:paraId="2E0749D1">
      <w:pPr>
        <w:spacing w:line="520" w:lineRule="exact"/>
        <w:ind w:firstLine="640" w:firstLineChars="200"/>
        <w:rPr>
          <w:rFonts w:hint="eastAsia" w:ascii="黑体" w:eastAsia="黑体" w:cs="仿宋_GB2312"/>
          <w:bCs/>
          <w:color w:val="auto"/>
          <w:sz w:val="32"/>
          <w:szCs w:val="32"/>
        </w:rPr>
      </w:pPr>
      <w:r>
        <w:rPr>
          <w:rFonts w:hint="eastAsia" w:ascii="黑体" w:eastAsia="黑体" w:cs="仿宋_GB2312"/>
          <w:color w:val="auto"/>
          <w:sz w:val="32"/>
          <w:szCs w:val="32"/>
        </w:rPr>
        <w:t>一、任务来源、起草单位、主要起草人</w:t>
      </w:r>
    </w:p>
    <w:p w14:paraId="37CF72A6">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根据《</w:t>
      </w:r>
      <w:r>
        <w:rPr>
          <w:rFonts w:hint="eastAsia" w:ascii="仿宋_GB2312" w:eastAsia="仿宋_GB2312"/>
          <w:color w:val="auto"/>
          <w:sz w:val="28"/>
          <w:szCs w:val="28"/>
          <w:lang w:eastAsia="zh-CN"/>
        </w:rPr>
        <w:t>广西标准化协会</w:t>
      </w:r>
      <w:r>
        <w:rPr>
          <w:rFonts w:hint="eastAsia" w:ascii="仿宋_GB2312" w:eastAsia="仿宋_GB2312"/>
          <w:color w:val="auto"/>
          <w:sz w:val="28"/>
          <w:szCs w:val="28"/>
        </w:rPr>
        <w:t>关于下达202</w:t>
      </w:r>
      <w:r>
        <w:rPr>
          <w:rFonts w:hint="eastAsia" w:ascii="仿宋_GB2312" w:eastAsia="仿宋_GB2312"/>
          <w:color w:val="auto"/>
          <w:sz w:val="28"/>
          <w:szCs w:val="28"/>
          <w:lang w:val="en-US" w:eastAsia="zh-CN"/>
        </w:rPr>
        <w:t>5</w:t>
      </w:r>
      <w:r>
        <w:rPr>
          <w:rFonts w:hint="eastAsia" w:ascii="仿宋_GB2312" w:eastAsia="仿宋_GB2312"/>
          <w:color w:val="auto"/>
          <w:sz w:val="28"/>
          <w:szCs w:val="28"/>
        </w:rPr>
        <w:t>年第</w:t>
      </w:r>
      <w:r>
        <w:rPr>
          <w:rFonts w:hint="eastAsia" w:ascii="仿宋_GB2312" w:eastAsia="仿宋_GB2312"/>
          <w:color w:val="auto"/>
          <w:sz w:val="28"/>
          <w:szCs w:val="28"/>
          <w:lang w:eastAsia="zh-CN"/>
        </w:rPr>
        <w:t>二十一</w:t>
      </w:r>
      <w:r>
        <w:rPr>
          <w:rFonts w:hint="eastAsia" w:ascii="仿宋_GB2312" w:eastAsia="仿宋_GB2312"/>
          <w:color w:val="auto"/>
          <w:sz w:val="28"/>
          <w:szCs w:val="28"/>
        </w:rPr>
        <w:t>批团体标准制修订项目计划的通知》（桂标协〔202</w:t>
      </w:r>
      <w:r>
        <w:rPr>
          <w:rFonts w:hint="eastAsia" w:ascii="仿宋_GB2312" w:eastAsia="仿宋_GB2312"/>
          <w:color w:val="auto"/>
          <w:sz w:val="28"/>
          <w:szCs w:val="28"/>
          <w:lang w:val="en-US" w:eastAsia="zh-CN"/>
        </w:rPr>
        <w:t>5</w:t>
      </w:r>
      <w:r>
        <w:rPr>
          <w:rFonts w:hint="eastAsia" w:ascii="仿宋_GB2312" w:eastAsia="仿宋_GB2312"/>
          <w:color w:val="auto"/>
          <w:sz w:val="28"/>
          <w:szCs w:val="28"/>
        </w:rPr>
        <w:t>〕</w:t>
      </w:r>
      <w:r>
        <w:rPr>
          <w:rFonts w:hint="eastAsia" w:ascii="仿宋_GB2312" w:eastAsia="仿宋_GB2312"/>
          <w:color w:val="auto"/>
          <w:sz w:val="28"/>
          <w:szCs w:val="28"/>
          <w:lang w:val="en-US" w:eastAsia="zh-CN"/>
        </w:rPr>
        <w:t>154</w:t>
      </w:r>
      <w:r>
        <w:rPr>
          <w:rFonts w:hint="eastAsia" w:ascii="仿宋_GB2312" w:eastAsia="仿宋_GB2312"/>
          <w:color w:val="auto"/>
          <w:sz w:val="28"/>
          <w:szCs w:val="28"/>
        </w:rPr>
        <w:t>号）精神，由南宁市第二人民医院提出，南宁市第二人民医院、广西医科大学附属肿瘤医院、广西中医药大学第一附属医院、广西中医药大学附属瑞康医院、广西壮族自治区南溪山医院（广西壮族自治区第二人民医院）、南宁市第一人民医院、南宁市第四人民医院、南宁市第七人民医院、南宁市第八人民医院、防城港市中医医院、钦州市第一人民医院、柳州市柳江区中医医院等单位共同起草的团体标准《</w:t>
      </w:r>
      <w:r>
        <w:rPr>
          <w:rFonts w:hint="eastAsia" w:ascii="仿宋_GB2312" w:eastAsia="仿宋_GB2312"/>
          <w:color w:val="auto"/>
          <w:sz w:val="28"/>
          <w:szCs w:val="28"/>
          <w:lang w:val="en-US" w:eastAsia="zh-CN"/>
        </w:rPr>
        <w:t>多囊卵巢综合征导致不孕症患者穴位埋线联合雷火灸技术操作规范</w:t>
      </w:r>
      <w:r>
        <w:rPr>
          <w:rFonts w:hint="eastAsia" w:ascii="仿宋_GB2312" w:eastAsia="仿宋_GB2312"/>
          <w:color w:val="auto"/>
          <w:sz w:val="28"/>
          <w:szCs w:val="28"/>
        </w:rPr>
        <w:t>》（项目编号</w:t>
      </w:r>
      <w:r>
        <w:rPr>
          <w:rFonts w:hint="eastAsia" w:ascii="仿宋_GB2312" w:eastAsia="仿宋_GB2312"/>
          <w:color w:val="auto"/>
          <w:sz w:val="28"/>
          <w:szCs w:val="28"/>
          <w:lang w:eastAsia="zh-CN"/>
        </w:rPr>
        <w:t>：202</w:t>
      </w:r>
      <w:r>
        <w:rPr>
          <w:rFonts w:hint="eastAsia" w:ascii="仿宋_GB2312" w:eastAsia="仿宋_GB2312"/>
          <w:color w:val="auto"/>
          <w:sz w:val="28"/>
          <w:szCs w:val="28"/>
          <w:lang w:val="en-US" w:eastAsia="zh-CN"/>
        </w:rPr>
        <w:t>5</w:t>
      </w:r>
      <w:r>
        <w:rPr>
          <w:rFonts w:hint="eastAsia" w:ascii="仿宋_GB2312" w:eastAsia="仿宋_GB2312"/>
          <w:color w:val="auto"/>
          <w:sz w:val="28"/>
          <w:szCs w:val="28"/>
          <w:lang w:eastAsia="zh-CN"/>
        </w:rPr>
        <w:t>-</w:t>
      </w:r>
      <w:r>
        <w:rPr>
          <w:rFonts w:hint="eastAsia" w:ascii="仿宋_GB2312" w:eastAsia="仿宋_GB2312"/>
          <w:color w:val="auto"/>
          <w:sz w:val="28"/>
          <w:szCs w:val="28"/>
          <w:lang w:val="en-US" w:eastAsia="zh-CN"/>
        </w:rPr>
        <w:t>2103</w:t>
      </w:r>
      <w:bookmarkStart w:id="29" w:name="_GoBack"/>
      <w:bookmarkEnd w:id="29"/>
      <w:r>
        <w:rPr>
          <w:rFonts w:hint="eastAsia" w:ascii="仿宋_GB2312" w:eastAsia="仿宋_GB2312"/>
          <w:color w:val="auto"/>
          <w:sz w:val="28"/>
          <w:szCs w:val="28"/>
        </w:rPr>
        <w:t>）</w:t>
      </w:r>
      <w:r>
        <w:rPr>
          <w:rFonts w:hint="eastAsia" w:ascii="仿宋_GB2312" w:eastAsia="仿宋_GB2312"/>
          <w:color w:val="auto"/>
          <w:sz w:val="28"/>
          <w:szCs w:val="28"/>
          <w:lang w:eastAsia="zh-CN"/>
        </w:rPr>
        <w:t>，已获立项</w:t>
      </w:r>
      <w:r>
        <w:rPr>
          <w:rFonts w:hint="eastAsia" w:ascii="仿宋_GB2312" w:eastAsia="仿宋_GB2312"/>
          <w:color w:val="auto"/>
          <w:sz w:val="28"/>
          <w:szCs w:val="28"/>
        </w:rPr>
        <w:t>。</w:t>
      </w:r>
    </w:p>
    <w:p w14:paraId="6E7ED8E7">
      <w:pPr>
        <w:spacing w:line="520" w:lineRule="exact"/>
        <w:ind w:firstLine="560" w:firstLineChars="200"/>
        <w:rPr>
          <w:rFonts w:hint="eastAsia" w:ascii="仿宋_GB2312" w:eastAsia="仿宋_GB2312"/>
          <w:color w:val="auto"/>
          <w:sz w:val="32"/>
          <w:szCs w:val="32"/>
          <w:lang w:eastAsia="zh-CN"/>
        </w:rPr>
      </w:pPr>
      <w:r>
        <w:rPr>
          <w:rFonts w:hint="eastAsia" w:ascii="仿宋_GB2312" w:eastAsia="仿宋_GB2312"/>
          <w:color w:val="auto"/>
          <w:sz w:val="28"/>
          <w:szCs w:val="28"/>
        </w:rPr>
        <w:t>为高质量编制</w:t>
      </w:r>
      <w:r>
        <w:rPr>
          <w:rFonts w:hint="eastAsia" w:ascii="仿宋_GB2312" w:eastAsia="仿宋_GB2312"/>
          <w:color w:val="auto"/>
          <w:sz w:val="28"/>
          <w:szCs w:val="28"/>
          <w:lang w:val="en-US" w:eastAsia="zh-CN"/>
        </w:rPr>
        <w:t>团体</w:t>
      </w:r>
      <w:r>
        <w:rPr>
          <w:rFonts w:hint="eastAsia" w:ascii="仿宋_GB2312" w:eastAsia="仿宋_GB2312"/>
          <w:color w:val="auto"/>
          <w:sz w:val="28"/>
          <w:szCs w:val="28"/>
        </w:rPr>
        <w:t>标准《</w:t>
      </w:r>
      <w:r>
        <w:rPr>
          <w:rFonts w:hint="eastAsia" w:ascii="仿宋_GB2312" w:eastAsia="仿宋_GB2312"/>
          <w:color w:val="auto"/>
          <w:sz w:val="28"/>
          <w:szCs w:val="28"/>
          <w:lang w:val="en-US" w:eastAsia="zh-CN"/>
        </w:rPr>
        <w:t>多囊卵巢综合征导致不孕症患者穴位埋线联合雷火灸技术操作规范</w:t>
      </w:r>
      <w:r>
        <w:rPr>
          <w:rFonts w:hint="eastAsia" w:ascii="仿宋_GB2312" w:eastAsia="仿宋_GB2312"/>
          <w:color w:val="auto"/>
          <w:sz w:val="28"/>
          <w:szCs w:val="28"/>
        </w:rPr>
        <w:t>》，由起草单位成立标准编制工作组并进行如下分工：</w:t>
      </w:r>
    </w:p>
    <w:tbl>
      <w:tblPr>
        <w:tblStyle w:val="13"/>
        <w:tblW w:w="908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48"/>
        <w:gridCol w:w="1287"/>
        <w:gridCol w:w="1232"/>
        <w:gridCol w:w="1843"/>
        <w:gridCol w:w="3778"/>
      </w:tblGrid>
      <w:tr w14:paraId="7EB71F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948" w:type="dxa"/>
            <w:tcBorders>
              <w:top w:val="single" w:color="auto" w:sz="4" w:space="0"/>
              <w:left w:val="single" w:color="auto" w:sz="4" w:space="0"/>
              <w:bottom w:val="single" w:color="auto" w:sz="4" w:space="0"/>
              <w:right w:val="single" w:color="auto" w:sz="4" w:space="0"/>
            </w:tcBorders>
            <w:noWrap w:val="0"/>
            <w:vAlign w:val="center"/>
          </w:tcPr>
          <w:p w14:paraId="21E965E6">
            <w:pPr>
              <w:keepNext w:val="0"/>
              <w:keepLines w:val="0"/>
              <w:suppressLineNumbers w:val="0"/>
              <w:spacing w:before="0" w:beforeAutospacing="0" w:after="0" w:afterAutospacing="0"/>
              <w:ind w:left="0" w:right="0"/>
              <w:jc w:val="center"/>
              <w:rPr>
                <w:rFonts w:hint="default" w:ascii="仿宋" w:hAnsi="仿宋" w:eastAsia="仿宋" w:cs="仿宋"/>
                <w:b/>
                <w:color w:val="auto"/>
                <w:sz w:val="24"/>
              </w:rPr>
            </w:pPr>
            <w:r>
              <w:rPr>
                <w:rFonts w:hint="eastAsia" w:ascii="仿宋" w:hAnsi="仿宋" w:eastAsia="仿宋" w:cs="仿宋"/>
                <w:b/>
                <w:color w:val="auto"/>
                <w:sz w:val="24"/>
              </w:rPr>
              <w:t>姓名</w:t>
            </w:r>
          </w:p>
        </w:tc>
        <w:tc>
          <w:tcPr>
            <w:tcW w:w="1287" w:type="dxa"/>
            <w:tcBorders>
              <w:top w:val="single" w:color="auto" w:sz="4" w:space="0"/>
              <w:left w:val="single" w:color="auto" w:sz="4" w:space="0"/>
              <w:bottom w:val="single" w:color="auto" w:sz="4" w:space="0"/>
              <w:right w:val="single" w:color="auto" w:sz="4" w:space="0"/>
            </w:tcBorders>
            <w:noWrap w:val="0"/>
            <w:vAlign w:val="center"/>
          </w:tcPr>
          <w:p w14:paraId="754A2C70">
            <w:pPr>
              <w:keepNext w:val="0"/>
              <w:keepLines w:val="0"/>
              <w:suppressLineNumbers w:val="0"/>
              <w:spacing w:before="0" w:beforeAutospacing="0" w:after="0" w:afterAutospacing="0"/>
              <w:ind w:left="0" w:right="0"/>
              <w:jc w:val="center"/>
              <w:rPr>
                <w:rFonts w:hint="default" w:ascii="仿宋" w:hAnsi="仿宋" w:eastAsia="仿宋" w:cs="仿宋"/>
                <w:b/>
                <w:color w:val="auto"/>
                <w:sz w:val="24"/>
              </w:rPr>
            </w:pPr>
            <w:r>
              <w:rPr>
                <w:rFonts w:hint="eastAsia" w:ascii="仿宋" w:hAnsi="仿宋" w:eastAsia="仿宋" w:cs="仿宋"/>
                <w:b/>
                <w:color w:val="auto"/>
                <w:sz w:val="24"/>
              </w:rPr>
              <w:t>职务/职称</w:t>
            </w:r>
          </w:p>
        </w:tc>
        <w:tc>
          <w:tcPr>
            <w:tcW w:w="1232" w:type="dxa"/>
            <w:tcBorders>
              <w:top w:val="single" w:color="auto" w:sz="4" w:space="0"/>
              <w:left w:val="single" w:color="auto" w:sz="4" w:space="0"/>
              <w:bottom w:val="single" w:color="auto" w:sz="4" w:space="0"/>
              <w:right w:val="single" w:color="auto" w:sz="4" w:space="0"/>
            </w:tcBorders>
            <w:noWrap w:val="0"/>
            <w:vAlign w:val="center"/>
          </w:tcPr>
          <w:p w14:paraId="28AA553E">
            <w:pPr>
              <w:keepNext w:val="0"/>
              <w:keepLines w:val="0"/>
              <w:suppressLineNumbers w:val="0"/>
              <w:spacing w:before="0" w:beforeAutospacing="0" w:after="0" w:afterAutospacing="0"/>
              <w:ind w:left="0" w:right="0"/>
              <w:jc w:val="center"/>
              <w:rPr>
                <w:rFonts w:hint="default" w:ascii="仿宋" w:hAnsi="仿宋" w:eastAsia="仿宋" w:cs="仿宋"/>
                <w:b/>
                <w:color w:val="auto"/>
                <w:sz w:val="24"/>
              </w:rPr>
            </w:pPr>
            <w:r>
              <w:rPr>
                <w:rFonts w:hint="eastAsia" w:ascii="仿宋" w:hAnsi="仿宋" w:eastAsia="仿宋" w:cs="仿宋"/>
                <w:b/>
                <w:color w:val="auto"/>
                <w:sz w:val="24"/>
              </w:rPr>
              <w:t>从事</w:t>
            </w:r>
          </w:p>
          <w:p w14:paraId="682635AA">
            <w:pPr>
              <w:keepNext w:val="0"/>
              <w:keepLines w:val="0"/>
              <w:suppressLineNumbers w:val="0"/>
              <w:spacing w:before="0" w:beforeAutospacing="0" w:after="0" w:afterAutospacing="0"/>
              <w:ind w:left="0" w:right="0"/>
              <w:jc w:val="center"/>
              <w:rPr>
                <w:rFonts w:hint="default" w:ascii="仿宋" w:hAnsi="仿宋" w:eastAsia="仿宋" w:cs="仿宋"/>
                <w:b/>
                <w:color w:val="auto"/>
                <w:sz w:val="24"/>
              </w:rPr>
            </w:pPr>
            <w:r>
              <w:rPr>
                <w:rFonts w:hint="eastAsia" w:ascii="仿宋" w:hAnsi="仿宋" w:eastAsia="仿宋" w:cs="仿宋"/>
                <w:b/>
                <w:color w:val="auto"/>
                <w:sz w:val="24"/>
              </w:rPr>
              <w:t>专业</w:t>
            </w:r>
          </w:p>
        </w:tc>
        <w:tc>
          <w:tcPr>
            <w:tcW w:w="1843" w:type="dxa"/>
            <w:tcBorders>
              <w:top w:val="single" w:color="auto" w:sz="4" w:space="0"/>
              <w:left w:val="single" w:color="auto" w:sz="4" w:space="0"/>
              <w:bottom w:val="single" w:color="auto" w:sz="4" w:space="0"/>
              <w:right w:val="single" w:color="auto" w:sz="4" w:space="0"/>
            </w:tcBorders>
            <w:noWrap w:val="0"/>
            <w:vAlign w:val="center"/>
          </w:tcPr>
          <w:p w14:paraId="65E40F0D">
            <w:pPr>
              <w:keepNext w:val="0"/>
              <w:keepLines w:val="0"/>
              <w:suppressLineNumbers w:val="0"/>
              <w:spacing w:before="0" w:beforeAutospacing="0" w:after="0" w:afterAutospacing="0"/>
              <w:ind w:left="0" w:right="0"/>
              <w:jc w:val="center"/>
              <w:rPr>
                <w:rFonts w:hint="default" w:ascii="仿宋" w:hAnsi="仿宋" w:eastAsia="仿宋" w:cs="仿宋"/>
                <w:b/>
                <w:color w:val="auto"/>
                <w:sz w:val="24"/>
              </w:rPr>
            </w:pPr>
            <w:r>
              <w:rPr>
                <w:rFonts w:hint="eastAsia" w:ascii="仿宋" w:hAnsi="仿宋" w:eastAsia="仿宋" w:cs="仿宋"/>
                <w:b/>
                <w:color w:val="auto"/>
                <w:sz w:val="24"/>
              </w:rPr>
              <w:t>工作单位</w:t>
            </w:r>
          </w:p>
        </w:tc>
        <w:tc>
          <w:tcPr>
            <w:tcW w:w="3778" w:type="dxa"/>
            <w:tcBorders>
              <w:top w:val="single" w:color="auto" w:sz="4" w:space="0"/>
              <w:left w:val="single" w:color="auto" w:sz="4" w:space="0"/>
              <w:bottom w:val="single" w:color="auto" w:sz="4" w:space="0"/>
              <w:right w:val="single" w:color="auto" w:sz="4" w:space="0"/>
            </w:tcBorders>
            <w:noWrap w:val="0"/>
            <w:vAlign w:val="center"/>
          </w:tcPr>
          <w:p w14:paraId="509CD866">
            <w:pPr>
              <w:keepNext w:val="0"/>
              <w:keepLines w:val="0"/>
              <w:suppressLineNumbers w:val="0"/>
              <w:spacing w:before="0" w:beforeAutospacing="0" w:after="0" w:afterAutospacing="0"/>
              <w:ind w:left="0" w:right="0"/>
              <w:jc w:val="left"/>
              <w:rPr>
                <w:rFonts w:hint="default" w:ascii="仿宋" w:hAnsi="仿宋" w:eastAsia="仿宋" w:cs="仿宋"/>
                <w:b/>
                <w:color w:val="auto"/>
                <w:sz w:val="24"/>
              </w:rPr>
            </w:pPr>
            <w:r>
              <w:rPr>
                <w:rFonts w:hint="eastAsia" w:ascii="仿宋" w:hAnsi="仿宋" w:eastAsia="仿宋" w:cs="仿宋"/>
                <w:b/>
                <w:color w:val="auto"/>
                <w:sz w:val="24"/>
              </w:rPr>
              <w:t>主要负责工作</w:t>
            </w:r>
          </w:p>
        </w:tc>
      </w:tr>
      <w:tr w14:paraId="1635F4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948" w:type="dxa"/>
            <w:tcBorders>
              <w:top w:val="single" w:color="auto" w:sz="4" w:space="0"/>
              <w:left w:val="single" w:color="auto" w:sz="4" w:space="0"/>
              <w:bottom w:val="single" w:color="auto" w:sz="4" w:space="0"/>
              <w:right w:val="single" w:color="auto" w:sz="4" w:space="0"/>
            </w:tcBorders>
            <w:noWrap w:val="0"/>
            <w:vAlign w:val="center"/>
          </w:tcPr>
          <w:p w14:paraId="30B9F6C3">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梁艺</w:t>
            </w:r>
          </w:p>
        </w:tc>
        <w:tc>
          <w:tcPr>
            <w:tcW w:w="1287" w:type="dxa"/>
            <w:tcBorders>
              <w:top w:val="single" w:color="auto" w:sz="4" w:space="0"/>
              <w:left w:val="single" w:color="auto" w:sz="4" w:space="0"/>
              <w:bottom w:val="single" w:color="auto" w:sz="4" w:space="0"/>
              <w:right w:val="single" w:color="auto" w:sz="4" w:space="0"/>
            </w:tcBorders>
            <w:noWrap w:val="0"/>
            <w:vAlign w:val="center"/>
          </w:tcPr>
          <w:p w14:paraId="0FBA373A">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主任医师</w:t>
            </w:r>
          </w:p>
        </w:tc>
        <w:tc>
          <w:tcPr>
            <w:tcW w:w="1232" w:type="dxa"/>
            <w:tcBorders>
              <w:top w:val="single" w:color="auto" w:sz="4" w:space="0"/>
              <w:left w:val="single" w:color="auto" w:sz="4" w:space="0"/>
              <w:bottom w:val="single" w:color="auto" w:sz="4" w:space="0"/>
              <w:right w:val="single" w:color="auto" w:sz="4" w:space="0"/>
            </w:tcBorders>
            <w:noWrap w:val="0"/>
            <w:vAlign w:val="center"/>
          </w:tcPr>
          <w:p w14:paraId="66D17B38">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心血管内科</w:t>
            </w:r>
          </w:p>
        </w:tc>
        <w:tc>
          <w:tcPr>
            <w:tcW w:w="1843" w:type="dxa"/>
            <w:tcBorders>
              <w:top w:val="single" w:color="auto" w:sz="4" w:space="0"/>
              <w:left w:val="single" w:color="auto" w:sz="4" w:space="0"/>
              <w:bottom w:val="single" w:color="auto" w:sz="4" w:space="0"/>
              <w:right w:val="single" w:color="auto" w:sz="4" w:space="0"/>
            </w:tcBorders>
            <w:noWrap w:val="0"/>
            <w:vAlign w:val="center"/>
          </w:tcPr>
          <w:p w14:paraId="0C036778">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南宁市第二人民医院</w:t>
            </w:r>
          </w:p>
        </w:tc>
        <w:tc>
          <w:tcPr>
            <w:tcW w:w="3778" w:type="dxa"/>
            <w:tcBorders>
              <w:top w:val="single" w:color="auto" w:sz="4" w:space="0"/>
              <w:left w:val="single" w:color="auto" w:sz="4" w:space="0"/>
              <w:bottom w:val="single" w:color="auto" w:sz="4" w:space="0"/>
              <w:right w:val="single" w:color="auto" w:sz="4" w:space="0"/>
            </w:tcBorders>
            <w:noWrap w:val="0"/>
            <w:vAlign w:val="center"/>
          </w:tcPr>
          <w:p w14:paraId="306E1A88">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统筹主持标准编制工作</w:t>
            </w:r>
          </w:p>
        </w:tc>
      </w:tr>
      <w:tr w14:paraId="1AEFE5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948" w:type="dxa"/>
            <w:tcBorders>
              <w:top w:val="single" w:color="auto" w:sz="4" w:space="0"/>
              <w:left w:val="single" w:color="auto" w:sz="4" w:space="0"/>
              <w:bottom w:val="single" w:color="auto" w:sz="4" w:space="0"/>
              <w:right w:val="single" w:color="auto" w:sz="4" w:space="0"/>
            </w:tcBorders>
            <w:noWrap w:val="0"/>
            <w:vAlign w:val="center"/>
          </w:tcPr>
          <w:p w14:paraId="2DAE3294">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兰菊</w:t>
            </w:r>
          </w:p>
        </w:tc>
        <w:tc>
          <w:tcPr>
            <w:tcW w:w="1287" w:type="dxa"/>
            <w:tcBorders>
              <w:top w:val="single" w:color="auto" w:sz="4" w:space="0"/>
              <w:left w:val="single" w:color="auto" w:sz="4" w:space="0"/>
              <w:bottom w:val="single" w:color="auto" w:sz="4" w:space="0"/>
              <w:right w:val="single" w:color="auto" w:sz="4" w:space="0"/>
            </w:tcBorders>
            <w:noWrap w:val="0"/>
            <w:vAlign w:val="center"/>
          </w:tcPr>
          <w:p w14:paraId="158120C1">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主任医师</w:t>
            </w:r>
          </w:p>
        </w:tc>
        <w:tc>
          <w:tcPr>
            <w:tcW w:w="1232" w:type="dxa"/>
            <w:tcBorders>
              <w:top w:val="single" w:color="auto" w:sz="4" w:space="0"/>
              <w:left w:val="single" w:color="auto" w:sz="4" w:space="0"/>
              <w:bottom w:val="single" w:color="auto" w:sz="4" w:space="0"/>
              <w:right w:val="single" w:color="auto" w:sz="4" w:space="0"/>
            </w:tcBorders>
            <w:noWrap w:val="0"/>
            <w:vAlign w:val="center"/>
          </w:tcPr>
          <w:p w14:paraId="1C249911">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中西医结合临床</w:t>
            </w:r>
          </w:p>
        </w:tc>
        <w:tc>
          <w:tcPr>
            <w:tcW w:w="1843" w:type="dxa"/>
            <w:tcBorders>
              <w:top w:val="single" w:color="auto" w:sz="4" w:space="0"/>
              <w:left w:val="single" w:color="auto" w:sz="4" w:space="0"/>
              <w:bottom w:val="single" w:color="auto" w:sz="4" w:space="0"/>
              <w:right w:val="single" w:color="auto" w:sz="4" w:space="0"/>
            </w:tcBorders>
            <w:noWrap w:val="0"/>
            <w:vAlign w:val="center"/>
          </w:tcPr>
          <w:p w14:paraId="0AD83006">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南宁市第二人民医院</w:t>
            </w:r>
          </w:p>
        </w:tc>
        <w:tc>
          <w:tcPr>
            <w:tcW w:w="3778" w:type="dxa"/>
            <w:tcBorders>
              <w:top w:val="single" w:color="auto" w:sz="4" w:space="0"/>
              <w:left w:val="single" w:color="auto" w:sz="4" w:space="0"/>
              <w:bottom w:val="single" w:color="auto" w:sz="4" w:space="0"/>
              <w:right w:val="single" w:color="auto" w:sz="4" w:space="0"/>
            </w:tcBorders>
            <w:noWrap w:val="0"/>
            <w:vAlign w:val="top"/>
          </w:tcPr>
          <w:p w14:paraId="2949535C">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参与标准文本及编制说明编写，质量控制</w:t>
            </w:r>
          </w:p>
        </w:tc>
      </w:tr>
      <w:tr w14:paraId="722EDC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948" w:type="dxa"/>
            <w:tcBorders>
              <w:top w:val="single" w:color="auto" w:sz="4" w:space="0"/>
              <w:left w:val="single" w:color="auto" w:sz="4" w:space="0"/>
              <w:bottom w:val="single" w:color="auto" w:sz="4" w:space="0"/>
              <w:right w:val="single" w:color="auto" w:sz="4" w:space="0"/>
            </w:tcBorders>
            <w:shd w:val="clear" w:color="auto" w:fill="auto"/>
            <w:noWrap w:val="0"/>
            <w:vAlign w:val="center"/>
          </w:tcPr>
          <w:p w14:paraId="7941B3FB">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val="en-US" w:eastAsia="zh-CN" w:bidi="ar"/>
              </w:rPr>
            </w:pPr>
            <w:r>
              <w:rPr>
                <w:rFonts w:hint="default" w:ascii="仿宋_GB2312" w:hAnsi="仿宋_GB2312" w:eastAsia="仿宋_GB2312" w:cs="仿宋_GB2312"/>
                <w:color w:val="auto"/>
                <w:sz w:val="24"/>
                <w:lang w:eastAsia="zh-CN" w:bidi="ar"/>
              </w:rPr>
              <w:t>黄丽玲</w:t>
            </w:r>
          </w:p>
        </w:tc>
        <w:tc>
          <w:tcPr>
            <w:tcW w:w="1287" w:type="dxa"/>
            <w:tcBorders>
              <w:top w:val="single" w:color="auto" w:sz="4" w:space="0"/>
              <w:left w:val="single" w:color="auto" w:sz="4" w:space="0"/>
              <w:bottom w:val="single" w:color="auto" w:sz="4" w:space="0"/>
              <w:right w:val="single" w:color="auto" w:sz="4" w:space="0"/>
            </w:tcBorders>
            <w:shd w:val="clear" w:color="auto" w:fill="auto"/>
            <w:noWrap w:val="0"/>
            <w:vAlign w:val="center"/>
          </w:tcPr>
          <w:p w14:paraId="4BBD3A15">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住院医师</w:t>
            </w:r>
          </w:p>
        </w:tc>
        <w:tc>
          <w:tcPr>
            <w:tcW w:w="1232" w:type="dxa"/>
            <w:tcBorders>
              <w:top w:val="single" w:color="auto" w:sz="4" w:space="0"/>
              <w:left w:val="single" w:color="auto" w:sz="4" w:space="0"/>
              <w:bottom w:val="single" w:color="auto" w:sz="4" w:space="0"/>
              <w:right w:val="single" w:color="auto" w:sz="4" w:space="0"/>
            </w:tcBorders>
            <w:shd w:val="clear" w:color="auto" w:fill="auto"/>
            <w:noWrap w:val="0"/>
            <w:vAlign w:val="center"/>
          </w:tcPr>
          <w:p w14:paraId="65504128">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中医内科</w:t>
            </w:r>
          </w:p>
        </w:tc>
        <w:tc>
          <w:tcPr>
            <w:tcW w:w="1843" w:type="dxa"/>
            <w:tcBorders>
              <w:top w:val="single" w:color="auto" w:sz="4" w:space="0"/>
              <w:left w:val="single" w:color="auto" w:sz="4" w:space="0"/>
              <w:bottom w:val="single" w:color="auto" w:sz="4" w:space="0"/>
              <w:right w:val="single" w:color="auto" w:sz="4" w:space="0"/>
            </w:tcBorders>
            <w:shd w:val="clear" w:color="auto" w:fill="auto"/>
            <w:noWrap w:val="0"/>
            <w:vAlign w:val="center"/>
          </w:tcPr>
          <w:p w14:paraId="04923F6B">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南宁市第二人民医院</w:t>
            </w:r>
          </w:p>
        </w:tc>
        <w:tc>
          <w:tcPr>
            <w:tcW w:w="3778" w:type="dxa"/>
            <w:tcBorders>
              <w:top w:val="single" w:color="auto" w:sz="4" w:space="0"/>
              <w:left w:val="single" w:color="auto" w:sz="4" w:space="0"/>
              <w:bottom w:val="single" w:color="auto" w:sz="4" w:space="0"/>
              <w:right w:val="single" w:color="auto" w:sz="4" w:space="0"/>
            </w:tcBorders>
            <w:shd w:val="clear" w:color="auto" w:fill="auto"/>
            <w:noWrap w:val="0"/>
            <w:vAlign w:val="center"/>
          </w:tcPr>
          <w:p w14:paraId="23411B36">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bidi="ar"/>
              </w:rPr>
              <w:t>参与标准编制工作，组织人员进行标准发布后的宣贯培训</w:t>
            </w:r>
          </w:p>
        </w:tc>
      </w:tr>
      <w:tr w14:paraId="2F5C74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948" w:type="dxa"/>
            <w:tcBorders>
              <w:top w:val="single" w:color="auto" w:sz="4" w:space="0"/>
              <w:left w:val="single" w:color="auto" w:sz="4" w:space="0"/>
              <w:bottom w:val="single" w:color="auto" w:sz="4" w:space="0"/>
              <w:right w:val="single" w:color="auto" w:sz="4" w:space="0"/>
            </w:tcBorders>
            <w:noWrap w:val="0"/>
            <w:vAlign w:val="center"/>
          </w:tcPr>
          <w:p w14:paraId="06C4B71E">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梁伟</w:t>
            </w:r>
          </w:p>
        </w:tc>
        <w:tc>
          <w:tcPr>
            <w:tcW w:w="1287" w:type="dxa"/>
            <w:tcBorders>
              <w:top w:val="single" w:color="auto" w:sz="4" w:space="0"/>
              <w:left w:val="single" w:color="auto" w:sz="4" w:space="0"/>
              <w:bottom w:val="single" w:color="auto" w:sz="4" w:space="0"/>
              <w:right w:val="single" w:color="auto" w:sz="4" w:space="0"/>
            </w:tcBorders>
            <w:noWrap w:val="0"/>
            <w:vAlign w:val="center"/>
          </w:tcPr>
          <w:p w14:paraId="68F430C3">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副主任医师</w:t>
            </w:r>
          </w:p>
        </w:tc>
        <w:tc>
          <w:tcPr>
            <w:tcW w:w="1232" w:type="dxa"/>
            <w:tcBorders>
              <w:top w:val="single" w:color="auto" w:sz="4" w:space="0"/>
              <w:left w:val="single" w:color="auto" w:sz="4" w:space="0"/>
              <w:bottom w:val="single" w:color="auto" w:sz="4" w:space="0"/>
              <w:right w:val="single" w:color="auto" w:sz="4" w:space="0"/>
            </w:tcBorders>
            <w:noWrap w:val="0"/>
            <w:vAlign w:val="center"/>
          </w:tcPr>
          <w:p w14:paraId="2EF8A44E">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中医内科</w:t>
            </w:r>
          </w:p>
        </w:tc>
        <w:tc>
          <w:tcPr>
            <w:tcW w:w="1843" w:type="dxa"/>
            <w:tcBorders>
              <w:top w:val="single" w:color="auto" w:sz="4" w:space="0"/>
              <w:left w:val="single" w:color="auto" w:sz="4" w:space="0"/>
              <w:bottom w:val="single" w:color="auto" w:sz="4" w:space="0"/>
              <w:right w:val="single" w:color="auto" w:sz="4" w:space="0"/>
            </w:tcBorders>
            <w:noWrap w:val="0"/>
            <w:vAlign w:val="center"/>
          </w:tcPr>
          <w:p w14:paraId="47FF6C0D">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南宁市第二人民医院</w:t>
            </w:r>
          </w:p>
        </w:tc>
        <w:tc>
          <w:tcPr>
            <w:tcW w:w="3778" w:type="dxa"/>
            <w:tcBorders>
              <w:top w:val="single" w:color="auto" w:sz="4" w:space="0"/>
              <w:left w:val="single" w:color="auto" w:sz="4" w:space="0"/>
              <w:bottom w:val="single" w:color="auto" w:sz="4" w:space="0"/>
              <w:right w:val="single" w:color="auto" w:sz="4" w:space="0"/>
            </w:tcBorders>
            <w:noWrap w:val="0"/>
            <w:vAlign w:val="center"/>
          </w:tcPr>
          <w:p w14:paraId="787B8F82">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参与标准文本及编制说明的编写；组织开展标准征求意见会；对标准实施情况进行总结分析，不断对标准提出修正意见</w:t>
            </w:r>
          </w:p>
        </w:tc>
      </w:tr>
      <w:tr w14:paraId="1AB1F4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948" w:type="dxa"/>
            <w:tcBorders>
              <w:top w:val="single" w:color="auto" w:sz="4" w:space="0"/>
              <w:left w:val="single" w:color="auto" w:sz="4" w:space="0"/>
              <w:bottom w:val="single" w:color="auto" w:sz="4" w:space="0"/>
              <w:right w:val="single" w:color="auto" w:sz="4" w:space="0"/>
            </w:tcBorders>
            <w:noWrap w:val="0"/>
            <w:vAlign w:val="center"/>
          </w:tcPr>
          <w:p w14:paraId="58933DEA">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王园</w:t>
            </w:r>
          </w:p>
        </w:tc>
        <w:tc>
          <w:tcPr>
            <w:tcW w:w="1287" w:type="dxa"/>
            <w:tcBorders>
              <w:top w:val="single" w:color="auto" w:sz="4" w:space="0"/>
              <w:left w:val="single" w:color="auto" w:sz="4" w:space="0"/>
              <w:bottom w:val="single" w:color="auto" w:sz="4" w:space="0"/>
              <w:right w:val="single" w:color="auto" w:sz="4" w:space="0"/>
            </w:tcBorders>
            <w:noWrap w:val="0"/>
            <w:vAlign w:val="center"/>
          </w:tcPr>
          <w:p w14:paraId="1DA59CDC">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主管护师</w:t>
            </w:r>
          </w:p>
        </w:tc>
        <w:tc>
          <w:tcPr>
            <w:tcW w:w="1232" w:type="dxa"/>
            <w:tcBorders>
              <w:top w:val="single" w:color="auto" w:sz="4" w:space="0"/>
              <w:left w:val="single" w:color="auto" w:sz="4" w:space="0"/>
              <w:bottom w:val="single" w:color="auto" w:sz="4" w:space="0"/>
              <w:right w:val="single" w:color="auto" w:sz="4" w:space="0"/>
            </w:tcBorders>
            <w:noWrap w:val="0"/>
            <w:vAlign w:val="center"/>
          </w:tcPr>
          <w:p w14:paraId="1C4DDDE9">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护理专业</w:t>
            </w:r>
          </w:p>
        </w:tc>
        <w:tc>
          <w:tcPr>
            <w:tcW w:w="1843" w:type="dxa"/>
            <w:tcBorders>
              <w:top w:val="single" w:color="auto" w:sz="4" w:space="0"/>
              <w:left w:val="single" w:color="auto" w:sz="4" w:space="0"/>
              <w:bottom w:val="single" w:color="auto" w:sz="4" w:space="0"/>
              <w:right w:val="single" w:color="auto" w:sz="4" w:space="0"/>
            </w:tcBorders>
            <w:noWrap w:val="0"/>
            <w:vAlign w:val="center"/>
          </w:tcPr>
          <w:p w14:paraId="4D9892E6">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南宁市第二人民医院</w:t>
            </w:r>
          </w:p>
        </w:tc>
        <w:tc>
          <w:tcPr>
            <w:tcW w:w="3778" w:type="dxa"/>
            <w:tcBorders>
              <w:top w:val="single" w:color="auto" w:sz="4" w:space="0"/>
              <w:left w:val="single" w:color="auto" w:sz="4" w:space="0"/>
              <w:bottom w:val="single" w:color="auto" w:sz="4" w:space="0"/>
              <w:right w:val="single" w:color="auto" w:sz="4" w:space="0"/>
            </w:tcBorders>
            <w:noWrap w:val="0"/>
            <w:vAlign w:val="center"/>
          </w:tcPr>
          <w:p w14:paraId="566BF2F6">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参与标准文本及编制说明的编写；组织开展标准征求意见会；对标准实施情况进行总结分析，不断对标准提出修正意见</w:t>
            </w:r>
          </w:p>
        </w:tc>
      </w:tr>
      <w:tr w14:paraId="2B1D9C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948" w:type="dxa"/>
            <w:tcBorders>
              <w:top w:val="single" w:color="auto" w:sz="4" w:space="0"/>
              <w:left w:val="single" w:color="auto" w:sz="4" w:space="0"/>
              <w:bottom w:val="single" w:color="auto" w:sz="4" w:space="0"/>
              <w:right w:val="single" w:color="auto" w:sz="4" w:space="0"/>
            </w:tcBorders>
            <w:noWrap w:val="0"/>
            <w:vAlign w:val="center"/>
          </w:tcPr>
          <w:p w14:paraId="5D168B33">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黎艳</w:t>
            </w:r>
          </w:p>
        </w:tc>
        <w:tc>
          <w:tcPr>
            <w:tcW w:w="1287" w:type="dxa"/>
            <w:tcBorders>
              <w:top w:val="single" w:color="auto" w:sz="4" w:space="0"/>
              <w:left w:val="single" w:color="auto" w:sz="4" w:space="0"/>
              <w:bottom w:val="single" w:color="auto" w:sz="4" w:space="0"/>
              <w:right w:val="single" w:color="auto" w:sz="4" w:space="0"/>
            </w:tcBorders>
            <w:noWrap w:val="0"/>
            <w:vAlign w:val="center"/>
          </w:tcPr>
          <w:p w14:paraId="5A3C358A">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主任医师</w:t>
            </w:r>
          </w:p>
        </w:tc>
        <w:tc>
          <w:tcPr>
            <w:tcW w:w="1232" w:type="dxa"/>
            <w:tcBorders>
              <w:top w:val="single" w:color="auto" w:sz="4" w:space="0"/>
              <w:left w:val="single" w:color="auto" w:sz="4" w:space="0"/>
              <w:bottom w:val="single" w:color="auto" w:sz="4" w:space="0"/>
              <w:right w:val="single" w:color="auto" w:sz="4" w:space="0"/>
            </w:tcBorders>
            <w:noWrap w:val="0"/>
            <w:vAlign w:val="center"/>
          </w:tcPr>
          <w:p w14:paraId="18FB0DD3">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中西医结合临床</w:t>
            </w:r>
          </w:p>
        </w:tc>
        <w:tc>
          <w:tcPr>
            <w:tcW w:w="1843" w:type="dxa"/>
            <w:tcBorders>
              <w:top w:val="single" w:color="auto" w:sz="4" w:space="0"/>
              <w:left w:val="single" w:color="auto" w:sz="4" w:space="0"/>
              <w:bottom w:val="single" w:color="auto" w:sz="4" w:space="0"/>
              <w:right w:val="single" w:color="auto" w:sz="4" w:space="0"/>
            </w:tcBorders>
            <w:noWrap w:val="0"/>
            <w:vAlign w:val="center"/>
          </w:tcPr>
          <w:p w14:paraId="54C393B7">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南宁市第二人民医院</w:t>
            </w:r>
          </w:p>
        </w:tc>
        <w:tc>
          <w:tcPr>
            <w:tcW w:w="3778" w:type="dxa"/>
            <w:tcBorders>
              <w:top w:val="single" w:color="auto" w:sz="4" w:space="0"/>
              <w:left w:val="single" w:color="auto" w:sz="4" w:space="0"/>
              <w:bottom w:val="single" w:color="auto" w:sz="4" w:space="0"/>
              <w:right w:val="single" w:color="auto" w:sz="4" w:space="0"/>
            </w:tcBorders>
            <w:noWrap w:val="0"/>
            <w:vAlign w:val="top"/>
          </w:tcPr>
          <w:p w14:paraId="5CDFF701">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参与标准文本及编制说明的编写；组织开展标准征求意见会；对标准实施情况进行总结分析，不断对标准提出修正意见</w:t>
            </w:r>
          </w:p>
        </w:tc>
      </w:tr>
      <w:tr w14:paraId="0BBEE1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948" w:type="dxa"/>
            <w:tcBorders>
              <w:top w:val="single" w:color="auto" w:sz="4" w:space="0"/>
              <w:left w:val="single" w:color="auto" w:sz="4" w:space="0"/>
              <w:bottom w:val="single" w:color="auto" w:sz="4" w:space="0"/>
              <w:right w:val="single" w:color="auto" w:sz="4" w:space="0"/>
            </w:tcBorders>
            <w:noWrap w:val="0"/>
            <w:vAlign w:val="center"/>
          </w:tcPr>
          <w:p w14:paraId="7131D5E5">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林影</w:t>
            </w:r>
          </w:p>
        </w:tc>
        <w:tc>
          <w:tcPr>
            <w:tcW w:w="1287" w:type="dxa"/>
            <w:tcBorders>
              <w:top w:val="single" w:color="auto" w:sz="4" w:space="0"/>
              <w:left w:val="single" w:color="auto" w:sz="4" w:space="0"/>
              <w:bottom w:val="single" w:color="auto" w:sz="4" w:space="0"/>
              <w:right w:val="single" w:color="auto" w:sz="4" w:space="0"/>
            </w:tcBorders>
            <w:noWrap w:val="0"/>
            <w:vAlign w:val="center"/>
          </w:tcPr>
          <w:p w14:paraId="280889A5">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主管护师</w:t>
            </w:r>
          </w:p>
        </w:tc>
        <w:tc>
          <w:tcPr>
            <w:tcW w:w="1232" w:type="dxa"/>
            <w:tcBorders>
              <w:top w:val="single" w:color="auto" w:sz="4" w:space="0"/>
              <w:left w:val="single" w:color="auto" w:sz="4" w:space="0"/>
              <w:bottom w:val="single" w:color="auto" w:sz="4" w:space="0"/>
              <w:right w:val="single" w:color="auto" w:sz="4" w:space="0"/>
            </w:tcBorders>
            <w:noWrap w:val="0"/>
            <w:vAlign w:val="center"/>
          </w:tcPr>
          <w:p w14:paraId="2C7FB418">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护理专业</w:t>
            </w:r>
          </w:p>
        </w:tc>
        <w:tc>
          <w:tcPr>
            <w:tcW w:w="1843" w:type="dxa"/>
            <w:tcBorders>
              <w:top w:val="single" w:color="auto" w:sz="4" w:space="0"/>
              <w:left w:val="single" w:color="auto" w:sz="4" w:space="0"/>
              <w:bottom w:val="single" w:color="auto" w:sz="4" w:space="0"/>
              <w:right w:val="single" w:color="auto" w:sz="4" w:space="0"/>
            </w:tcBorders>
            <w:noWrap w:val="0"/>
            <w:vAlign w:val="center"/>
          </w:tcPr>
          <w:p w14:paraId="1FE9CF49">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南宁市第二人民医院</w:t>
            </w:r>
          </w:p>
        </w:tc>
        <w:tc>
          <w:tcPr>
            <w:tcW w:w="3778" w:type="dxa"/>
            <w:tcBorders>
              <w:top w:val="single" w:color="auto" w:sz="4" w:space="0"/>
              <w:left w:val="single" w:color="auto" w:sz="4" w:space="0"/>
              <w:bottom w:val="single" w:color="auto" w:sz="4" w:space="0"/>
              <w:right w:val="single" w:color="auto" w:sz="4" w:space="0"/>
            </w:tcBorders>
            <w:noWrap w:val="0"/>
            <w:vAlign w:val="top"/>
          </w:tcPr>
          <w:p w14:paraId="57549B07">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bidi="ar"/>
              </w:rPr>
            </w:pPr>
            <w:r>
              <w:rPr>
                <w:rFonts w:hint="eastAsia" w:ascii="仿宋_GB2312" w:hAnsi="仿宋_GB2312" w:eastAsia="仿宋_GB2312" w:cs="仿宋_GB2312"/>
                <w:color w:val="auto"/>
                <w:sz w:val="24"/>
                <w:lang w:val="en-US" w:eastAsia="zh-CN" w:bidi="ar"/>
              </w:rPr>
              <w:t>参与标准文本及编制说明的编写；组织开展标准征求意见会；对标准实施情况进行总结分析，不断对标准提出修正意见</w:t>
            </w:r>
          </w:p>
        </w:tc>
      </w:tr>
      <w:tr w14:paraId="1BB432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948" w:type="dxa"/>
            <w:tcBorders>
              <w:top w:val="single" w:color="auto" w:sz="4" w:space="0"/>
              <w:left w:val="single" w:color="auto" w:sz="4" w:space="0"/>
              <w:bottom w:val="single" w:color="auto" w:sz="4" w:space="0"/>
              <w:right w:val="single" w:color="auto" w:sz="4" w:space="0"/>
            </w:tcBorders>
            <w:noWrap w:val="0"/>
            <w:vAlign w:val="center"/>
          </w:tcPr>
          <w:p w14:paraId="4DACF14D">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卢燕</w:t>
            </w:r>
          </w:p>
        </w:tc>
        <w:tc>
          <w:tcPr>
            <w:tcW w:w="1287" w:type="dxa"/>
            <w:tcBorders>
              <w:top w:val="single" w:color="auto" w:sz="4" w:space="0"/>
              <w:left w:val="single" w:color="auto" w:sz="4" w:space="0"/>
              <w:bottom w:val="single" w:color="auto" w:sz="4" w:space="0"/>
              <w:right w:val="single" w:color="auto" w:sz="4" w:space="0"/>
            </w:tcBorders>
            <w:noWrap w:val="0"/>
            <w:vAlign w:val="center"/>
          </w:tcPr>
          <w:p w14:paraId="5F7731F8">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主管护师</w:t>
            </w:r>
          </w:p>
        </w:tc>
        <w:tc>
          <w:tcPr>
            <w:tcW w:w="1232" w:type="dxa"/>
            <w:tcBorders>
              <w:top w:val="single" w:color="auto" w:sz="4" w:space="0"/>
              <w:left w:val="single" w:color="auto" w:sz="4" w:space="0"/>
              <w:bottom w:val="single" w:color="auto" w:sz="4" w:space="0"/>
              <w:right w:val="single" w:color="auto" w:sz="4" w:space="0"/>
            </w:tcBorders>
            <w:noWrap w:val="0"/>
            <w:vAlign w:val="center"/>
          </w:tcPr>
          <w:p w14:paraId="0DF00105">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护理专业</w:t>
            </w:r>
          </w:p>
        </w:tc>
        <w:tc>
          <w:tcPr>
            <w:tcW w:w="1843" w:type="dxa"/>
            <w:tcBorders>
              <w:top w:val="single" w:color="auto" w:sz="4" w:space="0"/>
              <w:left w:val="single" w:color="auto" w:sz="4" w:space="0"/>
              <w:bottom w:val="single" w:color="auto" w:sz="4" w:space="0"/>
              <w:right w:val="single" w:color="auto" w:sz="4" w:space="0"/>
            </w:tcBorders>
            <w:noWrap w:val="0"/>
            <w:vAlign w:val="center"/>
          </w:tcPr>
          <w:p w14:paraId="550563FD">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南宁市第二人民医院</w:t>
            </w:r>
          </w:p>
        </w:tc>
        <w:tc>
          <w:tcPr>
            <w:tcW w:w="3778" w:type="dxa"/>
            <w:tcBorders>
              <w:top w:val="single" w:color="auto" w:sz="4" w:space="0"/>
              <w:left w:val="single" w:color="auto" w:sz="4" w:space="0"/>
              <w:bottom w:val="single" w:color="auto" w:sz="4" w:space="0"/>
              <w:right w:val="single" w:color="auto" w:sz="4" w:space="0"/>
            </w:tcBorders>
            <w:noWrap w:val="0"/>
            <w:vAlign w:val="top"/>
          </w:tcPr>
          <w:p w14:paraId="01FE803C">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bidi="ar"/>
              </w:rPr>
              <w:t>参与标准文本及编制说明的编写；组织开展标准征求意见会；对标准实施情况进行总结分析，不断对标准提出修正意见</w:t>
            </w:r>
          </w:p>
        </w:tc>
      </w:tr>
      <w:tr w14:paraId="17BB71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948" w:type="dxa"/>
            <w:tcBorders>
              <w:top w:val="single" w:color="auto" w:sz="4" w:space="0"/>
              <w:left w:val="single" w:color="auto" w:sz="4" w:space="0"/>
              <w:bottom w:val="single" w:color="auto" w:sz="4" w:space="0"/>
              <w:right w:val="single" w:color="auto" w:sz="4" w:space="0"/>
            </w:tcBorders>
            <w:noWrap w:val="0"/>
            <w:vAlign w:val="center"/>
          </w:tcPr>
          <w:p w14:paraId="3CA655F2">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李荣</w:t>
            </w:r>
          </w:p>
        </w:tc>
        <w:tc>
          <w:tcPr>
            <w:tcW w:w="1287" w:type="dxa"/>
            <w:tcBorders>
              <w:top w:val="single" w:color="auto" w:sz="4" w:space="0"/>
              <w:left w:val="single" w:color="auto" w:sz="4" w:space="0"/>
              <w:bottom w:val="single" w:color="auto" w:sz="4" w:space="0"/>
              <w:right w:val="single" w:color="auto" w:sz="4" w:space="0"/>
            </w:tcBorders>
            <w:noWrap w:val="0"/>
            <w:vAlign w:val="center"/>
          </w:tcPr>
          <w:p w14:paraId="5E0826F3">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主任医师</w:t>
            </w:r>
          </w:p>
        </w:tc>
        <w:tc>
          <w:tcPr>
            <w:tcW w:w="1232" w:type="dxa"/>
            <w:tcBorders>
              <w:top w:val="single" w:color="auto" w:sz="4" w:space="0"/>
              <w:left w:val="single" w:color="auto" w:sz="4" w:space="0"/>
              <w:bottom w:val="single" w:color="auto" w:sz="4" w:space="0"/>
              <w:right w:val="single" w:color="auto" w:sz="4" w:space="0"/>
            </w:tcBorders>
            <w:noWrap w:val="0"/>
            <w:vAlign w:val="center"/>
          </w:tcPr>
          <w:p w14:paraId="54512D30">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生殖医学</w:t>
            </w:r>
          </w:p>
        </w:tc>
        <w:tc>
          <w:tcPr>
            <w:tcW w:w="1843" w:type="dxa"/>
            <w:tcBorders>
              <w:top w:val="single" w:color="auto" w:sz="4" w:space="0"/>
              <w:left w:val="single" w:color="auto" w:sz="4" w:space="0"/>
              <w:bottom w:val="single" w:color="auto" w:sz="4" w:space="0"/>
              <w:right w:val="single" w:color="auto" w:sz="4" w:space="0"/>
            </w:tcBorders>
            <w:noWrap w:val="0"/>
            <w:vAlign w:val="center"/>
          </w:tcPr>
          <w:p w14:paraId="4C2C1163">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南宁市第二人民医院</w:t>
            </w:r>
          </w:p>
        </w:tc>
        <w:tc>
          <w:tcPr>
            <w:tcW w:w="3778" w:type="dxa"/>
            <w:tcBorders>
              <w:top w:val="single" w:color="auto" w:sz="4" w:space="0"/>
              <w:left w:val="single" w:color="auto" w:sz="4" w:space="0"/>
              <w:bottom w:val="single" w:color="auto" w:sz="4" w:space="0"/>
              <w:right w:val="single" w:color="auto" w:sz="4" w:space="0"/>
            </w:tcBorders>
            <w:noWrap w:val="0"/>
            <w:vAlign w:val="top"/>
          </w:tcPr>
          <w:p w14:paraId="303F2298">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bidi="ar"/>
              </w:rPr>
              <w:t>参与标准文本及编制说明的编写；组织开展标准征求意见会；对标准实施情况进行总结分析，不断对标准提出修正意见</w:t>
            </w:r>
          </w:p>
        </w:tc>
      </w:tr>
      <w:tr w14:paraId="75CAA1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48" w:type="dxa"/>
            <w:tcBorders>
              <w:top w:val="single" w:color="auto" w:sz="4" w:space="0"/>
              <w:left w:val="single" w:color="auto" w:sz="4" w:space="0"/>
              <w:bottom w:val="single" w:color="auto" w:sz="4" w:space="0"/>
              <w:right w:val="single" w:color="auto" w:sz="4" w:space="0"/>
            </w:tcBorders>
            <w:noWrap w:val="0"/>
            <w:vAlign w:val="center"/>
          </w:tcPr>
          <w:p w14:paraId="08F529E6">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王世栋</w:t>
            </w:r>
          </w:p>
        </w:tc>
        <w:tc>
          <w:tcPr>
            <w:tcW w:w="1287" w:type="dxa"/>
            <w:tcBorders>
              <w:top w:val="single" w:color="auto" w:sz="4" w:space="0"/>
              <w:left w:val="single" w:color="auto" w:sz="4" w:space="0"/>
              <w:bottom w:val="single" w:color="auto" w:sz="4" w:space="0"/>
              <w:right w:val="single" w:color="auto" w:sz="4" w:space="0"/>
            </w:tcBorders>
            <w:noWrap w:val="0"/>
            <w:vAlign w:val="center"/>
          </w:tcPr>
          <w:p w14:paraId="2898CD74">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副主任医师</w:t>
            </w:r>
          </w:p>
        </w:tc>
        <w:tc>
          <w:tcPr>
            <w:tcW w:w="1232" w:type="dxa"/>
            <w:tcBorders>
              <w:top w:val="single" w:color="auto" w:sz="4" w:space="0"/>
              <w:left w:val="single" w:color="auto" w:sz="4" w:space="0"/>
              <w:bottom w:val="single" w:color="auto" w:sz="4" w:space="0"/>
              <w:right w:val="single" w:color="auto" w:sz="4" w:space="0"/>
            </w:tcBorders>
            <w:noWrap w:val="0"/>
            <w:vAlign w:val="center"/>
          </w:tcPr>
          <w:p w14:paraId="26505CAC">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中医内科</w:t>
            </w:r>
          </w:p>
        </w:tc>
        <w:tc>
          <w:tcPr>
            <w:tcW w:w="1843" w:type="dxa"/>
            <w:tcBorders>
              <w:top w:val="single" w:color="auto" w:sz="4" w:space="0"/>
              <w:left w:val="single" w:color="auto" w:sz="4" w:space="0"/>
              <w:bottom w:val="single" w:color="auto" w:sz="4" w:space="0"/>
              <w:right w:val="single" w:color="auto" w:sz="4" w:space="0"/>
            </w:tcBorders>
            <w:noWrap w:val="0"/>
            <w:vAlign w:val="center"/>
          </w:tcPr>
          <w:p w14:paraId="328F5478">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bidi="ar"/>
              </w:rPr>
            </w:pPr>
            <w:r>
              <w:rPr>
                <w:rFonts w:hint="eastAsia" w:ascii="仿宋_GB2312" w:hAnsi="仿宋_GB2312" w:eastAsia="仿宋_GB2312" w:cs="仿宋_GB2312"/>
                <w:color w:val="auto"/>
                <w:sz w:val="24"/>
                <w:lang w:val="en-US" w:eastAsia="zh-CN" w:bidi="ar"/>
              </w:rPr>
              <w:t>南宁市第二人民医院</w:t>
            </w:r>
          </w:p>
        </w:tc>
        <w:tc>
          <w:tcPr>
            <w:tcW w:w="3778" w:type="dxa"/>
            <w:tcBorders>
              <w:top w:val="single" w:color="auto" w:sz="4" w:space="0"/>
              <w:left w:val="single" w:color="auto" w:sz="4" w:space="0"/>
              <w:bottom w:val="single" w:color="auto" w:sz="4" w:space="0"/>
              <w:right w:val="single" w:color="auto" w:sz="4" w:space="0"/>
            </w:tcBorders>
            <w:noWrap w:val="0"/>
            <w:vAlign w:val="top"/>
          </w:tcPr>
          <w:p w14:paraId="1E79F452">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参与标准文本及编制说明的编写；组织开展标准征求意见会；对标准实施情况进行总结分析，不断对标准提出修正意见</w:t>
            </w:r>
          </w:p>
        </w:tc>
      </w:tr>
      <w:tr w14:paraId="3CC6A9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48" w:type="dxa"/>
            <w:tcBorders>
              <w:top w:val="single" w:color="auto" w:sz="4" w:space="0"/>
              <w:left w:val="single" w:color="auto" w:sz="4" w:space="0"/>
              <w:bottom w:val="single" w:color="auto" w:sz="4" w:space="0"/>
              <w:right w:val="single" w:color="auto" w:sz="4" w:space="0"/>
            </w:tcBorders>
            <w:noWrap w:val="0"/>
            <w:vAlign w:val="center"/>
          </w:tcPr>
          <w:p w14:paraId="1D9A91BC">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val="en-US" w:eastAsia="zh-CN" w:bidi="ar"/>
              </w:rPr>
            </w:pPr>
            <w:r>
              <w:rPr>
                <w:rFonts w:hint="default" w:ascii="仿宋_GB2312" w:hAnsi="仿宋_GB2312" w:eastAsia="仿宋_GB2312" w:cs="仿宋_GB2312"/>
                <w:color w:val="auto"/>
                <w:sz w:val="24"/>
                <w:lang w:eastAsia="zh-CN" w:bidi="ar"/>
              </w:rPr>
              <w:t>邱华</w:t>
            </w:r>
          </w:p>
        </w:tc>
        <w:tc>
          <w:tcPr>
            <w:tcW w:w="1287" w:type="dxa"/>
            <w:tcBorders>
              <w:top w:val="single" w:color="auto" w:sz="4" w:space="0"/>
              <w:left w:val="single" w:color="auto" w:sz="4" w:space="0"/>
              <w:bottom w:val="single" w:color="auto" w:sz="4" w:space="0"/>
              <w:right w:val="single" w:color="auto" w:sz="4" w:space="0"/>
            </w:tcBorders>
            <w:noWrap w:val="0"/>
            <w:vAlign w:val="center"/>
          </w:tcPr>
          <w:p w14:paraId="2195A0B5">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主任医师</w:t>
            </w:r>
          </w:p>
        </w:tc>
        <w:tc>
          <w:tcPr>
            <w:tcW w:w="1232" w:type="dxa"/>
            <w:tcBorders>
              <w:top w:val="single" w:color="auto" w:sz="4" w:space="0"/>
              <w:left w:val="single" w:color="auto" w:sz="4" w:space="0"/>
              <w:bottom w:val="single" w:color="auto" w:sz="4" w:space="0"/>
              <w:right w:val="single" w:color="auto" w:sz="4" w:space="0"/>
            </w:tcBorders>
            <w:noWrap w:val="0"/>
            <w:vAlign w:val="center"/>
          </w:tcPr>
          <w:p w14:paraId="4C7A7B4D">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中西医结合临床</w:t>
            </w:r>
          </w:p>
        </w:tc>
        <w:tc>
          <w:tcPr>
            <w:tcW w:w="1843" w:type="dxa"/>
            <w:tcBorders>
              <w:top w:val="single" w:color="auto" w:sz="4" w:space="0"/>
              <w:left w:val="single" w:color="auto" w:sz="4" w:space="0"/>
              <w:bottom w:val="single" w:color="auto" w:sz="4" w:space="0"/>
              <w:right w:val="single" w:color="auto" w:sz="4" w:space="0"/>
            </w:tcBorders>
            <w:noWrap w:val="0"/>
            <w:vAlign w:val="center"/>
          </w:tcPr>
          <w:p w14:paraId="59AF8BA1">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广西医科大学附属肿瘤医院</w:t>
            </w:r>
          </w:p>
        </w:tc>
        <w:tc>
          <w:tcPr>
            <w:tcW w:w="3778" w:type="dxa"/>
            <w:tcBorders>
              <w:top w:val="single" w:color="auto" w:sz="4" w:space="0"/>
              <w:left w:val="single" w:color="auto" w:sz="4" w:space="0"/>
              <w:bottom w:val="single" w:color="auto" w:sz="4" w:space="0"/>
              <w:right w:val="single" w:color="auto" w:sz="4" w:space="0"/>
            </w:tcBorders>
            <w:noWrap w:val="0"/>
            <w:vAlign w:val="top"/>
          </w:tcPr>
          <w:p w14:paraId="1C8247D1">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参与标准文本及编制说明的编写；组织开展标准征求意见会；对标准实施情况进行总结分析，不断对标准提出修正意见</w:t>
            </w:r>
          </w:p>
        </w:tc>
      </w:tr>
      <w:tr w14:paraId="659A94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48" w:type="dxa"/>
            <w:tcBorders>
              <w:top w:val="single" w:color="auto" w:sz="4" w:space="0"/>
              <w:left w:val="single" w:color="auto" w:sz="4" w:space="0"/>
              <w:bottom w:val="single" w:color="auto" w:sz="4" w:space="0"/>
              <w:right w:val="single" w:color="auto" w:sz="4" w:space="0"/>
            </w:tcBorders>
            <w:noWrap w:val="0"/>
            <w:vAlign w:val="center"/>
          </w:tcPr>
          <w:p w14:paraId="303448F3">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龙富立</w:t>
            </w:r>
          </w:p>
        </w:tc>
        <w:tc>
          <w:tcPr>
            <w:tcW w:w="1287" w:type="dxa"/>
            <w:tcBorders>
              <w:top w:val="single" w:color="auto" w:sz="4" w:space="0"/>
              <w:left w:val="single" w:color="auto" w:sz="4" w:space="0"/>
              <w:bottom w:val="single" w:color="auto" w:sz="4" w:space="0"/>
              <w:right w:val="single" w:color="auto" w:sz="4" w:space="0"/>
            </w:tcBorders>
            <w:noWrap w:val="0"/>
            <w:vAlign w:val="center"/>
          </w:tcPr>
          <w:p w14:paraId="61D6ECE5">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主任医师</w:t>
            </w:r>
          </w:p>
        </w:tc>
        <w:tc>
          <w:tcPr>
            <w:tcW w:w="1232" w:type="dxa"/>
            <w:tcBorders>
              <w:top w:val="single" w:color="auto" w:sz="4" w:space="0"/>
              <w:left w:val="single" w:color="auto" w:sz="4" w:space="0"/>
              <w:bottom w:val="single" w:color="auto" w:sz="4" w:space="0"/>
              <w:right w:val="single" w:color="auto" w:sz="4" w:space="0"/>
            </w:tcBorders>
            <w:noWrap w:val="0"/>
            <w:vAlign w:val="center"/>
          </w:tcPr>
          <w:p w14:paraId="2587369B">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中医内科</w:t>
            </w:r>
          </w:p>
        </w:tc>
        <w:tc>
          <w:tcPr>
            <w:tcW w:w="1843" w:type="dxa"/>
            <w:tcBorders>
              <w:top w:val="single" w:color="auto" w:sz="4" w:space="0"/>
              <w:left w:val="single" w:color="auto" w:sz="4" w:space="0"/>
              <w:bottom w:val="single" w:color="auto" w:sz="4" w:space="0"/>
              <w:right w:val="single" w:color="auto" w:sz="4" w:space="0"/>
            </w:tcBorders>
            <w:noWrap w:val="0"/>
            <w:vAlign w:val="center"/>
          </w:tcPr>
          <w:p w14:paraId="0C0E0C45">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广西中医药大学第一附属医院</w:t>
            </w:r>
          </w:p>
        </w:tc>
        <w:tc>
          <w:tcPr>
            <w:tcW w:w="3778" w:type="dxa"/>
            <w:tcBorders>
              <w:top w:val="single" w:color="auto" w:sz="4" w:space="0"/>
              <w:left w:val="single" w:color="auto" w:sz="4" w:space="0"/>
              <w:bottom w:val="single" w:color="auto" w:sz="4" w:space="0"/>
              <w:right w:val="single" w:color="auto" w:sz="4" w:space="0"/>
            </w:tcBorders>
            <w:noWrap w:val="0"/>
            <w:vAlign w:val="top"/>
          </w:tcPr>
          <w:p w14:paraId="64B76426">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参与标准文本及编制说明的编写；组织开展标准征求意见会；对标准实施情况进行总结分析，不断对标准提出修正意见</w:t>
            </w:r>
          </w:p>
        </w:tc>
      </w:tr>
      <w:tr w14:paraId="1C1B08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48" w:type="dxa"/>
            <w:tcBorders>
              <w:top w:val="single" w:color="auto" w:sz="4" w:space="0"/>
              <w:left w:val="single" w:color="auto" w:sz="4" w:space="0"/>
              <w:bottom w:val="single" w:color="auto" w:sz="4" w:space="0"/>
              <w:right w:val="single" w:color="auto" w:sz="4" w:space="0"/>
            </w:tcBorders>
            <w:noWrap w:val="0"/>
            <w:vAlign w:val="center"/>
          </w:tcPr>
          <w:p w14:paraId="32D4F901">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val="en-US" w:eastAsia="zh-CN" w:bidi="ar"/>
              </w:rPr>
            </w:pPr>
            <w:r>
              <w:rPr>
                <w:rFonts w:hint="default" w:ascii="仿宋_GB2312" w:hAnsi="仿宋_GB2312" w:eastAsia="仿宋_GB2312" w:cs="仿宋_GB2312"/>
                <w:color w:val="auto"/>
                <w:sz w:val="24"/>
                <w:lang w:bidi="ar"/>
              </w:rPr>
              <w:t>郭伟堃</w:t>
            </w:r>
          </w:p>
        </w:tc>
        <w:tc>
          <w:tcPr>
            <w:tcW w:w="1287" w:type="dxa"/>
            <w:tcBorders>
              <w:top w:val="single" w:color="auto" w:sz="4" w:space="0"/>
              <w:left w:val="single" w:color="auto" w:sz="4" w:space="0"/>
              <w:bottom w:val="single" w:color="auto" w:sz="4" w:space="0"/>
              <w:right w:val="single" w:color="auto" w:sz="4" w:space="0"/>
            </w:tcBorders>
            <w:noWrap w:val="0"/>
            <w:vAlign w:val="center"/>
          </w:tcPr>
          <w:p w14:paraId="55D05D1B">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主任医师</w:t>
            </w:r>
          </w:p>
        </w:tc>
        <w:tc>
          <w:tcPr>
            <w:tcW w:w="1232" w:type="dxa"/>
            <w:tcBorders>
              <w:top w:val="single" w:color="auto" w:sz="4" w:space="0"/>
              <w:left w:val="single" w:color="auto" w:sz="4" w:space="0"/>
              <w:bottom w:val="single" w:color="auto" w:sz="4" w:space="0"/>
              <w:right w:val="single" w:color="auto" w:sz="4" w:space="0"/>
            </w:tcBorders>
            <w:noWrap w:val="0"/>
            <w:vAlign w:val="center"/>
          </w:tcPr>
          <w:p w14:paraId="45A7C70E">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中医妇科</w:t>
            </w:r>
          </w:p>
        </w:tc>
        <w:tc>
          <w:tcPr>
            <w:tcW w:w="1843" w:type="dxa"/>
            <w:tcBorders>
              <w:top w:val="single" w:color="auto" w:sz="4" w:space="0"/>
              <w:left w:val="single" w:color="auto" w:sz="4" w:space="0"/>
              <w:bottom w:val="single" w:color="auto" w:sz="4" w:space="0"/>
              <w:right w:val="single" w:color="auto" w:sz="4" w:space="0"/>
            </w:tcBorders>
            <w:noWrap w:val="0"/>
            <w:vAlign w:val="center"/>
          </w:tcPr>
          <w:p w14:paraId="4992292D">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bidi="ar"/>
              </w:rPr>
            </w:pPr>
            <w:r>
              <w:rPr>
                <w:rFonts w:hint="eastAsia" w:ascii="仿宋_GB2312" w:hAnsi="仿宋_GB2312" w:eastAsia="仿宋_GB2312" w:cs="仿宋_GB2312"/>
                <w:color w:val="auto"/>
                <w:sz w:val="24"/>
                <w:lang w:val="en-US" w:eastAsia="zh-CN" w:bidi="ar"/>
              </w:rPr>
              <w:t>广西中医药大学附属瑞康医院</w:t>
            </w:r>
          </w:p>
        </w:tc>
        <w:tc>
          <w:tcPr>
            <w:tcW w:w="3778" w:type="dxa"/>
            <w:tcBorders>
              <w:top w:val="single" w:color="auto" w:sz="4" w:space="0"/>
              <w:left w:val="single" w:color="auto" w:sz="4" w:space="0"/>
              <w:bottom w:val="single" w:color="auto" w:sz="4" w:space="0"/>
              <w:right w:val="single" w:color="auto" w:sz="4" w:space="0"/>
            </w:tcBorders>
            <w:noWrap w:val="0"/>
            <w:vAlign w:val="top"/>
          </w:tcPr>
          <w:p w14:paraId="30AEA4B2">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参与标准文本及编制说明的编写；组织开展标准征求意见会；对标准实施情况进行总结分析，不断对标准提出修正意见</w:t>
            </w:r>
          </w:p>
        </w:tc>
      </w:tr>
      <w:tr w14:paraId="144781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48" w:type="dxa"/>
            <w:tcBorders>
              <w:top w:val="single" w:color="auto" w:sz="4" w:space="0"/>
              <w:left w:val="single" w:color="auto" w:sz="4" w:space="0"/>
              <w:bottom w:val="single" w:color="auto" w:sz="4" w:space="0"/>
              <w:right w:val="single" w:color="auto" w:sz="4" w:space="0"/>
            </w:tcBorders>
            <w:noWrap w:val="0"/>
            <w:vAlign w:val="center"/>
          </w:tcPr>
          <w:p w14:paraId="4C4EC4F7">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李凌云</w:t>
            </w:r>
          </w:p>
        </w:tc>
        <w:tc>
          <w:tcPr>
            <w:tcW w:w="1287" w:type="dxa"/>
            <w:tcBorders>
              <w:top w:val="single" w:color="auto" w:sz="4" w:space="0"/>
              <w:left w:val="single" w:color="auto" w:sz="4" w:space="0"/>
              <w:bottom w:val="single" w:color="auto" w:sz="4" w:space="0"/>
              <w:right w:val="single" w:color="auto" w:sz="4" w:space="0"/>
            </w:tcBorders>
            <w:noWrap w:val="0"/>
            <w:vAlign w:val="center"/>
          </w:tcPr>
          <w:p w14:paraId="20B16617">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副主任医师</w:t>
            </w:r>
          </w:p>
        </w:tc>
        <w:tc>
          <w:tcPr>
            <w:tcW w:w="1232" w:type="dxa"/>
            <w:tcBorders>
              <w:top w:val="single" w:color="auto" w:sz="4" w:space="0"/>
              <w:left w:val="single" w:color="auto" w:sz="4" w:space="0"/>
              <w:bottom w:val="single" w:color="auto" w:sz="4" w:space="0"/>
              <w:right w:val="single" w:color="auto" w:sz="4" w:space="0"/>
            </w:tcBorders>
            <w:noWrap w:val="0"/>
            <w:vAlign w:val="center"/>
          </w:tcPr>
          <w:p w14:paraId="24814511">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中西医结合临床</w:t>
            </w:r>
          </w:p>
        </w:tc>
        <w:tc>
          <w:tcPr>
            <w:tcW w:w="1843" w:type="dxa"/>
            <w:tcBorders>
              <w:top w:val="single" w:color="auto" w:sz="4" w:space="0"/>
              <w:left w:val="single" w:color="auto" w:sz="4" w:space="0"/>
              <w:bottom w:val="single" w:color="auto" w:sz="4" w:space="0"/>
              <w:right w:val="single" w:color="auto" w:sz="4" w:space="0"/>
            </w:tcBorders>
            <w:noWrap w:val="0"/>
            <w:vAlign w:val="center"/>
          </w:tcPr>
          <w:p w14:paraId="1C8521E1">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bidi="ar"/>
              </w:rPr>
            </w:pPr>
            <w:r>
              <w:rPr>
                <w:rFonts w:hint="eastAsia" w:ascii="仿宋_GB2312" w:hAnsi="仿宋_GB2312" w:eastAsia="仿宋_GB2312" w:cs="仿宋_GB2312"/>
                <w:color w:val="auto"/>
                <w:sz w:val="24"/>
                <w:lang w:val="en-US" w:eastAsia="zh-CN" w:bidi="ar"/>
              </w:rPr>
              <w:t>广西壮族自治区南溪山医院</w:t>
            </w:r>
          </w:p>
        </w:tc>
        <w:tc>
          <w:tcPr>
            <w:tcW w:w="3778" w:type="dxa"/>
            <w:tcBorders>
              <w:top w:val="single" w:color="auto" w:sz="4" w:space="0"/>
              <w:left w:val="single" w:color="auto" w:sz="4" w:space="0"/>
              <w:bottom w:val="single" w:color="auto" w:sz="4" w:space="0"/>
              <w:right w:val="single" w:color="auto" w:sz="4" w:space="0"/>
            </w:tcBorders>
            <w:noWrap w:val="0"/>
            <w:vAlign w:val="top"/>
          </w:tcPr>
          <w:p w14:paraId="611A34EC">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参与标准文本及编制说明的编写；组织开展标准征求意见会；对标准实施情况进行总结分析，不断对标准提出修正意见</w:t>
            </w:r>
          </w:p>
        </w:tc>
      </w:tr>
      <w:tr w14:paraId="3B4669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48" w:type="dxa"/>
            <w:tcBorders>
              <w:top w:val="single" w:color="auto" w:sz="4" w:space="0"/>
              <w:left w:val="single" w:color="auto" w:sz="4" w:space="0"/>
              <w:bottom w:val="single" w:color="auto" w:sz="4" w:space="0"/>
              <w:right w:val="single" w:color="auto" w:sz="4" w:space="0"/>
            </w:tcBorders>
            <w:noWrap w:val="0"/>
            <w:vAlign w:val="center"/>
          </w:tcPr>
          <w:p w14:paraId="4B127439">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钟娟</w:t>
            </w:r>
          </w:p>
        </w:tc>
        <w:tc>
          <w:tcPr>
            <w:tcW w:w="1287" w:type="dxa"/>
            <w:tcBorders>
              <w:top w:val="single" w:color="auto" w:sz="4" w:space="0"/>
              <w:left w:val="single" w:color="auto" w:sz="4" w:space="0"/>
              <w:bottom w:val="single" w:color="auto" w:sz="4" w:space="0"/>
              <w:right w:val="single" w:color="auto" w:sz="4" w:space="0"/>
            </w:tcBorders>
            <w:noWrap w:val="0"/>
            <w:vAlign w:val="center"/>
          </w:tcPr>
          <w:p w14:paraId="3FA7B284">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主任医师</w:t>
            </w:r>
          </w:p>
        </w:tc>
        <w:tc>
          <w:tcPr>
            <w:tcW w:w="1232" w:type="dxa"/>
            <w:tcBorders>
              <w:top w:val="single" w:color="auto" w:sz="4" w:space="0"/>
              <w:left w:val="single" w:color="auto" w:sz="4" w:space="0"/>
              <w:bottom w:val="single" w:color="auto" w:sz="4" w:space="0"/>
              <w:right w:val="single" w:color="auto" w:sz="4" w:space="0"/>
            </w:tcBorders>
            <w:noWrap w:val="0"/>
            <w:vAlign w:val="center"/>
          </w:tcPr>
          <w:p w14:paraId="437F0A67">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中西医结合临床</w:t>
            </w:r>
          </w:p>
        </w:tc>
        <w:tc>
          <w:tcPr>
            <w:tcW w:w="1843" w:type="dxa"/>
            <w:tcBorders>
              <w:top w:val="single" w:color="auto" w:sz="4" w:space="0"/>
              <w:left w:val="single" w:color="auto" w:sz="4" w:space="0"/>
              <w:bottom w:val="single" w:color="auto" w:sz="4" w:space="0"/>
              <w:right w:val="single" w:color="auto" w:sz="4" w:space="0"/>
            </w:tcBorders>
            <w:noWrap w:val="0"/>
            <w:vAlign w:val="center"/>
          </w:tcPr>
          <w:p w14:paraId="0B488D55">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bidi="ar"/>
              </w:rPr>
            </w:pPr>
            <w:r>
              <w:rPr>
                <w:rFonts w:hint="eastAsia" w:ascii="仿宋_GB2312" w:hAnsi="仿宋_GB2312" w:eastAsia="仿宋_GB2312" w:cs="仿宋_GB2312"/>
                <w:color w:val="auto"/>
                <w:sz w:val="24"/>
                <w:lang w:val="en-US" w:eastAsia="zh-CN" w:bidi="ar"/>
              </w:rPr>
              <w:t>南宁市第一人民医院</w:t>
            </w:r>
          </w:p>
        </w:tc>
        <w:tc>
          <w:tcPr>
            <w:tcW w:w="3778" w:type="dxa"/>
            <w:tcBorders>
              <w:top w:val="single" w:color="auto" w:sz="4" w:space="0"/>
              <w:left w:val="single" w:color="auto" w:sz="4" w:space="0"/>
              <w:bottom w:val="single" w:color="auto" w:sz="4" w:space="0"/>
              <w:right w:val="single" w:color="auto" w:sz="4" w:space="0"/>
            </w:tcBorders>
            <w:noWrap w:val="0"/>
            <w:vAlign w:val="top"/>
          </w:tcPr>
          <w:p w14:paraId="2B31EF0C">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参与标准文本及编制说明的编写；组织开展标准征求意见会；对标准实施情况进行总结分析，不断对标准提出修正意见</w:t>
            </w:r>
          </w:p>
        </w:tc>
      </w:tr>
      <w:tr w14:paraId="153760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48" w:type="dxa"/>
            <w:tcBorders>
              <w:top w:val="single" w:color="auto" w:sz="4" w:space="0"/>
              <w:left w:val="single" w:color="auto" w:sz="4" w:space="0"/>
              <w:bottom w:val="single" w:color="auto" w:sz="4" w:space="0"/>
              <w:right w:val="single" w:color="auto" w:sz="4" w:space="0"/>
            </w:tcBorders>
            <w:noWrap w:val="0"/>
            <w:vAlign w:val="center"/>
          </w:tcPr>
          <w:p w14:paraId="1F284051">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val="en-US" w:eastAsia="zh-CN" w:bidi="ar"/>
              </w:rPr>
            </w:pPr>
            <w:r>
              <w:rPr>
                <w:rFonts w:hint="default" w:ascii="仿宋_GB2312" w:hAnsi="仿宋_GB2312" w:eastAsia="仿宋_GB2312" w:cs="仿宋_GB2312"/>
                <w:color w:val="auto"/>
                <w:sz w:val="24"/>
                <w:lang w:eastAsia="zh-CN" w:bidi="ar"/>
              </w:rPr>
              <w:t>马钰婷</w:t>
            </w:r>
          </w:p>
        </w:tc>
        <w:tc>
          <w:tcPr>
            <w:tcW w:w="1287" w:type="dxa"/>
            <w:tcBorders>
              <w:top w:val="single" w:color="auto" w:sz="4" w:space="0"/>
              <w:left w:val="single" w:color="auto" w:sz="4" w:space="0"/>
              <w:bottom w:val="single" w:color="auto" w:sz="4" w:space="0"/>
              <w:right w:val="single" w:color="auto" w:sz="4" w:space="0"/>
            </w:tcBorders>
            <w:noWrap w:val="0"/>
            <w:vAlign w:val="center"/>
          </w:tcPr>
          <w:p w14:paraId="78C86E3E">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主任医师</w:t>
            </w:r>
          </w:p>
        </w:tc>
        <w:tc>
          <w:tcPr>
            <w:tcW w:w="1232" w:type="dxa"/>
            <w:tcBorders>
              <w:top w:val="single" w:color="auto" w:sz="4" w:space="0"/>
              <w:left w:val="single" w:color="auto" w:sz="4" w:space="0"/>
              <w:bottom w:val="single" w:color="auto" w:sz="4" w:space="0"/>
              <w:right w:val="single" w:color="auto" w:sz="4" w:space="0"/>
            </w:tcBorders>
            <w:noWrap w:val="0"/>
            <w:vAlign w:val="center"/>
          </w:tcPr>
          <w:p w14:paraId="00C31FCE">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中医内科</w:t>
            </w:r>
          </w:p>
        </w:tc>
        <w:tc>
          <w:tcPr>
            <w:tcW w:w="1843" w:type="dxa"/>
            <w:tcBorders>
              <w:top w:val="single" w:color="auto" w:sz="4" w:space="0"/>
              <w:left w:val="single" w:color="auto" w:sz="4" w:space="0"/>
              <w:bottom w:val="single" w:color="auto" w:sz="4" w:space="0"/>
              <w:right w:val="single" w:color="auto" w:sz="4" w:space="0"/>
            </w:tcBorders>
            <w:noWrap w:val="0"/>
            <w:vAlign w:val="center"/>
          </w:tcPr>
          <w:p w14:paraId="1BFDAD62">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南宁市第四人民医院</w:t>
            </w:r>
          </w:p>
        </w:tc>
        <w:tc>
          <w:tcPr>
            <w:tcW w:w="3778" w:type="dxa"/>
            <w:tcBorders>
              <w:top w:val="single" w:color="auto" w:sz="4" w:space="0"/>
              <w:left w:val="single" w:color="auto" w:sz="4" w:space="0"/>
              <w:bottom w:val="single" w:color="auto" w:sz="4" w:space="0"/>
              <w:right w:val="single" w:color="auto" w:sz="4" w:space="0"/>
            </w:tcBorders>
            <w:noWrap w:val="0"/>
            <w:vAlign w:val="top"/>
          </w:tcPr>
          <w:p w14:paraId="573B368E">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参与标准文本及编制说明的编写；组织开展标准征求意见会；对标准实施情况进行总结分析，不断对标准提出修正意见</w:t>
            </w:r>
          </w:p>
        </w:tc>
      </w:tr>
      <w:tr w14:paraId="09CC12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48" w:type="dxa"/>
            <w:tcBorders>
              <w:top w:val="single" w:color="auto" w:sz="4" w:space="0"/>
              <w:left w:val="single" w:color="auto" w:sz="4" w:space="0"/>
              <w:bottom w:val="single" w:color="auto" w:sz="4" w:space="0"/>
              <w:right w:val="single" w:color="auto" w:sz="4" w:space="0"/>
            </w:tcBorders>
            <w:noWrap w:val="0"/>
            <w:vAlign w:val="center"/>
          </w:tcPr>
          <w:p w14:paraId="65144F1A">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val="en-US" w:eastAsia="zh-CN" w:bidi="ar"/>
              </w:rPr>
            </w:pPr>
            <w:r>
              <w:rPr>
                <w:rFonts w:hint="default" w:ascii="仿宋_GB2312" w:hAnsi="仿宋_GB2312" w:eastAsia="仿宋_GB2312" w:cs="仿宋_GB2312"/>
                <w:color w:val="auto"/>
                <w:sz w:val="24"/>
                <w:lang w:eastAsia="zh-CN" w:bidi="ar"/>
              </w:rPr>
              <w:t>黄允香</w:t>
            </w:r>
          </w:p>
        </w:tc>
        <w:tc>
          <w:tcPr>
            <w:tcW w:w="1287" w:type="dxa"/>
            <w:tcBorders>
              <w:top w:val="single" w:color="auto" w:sz="4" w:space="0"/>
              <w:left w:val="single" w:color="auto" w:sz="4" w:space="0"/>
              <w:bottom w:val="single" w:color="auto" w:sz="4" w:space="0"/>
              <w:right w:val="single" w:color="auto" w:sz="4" w:space="0"/>
            </w:tcBorders>
            <w:noWrap w:val="0"/>
            <w:vAlign w:val="center"/>
          </w:tcPr>
          <w:p w14:paraId="70604176">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主任护师</w:t>
            </w:r>
          </w:p>
        </w:tc>
        <w:tc>
          <w:tcPr>
            <w:tcW w:w="1232" w:type="dxa"/>
            <w:tcBorders>
              <w:top w:val="single" w:color="auto" w:sz="4" w:space="0"/>
              <w:left w:val="single" w:color="auto" w:sz="4" w:space="0"/>
              <w:bottom w:val="single" w:color="auto" w:sz="4" w:space="0"/>
              <w:right w:val="single" w:color="auto" w:sz="4" w:space="0"/>
            </w:tcBorders>
            <w:noWrap w:val="0"/>
            <w:vAlign w:val="center"/>
          </w:tcPr>
          <w:p w14:paraId="62CA09F7">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护理专业</w:t>
            </w:r>
          </w:p>
        </w:tc>
        <w:tc>
          <w:tcPr>
            <w:tcW w:w="1843" w:type="dxa"/>
            <w:tcBorders>
              <w:top w:val="single" w:color="auto" w:sz="4" w:space="0"/>
              <w:left w:val="single" w:color="auto" w:sz="4" w:space="0"/>
              <w:bottom w:val="single" w:color="auto" w:sz="4" w:space="0"/>
              <w:right w:val="single" w:color="auto" w:sz="4" w:space="0"/>
            </w:tcBorders>
            <w:noWrap w:val="0"/>
            <w:vAlign w:val="center"/>
          </w:tcPr>
          <w:p w14:paraId="2A3C4E3F">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南宁市第</w:t>
            </w:r>
            <w:r>
              <w:rPr>
                <w:rFonts w:hint="eastAsia" w:ascii="仿宋_GB2312" w:hAnsi="仿宋_GB2312" w:eastAsia="仿宋_GB2312" w:cs="仿宋_GB2312"/>
                <w:color w:val="auto"/>
                <w:sz w:val="24"/>
                <w:lang w:val="en-US" w:eastAsia="zh-CN" w:bidi="ar"/>
              </w:rPr>
              <w:t>七</w:t>
            </w:r>
            <w:r>
              <w:rPr>
                <w:rFonts w:hint="eastAsia" w:ascii="仿宋_GB2312" w:hAnsi="仿宋_GB2312" w:eastAsia="仿宋_GB2312" w:cs="仿宋_GB2312"/>
                <w:color w:val="auto"/>
                <w:sz w:val="24"/>
                <w:lang w:bidi="ar"/>
              </w:rPr>
              <w:t>人民医院</w:t>
            </w:r>
          </w:p>
        </w:tc>
        <w:tc>
          <w:tcPr>
            <w:tcW w:w="3778" w:type="dxa"/>
            <w:tcBorders>
              <w:top w:val="single" w:color="auto" w:sz="4" w:space="0"/>
              <w:left w:val="single" w:color="auto" w:sz="4" w:space="0"/>
              <w:bottom w:val="single" w:color="auto" w:sz="4" w:space="0"/>
              <w:right w:val="single" w:color="auto" w:sz="4" w:space="0"/>
            </w:tcBorders>
            <w:noWrap w:val="0"/>
            <w:vAlign w:val="top"/>
          </w:tcPr>
          <w:p w14:paraId="0D7EB6F9">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参与标准文本及编制说明的编写；组织开展标准征求意见会；对标准实施情况进行总结分析，不断对标准提出修正意见</w:t>
            </w:r>
          </w:p>
        </w:tc>
      </w:tr>
      <w:tr w14:paraId="41C94D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48" w:type="dxa"/>
            <w:tcBorders>
              <w:top w:val="single" w:color="auto" w:sz="4" w:space="0"/>
              <w:left w:val="single" w:color="auto" w:sz="4" w:space="0"/>
              <w:bottom w:val="single" w:color="auto" w:sz="4" w:space="0"/>
              <w:right w:val="single" w:color="auto" w:sz="4" w:space="0"/>
            </w:tcBorders>
            <w:noWrap w:val="0"/>
            <w:vAlign w:val="center"/>
          </w:tcPr>
          <w:p w14:paraId="3221923A">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val="en-US" w:eastAsia="zh-CN" w:bidi="ar"/>
              </w:rPr>
            </w:pPr>
            <w:r>
              <w:rPr>
                <w:rFonts w:hint="default" w:ascii="仿宋_GB2312" w:hAnsi="仿宋_GB2312" w:eastAsia="仿宋_GB2312" w:cs="仿宋_GB2312"/>
                <w:color w:val="auto"/>
                <w:sz w:val="24"/>
                <w:lang w:eastAsia="zh-CN" w:bidi="ar"/>
              </w:rPr>
              <w:t>廖华薇</w:t>
            </w:r>
          </w:p>
        </w:tc>
        <w:tc>
          <w:tcPr>
            <w:tcW w:w="1287" w:type="dxa"/>
            <w:tcBorders>
              <w:top w:val="single" w:color="auto" w:sz="4" w:space="0"/>
              <w:left w:val="single" w:color="auto" w:sz="4" w:space="0"/>
              <w:bottom w:val="single" w:color="auto" w:sz="4" w:space="0"/>
              <w:right w:val="single" w:color="auto" w:sz="4" w:space="0"/>
            </w:tcBorders>
            <w:noWrap w:val="0"/>
            <w:vAlign w:val="center"/>
          </w:tcPr>
          <w:p w14:paraId="58EB45A9">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主任医师</w:t>
            </w:r>
          </w:p>
        </w:tc>
        <w:tc>
          <w:tcPr>
            <w:tcW w:w="1232" w:type="dxa"/>
            <w:tcBorders>
              <w:top w:val="single" w:color="auto" w:sz="4" w:space="0"/>
              <w:left w:val="single" w:color="auto" w:sz="4" w:space="0"/>
              <w:bottom w:val="single" w:color="auto" w:sz="4" w:space="0"/>
              <w:right w:val="single" w:color="auto" w:sz="4" w:space="0"/>
            </w:tcBorders>
            <w:noWrap w:val="0"/>
            <w:vAlign w:val="center"/>
          </w:tcPr>
          <w:p w14:paraId="04CE0844">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中医针灸</w:t>
            </w:r>
          </w:p>
        </w:tc>
        <w:tc>
          <w:tcPr>
            <w:tcW w:w="1843" w:type="dxa"/>
            <w:tcBorders>
              <w:top w:val="single" w:color="auto" w:sz="4" w:space="0"/>
              <w:left w:val="single" w:color="auto" w:sz="4" w:space="0"/>
              <w:bottom w:val="single" w:color="auto" w:sz="4" w:space="0"/>
              <w:right w:val="single" w:color="auto" w:sz="4" w:space="0"/>
            </w:tcBorders>
            <w:noWrap w:val="0"/>
            <w:vAlign w:val="center"/>
          </w:tcPr>
          <w:p w14:paraId="405E2D7A">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南宁市第</w:t>
            </w:r>
            <w:r>
              <w:rPr>
                <w:rFonts w:hint="eastAsia" w:ascii="仿宋_GB2312" w:hAnsi="仿宋_GB2312" w:eastAsia="仿宋_GB2312" w:cs="仿宋_GB2312"/>
                <w:color w:val="auto"/>
                <w:sz w:val="24"/>
                <w:lang w:val="en-US" w:eastAsia="zh-CN" w:bidi="ar"/>
              </w:rPr>
              <w:t>八</w:t>
            </w:r>
            <w:r>
              <w:rPr>
                <w:rFonts w:hint="eastAsia" w:ascii="仿宋_GB2312" w:hAnsi="仿宋_GB2312" w:eastAsia="仿宋_GB2312" w:cs="仿宋_GB2312"/>
                <w:color w:val="auto"/>
                <w:sz w:val="24"/>
                <w:lang w:bidi="ar"/>
              </w:rPr>
              <w:t>人民医院</w:t>
            </w:r>
          </w:p>
        </w:tc>
        <w:tc>
          <w:tcPr>
            <w:tcW w:w="3778" w:type="dxa"/>
            <w:tcBorders>
              <w:top w:val="single" w:color="auto" w:sz="4" w:space="0"/>
              <w:left w:val="single" w:color="auto" w:sz="4" w:space="0"/>
              <w:bottom w:val="single" w:color="auto" w:sz="4" w:space="0"/>
              <w:right w:val="single" w:color="auto" w:sz="4" w:space="0"/>
            </w:tcBorders>
            <w:noWrap w:val="0"/>
            <w:vAlign w:val="top"/>
          </w:tcPr>
          <w:p w14:paraId="682BB862">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参与标准文本及编制说明的编写；组织开展标准征求意见会；对标准实施情况进行总结分析，不断对标准提出修正意见</w:t>
            </w:r>
          </w:p>
        </w:tc>
      </w:tr>
      <w:tr w14:paraId="22511C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48" w:type="dxa"/>
            <w:tcBorders>
              <w:top w:val="single" w:color="auto" w:sz="4" w:space="0"/>
              <w:left w:val="single" w:color="auto" w:sz="4" w:space="0"/>
              <w:bottom w:val="single" w:color="auto" w:sz="4" w:space="0"/>
              <w:right w:val="single" w:color="auto" w:sz="4" w:space="0"/>
            </w:tcBorders>
            <w:noWrap w:val="0"/>
            <w:vAlign w:val="center"/>
          </w:tcPr>
          <w:p w14:paraId="316D1D9C">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苏国春</w:t>
            </w:r>
          </w:p>
        </w:tc>
        <w:tc>
          <w:tcPr>
            <w:tcW w:w="1287" w:type="dxa"/>
            <w:tcBorders>
              <w:top w:val="single" w:color="auto" w:sz="4" w:space="0"/>
              <w:left w:val="single" w:color="auto" w:sz="4" w:space="0"/>
              <w:bottom w:val="single" w:color="auto" w:sz="4" w:space="0"/>
              <w:right w:val="single" w:color="auto" w:sz="4" w:space="0"/>
            </w:tcBorders>
            <w:noWrap w:val="0"/>
            <w:vAlign w:val="center"/>
          </w:tcPr>
          <w:p w14:paraId="00377A4B">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主任医师</w:t>
            </w:r>
          </w:p>
        </w:tc>
        <w:tc>
          <w:tcPr>
            <w:tcW w:w="1232" w:type="dxa"/>
            <w:tcBorders>
              <w:top w:val="single" w:color="auto" w:sz="4" w:space="0"/>
              <w:left w:val="single" w:color="auto" w:sz="4" w:space="0"/>
              <w:bottom w:val="single" w:color="auto" w:sz="4" w:space="0"/>
              <w:right w:val="single" w:color="auto" w:sz="4" w:space="0"/>
            </w:tcBorders>
            <w:noWrap w:val="0"/>
            <w:vAlign w:val="center"/>
          </w:tcPr>
          <w:p w14:paraId="35580825">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中医内科</w:t>
            </w:r>
          </w:p>
        </w:tc>
        <w:tc>
          <w:tcPr>
            <w:tcW w:w="1843" w:type="dxa"/>
            <w:tcBorders>
              <w:top w:val="single" w:color="auto" w:sz="4" w:space="0"/>
              <w:left w:val="single" w:color="auto" w:sz="4" w:space="0"/>
              <w:bottom w:val="single" w:color="auto" w:sz="4" w:space="0"/>
              <w:right w:val="single" w:color="auto" w:sz="4" w:space="0"/>
            </w:tcBorders>
            <w:noWrap w:val="0"/>
            <w:vAlign w:val="center"/>
          </w:tcPr>
          <w:p w14:paraId="14BF8E4B">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bidi="ar"/>
              </w:rPr>
            </w:pPr>
            <w:r>
              <w:rPr>
                <w:rFonts w:hint="default" w:ascii="仿宋_GB2312" w:hAnsi="仿宋_GB2312" w:eastAsia="仿宋_GB2312" w:cs="仿宋_GB2312"/>
                <w:color w:val="auto"/>
                <w:sz w:val="24"/>
                <w:lang w:eastAsia="zh-CN" w:bidi="ar"/>
              </w:rPr>
              <w:t>钦州市第一人民医院</w:t>
            </w:r>
          </w:p>
        </w:tc>
        <w:tc>
          <w:tcPr>
            <w:tcW w:w="3778" w:type="dxa"/>
            <w:tcBorders>
              <w:top w:val="single" w:color="auto" w:sz="4" w:space="0"/>
              <w:left w:val="single" w:color="auto" w:sz="4" w:space="0"/>
              <w:bottom w:val="single" w:color="auto" w:sz="4" w:space="0"/>
              <w:right w:val="single" w:color="auto" w:sz="4" w:space="0"/>
            </w:tcBorders>
            <w:noWrap w:val="0"/>
            <w:vAlign w:val="top"/>
          </w:tcPr>
          <w:p w14:paraId="0473FD74">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参与标准文本及编制说明的编写；组织开展标准征求意见会；对标准实施情况进行总结分析，不断对标准提出修正意见</w:t>
            </w:r>
          </w:p>
        </w:tc>
      </w:tr>
      <w:tr w14:paraId="6965BA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48" w:type="dxa"/>
            <w:tcBorders>
              <w:top w:val="single" w:color="auto" w:sz="4" w:space="0"/>
              <w:left w:val="single" w:color="auto" w:sz="4" w:space="0"/>
              <w:bottom w:val="single" w:color="auto" w:sz="4" w:space="0"/>
              <w:right w:val="single" w:color="auto" w:sz="4" w:space="0"/>
            </w:tcBorders>
            <w:noWrap w:val="0"/>
            <w:vAlign w:val="center"/>
          </w:tcPr>
          <w:p w14:paraId="7A4CE334">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eastAsia="zh-CN" w:bidi="ar"/>
              </w:rPr>
            </w:pPr>
            <w:r>
              <w:rPr>
                <w:rFonts w:hint="default" w:ascii="仿宋_GB2312" w:hAnsi="仿宋_GB2312" w:eastAsia="仿宋_GB2312" w:cs="仿宋_GB2312"/>
                <w:color w:val="auto"/>
                <w:sz w:val="24"/>
                <w:lang w:eastAsia="zh-CN" w:bidi="ar"/>
              </w:rPr>
              <w:t>方春秀</w:t>
            </w:r>
          </w:p>
        </w:tc>
        <w:tc>
          <w:tcPr>
            <w:tcW w:w="1287" w:type="dxa"/>
            <w:tcBorders>
              <w:top w:val="single" w:color="auto" w:sz="4" w:space="0"/>
              <w:left w:val="single" w:color="auto" w:sz="4" w:space="0"/>
              <w:bottom w:val="single" w:color="auto" w:sz="4" w:space="0"/>
              <w:right w:val="single" w:color="auto" w:sz="4" w:space="0"/>
            </w:tcBorders>
            <w:noWrap w:val="0"/>
            <w:vAlign w:val="center"/>
          </w:tcPr>
          <w:p w14:paraId="79F45970">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副主任医师</w:t>
            </w:r>
          </w:p>
        </w:tc>
        <w:tc>
          <w:tcPr>
            <w:tcW w:w="1232" w:type="dxa"/>
            <w:tcBorders>
              <w:top w:val="single" w:color="auto" w:sz="4" w:space="0"/>
              <w:left w:val="single" w:color="auto" w:sz="4" w:space="0"/>
              <w:bottom w:val="single" w:color="auto" w:sz="4" w:space="0"/>
              <w:right w:val="single" w:color="auto" w:sz="4" w:space="0"/>
            </w:tcBorders>
            <w:noWrap w:val="0"/>
            <w:vAlign w:val="center"/>
          </w:tcPr>
          <w:p w14:paraId="2D8408EA">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中医针灸</w:t>
            </w:r>
          </w:p>
        </w:tc>
        <w:tc>
          <w:tcPr>
            <w:tcW w:w="1843" w:type="dxa"/>
            <w:tcBorders>
              <w:top w:val="single" w:color="auto" w:sz="4" w:space="0"/>
              <w:left w:val="single" w:color="auto" w:sz="4" w:space="0"/>
              <w:bottom w:val="single" w:color="auto" w:sz="4" w:space="0"/>
              <w:right w:val="single" w:color="auto" w:sz="4" w:space="0"/>
            </w:tcBorders>
            <w:noWrap w:val="0"/>
            <w:vAlign w:val="center"/>
          </w:tcPr>
          <w:p w14:paraId="6E27C13F">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bidi="ar"/>
              </w:rPr>
            </w:pPr>
            <w:r>
              <w:rPr>
                <w:rFonts w:hint="default" w:ascii="仿宋_GB2312" w:hAnsi="仿宋_GB2312" w:eastAsia="仿宋_GB2312" w:cs="仿宋_GB2312"/>
                <w:color w:val="auto"/>
                <w:sz w:val="24"/>
                <w:lang w:eastAsia="zh-CN" w:bidi="ar"/>
              </w:rPr>
              <w:t>防城港市中医医院</w:t>
            </w:r>
          </w:p>
        </w:tc>
        <w:tc>
          <w:tcPr>
            <w:tcW w:w="3778" w:type="dxa"/>
            <w:tcBorders>
              <w:top w:val="single" w:color="auto" w:sz="4" w:space="0"/>
              <w:left w:val="single" w:color="auto" w:sz="4" w:space="0"/>
              <w:bottom w:val="single" w:color="auto" w:sz="4" w:space="0"/>
              <w:right w:val="single" w:color="auto" w:sz="4" w:space="0"/>
            </w:tcBorders>
            <w:noWrap w:val="0"/>
            <w:vAlign w:val="top"/>
          </w:tcPr>
          <w:p w14:paraId="7756BEEE">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参与标准文本及编制说明的编写；组织开展标准征求意见会；对标准实施情况进行总结分析，不断对标准提出修正意见</w:t>
            </w:r>
          </w:p>
        </w:tc>
      </w:tr>
      <w:tr w14:paraId="48E261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48" w:type="dxa"/>
            <w:tcBorders>
              <w:top w:val="single" w:color="auto" w:sz="4" w:space="0"/>
              <w:left w:val="single" w:color="auto" w:sz="4" w:space="0"/>
              <w:bottom w:val="single" w:color="auto" w:sz="4" w:space="0"/>
              <w:right w:val="single" w:color="auto" w:sz="4" w:space="0"/>
            </w:tcBorders>
            <w:noWrap w:val="0"/>
            <w:vAlign w:val="center"/>
          </w:tcPr>
          <w:p w14:paraId="00311D68">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陈波</w:t>
            </w:r>
          </w:p>
        </w:tc>
        <w:tc>
          <w:tcPr>
            <w:tcW w:w="1287" w:type="dxa"/>
            <w:tcBorders>
              <w:top w:val="single" w:color="auto" w:sz="4" w:space="0"/>
              <w:left w:val="single" w:color="auto" w:sz="4" w:space="0"/>
              <w:bottom w:val="single" w:color="auto" w:sz="4" w:space="0"/>
              <w:right w:val="single" w:color="auto" w:sz="4" w:space="0"/>
            </w:tcBorders>
            <w:noWrap w:val="0"/>
            <w:vAlign w:val="center"/>
          </w:tcPr>
          <w:p w14:paraId="2D4A0C36">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副主任医师</w:t>
            </w:r>
          </w:p>
        </w:tc>
        <w:tc>
          <w:tcPr>
            <w:tcW w:w="1232" w:type="dxa"/>
            <w:tcBorders>
              <w:top w:val="single" w:color="auto" w:sz="4" w:space="0"/>
              <w:left w:val="single" w:color="auto" w:sz="4" w:space="0"/>
              <w:bottom w:val="single" w:color="auto" w:sz="4" w:space="0"/>
              <w:right w:val="single" w:color="auto" w:sz="4" w:space="0"/>
            </w:tcBorders>
            <w:noWrap w:val="0"/>
            <w:vAlign w:val="center"/>
          </w:tcPr>
          <w:p w14:paraId="0D0B0076">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中西医结合临床</w:t>
            </w:r>
          </w:p>
        </w:tc>
        <w:tc>
          <w:tcPr>
            <w:tcW w:w="1843" w:type="dxa"/>
            <w:tcBorders>
              <w:top w:val="single" w:color="auto" w:sz="4" w:space="0"/>
              <w:left w:val="single" w:color="auto" w:sz="4" w:space="0"/>
              <w:bottom w:val="single" w:color="auto" w:sz="4" w:space="0"/>
              <w:right w:val="single" w:color="auto" w:sz="4" w:space="0"/>
            </w:tcBorders>
            <w:noWrap w:val="0"/>
            <w:vAlign w:val="center"/>
          </w:tcPr>
          <w:p w14:paraId="476462AC">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bidi="ar"/>
              </w:rPr>
            </w:pPr>
            <w:r>
              <w:rPr>
                <w:rFonts w:hint="default" w:ascii="仿宋_GB2312" w:hAnsi="仿宋_GB2312" w:eastAsia="仿宋_GB2312" w:cs="仿宋_GB2312"/>
                <w:color w:val="auto"/>
                <w:sz w:val="24"/>
                <w:lang w:eastAsia="zh-CN" w:bidi="ar"/>
              </w:rPr>
              <w:t>柳州市柳江区中医医院</w:t>
            </w:r>
          </w:p>
        </w:tc>
        <w:tc>
          <w:tcPr>
            <w:tcW w:w="3778" w:type="dxa"/>
            <w:tcBorders>
              <w:top w:val="single" w:color="auto" w:sz="4" w:space="0"/>
              <w:left w:val="single" w:color="auto" w:sz="4" w:space="0"/>
              <w:bottom w:val="single" w:color="auto" w:sz="4" w:space="0"/>
              <w:right w:val="single" w:color="auto" w:sz="4" w:space="0"/>
            </w:tcBorders>
            <w:noWrap w:val="0"/>
            <w:vAlign w:val="top"/>
          </w:tcPr>
          <w:p w14:paraId="57F05FB8">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参与标准文本及编制说明的编写；组织开展标准征求意见会；对标准实施情况进行总结分析，不断对标准提出修正意见</w:t>
            </w:r>
          </w:p>
        </w:tc>
      </w:tr>
      <w:tr w14:paraId="48B44A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48" w:type="dxa"/>
            <w:tcBorders>
              <w:top w:val="single" w:color="auto" w:sz="4" w:space="0"/>
              <w:left w:val="single" w:color="auto" w:sz="4" w:space="0"/>
              <w:bottom w:val="single" w:color="auto" w:sz="4" w:space="0"/>
              <w:right w:val="single" w:color="auto" w:sz="4" w:space="0"/>
            </w:tcBorders>
            <w:noWrap w:val="0"/>
            <w:vAlign w:val="center"/>
          </w:tcPr>
          <w:p w14:paraId="4D788DE2">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陈露林</w:t>
            </w:r>
          </w:p>
        </w:tc>
        <w:tc>
          <w:tcPr>
            <w:tcW w:w="1287" w:type="dxa"/>
            <w:tcBorders>
              <w:top w:val="single" w:color="auto" w:sz="4" w:space="0"/>
              <w:left w:val="single" w:color="auto" w:sz="4" w:space="0"/>
              <w:bottom w:val="single" w:color="auto" w:sz="4" w:space="0"/>
              <w:right w:val="single" w:color="auto" w:sz="4" w:space="0"/>
            </w:tcBorders>
            <w:noWrap w:val="0"/>
            <w:vAlign w:val="center"/>
          </w:tcPr>
          <w:p w14:paraId="65048E6E">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主管医师</w:t>
            </w:r>
          </w:p>
        </w:tc>
        <w:tc>
          <w:tcPr>
            <w:tcW w:w="1232" w:type="dxa"/>
            <w:tcBorders>
              <w:top w:val="single" w:color="auto" w:sz="4" w:space="0"/>
              <w:left w:val="single" w:color="auto" w:sz="4" w:space="0"/>
              <w:bottom w:val="single" w:color="auto" w:sz="4" w:space="0"/>
              <w:right w:val="single" w:color="auto" w:sz="4" w:space="0"/>
            </w:tcBorders>
            <w:noWrap w:val="0"/>
            <w:vAlign w:val="center"/>
          </w:tcPr>
          <w:p w14:paraId="697F8891">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预防医学</w:t>
            </w:r>
          </w:p>
        </w:tc>
        <w:tc>
          <w:tcPr>
            <w:tcW w:w="1843" w:type="dxa"/>
            <w:tcBorders>
              <w:top w:val="single" w:color="auto" w:sz="4" w:space="0"/>
              <w:left w:val="single" w:color="auto" w:sz="4" w:space="0"/>
              <w:bottom w:val="single" w:color="auto" w:sz="4" w:space="0"/>
              <w:right w:val="single" w:color="auto" w:sz="4" w:space="0"/>
            </w:tcBorders>
            <w:noWrap w:val="0"/>
            <w:vAlign w:val="center"/>
          </w:tcPr>
          <w:p w14:paraId="5A3C249D">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南宁市第二人民医院</w:t>
            </w:r>
          </w:p>
        </w:tc>
        <w:tc>
          <w:tcPr>
            <w:tcW w:w="3778" w:type="dxa"/>
            <w:tcBorders>
              <w:top w:val="single" w:color="auto" w:sz="4" w:space="0"/>
              <w:left w:val="single" w:color="auto" w:sz="4" w:space="0"/>
              <w:bottom w:val="single" w:color="auto" w:sz="4" w:space="0"/>
              <w:right w:val="single" w:color="auto" w:sz="4" w:space="0"/>
            </w:tcBorders>
            <w:noWrap w:val="0"/>
            <w:vAlign w:val="top"/>
          </w:tcPr>
          <w:p w14:paraId="7A109924">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参与标准文本及编制说明的编写；组织开展标准征求意见会；对标准实施情况进行总结分析，不断对标准提出修正意见</w:t>
            </w:r>
          </w:p>
        </w:tc>
      </w:tr>
      <w:tr w14:paraId="508A94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48" w:type="dxa"/>
            <w:tcBorders>
              <w:top w:val="single" w:color="auto" w:sz="4" w:space="0"/>
              <w:left w:val="single" w:color="auto" w:sz="4" w:space="0"/>
              <w:bottom w:val="single" w:color="auto" w:sz="4" w:space="0"/>
              <w:right w:val="single" w:color="auto" w:sz="4" w:space="0"/>
            </w:tcBorders>
            <w:noWrap w:val="0"/>
            <w:vAlign w:val="center"/>
          </w:tcPr>
          <w:p w14:paraId="24625C41">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周艳群</w:t>
            </w:r>
          </w:p>
        </w:tc>
        <w:tc>
          <w:tcPr>
            <w:tcW w:w="1287" w:type="dxa"/>
            <w:tcBorders>
              <w:top w:val="single" w:color="auto" w:sz="4" w:space="0"/>
              <w:left w:val="single" w:color="auto" w:sz="4" w:space="0"/>
              <w:bottom w:val="single" w:color="auto" w:sz="4" w:space="0"/>
              <w:right w:val="single" w:color="auto" w:sz="4" w:space="0"/>
            </w:tcBorders>
            <w:noWrap w:val="0"/>
            <w:vAlign w:val="center"/>
          </w:tcPr>
          <w:p w14:paraId="4AA98E3E">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副主任医师</w:t>
            </w:r>
          </w:p>
        </w:tc>
        <w:tc>
          <w:tcPr>
            <w:tcW w:w="1232" w:type="dxa"/>
            <w:tcBorders>
              <w:top w:val="single" w:color="auto" w:sz="4" w:space="0"/>
              <w:left w:val="single" w:color="auto" w:sz="4" w:space="0"/>
              <w:bottom w:val="single" w:color="auto" w:sz="4" w:space="0"/>
              <w:right w:val="single" w:color="auto" w:sz="4" w:space="0"/>
            </w:tcBorders>
            <w:noWrap w:val="0"/>
            <w:vAlign w:val="center"/>
          </w:tcPr>
          <w:p w14:paraId="0E2F47A9">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妇产科学</w:t>
            </w:r>
          </w:p>
        </w:tc>
        <w:tc>
          <w:tcPr>
            <w:tcW w:w="1843" w:type="dxa"/>
            <w:tcBorders>
              <w:top w:val="single" w:color="auto" w:sz="4" w:space="0"/>
              <w:left w:val="single" w:color="auto" w:sz="4" w:space="0"/>
              <w:bottom w:val="single" w:color="auto" w:sz="4" w:space="0"/>
              <w:right w:val="single" w:color="auto" w:sz="4" w:space="0"/>
            </w:tcBorders>
            <w:noWrap w:val="0"/>
            <w:vAlign w:val="center"/>
          </w:tcPr>
          <w:p w14:paraId="4283BD34">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南宁市第二人民医院</w:t>
            </w:r>
          </w:p>
        </w:tc>
        <w:tc>
          <w:tcPr>
            <w:tcW w:w="3778" w:type="dxa"/>
            <w:tcBorders>
              <w:top w:val="single" w:color="auto" w:sz="4" w:space="0"/>
              <w:left w:val="single" w:color="auto" w:sz="4" w:space="0"/>
              <w:bottom w:val="single" w:color="auto" w:sz="4" w:space="0"/>
              <w:right w:val="single" w:color="auto" w:sz="4" w:space="0"/>
            </w:tcBorders>
            <w:noWrap w:val="0"/>
            <w:vAlign w:val="top"/>
          </w:tcPr>
          <w:p w14:paraId="02D61922">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参与标准文本及编制说明的编写；组织开展标准征求意见会；对标准实施情况进行总结分析，不断对标准提出修正意见</w:t>
            </w:r>
          </w:p>
        </w:tc>
      </w:tr>
      <w:tr w14:paraId="48F3B3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48" w:type="dxa"/>
            <w:tcBorders>
              <w:top w:val="single" w:color="auto" w:sz="4" w:space="0"/>
              <w:left w:val="single" w:color="auto" w:sz="4" w:space="0"/>
              <w:bottom w:val="single" w:color="auto" w:sz="4" w:space="0"/>
              <w:right w:val="single" w:color="auto" w:sz="4" w:space="0"/>
            </w:tcBorders>
            <w:noWrap w:val="0"/>
            <w:vAlign w:val="center"/>
          </w:tcPr>
          <w:p w14:paraId="393335CA">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黄康婷</w:t>
            </w:r>
          </w:p>
        </w:tc>
        <w:tc>
          <w:tcPr>
            <w:tcW w:w="1287" w:type="dxa"/>
            <w:tcBorders>
              <w:top w:val="single" w:color="auto" w:sz="4" w:space="0"/>
              <w:left w:val="single" w:color="auto" w:sz="4" w:space="0"/>
              <w:bottom w:val="single" w:color="auto" w:sz="4" w:space="0"/>
              <w:right w:val="single" w:color="auto" w:sz="4" w:space="0"/>
            </w:tcBorders>
            <w:noWrap w:val="0"/>
            <w:vAlign w:val="center"/>
          </w:tcPr>
          <w:p w14:paraId="5025E944">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住院医师</w:t>
            </w:r>
          </w:p>
        </w:tc>
        <w:tc>
          <w:tcPr>
            <w:tcW w:w="1232" w:type="dxa"/>
            <w:tcBorders>
              <w:top w:val="single" w:color="auto" w:sz="4" w:space="0"/>
              <w:left w:val="single" w:color="auto" w:sz="4" w:space="0"/>
              <w:bottom w:val="single" w:color="auto" w:sz="4" w:space="0"/>
              <w:right w:val="single" w:color="auto" w:sz="4" w:space="0"/>
            </w:tcBorders>
            <w:noWrap w:val="0"/>
            <w:vAlign w:val="center"/>
          </w:tcPr>
          <w:p w14:paraId="1E76F4CB">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中医内科</w:t>
            </w:r>
          </w:p>
        </w:tc>
        <w:tc>
          <w:tcPr>
            <w:tcW w:w="1843" w:type="dxa"/>
            <w:tcBorders>
              <w:top w:val="single" w:color="auto" w:sz="4" w:space="0"/>
              <w:left w:val="single" w:color="auto" w:sz="4" w:space="0"/>
              <w:bottom w:val="single" w:color="auto" w:sz="4" w:space="0"/>
              <w:right w:val="single" w:color="auto" w:sz="4" w:space="0"/>
            </w:tcBorders>
            <w:noWrap w:val="0"/>
            <w:vAlign w:val="center"/>
          </w:tcPr>
          <w:p w14:paraId="4F4F2D77">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南宁市第二人民医院</w:t>
            </w:r>
          </w:p>
        </w:tc>
        <w:tc>
          <w:tcPr>
            <w:tcW w:w="3778" w:type="dxa"/>
            <w:tcBorders>
              <w:top w:val="single" w:color="auto" w:sz="4" w:space="0"/>
              <w:left w:val="single" w:color="auto" w:sz="4" w:space="0"/>
              <w:bottom w:val="single" w:color="auto" w:sz="4" w:space="0"/>
              <w:right w:val="single" w:color="auto" w:sz="4" w:space="0"/>
            </w:tcBorders>
            <w:noWrap w:val="0"/>
            <w:vAlign w:val="top"/>
          </w:tcPr>
          <w:p w14:paraId="2BD27E09">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参与标准文本及编制说明的编写；组织开展标准征求意见会；对标准实施情况进行总结分析，不断对标准提出修正意见</w:t>
            </w:r>
          </w:p>
        </w:tc>
      </w:tr>
      <w:tr w14:paraId="5B6653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48" w:type="dxa"/>
            <w:tcBorders>
              <w:top w:val="single" w:color="auto" w:sz="4" w:space="0"/>
              <w:left w:val="single" w:color="auto" w:sz="4" w:space="0"/>
              <w:bottom w:val="single" w:color="auto" w:sz="4" w:space="0"/>
              <w:right w:val="single" w:color="auto" w:sz="4" w:space="0"/>
            </w:tcBorders>
            <w:noWrap w:val="0"/>
            <w:vAlign w:val="center"/>
          </w:tcPr>
          <w:p w14:paraId="1AA53FFF">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韦岷池</w:t>
            </w:r>
          </w:p>
        </w:tc>
        <w:tc>
          <w:tcPr>
            <w:tcW w:w="1287" w:type="dxa"/>
            <w:tcBorders>
              <w:top w:val="single" w:color="auto" w:sz="4" w:space="0"/>
              <w:left w:val="single" w:color="auto" w:sz="4" w:space="0"/>
              <w:bottom w:val="single" w:color="auto" w:sz="4" w:space="0"/>
              <w:right w:val="single" w:color="auto" w:sz="4" w:space="0"/>
            </w:tcBorders>
            <w:noWrap w:val="0"/>
            <w:vAlign w:val="center"/>
          </w:tcPr>
          <w:p w14:paraId="26042F2E">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康复技师</w:t>
            </w:r>
          </w:p>
        </w:tc>
        <w:tc>
          <w:tcPr>
            <w:tcW w:w="1232" w:type="dxa"/>
            <w:tcBorders>
              <w:top w:val="single" w:color="auto" w:sz="4" w:space="0"/>
              <w:left w:val="single" w:color="auto" w:sz="4" w:space="0"/>
              <w:bottom w:val="single" w:color="auto" w:sz="4" w:space="0"/>
              <w:right w:val="single" w:color="auto" w:sz="4" w:space="0"/>
            </w:tcBorders>
            <w:noWrap w:val="0"/>
            <w:vAlign w:val="center"/>
          </w:tcPr>
          <w:p w14:paraId="191F04AF">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运动康复</w:t>
            </w:r>
          </w:p>
        </w:tc>
        <w:tc>
          <w:tcPr>
            <w:tcW w:w="1843" w:type="dxa"/>
            <w:tcBorders>
              <w:top w:val="single" w:color="auto" w:sz="4" w:space="0"/>
              <w:left w:val="single" w:color="auto" w:sz="4" w:space="0"/>
              <w:bottom w:val="single" w:color="auto" w:sz="4" w:space="0"/>
              <w:right w:val="single" w:color="auto" w:sz="4" w:space="0"/>
            </w:tcBorders>
            <w:noWrap w:val="0"/>
            <w:vAlign w:val="center"/>
          </w:tcPr>
          <w:p w14:paraId="315EC81D">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南宁市第二人民医院</w:t>
            </w:r>
          </w:p>
        </w:tc>
        <w:tc>
          <w:tcPr>
            <w:tcW w:w="3778" w:type="dxa"/>
            <w:tcBorders>
              <w:top w:val="single" w:color="auto" w:sz="4" w:space="0"/>
              <w:left w:val="single" w:color="auto" w:sz="4" w:space="0"/>
              <w:bottom w:val="single" w:color="auto" w:sz="4" w:space="0"/>
              <w:right w:val="single" w:color="auto" w:sz="4" w:space="0"/>
            </w:tcBorders>
            <w:noWrap w:val="0"/>
            <w:vAlign w:val="top"/>
          </w:tcPr>
          <w:p w14:paraId="5098E199">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bidi="ar"/>
              </w:rPr>
              <w:t>项目推广。</w:t>
            </w:r>
          </w:p>
        </w:tc>
      </w:tr>
      <w:tr w14:paraId="7FCECA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48" w:type="dxa"/>
            <w:tcBorders>
              <w:top w:val="single" w:color="auto" w:sz="4" w:space="0"/>
              <w:left w:val="single" w:color="auto" w:sz="4" w:space="0"/>
              <w:bottom w:val="single" w:color="auto" w:sz="4" w:space="0"/>
              <w:right w:val="single" w:color="auto" w:sz="4" w:space="0"/>
            </w:tcBorders>
            <w:noWrap w:val="0"/>
            <w:vAlign w:val="center"/>
          </w:tcPr>
          <w:p w14:paraId="6988ECAF">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钟婉</w:t>
            </w:r>
          </w:p>
        </w:tc>
        <w:tc>
          <w:tcPr>
            <w:tcW w:w="1287" w:type="dxa"/>
            <w:tcBorders>
              <w:top w:val="single" w:color="auto" w:sz="4" w:space="0"/>
              <w:left w:val="single" w:color="auto" w:sz="4" w:space="0"/>
              <w:bottom w:val="single" w:color="auto" w:sz="4" w:space="0"/>
              <w:right w:val="single" w:color="auto" w:sz="4" w:space="0"/>
            </w:tcBorders>
            <w:noWrap w:val="0"/>
            <w:vAlign w:val="center"/>
          </w:tcPr>
          <w:p w14:paraId="7AB90205">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主管护师</w:t>
            </w:r>
          </w:p>
        </w:tc>
        <w:tc>
          <w:tcPr>
            <w:tcW w:w="1232" w:type="dxa"/>
            <w:tcBorders>
              <w:top w:val="single" w:color="auto" w:sz="4" w:space="0"/>
              <w:left w:val="single" w:color="auto" w:sz="4" w:space="0"/>
              <w:bottom w:val="single" w:color="auto" w:sz="4" w:space="0"/>
              <w:right w:val="single" w:color="auto" w:sz="4" w:space="0"/>
            </w:tcBorders>
            <w:noWrap w:val="0"/>
            <w:vAlign w:val="center"/>
          </w:tcPr>
          <w:p w14:paraId="2B896EA9">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助产专业</w:t>
            </w:r>
          </w:p>
        </w:tc>
        <w:tc>
          <w:tcPr>
            <w:tcW w:w="1843" w:type="dxa"/>
            <w:tcBorders>
              <w:top w:val="single" w:color="auto" w:sz="4" w:space="0"/>
              <w:left w:val="single" w:color="auto" w:sz="4" w:space="0"/>
              <w:bottom w:val="single" w:color="auto" w:sz="4" w:space="0"/>
              <w:right w:val="single" w:color="auto" w:sz="4" w:space="0"/>
            </w:tcBorders>
            <w:noWrap w:val="0"/>
            <w:vAlign w:val="center"/>
          </w:tcPr>
          <w:p w14:paraId="2158B6C7">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南宁市第二人民医院</w:t>
            </w:r>
          </w:p>
        </w:tc>
        <w:tc>
          <w:tcPr>
            <w:tcW w:w="3778" w:type="dxa"/>
            <w:tcBorders>
              <w:top w:val="single" w:color="auto" w:sz="4" w:space="0"/>
              <w:left w:val="single" w:color="auto" w:sz="4" w:space="0"/>
              <w:bottom w:val="single" w:color="auto" w:sz="4" w:space="0"/>
              <w:right w:val="single" w:color="auto" w:sz="4" w:space="0"/>
            </w:tcBorders>
            <w:noWrap w:val="0"/>
            <w:vAlign w:val="top"/>
          </w:tcPr>
          <w:p w14:paraId="12DF028C">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项目推广。</w:t>
            </w:r>
          </w:p>
        </w:tc>
      </w:tr>
      <w:tr w14:paraId="792C06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48" w:type="dxa"/>
            <w:tcBorders>
              <w:top w:val="single" w:color="auto" w:sz="4" w:space="0"/>
              <w:left w:val="single" w:color="auto" w:sz="4" w:space="0"/>
              <w:bottom w:val="single" w:color="auto" w:sz="4" w:space="0"/>
              <w:right w:val="single" w:color="auto" w:sz="4" w:space="0"/>
            </w:tcBorders>
            <w:noWrap w:val="0"/>
            <w:vAlign w:val="center"/>
          </w:tcPr>
          <w:p w14:paraId="0459EC85">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韦淑华</w:t>
            </w:r>
          </w:p>
        </w:tc>
        <w:tc>
          <w:tcPr>
            <w:tcW w:w="1287" w:type="dxa"/>
            <w:tcBorders>
              <w:top w:val="single" w:color="auto" w:sz="4" w:space="0"/>
              <w:left w:val="single" w:color="auto" w:sz="4" w:space="0"/>
              <w:bottom w:val="single" w:color="auto" w:sz="4" w:space="0"/>
              <w:right w:val="single" w:color="auto" w:sz="4" w:space="0"/>
            </w:tcBorders>
            <w:noWrap w:val="0"/>
            <w:vAlign w:val="center"/>
          </w:tcPr>
          <w:p w14:paraId="33F7BBD5">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护师</w:t>
            </w:r>
          </w:p>
        </w:tc>
        <w:tc>
          <w:tcPr>
            <w:tcW w:w="1232" w:type="dxa"/>
            <w:tcBorders>
              <w:top w:val="single" w:color="auto" w:sz="4" w:space="0"/>
              <w:left w:val="single" w:color="auto" w:sz="4" w:space="0"/>
              <w:bottom w:val="single" w:color="auto" w:sz="4" w:space="0"/>
              <w:right w:val="single" w:color="auto" w:sz="4" w:space="0"/>
            </w:tcBorders>
            <w:noWrap w:val="0"/>
            <w:vAlign w:val="center"/>
          </w:tcPr>
          <w:p w14:paraId="4E658FFE">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护理专业</w:t>
            </w:r>
          </w:p>
        </w:tc>
        <w:tc>
          <w:tcPr>
            <w:tcW w:w="1843" w:type="dxa"/>
            <w:tcBorders>
              <w:top w:val="single" w:color="auto" w:sz="4" w:space="0"/>
              <w:left w:val="single" w:color="auto" w:sz="4" w:space="0"/>
              <w:bottom w:val="single" w:color="auto" w:sz="4" w:space="0"/>
              <w:right w:val="single" w:color="auto" w:sz="4" w:space="0"/>
            </w:tcBorders>
            <w:noWrap w:val="0"/>
            <w:vAlign w:val="center"/>
          </w:tcPr>
          <w:p w14:paraId="3AEB740A">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南宁市第二人民医院</w:t>
            </w:r>
          </w:p>
        </w:tc>
        <w:tc>
          <w:tcPr>
            <w:tcW w:w="3778" w:type="dxa"/>
            <w:tcBorders>
              <w:top w:val="single" w:color="auto" w:sz="4" w:space="0"/>
              <w:left w:val="single" w:color="auto" w:sz="4" w:space="0"/>
              <w:bottom w:val="single" w:color="auto" w:sz="4" w:space="0"/>
              <w:right w:val="single" w:color="auto" w:sz="4" w:space="0"/>
            </w:tcBorders>
            <w:noWrap w:val="0"/>
            <w:vAlign w:val="top"/>
          </w:tcPr>
          <w:p w14:paraId="6E5FDDF9">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项目推广。</w:t>
            </w:r>
          </w:p>
        </w:tc>
      </w:tr>
      <w:tr w14:paraId="2B7027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48" w:type="dxa"/>
            <w:tcBorders>
              <w:top w:val="single" w:color="auto" w:sz="4" w:space="0"/>
              <w:left w:val="single" w:color="auto" w:sz="4" w:space="0"/>
              <w:bottom w:val="single" w:color="auto" w:sz="4" w:space="0"/>
              <w:right w:val="single" w:color="auto" w:sz="4" w:space="0"/>
            </w:tcBorders>
            <w:noWrap w:val="0"/>
            <w:vAlign w:val="center"/>
          </w:tcPr>
          <w:p w14:paraId="0DD149CB">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黄璐璐</w:t>
            </w:r>
          </w:p>
        </w:tc>
        <w:tc>
          <w:tcPr>
            <w:tcW w:w="1287" w:type="dxa"/>
            <w:tcBorders>
              <w:top w:val="single" w:color="auto" w:sz="4" w:space="0"/>
              <w:left w:val="single" w:color="auto" w:sz="4" w:space="0"/>
              <w:bottom w:val="single" w:color="auto" w:sz="4" w:space="0"/>
              <w:right w:val="single" w:color="auto" w:sz="4" w:space="0"/>
            </w:tcBorders>
            <w:noWrap w:val="0"/>
            <w:vAlign w:val="center"/>
          </w:tcPr>
          <w:p w14:paraId="633C25F7">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护士</w:t>
            </w:r>
          </w:p>
        </w:tc>
        <w:tc>
          <w:tcPr>
            <w:tcW w:w="1232" w:type="dxa"/>
            <w:tcBorders>
              <w:top w:val="single" w:color="auto" w:sz="4" w:space="0"/>
              <w:left w:val="single" w:color="auto" w:sz="4" w:space="0"/>
              <w:bottom w:val="single" w:color="auto" w:sz="4" w:space="0"/>
              <w:right w:val="single" w:color="auto" w:sz="4" w:space="0"/>
            </w:tcBorders>
            <w:noWrap w:val="0"/>
            <w:vAlign w:val="center"/>
          </w:tcPr>
          <w:p w14:paraId="268BD666">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护理专业</w:t>
            </w:r>
          </w:p>
        </w:tc>
        <w:tc>
          <w:tcPr>
            <w:tcW w:w="1843" w:type="dxa"/>
            <w:tcBorders>
              <w:top w:val="single" w:color="auto" w:sz="4" w:space="0"/>
              <w:left w:val="single" w:color="auto" w:sz="4" w:space="0"/>
              <w:bottom w:val="single" w:color="auto" w:sz="4" w:space="0"/>
              <w:right w:val="single" w:color="auto" w:sz="4" w:space="0"/>
            </w:tcBorders>
            <w:noWrap w:val="0"/>
            <w:vAlign w:val="center"/>
          </w:tcPr>
          <w:p w14:paraId="149DE75D">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南宁市第二人民医院</w:t>
            </w:r>
          </w:p>
        </w:tc>
        <w:tc>
          <w:tcPr>
            <w:tcW w:w="3778" w:type="dxa"/>
            <w:tcBorders>
              <w:top w:val="single" w:color="auto" w:sz="4" w:space="0"/>
              <w:left w:val="single" w:color="auto" w:sz="4" w:space="0"/>
              <w:bottom w:val="single" w:color="auto" w:sz="4" w:space="0"/>
              <w:right w:val="single" w:color="auto" w:sz="4" w:space="0"/>
            </w:tcBorders>
            <w:noWrap w:val="0"/>
            <w:vAlign w:val="top"/>
          </w:tcPr>
          <w:p w14:paraId="271348BD">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项目推广。</w:t>
            </w:r>
          </w:p>
        </w:tc>
      </w:tr>
      <w:tr w14:paraId="6F4D19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48" w:type="dxa"/>
            <w:tcBorders>
              <w:top w:val="single" w:color="auto" w:sz="4" w:space="0"/>
              <w:left w:val="single" w:color="auto" w:sz="4" w:space="0"/>
              <w:bottom w:val="single" w:color="auto" w:sz="4" w:space="0"/>
              <w:right w:val="single" w:color="auto" w:sz="4" w:space="0"/>
            </w:tcBorders>
            <w:noWrap w:val="0"/>
            <w:vAlign w:val="center"/>
          </w:tcPr>
          <w:p w14:paraId="419C5560">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韦彩凤</w:t>
            </w:r>
          </w:p>
        </w:tc>
        <w:tc>
          <w:tcPr>
            <w:tcW w:w="1287" w:type="dxa"/>
            <w:tcBorders>
              <w:top w:val="single" w:color="auto" w:sz="4" w:space="0"/>
              <w:left w:val="single" w:color="auto" w:sz="4" w:space="0"/>
              <w:bottom w:val="single" w:color="auto" w:sz="4" w:space="0"/>
              <w:right w:val="single" w:color="auto" w:sz="4" w:space="0"/>
            </w:tcBorders>
            <w:noWrap w:val="0"/>
            <w:vAlign w:val="center"/>
          </w:tcPr>
          <w:p w14:paraId="2BEA0E8E">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护士</w:t>
            </w:r>
          </w:p>
        </w:tc>
        <w:tc>
          <w:tcPr>
            <w:tcW w:w="1232" w:type="dxa"/>
            <w:tcBorders>
              <w:top w:val="single" w:color="auto" w:sz="4" w:space="0"/>
              <w:left w:val="single" w:color="auto" w:sz="4" w:space="0"/>
              <w:bottom w:val="single" w:color="auto" w:sz="4" w:space="0"/>
              <w:right w:val="single" w:color="auto" w:sz="4" w:space="0"/>
            </w:tcBorders>
            <w:noWrap w:val="0"/>
            <w:vAlign w:val="center"/>
          </w:tcPr>
          <w:p w14:paraId="03131ADF">
            <w:pPr>
              <w:keepNext w:val="0"/>
              <w:keepLines w:val="0"/>
              <w:suppressLineNumbers w:val="0"/>
              <w:spacing w:before="0" w:beforeAutospacing="0" w:after="0" w:afterAutospacing="0"/>
              <w:ind w:left="0" w:right="0"/>
              <w:jc w:val="left"/>
              <w:rPr>
                <w:rFonts w:hint="default"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护理专业</w:t>
            </w:r>
          </w:p>
        </w:tc>
        <w:tc>
          <w:tcPr>
            <w:tcW w:w="1843" w:type="dxa"/>
            <w:tcBorders>
              <w:top w:val="single" w:color="auto" w:sz="4" w:space="0"/>
              <w:left w:val="single" w:color="auto" w:sz="4" w:space="0"/>
              <w:bottom w:val="single" w:color="auto" w:sz="4" w:space="0"/>
              <w:right w:val="single" w:color="auto" w:sz="4" w:space="0"/>
            </w:tcBorders>
            <w:noWrap w:val="0"/>
            <w:vAlign w:val="center"/>
          </w:tcPr>
          <w:p w14:paraId="64206FD0">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val="en-US" w:eastAsia="zh-CN" w:bidi="ar"/>
              </w:rPr>
            </w:pPr>
            <w:r>
              <w:rPr>
                <w:rFonts w:hint="eastAsia" w:ascii="仿宋_GB2312" w:hAnsi="仿宋_GB2312" w:eastAsia="仿宋_GB2312" w:cs="仿宋_GB2312"/>
                <w:color w:val="auto"/>
                <w:sz w:val="24"/>
                <w:lang w:val="en-US" w:eastAsia="zh-CN" w:bidi="ar"/>
              </w:rPr>
              <w:t>南宁市第二人民医院</w:t>
            </w:r>
          </w:p>
        </w:tc>
        <w:tc>
          <w:tcPr>
            <w:tcW w:w="3778" w:type="dxa"/>
            <w:tcBorders>
              <w:top w:val="single" w:color="auto" w:sz="4" w:space="0"/>
              <w:left w:val="single" w:color="auto" w:sz="4" w:space="0"/>
              <w:bottom w:val="single" w:color="auto" w:sz="4" w:space="0"/>
              <w:right w:val="single" w:color="auto" w:sz="4" w:space="0"/>
            </w:tcBorders>
            <w:noWrap w:val="0"/>
            <w:vAlign w:val="top"/>
          </w:tcPr>
          <w:p w14:paraId="3872788D">
            <w:pPr>
              <w:keepNext w:val="0"/>
              <w:keepLines w:val="0"/>
              <w:suppressLineNumbers w:val="0"/>
              <w:spacing w:before="0" w:beforeAutospacing="0" w:after="0" w:afterAutospacing="0"/>
              <w:ind w:left="0" w:right="0"/>
              <w:jc w:val="left"/>
              <w:rPr>
                <w:rFonts w:hint="eastAsia" w:ascii="仿宋_GB2312" w:hAnsi="仿宋_GB2312" w:eastAsia="仿宋_GB2312" w:cs="仿宋_GB2312"/>
                <w:color w:val="auto"/>
                <w:sz w:val="24"/>
                <w:lang w:bidi="ar"/>
              </w:rPr>
            </w:pPr>
            <w:r>
              <w:rPr>
                <w:rFonts w:hint="eastAsia" w:ascii="仿宋_GB2312" w:hAnsi="仿宋_GB2312" w:eastAsia="仿宋_GB2312" w:cs="仿宋_GB2312"/>
                <w:color w:val="auto"/>
                <w:sz w:val="24"/>
                <w:lang w:bidi="ar"/>
              </w:rPr>
              <w:t>项目推广。</w:t>
            </w:r>
          </w:p>
        </w:tc>
      </w:tr>
    </w:tbl>
    <w:p w14:paraId="33BC8E98">
      <w:pPr>
        <w:spacing w:line="520" w:lineRule="exact"/>
        <w:ind w:firstLine="640" w:firstLineChars="200"/>
        <w:rPr>
          <w:rFonts w:hint="eastAsia" w:ascii="黑体" w:eastAsia="黑体" w:cs="仿宋_GB2312"/>
          <w:color w:val="auto"/>
          <w:sz w:val="32"/>
          <w:szCs w:val="32"/>
        </w:rPr>
      </w:pPr>
      <w:r>
        <w:rPr>
          <w:rFonts w:hint="eastAsia" w:ascii="黑体" w:eastAsia="黑体" w:cs="仿宋_GB2312"/>
          <w:color w:val="auto"/>
          <w:sz w:val="32"/>
          <w:szCs w:val="32"/>
        </w:rPr>
        <w:t>二、制定标准的必要性和意义</w:t>
      </w:r>
    </w:p>
    <w:p w14:paraId="5D31B513">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根据《中国不孕不育现状调研报告》，中国不孕不育率近年来呈上升趋势，已从2007年的12%增加到2023年的约18.2%，患者数量超过5000万。根据国家统计局数据，我国不孕不育发病率约为12%～18%，从患者数量来看，中国不孕不育患者人数超过5000万，这意味着每8对夫妇中就有1对面临不孕不育的问题。其中，女性问题占1/4，男性问题占1/3，夫妻双方共同问题占1/10。辅助生殖市场作为不孕不育治疗的重要组成部分，正处于快速增长期，预计到2025年市场规模将达到854亿元。</w:t>
      </w:r>
    </w:p>
    <w:p w14:paraId="1D887DCE">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国家卫生健康委2021年印发的《不孕不育防治健康教育核心信息》指出，不孕不育是由多种因素导致的生育障碍状态，育龄女性无避孕正常性生活至少12个月而未怀孕称为不孕症，在男性则称为不育症。根据流行病学研究，多囊卵巢综合征（PCOS）在女性群体中的患病率为5%～10%，且在内分泌性不孕症患者中，大约80%患有无排卵性不孕的女性患有囊卵巢综合征，不排卵是不孕的原因之一。多囊卵巢综合征表现为月经失调、多毛、痤疮、肥胖、不孕等问题，许多被确诊为PCOS的女性往往面临情绪压力，因为该病症与生育力障碍之间的关系广为人知。但通过合理的治疗和管理，许多患者仍然可以成功怀孕。中医适宜技术针刺、艾灸、穴位贴敷、经皮穴位电刺激等非药物疗法，以“整体调理”为核心，通过刺激穴位、调节气血等功效，帮助改善多囊卵巢综合征患者的代谢、生殖功能和情绪问题。</w:t>
      </w:r>
    </w:p>
    <w:p w14:paraId="6B88A08E">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雷火灸根据古代雷火神针演变而来,内含艾叶、沉香、麝香、干姜等芳香走窜之品,燃烧时温度高出数倍,最高可达到240℃,渗透力更强。药力迅速渗透到机体内,启动人体经络传导系统,补肾健脾、散寒祛湿、活血化瘀之力更甚普通艾条灸。穴位埋线是结合多种疗法与效应为一体的复合性疗法,达到长效针刺的目的。穴位埋线能加快血液循环、促进炎症的吸收,同时提升机体的代谢功能。作用机理可能是调动神经-体液系统发挥调节,产生速效和续效双重作用。有研究表明选取任脉、胃经、膀胱经、脾经上的穴位治疗，可濡养经脉,滋养胞宫,改善月经周期,达到减轻</w:t>
      </w:r>
      <w:r>
        <w:rPr>
          <w:rFonts w:hint="eastAsia" w:ascii="仿宋_GB2312" w:eastAsia="仿宋_GB2312"/>
          <w:color w:val="auto"/>
          <w:sz w:val="28"/>
          <w:szCs w:val="28"/>
          <w:highlight w:val="none"/>
        </w:rPr>
        <w:t>体</w:t>
      </w:r>
      <w:r>
        <w:rPr>
          <w:rFonts w:hint="eastAsia" w:ascii="仿宋_GB2312" w:eastAsia="仿宋_GB2312"/>
          <w:color w:val="auto"/>
          <w:sz w:val="28"/>
          <w:szCs w:val="28"/>
          <w:highlight w:val="none"/>
          <w:lang w:val="en-US" w:eastAsia="zh-CN"/>
        </w:rPr>
        <w:t>重</w:t>
      </w:r>
      <w:r>
        <w:rPr>
          <w:rFonts w:hint="eastAsia" w:ascii="仿宋_GB2312" w:eastAsia="仿宋_GB2312"/>
          <w:color w:val="auto"/>
          <w:sz w:val="28"/>
          <w:szCs w:val="28"/>
          <w:highlight w:val="none"/>
        </w:rPr>
        <w:t>、</w:t>
      </w:r>
      <w:r>
        <w:rPr>
          <w:rFonts w:hint="eastAsia" w:ascii="仿宋_GB2312" w:eastAsia="仿宋_GB2312"/>
          <w:color w:val="auto"/>
          <w:sz w:val="28"/>
          <w:szCs w:val="28"/>
        </w:rPr>
        <w:t>自然妊娠的目的。多囊卵巢综合征在古代无该病名记载，据临床症状属“不孕”“月经不调”“闭经”范畴。病位在脾肾,病机为脾肾亏虚、痰湿阻滞。虚为肾虚精亏、脾气虚弱,实为痰湿阻络,瘀阻胞宫,引起肾气-天癸-任冲-胞宫轴紊乱,影响卵子生成与发育,导致月经不调、不孕与肥胖。《妇人规》:“经候不调,病皆在肾经。”《医宗金鉴》：“体盛痰多,脂膜壅塞胞中而不孕。”故治疗上多应用补肾健脾祛湿化瘀之法。</w:t>
      </w:r>
    </w:p>
    <w:p w14:paraId="6B52A366">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近年来，多囊卵巢综合征导致不孕症的穴位埋线联合雷火灸技术在临床实践中逐渐得到应用和推广。许多医疗机构的中医科、妇科、生殖中心等开展了相关治疗服务。以南宁市第二人民医院的统计数据为例，在过去3年中，接受穴位埋线联合雷火灸治疗多囊卵巢综合征导致不孕症治疗的患者数量逐年递增，从最初的每年360人次增长至目前的每年1600人次。经过穴位埋线联合雷火灸治疗后，部分患者的不孕症得到改善，有效率达到85%。目前广西不孕症患者数量大概有180万，多囊卵巢综合症是导致女性不孕的主要原因，约占20%-30%，因排卵问题需要就诊的多囊卵巢患者占比高达70%。以此可知需使用穴位埋线联合雷火灸治疗的患者约31万，该技术安全便捷，治疗效果良好，患者对该项技术接受度高，市级未开展穴位埋线的多家医院均需要该技术的指导以及县级以下均可开展，值得进一步推广及循证研究。</w:t>
      </w:r>
    </w:p>
    <w:p w14:paraId="62FE04CB">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通过制定团体标准《多囊卵巢综合征导致不孕症患者穴位埋线联合雷火灸技术操作规范》，以标准为抓手，统一规范多囊卵巢综合征导致不孕症的穴位埋线联合雷火灸技术要求，提高穴位埋线联合雷火灸技术治疗多囊卵巢综合征导致不孕症的操作水平，进一步发挥中医防治多囊卵巢综合征导致的不孕症技术优势，提高不孕症患者的受孕机率，促进医疗事业健康发展具有重要意义。</w:t>
      </w:r>
    </w:p>
    <w:p w14:paraId="55003037">
      <w:pPr>
        <w:autoSpaceDE w:val="0"/>
        <w:autoSpaceDN w:val="0"/>
        <w:adjustRightInd w:val="0"/>
        <w:spacing w:line="520" w:lineRule="exact"/>
        <w:ind w:firstLine="640" w:firstLineChars="200"/>
        <w:jc w:val="left"/>
        <w:rPr>
          <w:rFonts w:hint="eastAsia" w:ascii="黑体" w:eastAsia="黑体" w:cs="仿宋_GB2312"/>
          <w:color w:val="auto"/>
          <w:sz w:val="32"/>
          <w:szCs w:val="32"/>
        </w:rPr>
      </w:pPr>
      <w:r>
        <w:rPr>
          <w:rFonts w:hint="eastAsia" w:ascii="黑体" w:eastAsia="黑体" w:cs="仿宋_GB2312"/>
          <w:color w:val="auto"/>
          <w:sz w:val="32"/>
          <w:szCs w:val="32"/>
        </w:rPr>
        <w:t>三、主要起草过程</w:t>
      </w:r>
    </w:p>
    <w:p w14:paraId="646717BE">
      <w:pPr>
        <w:spacing w:line="520" w:lineRule="exact"/>
        <w:ind w:firstLine="562" w:firstLineChars="200"/>
        <w:rPr>
          <w:rFonts w:hint="eastAsia" w:ascii="仿宋_GB2312" w:eastAsia="仿宋_GB2312"/>
          <w:color w:val="auto"/>
          <w:sz w:val="28"/>
          <w:szCs w:val="28"/>
        </w:rPr>
      </w:pPr>
      <w:r>
        <w:rPr>
          <w:rFonts w:hint="eastAsia" w:ascii="仿宋_GB2312" w:eastAsia="仿宋_GB2312" w:cs="仿宋_GB2312"/>
          <w:b/>
          <w:color w:val="auto"/>
          <w:sz w:val="28"/>
          <w:szCs w:val="28"/>
        </w:rPr>
        <w:t>（一）成立标准编制工作组</w:t>
      </w:r>
    </w:p>
    <w:p w14:paraId="590EB7DE">
      <w:pPr>
        <w:spacing w:line="520" w:lineRule="exact"/>
        <w:ind w:firstLine="560" w:firstLineChars="200"/>
        <w:jc w:val="left"/>
        <w:rPr>
          <w:rFonts w:hint="eastAsia" w:ascii="仿宋_GB2312" w:eastAsia="仿宋_GB2312"/>
          <w:color w:val="auto"/>
          <w:sz w:val="28"/>
          <w:szCs w:val="28"/>
        </w:rPr>
      </w:pPr>
      <w:r>
        <w:rPr>
          <w:rFonts w:hint="eastAsia" w:ascii="仿宋_GB2312" w:hAnsi="宋体" w:eastAsia="仿宋_GB2312"/>
          <w:color w:val="auto"/>
          <w:sz w:val="28"/>
          <w:szCs w:val="28"/>
        </w:rPr>
        <w:t>团体标准</w:t>
      </w:r>
      <w:r>
        <w:rPr>
          <w:rFonts w:hint="eastAsia" w:ascii="仿宋_GB2312" w:eastAsia="仿宋_GB2312"/>
          <w:color w:val="auto"/>
          <w:sz w:val="28"/>
          <w:szCs w:val="28"/>
        </w:rPr>
        <w:t>《</w:t>
      </w:r>
      <w:r>
        <w:rPr>
          <w:rFonts w:hint="eastAsia" w:ascii="仿宋_GB2312" w:eastAsia="仿宋_GB2312"/>
          <w:color w:val="auto"/>
          <w:sz w:val="28"/>
          <w:szCs w:val="28"/>
          <w:lang w:eastAsia="zh-CN"/>
        </w:rPr>
        <w:t>多囊卵巢综合征导致不孕症患者穴位埋线联合雷火灸技术操作规范</w:t>
      </w:r>
      <w:r>
        <w:rPr>
          <w:rFonts w:hint="eastAsia" w:ascii="仿宋_GB2312" w:eastAsia="仿宋_GB2312"/>
          <w:color w:val="auto"/>
          <w:sz w:val="28"/>
          <w:szCs w:val="28"/>
        </w:rPr>
        <w:t>》项目任务下达后，南宁市第二人民医院、广西医科大学附属肿瘤医院、广西中医药大学第一附属医院、广西中医药大学附属瑞康医院、广西壮族自治区南溪山医院（广西壮族自治区第二人民医院）、南宁市第一人民医院、南宁市第四人民医院、南宁市第七人民医院、南宁市第八人民医院、防城港市中医医院、钦州市第一人民医院、柳州市柳江区中医医院成立了标准编制工作组，制定了起草编写方案与进度安排，明确任务职责，确定工作技术路线，开展标准研制工作。具体标准编制工作由起草单位相关人员配合完成。</w:t>
      </w:r>
    </w:p>
    <w:p w14:paraId="407528C4">
      <w:pPr>
        <w:spacing w:line="520" w:lineRule="exact"/>
        <w:ind w:firstLine="560" w:firstLineChars="200"/>
        <w:rPr>
          <w:rFonts w:hint="eastAsia" w:ascii="仿宋_GB2312" w:eastAsia="仿宋_GB2312" w:cs="仿宋_GB2312"/>
          <w:color w:val="auto"/>
          <w:sz w:val="28"/>
          <w:szCs w:val="28"/>
        </w:rPr>
      </w:pPr>
      <w:r>
        <w:rPr>
          <w:rFonts w:hint="eastAsia" w:ascii="仿宋_GB2312" w:eastAsia="仿宋_GB2312"/>
          <w:color w:val="auto"/>
          <w:sz w:val="28"/>
          <w:szCs w:val="28"/>
        </w:rPr>
        <w:t>为了明确标准编制的任务职责，确定工作技术路线，开展标准研制工作。标准编制工作组下设二个组，分别是资料收集组、草案编写组。资料收集组负责国内外有关</w:t>
      </w:r>
      <w:r>
        <w:rPr>
          <w:rFonts w:hint="eastAsia" w:ascii="仿宋_GB2312" w:eastAsia="仿宋_GB2312"/>
          <w:color w:val="auto"/>
          <w:sz w:val="28"/>
          <w:szCs w:val="28"/>
          <w:lang w:eastAsia="zh-CN"/>
        </w:rPr>
        <w:t>多囊卵巢综合征导致不孕症患者穴位埋线联合雷火灸技术操作</w:t>
      </w:r>
      <w:r>
        <w:rPr>
          <w:rFonts w:hint="eastAsia" w:ascii="仿宋_GB2312" w:eastAsia="仿宋_GB2312"/>
          <w:color w:val="auto"/>
          <w:sz w:val="28"/>
          <w:szCs w:val="28"/>
        </w:rPr>
        <w:t>方面的文献资料的查询、收集和整理工作，查阅前</w:t>
      </w:r>
      <w:r>
        <w:rPr>
          <w:rFonts w:hint="eastAsia" w:ascii="仿宋_GB2312" w:eastAsia="仿宋_GB2312"/>
          <w:color w:val="auto"/>
          <w:sz w:val="28"/>
          <w:szCs w:val="28"/>
          <w:lang w:eastAsia="zh-CN"/>
        </w:rPr>
        <w:t>期</w:t>
      </w:r>
      <w:r>
        <w:rPr>
          <w:rFonts w:hint="eastAsia" w:ascii="仿宋_GB2312" w:eastAsia="仿宋_GB2312"/>
          <w:color w:val="auto"/>
          <w:sz w:val="28"/>
          <w:szCs w:val="28"/>
        </w:rPr>
        <w:t>对</w:t>
      </w:r>
      <w:r>
        <w:rPr>
          <w:rFonts w:hint="eastAsia" w:ascii="仿宋_GB2312" w:eastAsia="仿宋_GB2312"/>
          <w:color w:val="auto"/>
          <w:sz w:val="28"/>
          <w:szCs w:val="28"/>
          <w:lang w:eastAsia="zh-CN"/>
        </w:rPr>
        <w:t>多囊卵巢综合征导致不孕症患者穴位埋线联合雷火灸技术</w:t>
      </w:r>
      <w:r>
        <w:rPr>
          <w:rFonts w:hint="eastAsia" w:ascii="仿宋_GB2312" w:eastAsia="仿宋_GB2312"/>
          <w:color w:val="auto"/>
          <w:sz w:val="28"/>
          <w:szCs w:val="28"/>
        </w:rPr>
        <w:t>方面的有关研究情况和目前科学界</w:t>
      </w:r>
      <w:r>
        <w:rPr>
          <w:rFonts w:hint="eastAsia" w:ascii="仿宋_GB2312" w:eastAsia="仿宋_GB2312"/>
          <w:color w:val="auto"/>
          <w:sz w:val="28"/>
          <w:szCs w:val="28"/>
          <w:lang w:eastAsia="zh-CN"/>
        </w:rPr>
        <w:t>多囊卵巢综合征导致不孕症患者</w:t>
      </w:r>
      <w:r>
        <w:rPr>
          <w:rFonts w:hint="eastAsia" w:ascii="仿宋_GB2312" w:eastAsia="仿宋_GB2312"/>
          <w:color w:val="auto"/>
          <w:sz w:val="28"/>
          <w:szCs w:val="28"/>
        </w:rPr>
        <w:t>的研究进展；草案编写组负责起草标准草案及后续征求意见稿和标准编制说明、送审稿及编制说明等编写工作，包括后期召开征求意见会、网上征求意见，以及标准的不断修改和完善。</w:t>
      </w:r>
    </w:p>
    <w:p w14:paraId="1232901F">
      <w:pPr>
        <w:spacing w:line="520" w:lineRule="exact"/>
        <w:ind w:firstLine="562" w:firstLineChars="200"/>
        <w:rPr>
          <w:rFonts w:hint="eastAsia" w:ascii="仿宋_GB2312" w:eastAsia="仿宋_GB2312" w:cs="仿宋_GB2312"/>
          <w:b/>
          <w:color w:val="auto"/>
          <w:sz w:val="28"/>
          <w:szCs w:val="28"/>
        </w:rPr>
      </w:pPr>
      <w:r>
        <w:rPr>
          <w:rFonts w:hint="eastAsia" w:ascii="仿宋_GB2312" w:eastAsia="仿宋_GB2312" w:cs="仿宋_GB2312"/>
          <w:b/>
          <w:color w:val="auto"/>
          <w:sz w:val="28"/>
          <w:szCs w:val="28"/>
        </w:rPr>
        <w:t>（二）收集整理文献资料</w:t>
      </w:r>
    </w:p>
    <w:p w14:paraId="055BBAAC">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标准编制工作组收集了国内有关</w:t>
      </w:r>
      <w:r>
        <w:rPr>
          <w:rFonts w:hint="eastAsia" w:ascii="仿宋_GB2312" w:eastAsia="仿宋_GB2312"/>
          <w:color w:val="auto"/>
          <w:sz w:val="28"/>
          <w:szCs w:val="28"/>
          <w:lang w:val="en-US" w:eastAsia="zh-CN"/>
        </w:rPr>
        <w:t>穴位埋线联合雷火灸</w:t>
      </w:r>
      <w:r>
        <w:rPr>
          <w:rFonts w:hint="eastAsia" w:ascii="仿宋_GB2312" w:eastAsia="仿宋_GB2312"/>
          <w:color w:val="auto"/>
          <w:sz w:val="28"/>
          <w:szCs w:val="28"/>
          <w:lang w:eastAsia="zh-CN"/>
        </w:rPr>
        <w:t>治疗</w:t>
      </w:r>
      <w:r>
        <w:rPr>
          <w:rFonts w:hint="eastAsia" w:ascii="仿宋_GB2312" w:eastAsia="仿宋_GB2312"/>
          <w:color w:val="auto"/>
          <w:sz w:val="28"/>
          <w:szCs w:val="28"/>
          <w:lang w:val="en-US" w:eastAsia="zh-CN"/>
        </w:rPr>
        <w:t>多囊卵巢综合征引起不孕症</w:t>
      </w:r>
      <w:r>
        <w:rPr>
          <w:rFonts w:hint="eastAsia" w:ascii="仿宋_GB2312" w:eastAsia="仿宋_GB2312"/>
          <w:color w:val="auto"/>
          <w:sz w:val="28"/>
          <w:szCs w:val="28"/>
          <w:lang w:eastAsia="zh-CN"/>
        </w:rPr>
        <w:t>技术操作</w:t>
      </w:r>
      <w:r>
        <w:rPr>
          <w:rFonts w:hint="eastAsia" w:ascii="仿宋_GB2312" w:eastAsia="仿宋_GB2312"/>
          <w:color w:val="auto"/>
          <w:sz w:val="28"/>
          <w:szCs w:val="28"/>
        </w:rPr>
        <w:t>的相关文献资料。主要有：</w:t>
      </w:r>
    </w:p>
    <w:p w14:paraId="27A170B5">
      <w:pPr>
        <w:spacing w:line="520" w:lineRule="exact"/>
        <w:ind w:firstLine="560" w:firstLineChars="200"/>
        <w:rPr>
          <w:rFonts w:hint="eastAsia" w:ascii="仿宋_GB2312" w:eastAsia="仿宋_GB2312"/>
          <w:color w:val="auto"/>
          <w:sz w:val="28"/>
          <w:szCs w:val="28"/>
          <w:lang w:eastAsia="zh-CN"/>
        </w:rPr>
      </w:pPr>
      <w:r>
        <w:rPr>
          <w:rFonts w:hint="eastAsia" w:ascii="仿宋_GB2312" w:eastAsia="仿宋_GB2312"/>
          <w:color w:val="auto"/>
          <w:sz w:val="28"/>
          <w:szCs w:val="28"/>
          <w:lang w:eastAsia="zh-CN"/>
        </w:rPr>
        <w:t>[1]  CHEN WX，PANG YL.Metabolic syndrome and PCOS：pathogenesis and the role of metabolites［J］.Metabolites，2021，11（12）：869.</w:t>
      </w:r>
    </w:p>
    <w:p w14:paraId="78A01EA7">
      <w:pPr>
        <w:spacing w:line="520" w:lineRule="exact"/>
        <w:ind w:firstLine="560" w:firstLineChars="200"/>
        <w:rPr>
          <w:rFonts w:hint="eastAsia" w:ascii="仿宋_GB2312" w:eastAsia="仿宋_GB2312"/>
          <w:color w:val="auto"/>
          <w:sz w:val="28"/>
          <w:szCs w:val="28"/>
          <w:lang w:eastAsia="zh-CN"/>
        </w:rPr>
      </w:pPr>
      <w:r>
        <w:rPr>
          <w:rFonts w:hint="eastAsia" w:ascii="仿宋_GB2312" w:eastAsia="仿宋_GB2312"/>
          <w:color w:val="auto"/>
          <w:sz w:val="28"/>
          <w:szCs w:val="28"/>
          <w:lang w:eastAsia="zh-CN"/>
        </w:rPr>
        <w:t>[2]  中华医学会妇产科学分会内分泌学组及指南专家组.多囊卵巢综合征中国诊疗指南［J］.中华妇产科杂志，2018，53（1）：2-6.</w:t>
      </w:r>
    </w:p>
    <w:p w14:paraId="07D3753C">
      <w:pPr>
        <w:spacing w:line="520" w:lineRule="exact"/>
        <w:ind w:firstLine="560" w:firstLineChars="200"/>
        <w:rPr>
          <w:rFonts w:hint="eastAsia" w:ascii="仿宋_GB2312" w:eastAsia="仿宋_GB2312"/>
          <w:color w:val="auto"/>
          <w:sz w:val="28"/>
          <w:szCs w:val="28"/>
          <w:lang w:eastAsia="zh-CN"/>
        </w:rPr>
      </w:pPr>
      <w:r>
        <w:rPr>
          <w:rFonts w:hint="eastAsia" w:ascii="仿宋_GB2312" w:eastAsia="仿宋_GB2312"/>
          <w:color w:val="auto"/>
          <w:sz w:val="28"/>
          <w:szCs w:val="28"/>
          <w:lang w:eastAsia="zh-CN"/>
        </w:rPr>
        <w:t>[3]  人民卫生出版社，国家卫生健康委员会“十四五”规划教材国高等学校教材妇产科学第10版，主编孔北华、马丁、段涛</w:t>
      </w:r>
    </w:p>
    <w:p w14:paraId="4A238B27">
      <w:pPr>
        <w:spacing w:line="520" w:lineRule="exact"/>
        <w:ind w:firstLine="560" w:firstLineChars="200"/>
        <w:rPr>
          <w:rFonts w:hint="eastAsia" w:ascii="仿宋_GB2312" w:eastAsia="仿宋_GB2312"/>
          <w:color w:val="auto"/>
          <w:sz w:val="28"/>
          <w:szCs w:val="28"/>
          <w:lang w:eastAsia="zh-CN"/>
        </w:rPr>
      </w:pPr>
      <w:r>
        <w:rPr>
          <w:rFonts w:hint="eastAsia" w:ascii="仿宋_GB2312" w:eastAsia="仿宋_GB2312"/>
          <w:color w:val="auto"/>
          <w:sz w:val="28"/>
          <w:szCs w:val="28"/>
          <w:lang w:eastAsia="zh-CN"/>
        </w:rPr>
        <w:t>[4]  GB/T 21709.1  针灸技术操作规范  第1部分：艾灸</w:t>
      </w:r>
    </w:p>
    <w:p w14:paraId="127BD05B">
      <w:pPr>
        <w:spacing w:line="520" w:lineRule="exact"/>
        <w:ind w:firstLine="560" w:firstLineChars="200"/>
        <w:rPr>
          <w:rFonts w:hint="default" w:ascii="仿宋_GB2312" w:eastAsia="仿宋_GB2312"/>
          <w:color w:val="auto"/>
          <w:sz w:val="28"/>
          <w:szCs w:val="28"/>
          <w:lang w:val="en-US" w:eastAsia="zh-CN"/>
        </w:rPr>
      </w:pPr>
      <w:r>
        <w:rPr>
          <w:rFonts w:hint="eastAsia" w:ascii="仿宋_GB2312" w:eastAsia="仿宋_GB2312"/>
          <w:color w:val="auto"/>
          <w:sz w:val="28"/>
          <w:szCs w:val="28"/>
          <w:lang w:eastAsia="zh-CN"/>
        </w:rPr>
        <w:t>[5]  T/G</w:t>
      </w:r>
      <w:r>
        <w:rPr>
          <w:rFonts w:hint="eastAsia" w:ascii="仿宋_GB2312" w:eastAsia="仿宋_GB2312"/>
          <w:color w:val="auto"/>
          <w:sz w:val="28"/>
          <w:szCs w:val="28"/>
          <w:lang w:val="en-US" w:eastAsia="zh-CN"/>
        </w:rPr>
        <w:t>DNSA 011-2024</w:t>
      </w:r>
      <w:r>
        <w:rPr>
          <w:rFonts w:hint="eastAsia" w:ascii="仿宋_GB2312" w:eastAsia="仿宋_GB2312"/>
          <w:color w:val="auto"/>
          <w:sz w:val="28"/>
          <w:szCs w:val="28"/>
          <w:lang w:eastAsia="zh-CN"/>
        </w:rPr>
        <w:t>雷火灸技术规范</w:t>
      </w:r>
    </w:p>
    <w:p w14:paraId="42594A75">
      <w:pPr>
        <w:spacing w:line="520" w:lineRule="exact"/>
        <w:ind w:firstLine="560" w:firstLineChars="200"/>
        <w:rPr>
          <w:rFonts w:hint="eastAsia" w:ascii="仿宋_GB2312" w:eastAsia="仿宋_GB2312"/>
          <w:color w:val="auto"/>
          <w:sz w:val="28"/>
          <w:szCs w:val="28"/>
          <w:lang w:eastAsia="zh-CN"/>
        </w:rPr>
      </w:pPr>
      <w:r>
        <w:rPr>
          <w:rFonts w:hint="eastAsia" w:ascii="仿宋_GB2312" w:eastAsia="仿宋_GB2312"/>
          <w:color w:val="auto"/>
          <w:sz w:val="28"/>
          <w:szCs w:val="28"/>
          <w:lang w:eastAsia="zh-CN"/>
        </w:rPr>
        <w:t>[6]  马桂芝,胡智海,施茵,等.穴位埋线联合二甲双胍对肥胖型多囊卵巢综合征患者糖脂代谢的影响[J].上海针灸杂志,2020,39(9):1123-1127.</w:t>
      </w:r>
    </w:p>
    <w:p w14:paraId="61967D2B">
      <w:pPr>
        <w:spacing w:line="520" w:lineRule="exact"/>
        <w:ind w:firstLine="560" w:firstLineChars="200"/>
        <w:rPr>
          <w:rFonts w:hint="eastAsia" w:ascii="仿宋_GB2312" w:eastAsia="仿宋_GB2312"/>
          <w:color w:val="auto"/>
          <w:sz w:val="28"/>
          <w:szCs w:val="28"/>
          <w:lang w:eastAsia="zh-CN"/>
        </w:rPr>
      </w:pPr>
      <w:r>
        <w:rPr>
          <w:rFonts w:hint="eastAsia" w:ascii="仿宋_GB2312" w:eastAsia="仿宋_GB2312"/>
          <w:color w:val="auto"/>
          <w:sz w:val="28"/>
          <w:szCs w:val="28"/>
          <w:lang w:eastAsia="zh-CN"/>
        </w:rPr>
        <w:t>[7]  李鑫坤,傅金英,李瑞丽,等.基于“女子以肝为先天”理论探讨多囊卵巢综合征不孕症的治疗思路与方法[J].河北中医,2025,47(04):662-665+669.</w:t>
      </w:r>
    </w:p>
    <w:p w14:paraId="1B3E21DA">
      <w:pPr>
        <w:spacing w:line="520" w:lineRule="exact"/>
        <w:ind w:firstLine="560" w:firstLineChars="200"/>
        <w:rPr>
          <w:rFonts w:hint="eastAsia" w:ascii="仿宋_GB2312" w:eastAsia="仿宋_GB2312"/>
          <w:color w:val="auto"/>
          <w:sz w:val="28"/>
          <w:szCs w:val="28"/>
          <w:lang w:eastAsia="zh-CN"/>
        </w:rPr>
      </w:pPr>
      <w:r>
        <w:rPr>
          <w:rFonts w:hint="eastAsia" w:ascii="仿宋_GB2312" w:eastAsia="仿宋_GB2312"/>
          <w:color w:val="auto"/>
          <w:sz w:val="28"/>
          <w:szCs w:val="28"/>
          <w:lang w:eastAsia="zh-CN"/>
        </w:rPr>
        <w:t>[</w:t>
      </w:r>
      <w:r>
        <w:rPr>
          <w:rFonts w:hint="eastAsia" w:ascii="仿宋_GB2312" w:eastAsia="仿宋_GB2312"/>
          <w:color w:val="auto"/>
          <w:sz w:val="28"/>
          <w:szCs w:val="28"/>
          <w:lang w:val="en-US" w:eastAsia="zh-CN"/>
        </w:rPr>
        <w:t>8</w:t>
      </w:r>
      <w:r>
        <w:rPr>
          <w:rFonts w:hint="eastAsia" w:ascii="仿宋_GB2312" w:eastAsia="仿宋_GB2312"/>
          <w:color w:val="auto"/>
          <w:sz w:val="28"/>
          <w:szCs w:val="28"/>
          <w:lang w:eastAsia="zh-CN"/>
        </w:rPr>
        <w:t>]  针刺疗法联合补肾活血中药治疗多囊卵巢综合征导致不孕症的临床观察</w:t>
      </w:r>
    </w:p>
    <w:p w14:paraId="7567E827">
      <w:pPr>
        <w:spacing w:line="520" w:lineRule="exact"/>
        <w:ind w:firstLine="560" w:firstLineChars="200"/>
        <w:rPr>
          <w:rFonts w:hint="eastAsia" w:ascii="仿宋_GB2312" w:eastAsia="仿宋_GB2312"/>
          <w:color w:val="auto"/>
          <w:sz w:val="28"/>
          <w:szCs w:val="28"/>
          <w:lang w:eastAsia="zh-CN"/>
        </w:rPr>
      </w:pPr>
      <w:r>
        <w:rPr>
          <w:rFonts w:hint="eastAsia" w:ascii="仿宋_GB2312" w:eastAsia="仿宋_GB2312"/>
          <w:color w:val="auto"/>
          <w:sz w:val="28"/>
          <w:szCs w:val="28"/>
          <w:lang w:eastAsia="zh-CN"/>
        </w:rPr>
        <w:t>[</w:t>
      </w:r>
      <w:r>
        <w:rPr>
          <w:rFonts w:hint="eastAsia" w:ascii="仿宋_GB2312" w:eastAsia="仿宋_GB2312"/>
          <w:color w:val="auto"/>
          <w:sz w:val="28"/>
          <w:szCs w:val="28"/>
          <w:lang w:val="en-US" w:eastAsia="zh-CN"/>
        </w:rPr>
        <w:t>9</w:t>
      </w:r>
      <w:r>
        <w:rPr>
          <w:rFonts w:hint="eastAsia" w:ascii="仿宋_GB2312" w:eastAsia="仿宋_GB2312"/>
          <w:color w:val="auto"/>
          <w:sz w:val="28"/>
          <w:szCs w:val="28"/>
          <w:lang w:eastAsia="zh-CN"/>
        </w:rPr>
        <w:t>]  T</w:t>
      </w:r>
      <w:r>
        <w:rPr>
          <w:rFonts w:hint="eastAsia" w:ascii="仿宋_GB2312" w:eastAsia="仿宋_GB2312"/>
          <w:color w:val="auto"/>
          <w:sz w:val="28"/>
          <w:szCs w:val="28"/>
          <w:lang w:val="en-US" w:eastAsia="zh-CN"/>
        </w:rPr>
        <w:t>/</w:t>
      </w:r>
      <w:r>
        <w:rPr>
          <w:rFonts w:hint="eastAsia" w:ascii="仿宋_GB2312" w:eastAsia="仿宋_GB2312"/>
          <w:color w:val="auto"/>
          <w:sz w:val="28"/>
          <w:szCs w:val="28"/>
          <w:lang w:eastAsia="zh-CN"/>
        </w:rPr>
        <w:t>GXAS 731-2024</w:t>
      </w:r>
      <w:r>
        <w:rPr>
          <w:rFonts w:hint="eastAsia" w:ascii="仿宋_GB2312" w:eastAsia="仿宋_GB2312"/>
          <w:color w:val="auto"/>
          <w:sz w:val="28"/>
          <w:szCs w:val="28"/>
          <w:lang w:val="en-US" w:eastAsia="zh-CN"/>
        </w:rPr>
        <w:t xml:space="preserve">  </w:t>
      </w:r>
      <w:r>
        <w:rPr>
          <w:rFonts w:hint="eastAsia" w:ascii="仿宋_GB2312" w:eastAsia="仿宋_GB2312"/>
          <w:color w:val="auto"/>
          <w:sz w:val="28"/>
          <w:szCs w:val="28"/>
          <w:lang w:eastAsia="zh-CN"/>
        </w:rPr>
        <w:t>会阴瘢痕雷火灸技术操作规范</w:t>
      </w:r>
    </w:p>
    <w:p w14:paraId="5FE4CEF1">
      <w:pPr>
        <w:spacing w:line="520" w:lineRule="exact"/>
        <w:ind w:firstLine="562" w:firstLineChars="200"/>
        <w:rPr>
          <w:rFonts w:hint="eastAsia" w:ascii="仿宋_GB2312" w:eastAsia="仿宋_GB2312" w:cs="仿宋_GB2312"/>
          <w:b/>
          <w:color w:val="auto"/>
          <w:sz w:val="28"/>
          <w:szCs w:val="28"/>
          <w:lang w:eastAsia="zh-CN"/>
        </w:rPr>
      </w:pPr>
      <w:r>
        <w:rPr>
          <w:rFonts w:hint="eastAsia" w:ascii="仿宋_GB2312" w:eastAsia="仿宋_GB2312" w:cs="仿宋_GB2312"/>
          <w:b/>
          <w:color w:val="auto"/>
          <w:sz w:val="28"/>
          <w:szCs w:val="28"/>
        </w:rPr>
        <w:t>（三）研讨确定标准主体内容</w:t>
      </w:r>
      <w:r>
        <w:rPr>
          <w:rFonts w:hint="eastAsia" w:ascii="仿宋_GB2312" w:eastAsia="仿宋_GB2312" w:cs="仿宋_GB2312"/>
          <w:b/>
          <w:color w:val="auto"/>
          <w:sz w:val="28"/>
          <w:szCs w:val="28"/>
          <w:lang w:eastAsia="zh-CN"/>
        </w:rPr>
        <w:t>、核心技术及创新点</w:t>
      </w:r>
    </w:p>
    <w:p w14:paraId="48208B50">
      <w:pPr>
        <w:pStyle w:val="29"/>
        <w:spacing w:line="520" w:lineRule="exact"/>
        <w:ind w:firstLine="560"/>
        <w:rPr>
          <w:rFonts w:hint="eastAsia" w:ascii="仿宋_GB2312" w:eastAsia="仿宋_GB2312"/>
          <w:color w:val="auto"/>
          <w:sz w:val="28"/>
          <w:szCs w:val="28"/>
          <w:highlight w:val="none"/>
        </w:rPr>
      </w:pPr>
      <w:r>
        <w:rPr>
          <w:rFonts w:hint="eastAsia" w:ascii="仿宋_GB2312" w:eastAsia="仿宋_GB2312"/>
          <w:color w:val="auto"/>
          <w:sz w:val="28"/>
          <w:szCs w:val="28"/>
        </w:rPr>
        <w:t>标准编制工作组在对收集的资料进行整理研究之后，标准编制工作组召开了标准编制会议，对标准的整体框架结构进行了研究，并对标准的关键性内容进行了初步探讨。经过研究，标准的主体内容为多囊卵巢综合征导致不孕症患者穴位埋线联合雷火灸技术操作的基本要求、</w:t>
      </w:r>
      <w:r>
        <w:rPr>
          <w:rFonts w:hint="eastAsia" w:ascii="仿宋_GB2312" w:eastAsia="仿宋_GB2312"/>
          <w:color w:val="auto"/>
          <w:sz w:val="28"/>
          <w:szCs w:val="28"/>
          <w:lang w:eastAsia="zh-CN"/>
        </w:rPr>
        <w:t>中医辨证分型、</w:t>
      </w:r>
      <w:r>
        <w:rPr>
          <w:rFonts w:hint="eastAsia" w:ascii="仿宋_GB2312" w:eastAsia="仿宋_GB2312"/>
          <w:color w:val="auto"/>
          <w:sz w:val="28"/>
          <w:szCs w:val="28"/>
        </w:rPr>
        <w:t>施术前准备、施术方法、施术后处理、注意事项、日常调护的要求。</w:t>
      </w:r>
      <w:r>
        <w:rPr>
          <w:rFonts w:hint="eastAsia" w:ascii="仿宋_GB2312" w:eastAsia="仿宋_GB2312"/>
          <w:color w:val="auto"/>
          <w:sz w:val="28"/>
          <w:szCs w:val="28"/>
          <w:lang w:eastAsia="zh-CN"/>
        </w:rPr>
        <w:t>核心技术及创</w:t>
      </w:r>
      <w:r>
        <w:rPr>
          <w:rFonts w:hint="eastAsia" w:ascii="仿宋_GB2312" w:eastAsia="仿宋_GB2312"/>
          <w:color w:val="auto"/>
          <w:sz w:val="28"/>
          <w:szCs w:val="28"/>
          <w:highlight w:val="none"/>
          <w:lang w:eastAsia="zh-CN"/>
        </w:rPr>
        <w:t>新点在于：</w:t>
      </w:r>
    </w:p>
    <w:p w14:paraId="3A74DB31">
      <w:pPr>
        <w:pStyle w:val="29"/>
        <w:spacing w:line="520" w:lineRule="exact"/>
        <w:ind w:firstLine="560"/>
        <w:rPr>
          <w:rFonts w:hint="eastAsia" w:ascii="仿宋_GB2312" w:eastAsia="仿宋_GB2312"/>
          <w:color w:val="auto"/>
          <w:sz w:val="28"/>
          <w:szCs w:val="28"/>
          <w:lang w:eastAsia="zh-CN"/>
        </w:rPr>
      </w:pPr>
      <w:r>
        <w:rPr>
          <w:rFonts w:hint="eastAsia" w:ascii="仿宋_GB2312" w:eastAsia="仿宋_GB2312"/>
          <w:color w:val="auto"/>
          <w:sz w:val="28"/>
          <w:szCs w:val="28"/>
          <w:highlight w:val="none"/>
          <w:lang w:eastAsia="zh-CN"/>
        </w:rPr>
        <w:t>（</w:t>
      </w:r>
      <w:r>
        <w:rPr>
          <w:rFonts w:hint="eastAsia" w:ascii="仿宋_GB2312" w:eastAsia="仿宋_GB2312"/>
          <w:color w:val="auto"/>
          <w:sz w:val="28"/>
          <w:szCs w:val="28"/>
          <w:highlight w:val="none"/>
          <w:lang w:val="en-US" w:eastAsia="zh-CN"/>
        </w:rPr>
        <w:t>1</w:t>
      </w:r>
      <w:r>
        <w:rPr>
          <w:rFonts w:hint="eastAsia" w:ascii="仿宋_GB2312" w:eastAsia="仿宋_GB2312"/>
          <w:color w:val="auto"/>
          <w:sz w:val="28"/>
          <w:szCs w:val="28"/>
          <w:highlight w:val="none"/>
          <w:lang w:eastAsia="zh-CN"/>
        </w:rPr>
        <w:t>）本研究的中医证型诊断标准规定了</w:t>
      </w:r>
      <w:bookmarkStart w:id="0" w:name="_Toc200095082"/>
      <w:bookmarkStart w:id="1" w:name="_Toc200560126"/>
      <w:bookmarkStart w:id="2" w:name="_Toc199439480"/>
      <w:r>
        <w:rPr>
          <w:rFonts w:hint="eastAsia" w:ascii="仿宋_GB2312" w:eastAsia="仿宋_GB2312"/>
          <w:color w:val="auto"/>
          <w:sz w:val="28"/>
          <w:szCs w:val="28"/>
          <w:highlight w:val="none"/>
          <w:lang w:eastAsia="zh-CN"/>
        </w:rPr>
        <w:t>中医辨证分型</w:t>
      </w:r>
      <w:bookmarkEnd w:id="0"/>
      <w:bookmarkEnd w:id="1"/>
      <w:bookmarkEnd w:id="2"/>
      <w:r>
        <w:rPr>
          <w:rFonts w:hint="eastAsia" w:ascii="仿宋_GB2312" w:eastAsia="仿宋_GB2312"/>
          <w:color w:val="auto"/>
          <w:sz w:val="28"/>
          <w:szCs w:val="28"/>
          <w:highlight w:val="none"/>
          <w:lang w:eastAsia="zh-CN"/>
        </w:rPr>
        <w:t>：</w:t>
      </w:r>
      <w:r>
        <w:rPr>
          <w:rFonts w:hint="eastAsia" w:ascii="仿宋_GB2312" w:eastAsia="仿宋_GB2312"/>
          <w:color w:val="auto"/>
          <w:sz w:val="28"/>
          <w:szCs w:val="28"/>
          <w:highlight w:val="none"/>
          <w:lang w:val="en-US" w:eastAsia="zh-CN"/>
        </w:rPr>
        <w:t>肾阳虚证</w:t>
      </w:r>
      <w:r>
        <w:rPr>
          <w:rFonts w:hint="eastAsia" w:ascii="仿宋_GB2312" w:eastAsia="仿宋_GB2312"/>
          <w:color w:val="auto"/>
          <w:sz w:val="28"/>
          <w:szCs w:val="28"/>
          <w:highlight w:val="none"/>
          <w:lang w:eastAsia="zh-CN"/>
        </w:rPr>
        <w:t>肾</w:t>
      </w:r>
      <w:r>
        <w:rPr>
          <w:rFonts w:hint="eastAsia" w:ascii="仿宋_GB2312" w:eastAsia="仿宋_GB2312"/>
          <w:color w:val="auto"/>
          <w:sz w:val="28"/>
          <w:szCs w:val="28"/>
          <w:highlight w:val="none"/>
          <w:lang w:val="en-US" w:eastAsia="zh-CN"/>
        </w:rPr>
        <w:t>阴虚证</w:t>
      </w:r>
      <w:r>
        <w:rPr>
          <w:rFonts w:hint="eastAsia" w:ascii="仿宋_GB2312" w:eastAsia="仿宋_GB2312"/>
          <w:color w:val="auto"/>
          <w:sz w:val="28"/>
          <w:szCs w:val="28"/>
          <w:highlight w:val="none"/>
          <w:lang w:eastAsia="zh-CN"/>
        </w:rPr>
        <w:t>、痰湿</w:t>
      </w:r>
      <w:r>
        <w:rPr>
          <w:rFonts w:hint="eastAsia" w:ascii="仿宋_GB2312" w:eastAsia="仿宋_GB2312"/>
          <w:color w:val="auto"/>
          <w:sz w:val="28"/>
          <w:szCs w:val="28"/>
          <w:highlight w:val="none"/>
          <w:lang w:val="en-US" w:eastAsia="zh-CN"/>
        </w:rPr>
        <w:t>证</w:t>
      </w:r>
      <w:r>
        <w:rPr>
          <w:rFonts w:hint="eastAsia" w:ascii="仿宋_GB2312" w:eastAsia="仿宋_GB2312"/>
          <w:color w:val="auto"/>
          <w:sz w:val="28"/>
          <w:szCs w:val="28"/>
          <w:highlight w:val="none"/>
          <w:lang w:eastAsia="zh-CN"/>
        </w:rPr>
        <w:t>、血瘀</w:t>
      </w:r>
      <w:r>
        <w:rPr>
          <w:rFonts w:hint="eastAsia" w:ascii="仿宋_GB2312" w:eastAsia="仿宋_GB2312"/>
          <w:color w:val="auto"/>
          <w:sz w:val="28"/>
          <w:szCs w:val="28"/>
          <w:highlight w:val="none"/>
          <w:lang w:val="en-US" w:eastAsia="zh-CN"/>
        </w:rPr>
        <w:t>证</w:t>
      </w:r>
      <w:r>
        <w:rPr>
          <w:rFonts w:hint="eastAsia" w:ascii="仿宋_GB2312" w:eastAsia="仿宋_GB2312"/>
          <w:color w:val="auto"/>
          <w:sz w:val="28"/>
          <w:szCs w:val="28"/>
          <w:highlight w:val="none"/>
          <w:lang w:eastAsia="zh-CN"/>
        </w:rPr>
        <w:t>、肝郁</w:t>
      </w:r>
      <w:r>
        <w:rPr>
          <w:rFonts w:hint="eastAsia" w:ascii="仿宋_GB2312" w:eastAsia="仿宋_GB2312"/>
          <w:color w:val="auto"/>
          <w:sz w:val="28"/>
          <w:szCs w:val="28"/>
          <w:highlight w:val="none"/>
          <w:lang w:val="en-US" w:eastAsia="zh-CN"/>
        </w:rPr>
        <w:t>证5种类型</w:t>
      </w:r>
      <w:r>
        <w:rPr>
          <w:rFonts w:hint="eastAsia" w:ascii="仿宋_GB2312" w:eastAsia="仿宋_GB2312"/>
          <w:color w:val="auto"/>
          <w:sz w:val="28"/>
          <w:szCs w:val="28"/>
          <w:highlight w:val="none"/>
          <w:lang w:eastAsia="zh-CN"/>
        </w:rPr>
        <w:t>。参照2016年中国中医药出版社发布的《中医妇科学》（谈勇主编）、《中药新药</w:t>
      </w:r>
      <w:r>
        <w:rPr>
          <w:rFonts w:hint="eastAsia" w:ascii="仿宋_GB2312" w:eastAsia="仿宋_GB2312"/>
          <w:color w:val="auto"/>
          <w:sz w:val="28"/>
          <w:szCs w:val="28"/>
          <w:lang w:eastAsia="zh-CN"/>
        </w:rPr>
        <w:t>临床研究指导原则》（2002 版）、《中医证候规范》（邓铁涛主编）结合实际症状进行确定。</w:t>
      </w:r>
    </w:p>
    <w:p w14:paraId="0E34C436">
      <w:pPr>
        <w:pStyle w:val="29"/>
        <w:spacing w:line="520" w:lineRule="exact"/>
        <w:ind w:firstLine="560"/>
        <w:rPr>
          <w:rFonts w:hint="eastAsia" w:ascii="仿宋_GB2312" w:eastAsia="仿宋_GB2312"/>
          <w:color w:val="auto"/>
          <w:sz w:val="28"/>
          <w:szCs w:val="28"/>
          <w:lang w:eastAsia="zh-CN"/>
        </w:rPr>
      </w:pPr>
      <w:r>
        <w:rPr>
          <w:rFonts w:hint="eastAsia" w:ascii="仿宋_GB2312" w:eastAsia="仿宋_GB2312"/>
          <w:color w:val="auto"/>
          <w:sz w:val="28"/>
          <w:szCs w:val="28"/>
          <w:lang w:eastAsia="zh-CN"/>
        </w:rPr>
        <w:t>（</w:t>
      </w:r>
      <w:r>
        <w:rPr>
          <w:rFonts w:hint="eastAsia" w:ascii="仿宋_GB2312" w:eastAsia="仿宋_GB2312"/>
          <w:color w:val="auto"/>
          <w:sz w:val="28"/>
          <w:szCs w:val="28"/>
          <w:lang w:val="en-US" w:eastAsia="zh-CN"/>
        </w:rPr>
        <w:t>2</w:t>
      </w:r>
      <w:r>
        <w:rPr>
          <w:rFonts w:hint="eastAsia" w:ascii="仿宋_GB2312" w:eastAsia="仿宋_GB2312"/>
          <w:color w:val="auto"/>
          <w:sz w:val="28"/>
          <w:szCs w:val="28"/>
          <w:lang w:eastAsia="zh-CN"/>
        </w:rPr>
        <w:t>）</w:t>
      </w:r>
      <w:bookmarkStart w:id="3" w:name="_Toc200095094"/>
      <w:bookmarkStart w:id="4" w:name="_Toc200560136"/>
      <w:bookmarkStart w:id="5" w:name="_Toc199439490"/>
      <w:r>
        <w:rPr>
          <w:rFonts w:hint="eastAsia" w:ascii="仿宋_GB2312" w:eastAsia="仿宋_GB2312"/>
          <w:color w:val="auto"/>
          <w:sz w:val="28"/>
          <w:szCs w:val="28"/>
          <w:lang w:eastAsia="zh-CN"/>
        </w:rPr>
        <w:t>规定了两种方法的联合方案</w:t>
      </w:r>
      <w:bookmarkEnd w:id="3"/>
      <w:bookmarkEnd w:id="4"/>
      <w:bookmarkEnd w:id="5"/>
      <w:r>
        <w:rPr>
          <w:rFonts w:hint="eastAsia" w:ascii="仿宋_GB2312" w:eastAsia="仿宋_GB2312"/>
          <w:color w:val="auto"/>
          <w:sz w:val="28"/>
          <w:szCs w:val="28"/>
          <w:lang w:eastAsia="zh-CN"/>
        </w:rPr>
        <w:t>：为预防操作后伤口感染，先行雷火灸操作，雷火灸结束10 min后，再行穴位埋线。根据月经周期及辨证分型选定雷火灸部位及穴位埋线穴位。</w:t>
      </w:r>
      <w:r>
        <w:rPr>
          <w:rFonts w:hint="eastAsia" w:ascii="仿宋_GB2312" w:eastAsia="仿宋_GB2312"/>
          <w:color w:val="auto"/>
          <w:sz w:val="28"/>
          <w:szCs w:val="28"/>
        </w:rPr>
        <w:t>经过穴位埋线联合雷火灸治疗后，患者的不孕症得到改善，有效率</w:t>
      </w:r>
      <w:r>
        <w:rPr>
          <w:rFonts w:hint="eastAsia" w:ascii="仿宋_GB2312" w:eastAsia="仿宋_GB2312"/>
          <w:color w:val="auto"/>
          <w:sz w:val="28"/>
          <w:szCs w:val="28"/>
          <w:lang w:eastAsia="zh-CN"/>
        </w:rPr>
        <w:t>可</w:t>
      </w:r>
      <w:r>
        <w:rPr>
          <w:rFonts w:hint="eastAsia" w:ascii="仿宋_GB2312" w:eastAsia="仿宋_GB2312"/>
          <w:color w:val="auto"/>
          <w:sz w:val="28"/>
          <w:szCs w:val="28"/>
        </w:rPr>
        <w:t>达到85%。</w:t>
      </w:r>
    </w:p>
    <w:p w14:paraId="76CF64E0">
      <w:pPr>
        <w:pStyle w:val="29"/>
        <w:spacing w:line="520" w:lineRule="exact"/>
        <w:ind w:firstLine="560"/>
        <w:rPr>
          <w:rFonts w:hint="eastAsia" w:ascii="仿宋_GB2312" w:eastAsia="仿宋_GB2312"/>
          <w:color w:val="auto"/>
          <w:sz w:val="28"/>
          <w:szCs w:val="28"/>
          <w:lang w:eastAsia="zh-CN"/>
        </w:rPr>
      </w:pPr>
      <w:r>
        <w:rPr>
          <w:rFonts w:hint="eastAsia" w:ascii="仿宋_GB2312" w:eastAsia="仿宋_GB2312"/>
          <w:color w:val="auto"/>
          <w:sz w:val="28"/>
          <w:szCs w:val="28"/>
          <w:lang w:eastAsia="zh-CN"/>
        </w:rPr>
        <w:t>（</w:t>
      </w:r>
      <w:r>
        <w:rPr>
          <w:rFonts w:hint="eastAsia" w:ascii="仿宋_GB2312" w:eastAsia="仿宋_GB2312"/>
          <w:color w:val="auto"/>
          <w:sz w:val="28"/>
          <w:szCs w:val="28"/>
          <w:lang w:val="en-US" w:eastAsia="zh-CN"/>
        </w:rPr>
        <w:t>3</w:t>
      </w:r>
      <w:r>
        <w:rPr>
          <w:rFonts w:hint="eastAsia" w:ascii="仿宋_GB2312" w:eastAsia="仿宋_GB2312"/>
          <w:color w:val="auto"/>
          <w:sz w:val="28"/>
          <w:szCs w:val="28"/>
          <w:lang w:eastAsia="zh-CN"/>
        </w:rPr>
        <w:t>）雷火灸：根据月经周期调整，排卵期氤氲状的气血运行，以动、升为特征，此时需要气血活动，促进卵子排出，故灸（气海、关元、子宫、中极）。卵泡期促进卵泡发育，以补肾健脾先后天之精为主（脾俞、肾俞），黄体期以补肾阳为主兼滋阴为辅（命门、肾俞、气海俞），故卵泡期及黄体期灸（脾俞、命门、肾俞、气海俞）。月经期不灸。</w:t>
      </w:r>
    </w:p>
    <w:p w14:paraId="4B0DC744">
      <w:pPr>
        <w:pStyle w:val="29"/>
        <w:spacing w:line="520" w:lineRule="exact"/>
        <w:ind w:firstLine="560"/>
        <w:rPr>
          <w:rFonts w:hint="eastAsia" w:ascii="仿宋_GB2312" w:eastAsia="仿宋_GB2312"/>
          <w:color w:val="auto"/>
          <w:sz w:val="28"/>
          <w:szCs w:val="28"/>
          <w:lang w:eastAsia="zh-CN"/>
        </w:rPr>
      </w:pPr>
      <w:r>
        <w:rPr>
          <w:rFonts w:hint="eastAsia" w:ascii="仿宋_GB2312" w:eastAsia="仿宋_GB2312"/>
          <w:color w:val="auto"/>
          <w:sz w:val="28"/>
          <w:szCs w:val="28"/>
          <w:lang w:eastAsia="zh-CN"/>
        </w:rPr>
        <w:t>（</w:t>
      </w:r>
      <w:r>
        <w:rPr>
          <w:rFonts w:hint="eastAsia" w:ascii="仿宋_GB2312" w:eastAsia="仿宋_GB2312"/>
          <w:color w:val="auto"/>
          <w:sz w:val="28"/>
          <w:szCs w:val="28"/>
          <w:lang w:val="en-US" w:eastAsia="zh-CN"/>
        </w:rPr>
        <w:t>4</w:t>
      </w:r>
      <w:r>
        <w:rPr>
          <w:rFonts w:hint="eastAsia" w:ascii="仿宋_GB2312" w:eastAsia="仿宋_GB2312"/>
          <w:color w:val="auto"/>
          <w:sz w:val="28"/>
          <w:szCs w:val="28"/>
          <w:lang w:eastAsia="zh-CN"/>
        </w:rPr>
        <w:t>）穴位埋线</w:t>
      </w:r>
      <w:r>
        <w:rPr>
          <w:rFonts w:hint="eastAsia" w:ascii="仿宋_GB2312" w:eastAsia="仿宋_GB2312"/>
          <w:color w:val="auto"/>
          <w:sz w:val="28"/>
          <w:szCs w:val="28"/>
          <w:highlight w:val="none"/>
          <w:lang w:eastAsia="zh-CN"/>
        </w:rPr>
        <w:t>：规定了主穴为中脘、水分、气海、关元，天枢、大横、滑肉门、带脉、足三里。根据不同的证型：肾阳虚</w:t>
      </w:r>
      <w:r>
        <w:rPr>
          <w:rFonts w:hint="eastAsia" w:ascii="仿宋_GB2312" w:eastAsia="仿宋_GB2312"/>
          <w:color w:val="auto"/>
          <w:sz w:val="28"/>
          <w:szCs w:val="28"/>
          <w:highlight w:val="none"/>
          <w:lang w:val="en-US" w:eastAsia="zh-CN"/>
        </w:rPr>
        <w:t>证</w:t>
      </w:r>
      <w:r>
        <w:rPr>
          <w:rFonts w:hint="eastAsia" w:ascii="仿宋_GB2312" w:eastAsia="仿宋_GB2312"/>
          <w:color w:val="auto"/>
          <w:sz w:val="28"/>
          <w:szCs w:val="28"/>
          <w:highlight w:val="none"/>
          <w:lang w:eastAsia="zh-CN"/>
        </w:rPr>
        <w:t>加上肾俞、子宫；肾阴虚</w:t>
      </w:r>
      <w:r>
        <w:rPr>
          <w:rFonts w:hint="eastAsia" w:ascii="仿宋_GB2312" w:eastAsia="仿宋_GB2312"/>
          <w:color w:val="auto"/>
          <w:sz w:val="28"/>
          <w:szCs w:val="28"/>
          <w:highlight w:val="none"/>
          <w:lang w:val="en-US" w:eastAsia="zh-CN"/>
        </w:rPr>
        <w:t>证</w:t>
      </w:r>
      <w:r>
        <w:rPr>
          <w:rFonts w:hint="eastAsia" w:ascii="仿宋_GB2312" w:eastAsia="仿宋_GB2312"/>
          <w:color w:val="auto"/>
          <w:sz w:val="28"/>
          <w:szCs w:val="28"/>
          <w:highlight w:val="none"/>
          <w:lang w:eastAsia="zh-CN"/>
        </w:rPr>
        <w:t>加肾俞、三阴交；痰湿</w:t>
      </w:r>
      <w:r>
        <w:rPr>
          <w:rFonts w:hint="eastAsia" w:ascii="仿宋_GB2312" w:eastAsia="仿宋_GB2312"/>
          <w:color w:val="auto"/>
          <w:sz w:val="28"/>
          <w:szCs w:val="28"/>
          <w:highlight w:val="none"/>
          <w:lang w:val="en-US" w:eastAsia="zh-CN"/>
        </w:rPr>
        <w:t>证</w:t>
      </w:r>
      <w:r>
        <w:rPr>
          <w:rFonts w:hint="eastAsia" w:ascii="仿宋_GB2312" w:eastAsia="仿宋_GB2312"/>
          <w:color w:val="auto"/>
          <w:sz w:val="28"/>
          <w:szCs w:val="28"/>
          <w:highlight w:val="none"/>
          <w:lang w:eastAsia="zh-CN"/>
        </w:rPr>
        <w:t>加阴陵泉、丰隆；血瘀</w:t>
      </w:r>
      <w:r>
        <w:rPr>
          <w:rFonts w:hint="eastAsia" w:ascii="仿宋_GB2312" w:eastAsia="仿宋_GB2312"/>
          <w:color w:val="auto"/>
          <w:sz w:val="28"/>
          <w:szCs w:val="28"/>
          <w:highlight w:val="none"/>
          <w:lang w:val="en-US" w:eastAsia="zh-CN"/>
        </w:rPr>
        <w:t>证</w:t>
      </w:r>
      <w:r>
        <w:rPr>
          <w:rFonts w:hint="eastAsia" w:ascii="仿宋_GB2312" w:eastAsia="仿宋_GB2312"/>
          <w:color w:val="auto"/>
          <w:sz w:val="28"/>
          <w:szCs w:val="28"/>
          <w:highlight w:val="none"/>
          <w:lang w:eastAsia="zh-CN"/>
        </w:rPr>
        <w:t>加</w:t>
      </w:r>
      <w:r>
        <w:rPr>
          <w:rFonts w:hint="eastAsia" w:ascii="仿宋_GB2312" w:eastAsia="仿宋_GB2312"/>
          <w:color w:val="auto"/>
          <w:sz w:val="28"/>
          <w:szCs w:val="28"/>
          <w:lang w:eastAsia="zh-CN"/>
        </w:rPr>
        <w:t>血海、膈俞；肝郁</w:t>
      </w:r>
      <w:r>
        <w:rPr>
          <w:rFonts w:hint="eastAsia" w:ascii="仿宋_GB2312" w:eastAsia="仿宋_GB2312"/>
          <w:color w:val="auto"/>
          <w:sz w:val="28"/>
          <w:szCs w:val="28"/>
          <w:lang w:val="en-US" w:eastAsia="zh-CN"/>
        </w:rPr>
        <w:t>证</w:t>
      </w:r>
      <w:r>
        <w:rPr>
          <w:rFonts w:hint="eastAsia" w:ascii="仿宋_GB2312" w:eastAsia="仿宋_GB2312"/>
          <w:color w:val="auto"/>
          <w:sz w:val="28"/>
          <w:szCs w:val="28"/>
          <w:lang w:eastAsia="zh-CN"/>
        </w:rPr>
        <w:t>加曲池、肝俞。</w:t>
      </w:r>
    </w:p>
    <w:p w14:paraId="0C1149FB">
      <w:pPr>
        <w:pStyle w:val="29"/>
        <w:spacing w:line="520" w:lineRule="exact"/>
        <w:ind w:firstLine="560"/>
        <w:rPr>
          <w:rFonts w:hint="eastAsia" w:ascii="仿宋_GB2312" w:eastAsia="仿宋_GB2312"/>
          <w:color w:val="auto"/>
          <w:sz w:val="28"/>
          <w:szCs w:val="28"/>
          <w:lang w:eastAsia="zh-CN"/>
        </w:rPr>
      </w:pPr>
      <w:r>
        <w:rPr>
          <w:rFonts w:hint="eastAsia" w:ascii="仿宋_GB2312" w:eastAsia="仿宋_GB2312"/>
          <w:color w:val="auto"/>
          <w:sz w:val="28"/>
          <w:szCs w:val="28"/>
          <w:lang w:eastAsia="zh-CN"/>
        </w:rPr>
        <w:t>（</w:t>
      </w:r>
      <w:r>
        <w:rPr>
          <w:rFonts w:hint="eastAsia" w:ascii="仿宋_GB2312" w:eastAsia="仿宋_GB2312"/>
          <w:color w:val="auto"/>
          <w:sz w:val="28"/>
          <w:szCs w:val="28"/>
          <w:lang w:val="en-US" w:eastAsia="zh-CN"/>
        </w:rPr>
        <w:t>5</w:t>
      </w:r>
      <w:r>
        <w:rPr>
          <w:rFonts w:hint="eastAsia" w:ascii="仿宋_GB2312" w:eastAsia="仿宋_GB2312"/>
          <w:color w:val="auto"/>
          <w:sz w:val="28"/>
          <w:szCs w:val="28"/>
          <w:lang w:eastAsia="zh-CN"/>
        </w:rPr>
        <w:t>）给出了疗程和疗效评估。雷火灸隔日1次，穴位埋线每2周1次，3个月经周期为1疗程，配合月经周期调整治疗节奏（避开月经期）</w:t>
      </w:r>
    </w:p>
    <w:p w14:paraId="332503A2">
      <w:pPr>
        <w:spacing w:line="520" w:lineRule="exact"/>
        <w:ind w:firstLine="562" w:firstLineChars="200"/>
        <w:rPr>
          <w:rFonts w:hint="eastAsia" w:ascii="仿宋_GB2312" w:eastAsia="仿宋_GB2312" w:cs="仿宋_GB2312"/>
          <w:b/>
          <w:color w:val="auto"/>
          <w:sz w:val="28"/>
          <w:szCs w:val="28"/>
          <w:lang w:eastAsia="zh-CN"/>
        </w:rPr>
      </w:pPr>
      <w:r>
        <w:rPr>
          <w:rFonts w:hint="eastAsia" w:ascii="仿宋_GB2312" w:eastAsia="仿宋_GB2312" w:cs="仿宋_GB2312"/>
          <w:b/>
          <w:color w:val="auto"/>
          <w:sz w:val="28"/>
          <w:szCs w:val="28"/>
        </w:rPr>
        <w:t>（四）调研及形成草案、征求意见稿</w:t>
      </w:r>
    </w:p>
    <w:p w14:paraId="2953E794">
      <w:pPr>
        <w:spacing w:line="520" w:lineRule="exact"/>
        <w:ind w:firstLine="560" w:firstLineChars="200"/>
        <w:rPr>
          <w:rFonts w:ascii="仿宋_GB2312" w:eastAsia="仿宋_GB2312"/>
          <w:color w:val="auto"/>
          <w:kern w:val="0"/>
          <w:sz w:val="28"/>
          <w:szCs w:val="28"/>
        </w:rPr>
      </w:pPr>
      <w:r>
        <w:rPr>
          <w:rFonts w:hint="eastAsia" w:ascii="仿宋_GB2312" w:eastAsia="仿宋_GB2312"/>
          <w:color w:val="auto"/>
          <w:kern w:val="0"/>
          <w:sz w:val="28"/>
          <w:szCs w:val="28"/>
        </w:rPr>
        <w:t>2023年1</w:t>
      </w:r>
      <w:r>
        <w:rPr>
          <w:rFonts w:hint="eastAsia" w:ascii="仿宋_GB2312" w:eastAsia="仿宋_GB2312"/>
          <w:color w:val="auto"/>
          <w:kern w:val="0"/>
          <w:sz w:val="28"/>
          <w:szCs w:val="28"/>
          <w:lang w:val="en-US" w:eastAsia="zh-CN"/>
        </w:rPr>
        <w:t>1</w:t>
      </w:r>
      <w:r>
        <w:rPr>
          <w:rFonts w:hint="eastAsia" w:ascii="仿宋_GB2312" w:eastAsia="仿宋_GB2312"/>
          <w:color w:val="auto"/>
          <w:kern w:val="0"/>
          <w:sz w:val="28"/>
          <w:szCs w:val="28"/>
        </w:rPr>
        <w:t>月～202</w:t>
      </w:r>
      <w:r>
        <w:rPr>
          <w:rFonts w:hint="eastAsia" w:ascii="仿宋_GB2312" w:eastAsia="仿宋_GB2312"/>
          <w:color w:val="auto"/>
          <w:kern w:val="0"/>
          <w:sz w:val="28"/>
          <w:szCs w:val="28"/>
          <w:lang w:val="en-US" w:eastAsia="zh-CN"/>
        </w:rPr>
        <w:t>4</w:t>
      </w:r>
      <w:r>
        <w:rPr>
          <w:rFonts w:hint="eastAsia" w:ascii="仿宋_GB2312" w:eastAsia="仿宋_GB2312"/>
          <w:color w:val="auto"/>
          <w:kern w:val="0"/>
          <w:sz w:val="28"/>
          <w:szCs w:val="28"/>
        </w:rPr>
        <w:t>年</w:t>
      </w:r>
      <w:r>
        <w:rPr>
          <w:rFonts w:hint="eastAsia" w:ascii="仿宋_GB2312" w:eastAsia="仿宋_GB2312"/>
          <w:color w:val="auto"/>
          <w:kern w:val="0"/>
          <w:sz w:val="28"/>
          <w:szCs w:val="28"/>
          <w:lang w:val="en-US" w:eastAsia="zh-CN"/>
        </w:rPr>
        <w:t>2</w:t>
      </w:r>
      <w:r>
        <w:rPr>
          <w:rFonts w:hint="eastAsia" w:ascii="仿宋_GB2312" w:eastAsia="仿宋_GB2312"/>
          <w:color w:val="auto"/>
          <w:kern w:val="0"/>
          <w:sz w:val="28"/>
          <w:szCs w:val="28"/>
        </w:rPr>
        <w:t>月，标准编制工作组查阅了大量的国内文献资料，对</w:t>
      </w:r>
      <w:r>
        <w:rPr>
          <w:rFonts w:hint="eastAsia" w:ascii="仿宋_GB2312" w:eastAsia="仿宋_GB2312"/>
          <w:color w:val="auto"/>
          <w:kern w:val="0"/>
          <w:sz w:val="28"/>
          <w:szCs w:val="28"/>
          <w:lang w:eastAsia="zh-CN"/>
        </w:rPr>
        <w:t>多囊卵巢综合征导致不孕症患者穴位埋线联合雷火灸技术</w:t>
      </w:r>
      <w:r>
        <w:rPr>
          <w:rFonts w:hint="eastAsia" w:ascii="仿宋_GB2312" w:eastAsia="仿宋_GB2312"/>
          <w:color w:val="auto"/>
          <w:kern w:val="0"/>
          <w:sz w:val="28"/>
          <w:szCs w:val="28"/>
        </w:rPr>
        <w:t>相关的文件进行系统总结。形成了标准的基本构架，对主要内容进行了讨论并对项目的工作进行了部署和安排。</w:t>
      </w:r>
    </w:p>
    <w:p w14:paraId="399710CD">
      <w:pPr>
        <w:spacing w:line="520" w:lineRule="exact"/>
        <w:ind w:firstLine="560" w:firstLineChars="200"/>
        <w:rPr>
          <w:rFonts w:hint="eastAsia"/>
          <w:color w:val="auto"/>
          <w:sz w:val="28"/>
          <w:szCs w:val="28"/>
        </w:rPr>
      </w:pPr>
      <w:r>
        <w:rPr>
          <w:rFonts w:hint="eastAsia" w:ascii="仿宋_GB2312" w:eastAsia="仿宋_GB2312"/>
          <w:color w:val="auto"/>
          <w:kern w:val="0"/>
          <w:sz w:val="28"/>
          <w:szCs w:val="28"/>
        </w:rPr>
        <w:t>202</w:t>
      </w:r>
      <w:r>
        <w:rPr>
          <w:rFonts w:hint="eastAsia" w:ascii="仿宋_GB2312" w:eastAsia="仿宋_GB2312"/>
          <w:color w:val="auto"/>
          <w:kern w:val="0"/>
          <w:sz w:val="28"/>
          <w:szCs w:val="28"/>
          <w:lang w:val="en-US" w:eastAsia="zh-CN"/>
        </w:rPr>
        <w:t>4</w:t>
      </w:r>
      <w:r>
        <w:rPr>
          <w:rFonts w:hint="eastAsia" w:ascii="仿宋_GB2312" w:eastAsia="仿宋_GB2312"/>
          <w:color w:val="auto"/>
          <w:kern w:val="0"/>
          <w:sz w:val="28"/>
          <w:szCs w:val="28"/>
        </w:rPr>
        <w:t>年</w:t>
      </w:r>
      <w:r>
        <w:rPr>
          <w:rFonts w:hint="eastAsia" w:ascii="仿宋_GB2312" w:eastAsia="仿宋_GB2312"/>
          <w:color w:val="auto"/>
          <w:kern w:val="0"/>
          <w:sz w:val="28"/>
          <w:szCs w:val="28"/>
          <w:lang w:val="en-US" w:eastAsia="zh-CN"/>
        </w:rPr>
        <w:t>3</w:t>
      </w:r>
      <w:r>
        <w:rPr>
          <w:rFonts w:hint="eastAsia" w:ascii="仿宋_GB2312" w:eastAsia="仿宋_GB2312"/>
          <w:color w:val="auto"/>
          <w:kern w:val="0"/>
          <w:sz w:val="28"/>
          <w:szCs w:val="28"/>
        </w:rPr>
        <w:t>月～</w:t>
      </w:r>
      <w:r>
        <w:rPr>
          <w:rFonts w:hint="eastAsia" w:ascii="仿宋_GB2312" w:eastAsia="仿宋_GB2312"/>
          <w:color w:val="auto"/>
          <w:kern w:val="0"/>
          <w:sz w:val="28"/>
          <w:szCs w:val="28"/>
          <w:lang w:val="en-US" w:eastAsia="zh-CN"/>
        </w:rPr>
        <w:t>6</w:t>
      </w:r>
      <w:r>
        <w:rPr>
          <w:rFonts w:hint="eastAsia" w:ascii="仿宋_GB2312" w:eastAsia="仿宋_GB2312"/>
          <w:color w:val="auto"/>
          <w:kern w:val="0"/>
          <w:sz w:val="28"/>
          <w:szCs w:val="28"/>
        </w:rPr>
        <w:t>月，</w:t>
      </w:r>
      <w:r>
        <w:rPr>
          <w:rFonts w:hint="eastAsia" w:ascii="仿宋_GB2312" w:eastAsia="仿宋_GB2312"/>
          <w:color w:val="auto"/>
          <w:kern w:val="0"/>
          <w:sz w:val="28"/>
          <w:szCs w:val="28"/>
          <w:lang w:eastAsia="zh-CN"/>
        </w:rPr>
        <w:t>团体</w:t>
      </w:r>
      <w:r>
        <w:rPr>
          <w:rFonts w:hint="eastAsia" w:ascii="仿宋_GB2312" w:eastAsia="仿宋_GB2312"/>
          <w:color w:val="auto"/>
          <w:kern w:val="0"/>
          <w:sz w:val="28"/>
          <w:szCs w:val="28"/>
        </w:rPr>
        <w:t>标准《</w:t>
      </w:r>
      <w:r>
        <w:rPr>
          <w:rFonts w:hint="eastAsia" w:ascii="仿宋_GB2312" w:eastAsia="仿宋_GB2312"/>
          <w:color w:val="auto"/>
          <w:kern w:val="0"/>
          <w:sz w:val="28"/>
          <w:szCs w:val="28"/>
          <w:lang w:eastAsia="zh-CN"/>
        </w:rPr>
        <w:t>多囊卵巢综合征导致不孕症患者穴位埋线联合雷火灸技术操作规范</w:t>
      </w:r>
      <w:r>
        <w:rPr>
          <w:rFonts w:hint="eastAsia" w:ascii="仿宋_GB2312" w:eastAsia="仿宋_GB2312"/>
          <w:color w:val="auto"/>
          <w:kern w:val="0"/>
          <w:sz w:val="28"/>
          <w:szCs w:val="28"/>
        </w:rPr>
        <w:t>》</w:t>
      </w:r>
      <w:r>
        <w:rPr>
          <w:rFonts w:hint="eastAsia" w:ascii="仿宋_GB2312" w:hAnsi="宋体" w:eastAsia="仿宋_GB2312"/>
          <w:color w:val="auto"/>
          <w:sz w:val="28"/>
          <w:szCs w:val="28"/>
        </w:rPr>
        <w:t>获批立项</w:t>
      </w:r>
      <w:r>
        <w:rPr>
          <w:rFonts w:hint="eastAsia" w:ascii="仿宋_GB2312" w:eastAsia="仿宋_GB2312"/>
          <w:color w:val="auto"/>
          <w:kern w:val="0"/>
          <w:sz w:val="28"/>
          <w:szCs w:val="28"/>
        </w:rPr>
        <w:t>，在前期工作的基础之上，通过理清逻辑脉络，整合已有参考资料中有关</w:t>
      </w:r>
      <w:r>
        <w:rPr>
          <w:rFonts w:hint="eastAsia" w:ascii="仿宋_GB2312" w:eastAsia="仿宋_GB2312"/>
          <w:color w:val="auto"/>
          <w:kern w:val="0"/>
          <w:sz w:val="28"/>
          <w:szCs w:val="28"/>
          <w:lang w:eastAsia="zh-CN"/>
        </w:rPr>
        <w:t>多囊卵巢综合征导致不孕症患者穴位埋线联合雷火灸</w:t>
      </w:r>
      <w:r>
        <w:rPr>
          <w:rFonts w:hint="eastAsia" w:ascii="仿宋_GB2312" w:eastAsia="仿宋_GB2312"/>
          <w:color w:val="auto"/>
          <w:kern w:val="0"/>
          <w:sz w:val="28"/>
          <w:szCs w:val="28"/>
        </w:rPr>
        <w:t>的要求，并在</w:t>
      </w:r>
      <w:r>
        <w:rPr>
          <w:rFonts w:hint="eastAsia" w:ascii="仿宋_GB2312" w:eastAsia="仿宋_GB2312"/>
          <w:color w:val="auto"/>
          <w:kern w:val="0"/>
          <w:sz w:val="28"/>
          <w:szCs w:val="28"/>
          <w:lang w:eastAsia="zh-CN"/>
        </w:rPr>
        <w:t>目前多囊卵巢综合征导致不孕症患者</w:t>
      </w:r>
      <w:r>
        <w:rPr>
          <w:rFonts w:hint="eastAsia" w:ascii="仿宋_GB2312" w:eastAsia="仿宋_GB2312"/>
          <w:color w:val="auto"/>
          <w:kern w:val="0"/>
          <w:sz w:val="28"/>
          <w:szCs w:val="28"/>
        </w:rPr>
        <w:t>实际</w:t>
      </w:r>
      <w:r>
        <w:rPr>
          <w:rFonts w:hint="eastAsia" w:ascii="仿宋_GB2312" w:eastAsia="仿宋_GB2312"/>
          <w:color w:val="auto"/>
          <w:kern w:val="0"/>
          <w:sz w:val="28"/>
          <w:szCs w:val="28"/>
          <w:lang w:eastAsia="zh-CN"/>
        </w:rPr>
        <w:t>治疗</w:t>
      </w:r>
      <w:r>
        <w:rPr>
          <w:rFonts w:hint="eastAsia" w:ascii="仿宋_GB2312" w:eastAsia="仿宋_GB2312"/>
          <w:color w:val="auto"/>
          <w:kern w:val="0"/>
          <w:sz w:val="28"/>
          <w:szCs w:val="28"/>
        </w:rPr>
        <w:t>操作的基础上，按照简化、统一等原则编制完成</w:t>
      </w:r>
      <w:r>
        <w:rPr>
          <w:rFonts w:hint="eastAsia" w:ascii="仿宋_GB2312" w:eastAsia="仿宋_GB2312"/>
          <w:color w:val="auto"/>
          <w:kern w:val="0"/>
          <w:sz w:val="28"/>
          <w:szCs w:val="28"/>
          <w:lang w:val="en-US" w:eastAsia="zh-CN"/>
        </w:rPr>
        <w:t>团体</w:t>
      </w:r>
      <w:r>
        <w:rPr>
          <w:rFonts w:hint="eastAsia" w:ascii="仿宋_GB2312" w:eastAsia="仿宋_GB2312"/>
          <w:color w:val="auto"/>
          <w:kern w:val="0"/>
          <w:sz w:val="28"/>
          <w:szCs w:val="28"/>
        </w:rPr>
        <w:t>标准《</w:t>
      </w:r>
      <w:r>
        <w:rPr>
          <w:rFonts w:hint="eastAsia" w:ascii="仿宋_GB2312" w:eastAsia="仿宋_GB2312"/>
          <w:color w:val="auto"/>
          <w:kern w:val="0"/>
          <w:sz w:val="28"/>
          <w:szCs w:val="28"/>
          <w:lang w:eastAsia="zh-CN"/>
        </w:rPr>
        <w:t>多囊卵巢综合征导致不孕症患者穴位埋线联合雷火灸技术操作规范</w:t>
      </w:r>
      <w:r>
        <w:rPr>
          <w:rFonts w:hint="eastAsia" w:ascii="仿宋_GB2312" w:eastAsia="仿宋_GB2312"/>
          <w:color w:val="auto"/>
          <w:kern w:val="0"/>
          <w:sz w:val="28"/>
          <w:szCs w:val="28"/>
        </w:rPr>
        <w:t>》（草案）。</w:t>
      </w:r>
    </w:p>
    <w:p w14:paraId="6F1974DE">
      <w:pPr>
        <w:spacing w:line="520" w:lineRule="exact"/>
        <w:ind w:firstLine="560" w:firstLineChars="200"/>
        <w:rPr>
          <w:rFonts w:ascii="仿宋_GB2312" w:eastAsia="仿宋_GB2312"/>
          <w:kern w:val="0"/>
          <w:sz w:val="28"/>
          <w:szCs w:val="28"/>
        </w:rPr>
      </w:pPr>
      <w:r>
        <w:rPr>
          <w:rFonts w:hint="eastAsia" w:ascii="仿宋_GB2312" w:eastAsia="仿宋_GB2312"/>
          <w:color w:val="auto"/>
          <w:kern w:val="0"/>
          <w:sz w:val="28"/>
          <w:szCs w:val="28"/>
        </w:rPr>
        <w:t>202</w:t>
      </w:r>
      <w:r>
        <w:rPr>
          <w:rFonts w:hint="eastAsia" w:ascii="仿宋_GB2312" w:eastAsia="仿宋_GB2312"/>
          <w:color w:val="auto"/>
          <w:kern w:val="0"/>
          <w:sz w:val="28"/>
          <w:szCs w:val="28"/>
          <w:lang w:val="en-US" w:eastAsia="zh-CN"/>
        </w:rPr>
        <w:t>4</w:t>
      </w:r>
      <w:r>
        <w:rPr>
          <w:rFonts w:hint="eastAsia" w:ascii="仿宋_GB2312" w:eastAsia="仿宋_GB2312"/>
          <w:color w:val="auto"/>
          <w:kern w:val="0"/>
          <w:sz w:val="28"/>
          <w:szCs w:val="28"/>
        </w:rPr>
        <w:t>年</w:t>
      </w:r>
      <w:r>
        <w:rPr>
          <w:rFonts w:hint="eastAsia" w:ascii="仿宋_GB2312" w:eastAsia="仿宋_GB2312"/>
          <w:color w:val="auto"/>
          <w:kern w:val="0"/>
          <w:sz w:val="28"/>
          <w:szCs w:val="28"/>
          <w:lang w:val="en-US" w:eastAsia="zh-CN"/>
        </w:rPr>
        <w:t>7</w:t>
      </w:r>
      <w:r>
        <w:rPr>
          <w:rFonts w:hint="eastAsia" w:ascii="仿宋_GB2312" w:eastAsia="仿宋_GB2312"/>
          <w:color w:val="auto"/>
          <w:kern w:val="0"/>
          <w:sz w:val="28"/>
          <w:szCs w:val="28"/>
        </w:rPr>
        <w:t>月～</w:t>
      </w:r>
      <w:r>
        <w:rPr>
          <w:rFonts w:hint="eastAsia" w:ascii="仿宋_GB2312" w:eastAsia="仿宋_GB2312"/>
          <w:color w:val="auto"/>
          <w:kern w:val="0"/>
          <w:sz w:val="28"/>
          <w:szCs w:val="28"/>
          <w:lang w:val="en-US" w:eastAsia="zh-CN"/>
        </w:rPr>
        <w:t>2024年12</w:t>
      </w:r>
      <w:r>
        <w:rPr>
          <w:rFonts w:hint="eastAsia" w:ascii="仿宋_GB2312" w:eastAsia="仿宋_GB2312"/>
          <w:color w:val="auto"/>
          <w:kern w:val="0"/>
          <w:sz w:val="28"/>
          <w:szCs w:val="28"/>
        </w:rPr>
        <w:t>月，标准编制工作组</w:t>
      </w:r>
      <w:r>
        <w:rPr>
          <w:rFonts w:hint="eastAsia" w:ascii="仿宋_GB2312" w:eastAsia="仿宋_GB2312"/>
          <w:color w:val="auto"/>
          <w:kern w:val="0"/>
          <w:sz w:val="28"/>
          <w:szCs w:val="28"/>
          <w:lang w:val="en-US" w:eastAsia="zh-CN"/>
        </w:rPr>
        <w:t>去往山东省中医医院调研学习，后在广西与</w:t>
      </w:r>
      <w:r>
        <w:rPr>
          <w:rFonts w:hint="eastAsia" w:ascii="仿宋_GB2312" w:eastAsia="仿宋_GB2312"/>
          <w:color w:val="auto"/>
          <w:sz w:val="28"/>
          <w:szCs w:val="28"/>
        </w:rPr>
        <w:t>广西医科大学附属肿瘤医院、广西中医药大学第一附属医院、广西中医药大学附属瑞康医院、广西壮族自治区南溪山医院（广西壮族自治区第二人民医院）、南宁市第一人民医院、南宁市第四人民医院、南宁市第七人民医院、南宁市第八人民医院、防城港市中医医院、钦州市第一人民医院、柳州市柳江区中医医院</w:t>
      </w:r>
      <w:r>
        <w:rPr>
          <w:rFonts w:hint="eastAsia" w:ascii="仿宋_GB2312" w:eastAsia="仿宋_GB2312"/>
          <w:color w:val="auto"/>
          <w:sz w:val="28"/>
          <w:szCs w:val="28"/>
          <w:lang w:val="en-US" w:eastAsia="zh-CN"/>
        </w:rPr>
        <w:t>进行调研，开展临床验证，并对实际征求意见，通过收集反馈了大量意见，标准编制工作组召开会议，对标准草案进行反复修改和研究讨论。进一步讨论完善标准草案，形成</w:t>
      </w:r>
      <w:r>
        <w:rPr>
          <w:rFonts w:hint="eastAsia" w:ascii="仿宋_GB2312" w:eastAsia="仿宋_GB2312"/>
          <w:color w:val="auto"/>
          <w:kern w:val="0"/>
          <w:sz w:val="28"/>
          <w:szCs w:val="28"/>
        </w:rPr>
        <w:t>《</w:t>
      </w:r>
      <w:r>
        <w:rPr>
          <w:rFonts w:hint="eastAsia" w:ascii="仿宋_GB2312" w:eastAsia="仿宋_GB2312"/>
          <w:color w:val="auto"/>
          <w:kern w:val="0"/>
          <w:sz w:val="28"/>
          <w:szCs w:val="28"/>
          <w:lang w:eastAsia="zh-CN"/>
        </w:rPr>
        <w:t>多囊卵巢综合征导致不孕症患者穴位埋线联合雷火灸技术操作规范</w:t>
      </w:r>
      <w:r>
        <w:rPr>
          <w:rFonts w:hint="eastAsia" w:ascii="仿宋_GB2312" w:eastAsia="仿宋_GB2312"/>
          <w:color w:val="auto"/>
          <w:kern w:val="0"/>
          <w:sz w:val="28"/>
          <w:szCs w:val="28"/>
        </w:rPr>
        <w:t>》</w:t>
      </w:r>
      <w:r>
        <w:rPr>
          <w:rFonts w:hint="eastAsia" w:ascii="仿宋_GB2312" w:eastAsia="仿宋_GB2312"/>
          <w:color w:val="auto"/>
          <w:kern w:val="0"/>
          <w:sz w:val="28"/>
          <w:szCs w:val="28"/>
          <w:lang w:val="en-US" w:eastAsia="zh-CN"/>
        </w:rPr>
        <w:t>和征求意见稿编制说明。</w:t>
      </w:r>
      <w:r>
        <w:rPr>
          <w:rFonts w:hint="eastAsia" w:ascii="仿宋_GB2312" w:eastAsia="仿宋_GB2312"/>
          <w:color w:val="auto"/>
          <w:kern w:val="0"/>
          <w:sz w:val="28"/>
          <w:szCs w:val="28"/>
          <w:lang w:eastAsia="zh-CN"/>
        </w:rPr>
        <w:t>实施多囊卵巢综合征导致不孕症患者穴位埋线联合雷火灸技术</w:t>
      </w:r>
      <w:r>
        <w:rPr>
          <w:rFonts w:hint="eastAsia" w:ascii="仿宋_GB2312" w:hAnsi="宋体" w:eastAsia="仿宋_GB2312"/>
          <w:color w:val="auto"/>
          <w:sz w:val="28"/>
          <w:szCs w:val="28"/>
        </w:rPr>
        <w:t>的有代表性的中医医院</w:t>
      </w:r>
      <w:r>
        <w:rPr>
          <w:rFonts w:hint="eastAsia" w:ascii="仿宋_GB2312" w:eastAsia="仿宋_GB2312"/>
          <w:color w:val="auto"/>
          <w:kern w:val="0"/>
          <w:sz w:val="28"/>
          <w:szCs w:val="28"/>
        </w:rPr>
        <w:t>进行实地调研，并组织相关主管单位、医疗机构等召开标准研讨会，收集反馈了大量意见，对标准草案进行了反复修改和研究讨论，掌握了</w:t>
      </w:r>
      <w:r>
        <w:rPr>
          <w:rFonts w:hint="eastAsia" w:ascii="仿宋_GB2312" w:eastAsia="仿宋_GB2312"/>
          <w:color w:val="auto"/>
          <w:kern w:val="0"/>
          <w:sz w:val="28"/>
          <w:szCs w:val="28"/>
          <w:lang w:eastAsia="zh-CN"/>
        </w:rPr>
        <w:t>多囊卵巢综合征导致不孕症患者穴位埋线联合雷火灸</w:t>
      </w:r>
      <w:r>
        <w:rPr>
          <w:rFonts w:hint="eastAsia" w:ascii="仿宋_GB2312" w:eastAsia="仿宋_GB2312"/>
          <w:color w:val="auto"/>
          <w:kern w:val="0"/>
          <w:sz w:val="28"/>
          <w:szCs w:val="28"/>
        </w:rPr>
        <w:t>的基本情况</w:t>
      </w:r>
      <w:r>
        <w:rPr>
          <w:rFonts w:hint="eastAsia" w:ascii="仿宋_GB2312" w:eastAsia="仿宋_GB2312"/>
          <w:color w:val="auto"/>
          <w:kern w:val="0"/>
          <w:sz w:val="28"/>
          <w:szCs w:val="28"/>
          <w:lang w:eastAsia="zh-CN"/>
        </w:rPr>
        <w:t>以及</w:t>
      </w:r>
      <w:r>
        <w:rPr>
          <w:rFonts w:hint="eastAsia" w:ascii="仿宋_GB2312" w:eastAsia="仿宋_GB2312"/>
          <w:color w:val="auto"/>
          <w:kern w:val="0"/>
          <w:sz w:val="28"/>
          <w:szCs w:val="28"/>
        </w:rPr>
        <w:t>要求，最终形成了</w:t>
      </w:r>
      <w:bookmarkStart w:id="6" w:name="_Hlk120181503"/>
      <w:r>
        <w:rPr>
          <w:rFonts w:hint="eastAsia" w:ascii="仿宋_GB2312" w:eastAsia="仿宋_GB2312"/>
          <w:color w:val="auto"/>
          <w:kern w:val="0"/>
          <w:sz w:val="28"/>
          <w:szCs w:val="28"/>
          <w:lang w:eastAsia="zh-CN"/>
        </w:rPr>
        <w:t>团体标准</w:t>
      </w:r>
      <w:r>
        <w:rPr>
          <w:rFonts w:hint="eastAsia" w:ascii="仿宋_GB2312" w:eastAsia="仿宋_GB2312"/>
          <w:color w:val="auto"/>
          <w:kern w:val="0"/>
          <w:sz w:val="28"/>
          <w:szCs w:val="28"/>
        </w:rPr>
        <w:t>《</w:t>
      </w:r>
      <w:r>
        <w:rPr>
          <w:rFonts w:hint="eastAsia" w:ascii="仿宋_GB2312" w:eastAsia="仿宋_GB2312"/>
          <w:color w:val="auto"/>
          <w:kern w:val="0"/>
          <w:sz w:val="28"/>
          <w:szCs w:val="28"/>
          <w:lang w:eastAsia="zh-CN"/>
        </w:rPr>
        <w:t>多囊卵巢综合征导致不孕症患者穴位埋线联合雷火灸技术操作规范</w:t>
      </w:r>
      <w:r>
        <w:rPr>
          <w:rFonts w:hint="eastAsia" w:ascii="仿宋_GB2312" w:eastAsia="仿宋_GB2312"/>
          <w:color w:val="auto"/>
          <w:kern w:val="0"/>
          <w:sz w:val="28"/>
          <w:szCs w:val="28"/>
        </w:rPr>
        <w:t>》（征求意见稿）及其编制说明。</w:t>
      </w:r>
      <w:bookmarkEnd w:id="6"/>
    </w:p>
    <w:p w14:paraId="2F26DED6">
      <w:pPr>
        <w:autoSpaceDE w:val="0"/>
        <w:autoSpaceDN w:val="0"/>
        <w:adjustRightInd w:val="0"/>
        <w:spacing w:line="520" w:lineRule="exact"/>
        <w:ind w:firstLine="640" w:firstLineChars="200"/>
        <w:jc w:val="left"/>
        <w:rPr>
          <w:rFonts w:hint="eastAsia" w:ascii="黑体" w:eastAsia="黑体" w:cs="仿宋_GB2312"/>
          <w:color w:val="auto"/>
          <w:sz w:val="32"/>
          <w:szCs w:val="32"/>
        </w:rPr>
      </w:pPr>
      <w:r>
        <w:rPr>
          <w:rFonts w:hint="eastAsia" w:ascii="黑体" w:eastAsia="黑体" w:cs="仿宋_GB2312"/>
          <w:color w:val="auto"/>
          <w:sz w:val="32"/>
          <w:szCs w:val="32"/>
        </w:rPr>
        <w:t>四、制定标准的原则和依据，与现行法律、法规的关系，与有关国家标准、行业标准的协调情况</w:t>
      </w:r>
    </w:p>
    <w:p w14:paraId="452D7840">
      <w:pPr>
        <w:widowControl/>
        <w:tabs>
          <w:tab w:val="center" w:pos="4201"/>
          <w:tab w:val="right" w:leader="dot" w:pos="9298"/>
        </w:tabs>
        <w:autoSpaceDE w:val="0"/>
        <w:autoSpaceDN w:val="0"/>
        <w:spacing w:line="520" w:lineRule="exact"/>
        <w:ind w:firstLine="562" w:firstLineChars="200"/>
        <w:outlineLvl w:val="1"/>
        <w:rPr>
          <w:rFonts w:hint="eastAsia" w:ascii="仿宋_GB2312" w:eastAsia="仿宋_GB2312"/>
          <w:b/>
          <w:bCs/>
          <w:color w:val="auto"/>
          <w:kern w:val="0"/>
          <w:sz w:val="28"/>
          <w:szCs w:val="28"/>
        </w:rPr>
      </w:pPr>
      <w:r>
        <w:rPr>
          <w:rFonts w:hint="eastAsia" w:ascii="仿宋_GB2312" w:eastAsia="仿宋_GB2312"/>
          <w:b/>
          <w:bCs/>
          <w:color w:val="auto"/>
          <w:kern w:val="0"/>
          <w:sz w:val="28"/>
          <w:szCs w:val="28"/>
        </w:rPr>
        <w:t>（一）编制原则</w:t>
      </w:r>
    </w:p>
    <w:p w14:paraId="3F535D31">
      <w:pPr>
        <w:spacing w:line="520" w:lineRule="exact"/>
        <w:ind w:firstLine="562" w:firstLineChars="200"/>
        <w:rPr>
          <w:rFonts w:hint="eastAsia" w:ascii="仿宋_GB2312" w:eastAsia="仿宋_GB2312"/>
          <w:b/>
          <w:color w:val="auto"/>
          <w:sz w:val="28"/>
          <w:szCs w:val="28"/>
        </w:rPr>
      </w:pPr>
      <w:r>
        <w:rPr>
          <w:rFonts w:hint="eastAsia" w:ascii="仿宋_GB2312" w:eastAsia="仿宋_GB2312"/>
          <w:b/>
          <w:color w:val="auto"/>
          <w:sz w:val="28"/>
          <w:szCs w:val="28"/>
        </w:rPr>
        <w:t>1、实用性原则</w:t>
      </w:r>
    </w:p>
    <w:p w14:paraId="51AE984F">
      <w:pPr>
        <w:spacing w:line="520" w:lineRule="exact"/>
        <w:ind w:firstLine="560" w:firstLineChars="200"/>
        <w:rPr>
          <w:rFonts w:ascii="仿宋_GB2312" w:eastAsia="仿宋_GB2312" w:cs="仿宋"/>
          <w:color w:val="auto"/>
          <w:sz w:val="28"/>
          <w:szCs w:val="28"/>
        </w:rPr>
      </w:pPr>
      <w:r>
        <w:rPr>
          <w:rFonts w:hint="eastAsia" w:ascii="仿宋_GB2312" w:eastAsia="仿宋_GB2312" w:cs="仿宋"/>
          <w:color w:val="auto"/>
          <w:sz w:val="28"/>
          <w:szCs w:val="28"/>
        </w:rPr>
        <w:t>本标准是在充分收集国内外相关资料和文献、调研分析</w:t>
      </w:r>
      <w:r>
        <w:rPr>
          <w:rFonts w:hint="eastAsia" w:ascii="仿宋_GB2312" w:eastAsia="仿宋_GB2312"/>
          <w:color w:val="auto"/>
          <w:kern w:val="0"/>
          <w:sz w:val="28"/>
          <w:szCs w:val="28"/>
          <w:lang w:eastAsia="zh-CN"/>
        </w:rPr>
        <w:t>多囊卵巢综合征导致不孕症患者穴位埋线联合雷火灸技术操作</w:t>
      </w:r>
      <w:r>
        <w:rPr>
          <w:rFonts w:hint="eastAsia" w:ascii="仿宋_GB2312" w:eastAsia="仿宋_GB2312" w:cs="仿宋"/>
          <w:color w:val="auto"/>
          <w:sz w:val="28"/>
          <w:szCs w:val="28"/>
        </w:rPr>
        <w:t>现状，结合起草单位前期研究工作取得的研究成果及积累的中医实践经验，并借鉴国内</w:t>
      </w:r>
      <w:r>
        <w:rPr>
          <w:rFonts w:hint="eastAsia" w:ascii="仿宋_GB2312" w:eastAsia="仿宋_GB2312"/>
          <w:color w:val="auto"/>
          <w:kern w:val="0"/>
          <w:sz w:val="28"/>
          <w:szCs w:val="28"/>
          <w:lang w:eastAsia="zh-CN"/>
        </w:rPr>
        <w:t>多囊卵巢综合征导致不孕症患者穴位埋线联合雷火灸技术操作</w:t>
      </w:r>
      <w:r>
        <w:rPr>
          <w:rFonts w:hint="eastAsia" w:ascii="仿宋_GB2312" w:eastAsia="仿宋_GB2312" w:cs="仿宋"/>
          <w:color w:val="auto"/>
          <w:sz w:val="28"/>
          <w:szCs w:val="28"/>
        </w:rPr>
        <w:t>进行总结起草的，符合工作实际，利于</w:t>
      </w:r>
      <w:r>
        <w:rPr>
          <w:rFonts w:hint="eastAsia" w:ascii="仿宋_GB2312" w:eastAsia="仿宋_GB2312"/>
          <w:color w:val="auto"/>
          <w:kern w:val="0"/>
          <w:sz w:val="28"/>
          <w:szCs w:val="28"/>
          <w:lang w:eastAsia="zh-CN"/>
        </w:rPr>
        <w:t>多囊卵巢综合征导致不孕症患者穴位埋线联合雷火灸技术</w:t>
      </w:r>
      <w:r>
        <w:rPr>
          <w:rFonts w:hint="eastAsia" w:ascii="仿宋_GB2312" w:eastAsia="仿宋_GB2312" w:cs="仿宋"/>
          <w:color w:val="auto"/>
          <w:sz w:val="28"/>
          <w:szCs w:val="28"/>
        </w:rPr>
        <w:t>的实施与推广，具有可操作性和实用性。</w:t>
      </w:r>
    </w:p>
    <w:p w14:paraId="1CAE46BF">
      <w:pPr>
        <w:spacing w:line="520" w:lineRule="exact"/>
        <w:ind w:firstLine="562" w:firstLineChars="200"/>
        <w:rPr>
          <w:rFonts w:hint="eastAsia" w:ascii="仿宋_GB2312" w:eastAsia="仿宋_GB2312"/>
          <w:b/>
          <w:color w:val="auto"/>
          <w:sz w:val="28"/>
          <w:szCs w:val="28"/>
        </w:rPr>
      </w:pPr>
      <w:r>
        <w:rPr>
          <w:rFonts w:hint="eastAsia" w:ascii="仿宋_GB2312" w:eastAsia="仿宋_GB2312"/>
          <w:b/>
          <w:color w:val="auto"/>
          <w:sz w:val="28"/>
          <w:szCs w:val="28"/>
        </w:rPr>
        <w:t>2、协调性原则</w:t>
      </w:r>
    </w:p>
    <w:p w14:paraId="3C2841AB">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本文件编写过程中注意了与</w:t>
      </w:r>
      <w:r>
        <w:rPr>
          <w:rFonts w:hint="eastAsia" w:ascii="仿宋_GB2312" w:eastAsia="仿宋_GB2312"/>
          <w:color w:val="auto"/>
          <w:kern w:val="0"/>
          <w:sz w:val="28"/>
          <w:szCs w:val="28"/>
          <w:lang w:eastAsia="zh-CN"/>
        </w:rPr>
        <w:t>背俞指针疗法治疗功能性便秘技术</w:t>
      </w:r>
      <w:r>
        <w:rPr>
          <w:rFonts w:hint="eastAsia" w:ascii="仿宋_GB2312" w:eastAsia="仿宋_GB2312"/>
          <w:color w:val="auto"/>
          <w:sz w:val="28"/>
          <w:szCs w:val="28"/>
        </w:rPr>
        <w:t>相关法律法规的协调问题，在内容上与现行法律法规、标准协调一致。</w:t>
      </w:r>
    </w:p>
    <w:p w14:paraId="6C9CAA26">
      <w:pPr>
        <w:spacing w:line="520" w:lineRule="exact"/>
        <w:ind w:firstLine="562" w:firstLineChars="200"/>
        <w:rPr>
          <w:rFonts w:hint="eastAsia" w:ascii="仿宋_GB2312" w:eastAsia="仿宋_GB2312"/>
          <w:b/>
          <w:color w:val="auto"/>
          <w:sz w:val="28"/>
          <w:szCs w:val="28"/>
        </w:rPr>
      </w:pPr>
      <w:r>
        <w:rPr>
          <w:rFonts w:hint="eastAsia" w:ascii="仿宋_GB2312" w:eastAsia="仿宋_GB2312"/>
          <w:b/>
          <w:color w:val="auto"/>
          <w:sz w:val="28"/>
          <w:szCs w:val="28"/>
        </w:rPr>
        <w:t>3、规范性原则</w:t>
      </w:r>
    </w:p>
    <w:p w14:paraId="059709A1">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本文件严格按照GB/T 1.1—2020《标准化工作导则  第1部分：标准化文件的结构和起草规则》编写本标准的内容，保证标准的编写质量。</w:t>
      </w:r>
    </w:p>
    <w:p w14:paraId="160C3DF6">
      <w:pPr>
        <w:spacing w:line="520" w:lineRule="exact"/>
        <w:ind w:firstLine="562" w:firstLineChars="200"/>
        <w:rPr>
          <w:rFonts w:hint="eastAsia" w:ascii="仿宋_GB2312" w:eastAsia="仿宋_GB2312"/>
          <w:b/>
          <w:color w:val="auto"/>
          <w:sz w:val="28"/>
          <w:szCs w:val="28"/>
        </w:rPr>
      </w:pPr>
      <w:r>
        <w:rPr>
          <w:rFonts w:hint="eastAsia" w:ascii="仿宋_GB2312" w:eastAsia="仿宋_GB2312"/>
          <w:b/>
          <w:color w:val="auto"/>
          <w:sz w:val="28"/>
          <w:szCs w:val="28"/>
        </w:rPr>
        <w:t>4、前瞻性原则</w:t>
      </w:r>
    </w:p>
    <w:p w14:paraId="4DB49F2D">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本文件在兼顾当前区内</w:t>
      </w:r>
      <w:r>
        <w:rPr>
          <w:rFonts w:hint="eastAsia" w:ascii="仿宋_GB2312" w:eastAsia="仿宋_GB2312"/>
          <w:color w:val="auto"/>
          <w:kern w:val="0"/>
          <w:sz w:val="28"/>
          <w:szCs w:val="28"/>
          <w:lang w:eastAsia="zh-CN"/>
        </w:rPr>
        <w:t>多囊卵巢综合征导致不孕症患者穴位埋线联合雷火灸技术</w:t>
      </w:r>
      <w:r>
        <w:rPr>
          <w:rFonts w:hint="eastAsia" w:ascii="仿宋_GB2312" w:eastAsia="仿宋_GB2312"/>
          <w:color w:val="auto"/>
          <w:sz w:val="28"/>
          <w:szCs w:val="28"/>
        </w:rPr>
        <w:t>现实情况的同时，还考虑到了</w:t>
      </w:r>
      <w:r>
        <w:rPr>
          <w:rFonts w:hint="eastAsia" w:ascii="仿宋_GB2312" w:eastAsia="仿宋_GB2312"/>
          <w:color w:val="auto"/>
          <w:kern w:val="0"/>
          <w:sz w:val="28"/>
          <w:szCs w:val="28"/>
          <w:lang w:eastAsia="zh-CN"/>
        </w:rPr>
        <w:t>多囊卵巢综合征导致不孕症患者穴位埋线联合雷火灸技术操作</w:t>
      </w:r>
      <w:r>
        <w:rPr>
          <w:rFonts w:hint="eastAsia" w:ascii="仿宋_GB2312" w:eastAsia="仿宋_GB2312"/>
          <w:color w:val="auto"/>
          <w:sz w:val="28"/>
          <w:szCs w:val="28"/>
        </w:rPr>
        <w:t>的需要，在标准中体现了个别特色性、前瞻性和先进性条款，作为对</w:t>
      </w:r>
      <w:r>
        <w:rPr>
          <w:rFonts w:hint="eastAsia" w:ascii="仿宋_GB2312" w:eastAsia="仿宋_GB2312"/>
          <w:color w:val="auto"/>
          <w:kern w:val="0"/>
          <w:sz w:val="28"/>
          <w:szCs w:val="28"/>
          <w:lang w:eastAsia="zh-CN"/>
        </w:rPr>
        <w:t>多囊卵巢综合征导致不孕症患者穴位埋线联合雷火灸技术</w:t>
      </w:r>
      <w:r>
        <w:rPr>
          <w:rFonts w:hint="eastAsia" w:ascii="仿宋_GB2312" w:eastAsia="仿宋_GB2312"/>
          <w:color w:val="auto"/>
          <w:sz w:val="28"/>
          <w:szCs w:val="28"/>
        </w:rPr>
        <w:t>发展的指导。</w:t>
      </w:r>
    </w:p>
    <w:p w14:paraId="028A7C9B">
      <w:pPr>
        <w:spacing w:line="520" w:lineRule="exact"/>
        <w:ind w:firstLine="562" w:firstLineChars="200"/>
        <w:rPr>
          <w:rFonts w:hint="eastAsia" w:ascii="仿宋_GB2312" w:eastAsia="仿宋_GB2312"/>
          <w:b/>
          <w:bCs/>
          <w:color w:val="auto"/>
          <w:sz w:val="28"/>
          <w:szCs w:val="28"/>
        </w:rPr>
      </w:pPr>
      <w:r>
        <w:rPr>
          <w:rFonts w:hint="eastAsia" w:ascii="仿宋_GB2312" w:eastAsia="仿宋_GB2312"/>
          <w:b/>
          <w:bCs/>
          <w:color w:val="auto"/>
          <w:sz w:val="28"/>
          <w:szCs w:val="28"/>
        </w:rPr>
        <w:t>（二）编制依据</w:t>
      </w:r>
    </w:p>
    <w:p w14:paraId="58F297BA">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本标准严格按照GB/T 1.1—2020《标准化工作导则  第1部分：标准化文件的结构和起草规则》的规则起草，标准主要内容依据起草单位在</w:t>
      </w:r>
      <w:r>
        <w:rPr>
          <w:rFonts w:hint="eastAsia" w:ascii="仿宋_GB2312" w:eastAsia="仿宋_GB2312"/>
          <w:color w:val="auto"/>
          <w:kern w:val="0"/>
          <w:sz w:val="28"/>
          <w:szCs w:val="28"/>
          <w:lang w:eastAsia="zh-CN"/>
        </w:rPr>
        <w:t>多囊卵巢综合征导致不孕症患者穴位埋线联合雷火灸技术</w:t>
      </w:r>
      <w:r>
        <w:rPr>
          <w:rFonts w:hint="eastAsia" w:ascii="仿宋_GB2312" w:eastAsia="仿宋_GB2312"/>
          <w:color w:val="auto"/>
          <w:sz w:val="28"/>
          <w:szCs w:val="28"/>
        </w:rPr>
        <w:t>研究应用过程中的实践经验确定。</w:t>
      </w:r>
    </w:p>
    <w:p w14:paraId="6EE4F66F">
      <w:pPr>
        <w:spacing w:line="520" w:lineRule="exact"/>
        <w:ind w:firstLine="562" w:firstLineChars="200"/>
        <w:rPr>
          <w:rFonts w:hint="eastAsia" w:ascii="仿宋_GB2312" w:eastAsia="仿宋_GB2312"/>
          <w:b/>
          <w:bCs/>
          <w:color w:val="auto"/>
          <w:sz w:val="28"/>
          <w:szCs w:val="28"/>
        </w:rPr>
      </w:pPr>
      <w:r>
        <w:rPr>
          <w:rFonts w:hint="eastAsia" w:ascii="仿宋_GB2312" w:eastAsia="仿宋_GB2312"/>
          <w:b/>
          <w:bCs/>
          <w:color w:val="auto"/>
          <w:sz w:val="28"/>
          <w:szCs w:val="28"/>
        </w:rPr>
        <w:t>（三）与现行法律、法规的关系，与有关国家标准、行业标准的协调情况</w:t>
      </w:r>
    </w:p>
    <w:p w14:paraId="73CAD001">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本标准与相关法律法规、强制性标准协调一致，无冲突。</w:t>
      </w:r>
    </w:p>
    <w:p w14:paraId="091F6E5C">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lang w:eastAsia="zh-CN"/>
        </w:rPr>
        <w:t>经查询，</w:t>
      </w:r>
      <w:r>
        <w:rPr>
          <w:rFonts w:hint="eastAsia" w:ascii="仿宋_GB2312" w:eastAsia="仿宋_GB2312"/>
          <w:color w:val="auto"/>
          <w:sz w:val="28"/>
          <w:szCs w:val="28"/>
        </w:rPr>
        <w:t>国内暂无与“多囊卵巢综合征导致不孕症的穴位埋线联合雷火灸技术操作”的标准。</w:t>
      </w:r>
    </w:p>
    <w:p w14:paraId="640544EE">
      <w:pPr>
        <w:adjustRightInd w:val="0"/>
        <w:snapToGrid w:val="0"/>
        <w:spacing w:line="520" w:lineRule="exact"/>
        <w:ind w:firstLine="560" w:firstLineChars="200"/>
        <w:rPr>
          <w:rFonts w:hint="eastAsia"/>
          <w:color w:val="auto"/>
          <w:lang w:eastAsia="zh-CN"/>
        </w:rPr>
      </w:pPr>
      <w:r>
        <w:rPr>
          <w:rFonts w:hint="eastAsia" w:ascii="仿宋_GB2312" w:eastAsia="仿宋_GB2312"/>
          <w:color w:val="auto"/>
          <w:sz w:val="28"/>
          <w:szCs w:val="28"/>
          <w:lang w:eastAsia="zh-CN"/>
        </w:rPr>
        <w:t>经查询，国内与“穴位埋线”、“雷火灸”相关的标准有：GB/T 21709.10-2008  针灸技术操作规范 第10部分:穴位埋线、T/CACM 1382—2022  穴位埋线治疗非酒精性脂肪性肝病中医实践指南、T/G</w:t>
      </w:r>
      <w:r>
        <w:rPr>
          <w:rFonts w:hint="eastAsia" w:ascii="仿宋_GB2312" w:eastAsia="仿宋_GB2312"/>
          <w:color w:val="auto"/>
          <w:sz w:val="28"/>
          <w:szCs w:val="28"/>
          <w:lang w:val="en-US" w:eastAsia="zh-CN"/>
        </w:rPr>
        <w:t>DNSA 011-2024</w:t>
      </w:r>
      <w:r>
        <w:rPr>
          <w:rFonts w:hint="eastAsia" w:ascii="仿宋_GB2312" w:eastAsia="仿宋_GB2312"/>
          <w:color w:val="auto"/>
          <w:sz w:val="28"/>
          <w:szCs w:val="28"/>
          <w:lang w:eastAsia="zh-CN"/>
        </w:rPr>
        <w:t>雷火灸技术规范、T/SAAM 0002—2023雷火灸(可加药)操作规范。上述标准主要涉及穴位埋线、雷火灸操作操作方法规范及其治疗其他疾病的技术要求，不直接涉及多囊卵巢综合征导致不孕症的内容，与其他疾病在选穴、操作方法上均有不同。</w:t>
      </w:r>
    </w:p>
    <w:p w14:paraId="7B6445AB">
      <w:pPr>
        <w:spacing w:before="240" w:after="60" w:line="520" w:lineRule="exact"/>
        <w:ind w:firstLine="640" w:firstLineChars="200"/>
        <w:jc w:val="left"/>
        <w:outlineLvl w:val="0"/>
        <w:rPr>
          <w:rFonts w:hint="eastAsia" w:ascii="黑体" w:eastAsia="黑体"/>
          <w:bCs/>
          <w:color w:val="auto"/>
          <w:sz w:val="32"/>
          <w:szCs w:val="32"/>
        </w:rPr>
      </w:pPr>
      <w:r>
        <w:rPr>
          <w:rFonts w:hint="eastAsia" w:ascii="黑体" w:eastAsia="黑体"/>
          <w:bCs/>
          <w:color w:val="auto"/>
          <w:sz w:val="32"/>
          <w:szCs w:val="32"/>
        </w:rPr>
        <w:t>五、主要条款的说明</w:t>
      </w:r>
    </w:p>
    <w:p w14:paraId="3ACAF5FA">
      <w:pPr>
        <w:pStyle w:val="29"/>
        <w:spacing w:line="520" w:lineRule="exact"/>
        <w:ind w:firstLine="562"/>
        <w:rPr>
          <w:rFonts w:hint="eastAsia" w:ascii="仿宋_GB2312" w:eastAsia="仿宋_GB2312" w:cs="仿宋"/>
          <w:b w:val="0"/>
          <w:bCs w:val="0"/>
          <w:color w:val="auto"/>
          <w:sz w:val="28"/>
          <w:szCs w:val="28"/>
        </w:rPr>
      </w:pPr>
      <w:r>
        <w:rPr>
          <w:rFonts w:hint="eastAsia" w:ascii="仿宋_GB2312" w:eastAsia="仿宋_GB2312" w:cs="仿宋"/>
          <w:b w:val="0"/>
          <w:bCs w:val="0"/>
          <w:color w:val="auto"/>
          <w:sz w:val="28"/>
          <w:szCs w:val="28"/>
        </w:rPr>
        <w:t>标准技术内容界定了多囊卵巢综合征导致不孕症患者穴位埋线联合雷火灸技术操作涉及的术语和定义，规定了多囊卵巢综合征导致不孕症患者穴位埋线联合雷火灸技术操作的基本要求、</w:t>
      </w:r>
      <w:r>
        <w:rPr>
          <w:rFonts w:hint="eastAsia" w:ascii="仿宋_GB2312" w:eastAsia="仿宋_GB2312" w:cs="仿宋"/>
          <w:b w:val="0"/>
          <w:bCs w:val="0"/>
          <w:color w:val="auto"/>
          <w:sz w:val="28"/>
          <w:szCs w:val="28"/>
          <w:lang w:eastAsia="zh-CN"/>
        </w:rPr>
        <w:t>中医辨证分型、</w:t>
      </w:r>
      <w:r>
        <w:rPr>
          <w:rFonts w:hint="eastAsia" w:ascii="仿宋_GB2312" w:eastAsia="仿宋_GB2312" w:cs="仿宋"/>
          <w:b w:val="0"/>
          <w:bCs w:val="0"/>
          <w:color w:val="auto"/>
          <w:sz w:val="28"/>
          <w:szCs w:val="28"/>
        </w:rPr>
        <w:t>施术前准备、施术方法、施术后处理、注意事项、日常调护的要求。</w:t>
      </w:r>
    </w:p>
    <w:p w14:paraId="3A3B9ADA">
      <w:pPr>
        <w:pStyle w:val="29"/>
        <w:spacing w:line="520" w:lineRule="exact"/>
        <w:ind w:firstLine="0" w:firstLineChars="0"/>
        <w:rPr>
          <w:rFonts w:hint="eastAsia" w:ascii="仿宋_GB2312" w:eastAsia="仿宋_GB2312" w:cs="仿宋"/>
          <w:b/>
          <w:bCs/>
          <w:color w:val="auto"/>
          <w:sz w:val="28"/>
          <w:szCs w:val="28"/>
        </w:rPr>
      </w:pPr>
      <w:r>
        <w:rPr>
          <w:rFonts w:hint="eastAsia" w:ascii="仿宋_GB2312" w:eastAsia="仿宋_GB2312" w:cs="仿宋"/>
          <w:b/>
          <w:bCs/>
          <w:color w:val="auto"/>
          <w:sz w:val="28"/>
          <w:szCs w:val="28"/>
          <w:lang w:eastAsia="zh-CN"/>
        </w:rPr>
        <w:t>（一）</w:t>
      </w:r>
      <w:r>
        <w:rPr>
          <w:rFonts w:hint="eastAsia" w:ascii="仿宋_GB2312" w:eastAsia="仿宋_GB2312" w:cs="仿宋"/>
          <w:b/>
          <w:bCs/>
          <w:color w:val="auto"/>
          <w:sz w:val="28"/>
          <w:szCs w:val="28"/>
        </w:rPr>
        <w:t>术语和定义</w:t>
      </w:r>
    </w:p>
    <w:p w14:paraId="124C8FDA">
      <w:pPr>
        <w:pStyle w:val="29"/>
        <w:spacing w:line="520" w:lineRule="exact"/>
        <w:ind w:firstLine="562"/>
        <w:rPr>
          <w:rFonts w:hint="eastAsia" w:ascii="仿宋_GB2312" w:hAnsi="Calibri" w:eastAsia="仿宋_GB2312" w:cs="仿宋"/>
          <w:b/>
          <w:bCs w:val="0"/>
          <w:color w:val="auto"/>
          <w:sz w:val="28"/>
          <w:szCs w:val="28"/>
        </w:rPr>
      </w:pPr>
      <w:r>
        <w:rPr>
          <w:rFonts w:hint="eastAsia" w:ascii="仿宋_GB2312" w:hAnsi="Calibri" w:eastAsia="仿宋_GB2312" w:cs="仿宋"/>
          <w:b/>
          <w:bCs w:val="0"/>
          <w:color w:val="auto"/>
          <w:sz w:val="28"/>
          <w:szCs w:val="28"/>
        </w:rPr>
        <w:t>不孕症</w:t>
      </w:r>
    </w:p>
    <w:p w14:paraId="4E9D8A96">
      <w:pPr>
        <w:pStyle w:val="29"/>
        <w:spacing w:line="520" w:lineRule="exact"/>
        <w:ind w:firstLine="562"/>
        <w:rPr>
          <w:rFonts w:hint="default" w:ascii="仿宋_GB2312" w:eastAsia="仿宋_GB2312" w:cs="仿宋"/>
          <w:bCs/>
          <w:color w:val="auto"/>
          <w:sz w:val="28"/>
          <w:szCs w:val="28"/>
          <w:lang w:val="en-US" w:eastAsia="zh-CN"/>
        </w:rPr>
      </w:pPr>
      <w:r>
        <w:rPr>
          <w:rFonts w:hint="eastAsia" w:ascii="仿宋_GB2312" w:hAnsi="Calibri" w:eastAsia="仿宋_GB2312" w:cs="仿宋"/>
          <w:bCs/>
          <w:color w:val="auto"/>
          <w:sz w:val="28"/>
          <w:szCs w:val="28"/>
          <w:lang w:val="en-US" w:eastAsia="zh-CN"/>
        </w:rPr>
        <w:t>不孕症是1种低生育力状态，严重危害育龄期女性的生殖健康，指1对配偶未采取避孕措施，有规律性生活至少12个月未能获得临床妊娠</w:t>
      </w:r>
      <w:r>
        <w:rPr>
          <w:rFonts w:hint="eastAsia" w:ascii="仿宋_GB2312" w:hAnsi="Calibri" w:eastAsia="仿宋_GB2312" w:cs="仿宋"/>
          <w:bCs/>
          <w:color w:val="auto"/>
          <w:sz w:val="28"/>
          <w:szCs w:val="28"/>
        </w:rPr>
        <w:t>。</w:t>
      </w:r>
      <w:r>
        <w:rPr>
          <w:rFonts w:hint="eastAsia" w:ascii="仿宋_GB2312" w:eastAsia="仿宋_GB2312" w:cs="仿宋"/>
          <w:bCs/>
          <w:color w:val="auto"/>
          <w:sz w:val="28"/>
          <w:szCs w:val="28"/>
          <w:lang w:eastAsia="zh-CN"/>
        </w:rPr>
        <w:t>主要参考</w:t>
      </w:r>
      <w:r>
        <w:rPr>
          <w:rFonts w:hint="eastAsia" w:ascii="仿宋_GB2312" w:eastAsia="仿宋_GB2312" w:cs="仿宋"/>
          <w:bCs/>
          <w:color w:val="auto"/>
          <w:sz w:val="28"/>
          <w:szCs w:val="28"/>
          <w:lang w:val="en-US" w:eastAsia="zh-CN"/>
        </w:rPr>
        <w:t>2019</w:t>
      </w:r>
      <w:r>
        <w:rPr>
          <w:rFonts w:hint="eastAsia" w:ascii="仿宋_GB2312" w:eastAsia="仿宋_GB2312" w:cs="仿宋"/>
          <w:bCs/>
          <w:color w:val="auto"/>
          <w:sz w:val="28"/>
          <w:szCs w:val="28"/>
          <w:lang w:eastAsia="zh-CN"/>
        </w:rPr>
        <w:t>《</w:t>
      </w:r>
      <w:r>
        <w:rPr>
          <w:rFonts w:hint="eastAsia" w:ascii="仿宋_GB2312" w:eastAsia="仿宋_GB2312" w:cs="仿宋"/>
          <w:bCs/>
          <w:color w:val="auto"/>
          <w:sz w:val="28"/>
          <w:szCs w:val="28"/>
          <w:lang w:val="en-US" w:eastAsia="zh-CN"/>
        </w:rPr>
        <w:t>不孕症诊断指南</w:t>
      </w:r>
      <w:r>
        <w:rPr>
          <w:rFonts w:hint="eastAsia" w:ascii="仿宋_GB2312" w:eastAsia="仿宋_GB2312" w:cs="仿宋"/>
          <w:bCs/>
          <w:color w:val="auto"/>
          <w:sz w:val="28"/>
          <w:szCs w:val="28"/>
          <w:lang w:eastAsia="zh-CN"/>
        </w:rPr>
        <w:t>》</w:t>
      </w:r>
      <w:r>
        <w:rPr>
          <w:rFonts w:hint="eastAsia" w:ascii="仿宋_GB2312" w:eastAsia="仿宋_GB2312" w:cs="仿宋"/>
          <w:bCs/>
          <w:color w:val="auto"/>
          <w:sz w:val="28"/>
          <w:szCs w:val="28"/>
          <w:lang w:val="en-US" w:eastAsia="zh-CN"/>
        </w:rPr>
        <w:t>中华妇产科杂志2019年8月第54卷第8期.</w:t>
      </w:r>
    </w:p>
    <w:p w14:paraId="326686A7">
      <w:pPr>
        <w:pStyle w:val="29"/>
        <w:keepNext w:val="0"/>
        <w:keepLines w:val="0"/>
        <w:pageBreakBefore w:val="0"/>
        <w:widowControl/>
        <w:kinsoku/>
        <w:wordWrap/>
        <w:overflowPunct/>
        <w:topLinePunct w:val="0"/>
        <w:autoSpaceDE w:val="0"/>
        <w:autoSpaceDN w:val="0"/>
        <w:bidi w:val="0"/>
        <w:adjustRightInd/>
        <w:snapToGrid/>
        <w:spacing w:line="240" w:lineRule="auto"/>
        <w:ind w:left="0" w:leftChars="0" w:firstLine="0" w:firstLineChars="0"/>
        <w:jc w:val="center"/>
        <w:textAlignment w:val="auto"/>
        <w:rPr>
          <w:rFonts w:hint="eastAsia" w:ascii="仿宋_GB2312" w:eastAsia="仿宋_GB2312" w:cs="仿宋"/>
          <w:bCs/>
          <w:color w:val="auto"/>
          <w:sz w:val="28"/>
          <w:szCs w:val="28"/>
          <w:lang w:val="en-US" w:eastAsia="zh-CN"/>
        </w:rPr>
      </w:pPr>
      <w:r>
        <w:drawing>
          <wp:inline distT="0" distB="0" distL="114300" distR="114300">
            <wp:extent cx="3428365" cy="1841500"/>
            <wp:effectExtent l="0" t="0" r="635" b="6350"/>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5"/>
                    <a:stretch>
                      <a:fillRect/>
                    </a:stretch>
                  </pic:blipFill>
                  <pic:spPr>
                    <a:xfrm>
                      <a:off x="0" y="0"/>
                      <a:ext cx="3428365" cy="1841500"/>
                    </a:xfrm>
                    <a:prstGeom prst="rect">
                      <a:avLst/>
                    </a:prstGeom>
                    <a:noFill/>
                    <a:ln>
                      <a:noFill/>
                    </a:ln>
                  </pic:spPr>
                </pic:pic>
              </a:graphicData>
            </a:graphic>
          </wp:inline>
        </w:drawing>
      </w:r>
    </w:p>
    <w:p w14:paraId="6F1D02CB">
      <w:pPr>
        <w:pStyle w:val="29"/>
        <w:spacing w:line="520" w:lineRule="exact"/>
        <w:ind w:firstLine="562"/>
        <w:rPr>
          <w:rFonts w:hint="eastAsia" w:ascii="仿宋_GB2312" w:hAnsi="Calibri" w:eastAsia="仿宋_GB2312" w:cs="仿宋"/>
          <w:b/>
          <w:bCs w:val="0"/>
          <w:color w:val="auto"/>
          <w:sz w:val="28"/>
          <w:szCs w:val="28"/>
          <w:lang w:val="en-US" w:eastAsia="zh-CN"/>
        </w:rPr>
      </w:pPr>
      <w:r>
        <w:rPr>
          <w:rFonts w:hint="eastAsia" w:ascii="仿宋_GB2312" w:hAnsi="Calibri" w:eastAsia="仿宋_GB2312" w:cs="仿宋"/>
          <w:b/>
          <w:bCs w:val="0"/>
          <w:color w:val="auto"/>
          <w:sz w:val="28"/>
          <w:szCs w:val="28"/>
          <w:lang w:val="en-US" w:eastAsia="zh-CN"/>
        </w:rPr>
        <w:t>多囊卵巢综合征</w:t>
      </w:r>
    </w:p>
    <w:p w14:paraId="674F4675">
      <w:pPr>
        <w:pStyle w:val="29"/>
        <w:spacing w:line="520" w:lineRule="exact"/>
        <w:ind w:left="0" w:leftChars="0" w:firstLine="560" w:firstLineChars="200"/>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临床常表现为月经稀发或闭经、不孕、高雄激素血症及卵巢多囊样改变等的育龄期女性常见的一种内分泌疾病。常伴随肥胖、胰岛素抵抗、血脂异常等代谢异常，是2型糖尿病、心脑血管疾病及子宫内膜癌发病的高危因素。</w:t>
      </w:r>
    </w:p>
    <w:p w14:paraId="4A7ED60D">
      <w:pPr>
        <w:pStyle w:val="29"/>
        <w:keepNext w:val="0"/>
        <w:keepLines w:val="0"/>
        <w:pageBreakBefore w:val="0"/>
        <w:widowControl/>
        <w:numPr>
          <w:ilvl w:val="0"/>
          <w:numId w:val="0"/>
        </w:numPr>
        <w:kinsoku/>
        <w:wordWrap/>
        <w:overflowPunct/>
        <w:topLinePunct w:val="0"/>
        <w:autoSpaceDE w:val="0"/>
        <w:autoSpaceDN w:val="0"/>
        <w:bidi w:val="0"/>
        <w:adjustRightInd/>
        <w:snapToGrid/>
        <w:spacing w:line="240" w:lineRule="auto"/>
        <w:jc w:val="center"/>
        <w:textAlignment w:val="auto"/>
        <w:rPr>
          <w:rFonts w:hint="eastAsia" w:ascii="仿宋_GB2312" w:eastAsia="仿宋_GB2312" w:cs="仿宋"/>
          <w:bCs/>
          <w:color w:val="auto"/>
          <w:sz w:val="28"/>
          <w:szCs w:val="28"/>
          <w:lang w:eastAsia="zh-CN"/>
        </w:rPr>
      </w:pPr>
      <w:r>
        <w:rPr>
          <w:rFonts w:hint="eastAsia" w:ascii="仿宋_GB2312" w:eastAsia="仿宋_GB2312" w:cs="仿宋"/>
          <w:bCs/>
          <w:color w:val="auto"/>
          <w:sz w:val="28"/>
          <w:szCs w:val="28"/>
          <w:lang w:eastAsia="zh-CN"/>
        </w:rPr>
        <w:drawing>
          <wp:inline distT="0" distB="0" distL="114300" distR="114300">
            <wp:extent cx="2633980" cy="3107690"/>
            <wp:effectExtent l="0" t="0" r="13970" b="16510"/>
            <wp:docPr id="6" name="图片 6" descr="3910a239f9f142514d92699fcff36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3910a239f9f142514d92699fcff36305"/>
                    <pic:cNvPicPr>
                      <a:picLocks noChangeAspect="1"/>
                    </pic:cNvPicPr>
                  </pic:nvPicPr>
                  <pic:blipFill>
                    <a:blip r:embed="rId6"/>
                    <a:srcRect t="6041" b="6432"/>
                    <a:stretch>
                      <a:fillRect/>
                    </a:stretch>
                  </pic:blipFill>
                  <pic:spPr>
                    <a:xfrm>
                      <a:off x="0" y="0"/>
                      <a:ext cx="2633980" cy="3107690"/>
                    </a:xfrm>
                    <a:prstGeom prst="rect">
                      <a:avLst/>
                    </a:prstGeom>
                  </pic:spPr>
                </pic:pic>
              </a:graphicData>
            </a:graphic>
          </wp:inline>
        </w:drawing>
      </w:r>
    </w:p>
    <w:p w14:paraId="733F7DCF">
      <w:pPr>
        <w:pStyle w:val="29"/>
        <w:keepNext w:val="0"/>
        <w:keepLines w:val="0"/>
        <w:pageBreakBefore w:val="0"/>
        <w:widowControl/>
        <w:numPr>
          <w:ilvl w:val="0"/>
          <w:numId w:val="0"/>
        </w:numPr>
        <w:kinsoku/>
        <w:wordWrap/>
        <w:overflowPunct/>
        <w:topLinePunct w:val="0"/>
        <w:autoSpaceDE w:val="0"/>
        <w:autoSpaceDN w:val="0"/>
        <w:bidi w:val="0"/>
        <w:adjustRightInd/>
        <w:snapToGrid/>
        <w:spacing w:line="240" w:lineRule="auto"/>
        <w:jc w:val="center"/>
        <w:textAlignment w:val="auto"/>
        <w:rPr>
          <w:rFonts w:hint="eastAsia" w:ascii="仿宋_GB2312" w:eastAsia="仿宋_GB2312" w:cs="仿宋"/>
          <w:b/>
          <w:bCs/>
          <w:color w:val="auto"/>
          <w:sz w:val="24"/>
          <w:szCs w:val="24"/>
          <w:lang w:eastAsia="zh-CN"/>
        </w:rPr>
      </w:pPr>
      <w:r>
        <w:rPr>
          <w:rFonts w:hint="eastAsia" w:ascii="仿宋_GB2312" w:eastAsia="仿宋_GB2312"/>
          <w:b/>
          <w:bCs/>
          <w:color w:val="auto"/>
          <w:sz w:val="24"/>
          <w:szCs w:val="24"/>
          <w:lang w:val="en-US" w:eastAsia="zh-CN"/>
        </w:rPr>
        <w:t>图 《多囊卵巢综合征中国诊疗指南》（2018年）</w:t>
      </w:r>
    </w:p>
    <w:p w14:paraId="5F2EFCA6">
      <w:pPr>
        <w:pStyle w:val="29"/>
        <w:keepNext w:val="0"/>
        <w:keepLines w:val="0"/>
        <w:pageBreakBefore w:val="0"/>
        <w:widowControl/>
        <w:numPr>
          <w:ilvl w:val="0"/>
          <w:numId w:val="0"/>
        </w:numPr>
        <w:kinsoku/>
        <w:wordWrap w:val="0"/>
        <w:overflowPunct/>
        <w:topLinePunct w:val="0"/>
        <w:autoSpaceDE w:val="0"/>
        <w:autoSpaceDN w:val="0"/>
        <w:bidi w:val="0"/>
        <w:adjustRightInd/>
        <w:snapToGrid/>
        <w:spacing w:line="240" w:lineRule="auto"/>
        <w:ind w:firstLine="560" w:firstLineChars="200"/>
        <w:jc w:val="left"/>
        <w:textAlignment w:val="auto"/>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多囊卵巢综合征诊断标准参照：</w:t>
      </w:r>
      <w:r>
        <w:rPr>
          <w:rFonts w:hint="eastAsia" w:ascii="仿宋_GB2312" w:eastAsia="仿宋_GB2312" w:cs="仿宋"/>
          <w:bCs/>
          <w:color w:val="auto"/>
          <w:sz w:val="28"/>
          <w:szCs w:val="28"/>
          <w:lang w:eastAsia="zh-CN"/>
        </w:rPr>
        <w:t>中华医学会妇产科学分会内分泌学组及指南专家组</w:t>
      </w:r>
      <w:r>
        <w:rPr>
          <w:rFonts w:hint="eastAsia" w:ascii="仿宋_GB2312" w:eastAsia="仿宋_GB2312" w:cs="仿宋"/>
          <w:bCs/>
          <w:color w:val="auto"/>
          <w:sz w:val="28"/>
          <w:szCs w:val="28"/>
          <w:lang w:val="en-US" w:eastAsia="zh-CN"/>
        </w:rPr>
        <w:t>.</w:t>
      </w:r>
      <w:r>
        <w:rPr>
          <w:rFonts w:hint="eastAsia" w:ascii="仿宋_GB2312" w:eastAsia="仿宋_GB2312" w:cs="仿宋"/>
          <w:bCs/>
          <w:color w:val="auto"/>
          <w:sz w:val="28"/>
          <w:szCs w:val="28"/>
          <w:lang w:eastAsia="zh-CN"/>
        </w:rPr>
        <w:t>多囊卵巢综合征中国诊疗指南[J].中华妇产科杂志,2018,53(1):2-6</w:t>
      </w:r>
      <w:r>
        <w:rPr>
          <w:rFonts w:hint="eastAsia" w:ascii="仿宋_GB2312" w:eastAsia="仿宋_GB2312"/>
          <w:color w:val="auto"/>
          <w:sz w:val="28"/>
          <w:szCs w:val="28"/>
          <w:lang w:val="en-US" w:eastAsia="zh-CN"/>
        </w:rPr>
        <w:t>中诊断标准，月经稀发或闭经或不规则子宫出血是诊断的必需条件。另外再符合下列2项中的1项：①高雄激素临床表现或高雄激素血症;②超声下表现为卵巢多囊形态(PCOM):一侧或双侧卵巢内直径2-9mm 的卵泡数&gt;12个/卵巢，和(或)卵巢体积≥10mL.还必须逐一排除其他相关疾病:①可能引起高雄激素的疾病:如非经典型先天性肾上腺皮质增生、卵巢或肾上腺分泌雄激素的肿瘤、库欣综合征、药物性高雄激素血症等;②其他引起排卵障碍的疾病:如功能性下丘脑性闭经、甲状腺疾病、高泌乳素血症、早发性卵巢功能不全等。</w:t>
      </w:r>
    </w:p>
    <w:p w14:paraId="0DFD8598">
      <w:pPr>
        <w:pStyle w:val="29"/>
        <w:spacing w:line="520" w:lineRule="exact"/>
        <w:ind w:left="0" w:leftChars="0" w:firstLine="0" w:firstLineChars="0"/>
        <w:rPr>
          <w:rFonts w:hint="default" w:ascii="仿宋_GB2312" w:hAnsi="Calibri" w:eastAsia="仿宋_GB2312" w:cs="Calibri"/>
          <w:b/>
          <w:bCs w:val="0"/>
          <w:color w:val="auto"/>
          <w:sz w:val="28"/>
          <w:szCs w:val="28"/>
          <w:lang w:val="en-US" w:eastAsia="zh-CN"/>
        </w:rPr>
      </w:pPr>
      <w:r>
        <w:rPr>
          <w:rFonts w:hint="eastAsia" w:ascii="仿宋_GB2312" w:hAnsi="Calibri" w:eastAsia="仿宋_GB2312" w:cs="仿宋"/>
          <w:b/>
          <w:bCs w:val="0"/>
          <w:color w:val="auto"/>
          <w:sz w:val="28"/>
          <w:szCs w:val="28"/>
          <w:lang w:val="en-US" w:eastAsia="zh-CN"/>
        </w:rPr>
        <w:t>（二）</w:t>
      </w:r>
      <w:r>
        <w:rPr>
          <w:rFonts w:hint="eastAsia" w:ascii="仿宋_GB2312" w:eastAsia="仿宋_GB2312" w:cs="仿宋"/>
          <w:b/>
          <w:bCs w:val="0"/>
          <w:color w:val="auto"/>
          <w:sz w:val="28"/>
          <w:szCs w:val="28"/>
          <w:lang w:val="en-US" w:eastAsia="zh-CN"/>
        </w:rPr>
        <w:t>基本要求</w:t>
      </w:r>
    </w:p>
    <w:p w14:paraId="74E0C16D">
      <w:pPr>
        <w:pStyle w:val="29"/>
        <w:spacing w:line="520" w:lineRule="exact"/>
        <w:ind w:left="0" w:leftChars="0" w:firstLine="560" w:firstLineChars="200"/>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人员：应为注册护士或注册医生，经过相关中医知识、穴位埋线及雷火灸技术的基本原理和操作技能培训，根据《中华人民共和国中医药法》第15条规定，经多年实践或师承的中医人员，通过省级中医药主管部门组织的实践技能和效果考核，即可取得中医医师资格。</w:t>
      </w:r>
    </w:p>
    <w:p w14:paraId="040B6BA3">
      <w:pPr>
        <w:pStyle w:val="29"/>
        <w:spacing w:line="520" w:lineRule="exact"/>
        <w:ind w:left="0" w:leftChars="0" w:firstLine="560" w:firstLineChars="200"/>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环境：独立治疗室，通风良好，配备消防设施，符合院感消毒标准，医务人员手卫生应符合WS/T 313的规定，医疗机构消毒技术应符合WS/T 367的规定，医院消毒卫生符合GB 15982的规定，医疗机构消防安全管理应符合WS 308的规定。</w:t>
      </w:r>
    </w:p>
    <w:p w14:paraId="327D0165">
      <w:pPr>
        <w:pStyle w:val="29"/>
        <w:spacing w:line="520" w:lineRule="exact"/>
        <w:ind w:left="0" w:leftChars="0" w:firstLine="560" w:firstLineChars="200"/>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耗材与药品：主要根据使用到的耗材与药品而确定，核心在于同时确保操作安全（防烫伤、防感染）与治疗有效性（药力渗透、持续刺激）：雷火灸选用复合中药配方灸条以实现强力温通效应，并配备灭火、急救用品以防控高温的操作风险；穴位埋线采用可吸收羊肠线维持长效刺激，而全程无菌用品则防止感染。</w:t>
      </w:r>
    </w:p>
    <w:p w14:paraId="64A13D81">
      <w:pPr>
        <w:pStyle w:val="29"/>
        <w:spacing w:line="520" w:lineRule="exact"/>
        <w:ind w:left="0" w:leftChars="0" w:firstLine="0" w:firstLineChars="0"/>
        <w:rPr>
          <w:rFonts w:hint="default" w:ascii="仿宋_GB2312" w:hAnsi="Calibri" w:eastAsia="仿宋_GB2312" w:cs="Calibri"/>
          <w:b/>
          <w:bCs w:val="0"/>
          <w:color w:val="auto"/>
          <w:sz w:val="28"/>
          <w:szCs w:val="28"/>
          <w:lang w:val="en-US" w:eastAsia="zh-CN"/>
        </w:rPr>
      </w:pPr>
      <w:r>
        <w:rPr>
          <w:rFonts w:hint="eastAsia" w:ascii="仿宋_GB2312" w:hAnsi="Calibri" w:eastAsia="仿宋_GB2312" w:cs="仿宋"/>
          <w:b/>
          <w:bCs w:val="0"/>
          <w:color w:val="auto"/>
          <w:sz w:val="28"/>
          <w:szCs w:val="28"/>
          <w:lang w:val="en-US" w:eastAsia="zh-CN"/>
        </w:rPr>
        <w:t>（二）</w:t>
      </w:r>
      <w:bookmarkStart w:id="7" w:name="_Toc129855215"/>
      <w:bookmarkStart w:id="8" w:name="_Toc130001562"/>
      <w:bookmarkStart w:id="9" w:name="_Toc130001592"/>
      <w:bookmarkStart w:id="10" w:name="_Toc130001751"/>
      <w:bookmarkStart w:id="11" w:name="_Toc129855049"/>
      <w:r>
        <w:rPr>
          <w:rFonts w:hint="eastAsia" w:ascii="仿宋_GB2312" w:hAnsi="Calibri" w:eastAsia="仿宋_GB2312" w:cs="仿宋"/>
          <w:b/>
          <w:bCs w:val="0"/>
          <w:color w:val="auto"/>
          <w:sz w:val="28"/>
          <w:szCs w:val="28"/>
          <w:lang w:val="en-US" w:eastAsia="zh-CN"/>
        </w:rPr>
        <w:t>中医辨证分型</w:t>
      </w:r>
    </w:p>
    <w:bookmarkEnd w:id="7"/>
    <w:bookmarkEnd w:id="8"/>
    <w:bookmarkEnd w:id="9"/>
    <w:bookmarkEnd w:id="10"/>
    <w:bookmarkEnd w:id="11"/>
    <w:p w14:paraId="3B20594A">
      <w:pPr>
        <w:pStyle w:val="33"/>
        <w:numPr>
          <w:ilvl w:val="0"/>
          <w:numId w:val="0"/>
        </w:numPr>
        <w:spacing w:before="0" w:after="0" w:line="520" w:lineRule="exact"/>
        <w:ind w:left="0" w:leftChars="0" w:firstLine="560" w:firstLineChars="200"/>
        <w:rPr>
          <w:rFonts w:hint="eastAsia" w:ascii="仿宋_GB2312" w:eastAsia="仿宋_GB2312" w:cs="仿宋"/>
          <w:bCs/>
          <w:color w:val="auto"/>
          <w:sz w:val="28"/>
          <w:szCs w:val="28"/>
          <w:lang w:val="en-US" w:eastAsia="zh-CN"/>
        </w:rPr>
      </w:pPr>
      <w:r>
        <w:rPr>
          <w:rFonts w:hint="eastAsia" w:ascii="仿宋_GB2312" w:eastAsia="仿宋_GB2312" w:cs="仿宋"/>
          <w:b w:val="0"/>
          <w:bCs/>
          <w:color w:val="auto"/>
          <w:sz w:val="28"/>
          <w:szCs w:val="28"/>
          <w:lang w:val="en-US" w:eastAsia="zh-CN"/>
        </w:rPr>
        <w:t>辩证分型主要依据参照 2016 年中国中医药出版社发布的全国中医药行业高等教育“十三五”规划教材《中医妇科学》（谈勇主编）、《中药新药临床研究指导原则》（2002 版）、《中医证候规范》（邓铁涛主编），</w:t>
      </w:r>
      <w:r>
        <w:rPr>
          <w:rFonts w:hint="eastAsia" w:ascii="仿宋_GB2312" w:eastAsia="仿宋_GB2312" w:cs="仿宋"/>
          <w:bCs/>
          <w:color w:val="auto"/>
          <w:sz w:val="28"/>
          <w:szCs w:val="28"/>
          <w:lang w:val="en-US" w:eastAsia="zh-CN"/>
        </w:rPr>
        <w:t>同时结合</w:t>
      </w:r>
      <w:r>
        <w:rPr>
          <w:rFonts w:hint="eastAsia" w:ascii="仿宋_GB2312" w:eastAsia="仿宋_GB2312"/>
          <w:color w:val="auto"/>
          <w:sz w:val="28"/>
          <w:szCs w:val="28"/>
        </w:rPr>
        <w:t>南宁市第二人民医院多囊卵巢综合征导致不孕症</w:t>
      </w:r>
      <w:r>
        <w:rPr>
          <w:rFonts w:hint="eastAsia" w:ascii="仿宋_GB2312" w:eastAsia="仿宋_GB2312"/>
          <w:color w:val="auto"/>
          <w:sz w:val="28"/>
          <w:szCs w:val="28"/>
          <w:lang w:eastAsia="zh-CN"/>
        </w:rPr>
        <w:t>治</w:t>
      </w:r>
      <w:r>
        <w:rPr>
          <w:rFonts w:hint="eastAsia" w:ascii="仿宋_GB2312" w:eastAsia="仿宋_GB2312" w:cs="仿宋"/>
          <w:bCs/>
          <w:color w:val="auto"/>
          <w:sz w:val="28"/>
          <w:szCs w:val="28"/>
          <w:lang w:val="en-US" w:eastAsia="zh-CN"/>
        </w:rPr>
        <w:t>疗经验确定了“肾阳虚证、肾阴虚证、痰湿证、血瘀证、肝郁证”5个证候。</w:t>
      </w:r>
    </w:p>
    <w:p w14:paraId="386F9B18">
      <w:pPr>
        <w:pStyle w:val="29"/>
        <w:jc w:val="center"/>
        <w:rPr>
          <w:rFonts w:hint="eastAsia" w:ascii="黑体" w:hAnsi="黑体" w:eastAsia="黑体" w:cs="黑体"/>
          <w:bCs/>
          <w:color w:val="auto"/>
          <w:sz w:val="21"/>
          <w:szCs w:val="21"/>
          <w:lang w:val="en-US" w:eastAsia="zh-CN"/>
        </w:rPr>
      </w:pPr>
    </w:p>
    <w:p w14:paraId="7A68E60F">
      <w:pPr>
        <w:pStyle w:val="29"/>
        <w:numPr>
          <w:ilvl w:val="0"/>
          <w:numId w:val="7"/>
        </w:numPr>
        <w:spacing w:line="520" w:lineRule="exact"/>
        <w:ind w:left="0" w:leftChars="0" w:firstLine="0" w:firstLineChars="0"/>
        <w:rPr>
          <w:rFonts w:hint="eastAsia" w:ascii="仿宋_GB2312" w:eastAsia="仿宋_GB2312" w:cs="仿宋"/>
          <w:b/>
          <w:bCs w:val="0"/>
          <w:color w:val="auto"/>
          <w:sz w:val="28"/>
          <w:szCs w:val="28"/>
          <w:lang w:val="en-US" w:eastAsia="zh-CN"/>
        </w:rPr>
      </w:pPr>
      <w:bookmarkStart w:id="12" w:name="_Toc200095087"/>
      <w:bookmarkStart w:id="13" w:name="_Toc199439485"/>
      <w:bookmarkStart w:id="14" w:name="_Toc200560131"/>
      <w:r>
        <w:rPr>
          <w:rFonts w:hint="eastAsia" w:ascii="仿宋_GB2312" w:eastAsia="仿宋_GB2312" w:cs="仿宋"/>
          <w:b/>
          <w:bCs w:val="0"/>
          <w:color w:val="auto"/>
          <w:sz w:val="28"/>
          <w:szCs w:val="28"/>
          <w:lang w:val="en-US" w:eastAsia="zh-CN"/>
        </w:rPr>
        <w:t>施术前准备</w:t>
      </w:r>
      <w:bookmarkEnd w:id="12"/>
      <w:bookmarkEnd w:id="13"/>
      <w:bookmarkEnd w:id="14"/>
    </w:p>
    <w:p w14:paraId="03036D9C">
      <w:pPr>
        <w:pStyle w:val="29"/>
        <w:numPr>
          <w:ilvl w:val="0"/>
          <w:numId w:val="0"/>
        </w:numPr>
        <w:spacing w:line="520" w:lineRule="exact"/>
        <w:rPr>
          <w:rFonts w:hint="eastAsia" w:ascii="仿宋_GB2312" w:eastAsia="仿宋_GB2312" w:cs="仿宋"/>
          <w:b w:val="0"/>
          <w:bCs/>
          <w:color w:val="auto"/>
          <w:sz w:val="28"/>
          <w:szCs w:val="28"/>
          <w:lang w:val="en-US" w:eastAsia="zh-CN"/>
        </w:rPr>
      </w:pPr>
      <w:r>
        <w:rPr>
          <w:rFonts w:hint="eastAsia" w:ascii="仿宋_GB2312" w:hAnsi="Calibri" w:eastAsia="仿宋_GB2312" w:cs="仿宋"/>
          <w:b w:val="0"/>
          <w:bCs/>
          <w:color w:val="auto"/>
          <w:sz w:val="28"/>
          <w:szCs w:val="28"/>
          <w:lang w:val="en-US" w:eastAsia="zh-CN" w:bidi="ar-SA"/>
        </w:rPr>
        <w:t>1、</w:t>
      </w:r>
      <w:r>
        <w:rPr>
          <w:rFonts w:hint="eastAsia" w:ascii="仿宋_GB2312" w:eastAsia="仿宋_GB2312" w:cs="仿宋"/>
          <w:b/>
          <w:bCs w:val="0"/>
          <w:color w:val="auto"/>
          <w:sz w:val="28"/>
          <w:szCs w:val="28"/>
          <w:lang w:val="en-US" w:eastAsia="zh-CN"/>
        </w:rPr>
        <w:t>评估：</w:t>
      </w:r>
      <w:r>
        <w:rPr>
          <w:rFonts w:hint="eastAsia" w:ascii="仿宋_GB2312" w:eastAsia="仿宋_GB2312" w:cs="仿宋"/>
          <w:b w:val="0"/>
          <w:bCs/>
          <w:color w:val="auto"/>
          <w:sz w:val="28"/>
          <w:szCs w:val="28"/>
          <w:lang w:val="en-US" w:eastAsia="zh-CN"/>
        </w:rPr>
        <w:t>施术前，确诊多囊卵巢综合征导致的不孕症女性：诊断标准见《多囊卵巢综合征中国诊疗指南》的诊断标准，同时满足规律性生活未避孕未孕1年及1年以上的女性（主要参考2019《不孕症诊断指南》）。</w:t>
      </w:r>
    </w:p>
    <w:p w14:paraId="46B6E489">
      <w:pPr>
        <w:pStyle w:val="29"/>
        <w:numPr>
          <w:ilvl w:val="0"/>
          <w:numId w:val="0"/>
        </w:numPr>
        <w:spacing w:line="520" w:lineRule="exact"/>
        <w:rPr>
          <w:rFonts w:hint="eastAsia" w:ascii="仿宋_GB2312" w:eastAsia="仿宋_GB2312" w:cs="仿宋"/>
          <w:b w:val="0"/>
          <w:bCs/>
          <w:color w:val="auto"/>
          <w:sz w:val="28"/>
          <w:szCs w:val="28"/>
          <w:lang w:val="en-US" w:eastAsia="zh-CN"/>
        </w:rPr>
      </w:pPr>
      <w:r>
        <w:rPr>
          <w:rFonts w:hint="eastAsia" w:ascii="仿宋_GB2312" w:eastAsia="仿宋_GB2312" w:cs="仿宋"/>
          <w:b w:val="0"/>
          <w:bCs/>
          <w:color w:val="auto"/>
          <w:sz w:val="28"/>
          <w:szCs w:val="28"/>
          <w:lang w:val="en-US" w:eastAsia="zh-CN"/>
        </w:rPr>
        <w:t>2、评估是否有禁忌症：（1）极度虚弱、产褥期妇女、经期女性、妊娠期女性；（2）对羊肠线和雷火灸过敏者</w:t>
      </w:r>
      <w:r>
        <w:rPr>
          <w:rFonts w:hint="eastAsia" w:ascii="仿宋_GB2312" w:eastAsia="仿宋_GB2312" w:cs="仿宋"/>
          <w:b/>
          <w:bCs w:val="0"/>
          <w:color w:val="auto"/>
          <w:sz w:val="28"/>
          <w:szCs w:val="28"/>
          <w:lang w:val="en-US" w:eastAsia="zh-CN"/>
        </w:rPr>
        <w:t>；（3）</w:t>
      </w:r>
      <w:r>
        <w:rPr>
          <w:rFonts w:hint="eastAsia" w:ascii="仿宋_GB2312" w:eastAsia="仿宋_GB2312" w:cs="仿宋"/>
          <w:b w:val="0"/>
          <w:bCs/>
          <w:color w:val="auto"/>
          <w:sz w:val="28"/>
          <w:szCs w:val="28"/>
          <w:lang w:val="en-US" w:eastAsia="zh-CN"/>
        </w:rPr>
        <w:t>施术部位皮肤破损、感染、溃疡；（4）严重凝血功能障碍（如血小板＜50×109/L）；盆腔急性炎症或恶性肿瘤；</w:t>
      </w:r>
      <w:r>
        <w:rPr>
          <w:rFonts w:hint="eastAsia" w:ascii="仿宋_GB2312" w:eastAsia="仿宋_GB2312" w:cs="仿宋"/>
          <w:b/>
          <w:bCs w:val="0"/>
          <w:color w:val="auto"/>
          <w:sz w:val="28"/>
          <w:szCs w:val="28"/>
          <w:lang w:val="en-US" w:eastAsia="zh-CN"/>
        </w:rPr>
        <w:t>（5）</w:t>
      </w:r>
      <w:r>
        <w:rPr>
          <w:rFonts w:hint="eastAsia" w:ascii="仿宋_GB2312" w:eastAsia="仿宋_GB2312" w:cs="仿宋"/>
          <w:b w:val="0"/>
          <w:bCs/>
          <w:color w:val="auto"/>
          <w:sz w:val="28"/>
          <w:szCs w:val="28"/>
          <w:lang w:val="en-US" w:eastAsia="zh-CN"/>
        </w:rPr>
        <w:t>由糖尿病及其他各种疾病导致皮肤和皮下组织吸收和修复功能障碍者；（6）过度疲劳、饥饿或精神高度紧张；（7）对艾烟过敏或哮喘急性发作期；（8）疤痕体质者；（9）高热、昏迷、实热证者。</w:t>
      </w:r>
    </w:p>
    <w:p w14:paraId="43A12368">
      <w:pPr>
        <w:pStyle w:val="29"/>
        <w:numPr>
          <w:ilvl w:val="0"/>
          <w:numId w:val="0"/>
        </w:numPr>
        <w:spacing w:line="520" w:lineRule="exact"/>
        <w:ind w:firstLine="560" w:firstLineChars="200"/>
        <w:rPr>
          <w:rFonts w:hint="default"/>
          <w:lang w:val="en-US" w:eastAsia="zh-CN"/>
        </w:rPr>
      </w:pPr>
      <w:r>
        <w:rPr>
          <w:rFonts w:hint="eastAsia" w:ascii="仿宋_GB2312" w:eastAsia="仿宋_GB2312" w:cs="仿宋"/>
          <w:b w:val="0"/>
          <w:bCs/>
          <w:color w:val="auto"/>
          <w:sz w:val="28"/>
          <w:szCs w:val="28"/>
          <w:lang w:val="en-US" w:eastAsia="zh-CN"/>
        </w:rPr>
        <w:t>其中（3）（5）为参考《GB/T 21709.10  针灸技术操作规范  第10部分：穴位埋线》的禁忌症；其中（1）考虑穴位埋线属于针灸以线代针的长效效应，持续刺激穴位，身体极度虚弱时（如大出血后、严重营养不良、晚期癌症等），正气不足，埋线的刺激可能进一步耗伤气血，导致病情加重。）产褥期阶段气血亏虚，身体处于恢复阶段，埋线的刺激可能干扰子宫收缩或影响泌乳。同时可能引发产后出血、感染或延缓身体恢复。月经期间气血趋于体表以排出经血，埋线可能扰乱气血运行，导致经量异常（过多或过少）、痛经加重。此次运用腹部穴位具有活血作用，可能刺激子宫收缩，诱发流产或早产 。 其中（2）点本次操作选用羊肠线及雷火灸，故对两者过敏者可能引起过敏反应，严重过敏者可能造成生命危险，故为禁忌症。其中（4）穴位埋线本身为有创性操作，虽伤口较小，但对于严重凝血障碍患者可能出现埋线处持续性渗血，在吸收过程中加重出血风险加重感染风险。（6）参考针灸相对禁忌症。（7）参考雷火灸禁忌，雷火灸燃烧时产生大量艾烟，其中含艾叶挥发油，艾烟过敏体质者会出现过敏风险，同时浓烟及强烈气味会直接刺激呼吸道，诱发或加剧哮喘发作。（8）穴位埋线为有创操作，埋入羊肠线在逐步分解吸收过程中可能引发局部炎症，疤痕体质者更明显可能会延长愈合时间刺激胶原过度增生。（9）穴位埋线和雷火灸具有温通、刺激性强的特点。埋线的创伤性刺激可能加重炎症反应，使体温进一步升高，昏迷患者无法表达疼痛或不适，若埋线后出现异常反应（如感染、血肿），难以及时发现和处理。昏迷患者皮肤感觉迟钝，灸雷火灸治疗时易烫伤而不自知，且灸烟可能刺激呼吸道，加重脑缺氧，尤其脑血管意外对于高热、昏迷、实热证等热象明显的患者，这些疗法可能加重病情，甚至引发危险。</w:t>
      </w:r>
    </w:p>
    <w:p w14:paraId="7C8AB192">
      <w:pPr>
        <w:pStyle w:val="29"/>
        <w:keepNext w:val="0"/>
        <w:keepLines w:val="0"/>
        <w:pageBreakBefore w:val="0"/>
        <w:widowControl/>
        <w:numPr>
          <w:ilvl w:val="0"/>
          <w:numId w:val="0"/>
        </w:numPr>
        <w:kinsoku/>
        <w:wordWrap/>
        <w:overflowPunct/>
        <w:topLinePunct w:val="0"/>
        <w:autoSpaceDE w:val="0"/>
        <w:autoSpaceDN w:val="0"/>
        <w:bidi w:val="0"/>
        <w:adjustRightInd/>
        <w:snapToGrid/>
        <w:spacing w:line="240" w:lineRule="auto"/>
        <w:jc w:val="center"/>
        <w:textAlignment w:val="auto"/>
      </w:pPr>
      <w:r>
        <w:drawing>
          <wp:inline distT="0" distB="0" distL="114300" distR="114300">
            <wp:extent cx="5685155" cy="1170940"/>
            <wp:effectExtent l="0" t="0" r="10795" b="10160"/>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7"/>
                    <a:stretch>
                      <a:fillRect/>
                    </a:stretch>
                  </pic:blipFill>
                  <pic:spPr>
                    <a:xfrm>
                      <a:off x="0" y="0"/>
                      <a:ext cx="5685155" cy="1170940"/>
                    </a:xfrm>
                    <a:prstGeom prst="rect">
                      <a:avLst/>
                    </a:prstGeom>
                    <a:noFill/>
                    <a:ln>
                      <a:noFill/>
                    </a:ln>
                  </pic:spPr>
                </pic:pic>
              </a:graphicData>
            </a:graphic>
          </wp:inline>
        </w:drawing>
      </w:r>
    </w:p>
    <w:p w14:paraId="45F0ED54">
      <w:pPr>
        <w:pStyle w:val="29"/>
        <w:keepNext w:val="0"/>
        <w:keepLines w:val="0"/>
        <w:pageBreakBefore w:val="0"/>
        <w:widowControl/>
        <w:numPr>
          <w:ilvl w:val="0"/>
          <w:numId w:val="0"/>
        </w:numPr>
        <w:kinsoku/>
        <w:wordWrap/>
        <w:overflowPunct/>
        <w:topLinePunct w:val="0"/>
        <w:autoSpaceDE w:val="0"/>
        <w:autoSpaceDN w:val="0"/>
        <w:bidi w:val="0"/>
        <w:adjustRightInd/>
        <w:snapToGrid/>
        <w:spacing w:line="240" w:lineRule="auto"/>
        <w:ind w:leftChars="200"/>
        <w:jc w:val="center"/>
        <w:textAlignment w:val="auto"/>
        <w:rPr>
          <w:rFonts w:hint="eastAsia"/>
          <w:b/>
          <w:bCs/>
          <w:lang w:eastAsia="zh-CN"/>
        </w:rPr>
      </w:pPr>
      <w:r>
        <w:rPr>
          <w:rFonts w:hint="eastAsia"/>
          <w:b/>
          <w:bCs/>
          <w:lang w:eastAsia="zh-CN"/>
        </w:rPr>
        <w:t>图</w:t>
      </w:r>
      <w:r>
        <w:rPr>
          <w:rFonts w:hint="eastAsia"/>
          <w:b/>
          <w:bCs/>
          <w:lang w:val="en-US" w:eastAsia="zh-CN"/>
        </w:rPr>
        <w:t xml:space="preserve"> </w:t>
      </w:r>
      <w:r>
        <w:rPr>
          <w:rFonts w:hint="eastAsia"/>
          <w:b/>
          <w:bCs/>
          <w:lang w:eastAsia="zh-CN"/>
        </w:rPr>
        <w:t>《</w:t>
      </w:r>
      <w:r>
        <w:rPr>
          <w:b/>
          <w:bCs/>
        </w:rPr>
        <w:t xml:space="preserve">GB/T 21709.10  </w:t>
      </w:r>
      <w:r>
        <w:rPr>
          <w:rFonts w:hint="eastAsia"/>
          <w:b/>
          <w:bCs/>
        </w:rPr>
        <w:t>针灸技术操作规范  第1</w:t>
      </w:r>
      <w:r>
        <w:rPr>
          <w:b/>
          <w:bCs/>
        </w:rPr>
        <w:t>0</w:t>
      </w:r>
      <w:r>
        <w:rPr>
          <w:rFonts w:hint="eastAsia"/>
          <w:b/>
          <w:bCs/>
        </w:rPr>
        <w:t>部分：穴位埋线</w:t>
      </w:r>
      <w:r>
        <w:rPr>
          <w:rFonts w:hint="eastAsia"/>
          <w:b/>
          <w:bCs/>
          <w:lang w:eastAsia="zh-CN"/>
        </w:rPr>
        <w:t>》</w:t>
      </w:r>
    </w:p>
    <w:p w14:paraId="56E4AE04">
      <w:pPr>
        <w:pStyle w:val="29"/>
        <w:keepNext w:val="0"/>
        <w:keepLines w:val="0"/>
        <w:pageBreakBefore w:val="0"/>
        <w:widowControl/>
        <w:numPr>
          <w:ilvl w:val="0"/>
          <w:numId w:val="0"/>
        </w:numPr>
        <w:kinsoku/>
        <w:wordWrap/>
        <w:overflowPunct/>
        <w:topLinePunct w:val="0"/>
        <w:autoSpaceDE w:val="0"/>
        <w:autoSpaceDN w:val="0"/>
        <w:bidi w:val="0"/>
        <w:adjustRightInd/>
        <w:snapToGrid/>
        <w:spacing w:line="240" w:lineRule="auto"/>
        <w:ind w:leftChars="200"/>
        <w:jc w:val="center"/>
        <w:textAlignment w:val="auto"/>
        <w:rPr>
          <w:rFonts w:hint="default"/>
          <w:lang w:val="en-US" w:eastAsia="zh-CN"/>
        </w:rPr>
      </w:pPr>
    </w:p>
    <w:p w14:paraId="5035248A">
      <w:pPr>
        <w:pStyle w:val="29"/>
        <w:spacing w:line="520" w:lineRule="exact"/>
        <w:ind w:left="0" w:leftChars="0" w:firstLine="0" w:firstLineChars="0"/>
        <w:rPr>
          <w:rFonts w:hint="eastAsia" w:ascii="仿宋_GB2312" w:eastAsia="仿宋_GB2312" w:cs="仿宋"/>
          <w:b w:val="0"/>
          <w:bCs/>
          <w:color w:val="auto"/>
          <w:sz w:val="28"/>
          <w:szCs w:val="28"/>
          <w:highlight w:val="none"/>
          <w:lang w:val="en-US" w:eastAsia="zh-CN"/>
        </w:rPr>
      </w:pPr>
      <w:bookmarkStart w:id="15" w:name="_Toc200560133"/>
      <w:bookmarkStart w:id="16" w:name="_Toc199439487"/>
      <w:bookmarkStart w:id="17" w:name="_Toc200095089"/>
      <w:r>
        <w:rPr>
          <w:rFonts w:hint="eastAsia" w:ascii="仿宋_GB2312" w:eastAsia="仿宋_GB2312" w:cs="仿宋"/>
          <w:b/>
          <w:bCs w:val="0"/>
          <w:color w:val="auto"/>
          <w:sz w:val="28"/>
          <w:szCs w:val="28"/>
          <w:highlight w:val="none"/>
          <w:lang w:val="en-US" w:eastAsia="zh-CN"/>
        </w:rPr>
        <w:t>2、术者准备</w:t>
      </w:r>
      <w:bookmarkEnd w:id="15"/>
      <w:bookmarkEnd w:id="16"/>
      <w:bookmarkEnd w:id="17"/>
      <w:r>
        <w:rPr>
          <w:rFonts w:hint="eastAsia" w:ascii="仿宋_GB2312" w:eastAsia="仿宋_GB2312" w:cs="仿宋"/>
          <w:b/>
          <w:bCs w:val="0"/>
          <w:color w:val="auto"/>
          <w:sz w:val="28"/>
          <w:szCs w:val="28"/>
          <w:highlight w:val="none"/>
          <w:lang w:val="en-US" w:eastAsia="zh-CN"/>
        </w:rPr>
        <w:t>：</w:t>
      </w:r>
      <w:r>
        <w:rPr>
          <w:rFonts w:hint="eastAsia" w:ascii="仿宋_GB2312" w:eastAsia="仿宋_GB2312" w:cs="仿宋"/>
          <w:b w:val="0"/>
          <w:bCs/>
          <w:color w:val="auto"/>
          <w:sz w:val="28"/>
          <w:szCs w:val="28"/>
          <w:highlight w:val="none"/>
          <w:lang w:val="en-US" w:eastAsia="zh-CN"/>
        </w:rPr>
        <w:t>记录月经周期、性激素六项、盆腔超声、卵泡监测确定周期及中医辩证分型。主要考虑到需确保治疗精准性（基于月经周期及辨证分型制定个体化治疗方案）；治疗前与患者说明操作目的、作用、流程以防范操作风险，消除患者紧张心理。说明潜在风险（局部瘀血、烫伤、发痒、低热等），并签署知情同意书。术者双手应注意修剪指甲，并用洗手液清洗、消毒；术者双手温暖，精神专注，态度和蔼。</w:t>
      </w:r>
    </w:p>
    <w:p w14:paraId="4156BAEE">
      <w:pPr>
        <w:pStyle w:val="29"/>
        <w:spacing w:line="520" w:lineRule="exact"/>
        <w:ind w:left="0" w:leftChars="0" w:firstLine="0" w:firstLineChars="0"/>
        <w:rPr>
          <w:rFonts w:hint="eastAsia" w:ascii="仿宋_GB2312" w:eastAsia="仿宋_GB2312" w:cs="仿宋"/>
          <w:b w:val="0"/>
          <w:bCs/>
          <w:color w:val="auto"/>
          <w:sz w:val="28"/>
          <w:szCs w:val="28"/>
          <w:highlight w:val="none"/>
          <w:lang w:val="en-US" w:eastAsia="zh-CN"/>
        </w:rPr>
      </w:pPr>
      <w:bookmarkStart w:id="18" w:name="_Toc200095090"/>
      <w:bookmarkStart w:id="19" w:name="_Toc200560134"/>
      <w:bookmarkStart w:id="20" w:name="_Toc199439488"/>
      <w:r>
        <w:rPr>
          <w:rFonts w:hint="eastAsia" w:ascii="仿宋_GB2312" w:eastAsia="仿宋_GB2312" w:cs="仿宋"/>
          <w:b/>
          <w:bCs w:val="0"/>
          <w:color w:val="auto"/>
          <w:sz w:val="28"/>
          <w:szCs w:val="28"/>
          <w:highlight w:val="none"/>
          <w:lang w:val="en-US" w:eastAsia="zh-CN"/>
        </w:rPr>
        <w:t>3、患者准备</w:t>
      </w:r>
      <w:bookmarkEnd w:id="18"/>
      <w:bookmarkEnd w:id="19"/>
      <w:bookmarkEnd w:id="20"/>
      <w:r>
        <w:rPr>
          <w:rFonts w:hint="eastAsia" w:ascii="仿宋_GB2312" w:eastAsia="仿宋_GB2312" w:cs="仿宋"/>
          <w:b/>
          <w:bCs w:val="0"/>
          <w:color w:val="auto"/>
          <w:sz w:val="28"/>
          <w:szCs w:val="28"/>
          <w:highlight w:val="none"/>
          <w:lang w:val="en-US" w:eastAsia="zh-CN"/>
        </w:rPr>
        <w:t>：</w:t>
      </w:r>
      <w:r>
        <w:rPr>
          <w:rFonts w:hint="eastAsia" w:ascii="仿宋_GB2312" w:eastAsia="仿宋_GB2312" w:cs="仿宋"/>
          <w:b w:val="0"/>
          <w:bCs/>
          <w:color w:val="auto"/>
          <w:sz w:val="28"/>
          <w:szCs w:val="28"/>
          <w:highlight w:val="none"/>
          <w:lang w:val="en-US" w:eastAsia="zh-CN"/>
        </w:rPr>
        <w:t>排空二便，主要考虑到腹部操作需排空膀胱；采取俯卧位（背部穴位）或仰卧位（腹部穴位）。主要考虑到GB/T 21709.1《针灸技术操作规范 第1部分：艾灸》要求体位稳定、暴露充分。</w:t>
      </w:r>
    </w:p>
    <w:p w14:paraId="6402E9E5">
      <w:pPr>
        <w:pStyle w:val="29"/>
        <w:numPr>
          <w:ilvl w:val="0"/>
          <w:numId w:val="7"/>
        </w:numPr>
        <w:spacing w:line="520" w:lineRule="exact"/>
        <w:ind w:left="0" w:leftChars="0" w:firstLine="0" w:firstLineChars="0"/>
        <w:rPr>
          <w:rFonts w:hint="eastAsia" w:ascii="仿宋_GB2312" w:eastAsia="仿宋_GB2312" w:cs="仿宋"/>
          <w:b/>
          <w:bCs w:val="0"/>
          <w:color w:val="auto"/>
          <w:sz w:val="28"/>
          <w:szCs w:val="28"/>
          <w:lang w:val="en-US" w:eastAsia="zh-CN"/>
        </w:rPr>
      </w:pPr>
      <w:r>
        <w:rPr>
          <w:rFonts w:hint="eastAsia" w:ascii="仿宋_GB2312" w:eastAsia="仿宋_GB2312" w:cs="仿宋"/>
          <w:b/>
          <w:bCs w:val="0"/>
          <w:color w:val="auto"/>
          <w:sz w:val="28"/>
          <w:szCs w:val="28"/>
          <w:lang w:val="en-US" w:eastAsia="zh-CN"/>
        </w:rPr>
        <w:t>施术方法</w:t>
      </w:r>
    </w:p>
    <w:p w14:paraId="4599C971">
      <w:pPr>
        <w:pStyle w:val="29"/>
        <w:spacing w:line="520" w:lineRule="exact"/>
        <w:ind w:left="0" w:leftChars="0" w:firstLine="562"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bCs w:val="0"/>
          <w:color w:val="auto"/>
          <w:sz w:val="28"/>
          <w:szCs w:val="28"/>
          <w:highlight w:val="none"/>
          <w:lang w:val="en-US" w:eastAsia="zh-CN"/>
        </w:rPr>
        <w:t>1、联合方案：</w:t>
      </w:r>
      <w:r>
        <w:rPr>
          <w:rFonts w:hint="eastAsia" w:ascii="仿宋_GB2312" w:eastAsia="仿宋_GB2312" w:cs="仿宋"/>
          <w:b w:val="0"/>
          <w:bCs/>
          <w:color w:val="auto"/>
          <w:sz w:val="28"/>
          <w:szCs w:val="28"/>
          <w:highlight w:val="none"/>
          <w:lang w:val="en-US" w:eastAsia="zh-CN"/>
        </w:rPr>
        <w:t>为预防操作后伤口感染，先行雷火灸操作，雷火灸结束10</w:t>
      </w:r>
      <w:r>
        <w:rPr>
          <w:rFonts w:hint="eastAsia" w:ascii="仿宋_GB2312" w:eastAsia="仿宋_GB2312" w:cs="仿宋"/>
          <w:b w:val="0"/>
          <w:bCs/>
          <w:color w:val="auto"/>
          <w:sz w:val="28"/>
          <w:szCs w:val="28"/>
          <w:highlight w:val="none"/>
          <w:vertAlign w:val="superscript"/>
          <w:lang w:val="en-US" w:eastAsia="zh-CN"/>
        </w:rPr>
        <w:t xml:space="preserve"> </w:t>
      </w:r>
      <w:r>
        <w:rPr>
          <w:rFonts w:hint="eastAsia" w:ascii="仿宋_GB2312" w:eastAsia="仿宋_GB2312" w:cs="仿宋"/>
          <w:b w:val="0"/>
          <w:bCs/>
          <w:color w:val="auto"/>
          <w:sz w:val="28"/>
          <w:szCs w:val="28"/>
          <w:highlight w:val="none"/>
          <w:lang w:val="en-US" w:eastAsia="zh-CN"/>
        </w:rPr>
        <w:t>min后，再行穴位埋线。根据月经周期及辨证分型选定雷火灸部位及穴位埋线穴位。</w:t>
      </w:r>
    </w:p>
    <w:p w14:paraId="73517AAE">
      <w:pPr>
        <w:pStyle w:val="29"/>
        <w:spacing w:line="520" w:lineRule="exact"/>
        <w:rPr>
          <w:rFonts w:hint="default" w:ascii="仿宋_GB2312" w:eastAsia="仿宋_GB2312" w:cs="仿宋"/>
          <w:b w:val="0"/>
          <w:bCs/>
          <w:color w:val="auto"/>
          <w:sz w:val="28"/>
          <w:szCs w:val="28"/>
          <w:highlight w:val="none"/>
          <w:lang w:val="en-US" w:eastAsia="zh-CN"/>
        </w:rPr>
      </w:pPr>
      <w:r>
        <w:rPr>
          <w:rFonts w:hint="eastAsia" w:ascii="仿宋_GB2312" w:eastAsia="仿宋_GB2312" w:cs="仿宋"/>
          <w:b/>
          <w:bCs w:val="0"/>
          <w:color w:val="auto"/>
          <w:sz w:val="28"/>
          <w:szCs w:val="28"/>
          <w:highlight w:val="none"/>
          <w:lang w:val="en-US" w:eastAsia="zh-CN"/>
        </w:rPr>
        <w:t>2、雷火灸：</w:t>
      </w:r>
      <w:r>
        <w:rPr>
          <w:rFonts w:hint="eastAsia" w:ascii="仿宋_GB2312" w:eastAsia="仿宋_GB2312" w:cs="仿宋"/>
          <w:b w:val="0"/>
          <w:bCs/>
          <w:color w:val="auto"/>
          <w:sz w:val="28"/>
          <w:szCs w:val="28"/>
          <w:highlight w:val="none"/>
          <w:lang w:val="en-US" w:eastAsia="zh-CN"/>
        </w:rPr>
        <w:t>根据月经周期调整，排卵期氤氲状的气血运行，以动、升为特征，此时需要气血活动，促进卵子排出，故排卵期灸（气海、关元、子宫、中极）。卵泡期促进卵泡发育，以补肾健脾先后天之精为主（脾俞、肾俞），黄体期以补肾阳为主兼滋阴为辅（命门、肾俞、气海俞），故卵泡期及黄体期灸（脾俞、命门、肾俞、气海俞）。月经期不灸。因此规定了本文雷火灸的“治法”及“穴位选择”。</w:t>
      </w:r>
    </w:p>
    <w:p w14:paraId="578710AE">
      <w:pPr>
        <w:pStyle w:val="29"/>
        <w:numPr>
          <w:ilvl w:val="0"/>
          <w:numId w:val="0"/>
        </w:numPr>
        <w:spacing w:line="520" w:lineRule="exact"/>
        <w:ind w:leftChars="0"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lang w:val="en-US" w:eastAsia="zh-CN"/>
        </w:rPr>
        <w:t>排卵期：气海、关元、子宫、中极。卵泡期和黄体期：命门、脾俞、</w:t>
      </w:r>
      <w:r>
        <w:rPr>
          <w:rFonts w:hint="eastAsia" w:ascii="仿宋_GB2312" w:eastAsia="仿宋_GB2312" w:cs="仿宋"/>
          <w:b w:val="0"/>
          <w:bCs/>
          <w:color w:val="auto"/>
          <w:sz w:val="28"/>
          <w:szCs w:val="28"/>
          <w:highlight w:val="none"/>
          <w:lang w:val="en-US" w:eastAsia="zh-CN"/>
        </w:rPr>
        <w:t>肾俞、气海俞。月经期不灸。</w:t>
      </w:r>
    </w:p>
    <w:p w14:paraId="1355A0FE">
      <w:pPr>
        <w:pStyle w:val="29"/>
        <w:numPr>
          <w:ilvl w:val="0"/>
          <w:numId w:val="0"/>
        </w:numPr>
        <w:spacing w:line="520" w:lineRule="exact"/>
        <w:ind w:leftChars="0" w:firstLine="281" w:firstLineChars="100"/>
        <w:rPr>
          <w:rFonts w:hint="eastAsia" w:ascii="仿宋_GB2312" w:eastAsia="仿宋_GB2312" w:cs="仿宋"/>
          <w:b/>
          <w:bCs w:val="0"/>
          <w:color w:val="auto"/>
          <w:sz w:val="28"/>
          <w:szCs w:val="28"/>
          <w:highlight w:val="none"/>
          <w:lang w:val="en-US" w:eastAsia="zh-CN"/>
        </w:rPr>
      </w:pPr>
      <w:r>
        <w:rPr>
          <w:rFonts w:hint="eastAsia" w:ascii="仿宋_GB2312" w:eastAsia="仿宋_GB2312" w:cs="仿宋"/>
          <w:b/>
          <w:bCs w:val="0"/>
          <w:color w:val="auto"/>
          <w:sz w:val="28"/>
          <w:szCs w:val="28"/>
          <w:highlight w:val="none"/>
          <w:lang w:val="en-US" w:eastAsia="zh-CN"/>
        </w:rPr>
        <w:t>（1）选穴依据：</w:t>
      </w:r>
    </w:p>
    <w:p w14:paraId="5D701277">
      <w:pPr>
        <w:pStyle w:val="29"/>
        <w:numPr>
          <w:ilvl w:val="0"/>
          <w:numId w:val="0"/>
        </w:numPr>
        <w:spacing w:line="520" w:lineRule="exact"/>
        <w:ind w:firstLine="560" w:firstLineChars="200"/>
        <w:rPr>
          <w:rFonts w:hint="default" w:ascii="仿宋_GB2312" w:eastAsia="仿宋_GB2312" w:cs="仿宋"/>
          <w:b w:val="0"/>
          <w:bCs/>
          <w:color w:val="auto"/>
          <w:sz w:val="28"/>
          <w:szCs w:val="28"/>
          <w:lang w:val="en-US" w:eastAsia="zh-CN"/>
        </w:rPr>
      </w:pPr>
      <w:r>
        <w:rPr>
          <w:rFonts w:hint="eastAsia" w:ascii="仿宋_GB2312" w:eastAsia="仿宋_GB2312" w:cs="仿宋"/>
          <w:b w:val="0"/>
          <w:bCs/>
          <w:color w:val="auto"/>
          <w:sz w:val="28"/>
          <w:szCs w:val="28"/>
          <w:lang w:val="en-US" w:eastAsia="zh-CN"/>
        </w:rPr>
        <w:t>月经周期不同阶段（卵泡期、排卵期、黄体期、月经期）的生理特点进行辨证施灸，以调整肾-天癸-冲任-胞宫轴功能，促进卵泡发育、排卵及黄体形成。排卵期是肾中阴精充盛，转化为阳，氤氲之气触发之时，需补肾阳、通冲任、促卵子排出。PCOS患者因肾虚、痰湿或肝郁，常出现排卵障碍或卵泡滞留。气海穴为“元气之海”，灸之温补下焦元气，推动气血运行，促进排卵，关元穴培补元气、温煦胞宫，改善子宫血供，为受精卵着床准备。子宫穴，为经外奇穴，可直接刺激子宫、卵巢，促进卵泡破裂。中极：膀胱经募穴，兼调冲任，利湿化浊的作用。通过任主胞胎与局部穴位，达到温通胞宫、激发氤氲之气，帮助卵子顺利排出。卵泡期“阴长阳消”阶段，肾精（卵泡）需充养，脾土需健运以化生气血PCOS患者此期常见“肾精不足”或“脾虚痰湿”。肾俞：作为肾的背俞穴，直接温补肾精，促进卵泡募集与发育。脾俞：健脾化痰湿，命门补益命门真火，助肾阳蒸化卵泡。气海俞：与气海前后对应，协同补益下焦元气。通过膀胱经背俞穴与督脉，补肾填精、健脾祛湿，为卵泡发育提供物质基础。黄体期属“阳长阴消”阶段，需肾阳充足以维持黄体功能，分泌足量孕酮，为胚胎着床准备。延续卵泡期穴位（肾俞、脾俞、命门、气海俞），侧重“温肾阳、固冲任”。月经期：月经是胞宫泄浊排瘀的生理过程，处于“泻而不藏”的状态，以通调为主雷火灸温通之力较强，已扰动血海，迫血妄行，故暂不予雷火灸治疗。</w:t>
      </w:r>
    </w:p>
    <w:p w14:paraId="5587F402">
      <w:pPr>
        <w:pStyle w:val="29"/>
        <w:spacing w:line="520" w:lineRule="exact"/>
        <w:ind w:left="0" w:leftChars="0" w:firstLine="281" w:firstLineChars="100"/>
        <w:rPr>
          <w:rFonts w:hint="eastAsia" w:ascii="仿宋_GB2312" w:eastAsia="仿宋_GB2312" w:cs="仿宋"/>
          <w:b/>
          <w:bCs w:val="0"/>
          <w:color w:val="auto"/>
          <w:sz w:val="28"/>
          <w:szCs w:val="28"/>
          <w:lang w:val="en-US" w:eastAsia="zh-CN"/>
        </w:rPr>
      </w:pPr>
      <w:r>
        <w:rPr>
          <w:rFonts w:hint="eastAsia" w:ascii="仿宋_GB2312" w:eastAsia="仿宋_GB2312" w:cs="仿宋"/>
          <w:b/>
          <w:bCs w:val="0"/>
          <w:color w:val="auto"/>
          <w:sz w:val="28"/>
          <w:szCs w:val="28"/>
          <w:highlight w:val="none"/>
          <w:lang w:val="en-US" w:eastAsia="zh-CN"/>
        </w:rPr>
        <w:t>（2）操作方法主要依据</w:t>
      </w:r>
      <w:r>
        <w:rPr>
          <w:rFonts w:hint="eastAsia" w:ascii="仿宋_GB2312" w:eastAsia="仿宋_GB2312"/>
          <w:color w:val="auto"/>
          <w:sz w:val="28"/>
          <w:szCs w:val="28"/>
          <w:lang w:eastAsia="zh-CN"/>
        </w:rPr>
        <w:t>GB/T 21709.10-2008  针灸技术操作规范 第10部分:穴位埋线、T/G</w:t>
      </w:r>
      <w:r>
        <w:rPr>
          <w:rFonts w:hint="eastAsia" w:ascii="仿宋_GB2312" w:eastAsia="仿宋_GB2312"/>
          <w:color w:val="auto"/>
          <w:sz w:val="28"/>
          <w:szCs w:val="28"/>
          <w:lang w:val="en-US" w:eastAsia="zh-CN"/>
        </w:rPr>
        <w:t>DNSA 011-2024</w:t>
      </w:r>
      <w:r>
        <w:rPr>
          <w:rFonts w:hint="eastAsia" w:ascii="仿宋_GB2312" w:eastAsia="仿宋_GB2312"/>
          <w:color w:val="auto"/>
          <w:sz w:val="28"/>
          <w:szCs w:val="28"/>
          <w:lang w:eastAsia="zh-CN"/>
        </w:rPr>
        <w:t>雷火灸技术规范、T/SAAM 0002—2023雷火灸(可加药)操作规范</w:t>
      </w:r>
      <w:r>
        <w:rPr>
          <w:rFonts w:hint="eastAsia" w:ascii="仿宋_GB2312" w:eastAsia="仿宋_GB2312" w:cs="仿宋"/>
          <w:b/>
          <w:bCs w:val="0"/>
          <w:color w:val="auto"/>
          <w:sz w:val="28"/>
          <w:szCs w:val="28"/>
          <w:highlight w:val="none"/>
          <w:lang w:val="en-US" w:eastAsia="zh-CN"/>
        </w:rPr>
        <w:t>而定。</w:t>
      </w:r>
    </w:p>
    <w:p w14:paraId="6FAC611F">
      <w:pPr>
        <w:pStyle w:val="29"/>
        <w:spacing w:line="520" w:lineRule="exact"/>
        <w:ind w:left="0" w:leftChars="0" w:firstLine="562"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bCs w:val="0"/>
          <w:color w:val="auto"/>
          <w:sz w:val="28"/>
          <w:szCs w:val="28"/>
          <w:highlight w:val="none"/>
          <w:lang w:val="en-US" w:eastAsia="zh-CN"/>
        </w:rPr>
        <w:t>3、穴位埋线：主穴：</w:t>
      </w:r>
      <w:r>
        <w:rPr>
          <w:rFonts w:hint="eastAsia" w:ascii="仿宋_GB2312" w:eastAsia="仿宋_GB2312" w:cs="仿宋"/>
          <w:b w:val="0"/>
          <w:bCs/>
          <w:color w:val="auto"/>
          <w:sz w:val="28"/>
          <w:szCs w:val="28"/>
          <w:highlight w:val="none"/>
          <w:lang w:val="en-US" w:eastAsia="zh-CN"/>
        </w:rPr>
        <w:t>中脘、水分、气海、关元，天枢、大横、滑肉门、带脉、足三里。</w:t>
      </w:r>
      <w:r>
        <w:rPr>
          <w:rFonts w:hint="eastAsia" w:ascii="仿宋_GB2312" w:eastAsia="仿宋_GB2312" w:cs="仿宋"/>
          <w:b/>
          <w:bCs w:val="0"/>
          <w:color w:val="auto"/>
          <w:sz w:val="28"/>
          <w:szCs w:val="28"/>
          <w:highlight w:val="none"/>
          <w:lang w:val="en-US" w:eastAsia="zh-CN"/>
        </w:rPr>
        <w:t>配穴：</w:t>
      </w:r>
      <w:r>
        <w:rPr>
          <w:rFonts w:hint="eastAsia" w:ascii="仿宋_GB2312" w:eastAsia="仿宋_GB2312" w:cs="仿宋"/>
          <w:b w:val="0"/>
          <w:bCs/>
          <w:color w:val="auto"/>
          <w:sz w:val="28"/>
          <w:szCs w:val="28"/>
          <w:highlight w:val="none"/>
          <w:lang w:val="en-US" w:eastAsia="zh-CN"/>
        </w:rPr>
        <w:t>肾阳虚证加上肾俞、子宫；肾阴虚证加肾俞、三阴交；痰湿证加阴陵泉、丰隆；血瘀证加血海、膈俞；肝郁证加曲池、肝俞。</w:t>
      </w:r>
    </w:p>
    <w:p w14:paraId="12BE65B6">
      <w:pPr>
        <w:pStyle w:val="29"/>
        <w:numPr>
          <w:ilvl w:val="0"/>
          <w:numId w:val="8"/>
        </w:numPr>
        <w:spacing w:line="520" w:lineRule="exact"/>
        <w:ind w:left="0" w:leftChars="0" w:firstLine="562" w:firstLineChars="200"/>
        <w:rPr>
          <w:rFonts w:hint="eastAsia" w:ascii="仿宋_GB2312" w:eastAsia="仿宋_GB2312" w:cs="仿宋"/>
          <w:b/>
          <w:bCs w:val="0"/>
          <w:color w:val="auto"/>
          <w:sz w:val="28"/>
          <w:szCs w:val="28"/>
          <w:highlight w:val="none"/>
          <w:lang w:val="en-US" w:eastAsia="zh-CN"/>
        </w:rPr>
      </w:pPr>
      <w:r>
        <w:rPr>
          <w:rFonts w:hint="eastAsia" w:ascii="仿宋_GB2312" w:eastAsia="仿宋_GB2312" w:cs="仿宋"/>
          <w:b/>
          <w:bCs w:val="0"/>
          <w:color w:val="auto"/>
          <w:sz w:val="28"/>
          <w:szCs w:val="28"/>
          <w:highlight w:val="none"/>
          <w:lang w:val="en-US" w:eastAsia="zh-CN"/>
        </w:rPr>
        <w:t>选穴依据：</w:t>
      </w:r>
    </w:p>
    <w:p w14:paraId="589EFFD5">
      <w:pPr>
        <w:pStyle w:val="29"/>
        <w:numPr>
          <w:ilvl w:val="0"/>
          <w:numId w:val="0"/>
        </w:numPr>
        <w:spacing w:line="520" w:lineRule="exact"/>
        <w:ind w:leftChars="200"/>
        <w:rPr>
          <w:rFonts w:hint="eastAsia" w:ascii="仿宋_GB2312" w:eastAsia="仿宋_GB2312" w:cs="仿宋"/>
          <w:b/>
          <w:bCs w:val="0"/>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主穴选穴依据：</w:t>
      </w:r>
    </w:p>
    <w:p w14:paraId="390E4E38">
      <w:pPr>
        <w:pStyle w:val="29"/>
        <w:spacing w:line="520" w:lineRule="exact"/>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中脘为足阳明胃经募穴，具有化湿滞、和胃气、调升降、理中焦作用；水分可攻水湿内停，化痰利湿，直疏胞宫水饮；天枢为气机升降之枢纽，具有调和脾胃，疏通中焦气滞作用。气海、关元穴有补益元气、温补肾阳、健脾益胃功效；大横穴可横向去水湿之气；带脉为经外奇穴，约束全身纵行经络，可疏通全身经络气血，疏肝解郁，运化水；足三里健运脾胃第一要穴，具有运化水谷，化生气血的能力。</w:t>
      </w:r>
    </w:p>
    <w:p w14:paraId="35D7144A">
      <w:pPr>
        <w:pStyle w:val="29"/>
        <w:spacing w:line="520" w:lineRule="exact"/>
        <w:rPr>
          <w:rFonts w:hint="default"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配穴选穴依据：</w:t>
      </w:r>
    </w:p>
    <w:p w14:paraId="625DCF94">
      <w:pPr>
        <w:pStyle w:val="29"/>
        <w:spacing w:line="520" w:lineRule="exact"/>
        <w:rPr>
          <w:rFonts w:hint="default"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肾阳虚：肾俞为肾的背俞穴，补肾具有阴阳双补之效，还可通利水道；子宫穴为经外奇穴，具有调经止带作用，配合肾俞益肾固本，调理冲任。</w:t>
      </w:r>
    </w:p>
    <w:p w14:paraId="69902471">
      <w:pPr>
        <w:pStyle w:val="29"/>
        <w:spacing w:line="520" w:lineRule="exact"/>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肾阴虚：肾俞为肾的背俞穴。可滋养肾阴，三阴交为三条阴经交会穴，可调经养血，调达冲任气血，使摄精成孕。</w:t>
      </w:r>
    </w:p>
    <w:p w14:paraId="03428066">
      <w:pPr>
        <w:pStyle w:val="29"/>
        <w:spacing w:line="520" w:lineRule="exact"/>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配穴脾俞、肾俞、肺俞及三焦俞有补益脾肾、通利三焦水道功效。诸穴配伍，有化痰去湿、调理脾胃、温补肾阳、调经助孕、通利三焦之功。</w:t>
      </w:r>
    </w:p>
    <w:p w14:paraId="15677FF3">
      <w:pPr>
        <w:pStyle w:val="29"/>
        <w:spacing w:line="520" w:lineRule="exact"/>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痰湿证：丰隆为化痰第一要穴，涤痰化湿，通调脾胃气机；健脾利湿，温化水饮，增强脾运化功能。阴陵泉足太阴脾经合穴，具有健脾利湿，散瘀化痰的作用。</w:t>
      </w:r>
    </w:p>
    <w:p w14:paraId="740E2B17">
      <w:pPr>
        <w:pStyle w:val="29"/>
        <w:spacing w:line="520" w:lineRule="exact"/>
        <w:rPr>
          <w:rFonts w:hint="default"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血瘀证：血海可活血调血，祛瘀生新，是调理血分的关键穴位；膈俞作为“血会”是调理一切血症的核心穴位，两者可破除血中瘀滞，通调全身血脉。</w:t>
      </w:r>
    </w:p>
    <w:p w14:paraId="7CDCDB65">
      <w:pPr>
        <w:pStyle w:val="29"/>
        <w:spacing w:line="520" w:lineRule="exact"/>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肝郁证：曲池为手阳明大肠经合穴，五行属金，金克木，具有疏泄肝火，通调气机的作用，肝俞穴为肝的背俞穴，具有疏肝解郁，养血柔肝的功效。</w:t>
      </w:r>
    </w:p>
    <w:p w14:paraId="57B8B32A">
      <w:pPr>
        <w:pStyle w:val="29"/>
        <w:numPr>
          <w:ilvl w:val="0"/>
          <w:numId w:val="8"/>
        </w:numPr>
        <w:spacing w:line="520" w:lineRule="exact"/>
        <w:ind w:left="0" w:leftChars="0" w:firstLine="562"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bCs w:val="0"/>
          <w:color w:val="auto"/>
          <w:sz w:val="28"/>
          <w:szCs w:val="28"/>
          <w:highlight w:val="none"/>
          <w:lang w:val="en-US" w:eastAsia="zh-CN"/>
        </w:rPr>
        <w:t>穴位埋线的消毒、施术方法</w:t>
      </w:r>
      <w:r>
        <w:rPr>
          <w:rFonts w:hint="eastAsia" w:ascii="仿宋_GB2312" w:eastAsia="仿宋_GB2312" w:cs="仿宋"/>
          <w:b w:val="0"/>
          <w:bCs/>
          <w:color w:val="auto"/>
          <w:sz w:val="28"/>
          <w:szCs w:val="28"/>
          <w:highlight w:val="none"/>
          <w:lang w:val="en-US" w:eastAsia="zh-CN"/>
        </w:rPr>
        <w:t>按GB/T 21709.10《针灸技术操作规范第10部分：穴位埋线》的要求执行。</w:t>
      </w:r>
    </w:p>
    <w:p w14:paraId="6F046C28">
      <w:pPr>
        <w:pStyle w:val="29"/>
        <w:numPr>
          <w:ilvl w:val="0"/>
          <w:numId w:val="0"/>
        </w:numPr>
        <w:spacing w:line="520" w:lineRule="exact"/>
        <w:ind w:leftChars="200"/>
        <w:rPr>
          <w:rFonts w:hint="eastAsia" w:ascii="仿宋_GB2312" w:eastAsia="仿宋_GB2312" w:cs="仿宋"/>
          <w:b w:val="0"/>
          <w:bCs/>
          <w:color w:val="auto"/>
          <w:sz w:val="28"/>
          <w:szCs w:val="28"/>
          <w:highlight w:val="none"/>
          <w:lang w:val="en-US" w:eastAsia="zh-CN"/>
        </w:rPr>
      </w:pPr>
    </w:p>
    <w:p w14:paraId="1C36B589">
      <w:pPr>
        <w:pStyle w:val="29"/>
        <w:keepNext w:val="0"/>
        <w:keepLines w:val="0"/>
        <w:pageBreakBefore w:val="0"/>
        <w:widowControl/>
        <w:kinsoku/>
        <w:wordWrap/>
        <w:overflowPunct/>
        <w:topLinePunct w:val="0"/>
        <w:autoSpaceDE w:val="0"/>
        <w:autoSpaceDN w:val="0"/>
        <w:bidi w:val="0"/>
        <w:adjustRightInd/>
        <w:snapToGrid/>
        <w:spacing w:line="240" w:lineRule="auto"/>
        <w:ind w:left="0" w:leftChars="0" w:firstLine="0" w:firstLineChars="0"/>
        <w:textAlignment w:val="auto"/>
        <w:rPr>
          <w:rFonts w:hint="eastAsia" w:eastAsia="宋体"/>
          <w:lang w:eastAsia="zh-CN"/>
        </w:rPr>
      </w:pPr>
      <w:r>
        <w:rPr>
          <w:rFonts w:hint="eastAsia" w:eastAsia="宋体"/>
          <w:lang w:eastAsia="zh-CN"/>
        </w:rPr>
        <w:drawing>
          <wp:inline distT="0" distB="0" distL="114300" distR="114300">
            <wp:extent cx="2780030" cy="1864360"/>
            <wp:effectExtent l="0" t="0" r="1270" b="2540"/>
            <wp:docPr id="2" name="图片 2" descr="微信图片_2025-06-25_202538_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微信图片_2025-06-25_202538_016"/>
                    <pic:cNvPicPr>
                      <a:picLocks noChangeAspect="1"/>
                    </pic:cNvPicPr>
                  </pic:nvPicPr>
                  <pic:blipFill>
                    <a:blip r:embed="rId8"/>
                    <a:stretch>
                      <a:fillRect/>
                    </a:stretch>
                  </pic:blipFill>
                  <pic:spPr>
                    <a:xfrm>
                      <a:off x="0" y="0"/>
                      <a:ext cx="2780030" cy="1864360"/>
                    </a:xfrm>
                    <a:prstGeom prst="rect">
                      <a:avLst/>
                    </a:prstGeom>
                  </pic:spPr>
                </pic:pic>
              </a:graphicData>
            </a:graphic>
          </wp:inline>
        </w:drawing>
      </w:r>
      <w:r>
        <w:rPr>
          <w:rFonts w:hint="eastAsia" w:eastAsia="宋体"/>
          <w:lang w:eastAsia="zh-CN"/>
        </w:rPr>
        <w:drawing>
          <wp:inline distT="0" distB="0" distL="114300" distR="114300">
            <wp:extent cx="2819400" cy="1877695"/>
            <wp:effectExtent l="0" t="0" r="0" b="8255"/>
            <wp:docPr id="3" name="图片 3" descr="微信图片_2025-06-25_202552_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微信图片_2025-06-25_202552_915"/>
                    <pic:cNvPicPr>
                      <a:picLocks noChangeAspect="1"/>
                    </pic:cNvPicPr>
                  </pic:nvPicPr>
                  <pic:blipFill>
                    <a:blip r:embed="rId9"/>
                    <a:stretch>
                      <a:fillRect/>
                    </a:stretch>
                  </pic:blipFill>
                  <pic:spPr>
                    <a:xfrm>
                      <a:off x="0" y="0"/>
                      <a:ext cx="2819400" cy="1877695"/>
                    </a:xfrm>
                    <a:prstGeom prst="rect">
                      <a:avLst/>
                    </a:prstGeom>
                  </pic:spPr>
                </pic:pic>
              </a:graphicData>
            </a:graphic>
          </wp:inline>
        </w:drawing>
      </w:r>
    </w:p>
    <w:p w14:paraId="2A2D1E47">
      <w:pPr>
        <w:pStyle w:val="29"/>
        <w:keepNext w:val="0"/>
        <w:keepLines w:val="0"/>
        <w:pageBreakBefore w:val="0"/>
        <w:widowControl/>
        <w:kinsoku/>
        <w:wordWrap/>
        <w:overflowPunct/>
        <w:topLinePunct w:val="0"/>
        <w:autoSpaceDE w:val="0"/>
        <w:autoSpaceDN w:val="0"/>
        <w:bidi w:val="0"/>
        <w:adjustRightInd/>
        <w:snapToGrid/>
        <w:spacing w:line="240" w:lineRule="auto"/>
        <w:ind w:left="0" w:leftChars="0" w:firstLine="1897" w:firstLineChars="900"/>
        <w:jc w:val="both"/>
        <w:textAlignment w:val="auto"/>
        <w:rPr>
          <w:rFonts w:hint="eastAsia"/>
          <w:b/>
          <w:bCs/>
          <w:lang w:val="en-US" w:eastAsia="zh-CN"/>
        </w:rPr>
      </w:pPr>
      <w:r>
        <w:rPr>
          <w:rFonts w:hint="eastAsia"/>
          <w:b/>
          <w:bCs/>
          <w:lang w:eastAsia="zh-CN"/>
        </w:rPr>
        <w:t>雷火灸</w:t>
      </w:r>
      <w:r>
        <w:rPr>
          <w:rFonts w:hint="eastAsia"/>
          <w:b/>
          <w:bCs/>
          <w:lang w:val="en-US" w:eastAsia="zh-CN"/>
        </w:rPr>
        <w:t xml:space="preserve">                                   穴位埋线</w:t>
      </w:r>
    </w:p>
    <w:p w14:paraId="32C07E4E">
      <w:pPr>
        <w:pStyle w:val="29"/>
        <w:keepNext w:val="0"/>
        <w:keepLines w:val="0"/>
        <w:pageBreakBefore w:val="0"/>
        <w:widowControl/>
        <w:kinsoku/>
        <w:wordWrap/>
        <w:overflowPunct/>
        <w:topLinePunct w:val="0"/>
        <w:autoSpaceDE w:val="0"/>
        <w:autoSpaceDN w:val="0"/>
        <w:bidi w:val="0"/>
        <w:adjustRightInd/>
        <w:snapToGrid/>
        <w:spacing w:line="240" w:lineRule="auto"/>
        <w:ind w:left="0" w:leftChars="0" w:firstLine="1897" w:firstLineChars="900"/>
        <w:jc w:val="both"/>
        <w:textAlignment w:val="auto"/>
        <w:rPr>
          <w:rFonts w:hint="eastAsia"/>
          <w:b/>
          <w:bCs/>
          <w:lang w:val="en-US" w:eastAsia="zh-CN"/>
        </w:rPr>
      </w:pPr>
    </w:p>
    <w:p w14:paraId="1F3BC2D0">
      <w:pPr>
        <w:pStyle w:val="29"/>
        <w:keepNext w:val="0"/>
        <w:keepLines w:val="0"/>
        <w:pageBreakBefore w:val="0"/>
        <w:widowControl/>
        <w:kinsoku/>
        <w:wordWrap/>
        <w:overflowPunct/>
        <w:topLinePunct w:val="0"/>
        <w:autoSpaceDE w:val="0"/>
        <w:autoSpaceDN w:val="0"/>
        <w:bidi w:val="0"/>
        <w:adjustRightInd/>
        <w:snapToGrid/>
        <w:spacing w:line="520" w:lineRule="exact"/>
        <w:ind w:firstLine="0" w:firstLineChars="0"/>
        <w:jc w:val="center"/>
        <w:textAlignment w:val="auto"/>
        <w:rPr>
          <w:rFonts w:hint="eastAsia" w:ascii="黑体" w:hAnsi="黑体" w:eastAsia="黑体" w:cs="黑体"/>
          <w:bCs/>
          <w:color w:val="auto"/>
          <w:sz w:val="24"/>
          <w:szCs w:val="24"/>
          <w:highlight w:val="none"/>
          <w:lang w:val="en-US" w:eastAsia="zh-CN"/>
        </w:rPr>
      </w:pPr>
      <w:r>
        <w:rPr>
          <w:rFonts w:hint="eastAsia" w:ascii="黑体" w:hAnsi="黑体" w:eastAsia="黑体" w:cs="黑体"/>
          <w:bCs/>
          <w:color w:val="auto"/>
          <w:sz w:val="28"/>
          <w:szCs w:val="28"/>
          <w:highlight w:val="none"/>
          <w:lang w:val="en-US" w:eastAsia="zh-CN"/>
        </w:rPr>
        <w:t>多囊卵巢综合征导致不孕症患者病例以及治疗记录</w:t>
      </w:r>
    </w:p>
    <w:tbl>
      <w:tblPr>
        <w:tblStyle w:val="14"/>
        <w:tblW w:w="5384" w:type="pct"/>
        <w:tblInd w:w="-24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30"/>
        <w:gridCol w:w="1257"/>
        <w:gridCol w:w="2524"/>
        <w:gridCol w:w="3202"/>
        <w:gridCol w:w="1866"/>
      </w:tblGrid>
      <w:tr w14:paraId="18A5E8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0" w:hRule="atLeast"/>
        </w:trPr>
        <w:tc>
          <w:tcPr>
            <w:tcW w:w="521" w:type="pct"/>
            <w:vAlign w:val="center"/>
          </w:tcPr>
          <w:p w14:paraId="341C88AF">
            <w:pPr>
              <w:pStyle w:val="29"/>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400" w:lineRule="exact"/>
              <w:ind w:left="0" w:right="0"/>
              <w:jc w:val="center"/>
              <w:textAlignment w:val="auto"/>
              <w:rPr>
                <w:rFonts w:hint="eastAsia" w:ascii="仿宋_GB2312" w:eastAsia="仿宋_GB2312" w:cs="仿宋"/>
                <w:bCs/>
                <w:color w:val="auto"/>
                <w:sz w:val="24"/>
                <w:szCs w:val="24"/>
                <w:vertAlign w:val="baseline"/>
                <w:lang w:val="en-US" w:eastAsia="zh-CN"/>
              </w:rPr>
            </w:pPr>
            <w:r>
              <w:rPr>
                <w:rFonts w:hint="eastAsia" w:ascii="仿宋_GB2312" w:eastAsia="仿宋_GB2312" w:cs="仿宋"/>
                <w:bCs/>
                <w:color w:val="auto"/>
                <w:sz w:val="24"/>
                <w:szCs w:val="24"/>
                <w:vertAlign w:val="baseline"/>
                <w:lang w:val="en-US" w:eastAsia="zh-CN"/>
              </w:rPr>
              <w:t>年份</w:t>
            </w:r>
          </w:p>
        </w:tc>
        <w:tc>
          <w:tcPr>
            <w:tcW w:w="636" w:type="pct"/>
            <w:vAlign w:val="center"/>
          </w:tcPr>
          <w:p w14:paraId="20397480">
            <w:pPr>
              <w:pStyle w:val="29"/>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400" w:lineRule="exact"/>
              <w:ind w:left="0" w:right="0"/>
              <w:jc w:val="center"/>
              <w:textAlignment w:val="auto"/>
              <w:rPr>
                <w:rFonts w:hint="eastAsia" w:ascii="仿宋_GB2312" w:eastAsia="仿宋_GB2312" w:cs="仿宋"/>
                <w:bCs/>
                <w:color w:val="auto"/>
                <w:sz w:val="24"/>
                <w:szCs w:val="24"/>
                <w:vertAlign w:val="baseline"/>
                <w:lang w:val="en-US" w:eastAsia="zh-CN"/>
              </w:rPr>
            </w:pPr>
            <w:r>
              <w:rPr>
                <w:rFonts w:hint="eastAsia" w:ascii="仿宋_GB2312" w:eastAsia="仿宋_GB2312" w:cs="仿宋"/>
                <w:bCs/>
                <w:color w:val="auto"/>
                <w:sz w:val="24"/>
                <w:szCs w:val="24"/>
                <w:vertAlign w:val="baseline"/>
                <w:lang w:val="en-US" w:eastAsia="zh-CN"/>
              </w:rPr>
              <w:t>证型</w:t>
            </w:r>
          </w:p>
        </w:tc>
        <w:tc>
          <w:tcPr>
            <w:tcW w:w="1277" w:type="pct"/>
            <w:vAlign w:val="center"/>
          </w:tcPr>
          <w:p w14:paraId="5A9A4976">
            <w:pPr>
              <w:pStyle w:val="29"/>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400" w:lineRule="exact"/>
              <w:ind w:left="0" w:right="0"/>
              <w:jc w:val="center"/>
              <w:textAlignment w:val="auto"/>
              <w:rPr>
                <w:rFonts w:hint="eastAsia" w:ascii="仿宋_GB2312" w:eastAsia="仿宋_GB2312" w:cs="仿宋"/>
                <w:bCs/>
                <w:color w:val="auto"/>
                <w:sz w:val="24"/>
                <w:szCs w:val="24"/>
                <w:vertAlign w:val="baseline"/>
                <w:lang w:val="en-US" w:eastAsia="zh-CN"/>
              </w:rPr>
            </w:pPr>
            <w:r>
              <w:rPr>
                <w:rFonts w:hint="eastAsia" w:ascii="仿宋_GB2312" w:eastAsia="仿宋_GB2312" w:cs="仿宋"/>
                <w:bCs/>
                <w:color w:val="auto"/>
                <w:sz w:val="24"/>
                <w:szCs w:val="24"/>
                <w:vertAlign w:val="baseline"/>
                <w:lang w:val="en-US" w:eastAsia="zh-CN"/>
              </w:rPr>
              <w:t>实际操作方法</w:t>
            </w:r>
          </w:p>
        </w:tc>
        <w:tc>
          <w:tcPr>
            <w:tcW w:w="1620" w:type="pct"/>
            <w:vAlign w:val="center"/>
          </w:tcPr>
          <w:p w14:paraId="08D18D81">
            <w:pPr>
              <w:pStyle w:val="29"/>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400" w:lineRule="exact"/>
              <w:ind w:left="0" w:right="0"/>
              <w:jc w:val="center"/>
              <w:textAlignment w:val="auto"/>
              <w:rPr>
                <w:rFonts w:hint="eastAsia" w:ascii="仿宋_GB2312" w:eastAsia="仿宋_GB2312" w:cs="仿宋"/>
                <w:bCs/>
                <w:color w:val="auto"/>
                <w:sz w:val="24"/>
                <w:szCs w:val="24"/>
                <w:vertAlign w:val="baseline"/>
                <w:lang w:val="en-US" w:eastAsia="zh-CN"/>
              </w:rPr>
            </w:pPr>
            <w:r>
              <w:rPr>
                <w:rFonts w:hint="eastAsia" w:ascii="仿宋_GB2312" w:eastAsia="仿宋_GB2312" w:cs="仿宋"/>
                <w:bCs/>
                <w:color w:val="auto"/>
                <w:sz w:val="24"/>
                <w:szCs w:val="24"/>
                <w:vertAlign w:val="baseline"/>
                <w:lang w:val="en-US" w:eastAsia="zh-CN"/>
              </w:rPr>
              <w:t>治疗效果</w:t>
            </w:r>
          </w:p>
        </w:tc>
        <w:tc>
          <w:tcPr>
            <w:tcW w:w="944" w:type="pct"/>
            <w:vAlign w:val="center"/>
          </w:tcPr>
          <w:p w14:paraId="7311B599">
            <w:pPr>
              <w:pStyle w:val="29"/>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400" w:lineRule="exact"/>
              <w:ind w:left="0" w:right="0"/>
              <w:jc w:val="center"/>
              <w:textAlignment w:val="auto"/>
              <w:rPr>
                <w:rFonts w:hint="eastAsia" w:ascii="仿宋_GB2312" w:eastAsia="仿宋_GB2312" w:cs="仿宋"/>
                <w:bCs/>
                <w:color w:val="auto"/>
                <w:sz w:val="24"/>
                <w:szCs w:val="24"/>
                <w:vertAlign w:val="baseline"/>
                <w:lang w:val="en-US" w:eastAsia="zh-CN"/>
              </w:rPr>
            </w:pPr>
            <w:r>
              <w:rPr>
                <w:rFonts w:hint="eastAsia" w:ascii="仿宋_GB2312" w:eastAsia="仿宋_GB2312" w:cs="仿宋"/>
                <w:bCs/>
                <w:color w:val="auto"/>
                <w:sz w:val="24"/>
                <w:szCs w:val="24"/>
                <w:vertAlign w:val="baseline"/>
                <w:lang w:val="en-US" w:eastAsia="zh-CN"/>
              </w:rPr>
              <w:t>核心指标的分析确定</w:t>
            </w:r>
          </w:p>
        </w:tc>
      </w:tr>
      <w:tr w14:paraId="468315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8" w:hRule="atLeast"/>
        </w:trPr>
        <w:tc>
          <w:tcPr>
            <w:tcW w:w="521" w:type="pct"/>
          </w:tcPr>
          <w:p w14:paraId="7849281A">
            <w:pPr>
              <w:pStyle w:val="29"/>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400" w:lineRule="exact"/>
              <w:ind w:left="0" w:right="0"/>
              <w:textAlignment w:val="auto"/>
              <w:rPr>
                <w:rFonts w:hint="default" w:ascii="仿宋_GB2312" w:eastAsia="仿宋_GB2312" w:cs="仿宋"/>
                <w:bCs/>
                <w:color w:val="auto"/>
                <w:sz w:val="24"/>
                <w:szCs w:val="24"/>
                <w:vertAlign w:val="baseline"/>
                <w:lang w:val="en-US" w:eastAsia="zh-CN"/>
              </w:rPr>
            </w:pPr>
            <w:r>
              <w:rPr>
                <w:rFonts w:hint="eastAsia" w:ascii="仿宋_GB2312" w:eastAsia="仿宋_GB2312" w:cs="仿宋"/>
                <w:bCs/>
                <w:color w:val="auto"/>
                <w:sz w:val="24"/>
                <w:szCs w:val="24"/>
                <w:vertAlign w:val="baseline"/>
                <w:lang w:val="en-US" w:eastAsia="zh-CN"/>
              </w:rPr>
              <w:t>2023年</w:t>
            </w:r>
          </w:p>
        </w:tc>
        <w:tc>
          <w:tcPr>
            <w:tcW w:w="636" w:type="pct"/>
          </w:tcPr>
          <w:p w14:paraId="0E4C43D7">
            <w:pPr>
              <w:pStyle w:val="29"/>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400" w:lineRule="exact"/>
              <w:ind w:left="0" w:right="0"/>
              <w:textAlignment w:val="auto"/>
              <w:rPr>
                <w:rFonts w:hint="default" w:ascii="仿宋_GB2312" w:eastAsia="仿宋_GB2312" w:cs="仿宋"/>
                <w:bCs/>
                <w:color w:val="auto"/>
                <w:sz w:val="24"/>
                <w:szCs w:val="24"/>
                <w:vertAlign w:val="baseline"/>
                <w:lang w:val="en-US" w:eastAsia="zh-CN"/>
              </w:rPr>
            </w:pPr>
            <w:r>
              <w:rPr>
                <w:rFonts w:hint="eastAsia" w:ascii="仿宋_GB2312" w:eastAsia="仿宋_GB2312" w:cs="仿宋"/>
                <w:bCs/>
                <w:color w:val="auto"/>
                <w:sz w:val="24"/>
                <w:szCs w:val="24"/>
                <w:vertAlign w:val="baseline"/>
                <w:lang w:val="en-US" w:eastAsia="zh-CN"/>
              </w:rPr>
              <w:t>痰湿证</w:t>
            </w:r>
          </w:p>
        </w:tc>
        <w:tc>
          <w:tcPr>
            <w:tcW w:w="1277" w:type="pct"/>
          </w:tcPr>
          <w:p w14:paraId="68B22FD1">
            <w:pPr>
              <w:pStyle w:val="29"/>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400" w:lineRule="exact"/>
              <w:ind w:left="0" w:right="0"/>
              <w:textAlignment w:val="auto"/>
              <w:rPr>
                <w:rFonts w:hint="default" w:ascii="仿宋_GB2312" w:eastAsia="仿宋_GB2312" w:cs="仿宋"/>
                <w:bCs/>
                <w:color w:val="auto"/>
                <w:sz w:val="24"/>
                <w:szCs w:val="24"/>
                <w:vertAlign w:val="baseline"/>
                <w:lang w:val="en-US" w:eastAsia="zh-CN"/>
              </w:rPr>
            </w:pPr>
            <w:r>
              <w:rPr>
                <w:rFonts w:hint="eastAsia" w:ascii="仿宋_GB2312" w:eastAsia="仿宋_GB2312" w:cs="仿宋"/>
                <w:bCs/>
                <w:color w:val="auto"/>
                <w:sz w:val="24"/>
                <w:szCs w:val="24"/>
                <w:vertAlign w:val="baseline"/>
                <w:lang w:val="en-US" w:eastAsia="zh-CN"/>
              </w:rPr>
              <w:t>雷火灸采用回旋灸方法灸气海</w:t>
            </w:r>
            <w:r>
              <w:rPr>
                <w:rFonts w:hint="eastAsia" w:ascii="仿宋_GB2312" w:eastAsia="仿宋_GB2312"/>
                <w:color w:val="auto"/>
                <w:sz w:val="24"/>
                <w:szCs w:val="24"/>
                <w:lang w:val="en-US" w:eastAsia="zh-CN"/>
              </w:rPr>
              <w:t>、</w:t>
            </w:r>
            <w:r>
              <w:rPr>
                <w:rFonts w:hint="eastAsia" w:ascii="仿宋_GB2312" w:eastAsia="仿宋_GB2312" w:cs="仿宋"/>
                <w:bCs/>
                <w:color w:val="auto"/>
                <w:sz w:val="24"/>
                <w:szCs w:val="24"/>
                <w:vertAlign w:val="baseline"/>
                <w:lang w:val="en-US" w:eastAsia="zh-CN"/>
              </w:rPr>
              <w:t>关元</w:t>
            </w:r>
            <w:r>
              <w:rPr>
                <w:rFonts w:hint="eastAsia" w:ascii="仿宋_GB2312" w:eastAsia="仿宋_GB2312"/>
                <w:color w:val="auto"/>
                <w:sz w:val="24"/>
                <w:szCs w:val="24"/>
                <w:lang w:val="en-US" w:eastAsia="zh-CN"/>
              </w:rPr>
              <w:t>、</w:t>
            </w:r>
            <w:r>
              <w:rPr>
                <w:rFonts w:hint="eastAsia" w:ascii="仿宋_GB2312" w:eastAsia="仿宋_GB2312" w:cs="仿宋"/>
                <w:bCs/>
                <w:color w:val="auto"/>
                <w:sz w:val="24"/>
                <w:szCs w:val="24"/>
                <w:vertAlign w:val="baseline"/>
                <w:lang w:val="en-US" w:eastAsia="zh-CN"/>
              </w:rPr>
              <w:t>中脘</w:t>
            </w:r>
            <w:r>
              <w:rPr>
                <w:rFonts w:hint="eastAsia" w:ascii="仿宋_GB2312" w:eastAsia="仿宋_GB2312"/>
                <w:color w:val="auto"/>
                <w:sz w:val="24"/>
                <w:szCs w:val="24"/>
                <w:lang w:val="en-US" w:eastAsia="zh-CN"/>
              </w:rPr>
              <w:t>、</w:t>
            </w:r>
            <w:r>
              <w:rPr>
                <w:rFonts w:hint="eastAsia" w:ascii="仿宋_GB2312" w:eastAsia="仿宋_GB2312" w:cs="仿宋"/>
                <w:bCs/>
                <w:color w:val="auto"/>
                <w:sz w:val="24"/>
                <w:szCs w:val="24"/>
                <w:vertAlign w:val="baseline"/>
                <w:lang w:val="en-US" w:eastAsia="zh-CN"/>
              </w:rPr>
              <w:t>丰隆</w:t>
            </w:r>
          </w:p>
        </w:tc>
        <w:tc>
          <w:tcPr>
            <w:tcW w:w="1620" w:type="pct"/>
          </w:tcPr>
          <w:p w14:paraId="7A724995">
            <w:pPr>
              <w:pStyle w:val="29"/>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400" w:lineRule="exact"/>
              <w:ind w:left="0" w:right="0"/>
              <w:textAlignment w:val="auto"/>
              <w:rPr>
                <w:rFonts w:hint="default" w:ascii="仿宋_GB2312" w:eastAsia="仿宋_GB2312" w:cs="仿宋"/>
                <w:bCs/>
                <w:color w:val="auto"/>
                <w:sz w:val="24"/>
                <w:szCs w:val="24"/>
                <w:vertAlign w:val="baseline"/>
                <w:lang w:val="en-US" w:eastAsia="zh-CN"/>
              </w:rPr>
            </w:pPr>
            <w:r>
              <w:rPr>
                <w:rFonts w:hint="eastAsia" w:ascii="仿宋_GB2312" w:eastAsia="仿宋_GB2312" w:cs="仿宋"/>
                <w:bCs/>
                <w:color w:val="auto"/>
                <w:sz w:val="24"/>
                <w:szCs w:val="24"/>
                <w:vertAlign w:val="baseline"/>
                <w:lang w:val="en-US" w:eastAsia="zh-CN"/>
              </w:rPr>
              <w:t>体重减轻，大便由解稀烂便到成型，LH/FSH较前稍下降。</w:t>
            </w:r>
          </w:p>
        </w:tc>
        <w:tc>
          <w:tcPr>
            <w:tcW w:w="944" w:type="pct"/>
            <w:vMerge w:val="restart"/>
            <w:vAlign w:val="center"/>
          </w:tcPr>
          <w:p w14:paraId="7CEAC185">
            <w:pPr>
              <w:pStyle w:val="29"/>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400" w:lineRule="exact"/>
              <w:ind w:left="0" w:right="0"/>
              <w:jc w:val="both"/>
              <w:textAlignment w:val="auto"/>
              <w:rPr>
                <w:rFonts w:hint="default" w:ascii="仿宋_GB2312" w:eastAsia="仿宋_GB2312" w:cs="仿宋"/>
                <w:bCs/>
                <w:color w:val="auto"/>
                <w:sz w:val="24"/>
                <w:szCs w:val="24"/>
                <w:vertAlign w:val="baseline"/>
                <w:lang w:val="en-US" w:eastAsia="zh-CN"/>
              </w:rPr>
            </w:pPr>
            <w:r>
              <w:rPr>
                <w:rFonts w:hint="eastAsia" w:ascii="仿宋_GB2312" w:eastAsia="仿宋_GB2312" w:cs="仿宋"/>
                <w:bCs/>
                <w:color w:val="auto"/>
                <w:sz w:val="24"/>
                <w:szCs w:val="24"/>
                <w:vertAlign w:val="baseline"/>
                <w:lang w:val="en-US" w:eastAsia="zh-CN"/>
              </w:rPr>
              <w:t>根据近3年临床经验，结合多囊卵巢综合征导致不孕的病因病机，最终选定穴位埋线取穴及雷火灸取穴及操作方法</w:t>
            </w:r>
          </w:p>
        </w:tc>
      </w:tr>
      <w:tr w14:paraId="6DB42E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1" w:type="pct"/>
          </w:tcPr>
          <w:p w14:paraId="2820FE0C">
            <w:pPr>
              <w:pStyle w:val="29"/>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400" w:lineRule="exact"/>
              <w:ind w:left="0" w:right="0"/>
              <w:textAlignment w:val="auto"/>
              <w:rPr>
                <w:rFonts w:hint="default" w:ascii="仿宋_GB2312" w:eastAsia="仿宋_GB2312" w:cs="仿宋"/>
                <w:bCs/>
                <w:color w:val="auto"/>
                <w:sz w:val="24"/>
                <w:szCs w:val="24"/>
                <w:vertAlign w:val="baseline"/>
                <w:lang w:val="en-US" w:eastAsia="zh-CN"/>
              </w:rPr>
            </w:pPr>
            <w:r>
              <w:rPr>
                <w:rFonts w:hint="eastAsia" w:ascii="仿宋_GB2312" w:eastAsia="仿宋_GB2312" w:cs="仿宋"/>
                <w:bCs/>
                <w:color w:val="auto"/>
                <w:sz w:val="24"/>
                <w:szCs w:val="24"/>
                <w:vertAlign w:val="baseline"/>
                <w:lang w:val="en-US" w:eastAsia="zh-CN"/>
              </w:rPr>
              <w:t>2023年</w:t>
            </w:r>
          </w:p>
        </w:tc>
        <w:tc>
          <w:tcPr>
            <w:tcW w:w="636" w:type="pct"/>
          </w:tcPr>
          <w:p w14:paraId="057FB708">
            <w:pPr>
              <w:pStyle w:val="29"/>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400" w:lineRule="exact"/>
              <w:ind w:left="0" w:right="0"/>
              <w:textAlignment w:val="auto"/>
              <w:rPr>
                <w:rFonts w:hint="default" w:ascii="仿宋_GB2312" w:eastAsia="仿宋_GB2312" w:cs="仿宋"/>
                <w:bCs/>
                <w:color w:val="auto"/>
                <w:sz w:val="24"/>
                <w:szCs w:val="24"/>
                <w:vertAlign w:val="baseline"/>
                <w:lang w:val="en-US" w:eastAsia="zh-CN"/>
              </w:rPr>
            </w:pPr>
            <w:r>
              <w:rPr>
                <w:rFonts w:hint="eastAsia" w:ascii="仿宋_GB2312" w:eastAsia="仿宋_GB2312" w:cs="仿宋"/>
                <w:bCs/>
                <w:color w:val="auto"/>
                <w:sz w:val="24"/>
                <w:szCs w:val="24"/>
                <w:vertAlign w:val="baseline"/>
                <w:lang w:val="en-US" w:eastAsia="zh-CN"/>
              </w:rPr>
              <w:t>肾阳虚证</w:t>
            </w:r>
          </w:p>
        </w:tc>
        <w:tc>
          <w:tcPr>
            <w:tcW w:w="1277" w:type="pct"/>
          </w:tcPr>
          <w:p w14:paraId="26430656">
            <w:pPr>
              <w:pStyle w:val="29"/>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400" w:lineRule="exact"/>
              <w:ind w:left="0" w:right="0"/>
              <w:textAlignment w:val="auto"/>
              <w:rPr>
                <w:rFonts w:hint="default" w:ascii="仿宋_GB2312" w:eastAsia="仿宋_GB2312" w:cs="仿宋"/>
                <w:bCs/>
                <w:color w:val="auto"/>
                <w:sz w:val="24"/>
                <w:szCs w:val="24"/>
                <w:vertAlign w:val="baseline"/>
                <w:lang w:val="en-US" w:eastAsia="zh-CN"/>
              </w:rPr>
            </w:pPr>
            <w:r>
              <w:rPr>
                <w:rFonts w:hint="eastAsia" w:ascii="仿宋_GB2312" w:eastAsia="仿宋_GB2312" w:cs="仿宋"/>
                <w:bCs/>
                <w:color w:val="auto"/>
                <w:sz w:val="24"/>
                <w:szCs w:val="24"/>
                <w:vertAlign w:val="baseline"/>
                <w:lang w:val="en-US" w:eastAsia="zh-CN"/>
              </w:rPr>
              <w:t>雷火灸采用回旋灸方法灸命门</w:t>
            </w:r>
            <w:r>
              <w:rPr>
                <w:rFonts w:hint="eastAsia" w:ascii="仿宋_GB2312" w:eastAsia="仿宋_GB2312"/>
                <w:color w:val="auto"/>
                <w:sz w:val="24"/>
                <w:szCs w:val="24"/>
                <w:lang w:val="en-US" w:eastAsia="zh-CN"/>
              </w:rPr>
              <w:t>、</w:t>
            </w:r>
            <w:r>
              <w:rPr>
                <w:rFonts w:hint="eastAsia" w:ascii="仿宋_GB2312" w:eastAsia="仿宋_GB2312" w:cs="仿宋"/>
                <w:bCs/>
                <w:color w:val="auto"/>
                <w:sz w:val="24"/>
                <w:szCs w:val="24"/>
                <w:vertAlign w:val="baseline"/>
                <w:lang w:val="en-US" w:eastAsia="zh-CN"/>
              </w:rPr>
              <w:t>肾俞</w:t>
            </w:r>
            <w:r>
              <w:rPr>
                <w:rFonts w:hint="eastAsia" w:ascii="仿宋_GB2312" w:eastAsia="仿宋_GB2312"/>
                <w:color w:val="auto"/>
                <w:sz w:val="24"/>
                <w:szCs w:val="24"/>
                <w:lang w:val="en-US" w:eastAsia="zh-CN"/>
              </w:rPr>
              <w:t>、</w:t>
            </w:r>
            <w:r>
              <w:rPr>
                <w:rFonts w:hint="eastAsia" w:ascii="仿宋_GB2312" w:eastAsia="仿宋_GB2312" w:cs="仿宋"/>
                <w:bCs/>
                <w:color w:val="auto"/>
                <w:sz w:val="24"/>
                <w:szCs w:val="24"/>
                <w:vertAlign w:val="baseline"/>
                <w:lang w:val="en-US" w:eastAsia="zh-CN"/>
              </w:rPr>
              <w:t>脾俞</w:t>
            </w:r>
          </w:p>
        </w:tc>
        <w:tc>
          <w:tcPr>
            <w:tcW w:w="1620" w:type="pct"/>
            <w:vAlign w:val="top"/>
          </w:tcPr>
          <w:p w14:paraId="0EBC490B">
            <w:pPr>
              <w:pStyle w:val="29"/>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400" w:lineRule="exact"/>
              <w:ind w:left="0" w:right="0"/>
              <w:jc w:val="both"/>
              <w:textAlignment w:val="auto"/>
              <w:rPr>
                <w:rFonts w:hint="default" w:ascii="仿宋_GB2312" w:eastAsia="仿宋_GB2312" w:cs="仿宋"/>
                <w:bCs/>
                <w:color w:val="auto"/>
                <w:sz w:val="24"/>
                <w:szCs w:val="24"/>
                <w:vertAlign w:val="baseline"/>
                <w:lang w:val="en-US" w:eastAsia="zh-CN"/>
              </w:rPr>
            </w:pPr>
            <w:r>
              <w:rPr>
                <w:rFonts w:hint="eastAsia" w:ascii="仿宋_GB2312" w:eastAsia="仿宋_GB2312" w:cs="仿宋"/>
                <w:bCs/>
                <w:color w:val="auto"/>
                <w:sz w:val="24"/>
                <w:szCs w:val="24"/>
                <w:vertAlign w:val="baseline"/>
                <w:lang w:val="en-US" w:eastAsia="zh-CN"/>
              </w:rPr>
              <w:t>饮食较前好，痛经较前少，血块较前减少。</w:t>
            </w:r>
          </w:p>
        </w:tc>
        <w:tc>
          <w:tcPr>
            <w:tcW w:w="944" w:type="pct"/>
            <w:vMerge w:val="continue"/>
          </w:tcPr>
          <w:p w14:paraId="3FA3CB19">
            <w:pPr>
              <w:pStyle w:val="29"/>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400" w:lineRule="exact"/>
              <w:ind w:left="0" w:right="0"/>
              <w:textAlignment w:val="auto"/>
              <w:rPr>
                <w:rFonts w:hint="eastAsia" w:ascii="仿宋_GB2312" w:eastAsia="仿宋_GB2312" w:cs="仿宋"/>
                <w:bCs/>
                <w:color w:val="auto"/>
                <w:sz w:val="24"/>
                <w:szCs w:val="24"/>
                <w:vertAlign w:val="baseline"/>
                <w:lang w:val="en-US" w:eastAsia="zh-CN"/>
              </w:rPr>
            </w:pPr>
          </w:p>
        </w:tc>
      </w:tr>
      <w:tr w14:paraId="03C830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1" w:type="pct"/>
          </w:tcPr>
          <w:p w14:paraId="70ADF13A">
            <w:pPr>
              <w:pStyle w:val="29"/>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400" w:lineRule="exact"/>
              <w:ind w:left="0" w:right="0"/>
              <w:textAlignment w:val="auto"/>
              <w:rPr>
                <w:rFonts w:hint="default" w:ascii="仿宋_GB2312" w:eastAsia="仿宋_GB2312" w:cs="仿宋"/>
                <w:bCs/>
                <w:color w:val="auto"/>
                <w:sz w:val="24"/>
                <w:szCs w:val="24"/>
                <w:vertAlign w:val="baseline"/>
                <w:lang w:val="en-US" w:eastAsia="zh-CN"/>
              </w:rPr>
            </w:pPr>
            <w:r>
              <w:rPr>
                <w:rFonts w:hint="eastAsia" w:ascii="仿宋_GB2312" w:eastAsia="仿宋_GB2312" w:cs="仿宋"/>
                <w:bCs/>
                <w:color w:val="auto"/>
                <w:sz w:val="24"/>
                <w:szCs w:val="24"/>
                <w:vertAlign w:val="baseline"/>
                <w:lang w:val="en-US" w:eastAsia="zh-CN"/>
              </w:rPr>
              <w:t>2024年</w:t>
            </w:r>
          </w:p>
        </w:tc>
        <w:tc>
          <w:tcPr>
            <w:tcW w:w="636" w:type="pct"/>
          </w:tcPr>
          <w:p w14:paraId="021FB0A8">
            <w:pPr>
              <w:pStyle w:val="29"/>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400" w:lineRule="exact"/>
              <w:ind w:left="0" w:right="0"/>
              <w:textAlignment w:val="auto"/>
              <w:rPr>
                <w:rFonts w:hint="default" w:ascii="仿宋_GB2312" w:eastAsia="仿宋_GB2312" w:cs="仿宋"/>
                <w:bCs/>
                <w:color w:val="auto"/>
                <w:sz w:val="24"/>
                <w:szCs w:val="24"/>
                <w:vertAlign w:val="baseline"/>
                <w:lang w:val="en-US" w:eastAsia="zh-CN"/>
              </w:rPr>
            </w:pPr>
            <w:r>
              <w:rPr>
                <w:rFonts w:hint="eastAsia" w:ascii="仿宋_GB2312" w:eastAsia="仿宋_GB2312" w:cs="仿宋"/>
                <w:bCs/>
                <w:color w:val="auto"/>
                <w:sz w:val="24"/>
                <w:szCs w:val="24"/>
                <w:vertAlign w:val="baseline"/>
                <w:lang w:val="en-US" w:eastAsia="zh-CN"/>
              </w:rPr>
              <w:t>痰湿证</w:t>
            </w:r>
          </w:p>
        </w:tc>
        <w:tc>
          <w:tcPr>
            <w:tcW w:w="1277" w:type="pct"/>
          </w:tcPr>
          <w:p w14:paraId="55336D61">
            <w:pPr>
              <w:pStyle w:val="29"/>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400" w:lineRule="exact"/>
              <w:ind w:left="0" w:right="0"/>
              <w:textAlignment w:val="auto"/>
              <w:rPr>
                <w:rFonts w:hint="default" w:ascii="仿宋_GB2312" w:eastAsia="仿宋_GB2312" w:cs="仿宋"/>
                <w:bCs/>
                <w:color w:val="auto"/>
                <w:sz w:val="24"/>
                <w:szCs w:val="24"/>
                <w:vertAlign w:val="baseline"/>
                <w:lang w:val="en-US" w:eastAsia="zh-CN"/>
              </w:rPr>
            </w:pPr>
            <w:r>
              <w:rPr>
                <w:rFonts w:hint="eastAsia" w:ascii="仿宋_GB2312" w:eastAsia="仿宋_GB2312" w:cs="仿宋"/>
                <w:bCs/>
                <w:color w:val="auto"/>
                <w:sz w:val="24"/>
                <w:szCs w:val="24"/>
                <w:vertAlign w:val="baseline"/>
                <w:lang w:val="en-US" w:eastAsia="zh-CN"/>
              </w:rPr>
              <w:t>穴位埋线中脘</w:t>
            </w:r>
            <w:r>
              <w:rPr>
                <w:rFonts w:hint="eastAsia" w:ascii="仿宋_GB2312" w:eastAsia="仿宋_GB2312"/>
                <w:color w:val="auto"/>
                <w:sz w:val="24"/>
                <w:szCs w:val="24"/>
                <w:lang w:val="en-US" w:eastAsia="zh-CN"/>
              </w:rPr>
              <w:t>、</w:t>
            </w:r>
            <w:r>
              <w:rPr>
                <w:rFonts w:hint="eastAsia" w:ascii="仿宋_GB2312" w:eastAsia="仿宋_GB2312" w:cs="仿宋"/>
                <w:bCs/>
                <w:color w:val="auto"/>
                <w:sz w:val="24"/>
                <w:szCs w:val="24"/>
                <w:vertAlign w:val="baseline"/>
                <w:lang w:val="en-US" w:eastAsia="zh-CN"/>
              </w:rPr>
              <w:t>水分</w:t>
            </w:r>
            <w:r>
              <w:rPr>
                <w:rFonts w:hint="eastAsia" w:ascii="仿宋_GB2312" w:eastAsia="仿宋_GB2312"/>
                <w:color w:val="auto"/>
                <w:sz w:val="24"/>
                <w:szCs w:val="24"/>
                <w:lang w:val="en-US" w:eastAsia="zh-CN"/>
              </w:rPr>
              <w:t>、</w:t>
            </w:r>
            <w:r>
              <w:rPr>
                <w:rFonts w:hint="eastAsia" w:ascii="仿宋_GB2312" w:eastAsia="仿宋_GB2312" w:cs="仿宋"/>
                <w:bCs/>
                <w:color w:val="auto"/>
                <w:sz w:val="24"/>
                <w:szCs w:val="24"/>
                <w:vertAlign w:val="baseline"/>
                <w:lang w:val="en-US" w:eastAsia="zh-CN"/>
              </w:rPr>
              <w:t>天枢</w:t>
            </w:r>
            <w:r>
              <w:rPr>
                <w:rFonts w:hint="eastAsia" w:ascii="仿宋_GB2312" w:eastAsia="仿宋_GB2312"/>
                <w:color w:val="auto"/>
                <w:sz w:val="24"/>
                <w:szCs w:val="24"/>
                <w:lang w:val="en-US" w:eastAsia="zh-CN"/>
              </w:rPr>
              <w:t>、</w:t>
            </w:r>
            <w:r>
              <w:rPr>
                <w:rFonts w:hint="eastAsia" w:ascii="仿宋_GB2312" w:eastAsia="仿宋_GB2312" w:cs="仿宋"/>
                <w:bCs/>
                <w:color w:val="auto"/>
                <w:sz w:val="24"/>
                <w:szCs w:val="24"/>
                <w:vertAlign w:val="baseline"/>
                <w:lang w:val="en-US" w:eastAsia="zh-CN"/>
              </w:rPr>
              <w:t>大横</w:t>
            </w:r>
            <w:r>
              <w:rPr>
                <w:rFonts w:hint="eastAsia" w:ascii="仿宋_GB2312" w:eastAsia="仿宋_GB2312"/>
                <w:color w:val="auto"/>
                <w:sz w:val="24"/>
                <w:szCs w:val="24"/>
                <w:lang w:val="en-US" w:eastAsia="zh-CN"/>
              </w:rPr>
              <w:t>、</w:t>
            </w:r>
            <w:r>
              <w:rPr>
                <w:rFonts w:hint="eastAsia" w:ascii="仿宋_GB2312" w:eastAsia="仿宋_GB2312" w:cs="仿宋"/>
                <w:bCs/>
                <w:color w:val="auto"/>
                <w:sz w:val="24"/>
                <w:szCs w:val="24"/>
                <w:vertAlign w:val="baseline"/>
                <w:lang w:val="en-US" w:eastAsia="zh-CN"/>
              </w:rPr>
              <w:t>气海</w:t>
            </w:r>
            <w:r>
              <w:rPr>
                <w:rFonts w:hint="eastAsia" w:ascii="仿宋_GB2312" w:eastAsia="仿宋_GB2312"/>
                <w:color w:val="auto"/>
                <w:sz w:val="24"/>
                <w:szCs w:val="24"/>
                <w:lang w:val="en-US" w:eastAsia="zh-CN"/>
              </w:rPr>
              <w:t>、</w:t>
            </w:r>
            <w:r>
              <w:rPr>
                <w:rFonts w:hint="eastAsia" w:ascii="仿宋_GB2312" w:eastAsia="仿宋_GB2312" w:cs="仿宋"/>
                <w:bCs/>
                <w:color w:val="auto"/>
                <w:sz w:val="24"/>
                <w:szCs w:val="24"/>
                <w:vertAlign w:val="baseline"/>
                <w:lang w:val="en-US" w:eastAsia="zh-CN"/>
              </w:rPr>
              <w:t>丰隆</w:t>
            </w:r>
            <w:r>
              <w:rPr>
                <w:rFonts w:hint="eastAsia" w:ascii="仿宋_GB2312" w:eastAsia="仿宋_GB2312"/>
                <w:color w:val="auto"/>
                <w:sz w:val="24"/>
                <w:szCs w:val="24"/>
                <w:lang w:val="en-US" w:eastAsia="zh-CN"/>
              </w:rPr>
              <w:t>、</w:t>
            </w:r>
            <w:r>
              <w:rPr>
                <w:rFonts w:hint="eastAsia" w:ascii="仿宋_GB2312" w:eastAsia="仿宋_GB2312" w:cs="仿宋"/>
                <w:bCs/>
                <w:color w:val="auto"/>
                <w:sz w:val="24"/>
                <w:szCs w:val="24"/>
                <w:vertAlign w:val="baseline"/>
                <w:lang w:val="en-US" w:eastAsia="zh-CN"/>
              </w:rPr>
              <w:t>足三里</w:t>
            </w:r>
          </w:p>
        </w:tc>
        <w:tc>
          <w:tcPr>
            <w:tcW w:w="1620" w:type="pct"/>
          </w:tcPr>
          <w:p w14:paraId="2CF2FA59">
            <w:pPr>
              <w:pStyle w:val="29"/>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400" w:lineRule="exact"/>
              <w:ind w:left="0" w:right="0"/>
              <w:textAlignment w:val="auto"/>
              <w:rPr>
                <w:rFonts w:hint="default" w:ascii="仿宋_GB2312" w:eastAsia="仿宋_GB2312" w:cs="仿宋"/>
                <w:bCs/>
                <w:color w:val="auto"/>
                <w:sz w:val="24"/>
                <w:szCs w:val="24"/>
                <w:vertAlign w:val="baseline"/>
                <w:lang w:val="en-US" w:eastAsia="zh-CN"/>
              </w:rPr>
            </w:pPr>
            <w:r>
              <w:rPr>
                <w:rFonts w:hint="eastAsia" w:ascii="仿宋_GB2312" w:eastAsia="仿宋_GB2312" w:cs="仿宋"/>
                <w:bCs/>
                <w:color w:val="auto"/>
                <w:sz w:val="24"/>
                <w:szCs w:val="24"/>
                <w:vertAlign w:val="baseline"/>
                <w:lang w:val="en-US" w:eastAsia="zh-CN"/>
              </w:rPr>
              <w:t>体重明显减轻，基础卵泡数较前下降。</w:t>
            </w:r>
          </w:p>
        </w:tc>
        <w:tc>
          <w:tcPr>
            <w:tcW w:w="944" w:type="pct"/>
            <w:vMerge w:val="continue"/>
          </w:tcPr>
          <w:p w14:paraId="632B14B5">
            <w:pPr>
              <w:pStyle w:val="29"/>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400" w:lineRule="exact"/>
              <w:ind w:left="0" w:right="0"/>
              <w:textAlignment w:val="auto"/>
              <w:rPr>
                <w:rFonts w:hint="eastAsia" w:ascii="仿宋_GB2312" w:eastAsia="仿宋_GB2312" w:cs="仿宋"/>
                <w:bCs/>
                <w:color w:val="auto"/>
                <w:sz w:val="24"/>
                <w:szCs w:val="24"/>
                <w:vertAlign w:val="baseline"/>
                <w:lang w:val="en-US" w:eastAsia="zh-CN"/>
              </w:rPr>
            </w:pPr>
          </w:p>
        </w:tc>
      </w:tr>
      <w:tr w14:paraId="54823F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75" w:hRule="atLeast"/>
        </w:trPr>
        <w:tc>
          <w:tcPr>
            <w:tcW w:w="521" w:type="pct"/>
          </w:tcPr>
          <w:p w14:paraId="3D0BE786">
            <w:pPr>
              <w:pStyle w:val="29"/>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400" w:lineRule="exact"/>
              <w:ind w:left="0" w:right="0"/>
              <w:textAlignment w:val="auto"/>
              <w:rPr>
                <w:rFonts w:hint="default" w:ascii="仿宋_GB2312" w:eastAsia="仿宋_GB2312" w:cs="仿宋"/>
                <w:bCs/>
                <w:color w:val="auto"/>
                <w:sz w:val="24"/>
                <w:szCs w:val="24"/>
                <w:vertAlign w:val="baseline"/>
                <w:lang w:val="en-US" w:eastAsia="zh-CN"/>
              </w:rPr>
            </w:pPr>
            <w:r>
              <w:rPr>
                <w:rFonts w:hint="eastAsia" w:ascii="仿宋_GB2312" w:eastAsia="仿宋_GB2312" w:cs="仿宋"/>
                <w:bCs/>
                <w:color w:val="auto"/>
                <w:sz w:val="24"/>
                <w:szCs w:val="24"/>
                <w:vertAlign w:val="baseline"/>
                <w:lang w:val="en-US" w:eastAsia="zh-CN"/>
              </w:rPr>
              <w:t>2024年</w:t>
            </w:r>
          </w:p>
        </w:tc>
        <w:tc>
          <w:tcPr>
            <w:tcW w:w="636" w:type="pct"/>
          </w:tcPr>
          <w:p w14:paraId="73632316">
            <w:pPr>
              <w:pStyle w:val="29"/>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400" w:lineRule="exact"/>
              <w:ind w:left="0" w:right="0"/>
              <w:textAlignment w:val="auto"/>
              <w:rPr>
                <w:rFonts w:hint="default" w:ascii="仿宋_GB2312" w:eastAsia="仿宋_GB2312" w:cs="仿宋"/>
                <w:bCs/>
                <w:color w:val="auto"/>
                <w:sz w:val="24"/>
                <w:szCs w:val="24"/>
                <w:vertAlign w:val="baseline"/>
                <w:lang w:val="en-US" w:eastAsia="zh-CN"/>
              </w:rPr>
            </w:pPr>
            <w:r>
              <w:rPr>
                <w:rFonts w:hint="eastAsia" w:ascii="仿宋_GB2312" w:eastAsia="仿宋_GB2312" w:cs="仿宋"/>
                <w:bCs/>
                <w:color w:val="auto"/>
                <w:sz w:val="24"/>
                <w:szCs w:val="24"/>
                <w:vertAlign w:val="baseline"/>
                <w:lang w:val="en-US" w:eastAsia="zh-CN"/>
              </w:rPr>
              <w:t>肝郁证</w:t>
            </w:r>
          </w:p>
        </w:tc>
        <w:tc>
          <w:tcPr>
            <w:tcW w:w="1277" w:type="pct"/>
          </w:tcPr>
          <w:p w14:paraId="4522DB27">
            <w:pPr>
              <w:pStyle w:val="29"/>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400" w:lineRule="exact"/>
              <w:ind w:left="0" w:right="0"/>
              <w:textAlignment w:val="auto"/>
              <w:rPr>
                <w:rFonts w:hint="default" w:ascii="仿宋_GB2312" w:eastAsia="仿宋_GB2312" w:cs="仿宋"/>
                <w:bCs/>
                <w:color w:val="auto"/>
                <w:sz w:val="24"/>
                <w:szCs w:val="24"/>
                <w:vertAlign w:val="baseline"/>
                <w:lang w:val="en-US" w:eastAsia="zh-CN"/>
              </w:rPr>
            </w:pPr>
            <w:r>
              <w:rPr>
                <w:rFonts w:hint="eastAsia" w:ascii="仿宋_GB2312" w:eastAsia="仿宋_GB2312" w:cs="仿宋"/>
                <w:bCs/>
                <w:color w:val="auto"/>
                <w:sz w:val="24"/>
                <w:szCs w:val="24"/>
                <w:vertAlign w:val="baseline"/>
                <w:lang w:val="en-US" w:eastAsia="zh-CN"/>
              </w:rPr>
              <w:t>穴位埋线曲池</w:t>
            </w:r>
            <w:r>
              <w:rPr>
                <w:rFonts w:hint="eastAsia" w:ascii="仿宋_GB2312" w:eastAsia="仿宋_GB2312"/>
                <w:color w:val="auto"/>
                <w:sz w:val="24"/>
                <w:szCs w:val="24"/>
                <w:lang w:val="en-US" w:eastAsia="zh-CN"/>
              </w:rPr>
              <w:t>、</w:t>
            </w:r>
            <w:r>
              <w:rPr>
                <w:rFonts w:hint="eastAsia" w:ascii="仿宋_GB2312" w:eastAsia="仿宋_GB2312" w:cs="仿宋"/>
                <w:bCs/>
                <w:color w:val="auto"/>
                <w:sz w:val="24"/>
                <w:szCs w:val="24"/>
                <w:vertAlign w:val="baseline"/>
                <w:lang w:val="en-US" w:eastAsia="zh-CN"/>
              </w:rPr>
              <w:t>肝俞</w:t>
            </w:r>
            <w:r>
              <w:rPr>
                <w:rFonts w:hint="eastAsia" w:ascii="仿宋_GB2312" w:eastAsia="仿宋_GB2312"/>
                <w:color w:val="auto"/>
                <w:sz w:val="24"/>
                <w:szCs w:val="24"/>
                <w:lang w:val="en-US" w:eastAsia="zh-CN"/>
              </w:rPr>
              <w:t>、</w:t>
            </w:r>
            <w:r>
              <w:rPr>
                <w:rFonts w:hint="eastAsia" w:ascii="仿宋_GB2312" w:eastAsia="仿宋_GB2312" w:cs="仿宋"/>
                <w:bCs/>
                <w:color w:val="auto"/>
                <w:sz w:val="24"/>
                <w:szCs w:val="24"/>
                <w:vertAlign w:val="baseline"/>
                <w:lang w:val="en-US" w:eastAsia="zh-CN"/>
              </w:rPr>
              <w:t>三阴交</w:t>
            </w:r>
            <w:r>
              <w:rPr>
                <w:rFonts w:hint="eastAsia" w:ascii="仿宋_GB2312" w:eastAsia="仿宋_GB2312"/>
                <w:color w:val="auto"/>
                <w:sz w:val="24"/>
                <w:szCs w:val="24"/>
                <w:lang w:val="en-US" w:eastAsia="zh-CN"/>
              </w:rPr>
              <w:t>、</w:t>
            </w:r>
            <w:r>
              <w:rPr>
                <w:rFonts w:hint="eastAsia" w:ascii="仿宋_GB2312" w:eastAsia="仿宋_GB2312" w:cs="仿宋"/>
                <w:bCs/>
                <w:color w:val="auto"/>
                <w:sz w:val="24"/>
                <w:szCs w:val="24"/>
                <w:vertAlign w:val="baseline"/>
                <w:lang w:val="en-US" w:eastAsia="zh-CN"/>
              </w:rPr>
              <w:t>气海</w:t>
            </w:r>
          </w:p>
        </w:tc>
        <w:tc>
          <w:tcPr>
            <w:tcW w:w="1620" w:type="pct"/>
          </w:tcPr>
          <w:p w14:paraId="7825F409">
            <w:pPr>
              <w:pStyle w:val="29"/>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400" w:lineRule="exact"/>
              <w:ind w:left="0" w:right="0"/>
              <w:textAlignment w:val="auto"/>
              <w:rPr>
                <w:rFonts w:hint="default" w:ascii="仿宋_GB2312" w:eastAsia="仿宋_GB2312" w:cs="仿宋"/>
                <w:bCs/>
                <w:color w:val="auto"/>
                <w:sz w:val="24"/>
                <w:szCs w:val="24"/>
                <w:vertAlign w:val="baseline"/>
                <w:lang w:val="en-US" w:eastAsia="zh-CN"/>
              </w:rPr>
            </w:pPr>
            <w:r>
              <w:rPr>
                <w:rFonts w:hint="eastAsia" w:ascii="仿宋_GB2312" w:eastAsia="仿宋_GB2312" w:cs="仿宋"/>
                <w:bCs/>
                <w:color w:val="auto"/>
                <w:sz w:val="24"/>
                <w:szCs w:val="24"/>
                <w:vertAlign w:val="baseline"/>
                <w:lang w:val="en-US" w:eastAsia="zh-CN"/>
              </w:rPr>
              <w:t>睡眠较前好，情绪较前稳定，痛经减轻，LH/FSH较前稍下降。</w:t>
            </w:r>
          </w:p>
        </w:tc>
        <w:tc>
          <w:tcPr>
            <w:tcW w:w="944" w:type="pct"/>
            <w:vMerge w:val="continue"/>
          </w:tcPr>
          <w:p w14:paraId="0B8A4392">
            <w:pPr>
              <w:pStyle w:val="29"/>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400" w:lineRule="exact"/>
              <w:ind w:left="0" w:right="0"/>
              <w:textAlignment w:val="auto"/>
              <w:rPr>
                <w:rFonts w:hint="eastAsia" w:ascii="仿宋_GB2312" w:eastAsia="仿宋_GB2312" w:cs="仿宋"/>
                <w:bCs/>
                <w:color w:val="auto"/>
                <w:sz w:val="24"/>
                <w:szCs w:val="24"/>
                <w:vertAlign w:val="baseline"/>
                <w:lang w:val="en-US" w:eastAsia="zh-CN"/>
              </w:rPr>
            </w:pPr>
          </w:p>
        </w:tc>
      </w:tr>
      <w:tr w14:paraId="5CA273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1" w:type="pct"/>
          </w:tcPr>
          <w:p w14:paraId="5D91E10D">
            <w:pPr>
              <w:pStyle w:val="29"/>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400" w:lineRule="exact"/>
              <w:ind w:left="0" w:right="0"/>
              <w:textAlignment w:val="auto"/>
              <w:rPr>
                <w:rFonts w:hint="default" w:ascii="仿宋_GB2312" w:eastAsia="仿宋_GB2312" w:cs="仿宋"/>
                <w:bCs/>
                <w:color w:val="auto"/>
                <w:sz w:val="24"/>
                <w:szCs w:val="24"/>
                <w:vertAlign w:val="baseline"/>
                <w:lang w:val="en-US" w:eastAsia="zh-CN"/>
              </w:rPr>
            </w:pPr>
            <w:r>
              <w:rPr>
                <w:rFonts w:hint="eastAsia" w:ascii="仿宋_GB2312" w:eastAsia="仿宋_GB2312" w:cs="仿宋"/>
                <w:bCs/>
                <w:color w:val="auto"/>
                <w:sz w:val="24"/>
                <w:szCs w:val="24"/>
                <w:vertAlign w:val="baseline"/>
                <w:lang w:val="en-US" w:eastAsia="zh-CN"/>
              </w:rPr>
              <w:t>2024年</w:t>
            </w:r>
          </w:p>
        </w:tc>
        <w:tc>
          <w:tcPr>
            <w:tcW w:w="636" w:type="pct"/>
          </w:tcPr>
          <w:p w14:paraId="0C6EA9D0">
            <w:pPr>
              <w:pStyle w:val="29"/>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400" w:lineRule="exact"/>
              <w:ind w:left="0" w:right="0"/>
              <w:textAlignment w:val="auto"/>
              <w:rPr>
                <w:rFonts w:hint="default" w:ascii="仿宋_GB2312" w:eastAsia="仿宋_GB2312" w:cs="仿宋"/>
                <w:bCs/>
                <w:color w:val="auto"/>
                <w:sz w:val="24"/>
                <w:szCs w:val="24"/>
                <w:vertAlign w:val="baseline"/>
                <w:lang w:val="en-US" w:eastAsia="zh-CN"/>
              </w:rPr>
            </w:pPr>
            <w:r>
              <w:rPr>
                <w:rFonts w:hint="eastAsia" w:ascii="仿宋_GB2312" w:eastAsia="仿宋_GB2312" w:cs="仿宋"/>
                <w:bCs/>
                <w:color w:val="auto"/>
                <w:sz w:val="24"/>
                <w:szCs w:val="24"/>
                <w:vertAlign w:val="baseline"/>
                <w:lang w:val="en-US" w:eastAsia="zh-CN"/>
              </w:rPr>
              <w:t>血瘀证</w:t>
            </w:r>
          </w:p>
        </w:tc>
        <w:tc>
          <w:tcPr>
            <w:tcW w:w="1277" w:type="pct"/>
          </w:tcPr>
          <w:p w14:paraId="10BCEEBB">
            <w:pPr>
              <w:pStyle w:val="29"/>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400" w:lineRule="exact"/>
              <w:ind w:left="0" w:right="0"/>
              <w:textAlignment w:val="auto"/>
              <w:rPr>
                <w:rFonts w:hint="default" w:ascii="仿宋_GB2312" w:eastAsia="仿宋_GB2312" w:cs="仿宋"/>
                <w:bCs/>
                <w:color w:val="auto"/>
                <w:sz w:val="24"/>
                <w:szCs w:val="24"/>
                <w:vertAlign w:val="baseline"/>
                <w:lang w:val="en-US" w:eastAsia="zh-CN"/>
              </w:rPr>
            </w:pPr>
            <w:r>
              <w:rPr>
                <w:rFonts w:hint="eastAsia" w:ascii="仿宋_GB2312" w:eastAsia="仿宋_GB2312" w:cs="仿宋"/>
                <w:bCs/>
                <w:color w:val="auto"/>
                <w:sz w:val="24"/>
                <w:szCs w:val="24"/>
                <w:vertAlign w:val="baseline"/>
                <w:lang w:val="en-US" w:eastAsia="zh-CN"/>
              </w:rPr>
              <w:t>穴位埋线膈俞</w:t>
            </w:r>
            <w:r>
              <w:rPr>
                <w:rFonts w:hint="eastAsia" w:ascii="仿宋_GB2312" w:eastAsia="仿宋_GB2312"/>
                <w:color w:val="auto"/>
                <w:sz w:val="24"/>
                <w:szCs w:val="24"/>
                <w:lang w:val="en-US" w:eastAsia="zh-CN"/>
              </w:rPr>
              <w:t>、</w:t>
            </w:r>
            <w:r>
              <w:rPr>
                <w:rFonts w:hint="eastAsia" w:ascii="仿宋_GB2312" w:eastAsia="仿宋_GB2312" w:cs="仿宋"/>
                <w:bCs/>
                <w:color w:val="auto"/>
                <w:sz w:val="24"/>
                <w:szCs w:val="24"/>
                <w:vertAlign w:val="baseline"/>
                <w:lang w:val="en-US" w:eastAsia="zh-CN"/>
              </w:rPr>
              <w:t>血海</w:t>
            </w:r>
            <w:r>
              <w:rPr>
                <w:rFonts w:hint="eastAsia" w:ascii="仿宋_GB2312" w:eastAsia="仿宋_GB2312"/>
                <w:color w:val="auto"/>
                <w:sz w:val="24"/>
                <w:szCs w:val="24"/>
                <w:lang w:val="en-US" w:eastAsia="zh-CN"/>
              </w:rPr>
              <w:t>、</w:t>
            </w:r>
            <w:r>
              <w:rPr>
                <w:rFonts w:hint="eastAsia" w:ascii="仿宋_GB2312" w:eastAsia="仿宋_GB2312" w:cs="仿宋"/>
                <w:bCs/>
                <w:color w:val="auto"/>
                <w:sz w:val="24"/>
                <w:szCs w:val="24"/>
                <w:vertAlign w:val="baseline"/>
                <w:lang w:val="en-US" w:eastAsia="zh-CN"/>
              </w:rPr>
              <w:t>中脘</w:t>
            </w:r>
            <w:r>
              <w:rPr>
                <w:rFonts w:hint="eastAsia" w:ascii="仿宋_GB2312" w:eastAsia="仿宋_GB2312"/>
                <w:color w:val="auto"/>
                <w:sz w:val="24"/>
                <w:szCs w:val="24"/>
                <w:lang w:val="en-US" w:eastAsia="zh-CN"/>
              </w:rPr>
              <w:t>、</w:t>
            </w:r>
            <w:r>
              <w:rPr>
                <w:rFonts w:hint="eastAsia" w:ascii="仿宋_GB2312" w:eastAsia="仿宋_GB2312" w:cs="仿宋"/>
                <w:bCs/>
                <w:color w:val="auto"/>
                <w:sz w:val="24"/>
                <w:szCs w:val="24"/>
                <w:vertAlign w:val="baseline"/>
                <w:lang w:val="en-US" w:eastAsia="zh-CN"/>
              </w:rPr>
              <w:t>气海</w:t>
            </w:r>
            <w:r>
              <w:rPr>
                <w:rFonts w:hint="eastAsia" w:ascii="仿宋_GB2312" w:eastAsia="仿宋_GB2312"/>
                <w:color w:val="auto"/>
                <w:sz w:val="24"/>
                <w:szCs w:val="24"/>
                <w:lang w:val="en-US" w:eastAsia="zh-CN"/>
              </w:rPr>
              <w:t>、</w:t>
            </w:r>
            <w:r>
              <w:rPr>
                <w:rFonts w:hint="eastAsia" w:ascii="仿宋_GB2312" w:eastAsia="仿宋_GB2312" w:cs="仿宋"/>
                <w:bCs/>
                <w:color w:val="auto"/>
                <w:sz w:val="24"/>
                <w:szCs w:val="24"/>
                <w:vertAlign w:val="baseline"/>
                <w:lang w:val="en-US" w:eastAsia="zh-CN"/>
              </w:rPr>
              <w:t>关元</w:t>
            </w:r>
            <w:r>
              <w:rPr>
                <w:rFonts w:hint="eastAsia" w:ascii="仿宋_GB2312" w:eastAsia="仿宋_GB2312"/>
                <w:color w:val="auto"/>
                <w:sz w:val="24"/>
                <w:szCs w:val="24"/>
                <w:lang w:val="en-US" w:eastAsia="zh-CN"/>
              </w:rPr>
              <w:t>、</w:t>
            </w:r>
            <w:r>
              <w:rPr>
                <w:rFonts w:hint="eastAsia" w:ascii="仿宋_GB2312" w:eastAsia="仿宋_GB2312" w:cs="仿宋"/>
                <w:bCs/>
                <w:color w:val="auto"/>
                <w:sz w:val="24"/>
                <w:szCs w:val="24"/>
                <w:vertAlign w:val="baseline"/>
                <w:lang w:val="en-US" w:eastAsia="zh-CN"/>
              </w:rPr>
              <w:t>足三里</w:t>
            </w:r>
            <w:r>
              <w:rPr>
                <w:rFonts w:hint="eastAsia" w:ascii="仿宋_GB2312" w:eastAsia="仿宋_GB2312"/>
                <w:color w:val="auto"/>
                <w:sz w:val="24"/>
                <w:szCs w:val="24"/>
                <w:lang w:val="en-US" w:eastAsia="zh-CN"/>
              </w:rPr>
              <w:t>、</w:t>
            </w:r>
            <w:r>
              <w:rPr>
                <w:rFonts w:hint="eastAsia" w:ascii="仿宋_GB2312" w:eastAsia="仿宋_GB2312" w:cs="仿宋"/>
                <w:bCs/>
                <w:color w:val="auto"/>
                <w:sz w:val="24"/>
                <w:szCs w:val="24"/>
                <w:vertAlign w:val="baseline"/>
                <w:lang w:val="en-US" w:eastAsia="zh-CN"/>
              </w:rPr>
              <w:t>带脉</w:t>
            </w:r>
          </w:p>
        </w:tc>
        <w:tc>
          <w:tcPr>
            <w:tcW w:w="1620" w:type="pct"/>
          </w:tcPr>
          <w:p w14:paraId="0676BB90">
            <w:pPr>
              <w:pStyle w:val="29"/>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400" w:lineRule="exact"/>
              <w:ind w:left="0" w:right="0"/>
              <w:textAlignment w:val="auto"/>
              <w:rPr>
                <w:rFonts w:hint="default" w:ascii="仿宋_GB2312" w:eastAsia="仿宋_GB2312" w:cs="仿宋"/>
                <w:bCs/>
                <w:color w:val="auto"/>
                <w:sz w:val="24"/>
                <w:szCs w:val="24"/>
                <w:vertAlign w:val="baseline"/>
                <w:lang w:val="en-US" w:eastAsia="zh-CN"/>
              </w:rPr>
            </w:pPr>
            <w:r>
              <w:rPr>
                <w:rFonts w:hint="eastAsia" w:ascii="仿宋_GB2312" w:eastAsia="仿宋_GB2312" w:cs="仿宋"/>
                <w:bCs/>
                <w:color w:val="auto"/>
                <w:sz w:val="24"/>
                <w:szCs w:val="24"/>
                <w:vertAlign w:val="baseline"/>
                <w:lang w:val="en-US" w:eastAsia="zh-CN"/>
              </w:rPr>
              <w:t>月经较前规律，血块较前减少，LH/FSH下降，两侧卵巢基础卵泡个数较前减少。</w:t>
            </w:r>
          </w:p>
        </w:tc>
        <w:tc>
          <w:tcPr>
            <w:tcW w:w="944" w:type="pct"/>
            <w:vMerge w:val="continue"/>
          </w:tcPr>
          <w:p w14:paraId="5A2ECF18">
            <w:pPr>
              <w:pStyle w:val="29"/>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400" w:lineRule="exact"/>
              <w:ind w:left="0" w:right="0"/>
              <w:textAlignment w:val="auto"/>
              <w:rPr>
                <w:rFonts w:hint="eastAsia" w:ascii="仿宋_GB2312" w:eastAsia="仿宋_GB2312" w:cs="仿宋"/>
                <w:bCs/>
                <w:color w:val="auto"/>
                <w:sz w:val="24"/>
                <w:szCs w:val="24"/>
                <w:vertAlign w:val="baseline"/>
                <w:lang w:val="en-US" w:eastAsia="zh-CN"/>
              </w:rPr>
            </w:pPr>
          </w:p>
        </w:tc>
      </w:tr>
      <w:tr w14:paraId="2A60DF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1" w:type="pct"/>
          </w:tcPr>
          <w:p w14:paraId="47D8E7CD">
            <w:pPr>
              <w:pStyle w:val="29"/>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400" w:lineRule="exact"/>
              <w:ind w:left="0" w:right="0"/>
              <w:textAlignment w:val="auto"/>
              <w:rPr>
                <w:rFonts w:hint="default" w:ascii="仿宋_GB2312" w:eastAsia="仿宋_GB2312" w:cs="仿宋"/>
                <w:bCs/>
                <w:color w:val="auto"/>
                <w:sz w:val="24"/>
                <w:szCs w:val="24"/>
                <w:vertAlign w:val="baseline"/>
                <w:lang w:val="en-US" w:eastAsia="zh-CN"/>
              </w:rPr>
            </w:pPr>
            <w:r>
              <w:rPr>
                <w:rFonts w:hint="eastAsia" w:ascii="仿宋_GB2312" w:eastAsia="仿宋_GB2312" w:cs="仿宋"/>
                <w:bCs/>
                <w:color w:val="auto"/>
                <w:sz w:val="24"/>
                <w:szCs w:val="24"/>
                <w:vertAlign w:val="baseline"/>
                <w:lang w:val="en-US" w:eastAsia="zh-CN"/>
              </w:rPr>
              <w:t>2025年</w:t>
            </w:r>
          </w:p>
        </w:tc>
        <w:tc>
          <w:tcPr>
            <w:tcW w:w="636" w:type="pct"/>
          </w:tcPr>
          <w:p w14:paraId="3C32BF6C">
            <w:pPr>
              <w:pStyle w:val="29"/>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400" w:lineRule="exact"/>
              <w:ind w:left="0" w:right="0"/>
              <w:textAlignment w:val="auto"/>
              <w:rPr>
                <w:rFonts w:hint="default" w:ascii="仿宋_GB2312" w:eastAsia="仿宋_GB2312" w:cs="仿宋"/>
                <w:bCs/>
                <w:color w:val="auto"/>
                <w:sz w:val="24"/>
                <w:szCs w:val="24"/>
                <w:vertAlign w:val="baseline"/>
                <w:lang w:val="en-US" w:eastAsia="zh-CN"/>
              </w:rPr>
            </w:pPr>
            <w:r>
              <w:rPr>
                <w:rFonts w:hint="eastAsia" w:ascii="仿宋_GB2312" w:eastAsia="仿宋_GB2312" w:cs="仿宋"/>
                <w:bCs/>
                <w:color w:val="auto"/>
                <w:sz w:val="24"/>
                <w:szCs w:val="24"/>
                <w:vertAlign w:val="baseline"/>
                <w:lang w:val="en-US" w:eastAsia="zh-CN"/>
              </w:rPr>
              <w:t>肾阴虚证</w:t>
            </w:r>
          </w:p>
        </w:tc>
        <w:tc>
          <w:tcPr>
            <w:tcW w:w="1277" w:type="pct"/>
          </w:tcPr>
          <w:p w14:paraId="60163AD2">
            <w:pPr>
              <w:pStyle w:val="29"/>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400" w:lineRule="exact"/>
              <w:ind w:left="0" w:right="0"/>
              <w:textAlignment w:val="auto"/>
              <w:rPr>
                <w:rFonts w:hint="default" w:ascii="仿宋_GB2312" w:eastAsia="仿宋_GB2312" w:cs="仿宋"/>
                <w:bCs/>
                <w:color w:val="auto"/>
                <w:sz w:val="24"/>
                <w:szCs w:val="24"/>
                <w:vertAlign w:val="baseline"/>
                <w:lang w:val="en-US" w:eastAsia="zh-CN"/>
              </w:rPr>
            </w:pPr>
            <w:r>
              <w:rPr>
                <w:rFonts w:hint="eastAsia" w:ascii="仿宋_GB2312" w:eastAsia="仿宋_GB2312" w:cs="仿宋"/>
                <w:bCs/>
                <w:color w:val="auto"/>
                <w:sz w:val="24"/>
                <w:szCs w:val="24"/>
                <w:vertAlign w:val="baseline"/>
                <w:lang w:val="en-US" w:eastAsia="zh-CN"/>
              </w:rPr>
              <w:t>穴位埋线肾俞</w:t>
            </w:r>
            <w:r>
              <w:rPr>
                <w:rFonts w:hint="eastAsia" w:ascii="仿宋_GB2312" w:eastAsia="仿宋_GB2312"/>
                <w:color w:val="auto"/>
                <w:sz w:val="24"/>
                <w:szCs w:val="24"/>
                <w:lang w:val="en-US" w:eastAsia="zh-CN"/>
              </w:rPr>
              <w:t>、</w:t>
            </w:r>
            <w:r>
              <w:rPr>
                <w:rFonts w:hint="eastAsia" w:ascii="仿宋_GB2312" w:eastAsia="仿宋_GB2312" w:cs="仿宋"/>
                <w:bCs/>
                <w:color w:val="auto"/>
                <w:sz w:val="24"/>
                <w:szCs w:val="24"/>
                <w:vertAlign w:val="baseline"/>
                <w:lang w:val="en-US" w:eastAsia="zh-CN"/>
              </w:rPr>
              <w:t>三阴交</w:t>
            </w:r>
            <w:r>
              <w:rPr>
                <w:rFonts w:hint="eastAsia" w:ascii="仿宋_GB2312" w:eastAsia="仿宋_GB2312"/>
                <w:color w:val="auto"/>
                <w:sz w:val="24"/>
                <w:szCs w:val="24"/>
                <w:lang w:val="en-US" w:eastAsia="zh-CN"/>
              </w:rPr>
              <w:t>、</w:t>
            </w:r>
            <w:r>
              <w:rPr>
                <w:rFonts w:hint="eastAsia" w:ascii="仿宋_GB2312" w:eastAsia="仿宋_GB2312" w:cs="仿宋"/>
                <w:bCs/>
                <w:color w:val="auto"/>
                <w:sz w:val="24"/>
                <w:szCs w:val="24"/>
                <w:vertAlign w:val="baseline"/>
                <w:lang w:val="en-US" w:eastAsia="zh-CN"/>
              </w:rPr>
              <w:t>中脘</w:t>
            </w:r>
            <w:r>
              <w:rPr>
                <w:rFonts w:hint="eastAsia" w:ascii="仿宋_GB2312" w:eastAsia="仿宋_GB2312"/>
                <w:color w:val="auto"/>
                <w:sz w:val="24"/>
                <w:szCs w:val="24"/>
                <w:lang w:val="en-US" w:eastAsia="zh-CN"/>
              </w:rPr>
              <w:t>、</w:t>
            </w:r>
            <w:r>
              <w:rPr>
                <w:rFonts w:hint="eastAsia" w:ascii="仿宋_GB2312" w:eastAsia="仿宋_GB2312" w:cs="仿宋"/>
                <w:bCs/>
                <w:color w:val="auto"/>
                <w:sz w:val="24"/>
                <w:szCs w:val="24"/>
                <w:vertAlign w:val="baseline"/>
                <w:lang w:val="en-US" w:eastAsia="zh-CN"/>
              </w:rPr>
              <w:t>关元</w:t>
            </w:r>
            <w:r>
              <w:rPr>
                <w:rFonts w:hint="eastAsia" w:ascii="仿宋_GB2312" w:eastAsia="仿宋_GB2312"/>
                <w:color w:val="auto"/>
                <w:sz w:val="24"/>
                <w:szCs w:val="24"/>
                <w:lang w:val="en-US" w:eastAsia="zh-CN"/>
              </w:rPr>
              <w:t>、</w:t>
            </w:r>
            <w:r>
              <w:rPr>
                <w:rFonts w:hint="eastAsia" w:ascii="仿宋_GB2312" w:eastAsia="仿宋_GB2312" w:cs="仿宋"/>
                <w:bCs/>
                <w:color w:val="auto"/>
                <w:sz w:val="24"/>
                <w:szCs w:val="24"/>
                <w:vertAlign w:val="baseline"/>
                <w:lang w:val="en-US" w:eastAsia="zh-CN"/>
              </w:rPr>
              <w:t>气海</w:t>
            </w:r>
            <w:r>
              <w:rPr>
                <w:rFonts w:hint="eastAsia" w:ascii="仿宋_GB2312" w:eastAsia="仿宋_GB2312"/>
                <w:color w:val="auto"/>
                <w:sz w:val="24"/>
                <w:szCs w:val="24"/>
                <w:lang w:val="en-US" w:eastAsia="zh-CN"/>
              </w:rPr>
              <w:t>、</w:t>
            </w:r>
            <w:r>
              <w:rPr>
                <w:rFonts w:hint="eastAsia" w:ascii="仿宋_GB2312" w:eastAsia="仿宋_GB2312" w:cs="仿宋"/>
                <w:bCs/>
                <w:color w:val="auto"/>
                <w:sz w:val="24"/>
                <w:szCs w:val="24"/>
                <w:vertAlign w:val="baseline"/>
                <w:lang w:val="en-US" w:eastAsia="zh-CN"/>
              </w:rPr>
              <w:t>天枢</w:t>
            </w:r>
            <w:r>
              <w:rPr>
                <w:rFonts w:hint="eastAsia" w:ascii="仿宋_GB2312" w:eastAsia="仿宋_GB2312"/>
                <w:color w:val="auto"/>
                <w:sz w:val="24"/>
                <w:szCs w:val="24"/>
                <w:lang w:val="en-US" w:eastAsia="zh-CN"/>
              </w:rPr>
              <w:t>、</w:t>
            </w:r>
            <w:r>
              <w:rPr>
                <w:rFonts w:hint="eastAsia" w:ascii="仿宋_GB2312" w:eastAsia="仿宋_GB2312" w:cs="仿宋"/>
                <w:bCs/>
                <w:color w:val="auto"/>
                <w:sz w:val="24"/>
                <w:szCs w:val="24"/>
                <w:vertAlign w:val="baseline"/>
                <w:lang w:val="en-US" w:eastAsia="zh-CN"/>
              </w:rPr>
              <w:t>足三里联合雷火灸采用回旋灸方法灸子宫</w:t>
            </w:r>
            <w:r>
              <w:rPr>
                <w:rFonts w:hint="eastAsia" w:ascii="仿宋_GB2312" w:eastAsia="仿宋_GB2312"/>
                <w:color w:val="auto"/>
                <w:sz w:val="24"/>
                <w:szCs w:val="24"/>
                <w:lang w:val="en-US" w:eastAsia="zh-CN"/>
              </w:rPr>
              <w:t>、</w:t>
            </w:r>
            <w:r>
              <w:rPr>
                <w:rFonts w:hint="eastAsia" w:ascii="仿宋_GB2312" w:eastAsia="仿宋_GB2312" w:cs="仿宋"/>
                <w:bCs/>
                <w:color w:val="auto"/>
                <w:sz w:val="24"/>
                <w:szCs w:val="24"/>
                <w:vertAlign w:val="baseline"/>
                <w:lang w:val="en-US" w:eastAsia="zh-CN"/>
              </w:rPr>
              <w:t>关元</w:t>
            </w:r>
            <w:r>
              <w:rPr>
                <w:rFonts w:hint="eastAsia" w:ascii="仿宋_GB2312" w:eastAsia="仿宋_GB2312"/>
                <w:color w:val="auto"/>
                <w:sz w:val="24"/>
                <w:szCs w:val="24"/>
                <w:lang w:val="en-US" w:eastAsia="zh-CN"/>
              </w:rPr>
              <w:t>、</w:t>
            </w:r>
            <w:r>
              <w:rPr>
                <w:rFonts w:hint="eastAsia" w:ascii="仿宋_GB2312" w:eastAsia="仿宋_GB2312" w:cs="仿宋"/>
                <w:bCs/>
                <w:color w:val="auto"/>
                <w:sz w:val="24"/>
                <w:szCs w:val="24"/>
                <w:vertAlign w:val="baseline"/>
                <w:lang w:val="en-US" w:eastAsia="zh-CN"/>
              </w:rPr>
              <w:t>中极</w:t>
            </w:r>
          </w:p>
        </w:tc>
        <w:tc>
          <w:tcPr>
            <w:tcW w:w="1620" w:type="pct"/>
          </w:tcPr>
          <w:p w14:paraId="7D36898B">
            <w:pPr>
              <w:pStyle w:val="29"/>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400" w:lineRule="exact"/>
              <w:ind w:left="0" w:right="0"/>
              <w:textAlignment w:val="auto"/>
              <w:rPr>
                <w:rFonts w:hint="default" w:ascii="仿宋_GB2312" w:eastAsia="仿宋_GB2312" w:cs="仿宋"/>
                <w:bCs/>
                <w:color w:val="auto"/>
                <w:sz w:val="24"/>
                <w:szCs w:val="24"/>
                <w:vertAlign w:val="baseline"/>
                <w:lang w:val="en-US" w:eastAsia="zh-CN"/>
              </w:rPr>
            </w:pPr>
            <w:r>
              <w:rPr>
                <w:rFonts w:hint="eastAsia" w:ascii="仿宋_GB2312" w:eastAsia="仿宋_GB2312" w:cs="仿宋"/>
                <w:bCs/>
                <w:color w:val="auto"/>
                <w:sz w:val="24"/>
                <w:szCs w:val="24"/>
                <w:vertAlign w:val="baseline"/>
                <w:lang w:val="en-US" w:eastAsia="zh-CN"/>
              </w:rPr>
              <w:t>月经较前规律，血块较前减少，LH/FSH下降，两侧卵巢基础卵泡个数较前减少。</w:t>
            </w:r>
          </w:p>
        </w:tc>
        <w:tc>
          <w:tcPr>
            <w:tcW w:w="944" w:type="pct"/>
            <w:vMerge w:val="continue"/>
          </w:tcPr>
          <w:p w14:paraId="75502368">
            <w:pPr>
              <w:pStyle w:val="29"/>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400" w:lineRule="exact"/>
              <w:ind w:left="0" w:right="0"/>
              <w:textAlignment w:val="auto"/>
              <w:rPr>
                <w:rFonts w:hint="eastAsia" w:ascii="仿宋_GB2312" w:eastAsia="仿宋_GB2312" w:cs="仿宋"/>
                <w:bCs/>
                <w:color w:val="auto"/>
                <w:sz w:val="24"/>
                <w:szCs w:val="24"/>
                <w:vertAlign w:val="baseline"/>
                <w:lang w:val="en-US" w:eastAsia="zh-CN"/>
              </w:rPr>
            </w:pPr>
          </w:p>
        </w:tc>
      </w:tr>
      <w:tr w14:paraId="5E2BB1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1" w:type="pct"/>
          </w:tcPr>
          <w:p w14:paraId="71D6FA54">
            <w:pPr>
              <w:pStyle w:val="29"/>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400" w:lineRule="exact"/>
              <w:ind w:left="0" w:right="0"/>
              <w:textAlignment w:val="auto"/>
              <w:rPr>
                <w:rFonts w:hint="default" w:ascii="仿宋_GB2312" w:eastAsia="仿宋_GB2312" w:cs="仿宋"/>
                <w:bCs/>
                <w:color w:val="auto"/>
                <w:sz w:val="24"/>
                <w:szCs w:val="24"/>
                <w:vertAlign w:val="baseline"/>
                <w:lang w:val="en-US" w:eastAsia="zh-CN"/>
              </w:rPr>
            </w:pPr>
            <w:r>
              <w:rPr>
                <w:rFonts w:hint="eastAsia" w:ascii="仿宋_GB2312" w:eastAsia="仿宋_GB2312" w:cs="仿宋"/>
                <w:bCs/>
                <w:color w:val="auto"/>
                <w:sz w:val="24"/>
                <w:szCs w:val="24"/>
                <w:vertAlign w:val="baseline"/>
                <w:lang w:val="en-US" w:eastAsia="zh-CN"/>
              </w:rPr>
              <w:t>2025年</w:t>
            </w:r>
          </w:p>
        </w:tc>
        <w:tc>
          <w:tcPr>
            <w:tcW w:w="636" w:type="pct"/>
          </w:tcPr>
          <w:p w14:paraId="6B5F303A">
            <w:pPr>
              <w:pStyle w:val="29"/>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400" w:lineRule="exact"/>
              <w:ind w:left="0" w:right="0"/>
              <w:textAlignment w:val="auto"/>
              <w:rPr>
                <w:rFonts w:hint="default" w:ascii="仿宋_GB2312" w:eastAsia="仿宋_GB2312" w:cs="仿宋"/>
                <w:bCs/>
                <w:color w:val="auto"/>
                <w:sz w:val="24"/>
                <w:szCs w:val="24"/>
                <w:vertAlign w:val="baseline"/>
                <w:lang w:val="en-US" w:eastAsia="zh-CN"/>
              </w:rPr>
            </w:pPr>
            <w:r>
              <w:rPr>
                <w:rFonts w:hint="eastAsia" w:ascii="仿宋_GB2312" w:eastAsia="仿宋_GB2312" w:cs="仿宋"/>
                <w:bCs/>
                <w:color w:val="auto"/>
                <w:sz w:val="24"/>
                <w:szCs w:val="24"/>
                <w:vertAlign w:val="baseline"/>
                <w:lang w:val="en-US" w:eastAsia="zh-CN"/>
              </w:rPr>
              <w:t>痰湿证</w:t>
            </w:r>
          </w:p>
        </w:tc>
        <w:tc>
          <w:tcPr>
            <w:tcW w:w="1277" w:type="pct"/>
          </w:tcPr>
          <w:p w14:paraId="3B4C02A7">
            <w:pPr>
              <w:pStyle w:val="29"/>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400" w:lineRule="exact"/>
              <w:ind w:left="0" w:right="0"/>
              <w:textAlignment w:val="auto"/>
              <w:rPr>
                <w:rFonts w:hint="default" w:ascii="仿宋_GB2312" w:eastAsia="仿宋_GB2312" w:cs="仿宋"/>
                <w:bCs/>
                <w:color w:val="auto"/>
                <w:sz w:val="24"/>
                <w:szCs w:val="24"/>
                <w:vertAlign w:val="baseline"/>
                <w:lang w:val="en-US" w:eastAsia="zh-CN"/>
              </w:rPr>
            </w:pPr>
            <w:r>
              <w:rPr>
                <w:rFonts w:hint="eastAsia" w:ascii="仿宋_GB2312" w:eastAsia="仿宋_GB2312" w:cs="仿宋"/>
                <w:bCs/>
                <w:color w:val="auto"/>
                <w:sz w:val="24"/>
                <w:szCs w:val="24"/>
                <w:vertAlign w:val="baseline"/>
                <w:lang w:val="en-US" w:eastAsia="zh-CN"/>
              </w:rPr>
              <w:t>穴位埋线中脘</w:t>
            </w:r>
            <w:r>
              <w:rPr>
                <w:rFonts w:hint="eastAsia" w:ascii="仿宋_GB2312" w:eastAsia="仿宋_GB2312"/>
                <w:color w:val="auto"/>
                <w:sz w:val="24"/>
                <w:szCs w:val="24"/>
                <w:lang w:val="en-US" w:eastAsia="zh-CN"/>
              </w:rPr>
              <w:t>、</w:t>
            </w:r>
            <w:r>
              <w:rPr>
                <w:rFonts w:hint="eastAsia" w:ascii="仿宋_GB2312" w:eastAsia="仿宋_GB2312" w:cs="仿宋"/>
                <w:bCs/>
                <w:color w:val="auto"/>
                <w:sz w:val="24"/>
                <w:szCs w:val="24"/>
                <w:vertAlign w:val="baseline"/>
                <w:lang w:val="en-US" w:eastAsia="zh-CN"/>
              </w:rPr>
              <w:t>水分</w:t>
            </w:r>
            <w:r>
              <w:rPr>
                <w:rFonts w:hint="eastAsia" w:ascii="仿宋_GB2312" w:eastAsia="仿宋_GB2312"/>
                <w:color w:val="auto"/>
                <w:sz w:val="24"/>
                <w:szCs w:val="24"/>
                <w:lang w:val="en-US" w:eastAsia="zh-CN"/>
              </w:rPr>
              <w:t>、</w:t>
            </w:r>
            <w:r>
              <w:rPr>
                <w:rFonts w:hint="eastAsia" w:ascii="仿宋_GB2312" w:eastAsia="仿宋_GB2312" w:cs="仿宋"/>
                <w:bCs/>
                <w:color w:val="auto"/>
                <w:sz w:val="24"/>
                <w:szCs w:val="24"/>
                <w:vertAlign w:val="baseline"/>
                <w:lang w:val="en-US" w:eastAsia="zh-CN"/>
              </w:rPr>
              <w:t>天枢</w:t>
            </w:r>
            <w:r>
              <w:rPr>
                <w:rFonts w:hint="eastAsia" w:ascii="仿宋_GB2312" w:eastAsia="仿宋_GB2312"/>
                <w:color w:val="auto"/>
                <w:sz w:val="24"/>
                <w:szCs w:val="24"/>
                <w:lang w:val="en-US" w:eastAsia="zh-CN"/>
              </w:rPr>
              <w:t>、</w:t>
            </w:r>
            <w:r>
              <w:rPr>
                <w:rFonts w:hint="eastAsia" w:ascii="仿宋_GB2312" w:eastAsia="仿宋_GB2312" w:cs="仿宋"/>
                <w:bCs/>
                <w:color w:val="auto"/>
                <w:sz w:val="24"/>
                <w:szCs w:val="24"/>
                <w:vertAlign w:val="baseline"/>
                <w:lang w:val="en-US" w:eastAsia="zh-CN"/>
              </w:rPr>
              <w:t>大横</w:t>
            </w:r>
            <w:r>
              <w:rPr>
                <w:rFonts w:hint="eastAsia" w:ascii="仿宋_GB2312" w:eastAsia="仿宋_GB2312"/>
                <w:color w:val="auto"/>
                <w:sz w:val="24"/>
                <w:szCs w:val="24"/>
                <w:lang w:val="en-US" w:eastAsia="zh-CN"/>
              </w:rPr>
              <w:t>、</w:t>
            </w:r>
            <w:r>
              <w:rPr>
                <w:rFonts w:hint="eastAsia" w:ascii="仿宋_GB2312" w:eastAsia="仿宋_GB2312" w:cs="仿宋"/>
                <w:bCs/>
                <w:color w:val="auto"/>
                <w:sz w:val="24"/>
                <w:szCs w:val="24"/>
                <w:vertAlign w:val="baseline"/>
                <w:lang w:val="en-US" w:eastAsia="zh-CN"/>
              </w:rPr>
              <w:t>气海</w:t>
            </w:r>
            <w:r>
              <w:rPr>
                <w:rFonts w:hint="eastAsia" w:ascii="仿宋_GB2312" w:eastAsia="仿宋_GB2312"/>
                <w:color w:val="auto"/>
                <w:sz w:val="24"/>
                <w:szCs w:val="24"/>
                <w:lang w:val="en-US" w:eastAsia="zh-CN"/>
              </w:rPr>
              <w:t>、关元、</w:t>
            </w:r>
            <w:r>
              <w:rPr>
                <w:rFonts w:hint="eastAsia" w:ascii="仿宋_GB2312" w:eastAsia="仿宋_GB2312" w:cs="仿宋"/>
                <w:bCs/>
                <w:color w:val="auto"/>
                <w:sz w:val="24"/>
                <w:szCs w:val="24"/>
                <w:vertAlign w:val="baseline"/>
                <w:lang w:val="en-US" w:eastAsia="zh-CN"/>
              </w:rPr>
              <w:t>丰隆</w:t>
            </w:r>
            <w:r>
              <w:rPr>
                <w:rFonts w:hint="eastAsia" w:ascii="仿宋_GB2312" w:eastAsia="仿宋_GB2312"/>
                <w:color w:val="auto"/>
                <w:sz w:val="24"/>
                <w:szCs w:val="24"/>
                <w:lang w:val="en-US" w:eastAsia="zh-CN"/>
              </w:rPr>
              <w:t>、</w:t>
            </w:r>
            <w:r>
              <w:rPr>
                <w:rFonts w:hint="eastAsia" w:ascii="仿宋_GB2312" w:eastAsia="仿宋_GB2312" w:cs="仿宋"/>
                <w:bCs/>
                <w:color w:val="auto"/>
                <w:sz w:val="24"/>
                <w:szCs w:val="24"/>
                <w:vertAlign w:val="baseline"/>
                <w:lang w:val="en-US" w:eastAsia="zh-CN"/>
              </w:rPr>
              <w:t>足三里联合雷火灸采用回旋灸方法灸脾俞</w:t>
            </w:r>
            <w:r>
              <w:rPr>
                <w:rFonts w:hint="eastAsia" w:ascii="仿宋_GB2312" w:eastAsia="仿宋_GB2312"/>
                <w:color w:val="auto"/>
                <w:sz w:val="24"/>
                <w:szCs w:val="24"/>
                <w:lang w:val="en-US" w:eastAsia="zh-CN"/>
              </w:rPr>
              <w:t>、</w:t>
            </w:r>
            <w:r>
              <w:rPr>
                <w:rFonts w:hint="eastAsia" w:ascii="仿宋_GB2312" w:eastAsia="仿宋_GB2312" w:cs="仿宋"/>
                <w:bCs/>
                <w:color w:val="auto"/>
                <w:sz w:val="24"/>
                <w:szCs w:val="24"/>
                <w:vertAlign w:val="baseline"/>
                <w:lang w:val="en-US" w:eastAsia="zh-CN"/>
              </w:rPr>
              <w:t>肾俞</w:t>
            </w:r>
            <w:r>
              <w:rPr>
                <w:rFonts w:hint="eastAsia" w:ascii="仿宋_GB2312" w:eastAsia="仿宋_GB2312"/>
                <w:color w:val="auto"/>
                <w:sz w:val="24"/>
                <w:szCs w:val="24"/>
                <w:lang w:val="en-US" w:eastAsia="zh-CN"/>
              </w:rPr>
              <w:t>、命门</w:t>
            </w:r>
          </w:p>
        </w:tc>
        <w:tc>
          <w:tcPr>
            <w:tcW w:w="1620" w:type="pct"/>
          </w:tcPr>
          <w:p w14:paraId="6D3EC924">
            <w:pPr>
              <w:pStyle w:val="29"/>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400" w:lineRule="exact"/>
              <w:ind w:left="0" w:right="0"/>
              <w:textAlignment w:val="auto"/>
              <w:rPr>
                <w:rFonts w:hint="default" w:ascii="仿宋_GB2312" w:eastAsia="仿宋_GB2312" w:cs="仿宋"/>
                <w:bCs/>
                <w:color w:val="auto"/>
                <w:sz w:val="24"/>
                <w:szCs w:val="24"/>
                <w:vertAlign w:val="baseline"/>
                <w:lang w:val="en-US" w:eastAsia="zh-CN"/>
              </w:rPr>
            </w:pPr>
            <w:r>
              <w:rPr>
                <w:rFonts w:hint="eastAsia" w:ascii="仿宋_GB2312" w:eastAsia="仿宋_GB2312" w:cs="仿宋"/>
                <w:bCs/>
                <w:color w:val="auto"/>
                <w:sz w:val="24"/>
                <w:szCs w:val="24"/>
                <w:vertAlign w:val="baseline"/>
                <w:lang w:val="en-US" w:eastAsia="zh-CN"/>
              </w:rPr>
              <w:t>月经延迟天数较前少，体重较前明显减轻，LH/FSH下降，双侧卵巢体积较前稍小，基础卵泡数较前少。</w:t>
            </w:r>
          </w:p>
        </w:tc>
        <w:tc>
          <w:tcPr>
            <w:tcW w:w="944" w:type="pct"/>
            <w:vMerge w:val="continue"/>
          </w:tcPr>
          <w:p w14:paraId="5BC69331">
            <w:pPr>
              <w:pStyle w:val="29"/>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400" w:lineRule="exact"/>
              <w:ind w:left="0" w:right="0"/>
              <w:textAlignment w:val="auto"/>
              <w:rPr>
                <w:rFonts w:hint="eastAsia" w:ascii="仿宋_GB2312" w:eastAsia="仿宋_GB2312" w:cs="仿宋"/>
                <w:bCs/>
                <w:color w:val="auto"/>
                <w:sz w:val="24"/>
                <w:szCs w:val="24"/>
                <w:vertAlign w:val="baseline"/>
                <w:lang w:val="en-US" w:eastAsia="zh-CN"/>
              </w:rPr>
            </w:pPr>
          </w:p>
        </w:tc>
      </w:tr>
    </w:tbl>
    <w:p w14:paraId="0A809EC9">
      <w:pPr>
        <w:pStyle w:val="29"/>
        <w:spacing w:line="520" w:lineRule="exact"/>
        <w:ind w:left="0" w:leftChars="0" w:firstLine="560" w:firstLineChars="200"/>
        <w:rPr>
          <w:rFonts w:hint="eastAsia" w:ascii="仿宋_GB2312" w:eastAsia="仿宋_GB2312" w:cs="仿宋"/>
          <w:b/>
          <w:bCs w:val="0"/>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以南宁市第二人民医院为例，近</w:t>
      </w:r>
      <w:r>
        <w:rPr>
          <w:rFonts w:hint="eastAsia" w:ascii="仿宋_GB2312" w:eastAsia="仿宋_GB2312"/>
          <w:color w:val="auto"/>
          <w:sz w:val="28"/>
          <w:szCs w:val="28"/>
        </w:rPr>
        <w:t>3年中，接受穴位埋线联合雷火灸治疗多囊卵巢综合征导致不孕症治疗的患者数量逐年递增，从最初的每年360人次增长至目前的每年1600人次。经过穴位埋线联合雷火灸治疗后，部分患者的不孕症得到改善，有效率达到85%。</w:t>
      </w:r>
    </w:p>
    <w:p w14:paraId="70CE8F0C">
      <w:pPr>
        <w:pStyle w:val="29"/>
        <w:spacing w:line="520" w:lineRule="exact"/>
        <w:ind w:left="0" w:leftChars="0" w:firstLine="0" w:firstLineChars="0"/>
        <w:rPr>
          <w:rFonts w:hint="eastAsia" w:ascii="仿宋_GB2312" w:eastAsia="仿宋_GB2312" w:cs="仿宋"/>
          <w:b/>
          <w:bCs w:val="0"/>
          <w:color w:val="auto"/>
          <w:sz w:val="28"/>
          <w:szCs w:val="28"/>
          <w:highlight w:val="none"/>
          <w:lang w:val="en-US" w:eastAsia="zh-CN"/>
        </w:rPr>
      </w:pPr>
      <w:r>
        <w:rPr>
          <w:rFonts w:hint="eastAsia" w:ascii="仿宋_GB2312" w:eastAsia="仿宋_GB2312" w:cs="仿宋"/>
          <w:b/>
          <w:bCs w:val="0"/>
          <w:color w:val="auto"/>
          <w:sz w:val="28"/>
          <w:szCs w:val="28"/>
          <w:highlight w:val="none"/>
          <w:lang w:val="en-US" w:eastAsia="zh-CN"/>
        </w:rPr>
        <w:t>5、疗程及疗效评估</w:t>
      </w:r>
    </w:p>
    <w:p w14:paraId="32977981">
      <w:pPr>
        <w:pStyle w:val="29"/>
        <w:spacing w:line="520" w:lineRule="exact"/>
        <w:ind w:left="0" w:leftChars="0" w:firstLine="560" w:firstLineChars="200"/>
        <w:rPr>
          <w:rFonts w:hint="default" w:ascii="仿宋_GB2312" w:eastAsia="仿宋_GB2312" w:cs="仿宋"/>
          <w:b w:val="0"/>
          <w:bCs/>
          <w:color w:val="auto"/>
          <w:sz w:val="28"/>
          <w:szCs w:val="28"/>
          <w:highlight w:val="yellow"/>
          <w:lang w:val="en-US" w:eastAsia="zh-CN"/>
        </w:rPr>
      </w:pPr>
      <w:r>
        <w:rPr>
          <w:rFonts w:hint="eastAsia" w:ascii="仿宋_GB2312" w:eastAsia="仿宋_GB2312" w:cs="仿宋"/>
          <w:b w:val="0"/>
          <w:bCs/>
          <w:color w:val="auto"/>
          <w:sz w:val="28"/>
          <w:szCs w:val="28"/>
          <w:highlight w:val="none"/>
          <w:lang w:val="en-US" w:eastAsia="zh-CN"/>
        </w:rPr>
        <w:t>疗程：雷火灸隔日1次，穴位埋线每2周1次，3个月经周期为1疗程，配合月经周期调整治疗节奏（避开月经期）。</w:t>
      </w:r>
    </w:p>
    <w:p w14:paraId="112E19A3">
      <w:pPr>
        <w:pStyle w:val="29"/>
        <w:spacing w:line="520" w:lineRule="exact"/>
        <w:ind w:left="0" w:leftChars="0"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疗效评估：每次治疗记录月经周期、月经量、颜色、血块等月经情况。记录体重、腰围和BMI。每次穴位埋线前复查性激素六项，B超监测卵泡。治疗3个月后复查性激素六项、盆腔超声、B超监测卵泡个数及发育情况。主要依据：西医方面：多囊卵巢综合征主要表现为月经不规律，高雄性激素及卵巢多囊样改变为主要表现，常伴有肥胖等表现，导致不孕的发生。故每次治疗前记录月经周期及月经相关症状，体重、腰围和BMI为了解患者肥胖重要指标，故记录。治疗前后复查性激素六项可明确患者当前内分泌状态，LH/FSH比值是否下降（如高雄性激素是否改善），盆腔超声可评估治疗前后盆腔环境是否得到改善，观察卵巢体积是否缩小，B超监测卵泡一则为了明确诊断及判断月经周期，二则评估治疗后卵泡动力学改变，治疗多囊卵巢综合征有效等证据。若3个月后激素及超声无明显改善，则需要重新评估穴位选择或联合西医治疗。若指标改善，可继续当前方案再行一周期治疗。中医方面：从整体观念及辨证论治论述，月经是“肾-天癸-冲任-胞宫”生殖轴的外在表现，记录月经细节可验证治疗效果，雷火灸具有温通经络及穴位埋线持续性刺激，通过调节经络气血从而影响性激素分泌及卵泡发育，通过定期监测卵泡，早发现治疗效果，今早调整方案，体现治未病思想。现代针灸学研究表明</w:t>
      </w:r>
      <w:r>
        <w:rPr>
          <w:rFonts w:hint="eastAsia" w:ascii="仿宋_GB2312" w:eastAsia="仿宋_GB2312" w:cs="仿宋"/>
          <w:b w:val="0"/>
          <w:bCs/>
          <w:color w:val="auto"/>
          <w:sz w:val="28"/>
          <w:szCs w:val="28"/>
          <w:highlight w:val="none"/>
          <w:vertAlign w:val="superscript"/>
          <w:lang w:val="en-US" w:eastAsia="zh-CN"/>
        </w:rPr>
        <w:t>[1]</w:t>
      </w:r>
      <w:r>
        <w:rPr>
          <w:rFonts w:hint="eastAsia" w:ascii="仿宋_GB2312" w:eastAsia="仿宋_GB2312" w:cs="仿宋"/>
          <w:b w:val="0"/>
          <w:bCs/>
          <w:color w:val="auto"/>
          <w:sz w:val="28"/>
          <w:szCs w:val="28"/>
          <w:highlight w:val="none"/>
          <w:lang w:val="en-US" w:eastAsia="zh-CN"/>
        </w:rPr>
        <w:t>，穴位埋线治疗PCOS可降低患者体内T、LH等激素水平，并有调整月经周期、促排卵效果。配合雷火灸治疗既具有针刺刺激穴位特点，又有雷火灸的温热效应，增强了治疗作用</w:t>
      </w:r>
      <w:r>
        <w:rPr>
          <w:rFonts w:hint="eastAsia" w:ascii="仿宋_GB2312" w:eastAsia="仿宋_GB2312" w:cs="仿宋"/>
          <w:b w:val="0"/>
          <w:bCs/>
          <w:color w:val="auto"/>
          <w:sz w:val="28"/>
          <w:szCs w:val="28"/>
          <w:highlight w:val="none"/>
          <w:vertAlign w:val="superscript"/>
          <w:lang w:val="en-US" w:eastAsia="zh-CN"/>
        </w:rPr>
        <w:t>[2]</w:t>
      </w:r>
      <w:r>
        <w:rPr>
          <w:rFonts w:hint="eastAsia" w:ascii="仿宋_GB2312" w:eastAsia="仿宋_GB2312" w:cs="仿宋"/>
          <w:b w:val="0"/>
          <w:bCs/>
          <w:color w:val="auto"/>
          <w:sz w:val="28"/>
          <w:szCs w:val="28"/>
          <w:highlight w:val="none"/>
          <w:lang w:val="en-US" w:eastAsia="zh-CN"/>
        </w:rPr>
        <w:t>。</w:t>
      </w:r>
    </w:p>
    <w:p w14:paraId="37E2EB3A">
      <w:pPr>
        <w:pStyle w:val="29"/>
        <w:numPr>
          <w:ilvl w:val="0"/>
          <w:numId w:val="9"/>
        </w:numPr>
        <w:spacing w:line="520" w:lineRule="exact"/>
        <w:ind w:left="0" w:leftChars="0"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刘跃臣.达英-35联合穴位埋线治疗肥胖型多囊卵巢综合征脾虚痰湿证患者临床疗效观察[D].新疆医科大学,2021.DOI:10.27433/d.cnki.gxyku.2021.000574.</w:t>
      </w:r>
    </w:p>
    <w:p w14:paraId="66A038C5">
      <w:pPr>
        <w:pStyle w:val="29"/>
        <w:numPr>
          <w:ilvl w:val="0"/>
          <w:numId w:val="9"/>
        </w:numPr>
        <w:spacing w:line="520" w:lineRule="exact"/>
        <w:ind w:left="0" w:leftChars="0"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潘小红,孙平,秦文敏,等.穴位埋线配合雷火灸辅治肥胖型多囊卵巢综合征临床研究[J].实用中医药杂志,2020,36(11):1406-1408.</w:t>
      </w:r>
    </w:p>
    <w:p w14:paraId="705934BD">
      <w:pPr>
        <w:pStyle w:val="29"/>
        <w:numPr>
          <w:ilvl w:val="0"/>
          <w:numId w:val="7"/>
        </w:numPr>
        <w:spacing w:line="520" w:lineRule="exact"/>
        <w:ind w:left="0" w:leftChars="0" w:firstLine="0" w:firstLineChars="0"/>
        <w:rPr>
          <w:rFonts w:hint="eastAsia" w:ascii="仿宋_GB2312" w:eastAsia="仿宋_GB2312" w:cs="仿宋"/>
          <w:b/>
          <w:bCs w:val="0"/>
          <w:color w:val="auto"/>
          <w:sz w:val="28"/>
          <w:szCs w:val="28"/>
          <w:lang w:val="en-US" w:eastAsia="zh-CN"/>
        </w:rPr>
      </w:pPr>
      <w:r>
        <w:rPr>
          <w:rFonts w:hint="eastAsia" w:ascii="仿宋_GB2312" w:eastAsia="仿宋_GB2312" w:cs="仿宋"/>
          <w:b/>
          <w:bCs w:val="0"/>
          <w:color w:val="auto"/>
          <w:sz w:val="28"/>
          <w:szCs w:val="28"/>
          <w:lang w:val="en-US" w:eastAsia="zh-CN"/>
        </w:rPr>
        <w:t>施术后处理</w:t>
      </w:r>
    </w:p>
    <w:p w14:paraId="25AC34FA">
      <w:pPr>
        <w:pStyle w:val="29"/>
        <w:spacing w:line="520" w:lineRule="exact"/>
        <w:ind w:left="0" w:leftChars="0"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埋线针孔贴无菌敷料贴，术后24h穴位埋线处避免沾水，主要考虑到针孔开放期接触水或病菌可能引发皮下感染（羊肠线为异物）；禁辛辣饮食，主要考虑到辛辣发散助热，可能加剧埋线局部炎症或诱发灸后上火（口干、疮疡）。</w:t>
      </w:r>
    </w:p>
    <w:p w14:paraId="48F8DB4E">
      <w:pPr>
        <w:pStyle w:val="29"/>
        <w:spacing w:line="520" w:lineRule="exact"/>
        <w:ind w:left="0" w:leftChars="0" w:firstLine="560" w:firstLineChars="200"/>
        <w:rPr>
          <w:rFonts w:hint="default" w:ascii="仿宋_GB2312" w:eastAsia="仿宋_GB2312" w:cs="仿宋"/>
          <w:b w:val="0"/>
          <w:bCs/>
          <w:color w:val="auto"/>
          <w:sz w:val="28"/>
          <w:szCs w:val="28"/>
          <w:highlight w:val="yellow"/>
          <w:lang w:val="en-US" w:eastAsia="zh-CN"/>
        </w:rPr>
      </w:pPr>
      <w:r>
        <w:rPr>
          <w:rFonts w:hint="eastAsia" w:ascii="仿宋_GB2312" w:eastAsia="仿宋_GB2312" w:cs="仿宋"/>
          <w:b w:val="0"/>
          <w:bCs/>
          <w:color w:val="auto"/>
          <w:sz w:val="28"/>
          <w:szCs w:val="28"/>
          <w:highlight w:val="none"/>
          <w:lang w:val="en-US" w:eastAsia="zh-CN"/>
        </w:rPr>
        <w:t>雷火灸后饮温开水300 mL，不应受风寒，4h内不应洗澡。主要考虑到雷火灸作为强效温通疗法，促进气血循环，灸后易灼伤津液，饮温开水则可补充津液，调和脾胃之气。灸后腠理开泄，邪气易侵，且皮肤屏障修复需2-4小时，故此时当避风寒，4小时后再洗澡，预防感冒。</w:t>
      </w:r>
    </w:p>
    <w:p w14:paraId="62AF188C">
      <w:pPr>
        <w:pStyle w:val="29"/>
        <w:spacing w:line="520" w:lineRule="exact"/>
        <w:ind w:left="0" w:leftChars="0"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埋线后局部可能出现酸胀感，属正常反应；若出现感染需及时处理。</w:t>
      </w:r>
    </w:p>
    <w:p w14:paraId="31DB6710">
      <w:pPr>
        <w:pStyle w:val="29"/>
        <w:spacing w:line="520" w:lineRule="exact"/>
        <w:ind w:left="0" w:leftChars="0" w:firstLine="560" w:firstLineChars="200"/>
        <w:rPr>
          <w:rFonts w:hint="default"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如出现局部肿胀，48小时内间歇冷敷后改热敷。主要考虑到局部肿胀本质为创伤性炎症反应，前48小时为炎症急性期，此时间歇性冷敷，有助于收缩毛孔，减少出血，减轻炎症反应，同时冷刺激降低神经末梢敏感性，缓解疼痛。48小时后急性期已过，基本出血已停，此时改热敷可扩张毛细血管，加速循环，软化硬结，促进炎症吸收，符合中医“血得寒则凝，得温则行”的理论。</w:t>
      </w:r>
    </w:p>
    <w:p w14:paraId="11132A37">
      <w:pPr>
        <w:pStyle w:val="29"/>
        <w:spacing w:line="520" w:lineRule="exact"/>
        <w:ind w:left="0" w:leftChars="0" w:firstLine="560" w:firstLineChars="200"/>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如出现低热，观察，多饮水；持续发热需排查感染。主要考虑到雷火灸属于温热疗法，有时候会引起轻微的全身性反应，表现为短暂的低热，穴位埋线为持续性的穴位刺激疗法，羊肠线作为异体蛋白，初期可能会引起轻微的无菌性炎症反应，此时注意观察，密切检测体温，多饮水即可。而持续性的发热或伴有其他症状时，主要考虑感染，优先考虑穴位埋线相关感染，穴位埋线作为有创性操作，排查操作消毒情况，患者免疫力，或巧合下其他部位的感染（如感冒，尿路感染等），立即到医院就诊，结合症状及相关感染指标检查，确定感染源并针对性治疗。</w:t>
      </w:r>
    </w:p>
    <w:p w14:paraId="687E6006">
      <w:pPr>
        <w:pStyle w:val="29"/>
        <w:keepNext w:val="0"/>
        <w:keepLines w:val="0"/>
        <w:pageBreakBefore w:val="0"/>
        <w:widowControl/>
        <w:numPr>
          <w:ilvl w:val="0"/>
          <w:numId w:val="0"/>
        </w:numPr>
        <w:kinsoku/>
        <w:wordWrap/>
        <w:overflowPunct/>
        <w:topLinePunct w:val="0"/>
        <w:autoSpaceDE w:val="0"/>
        <w:autoSpaceDN w:val="0"/>
        <w:bidi w:val="0"/>
        <w:adjustRightInd/>
        <w:snapToGrid/>
        <w:spacing w:line="240" w:lineRule="auto"/>
        <w:jc w:val="center"/>
        <w:textAlignment w:val="auto"/>
      </w:pPr>
      <w:r>
        <w:drawing>
          <wp:inline distT="0" distB="0" distL="114300" distR="114300">
            <wp:extent cx="4142740" cy="1042670"/>
            <wp:effectExtent l="0" t="0" r="10160" b="508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0"/>
                    <a:srcRect b="9465"/>
                    <a:stretch>
                      <a:fillRect/>
                    </a:stretch>
                  </pic:blipFill>
                  <pic:spPr>
                    <a:xfrm>
                      <a:off x="0" y="0"/>
                      <a:ext cx="4142740" cy="1042670"/>
                    </a:xfrm>
                    <a:prstGeom prst="rect">
                      <a:avLst/>
                    </a:prstGeom>
                    <a:noFill/>
                    <a:ln>
                      <a:noFill/>
                    </a:ln>
                  </pic:spPr>
                </pic:pic>
              </a:graphicData>
            </a:graphic>
          </wp:inline>
        </w:drawing>
      </w:r>
    </w:p>
    <w:p w14:paraId="4916EAD8">
      <w:pPr>
        <w:pStyle w:val="29"/>
        <w:keepNext w:val="0"/>
        <w:keepLines w:val="0"/>
        <w:pageBreakBefore w:val="0"/>
        <w:widowControl/>
        <w:numPr>
          <w:ilvl w:val="0"/>
          <w:numId w:val="0"/>
        </w:numPr>
        <w:kinsoku/>
        <w:wordWrap/>
        <w:overflowPunct/>
        <w:topLinePunct w:val="0"/>
        <w:autoSpaceDE w:val="0"/>
        <w:autoSpaceDN w:val="0"/>
        <w:bidi w:val="0"/>
        <w:adjustRightInd/>
        <w:snapToGrid/>
        <w:spacing w:line="240" w:lineRule="auto"/>
        <w:jc w:val="center"/>
        <w:textAlignment w:val="auto"/>
      </w:pPr>
      <w:r>
        <w:drawing>
          <wp:inline distT="0" distB="0" distL="114300" distR="114300">
            <wp:extent cx="3896995" cy="4461510"/>
            <wp:effectExtent l="0" t="0" r="8255" b="15240"/>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11"/>
                    <a:srcRect b="2284"/>
                    <a:stretch>
                      <a:fillRect/>
                    </a:stretch>
                  </pic:blipFill>
                  <pic:spPr>
                    <a:xfrm>
                      <a:off x="0" y="0"/>
                      <a:ext cx="3896995" cy="4461510"/>
                    </a:xfrm>
                    <a:prstGeom prst="rect">
                      <a:avLst/>
                    </a:prstGeom>
                    <a:noFill/>
                    <a:ln>
                      <a:noFill/>
                    </a:ln>
                  </pic:spPr>
                </pic:pic>
              </a:graphicData>
            </a:graphic>
          </wp:inline>
        </w:drawing>
      </w:r>
    </w:p>
    <w:p w14:paraId="3B2656B3">
      <w:pPr>
        <w:pStyle w:val="29"/>
        <w:keepNext w:val="0"/>
        <w:keepLines w:val="0"/>
        <w:pageBreakBefore w:val="0"/>
        <w:widowControl/>
        <w:numPr>
          <w:ilvl w:val="0"/>
          <w:numId w:val="0"/>
        </w:numPr>
        <w:kinsoku/>
        <w:wordWrap/>
        <w:overflowPunct/>
        <w:topLinePunct w:val="0"/>
        <w:autoSpaceDE w:val="0"/>
        <w:autoSpaceDN w:val="0"/>
        <w:bidi w:val="0"/>
        <w:adjustRightInd/>
        <w:snapToGrid/>
        <w:spacing w:line="240" w:lineRule="auto"/>
        <w:jc w:val="center"/>
        <w:textAlignment w:val="auto"/>
        <w:rPr>
          <w:rFonts w:hint="eastAsia" w:ascii="仿宋_GB2312" w:eastAsia="仿宋_GB2312" w:cs="仿宋"/>
          <w:b/>
          <w:bCs w:val="0"/>
          <w:color w:val="auto"/>
          <w:sz w:val="28"/>
          <w:szCs w:val="28"/>
          <w:highlight w:val="none"/>
          <w:lang w:val="en-US" w:eastAsia="zh-CN"/>
        </w:rPr>
      </w:pPr>
      <w:r>
        <w:rPr>
          <w:rFonts w:hint="eastAsia" w:ascii="仿宋_GB2312" w:eastAsia="仿宋_GB2312" w:cs="仿宋"/>
          <w:b/>
          <w:bCs w:val="0"/>
          <w:color w:val="auto"/>
          <w:sz w:val="28"/>
          <w:szCs w:val="28"/>
          <w:highlight w:val="none"/>
          <w:lang w:val="en-US" w:eastAsia="zh-CN"/>
        </w:rPr>
        <w:t>T/GDNSA 011-2024《雷火灸技术规范》</w:t>
      </w:r>
    </w:p>
    <w:p w14:paraId="5522102A">
      <w:pPr>
        <w:pStyle w:val="29"/>
        <w:numPr>
          <w:ilvl w:val="0"/>
          <w:numId w:val="7"/>
        </w:numPr>
        <w:spacing w:line="520" w:lineRule="exact"/>
        <w:ind w:left="0" w:leftChars="0" w:firstLine="0" w:firstLineChars="0"/>
        <w:rPr>
          <w:rFonts w:hint="eastAsia" w:ascii="仿宋_GB2312" w:eastAsia="仿宋_GB2312" w:cs="仿宋"/>
          <w:b/>
          <w:bCs w:val="0"/>
          <w:color w:val="auto"/>
          <w:sz w:val="28"/>
          <w:szCs w:val="28"/>
          <w:lang w:val="en-US" w:eastAsia="zh-CN"/>
        </w:rPr>
      </w:pPr>
      <w:bookmarkStart w:id="21" w:name="_Toc200560141"/>
      <w:bookmarkStart w:id="22" w:name="_Toc200095097"/>
      <w:bookmarkStart w:id="23" w:name="_Toc199439495"/>
      <w:r>
        <w:rPr>
          <w:rFonts w:hint="eastAsia" w:ascii="仿宋_GB2312" w:eastAsia="仿宋_GB2312" w:cs="仿宋"/>
          <w:b/>
          <w:bCs w:val="0"/>
          <w:color w:val="auto"/>
          <w:sz w:val="28"/>
          <w:szCs w:val="28"/>
          <w:lang w:val="en-US" w:eastAsia="zh-CN"/>
        </w:rPr>
        <w:t>注意事项</w:t>
      </w:r>
      <w:bookmarkEnd w:id="21"/>
      <w:bookmarkEnd w:id="22"/>
      <w:bookmarkEnd w:id="23"/>
    </w:p>
    <w:p w14:paraId="22B0279B">
      <w:pPr>
        <w:pStyle w:val="29"/>
        <w:numPr>
          <w:ilvl w:val="0"/>
          <w:numId w:val="0"/>
        </w:numPr>
        <w:spacing w:line="520" w:lineRule="exact"/>
        <w:ind w:firstLine="560" w:firstLineChars="200"/>
        <w:rPr>
          <w:rFonts w:hint="eastAsia" w:ascii="仿宋_GB2312" w:eastAsia="仿宋_GB2312" w:cs="仿宋"/>
          <w:bCs/>
          <w:color w:val="FFFF00"/>
          <w:sz w:val="28"/>
          <w:szCs w:val="28"/>
          <w:highlight w:val="none"/>
          <w:lang w:val="en-US" w:eastAsia="zh-CN"/>
        </w:rPr>
      </w:pPr>
      <w:r>
        <w:rPr>
          <w:rFonts w:hint="eastAsia" w:ascii="仿宋_GB2312" w:eastAsia="仿宋_GB2312" w:cs="仿宋"/>
          <w:bCs/>
          <w:color w:val="auto"/>
          <w:sz w:val="28"/>
          <w:szCs w:val="28"/>
          <w:highlight w:val="none"/>
          <w:lang w:val="en-US" w:eastAsia="zh-CN"/>
        </w:rPr>
        <w:t>穴位埋线注意事项应符合GB/T 21709.10的规定。同时注意不应损伤重要组织，如胸背部穴位需控制深度。雷火灸注意事项主要参考《</w:t>
      </w:r>
      <w:r>
        <w:rPr>
          <w:rFonts w:hint="eastAsia" w:ascii="仿宋_GB2312" w:eastAsia="仿宋_GB2312"/>
          <w:color w:val="auto"/>
          <w:sz w:val="28"/>
          <w:szCs w:val="28"/>
          <w:highlight w:val="none"/>
          <w:lang w:eastAsia="zh-CN"/>
        </w:rPr>
        <w:t>T/G</w:t>
      </w:r>
      <w:r>
        <w:rPr>
          <w:rFonts w:hint="eastAsia" w:ascii="仿宋_GB2312" w:eastAsia="仿宋_GB2312"/>
          <w:color w:val="auto"/>
          <w:sz w:val="28"/>
          <w:szCs w:val="28"/>
          <w:highlight w:val="none"/>
          <w:lang w:val="en-US" w:eastAsia="zh-CN"/>
        </w:rPr>
        <w:t>DNSA 011-2024</w:t>
      </w:r>
      <w:r>
        <w:rPr>
          <w:rFonts w:hint="eastAsia" w:ascii="仿宋_GB2312" w:eastAsia="仿宋_GB2312"/>
          <w:color w:val="auto"/>
          <w:sz w:val="28"/>
          <w:szCs w:val="28"/>
          <w:highlight w:val="none"/>
          <w:lang w:eastAsia="zh-CN"/>
        </w:rPr>
        <w:t>雷火灸技术规范</w:t>
      </w:r>
      <w:r>
        <w:rPr>
          <w:rFonts w:hint="eastAsia" w:ascii="仿宋_GB2312" w:eastAsia="仿宋_GB2312" w:cs="仿宋"/>
          <w:bCs/>
          <w:color w:val="auto"/>
          <w:sz w:val="28"/>
          <w:szCs w:val="28"/>
          <w:highlight w:val="none"/>
          <w:lang w:val="en-US" w:eastAsia="zh-CN"/>
        </w:rPr>
        <w:t>》。</w:t>
      </w:r>
    </w:p>
    <w:p w14:paraId="4E52B952">
      <w:pPr>
        <w:pStyle w:val="29"/>
        <w:numPr>
          <w:ilvl w:val="0"/>
          <w:numId w:val="7"/>
        </w:numPr>
        <w:spacing w:line="520" w:lineRule="exact"/>
        <w:ind w:left="0" w:leftChars="0" w:firstLine="0" w:firstLineChars="0"/>
        <w:rPr>
          <w:rFonts w:hint="eastAsia" w:ascii="仿宋_GB2312" w:eastAsia="仿宋_GB2312" w:cs="仿宋"/>
          <w:b/>
          <w:bCs w:val="0"/>
          <w:color w:val="auto"/>
          <w:sz w:val="28"/>
          <w:szCs w:val="28"/>
          <w:highlight w:val="none"/>
          <w:lang w:val="en-US" w:eastAsia="zh-CN"/>
        </w:rPr>
      </w:pPr>
      <w:bookmarkStart w:id="24" w:name="_Toc192062545"/>
      <w:bookmarkStart w:id="25" w:name="_Toc199439496"/>
      <w:bookmarkStart w:id="26" w:name="_Toc200095098"/>
      <w:bookmarkStart w:id="27" w:name="_Toc200560142"/>
      <w:bookmarkStart w:id="28" w:name="_Toc195961752"/>
      <w:r>
        <w:rPr>
          <w:rFonts w:hint="eastAsia" w:ascii="仿宋_GB2312" w:eastAsia="仿宋_GB2312" w:cs="仿宋"/>
          <w:b/>
          <w:bCs w:val="0"/>
          <w:color w:val="auto"/>
          <w:sz w:val="28"/>
          <w:szCs w:val="28"/>
          <w:highlight w:val="none"/>
          <w:lang w:val="en-US" w:eastAsia="zh-CN"/>
        </w:rPr>
        <w:t>日常调护</w:t>
      </w:r>
      <w:bookmarkEnd w:id="24"/>
      <w:bookmarkEnd w:id="25"/>
      <w:bookmarkEnd w:id="26"/>
      <w:bookmarkEnd w:id="27"/>
      <w:bookmarkEnd w:id="28"/>
      <w:r>
        <w:rPr>
          <w:rFonts w:hint="eastAsia" w:ascii="仿宋_GB2312" w:eastAsia="仿宋_GB2312" w:cs="仿宋"/>
          <w:b/>
          <w:bCs w:val="0"/>
          <w:color w:val="auto"/>
          <w:sz w:val="28"/>
          <w:szCs w:val="28"/>
          <w:highlight w:val="none"/>
          <w:lang w:val="en-US" w:eastAsia="zh-CN"/>
        </w:rPr>
        <w:t>：</w:t>
      </w:r>
      <w:r>
        <w:rPr>
          <w:rFonts w:hint="eastAsia" w:ascii="仿宋_GB2312" w:eastAsia="仿宋_GB2312" w:cs="仿宋"/>
          <w:b w:val="0"/>
          <w:bCs/>
          <w:color w:val="auto"/>
          <w:sz w:val="28"/>
          <w:szCs w:val="28"/>
          <w:highlight w:val="none"/>
          <w:lang w:val="en-US" w:eastAsia="zh-CN"/>
        </w:rPr>
        <w:t>主要应注重从生活、运动、饮食、情志等方面进行调护。注意保暖，防外邪侵袭。调畅情志，加强户外运动，增强体质。多喝水，饮食清淡，少食辛辣香燥、油腻荤腥食物。建立作息制度，养成定时就寝的习惯。</w:t>
      </w:r>
    </w:p>
    <w:p w14:paraId="0D6B7526">
      <w:pPr>
        <w:pStyle w:val="31"/>
        <w:numPr>
          <w:ilvl w:val="0"/>
          <w:numId w:val="0"/>
        </w:numPr>
        <w:spacing w:beforeLines="0" w:afterLines="0" w:line="360" w:lineRule="auto"/>
        <w:rPr>
          <w:rFonts w:hint="eastAsia"/>
          <w:bCs/>
          <w:color w:val="auto"/>
          <w:sz w:val="32"/>
          <w:szCs w:val="32"/>
        </w:rPr>
      </w:pPr>
      <w:r>
        <w:rPr>
          <w:rFonts w:hint="eastAsia"/>
          <w:b/>
          <w:bCs/>
          <w:color w:val="auto"/>
          <w:sz w:val="32"/>
          <w:szCs w:val="32"/>
        </w:rPr>
        <w:t>六</w:t>
      </w:r>
      <w:r>
        <w:rPr>
          <w:rFonts w:hint="eastAsia"/>
          <w:bCs/>
          <w:color w:val="auto"/>
          <w:sz w:val="32"/>
          <w:szCs w:val="32"/>
        </w:rPr>
        <w:t>、</w:t>
      </w:r>
      <w:r>
        <w:rPr>
          <w:rFonts w:hint="eastAsia"/>
          <w:color w:val="auto"/>
          <w:sz w:val="32"/>
          <w:szCs w:val="32"/>
        </w:rPr>
        <w:t>重大意见分歧的处理依据和结果</w:t>
      </w:r>
    </w:p>
    <w:p w14:paraId="5901BD90">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本标准研制过程中无重大分歧意见。</w:t>
      </w:r>
    </w:p>
    <w:p w14:paraId="6B1FFC80">
      <w:pPr>
        <w:autoSpaceDE w:val="0"/>
        <w:autoSpaceDN w:val="0"/>
        <w:adjustRightInd w:val="0"/>
        <w:spacing w:before="156" w:beforeLines="50" w:after="156" w:afterLines="50" w:line="520" w:lineRule="exact"/>
        <w:ind w:firstLine="640" w:firstLineChars="200"/>
        <w:outlineLvl w:val="0"/>
        <w:rPr>
          <w:rFonts w:eastAsia="黑体"/>
          <w:color w:val="auto"/>
          <w:sz w:val="32"/>
          <w:szCs w:val="32"/>
        </w:rPr>
      </w:pPr>
      <w:r>
        <w:rPr>
          <w:rFonts w:hint="eastAsia" w:ascii="黑体" w:eastAsia="黑体"/>
          <w:bCs/>
          <w:color w:val="auto"/>
          <w:sz w:val="32"/>
          <w:szCs w:val="32"/>
        </w:rPr>
        <w:t>七、</w:t>
      </w:r>
      <w:r>
        <w:rPr>
          <w:rFonts w:hint="eastAsia" w:eastAsia="黑体"/>
          <w:color w:val="auto"/>
          <w:sz w:val="32"/>
          <w:szCs w:val="32"/>
        </w:rPr>
        <w:t>实施标准的措施</w:t>
      </w:r>
    </w:p>
    <w:p w14:paraId="43DE7DA7">
      <w:pPr>
        <w:spacing w:line="500" w:lineRule="exact"/>
        <w:ind w:firstLine="562" w:firstLineChars="200"/>
        <w:rPr>
          <w:rFonts w:hint="eastAsia" w:ascii="仿宋_GB2312" w:eastAsia="仿宋_GB2312" w:cs="仿宋_GB2312"/>
          <w:b/>
          <w:color w:val="auto"/>
          <w:sz w:val="28"/>
          <w:szCs w:val="28"/>
        </w:rPr>
      </w:pPr>
      <w:r>
        <w:rPr>
          <w:rFonts w:hint="eastAsia" w:ascii="仿宋_GB2312" w:eastAsia="仿宋_GB2312" w:cs="仿宋_GB2312"/>
          <w:b/>
          <w:color w:val="auto"/>
          <w:sz w:val="28"/>
          <w:szCs w:val="28"/>
        </w:rPr>
        <w:t>（一）标准报批发布后，成立标准宣贯工作组</w:t>
      </w:r>
    </w:p>
    <w:p w14:paraId="6254ED11">
      <w:pPr>
        <w:spacing w:line="50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本标准发布后，成立以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p>
    <w:p w14:paraId="255571FF">
      <w:pPr>
        <w:spacing w:line="500" w:lineRule="exact"/>
        <w:ind w:firstLine="562" w:firstLineChars="200"/>
        <w:rPr>
          <w:rFonts w:hint="eastAsia" w:ascii="仿宋_GB2312" w:eastAsia="仿宋_GB2312"/>
          <w:b/>
          <w:color w:val="auto"/>
          <w:sz w:val="28"/>
          <w:szCs w:val="28"/>
        </w:rPr>
      </w:pPr>
      <w:r>
        <w:rPr>
          <w:rFonts w:hint="eastAsia" w:ascii="仿宋_GB2312" w:eastAsia="仿宋_GB2312"/>
          <w:b/>
          <w:color w:val="auto"/>
          <w:sz w:val="28"/>
          <w:szCs w:val="28"/>
        </w:rPr>
        <w:t>（二）组织开展标准宣贯培训</w:t>
      </w:r>
    </w:p>
    <w:p w14:paraId="684177CD">
      <w:pPr>
        <w:spacing w:line="50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标准发布实施后，标准宣贯工作小组制作标准解读宣贯培训PPT课件和标准核心技术明白书，并按标准宣贯培训计划深入各市县医疗机构，对医师和医护人员开展标准宣贯培训，对标准进行逐条解读，让医师和医护人员掌握标准核心技术内容，助力标准实施落地，推动广西中医技术高质量发展。</w:t>
      </w:r>
    </w:p>
    <w:p w14:paraId="24F36826">
      <w:pPr>
        <w:spacing w:line="500" w:lineRule="exact"/>
        <w:ind w:firstLine="562" w:firstLineChars="200"/>
        <w:rPr>
          <w:rFonts w:hint="eastAsia" w:ascii="仿宋_GB2312" w:eastAsia="仿宋_GB2312"/>
          <w:b/>
          <w:color w:val="auto"/>
          <w:sz w:val="28"/>
          <w:szCs w:val="28"/>
        </w:rPr>
      </w:pPr>
      <w:r>
        <w:rPr>
          <w:rFonts w:hint="eastAsia" w:ascii="仿宋_GB2312" w:eastAsia="仿宋_GB2312"/>
          <w:b/>
          <w:color w:val="auto"/>
          <w:sz w:val="28"/>
          <w:szCs w:val="28"/>
        </w:rPr>
        <w:t>（三）开展标准实施交流会，收集标准实施反馈信息</w:t>
      </w:r>
    </w:p>
    <w:p w14:paraId="7488335B">
      <w:pPr>
        <w:spacing w:line="50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标准起草小组深入各市县医疗机构组织医师和医护人员召开标准实施交流会，听取标准实施过程中存在的问题并做好记录和解答，对存在的问题组织专家团队进行研讨，为标准的复审修订做准备。</w:t>
      </w:r>
    </w:p>
    <w:p w14:paraId="6712A9C8">
      <w:pPr>
        <w:spacing w:line="500" w:lineRule="exact"/>
        <w:ind w:firstLine="562" w:firstLineChars="200"/>
        <w:rPr>
          <w:rFonts w:hint="eastAsia" w:ascii="仿宋_GB2312" w:eastAsia="仿宋_GB2312"/>
          <w:b/>
          <w:color w:val="auto"/>
          <w:sz w:val="28"/>
          <w:szCs w:val="28"/>
        </w:rPr>
      </w:pPr>
      <w:r>
        <w:rPr>
          <w:rFonts w:hint="eastAsia" w:ascii="仿宋_GB2312" w:eastAsia="仿宋_GB2312"/>
          <w:b/>
          <w:color w:val="auto"/>
          <w:sz w:val="28"/>
          <w:szCs w:val="28"/>
        </w:rPr>
        <w:t>（四）开展标准实施效果评估</w:t>
      </w:r>
    </w:p>
    <w:p w14:paraId="6F26A459">
      <w:pPr>
        <w:spacing w:line="50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标准实施满2年，每年标准宣贯工作组采取网络调查、问卷调查、实地调研、召开座谈会或论证会、专家咨询等方式开展标准实施效果评估，并形成标准实施效果评估报告，为标准的复审修订做准备。</w:t>
      </w:r>
    </w:p>
    <w:p w14:paraId="467B4A06">
      <w:pPr>
        <w:spacing w:before="240" w:after="60" w:line="520" w:lineRule="exact"/>
        <w:ind w:firstLine="640" w:firstLineChars="200"/>
        <w:outlineLvl w:val="0"/>
        <w:rPr>
          <w:rFonts w:hint="eastAsia" w:ascii="黑体" w:eastAsia="黑体"/>
          <w:bCs/>
          <w:color w:val="auto"/>
          <w:sz w:val="32"/>
          <w:szCs w:val="32"/>
        </w:rPr>
      </w:pPr>
      <w:r>
        <w:rPr>
          <w:rFonts w:hint="eastAsia" w:ascii="黑体" w:eastAsia="黑体"/>
          <w:bCs/>
          <w:color w:val="auto"/>
          <w:sz w:val="32"/>
          <w:szCs w:val="32"/>
        </w:rPr>
        <w:t>八、其他应当说明的事项</w:t>
      </w:r>
    </w:p>
    <w:p w14:paraId="6D062A51">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无。</w:t>
      </w:r>
    </w:p>
    <w:p w14:paraId="52787E3B">
      <w:pPr>
        <w:autoSpaceDE w:val="0"/>
        <w:autoSpaceDN w:val="0"/>
        <w:adjustRightInd w:val="0"/>
        <w:spacing w:before="156" w:beforeLines="50" w:after="156" w:afterLines="50" w:line="520" w:lineRule="exact"/>
        <w:ind w:firstLine="640"/>
        <w:outlineLvl w:val="0"/>
        <w:rPr>
          <w:rFonts w:hint="eastAsia" w:eastAsia="黑体"/>
          <w:color w:val="auto"/>
          <w:sz w:val="32"/>
          <w:szCs w:val="32"/>
        </w:rPr>
      </w:pPr>
      <w:r>
        <w:rPr>
          <w:rFonts w:hint="eastAsia" w:eastAsia="黑体"/>
          <w:color w:val="auto"/>
          <w:sz w:val="32"/>
          <w:szCs w:val="32"/>
        </w:rPr>
        <w:t>九、自我承诺</w:t>
      </w:r>
    </w:p>
    <w:p w14:paraId="1CA3DC93">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该标准的内容符合国家相关法律法规，技术要求不低于强制性国家标准的相关技术要求，与相关的国家、行业推荐性标准协调一致，标准的编写符合GB/T 1.1-2020的要求。</w:t>
      </w:r>
    </w:p>
    <w:p w14:paraId="3099184D">
      <w:pPr>
        <w:pStyle w:val="22"/>
        <w:rPr>
          <w:rFonts w:hint="eastAsia" w:ascii="仿宋_GB2312" w:eastAsia="仿宋_GB2312"/>
          <w:color w:val="auto"/>
          <w:sz w:val="28"/>
          <w:szCs w:val="28"/>
        </w:rPr>
      </w:pPr>
    </w:p>
    <w:p w14:paraId="7696C500">
      <w:pPr>
        <w:pStyle w:val="22"/>
        <w:rPr>
          <w:rFonts w:hint="eastAsia" w:ascii="仿宋_GB2312" w:eastAsia="仿宋_GB2312"/>
          <w:color w:val="auto"/>
          <w:sz w:val="28"/>
          <w:szCs w:val="28"/>
        </w:rPr>
      </w:pPr>
    </w:p>
    <w:p w14:paraId="62C157D1">
      <w:pPr>
        <w:pStyle w:val="22"/>
        <w:rPr>
          <w:rFonts w:hint="eastAsia" w:ascii="仿宋_GB2312" w:eastAsia="仿宋_GB2312"/>
          <w:color w:val="auto"/>
          <w:sz w:val="28"/>
          <w:szCs w:val="28"/>
        </w:rPr>
      </w:pPr>
    </w:p>
    <w:p w14:paraId="753963BB">
      <w:pPr>
        <w:spacing w:before="240" w:after="60" w:line="520" w:lineRule="exact"/>
        <w:ind w:firstLine="1680" w:firstLineChars="600"/>
        <w:outlineLvl w:val="0"/>
        <w:rPr>
          <w:rFonts w:hint="eastAsia" w:ascii="仿宋_GB2312" w:eastAsia="仿宋_GB2312"/>
          <w:color w:val="auto"/>
          <w:sz w:val="28"/>
          <w:szCs w:val="28"/>
        </w:rPr>
      </w:pPr>
      <w:r>
        <w:rPr>
          <w:rFonts w:hint="eastAsia" w:ascii="仿宋_GB2312" w:eastAsia="仿宋_GB2312"/>
          <w:color w:val="auto"/>
          <w:sz w:val="28"/>
          <w:szCs w:val="28"/>
          <w:lang w:val="en-US" w:eastAsia="zh-CN"/>
        </w:rPr>
        <w:t>团体标准</w:t>
      </w:r>
      <w:r>
        <w:rPr>
          <w:rFonts w:hint="eastAsia" w:ascii="仿宋_GB2312" w:eastAsia="仿宋_GB2312"/>
          <w:color w:val="auto"/>
          <w:sz w:val="28"/>
          <w:szCs w:val="28"/>
        </w:rPr>
        <w:t>《</w:t>
      </w:r>
      <w:r>
        <w:rPr>
          <w:rFonts w:hint="eastAsia" w:ascii="仿宋_GB2312" w:eastAsia="仿宋_GB2312"/>
          <w:color w:val="auto"/>
          <w:sz w:val="28"/>
          <w:szCs w:val="28"/>
          <w:lang w:eastAsia="zh-CN"/>
        </w:rPr>
        <w:t>多囊卵巢综合征导致不孕症患者穴位埋线联合雷火灸技术操作规范</w:t>
      </w:r>
      <w:r>
        <w:rPr>
          <w:rFonts w:hint="eastAsia" w:ascii="仿宋_GB2312" w:eastAsia="仿宋_GB2312"/>
          <w:color w:val="auto"/>
          <w:sz w:val="28"/>
          <w:szCs w:val="28"/>
        </w:rPr>
        <w:t>》</w:t>
      </w:r>
    </w:p>
    <w:p w14:paraId="59BB109D">
      <w:pPr>
        <w:spacing w:line="520" w:lineRule="exact"/>
        <w:ind w:right="1120"/>
        <w:jc w:val="center"/>
        <w:rPr>
          <w:rFonts w:hint="eastAsia" w:ascii="仿宋_GB2312" w:eastAsia="仿宋_GB2312"/>
          <w:color w:val="auto"/>
          <w:sz w:val="28"/>
          <w:szCs w:val="28"/>
        </w:rPr>
      </w:pPr>
      <w:r>
        <w:rPr>
          <w:rFonts w:hint="eastAsia" w:ascii="仿宋_GB2312" w:eastAsia="仿宋_GB2312"/>
          <w:color w:val="auto"/>
          <w:sz w:val="28"/>
          <w:szCs w:val="28"/>
        </w:rPr>
        <w:t xml:space="preserve">                                  标准编制工作组</w:t>
      </w:r>
    </w:p>
    <w:p w14:paraId="2804818C">
      <w:pPr>
        <w:spacing w:line="520" w:lineRule="exact"/>
        <w:ind w:firstLine="640" w:firstLineChars="200"/>
        <w:rPr>
          <w:rFonts w:hint="eastAsia" w:ascii="仿宋_GB2312" w:eastAsia="仿宋_GB2312"/>
          <w:color w:val="auto"/>
          <w:sz w:val="28"/>
          <w:szCs w:val="28"/>
        </w:rPr>
      </w:pPr>
      <w:r>
        <w:rPr>
          <w:rFonts w:hint="eastAsia" w:ascii="仿宋_GB2312" w:eastAsia="仿宋_GB2312"/>
          <w:color w:val="auto"/>
          <w:sz w:val="32"/>
          <w:szCs w:val="28"/>
        </w:rPr>
        <w:t xml:space="preserve">                             </w:t>
      </w:r>
      <w:r>
        <w:rPr>
          <w:rFonts w:hint="eastAsia" w:ascii="仿宋_GB2312" w:eastAsia="仿宋_GB2312"/>
          <w:color w:val="auto"/>
          <w:sz w:val="28"/>
          <w:szCs w:val="28"/>
        </w:rPr>
        <w:t>202</w:t>
      </w:r>
      <w:r>
        <w:rPr>
          <w:rFonts w:hint="eastAsia" w:ascii="仿宋_GB2312" w:eastAsia="仿宋_GB2312"/>
          <w:color w:val="auto"/>
          <w:sz w:val="28"/>
          <w:szCs w:val="28"/>
          <w:lang w:val="en-US" w:eastAsia="zh-CN"/>
        </w:rPr>
        <w:t>5</w:t>
      </w:r>
      <w:r>
        <w:rPr>
          <w:rFonts w:hint="eastAsia" w:ascii="仿宋_GB2312" w:eastAsia="仿宋_GB2312"/>
          <w:color w:val="auto"/>
          <w:sz w:val="28"/>
          <w:szCs w:val="28"/>
        </w:rPr>
        <w:t>年</w:t>
      </w:r>
      <w:r>
        <w:rPr>
          <w:rFonts w:hint="eastAsia" w:ascii="仿宋_GB2312" w:eastAsia="仿宋_GB2312"/>
          <w:color w:val="auto"/>
          <w:sz w:val="28"/>
          <w:szCs w:val="28"/>
          <w:lang w:val="en-US" w:eastAsia="zh-CN"/>
        </w:rPr>
        <w:t>6</w:t>
      </w:r>
      <w:r>
        <w:rPr>
          <w:rFonts w:hint="eastAsia" w:ascii="仿宋_GB2312" w:eastAsia="仿宋_GB2312"/>
          <w:color w:val="auto"/>
          <w:sz w:val="28"/>
          <w:szCs w:val="28"/>
        </w:rPr>
        <w:t>月</w:t>
      </w:r>
      <w:r>
        <w:rPr>
          <w:rFonts w:hint="eastAsia" w:ascii="仿宋_GB2312" w:eastAsia="仿宋_GB2312"/>
          <w:color w:val="auto"/>
          <w:sz w:val="28"/>
          <w:szCs w:val="28"/>
          <w:lang w:val="en-US" w:eastAsia="zh-CN"/>
        </w:rPr>
        <w:t>26</w:t>
      </w:r>
      <w:r>
        <w:rPr>
          <w:rFonts w:hint="eastAsia" w:ascii="仿宋_GB2312" w:eastAsia="仿宋_GB2312"/>
          <w:color w:val="auto"/>
          <w:sz w:val="28"/>
          <w:szCs w:val="28"/>
        </w:rPr>
        <w:t>日</w:t>
      </w:r>
    </w:p>
    <w:sectPr>
      <w:footerReference r:id="rId3" w:type="default"/>
      <w:pgSz w:w="11906" w:h="16838"/>
      <w:pgMar w:top="1474" w:right="1474" w:bottom="1474" w:left="1474"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5FCD98FA-D79F-4685-8D9D-D9FC3A6A4329}"/>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embedRegular r:id="rId2" w:fontKey="{4C9C3A9E-4EDC-43F8-A350-A8652E8D44C2}"/>
  </w:font>
  <w:font w:name="等线">
    <w:panose1 w:val="02010600030101010101"/>
    <w:charset w:val="86"/>
    <w:family w:val="auto"/>
    <w:pitch w:val="default"/>
    <w:sig w:usb0="A00002BF" w:usb1="38CF7CFA" w:usb2="00000016" w:usb3="00000000" w:csb0="0004000F" w:csb1="00000000"/>
  </w:font>
  <w:font w:name="方正小标宋简体">
    <w:panose1 w:val="03000509000000000000"/>
    <w:charset w:val="86"/>
    <w:family w:val="script"/>
    <w:pitch w:val="default"/>
    <w:sig w:usb0="00000001" w:usb1="080E0000" w:usb2="00000000" w:usb3="00000000" w:csb0="00040000" w:csb1="00000000"/>
    <w:embedRegular r:id="rId3" w:fontKey="{F2CC818D-BBBF-4BE1-BD83-C9C1C5A8A28C}"/>
  </w:font>
  <w:font w:name="仿宋_GB2312">
    <w:panose1 w:val="02010609030101010101"/>
    <w:charset w:val="86"/>
    <w:family w:val="modern"/>
    <w:pitch w:val="default"/>
    <w:sig w:usb0="00000001" w:usb1="080E0000" w:usb2="00000000" w:usb3="00000000" w:csb0="00040000" w:csb1="00000000"/>
    <w:embedRegular r:id="rId4" w:fontKey="{B0B26C85-03B6-4CDD-A903-391B9A10CB60}"/>
  </w:font>
  <w:font w:name="仿宋">
    <w:panose1 w:val="02010609060101010101"/>
    <w:charset w:val="86"/>
    <w:family w:val="modern"/>
    <w:pitch w:val="default"/>
    <w:sig w:usb0="800002BF" w:usb1="38CF7CFA" w:usb2="00000016" w:usb3="00000000" w:csb0="00040001" w:csb1="00000000"/>
    <w:embedRegular r:id="rId5" w:fontKey="{B3B8FD9D-2843-4D7F-B430-D28B69188DE2}"/>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FD6AFB0">
    <w:pPr>
      <w:pStyle w:val="8"/>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56515" cy="131445"/>
              <wp:effectExtent l="0" t="0" r="0" b="0"/>
              <wp:wrapNone/>
              <wp:docPr id="42" name="文本框 1"/>
              <wp:cNvGraphicFramePr/>
              <a:graphic xmlns:a="http://schemas.openxmlformats.org/drawingml/2006/main">
                <a:graphicData uri="http://schemas.microsoft.com/office/word/2010/wordprocessingShape">
                  <wps:wsp>
                    <wps:cNvSpPr txBox="1"/>
                    <wps:spPr>
                      <a:xfrm>
                        <a:off x="0" y="0"/>
                        <a:ext cx="56515" cy="131445"/>
                      </a:xfrm>
                      <a:prstGeom prst="rect">
                        <a:avLst/>
                      </a:prstGeom>
                      <a:noFill/>
                      <a:ln w="6350">
                        <a:noFill/>
                      </a:ln>
                    </wps:spPr>
                    <wps:txbx>
                      <w:txbxContent>
                        <w:p w14:paraId="3835A740">
                          <w:pPr>
                            <w:pStyle w:val="8"/>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wps:txbx>
                    <wps:bodyPr wrap="none" lIns="0" tIns="0" rIns="0" bIns="0" upright="1">
                      <a:spAutoFit/>
                    </wps:bodyPr>
                  </wps:wsp>
                </a:graphicData>
              </a:graphic>
            </wp:anchor>
          </w:drawing>
        </mc:Choice>
        <mc:Fallback>
          <w:pict>
            <v:shape id="文本框 1" o:spid="_x0000_s1026" o:spt="202" type="#_x0000_t202" style="position:absolute;left:0pt;margin-top:0pt;height:10.35pt;width:4.45pt;mso-position-horizontal:center;mso-position-horizontal-relative:margin;mso-wrap-style:none;z-index:251659264;mso-width-relative:page;mso-height-relative:page;" filled="f" stroked="f" coordsize="21600,21600" o:gfxdata="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HyXN5vRAAAAAgEAAA8AAAAAAAAAAQAgAAAAIgAA&#10;AGRycy9kb3ducmV2LnhtbFBLAQIUABQAAAAIAIdO4kAdICOU1gEAAKADAAAOAAAAAAAAAAEAIAAA&#10;ACABAABkcnMvZTJvRG9jLnhtbFBLBQYAAAAABgAGAFkBAABoBQAAAAA=&#10;">
              <v:fill on="f" focussize="0,0"/>
              <v:stroke on="f" weight="0.5pt"/>
              <v:imagedata o:title=""/>
              <o:lock v:ext="edit" aspectratio="f"/>
              <v:textbox inset="0mm,0mm,0mm,0mm" style="mso-fit-shape-to-text:t;">
                <w:txbxContent>
                  <w:p w14:paraId="3835A740">
                    <w:pPr>
                      <w:pStyle w:val="8"/>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DDF8329"/>
    <w:multiLevelType w:val="multilevel"/>
    <w:tmpl w:val="8DDF8329"/>
    <w:lvl w:ilvl="0" w:tentative="0">
      <w:start w:val="1"/>
      <w:numFmt w:val="decimal"/>
      <w:pStyle w:val="40"/>
      <w:suff w:val="nothing"/>
      <w:lvlText w:val="表%1　"/>
      <w:legacy w:legacy="1" w:legacySpace="0" w:legacyIndent="0"/>
      <w:lvlJc w:val="left"/>
      <w:pPr>
        <w:ind w:left="0" w:firstLine="0"/>
      </w:pPr>
    </w:lvl>
    <w:lvl w:ilvl="1" w:tentative="0">
      <w:start w:val="1"/>
      <w:numFmt w:val="decimal"/>
      <w:lvlText w:val="%1.%2"/>
      <w:legacy w:legacy="1" w:legacySpace="0" w:legacyIndent="567"/>
      <w:lvlJc w:val="left"/>
      <w:pPr>
        <w:ind w:left="992" w:hanging="567"/>
      </w:pPr>
    </w:lvl>
    <w:lvl w:ilvl="2" w:tentative="0">
      <w:start w:val="1"/>
      <w:numFmt w:val="decimal"/>
      <w:lvlText w:val="%1.%2.%3"/>
      <w:legacy w:legacy="1" w:legacySpace="0" w:legacyIndent="567"/>
      <w:lvlJc w:val="left"/>
      <w:pPr>
        <w:ind w:left="1417" w:hanging="567"/>
      </w:pPr>
    </w:lvl>
    <w:lvl w:ilvl="3" w:tentative="0">
      <w:start w:val="1"/>
      <w:numFmt w:val="decimal"/>
      <w:lvlText w:val="%1.%2.%3.%4"/>
      <w:legacy w:legacy="1" w:legacySpace="0" w:legacyIndent="708"/>
      <w:lvlJc w:val="left"/>
      <w:pPr>
        <w:ind w:left="1984" w:hanging="708"/>
      </w:pPr>
    </w:lvl>
    <w:lvl w:ilvl="4" w:tentative="0">
      <w:start w:val="1"/>
      <w:numFmt w:val="decimal"/>
      <w:lvlText w:val="%1.%2.%3.%4.%5"/>
      <w:legacy w:legacy="1" w:legacySpace="0" w:legacyIndent="850"/>
      <w:lvlJc w:val="left"/>
      <w:pPr>
        <w:ind w:left="2551" w:hanging="850"/>
      </w:pPr>
    </w:lvl>
    <w:lvl w:ilvl="5" w:tentative="0">
      <w:start w:val="1"/>
      <w:numFmt w:val="decimal"/>
      <w:lvlText w:val="%1.%2.%3.%4.%5.%6"/>
      <w:legacy w:legacy="1" w:legacySpace="0" w:legacyIndent="1134"/>
      <w:lvlJc w:val="left"/>
      <w:pPr>
        <w:ind w:left="3260" w:hanging="1134"/>
      </w:pPr>
    </w:lvl>
    <w:lvl w:ilvl="6" w:tentative="0">
      <w:start w:val="1"/>
      <w:numFmt w:val="decimal"/>
      <w:lvlText w:val="%1.%2.%3.%4.%5.%6.%7"/>
      <w:legacy w:legacy="1" w:legacySpace="0" w:legacyIndent="1276"/>
      <w:lvlJc w:val="left"/>
      <w:pPr>
        <w:ind w:left="3827" w:hanging="1276"/>
      </w:pPr>
    </w:lvl>
    <w:lvl w:ilvl="7" w:tentative="0">
      <w:start w:val="1"/>
      <w:numFmt w:val="decimal"/>
      <w:lvlText w:val="%1.%2.%3.%4.%5.%6.%7.%8"/>
      <w:legacy w:legacy="1" w:legacySpace="0" w:legacyIndent="1418"/>
      <w:lvlJc w:val="left"/>
      <w:pPr>
        <w:ind w:left="4394" w:hanging="1418"/>
      </w:pPr>
    </w:lvl>
    <w:lvl w:ilvl="8" w:tentative="0">
      <w:start w:val="1"/>
      <w:numFmt w:val="decimal"/>
      <w:lvlText w:val="%1.%2.%3.%4.%5.%6.%7.%8.%9"/>
      <w:legacy w:legacy="1" w:legacySpace="0" w:legacyIndent="1700"/>
      <w:lvlJc w:val="left"/>
      <w:pPr>
        <w:ind w:left="5102" w:hanging="1700"/>
      </w:pPr>
    </w:lvl>
  </w:abstractNum>
  <w:abstractNum w:abstractNumId="1">
    <w:nsid w:val="CCE8578E"/>
    <w:multiLevelType w:val="singleLevel"/>
    <w:tmpl w:val="CCE8578E"/>
    <w:lvl w:ilvl="0" w:tentative="0">
      <w:start w:val="1"/>
      <w:numFmt w:val="decimal"/>
      <w:suff w:val="nothing"/>
      <w:lvlText w:val="（%1）"/>
      <w:lvlJc w:val="left"/>
    </w:lvl>
  </w:abstractNum>
  <w:abstractNum w:abstractNumId="2">
    <w:nsid w:val="E75E88D5"/>
    <w:multiLevelType w:val="singleLevel"/>
    <w:tmpl w:val="E75E88D5"/>
    <w:lvl w:ilvl="0" w:tentative="0">
      <w:start w:val="3"/>
      <w:numFmt w:val="chineseCounting"/>
      <w:suff w:val="nothing"/>
      <w:lvlText w:val="（%1）"/>
      <w:lvlJc w:val="left"/>
      <w:rPr>
        <w:rFonts w:hint="eastAsia"/>
      </w:rPr>
    </w:lvl>
  </w:abstractNum>
  <w:abstractNum w:abstractNumId="3">
    <w:nsid w:val="0FFFFF7E"/>
    <w:multiLevelType w:val="singleLevel"/>
    <w:tmpl w:val="0FFFFF7E"/>
    <w:lvl w:ilvl="0" w:tentative="0">
      <w:start w:val="1"/>
      <w:numFmt w:val="decimal"/>
      <w:lvlText w:val="%1."/>
      <w:lvlJc w:val="left"/>
      <w:pPr>
        <w:tabs>
          <w:tab w:val="left" w:pos="1200"/>
        </w:tabs>
        <w:ind w:left="1200" w:hanging="360"/>
      </w:pPr>
    </w:lvl>
  </w:abstractNum>
  <w:abstractNum w:abstractNumId="4">
    <w:nsid w:val="0FFFFF7F"/>
    <w:multiLevelType w:val="singleLevel"/>
    <w:tmpl w:val="0FFFFF7F"/>
    <w:lvl w:ilvl="0" w:tentative="0">
      <w:start w:val="1"/>
      <w:numFmt w:val="decimal"/>
      <w:lvlText w:val="%1."/>
      <w:lvlJc w:val="left"/>
      <w:pPr>
        <w:tabs>
          <w:tab w:val="left" w:pos="780"/>
        </w:tabs>
        <w:ind w:left="780" w:hanging="360"/>
      </w:pPr>
    </w:lvl>
  </w:abstractNum>
  <w:abstractNum w:abstractNumId="5">
    <w:nsid w:val="2C5917C3"/>
    <w:multiLevelType w:val="multilevel"/>
    <w:tmpl w:val="2C5917C3"/>
    <w:lvl w:ilvl="0" w:tentative="0">
      <w:start w:val="1"/>
      <w:numFmt w:val="none"/>
      <w:pStyle w:val="54"/>
      <w:lvlText w:val="%1——"/>
      <w:lvlJc w:val="left"/>
      <w:pPr>
        <w:tabs>
          <w:tab w:val="left" w:pos="851"/>
        </w:tabs>
        <w:ind w:left="636" w:hanging="426"/>
      </w:pPr>
      <w:rPr>
        <w:rFonts w:hint="eastAsia" w:ascii="宋体" w:hAnsi="Times New Roman" w:eastAsia="宋体"/>
        <w:b w:val="0"/>
        <w:i w:val="0"/>
        <w:sz w:val="21"/>
      </w:rPr>
    </w:lvl>
    <w:lvl w:ilvl="1" w:tentative="0">
      <w:start w:val="1"/>
      <w:numFmt w:val="none"/>
      <w:lvlText w:val=""/>
      <w:lvlJc w:val="left"/>
      <w:pPr>
        <w:ind w:left="636" w:hanging="431"/>
      </w:pPr>
      <w:rPr>
        <w:rFonts w:hint="default" w:ascii="Symbol" w:hAnsi="Symbol"/>
        <w:sz w:val="21"/>
      </w:rPr>
    </w:lvl>
    <w:lvl w:ilvl="2" w:tentative="0">
      <w:start w:val="1"/>
      <w:numFmt w:val="bullet"/>
      <w:lvlText w:val=""/>
      <w:lvlJc w:val="left"/>
      <w:pPr>
        <w:ind w:left="636" w:hanging="426"/>
      </w:pPr>
      <w:rPr>
        <w:rFonts w:hint="default" w:ascii="Wingdings" w:hAnsi="Wingdings"/>
        <w:sz w:val="21"/>
      </w:rPr>
    </w:lvl>
    <w:lvl w:ilvl="3" w:tentative="0">
      <w:start w:val="1"/>
      <w:numFmt w:val="decimal"/>
      <w:lvlText w:val="%4."/>
      <w:lvlJc w:val="left"/>
      <w:pPr>
        <w:tabs>
          <w:tab w:val="left" w:pos="2071"/>
        </w:tabs>
        <w:ind w:left="1669" w:hanging="528"/>
      </w:pPr>
      <w:rPr>
        <w:rFonts w:hint="eastAsia"/>
      </w:rPr>
    </w:lvl>
    <w:lvl w:ilvl="4" w:tentative="0">
      <w:start w:val="1"/>
      <w:numFmt w:val="lowerLetter"/>
      <w:lvlText w:val="%5)"/>
      <w:lvlJc w:val="left"/>
      <w:pPr>
        <w:tabs>
          <w:tab w:val="left" w:pos="2383"/>
        </w:tabs>
        <w:ind w:left="1981" w:hanging="528"/>
      </w:pPr>
      <w:rPr>
        <w:rFonts w:hint="eastAsia"/>
      </w:rPr>
    </w:lvl>
    <w:lvl w:ilvl="5" w:tentative="0">
      <w:start w:val="1"/>
      <w:numFmt w:val="lowerRoman"/>
      <w:lvlText w:val="%6."/>
      <w:lvlJc w:val="right"/>
      <w:pPr>
        <w:tabs>
          <w:tab w:val="left" w:pos="2695"/>
        </w:tabs>
        <w:ind w:left="2293" w:hanging="528"/>
      </w:pPr>
      <w:rPr>
        <w:rFonts w:hint="eastAsia"/>
      </w:rPr>
    </w:lvl>
    <w:lvl w:ilvl="6" w:tentative="0">
      <w:start w:val="1"/>
      <w:numFmt w:val="decimal"/>
      <w:lvlText w:val="%7."/>
      <w:lvlJc w:val="left"/>
      <w:pPr>
        <w:tabs>
          <w:tab w:val="left" w:pos="3007"/>
        </w:tabs>
        <w:ind w:left="2605" w:hanging="528"/>
      </w:pPr>
      <w:rPr>
        <w:rFonts w:hint="eastAsia"/>
      </w:rPr>
    </w:lvl>
    <w:lvl w:ilvl="7" w:tentative="0">
      <w:start w:val="1"/>
      <w:numFmt w:val="lowerLetter"/>
      <w:lvlText w:val="%8)"/>
      <w:lvlJc w:val="left"/>
      <w:pPr>
        <w:tabs>
          <w:tab w:val="left" w:pos="3319"/>
        </w:tabs>
        <w:ind w:left="2917" w:hanging="528"/>
      </w:pPr>
      <w:rPr>
        <w:rFonts w:hint="eastAsia"/>
      </w:rPr>
    </w:lvl>
    <w:lvl w:ilvl="8" w:tentative="0">
      <w:start w:val="1"/>
      <w:numFmt w:val="lowerRoman"/>
      <w:lvlText w:val="%9."/>
      <w:lvlJc w:val="right"/>
      <w:pPr>
        <w:tabs>
          <w:tab w:val="left" w:pos="3631"/>
        </w:tabs>
        <w:ind w:left="3229" w:hanging="528"/>
      </w:pPr>
      <w:rPr>
        <w:rFonts w:hint="eastAsia"/>
      </w:rPr>
    </w:lvl>
  </w:abstractNum>
  <w:abstractNum w:abstractNumId="6">
    <w:nsid w:val="44C50F90"/>
    <w:multiLevelType w:val="multilevel"/>
    <w:tmpl w:val="44C50F90"/>
    <w:lvl w:ilvl="0" w:tentative="0">
      <w:start w:val="1"/>
      <w:numFmt w:val="lowerLetter"/>
      <w:pStyle w:val="49"/>
      <w:lvlText w:val="%1)"/>
      <w:lvlJc w:val="left"/>
      <w:pPr>
        <w:tabs>
          <w:tab w:val="left" w:pos="851"/>
        </w:tabs>
        <w:ind w:left="851" w:hanging="426"/>
      </w:pPr>
      <w:rPr>
        <w:rFonts w:hint="eastAsia" w:ascii="宋体" w:hAnsi="Times New Roman" w:eastAsia="宋体"/>
        <w:sz w:val="21"/>
      </w:rPr>
    </w:lvl>
    <w:lvl w:ilvl="1" w:tentative="0">
      <w:start w:val="1"/>
      <w:numFmt w:val="decimal"/>
      <w:pStyle w:val="47"/>
      <w:lvlText w:val="%2)"/>
      <w:lvlJc w:val="left"/>
      <w:pPr>
        <w:tabs>
          <w:tab w:val="left" w:pos="1276"/>
        </w:tabs>
        <w:ind w:left="1276" w:hanging="425"/>
      </w:pPr>
      <w:rPr>
        <w:rFonts w:hint="eastAsia" w:ascii="宋体" w:hAnsi="Times New Roman" w:eastAsia="宋体"/>
        <w:sz w:val="21"/>
      </w:rPr>
    </w:lvl>
    <w:lvl w:ilvl="2" w:tentative="0">
      <w:start w:val="1"/>
      <w:numFmt w:val="decimal"/>
      <w:pStyle w:val="48"/>
      <w:lvlText w:val="(%3)"/>
      <w:lvlJc w:val="left"/>
      <w:pPr>
        <w:ind w:left="1701" w:hanging="425"/>
      </w:pPr>
      <w:rPr>
        <w:rFonts w:hint="eastAsia" w:ascii="宋体" w:hAnsi="Times New Roman" w:eastAsia="宋体"/>
        <w:sz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7">
    <w:nsid w:val="5A9B6960"/>
    <w:multiLevelType w:val="multilevel"/>
    <w:tmpl w:val="5A9B6960"/>
    <w:lvl w:ilvl="0" w:tentative="0">
      <w:start w:val="1"/>
      <w:numFmt w:val="none"/>
      <w:pStyle w:val="37"/>
      <w:suff w:val="nothing"/>
      <w:lvlText w:val="%1"/>
      <w:legacy w:legacy="1" w:legacySpace="0" w:legacyIndent="0"/>
      <w:lvlJc w:val="left"/>
      <w:pPr>
        <w:ind w:left="0" w:firstLine="0"/>
      </w:pPr>
      <w:rPr>
        <w:rFonts w:hint="eastAsia"/>
      </w:rPr>
    </w:lvl>
    <w:lvl w:ilvl="1" w:tentative="0">
      <w:start w:val="1"/>
      <w:numFmt w:val="decimal"/>
      <w:pStyle w:val="31"/>
      <w:suff w:val="nothing"/>
      <w:lvlText w:val="%1%2　"/>
      <w:legacy w:legacy="1" w:legacySpace="0" w:legacyIndent="0"/>
      <w:lvlJc w:val="left"/>
      <w:pPr>
        <w:ind w:left="0" w:firstLine="0"/>
      </w:pPr>
      <w:rPr>
        <w:rFonts w:hint="eastAsia" w:ascii="黑体" w:hAnsi="黑体" w:eastAsia="黑体"/>
        <w:b w:val="0"/>
        <w:i w:val="0"/>
        <w:sz w:val="21"/>
      </w:rPr>
    </w:lvl>
    <w:lvl w:ilvl="2" w:tentative="0">
      <w:start w:val="1"/>
      <w:numFmt w:val="decimal"/>
      <w:pStyle w:val="33"/>
      <w:suff w:val="nothing"/>
      <w:lvlText w:val="%1%2.%3　"/>
      <w:legacy w:legacy="1" w:legacySpace="0" w:legacyIndent="0"/>
      <w:lvlJc w:val="left"/>
      <w:pPr>
        <w:ind w:left="0" w:firstLine="0"/>
      </w:pPr>
      <w:rPr>
        <w:rFonts w:hint="eastAsia" w:ascii="黑体" w:hAnsi="黑体" w:eastAsia="黑体" w:cs="Times New Roman"/>
        <w:b w:val="0"/>
        <w:bCs w:val="0"/>
        <w:i w:val="0"/>
        <w:iCs w:val="0"/>
        <w:caps w:val="0"/>
        <w:smallCaps w:val="0"/>
        <w:strike w:val="0"/>
        <w:dstrike w:val="0"/>
        <w:vanish w:val="0"/>
        <w:color w:val="000000"/>
        <w:spacing w:val="0"/>
        <w:kern w:val="0"/>
        <w:position w:val="0"/>
        <w:sz w:val="21"/>
        <w:u w:val="none"/>
        <w:vertAlign w:val="baseline"/>
      </w:rPr>
    </w:lvl>
    <w:lvl w:ilvl="3" w:tentative="0">
      <w:start w:val="1"/>
      <w:numFmt w:val="decimal"/>
      <w:suff w:val="nothing"/>
      <w:lvlText w:val="%1%2.%3.%4　"/>
      <w:legacy w:legacy="1" w:legacySpace="0" w:legacyIndent="0"/>
      <w:lvlJc w:val="left"/>
      <w:pPr>
        <w:ind w:left="0" w:firstLine="0"/>
      </w:pPr>
      <w:rPr>
        <w:rFonts w:hint="eastAsia" w:ascii="黑体" w:hAnsi="黑体" w:eastAsia="黑体"/>
        <w:b w:val="0"/>
        <w:i w:val="0"/>
        <w:sz w:val="21"/>
      </w:rPr>
    </w:lvl>
    <w:lvl w:ilvl="4" w:tentative="0">
      <w:start w:val="1"/>
      <w:numFmt w:val="decimal"/>
      <w:pStyle w:val="39"/>
      <w:suff w:val="nothing"/>
      <w:lvlText w:val="%1%2.%3.%4.%5　"/>
      <w:legacy w:legacy="1" w:legacySpace="0" w:legacyIndent="0"/>
      <w:lvlJc w:val="left"/>
      <w:pPr>
        <w:ind w:left="0" w:firstLine="0"/>
      </w:pPr>
      <w:rPr>
        <w:rFonts w:hint="eastAsia" w:ascii="黑体" w:hAnsi="黑体" w:eastAsia="黑体"/>
        <w:b w:val="0"/>
        <w:i w:val="0"/>
        <w:sz w:val="21"/>
      </w:rPr>
    </w:lvl>
    <w:lvl w:ilvl="5" w:tentative="0">
      <w:start w:val="1"/>
      <w:numFmt w:val="decimal"/>
      <w:pStyle w:val="38"/>
      <w:suff w:val="nothing"/>
      <w:lvlText w:val="%1%2.%3.%4.%5.%6　"/>
      <w:legacy w:legacy="1" w:legacySpace="0" w:legacyIndent="0"/>
      <w:lvlJc w:val="left"/>
      <w:pPr>
        <w:ind w:left="0" w:firstLine="0"/>
      </w:pPr>
      <w:rPr>
        <w:rFonts w:hint="eastAsia" w:ascii="黑体" w:hAnsi="黑体" w:eastAsia="黑体"/>
        <w:b w:val="0"/>
        <w:i w:val="0"/>
        <w:sz w:val="21"/>
      </w:rPr>
    </w:lvl>
    <w:lvl w:ilvl="6" w:tentative="0">
      <w:start w:val="1"/>
      <w:numFmt w:val="decimal"/>
      <w:pStyle w:val="36"/>
      <w:suff w:val="nothing"/>
      <w:lvlText w:val="%1%2.%3.%4.%5.%6.%7　"/>
      <w:legacy w:legacy="1" w:legacySpace="0" w:legacyIndent="0"/>
      <w:lvlJc w:val="left"/>
      <w:pPr>
        <w:ind w:left="0" w:firstLine="0"/>
      </w:pPr>
      <w:rPr>
        <w:rFonts w:hint="eastAsia" w:ascii="黑体" w:hAnsi="黑体" w:eastAsia="黑体"/>
        <w:b w:val="0"/>
        <w:i w:val="0"/>
        <w:sz w:val="21"/>
      </w:rPr>
    </w:lvl>
    <w:lvl w:ilvl="7" w:tentative="0">
      <w:start w:val="1"/>
      <w:numFmt w:val="decimal"/>
      <w:lvlText w:val="%1.%2.%3.%4.%5.%6.%7.%8"/>
      <w:legacy w:legacy="1" w:legacySpace="0" w:legacyIndent="1418"/>
      <w:lvlJc w:val="left"/>
      <w:pPr>
        <w:ind w:left="3969" w:hanging="1418"/>
      </w:pPr>
      <w:rPr>
        <w:rFonts w:hint="eastAsia"/>
      </w:rPr>
    </w:lvl>
    <w:lvl w:ilvl="8" w:tentative="0">
      <w:start w:val="1"/>
      <w:numFmt w:val="decimal"/>
      <w:lvlText w:val="%1.%2.%3.%4.%5.%6.%7.%8.%9"/>
      <w:legacy w:legacy="1" w:legacySpace="0" w:legacyIndent="1700"/>
      <w:lvlJc w:val="left"/>
      <w:pPr>
        <w:ind w:left="4677" w:hanging="1700"/>
      </w:pPr>
      <w:rPr>
        <w:rFonts w:hint="eastAsia"/>
      </w:rPr>
    </w:lvl>
  </w:abstractNum>
  <w:abstractNum w:abstractNumId="8">
    <w:nsid w:val="6ECE3836"/>
    <w:multiLevelType w:val="singleLevel"/>
    <w:tmpl w:val="6ECE3836"/>
    <w:lvl w:ilvl="0" w:tentative="0">
      <w:start w:val="1"/>
      <w:numFmt w:val="decimal"/>
      <w:lvlText w:val="[%1]"/>
      <w:lvlJc w:val="left"/>
      <w:pPr>
        <w:tabs>
          <w:tab w:val="left" w:pos="312"/>
        </w:tabs>
      </w:pPr>
    </w:lvl>
  </w:abstractNum>
  <w:num w:numId="1">
    <w:abstractNumId w:val="7"/>
  </w:num>
  <w:num w:numId="2">
    <w:abstractNumId w:val="0"/>
  </w:num>
  <w:num w:numId="3">
    <w:abstractNumId w:val="4"/>
  </w:num>
  <w:num w:numId="4">
    <w:abstractNumId w:val="3"/>
  </w:num>
  <w:num w:numId="5">
    <w:abstractNumId w:val="6"/>
  </w:num>
  <w:num w:numId="6">
    <w:abstractNumId w:val="5"/>
  </w:num>
  <w:num w:numId="7">
    <w:abstractNumId w:val="2"/>
  </w:num>
  <w:num w:numId="8">
    <w:abstractNumId w:val="1"/>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TrueTypeFonts/>
  <w:saveSubsetFonts/>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hyphenationZone w:val="360"/>
  <w:drawingGridVerticalSpacing w:val="156"/>
  <w:displayHorizontalDrawingGridEvery w:val="1"/>
  <w:displayVerticalDrawingGridEvery w:val="1"/>
  <w:noPunctuationKerning w:val="1"/>
  <w:characterSpacingControl w:val="compressPunctuation"/>
  <w:doNotValidateAgainstSchema/>
  <w:doNotDemarcateInvalidXml/>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mU0OWNhMGUyYzc2MTI5ZWY2NzM4MTVkMDAwODg0YzMifQ=="/>
  </w:docVars>
  <w:rsids>
    <w:rsidRoot w:val="000D75AA"/>
    <w:rsid w:val="000068A2"/>
    <w:rsid w:val="00012EC2"/>
    <w:rsid w:val="00014983"/>
    <w:rsid w:val="000178C8"/>
    <w:rsid w:val="00055442"/>
    <w:rsid w:val="00072103"/>
    <w:rsid w:val="00075653"/>
    <w:rsid w:val="00082613"/>
    <w:rsid w:val="000C517B"/>
    <w:rsid w:val="000E53EA"/>
    <w:rsid w:val="001133E6"/>
    <w:rsid w:val="001655CC"/>
    <w:rsid w:val="0018012C"/>
    <w:rsid w:val="001821C9"/>
    <w:rsid w:val="001A7570"/>
    <w:rsid w:val="001D3156"/>
    <w:rsid w:val="001E2D73"/>
    <w:rsid w:val="0020127F"/>
    <w:rsid w:val="00205352"/>
    <w:rsid w:val="002210B4"/>
    <w:rsid w:val="0022236C"/>
    <w:rsid w:val="002324B6"/>
    <w:rsid w:val="00234F7D"/>
    <w:rsid w:val="00236909"/>
    <w:rsid w:val="00236EB4"/>
    <w:rsid w:val="00241F8A"/>
    <w:rsid w:val="00281F39"/>
    <w:rsid w:val="0028500C"/>
    <w:rsid w:val="002879F6"/>
    <w:rsid w:val="00292F73"/>
    <w:rsid w:val="0029554A"/>
    <w:rsid w:val="002A3479"/>
    <w:rsid w:val="002B7C92"/>
    <w:rsid w:val="002E357A"/>
    <w:rsid w:val="00321E92"/>
    <w:rsid w:val="003259AF"/>
    <w:rsid w:val="003332BA"/>
    <w:rsid w:val="00340D9B"/>
    <w:rsid w:val="003517E7"/>
    <w:rsid w:val="00372E66"/>
    <w:rsid w:val="00375933"/>
    <w:rsid w:val="00382E35"/>
    <w:rsid w:val="00396F2C"/>
    <w:rsid w:val="003D485E"/>
    <w:rsid w:val="00426DC5"/>
    <w:rsid w:val="004373E9"/>
    <w:rsid w:val="0044036C"/>
    <w:rsid w:val="0044065E"/>
    <w:rsid w:val="004805DB"/>
    <w:rsid w:val="0048511D"/>
    <w:rsid w:val="004A75FF"/>
    <w:rsid w:val="004B4D68"/>
    <w:rsid w:val="004F29B4"/>
    <w:rsid w:val="00515B82"/>
    <w:rsid w:val="0051755E"/>
    <w:rsid w:val="00533B2A"/>
    <w:rsid w:val="00554B7D"/>
    <w:rsid w:val="00564A0C"/>
    <w:rsid w:val="005E3C13"/>
    <w:rsid w:val="005E7B33"/>
    <w:rsid w:val="005F1668"/>
    <w:rsid w:val="005F2FD2"/>
    <w:rsid w:val="005F4961"/>
    <w:rsid w:val="00617B08"/>
    <w:rsid w:val="00627AB4"/>
    <w:rsid w:val="006335ED"/>
    <w:rsid w:val="006343EC"/>
    <w:rsid w:val="0063539D"/>
    <w:rsid w:val="00637F53"/>
    <w:rsid w:val="006511A8"/>
    <w:rsid w:val="0067378F"/>
    <w:rsid w:val="00691000"/>
    <w:rsid w:val="006B0BA0"/>
    <w:rsid w:val="006B12C0"/>
    <w:rsid w:val="00714DDE"/>
    <w:rsid w:val="0074491A"/>
    <w:rsid w:val="007557E4"/>
    <w:rsid w:val="00756356"/>
    <w:rsid w:val="00774434"/>
    <w:rsid w:val="007756AB"/>
    <w:rsid w:val="00781D6C"/>
    <w:rsid w:val="007A149B"/>
    <w:rsid w:val="007C244C"/>
    <w:rsid w:val="00801A7F"/>
    <w:rsid w:val="00814260"/>
    <w:rsid w:val="008247C4"/>
    <w:rsid w:val="00826BFA"/>
    <w:rsid w:val="00853F5C"/>
    <w:rsid w:val="00874BB5"/>
    <w:rsid w:val="008779C2"/>
    <w:rsid w:val="00887632"/>
    <w:rsid w:val="00895F4A"/>
    <w:rsid w:val="008973E6"/>
    <w:rsid w:val="008B6B5F"/>
    <w:rsid w:val="008E1EB5"/>
    <w:rsid w:val="00926E1B"/>
    <w:rsid w:val="00932BA3"/>
    <w:rsid w:val="00947EBA"/>
    <w:rsid w:val="009718CC"/>
    <w:rsid w:val="009A4141"/>
    <w:rsid w:val="009E3161"/>
    <w:rsid w:val="00A16A3E"/>
    <w:rsid w:val="00A263D3"/>
    <w:rsid w:val="00A365A2"/>
    <w:rsid w:val="00A37FDF"/>
    <w:rsid w:val="00A42C5E"/>
    <w:rsid w:val="00A75476"/>
    <w:rsid w:val="00A84853"/>
    <w:rsid w:val="00A87F41"/>
    <w:rsid w:val="00AC57C3"/>
    <w:rsid w:val="00AD0172"/>
    <w:rsid w:val="00B07A8A"/>
    <w:rsid w:val="00B66676"/>
    <w:rsid w:val="00B73416"/>
    <w:rsid w:val="00B77477"/>
    <w:rsid w:val="00B94EFE"/>
    <w:rsid w:val="00B954B8"/>
    <w:rsid w:val="00BA570D"/>
    <w:rsid w:val="00BB6932"/>
    <w:rsid w:val="00BB7B52"/>
    <w:rsid w:val="00BD2990"/>
    <w:rsid w:val="00C07069"/>
    <w:rsid w:val="00C123EE"/>
    <w:rsid w:val="00C13CB6"/>
    <w:rsid w:val="00C20386"/>
    <w:rsid w:val="00CC71EF"/>
    <w:rsid w:val="00CE7CD2"/>
    <w:rsid w:val="00D0457A"/>
    <w:rsid w:val="00D35977"/>
    <w:rsid w:val="00D43F5A"/>
    <w:rsid w:val="00D87F07"/>
    <w:rsid w:val="00D9142A"/>
    <w:rsid w:val="00D9735E"/>
    <w:rsid w:val="00DB7F6F"/>
    <w:rsid w:val="00DF4FB8"/>
    <w:rsid w:val="00E27034"/>
    <w:rsid w:val="00E32D4B"/>
    <w:rsid w:val="00E41116"/>
    <w:rsid w:val="00E414EF"/>
    <w:rsid w:val="00E455A5"/>
    <w:rsid w:val="00E835A1"/>
    <w:rsid w:val="00E83E2D"/>
    <w:rsid w:val="00ED41E5"/>
    <w:rsid w:val="00EE332B"/>
    <w:rsid w:val="00EF4610"/>
    <w:rsid w:val="00EF6CB2"/>
    <w:rsid w:val="00F01A5C"/>
    <w:rsid w:val="00F40513"/>
    <w:rsid w:val="00F424A9"/>
    <w:rsid w:val="00F5729F"/>
    <w:rsid w:val="00F65587"/>
    <w:rsid w:val="00F77E06"/>
    <w:rsid w:val="00F9021F"/>
    <w:rsid w:val="00FA7D60"/>
    <w:rsid w:val="00FB260A"/>
    <w:rsid w:val="00FC7CE6"/>
    <w:rsid w:val="00FD6497"/>
    <w:rsid w:val="00FF2EC3"/>
    <w:rsid w:val="012A4E2C"/>
    <w:rsid w:val="02DC2156"/>
    <w:rsid w:val="031C6CD9"/>
    <w:rsid w:val="034C72DC"/>
    <w:rsid w:val="03CC3F79"/>
    <w:rsid w:val="05CD222A"/>
    <w:rsid w:val="06084616"/>
    <w:rsid w:val="06A9292B"/>
    <w:rsid w:val="06D80E87"/>
    <w:rsid w:val="07AA6569"/>
    <w:rsid w:val="08B95E3C"/>
    <w:rsid w:val="08EF7A39"/>
    <w:rsid w:val="094620D8"/>
    <w:rsid w:val="0A5844F0"/>
    <w:rsid w:val="0BF40511"/>
    <w:rsid w:val="0D5F5E5E"/>
    <w:rsid w:val="0EB92622"/>
    <w:rsid w:val="0EE41D10"/>
    <w:rsid w:val="11386E78"/>
    <w:rsid w:val="11537A88"/>
    <w:rsid w:val="11B73ED3"/>
    <w:rsid w:val="11DF729D"/>
    <w:rsid w:val="12277661"/>
    <w:rsid w:val="12800601"/>
    <w:rsid w:val="133D4C82"/>
    <w:rsid w:val="13D12EE6"/>
    <w:rsid w:val="13EE1CEA"/>
    <w:rsid w:val="13F37300"/>
    <w:rsid w:val="13FD3CDB"/>
    <w:rsid w:val="174D6D27"/>
    <w:rsid w:val="18CE5C46"/>
    <w:rsid w:val="1A2A2D28"/>
    <w:rsid w:val="1A611AD4"/>
    <w:rsid w:val="1B3426D8"/>
    <w:rsid w:val="1B9C64CF"/>
    <w:rsid w:val="1E4A1472"/>
    <w:rsid w:val="1E6C7E3E"/>
    <w:rsid w:val="20346CD6"/>
    <w:rsid w:val="206E043A"/>
    <w:rsid w:val="21B75E11"/>
    <w:rsid w:val="220646A2"/>
    <w:rsid w:val="220A4192"/>
    <w:rsid w:val="22B3482A"/>
    <w:rsid w:val="2418246B"/>
    <w:rsid w:val="2443573A"/>
    <w:rsid w:val="24575D7C"/>
    <w:rsid w:val="2480073C"/>
    <w:rsid w:val="25496D80"/>
    <w:rsid w:val="259011F8"/>
    <w:rsid w:val="266B3ABF"/>
    <w:rsid w:val="26812549"/>
    <w:rsid w:val="27095D8A"/>
    <w:rsid w:val="277B51EB"/>
    <w:rsid w:val="279E6744"/>
    <w:rsid w:val="2A8C1D97"/>
    <w:rsid w:val="2AB253C7"/>
    <w:rsid w:val="2BAD2B02"/>
    <w:rsid w:val="2C0C0B07"/>
    <w:rsid w:val="2C6C6F3C"/>
    <w:rsid w:val="2E0C3040"/>
    <w:rsid w:val="2E40384E"/>
    <w:rsid w:val="2E826991"/>
    <w:rsid w:val="2F083808"/>
    <w:rsid w:val="2F0B058C"/>
    <w:rsid w:val="2F7C5FA4"/>
    <w:rsid w:val="2FDD0EDC"/>
    <w:rsid w:val="30744ECD"/>
    <w:rsid w:val="32F32A21"/>
    <w:rsid w:val="33490893"/>
    <w:rsid w:val="344833B2"/>
    <w:rsid w:val="35146A33"/>
    <w:rsid w:val="35BE10C4"/>
    <w:rsid w:val="37A25927"/>
    <w:rsid w:val="380223B3"/>
    <w:rsid w:val="3870241E"/>
    <w:rsid w:val="393771F9"/>
    <w:rsid w:val="39CD7B28"/>
    <w:rsid w:val="3A7B57D6"/>
    <w:rsid w:val="3A7D586C"/>
    <w:rsid w:val="3CE05DC4"/>
    <w:rsid w:val="3D6C58AA"/>
    <w:rsid w:val="3DBB238D"/>
    <w:rsid w:val="3DCB2851"/>
    <w:rsid w:val="3E6639DC"/>
    <w:rsid w:val="3FC7172D"/>
    <w:rsid w:val="403F2E01"/>
    <w:rsid w:val="41B8297D"/>
    <w:rsid w:val="42F500EF"/>
    <w:rsid w:val="431A1904"/>
    <w:rsid w:val="43DB1093"/>
    <w:rsid w:val="45413951"/>
    <w:rsid w:val="46E47FFF"/>
    <w:rsid w:val="4779601E"/>
    <w:rsid w:val="480320A7"/>
    <w:rsid w:val="493E1AE1"/>
    <w:rsid w:val="4B2238EC"/>
    <w:rsid w:val="4C6C7CEB"/>
    <w:rsid w:val="4D717D16"/>
    <w:rsid w:val="4DDD59C1"/>
    <w:rsid w:val="4F9D7B44"/>
    <w:rsid w:val="50370ABF"/>
    <w:rsid w:val="51A650B5"/>
    <w:rsid w:val="51FB0B52"/>
    <w:rsid w:val="52284EA5"/>
    <w:rsid w:val="52845057"/>
    <w:rsid w:val="5286657D"/>
    <w:rsid w:val="531F075A"/>
    <w:rsid w:val="53F87A3F"/>
    <w:rsid w:val="54D52ADE"/>
    <w:rsid w:val="56DA342C"/>
    <w:rsid w:val="56ED13B1"/>
    <w:rsid w:val="57A01936"/>
    <w:rsid w:val="57A57FD6"/>
    <w:rsid w:val="57F01F2D"/>
    <w:rsid w:val="58922210"/>
    <w:rsid w:val="58D367F3"/>
    <w:rsid w:val="592B4413"/>
    <w:rsid w:val="592C1295"/>
    <w:rsid w:val="59D12E03"/>
    <w:rsid w:val="59DD74BB"/>
    <w:rsid w:val="5A8C449C"/>
    <w:rsid w:val="5AF53E9A"/>
    <w:rsid w:val="5B571FFB"/>
    <w:rsid w:val="5BD06662"/>
    <w:rsid w:val="5BFB00CD"/>
    <w:rsid w:val="5C452F47"/>
    <w:rsid w:val="5D086F45"/>
    <w:rsid w:val="5D4D6706"/>
    <w:rsid w:val="5F8F08F2"/>
    <w:rsid w:val="601974BD"/>
    <w:rsid w:val="60252B89"/>
    <w:rsid w:val="616C2448"/>
    <w:rsid w:val="63057E95"/>
    <w:rsid w:val="63232915"/>
    <w:rsid w:val="63DF2082"/>
    <w:rsid w:val="654A16B4"/>
    <w:rsid w:val="660F1D12"/>
    <w:rsid w:val="66A21530"/>
    <w:rsid w:val="66E62693"/>
    <w:rsid w:val="67277FC8"/>
    <w:rsid w:val="677C2407"/>
    <w:rsid w:val="67C27CF0"/>
    <w:rsid w:val="68C47A98"/>
    <w:rsid w:val="68C53F3C"/>
    <w:rsid w:val="695969AA"/>
    <w:rsid w:val="6CC80E6D"/>
    <w:rsid w:val="6E8C314C"/>
    <w:rsid w:val="7040659E"/>
    <w:rsid w:val="710B6BAC"/>
    <w:rsid w:val="71525B1E"/>
    <w:rsid w:val="716444DA"/>
    <w:rsid w:val="71CC633B"/>
    <w:rsid w:val="71F238C8"/>
    <w:rsid w:val="71FC02A3"/>
    <w:rsid w:val="722A04CF"/>
    <w:rsid w:val="7365084C"/>
    <w:rsid w:val="738A5B9F"/>
    <w:rsid w:val="741F6AAA"/>
    <w:rsid w:val="74A0585D"/>
    <w:rsid w:val="754A5489"/>
    <w:rsid w:val="763864CA"/>
    <w:rsid w:val="764D461B"/>
    <w:rsid w:val="77A7157C"/>
    <w:rsid w:val="77D048EE"/>
    <w:rsid w:val="78B143BF"/>
    <w:rsid w:val="7A035425"/>
    <w:rsid w:val="7AB465B7"/>
    <w:rsid w:val="7B215011"/>
    <w:rsid w:val="7B3960C4"/>
    <w:rsid w:val="7BCE2CB0"/>
    <w:rsid w:val="7BEC1388"/>
    <w:rsid w:val="7BFE17E7"/>
    <w:rsid w:val="7CB63E70"/>
    <w:rsid w:val="7D1577EE"/>
    <w:rsid w:val="7D221505"/>
    <w:rsid w:val="7E2B6198"/>
    <w:rsid w:val="7EF26A8C"/>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EmbedSmartTag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9" w:name="heading 4"/>
    <w:lsdException w:qFormat="1" w:uiPriority="9" w:name="heading 5"/>
    <w:lsdException w:qFormat="1" w:uiPriority="9" w:name="heading 6"/>
    <w:lsdException w:qFormat="1" w:unhideWhenUsed="0" w:uiPriority="9" w:semiHidden="0"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qFormat="1" w:uiPriority="39" w:semiHidden="0"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semiHidden="0" w:name="annotation text"/>
    <w:lsdException w:qFormat="1" w:unhideWhenUsed="0" w:uiPriority="0"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qFormat="1" w:unhideWhenUsed="0" w:uiPriority="0" w:semiHidden="0" w:name="envelope return"/>
    <w:lsdException w:qFormat="1" w:unhideWhenUsed="0" w:uiPriority="0" w:semiHidden="0" w:name="footnote reference"/>
    <w:lsdException w:qFormat="1" w:unhideWhenUsed="0" w:uiPriority="99" w:semiHidden="0" w:name="annotation reference"/>
    <w:lsdException w:qFormat="1" w:unhideWhenUsed="0" w:uiPriority="0" w:semiHidden="0"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nhideWhenUsed="0" w:uiPriority="0"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39" w:semiHidden="0" w:name="Table Grid"/>
    <w:lsdException w:uiPriority="99" w:name="Table Theme"/>
    <w:lsdException w:qFormat="1" w:unhideWhenUsed="0" w:uiPriority="99"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Calibri" w:hAnsi="Calibri" w:eastAsia="宋体" w:cs="Calibri"/>
      <w:kern w:val="2"/>
      <w:sz w:val="21"/>
      <w:szCs w:val="24"/>
      <w:lang w:val="en-US" w:eastAsia="zh-CN" w:bidi="ar-SA"/>
    </w:rPr>
  </w:style>
  <w:style w:type="paragraph" w:styleId="2">
    <w:name w:val="heading 1"/>
    <w:basedOn w:val="1"/>
    <w:next w:val="1"/>
    <w:autoRedefine/>
    <w:qFormat/>
    <w:uiPriority w:val="0"/>
    <w:pPr>
      <w:keepNext/>
      <w:keepLines/>
      <w:widowControl w:val="0"/>
      <w:spacing w:before="340" w:after="330" w:line="578" w:lineRule="auto"/>
      <w:outlineLvl w:val="0"/>
    </w:pPr>
    <w:rPr>
      <w:b/>
      <w:bCs/>
      <w:kern w:val="44"/>
      <w:sz w:val="44"/>
    </w:rPr>
  </w:style>
  <w:style w:type="paragraph" w:styleId="3">
    <w:name w:val="heading 2"/>
    <w:basedOn w:val="1"/>
    <w:next w:val="1"/>
    <w:qFormat/>
    <w:uiPriority w:val="0"/>
    <w:pPr>
      <w:keepNext/>
      <w:keepLines/>
      <w:widowControl w:val="0"/>
      <w:spacing w:before="260" w:after="260" w:line="415" w:lineRule="auto"/>
      <w:outlineLvl w:val="1"/>
    </w:pPr>
    <w:rPr>
      <w:rFonts w:ascii="Times New Roman" w:hAnsi="Times New Roman" w:eastAsia="黑体"/>
      <w:b/>
      <w:sz w:val="32"/>
    </w:rPr>
  </w:style>
  <w:style w:type="paragraph" w:styleId="4">
    <w:name w:val="heading 3"/>
    <w:basedOn w:val="1"/>
    <w:next w:val="1"/>
    <w:autoRedefine/>
    <w:qFormat/>
    <w:uiPriority w:val="0"/>
    <w:pPr>
      <w:keepNext/>
      <w:keepLines/>
      <w:widowControl w:val="0"/>
      <w:spacing w:before="260" w:after="260" w:line="415" w:lineRule="auto"/>
      <w:outlineLvl w:val="2"/>
    </w:pPr>
    <w:rPr>
      <w:b/>
      <w:sz w:val="32"/>
    </w:rPr>
  </w:style>
  <w:style w:type="paragraph" w:styleId="5">
    <w:name w:val="heading 7"/>
    <w:basedOn w:val="1"/>
    <w:next w:val="1"/>
    <w:link w:val="23"/>
    <w:autoRedefine/>
    <w:qFormat/>
    <w:uiPriority w:val="9"/>
    <w:pPr>
      <w:keepNext/>
      <w:keepLines/>
      <w:spacing w:before="240" w:after="64" w:line="320" w:lineRule="auto"/>
      <w:outlineLvl w:val="6"/>
    </w:pPr>
    <w:rPr>
      <w:b/>
      <w:bCs/>
      <w:sz w:val="24"/>
    </w:rPr>
  </w:style>
  <w:style w:type="character" w:default="1" w:styleId="15">
    <w:name w:val="Default Paragraph Font"/>
    <w:autoRedefine/>
    <w:qFormat/>
    <w:uiPriority w:val="0"/>
  </w:style>
  <w:style w:type="table" w:default="1" w:styleId="13">
    <w:name w:val="Normal Table"/>
    <w:unhideWhenUsed/>
    <w:qFormat/>
    <w:uiPriority w:val="99"/>
    <w:pPr>
      <w:keepNext w:val="0"/>
      <w:keepLines w:val="0"/>
      <w:widowControl/>
      <w:suppressLineNumbers w:val="0"/>
      <w:spacing w:before="0" w:beforeAutospacing="0" w:after="0" w:afterAutospacing="0"/>
      <w:ind w:left="0" w:right="0"/>
    </w:pPr>
    <w:rPr>
      <w:rFonts w:hint="default" w:ascii="Calibri" w:hAnsi="Calibri" w:cs="Times New Roman"/>
      <w:sz w:val="20"/>
      <w:szCs w:val="20"/>
    </w:rPr>
    <w:tblPr>
      <w:tblCellMar>
        <w:top w:w="0" w:type="dxa"/>
        <w:left w:w="108" w:type="dxa"/>
        <w:bottom w:w="0" w:type="dxa"/>
        <w:right w:w="108" w:type="dxa"/>
      </w:tblCellMar>
    </w:tblPr>
  </w:style>
  <w:style w:type="paragraph" w:styleId="6">
    <w:name w:val="annotation text"/>
    <w:basedOn w:val="1"/>
    <w:link w:val="24"/>
    <w:autoRedefine/>
    <w:unhideWhenUsed/>
    <w:qFormat/>
    <w:uiPriority w:val="99"/>
    <w:pPr>
      <w:adjustRightInd w:val="0"/>
      <w:spacing w:line="400" w:lineRule="exact"/>
      <w:jc w:val="left"/>
    </w:pPr>
    <w:rPr>
      <w:rFonts w:ascii="Calibri" w:hAnsi="Calibri"/>
      <w:szCs w:val="21"/>
    </w:rPr>
  </w:style>
  <w:style w:type="paragraph" w:styleId="7">
    <w:name w:val="Balloon Text"/>
    <w:basedOn w:val="1"/>
    <w:link w:val="25"/>
    <w:autoRedefine/>
    <w:unhideWhenUsed/>
    <w:qFormat/>
    <w:uiPriority w:val="99"/>
    <w:rPr>
      <w:sz w:val="18"/>
      <w:szCs w:val="18"/>
    </w:rPr>
  </w:style>
  <w:style w:type="paragraph" w:styleId="8">
    <w:name w:val="footer"/>
    <w:basedOn w:val="1"/>
    <w:link w:val="26"/>
    <w:autoRedefine/>
    <w:qFormat/>
    <w:uiPriority w:val="99"/>
    <w:pPr>
      <w:tabs>
        <w:tab w:val="center" w:pos="4153"/>
        <w:tab w:val="right" w:pos="8306"/>
      </w:tabs>
      <w:snapToGrid w:val="0"/>
      <w:jc w:val="left"/>
    </w:pPr>
    <w:rPr>
      <w:sz w:val="18"/>
      <w:szCs w:val="18"/>
    </w:rPr>
  </w:style>
  <w:style w:type="paragraph" w:styleId="9">
    <w:name w:val="envelope return"/>
    <w:basedOn w:val="1"/>
    <w:autoRedefine/>
    <w:qFormat/>
    <w:uiPriority w:val="0"/>
    <w:pPr>
      <w:snapToGrid w:val="0"/>
    </w:pPr>
    <w:rPr>
      <w:rFonts w:ascii="Times New Roman" w:hAnsi="Times New Roman"/>
    </w:rPr>
  </w:style>
  <w:style w:type="paragraph" w:styleId="10">
    <w:name w:val="header"/>
    <w:basedOn w:val="1"/>
    <w:autoRedefine/>
    <w:qFormat/>
    <w:uiPriority w:val="0"/>
    <w:pPr>
      <w:pBdr>
        <w:bottom w:val="single" w:color="auto" w:sz="6" w:space="1"/>
      </w:pBdr>
      <w:tabs>
        <w:tab w:val="center" w:pos="4153"/>
        <w:tab w:val="right" w:pos="8306"/>
      </w:tabs>
      <w:snapToGrid w:val="0"/>
      <w:jc w:val="center"/>
    </w:pPr>
    <w:rPr>
      <w:sz w:val="18"/>
      <w:szCs w:val="18"/>
    </w:rPr>
  </w:style>
  <w:style w:type="paragraph" w:styleId="11">
    <w:name w:val="toc 4"/>
    <w:basedOn w:val="1"/>
    <w:next w:val="1"/>
    <w:autoRedefine/>
    <w:unhideWhenUsed/>
    <w:qFormat/>
    <w:uiPriority w:val="39"/>
    <w:pPr>
      <w:tabs>
        <w:tab w:val="right" w:leader="dot" w:pos="9344"/>
      </w:tabs>
      <w:adjustRightInd w:val="0"/>
      <w:spacing w:line="300" w:lineRule="exact"/>
      <w:ind w:left="629"/>
    </w:pPr>
    <w:rPr>
      <w:rFonts w:ascii="宋体" w:hAnsi="Calibri"/>
      <w:szCs w:val="21"/>
    </w:rPr>
  </w:style>
  <w:style w:type="paragraph" w:styleId="12">
    <w:name w:val="Normal (Web)"/>
    <w:basedOn w:val="1"/>
    <w:autoRedefine/>
    <w:semiHidden/>
    <w:unhideWhenUsed/>
    <w:qFormat/>
    <w:uiPriority w:val="99"/>
    <w:rPr>
      <w:sz w:val="24"/>
    </w:rPr>
  </w:style>
  <w:style w:type="table" w:styleId="14">
    <w:name w:val="Table Grid"/>
    <w:basedOn w:val="13"/>
    <w:autoRedefine/>
    <w:qFormat/>
    <w:uiPriority w:val="39"/>
    <w:pPr>
      <w:keepNext w:val="0"/>
      <w:keepLines w:val="0"/>
      <w:widowControl/>
      <w:suppressLineNumbers w:val="0"/>
      <w:spacing w:before="0" w:beforeAutospacing="0" w:after="0" w:afterAutospacing="0"/>
      <w:ind w:left="0" w:right="0"/>
    </w:pPr>
    <w:rPr>
      <w:rFonts w:hint="default" w:ascii="Calibri" w:hAnsi="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tcPr>
      <w:tcBorders>
        <w:top w:val="single" w:color="auto" w:sz="4" w:space="0"/>
        <w:left w:val="single" w:color="auto" w:sz="4" w:space="0"/>
        <w:bottom w:val="single" w:color="auto" w:sz="4" w:space="0"/>
        <w:right w:val="single" w:color="auto" w:sz="4" w:space="0"/>
      </w:tcBorders>
    </w:tcPr>
  </w:style>
  <w:style w:type="character" w:styleId="16">
    <w:name w:val="Strong"/>
    <w:basedOn w:val="15"/>
    <w:autoRedefine/>
    <w:qFormat/>
    <w:uiPriority w:val="22"/>
    <w:rPr>
      <w:b/>
    </w:rPr>
  </w:style>
  <w:style w:type="character" w:styleId="17">
    <w:name w:val="line number"/>
    <w:autoRedefine/>
    <w:qFormat/>
    <w:uiPriority w:val="0"/>
  </w:style>
  <w:style w:type="character" w:styleId="18">
    <w:name w:val="Hyperlink"/>
    <w:autoRedefine/>
    <w:qFormat/>
    <w:uiPriority w:val="0"/>
    <w:rPr>
      <w:rFonts w:ascii="宋体" w:eastAsia="宋体"/>
      <w:color w:val="auto"/>
      <w:spacing w:val="0"/>
      <w:w w:val="100"/>
      <w:position w:val="0"/>
      <w:sz w:val="21"/>
      <w:u w:val="none"/>
      <w:vertAlign w:val="baseline"/>
    </w:rPr>
  </w:style>
  <w:style w:type="character" w:styleId="19">
    <w:name w:val="annotation reference"/>
    <w:autoRedefine/>
    <w:qFormat/>
    <w:uiPriority w:val="99"/>
    <w:rPr>
      <w:sz w:val="21"/>
    </w:rPr>
  </w:style>
  <w:style w:type="character" w:styleId="20">
    <w:name w:val="footnote reference"/>
    <w:autoRedefine/>
    <w:qFormat/>
    <w:uiPriority w:val="0"/>
    <w:rPr>
      <w:vertAlign w:val="superscript"/>
    </w:rPr>
  </w:style>
  <w:style w:type="paragraph" w:customStyle="1" w:styleId="21">
    <w:name w:val="BodyText2"/>
    <w:basedOn w:val="1"/>
    <w:autoRedefine/>
    <w:qFormat/>
    <w:uiPriority w:val="0"/>
    <w:pPr>
      <w:spacing w:after="120" w:line="480" w:lineRule="auto"/>
      <w:textAlignment w:val="baseline"/>
    </w:pPr>
    <w:rPr>
      <w:rFonts w:ascii="Calibri" w:hAnsi="Calibri" w:eastAsia="宋体" w:cs="Times New Roman"/>
      <w:sz w:val="32"/>
      <w:szCs w:val="32"/>
      <w:lang w:bidi="ar-SA"/>
    </w:rPr>
  </w:style>
  <w:style w:type="paragraph" w:customStyle="1" w:styleId="22">
    <w:name w:val="正文-公1"/>
    <w:autoRedefine/>
    <w:qFormat/>
    <w:uiPriority w:val="99"/>
    <w:pPr>
      <w:widowControl w:val="0"/>
      <w:suppressAutoHyphens/>
      <w:jc w:val="both"/>
    </w:pPr>
    <w:rPr>
      <w:rFonts w:ascii="Calibri" w:hAnsi="Calibri" w:eastAsia="宋体" w:cs="Times New Roman"/>
      <w:kern w:val="2"/>
      <w:sz w:val="21"/>
      <w:szCs w:val="24"/>
      <w:lang w:val="en-US" w:eastAsia="zh-CN" w:bidi="ar-SA"/>
    </w:rPr>
  </w:style>
  <w:style w:type="character" w:customStyle="1" w:styleId="23">
    <w:name w:val="标题 7 字符"/>
    <w:link w:val="5"/>
    <w:autoRedefine/>
    <w:qFormat/>
    <w:uiPriority w:val="0"/>
    <w:rPr>
      <w:rFonts w:eastAsia="宋体"/>
      <w:b/>
      <w:bCs/>
      <w:kern w:val="2"/>
      <w:sz w:val="24"/>
      <w:szCs w:val="24"/>
    </w:rPr>
  </w:style>
  <w:style w:type="character" w:customStyle="1" w:styleId="24">
    <w:name w:val="批注文字 字符"/>
    <w:link w:val="6"/>
    <w:autoRedefine/>
    <w:semiHidden/>
    <w:qFormat/>
    <w:uiPriority w:val="99"/>
    <w:rPr>
      <w:rFonts w:ascii="Calibri" w:hAnsi="Calibri" w:eastAsia="宋体"/>
      <w:kern w:val="2"/>
      <w:sz w:val="21"/>
      <w:szCs w:val="21"/>
    </w:rPr>
  </w:style>
  <w:style w:type="character" w:customStyle="1" w:styleId="25">
    <w:name w:val="批注框文本 字符"/>
    <w:link w:val="7"/>
    <w:autoRedefine/>
    <w:semiHidden/>
    <w:qFormat/>
    <w:uiPriority w:val="99"/>
    <w:rPr>
      <w:rFonts w:eastAsia="宋体"/>
      <w:kern w:val="2"/>
      <w:sz w:val="18"/>
      <w:szCs w:val="18"/>
    </w:rPr>
  </w:style>
  <w:style w:type="character" w:customStyle="1" w:styleId="26">
    <w:name w:val="页脚 字符"/>
    <w:link w:val="8"/>
    <w:autoRedefine/>
    <w:qFormat/>
    <w:locked/>
    <w:uiPriority w:val="99"/>
    <w:rPr>
      <w:rFonts w:eastAsia="宋体"/>
      <w:kern w:val="2"/>
      <w:sz w:val="18"/>
      <w:szCs w:val="18"/>
    </w:rPr>
  </w:style>
  <w:style w:type="paragraph" w:customStyle="1" w:styleId="27">
    <w:name w:val="其他标准称谓"/>
    <w:autoRedefine/>
    <w:qFormat/>
    <w:uiPriority w:val="0"/>
    <w:pPr>
      <w:spacing w:line="0" w:lineRule="atLeast"/>
      <w:jc w:val="distribute"/>
    </w:pPr>
    <w:rPr>
      <w:rFonts w:ascii="黑体" w:hAnsi="Calibri" w:eastAsia="黑体" w:cs="Calibri"/>
      <w:sz w:val="52"/>
      <w:lang w:val="en-US" w:eastAsia="zh-CN" w:bidi="ar-SA"/>
    </w:rPr>
  </w:style>
  <w:style w:type="paragraph" w:customStyle="1" w:styleId="28">
    <w:name w:val="封面标准号1"/>
    <w:autoRedefine/>
    <w:qFormat/>
    <w:uiPriority w:val="0"/>
    <w:pPr>
      <w:widowControl w:val="0"/>
      <w:kinsoku w:val="0"/>
      <w:overflowPunct w:val="0"/>
      <w:autoSpaceDE w:val="0"/>
      <w:autoSpaceDN w:val="0"/>
      <w:spacing w:before="308"/>
      <w:jc w:val="right"/>
      <w:textAlignment w:val="center"/>
    </w:pPr>
    <w:rPr>
      <w:rFonts w:ascii="Calibri" w:hAnsi="Calibri" w:eastAsia="宋体" w:cs="Calibri"/>
      <w:sz w:val="28"/>
      <w:lang w:val="en-US" w:eastAsia="zh-CN" w:bidi="ar-SA"/>
    </w:rPr>
  </w:style>
  <w:style w:type="paragraph" w:customStyle="1" w:styleId="29">
    <w:name w:val="标准文件_段"/>
    <w:link w:val="30"/>
    <w:autoRedefine/>
    <w:qFormat/>
    <w:uiPriority w:val="0"/>
    <w:pPr>
      <w:autoSpaceDE w:val="0"/>
      <w:autoSpaceDN w:val="0"/>
      <w:ind w:firstLine="200" w:firstLineChars="200"/>
      <w:jc w:val="both"/>
    </w:pPr>
    <w:rPr>
      <w:rFonts w:ascii="宋体" w:hAnsi="Calibri" w:eastAsia="宋体" w:cs="Calibri"/>
      <w:sz w:val="21"/>
      <w:lang w:val="en-US" w:eastAsia="zh-CN" w:bidi="ar-SA"/>
    </w:rPr>
  </w:style>
  <w:style w:type="character" w:customStyle="1" w:styleId="30">
    <w:name w:val="标准文件_段 Char"/>
    <w:link w:val="29"/>
    <w:autoRedefine/>
    <w:qFormat/>
    <w:uiPriority w:val="0"/>
    <w:rPr>
      <w:rFonts w:ascii="宋体" w:eastAsia="宋体"/>
      <w:sz w:val="21"/>
    </w:rPr>
  </w:style>
  <w:style w:type="paragraph" w:customStyle="1" w:styleId="31">
    <w:name w:val="标准文件_章标题"/>
    <w:next w:val="29"/>
    <w:autoRedefine/>
    <w:qFormat/>
    <w:uiPriority w:val="0"/>
    <w:pPr>
      <w:numPr>
        <w:ilvl w:val="1"/>
        <w:numId w:val="1"/>
      </w:numPr>
      <w:spacing w:before="100" w:beforeLines="100" w:after="100" w:afterLines="100"/>
      <w:jc w:val="both"/>
      <w:outlineLvl w:val="0"/>
    </w:pPr>
    <w:rPr>
      <w:rFonts w:ascii="黑体" w:hAnsi="Calibri" w:eastAsia="黑体" w:cs="Calibri"/>
      <w:sz w:val="21"/>
      <w:lang w:val="en-US" w:eastAsia="zh-CN" w:bidi="ar-SA"/>
    </w:rPr>
  </w:style>
  <w:style w:type="paragraph" w:customStyle="1" w:styleId="32">
    <w:name w:val="标准文件_二级条标题"/>
    <w:next w:val="29"/>
    <w:autoRedefine/>
    <w:qFormat/>
    <w:uiPriority w:val="0"/>
    <w:pPr>
      <w:widowControl w:val="0"/>
      <w:spacing w:before="50" w:beforeLines="50" w:after="50" w:afterLines="50"/>
      <w:jc w:val="both"/>
      <w:outlineLvl w:val="2"/>
    </w:pPr>
    <w:rPr>
      <w:rFonts w:ascii="黑体" w:hAnsi="Calibri" w:eastAsia="黑体" w:cs="Calibri"/>
      <w:sz w:val="21"/>
      <w:lang w:val="en-US" w:eastAsia="zh-CN" w:bidi="ar-SA"/>
    </w:rPr>
  </w:style>
  <w:style w:type="paragraph" w:customStyle="1" w:styleId="33">
    <w:name w:val="标准文件_一级条标题"/>
    <w:basedOn w:val="31"/>
    <w:next w:val="29"/>
    <w:autoRedefine/>
    <w:qFormat/>
    <w:uiPriority w:val="0"/>
    <w:pPr>
      <w:numPr>
        <w:ilvl w:val="2"/>
        <w:numId w:val="1"/>
      </w:numPr>
      <w:spacing w:before="50" w:beforeLines="0" w:after="50" w:afterLines="0"/>
      <w:outlineLvl w:val="1"/>
    </w:pPr>
  </w:style>
  <w:style w:type="paragraph" w:customStyle="1" w:styleId="34">
    <w:name w:val="标准文件_三级条标题"/>
    <w:basedOn w:val="32"/>
    <w:next w:val="29"/>
    <w:autoRedefine/>
    <w:qFormat/>
    <w:uiPriority w:val="0"/>
    <w:pPr>
      <w:numPr>
        <w:ilvl w:val="4"/>
        <w:numId w:val="1"/>
      </w:numPr>
      <w:spacing w:before="50" w:beforeLines="50" w:after="50" w:afterLines="50"/>
      <w:jc w:val="both"/>
      <w:outlineLvl w:val="3"/>
    </w:pPr>
    <w:rPr>
      <w:rFonts w:ascii="黑体" w:eastAsia="黑体"/>
      <w:sz w:val="21"/>
      <w:lang w:val="en-US" w:eastAsia="zh-CN" w:bidi="ar-SA"/>
    </w:rPr>
  </w:style>
  <w:style w:type="paragraph" w:customStyle="1" w:styleId="35">
    <w:name w:val="标准文件_四级条标题"/>
    <w:next w:val="29"/>
    <w:autoRedefine/>
    <w:qFormat/>
    <w:uiPriority w:val="0"/>
    <w:pPr>
      <w:widowControl w:val="0"/>
      <w:numPr>
        <w:ilvl w:val="5"/>
        <w:numId w:val="1"/>
      </w:numPr>
      <w:spacing w:before="50" w:beforeLines="50" w:after="50" w:afterLines="50"/>
      <w:jc w:val="both"/>
      <w:outlineLvl w:val="4"/>
    </w:pPr>
    <w:rPr>
      <w:rFonts w:ascii="黑体" w:hAnsi="Calibri" w:eastAsia="黑体" w:cs="Calibri"/>
      <w:sz w:val="21"/>
      <w:lang w:val="en-US" w:eastAsia="zh-CN" w:bidi="ar-SA"/>
    </w:rPr>
  </w:style>
  <w:style w:type="paragraph" w:customStyle="1" w:styleId="36">
    <w:name w:val="标准文件_五级条标题"/>
    <w:next w:val="32"/>
    <w:autoRedefine/>
    <w:qFormat/>
    <w:uiPriority w:val="0"/>
    <w:pPr>
      <w:widowControl w:val="0"/>
      <w:numPr>
        <w:ilvl w:val="6"/>
        <w:numId w:val="1"/>
      </w:numPr>
      <w:spacing w:before="50" w:beforeLines="50" w:after="50" w:afterLines="50"/>
      <w:jc w:val="both"/>
      <w:outlineLvl w:val="5"/>
    </w:pPr>
    <w:rPr>
      <w:rFonts w:ascii="黑体" w:hAnsi="Calibri" w:eastAsia="黑体" w:cs="Calibri"/>
      <w:sz w:val="21"/>
      <w:lang w:val="en-US" w:eastAsia="zh-CN" w:bidi="ar-SA"/>
    </w:rPr>
  </w:style>
  <w:style w:type="paragraph" w:customStyle="1" w:styleId="37">
    <w:name w:val="前言标题"/>
    <w:next w:val="1"/>
    <w:autoRedefine/>
    <w:qFormat/>
    <w:uiPriority w:val="0"/>
    <w:pPr>
      <w:numPr>
        <w:ilvl w:val="0"/>
        <w:numId w:val="1"/>
      </w:numPr>
      <w:shd w:val="clear" w:color="FFFFFF" w:fill="FFFFFF"/>
      <w:spacing w:before="540" w:after="600"/>
      <w:jc w:val="center"/>
      <w:outlineLvl w:val="0"/>
    </w:pPr>
    <w:rPr>
      <w:rFonts w:ascii="黑体" w:hAnsi="Calibri" w:eastAsia="黑体" w:cs="Calibri"/>
      <w:sz w:val="32"/>
      <w:lang w:val="en-US" w:eastAsia="zh-CN" w:bidi="ar-SA"/>
    </w:rPr>
  </w:style>
  <w:style w:type="paragraph" w:customStyle="1" w:styleId="38">
    <w:name w:val="标准文件_四级无标题"/>
    <w:basedOn w:val="35"/>
    <w:autoRedefine/>
    <w:qFormat/>
    <w:uiPriority w:val="0"/>
    <w:pPr>
      <w:widowControl w:val="0"/>
      <w:numPr>
        <w:ilvl w:val="5"/>
        <w:numId w:val="1"/>
      </w:numPr>
      <w:spacing w:before="50" w:after="50"/>
      <w:jc w:val="both"/>
    </w:pPr>
    <w:rPr>
      <w:rFonts w:ascii="宋体" w:hAnsi="Calibri" w:eastAsia="宋体" w:cs="Calibri"/>
      <w:sz w:val="21"/>
      <w:szCs w:val="52"/>
      <w:lang w:val="en-US" w:eastAsia="zh-CN" w:bidi="ar-SA"/>
    </w:rPr>
  </w:style>
  <w:style w:type="paragraph" w:customStyle="1" w:styleId="39">
    <w:name w:val="标准文件_三级无标题"/>
    <w:basedOn w:val="34"/>
    <w:autoRedefine/>
    <w:qFormat/>
    <w:uiPriority w:val="0"/>
    <w:pPr>
      <w:numPr>
        <w:ilvl w:val="4"/>
        <w:numId w:val="1"/>
      </w:numPr>
      <w:spacing w:before="50" w:after="50"/>
      <w:jc w:val="both"/>
    </w:pPr>
    <w:rPr>
      <w:rFonts w:ascii="宋体" w:eastAsia="宋体"/>
      <w:sz w:val="21"/>
      <w:lang w:val="en-US" w:eastAsia="zh-CN" w:bidi="ar-SA"/>
    </w:rPr>
  </w:style>
  <w:style w:type="paragraph" w:customStyle="1" w:styleId="40">
    <w:name w:val="标准文件_正文表标题"/>
    <w:autoRedefine/>
    <w:qFormat/>
    <w:uiPriority w:val="0"/>
    <w:pPr>
      <w:numPr>
        <w:ilvl w:val="0"/>
        <w:numId w:val="2"/>
      </w:numPr>
      <w:tabs>
        <w:tab w:val="left" w:pos="0"/>
      </w:tabs>
      <w:spacing w:before="50" w:beforeLines="50" w:after="50" w:afterLines="50"/>
      <w:jc w:val="center"/>
    </w:pPr>
    <w:rPr>
      <w:rFonts w:ascii="黑体" w:hAnsi="Calibri" w:eastAsia="黑体" w:cs="Calibri"/>
      <w:sz w:val="21"/>
      <w:lang w:val="en-US" w:eastAsia="zh-CN" w:bidi="ar-SA"/>
    </w:rPr>
  </w:style>
  <w:style w:type="character" w:customStyle="1" w:styleId="41">
    <w:name w:val="font11"/>
    <w:autoRedefine/>
    <w:qFormat/>
    <w:uiPriority w:val="0"/>
    <w:rPr>
      <w:rFonts w:ascii="等线" w:eastAsia="等线"/>
      <w:b/>
      <w:bCs/>
      <w:color w:val="FF0000"/>
      <w:sz w:val="22"/>
      <w:szCs w:val="22"/>
      <w:u w:val="none"/>
    </w:rPr>
  </w:style>
  <w:style w:type="character" w:customStyle="1" w:styleId="42">
    <w:name w:val="font01"/>
    <w:autoRedefine/>
    <w:qFormat/>
    <w:uiPriority w:val="0"/>
    <w:rPr>
      <w:rFonts w:ascii="等线" w:eastAsia="等线"/>
      <w:color w:val="000000"/>
      <w:sz w:val="22"/>
      <w:szCs w:val="22"/>
      <w:u w:val="none"/>
    </w:rPr>
  </w:style>
  <w:style w:type="paragraph" w:customStyle="1" w:styleId="43">
    <w:name w:val="段"/>
    <w:autoRedefine/>
    <w:qFormat/>
    <w:uiPriority w:val="0"/>
    <w:pPr>
      <w:autoSpaceDE w:val="0"/>
      <w:autoSpaceDN w:val="0"/>
      <w:ind w:firstLine="200" w:firstLineChars="200"/>
      <w:jc w:val="both"/>
    </w:pPr>
    <w:rPr>
      <w:rFonts w:ascii="宋体" w:hAnsi="Calibri" w:eastAsia="宋体" w:cs="Calibri"/>
      <w:sz w:val="21"/>
      <w:lang w:val="en-US" w:eastAsia="zh-CN" w:bidi="ar-SA"/>
    </w:rPr>
  </w:style>
  <w:style w:type="paragraph" w:customStyle="1" w:styleId="44">
    <w:name w:val="二级无"/>
    <w:basedOn w:val="1"/>
    <w:autoRedefine/>
    <w:qFormat/>
    <w:uiPriority w:val="0"/>
    <w:pPr>
      <w:widowControl/>
      <w:numPr>
        <w:ilvl w:val="2"/>
        <w:numId w:val="3"/>
      </w:numPr>
      <w:tabs>
        <w:tab w:val="left" w:pos="780"/>
      </w:tabs>
      <w:jc w:val="left"/>
      <w:outlineLvl w:val="3"/>
    </w:pPr>
    <w:rPr>
      <w:rFonts w:ascii="宋体"/>
      <w:kern w:val="0"/>
      <w:szCs w:val="21"/>
    </w:rPr>
  </w:style>
  <w:style w:type="paragraph" w:customStyle="1" w:styleId="45">
    <w:name w:val="标准文件_二级无标题"/>
    <w:basedOn w:val="32"/>
    <w:autoRedefine/>
    <w:qFormat/>
    <w:uiPriority w:val="0"/>
    <w:pPr>
      <w:numPr>
        <w:ilvl w:val="3"/>
        <w:numId w:val="4"/>
      </w:numPr>
      <w:tabs>
        <w:tab w:val="left" w:pos="1200"/>
      </w:tabs>
      <w:spacing w:before="0" w:beforeLines="0" w:after="0" w:afterLines="0"/>
      <w:outlineLvl w:val="9"/>
    </w:pPr>
    <w:rPr>
      <w:rFonts w:ascii="宋体" w:eastAsia="宋体"/>
    </w:rPr>
  </w:style>
  <w:style w:type="paragraph" w:customStyle="1" w:styleId="46">
    <w:name w:val="Char Char Char Char"/>
    <w:basedOn w:val="1"/>
    <w:autoRedefine/>
    <w:qFormat/>
    <w:uiPriority w:val="0"/>
  </w:style>
  <w:style w:type="paragraph" w:customStyle="1" w:styleId="47">
    <w:name w:val="标准文件_数字编号列项（二级）"/>
    <w:autoRedefine/>
    <w:qFormat/>
    <w:uiPriority w:val="0"/>
    <w:pPr>
      <w:numPr>
        <w:ilvl w:val="1"/>
        <w:numId w:val="5"/>
      </w:numPr>
      <w:jc w:val="both"/>
    </w:pPr>
    <w:rPr>
      <w:rFonts w:ascii="宋体" w:hAnsi="Calibri" w:eastAsia="宋体" w:cs="Calibri"/>
      <w:sz w:val="21"/>
      <w:lang w:val="en-US" w:eastAsia="zh-CN" w:bidi="ar-SA"/>
    </w:rPr>
  </w:style>
  <w:style w:type="paragraph" w:customStyle="1" w:styleId="48">
    <w:name w:val="标准文件_编号列项（三级）"/>
    <w:autoRedefine/>
    <w:qFormat/>
    <w:uiPriority w:val="0"/>
    <w:pPr>
      <w:numPr>
        <w:ilvl w:val="2"/>
        <w:numId w:val="5"/>
      </w:numPr>
    </w:pPr>
    <w:rPr>
      <w:rFonts w:ascii="宋体" w:hAnsi="Calibri" w:eastAsia="宋体" w:cs="Calibri"/>
      <w:sz w:val="21"/>
      <w:lang w:val="en-US" w:eastAsia="zh-CN" w:bidi="ar-SA"/>
    </w:rPr>
  </w:style>
  <w:style w:type="paragraph" w:customStyle="1" w:styleId="49">
    <w:name w:val="标准文件_字母编号列项（一级）"/>
    <w:autoRedefine/>
    <w:qFormat/>
    <w:uiPriority w:val="0"/>
    <w:pPr>
      <w:numPr>
        <w:ilvl w:val="0"/>
        <w:numId w:val="5"/>
      </w:numPr>
      <w:jc w:val="both"/>
    </w:pPr>
    <w:rPr>
      <w:rFonts w:ascii="宋体" w:hAnsi="Calibri" w:eastAsia="宋体" w:cs="Calibri"/>
      <w:sz w:val="21"/>
      <w:lang w:val="en-US" w:eastAsia="zh-CN" w:bidi="ar-SA"/>
    </w:rPr>
  </w:style>
  <w:style w:type="paragraph" w:customStyle="1" w:styleId="50">
    <w:name w:val="标准文件_术语条一"/>
    <w:basedOn w:val="1"/>
    <w:next w:val="29"/>
    <w:autoRedefine/>
    <w:qFormat/>
    <w:uiPriority w:val="0"/>
    <w:pPr>
      <w:widowControl/>
    </w:pPr>
    <w:rPr>
      <w:rFonts w:ascii="宋体"/>
      <w:kern w:val="0"/>
      <w:szCs w:val="20"/>
    </w:rPr>
  </w:style>
  <w:style w:type="paragraph" w:customStyle="1" w:styleId="51">
    <w:name w:val="abstract"/>
    <w:basedOn w:val="1"/>
    <w:autoRedefine/>
    <w:qFormat/>
    <w:uiPriority w:val="0"/>
    <w:pPr>
      <w:widowControl/>
      <w:spacing w:before="100" w:beforeAutospacing="1" w:after="100" w:afterAutospacing="1"/>
      <w:jc w:val="left"/>
    </w:pPr>
    <w:rPr>
      <w:rFonts w:ascii="宋体" w:hAnsi="宋体" w:cs="宋体"/>
      <w:kern w:val="0"/>
      <w:sz w:val="24"/>
    </w:rPr>
  </w:style>
  <w:style w:type="paragraph" w:customStyle="1" w:styleId="52">
    <w:name w:val="abstract_more"/>
    <w:basedOn w:val="1"/>
    <w:autoRedefine/>
    <w:qFormat/>
    <w:uiPriority w:val="0"/>
    <w:pPr>
      <w:widowControl/>
      <w:spacing w:before="100" w:beforeAutospacing="1" w:after="100" w:afterAutospacing="1"/>
      <w:jc w:val="left"/>
    </w:pPr>
    <w:rPr>
      <w:rFonts w:ascii="宋体" w:hAnsi="宋体" w:cs="宋体"/>
      <w:kern w:val="0"/>
      <w:sz w:val="24"/>
    </w:rPr>
  </w:style>
  <w:style w:type="paragraph" w:styleId="53">
    <w:name w:val="No Spacing"/>
    <w:autoRedefine/>
    <w:qFormat/>
    <w:uiPriority w:val="99"/>
    <w:pPr>
      <w:widowControl w:val="0"/>
      <w:jc w:val="both"/>
    </w:pPr>
    <w:rPr>
      <w:rFonts w:ascii="Calibri" w:hAnsi="Calibri" w:eastAsia="宋体" w:cs="Times New Roman"/>
      <w:kern w:val="2"/>
      <w:sz w:val="21"/>
      <w:szCs w:val="24"/>
      <w:lang w:val="en-US" w:eastAsia="zh-CN" w:bidi="ar-SA"/>
    </w:rPr>
  </w:style>
  <w:style w:type="paragraph" w:customStyle="1" w:styleId="54">
    <w:name w:val="标准文件_一级项"/>
    <w:autoRedefine/>
    <w:qFormat/>
    <w:uiPriority w:val="0"/>
    <w:pPr>
      <w:numPr>
        <w:ilvl w:val="0"/>
        <w:numId w:val="6"/>
      </w:numPr>
    </w:pPr>
    <w:rPr>
      <w:rFonts w:ascii="宋体" w:hAnsi="Times New Roman" w:eastAsia="宋体" w:cs="Times New Roman"/>
      <w:sz w:val="21"/>
      <w:lang w:val="en-US" w:eastAsia="zh-CN" w:bidi="ar-SA"/>
    </w:rPr>
  </w:style>
  <w:style w:type="paragraph" w:customStyle="1" w:styleId="55">
    <w:name w:val="标准文件_一级无标题"/>
    <w:basedOn w:val="33"/>
    <w:qFormat/>
    <w:uiPriority w:val="0"/>
    <w:pPr>
      <w:spacing w:before="0" w:beforeLines="0" w:after="0" w:afterLines="0"/>
      <w:outlineLvl w:val="9"/>
    </w:pPr>
    <w:rPr>
      <w:rFonts w:ascii="宋体" w:eastAsia="宋体"/>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jpeg"/><Relationship Id="rId7" Type="http://schemas.openxmlformats.org/officeDocument/2006/relationships/image" Target="media/image3.png"/><Relationship Id="rId6" Type="http://schemas.openxmlformats.org/officeDocument/2006/relationships/image" Target="media/image2.jpe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numbering" Target="numbering.xml"/><Relationship Id="rId12" Type="http://schemas.openxmlformats.org/officeDocument/2006/relationships/customXml" Target="../customXml/item1.xml"/><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23</Pages>
  <Words>10040</Words>
  <Characters>10583</Characters>
  <Lines>140</Lines>
  <Paragraphs>39</Paragraphs>
  <TotalTime>0</TotalTime>
  <ScaleCrop>false</ScaleCrop>
  <LinksUpToDate>false</LinksUpToDate>
  <CharactersWithSpaces>10704</CharactersWithSpaces>
  <Application>WPS Office_12.1.0.21541_F1E327BC-269C-435d-A152-05C5408002CA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2023-11-07T15:48:00Z</dcterms:created>
  <dc:creator>Administrator</dc:creator>
  <cp:lastModifiedBy>XIEX</cp:lastModifiedBy>
  <cp:lastPrinted>2025-06-12T03:01:00Z</cp:lastPrinted>
  <dcterms:modified xsi:type="dcterms:W3CDTF">2025-06-30T10:12:26Z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2052-12.1.0.21541</vt:lpwstr>
  </property>
  <property fmtid="{D5CDD505-2E9C-101B-9397-08002B2CF9AE}" pid="3" name="ICV">
    <vt:lpwstr>DC516586E33E4E6DBBE5B99F0554A076_13</vt:lpwstr>
  </property>
  <property fmtid="{D5CDD505-2E9C-101B-9397-08002B2CF9AE}" pid="4" name="KSOTemplateDocerSaveRecord">
    <vt:lpwstr>eyJoZGlkIjoiNmU0OWNhMGUyYzc2MTI5ZWY2NzM4MTVkMDAwODg0YzMiLCJ1c2VySWQiOiI2ODM5ODUzMDMifQ==</vt:lpwstr>
  </property>
</Properties>
</file>