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72215F2">
      <w:pPr>
        <w:jc w:val="center"/>
        <w:rPr>
          <w:rFonts w:ascii="方正小标宋简体" w:eastAsia="方正小标宋简体" w:cs="仿宋_GB2312"/>
          <w:bCs/>
          <w:color w:val="000000" w:themeColor="text1"/>
          <w:sz w:val="44"/>
          <w:szCs w:val="44"/>
          <w14:textFill>
            <w14:solidFill>
              <w14:schemeClr w14:val="tx1"/>
            </w14:solidFill>
          </w14:textFill>
        </w:rPr>
      </w:pPr>
      <w:r>
        <w:rPr>
          <w:rFonts w:hint="eastAsia" w:ascii="方正小标宋简体" w:eastAsia="方正小标宋简体" w:cs="仿宋_GB2312"/>
          <w:bCs/>
          <w:color w:val="000000" w:themeColor="text1"/>
          <w:sz w:val="44"/>
          <w:szCs w:val="44"/>
          <w14:textFill>
            <w14:solidFill>
              <w14:schemeClr w14:val="tx1"/>
            </w14:solidFill>
          </w14:textFill>
        </w:rPr>
        <w:t>团体标准《薄型子宫内膜患者针刺联合脐灸技术操作规范》（征求意见稿）编制说明</w:t>
      </w:r>
    </w:p>
    <w:p w14:paraId="01B0B1CB">
      <w:pPr>
        <w:ind w:firstLine="378"/>
        <w:jc w:val="center"/>
        <w:rPr>
          <w:rFonts w:ascii="方正小标宋简体" w:eastAsia="方正小标宋简体" w:cs="仿宋_GB2312"/>
          <w:bCs/>
          <w:color w:val="000000" w:themeColor="text1"/>
          <w:sz w:val="18"/>
          <w:szCs w:val="18"/>
          <w14:textFill>
            <w14:solidFill>
              <w14:schemeClr w14:val="tx1"/>
            </w14:solidFill>
          </w14:textFill>
        </w:rPr>
      </w:pPr>
    </w:p>
    <w:p w14:paraId="72A17A28">
      <w:pPr>
        <w:pStyle w:val="15"/>
        <w:ind w:firstLine="640" w:firstLineChars="200"/>
        <w:jc w:val="left"/>
        <w:rPr>
          <w:rFonts w:ascii="黑体" w:hAnsi="黑体" w:eastAsia="黑体"/>
          <w:b w:val="0"/>
          <w:color w:val="000000" w:themeColor="text1"/>
          <w14:textFill>
            <w14:solidFill>
              <w14:schemeClr w14:val="tx1"/>
            </w14:solidFill>
          </w14:textFill>
        </w:rPr>
      </w:pPr>
      <w:r>
        <w:rPr>
          <w:rFonts w:hint="eastAsia" w:ascii="黑体" w:hAnsi="黑体" w:eastAsia="黑体"/>
          <w:b w:val="0"/>
          <w:color w:val="000000" w:themeColor="text1"/>
          <w14:textFill>
            <w14:solidFill>
              <w14:schemeClr w14:val="tx1"/>
            </w14:solidFill>
          </w14:textFill>
        </w:rPr>
        <w:t>一、任务来源、起草单位、</w:t>
      </w:r>
      <w:r>
        <w:rPr>
          <w:rFonts w:ascii="黑体" w:hAnsi="黑体" w:eastAsia="黑体"/>
          <w:b w:val="0"/>
          <w:color w:val="000000" w:themeColor="text1"/>
          <w14:textFill>
            <w14:solidFill>
              <w14:schemeClr w14:val="tx1"/>
            </w14:solidFill>
          </w14:textFill>
        </w:rPr>
        <w:t>主要起草人</w:t>
      </w:r>
    </w:p>
    <w:p w14:paraId="37D84054">
      <w:pPr>
        <w:spacing w:after="120" w:afterLines="50"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根据《广西标准化协会关于下达</w:t>
      </w:r>
      <w:r>
        <w:rPr>
          <w:rFonts w:ascii="仿宋_GB2312" w:eastAsia="仿宋_GB2312"/>
          <w:color w:val="000000" w:themeColor="text1"/>
          <w:sz w:val="32"/>
          <w:szCs w:val="32"/>
          <w14:textFill>
            <w14:solidFill>
              <w14:schemeClr w14:val="tx1"/>
            </w14:solidFill>
          </w14:textFill>
        </w:rPr>
        <w:t>2025</w:t>
      </w:r>
      <w:r>
        <w:rPr>
          <w:rFonts w:hint="eastAsia" w:ascii="仿宋_GB2312" w:eastAsia="仿宋_GB2312"/>
          <w:color w:val="000000" w:themeColor="text1"/>
          <w:sz w:val="32"/>
          <w:szCs w:val="32"/>
          <w14:textFill>
            <w14:solidFill>
              <w14:schemeClr w14:val="tx1"/>
            </w14:solidFill>
          </w14:textFill>
        </w:rPr>
        <w:t>年第二</w:t>
      </w:r>
      <w:r>
        <w:rPr>
          <w:rFonts w:ascii="仿宋_GB2312" w:eastAsia="仿宋_GB2312"/>
          <w:color w:val="000000" w:themeColor="text1"/>
          <w:sz w:val="32"/>
          <w:szCs w:val="32"/>
          <w14:textFill>
            <w14:solidFill>
              <w14:schemeClr w14:val="tx1"/>
            </w14:solidFill>
          </w14:textFill>
        </w:rPr>
        <w:t>十</w:t>
      </w:r>
      <w:r>
        <w:rPr>
          <w:rFonts w:hint="eastAsia" w:ascii="仿宋_GB2312" w:eastAsia="仿宋_GB2312"/>
          <w:color w:val="000000" w:themeColor="text1"/>
          <w:sz w:val="32"/>
          <w:szCs w:val="32"/>
          <w14:textFill>
            <w14:solidFill>
              <w14:schemeClr w14:val="tx1"/>
            </w14:solidFill>
          </w14:textFill>
        </w:rPr>
        <w:t>一批团体标准制修订项目计划的通知》（桂标协〔</w:t>
      </w:r>
      <w:r>
        <w:rPr>
          <w:rFonts w:ascii="仿宋_GB2312" w:eastAsia="仿宋_GB2312"/>
          <w:color w:val="000000" w:themeColor="text1"/>
          <w:sz w:val="32"/>
          <w:szCs w:val="32"/>
          <w14:textFill>
            <w14:solidFill>
              <w14:schemeClr w14:val="tx1"/>
            </w14:solidFill>
          </w14:textFill>
        </w:rPr>
        <w:t>2025</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154</w:t>
      </w:r>
      <w:r>
        <w:rPr>
          <w:rFonts w:hint="eastAsia" w:ascii="仿宋_GB2312" w:eastAsia="仿宋_GB2312"/>
          <w:color w:val="000000" w:themeColor="text1"/>
          <w:sz w:val="32"/>
          <w:szCs w:val="32"/>
          <w14:textFill>
            <w14:solidFill>
              <w14:schemeClr w14:val="tx1"/>
            </w14:solidFill>
          </w14:textFill>
        </w:rPr>
        <w:t>号）文件精神，由南宁市第二人民医院提出，南宁市第二人民医院、广西医科大学附属肿瘤医院、广西中医药大学第一附属医院、广西中医药大学附属瑞康医院、广西壮族自治区南溪山医院（广西壮族自治区第二人民医院）、南宁市第一人民医院、南宁市第四人民医院、南宁市第七人民医院、南宁市第八人民医院、防城港市中医医院、钦州市第一人民医院、柳州市柳江区中医医院等单位共同起草的团体标准《薄型子宫内膜患者针刺联合脐灸技术操作规范》（项目编号：</w:t>
      </w:r>
      <w:r>
        <w:rPr>
          <w:rFonts w:ascii="仿宋_GB2312" w:eastAsia="仿宋_GB2312"/>
          <w:color w:val="000000" w:themeColor="text1"/>
          <w:sz w:val="32"/>
          <w:szCs w:val="32"/>
          <w14:textFill>
            <w14:solidFill>
              <w14:schemeClr w14:val="tx1"/>
            </w14:solidFill>
          </w14:textFill>
        </w:rPr>
        <w:t>2025</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2102</w:t>
      </w:r>
      <w:r>
        <w:rPr>
          <w:rFonts w:hint="eastAsia" w:ascii="仿宋_GB2312" w:eastAsia="仿宋_GB2312"/>
          <w:color w:val="000000" w:themeColor="text1"/>
          <w:sz w:val="32"/>
          <w:szCs w:val="32"/>
          <w14:textFill>
            <w14:solidFill>
              <w14:schemeClr w14:val="tx1"/>
            </w14:solidFill>
          </w14:textFill>
        </w:rPr>
        <w:t>）已获批立项。</w:t>
      </w:r>
    </w:p>
    <w:p w14:paraId="7E28A15E">
      <w:pPr>
        <w:spacing w:after="120" w:afterLines="50"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为高质量编制团体标准《薄型子宫内膜患者针刺联合脐灸技术操作规范》，由起草单位成立标准编制工作组并进行如下分工：</w:t>
      </w:r>
      <w:r>
        <w:rPr>
          <w:rFonts w:ascii="仿宋_GB2312" w:eastAsia="仿宋_GB2312"/>
          <w:color w:val="000000" w:themeColor="text1"/>
          <w:sz w:val="32"/>
          <w:szCs w:val="32"/>
          <w14:textFill>
            <w14:solidFill>
              <w14:schemeClr w14:val="tx1"/>
            </w14:solidFill>
          </w14:textFill>
        </w:rPr>
        <w:t xml:space="preserve"> </w:t>
      </w:r>
    </w:p>
    <w:tbl>
      <w:tblPr>
        <w:tblStyle w:val="17"/>
        <w:tblW w:w="508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4"/>
        <w:gridCol w:w="1660"/>
        <w:gridCol w:w="1579"/>
        <w:gridCol w:w="2169"/>
        <w:gridCol w:w="2792"/>
      </w:tblGrid>
      <w:tr w14:paraId="18B511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blHeader/>
          <w:jc w:val="center"/>
        </w:trPr>
        <w:tc>
          <w:tcPr>
            <w:tcW w:w="603" w:type="pct"/>
            <w:vAlign w:val="center"/>
          </w:tcPr>
          <w:p w14:paraId="77C37E98">
            <w:pPr>
              <w:jc w:val="center"/>
              <w:rPr>
                <w:rFonts w:ascii="仿宋_GB2312" w:hAnsi="Times New Roman" w:eastAsia="仿宋_GB2312"/>
                <w:b/>
                <w:color w:val="000000" w:themeColor="text1"/>
                <w:sz w:val="24"/>
                <w14:textFill>
                  <w14:solidFill>
                    <w14:schemeClr w14:val="tx1"/>
                  </w14:solidFill>
                </w14:textFill>
              </w:rPr>
            </w:pPr>
            <w:r>
              <w:rPr>
                <w:rFonts w:hint="eastAsia" w:ascii="仿宋_GB2312" w:hAnsi="Times New Roman" w:eastAsia="仿宋_GB2312"/>
                <w:b/>
                <w:color w:val="000000" w:themeColor="text1"/>
                <w:sz w:val="24"/>
                <w14:textFill>
                  <w14:solidFill>
                    <w14:schemeClr w14:val="tx1"/>
                  </w14:solidFill>
                </w14:textFill>
              </w:rPr>
              <w:t>姓名</w:t>
            </w:r>
          </w:p>
        </w:tc>
        <w:tc>
          <w:tcPr>
            <w:tcW w:w="890" w:type="pct"/>
            <w:vAlign w:val="center"/>
          </w:tcPr>
          <w:p w14:paraId="21DC7958">
            <w:pPr>
              <w:jc w:val="center"/>
              <w:rPr>
                <w:rFonts w:ascii="仿宋_GB2312" w:hAnsi="Times New Roman" w:eastAsia="仿宋_GB2312"/>
                <w:b/>
                <w:color w:val="000000" w:themeColor="text1"/>
                <w:sz w:val="24"/>
                <w14:textFill>
                  <w14:solidFill>
                    <w14:schemeClr w14:val="tx1"/>
                  </w14:solidFill>
                </w14:textFill>
              </w:rPr>
            </w:pPr>
            <w:r>
              <w:rPr>
                <w:rFonts w:hint="eastAsia" w:ascii="仿宋_GB2312" w:hAnsi="Times New Roman" w:eastAsia="仿宋_GB2312"/>
                <w:b/>
                <w:color w:val="000000" w:themeColor="text1"/>
                <w:sz w:val="24"/>
                <w14:textFill>
                  <w14:solidFill>
                    <w14:schemeClr w14:val="tx1"/>
                  </w14:solidFill>
                </w14:textFill>
              </w:rPr>
              <w:t>职务/职称</w:t>
            </w:r>
          </w:p>
        </w:tc>
        <w:tc>
          <w:tcPr>
            <w:tcW w:w="847" w:type="pct"/>
            <w:vAlign w:val="center"/>
          </w:tcPr>
          <w:p w14:paraId="2227DCA5">
            <w:pPr>
              <w:jc w:val="center"/>
              <w:rPr>
                <w:rFonts w:ascii="仿宋_GB2312" w:hAnsi="Times New Roman" w:eastAsia="仿宋_GB2312"/>
                <w:b/>
                <w:color w:val="000000" w:themeColor="text1"/>
                <w:sz w:val="24"/>
                <w14:textFill>
                  <w14:solidFill>
                    <w14:schemeClr w14:val="tx1"/>
                  </w14:solidFill>
                </w14:textFill>
              </w:rPr>
            </w:pPr>
            <w:r>
              <w:rPr>
                <w:rFonts w:hint="eastAsia" w:ascii="仿宋_GB2312" w:hAnsi="Times New Roman" w:eastAsia="仿宋_GB2312"/>
                <w:b/>
                <w:color w:val="000000" w:themeColor="text1"/>
                <w:sz w:val="24"/>
                <w14:textFill>
                  <w14:solidFill>
                    <w14:schemeClr w14:val="tx1"/>
                  </w14:solidFill>
                </w14:textFill>
              </w:rPr>
              <w:t>从事专业</w:t>
            </w:r>
          </w:p>
        </w:tc>
        <w:tc>
          <w:tcPr>
            <w:tcW w:w="1163" w:type="pct"/>
            <w:vAlign w:val="center"/>
          </w:tcPr>
          <w:p w14:paraId="6E4857D7">
            <w:pPr>
              <w:jc w:val="center"/>
              <w:rPr>
                <w:rFonts w:ascii="仿宋_GB2312" w:hAnsi="Times New Roman" w:eastAsia="仿宋_GB2312"/>
                <w:b/>
                <w:color w:val="000000" w:themeColor="text1"/>
                <w:sz w:val="24"/>
                <w14:textFill>
                  <w14:solidFill>
                    <w14:schemeClr w14:val="tx1"/>
                  </w14:solidFill>
                </w14:textFill>
              </w:rPr>
            </w:pPr>
            <w:r>
              <w:rPr>
                <w:rFonts w:hint="eastAsia" w:ascii="仿宋_GB2312" w:hAnsi="Times New Roman" w:eastAsia="仿宋_GB2312"/>
                <w:b/>
                <w:color w:val="000000" w:themeColor="text1"/>
                <w:sz w:val="24"/>
                <w14:textFill>
                  <w14:solidFill>
                    <w14:schemeClr w14:val="tx1"/>
                  </w14:solidFill>
                </w14:textFill>
              </w:rPr>
              <w:t>工作单位</w:t>
            </w:r>
          </w:p>
        </w:tc>
        <w:tc>
          <w:tcPr>
            <w:tcW w:w="1497" w:type="pct"/>
            <w:vAlign w:val="center"/>
          </w:tcPr>
          <w:p w14:paraId="685ED242">
            <w:pPr>
              <w:jc w:val="center"/>
              <w:rPr>
                <w:rFonts w:ascii="仿宋_GB2312" w:hAnsi="Times New Roman" w:eastAsia="仿宋_GB2312"/>
                <w:b/>
                <w:color w:val="000000" w:themeColor="text1"/>
                <w:sz w:val="24"/>
                <w14:textFill>
                  <w14:solidFill>
                    <w14:schemeClr w14:val="tx1"/>
                  </w14:solidFill>
                </w14:textFill>
              </w:rPr>
            </w:pPr>
            <w:r>
              <w:rPr>
                <w:rFonts w:hint="eastAsia" w:ascii="仿宋_GB2312" w:hAnsi="Times New Roman" w:eastAsia="仿宋_GB2312"/>
                <w:b/>
                <w:color w:val="000000" w:themeColor="text1"/>
                <w:sz w:val="24"/>
                <w14:textFill>
                  <w14:solidFill>
                    <w14:schemeClr w14:val="tx1"/>
                  </w14:solidFill>
                </w14:textFill>
              </w:rPr>
              <w:t>责任分工</w:t>
            </w:r>
          </w:p>
        </w:tc>
      </w:tr>
      <w:tr w14:paraId="5EF27F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7563DE4D">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朱茂灵</w:t>
            </w:r>
          </w:p>
        </w:tc>
        <w:tc>
          <w:tcPr>
            <w:tcW w:w="890" w:type="pct"/>
            <w:vAlign w:val="center"/>
          </w:tcPr>
          <w:p w14:paraId="13541B33">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主任医师</w:t>
            </w:r>
          </w:p>
        </w:tc>
        <w:tc>
          <w:tcPr>
            <w:tcW w:w="847" w:type="pct"/>
            <w:vAlign w:val="center"/>
          </w:tcPr>
          <w:p w14:paraId="1CA4244F">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妇产科学</w:t>
            </w:r>
          </w:p>
        </w:tc>
        <w:tc>
          <w:tcPr>
            <w:tcW w:w="1163" w:type="pct"/>
            <w:vAlign w:val="center"/>
          </w:tcPr>
          <w:p w14:paraId="6011A7B0">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南宁市第二人民医院</w:t>
            </w:r>
          </w:p>
        </w:tc>
        <w:tc>
          <w:tcPr>
            <w:tcW w:w="1497" w:type="pct"/>
            <w:vAlign w:val="center"/>
          </w:tcPr>
          <w:p w14:paraId="205B0599">
            <w:pPr>
              <w:suppressAutoHyphens/>
              <w:rPr>
                <w:rFonts w:ascii="仿宋_GB2312" w:hAnsi="仿宋_GB2312" w:eastAsia="仿宋_GB2312" w:cs="仿宋_GB2312"/>
                <w:bCs/>
                <w:color w:val="000000" w:themeColor="text1"/>
                <w:sz w:val="24"/>
                <w14:textFill>
                  <w14:solidFill>
                    <w14:schemeClr w14:val="tx1"/>
                  </w14:solidFill>
                </w14:textFill>
              </w:rPr>
            </w:pPr>
            <w:r>
              <w:rPr>
                <w:rFonts w:hint="eastAsia" w:ascii="仿宋_GB2312" w:hAnsi="仿宋_GB2312" w:eastAsia="仿宋_GB2312" w:cs="仿宋_GB2312"/>
                <w:bCs/>
                <w:color w:val="000000" w:themeColor="text1"/>
                <w:sz w:val="24"/>
                <w14:textFill>
                  <w14:solidFill>
                    <w14:schemeClr w14:val="tx1"/>
                  </w14:solidFill>
                </w14:textFill>
              </w:rPr>
              <w:t>统筹标准编制工作，组织人员进行规范发布后的宣贯培训。</w:t>
            </w:r>
          </w:p>
        </w:tc>
      </w:tr>
      <w:tr w14:paraId="40C2AF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180B443C">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兰菊</w:t>
            </w:r>
          </w:p>
        </w:tc>
        <w:tc>
          <w:tcPr>
            <w:tcW w:w="890" w:type="pct"/>
            <w:vAlign w:val="center"/>
          </w:tcPr>
          <w:p w14:paraId="0345644D">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主任医师</w:t>
            </w:r>
          </w:p>
        </w:tc>
        <w:tc>
          <w:tcPr>
            <w:tcW w:w="847" w:type="pct"/>
            <w:vAlign w:val="center"/>
          </w:tcPr>
          <w:p w14:paraId="1825A1C9">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中西医结合临床</w:t>
            </w:r>
          </w:p>
        </w:tc>
        <w:tc>
          <w:tcPr>
            <w:tcW w:w="1163" w:type="pct"/>
            <w:vAlign w:val="center"/>
          </w:tcPr>
          <w:p w14:paraId="76BC5E41">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南宁市第二人民医院</w:t>
            </w:r>
          </w:p>
        </w:tc>
        <w:tc>
          <w:tcPr>
            <w:tcW w:w="1497" w:type="pct"/>
            <w:vAlign w:val="center"/>
          </w:tcPr>
          <w:p w14:paraId="3378EA56">
            <w:pPr>
              <w:suppressAutoHyphens/>
              <w:rPr>
                <w:rFonts w:ascii="仿宋_GB2312" w:hAnsi="仿宋_GB2312" w:eastAsia="仿宋_GB2312" w:cs="仿宋_GB2312"/>
                <w:bCs/>
                <w:color w:val="000000" w:themeColor="text1"/>
                <w:sz w:val="24"/>
                <w14:textFill>
                  <w14:solidFill>
                    <w14:schemeClr w14:val="tx1"/>
                  </w14:solidFill>
                </w14:textFill>
              </w:rPr>
            </w:pPr>
            <w:r>
              <w:rPr>
                <w:rFonts w:hint="eastAsia" w:ascii="仿宋_GB2312" w:hAnsi="仿宋_GB2312" w:eastAsia="仿宋_GB2312" w:cs="仿宋_GB2312"/>
                <w:bCs/>
                <w:color w:val="000000" w:themeColor="text1"/>
                <w:sz w:val="24"/>
                <w14:textFill>
                  <w14:solidFill>
                    <w14:schemeClr w14:val="tx1"/>
                  </w14:solidFill>
                </w14:textFill>
              </w:rPr>
              <w:t>指导标准文本及编制说明编写，质量控制。</w:t>
            </w:r>
          </w:p>
        </w:tc>
      </w:tr>
      <w:tr w14:paraId="3B25A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5" w:hRule="atLeast"/>
          <w:jc w:val="center"/>
        </w:trPr>
        <w:tc>
          <w:tcPr>
            <w:tcW w:w="603" w:type="pct"/>
            <w:vAlign w:val="center"/>
          </w:tcPr>
          <w:p w14:paraId="07D37534">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张智</w:t>
            </w:r>
          </w:p>
        </w:tc>
        <w:tc>
          <w:tcPr>
            <w:tcW w:w="890" w:type="pct"/>
            <w:vAlign w:val="center"/>
          </w:tcPr>
          <w:p w14:paraId="56440C1A">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副主任医师</w:t>
            </w:r>
          </w:p>
        </w:tc>
        <w:tc>
          <w:tcPr>
            <w:tcW w:w="847" w:type="pct"/>
            <w:vAlign w:val="center"/>
          </w:tcPr>
          <w:p w14:paraId="0B9134D7">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中西医结合临床</w:t>
            </w:r>
          </w:p>
        </w:tc>
        <w:tc>
          <w:tcPr>
            <w:tcW w:w="1163" w:type="pct"/>
            <w:vAlign w:val="center"/>
          </w:tcPr>
          <w:p w14:paraId="5CA4C517">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南宁市第二人民医院</w:t>
            </w:r>
          </w:p>
        </w:tc>
        <w:tc>
          <w:tcPr>
            <w:tcW w:w="1497" w:type="pct"/>
            <w:vAlign w:val="center"/>
          </w:tcPr>
          <w:p w14:paraId="3829EAE8">
            <w:pPr>
              <w:suppressAutoHyphens/>
              <w:rPr>
                <w:rFonts w:ascii="仿宋_GB2312" w:hAnsi="仿宋_GB2312" w:eastAsia="仿宋_GB2312" w:cs="仿宋_GB2312"/>
                <w:bCs/>
                <w:color w:val="000000" w:themeColor="text1"/>
                <w:sz w:val="24"/>
                <w14:textFill>
                  <w14:solidFill>
                    <w14:schemeClr w14:val="tx1"/>
                  </w14:solidFill>
                </w14:textFill>
              </w:rPr>
            </w:pPr>
            <w:r>
              <w:rPr>
                <w:rFonts w:hint="eastAsia" w:ascii="仿宋_GB2312" w:hAnsi="仿宋_GB2312" w:eastAsia="仿宋_GB2312" w:cs="仿宋_GB2312"/>
                <w:bCs/>
                <w:color w:val="000000" w:themeColor="text1"/>
                <w:sz w:val="24"/>
                <w14:textFill>
                  <w14:solidFill>
                    <w14:schemeClr w14:val="tx1"/>
                  </w14:solidFill>
                </w14:textFill>
              </w:rPr>
              <w:t>对标准实施情况进行总结分析，不断对标准提出修正意见。</w:t>
            </w:r>
          </w:p>
        </w:tc>
      </w:tr>
      <w:tr w14:paraId="23D93D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2DA4D520">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阮俊霖</w:t>
            </w:r>
          </w:p>
        </w:tc>
        <w:tc>
          <w:tcPr>
            <w:tcW w:w="890" w:type="pct"/>
            <w:vAlign w:val="center"/>
          </w:tcPr>
          <w:p w14:paraId="2790F2AF">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主治医师</w:t>
            </w:r>
          </w:p>
        </w:tc>
        <w:tc>
          <w:tcPr>
            <w:tcW w:w="847" w:type="pct"/>
            <w:vAlign w:val="center"/>
          </w:tcPr>
          <w:p w14:paraId="7EBAF70A">
            <w:pPr>
              <w:jc w:val="center"/>
              <w:rPr>
                <w:rFonts w:ascii="仿宋" w:hAnsi="仿宋" w:eastAsia="仿宋"/>
                <w:color w:val="000000" w:themeColor="text1"/>
                <w:sz w:val="24"/>
                <w14:textFill>
                  <w14:solidFill>
                    <w14:schemeClr w14:val="tx1"/>
                  </w14:solidFill>
                </w14:textFill>
              </w:rPr>
            </w:pPr>
            <w:r>
              <w:rPr>
                <w:rFonts w:hint="eastAsia" w:ascii="仿宋_GB2312" w:hAnsi="仿宋_GB2312" w:eastAsia="仿宋_GB2312" w:cs="仿宋_GB2312"/>
                <w:sz w:val="24"/>
                <w:lang w:bidi="ar"/>
              </w:rPr>
              <w:t>针灸推拿</w:t>
            </w:r>
          </w:p>
        </w:tc>
        <w:tc>
          <w:tcPr>
            <w:tcW w:w="1163" w:type="pct"/>
            <w:vAlign w:val="center"/>
          </w:tcPr>
          <w:p w14:paraId="65A4482C">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南宁市第二人民医院</w:t>
            </w:r>
          </w:p>
        </w:tc>
        <w:tc>
          <w:tcPr>
            <w:tcW w:w="1497" w:type="pct"/>
            <w:vAlign w:val="center"/>
          </w:tcPr>
          <w:p w14:paraId="6A719E77">
            <w:pPr>
              <w:suppressAutoHyphens/>
              <w:rPr>
                <w:rFonts w:ascii="仿宋_GB2312" w:hAnsi="仿宋_GB2312" w:eastAsia="仿宋_GB2312" w:cs="仿宋_GB2312"/>
                <w:bCs/>
                <w:color w:val="000000" w:themeColor="text1"/>
                <w:sz w:val="24"/>
                <w14:textFill>
                  <w14:solidFill>
                    <w14:schemeClr w14:val="tx1"/>
                  </w14:solidFill>
                </w14:textFill>
              </w:rPr>
            </w:pPr>
            <w:r>
              <w:rPr>
                <w:rFonts w:hint="eastAsia" w:ascii="仿宋_GB2312" w:hAnsi="仿宋_GB2312" w:eastAsia="仿宋_GB2312" w:cs="仿宋_GB2312"/>
                <w:bCs/>
                <w:color w:val="000000" w:themeColor="text1"/>
                <w:sz w:val="24"/>
                <w14:textFill>
                  <w14:solidFill>
                    <w14:schemeClr w14:val="tx1"/>
                  </w14:solidFill>
                </w14:textFill>
              </w:rPr>
              <w:t>负责起草标准草案，征求意见稿和标准编制说明，送审稿及编制说明的编写工作。</w:t>
            </w:r>
          </w:p>
        </w:tc>
      </w:tr>
      <w:tr w14:paraId="0605CA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6011BFC3">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苏苑婷</w:t>
            </w:r>
          </w:p>
        </w:tc>
        <w:tc>
          <w:tcPr>
            <w:tcW w:w="890" w:type="pct"/>
            <w:vAlign w:val="center"/>
          </w:tcPr>
          <w:p w14:paraId="23F6814B">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主管护师</w:t>
            </w:r>
          </w:p>
        </w:tc>
        <w:tc>
          <w:tcPr>
            <w:tcW w:w="847" w:type="pct"/>
            <w:vAlign w:val="center"/>
          </w:tcPr>
          <w:p w14:paraId="42CAF1D6">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护理专业</w:t>
            </w:r>
          </w:p>
        </w:tc>
        <w:tc>
          <w:tcPr>
            <w:tcW w:w="1163" w:type="pct"/>
            <w:vAlign w:val="center"/>
          </w:tcPr>
          <w:p w14:paraId="7EAC858A">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南宁市第二人民医院</w:t>
            </w:r>
          </w:p>
        </w:tc>
        <w:tc>
          <w:tcPr>
            <w:tcW w:w="1497" w:type="pct"/>
            <w:vAlign w:val="center"/>
          </w:tcPr>
          <w:p w14:paraId="3B8C076E">
            <w:pPr>
              <w:rPr>
                <w:rFonts w:ascii="仿宋_GB2312" w:hAnsi="Times New Roman" w:eastAsia="仿宋_GB2312"/>
                <w:bCs/>
                <w:color w:val="000000" w:themeColor="text1"/>
                <w:sz w:val="24"/>
                <w14:textFill>
                  <w14:solidFill>
                    <w14:schemeClr w14:val="tx1"/>
                  </w14:solidFill>
                </w14:textFill>
              </w:rPr>
            </w:pPr>
            <w:r>
              <w:rPr>
                <w:rFonts w:hint="eastAsia" w:ascii="仿宋_GB2312" w:hAnsi="Times New Roman" w:eastAsia="仿宋_GB2312"/>
                <w:bCs/>
                <w:color w:val="000000" w:themeColor="text1"/>
                <w:sz w:val="24"/>
                <w14:textFill>
                  <w14:solidFill>
                    <w14:schemeClr w14:val="tx1"/>
                  </w14:solidFill>
                </w14:textFill>
              </w:rPr>
              <w:t>负责起草标准草案，征求意见稿和标准编制说明，送审稿及编制说明的编写工作。</w:t>
            </w:r>
          </w:p>
        </w:tc>
      </w:tr>
      <w:tr w14:paraId="06E95D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27241176">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黄文川</w:t>
            </w:r>
          </w:p>
        </w:tc>
        <w:tc>
          <w:tcPr>
            <w:tcW w:w="890" w:type="pct"/>
            <w:vAlign w:val="center"/>
          </w:tcPr>
          <w:p w14:paraId="2DBEA812">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副主任医师</w:t>
            </w:r>
          </w:p>
        </w:tc>
        <w:tc>
          <w:tcPr>
            <w:tcW w:w="847" w:type="pct"/>
            <w:vAlign w:val="center"/>
          </w:tcPr>
          <w:p w14:paraId="064289F8">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中西医结合临床</w:t>
            </w:r>
          </w:p>
        </w:tc>
        <w:tc>
          <w:tcPr>
            <w:tcW w:w="1163" w:type="pct"/>
            <w:vAlign w:val="center"/>
          </w:tcPr>
          <w:p w14:paraId="41B390E3">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南宁市第二人民医院</w:t>
            </w:r>
          </w:p>
        </w:tc>
        <w:tc>
          <w:tcPr>
            <w:tcW w:w="1497" w:type="pct"/>
            <w:vAlign w:val="center"/>
          </w:tcPr>
          <w:p w14:paraId="20CA2B3C">
            <w:pPr>
              <w:rPr>
                <w:rFonts w:ascii="仿宋_GB2312" w:hAnsi="Times New Roman" w:eastAsia="仿宋_GB2312"/>
                <w:b/>
                <w:color w:val="000000" w:themeColor="text1"/>
                <w:sz w:val="24"/>
                <w14:textFill>
                  <w14:solidFill>
                    <w14:schemeClr w14:val="tx1"/>
                  </w14:solidFill>
                </w14:textFill>
              </w:rPr>
            </w:pPr>
            <w:r>
              <w:rPr>
                <w:rFonts w:hint="eastAsia" w:ascii="仿宋_GB2312" w:hAnsi="Times New Roman" w:eastAsia="仿宋_GB2312"/>
                <w:bCs/>
                <w:color w:val="000000" w:themeColor="text1"/>
                <w:sz w:val="24"/>
                <w14:textFill>
                  <w14:solidFill>
                    <w14:schemeClr w14:val="tx1"/>
                  </w14:solidFill>
                </w14:textFill>
              </w:rPr>
              <w:t>查询、收集和整理资料，协助标准文本及编制说明的编写、实施。</w:t>
            </w:r>
          </w:p>
        </w:tc>
      </w:tr>
      <w:tr w14:paraId="0E5039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41AD8899">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孙小冬</w:t>
            </w:r>
          </w:p>
        </w:tc>
        <w:tc>
          <w:tcPr>
            <w:tcW w:w="890" w:type="pct"/>
            <w:vAlign w:val="center"/>
          </w:tcPr>
          <w:p w14:paraId="395E3AD0">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主管护师</w:t>
            </w:r>
          </w:p>
        </w:tc>
        <w:tc>
          <w:tcPr>
            <w:tcW w:w="847" w:type="pct"/>
            <w:vAlign w:val="center"/>
          </w:tcPr>
          <w:p w14:paraId="6F03003F">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护理专业</w:t>
            </w:r>
          </w:p>
        </w:tc>
        <w:tc>
          <w:tcPr>
            <w:tcW w:w="1163" w:type="pct"/>
            <w:vAlign w:val="center"/>
          </w:tcPr>
          <w:p w14:paraId="612D640D">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南宁市第二人民医院</w:t>
            </w:r>
          </w:p>
        </w:tc>
        <w:tc>
          <w:tcPr>
            <w:tcW w:w="1497" w:type="pct"/>
            <w:vAlign w:val="center"/>
          </w:tcPr>
          <w:p w14:paraId="2564279B">
            <w:pPr>
              <w:rPr>
                <w:rFonts w:ascii="仿宋_GB2312" w:hAnsi="Times New Roman" w:eastAsia="仿宋_GB2312"/>
                <w:bCs/>
                <w:color w:val="000000" w:themeColor="text1"/>
                <w:sz w:val="24"/>
                <w14:textFill>
                  <w14:solidFill>
                    <w14:schemeClr w14:val="tx1"/>
                  </w14:solidFill>
                </w14:textFill>
              </w:rPr>
            </w:pPr>
            <w:r>
              <w:rPr>
                <w:rFonts w:hint="eastAsia" w:ascii="仿宋_GB2312" w:hAnsi="Times New Roman" w:eastAsia="仿宋_GB2312"/>
                <w:bCs/>
                <w:color w:val="000000" w:themeColor="text1"/>
                <w:sz w:val="24"/>
                <w14:textFill>
                  <w14:solidFill>
                    <w14:schemeClr w14:val="tx1"/>
                  </w14:solidFill>
                </w14:textFill>
              </w:rPr>
              <w:t>查询、收集和整理资料，协助标准文本及编制说明的编写、实施。</w:t>
            </w:r>
          </w:p>
        </w:tc>
      </w:tr>
      <w:tr w14:paraId="38F4C7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36C74FA9">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劳晓容</w:t>
            </w:r>
          </w:p>
        </w:tc>
        <w:tc>
          <w:tcPr>
            <w:tcW w:w="890" w:type="pct"/>
            <w:vAlign w:val="center"/>
          </w:tcPr>
          <w:p w14:paraId="1747D17A">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主管护师</w:t>
            </w:r>
          </w:p>
        </w:tc>
        <w:tc>
          <w:tcPr>
            <w:tcW w:w="847" w:type="pct"/>
            <w:vAlign w:val="center"/>
          </w:tcPr>
          <w:p w14:paraId="393BE8F2">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护理专业</w:t>
            </w:r>
          </w:p>
        </w:tc>
        <w:tc>
          <w:tcPr>
            <w:tcW w:w="1163" w:type="pct"/>
            <w:vAlign w:val="center"/>
          </w:tcPr>
          <w:p w14:paraId="4A646B86">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南宁市第二人民医院</w:t>
            </w:r>
          </w:p>
        </w:tc>
        <w:tc>
          <w:tcPr>
            <w:tcW w:w="1497" w:type="pct"/>
            <w:vAlign w:val="center"/>
          </w:tcPr>
          <w:p w14:paraId="097DC4D5">
            <w:pPr>
              <w:rPr>
                <w:rFonts w:ascii="仿宋_GB2312" w:hAnsi="Times New Roman" w:eastAsia="仿宋_GB2312"/>
                <w:bCs/>
                <w:color w:val="000000" w:themeColor="text1"/>
                <w:sz w:val="24"/>
                <w14:textFill>
                  <w14:solidFill>
                    <w14:schemeClr w14:val="tx1"/>
                  </w14:solidFill>
                </w14:textFill>
              </w:rPr>
            </w:pPr>
            <w:r>
              <w:rPr>
                <w:rFonts w:hint="eastAsia" w:ascii="仿宋_GB2312" w:hAnsi="Times New Roman" w:eastAsia="仿宋_GB2312"/>
                <w:bCs/>
                <w:color w:val="000000" w:themeColor="text1"/>
                <w:sz w:val="24"/>
                <w14:textFill>
                  <w14:solidFill>
                    <w14:schemeClr w14:val="tx1"/>
                  </w14:solidFill>
                </w14:textFill>
              </w:rPr>
              <w:t>查询、收集和整理资料，协助标准文本及编制说明的编写、实施。</w:t>
            </w:r>
          </w:p>
        </w:tc>
      </w:tr>
      <w:tr w14:paraId="6E5A23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21A91FFC">
            <w:pPr>
              <w:jc w:val="center"/>
              <w:textAlignment w:val="baseline"/>
              <w:rPr>
                <w:rFonts w:ascii="仿宋_GB2312" w:hAnsi="仿宋" w:eastAsia="仿宋_GB2312"/>
                <w:bCs/>
                <w:color w:val="000000" w:themeColor="text1"/>
                <w:sz w:val="24"/>
                <w:szCs w:val="32"/>
                <w14:textFill>
                  <w14:solidFill>
                    <w14:schemeClr w14:val="tx1"/>
                  </w14:solidFill>
                </w14:textFill>
              </w:rPr>
            </w:pPr>
            <w:r>
              <w:rPr>
                <w:rFonts w:hint="eastAsia" w:ascii="仿宋_GB2312" w:hAnsi="仿宋" w:eastAsia="仿宋_GB2312" w:cs="仿宋"/>
                <w:sz w:val="24"/>
              </w:rPr>
              <w:t>李荣</w:t>
            </w:r>
          </w:p>
        </w:tc>
        <w:tc>
          <w:tcPr>
            <w:tcW w:w="890" w:type="pct"/>
            <w:vAlign w:val="center"/>
          </w:tcPr>
          <w:p w14:paraId="703CCFAD">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主任医师</w:t>
            </w:r>
          </w:p>
        </w:tc>
        <w:tc>
          <w:tcPr>
            <w:tcW w:w="847" w:type="pct"/>
            <w:vAlign w:val="center"/>
          </w:tcPr>
          <w:p w14:paraId="67F80479">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生殖医学</w:t>
            </w:r>
          </w:p>
        </w:tc>
        <w:tc>
          <w:tcPr>
            <w:tcW w:w="1163" w:type="pct"/>
            <w:vAlign w:val="center"/>
          </w:tcPr>
          <w:p w14:paraId="30D09410">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南宁市第二人民医院</w:t>
            </w:r>
          </w:p>
        </w:tc>
        <w:tc>
          <w:tcPr>
            <w:tcW w:w="1497" w:type="pct"/>
            <w:vAlign w:val="center"/>
          </w:tcPr>
          <w:p w14:paraId="4CCCF830">
            <w:pPr>
              <w:rPr>
                <w:rFonts w:ascii="仿宋_GB2312" w:hAnsi="Times New Roman" w:eastAsia="仿宋_GB2312"/>
                <w:bCs/>
                <w:color w:val="000000" w:themeColor="text1"/>
                <w:sz w:val="24"/>
                <w14:textFill>
                  <w14:solidFill>
                    <w14:schemeClr w14:val="tx1"/>
                  </w14:solidFill>
                </w14:textFill>
              </w:rPr>
            </w:pPr>
            <w:r>
              <w:rPr>
                <w:rFonts w:hint="eastAsia" w:ascii="仿宋_GB2312" w:hAnsi="Times New Roman" w:eastAsia="仿宋_GB2312"/>
                <w:bCs/>
                <w:color w:val="000000" w:themeColor="text1"/>
                <w:sz w:val="24"/>
                <w14:textFill>
                  <w14:solidFill>
                    <w14:schemeClr w14:val="tx1"/>
                  </w14:solidFill>
                </w14:textFill>
              </w:rPr>
              <w:t>查询、收集和整理资料，协助标准文本及编制说明的编写、实施。</w:t>
            </w:r>
          </w:p>
        </w:tc>
      </w:tr>
      <w:tr w14:paraId="2103A9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13026CBA">
            <w:pPr>
              <w:jc w:val="center"/>
              <w:textAlignment w:val="baseline"/>
              <w:rPr>
                <w:rFonts w:ascii="仿宋_GB2312" w:hAnsi="仿宋" w:eastAsia="仿宋_GB2312"/>
                <w:bCs/>
                <w:color w:val="000000" w:themeColor="text1"/>
                <w:sz w:val="24"/>
                <w:szCs w:val="32"/>
                <w14:textFill>
                  <w14:solidFill>
                    <w14:schemeClr w14:val="tx1"/>
                  </w14:solidFill>
                </w14:textFill>
              </w:rPr>
            </w:pPr>
            <w:r>
              <w:rPr>
                <w:rFonts w:hint="eastAsia" w:ascii="仿宋_GB2312" w:hAnsi="仿宋" w:eastAsia="仿宋_GB2312" w:cs="仿宋"/>
                <w:sz w:val="24"/>
              </w:rPr>
              <w:t>徐水婷</w:t>
            </w:r>
          </w:p>
        </w:tc>
        <w:tc>
          <w:tcPr>
            <w:tcW w:w="890" w:type="pct"/>
            <w:vAlign w:val="center"/>
          </w:tcPr>
          <w:p w14:paraId="5F11D6D6">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主治医师</w:t>
            </w:r>
          </w:p>
        </w:tc>
        <w:tc>
          <w:tcPr>
            <w:tcW w:w="847" w:type="pct"/>
            <w:vAlign w:val="center"/>
          </w:tcPr>
          <w:p w14:paraId="4A6BC395">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中医内科</w:t>
            </w:r>
          </w:p>
        </w:tc>
        <w:tc>
          <w:tcPr>
            <w:tcW w:w="1163" w:type="pct"/>
            <w:vAlign w:val="center"/>
          </w:tcPr>
          <w:p w14:paraId="233AFDED">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南宁市第二人民医院</w:t>
            </w:r>
          </w:p>
        </w:tc>
        <w:tc>
          <w:tcPr>
            <w:tcW w:w="1497" w:type="pct"/>
            <w:vAlign w:val="center"/>
          </w:tcPr>
          <w:p w14:paraId="292C3BED">
            <w:pPr>
              <w:rPr>
                <w:rFonts w:ascii="仿宋_GB2312" w:hAnsi="Times New Roman" w:eastAsia="仿宋_GB2312"/>
                <w:bCs/>
                <w:color w:val="000000" w:themeColor="text1"/>
                <w:sz w:val="24"/>
                <w14:textFill>
                  <w14:solidFill>
                    <w14:schemeClr w14:val="tx1"/>
                  </w14:solidFill>
                </w14:textFill>
              </w:rPr>
            </w:pPr>
            <w:r>
              <w:rPr>
                <w:rFonts w:hint="eastAsia" w:ascii="仿宋_GB2312" w:hAnsi="Times New Roman" w:eastAsia="仿宋_GB2312"/>
                <w:bCs/>
                <w:color w:val="000000" w:themeColor="text1"/>
                <w:sz w:val="24"/>
                <w14:textFill>
                  <w14:solidFill>
                    <w14:schemeClr w14:val="tx1"/>
                  </w14:solidFill>
                </w14:textFill>
              </w:rPr>
              <w:t>查询、收集和整理资料，协助标准文本及编制说明的编写、实施。</w:t>
            </w:r>
          </w:p>
        </w:tc>
      </w:tr>
      <w:tr w14:paraId="3275C3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2498A163">
            <w:pPr>
              <w:jc w:val="center"/>
              <w:textAlignment w:val="baseline"/>
              <w:rPr>
                <w:rFonts w:ascii="仿宋_GB2312" w:hAnsi="仿宋" w:eastAsia="仿宋_GB2312"/>
                <w:color w:val="000000" w:themeColor="text1"/>
                <w:sz w:val="24"/>
                <w:szCs w:val="32"/>
                <w14:textFill>
                  <w14:solidFill>
                    <w14:schemeClr w14:val="tx1"/>
                  </w14:solidFill>
                </w14:textFill>
              </w:rPr>
            </w:pPr>
            <w:r>
              <w:rPr>
                <w:rFonts w:ascii="仿宋_GB2312" w:hAnsi="仿宋" w:eastAsia="仿宋_GB2312"/>
                <w:color w:val="000000" w:themeColor="text1"/>
                <w:sz w:val="24"/>
                <w:szCs w:val="32"/>
                <w14:textFill>
                  <w14:solidFill>
                    <w14:schemeClr w14:val="tx1"/>
                  </w14:solidFill>
                </w14:textFill>
              </w:rPr>
              <w:t>邱华</w:t>
            </w:r>
          </w:p>
        </w:tc>
        <w:tc>
          <w:tcPr>
            <w:tcW w:w="890" w:type="pct"/>
            <w:vAlign w:val="center"/>
          </w:tcPr>
          <w:p w14:paraId="0E74107C">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主任医师</w:t>
            </w:r>
          </w:p>
        </w:tc>
        <w:tc>
          <w:tcPr>
            <w:tcW w:w="847" w:type="pct"/>
            <w:vAlign w:val="center"/>
          </w:tcPr>
          <w:p w14:paraId="15A91D65">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中西医结合临床</w:t>
            </w:r>
          </w:p>
        </w:tc>
        <w:tc>
          <w:tcPr>
            <w:tcW w:w="1163" w:type="pct"/>
            <w:vAlign w:val="center"/>
          </w:tcPr>
          <w:p w14:paraId="13D975F3">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广西医科大学附属肿瘤医院</w:t>
            </w:r>
          </w:p>
        </w:tc>
        <w:tc>
          <w:tcPr>
            <w:tcW w:w="1497" w:type="pct"/>
            <w:vAlign w:val="center"/>
          </w:tcPr>
          <w:p w14:paraId="188E9EFB">
            <w:pPr>
              <w:rPr>
                <w:rFonts w:ascii="仿宋_GB2312" w:hAnsi="Times New Roman" w:eastAsia="仿宋_GB2312"/>
                <w:bCs/>
                <w:color w:val="000000" w:themeColor="text1"/>
                <w:sz w:val="24"/>
                <w14:textFill>
                  <w14:solidFill>
                    <w14:schemeClr w14:val="tx1"/>
                  </w14:solidFill>
                </w14:textFill>
              </w:rPr>
            </w:pPr>
            <w:r>
              <w:rPr>
                <w:rFonts w:hint="eastAsia" w:ascii="仿宋_GB2312" w:hAnsi="Times New Roman" w:eastAsia="仿宋_GB2312"/>
                <w:bCs/>
                <w:color w:val="000000" w:themeColor="text1"/>
                <w:sz w:val="24"/>
                <w14:textFill>
                  <w14:solidFill>
                    <w14:schemeClr w14:val="tx1"/>
                  </w14:solidFill>
                </w14:textFill>
              </w:rPr>
              <w:t>查询、收集和整理资料，协助标准文本及编制说明的编写、实施。</w:t>
            </w:r>
          </w:p>
        </w:tc>
      </w:tr>
      <w:tr w14:paraId="0EA1D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6AD5ED14">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龙富立</w:t>
            </w:r>
          </w:p>
        </w:tc>
        <w:tc>
          <w:tcPr>
            <w:tcW w:w="890" w:type="pct"/>
            <w:vAlign w:val="center"/>
          </w:tcPr>
          <w:p w14:paraId="2BF50DFB">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主任医师</w:t>
            </w:r>
          </w:p>
        </w:tc>
        <w:tc>
          <w:tcPr>
            <w:tcW w:w="847" w:type="pct"/>
            <w:vAlign w:val="center"/>
          </w:tcPr>
          <w:p w14:paraId="73261771">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中医内科</w:t>
            </w:r>
          </w:p>
        </w:tc>
        <w:tc>
          <w:tcPr>
            <w:tcW w:w="1163" w:type="pct"/>
            <w:vAlign w:val="center"/>
          </w:tcPr>
          <w:p w14:paraId="175E5246">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广西中医药大学第一附属医院</w:t>
            </w:r>
          </w:p>
        </w:tc>
        <w:tc>
          <w:tcPr>
            <w:tcW w:w="1497" w:type="pct"/>
            <w:vAlign w:val="center"/>
          </w:tcPr>
          <w:p w14:paraId="1887039A">
            <w:pPr>
              <w:rPr>
                <w:rFonts w:ascii="仿宋_GB2312" w:hAnsi="Times New Roman" w:eastAsia="仿宋_GB2312"/>
                <w:bCs/>
                <w:color w:val="000000" w:themeColor="text1"/>
                <w:sz w:val="24"/>
                <w14:textFill>
                  <w14:solidFill>
                    <w14:schemeClr w14:val="tx1"/>
                  </w14:solidFill>
                </w14:textFill>
              </w:rPr>
            </w:pPr>
            <w:r>
              <w:rPr>
                <w:rFonts w:hint="eastAsia" w:ascii="仿宋_GB2312" w:hAnsi="Times New Roman" w:eastAsia="仿宋_GB2312"/>
                <w:bCs/>
                <w:color w:val="000000" w:themeColor="text1"/>
                <w:sz w:val="24"/>
                <w14:textFill>
                  <w14:solidFill>
                    <w14:schemeClr w14:val="tx1"/>
                  </w14:solidFill>
                </w14:textFill>
              </w:rPr>
              <w:t>查询、收集和整理资料，协助标准文本及编制说明的编写、实施。</w:t>
            </w:r>
          </w:p>
        </w:tc>
      </w:tr>
      <w:tr w14:paraId="11D11F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720CD058">
            <w:pPr>
              <w:jc w:val="center"/>
              <w:textAlignment w:val="baseline"/>
              <w:rPr>
                <w:rFonts w:ascii="仿宋_GB2312" w:hAnsi="仿宋" w:eastAsia="仿宋_GB2312"/>
                <w:color w:val="000000" w:themeColor="text1"/>
                <w:sz w:val="24"/>
                <w:szCs w:val="32"/>
                <w14:textFill>
                  <w14:solidFill>
                    <w14:schemeClr w14:val="tx1"/>
                  </w14:solidFill>
                </w14:textFill>
              </w:rPr>
            </w:pPr>
            <w:r>
              <w:rPr>
                <w:rFonts w:ascii="仿宋_GB2312" w:hAnsi="仿宋" w:eastAsia="仿宋_GB2312"/>
                <w:color w:val="000000" w:themeColor="text1"/>
                <w:sz w:val="24"/>
                <w:szCs w:val="32"/>
                <w14:textFill>
                  <w14:solidFill>
                    <w14:schemeClr w14:val="tx1"/>
                  </w14:solidFill>
                </w14:textFill>
              </w:rPr>
              <w:t>郭伟堃</w:t>
            </w:r>
          </w:p>
        </w:tc>
        <w:tc>
          <w:tcPr>
            <w:tcW w:w="890" w:type="pct"/>
            <w:vAlign w:val="center"/>
          </w:tcPr>
          <w:p w14:paraId="70A1B9A6">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主任医师</w:t>
            </w:r>
          </w:p>
        </w:tc>
        <w:tc>
          <w:tcPr>
            <w:tcW w:w="847" w:type="pct"/>
            <w:vAlign w:val="center"/>
          </w:tcPr>
          <w:p w14:paraId="075C14E9">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中医妇科</w:t>
            </w:r>
          </w:p>
        </w:tc>
        <w:tc>
          <w:tcPr>
            <w:tcW w:w="1163" w:type="pct"/>
            <w:vAlign w:val="center"/>
          </w:tcPr>
          <w:p w14:paraId="729AEF01">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广西中医药大学附属瑞康医院</w:t>
            </w:r>
          </w:p>
        </w:tc>
        <w:tc>
          <w:tcPr>
            <w:tcW w:w="1497" w:type="pct"/>
            <w:vAlign w:val="center"/>
          </w:tcPr>
          <w:p w14:paraId="3CCFFAB1">
            <w:pPr>
              <w:rPr>
                <w:rFonts w:ascii="仿宋_GB2312" w:hAnsi="Times New Roman" w:eastAsia="仿宋_GB2312"/>
                <w:bCs/>
                <w:color w:val="000000" w:themeColor="text1"/>
                <w:sz w:val="24"/>
                <w14:textFill>
                  <w14:solidFill>
                    <w14:schemeClr w14:val="tx1"/>
                  </w14:solidFill>
                </w14:textFill>
              </w:rPr>
            </w:pPr>
            <w:r>
              <w:rPr>
                <w:rFonts w:hint="eastAsia" w:ascii="仿宋_GB2312" w:hAnsi="Times New Roman" w:eastAsia="仿宋_GB2312"/>
                <w:bCs/>
                <w:color w:val="000000" w:themeColor="text1"/>
                <w:sz w:val="24"/>
                <w14:textFill>
                  <w14:solidFill>
                    <w14:schemeClr w14:val="tx1"/>
                  </w14:solidFill>
                </w14:textFill>
              </w:rPr>
              <w:t>查询、收集和整理资料，协助标准文本及编制说明的编写、实施。</w:t>
            </w:r>
          </w:p>
        </w:tc>
      </w:tr>
      <w:tr w14:paraId="629AE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1EB480D3">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李凌云</w:t>
            </w:r>
          </w:p>
        </w:tc>
        <w:tc>
          <w:tcPr>
            <w:tcW w:w="890" w:type="pct"/>
            <w:vAlign w:val="center"/>
          </w:tcPr>
          <w:p w14:paraId="0DBEEA42">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副主任医师</w:t>
            </w:r>
          </w:p>
        </w:tc>
        <w:tc>
          <w:tcPr>
            <w:tcW w:w="847" w:type="pct"/>
            <w:vAlign w:val="center"/>
          </w:tcPr>
          <w:p w14:paraId="702DA404">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中西医结合临床</w:t>
            </w:r>
          </w:p>
        </w:tc>
        <w:tc>
          <w:tcPr>
            <w:tcW w:w="1163" w:type="pct"/>
            <w:vAlign w:val="center"/>
          </w:tcPr>
          <w:p w14:paraId="21FA1694">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广西壮族自治区南溪山医院</w:t>
            </w:r>
          </w:p>
        </w:tc>
        <w:tc>
          <w:tcPr>
            <w:tcW w:w="1497" w:type="pct"/>
            <w:vAlign w:val="center"/>
          </w:tcPr>
          <w:p w14:paraId="1240FF9D">
            <w:pPr>
              <w:rPr>
                <w:rFonts w:ascii="仿宋_GB2312" w:hAnsi="Times New Roman" w:eastAsia="仿宋_GB2312"/>
                <w:bCs/>
                <w:color w:val="000000" w:themeColor="text1"/>
                <w:sz w:val="24"/>
                <w14:textFill>
                  <w14:solidFill>
                    <w14:schemeClr w14:val="tx1"/>
                  </w14:solidFill>
                </w14:textFill>
              </w:rPr>
            </w:pPr>
            <w:r>
              <w:rPr>
                <w:rFonts w:hint="eastAsia" w:ascii="仿宋_GB2312" w:hAnsi="Times New Roman" w:eastAsia="仿宋_GB2312"/>
                <w:bCs/>
                <w:color w:val="000000" w:themeColor="text1"/>
                <w:sz w:val="24"/>
                <w14:textFill>
                  <w14:solidFill>
                    <w14:schemeClr w14:val="tx1"/>
                  </w14:solidFill>
                </w14:textFill>
              </w:rPr>
              <w:t>查询、收集和整理资料，协助标准文本及编制说明的编写、实施。</w:t>
            </w:r>
          </w:p>
        </w:tc>
      </w:tr>
      <w:tr w14:paraId="159A6E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6BA94B51">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钟娟</w:t>
            </w:r>
          </w:p>
        </w:tc>
        <w:tc>
          <w:tcPr>
            <w:tcW w:w="890" w:type="pct"/>
            <w:vAlign w:val="center"/>
          </w:tcPr>
          <w:p w14:paraId="58BB5F68">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主任医师</w:t>
            </w:r>
          </w:p>
        </w:tc>
        <w:tc>
          <w:tcPr>
            <w:tcW w:w="847" w:type="pct"/>
            <w:vAlign w:val="center"/>
          </w:tcPr>
          <w:p w14:paraId="2747F1B9">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s="仿宋"/>
                <w:sz w:val="24"/>
              </w:rPr>
              <w:t>中西医结合临床</w:t>
            </w:r>
          </w:p>
        </w:tc>
        <w:tc>
          <w:tcPr>
            <w:tcW w:w="1163" w:type="pct"/>
            <w:vAlign w:val="center"/>
          </w:tcPr>
          <w:p w14:paraId="0E1110FD">
            <w:pPr>
              <w:jc w:val="center"/>
              <w:textAlignment w:val="baseline"/>
              <w:rPr>
                <w:rFonts w:ascii="仿宋_GB2312" w:hAnsi="仿宋" w:eastAsia="仿宋_GB2312"/>
                <w:color w:val="000000" w:themeColor="text1"/>
                <w:sz w:val="24"/>
                <w:szCs w:val="32"/>
                <w14:textFill>
                  <w14:solidFill>
                    <w14:schemeClr w14:val="tx1"/>
                  </w14:solidFill>
                </w14:textFill>
              </w:rPr>
            </w:pPr>
            <w:r>
              <w:rPr>
                <w:rFonts w:hint="eastAsia" w:ascii="仿宋_GB2312" w:hAnsi="仿宋_GB2312" w:eastAsia="仿宋_GB2312" w:cs="仿宋_GB2312"/>
                <w:sz w:val="24"/>
                <w:lang w:bidi="ar"/>
              </w:rPr>
              <w:t>南宁市第一人民医院</w:t>
            </w:r>
          </w:p>
        </w:tc>
        <w:tc>
          <w:tcPr>
            <w:tcW w:w="1497" w:type="pct"/>
            <w:vAlign w:val="center"/>
          </w:tcPr>
          <w:p w14:paraId="3FC57807">
            <w:pPr>
              <w:rPr>
                <w:rFonts w:ascii="仿宋_GB2312" w:hAnsi="Times New Roman" w:eastAsia="仿宋_GB2312"/>
                <w:bCs/>
                <w:color w:val="000000" w:themeColor="text1"/>
                <w:sz w:val="24"/>
                <w14:textFill>
                  <w14:solidFill>
                    <w14:schemeClr w14:val="tx1"/>
                  </w14:solidFill>
                </w14:textFill>
              </w:rPr>
            </w:pPr>
            <w:r>
              <w:rPr>
                <w:rFonts w:hint="eastAsia" w:ascii="仿宋_GB2312" w:hAnsi="Times New Roman" w:eastAsia="仿宋_GB2312"/>
                <w:bCs/>
                <w:color w:val="000000" w:themeColor="text1"/>
                <w:sz w:val="24"/>
                <w14:textFill>
                  <w14:solidFill>
                    <w14:schemeClr w14:val="tx1"/>
                  </w14:solidFill>
                </w14:textFill>
              </w:rPr>
              <w:t>查询、收集和整理资料，协助标准文本及编制说明的编写、实施。</w:t>
            </w:r>
          </w:p>
        </w:tc>
      </w:tr>
      <w:tr w14:paraId="1F5EE8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60854314">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马钰婷</w:t>
            </w:r>
          </w:p>
        </w:tc>
        <w:tc>
          <w:tcPr>
            <w:tcW w:w="890" w:type="pct"/>
            <w:vAlign w:val="center"/>
          </w:tcPr>
          <w:p w14:paraId="736B3353">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主任医师</w:t>
            </w:r>
          </w:p>
        </w:tc>
        <w:tc>
          <w:tcPr>
            <w:tcW w:w="847" w:type="pct"/>
            <w:vAlign w:val="center"/>
          </w:tcPr>
          <w:p w14:paraId="729CE7EB">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中医内科</w:t>
            </w:r>
          </w:p>
        </w:tc>
        <w:tc>
          <w:tcPr>
            <w:tcW w:w="1163" w:type="pct"/>
            <w:vAlign w:val="center"/>
          </w:tcPr>
          <w:p w14:paraId="087A0A73">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南宁市第四人民医院</w:t>
            </w:r>
          </w:p>
        </w:tc>
        <w:tc>
          <w:tcPr>
            <w:tcW w:w="1497" w:type="pct"/>
            <w:vAlign w:val="center"/>
          </w:tcPr>
          <w:p w14:paraId="4CEF9CCB">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48582C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17054913">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黄允香</w:t>
            </w:r>
          </w:p>
        </w:tc>
        <w:tc>
          <w:tcPr>
            <w:tcW w:w="890" w:type="pct"/>
            <w:vAlign w:val="center"/>
          </w:tcPr>
          <w:p w14:paraId="40D11919">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主任护师</w:t>
            </w:r>
          </w:p>
        </w:tc>
        <w:tc>
          <w:tcPr>
            <w:tcW w:w="847" w:type="pct"/>
            <w:vAlign w:val="center"/>
          </w:tcPr>
          <w:p w14:paraId="30BC9A97">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护理专业</w:t>
            </w:r>
          </w:p>
        </w:tc>
        <w:tc>
          <w:tcPr>
            <w:tcW w:w="1163" w:type="pct"/>
            <w:vAlign w:val="center"/>
          </w:tcPr>
          <w:p w14:paraId="4E8369C6">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南宁市第七人民医院</w:t>
            </w:r>
          </w:p>
        </w:tc>
        <w:tc>
          <w:tcPr>
            <w:tcW w:w="1497" w:type="pct"/>
            <w:vAlign w:val="center"/>
          </w:tcPr>
          <w:p w14:paraId="227D9F62">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14F4D8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36336D2E">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廖华薇</w:t>
            </w:r>
          </w:p>
        </w:tc>
        <w:tc>
          <w:tcPr>
            <w:tcW w:w="890" w:type="pct"/>
            <w:vAlign w:val="center"/>
          </w:tcPr>
          <w:p w14:paraId="6DF047D0">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主任医师</w:t>
            </w:r>
          </w:p>
        </w:tc>
        <w:tc>
          <w:tcPr>
            <w:tcW w:w="847" w:type="pct"/>
            <w:vAlign w:val="center"/>
          </w:tcPr>
          <w:p w14:paraId="35FFE90E">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中医针灸</w:t>
            </w:r>
          </w:p>
        </w:tc>
        <w:tc>
          <w:tcPr>
            <w:tcW w:w="1163" w:type="pct"/>
            <w:vAlign w:val="center"/>
          </w:tcPr>
          <w:p w14:paraId="359C868B">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南宁市第八人民医院</w:t>
            </w:r>
          </w:p>
        </w:tc>
        <w:tc>
          <w:tcPr>
            <w:tcW w:w="1497" w:type="pct"/>
            <w:vAlign w:val="center"/>
          </w:tcPr>
          <w:p w14:paraId="50E24EC6">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093CA0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35EB0761">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苏国春</w:t>
            </w:r>
          </w:p>
        </w:tc>
        <w:tc>
          <w:tcPr>
            <w:tcW w:w="890" w:type="pct"/>
            <w:vAlign w:val="center"/>
          </w:tcPr>
          <w:p w14:paraId="1486ED2E">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主任医师</w:t>
            </w:r>
          </w:p>
        </w:tc>
        <w:tc>
          <w:tcPr>
            <w:tcW w:w="847" w:type="pct"/>
            <w:vAlign w:val="center"/>
          </w:tcPr>
          <w:p w14:paraId="1745C87E">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中医内科</w:t>
            </w:r>
          </w:p>
        </w:tc>
        <w:tc>
          <w:tcPr>
            <w:tcW w:w="1163" w:type="pct"/>
            <w:vAlign w:val="center"/>
          </w:tcPr>
          <w:p w14:paraId="6B2947E3">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钦州市第一人民医院</w:t>
            </w:r>
          </w:p>
        </w:tc>
        <w:tc>
          <w:tcPr>
            <w:tcW w:w="1497" w:type="pct"/>
            <w:vAlign w:val="center"/>
          </w:tcPr>
          <w:p w14:paraId="29B7BF8F">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0A5B9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30BC112C">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方春秀</w:t>
            </w:r>
          </w:p>
        </w:tc>
        <w:tc>
          <w:tcPr>
            <w:tcW w:w="890" w:type="pct"/>
            <w:vAlign w:val="center"/>
          </w:tcPr>
          <w:p w14:paraId="39EB7FCE">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副主任医师</w:t>
            </w:r>
          </w:p>
        </w:tc>
        <w:tc>
          <w:tcPr>
            <w:tcW w:w="847" w:type="pct"/>
            <w:vAlign w:val="center"/>
          </w:tcPr>
          <w:p w14:paraId="1A92CBDE">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中医针灸</w:t>
            </w:r>
          </w:p>
        </w:tc>
        <w:tc>
          <w:tcPr>
            <w:tcW w:w="1163" w:type="pct"/>
            <w:vAlign w:val="center"/>
          </w:tcPr>
          <w:p w14:paraId="0CA3C8D0">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防城港市中医医院</w:t>
            </w:r>
          </w:p>
        </w:tc>
        <w:tc>
          <w:tcPr>
            <w:tcW w:w="1497" w:type="pct"/>
            <w:vAlign w:val="center"/>
          </w:tcPr>
          <w:p w14:paraId="025B79C8">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01F6A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2AB1F587">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陈波</w:t>
            </w:r>
          </w:p>
        </w:tc>
        <w:tc>
          <w:tcPr>
            <w:tcW w:w="890" w:type="pct"/>
            <w:vAlign w:val="center"/>
          </w:tcPr>
          <w:p w14:paraId="08251164">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副主任医师</w:t>
            </w:r>
          </w:p>
        </w:tc>
        <w:tc>
          <w:tcPr>
            <w:tcW w:w="847" w:type="pct"/>
            <w:vAlign w:val="center"/>
          </w:tcPr>
          <w:p w14:paraId="1118D889">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中西医结合临床</w:t>
            </w:r>
          </w:p>
        </w:tc>
        <w:tc>
          <w:tcPr>
            <w:tcW w:w="1163" w:type="pct"/>
            <w:vAlign w:val="center"/>
          </w:tcPr>
          <w:p w14:paraId="0137C3E2">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柳州市柳江区中医医院</w:t>
            </w:r>
          </w:p>
        </w:tc>
        <w:tc>
          <w:tcPr>
            <w:tcW w:w="1497" w:type="pct"/>
            <w:vAlign w:val="center"/>
          </w:tcPr>
          <w:p w14:paraId="53626CD9">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3A853A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00B4694E">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陈露林</w:t>
            </w:r>
          </w:p>
        </w:tc>
        <w:tc>
          <w:tcPr>
            <w:tcW w:w="890" w:type="pct"/>
            <w:vAlign w:val="center"/>
          </w:tcPr>
          <w:p w14:paraId="24388943">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主管医师</w:t>
            </w:r>
          </w:p>
        </w:tc>
        <w:tc>
          <w:tcPr>
            <w:tcW w:w="847" w:type="pct"/>
            <w:vAlign w:val="center"/>
          </w:tcPr>
          <w:p w14:paraId="27F6A476">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预防医学</w:t>
            </w:r>
          </w:p>
        </w:tc>
        <w:tc>
          <w:tcPr>
            <w:tcW w:w="1163" w:type="pct"/>
            <w:vAlign w:val="center"/>
          </w:tcPr>
          <w:p w14:paraId="3C100F08">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南宁市第二人民医院</w:t>
            </w:r>
          </w:p>
        </w:tc>
        <w:tc>
          <w:tcPr>
            <w:tcW w:w="1497" w:type="pct"/>
            <w:vAlign w:val="center"/>
          </w:tcPr>
          <w:p w14:paraId="4F1D8507">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45689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483AB3D6">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马华梧</w:t>
            </w:r>
          </w:p>
        </w:tc>
        <w:tc>
          <w:tcPr>
            <w:tcW w:w="890" w:type="pct"/>
            <w:vAlign w:val="center"/>
          </w:tcPr>
          <w:p w14:paraId="00BDA1A0">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医师</w:t>
            </w:r>
          </w:p>
        </w:tc>
        <w:tc>
          <w:tcPr>
            <w:tcW w:w="847" w:type="pct"/>
            <w:vAlign w:val="center"/>
          </w:tcPr>
          <w:p w14:paraId="08A62F35">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中医学</w:t>
            </w:r>
          </w:p>
        </w:tc>
        <w:tc>
          <w:tcPr>
            <w:tcW w:w="1163" w:type="pct"/>
            <w:vAlign w:val="center"/>
          </w:tcPr>
          <w:p w14:paraId="29A95E95">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南宁市第二人民医院</w:t>
            </w:r>
          </w:p>
        </w:tc>
        <w:tc>
          <w:tcPr>
            <w:tcW w:w="1497" w:type="pct"/>
            <w:vAlign w:val="center"/>
          </w:tcPr>
          <w:p w14:paraId="20DCB1B2">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bookmarkStart w:id="1" w:name="_GoBack"/>
            <w:bookmarkEnd w:id="1"/>
          </w:p>
        </w:tc>
      </w:tr>
      <w:tr w14:paraId="7BC07C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168E5814">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周艳群</w:t>
            </w:r>
          </w:p>
        </w:tc>
        <w:tc>
          <w:tcPr>
            <w:tcW w:w="890" w:type="pct"/>
            <w:vAlign w:val="center"/>
          </w:tcPr>
          <w:p w14:paraId="6DD5B5D4">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副主任医师</w:t>
            </w:r>
          </w:p>
        </w:tc>
        <w:tc>
          <w:tcPr>
            <w:tcW w:w="847" w:type="pct"/>
            <w:vAlign w:val="center"/>
          </w:tcPr>
          <w:p w14:paraId="3AAD798E">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妇产科学</w:t>
            </w:r>
          </w:p>
        </w:tc>
        <w:tc>
          <w:tcPr>
            <w:tcW w:w="1163" w:type="pct"/>
            <w:vAlign w:val="center"/>
          </w:tcPr>
          <w:p w14:paraId="2C1D1A06">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南宁市第二人民医院</w:t>
            </w:r>
          </w:p>
        </w:tc>
        <w:tc>
          <w:tcPr>
            <w:tcW w:w="1497" w:type="pct"/>
            <w:vAlign w:val="center"/>
          </w:tcPr>
          <w:p w14:paraId="737C1F0F">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19AB9E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169BE76B">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李洁玉</w:t>
            </w:r>
          </w:p>
        </w:tc>
        <w:tc>
          <w:tcPr>
            <w:tcW w:w="890" w:type="pct"/>
            <w:vAlign w:val="center"/>
          </w:tcPr>
          <w:p w14:paraId="7609C3AB">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住院医师</w:t>
            </w:r>
          </w:p>
        </w:tc>
        <w:tc>
          <w:tcPr>
            <w:tcW w:w="847" w:type="pct"/>
            <w:vAlign w:val="center"/>
          </w:tcPr>
          <w:p w14:paraId="6FA4621E">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中医内科</w:t>
            </w:r>
          </w:p>
        </w:tc>
        <w:tc>
          <w:tcPr>
            <w:tcW w:w="1163" w:type="pct"/>
            <w:vAlign w:val="center"/>
          </w:tcPr>
          <w:p w14:paraId="1055016D">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南宁市第二人民医院</w:t>
            </w:r>
          </w:p>
        </w:tc>
        <w:tc>
          <w:tcPr>
            <w:tcW w:w="1497" w:type="pct"/>
            <w:vAlign w:val="center"/>
          </w:tcPr>
          <w:p w14:paraId="28247510">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629B7B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192B8296">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潘若茜</w:t>
            </w:r>
          </w:p>
        </w:tc>
        <w:tc>
          <w:tcPr>
            <w:tcW w:w="890" w:type="pct"/>
            <w:vAlign w:val="center"/>
          </w:tcPr>
          <w:p w14:paraId="353D85F1">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住院医师</w:t>
            </w:r>
          </w:p>
        </w:tc>
        <w:tc>
          <w:tcPr>
            <w:tcW w:w="847" w:type="pct"/>
            <w:vAlign w:val="center"/>
          </w:tcPr>
          <w:p w14:paraId="1448330A">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中医内科</w:t>
            </w:r>
          </w:p>
        </w:tc>
        <w:tc>
          <w:tcPr>
            <w:tcW w:w="1163" w:type="pct"/>
            <w:vAlign w:val="center"/>
          </w:tcPr>
          <w:p w14:paraId="30DABADC">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南宁市第二人民医院</w:t>
            </w:r>
          </w:p>
        </w:tc>
        <w:tc>
          <w:tcPr>
            <w:tcW w:w="1497" w:type="pct"/>
          </w:tcPr>
          <w:p w14:paraId="523F548D">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21B4C8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7E6F6684">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黄蓉</w:t>
            </w:r>
          </w:p>
        </w:tc>
        <w:tc>
          <w:tcPr>
            <w:tcW w:w="890" w:type="pct"/>
            <w:vAlign w:val="center"/>
          </w:tcPr>
          <w:p w14:paraId="12BCDF3A">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康复技师</w:t>
            </w:r>
          </w:p>
        </w:tc>
        <w:tc>
          <w:tcPr>
            <w:tcW w:w="847" w:type="pct"/>
            <w:vAlign w:val="center"/>
          </w:tcPr>
          <w:p w14:paraId="72CC5E8D">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康复治疗学</w:t>
            </w:r>
          </w:p>
        </w:tc>
        <w:tc>
          <w:tcPr>
            <w:tcW w:w="1163" w:type="pct"/>
            <w:vAlign w:val="center"/>
          </w:tcPr>
          <w:p w14:paraId="2554470D">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南宁市第二人民医院</w:t>
            </w:r>
          </w:p>
        </w:tc>
        <w:tc>
          <w:tcPr>
            <w:tcW w:w="1497" w:type="pct"/>
          </w:tcPr>
          <w:p w14:paraId="2D369311">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3CE22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288384E9">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何媛明</w:t>
            </w:r>
          </w:p>
        </w:tc>
        <w:tc>
          <w:tcPr>
            <w:tcW w:w="890" w:type="pct"/>
            <w:vAlign w:val="center"/>
          </w:tcPr>
          <w:p w14:paraId="588E99FD">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副主任护师</w:t>
            </w:r>
          </w:p>
        </w:tc>
        <w:tc>
          <w:tcPr>
            <w:tcW w:w="847" w:type="pct"/>
            <w:vAlign w:val="center"/>
          </w:tcPr>
          <w:p w14:paraId="71B6535A">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护理专业</w:t>
            </w:r>
          </w:p>
        </w:tc>
        <w:tc>
          <w:tcPr>
            <w:tcW w:w="1163" w:type="pct"/>
            <w:vAlign w:val="center"/>
          </w:tcPr>
          <w:p w14:paraId="7AA898BB">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南宁市第二人民医院</w:t>
            </w:r>
          </w:p>
        </w:tc>
        <w:tc>
          <w:tcPr>
            <w:tcW w:w="1497" w:type="pct"/>
          </w:tcPr>
          <w:p w14:paraId="30F833A6">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7BDE3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147F2212">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李岚</w:t>
            </w:r>
          </w:p>
        </w:tc>
        <w:tc>
          <w:tcPr>
            <w:tcW w:w="890" w:type="pct"/>
            <w:vAlign w:val="center"/>
          </w:tcPr>
          <w:p w14:paraId="6C4ACB8D">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护师</w:t>
            </w:r>
          </w:p>
        </w:tc>
        <w:tc>
          <w:tcPr>
            <w:tcW w:w="847" w:type="pct"/>
            <w:vAlign w:val="center"/>
          </w:tcPr>
          <w:p w14:paraId="0C6FD736">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护理专业</w:t>
            </w:r>
          </w:p>
        </w:tc>
        <w:tc>
          <w:tcPr>
            <w:tcW w:w="1163" w:type="pct"/>
            <w:vAlign w:val="center"/>
          </w:tcPr>
          <w:p w14:paraId="399FF72D">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南宁市第二人民医院</w:t>
            </w:r>
          </w:p>
        </w:tc>
        <w:tc>
          <w:tcPr>
            <w:tcW w:w="1497" w:type="pct"/>
          </w:tcPr>
          <w:p w14:paraId="48DA5AE7">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088F3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0B603736">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刘力健</w:t>
            </w:r>
          </w:p>
        </w:tc>
        <w:tc>
          <w:tcPr>
            <w:tcW w:w="890" w:type="pct"/>
            <w:vAlign w:val="center"/>
          </w:tcPr>
          <w:p w14:paraId="0532B995">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护师</w:t>
            </w:r>
          </w:p>
        </w:tc>
        <w:tc>
          <w:tcPr>
            <w:tcW w:w="847" w:type="pct"/>
            <w:vAlign w:val="center"/>
          </w:tcPr>
          <w:p w14:paraId="06064DFE">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护理专业</w:t>
            </w:r>
          </w:p>
        </w:tc>
        <w:tc>
          <w:tcPr>
            <w:tcW w:w="1163" w:type="pct"/>
            <w:vAlign w:val="center"/>
          </w:tcPr>
          <w:p w14:paraId="3AEAB9FA">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南宁市第二人民医院</w:t>
            </w:r>
          </w:p>
        </w:tc>
        <w:tc>
          <w:tcPr>
            <w:tcW w:w="1497" w:type="pct"/>
          </w:tcPr>
          <w:p w14:paraId="59ED8835">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152A83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6AD8E322">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韦慧玲</w:t>
            </w:r>
          </w:p>
        </w:tc>
        <w:tc>
          <w:tcPr>
            <w:tcW w:w="890" w:type="pct"/>
            <w:vAlign w:val="center"/>
          </w:tcPr>
          <w:p w14:paraId="1D8E7F72">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护师</w:t>
            </w:r>
          </w:p>
        </w:tc>
        <w:tc>
          <w:tcPr>
            <w:tcW w:w="847" w:type="pct"/>
            <w:vAlign w:val="center"/>
          </w:tcPr>
          <w:p w14:paraId="7EBC080F">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护理专业</w:t>
            </w:r>
          </w:p>
        </w:tc>
        <w:tc>
          <w:tcPr>
            <w:tcW w:w="1163" w:type="pct"/>
            <w:vAlign w:val="center"/>
          </w:tcPr>
          <w:p w14:paraId="0E8E2AE0">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南宁市第二人民医院</w:t>
            </w:r>
          </w:p>
        </w:tc>
        <w:tc>
          <w:tcPr>
            <w:tcW w:w="1497" w:type="pct"/>
          </w:tcPr>
          <w:p w14:paraId="7F0F9DED">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r w14:paraId="17A714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603" w:type="pct"/>
            <w:vAlign w:val="center"/>
          </w:tcPr>
          <w:p w14:paraId="477C156B">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张钰滢</w:t>
            </w:r>
          </w:p>
        </w:tc>
        <w:tc>
          <w:tcPr>
            <w:tcW w:w="890" w:type="pct"/>
            <w:vAlign w:val="center"/>
          </w:tcPr>
          <w:p w14:paraId="7E4E7D90">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护士</w:t>
            </w:r>
          </w:p>
        </w:tc>
        <w:tc>
          <w:tcPr>
            <w:tcW w:w="847" w:type="pct"/>
            <w:vAlign w:val="center"/>
          </w:tcPr>
          <w:p w14:paraId="2433F965">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护理专业</w:t>
            </w:r>
          </w:p>
        </w:tc>
        <w:tc>
          <w:tcPr>
            <w:tcW w:w="1163" w:type="pct"/>
            <w:vAlign w:val="center"/>
          </w:tcPr>
          <w:p w14:paraId="78F369BC">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南宁市第二人民医院</w:t>
            </w:r>
          </w:p>
        </w:tc>
        <w:tc>
          <w:tcPr>
            <w:tcW w:w="1497" w:type="pct"/>
          </w:tcPr>
          <w:p w14:paraId="2D2C4D88">
            <w:pPr>
              <w:jc w:val="center"/>
              <w:textAlignment w:val="baseline"/>
              <w:rPr>
                <w:rFonts w:hint="eastAsia" w:ascii="仿宋_GB2312" w:hAnsi="仿宋" w:eastAsia="仿宋_GB2312"/>
                <w:color w:val="000000" w:themeColor="text1"/>
                <w:sz w:val="24"/>
                <w:szCs w:val="32"/>
                <w14:textFill>
                  <w14:solidFill>
                    <w14:schemeClr w14:val="tx1"/>
                  </w14:solidFill>
                </w14:textFill>
              </w:rPr>
            </w:pPr>
            <w:r>
              <w:rPr>
                <w:rFonts w:hint="eastAsia" w:ascii="仿宋_GB2312" w:hAnsi="仿宋" w:eastAsia="仿宋_GB2312"/>
                <w:color w:val="000000" w:themeColor="text1"/>
                <w:sz w:val="24"/>
                <w:szCs w:val="32"/>
                <w14:textFill>
                  <w14:solidFill>
                    <w14:schemeClr w14:val="tx1"/>
                  </w14:solidFill>
                </w14:textFill>
              </w:rPr>
              <w:t>查询、收集和整理资料，协助标准文本及编制说明的编写、实施。</w:t>
            </w:r>
          </w:p>
        </w:tc>
      </w:tr>
    </w:tbl>
    <w:p w14:paraId="79BF332A">
      <w:pPr>
        <w:jc w:val="center"/>
        <w:textAlignment w:val="baseline"/>
        <w:rPr>
          <w:rFonts w:hint="eastAsia" w:ascii="仿宋_GB2312" w:hAnsi="仿宋" w:eastAsia="仿宋_GB2312"/>
          <w:color w:val="000000" w:themeColor="text1"/>
          <w:sz w:val="24"/>
          <w:szCs w:val="32"/>
          <w14:textFill>
            <w14:solidFill>
              <w14:schemeClr w14:val="tx1"/>
            </w14:solidFill>
          </w14:textFill>
        </w:rPr>
      </w:pPr>
    </w:p>
    <w:p w14:paraId="371ADAA1">
      <w:pPr>
        <w:pStyle w:val="15"/>
        <w:ind w:firstLine="640" w:firstLineChars="200"/>
        <w:jc w:val="left"/>
        <w:rPr>
          <w:rFonts w:ascii="黑体" w:hAnsi="黑体" w:eastAsia="黑体"/>
          <w:b w:val="0"/>
          <w:color w:val="000000" w:themeColor="text1"/>
          <w14:textFill>
            <w14:solidFill>
              <w14:schemeClr w14:val="tx1"/>
            </w14:solidFill>
          </w14:textFill>
        </w:rPr>
      </w:pPr>
      <w:r>
        <w:rPr>
          <w:rFonts w:hint="eastAsia" w:ascii="黑体" w:hAnsi="黑体" w:eastAsia="黑体"/>
          <w:b w:val="0"/>
          <w:color w:val="000000" w:themeColor="text1"/>
          <w14:textFill>
            <w14:solidFill>
              <w14:schemeClr w14:val="tx1"/>
            </w14:solidFill>
          </w14:textFill>
        </w:rPr>
        <w:t>二、制定标准的必要性和意义</w:t>
      </w:r>
    </w:p>
    <w:p w14:paraId="1C421C72">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随着现代生活节奏的加快以及环境等多种因素的影响，不孕不育问题日益凸显。薄型子宫内膜作为导致不孕的重要因素之一，受到了广泛关注。子宫内膜是胚胎着床的关键场所，当子宫内膜厚度低于一定标准（通常≤7mm）时，被定义为薄型子宫内膜，其临床妊娠率仅为23.1％。</w:t>
      </w:r>
    </w:p>
    <w:p w14:paraId="2F49FF9B">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薄型子宫内膜针刺联合脐灸技术，是一种将针刺疗法与脐灸疗法相结合，用于改善薄型子宫内膜状况，提高子宫内膜容受性，增加受孕几率的中医特色治疗技术。针刺通过刺激特定穴位，调节人体经络气血，以达到改善子宫内膜局部血液循环、促进内膜生长的目的。如以房式调经促孕十三针为主的针刺方法，对各种原因导致的薄型子宫内膜具有一定疗效。脐灸则是利用肚脐皮肤薄、敏感度高、吸收快的特点，借助艾火的纯阳热力及药物作用，透入肌肤，刺激组织，起到调和气血、疏通经络、温肾暖宫等功效，为胚胎着床营造良好环境。针灸主要选取腹部穴位如气海、关元、双子宫等穴位，配合四肢取穴，进行针刺+艾灸治疗，以达到调冲养血，活血消炎的作用。</w:t>
      </w:r>
    </w:p>
    <w:p w14:paraId="44DFAE02">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近年来，薄型子宫内膜针刺联合脐灸技术在临床实践中逐渐得到应用和推广。许多医疗机构的中医科、生殖中心等开展了相关治疗服务。目前广西不孕症患者数量大概有180万，薄型子宫内膜患者约占3%-6%，针刺联合脐灸技术治疗薄型子宫内膜技术难度不高，安全有效，同时患者对该项技术接受度高。以南宁市第二人民医院的统计数据为例，</w:t>
      </w:r>
      <w:r>
        <w:rPr>
          <w:rFonts w:ascii="仿宋_GB2312" w:eastAsia="仿宋_GB2312"/>
          <w:color w:val="000000" w:themeColor="text1"/>
          <w:sz w:val="32"/>
          <w:szCs w:val="32"/>
          <w14:textFill>
            <w14:solidFill>
              <w14:schemeClr w14:val="tx1"/>
            </w14:solidFill>
          </w14:textFill>
        </w:rPr>
        <w:t>自2024年7月生殖中医门诊开展以来至今，</w:t>
      </w:r>
      <w:r>
        <w:rPr>
          <w:rFonts w:hint="eastAsia" w:ascii="仿宋_GB2312" w:eastAsia="仿宋_GB2312"/>
          <w:color w:val="000000" w:themeColor="text1"/>
          <w:sz w:val="32"/>
          <w:szCs w:val="32"/>
          <w14:textFill>
            <w14:solidFill>
              <w14:schemeClr w14:val="tx1"/>
            </w14:solidFill>
          </w14:textFill>
        </w:rPr>
        <w:t>接受薄型子宫内膜针刺联合脐灸治疗的患者</w:t>
      </w:r>
      <w:r>
        <w:rPr>
          <w:rFonts w:ascii="仿宋_GB2312" w:eastAsia="仿宋_GB2312"/>
          <w:color w:val="000000" w:themeColor="text1"/>
          <w:sz w:val="32"/>
          <w:szCs w:val="32"/>
          <w14:textFill>
            <w14:solidFill>
              <w14:schemeClr w14:val="tx1"/>
            </w14:solidFill>
          </w14:textFill>
        </w:rPr>
        <w:t>累计100</w:t>
      </w:r>
      <w:r>
        <w:rPr>
          <w:rFonts w:hint="eastAsia" w:ascii="仿宋_GB2312" w:eastAsia="仿宋_GB2312"/>
          <w:color w:val="000000" w:themeColor="text1"/>
          <w:sz w:val="32"/>
          <w:szCs w:val="32"/>
          <w14:textFill>
            <w14:solidFill>
              <w14:schemeClr w14:val="tx1"/>
            </w14:solidFill>
          </w14:textFill>
        </w:rPr>
        <w:t>多人次。经过针刺联合脐灸治疗后，部分患者的子宫内膜厚度得到明显增加，临床症状得到缓解，</w:t>
      </w:r>
      <w:r>
        <w:rPr>
          <w:rFonts w:ascii="仿宋_GB2312" w:eastAsia="仿宋_GB2312"/>
          <w:color w:val="000000" w:themeColor="text1"/>
          <w:sz w:val="32"/>
          <w:szCs w:val="32"/>
          <w14:textFill>
            <w14:solidFill>
              <w14:schemeClr w14:val="tx1"/>
            </w14:solidFill>
          </w14:textFill>
        </w:rPr>
        <w:t>移植成功率</w:t>
      </w:r>
      <w:r>
        <w:rPr>
          <w:rFonts w:hint="eastAsia" w:ascii="仿宋_GB2312" w:eastAsia="仿宋_GB2312"/>
          <w:color w:val="000000" w:themeColor="text1"/>
          <w:sz w:val="32"/>
          <w:szCs w:val="32"/>
          <w14:textFill>
            <w14:solidFill>
              <w14:schemeClr w14:val="tx1"/>
            </w14:solidFill>
          </w14:textFill>
        </w:rPr>
        <w:t>提高50</w:t>
      </w:r>
      <w:r>
        <w:rPr>
          <w:rFonts w:ascii="仿宋_GB2312" w:eastAsia="仿宋_GB2312"/>
          <w:color w:val="000000" w:themeColor="text1"/>
          <w:sz w:val="32"/>
          <w:szCs w:val="32"/>
          <w14:textFill>
            <w14:solidFill>
              <w14:schemeClr w14:val="tx1"/>
            </w14:solidFill>
          </w14:textFill>
        </w:rPr>
        <w:t>%</w:t>
      </w:r>
      <w:r>
        <w:rPr>
          <w:rFonts w:hint="eastAsia" w:ascii="仿宋_GB2312" w:eastAsia="仿宋_GB2312"/>
          <w:color w:val="000000" w:themeColor="text1"/>
          <w:sz w:val="32"/>
          <w:szCs w:val="32"/>
          <w14:textFill>
            <w14:solidFill>
              <w14:schemeClr w14:val="tx1"/>
            </w14:solidFill>
          </w14:textFill>
        </w:rPr>
        <w:t>。全区开展辅助生殖技术的市级医院针对不孕症患者均可运用针刺联合脐灸技术治疗薄型子宫内膜技术治疗促进子宫内膜生长，以便顺利进行胚胎移植，因此值得进一步推广及开展相关循证研究。</w:t>
      </w:r>
    </w:p>
    <w:p w14:paraId="54234E41">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通过制定团体标准《薄型子宫内膜患者针刺联合脐灸技术操作规范》，以标准为抓手，统一规范薄型子宫内膜针刺联合脐灸技术操作要求，对提高薄型子宫内膜针刺联合脐灸技术操作技术水平，进一步扩大该技术在全国的普适性、推广性，推进精准医学模式的研究与实践，巩固和发扬中医优势，助力临床医学事业高质量发展具有重要意义。</w:t>
      </w:r>
    </w:p>
    <w:p w14:paraId="697DF10C">
      <w:pPr>
        <w:autoSpaceDE w:val="0"/>
        <w:autoSpaceDN w:val="0"/>
        <w:adjustRightInd w:val="0"/>
        <w:spacing w:before="120" w:beforeLines="50" w:after="120" w:afterLines="50" w:line="560" w:lineRule="exact"/>
        <w:ind w:firstLine="640" w:firstLineChars="200"/>
        <w:outlineLvl w:val="0"/>
        <w:rPr>
          <w:rFonts w:ascii="Times New Roman" w:hAnsi="Times New Roman" w:eastAsia="黑体" w:cs="Times New Roman"/>
          <w:color w:val="000000" w:themeColor="text1"/>
          <w:sz w:val="32"/>
          <w:szCs w:val="32"/>
          <w14:textFill>
            <w14:solidFill>
              <w14:schemeClr w14:val="tx1"/>
            </w14:solidFill>
          </w14:textFill>
        </w:rPr>
      </w:pPr>
      <w:r>
        <w:rPr>
          <w:rFonts w:hint="eastAsia" w:ascii="Times New Roman" w:hAnsi="Times New Roman" w:eastAsia="黑体" w:cs="Times New Roman"/>
          <w:color w:val="000000" w:themeColor="text1"/>
          <w:sz w:val="32"/>
          <w:szCs w:val="32"/>
          <w14:textFill>
            <w14:solidFill>
              <w14:schemeClr w14:val="tx1"/>
            </w14:solidFill>
          </w14:textFill>
        </w:rPr>
        <w:t>三、主要起草过程</w:t>
      </w:r>
    </w:p>
    <w:p w14:paraId="1F95469B">
      <w:pPr>
        <w:spacing w:line="560" w:lineRule="exact"/>
        <w:ind w:firstLine="643" w:firstLineChars="200"/>
        <w:rPr>
          <w:rFonts w:ascii="楷体" w:hAnsi="楷体" w:eastAsia="楷体" w:cs="楷体"/>
          <w:b/>
          <w:color w:val="000000" w:themeColor="text1"/>
          <w:sz w:val="32"/>
          <w:szCs w:val="32"/>
          <w14:textFill>
            <w14:solidFill>
              <w14:schemeClr w14:val="tx1"/>
            </w14:solidFill>
          </w14:textFill>
        </w:rPr>
      </w:pPr>
      <w:r>
        <w:rPr>
          <w:rFonts w:hint="eastAsia" w:ascii="楷体" w:hAnsi="楷体" w:eastAsia="楷体" w:cs="楷体"/>
          <w:b/>
          <w:color w:val="000000" w:themeColor="text1"/>
          <w:sz w:val="32"/>
          <w:szCs w:val="32"/>
          <w14:textFill>
            <w14:solidFill>
              <w14:schemeClr w14:val="tx1"/>
            </w14:solidFill>
          </w14:textFill>
        </w:rPr>
        <w:t>（一）成立标准编制工作组</w:t>
      </w:r>
    </w:p>
    <w:p w14:paraId="3CC27BB4">
      <w:pPr>
        <w:spacing w:line="520" w:lineRule="exact"/>
        <w:ind w:firstLine="640" w:firstLineChars="200"/>
        <w:jc w:val="left"/>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团体标准《薄型子宫内膜患者针刺联合脐灸技术操作规范》项目任务下达后，南宁市第二人民医院、广西医科大学附属肿瘤医院、广西中医药大学第一附属医院、广西中医药大学附属瑞康医院、广西壮族自治区南溪山医院（广西壮族自治区第二人民医院）、南宁市第一人民医院、南宁市第四人民医院、南宁市第七人民医院、南宁市第八人民医院、防城港市中医医院、钦州市第一人民医院、柳州市柳江区中医医院等单位成立了标准编制工作组，制定了起草编写方案与进度安排，明确任务职责，确定工作技术路线，开展标准研制工作。具体标准编制工作由起草单位相关人员配合完成。</w:t>
      </w:r>
    </w:p>
    <w:p w14:paraId="0C10889A">
      <w:pPr>
        <w:spacing w:line="520" w:lineRule="exact"/>
        <w:ind w:firstLine="640" w:firstLineChars="200"/>
        <w:jc w:val="left"/>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为了明确标准编制的任务职责，确定工作技术路线，开展标准研制工作。编制工作组下设三个组，分别是资料收集组、草案编写组、标准实施组。</w:t>
      </w:r>
    </w:p>
    <w:p w14:paraId="7155381C">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资料收集组负责国内外有关薄型子宫内膜患者针刺联合脐灸技术相关文献资料的查询、收集和整理工作，查阅前期对薄型子宫内膜患者针刺联合脐灸技术的有关研究情况和目前医学界对薄型子宫内膜患者针刺联合脐灸技术的研究进展。</w:t>
      </w:r>
    </w:p>
    <w:p w14:paraId="6D5684E7">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草案编写组负责起草标准草案及后续征求意见稿和标准编制说明、送审稿及编制说明等编写工作，包括后期召开征求意见会、网上征求意见，以及标准的不断修改和完善。</w:t>
      </w:r>
    </w:p>
    <w:p w14:paraId="2B358024">
      <w:pPr>
        <w:spacing w:line="520" w:lineRule="exact"/>
        <w:ind w:firstLine="640" w:firstLineChars="200"/>
        <w:jc w:val="left"/>
        <w:rPr>
          <w:rFonts w:ascii="仿宋_GB2312" w:eastAsia="仿宋_GB2312" w:cs="仿宋_GB2312"/>
          <w:color w:val="000000" w:themeColor="text1"/>
          <w:sz w:val="28"/>
          <w:szCs w:val="28"/>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标准实施组负责团体标准《薄型子宫内膜患者针刺联合脐灸技术操作规范》发布后，组织相关医院、事业单位开展标准宣贯培训会，对标准进行详细解读，让相关人员了解标准，并根据标准对薄型子宫内膜患者针刺联合脐灸技术进行规范化操作，并对标准实施情况进行总结分析，不断对标准提出修正意见。</w:t>
      </w:r>
    </w:p>
    <w:p w14:paraId="3E81A00C">
      <w:pPr>
        <w:spacing w:line="560" w:lineRule="exact"/>
        <w:ind w:firstLine="643" w:firstLineChars="200"/>
        <w:rPr>
          <w:rFonts w:ascii="楷体" w:hAnsi="楷体" w:eastAsia="楷体" w:cs="楷体"/>
          <w:b/>
          <w:color w:val="000000" w:themeColor="text1"/>
          <w:sz w:val="32"/>
          <w:szCs w:val="32"/>
          <w14:textFill>
            <w14:solidFill>
              <w14:schemeClr w14:val="tx1"/>
            </w14:solidFill>
          </w14:textFill>
        </w:rPr>
      </w:pPr>
      <w:r>
        <w:rPr>
          <w:rFonts w:hint="eastAsia" w:ascii="楷体" w:hAnsi="楷体" w:eastAsia="楷体" w:cs="楷体"/>
          <w:b/>
          <w:color w:val="000000" w:themeColor="text1"/>
          <w:sz w:val="32"/>
          <w:szCs w:val="32"/>
          <w14:textFill>
            <w14:solidFill>
              <w14:schemeClr w14:val="tx1"/>
            </w14:solidFill>
          </w14:textFill>
        </w:rPr>
        <w:t>（二）收集整理文献资料</w:t>
      </w:r>
    </w:p>
    <w:p w14:paraId="0DE5C454">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标准编制工作组收集了国内有关“脐灸”“针刺</w:t>
      </w:r>
      <w:r>
        <w:rPr>
          <w:rFonts w:ascii="仿宋_GB2312" w:eastAsia="仿宋_GB2312"/>
          <w:color w:val="000000" w:themeColor="text1"/>
          <w:sz w:val="32"/>
          <w:szCs w:val="32"/>
          <w14:textFill>
            <w14:solidFill>
              <w14:schemeClr w14:val="tx1"/>
            </w14:solidFill>
          </w14:textFill>
        </w:rPr>
        <w:t xml:space="preserve"> </w:t>
      </w:r>
      <w:r>
        <w:rPr>
          <w:rFonts w:hint="eastAsia" w:ascii="仿宋_GB2312" w:eastAsia="仿宋_GB2312"/>
          <w:color w:val="000000" w:themeColor="text1"/>
          <w:sz w:val="32"/>
          <w:szCs w:val="32"/>
          <w14:textFill>
            <w14:solidFill>
              <w14:schemeClr w14:val="tx1"/>
            </w14:solidFill>
          </w14:textFill>
        </w:rPr>
        <w:t>治疗</w:t>
      </w:r>
      <w:r>
        <w:rPr>
          <w:rFonts w:ascii="仿宋_GB2312" w:eastAsia="仿宋_GB2312"/>
          <w:color w:val="000000" w:themeColor="text1"/>
          <w:sz w:val="32"/>
          <w:szCs w:val="32"/>
          <w14:textFill>
            <w14:solidFill>
              <w14:schemeClr w14:val="tx1"/>
            </w14:solidFill>
          </w14:textFill>
        </w:rPr>
        <w:t>薄型子宫内膜</w:t>
      </w:r>
      <w:r>
        <w:rPr>
          <w:rFonts w:hint="eastAsia" w:ascii="仿宋_GB2312" w:eastAsia="仿宋_GB2312"/>
          <w:color w:val="000000" w:themeColor="text1"/>
          <w:sz w:val="32"/>
          <w:szCs w:val="32"/>
          <w14:textFill>
            <w14:solidFill>
              <w14:schemeClr w14:val="tx1"/>
            </w14:solidFill>
          </w14:textFill>
        </w:rPr>
        <w:t>”的相关文献资料。主要有：</w:t>
      </w:r>
    </w:p>
    <w:p w14:paraId="42A9876F">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1</w:t>
      </w:r>
      <w:r>
        <w:rPr>
          <w:rFonts w:hint="eastAsia" w:ascii="仿宋_GB2312" w:eastAsia="仿宋_GB2312"/>
          <w:color w:val="000000" w:themeColor="text1"/>
          <w:sz w:val="32"/>
          <w:szCs w:val="32"/>
          <w14:textFill>
            <w14:solidFill>
              <w14:schemeClr w14:val="tx1"/>
            </w14:solidFill>
          </w14:textFill>
        </w:rPr>
        <w:t>]  李蕊.针刺配合隔药脐灸联合雌激素治疗薄型子宫内膜不孕症的临床研究[D].山东中医药大学,2020.</w:t>
      </w:r>
    </w:p>
    <w:p w14:paraId="7CBD7AA6">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2</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 xml:space="preserve">  </w:t>
      </w:r>
      <w:r>
        <w:rPr>
          <w:rFonts w:hint="eastAsia" w:ascii="仿宋_GB2312" w:eastAsia="仿宋_GB2312"/>
          <w:color w:val="000000" w:themeColor="text1"/>
          <w:sz w:val="32"/>
          <w:szCs w:val="32"/>
          <w14:textFill>
            <w14:solidFill>
              <w14:schemeClr w14:val="tx1"/>
            </w14:solidFill>
          </w14:textFill>
        </w:rPr>
        <w:t>张春敏,吴天思,王颖颖,等.针刺联合益气化瘀方治疗气虚血瘀型子宫内膜异位症的临床观察[J].广州中医药大学学报,2023.</w:t>
      </w:r>
    </w:p>
    <w:p w14:paraId="0C171D88">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3</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 xml:space="preserve">  </w:t>
      </w:r>
      <w:r>
        <w:rPr>
          <w:rFonts w:hint="eastAsia" w:ascii="仿宋_GB2312" w:eastAsia="仿宋_GB2312"/>
          <w:color w:val="000000" w:themeColor="text1"/>
          <w:sz w:val="32"/>
          <w:szCs w:val="32"/>
          <w14:textFill>
            <w14:solidFill>
              <w14:schemeClr w14:val="tx1"/>
            </w14:solidFill>
          </w14:textFill>
        </w:rPr>
        <w:t>祝子迎,吴慧颖,张萍,等.针刺联合西药治疗寒凝血瘀型子宫内膜异位症的临床疗效观察[J].广州中医药大学学报,2024.</w:t>
      </w:r>
    </w:p>
    <w:p w14:paraId="6DD49B2F">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4</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 xml:space="preserve">  </w:t>
      </w:r>
      <w:r>
        <w:rPr>
          <w:rFonts w:hint="eastAsia" w:ascii="仿宋_GB2312" w:eastAsia="仿宋_GB2312"/>
          <w:color w:val="000000" w:themeColor="text1"/>
          <w:sz w:val="32"/>
          <w:szCs w:val="32"/>
          <w14:textFill>
            <w14:solidFill>
              <w14:schemeClr w14:val="tx1"/>
            </w14:solidFill>
          </w14:textFill>
        </w:rPr>
        <w:t>高志云,高修安,苏文武,等.针刺结合中药周期疗法对薄型子宫内膜的影响研究[J].中国处方药,2018.</w:t>
      </w:r>
    </w:p>
    <w:p w14:paraId="10523D6F">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5</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 xml:space="preserve">  </w:t>
      </w:r>
      <w:r>
        <w:rPr>
          <w:rFonts w:hint="eastAsia" w:ascii="仿宋_GB2312" w:eastAsia="仿宋_GB2312"/>
          <w:color w:val="000000" w:themeColor="text1"/>
          <w:sz w:val="32"/>
          <w:szCs w:val="32"/>
          <w14:textFill>
            <w14:solidFill>
              <w14:schemeClr w14:val="tx1"/>
            </w14:solidFill>
          </w14:textFill>
        </w:rPr>
        <w:t>王永钊.针刺结合中药人工周期疗法治疗薄型子宫内膜的效果[J].中外医药研究,2024.</w:t>
      </w:r>
    </w:p>
    <w:p w14:paraId="3E0B7968">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6</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 xml:space="preserve">  </w:t>
      </w:r>
      <w:r>
        <w:rPr>
          <w:rFonts w:hint="eastAsia" w:ascii="仿宋_GB2312" w:eastAsia="仿宋_GB2312"/>
          <w:color w:val="000000" w:themeColor="text1"/>
          <w:sz w:val="32"/>
          <w:szCs w:val="32"/>
          <w14:textFill>
            <w14:solidFill>
              <w14:schemeClr w14:val="tx1"/>
            </w14:solidFill>
          </w14:textFill>
        </w:rPr>
        <w:t>蒲晓纯,周晓红,苏爱芳,等.右归丸加五子衍宗丸联合西药治疗薄型子宫内膜不孕症临床研究[J].新中医,2025.</w:t>
      </w:r>
    </w:p>
    <w:p w14:paraId="593D5974">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7</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 xml:space="preserve">  </w:t>
      </w:r>
      <w:r>
        <w:rPr>
          <w:rFonts w:hint="eastAsia" w:ascii="仿宋_GB2312" w:eastAsia="仿宋_GB2312"/>
          <w:color w:val="000000" w:themeColor="text1"/>
          <w:sz w:val="32"/>
          <w:szCs w:val="32"/>
          <w14:textFill>
            <w14:solidFill>
              <w14:schemeClr w14:val="tx1"/>
            </w14:solidFill>
          </w14:textFill>
        </w:rPr>
        <w:t>王婷婷,康佳,马丽然,等.康佳针药联合治疗薄型子宫内膜的临床观察[J].中国中医基础医学杂志,2025.</w:t>
      </w:r>
    </w:p>
    <w:p w14:paraId="219DACB5">
      <w:pPr>
        <w:spacing w:line="560" w:lineRule="exact"/>
        <w:ind w:firstLine="643" w:firstLineChars="200"/>
        <w:rPr>
          <w:rFonts w:ascii="楷体" w:hAnsi="楷体" w:eastAsia="楷体" w:cs="楷体"/>
          <w:b/>
          <w:color w:val="000000" w:themeColor="text1"/>
          <w:sz w:val="32"/>
          <w:szCs w:val="32"/>
          <w14:textFill>
            <w14:solidFill>
              <w14:schemeClr w14:val="tx1"/>
            </w14:solidFill>
          </w14:textFill>
        </w:rPr>
      </w:pPr>
      <w:r>
        <w:rPr>
          <w:rFonts w:hint="eastAsia" w:ascii="楷体" w:hAnsi="楷体" w:eastAsia="楷体" w:cs="楷体"/>
          <w:b/>
          <w:color w:val="000000" w:themeColor="text1"/>
          <w:sz w:val="32"/>
          <w:szCs w:val="32"/>
          <w14:textFill>
            <w14:solidFill>
              <w14:schemeClr w14:val="tx1"/>
            </w14:solidFill>
          </w14:textFill>
        </w:rPr>
        <w:t>（三）研讨确定标准特色</w:t>
      </w:r>
      <w:r>
        <w:rPr>
          <w:rFonts w:ascii="楷体" w:hAnsi="楷体" w:eastAsia="楷体" w:cs="楷体"/>
          <w:b/>
          <w:color w:val="000000" w:themeColor="text1"/>
          <w:sz w:val="32"/>
          <w:szCs w:val="32"/>
          <w14:textFill>
            <w14:solidFill>
              <w14:schemeClr w14:val="tx1"/>
            </w14:solidFill>
          </w14:textFill>
        </w:rPr>
        <w:t>、</w:t>
      </w:r>
      <w:r>
        <w:rPr>
          <w:rFonts w:hint="eastAsia" w:ascii="楷体" w:hAnsi="楷体" w:eastAsia="楷体" w:cs="楷体"/>
          <w:b/>
          <w:color w:val="000000" w:themeColor="text1"/>
          <w:sz w:val="32"/>
          <w:szCs w:val="32"/>
          <w14:textFill>
            <w14:solidFill>
              <w14:schemeClr w14:val="tx1"/>
            </w14:solidFill>
          </w14:textFill>
        </w:rPr>
        <w:t>创新点和主体内容</w:t>
      </w:r>
    </w:p>
    <w:p w14:paraId="38F74F01">
      <w:pPr>
        <w:pStyle w:val="34"/>
        <w:rPr>
          <w:rFonts w:ascii="仿宋_GB2312" w:eastAsia="仿宋_GB2312"/>
          <w:color w:val="000000" w:themeColor="text1"/>
          <w14:textFill>
            <w14:solidFill>
              <w14:schemeClr w14:val="tx1"/>
            </w14:solidFill>
          </w14:textFill>
        </w:rPr>
      </w:pPr>
      <w:r>
        <w:rPr>
          <w:rFonts w:hint="eastAsia" w:ascii="仿宋_GB2312" w:eastAsia="仿宋_GB2312"/>
          <w:color w:val="000000" w:themeColor="text1"/>
          <w14:textFill>
            <w14:solidFill>
              <w14:schemeClr w14:val="tx1"/>
            </w14:solidFill>
          </w14:textFill>
        </w:rPr>
        <w:t>标准编制工作组在对收集的资料进行整理研究之后，标准编制工作组召开了标准编制会议，对标准的整体框架结构进行了研究，并对标准的关键性内容进行了初步探讨。经过研究，标准特色、创新点和主体内容如下</w:t>
      </w:r>
      <w:r>
        <w:rPr>
          <w:rFonts w:ascii="仿宋_GB2312" w:eastAsia="仿宋_GB2312"/>
          <w:color w:val="000000" w:themeColor="text1"/>
          <w14:textFill>
            <w14:solidFill>
              <w14:schemeClr w14:val="tx1"/>
            </w14:solidFill>
          </w14:textFill>
        </w:rPr>
        <w:t>：</w:t>
      </w:r>
    </w:p>
    <w:p w14:paraId="029EBC7F">
      <w:pPr>
        <w:pStyle w:val="34"/>
        <w:rPr>
          <w:rFonts w:ascii="仿宋_GB2312" w:eastAsia="仿宋_GB2312"/>
          <w:color w:val="000000" w:themeColor="text1"/>
          <w14:textFill>
            <w14:solidFill>
              <w14:schemeClr w14:val="tx1"/>
            </w14:solidFill>
          </w14:textFill>
        </w:rPr>
      </w:pPr>
      <w:r>
        <w:rPr>
          <w:rFonts w:ascii="仿宋_GB2312" w:eastAsia="仿宋_GB2312"/>
          <w:color w:val="000000" w:themeColor="text1"/>
          <w14:textFill>
            <w14:solidFill>
              <w14:schemeClr w14:val="tx1"/>
            </w14:solidFill>
          </w14:textFill>
        </w:rPr>
        <w:t>1.</w:t>
      </w:r>
      <w:r>
        <w:rPr>
          <w:rFonts w:hint="eastAsia" w:ascii="仿宋_GB2312" w:eastAsia="仿宋_GB2312"/>
          <w:color w:val="000000" w:themeColor="text1"/>
          <w14:textFill>
            <w14:solidFill>
              <w14:schemeClr w14:val="tx1"/>
            </w14:solidFill>
          </w14:textFill>
        </w:rPr>
        <w:t>特色</w:t>
      </w:r>
    </w:p>
    <w:p w14:paraId="1EB21387">
      <w:pPr>
        <w:pStyle w:val="34"/>
        <w:rPr>
          <w:rFonts w:ascii="仿宋_GB2312" w:eastAsia="仿宋_GB2312"/>
          <w:color w:val="000000" w:themeColor="text1"/>
          <w14:textFill>
            <w14:solidFill>
              <w14:schemeClr w14:val="tx1"/>
            </w14:solidFill>
          </w14:textFill>
        </w:rPr>
      </w:pPr>
      <w:r>
        <w:rPr>
          <w:rFonts w:hint="eastAsia" w:ascii="仿宋_GB2312" w:eastAsia="仿宋_GB2312"/>
          <w:color w:val="000000" w:themeColor="text1"/>
          <w14:textFill>
            <w14:solidFill>
              <w14:schemeClr w14:val="tx1"/>
            </w14:solidFill>
          </w14:textFill>
        </w:rPr>
        <w:t>以针刺联合脐灸为核心技术，结合中医辨证分型与现代医学评估标准（如超声测量内膜厚度），形成“中医辨证-技术操作-疗效评估”的完整体系。将薄型子宫内膜分为7种中医证型（肾虚、脾虚、血虚、血瘀、痰湿阻滞、肝气郁结、血寒），每种证型明确主症、兼症及舌脉特征，为个体化治疗提供精准依据。肾虚证进一步细分为肾阴虚、肾阳虚、肾气虚，对应不同治法与方药，体现“辨证论治”的中医特色。众多中医妇科临床实践表明，针刺与脐灸单独应用对改善女性生殖系统功能有一定效果，如调节月经周期、缓解痛经等。在此基础上，将两者联合应用于薄型子宫内膜治疗，经临床观察，能更有效地改善子宫内膜血运及厚度，为制定本操作规范的基本要求提供了实践依据。</w:t>
      </w:r>
    </w:p>
    <w:p w14:paraId="30A3EF26">
      <w:pPr>
        <w:pStyle w:val="34"/>
        <w:rPr>
          <w:rFonts w:ascii="仿宋_GB2312" w:eastAsia="仿宋_GB2312"/>
          <w:color w:val="000000" w:themeColor="text1"/>
          <w14:textFill>
            <w14:solidFill>
              <w14:schemeClr w14:val="tx1"/>
            </w14:solidFill>
          </w14:textFill>
        </w:rPr>
      </w:pPr>
      <w:r>
        <w:rPr>
          <w:rFonts w:hint="eastAsia" w:ascii="仿宋_GB2312" w:eastAsia="仿宋_GB2312"/>
          <w:color w:val="000000" w:themeColor="text1"/>
          <w14:textFill>
            <w14:solidFill>
              <w14:schemeClr w14:val="tx1"/>
            </w14:solidFill>
          </w14:textFill>
        </w:rPr>
        <w:t>2.创新点</w:t>
      </w:r>
    </w:p>
    <w:p w14:paraId="1C1A4BC4">
      <w:pPr>
        <w:pStyle w:val="34"/>
        <w:rPr>
          <w:rFonts w:ascii="仿宋_GB2312" w:eastAsia="仿宋_GB2312"/>
          <w:color w:val="000000" w:themeColor="text1"/>
          <w14:textFill>
            <w14:solidFill>
              <w14:schemeClr w14:val="tx1"/>
            </w14:solidFill>
          </w14:textFill>
        </w:rPr>
      </w:pPr>
      <w:r>
        <w:rPr>
          <w:rFonts w:hint="eastAsia" w:ascii="仿宋_GB2312" w:eastAsia="仿宋_GB2312"/>
          <w:color w:val="000000" w:themeColor="text1"/>
          <w14:textFill>
            <w14:solidFill>
              <w14:schemeClr w14:val="tx1"/>
            </w14:solidFill>
          </w14:textFill>
        </w:rPr>
        <w:t>将针刺与脐灸联合应用于薄型子宫内膜治疗，并制定“先针刺后脐灸，隔日1次，10次1疗程”的标准化操作流程，突破单一疗法的局限性。在针刺操作</w:t>
      </w:r>
      <w:r>
        <w:rPr>
          <w:rFonts w:ascii="仿宋_GB2312" w:eastAsia="仿宋_GB2312"/>
          <w:color w:val="000000" w:themeColor="text1"/>
          <w14:textFill>
            <w14:solidFill>
              <w14:schemeClr w14:val="tx1"/>
            </w14:solidFill>
          </w14:textFill>
        </w:rPr>
        <w:t>中，将操作</w:t>
      </w:r>
      <w:r>
        <w:rPr>
          <w:rFonts w:hint="eastAsia" w:ascii="仿宋_GB2312" w:eastAsia="仿宋_GB2312"/>
          <w:color w:val="000000" w:themeColor="text1"/>
          <w14:textFill>
            <w14:solidFill>
              <w14:schemeClr w14:val="tx1"/>
            </w14:solidFill>
          </w14:textFill>
        </w:rPr>
        <w:t>手法量化。如关元穴直刺 1～1.5寸行捻转补法，三阴交穴斜刺1～1.5寸采用“先补后泻” 手法，使中医技术操作可复制、可推广。建立“证型-配穴-方药”对应体系：如脾虚证配足三里、中脘穴，联合参苓白术散制备脐灸粉；血瘀证配血海、地机穴，联合膈下逐瘀汤方药，实现“方随证立、穴随</w:t>
      </w:r>
      <w:r>
        <w:rPr>
          <w:rFonts w:ascii="仿宋_GB2312" w:eastAsia="仿宋_GB2312"/>
          <w:color w:val="000000" w:themeColor="text1"/>
          <w14:textFill>
            <w14:solidFill>
              <w14:schemeClr w14:val="tx1"/>
            </w14:solidFill>
          </w14:textFill>
        </w:rPr>
        <w:t>证</w:t>
      </w:r>
      <w:r>
        <w:rPr>
          <w:rFonts w:hint="eastAsia" w:ascii="仿宋_GB2312" w:eastAsia="仿宋_GB2312"/>
          <w:color w:val="000000" w:themeColor="text1"/>
          <w14:textFill>
            <w14:solidFill>
              <w14:schemeClr w14:val="tx1"/>
            </w14:solidFill>
          </w14:textFill>
        </w:rPr>
        <w:t>选”。</w:t>
      </w:r>
    </w:p>
    <w:p w14:paraId="37D95234">
      <w:pPr>
        <w:pStyle w:val="34"/>
        <w:rPr>
          <w:rFonts w:ascii="仿宋_GB2312" w:eastAsia="仿宋_GB2312"/>
          <w:color w:val="000000" w:themeColor="text1"/>
          <w14:textFill>
            <w14:solidFill>
              <w14:schemeClr w14:val="tx1"/>
            </w14:solidFill>
          </w14:textFill>
        </w:rPr>
      </w:pPr>
      <w:r>
        <w:rPr>
          <w:rFonts w:ascii="仿宋_GB2312" w:eastAsia="仿宋_GB2312"/>
          <w:color w:val="000000" w:themeColor="text1"/>
          <w14:textFill>
            <w14:solidFill>
              <w14:schemeClr w14:val="tx1"/>
            </w14:solidFill>
          </w14:textFill>
        </w:rPr>
        <w:t>3</w:t>
      </w:r>
      <w:r>
        <w:rPr>
          <w:rFonts w:hint="eastAsia" w:ascii="仿宋_GB2312" w:eastAsia="仿宋_GB2312"/>
          <w:color w:val="000000" w:themeColor="text1"/>
          <w14:textFill>
            <w14:solidFill>
              <w14:schemeClr w14:val="tx1"/>
            </w14:solidFill>
          </w14:textFill>
        </w:rPr>
        <w:t>.主体内容</w:t>
      </w:r>
    </w:p>
    <w:p w14:paraId="273370FB">
      <w:pPr>
        <w:pStyle w:val="34"/>
        <w:rPr>
          <w:rFonts w:ascii="仿宋_GB2312" w:eastAsia="仿宋_GB2312"/>
          <w:color w:val="000000" w:themeColor="text1"/>
          <w14:textFill>
            <w14:solidFill>
              <w14:schemeClr w14:val="tx1"/>
            </w14:solidFill>
          </w14:textFill>
        </w:rPr>
      </w:pPr>
      <w:r>
        <w:rPr>
          <w:rFonts w:hint="eastAsia" w:ascii="仿宋_GB2312" w:hAnsi="Calibri" w:eastAsia="仿宋_GB2312"/>
          <w:color w:val="000000" w:themeColor="text1"/>
          <w14:textFill>
            <w14:solidFill>
              <w14:schemeClr w14:val="tx1"/>
            </w14:solidFill>
          </w14:textFill>
        </w:rPr>
        <w:t>团体标准《薄型子宫内膜患者针刺联合脐灸技术操作规范》主要内容包括术语</w:t>
      </w:r>
      <w:r>
        <w:rPr>
          <w:rFonts w:ascii="仿宋_GB2312" w:hAnsi="Calibri" w:eastAsia="仿宋_GB2312"/>
          <w:color w:val="000000" w:themeColor="text1"/>
          <w14:textFill>
            <w14:solidFill>
              <w14:schemeClr w14:val="tx1"/>
            </w14:solidFill>
          </w14:textFill>
        </w:rPr>
        <w:t>和定义、</w:t>
      </w:r>
      <w:r>
        <w:rPr>
          <w:rFonts w:hint="eastAsia" w:ascii="仿宋_GB2312" w:hAnsi="Calibri" w:eastAsia="仿宋_GB2312"/>
          <w:color w:val="000000" w:themeColor="text1"/>
          <w14:textFill>
            <w14:solidFill>
              <w14:schemeClr w14:val="tx1"/>
            </w14:solidFill>
          </w14:textFill>
        </w:rPr>
        <w:t>基本要求、中医辨证分型、施术前准备、施术方法、施术后处理、注意事项、日常调护等内容。</w:t>
      </w:r>
    </w:p>
    <w:p w14:paraId="7B8209B9">
      <w:pPr>
        <w:spacing w:line="560" w:lineRule="exact"/>
        <w:ind w:firstLine="643" w:firstLineChars="200"/>
        <w:rPr>
          <w:rFonts w:ascii="楷体" w:hAnsi="楷体" w:eastAsia="楷体" w:cs="楷体"/>
          <w:b/>
          <w:color w:val="000000" w:themeColor="text1"/>
          <w:sz w:val="32"/>
          <w:szCs w:val="32"/>
          <w14:textFill>
            <w14:solidFill>
              <w14:schemeClr w14:val="tx1"/>
            </w14:solidFill>
          </w14:textFill>
        </w:rPr>
      </w:pPr>
      <w:r>
        <w:rPr>
          <w:rFonts w:hint="eastAsia" w:ascii="楷体" w:hAnsi="楷体" w:eastAsia="楷体" w:cs="楷体"/>
          <w:b/>
          <w:color w:val="000000" w:themeColor="text1"/>
          <w:sz w:val="32"/>
          <w:szCs w:val="32"/>
          <w14:textFill>
            <w14:solidFill>
              <w14:schemeClr w14:val="tx1"/>
            </w14:solidFill>
          </w14:textFill>
        </w:rPr>
        <w:t>（四）立项、调研及形成草案、征求意见稿</w:t>
      </w:r>
    </w:p>
    <w:p w14:paraId="46BBF56B">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202</w:t>
      </w:r>
      <w:r>
        <w:rPr>
          <w:rFonts w:ascii="仿宋_GB2312" w:eastAsia="仿宋_GB2312"/>
          <w:color w:val="000000" w:themeColor="text1"/>
          <w:sz w:val="32"/>
          <w:szCs w:val="32"/>
          <w14:textFill>
            <w14:solidFill>
              <w14:schemeClr w14:val="tx1"/>
            </w14:solidFill>
          </w14:textFill>
        </w:rPr>
        <w:t>5</w:t>
      </w:r>
      <w:r>
        <w:rPr>
          <w:rFonts w:hint="eastAsia" w:ascii="仿宋_GB2312" w:eastAsia="仿宋_GB2312"/>
          <w:color w:val="000000" w:themeColor="text1"/>
          <w:sz w:val="32"/>
          <w:szCs w:val="32"/>
          <w14:textFill>
            <w14:solidFill>
              <w14:schemeClr w14:val="tx1"/>
            </w14:solidFill>
          </w14:textFill>
        </w:rPr>
        <w:t>年</w:t>
      </w:r>
      <w:r>
        <w:rPr>
          <w:rFonts w:ascii="仿宋_GB2312" w:eastAsia="仿宋_GB2312"/>
          <w:color w:val="000000" w:themeColor="text1"/>
          <w:sz w:val="32"/>
          <w:szCs w:val="32"/>
          <w14:textFill>
            <w14:solidFill>
              <w14:schemeClr w14:val="tx1"/>
            </w14:solidFill>
          </w14:textFill>
        </w:rPr>
        <w:t>3</w:t>
      </w:r>
      <w:r>
        <w:rPr>
          <w:rFonts w:hint="eastAsia" w:ascii="仿宋_GB2312" w:eastAsia="仿宋_GB2312"/>
          <w:color w:val="000000" w:themeColor="text1"/>
          <w:sz w:val="32"/>
          <w:szCs w:val="32"/>
          <w14:textFill>
            <w14:solidFill>
              <w14:schemeClr w14:val="tx1"/>
            </w14:solidFill>
          </w14:textFill>
        </w:rPr>
        <w:t>月，标准编制工作组查阅了大量的国内文献资料，经编制组反复讨论，对薄型子宫内膜患者针刺联合脐灸技术的实践情况进行系统总结，形成了标准的基本构架，对主要内容进行了讨论并对项目的工作进行了部署和安排。</w:t>
      </w:r>
    </w:p>
    <w:p w14:paraId="33C2E369">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202</w:t>
      </w:r>
      <w:r>
        <w:rPr>
          <w:rFonts w:ascii="仿宋_GB2312" w:eastAsia="仿宋_GB2312"/>
          <w:color w:val="000000" w:themeColor="text1"/>
          <w:sz w:val="32"/>
          <w:szCs w:val="32"/>
          <w14:textFill>
            <w14:solidFill>
              <w14:schemeClr w14:val="tx1"/>
            </w14:solidFill>
          </w14:textFill>
        </w:rPr>
        <w:t>5</w:t>
      </w:r>
      <w:r>
        <w:rPr>
          <w:rFonts w:hint="eastAsia" w:ascii="仿宋_GB2312" w:eastAsia="仿宋_GB2312"/>
          <w:color w:val="000000" w:themeColor="text1"/>
          <w:sz w:val="32"/>
          <w:szCs w:val="32"/>
          <w14:textFill>
            <w14:solidFill>
              <w14:schemeClr w14:val="tx1"/>
            </w14:solidFill>
          </w14:textFill>
        </w:rPr>
        <w:t>年</w:t>
      </w:r>
      <w:r>
        <w:rPr>
          <w:rFonts w:ascii="仿宋_GB2312" w:eastAsia="仿宋_GB2312"/>
          <w:color w:val="000000" w:themeColor="text1"/>
          <w:sz w:val="32"/>
          <w:szCs w:val="32"/>
          <w14:textFill>
            <w14:solidFill>
              <w14:schemeClr w14:val="tx1"/>
            </w14:solidFill>
          </w14:textFill>
        </w:rPr>
        <w:t>3</w:t>
      </w:r>
      <w:r>
        <w:rPr>
          <w:rFonts w:hint="eastAsia" w:ascii="仿宋_GB2312" w:eastAsia="仿宋_GB2312"/>
          <w:color w:val="000000" w:themeColor="text1"/>
          <w:sz w:val="32"/>
          <w:szCs w:val="32"/>
          <w14:textFill>
            <w14:solidFill>
              <w14:schemeClr w14:val="tx1"/>
            </w14:solidFill>
          </w14:textFill>
        </w:rPr>
        <w:t>月～</w:t>
      </w:r>
      <w:r>
        <w:rPr>
          <w:rFonts w:ascii="仿宋_GB2312" w:eastAsia="仿宋_GB2312"/>
          <w:color w:val="000000" w:themeColor="text1"/>
          <w:sz w:val="32"/>
          <w:szCs w:val="32"/>
          <w14:textFill>
            <w14:solidFill>
              <w14:schemeClr w14:val="tx1"/>
            </w14:solidFill>
          </w14:textFill>
        </w:rPr>
        <w:t>4</w:t>
      </w:r>
      <w:r>
        <w:rPr>
          <w:rFonts w:hint="eastAsia" w:ascii="仿宋_GB2312" w:eastAsia="仿宋_GB2312"/>
          <w:color w:val="000000" w:themeColor="text1"/>
          <w:sz w:val="32"/>
          <w:szCs w:val="32"/>
          <w14:textFill>
            <w14:solidFill>
              <w14:schemeClr w14:val="tx1"/>
            </w14:solidFill>
          </w14:textFill>
        </w:rPr>
        <w:t>月，在前期工作的基础之上，通过理清逻辑脉络，整合已有参考资料中有关薄型子宫内膜患者针刺联合脐灸技术的要求，并在目前薄型子宫内膜患者针刺联合脐灸技术实际操作的基础上，按照简化、统一等原则编制完成团体标准《薄型子宫内膜患者针刺联合脐灸技术操作规范》（草案）。</w:t>
      </w:r>
    </w:p>
    <w:p w14:paraId="569B0F4E">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202</w:t>
      </w:r>
      <w:r>
        <w:rPr>
          <w:rFonts w:ascii="仿宋_GB2312" w:eastAsia="仿宋_GB2312"/>
          <w:color w:val="000000" w:themeColor="text1"/>
          <w:sz w:val="32"/>
          <w:szCs w:val="32"/>
          <w14:textFill>
            <w14:solidFill>
              <w14:schemeClr w14:val="tx1"/>
            </w14:solidFill>
          </w14:textFill>
        </w:rPr>
        <w:t>5</w:t>
      </w:r>
      <w:r>
        <w:rPr>
          <w:rFonts w:hint="eastAsia" w:ascii="仿宋_GB2312" w:eastAsia="仿宋_GB2312"/>
          <w:color w:val="000000" w:themeColor="text1"/>
          <w:sz w:val="32"/>
          <w:szCs w:val="32"/>
          <w14:textFill>
            <w14:solidFill>
              <w14:schemeClr w14:val="tx1"/>
            </w14:solidFill>
          </w14:textFill>
        </w:rPr>
        <w:t>年</w:t>
      </w:r>
      <w:r>
        <w:rPr>
          <w:rFonts w:ascii="仿宋_GB2312" w:eastAsia="仿宋_GB2312"/>
          <w:color w:val="000000" w:themeColor="text1"/>
          <w:sz w:val="32"/>
          <w:szCs w:val="32"/>
          <w14:textFill>
            <w14:solidFill>
              <w14:schemeClr w14:val="tx1"/>
            </w14:solidFill>
          </w14:textFill>
        </w:rPr>
        <w:t>5</w:t>
      </w:r>
      <w:r>
        <w:rPr>
          <w:rFonts w:hint="eastAsia" w:ascii="仿宋_GB2312" w:eastAsia="仿宋_GB2312"/>
          <w:color w:val="000000" w:themeColor="text1"/>
          <w:sz w:val="32"/>
          <w:szCs w:val="32"/>
          <w14:textFill>
            <w14:solidFill>
              <w14:schemeClr w14:val="tx1"/>
            </w14:solidFill>
          </w14:textFill>
        </w:rPr>
        <w:t>月～</w:t>
      </w:r>
      <w:r>
        <w:rPr>
          <w:rFonts w:ascii="仿宋_GB2312" w:eastAsia="仿宋_GB2312"/>
          <w:color w:val="000000" w:themeColor="text1"/>
          <w:sz w:val="32"/>
          <w:szCs w:val="32"/>
          <w14:textFill>
            <w14:solidFill>
              <w14:schemeClr w14:val="tx1"/>
            </w14:solidFill>
          </w14:textFill>
        </w:rPr>
        <w:t>6</w:t>
      </w:r>
      <w:r>
        <w:rPr>
          <w:rFonts w:hint="eastAsia" w:ascii="仿宋_GB2312" w:eastAsia="仿宋_GB2312"/>
          <w:color w:val="000000" w:themeColor="text1"/>
          <w:sz w:val="32"/>
          <w:szCs w:val="32"/>
          <w14:textFill>
            <w14:solidFill>
              <w14:schemeClr w14:val="tx1"/>
            </w14:solidFill>
          </w14:textFill>
        </w:rPr>
        <w:t>月，标准编制工作组再次组织</w:t>
      </w:r>
      <w:r>
        <w:rPr>
          <w:rFonts w:ascii="仿宋_GB2312" w:eastAsia="仿宋_GB2312"/>
          <w:color w:val="000000" w:themeColor="text1"/>
          <w:sz w:val="32"/>
          <w:szCs w:val="32"/>
          <w14:textFill>
            <w14:solidFill>
              <w14:schemeClr w14:val="tx1"/>
            </w14:solidFill>
          </w14:textFill>
        </w:rPr>
        <w:t>相关起草单位</w:t>
      </w:r>
      <w:r>
        <w:rPr>
          <w:rFonts w:hint="eastAsia" w:ascii="仿宋_GB2312" w:eastAsia="仿宋_GB2312"/>
          <w:color w:val="000000" w:themeColor="text1"/>
          <w:sz w:val="32"/>
          <w:szCs w:val="32"/>
          <w14:textFill>
            <w14:solidFill>
              <w14:schemeClr w14:val="tx1"/>
            </w14:solidFill>
          </w14:textFill>
        </w:rPr>
        <w:t>开展讨论会（见</w:t>
      </w:r>
      <w:r>
        <w:rPr>
          <w:rFonts w:ascii="仿宋_GB2312" w:eastAsia="仿宋_GB2312"/>
          <w:color w:val="000000" w:themeColor="text1"/>
          <w:sz w:val="32"/>
          <w:szCs w:val="32"/>
          <w14:textFill>
            <w14:solidFill>
              <w14:schemeClr w14:val="tx1"/>
            </w14:solidFill>
          </w14:textFill>
        </w:rPr>
        <w:t>图</w:t>
      </w:r>
      <w:r>
        <w:rPr>
          <w:rFonts w:hint="eastAsia" w:ascii="仿宋_GB2312" w:eastAsia="仿宋_GB2312"/>
          <w:color w:val="000000" w:themeColor="text1"/>
          <w:sz w:val="32"/>
          <w:szCs w:val="32"/>
          <w14:textFill>
            <w14:solidFill>
              <w14:schemeClr w14:val="tx1"/>
            </w14:solidFill>
          </w14:textFill>
        </w:rPr>
        <w:t>1），并实际征相关起草单位的内部意见，通过收集反馈了大量意见，对标准草案进行了反复修改和研究讨论，明确薄型子宫内膜患者针刺联合脐灸技术的要点，掌握了薄型子宫内膜患者针刺联合脐灸技术的基本情况以及要求，最终形成了</w:t>
      </w:r>
      <w:bookmarkStart w:id="0" w:name="_Hlk120181503"/>
      <w:r>
        <w:rPr>
          <w:rFonts w:hint="eastAsia" w:ascii="仿宋_GB2312" w:eastAsia="仿宋_GB2312"/>
          <w:color w:val="000000" w:themeColor="text1"/>
          <w:sz w:val="32"/>
          <w:szCs w:val="32"/>
          <w14:textFill>
            <w14:solidFill>
              <w14:schemeClr w14:val="tx1"/>
            </w14:solidFill>
          </w14:textFill>
        </w:rPr>
        <w:t>团体标准《薄型子宫内膜患者针刺联合脐灸技术操作规范》（征求意见稿）及其编制说明。</w:t>
      </w:r>
      <w:bookmarkEnd w:id="0"/>
    </w:p>
    <w:p w14:paraId="6B305A78">
      <w:pPr>
        <w:spacing w:line="520" w:lineRule="exact"/>
        <w:ind w:firstLine="640" w:firstLineChars="200"/>
        <w:rPr>
          <w:rFonts w:ascii="仿宋_GB2312" w:eastAsia="仿宋_GB2312"/>
          <w:color w:val="000000" w:themeColor="text1"/>
          <w:sz w:val="32"/>
          <w:szCs w:val="32"/>
          <w14:textFill>
            <w14:solidFill>
              <w14:schemeClr w14:val="tx1"/>
            </w14:solidFill>
          </w14:textFill>
        </w:rPr>
      </w:pPr>
    </w:p>
    <w:p w14:paraId="15A70D36">
      <w:pPr>
        <w:pStyle w:val="26"/>
        <w:rPr>
          <w:color w:val="000000" w:themeColor="text1"/>
          <w14:textFill>
            <w14:solidFill>
              <w14:schemeClr w14:val="tx1"/>
            </w14:solidFill>
          </w14:textFill>
        </w:rPr>
      </w:pPr>
    </w:p>
    <w:tbl>
      <w:tblPr>
        <w:tblStyle w:val="18"/>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539"/>
        <w:gridCol w:w="4635"/>
      </w:tblGrid>
      <w:tr w14:paraId="421D60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587" w:type="dxa"/>
          </w:tcPr>
          <w:p w14:paraId="44B29D58">
            <w:p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766695" cy="1574165"/>
                  <wp:effectExtent l="0" t="0" r="0"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2766971" cy="1574684"/>
                          </a:xfrm>
                          <a:prstGeom prst="rect">
                            <a:avLst/>
                          </a:prstGeom>
                        </pic:spPr>
                      </pic:pic>
                    </a:graphicData>
                  </a:graphic>
                </wp:inline>
              </w:drawing>
            </w:r>
          </w:p>
        </w:tc>
        <w:tc>
          <w:tcPr>
            <w:tcW w:w="4587" w:type="dxa"/>
          </w:tcPr>
          <w:p w14:paraId="134B12D0">
            <w:p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828290" cy="1558290"/>
                  <wp:effectExtent l="0" t="0" r="0"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2828661" cy="1558637"/>
                          </a:xfrm>
                          <a:prstGeom prst="rect">
                            <a:avLst/>
                          </a:prstGeom>
                        </pic:spPr>
                      </pic:pic>
                    </a:graphicData>
                  </a:graphic>
                </wp:inline>
              </w:drawing>
            </w:r>
          </w:p>
        </w:tc>
      </w:tr>
      <w:tr w14:paraId="11F351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74" w:type="dxa"/>
            <w:gridSpan w:val="2"/>
          </w:tcPr>
          <w:p w14:paraId="7C1A2466">
            <w:pPr>
              <w:spacing w:line="520" w:lineRule="exact"/>
              <w:jc w:val="center"/>
              <w:rPr>
                <w:rFonts w:ascii="仿宋_GB2312" w:eastAsia="仿宋_GB2312"/>
                <w:color w:val="000000" w:themeColor="text1"/>
                <w14:textFill>
                  <w14:solidFill>
                    <w14:schemeClr w14:val="tx1"/>
                  </w14:solidFill>
                </w14:textFill>
              </w:rPr>
            </w:pPr>
            <w:r>
              <w:rPr>
                <w:rFonts w:hint="eastAsia" w:ascii="仿宋_GB2312" w:eastAsia="仿宋_GB2312"/>
                <w:color w:val="000000" w:themeColor="text1"/>
                <w:szCs w:val="32"/>
                <w14:textFill>
                  <w14:solidFill>
                    <w14:schemeClr w14:val="tx1"/>
                  </w14:solidFill>
                </w14:textFill>
              </w:rPr>
              <w:t>图1  起草编制组开展项目研讨会</w:t>
            </w:r>
          </w:p>
        </w:tc>
      </w:tr>
    </w:tbl>
    <w:p w14:paraId="3E8FF2B2">
      <w:pPr>
        <w:autoSpaceDE w:val="0"/>
        <w:autoSpaceDN w:val="0"/>
        <w:adjustRightInd w:val="0"/>
        <w:spacing w:before="120" w:beforeLines="50" w:after="120" w:afterLines="50" w:line="560" w:lineRule="exact"/>
        <w:ind w:firstLine="640" w:firstLineChars="200"/>
        <w:outlineLvl w:val="0"/>
        <w:rPr>
          <w:rFonts w:ascii="Times New Roman" w:hAnsi="Times New Roman" w:eastAsia="黑体" w:cs="Times New Roman"/>
          <w:color w:val="000000" w:themeColor="text1"/>
          <w:sz w:val="32"/>
          <w:szCs w:val="32"/>
          <w14:textFill>
            <w14:solidFill>
              <w14:schemeClr w14:val="tx1"/>
            </w14:solidFill>
          </w14:textFill>
        </w:rPr>
      </w:pPr>
      <w:r>
        <w:rPr>
          <w:rFonts w:hint="eastAsia" w:ascii="Times New Roman" w:hAnsi="Times New Roman" w:eastAsia="黑体" w:cs="Times New Roman"/>
          <w:color w:val="000000" w:themeColor="text1"/>
          <w:sz w:val="32"/>
          <w:szCs w:val="32"/>
          <w14:textFill>
            <w14:solidFill>
              <w14:schemeClr w14:val="tx1"/>
            </w14:solidFill>
          </w14:textFill>
        </w:rPr>
        <w:t>四、制定标准的原则和依据，与现行法律、法规的关系，与有关国家标准、行业标准的协调情况</w:t>
      </w:r>
    </w:p>
    <w:p w14:paraId="335E62A4">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（一）编制原则</w:t>
      </w:r>
    </w:p>
    <w:p w14:paraId="46FB0E76">
      <w:pPr>
        <w:spacing w:line="560" w:lineRule="exact"/>
        <w:ind w:firstLine="643" w:firstLineChars="200"/>
        <w:rPr>
          <w:rFonts w:ascii="仿宋_GB2312" w:hAnsi="楷体" w:eastAsia="仿宋_GB2312" w:cs="Times New Roman"/>
          <w:b/>
          <w:color w:val="000000" w:themeColor="text1"/>
          <w:sz w:val="32"/>
          <w:szCs w:val="32"/>
          <w14:textFill>
            <w14:solidFill>
              <w14:schemeClr w14:val="tx1"/>
            </w14:solidFill>
          </w14:textFill>
        </w:rPr>
      </w:pPr>
      <w:r>
        <w:rPr>
          <w:rFonts w:hint="eastAsia" w:ascii="仿宋_GB2312" w:hAnsi="楷体" w:eastAsia="仿宋_GB2312" w:cs="Times New Roman"/>
          <w:b/>
          <w:color w:val="000000" w:themeColor="text1"/>
          <w:sz w:val="32"/>
          <w:szCs w:val="32"/>
          <w14:textFill>
            <w14:solidFill>
              <w14:schemeClr w14:val="tx1"/>
            </w14:solidFill>
          </w14:textFill>
        </w:rPr>
        <w:t>1、实用性原则</w:t>
      </w:r>
    </w:p>
    <w:p w14:paraId="28669963">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本标准是在充分收集国内外相关资料和文献、调研分析薄型子宫内膜患者针刺联合脐灸技术现状，结合起草单位前期研究工作取得的研究成果及积累的实践经验，并借鉴国内薄型子宫内膜患者针刺联合脐灸技术进行总结起草的，符合工作实际，有利于薄型子宫内膜患者针刺联合脐灸技术的实施与推广，具有可操作性和实用性。</w:t>
      </w:r>
    </w:p>
    <w:p w14:paraId="0317409D">
      <w:pPr>
        <w:spacing w:line="560" w:lineRule="exact"/>
        <w:ind w:firstLine="643" w:firstLineChars="200"/>
        <w:rPr>
          <w:rFonts w:ascii="仿宋_GB2312" w:hAnsi="楷体" w:eastAsia="仿宋_GB2312" w:cs="Times New Roman"/>
          <w:b/>
          <w:color w:val="000000" w:themeColor="text1"/>
          <w:sz w:val="32"/>
          <w:szCs w:val="32"/>
          <w14:textFill>
            <w14:solidFill>
              <w14:schemeClr w14:val="tx1"/>
            </w14:solidFill>
          </w14:textFill>
        </w:rPr>
      </w:pPr>
      <w:r>
        <w:rPr>
          <w:rFonts w:hint="eastAsia" w:ascii="仿宋_GB2312" w:hAnsi="楷体" w:eastAsia="仿宋_GB2312" w:cs="Times New Roman"/>
          <w:b/>
          <w:color w:val="000000" w:themeColor="text1"/>
          <w:sz w:val="32"/>
          <w:szCs w:val="32"/>
          <w14:textFill>
            <w14:solidFill>
              <w14:schemeClr w14:val="tx1"/>
            </w14:solidFill>
          </w14:textFill>
        </w:rPr>
        <w:t>2、协调性原则</w:t>
      </w:r>
    </w:p>
    <w:p w14:paraId="2E166BC0">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本文件编写过程中注意了与薄型子宫内膜患者针刺联合脐灸技术相关法律法规的协调问题，在内容上与现行法律法规、标准协调一致。</w:t>
      </w:r>
    </w:p>
    <w:p w14:paraId="2D307EBE">
      <w:pPr>
        <w:spacing w:line="560" w:lineRule="exact"/>
        <w:ind w:firstLine="643" w:firstLineChars="200"/>
        <w:rPr>
          <w:rFonts w:ascii="仿宋_GB2312" w:hAnsi="楷体" w:eastAsia="仿宋_GB2312" w:cs="Times New Roman"/>
          <w:b/>
          <w:color w:val="000000" w:themeColor="text1"/>
          <w:sz w:val="32"/>
          <w:szCs w:val="32"/>
          <w14:textFill>
            <w14:solidFill>
              <w14:schemeClr w14:val="tx1"/>
            </w14:solidFill>
          </w14:textFill>
        </w:rPr>
      </w:pPr>
      <w:r>
        <w:rPr>
          <w:rFonts w:hint="eastAsia" w:ascii="仿宋_GB2312" w:hAnsi="楷体" w:eastAsia="仿宋_GB2312" w:cs="Times New Roman"/>
          <w:b/>
          <w:color w:val="000000" w:themeColor="text1"/>
          <w:sz w:val="32"/>
          <w:szCs w:val="32"/>
          <w14:textFill>
            <w14:solidFill>
              <w14:schemeClr w14:val="tx1"/>
            </w14:solidFill>
          </w14:textFill>
        </w:rPr>
        <w:t>3、规范性原则</w:t>
      </w:r>
    </w:p>
    <w:p w14:paraId="387B0F46">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本文件严格按照GB/T 1.1—2020《标准化工作规范  第1部分：标准化文件的结构和起草规则》编写本标准的内容，保证标准的编写质量。</w:t>
      </w:r>
    </w:p>
    <w:p w14:paraId="79E88A41">
      <w:pPr>
        <w:spacing w:line="520" w:lineRule="exact"/>
        <w:ind w:firstLine="640" w:firstLineChars="200"/>
        <w:rPr>
          <w:rFonts w:ascii="仿宋_GB2312" w:eastAsia="仿宋_GB2312"/>
          <w:color w:val="000000" w:themeColor="text1"/>
          <w:sz w:val="32"/>
          <w:szCs w:val="32"/>
          <w14:textFill>
            <w14:solidFill>
              <w14:schemeClr w14:val="tx1"/>
            </w14:solidFill>
          </w14:textFill>
        </w:rPr>
      </w:pPr>
    </w:p>
    <w:p w14:paraId="6405B882">
      <w:pPr>
        <w:spacing w:line="560" w:lineRule="exact"/>
        <w:ind w:firstLine="643" w:firstLineChars="200"/>
        <w:rPr>
          <w:rFonts w:ascii="仿宋_GB2312" w:hAnsi="楷体" w:eastAsia="仿宋_GB2312" w:cs="Times New Roman"/>
          <w:b/>
          <w:color w:val="000000" w:themeColor="text1"/>
          <w:sz w:val="32"/>
          <w:szCs w:val="32"/>
          <w14:textFill>
            <w14:solidFill>
              <w14:schemeClr w14:val="tx1"/>
            </w14:solidFill>
          </w14:textFill>
        </w:rPr>
      </w:pPr>
      <w:r>
        <w:rPr>
          <w:rFonts w:hint="eastAsia" w:ascii="仿宋_GB2312" w:hAnsi="楷体" w:eastAsia="仿宋_GB2312" w:cs="Times New Roman"/>
          <w:b/>
          <w:color w:val="000000" w:themeColor="text1"/>
          <w:sz w:val="32"/>
          <w:szCs w:val="32"/>
          <w14:textFill>
            <w14:solidFill>
              <w14:schemeClr w14:val="tx1"/>
            </w14:solidFill>
          </w14:textFill>
        </w:rPr>
        <w:t>4、前瞻性原则</w:t>
      </w:r>
    </w:p>
    <w:p w14:paraId="4A844963">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本文件在兼顾当前区内薄型子宫内膜患者针刺联合脐灸技术现实情况的同时，还考虑到了薄型子宫内膜患者针刺联合脐灸技术的需要，在标准中体现了个别特色性、前瞻性和先进性条款，作为对薄型子宫内膜患者针刺联合脐灸技术的指导。</w:t>
      </w:r>
    </w:p>
    <w:p w14:paraId="500045F6">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（二）编制依据</w:t>
      </w:r>
    </w:p>
    <w:p w14:paraId="3588D6E5">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本标准严格按照GB/T 1.1—2020《标准化工作规范  第1部分：标准化文件的结构和起草规则》的规则起草，标准主要内容依据起草单位在薄型子宫内膜患者针刺联合脐灸技术过程中的实践经验确定。</w:t>
      </w:r>
    </w:p>
    <w:p w14:paraId="5DA8D194">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（三）与现行法律、法规的关系，与有关国家标准、行业标准的协调情况</w:t>
      </w:r>
    </w:p>
    <w:p w14:paraId="307CF20F">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本标准与相关法律法规、强制性标准协调一致，无冲突。</w:t>
      </w:r>
    </w:p>
    <w:p w14:paraId="445EF461">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经查阅，与“脐灸”相关的现行标准有《T/GXAS 729—2024胃脘痛脐灸技术操作规范》《T/SDAS 835—2024糖尿病神经源性膀胱尿潴留（癃闭）脐灸操作技术规范》《T/SDAS 834—2024糖尿病胃轻瘫（消渴胃痞病）脐灸操作技术规范》</w:t>
      </w:r>
    </w:p>
    <w:p w14:paraId="09D1F94B">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《T/GXAS 729—2024胃脘痛脐灸技术操作规范》界定了胃脘痛脐灸技术操作涉及的术语和定义，规定了胃脘痛脐灸技术操作的人员要求、辨证、施术前准备、施术方法、疗程、注意事项、不良反应处理及禁忌的要求。</w:t>
      </w:r>
    </w:p>
    <w:p w14:paraId="575573BB">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《T/SDAS 835—2024糖尿病神经源性膀胱尿潴留（癃闭）脐灸操作技术规范》规定了糖尿病神经源性膀胱尿潴留（癃闭）的诊断、辨证分型和脐灸治疗该疾病的禁忌症、施术前评估、施术前准备、施术方法、疗程、注意事项以及疗效评价等内容。</w:t>
      </w:r>
    </w:p>
    <w:p w14:paraId="0445C3B3">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《T/SDAS 834—2024糖尿病胃轻瘫（消渴胃痞病）脐灸操作技术规范》规定了糖尿病胃轻瘫（消渴胃痞病）的诊断、辨证分型和脐灸治疗该疾病的禁忌症、施术前评估、施术前准备、施术方法、疗程、注意事项以及疗效评价等内容。</w:t>
      </w:r>
    </w:p>
    <w:p w14:paraId="037159B0">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综上所述，目前与关键词相关的标准虽与脐灸技术操作相关，但是不涉及与薄型子宫内膜针刺相关技术，因适用病理不同，其技术操作的适应症、施术前准备、施术要求有所区别，拟制订团体标准明确薄型子宫内膜针刺联合脐灸技术操作的适应症、施术前准备、施术要求、不良反应及处理、日常调护等内容，更具有针对性。</w:t>
      </w:r>
    </w:p>
    <w:p w14:paraId="2E8A5622">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本标准的内容与现行的法律法规及强制性标准无冲突，本文件相关指标不低于强制性国家标准的相关技术要求，标准的编写符合GB/T 1.1—2020的要求。</w:t>
      </w:r>
    </w:p>
    <w:p w14:paraId="0C171BBD">
      <w:pPr>
        <w:autoSpaceDE w:val="0"/>
        <w:autoSpaceDN w:val="0"/>
        <w:adjustRightInd w:val="0"/>
        <w:spacing w:line="560" w:lineRule="exact"/>
        <w:ind w:firstLine="640" w:firstLineChars="200"/>
        <w:outlineLvl w:val="0"/>
        <w:rPr>
          <w:rFonts w:ascii="Times New Roman" w:hAnsi="Times New Roman" w:eastAsia="黑体" w:cs="Times New Roman"/>
          <w:color w:val="000000" w:themeColor="text1"/>
          <w:sz w:val="32"/>
          <w:szCs w:val="32"/>
          <w14:textFill>
            <w14:solidFill>
              <w14:schemeClr w14:val="tx1"/>
            </w14:solidFill>
          </w14:textFill>
        </w:rPr>
      </w:pPr>
      <w:r>
        <w:rPr>
          <w:rFonts w:hint="eastAsia" w:ascii="Times New Roman" w:hAnsi="Times New Roman" w:eastAsia="黑体" w:cs="Times New Roman"/>
          <w:color w:val="000000" w:themeColor="text1"/>
          <w:sz w:val="32"/>
          <w:szCs w:val="32"/>
          <w14:textFill>
            <w14:solidFill>
              <w14:schemeClr w14:val="tx1"/>
            </w14:solidFill>
          </w14:textFill>
        </w:rPr>
        <w:t>五、主要条款的说明</w:t>
      </w:r>
    </w:p>
    <w:p w14:paraId="6D8FDCC7">
      <w:pPr>
        <w:spacing w:line="520" w:lineRule="exact"/>
        <w:ind w:firstLine="640" w:firstLineChars="200"/>
        <w:rPr>
          <w:rFonts w:ascii="仿宋_GB2312" w:eastAsia="仿宋_GB2312"/>
          <w:color w:val="000000" w:themeColor="text1"/>
          <w:sz w:val="32"/>
          <w:szCs w:val="32"/>
          <w:highlight w:val="yellow"/>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团体标准《薄型子宫内膜患者针刺联合脐灸技术操作规范》的核心技术和创新点在于：将针刺与脐灸联合应用于薄型子宫内膜治疗，并制定“先针刺后脐灸，隔日1次，10次1疗程”的标准化操作流程，突破单一疗法的局限性。在针刺操作</w:t>
      </w:r>
      <w:r>
        <w:rPr>
          <w:rFonts w:ascii="仿宋_GB2312" w:eastAsia="仿宋_GB2312"/>
          <w:color w:val="000000" w:themeColor="text1"/>
          <w:sz w:val="32"/>
          <w:szCs w:val="32"/>
          <w14:textFill>
            <w14:solidFill>
              <w14:schemeClr w14:val="tx1"/>
            </w14:solidFill>
          </w14:textFill>
        </w:rPr>
        <w:t>中，将操作</w:t>
      </w:r>
      <w:r>
        <w:rPr>
          <w:rFonts w:hint="eastAsia" w:ascii="仿宋_GB2312" w:eastAsia="仿宋_GB2312"/>
          <w:color w:val="000000" w:themeColor="text1"/>
          <w:sz w:val="32"/>
          <w:szCs w:val="32"/>
          <w14:textFill>
            <w14:solidFill>
              <w14:schemeClr w14:val="tx1"/>
            </w14:solidFill>
          </w14:textFill>
        </w:rPr>
        <w:t>手法量化。如关元穴直刺1～1.5寸行捻转补法，三阴交穴斜刺1～1.5寸采用“先补后泻”手法，使中医技术操作可复制、可推广。建立“证型-配穴-方药”对应体系：如脾虚证配足三里、中脘穴，联合参苓白术散制备脐灸粉；血瘀证配血海、地机穴，联合膈下逐瘀汤方药，实现“方随证立、穴随症选”。</w:t>
      </w:r>
    </w:p>
    <w:p w14:paraId="4315A432">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团体标准《薄型子宫内膜患者针刺联合脐灸技术操作规范》主要内容包括术语</w:t>
      </w:r>
      <w:r>
        <w:rPr>
          <w:rFonts w:ascii="仿宋_GB2312" w:eastAsia="仿宋_GB2312"/>
          <w:color w:val="000000" w:themeColor="text1"/>
          <w:sz w:val="32"/>
          <w:szCs w:val="32"/>
          <w14:textFill>
            <w14:solidFill>
              <w14:schemeClr w14:val="tx1"/>
            </w14:solidFill>
          </w14:textFill>
        </w:rPr>
        <w:t>和定义、</w:t>
      </w:r>
      <w:r>
        <w:rPr>
          <w:rFonts w:hint="eastAsia" w:ascii="仿宋_GB2312" w:eastAsia="仿宋_GB2312"/>
          <w:color w:val="000000" w:themeColor="text1"/>
          <w:sz w:val="32"/>
          <w:szCs w:val="32"/>
          <w14:textFill>
            <w14:solidFill>
              <w14:schemeClr w14:val="tx1"/>
            </w14:solidFill>
          </w14:textFill>
        </w:rPr>
        <w:t>基本要求、中医辨证分型、施术前准备、施术方法、施术后处理、注意事项、日常调护等内容。主要内容及依据来源说明如下：</w:t>
      </w:r>
    </w:p>
    <w:p w14:paraId="3048ED34">
      <w:pPr>
        <w:pStyle w:val="26"/>
        <w:rPr>
          <w:color w:val="000000" w:themeColor="text1"/>
          <w14:textFill>
            <w14:solidFill>
              <w14:schemeClr w14:val="tx1"/>
            </w14:solidFill>
          </w14:textFill>
        </w:rPr>
      </w:pPr>
    </w:p>
    <w:p w14:paraId="78C0B1F6">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（一）术语和定义</w:t>
      </w:r>
    </w:p>
    <w:p w14:paraId="137834EA">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薄型</w:t>
      </w:r>
      <w:r>
        <w:rPr>
          <w:rFonts w:ascii="仿宋_GB2312" w:eastAsia="仿宋_GB2312"/>
          <w:color w:val="000000" w:themeColor="text1"/>
          <w:sz w:val="32"/>
          <w:szCs w:val="32"/>
          <w14:textFill>
            <w14:solidFill>
              <w14:schemeClr w14:val="tx1"/>
            </w14:solidFill>
          </w14:textFill>
        </w:rPr>
        <w:t>子宫内膜</w:t>
      </w:r>
      <w:r>
        <w:rPr>
          <w:rFonts w:hint="eastAsia" w:ascii="仿宋_GB2312" w:eastAsia="仿宋_GB2312"/>
          <w:color w:val="000000" w:themeColor="text1"/>
          <w:sz w:val="32"/>
          <w:szCs w:val="32"/>
          <w14:textFill>
            <w14:solidFill>
              <w14:schemeClr w14:val="tx1"/>
            </w14:solidFill>
          </w14:textFill>
        </w:rPr>
        <w:t>已</w:t>
      </w:r>
      <w:r>
        <w:rPr>
          <w:rFonts w:ascii="仿宋_GB2312" w:eastAsia="仿宋_GB2312"/>
          <w:color w:val="000000" w:themeColor="text1"/>
          <w:sz w:val="32"/>
          <w:szCs w:val="32"/>
          <w14:textFill>
            <w14:solidFill>
              <w14:schemeClr w14:val="tx1"/>
            </w14:solidFill>
          </w14:textFill>
        </w:rPr>
        <w:t>有</w:t>
      </w:r>
      <w:r>
        <w:rPr>
          <w:rFonts w:hint="eastAsia" w:ascii="仿宋_GB2312" w:eastAsia="仿宋_GB2312"/>
          <w:color w:val="000000" w:themeColor="text1"/>
          <w:sz w:val="32"/>
          <w:szCs w:val="32"/>
          <w14:textFill>
            <w14:solidFill>
              <w14:schemeClr w14:val="tx1"/>
            </w14:solidFill>
          </w14:textFill>
        </w:rPr>
        <w:t>较多</w:t>
      </w:r>
      <w:r>
        <w:rPr>
          <w:rFonts w:ascii="仿宋_GB2312" w:eastAsia="仿宋_GB2312"/>
          <w:color w:val="000000" w:themeColor="text1"/>
          <w:sz w:val="32"/>
          <w:szCs w:val="32"/>
          <w14:textFill>
            <w14:solidFill>
              <w14:schemeClr w14:val="tx1"/>
            </w14:solidFill>
          </w14:textFill>
        </w:rPr>
        <w:t>学者</w:t>
      </w:r>
      <w:r>
        <w:rPr>
          <w:rFonts w:hint="eastAsia" w:ascii="仿宋_GB2312" w:eastAsia="仿宋_GB2312"/>
          <w:color w:val="000000" w:themeColor="text1"/>
          <w:sz w:val="32"/>
          <w:szCs w:val="32"/>
          <w14:textFill>
            <w14:solidFill>
              <w14:schemeClr w14:val="tx1"/>
            </w14:solidFill>
          </w14:textFill>
        </w:rPr>
        <w:t>的</w:t>
      </w:r>
      <w:r>
        <w:rPr>
          <w:rFonts w:ascii="仿宋_GB2312" w:eastAsia="仿宋_GB2312"/>
          <w:color w:val="000000" w:themeColor="text1"/>
          <w:sz w:val="32"/>
          <w:szCs w:val="32"/>
          <w14:textFill>
            <w14:solidFill>
              <w14:schemeClr w14:val="tx1"/>
            </w14:solidFill>
          </w14:textFill>
        </w:rPr>
        <w:t>文献中给出了薄型子宫内膜的定义</w:t>
      </w:r>
      <w:r>
        <w:rPr>
          <w:rFonts w:hint="eastAsia" w:ascii="仿宋_GB2312" w:eastAsia="仿宋_GB2312"/>
          <w:color w:val="000000" w:themeColor="text1"/>
          <w:sz w:val="32"/>
          <w:szCs w:val="32"/>
          <w14:textFill>
            <w14:solidFill>
              <w14:schemeClr w14:val="tx1"/>
            </w14:solidFill>
          </w14:textFill>
        </w:rPr>
        <w:t>（见</w:t>
      </w:r>
      <w:r>
        <w:rPr>
          <w:rFonts w:ascii="仿宋_GB2312" w:eastAsia="仿宋_GB2312"/>
          <w:color w:val="000000" w:themeColor="text1"/>
          <w:sz w:val="32"/>
          <w:szCs w:val="32"/>
          <w14:textFill>
            <w14:solidFill>
              <w14:schemeClr w14:val="tx1"/>
            </w14:solidFill>
          </w14:textFill>
        </w:rPr>
        <w:t>图</w:t>
      </w:r>
      <w:r>
        <w:rPr>
          <w:rFonts w:hint="eastAsia" w:ascii="仿宋_GB2312" w:eastAsia="仿宋_GB2312"/>
          <w:color w:val="000000" w:themeColor="text1"/>
          <w:sz w:val="32"/>
          <w:szCs w:val="32"/>
          <w14:textFill>
            <w14:solidFill>
              <w14:schemeClr w14:val="tx1"/>
            </w14:solidFill>
          </w14:textFill>
        </w:rPr>
        <w:t>2），最终</w:t>
      </w:r>
      <w:r>
        <w:rPr>
          <w:rFonts w:ascii="仿宋_GB2312" w:eastAsia="仿宋_GB2312"/>
          <w:color w:val="000000" w:themeColor="text1"/>
          <w:sz w:val="32"/>
          <w:szCs w:val="32"/>
          <w14:textFill>
            <w14:solidFill>
              <w14:schemeClr w14:val="tx1"/>
            </w14:solidFill>
          </w14:textFill>
        </w:rPr>
        <w:t>定义参考西医诊断结论确定</w:t>
      </w:r>
      <w:r>
        <w:rPr>
          <w:rFonts w:hint="eastAsia" w:ascii="仿宋_GB2312" w:eastAsia="仿宋_GB2312"/>
          <w:color w:val="000000" w:themeColor="text1"/>
          <w:sz w:val="32"/>
          <w:szCs w:val="32"/>
          <w14:textFill>
            <w14:solidFill>
              <w14:schemeClr w14:val="tx1"/>
            </w14:solidFill>
          </w14:textFill>
        </w:rPr>
        <w:t>为</w:t>
      </w:r>
      <w:r>
        <w:rPr>
          <w:rFonts w:ascii="仿宋_GB2312" w:eastAsia="仿宋_GB2312"/>
          <w:color w:val="000000" w:themeColor="text1"/>
          <w:sz w:val="32"/>
          <w:szCs w:val="32"/>
          <w14:textFill>
            <w14:solidFill>
              <w14:schemeClr w14:val="tx1"/>
            </w14:solidFill>
          </w14:textFill>
        </w:rPr>
        <w:t>：</w:t>
      </w:r>
      <w:r>
        <w:rPr>
          <w:rFonts w:hint="eastAsia" w:ascii="仿宋_GB2312" w:eastAsia="仿宋_GB2312"/>
          <w:color w:val="000000" w:themeColor="text1"/>
          <w:sz w:val="32"/>
          <w:szCs w:val="32"/>
          <w14:textFill>
            <w14:solidFill>
              <w14:schemeClr w14:val="tx1"/>
            </w14:solidFill>
          </w14:textFill>
        </w:rPr>
        <w:t>在自然周期LH峰日或注射HCG日或黄体支持日，经阴道超声测量内膜厚度≤7 mm。</w:t>
      </w:r>
    </w:p>
    <w:tbl>
      <w:tblPr>
        <w:tblStyle w:val="18"/>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06"/>
        <w:gridCol w:w="4368"/>
      </w:tblGrid>
      <w:tr w14:paraId="3C87C6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806" w:type="dxa"/>
            <w:vAlign w:val="center"/>
          </w:tcPr>
          <w:p w14:paraId="0592A2F1">
            <w:pPr>
              <w:pStyle w:val="26"/>
              <w:spacing w:after="0" w:line="240" w:lineRule="auto"/>
              <w:jc w:val="cente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912745" cy="715010"/>
                  <wp:effectExtent l="0" t="0" r="1905"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2923390" cy="717646"/>
                          </a:xfrm>
                          <a:prstGeom prst="rect">
                            <a:avLst/>
                          </a:prstGeom>
                        </pic:spPr>
                      </pic:pic>
                    </a:graphicData>
                  </a:graphic>
                </wp:inline>
              </w:drawing>
            </w:r>
          </w:p>
        </w:tc>
        <w:tc>
          <w:tcPr>
            <w:tcW w:w="4368" w:type="dxa"/>
            <w:vAlign w:val="center"/>
          </w:tcPr>
          <w:p w14:paraId="6581B849">
            <w:pPr>
              <w:pStyle w:val="26"/>
              <w:spacing w:after="0" w:line="240" w:lineRule="auto"/>
              <w:jc w:val="cente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547620" cy="996950"/>
                  <wp:effectExtent l="0" t="0" r="508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52284" cy="999254"/>
                          </a:xfrm>
                          <a:prstGeom prst="rect">
                            <a:avLst/>
                          </a:prstGeom>
                        </pic:spPr>
                      </pic:pic>
                    </a:graphicData>
                  </a:graphic>
                </wp:inline>
              </w:drawing>
            </w:r>
          </w:p>
        </w:tc>
      </w:tr>
      <w:tr w14:paraId="31DB7E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74" w:type="dxa"/>
            <w:gridSpan w:val="2"/>
          </w:tcPr>
          <w:p w14:paraId="3FD03705">
            <w:pPr>
              <w:spacing w:line="520" w:lineRule="exact"/>
              <w:jc w:val="center"/>
              <w:rPr>
                <w:color w:val="000000" w:themeColor="text1"/>
                <w14:textFill>
                  <w14:solidFill>
                    <w14:schemeClr w14:val="tx1"/>
                  </w14:solidFill>
                </w14:textFill>
              </w:rPr>
            </w:pPr>
            <w:r>
              <w:rPr>
                <w:rFonts w:hint="eastAsia" w:ascii="仿宋_GB2312" w:eastAsia="仿宋_GB2312"/>
                <w:color w:val="000000" w:themeColor="text1"/>
                <w:szCs w:val="32"/>
                <w14:textFill>
                  <w14:solidFill>
                    <w14:schemeClr w14:val="tx1"/>
                  </w14:solidFill>
                </w14:textFill>
              </w:rPr>
              <w:t>图2  有关文献中关于薄型</w:t>
            </w:r>
            <w:r>
              <w:rPr>
                <w:rFonts w:ascii="仿宋_GB2312" w:eastAsia="仿宋_GB2312"/>
                <w:color w:val="000000" w:themeColor="text1"/>
                <w:szCs w:val="32"/>
                <w14:textFill>
                  <w14:solidFill>
                    <w14:schemeClr w14:val="tx1"/>
                  </w14:solidFill>
                </w14:textFill>
              </w:rPr>
              <w:t>子宫内膜</w:t>
            </w:r>
            <w:r>
              <w:rPr>
                <w:rFonts w:hint="eastAsia" w:ascii="仿宋_GB2312" w:eastAsia="仿宋_GB2312"/>
                <w:color w:val="000000" w:themeColor="text1"/>
                <w:szCs w:val="32"/>
                <w14:textFill>
                  <w14:solidFill>
                    <w14:schemeClr w14:val="tx1"/>
                  </w14:solidFill>
                </w14:textFill>
              </w:rPr>
              <w:t>的</w:t>
            </w:r>
            <w:r>
              <w:rPr>
                <w:rFonts w:ascii="仿宋_GB2312" w:eastAsia="仿宋_GB2312"/>
                <w:color w:val="000000" w:themeColor="text1"/>
                <w:szCs w:val="32"/>
                <w14:textFill>
                  <w14:solidFill>
                    <w14:schemeClr w14:val="tx1"/>
                  </w14:solidFill>
                </w14:textFill>
              </w:rPr>
              <w:t>定义来源</w:t>
            </w:r>
          </w:p>
        </w:tc>
      </w:tr>
    </w:tbl>
    <w:p w14:paraId="4C95A8B9">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（二）基本要求</w:t>
      </w:r>
    </w:p>
    <w:p w14:paraId="2476B0ED">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依据《</w:t>
      </w:r>
      <w:r>
        <w:rPr>
          <w:rFonts w:ascii="仿宋_GB2312" w:eastAsia="仿宋_GB2312"/>
          <w:bCs/>
          <w:color w:val="000000" w:themeColor="text1"/>
          <w:sz w:val="32"/>
          <w:szCs w:val="32"/>
          <w14:textFill>
            <w14:solidFill>
              <w14:schemeClr w14:val="tx1"/>
            </w14:solidFill>
          </w14:textFill>
        </w:rPr>
        <w:t>中医医术确有专长人员医师资格考核注册管理暂行办法（国家卫计委第15号）</w:t>
      </w:r>
      <w:r>
        <w:rPr>
          <w:rFonts w:hint="eastAsia" w:ascii="仿宋_GB2312" w:eastAsia="仿宋_GB2312"/>
          <w:color w:val="000000" w:themeColor="text1"/>
          <w:sz w:val="32"/>
          <w:szCs w:val="32"/>
          <w14:textFill>
            <w14:solidFill>
              <w14:schemeClr w14:val="tx1"/>
            </w14:solidFill>
          </w14:textFill>
        </w:rPr>
        <w:t>》（见</w:t>
      </w:r>
      <w:r>
        <w:rPr>
          <w:rFonts w:ascii="仿宋_GB2312" w:eastAsia="仿宋_GB2312"/>
          <w:color w:val="000000" w:themeColor="text1"/>
          <w:sz w:val="32"/>
          <w:szCs w:val="32"/>
          <w14:textFill>
            <w14:solidFill>
              <w14:schemeClr w14:val="tx1"/>
            </w14:solidFill>
          </w14:textFill>
        </w:rPr>
        <w:t>图</w:t>
      </w:r>
      <w:r>
        <w:rPr>
          <w:rFonts w:hint="eastAsia" w:ascii="仿宋_GB2312" w:eastAsia="仿宋_GB2312"/>
          <w:color w:val="000000" w:themeColor="text1"/>
          <w:sz w:val="32"/>
          <w:szCs w:val="32"/>
          <w14:textFill>
            <w14:solidFill>
              <w14:schemeClr w14:val="tx1"/>
            </w14:solidFill>
          </w14:textFill>
        </w:rPr>
        <w:t>3），区别于传统经验性操作，明确注册护士或医生需经培训考核并</w:t>
      </w:r>
      <w:r>
        <w:rPr>
          <w:rFonts w:ascii="仿宋_GB2312" w:eastAsia="仿宋_GB2312"/>
          <w:color w:val="000000" w:themeColor="text1"/>
          <w:sz w:val="32"/>
          <w:szCs w:val="32"/>
          <w14:textFill>
            <w14:solidFill>
              <w14:schemeClr w14:val="tx1"/>
            </w14:solidFill>
          </w14:textFill>
        </w:rPr>
        <w:t>取得合格</w:t>
      </w:r>
      <w:r>
        <w:rPr>
          <w:rFonts w:hint="eastAsia" w:ascii="仿宋_GB2312" w:eastAsia="仿宋_GB2312"/>
          <w:color w:val="000000" w:themeColor="text1"/>
          <w:sz w:val="32"/>
          <w:szCs w:val="32"/>
          <w14:textFill>
            <w14:solidFill>
              <w14:schemeClr w14:val="tx1"/>
            </w14:solidFill>
          </w14:textFill>
        </w:rPr>
        <w:t>，提升治疗安全性和专业性，确保操作者具备中医理论基础和实操能力，避免不规范操作或</w:t>
      </w:r>
      <w:r>
        <w:rPr>
          <w:rFonts w:ascii="仿宋_GB2312" w:eastAsia="仿宋_GB2312"/>
          <w:color w:val="000000" w:themeColor="text1"/>
          <w:sz w:val="32"/>
          <w:szCs w:val="32"/>
          <w14:textFill>
            <w14:solidFill>
              <w14:schemeClr w14:val="tx1"/>
            </w14:solidFill>
          </w14:textFill>
        </w:rPr>
        <w:t>无证</w:t>
      </w:r>
      <w:r>
        <w:rPr>
          <w:rFonts w:hint="eastAsia" w:ascii="仿宋_GB2312" w:eastAsia="仿宋_GB2312"/>
          <w:color w:val="000000" w:themeColor="text1"/>
          <w:sz w:val="32"/>
          <w:szCs w:val="32"/>
          <w14:textFill>
            <w14:solidFill>
              <w14:schemeClr w14:val="tx1"/>
            </w14:solidFill>
          </w14:textFill>
        </w:rPr>
        <w:t>（资质）</w:t>
      </w:r>
      <w:r>
        <w:rPr>
          <w:rFonts w:ascii="仿宋_GB2312" w:eastAsia="仿宋_GB2312"/>
          <w:color w:val="000000" w:themeColor="text1"/>
          <w:sz w:val="32"/>
          <w:szCs w:val="32"/>
          <w14:textFill>
            <w14:solidFill>
              <w14:schemeClr w14:val="tx1"/>
            </w14:solidFill>
          </w14:textFill>
        </w:rPr>
        <w:t>操作</w:t>
      </w:r>
      <w:r>
        <w:rPr>
          <w:rFonts w:hint="eastAsia" w:ascii="仿宋_GB2312" w:eastAsia="仿宋_GB2312"/>
          <w:color w:val="000000" w:themeColor="text1"/>
          <w:sz w:val="32"/>
          <w:szCs w:val="32"/>
          <w14:textFill>
            <w14:solidFill>
              <w14:schemeClr w14:val="tx1"/>
            </w14:solidFill>
          </w14:textFill>
        </w:rPr>
        <w:t>。</w:t>
      </w:r>
    </w:p>
    <w:p w14:paraId="786E4744">
      <w:pPr>
        <w:spacing w:before="240" w:beforeLines="100"/>
        <w:jc w:val="cente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4949190" cy="420370"/>
            <wp:effectExtent l="19050" t="19050" r="22860" b="177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4949190" cy="420444"/>
                    </a:xfrm>
                    <a:prstGeom prst="rect">
                      <a:avLst/>
                    </a:prstGeom>
                    <a:ln>
                      <a:solidFill>
                        <a:schemeClr val="tx1"/>
                      </a:solidFill>
                    </a:ln>
                  </pic:spPr>
                </pic:pic>
              </a:graphicData>
            </a:graphic>
          </wp:inline>
        </w:drawing>
      </w:r>
    </w:p>
    <w:p w14:paraId="39B0ED5F">
      <w:pPr>
        <w:spacing w:line="520" w:lineRule="exact"/>
        <w:jc w:val="center"/>
        <w:rPr>
          <w:rFonts w:ascii="仿宋_GB2312" w:eastAsia="仿宋_GB2312"/>
          <w:color w:val="000000" w:themeColor="text1"/>
          <w:szCs w:val="32"/>
          <w14:textFill>
            <w14:solidFill>
              <w14:schemeClr w14:val="tx1"/>
            </w14:solidFill>
          </w14:textFill>
        </w:rPr>
      </w:pPr>
      <w:r>
        <w:rPr>
          <w:rFonts w:hint="eastAsia" w:ascii="仿宋_GB2312" w:eastAsia="仿宋_GB2312"/>
          <w:color w:val="000000" w:themeColor="text1"/>
          <w:szCs w:val="32"/>
          <w14:textFill>
            <w14:solidFill>
              <w14:schemeClr w14:val="tx1"/>
            </w14:solidFill>
          </w14:textFill>
        </w:rPr>
        <w:t>图3  《中医医术确有专长人员医师资格考核注册管理暂行办法（国家卫计委第15号）》</w:t>
      </w:r>
    </w:p>
    <w:p w14:paraId="538F1E1E">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（三）中医辨证分型</w:t>
      </w:r>
    </w:p>
    <w:p w14:paraId="34833F1D">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起草编制组通过对大量薄型子宫内膜患者临床症状的观察与分析，以及生殖中心临床研究数据的总结，并依据</w:t>
      </w:r>
      <w:r>
        <w:rPr>
          <w:rFonts w:ascii="仿宋_GB2312" w:eastAsia="仿宋_GB2312"/>
          <w:color w:val="000000" w:themeColor="text1"/>
          <w:sz w:val="32"/>
          <w:szCs w:val="32"/>
          <w14:textFill>
            <w14:solidFill>
              <w14:schemeClr w14:val="tx1"/>
            </w14:solidFill>
          </w14:textFill>
        </w:rPr>
        <w:t>GB/T 16751.2</w:t>
      </w:r>
      <w:r>
        <w:rPr>
          <w:rFonts w:hint="eastAsia" w:ascii="仿宋_GB2312" w:eastAsia="仿宋_GB2312"/>
          <w:color w:val="000000" w:themeColor="text1"/>
          <w:sz w:val="32"/>
          <w:szCs w:val="32"/>
          <w14:textFill>
            <w14:solidFill>
              <w14:schemeClr w14:val="tx1"/>
            </w14:solidFill>
          </w14:textFill>
        </w:rPr>
        <w:t>中医证候标准，结合《黄帝内经》《伤寒杂病论》《中医妇科学》等经典著作中对女性生殖系统疾病病因病机的论述，进一步细化各证型特点，确保辨证分型的准确性与实用性，为临床精准治疗提供可靠依据。</w:t>
      </w:r>
      <w:r>
        <w:rPr>
          <w:rFonts w:hint="eastAsia" w:ascii="仿宋_GB2312" w:eastAsia="仿宋_GB2312"/>
          <w:b/>
          <w:color w:val="000000" w:themeColor="text1"/>
          <w:sz w:val="32"/>
          <w:szCs w:val="32"/>
          <w14:textFill>
            <w14:solidFill>
              <w14:schemeClr w14:val="tx1"/>
            </w14:solidFill>
          </w14:textFill>
        </w:rPr>
        <w:t>将薄型子宫内膜分为肾虚证、脾虚证、血虚证、血寒证、血瘀证、痰湿阻滞证、肝气郁结证等</w:t>
      </w:r>
      <w:r>
        <w:rPr>
          <w:rFonts w:ascii="仿宋_GB2312" w:eastAsia="仿宋_GB2312"/>
          <w:b/>
          <w:color w:val="000000" w:themeColor="text1"/>
          <w:sz w:val="32"/>
          <w:szCs w:val="32"/>
          <w14:textFill>
            <w14:solidFill>
              <w14:schemeClr w14:val="tx1"/>
            </w14:solidFill>
          </w14:textFill>
        </w:rPr>
        <w:t>7</w:t>
      </w:r>
      <w:r>
        <w:rPr>
          <w:rFonts w:hint="eastAsia" w:ascii="仿宋_GB2312" w:eastAsia="仿宋_GB2312"/>
          <w:b/>
          <w:color w:val="000000" w:themeColor="text1"/>
          <w:sz w:val="32"/>
          <w:szCs w:val="32"/>
          <w14:textFill>
            <w14:solidFill>
              <w14:schemeClr w14:val="tx1"/>
            </w14:solidFill>
          </w14:textFill>
        </w:rPr>
        <w:t>种证型。</w:t>
      </w:r>
      <w:r>
        <w:rPr>
          <w:rFonts w:hint="eastAsia" w:ascii="仿宋_GB2312" w:eastAsia="仿宋_GB2312"/>
          <w:color w:val="000000" w:themeColor="text1"/>
          <w:sz w:val="32"/>
          <w:szCs w:val="32"/>
          <w14:textFill>
            <w14:solidFill>
              <w14:schemeClr w14:val="tx1"/>
            </w14:solidFill>
          </w14:textFill>
        </w:rPr>
        <w:t>各证型的主症、兼症、舌脉特征均有明确的中医理论支撑。临床研究发现血瘀证患者常伴有子宫内膜血流灌注不足，与中医 “瘀血阻滞，血行不畅”理论相符，在辨证时可据此作为重要参考。</w:t>
      </w:r>
    </w:p>
    <w:p w14:paraId="2A1909B0">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（四）施术前准备</w:t>
      </w:r>
    </w:p>
    <w:p w14:paraId="1D9569B9">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施术</w:t>
      </w:r>
      <w:r>
        <w:rPr>
          <w:rFonts w:ascii="仿宋_GB2312" w:eastAsia="仿宋_GB2312"/>
          <w:color w:val="000000" w:themeColor="text1"/>
          <w:sz w:val="32"/>
          <w:szCs w:val="32"/>
          <w14:textFill>
            <w14:solidFill>
              <w14:schemeClr w14:val="tx1"/>
            </w14:solidFill>
          </w14:textFill>
        </w:rPr>
        <w:t>前需要</w:t>
      </w:r>
      <w:r>
        <w:rPr>
          <w:rFonts w:hint="eastAsia" w:ascii="仿宋_GB2312" w:eastAsia="仿宋_GB2312"/>
          <w:color w:val="000000" w:themeColor="text1"/>
          <w:sz w:val="32"/>
          <w:szCs w:val="32"/>
          <w14:textFill>
            <w14:solidFill>
              <w14:schemeClr w14:val="tx1"/>
            </w14:solidFill>
          </w14:textFill>
        </w:rPr>
        <w:t>全面评估患者身体状况，包括询问病史、过敏史、月经周期等，参考《中医临床诊疗指南》中对患者诊疗前评估的要求，排除针刺与脐灸禁忌人群，如凝血障碍、皮肤破溃、孕期等，保障治疗安全。结合《妇产科学》（第8版）对子宫内膜厚度的定义（≤7mm），考虑</w:t>
      </w:r>
      <w:r>
        <w:rPr>
          <w:rFonts w:ascii="仿宋_GB2312" w:eastAsia="仿宋_GB2312"/>
          <w:color w:val="000000" w:themeColor="text1"/>
          <w:sz w:val="32"/>
          <w:szCs w:val="32"/>
          <w14:textFill>
            <w14:solidFill>
              <w14:schemeClr w14:val="tx1"/>
            </w14:solidFill>
          </w14:textFill>
        </w:rPr>
        <w:t>到</w:t>
      </w:r>
      <w:r>
        <w:rPr>
          <w:rFonts w:hint="eastAsia" w:ascii="仿宋_GB2312" w:eastAsia="仿宋_GB2312"/>
          <w:color w:val="000000" w:themeColor="text1"/>
          <w:sz w:val="32"/>
          <w:szCs w:val="32"/>
          <w14:textFill>
            <w14:solidFill>
              <w14:schemeClr w14:val="tx1"/>
            </w14:solidFill>
          </w14:textFill>
        </w:rPr>
        <w:t>糖尿病患者慎用</w:t>
      </w:r>
      <w:r>
        <w:rPr>
          <w:rFonts w:ascii="仿宋_GB2312" w:eastAsia="仿宋_GB2312"/>
          <w:color w:val="000000" w:themeColor="text1"/>
          <w:sz w:val="32"/>
          <w:szCs w:val="32"/>
          <w14:textFill>
            <w14:solidFill>
              <w14:schemeClr w14:val="tx1"/>
            </w14:solidFill>
          </w14:textFill>
        </w:rPr>
        <w:t>脐灸，再</w:t>
      </w:r>
      <w:r>
        <w:rPr>
          <w:rFonts w:hint="eastAsia" w:ascii="仿宋_GB2312" w:eastAsia="仿宋_GB2312"/>
          <w:color w:val="000000" w:themeColor="text1"/>
          <w:sz w:val="32"/>
          <w:szCs w:val="32"/>
          <w14:textFill>
            <w14:solidFill>
              <w14:schemeClr w14:val="tx1"/>
            </w14:solidFill>
          </w14:textFill>
        </w:rPr>
        <w:t>纳入西医检查（如超声、糖代谢指标等）评估薄型</w:t>
      </w:r>
      <w:r>
        <w:rPr>
          <w:rFonts w:ascii="仿宋_GB2312" w:eastAsia="仿宋_GB2312"/>
          <w:color w:val="000000" w:themeColor="text1"/>
          <w:sz w:val="32"/>
          <w:szCs w:val="32"/>
          <w14:textFill>
            <w14:solidFill>
              <w14:schemeClr w14:val="tx1"/>
            </w14:solidFill>
          </w14:textFill>
        </w:rPr>
        <w:t>子宫患者是否适合开展</w:t>
      </w:r>
      <w:r>
        <w:rPr>
          <w:rFonts w:hint="eastAsia" w:ascii="仿宋_GB2312" w:eastAsia="仿宋_GB2312"/>
          <w:color w:val="000000" w:themeColor="text1"/>
          <w:sz w:val="32"/>
          <w:szCs w:val="32"/>
          <w14:textFill>
            <w14:solidFill>
              <w14:schemeClr w14:val="tx1"/>
            </w14:solidFill>
          </w14:textFill>
        </w:rPr>
        <w:t>针刺</w:t>
      </w:r>
      <w:r>
        <w:rPr>
          <w:rFonts w:ascii="仿宋_GB2312" w:eastAsia="仿宋_GB2312"/>
          <w:color w:val="000000" w:themeColor="text1"/>
          <w:sz w:val="32"/>
          <w:szCs w:val="32"/>
          <w14:textFill>
            <w14:solidFill>
              <w14:schemeClr w14:val="tx1"/>
            </w14:solidFill>
          </w14:textFill>
        </w:rPr>
        <w:t>联合</w:t>
      </w:r>
      <w:r>
        <w:rPr>
          <w:rFonts w:hint="eastAsia" w:ascii="仿宋_GB2312" w:eastAsia="仿宋_GB2312"/>
          <w:color w:val="000000" w:themeColor="text1"/>
          <w:sz w:val="32"/>
          <w:szCs w:val="32"/>
          <w14:textFill>
            <w14:solidFill>
              <w14:schemeClr w14:val="tx1"/>
            </w14:solidFill>
          </w14:textFill>
        </w:rPr>
        <w:t>脐灸</w:t>
      </w:r>
      <w:r>
        <w:rPr>
          <w:rFonts w:ascii="仿宋_GB2312" w:eastAsia="仿宋_GB2312"/>
          <w:color w:val="000000" w:themeColor="text1"/>
          <w:sz w:val="32"/>
          <w:szCs w:val="32"/>
          <w14:textFill>
            <w14:solidFill>
              <w14:schemeClr w14:val="tx1"/>
            </w14:solidFill>
          </w14:textFill>
        </w:rPr>
        <w:t>进行治疗</w:t>
      </w:r>
      <w:r>
        <w:rPr>
          <w:rFonts w:hint="eastAsia" w:ascii="仿宋_GB2312" w:eastAsia="仿宋_GB2312"/>
          <w:color w:val="000000" w:themeColor="text1"/>
          <w:sz w:val="32"/>
          <w:szCs w:val="32"/>
          <w14:textFill>
            <w14:solidFill>
              <w14:schemeClr w14:val="tx1"/>
            </w14:solidFill>
          </w14:textFill>
        </w:rPr>
        <w:t>。</w:t>
      </w:r>
    </w:p>
    <w:p w14:paraId="0805AE4F">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耗材</w:t>
      </w:r>
      <w:r>
        <w:rPr>
          <w:rFonts w:ascii="仿宋_GB2312" w:eastAsia="仿宋_GB2312"/>
          <w:color w:val="000000" w:themeColor="text1"/>
          <w:sz w:val="32"/>
          <w:szCs w:val="32"/>
          <w14:textFill>
            <w14:solidFill>
              <w14:schemeClr w14:val="tx1"/>
            </w14:solidFill>
          </w14:textFill>
        </w:rPr>
        <w:t>及药品内容为涉及针刺和脐灸所需的</w:t>
      </w:r>
      <w:r>
        <w:rPr>
          <w:rFonts w:hint="eastAsia" w:ascii="仿宋_GB2312" w:eastAsia="仿宋_GB2312"/>
          <w:color w:val="000000" w:themeColor="text1"/>
          <w:sz w:val="32"/>
          <w:szCs w:val="32"/>
          <w14:textFill>
            <w14:solidFill>
              <w14:schemeClr w14:val="tx1"/>
            </w14:solidFill>
          </w14:textFill>
        </w:rPr>
        <w:t>工具，</w:t>
      </w:r>
      <w:r>
        <w:rPr>
          <w:rFonts w:ascii="仿宋_GB2312" w:eastAsia="仿宋_GB2312"/>
          <w:color w:val="000000" w:themeColor="text1"/>
          <w:sz w:val="32"/>
          <w:szCs w:val="32"/>
          <w14:textFill>
            <w14:solidFill>
              <w14:schemeClr w14:val="tx1"/>
            </w14:solidFill>
          </w14:textFill>
        </w:rPr>
        <w:t>其部分内容参考了《</w:t>
      </w:r>
      <w:r>
        <w:rPr>
          <w:rFonts w:hint="eastAsia" w:ascii="仿宋_GB2312" w:eastAsia="仿宋_GB2312"/>
          <w:color w:val="000000" w:themeColor="text1"/>
          <w:sz w:val="32"/>
          <w:szCs w:val="32"/>
          <w14:textFill>
            <w14:solidFill>
              <w14:schemeClr w14:val="tx1"/>
            </w14:solidFill>
          </w14:textFill>
        </w:rPr>
        <w:t>GB</w:t>
      </w:r>
      <w:r>
        <w:rPr>
          <w:rFonts w:ascii="仿宋_GB2312" w:eastAsia="仿宋_GB2312"/>
          <w:color w:val="000000" w:themeColor="text1"/>
          <w:sz w:val="32"/>
          <w:szCs w:val="32"/>
          <w14:textFill>
            <w14:solidFill>
              <w14:schemeClr w14:val="tx1"/>
            </w14:solidFill>
          </w14:textFill>
        </w:rPr>
        <w:t>/</w:t>
      </w:r>
      <w:r>
        <w:rPr>
          <w:rFonts w:hint="eastAsia" w:ascii="仿宋_GB2312" w:eastAsia="仿宋_GB2312"/>
          <w:color w:val="000000" w:themeColor="text1"/>
          <w:sz w:val="32"/>
          <w:szCs w:val="32"/>
          <w14:textFill>
            <w14:solidFill>
              <w14:schemeClr w14:val="tx1"/>
            </w14:solidFill>
          </w14:textFill>
        </w:rPr>
        <w:t>T 21709.1-2008针灸技术操作规范 第1部分 艾灸</w:t>
      </w:r>
      <w:r>
        <w:rPr>
          <w:rFonts w:ascii="仿宋_GB2312" w:eastAsia="仿宋_GB2312"/>
          <w:color w:val="000000" w:themeColor="text1"/>
          <w:sz w:val="32"/>
          <w:szCs w:val="32"/>
          <w14:textFill>
            <w14:solidFill>
              <w14:schemeClr w14:val="tx1"/>
            </w14:solidFill>
          </w14:textFill>
        </w:rPr>
        <w:t>》</w:t>
      </w:r>
      <w:r>
        <w:rPr>
          <w:rFonts w:hint="eastAsia" w:ascii="仿宋_GB2312" w:eastAsia="仿宋_GB2312"/>
          <w:color w:val="000000" w:themeColor="text1"/>
          <w:sz w:val="32"/>
          <w:szCs w:val="32"/>
          <w14:textFill>
            <w14:solidFill>
              <w14:schemeClr w14:val="tx1"/>
            </w14:solidFill>
          </w14:textFill>
        </w:rPr>
        <w:t>确定</w:t>
      </w:r>
      <w:r>
        <w:rPr>
          <w:rFonts w:ascii="仿宋_GB2312" w:eastAsia="仿宋_GB2312"/>
          <w:color w:val="000000" w:themeColor="text1"/>
          <w:sz w:val="32"/>
          <w:szCs w:val="32"/>
          <w14:textFill>
            <w14:solidFill>
              <w14:schemeClr w14:val="tx1"/>
            </w14:solidFill>
          </w14:textFill>
        </w:rPr>
        <w:t>，见图</w:t>
      </w:r>
      <w:r>
        <w:rPr>
          <w:rFonts w:hint="eastAsia" w:ascii="仿宋_GB2312" w:eastAsia="仿宋_GB2312"/>
          <w:color w:val="000000" w:themeColor="text1"/>
          <w:sz w:val="32"/>
          <w:szCs w:val="32"/>
          <w14:textFill>
            <w14:solidFill>
              <w14:schemeClr w14:val="tx1"/>
            </w14:solidFill>
          </w14:textFill>
        </w:rPr>
        <w:t>4。</w:t>
      </w:r>
    </w:p>
    <w:p w14:paraId="5CFCC6D8">
      <w:pPr>
        <w:pStyle w:val="26"/>
        <w:spacing w:after="0" w:line="240" w:lineRule="auto"/>
        <w:jc w:val="center"/>
        <w:rPr>
          <w:color w:val="000000" w:themeColor="text1"/>
          <w14:textFill>
            <w14:solidFill>
              <w14:schemeClr w14:val="tx1"/>
            </w14:solidFill>
          </w14:textFill>
        </w:rPr>
      </w:pPr>
      <w:r>
        <w:rPr>
          <w:rFonts w:ascii="仿宋_GB2312" w:eastAsia="仿宋_GB2312"/>
          <w:color w:val="000000" w:themeColor="text1"/>
          <w14:textFill>
            <w14:solidFill>
              <w14:schemeClr w14:val="tx1"/>
            </w14:solidFill>
          </w14:textFill>
        </w:rPr>
        <w:drawing>
          <wp:inline distT="0" distB="0" distL="0" distR="0">
            <wp:extent cx="5273040" cy="1401445"/>
            <wp:effectExtent l="19050" t="19050" r="22860" b="273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282657" cy="1404109"/>
                    </a:xfrm>
                    <a:prstGeom prst="rect">
                      <a:avLst/>
                    </a:prstGeom>
                    <a:ln>
                      <a:solidFill>
                        <a:sysClr val="windowText" lastClr="000000"/>
                      </a:solidFill>
                    </a:ln>
                  </pic:spPr>
                </pic:pic>
              </a:graphicData>
            </a:graphic>
          </wp:inline>
        </w:drawing>
      </w:r>
    </w:p>
    <w:p w14:paraId="68652482">
      <w:pPr>
        <w:spacing w:line="520" w:lineRule="exact"/>
        <w:jc w:val="center"/>
        <w:rPr>
          <w:rFonts w:ascii="仿宋_GB2312" w:eastAsia="仿宋_GB2312"/>
          <w:color w:val="000000" w:themeColor="text1"/>
          <w:szCs w:val="32"/>
          <w14:textFill>
            <w14:solidFill>
              <w14:schemeClr w14:val="tx1"/>
            </w14:solidFill>
          </w14:textFill>
        </w:rPr>
      </w:pPr>
      <w:r>
        <w:rPr>
          <w:rFonts w:hint="eastAsia" w:ascii="仿宋_GB2312" w:eastAsia="仿宋_GB2312"/>
          <w:color w:val="000000" w:themeColor="text1"/>
          <w:szCs w:val="32"/>
          <w14:textFill>
            <w14:solidFill>
              <w14:schemeClr w14:val="tx1"/>
            </w14:solidFill>
          </w14:textFill>
        </w:rPr>
        <w:t>图</w:t>
      </w:r>
      <w:r>
        <w:rPr>
          <w:rFonts w:ascii="仿宋_GB2312" w:eastAsia="仿宋_GB2312"/>
          <w:color w:val="000000" w:themeColor="text1"/>
          <w:szCs w:val="32"/>
          <w14:textFill>
            <w14:solidFill>
              <w14:schemeClr w14:val="tx1"/>
            </w14:solidFill>
          </w14:textFill>
        </w:rPr>
        <w:t>4</w:t>
      </w:r>
      <w:r>
        <w:rPr>
          <w:rFonts w:hint="eastAsia" w:ascii="仿宋_GB2312" w:eastAsia="仿宋_GB2312"/>
          <w:color w:val="000000" w:themeColor="text1"/>
          <w:szCs w:val="32"/>
          <w14:textFill>
            <w14:solidFill>
              <w14:schemeClr w14:val="tx1"/>
            </w14:solidFill>
          </w14:textFill>
        </w:rPr>
        <w:t xml:space="preserve">  </w:t>
      </w:r>
      <w:r>
        <w:rPr>
          <w:rFonts w:ascii="仿宋_GB2312" w:eastAsia="仿宋_GB2312"/>
          <w:color w:val="000000" w:themeColor="text1"/>
          <w:szCs w:val="32"/>
          <w14:textFill>
            <w14:solidFill>
              <w14:schemeClr w14:val="tx1"/>
            </w14:solidFill>
          </w14:textFill>
        </w:rPr>
        <w:t>《</w:t>
      </w:r>
      <w:r>
        <w:rPr>
          <w:rFonts w:hint="eastAsia" w:ascii="仿宋_GB2312" w:eastAsia="仿宋_GB2312"/>
          <w:color w:val="000000" w:themeColor="text1"/>
          <w:szCs w:val="32"/>
          <w14:textFill>
            <w14:solidFill>
              <w14:schemeClr w14:val="tx1"/>
            </w14:solidFill>
          </w14:textFill>
        </w:rPr>
        <w:t>GB</w:t>
      </w:r>
      <w:r>
        <w:rPr>
          <w:rFonts w:ascii="仿宋_GB2312" w:eastAsia="仿宋_GB2312"/>
          <w:color w:val="000000" w:themeColor="text1"/>
          <w:szCs w:val="32"/>
          <w14:textFill>
            <w14:solidFill>
              <w14:schemeClr w14:val="tx1"/>
            </w14:solidFill>
          </w14:textFill>
        </w:rPr>
        <w:t>/</w:t>
      </w:r>
      <w:r>
        <w:rPr>
          <w:rFonts w:hint="eastAsia" w:ascii="仿宋_GB2312" w:eastAsia="仿宋_GB2312"/>
          <w:color w:val="000000" w:themeColor="text1"/>
          <w:szCs w:val="32"/>
          <w14:textFill>
            <w14:solidFill>
              <w14:schemeClr w14:val="tx1"/>
            </w14:solidFill>
          </w14:textFill>
        </w:rPr>
        <w:t>T 21709.1-2008针灸技术操作规范 第1部分 艾灸</w:t>
      </w:r>
      <w:r>
        <w:rPr>
          <w:rFonts w:ascii="仿宋_GB2312" w:eastAsia="仿宋_GB2312"/>
          <w:color w:val="000000" w:themeColor="text1"/>
          <w:szCs w:val="32"/>
          <w14:textFill>
            <w14:solidFill>
              <w14:schemeClr w14:val="tx1"/>
            </w14:solidFill>
          </w14:textFill>
        </w:rPr>
        <w:t>》</w:t>
      </w:r>
    </w:p>
    <w:p w14:paraId="0B36797A">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考虑</w:t>
      </w:r>
      <w:r>
        <w:rPr>
          <w:rFonts w:ascii="仿宋_GB2312" w:eastAsia="仿宋_GB2312"/>
          <w:color w:val="000000" w:themeColor="text1"/>
          <w:sz w:val="32"/>
          <w:szCs w:val="32"/>
          <w14:textFill>
            <w14:solidFill>
              <w14:schemeClr w14:val="tx1"/>
            </w14:solidFill>
          </w14:textFill>
        </w:rPr>
        <w:t>到</w:t>
      </w:r>
      <w:r>
        <w:rPr>
          <w:rFonts w:hint="eastAsia" w:ascii="仿宋_GB2312" w:eastAsia="仿宋_GB2312"/>
          <w:color w:val="000000" w:themeColor="text1"/>
          <w:sz w:val="32"/>
          <w:szCs w:val="32"/>
          <w14:textFill>
            <w14:solidFill>
              <w14:schemeClr w14:val="tx1"/>
            </w14:solidFill>
          </w14:textFill>
        </w:rPr>
        <w:t>脐部生理特性具有皮肤薄、敏感度高、吸收快的特点，制备合适的脐灸面圈与艾炷，以保证药物与热力能有效渗透（见</w:t>
      </w:r>
      <w:r>
        <w:rPr>
          <w:rFonts w:ascii="仿宋_GB2312" w:eastAsia="仿宋_GB2312"/>
          <w:color w:val="000000" w:themeColor="text1"/>
          <w:sz w:val="32"/>
          <w:szCs w:val="32"/>
          <w14:textFill>
            <w14:solidFill>
              <w14:schemeClr w14:val="tx1"/>
            </w14:solidFill>
          </w14:textFill>
        </w:rPr>
        <w:t>图</w:t>
      </w:r>
      <w:r>
        <w:rPr>
          <w:rFonts w:hint="eastAsia" w:ascii="仿宋_GB2312" w:eastAsia="仿宋_GB2312"/>
          <w:color w:val="000000" w:themeColor="text1"/>
          <w:sz w:val="32"/>
          <w:szCs w:val="32"/>
          <w14:textFill>
            <w14:solidFill>
              <w14:schemeClr w14:val="tx1"/>
            </w14:solidFill>
          </w14:textFill>
        </w:rPr>
        <w:t>5）。面圈规格经临床实践优化，确保固定艾炷与药物，防止烫伤。同时根据不同证型，选用相应经典方剂研磨成脐灸粉，方剂来源《中药新药临床研究指导原则》（2002版），遵循中医方剂学配伍原则，如肾阴虚证</w:t>
      </w:r>
      <w:r>
        <w:rPr>
          <w:rFonts w:ascii="仿宋_GB2312" w:eastAsia="仿宋_GB2312"/>
          <w:color w:val="000000" w:themeColor="text1"/>
          <w:sz w:val="32"/>
          <w:szCs w:val="32"/>
          <w14:textFill>
            <w14:solidFill>
              <w14:schemeClr w14:val="tx1"/>
            </w14:solidFill>
          </w14:textFill>
        </w:rPr>
        <w:t>需要</w:t>
      </w:r>
      <w:r>
        <w:rPr>
          <w:rFonts w:hint="eastAsia" w:ascii="仿宋_GB2312" w:eastAsia="仿宋_GB2312"/>
          <w:color w:val="000000" w:themeColor="text1"/>
          <w:sz w:val="32"/>
          <w:szCs w:val="32"/>
          <w14:textFill>
            <w14:solidFill>
              <w14:schemeClr w14:val="tx1"/>
            </w14:solidFill>
          </w14:textFill>
        </w:rPr>
        <w:t>补肾益精、滋阴养血，</w:t>
      </w:r>
      <w:r>
        <w:rPr>
          <w:rFonts w:ascii="仿宋_GB2312" w:eastAsia="仿宋_GB2312"/>
          <w:color w:val="000000" w:themeColor="text1"/>
          <w:sz w:val="32"/>
          <w:szCs w:val="32"/>
          <w14:textFill>
            <w14:solidFill>
              <w14:schemeClr w14:val="tx1"/>
            </w14:solidFill>
          </w14:textFill>
        </w:rPr>
        <w:t>则</w:t>
      </w:r>
      <w:r>
        <w:rPr>
          <w:rFonts w:hint="eastAsia" w:ascii="仿宋_GB2312" w:eastAsia="仿宋_GB2312"/>
          <w:color w:val="000000" w:themeColor="text1"/>
          <w:sz w:val="32"/>
          <w:szCs w:val="32"/>
          <w14:textFill>
            <w14:solidFill>
              <w14:schemeClr w14:val="tx1"/>
            </w14:solidFill>
          </w14:textFill>
        </w:rPr>
        <w:t>采用养精种玉汤合左归丸；肾阳虚证需要温肾助阳、调补冲任，</w:t>
      </w:r>
      <w:r>
        <w:rPr>
          <w:rFonts w:ascii="仿宋_GB2312" w:eastAsia="仿宋_GB2312"/>
          <w:color w:val="000000" w:themeColor="text1"/>
          <w:sz w:val="32"/>
          <w:szCs w:val="32"/>
          <w14:textFill>
            <w14:solidFill>
              <w14:schemeClr w14:val="tx1"/>
            </w14:solidFill>
          </w14:textFill>
        </w:rPr>
        <w:t>则</w:t>
      </w:r>
      <w:r>
        <w:rPr>
          <w:rFonts w:hint="eastAsia" w:ascii="仿宋_GB2312" w:eastAsia="仿宋_GB2312"/>
          <w:color w:val="000000" w:themeColor="text1"/>
          <w:sz w:val="32"/>
          <w:szCs w:val="32"/>
          <w14:textFill>
            <w14:solidFill>
              <w14:schemeClr w14:val="tx1"/>
            </w14:solidFill>
          </w14:textFill>
        </w:rPr>
        <w:t>采用右归丸；脾虚证需要益气健脾，</w:t>
      </w:r>
      <w:r>
        <w:rPr>
          <w:rFonts w:ascii="仿宋_GB2312" w:eastAsia="仿宋_GB2312"/>
          <w:color w:val="000000" w:themeColor="text1"/>
          <w:sz w:val="32"/>
          <w:szCs w:val="32"/>
          <w14:textFill>
            <w14:solidFill>
              <w14:schemeClr w14:val="tx1"/>
            </w14:solidFill>
          </w14:textFill>
        </w:rPr>
        <w:t>则</w:t>
      </w:r>
      <w:r>
        <w:rPr>
          <w:rFonts w:hint="eastAsia" w:ascii="仿宋_GB2312" w:eastAsia="仿宋_GB2312"/>
          <w:color w:val="000000" w:themeColor="text1"/>
          <w:sz w:val="32"/>
          <w:szCs w:val="32"/>
          <w14:textFill>
            <w14:solidFill>
              <w14:schemeClr w14:val="tx1"/>
            </w14:solidFill>
          </w14:textFill>
        </w:rPr>
        <w:t>采用参苓白术散等等增强脐灸治疗针对性。</w:t>
      </w:r>
    </w:p>
    <w:p w14:paraId="43DF0686">
      <w:pPr>
        <w:spacing w:line="520" w:lineRule="exact"/>
        <w:ind w:firstLine="640" w:firstLineChars="200"/>
        <w:rPr>
          <w:rFonts w:ascii="仿宋_GB2312" w:eastAsia="仿宋_GB2312"/>
          <w:color w:val="000000" w:themeColor="text1"/>
          <w:sz w:val="32"/>
          <w:szCs w:val="32"/>
          <w14:textFill>
            <w14:solidFill>
              <w14:schemeClr w14:val="tx1"/>
            </w14:solidFill>
          </w14:textFill>
        </w:rPr>
      </w:pPr>
    </w:p>
    <w:tbl>
      <w:tblPr>
        <w:tblStyle w:val="18"/>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587"/>
        <w:gridCol w:w="4587"/>
      </w:tblGrid>
      <w:tr w14:paraId="1A3E2A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4587" w:type="dxa"/>
            <w:vAlign w:val="center"/>
          </w:tcPr>
          <w:p w14:paraId="5E0A2E46">
            <w:pPr>
              <w:jc w:val="cente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2217420" cy="2075180"/>
                  <wp:effectExtent l="0" t="0" r="0" b="1270"/>
                  <wp:docPr id="4" name="图片 4" descr="D:\WeChat Files\wxid_tlkkpedjg22c22\FileStorage\Temp\1750770411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D:\WeChat Files\wxid_tlkkpedjg22c22\FileStorage\Temp\175077041190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227808" cy="2085332"/>
                          </a:xfrm>
                          <a:prstGeom prst="rect">
                            <a:avLst/>
                          </a:prstGeom>
                          <a:noFill/>
                          <a:ln>
                            <a:noFill/>
                          </a:ln>
                        </pic:spPr>
                      </pic:pic>
                    </a:graphicData>
                  </a:graphic>
                </wp:inline>
              </w:drawing>
            </w:r>
          </w:p>
        </w:tc>
        <w:tc>
          <w:tcPr>
            <w:tcW w:w="4587" w:type="dxa"/>
            <w:vAlign w:val="center"/>
          </w:tcPr>
          <w:p w14:paraId="479E2D56">
            <w:pPr>
              <w:jc w:val="cente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1737360" cy="2042160"/>
                  <wp:effectExtent l="0" t="0" r="0" b="0"/>
                  <wp:docPr id="8" name="图片 8" descr="D:\WeChat Files\wxid_tlkkpedjg22c22\FileStorage\Temp\1750770465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D:\WeChat Files\wxid_tlkkpedjg22c22\FileStorage\Temp\1750770465944.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741886" cy="2047960"/>
                          </a:xfrm>
                          <a:prstGeom prst="rect">
                            <a:avLst/>
                          </a:prstGeom>
                          <a:noFill/>
                          <a:ln>
                            <a:noFill/>
                          </a:ln>
                        </pic:spPr>
                      </pic:pic>
                    </a:graphicData>
                  </a:graphic>
                </wp:inline>
              </w:drawing>
            </w:r>
          </w:p>
        </w:tc>
      </w:tr>
      <w:tr w14:paraId="66167C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74" w:type="dxa"/>
            <w:gridSpan w:val="2"/>
          </w:tcPr>
          <w:p w14:paraId="5DECF240">
            <w:pPr>
              <w:spacing w:line="520" w:lineRule="exact"/>
              <w:jc w:val="center"/>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Cs w:val="32"/>
                <w14:textFill>
                  <w14:solidFill>
                    <w14:schemeClr w14:val="tx1"/>
                  </w14:solidFill>
                </w14:textFill>
              </w:rPr>
              <w:t>图5  面圈</w:t>
            </w:r>
            <w:r>
              <w:rPr>
                <w:rFonts w:ascii="仿宋_GB2312" w:eastAsia="仿宋_GB2312"/>
                <w:color w:val="000000" w:themeColor="text1"/>
                <w:szCs w:val="32"/>
                <w14:textFill>
                  <w14:solidFill>
                    <w14:schemeClr w14:val="tx1"/>
                  </w14:solidFill>
                </w14:textFill>
              </w:rPr>
              <w:t>和艾</w:t>
            </w:r>
            <w:r>
              <w:rPr>
                <w:rFonts w:hint="eastAsia" w:ascii="仿宋_GB2312" w:eastAsia="仿宋_GB2312"/>
                <w:color w:val="000000" w:themeColor="text1"/>
                <w:szCs w:val="32"/>
                <w14:textFill>
                  <w14:solidFill>
                    <w14:schemeClr w14:val="tx1"/>
                  </w14:solidFill>
                </w14:textFill>
              </w:rPr>
              <w:t>炷</w:t>
            </w:r>
          </w:p>
        </w:tc>
      </w:tr>
    </w:tbl>
    <w:p w14:paraId="07BBF8F7">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（五）施术方法</w:t>
      </w:r>
    </w:p>
    <w:p w14:paraId="514AC5D7">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辨证分型联合方案：根据患者证型选择相应穴位及脐灸粉，当日开展针刺与脐灸。先针刺后脐灸，隔日1次，10次1疗程，根据病情给予1～3个治疗疗程。</w:t>
      </w:r>
    </w:p>
    <w:p w14:paraId="3C94A618">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大量临床研究证实针对不同证型采用相应针刺手法，可更好地调节冲任气血，改善子宫内膜厚度与容受性。如对脾虚证采用补法针刺足三里、中脘等穴位，可增强脾胃功能，促进气血化生，为子宫内膜生长提供物质基础。</w:t>
      </w:r>
    </w:p>
    <w:p w14:paraId="2DB4AA28">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脐灸操作遵循传统流程，在脐部上方放置面圈，将药粉填入面圈内，放置锥形艾柱，利用肚脐皮肤薄、吸收快等特点，借助艾灸产生的热力使药物、药性透入肌肤，从而达到防治疾病的目的。同时明确艾炷规格（直径 2～4cm、高2～4cm）、施灸壮数（3～5 壮）使操作的</w:t>
      </w:r>
      <w:r>
        <w:rPr>
          <w:rFonts w:ascii="仿宋_GB2312" w:eastAsia="仿宋_GB2312"/>
          <w:color w:val="000000" w:themeColor="text1"/>
          <w:sz w:val="32"/>
          <w:szCs w:val="32"/>
          <w14:textFill>
            <w14:solidFill>
              <w14:schemeClr w14:val="tx1"/>
            </w14:solidFill>
          </w14:textFill>
        </w:rPr>
        <w:t>灵活</w:t>
      </w:r>
      <w:r>
        <w:rPr>
          <w:rFonts w:hint="eastAsia" w:ascii="仿宋_GB2312" w:eastAsia="仿宋_GB2312"/>
          <w:color w:val="000000" w:themeColor="text1"/>
          <w:sz w:val="32"/>
          <w:szCs w:val="32"/>
          <w14:textFill>
            <w14:solidFill>
              <w14:schemeClr w14:val="tx1"/>
            </w14:solidFill>
          </w14:textFill>
        </w:rPr>
        <w:t>性</w:t>
      </w:r>
      <w:r>
        <w:rPr>
          <w:rFonts w:ascii="仿宋_GB2312" w:eastAsia="仿宋_GB2312"/>
          <w:color w:val="000000" w:themeColor="text1"/>
          <w:sz w:val="32"/>
          <w:szCs w:val="32"/>
          <w14:textFill>
            <w14:solidFill>
              <w14:schemeClr w14:val="tx1"/>
            </w14:solidFill>
          </w14:textFill>
        </w:rPr>
        <w:t>更强，</w:t>
      </w:r>
      <w:r>
        <w:rPr>
          <w:rFonts w:hint="eastAsia" w:ascii="仿宋_GB2312" w:eastAsia="仿宋_GB2312"/>
          <w:color w:val="000000" w:themeColor="text1"/>
          <w:sz w:val="32"/>
          <w:szCs w:val="32"/>
          <w14:textFill>
            <w14:solidFill>
              <w14:schemeClr w14:val="tx1"/>
            </w14:solidFill>
          </w14:textFill>
        </w:rPr>
        <w:t>时长0.5～1小时考虑到</w:t>
      </w:r>
      <w:r>
        <w:rPr>
          <w:rFonts w:ascii="仿宋_GB2312" w:eastAsia="仿宋_GB2312"/>
          <w:color w:val="000000" w:themeColor="text1"/>
          <w:sz w:val="32"/>
          <w:szCs w:val="32"/>
          <w14:textFill>
            <w14:solidFill>
              <w14:schemeClr w14:val="tx1"/>
            </w14:solidFill>
          </w14:textFill>
        </w:rPr>
        <w:t>不同</w:t>
      </w:r>
      <w:r>
        <w:rPr>
          <w:rFonts w:hint="eastAsia" w:ascii="仿宋_GB2312" w:eastAsia="仿宋_GB2312"/>
          <w:color w:val="000000" w:themeColor="text1"/>
          <w:sz w:val="32"/>
          <w:szCs w:val="32"/>
          <w14:textFill>
            <w14:solidFill>
              <w14:schemeClr w14:val="tx1"/>
            </w14:solidFill>
          </w14:textFill>
        </w:rPr>
        <w:t>患者</w:t>
      </w:r>
      <w:r>
        <w:rPr>
          <w:rFonts w:ascii="仿宋_GB2312" w:eastAsia="仿宋_GB2312"/>
          <w:color w:val="000000" w:themeColor="text1"/>
          <w:sz w:val="32"/>
          <w:szCs w:val="32"/>
          <w14:textFill>
            <w14:solidFill>
              <w14:schemeClr w14:val="tx1"/>
            </w14:solidFill>
          </w14:textFill>
        </w:rPr>
        <w:t>群体对脐灸的耐受性不同</w:t>
      </w:r>
      <w:r>
        <w:rPr>
          <w:rFonts w:hint="eastAsia" w:ascii="仿宋_GB2312" w:eastAsia="仿宋_GB2312"/>
          <w:color w:val="000000" w:themeColor="text1"/>
          <w:sz w:val="32"/>
          <w:szCs w:val="32"/>
          <w14:textFill>
            <w14:solidFill>
              <w14:schemeClr w14:val="tx1"/>
            </w14:solidFill>
          </w14:textFill>
        </w:rPr>
        <w:t>，增加</w:t>
      </w:r>
      <w:r>
        <w:rPr>
          <w:rFonts w:ascii="仿宋_GB2312" w:eastAsia="仿宋_GB2312"/>
          <w:color w:val="000000" w:themeColor="text1"/>
          <w:sz w:val="32"/>
          <w:szCs w:val="32"/>
          <w14:textFill>
            <w14:solidFill>
              <w14:schemeClr w14:val="tx1"/>
            </w14:solidFill>
          </w14:textFill>
        </w:rPr>
        <w:t>一个范围值。</w:t>
      </w:r>
      <w:r>
        <w:rPr>
          <w:rFonts w:hint="eastAsia" w:ascii="仿宋_GB2312" w:eastAsia="仿宋_GB2312"/>
          <w:color w:val="000000" w:themeColor="text1"/>
          <w:sz w:val="32"/>
          <w:szCs w:val="32"/>
          <w14:textFill>
            <w14:solidFill>
              <w14:schemeClr w14:val="tx1"/>
            </w14:solidFill>
          </w14:textFill>
        </w:rPr>
        <w:t>这些参数经长期实践验证，能保证脐灸温通经络、散寒除湿等功效发挥。</w:t>
      </w:r>
    </w:p>
    <w:p w14:paraId="545CA2D8">
      <w:pPr>
        <w:spacing w:line="560" w:lineRule="exact"/>
        <w:ind w:firstLine="643" w:firstLineChars="200"/>
        <w:rPr>
          <w:rFonts w:ascii="仿宋_GB2312" w:hAnsi="楷体" w:eastAsia="仿宋_GB2312" w:cs="Times New Roman"/>
          <w:b/>
          <w:color w:val="000000" w:themeColor="text1"/>
          <w:sz w:val="32"/>
          <w:szCs w:val="32"/>
          <w14:textFill>
            <w14:solidFill>
              <w14:schemeClr w14:val="tx1"/>
            </w14:solidFill>
          </w14:textFill>
        </w:rPr>
      </w:pPr>
      <w:r>
        <w:rPr>
          <w:rFonts w:hint="eastAsia" w:ascii="仿宋_GB2312" w:hAnsi="楷体" w:eastAsia="仿宋_GB2312" w:cs="Times New Roman"/>
          <w:b/>
          <w:color w:val="000000" w:themeColor="text1"/>
          <w:sz w:val="32"/>
          <w:szCs w:val="32"/>
          <w14:textFill>
            <w14:solidFill>
              <w14:schemeClr w14:val="tx1"/>
            </w14:solidFill>
          </w14:textFill>
        </w:rPr>
        <w:t>（1）取穴</w:t>
      </w:r>
      <w:r>
        <w:rPr>
          <w:rFonts w:ascii="仿宋_GB2312" w:hAnsi="楷体" w:eastAsia="仿宋_GB2312" w:cs="Times New Roman"/>
          <w:b/>
          <w:color w:val="000000" w:themeColor="text1"/>
          <w:sz w:val="32"/>
          <w:szCs w:val="32"/>
          <w14:textFill>
            <w14:solidFill>
              <w14:schemeClr w14:val="tx1"/>
            </w14:solidFill>
          </w14:textFill>
        </w:rPr>
        <w:t>方</w:t>
      </w:r>
      <w:r>
        <w:rPr>
          <w:rFonts w:hint="eastAsia" w:ascii="仿宋_GB2312" w:hAnsi="楷体" w:eastAsia="仿宋_GB2312" w:cs="Times New Roman"/>
          <w:b/>
          <w:color w:val="000000" w:themeColor="text1"/>
          <w:sz w:val="32"/>
          <w:szCs w:val="32"/>
          <w14:textFill>
            <w14:solidFill>
              <w14:schemeClr w14:val="tx1"/>
            </w14:solidFill>
          </w14:textFill>
        </w:rPr>
        <w:t>义</w:t>
      </w:r>
    </w:p>
    <w:p w14:paraId="00E009C5">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针刺的</w:t>
      </w:r>
      <w:r>
        <w:rPr>
          <w:rFonts w:ascii="仿宋_GB2312" w:eastAsia="仿宋_GB2312"/>
          <w:color w:val="000000" w:themeColor="text1"/>
          <w:sz w:val="32"/>
          <w:szCs w:val="32"/>
          <w14:textFill>
            <w14:solidFill>
              <w14:schemeClr w14:val="tx1"/>
            </w14:solidFill>
          </w14:textFill>
        </w:rPr>
        <w:t>基本</w:t>
      </w:r>
      <w:r>
        <w:rPr>
          <w:rFonts w:hint="eastAsia" w:ascii="仿宋_GB2312" w:eastAsia="仿宋_GB2312"/>
          <w:color w:val="000000" w:themeColor="text1"/>
          <w:sz w:val="32"/>
          <w:szCs w:val="32"/>
          <w14:textFill>
            <w14:solidFill>
              <w14:schemeClr w14:val="tx1"/>
            </w14:solidFill>
          </w14:textFill>
        </w:rPr>
        <w:t>取穴</w:t>
      </w:r>
      <w:r>
        <w:rPr>
          <w:rFonts w:ascii="仿宋_GB2312" w:eastAsia="仿宋_GB2312"/>
          <w:color w:val="000000" w:themeColor="text1"/>
          <w:sz w:val="32"/>
          <w:szCs w:val="32"/>
          <w14:textFill>
            <w14:solidFill>
              <w14:schemeClr w14:val="tx1"/>
            </w14:solidFill>
          </w14:textFill>
        </w:rPr>
        <w:t>包括</w:t>
      </w:r>
      <w:r>
        <w:rPr>
          <w:rFonts w:hint="eastAsia" w:ascii="仿宋_GB2312" w:eastAsia="仿宋_GB2312"/>
          <w:color w:val="000000" w:themeColor="text1"/>
          <w:sz w:val="32"/>
          <w:szCs w:val="32"/>
          <w14:textFill>
            <w14:solidFill>
              <w14:schemeClr w14:val="tx1"/>
            </w14:solidFill>
          </w14:textFill>
        </w:rPr>
        <w:t>关元、肾俞、三阴交、中极、子宫穴。关元为任脉穴，与肾俞配用可益肾固本，调理冲任；中极为任脉穴位，与足三阴经相交会，可通调冲任，理下焦之气；三阴交为足三阴经交会穴，可健脾化湿，补益肝肾，调理冲任；子宫穴为经外奇穴，配合中极穴可调和冲任，理气和血。</w:t>
      </w:r>
    </w:p>
    <w:p w14:paraId="2DE3811E">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肾虚证穴位</w:t>
      </w:r>
      <w:r>
        <w:rPr>
          <w:rFonts w:ascii="仿宋_GB2312" w:eastAsia="仿宋_GB2312"/>
          <w:color w:val="000000" w:themeColor="text1"/>
          <w:sz w:val="32"/>
          <w:szCs w:val="32"/>
          <w14:textFill>
            <w14:solidFill>
              <w14:schemeClr w14:val="tx1"/>
            </w14:solidFill>
          </w14:textFill>
        </w:rPr>
        <w:t>选择包括</w:t>
      </w:r>
      <w:r>
        <w:rPr>
          <w:rFonts w:hint="eastAsia" w:ascii="仿宋_GB2312" w:eastAsia="仿宋_GB2312"/>
          <w:color w:val="000000" w:themeColor="text1"/>
          <w:sz w:val="32"/>
          <w:szCs w:val="32"/>
          <w14:textFill>
            <w14:solidFill>
              <w14:schemeClr w14:val="tx1"/>
            </w14:solidFill>
          </w14:textFill>
        </w:rPr>
        <w:t>太溪穴、志室穴；肾阳虚可配命门穴，肾阴虚可配照海穴。太溪穴是肾经原穴，配合志室穴可益肾固本，调理冲任；命门穴可益肾助火，扶阳强身，治疗肾阳虚症状；照海穴为八脉交会穴，通阴跷脉，可滋阴润燥，调治阴虚火旺之症。</w:t>
      </w:r>
    </w:p>
    <w:p w14:paraId="0BDD185F">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脾虚证穴位</w:t>
      </w:r>
      <w:r>
        <w:rPr>
          <w:rFonts w:ascii="仿宋_GB2312" w:eastAsia="仿宋_GB2312"/>
          <w:color w:val="000000" w:themeColor="text1"/>
          <w:sz w:val="32"/>
          <w:szCs w:val="32"/>
          <w14:textFill>
            <w14:solidFill>
              <w14:schemeClr w14:val="tx1"/>
            </w14:solidFill>
          </w14:textFill>
        </w:rPr>
        <w:t>选择包括</w:t>
      </w:r>
      <w:r>
        <w:rPr>
          <w:rFonts w:hint="eastAsia" w:ascii="仿宋_GB2312" w:eastAsia="仿宋_GB2312"/>
          <w:color w:val="000000" w:themeColor="text1"/>
          <w:sz w:val="32"/>
          <w:szCs w:val="32"/>
          <w14:textFill>
            <w14:solidFill>
              <w14:schemeClr w14:val="tx1"/>
            </w14:solidFill>
          </w14:textFill>
        </w:rPr>
        <w:t>足三里、中脘穴、血海穴。足三里是强壮要穴，尤其是健运脾胃的第一要穴，刺激该穴能健运脾胃，增强其运化水谷、化生气血的能力，为气血生化之本提供强大的动力来源；中脘穴作为胃的募穴和腑会，能直通胃腑，是调理胃（连脾）的重要枢纽。与足三里相配，形成“募合配穴法”，共同强健脾胃中焦之枢，以资气血化生之源；血海穴能健脾益气，化生营血，充盈血海，增强脾的统摄功能。</w:t>
      </w:r>
    </w:p>
    <w:p w14:paraId="3BFCA388">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血虚证穴位</w:t>
      </w:r>
      <w:r>
        <w:rPr>
          <w:rFonts w:ascii="仿宋_GB2312" w:eastAsia="仿宋_GB2312"/>
          <w:color w:val="000000" w:themeColor="text1"/>
          <w:sz w:val="32"/>
          <w:szCs w:val="32"/>
          <w14:textFill>
            <w14:solidFill>
              <w14:schemeClr w14:val="tx1"/>
            </w14:solidFill>
          </w14:textFill>
        </w:rPr>
        <w:t>选择包括</w:t>
      </w:r>
      <w:r>
        <w:rPr>
          <w:rFonts w:hint="eastAsia" w:ascii="仿宋_GB2312" w:eastAsia="仿宋_GB2312"/>
          <w:color w:val="000000" w:themeColor="text1"/>
          <w:sz w:val="32"/>
          <w:szCs w:val="32"/>
          <w14:textFill>
            <w14:solidFill>
              <w14:schemeClr w14:val="tx1"/>
            </w14:solidFill>
          </w14:textFill>
        </w:rPr>
        <w:t>气海穴、血海穴、足三里、膈俞穴。此方以“气海补气为根，血海、膈俞生血为用，足三里化源为本”，四穴贯通先天元气、后天脾胃及血分；气海穴补气为基，任脉总调胞宫，气海温补元气；血海穴生新血，主脾虚血少；膈俞穴调营血，主血虚兼瘀，二者协同充盈血海（胞宫）；足三里穴强壮脾胃运化功能，从源头解决气血生成不足的问题，为补气补血提供物质基础。</w:t>
      </w:r>
    </w:p>
    <w:p w14:paraId="661A5E46">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血寒证穴位</w:t>
      </w:r>
      <w:r>
        <w:rPr>
          <w:rFonts w:ascii="仿宋_GB2312" w:eastAsia="仿宋_GB2312"/>
          <w:color w:val="000000" w:themeColor="text1"/>
          <w:sz w:val="32"/>
          <w:szCs w:val="32"/>
          <w14:textFill>
            <w14:solidFill>
              <w14:schemeClr w14:val="tx1"/>
            </w14:solidFill>
          </w14:textFill>
        </w:rPr>
        <w:t>选择包括</w:t>
      </w:r>
      <w:r>
        <w:rPr>
          <w:rFonts w:hint="eastAsia" w:ascii="仿宋_GB2312" w:eastAsia="仿宋_GB2312"/>
          <w:color w:val="000000" w:themeColor="text1"/>
          <w:sz w:val="32"/>
          <w:szCs w:val="32"/>
          <w14:textFill>
            <w14:solidFill>
              <w14:schemeClr w14:val="tx1"/>
            </w14:solidFill>
          </w14:textFill>
        </w:rPr>
        <w:t>气海、血海、地机、次</w:t>
      </w:r>
      <w:r>
        <w:rPr>
          <w:rFonts w:hint="eastAsia" w:ascii="微软雅黑" w:hAnsi="微软雅黑" w:eastAsia="微软雅黑" w:cs="微软雅黑"/>
          <w:color w:val="000000" w:themeColor="text1"/>
          <w:sz w:val="32"/>
          <w:szCs w:val="32"/>
          <w14:textFill>
            <w14:solidFill>
              <w14:schemeClr w14:val="tx1"/>
            </w14:solidFill>
          </w14:textFill>
        </w:rPr>
        <w:t>髎</w:t>
      </w:r>
      <w:r>
        <w:rPr>
          <w:rFonts w:hint="eastAsia" w:ascii="仿宋_GB2312" w:eastAsia="仿宋_GB2312"/>
          <w:color w:val="000000" w:themeColor="text1"/>
          <w:sz w:val="32"/>
          <w:szCs w:val="32"/>
          <w14:textFill>
            <w14:solidFill>
              <w14:schemeClr w14:val="tx1"/>
            </w14:solidFill>
          </w14:textFill>
        </w:rPr>
        <w:t>。气海合血海可气血双调，温通并行（气行则血行，血温则寒散）；地机合次</w:t>
      </w:r>
      <w:r>
        <w:rPr>
          <w:rFonts w:hint="eastAsia" w:ascii="微软雅黑" w:hAnsi="微软雅黑" w:eastAsia="微软雅黑" w:cs="微软雅黑"/>
          <w:color w:val="000000" w:themeColor="text1"/>
          <w:sz w:val="32"/>
          <w:szCs w:val="32"/>
          <w14:textFill>
            <w14:solidFill>
              <w14:schemeClr w14:val="tx1"/>
            </w14:solidFill>
          </w14:textFill>
        </w:rPr>
        <w:t>髎</w:t>
      </w:r>
      <w:r>
        <w:rPr>
          <w:rFonts w:hint="eastAsia" w:ascii="仿宋_GB2312" w:hAnsi="仿宋_GB2312" w:eastAsia="仿宋_GB2312" w:cs="仿宋_GB2312"/>
          <w:color w:val="000000" w:themeColor="text1"/>
          <w:sz w:val="32"/>
          <w:szCs w:val="32"/>
          <w14:textFill>
            <w14:solidFill>
              <w14:schemeClr w14:val="tx1"/>
            </w14:solidFill>
          </w14:textFill>
        </w:rPr>
        <w:t>是表里配穴（脾经</w:t>
      </w:r>
      <w:r>
        <w:rPr>
          <w:rFonts w:hint="eastAsia" w:ascii="仿宋_GB2312" w:eastAsia="仿宋_GB2312"/>
          <w:color w:val="000000" w:themeColor="text1"/>
          <w:sz w:val="32"/>
          <w:szCs w:val="32"/>
          <w14:textFill>
            <w14:solidFill>
              <w14:schemeClr w14:val="tx1"/>
            </w14:solidFill>
          </w14:textFill>
        </w:rPr>
        <w:t>+膀胱经），强化深部散寒止痛；本组穴通过气海调动元气、次</w:t>
      </w:r>
      <w:r>
        <w:rPr>
          <w:rFonts w:hint="eastAsia" w:ascii="微软雅黑" w:hAnsi="微软雅黑" w:eastAsia="微软雅黑" w:cs="微软雅黑"/>
          <w:color w:val="000000" w:themeColor="text1"/>
          <w:sz w:val="32"/>
          <w:szCs w:val="32"/>
          <w14:textFill>
            <w14:solidFill>
              <w14:schemeClr w14:val="tx1"/>
            </w14:solidFill>
          </w14:textFill>
        </w:rPr>
        <w:t>髎</w:t>
      </w:r>
      <w:r>
        <w:rPr>
          <w:rFonts w:hint="eastAsia" w:ascii="仿宋_GB2312" w:hAnsi="仿宋_GB2312" w:eastAsia="仿宋_GB2312" w:cs="仿宋_GB2312"/>
          <w:color w:val="000000" w:themeColor="text1"/>
          <w:sz w:val="32"/>
          <w:szCs w:val="32"/>
          <w14:textFill>
            <w14:solidFill>
              <w14:schemeClr w14:val="tx1"/>
            </w14:solidFill>
          </w14:textFill>
        </w:rPr>
        <w:t>深通盆腔、血海地机活血，形成立体温通网络，最终起到温通奇经、暖宫散寒之效。</w:t>
      </w:r>
    </w:p>
    <w:p w14:paraId="1C9F9F10">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血瘀证穴位</w:t>
      </w:r>
      <w:r>
        <w:rPr>
          <w:rFonts w:ascii="仿宋_GB2312" w:eastAsia="仿宋_GB2312"/>
          <w:color w:val="000000" w:themeColor="text1"/>
          <w:sz w:val="32"/>
          <w:szCs w:val="32"/>
          <w14:textFill>
            <w14:solidFill>
              <w14:schemeClr w14:val="tx1"/>
            </w14:solidFill>
          </w14:textFill>
        </w:rPr>
        <w:t>选择包括</w:t>
      </w:r>
      <w:r>
        <w:rPr>
          <w:rFonts w:hint="eastAsia" w:ascii="仿宋_GB2312" w:eastAsia="仿宋_GB2312"/>
          <w:color w:val="000000" w:themeColor="text1"/>
          <w:sz w:val="32"/>
          <w:szCs w:val="32"/>
          <w14:textFill>
            <w14:solidFill>
              <w14:schemeClr w14:val="tx1"/>
            </w14:solidFill>
          </w14:textFill>
        </w:rPr>
        <w:t>血海穴、地机穴、合谷穴、膈俞穴。血海穴可活血调血，祛瘀生新，是调理血分的关键穴位，配合合谷穴，形成“行气活血法”（合谷主气，血海主血），是调理血瘀型妇科疾病的经典组合，泻合谷还能疏泄气机郁滞，推动血液运行，解决气机不畅加重血瘀的问题；地机穴可通调胞宫，活血止痛，健脾化湿，泻地机穴能快速消散胞宫瘀滞，通调冲任，显著缓解血瘀引起的小腹胀痛、刺痛、拒按；膈俞穴作为“血会”，是调理一切血症的核心穴位，泻膈俞能强力破除血中瘀滞，通调全身血脉。</w:t>
      </w:r>
    </w:p>
    <w:p w14:paraId="32A5F76A">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痰湿阻滞证穴位</w:t>
      </w:r>
      <w:r>
        <w:rPr>
          <w:rFonts w:ascii="仿宋_GB2312" w:eastAsia="仿宋_GB2312"/>
          <w:color w:val="000000" w:themeColor="text1"/>
          <w:sz w:val="32"/>
          <w:szCs w:val="32"/>
          <w14:textFill>
            <w14:solidFill>
              <w14:schemeClr w14:val="tx1"/>
            </w14:solidFill>
          </w14:textFill>
        </w:rPr>
        <w:t>选择包括</w:t>
      </w:r>
      <w:r>
        <w:rPr>
          <w:rFonts w:hint="eastAsia" w:ascii="仿宋_GB2312" w:eastAsia="仿宋_GB2312"/>
          <w:color w:val="000000" w:themeColor="text1"/>
          <w:sz w:val="32"/>
          <w:szCs w:val="32"/>
          <w14:textFill>
            <w14:solidFill>
              <w14:schemeClr w14:val="tx1"/>
            </w14:solidFill>
          </w14:textFill>
        </w:rPr>
        <w:t>丰隆、阴陵泉、足三里、水分、水道。丰隆是化痰第一要穴，涤痰化湿，通调脾胃气机；健脾利湿，温化水饮，增强脾运化功能；水分合水道可攻水湿内停，化痰利湿，直疏胞宫水饮，消除痰浊阻滞，促内膜再生；足三里强壮脾胃运化功能，补益气血。</w:t>
      </w:r>
    </w:p>
    <w:p w14:paraId="241165BE">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肝气郁结证穴位</w:t>
      </w:r>
      <w:r>
        <w:rPr>
          <w:rFonts w:ascii="仿宋_GB2312" w:eastAsia="仿宋_GB2312"/>
          <w:color w:val="000000" w:themeColor="text1"/>
          <w:sz w:val="32"/>
          <w:szCs w:val="32"/>
          <w14:textFill>
            <w14:solidFill>
              <w14:schemeClr w14:val="tx1"/>
            </w14:solidFill>
          </w14:textFill>
        </w:rPr>
        <w:t>选择包括</w:t>
      </w:r>
      <w:r>
        <w:rPr>
          <w:rFonts w:hint="eastAsia" w:ascii="仿宋_GB2312" w:eastAsia="仿宋_GB2312"/>
          <w:color w:val="000000" w:themeColor="text1"/>
          <w:sz w:val="32"/>
          <w:szCs w:val="32"/>
          <w14:textFill>
            <w14:solidFill>
              <w14:schemeClr w14:val="tx1"/>
            </w14:solidFill>
          </w14:textFill>
        </w:rPr>
        <w:t>太冲穴、期门穴、膻中穴、内关穴。太冲配合期门，双穴协同疏肝解郁，化解气郁证的病根，促进肝血充盈、气顺则血行；膻中位于胸部气海，是气机枢纽，可消除气滞导致的胸闷乳胀，辅助肝气条达；内关可针对气郁伴发的焦虑、失眠，调节自主神经功能，减少情绪波动对内分泌的干扰；此方以“疏肝为纲，调气为枢”，形成标本同治的配穴结构，共达疏肝解郁之效。</w:t>
      </w:r>
    </w:p>
    <w:p w14:paraId="330F78B0">
      <w:pPr>
        <w:spacing w:line="560" w:lineRule="exact"/>
        <w:ind w:firstLine="643" w:firstLineChars="200"/>
        <w:rPr>
          <w:rFonts w:ascii="仿宋_GB2312" w:hAnsi="楷体" w:eastAsia="仿宋_GB2312" w:cs="Times New Roman"/>
          <w:b/>
          <w:color w:val="000000" w:themeColor="text1"/>
          <w:sz w:val="32"/>
          <w:szCs w:val="32"/>
          <w14:textFill>
            <w14:solidFill>
              <w14:schemeClr w14:val="tx1"/>
            </w14:solidFill>
          </w14:textFill>
        </w:rPr>
      </w:pPr>
      <w:r>
        <w:rPr>
          <w:rFonts w:hint="eastAsia" w:ascii="仿宋_GB2312" w:hAnsi="楷体" w:eastAsia="仿宋_GB2312" w:cs="Times New Roman"/>
          <w:b/>
          <w:color w:val="000000" w:themeColor="text1"/>
          <w:sz w:val="32"/>
          <w:szCs w:val="32"/>
          <w14:textFill>
            <w14:solidFill>
              <w14:schemeClr w14:val="tx1"/>
            </w14:solidFill>
          </w14:textFill>
        </w:rPr>
        <w:t>（2）临床应用</w:t>
      </w:r>
      <w:r>
        <w:rPr>
          <w:rFonts w:ascii="仿宋_GB2312" w:hAnsi="楷体" w:eastAsia="仿宋_GB2312" w:cs="Times New Roman"/>
          <w:b/>
          <w:color w:val="000000" w:themeColor="text1"/>
          <w:sz w:val="32"/>
          <w:szCs w:val="32"/>
          <w14:textFill>
            <w14:solidFill>
              <w14:schemeClr w14:val="tx1"/>
            </w14:solidFill>
          </w14:textFill>
        </w:rPr>
        <w:t>案例</w:t>
      </w:r>
    </w:p>
    <w:p w14:paraId="7395D9A4">
      <w:pPr>
        <w:widowControl/>
        <w:autoSpaceDE w:val="0"/>
        <w:autoSpaceDN w:val="0"/>
        <w:spacing w:line="520" w:lineRule="exact"/>
        <w:ind w:firstLine="560" w:firstLineChars="200"/>
        <w:rPr>
          <w:rFonts w:ascii="仿宋_GB2312" w:eastAsia="仿宋_GB2312" w:cs="仿宋"/>
          <w:bCs/>
          <w:color w:val="000000" w:themeColor="text1"/>
          <w:kern w:val="0"/>
          <w:sz w:val="28"/>
          <w:szCs w:val="28"/>
          <w14:textFill>
            <w14:solidFill>
              <w14:schemeClr w14:val="tx1"/>
            </w14:solidFill>
          </w14:textFill>
        </w:rPr>
      </w:pPr>
      <w:r>
        <w:rPr>
          <w:rFonts w:hint="eastAsia" w:ascii="仿宋_GB2312" w:eastAsia="仿宋_GB2312" w:cs="仿宋"/>
          <w:bCs/>
          <w:color w:val="000000" w:themeColor="text1"/>
          <w:kern w:val="0"/>
          <w:sz w:val="28"/>
          <w:szCs w:val="28"/>
          <w14:textFill>
            <w14:solidFill>
              <w14:schemeClr w14:val="tx1"/>
            </w14:solidFill>
          </w14:textFill>
        </w:rPr>
        <w:t>患者1：</w:t>
      </w:r>
      <w:r>
        <w:rPr>
          <w:rFonts w:ascii="仿宋_GB2312" w:eastAsia="仿宋_GB2312" w:cs="仿宋"/>
          <w:bCs/>
          <w:color w:val="000000" w:themeColor="text1"/>
          <w:kern w:val="0"/>
          <w:sz w:val="28"/>
          <w:szCs w:val="28"/>
          <w14:textFill>
            <w14:solidFill>
              <w14:schemeClr w14:val="tx1"/>
            </w14:solidFill>
          </w14:textFill>
        </w:rPr>
        <w:t>31岁，既往2017年孕9周胎停行清宫术，2018年孕12周重度地贫引产+清宫，2020年孕16周再次因重度地贫引产+清宫，2022年孕5周+胚胎停育行清宫术，2023年开始月经量较前减少，伴有痛经，2024年2月宫腔镜提示重度宫腔粘连（混合型），2024年5月前来南宁市第二人民医院生殖医疗中心寻求辅助生殖技术（PGT）助孕，2024年9月促排攒得2枚囊胚待移植，2025年1月14日第一次移植，移植前内膜7mm B型，1月23日复诊抽血HCG 21.27mIU/mL，1月25日复查HCG 28.22mIU/mL，考虑生化妊娠。2025年4月因内膜薄（HRT19天后内膜6mm B型）”取消胚胎移植，此后寻求中医治疗，结合病症及舌脉，辨证为“脾肾亏虚、气血不足证”，开始行针刺+脐灸治疗，同时配合中药内服调理。5月28日HRT14天后查B超内膜7.4mm A-B型，定于6月3日移植，6月14日复诊抽血确认妊娠（HCG 201mIU/mL）。</w:t>
      </w:r>
    </w:p>
    <w:p w14:paraId="56CB6362">
      <w:pPr>
        <w:widowControl/>
        <w:autoSpaceDE w:val="0"/>
        <w:autoSpaceDN w:val="0"/>
        <w:spacing w:line="520" w:lineRule="exact"/>
        <w:ind w:firstLine="560" w:firstLineChars="200"/>
        <w:rPr>
          <w:rFonts w:ascii="仿宋_GB2312" w:eastAsia="仿宋_GB2312" w:cs="仿宋"/>
          <w:bCs/>
          <w:color w:val="000000" w:themeColor="text1"/>
          <w:kern w:val="0"/>
          <w:sz w:val="28"/>
          <w:szCs w:val="28"/>
          <w14:textFill>
            <w14:solidFill>
              <w14:schemeClr w14:val="tx1"/>
            </w14:solidFill>
          </w14:textFill>
        </w:rPr>
      </w:pPr>
      <w:r>
        <w:rPr>
          <w:rFonts w:hint="eastAsia" w:ascii="仿宋_GB2312" w:eastAsia="仿宋_GB2312" w:cs="仿宋"/>
          <w:bCs/>
          <w:color w:val="000000" w:themeColor="text1"/>
          <w:kern w:val="0"/>
          <w:sz w:val="28"/>
          <w:szCs w:val="28"/>
          <w14:textFill>
            <w14:solidFill>
              <w14:schemeClr w14:val="tx1"/>
            </w14:solidFill>
          </w14:textFill>
        </w:rPr>
        <w:t>患者2：</w:t>
      </w:r>
      <w:r>
        <w:rPr>
          <w:rFonts w:ascii="仿宋_GB2312" w:eastAsia="仿宋_GB2312" w:cs="仿宋"/>
          <w:bCs/>
          <w:color w:val="000000" w:themeColor="text1"/>
          <w:kern w:val="0"/>
          <w:sz w:val="28"/>
          <w:szCs w:val="28"/>
          <w14:textFill>
            <w14:solidFill>
              <w14:schemeClr w14:val="tx1"/>
            </w14:solidFill>
          </w14:textFill>
        </w:rPr>
        <w:t>39岁，因“输卵管积水梗阻”自2022年开始在南宁市第二人民医院试管助孕，2023年3月及4月移植后分别生化及胎停，2024年12月HRT22天查B超内膜6mm取消移植，2025年3月宫腔镜提示“宫腔粘连 轻度 周围型”。此后开始寻求中医药治疗，中医辨证属“脾肾亏虚证”，经中药内服及针刺联合脐灸等综合治疗，2025年5月11日（HRT24天）复查B超内膜7.5mm，A型，于5月16日胚胎移植，5月27日返院抽血HCG 646.54mIU/mL。</w:t>
      </w:r>
    </w:p>
    <w:p w14:paraId="53B09BB7">
      <w:pPr>
        <w:widowControl/>
        <w:autoSpaceDE w:val="0"/>
        <w:autoSpaceDN w:val="0"/>
        <w:spacing w:line="520" w:lineRule="exact"/>
        <w:ind w:firstLine="560" w:firstLineChars="200"/>
        <w:rPr>
          <w:rFonts w:ascii="仿宋_GB2312" w:eastAsia="仿宋_GB2312" w:cs="仿宋"/>
          <w:bCs/>
          <w:color w:val="000000" w:themeColor="text1"/>
          <w:kern w:val="0"/>
          <w:sz w:val="28"/>
          <w:szCs w:val="28"/>
          <w14:textFill>
            <w14:solidFill>
              <w14:schemeClr w14:val="tx1"/>
            </w14:solidFill>
          </w14:textFill>
        </w:rPr>
      </w:pPr>
      <w:r>
        <w:rPr>
          <w:rFonts w:hint="eastAsia" w:ascii="仿宋_GB2312" w:eastAsia="仿宋_GB2312" w:cs="仿宋"/>
          <w:bCs/>
          <w:color w:val="000000" w:themeColor="text1"/>
          <w:kern w:val="0"/>
          <w:sz w:val="28"/>
          <w:szCs w:val="28"/>
          <w14:textFill>
            <w14:solidFill>
              <w14:schemeClr w14:val="tx1"/>
            </w14:solidFill>
          </w14:textFill>
        </w:rPr>
        <w:t>患者3：</w:t>
      </w:r>
      <w:r>
        <w:rPr>
          <w:rFonts w:ascii="仿宋_GB2312" w:eastAsia="仿宋_GB2312" w:cs="仿宋"/>
          <w:bCs/>
          <w:color w:val="000000" w:themeColor="text1"/>
          <w:kern w:val="0"/>
          <w:sz w:val="28"/>
          <w:szCs w:val="28"/>
          <w14:textFill>
            <w14:solidFill>
              <w14:schemeClr w14:val="tx1"/>
            </w14:solidFill>
          </w14:textFill>
        </w:rPr>
        <w:t>33岁，</w:t>
      </w:r>
      <w:r>
        <w:rPr>
          <w:rFonts w:hint="eastAsia" w:ascii="仿宋_GB2312" w:eastAsia="仿宋_GB2312" w:cs="仿宋"/>
          <w:bCs/>
          <w:color w:val="000000" w:themeColor="text1"/>
          <w:kern w:val="0"/>
          <w:sz w:val="28"/>
          <w:szCs w:val="28"/>
          <w14:textFill>
            <w14:solidFill>
              <w14:schemeClr w14:val="tx1"/>
            </w14:solidFill>
          </w14:textFill>
        </w:rPr>
        <w:t>曾</w:t>
      </w:r>
      <w:r>
        <w:rPr>
          <w:rFonts w:ascii="仿宋_GB2312" w:eastAsia="仿宋_GB2312" w:cs="仿宋"/>
          <w:bCs/>
          <w:color w:val="000000" w:themeColor="text1"/>
          <w:kern w:val="0"/>
          <w:sz w:val="28"/>
          <w:szCs w:val="28"/>
          <w14:textFill>
            <w14:solidFill>
              <w14:schemeClr w14:val="tx1"/>
            </w14:solidFill>
          </w14:textFill>
        </w:rPr>
        <w:t>在</w:t>
      </w:r>
      <w:r>
        <w:rPr>
          <w:rFonts w:hint="eastAsia" w:ascii="仿宋_GB2312" w:eastAsia="仿宋_GB2312" w:cs="仿宋"/>
          <w:bCs/>
          <w:color w:val="000000" w:themeColor="text1"/>
          <w:kern w:val="0"/>
          <w:sz w:val="28"/>
          <w:szCs w:val="28"/>
          <w14:textFill>
            <w14:solidFill>
              <w14:schemeClr w14:val="tx1"/>
            </w14:solidFill>
          </w14:textFill>
        </w:rPr>
        <w:t>某地进行</w:t>
      </w:r>
      <w:r>
        <w:rPr>
          <w:rFonts w:ascii="仿宋_GB2312" w:eastAsia="仿宋_GB2312" w:cs="仿宋"/>
          <w:bCs/>
          <w:color w:val="000000" w:themeColor="text1"/>
          <w:kern w:val="0"/>
          <w:sz w:val="28"/>
          <w:szCs w:val="28"/>
          <w14:textFill>
            <w14:solidFill>
              <w14:schemeClr w14:val="tx1"/>
            </w14:solidFill>
          </w14:textFill>
        </w:rPr>
        <w:t>多次试管助孕胚胎移植</w:t>
      </w:r>
      <w:r>
        <w:rPr>
          <w:rFonts w:hint="eastAsia" w:ascii="仿宋_GB2312" w:eastAsia="仿宋_GB2312" w:cs="仿宋"/>
          <w:bCs/>
          <w:color w:val="000000" w:themeColor="text1"/>
          <w:kern w:val="0"/>
          <w:sz w:val="28"/>
          <w:szCs w:val="28"/>
          <w14:textFill>
            <w14:solidFill>
              <w14:schemeClr w14:val="tx1"/>
            </w14:solidFill>
          </w14:textFill>
        </w:rPr>
        <w:t>，</w:t>
      </w:r>
      <w:r>
        <w:rPr>
          <w:rFonts w:ascii="仿宋_GB2312" w:eastAsia="仿宋_GB2312" w:cs="仿宋"/>
          <w:bCs/>
          <w:color w:val="000000" w:themeColor="text1"/>
          <w:kern w:val="0"/>
          <w:sz w:val="28"/>
          <w:szCs w:val="28"/>
          <w14:textFill>
            <w14:solidFill>
              <w14:schemeClr w14:val="tx1"/>
            </w14:solidFill>
          </w14:textFill>
        </w:rPr>
        <w:t>失败后2024年1月转南宁市第二人民医院生殖医疗中心试管助孕，经促排取卵受精后配得4枚胚胎待移植。2024年5/6月因内膜薄（均小于6mm）取消胚胎移植，中医辨证属“肾虚、气血不足证”，经中药内服、针刺及脐灸调理1月余后于9月9日移植（内膜7.2mm A-B型），9月20日返院复诊后确认妊娠，于2025年5月19日产得1男婴。</w:t>
      </w:r>
    </w:p>
    <w:p w14:paraId="395291A6">
      <w:pPr>
        <w:widowControl/>
        <w:autoSpaceDE w:val="0"/>
        <w:autoSpaceDN w:val="0"/>
        <w:spacing w:line="520" w:lineRule="exact"/>
        <w:ind w:firstLine="560" w:firstLineChars="200"/>
        <w:rPr>
          <w:rFonts w:ascii="仿宋_GB2312" w:eastAsia="仿宋_GB2312" w:cs="仿宋"/>
          <w:bCs/>
          <w:color w:val="000000" w:themeColor="text1"/>
          <w:kern w:val="0"/>
          <w:sz w:val="28"/>
          <w:szCs w:val="28"/>
          <w14:textFill>
            <w14:solidFill>
              <w14:schemeClr w14:val="tx1"/>
            </w14:solidFill>
          </w14:textFill>
        </w:rPr>
      </w:pPr>
      <w:r>
        <w:rPr>
          <w:rFonts w:ascii="仿宋_GB2312" w:eastAsia="仿宋_GB2312" w:cs="仿宋"/>
          <w:bCs/>
          <w:color w:val="000000" w:themeColor="text1"/>
          <w:kern w:val="0"/>
          <w:sz w:val="28"/>
          <w:szCs w:val="28"/>
          <w14:textFill>
            <w14:solidFill>
              <w14:schemeClr w14:val="tx1"/>
            </w14:solidFill>
          </w14:textFill>
        </w:rPr>
        <w:t>患者4：27岁，有多年“卵巢卵巢综合征”病史，2023年底开始在南宁市第二人民医院生殖医疗中心两次人工授精未孕后转试管助孕，2024年11月经促排攒得5枚胚胎，因“内膜薄”推迟胚胎移植，中医辨证属“脾虚湿滞证”，给予中药内服，联合针刺、脐灸等治疗2月余，于2025年3月30日移植（内膜8.0mm A-B），4月12日返院抽血确认妊娠（HCG 704mIU/mL），目前已转产科常规产检。</w:t>
      </w:r>
    </w:p>
    <w:p w14:paraId="2FAA62CD">
      <w:pPr>
        <w:widowControl/>
        <w:autoSpaceDE w:val="0"/>
        <w:autoSpaceDN w:val="0"/>
        <w:spacing w:line="520" w:lineRule="exact"/>
        <w:ind w:firstLine="560" w:firstLineChars="200"/>
        <w:rPr>
          <w:rFonts w:ascii="仿宋_GB2312" w:eastAsia="仿宋_GB2312" w:cs="仿宋"/>
          <w:bCs/>
          <w:color w:val="000000" w:themeColor="text1"/>
          <w:kern w:val="0"/>
          <w:sz w:val="28"/>
          <w:szCs w:val="28"/>
          <w14:textFill>
            <w14:solidFill>
              <w14:schemeClr w14:val="tx1"/>
            </w14:solidFill>
          </w14:textFill>
        </w:rPr>
      </w:pPr>
      <w:r>
        <w:rPr>
          <w:rFonts w:ascii="仿宋_GB2312" w:eastAsia="仿宋_GB2312" w:cs="仿宋"/>
          <w:bCs/>
          <w:color w:val="000000" w:themeColor="text1"/>
          <w:kern w:val="0"/>
          <w:sz w:val="28"/>
          <w:szCs w:val="28"/>
          <w14:textFill>
            <w14:solidFill>
              <w14:schemeClr w14:val="tx1"/>
            </w14:solidFill>
          </w14:textFill>
        </w:rPr>
        <w:t>患者5：40岁，既往2022年</w:t>
      </w:r>
      <w:r>
        <w:rPr>
          <w:rFonts w:hint="eastAsia" w:ascii="仿宋_GB2312" w:eastAsia="仿宋_GB2312" w:cs="仿宋"/>
          <w:bCs/>
          <w:color w:val="000000" w:themeColor="text1"/>
          <w:kern w:val="0"/>
          <w:sz w:val="28"/>
          <w:szCs w:val="28"/>
          <w14:textFill>
            <w14:solidFill>
              <w14:schemeClr w14:val="tx1"/>
            </w14:solidFill>
          </w14:textFill>
        </w:rPr>
        <w:t>～</w:t>
      </w:r>
      <w:r>
        <w:rPr>
          <w:rFonts w:ascii="仿宋_GB2312" w:eastAsia="仿宋_GB2312" w:cs="仿宋"/>
          <w:bCs/>
          <w:color w:val="000000" w:themeColor="text1"/>
          <w:kern w:val="0"/>
          <w:sz w:val="28"/>
          <w:szCs w:val="28"/>
          <w14:textFill>
            <w14:solidFill>
              <w14:schemeClr w14:val="tx1"/>
            </w14:solidFill>
          </w14:textFill>
        </w:rPr>
        <w:t>2024年因2次胎停行清宫术，同时因“宫腔粘连”行3次宫腔镜检查治疗，于2024年9月在南宁市第二人民医院生殖医疗中心行三代试管助孕，同年11月促排取卵后养囊得5枚，过筛后可移植囊胚2枚，移植前2025年1月、2月监测内膜均＜6.5mm，于2025年2月开始配合中医药治疗，辨证属于“肾虚血瘀证”，给予中药内服联合针刺、脐灸治疗，定于5月22日移植，当日内膜达7.1mm A-B，6月2日复诊抽血确认妊娠（HCG 738.77mIU/mL）。</w:t>
      </w:r>
    </w:p>
    <w:p w14:paraId="369D0F9D">
      <w:pPr>
        <w:widowControl/>
        <w:autoSpaceDE w:val="0"/>
        <w:autoSpaceDN w:val="0"/>
        <w:spacing w:line="520" w:lineRule="exact"/>
        <w:ind w:firstLine="560" w:firstLineChars="200"/>
        <w:rPr>
          <w:rFonts w:ascii="仿宋_GB2312" w:eastAsia="仿宋_GB2312" w:cs="仿宋"/>
          <w:bCs/>
          <w:color w:val="000000" w:themeColor="text1"/>
          <w:kern w:val="0"/>
          <w:sz w:val="28"/>
          <w:szCs w:val="28"/>
          <w14:textFill>
            <w14:solidFill>
              <w14:schemeClr w14:val="tx1"/>
            </w14:solidFill>
          </w14:textFill>
        </w:rPr>
      </w:pPr>
      <w:r>
        <w:rPr>
          <w:rFonts w:ascii="仿宋_GB2312" w:eastAsia="仿宋_GB2312" w:cs="仿宋"/>
          <w:bCs/>
          <w:color w:val="000000" w:themeColor="text1"/>
          <w:kern w:val="0"/>
          <w:sz w:val="28"/>
          <w:szCs w:val="28"/>
          <w14:textFill>
            <w14:solidFill>
              <w14:schemeClr w14:val="tx1"/>
            </w14:solidFill>
          </w14:textFill>
        </w:rPr>
        <w:t>以上</w:t>
      </w:r>
      <w:r>
        <w:rPr>
          <w:rFonts w:hint="eastAsia" w:ascii="仿宋_GB2312" w:eastAsia="仿宋_GB2312" w:cs="仿宋"/>
          <w:bCs/>
          <w:color w:val="000000" w:themeColor="text1"/>
          <w:kern w:val="0"/>
          <w:sz w:val="28"/>
          <w:szCs w:val="28"/>
          <w14:textFill>
            <w14:solidFill>
              <w14:schemeClr w14:val="tx1"/>
            </w14:solidFill>
          </w14:textFill>
        </w:rPr>
        <w:t>部分</w:t>
      </w:r>
      <w:r>
        <w:rPr>
          <w:rFonts w:ascii="仿宋_GB2312" w:eastAsia="仿宋_GB2312" w:cs="仿宋"/>
          <w:bCs/>
          <w:color w:val="000000" w:themeColor="text1"/>
          <w:kern w:val="0"/>
          <w:sz w:val="28"/>
          <w:szCs w:val="28"/>
          <w14:textFill>
            <w14:solidFill>
              <w14:schemeClr w14:val="tx1"/>
            </w14:solidFill>
          </w14:textFill>
        </w:rPr>
        <w:t>举例</w:t>
      </w:r>
      <w:r>
        <w:rPr>
          <w:rFonts w:hint="eastAsia" w:ascii="仿宋_GB2312" w:eastAsia="仿宋_GB2312" w:cs="仿宋"/>
          <w:bCs/>
          <w:color w:val="000000" w:themeColor="text1"/>
          <w:kern w:val="0"/>
          <w:sz w:val="28"/>
          <w:szCs w:val="28"/>
          <w14:textFill>
            <w14:solidFill>
              <w14:schemeClr w14:val="tx1"/>
            </w14:solidFill>
          </w14:textFill>
        </w:rPr>
        <w:t>临床应用案例</w:t>
      </w:r>
      <w:r>
        <w:rPr>
          <w:rFonts w:ascii="仿宋_GB2312" w:eastAsia="仿宋_GB2312" w:cs="仿宋"/>
          <w:bCs/>
          <w:color w:val="000000" w:themeColor="text1"/>
          <w:kern w:val="0"/>
          <w:sz w:val="28"/>
          <w:szCs w:val="28"/>
          <w14:textFill>
            <w14:solidFill>
              <w14:schemeClr w14:val="tx1"/>
            </w14:solidFill>
          </w14:textFill>
        </w:rPr>
        <w:t>表明，中医药在薄型子宫内膜治疗方面确有优势，通过</w:t>
      </w:r>
      <w:r>
        <w:rPr>
          <w:rFonts w:hint="eastAsia" w:ascii="仿宋_GB2312" w:eastAsia="仿宋_GB2312" w:cs="仿宋"/>
          <w:bCs/>
          <w:color w:val="000000" w:themeColor="text1"/>
          <w:kern w:val="0"/>
          <w:sz w:val="28"/>
          <w:szCs w:val="28"/>
          <w14:textFill>
            <w14:solidFill>
              <w14:schemeClr w14:val="tx1"/>
            </w14:solidFill>
          </w14:textFill>
        </w:rPr>
        <w:t>针刺</w:t>
      </w:r>
      <w:r>
        <w:rPr>
          <w:rFonts w:ascii="仿宋_GB2312" w:eastAsia="仿宋_GB2312" w:cs="仿宋"/>
          <w:bCs/>
          <w:color w:val="000000" w:themeColor="text1"/>
          <w:kern w:val="0"/>
          <w:sz w:val="28"/>
          <w:szCs w:val="28"/>
          <w14:textFill>
            <w14:solidFill>
              <w14:schemeClr w14:val="tx1"/>
            </w14:solidFill>
          </w14:textFill>
        </w:rPr>
        <w:t>联合脐灸协同治疗，更好</w:t>
      </w:r>
      <w:r>
        <w:rPr>
          <w:rFonts w:hint="eastAsia" w:ascii="仿宋_GB2312" w:eastAsia="仿宋_GB2312" w:cs="仿宋"/>
          <w:bCs/>
          <w:color w:val="000000" w:themeColor="text1"/>
          <w:kern w:val="0"/>
          <w:sz w:val="28"/>
          <w:szCs w:val="28"/>
          <w14:textFill>
            <w14:solidFill>
              <w14:schemeClr w14:val="tx1"/>
            </w14:solidFill>
          </w14:textFill>
        </w:rPr>
        <w:t>地</w:t>
      </w:r>
      <w:r>
        <w:rPr>
          <w:rFonts w:ascii="仿宋_GB2312" w:eastAsia="仿宋_GB2312" w:cs="仿宋"/>
          <w:bCs/>
          <w:color w:val="000000" w:themeColor="text1"/>
          <w:kern w:val="0"/>
          <w:sz w:val="28"/>
          <w:szCs w:val="28"/>
          <w14:textFill>
            <w14:solidFill>
              <w14:schemeClr w14:val="tx1"/>
            </w14:solidFill>
          </w14:textFill>
        </w:rPr>
        <w:t>帮助患者改善内膜厚度，从而提高</w:t>
      </w:r>
      <w:r>
        <w:rPr>
          <w:rFonts w:hint="eastAsia" w:ascii="仿宋_GB2312" w:eastAsia="仿宋_GB2312" w:cs="仿宋"/>
          <w:bCs/>
          <w:color w:val="000000" w:themeColor="text1"/>
          <w:kern w:val="0"/>
          <w:sz w:val="28"/>
          <w:szCs w:val="28"/>
          <w14:textFill>
            <w14:solidFill>
              <w14:schemeClr w14:val="tx1"/>
            </w14:solidFill>
          </w14:textFill>
        </w:rPr>
        <w:t>了</w:t>
      </w:r>
      <w:r>
        <w:rPr>
          <w:rFonts w:ascii="仿宋_GB2312" w:eastAsia="仿宋_GB2312" w:cs="仿宋"/>
          <w:bCs/>
          <w:color w:val="000000" w:themeColor="text1"/>
          <w:kern w:val="0"/>
          <w:sz w:val="28"/>
          <w:szCs w:val="28"/>
          <w14:textFill>
            <w14:solidFill>
              <w14:schemeClr w14:val="tx1"/>
            </w14:solidFill>
          </w14:textFill>
        </w:rPr>
        <w:t>试管婴儿移植成功率、临床妊娠率</w:t>
      </w:r>
      <w:r>
        <w:rPr>
          <w:rFonts w:ascii="仿宋_GB2312" w:eastAsia="仿宋_GB2312" w:cs="仿宋"/>
          <w:b/>
          <w:bCs/>
          <w:color w:val="000000" w:themeColor="text1"/>
          <w:kern w:val="0"/>
          <w:sz w:val="28"/>
          <w:szCs w:val="28"/>
          <w14:textFill>
            <w14:solidFill>
              <w14:schemeClr w14:val="tx1"/>
            </w14:solidFill>
          </w14:textFill>
        </w:rPr>
        <w:t>。</w:t>
      </w:r>
      <w:r>
        <w:rPr>
          <w:rFonts w:hint="eastAsia" w:ascii="仿宋_GB2312" w:eastAsia="仿宋_GB2312" w:cs="仿宋"/>
          <w:bCs/>
          <w:color w:val="000000" w:themeColor="text1"/>
          <w:kern w:val="0"/>
          <w:sz w:val="28"/>
          <w:szCs w:val="28"/>
          <w14:textFill>
            <w14:solidFill>
              <w14:schemeClr w14:val="tx1"/>
            </w14:solidFill>
          </w14:textFill>
        </w:rPr>
        <w:t>针刺、脐灸治疗操作见</w:t>
      </w:r>
      <w:r>
        <w:rPr>
          <w:rFonts w:ascii="仿宋_GB2312" w:eastAsia="仿宋_GB2312" w:cs="仿宋"/>
          <w:bCs/>
          <w:color w:val="000000" w:themeColor="text1"/>
          <w:kern w:val="0"/>
          <w:sz w:val="28"/>
          <w:szCs w:val="28"/>
          <w14:textFill>
            <w14:solidFill>
              <w14:schemeClr w14:val="tx1"/>
            </w14:solidFill>
          </w14:textFill>
        </w:rPr>
        <w:t>图</w:t>
      </w:r>
      <w:r>
        <w:rPr>
          <w:rFonts w:hint="eastAsia" w:ascii="仿宋_GB2312" w:eastAsia="仿宋_GB2312" w:cs="仿宋"/>
          <w:bCs/>
          <w:color w:val="000000" w:themeColor="text1"/>
          <w:kern w:val="0"/>
          <w:sz w:val="28"/>
          <w:szCs w:val="28"/>
          <w14:textFill>
            <w14:solidFill>
              <w14:schemeClr w14:val="tx1"/>
            </w14:solidFill>
          </w14:textFill>
        </w:rPr>
        <w:t>6</w:t>
      </w:r>
      <w:r>
        <w:rPr>
          <w:rFonts w:ascii="仿宋_GB2312" w:eastAsia="仿宋_GB2312" w:cs="仿宋"/>
          <w:bCs/>
          <w:color w:val="000000" w:themeColor="text1"/>
          <w:kern w:val="0"/>
          <w:sz w:val="28"/>
          <w:szCs w:val="28"/>
          <w14:textFill>
            <w14:solidFill>
              <w14:schemeClr w14:val="tx1"/>
            </w14:solidFill>
          </w14:textFill>
        </w:rPr>
        <w:t>。</w:t>
      </w:r>
    </w:p>
    <w:tbl>
      <w:tblPr>
        <w:tblStyle w:val="18"/>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396"/>
        <w:gridCol w:w="3045"/>
        <w:gridCol w:w="2733"/>
      </w:tblGrid>
      <w:tr w14:paraId="3AD775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156" w:type="dxa"/>
            <w:vAlign w:val="center"/>
          </w:tcPr>
          <w:p w14:paraId="426CDC44">
            <w:pPr>
              <w:widowControl/>
              <w:autoSpaceDE w:val="0"/>
              <w:autoSpaceDN w:val="0"/>
              <w:jc w:val="center"/>
              <w:rPr>
                <w:rFonts w:ascii="仿宋_GB2312" w:eastAsia="仿宋_GB2312" w:cs="仿宋"/>
                <w:bCs/>
                <w:color w:val="000000" w:themeColor="text1"/>
                <w:kern w:val="0"/>
                <w:sz w:val="28"/>
                <w:szCs w:val="28"/>
                <w14:textFill>
                  <w14:solidFill>
                    <w14:schemeClr w14:val="tx1"/>
                  </w14:solidFill>
                </w14:textFill>
              </w:rPr>
            </w:pPr>
            <w:r>
              <w:rPr>
                <w:rFonts w:ascii="仿宋_GB2312" w:eastAsia="仿宋_GB2312" w:cs="仿宋"/>
                <w:bCs/>
                <w:color w:val="000000" w:themeColor="text1"/>
                <w:kern w:val="0"/>
                <w:sz w:val="28"/>
                <w:szCs w:val="28"/>
                <w14:textFill>
                  <w14:solidFill>
                    <w14:schemeClr w14:val="tx1"/>
                  </w14:solidFill>
                </w14:textFill>
              </w:rPr>
              <w:drawing>
                <wp:inline distT="0" distB="0" distL="0" distR="0">
                  <wp:extent cx="2016760" cy="1518285"/>
                  <wp:effectExtent l="0" t="0" r="2540" b="5715"/>
                  <wp:docPr id="11" name="图片 11" descr="D:\WeChat Files\wxid_tlkkpedjg22c22\FileStorage\Temp\17510150690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D:\WeChat Files\wxid_tlkkpedjg22c22\FileStorage\Temp\1751015069080.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016760" cy="1518285"/>
                          </a:xfrm>
                          <a:prstGeom prst="rect">
                            <a:avLst/>
                          </a:prstGeom>
                          <a:noFill/>
                          <a:ln>
                            <a:noFill/>
                          </a:ln>
                        </pic:spPr>
                      </pic:pic>
                    </a:graphicData>
                  </a:graphic>
                </wp:inline>
              </w:drawing>
            </w:r>
          </w:p>
        </w:tc>
        <w:tc>
          <w:tcPr>
            <w:tcW w:w="3054" w:type="dxa"/>
            <w:vAlign w:val="center"/>
          </w:tcPr>
          <w:p w14:paraId="654AFB8F">
            <w:pPr>
              <w:widowControl/>
              <w:autoSpaceDE w:val="0"/>
              <w:autoSpaceDN w:val="0"/>
              <w:jc w:val="center"/>
              <w:rPr>
                <w:rFonts w:ascii="仿宋_GB2312" w:eastAsia="仿宋_GB2312" w:cs="仿宋"/>
                <w:bCs/>
                <w:color w:val="000000" w:themeColor="text1"/>
                <w:kern w:val="0"/>
                <w:sz w:val="28"/>
                <w:szCs w:val="28"/>
                <w14:textFill>
                  <w14:solidFill>
                    <w14:schemeClr w14:val="tx1"/>
                  </w14:solidFill>
                </w14:textFill>
              </w:rPr>
            </w:pPr>
            <w:r>
              <w:rPr>
                <w:color w:val="000000" w:themeColor="text1"/>
                <w14:textFill>
                  <w14:solidFill>
                    <w14:schemeClr w14:val="tx1"/>
                  </w14:solidFill>
                </w14:textFill>
              </w:rPr>
              <w:drawing>
                <wp:inline distT="0" distB="0" distL="0" distR="0">
                  <wp:extent cx="1784350" cy="1746885"/>
                  <wp:effectExtent l="0" t="0" r="6350" b="571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91684" cy="1754138"/>
                          </a:xfrm>
                          <a:prstGeom prst="rect">
                            <a:avLst/>
                          </a:prstGeom>
                        </pic:spPr>
                      </pic:pic>
                    </a:graphicData>
                  </a:graphic>
                </wp:inline>
              </w:drawing>
            </w:r>
          </w:p>
        </w:tc>
        <w:tc>
          <w:tcPr>
            <w:tcW w:w="2964" w:type="dxa"/>
          </w:tcPr>
          <w:p w14:paraId="08A19B82">
            <w:pPr>
              <w:widowControl/>
              <w:autoSpaceDE w:val="0"/>
              <w:autoSpaceDN w:val="0"/>
              <w:rPr>
                <w:rFonts w:ascii="仿宋_GB2312" w:eastAsia="仿宋_GB2312" w:cs="仿宋"/>
                <w:bCs/>
                <w:color w:val="000000" w:themeColor="text1"/>
                <w:kern w:val="0"/>
                <w:sz w:val="28"/>
                <w:szCs w:val="28"/>
                <w14:textFill>
                  <w14:solidFill>
                    <w14:schemeClr w14:val="tx1"/>
                  </w14:solidFill>
                </w14:textFill>
              </w:rPr>
            </w:pPr>
            <w:r>
              <w:rPr>
                <w:color w:val="000000" w:themeColor="text1"/>
                <w14:textFill>
                  <w14:solidFill>
                    <w14:schemeClr w14:val="tx1"/>
                  </w14:solidFill>
                </w14:textFill>
              </w:rPr>
              <w:drawing>
                <wp:inline distT="0" distB="0" distL="0" distR="0">
                  <wp:extent cx="1461135" cy="2117725"/>
                  <wp:effectExtent l="0" t="0" r="571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72276" cy="2134148"/>
                          </a:xfrm>
                          <a:prstGeom prst="rect">
                            <a:avLst/>
                          </a:prstGeom>
                        </pic:spPr>
                      </pic:pic>
                    </a:graphicData>
                  </a:graphic>
                </wp:inline>
              </w:drawing>
            </w:r>
          </w:p>
        </w:tc>
      </w:tr>
      <w:tr w14:paraId="56B1E0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74" w:type="dxa"/>
            <w:gridSpan w:val="3"/>
          </w:tcPr>
          <w:p w14:paraId="63AE7921">
            <w:pPr>
              <w:spacing w:line="520" w:lineRule="exact"/>
              <w:jc w:val="center"/>
              <w:rPr>
                <w:rFonts w:ascii="仿宋_GB2312" w:eastAsia="仿宋_GB2312"/>
                <w:color w:val="000000" w:themeColor="text1"/>
                <w:szCs w:val="32"/>
                <w14:textFill>
                  <w14:solidFill>
                    <w14:schemeClr w14:val="tx1"/>
                  </w14:solidFill>
                </w14:textFill>
              </w:rPr>
            </w:pPr>
            <w:r>
              <w:rPr>
                <w:rFonts w:hint="eastAsia" w:ascii="仿宋_GB2312" w:eastAsia="仿宋_GB2312"/>
                <w:color w:val="000000" w:themeColor="text1"/>
                <w:szCs w:val="32"/>
                <w14:textFill>
                  <w14:solidFill>
                    <w14:schemeClr w14:val="tx1"/>
                  </w14:solidFill>
                </w14:textFill>
              </w:rPr>
              <w:t>图6  针刺、脐灸治疗操作</w:t>
            </w:r>
          </w:p>
          <w:p w14:paraId="76CAA1E6">
            <w:pPr>
              <w:spacing w:line="520" w:lineRule="exact"/>
              <w:jc w:val="center"/>
              <w:rPr>
                <w:rFonts w:hint="eastAsia" w:ascii="仿宋_GB2312" w:eastAsia="仿宋_GB2312" w:cs="仿宋"/>
                <w:bCs/>
                <w:color w:val="000000" w:themeColor="text1"/>
                <w:kern w:val="0"/>
                <w:sz w:val="28"/>
                <w:szCs w:val="28"/>
                <w14:textFill>
                  <w14:solidFill>
                    <w14:schemeClr w14:val="tx1"/>
                  </w14:solidFill>
                </w14:textFill>
              </w:rPr>
            </w:pPr>
          </w:p>
        </w:tc>
      </w:tr>
    </w:tbl>
    <w:p w14:paraId="010DCA93">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（六）施术后处理</w:t>
      </w:r>
    </w:p>
    <w:p w14:paraId="092115EA">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临床实践中总结针刺后可能出现的出血、血肿、晕针等不良反应处理方法。如少量出血按压止血，血肿早期冷敷、后期热敷促进吸收，晕针时立即停止针刺，让患者平卧、保暖，必要时给予急救措施，这些方法已在临床广泛应用且行之有效。</w:t>
      </w:r>
    </w:p>
    <w:p w14:paraId="55526170">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根据脐部皮肤特点与灸后反应，制定相应皮肤护理措施。灸后观察脐部皮肤有无水疱、烫伤等，小水疱可自行吸收，大水疱按无菌操作抽吸后涂抹烫伤药膏，防止感染，促进皮肤愈合。施灸后患者身体处于气血调整状态，遵循中医养生理念，建议患者休息、保暖、避免食用寒凉食物，有助于巩固脐灸疗效，促进身体恢复。</w:t>
      </w:r>
    </w:p>
    <w:p w14:paraId="5470EA34">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（七）注意事项</w:t>
      </w:r>
    </w:p>
    <w:p w14:paraId="0AD5AD41">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依据中医理论与现代医学知识，针刺与脐灸存在禁忌人群。如孕妇针刺与脐灸可能影响胎儿发育，甚至导致流产；凝血障碍患者针刺易引起出血不止；皮肤破溃处施灸易引发感染等。</w:t>
      </w:r>
    </w:p>
    <w:p w14:paraId="42643A5B">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同时考虑患者药物过敏史与特殊体质，对艾绒过敏者禁止脐灸，防止过敏反应发生。对体质极度虚弱、过饥过饱、醉酒等患者，暂缓针刺与脐灸，以免出现意外情况，保障患者安全。</w:t>
      </w:r>
    </w:p>
    <w:p w14:paraId="1A1F8130">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针刺操作遵循规范操作</w:t>
      </w:r>
      <w:r>
        <w:rPr>
          <w:rFonts w:ascii="仿宋_GB2312" w:eastAsia="仿宋_GB2312"/>
          <w:color w:val="000000" w:themeColor="text1"/>
          <w:sz w:val="32"/>
          <w:szCs w:val="32"/>
          <w14:textFill>
            <w14:solidFill>
              <w14:schemeClr w14:val="tx1"/>
            </w14:solidFill>
          </w14:textFill>
        </w:rPr>
        <w:t>要求</w:t>
      </w:r>
      <w:r>
        <w:rPr>
          <w:rFonts w:hint="eastAsia" w:ascii="仿宋_GB2312" w:eastAsia="仿宋_GB2312"/>
          <w:color w:val="000000" w:themeColor="text1"/>
          <w:sz w:val="32"/>
          <w:szCs w:val="32"/>
          <w14:textFill>
            <w14:solidFill>
              <w14:schemeClr w14:val="tx1"/>
            </w14:solidFill>
          </w14:textFill>
        </w:rPr>
        <w:t>，针刺过程中严格消毒、正确进针角度与深度，防止刺伤重要脏器、血管、神经等。如针刺腹部穴位时，掌握合适进针角度与深度，避免损伤腹腔脏器。</w:t>
      </w:r>
    </w:p>
    <w:p w14:paraId="45ABD6E5">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脐灸操作时，严格控制艾火温度与灸疗时间，防止烫伤患者。选用质量合格的艾灸器具与艾炷，避免因器具质量问题引发安全事故，确保脐灸操作安全。</w:t>
      </w:r>
    </w:p>
    <w:p w14:paraId="6C5FDB77">
      <w:pPr>
        <w:autoSpaceDE w:val="0"/>
        <w:autoSpaceDN w:val="0"/>
        <w:adjustRightInd w:val="0"/>
        <w:spacing w:line="560" w:lineRule="exact"/>
        <w:ind w:firstLine="640" w:firstLineChars="200"/>
        <w:outlineLvl w:val="0"/>
        <w:rPr>
          <w:rFonts w:ascii="Times New Roman" w:hAnsi="Times New Roman" w:eastAsia="黑体" w:cs="Times New Roman"/>
          <w:color w:val="000000" w:themeColor="text1"/>
          <w:sz w:val="32"/>
          <w:szCs w:val="32"/>
          <w14:textFill>
            <w14:solidFill>
              <w14:schemeClr w14:val="tx1"/>
            </w14:solidFill>
          </w14:textFill>
        </w:rPr>
      </w:pPr>
      <w:r>
        <w:rPr>
          <w:rFonts w:hint="eastAsia" w:ascii="Times New Roman" w:hAnsi="Times New Roman" w:eastAsia="黑体" w:cs="Times New Roman"/>
          <w:color w:val="000000" w:themeColor="text1"/>
          <w:sz w:val="32"/>
          <w:szCs w:val="32"/>
          <w14:textFill>
            <w14:solidFill>
              <w14:schemeClr w14:val="tx1"/>
            </w14:solidFill>
          </w14:textFill>
        </w:rPr>
        <w:t>六、重大意见分歧的处理依据和结果</w:t>
      </w:r>
    </w:p>
    <w:p w14:paraId="347360FD">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本标准研制过程中无重大分歧意见。</w:t>
      </w:r>
    </w:p>
    <w:p w14:paraId="495C8E05">
      <w:pPr>
        <w:autoSpaceDE w:val="0"/>
        <w:autoSpaceDN w:val="0"/>
        <w:adjustRightInd w:val="0"/>
        <w:spacing w:line="560" w:lineRule="exact"/>
        <w:ind w:firstLine="640" w:firstLineChars="200"/>
        <w:outlineLvl w:val="0"/>
        <w:rPr>
          <w:rFonts w:ascii="Times New Roman" w:hAnsi="Times New Roman" w:eastAsia="黑体" w:cs="Times New Roman"/>
          <w:color w:val="000000" w:themeColor="text1"/>
          <w:sz w:val="32"/>
          <w:szCs w:val="32"/>
          <w14:textFill>
            <w14:solidFill>
              <w14:schemeClr w14:val="tx1"/>
            </w14:solidFill>
          </w14:textFill>
        </w:rPr>
      </w:pPr>
      <w:r>
        <w:rPr>
          <w:rFonts w:hint="eastAsia" w:ascii="Times New Roman" w:hAnsi="Times New Roman" w:eastAsia="黑体" w:cs="Times New Roman"/>
          <w:color w:val="000000" w:themeColor="text1"/>
          <w:sz w:val="32"/>
          <w:szCs w:val="32"/>
          <w14:textFill>
            <w14:solidFill>
              <w14:schemeClr w14:val="tx1"/>
            </w14:solidFill>
          </w14:textFill>
        </w:rPr>
        <w:t>七、实施标准的措施</w:t>
      </w:r>
    </w:p>
    <w:p w14:paraId="7EC133EC">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（一）标准报批发布后，成立标准宣贯工作组</w:t>
      </w:r>
    </w:p>
    <w:p w14:paraId="54F1EA55">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5FB7939F">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（二）组织开展标准宣贯培训</w:t>
      </w:r>
    </w:p>
    <w:p w14:paraId="20A72550">
      <w:pPr>
        <w:spacing w:line="520" w:lineRule="exact"/>
        <w:ind w:firstLine="640" w:firstLineChars="200"/>
        <w:rPr>
          <w:rFonts w:ascii="仿宋" w:hAnsi="仿宋" w:eastAsia="仿宋"/>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标准发布实施后，标准宣贯工作小组制作标准解读宣贯培训PPT课件和标准核心技术明白书，并按标准宣贯培训计划深入各市县相关机构，对相关技术人员开展标准宣贯培训，对标准进行逐条解读，让相关技术人员掌握标准核心技术内容，助力标准实施落地，促进医疗卫生事业健康发展。</w:t>
      </w:r>
    </w:p>
    <w:p w14:paraId="474F2CC7">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（三）开展标准实施交流会，收集标准实施反馈信息</w:t>
      </w:r>
    </w:p>
    <w:p w14:paraId="4375A968">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标准起草小组深入各市县相关医疗机构技术人员召开标准实施交流会，听取标准实施过程中存在的问题并做好记录和解答，对存在的问题组织专家团队进行研讨，为标准的复审修订做准备。</w:t>
      </w:r>
    </w:p>
    <w:p w14:paraId="13F0CFD4">
      <w:pPr>
        <w:tabs>
          <w:tab w:val="center" w:pos="4201"/>
          <w:tab w:val="right" w:leader="dot" w:pos="9298"/>
        </w:tabs>
        <w:autoSpaceDE w:val="0"/>
        <w:autoSpaceDN w:val="0"/>
        <w:spacing w:line="560" w:lineRule="exact"/>
        <w:ind w:firstLine="643" w:firstLineChars="200"/>
        <w:outlineLvl w:val="1"/>
        <w:rPr>
          <w:rFonts w:ascii="Times New Roman" w:hAnsi="Times New Roman" w:eastAsia="楷体" w:cs="Times New Roman"/>
          <w:b/>
          <w:bCs/>
          <w:color w:val="000000" w:themeColor="text1"/>
          <w:kern w:val="0"/>
          <w:sz w:val="32"/>
          <w:szCs w:val="32"/>
          <w14:textFill>
            <w14:solidFill>
              <w14:schemeClr w14:val="tx1"/>
            </w14:solidFill>
          </w14:textFill>
        </w:rPr>
      </w:pPr>
      <w:r>
        <w:rPr>
          <w:rFonts w:hint="eastAsia" w:ascii="Times New Roman" w:hAnsi="Times New Roman" w:eastAsia="楷体" w:cs="Times New Roman"/>
          <w:b/>
          <w:bCs/>
          <w:color w:val="000000" w:themeColor="text1"/>
          <w:kern w:val="0"/>
          <w:sz w:val="32"/>
          <w:szCs w:val="32"/>
          <w14:textFill>
            <w14:solidFill>
              <w14:schemeClr w14:val="tx1"/>
            </w14:solidFill>
          </w14:textFill>
        </w:rPr>
        <w:t>（四）开展标准实施效果评估</w:t>
      </w:r>
    </w:p>
    <w:p w14:paraId="1861B1B7">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标准实施满2年，每年标准宣贯工作组采取网络调查、问卷调查、实地调研、召开座谈会或论证会、专家咨询等方式开展标准实施效果评估，并形成标准实施效果评估报告，为标准的复审修订做准备。</w:t>
      </w:r>
    </w:p>
    <w:p w14:paraId="76EB67B5">
      <w:pPr>
        <w:autoSpaceDE w:val="0"/>
        <w:autoSpaceDN w:val="0"/>
        <w:adjustRightInd w:val="0"/>
        <w:spacing w:line="560" w:lineRule="exact"/>
        <w:ind w:firstLine="640" w:firstLineChars="200"/>
        <w:outlineLvl w:val="0"/>
        <w:rPr>
          <w:rFonts w:ascii="Times New Roman" w:hAnsi="Times New Roman" w:eastAsia="黑体" w:cs="Times New Roman"/>
          <w:color w:val="000000" w:themeColor="text1"/>
          <w:sz w:val="32"/>
          <w:szCs w:val="32"/>
          <w14:textFill>
            <w14:solidFill>
              <w14:schemeClr w14:val="tx1"/>
            </w14:solidFill>
          </w14:textFill>
        </w:rPr>
      </w:pPr>
      <w:r>
        <w:rPr>
          <w:rFonts w:hint="eastAsia" w:ascii="Times New Roman" w:hAnsi="Times New Roman" w:eastAsia="黑体" w:cs="Times New Roman"/>
          <w:color w:val="000000" w:themeColor="text1"/>
          <w:sz w:val="32"/>
          <w:szCs w:val="32"/>
          <w14:textFill>
            <w14:solidFill>
              <w14:schemeClr w14:val="tx1"/>
            </w14:solidFill>
          </w14:textFill>
        </w:rPr>
        <w:t>八、其他应当说明的事项</w:t>
      </w:r>
    </w:p>
    <w:p w14:paraId="3FF68DBB">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无。</w:t>
      </w:r>
    </w:p>
    <w:p w14:paraId="70A805E3">
      <w:pPr>
        <w:pStyle w:val="27"/>
        <w:rPr>
          <w:rFonts w:ascii="仿宋_GB2312" w:eastAsia="仿宋_GB2312" w:cs="Calibri"/>
          <w:color w:val="000000" w:themeColor="text1"/>
          <w:sz w:val="32"/>
          <w:szCs w:val="32"/>
          <w14:textFill>
            <w14:solidFill>
              <w14:schemeClr w14:val="tx1"/>
            </w14:solidFill>
          </w14:textFill>
        </w:rPr>
      </w:pPr>
    </w:p>
    <w:p w14:paraId="78F6D630">
      <w:pPr>
        <w:pStyle w:val="27"/>
        <w:rPr>
          <w:rFonts w:ascii="仿宋_GB2312" w:eastAsia="仿宋_GB2312"/>
          <w:color w:val="000000" w:themeColor="text1"/>
          <w:sz w:val="28"/>
          <w:szCs w:val="28"/>
          <w14:textFill>
            <w14:solidFill>
              <w14:schemeClr w14:val="tx1"/>
            </w14:solidFill>
          </w14:textFill>
        </w:rPr>
      </w:pPr>
    </w:p>
    <w:p w14:paraId="3083F20A">
      <w:pPr>
        <w:pStyle w:val="27"/>
        <w:rPr>
          <w:rFonts w:ascii="仿宋_GB2312" w:eastAsia="仿宋_GB2312"/>
          <w:color w:val="000000" w:themeColor="text1"/>
          <w:sz w:val="28"/>
          <w:szCs w:val="28"/>
          <w14:textFill>
            <w14:solidFill>
              <w14:schemeClr w14:val="tx1"/>
            </w14:solidFill>
          </w14:textFill>
        </w:rPr>
      </w:pPr>
    </w:p>
    <w:p w14:paraId="50E93430">
      <w:pPr>
        <w:spacing w:line="520" w:lineRule="exact"/>
        <w:ind w:firstLine="640" w:firstLineChars="200"/>
        <w:jc w:val="right"/>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团体标准《薄型子宫内膜患者针刺联合脐灸技术操作规范》</w:t>
      </w:r>
    </w:p>
    <w:p w14:paraId="1D83E504">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 w:hAnsi="仿宋" w:eastAsia="仿宋"/>
          <w:color w:val="000000" w:themeColor="text1"/>
          <w:sz w:val="32"/>
          <w:szCs w:val="32"/>
          <w14:textFill>
            <w14:solidFill>
              <w14:schemeClr w14:val="tx1"/>
            </w14:solidFill>
          </w14:textFill>
        </w:rPr>
        <w:t xml:space="preserve">                             </w:t>
      </w:r>
      <w:r>
        <w:rPr>
          <w:rFonts w:hint="eastAsia" w:ascii="仿宋_GB2312" w:eastAsia="仿宋_GB2312"/>
          <w:color w:val="000000" w:themeColor="text1"/>
          <w:sz w:val="32"/>
          <w:szCs w:val="32"/>
          <w14:textFill>
            <w14:solidFill>
              <w14:schemeClr w14:val="tx1"/>
            </w14:solidFill>
          </w14:textFill>
        </w:rPr>
        <w:t>标准编制工作组</w:t>
      </w:r>
    </w:p>
    <w:p w14:paraId="67F57A2E">
      <w:pPr>
        <w:spacing w:line="520" w:lineRule="exact"/>
        <w:ind w:firstLine="640" w:firstLineChars="200"/>
        <w:rPr>
          <w:rFonts w:ascii="仿宋_GB2312" w:eastAsia="仿宋_GB2312"/>
          <w:color w:val="000000" w:themeColor="text1"/>
          <w:sz w:val="32"/>
          <w:szCs w:val="32"/>
          <w14:textFill>
            <w14:solidFill>
              <w14:schemeClr w14:val="tx1"/>
            </w14:solidFill>
          </w14:textFill>
        </w:rPr>
      </w:pPr>
      <w:r>
        <w:rPr>
          <w:rFonts w:hint="eastAsia" w:ascii="仿宋" w:hAnsi="仿宋" w:eastAsia="仿宋"/>
          <w:color w:val="000000" w:themeColor="text1"/>
          <w:sz w:val="32"/>
          <w:szCs w:val="32"/>
          <w14:textFill>
            <w14:solidFill>
              <w14:schemeClr w14:val="tx1"/>
            </w14:solidFill>
          </w14:textFill>
        </w:rPr>
        <w:t xml:space="preserve">                             </w:t>
      </w:r>
      <w:r>
        <w:rPr>
          <w:rFonts w:hint="eastAsia" w:ascii="仿宋_GB2312" w:eastAsia="仿宋_GB2312"/>
          <w:color w:val="000000" w:themeColor="text1"/>
          <w:sz w:val="32"/>
          <w:szCs w:val="32"/>
          <w14:textFill>
            <w14:solidFill>
              <w14:schemeClr w14:val="tx1"/>
            </w14:solidFill>
          </w14:textFill>
        </w:rPr>
        <w:t>202</w:t>
      </w:r>
      <w:r>
        <w:rPr>
          <w:rFonts w:ascii="仿宋_GB2312" w:eastAsia="仿宋_GB2312"/>
          <w:color w:val="000000" w:themeColor="text1"/>
          <w:sz w:val="32"/>
          <w:szCs w:val="32"/>
          <w14:textFill>
            <w14:solidFill>
              <w14:schemeClr w14:val="tx1"/>
            </w14:solidFill>
          </w14:textFill>
        </w:rPr>
        <w:t>5</w:t>
      </w:r>
      <w:r>
        <w:rPr>
          <w:rFonts w:hint="eastAsia" w:ascii="仿宋_GB2312" w:eastAsia="仿宋_GB2312"/>
          <w:color w:val="000000" w:themeColor="text1"/>
          <w:sz w:val="32"/>
          <w:szCs w:val="32"/>
          <w14:textFill>
            <w14:solidFill>
              <w14:schemeClr w14:val="tx1"/>
            </w14:solidFill>
          </w14:textFill>
        </w:rPr>
        <w:t>年</w:t>
      </w:r>
      <w:r>
        <w:rPr>
          <w:rFonts w:ascii="仿宋_GB2312" w:eastAsia="仿宋_GB2312"/>
          <w:color w:val="000000" w:themeColor="text1"/>
          <w:sz w:val="32"/>
          <w:szCs w:val="32"/>
          <w14:textFill>
            <w14:solidFill>
              <w14:schemeClr w14:val="tx1"/>
            </w14:solidFill>
          </w14:textFill>
        </w:rPr>
        <w:t>6</w:t>
      </w:r>
      <w:r>
        <w:rPr>
          <w:rFonts w:hint="eastAsia" w:ascii="仿宋_GB2312" w:eastAsia="仿宋_GB2312"/>
          <w:color w:val="000000" w:themeColor="text1"/>
          <w:sz w:val="32"/>
          <w:szCs w:val="32"/>
          <w14:textFill>
            <w14:solidFill>
              <w14:schemeClr w14:val="tx1"/>
            </w14:solidFill>
          </w14:textFill>
        </w:rPr>
        <w:t>月</w:t>
      </w:r>
      <w:r>
        <w:rPr>
          <w:rFonts w:ascii="仿宋_GB2312" w:eastAsia="仿宋_GB2312"/>
          <w:color w:val="000000" w:themeColor="text1"/>
          <w:sz w:val="32"/>
          <w:szCs w:val="32"/>
          <w14:textFill>
            <w14:solidFill>
              <w14:schemeClr w14:val="tx1"/>
            </w14:solidFill>
          </w14:textFill>
        </w:rPr>
        <w:t>25</w:t>
      </w:r>
      <w:r>
        <w:rPr>
          <w:rFonts w:hint="eastAsia" w:ascii="仿宋_GB2312" w:eastAsia="仿宋_GB2312"/>
          <w:color w:val="000000" w:themeColor="text1"/>
          <w:sz w:val="32"/>
          <w:szCs w:val="32"/>
          <w14:textFill>
            <w14:solidFill>
              <w14:schemeClr w14:val="tx1"/>
            </w14:solidFill>
          </w14:textFill>
        </w:rPr>
        <w:t>日</w:t>
      </w:r>
    </w:p>
    <w:sectPr>
      <w:footerReference r:id="rId3" w:type="default"/>
      <w:pgSz w:w="11906" w:h="16838"/>
      <w:pgMar w:top="1474" w:right="1474" w:bottom="1474" w:left="1474" w:header="851" w:footer="992"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892C4DD-436A-43D7-B3D3-99EA973990B9}"/>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embedRegular r:id="rId2" w:fontKey="{24ACDAF6-8139-46F8-9F45-9465674B756F}"/>
  </w:font>
  <w:font w:name="Cambria">
    <w:panose1 w:val="02040503050406030204"/>
    <w:charset w:val="00"/>
    <w:family w:val="roman"/>
    <w:pitch w:val="default"/>
    <w:sig w:usb0="E00002FF" w:usb1="400004FF" w:usb2="00000000" w:usb3="00000000" w:csb0="2000019F" w:csb1="00000000"/>
  </w:font>
  <w:font w:name="仿宋">
    <w:panose1 w:val="02010609060101010101"/>
    <w:charset w:val="86"/>
    <w:family w:val="modern"/>
    <w:pitch w:val="default"/>
    <w:sig w:usb0="800002BF" w:usb1="38CF7CFA" w:usb2="00000016" w:usb3="00000000" w:csb0="00040001" w:csb1="00000000"/>
    <w:embedRegular r:id="rId3" w:fontKey="{CDC64B11-4F97-4BEF-9AC8-74A43FA068E4}"/>
  </w:font>
  <w:font w:name="等线">
    <w:panose1 w:val="02010600030101010101"/>
    <w:charset w:val="86"/>
    <w:family w:val="auto"/>
    <w:pitch w:val="default"/>
    <w:sig w:usb0="A00002BF" w:usb1="38CF7CFA" w:usb2="00000016" w:usb3="00000000" w:csb0="0004000F" w:csb1="00000000"/>
  </w:font>
  <w:font w:name="方正小标宋简体">
    <w:panose1 w:val="03000509000000000000"/>
    <w:charset w:val="86"/>
    <w:family w:val="auto"/>
    <w:pitch w:val="default"/>
    <w:sig w:usb0="00000001" w:usb1="080E0000" w:usb2="00000000" w:usb3="00000000" w:csb0="00040000" w:csb1="00000000"/>
    <w:embedRegular r:id="rId4" w:fontKey="{58793BE1-6916-442C-8C86-F4FF55D54213}"/>
  </w:font>
  <w:font w:name="仿宋_GB2312">
    <w:panose1 w:val="02010609030101010101"/>
    <w:charset w:val="86"/>
    <w:family w:val="modern"/>
    <w:pitch w:val="default"/>
    <w:sig w:usb0="00000001" w:usb1="080E0000" w:usb2="00000000" w:usb3="00000000" w:csb0="00040000" w:csb1="00000000"/>
    <w:embedRegular r:id="rId5" w:fontKey="{B4B9465F-82BF-4196-9C43-2D6513230E74}"/>
  </w:font>
  <w:font w:name="楷体">
    <w:panose1 w:val="02010609060101010101"/>
    <w:charset w:val="86"/>
    <w:family w:val="modern"/>
    <w:pitch w:val="default"/>
    <w:sig w:usb0="800002BF" w:usb1="38CF7CFA" w:usb2="00000016" w:usb3="00000000" w:csb0="00040001" w:csb1="00000000"/>
    <w:embedRegular r:id="rId6" w:fontKey="{320B642A-5595-46BF-9F9A-A85795948A31}"/>
  </w:font>
  <w:font w:name="微软雅黑">
    <w:panose1 w:val="020B0503020204020204"/>
    <w:charset w:val="86"/>
    <w:family w:val="swiss"/>
    <w:pitch w:val="default"/>
    <w:sig w:usb0="80000287" w:usb1="280F3C52" w:usb2="00000016" w:usb3="00000000" w:csb0="0004001F" w:csb1="00000000"/>
    <w:embedRegular r:id="rId7" w:fontKey="{640911F6-E4B8-4B19-8768-8E70EC83941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473D37">
    <w:pPr>
      <w:pStyle w:val="10"/>
      <w:ind w:firstLine="378"/>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6CF0DFA4">
                          <w:pPr>
                            <w:pStyle w:val="10"/>
                            <w:rPr>
                              <w:rFonts w:ascii="宋体" w:hAnsi="宋体"/>
                              <w:sz w:val="22"/>
                            </w:rPr>
                          </w:pPr>
                          <w:r>
                            <w:rPr>
                              <w:rFonts w:hint="eastAsia" w:ascii="宋体" w:hAnsi="宋体"/>
                              <w:sz w:val="22"/>
                            </w:rPr>
                            <w:fldChar w:fldCharType="begin"/>
                          </w:r>
                          <w:r>
                            <w:rPr>
                              <w:rFonts w:hint="eastAsia" w:ascii="宋体" w:hAnsi="宋体"/>
                              <w:sz w:val="22"/>
                            </w:rPr>
                            <w:instrText xml:space="preserve"> PAGE  \* MERGEFORMAT </w:instrText>
                          </w:r>
                          <w:r>
                            <w:rPr>
                              <w:rFonts w:hint="eastAsia" w:ascii="宋体" w:hAnsi="宋体"/>
                              <w:sz w:val="22"/>
                            </w:rPr>
                            <w:fldChar w:fldCharType="separate"/>
                          </w:r>
                          <w:r>
                            <w:rPr>
                              <w:rFonts w:ascii="宋体" w:hAnsi="宋体"/>
                              <w:sz w:val="22"/>
                            </w:rPr>
                            <w:t>20</w:t>
                          </w:r>
                          <w:r>
                            <w:rPr>
                              <w:rFonts w:hint="eastAsia" w:ascii="宋体" w:hAnsi="宋体"/>
                              <w:sz w:val="22"/>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6CF0DFA4">
                    <w:pPr>
                      <w:pStyle w:val="10"/>
                      <w:rPr>
                        <w:rFonts w:ascii="宋体" w:hAnsi="宋体"/>
                        <w:sz w:val="22"/>
                      </w:rPr>
                    </w:pPr>
                    <w:r>
                      <w:rPr>
                        <w:rFonts w:hint="eastAsia" w:ascii="宋体" w:hAnsi="宋体"/>
                        <w:sz w:val="22"/>
                      </w:rPr>
                      <w:fldChar w:fldCharType="begin"/>
                    </w:r>
                    <w:r>
                      <w:rPr>
                        <w:rFonts w:hint="eastAsia" w:ascii="宋体" w:hAnsi="宋体"/>
                        <w:sz w:val="22"/>
                      </w:rPr>
                      <w:instrText xml:space="preserve"> PAGE  \* MERGEFORMAT </w:instrText>
                    </w:r>
                    <w:r>
                      <w:rPr>
                        <w:rFonts w:hint="eastAsia" w:ascii="宋体" w:hAnsi="宋体"/>
                        <w:sz w:val="22"/>
                      </w:rPr>
                      <w:fldChar w:fldCharType="separate"/>
                    </w:r>
                    <w:r>
                      <w:rPr>
                        <w:rFonts w:ascii="宋体" w:hAnsi="宋体"/>
                        <w:sz w:val="22"/>
                      </w:rPr>
                      <w:t>20</w:t>
                    </w:r>
                    <w:r>
                      <w:rPr>
                        <w:rFonts w:hint="eastAsia" w:ascii="宋体" w:hAnsi="宋体"/>
                        <w:sz w:val="22"/>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5"/>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0BDC1670"/>
    <w:multiLevelType w:val="multilevel"/>
    <w:tmpl w:val="0BDC1670"/>
    <w:lvl w:ilvl="0" w:tentative="0">
      <w:start w:val="1"/>
      <w:numFmt w:val="decimal"/>
      <w:pStyle w:val="65"/>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2C5917C3"/>
    <w:multiLevelType w:val="multilevel"/>
    <w:tmpl w:val="2C5917C3"/>
    <w:lvl w:ilvl="0" w:tentative="0">
      <w:start w:val="1"/>
      <w:numFmt w:val="none"/>
      <w:pStyle w:val="59"/>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3">
    <w:nsid w:val="44C50F90"/>
    <w:multiLevelType w:val="multilevel"/>
    <w:tmpl w:val="44C50F90"/>
    <w:lvl w:ilvl="0" w:tentative="0">
      <w:start w:val="1"/>
      <w:numFmt w:val="lowerLetter"/>
      <w:pStyle w:val="54"/>
      <w:lvlText w:val="%1)"/>
      <w:lvlJc w:val="left"/>
      <w:pPr>
        <w:tabs>
          <w:tab w:val="left" w:pos="851"/>
        </w:tabs>
        <w:ind w:left="851" w:hanging="426"/>
      </w:pPr>
      <w:rPr>
        <w:rFonts w:hint="eastAsia" w:ascii="宋体" w:hAnsi="Times New Roman" w:eastAsia="宋体"/>
        <w:sz w:val="21"/>
      </w:rPr>
    </w:lvl>
    <w:lvl w:ilvl="1" w:tentative="0">
      <w:start w:val="1"/>
      <w:numFmt w:val="decimal"/>
      <w:pStyle w:val="52"/>
      <w:lvlText w:val="%2)"/>
      <w:lvlJc w:val="left"/>
      <w:pPr>
        <w:tabs>
          <w:tab w:val="left" w:pos="1276"/>
        </w:tabs>
        <w:ind w:left="1276" w:hanging="425"/>
      </w:pPr>
      <w:rPr>
        <w:rFonts w:hint="eastAsia" w:ascii="宋体" w:hAnsi="Times New Roman" w:eastAsia="宋体"/>
        <w:sz w:val="21"/>
      </w:rPr>
    </w:lvl>
    <w:lvl w:ilvl="2" w:tentative="0">
      <w:start w:val="1"/>
      <w:numFmt w:val="decimal"/>
      <w:pStyle w:val="53"/>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4">
    <w:nsid w:val="5A9B6960"/>
    <w:multiLevelType w:val="multilevel"/>
    <w:tmpl w:val="5A9B6960"/>
    <w:lvl w:ilvl="0" w:tentative="0">
      <w:start w:val="1"/>
      <w:numFmt w:val="none"/>
      <w:pStyle w:val="42"/>
      <w:suff w:val="nothing"/>
      <w:lvlText w:val="%1"/>
      <w:legacy w:legacy="1" w:legacySpace="0" w:legacyIndent="0"/>
      <w:lvlJc w:val="left"/>
      <w:pPr>
        <w:ind w:left="0" w:firstLine="0"/>
      </w:pPr>
      <w:rPr>
        <w:rFonts w:hint="eastAsia"/>
      </w:rPr>
    </w:lvl>
    <w:lvl w:ilvl="1" w:tentative="0">
      <w:start w:val="1"/>
      <w:numFmt w:val="decimal"/>
      <w:pStyle w:val="36"/>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8"/>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44"/>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43"/>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41"/>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abstractNum w:abstractNumId="5">
    <w:nsid w:val="60B55DC2"/>
    <w:multiLevelType w:val="multilevel"/>
    <w:tmpl w:val="60B55DC2"/>
    <w:lvl w:ilvl="0" w:tentative="0">
      <w:start w:val="1"/>
      <w:numFmt w:val="upperLetter"/>
      <w:lvlText w:val="%1"/>
      <w:lvlJc w:val="left"/>
      <w:pPr>
        <w:tabs>
          <w:tab w:val="left" w:pos="0"/>
        </w:tabs>
        <w:ind w:left="0" w:hanging="425"/>
      </w:pPr>
      <w:rPr>
        <w:rFonts w:hint="eastAsia"/>
      </w:rPr>
    </w:lvl>
    <w:lvl w:ilvl="1" w:tentative="0">
      <w:start w:val="1"/>
      <w:numFmt w:val="decimal"/>
      <w:pStyle w:val="60"/>
      <w:suff w:val="nothing"/>
      <w:lvlText w:val="表%1.%2　"/>
      <w:lvlJc w:val="left"/>
      <w:pPr>
        <w:ind w:left="56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num w:numId="1">
    <w:abstractNumId w:val="4"/>
  </w:num>
  <w:num w:numId="2">
    <w:abstractNumId w:val="0"/>
  </w:num>
  <w:num w:numId="3">
    <w:abstractNumId w:val="3"/>
  </w:num>
  <w:num w:numId="4">
    <w:abstractNumId w:val="2"/>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cwMDc0ZjI4NzNlMjMwZWM0OGFmYTgxZDU4M2Y4NDAifQ=="/>
  </w:docVars>
  <w:rsids>
    <w:rsidRoot w:val="000D75AA"/>
    <w:rsid w:val="00000831"/>
    <w:rsid w:val="000068A2"/>
    <w:rsid w:val="0000746F"/>
    <w:rsid w:val="00014983"/>
    <w:rsid w:val="000171F6"/>
    <w:rsid w:val="000178C8"/>
    <w:rsid w:val="00021A74"/>
    <w:rsid w:val="00021AEF"/>
    <w:rsid w:val="00022B48"/>
    <w:rsid w:val="00023CD6"/>
    <w:rsid w:val="00024C52"/>
    <w:rsid w:val="00041142"/>
    <w:rsid w:val="00041CA7"/>
    <w:rsid w:val="00045E58"/>
    <w:rsid w:val="00051A80"/>
    <w:rsid w:val="00051C74"/>
    <w:rsid w:val="00051F5E"/>
    <w:rsid w:val="000540AB"/>
    <w:rsid w:val="00055442"/>
    <w:rsid w:val="0006459C"/>
    <w:rsid w:val="000709A1"/>
    <w:rsid w:val="00072103"/>
    <w:rsid w:val="00073058"/>
    <w:rsid w:val="000743B4"/>
    <w:rsid w:val="00075653"/>
    <w:rsid w:val="00076330"/>
    <w:rsid w:val="00082613"/>
    <w:rsid w:val="000836DC"/>
    <w:rsid w:val="00087B5A"/>
    <w:rsid w:val="00092E1F"/>
    <w:rsid w:val="000932A2"/>
    <w:rsid w:val="00094B6B"/>
    <w:rsid w:val="000968C6"/>
    <w:rsid w:val="000969BE"/>
    <w:rsid w:val="000A36DD"/>
    <w:rsid w:val="000B2F3C"/>
    <w:rsid w:val="000B3320"/>
    <w:rsid w:val="000B3E65"/>
    <w:rsid w:val="000B6E76"/>
    <w:rsid w:val="000B748E"/>
    <w:rsid w:val="000C517B"/>
    <w:rsid w:val="000D211A"/>
    <w:rsid w:val="000D35F1"/>
    <w:rsid w:val="000D75AA"/>
    <w:rsid w:val="000D7F56"/>
    <w:rsid w:val="000E28E9"/>
    <w:rsid w:val="000E53EA"/>
    <w:rsid w:val="000F21F0"/>
    <w:rsid w:val="000F2861"/>
    <w:rsid w:val="000F3BB3"/>
    <w:rsid w:val="00102400"/>
    <w:rsid w:val="0010338D"/>
    <w:rsid w:val="00110AC2"/>
    <w:rsid w:val="001120A0"/>
    <w:rsid w:val="001121F0"/>
    <w:rsid w:val="001133E6"/>
    <w:rsid w:val="0012345E"/>
    <w:rsid w:val="00127E58"/>
    <w:rsid w:val="00132D8B"/>
    <w:rsid w:val="00133F3E"/>
    <w:rsid w:val="0013596D"/>
    <w:rsid w:val="00136CB0"/>
    <w:rsid w:val="00141D9D"/>
    <w:rsid w:val="00152CB3"/>
    <w:rsid w:val="001548F8"/>
    <w:rsid w:val="00160A77"/>
    <w:rsid w:val="00163FFE"/>
    <w:rsid w:val="001655CC"/>
    <w:rsid w:val="001748D4"/>
    <w:rsid w:val="00175140"/>
    <w:rsid w:val="0018012C"/>
    <w:rsid w:val="001821C9"/>
    <w:rsid w:val="00183018"/>
    <w:rsid w:val="00184D1A"/>
    <w:rsid w:val="00190E01"/>
    <w:rsid w:val="001928E9"/>
    <w:rsid w:val="00195660"/>
    <w:rsid w:val="001968C3"/>
    <w:rsid w:val="001A25BD"/>
    <w:rsid w:val="001A69C0"/>
    <w:rsid w:val="001A7570"/>
    <w:rsid w:val="001B0030"/>
    <w:rsid w:val="001B3580"/>
    <w:rsid w:val="001B6B04"/>
    <w:rsid w:val="001C21D4"/>
    <w:rsid w:val="001C4C8F"/>
    <w:rsid w:val="001C7DE8"/>
    <w:rsid w:val="001D0584"/>
    <w:rsid w:val="001D3156"/>
    <w:rsid w:val="001D4971"/>
    <w:rsid w:val="001E1206"/>
    <w:rsid w:val="001E29C4"/>
    <w:rsid w:val="001E2D73"/>
    <w:rsid w:val="001F251A"/>
    <w:rsid w:val="001F4D35"/>
    <w:rsid w:val="0020127F"/>
    <w:rsid w:val="00205352"/>
    <w:rsid w:val="00205D69"/>
    <w:rsid w:val="00210FD3"/>
    <w:rsid w:val="00212227"/>
    <w:rsid w:val="00214EAB"/>
    <w:rsid w:val="002171A0"/>
    <w:rsid w:val="002209F0"/>
    <w:rsid w:val="002210B4"/>
    <w:rsid w:val="00221DEA"/>
    <w:rsid w:val="0022236C"/>
    <w:rsid w:val="00226607"/>
    <w:rsid w:val="00230E98"/>
    <w:rsid w:val="002324B6"/>
    <w:rsid w:val="00232E3B"/>
    <w:rsid w:val="00234F7D"/>
    <w:rsid w:val="00236909"/>
    <w:rsid w:val="00236EB4"/>
    <w:rsid w:val="00241F8A"/>
    <w:rsid w:val="00242E52"/>
    <w:rsid w:val="0025373A"/>
    <w:rsid w:val="00253845"/>
    <w:rsid w:val="002546EF"/>
    <w:rsid w:val="0025676C"/>
    <w:rsid w:val="00262001"/>
    <w:rsid w:val="00263E80"/>
    <w:rsid w:val="00264265"/>
    <w:rsid w:val="00271E05"/>
    <w:rsid w:val="002747F5"/>
    <w:rsid w:val="00274B73"/>
    <w:rsid w:val="00280BDB"/>
    <w:rsid w:val="00281F39"/>
    <w:rsid w:val="0028500C"/>
    <w:rsid w:val="0028575C"/>
    <w:rsid w:val="002879F6"/>
    <w:rsid w:val="00292F73"/>
    <w:rsid w:val="0029554A"/>
    <w:rsid w:val="00297734"/>
    <w:rsid w:val="002A2DDC"/>
    <w:rsid w:val="002A3479"/>
    <w:rsid w:val="002B723D"/>
    <w:rsid w:val="002B7B10"/>
    <w:rsid w:val="002B7C92"/>
    <w:rsid w:val="002C176B"/>
    <w:rsid w:val="002C1D4E"/>
    <w:rsid w:val="002C3627"/>
    <w:rsid w:val="002C5F9C"/>
    <w:rsid w:val="002D2273"/>
    <w:rsid w:val="002D5597"/>
    <w:rsid w:val="002E1B63"/>
    <w:rsid w:val="002E357A"/>
    <w:rsid w:val="002E3B58"/>
    <w:rsid w:val="002E4234"/>
    <w:rsid w:val="002E5273"/>
    <w:rsid w:val="002F0D8E"/>
    <w:rsid w:val="002F4C45"/>
    <w:rsid w:val="002F5C0C"/>
    <w:rsid w:val="00302739"/>
    <w:rsid w:val="0030356D"/>
    <w:rsid w:val="00313329"/>
    <w:rsid w:val="00316588"/>
    <w:rsid w:val="00317091"/>
    <w:rsid w:val="00317530"/>
    <w:rsid w:val="00320CB4"/>
    <w:rsid w:val="00321E92"/>
    <w:rsid w:val="00322535"/>
    <w:rsid w:val="003259AF"/>
    <w:rsid w:val="00325F9F"/>
    <w:rsid w:val="003306DD"/>
    <w:rsid w:val="00330A4E"/>
    <w:rsid w:val="00332242"/>
    <w:rsid w:val="003332BA"/>
    <w:rsid w:val="00340D9B"/>
    <w:rsid w:val="00340FDE"/>
    <w:rsid w:val="003460F3"/>
    <w:rsid w:val="00346534"/>
    <w:rsid w:val="00347BB4"/>
    <w:rsid w:val="003517E7"/>
    <w:rsid w:val="00357BDF"/>
    <w:rsid w:val="00360BAF"/>
    <w:rsid w:val="00361596"/>
    <w:rsid w:val="00362C01"/>
    <w:rsid w:val="0036450F"/>
    <w:rsid w:val="00366228"/>
    <w:rsid w:val="00367D5E"/>
    <w:rsid w:val="00370812"/>
    <w:rsid w:val="00371B5F"/>
    <w:rsid w:val="00372E66"/>
    <w:rsid w:val="00373160"/>
    <w:rsid w:val="00375933"/>
    <w:rsid w:val="0037633C"/>
    <w:rsid w:val="00377A1C"/>
    <w:rsid w:val="00382E35"/>
    <w:rsid w:val="00384168"/>
    <w:rsid w:val="003872E4"/>
    <w:rsid w:val="00390AD8"/>
    <w:rsid w:val="00390C14"/>
    <w:rsid w:val="003920A4"/>
    <w:rsid w:val="00393447"/>
    <w:rsid w:val="00396F2C"/>
    <w:rsid w:val="003A3F27"/>
    <w:rsid w:val="003A5862"/>
    <w:rsid w:val="003B0042"/>
    <w:rsid w:val="003B45A7"/>
    <w:rsid w:val="003B4F42"/>
    <w:rsid w:val="003B4FCF"/>
    <w:rsid w:val="003B5B72"/>
    <w:rsid w:val="003C0E61"/>
    <w:rsid w:val="003C7382"/>
    <w:rsid w:val="003D1B3B"/>
    <w:rsid w:val="003D2335"/>
    <w:rsid w:val="003D483D"/>
    <w:rsid w:val="003D485E"/>
    <w:rsid w:val="003E080C"/>
    <w:rsid w:val="003E3BA3"/>
    <w:rsid w:val="003F1D97"/>
    <w:rsid w:val="003F3EB2"/>
    <w:rsid w:val="00400A69"/>
    <w:rsid w:val="00405301"/>
    <w:rsid w:val="00406CA3"/>
    <w:rsid w:val="00411EFB"/>
    <w:rsid w:val="00415B0D"/>
    <w:rsid w:val="00417593"/>
    <w:rsid w:val="00422CC8"/>
    <w:rsid w:val="0042686B"/>
    <w:rsid w:val="00426DC5"/>
    <w:rsid w:val="00427399"/>
    <w:rsid w:val="00430411"/>
    <w:rsid w:val="004314F4"/>
    <w:rsid w:val="00432DC4"/>
    <w:rsid w:val="00433D00"/>
    <w:rsid w:val="004348F7"/>
    <w:rsid w:val="00436198"/>
    <w:rsid w:val="004373E9"/>
    <w:rsid w:val="0044036C"/>
    <w:rsid w:val="0044065E"/>
    <w:rsid w:val="00444679"/>
    <w:rsid w:val="004458BB"/>
    <w:rsid w:val="00446351"/>
    <w:rsid w:val="0045095B"/>
    <w:rsid w:val="004526B7"/>
    <w:rsid w:val="00455701"/>
    <w:rsid w:val="00461AA3"/>
    <w:rsid w:val="00462FF9"/>
    <w:rsid w:val="00471CEC"/>
    <w:rsid w:val="00473D8F"/>
    <w:rsid w:val="004805DB"/>
    <w:rsid w:val="00480B2B"/>
    <w:rsid w:val="004828E9"/>
    <w:rsid w:val="0048511D"/>
    <w:rsid w:val="00496185"/>
    <w:rsid w:val="004A75FF"/>
    <w:rsid w:val="004B3C3F"/>
    <w:rsid w:val="004B4D68"/>
    <w:rsid w:val="004C181C"/>
    <w:rsid w:val="004C445A"/>
    <w:rsid w:val="004C4477"/>
    <w:rsid w:val="004C6673"/>
    <w:rsid w:val="004C78DD"/>
    <w:rsid w:val="004C7CD6"/>
    <w:rsid w:val="004D3C4E"/>
    <w:rsid w:val="004D6975"/>
    <w:rsid w:val="004D7C66"/>
    <w:rsid w:val="004E0167"/>
    <w:rsid w:val="004E152E"/>
    <w:rsid w:val="004E6C3D"/>
    <w:rsid w:val="004F29B4"/>
    <w:rsid w:val="004F3228"/>
    <w:rsid w:val="004F6DB3"/>
    <w:rsid w:val="005020DE"/>
    <w:rsid w:val="00503305"/>
    <w:rsid w:val="0050413F"/>
    <w:rsid w:val="005051BE"/>
    <w:rsid w:val="00505CD2"/>
    <w:rsid w:val="00507297"/>
    <w:rsid w:val="005124A3"/>
    <w:rsid w:val="00515B82"/>
    <w:rsid w:val="0051608A"/>
    <w:rsid w:val="0051755E"/>
    <w:rsid w:val="005208D0"/>
    <w:rsid w:val="00524E15"/>
    <w:rsid w:val="00530C56"/>
    <w:rsid w:val="00533B2A"/>
    <w:rsid w:val="0053400A"/>
    <w:rsid w:val="005347E0"/>
    <w:rsid w:val="0053635F"/>
    <w:rsid w:val="00536C3C"/>
    <w:rsid w:val="00537853"/>
    <w:rsid w:val="00537E5F"/>
    <w:rsid w:val="00540C2F"/>
    <w:rsid w:val="0054119B"/>
    <w:rsid w:val="0054736C"/>
    <w:rsid w:val="005505FD"/>
    <w:rsid w:val="00554B7D"/>
    <w:rsid w:val="00555C92"/>
    <w:rsid w:val="005563C0"/>
    <w:rsid w:val="00564592"/>
    <w:rsid w:val="00564A0C"/>
    <w:rsid w:val="00564F91"/>
    <w:rsid w:val="0056706B"/>
    <w:rsid w:val="00571BCB"/>
    <w:rsid w:val="005734DC"/>
    <w:rsid w:val="00573DE7"/>
    <w:rsid w:val="00575956"/>
    <w:rsid w:val="00575C51"/>
    <w:rsid w:val="0057711F"/>
    <w:rsid w:val="005777D1"/>
    <w:rsid w:val="00586987"/>
    <w:rsid w:val="005910DC"/>
    <w:rsid w:val="005945C3"/>
    <w:rsid w:val="00594F6B"/>
    <w:rsid w:val="0059544C"/>
    <w:rsid w:val="00597C52"/>
    <w:rsid w:val="005A067E"/>
    <w:rsid w:val="005A2B98"/>
    <w:rsid w:val="005A6E04"/>
    <w:rsid w:val="005B29FF"/>
    <w:rsid w:val="005B304B"/>
    <w:rsid w:val="005C07C8"/>
    <w:rsid w:val="005C2C71"/>
    <w:rsid w:val="005C5B2E"/>
    <w:rsid w:val="005C68B4"/>
    <w:rsid w:val="005C7615"/>
    <w:rsid w:val="005D3003"/>
    <w:rsid w:val="005D616B"/>
    <w:rsid w:val="005D6C2D"/>
    <w:rsid w:val="005E3C13"/>
    <w:rsid w:val="005E7B33"/>
    <w:rsid w:val="005F09D2"/>
    <w:rsid w:val="005F1668"/>
    <w:rsid w:val="005F2769"/>
    <w:rsid w:val="005F2AD0"/>
    <w:rsid w:val="005F2FD2"/>
    <w:rsid w:val="005F3061"/>
    <w:rsid w:val="005F4961"/>
    <w:rsid w:val="005F5D38"/>
    <w:rsid w:val="0060186C"/>
    <w:rsid w:val="00603AFD"/>
    <w:rsid w:val="006053F6"/>
    <w:rsid w:val="00605A2E"/>
    <w:rsid w:val="0060769D"/>
    <w:rsid w:val="006121F4"/>
    <w:rsid w:val="00617590"/>
    <w:rsid w:val="00617B08"/>
    <w:rsid w:val="00617C39"/>
    <w:rsid w:val="006260BB"/>
    <w:rsid w:val="00627AB4"/>
    <w:rsid w:val="00631D1E"/>
    <w:rsid w:val="006335ED"/>
    <w:rsid w:val="00633E53"/>
    <w:rsid w:val="006342DB"/>
    <w:rsid w:val="006343EC"/>
    <w:rsid w:val="0063539D"/>
    <w:rsid w:val="006371EA"/>
    <w:rsid w:val="00637F53"/>
    <w:rsid w:val="006404F9"/>
    <w:rsid w:val="00650AC3"/>
    <w:rsid w:val="00650FD7"/>
    <w:rsid w:val="006511A8"/>
    <w:rsid w:val="006511B3"/>
    <w:rsid w:val="00654C80"/>
    <w:rsid w:val="00660ECB"/>
    <w:rsid w:val="00661F06"/>
    <w:rsid w:val="00662588"/>
    <w:rsid w:val="00664AC8"/>
    <w:rsid w:val="0066728E"/>
    <w:rsid w:val="0067378F"/>
    <w:rsid w:val="0067489E"/>
    <w:rsid w:val="00675BAB"/>
    <w:rsid w:val="006773E1"/>
    <w:rsid w:val="00680042"/>
    <w:rsid w:val="00681FEA"/>
    <w:rsid w:val="00685738"/>
    <w:rsid w:val="006905AE"/>
    <w:rsid w:val="00691000"/>
    <w:rsid w:val="00693E48"/>
    <w:rsid w:val="00695932"/>
    <w:rsid w:val="00695D34"/>
    <w:rsid w:val="006A1B00"/>
    <w:rsid w:val="006A4226"/>
    <w:rsid w:val="006A4FC1"/>
    <w:rsid w:val="006A5636"/>
    <w:rsid w:val="006A6CB4"/>
    <w:rsid w:val="006A7BBC"/>
    <w:rsid w:val="006B0BA0"/>
    <w:rsid w:val="006B12C0"/>
    <w:rsid w:val="006B65C5"/>
    <w:rsid w:val="006C52BF"/>
    <w:rsid w:val="006D0AF0"/>
    <w:rsid w:val="006D35B1"/>
    <w:rsid w:val="006D35DC"/>
    <w:rsid w:val="006E1443"/>
    <w:rsid w:val="006E2C64"/>
    <w:rsid w:val="006F4DF7"/>
    <w:rsid w:val="006F55FA"/>
    <w:rsid w:val="006F6FB7"/>
    <w:rsid w:val="0071134C"/>
    <w:rsid w:val="007114E4"/>
    <w:rsid w:val="00714DDE"/>
    <w:rsid w:val="0071698C"/>
    <w:rsid w:val="00725212"/>
    <w:rsid w:val="00727505"/>
    <w:rsid w:val="00727802"/>
    <w:rsid w:val="00731B29"/>
    <w:rsid w:val="00733795"/>
    <w:rsid w:val="007351D6"/>
    <w:rsid w:val="00735889"/>
    <w:rsid w:val="00737200"/>
    <w:rsid w:val="00737D62"/>
    <w:rsid w:val="00741162"/>
    <w:rsid w:val="00742E57"/>
    <w:rsid w:val="0074491A"/>
    <w:rsid w:val="00754D85"/>
    <w:rsid w:val="007557E4"/>
    <w:rsid w:val="00756356"/>
    <w:rsid w:val="00757FD8"/>
    <w:rsid w:val="007605F1"/>
    <w:rsid w:val="00774434"/>
    <w:rsid w:val="007756AB"/>
    <w:rsid w:val="007811F6"/>
    <w:rsid w:val="00781896"/>
    <w:rsid w:val="00781D6C"/>
    <w:rsid w:val="007845E1"/>
    <w:rsid w:val="007936EA"/>
    <w:rsid w:val="007940A9"/>
    <w:rsid w:val="007940BF"/>
    <w:rsid w:val="007A149B"/>
    <w:rsid w:val="007A3424"/>
    <w:rsid w:val="007C244C"/>
    <w:rsid w:val="007C66E4"/>
    <w:rsid w:val="007D1FFC"/>
    <w:rsid w:val="007D725F"/>
    <w:rsid w:val="007E52EF"/>
    <w:rsid w:val="007E608C"/>
    <w:rsid w:val="007F44C1"/>
    <w:rsid w:val="00801A7F"/>
    <w:rsid w:val="00801F02"/>
    <w:rsid w:val="00803765"/>
    <w:rsid w:val="0080563C"/>
    <w:rsid w:val="00806BAC"/>
    <w:rsid w:val="00812DC4"/>
    <w:rsid w:val="00813A84"/>
    <w:rsid w:val="00814260"/>
    <w:rsid w:val="00814DA3"/>
    <w:rsid w:val="00815F39"/>
    <w:rsid w:val="008206EE"/>
    <w:rsid w:val="00821563"/>
    <w:rsid w:val="008216E8"/>
    <w:rsid w:val="00823DCE"/>
    <w:rsid w:val="008247C4"/>
    <w:rsid w:val="00824BBC"/>
    <w:rsid w:val="008264D6"/>
    <w:rsid w:val="00826611"/>
    <w:rsid w:val="00826BFA"/>
    <w:rsid w:val="008315E7"/>
    <w:rsid w:val="00831A18"/>
    <w:rsid w:val="0083258C"/>
    <w:rsid w:val="00833772"/>
    <w:rsid w:val="0083703C"/>
    <w:rsid w:val="00840B0D"/>
    <w:rsid w:val="0084154F"/>
    <w:rsid w:val="00846F9A"/>
    <w:rsid w:val="00850D96"/>
    <w:rsid w:val="00853F5C"/>
    <w:rsid w:val="00854417"/>
    <w:rsid w:val="00856862"/>
    <w:rsid w:val="00860AE3"/>
    <w:rsid w:val="00862F16"/>
    <w:rsid w:val="00874BB5"/>
    <w:rsid w:val="008779C2"/>
    <w:rsid w:val="00883F30"/>
    <w:rsid w:val="00886C98"/>
    <w:rsid w:val="00886CE3"/>
    <w:rsid w:val="00887632"/>
    <w:rsid w:val="00893A2E"/>
    <w:rsid w:val="00895F4A"/>
    <w:rsid w:val="008973E6"/>
    <w:rsid w:val="008A008B"/>
    <w:rsid w:val="008A3C18"/>
    <w:rsid w:val="008A62AA"/>
    <w:rsid w:val="008A6490"/>
    <w:rsid w:val="008A68FC"/>
    <w:rsid w:val="008B3416"/>
    <w:rsid w:val="008B4863"/>
    <w:rsid w:val="008B579D"/>
    <w:rsid w:val="008B6B5F"/>
    <w:rsid w:val="008C1125"/>
    <w:rsid w:val="008C2552"/>
    <w:rsid w:val="008C44D0"/>
    <w:rsid w:val="008C50FF"/>
    <w:rsid w:val="008D02D8"/>
    <w:rsid w:val="008D78B0"/>
    <w:rsid w:val="008E1EB5"/>
    <w:rsid w:val="008E63DC"/>
    <w:rsid w:val="008E7ADB"/>
    <w:rsid w:val="008E7C88"/>
    <w:rsid w:val="008F0327"/>
    <w:rsid w:val="008F0F8A"/>
    <w:rsid w:val="008F2A53"/>
    <w:rsid w:val="008F3A33"/>
    <w:rsid w:val="009009D6"/>
    <w:rsid w:val="009029CF"/>
    <w:rsid w:val="00905E4B"/>
    <w:rsid w:val="00913E57"/>
    <w:rsid w:val="00917DDE"/>
    <w:rsid w:val="00924305"/>
    <w:rsid w:val="00926112"/>
    <w:rsid w:val="00926E1B"/>
    <w:rsid w:val="009317D5"/>
    <w:rsid w:val="00932BA3"/>
    <w:rsid w:val="00935854"/>
    <w:rsid w:val="00940E07"/>
    <w:rsid w:val="009411E1"/>
    <w:rsid w:val="00943727"/>
    <w:rsid w:val="00947EBA"/>
    <w:rsid w:val="00951738"/>
    <w:rsid w:val="00953891"/>
    <w:rsid w:val="0096388F"/>
    <w:rsid w:val="00963992"/>
    <w:rsid w:val="00966431"/>
    <w:rsid w:val="009706A4"/>
    <w:rsid w:val="00970FC4"/>
    <w:rsid w:val="00971533"/>
    <w:rsid w:val="009718CC"/>
    <w:rsid w:val="009750C1"/>
    <w:rsid w:val="00975641"/>
    <w:rsid w:val="00975CD3"/>
    <w:rsid w:val="00991C98"/>
    <w:rsid w:val="00994827"/>
    <w:rsid w:val="009A0CE8"/>
    <w:rsid w:val="009A27F5"/>
    <w:rsid w:val="009A4141"/>
    <w:rsid w:val="009A62C4"/>
    <w:rsid w:val="009A78A5"/>
    <w:rsid w:val="009A7A2D"/>
    <w:rsid w:val="009B36FD"/>
    <w:rsid w:val="009C0BDB"/>
    <w:rsid w:val="009C2645"/>
    <w:rsid w:val="009C5B24"/>
    <w:rsid w:val="009C643E"/>
    <w:rsid w:val="009D2D7E"/>
    <w:rsid w:val="009D5100"/>
    <w:rsid w:val="009E3161"/>
    <w:rsid w:val="009F0F09"/>
    <w:rsid w:val="009F25E1"/>
    <w:rsid w:val="009F33B1"/>
    <w:rsid w:val="009F3962"/>
    <w:rsid w:val="009F5B7F"/>
    <w:rsid w:val="009F7D99"/>
    <w:rsid w:val="00A00814"/>
    <w:rsid w:val="00A0200B"/>
    <w:rsid w:val="00A05C7B"/>
    <w:rsid w:val="00A118CE"/>
    <w:rsid w:val="00A11DCA"/>
    <w:rsid w:val="00A12161"/>
    <w:rsid w:val="00A1234F"/>
    <w:rsid w:val="00A1372A"/>
    <w:rsid w:val="00A1533B"/>
    <w:rsid w:val="00A16A3E"/>
    <w:rsid w:val="00A22171"/>
    <w:rsid w:val="00A22C63"/>
    <w:rsid w:val="00A23C1F"/>
    <w:rsid w:val="00A24C2A"/>
    <w:rsid w:val="00A24C55"/>
    <w:rsid w:val="00A25D4B"/>
    <w:rsid w:val="00A263D3"/>
    <w:rsid w:val="00A2656A"/>
    <w:rsid w:val="00A30490"/>
    <w:rsid w:val="00A324C0"/>
    <w:rsid w:val="00A356AD"/>
    <w:rsid w:val="00A365A2"/>
    <w:rsid w:val="00A37FDF"/>
    <w:rsid w:val="00A42C5E"/>
    <w:rsid w:val="00A43914"/>
    <w:rsid w:val="00A449BB"/>
    <w:rsid w:val="00A47C14"/>
    <w:rsid w:val="00A501C8"/>
    <w:rsid w:val="00A511A6"/>
    <w:rsid w:val="00A518E1"/>
    <w:rsid w:val="00A52D71"/>
    <w:rsid w:val="00A52E40"/>
    <w:rsid w:val="00A55BDB"/>
    <w:rsid w:val="00A7382D"/>
    <w:rsid w:val="00A75476"/>
    <w:rsid w:val="00A82992"/>
    <w:rsid w:val="00A84390"/>
    <w:rsid w:val="00A86090"/>
    <w:rsid w:val="00A865BA"/>
    <w:rsid w:val="00A877C5"/>
    <w:rsid w:val="00A87F41"/>
    <w:rsid w:val="00A93EC6"/>
    <w:rsid w:val="00A94D0D"/>
    <w:rsid w:val="00A95615"/>
    <w:rsid w:val="00AA01C6"/>
    <w:rsid w:val="00AA10A7"/>
    <w:rsid w:val="00AA112C"/>
    <w:rsid w:val="00AA4E65"/>
    <w:rsid w:val="00AA4EDB"/>
    <w:rsid w:val="00AA7135"/>
    <w:rsid w:val="00AA73B2"/>
    <w:rsid w:val="00AB10F4"/>
    <w:rsid w:val="00AB228F"/>
    <w:rsid w:val="00AB329A"/>
    <w:rsid w:val="00AB565E"/>
    <w:rsid w:val="00AC3575"/>
    <w:rsid w:val="00AC57C3"/>
    <w:rsid w:val="00AC63CF"/>
    <w:rsid w:val="00AD0169"/>
    <w:rsid w:val="00AD0172"/>
    <w:rsid w:val="00AD2BF7"/>
    <w:rsid w:val="00AD44C7"/>
    <w:rsid w:val="00AD4D17"/>
    <w:rsid w:val="00AD5449"/>
    <w:rsid w:val="00AE261F"/>
    <w:rsid w:val="00AE2DC3"/>
    <w:rsid w:val="00AE3AD9"/>
    <w:rsid w:val="00AE6370"/>
    <w:rsid w:val="00AF11A3"/>
    <w:rsid w:val="00AF1EF8"/>
    <w:rsid w:val="00AF2036"/>
    <w:rsid w:val="00B0340D"/>
    <w:rsid w:val="00B03636"/>
    <w:rsid w:val="00B046DF"/>
    <w:rsid w:val="00B0506E"/>
    <w:rsid w:val="00B05BC1"/>
    <w:rsid w:val="00B07A8A"/>
    <w:rsid w:val="00B11249"/>
    <w:rsid w:val="00B11E26"/>
    <w:rsid w:val="00B144D3"/>
    <w:rsid w:val="00B20590"/>
    <w:rsid w:val="00B213D1"/>
    <w:rsid w:val="00B23C80"/>
    <w:rsid w:val="00B33E7B"/>
    <w:rsid w:val="00B37157"/>
    <w:rsid w:val="00B37261"/>
    <w:rsid w:val="00B429E8"/>
    <w:rsid w:val="00B43099"/>
    <w:rsid w:val="00B50F8B"/>
    <w:rsid w:val="00B53F5C"/>
    <w:rsid w:val="00B55234"/>
    <w:rsid w:val="00B5537F"/>
    <w:rsid w:val="00B55800"/>
    <w:rsid w:val="00B56568"/>
    <w:rsid w:val="00B65AE9"/>
    <w:rsid w:val="00B66676"/>
    <w:rsid w:val="00B6740B"/>
    <w:rsid w:val="00B708B2"/>
    <w:rsid w:val="00B73416"/>
    <w:rsid w:val="00B7347D"/>
    <w:rsid w:val="00B7681B"/>
    <w:rsid w:val="00B77477"/>
    <w:rsid w:val="00B823C2"/>
    <w:rsid w:val="00B82774"/>
    <w:rsid w:val="00B843EC"/>
    <w:rsid w:val="00B943A5"/>
    <w:rsid w:val="00B94DD1"/>
    <w:rsid w:val="00B94E0B"/>
    <w:rsid w:val="00B94EFE"/>
    <w:rsid w:val="00B954B8"/>
    <w:rsid w:val="00B95AA9"/>
    <w:rsid w:val="00BA12CE"/>
    <w:rsid w:val="00BA570D"/>
    <w:rsid w:val="00BA5A89"/>
    <w:rsid w:val="00BA67F2"/>
    <w:rsid w:val="00BB14F3"/>
    <w:rsid w:val="00BB15DB"/>
    <w:rsid w:val="00BB2599"/>
    <w:rsid w:val="00BB6932"/>
    <w:rsid w:val="00BB7B52"/>
    <w:rsid w:val="00BC2838"/>
    <w:rsid w:val="00BC4BDB"/>
    <w:rsid w:val="00BC75E3"/>
    <w:rsid w:val="00BD049A"/>
    <w:rsid w:val="00BD1C9B"/>
    <w:rsid w:val="00BD2990"/>
    <w:rsid w:val="00BD46AC"/>
    <w:rsid w:val="00BD50BC"/>
    <w:rsid w:val="00BD58F8"/>
    <w:rsid w:val="00BE2434"/>
    <w:rsid w:val="00BE4828"/>
    <w:rsid w:val="00BE6F1F"/>
    <w:rsid w:val="00BE7E1C"/>
    <w:rsid w:val="00BF1BCD"/>
    <w:rsid w:val="00BF1D3E"/>
    <w:rsid w:val="00BF2633"/>
    <w:rsid w:val="00BF3001"/>
    <w:rsid w:val="00BF5179"/>
    <w:rsid w:val="00C010F6"/>
    <w:rsid w:val="00C02050"/>
    <w:rsid w:val="00C07069"/>
    <w:rsid w:val="00C10DDC"/>
    <w:rsid w:val="00C11840"/>
    <w:rsid w:val="00C123EE"/>
    <w:rsid w:val="00C13CB6"/>
    <w:rsid w:val="00C16960"/>
    <w:rsid w:val="00C20386"/>
    <w:rsid w:val="00C24084"/>
    <w:rsid w:val="00C240EA"/>
    <w:rsid w:val="00C25C07"/>
    <w:rsid w:val="00C3071D"/>
    <w:rsid w:val="00C34EF5"/>
    <w:rsid w:val="00C4271D"/>
    <w:rsid w:val="00C43474"/>
    <w:rsid w:val="00C452A4"/>
    <w:rsid w:val="00C45AB0"/>
    <w:rsid w:val="00C4615A"/>
    <w:rsid w:val="00C47943"/>
    <w:rsid w:val="00C556A8"/>
    <w:rsid w:val="00C559F2"/>
    <w:rsid w:val="00C5603B"/>
    <w:rsid w:val="00C56CE2"/>
    <w:rsid w:val="00C63CAC"/>
    <w:rsid w:val="00C63F98"/>
    <w:rsid w:val="00C655FB"/>
    <w:rsid w:val="00C65F66"/>
    <w:rsid w:val="00C76CBA"/>
    <w:rsid w:val="00C83F05"/>
    <w:rsid w:val="00C84144"/>
    <w:rsid w:val="00C8714F"/>
    <w:rsid w:val="00C877FA"/>
    <w:rsid w:val="00C91BC6"/>
    <w:rsid w:val="00C928D8"/>
    <w:rsid w:val="00C94DE6"/>
    <w:rsid w:val="00C96904"/>
    <w:rsid w:val="00C9708E"/>
    <w:rsid w:val="00CA061C"/>
    <w:rsid w:val="00CA4819"/>
    <w:rsid w:val="00CA558A"/>
    <w:rsid w:val="00CA5A7B"/>
    <w:rsid w:val="00CB1526"/>
    <w:rsid w:val="00CB15D9"/>
    <w:rsid w:val="00CB4195"/>
    <w:rsid w:val="00CC0882"/>
    <w:rsid w:val="00CC6C27"/>
    <w:rsid w:val="00CC71EF"/>
    <w:rsid w:val="00CD1247"/>
    <w:rsid w:val="00CD39C3"/>
    <w:rsid w:val="00CD641B"/>
    <w:rsid w:val="00CE3911"/>
    <w:rsid w:val="00CE4310"/>
    <w:rsid w:val="00CE618C"/>
    <w:rsid w:val="00CE7CD2"/>
    <w:rsid w:val="00CF1134"/>
    <w:rsid w:val="00CF1AC8"/>
    <w:rsid w:val="00CF2652"/>
    <w:rsid w:val="00CF4569"/>
    <w:rsid w:val="00D01B13"/>
    <w:rsid w:val="00D03056"/>
    <w:rsid w:val="00D0457A"/>
    <w:rsid w:val="00D04C1F"/>
    <w:rsid w:val="00D056CC"/>
    <w:rsid w:val="00D16D4A"/>
    <w:rsid w:val="00D25186"/>
    <w:rsid w:val="00D32A78"/>
    <w:rsid w:val="00D32D33"/>
    <w:rsid w:val="00D35977"/>
    <w:rsid w:val="00D41B12"/>
    <w:rsid w:val="00D43F5A"/>
    <w:rsid w:val="00D447C6"/>
    <w:rsid w:val="00D44A5D"/>
    <w:rsid w:val="00D46122"/>
    <w:rsid w:val="00D46946"/>
    <w:rsid w:val="00D47978"/>
    <w:rsid w:val="00D5208D"/>
    <w:rsid w:val="00D54625"/>
    <w:rsid w:val="00D62C10"/>
    <w:rsid w:val="00D64597"/>
    <w:rsid w:val="00D6558E"/>
    <w:rsid w:val="00D7113A"/>
    <w:rsid w:val="00D742F6"/>
    <w:rsid w:val="00D748CD"/>
    <w:rsid w:val="00D779E8"/>
    <w:rsid w:val="00D82669"/>
    <w:rsid w:val="00D830DE"/>
    <w:rsid w:val="00D8352D"/>
    <w:rsid w:val="00D87A69"/>
    <w:rsid w:val="00D87F07"/>
    <w:rsid w:val="00D9142A"/>
    <w:rsid w:val="00D9558F"/>
    <w:rsid w:val="00D9735E"/>
    <w:rsid w:val="00DA30DC"/>
    <w:rsid w:val="00DA50C3"/>
    <w:rsid w:val="00DA7438"/>
    <w:rsid w:val="00DA7E91"/>
    <w:rsid w:val="00DB250D"/>
    <w:rsid w:val="00DB335D"/>
    <w:rsid w:val="00DB7F6F"/>
    <w:rsid w:val="00DC0905"/>
    <w:rsid w:val="00DC6D02"/>
    <w:rsid w:val="00DC6E2D"/>
    <w:rsid w:val="00DD0DE2"/>
    <w:rsid w:val="00DD2123"/>
    <w:rsid w:val="00DD2CE2"/>
    <w:rsid w:val="00DD60DE"/>
    <w:rsid w:val="00DD642A"/>
    <w:rsid w:val="00DE0200"/>
    <w:rsid w:val="00DE1406"/>
    <w:rsid w:val="00DE14F6"/>
    <w:rsid w:val="00DE35BE"/>
    <w:rsid w:val="00DF4FB8"/>
    <w:rsid w:val="00DF7385"/>
    <w:rsid w:val="00DF7EB5"/>
    <w:rsid w:val="00E03011"/>
    <w:rsid w:val="00E07730"/>
    <w:rsid w:val="00E103E1"/>
    <w:rsid w:val="00E1061C"/>
    <w:rsid w:val="00E10692"/>
    <w:rsid w:val="00E14738"/>
    <w:rsid w:val="00E1479A"/>
    <w:rsid w:val="00E1610B"/>
    <w:rsid w:val="00E206A3"/>
    <w:rsid w:val="00E20C64"/>
    <w:rsid w:val="00E21DA0"/>
    <w:rsid w:val="00E24DB8"/>
    <w:rsid w:val="00E26EB0"/>
    <w:rsid w:val="00E27034"/>
    <w:rsid w:val="00E314FC"/>
    <w:rsid w:val="00E32D4B"/>
    <w:rsid w:val="00E3547A"/>
    <w:rsid w:val="00E36423"/>
    <w:rsid w:val="00E41116"/>
    <w:rsid w:val="00E414EF"/>
    <w:rsid w:val="00E424DA"/>
    <w:rsid w:val="00E45390"/>
    <w:rsid w:val="00E455A5"/>
    <w:rsid w:val="00E54CCA"/>
    <w:rsid w:val="00E54F56"/>
    <w:rsid w:val="00E5722D"/>
    <w:rsid w:val="00E6221F"/>
    <w:rsid w:val="00E62643"/>
    <w:rsid w:val="00E62938"/>
    <w:rsid w:val="00E64954"/>
    <w:rsid w:val="00E702F6"/>
    <w:rsid w:val="00E7387C"/>
    <w:rsid w:val="00E738A0"/>
    <w:rsid w:val="00E73C17"/>
    <w:rsid w:val="00E74D89"/>
    <w:rsid w:val="00E778AE"/>
    <w:rsid w:val="00E77A0F"/>
    <w:rsid w:val="00E820E0"/>
    <w:rsid w:val="00E835A1"/>
    <w:rsid w:val="00E83E2D"/>
    <w:rsid w:val="00E85164"/>
    <w:rsid w:val="00E8739B"/>
    <w:rsid w:val="00E91F7E"/>
    <w:rsid w:val="00E948B4"/>
    <w:rsid w:val="00E9508B"/>
    <w:rsid w:val="00E96570"/>
    <w:rsid w:val="00EA31DB"/>
    <w:rsid w:val="00EA68E9"/>
    <w:rsid w:val="00EA6932"/>
    <w:rsid w:val="00EB14CE"/>
    <w:rsid w:val="00EB3C38"/>
    <w:rsid w:val="00EB41BB"/>
    <w:rsid w:val="00EB5611"/>
    <w:rsid w:val="00EC00D0"/>
    <w:rsid w:val="00EC12A0"/>
    <w:rsid w:val="00EC78B7"/>
    <w:rsid w:val="00ED14BD"/>
    <w:rsid w:val="00ED24F1"/>
    <w:rsid w:val="00ED41E5"/>
    <w:rsid w:val="00EE2823"/>
    <w:rsid w:val="00EE332B"/>
    <w:rsid w:val="00EE5143"/>
    <w:rsid w:val="00EF1519"/>
    <w:rsid w:val="00EF2896"/>
    <w:rsid w:val="00EF2C61"/>
    <w:rsid w:val="00EF4610"/>
    <w:rsid w:val="00EF4964"/>
    <w:rsid w:val="00EF6CB2"/>
    <w:rsid w:val="00EF7939"/>
    <w:rsid w:val="00F01A5C"/>
    <w:rsid w:val="00F04DE2"/>
    <w:rsid w:val="00F076E3"/>
    <w:rsid w:val="00F11CFC"/>
    <w:rsid w:val="00F1463A"/>
    <w:rsid w:val="00F213D5"/>
    <w:rsid w:val="00F23DBE"/>
    <w:rsid w:val="00F329A7"/>
    <w:rsid w:val="00F375D4"/>
    <w:rsid w:val="00F40513"/>
    <w:rsid w:val="00F41C5C"/>
    <w:rsid w:val="00F424A9"/>
    <w:rsid w:val="00F4459F"/>
    <w:rsid w:val="00F44C87"/>
    <w:rsid w:val="00F503BC"/>
    <w:rsid w:val="00F508C7"/>
    <w:rsid w:val="00F51EC8"/>
    <w:rsid w:val="00F52F72"/>
    <w:rsid w:val="00F54D5B"/>
    <w:rsid w:val="00F5729F"/>
    <w:rsid w:val="00F65587"/>
    <w:rsid w:val="00F656A1"/>
    <w:rsid w:val="00F65B62"/>
    <w:rsid w:val="00F65C38"/>
    <w:rsid w:val="00F667FA"/>
    <w:rsid w:val="00F72DC7"/>
    <w:rsid w:val="00F776C3"/>
    <w:rsid w:val="00F77E06"/>
    <w:rsid w:val="00F850F4"/>
    <w:rsid w:val="00F85864"/>
    <w:rsid w:val="00F85AD8"/>
    <w:rsid w:val="00F86F2E"/>
    <w:rsid w:val="00F9021F"/>
    <w:rsid w:val="00F916EE"/>
    <w:rsid w:val="00F93464"/>
    <w:rsid w:val="00F95594"/>
    <w:rsid w:val="00FA11E7"/>
    <w:rsid w:val="00FA5DE1"/>
    <w:rsid w:val="00FA7D60"/>
    <w:rsid w:val="00FB260A"/>
    <w:rsid w:val="00FB2B02"/>
    <w:rsid w:val="00FB4897"/>
    <w:rsid w:val="00FB6664"/>
    <w:rsid w:val="00FC3BF8"/>
    <w:rsid w:val="00FC60C3"/>
    <w:rsid w:val="00FC6311"/>
    <w:rsid w:val="00FC7CE6"/>
    <w:rsid w:val="00FD0795"/>
    <w:rsid w:val="00FD3A37"/>
    <w:rsid w:val="00FD577E"/>
    <w:rsid w:val="00FD6497"/>
    <w:rsid w:val="00FD73BD"/>
    <w:rsid w:val="00FE14B4"/>
    <w:rsid w:val="00FE1EBE"/>
    <w:rsid w:val="00FE7B64"/>
    <w:rsid w:val="00FE7F2B"/>
    <w:rsid w:val="00FF2EC3"/>
    <w:rsid w:val="00FF3E4A"/>
    <w:rsid w:val="00FF462C"/>
    <w:rsid w:val="00FF66DC"/>
    <w:rsid w:val="00FF7CD6"/>
    <w:rsid w:val="012A4E2C"/>
    <w:rsid w:val="02DC2156"/>
    <w:rsid w:val="03CC3F79"/>
    <w:rsid w:val="05CD222A"/>
    <w:rsid w:val="06084616"/>
    <w:rsid w:val="06A9292B"/>
    <w:rsid w:val="08EF7A39"/>
    <w:rsid w:val="0A5844F0"/>
    <w:rsid w:val="0D4B6B69"/>
    <w:rsid w:val="0EE41D10"/>
    <w:rsid w:val="11386E78"/>
    <w:rsid w:val="11B73ED3"/>
    <w:rsid w:val="12277661"/>
    <w:rsid w:val="133D4C82"/>
    <w:rsid w:val="13D12EE6"/>
    <w:rsid w:val="13EE1CEA"/>
    <w:rsid w:val="13F37300"/>
    <w:rsid w:val="174D6D27"/>
    <w:rsid w:val="18CE5C46"/>
    <w:rsid w:val="1A2A2D28"/>
    <w:rsid w:val="1B9C64CF"/>
    <w:rsid w:val="1E6C7E3E"/>
    <w:rsid w:val="20346CD6"/>
    <w:rsid w:val="206E043A"/>
    <w:rsid w:val="21B75E11"/>
    <w:rsid w:val="2443573A"/>
    <w:rsid w:val="25496D80"/>
    <w:rsid w:val="27095D8A"/>
    <w:rsid w:val="277B51EB"/>
    <w:rsid w:val="279E6744"/>
    <w:rsid w:val="29EF532D"/>
    <w:rsid w:val="2BAD2B02"/>
    <w:rsid w:val="2DFE73B2"/>
    <w:rsid w:val="2E0C3040"/>
    <w:rsid w:val="2E40384E"/>
    <w:rsid w:val="2F083808"/>
    <w:rsid w:val="2F0B058C"/>
    <w:rsid w:val="2F7C5FA4"/>
    <w:rsid w:val="344833B2"/>
    <w:rsid w:val="3B7F5E21"/>
    <w:rsid w:val="3CFA47F3"/>
    <w:rsid w:val="3D6C58AA"/>
    <w:rsid w:val="3E799816"/>
    <w:rsid w:val="403F2E01"/>
    <w:rsid w:val="431A1904"/>
    <w:rsid w:val="45413951"/>
    <w:rsid w:val="46E47FFF"/>
    <w:rsid w:val="4779601E"/>
    <w:rsid w:val="493E1AE1"/>
    <w:rsid w:val="4B2238EC"/>
    <w:rsid w:val="4C6C7CEB"/>
    <w:rsid w:val="4DDD59C1"/>
    <w:rsid w:val="4EAE0286"/>
    <w:rsid w:val="51FB0B52"/>
    <w:rsid w:val="531F075A"/>
    <w:rsid w:val="56DA342C"/>
    <w:rsid w:val="57A01936"/>
    <w:rsid w:val="57A57FD6"/>
    <w:rsid w:val="57F01F2D"/>
    <w:rsid w:val="58D367F3"/>
    <w:rsid w:val="592C1295"/>
    <w:rsid w:val="59DD74BB"/>
    <w:rsid w:val="5A8C449C"/>
    <w:rsid w:val="5B571FFB"/>
    <w:rsid w:val="5BFB00CD"/>
    <w:rsid w:val="5C452F47"/>
    <w:rsid w:val="5D086F45"/>
    <w:rsid w:val="5D4D6706"/>
    <w:rsid w:val="60252B89"/>
    <w:rsid w:val="616C2448"/>
    <w:rsid w:val="63DF2082"/>
    <w:rsid w:val="654A16B4"/>
    <w:rsid w:val="660F1D12"/>
    <w:rsid w:val="67277FC8"/>
    <w:rsid w:val="677C2407"/>
    <w:rsid w:val="68C47A98"/>
    <w:rsid w:val="68C53F3C"/>
    <w:rsid w:val="6CC80E6D"/>
    <w:rsid w:val="6D7D28A3"/>
    <w:rsid w:val="6FDD1529"/>
    <w:rsid w:val="710B6BAC"/>
    <w:rsid w:val="71CC633B"/>
    <w:rsid w:val="71F238C8"/>
    <w:rsid w:val="738A5B9F"/>
    <w:rsid w:val="741F6AAA"/>
    <w:rsid w:val="74A0585D"/>
    <w:rsid w:val="7755A80A"/>
    <w:rsid w:val="77A7157C"/>
    <w:rsid w:val="78B143BF"/>
    <w:rsid w:val="7A035425"/>
    <w:rsid w:val="7AB465B7"/>
    <w:rsid w:val="7AFEC822"/>
    <w:rsid w:val="7B215011"/>
    <w:rsid w:val="7CB63E70"/>
    <w:rsid w:val="7D221505"/>
    <w:rsid w:val="7E2B6198"/>
    <w:rsid w:val="D9BF3AD6"/>
    <w:rsid w:val="E7FFD9D9"/>
    <w:rsid w:val="FB77A368"/>
    <w:rsid w:val="FF7FD2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qFormat="1" w:uiPriority="99" w:name="endnote reference"/>
    <w:lsdException w:qFormat="1"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Calibri"/>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rPr>
  </w:style>
  <w:style w:type="paragraph" w:styleId="3">
    <w:name w:val="heading 2"/>
    <w:basedOn w:val="1"/>
    <w:next w:val="1"/>
    <w:qFormat/>
    <w:uiPriority w:val="0"/>
    <w:pPr>
      <w:keepNext/>
      <w:keepLines/>
      <w:spacing w:before="260" w:after="260" w:line="415" w:lineRule="auto"/>
      <w:outlineLvl w:val="1"/>
    </w:pPr>
    <w:rPr>
      <w:rFonts w:ascii="Times New Roman" w:hAnsi="Times New Roman" w:eastAsia="黑体"/>
      <w:b/>
      <w:sz w:val="32"/>
    </w:rPr>
  </w:style>
  <w:style w:type="paragraph" w:styleId="4">
    <w:name w:val="heading 3"/>
    <w:basedOn w:val="1"/>
    <w:next w:val="1"/>
    <w:qFormat/>
    <w:uiPriority w:val="0"/>
    <w:pPr>
      <w:keepNext/>
      <w:keepLines/>
      <w:spacing w:before="260" w:after="260" w:line="415" w:lineRule="auto"/>
      <w:outlineLvl w:val="2"/>
    </w:pPr>
    <w:rPr>
      <w:b/>
      <w:sz w:val="32"/>
    </w:rPr>
  </w:style>
  <w:style w:type="paragraph" w:styleId="5">
    <w:name w:val="heading 7"/>
    <w:basedOn w:val="1"/>
    <w:next w:val="1"/>
    <w:link w:val="28"/>
    <w:qFormat/>
    <w:uiPriority w:val="9"/>
    <w:pPr>
      <w:keepNext/>
      <w:keepLines/>
      <w:spacing w:before="240" w:after="64" w:line="320" w:lineRule="auto"/>
      <w:outlineLvl w:val="6"/>
    </w:pPr>
    <w:rPr>
      <w:b/>
      <w:bCs/>
      <w:sz w:val="24"/>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6">
    <w:name w:val="annotation text"/>
    <w:basedOn w:val="1"/>
    <w:link w:val="29"/>
    <w:unhideWhenUsed/>
    <w:qFormat/>
    <w:uiPriority w:val="99"/>
    <w:pPr>
      <w:adjustRightInd w:val="0"/>
      <w:spacing w:line="400" w:lineRule="exact"/>
      <w:jc w:val="left"/>
    </w:pPr>
    <w:rPr>
      <w:szCs w:val="21"/>
    </w:rPr>
  </w:style>
  <w:style w:type="paragraph" w:styleId="7">
    <w:name w:val="Date"/>
    <w:basedOn w:val="1"/>
    <w:next w:val="1"/>
    <w:link w:val="66"/>
    <w:semiHidden/>
    <w:unhideWhenUsed/>
    <w:qFormat/>
    <w:uiPriority w:val="99"/>
    <w:pPr>
      <w:ind w:left="100" w:leftChars="2500"/>
    </w:pPr>
  </w:style>
  <w:style w:type="paragraph" w:styleId="8">
    <w:name w:val="endnote text"/>
    <w:basedOn w:val="1"/>
    <w:link w:val="64"/>
    <w:semiHidden/>
    <w:unhideWhenUsed/>
    <w:qFormat/>
    <w:uiPriority w:val="99"/>
    <w:pPr>
      <w:snapToGrid w:val="0"/>
      <w:jc w:val="left"/>
    </w:pPr>
  </w:style>
  <w:style w:type="paragraph" w:styleId="9">
    <w:name w:val="Balloon Text"/>
    <w:basedOn w:val="1"/>
    <w:link w:val="30"/>
    <w:unhideWhenUsed/>
    <w:qFormat/>
    <w:uiPriority w:val="99"/>
    <w:rPr>
      <w:sz w:val="18"/>
      <w:szCs w:val="18"/>
    </w:rPr>
  </w:style>
  <w:style w:type="paragraph" w:styleId="10">
    <w:name w:val="footer"/>
    <w:basedOn w:val="1"/>
    <w:link w:val="31"/>
    <w:qFormat/>
    <w:uiPriority w:val="99"/>
    <w:pPr>
      <w:tabs>
        <w:tab w:val="center" w:pos="4153"/>
        <w:tab w:val="right" w:pos="8306"/>
      </w:tabs>
      <w:snapToGrid w:val="0"/>
      <w:jc w:val="left"/>
    </w:pPr>
    <w:rPr>
      <w:sz w:val="18"/>
      <w:szCs w:val="18"/>
    </w:rPr>
  </w:style>
  <w:style w:type="paragraph" w:styleId="11">
    <w:name w:val="envelope return"/>
    <w:basedOn w:val="1"/>
    <w:qFormat/>
    <w:uiPriority w:val="0"/>
    <w:pPr>
      <w:snapToGrid w:val="0"/>
    </w:pPr>
    <w:rPr>
      <w:rFonts w:ascii="Times New Roman" w:hAnsi="Times New Roman"/>
    </w:rPr>
  </w:style>
  <w:style w:type="paragraph" w:styleId="12">
    <w:name w:val="header"/>
    <w:basedOn w:val="1"/>
    <w:link w:val="62"/>
    <w:qFormat/>
    <w:uiPriority w:val="0"/>
    <w:pPr>
      <w:pBdr>
        <w:bottom w:val="single" w:color="auto" w:sz="6" w:space="1"/>
      </w:pBdr>
      <w:tabs>
        <w:tab w:val="center" w:pos="4153"/>
        <w:tab w:val="right" w:pos="8306"/>
      </w:tabs>
      <w:snapToGrid w:val="0"/>
      <w:jc w:val="center"/>
    </w:pPr>
    <w:rPr>
      <w:sz w:val="18"/>
      <w:szCs w:val="18"/>
    </w:rPr>
  </w:style>
  <w:style w:type="paragraph" w:styleId="13">
    <w:name w:val="toc 4"/>
    <w:basedOn w:val="1"/>
    <w:next w:val="1"/>
    <w:unhideWhenUsed/>
    <w:qFormat/>
    <w:uiPriority w:val="39"/>
    <w:pPr>
      <w:tabs>
        <w:tab w:val="right" w:leader="dot" w:pos="9344"/>
      </w:tabs>
      <w:adjustRightInd w:val="0"/>
      <w:spacing w:line="300" w:lineRule="exact"/>
      <w:ind w:left="629"/>
    </w:pPr>
    <w:rPr>
      <w:rFonts w:ascii="宋体"/>
      <w:szCs w:val="21"/>
    </w:rPr>
  </w:style>
  <w:style w:type="paragraph" w:styleId="14">
    <w:name w:val="Normal (Web)"/>
    <w:basedOn w:val="1"/>
    <w:semiHidden/>
    <w:unhideWhenUsed/>
    <w:qFormat/>
    <w:uiPriority w:val="99"/>
    <w:rPr>
      <w:sz w:val="24"/>
    </w:rPr>
  </w:style>
  <w:style w:type="paragraph" w:styleId="15">
    <w:name w:val="Title"/>
    <w:basedOn w:val="1"/>
    <w:next w:val="1"/>
    <w:link w:val="67"/>
    <w:qFormat/>
    <w:uiPriority w:val="10"/>
    <w:pPr>
      <w:spacing w:before="240" w:after="60"/>
      <w:jc w:val="center"/>
      <w:outlineLvl w:val="0"/>
    </w:pPr>
    <w:rPr>
      <w:rFonts w:asciiTheme="majorHAnsi" w:hAnsiTheme="majorHAnsi" w:eastAsiaTheme="majorEastAsia" w:cstheme="majorBidi"/>
      <w:b/>
      <w:bCs/>
      <w:sz w:val="32"/>
      <w:szCs w:val="32"/>
    </w:rPr>
  </w:style>
  <w:style w:type="paragraph" w:styleId="16">
    <w:name w:val="annotation subject"/>
    <w:basedOn w:val="6"/>
    <w:next w:val="6"/>
    <w:link w:val="63"/>
    <w:semiHidden/>
    <w:unhideWhenUsed/>
    <w:qFormat/>
    <w:uiPriority w:val="99"/>
    <w:pPr>
      <w:adjustRightInd/>
      <w:spacing w:line="240" w:lineRule="auto"/>
    </w:pPr>
    <w:rPr>
      <w:b/>
      <w:bCs/>
      <w:szCs w:val="24"/>
    </w:rPr>
  </w:style>
  <w:style w:type="table" w:styleId="18">
    <w:name w:val="Table Grid"/>
    <w:basedOn w:val="17"/>
    <w:qFormat/>
    <w:uiPriority w:val="39"/>
    <w:pPr>
      <w:widowControl w:val="0"/>
      <w:jc w:val="both"/>
    </w:pPr>
    <w:tblPr>
      <w:tblBorders>
        <w:top w:val="single" w:color="auto" w:sz="4" w:space="0"/>
        <w:bottom w:val="single" w:color="auto" w:sz="4" w:space="0"/>
      </w:tblBorders>
    </w:tblPr>
  </w:style>
  <w:style w:type="character" w:styleId="20">
    <w:name w:val="Strong"/>
    <w:basedOn w:val="19"/>
    <w:qFormat/>
    <w:uiPriority w:val="22"/>
    <w:rPr>
      <w:b/>
    </w:rPr>
  </w:style>
  <w:style w:type="character" w:styleId="21">
    <w:name w:val="endnote reference"/>
    <w:basedOn w:val="19"/>
    <w:semiHidden/>
    <w:unhideWhenUsed/>
    <w:qFormat/>
    <w:uiPriority w:val="99"/>
    <w:rPr>
      <w:vertAlign w:val="superscript"/>
    </w:rPr>
  </w:style>
  <w:style w:type="character" w:styleId="22">
    <w:name w:val="line number"/>
    <w:qFormat/>
    <w:uiPriority w:val="0"/>
  </w:style>
  <w:style w:type="character" w:styleId="23">
    <w:name w:val="Hyperlink"/>
    <w:qFormat/>
    <w:uiPriority w:val="0"/>
    <w:rPr>
      <w:rFonts w:ascii="宋体" w:eastAsia="宋体"/>
      <w:color w:val="auto"/>
      <w:spacing w:val="0"/>
      <w:w w:val="100"/>
      <w:position w:val="0"/>
      <w:sz w:val="21"/>
      <w:u w:val="none"/>
      <w:vertAlign w:val="baseline"/>
    </w:rPr>
  </w:style>
  <w:style w:type="character" w:styleId="24">
    <w:name w:val="annotation reference"/>
    <w:qFormat/>
    <w:uiPriority w:val="99"/>
    <w:rPr>
      <w:sz w:val="21"/>
    </w:rPr>
  </w:style>
  <w:style w:type="character" w:styleId="25">
    <w:name w:val="footnote reference"/>
    <w:qFormat/>
    <w:uiPriority w:val="0"/>
    <w:rPr>
      <w:vertAlign w:val="superscript"/>
    </w:rPr>
  </w:style>
  <w:style w:type="paragraph" w:customStyle="1" w:styleId="26">
    <w:name w:val="BodyText2"/>
    <w:basedOn w:val="1"/>
    <w:qFormat/>
    <w:uiPriority w:val="0"/>
    <w:pPr>
      <w:spacing w:after="120" w:line="480" w:lineRule="auto"/>
      <w:textAlignment w:val="baseline"/>
    </w:pPr>
    <w:rPr>
      <w:rFonts w:cs="Times New Roman"/>
      <w:sz w:val="32"/>
      <w:szCs w:val="32"/>
    </w:rPr>
  </w:style>
  <w:style w:type="paragraph" w:customStyle="1" w:styleId="27">
    <w:name w:val="正文-公1"/>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8">
    <w:name w:val="标题 7 字符"/>
    <w:link w:val="5"/>
    <w:qFormat/>
    <w:uiPriority w:val="0"/>
    <w:rPr>
      <w:rFonts w:eastAsia="宋体"/>
      <w:b/>
      <w:bCs/>
      <w:kern w:val="2"/>
      <w:sz w:val="24"/>
      <w:szCs w:val="24"/>
    </w:rPr>
  </w:style>
  <w:style w:type="character" w:customStyle="1" w:styleId="29">
    <w:name w:val="批注文字 字符"/>
    <w:link w:val="6"/>
    <w:qFormat/>
    <w:uiPriority w:val="99"/>
    <w:rPr>
      <w:rFonts w:ascii="Calibri" w:hAnsi="Calibri" w:eastAsia="宋体"/>
      <w:kern w:val="2"/>
      <w:sz w:val="21"/>
      <w:szCs w:val="21"/>
    </w:rPr>
  </w:style>
  <w:style w:type="character" w:customStyle="1" w:styleId="30">
    <w:name w:val="批注框文本 字符"/>
    <w:link w:val="9"/>
    <w:semiHidden/>
    <w:qFormat/>
    <w:uiPriority w:val="99"/>
    <w:rPr>
      <w:rFonts w:eastAsia="宋体"/>
      <w:kern w:val="2"/>
      <w:sz w:val="18"/>
      <w:szCs w:val="18"/>
    </w:rPr>
  </w:style>
  <w:style w:type="character" w:customStyle="1" w:styleId="31">
    <w:name w:val="页脚 字符"/>
    <w:link w:val="10"/>
    <w:qFormat/>
    <w:locked/>
    <w:uiPriority w:val="99"/>
    <w:rPr>
      <w:rFonts w:eastAsia="宋体"/>
      <w:kern w:val="2"/>
      <w:sz w:val="18"/>
      <w:szCs w:val="18"/>
    </w:rPr>
  </w:style>
  <w:style w:type="paragraph" w:customStyle="1" w:styleId="32">
    <w:name w:val="其他标准称谓"/>
    <w:qFormat/>
    <w:uiPriority w:val="0"/>
    <w:pPr>
      <w:spacing w:line="0" w:lineRule="atLeast"/>
      <w:jc w:val="distribute"/>
    </w:pPr>
    <w:rPr>
      <w:rFonts w:ascii="黑体" w:hAnsi="Calibri" w:eastAsia="黑体" w:cs="Calibri"/>
      <w:sz w:val="52"/>
      <w:lang w:val="en-US" w:eastAsia="zh-CN" w:bidi="ar-SA"/>
    </w:rPr>
  </w:style>
  <w:style w:type="paragraph" w:customStyle="1" w:styleId="33">
    <w:name w:val="封面标准号1"/>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34">
    <w:name w:val="标准文件_段"/>
    <w:link w:val="35"/>
    <w:qFormat/>
    <w:uiPriority w:val="0"/>
    <w:pPr>
      <w:autoSpaceDE w:val="0"/>
      <w:autoSpaceDN w:val="0"/>
      <w:spacing w:line="520" w:lineRule="exact"/>
      <w:ind w:firstLine="640" w:firstLineChars="200"/>
      <w:jc w:val="both"/>
    </w:pPr>
    <w:rPr>
      <w:rFonts w:ascii="仿宋" w:hAnsi="仿宋" w:eastAsia="仿宋" w:cs="Calibri"/>
      <w:kern w:val="2"/>
      <w:sz w:val="32"/>
      <w:szCs w:val="32"/>
      <w:lang w:val="en-US" w:eastAsia="zh-CN" w:bidi="ar-SA"/>
    </w:rPr>
  </w:style>
  <w:style w:type="character" w:customStyle="1" w:styleId="35">
    <w:name w:val="标准文件_段 Char"/>
    <w:link w:val="34"/>
    <w:qFormat/>
    <w:uiPriority w:val="0"/>
    <w:rPr>
      <w:rFonts w:ascii="仿宋" w:hAnsi="仿宋" w:eastAsia="仿宋" w:cs="Calibri"/>
      <w:kern w:val="2"/>
      <w:sz w:val="32"/>
      <w:szCs w:val="32"/>
    </w:rPr>
  </w:style>
  <w:style w:type="paragraph" w:customStyle="1" w:styleId="36">
    <w:name w:val="标准文件_章标题"/>
    <w:next w:val="34"/>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7">
    <w:name w:val="标准文件_二级条标题"/>
    <w:next w:val="34"/>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8">
    <w:name w:val="标准文件_一级条标题"/>
    <w:basedOn w:val="36"/>
    <w:next w:val="34"/>
    <w:qFormat/>
    <w:uiPriority w:val="0"/>
    <w:pPr>
      <w:numPr>
        <w:ilvl w:val="2"/>
      </w:numPr>
      <w:spacing w:before="50" w:beforeLines="0" w:after="50" w:afterLines="0"/>
      <w:outlineLvl w:val="1"/>
    </w:pPr>
  </w:style>
  <w:style w:type="paragraph" w:customStyle="1" w:styleId="39">
    <w:name w:val="标准文件_三级条标题"/>
    <w:basedOn w:val="37"/>
    <w:next w:val="34"/>
    <w:qFormat/>
    <w:uiPriority w:val="0"/>
    <w:pPr>
      <w:outlineLvl w:val="3"/>
    </w:pPr>
  </w:style>
  <w:style w:type="paragraph" w:customStyle="1" w:styleId="40">
    <w:name w:val="标准文件_四级条标题"/>
    <w:next w:val="34"/>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41">
    <w:name w:val="标准文件_五级条标题"/>
    <w:next w:val="37"/>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42">
    <w:name w:val="前言标题"/>
    <w:next w:val="1"/>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43">
    <w:name w:val="标准文件_四级无标题"/>
    <w:basedOn w:val="40"/>
    <w:qFormat/>
    <w:uiPriority w:val="0"/>
    <w:pPr>
      <w:numPr>
        <w:ilvl w:val="5"/>
        <w:numId w:val="1"/>
      </w:numPr>
    </w:pPr>
    <w:rPr>
      <w:rFonts w:ascii="宋体" w:eastAsia="宋体"/>
      <w:szCs w:val="52"/>
    </w:rPr>
  </w:style>
  <w:style w:type="paragraph" w:customStyle="1" w:styleId="44">
    <w:name w:val="标准文件_三级无标题"/>
    <w:basedOn w:val="39"/>
    <w:qFormat/>
    <w:uiPriority w:val="0"/>
    <w:pPr>
      <w:numPr>
        <w:ilvl w:val="4"/>
        <w:numId w:val="1"/>
      </w:numPr>
    </w:pPr>
    <w:rPr>
      <w:rFonts w:ascii="宋体" w:eastAsia="宋体"/>
    </w:rPr>
  </w:style>
  <w:style w:type="paragraph" w:customStyle="1" w:styleId="45">
    <w:name w:val="标准文件_正文表标题"/>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6">
    <w:name w:val="font11"/>
    <w:qFormat/>
    <w:uiPriority w:val="0"/>
    <w:rPr>
      <w:rFonts w:ascii="等线" w:eastAsia="等线"/>
      <w:b/>
      <w:bCs/>
      <w:color w:val="FF0000"/>
      <w:sz w:val="22"/>
      <w:szCs w:val="22"/>
      <w:u w:val="none"/>
    </w:rPr>
  </w:style>
  <w:style w:type="character" w:customStyle="1" w:styleId="47">
    <w:name w:val="font01"/>
    <w:qFormat/>
    <w:uiPriority w:val="0"/>
    <w:rPr>
      <w:rFonts w:ascii="等线" w:eastAsia="等线"/>
      <w:color w:val="000000"/>
      <w:sz w:val="22"/>
      <w:szCs w:val="22"/>
      <w:u w:val="none"/>
    </w:rPr>
  </w:style>
  <w:style w:type="paragraph" w:customStyle="1" w:styleId="48">
    <w:name w:val="段"/>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9">
    <w:name w:val="二级无"/>
    <w:basedOn w:val="1"/>
    <w:qFormat/>
    <w:uiPriority w:val="0"/>
    <w:pPr>
      <w:widowControl/>
      <w:tabs>
        <w:tab w:val="left" w:pos="780"/>
      </w:tabs>
      <w:ind w:left="780" w:hanging="360"/>
      <w:jc w:val="left"/>
      <w:outlineLvl w:val="3"/>
    </w:pPr>
    <w:rPr>
      <w:rFonts w:ascii="宋体"/>
      <w:kern w:val="0"/>
      <w:szCs w:val="21"/>
    </w:rPr>
  </w:style>
  <w:style w:type="paragraph" w:customStyle="1" w:styleId="50">
    <w:name w:val="标准文件_二级无标题"/>
    <w:basedOn w:val="37"/>
    <w:qFormat/>
    <w:uiPriority w:val="0"/>
    <w:pPr>
      <w:tabs>
        <w:tab w:val="left" w:pos="1200"/>
      </w:tabs>
      <w:spacing w:before="0" w:beforeLines="0" w:after="0" w:afterLines="0"/>
      <w:ind w:left="1200" w:hanging="360"/>
      <w:outlineLvl w:val="9"/>
    </w:pPr>
    <w:rPr>
      <w:rFonts w:ascii="宋体" w:eastAsia="宋体"/>
    </w:rPr>
  </w:style>
  <w:style w:type="paragraph" w:customStyle="1" w:styleId="51">
    <w:name w:val="Char Char Char Char"/>
    <w:basedOn w:val="1"/>
    <w:qFormat/>
    <w:uiPriority w:val="0"/>
  </w:style>
  <w:style w:type="paragraph" w:customStyle="1" w:styleId="52">
    <w:name w:val="标准文件_数字编号列项（二级）"/>
    <w:qFormat/>
    <w:uiPriority w:val="0"/>
    <w:pPr>
      <w:numPr>
        <w:ilvl w:val="1"/>
        <w:numId w:val="3"/>
      </w:numPr>
      <w:jc w:val="both"/>
    </w:pPr>
    <w:rPr>
      <w:rFonts w:ascii="宋体" w:hAnsi="Calibri" w:eastAsia="宋体" w:cs="Calibri"/>
      <w:sz w:val="21"/>
      <w:lang w:val="en-US" w:eastAsia="zh-CN" w:bidi="ar-SA"/>
    </w:rPr>
  </w:style>
  <w:style w:type="paragraph" w:customStyle="1" w:styleId="53">
    <w:name w:val="标准文件_编号列项（三级）"/>
    <w:qFormat/>
    <w:uiPriority w:val="0"/>
    <w:pPr>
      <w:numPr>
        <w:ilvl w:val="2"/>
        <w:numId w:val="3"/>
      </w:numPr>
    </w:pPr>
    <w:rPr>
      <w:rFonts w:ascii="宋体" w:hAnsi="Calibri" w:eastAsia="宋体" w:cs="Calibri"/>
      <w:sz w:val="21"/>
      <w:lang w:val="en-US" w:eastAsia="zh-CN" w:bidi="ar-SA"/>
    </w:rPr>
  </w:style>
  <w:style w:type="paragraph" w:customStyle="1" w:styleId="54">
    <w:name w:val="标准文件_字母编号列项（一级）"/>
    <w:qFormat/>
    <w:uiPriority w:val="0"/>
    <w:pPr>
      <w:numPr>
        <w:ilvl w:val="0"/>
        <w:numId w:val="3"/>
      </w:numPr>
      <w:jc w:val="both"/>
    </w:pPr>
    <w:rPr>
      <w:rFonts w:ascii="宋体" w:hAnsi="Calibri" w:eastAsia="宋体" w:cs="Calibri"/>
      <w:sz w:val="21"/>
      <w:lang w:val="en-US" w:eastAsia="zh-CN" w:bidi="ar-SA"/>
    </w:rPr>
  </w:style>
  <w:style w:type="paragraph" w:customStyle="1" w:styleId="55">
    <w:name w:val="标准文件_术语条一"/>
    <w:basedOn w:val="1"/>
    <w:next w:val="34"/>
    <w:qFormat/>
    <w:uiPriority w:val="0"/>
    <w:pPr>
      <w:widowControl/>
    </w:pPr>
    <w:rPr>
      <w:rFonts w:ascii="宋体"/>
      <w:kern w:val="0"/>
      <w:szCs w:val="20"/>
    </w:rPr>
  </w:style>
  <w:style w:type="paragraph" w:customStyle="1" w:styleId="56">
    <w:name w:val="abstract"/>
    <w:basedOn w:val="1"/>
    <w:qFormat/>
    <w:uiPriority w:val="0"/>
    <w:pPr>
      <w:widowControl/>
      <w:spacing w:before="100" w:beforeAutospacing="1" w:after="100" w:afterAutospacing="1"/>
      <w:jc w:val="left"/>
    </w:pPr>
    <w:rPr>
      <w:rFonts w:ascii="宋体" w:hAnsi="宋体" w:cs="宋体"/>
      <w:kern w:val="0"/>
      <w:sz w:val="24"/>
    </w:rPr>
  </w:style>
  <w:style w:type="paragraph" w:customStyle="1" w:styleId="57">
    <w:name w:val="abstract_more"/>
    <w:basedOn w:val="1"/>
    <w:qFormat/>
    <w:uiPriority w:val="0"/>
    <w:pPr>
      <w:widowControl/>
      <w:spacing w:before="100" w:beforeAutospacing="1" w:after="100" w:afterAutospacing="1"/>
      <w:jc w:val="left"/>
    </w:pPr>
    <w:rPr>
      <w:rFonts w:ascii="宋体" w:hAnsi="宋体" w:cs="宋体"/>
      <w:kern w:val="0"/>
      <w:sz w:val="24"/>
    </w:rPr>
  </w:style>
  <w:style w:type="paragraph" w:styleId="58">
    <w:name w:val="No Spacing"/>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9">
    <w:name w:val="标准文件_一级项"/>
    <w:qFormat/>
    <w:uiPriority w:val="0"/>
    <w:pPr>
      <w:numPr>
        <w:ilvl w:val="0"/>
        <w:numId w:val="4"/>
      </w:numPr>
    </w:pPr>
    <w:rPr>
      <w:rFonts w:ascii="宋体" w:hAnsi="Times New Roman" w:eastAsia="宋体" w:cs="Times New Roman"/>
      <w:sz w:val="21"/>
      <w:lang w:val="en-US" w:eastAsia="zh-CN" w:bidi="ar-SA"/>
    </w:rPr>
  </w:style>
  <w:style w:type="paragraph" w:customStyle="1" w:styleId="60">
    <w:name w:val="附录表标题"/>
    <w:basedOn w:val="1"/>
    <w:next w:val="48"/>
    <w:qFormat/>
    <w:uiPriority w:val="0"/>
    <w:pPr>
      <w:numPr>
        <w:ilvl w:val="1"/>
        <w:numId w:val="5"/>
      </w:numPr>
      <w:tabs>
        <w:tab w:val="left" w:pos="180"/>
      </w:tabs>
      <w:spacing w:beforeLines="50" w:afterLines="50"/>
      <w:ind w:left="0" w:firstLine="0"/>
      <w:jc w:val="center"/>
    </w:pPr>
    <w:rPr>
      <w:rFonts w:ascii="黑体" w:hAnsi="Times New Roman" w:eastAsia="黑体" w:cs="Times New Roman"/>
      <w:szCs w:val="21"/>
    </w:rPr>
  </w:style>
  <w:style w:type="paragraph" w:styleId="61">
    <w:name w:val="List Paragraph"/>
    <w:basedOn w:val="1"/>
    <w:unhideWhenUsed/>
    <w:qFormat/>
    <w:uiPriority w:val="99"/>
    <w:pPr>
      <w:ind w:firstLine="420" w:firstLineChars="200"/>
    </w:pPr>
    <w:rPr>
      <w:rFonts w:ascii="Times New Roman" w:hAnsi="Times New Roman" w:cs="Times New Roman"/>
    </w:rPr>
  </w:style>
  <w:style w:type="character" w:customStyle="1" w:styleId="62">
    <w:name w:val="页眉 字符"/>
    <w:basedOn w:val="19"/>
    <w:link w:val="12"/>
    <w:qFormat/>
    <w:uiPriority w:val="0"/>
    <w:rPr>
      <w:rFonts w:ascii="Calibri" w:hAnsi="Calibri" w:cs="Calibri"/>
      <w:kern w:val="2"/>
      <w:sz w:val="18"/>
      <w:szCs w:val="18"/>
    </w:rPr>
  </w:style>
  <w:style w:type="character" w:customStyle="1" w:styleId="63">
    <w:name w:val="批注主题 字符"/>
    <w:basedOn w:val="29"/>
    <w:link w:val="16"/>
    <w:semiHidden/>
    <w:qFormat/>
    <w:uiPriority w:val="99"/>
    <w:rPr>
      <w:rFonts w:ascii="Calibri" w:hAnsi="Calibri" w:eastAsia="宋体" w:cs="Calibri"/>
      <w:b/>
      <w:bCs/>
      <w:kern w:val="2"/>
      <w:sz w:val="21"/>
      <w:szCs w:val="24"/>
    </w:rPr>
  </w:style>
  <w:style w:type="character" w:customStyle="1" w:styleId="64">
    <w:name w:val="尾注文本 字符"/>
    <w:basedOn w:val="19"/>
    <w:link w:val="8"/>
    <w:semiHidden/>
    <w:qFormat/>
    <w:uiPriority w:val="99"/>
    <w:rPr>
      <w:rFonts w:ascii="Calibri" w:hAnsi="Calibri" w:cs="Calibri"/>
      <w:kern w:val="2"/>
      <w:sz w:val="21"/>
      <w:szCs w:val="24"/>
    </w:rPr>
  </w:style>
  <w:style w:type="paragraph" w:customStyle="1" w:styleId="65">
    <w:name w:val="标准文件_方框数字列项"/>
    <w:basedOn w:val="34"/>
    <w:qFormat/>
    <w:uiPriority w:val="0"/>
    <w:pPr>
      <w:numPr>
        <w:ilvl w:val="0"/>
        <w:numId w:val="6"/>
      </w:numPr>
      <w:spacing w:line="240" w:lineRule="auto"/>
      <w:ind w:firstLine="0" w:firstLineChars="0"/>
    </w:pPr>
    <w:rPr>
      <w:rFonts w:ascii="宋体" w:hAnsi="Times New Roman" w:eastAsia="宋体" w:cs="Times New Roman"/>
      <w:kern w:val="0"/>
      <w:sz w:val="21"/>
      <w:szCs w:val="20"/>
    </w:rPr>
  </w:style>
  <w:style w:type="character" w:customStyle="1" w:styleId="66">
    <w:name w:val="日期 字符"/>
    <w:basedOn w:val="19"/>
    <w:link w:val="7"/>
    <w:semiHidden/>
    <w:qFormat/>
    <w:uiPriority w:val="99"/>
    <w:rPr>
      <w:rFonts w:ascii="Calibri" w:hAnsi="Calibri" w:cs="Calibri"/>
      <w:kern w:val="2"/>
      <w:sz w:val="21"/>
      <w:szCs w:val="24"/>
    </w:rPr>
  </w:style>
  <w:style w:type="character" w:customStyle="1" w:styleId="67">
    <w:name w:val="标题 字符"/>
    <w:basedOn w:val="19"/>
    <w:link w:val="15"/>
    <w:qFormat/>
    <w:uiPriority w:val="10"/>
    <w:rPr>
      <w:rFonts w:asciiTheme="majorHAnsi" w:hAnsiTheme="majorHAnsi" w:eastAsiaTheme="majorEastAsia" w:cstheme="majorBidi"/>
      <w:b/>
      <w:bCs/>
      <w:kern w:val="2"/>
      <w:sz w:val="32"/>
      <w:szCs w:val="32"/>
    </w:rPr>
  </w:style>
  <w:style w:type="paragraph" w:customStyle="1" w:styleId="68">
    <w:name w:val="标准文件_表格"/>
    <w:basedOn w:val="34"/>
    <w:qFormat/>
    <w:uiPriority w:val="0"/>
    <w:pPr>
      <w:spacing w:line="240" w:lineRule="auto"/>
      <w:ind w:firstLine="0" w:firstLineChars="0"/>
      <w:jc w:val="center"/>
    </w:pPr>
    <w:rPr>
      <w:rFonts w:ascii="宋体" w:hAnsi="Times New Roman" w:eastAsia="宋体" w:cs="Times New Roman"/>
      <w:kern w:val="0"/>
      <w:sz w:val="18"/>
      <w:szCs w:val="20"/>
    </w:rPr>
  </w:style>
  <w:style w:type="table" w:customStyle="1" w:styleId="69">
    <w:name w:val="网格型1"/>
    <w:basedOn w:val="17"/>
    <w:autoRedefine/>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2.xml><?xml version="1.0" encoding="utf-8"?>
<b:Sources xmlns:b="http://schemas.openxmlformats.org/officeDocument/2006/bibliography" Version="6" SelectedStyle="\APASixthEditionOfficeOnline.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CB1D8C9-07E1-4FF4-A497-05FB521A931E}">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20</Pages>
  <Words>5027</Words>
  <Characters>5148</Characters>
  <Lines>88</Lines>
  <Paragraphs>24</Paragraphs>
  <TotalTime>0</TotalTime>
  <ScaleCrop>false</ScaleCrop>
  <LinksUpToDate>false</LinksUpToDate>
  <CharactersWithSpaces>5168</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2024-09-30T17:06:00Z</dcterms:created>
  <dc:creator>Administrator</dc:creator>
  <cp:lastModifiedBy>XIEX</cp:lastModifiedBy>
  <cp:lastPrinted>2025-05-16T19:41:00Z</cp:lastPrinted>
  <dcterms:modified xsi:type="dcterms:W3CDTF">2025-09-02T07:14:10Z</dcterms:modified>
  <cp:revision>314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A922D90BF3B641DA8C66AE267C36FA1E_13</vt:lpwstr>
  </property>
  <property fmtid="{D5CDD505-2E9C-101B-9397-08002B2CF9AE}" pid="4" name="KSOTemplateDocerSaveRecord">
    <vt:lpwstr>eyJoZGlkIjoiNmU0OWNhMGUyYzc2MTI5ZWY2NzM4MTVkMDAwODg0YzMiLCJ1c2VySWQiOiI2ODM5ODUzMDMifQ==</vt:lpwstr>
  </property>
</Properties>
</file>