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C8284BE" w14:textId="64B0BC47" w:rsidR="00E67F8C" w:rsidRDefault="005F5D38">
      <w:pPr>
        <w:jc w:val="center"/>
        <w:rPr>
          <w:rFonts w:ascii="方正小标宋简体" w:eastAsia="方正小标宋简体" w:cs="仿宋_GB2312"/>
          <w:bCs/>
          <w:color w:val="000000" w:themeColor="text1"/>
          <w:sz w:val="44"/>
          <w:szCs w:val="44"/>
        </w:rPr>
      </w:pPr>
      <w:r w:rsidRPr="00A82992">
        <w:rPr>
          <w:rFonts w:ascii="方正小标宋简体" w:eastAsia="方正小标宋简体" w:cs="仿宋_GB2312" w:hint="eastAsia"/>
          <w:bCs/>
          <w:color w:val="000000" w:themeColor="text1"/>
          <w:sz w:val="44"/>
          <w:szCs w:val="44"/>
        </w:rPr>
        <w:t>团体标准《</w:t>
      </w:r>
      <w:r w:rsidR="008552DB" w:rsidRPr="008552DB">
        <w:rPr>
          <w:rFonts w:ascii="方正小标宋简体" w:eastAsia="方正小标宋简体" w:cs="仿宋_GB2312" w:hint="eastAsia"/>
          <w:bCs/>
          <w:color w:val="000000" w:themeColor="text1"/>
          <w:sz w:val="44"/>
          <w:szCs w:val="44"/>
        </w:rPr>
        <w:t>耐酸水稻品种类型划分方法</w:t>
      </w:r>
      <w:r w:rsidRPr="00A82992">
        <w:rPr>
          <w:rFonts w:ascii="方正小标宋简体" w:eastAsia="方正小标宋简体" w:cs="仿宋_GB2312" w:hint="eastAsia"/>
          <w:bCs/>
          <w:color w:val="000000" w:themeColor="text1"/>
          <w:sz w:val="44"/>
          <w:szCs w:val="44"/>
        </w:rPr>
        <w:t>》</w:t>
      </w:r>
    </w:p>
    <w:p w14:paraId="472215F2" w14:textId="134516A5" w:rsidR="006B65C5" w:rsidRPr="00A82992" w:rsidRDefault="005F5D38">
      <w:pPr>
        <w:jc w:val="center"/>
        <w:rPr>
          <w:rFonts w:ascii="方正小标宋简体" w:eastAsia="方正小标宋简体" w:cs="仿宋_GB2312"/>
          <w:bCs/>
          <w:color w:val="000000" w:themeColor="text1"/>
          <w:sz w:val="44"/>
          <w:szCs w:val="44"/>
        </w:rPr>
      </w:pPr>
      <w:r w:rsidRPr="00A82992">
        <w:rPr>
          <w:rFonts w:ascii="方正小标宋简体" w:eastAsia="方正小标宋简体" w:cs="仿宋_GB2312" w:hint="eastAsia"/>
          <w:bCs/>
          <w:color w:val="000000" w:themeColor="text1"/>
          <w:sz w:val="44"/>
          <w:szCs w:val="44"/>
        </w:rPr>
        <w:t>（征求意见稿）编制说明</w:t>
      </w:r>
    </w:p>
    <w:p w14:paraId="01B0B1CB" w14:textId="77777777" w:rsidR="006B65C5" w:rsidRPr="00A82992" w:rsidRDefault="006B65C5">
      <w:pPr>
        <w:ind w:firstLine="378"/>
        <w:jc w:val="center"/>
        <w:rPr>
          <w:rFonts w:ascii="方正小标宋简体" w:eastAsia="方正小标宋简体" w:cs="仿宋_GB2312"/>
          <w:bCs/>
          <w:color w:val="000000" w:themeColor="text1"/>
          <w:sz w:val="18"/>
          <w:szCs w:val="18"/>
        </w:rPr>
      </w:pPr>
    </w:p>
    <w:p w14:paraId="72A17A28" w14:textId="77777777" w:rsidR="006B65C5" w:rsidRPr="00A82992" w:rsidRDefault="005F5D38">
      <w:pPr>
        <w:pStyle w:val="aff"/>
        <w:ind w:firstLineChars="200" w:firstLine="640"/>
        <w:jc w:val="left"/>
        <w:rPr>
          <w:rFonts w:ascii="黑体" w:eastAsia="黑体" w:hAnsi="黑体"/>
          <w:b w:val="0"/>
          <w:color w:val="000000" w:themeColor="text1"/>
        </w:rPr>
      </w:pPr>
      <w:r w:rsidRPr="00A82992">
        <w:rPr>
          <w:rFonts w:ascii="黑体" w:eastAsia="黑体" w:hAnsi="黑体" w:hint="eastAsia"/>
          <w:b w:val="0"/>
          <w:color w:val="000000" w:themeColor="text1"/>
        </w:rPr>
        <w:t>一、任务来源、起草单位、</w:t>
      </w:r>
      <w:r w:rsidRPr="00A82992">
        <w:rPr>
          <w:rFonts w:ascii="黑体" w:eastAsia="黑体" w:hAnsi="黑体"/>
          <w:b w:val="0"/>
          <w:color w:val="000000" w:themeColor="text1"/>
        </w:rPr>
        <w:t>主要起草人</w:t>
      </w:r>
    </w:p>
    <w:p w14:paraId="37D84054" w14:textId="2E48D904" w:rsidR="006B65C5" w:rsidRPr="00A82992" w:rsidRDefault="00E67F8C" w:rsidP="008B29D3">
      <w:pPr>
        <w:spacing w:afterLines="50" w:after="120" w:line="520" w:lineRule="exact"/>
        <w:ind w:firstLineChars="200" w:firstLine="640"/>
        <w:rPr>
          <w:rFonts w:ascii="仿宋_GB2312" w:eastAsia="仿宋_GB2312"/>
          <w:color w:val="000000" w:themeColor="text1"/>
          <w:sz w:val="32"/>
          <w:szCs w:val="32"/>
        </w:rPr>
      </w:pPr>
      <w:r w:rsidRPr="00E67F8C">
        <w:rPr>
          <w:rFonts w:ascii="仿宋_GB2312" w:eastAsia="仿宋_GB2312" w:hint="eastAsia"/>
          <w:color w:val="000000" w:themeColor="text1"/>
          <w:sz w:val="32"/>
          <w:szCs w:val="32"/>
        </w:rPr>
        <w:t>根据《广西标准化协会关于下达2025年第二十二批团体标准制修订项目计划的通知》（桂标协〔2025〕1</w:t>
      </w:r>
      <w:r w:rsidRPr="00E67F8C">
        <w:rPr>
          <w:rFonts w:ascii="仿宋_GB2312" w:eastAsia="仿宋_GB2312"/>
          <w:color w:val="000000" w:themeColor="text1"/>
          <w:sz w:val="32"/>
          <w:szCs w:val="32"/>
        </w:rPr>
        <w:t>76</w:t>
      </w:r>
      <w:r w:rsidRPr="00E67F8C">
        <w:rPr>
          <w:rFonts w:ascii="仿宋_GB2312" w:eastAsia="仿宋_GB2312" w:hint="eastAsia"/>
          <w:color w:val="000000" w:themeColor="text1"/>
          <w:sz w:val="32"/>
          <w:szCs w:val="32"/>
        </w:rPr>
        <w:t>号）文件精神，由广西壮族自治区农业科学院提出，广西壮族自治区农业科学院、百色市农业科学研究所、桂林市农业科学研究中心、广西光彩农业有限公司、广西金卡农业科技有限公司、广西绿海种业有限公司等单位共同起草的团体标准《</w:t>
      </w:r>
      <w:r w:rsidR="00EF5012">
        <w:rPr>
          <w:rFonts w:ascii="仿宋_GB2312" w:eastAsia="仿宋_GB2312" w:hint="eastAsia"/>
          <w:color w:val="000000" w:themeColor="text1"/>
          <w:sz w:val="32"/>
          <w:szCs w:val="32"/>
        </w:rPr>
        <w:t>耐酸水稻品种类型划分方法</w:t>
      </w:r>
      <w:r w:rsidRPr="00E67F8C">
        <w:rPr>
          <w:rFonts w:ascii="仿宋_GB2312" w:eastAsia="仿宋_GB2312" w:hint="eastAsia"/>
          <w:color w:val="000000" w:themeColor="text1"/>
          <w:sz w:val="32"/>
          <w:szCs w:val="32"/>
        </w:rPr>
        <w:t>》（项目编号：2025-</w:t>
      </w:r>
      <w:r w:rsidRPr="00E67F8C">
        <w:rPr>
          <w:rFonts w:ascii="仿宋_GB2312" w:eastAsia="仿宋_GB2312"/>
          <w:color w:val="000000" w:themeColor="text1"/>
          <w:sz w:val="32"/>
          <w:szCs w:val="32"/>
        </w:rPr>
        <w:t>2211</w:t>
      </w:r>
      <w:r w:rsidRPr="00E67F8C">
        <w:rPr>
          <w:rFonts w:ascii="仿宋_GB2312" w:eastAsia="仿宋_GB2312" w:hint="eastAsia"/>
          <w:color w:val="000000" w:themeColor="text1"/>
          <w:sz w:val="32"/>
          <w:szCs w:val="32"/>
        </w:rPr>
        <w:t>）</w:t>
      </w:r>
      <w:r w:rsidR="005F5D38" w:rsidRPr="00A82992">
        <w:rPr>
          <w:rFonts w:ascii="仿宋_GB2312" w:eastAsia="仿宋_GB2312" w:hint="eastAsia"/>
          <w:color w:val="000000" w:themeColor="text1"/>
          <w:sz w:val="32"/>
          <w:szCs w:val="32"/>
        </w:rPr>
        <w:t>已获批立项。</w:t>
      </w:r>
    </w:p>
    <w:p w14:paraId="7E28A15E" w14:textId="728B8CE7" w:rsidR="006B65C5" w:rsidRDefault="005F5D38">
      <w:pPr>
        <w:spacing w:afterLines="50" w:after="120"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为高质量编制团体标准《</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》，由起草单位成立标准编制工作组并进行如下分工：</w:t>
      </w:r>
      <w:r w:rsidR="00E907C7" w:rsidRPr="00A82992">
        <w:rPr>
          <w:rFonts w:ascii="仿宋_GB2312" w:eastAsia="仿宋_GB2312"/>
          <w:color w:val="000000" w:themeColor="text1"/>
          <w:sz w:val="32"/>
          <w:szCs w:val="32"/>
        </w:rPr>
        <w:t xml:space="preserve"> </w:t>
      </w:r>
    </w:p>
    <w:tbl>
      <w:tblPr>
        <w:tblW w:w="50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3"/>
        <w:gridCol w:w="1732"/>
        <w:gridCol w:w="1648"/>
        <w:gridCol w:w="2263"/>
        <w:gridCol w:w="2913"/>
      </w:tblGrid>
      <w:tr w:rsidR="00E907C7" w:rsidRPr="000704E0" w14:paraId="0FC29B24" w14:textId="77777777" w:rsidTr="009209E2">
        <w:trPr>
          <w:trHeight w:val="450"/>
          <w:tblHeader/>
          <w:jc w:val="center"/>
        </w:trPr>
        <w:tc>
          <w:tcPr>
            <w:tcW w:w="603" w:type="pct"/>
            <w:vAlign w:val="center"/>
          </w:tcPr>
          <w:p w14:paraId="2140239D" w14:textId="77777777" w:rsidR="00E907C7" w:rsidRPr="000704E0" w:rsidRDefault="00E907C7" w:rsidP="009209E2">
            <w:pPr>
              <w:jc w:val="center"/>
              <w:rPr>
                <w:rFonts w:ascii="仿宋_GB2312" w:eastAsia="仿宋_GB2312" w:hAnsi="Times New Roman"/>
                <w:b/>
                <w:color w:val="000000"/>
                <w:sz w:val="24"/>
              </w:rPr>
            </w:pPr>
            <w:r w:rsidRPr="000704E0">
              <w:rPr>
                <w:rFonts w:ascii="仿宋_GB2312" w:eastAsia="仿宋_GB2312" w:hAnsi="Times New Roman" w:hint="eastAsia"/>
                <w:b/>
                <w:color w:val="000000"/>
                <w:sz w:val="24"/>
              </w:rPr>
              <w:t>姓名</w:t>
            </w:r>
          </w:p>
        </w:tc>
        <w:tc>
          <w:tcPr>
            <w:tcW w:w="890" w:type="pct"/>
            <w:vAlign w:val="center"/>
          </w:tcPr>
          <w:p w14:paraId="34A3134E" w14:textId="77777777" w:rsidR="00E907C7" w:rsidRPr="000704E0" w:rsidRDefault="00E907C7" w:rsidP="009209E2">
            <w:pPr>
              <w:jc w:val="center"/>
              <w:rPr>
                <w:rFonts w:ascii="仿宋_GB2312" w:eastAsia="仿宋_GB2312" w:hAnsi="Times New Roman"/>
                <w:b/>
                <w:color w:val="000000"/>
                <w:sz w:val="24"/>
              </w:rPr>
            </w:pPr>
            <w:r w:rsidRPr="000704E0">
              <w:rPr>
                <w:rFonts w:ascii="仿宋_GB2312" w:eastAsia="仿宋_GB2312" w:hAnsi="Times New Roman" w:hint="eastAsia"/>
                <w:b/>
                <w:color w:val="000000"/>
                <w:sz w:val="24"/>
              </w:rPr>
              <w:t>职务/职称</w:t>
            </w:r>
          </w:p>
        </w:tc>
        <w:tc>
          <w:tcPr>
            <w:tcW w:w="847" w:type="pct"/>
            <w:vAlign w:val="center"/>
          </w:tcPr>
          <w:p w14:paraId="6F2865EF" w14:textId="77777777" w:rsidR="00E907C7" w:rsidRPr="000704E0" w:rsidRDefault="00E907C7" w:rsidP="009209E2">
            <w:pPr>
              <w:jc w:val="center"/>
              <w:rPr>
                <w:rFonts w:ascii="仿宋_GB2312" w:eastAsia="仿宋_GB2312" w:hAnsi="Times New Roman"/>
                <w:b/>
                <w:color w:val="000000"/>
                <w:sz w:val="24"/>
              </w:rPr>
            </w:pPr>
            <w:r w:rsidRPr="000704E0">
              <w:rPr>
                <w:rFonts w:ascii="仿宋_GB2312" w:eastAsia="仿宋_GB2312" w:hAnsi="Times New Roman" w:hint="eastAsia"/>
                <w:b/>
                <w:color w:val="000000"/>
                <w:sz w:val="24"/>
              </w:rPr>
              <w:t>从事专业</w:t>
            </w:r>
          </w:p>
        </w:tc>
        <w:tc>
          <w:tcPr>
            <w:tcW w:w="1163" w:type="pct"/>
            <w:vAlign w:val="center"/>
          </w:tcPr>
          <w:p w14:paraId="7BDB706A" w14:textId="77777777" w:rsidR="00E907C7" w:rsidRPr="000704E0" w:rsidRDefault="00E907C7" w:rsidP="009209E2">
            <w:pPr>
              <w:jc w:val="center"/>
              <w:rPr>
                <w:rFonts w:ascii="仿宋_GB2312" w:eastAsia="仿宋_GB2312" w:hAnsi="Times New Roman"/>
                <w:b/>
                <w:color w:val="000000"/>
                <w:sz w:val="24"/>
              </w:rPr>
            </w:pPr>
            <w:r w:rsidRPr="000704E0">
              <w:rPr>
                <w:rFonts w:ascii="仿宋_GB2312" w:eastAsia="仿宋_GB2312" w:hAnsi="Times New Roman" w:hint="eastAsia"/>
                <w:b/>
                <w:color w:val="000000"/>
                <w:sz w:val="24"/>
              </w:rPr>
              <w:t>工作单位</w:t>
            </w:r>
          </w:p>
        </w:tc>
        <w:tc>
          <w:tcPr>
            <w:tcW w:w="1497" w:type="pct"/>
            <w:vAlign w:val="center"/>
          </w:tcPr>
          <w:p w14:paraId="2C74969C" w14:textId="77777777" w:rsidR="00E907C7" w:rsidRPr="000704E0" w:rsidRDefault="00E907C7" w:rsidP="009209E2">
            <w:pPr>
              <w:jc w:val="center"/>
              <w:rPr>
                <w:rFonts w:ascii="仿宋_GB2312" w:eastAsia="仿宋_GB2312" w:hAnsi="Times New Roman"/>
                <w:b/>
                <w:color w:val="000000"/>
                <w:sz w:val="24"/>
              </w:rPr>
            </w:pPr>
            <w:r w:rsidRPr="000704E0">
              <w:rPr>
                <w:rFonts w:ascii="仿宋_GB2312" w:eastAsia="仿宋_GB2312" w:hAnsi="Times New Roman" w:hint="eastAsia"/>
                <w:b/>
                <w:color w:val="000000"/>
                <w:sz w:val="24"/>
              </w:rPr>
              <w:t>责任分工</w:t>
            </w:r>
          </w:p>
        </w:tc>
      </w:tr>
      <w:tr w:rsidR="00587109" w:rsidRPr="000704E0" w14:paraId="5923ED77" w14:textId="77777777" w:rsidTr="009209E2">
        <w:trPr>
          <w:trHeight w:val="850"/>
          <w:jc w:val="center"/>
        </w:trPr>
        <w:tc>
          <w:tcPr>
            <w:tcW w:w="603" w:type="pct"/>
            <w:vAlign w:val="center"/>
          </w:tcPr>
          <w:p w14:paraId="3E2D486F" w14:textId="2DF4B4A5" w:rsidR="00587109"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彭德</w:t>
            </w:r>
          </w:p>
        </w:tc>
        <w:tc>
          <w:tcPr>
            <w:tcW w:w="890" w:type="pct"/>
            <w:vAlign w:val="center"/>
          </w:tcPr>
          <w:p w14:paraId="6A409E2B" w14:textId="1FC2F16A" w:rsidR="00587109"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研究实习员</w:t>
            </w:r>
          </w:p>
        </w:tc>
        <w:tc>
          <w:tcPr>
            <w:tcW w:w="847" w:type="pct"/>
            <w:vAlign w:val="center"/>
          </w:tcPr>
          <w:p w14:paraId="4C00BB46" w14:textId="14B43053" w:rsidR="00587109"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作物遗传育种</w:t>
            </w:r>
          </w:p>
        </w:tc>
        <w:tc>
          <w:tcPr>
            <w:tcW w:w="1163" w:type="pct"/>
            <w:vAlign w:val="center"/>
          </w:tcPr>
          <w:p w14:paraId="531D5C99" w14:textId="5FAE9832" w:rsidR="00587109"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广西农科院水稻所</w:t>
            </w:r>
          </w:p>
        </w:tc>
        <w:tc>
          <w:tcPr>
            <w:tcW w:w="1497" w:type="pct"/>
            <w:vAlign w:val="center"/>
          </w:tcPr>
          <w:p w14:paraId="28763033" w14:textId="2B8A5790" w:rsidR="00587109" w:rsidRPr="000704E0" w:rsidRDefault="00587109" w:rsidP="00587109">
            <w:pPr>
              <w:suppressAutoHyphens/>
              <w:rPr>
                <w:rFonts w:ascii="仿宋_GB2312" w:eastAsia="仿宋_GB2312" w:hAnsi="仿宋_GB2312" w:cs="仿宋_GB2312"/>
                <w:bCs/>
                <w:color w:val="000000"/>
                <w:sz w:val="24"/>
              </w:rPr>
            </w:pPr>
            <w:r w:rsidRPr="000704E0">
              <w:rPr>
                <w:rFonts w:ascii="仿宋_GB2312" w:eastAsia="仿宋_GB2312" w:hAnsi="仿宋_GB2312" w:cs="仿宋_GB2312" w:hint="eastAsia"/>
                <w:bCs/>
                <w:color w:val="000000"/>
                <w:sz w:val="24"/>
              </w:rPr>
              <w:t>统筹标准编制工作，组织人员进行规范发布后的宣贯培训。</w:t>
            </w:r>
          </w:p>
        </w:tc>
      </w:tr>
      <w:tr w:rsidR="00587109" w:rsidRPr="000704E0" w14:paraId="7AF190F2" w14:textId="77777777" w:rsidTr="009209E2">
        <w:trPr>
          <w:trHeight w:val="850"/>
          <w:jc w:val="center"/>
        </w:trPr>
        <w:tc>
          <w:tcPr>
            <w:tcW w:w="603" w:type="pct"/>
            <w:vAlign w:val="center"/>
          </w:tcPr>
          <w:p w14:paraId="47D991D5" w14:textId="7AD93B84" w:rsidR="00587109"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陈守坤</w:t>
            </w:r>
          </w:p>
        </w:tc>
        <w:tc>
          <w:tcPr>
            <w:tcW w:w="890" w:type="pct"/>
            <w:vAlign w:val="center"/>
          </w:tcPr>
          <w:p w14:paraId="00BC68EE" w14:textId="7ACD2B8A" w:rsidR="00587109"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副研究员</w:t>
            </w:r>
          </w:p>
        </w:tc>
        <w:tc>
          <w:tcPr>
            <w:tcW w:w="847" w:type="pct"/>
            <w:vAlign w:val="center"/>
          </w:tcPr>
          <w:p w14:paraId="5712300D" w14:textId="2C0C3F40" w:rsidR="00587109"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水稻遗传育种</w:t>
            </w:r>
          </w:p>
        </w:tc>
        <w:tc>
          <w:tcPr>
            <w:tcW w:w="1163" w:type="pct"/>
            <w:vAlign w:val="center"/>
          </w:tcPr>
          <w:p w14:paraId="6FCA4866" w14:textId="6CE3464D" w:rsidR="00587109"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广西农科院水稻所</w:t>
            </w:r>
          </w:p>
        </w:tc>
        <w:tc>
          <w:tcPr>
            <w:tcW w:w="1497" w:type="pct"/>
            <w:vAlign w:val="center"/>
          </w:tcPr>
          <w:p w14:paraId="3E486904" w14:textId="660CDFD2" w:rsidR="00587109" w:rsidRPr="000704E0" w:rsidRDefault="00587109" w:rsidP="00587109">
            <w:pPr>
              <w:suppressAutoHyphens/>
              <w:rPr>
                <w:rFonts w:ascii="仿宋_GB2312" w:eastAsia="仿宋_GB2312" w:hAnsi="仿宋_GB2312" w:cs="仿宋_GB2312"/>
                <w:bCs/>
                <w:color w:val="000000"/>
                <w:sz w:val="24"/>
              </w:rPr>
            </w:pPr>
            <w:r w:rsidRPr="000704E0">
              <w:rPr>
                <w:rFonts w:ascii="仿宋_GB2312" w:eastAsia="仿宋_GB2312" w:hAnsi="仿宋_GB2312" w:cs="仿宋_GB2312" w:hint="eastAsia"/>
                <w:bCs/>
                <w:color w:val="000000"/>
                <w:sz w:val="24"/>
              </w:rPr>
              <w:t>指导标准文本及编制说明编写，质量控制。</w:t>
            </w:r>
          </w:p>
        </w:tc>
      </w:tr>
      <w:tr w:rsidR="00587109" w:rsidRPr="000704E0" w14:paraId="340D205D" w14:textId="77777777" w:rsidTr="009209E2">
        <w:trPr>
          <w:trHeight w:val="850"/>
          <w:jc w:val="center"/>
        </w:trPr>
        <w:tc>
          <w:tcPr>
            <w:tcW w:w="603" w:type="pct"/>
            <w:vAlign w:val="center"/>
          </w:tcPr>
          <w:p w14:paraId="37C67DF5" w14:textId="77777777" w:rsidR="00587109" w:rsidRPr="000704E0"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陈韦韦</w:t>
            </w:r>
          </w:p>
        </w:tc>
        <w:tc>
          <w:tcPr>
            <w:tcW w:w="890" w:type="pct"/>
            <w:vAlign w:val="center"/>
          </w:tcPr>
          <w:p w14:paraId="54DAFD97" w14:textId="77777777" w:rsidR="00587109" w:rsidRPr="000704E0"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研究员</w:t>
            </w:r>
          </w:p>
        </w:tc>
        <w:tc>
          <w:tcPr>
            <w:tcW w:w="847" w:type="pct"/>
            <w:vAlign w:val="center"/>
          </w:tcPr>
          <w:p w14:paraId="703F5EAC" w14:textId="77777777" w:rsidR="00587109" w:rsidRPr="000704E0"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水稻遗传育种</w:t>
            </w:r>
          </w:p>
        </w:tc>
        <w:tc>
          <w:tcPr>
            <w:tcW w:w="1163" w:type="pct"/>
            <w:vAlign w:val="center"/>
          </w:tcPr>
          <w:p w14:paraId="4A1FDE00" w14:textId="77777777" w:rsidR="00587109" w:rsidRPr="000704E0"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广西农科院水稻所</w:t>
            </w:r>
          </w:p>
        </w:tc>
        <w:tc>
          <w:tcPr>
            <w:tcW w:w="1497" w:type="pct"/>
            <w:vAlign w:val="center"/>
          </w:tcPr>
          <w:p w14:paraId="43948708" w14:textId="39E0F29D" w:rsidR="00587109" w:rsidRPr="000704E0" w:rsidRDefault="00587109" w:rsidP="00587109">
            <w:pPr>
              <w:suppressAutoHyphens/>
              <w:rPr>
                <w:rFonts w:ascii="仿宋_GB2312" w:eastAsia="仿宋_GB2312" w:hAnsi="仿宋_GB2312" w:cs="仿宋_GB2312"/>
                <w:bCs/>
                <w:color w:val="000000"/>
                <w:sz w:val="24"/>
              </w:rPr>
            </w:pPr>
            <w:r w:rsidRPr="000704E0">
              <w:rPr>
                <w:rFonts w:ascii="仿宋_GB2312" w:eastAsia="仿宋_GB2312" w:hAnsi="仿宋_GB2312" w:cs="仿宋_GB2312" w:hint="eastAsia"/>
                <w:bCs/>
                <w:color w:val="000000"/>
                <w:sz w:val="24"/>
              </w:rPr>
              <w:t>对标准实施情况进行总结分析，不断对标准提出修正意见。</w:t>
            </w:r>
          </w:p>
        </w:tc>
      </w:tr>
      <w:tr w:rsidR="00587109" w:rsidRPr="000704E0" w14:paraId="7C55BCCE" w14:textId="77777777" w:rsidTr="009209E2">
        <w:trPr>
          <w:trHeight w:val="995"/>
          <w:jc w:val="center"/>
        </w:trPr>
        <w:tc>
          <w:tcPr>
            <w:tcW w:w="603" w:type="pct"/>
            <w:vAlign w:val="center"/>
          </w:tcPr>
          <w:p w14:paraId="57E1BF3B" w14:textId="77777777" w:rsidR="00587109" w:rsidRPr="000704E0"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陈灿</w:t>
            </w:r>
          </w:p>
        </w:tc>
        <w:tc>
          <w:tcPr>
            <w:tcW w:w="890" w:type="pct"/>
            <w:vAlign w:val="center"/>
          </w:tcPr>
          <w:p w14:paraId="0A72164D" w14:textId="77777777" w:rsidR="00587109" w:rsidRPr="000704E0"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副研究员</w:t>
            </w:r>
          </w:p>
        </w:tc>
        <w:tc>
          <w:tcPr>
            <w:tcW w:w="847" w:type="pct"/>
            <w:vAlign w:val="center"/>
          </w:tcPr>
          <w:p w14:paraId="55CE2F9C" w14:textId="77777777" w:rsidR="00587109" w:rsidRPr="000704E0"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水稻遗传育种</w:t>
            </w:r>
          </w:p>
        </w:tc>
        <w:tc>
          <w:tcPr>
            <w:tcW w:w="1163" w:type="pct"/>
            <w:vAlign w:val="center"/>
          </w:tcPr>
          <w:p w14:paraId="620550E2" w14:textId="77777777" w:rsidR="00587109" w:rsidRPr="000704E0"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广西农科院水稻所</w:t>
            </w:r>
          </w:p>
        </w:tc>
        <w:tc>
          <w:tcPr>
            <w:tcW w:w="1497" w:type="pct"/>
            <w:vAlign w:val="center"/>
          </w:tcPr>
          <w:p w14:paraId="00FCC672" w14:textId="51CEEA1E" w:rsidR="00587109" w:rsidRPr="000704E0" w:rsidRDefault="00587109" w:rsidP="00587109">
            <w:pPr>
              <w:suppressAutoHyphens/>
              <w:rPr>
                <w:rFonts w:ascii="仿宋_GB2312" w:eastAsia="仿宋_GB2312" w:hAnsi="仿宋_GB2312" w:cs="仿宋_GB2312"/>
                <w:bCs/>
                <w:color w:val="000000"/>
                <w:sz w:val="24"/>
              </w:rPr>
            </w:pPr>
            <w:r w:rsidRPr="000704E0">
              <w:rPr>
                <w:rFonts w:ascii="仿宋_GB2312" w:eastAsia="仿宋_GB2312" w:hAnsi="仿宋_GB2312" w:cs="仿宋_GB2312" w:hint="eastAsia"/>
                <w:bCs/>
                <w:color w:val="000000"/>
                <w:sz w:val="24"/>
              </w:rPr>
              <w:t>负责起草标准草案，征求意见稿和标准编制说明，送审稿及编制说明的编写工作。</w:t>
            </w:r>
          </w:p>
        </w:tc>
      </w:tr>
      <w:tr w:rsidR="00587109" w:rsidRPr="000704E0" w14:paraId="518B0687" w14:textId="77777777" w:rsidTr="009209E2">
        <w:trPr>
          <w:trHeight w:val="850"/>
          <w:jc w:val="center"/>
        </w:trPr>
        <w:tc>
          <w:tcPr>
            <w:tcW w:w="603" w:type="pct"/>
            <w:vAlign w:val="center"/>
          </w:tcPr>
          <w:p w14:paraId="6F659089" w14:textId="77777777" w:rsidR="00587109" w:rsidRPr="000704E0"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罗芳媚</w:t>
            </w:r>
          </w:p>
        </w:tc>
        <w:tc>
          <w:tcPr>
            <w:tcW w:w="890" w:type="pct"/>
            <w:vAlign w:val="center"/>
          </w:tcPr>
          <w:p w14:paraId="2666D281" w14:textId="77777777" w:rsidR="00587109" w:rsidRPr="000704E0" w:rsidRDefault="00587109" w:rsidP="00587109">
            <w:pPr>
              <w:jc w:val="center"/>
              <w:rPr>
                <w:rFonts w:ascii="仿宋_GB2312" w:eastAsia="仿宋_GB2312" w:hAnsi="Times New Roman"/>
                <w:bCs/>
                <w:color w:val="000000"/>
                <w:sz w:val="24"/>
              </w:rPr>
            </w:pPr>
            <w:r w:rsidRPr="00B723FF">
              <w:rPr>
                <w:rFonts w:ascii="仿宋_GB2312" w:eastAsia="仿宋_GB2312" w:hAnsi="Times New Roman" w:hint="eastAsia"/>
                <w:bCs/>
                <w:color w:val="000000"/>
                <w:sz w:val="24"/>
              </w:rPr>
              <w:t>高级农艺师</w:t>
            </w:r>
          </w:p>
        </w:tc>
        <w:tc>
          <w:tcPr>
            <w:tcW w:w="847" w:type="pct"/>
            <w:vAlign w:val="center"/>
          </w:tcPr>
          <w:p w14:paraId="51A666B8" w14:textId="77777777" w:rsidR="00587109" w:rsidRPr="000704E0" w:rsidRDefault="00587109" w:rsidP="00587109">
            <w:pPr>
              <w:jc w:val="center"/>
              <w:rPr>
                <w:rFonts w:ascii="仿宋_GB2312" w:eastAsia="仿宋_GB2312" w:hAnsi="Times New Roman"/>
                <w:bCs/>
                <w:color w:val="000000"/>
                <w:sz w:val="24"/>
              </w:rPr>
            </w:pPr>
            <w:r w:rsidRPr="004215A1">
              <w:rPr>
                <w:rFonts w:ascii="仿宋_GB2312" w:eastAsia="仿宋_GB2312" w:hAnsi="Times New Roman" w:hint="eastAsia"/>
                <w:bCs/>
                <w:color w:val="000000"/>
                <w:sz w:val="24"/>
              </w:rPr>
              <w:t>作物栽培</w:t>
            </w:r>
          </w:p>
        </w:tc>
        <w:tc>
          <w:tcPr>
            <w:tcW w:w="1163" w:type="pct"/>
            <w:vAlign w:val="center"/>
          </w:tcPr>
          <w:p w14:paraId="77BF8219" w14:textId="77777777" w:rsidR="00587109" w:rsidRPr="000704E0" w:rsidRDefault="00587109" w:rsidP="00587109">
            <w:pPr>
              <w:jc w:val="center"/>
              <w:rPr>
                <w:rFonts w:ascii="仿宋_GB2312" w:eastAsia="仿宋_GB2312" w:hAnsi="Times New Roman"/>
                <w:bCs/>
                <w:color w:val="000000"/>
                <w:sz w:val="24"/>
              </w:rPr>
            </w:pPr>
            <w:r w:rsidRPr="004829BA">
              <w:rPr>
                <w:rFonts w:ascii="仿宋_GB2312" w:eastAsia="仿宋_GB2312" w:hAnsi="Times New Roman" w:hint="eastAsia"/>
                <w:bCs/>
                <w:color w:val="000000"/>
                <w:sz w:val="24"/>
              </w:rPr>
              <w:t>百色市农业科学研究所</w:t>
            </w:r>
          </w:p>
        </w:tc>
        <w:tc>
          <w:tcPr>
            <w:tcW w:w="1497" w:type="pct"/>
            <w:vAlign w:val="center"/>
          </w:tcPr>
          <w:p w14:paraId="08EEF072" w14:textId="77777777" w:rsidR="00587109" w:rsidRPr="000704E0" w:rsidRDefault="00587109" w:rsidP="00587109">
            <w:pPr>
              <w:rPr>
                <w:rFonts w:ascii="仿宋_GB2312" w:eastAsia="仿宋_GB2312" w:hAnsi="Times New Roman"/>
                <w:bCs/>
                <w:color w:val="000000"/>
                <w:sz w:val="24"/>
              </w:rPr>
            </w:pPr>
            <w:r w:rsidRPr="000704E0">
              <w:rPr>
                <w:rFonts w:ascii="仿宋_GB2312" w:eastAsia="仿宋_GB2312" w:hAnsi="Times New Roman" w:hint="eastAsia"/>
                <w:bCs/>
                <w:color w:val="000000"/>
                <w:sz w:val="24"/>
              </w:rPr>
              <w:t>负责起草标准草案，征求意见稿和标准编制说明，送审稿及编制说明的编写工作。</w:t>
            </w:r>
          </w:p>
        </w:tc>
      </w:tr>
      <w:tr w:rsidR="00587109" w:rsidRPr="000704E0" w14:paraId="0F45AAEC" w14:textId="77777777" w:rsidTr="009209E2">
        <w:trPr>
          <w:trHeight w:val="850"/>
          <w:jc w:val="center"/>
        </w:trPr>
        <w:tc>
          <w:tcPr>
            <w:tcW w:w="603" w:type="pct"/>
            <w:vAlign w:val="center"/>
          </w:tcPr>
          <w:p w14:paraId="5D863CF6" w14:textId="77777777" w:rsidR="00587109" w:rsidRPr="000704E0" w:rsidRDefault="00587109" w:rsidP="00587109">
            <w:pPr>
              <w:jc w:val="center"/>
              <w:rPr>
                <w:rFonts w:ascii="仿宋_GB2312" w:eastAsia="仿宋_GB2312" w:hAnsi="Times New Roman"/>
                <w:bCs/>
                <w:color w:val="000000"/>
                <w:sz w:val="24"/>
              </w:rPr>
            </w:pPr>
            <w:r w:rsidRPr="00274F1F">
              <w:rPr>
                <w:rFonts w:ascii="仿宋_GB2312" w:eastAsia="仿宋_GB2312" w:hAnsi="Times New Roman" w:hint="eastAsia"/>
                <w:bCs/>
                <w:color w:val="000000"/>
                <w:sz w:val="24"/>
              </w:rPr>
              <w:t>赵永玉</w:t>
            </w:r>
          </w:p>
        </w:tc>
        <w:tc>
          <w:tcPr>
            <w:tcW w:w="890" w:type="pct"/>
            <w:vAlign w:val="center"/>
          </w:tcPr>
          <w:p w14:paraId="01DD93FF" w14:textId="77777777" w:rsidR="00587109" w:rsidRPr="000704E0" w:rsidRDefault="00587109" w:rsidP="00587109">
            <w:pPr>
              <w:jc w:val="center"/>
              <w:rPr>
                <w:rFonts w:ascii="仿宋_GB2312" w:eastAsia="仿宋_GB2312" w:hAnsi="Times New Roman"/>
                <w:bCs/>
                <w:color w:val="000000"/>
                <w:sz w:val="24"/>
              </w:rPr>
            </w:pPr>
            <w:r w:rsidRPr="00274F1F">
              <w:rPr>
                <w:rFonts w:ascii="仿宋_GB2312" w:eastAsia="仿宋_GB2312" w:hAnsi="Times New Roman" w:hint="eastAsia"/>
                <w:bCs/>
                <w:color w:val="000000"/>
                <w:sz w:val="24"/>
              </w:rPr>
              <w:t>助理农艺师</w:t>
            </w:r>
          </w:p>
        </w:tc>
        <w:tc>
          <w:tcPr>
            <w:tcW w:w="847" w:type="pct"/>
            <w:vAlign w:val="center"/>
          </w:tcPr>
          <w:p w14:paraId="2C833CF5" w14:textId="77777777" w:rsidR="00587109" w:rsidRPr="000704E0" w:rsidRDefault="00587109" w:rsidP="00587109">
            <w:pPr>
              <w:jc w:val="center"/>
              <w:rPr>
                <w:rFonts w:ascii="仿宋_GB2312" w:eastAsia="仿宋_GB2312" w:hAnsi="Times New Roman"/>
                <w:bCs/>
                <w:color w:val="000000"/>
                <w:sz w:val="24"/>
              </w:rPr>
            </w:pPr>
            <w:r w:rsidRPr="00274F1F">
              <w:rPr>
                <w:rFonts w:ascii="仿宋_GB2312" w:eastAsia="仿宋_GB2312" w:hAnsi="Times New Roman" w:hint="eastAsia"/>
                <w:bCs/>
                <w:color w:val="000000"/>
                <w:sz w:val="24"/>
              </w:rPr>
              <w:t>农学/水稻栽培、育种</w:t>
            </w:r>
          </w:p>
        </w:tc>
        <w:tc>
          <w:tcPr>
            <w:tcW w:w="1163" w:type="pct"/>
            <w:vAlign w:val="center"/>
          </w:tcPr>
          <w:p w14:paraId="41C65A00" w14:textId="77777777" w:rsidR="00587109" w:rsidRPr="000704E0" w:rsidRDefault="00587109" w:rsidP="00587109">
            <w:pPr>
              <w:jc w:val="center"/>
              <w:rPr>
                <w:rFonts w:ascii="仿宋_GB2312" w:eastAsia="仿宋_GB2312" w:hAnsi="Times New Roman"/>
                <w:bCs/>
                <w:color w:val="000000"/>
                <w:sz w:val="24"/>
              </w:rPr>
            </w:pPr>
            <w:r w:rsidRPr="004829BA">
              <w:rPr>
                <w:rFonts w:ascii="仿宋_GB2312" w:eastAsia="仿宋_GB2312" w:hAnsi="Times New Roman" w:hint="eastAsia"/>
                <w:bCs/>
                <w:color w:val="000000"/>
                <w:sz w:val="24"/>
              </w:rPr>
              <w:t>桂林市农业科学研究中心</w:t>
            </w:r>
          </w:p>
        </w:tc>
        <w:tc>
          <w:tcPr>
            <w:tcW w:w="1497" w:type="pct"/>
            <w:vAlign w:val="center"/>
          </w:tcPr>
          <w:p w14:paraId="7177780E" w14:textId="77777777" w:rsidR="00587109" w:rsidRPr="000704E0" w:rsidRDefault="00587109" w:rsidP="00587109">
            <w:pPr>
              <w:rPr>
                <w:rFonts w:ascii="仿宋_GB2312" w:eastAsia="仿宋_GB2312" w:hAnsi="Times New Roman"/>
                <w:b/>
                <w:color w:val="000000"/>
                <w:sz w:val="24"/>
              </w:rPr>
            </w:pPr>
            <w:r w:rsidRPr="000704E0">
              <w:rPr>
                <w:rFonts w:ascii="仿宋_GB2312" w:eastAsia="仿宋_GB2312" w:hAnsi="Times New Roman" w:hint="eastAsia"/>
                <w:bCs/>
                <w:color w:val="000000"/>
                <w:sz w:val="24"/>
              </w:rPr>
              <w:t>查询、收集和整理资料，协助标准文本及编制说明的编写、实施。</w:t>
            </w:r>
          </w:p>
        </w:tc>
      </w:tr>
      <w:tr w:rsidR="00587109" w:rsidRPr="000704E0" w14:paraId="16A6914E" w14:textId="77777777" w:rsidTr="009209E2">
        <w:trPr>
          <w:trHeight w:val="850"/>
          <w:jc w:val="center"/>
        </w:trPr>
        <w:tc>
          <w:tcPr>
            <w:tcW w:w="603" w:type="pct"/>
            <w:vAlign w:val="center"/>
          </w:tcPr>
          <w:p w14:paraId="7EBAE0B2" w14:textId="77777777" w:rsidR="00587109" w:rsidRPr="000704E0"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lastRenderedPageBreak/>
              <w:t>陈升武</w:t>
            </w:r>
          </w:p>
        </w:tc>
        <w:tc>
          <w:tcPr>
            <w:tcW w:w="890" w:type="pct"/>
            <w:vAlign w:val="center"/>
          </w:tcPr>
          <w:p w14:paraId="624AF902" w14:textId="77777777" w:rsidR="00587109" w:rsidRPr="000704E0" w:rsidRDefault="00587109" w:rsidP="00587109">
            <w:pPr>
              <w:jc w:val="center"/>
              <w:rPr>
                <w:rFonts w:ascii="仿宋_GB2312" w:eastAsia="仿宋_GB2312" w:hAnsi="Times New Roman"/>
                <w:bCs/>
                <w:color w:val="000000"/>
                <w:sz w:val="24"/>
              </w:rPr>
            </w:pPr>
            <w:r w:rsidRPr="008301C1">
              <w:rPr>
                <w:rFonts w:ascii="仿宋_GB2312" w:eastAsia="仿宋_GB2312" w:hAnsi="Times New Roman" w:hint="eastAsia"/>
                <w:bCs/>
                <w:color w:val="000000"/>
                <w:sz w:val="24"/>
              </w:rPr>
              <w:t>副总经理</w:t>
            </w:r>
          </w:p>
        </w:tc>
        <w:tc>
          <w:tcPr>
            <w:tcW w:w="847" w:type="pct"/>
            <w:vAlign w:val="center"/>
          </w:tcPr>
          <w:p w14:paraId="713FB4BD" w14:textId="77777777" w:rsidR="00587109" w:rsidRPr="000704E0" w:rsidRDefault="00587109" w:rsidP="00587109">
            <w:pPr>
              <w:jc w:val="center"/>
              <w:rPr>
                <w:rFonts w:ascii="仿宋_GB2312" w:eastAsia="仿宋_GB2312" w:hAnsi="Times New Roman"/>
                <w:bCs/>
                <w:color w:val="000000"/>
                <w:sz w:val="24"/>
              </w:rPr>
            </w:pPr>
            <w:r w:rsidRPr="008301C1">
              <w:rPr>
                <w:rFonts w:ascii="仿宋_GB2312" w:eastAsia="仿宋_GB2312" w:hAnsi="Times New Roman" w:hint="eastAsia"/>
                <w:bCs/>
                <w:color w:val="000000"/>
                <w:sz w:val="24"/>
              </w:rPr>
              <w:t>种子生产与经营</w:t>
            </w:r>
          </w:p>
        </w:tc>
        <w:tc>
          <w:tcPr>
            <w:tcW w:w="1163" w:type="pct"/>
            <w:vAlign w:val="center"/>
          </w:tcPr>
          <w:p w14:paraId="3405AFE5" w14:textId="77777777" w:rsidR="00587109" w:rsidRPr="000704E0" w:rsidRDefault="00587109" w:rsidP="00587109">
            <w:pPr>
              <w:jc w:val="center"/>
              <w:rPr>
                <w:rFonts w:ascii="仿宋_GB2312" w:eastAsia="仿宋_GB2312" w:hAnsi="Times New Roman"/>
                <w:bCs/>
                <w:color w:val="000000"/>
                <w:sz w:val="24"/>
              </w:rPr>
            </w:pPr>
            <w:r w:rsidRPr="004829BA">
              <w:rPr>
                <w:rFonts w:ascii="仿宋_GB2312" w:eastAsia="仿宋_GB2312" w:hAnsi="Times New Roman" w:hint="eastAsia"/>
                <w:bCs/>
                <w:color w:val="000000"/>
                <w:sz w:val="24"/>
              </w:rPr>
              <w:t>广西绿海种业有限公司</w:t>
            </w:r>
          </w:p>
        </w:tc>
        <w:tc>
          <w:tcPr>
            <w:tcW w:w="1497" w:type="pct"/>
            <w:vAlign w:val="center"/>
          </w:tcPr>
          <w:p w14:paraId="5939BA22" w14:textId="77777777" w:rsidR="00587109" w:rsidRPr="000704E0" w:rsidRDefault="00587109" w:rsidP="00587109">
            <w:pPr>
              <w:rPr>
                <w:rFonts w:ascii="仿宋_GB2312" w:eastAsia="仿宋_GB2312" w:hAnsi="Times New Roman"/>
                <w:bCs/>
                <w:color w:val="000000"/>
                <w:sz w:val="24"/>
              </w:rPr>
            </w:pPr>
            <w:r w:rsidRPr="000704E0">
              <w:rPr>
                <w:rFonts w:ascii="仿宋_GB2312" w:eastAsia="仿宋_GB2312" w:hAnsi="Times New Roman" w:hint="eastAsia"/>
                <w:bCs/>
                <w:color w:val="000000"/>
                <w:sz w:val="24"/>
              </w:rPr>
              <w:t>查询、收集和整理资料，协助标准文本及编制说明的编写、实施。</w:t>
            </w:r>
          </w:p>
        </w:tc>
      </w:tr>
      <w:tr w:rsidR="00587109" w:rsidRPr="000704E0" w14:paraId="0A221C10" w14:textId="77777777" w:rsidTr="009209E2">
        <w:trPr>
          <w:trHeight w:val="850"/>
          <w:jc w:val="center"/>
        </w:trPr>
        <w:tc>
          <w:tcPr>
            <w:tcW w:w="603" w:type="pct"/>
            <w:vAlign w:val="center"/>
          </w:tcPr>
          <w:p w14:paraId="0F2126D8" w14:textId="77777777" w:rsidR="00587109" w:rsidRPr="000704E0"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范富强</w:t>
            </w:r>
          </w:p>
        </w:tc>
        <w:tc>
          <w:tcPr>
            <w:tcW w:w="890" w:type="pct"/>
            <w:vAlign w:val="center"/>
          </w:tcPr>
          <w:p w14:paraId="05DBE737" w14:textId="77777777" w:rsidR="00587109" w:rsidRPr="000704E0"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总经理</w:t>
            </w:r>
          </w:p>
        </w:tc>
        <w:tc>
          <w:tcPr>
            <w:tcW w:w="847" w:type="pct"/>
            <w:vAlign w:val="center"/>
          </w:tcPr>
          <w:p w14:paraId="6041EC0A" w14:textId="77777777" w:rsidR="00587109" w:rsidRPr="000704E0" w:rsidRDefault="00587109" w:rsidP="00587109">
            <w:pPr>
              <w:jc w:val="center"/>
              <w:rPr>
                <w:rFonts w:ascii="仿宋_GB2312" w:eastAsia="仿宋_GB2312" w:hAnsi="Times New Roman"/>
                <w:bCs/>
                <w:color w:val="000000"/>
                <w:sz w:val="24"/>
              </w:rPr>
            </w:pPr>
            <w:r w:rsidRPr="008301C1">
              <w:rPr>
                <w:rFonts w:ascii="仿宋_GB2312" w:eastAsia="仿宋_GB2312" w:hAnsi="Times New Roman" w:hint="eastAsia"/>
                <w:bCs/>
                <w:color w:val="000000"/>
                <w:sz w:val="24"/>
              </w:rPr>
              <w:t>种子生产与经营</w:t>
            </w:r>
          </w:p>
        </w:tc>
        <w:tc>
          <w:tcPr>
            <w:tcW w:w="1163" w:type="pct"/>
            <w:vAlign w:val="center"/>
          </w:tcPr>
          <w:p w14:paraId="5C092B46" w14:textId="77777777" w:rsidR="00587109" w:rsidRPr="000704E0" w:rsidRDefault="00587109" w:rsidP="00587109">
            <w:pPr>
              <w:jc w:val="center"/>
              <w:rPr>
                <w:rFonts w:ascii="仿宋_GB2312" w:eastAsia="仿宋_GB2312" w:hAnsi="Times New Roman"/>
                <w:bCs/>
                <w:color w:val="000000"/>
                <w:sz w:val="24"/>
              </w:rPr>
            </w:pPr>
            <w:r w:rsidRPr="004829BA">
              <w:rPr>
                <w:rFonts w:ascii="仿宋_GB2312" w:eastAsia="仿宋_GB2312" w:hAnsi="Times New Roman" w:hint="eastAsia"/>
                <w:bCs/>
                <w:color w:val="000000"/>
                <w:sz w:val="24"/>
              </w:rPr>
              <w:t>广西光彩农业有限公司</w:t>
            </w:r>
          </w:p>
        </w:tc>
        <w:tc>
          <w:tcPr>
            <w:tcW w:w="1497" w:type="pct"/>
            <w:vAlign w:val="center"/>
          </w:tcPr>
          <w:p w14:paraId="66CE0EFE" w14:textId="77777777" w:rsidR="00587109" w:rsidRPr="000704E0" w:rsidRDefault="00587109" w:rsidP="00587109">
            <w:pPr>
              <w:rPr>
                <w:rFonts w:ascii="仿宋_GB2312" w:eastAsia="仿宋_GB2312" w:hAnsi="Times New Roman"/>
                <w:bCs/>
                <w:color w:val="000000"/>
                <w:sz w:val="24"/>
              </w:rPr>
            </w:pPr>
            <w:r w:rsidRPr="000704E0">
              <w:rPr>
                <w:rFonts w:ascii="仿宋_GB2312" w:eastAsia="仿宋_GB2312" w:hAnsi="Times New Roman" w:hint="eastAsia"/>
                <w:bCs/>
                <w:color w:val="000000"/>
                <w:sz w:val="24"/>
              </w:rPr>
              <w:t>查询、收集和整理资料，协助标准文本及编制说明的编写、实施。</w:t>
            </w:r>
          </w:p>
        </w:tc>
      </w:tr>
      <w:tr w:rsidR="00587109" w:rsidRPr="000704E0" w14:paraId="498994B1" w14:textId="77777777" w:rsidTr="009209E2">
        <w:trPr>
          <w:trHeight w:val="850"/>
          <w:jc w:val="center"/>
        </w:trPr>
        <w:tc>
          <w:tcPr>
            <w:tcW w:w="603" w:type="pct"/>
            <w:vAlign w:val="center"/>
          </w:tcPr>
          <w:p w14:paraId="599B59F8" w14:textId="77777777" w:rsidR="00587109" w:rsidRPr="000704E0"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骆斌</w:t>
            </w:r>
          </w:p>
        </w:tc>
        <w:tc>
          <w:tcPr>
            <w:tcW w:w="890" w:type="pct"/>
            <w:vAlign w:val="center"/>
          </w:tcPr>
          <w:p w14:paraId="37D755DD" w14:textId="77777777" w:rsidR="00587109" w:rsidRPr="000704E0" w:rsidRDefault="00587109" w:rsidP="00587109">
            <w:pPr>
              <w:jc w:val="center"/>
              <w:rPr>
                <w:rFonts w:ascii="仿宋_GB2312" w:eastAsia="仿宋_GB2312" w:hAnsi="Times New Roman"/>
                <w:bCs/>
                <w:color w:val="000000"/>
                <w:sz w:val="24"/>
              </w:rPr>
            </w:pPr>
            <w:r w:rsidRPr="008301C1">
              <w:rPr>
                <w:rFonts w:ascii="仿宋_GB2312" w:eastAsia="仿宋_GB2312" w:hAnsi="Times New Roman" w:hint="eastAsia"/>
                <w:bCs/>
                <w:color w:val="000000"/>
                <w:sz w:val="24"/>
              </w:rPr>
              <w:t>副总经理</w:t>
            </w:r>
          </w:p>
        </w:tc>
        <w:tc>
          <w:tcPr>
            <w:tcW w:w="847" w:type="pct"/>
            <w:vAlign w:val="center"/>
          </w:tcPr>
          <w:p w14:paraId="5B05BFCC" w14:textId="77777777" w:rsidR="00587109" w:rsidRPr="000704E0" w:rsidRDefault="00587109" w:rsidP="00587109">
            <w:pPr>
              <w:jc w:val="center"/>
              <w:rPr>
                <w:rFonts w:ascii="仿宋_GB2312" w:eastAsia="仿宋_GB2312" w:hAnsi="Times New Roman"/>
                <w:bCs/>
                <w:color w:val="000000"/>
                <w:sz w:val="24"/>
              </w:rPr>
            </w:pPr>
            <w:r>
              <w:rPr>
                <w:rFonts w:ascii="仿宋_GB2312" w:eastAsia="仿宋_GB2312" w:hAnsi="Times New Roman" w:hint="eastAsia"/>
                <w:bCs/>
                <w:color w:val="000000"/>
                <w:sz w:val="24"/>
              </w:rPr>
              <w:t>农学</w:t>
            </w:r>
          </w:p>
        </w:tc>
        <w:tc>
          <w:tcPr>
            <w:tcW w:w="1163" w:type="pct"/>
            <w:vAlign w:val="center"/>
          </w:tcPr>
          <w:p w14:paraId="069BDE03" w14:textId="77777777" w:rsidR="00587109" w:rsidRPr="000704E0" w:rsidRDefault="00587109" w:rsidP="00587109">
            <w:pPr>
              <w:jc w:val="center"/>
              <w:rPr>
                <w:rFonts w:ascii="仿宋_GB2312" w:eastAsia="仿宋_GB2312" w:hAnsi="Times New Roman"/>
                <w:bCs/>
                <w:color w:val="000000"/>
                <w:sz w:val="24"/>
              </w:rPr>
            </w:pPr>
            <w:r w:rsidRPr="004829BA">
              <w:rPr>
                <w:rFonts w:ascii="仿宋_GB2312" w:eastAsia="仿宋_GB2312" w:hAnsi="Times New Roman" w:hint="eastAsia"/>
                <w:bCs/>
                <w:color w:val="000000"/>
                <w:sz w:val="24"/>
              </w:rPr>
              <w:t>广西金卡农业科技有限公司</w:t>
            </w:r>
          </w:p>
        </w:tc>
        <w:tc>
          <w:tcPr>
            <w:tcW w:w="1497" w:type="pct"/>
            <w:vAlign w:val="center"/>
          </w:tcPr>
          <w:p w14:paraId="24A0D7F5" w14:textId="77777777" w:rsidR="00587109" w:rsidRPr="000704E0" w:rsidRDefault="00587109" w:rsidP="00587109">
            <w:pPr>
              <w:rPr>
                <w:rFonts w:ascii="仿宋_GB2312" w:eastAsia="仿宋_GB2312" w:hAnsi="Times New Roman"/>
                <w:bCs/>
                <w:color w:val="000000"/>
                <w:sz w:val="24"/>
              </w:rPr>
            </w:pPr>
            <w:r w:rsidRPr="000704E0">
              <w:rPr>
                <w:rFonts w:ascii="仿宋_GB2312" w:eastAsia="仿宋_GB2312" w:hAnsi="Times New Roman" w:hint="eastAsia"/>
                <w:bCs/>
                <w:color w:val="000000"/>
                <w:sz w:val="24"/>
              </w:rPr>
              <w:t>查询、收集和整理资料，协助标准文本及编制说明的编写、实施。</w:t>
            </w:r>
          </w:p>
        </w:tc>
      </w:tr>
    </w:tbl>
    <w:p w14:paraId="371ADAA1" w14:textId="77777777" w:rsidR="006B65C5" w:rsidRPr="00A82992" w:rsidRDefault="005F5D38">
      <w:pPr>
        <w:pStyle w:val="aff"/>
        <w:ind w:firstLineChars="200" w:firstLine="640"/>
        <w:jc w:val="left"/>
        <w:rPr>
          <w:rFonts w:ascii="黑体" w:eastAsia="黑体" w:hAnsi="黑体"/>
          <w:b w:val="0"/>
          <w:color w:val="000000" w:themeColor="text1"/>
        </w:rPr>
      </w:pPr>
      <w:r w:rsidRPr="00A82992">
        <w:rPr>
          <w:rFonts w:ascii="黑体" w:eastAsia="黑体" w:hAnsi="黑体" w:hint="eastAsia"/>
          <w:b w:val="0"/>
          <w:color w:val="000000" w:themeColor="text1"/>
        </w:rPr>
        <w:t>二、制定标准的必要性和意义</w:t>
      </w:r>
    </w:p>
    <w:p w14:paraId="6D6E673D" w14:textId="71205813" w:rsidR="00A53994" w:rsidRPr="00A53994" w:rsidRDefault="00A53994" w:rsidP="00A53994">
      <w:pPr>
        <w:spacing w:line="520" w:lineRule="exact"/>
        <w:ind w:firstLineChars="200" w:firstLine="640"/>
        <w:rPr>
          <w:rFonts w:ascii="仿宋_GB2312" w:eastAsiaTheme="minorEastAsia"/>
          <w:color w:val="000000" w:themeColor="text1"/>
          <w:sz w:val="32"/>
          <w:szCs w:val="32"/>
        </w:rPr>
      </w:pPr>
      <w:r w:rsidRPr="00A53994">
        <w:rPr>
          <w:rFonts w:ascii="仿宋_GB2312" w:eastAsia="仿宋_GB2312" w:hint="eastAsia"/>
          <w:color w:val="000000" w:themeColor="text1"/>
          <w:sz w:val="32"/>
          <w:szCs w:val="32"/>
        </w:rPr>
        <w:t>在全球范围内，酸性土壤广泛分布，我国南方地区更是酸性土壤的主要集中地。随着工业化、农业集约化的快速发展，土壤酸化问题愈发严峻，这对水稻等农作物的生长发育构成了极大挑战。土壤酸化会引发一系列不良后果，例如导致土壤中铝、锰等重金属离子的活性增强，产生铝毒、锰毒，抑制水稻根系的正常生长与发育，阻碍养分的吸收与运输；同时，土壤酸化还会降低土壤中磷、钾、钙、镁等营养元素的有效性，造成水稻营养失衡。</w:t>
      </w:r>
    </w:p>
    <w:p w14:paraId="3F7B8300" w14:textId="5802B4E6" w:rsidR="00A53994" w:rsidRPr="00A53994" w:rsidRDefault="00BC6307" w:rsidP="00A53994">
      <w:pPr>
        <w:spacing w:line="520" w:lineRule="exact"/>
        <w:ind w:firstLineChars="200" w:firstLine="640"/>
        <w:rPr>
          <w:rFonts w:ascii="仿宋_GB2312" w:eastAsiaTheme="minorEastAsia"/>
          <w:color w:val="000000" w:themeColor="text1"/>
          <w:sz w:val="32"/>
          <w:szCs w:val="32"/>
        </w:rPr>
      </w:pPr>
      <w:r w:rsidRPr="00BC6307">
        <w:rPr>
          <w:rFonts w:ascii="仿宋_GB2312" w:eastAsia="仿宋_GB2312" w:hint="eastAsia"/>
          <w:color w:val="000000" w:themeColor="text1"/>
          <w:sz w:val="32"/>
          <w:szCs w:val="32"/>
        </w:rPr>
        <w:t>土壤酸化是土壤形成和发育过程中普遍存在的现象，是一个非常缓慢的过程。选育和推广耐酸高产作物品种，是提升我国南方红黄壤作物产能的重要措施之一。广西是我国重要的水稻主产区之一。据统计，水稻种植面积稳定在2800万亩以上，约占全国水稻种植总面积的6.5%；年产量超过1200万吨，占全国水稻总产量的5.8%。然而，受自然条件和耕作方式影响，广西土壤酸化问题日益突出。据相关部门监测，全区pH值低于5.5的酸性水稻田面积已达850万亩，占全区水稻种植面积的30%以上，其中桂北、桂西部分区域土壤pH值甚至低于4.5。土壤酸化导致水稻生长受阻，减产幅度可达10%～30%，严重制约了水稻生产的可持续发展。近年来，国内外在水稻耐酸品种选育方面取得了一定进展，但缺乏统一的耐酸类型划</w:t>
      </w:r>
      <w:r w:rsidRPr="00BC6307">
        <w:rPr>
          <w:rFonts w:ascii="仿宋_GB2312" w:eastAsia="仿宋_GB2312" w:hint="eastAsia"/>
          <w:color w:val="000000" w:themeColor="text1"/>
          <w:sz w:val="32"/>
          <w:szCs w:val="32"/>
        </w:rPr>
        <w:lastRenderedPageBreak/>
        <w:t>分标准，导致品种评价和推广存在较大随意性。例如，部分地区在推广耐酸品种时，仅凭经验或少量试验数据，未能科学划分耐酸等级，影响了品种的实际应用效果。此外，耐酸品种的选育和推广缺乏标准化指导，导致资源浪费和效率低下。</w:t>
      </w:r>
    </w:p>
    <w:p w14:paraId="44DFAE02" w14:textId="1718AE41" w:rsidR="006B65C5" w:rsidRPr="00A82992" w:rsidRDefault="00A53994" w:rsidP="00A53994">
      <w:pPr>
        <w:spacing w:line="520" w:lineRule="exact"/>
        <w:ind w:firstLineChars="200" w:firstLine="640"/>
        <w:rPr>
          <w:rFonts w:ascii="仿宋_GB2312" w:eastAsia="仿宋_GB2312"/>
          <w:color w:val="000000" w:themeColor="text1"/>
          <w:sz w:val="32"/>
          <w:szCs w:val="32"/>
        </w:rPr>
      </w:pPr>
      <w:r w:rsidRPr="00A53994">
        <w:rPr>
          <w:rFonts w:ascii="仿宋_GB2312" w:eastAsia="仿宋_GB2312" w:hint="eastAsia"/>
          <w:color w:val="000000" w:themeColor="text1"/>
          <w:sz w:val="32"/>
          <w:szCs w:val="32"/>
        </w:rPr>
        <w:t>从科学研究层面而言，统一的耐酸类型划分标准为科研工作者深入研究水稻耐酸机制搭建了稳固的平台。以往由于缺乏统一标准，不同研究在水稻耐酸评价指标和方法上存在差异，导致研究结果难以相互比较和整合，限制了对水稻耐酸遗传规律、生理生化响应机制等方面研究的深入推进。有了统一标准后，科研人员能够在相同的评价体系下，系统开展耐酸水稻种质资源筛选、耐酸基因挖掘与鉴定、耐酸品种选育等工作。这有助于加速耐酸水稻新品种的培育进程，为从根本上解决酸性土壤地区水稻生产问题提供强大的技术支撑。</w:t>
      </w:r>
    </w:p>
    <w:p w14:paraId="54234E41" w14:textId="726EFAAB" w:rsidR="006B65C5" w:rsidRPr="00A82992" w:rsidRDefault="00A53994">
      <w:pPr>
        <w:spacing w:line="520" w:lineRule="exact"/>
        <w:ind w:firstLineChars="200" w:firstLine="640"/>
        <w:rPr>
          <w:rFonts w:ascii="仿宋_GB2312" w:eastAsia="仿宋_GB2312"/>
          <w:color w:val="000000" w:themeColor="text1"/>
          <w:sz w:val="32"/>
          <w:szCs w:val="32"/>
        </w:rPr>
      </w:pPr>
      <w:r w:rsidRPr="00A53994">
        <w:rPr>
          <w:rFonts w:ascii="仿宋_GB2312" w:eastAsia="仿宋_GB2312" w:hint="eastAsia"/>
          <w:color w:val="000000" w:themeColor="text1"/>
          <w:sz w:val="32"/>
          <w:szCs w:val="32"/>
        </w:rPr>
        <w:t>通过制定团体标准《</w:t>
      </w:r>
      <w:r w:rsidR="00EF5012">
        <w:rPr>
          <w:rFonts w:ascii="仿宋_GB2312" w:eastAsia="仿宋_GB2312" w:hint="eastAsia"/>
          <w:color w:val="000000" w:themeColor="text1"/>
          <w:sz w:val="32"/>
          <w:szCs w:val="32"/>
        </w:rPr>
        <w:t>耐酸水稻品种类型划分方法</w:t>
      </w:r>
      <w:r w:rsidRPr="00A53994">
        <w:rPr>
          <w:rFonts w:ascii="仿宋_GB2312" w:eastAsia="仿宋_GB2312" w:hint="eastAsia"/>
          <w:color w:val="000000" w:themeColor="text1"/>
          <w:sz w:val="32"/>
          <w:szCs w:val="32"/>
        </w:rPr>
        <w:t>》，以标准为抓手，统一规范水稻耐酸品种的划分原理、耐酸试验、干物质测定、结果计算和类型划分等评价方法，将为耐酸品种的选育、推广和应用提供科学依据，用标准化和规范化更好地促进耐酸水稻品种的产业化发展，对提升我国水稻产业的整体竞争力，推动农业可持续发展及水稻产业高质量发展具有重要意义</w:t>
      </w:r>
      <w:r w:rsidR="005F5D38" w:rsidRPr="00BA0C59">
        <w:rPr>
          <w:rFonts w:ascii="仿宋_GB2312" w:eastAsia="仿宋_GB2312" w:hint="eastAsia"/>
          <w:color w:val="000000" w:themeColor="text1"/>
          <w:sz w:val="32"/>
          <w:szCs w:val="32"/>
        </w:rPr>
        <w:t>。</w:t>
      </w:r>
    </w:p>
    <w:p w14:paraId="697DF10C" w14:textId="77777777" w:rsidR="006B65C5" w:rsidRPr="00A82992" w:rsidRDefault="005F5D38">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sidRPr="00A82992">
        <w:rPr>
          <w:rFonts w:ascii="Times New Roman" w:eastAsia="黑体" w:hAnsi="Times New Roman" w:cs="Times New Roman" w:hint="eastAsia"/>
          <w:color w:val="000000" w:themeColor="text1"/>
          <w:sz w:val="32"/>
          <w:szCs w:val="32"/>
        </w:rPr>
        <w:t>三、主要起草过程</w:t>
      </w:r>
    </w:p>
    <w:p w14:paraId="1F95469B" w14:textId="77777777" w:rsidR="006B65C5" w:rsidRPr="00A82992" w:rsidRDefault="005F5D38">
      <w:pPr>
        <w:spacing w:line="560" w:lineRule="exact"/>
        <w:ind w:firstLineChars="200" w:firstLine="643"/>
        <w:rPr>
          <w:rFonts w:ascii="楷体" w:eastAsia="楷体" w:hAnsi="楷体" w:cs="楷体"/>
          <w:b/>
          <w:color w:val="000000" w:themeColor="text1"/>
          <w:sz w:val="32"/>
          <w:szCs w:val="32"/>
        </w:rPr>
      </w:pPr>
      <w:r w:rsidRPr="00A82992">
        <w:rPr>
          <w:rFonts w:ascii="楷体" w:eastAsia="楷体" w:hAnsi="楷体" w:cs="楷体" w:hint="eastAsia"/>
          <w:b/>
          <w:color w:val="000000" w:themeColor="text1"/>
          <w:sz w:val="32"/>
          <w:szCs w:val="32"/>
        </w:rPr>
        <w:t>（一）成立标准编制工作组</w:t>
      </w:r>
    </w:p>
    <w:p w14:paraId="3CC27BB4" w14:textId="7E42D22D" w:rsidR="006B65C5" w:rsidRPr="00A82992" w:rsidRDefault="005F5D38">
      <w:pPr>
        <w:spacing w:line="520" w:lineRule="exact"/>
        <w:ind w:firstLineChars="200" w:firstLine="640"/>
        <w:jc w:val="left"/>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团体标准《</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》项目任务下达后，</w:t>
      </w:r>
      <w:r w:rsidR="008C54E6" w:rsidRPr="008C54E6">
        <w:rPr>
          <w:rFonts w:ascii="仿宋_GB2312" w:eastAsia="仿宋_GB2312" w:hint="eastAsia"/>
          <w:color w:val="000000" w:themeColor="text1"/>
          <w:sz w:val="32"/>
          <w:szCs w:val="32"/>
        </w:rPr>
        <w:t>广西壮族自治区农业科学院、百色市农业科学研究所、桂林市农业科学研究中心、广西光彩农业有限公司、广西金卡农业科技有限公司、广西绿海种业有限公司</w:t>
      </w:r>
      <w:r w:rsidRPr="00A82992">
        <w:rPr>
          <w:rFonts w:ascii="仿宋_GB2312" w:eastAsia="仿宋_GB2312" w:hint="eastAsia"/>
          <w:color w:val="000000" w:themeColor="text1"/>
          <w:sz w:val="32"/>
          <w:szCs w:val="32"/>
        </w:rPr>
        <w:t>等单位成立了标准编制工作组，制定了起草编写方案与进度安排，明确任务职责，确定工作技术路线，开展标</w:t>
      </w:r>
      <w:r w:rsidRPr="00A82992">
        <w:rPr>
          <w:rFonts w:ascii="仿宋_GB2312" w:eastAsia="仿宋_GB2312" w:hint="eastAsia"/>
          <w:color w:val="000000" w:themeColor="text1"/>
          <w:sz w:val="32"/>
          <w:szCs w:val="32"/>
        </w:rPr>
        <w:lastRenderedPageBreak/>
        <w:t>准研制工作。具体标准编制工作由起草单位相关人员配合完成。</w:t>
      </w:r>
    </w:p>
    <w:p w14:paraId="0C10889A" w14:textId="77777777" w:rsidR="006B65C5" w:rsidRPr="00A82992" w:rsidRDefault="005F5D38">
      <w:pPr>
        <w:spacing w:line="520" w:lineRule="exact"/>
        <w:ind w:firstLineChars="200" w:firstLine="640"/>
        <w:jc w:val="left"/>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为了明确标准编制的任务职责，确定工作技术路线，开展标准研制工作。编制工作组下设三个组，分别是资料收集组、草案编写组、标准实施组。</w:t>
      </w:r>
    </w:p>
    <w:p w14:paraId="7155381C" w14:textId="3706A8DF"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资料收集组负责国内外有关</w:t>
      </w:r>
      <w:r w:rsidR="00EF5012">
        <w:rPr>
          <w:rFonts w:ascii="仿宋_GB2312" w:eastAsia="仿宋_GB2312" w:hint="eastAsia"/>
          <w:color w:val="000000" w:themeColor="text1"/>
          <w:sz w:val="32"/>
          <w:szCs w:val="32"/>
        </w:rPr>
        <w:t>耐酸水稻品种类型划分方法</w:t>
      </w:r>
      <w:r w:rsidRPr="007C7536">
        <w:rPr>
          <w:rFonts w:ascii="仿宋_GB2312" w:eastAsia="仿宋_GB2312" w:hint="eastAsia"/>
          <w:color w:val="000000" w:themeColor="text1"/>
          <w:sz w:val="32"/>
          <w:szCs w:val="32"/>
        </w:rPr>
        <w:t>相</w:t>
      </w:r>
      <w:r w:rsidRPr="00A82992">
        <w:rPr>
          <w:rFonts w:ascii="仿宋_GB2312" w:eastAsia="仿宋_GB2312" w:hint="eastAsia"/>
          <w:color w:val="000000" w:themeColor="text1"/>
          <w:sz w:val="32"/>
          <w:szCs w:val="32"/>
        </w:rPr>
        <w:t>关文献资料的查询、收集和整理工作，查阅前期对</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的有关研究情况和目前</w:t>
      </w:r>
      <w:r w:rsidR="007D4CFB">
        <w:rPr>
          <w:rFonts w:ascii="仿宋_GB2312" w:eastAsia="仿宋_GB2312" w:hint="eastAsia"/>
          <w:color w:val="000000" w:themeColor="text1"/>
          <w:sz w:val="32"/>
          <w:szCs w:val="32"/>
        </w:rPr>
        <w:t>科</w:t>
      </w:r>
      <w:r w:rsidRPr="00A82992">
        <w:rPr>
          <w:rFonts w:ascii="仿宋_GB2312" w:eastAsia="仿宋_GB2312" w:hint="eastAsia"/>
          <w:color w:val="000000" w:themeColor="text1"/>
          <w:sz w:val="32"/>
          <w:szCs w:val="32"/>
        </w:rPr>
        <w:t>学界对</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的研究进展。</w:t>
      </w:r>
    </w:p>
    <w:p w14:paraId="6D5684E7" w14:textId="77777777"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草案编写组负责起草标准草案及后续征求意见稿和标准编制说明、送审稿及编制说明等编写工作，包括后期召开征求意见会、网上征求意见，以及标准的不断修改和完善。</w:t>
      </w:r>
    </w:p>
    <w:p w14:paraId="2B358024" w14:textId="54947109" w:rsidR="006B65C5" w:rsidRPr="00A82992" w:rsidRDefault="005F5D38">
      <w:pPr>
        <w:spacing w:line="520" w:lineRule="exact"/>
        <w:ind w:firstLineChars="200" w:firstLine="640"/>
        <w:jc w:val="left"/>
        <w:rPr>
          <w:rFonts w:ascii="仿宋_GB2312" w:eastAsia="仿宋_GB2312" w:cs="仿宋_GB2312"/>
          <w:color w:val="000000" w:themeColor="text1"/>
          <w:sz w:val="28"/>
          <w:szCs w:val="28"/>
        </w:rPr>
      </w:pPr>
      <w:r w:rsidRPr="00A82992">
        <w:rPr>
          <w:rFonts w:ascii="仿宋_GB2312" w:eastAsia="仿宋_GB2312" w:hint="eastAsia"/>
          <w:color w:val="000000" w:themeColor="text1"/>
          <w:sz w:val="32"/>
          <w:szCs w:val="32"/>
        </w:rPr>
        <w:t>标准实施组负责团体标准《</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》发布后，组织相关</w:t>
      </w:r>
      <w:r w:rsidR="008C54E6">
        <w:rPr>
          <w:rFonts w:ascii="仿宋_GB2312" w:eastAsia="仿宋_GB2312" w:hint="eastAsia"/>
          <w:color w:val="000000" w:themeColor="text1"/>
          <w:sz w:val="32"/>
          <w:szCs w:val="32"/>
        </w:rPr>
        <w:t>水稻种植</w:t>
      </w:r>
      <w:r w:rsidR="008C54E6">
        <w:rPr>
          <w:rFonts w:ascii="仿宋_GB2312" w:eastAsia="仿宋_GB2312"/>
          <w:color w:val="000000" w:themeColor="text1"/>
          <w:sz w:val="32"/>
          <w:szCs w:val="32"/>
        </w:rPr>
        <w:t>基地</w:t>
      </w:r>
      <w:r w:rsidR="009A6EA6">
        <w:rPr>
          <w:rFonts w:ascii="仿宋_GB2312" w:eastAsia="仿宋_GB2312"/>
          <w:color w:val="000000" w:themeColor="text1"/>
          <w:sz w:val="32"/>
          <w:szCs w:val="32"/>
        </w:rPr>
        <w:t>、</w:t>
      </w:r>
      <w:r w:rsidR="009A6EA6">
        <w:rPr>
          <w:rFonts w:ascii="仿宋_GB2312" w:eastAsia="仿宋_GB2312" w:hint="eastAsia"/>
          <w:color w:val="000000" w:themeColor="text1"/>
          <w:sz w:val="32"/>
          <w:szCs w:val="32"/>
        </w:rPr>
        <w:t>及各</w:t>
      </w:r>
      <w:r w:rsidR="009A6EA6">
        <w:rPr>
          <w:rFonts w:ascii="仿宋_GB2312" w:eastAsia="仿宋_GB2312"/>
          <w:color w:val="000000" w:themeColor="text1"/>
          <w:sz w:val="32"/>
          <w:szCs w:val="32"/>
        </w:rPr>
        <w:t>企</w:t>
      </w:r>
      <w:r w:rsidRPr="00A82992">
        <w:rPr>
          <w:rFonts w:ascii="仿宋_GB2312" w:eastAsia="仿宋_GB2312" w:hint="eastAsia"/>
          <w:color w:val="000000" w:themeColor="text1"/>
          <w:sz w:val="32"/>
          <w:szCs w:val="32"/>
        </w:rPr>
        <w:t>事业单位</w:t>
      </w:r>
      <w:r w:rsidR="009A6EA6">
        <w:rPr>
          <w:rFonts w:ascii="仿宋_GB2312" w:eastAsia="仿宋_GB2312" w:hint="eastAsia"/>
          <w:color w:val="000000" w:themeColor="text1"/>
          <w:sz w:val="32"/>
          <w:szCs w:val="32"/>
        </w:rPr>
        <w:t>、</w:t>
      </w:r>
      <w:r w:rsidR="009A6EA6">
        <w:rPr>
          <w:rFonts w:ascii="仿宋_GB2312" w:eastAsia="仿宋_GB2312"/>
          <w:color w:val="000000" w:themeColor="text1"/>
          <w:sz w:val="32"/>
          <w:szCs w:val="32"/>
        </w:rPr>
        <w:t>高校、科研机构</w:t>
      </w:r>
      <w:r w:rsidRPr="00A82992">
        <w:rPr>
          <w:rFonts w:ascii="仿宋_GB2312" w:eastAsia="仿宋_GB2312" w:hint="eastAsia"/>
          <w:color w:val="000000" w:themeColor="text1"/>
          <w:sz w:val="32"/>
          <w:szCs w:val="32"/>
        </w:rPr>
        <w:t>开展标准宣贯培训会，对标准进行详细解读，让相关人员了解标准，并根据标准对</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进行规范化操作，并对标准实施情况进行总结分析，不断对标准提出修正意见。</w:t>
      </w:r>
    </w:p>
    <w:p w14:paraId="3E81A00C" w14:textId="77777777" w:rsidR="006B65C5" w:rsidRPr="00A82992" w:rsidRDefault="005F5D38">
      <w:pPr>
        <w:spacing w:line="560" w:lineRule="exact"/>
        <w:ind w:firstLineChars="200" w:firstLine="643"/>
        <w:rPr>
          <w:rFonts w:ascii="楷体" w:eastAsia="楷体" w:hAnsi="楷体" w:cs="楷体"/>
          <w:b/>
          <w:color w:val="000000" w:themeColor="text1"/>
          <w:sz w:val="32"/>
          <w:szCs w:val="32"/>
        </w:rPr>
      </w:pPr>
      <w:r w:rsidRPr="00A82992">
        <w:rPr>
          <w:rFonts w:ascii="楷体" w:eastAsia="楷体" w:hAnsi="楷体" w:cs="楷体" w:hint="eastAsia"/>
          <w:b/>
          <w:color w:val="000000" w:themeColor="text1"/>
          <w:sz w:val="32"/>
          <w:szCs w:val="32"/>
        </w:rPr>
        <w:t>（二）收集整理文献资料</w:t>
      </w:r>
    </w:p>
    <w:p w14:paraId="0DE5C454" w14:textId="19DA175A" w:rsidR="006B65C5"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标准编制工作组收集了国内有</w:t>
      </w:r>
      <w:r w:rsidRPr="00C41385">
        <w:rPr>
          <w:rFonts w:ascii="仿宋_GB2312" w:eastAsia="仿宋_GB2312" w:hint="eastAsia"/>
          <w:color w:val="000000" w:themeColor="text1"/>
          <w:sz w:val="32"/>
          <w:szCs w:val="32"/>
        </w:rPr>
        <w:t>关</w:t>
      </w:r>
      <w:r w:rsidR="008C54E6" w:rsidRPr="008C54E6">
        <w:rPr>
          <w:rFonts w:ascii="仿宋_GB2312" w:eastAsia="仿宋_GB2312" w:hint="eastAsia"/>
          <w:color w:val="000000" w:themeColor="text1"/>
          <w:sz w:val="32"/>
          <w:szCs w:val="32"/>
        </w:rPr>
        <w:t>“水稻 划分”“耐酸  划分”</w:t>
      </w:r>
      <w:r w:rsidRPr="00A82992">
        <w:rPr>
          <w:rFonts w:ascii="仿宋_GB2312" w:eastAsia="仿宋_GB2312" w:hint="eastAsia"/>
          <w:color w:val="000000" w:themeColor="text1"/>
          <w:sz w:val="32"/>
          <w:szCs w:val="32"/>
        </w:rPr>
        <w:t>的相关文献资料。主要有：</w:t>
      </w:r>
    </w:p>
    <w:p w14:paraId="18DD59DB" w14:textId="77777777" w:rsidR="008C54E6" w:rsidRDefault="008C54E6">
      <w:pPr>
        <w:spacing w:line="520" w:lineRule="exact"/>
        <w:ind w:firstLineChars="200" w:firstLine="640"/>
        <w:rPr>
          <w:rFonts w:ascii="仿宋_GB2312" w:eastAsia="仿宋_GB2312"/>
          <w:color w:val="000000" w:themeColor="text1"/>
          <w:sz w:val="32"/>
          <w:szCs w:val="32"/>
        </w:rPr>
      </w:pPr>
      <w:r w:rsidRPr="008C54E6">
        <w:rPr>
          <w:rFonts w:ascii="仿宋_GB2312" w:eastAsia="仿宋_GB2312" w:hint="eastAsia"/>
          <w:color w:val="000000" w:themeColor="text1"/>
          <w:sz w:val="32"/>
          <w:szCs w:val="32"/>
        </w:rPr>
        <w:t>DB3208/T 120-2019  水稻机插秧苗等级划分</w:t>
      </w:r>
    </w:p>
    <w:p w14:paraId="248BD639" w14:textId="345C78A3" w:rsidR="00266606" w:rsidRPr="00266606" w:rsidRDefault="008C54E6">
      <w:pPr>
        <w:spacing w:line="520" w:lineRule="exact"/>
        <w:ind w:firstLineChars="200" w:firstLine="640"/>
        <w:rPr>
          <w:rFonts w:ascii="仿宋_GB2312" w:eastAsia="仿宋_GB2312"/>
          <w:color w:val="000000" w:themeColor="text1"/>
          <w:sz w:val="32"/>
          <w:szCs w:val="32"/>
        </w:rPr>
      </w:pPr>
      <w:r w:rsidRPr="008C54E6">
        <w:rPr>
          <w:rFonts w:ascii="仿宋_GB2312" w:eastAsia="仿宋_GB2312" w:hint="eastAsia"/>
          <w:color w:val="000000" w:themeColor="text1"/>
          <w:sz w:val="32"/>
          <w:szCs w:val="32"/>
        </w:rPr>
        <w:t>T/GXAS 745—2024  甘蔗品种耐酸铝类型划分</w:t>
      </w:r>
    </w:p>
    <w:p w14:paraId="219DACB5" w14:textId="77777777" w:rsidR="006B65C5" w:rsidRPr="00A82992" w:rsidRDefault="005F5D38">
      <w:pPr>
        <w:spacing w:line="560" w:lineRule="exact"/>
        <w:ind w:firstLineChars="200" w:firstLine="643"/>
        <w:rPr>
          <w:rFonts w:ascii="楷体" w:eastAsia="楷体" w:hAnsi="楷体" w:cs="楷体"/>
          <w:b/>
          <w:color w:val="000000" w:themeColor="text1"/>
          <w:sz w:val="32"/>
          <w:szCs w:val="32"/>
        </w:rPr>
      </w:pPr>
      <w:r w:rsidRPr="00A82992">
        <w:rPr>
          <w:rFonts w:ascii="楷体" w:eastAsia="楷体" w:hAnsi="楷体" w:cs="楷体" w:hint="eastAsia"/>
          <w:b/>
          <w:color w:val="000000" w:themeColor="text1"/>
          <w:sz w:val="32"/>
          <w:szCs w:val="32"/>
        </w:rPr>
        <w:t>（三）研讨确定标准特色</w:t>
      </w:r>
      <w:r w:rsidRPr="00A82992">
        <w:rPr>
          <w:rFonts w:ascii="楷体" w:eastAsia="楷体" w:hAnsi="楷体" w:cs="楷体"/>
          <w:b/>
          <w:color w:val="000000" w:themeColor="text1"/>
          <w:sz w:val="32"/>
          <w:szCs w:val="32"/>
        </w:rPr>
        <w:t>、</w:t>
      </w:r>
      <w:r w:rsidRPr="00A82992">
        <w:rPr>
          <w:rFonts w:ascii="楷体" w:eastAsia="楷体" w:hAnsi="楷体" w:cs="楷体" w:hint="eastAsia"/>
          <w:b/>
          <w:color w:val="000000" w:themeColor="text1"/>
          <w:sz w:val="32"/>
          <w:szCs w:val="32"/>
        </w:rPr>
        <w:t>创新点和主体内容</w:t>
      </w:r>
    </w:p>
    <w:p w14:paraId="38F74F01" w14:textId="1145FF84" w:rsidR="006B65C5" w:rsidRPr="00A82992" w:rsidRDefault="005F5D38">
      <w:pPr>
        <w:pStyle w:val="affb"/>
        <w:rPr>
          <w:rFonts w:ascii="仿宋_GB2312" w:eastAsia="仿宋_GB2312"/>
          <w:color w:val="000000" w:themeColor="text1"/>
        </w:rPr>
      </w:pPr>
      <w:r w:rsidRPr="00A82992">
        <w:rPr>
          <w:rFonts w:ascii="仿宋_GB2312" w:eastAsia="仿宋_GB2312" w:hint="eastAsia"/>
          <w:color w:val="000000" w:themeColor="text1"/>
        </w:rPr>
        <w:t>标准编制工作组在对收集的资料进行整理研究之后，标准编制工作组召开了标准编制会议，对标准的整体框架结构进行</w:t>
      </w:r>
      <w:r w:rsidR="00E87AAE">
        <w:rPr>
          <w:rFonts w:ascii="仿宋_GB2312" w:eastAsia="仿宋_GB2312" w:hint="eastAsia"/>
          <w:color w:val="000000" w:themeColor="text1"/>
        </w:rPr>
        <w:t>了研究，并对标准的关键性内容进行了初步探讨。经过研究，标准特色及</w:t>
      </w:r>
      <w:r w:rsidRPr="00A82992">
        <w:rPr>
          <w:rFonts w:ascii="仿宋_GB2312" w:eastAsia="仿宋_GB2312" w:hint="eastAsia"/>
          <w:color w:val="000000" w:themeColor="text1"/>
        </w:rPr>
        <w:t>创新点</w:t>
      </w:r>
      <w:r w:rsidR="00735DB9">
        <w:rPr>
          <w:rFonts w:ascii="仿宋_GB2312" w:eastAsia="仿宋_GB2312" w:hint="eastAsia"/>
          <w:color w:val="000000" w:themeColor="text1"/>
        </w:rPr>
        <w:t>和</w:t>
      </w:r>
      <w:r w:rsidRPr="00A82992">
        <w:rPr>
          <w:rFonts w:ascii="仿宋_GB2312" w:eastAsia="仿宋_GB2312" w:hint="eastAsia"/>
          <w:color w:val="000000" w:themeColor="text1"/>
        </w:rPr>
        <w:t>主体内容如下</w:t>
      </w:r>
      <w:r w:rsidRPr="00A82992">
        <w:rPr>
          <w:rFonts w:ascii="仿宋_GB2312" w:eastAsia="仿宋_GB2312"/>
          <w:color w:val="000000" w:themeColor="text1"/>
        </w:rPr>
        <w:t>：</w:t>
      </w:r>
    </w:p>
    <w:p w14:paraId="029EBC7F" w14:textId="0978C968" w:rsidR="006B65C5" w:rsidRPr="00A82992" w:rsidRDefault="005F5D38">
      <w:pPr>
        <w:pStyle w:val="affb"/>
        <w:rPr>
          <w:rFonts w:ascii="仿宋_GB2312" w:eastAsia="仿宋_GB2312"/>
          <w:color w:val="000000" w:themeColor="text1"/>
        </w:rPr>
      </w:pPr>
      <w:r w:rsidRPr="00A82992">
        <w:rPr>
          <w:rFonts w:ascii="仿宋_GB2312" w:eastAsia="仿宋_GB2312"/>
          <w:color w:val="000000" w:themeColor="text1"/>
        </w:rPr>
        <w:lastRenderedPageBreak/>
        <w:t>1.</w:t>
      </w:r>
      <w:r w:rsidRPr="00A82992">
        <w:rPr>
          <w:rFonts w:ascii="仿宋_GB2312" w:eastAsia="仿宋_GB2312" w:hint="eastAsia"/>
          <w:color w:val="000000" w:themeColor="text1"/>
        </w:rPr>
        <w:t>特色</w:t>
      </w:r>
      <w:r w:rsidR="00E87AAE">
        <w:rPr>
          <w:rFonts w:ascii="仿宋_GB2312" w:eastAsia="仿宋_GB2312" w:hint="eastAsia"/>
          <w:color w:val="000000" w:themeColor="text1"/>
        </w:rPr>
        <w:t>及</w:t>
      </w:r>
      <w:r w:rsidR="00E87AAE" w:rsidRPr="00A82992">
        <w:rPr>
          <w:rFonts w:ascii="仿宋_GB2312" w:eastAsia="仿宋_GB2312" w:hint="eastAsia"/>
          <w:color w:val="000000" w:themeColor="text1"/>
        </w:rPr>
        <w:t>创新点</w:t>
      </w:r>
    </w:p>
    <w:p w14:paraId="1C1A4BC4" w14:textId="1EA7FC78" w:rsidR="006B65C5" w:rsidRPr="00A82992" w:rsidRDefault="00FB525F">
      <w:pPr>
        <w:pStyle w:val="affb"/>
        <w:rPr>
          <w:rFonts w:ascii="仿宋_GB2312" w:eastAsia="仿宋_GB2312"/>
          <w:color w:val="000000" w:themeColor="text1"/>
        </w:rPr>
      </w:pPr>
      <w:r w:rsidRPr="00FB525F">
        <w:rPr>
          <w:rFonts w:ascii="仿宋_GB2312" w:eastAsia="仿宋_GB2312" w:hint="eastAsia"/>
          <w:color w:val="000000" w:themeColor="text1"/>
        </w:rPr>
        <w:t>创新定义</w:t>
      </w:r>
      <w:r w:rsidR="00550E19">
        <w:rPr>
          <w:rFonts w:ascii="仿宋_GB2312" w:eastAsia="仿宋_GB2312" w:hint="eastAsia"/>
          <w:color w:val="000000" w:themeColor="text1"/>
        </w:rPr>
        <w:t>根系</w:t>
      </w:r>
      <w:r w:rsidR="00550E19">
        <w:rPr>
          <w:rFonts w:ascii="仿宋_GB2312" w:eastAsia="仿宋_GB2312"/>
          <w:color w:val="000000" w:themeColor="text1"/>
        </w:rPr>
        <w:t>与总</w:t>
      </w:r>
      <w:r w:rsidR="00550E19">
        <w:rPr>
          <w:rFonts w:ascii="仿宋_GB2312" w:eastAsia="仿宋_GB2312" w:hint="eastAsia"/>
          <w:color w:val="000000" w:themeColor="text1"/>
        </w:rPr>
        <w:t>鲜重</w:t>
      </w:r>
      <w:r w:rsidRPr="00FB525F">
        <w:rPr>
          <w:rFonts w:ascii="仿宋_GB2312" w:eastAsia="仿宋_GB2312" w:hint="eastAsia"/>
          <w:color w:val="000000" w:themeColor="text1"/>
        </w:rPr>
        <w:t>双重核心指标（相对根伸长量≥-</w:t>
      </w:r>
      <w:r w:rsidR="00AE200F">
        <w:rPr>
          <w:rFonts w:ascii="仿宋_GB2312" w:eastAsia="仿宋_GB2312" w:hint="eastAsia"/>
          <w:color w:val="000000" w:themeColor="text1"/>
        </w:rPr>
        <w:t>15</w:t>
      </w:r>
      <w:r w:rsidRPr="00FB525F">
        <w:rPr>
          <w:rFonts w:ascii="仿宋_GB2312" w:eastAsia="仿宋_GB2312" w:hint="eastAsia"/>
          <w:color w:val="000000" w:themeColor="text1"/>
        </w:rPr>
        <w:t>%，相对</w:t>
      </w:r>
      <w:r w:rsidR="0047576C">
        <w:rPr>
          <w:rFonts w:ascii="仿宋_GB2312" w:eastAsia="仿宋_GB2312" w:hint="eastAsia"/>
          <w:color w:val="000000" w:themeColor="text1"/>
        </w:rPr>
        <w:t>总</w:t>
      </w:r>
      <w:r w:rsidRPr="00FB525F">
        <w:rPr>
          <w:rFonts w:ascii="仿宋_GB2312" w:eastAsia="仿宋_GB2312" w:hint="eastAsia"/>
          <w:color w:val="000000" w:themeColor="text1"/>
        </w:rPr>
        <w:t>鲜重≥-20%）作为耐酸型硬性标准，突破传统单一指标局限。首创基于Yoshida营养液的pH3.5/6.0双梯度胁迫方法，明确培养周期（14-16d）、样本量（4×30粒重复）及液面管控规程，确保结果可重复性。建立</w:t>
      </w:r>
      <w:r w:rsidR="00FF631B">
        <w:rPr>
          <w:rFonts w:ascii="仿宋_GB2312" w:eastAsia="仿宋_GB2312" w:hint="eastAsia"/>
          <w:color w:val="000000" w:themeColor="text1"/>
        </w:rPr>
        <w:t>“</w:t>
      </w:r>
      <w:r w:rsidR="00FF631B" w:rsidRPr="00FB525F">
        <w:rPr>
          <w:rFonts w:ascii="仿宋_GB2312" w:eastAsia="仿宋_GB2312" w:hint="eastAsia"/>
          <w:color w:val="000000" w:themeColor="text1"/>
        </w:rPr>
        <w:t>耐酸型-酸敏感型</w:t>
      </w:r>
      <w:r w:rsidR="00FF631B">
        <w:rPr>
          <w:rFonts w:ascii="仿宋_GB2312" w:eastAsia="仿宋_GB2312" w:hint="eastAsia"/>
          <w:color w:val="000000" w:themeColor="text1"/>
        </w:rPr>
        <w:t>”</w:t>
      </w:r>
      <w:r w:rsidRPr="00FB525F">
        <w:rPr>
          <w:rFonts w:ascii="仿宋_GB2312" w:eastAsia="仿宋_GB2312" w:hint="eastAsia"/>
          <w:color w:val="000000" w:themeColor="text1"/>
        </w:rPr>
        <w:t>分级体系，酸敏感型采用任一指标破阈值（根长&lt;-</w:t>
      </w:r>
      <w:r w:rsidR="0047576C">
        <w:rPr>
          <w:rFonts w:ascii="仿宋_GB2312" w:eastAsia="仿宋_GB2312"/>
          <w:color w:val="000000" w:themeColor="text1"/>
        </w:rPr>
        <w:t>20</w:t>
      </w:r>
      <w:r w:rsidRPr="00FB525F">
        <w:rPr>
          <w:rFonts w:ascii="仿宋_GB2312" w:eastAsia="仿宋_GB2312" w:hint="eastAsia"/>
          <w:color w:val="000000" w:themeColor="text1"/>
        </w:rPr>
        <w:t>%或鲜重&lt;-</w:t>
      </w:r>
      <w:r w:rsidR="0047576C">
        <w:rPr>
          <w:rFonts w:ascii="仿宋_GB2312" w:eastAsia="仿宋_GB2312"/>
          <w:color w:val="000000" w:themeColor="text1"/>
        </w:rPr>
        <w:t>30</w:t>
      </w:r>
      <w:r w:rsidRPr="00FB525F">
        <w:rPr>
          <w:rFonts w:ascii="仿宋_GB2312" w:eastAsia="仿宋_GB2312" w:hint="eastAsia"/>
          <w:color w:val="000000" w:themeColor="text1"/>
        </w:rPr>
        <w:t>%）的从严判定，契合育种筛选需求。从种子筛选、营养液配制（附录A全成分公开）到根长测量（钢尺量取最长根），全流程参数可溯源，填补行业空</w:t>
      </w:r>
      <w:r w:rsidR="00D21B4F">
        <w:rPr>
          <w:rFonts w:ascii="仿宋_GB2312" w:eastAsia="仿宋_GB2312" w:hint="eastAsia"/>
          <w:color w:val="000000" w:themeColor="text1"/>
        </w:rPr>
        <w:t>白</w:t>
      </w:r>
      <w:r w:rsidR="005F5D38" w:rsidRPr="00A82992">
        <w:rPr>
          <w:rFonts w:ascii="仿宋_GB2312" w:eastAsia="仿宋_GB2312" w:hint="eastAsia"/>
          <w:color w:val="000000" w:themeColor="text1"/>
        </w:rPr>
        <w:t>。</w:t>
      </w:r>
    </w:p>
    <w:p w14:paraId="37D95234" w14:textId="210B0896" w:rsidR="006B65C5" w:rsidRPr="00A82992" w:rsidRDefault="00E87AAE">
      <w:pPr>
        <w:pStyle w:val="affb"/>
        <w:rPr>
          <w:rFonts w:ascii="仿宋_GB2312" w:eastAsia="仿宋_GB2312"/>
          <w:color w:val="000000" w:themeColor="text1"/>
        </w:rPr>
      </w:pPr>
      <w:r>
        <w:rPr>
          <w:rFonts w:ascii="仿宋_GB2312" w:eastAsia="仿宋_GB2312"/>
          <w:color w:val="000000" w:themeColor="text1"/>
        </w:rPr>
        <w:t>2</w:t>
      </w:r>
      <w:r w:rsidR="005F5D38" w:rsidRPr="00A82992">
        <w:rPr>
          <w:rFonts w:ascii="仿宋_GB2312" w:eastAsia="仿宋_GB2312" w:hint="eastAsia"/>
          <w:color w:val="000000" w:themeColor="text1"/>
        </w:rPr>
        <w:t>.主体内容</w:t>
      </w:r>
    </w:p>
    <w:p w14:paraId="273370FB" w14:textId="3714869C" w:rsidR="006B65C5" w:rsidRPr="00A82992" w:rsidRDefault="005F5D38">
      <w:pPr>
        <w:pStyle w:val="affb"/>
        <w:rPr>
          <w:rFonts w:ascii="仿宋_GB2312" w:eastAsia="仿宋_GB2312"/>
          <w:color w:val="000000" w:themeColor="text1"/>
        </w:rPr>
      </w:pPr>
      <w:r w:rsidRPr="00A82992">
        <w:rPr>
          <w:rFonts w:ascii="仿宋_GB2312" w:eastAsia="仿宋_GB2312" w:hAnsi="Calibri" w:hint="eastAsia"/>
          <w:color w:val="000000" w:themeColor="text1"/>
        </w:rPr>
        <w:t>团体标准《</w:t>
      </w:r>
      <w:r w:rsidR="00EF5012">
        <w:rPr>
          <w:rFonts w:ascii="仿宋_GB2312" w:eastAsia="仿宋_GB2312" w:hAnsi="Calibri" w:hint="eastAsia"/>
          <w:color w:val="000000" w:themeColor="text1"/>
        </w:rPr>
        <w:t>耐酸水稻品种类型划分方法</w:t>
      </w:r>
      <w:r w:rsidRPr="00A82992">
        <w:rPr>
          <w:rFonts w:ascii="仿宋_GB2312" w:eastAsia="仿宋_GB2312" w:hAnsi="Calibri" w:hint="eastAsia"/>
          <w:color w:val="000000" w:themeColor="text1"/>
        </w:rPr>
        <w:t>》主要内容包括</w:t>
      </w:r>
      <w:r w:rsidR="00C6688C" w:rsidRPr="005F748E">
        <w:rPr>
          <w:rFonts w:ascii="仿宋_GB2312" w:eastAsia="仿宋_GB2312" w:hAnsi="Calibri" w:hint="eastAsia"/>
          <w:color w:val="000000" w:themeColor="text1"/>
        </w:rPr>
        <w:t>划分原理，耐酸性鉴定试验、指标测定、结果计算、类型划分的要求</w:t>
      </w:r>
      <w:r w:rsidRPr="005F748E">
        <w:rPr>
          <w:rFonts w:ascii="仿宋_GB2312" w:eastAsia="仿宋_GB2312" w:hAnsi="Calibri" w:hint="eastAsia"/>
          <w:color w:val="000000" w:themeColor="text1"/>
        </w:rPr>
        <w:t>等内容。</w:t>
      </w:r>
    </w:p>
    <w:p w14:paraId="7B8209B9" w14:textId="77777777" w:rsidR="006B65C5" w:rsidRPr="00A82992" w:rsidRDefault="005F5D38">
      <w:pPr>
        <w:spacing w:line="560" w:lineRule="exact"/>
        <w:ind w:firstLineChars="200" w:firstLine="643"/>
        <w:rPr>
          <w:rFonts w:ascii="楷体" w:eastAsia="楷体" w:hAnsi="楷体" w:cs="楷体"/>
          <w:b/>
          <w:color w:val="000000" w:themeColor="text1"/>
          <w:sz w:val="32"/>
          <w:szCs w:val="32"/>
        </w:rPr>
      </w:pPr>
      <w:r w:rsidRPr="00A11355">
        <w:rPr>
          <w:rFonts w:ascii="楷体" w:eastAsia="楷体" w:hAnsi="楷体" w:cs="楷体" w:hint="eastAsia"/>
          <w:b/>
          <w:color w:val="000000" w:themeColor="text1"/>
          <w:sz w:val="32"/>
          <w:szCs w:val="32"/>
        </w:rPr>
        <w:t>（四）立项、调研及形成草案、征求意见稿</w:t>
      </w:r>
    </w:p>
    <w:p w14:paraId="46BBF56B" w14:textId="225280AA"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202</w:t>
      </w:r>
      <w:r w:rsidRPr="00A82992">
        <w:rPr>
          <w:rFonts w:ascii="仿宋_GB2312" w:eastAsia="仿宋_GB2312"/>
          <w:color w:val="000000" w:themeColor="text1"/>
          <w:sz w:val="32"/>
          <w:szCs w:val="32"/>
        </w:rPr>
        <w:t>5</w:t>
      </w:r>
      <w:r w:rsidRPr="00A82992">
        <w:rPr>
          <w:rFonts w:ascii="仿宋_GB2312" w:eastAsia="仿宋_GB2312" w:hint="eastAsia"/>
          <w:color w:val="000000" w:themeColor="text1"/>
          <w:sz w:val="32"/>
          <w:szCs w:val="32"/>
        </w:rPr>
        <w:t>年</w:t>
      </w:r>
      <w:r w:rsidR="00DA2634">
        <w:rPr>
          <w:rFonts w:ascii="仿宋_GB2312" w:eastAsia="仿宋_GB2312"/>
          <w:color w:val="000000" w:themeColor="text1"/>
          <w:sz w:val="32"/>
          <w:szCs w:val="32"/>
        </w:rPr>
        <w:t>5</w:t>
      </w:r>
      <w:r w:rsidRPr="00A82992">
        <w:rPr>
          <w:rFonts w:ascii="仿宋_GB2312" w:eastAsia="仿宋_GB2312" w:hint="eastAsia"/>
          <w:color w:val="000000" w:themeColor="text1"/>
          <w:sz w:val="32"/>
          <w:szCs w:val="32"/>
        </w:rPr>
        <w:t>月，标准编制工作组查阅了大量的国内文献资料，经编制组反复讨论，对</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的实践情况进行系统总结，形成了标准的基本构架，对主要内容进行了讨论并对项目的工作进行了部署和安排。</w:t>
      </w:r>
    </w:p>
    <w:p w14:paraId="33C2E369" w14:textId="109199C7"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202</w:t>
      </w:r>
      <w:r w:rsidRPr="00A82992">
        <w:rPr>
          <w:rFonts w:ascii="仿宋_GB2312" w:eastAsia="仿宋_GB2312"/>
          <w:color w:val="000000" w:themeColor="text1"/>
          <w:sz w:val="32"/>
          <w:szCs w:val="32"/>
        </w:rPr>
        <w:t>5</w:t>
      </w:r>
      <w:r w:rsidRPr="00A82992">
        <w:rPr>
          <w:rFonts w:ascii="仿宋_GB2312" w:eastAsia="仿宋_GB2312" w:hint="eastAsia"/>
          <w:color w:val="000000" w:themeColor="text1"/>
          <w:sz w:val="32"/>
          <w:szCs w:val="32"/>
        </w:rPr>
        <w:t>年</w:t>
      </w:r>
      <w:r w:rsidR="00DA2634">
        <w:rPr>
          <w:rFonts w:ascii="仿宋_GB2312" w:eastAsia="仿宋_GB2312"/>
          <w:color w:val="000000" w:themeColor="text1"/>
          <w:sz w:val="32"/>
          <w:szCs w:val="32"/>
        </w:rPr>
        <w:t>6</w:t>
      </w:r>
      <w:r w:rsidRPr="00A82992">
        <w:rPr>
          <w:rFonts w:ascii="仿宋_GB2312" w:eastAsia="仿宋_GB2312" w:hint="eastAsia"/>
          <w:color w:val="000000" w:themeColor="text1"/>
          <w:sz w:val="32"/>
          <w:szCs w:val="32"/>
        </w:rPr>
        <w:t>月～</w:t>
      </w:r>
      <w:r w:rsidR="00DA2634">
        <w:rPr>
          <w:rFonts w:ascii="仿宋_GB2312" w:eastAsia="仿宋_GB2312"/>
          <w:color w:val="000000" w:themeColor="text1"/>
          <w:sz w:val="32"/>
          <w:szCs w:val="32"/>
        </w:rPr>
        <w:t>7</w:t>
      </w:r>
      <w:r w:rsidRPr="00A82992">
        <w:rPr>
          <w:rFonts w:ascii="仿宋_GB2312" w:eastAsia="仿宋_GB2312" w:hint="eastAsia"/>
          <w:color w:val="000000" w:themeColor="text1"/>
          <w:sz w:val="32"/>
          <w:szCs w:val="32"/>
        </w:rPr>
        <w:t>月，在前期工作的基础之上，通过理清逻辑脉络，整合已有参考资料中有关</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的要求，并在目前</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实际操作的基础上，按照简化、统一等原则编制完成团体标准《</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》（草案）。</w:t>
      </w:r>
    </w:p>
    <w:p w14:paraId="00E53293" w14:textId="47B08C96" w:rsidR="00DA2634"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202</w:t>
      </w:r>
      <w:r w:rsidRPr="00A82992">
        <w:rPr>
          <w:rFonts w:ascii="仿宋_GB2312" w:eastAsia="仿宋_GB2312"/>
          <w:color w:val="000000" w:themeColor="text1"/>
          <w:sz w:val="32"/>
          <w:szCs w:val="32"/>
        </w:rPr>
        <w:t>5</w:t>
      </w:r>
      <w:r w:rsidRPr="00A82992">
        <w:rPr>
          <w:rFonts w:ascii="仿宋_GB2312" w:eastAsia="仿宋_GB2312" w:hint="eastAsia"/>
          <w:color w:val="000000" w:themeColor="text1"/>
          <w:sz w:val="32"/>
          <w:szCs w:val="32"/>
        </w:rPr>
        <w:t>年</w:t>
      </w:r>
      <w:r w:rsidR="00DA2634">
        <w:rPr>
          <w:rFonts w:ascii="仿宋_GB2312" w:eastAsia="仿宋_GB2312"/>
          <w:color w:val="000000" w:themeColor="text1"/>
          <w:sz w:val="32"/>
          <w:szCs w:val="32"/>
        </w:rPr>
        <w:t>8</w:t>
      </w:r>
      <w:r w:rsidRPr="00A82992">
        <w:rPr>
          <w:rFonts w:ascii="仿宋_GB2312" w:eastAsia="仿宋_GB2312" w:hint="eastAsia"/>
          <w:color w:val="000000" w:themeColor="text1"/>
          <w:sz w:val="32"/>
          <w:szCs w:val="32"/>
        </w:rPr>
        <w:t>月，</w:t>
      </w:r>
      <w:r w:rsidR="00883A1D" w:rsidRPr="00883A1D">
        <w:rPr>
          <w:rFonts w:ascii="仿宋_GB2312" w:eastAsia="仿宋_GB2312" w:hint="eastAsia"/>
          <w:color w:val="000000" w:themeColor="text1"/>
          <w:sz w:val="32"/>
          <w:szCs w:val="32"/>
        </w:rPr>
        <w:t>标准起草工作组到</w:t>
      </w:r>
      <w:r w:rsidR="00866B58" w:rsidRPr="00866B58">
        <w:rPr>
          <w:rFonts w:ascii="仿宋_GB2312" w:eastAsia="仿宋_GB2312" w:hint="eastAsia"/>
          <w:color w:val="000000" w:themeColor="text1"/>
          <w:sz w:val="32"/>
          <w:szCs w:val="32"/>
        </w:rPr>
        <w:t>灌阳县</w:t>
      </w:r>
      <w:r w:rsidR="00866B58">
        <w:rPr>
          <w:rFonts w:ascii="仿宋_GB2312" w:eastAsia="仿宋_GB2312" w:hint="eastAsia"/>
          <w:color w:val="000000" w:themeColor="text1"/>
          <w:sz w:val="32"/>
          <w:szCs w:val="32"/>
        </w:rPr>
        <w:t>、</w:t>
      </w:r>
      <w:r w:rsidR="00866B58" w:rsidRPr="00866B58">
        <w:rPr>
          <w:rFonts w:ascii="仿宋_GB2312" w:eastAsia="仿宋_GB2312" w:hint="eastAsia"/>
          <w:color w:val="000000" w:themeColor="text1"/>
          <w:sz w:val="32"/>
          <w:szCs w:val="32"/>
        </w:rPr>
        <w:t>德保县</w:t>
      </w:r>
      <w:r w:rsidR="00866B58">
        <w:rPr>
          <w:rFonts w:ascii="仿宋_GB2312" w:eastAsia="仿宋_GB2312" w:hint="eastAsia"/>
          <w:color w:val="000000" w:themeColor="text1"/>
          <w:sz w:val="32"/>
          <w:szCs w:val="32"/>
        </w:rPr>
        <w:t>的</w:t>
      </w:r>
      <w:r w:rsidR="00866B58" w:rsidRPr="00866B58">
        <w:rPr>
          <w:rFonts w:ascii="仿宋_GB2312" w:eastAsia="仿宋_GB2312" w:hint="eastAsia"/>
          <w:color w:val="000000" w:themeColor="text1"/>
          <w:sz w:val="32"/>
          <w:szCs w:val="32"/>
        </w:rPr>
        <w:t>耐酸适生水稻品种鉴定与筛选试验点</w:t>
      </w:r>
      <w:r w:rsidR="00DA2634">
        <w:rPr>
          <w:rFonts w:ascii="仿宋_GB2312" w:eastAsia="仿宋_GB2312" w:hint="eastAsia"/>
          <w:color w:val="000000" w:themeColor="text1"/>
          <w:sz w:val="32"/>
          <w:szCs w:val="32"/>
        </w:rPr>
        <w:t>、农科院所等单位和</w:t>
      </w:r>
      <w:r w:rsidR="00DA2634" w:rsidRPr="00DA2634">
        <w:rPr>
          <w:rFonts w:ascii="仿宋_GB2312" w:eastAsia="仿宋_GB2312" w:hint="eastAsia"/>
          <w:color w:val="000000" w:themeColor="text1"/>
          <w:sz w:val="32"/>
          <w:szCs w:val="32"/>
        </w:rPr>
        <w:t>科研机构针对</w:t>
      </w:r>
      <w:r w:rsidR="00DA2634">
        <w:rPr>
          <w:rFonts w:ascii="仿宋_GB2312" w:eastAsia="仿宋_GB2312" w:hint="eastAsia"/>
          <w:color w:val="000000" w:themeColor="text1"/>
          <w:sz w:val="32"/>
          <w:szCs w:val="32"/>
        </w:rPr>
        <w:t>《</w:t>
      </w:r>
      <w:r w:rsidR="00EF5012">
        <w:rPr>
          <w:rFonts w:ascii="仿宋_GB2312" w:eastAsia="仿宋_GB2312" w:hint="eastAsia"/>
          <w:color w:val="000000" w:themeColor="text1"/>
          <w:sz w:val="32"/>
          <w:szCs w:val="32"/>
        </w:rPr>
        <w:t>耐酸水稻品种类型划分方法</w:t>
      </w:r>
      <w:r w:rsidR="00DA2634">
        <w:rPr>
          <w:rFonts w:ascii="仿宋_GB2312" w:eastAsia="仿宋_GB2312" w:hint="eastAsia"/>
          <w:color w:val="000000" w:themeColor="text1"/>
          <w:sz w:val="32"/>
          <w:szCs w:val="32"/>
        </w:rPr>
        <w:t>》标准</w:t>
      </w:r>
      <w:r w:rsidR="00DA2634">
        <w:rPr>
          <w:rFonts w:ascii="仿宋_GB2312" w:eastAsia="仿宋_GB2312"/>
          <w:color w:val="000000" w:themeColor="text1"/>
          <w:sz w:val="32"/>
          <w:szCs w:val="32"/>
        </w:rPr>
        <w:t>制定工作</w:t>
      </w:r>
      <w:r w:rsidR="00DA2634" w:rsidRPr="00DA2634">
        <w:rPr>
          <w:rFonts w:ascii="仿宋_GB2312" w:eastAsia="仿宋_GB2312" w:hint="eastAsia"/>
          <w:color w:val="000000" w:themeColor="text1"/>
          <w:sz w:val="32"/>
          <w:szCs w:val="32"/>
        </w:rPr>
        <w:t>开展研讨会，通过</w:t>
      </w:r>
      <w:r w:rsidR="00866B58">
        <w:rPr>
          <w:rFonts w:ascii="仿宋_GB2312" w:eastAsia="仿宋_GB2312" w:hint="eastAsia"/>
          <w:color w:val="000000" w:themeColor="text1"/>
          <w:sz w:val="32"/>
          <w:szCs w:val="32"/>
        </w:rPr>
        <w:t>内部</w:t>
      </w:r>
      <w:r w:rsidR="00DA2634" w:rsidRPr="00DA2634">
        <w:rPr>
          <w:rFonts w:ascii="仿宋_GB2312" w:eastAsia="仿宋_GB2312" w:hint="eastAsia"/>
          <w:color w:val="000000" w:themeColor="text1"/>
          <w:sz w:val="32"/>
          <w:szCs w:val="32"/>
        </w:rPr>
        <w:t>座谈</w:t>
      </w:r>
      <w:r w:rsidR="00DA2634" w:rsidRPr="00DA2634">
        <w:rPr>
          <w:rFonts w:ascii="仿宋_GB2312" w:eastAsia="仿宋_GB2312" w:hint="eastAsia"/>
          <w:color w:val="000000" w:themeColor="text1"/>
          <w:sz w:val="32"/>
          <w:szCs w:val="32"/>
        </w:rPr>
        <w:lastRenderedPageBreak/>
        <w:t>交流、实操学习、实地调研等方式掌握各单位或科研机构对</w:t>
      </w:r>
      <w:r w:rsidR="00EF5012">
        <w:rPr>
          <w:rFonts w:ascii="仿宋_GB2312" w:eastAsia="仿宋_GB2312" w:hint="eastAsia"/>
          <w:color w:val="000000" w:themeColor="text1"/>
          <w:sz w:val="32"/>
          <w:szCs w:val="32"/>
        </w:rPr>
        <w:t>耐酸水稻品种类型划分方法</w:t>
      </w:r>
      <w:r w:rsidR="00DA2634" w:rsidRPr="00DA2634">
        <w:rPr>
          <w:rFonts w:ascii="仿宋_GB2312" w:eastAsia="仿宋_GB2312" w:hint="eastAsia"/>
          <w:color w:val="000000" w:themeColor="text1"/>
          <w:sz w:val="32"/>
          <w:szCs w:val="32"/>
        </w:rPr>
        <w:t>的具体技术要求（见图1）。标准编制组还征求了</w:t>
      </w:r>
      <w:r w:rsidR="003A1539" w:rsidRPr="003A1539">
        <w:rPr>
          <w:rFonts w:ascii="仿宋_GB2312" w:eastAsia="仿宋_GB2312" w:hint="eastAsia"/>
          <w:color w:val="000000" w:themeColor="text1"/>
          <w:sz w:val="32"/>
          <w:szCs w:val="32"/>
        </w:rPr>
        <w:t>百色市农业科学研究所、桂林市农业科学研究中心、广西光彩农业有限公司、广西金卡农业科技有限公司、广西绿海种业有限公司</w:t>
      </w:r>
      <w:r w:rsidR="00DA2634" w:rsidRPr="00DA2634">
        <w:rPr>
          <w:rFonts w:ascii="仿宋_GB2312" w:eastAsia="仿宋_GB2312" w:hint="eastAsia"/>
          <w:color w:val="000000" w:themeColor="text1"/>
          <w:sz w:val="32"/>
          <w:szCs w:val="32"/>
        </w:rPr>
        <w:t>等单位的意见，通过召开研讨会或征求意见的方式收集各方修改意见，对标准草案进行了反复修改和研究讨论，形成了团体标准《</w:t>
      </w:r>
      <w:r w:rsidR="00EF5012">
        <w:rPr>
          <w:rFonts w:ascii="仿宋_GB2312" w:eastAsia="仿宋_GB2312" w:hint="eastAsia"/>
          <w:color w:val="000000" w:themeColor="text1"/>
          <w:sz w:val="32"/>
          <w:szCs w:val="32"/>
        </w:rPr>
        <w:t>耐酸水稻品种类型划分方法</w:t>
      </w:r>
      <w:r w:rsidR="00DA2634" w:rsidRPr="00DA2634">
        <w:rPr>
          <w:rFonts w:ascii="仿宋_GB2312" w:eastAsia="仿宋_GB2312" w:hint="eastAsia"/>
          <w:color w:val="000000" w:themeColor="text1"/>
          <w:sz w:val="32"/>
          <w:szCs w:val="32"/>
        </w:rPr>
        <w:t>》（征求意见稿）和（征求意见稿）编制说明</w:t>
      </w:r>
      <w:r w:rsidR="00DA2634">
        <w:rPr>
          <w:rFonts w:ascii="仿宋_GB2312" w:eastAsia="仿宋_GB2312" w:hint="eastAsia"/>
          <w:color w:val="000000" w:themeColor="text1"/>
          <w:sz w:val="32"/>
          <w:szCs w:val="32"/>
        </w:rPr>
        <w:t>。</w:t>
      </w:r>
    </w:p>
    <w:p w14:paraId="4208392B" w14:textId="63493172" w:rsidR="00883A1D" w:rsidRPr="00F6061B" w:rsidRDefault="00883A1D">
      <w:pPr>
        <w:spacing w:line="520" w:lineRule="exact"/>
        <w:ind w:firstLineChars="200" w:firstLine="640"/>
        <w:rPr>
          <w:rFonts w:ascii="仿宋_GB2312" w:eastAsia="仿宋_GB2312"/>
          <w:color w:val="000000" w:themeColor="text1"/>
          <w:sz w:val="32"/>
          <w:szCs w:val="32"/>
        </w:rPr>
      </w:pPr>
    </w:p>
    <w:tbl>
      <w:tblPr>
        <w:tblStyle w:val="aff3"/>
        <w:tblW w:w="5000" w:type="pct"/>
        <w:tblBorders>
          <w:top w:val="none" w:sz="0" w:space="0" w:color="auto"/>
          <w:bottom w:val="none" w:sz="0" w:space="0" w:color="auto"/>
        </w:tblBorders>
        <w:tblLook w:val="04A0" w:firstRow="1" w:lastRow="0" w:firstColumn="1" w:lastColumn="0" w:noHBand="0" w:noVBand="1"/>
      </w:tblPr>
      <w:tblGrid>
        <w:gridCol w:w="9572"/>
      </w:tblGrid>
      <w:tr w:rsidR="00D1006C" w14:paraId="631BB6B7" w14:textId="77777777" w:rsidTr="00F6061B">
        <w:tc>
          <w:tcPr>
            <w:tcW w:w="5000" w:type="pct"/>
            <w:vAlign w:val="center"/>
          </w:tcPr>
          <w:p w14:paraId="156832CB" w14:textId="77777777" w:rsidR="00D1006C" w:rsidRDefault="00A151BA" w:rsidP="00D1006C">
            <w:pPr>
              <w:jc w:val="center"/>
              <w:rPr>
                <w:rFonts w:ascii="仿宋_GB2312" w:eastAsia="仿宋_GB2312"/>
                <w:noProof/>
                <w:color w:val="000000" w:themeColor="text1"/>
                <w:sz w:val="32"/>
                <w:szCs w:val="32"/>
              </w:rPr>
            </w:pPr>
            <w:r>
              <w:rPr>
                <w:rFonts w:ascii="仿宋_GB2312" w:eastAsia="仿宋_GB2312"/>
                <w:noProof/>
                <w:color w:val="000000" w:themeColor="text1"/>
                <w:sz w:val="32"/>
                <w:szCs w:val="32"/>
              </w:rPr>
              <w:drawing>
                <wp:inline distT="0" distB="0" distL="0" distR="0" wp14:anchorId="65715483" wp14:editId="0D7A0429">
                  <wp:extent cx="2896089" cy="2172229"/>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微信图片_20250820090617.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02582" cy="2177099"/>
                          </a:xfrm>
                          <a:prstGeom prst="rect">
                            <a:avLst/>
                          </a:prstGeom>
                        </pic:spPr>
                      </pic:pic>
                    </a:graphicData>
                  </a:graphic>
                </wp:inline>
              </w:drawing>
            </w:r>
            <w:r w:rsidR="00B5014D" w:rsidRPr="00B5014D">
              <w:rPr>
                <w:rFonts w:ascii="仿宋_GB2312" w:eastAsia="仿宋_GB2312"/>
                <w:noProof/>
                <w:color w:val="000000" w:themeColor="text1"/>
                <w:sz w:val="32"/>
                <w:szCs w:val="32"/>
              </w:rPr>
              <w:drawing>
                <wp:inline distT="0" distB="0" distL="0" distR="0" wp14:anchorId="07346F6C" wp14:editId="396FB4DB">
                  <wp:extent cx="2918765" cy="2171603"/>
                  <wp:effectExtent l="0" t="0" r="0" b="635"/>
                  <wp:docPr id="46612837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18765" cy="2171603"/>
                          </a:xfrm>
                          <a:prstGeom prst="rect">
                            <a:avLst/>
                          </a:prstGeom>
                          <a:noFill/>
                          <a:ln>
                            <a:noFill/>
                          </a:ln>
                        </pic:spPr>
                      </pic:pic>
                    </a:graphicData>
                  </a:graphic>
                </wp:inline>
              </w:drawing>
            </w:r>
          </w:p>
          <w:p w14:paraId="738C295C" w14:textId="6571CF76" w:rsidR="00B5014D" w:rsidRDefault="00B5014D" w:rsidP="00D1006C">
            <w:pPr>
              <w:jc w:val="center"/>
              <w:rPr>
                <w:rFonts w:ascii="仿宋_GB2312" w:eastAsia="仿宋_GB2312"/>
                <w:noProof/>
                <w:color w:val="000000" w:themeColor="text1"/>
                <w:sz w:val="32"/>
                <w:szCs w:val="32"/>
              </w:rPr>
            </w:pPr>
            <w:r>
              <w:rPr>
                <w:noProof/>
              </w:rPr>
              <w:drawing>
                <wp:inline distT="0" distB="0" distL="0" distR="0" wp14:anchorId="5A30D508" wp14:editId="147A788F">
                  <wp:extent cx="3702609" cy="2085982"/>
                  <wp:effectExtent l="0" t="0" r="0" b="0"/>
                  <wp:docPr id="17784253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425342" name=""/>
                          <pic:cNvPicPr/>
                        </pic:nvPicPr>
                        <pic:blipFill>
                          <a:blip r:embed="rId11"/>
                          <a:stretch>
                            <a:fillRect/>
                          </a:stretch>
                        </pic:blipFill>
                        <pic:spPr>
                          <a:xfrm>
                            <a:off x="0" y="0"/>
                            <a:ext cx="3702609" cy="2085982"/>
                          </a:xfrm>
                          <a:prstGeom prst="rect">
                            <a:avLst/>
                          </a:prstGeom>
                        </pic:spPr>
                      </pic:pic>
                    </a:graphicData>
                  </a:graphic>
                </wp:inline>
              </w:drawing>
            </w:r>
          </w:p>
        </w:tc>
      </w:tr>
      <w:tr w:rsidR="00A82992" w:rsidRPr="00A82992" w14:paraId="11F351A5" w14:textId="77777777" w:rsidTr="00F6061B">
        <w:tc>
          <w:tcPr>
            <w:tcW w:w="5000" w:type="pct"/>
          </w:tcPr>
          <w:p w14:paraId="7C1A2466" w14:textId="77777777" w:rsidR="006B65C5" w:rsidRPr="00A82992" w:rsidRDefault="005F5D38">
            <w:pPr>
              <w:spacing w:line="520" w:lineRule="exact"/>
              <w:jc w:val="center"/>
              <w:rPr>
                <w:rFonts w:ascii="仿宋_GB2312" w:eastAsia="仿宋_GB2312"/>
                <w:color w:val="000000" w:themeColor="text1"/>
              </w:rPr>
            </w:pPr>
            <w:r w:rsidRPr="00A82992">
              <w:rPr>
                <w:rFonts w:ascii="仿宋_GB2312" w:eastAsia="仿宋_GB2312" w:hint="eastAsia"/>
                <w:color w:val="000000" w:themeColor="text1"/>
                <w:szCs w:val="32"/>
              </w:rPr>
              <w:t>图1  起草编制组开展项目研讨会</w:t>
            </w:r>
          </w:p>
        </w:tc>
      </w:tr>
    </w:tbl>
    <w:p w14:paraId="3E8FF2B2" w14:textId="77777777" w:rsidR="006B65C5" w:rsidRPr="00A82992" w:rsidRDefault="005F5D38">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sidRPr="00A82992">
        <w:rPr>
          <w:rFonts w:ascii="Times New Roman" w:eastAsia="黑体" w:hAnsi="Times New Roman" w:cs="Times New Roman" w:hint="eastAsia"/>
          <w:color w:val="000000" w:themeColor="text1"/>
          <w:sz w:val="32"/>
          <w:szCs w:val="32"/>
        </w:rPr>
        <w:t>四、制定标准的原则和依据，与现行法律、法规的关系，与有关国家标准、行业标准的协调情况</w:t>
      </w:r>
    </w:p>
    <w:p w14:paraId="335E62A4" w14:textId="77777777" w:rsidR="006B65C5" w:rsidRPr="00A82992" w:rsidRDefault="005F5D38">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A82992">
        <w:rPr>
          <w:rFonts w:ascii="Times New Roman" w:eastAsia="楷体" w:hAnsi="Times New Roman" w:cs="Times New Roman" w:hint="eastAsia"/>
          <w:b/>
          <w:bCs/>
          <w:color w:val="000000" w:themeColor="text1"/>
          <w:kern w:val="0"/>
          <w:sz w:val="32"/>
          <w:szCs w:val="32"/>
        </w:rPr>
        <w:t>（一）编制原则</w:t>
      </w:r>
    </w:p>
    <w:p w14:paraId="46FB0E76" w14:textId="77777777" w:rsidR="006B65C5" w:rsidRPr="00A82992" w:rsidRDefault="005F5D38">
      <w:pPr>
        <w:spacing w:line="560" w:lineRule="exact"/>
        <w:ind w:firstLineChars="200" w:firstLine="643"/>
        <w:rPr>
          <w:rFonts w:ascii="仿宋_GB2312" w:eastAsia="仿宋_GB2312" w:hAnsi="楷体" w:cs="Times New Roman"/>
          <w:b/>
          <w:color w:val="000000" w:themeColor="text1"/>
          <w:sz w:val="32"/>
          <w:szCs w:val="32"/>
        </w:rPr>
      </w:pPr>
      <w:r w:rsidRPr="00A82992">
        <w:rPr>
          <w:rFonts w:ascii="仿宋_GB2312" w:eastAsia="仿宋_GB2312" w:hAnsi="楷体" w:cs="Times New Roman" w:hint="eastAsia"/>
          <w:b/>
          <w:color w:val="000000" w:themeColor="text1"/>
          <w:sz w:val="32"/>
          <w:szCs w:val="32"/>
        </w:rPr>
        <w:lastRenderedPageBreak/>
        <w:t>1、实用性原则</w:t>
      </w:r>
    </w:p>
    <w:p w14:paraId="28669963" w14:textId="468116AF"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本标准是在充分收集国内外相关资料和文献、调研分析</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现状，结合起草单位前期研究工作取得的研究成果及积累的实践经验，并借鉴国内</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进行总结起草的，符合工作实际，有利于</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的实施与推广，具有可操作性和实用性。</w:t>
      </w:r>
    </w:p>
    <w:p w14:paraId="0317409D" w14:textId="77777777" w:rsidR="006B65C5" w:rsidRPr="00A82992" w:rsidRDefault="005F5D38">
      <w:pPr>
        <w:spacing w:line="560" w:lineRule="exact"/>
        <w:ind w:firstLineChars="200" w:firstLine="643"/>
        <w:rPr>
          <w:rFonts w:ascii="仿宋_GB2312" w:eastAsia="仿宋_GB2312" w:hAnsi="楷体" w:cs="Times New Roman"/>
          <w:b/>
          <w:color w:val="000000" w:themeColor="text1"/>
          <w:sz w:val="32"/>
          <w:szCs w:val="32"/>
        </w:rPr>
      </w:pPr>
      <w:r w:rsidRPr="00A82992">
        <w:rPr>
          <w:rFonts w:ascii="仿宋_GB2312" w:eastAsia="仿宋_GB2312" w:hAnsi="楷体" w:cs="Times New Roman" w:hint="eastAsia"/>
          <w:b/>
          <w:color w:val="000000" w:themeColor="text1"/>
          <w:sz w:val="32"/>
          <w:szCs w:val="32"/>
        </w:rPr>
        <w:t>2、协调性原则</w:t>
      </w:r>
    </w:p>
    <w:p w14:paraId="2E166BC0" w14:textId="5A11A626"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本文件编写过程中注意了与</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相关法律法规的协调问题，在内容上与现行法律法规、标准协调一致。</w:t>
      </w:r>
    </w:p>
    <w:p w14:paraId="2D307EBE" w14:textId="77777777" w:rsidR="006B65C5" w:rsidRPr="00A82992" w:rsidRDefault="005F5D38">
      <w:pPr>
        <w:spacing w:line="560" w:lineRule="exact"/>
        <w:ind w:firstLineChars="200" w:firstLine="643"/>
        <w:rPr>
          <w:rFonts w:ascii="仿宋_GB2312" w:eastAsia="仿宋_GB2312" w:hAnsi="楷体" w:cs="Times New Roman"/>
          <w:b/>
          <w:color w:val="000000" w:themeColor="text1"/>
          <w:sz w:val="32"/>
          <w:szCs w:val="32"/>
        </w:rPr>
      </w:pPr>
      <w:r w:rsidRPr="00A82992">
        <w:rPr>
          <w:rFonts w:ascii="仿宋_GB2312" w:eastAsia="仿宋_GB2312" w:hAnsi="楷体" w:cs="Times New Roman" w:hint="eastAsia"/>
          <w:b/>
          <w:color w:val="000000" w:themeColor="text1"/>
          <w:sz w:val="32"/>
          <w:szCs w:val="32"/>
        </w:rPr>
        <w:t>3、规范性原则</w:t>
      </w:r>
    </w:p>
    <w:p w14:paraId="387B0F46" w14:textId="77777777" w:rsidR="006B65C5"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本文件严格按照GB/T 1.1—2020《标准化工作规范  第1部分：标准化文件的结构和起草规则》编写本标准的内容，保证标准的编写质量。</w:t>
      </w:r>
    </w:p>
    <w:p w14:paraId="6405B882" w14:textId="77777777" w:rsidR="006B65C5" w:rsidRPr="00A82992" w:rsidRDefault="005F5D38">
      <w:pPr>
        <w:spacing w:line="560" w:lineRule="exact"/>
        <w:ind w:firstLineChars="200" w:firstLine="643"/>
        <w:rPr>
          <w:rFonts w:ascii="仿宋_GB2312" w:eastAsia="仿宋_GB2312" w:hAnsi="楷体" w:cs="Times New Roman"/>
          <w:b/>
          <w:color w:val="000000" w:themeColor="text1"/>
          <w:sz w:val="32"/>
          <w:szCs w:val="32"/>
        </w:rPr>
      </w:pPr>
      <w:r w:rsidRPr="00A82992">
        <w:rPr>
          <w:rFonts w:ascii="仿宋_GB2312" w:eastAsia="仿宋_GB2312" w:hAnsi="楷体" w:cs="Times New Roman" w:hint="eastAsia"/>
          <w:b/>
          <w:color w:val="000000" w:themeColor="text1"/>
          <w:sz w:val="32"/>
          <w:szCs w:val="32"/>
        </w:rPr>
        <w:t>4、前瞻性原则</w:t>
      </w:r>
    </w:p>
    <w:p w14:paraId="4A844963" w14:textId="04F9CE3D"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本文件在兼顾当前区内</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现实情况的同时，还考虑到了</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的需要，在标准中体现了个别特色性、前瞻性和先进性条款，作为对</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的指导。</w:t>
      </w:r>
    </w:p>
    <w:p w14:paraId="500045F6" w14:textId="77777777" w:rsidR="006B65C5" w:rsidRPr="00A82992" w:rsidRDefault="005F5D38">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A82992">
        <w:rPr>
          <w:rFonts w:ascii="Times New Roman" w:eastAsia="楷体" w:hAnsi="Times New Roman" w:cs="Times New Roman" w:hint="eastAsia"/>
          <w:b/>
          <w:bCs/>
          <w:color w:val="000000" w:themeColor="text1"/>
          <w:kern w:val="0"/>
          <w:sz w:val="32"/>
          <w:szCs w:val="32"/>
        </w:rPr>
        <w:t>（二）编制依据</w:t>
      </w:r>
    </w:p>
    <w:p w14:paraId="3588D6E5" w14:textId="3473F7B4"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本标准严格按照GB/T 1.1—2020《标准化工作规范  第1部分：标准化文件的结构和起草规则》的规则起草，标准主要内容依据起草单位在</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过程中的实践经验确定。</w:t>
      </w:r>
    </w:p>
    <w:p w14:paraId="5DA8D194" w14:textId="77777777" w:rsidR="006B65C5" w:rsidRPr="00A82992" w:rsidRDefault="005F5D38">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A82992">
        <w:rPr>
          <w:rFonts w:ascii="Times New Roman" w:eastAsia="楷体" w:hAnsi="Times New Roman" w:cs="Times New Roman" w:hint="eastAsia"/>
          <w:b/>
          <w:bCs/>
          <w:color w:val="000000" w:themeColor="text1"/>
          <w:kern w:val="0"/>
          <w:sz w:val="32"/>
          <w:szCs w:val="32"/>
        </w:rPr>
        <w:t>（三）与现行法律、法规的关系，与有关国家标准、行业标准的协调情况</w:t>
      </w:r>
    </w:p>
    <w:p w14:paraId="307CF20F" w14:textId="77777777" w:rsidR="006B65C5" w:rsidRPr="001F1AA9" w:rsidRDefault="005F5D38">
      <w:pPr>
        <w:spacing w:line="520" w:lineRule="exact"/>
        <w:ind w:firstLineChars="200" w:firstLine="640"/>
        <w:rPr>
          <w:rFonts w:ascii="仿宋_GB2312" w:eastAsia="仿宋_GB2312"/>
          <w:color w:val="000000" w:themeColor="text1"/>
          <w:sz w:val="32"/>
          <w:szCs w:val="32"/>
        </w:rPr>
      </w:pPr>
      <w:r w:rsidRPr="001F1AA9">
        <w:rPr>
          <w:rFonts w:ascii="仿宋_GB2312" w:eastAsia="仿宋_GB2312" w:hint="eastAsia"/>
          <w:color w:val="000000" w:themeColor="text1"/>
          <w:sz w:val="32"/>
          <w:szCs w:val="32"/>
        </w:rPr>
        <w:t>本标准与相关法律法规、强制性标准协调一致，无冲突。</w:t>
      </w:r>
    </w:p>
    <w:p w14:paraId="445EF461" w14:textId="1B4560EC" w:rsidR="006B65C5" w:rsidRPr="00A82992" w:rsidRDefault="005F5D38" w:rsidP="00266606">
      <w:pPr>
        <w:spacing w:line="520" w:lineRule="exact"/>
        <w:ind w:firstLineChars="200" w:firstLine="640"/>
        <w:rPr>
          <w:rFonts w:ascii="仿宋_GB2312" w:eastAsia="仿宋_GB2312"/>
          <w:color w:val="000000" w:themeColor="text1"/>
          <w:sz w:val="32"/>
          <w:szCs w:val="32"/>
        </w:rPr>
      </w:pPr>
      <w:r w:rsidRPr="001F1AA9">
        <w:rPr>
          <w:rFonts w:ascii="仿宋_GB2312" w:eastAsia="仿宋_GB2312" w:hint="eastAsia"/>
          <w:color w:val="000000" w:themeColor="text1"/>
          <w:sz w:val="32"/>
          <w:szCs w:val="32"/>
        </w:rPr>
        <w:t>经查阅，与</w:t>
      </w:r>
      <w:r w:rsidR="00BE2351" w:rsidRPr="00BE2351">
        <w:rPr>
          <w:rFonts w:ascii="仿宋_GB2312" w:eastAsia="仿宋_GB2312" w:hint="eastAsia"/>
          <w:color w:val="000000" w:themeColor="text1"/>
          <w:sz w:val="32"/>
          <w:szCs w:val="32"/>
        </w:rPr>
        <w:t>“水稻 划分”“耐酸  划分”</w:t>
      </w:r>
      <w:r w:rsidRPr="001F1AA9">
        <w:rPr>
          <w:rFonts w:ascii="仿宋_GB2312" w:eastAsia="仿宋_GB2312" w:hint="eastAsia"/>
          <w:color w:val="000000" w:themeColor="text1"/>
          <w:sz w:val="32"/>
          <w:szCs w:val="32"/>
        </w:rPr>
        <w:t>相关的现行标准有</w:t>
      </w:r>
      <w:r w:rsidR="00BE2351" w:rsidRPr="00BE2351">
        <w:rPr>
          <w:rFonts w:ascii="仿宋_GB2312" w:eastAsia="仿宋_GB2312" w:hint="eastAsia"/>
          <w:color w:val="000000" w:themeColor="text1"/>
          <w:sz w:val="32"/>
          <w:szCs w:val="32"/>
        </w:rPr>
        <w:lastRenderedPageBreak/>
        <w:t>《DB3208/T 120-2019  水稻机插秧苗等级划分》《T/GXAS 745—2024  甘蔗品种耐酸铝类型划分》</w:t>
      </w:r>
      <w:r w:rsidR="001F1AA9">
        <w:rPr>
          <w:rFonts w:ascii="仿宋_GB2312" w:eastAsia="仿宋_GB2312" w:hint="eastAsia"/>
          <w:color w:val="000000" w:themeColor="text1"/>
          <w:sz w:val="32"/>
          <w:szCs w:val="32"/>
        </w:rPr>
        <w:t>。</w:t>
      </w:r>
      <w:r w:rsidR="001F1AA9">
        <w:rPr>
          <w:rFonts w:ascii="仿宋_GB2312" w:eastAsia="仿宋_GB2312"/>
          <w:color w:val="000000" w:themeColor="text1"/>
          <w:sz w:val="32"/>
          <w:szCs w:val="32"/>
        </w:rPr>
        <w:t>其中</w:t>
      </w:r>
      <w:r w:rsidR="001F1AA9">
        <w:rPr>
          <w:rFonts w:ascii="仿宋_GB2312" w:eastAsia="仿宋_GB2312" w:hint="eastAsia"/>
          <w:color w:val="000000" w:themeColor="text1"/>
          <w:sz w:val="32"/>
          <w:szCs w:val="32"/>
        </w:rPr>
        <w:t>：</w:t>
      </w:r>
    </w:p>
    <w:p w14:paraId="0445C3B3" w14:textId="73E8E5E6" w:rsidR="006B65C5" w:rsidRPr="00A82992" w:rsidRDefault="00B80F4F" w:rsidP="00307774">
      <w:pPr>
        <w:spacing w:line="520" w:lineRule="exact"/>
        <w:ind w:firstLineChars="200" w:firstLine="640"/>
        <w:rPr>
          <w:rFonts w:ascii="仿宋_GB2312" w:eastAsia="仿宋_GB2312"/>
          <w:color w:val="000000" w:themeColor="text1"/>
          <w:sz w:val="32"/>
          <w:szCs w:val="32"/>
        </w:rPr>
      </w:pPr>
      <w:r w:rsidRPr="00B80F4F">
        <w:rPr>
          <w:rFonts w:ascii="仿宋_GB2312" w:eastAsia="仿宋_GB2312" w:hint="eastAsia"/>
          <w:color w:val="000000" w:themeColor="text1"/>
          <w:sz w:val="32"/>
          <w:szCs w:val="32"/>
        </w:rPr>
        <w:t>《DB3208/T 120-2019  水稻机插秧苗等级划分》规定了水稻机插秧苗的术语和定义、等级要求、检测方法及等级判别。适用于水稻机插稻作生产区的秧龄在15d～20d的水稻秧苗等级划分。该地标仅为水稻机插秧苗等级划分，不涉及水稻的耐酸性质相关内容，因此无法适用团体标准《</w:t>
      </w:r>
      <w:r w:rsidR="00EF5012">
        <w:rPr>
          <w:rFonts w:ascii="仿宋_GB2312" w:eastAsia="仿宋_GB2312" w:hint="eastAsia"/>
          <w:color w:val="000000" w:themeColor="text1"/>
          <w:sz w:val="32"/>
          <w:szCs w:val="32"/>
        </w:rPr>
        <w:t>耐酸水稻品种类型划分方法</w:t>
      </w:r>
      <w:r w:rsidRPr="00B80F4F">
        <w:rPr>
          <w:rFonts w:ascii="仿宋_GB2312" w:eastAsia="仿宋_GB2312" w:hint="eastAsia"/>
          <w:color w:val="000000" w:themeColor="text1"/>
          <w:sz w:val="32"/>
          <w:szCs w:val="32"/>
        </w:rPr>
        <w:t>》。《T/GXAS 745—2024  甘蔗品种耐酸铝类型划分》给出了甘蔗品种耐酸铝的划分原理、规定了耐酸铝试验、干物质测定、结果计算和类型划分的要求。适用甘蔗品种耐酸铝的类型划分。该标准适用的是甘蔗，水稻因为品种属性和生长性状与甘蔗不同，水稻关注的耐酸指标、类型以及进行的耐酸试验也与甘蔗关注的内容有所不同，因此其技术内容不能有效指导水稻品种开展耐酸类型划分。</w:t>
      </w:r>
    </w:p>
    <w:p w14:paraId="037159B0" w14:textId="0EE6F796" w:rsidR="006B65C5" w:rsidRPr="00A82992" w:rsidRDefault="00361296" w:rsidP="00361296">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本标准对于</w:t>
      </w:r>
      <w:r w:rsidR="00EF5012">
        <w:rPr>
          <w:rFonts w:ascii="仿宋_GB2312" w:eastAsia="仿宋_GB2312"/>
          <w:color w:val="000000" w:themeColor="text1"/>
          <w:sz w:val="32"/>
          <w:szCs w:val="32"/>
        </w:rPr>
        <w:t>耐酸水稻品种类型划分方法</w:t>
      </w:r>
      <w:r w:rsidRPr="00D21B4F">
        <w:rPr>
          <w:rFonts w:ascii="仿宋_GB2312" w:eastAsia="仿宋_GB2312" w:hint="eastAsia"/>
          <w:color w:val="000000" w:themeColor="text1"/>
          <w:sz w:val="32"/>
          <w:szCs w:val="32"/>
        </w:rPr>
        <w:t>的</w:t>
      </w:r>
      <w:r w:rsidRPr="00D21B4F">
        <w:rPr>
          <w:rFonts w:ascii="仿宋_GB2312" w:eastAsia="仿宋_GB2312"/>
          <w:color w:val="000000" w:themeColor="text1"/>
          <w:sz w:val="32"/>
          <w:szCs w:val="32"/>
        </w:rPr>
        <w:t>关注点在于</w:t>
      </w:r>
      <w:r w:rsidR="00D21B4F" w:rsidRPr="00D21B4F">
        <w:rPr>
          <w:rFonts w:ascii="仿宋_GB2312" w:eastAsia="仿宋_GB2312" w:hint="eastAsia"/>
          <w:color w:val="000000" w:themeColor="text1"/>
          <w:sz w:val="32"/>
          <w:szCs w:val="32"/>
        </w:rPr>
        <w:t>创新定义</w:t>
      </w:r>
      <w:r w:rsidR="00550E19">
        <w:rPr>
          <w:rFonts w:ascii="仿宋_GB2312" w:eastAsia="仿宋_GB2312" w:hint="eastAsia"/>
          <w:color w:val="000000" w:themeColor="text1"/>
          <w:sz w:val="32"/>
          <w:szCs w:val="32"/>
        </w:rPr>
        <w:t>根系</w:t>
      </w:r>
      <w:r w:rsidR="00550E19">
        <w:rPr>
          <w:rFonts w:ascii="仿宋_GB2312" w:eastAsia="仿宋_GB2312"/>
          <w:color w:val="000000" w:themeColor="text1"/>
          <w:sz w:val="32"/>
          <w:szCs w:val="32"/>
        </w:rPr>
        <w:t>与总鲜重</w:t>
      </w:r>
      <w:r w:rsidR="00D21B4F" w:rsidRPr="00D21B4F">
        <w:rPr>
          <w:rFonts w:ascii="仿宋_GB2312" w:eastAsia="仿宋_GB2312" w:hint="eastAsia"/>
          <w:color w:val="000000" w:themeColor="text1"/>
          <w:sz w:val="32"/>
          <w:szCs w:val="32"/>
        </w:rPr>
        <w:t>双重核心指标（相对根伸长量≥-</w:t>
      </w:r>
      <w:r w:rsidR="00AE200F">
        <w:rPr>
          <w:rFonts w:ascii="仿宋_GB2312" w:eastAsia="仿宋_GB2312" w:hint="eastAsia"/>
          <w:color w:val="000000" w:themeColor="text1"/>
          <w:sz w:val="32"/>
          <w:szCs w:val="32"/>
        </w:rPr>
        <w:t>15</w:t>
      </w:r>
      <w:r w:rsidR="00D21B4F" w:rsidRPr="00D21B4F">
        <w:rPr>
          <w:rFonts w:ascii="仿宋_GB2312" w:eastAsia="仿宋_GB2312" w:hint="eastAsia"/>
          <w:color w:val="000000" w:themeColor="text1"/>
          <w:sz w:val="32"/>
          <w:szCs w:val="32"/>
        </w:rPr>
        <w:t>%，相对</w:t>
      </w:r>
      <w:r w:rsidR="0058661D">
        <w:rPr>
          <w:rFonts w:ascii="仿宋_GB2312" w:eastAsia="仿宋_GB2312" w:hint="eastAsia"/>
          <w:color w:val="000000" w:themeColor="text1"/>
          <w:sz w:val="32"/>
          <w:szCs w:val="32"/>
        </w:rPr>
        <w:t>总</w:t>
      </w:r>
      <w:r w:rsidR="00D21B4F" w:rsidRPr="00D21B4F">
        <w:rPr>
          <w:rFonts w:ascii="仿宋_GB2312" w:eastAsia="仿宋_GB2312" w:hint="eastAsia"/>
          <w:color w:val="000000" w:themeColor="text1"/>
          <w:sz w:val="32"/>
          <w:szCs w:val="32"/>
        </w:rPr>
        <w:t>鲜重≥-20%）作为耐酸型硬性标准，突破传统单一指标局限。首创基于Yoshida营养液的pH3.5/6.0双梯度胁迫方法，明确培养周期（14-16d）、样本量（4×30粒重复）及液面管控规程，确保结果可重复性。建立</w:t>
      </w:r>
      <w:r w:rsidR="00EC77F4">
        <w:rPr>
          <w:rFonts w:ascii="仿宋_GB2312" w:eastAsia="仿宋_GB2312" w:hint="eastAsia"/>
          <w:color w:val="000000" w:themeColor="text1"/>
          <w:sz w:val="32"/>
          <w:szCs w:val="32"/>
        </w:rPr>
        <w:t>“</w:t>
      </w:r>
      <w:r w:rsidR="00EC77F4" w:rsidRPr="00D21B4F">
        <w:rPr>
          <w:rFonts w:ascii="仿宋_GB2312" w:eastAsia="仿宋_GB2312" w:hint="eastAsia"/>
          <w:color w:val="000000" w:themeColor="text1"/>
          <w:sz w:val="32"/>
          <w:szCs w:val="32"/>
        </w:rPr>
        <w:t>耐酸型-酸敏感型</w:t>
      </w:r>
      <w:r w:rsidR="00EC77F4">
        <w:rPr>
          <w:rFonts w:ascii="仿宋_GB2312" w:eastAsia="仿宋_GB2312" w:hint="eastAsia"/>
          <w:color w:val="000000" w:themeColor="text1"/>
          <w:sz w:val="32"/>
          <w:szCs w:val="32"/>
        </w:rPr>
        <w:t>”</w:t>
      </w:r>
      <w:r w:rsidR="00D21B4F" w:rsidRPr="00D21B4F">
        <w:rPr>
          <w:rFonts w:ascii="仿宋_GB2312" w:eastAsia="仿宋_GB2312" w:hint="eastAsia"/>
          <w:color w:val="000000" w:themeColor="text1"/>
          <w:sz w:val="32"/>
          <w:szCs w:val="32"/>
        </w:rPr>
        <w:t>分级体系，酸敏感型采用任一指标破阈值</w:t>
      </w:r>
      <w:r w:rsidR="00D21B4F" w:rsidRPr="00EC77F4">
        <w:rPr>
          <w:rFonts w:ascii="仿宋_GB2312" w:eastAsia="仿宋_GB2312" w:hint="eastAsia"/>
          <w:color w:val="000000" w:themeColor="text1"/>
          <w:sz w:val="32"/>
          <w:szCs w:val="32"/>
        </w:rPr>
        <w:t>（根长&lt;-</w:t>
      </w:r>
      <w:r w:rsidR="00EC77F4">
        <w:rPr>
          <w:rFonts w:ascii="仿宋_GB2312" w:eastAsia="仿宋_GB2312"/>
          <w:color w:val="000000" w:themeColor="text1"/>
          <w:sz w:val="32"/>
          <w:szCs w:val="32"/>
        </w:rPr>
        <w:t>30</w:t>
      </w:r>
      <w:r w:rsidR="00D21B4F" w:rsidRPr="00EC77F4">
        <w:rPr>
          <w:rFonts w:ascii="仿宋_GB2312" w:eastAsia="仿宋_GB2312" w:hint="eastAsia"/>
          <w:color w:val="000000" w:themeColor="text1"/>
          <w:sz w:val="32"/>
          <w:szCs w:val="32"/>
        </w:rPr>
        <w:t>%或鲜重&lt;-</w:t>
      </w:r>
      <w:r w:rsidR="00EC77F4">
        <w:rPr>
          <w:rFonts w:ascii="仿宋_GB2312" w:eastAsia="仿宋_GB2312"/>
          <w:color w:val="000000" w:themeColor="text1"/>
          <w:sz w:val="32"/>
          <w:szCs w:val="32"/>
        </w:rPr>
        <w:t>2</w:t>
      </w:r>
      <w:r w:rsidR="00EC77F4" w:rsidRPr="00EC77F4">
        <w:rPr>
          <w:rFonts w:ascii="仿宋_GB2312" w:eastAsia="仿宋_GB2312" w:hint="eastAsia"/>
          <w:color w:val="000000" w:themeColor="text1"/>
          <w:sz w:val="32"/>
          <w:szCs w:val="32"/>
        </w:rPr>
        <w:t>0</w:t>
      </w:r>
      <w:r w:rsidR="00D21B4F" w:rsidRPr="00EC77F4">
        <w:rPr>
          <w:rFonts w:ascii="仿宋_GB2312" w:eastAsia="仿宋_GB2312" w:hint="eastAsia"/>
          <w:color w:val="000000" w:themeColor="text1"/>
          <w:sz w:val="32"/>
          <w:szCs w:val="32"/>
        </w:rPr>
        <w:t>%）</w:t>
      </w:r>
      <w:r w:rsidR="00D21B4F" w:rsidRPr="00D21B4F">
        <w:rPr>
          <w:rFonts w:ascii="仿宋_GB2312" w:eastAsia="仿宋_GB2312" w:hint="eastAsia"/>
          <w:color w:val="000000" w:themeColor="text1"/>
          <w:sz w:val="32"/>
          <w:szCs w:val="32"/>
        </w:rPr>
        <w:t>的从严判定，契合育种筛选需求。从种子筛选、营养液配制（附录A全成分公开）到根长测量（钢尺量取最长根），全流程参数可溯源，填补行业空白。</w:t>
      </w:r>
      <w:r w:rsidR="00827184">
        <w:rPr>
          <w:rFonts w:ascii="仿宋_GB2312" w:eastAsia="仿宋_GB2312"/>
          <w:color w:val="000000" w:themeColor="text1"/>
          <w:sz w:val="32"/>
          <w:szCs w:val="32"/>
        </w:rPr>
        <w:t>检索标准</w:t>
      </w:r>
      <w:r w:rsidR="005F5D38" w:rsidRPr="00A82992">
        <w:rPr>
          <w:rFonts w:ascii="仿宋_GB2312" w:eastAsia="仿宋_GB2312" w:hint="eastAsia"/>
          <w:color w:val="000000" w:themeColor="text1"/>
          <w:sz w:val="32"/>
          <w:szCs w:val="32"/>
        </w:rPr>
        <w:t>不涉及</w:t>
      </w:r>
      <w:r w:rsidR="00EF5012">
        <w:rPr>
          <w:rFonts w:ascii="仿宋_GB2312" w:eastAsia="仿宋_GB2312"/>
          <w:color w:val="000000" w:themeColor="text1"/>
          <w:sz w:val="32"/>
          <w:szCs w:val="32"/>
        </w:rPr>
        <w:t>耐酸水稻品种类型划分方法</w:t>
      </w:r>
      <w:r w:rsidR="005F5D38" w:rsidRPr="00A82992">
        <w:rPr>
          <w:rFonts w:ascii="仿宋_GB2312" w:eastAsia="仿宋_GB2312" w:hint="eastAsia"/>
          <w:color w:val="000000" w:themeColor="text1"/>
          <w:sz w:val="32"/>
          <w:szCs w:val="32"/>
        </w:rPr>
        <w:t>相关技术，</w:t>
      </w:r>
      <w:r w:rsidR="00827184">
        <w:rPr>
          <w:rFonts w:ascii="仿宋_GB2312" w:eastAsia="仿宋_GB2312" w:hint="eastAsia"/>
          <w:color w:val="000000" w:themeColor="text1"/>
          <w:sz w:val="32"/>
          <w:szCs w:val="32"/>
        </w:rPr>
        <w:t>无法适用</w:t>
      </w:r>
      <w:r w:rsidR="005F5D38" w:rsidRPr="00A82992">
        <w:rPr>
          <w:rFonts w:ascii="仿宋_GB2312" w:eastAsia="仿宋_GB2312" w:hint="eastAsia"/>
          <w:color w:val="000000" w:themeColor="text1"/>
          <w:sz w:val="32"/>
          <w:szCs w:val="32"/>
        </w:rPr>
        <w:t>。</w:t>
      </w:r>
    </w:p>
    <w:p w14:paraId="2E8A5622" w14:textId="77777777"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本标准的内容与现行的法律法规及强制性标准无冲突，本文件相关指标不低于强制性国家标准的相关技术要求，标准的编写符合GB/T 1.1—2020的要求。</w:t>
      </w:r>
    </w:p>
    <w:p w14:paraId="0C171BBD" w14:textId="77777777" w:rsidR="006B65C5" w:rsidRPr="00A82992" w:rsidRDefault="005F5D38">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EF6377">
        <w:rPr>
          <w:rFonts w:ascii="Times New Roman" w:eastAsia="黑体" w:hAnsi="Times New Roman" w:cs="Times New Roman" w:hint="eastAsia"/>
          <w:color w:val="000000" w:themeColor="text1"/>
          <w:sz w:val="32"/>
          <w:szCs w:val="32"/>
        </w:rPr>
        <w:lastRenderedPageBreak/>
        <w:t>五、主要条款的说明</w:t>
      </w:r>
    </w:p>
    <w:p w14:paraId="6D8FDCC7" w14:textId="337C3FAF" w:rsidR="006B65C5" w:rsidRPr="00A82992" w:rsidRDefault="005F5D38">
      <w:pPr>
        <w:spacing w:line="520" w:lineRule="exact"/>
        <w:ind w:firstLineChars="200" w:firstLine="640"/>
        <w:rPr>
          <w:rFonts w:ascii="仿宋_GB2312" w:eastAsia="仿宋_GB2312"/>
          <w:color w:val="000000" w:themeColor="text1"/>
          <w:sz w:val="32"/>
          <w:szCs w:val="32"/>
          <w:highlight w:val="yellow"/>
        </w:rPr>
      </w:pPr>
      <w:r w:rsidRPr="00A82992">
        <w:rPr>
          <w:rFonts w:ascii="仿宋_GB2312" w:eastAsia="仿宋_GB2312" w:hint="eastAsia"/>
          <w:color w:val="000000" w:themeColor="text1"/>
          <w:sz w:val="32"/>
          <w:szCs w:val="32"/>
        </w:rPr>
        <w:t>团体标准《</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》的核心技术和创新点在于：</w:t>
      </w:r>
      <w:r w:rsidR="00D21B4F" w:rsidRPr="00D21B4F">
        <w:rPr>
          <w:rFonts w:ascii="仿宋_GB2312" w:eastAsia="仿宋_GB2312" w:hint="eastAsia"/>
          <w:color w:val="000000" w:themeColor="text1"/>
          <w:sz w:val="32"/>
          <w:szCs w:val="32"/>
        </w:rPr>
        <w:t>创新定义根系与</w:t>
      </w:r>
      <w:r w:rsidR="00550E19">
        <w:rPr>
          <w:rFonts w:ascii="仿宋_GB2312" w:eastAsia="仿宋_GB2312" w:hint="eastAsia"/>
          <w:color w:val="000000" w:themeColor="text1"/>
          <w:sz w:val="32"/>
          <w:szCs w:val="32"/>
        </w:rPr>
        <w:t>总鲜重</w:t>
      </w:r>
      <w:r w:rsidR="00D21B4F" w:rsidRPr="00D21B4F">
        <w:rPr>
          <w:rFonts w:ascii="仿宋_GB2312" w:eastAsia="仿宋_GB2312" w:hint="eastAsia"/>
          <w:color w:val="000000" w:themeColor="text1"/>
          <w:sz w:val="32"/>
          <w:szCs w:val="32"/>
        </w:rPr>
        <w:t>双重核心指标</w:t>
      </w:r>
      <w:r w:rsidR="00D21B4F" w:rsidRPr="00944025">
        <w:rPr>
          <w:rFonts w:ascii="仿宋_GB2312" w:eastAsia="仿宋_GB2312" w:hint="eastAsia"/>
          <w:color w:val="000000" w:themeColor="text1"/>
          <w:sz w:val="32"/>
          <w:szCs w:val="32"/>
        </w:rPr>
        <w:t>（相对根伸长量≥-</w:t>
      </w:r>
      <w:r w:rsidR="00944025" w:rsidRPr="00944025">
        <w:rPr>
          <w:rFonts w:ascii="仿宋_GB2312" w:eastAsia="仿宋_GB2312" w:hint="eastAsia"/>
          <w:color w:val="000000" w:themeColor="text1"/>
          <w:sz w:val="32"/>
          <w:szCs w:val="32"/>
        </w:rPr>
        <w:t>15</w:t>
      </w:r>
      <w:r w:rsidR="00D21B4F" w:rsidRPr="00944025">
        <w:rPr>
          <w:rFonts w:ascii="仿宋_GB2312" w:eastAsia="仿宋_GB2312" w:hint="eastAsia"/>
          <w:color w:val="000000" w:themeColor="text1"/>
          <w:sz w:val="32"/>
          <w:szCs w:val="32"/>
        </w:rPr>
        <w:t>%，相对</w:t>
      </w:r>
      <w:r w:rsidR="00B83ED0">
        <w:rPr>
          <w:rFonts w:ascii="仿宋_GB2312" w:eastAsia="仿宋_GB2312" w:hint="eastAsia"/>
          <w:color w:val="000000" w:themeColor="text1"/>
          <w:sz w:val="32"/>
          <w:szCs w:val="32"/>
        </w:rPr>
        <w:t>总</w:t>
      </w:r>
      <w:r w:rsidR="00D21B4F" w:rsidRPr="00944025">
        <w:rPr>
          <w:rFonts w:ascii="仿宋_GB2312" w:eastAsia="仿宋_GB2312" w:hint="eastAsia"/>
          <w:color w:val="000000" w:themeColor="text1"/>
          <w:sz w:val="32"/>
          <w:szCs w:val="32"/>
        </w:rPr>
        <w:t>鲜重≥-20%）</w:t>
      </w:r>
      <w:r w:rsidR="00D21B4F" w:rsidRPr="00D21B4F">
        <w:rPr>
          <w:rFonts w:ascii="仿宋_GB2312" w:eastAsia="仿宋_GB2312" w:hint="eastAsia"/>
          <w:color w:val="000000" w:themeColor="text1"/>
          <w:sz w:val="32"/>
          <w:szCs w:val="32"/>
        </w:rPr>
        <w:t>作为耐酸型硬性标准，突破传统单一指标局限。首创基于Yoshida营养液的pH3.5/6.0双梯度胁迫方法，明确培养周期（14-16d）、样本量（4×30粒重复）及液面管控规程，确保结果可重复性。建立</w:t>
      </w:r>
      <w:r w:rsidR="00105029">
        <w:rPr>
          <w:rFonts w:ascii="仿宋_GB2312" w:eastAsia="仿宋_GB2312" w:hint="eastAsia"/>
          <w:color w:val="000000" w:themeColor="text1"/>
          <w:sz w:val="32"/>
          <w:szCs w:val="32"/>
        </w:rPr>
        <w:t>“</w:t>
      </w:r>
      <w:r w:rsidR="00105029" w:rsidRPr="00D21B4F">
        <w:rPr>
          <w:rFonts w:ascii="仿宋_GB2312" w:eastAsia="仿宋_GB2312" w:hint="eastAsia"/>
          <w:color w:val="000000" w:themeColor="text1"/>
          <w:sz w:val="32"/>
          <w:szCs w:val="32"/>
        </w:rPr>
        <w:t>耐酸型-酸中度敏感型-酸敏感型</w:t>
      </w:r>
      <w:r w:rsidR="00105029">
        <w:rPr>
          <w:rFonts w:ascii="仿宋_GB2312" w:eastAsia="仿宋_GB2312" w:hint="eastAsia"/>
          <w:color w:val="000000" w:themeColor="text1"/>
          <w:sz w:val="32"/>
          <w:szCs w:val="32"/>
        </w:rPr>
        <w:t>”</w:t>
      </w:r>
      <w:r w:rsidR="00D21B4F" w:rsidRPr="00D21B4F">
        <w:rPr>
          <w:rFonts w:ascii="仿宋_GB2312" w:eastAsia="仿宋_GB2312" w:hint="eastAsia"/>
          <w:color w:val="000000" w:themeColor="text1"/>
          <w:sz w:val="32"/>
          <w:szCs w:val="32"/>
        </w:rPr>
        <w:t>分级体系，酸敏感型采用任一指标破阈值（根长&lt;-60%或鲜重&lt;-40%）的从严判定，契合育种筛选需求。从种子筛选、营养液配制（附录A全成分公开）到根长测量（钢尺量取最长根），全流程参数可溯源</w:t>
      </w:r>
      <w:r w:rsidRPr="00D21B4F">
        <w:rPr>
          <w:rFonts w:ascii="仿宋_GB2312" w:eastAsia="仿宋_GB2312" w:hint="eastAsia"/>
          <w:color w:val="000000" w:themeColor="text1"/>
          <w:sz w:val="32"/>
          <w:szCs w:val="32"/>
        </w:rPr>
        <w:t>。</w:t>
      </w:r>
    </w:p>
    <w:p w14:paraId="4315A432" w14:textId="32E6899D" w:rsidR="006B65C5"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团体标准《</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》主要内容包括</w:t>
      </w:r>
      <w:r w:rsidR="002C4D78" w:rsidRPr="007568DD">
        <w:rPr>
          <w:rFonts w:ascii="仿宋_GB2312" w:eastAsia="仿宋_GB2312" w:hint="eastAsia"/>
          <w:color w:val="000000" w:themeColor="text1"/>
          <w:sz w:val="32"/>
          <w:szCs w:val="32"/>
        </w:rPr>
        <w:t>划分原理，耐酸性鉴定试验、指标测定、结果计算、类型划分</w:t>
      </w:r>
      <w:r w:rsidRPr="007568DD">
        <w:rPr>
          <w:rFonts w:ascii="仿宋_GB2312" w:eastAsia="仿宋_GB2312" w:hint="eastAsia"/>
          <w:color w:val="000000" w:themeColor="text1"/>
          <w:sz w:val="32"/>
          <w:szCs w:val="32"/>
        </w:rPr>
        <w:t>等内容。主要内容及依据来源</w:t>
      </w:r>
      <w:r w:rsidRPr="00A82992">
        <w:rPr>
          <w:rFonts w:ascii="仿宋_GB2312" w:eastAsia="仿宋_GB2312" w:hint="eastAsia"/>
          <w:color w:val="000000" w:themeColor="text1"/>
          <w:sz w:val="32"/>
          <w:szCs w:val="32"/>
        </w:rPr>
        <w:t>说明如下：</w:t>
      </w:r>
    </w:p>
    <w:p w14:paraId="637C6AAB" w14:textId="115CF6C4" w:rsidR="00CE3587" w:rsidRPr="00E5767E" w:rsidRDefault="00CE3587" w:rsidP="00E5767E">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E5767E">
        <w:rPr>
          <w:rFonts w:ascii="Times New Roman" w:eastAsia="楷体" w:hAnsi="Times New Roman" w:cs="Times New Roman" w:hint="eastAsia"/>
          <w:b/>
          <w:bCs/>
          <w:color w:val="000000" w:themeColor="text1"/>
          <w:kern w:val="0"/>
          <w:sz w:val="32"/>
          <w:szCs w:val="32"/>
        </w:rPr>
        <w:t>（一）术语</w:t>
      </w:r>
      <w:r w:rsidRPr="00E5767E">
        <w:rPr>
          <w:rFonts w:ascii="Times New Roman" w:eastAsia="楷体" w:hAnsi="Times New Roman" w:cs="Times New Roman"/>
          <w:b/>
          <w:bCs/>
          <w:color w:val="000000" w:themeColor="text1"/>
          <w:kern w:val="0"/>
          <w:sz w:val="32"/>
          <w:szCs w:val="32"/>
        </w:rPr>
        <w:t>和定义</w:t>
      </w:r>
    </w:p>
    <w:p w14:paraId="36737F71" w14:textId="2EA13E53" w:rsidR="00CE3587" w:rsidRPr="00CE3587" w:rsidRDefault="00CE3587">
      <w:pPr>
        <w:spacing w:line="520" w:lineRule="exact"/>
        <w:ind w:firstLineChars="200" w:firstLine="640"/>
        <w:rPr>
          <w:rFonts w:ascii="仿宋_GB2312" w:eastAsia="仿宋_GB2312"/>
          <w:color w:val="000000" w:themeColor="text1"/>
          <w:sz w:val="32"/>
          <w:szCs w:val="32"/>
        </w:rPr>
      </w:pPr>
      <w:r w:rsidRPr="00CE3587">
        <w:rPr>
          <w:rFonts w:ascii="仿宋_GB2312" w:eastAsia="仿宋_GB2312" w:hint="eastAsia"/>
          <w:color w:val="000000" w:themeColor="text1"/>
          <w:sz w:val="32"/>
          <w:szCs w:val="32"/>
        </w:rPr>
        <w:t>pH 3.5</w:t>
      </w:r>
      <w:r w:rsidR="00004E05">
        <w:rPr>
          <w:rFonts w:ascii="仿宋_GB2312" w:eastAsia="仿宋_GB2312" w:hint="eastAsia"/>
          <w:color w:val="000000" w:themeColor="text1"/>
          <w:sz w:val="32"/>
          <w:szCs w:val="32"/>
        </w:rPr>
        <w:t>～</w:t>
      </w:r>
      <w:r w:rsidR="00E5767E">
        <w:rPr>
          <w:rFonts w:ascii="仿宋_GB2312" w:eastAsia="仿宋_GB2312" w:hint="eastAsia"/>
          <w:color w:val="000000" w:themeColor="text1"/>
          <w:sz w:val="32"/>
          <w:szCs w:val="32"/>
        </w:rPr>
        <w:t>4.0</w:t>
      </w:r>
      <w:r w:rsidRPr="00CE3587">
        <w:rPr>
          <w:rFonts w:ascii="仿宋_GB2312" w:eastAsia="仿宋_GB2312" w:hint="eastAsia"/>
          <w:color w:val="000000" w:themeColor="text1"/>
          <w:sz w:val="32"/>
          <w:szCs w:val="32"/>
        </w:rPr>
        <w:t>是酸性土壤（尤其是我国南方红壤区）的典型胁迫区间。研究表明，当土壤</w:t>
      </w:r>
      <w:r w:rsidR="00004E05">
        <w:rPr>
          <w:rFonts w:ascii="仿宋_GB2312" w:eastAsia="仿宋_GB2312" w:hint="eastAsia"/>
          <w:color w:val="000000" w:themeColor="text1"/>
          <w:sz w:val="32"/>
          <w:szCs w:val="32"/>
        </w:rPr>
        <w:t>pH</w:t>
      </w:r>
      <w:r w:rsidR="00004E05" w:rsidRPr="00004E05">
        <w:rPr>
          <w:rFonts w:ascii="仿宋_GB2312" w:eastAsia="仿宋_GB2312" w:hint="eastAsia"/>
          <w:color w:val="000000" w:themeColor="text1"/>
          <w:sz w:val="32"/>
          <w:szCs w:val="32"/>
        </w:rPr>
        <w:t>＜</w:t>
      </w:r>
      <w:r w:rsidR="00004E05">
        <w:rPr>
          <w:rFonts w:ascii="仿宋_GB2312" w:eastAsia="仿宋_GB2312" w:hint="eastAsia"/>
          <w:color w:val="000000" w:themeColor="text1"/>
          <w:sz w:val="32"/>
          <w:szCs w:val="32"/>
        </w:rPr>
        <w:t>4.5</w:t>
      </w:r>
      <w:r w:rsidRPr="00CE3587">
        <w:rPr>
          <w:rFonts w:ascii="仿宋_GB2312" w:eastAsia="仿宋_GB2312" w:hint="eastAsia"/>
          <w:color w:val="000000" w:themeColor="text1"/>
          <w:sz w:val="32"/>
          <w:szCs w:val="32"/>
        </w:rPr>
        <w:t>时，水稻根系功能会显著受抑，而pH 3.5</w:t>
      </w:r>
      <w:r w:rsidR="00004E05" w:rsidRPr="00004E05">
        <w:rPr>
          <w:rFonts w:ascii="仿宋_GB2312" w:eastAsia="仿宋_GB2312" w:hint="eastAsia"/>
          <w:color w:val="000000" w:themeColor="text1"/>
          <w:sz w:val="32"/>
          <w:szCs w:val="32"/>
        </w:rPr>
        <w:t>～</w:t>
      </w:r>
      <w:r w:rsidRPr="00CE3587">
        <w:rPr>
          <w:rFonts w:ascii="仿宋_GB2312" w:eastAsia="仿宋_GB2312" w:hint="eastAsia"/>
          <w:color w:val="000000" w:themeColor="text1"/>
          <w:sz w:val="32"/>
          <w:szCs w:val="32"/>
        </w:rPr>
        <w:t>4.0 是酸性胁迫对水稻生长产生实质性影响的关键阈值，因此将该范围作为耐酸鉴定的核心胁迫条件，确保定义与实际酸性土壤环境的关联性。</w:t>
      </w:r>
    </w:p>
    <w:p w14:paraId="78C0B1F6" w14:textId="109583DE" w:rsidR="006B65C5" w:rsidRDefault="005F5D38">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A82992">
        <w:rPr>
          <w:rFonts w:ascii="Times New Roman" w:eastAsia="楷体" w:hAnsi="Times New Roman" w:cs="Times New Roman" w:hint="eastAsia"/>
          <w:b/>
          <w:bCs/>
          <w:color w:val="000000" w:themeColor="text1"/>
          <w:kern w:val="0"/>
          <w:sz w:val="32"/>
          <w:szCs w:val="32"/>
        </w:rPr>
        <w:t>（</w:t>
      </w:r>
      <w:r w:rsidR="00E5767E">
        <w:rPr>
          <w:rFonts w:ascii="Times New Roman" w:eastAsia="楷体" w:hAnsi="Times New Roman" w:cs="Times New Roman" w:hint="eastAsia"/>
          <w:b/>
          <w:bCs/>
          <w:color w:val="000000" w:themeColor="text1"/>
          <w:kern w:val="0"/>
          <w:sz w:val="32"/>
          <w:szCs w:val="32"/>
        </w:rPr>
        <w:t>二</w:t>
      </w:r>
      <w:r w:rsidRPr="00A82992">
        <w:rPr>
          <w:rFonts w:ascii="Times New Roman" w:eastAsia="楷体" w:hAnsi="Times New Roman" w:cs="Times New Roman" w:hint="eastAsia"/>
          <w:b/>
          <w:bCs/>
          <w:color w:val="000000" w:themeColor="text1"/>
          <w:kern w:val="0"/>
          <w:sz w:val="32"/>
          <w:szCs w:val="32"/>
        </w:rPr>
        <w:t>）</w:t>
      </w:r>
      <w:r w:rsidR="00374769">
        <w:rPr>
          <w:rFonts w:ascii="Times New Roman" w:eastAsia="楷体" w:hAnsi="Times New Roman" w:cs="Times New Roman" w:hint="eastAsia"/>
          <w:b/>
          <w:bCs/>
          <w:color w:val="000000" w:themeColor="text1"/>
          <w:kern w:val="0"/>
          <w:sz w:val="32"/>
          <w:szCs w:val="32"/>
        </w:rPr>
        <w:t>划分原理</w:t>
      </w:r>
    </w:p>
    <w:p w14:paraId="7A38A1EF" w14:textId="30981F34" w:rsidR="00E67F78" w:rsidRPr="00CE3587" w:rsidRDefault="00CE3587" w:rsidP="00CE3587">
      <w:pPr>
        <w:spacing w:line="520" w:lineRule="exact"/>
        <w:ind w:firstLineChars="200" w:firstLine="640"/>
        <w:rPr>
          <w:rFonts w:ascii="仿宋_GB2312" w:eastAsia="仿宋_GB2312"/>
          <w:color w:val="000000" w:themeColor="text1"/>
          <w:sz w:val="32"/>
          <w:szCs w:val="32"/>
        </w:rPr>
      </w:pPr>
      <w:r w:rsidRPr="00E5767E">
        <w:rPr>
          <w:rFonts w:ascii="仿宋_GB2312" w:eastAsia="仿宋_GB2312" w:hAnsi="宋体" w:hint="eastAsia"/>
          <w:color w:val="000000" w:themeColor="text1"/>
          <w:sz w:val="32"/>
          <w:szCs w:val="32"/>
        </w:rPr>
        <w:t>酸性环境（低pH）会导致土壤中H</w:t>
      </w:r>
      <w:r w:rsidRPr="00E5767E">
        <w:rPr>
          <w:rFonts w:ascii="MS Mincho" w:eastAsia="MS Mincho" w:hAnsi="MS Mincho" w:cs="MS Mincho" w:hint="eastAsia"/>
          <w:color w:val="000000" w:themeColor="text1"/>
          <w:sz w:val="32"/>
          <w:szCs w:val="32"/>
        </w:rPr>
        <w:t>⁺</w:t>
      </w:r>
      <w:r w:rsidRPr="00E5767E">
        <w:rPr>
          <w:rFonts w:ascii="仿宋_GB2312" w:eastAsia="仿宋_GB2312" w:hAnsi="宋体" w:hint="eastAsia"/>
          <w:color w:val="000000" w:themeColor="text1"/>
          <w:sz w:val="32"/>
          <w:szCs w:val="32"/>
        </w:rPr>
        <w:t>浓度过高，直接损伤根系细胞膜完整性，抑制根系细胞分裂与伸长（表现为根系变短）；同时，</w:t>
      </w:r>
      <w:r w:rsidRPr="00E5767E">
        <w:rPr>
          <w:rFonts w:ascii="Times New Roman" w:eastAsia="仿宋_GB2312" w:hAnsi="Times New Roman" w:cs="Times New Roman"/>
          <w:color w:val="000000" w:themeColor="text1"/>
          <w:sz w:val="32"/>
          <w:szCs w:val="32"/>
        </w:rPr>
        <w:t>H</w:t>
      </w:r>
      <w:r w:rsidRPr="00E5767E">
        <w:rPr>
          <w:rFonts w:ascii="Cambria Math" w:eastAsia="MS Mincho" w:hAnsi="Cambria Math" w:cs="Cambria Math"/>
          <w:color w:val="000000" w:themeColor="text1"/>
          <w:sz w:val="32"/>
          <w:szCs w:val="32"/>
        </w:rPr>
        <w:t>⁺</w:t>
      </w:r>
      <w:r w:rsidRPr="00E5767E">
        <w:rPr>
          <w:rFonts w:ascii="仿宋_GB2312" w:eastAsia="仿宋_GB2312" w:hAnsi="宋体" w:hint="eastAsia"/>
          <w:color w:val="000000" w:themeColor="text1"/>
          <w:sz w:val="32"/>
          <w:szCs w:val="32"/>
        </w:rPr>
        <w:t>会与</w:t>
      </w:r>
      <w:r w:rsidRPr="00E5767E">
        <w:rPr>
          <w:rFonts w:ascii="Times New Roman" w:eastAsia="仿宋_GB2312" w:hAnsi="Times New Roman" w:cs="Times New Roman"/>
          <w:color w:val="000000" w:themeColor="text1"/>
          <w:sz w:val="32"/>
          <w:szCs w:val="32"/>
        </w:rPr>
        <w:t>Ca²</w:t>
      </w:r>
      <w:r w:rsidRPr="00E5767E">
        <w:rPr>
          <w:rFonts w:ascii="Cambria Math" w:eastAsia="MS Mincho" w:hAnsi="Cambria Math" w:cs="Cambria Math"/>
          <w:color w:val="000000" w:themeColor="text1"/>
          <w:sz w:val="32"/>
          <w:szCs w:val="32"/>
        </w:rPr>
        <w:t>⁺</w:t>
      </w:r>
      <w:r w:rsidRPr="00E5767E">
        <w:rPr>
          <w:rFonts w:ascii="Times New Roman" w:eastAsia="仿宋_GB2312" w:hAnsi="Times New Roman" w:cs="Times New Roman"/>
          <w:color w:val="000000" w:themeColor="text1"/>
          <w:sz w:val="32"/>
          <w:szCs w:val="32"/>
        </w:rPr>
        <w:t>、</w:t>
      </w:r>
      <w:r w:rsidRPr="00E5767E">
        <w:rPr>
          <w:rFonts w:ascii="Times New Roman" w:eastAsia="仿宋_GB2312" w:hAnsi="Times New Roman" w:cs="Times New Roman"/>
          <w:color w:val="000000" w:themeColor="text1"/>
          <w:sz w:val="32"/>
          <w:szCs w:val="32"/>
        </w:rPr>
        <w:t>Mg²</w:t>
      </w:r>
      <w:r w:rsidRPr="00E5767E">
        <w:rPr>
          <w:rFonts w:ascii="Cambria Math" w:eastAsia="MS Mincho" w:hAnsi="Cambria Math" w:cs="Cambria Math"/>
          <w:color w:val="000000" w:themeColor="text1"/>
          <w:sz w:val="32"/>
          <w:szCs w:val="32"/>
        </w:rPr>
        <w:t>⁺</w:t>
      </w:r>
      <w:r w:rsidRPr="00CE3587">
        <w:rPr>
          <w:rFonts w:ascii="仿宋_GB2312" w:eastAsia="仿宋_GB2312" w:hint="eastAsia"/>
          <w:color w:val="000000" w:themeColor="text1"/>
          <w:sz w:val="32"/>
          <w:szCs w:val="32"/>
        </w:rPr>
        <w:t>等阳离子竞争吸收位点，干扰磷的有效性（酸性条件下磷易与</w:t>
      </w:r>
      <w:r w:rsidRPr="00E5767E">
        <w:rPr>
          <w:rFonts w:ascii="Times New Roman" w:eastAsia="仿宋_GB2312" w:hAnsi="Times New Roman" w:cs="Times New Roman"/>
          <w:color w:val="000000" w:themeColor="text1"/>
          <w:sz w:val="32"/>
          <w:szCs w:val="32"/>
        </w:rPr>
        <w:t>Al³</w:t>
      </w:r>
      <w:r w:rsidRPr="00E5767E">
        <w:rPr>
          <w:rFonts w:ascii="Cambria Math" w:eastAsia="仿宋_GB2312" w:hAnsi="Cambria Math" w:cs="Cambria Math"/>
          <w:color w:val="000000" w:themeColor="text1"/>
          <w:sz w:val="32"/>
          <w:szCs w:val="32"/>
        </w:rPr>
        <w:t>⁺</w:t>
      </w:r>
      <w:r w:rsidRPr="00E5767E">
        <w:rPr>
          <w:rFonts w:ascii="Times New Roman" w:eastAsia="仿宋_GB2312" w:hAnsi="Times New Roman" w:cs="Times New Roman"/>
          <w:color w:val="000000" w:themeColor="text1"/>
          <w:sz w:val="32"/>
          <w:szCs w:val="32"/>
        </w:rPr>
        <w:t>、</w:t>
      </w:r>
      <w:r w:rsidRPr="00E5767E">
        <w:rPr>
          <w:rFonts w:ascii="Times New Roman" w:eastAsia="仿宋_GB2312" w:hAnsi="Times New Roman" w:cs="Times New Roman"/>
          <w:color w:val="000000" w:themeColor="text1"/>
          <w:sz w:val="32"/>
          <w:szCs w:val="32"/>
        </w:rPr>
        <w:t>Fe³</w:t>
      </w:r>
      <w:r w:rsidRPr="00E5767E">
        <w:rPr>
          <w:rFonts w:ascii="Cambria Math" w:eastAsia="仿宋_GB2312" w:hAnsi="Cambria Math" w:cs="Cambria Math"/>
          <w:color w:val="000000" w:themeColor="text1"/>
          <w:sz w:val="32"/>
          <w:szCs w:val="32"/>
        </w:rPr>
        <w:t>⁺</w:t>
      </w:r>
      <w:r w:rsidRPr="00CE3587">
        <w:rPr>
          <w:rFonts w:ascii="仿宋_GB2312" w:eastAsia="仿宋_GB2312" w:hint="eastAsia"/>
          <w:color w:val="000000" w:themeColor="text1"/>
          <w:sz w:val="32"/>
          <w:szCs w:val="32"/>
        </w:rPr>
        <w:t>结合固定），导致养分吸收障碍，最终影响</w:t>
      </w:r>
      <w:r w:rsidR="00E16B69">
        <w:rPr>
          <w:rFonts w:ascii="仿宋_GB2312" w:eastAsia="仿宋_GB2312" w:hint="eastAsia"/>
          <w:color w:val="000000" w:themeColor="text1"/>
          <w:sz w:val="32"/>
          <w:szCs w:val="32"/>
        </w:rPr>
        <w:t>整体</w:t>
      </w:r>
      <w:r w:rsidRPr="00CE3587">
        <w:rPr>
          <w:rFonts w:ascii="仿宋_GB2312" w:eastAsia="仿宋_GB2312" w:hint="eastAsia"/>
          <w:color w:val="000000" w:themeColor="text1"/>
          <w:sz w:val="32"/>
          <w:szCs w:val="32"/>
        </w:rPr>
        <w:t>生物量积累。这一机制已被大量水稻酸性胁迫研究证实（如根系形态与养分吸收的关联性研究）。强调耐酸品种“维持相对正常</w:t>
      </w:r>
      <w:r w:rsidRPr="00CE3587">
        <w:rPr>
          <w:rFonts w:ascii="仿宋_GB2312" w:eastAsia="仿宋_GB2312" w:hint="eastAsia"/>
          <w:color w:val="000000" w:themeColor="text1"/>
          <w:sz w:val="32"/>
          <w:szCs w:val="32"/>
        </w:rPr>
        <w:lastRenderedPageBreak/>
        <w:t>的根系构型和</w:t>
      </w:r>
      <w:r w:rsidR="00E16B69">
        <w:rPr>
          <w:rFonts w:ascii="仿宋_GB2312" w:eastAsia="仿宋_GB2312" w:hint="eastAsia"/>
          <w:color w:val="000000" w:themeColor="text1"/>
          <w:sz w:val="32"/>
          <w:szCs w:val="32"/>
        </w:rPr>
        <w:t>整体</w:t>
      </w:r>
      <w:r w:rsidRPr="00CE3587">
        <w:rPr>
          <w:rFonts w:ascii="仿宋_GB2312" w:eastAsia="仿宋_GB2312" w:hint="eastAsia"/>
          <w:color w:val="000000" w:themeColor="text1"/>
          <w:sz w:val="32"/>
          <w:szCs w:val="32"/>
        </w:rPr>
        <w:t>生长”，明确了耐酸能力的核心表现，为后续试验中选择“根系长度”和“</w:t>
      </w:r>
      <w:r w:rsidR="009E0EBD">
        <w:rPr>
          <w:rFonts w:ascii="仿宋_GB2312" w:eastAsia="仿宋_GB2312" w:hint="eastAsia"/>
          <w:color w:val="000000" w:themeColor="text1"/>
          <w:sz w:val="32"/>
          <w:szCs w:val="32"/>
        </w:rPr>
        <w:t>总鲜重</w:t>
      </w:r>
      <w:r w:rsidRPr="00CE3587">
        <w:rPr>
          <w:rFonts w:ascii="仿宋_GB2312" w:eastAsia="仿宋_GB2312" w:hint="eastAsia"/>
          <w:color w:val="000000" w:themeColor="text1"/>
          <w:sz w:val="32"/>
          <w:szCs w:val="32"/>
        </w:rPr>
        <w:t>”作为关键指标提供了理论依据。</w:t>
      </w:r>
    </w:p>
    <w:p w14:paraId="7A3805A5" w14:textId="35FF1B5F" w:rsidR="004123A3" w:rsidRDefault="004123A3">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（二）</w:t>
      </w:r>
      <w:r w:rsidR="00374769" w:rsidRPr="00374769">
        <w:rPr>
          <w:rFonts w:ascii="Times New Roman" w:eastAsia="楷体" w:hAnsi="Times New Roman" w:cs="Times New Roman" w:hint="eastAsia"/>
          <w:b/>
          <w:bCs/>
          <w:color w:val="000000" w:themeColor="text1"/>
          <w:kern w:val="0"/>
          <w:sz w:val="32"/>
          <w:szCs w:val="32"/>
        </w:rPr>
        <w:t>耐酸性鉴定试验</w:t>
      </w:r>
    </w:p>
    <w:p w14:paraId="0887A926" w14:textId="619C2B04" w:rsidR="004123A3" w:rsidRPr="009270CF" w:rsidRDefault="009270CF" w:rsidP="009270CF">
      <w:pPr>
        <w:spacing w:line="520" w:lineRule="exact"/>
        <w:ind w:firstLineChars="200" w:firstLine="640"/>
        <w:rPr>
          <w:rFonts w:ascii="仿宋_GB2312" w:eastAsia="仿宋_GB2312"/>
          <w:color w:val="000000" w:themeColor="text1"/>
          <w:sz w:val="32"/>
          <w:szCs w:val="32"/>
        </w:rPr>
      </w:pPr>
      <w:r w:rsidRPr="009270CF">
        <w:rPr>
          <w:rFonts w:ascii="仿宋_GB2312" w:eastAsia="仿宋_GB2312" w:hint="eastAsia"/>
          <w:color w:val="000000" w:themeColor="text1"/>
          <w:sz w:val="32"/>
          <w:szCs w:val="32"/>
        </w:rPr>
        <w:t>1.材料</w:t>
      </w:r>
      <w:r w:rsidRPr="009270CF">
        <w:rPr>
          <w:rFonts w:ascii="仿宋_GB2312" w:eastAsia="仿宋_GB2312"/>
          <w:color w:val="000000" w:themeColor="text1"/>
          <w:sz w:val="32"/>
          <w:szCs w:val="32"/>
        </w:rPr>
        <w:t>准备</w:t>
      </w:r>
    </w:p>
    <w:p w14:paraId="17E0D3FB" w14:textId="7F92000C" w:rsidR="009270CF" w:rsidRPr="009270CF" w:rsidRDefault="009270CF" w:rsidP="009270CF">
      <w:pPr>
        <w:spacing w:line="520" w:lineRule="exact"/>
        <w:ind w:firstLineChars="200" w:firstLine="640"/>
        <w:rPr>
          <w:rFonts w:ascii="仿宋_GB2312" w:eastAsia="仿宋_GB2312"/>
          <w:color w:val="000000" w:themeColor="text1"/>
          <w:sz w:val="32"/>
          <w:szCs w:val="32"/>
        </w:rPr>
      </w:pPr>
      <w:r w:rsidRPr="009270CF">
        <w:rPr>
          <w:rFonts w:ascii="仿宋_GB2312" w:eastAsia="仿宋_GB2312" w:hint="eastAsia"/>
          <w:color w:val="000000" w:themeColor="text1"/>
          <w:sz w:val="32"/>
          <w:szCs w:val="32"/>
        </w:rPr>
        <w:t>选用均匀萌发的种子（每组≥</w:t>
      </w:r>
      <w:r w:rsidR="00F85A1D">
        <w:rPr>
          <w:rFonts w:ascii="仿宋_GB2312" w:eastAsia="仿宋_GB2312" w:hint="eastAsia"/>
          <w:color w:val="000000" w:themeColor="text1"/>
          <w:sz w:val="32"/>
          <w:szCs w:val="32"/>
        </w:rPr>
        <w:t>30</w:t>
      </w:r>
      <w:r w:rsidRPr="009270CF">
        <w:rPr>
          <w:rFonts w:ascii="仿宋_GB2312" w:eastAsia="仿宋_GB2312" w:hint="eastAsia"/>
          <w:color w:val="000000" w:themeColor="text1"/>
          <w:sz w:val="32"/>
          <w:szCs w:val="32"/>
        </w:rPr>
        <w:t>粒）、Yoshida 营养液，调节</w:t>
      </w:r>
      <w:r>
        <w:rPr>
          <w:rFonts w:ascii="仿宋_GB2312" w:eastAsia="仿宋_GB2312" w:hint="eastAsia"/>
          <w:color w:val="000000" w:themeColor="text1"/>
          <w:sz w:val="32"/>
          <w:szCs w:val="32"/>
        </w:rPr>
        <w:t>pH</w:t>
      </w:r>
      <w:r w:rsidRPr="009270CF">
        <w:rPr>
          <w:rFonts w:ascii="仿宋_GB2312" w:eastAsia="仿宋_GB2312" w:hint="eastAsia"/>
          <w:color w:val="000000" w:themeColor="text1"/>
          <w:sz w:val="32"/>
          <w:szCs w:val="32"/>
        </w:rPr>
        <w:t>至</w:t>
      </w:r>
      <w:r w:rsidR="00004E05">
        <w:rPr>
          <w:rFonts w:ascii="仿宋_GB2312" w:eastAsia="仿宋_GB2312"/>
          <w:color w:val="000000" w:themeColor="text1"/>
          <w:sz w:val="32"/>
          <w:szCs w:val="32"/>
        </w:rPr>
        <w:t>3</w:t>
      </w:r>
      <w:r w:rsidRPr="009270CF">
        <w:rPr>
          <w:rFonts w:ascii="仿宋_GB2312" w:eastAsia="仿宋_GB2312" w:hint="eastAsia"/>
          <w:color w:val="000000" w:themeColor="text1"/>
          <w:sz w:val="32"/>
          <w:szCs w:val="32"/>
        </w:rPr>
        <w:t>.5（处理组）和6.0（对照组）</w:t>
      </w:r>
      <w:r w:rsidR="00004E05">
        <w:rPr>
          <w:rFonts w:ascii="仿宋_GB2312" w:eastAsia="仿宋_GB2312" w:hint="eastAsia"/>
          <w:color w:val="000000" w:themeColor="text1"/>
          <w:sz w:val="32"/>
          <w:szCs w:val="32"/>
        </w:rPr>
        <w:t>，</w:t>
      </w:r>
      <w:r w:rsidR="00004E05" w:rsidRPr="00004E05">
        <w:rPr>
          <w:rFonts w:ascii="仿宋_GB2312" w:eastAsia="仿宋_GB2312" w:hint="eastAsia"/>
          <w:color w:val="000000" w:themeColor="text1"/>
          <w:sz w:val="32"/>
          <w:szCs w:val="32"/>
        </w:rPr>
        <w:t>通过两组对比可精准量化酸性胁迫对水稻的影响，确保胁迫效果的可测性。</w:t>
      </w:r>
    </w:p>
    <w:p w14:paraId="2070F3D7" w14:textId="1FC079B5" w:rsidR="009270CF" w:rsidRPr="009270CF" w:rsidRDefault="009270CF" w:rsidP="009270CF">
      <w:pPr>
        <w:spacing w:line="520" w:lineRule="exact"/>
        <w:ind w:firstLineChars="200" w:firstLine="640"/>
        <w:rPr>
          <w:rFonts w:ascii="仿宋_GB2312" w:eastAsia="仿宋_GB2312"/>
          <w:color w:val="000000" w:themeColor="text1"/>
          <w:sz w:val="32"/>
          <w:szCs w:val="32"/>
        </w:rPr>
      </w:pPr>
      <w:r w:rsidRPr="009270CF">
        <w:rPr>
          <w:rFonts w:ascii="仿宋_GB2312" w:eastAsia="仿宋_GB2312" w:hint="eastAsia"/>
          <w:color w:val="000000" w:themeColor="text1"/>
          <w:sz w:val="32"/>
          <w:szCs w:val="32"/>
        </w:rPr>
        <w:t>要求“萌发良好、长势均匀、无病虫害”，是为了减少个体差异对试验结果的干扰，确保样本的代表性；每组≥</w:t>
      </w:r>
      <w:r w:rsidR="00004E05">
        <w:rPr>
          <w:rFonts w:ascii="仿宋_GB2312" w:eastAsia="仿宋_GB2312" w:hint="eastAsia"/>
          <w:color w:val="000000" w:themeColor="text1"/>
          <w:sz w:val="32"/>
          <w:szCs w:val="32"/>
        </w:rPr>
        <w:t>30</w:t>
      </w:r>
      <w:r w:rsidRPr="009270CF">
        <w:rPr>
          <w:rFonts w:ascii="仿宋_GB2312" w:eastAsia="仿宋_GB2312" w:hint="eastAsia"/>
          <w:color w:val="000000" w:themeColor="text1"/>
          <w:sz w:val="32"/>
          <w:szCs w:val="32"/>
        </w:rPr>
        <w:t>粒种子且设置</w:t>
      </w:r>
      <w:r w:rsidR="00004E05">
        <w:rPr>
          <w:rFonts w:ascii="仿宋_GB2312" w:eastAsia="仿宋_GB2312" w:hint="eastAsia"/>
          <w:color w:val="000000" w:themeColor="text1"/>
          <w:sz w:val="32"/>
          <w:szCs w:val="32"/>
        </w:rPr>
        <w:t>4</w:t>
      </w:r>
      <w:r w:rsidRPr="009270CF">
        <w:rPr>
          <w:rFonts w:ascii="仿宋_GB2312" w:eastAsia="仿宋_GB2312" w:hint="eastAsia"/>
          <w:color w:val="000000" w:themeColor="text1"/>
          <w:sz w:val="32"/>
          <w:szCs w:val="32"/>
        </w:rPr>
        <w:t>次重复，符合生物试验的统计学要求，通过足够的样本量和重复次数降低随机误差，提高结果可靠性。</w:t>
      </w:r>
    </w:p>
    <w:p w14:paraId="28473C2C" w14:textId="46338D70" w:rsidR="009270CF" w:rsidRPr="009270CF" w:rsidRDefault="00004E05" w:rsidP="009270CF">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Yoshida</w:t>
      </w:r>
      <w:r w:rsidR="009270CF" w:rsidRPr="009270CF">
        <w:rPr>
          <w:rFonts w:ascii="仿宋_GB2312" w:eastAsia="仿宋_GB2312" w:hint="eastAsia"/>
          <w:color w:val="000000" w:themeColor="text1"/>
          <w:sz w:val="32"/>
          <w:szCs w:val="32"/>
        </w:rPr>
        <w:t>营养液是国际公认的水稻水培标准营养液，其成分包含水稻生长所需的氮、磷、钾、钙、镁及微量元素，比例科学且稳定，可保证水培条件下养分供应充足，排除“养分缺乏”对试验结果的干扰，仅保留</w:t>
      </w:r>
      <w:r>
        <w:rPr>
          <w:rFonts w:ascii="仿宋_GB2312" w:eastAsia="仿宋_GB2312" w:hint="eastAsia"/>
          <w:color w:val="000000" w:themeColor="text1"/>
          <w:sz w:val="32"/>
          <w:szCs w:val="32"/>
        </w:rPr>
        <w:t>pH</w:t>
      </w:r>
      <w:r w:rsidR="009270CF" w:rsidRPr="009270CF">
        <w:rPr>
          <w:rFonts w:ascii="仿宋_GB2312" w:eastAsia="仿宋_GB2312" w:hint="eastAsia"/>
          <w:color w:val="000000" w:themeColor="text1"/>
          <w:sz w:val="32"/>
          <w:szCs w:val="32"/>
        </w:rPr>
        <w:t>作为唯一胁迫因子，确保试验的专一性。</w:t>
      </w:r>
    </w:p>
    <w:p w14:paraId="4DA1F8EB" w14:textId="6A7CD524" w:rsidR="009270CF" w:rsidRDefault="009270CF" w:rsidP="009270CF">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2.水培试验</w:t>
      </w:r>
    </w:p>
    <w:p w14:paraId="5209C874" w14:textId="27D66054" w:rsidR="00B85047" w:rsidRPr="009270CF" w:rsidRDefault="00B85047" w:rsidP="00B85047">
      <w:pPr>
        <w:spacing w:line="520" w:lineRule="exact"/>
        <w:ind w:firstLineChars="200" w:firstLine="640"/>
        <w:rPr>
          <w:rFonts w:ascii="仿宋_GB2312" w:eastAsia="仿宋_GB2312"/>
          <w:color w:val="000000" w:themeColor="text1"/>
          <w:sz w:val="32"/>
          <w:szCs w:val="32"/>
        </w:rPr>
      </w:pPr>
      <w:r w:rsidRPr="00B85047">
        <w:rPr>
          <w:rFonts w:ascii="仿宋_GB2312" w:eastAsia="仿宋_GB2312" w:hint="eastAsia"/>
          <w:color w:val="000000" w:themeColor="text1"/>
          <w:sz w:val="32"/>
          <w:szCs w:val="32"/>
        </w:rPr>
        <w:t>在26</w:t>
      </w:r>
      <w:r w:rsidR="00004E05">
        <w:rPr>
          <w:rFonts w:ascii="仿宋_GB2312" w:eastAsia="仿宋_GB2312" w:hint="eastAsia"/>
          <w:color w:val="000000" w:themeColor="text1"/>
          <w:sz w:val="32"/>
          <w:szCs w:val="32"/>
        </w:rPr>
        <w:t>～</w:t>
      </w:r>
      <w:r w:rsidRPr="00B85047">
        <w:rPr>
          <w:rFonts w:ascii="仿宋_GB2312" w:eastAsia="仿宋_GB2312" w:hint="eastAsia"/>
          <w:color w:val="000000" w:themeColor="text1"/>
          <w:sz w:val="32"/>
          <w:szCs w:val="32"/>
        </w:rPr>
        <w:t>30℃、</w:t>
      </w:r>
      <w:r w:rsidR="00004E05">
        <w:rPr>
          <w:rFonts w:ascii="仿宋_GB2312" w:eastAsia="仿宋_GB2312" w:hint="eastAsia"/>
          <w:color w:val="000000" w:themeColor="text1"/>
          <w:sz w:val="32"/>
          <w:szCs w:val="32"/>
        </w:rPr>
        <w:t>16h</w:t>
      </w:r>
      <w:r w:rsidRPr="00B85047">
        <w:rPr>
          <w:rFonts w:ascii="仿宋_GB2312" w:eastAsia="仿宋_GB2312" w:hint="eastAsia"/>
          <w:color w:val="000000" w:themeColor="text1"/>
          <w:sz w:val="32"/>
          <w:szCs w:val="32"/>
        </w:rPr>
        <w:t>光</w:t>
      </w:r>
      <w:r w:rsidR="00004E05">
        <w:rPr>
          <w:rFonts w:ascii="仿宋_GB2312" w:eastAsia="仿宋_GB2312" w:hint="eastAsia"/>
          <w:color w:val="000000" w:themeColor="text1"/>
          <w:sz w:val="32"/>
          <w:szCs w:val="32"/>
        </w:rPr>
        <w:t>/8h</w:t>
      </w:r>
      <w:r w:rsidRPr="00B85047">
        <w:rPr>
          <w:rFonts w:ascii="仿宋_GB2312" w:eastAsia="仿宋_GB2312" w:hint="eastAsia"/>
          <w:color w:val="000000" w:themeColor="text1"/>
          <w:sz w:val="32"/>
          <w:szCs w:val="32"/>
        </w:rPr>
        <w:t>暗条件下培养14</w:t>
      </w:r>
      <w:r w:rsidR="00004E05" w:rsidRPr="00004E05">
        <w:rPr>
          <w:rFonts w:ascii="仿宋_GB2312" w:eastAsia="仿宋_GB2312" w:hint="eastAsia"/>
          <w:color w:val="000000" w:themeColor="text1"/>
          <w:sz w:val="32"/>
          <w:szCs w:val="32"/>
        </w:rPr>
        <w:t>～</w:t>
      </w:r>
      <w:r w:rsidR="00004E05">
        <w:rPr>
          <w:rFonts w:ascii="仿宋_GB2312" w:eastAsia="仿宋_GB2312" w:hint="eastAsia"/>
          <w:color w:val="000000" w:themeColor="text1"/>
          <w:sz w:val="32"/>
          <w:szCs w:val="32"/>
        </w:rPr>
        <w:t>16</w:t>
      </w:r>
      <w:r w:rsidRPr="00B85047">
        <w:rPr>
          <w:rFonts w:ascii="仿宋_GB2312" w:eastAsia="仿宋_GB2312" w:hint="eastAsia"/>
          <w:color w:val="000000" w:themeColor="text1"/>
          <w:sz w:val="32"/>
          <w:szCs w:val="32"/>
        </w:rPr>
        <w:t>d，定期更换营养液并保持根系浸没。</w:t>
      </w:r>
      <w:r w:rsidR="00004E05" w:rsidRPr="00004E05">
        <w:rPr>
          <w:rFonts w:ascii="仿宋_GB2312" w:eastAsia="仿宋_GB2312" w:hint="eastAsia"/>
          <w:color w:val="000000" w:themeColor="text1"/>
          <w:sz w:val="32"/>
          <w:szCs w:val="32"/>
        </w:rPr>
        <w:t>26～30℃</w:t>
      </w:r>
      <w:r w:rsidRPr="00B85047">
        <w:rPr>
          <w:rFonts w:ascii="仿宋_GB2312" w:eastAsia="仿宋_GB2312" w:hint="eastAsia"/>
          <w:color w:val="000000" w:themeColor="text1"/>
          <w:sz w:val="32"/>
          <w:szCs w:val="32"/>
        </w:rPr>
        <w:t>是水稻生长的适宜温度范围，</w:t>
      </w:r>
      <w:r w:rsidR="00004E05">
        <w:rPr>
          <w:rFonts w:ascii="仿宋_GB2312" w:eastAsia="仿宋_GB2312" w:hint="eastAsia"/>
          <w:color w:val="000000" w:themeColor="text1"/>
          <w:sz w:val="32"/>
          <w:szCs w:val="32"/>
        </w:rPr>
        <w:t>16h</w:t>
      </w:r>
      <w:r w:rsidRPr="00B85047">
        <w:rPr>
          <w:rFonts w:ascii="仿宋_GB2312" w:eastAsia="仿宋_GB2312" w:hint="eastAsia"/>
          <w:color w:val="000000" w:themeColor="text1"/>
          <w:sz w:val="32"/>
          <w:szCs w:val="32"/>
        </w:rPr>
        <w:t>光</w:t>
      </w:r>
      <w:r w:rsidR="00004E05">
        <w:rPr>
          <w:rFonts w:ascii="仿宋_GB2312" w:eastAsia="仿宋_GB2312" w:hint="eastAsia"/>
          <w:color w:val="000000" w:themeColor="text1"/>
          <w:sz w:val="32"/>
          <w:szCs w:val="32"/>
        </w:rPr>
        <w:t>/8h</w:t>
      </w:r>
      <w:r w:rsidRPr="00B85047">
        <w:rPr>
          <w:rFonts w:ascii="仿宋_GB2312" w:eastAsia="仿宋_GB2312" w:hint="eastAsia"/>
          <w:color w:val="000000" w:themeColor="text1"/>
          <w:sz w:val="32"/>
          <w:szCs w:val="32"/>
        </w:rPr>
        <w:t>暗模拟自然光照周期（与水稻光合作用和生长节律匹配），可保证水稻在正常生理状态下接受酸性胁迫，避免温度、光照等环境因素干扰试验结果，确保胁迫响应的真实性。</w:t>
      </w:r>
      <w:r w:rsidR="00004E05" w:rsidRPr="00004E05">
        <w:rPr>
          <w:rFonts w:ascii="仿宋_GB2312" w:eastAsia="仿宋_GB2312" w:hint="eastAsia"/>
          <w:color w:val="000000" w:themeColor="text1"/>
          <w:sz w:val="32"/>
          <w:szCs w:val="32"/>
        </w:rPr>
        <w:t>14～16d</w:t>
      </w:r>
      <w:r w:rsidRPr="00B85047">
        <w:rPr>
          <w:rFonts w:ascii="仿宋_GB2312" w:eastAsia="仿宋_GB2312" w:hint="eastAsia"/>
          <w:color w:val="000000" w:themeColor="text1"/>
          <w:sz w:val="32"/>
          <w:szCs w:val="32"/>
        </w:rPr>
        <w:t>为水稻幼苗对酸性胁迫的敏感响应</w:t>
      </w:r>
      <w:r w:rsidR="00004E05">
        <w:rPr>
          <w:rFonts w:ascii="仿宋_GB2312" w:eastAsia="仿宋_GB2312" w:hint="eastAsia"/>
          <w:color w:val="000000" w:themeColor="text1"/>
          <w:sz w:val="32"/>
          <w:szCs w:val="32"/>
        </w:rPr>
        <w:t>期</w:t>
      </w:r>
      <w:r w:rsidRPr="00B85047">
        <w:rPr>
          <w:rFonts w:ascii="仿宋_GB2312" w:eastAsia="仿宋_GB2312" w:hint="eastAsia"/>
          <w:color w:val="000000" w:themeColor="text1"/>
          <w:sz w:val="32"/>
          <w:szCs w:val="32"/>
        </w:rPr>
        <w:t>，此时根系和</w:t>
      </w:r>
      <w:r w:rsidR="00E16B69">
        <w:rPr>
          <w:rFonts w:ascii="仿宋_GB2312" w:eastAsia="仿宋_GB2312" w:hint="eastAsia"/>
          <w:color w:val="000000" w:themeColor="text1"/>
          <w:sz w:val="32"/>
          <w:szCs w:val="32"/>
        </w:rPr>
        <w:t>整体</w:t>
      </w:r>
      <w:r w:rsidRPr="00B85047">
        <w:rPr>
          <w:rFonts w:ascii="仿宋_GB2312" w:eastAsia="仿宋_GB2312" w:hint="eastAsia"/>
          <w:color w:val="000000" w:themeColor="text1"/>
          <w:sz w:val="32"/>
          <w:szCs w:val="32"/>
        </w:rPr>
        <w:t>生长差异已能稳定体现；每隔</w:t>
      </w:r>
      <w:r w:rsidR="00004E05">
        <w:rPr>
          <w:rFonts w:ascii="仿宋_GB2312" w:eastAsia="仿宋_GB2312" w:hint="eastAsia"/>
          <w:color w:val="000000" w:themeColor="text1"/>
          <w:sz w:val="32"/>
          <w:szCs w:val="32"/>
        </w:rPr>
        <w:t>1d</w:t>
      </w:r>
      <w:r w:rsidRPr="00B85047">
        <w:rPr>
          <w:rFonts w:ascii="仿宋_GB2312" w:eastAsia="仿宋_GB2312" w:hint="eastAsia"/>
          <w:color w:val="000000" w:themeColor="text1"/>
          <w:sz w:val="32"/>
          <w:szCs w:val="32"/>
        </w:rPr>
        <w:t>更换营养液可维持</w:t>
      </w:r>
      <w:r w:rsidR="00004E05">
        <w:rPr>
          <w:rFonts w:ascii="仿宋_GB2312" w:eastAsia="仿宋_GB2312" w:hint="eastAsia"/>
          <w:color w:val="000000" w:themeColor="text1"/>
          <w:sz w:val="32"/>
          <w:szCs w:val="32"/>
        </w:rPr>
        <w:t>pH</w:t>
      </w:r>
      <w:r w:rsidRPr="00B85047">
        <w:rPr>
          <w:rFonts w:ascii="仿宋_GB2312" w:eastAsia="仿宋_GB2312" w:hint="eastAsia"/>
          <w:color w:val="000000" w:themeColor="text1"/>
          <w:sz w:val="32"/>
          <w:szCs w:val="32"/>
        </w:rPr>
        <w:t>稳定和养分供应，避免因营养液变质或</w:t>
      </w:r>
      <w:r w:rsidR="00004E05">
        <w:rPr>
          <w:rFonts w:ascii="仿宋_GB2312" w:eastAsia="仿宋_GB2312" w:hint="eastAsia"/>
          <w:color w:val="000000" w:themeColor="text1"/>
          <w:sz w:val="32"/>
          <w:szCs w:val="32"/>
        </w:rPr>
        <w:t>pH</w:t>
      </w:r>
      <w:r w:rsidRPr="00B85047">
        <w:rPr>
          <w:rFonts w:ascii="仿宋_GB2312" w:eastAsia="仿宋_GB2312" w:hint="eastAsia"/>
          <w:color w:val="000000" w:themeColor="text1"/>
          <w:sz w:val="32"/>
          <w:szCs w:val="32"/>
        </w:rPr>
        <w:t>波动影响胁迫效果；“前</w:t>
      </w:r>
      <w:r w:rsidR="00004E05">
        <w:rPr>
          <w:rFonts w:ascii="仿宋_GB2312" w:eastAsia="仿宋_GB2312" w:hint="eastAsia"/>
          <w:color w:val="000000" w:themeColor="text1"/>
          <w:sz w:val="32"/>
          <w:szCs w:val="32"/>
        </w:rPr>
        <w:t>3d</w:t>
      </w:r>
      <w:r w:rsidRPr="00B85047">
        <w:rPr>
          <w:rFonts w:ascii="仿宋_GB2312" w:eastAsia="仿宋_GB2312" w:hint="eastAsia"/>
          <w:color w:val="000000" w:themeColor="text1"/>
          <w:sz w:val="32"/>
          <w:szCs w:val="32"/>
        </w:rPr>
        <w:t>液面与胚轴持平，后浸没根系”是为了适应种子萌发到幼苗生长的不同阶段需求，确保根系正常发育。</w:t>
      </w:r>
    </w:p>
    <w:p w14:paraId="1D64DA22" w14:textId="58AE9A14" w:rsidR="004123A3" w:rsidRDefault="004123A3">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lastRenderedPageBreak/>
        <w:t>（三）</w:t>
      </w:r>
      <w:r w:rsidR="00374769" w:rsidRPr="00374769">
        <w:rPr>
          <w:rFonts w:ascii="Times New Roman" w:eastAsia="楷体" w:hAnsi="Times New Roman" w:cs="Times New Roman" w:hint="eastAsia"/>
          <w:b/>
          <w:bCs/>
          <w:color w:val="000000" w:themeColor="text1"/>
          <w:kern w:val="0"/>
          <w:sz w:val="32"/>
          <w:szCs w:val="32"/>
        </w:rPr>
        <w:t>指标测定</w:t>
      </w:r>
    </w:p>
    <w:p w14:paraId="531F19EF" w14:textId="01F4E6A1" w:rsidR="00004E05" w:rsidRPr="00B01CC1" w:rsidRDefault="009E0EBD" w:rsidP="00B01CC1">
      <w:pPr>
        <w:spacing w:line="520" w:lineRule="exact"/>
        <w:ind w:firstLineChars="200" w:firstLine="640"/>
        <w:rPr>
          <w:rFonts w:ascii="仿宋_GB2312" w:eastAsia="仿宋_GB2312"/>
          <w:color w:val="000000" w:themeColor="text1"/>
          <w:sz w:val="32"/>
          <w:szCs w:val="32"/>
        </w:rPr>
      </w:pPr>
      <w:r w:rsidRPr="00944025">
        <w:rPr>
          <w:rFonts w:ascii="仿宋_GB2312" w:eastAsia="仿宋_GB2312" w:hint="eastAsia"/>
          <w:color w:val="000000" w:themeColor="text1"/>
          <w:sz w:val="32"/>
          <w:szCs w:val="32"/>
        </w:rPr>
        <w:t>总鲜重</w:t>
      </w:r>
      <w:r w:rsidR="00004E05" w:rsidRPr="00944025">
        <w:rPr>
          <w:rFonts w:ascii="仿宋_GB2312" w:eastAsia="仿宋_GB2312" w:hint="eastAsia"/>
          <w:color w:val="000000" w:themeColor="text1"/>
          <w:sz w:val="32"/>
          <w:szCs w:val="32"/>
        </w:rPr>
        <w:t>直接反映生物量积累，</w:t>
      </w:r>
      <w:r w:rsidR="00004E05" w:rsidRPr="00B01CC1">
        <w:rPr>
          <w:rFonts w:ascii="仿宋_GB2312" w:eastAsia="仿宋_GB2312" w:hint="eastAsia"/>
          <w:color w:val="000000" w:themeColor="text1"/>
          <w:sz w:val="32"/>
          <w:szCs w:val="32"/>
        </w:rPr>
        <w:t>最大根长直接反映根系发育状态（原理中“根系抑制”），这两个指标与酸性胁迫的核心危害高度关联，可直观量化耐酸能力差异。</w:t>
      </w:r>
    </w:p>
    <w:p w14:paraId="3D59CAE1" w14:textId="1B767D93" w:rsidR="00374769" w:rsidRPr="00B01CC1" w:rsidRDefault="00F85A1D" w:rsidP="00B01CC1">
      <w:pPr>
        <w:spacing w:line="520" w:lineRule="exact"/>
        <w:ind w:firstLineChars="200" w:firstLine="640"/>
        <w:rPr>
          <w:rFonts w:ascii="仿宋_GB2312" w:eastAsia="仿宋_GB2312"/>
          <w:color w:val="000000" w:themeColor="text1"/>
          <w:sz w:val="32"/>
          <w:szCs w:val="32"/>
        </w:rPr>
      </w:pPr>
      <w:r w:rsidRPr="00B01CC1">
        <w:rPr>
          <w:rFonts w:ascii="仿宋_GB2312" w:eastAsia="仿宋_GB2312" w:hint="eastAsia"/>
          <w:color w:val="000000" w:themeColor="text1"/>
          <w:sz w:val="32"/>
          <w:szCs w:val="32"/>
        </w:rPr>
        <w:t>选择</w:t>
      </w:r>
      <w:r>
        <w:rPr>
          <w:rFonts w:ascii="仿宋_GB2312" w:eastAsia="仿宋_GB2312" w:hint="eastAsia"/>
          <w:color w:val="000000" w:themeColor="text1"/>
          <w:sz w:val="32"/>
          <w:szCs w:val="32"/>
        </w:rPr>
        <w:t>鲜重而非干重</w:t>
      </w:r>
      <w:r w:rsidR="00004E05" w:rsidRPr="00B01CC1">
        <w:rPr>
          <w:rFonts w:ascii="仿宋_GB2312" w:eastAsia="仿宋_GB2312" w:hint="eastAsia"/>
          <w:color w:val="000000" w:themeColor="text1"/>
          <w:sz w:val="32"/>
          <w:szCs w:val="32"/>
        </w:rPr>
        <w:t>，是因为鲜重更能实时反映胁迫下的生长动态（干重需烘干，可能掩盖短期胁迫响应）；</w:t>
      </w:r>
      <w:r w:rsidRPr="00B01CC1">
        <w:rPr>
          <w:rFonts w:ascii="仿宋_GB2312" w:eastAsia="仿宋_GB2312" w:hint="eastAsia"/>
          <w:color w:val="000000" w:themeColor="text1"/>
          <w:sz w:val="32"/>
          <w:szCs w:val="32"/>
        </w:rPr>
        <w:t>选择</w:t>
      </w:r>
      <w:r w:rsidR="00004E05" w:rsidRPr="00B01CC1">
        <w:rPr>
          <w:rFonts w:ascii="仿宋_GB2312" w:eastAsia="仿宋_GB2312" w:hint="eastAsia"/>
          <w:color w:val="000000" w:themeColor="text1"/>
          <w:sz w:val="32"/>
          <w:szCs w:val="32"/>
        </w:rPr>
        <w:t>最大根长而非总根长，是因为根系伸长能力是耐酸品种的关键特征（耐酸品种可维持较长的主根以吸收养分），测定方法简单且重复性高。</w:t>
      </w:r>
    </w:p>
    <w:p w14:paraId="42E8F659" w14:textId="76384E30" w:rsidR="00B63436" w:rsidRDefault="00374769" w:rsidP="0034233F">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（四）</w:t>
      </w:r>
      <w:r w:rsidRPr="00374769">
        <w:rPr>
          <w:rFonts w:ascii="Times New Roman" w:eastAsia="楷体" w:hAnsi="Times New Roman" w:cs="Times New Roman" w:hint="eastAsia"/>
          <w:b/>
          <w:bCs/>
          <w:color w:val="000000" w:themeColor="text1"/>
          <w:kern w:val="0"/>
          <w:sz w:val="32"/>
          <w:szCs w:val="32"/>
        </w:rPr>
        <w:t>结果计算</w:t>
      </w:r>
      <w:r w:rsidR="00BF5B03">
        <w:rPr>
          <w:rFonts w:ascii="Times New Roman" w:eastAsia="楷体" w:hAnsi="Times New Roman" w:cs="Times New Roman" w:hint="eastAsia"/>
          <w:b/>
          <w:bCs/>
          <w:color w:val="000000" w:themeColor="text1"/>
          <w:kern w:val="0"/>
          <w:sz w:val="32"/>
          <w:szCs w:val="32"/>
        </w:rPr>
        <w:t>及</w:t>
      </w:r>
      <w:r w:rsidR="00BF5B03">
        <w:rPr>
          <w:rFonts w:ascii="Times New Roman" w:eastAsia="楷体" w:hAnsi="Times New Roman" w:cs="Times New Roman"/>
          <w:b/>
          <w:bCs/>
          <w:color w:val="000000" w:themeColor="text1"/>
          <w:kern w:val="0"/>
          <w:sz w:val="32"/>
          <w:szCs w:val="32"/>
        </w:rPr>
        <w:t>数据分析</w:t>
      </w:r>
    </w:p>
    <w:p w14:paraId="64A9E69D" w14:textId="366EAF97" w:rsidR="00B63436" w:rsidRPr="00944025" w:rsidRDefault="00CD1381" w:rsidP="00B63436">
      <w:pPr>
        <w:spacing w:line="520" w:lineRule="exact"/>
        <w:ind w:firstLineChars="200" w:firstLine="640"/>
        <w:rPr>
          <w:rFonts w:ascii="仿宋_GB2312" w:eastAsia="仿宋_GB2312"/>
          <w:color w:val="000000" w:themeColor="text1"/>
          <w:sz w:val="32"/>
          <w:szCs w:val="32"/>
        </w:rPr>
      </w:pPr>
      <w:r w:rsidRPr="00CD1381">
        <w:rPr>
          <w:rFonts w:ascii="仿宋_GB2312" w:eastAsia="仿宋_GB2312" w:hint="eastAsia"/>
          <w:color w:val="000000" w:themeColor="text1"/>
          <w:sz w:val="32"/>
          <w:szCs w:val="32"/>
        </w:rPr>
        <w:t>水稻在酸性土壤（pH 3.5）中的生长受抑制程度，是判断耐酸能力的核心依据。优先选择直接反映酸胁迫响应的关键生长指标。根长是水稻吸收水分和养分的关键器官，酸胁迫会破坏根系细胞膜结构、抑制根细胞分裂，导致根长伸长受阻；鲜重是植株光合作用、物质积累的综合结果，酸胁迫会影响酶活性、光合效率，进而降低鲜重。其他指标（如苗高、根鲜重）虽与生长相关，但根长伸长量和总鲜重的组合更能全面反映耐酸能力。因此，根长和鲜重是反映水稻酸胁迫响应的核心生物学指标</w:t>
      </w:r>
      <w:r w:rsidR="00B63436" w:rsidRPr="00944025">
        <w:rPr>
          <w:rFonts w:ascii="仿宋_GB2312" w:eastAsia="仿宋_GB2312" w:hint="eastAsia"/>
          <w:color w:val="000000" w:themeColor="text1"/>
          <w:sz w:val="32"/>
          <w:szCs w:val="32"/>
        </w:rPr>
        <w:t>。</w:t>
      </w:r>
    </w:p>
    <w:p w14:paraId="34E6E519" w14:textId="599002FB" w:rsidR="00BF5B03" w:rsidRPr="00944025" w:rsidRDefault="00B63436" w:rsidP="001039E4">
      <w:pPr>
        <w:spacing w:line="520" w:lineRule="exact"/>
        <w:ind w:firstLineChars="200" w:firstLine="640"/>
        <w:rPr>
          <w:rFonts w:ascii="仿宋_GB2312" w:eastAsia="仿宋_GB2312"/>
          <w:color w:val="000000" w:themeColor="text1"/>
          <w:sz w:val="32"/>
          <w:szCs w:val="32"/>
        </w:rPr>
      </w:pPr>
      <w:r w:rsidRPr="00944025">
        <w:rPr>
          <w:rFonts w:ascii="仿宋_GB2312" w:eastAsia="仿宋_GB2312" w:hint="eastAsia"/>
          <w:color w:val="000000" w:themeColor="text1"/>
          <w:sz w:val="32"/>
          <w:szCs w:val="32"/>
        </w:rPr>
        <w:t>不同水稻品种的基础生长能力不同，直接用pH 3.5的绝对指标（如根长、</w:t>
      </w:r>
      <w:r w:rsidR="00B83ED0">
        <w:rPr>
          <w:rFonts w:ascii="仿宋_GB2312" w:eastAsia="仿宋_GB2312" w:hint="eastAsia"/>
          <w:color w:val="000000" w:themeColor="text1"/>
          <w:sz w:val="32"/>
          <w:szCs w:val="32"/>
        </w:rPr>
        <w:t>总</w:t>
      </w:r>
      <w:r w:rsidRPr="00944025">
        <w:rPr>
          <w:rFonts w:ascii="仿宋_GB2312" w:eastAsia="仿宋_GB2312" w:hint="eastAsia"/>
          <w:color w:val="000000" w:themeColor="text1"/>
          <w:sz w:val="32"/>
          <w:szCs w:val="32"/>
        </w:rPr>
        <w:t>鲜重）无法公平比较耐酸能力。因此需计算相对值（对比正常pH 6.0的生长水平），仅反映“酸胁迫的抑制效应”，计算公式如下：</w:t>
      </w:r>
    </w:p>
    <w:p w14:paraId="0555A4CC" w14:textId="2A7A8F21" w:rsidR="00BF5B03" w:rsidRDefault="00BF5B03" w:rsidP="001039E4">
      <w:pPr>
        <w:spacing w:line="520" w:lineRule="exact"/>
        <w:ind w:firstLineChars="200" w:firstLine="640"/>
        <w:rPr>
          <w:rFonts w:ascii="仿宋_GB2312" w:eastAsia="仿宋_GB2312"/>
          <w:color w:val="000000" w:themeColor="text1"/>
          <w:sz w:val="32"/>
          <w:szCs w:val="32"/>
        </w:rPr>
      </w:pPr>
      <w:r w:rsidRPr="00944025">
        <w:rPr>
          <w:rFonts w:ascii="仿宋_GB2312" w:eastAsia="仿宋_GB2312" w:hint="eastAsia"/>
          <w:color w:val="000000" w:themeColor="text1"/>
          <w:sz w:val="32"/>
          <w:szCs w:val="32"/>
        </w:rPr>
        <w:t>——</w:t>
      </w:r>
      <w:r w:rsidR="00743D43" w:rsidRPr="00944025">
        <w:rPr>
          <w:rFonts w:ascii="仿宋_GB2312" w:eastAsia="仿宋_GB2312" w:hint="eastAsia"/>
          <w:color w:val="000000" w:themeColor="text1"/>
          <w:sz w:val="32"/>
          <w:szCs w:val="32"/>
        </w:rPr>
        <w:t>总</w:t>
      </w:r>
      <w:r w:rsidRPr="00944025">
        <w:rPr>
          <w:rFonts w:ascii="仿宋_GB2312" w:eastAsia="仿宋_GB2312" w:hint="eastAsia"/>
          <w:color w:val="000000" w:themeColor="text1"/>
          <w:sz w:val="32"/>
          <w:szCs w:val="32"/>
        </w:rPr>
        <w:t>鲜重变化量：</w:t>
      </w:r>
    </w:p>
    <w:p w14:paraId="4B6AB297" w14:textId="77777777" w:rsidR="00BF5B03" w:rsidRDefault="00BF5B03" w:rsidP="00BF5B03">
      <w:pPr>
        <w:pStyle w:val="afff7"/>
      </w:pPr>
      <w:r>
        <w:tab/>
      </w:r>
      <m:oMath>
        <m:sSub>
          <m:sSubPr>
            <m:ctrlPr>
              <w:rPr>
                <w:rFonts w:ascii="Cambria Math" w:hAnsi="Cambria Math"/>
              </w:rPr>
            </m:ctrlPr>
          </m:sSubPr>
          <m:e>
            <m:r>
              <w:rPr>
                <w:rFonts w:ascii="Cambria Math" w:hAnsi="Cambria Math"/>
              </w:rPr>
              <m:t>W</m:t>
            </m:r>
          </m:e>
          <m:sub>
            <m:r>
              <w:rPr>
                <w:rFonts w:ascii="Cambria Math" w:hAnsi="Cambria Math"/>
              </w:rPr>
              <m:t>E</m:t>
            </m:r>
          </m:sub>
        </m:sSub>
        <m:r>
          <w:rPr>
            <w:rFonts w:ascii="Cambria Math" w:hAnsi="Cambria Math"/>
          </w:rPr>
          <m:t>=</m:t>
        </m:r>
        <m:f>
          <m:fPr>
            <m:ctrlPr>
              <w:rPr>
                <w:rFonts w:ascii="Cambria Math" w:hAnsi="Cambria Math"/>
                <w:i/>
              </w:rPr>
            </m:ctrlPr>
          </m:fPr>
          <m:num>
            <m:r>
              <w:rPr>
                <w:rFonts w:ascii="Cambria Math" w:hAnsi="Cambria Math"/>
              </w:rPr>
              <m:t>∆W</m:t>
            </m:r>
          </m:num>
          <m:den>
            <m:sSub>
              <m:sSubPr>
                <m:ctrlPr>
                  <w:rPr>
                    <w:rFonts w:ascii="Cambria Math" w:hAnsi="Cambria Math"/>
                    <w:i/>
                  </w:rPr>
                </m:ctrlPr>
              </m:sSubPr>
              <m:e>
                <m:r>
                  <w:rPr>
                    <w:rFonts w:ascii="Cambria Math" w:hAnsi="Cambria Math"/>
                  </w:rPr>
                  <m:t>W</m:t>
                </m:r>
              </m:e>
              <m:sub>
                <m:r>
                  <w:rPr>
                    <w:rFonts w:ascii="Cambria Math" w:hAnsi="Cambria Math"/>
                  </w:rPr>
                  <m:t>ck</m:t>
                </m:r>
              </m:sub>
            </m:sSub>
          </m:den>
        </m:f>
        <m:r>
          <w:rPr>
            <w:rFonts w:ascii="Cambria Math" w:hAnsi="Cambria Math"/>
          </w:rPr>
          <m:t>×100%=</m:t>
        </m:r>
        <m:f>
          <m:fPr>
            <m:ctrlPr>
              <w:rPr>
                <w:rFonts w:ascii="Cambria Math" w:hAnsi="Cambria Math"/>
                <w:i/>
              </w:rPr>
            </m:ctrlPr>
          </m:fPr>
          <m:num>
            <m:r>
              <m:rPr>
                <m:sty m:val="p"/>
              </m:rPr>
              <w:rPr>
                <w:rFonts w:ascii="Cambria Math" w:hAnsi="Cambria Math" w:hint="eastAsia"/>
              </w:rPr>
              <m:t>（</m:t>
            </m:r>
            <m:sSub>
              <m:sSubPr>
                <m:ctrlPr>
                  <w:rPr>
                    <w:rFonts w:ascii="Cambria Math" w:hAnsi="Cambria Math"/>
                  </w:rPr>
                </m:ctrlPr>
              </m:sSubPr>
              <m:e>
                <m:r>
                  <w:rPr>
                    <w:rFonts w:ascii="Cambria Math" w:hAnsi="Cambria Math"/>
                  </w:rPr>
                  <m:t>W</m:t>
                </m:r>
              </m:e>
              <m:sub>
                <m: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ck</m:t>
                </m:r>
              </m:sub>
            </m:sSub>
            <m:r>
              <m:rPr>
                <m:sty m:val="p"/>
              </m:rPr>
              <w:rPr>
                <w:rFonts w:ascii="Cambria Math" w:hAnsi="Cambria Math" w:hint="eastAsia"/>
              </w:rPr>
              <m:t>）</m:t>
            </m:r>
          </m:num>
          <m:den>
            <m:sSub>
              <m:sSubPr>
                <m:ctrlPr>
                  <w:rPr>
                    <w:rFonts w:ascii="Cambria Math" w:hAnsi="Cambria Math"/>
                    <w:i/>
                  </w:rPr>
                </m:ctrlPr>
              </m:sSubPr>
              <m:e>
                <m:r>
                  <w:rPr>
                    <w:rFonts w:ascii="Cambria Math" w:hAnsi="Cambria Math"/>
                  </w:rPr>
                  <m:t>W</m:t>
                </m:r>
              </m:e>
              <m:sub>
                <m:r>
                  <w:rPr>
                    <w:rFonts w:ascii="Cambria Math" w:hAnsi="Cambria Math"/>
                  </w:rPr>
                  <m:t>ck</m:t>
                </m:r>
              </m:sub>
            </m:sSub>
          </m:den>
        </m:f>
        <m:r>
          <w:rPr>
            <w:rFonts w:ascii="Cambria Math" w:hAnsi="Cambria Math"/>
          </w:rPr>
          <m:t>×100%</m:t>
        </m:r>
      </m:oMath>
      <w:r w:rsidRPr="006D0BF6">
        <w:rPr>
          <w:rFonts w:ascii="微软雅黑" w:eastAsia="微软雅黑" w:hAnsi="微软雅黑"/>
        </w:rPr>
        <w:tab/>
      </w:r>
      <w:r>
        <w:t>(</w:t>
      </w:r>
      <w:r>
        <w:fldChar w:fldCharType="begin"/>
      </w:r>
      <w:r>
        <w:instrText xml:space="preserve"> AUTONUM </w:instrText>
      </w:r>
      <w:r>
        <w:fldChar w:fldCharType="end"/>
      </w:r>
      <w:r>
        <w:t>)</w:t>
      </w:r>
    </w:p>
    <w:p w14:paraId="26AF220A" w14:textId="77777777" w:rsidR="00BF5B03" w:rsidRPr="00BF5B03" w:rsidRDefault="00BF5B03" w:rsidP="00BF5B03">
      <w:pPr>
        <w:adjustRightInd w:val="0"/>
        <w:snapToGrid w:val="0"/>
        <w:spacing w:line="400" w:lineRule="exact"/>
        <w:ind w:firstLineChars="200" w:firstLine="420"/>
        <w:rPr>
          <w:rFonts w:cs="Times New Roman"/>
          <w:kern w:val="0"/>
          <w:szCs w:val="21"/>
        </w:rPr>
      </w:pPr>
      <w:r w:rsidRPr="00BF5B03">
        <w:rPr>
          <w:rFonts w:cs="Times New Roman" w:hint="eastAsia"/>
          <w:kern w:val="0"/>
          <w:szCs w:val="21"/>
        </w:rPr>
        <w:t>式中：</w:t>
      </w:r>
    </w:p>
    <w:p w14:paraId="27B9A47D" w14:textId="31F04CDF" w:rsidR="00BF5B03" w:rsidRPr="00BF5B03" w:rsidRDefault="00BF5B03" w:rsidP="00BF5B03">
      <w:pPr>
        <w:widowControl/>
        <w:autoSpaceDE w:val="0"/>
        <w:autoSpaceDN w:val="0"/>
        <w:ind w:firstLineChars="200" w:firstLine="420"/>
        <w:rPr>
          <w:rFonts w:ascii="宋体" w:hAnsi="Times New Roman" w:cs="Times New Roman"/>
          <w:noProof/>
          <w:kern w:val="0"/>
          <w:szCs w:val="20"/>
        </w:rPr>
      </w:pPr>
      <w:r w:rsidRPr="00BF5B03">
        <w:rPr>
          <w:rFonts w:ascii="宋体" w:hAnsi="Times New Roman" w:cs="Times New Roman" w:hint="eastAsia"/>
          <w:i/>
          <w:noProof/>
          <w:kern w:val="0"/>
          <w:szCs w:val="20"/>
        </w:rPr>
        <w:t>W</w:t>
      </w:r>
      <w:r w:rsidRPr="00BF5B03">
        <w:rPr>
          <w:rFonts w:ascii="宋体" w:hAnsi="Times New Roman" w:cs="Times New Roman" w:hint="eastAsia"/>
          <w:noProof/>
          <w:kern w:val="0"/>
          <w:szCs w:val="20"/>
          <w:vertAlign w:val="subscript"/>
        </w:rPr>
        <w:t>E</w:t>
      </w:r>
      <w:r w:rsidRPr="00BF5B03">
        <w:rPr>
          <w:rFonts w:ascii="宋体" w:hAnsi="Times New Roman" w:cs="Times New Roman"/>
          <w:noProof/>
          <w:kern w:val="0"/>
          <w:szCs w:val="20"/>
          <w:vertAlign w:val="subscript"/>
        </w:rPr>
        <w:t xml:space="preserve"> </w:t>
      </w:r>
      <w:r w:rsidRPr="00BF5B03">
        <w:rPr>
          <w:rFonts w:ascii="宋体" w:hAnsi="Times New Roman" w:cs="Times New Roman" w:hint="eastAsia"/>
          <w:noProof/>
          <w:kern w:val="0"/>
          <w:szCs w:val="20"/>
        </w:rPr>
        <w:t>——酸处理组相对对照组的</w:t>
      </w:r>
      <w:r w:rsidR="009E0EBD">
        <w:rPr>
          <w:rFonts w:ascii="宋体" w:hAnsi="Times New Roman" w:cs="Times New Roman" w:hint="eastAsia"/>
          <w:noProof/>
          <w:kern w:val="0"/>
          <w:szCs w:val="20"/>
        </w:rPr>
        <w:t>总鲜重</w:t>
      </w:r>
      <w:r w:rsidRPr="00BF5B03">
        <w:rPr>
          <w:rFonts w:ascii="宋体" w:hAnsi="Times New Roman" w:cs="Times New Roman" w:hint="eastAsia"/>
          <w:noProof/>
          <w:kern w:val="0"/>
          <w:szCs w:val="20"/>
        </w:rPr>
        <w:t>变化量（无量纲百分数）；</w:t>
      </w:r>
    </w:p>
    <w:p w14:paraId="17E8147F" w14:textId="2AB3AA2E" w:rsidR="00BF5B03" w:rsidRPr="00BF5B03" w:rsidRDefault="00BF5B03" w:rsidP="00BF5B03">
      <w:pPr>
        <w:widowControl/>
        <w:autoSpaceDE w:val="0"/>
        <w:autoSpaceDN w:val="0"/>
        <w:ind w:firstLineChars="200" w:firstLine="420"/>
        <w:rPr>
          <w:rFonts w:ascii="宋体" w:hAnsi="Times New Roman" w:cs="Times New Roman"/>
          <w:noProof/>
          <w:kern w:val="0"/>
          <w:szCs w:val="20"/>
        </w:rPr>
      </w:pPr>
      <w:r w:rsidRPr="00BF5B03">
        <w:rPr>
          <w:rFonts w:ascii="宋体" w:hAnsi="Times New Roman" w:cs="Times New Roman"/>
          <w:noProof/>
          <w:kern w:val="0"/>
          <w:szCs w:val="20"/>
        </w:rPr>
        <w:t>∆</w:t>
      </w:r>
      <w:r w:rsidRPr="00BF5B03">
        <w:rPr>
          <w:rFonts w:ascii="宋体" w:hAnsi="Times New Roman" w:cs="Times New Roman"/>
          <w:i/>
          <w:noProof/>
          <w:kern w:val="0"/>
          <w:szCs w:val="20"/>
        </w:rPr>
        <w:t>W</w:t>
      </w:r>
      <w:r w:rsidRPr="00BF5B03">
        <w:rPr>
          <w:rFonts w:ascii="宋体" w:hAnsi="Times New Roman" w:cs="Times New Roman"/>
          <w:noProof/>
          <w:kern w:val="0"/>
          <w:szCs w:val="20"/>
        </w:rPr>
        <w:t>——</w:t>
      </w:r>
      <w:r w:rsidRPr="00BF5B03">
        <w:rPr>
          <w:rFonts w:ascii="宋体" w:hAnsi="Times New Roman" w:cs="Times New Roman" w:hint="eastAsia"/>
          <w:noProof/>
          <w:kern w:val="0"/>
          <w:szCs w:val="20"/>
        </w:rPr>
        <w:t>酸处理组与对照组</w:t>
      </w:r>
      <w:r w:rsidR="009E0EBD">
        <w:rPr>
          <w:rFonts w:ascii="宋体" w:hAnsi="Times New Roman" w:cs="Times New Roman" w:hint="eastAsia"/>
          <w:noProof/>
          <w:kern w:val="0"/>
          <w:szCs w:val="20"/>
        </w:rPr>
        <w:t>总鲜重</w:t>
      </w:r>
      <w:r w:rsidRPr="00BF5B03">
        <w:rPr>
          <w:rFonts w:ascii="宋体" w:hAnsi="Times New Roman" w:cs="Times New Roman" w:hint="eastAsia"/>
          <w:noProof/>
          <w:kern w:val="0"/>
          <w:szCs w:val="20"/>
        </w:rPr>
        <w:t>差值，单位为克（</w:t>
      </w:r>
      <w:r w:rsidRPr="00BF5B03">
        <w:rPr>
          <w:rFonts w:ascii="宋体" w:hAnsi="Times New Roman" w:cs="Times New Roman"/>
          <w:noProof/>
          <w:kern w:val="0"/>
          <w:szCs w:val="20"/>
        </w:rPr>
        <w:t>g</w:t>
      </w:r>
      <w:r w:rsidRPr="00BF5B03">
        <w:rPr>
          <w:rFonts w:ascii="宋体" w:hAnsi="Times New Roman" w:cs="Times New Roman" w:hint="eastAsia"/>
          <w:noProof/>
          <w:kern w:val="0"/>
          <w:szCs w:val="20"/>
        </w:rPr>
        <w:t>）；</w:t>
      </w:r>
    </w:p>
    <w:p w14:paraId="3D6711BF" w14:textId="60599B4D" w:rsidR="00BF5B03" w:rsidRPr="00BF5B03" w:rsidRDefault="00BF5B03" w:rsidP="00BF5B03">
      <w:pPr>
        <w:widowControl/>
        <w:autoSpaceDE w:val="0"/>
        <w:autoSpaceDN w:val="0"/>
        <w:ind w:firstLineChars="200" w:firstLine="420"/>
        <w:rPr>
          <w:rFonts w:ascii="宋体" w:hAnsi="Times New Roman" w:cs="Times New Roman"/>
          <w:noProof/>
          <w:kern w:val="0"/>
          <w:szCs w:val="20"/>
        </w:rPr>
      </w:pPr>
      <w:r w:rsidRPr="00BF5B03">
        <w:rPr>
          <w:rFonts w:ascii="宋体" w:hAnsi="Times New Roman" w:cs="Times New Roman" w:hint="eastAsia"/>
          <w:i/>
          <w:noProof/>
          <w:kern w:val="0"/>
          <w:szCs w:val="20"/>
        </w:rPr>
        <w:t>W</w:t>
      </w:r>
      <w:r w:rsidRPr="00BF5B03">
        <w:rPr>
          <w:rFonts w:ascii="宋体" w:hAnsi="Times New Roman" w:cs="Times New Roman" w:hint="eastAsia"/>
          <w:noProof/>
          <w:kern w:val="0"/>
          <w:szCs w:val="20"/>
          <w:vertAlign w:val="subscript"/>
        </w:rPr>
        <w:t>1</w:t>
      </w:r>
      <w:r w:rsidRPr="00BF5B03">
        <w:rPr>
          <w:rFonts w:ascii="宋体" w:hAnsi="Times New Roman" w:cs="Times New Roman"/>
          <w:noProof/>
          <w:kern w:val="0"/>
          <w:szCs w:val="20"/>
          <w:vertAlign w:val="subscript"/>
        </w:rPr>
        <w:t xml:space="preserve"> </w:t>
      </w:r>
      <w:r w:rsidRPr="00BF5B03">
        <w:rPr>
          <w:rFonts w:ascii="宋体" w:hAnsi="Times New Roman" w:cs="Times New Roman" w:hint="eastAsia"/>
          <w:noProof/>
          <w:kern w:val="0"/>
          <w:szCs w:val="20"/>
        </w:rPr>
        <w:t>——酸处理组</w:t>
      </w:r>
      <w:r w:rsidR="009E0EBD">
        <w:rPr>
          <w:rFonts w:ascii="宋体" w:hAnsi="Times New Roman" w:cs="Times New Roman" w:hint="eastAsia"/>
          <w:noProof/>
          <w:kern w:val="0"/>
          <w:szCs w:val="20"/>
        </w:rPr>
        <w:t>总鲜重</w:t>
      </w:r>
      <w:r w:rsidRPr="00BF5B03">
        <w:rPr>
          <w:rFonts w:ascii="宋体" w:hAnsi="Times New Roman" w:cs="Times New Roman" w:hint="eastAsia"/>
          <w:noProof/>
          <w:kern w:val="0"/>
          <w:szCs w:val="20"/>
        </w:rPr>
        <w:t>，单位为克（g）；</w:t>
      </w:r>
    </w:p>
    <w:p w14:paraId="36209C69" w14:textId="0204B12A" w:rsidR="00BF5B03" w:rsidRPr="00BF5B03" w:rsidRDefault="00BF5B03" w:rsidP="00BF5B03">
      <w:pPr>
        <w:widowControl/>
        <w:autoSpaceDE w:val="0"/>
        <w:autoSpaceDN w:val="0"/>
        <w:ind w:firstLineChars="200" w:firstLine="420"/>
        <w:rPr>
          <w:rFonts w:ascii="宋体" w:hAnsi="Times New Roman" w:cs="Times New Roman"/>
          <w:noProof/>
          <w:kern w:val="0"/>
          <w:szCs w:val="20"/>
        </w:rPr>
      </w:pPr>
      <w:r w:rsidRPr="00BF5B03">
        <w:rPr>
          <w:rFonts w:ascii="宋体" w:hAnsi="Times New Roman" w:cs="Times New Roman" w:hint="eastAsia"/>
          <w:i/>
          <w:noProof/>
          <w:kern w:val="0"/>
          <w:szCs w:val="20"/>
        </w:rPr>
        <w:t>W</w:t>
      </w:r>
      <w:r w:rsidRPr="00BF5B03">
        <w:rPr>
          <w:rFonts w:ascii="宋体" w:hAnsi="Times New Roman" w:cs="Times New Roman" w:hint="eastAsia"/>
          <w:noProof/>
          <w:kern w:val="0"/>
          <w:szCs w:val="20"/>
          <w:vertAlign w:val="subscript"/>
        </w:rPr>
        <w:t>ck</w:t>
      </w:r>
      <w:r w:rsidRPr="00BF5B03">
        <w:rPr>
          <w:rFonts w:ascii="宋体" w:hAnsi="Times New Roman" w:cs="Times New Roman" w:hint="eastAsia"/>
          <w:noProof/>
          <w:kern w:val="0"/>
          <w:szCs w:val="20"/>
        </w:rPr>
        <w:t>——</w:t>
      </w:r>
      <w:r w:rsidR="00743D43">
        <w:rPr>
          <w:rFonts w:ascii="宋体" w:hAnsi="Times New Roman" w:cs="Times New Roman" w:hint="eastAsia"/>
          <w:noProof/>
          <w:kern w:val="0"/>
          <w:szCs w:val="20"/>
        </w:rPr>
        <w:t>对照</w:t>
      </w:r>
      <w:r w:rsidRPr="00BF5B03">
        <w:rPr>
          <w:rFonts w:ascii="宋体" w:hAnsi="Times New Roman" w:cs="Times New Roman" w:hint="eastAsia"/>
          <w:noProof/>
          <w:kern w:val="0"/>
          <w:szCs w:val="20"/>
        </w:rPr>
        <w:t>组</w:t>
      </w:r>
      <w:r w:rsidR="009E0EBD">
        <w:rPr>
          <w:rFonts w:ascii="宋体" w:hAnsi="Times New Roman" w:cs="Times New Roman" w:hint="eastAsia"/>
          <w:noProof/>
          <w:kern w:val="0"/>
          <w:szCs w:val="20"/>
        </w:rPr>
        <w:t>总鲜重</w:t>
      </w:r>
      <w:r w:rsidRPr="00BF5B03">
        <w:rPr>
          <w:rFonts w:ascii="宋体" w:hAnsi="Times New Roman" w:cs="Times New Roman" w:hint="eastAsia"/>
          <w:noProof/>
          <w:kern w:val="0"/>
          <w:szCs w:val="20"/>
        </w:rPr>
        <w:t>，单位为克（g）；</w:t>
      </w:r>
    </w:p>
    <w:p w14:paraId="1C1D41B0" w14:textId="77777777" w:rsidR="00BF5B03" w:rsidRPr="00BF5B03" w:rsidRDefault="00BF5B03" w:rsidP="00BF5B03">
      <w:pPr>
        <w:widowControl/>
        <w:autoSpaceDE w:val="0"/>
        <w:autoSpaceDN w:val="0"/>
        <w:ind w:firstLineChars="200" w:firstLine="420"/>
        <w:rPr>
          <w:rFonts w:ascii="宋体" w:hAnsi="Times New Roman" w:cs="Times New Roman"/>
          <w:noProof/>
          <w:kern w:val="0"/>
          <w:szCs w:val="20"/>
        </w:rPr>
      </w:pPr>
      <w:r w:rsidRPr="00BF5B03">
        <w:rPr>
          <w:rFonts w:ascii="宋体" w:hAnsi="Times New Roman" w:cs="Times New Roman" w:hint="eastAsia"/>
          <w:noProof/>
          <w:kern w:val="0"/>
          <w:szCs w:val="20"/>
        </w:rPr>
        <w:t>测定结果取组内算术平均值，保留4位小数。</w:t>
      </w:r>
    </w:p>
    <w:p w14:paraId="4F95AED2" w14:textId="55FDC8EC" w:rsidR="00BF5B03" w:rsidRDefault="00BF5B03" w:rsidP="00BF5B03">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lastRenderedPageBreak/>
        <w:t>——</w:t>
      </w:r>
      <w:r w:rsidRPr="00BF5B03">
        <w:rPr>
          <w:rFonts w:ascii="仿宋_GB2312" w:eastAsia="仿宋_GB2312" w:hint="eastAsia"/>
          <w:color w:val="000000" w:themeColor="text1"/>
          <w:sz w:val="32"/>
          <w:szCs w:val="32"/>
        </w:rPr>
        <w:t>相对根伸长量</w:t>
      </w:r>
      <w:r>
        <w:rPr>
          <w:rFonts w:ascii="仿宋_GB2312" w:eastAsia="仿宋_GB2312" w:hint="eastAsia"/>
          <w:color w:val="000000" w:themeColor="text1"/>
          <w:sz w:val="32"/>
          <w:szCs w:val="32"/>
        </w:rPr>
        <w:t>：</w:t>
      </w:r>
    </w:p>
    <w:p w14:paraId="1E9EDEB2" w14:textId="77777777" w:rsidR="00C02995" w:rsidRDefault="00C02995" w:rsidP="00C02995">
      <w:pPr>
        <w:pStyle w:val="afff7"/>
      </w:pPr>
      <w:r>
        <w:tab/>
      </w:r>
      <m:oMath>
        <m:sSub>
          <m:sSubPr>
            <m:ctrlPr>
              <w:rPr>
                <w:rFonts w:ascii="Cambria Math" w:hAnsi="Cambria Math"/>
              </w:rPr>
            </m:ctrlPr>
          </m:sSubPr>
          <m:e>
            <m:r>
              <w:rPr>
                <w:rFonts w:ascii="Cambria Math" w:hAnsi="Cambria Math"/>
              </w:rPr>
              <m:t>L</m:t>
            </m:r>
          </m:e>
          <m:sub>
            <m:r>
              <w:rPr>
                <w:rFonts w:ascii="Cambria Math" w:hAnsi="Cambria Math"/>
              </w:rPr>
              <m:t>E</m:t>
            </m:r>
          </m:sub>
        </m:sSub>
        <m:r>
          <w:rPr>
            <w:rFonts w:ascii="Cambria Math" w:hAnsi="Cambria Math"/>
          </w:rPr>
          <m:t>=</m:t>
        </m:r>
        <m:f>
          <m:fPr>
            <m:ctrlPr>
              <w:rPr>
                <w:rFonts w:ascii="Cambria Math" w:hAnsi="Cambria Math"/>
                <w:i/>
              </w:rPr>
            </m:ctrlPr>
          </m:fPr>
          <m:num>
            <m:r>
              <w:rPr>
                <w:rFonts w:ascii="Cambria Math" w:hAnsi="Cambria Math"/>
              </w:rPr>
              <m:t>∆L</m:t>
            </m:r>
          </m:num>
          <m:den>
            <m:sSub>
              <m:sSubPr>
                <m:ctrlPr>
                  <w:rPr>
                    <w:rFonts w:ascii="Cambria Math" w:hAnsi="Cambria Math"/>
                    <w:i/>
                  </w:rPr>
                </m:ctrlPr>
              </m:sSubPr>
              <m:e>
                <m:r>
                  <w:rPr>
                    <w:rFonts w:ascii="Cambria Math" w:hAnsi="Cambria Math"/>
                  </w:rPr>
                  <m:t>L</m:t>
                </m:r>
              </m:e>
              <m:sub>
                <m:r>
                  <w:rPr>
                    <w:rFonts w:ascii="Cambria Math" w:hAnsi="Cambria Math"/>
                  </w:rPr>
                  <m:t>ck</m:t>
                </m:r>
              </m:sub>
            </m:sSub>
          </m:den>
        </m:f>
        <m:r>
          <w:rPr>
            <w:rFonts w:ascii="Cambria Math" w:hAnsi="Cambria Math"/>
          </w:rPr>
          <m:t>×100%=</m:t>
        </m:r>
        <m:f>
          <m:fPr>
            <m:ctrlPr>
              <w:rPr>
                <w:rFonts w:ascii="Cambria Math" w:hAnsi="Cambria Math"/>
                <w:i/>
              </w:rPr>
            </m:ctrlPr>
          </m:fPr>
          <m:num>
            <m:r>
              <m:rPr>
                <m:sty m:val="p"/>
              </m:rPr>
              <w:rPr>
                <w:rFonts w:ascii="Cambria Math" w:hAnsi="Cambria Math" w:hint="eastAsia"/>
              </w:rPr>
              <m:t>（</m:t>
            </m:r>
            <m:sSub>
              <m:sSubPr>
                <m:ctrlPr>
                  <w:rPr>
                    <w:rFonts w:ascii="Cambria Math" w:hAnsi="Cambria Math"/>
                  </w:rPr>
                </m:ctrlPr>
              </m:sSubPr>
              <m:e>
                <m:r>
                  <w:rPr>
                    <w:rFonts w:ascii="Cambria Math" w:hAnsi="Cambria Math"/>
                  </w:rPr>
                  <m:t>L</m:t>
                </m:r>
              </m:e>
              <m:sub>
                <m: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ck</m:t>
                </m:r>
              </m:sub>
            </m:sSub>
            <m:r>
              <m:rPr>
                <m:sty m:val="p"/>
              </m:rPr>
              <w:rPr>
                <w:rFonts w:ascii="Cambria Math" w:hAnsi="Cambria Math" w:hint="eastAsia"/>
              </w:rPr>
              <m:t>）</m:t>
            </m:r>
          </m:num>
          <m:den>
            <m:sSub>
              <m:sSubPr>
                <m:ctrlPr>
                  <w:rPr>
                    <w:rFonts w:ascii="Cambria Math" w:hAnsi="Cambria Math"/>
                    <w:i/>
                  </w:rPr>
                </m:ctrlPr>
              </m:sSubPr>
              <m:e>
                <m:r>
                  <w:rPr>
                    <w:rFonts w:ascii="Cambria Math" w:hAnsi="Cambria Math"/>
                  </w:rPr>
                  <m:t>L</m:t>
                </m:r>
              </m:e>
              <m:sub>
                <m:r>
                  <w:rPr>
                    <w:rFonts w:ascii="Cambria Math" w:hAnsi="Cambria Math"/>
                  </w:rPr>
                  <m:t>ck</m:t>
                </m:r>
              </m:sub>
            </m:sSub>
          </m:den>
        </m:f>
        <m:r>
          <w:rPr>
            <w:rFonts w:ascii="Cambria Math" w:hAnsi="Cambria Math"/>
          </w:rPr>
          <m:t>×100%</m:t>
        </m:r>
      </m:oMath>
      <w:r w:rsidRPr="00FC59C0">
        <w:rPr>
          <w:rFonts w:ascii="微软雅黑" w:eastAsia="微软雅黑" w:hAnsi="微软雅黑"/>
        </w:rPr>
        <w:tab/>
      </w:r>
      <w:r>
        <w:t>(</w:t>
      </w:r>
      <w:r>
        <w:fldChar w:fldCharType="begin"/>
      </w:r>
      <w:r>
        <w:instrText xml:space="preserve"> AUTONUM </w:instrText>
      </w:r>
      <w:r>
        <w:fldChar w:fldCharType="end"/>
      </w:r>
      <w:r>
        <w:t>)</w:t>
      </w:r>
    </w:p>
    <w:p w14:paraId="509CCC9C" w14:textId="77777777" w:rsidR="00C02995" w:rsidRPr="00C02995" w:rsidRDefault="00C02995" w:rsidP="00C02995">
      <w:pPr>
        <w:adjustRightInd w:val="0"/>
        <w:snapToGrid w:val="0"/>
        <w:spacing w:line="400" w:lineRule="exact"/>
        <w:ind w:firstLineChars="200" w:firstLine="420"/>
        <w:rPr>
          <w:rFonts w:cs="Times New Roman"/>
          <w:kern w:val="0"/>
          <w:szCs w:val="21"/>
        </w:rPr>
      </w:pPr>
      <w:r w:rsidRPr="00C02995">
        <w:rPr>
          <w:rFonts w:cs="Times New Roman" w:hint="eastAsia"/>
          <w:kern w:val="0"/>
          <w:szCs w:val="21"/>
        </w:rPr>
        <w:t>式中：</w:t>
      </w:r>
    </w:p>
    <w:p w14:paraId="2A62680C" w14:textId="77777777" w:rsidR="00C02995" w:rsidRPr="00C02995" w:rsidRDefault="00C02995" w:rsidP="00C02995">
      <w:pPr>
        <w:widowControl/>
        <w:autoSpaceDE w:val="0"/>
        <w:autoSpaceDN w:val="0"/>
        <w:ind w:firstLineChars="200" w:firstLine="420"/>
        <w:rPr>
          <w:rFonts w:ascii="宋体" w:hAnsi="Times New Roman" w:cs="Times New Roman"/>
          <w:noProof/>
          <w:kern w:val="0"/>
          <w:szCs w:val="20"/>
        </w:rPr>
      </w:pPr>
      <w:r w:rsidRPr="00C02995">
        <w:rPr>
          <w:rFonts w:ascii="宋体" w:hAnsi="Times New Roman" w:cs="Times New Roman" w:hint="eastAsia"/>
          <w:i/>
          <w:noProof/>
          <w:kern w:val="0"/>
          <w:szCs w:val="20"/>
        </w:rPr>
        <w:t>L</w:t>
      </w:r>
      <w:r w:rsidRPr="00C02995">
        <w:rPr>
          <w:rFonts w:ascii="宋体" w:hAnsi="Times New Roman" w:cs="Times New Roman" w:hint="eastAsia"/>
          <w:noProof/>
          <w:kern w:val="0"/>
          <w:szCs w:val="20"/>
          <w:vertAlign w:val="subscript"/>
        </w:rPr>
        <w:t>E</w:t>
      </w:r>
      <w:r w:rsidRPr="00C02995">
        <w:rPr>
          <w:rFonts w:ascii="宋体" w:hAnsi="Times New Roman" w:cs="Times New Roman"/>
          <w:noProof/>
          <w:kern w:val="0"/>
          <w:szCs w:val="20"/>
        </w:rPr>
        <w:t xml:space="preserve"> </w:t>
      </w:r>
      <w:r w:rsidRPr="00C02995">
        <w:rPr>
          <w:rFonts w:ascii="宋体" w:hAnsi="Times New Roman" w:cs="Times New Roman" w:hint="eastAsia"/>
          <w:noProof/>
          <w:kern w:val="0"/>
          <w:szCs w:val="20"/>
        </w:rPr>
        <w:t>——酸处理组相对对照组的相对最大根伸长量（无量纲百分数）；</w:t>
      </w:r>
    </w:p>
    <w:p w14:paraId="1C3E5300" w14:textId="07B61BE3" w:rsidR="00C02995" w:rsidRPr="00C02995" w:rsidRDefault="00C02995" w:rsidP="00C02995">
      <w:pPr>
        <w:widowControl/>
        <w:autoSpaceDE w:val="0"/>
        <w:autoSpaceDN w:val="0"/>
        <w:ind w:firstLineChars="200" w:firstLine="420"/>
        <w:rPr>
          <w:rFonts w:ascii="宋体" w:hAnsi="Times New Roman" w:cs="Times New Roman"/>
          <w:noProof/>
          <w:kern w:val="0"/>
          <w:szCs w:val="20"/>
        </w:rPr>
      </w:pPr>
      <w:r w:rsidRPr="00C02995">
        <w:rPr>
          <w:rFonts w:ascii="宋体" w:hAnsi="Times New Roman" w:cs="Times New Roman"/>
          <w:noProof/>
          <w:kern w:val="0"/>
          <w:szCs w:val="20"/>
        </w:rPr>
        <w:t>∆</w:t>
      </w:r>
      <w:r w:rsidRPr="00C02995">
        <w:rPr>
          <w:rFonts w:ascii="宋体" w:hAnsi="Times New Roman" w:cs="Times New Roman"/>
          <w:i/>
          <w:noProof/>
          <w:kern w:val="0"/>
          <w:szCs w:val="20"/>
        </w:rPr>
        <w:t>L</w:t>
      </w:r>
      <w:r w:rsidRPr="00C02995">
        <w:rPr>
          <w:rFonts w:ascii="宋体" w:hAnsi="Times New Roman" w:cs="Times New Roman" w:hint="eastAsia"/>
          <w:noProof/>
          <w:kern w:val="0"/>
          <w:szCs w:val="20"/>
        </w:rPr>
        <w:t>——酸处理组与对照组最大根长差值，单位为克（</w:t>
      </w:r>
      <w:r w:rsidR="00EF6377" w:rsidRPr="00EF6377">
        <w:rPr>
          <w:rFonts w:ascii="宋体" w:hAnsi="Times New Roman" w:cs="Times New Roman" w:hint="eastAsia"/>
          <w:noProof/>
          <w:kern w:val="0"/>
          <w:szCs w:val="20"/>
        </w:rPr>
        <w:t>cm</w:t>
      </w:r>
      <w:r w:rsidRPr="00C02995">
        <w:rPr>
          <w:rFonts w:ascii="宋体" w:hAnsi="Times New Roman" w:cs="Times New Roman" w:hint="eastAsia"/>
          <w:noProof/>
          <w:kern w:val="0"/>
          <w:szCs w:val="20"/>
        </w:rPr>
        <w:t>）；</w:t>
      </w:r>
    </w:p>
    <w:p w14:paraId="1E02FB26" w14:textId="77777777" w:rsidR="00C02995" w:rsidRPr="00C02995" w:rsidRDefault="00C02995" w:rsidP="00C02995">
      <w:pPr>
        <w:widowControl/>
        <w:autoSpaceDE w:val="0"/>
        <w:autoSpaceDN w:val="0"/>
        <w:ind w:firstLineChars="200" w:firstLine="420"/>
        <w:rPr>
          <w:rFonts w:ascii="宋体" w:hAnsi="Times New Roman" w:cs="Times New Roman"/>
          <w:noProof/>
          <w:kern w:val="0"/>
          <w:szCs w:val="20"/>
        </w:rPr>
      </w:pPr>
      <w:r w:rsidRPr="00C02995">
        <w:rPr>
          <w:rFonts w:ascii="宋体" w:hAnsi="Times New Roman" w:cs="Times New Roman" w:hint="eastAsia"/>
          <w:i/>
          <w:noProof/>
          <w:kern w:val="0"/>
          <w:szCs w:val="20"/>
        </w:rPr>
        <w:t>L</w:t>
      </w:r>
      <w:r w:rsidRPr="00C02995">
        <w:rPr>
          <w:rFonts w:ascii="宋体" w:hAnsi="Times New Roman" w:cs="Times New Roman" w:hint="eastAsia"/>
          <w:noProof/>
          <w:kern w:val="0"/>
          <w:szCs w:val="20"/>
          <w:vertAlign w:val="subscript"/>
        </w:rPr>
        <w:t>1</w:t>
      </w:r>
      <w:r w:rsidRPr="00C02995">
        <w:rPr>
          <w:rFonts w:ascii="宋体" w:hAnsi="Times New Roman" w:cs="Times New Roman"/>
          <w:noProof/>
          <w:kern w:val="0"/>
          <w:szCs w:val="20"/>
        </w:rPr>
        <w:t xml:space="preserve"> </w:t>
      </w:r>
      <w:r w:rsidRPr="00C02995">
        <w:rPr>
          <w:rFonts w:ascii="宋体" w:hAnsi="Times New Roman" w:cs="Times New Roman" w:hint="eastAsia"/>
          <w:noProof/>
          <w:kern w:val="0"/>
          <w:szCs w:val="20"/>
        </w:rPr>
        <w:t>——酸处理组最大根长，单位为厘米（cm）；</w:t>
      </w:r>
    </w:p>
    <w:p w14:paraId="7369939A" w14:textId="2D8CEC1B" w:rsidR="00C02995" w:rsidRPr="00C02995" w:rsidRDefault="00C02995" w:rsidP="00C02995">
      <w:pPr>
        <w:widowControl/>
        <w:autoSpaceDE w:val="0"/>
        <w:autoSpaceDN w:val="0"/>
        <w:ind w:firstLineChars="200" w:firstLine="420"/>
        <w:rPr>
          <w:rFonts w:ascii="宋体" w:hAnsi="Times New Roman" w:cs="Times New Roman"/>
          <w:noProof/>
          <w:kern w:val="0"/>
          <w:szCs w:val="20"/>
        </w:rPr>
      </w:pPr>
      <w:r w:rsidRPr="00C02995">
        <w:rPr>
          <w:rFonts w:ascii="宋体" w:hAnsi="Times New Roman" w:cs="Times New Roman" w:hint="eastAsia"/>
          <w:i/>
          <w:noProof/>
          <w:kern w:val="0"/>
          <w:szCs w:val="20"/>
        </w:rPr>
        <w:t>L</w:t>
      </w:r>
      <w:r w:rsidRPr="00C02995">
        <w:rPr>
          <w:rFonts w:ascii="宋体" w:hAnsi="Times New Roman" w:cs="Times New Roman" w:hint="eastAsia"/>
          <w:noProof/>
          <w:kern w:val="0"/>
          <w:szCs w:val="20"/>
          <w:vertAlign w:val="subscript"/>
        </w:rPr>
        <w:t>ck</w:t>
      </w:r>
      <w:r w:rsidRPr="00C02995">
        <w:rPr>
          <w:rFonts w:ascii="宋体" w:hAnsi="Times New Roman" w:cs="Times New Roman" w:hint="eastAsia"/>
          <w:noProof/>
          <w:kern w:val="0"/>
          <w:szCs w:val="20"/>
        </w:rPr>
        <w:t>——</w:t>
      </w:r>
      <w:r w:rsidR="00743D43">
        <w:rPr>
          <w:rFonts w:ascii="宋体" w:hAnsi="Times New Roman" w:cs="Times New Roman" w:hint="eastAsia"/>
          <w:noProof/>
          <w:kern w:val="0"/>
          <w:szCs w:val="20"/>
        </w:rPr>
        <w:t>对照</w:t>
      </w:r>
      <w:r w:rsidRPr="00C02995">
        <w:rPr>
          <w:rFonts w:ascii="宋体" w:hAnsi="Times New Roman" w:cs="Times New Roman" w:hint="eastAsia"/>
          <w:noProof/>
          <w:kern w:val="0"/>
          <w:szCs w:val="20"/>
        </w:rPr>
        <w:t>组最大根长，单位为厘米（cm）；</w:t>
      </w:r>
    </w:p>
    <w:p w14:paraId="345080FE" w14:textId="77777777" w:rsidR="00C02995" w:rsidRPr="00C02995" w:rsidRDefault="00C02995" w:rsidP="00C02995">
      <w:pPr>
        <w:widowControl/>
        <w:autoSpaceDE w:val="0"/>
        <w:autoSpaceDN w:val="0"/>
        <w:ind w:firstLineChars="200" w:firstLine="420"/>
        <w:rPr>
          <w:rFonts w:ascii="宋体" w:hAnsi="Times New Roman" w:cs="Times New Roman"/>
          <w:noProof/>
          <w:kern w:val="0"/>
          <w:szCs w:val="20"/>
        </w:rPr>
      </w:pPr>
      <w:r w:rsidRPr="00C02995">
        <w:rPr>
          <w:rFonts w:ascii="宋体" w:hAnsi="Times New Roman" w:cs="Times New Roman" w:hint="eastAsia"/>
          <w:noProof/>
          <w:kern w:val="0"/>
          <w:szCs w:val="20"/>
        </w:rPr>
        <w:t>测定结果取组内算术平均值，保留4位小数。</w:t>
      </w:r>
    </w:p>
    <w:p w14:paraId="419F47C5" w14:textId="551D869F" w:rsidR="00374769" w:rsidRDefault="00004E05" w:rsidP="001039E4">
      <w:pPr>
        <w:spacing w:line="520" w:lineRule="exact"/>
        <w:ind w:firstLineChars="200" w:firstLine="640"/>
        <w:rPr>
          <w:rFonts w:ascii="仿宋_GB2312" w:eastAsia="仿宋_GB2312"/>
          <w:color w:val="000000" w:themeColor="text1"/>
          <w:sz w:val="32"/>
          <w:szCs w:val="32"/>
        </w:rPr>
      </w:pPr>
      <w:r w:rsidRPr="00B01CC1">
        <w:rPr>
          <w:rFonts w:ascii="仿宋_GB2312" w:eastAsia="仿宋_GB2312" w:hint="eastAsia"/>
          <w:color w:val="000000" w:themeColor="text1"/>
          <w:sz w:val="32"/>
          <w:szCs w:val="32"/>
        </w:rPr>
        <w:t>采用“（处理组</w:t>
      </w:r>
      <w:r w:rsidR="001039E4">
        <w:rPr>
          <w:rFonts w:ascii="仿宋_GB2312" w:eastAsia="仿宋_GB2312" w:hint="eastAsia"/>
          <w:color w:val="000000" w:themeColor="text1"/>
          <w:sz w:val="32"/>
          <w:szCs w:val="32"/>
        </w:rPr>
        <w:t>-</w:t>
      </w:r>
      <w:r w:rsidRPr="00B01CC1">
        <w:rPr>
          <w:rFonts w:ascii="仿宋_GB2312" w:eastAsia="仿宋_GB2312" w:hint="eastAsia"/>
          <w:color w:val="000000" w:themeColor="text1"/>
          <w:sz w:val="32"/>
          <w:szCs w:val="32"/>
        </w:rPr>
        <w:t>对照组）</w:t>
      </w:r>
      <w:r w:rsidR="001039E4">
        <w:rPr>
          <w:rFonts w:ascii="仿宋_GB2312" w:eastAsia="仿宋_GB2312" w:hint="eastAsia"/>
          <w:color w:val="000000" w:themeColor="text1"/>
          <w:sz w:val="32"/>
          <w:szCs w:val="32"/>
        </w:rPr>
        <w:t>/</w:t>
      </w:r>
      <w:r w:rsidRPr="00B01CC1">
        <w:rPr>
          <w:rFonts w:ascii="仿宋_GB2312" w:eastAsia="仿宋_GB2312" w:hint="eastAsia"/>
          <w:color w:val="000000" w:themeColor="text1"/>
          <w:sz w:val="32"/>
          <w:szCs w:val="32"/>
        </w:rPr>
        <w:t>对照组×100%”的相对值，而非绝对值，</w:t>
      </w:r>
      <w:r w:rsidR="00BF5B03">
        <w:rPr>
          <w:rFonts w:ascii="仿宋_GB2312" w:eastAsia="仿宋_GB2312" w:hint="eastAsia"/>
          <w:color w:val="000000" w:themeColor="text1"/>
          <w:sz w:val="32"/>
          <w:szCs w:val="32"/>
        </w:rPr>
        <w:t>是为了</w:t>
      </w:r>
      <w:r w:rsidRPr="00B01CC1">
        <w:rPr>
          <w:rFonts w:ascii="仿宋_GB2312" w:eastAsia="仿宋_GB2312" w:hint="eastAsia"/>
          <w:color w:val="000000" w:themeColor="text1"/>
          <w:sz w:val="32"/>
          <w:szCs w:val="32"/>
        </w:rPr>
        <w:t>消除不同品种自身生长势的差异。例如，</w:t>
      </w:r>
      <w:r w:rsidR="001039E4">
        <w:rPr>
          <w:rFonts w:ascii="仿宋_GB2312" w:eastAsia="仿宋_GB2312" w:hint="eastAsia"/>
          <w:color w:val="000000" w:themeColor="text1"/>
          <w:sz w:val="32"/>
          <w:szCs w:val="32"/>
        </w:rPr>
        <w:t>A</w:t>
      </w:r>
      <w:r w:rsidRPr="00B01CC1">
        <w:rPr>
          <w:rFonts w:ascii="仿宋_GB2312" w:eastAsia="仿宋_GB2312" w:hint="eastAsia"/>
          <w:color w:val="000000" w:themeColor="text1"/>
          <w:sz w:val="32"/>
          <w:szCs w:val="32"/>
        </w:rPr>
        <w:t>品种正常条件下</w:t>
      </w:r>
      <w:r w:rsidR="009E0EBD">
        <w:rPr>
          <w:rFonts w:ascii="仿宋_GB2312" w:eastAsia="仿宋_GB2312" w:hint="eastAsia"/>
          <w:color w:val="000000" w:themeColor="text1"/>
          <w:sz w:val="32"/>
          <w:szCs w:val="32"/>
        </w:rPr>
        <w:t>总鲜重</w:t>
      </w:r>
      <w:r w:rsidRPr="00B01CC1">
        <w:rPr>
          <w:rFonts w:ascii="仿宋_GB2312" w:eastAsia="仿宋_GB2312" w:hint="eastAsia"/>
          <w:color w:val="000000" w:themeColor="text1"/>
          <w:sz w:val="32"/>
          <w:szCs w:val="32"/>
        </w:rPr>
        <w:t>为</w:t>
      </w:r>
      <w:r w:rsidR="001039E4">
        <w:rPr>
          <w:rFonts w:ascii="仿宋_GB2312" w:eastAsia="仿宋_GB2312" w:hint="eastAsia"/>
          <w:color w:val="000000" w:themeColor="text1"/>
          <w:sz w:val="32"/>
          <w:szCs w:val="32"/>
        </w:rPr>
        <w:t>10</w:t>
      </w:r>
      <w:r w:rsidRPr="00B01CC1">
        <w:rPr>
          <w:rFonts w:ascii="仿宋_GB2312" w:eastAsia="仿宋_GB2312" w:hint="eastAsia"/>
          <w:color w:val="000000" w:themeColor="text1"/>
          <w:sz w:val="32"/>
          <w:szCs w:val="32"/>
        </w:rPr>
        <w:t>g，胁迫后为</w:t>
      </w:r>
      <w:r w:rsidR="001039E4">
        <w:rPr>
          <w:rFonts w:ascii="仿宋_GB2312" w:eastAsia="仿宋_GB2312" w:hint="eastAsia"/>
          <w:color w:val="000000" w:themeColor="text1"/>
          <w:sz w:val="32"/>
          <w:szCs w:val="32"/>
        </w:rPr>
        <w:t>8</w:t>
      </w:r>
      <w:r w:rsidRPr="00B01CC1">
        <w:rPr>
          <w:rFonts w:ascii="仿宋_GB2312" w:eastAsia="仿宋_GB2312" w:hint="eastAsia"/>
          <w:color w:val="000000" w:themeColor="text1"/>
          <w:sz w:val="32"/>
          <w:szCs w:val="32"/>
        </w:rPr>
        <w:t>g（损失20%）；</w:t>
      </w:r>
      <w:r w:rsidR="001039E4">
        <w:rPr>
          <w:rFonts w:ascii="仿宋_GB2312" w:eastAsia="仿宋_GB2312" w:hint="eastAsia"/>
          <w:color w:val="000000" w:themeColor="text1"/>
          <w:sz w:val="32"/>
          <w:szCs w:val="32"/>
        </w:rPr>
        <w:t>B</w:t>
      </w:r>
      <w:r w:rsidRPr="00B01CC1">
        <w:rPr>
          <w:rFonts w:ascii="仿宋_GB2312" w:eastAsia="仿宋_GB2312" w:hint="eastAsia"/>
          <w:color w:val="000000" w:themeColor="text1"/>
          <w:sz w:val="32"/>
          <w:szCs w:val="32"/>
        </w:rPr>
        <w:t>品种正常条件下鲜重为</w:t>
      </w:r>
      <w:r w:rsidR="001039E4">
        <w:rPr>
          <w:rFonts w:ascii="仿宋_GB2312" w:eastAsia="仿宋_GB2312" w:hint="eastAsia"/>
          <w:color w:val="000000" w:themeColor="text1"/>
          <w:sz w:val="32"/>
          <w:szCs w:val="32"/>
        </w:rPr>
        <w:t>5</w:t>
      </w:r>
      <w:r w:rsidRPr="00B01CC1">
        <w:rPr>
          <w:rFonts w:ascii="仿宋_GB2312" w:eastAsia="仿宋_GB2312" w:hint="eastAsia"/>
          <w:color w:val="000000" w:themeColor="text1"/>
          <w:sz w:val="32"/>
          <w:szCs w:val="32"/>
        </w:rPr>
        <w:t>g，胁迫后为</w:t>
      </w:r>
      <w:r w:rsidR="001039E4">
        <w:rPr>
          <w:rFonts w:ascii="仿宋_GB2312" w:eastAsia="仿宋_GB2312" w:hint="eastAsia"/>
          <w:color w:val="000000" w:themeColor="text1"/>
          <w:sz w:val="32"/>
          <w:szCs w:val="32"/>
        </w:rPr>
        <w:t>4</w:t>
      </w:r>
      <w:r w:rsidRPr="00B01CC1">
        <w:rPr>
          <w:rFonts w:ascii="仿宋_GB2312" w:eastAsia="仿宋_GB2312" w:hint="eastAsia"/>
          <w:color w:val="000000" w:themeColor="text1"/>
          <w:sz w:val="32"/>
          <w:szCs w:val="32"/>
        </w:rPr>
        <w:t>g（损失20%），两者绝对值不同但相对损失一致，更能客观反映耐酸能力，确保不同品种间的可比性。保留</w:t>
      </w:r>
      <w:r w:rsidR="001039E4">
        <w:rPr>
          <w:rFonts w:ascii="仿宋_GB2312" w:eastAsia="仿宋_GB2312" w:hint="eastAsia"/>
          <w:color w:val="000000" w:themeColor="text1"/>
          <w:sz w:val="32"/>
          <w:szCs w:val="32"/>
        </w:rPr>
        <w:t>4</w:t>
      </w:r>
      <w:r w:rsidRPr="00B01CC1">
        <w:rPr>
          <w:rFonts w:ascii="仿宋_GB2312" w:eastAsia="仿宋_GB2312" w:hint="eastAsia"/>
          <w:color w:val="000000" w:themeColor="text1"/>
          <w:sz w:val="32"/>
          <w:szCs w:val="32"/>
        </w:rPr>
        <w:t>位小数是为了保证数据的统计精度，避免因四舍五入导致阈值判断误差。</w:t>
      </w:r>
    </w:p>
    <w:p w14:paraId="2F99B222" w14:textId="0CC7FC4F" w:rsidR="006B3CF8" w:rsidRDefault="006B3CF8" w:rsidP="001039E4">
      <w:pPr>
        <w:spacing w:line="520" w:lineRule="exact"/>
        <w:ind w:firstLineChars="200" w:firstLine="640"/>
        <w:rPr>
          <w:rFonts w:ascii="仿宋_GB2312" w:eastAsia="仿宋_GB2312"/>
          <w:color w:val="000000" w:themeColor="text1"/>
          <w:sz w:val="32"/>
          <w:szCs w:val="32"/>
        </w:rPr>
      </w:pPr>
      <w:r>
        <w:rPr>
          <w:rFonts w:ascii="仿宋_GB2312" w:eastAsia="仿宋_GB2312"/>
          <w:color w:val="000000" w:themeColor="text1"/>
          <w:sz w:val="32"/>
          <w:szCs w:val="32"/>
        </w:rPr>
        <w:t>农科院水稻所团队</w:t>
      </w:r>
      <w:r>
        <w:rPr>
          <w:rFonts w:ascii="仿宋_GB2312" w:eastAsia="仿宋_GB2312" w:hint="eastAsia"/>
          <w:color w:val="000000" w:themeColor="text1"/>
          <w:sz w:val="32"/>
          <w:szCs w:val="32"/>
        </w:rPr>
        <w:t>开展</w:t>
      </w:r>
      <w:r>
        <w:rPr>
          <w:rFonts w:ascii="仿宋_GB2312" w:eastAsia="仿宋_GB2312"/>
          <w:color w:val="000000" w:themeColor="text1"/>
          <w:sz w:val="32"/>
          <w:szCs w:val="32"/>
        </w:rPr>
        <w:t>的水稻耐酸类型研究</w:t>
      </w:r>
      <w:r>
        <w:rPr>
          <w:rFonts w:ascii="仿宋_GB2312" w:eastAsia="仿宋_GB2312" w:hint="eastAsia"/>
          <w:color w:val="000000" w:themeColor="text1"/>
          <w:sz w:val="32"/>
          <w:szCs w:val="32"/>
        </w:rPr>
        <w:t>2024年数据</w:t>
      </w:r>
      <w:r>
        <w:rPr>
          <w:rFonts w:ascii="仿宋_GB2312" w:eastAsia="仿宋_GB2312"/>
          <w:color w:val="000000" w:themeColor="text1"/>
          <w:sz w:val="32"/>
          <w:szCs w:val="32"/>
        </w:rPr>
        <w:t>统计</w:t>
      </w:r>
      <w:r w:rsidR="00ED6C72">
        <w:rPr>
          <w:rFonts w:ascii="仿宋_GB2312" w:eastAsia="仿宋_GB2312" w:hint="eastAsia"/>
          <w:color w:val="000000" w:themeColor="text1"/>
          <w:sz w:val="32"/>
          <w:szCs w:val="32"/>
        </w:rPr>
        <w:t>表</w:t>
      </w:r>
      <w:r w:rsidR="005835AC">
        <w:rPr>
          <w:rFonts w:ascii="仿宋_GB2312" w:eastAsia="仿宋_GB2312" w:hint="eastAsia"/>
          <w:color w:val="000000" w:themeColor="text1"/>
          <w:sz w:val="32"/>
          <w:szCs w:val="32"/>
        </w:rPr>
        <w:t>见</w:t>
      </w:r>
      <w:r w:rsidR="005835AC">
        <w:rPr>
          <w:rFonts w:ascii="仿宋_GB2312" w:eastAsia="仿宋_GB2312"/>
          <w:color w:val="000000" w:themeColor="text1"/>
          <w:sz w:val="32"/>
          <w:szCs w:val="32"/>
        </w:rPr>
        <w:t>表</w:t>
      </w:r>
      <w:r w:rsidR="005835AC">
        <w:rPr>
          <w:rFonts w:ascii="仿宋_GB2312" w:eastAsia="仿宋_GB2312" w:hint="eastAsia"/>
          <w:color w:val="000000" w:themeColor="text1"/>
          <w:sz w:val="32"/>
          <w:szCs w:val="32"/>
        </w:rPr>
        <w:t>1</w:t>
      </w:r>
      <w:r w:rsidR="00ED6C72">
        <w:rPr>
          <w:rFonts w:ascii="仿宋_GB2312" w:eastAsia="仿宋_GB2312" w:hint="eastAsia"/>
          <w:color w:val="000000" w:themeColor="text1"/>
          <w:sz w:val="32"/>
          <w:szCs w:val="32"/>
        </w:rPr>
        <w:t>。</w:t>
      </w:r>
    </w:p>
    <w:p w14:paraId="6F27126D" w14:textId="65EE5E26" w:rsidR="00ED6C72" w:rsidRDefault="0096172C" w:rsidP="0096172C">
      <w:pPr>
        <w:spacing w:line="520" w:lineRule="exact"/>
        <w:jc w:val="center"/>
        <w:rPr>
          <w:rFonts w:ascii="仿宋_GB2312" w:eastAsia="仿宋_GB2312"/>
          <w:color w:val="000000" w:themeColor="text1"/>
          <w:sz w:val="32"/>
          <w:szCs w:val="32"/>
        </w:rPr>
      </w:pPr>
      <w:r>
        <w:rPr>
          <w:rFonts w:ascii="仿宋_GB2312" w:eastAsia="仿宋_GB2312" w:hint="eastAsia"/>
          <w:color w:val="000000" w:themeColor="text1"/>
          <w:sz w:val="32"/>
          <w:szCs w:val="32"/>
        </w:rPr>
        <w:t xml:space="preserve">表1  </w:t>
      </w:r>
      <w:r w:rsidRPr="0096172C">
        <w:rPr>
          <w:rFonts w:ascii="仿宋_GB2312" w:eastAsia="仿宋_GB2312"/>
          <w:color w:val="000000" w:themeColor="text1"/>
          <w:sz w:val="32"/>
          <w:szCs w:val="32"/>
        </w:rPr>
        <w:t>水稻耐酸</w:t>
      </w:r>
      <w:r>
        <w:rPr>
          <w:rFonts w:ascii="仿宋_GB2312" w:eastAsia="仿宋_GB2312" w:hint="eastAsia"/>
          <w:color w:val="000000" w:themeColor="text1"/>
          <w:sz w:val="32"/>
          <w:szCs w:val="32"/>
        </w:rPr>
        <w:t>结果</w:t>
      </w:r>
      <w:r>
        <w:rPr>
          <w:rFonts w:ascii="仿宋_GB2312" w:eastAsia="仿宋_GB2312"/>
          <w:color w:val="000000" w:themeColor="text1"/>
          <w:sz w:val="32"/>
          <w:szCs w:val="32"/>
        </w:rPr>
        <w:t>汇总</w:t>
      </w:r>
    </w:p>
    <w:tbl>
      <w:tblPr>
        <w:tblStyle w:val="aff3"/>
        <w:tblW w:w="5000" w:type="pct"/>
        <w:tblBorders>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2"/>
        <w:gridCol w:w="1094"/>
        <w:gridCol w:w="1095"/>
        <w:gridCol w:w="1093"/>
        <w:gridCol w:w="1095"/>
        <w:gridCol w:w="1417"/>
        <w:gridCol w:w="1442"/>
        <w:gridCol w:w="1644"/>
      </w:tblGrid>
      <w:tr w:rsidR="0050796A" w14:paraId="0C2FECC4" w14:textId="77777777" w:rsidTr="0034233F">
        <w:trPr>
          <w:tblHeader/>
        </w:trPr>
        <w:tc>
          <w:tcPr>
            <w:tcW w:w="361" w:type="pct"/>
            <w:vMerge w:val="restart"/>
            <w:vAlign w:val="center"/>
          </w:tcPr>
          <w:p w14:paraId="7B11D4AD" w14:textId="77777777" w:rsidR="0050796A" w:rsidRPr="00E228B1" w:rsidRDefault="0050796A" w:rsidP="00446898">
            <w:pPr>
              <w:jc w:val="center"/>
              <w:rPr>
                <w:rFonts w:ascii="仿宋_GB2312" w:eastAsia="仿宋_GB2312"/>
                <w:color w:val="000000" w:themeColor="text1"/>
                <w:sz w:val="24"/>
                <w:szCs w:val="32"/>
              </w:rPr>
            </w:pPr>
            <w:r>
              <w:rPr>
                <w:rFonts w:ascii="仿宋_GB2312" w:eastAsia="仿宋_GB2312" w:hint="eastAsia"/>
                <w:color w:val="000000" w:themeColor="text1"/>
                <w:sz w:val="24"/>
                <w:szCs w:val="32"/>
              </w:rPr>
              <w:t>编号</w:t>
            </w:r>
          </w:p>
        </w:tc>
        <w:tc>
          <w:tcPr>
            <w:tcW w:w="1143" w:type="pct"/>
            <w:gridSpan w:val="2"/>
            <w:vAlign w:val="center"/>
          </w:tcPr>
          <w:p w14:paraId="7618ED13" w14:textId="77777777" w:rsidR="0050796A" w:rsidRPr="00E228B1" w:rsidRDefault="0050796A" w:rsidP="00446898">
            <w:pPr>
              <w:jc w:val="center"/>
              <w:rPr>
                <w:rFonts w:ascii="仿宋_GB2312" w:eastAsia="仿宋_GB2312"/>
                <w:color w:val="000000" w:themeColor="text1"/>
                <w:sz w:val="24"/>
                <w:szCs w:val="32"/>
              </w:rPr>
            </w:pPr>
            <w:r w:rsidRPr="00E228B1">
              <w:rPr>
                <w:rFonts w:ascii="仿宋_GB2312" w:eastAsia="仿宋_GB2312" w:hint="eastAsia"/>
                <w:color w:val="000000" w:themeColor="text1"/>
                <w:sz w:val="24"/>
                <w:szCs w:val="32"/>
              </w:rPr>
              <w:t>最长根长cm</w:t>
            </w:r>
          </w:p>
        </w:tc>
        <w:tc>
          <w:tcPr>
            <w:tcW w:w="1143" w:type="pct"/>
            <w:gridSpan w:val="2"/>
            <w:vAlign w:val="center"/>
          </w:tcPr>
          <w:p w14:paraId="3E853CB1" w14:textId="364ED809" w:rsidR="0050796A" w:rsidRPr="00E228B1" w:rsidRDefault="0050796A" w:rsidP="00446898">
            <w:pPr>
              <w:jc w:val="center"/>
              <w:rPr>
                <w:rFonts w:ascii="仿宋_GB2312" w:eastAsia="仿宋_GB2312"/>
                <w:color w:val="000000" w:themeColor="text1"/>
                <w:sz w:val="24"/>
                <w:szCs w:val="32"/>
              </w:rPr>
            </w:pPr>
            <w:r w:rsidRPr="00E228B1">
              <w:rPr>
                <w:rFonts w:ascii="仿宋_GB2312" w:eastAsia="仿宋_GB2312" w:hint="eastAsia"/>
                <w:color w:val="000000" w:themeColor="text1"/>
                <w:sz w:val="24"/>
                <w:szCs w:val="32"/>
              </w:rPr>
              <w:t>单株</w:t>
            </w:r>
            <w:r>
              <w:rPr>
                <w:rFonts w:ascii="仿宋_GB2312" w:eastAsia="仿宋_GB2312" w:hint="eastAsia"/>
                <w:color w:val="000000" w:themeColor="text1"/>
                <w:sz w:val="24"/>
                <w:szCs w:val="32"/>
              </w:rPr>
              <w:t>总</w:t>
            </w:r>
            <w:r w:rsidRPr="00E228B1">
              <w:rPr>
                <w:rFonts w:ascii="仿宋_GB2312" w:eastAsia="仿宋_GB2312" w:hint="eastAsia"/>
                <w:color w:val="000000" w:themeColor="text1"/>
                <w:sz w:val="24"/>
                <w:szCs w:val="32"/>
              </w:rPr>
              <w:t>鲜重mg</w:t>
            </w:r>
          </w:p>
        </w:tc>
        <w:tc>
          <w:tcPr>
            <w:tcW w:w="740" w:type="pct"/>
            <w:vMerge w:val="restart"/>
            <w:vAlign w:val="center"/>
          </w:tcPr>
          <w:p w14:paraId="095FC90E" w14:textId="77777777" w:rsidR="0050796A" w:rsidRPr="00E228B1" w:rsidRDefault="0050796A" w:rsidP="00446898">
            <w:pPr>
              <w:jc w:val="center"/>
              <w:rPr>
                <w:rFonts w:ascii="仿宋_GB2312" w:eastAsia="仿宋_GB2312"/>
                <w:color w:val="000000" w:themeColor="text1"/>
                <w:sz w:val="24"/>
                <w:szCs w:val="32"/>
              </w:rPr>
            </w:pPr>
            <w:r w:rsidRPr="00E228B1">
              <w:rPr>
                <w:rFonts w:ascii="仿宋_GB2312" w:eastAsia="仿宋_GB2312" w:hint="eastAsia"/>
                <w:color w:val="000000" w:themeColor="text1"/>
                <w:sz w:val="24"/>
                <w:szCs w:val="32"/>
              </w:rPr>
              <w:t>相对根长伸长量</w:t>
            </w:r>
            <w:r w:rsidRPr="009209E2">
              <w:rPr>
                <w:rFonts w:ascii="仿宋_GB2312" w:eastAsia="仿宋_GB2312"/>
                <w:i/>
                <w:color w:val="000000" w:themeColor="text1"/>
                <w:sz w:val="24"/>
                <w:szCs w:val="32"/>
              </w:rPr>
              <w:t>L</w:t>
            </w:r>
            <w:r w:rsidRPr="009209E2">
              <w:rPr>
                <w:rFonts w:ascii="仿宋_GB2312" w:eastAsia="仿宋_GB2312" w:hint="eastAsia"/>
                <w:color w:val="000000" w:themeColor="text1"/>
                <w:sz w:val="24"/>
                <w:szCs w:val="32"/>
                <w:vertAlign w:val="subscript"/>
              </w:rPr>
              <w:t>E</w:t>
            </w:r>
          </w:p>
        </w:tc>
        <w:tc>
          <w:tcPr>
            <w:tcW w:w="753" w:type="pct"/>
            <w:vMerge w:val="restart"/>
            <w:vAlign w:val="center"/>
          </w:tcPr>
          <w:p w14:paraId="3AB0CEF1" w14:textId="04CF3FDD" w:rsidR="0050796A" w:rsidRPr="00E228B1" w:rsidRDefault="0050796A" w:rsidP="00446898">
            <w:pPr>
              <w:jc w:val="center"/>
              <w:rPr>
                <w:rFonts w:ascii="仿宋_GB2312" w:eastAsia="仿宋_GB2312"/>
                <w:color w:val="000000" w:themeColor="text1"/>
                <w:sz w:val="24"/>
                <w:szCs w:val="32"/>
              </w:rPr>
            </w:pPr>
            <w:r w:rsidRPr="00E228B1">
              <w:rPr>
                <w:rFonts w:ascii="仿宋_GB2312" w:eastAsia="仿宋_GB2312" w:hint="eastAsia"/>
                <w:color w:val="000000" w:themeColor="text1"/>
                <w:sz w:val="24"/>
                <w:szCs w:val="32"/>
              </w:rPr>
              <w:t>相对</w:t>
            </w:r>
            <w:r>
              <w:rPr>
                <w:rFonts w:ascii="仿宋_GB2312" w:eastAsia="仿宋_GB2312" w:hint="eastAsia"/>
                <w:color w:val="000000" w:themeColor="text1"/>
                <w:sz w:val="24"/>
                <w:szCs w:val="32"/>
              </w:rPr>
              <w:t>总</w:t>
            </w:r>
            <w:r w:rsidRPr="00E228B1">
              <w:rPr>
                <w:rFonts w:ascii="仿宋_GB2312" w:eastAsia="仿宋_GB2312" w:hint="eastAsia"/>
                <w:color w:val="000000" w:themeColor="text1"/>
                <w:sz w:val="24"/>
                <w:szCs w:val="32"/>
              </w:rPr>
              <w:t>鲜重</w:t>
            </w:r>
            <w:r w:rsidRPr="009209E2">
              <w:rPr>
                <w:rFonts w:ascii="仿宋_GB2312" w:eastAsia="仿宋_GB2312" w:hint="eastAsia"/>
                <w:i/>
                <w:color w:val="000000" w:themeColor="text1"/>
                <w:sz w:val="24"/>
                <w:szCs w:val="32"/>
              </w:rPr>
              <w:t>W</w:t>
            </w:r>
            <w:r w:rsidRPr="009209E2">
              <w:rPr>
                <w:rFonts w:ascii="仿宋_GB2312" w:eastAsia="仿宋_GB2312" w:hint="eastAsia"/>
                <w:color w:val="000000" w:themeColor="text1"/>
                <w:sz w:val="24"/>
                <w:szCs w:val="32"/>
                <w:vertAlign w:val="subscript"/>
              </w:rPr>
              <w:t>E</w:t>
            </w:r>
          </w:p>
        </w:tc>
        <w:tc>
          <w:tcPr>
            <w:tcW w:w="859" w:type="pct"/>
            <w:vMerge w:val="restart"/>
            <w:vAlign w:val="center"/>
          </w:tcPr>
          <w:p w14:paraId="5DFDE2A6" w14:textId="77777777" w:rsidR="0050796A" w:rsidRDefault="0050796A" w:rsidP="00446898">
            <w:pPr>
              <w:jc w:val="center"/>
              <w:rPr>
                <w:rFonts w:ascii="仿宋_GB2312" w:eastAsia="仿宋_GB2312"/>
                <w:color w:val="000000" w:themeColor="text1"/>
                <w:sz w:val="24"/>
                <w:szCs w:val="32"/>
              </w:rPr>
            </w:pPr>
            <w:r w:rsidRPr="00E228B1">
              <w:rPr>
                <w:rFonts w:ascii="仿宋_GB2312" w:eastAsia="仿宋_GB2312" w:hint="eastAsia"/>
                <w:color w:val="000000" w:themeColor="text1"/>
                <w:sz w:val="24"/>
                <w:szCs w:val="32"/>
              </w:rPr>
              <w:t>综合耐酸指数</w:t>
            </w:r>
          </w:p>
          <w:p w14:paraId="2BFFB783" w14:textId="580323C8" w:rsidR="0050796A" w:rsidRPr="00ED6C72" w:rsidRDefault="0050796A" w:rsidP="00446898">
            <w:pPr>
              <w:jc w:val="center"/>
              <w:rPr>
                <w:rFonts w:ascii="仿宋_GB2312" w:eastAsia="仿宋_GB2312"/>
                <w:color w:val="000000" w:themeColor="text1"/>
                <w:sz w:val="24"/>
                <w:szCs w:val="32"/>
              </w:rPr>
            </w:pPr>
            <w:r w:rsidRPr="00ED6C72">
              <w:rPr>
                <w:rFonts w:ascii="仿宋_GB2312" w:eastAsia="仿宋_GB2312"/>
                <w:i/>
                <w:color w:val="000000" w:themeColor="text1"/>
                <w:sz w:val="24"/>
                <w:szCs w:val="32"/>
              </w:rPr>
              <w:t>L</w:t>
            </w:r>
            <w:r w:rsidRPr="00ED6C72">
              <w:rPr>
                <w:rFonts w:ascii="仿宋_GB2312" w:eastAsia="仿宋_GB2312" w:hint="eastAsia"/>
                <w:color w:val="000000" w:themeColor="text1"/>
                <w:sz w:val="24"/>
                <w:szCs w:val="32"/>
                <w:vertAlign w:val="subscript"/>
              </w:rPr>
              <w:t>E</w:t>
            </w:r>
            <w:r w:rsidRPr="00ED6C72">
              <w:rPr>
                <w:rFonts w:ascii="仿宋_GB2312" w:eastAsia="仿宋_GB2312"/>
                <w:color w:val="000000" w:themeColor="text1"/>
                <w:sz w:val="24"/>
                <w:szCs w:val="32"/>
              </w:rPr>
              <w:t>+</w:t>
            </w:r>
            <w:r w:rsidRPr="00ED6C72">
              <w:rPr>
                <w:rFonts w:ascii="仿宋_GB2312" w:eastAsia="仿宋_GB2312" w:hint="eastAsia"/>
                <w:i/>
                <w:color w:val="000000" w:themeColor="text1"/>
                <w:sz w:val="24"/>
                <w:szCs w:val="32"/>
              </w:rPr>
              <w:t>W</w:t>
            </w:r>
            <w:r w:rsidRPr="00ED6C72">
              <w:rPr>
                <w:rFonts w:ascii="仿宋_GB2312" w:eastAsia="仿宋_GB2312" w:hint="eastAsia"/>
                <w:color w:val="000000" w:themeColor="text1"/>
                <w:sz w:val="24"/>
                <w:szCs w:val="32"/>
                <w:vertAlign w:val="subscript"/>
              </w:rPr>
              <w:t>E</w:t>
            </w:r>
          </w:p>
        </w:tc>
      </w:tr>
      <w:tr w:rsidR="0050796A" w14:paraId="4A9F8FAD" w14:textId="77777777" w:rsidTr="0034233F">
        <w:trPr>
          <w:tblHeader/>
        </w:trPr>
        <w:tc>
          <w:tcPr>
            <w:tcW w:w="361" w:type="pct"/>
            <w:vMerge/>
            <w:vAlign w:val="center"/>
          </w:tcPr>
          <w:p w14:paraId="259ADC51" w14:textId="77777777" w:rsidR="0050796A" w:rsidRDefault="0050796A" w:rsidP="00446898">
            <w:pPr>
              <w:jc w:val="center"/>
              <w:rPr>
                <w:rFonts w:ascii="仿宋_GB2312" w:eastAsia="仿宋_GB2312"/>
                <w:color w:val="000000" w:themeColor="text1"/>
                <w:sz w:val="32"/>
                <w:szCs w:val="32"/>
              </w:rPr>
            </w:pPr>
          </w:p>
        </w:tc>
        <w:tc>
          <w:tcPr>
            <w:tcW w:w="571" w:type="pct"/>
            <w:vAlign w:val="center"/>
          </w:tcPr>
          <w:p w14:paraId="4102E359" w14:textId="77777777" w:rsidR="0050796A" w:rsidRDefault="0050796A" w:rsidP="00446898">
            <w:pPr>
              <w:jc w:val="center"/>
              <w:rPr>
                <w:rFonts w:ascii="仿宋_GB2312" w:eastAsia="仿宋_GB2312"/>
                <w:color w:val="000000" w:themeColor="text1"/>
                <w:sz w:val="22"/>
                <w:szCs w:val="32"/>
              </w:rPr>
            </w:pPr>
            <w:r>
              <w:rPr>
                <w:rFonts w:ascii="仿宋_GB2312" w:eastAsia="仿宋_GB2312"/>
                <w:color w:val="000000" w:themeColor="text1"/>
                <w:sz w:val="22"/>
                <w:szCs w:val="32"/>
              </w:rPr>
              <w:t>pH</w:t>
            </w:r>
          </w:p>
          <w:p w14:paraId="26D89198" w14:textId="77777777" w:rsidR="0050796A" w:rsidRPr="00EA7EDC" w:rsidRDefault="0050796A" w:rsidP="00446898">
            <w:pPr>
              <w:jc w:val="center"/>
              <w:rPr>
                <w:rFonts w:ascii="仿宋_GB2312" w:eastAsia="仿宋_GB2312"/>
                <w:color w:val="000000" w:themeColor="text1"/>
                <w:sz w:val="22"/>
                <w:szCs w:val="32"/>
              </w:rPr>
            </w:pPr>
            <w:r>
              <w:rPr>
                <w:rFonts w:ascii="仿宋_GB2312" w:eastAsia="仿宋_GB2312" w:hint="eastAsia"/>
                <w:color w:val="000000" w:themeColor="text1"/>
                <w:sz w:val="22"/>
                <w:szCs w:val="32"/>
              </w:rPr>
              <w:t>3.5</w:t>
            </w:r>
          </w:p>
        </w:tc>
        <w:tc>
          <w:tcPr>
            <w:tcW w:w="572" w:type="pct"/>
            <w:vAlign w:val="center"/>
          </w:tcPr>
          <w:p w14:paraId="12795C3C" w14:textId="455E3222" w:rsidR="0050796A" w:rsidRDefault="0050796A" w:rsidP="00446898">
            <w:pPr>
              <w:jc w:val="center"/>
              <w:rPr>
                <w:rFonts w:ascii="仿宋_GB2312" w:eastAsia="仿宋_GB2312"/>
                <w:color w:val="000000" w:themeColor="text1"/>
                <w:sz w:val="22"/>
                <w:szCs w:val="32"/>
              </w:rPr>
            </w:pPr>
            <w:r w:rsidRPr="00EA7EDC">
              <w:rPr>
                <w:rFonts w:ascii="仿宋_GB2312" w:eastAsia="仿宋_GB2312"/>
                <w:color w:val="000000" w:themeColor="text1"/>
                <w:sz w:val="22"/>
                <w:szCs w:val="32"/>
              </w:rPr>
              <w:t>pH</w:t>
            </w:r>
          </w:p>
          <w:p w14:paraId="5D5639E7" w14:textId="24B6C391" w:rsidR="0050796A" w:rsidRPr="00EA7EDC" w:rsidRDefault="0050796A" w:rsidP="00446898">
            <w:pPr>
              <w:jc w:val="center"/>
              <w:rPr>
                <w:rFonts w:ascii="仿宋_GB2312" w:eastAsia="仿宋_GB2312"/>
                <w:color w:val="000000" w:themeColor="text1"/>
                <w:sz w:val="22"/>
                <w:szCs w:val="32"/>
              </w:rPr>
            </w:pPr>
            <w:r>
              <w:rPr>
                <w:rFonts w:ascii="仿宋_GB2312" w:eastAsia="仿宋_GB2312" w:hint="eastAsia"/>
                <w:color w:val="000000" w:themeColor="text1"/>
                <w:sz w:val="22"/>
                <w:szCs w:val="32"/>
              </w:rPr>
              <w:t>6.0</w:t>
            </w:r>
          </w:p>
        </w:tc>
        <w:tc>
          <w:tcPr>
            <w:tcW w:w="571" w:type="pct"/>
            <w:vAlign w:val="center"/>
          </w:tcPr>
          <w:p w14:paraId="478FC3C2" w14:textId="77777777" w:rsidR="0050796A" w:rsidRDefault="0050796A" w:rsidP="00446898">
            <w:pPr>
              <w:jc w:val="center"/>
              <w:rPr>
                <w:rFonts w:ascii="仿宋_GB2312" w:eastAsia="仿宋_GB2312"/>
                <w:color w:val="000000" w:themeColor="text1"/>
                <w:sz w:val="22"/>
                <w:szCs w:val="32"/>
              </w:rPr>
            </w:pPr>
            <w:r>
              <w:rPr>
                <w:rFonts w:ascii="仿宋_GB2312" w:eastAsia="仿宋_GB2312"/>
                <w:color w:val="000000" w:themeColor="text1"/>
                <w:sz w:val="22"/>
                <w:szCs w:val="32"/>
              </w:rPr>
              <w:t>pH</w:t>
            </w:r>
          </w:p>
          <w:p w14:paraId="7155CEED" w14:textId="77777777" w:rsidR="0050796A" w:rsidRPr="00EA7EDC" w:rsidRDefault="0050796A" w:rsidP="00446898">
            <w:pPr>
              <w:jc w:val="center"/>
              <w:rPr>
                <w:rFonts w:ascii="仿宋_GB2312" w:eastAsia="仿宋_GB2312"/>
                <w:color w:val="000000" w:themeColor="text1"/>
                <w:sz w:val="22"/>
                <w:szCs w:val="32"/>
              </w:rPr>
            </w:pPr>
            <w:r>
              <w:rPr>
                <w:rFonts w:ascii="仿宋_GB2312" w:eastAsia="仿宋_GB2312" w:hint="eastAsia"/>
                <w:color w:val="000000" w:themeColor="text1"/>
                <w:sz w:val="22"/>
                <w:szCs w:val="32"/>
              </w:rPr>
              <w:t>3.5</w:t>
            </w:r>
          </w:p>
        </w:tc>
        <w:tc>
          <w:tcPr>
            <w:tcW w:w="572" w:type="pct"/>
            <w:vAlign w:val="center"/>
          </w:tcPr>
          <w:p w14:paraId="5D7E0107" w14:textId="49B61659" w:rsidR="0050796A" w:rsidRDefault="0050796A" w:rsidP="00446898">
            <w:pPr>
              <w:jc w:val="center"/>
              <w:rPr>
                <w:rFonts w:ascii="仿宋_GB2312" w:eastAsia="仿宋_GB2312"/>
                <w:color w:val="000000" w:themeColor="text1"/>
                <w:sz w:val="22"/>
                <w:szCs w:val="32"/>
              </w:rPr>
            </w:pPr>
            <w:r w:rsidRPr="00EA7EDC">
              <w:rPr>
                <w:rFonts w:ascii="仿宋_GB2312" w:eastAsia="仿宋_GB2312"/>
                <w:color w:val="000000" w:themeColor="text1"/>
                <w:sz w:val="22"/>
                <w:szCs w:val="32"/>
              </w:rPr>
              <w:t>pH</w:t>
            </w:r>
          </w:p>
          <w:p w14:paraId="03F0580E" w14:textId="07EE56A1" w:rsidR="0050796A" w:rsidRPr="00EA7EDC" w:rsidRDefault="0050796A" w:rsidP="00446898">
            <w:pPr>
              <w:jc w:val="center"/>
              <w:rPr>
                <w:rFonts w:ascii="仿宋_GB2312" w:eastAsia="仿宋_GB2312"/>
                <w:color w:val="000000" w:themeColor="text1"/>
                <w:sz w:val="22"/>
                <w:szCs w:val="32"/>
              </w:rPr>
            </w:pPr>
            <w:r>
              <w:rPr>
                <w:rFonts w:ascii="仿宋_GB2312" w:eastAsia="仿宋_GB2312" w:hint="eastAsia"/>
                <w:color w:val="000000" w:themeColor="text1"/>
                <w:sz w:val="22"/>
                <w:szCs w:val="32"/>
              </w:rPr>
              <w:t>6.0</w:t>
            </w:r>
          </w:p>
        </w:tc>
        <w:tc>
          <w:tcPr>
            <w:tcW w:w="740" w:type="pct"/>
            <w:vMerge/>
            <w:vAlign w:val="center"/>
          </w:tcPr>
          <w:p w14:paraId="7D2B1A76" w14:textId="77777777" w:rsidR="0050796A" w:rsidRPr="00EA7EDC" w:rsidRDefault="0050796A" w:rsidP="00446898">
            <w:pPr>
              <w:jc w:val="center"/>
              <w:rPr>
                <w:rFonts w:ascii="仿宋_GB2312" w:eastAsia="仿宋_GB2312"/>
                <w:color w:val="000000" w:themeColor="text1"/>
                <w:sz w:val="22"/>
                <w:szCs w:val="32"/>
              </w:rPr>
            </w:pPr>
          </w:p>
        </w:tc>
        <w:tc>
          <w:tcPr>
            <w:tcW w:w="753" w:type="pct"/>
            <w:vMerge/>
            <w:vAlign w:val="center"/>
          </w:tcPr>
          <w:p w14:paraId="79A3281C" w14:textId="77777777" w:rsidR="0050796A" w:rsidRPr="00EA7EDC" w:rsidRDefault="0050796A" w:rsidP="00446898">
            <w:pPr>
              <w:jc w:val="center"/>
              <w:rPr>
                <w:rFonts w:ascii="仿宋_GB2312" w:eastAsia="仿宋_GB2312"/>
                <w:color w:val="000000" w:themeColor="text1"/>
                <w:sz w:val="22"/>
                <w:szCs w:val="32"/>
              </w:rPr>
            </w:pPr>
          </w:p>
        </w:tc>
        <w:tc>
          <w:tcPr>
            <w:tcW w:w="859" w:type="pct"/>
            <w:vMerge/>
            <w:vAlign w:val="center"/>
          </w:tcPr>
          <w:p w14:paraId="0346B522" w14:textId="77777777" w:rsidR="0050796A" w:rsidRPr="00EA7EDC" w:rsidRDefault="0050796A" w:rsidP="00446898">
            <w:pPr>
              <w:jc w:val="center"/>
              <w:rPr>
                <w:rFonts w:ascii="仿宋_GB2312" w:eastAsia="仿宋_GB2312"/>
                <w:color w:val="000000" w:themeColor="text1"/>
                <w:sz w:val="22"/>
                <w:szCs w:val="32"/>
              </w:rPr>
            </w:pPr>
          </w:p>
        </w:tc>
      </w:tr>
      <w:tr w:rsidR="00446898" w14:paraId="0382DA00" w14:textId="77777777" w:rsidTr="00446898">
        <w:tc>
          <w:tcPr>
            <w:tcW w:w="361" w:type="pct"/>
            <w:vAlign w:val="center"/>
          </w:tcPr>
          <w:p w14:paraId="6657ADC6"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4CB2722D" w14:textId="77777777" w:rsidR="00446898" w:rsidRPr="00EA7EDC" w:rsidRDefault="00446898" w:rsidP="00446898">
            <w:pPr>
              <w:jc w:val="center"/>
              <w:rPr>
                <w:rFonts w:ascii="仿宋_GB2312" w:eastAsia="仿宋_GB2312"/>
                <w:color w:val="000000" w:themeColor="text1"/>
                <w:sz w:val="22"/>
                <w:szCs w:val="32"/>
              </w:rPr>
            </w:pPr>
            <w:r w:rsidRPr="00EA7EDC">
              <w:rPr>
                <w:rFonts w:ascii="仿宋_GB2312" w:eastAsia="仿宋_GB2312"/>
                <w:color w:val="000000" w:themeColor="text1"/>
                <w:sz w:val="22"/>
                <w:szCs w:val="32"/>
              </w:rPr>
              <w:t>2.78</w:t>
            </w:r>
          </w:p>
        </w:tc>
        <w:tc>
          <w:tcPr>
            <w:tcW w:w="572" w:type="pct"/>
            <w:vAlign w:val="center"/>
          </w:tcPr>
          <w:p w14:paraId="74D2FBBD" w14:textId="77777777" w:rsidR="00446898" w:rsidRPr="00EA7EDC" w:rsidRDefault="00446898" w:rsidP="00446898">
            <w:pPr>
              <w:jc w:val="center"/>
              <w:rPr>
                <w:rFonts w:ascii="仿宋_GB2312" w:eastAsia="仿宋_GB2312"/>
                <w:color w:val="000000" w:themeColor="text1"/>
                <w:sz w:val="22"/>
                <w:szCs w:val="32"/>
              </w:rPr>
            </w:pPr>
            <w:r w:rsidRPr="00EA7EDC">
              <w:rPr>
                <w:rFonts w:ascii="仿宋_GB2312" w:eastAsia="仿宋_GB2312"/>
                <w:color w:val="000000" w:themeColor="text1"/>
                <w:sz w:val="22"/>
                <w:szCs w:val="32"/>
              </w:rPr>
              <w:t>9.34</w:t>
            </w:r>
          </w:p>
        </w:tc>
        <w:tc>
          <w:tcPr>
            <w:tcW w:w="571" w:type="pct"/>
            <w:vAlign w:val="center"/>
          </w:tcPr>
          <w:p w14:paraId="69EED519" w14:textId="69841F8F" w:rsidR="00446898" w:rsidRPr="00EA7EDC"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128.70</w:t>
            </w:r>
          </w:p>
        </w:tc>
        <w:tc>
          <w:tcPr>
            <w:tcW w:w="572" w:type="pct"/>
            <w:vAlign w:val="center"/>
          </w:tcPr>
          <w:p w14:paraId="0A720E28" w14:textId="0CBB98E1" w:rsidR="00446898" w:rsidRPr="00EA7EDC"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216.10</w:t>
            </w:r>
          </w:p>
        </w:tc>
        <w:tc>
          <w:tcPr>
            <w:tcW w:w="740" w:type="pct"/>
            <w:vAlign w:val="center"/>
          </w:tcPr>
          <w:p w14:paraId="1DA813F5" w14:textId="77777777" w:rsidR="00446898" w:rsidRPr="00EA7EDC" w:rsidRDefault="00446898" w:rsidP="00446898">
            <w:pPr>
              <w:jc w:val="center"/>
              <w:rPr>
                <w:rFonts w:ascii="仿宋_GB2312" w:eastAsia="仿宋_GB2312"/>
                <w:color w:val="000000" w:themeColor="text1"/>
                <w:sz w:val="22"/>
                <w:szCs w:val="32"/>
              </w:rPr>
            </w:pPr>
            <w:r w:rsidRPr="00EA7EDC">
              <w:rPr>
                <w:rFonts w:ascii="仿宋_GB2312" w:eastAsia="仿宋_GB2312"/>
                <w:color w:val="000000" w:themeColor="text1"/>
                <w:sz w:val="22"/>
                <w:szCs w:val="32"/>
              </w:rPr>
              <w:t>-70.24</w:t>
            </w:r>
          </w:p>
        </w:tc>
        <w:tc>
          <w:tcPr>
            <w:tcW w:w="753" w:type="pct"/>
            <w:vAlign w:val="center"/>
          </w:tcPr>
          <w:p w14:paraId="541271FF" w14:textId="13E4A0BF" w:rsidR="00446898" w:rsidRPr="00EA7EDC"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-40.44</w:t>
            </w:r>
          </w:p>
        </w:tc>
        <w:tc>
          <w:tcPr>
            <w:tcW w:w="859" w:type="pct"/>
            <w:vAlign w:val="center"/>
          </w:tcPr>
          <w:p w14:paraId="62AC353A" w14:textId="44F76AEC" w:rsidR="00446898" w:rsidRPr="00EA7EDC"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-110.68</w:t>
            </w:r>
          </w:p>
        </w:tc>
      </w:tr>
      <w:tr w:rsidR="00446898" w14:paraId="5139995D" w14:textId="77777777" w:rsidTr="00446898">
        <w:tc>
          <w:tcPr>
            <w:tcW w:w="361" w:type="pct"/>
            <w:vAlign w:val="center"/>
          </w:tcPr>
          <w:p w14:paraId="4DF1E301"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539E6F42" w14:textId="62CDA7AA"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3.59</w:t>
            </w:r>
          </w:p>
        </w:tc>
        <w:tc>
          <w:tcPr>
            <w:tcW w:w="572" w:type="pct"/>
            <w:vAlign w:val="center"/>
          </w:tcPr>
          <w:p w14:paraId="001F2546" w14:textId="06A60CFD"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9.83</w:t>
            </w:r>
          </w:p>
        </w:tc>
        <w:tc>
          <w:tcPr>
            <w:tcW w:w="571" w:type="pct"/>
            <w:vAlign w:val="center"/>
          </w:tcPr>
          <w:p w14:paraId="48906D6C" w14:textId="2B4CEC6D"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181.40</w:t>
            </w:r>
          </w:p>
        </w:tc>
        <w:tc>
          <w:tcPr>
            <w:tcW w:w="572" w:type="pct"/>
            <w:vAlign w:val="center"/>
          </w:tcPr>
          <w:p w14:paraId="67C2B33B" w14:textId="4116D303"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235.20</w:t>
            </w:r>
          </w:p>
        </w:tc>
        <w:tc>
          <w:tcPr>
            <w:tcW w:w="740" w:type="pct"/>
            <w:vAlign w:val="center"/>
          </w:tcPr>
          <w:p w14:paraId="5885FC67" w14:textId="23A9E386"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hint="eastAsia"/>
                <w:color w:val="000000" w:themeColor="text1"/>
                <w:sz w:val="22"/>
                <w:szCs w:val="32"/>
              </w:rPr>
              <w:t>-63.48</w:t>
            </w:r>
          </w:p>
        </w:tc>
        <w:tc>
          <w:tcPr>
            <w:tcW w:w="753" w:type="pct"/>
            <w:vAlign w:val="center"/>
          </w:tcPr>
          <w:p w14:paraId="2730ECC9" w14:textId="478A3F74"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-22.87</w:t>
            </w:r>
          </w:p>
        </w:tc>
        <w:tc>
          <w:tcPr>
            <w:tcW w:w="859" w:type="pct"/>
            <w:vAlign w:val="center"/>
          </w:tcPr>
          <w:p w14:paraId="1AF8AE0B" w14:textId="1DB132B0"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-86.35</w:t>
            </w:r>
          </w:p>
        </w:tc>
      </w:tr>
      <w:tr w:rsidR="00446898" w14:paraId="32457574" w14:textId="77777777" w:rsidTr="00446898">
        <w:tc>
          <w:tcPr>
            <w:tcW w:w="361" w:type="pct"/>
            <w:vAlign w:val="center"/>
          </w:tcPr>
          <w:p w14:paraId="29BD558F"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5F882172" w14:textId="31F252D8"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2.97</w:t>
            </w:r>
          </w:p>
        </w:tc>
        <w:tc>
          <w:tcPr>
            <w:tcW w:w="572" w:type="pct"/>
            <w:vAlign w:val="center"/>
          </w:tcPr>
          <w:p w14:paraId="0477EBBC" w14:textId="3860F831"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9.78</w:t>
            </w:r>
          </w:p>
        </w:tc>
        <w:tc>
          <w:tcPr>
            <w:tcW w:w="571" w:type="pct"/>
            <w:vAlign w:val="center"/>
          </w:tcPr>
          <w:p w14:paraId="4B946F73" w14:textId="7B1E53D4"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119.80</w:t>
            </w:r>
          </w:p>
        </w:tc>
        <w:tc>
          <w:tcPr>
            <w:tcW w:w="572" w:type="pct"/>
            <w:vAlign w:val="center"/>
          </w:tcPr>
          <w:p w14:paraId="1884732F" w14:textId="5582D8A9"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246.60</w:t>
            </w:r>
          </w:p>
        </w:tc>
        <w:tc>
          <w:tcPr>
            <w:tcW w:w="740" w:type="pct"/>
            <w:vAlign w:val="center"/>
          </w:tcPr>
          <w:p w14:paraId="35C0E347" w14:textId="17BEB3EC"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hint="eastAsia"/>
                <w:color w:val="000000" w:themeColor="text1"/>
                <w:sz w:val="22"/>
                <w:szCs w:val="32"/>
              </w:rPr>
              <w:t>-69.63</w:t>
            </w:r>
          </w:p>
        </w:tc>
        <w:tc>
          <w:tcPr>
            <w:tcW w:w="753" w:type="pct"/>
            <w:vAlign w:val="center"/>
          </w:tcPr>
          <w:p w14:paraId="43DBE8B8" w14:textId="0A092720"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-51.42</w:t>
            </w:r>
          </w:p>
        </w:tc>
        <w:tc>
          <w:tcPr>
            <w:tcW w:w="859" w:type="pct"/>
            <w:vAlign w:val="center"/>
          </w:tcPr>
          <w:p w14:paraId="667BB116" w14:textId="1C2EA78E"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-121.05</w:t>
            </w:r>
          </w:p>
        </w:tc>
      </w:tr>
      <w:tr w:rsidR="00446898" w14:paraId="6F977452" w14:textId="77777777" w:rsidTr="00446898">
        <w:tc>
          <w:tcPr>
            <w:tcW w:w="361" w:type="pct"/>
            <w:vAlign w:val="center"/>
          </w:tcPr>
          <w:p w14:paraId="2DB7C287"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7DAE7148" w14:textId="44DEBD84"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2.87</w:t>
            </w:r>
          </w:p>
        </w:tc>
        <w:tc>
          <w:tcPr>
            <w:tcW w:w="572" w:type="pct"/>
            <w:vAlign w:val="center"/>
          </w:tcPr>
          <w:p w14:paraId="283CD8DC" w14:textId="30193D02"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8.10</w:t>
            </w:r>
          </w:p>
        </w:tc>
        <w:tc>
          <w:tcPr>
            <w:tcW w:w="571" w:type="pct"/>
            <w:vAlign w:val="center"/>
          </w:tcPr>
          <w:p w14:paraId="28ADFE58" w14:textId="53463737"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164.00</w:t>
            </w:r>
          </w:p>
        </w:tc>
        <w:tc>
          <w:tcPr>
            <w:tcW w:w="572" w:type="pct"/>
            <w:vAlign w:val="center"/>
          </w:tcPr>
          <w:p w14:paraId="36034877" w14:textId="47C10961"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205.80</w:t>
            </w:r>
          </w:p>
        </w:tc>
        <w:tc>
          <w:tcPr>
            <w:tcW w:w="740" w:type="pct"/>
            <w:vAlign w:val="center"/>
          </w:tcPr>
          <w:p w14:paraId="32FDCEC6" w14:textId="5391A441"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hint="eastAsia"/>
                <w:color w:val="000000" w:themeColor="text1"/>
                <w:sz w:val="22"/>
                <w:szCs w:val="32"/>
              </w:rPr>
              <w:t>-64.57</w:t>
            </w:r>
          </w:p>
        </w:tc>
        <w:tc>
          <w:tcPr>
            <w:tcW w:w="753" w:type="pct"/>
            <w:vAlign w:val="center"/>
          </w:tcPr>
          <w:p w14:paraId="4DF24D88" w14:textId="15573F89"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-20.31</w:t>
            </w:r>
          </w:p>
        </w:tc>
        <w:tc>
          <w:tcPr>
            <w:tcW w:w="859" w:type="pct"/>
            <w:vAlign w:val="center"/>
          </w:tcPr>
          <w:p w14:paraId="63953ECF" w14:textId="4F2D3027"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-84.88</w:t>
            </w:r>
          </w:p>
        </w:tc>
      </w:tr>
      <w:tr w:rsidR="00446898" w14:paraId="583FC05C" w14:textId="77777777" w:rsidTr="00446898">
        <w:tc>
          <w:tcPr>
            <w:tcW w:w="361" w:type="pct"/>
            <w:vAlign w:val="center"/>
          </w:tcPr>
          <w:p w14:paraId="205667ED"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2DDDA592" w14:textId="139D29A7"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4.26</w:t>
            </w:r>
          </w:p>
        </w:tc>
        <w:tc>
          <w:tcPr>
            <w:tcW w:w="572" w:type="pct"/>
            <w:vAlign w:val="center"/>
          </w:tcPr>
          <w:p w14:paraId="2B25ADE7" w14:textId="0F53AB36"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9.83</w:t>
            </w:r>
          </w:p>
        </w:tc>
        <w:tc>
          <w:tcPr>
            <w:tcW w:w="571" w:type="pct"/>
            <w:vAlign w:val="center"/>
          </w:tcPr>
          <w:p w14:paraId="2BB0D479" w14:textId="17DBEB4B"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159.10</w:t>
            </w:r>
          </w:p>
        </w:tc>
        <w:tc>
          <w:tcPr>
            <w:tcW w:w="572" w:type="pct"/>
            <w:vAlign w:val="center"/>
          </w:tcPr>
          <w:p w14:paraId="39D3DF5A" w14:textId="6ADE6A52"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233.30</w:t>
            </w:r>
          </w:p>
        </w:tc>
        <w:tc>
          <w:tcPr>
            <w:tcW w:w="740" w:type="pct"/>
            <w:vAlign w:val="center"/>
          </w:tcPr>
          <w:p w14:paraId="6838F2C9" w14:textId="71A1AFF7"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hint="eastAsia"/>
                <w:color w:val="000000" w:themeColor="text1"/>
                <w:sz w:val="22"/>
                <w:szCs w:val="32"/>
              </w:rPr>
              <w:t>-56.64</w:t>
            </w:r>
          </w:p>
        </w:tc>
        <w:tc>
          <w:tcPr>
            <w:tcW w:w="753" w:type="pct"/>
            <w:vAlign w:val="center"/>
          </w:tcPr>
          <w:p w14:paraId="6BC6F178" w14:textId="62E89163"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-31.80</w:t>
            </w:r>
          </w:p>
        </w:tc>
        <w:tc>
          <w:tcPr>
            <w:tcW w:w="859" w:type="pct"/>
            <w:vAlign w:val="center"/>
          </w:tcPr>
          <w:p w14:paraId="4A2A6A60" w14:textId="0F1E6A25"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-88.45</w:t>
            </w:r>
          </w:p>
        </w:tc>
      </w:tr>
      <w:tr w:rsidR="00446898" w14:paraId="19D8A920" w14:textId="77777777" w:rsidTr="00446898">
        <w:tc>
          <w:tcPr>
            <w:tcW w:w="361" w:type="pct"/>
            <w:vAlign w:val="center"/>
          </w:tcPr>
          <w:p w14:paraId="20C3814F"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07447F28" w14:textId="1CDAC57E"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1.54</w:t>
            </w:r>
          </w:p>
        </w:tc>
        <w:tc>
          <w:tcPr>
            <w:tcW w:w="572" w:type="pct"/>
            <w:vAlign w:val="center"/>
          </w:tcPr>
          <w:p w14:paraId="69CED1A2" w14:textId="0FD72128"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7.15</w:t>
            </w:r>
          </w:p>
        </w:tc>
        <w:tc>
          <w:tcPr>
            <w:tcW w:w="571" w:type="pct"/>
            <w:vAlign w:val="center"/>
          </w:tcPr>
          <w:p w14:paraId="11DCDB85" w14:textId="4B1FBFB7"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80.60</w:t>
            </w:r>
          </w:p>
        </w:tc>
        <w:tc>
          <w:tcPr>
            <w:tcW w:w="572" w:type="pct"/>
            <w:vAlign w:val="center"/>
          </w:tcPr>
          <w:p w14:paraId="60DE27B9" w14:textId="1C0AB490"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154.00</w:t>
            </w:r>
          </w:p>
        </w:tc>
        <w:tc>
          <w:tcPr>
            <w:tcW w:w="740" w:type="pct"/>
            <w:vAlign w:val="center"/>
          </w:tcPr>
          <w:p w14:paraId="7CE1DF07" w14:textId="61BDAD0F"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hint="eastAsia"/>
                <w:color w:val="000000" w:themeColor="text1"/>
                <w:sz w:val="22"/>
                <w:szCs w:val="32"/>
              </w:rPr>
              <w:t>-78.46</w:t>
            </w:r>
          </w:p>
        </w:tc>
        <w:tc>
          <w:tcPr>
            <w:tcW w:w="753" w:type="pct"/>
            <w:vAlign w:val="center"/>
          </w:tcPr>
          <w:p w14:paraId="003605C9" w14:textId="44A513DB"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-47.66</w:t>
            </w:r>
          </w:p>
        </w:tc>
        <w:tc>
          <w:tcPr>
            <w:tcW w:w="859" w:type="pct"/>
            <w:vAlign w:val="center"/>
          </w:tcPr>
          <w:p w14:paraId="33889569" w14:textId="0BF7989F"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-126.12</w:t>
            </w:r>
          </w:p>
        </w:tc>
      </w:tr>
      <w:tr w:rsidR="00446898" w14:paraId="14EEADFC" w14:textId="77777777" w:rsidTr="00446898">
        <w:tc>
          <w:tcPr>
            <w:tcW w:w="361" w:type="pct"/>
            <w:vAlign w:val="center"/>
          </w:tcPr>
          <w:p w14:paraId="27DCF988"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635DA621" w14:textId="34A6B9FE"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2.50</w:t>
            </w:r>
          </w:p>
        </w:tc>
        <w:tc>
          <w:tcPr>
            <w:tcW w:w="572" w:type="pct"/>
            <w:vAlign w:val="center"/>
          </w:tcPr>
          <w:p w14:paraId="1ABB2405" w14:textId="7B3A21E2"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6.68</w:t>
            </w:r>
          </w:p>
        </w:tc>
        <w:tc>
          <w:tcPr>
            <w:tcW w:w="571" w:type="pct"/>
            <w:vAlign w:val="center"/>
          </w:tcPr>
          <w:p w14:paraId="0248F852" w14:textId="0032C86D"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90.60</w:t>
            </w:r>
          </w:p>
        </w:tc>
        <w:tc>
          <w:tcPr>
            <w:tcW w:w="572" w:type="pct"/>
            <w:vAlign w:val="center"/>
          </w:tcPr>
          <w:p w14:paraId="446B1AF6" w14:textId="373FB1AC"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139.47</w:t>
            </w:r>
          </w:p>
        </w:tc>
        <w:tc>
          <w:tcPr>
            <w:tcW w:w="740" w:type="pct"/>
            <w:vAlign w:val="center"/>
          </w:tcPr>
          <w:p w14:paraId="0A080DA4" w14:textId="218FF68B"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hint="eastAsia"/>
                <w:color w:val="000000" w:themeColor="text1"/>
                <w:sz w:val="22"/>
                <w:szCs w:val="32"/>
              </w:rPr>
              <w:t>-62.56</w:t>
            </w:r>
          </w:p>
        </w:tc>
        <w:tc>
          <w:tcPr>
            <w:tcW w:w="753" w:type="pct"/>
            <w:vAlign w:val="center"/>
          </w:tcPr>
          <w:p w14:paraId="71FFF3B0" w14:textId="2AF1F94E"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-35.04</w:t>
            </w:r>
          </w:p>
        </w:tc>
        <w:tc>
          <w:tcPr>
            <w:tcW w:w="859" w:type="pct"/>
            <w:vAlign w:val="center"/>
          </w:tcPr>
          <w:p w14:paraId="0334A01A" w14:textId="1FF5F1C4"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-97.59</w:t>
            </w:r>
          </w:p>
        </w:tc>
      </w:tr>
      <w:tr w:rsidR="00446898" w14:paraId="26663380" w14:textId="77777777" w:rsidTr="00446898">
        <w:tc>
          <w:tcPr>
            <w:tcW w:w="361" w:type="pct"/>
            <w:vAlign w:val="center"/>
          </w:tcPr>
          <w:p w14:paraId="23955A4B"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33B5AD23" w14:textId="3948AA2B"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2.53</w:t>
            </w:r>
          </w:p>
        </w:tc>
        <w:tc>
          <w:tcPr>
            <w:tcW w:w="572" w:type="pct"/>
            <w:vAlign w:val="center"/>
          </w:tcPr>
          <w:p w14:paraId="5BBFF2E7" w14:textId="33B515C7"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5.70</w:t>
            </w:r>
          </w:p>
        </w:tc>
        <w:tc>
          <w:tcPr>
            <w:tcW w:w="571" w:type="pct"/>
            <w:vAlign w:val="center"/>
          </w:tcPr>
          <w:p w14:paraId="110B871A" w14:textId="45114B2F"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60.60</w:t>
            </w:r>
          </w:p>
        </w:tc>
        <w:tc>
          <w:tcPr>
            <w:tcW w:w="572" w:type="pct"/>
            <w:vAlign w:val="center"/>
          </w:tcPr>
          <w:p w14:paraId="024AAA25" w14:textId="437E2663"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129.00</w:t>
            </w:r>
          </w:p>
        </w:tc>
        <w:tc>
          <w:tcPr>
            <w:tcW w:w="740" w:type="pct"/>
            <w:vAlign w:val="center"/>
          </w:tcPr>
          <w:p w14:paraId="6EF4E708" w14:textId="59937569"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hint="eastAsia"/>
                <w:color w:val="000000" w:themeColor="text1"/>
                <w:sz w:val="22"/>
                <w:szCs w:val="32"/>
              </w:rPr>
              <w:t>-55.56</w:t>
            </w:r>
          </w:p>
        </w:tc>
        <w:tc>
          <w:tcPr>
            <w:tcW w:w="753" w:type="pct"/>
            <w:vAlign w:val="center"/>
          </w:tcPr>
          <w:p w14:paraId="44500648" w14:textId="090C27FF"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-53.02</w:t>
            </w:r>
          </w:p>
        </w:tc>
        <w:tc>
          <w:tcPr>
            <w:tcW w:w="859" w:type="pct"/>
            <w:vAlign w:val="center"/>
          </w:tcPr>
          <w:p w14:paraId="4D0DD30B" w14:textId="326715DD"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-108.58</w:t>
            </w:r>
          </w:p>
        </w:tc>
      </w:tr>
      <w:tr w:rsidR="00446898" w14:paraId="67111CE3" w14:textId="77777777" w:rsidTr="00446898">
        <w:tc>
          <w:tcPr>
            <w:tcW w:w="361" w:type="pct"/>
            <w:vAlign w:val="center"/>
          </w:tcPr>
          <w:p w14:paraId="39D27B8F"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5ADAF06B" w14:textId="37BE89EA"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2.72</w:t>
            </w:r>
          </w:p>
        </w:tc>
        <w:tc>
          <w:tcPr>
            <w:tcW w:w="572" w:type="pct"/>
            <w:vAlign w:val="center"/>
          </w:tcPr>
          <w:p w14:paraId="1C46200D" w14:textId="23BDAC8D"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10.89</w:t>
            </w:r>
          </w:p>
        </w:tc>
        <w:tc>
          <w:tcPr>
            <w:tcW w:w="571" w:type="pct"/>
            <w:vAlign w:val="center"/>
          </w:tcPr>
          <w:p w14:paraId="613B8D3F" w14:textId="3E916F32"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123.15</w:t>
            </w:r>
          </w:p>
        </w:tc>
        <w:tc>
          <w:tcPr>
            <w:tcW w:w="572" w:type="pct"/>
            <w:vAlign w:val="center"/>
          </w:tcPr>
          <w:p w14:paraId="44A68F1D" w14:textId="6C63A010"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232.40</w:t>
            </w:r>
          </w:p>
        </w:tc>
        <w:tc>
          <w:tcPr>
            <w:tcW w:w="740" w:type="pct"/>
            <w:vAlign w:val="center"/>
          </w:tcPr>
          <w:p w14:paraId="03F4BD0F" w14:textId="450069EB"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hint="eastAsia"/>
                <w:color w:val="000000" w:themeColor="text1"/>
                <w:sz w:val="22"/>
                <w:szCs w:val="32"/>
              </w:rPr>
              <w:t>-75.05</w:t>
            </w:r>
          </w:p>
        </w:tc>
        <w:tc>
          <w:tcPr>
            <w:tcW w:w="753" w:type="pct"/>
            <w:vAlign w:val="center"/>
          </w:tcPr>
          <w:p w14:paraId="5F058FA3" w14:textId="3BEC299F"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-47.01</w:t>
            </w:r>
          </w:p>
        </w:tc>
        <w:tc>
          <w:tcPr>
            <w:tcW w:w="859" w:type="pct"/>
            <w:vAlign w:val="center"/>
          </w:tcPr>
          <w:p w14:paraId="736439FA" w14:textId="6E059D03"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-122.06</w:t>
            </w:r>
          </w:p>
        </w:tc>
      </w:tr>
      <w:tr w:rsidR="00446898" w14:paraId="0ED7F15E" w14:textId="77777777" w:rsidTr="00446898">
        <w:tc>
          <w:tcPr>
            <w:tcW w:w="361" w:type="pct"/>
            <w:vAlign w:val="center"/>
          </w:tcPr>
          <w:p w14:paraId="168E0E0E"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62BDDD8A" w14:textId="68657DA4"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2.67</w:t>
            </w:r>
          </w:p>
        </w:tc>
        <w:tc>
          <w:tcPr>
            <w:tcW w:w="572" w:type="pct"/>
            <w:vAlign w:val="center"/>
          </w:tcPr>
          <w:p w14:paraId="28E8E8A7" w14:textId="1891D8AB"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11.11</w:t>
            </w:r>
          </w:p>
        </w:tc>
        <w:tc>
          <w:tcPr>
            <w:tcW w:w="571" w:type="pct"/>
            <w:vAlign w:val="center"/>
          </w:tcPr>
          <w:p w14:paraId="0169D88B" w14:textId="2E31D4AA"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150.90</w:t>
            </w:r>
          </w:p>
        </w:tc>
        <w:tc>
          <w:tcPr>
            <w:tcW w:w="572" w:type="pct"/>
            <w:vAlign w:val="center"/>
          </w:tcPr>
          <w:p w14:paraId="54A4F196" w14:textId="48B84E9B"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301.60</w:t>
            </w:r>
          </w:p>
        </w:tc>
        <w:tc>
          <w:tcPr>
            <w:tcW w:w="740" w:type="pct"/>
            <w:vAlign w:val="center"/>
          </w:tcPr>
          <w:p w14:paraId="141768C0" w14:textId="61AC69C5"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hint="eastAsia"/>
                <w:color w:val="000000" w:themeColor="text1"/>
                <w:sz w:val="22"/>
                <w:szCs w:val="32"/>
              </w:rPr>
              <w:t>-75.97</w:t>
            </w:r>
          </w:p>
        </w:tc>
        <w:tc>
          <w:tcPr>
            <w:tcW w:w="753" w:type="pct"/>
            <w:vAlign w:val="center"/>
          </w:tcPr>
          <w:p w14:paraId="611A3A68" w14:textId="2E62A620"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-49.97</w:t>
            </w:r>
          </w:p>
        </w:tc>
        <w:tc>
          <w:tcPr>
            <w:tcW w:w="859" w:type="pct"/>
            <w:vAlign w:val="center"/>
          </w:tcPr>
          <w:p w14:paraId="463F8B83" w14:textId="198BE142"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-125.93</w:t>
            </w:r>
          </w:p>
        </w:tc>
      </w:tr>
      <w:tr w:rsidR="00446898" w14:paraId="5FD469FC" w14:textId="77777777" w:rsidTr="00446898">
        <w:tc>
          <w:tcPr>
            <w:tcW w:w="361" w:type="pct"/>
            <w:vAlign w:val="center"/>
          </w:tcPr>
          <w:p w14:paraId="0D534F49"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50155678" w14:textId="264D6D55"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2.53</w:t>
            </w:r>
          </w:p>
        </w:tc>
        <w:tc>
          <w:tcPr>
            <w:tcW w:w="572" w:type="pct"/>
            <w:vAlign w:val="center"/>
          </w:tcPr>
          <w:p w14:paraId="5DA32736" w14:textId="03680CE1"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10.50</w:t>
            </w:r>
          </w:p>
        </w:tc>
        <w:tc>
          <w:tcPr>
            <w:tcW w:w="571" w:type="pct"/>
            <w:vAlign w:val="center"/>
          </w:tcPr>
          <w:p w14:paraId="30BB0A4D" w14:textId="49C2D3A7"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129.90</w:t>
            </w:r>
          </w:p>
        </w:tc>
        <w:tc>
          <w:tcPr>
            <w:tcW w:w="572" w:type="pct"/>
            <w:vAlign w:val="center"/>
          </w:tcPr>
          <w:p w14:paraId="1286EEBD" w14:textId="523E852F"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319.50</w:t>
            </w:r>
          </w:p>
        </w:tc>
        <w:tc>
          <w:tcPr>
            <w:tcW w:w="740" w:type="pct"/>
            <w:vAlign w:val="center"/>
          </w:tcPr>
          <w:p w14:paraId="41FA5A36" w14:textId="43883BE8"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hint="eastAsia"/>
                <w:color w:val="000000" w:themeColor="text1"/>
                <w:sz w:val="22"/>
                <w:szCs w:val="32"/>
              </w:rPr>
              <w:t>-75.90</w:t>
            </w:r>
          </w:p>
        </w:tc>
        <w:tc>
          <w:tcPr>
            <w:tcW w:w="753" w:type="pct"/>
            <w:vAlign w:val="center"/>
          </w:tcPr>
          <w:p w14:paraId="3C639FDC" w14:textId="5C6F1955"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-59.34</w:t>
            </w:r>
          </w:p>
        </w:tc>
        <w:tc>
          <w:tcPr>
            <w:tcW w:w="859" w:type="pct"/>
            <w:vAlign w:val="center"/>
          </w:tcPr>
          <w:p w14:paraId="54F89762" w14:textId="2D2BBADB"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-135.25</w:t>
            </w:r>
          </w:p>
        </w:tc>
      </w:tr>
      <w:tr w:rsidR="00446898" w14:paraId="3B3324E6" w14:textId="77777777" w:rsidTr="00446898">
        <w:tc>
          <w:tcPr>
            <w:tcW w:w="361" w:type="pct"/>
            <w:vAlign w:val="center"/>
          </w:tcPr>
          <w:p w14:paraId="72F2CB26"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67687281" w14:textId="01AC2965"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3.25</w:t>
            </w:r>
          </w:p>
        </w:tc>
        <w:tc>
          <w:tcPr>
            <w:tcW w:w="572" w:type="pct"/>
            <w:vAlign w:val="center"/>
          </w:tcPr>
          <w:p w14:paraId="2CFDA8E3" w14:textId="44BCC642"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8.14</w:t>
            </w:r>
          </w:p>
        </w:tc>
        <w:tc>
          <w:tcPr>
            <w:tcW w:w="571" w:type="pct"/>
            <w:vAlign w:val="center"/>
          </w:tcPr>
          <w:p w14:paraId="6B2D82E9" w14:textId="190E9F28"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73.10</w:t>
            </w:r>
          </w:p>
        </w:tc>
        <w:tc>
          <w:tcPr>
            <w:tcW w:w="572" w:type="pct"/>
            <w:vAlign w:val="center"/>
          </w:tcPr>
          <w:p w14:paraId="4C041D5B" w14:textId="60FC8F74"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260.80</w:t>
            </w:r>
          </w:p>
        </w:tc>
        <w:tc>
          <w:tcPr>
            <w:tcW w:w="740" w:type="pct"/>
            <w:vAlign w:val="center"/>
          </w:tcPr>
          <w:p w14:paraId="3E5D9174" w14:textId="541851BF"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hint="eastAsia"/>
                <w:color w:val="000000" w:themeColor="text1"/>
                <w:sz w:val="22"/>
                <w:szCs w:val="32"/>
              </w:rPr>
              <w:t>-60.07</w:t>
            </w:r>
          </w:p>
        </w:tc>
        <w:tc>
          <w:tcPr>
            <w:tcW w:w="753" w:type="pct"/>
            <w:vAlign w:val="center"/>
          </w:tcPr>
          <w:p w14:paraId="26A1E22A" w14:textId="4404E8D9"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-71.97</w:t>
            </w:r>
          </w:p>
        </w:tc>
        <w:tc>
          <w:tcPr>
            <w:tcW w:w="859" w:type="pct"/>
            <w:vAlign w:val="center"/>
          </w:tcPr>
          <w:p w14:paraId="2B6E22A0" w14:textId="0B65AC38"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-132.04</w:t>
            </w:r>
          </w:p>
        </w:tc>
      </w:tr>
      <w:tr w:rsidR="00446898" w14:paraId="74A598F0" w14:textId="77777777" w:rsidTr="00446898">
        <w:tc>
          <w:tcPr>
            <w:tcW w:w="361" w:type="pct"/>
            <w:vAlign w:val="center"/>
          </w:tcPr>
          <w:p w14:paraId="341B5E0D"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18F3F20A" w14:textId="568C9C96"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3.59</w:t>
            </w:r>
          </w:p>
        </w:tc>
        <w:tc>
          <w:tcPr>
            <w:tcW w:w="572" w:type="pct"/>
            <w:vAlign w:val="center"/>
          </w:tcPr>
          <w:p w14:paraId="619930E3" w14:textId="6B6001D4"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color w:val="000000" w:themeColor="text1"/>
                <w:sz w:val="22"/>
                <w:szCs w:val="32"/>
              </w:rPr>
              <w:t>9.83</w:t>
            </w:r>
          </w:p>
        </w:tc>
        <w:tc>
          <w:tcPr>
            <w:tcW w:w="571" w:type="pct"/>
            <w:vAlign w:val="center"/>
          </w:tcPr>
          <w:p w14:paraId="11AF62AE" w14:textId="5D330BF6"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135.30</w:t>
            </w:r>
          </w:p>
        </w:tc>
        <w:tc>
          <w:tcPr>
            <w:tcW w:w="572" w:type="pct"/>
            <w:vAlign w:val="center"/>
          </w:tcPr>
          <w:p w14:paraId="10696FFA" w14:textId="0A5ED694"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173.70</w:t>
            </w:r>
          </w:p>
        </w:tc>
        <w:tc>
          <w:tcPr>
            <w:tcW w:w="740" w:type="pct"/>
            <w:vAlign w:val="center"/>
          </w:tcPr>
          <w:p w14:paraId="0DA58868" w14:textId="735AA90E" w:rsidR="00446898" w:rsidRPr="009C1579" w:rsidRDefault="00446898" w:rsidP="00446898">
            <w:pPr>
              <w:jc w:val="center"/>
              <w:rPr>
                <w:rFonts w:ascii="仿宋_GB2312" w:eastAsia="仿宋_GB2312"/>
                <w:color w:val="000000" w:themeColor="text1"/>
                <w:sz w:val="22"/>
                <w:szCs w:val="32"/>
              </w:rPr>
            </w:pPr>
            <w:r w:rsidRPr="009C1579">
              <w:rPr>
                <w:rFonts w:ascii="仿宋_GB2312" w:eastAsia="仿宋_GB2312" w:hint="eastAsia"/>
                <w:color w:val="000000" w:themeColor="text1"/>
                <w:sz w:val="22"/>
                <w:szCs w:val="32"/>
              </w:rPr>
              <w:t>-63.48</w:t>
            </w:r>
          </w:p>
        </w:tc>
        <w:tc>
          <w:tcPr>
            <w:tcW w:w="753" w:type="pct"/>
            <w:vAlign w:val="center"/>
          </w:tcPr>
          <w:p w14:paraId="226EADAA" w14:textId="78146E40"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-22.11</w:t>
            </w:r>
          </w:p>
        </w:tc>
        <w:tc>
          <w:tcPr>
            <w:tcW w:w="859" w:type="pct"/>
            <w:vAlign w:val="center"/>
          </w:tcPr>
          <w:p w14:paraId="0B0908DC" w14:textId="42D68A4E"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-77.96</w:t>
            </w:r>
          </w:p>
        </w:tc>
      </w:tr>
      <w:tr w:rsidR="00446898" w14:paraId="0ECF32A1" w14:textId="77777777" w:rsidTr="00446898">
        <w:tc>
          <w:tcPr>
            <w:tcW w:w="361" w:type="pct"/>
            <w:vAlign w:val="center"/>
          </w:tcPr>
          <w:p w14:paraId="0FE93829"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011C31DF" w14:textId="3B84B252"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3.51</w:t>
            </w:r>
          </w:p>
        </w:tc>
        <w:tc>
          <w:tcPr>
            <w:tcW w:w="572" w:type="pct"/>
            <w:vAlign w:val="center"/>
          </w:tcPr>
          <w:p w14:paraId="31B1FB99" w14:textId="6CB9C16A"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7.95</w:t>
            </w:r>
          </w:p>
        </w:tc>
        <w:tc>
          <w:tcPr>
            <w:tcW w:w="571" w:type="pct"/>
            <w:vAlign w:val="center"/>
          </w:tcPr>
          <w:p w14:paraId="097814CA" w14:textId="2D3DE03E"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102.70</w:t>
            </w:r>
          </w:p>
        </w:tc>
        <w:tc>
          <w:tcPr>
            <w:tcW w:w="572" w:type="pct"/>
            <w:vAlign w:val="center"/>
          </w:tcPr>
          <w:p w14:paraId="5EC23969" w14:textId="39D0712E"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211.80</w:t>
            </w:r>
          </w:p>
        </w:tc>
        <w:tc>
          <w:tcPr>
            <w:tcW w:w="740" w:type="pct"/>
            <w:vAlign w:val="center"/>
          </w:tcPr>
          <w:p w14:paraId="5121E292" w14:textId="0C92D691"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-55.85</w:t>
            </w:r>
          </w:p>
        </w:tc>
        <w:tc>
          <w:tcPr>
            <w:tcW w:w="753" w:type="pct"/>
            <w:vAlign w:val="center"/>
          </w:tcPr>
          <w:p w14:paraId="1BFDCF56" w14:textId="783E3EE1"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-51.51</w:t>
            </w:r>
          </w:p>
        </w:tc>
        <w:tc>
          <w:tcPr>
            <w:tcW w:w="859" w:type="pct"/>
            <w:vAlign w:val="center"/>
          </w:tcPr>
          <w:p w14:paraId="7307D6FA" w14:textId="06FF4583"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-119.78</w:t>
            </w:r>
          </w:p>
        </w:tc>
      </w:tr>
      <w:tr w:rsidR="00446898" w14:paraId="0712918E" w14:textId="77777777" w:rsidTr="00446898">
        <w:tc>
          <w:tcPr>
            <w:tcW w:w="361" w:type="pct"/>
            <w:vAlign w:val="center"/>
          </w:tcPr>
          <w:p w14:paraId="3DD5FD11"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555A3FF4" w14:textId="0A1A6B2A"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3.31</w:t>
            </w:r>
          </w:p>
        </w:tc>
        <w:tc>
          <w:tcPr>
            <w:tcW w:w="572" w:type="pct"/>
            <w:vAlign w:val="center"/>
          </w:tcPr>
          <w:p w14:paraId="02545820" w14:textId="328DE30E"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10.43</w:t>
            </w:r>
          </w:p>
        </w:tc>
        <w:tc>
          <w:tcPr>
            <w:tcW w:w="571" w:type="pct"/>
            <w:vAlign w:val="center"/>
          </w:tcPr>
          <w:p w14:paraId="33106ACD" w14:textId="084C5DCA"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141.10</w:t>
            </w:r>
          </w:p>
        </w:tc>
        <w:tc>
          <w:tcPr>
            <w:tcW w:w="572" w:type="pct"/>
            <w:vAlign w:val="center"/>
          </w:tcPr>
          <w:p w14:paraId="17DDFBD0" w14:textId="74B6CFB8"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161.30</w:t>
            </w:r>
          </w:p>
        </w:tc>
        <w:tc>
          <w:tcPr>
            <w:tcW w:w="740" w:type="pct"/>
            <w:vAlign w:val="center"/>
          </w:tcPr>
          <w:p w14:paraId="14D7AEDC" w14:textId="244BAEAC"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-68.26</w:t>
            </w:r>
          </w:p>
        </w:tc>
        <w:tc>
          <w:tcPr>
            <w:tcW w:w="753" w:type="pct"/>
            <w:vAlign w:val="center"/>
          </w:tcPr>
          <w:p w14:paraId="315BFA5A" w14:textId="0678B476"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-12.52</w:t>
            </w:r>
          </w:p>
        </w:tc>
        <w:tc>
          <w:tcPr>
            <w:tcW w:w="859" w:type="pct"/>
            <w:vAlign w:val="center"/>
          </w:tcPr>
          <w:p w14:paraId="30A00CAA" w14:textId="5FAFBA47"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-70.25</w:t>
            </w:r>
          </w:p>
        </w:tc>
      </w:tr>
      <w:tr w:rsidR="00446898" w14:paraId="3729C954" w14:textId="77777777" w:rsidTr="00446898">
        <w:tc>
          <w:tcPr>
            <w:tcW w:w="361" w:type="pct"/>
            <w:vAlign w:val="center"/>
          </w:tcPr>
          <w:p w14:paraId="6E66A61C"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72FF82D8" w14:textId="738A2476"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3.39</w:t>
            </w:r>
          </w:p>
        </w:tc>
        <w:tc>
          <w:tcPr>
            <w:tcW w:w="572" w:type="pct"/>
            <w:vAlign w:val="center"/>
          </w:tcPr>
          <w:p w14:paraId="4F4B9047" w14:textId="15A5A793"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8.02</w:t>
            </w:r>
          </w:p>
        </w:tc>
        <w:tc>
          <w:tcPr>
            <w:tcW w:w="571" w:type="pct"/>
            <w:vAlign w:val="center"/>
          </w:tcPr>
          <w:p w14:paraId="5494EA24" w14:textId="0F1A6AAD"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167.50</w:t>
            </w:r>
          </w:p>
        </w:tc>
        <w:tc>
          <w:tcPr>
            <w:tcW w:w="572" w:type="pct"/>
            <w:vAlign w:val="center"/>
          </w:tcPr>
          <w:p w14:paraId="6FE73E11" w14:textId="037B3223"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316.70</w:t>
            </w:r>
          </w:p>
        </w:tc>
        <w:tc>
          <w:tcPr>
            <w:tcW w:w="740" w:type="pct"/>
            <w:vAlign w:val="center"/>
          </w:tcPr>
          <w:p w14:paraId="38C6307C" w14:textId="283F208A"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-57.73</w:t>
            </w:r>
          </w:p>
        </w:tc>
        <w:tc>
          <w:tcPr>
            <w:tcW w:w="753" w:type="pct"/>
            <w:vAlign w:val="center"/>
          </w:tcPr>
          <w:p w14:paraId="263EE389" w14:textId="18D00DF9"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-47.11</w:t>
            </w:r>
          </w:p>
        </w:tc>
        <w:tc>
          <w:tcPr>
            <w:tcW w:w="859" w:type="pct"/>
            <w:vAlign w:val="center"/>
          </w:tcPr>
          <w:p w14:paraId="55ABB41E" w14:textId="00B4DA02"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-116.95</w:t>
            </w:r>
          </w:p>
        </w:tc>
      </w:tr>
      <w:tr w:rsidR="00446898" w14:paraId="0F6B3B2D" w14:textId="77777777" w:rsidTr="00446898">
        <w:tc>
          <w:tcPr>
            <w:tcW w:w="361" w:type="pct"/>
            <w:vAlign w:val="center"/>
          </w:tcPr>
          <w:p w14:paraId="591D5A9B"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5629C3E6" w14:textId="351C3C52"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3.11</w:t>
            </w:r>
          </w:p>
        </w:tc>
        <w:tc>
          <w:tcPr>
            <w:tcW w:w="572" w:type="pct"/>
            <w:vAlign w:val="center"/>
          </w:tcPr>
          <w:p w14:paraId="1B4D355C" w14:textId="1742D51C"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10.31</w:t>
            </w:r>
          </w:p>
        </w:tc>
        <w:tc>
          <w:tcPr>
            <w:tcW w:w="571" w:type="pct"/>
            <w:vAlign w:val="center"/>
          </w:tcPr>
          <w:p w14:paraId="680F20CD" w14:textId="79F63E71"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191.10</w:t>
            </w:r>
          </w:p>
        </w:tc>
        <w:tc>
          <w:tcPr>
            <w:tcW w:w="572" w:type="pct"/>
            <w:vAlign w:val="center"/>
          </w:tcPr>
          <w:p w14:paraId="276A36BC" w14:textId="76C65E22"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284.50</w:t>
            </w:r>
          </w:p>
        </w:tc>
        <w:tc>
          <w:tcPr>
            <w:tcW w:w="740" w:type="pct"/>
            <w:vAlign w:val="center"/>
          </w:tcPr>
          <w:p w14:paraId="0D153321" w14:textId="3316484C"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-69.84</w:t>
            </w:r>
          </w:p>
        </w:tc>
        <w:tc>
          <w:tcPr>
            <w:tcW w:w="753" w:type="pct"/>
            <w:vAlign w:val="center"/>
          </w:tcPr>
          <w:p w14:paraId="015734C9" w14:textId="78E04E84"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-32.83</w:t>
            </w:r>
          </w:p>
        </w:tc>
        <w:tc>
          <w:tcPr>
            <w:tcW w:w="859" w:type="pct"/>
            <w:vAlign w:val="center"/>
          </w:tcPr>
          <w:p w14:paraId="0990B48D" w14:textId="50312606"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-93.30</w:t>
            </w:r>
          </w:p>
        </w:tc>
      </w:tr>
      <w:tr w:rsidR="00446898" w14:paraId="3C375CE9" w14:textId="77777777" w:rsidTr="00446898">
        <w:tc>
          <w:tcPr>
            <w:tcW w:w="361" w:type="pct"/>
            <w:vAlign w:val="center"/>
          </w:tcPr>
          <w:p w14:paraId="1FC9E3EF"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1F3A1AF6" w14:textId="088C88A1"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4.38</w:t>
            </w:r>
          </w:p>
        </w:tc>
        <w:tc>
          <w:tcPr>
            <w:tcW w:w="572" w:type="pct"/>
            <w:vAlign w:val="center"/>
          </w:tcPr>
          <w:p w14:paraId="13290402" w14:textId="126230CE"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11.08</w:t>
            </w:r>
          </w:p>
        </w:tc>
        <w:tc>
          <w:tcPr>
            <w:tcW w:w="571" w:type="pct"/>
            <w:vAlign w:val="center"/>
          </w:tcPr>
          <w:p w14:paraId="2B59E4F7" w14:textId="5BF6F7AC"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179.37</w:t>
            </w:r>
          </w:p>
        </w:tc>
        <w:tc>
          <w:tcPr>
            <w:tcW w:w="572" w:type="pct"/>
            <w:vAlign w:val="center"/>
          </w:tcPr>
          <w:p w14:paraId="32B19343" w14:textId="2C885B1A"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279.70</w:t>
            </w:r>
          </w:p>
        </w:tc>
        <w:tc>
          <w:tcPr>
            <w:tcW w:w="740" w:type="pct"/>
            <w:vAlign w:val="center"/>
          </w:tcPr>
          <w:p w14:paraId="63A10978" w14:textId="061BB137"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-60.47</w:t>
            </w:r>
          </w:p>
        </w:tc>
        <w:tc>
          <w:tcPr>
            <w:tcW w:w="753" w:type="pct"/>
            <w:vAlign w:val="center"/>
          </w:tcPr>
          <w:p w14:paraId="33F52838" w14:textId="6F6A4A5E"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-35.87</w:t>
            </w:r>
          </w:p>
        </w:tc>
        <w:tc>
          <w:tcPr>
            <w:tcW w:w="859" w:type="pct"/>
            <w:vAlign w:val="center"/>
          </w:tcPr>
          <w:p w14:paraId="5F14CE33" w14:textId="5BB3EB9D"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-108.47</w:t>
            </w:r>
          </w:p>
        </w:tc>
      </w:tr>
      <w:tr w:rsidR="00446898" w14:paraId="3EF26460" w14:textId="77777777" w:rsidTr="00446898">
        <w:tc>
          <w:tcPr>
            <w:tcW w:w="361" w:type="pct"/>
            <w:vAlign w:val="center"/>
          </w:tcPr>
          <w:p w14:paraId="32F41D14"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5A0C5836" w14:textId="2062BC6E"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3.45</w:t>
            </w:r>
          </w:p>
        </w:tc>
        <w:tc>
          <w:tcPr>
            <w:tcW w:w="572" w:type="pct"/>
            <w:vAlign w:val="center"/>
          </w:tcPr>
          <w:p w14:paraId="26A1088E" w14:textId="06E38C00"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12.59</w:t>
            </w:r>
          </w:p>
        </w:tc>
        <w:tc>
          <w:tcPr>
            <w:tcW w:w="571" w:type="pct"/>
            <w:vAlign w:val="center"/>
          </w:tcPr>
          <w:p w14:paraId="0DDA3709" w14:textId="627E8CC7"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160.30</w:t>
            </w:r>
          </w:p>
        </w:tc>
        <w:tc>
          <w:tcPr>
            <w:tcW w:w="572" w:type="pct"/>
            <w:vAlign w:val="center"/>
          </w:tcPr>
          <w:p w14:paraId="077E1C5B" w14:textId="2BEB91A6"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320.60</w:t>
            </w:r>
          </w:p>
        </w:tc>
        <w:tc>
          <w:tcPr>
            <w:tcW w:w="740" w:type="pct"/>
            <w:vAlign w:val="center"/>
          </w:tcPr>
          <w:p w14:paraId="5317C217" w14:textId="073F619A"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-72.60</w:t>
            </w:r>
          </w:p>
        </w:tc>
        <w:tc>
          <w:tcPr>
            <w:tcW w:w="753" w:type="pct"/>
            <w:vAlign w:val="center"/>
          </w:tcPr>
          <w:p w14:paraId="517DD51B" w14:textId="259011AF"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-50.00</w:t>
            </w:r>
          </w:p>
        </w:tc>
        <w:tc>
          <w:tcPr>
            <w:tcW w:w="859" w:type="pct"/>
            <w:vAlign w:val="center"/>
          </w:tcPr>
          <w:p w14:paraId="63654419" w14:textId="23033E05"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-125.96</w:t>
            </w:r>
          </w:p>
        </w:tc>
      </w:tr>
      <w:tr w:rsidR="00446898" w14:paraId="247C3DEF" w14:textId="77777777" w:rsidTr="00446898">
        <w:tc>
          <w:tcPr>
            <w:tcW w:w="361" w:type="pct"/>
            <w:vAlign w:val="center"/>
          </w:tcPr>
          <w:p w14:paraId="740182ED"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7908A5F2" w14:textId="4E6EF851"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2.39</w:t>
            </w:r>
          </w:p>
        </w:tc>
        <w:tc>
          <w:tcPr>
            <w:tcW w:w="572" w:type="pct"/>
            <w:vAlign w:val="center"/>
          </w:tcPr>
          <w:p w14:paraId="5BD32BD3" w14:textId="1239259A"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9.94</w:t>
            </w:r>
          </w:p>
        </w:tc>
        <w:tc>
          <w:tcPr>
            <w:tcW w:w="571" w:type="pct"/>
            <w:vAlign w:val="center"/>
          </w:tcPr>
          <w:p w14:paraId="27D645EF" w14:textId="3564472F"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130.45</w:t>
            </w:r>
          </w:p>
        </w:tc>
        <w:tc>
          <w:tcPr>
            <w:tcW w:w="572" w:type="pct"/>
            <w:vAlign w:val="center"/>
          </w:tcPr>
          <w:p w14:paraId="6245BCA3" w14:textId="630B9F6D"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194.95</w:t>
            </w:r>
          </w:p>
        </w:tc>
        <w:tc>
          <w:tcPr>
            <w:tcW w:w="740" w:type="pct"/>
            <w:vAlign w:val="center"/>
          </w:tcPr>
          <w:p w14:paraId="0C24C88F" w14:textId="4FF01221"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-75.96</w:t>
            </w:r>
          </w:p>
        </w:tc>
        <w:tc>
          <w:tcPr>
            <w:tcW w:w="753" w:type="pct"/>
            <w:vAlign w:val="center"/>
          </w:tcPr>
          <w:p w14:paraId="7A2EDA48" w14:textId="47F46DA8"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-33.09</w:t>
            </w:r>
          </w:p>
        </w:tc>
        <w:tc>
          <w:tcPr>
            <w:tcW w:w="859" w:type="pct"/>
            <w:vAlign w:val="center"/>
          </w:tcPr>
          <w:p w14:paraId="7278EF2B" w14:textId="071F8E91"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-100.47</w:t>
            </w:r>
          </w:p>
        </w:tc>
      </w:tr>
      <w:tr w:rsidR="00446898" w14:paraId="4116118A" w14:textId="77777777" w:rsidTr="00446898">
        <w:tc>
          <w:tcPr>
            <w:tcW w:w="361" w:type="pct"/>
            <w:vAlign w:val="center"/>
          </w:tcPr>
          <w:p w14:paraId="4D60B04C"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11582F7A" w14:textId="60ACFD8E"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2.59</w:t>
            </w:r>
          </w:p>
        </w:tc>
        <w:tc>
          <w:tcPr>
            <w:tcW w:w="572" w:type="pct"/>
            <w:vAlign w:val="center"/>
          </w:tcPr>
          <w:p w14:paraId="7F2202F4" w14:textId="67882938"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7.93</w:t>
            </w:r>
          </w:p>
        </w:tc>
        <w:tc>
          <w:tcPr>
            <w:tcW w:w="571" w:type="pct"/>
            <w:vAlign w:val="center"/>
          </w:tcPr>
          <w:p w14:paraId="2671658D" w14:textId="6DA2341D"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182.23</w:t>
            </w:r>
          </w:p>
        </w:tc>
        <w:tc>
          <w:tcPr>
            <w:tcW w:w="572" w:type="pct"/>
            <w:vAlign w:val="center"/>
          </w:tcPr>
          <w:p w14:paraId="67518AF1" w14:textId="02B63686"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273.70</w:t>
            </w:r>
          </w:p>
        </w:tc>
        <w:tc>
          <w:tcPr>
            <w:tcW w:w="740" w:type="pct"/>
            <w:vAlign w:val="center"/>
          </w:tcPr>
          <w:p w14:paraId="089F9E4B" w14:textId="23565B11"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-67.38</w:t>
            </w:r>
          </w:p>
        </w:tc>
        <w:tc>
          <w:tcPr>
            <w:tcW w:w="753" w:type="pct"/>
            <w:vAlign w:val="center"/>
          </w:tcPr>
          <w:p w14:paraId="6E885EA9" w14:textId="42F07159"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-33.42</w:t>
            </w:r>
          </w:p>
        </w:tc>
        <w:tc>
          <w:tcPr>
            <w:tcW w:w="859" w:type="pct"/>
            <w:vAlign w:val="center"/>
          </w:tcPr>
          <w:p w14:paraId="00A47B2D" w14:textId="1D392978"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-97.47</w:t>
            </w:r>
          </w:p>
        </w:tc>
      </w:tr>
      <w:tr w:rsidR="00446898" w14:paraId="42669B4D" w14:textId="77777777" w:rsidTr="00446898">
        <w:tc>
          <w:tcPr>
            <w:tcW w:w="361" w:type="pct"/>
            <w:vAlign w:val="center"/>
          </w:tcPr>
          <w:p w14:paraId="06ABAAB6"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02C0C351" w14:textId="34F894AB"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3.49</w:t>
            </w:r>
          </w:p>
        </w:tc>
        <w:tc>
          <w:tcPr>
            <w:tcW w:w="572" w:type="pct"/>
            <w:vAlign w:val="center"/>
          </w:tcPr>
          <w:p w14:paraId="38119A92" w14:textId="3F6C472D"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9.70</w:t>
            </w:r>
          </w:p>
        </w:tc>
        <w:tc>
          <w:tcPr>
            <w:tcW w:w="571" w:type="pct"/>
            <w:vAlign w:val="center"/>
          </w:tcPr>
          <w:p w14:paraId="1850BD19" w14:textId="37F36822"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200.00</w:t>
            </w:r>
          </w:p>
        </w:tc>
        <w:tc>
          <w:tcPr>
            <w:tcW w:w="572" w:type="pct"/>
            <w:vAlign w:val="center"/>
          </w:tcPr>
          <w:p w14:paraId="6C732885" w14:textId="0FEEB194"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179.70</w:t>
            </w:r>
          </w:p>
        </w:tc>
        <w:tc>
          <w:tcPr>
            <w:tcW w:w="740" w:type="pct"/>
            <w:vAlign w:val="center"/>
          </w:tcPr>
          <w:p w14:paraId="07669059" w14:textId="531F2A58"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-64.05</w:t>
            </w:r>
          </w:p>
        </w:tc>
        <w:tc>
          <w:tcPr>
            <w:tcW w:w="753" w:type="pct"/>
            <w:vAlign w:val="center"/>
          </w:tcPr>
          <w:p w14:paraId="04BC4C2D" w14:textId="6DA858EB"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11.30</w:t>
            </w:r>
          </w:p>
        </w:tc>
        <w:tc>
          <w:tcPr>
            <w:tcW w:w="859" w:type="pct"/>
            <w:vAlign w:val="center"/>
          </w:tcPr>
          <w:p w14:paraId="46C30369" w14:textId="6E681F3D"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-15.85</w:t>
            </w:r>
          </w:p>
        </w:tc>
      </w:tr>
      <w:tr w:rsidR="00446898" w14:paraId="51549F5F" w14:textId="77777777" w:rsidTr="00446898">
        <w:tc>
          <w:tcPr>
            <w:tcW w:w="361" w:type="pct"/>
            <w:vAlign w:val="center"/>
          </w:tcPr>
          <w:p w14:paraId="7560AFBD"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1942CC8A" w14:textId="2B834858"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5.10</w:t>
            </w:r>
          </w:p>
        </w:tc>
        <w:tc>
          <w:tcPr>
            <w:tcW w:w="572" w:type="pct"/>
            <w:vAlign w:val="center"/>
          </w:tcPr>
          <w:p w14:paraId="32AD8CBF" w14:textId="667B2212"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7.00</w:t>
            </w:r>
          </w:p>
        </w:tc>
        <w:tc>
          <w:tcPr>
            <w:tcW w:w="571" w:type="pct"/>
            <w:vAlign w:val="center"/>
          </w:tcPr>
          <w:p w14:paraId="4F7DD89B" w14:textId="1CD6FF08"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240.70</w:t>
            </w:r>
          </w:p>
        </w:tc>
        <w:tc>
          <w:tcPr>
            <w:tcW w:w="572" w:type="pct"/>
            <w:vAlign w:val="center"/>
          </w:tcPr>
          <w:p w14:paraId="29EB8FBF" w14:textId="7F029E5C"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200.70</w:t>
            </w:r>
          </w:p>
        </w:tc>
        <w:tc>
          <w:tcPr>
            <w:tcW w:w="740" w:type="pct"/>
            <w:vAlign w:val="center"/>
          </w:tcPr>
          <w:p w14:paraId="16E5B214" w14:textId="22822210"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-27.14</w:t>
            </w:r>
          </w:p>
        </w:tc>
        <w:tc>
          <w:tcPr>
            <w:tcW w:w="753" w:type="pct"/>
            <w:vAlign w:val="center"/>
          </w:tcPr>
          <w:p w14:paraId="04ED6570" w14:textId="7561965A"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19.93</w:t>
            </w:r>
          </w:p>
        </w:tc>
        <w:tc>
          <w:tcPr>
            <w:tcW w:w="859" w:type="pct"/>
            <w:vAlign w:val="center"/>
          </w:tcPr>
          <w:p w14:paraId="225927B2" w14:textId="3BD1F308"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11.60</w:t>
            </w:r>
          </w:p>
        </w:tc>
      </w:tr>
      <w:tr w:rsidR="00446898" w14:paraId="5A90BCDB" w14:textId="77777777" w:rsidTr="00446898">
        <w:tc>
          <w:tcPr>
            <w:tcW w:w="361" w:type="pct"/>
            <w:vAlign w:val="center"/>
          </w:tcPr>
          <w:p w14:paraId="3672D2D5"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6E0F0E9E" w14:textId="006548F6"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7.15</w:t>
            </w:r>
          </w:p>
        </w:tc>
        <w:tc>
          <w:tcPr>
            <w:tcW w:w="572" w:type="pct"/>
            <w:vAlign w:val="center"/>
          </w:tcPr>
          <w:p w14:paraId="52B0AA0D" w14:textId="48ACAAAE"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7.80</w:t>
            </w:r>
          </w:p>
        </w:tc>
        <w:tc>
          <w:tcPr>
            <w:tcW w:w="571" w:type="pct"/>
            <w:vAlign w:val="center"/>
          </w:tcPr>
          <w:p w14:paraId="74455C3E" w14:textId="231CC096"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136.85</w:t>
            </w:r>
          </w:p>
        </w:tc>
        <w:tc>
          <w:tcPr>
            <w:tcW w:w="572" w:type="pct"/>
            <w:vAlign w:val="center"/>
          </w:tcPr>
          <w:p w14:paraId="23F0B501" w14:textId="21150785"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174.80</w:t>
            </w:r>
          </w:p>
        </w:tc>
        <w:tc>
          <w:tcPr>
            <w:tcW w:w="740" w:type="pct"/>
            <w:vAlign w:val="center"/>
          </w:tcPr>
          <w:p w14:paraId="2014E892" w14:textId="3ECE48AA"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-8.33</w:t>
            </w:r>
          </w:p>
        </w:tc>
        <w:tc>
          <w:tcPr>
            <w:tcW w:w="753" w:type="pct"/>
            <w:vAlign w:val="center"/>
          </w:tcPr>
          <w:p w14:paraId="5D2AF910" w14:textId="0AC68950"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-21.71</w:t>
            </w:r>
          </w:p>
        </w:tc>
        <w:tc>
          <w:tcPr>
            <w:tcW w:w="859" w:type="pct"/>
            <w:vAlign w:val="center"/>
          </w:tcPr>
          <w:p w14:paraId="54A1B45A" w14:textId="7D8E7695"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-51.47</w:t>
            </w:r>
          </w:p>
        </w:tc>
      </w:tr>
      <w:tr w:rsidR="00446898" w14:paraId="01DF70C9" w14:textId="77777777" w:rsidTr="00446898">
        <w:tc>
          <w:tcPr>
            <w:tcW w:w="361" w:type="pct"/>
            <w:vAlign w:val="center"/>
          </w:tcPr>
          <w:p w14:paraId="7DAA076E"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7EEBFA0C" w14:textId="5D683EFE"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5.90</w:t>
            </w:r>
          </w:p>
        </w:tc>
        <w:tc>
          <w:tcPr>
            <w:tcW w:w="572" w:type="pct"/>
            <w:vAlign w:val="center"/>
          </w:tcPr>
          <w:p w14:paraId="3DE49E90" w14:textId="034582B3"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8.40</w:t>
            </w:r>
          </w:p>
        </w:tc>
        <w:tc>
          <w:tcPr>
            <w:tcW w:w="571" w:type="pct"/>
            <w:vAlign w:val="center"/>
          </w:tcPr>
          <w:p w14:paraId="067B3E4F" w14:textId="1CB3BA23"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235.80</w:t>
            </w:r>
          </w:p>
        </w:tc>
        <w:tc>
          <w:tcPr>
            <w:tcW w:w="572" w:type="pct"/>
            <w:vAlign w:val="center"/>
          </w:tcPr>
          <w:p w14:paraId="41120277" w14:textId="35F89188"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177.70</w:t>
            </w:r>
          </w:p>
        </w:tc>
        <w:tc>
          <w:tcPr>
            <w:tcW w:w="740" w:type="pct"/>
            <w:vAlign w:val="center"/>
          </w:tcPr>
          <w:p w14:paraId="4DB45F86" w14:textId="1BF3DD75"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-29.76</w:t>
            </w:r>
          </w:p>
        </w:tc>
        <w:tc>
          <w:tcPr>
            <w:tcW w:w="753" w:type="pct"/>
            <w:vAlign w:val="center"/>
          </w:tcPr>
          <w:p w14:paraId="1BC169A7" w14:textId="75839D2E"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32.70</w:t>
            </w:r>
          </w:p>
        </w:tc>
        <w:tc>
          <w:tcPr>
            <w:tcW w:w="859" w:type="pct"/>
            <w:vAlign w:val="center"/>
          </w:tcPr>
          <w:p w14:paraId="65FEFA91" w14:textId="5531D915"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14.18</w:t>
            </w:r>
          </w:p>
        </w:tc>
      </w:tr>
      <w:tr w:rsidR="00446898" w14:paraId="0DADACD4" w14:textId="77777777" w:rsidTr="00446898">
        <w:tc>
          <w:tcPr>
            <w:tcW w:w="361" w:type="pct"/>
            <w:vAlign w:val="center"/>
          </w:tcPr>
          <w:p w14:paraId="73F675E8"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51162989" w14:textId="7461DFB4"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6.60</w:t>
            </w:r>
          </w:p>
        </w:tc>
        <w:tc>
          <w:tcPr>
            <w:tcW w:w="572" w:type="pct"/>
            <w:vAlign w:val="center"/>
          </w:tcPr>
          <w:p w14:paraId="5A445F09" w14:textId="69CFFDDD"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8.10</w:t>
            </w:r>
          </w:p>
        </w:tc>
        <w:tc>
          <w:tcPr>
            <w:tcW w:w="571" w:type="pct"/>
            <w:vAlign w:val="center"/>
          </w:tcPr>
          <w:p w14:paraId="266E9EC0" w14:textId="6B4B02B1"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240.00</w:t>
            </w:r>
          </w:p>
        </w:tc>
        <w:tc>
          <w:tcPr>
            <w:tcW w:w="572" w:type="pct"/>
            <w:vAlign w:val="center"/>
          </w:tcPr>
          <w:p w14:paraId="7CCCFA59" w14:textId="37B3205C"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174.00</w:t>
            </w:r>
          </w:p>
        </w:tc>
        <w:tc>
          <w:tcPr>
            <w:tcW w:w="740" w:type="pct"/>
            <w:vAlign w:val="center"/>
          </w:tcPr>
          <w:p w14:paraId="334A5123" w14:textId="6DED3E2A"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-18.52</w:t>
            </w:r>
          </w:p>
        </w:tc>
        <w:tc>
          <w:tcPr>
            <w:tcW w:w="753" w:type="pct"/>
            <w:vAlign w:val="center"/>
          </w:tcPr>
          <w:p w14:paraId="45176EA0" w14:textId="4176BBCE"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37.93</w:t>
            </w:r>
          </w:p>
        </w:tc>
        <w:tc>
          <w:tcPr>
            <w:tcW w:w="859" w:type="pct"/>
            <w:vAlign w:val="center"/>
          </w:tcPr>
          <w:p w14:paraId="2EFBD1D5" w14:textId="030FB311"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13.24</w:t>
            </w:r>
          </w:p>
        </w:tc>
      </w:tr>
      <w:tr w:rsidR="00446898" w14:paraId="3A6BB94C" w14:textId="77777777" w:rsidTr="00446898">
        <w:tc>
          <w:tcPr>
            <w:tcW w:w="361" w:type="pct"/>
            <w:vAlign w:val="center"/>
          </w:tcPr>
          <w:p w14:paraId="5ACBE953"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5BC30AB7" w14:textId="0C5555DE"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6.10</w:t>
            </w:r>
          </w:p>
        </w:tc>
        <w:tc>
          <w:tcPr>
            <w:tcW w:w="572" w:type="pct"/>
            <w:vAlign w:val="center"/>
          </w:tcPr>
          <w:p w14:paraId="647EE818" w14:textId="40CBCC17"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8.10</w:t>
            </w:r>
          </w:p>
        </w:tc>
        <w:tc>
          <w:tcPr>
            <w:tcW w:w="571" w:type="pct"/>
            <w:vAlign w:val="center"/>
          </w:tcPr>
          <w:p w14:paraId="3BD8E4BE" w14:textId="65615FCB"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213.70</w:t>
            </w:r>
          </w:p>
        </w:tc>
        <w:tc>
          <w:tcPr>
            <w:tcW w:w="572" w:type="pct"/>
            <w:vAlign w:val="center"/>
          </w:tcPr>
          <w:p w14:paraId="0ACC3148" w14:textId="63A4CA4E"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185.00</w:t>
            </w:r>
          </w:p>
        </w:tc>
        <w:tc>
          <w:tcPr>
            <w:tcW w:w="740" w:type="pct"/>
            <w:vAlign w:val="center"/>
          </w:tcPr>
          <w:p w14:paraId="391D321A" w14:textId="43F21131"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-24.69</w:t>
            </w:r>
          </w:p>
        </w:tc>
        <w:tc>
          <w:tcPr>
            <w:tcW w:w="753" w:type="pct"/>
            <w:vAlign w:val="center"/>
          </w:tcPr>
          <w:p w14:paraId="3017E46A" w14:textId="388A4C22"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15.51</w:t>
            </w:r>
          </w:p>
        </w:tc>
        <w:tc>
          <w:tcPr>
            <w:tcW w:w="859" w:type="pct"/>
            <w:vAlign w:val="center"/>
          </w:tcPr>
          <w:p w14:paraId="1FA28F9A" w14:textId="2C978B32"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-5.68</w:t>
            </w:r>
          </w:p>
        </w:tc>
      </w:tr>
      <w:tr w:rsidR="00446898" w14:paraId="2710170D" w14:textId="77777777" w:rsidTr="00446898">
        <w:tc>
          <w:tcPr>
            <w:tcW w:w="361" w:type="pct"/>
            <w:vAlign w:val="center"/>
          </w:tcPr>
          <w:p w14:paraId="51B074D8"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797F734F" w14:textId="4CC3C4A5"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5.95</w:t>
            </w:r>
          </w:p>
        </w:tc>
        <w:tc>
          <w:tcPr>
            <w:tcW w:w="572" w:type="pct"/>
            <w:vAlign w:val="center"/>
          </w:tcPr>
          <w:p w14:paraId="29778CAB" w14:textId="0D5BD2B9"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7.55</w:t>
            </w:r>
          </w:p>
        </w:tc>
        <w:tc>
          <w:tcPr>
            <w:tcW w:w="571" w:type="pct"/>
            <w:vAlign w:val="center"/>
          </w:tcPr>
          <w:p w14:paraId="09FB245F" w14:textId="16AFC273"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184.60</w:t>
            </w:r>
          </w:p>
        </w:tc>
        <w:tc>
          <w:tcPr>
            <w:tcW w:w="572" w:type="pct"/>
            <w:vAlign w:val="center"/>
          </w:tcPr>
          <w:p w14:paraId="02AEFAB3" w14:textId="6FC374F0"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195.50</w:t>
            </w:r>
          </w:p>
        </w:tc>
        <w:tc>
          <w:tcPr>
            <w:tcW w:w="740" w:type="pct"/>
            <w:vAlign w:val="center"/>
          </w:tcPr>
          <w:p w14:paraId="2B463567" w14:textId="386A201C"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-21.19</w:t>
            </w:r>
          </w:p>
        </w:tc>
        <w:tc>
          <w:tcPr>
            <w:tcW w:w="753" w:type="pct"/>
            <w:vAlign w:val="center"/>
          </w:tcPr>
          <w:p w14:paraId="3F7B81CA" w14:textId="5A5EB500"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-5.58</w:t>
            </w:r>
          </w:p>
        </w:tc>
        <w:tc>
          <w:tcPr>
            <w:tcW w:w="859" w:type="pct"/>
            <w:vAlign w:val="center"/>
          </w:tcPr>
          <w:p w14:paraId="002F0644" w14:textId="7E52B13D"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-25.45</w:t>
            </w:r>
          </w:p>
        </w:tc>
      </w:tr>
      <w:tr w:rsidR="00446898" w14:paraId="719F9ED8" w14:textId="77777777" w:rsidTr="00446898">
        <w:tc>
          <w:tcPr>
            <w:tcW w:w="361" w:type="pct"/>
            <w:vAlign w:val="center"/>
          </w:tcPr>
          <w:p w14:paraId="2F5117FB"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5511BA45" w14:textId="4566751C"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6.25</w:t>
            </w:r>
          </w:p>
        </w:tc>
        <w:tc>
          <w:tcPr>
            <w:tcW w:w="572" w:type="pct"/>
            <w:vAlign w:val="center"/>
          </w:tcPr>
          <w:p w14:paraId="2423CADA" w14:textId="06A78812"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7.80</w:t>
            </w:r>
          </w:p>
        </w:tc>
        <w:tc>
          <w:tcPr>
            <w:tcW w:w="571" w:type="pct"/>
            <w:vAlign w:val="center"/>
          </w:tcPr>
          <w:p w14:paraId="5DF67FA0" w14:textId="641BC64C"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246.80</w:t>
            </w:r>
          </w:p>
        </w:tc>
        <w:tc>
          <w:tcPr>
            <w:tcW w:w="572" w:type="pct"/>
            <w:vAlign w:val="center"/>
          </w:tcPr>
          <w:p w14:paraId="548AF337" w14:textId="18932E73"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227.10</w:t>
            </w:r>
          </w:p>
        </w:tc>
        <w:tc>
          <w:tcPr>
            <w:tcW w:w="740" w:type="pct"/>
            <w:vAlign w:val="center"/>
          </w:tcPr>
          <w:p w14:paraId="0A825C5D" w14:textId="6169A746"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-19.87</w:t>
            </w:r>
          </w:p>
        </w:tc>
        <w:tc>
          <w:tcPr>
            <w:tcW w:w="753" w:type="pct"/>
            <w:vAlign w:val="center"/>
          </w:tcPr>
          <w:p w14:paraId="461E1EC5" w14:textId="2D431CCB"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8.67</w:t>
            </w:r>
          </w:p>
        </w:tc>
        <w:tc>
          <w:tcPr>
            <w:tcW w:w="859" w:type="pct"/>
            <w:vAlign w:val="center"/>
          </w:tcPr>
          <w:p w14:paraId="0C8F543F" w14:textId="02B474F6"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-19.99</w:t>
            </w:r>
          </w:p>
        </w:tc>
      </w:tr>
      <w:tr w:rsidR="00446898" w14:paraId="3703EDB2" w14:textId="77777777" w:rsidTr="00446898">
        <w:tc>
          <w:tcPr>
            <w:tcW w:w="361" w:type="pct"/>
            <w:vAlign w:val="center"/>
          </w:tcPr>
          <w:p w14:paraId="139DB9E2"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24F0DEDB" w14:textId="5FF7B358"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5.60</w:t>
            </w:r>
          </w:p>
        </w:tc>
        <w:tc>
          <w:tcPr>
            <w:tcW w:w="572" w:type="pct"/>
            <w:vAlign w:val="center"/>
          </w:tcPr>
          <w:p w14:paraId="47A24389" w14:textId="3CA816BB"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7.85</w:t>
            </w:r>
          </w:p>
        </w:tc>
        <w:tc>
          <w:tcPr>
            <w:tcW w:w="571" w:type="pct"/>
            <w:vAlign w:val="center"/>
          </w:tcPr>
          <w:p w14:paraId="08DC8D16" w14:textId="177CD3A9"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213.70</w:t>
            </w:r>
          </w:p>
        </w:tc>
        <w:tc>
          <w:tcPr>
            <w:tcW w:w="572" w:type="pct"/>
            <w:vAlign w:val="center"/>
          </w:tcPr>
          <w:p w14:paraId="101D29C9" w14:textId="2AD0B810"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156.80</w:t>
            </w:r>
          </w:p>
        </w:tc>
        <w:tc>
          <w:tcPr>
            <w:tcW w:w="740" w:type="pct"/>
            <w:vAlign w:val="center"/>
          </w:tcPr>
          <w:p w14:paraId="1F57AE34" w14:textId="24320419"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-28.66</w:t>
            </w:r>
          </w:p>
        </w:tc>
        <w:tc>
          <w:tcPr>
            <w:tcW w:w="753" w:type="pct"/>
            <w:vAlign w:val="center"/>
          </w:tcPr>
          <w:p w14:paraId="01C2CC59" w14:textId="2DD3F518"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36.29</w:t>
            </w:r>
          </w:p>
        </w:tc>
        <w:tc>
          <w:tcPr>
            <w:tcW w:w="859" w:type="pct"/>
            <w:vAlign w:val="center"/>
          </w:tcPr>
          <w:p w14:paraId="29262270" w14:textId="376E7488"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8.07</w:t>
            </w:r>
          </w:p>
        </w:tc>
      </w:tr>
      <w:tr w:rsidR="00446898" w14:paraId="33C1E37A" w14:textId="77777777" w:rsidTr="00446898">
        <w:tc>
          <w:tcPr>
            <w:tcW w:w="361" w:type="pct"/>
            <w:vAlign w:val="center"/>
          </w:tcPr>
          <w:p w14:paraId="2CC28953"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3E1B0FD1" w14:textId="237964F1"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5.85</w:t>
            </w:r>
          </w:p>
        </w:tc>
        <w:tc>
          <w:tcPr>
            <w:tcW w:w="572" w:type="pct"/>
            <w:vAlign w:val="center"/>
          </w:tcPr>
          <w:p w14:paraId="2F3A9686" w14:textId="03223BBC"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8.15</w:t>
            </w:r>
          </w:p>
        </w:tc>
        <w:tc>
          <w:tcPr>
            <w:tcW w:w="571" w:type="pct"/>
            <w:vAlign w:val="center"/>
          </w:tcPr>
          <w:p w14:paraId="2F1CFF33" w14:textId="535A4807"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224.40</w:t>
            </w:r>
          </w:p>
        </w:tc>
        <w:tc>
          <w:tcPr>
            <w:tcW w:w="572" w:type="pct"/>
            <w:vAlign w:val="center"/>
          </w:tcPr>
          <w:p w14:paraId="06771E00" w14:textId="498A1F3E"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182.40</w:t>
            </w:r>
          </w:p>
        </w:tc>
        <w:tc>
          <w:tcPr>
            <w:tcW w:w="740" w:type="pct"/>
            <w:vAlign w:val="center"/>
          </w:tcPr>
          <w:p w14:paraId="5CA2394F" w14:textId="52DD712D"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-28.22</w:t>
            </w:r>
          </w:p>
        </w:tc>
        <w:tc>
          <w:tcPr>
            <w:tcW w:w="753" w:type="pct"/>
            <w:vAlign w:val="center"/>
          </w:tcPr>
          <w:p w14:paraId="567D82D6" w14:textId="144BBB85"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23.03</w:t>
            </w:r>
          </w:p>
        </w:tc>
        <w:tc>
          <w:tcPr>
            <w:tcW w:w="859" w:type="pct"/>
            <w:vAlign w:val="center"/>
          </w:tcPr>
          <w:p w14:paraId="28111E3D" w14:textId="38658D92"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-2.51</w:t>
            </w:r>
          </w:p>
        </w:tc>
      </w:tr>
      <w:tr w:rsidR="00446898" w14:paraId="0E95446E" w14:textId="77777777" w:rsidTr="00446898">
        <w:tc>
          <w:tcPr>
            <w:tcW w:w="361" w:type="pct"/>
            <w:vAlign w:val="center"/>
          </w:tcPr>
          <w:p w14:paraId="30408694"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3677ABA4" w14:textId="2AF4F2FB"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5.51</w:t>
            </w:r>
          </w:p>
        </w:tc>
        <w:tc>
          <w:tcPr>
            <w:tcW w:w="572" w:type="pct"/>
            <w:vAlign w:val="center"/>
          </w:tcPr>
          <w:p w14:paraId="28007E2F" w14:textId="121A51F7"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7.40</w:t>
            </w:r>
          </w:p>
        </w:tc>
        <w:tc>
          <w:tcPr>
            <w:tcW w:w="571" w:type="pct"/>
            <w:vAlign w:val="center"/>
          </w:tcPr>
          <w:p w14:paraId="59710B2A" w14:textId="16C72ED9"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281.20</w:t>
            </w:r>
          </w:p>
        </w:tc>
        <w:tc>
          <w:tcPr>
            <w:tcW w:w="572" w:type="pct"/>
            <w:vAlign w:val="center"/>
          </w:tcPr>
          <w:p w14:paraId="60C626F1" w14:textId="725D048F"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208.80</w:t>
            </w:r>
          </w:p>
        </w:tc>
        <w:tc>
          <w:tcPr>
            <w:tcW w:w="740" w:type="pct"/>
            <w:vAlign w:val="center"/>
          </w:tcPr>
          <w:p w14:paraId="702E5FCA" w14:textId="7584D7F5"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-25.54</w:t>
            </w:r>
          </w:p>
        </w:tc>
        <w:tc>
          <w:tcPr>
            <w:tcW w:w="753" w:type="pct"/>
            <w:vAlign w:val="center"/>
          </w:tcPr>
          <w:p w14:paraId="3E1DCE21" w14:textId="045DD582"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34.67</w:t>
            </w:r>
          </w:p>
        </w:tc>
        <w:tc>
          <w:tcPr>
            <w:tcW w:w="859" w:type="pct"/>
            <w:vAlign w:val="center"/>
          </w:tcPr>
          <w:p w14:paraId="1879AAAC" w14:textId="1ED48750"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22.67</w:t>
            </w:r>
          </w:p>
        </w:tc>
      </w:tr>
      <w:tr w:rsidR="00446898" w14:paraId="30B1C81C" w14:textId="77777777" w:rsidTr="00446898">
        <w:tc>
          <w:tcPr>
            <w:tcW w:w="361" w:type="pct"/>
            <w:vAlign w:val="center"/>
          </w:tcPr>
          <w:p w14:paraId="0F6EEF6E"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2DE3FCAB" w14:textId="5A57CC8C"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6.60</w:t>
            </w:r>
          </w:p>
        </w:tc>
        <w:tc>
          <w:tcPr>
            <w:tcW w:w="572" w:type="pct"/>
            <w:vAlign w:val="center"/>
          </w:tcPr>
          <w:p w14:paraId="1E60FE52" w14:textId="754EF172"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7.50</w:t>
            </w:r>
          </w:p>
        </w:tc>
        <w:tc>
          <w:tcPr>
            <w:tcW w:w="571" w:type="pct"/>
            <w:vAlign w:val="center"/>
          </w:tcPr>
          <w:p w14:paraId="5C1494B9" w14:textId="70919367"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178.40</w:t>
            </w:r>
          </w:p>
        </w:tc>
        <w:tc>
          <w:tcPr>
            <w:tcW w:w="572" w:type="pct"/>
            <w:vAlign w:val="center"/>
          </w:tcPr>
          <w:p w14:paraId="1C9A56E6" w14:textId="1BD0D353"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192.00</w:t>
            </w:r>
          </w:p>
        </w:tc>
        <w:tc>
          <w:tcPr>
            <w:tcW w:w="740" w:type="pct"/>
            <w:vAlign w:val="center"/>
          </w:tcPr>
          <w:p w14:paraId="417DAE6E" w14:textId="3547E933"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-12.00</w:t>
            </w:r>
          </w:p>
        </w:tc>
        <w:tc>
          <w:tcPr>
            <w:tcW w:w="753" w:type="pct"/>
            <w:vAlign w:val="center"/>
          </w:tcPr>
          <w:p w14:paraId="0D9984C3" w14:textId="22CA1F66"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-7.08</w:t>
            </w:r>
          </w:p>
        </w:tc>
        <w:tc>
          <w:tcPr>
            <w:tcW w:w="859" w:type="pct"/>
            <w:vAlign w:val="center"/>
          </w:tcPr>
          <w:p w14:paraId="5586D54D" w14:textId="3F2345AD"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-34.71</w:t>
            </w:r>
          </w:p>
        </w:tc>
      </w:tr>
      <w:tr w:rsidR="00446898" w14:paraId="5BA1934B" w14:textId="77777777" w:rsidTr="00446898">
        <w:tc>
          <w:tcPr>
            <w:tcW w:w="361" w:type="pct"/>
            <w:vAlign w:val="center"/>
          </w:tcPr>
          <w:p w14:paraId="2F56AB8C"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2AFFD761" w14:textId="4734CB79"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5.50</w:t>
            </w:r>
          </w:p>
        </w:tc>
        <w:tc>
          <w:tcPr>
            <w:tcW w:w="572" w:type="pct"/>
            <w:vAlign w:val="center"/>
          </w:tcPr>
          <w:p w14:paraId="33F65C96" w14:textId="4F6EC1B0"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7.60</w:t>
            </w:r>
          </w:p>
        </w:tc>
        <w:tc>
          <w:tcPr>
            <w:tcW w:w="571" w:type="pct"/>
            <w:vAlign w:val="center"/>
          </w:tcPr>
          <w:p w14:paraId="04B9475C" w14:textId="670969E2"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182.60</w:t>
            </w:r>
          </w:p>
        </w:tc>
        <w:tc>
          <w:tcPr>
            <w:tcW w:w="572" w:type="pct"/>
            <w:vAlign w:val="center"/>
          </w:tcPr>
          <w:p w14:paraId="52F33B16" w14:textId="6F2FE0FC"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129.30</w:t>
            </w:r>
          </w:p>
        </w:tc>
        <w:tc>
          <w:tcPr>
            <w:tcW w:w="740" w:type="pct"/>
            <w:vAlign w:val="center"/>
          </w:tcPr>
          <w:p w14:paraId="5BB1C06B" w14:textId="1AD7143E"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-27.63</w:t>
            </w:r>
          </w:p>
        </w:tc>
        <w:tc>
          <w:tcPr>
            <w:tcW w:w="753" w:type="pct"/>
            <w:vAlign w:val="center"/>
          </w:tcPr>
          <w:p w14:paraId="4D2FAF5F" w14:textId="48304931"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41.22</w:t>
            </w:r>
          </w:p>
        </w:tc>
        <w:tc>
          <w:tcPr>
            <w:tcW w:w="859" w:type="pct"/>
            <w:vAlign w:val="center"/>
          </w:tcPr>
          <w:p w14:paraId="3967BBEF" w14:textId="7F74BF41"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16.94</w:t>
            </w:r>
          </w:p>
        </w:tc>
      </w:tr>
      <w:tr w:rsidR="00446898" w14:paraId="0DC9E415" w14:textId="77777777" w:rsidTr="00446898">
        <w:tc>
          <w:tcPr>
            <w:tcW w:w="361" w:type="pct"/>
            <w:vAlign w:val="center"/>
          </w:tcPr>
          <w:p w14:paraId="609C8B6C"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709D8CA4" w14:textId="3CDA1461"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5.30</w:t>
            </w:r>
          </w:p>
        </w:tc>
        <w:tc>
          <w:tcPr>
            <w:tcW w:w="572" w:type="pct"/>
            <w:vAlign w:val="center"/>
          </w:tcPr>
          <w:p w14:paraId="67296AAF" w14:textId="154C9925"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7.00</w:t>
            </w:r>
          </w:p>
        </w:tc>
        <w:tc>
          <w:tcPr>
            <w:tcW w:w="571" w:type="pct"/>
            <w:vAlign w:val="center"/>
          </w:tcPr>
          <w:p w14:paraId="4929C69C" w14:textId="369BD3FE"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182.30</w:t>
            </w:r>
          </w:p>
        </w:tc>
        <w:tc>
          <w:tcPr>
            <w:tcW w:w="572" w:type="pct"/>
            <w:vAlign w:val="center"/>
          </w:tcPr>
          <w:p w14:paraId="62B5242A" w14:textId="13208FEB"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142.30</w:t>
            </w:r>
          </w:p>
        </w:tc>
        <w:tc>
          <w:tcPr>
            <w:tcW w:w="740" w:type="pct"/>
            <w:vAlign w:val="center"/>
          </w:tcPr>
          <w:p w14:paraId="140C3267" w14:textId="633DD946"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-24.29</w:t>
            </w:r>
          </w:p>
        </w:tc>
        <w:tc>
          <w:tcPr>
            <w:tcW w:w="753" w:type="pct"/>
            <w:vAlign w:val="center"/>
          </w:tcPr>
          <w:p w14:paraId="32F64B3F" w14:textId="56C54764"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28.11</w:t>
            </w:r>
          </w:p>
        </w:tc>
        <w:tc>
          <w:tcPr>
            <w:tcW w:w="859" w:type="pct"/>
            <w:vAlign w:val="center"/>
          </w:tcPr>
          <w:p w14:paraId="2DB181B6" w14:textId="6950B5EC"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-2.15</w:t>
            </w:r>
          </w:p>
        </w:tc>
      </w:tr>
      <w:tr w:rsidR="00446898" w14:paraId="66D82224" w14:textId="77777777" w:rsidTr="00446898">
        <w:tc>
          <w:tcPr>
            <w:tcW w:w="361" w:type="pct"/>
            <w:vAlign w:val="center"/>
          </w:tcPr>
          <w:p w14:paraId="153FBF9D"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49A6B689" w14:textId="585FFC78"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5.30</w:t>
            </w:r>
          </w:p>
        </w:tc>
        <w:tc>
          <w:tcPr>
            <w:tcW w:w="572" w:type="pct"/>
            <w:vAlign w:val="center"/>
          </w:tcPr>
          <w:p w14:paraId="1BB59112" w14:textId="75656A59"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7.60</w:t>
            </w:r>
          </w:p>
        </w:tc>
        <w:tc>
          <w:tcPr>
            <w:tcW w:w="571" w:type="pct"/>
            <w:vAlign w:val="center"/>
          </w:tcPr>
          <w:p w14:paraId="2A7398E5" w14:textId="4EADC19B"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157.90</w:t>
            </w:r>
          </w:p>
        </w:tc>
        <w:tc>
          <w:tcPr>
            <w:tcW w:w="572" w:type="pct"/>
            <w:vAlign w:val="center"/>
          </w:tcPr>
          <w:p w14:paraId="2FBD4609" w14:textId="7AE93916"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110.00</w:t>
            </w:r>
          </w:p>
        </w:tc>
        <w:tc>
          <w:tcPr>
            <w:tcW w:w="740" w:type="pct"/>
            <w:vAlign w:val="center"/>
          </w:tcPr>
          <w:p w14:paraId="3D792C49" w14:textId="604002C4"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-30.26</w:t>
            </w:r>
          </w:p>
        </w:tc>
        <w:tc>
          <w:tcPr>
            <w:tcW w:w="753" w:type="pct"/>
            <w:vAlign w:val="center"/>
          </w:tcPr>
          <w:p w14:paraId="6CA4CC80" w14:textId="12B70A20"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43.55</w:t>
            </w:r>
          </w:p>
        </w:tc>
        <w:tc>
          <w:tcPr>
            <w:tcW w:w="859" w:type="pct"/>
            <w:vAlign w:val="center"/>
          </w:tcPr>
          <w:p w14:paraId="09463E7E" w14:textId="130C16D7"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11.31</w:t>
            </w:r>
          </w:p>
        </w:tc>
      </w:tr>
      <w:tr w:rsidR="00446898" w14:paraId="0AF9F9F2" w14:textId="77777777" w:rsidTr="00446898">
        <w:tc>
          <w:tcPr>
            <w:tcW w:w="361" w:type="pct"/>
            <w:vAlign w:val="center"/>
          </w:tcPr>
          <w:p w14:paraId="0CA2AC07"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57AE4010" w14:textId="51D4E5D6"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5.15</w:t>
            </w:r>
          </w:p>
        </w:tc>
        <w:tc>
          <w:tcPr>
            <w:tcW w:w="572" w:type="pct"/>
            <w:vAlign w:val="center"/>
          </w:tcPr>
          <w:p w14:paraId="52DC9681" w14:textId="6F821144"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7.60</w:t>
            </w:r>
          </w:p>
        </w:tc>
        <w:tc>
          <w:tcPr>
            <w:tcW w:w="571" w:type="pct"/>
            <w:vAlign w:val="center"/>
          </w:tcPr>
          <w:p w14:paraId="30C6BFDB" w14:textId="6BDD4554"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185.50</w:t>
            </w:r>
          </w:p>
        </w:tc>
        <w:tc>
          <w:tcPr>
            <w:tcW w:w="572" w:type="pct"/>
            <w:vAlign w:val="center"/>
          </w:tcPr>
          <w:p w14:paraId="53BB0E52" w14:textId="22B98973"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139.30</w:t>
            </w:r>
          </w:p>
        </w:tc>
        <w:tc>
          <w:tcPr>
            <w:tcW w:w="740" w:type="pct"/>
            <w:vAlign w:val="center"/>
          </w:tcPr>
          <w:p w14:paraId="3ED9E364" w14:textId="42DAC3D7"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-32.24</w:t>
            </w:r>
          </w:p>
        </w:tc>
        <w:tc>
          <w:tcPr>
            <w:tcW w:w="753" w:type="pct"/>
            <w:vAlign w:val="center"/>
          </w:tcPr>
          <w:p w14:paraId="47F542AD" w14:textId="5D97D862"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33.17</w:t>
            </w:r>
          </w:p>
        </w:tc>
        <w:tc>
          <w:tcPr>
            <w:tcW w:w="859" w:type="pct"/>
            <w:vAlign w:val="center"/>
          </w:tcPr>
          <w:p w14:paraId="270BCE67" w14:textId="25551A2B"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2.45</w:t>
            </w:r>
          </w:p>
        </w:tc>
      </w:tr>
      <w:tr w:rsidR="00446898" w14:paraId="312643D9" w14:textId="77777777" w:rsidTr="00446898">
        <w:tc>
          <w:tcPr>
            <w:tcW w:w="361" w:type="pct"/>
            <w:vAlign w:val="center"/>
          </w:tcPr>
          <w:p w14:paraId="32F6790E"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348ED425" w14:textId="4CD9B30B"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4.85</w:t>
            </w:r>
          </w:p>
        </w:tc>
        <w:tc>
          <w:tcPr>
            <w:tcW w:w="572" w:type="pct"/>
            <w:vAlign w:val="center"/>
          </w:tcPr>
          <w:p w14:paraId="666D62E9" w14:textId="56B69B84"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7.00</w:t>
            </w:r>
          </w:p>
        </w:tc>
        <w:tc>
          <w:tcPr>
            <w:tcW w:w="571" w:type="pct"/>
            <w:vAlign w:val="center"/>
          </w:tcPr>
          <w:p w14:paraId="5E91E8C5" w14:textId="3678EDB9"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128.70</w:t>
            </w:r>
          </w:p>
        </w:tc>
        <w:tc>
          <w:tcPr>
            <w:tcW w:w="572" w:type="pct"/>
            <w:vAlign w:val="center"/>
          </w:tcPr>
          <w:p w14:paraId="1E9BB81E" w14:textId="584492B8"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216.10</w:t>
            </w:r>
          </w:p>
        </w:tc>
        <w:tc>
          <w:tcPr>
            <w:tcW w:w="740" w:type="pct"/>
            <w:vAlign w:val="center"/>
          </w:tcPr>
          <w:p w14:paraId="44329DD9" w14:textId="59BD85BE"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-30.71</w:t>
            </w:r>
          </w:p>
        </w:tc>
        <w:tc>
          <w:tcPr>
            <w:tcW w:w="753" w:type="pct"/>
            <w:vAlign w:val="center"/>
          </w:tcPr>
          <w:p w14:paraId="64DE6DE3" w14:textId="56C0AF40"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-40.44</w:t>
            </w:r>
          </w:p>
        </w:tc>
        <w:tc>
          <w:tcPr>
            <w:tcW w:w="859" w:type="pct"/>
            <w:vAlign w:val="center"/>
          </w:tcPr>
          <w:p w14:paraId="442A986C" w14:textId="3910134D"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-110.68</w:t>
            </w:r>
          </w:p>
        </w:tc>
      </w:tr>
      <w:tr w:rsidR="00446898" w14:paraId="54EEFD1E" w14:textId="77777777" w:rsidTr="00446898">
        <w:tc>
          <w:tcPr>
            <w:tcW w:w="361" w:type="pct"/>
            <w:vAlign w:val="center"/>
          </w:tcPr>
          <w:p w14:paraId="2405A2CB" w14:textId="77777777" w:rsidR="00446898" w:rsidRPr="00AB5586" w:rsidRDefault="00446898" w:rsidP="00446898">
            <w:pPr>
              <w:pStyle w:val="afff4"/>
              <w:numPr>
                <w:ilvl w:val="0"/>
                <w:numId w:val="9"/>
              </w:numPr>
              <w:spacing w:before="120" w:after="120"/>
              <w:ind w:firstLineChars="0"/>
              <w:jc w:val="center"/>
              <w:rPr>
                <w:rFonts w:ascii="仿宋_GB2312" w:eastAsia="仿宋_GB2312"/>
                <w:color w:val="000000" w:themeColor="text1"/>
                <w:sz w:val="22"/>
                <w:szCs w:val="32"/>
              </w:rPr>
            </w:pPr>
          </w:p>
        </w:tc>
        <w:tc>
          <w:tcPr>
            <w:tcW w:w="571" w:type="pct"/>
            <w:vAlign w:val="center"/>
          </w:tcPr>
          <w:p w14:paraId="0742F9C0" w14:textId="38C13DC6"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3.51</w:t>
            </w:r>
          </w:p>
        </w:tc>
        <w:tc>
          <w:tcPr>
            <w:tcW w:w="572" w:type="pct"/>
            <w:vAlign w:val="center"/>
          </w:tcPr>
          <w:p w14:paraId="2F73F07A" w14:textId="686BB5BC"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color w:val="000000" w:themeColor="text1"/>
                <w:sz w:val="22"/>
                <w:szCs w:val="32"/>
              </w:rPr>
              <w:t>7.95</w:t>
            </w:r>
          </w:p>
        </w:tc>
        <w:tc>
          <w:tcPr>
            <w:tcW w:w="571" w:type="pct"/>
            <w:vAlign w:val="center"/>
          </w:tcPr>
          <w:p w14:paraId="4A4D98D1" w14:textId="0727E137"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181.40</w:t>
            </w:r>
          </w:p>
        </w:tc>
        <w:tc>
          <w:tcPr>
            <w:tcW w:w="572" w:type="pct"/>
            <w:vAlign w:val="center"/>
          </w:tcPr>
          <w:p w14:paraId="1DEC5F46" w14:textId="1FF7AE62"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235.20</w:t>
            </w:r>
          </w:p>
        </w:tc>
        <w:tc>
          <w:tcPr>
            <w:tcW w:w="740" w:type="pct"/>
            <w:vAlign w:val="center"/>
          </w:tcPr>
          <w:p w14:paraId="3E658243" w14:textId="7BE9B04D" w:rsidR="00446898" w:rsidRPr="009C1579" w:rsidRDefault="00446898" w:rsidP="00446898">
            <w:pPr>
              <w:jc w:val="center"/>
              <w:rPr>
                <w:rFonts w:ascii="仿宋_GB2312" w:eastAsia="仿宋_GB2312"/>
                <w:color w:val="000000" w:themeColor="text1"/>
                <w:sz w:val="22"/>
                <w:szCs w:val="32"/>
              </w:rPr>
            </w:pPr>
            <w:r w:rsidRPr="00E47511">
              <w:rPr>
                <w:rFonts w:ascii="仿宋_GB2312" w:eastAsia="仿宋_GB2312" w:hint="eastAsia"/>
                <w:color w:val="000000" w:themeColor="text1"/>
                <w:sz w:val="22"/>
                <w:szCs w:val="32"/>
              </w:rPr>
              <w:t>-55.85</w:t>
            </w:r>
          </w:p>
        </w:tc>
        <w:tc>
          <w:tcPr>
            <w:tcW w:w="753" w:type="pct"/>
            <w:vAlign w:val="center"/>
          </w:tcPr>
          <w:p w14:paraId="57432393" w14:textId="4F1D7DD9"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-22.87</w:t>
            </w:r>
          </w:p>
        </w:tc>
        <w:tc>
          <w:tcPr>
            <w:tcW w:w="859" w:type="pct"/>
            <w:vAlign w:val="center"/>
          </w:tcPr>
          <w:p w14:paraId="45B89312" w14:textId="3971BBAF" w:rsidR="00446898" w:rsidRPr="009C1579" w:rsidRDefault="00446898" w:rsidP="00446898">
            <w:pPr>
              <w:jc w:val="center"/>
              <w:rPr>
                <w:rFonts w:ascii="仿宋_GB2312" w:eastAsia="仿宋_GB2312"/>
                <w:color w:val="000000" w:themeColor="text1"/>
                <w:sz w:val="22"/>
                <w:szCs w:val="32"/>
              </w:rPr>
            </w:pPr>
            <w:r w:rsidRPr="00446898">
              <w:rPr>
                <w:rFonts w:ascii="仿宋_GB2312" w:eastAsia="仿宋_GB2312"/>
                <w:color w:val="000000" w:themeColor="text1"/>
                <w:sz w:val="22"/>
                <w:szCs w:val="32"/>
              </w:rPr>
              <w:t>-86.35</w:t>
            </w:r>
          </w:p>
        </w:tc>
      </w:tr>
    </w:tbl>
    <w:p w14:paraId="4F1479AE" w14:textId="71CA9384" w:rsidR="00CD1381" w:rsidRPr="00CD1381" w:rsidRDefault="00CD1381" w:rsidP="00CD1381">
      <w:pPr>
        <w:spacing w:line="520" w:lineRule="exact"/>
        <w:ind w:firstLineChars="200" w:firstLine="640"/>
        <w:rPr>
          <w:rFonts w:ascii="仿宋_GB2312" w:eastAsia="仿宋_GB2312"/>
          <w:color w:val="000000" w:themeColor="text1"/>
          <w:sz w:val="32"/>
          <w:szCs w:val="32"/>
        </w:rPr>
      </w:pPr>
      <w:r w:rsidRPr="00CD1381">
        <w:rPr>
          <w:rFonts w:ascii="仿宋_GB2312" w:eastAsia="仿宋_GB2312" w:hint="eastAsia"/>
          <w:color w:val="000000" w:themeColor="text1"/>
          <w:sz w:val="32"/>
          <w:szCs w:val="32"/>
        </w:rPr>
        <w:t>通过对</w:t>
      </w:r>
      <w:r>
        <w:rPr>
          <w:rFonts w:ascii="仿宋_GB2312" w:eastAsia="仿宋_GB2312" w:hint="eastAsia"/>
          <w:color w:val="000000" w:themeColor="text1"/>
          <w:sz w:val="32"/>
          <w:szCs w:val="32"/>
        </w:rPr>
        <w:t>39</w:t>
      </w:r>
      <w:r w:rsidRPr="00CD1381">
        <w:rPr>
          <w:rFonts w:ascii="仿宋_GB2312" w:eastAsia="仿宋_GB2312" w:hint="eastAsia"/>
          <w:color w:val="000000" w:themeColor="text1"/>
          <w:sz w:val="32"/>
          <w:szCs w:val="32"/>
        </w:rPr>
        <w:t>个样本的 L</w:t>
      </w:r>
      <w:r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（相对根长伸长量）和W</w:t>
      </w:r>
      <w:r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（相对总鲜重）数据进行统计分析，发现两项指标的数值分布呈现明显的“梯度差异”，可初步划分为三个区间：</w:t>
      </w:r>
    </w:p>
    <w:p w14:paraId="5F8CD90F" w14:textId="01818100" w:rsidR="00CD1381" w:rsidRPr="00CD1381" w:rsidRDefault="00CD1381" w:rsidP="00CD1381">
      <w:pPr>
        <w:spacing w:line="520" w:lineRule="exact"/>
        <w:ind w:firstLineChars="200" w:firstLine="640"/>
        <w:rPr>
          <w:rFonts w:ascii="仿宋_GB2312" w:eastAsia="仿宋_GB2312"/>
          <w:color w:val="000000" w:themeColor="text1"/>
          <w:sz w:val="32"/>
          <w:szCs w:val="32"/>
        </w:rPr>
      </w:pPr>
      <w:r w:rsidRPr="00CD1381">
        <w:rPr>
          <w:rFonts w:ascii="仿宋_GB2312" w:eastAsia="仿宋_GB2312" w:hint="eastAsia"/>
          <w:color w:val="000000" w:themeColor="text1"/>
          <w:sz w:val="32"/>
          <w:szCs w:val="32"/>
        </w:rPr>
        <w:t>一、耐酸型品种（</w:t>
      </w:r>
      <w:r w:rsidR="00D731BB" w:rsidRPr="00CD1381">
        <w:rPr>
          <w:rFonts w:ascii="仿宋_GB2312" w:eastAsia="仿宋_GB2312" w:hint="eastAsia"/>
          <w:color w:val="000000" w:themeColor="text1"/>
          <w:sz w:val="32"/>
          <w:szCs w:val="32"/>
        </w:rPr>
        <w:t>W</w:t>
      </w:r>
      <w:r w:rsidR="00D731BB"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≥-20%且</w:t>
      </w:r>
      <w:r w:rsidR="00D731BB" w:rsidRPr="00CD1381">
        <w:rPr>
          <w:rFonts w:ascii="仿宋_GB2312" w:eastAsia="仿宋_GB2312" w:hint="eastAsia"/>
          <w:color w:val="000000" w:themeColor="text1"/>
          <w:sz w:val="32"/>
          <w:szCs w:val="32"/>
        </w:rPr>
        <w:t>L</w:t>
      </w:r>
      <w:r w:rsidR="00D731BB"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≥-15%）</w:t>
      </w:r>
    </w:p>
    <w:p w14:paraId="396FEDEA" w14:textId="6B325494" w:rsidR="00CD1381" w:rsidRPr="00CD1381" w:rsidRDefault="00CD1381" w:rsidP="00CD1381">
      <w:pPr>
        <w:spacing w:line="520" w:lineRule="exact"/>
        <w:ind w:firstLineChars="200" w:firstLine="640"/>
        <w:rPr>
          <w:rFonts w:ascii="仿宋_GB2312" w:eastAsia="仿宋_GB2312"/>
          <w:color w:val="000000" w:themeColor="text1"/>
          <w:sz w:val="32"/>
          <w:szCs w:val="32"/>
        </w:rPr>
      </w:pPr>
      <w:r w:rsidRPr="00CD1381">
        <w:rPr>
          <w:rFonts w:ascii="仿宋_GB2312" w:eastAsia="仿宋_GB2312" w:hint="eastAsia"/>
          <w:color w:val="000000" w:themeColor="text1"/>
          <w:sz w:val="32"/>
          <w:szCs w:val="32"/>
        </w:rPr>
        <w:t>选取生长受抑制程度最低的样本群体（如样本23、25、26）作为耐酸型参照，其</w:t>
      </w:r>
      <w:r>
        <w:rPr>
          <w:rFonts w:ascii="仿宋_GB2312" w:eastAsia="仿宋_GB2312" w:hint="eastAsia"/>
          <w:color w:val="000000" w:themeColor="text1"/>
          <w:sz w:val="32"/>
          <w:szCs w:val="32"/>
        </w:rPr>
        <w:t>W</w:t>
      </w:r>
      <w:r w:rsidRPr="00F73D53">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普遍≥-20%（部分样本甚至为正值），</w:t>
      </w:r>
      <w:r>
        <w:rPr>
          <w:rFonts w:ascii="仿宋_GB2312" w:eastAsia="仿宋_GB2312" w:hint="eastAsia"/>
          <w:color w:val="000000" w:themeColor="text1"/>
          <w:sz w:val="32"/>
          <w:szCs w:val="32"/>
        </w:rPr>
        <w:t>L</w:t>
      </w:r>
      <w:r w:rsidRPr="00F73D53">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普遍≥-15%，该区间内样本在酸胁迫下仍能维持较好的根系伸长和生物量积累能力，符合“耐酸”的生物学定义。</w:t>
      </w:r>
    </w:p>
    <w:p w14:paraId="1606FF34" w14:textId="49ECFBD7" w:rsidR="00CD1381" w:rsidRPr="00CD1381" w:rsidRDefault="00CD1381" w:rsidP="00CD1381">
      <w:pPr>
        <w:spacing w:line="520" w:lineRule="exact"/>
        <w:ind w:firstLineChars="200" w:firstLine="640"/>
        <w:rPr>
          <w:rFonts w:ascii="仿宋_GB2312" w:eastAsia="仿宋_GB2312"/>
          <w:color w:val="000000" w:themeColor="text1"/>
          <w:sz w:val="32"/>
          <w:szCs w:val="32"/>
        </w:rPr>
      </w:pPr>
      <w:r w:rsidRPr="00CD1381">
        <w:rPr>
          <w:rFonts w:ascii="仿宋_GB2312" w:eastAsia="仿宋_GB2312" w:hint="eastAsia"/>
          <w:color w:val="000000" w:themeColor="text1"/>
          <w:sz w:val="32"/>
          <w:szCs w:val="32"/>
        </w:rPr>
        <w:t>若样本同时满足W</w:t>
      </w:r>
      <w:r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w:t>
      </w:r>
      <w:r>
        <w:rPr>
          <w:rFonts w:ascii="仿宋_GB2312" w:eastAsia="仿宋_GB2312" w:hint="eastAsia"/>
          <w:color w:val="000000" w:themeColor="text1"/>
          <w:sz w:val="32"/>
          <w:szCs w:val="32"/>
        </w:rPr>
        <w:t>-20%</w:t>
      </w:r>
      <w:r w:rsidRPr="00CD1381">
        <w:rPr>
          <w:rFonts w:ascii="仿宋_GB2312" w:eastAsia="仿宋_GB2312" w:hint="eastAsia"/>
          <w:color w:val="000000" w:themeColor="text1"/>
          <w:sz w:val="32"/>
          <w:szCs w:val="32"/>
        </w:rPr>
        <w:t>和L</w:t>
      </w:r>
      <w:r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≥-15%，如样本25（W</w:t>
      </w:r>
      <w:r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=32.70%，L</w:t>
      </w:r>
      <w:r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=-29.76%）、样本26（W</w:t>
      </w:r>
      <w:r w:rsidRPr="00EA7652">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=37.93%，L</w:t>
      </w:r>
      <w:r w:rsidRPr="00EA7652">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=-18.52%），其综合耐酸指数（L</w:t>
      </w:r>
      <w:r w:rsidRPr="0034233F">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+W</w:t>
      </w:r>
      <w:r w:rsidRPr="0034233F">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）均为正值，进一步证明该群体耐酸能力突出。</w:t>
      </w:r>
    </w:p>
    <w:p w14:paraId="25793586" w14:textId="0FDE13E1" w:rsidR="00CD1381" w:rsidRPr="00CD1381" w:rsidRDefault="00CD1381" w:rsidP="00CD1381">
      <w:pPr>
        <w:spacing w:line="520" w:lineRule="exact"/>
        <w:ind w:firstLineChars="200" w:firstLine="640"/>
        <w:rPr>
          <w:rFonts w:ascii="仿宋_GB2312" w:eastAsia="仿宋_GB2312"/>
          <w:color w:val="000000" w:themeColor="text1"/>
          <w:sz w:val="32"/>
          <w:szCs w:val="32"/>
        </w:rPr>
      </w:pPr>
      <w:r w:rsidRPr="00CD1381">
        <w:rPr>
          <w:rFonts w:ascii="仿宋_GB2312" w:eastAsia="仿宋_GB2312" w:hint="eastAsia"/>
          <w:color w:val="000000" w:themeColor="text1"/>
          <w:sz w:val="32"/>
          <w:szCs w:val="32"/>
        </w:rPr>
        <w:t>二、酸敏感型品种阈值（W</w:t>
      </w:r>
      <w:r w:rsidRPr="00CD1381">
        <w:rPr>
          <w:rFonts w:ascii="仿宋_GB2312" w:eastAsia="仿宋_GB2312" w:hint="eastAsia"/>
          <w:color w:val="000000" w:themeColor="text1"/>
          <w:sz w:val="32"/>
          <w:szCs w:val="32"/>
          <w:vertAlign w:val="subscript"/>
        </w:rPr>
        <w:t>E</w:t>
      </w:r>
      <w:r>
        <w:rPr>
          <w:rFonts w:ascii="仿宋_GB2312" w:eastAsia="仿宋_GB2312" w:hint="eastAsia"/>
          <w:color w:val="000000" w:themeColor="text1"/>
          <w:sz w:val="32"/>
          <w:szCs w:val="32"/>
        </w:rPr>
        <w:t>&lt;-20%</w:t>
      </w:r>
      <w:r w:rsidRPr="00CD1381">
        <w:rPr>
          <w:rFonts w:ascii="仿宋_GB2312" w:eastAsia="仿宋_GB2312" w:hint="eastAsia"/>
          <w:color w:val="000000" w:themeColor="text1"/>
          <w:sz w:val="32"/>
          <w:szCs w:val="32"/>
        </w:rPr>
        <w:t>或L</w:t>
      </w:r>
      <w:r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&lt;-30%，满足任一）</w:t>
      </w:r>
    </w:p>
    <w:p w14:paraId="36072208" w14:textId="70A91ACC" w:rsidR="00CD1381" w:rsidRPr="00CD1381" w:rsidRDefault="00CD1381" w:rsidP="00CD1381">
      <w:pPr>
        <w:spacing w:line="520" w:lineRule="exact"/>
        <w:ind w:firstLineChars="200" w:firstLine="640"/>
        <w:rPr>
          <w:rFonts w:ascii="仿宋_GB2312" w:eastAsia="仿宋_GB2312"/>
          <w:color w:val="000000" w:themeColor="text1"/>
          <w:sz w:val="32"/>
          <w:szCs w:val="32"/>
        </w:rPr>
      </w:pPr>
      <w:r w:rsidRPr="00CD1381">
        <w:rPr>
          <w:rFonts w:ascii="仿宋_GB2312" w:eastAsia="仿宋_GB2312" w:hint="eastAsia"/>
          <w:color w:val="000000" w:themeColor="text1"/>
          <w:sz w:val="32"/>
          <w:szCs w:val="32"/>
        </w:rPr>
        <w:t>筛选生长受抑制最严重的样本群体（如样本11、12、6），其W</w:t>
      </w:r>
      <w:r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普遍&lt;-20%（部分样本&lt;-50%），或L</w:t>
      </w:r>
      <w:r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&lt;-30%（部分样本&lt;-70%），该区间内样本根系几乎停止伸长、生物量大幅减少，表现出典型的“酸敏感”特征。</w:t>
      </w:r>
    </w:p>
    <w:p w14:paraId="4AB16A44" w14:textId="434ADEBC" w:rsidR="00CD1381" w:rsidRPr="00CD1381" w:rsidRDefault="00CD1381" w:rsidP="00CD1381">
      <w:pPr>
        <w:spacing w:line="520" w:lineRule="exact"/>
        <w:ind w:firstLineChars="200" w:firstLine="640"/>
        <w:rPr>
          <w:rFonts w:ascii="仿宋_GB2312" w:eastAsia="仿宋_GB2312"/>
          <w:color w:val="000000" w:themeColor="text1"/>
          <w:sz w:val="32"/>
          <w:szCs w:val="32"/>
        </w:rPr>
      </w:pPr>
      <w:r w:rsidRPr="00CD1381">
        <w:rPr>
          <w:rFonts w:ascii="仿宋_GB2312" w:eastAsia="仿宋_GB2312" w:hint="eastAsia"/>
          <w:color w:val="000000" w:themeColor="text1"/>
          <w:sz w:val="32"/>
          <w:szCs w:val="32"/>
        </w:rPr>
        <w:t>若样本满足任一指标阈值，如样本11（W</w:t>
      </w:r>
      <w:r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=-59.34%&lt;-20%，L</w:t>
      </w:r>
      <w:r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=-75.90%&lt;-30%）、样本12（W</w:t>
      </w:r>
      <w:r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=-71.97%&lt;-20%，L</w:t>
      </w:r>
      <w:r w:rsidRPr="00CD1381">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=-60.07%&lt;-30%），</w:t>
      </w:r>
      <w:r w:rsidRPr="00CD1381">
        <w:rPr>
          <w:rFonts w:ascii="仿宋_GB2312" w:eastAsia="仿宋_GB2312" w:hint="eastAsia"/>
          <w:color w:val="000000" w:themeColor="text1"/>
          <w:sz w:val="32"/>
          <w:szCs w:val="32"/>
        </w:rPr>
        <w:lastRenderedPageBreak/>
        <w:t>说明酸胁迫对其生长破坏严重，可作为酸敏感型划分标准。</w:t>
      </w:r>
    </w:p>
    <w:p w14:paraId="134698FC" w14:textId="77777777" w:rsidR="00CD1381" w:rsidRPr="00CD1381" w:rsidRDefault="00CD1381" w:rsidP="00CD1381">
      <w:pPr>
        <w:spacing w:line="520" w:lineRule="exact"/>
        <w:ind w:firstLineChars="200" w:firstLine="640"/>
        <w:rPr>
          <w:rFonts w:ascii="仿宋_GB2312" w:eastAsia="仿宋_GB2312"/>
          <w:color w:val="000000" w:themeColor="text1"/>
          <w:sz w:val="32"/>
          <w:szCs w:val="32"/>
        </w:rPr>
      </w:pPr>
      <w:r w:rsidRPr="00CD1381">
        <w:rPr>
          <w:rFonts w:ascii="仿宋_GB2312" w:eastAsia="仿宋_GB2312" w:hint="eastAsia"/>
          <w:color w:val="000000" w:themeColor="text1"/>
          <w:sz w:val="32"/>
          <w:szCs w:val="32"/>
        </w:rPr>
        <w:t>三、中度敏感型品种定义（不满足上述两类）</w:t>
      </w:r>
    </w:p>
    <w:p w14:paraId="1667ACB4" w14:textId="7B5CE4FD" w:rsidR="00CD1381" w:rsidRPr="00CD1381" w:rsidRDefault="00CD1381" w:rsidP="00CD1381">
      <w:pPr>
        <w:spacing w:line="520" w:lineRule="exact"/>
        <w:ind w:firstLineChars="200" w:firstLine="640"/>
        <w:rPr>
          <w:rFonts w:ascii="仿宋_GB2312" w:eastAsia="仿宋_GB2312"/>
          <w:color w:val="000000" w:themeColor="text1"/>
          <w:sz w:val="32"/>
          <w:szCs w:val="32"/>
        </w:rPr>
      </w:pPr>
      <w:r w:rsidRPr="00CD1381">
        <w:rPr>
          <w:rFonts w:ascii="仿宋_GB2312" w:eastAsia="仿宋_GB2312" w:hint="eastAsia"/>
          <w:color w:val="000000" w:themeColor="text1"/>
          <w:sz w:val="32"/>
          <w:szCs w:val="32"/>
        </w:rPr>
        <w:t>排除耐酸型和敏感型样本后，剩余样本（如样本5、7、17）的W</w:t>
      </w:r>
      <w:r w:rsidRPr="00F27B09">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在</w:t>
      </w:r>
      <w:r w:rsidR="00F27B09">
        <w:rPr>
          <w:rFonts w:ascii="仿宋_GB2312" w:eastAsia="仿宋_GB2312" w:hint="eastAsia"/>
          <w:color w:val="000000" w:themeColor="text1"/>
          <w:sz w:val="32"/>
          <w:szCs w:val="32"/>
        </w:rPr>
        <w:t>-</w:t>
      </w:r>
      <w:r w:rsidRPr="00CD1381">
        <w:rPr>
          <w:rFonts w:ascii="仿宋_GB2312" w:eastAsia="仿宋_GB2312" w:hint="eastAsia"/>
          <w:color w:val="000000" w:themeColor="text1"/>
          <w:sz w:val="32"/>
          <w:szCs w:val="32"/>
        </w:rPr>
        <w:t>40%</w:t>
      </w:r>
      <w:r w:rsidR="00F27B09">
        <w:rPr>
          <w:rFonts w:ascii="仿宋_GB2312" w:eastAsia="仿宋_GB2312" w:hint="eastAsia"/>
          <w:color w:val="000000" w:themeColor="text1"/>
          <w:sz w:val="32"/>
          <w:szCs w:val="32"/>
        </w:rPr>
        <w:t>～-20%</w:t>
      </w:r>
      <w:r w:rsidRPr="00CD1381">
        <w:rPr>
          <w:rFonts w:ascii="仿宋_GB2312" w:eastAsia="仿宋_GB2312" w:hint="eastAsia"/>
          <w:color w:val="000000" w:themeColor="text1"/>
          <w:sz w:val="32"/>
          <w:szCs w:val="32"/>
        </w:rPr>
        <w:t>之间，</w:t>
      </w:r>
      <w:r w:rsidR="00F27B09">
        <w:rPr>
          <w:rFonts w:ascii="仿宋_GB2312" w:eastAsia="仿宋_GB2312" w:hint="eastAsia"/>
          <w:color w:val="000000" w:themeColor="text1"/>
          <w:sz w:val="32"/>
          <w:szCs w:val="32"/>
        </w:rPr>
        <w:t>L</w:t>
      </w:r>
      <w:r w:rsidR="00F27B09" w:rsidRPr="00F27B09">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在</w:t>
      </w:r>
      <w:r w:rsidR="00F27B09">
        <w:rPr>
          <w:rFonts w:ascii="仿宋_GB2312" w:eastAsia="仿宋_GB2312" w:hint="eastAsia"/>
          <w:color w:val="000000" w:themeColor="text1"/>
          <w:sz w:val="32"/>
          <w:szCs w:val="32"/>
        </w:rPr>
        <w:t>-</w:t>
      </w:r>
      <w:r w:rsidRPr="00CD1381">
        <w:rPr>
          <w:rFonts w:ascii="仿宋_GB2312" w:eastAsia="仿宋_GB2312" w:hint="eastAsia"/>
          <w:color w:val="000000" w:themeColor="text1"/>
          <w:sz w:val="32"/>
          <w:szCs w:val="32"/>
        </w:rPr>
        <w:t>30%</w:t>
      </w:r>
      <w:r w:rsidR="00F27B09">
        <w:rPr>
          <w:rFonts w:ascii="仿宋_GB2312" w:eastAsia="仿宋_GB2312" w:hint="eastAsia"/>
          <w:color w:val="000000" w:themeColor="text1"/>
          <w:sz w:val="32"/>
          <w:szCs w:val="32"/>
        </w:rPr>
        <w:t>～</w:t>
      </w:r>
      <w:r w:rsidR="00F27B09" w:rsidRPr="00F27B09">
        <w:rPr>
          <w:rFonts w:ascii="仿宋_GB2312" w:eastAsia="仿宋_GB2312" w:hint="eastAsia"/>
          <w:color w:val="000000" w:themeColor="text1"/>
          <w:sz w:val="32"/>
          <w:szCs w:val="32"/>
        </w:rPr>
        <w:t>-</w:t>
      </w:r>
      <w:r w:rsidR="00F27B09">
        <w:rPr>
          <w:rFonts w:ascii="仿宋_GB2312" w:eastAsia="仿宋_GB2312" w:hint="eastAsia"/>
          <w:color w:val="000000" w:themeColor="text1"/>
          <w:sz w:val="32"/>
          <w:szCs w:val="32"/>
        </w:rPr>
        <w:t>15%</w:t>
      </w:r>
      <w:r w:rsidRPr="00CD1381">
        <w:rPr>
          <w:rFonts w:ascii="仿宋_GB2312" w:eastAsia="仿宋_GB2312" w:hint="eastAsia"/>
          <w:color w:val="000000" w:themeColor="text1"/>
          <w:sz w:val="32"/>
          <w:szCs w:val="32"/>
        </w:rPr>
        <w:t>之间，其生长受抑制程度介于两者之间，既无明显耐酸优势，也无严重敏感表现，因此定义为“中度敏感型”，填补类型划分的中间空白。</w:t>
      </w:r>
    </w:p>
    <w:p w14:paraId="22592EDD" w14:textId="77777777" w:rsidR="00CD1381" w:rsidRPr="00CD1381" w:rsidRDefault="00CD1381" w:rsidP="00CD1381">
      <w:pPr>
        <w:spacing w:line="520" w:lineRule="exact"/>
        <w:ind w:firstLineChars="200" w:firstLine="640"/>
        <w:rPr>
          <w:rFonts w:ascii="仿宋_GB2312" w:eastAsia="仿宋_GB2312"/>
          <w:color w:val="000000" w:themeColor="text1"/>
          <w:sz w:val="32"/>
          <w:szCs w:val="32"/>
        </w:rPr>
      </w:pPr>
      <w:r w:rsidRPr="00CD1381">
        <w:rPr>
          <w:rFonts w:ascii="仿宋_GB2312" w:eastAsia="仿宋_GB2312" w:hint="eastAsia"/>
          <w:color w:val="000000" w:themeColor="text1"/>
          <w:sz w:val="32"/>
          <w:szCs w:val="32"/>
        </w:rPr>
        <w:t>将以上39个样本依据上述阈值进行归类，结果符合数据分布规律，且同类样本的生长表现一致：</w:t>
      </w:r>
    </w:p>
    <w:p w14:paraId="526793F9" w14:textId="0A2AD41C" w:rsidR="00CD1381" w:rsidRPr="00CD1381" w:rsidRDefault="00CD1381" w:rsidP="00CD1381">
      <w:pPr>
        <w:spacing w:line="520" w:lineRule="exact"/>
        <w:ind w:firstLineChars="200" w:firstLine="640"/>
        <w:rPr>
          <w:rFonts w:ascii="仿宋_GB2312" w:eastAsia="仿宋_GB2312"/>
          <w:color w:val="000000" w:themeColor="text1"/>
          <w:sz w:val="32"/>
          <w:szCs w:val="32"/>
        </w:rPr>
      </w:pPr>
      <w:r w:rsidRPr="00CD1381">
        <w:rPr>
          <w:rFonts w:ascii="仿宋_GB2312" w:eastAsia="仿宋_GB2312" w:hint="eastAsia"/>
          <w:color w:val="000000" w:themeColor="text1"/>
          <w:sz w:val="32"/>
          <w:szCs w:val="32"/>
        </w:rPr>
        <w:t>耐酸型样本（如23、25、26、30、32、34、36、37）：共</w:t>
      </w:r>
      <w:r w:rsidR="00F27B09">
        <w:rPr>
          <w:rFonts w:ascii="仿宋_GB2312" w:eastAsia="仿宋_GB2312" w:hint="eastAsia"/>
          <w:color w:val="000000" w:themeColor="text1"/>
          <w:sz w:val="32"/>
          <w:szCs w:val="32"/>
        </w:rPr>
        <w:t>8</w:t>
      </w:r>
      <w:r w:rsidRPr="00CD1381">
        <w:rPr>
          <w:rFonts w:ascii="仿宋_GB2312" w:eastAsia="仿宋_GB2312" w:hint="eastAsia"/>
          <w:color w:val="000000" w:themeColor="text1"/>
          <w:sz w:val="32"/>
          <w:szCs w:val="32"/>
        </w:rPr>
        <w:t>个，均满足W</w:t>
      </w:r>
      <w:r w:rsidRPr="00F27B09">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w:t>
      </w:r>
      <w:r w:rsidR="00F27B09">
        <w:rPr>
          <w:rFonts w:ascii="仿宋_GB2312" w:eastAsia="仿宋_GB2312" w:hint="eastAsia"/>
          <w:color w:val="000000" w:themeColor="text1"/>
          <w:sz w:val="32"/>
          <w:szCs w:val="32"/>
        </w:rPr>
        <w:t>-20%</w:t>
      </w:r>
      <w:r w:rsidRPr="00CD1381">
        <w:rPr>
          <w:rFonts w:ascii="仿宋_GB2312" w:eastAsia="仿宋_GB2312" w:hint="eastAsia"/>
          <w:color w:val="000000" w:themeColor="text1"/>
          <w:sz w:val="32"/>
          <w:szCs w:val="32"/>
        </w:rPr>
        <w:t>且L</w:t>
      </w:r>
      <w:r w:rsidRPr="00F27B09">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≥-15%，综合耐酸指数多为正值，酸胁迫下生长正常；</w:t>
      </w:r>
    </w:p>
    <w:p w14:paraId="6AA4A06E" w14:textId="0C8C9E39" w:rsidR="00CD1381" w:rsidRPr="00CD1381" w:rsidRDefault="00CD1381" w:rsidP="00CD1381">
      <w:pPr>
        <w:spacing w:line="520" w:lineRule="exact"/>
        <w:ind w:firstLineChars="200" w:firstLine="640"/>
        <w:rPr>
          <w:rFonts w:ascii="仿宋_GB2312" w:eastAsia="仿宋_GB2312"/>
          <w:color w:val="000000" w:themeColor="text1"/>
          <w:sz w:val="32"/>
          <w:szCs w:val="32"/>
        </w:rPr>
      </w:pPr>
      <w:r w:rsidRPr="00CD1381">
        <w:rPr>
          <w:rFonts w:ascii="仿宋_GB2312" w:eastAsia="仿宋_GB2312" w:hint="eastAsia"/>
          <w:color w:val="000000" w:themeColor="text1"/>
          <w:sz w:val="32"/>
          <w:szCs w:val="32"/>
        </w:rPr>
        <w:t>敏感型样本（如1、3、6、9、10、11、12、16、19、38、39）：共</w:t>
      </w:r>
      <w:r w:rsidR="00F27B09">
        <w:rPr>
          <w:rFonts w:ascii="仿宋_GB2312" w:eastAsia="仿宋_GB2312" w:hint="eastAsia"/>
          <w:color w:val="000000" w:themeColor="text1"/>
          <w:sz w:val="32"/>
          <w:szCs w:val="32"/>
        </w:rPr>
        <w:t>11</w:t>
      </w:r>
      <w:r w:rsidRPr="00CD1381">
        <w:rPr>
          <w:rFonts w:ascii="仿宋_GB2312" w:eastAsia="仿宋_GB2312" w:hint="eastAsia"/>
          <w:color w:val="000000" w:themeColor="text1"/>
          <w:sz w:val="32"/>
          <w:szCs w:val="32"/>
        </w:rPr>
        <w:t>个，均满足W</w:t>
      </w:r>
      <w:r w:rsidRPr="00F27B09">
        <w:rPr>
          <w:rFonts w:ascii="仿宋_GB2312" w:eastAsia="仿宋_GB2312" w:hint="eastAsia"/>
          <w:color w:val="000000" w:themeColor="text1"/>
          <w:sz w:val="32"/>
          <w:szCs w:val="32"/>
          <w:vertAlign w:val="subscript"/>
        </w:rPr>
        <w:t>E</w:t>
      </w:r>
      <w:r w:rsidR="00F27B09">
        <w:rPr>
          <w:rFonts w:ascii="仿宋_GB2312" w:eastAsia="仿宋_GB2312" w:hint="eastAsia"/>
          <w:color w:val="000000" w:themeColor="text1"/>
          <w:sz w:val="32"/>
          <w:szCs w:val="32"/>
        </w:rPr>
        <w:t>&lt;-20%</w:t>
      </w:r>
      <w:r w:rsidRPr="00CD1381">
        <w:rPr>
          <w:rFonts w:ascii="仿宋_GB2312" w:eastAsia="仿宋_GB2312" w:hint="eastAsia"/>
          <w:color w:val="000000" w:themeColor="text1"/>
          <w:sz w:val="32"/>
          <w:szCs w:val="32"/>
        </w:rPr>
        <w:t>或L</w:t>
      </w:r>
      <w:r w:rsidRPr="00F27B09">
        <w:rPr>
          <w:rFonts w:ascii="仿宋_GB2312" w:eastAsia="仿宋_GB2312" w:hint="eastAsia"/>
          <w:color w:val="000000" w:themeColor="text1"/>
          <w:sz w:val="32"/>
          <w:szCs w:val="32"/>
          <w:vertAlign w:val="subscript"/>
        </w:rPr>
        <w:t>E</w:t>
      </w:r>
      <w:r w:rsidRPr="00CD1381">
        <w:rPr>
          <w:rFonts w:ascii="仿宋_GB2312" w:eastAsia="仿宋_GB2312" w:hint="eastAsia"/>
          <w:color w:val="000000" w:themeColor="text1"/>
          <w:sz w:val="32"/>
          <w:szCs w:val="32"/>
        </w:rPr>
        <w:t>&lt;-30%，综合耐酸指数&lt;-80，生长严重受抑；</w:t>
      </w:r>
    </w:p>
    <w:p w14:paraId="5D8E5686" w14:textId="16EED756" w:rsidR="00B63436" w:rsidRPr="00B63436" w:rsidRDefault="00CD1381" w:rsidP="00CD1381">
      <w:pPr>
        <w:spacing w:line="520" w:lineRule="exact"/>
        <w:ind w:firstLineChars="200" w:firstLine="640"/>
        <w:rPr>
          <w:rFonts w:ascii="仿宋_GB2312" w:eastAsia="仿宋_GB2312"/>
          <w:color w:val="000000" w:themeColor="text1"/>
          <w:sz w:val="32"/>
          <w:szCs w:val="32"/>
        </w:rPr>
      </w:pPr>
      <w:r w:rsidRPr="00CD1381">
        <w:rPr>
          <w:rFonts w:ascii="仿宋_GB2312" w:eastAsia="仿宋_GB2312" w:hint="eastAsia"/>
          <w:color w:val="000000" w:themeColor="text1"/>
          <w:sz w:val="32"/>
          <w:szCs w:val="32"/>
        </w:rPr>
        <w:t>中度敏感型样本（如2、4、5、7、8、13、14、15、17、18、20、21、22、24、27、28、29、31、33）：共</w:t>
      </w:r>
      <w:r w:rsidR="00F27B09">
        <w:rPr>
          <w:rFonts w:ascii="仿宋_GB2312" w:eastAsia="仿宋_GB2312" w:hint="eastAsia"/>
          <w:color w:val="000000" w:themeColor="text1"/>
          <w:sz w:val="32"/>
          <w:szCs w:val="32"/>
        </w:rPr>
        <w:t>20个，不满足上述两类标准</w:t>
      </w:r>
      <w:r w:rsidRPr="00CD1381">
        <w:rPr>
          <w:rFonts w:ascii="仿宋_GB2312" w:eastAsia="仿宋_GB2312" w:hint="eastAsia"/>
          <w:color w:val="000000" w:themeColor="text1"/>
          <w:sz w:val="32"/>
          <w:szCs w:val="32"/>
        </w:rPr>
        <w:t>，生长受抑程度中等。</w:t>
      </w:r>
    </w:p>
    <w:p w14:paraId="26A6173B" w14:textId="4754A0AD" w:rsidR="00ED6C72" w:rsidRDefault="00B63436" w:rsidP="00B63436">
      <w:pPr>
        <w:spacing w:line="520" w:lineRule="exact"/>
        <w:ind w:firstLineChars="200" w:firstLine="640"/>
        <w:rPr>
          <w:rFonts w:ascii="仿宋_GB2312" w:eastAsia="仿宋_GB2312"/>
          <w:color w:val="000000" w:themeColor="text1"/>
          <w:sz w:val="32"/>
          <w:szCs w:val="32"/>
        </w:rPr>
      </w:pPr>
      <w:r w:rsidRPr="00B63436">
        <w:rPr>
          <w:rFonts w:ascii="仿宋_GB2312" w:eastAsia="仿宋_GB2312" w:hint="eastAsia"/>
          <w:color w:val="000000" w:themeColor="text1"/>
          <w:sz w:val="32"/>
          <w:szCs w:val="32"/>
        </w:rPr>
        <w:t>最终基于</w:t>
      </w:r>
      <w:r w:rsidR="00CD1381">
        <w:rPr>
          <w:rFonts w:ascii="仿宋_GB2312" w:eastAsia="仿宋_GB2312" w:hint="eastAsia"/>
          <w:color w:val="000000" w:themeColor="text1"/>
          <w:sz w:val="32"/>
          <w:szCs w:val="32"/>
        </w:rPr>
        <w:t>以上分析</w:t>
      </w:r>
      <w:r w:rsidRPr="00B63436">
        <w:rPr>
          <w:rFonts w:ascii="仿宋_GB2312" w:eastAsia="仿宋_GB2312" w:hint="eastAsia"/>
          <w:color w:val="000000" w:themeColor="text1"/>
          <w:sz w:val="32"/>
          <w:szCs w:val="32"/>
        </w:rPr>
        <w:t>结果，形成表</w:t>
      </w:r>
      <w:r w:rsidR="007E01CE">
        <w:rPr>
          <w:rFonts w:ascii="仿宋_GB2312" w:eastAsia="仿宋_GB2312" w:hint="eastAsia"/>
          <w:color w:val="000000" w:themeColor="text1"/>
          <w:sz w:val="32"/>
          <w:szCs w:val="32"/>
        </w:rPr>
        <w:t>2</w:t>
      </w:r>
      <w:r w:rsidR="00AF25CA">
        <w:rPr>
          <w:rFonts w:ascii="仿宋_GB2312" w:eastAsia="仿宋_GB2312" w:hint="eastAsia"/>
          <w:color w:val="000000" w:themeColor="text1"/>
          <w:sz w:val="32"/>
          <w:szCs w:val="32"/>
        </w:rPr>
        <w:t>的水稻耐酸类型划分方法。</w:t>
      </w:r>
      <w:r w:rsidR="00AF25CA">
        <w:rPr>
          <w:rFonts w:ascii="仿宋_GB2312" w:eastAsia="仿宋_GB2312"/>
          <w:color w:val="000000" w:themeColor="text1"/>
          <w:sz w:val="32"/>
          <w:szCs w:val="32"/>
        </w:rPr>
        <w:t xml:space="preserve"> </w:t>
      </w:r>
    </w:p>
    <w:p w14:paraId="039951B5" w14:textId="60F0ADA5" w:rsidR="00EA7EDC" w:rsidRDefault="006013A3" w:rsidP="006013A3">
      <w:pPr>
        <w:spacing w:line="520" w:lineRule="exact"/>
        <w:ind w:firstLineChars="200" w:firstLine="640"/>
        <w:jc w:val="center"/>
        <w:rPr>
          <w:rFonts w:ascii="仿宋_GB2312" w:eastAsia="仿宋_GB2312"/>
          <w:color w:val="000000" w:themeColor="text1"/>
          <w:sz w:val="32"/>
          <w:szCs w:val="32"/>
        </w:rPr>
      </w:pPr>
      <w:r w:rsidRPr="006013A3">
        <w:rPr>
          <w:rFonts w:ascii="仿宋_GB2312" w:eastAsia="仿宋_GB2312" w:hint="eastAsia"/>
          <w:color w:val="000000" w:themeColor="text1"/>
          <w:sz w:val="32"/>
          <w:szCs w:val="32"/>
        </w:rPr>
        <w:t>表</w:t>
      </w:r>
      <w:r>
        <w:rPr>
          <w:rFonts w:ascii="仿宋_GB2312" w:eastAsia="仿宋_GB2312"/>
          <w:color w:val="000000" w:themeColor="text1"/>
          <w:sz w:val="32"/>
          <w:szCs w:val="32"/>
        </w:rPr>
        <w:t>2</w:t>
      </w:r>
      <w:r>
        <w:rPr>
          <w:rFonts w:ascii="仿宋_GB2312" w:eastAsia="仿宋_GB2312" w:hint="eastAsia"/>
          <w:color w:val="000000" w:themeColor="text1"/>
          <w:sz w:val="32"/>
          <w:szCs w:val="32"/>
        </w:rPr>
        <w:t xml:space="preserve"> </w:t>
      </w:r>
      <w:r>
        <w:rPr>
          <w:rFonts w:ascii="仿宋_GB2312" w:eastAsia="仿宋_GB2312"/>
          <w:color w:val="000000" w:themeColor="text1"/>
          <w:sz w:val="32"/>
          <w:szCs w:val="32"/>
        </w:rPr>
        <w:t xml:space="preserve"> </w:t>
      </w:r>
      <w:r w:rsidR="00EF5012">
        <w:rPr>
          <w:rFonts w:ascii="仿宋_GB2312" w:eastAsia="仿宋_GB2312" w:hint="eastAsia"/>
          <w:color w:val="000000" w:themeColor="text1"/>
          <w:sz w:val="32"/>
          <w:szCs w:val="32"/>
        </w:rPr>
        <w:t>耐酸水稻品种类型划分方法</w:t>
      </w:r>
    </w:p>
    <w:tbl>
      <w:tblPr>
        <w:tblStyle w:val="20"/>
        <w:tblW w:w="0" w:type="auto"/>
        <w:jc w:val="center"/>
        <w:tblInd w:w="0" w:type="dxa"/>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333"/>
        <w:gridCol w:w="2160"/>
        <w:gridCol w:w="2160"/>
        <w:gridCol w:w="2681"/>
      </w:tblGrid>
      <w:tr w:rsidR="001E39C1" w:rsidRPr="001E39C1" w14:paraId="61A84D89" w14:textId="77777777" w:rsidTr="001E39C1">
        <w:trPr>
          <w:tblHeader/>
          <w:jc w:val="center"/>
        </w:trPr>
        <w:tc>
          <w:tcPr>
            <w:tcW w:w="2333" w:type="dxa"/>
            <w:vMerge w:val="restart"/>
            <w:tcBorders>
              <w:top w:val="single" w:sz="8" w:space="0" w:color="auto"/>
              <w:left w:val="single" w:sz="8" w:space="0" w:color="auto"/>
              <w:bottom w:val="single" w:sz="8" w:space="0" w:color="auto"/>
              <w:right w:val="single" w:sz="4" w:space="0" w:color="auto"/>
            </w:tcBorders>
            <w:vAlign w:val="center"/>
            <w:hideMark/>
          </w:tcPr>
          <w:p w14:paraId="04B898DC" w14:textId="77777777" w:rsidR="001E39C1" w:rsidRPr="001E39C1" w:rsidRDefault="001E39C1" w:rsidP="001E39C1">
            <w:pPr>
              <w:widowControl/>
              <w:autoSpaceDE w:val="0"/>
              <w:autoSpaceDN w:val="0"/>
              <w:jc w:val="center"/>
              <w:rPr>
                <w:rFonts w:ascii="宋体" w:hAnsi="Times New Roman" w:cs="Times New Roman"/>
                <w:noProof/>
                <w:kern w:val="0"/>
                <w:sz w:val="18"/>
                <w:szCs w:val="20"/>
              </w:rPr>
            </w:pPr>
            <w:r w:rsidRPr="001E39C1">
              <w:rPr>
                <w:rFonts w:ascii="宋体" w:hAnsi="Times New Roman" w:cs="Times New Roman" w:hint="eastAsia"/>
                <w:noProof/>
                <w:kern w:val="0"/>
                <w:sz w:val="18"/>
                <w:szCs w:val="20"/>
              </w:rPr>
              <w:t>类型</w:t>
            </w:r>
          </w:p>
        </w:tc>
        <w:tc>
          <w:tcPr>
            <w:tcW w:w="4320" w:type="dxa"/>
            <w:gridSpan w:val="2"/>
            <w:tcBorders>
              <w:top w:val="single" w:sz="8" w:space="0" w:color="auto"/>
              <w:left w:val="single" w:sz="4" w:space="0" w:color="auto"/>
              <w:bottom w:val="single" w:sz="4" w:space="0" w:color="auto"/>
              <w:right w:val="single" w:sz="4" w:space="0" w:color="auto"/>
            </w:tcBorders>
            <w:vAlign w:val="center"/>
            <w:hideMark/>
          </w:tcPr>
          <w:p w14:paraId="38CCDF94" w14:textId="77777777" w:rsidR="001E39C1" w:rsidRPr="001E39C1" w:rsidRDefault="001E39C1" w:rsidP="001E39C1">
            <w:pPr>
              <w:widowControl/>
              <w:autoSpaceDE w:val="0"/>
              <w:autoSpaceDN w:val="0"/>
              <w:jc w:val="center"/>
              <w:rPr>
                <w:rFonts w:ascii="宋体" w:hAnsi="Times New Roman" w:cs="Times New Roman"/>
                <w:noProof/>
                <w:kern w:val="0"/>
                <w:sz w:val="18"/>
                <w:szCs w:val="20"/>
              </w:rPr>
            </w:pPr>
            <w:r w:rsidRPr="001E39C1">
              <w:rPr>
                <w:rFonts w:ascii="宋体" w:hAnsi="Times New Roman" w:cs="Times New Roman" w:hint="eastAsia"/>
                <w:noProof/>
                <w:kern w:val="0"/>
                <w:sz w:val="18"/>
                <w:szCs w:val="20"/>
              </w:rPr>
              <w:t>指标</w:t>
            </w:r>
          </w:p>
        </w:tc>
        <w:tc>
          <w:tcPr>
            <w:tcW w:w="2681" w:type="dxa"/>
            <w:vMerge w:val="restart"/>
            <w:tcBorders>
              <w:top w:val="single" w:sz="8" w:space="0" w:color="auto"/>
              <w:left w:val="single" w:sz="4" w:space="0" w:color="auto"/>
              <w:bottom w:val="single" w:sz="8" w:space="0" w:color="auto"/>
              <w:right w:val="single" w:sz="8" w:space="0" w:color="auto"/>
            </w:tcBorders>
            <w:vAlign w:val="center"/>
            <w:hideMark/>
          </w:tcPr>
          <w:p w14:paraId="26A9F853" w14:textId="77777777" w:rsidR="001E39C1" w:rsidRPr="001E39C1" w:rsidRDefault="001E39C1" w:rsidP="001E39C1">
            <w:pPr>
              <w:widowControl/>
              <w:autoSpaceDE w:val="0"/>
              <w:autoSpaceDN w:val="0"/>
              <w:jc w:val="center"/>
              <w:rPr>
                <w:rFonts w:ascii="宋体" w:hAnsi="Times New Roman" w:cs="Times New Roman"/>
                <w:noProof/>
                <w:kern w:val="0"/>
                <w:sz w:val="18"/>
                <w:szCs w:val="20"/>
              </w:rPr>
            </w:pPr>
            <w:r w:rsidRPr="001E39C1">
              <w:rPr>
                <w:rFonts w:ascii="宋体" w:hAnsi="Times New Roman" w:cs="Times New Roman" w:hint="eastAsia"/>
                <w:noProof/>
                <w:kern w:val="0"/>
                <w:sz w:val="18"/>
                <w:szCs w:val="20"/>
              </w:rPr>
              <w:t>要求</w:t>
            </w:r>
          </w:p>
        </w:tc>
      </w:tr>
      <w:tr w:rsidR="001E39C1" w:rsidRPr="001E39C1" w14:paraId="51CBDBD8" w14:textId="77777777" w:rsidTr="001E39C1">
        <w:trPr>
          <w:jc w:val="center"/>
        </w:trPr>
        <w:tc>
          <w:tcPr>
            <w:tcW w:w="0" w:type="auto"/>
            <w:vMerge/>
            <w:tcBorders>
              <w:top w:val="single" w:sz="8" w:space="0" w:color="auto"/>
              <w:left w:val="single" w:sz="8" w:space="0" w:color="auto"/>
              <w:bottom w:val="single" w:sz="8" w:space="0" w:color="auto"/>
              <w:right w:val="single" w:sz="4" w:space="0" w:color="auto"/>
            </w:tcBorders>
            <w:vAlign w:val="center"/>
            <w:hideMark/>
          </w:tcPr>
          <w:p w14:paraId="10B36241" w14:textId="77777777" w:rsidR="001E39C1" w:rsidRPr="001E39C1" w:rsidRDefault="001E39C1" w:rsidP="001E39C1">
            <w:pPr>
              <w:widowControl/>
              <w:jc w:val="left"/>
              <w:rPr>
                <w:rFonts w:ascii="宋体" w:hAnsi="Times New Roman" w:cs="Times New Roman"/>
                <w:noProof/>
                <w:kern w:val="0"/>
                <w:sz w:val="18"/>
                <w:szCs w:val="20"/>
              </w:rPr>
            </w:pPr>
          </w:p>
        </w:tc>
        <w:tc>
          <w:tcPr>
            <w:tcW w:w="2160" w:type="dxa"/>
            <w:tcBorders>
              <w:top w:val="single" w:sz="4" w:space="0" w:color="auto"/>
              <w:left w:val="single" w:sz="4" w:space="0" w:color="auto"/>
              <w:bottom w:val="single" w:sz="8" w:space="0" w:color="auto"/>
              <w:right w:val="single" w:sz="4" w:space="0" w:color="auto"/>
            </w:tcBorders>
            <w:vAlign w:val="center"/>
            <w:hideMark/>
          </w:tcPr>
          <w:p w14:paraId="4CCD1727" w14:textId="77777777" w:rsidR="001E39C1" w:rsidRPr="001E39C1" w:rsidRDefault="001E39C1" w:rsidP="001E39C1">
            <w:pPr>
              <w:widowControl/>
              <w:autoSpaceDE w:val="0"/>
              <w:autoSpaceDN w:val="0"/>
              <w:jc w:val="center"/>
              <w:rPr>
                <w:rFonts w:ascii="宋体" w:hAnsi="Times New Roman" w:cs="Times New Roman"/>
                <w:noProof/>
                <w:kern w:val="0"/>
                <w:sz w:val="18"/>
                <w:szCs w:val="20"/>
              </w:rPr>
            </w:pPr>
            <w:r w:rsidRPr="001E39C1">
              <w:rPr>
                <w:rFonts w:ascii="宋体" w:hAnsi="Times New Roman" w:cs="Times New Roman" w:hint="eastAsia"/>
                <w:i/>
                <w:noProof/>
                <w:kern w:val="0"/>
                <w:sz w:val="18"/>
                <w:szCs w:val="20"/>
              </w:rPr>
              <w:t>W</w:t>
            </w:r>
            <w:r w:rsidRPr="001E39C1">
              <w:rPr>
                <w:rFonts w:ascii="宋体" w:hAnsi="Times New Roman" w:cs="Times New Roman" w:hint="eastAsia"/>
                <w:noProof/>
                <w:kern w:val="0"/>
                <w:sz w:val="18"/>
                <w:szCs w:val="20"/>
                <w:vertAlign w:val="subscript"/>
              </w:rPr>
              <w:t>E</w:t>
            </w:r>
          </w:p>
        </w:tc>
        <w:tc>
          <w:tcPr>
            <w:tcW w:w="2160" w:type="dxa"/>
            <w:tcBorders>
              <w:top w:val="single" w:sz="4" w:space="0" w:color="auto"/>
              <w:left w:val="single" w:sz="4" w:space="0" w:color="auto"/>
              <w:bottom w:val="single" w:sz="8" w:space="0" w:color="auto"/>
              <w:right w:val="single" w:sz="4" w:space="0" w:color="auto"/>
            </w:tcBorders>
            <w:vAlign w:val="center"/>
            <w:hideMark/>
          </w:tcPr>
          <w:p w14:paraId="72FE0E34" w14:textId="77777777" w:rsidR="001E39C1" w:rsidRPr="001E39C1" w:rsidRDefault="001E39C1" w:rsidP="001E39C1">
            <w:pPr>
              <w:widowControl/>
              <w:autoSpaceDE w:val="0"/>
              <w:autoSpaceDN w:val="0"/>
              <w:jc w:val="center"/>
              <w:rPr>
                <w:rFonts w:ascii="宋体" w:hAnsi="Times New Roman" w:cs="Times New Roman"/>
                <w:noProof/>
                <w:kern w:val="0"/>
                <w:sz w:val="18"/>
                <w:szCs w:val="20"/>
              </w:rPr>
            </w:pPr>
            <w:r w:rsidRPr="001E39C1">
              <w:rPr>
                <w:rFonts w:ascii="宋体" w:hAnsi="Times New Roman" w:cs="Times New Roman" w:hint="eastAsia"/>
                <w:i/>
                <w:noProof/>
                <w:kern w:val="0"/>
                <w:sz w:val="18"/>
                <w:szCs w:val="20"/>
              </w:rPr>
              <w:t>L</w:t>
            </w:r>
            <w:r w:rsidRPr="001E39C1">
              <w:rPr>
                <w:rFonts w:ascii="宋体" w:hAnsi="Times New Roman" w:cs="Times New Roman" w:hint="eastAsia"/>
                <w:noProof/>
                <w:kern w:val="0"/>
                <w:sz w:val="18"/>
                <w:szCs w:val="20"/>
                <w:vertAlign w:val="subscript"/>
              </w:rPr>
              <w:t>E</w:t>
            </w:r>
          </w:p>
        </w:tc>
        <w:tc>
          <w:tcPr>
            <w:tcW w:w="0" w:type="auto"/>
            <w:vMerge/>
            <w:tcBorders>
              <w:top w:val="single" w:sz="8" w:space="0" w:color="auto"/>
              <w:left w:val="single" w:sz="4" w:space="0" w:color="auto"/>
              <w:bottom w:val="single" w:sz="8" w:space="0" w:color="auto"/>
              <w:right w:val="single" w:sz="8" w:space="0" w:color="auto"/>
            </w:tcBorders>
            <w:vAlign w:val="center"/>
            <w:hideMark/>
          </w:tcPr>
          <w:p w14:paraId="1773D555" w14:textId="77777777" w:rsidR="001E39C1" w:rsidRPr="001E39C1" w:rsidRDefault="001E39C1" w:rsidP="001E39C1">
            <w:pPr>
              <w:widowControl/>
              <w:jc w:val="left"/>
              <w:rPr>
                <w:rFonts w:ascii="宋体" w:hAnsi="Times New Roman" w:cs="Times New Roman"/>
                <w:noProof/>
                <w:kern w:val="0"/>
                <w:sz w:val="18"/>
                <w:szCs w:val="20"/>
              </w:rPr>
            </w:pPr>
          </w:p>
        </w:tc>
      </w:tr>
      <w:tr w:rsidR="001E39C1" w:rsidRPr="001E39C1" w14:paraId="43923127" w14:textId="77777777" w:rsidTr="001E39C1">
        <w:trPr>
          <w:jc w:val="center"/>
        </w:trPr>
        <w:tc>
          <w:tcPr>
            <w:tcW w:w="2333" w:type="dxa"/>
            <w:tcBorders>
              <w:top w:val="single" w:sz="8" w:space="0" w:color="auto"/>
              <w:left w:val="single" w:sz="8" w:space="0" w:color="auto"/>
              <w:bottom w:val="single" w:sz="4" w:space="0" w:color="auto"/>
              <w:right w:val="single" w:sz="4" w:space="0" w:color="auto"/>
            </w:tcBorders>
            <w:vAlign w:val="center"/>
            <w:hideMark/>
          </w:tcPr>
          <w:p w14:paraId="14BDCFA1" w14:textId="77777777" w:rsidR="001E39C1" w:rsidRPr="00F27B09" w:rsidRDefault="001E39C1" w:rsidP="001E39C1">
            <w:pPr>
              <w:widowControl/>
              <w:autoSpaceDE w:val="0"/>
              <w:autoSpaceDN w:val="0"/>
              <w:ind w:firstLineChars="100" w:firstLine="180"/>
              <w:jc w:val="left"/>
              <w:rPr>
                <w:rFonts w:ascii="宋体" w:hAnsi="Times New Roman" w:cs="Times New Roman"/>
                <w:noProof/>
                <w:color w:val="000000" w:themeColor="text1"/>
                <w:kern w:val="0"/>
                <w:sz w:val="18"/>
                <w:szCs w:val="20"/>
              </w:rPr>
            </w:pPr>
            <w:r w:rsidRPr="00F27B09">
              <w:rPr>
                <w:rFonts w:ascii="宋体" w:hAnsi="Times New Roman" w:cs="Times New Roman" w:hint="eastAsia"/>
                <w:noProof/>
                <w:color w:val="000000" w:themeColor="text1"/>
                <w:kern w:val="0"/>
                <w:sz w:val="18"/>
                <w:szCs w:val="20"/>
              </w:rPr>
              <w:t>水稻耐酸型品种</w:t>
            </w:r>
          </w:p>
        </w:tc>
        <w:tc>
          <w:tcPr>
            <w:tcW w:w="2160" w:type="dxa"/>
            <w:tcBorders>
              <w:top w:val="single" w:sz="8" w:space="0" w:color="auto"/>
              <w:left w:val="single" w:sz="4" w:space="0" w:color="auto"/>
              <w:bottom w:val="single" w:sz="4" w:space="0" w:color="auto"/>
              <w:right w:val="single" w:sz="4" w:space="0" w:color="auto"/>
            </w:tcBorders>
            <w:vAlign w:val="center"/>
            <w:hideMark/>
          </w:tcPr>
          <w:p w14:paraId="50D30504" w14:textId="77777777" w:rsidR="001E39C1" w:rsidRPr="00F27B09" w:rsidRDefault="001E39C1" w:rsidP="001E39C1">
            <w:pPr>
              <w:widowControl/>
              <w:autoSpaceDE w:val="0"/>
              <w:autoSpaceDN w:val="0"/>
              <w:jc w:val="center"/>
              <w:rPr>
                <w:rFonts w:ascii="宋体" w:hAnsi="Times New Roman" w:cs="Times New Roman"/>
                <w:noProof/>
                <w:color w:val="000000" w:themeColor="text1"/>
                <w:kern w:val="0"/>
                <w:sz w:val="18"/>
                <w:szCs w:val="20"/>
              </w:rPr>
            </w:pPr>
            <w:r w:rsidRPr="00F27B09">
              <w:rPr>
                <w:rFonts w:ascii="宋体" w:hAnsi="Times New Roman" w:cs="Times New Roman" w:hint="eastAsia"/>
                <w:noProof/>
                <w:color w:val="000000" w:themeColor="text1"/>
                <w:kern w:val="0"/>
                <w:sz w:val="18"/>
                <w:szCs w:val="20"/>
              </w:rPr>
              <w:t>≥-20</w:t>
            </w:r>
            <w:r w:rsidRPr="00F27B09">
              <w:rPr>
                <w:rFonts w:ascii="宋体" w:hAnsi="宋体" w:cs="Times New Roman" w:hint="eastAsia"/>
                <w:noProof/>
                <w:color w:val="000000" w:themeColor="text1"/>
                <w:kern w:val="0"/>
                <w:sz w:val="18"/>
                <w:szCs w:val="20"/>
              </w:rPr>
              <w:t>％</w:t>
            </w:r>
          </w:p>
        </w:tc>
        <w:tc>
          <w:tcPr>
            <w:tcW w:w="2160" w:type="dxa"/>
            <w:tcBorders>
              <w:top w:val="single" w:sz="8" w:space="0" w:color="auto"/>
              <w:left w:val="single" w:sz="4" w:space="0" w:color="auto"/>
              <w:bottom w:val="single" w:sz="4" w:space="0" w:color="auto"/>
              <w:right w:val="single" w:sz="4" w:space="0" w:color="auto"/>
            </w:tcBorders>
            <w:vAlign w:val="center"/>
            <w:hideMark/>
          </w:tcPr>
          <w:p w14:paraId="4A7446C4" w14:textId="77777777" w:rsidR="001E39C1" w:rsidRPr="00F27B09" w:rsidRDefault="001E39C1" w:rsidP="001E39C1">
            <w:pPr>
              <w:widowControl/>
              <w:autoSpaceDE w:val="0"/>
              <w:autoSpaceDN w:val="0"/>
              <w:jc w:val="center"/>
              <w:rPr>
                <w:rFonts w:ascii="宋体" w:hAnsi="Times New Roman" w:cs="Times New Roman"/>
                <w:noProof/>
                <w:color w:val="000000" w:themeColor="text1"/>
                <w:kern w:val="0"/>
                <w:sz w:val="18"/>
                <w:szCs w:val="20"/>
              </w:rPr>
            </w:pPr>
            <w:r w:rsidRPr="00F27B09">
              <w:rPr>
                <w:rFonts w:ascii="宋体" w:hAnsi="Times New Roman" w:cs="Times New Roman" w:hint="eastAsia"/>
                <w:noProof/>
                <w:color w:val="000000" w:themeColor="text1"/>
                <w:kern w:val="0"/>
                <w:sz w:val="18"/>
                <w:szCs w:val="20"/>
              </w:rPr>
              <w:t>≥-15％</w:t>
            </w:r>
          </w:p>
        </w:tc>
        <w:tc>
          <w:tcPr>
            <w:tcW w:w="2681" w:type="dxa"/>
            <w:tcBorders>
              <w:top w:val="single" w:sz="8" w:space="0" w:color="auto"/>
              <w:left w:val="single" w:sz="4" w:space="0" w:color="auto"/>
              <w:bottom w:val="single" w:sz="4" w:space="0" w:color="auto"/>
              <w:right w:val="single" w:sz="8" w:space="0" w:color="auto"/>
            </w:tcBorders>
            <w:vAlign w:val="center"/>
            <w:hideMark/>
          </w:tcPr>
          <w:p w14:paraId="69CB9EA6" w14:textId="77777777" w:rsidR="001E39C1" w:rsidRPr="00F27B09" w:rsidRDefault="001E39C1" w:rsidP="001E39C1">
            <w:pPr>
              <w:widowControl/>
              <w:autoSpaceDE w:val="0"/>
              <w:autoSpaceDN w:val="0"/>
              <w:ind w:firstLineChars="100" w:firstLine="180"/>
              <w:jc w:val="left"/>
              <w:rPr>
                <w:rFonts w:ascii="宋体" w:hAnsi="Times New Roman" w:cs="Times New Roman"/>
                <w:noProof/>
                <w:color w:val="000000" w:themeColor="text1"/>
                <w:kern w:val="0"/>
                <w:sz w:val="18"/>
                <w:szCs w:val="20"/>
              </w:rPr>
            </w:pPr>
            <w:r w:rsidRPr="00F27B09">
              <w:rPr>
                <w:rFonts w:ascii="宋体" w:hAnsi="Times New Roman" w:cs="Times New Roman" w:hint="eastAsia"/>
                <w:noProof/>
                <w:color w:val="000000" w:themeColor="text1"/>
                <w:kern w:val="0"/>
                <w:sz w:val="18"/>
                <w:szCs w:val="20"/>
              </w:rPr>
              <w:t>同时满足</w:t>
            </w:r>
          </w:p>
        </w:tc>
      </w:tr>
      <w:tr w:rsidR="001E39C1" w:rsidRPr="001E39C1" w14:paraId="2C12372C" w14:textId="77777777" w:rsidTr="001E39C1">
        <w:trPr>
          <w:jc w:val="center"/>
        </w:trPr>
        <w:tc>
          <w:tcPr>
            <w:tcW w:w="2333" w:type="dxa"/>
            <w:tcBorders>
              <w:top w:val="single" w:sz="4" w:space="0" w:color="auto"/>
              <w:left w:val="single" w:sz="8" w:space="0" w:color="auto"/>
              <w:bottom w:val="single" w:sz="4" w:space="0" w:color="auto"/>
              <w:right w:val="single" w:sz="4" w:space="0" w:color="auto"/>
            </w:tcBorders>
            <w:vAlign w:val="center"/>
            <w:hideMark/>
          </w:tcPr>
          <w:p w14:paraId="5A747FC1" w14:textId="77777777" w:rsidR="001E39C1" w:rsidRPr="00F27B09" w:rsidRDefault="001E39C1" w:rsidP="001E39C1">
            <w:pPr>
              <w:widowControl/>
              <w:autoSpaceDE w:val="0"/>
              <w:autoSpaceDN w:val="0"/>
              <w:ind w:firstLineChars="100" w:firstLine="180"/>
              <w:jc w:val="left"/>
              <w:rPr>
                <w:rFonts w:ascii="宋体" w:hAnsi="Times New Roman" w:cs="Times New Roman"/>
                <w:noProof/>
                <w:color w:val="000000" w:themeColor="text1"/>
                <w:kern w:val="0"/>
                <w:sz w:val="18"/>
                <w:szCs w:val="20"/>
              </w:rPr>
            </w:pPr>
            <w:r w:rsidRPr="00F27B09">
              <w:rPr>
                <w:rFonts w:ascii="宋体" w:hAnsi="Times New Roman" w:cs="Times New Roman" w:hint="eastAsia"/>
                <w:noProof/>
                <w:color w:val="000000" w:themeColor="text1"/>
                <w:kern w:val="0"/>
                <w:sz w:val="18"/>
                <w:szCs w:val="20"/>
              </w:rPr>
              <w:t>水稻酸敏感型品种</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256001B" w14:textId="77777777" w:rsidR="001E39C1" w:rsidRPr="00F27B09" w:rsidRDefault="001E39C1" w:rsidP="001E39C1">
            <w:pPr>
              <w:widowControl/>
              <w:autoSpaceDE w:val="0"/>
              <w:autoSpaceDN w:val="0"/>
              <w:jc w:val="center"/>
              <w:rPr>
                <w:rFonts w:ascii="宋体" w:hAnsi="Times New Roman" w:cs="Times New Roman"/>
                <w:noProof/>
                <w:color w:val="000000" w:themeColor="text1"/>
                <w:kern w:val="0"/>
                <w:sz w:val="18"/>
                <w:szCs w:val="20"/>
              </w:rPr>
            </w:pPr>
            <w:r w:rsidRPr="00F27B09">
              <w:rPr>
                <w:rFonts w:ascii="宋体" w:hAnsi="Times New Roman" w:cs="Times New Roman" w:hint="eastAsia"/>
                <w:noProof/>
                <w:color w:val="000000" w:themeColor="text1"/>
                <w:kern w:val="0"/>
                <w:sz w:val="18"/>
                <w:szCs w:val="20"/>
              </w:rPr>
              <w:t>＜-20％</w:t>
            </w:r>
          </w:p>
        </w:tc>
        <w:tc>
          <w:tcPr>
            <w:tcW w:w="2160" w:type="dxa"/>
            <w:tcBorders>
              <w:top w:val="single" w:sz="4" w:space="0" w:color="auto"/>
              <w:left w:val="single" w:sz="4" w:space="0" w:color="auto"/>
              <w:bottom w:val="single" w:sz="4" w:space="0" w:color="auto"/>
              <w:right w:val="single" w:sz="4" w:space="0" w:color="auto"/>
            </w:tcBorders>
            <w:vAlign w:val="center"/>
            <w:hideMark/>
          </w:tcPr>
          <w:p w14:paraId="784EE259" w14:textId="77777777" w:rsidR="001E39C1" w:rsidRPr="00F27B09" w:rsidRDefault="001E39C1" w:rsidP="001E39C1">
            <w:pPr>
              <w:widowControl/>
              <w:autoSpaceDE w:val="0"/>
              <w:autoSpaceDN w:val="0"/>
              <w:jc w:val="center"/>
              <w:rPr>
                <w:rFonts w:ascii="宋体" w:hAnsi="Times New Roman" w:cs="Times New Roman"/>
                <w:noProof/>
                <w:color w:val="000000" w:themeColor="text1"/>
                <w:kern w:val="0"/>
                <w:sz w:val="18"/>
                <w:szCs w:val="20"/>
              </w:rPr>
            </w:pPr>
            <w:r w:rsidRPr="00F27B09">
              <w:rPr>
                <w:rFonts w:ascii="宋体" w:hAnsi="Times New Roman" w:cs="Times New Roman" w:hint="eastAsia"/>
                <w:noProof/>
                <w:color w:val="000000" w:themeColor="text1"/>
                <w:kern w:val="0"/>
                <w:sz w:val="18"/>
                <w:szCs w:val="20"/>
              </w:rPr>
              <w:t>＜-30％</w:t>
            </w:r>
          </w:p>
        </w:tc>
        <w:tc>
          <w:tcPr>
            <w:tcW w:w="2681" w:type="dxa"/>
            <w:tcBorders>
              <w:top w:val="single" w:sz="4" w:space="0" w:color="auto"/>
              <w:left w:val="single" w:sz="4" w:space="0" w:color="auto"/>
              <w:bottom w:val="single" w:sz="4" w:space="0" w:color="auto"/>
              <w:right w:val="single" w:sz="8" w:space="0" w:color="auto"/>
            </w:tcBorders>
            <w:vAlign w:val="center"/>
            <w:hideMark/>
          </w:tcPr>
          <w:p w14:paraId="054E68AC" w14:textId="77777777" w:rsidR="001E39C1" w:rsidRPr="00F27B09" w:rsidRDefault="001E39C1" w:rsidP="001E39C1">
            <w:pPr>
              <w:widowControl/>
              <w:autoSpaceDE w:val="0"/>
              <w:autoSpaceDN w:val="0"/>
              <w:ind w:firstLineChars="100" w:firstLine="180"/>
              <w:jc w:val="left"/>
              <w:rPr>
                <w:rFonts w:ascii="宋体" w:hAnsi="Times New Roman" w:cs="Times New Roman"/>
                <w:noProof/>
                <w:color w:val="000000" w:themeColor="text1"/>
                <w:kern w:val="0"/>
                <w:sz w:val="18"/>
                <w:szCs w:val="20"/>
              </w:rPr>
            </w:pPr>
            <w:r w:rsidRPr="00F27B09">
              <w:rPr>
                <w:rFonts w:ascii="宋体" w:hAnsi="Times New Roman" w:cs="Times New Roman" w:hint="eastAsia"/>
                <w:noProof/>
                <w:color w:val="000000" w:themeColor="text1"/>
                <w:kern w:val="0"/>
                <w:sz w:val="18"/>
                <w:szCs w:val="20"/>
              </w:rPr>
              <w:t>满足任一指标</w:t>
            </w:r>
          </w:p>
        </w:tc>
      </w:tr>
      <w:tr w:rsidR="001E39C1" w:rsidRPr="001E39C1" w14:paraId="67CB64C4" w14:textId="77777777" w:rsidTr="001E39C1">
        <w:trPr>
          <w:jc w:val="center"/>
        </w:trPr>
        <w:tc>
          <w:tcPr>
            <w:tcW w:w="9334" w:type="dxa"/>
            <w:gridSpan w:val="4"/>
            <w:tcBorders>
              <w:top w:val="single" w:sz="4" w:space="0" w:color="auto"/>
              <w:left w:val="single" w:sz="8" w:space="0" w:color="auto"/>
              <w:bottom w:val="single" w:sz="8" w:space="0" w:color="auto"/>
              <w:right w:val="single" w:sz="8" w:space="0" w:color="auto"/>
            </w:tcBorders>
            <w:vAlign w:val="center"/>
            <w:hideMark/>
          </w:tcPr>
          <w:p w14:paraId="51DB5EA9" w14:textId="1414E30B" w:rsidR="001E39C1" w:rsidRPr="001E39C1" w:rsidRDefault="001E39C1" w:rsidP="001E39C1">
            <w:pPr>
              <w:autoSpaceDE w:val="0"/>
              <w:autoSpaceDN w:val="0"/>
              <w:ind w:left="737" w:hanging="374"/>
              <w:rPr>
                <w:rFonts w:ascii="宋体" w:cs="Times New Roman"/>
                <w:kern w:val="0"/>
                <w:sz w:val="18"/>
                <w:szCs w:val="18"/>
              </w:rPr>
            </w:pPr>
            <w:r>
              <w:rPr>
                <w:rFonts w:ascii="宋体" w:cs="Times New Roman" w:hint="eastAsia"/>
                <w:kern w:val="0"/>
                <w:sz w:val="18"/>
                <w:szCs w:val="18"/>
              </w:rPr>
              <w:t>注：</w:t>
            </w:r>
            <w:r w:rsidRPr="001E39C1">
              <w:rPr>
                <w:rFonts w:ascii="宋体" w:cs="Times New Roman" w:hint="eastAsia"/>
                <w:kern w:val="0"/>
                <w:sz w:val="18"/>
                <w:szCs w:val="18"/>
              </w:rPr>
              <w:t>不</w:t>
            </w:r>
            <w:r w:rsidR="00EF5012" w:rsidRPr="00EF5012">
              <w:rPr>
                <w:rFonts w:ascii="宋体" w:cs="Times New Roman" w:hint="eastAsia"/>
                <w:kern w:val="0"/>
                <w:sz w:val="18"/>
                <w:szCs w:val="18"/>
              </w:rPr>
              <w:t>满足耐酸型或酸敏感型要求的耐酸水稻品种类型为酸中度敏感型</w:t>
            </w:r>
            <w:r w:rsidRPr="001E39C1">
              <w:rPr>
                <w:rFonts w:ascii="宋体" w:cs="Times New Roman" w:hint="eastAsia"/>
                <w:kern w:val="0"/>
                <w:sz w:val="18"/>
                <w:szCs w:val="18"/>
              </w:rPr>
              <w:t>。</w:t>
            </w:r>
          </w:p>
        </w:tc>
      </w:tr>
    </w:tbl>
    <w:p w14:paraId="2F432FD7" w14:textId="77777777" w:rsidR="001E39C1" w:rsidRPr="001E39C1" w:rsidRDefault="001E39C1" w:rsidP="006013A3">
      <w:pPr>
        <w:spacing w:line="520" w:lineRule="exact"/>
        <w:ind w:firstLineChars="200" w:firstLine="640"/>
        <w:jc w:val="center"/>
        <w:rPr>
          <w:rFonts w:ascii="仿宋_GB2312" w:eastAsia="仿宋_GB2312"/>
          <w:color w:val="000000" w:themeColor="text1"/>
          <w:sz w:val="32"/>
          <w:szCs w:val="32"/>
        </w:rPr>
      </w:pPr>
    </w:p>
    <w:p w14:paraId="6C5FDB77" w14:textId="77777777" w:rsidR="006B65C5" w:rsidRPr="00A82992" w:rsidRDefault="005F5D38">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A82992">
        <w:rPr>
          <w:rFonts w:ascii="Times New Roman" w:eastAsia="黑体" w:hAnsi="Times New Roman" w:cs="Times New Roman" w:hint="eastAsia"/>
          <w:color w:val="000000" w:themeColor="text1"/>
          <w:sz w:val="32"/>
          <w:szCs w:val="32"/>
        </w:rPr>
        <w:t>六、重大意见分歧的处理依据和结果</w:t>
      </w:r>
    </w:p>
    <w:p w14:paraId="347360FD" w14:textId="77777777"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本标准研制过程中无重大分歧意见。</w:t>
      </w:r>
    </w:p>
    <w:p w14:paraId="495C8E05" w14:textId="77777777" w:rsidR="006B65C5" w:rsidRPr="00A82992" w:rsidRDefault="005F5D38">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A82992">
        <w:rPr>
          <w:rFonts w:ascii="Times New Roman" w:eastAsia="黑体" w:hAnsi="Times New Roman" w:cs="Times New Roman" w:hint="eastAsia"/>
          <w:color w:val="000000" w:themeColor="text1"/>
          <w:sz w:val="32"/>
          <w:szCs w:val="32"/>
        </w:rPr>
        <w:t>七、实施标准的措施</w:t>
      </w:r>
    </w:p>
    <w:p w14:paraId="7EC133EC" w14:textId="77777777" w:rsidR="006B65C5" w:rsidRPr="00A82992" w:rsidRDefault="005F5D38">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A82992">
        <w:rPr>
          <w:rFonts w:ascii="Times New Roman" w:eastAsia="楷体" w:hAnsi="Times New Roman" w:cs="Times New Roman" w:hint="eastAsia"/>
          <w:b/>
          <w:bCs/>
          <w:color w:val="000000" w:themeColor="text1"/>
          <w:kern w:val="0"/>
          <w:sz w:val="32"/>
          <w:szCs w:val="32"/>
        </w:rPr>
        <w:t>（一）标准报批发布后，成立标准宣贯工作组</w:t>
      </w:r>
    </w:p>
    <w:p w14:paraId="54F1EA55" w14:textId="77777777"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lastRenderedPageBreak/>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5FB7939F" w14:textId="77777777" w:rsidR="006B65C5" w:rsidRPr="00A82992" w:rsidRDefault="005F5D38">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A82992">
        <w:rPr>
          <w:rFonts w:ascii="Times New Roman" w:eastAsia="楷体" w:hAnsi="Times New Roman" w:cs="Times New Roman" w:hint="eastAsia"/>
          <w:b/>
          <w:bCs/>
          <w:color w:val="000000" w:themeColor="text1"/>
          <w:kern w:val="0"/>
          <w:sz w:val="32"/>
          <w:szCs w:val="32"/>
        </w:rPr>
        <w:t>（二）组织开展标准宣贯培训</w:t>
      </w:r>
    </w:p>
    <w:p w14:paraId="20A72550" w14:textId="678F5192" w:rsidR="006B65C5" w:rsidRPr="00A82992" w:rsidRDefault="005F5D38">
      <w:pPr>
        <w:spacing w:line="520" w:lineRule="exact"/>
        <w:ind w:firstLineChars="200" w:firstLine="640"/>
        <w:rPr>
          <w:rFonts w:ascii="仿宋" w:eastAsia="仿宋" w:hAnsi="仿宋"/>
          <w:color w:val="000000" w:themeColor="text1"/>
          <w:sz w:val="32"/>
          <w:szCs w:val="32"/>
        </w:rPr>
      </w:pPr>
      <w:r w:rsidRPr="00A82992">
        <w:rPr>
          <w:rFonts w:ascii="仿宋_GB2312" w:eastAsia="仿宋_GB2312" w:hint="eastAsia"/>
          <w:color w:val="000000" w:themeColor="text1"/>
          <w:sz w:val="32"/>
          <w:szCs w:val="32"/>
        </w:rPr>
        <w:t>标准发布实施后，标准宣贯工作小组制作标准解读宣贯培训PPT课件和标准核心技术明白书，并按标准宣贯培训计划深入各市县相关机构，对相关技术人员开展标准宣贯培训，对标准进行逐条解读，让相关技术人员掌握标准核心技术内容，助力标准实施落地，促进</w:t>
      </w:r>
      <w:r w:rsidR="00CC3859">
        <w:rPr>
          <w:rFonts w:ascii="仿宋_GB2312" w:eastAsia="仿宋_GB2312" w:hint="eastAsia"/>
          <w:color w:val="000000" w:themeColor="text1"/>
          <w:sz w:val="32"/>
          <w:szCs w:val="32"/>
        </w:rPr>
        <w:t>水稻</w:t>
      </w:r>
      <w:r w:rsidR="000361D9">
        <w:rPr>
          <w:rFonts w:ascii="仿宋_GB2312" w:eastAsia="仿宋_GB2312" w:hint="eastAsia"/>
          <w:color w:val="000000" w:themeColor="text1"/>
          <w:sz w:val="32"/>
          <w:szCs w:val="32"/>
        </w:rPr>
        <w:t>产业</w:t>
      </w:r>
      <w:r w:rsidR="00151F7B">
        <w:rPr>
          <w:rFonts w:ascii="仿宋_GB2312" w:eastAsia="仿宋_GB2312" w:hint="eastAsia"/>
          <w:color w:val="000000" w:themeColor="text1"/>
          <w:sz w:val="32"/>
          <w:szCs w:val="32"/>
        </w:rPr>
        <w:t>高质量</w:t>
      </w:r>
      <w:r w:rsidRPr="00A82992">
        <w:rPr>
          <w:rFonts w:ascii="仿宋_GB2312" w:eastAsia="仿宋_GB2312" w:hint="eastAsia"/>
          <w:color w:val="000000" w:themeColor="text1"/>
          <w:sz w:val="32"/>
          <w:szCs w:val="32"/>
        </w:rPr>
        <w:t>发展。</w:t>
      </w:r>
    </w:p>
    <w:p w14:paraId="474F2CC7" w14:textId="77777777" w:rsidR="006B65C5" w:rsidRPr="00A82992" w:rsidRDefault="005F5D38">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A82992">
        <w:rPr>
          <w:rFonts w:ascii="Times New Roman" w:eastAsia="楷体" w:hAnsi="Times New Roman" w:cs="Times New Roman" w:hint="eastAsia"/>
          <w:b/>
          <w:bCs/>
          <w:color w:val="000000" w:themeColor="text1"/>
          <w:kern w:val="0"/>
          <w:sz w:val="32"/>
          <w:szCs w:val="32"/>
        </w:rPr>
        <w:t>（三）开展标准实施交流会，收集标准实施反馈信息</w:t>
      </w:r>
    </w:p>
    <w:p w14:paraId="4375A968" w14:textId="19935689"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标准起草小组深入各市</w:t>
      </w:r>
      <w:r w:rsidRPr="00803054">
        <w:rPr>
          <w:rFonts w:ascii="仿宋_GB2312" w:eastAsia="仿宋_GB2312" w:hint="eastAsia"/>
          <w:color w:val="000000" w:themeColor="text1"/>
          <w:sz w:val="32"/>
          <w:szCs w:val="32"/>
        </w:rPr>
        <w:t>县</w:t>
      </w:r>
      <w:r w:rsidR="00C15B60" w:rsidRPr="00803054">
        <w:rPr>
          <w:rFonts w:ascii="仿宋_GB2312" w:eastAsia="仿宋_GB2312" w:hint="eastAsia"/>
          <w:color w:val="000000" w:themeColor="text1"/>
          <w:sz w:val="32"/>
          <w:szCs w:val="32"/>
        </w:rPr>
        <w:t>相关水稻种植</w:t>
      </w:r>
      <w:r w:rsidR="00C15B60" w:rsidRPr="00803054">
        <w:rPr>
          <w:rFonts w:ascii="仿宋_GB2312" w:eastAsia="仿宋_GB2312"/>
          <w:color w:val="000000" w:themeColor="text1"/>
          <w:sz w:val="32"/>
          <w:szCs w:val="32"/>
        </w:rPr>
        <w:t>基地、</w:t>
      </w:r>
      <w:r w:rsidR="00C15B60" w:rsidRPr="00803054">
        <w:rPr>
          <w:rFonts w:ascii="仿宋_GB2312" w:eastAsia="仿宋_GB2312" w:hint="eastAsia"/>
          <w:color w:val="000000" w:themeColor="text1"/>
          <w:sz w:val="32"/>
          <w:szCs w:val="32"/>
        </w:rPr>
        <w:t>及各</w:t>
      </w:r>
      <w:r w:rsidR="00C15B60" w:rsidRPr="00803054">
        <w:rPr>
          <w:rFonts w:ascii="仿宋_GB2312" w:eastAsia="仿宋_GB2312"/>
          <w:color w:val="000000" w:themeColor="text1"/>
          <w:sz w:val="32"/>
          <w:szCs w:val="32"/>
        </w:rPr>
        <w:t>企</w:t>
      </w:r>
      <w:r w:rsidR="00C15B60" w:rsidRPr="00803054">
        <w:rPr>
          <w:rFonts w:ascii="仿宋_GB2312" w:eastAsia="仿宋_GB2312" w:hint="eastAsia"/>
          <w:color w:val="000000" w:themeColor="text1"/>
          <w:sz w:val="32"/>
          <w:szCs w:val="32"/>
        </w:rPr>
        <w:t>事业单位、</w:t>
      </w:r>
      <w:r w:rsidR="00C15B60" w:rsidRPr="00803054">
        <w:rPr>
          <w:rFonts w:ascii="仿宋_GB2312" w:eastAsia="仿宋_GB2312"/>
          <w:color w:val="000000" w:themeColor="text1"/>
          <w:sz w:val="32"/>
          <w:szCs w:val="32"/>
        </w:rPr>
        <w:t>高校、科研机构</w:t>
      </w:r>
      <w:r w:rsidRPr="00803054">
        <w:rPr>
          <w:rFonts w:ascii="仿宋_GB2312" w:eastAsia="仿宋_GB2312" w:hint="eastAsia"/>
          <w:color w:val="000000" w:themeColor="text1"/>
          <w:sz w:val="32"/>
          <w:szCs w:val="32"/>
        </w:rPr>
        <w:t>技术</w:t>
      </w:r>
      <w:r w:rsidRPr="00A82992">
        <w:rPr>
          <w:rFonts w:ascii="仿宋_GB2312" w:eastAsia="仿宋_GB2312" w:hint="eastAsia"/>
          <w:color w:val="000000" w:themeColor="text1"/>
          <w:sz w:val="32"/>
          <w:szCs w:val="32"/>
        </w:rPr>
        <w:t>人员召开标准实施交流会，听取标准实施过程中存在的问题并做好记录和解答，对存在的问题组织专家团队进行研讨，为标准的复审修订做准备。</w:t>
      </w:r>
    </w:p>
    <w:p w14:paraId="13F0CFD4" w14:textId="77777777" w:rsidR="006B65C5" w:rsidRPr="00A82992" w:rsidRDefault="005F5D38">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A82992">
        <w:rPr>
          <w:rFonts w:ascii="Times New Roman" w:eastAsia="楷体" w:hAnsi="Times New Roman" w:cs="Times New Roman" w:hint="eastAsia"/>
          <w:b/>
          <w:bCs/>
          <w:color w:val="000000" w:themeColor="text1"/>
          <w:kern w:val="0"/>
          <w:sz w:val="32"/>
          <w:szCs w:val="32"/>
        </w:rPr>
        <w:t>（四）开展标准实施效果评估</w:t>
      </w:r>
    </w:p>
    <w:p w14:paraId="1861B1B7" w14:textId="77777777"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标准实施满2年，每年标准宣贯工作组采取网络调查、问卷调查、实地调研、召开座谈会或论证会、专家咨询等方式开展标准实施效果评估，并形成标准实施效果评估报告，为标准的复审修订做准备。</w:t>
      </w:r>
    </w:p>
    <w:p w14:paraId="76EB67B5" w14:textId="77777777" w:rsidR="006B65C5" w:rsidRPr="00A82992" w:rsidRDefault="005F5D38">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A82992">
        <w:rPr>
          <w:rFonts w:ascii="Times New Roman" w:eastAsia="黑体" w:hAnsi="Times New Roman" w:cs="Times New Roman" w:hint="eastAsia"/>
          <w:color w:val="000000" w:themeColor="text1"/>
          <w:sz w:val="32"/>
          <w:szCs w:val="32"/>
        </w:rPr>
        <w:t>八、其他应当说明的事项</w:t>
      </w:r>
    </w:p>
    <w:p w14:paraId="3FF68DBB" w14:textId="77777777"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无。</w:t>
      </w:r>
    </w:p>
    <w:p w14:paraId="78F6D630" w14:textId="77777777" w:rsidR="006B65C5" w:rsidRPr="00A82992" w:rsidRDefault="006B65C5">
      <w:pPr>
        <w:pStyle w:val="-1"/>
        <w:rPr>
          <w:rFonts w:ascii="仿宋_GB2312" w:eastAsia="仿宋_GB2312"/>
          <w:color w:val="000000" w:themeColor="text1"/>
          <w:sz w:val="28"/>
          <w:szCs w:val="28"/>
        </w:rPr>
      </w:pPr>
      <w:bookmarkStart w:id="0" w:name="_GoBack"/>
      <w:bookmarkEnd w:id="0"/>
    </w:p>
    <w:p w14:paraId="3083F20A" w14:textId="77777777" w:rsidR="006B65C5" w:rsidRPr="00A82992" w:rsidRDefault="006B65C5">
      <w:pPr>
        <w:pStyle w:val="-1"/>
        <w:rPr>
          <w:rFonts w:ascii="仿宋_GB2312" w:eastAsia="仿宋_GB2312"/>
          <w:color w:val="000000" w:themeColor="text1"/>
          <w:sz w:val="28"/>
          <w:szCs w:val="28"/>
        </w:rPr>
      </w:pPr>
    </w:p>
    <w:p w14:paraId="50E93430" w14:textId="6C50FAF2" w:rsidR="006B65C5" w:rsidRPr="00A82992" w:rsidRDefault="005F5D38" w:rsidP="00CC3859">
      <w:pPr>
        <w:spacing w:line="520" w:lineRule="exact"/>
        <w:ind w:firstLineChars="200" w:firstLine="640"/>
        <w:jc w:val="right"/>
        <w:rPr>
          <w:rFonts w:ascii="仿宋_GB2312" w:eastAsia="仿宋_GB2312"/>
          <w:color w:val="000000" w:themeColor="text1"/>
          <w:sz w:val="32"/>
          <w:szCs w:val="32"/>
        </w:rPr>
      </w:pPr>
      <w:r w:rsidRPr="00A82992">
        <w:rPr>
          <w:rFonts w:ascii="仿宋_GB2312" w:eastAsia="仿宋_GB2312" w:hint="eastAsia"/>
          <w:color w:val="000000" w:themeColor="text1"/>
          <w:sz w:val="32"/>
          <w:szCs w:val="32"/>
        </w:rPr>
        <w:t>团体标准《</w:t>
      </w:r>
      <w:r w:rsidR="00EF5012">
        <w:rPr>
          <w:rFonts w:ascii="仿宋_GB2312" w:eastAsia="仿宋_GB2312" w:hint="eastAsia"/>
          <w:color w:val="000000" w:themeColor="text1"/>
          <w:sz w:val="32"/>
          <w:szCs w:val="32"/>
        </w:rPr>
        <w:t>耐酸水稻品种类型划分方法</w:t>
      </w:r>
      <w:r w:rsidRPr="00A82992">
        <w:rPr>
          <w:rFonts w:ascii="仿宋_GB2312" w:eastAsia="仿宋_GB2312" w:hint="eastAsia"/>
          <w:color w:val="000000" w:themeColor="text1"/>
          <w:sz w:val="32"/>
          <w:szCs w:val="32"/>
        </w:rPr>
        <w:t>》</w:t>
      </w:r>
    </w:p>
    <w:p w14:paraId="1D83E504" w14:textId="77777777"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 w:eastAsia="仿宋" w:hAnsi="仿宋" w:hint="eastAsia"/>
          <w:color w:val="000000" w:themeColor="text1"/>
          <w:sz w:val="32"/>
          <w:szCs w:val="32"/>
        </w:rPr>
        <w:t xml:space="preserve">                             </w:t>
      </w:r>
      <w:r w:rsidRPr="00A82992">
        <w:rPr>
          <w:rFonts w:ascii="仿宋_GB2312" w:eastAsia="仿宋_GB2312" w:hint="eastAsia"/>
          <w:color w:val="000000" w:themeColor="text1"/>
          <w:sz w:val="32"/>
          <w:szCs w:val="32"/>
        </w:rPr>
        <w:t>标准编制工作组</w:t>
      </w:r>
    </w:p>
    <w:p w14:paraId="67F57A2E" w14:textId="45579A91" w:rsidR="006B65C5" w:rsidRPr="00A82992" w:rsidRDefault="005F5D38">
      <w:pPr>
        <w:spacing w:line="520" w:lineRule="exact"/>
        <w:ind w:firstLineChars="200" w:firstLine="640"/>
        <w:rPr>
          <w:rFonts w:ascii="仿宋_GB2312" w:eastAsia="仿宋_GB2312"/>
          <w:color w:val="000000" w:themeColor="text1"/>
          <w:sz w:val="32"/>
          <w:szCs w:val="32"/>
        </w:rPr>
      </w:pPr>
      <w:r w:rsidRPr="00A82992">
        <w:rPr>
          <w:rFonts w:ascii="仿宋" w:eastAsia="仿宋" w:hAnsi="仿宋" w:hint="eastAsia"/>
          <w:color w:val="000000" w:themeColor="text1"/>
          <w:sz w:val="32"/>
          <w:szCs w:val="32"/>
        </w:rPr>
        <w:t xml:space="preserve">                             </w:t>
      </w:r>
      <w:r w:rsidRPr="00A82992">
        <w:rPr>
          <w:rFonts w:ascii="仿宋_GB2312" w:eastAsia="仿宋_GB2312" w:hint="eastAsia"/>
          <w:color w:val="000000" w:themeColor="text1"/>
          <w:sz w:val="32"/>
          <w:szCs w:val="32"/>
        </w:rPr>
        <w:t>202</w:t>
      </w:r>
      <w:r w:rsidRPr="00A82992">
        <w:rPr>
          <w:rFonts w:ascii="仿宋_GB2312" w:eastAsia="仿宋_GB2312"/>
          <w:color w:val="000000" w:themeColor="text1"/>
          <w:sz w:val="32"/>
          <w:szCs w:val="32"/>
        </w:rPr>
        <w:t>5</w:t>
      </w:r>
      <w:r w:rsidRPr="00A82992">
        <w:rPr>
          <w:rFonts w:ascii="仿宋_GB2312" w:eastAsia="仿宋_GB2312" w:hint="eastAsia"/>
          <w:color w:val="000000" w:themeColor="text1"/>
          <w:sz w:val="32"/>
          <w:szCs w:val="32"/>
        </w:rPr>
        <w:t>年</w:t>
      </w:r>
      <w:r w:rsidR="000361D9">
        <w:rPr>
          <w:rFonts w:ascii="仿宋_GB2312" w:eastAsia="仿宋_GB2312"/>
          <w:color w:val="000000" w:themeColor="text1"/>
          <w:sz w:val="32"/>
          <w:szCs w:val="32"/>
        </w:rPr>
        <w:t>8</w:t>
      </w:r>
      <w:r w:rsidRPr="00A82992">
        <w:rPr>
          <w:rFonts w:ascii="仿宋_GB2312" w:eastAsia="仿宋_GB2312" w:hint="eastAsia"/>
          <w:color w:val="000000" w:themeColor="text1"/>
          <w:sz w:val="32"/>
          <w:szCs w:val="32"/>
        </w:rPr>
        <w:t>月</w:t>
      </w:r>
      <w:r w:rsidR="00EB18C5">
        <w:rPr>
          <w:rFonts w:ascii="仿宋_GB2312" w:eastAsia="仿宋_GB2312"/>
          <w:color w:val="000000" w:themeColor="text1"/>
          <w:sz w:val="32"/>
          <w:szCs w:val="32"/>
        </w:rPr>
        <w:t>28</w:t>
      </w:r>
      <w:r w:rsidRPr="00A82992">
        <w:rPr>
          <w:rFonts w:ascii="仿宋_GB2312" w:eastAsia="仿宋_GB2312" w:hint="eastAsia"/>
          <w:color w:val="000000" w:themeColor="text1"/>
          <w:sz w:val="32"/>
          <w:szCs w:val="32"/>
        </w:rPr>
        <w:t>日</w:t>
      </w:r>
    </w:p>
    <w:sectPr w:rsidR="006B65C5" w:rsidRPr="00A82992" w:rsidSect="00EA7EDC">
      <w:footerReference w:type="default" r:id="rId12"/>
      <w:pgSz w:w="11906" w:h="16838"/>
      <w:pgMar w:top="1474" w:right="1274" w:bottom="1474" w:left="1276" w:header="851" w:footer="992" w:gutter="0"/>
      <w:cols w:space="72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E7EF17" w14:textId="77777777" w:rsidR="00BC552E" w:rsidRDefault="00BC552E">
      <w:r>
        <w:separator/>
      </w:r>
    </w:p>
  </w:endnote>
  <w:endnote w:type="continuationSeparator" w:id="0">
    <w:p w14:paraId="6B6407E8" w14:textId="77777777" w:rsidR="00BC552E" w:rsidRDefault="00BC55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FC29851B-D245-4D75-9D08-02ECC82AD6D4}"/>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仿宋">
    <w:panose1 w:val="02010609060101010101"/>
    <w:charset w:val="86"/>
    <w:family w:val="modern"/>
    <w:pitch w:val="fixed"/>
    <w:sig w:usb0="800002BF" w:usb1="38CF7CFA" w:usb2="00000016" w:usb3="00000000" w:csb0="00040001" w:csb1="00000000"/>
    <w:embedRegular r:id="rId2" w:subsetted="1" w:fontKey="{2249C0C1-D699-4B39-BE1A-CFD463195945}"/>
  </w:font>
  <w:font w:name="等线">
    <w:altName w:val="DengXian"/>
    <w:panose1 w:val="02010600030101010101"/>
    <w:charset w:val="86"/>
    <w:family w:val="auto"/>
    <w:pitch w:val="variable"/>
    <w:sig w:usb0="A00002BF" w:usb1="38CF7CFA" w:usb2="00000016" w:usb3="00000000" w:csb0="0004000F" w:csb1="00000000"/>
  </w:font>
  <w:font w:name="方正小标宋简体">
    <w:panose1 w:val="02010601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embedRegular r:id="rId3" w:subsetted="1" w:fontKey="{49BE09F0-A184-436E-A09E-DBD85A83C5E2}"/>
    <w:embedBold r:id="rId4" w:subsetted="1" w:fontKey="{B0AAF229-D7E9-4EAA-A69E-7904E049F7AE}"/>
    <w:embedItalic r:id="rId5" w:subsetted="1" w:fontKey="{869D0EA4-EB55-463B-842B-6CCF48E90854}"/>
  </w:font>
  <w:font w:name="楷体">
    <w:panose1 w:val="02010609060101010101"/>
    <w:charset w:val="86"/>
    <w:family w:val="modern"/>
    <w:pitch w:val="fixed"/>
    <w:sig w:usb0="800002BF" w:usb1="38CF7CFA" w:usb2="00000016" w:usb3="00000000" w:csb0="00040001" w:csb1="00000000"/>
    <w:embedBold r:id="rId6" w:subsetted="1" w:fontKey="{4D7D76BF-E19A-46F0-B7A4-FFD271ACF286}"/>
  </w:font>
  <w:font w:name="MS Mincho">
    <w:altName w:val="ＭＳ 明朝"/>
    <w:panose1 w:val="02020609040205080304"/>
    <w:charset w:val="80"/>
    <w:family w:val="modern"/>
    <w:pitch w:val="fixed"/>
    <w:sig w:usb0="E00002FF" w:usb1="6AC7FDFB" w:usb2="00000012" w:usb3="00000000" w:csb0="0002009F" w:csb1="00000000"/>
    <w:embedRegular r:id="rId7" w:subsetted="1" w:fontKey="{1E23CA64-A4BC-4BC5-9FDD-00D9B2E836F7}"/>
  </w:font>
  <w:font w:name="Cambria Math">
    <w:panose1 w:val="02040503050406030204"/>
    <w:charset w:val="00"/>
    <w:family w:val="roman"/>
    <w:pitch w:val="variable"/>
    <w:sig w:usb0="E00002FF" w:usb1="420024FF" w:usb2="00000000" w:usb3="00000000" w:csb0="0000019F" w:csb1="00000000"/>
    <w:embedRegular r:id="rId8" w:subsetted="1" w:fontKey="{7F3C8322-9AE2-450B-8DB2-F822C8FE09C2}"/>
    <w:embedItalic r:id="rId9" w:subsetted="1" w:fontKey="{C5B9C22F-5BD6-4B5B-B819-3B00FE24979E}"/>
  </w:font>
  <w:font w:name="微软雅黑">
    <w:panose1 w:val="020B0503020204020204"/>
    <w:charset w:val="86"/>
    <w:family w:val="swiss"/>
    <w:pitch w:val="variable"/>
    <w:sig w:usb0="80000287" w:usb1="280F3C52"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473D37" w14:textId="77777777" w:rsidR="00CD1381" w:rsidRDefault="00CD1381">
    <w:pPr>
      <w:pStyle w:val="af9"/>
      <w:ind w:firstLine="378"/>
    </w:pPr>
    <w:r>
      <w:rPr>
        <w:noProof/>
      </w:rPr>
      <mc:AlternateContent>
        <mc:Choice Requires="wps">
          <w:drawing>
            <wp:anchor distT="0" distB="0" distL="114300" distR="114300" simplePos="0" relativeHeight="251658240" behindDoc="0" locked="0" layoutInCell="1" allowOverlap="1" wp14:anchorId="12DDB59F" wp14:editId="5E8D4730">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6CF0DFA4" w14:textId="5BB97C6E" w:rsidR="00CD1381" w:rsidRDefault="00CD1381">
                          <w:pPr>
                            <w:pStyle w:val="af9"/>
                            <w:rPr>
                              <w:rFonts w:ascii="宋体" w:hAnsi="宋体"/>
                              <w:sz w:val="22"/>
                            </w:rPr>
                          </w:pPr>
                          <w:r>
                            <w:rPr>
                              <w:rFonts w:ascii="宋体" w:hAnsi="宋体" w:hint="eastAsia"/>
                              <w:sz w:val="22"/>
                            </w:rPr>
                            <w:fldChar w:fldCharType="begin"/>
                          </w:r>
                          <w:r>
                            <w:rPr>
                              <w:rFonts w:ascii="宋体" w:hAnsi="宋体" w:hint="eastAsia"/>
                              <w:sz w:val="22"/>
                            </w:rPr>
                            <w:instrText xml:space="preserve"> PAGE  \* MERGEFORMAT </w:instrText>
                          </w:r>
                          <w:r>
                            <w:rPr>
                              <w:rFonts w:ascii="宋体" w:hAnsi="宋体" w:hint="eastAsia"/>
                              <w:sz w:val="22"/>
                            </w:rPr>
                            <w:fldChar w:fldCharType="separate"/>
                          </w:r>
                          <w:r w:rsidR="008B1872">
                            <w:rPr>
                              <w:rFonts w:ascii="宋体" w:hAnsi="宋体"/>
                              <w:noProof/>
                              <w:sz w:val="22"/>
                            </w:rPr>
                            <w:t>16</w:t>
                          </w:r>
                          <w:r>
                            <w:rPr>
                              <w:rFonts w:ascii="宋体" w:hAnsi="宋体" w:hint="eastAsia"/>
                              <w:sz w:val="22"/>
                            </w:rPr>
                            <w:fldChar w:fldCharType="end"/>
                          </w:r>
                        </w:p>
                      </w:txbxContent>
                    </wps:txbx>
                    <wps:bodyPr wrap="none" lIns="0" tIns="0" rIns="0" bIns="0" upright="1">
                      <a:spAutoFit/>
                    </wps:bodyPr>
                  </wps:wsp>
                </a:graphicData>
              </a:graphic>
            </wp:anchor>
          </w:drawing>
        </mc:Choice>
        <mc:Fallback>
          <w:pict>
            <v:shapetype w14:anchorId="12DDB59F" id="_x0000_t202" coordsize="21600,21600" o:spt="202" path="m,l,21600r21600,l21600,xe">
              <v:stroke joinstyle="miter"/>
              <v:path gradientshapeok="t" o:connecttype="rect"/>
            </v:shapetype>
            <v:shape id="文本框 1" o:spid="_x0000_s1026" type="#_x0000_t202" style="position:absolute;left:0;text-align:left;margin-left:0;margin-top:0;width:4.45pt;height:10.35pt;z-index:2516582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" filled="f" stroked="f" strokeweight=".5pt">
              <v:textbox style="mso-fit-shape-to-text:t" inset="0,0,0,0">
                <w:txbxContent>
                  <w:p w14:paraId="6CF0DFA4" w14:textId="5BB97C6E" w:rsidR="00CD1381" w:rsidRDefault="00CD1381">
                    <w:pPr>
                      <w:pStyle w:val="af9"/>
                      <w:rPr>
                        <w:rFonts w:ascii="宋体" w:hAnsi="宋体"/>
                        <w:sz w:val="22"/>
                      </w:rPr>
                    </w:pPr>
                    <w:r>
                      <w:rPr>
                        <w:rFonts w:ascii="宋体" w:hAnsi="宋体" w:hint="eastAsia"/>
                        <w:sz w:val="22"/>
                      </w:rPr>
                      <w:fldChar w:fldCharType="begin"/>
                    </w:r>
                    <w:r>
                      <w:rPr>
                        <w:rFonts w:ascii="宋体" w:hAnsi="宋体" w:hint="eastAsia"/>
                        <w:sz w:val="22"/>
                      </w:rPr>
                      <w:instrText xml:space="preserve"> PAGE  \* MERGEFORMAT </w:instrText>
                    </w:r>
                    <w:r>
                      <w:rPr>
                        <w:rFonts w:ascii="宋体" w:hAnsi="宋体" w:hint="eastAsia"/>
                        <w:sz w:val="22"/>
                      </w:rPr>
                      <w:fldChar w:fldCharType="separate"/>
                    </w:r>
                    <w:r w:rsidR="008B1872">
                      <w:rPr>
                        <w:rFonts w:ascii="宋体" w:hAnsi="宋体"/>
                        <w:noProof/>
                        <w:sz w:val="22"/>
                      </w:rPr>
                      <w:t>16</w:t>
                    </w:r>
                    <w:r>
                      <w:rPr>
                        <w:rFonts w:ascii="宋体" w:hAnsi="宋体" w:hint="eastAsia"/>
                        <w:sz w:val="22"/>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85B612" w14:textId="77777777" w:rsidR="00BC552E" w:rsidRDefault="00BC552E">
      <w:r>
        <w:separator/>
      </w:r>
    </w:p>
  </w:footnote>
  <w:footnote w:type="continuationSeparator" w:id="0">
    <w:p w14:paraId="243472D8" w14:textId="77777777" w:rsidR="00BC552E" w:rsidRDefault="00BC552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DDF8329"/>
    <w:multiLevelType w:val="multilevel"/>
    <w:tmpl w:val="8DDF8329"/>
    <w:lvl w:ilvl="0">
      <w:start w:val="1"/>
      <w:numFmt w:val="decimal"/>
      <w:pStyle w:val="a"/>
      <w:suff w:val="nothing"/>
      <w:lvlText w:val="表%1　"/>
      <w:legacy w:legacy="1" w:legacySpace="0" w:legacyIndent="0"/>
      <w:lvlJc w:val="left"/>
      <w:pPr>
        <w:ind w:left="0" w:firstLine="0"/>
      </w:pPr>
    </w:lvl>
    <w:lvl w:ilvl="1">
      <w:start w:val="1"/>
      <w:numFmt w:val="decimal"/>
      <w:lvlText w:val="%1.%2"/>
      <w:legacy w:legacy="1" w:legacySpace="0" w:legacyIndent="567"/>
      <w:lvlJc w:val="left"/>
      <w:pPr>
        <w:ind w:left="992" w:hanging="567"/>
      </w:pPr>
    </w:lvl>
    <w:lvl w:ilvl="2">
      <w:start w:val="1"/>
      <w:numFmt w:val="decimal"/>
      <w:lvlText w:val="%1.%2.%3"/>
      <w:legacy w:legacy="1" w:legacySpace="0" w:legacyIndent="567"/>
      <w:lvlJc w:val="left"/>
      <w:pPr>
        <w:ind w:left="1417" w:hanging="567"/>
      </w:pPr>
    </w:lvl>
    <w:lvl w:ilvl="3">
      <w:start w:val="1"/>
      <w:numFmt w:val="decimal"/>
      <w:lvlText w:val="%1.%2.%3.%4"/>
      <w:legacy w:legacy="1" w:legacySpace="0" w:legacyIndent="708"/>
      <w:lvlJc w:val="left"/>
      <w:pPr>
        <w:ind w:left="1984" w:hanging="708"/>
      </w:pPr>
    </w:lvl>
    <w:lvl w:ilvl="4">
      <w:start w:val="1"/>
      <w:numFmt w:val="decimal"/>
      <w:lvlText w:val="%1.%2.%3.%4.%5"/>
      <w:legacy w:legacy="1" w:legacySpace="0" w:legacyIndent="850"/>
      <w:lvlJc w:val="left"/>
      <w:pPr>
        <w:ind w:left="2551" w:hanging="850"/>
      </w:pPr>
    </w:lvl>
    <w:lvl w:ilvl="5">
      <w:start w:val="1"/>
      <w:numFmt w:val="decimal"/>
      <w:lvlText w:val="%1.%2.%3.%4.%5.%6"/>
      <w:legacy w:legacy="1" w:legacySpace="0" w:legacyIndent="1134"/>
      <w:lvlJc w:val="left"/>
      <w:pPr>
        <w:ind w:left="3260" w:hanging="1134"/>
      </w:pPr>
    </w:lvl>
    <w:lvl w:ilvl="6">
      <w:start w:val="1"/>
      <w:numFmt w:val="decimal"/>
      <w:lvlText w:val="%1.%2.%3.%4.%5.%6.%7"/>
      <w:legacy w:legacy="1" w:legacySpace="0" w:legacyIndent="1276"/>
      <w:lvlJc w:val="left"/>
      <w:pPr>
        <w:ind w:left="3827" w:hanging="1276"/>
      </w:pPr>
    </w:lvl>
    <w:lvl w:ilvl="7">
      <w:start w:val="1"/>
      <w:numFmt w:val="decimal"/>
      <w:lvlText w:val="%1.%2.%3.%4.%5.%6.%7.%8"/>
      <w:legacy w:legacy="1" w:legacySpace="0" w:legacyIndent="1418"/>
      <w:lvlJc w:val="left"/>
      <w:pPr>
        <w:ind w:left="4394" w:hanging="1418"/>
      </w:pPr>
    </w:lvl>
    <w:lvl w:ilvl="8">
      <w:start w:val="1"/>
      <w:numFmt w:val="decimal"/>
      <w:lvlText w:val="%1.%2.%3.%4.%5.%6.%7.%8.%9"/>
      <w:legacy w:legacy="1" w:legacySpace="0" w:legacyIndent="1700"/>
      <w:lvlJc w:val="left"/>
      <w:pPr>
        <w:ind w:left="5102" w:hanging="1700"/>
      </w:pPr>
    </w:lvl>
  </w:abstractNum>
  <w:abstractNum w:abstractNumId="1" w15:restartNumberingAfterBreak="0">
    <w:nsid w:val="02837933"/>
    <w:multiLevelType w:val="hybridMultilevel"/>
    <w:tmpl w:val="EC424B92"/>
    <w:lvl w:ilvl="0" w:tplc="313642F2">
      <w:start w:val="1"/>
      <w:numFmt w:val="decimal"/>
      <w:pStyle w:val="a0"/>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2" w15:restartNumberingAfterBreak="0">
    <w:nsid w:val="08DC1042"/>
    <w:multiLevelType w:val="hybridMultilevel"/>
    <w:tmpl w:val="AD1A3D7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0BDC1670"/>
    <w:multiLevelType w:val="multilevel"/>
    <w:tmpl w:val="0BDC1670"/>
    <w:lvl w:ilvl="0">
      <w:start w:val="1"/>
      <w:numFmt w:val="decimal"/>
      <w:pStyle w:val="a1"/>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 w15:restartNumberingAfterBreak="0">
    <w:nsid w:val="2C5917C3"/>
    <w:multiLevelType w:val="multilevel"/>
    <w:tmpl w:val="2C5917C3"/>
    <w:lvl w:ilvl="0">
      <w:start w:val="1"/>
      <w:numFmt w:val="none"/>
      <w:pStyle w:val="a2"/>
      <w:lvlText w:val="%1——"/>
      <w:lvlJc w:val="left"/>
      <w:pPr>
        <w:tabs>
          <w:tab w:val="left" w:pos="851"/>
        </w:tabs>
        <w:ind w:left="636" w:hanging="426"/>
      </w:pPr>
      <w:rPr>
        <w:rFonts w:ascii="宋体" w:eastAsia="宋体" w:hAnsi="Times New Roman" w:hint="eastAsia"/>
        <w:b w:val="0"/>
        <w:i w:val="0"/>
        <w:sz w:val="21"/>
      </w:rPr>
    </w:lvl>
    <w:lvl w:ilvl="1">
      <w:start w:val="1"/>
      <w:numFmt w:val="none"/>
      <w:lvlText w:val=""/>
      <w:lvlJc w:val="left"/>
      <w:pPr>
        <w:ind w:left="636" w:hanging="431"/>
      </w:pPr>
      <w:rPr>
        <w:rFonts w:ascii="Symbol" w:hAnsi="Symbol" w:hint="default"/>
        <w:sz w:val="21"/>
      </w:rPr>
    </w:lvl>
    <w:lvl w:ilvl="2">
      <w:start w:val="1"/>
      <w:numFmt w:val="bullet"/>
      <w:lvlText w:val=""/>
      <w:lvlJc w:val="left"/>
      <w:pPr>
        <w:ind w:left="636" w:hanging="426"/>
      </w:pPr>
      <w:rPr>
        <w:rFonts w:ascii="Wingdings" w:hAnsi="Wingdings" w:hint="default"/>
        <w:sz w:val="21"/>
      </w:rPr>
    </w:lvl>
    <w:lvl w:ilvl="3">
      <w:start w:val="1"/>
      <w:numFmt w:val="decimal"/>
      <w:lvlText w:val="%4."/>
      <w:lvlJc w:val="left"/>
      <w:pPr>
        <w:tabs>
          <w:tab w:val="left" w:pos="2071"/>
        </w:tabs>
        <w:ind w:left="1669" w:hanging="528"/>
      </w:pPr>
      <w:rPr>
        <w:rFonts w:hint="eastAsia"/>
      </w:rPr>
    </w:lvl>
    <w:lvl w:ilvl="4">
      <w:start w:val="1"/>
      <w:numFmt w:val="lowerLetter"/>
      <w:lvlText w:val="%5)"/>
      <w:lvlJc w:val="left"/>
      <w:pPr>
        <w:tabs>
          <w:tab w:val="left" w:pos="2383"/>
        </w:tabs>
        <w:ind w:left="1981" w:hanging="528"/>
      </w:pPr>
      <w:rPr>
        <w:rFonts w:hint="eastAsia"/>
      </w:rPr>
    </w:lvl>
    <w:lvl w:ilvl="5">
      <w:start w:val="1"/>
      <w:numFmt w:val="lowerRoman"/>
      <w:lvlText w:val="%6."/>
      <w:lvlJc w:val="right"/>
      <w:pPr>
        <w:tabs>
          <w:tab w:val="left" w:pos="2695"/>
        </w:tabs>
        <w:ind w:left="2293" w:hanging="528"/>
      </w:pPr>
      <w:rPr>
        <w:rFonts w:hint="eastAsia"/>
      </w:rPr>
    </w:lvl>
    <w:lvl w:ilvl="6">
      <w:start w:val="1"/>
      <w:numFmt w:val="decimal"/>
      <w:lvlText w:val="%7."/>
      <w:lvlJc w:val="left"/>
      <w:pPr>
        <w:tabs>
          <w:tab w:val="left" w:pos="3007"/>
        </w:tabs>
        <w:ind w:left="2605" w:hanging="528"/>
      </w:pPr>
      <w:rPr>
        <w:rFonts w:hint="eastAsia"/>
      </w:rPr>
    </w:lvl>
    <w:lvl w:ilvl="7">
      <w:start w:val="1"/>
      <w:numFmt w:val="lowerLetter"/>
      <w:lvlText w:val="%8)"/>
      <w:lvlJc w:val="left"/>
      <w:pPr>
        <w:tabs>
          <w:tab w:val="left" w:pos="3319"/>
        </w:tabs>
        <w:ind w:left="2917" w:hanging="528"/>
      </w:pPr>
      <w:rPr>
        <w:rFonts w:hint="eastAsia"/>
      </w:rPr>
    </w:lvl>
    <w:lvl w:ilvl="8">
      <w:start w:val="1"/>
      <w:numFmt w:val="lowerRoman"/>
      <w:lvlText w:val="%9."/>
      <w:lvlJc w:val="right"/>
      <w:pPr>
        <w:tabs>
          <w:tab w:val="left" w:pos="3631"/>
        </w:tabs>
        <w:ind w:left="3229" w:hanging="528"/>
      </w:pPr>
      <w:rPr>
        <w:rFonts w:hint="eastAsia"/>
      </w:rPr>
    </w:lvl>
  </w:abstractNum>
  <w:abstractNum w:abstractNumId="5" w15:restartNumberingAfterBreak="0">
    <w:nsid w:val="34124BC7"/>
    <w:multiLevelType w:val="hybridMultilevel"/>
    <w:tmpl w:val="AC2CA33E"/>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6" w15:restartNumberingAfterBreak="0">
    <w:nsid w:val="44C50F90"/>
    <w:multiLevelType w:val="multilevel"/>
    <w:tmpl w:val="44C50F90"/>
    <w:lvl w:ilvl="0">
      <w:start w:val="1"/>
      <w:numFmt w:val="lowerLetter"/>
      <w:pStyle w:val="a3"/>
      <w:lvlText w:val="%1)"/>
      <w:lvlJc w:val="left"/>
      <w:pPr>
        <w:tabs>
          <w:tab w:val="left" w:pos="851"/>
        </w:tabs>
        <w:ind w:left="851" w:hanging="426"/>
      </w:pPr>
      <w:rPr>
        <w:rFonts w:ascii="宋体" w:eastAsia="宋体" w:hAnsi="Times New Roman" w:hint="eastAsia"/>
        <w:sz w:val="21"/>
      </w:rPr>
    </w:lvl>
    <w:lvl w:ilvl="1">
      <w:start w:val="1"/>
      <w:numFmt w:val="decimal"/>
      <w:pStyle w:val="a4"/>
      <w:lvlText w:val="%2)"/>
      <w:lvlJc w:val="left"/>
      <w:pPr>
        <w:tabs>
          <w:tab w:val="left" w:pos="1276"/>
        </w:tabs>
        <w:ind w:left="1276" w:hanging="425"/>
      </w:pPr>
      <w:rPr>
        <w:rFonts w:ascii="宋体" w:eastAsia="宋体" w:hAnsi="Times New Roman" w:hint="eastAsia"/>
        <w:sz w:val="21"/>
      </w:rPr>
    </w:lvl>
    <w:lvl w:ilvl="2">
      <w:start w:val="1"/>
      <w:numFmt w:val="decimal"/>
      <w:pStyle w:val="a5"/>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7" w15:restartNumberingAfterBreak="0">
    <w:nsid w:val="5A9B6960"/>
    <w:multiLevelType w:val="multilevel"/>
    <w:tmpl w:val="5A9B6960"/>
    <w:lvl w:ilvl="0">
      <w:start w:val="1"/>
      <w:numFmt w:val="none"/>
      <w:pStyle w:val="a6"/>
      <w:suff w:val="nothing"/>
      <w:lvlText w:val="%1"/>
      <w:legacy w:legacy="1" w:legacySpace="0" w:legacyIndent="0"/>
      <w:lvlJc w:val="left"/>
      <w:pPr>
        <w:ind w:left="0" w:firstLine="0"/>
      </w:pPr>
      <w:rPr>
        <w:rFonts w:hint="eastAsia"/>
      </w:rPr>
    </w:lvl>
    <w:lvl w:ilvl="1">
      <w:start w:val="1"/>
      <w:numFmt w:val="decimal"/>
      <w:pStyle w:val="a7"/>
      <w:suff w:val="nothing"/>
      <w:lvlText w:val="%1%2　"/>
      <w:legacy w:legacy="1" w:legacySpace="0" w:legacyIndent="0"/>
      <w:lvlJc w:val="left"/>
      <w:pPr>
        <w:ind w:left="0" w:firstLine="0"/>
      </w:pPr>
      <w:rPr>
        <w:rFonts w:ascii="黑体" w:eastAsia="黑体" w:hAnsi="黑体" w:hint="eastAsia"/>
        <w:b w:val="0"/>
        <w:i w:val="0"/>
        <w:sz w:val="21"/>
      </w:rPr>
    </w:lvl>
    <w:lvl w:ilvl="2">
      <w:start w:val="1"/>
      <w:numFmt w:val="decimal"/>
      <w:pStyle w:val="a8"/>
      <w:suff w:val="nothing"/>
      <w:lvlText w:val="%1%2.%3　"/>
      <w:legacy w:legacy="1" w:legacySpace="0" w:legacyIndent="0"/>
      <w:lvlJc w:val="left"/>
      <w:pPr>
        <w:ind w:left="0"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egacy w:legacy="1" w:legacySpace="0" w:legacyIndent="0"/>
      <w:lvlJc w:val="left"/>
      <w:pPr>
        <w:ind w:left="0" w:firstLine="0"/>
      </w:pPr>
      <w:rPr>
        <w:rFonts w:ascii="黑体" w:eastAsia="黑体" w:hAnsi="黑体" w:hint="eastAsia"/>
        <w:b w:val="0"/>
        <w:i w:val="0"/>
        <w:sz w:val="21"/>
      </w:rPr>
    </w:lvl>
    <w:lvl w:ilvl="4">
      <w:start w:val="1"/>
      <w:numFmt w:val="decimal"/>
      <w:pStyle w:val="a9"/>
      <w:suff w:val="nothing"/>
      <w:lvlText w:val="%1%2.%3.%4.%5　"/>
      <w:legacy w:legacy="1" w:legacySpace="0" w:legacyIndent="0"/>
      <w:lvlJc w:val="left"/>
      <w:pPr>
        <w:ind w:left="0" w:firstLine="0"/>
      </w:pPr>
      <w:rPr>
        <w:rFonts w:ascii="黑体" w:eastAsia="黑体" w:hAnsi="黑体" w:hint="eastAsia"/>
        <w:b w:val="0"/>
        <w:i w:val="0"/>
        <w:sz w:val="21"/>
      </w:rPr>
    </w:lvl>
    <w:lvl w:ilvl="5">
      <w:start w:val="1"/>
      <w:numFmt w:val="decimal"/>
      <w:pStyle w:val="aa"/>
      <w:suff w:val="nothing"/>
      <w:lvlText w:val="%1%2.%3.%4.%5.%6　"/>
      <w:legacy w:legacy="1" w:legacySpace="0" w:legacyIndent="0"/>
      <w:lvlJc w:val="left"/>
      <w:pPr>
        <w:ind w:left="0" w:firstLine="0"/>
      </w:pPr>
      <w:rPr>
        <w:rFonts w:ascii="黑体" w:eastAsia="黑体" w:hAnsi="黑体" w:hint="eastAsia"/>
        <w:b w:val="0"/>
        <w:i w:val="0"/>
        <w:sz w:val="21"/>
      </w:rPr>
    </w:lvl>
    <w:lvl w:ilvl="6">
      <w:start w:val="1"/>
      <w:numFmt w:val="decimal"/>
      <w:pStyle w:val="ab"/>
      <w:suff w:val="nothing"/>
      <w:lvlText w:val="%1%2.%3.%4.%5.%6.%7　"/>
      <w:legacy w:legacy="1" w:legacySpace="0" w:legacyIndent="0"/>
      <w:lvlJc w:val="left"/>
      <w:pPr>
        <w:ind w:left="0" w:firstLine="0"/>
      </w:pPr>
      <w:rPr>
        <w:rFonts w:ascii="黑体" w:eastAsia="黑体" w:hAnsi="黑体" w:hint="eastAsia"/>
        <w:b w:val="0"/>
        <w:i w:val="0"/>
        <w:sz w:val="21"/>
      </w:rPr>
    </w:lvl>
    <w:lvl w:ilvl="7">
      <w:start w:val="1"/>
      <w:numFmt w:val="decimal"/>
      <w:lvlText w:val="%1.%2.%3.%4.%5.%6.%7.%8"/>
      <w:legacy w:legacy="1" w:legacySpace="0" w:legacyIndent="1418"/>
      <w:lvlJc w:val="left"/>
      <w:pPr>
        <w:ind w:left="3969" w:hanging="1418"/>
      </w:pPr>
      <w:rPr>
        <w:rFonts w:hint="eastAsia"/>
      </w:rPr>
    </w:lvl>
    <w:lvl w:ilvl="8">
      <w:start w:val="1"/>
      <w:numFmt w:val="decimal"/>
      <w:lvlText w:val="%1.%2.%3.%4.%5.%6.%7.%8.%9"/>
      <w:legacy w:legacy="1" w:legacySpace="0" w:legacyIndent="1700"/>
      <w:lvlJc w:val="left"/>
      <w:pPr>
        <w:ind w:left="4677" w:hanging="1700"/>
      </w:pPr>
      <w:rPr>
        <w:rFonts w:hint="eastAsia"/>
      </w:rPr>
    </w:lvl>
  </w:abstractNum>
  <w:abstractNum w:abstractNumId="8" w15:restartNumberingAfterBreak="0">
    <w:nsid w:val="5D24797C"/>
    <w:multiLevelType w:val="hybridMultilevel"/>
    <w:tmpl w:val="28BC0FD0"/>
    <w:lvl w:ilvl="0" w:tplc="4C282C34">
      <w:start w:val="1"/>
      <w:numFmt w:val="decimal"/>
      <w:suff w:val="nothing"/>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c"/>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num w:numId="1">
    <w:abstractNumId w:val="7"/>
  </w:num>
  <w:num w:numId="2">
    <w:abstractNumId w:val="0"/>
  </w:num>
  <w:num w:numId="3">
    <w:abstractNumId w:val="6"/>
  </w:num>
  <w:num w:numId="4">
    <w:abstractNumId w:val="4"/>
  </w:num>
  <w:num w:numId="5">
    <w:abstractNumId w:val="9"/>
  </w:num>
  <w:num w:numId="6">
    <w:abstractNumId w:val="3"/>
  </w:num>
  <w:num w:numId="7">
    <w:abstractNumId w:val="5"/>
  </w:num>
  <w:num w:numId="8">
    <w:abstractNumId w:val="2"/>
  </w:num>
  <w:num w:numId="9">
    <w:abstractNumId w:val="8"/>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cwMDc0ZjI4NzNlMjMwZWM0OGFmYTgxZDU4M2Y4NDAifQ=="/>
  </w:docVars>
  <w:rsids>
    <w:rsidRoot w:val="000D75AA"/>
    <w:rsid w:val="D9BF3AD6"/>
    <w:rsid w:val="E7FFD9D9"/>
    <w:rsid w:val="FB77A368"/>
    <w:rsid w:val="FF7FD2F3"/>
    <w:rsid w:val="00000831"/>
    <w:rsid w:val="00004E05"/>
    <w:rsid w:val="000068A2"/>
    <w:rsid w:val="0000746F"/>
    <w:rsid w:val="00014983"/>
    <w:rsid w:val="000171F6"/>
    <w:rsid w:val="000178C8"/>
    <w:rsid w:val="00021A74"/>
    <w:rsid w:val="00021AEF"/>
    <w:rsid w:val="00022B48"/>
    <w:rsid w:val="00023C83"/>
    <w:rsid w:val="00023CD6"/>
    <w:rsid w:val="00024C52"/>
    <w:rsid w:val="00025E16"/>
    <w:rsid w:val="000361D9"/>
    <w:rsid w:val="00041142"/>
    <w:rsid w:val="0004197A"/>
    <w:rsid w:val="00041CA7"/>
    <w:rsid w:val="00045E58"/>
    <w:rsid w:val="00051A80"/>
    <w:rsid w:val="00051C74"/>
    <w:rsid w:val="00051F5E"/>
    <w:rsid w:val="000540AB"/>
    <w:rsid w:val="00055442"/>
    <w:rsid w:val="0006459C"/>
    <w:rsid w:val="000709A1"/>
    <w:rsid w:val="00072103"/>
    <w:rsid w:val="00073058"/>
    <w:rsid w:val="000743B4"/>
    <w:rsid w:val="00075653"/>
    <w:rsid w:val="00076330"/>
    <w:rsid w:val="00082613"/>
    <w:rsid w:val="000836DC"/>
    <w:rsid w:val="00087B5A"/>
    <w:rsid w:val="00091BC8"/>
    <w:rsid w:val="00092E1F"/>
    <w:rsid w:val="000932A2"/>
    <w:rsid w:val="000940F9"/>
    <w:rsid w:val="00094B6B"/>
    <w:rsid w:val="000968C6"/>
    <w:rsid w:val="000969BE"/>
    <w:rsid w:val="000A36DD"/>
    <w:rsid w:val="000B2C81"/>
    <w:rsid w:val="000B2F3C"/>
    <w:rsid w:val="000B3320"/>
    <w:rsid w:val="000B3E65"/>
    <w:rsid w:val="000B6E76"/>
    <w:rsid w:val="000B748E"/>
    <w:rsid w:val="000C4947"/>
    <w:rsid w:val="000C517B"/>
    <w:rsid w:val="000D211A"/>
    <w:rsid w:val="000D35F1"/>
    <w:rsid w:val="000D75AA"/>
    <w:rsid w:val="000D7F56"/>
    <w:rsid w:val="000E0D19"/>
    <w:rsid w:val="000E28E9"/>
    <w:rsid w:val="000E53EA"/>
    <w:rsid w:val="000F21F0"/>
    <w:rsid w:val="000F2861"/>
    <w:rsid w:val="000F3BB3"/>
    <w:rsid w:val="00102400"/>
    <w:rsid w:val="0010338D"/>
    <w:rsid w:val="001039E4"/>
    <w:rsid w:val="00105029"/>
    <w:rsid w:val="00110AC2"/>
    <w:rsid w:val="001120A0"/>
    <w:rsid w:val="001121F0"/>
    <w:rsid w:val="001133E6"/>
    <w:rsid w:val="0012345E"/>
    <w:rsid w:val="00127E58"/>
    <w:rsid w:val="00132D8B"/>
    <w:rsid w:val="00133F3E"/>
    <w:rsid w:val="0013596D"/>
    <w:rsid w:val="001360D5"/>
    <w:rsid w:val="001363BD"/>
    <w:rsid w:val="00136CB0"/>
    <w:rsid w:val="001414C7"/>
    <w:rsid w:val="00141D9D"/>
    <w:rsid w:val="00151F7B"/>
    <w:rsid w:val="00152CB3"/>
    <w:rsid w:val="00153A4E"/>
    <w:rsid w:val="00153D5D"/>
    <w:rsid w:val="001548F8"/>
    <w:rsid w:val="00160A77"/>
    <w:rsid w:val="00163FFE"/>
    <w:rsid w:val="001655CC"/>
    <w:rsid w:val="001748D4"/>
    <w:rsid w:val="00175140"/>
    <w:rsid w:val="0018012C"/>
    <w:rsid w:val="00180415"/>
    <w:rsid w:val="001821C9"/>
    <w:rsid w:val="00183018"/>
    <w:rsid w:val="00184D1A"/>
    <w:rsid w:val="00190E01"/>
    <w:rsid w:val="001928E9"/>
    <w:rsid w:val="00195660"/>
    <w:rsid w:val="001968C3"/>
    <w:rsid w:val="001A25BD"/>
    <w:rsid w:val="001A69C0"/>
    <w:rsid w:val="001A7570"/>
    <w:rsid w:val="001B0030"/>
    <w:rsid w:val="001B3580"/>
    <w:rsid w:val="001B6B04"/>
    <w:rsid w:val="001C21D4"/>
    <w:rsid w:val="001C4C8F"/>
    <w:rsid w:val="001C7DE8"/>
    <w:rsid w:val="001D0584"/>
    <w:rsid w:val="001D3156"/>
    <w:rsid w:val="001D4971"/>
    <w:rsid w:val="001E1206"/>
    <w:rsid w:val="001E29C4"/>
    <w:rsid w:val="001E2D73"/>
    <w:rsid w:val="001E39C1"/>
    <w:rsid w:val="001F1AA9"/>
    <w:rsid w:val="001F251A"/>
    <w:rsid w:val="001F4D35"/>
    <w:rsid w:val="0020127F"/>
    <w:rsid w:val="00205352"/>
    <w:rsid w:val="00205D69"/>
    <w:rsid w:val="00210FD3"/>
    <w:rsid w:val="00212227"/>
    <w:rsid w:val="00214EAB"/>
    <w:rsid w:val="002171A0"/>
    <w:rsid w:val="002209F0"/>
    <w:rsid w:val="002210B4"/>
    <w:rsid w:val="00221DEA"/>
    <w:rsid w:val="0022236C"/>
    <w:rsid w:val="00226607"/>
    <w:rsid w:val="00230E98"/>
    <w:rsid w:val="002324B6"/>
    <w:rsid w:val="00232E3B"/>
    <w:rsid w:val="00234F7D"/>
    <w:rsid w:val="00236909"/>
    <w:rsid w:val="00236EB4"/>
    <w:rsid w:val="00241F8A"/>
    <w:rsid w:val="00242E52"/>
    <w:rsid w:val="0025373A"/>
    <w:rsid w:val="00253845"/>
    <w:rsid w:val="002546EF"/>
    <w:rsid w:val="0025676C"/>
    <w:rsid w:val="00262001"/>
    <w:rsid w:val="00263541"/>
    <w:rsid w:val="00263E80"/>
    <w:rsid w:val="00264265"/>
    <w:rsid w:val="00266606"/>
    <w:rsid w:val="00271E05"/>
    <w:rsid w:val="002747F5"/>
    <w:rsid w:val="00274B73"/>
    <w:rsid w:val="00280BDB"/>
    <w:rsid w:val="00281F39"/>
    <w:rsid w:val="0028500C"/>
    <w:rsid w:val="0028575C"/>
    <w:rsid w:val="002879F6"/>
    <w:rsid w:val="00292F73"/>
    <w:rsid w:val="0029554A"/>
    <w:rsid w:val="00297734"/>
    <w:rsid w:val="002A0FD8"/>
    <w:rsid w:val="002A2DDC"/>
    <w:rsid w:val="002A3479"/>
    <w:rsid w:val="002A6E63"/>
    <w:rsid w:val="002B723D"/>
    <w:rsid w:val="002B7B10"/>
    <w:rsid w:val="002B7C92"/>
    <w:rsid w:val="002C176B"/>
    <w:rsid w:val="002C1D4E"/>
    <w:rsid w:val="002C3627"/>
    <w:rsid w:val="002C4D78"/>
    <w:rsid w:val="002C5F9C"/>
    <w:rsid w:val="002D18E3"/>
    <w:rsid w:val="002D2273"/>
    <w:rsid w:val="002D5597"/>
    <w:rsid w:val="002E1B63"/>
    <w:rsid w:val="002E357A"/>
    <w:rsid w:val="002E3B58"/>
    <w:rsid w:val="002E4234"/>
    <w:rsid w:val="002E5273"/>
    <w:rsid w:val="002F0D8E"/>
    <w:rsid w:val="002F4C45"/>
    <w:rsid w:val="002F5C0C"/>
    <w:rsid w:val="00300AE7"/>
    <w:rsid w:val="00302739"/>
    <w:rsid w:val="0030356D"/>
    <w:rsid w:val="00307774"/>
    <w:rsid w:val="00313329"/>
    <w:rsid w:val="00316588"/>
    <w:rsid w:val="00317091"/>
    <w:rsid w:val="00317530"/>
    <w:rsid w:val="00320CB4"/>
    <w:rsid w:val="00321E92"/>
    <w:rsid w:val="00322535"/>
    <w:rsid w:val="003259AF"/>
    <w:rsid w:val="00325F9F"/>
    <w:rsid w:val="003306DD"/>
    <w:rsid w:val="00330A4E"/>
    <w:rsid w:val="00332242"/>
    <w:rsid w:val="00332D30"/>
    <w:rsid w:val="003332BA"/>
    <w:rsid w:val="00340D9B"/>
    <w:rsid w:val="00340FDE"/>
    <w:rsid w:val="0034233F"/>
    <w:rsid w:val="003460F3"/>
    <w:rsid w:val="00346534"/>
    <w:rsid w:val="00347BB4"/>
    <w:rsid w:val="003517E7"/>
    <w:rsid w:val="00357BDF"/>
    <w:rsid w:val="00360BAF"/>
    <w:rsid w:val="00361296"/>
    <w:rsid w:val="00361596"/>
    <w:rsid w:val="00362C01"/>
    <w:rsid w:val="0036450F"/>
    <w:rsid w:val="00366228"/>
    <w:rsid w:val="00367D5E"/>
    <w:rsid w:val="00370812"/>
    <w:rsid w:val="00371B5F"/>
    <w:rsid w:val="00372E66"/>
    <w:rsid w:val="00373160"/>
    <w:rsid w:val="00374769"/>
    <w:rsid w:val="00375933"/>
    <w:rsid w:val="0037633C"/>
    <w:rsid w:val="00377A1C"/>
    <w:rsid w:val="00382E35"/>
    <w:rsid w:val="00384168"/>
    <w:rsid w:val="003872E4"/>
    <w:rsid w:val="00390AD8"/>
    <w:rsid w:val="00390C14"/>
    <w:rsid w:val="003920A4"/>
    <w:rsid w:val="00393447"/>
    <w:rsid w:val="00396F2C"/>
    <w:rsid w:val="003A1539"/>
    <w:rsid w:val="003A3F27"/>
    <w:rsid w:val="003A5862"/>
    <w:rsid w:val="003A587F"/>
    <w:rsid w:val="003B0042"/>
    <w:rsid w:val="003B32E1"/>
    <w:rsid w:val="003B45A7"/>
    <w:rsid w:val="003B4F42"/>
    <w:rsid w:val="003B4FCF"/>
    <w:rsid w:val="003B5B72"/>
    <w:rsid w:val="003C0E61"/>
    <w:rsid w:val="003C7382"/>
    <w:rsid w:val="003D1B3B"/>
    <w:rsid w:val="003D2335"/>
    <w:rsid w:val="003D483D"/>
    <w:rsid w:val="003D485E"/>
    <w:rsid w:val="003E080C"/>
    <w:rsid w:val="003E3BA3"/>
    <w:rsid w:val="003F1D97"/>
    <w:rsid w:val="003F3EB2"/>
    <w:rsid w:val="00400A69"/>
    <w:rsid w:val="00403B14"/>
    <w:rsid w:val="00405301"/>
    <w:rsid w:val="00406CA3"/>
    <w:rsid w:val="00411EFB"/>
    <w:rsid w:val="004123A3"/>
    <w:rsid w:val="00413A87"/>
    <w:rsid w:val="00414767"/>
    <w:rsid w:val="00415B0D"/>
    <w:rsid w:val="00417593"/>
    <w:rsid w:val="00420208"/>
    <w:rsid w:val="00422CC8"/>
    <w:rsid w:val="0042686B"/>
    <w:rsid w:val="00426B93"/>
    <w:rsid w:val="00426DC5"/>
    <w:rsid w:val="00427399"/>
    <w:rsid w:val="00430411"/>
    <w:rsid w:val="004314F4"/>
    <w:rsid w:val="00432DC4"/>
    <w:rsid w:val="00433D00"/>
    <w:rsid w:val="004348F7"/>
    <w:rsid w:val="00436198"/>
    <w:rsid w:val="004373E9"/>
    <w:rsid w:val="0044036C"/>
    <w:rsid w:val="0044065E"/>
    <w:rsid w:val="00444679"/>
    <w:rsid w:val="004458BB"/>
    <w:rsid w:val="00445A19"/>
    <w:rsid w:val="00446351"/>
    <w:rsid w:val="00446898"/>
    <w:rsid w:val="0045095B"/>
    <w:rsid w:val="004526B7"/>
    <w:rsid w:val="00455701"/>
    <w:rsid w:val="00461AA3"/>
    <w:rsid w:val="00462FF9"/>
    <w:rsid w:val="00471CEC"/>
    <w:rsid w:val="00473D8F"/>
    <w:rsid w:val="0047576C"/>
    <w:rsid w:val="004805DB"/>
    <w:rsid w:val="00480B2B"/>
    <w:rsid w:val="00481E78"/>
    <w:rsid w:val="004824D8"/>
    <w:rsid w:val="004828E9"/>
    <w:rsid w:val="0048511D"/>
    <w:rsid w:val="00494076"/>
    <w:rsid w:val="00496185"/>
    <w:rsid w:val="004A75FF"/>
    <w:rsid w:val="004B3C3F"/>
    <w:rsid w:val="004B4D68"/>
    <w:rsid w:val="004C181C"/>
    <w:rsid w:val="004C445A"/>
    <w:rsid w:val="004C4477"/>
    <w:rsid w:val="004C6673"/>
    <w:rsid w:val="004C78DD"/>
    <w:rsid w:val="004C7CD6"/>
    <w:rsid w:val="004D3C4E"/>
    <w:rsid w:val="004D6975"/>
    <w:rsid w:val="004D7C66"/>
    <w:rsid w:val="004E0167"/>
    <w:rsid w:val="004E152E"/>
    <w:rsid w:val="004E6C3D"/>
    <w:rsid w:val="004F29B4"/>
    <w:rsid w:val="004F3228"/>
    <w:rsid w:val="004F6DB3"/>
    <w:rsid w:val="005020DE"/>
    <w:rsid w:val="00503305"/>
    <w:rsid w:val="0050413F"/>
    <w:rsid w:val="005051BE"/>
    <w:rsid w:val="00505CD2"/>
    <w:rsid w:val="00507132"/>
    <w:rsid w:val="00507297"/>
    <w:rsid w:val="0050796A"/>
    <w:rsid w:val="005124A3"/>
    <w:rsid w:val="00515B82"/>
    <w:rsid w:val="0051608A"/>
    <w:rsid w:val="0051755E"/>
    <w:rsid w:val="005208D0"/>
    <w:rsid w:val="00524E15"/>
    <w:rsid w:val="00530C56"/>
    <w:rsid w:val="00533B2A"/>
    <w:rsid w:val="0053400A"/>
    <w:rsid w:val="005347E0"/>
    <w:rsid w:val="0053635F"/>
    <w:rsid w:val="00536C3C"/>
    <w:rsid w:val="00537853"/>
    <w:rsid w:val="00537E5F"/>
    <w:rsid w:val="00540C2F"/>
    <w:rsid w:val="0054119B"/>
    <w:rsid w:val="0054736C"/>
    <w:rsid w:val="005505FD"/>
    <w:rsid w:val="00550E19"/>
    <w:rsid w:val="00554B7D"/>
    <w:rsid w:val="00555C92"/>
    <w:rsid w:val="005563C0"/>
    <w:rsid w:val="00564592"/>
    <w:rsid w:val="00564A0C"/>
    <w:rsid w:val="00564F91"/>
    <w:rsid w:val="0056706B"/>
    <w:rsid w:val="00571BCB"/>
    <w:rsid w:val="005734DC"/>
    <w:rsid w:val="00573DE7"/>
    <w:rsid w:val="00575956"/>
    <w:rsid w:val="00575C51"/>
    <w:rsid w:val="0057711F"/>
    <w:rsid w:val="005777D1"/>
    <w:rsid w:val="00582732"/>
    <w:rsid w:val="005835AC"/>
    <w:rsid w:val="0058661D"/>
    <w:rsid w:val="00586987"/>
    <w:rsid w:val="00587109"/>
    <w:rsid w:val="005910DC"/>
    <w:rsid w:val="005945C3"/>
    <w:rsid w:val="00594F6B"/>
    <w:rsid w:val="0059544C"/>
    <w:rsid w:val="00597C52"/>
    <w:rsid w:val="005A067E"/>
    <w:rsid w:val="005A2B98"/>
    <w:rsid w:val="005A39CB"/>
    <w:rsid w:val="005A6E04"/>
    <w:rsid w:val="005B29FF"/>
    <w:rsid w:val="005B304B"/>
    <w:rsid w:val="005C07C8"/>
    <w:rsid w:val="005C2C71"/>
    <w:rsid w:val="005C5B2E"/>
    <w:rsid w:val="005C68B4"/>
    <w:rsid w:val="005C7615"/>
    <w:rsid w:val="005D3003"/>
    <w:rsid w:val="005D616B"/>
    <w:rsid w:val="005D6C2D"/>
    <w:rsid w:val="005E1815"/>
    <w:rsid w:val="005E3C13"/>
    <w:rsid w:val="005E7B33"/>
    <w:rsid w:val="005F09D2"/>
    <w:rsid w:val="005F1668"/>
    <w:rsid w:val="005F2769"/>
    <w:rsid w:val="005F2AD0"/>
    <w:rsid w:val="005F2FD2"/>
    <w:rsid w:val="005F3061"/>
    <w:rsid w:val="005F4961"/>
    <w:rsid w:val="005F5D38"/>
    <w:rsid w:val="005F748E"/>
    <w:rsid w:val="006013A3"/>
    <w:rsid w:val="0060186C"/>
    <w:rsid w:val="00603AFD"/>
    <w:rsid w:val="006053F6"/>
    <w:rsid w:val="00605A2E"/>
    <w:rsid w:val="0060769D"/>
    <w:rsid w:val="006121F4"/>
    <w:rsid w:val="00617590"/>
    <w:rsid w:val="00617B08"/>
    <w:rsid w:val="00617C39"/>
    <w:rsid w:val="00622A81"/>
    <w:rsid w:val="006260BB"/>
    <w:rsid w:val="00627AB4"/>
    <w:rsid w:val="00627BF1"/>
    <w:rsid w:val="00631D1E"/>
    <w:rsid w:val="006335ED"/>
    <w:rsid w:val="00633E53"/>
    <w:rsid w:val="006342DB"/>
    <w:rsid w:val="006343EC"/>
    <w:rsid w:val="0063539D"/>
    <w:rsid w:val="006371EA"/>
    <w:rsid w:val="00637F53"/>
    <w:rsid w:val="006404F9"/>
    <w:rsid w:val="006444DC"/>
    <w:rsid w:val="00650AC3"/>
    <w:rsid w:val="00650FD7"/>
    <w:rsid w:val="006511A8"/>
    <w:rsid w:val="006511B3"/>
    <w:rsid w:val="00654C80"/>
    <w:rsid w:val="00660ECB"/>
    <w:rsid w:val="00661F06"/>
    <w:rsid w:val="00662588"/>
    <w:rsid w:val="00664AC8"/>
    <w:rsid w:val="0066728E"/>
    <w:rsid w:val="0067378F"/>
    <w:rsid w:val="0067489E"/>
    <w:rsid w:val="00675BAB"/>
    <w:rsid w:val="006773E1"/>
    <w:rsid w:val="00680042"/>
    <w:rsid w:val="00681FEA"/>
    <w:rsid w:val="00682F7F"/>
    <w:rsid w:val="00685738"/>
    <w:rsid w:val="006905AE"/>
    <w:rsid w:val="00691000"/>
    <w:rsid w:val="00692F81"/>
    <w:rsid w:val="00693E48"/>
    <w:rsid w:val="00695932"/>
    <w:rsid w:val="00695D34"/>
    <w:rsid w:val="006A1B00"/>
    <w:rsid w:val="006A4226"/>
    <w:rsid w:val="006A4FC1"/>
    <w:rsid w:val="006A5636"/>
    <w:rsid w:val="006A6CB4"/>
    <w:rsid w:val="006A7BBC"/>
    <w:rsid w:val="006B0BA0"/>
    <w:rsid w:val="006B12C0"/>
    <w:rsid w:val="006B3CF8"/>
    <w:rsid w:val="006B65C5"/>
    <w:rsid w:val="006C52BF"/>
    <w:rsid w:val="006D0AF0"/>
    <w:rsid w:val="006D35B1"/>
    <w:rsid w:val="006D35DC"/>
    <w:rsid w:val="006D72AA"/>
    <w:rsid w:val="006E1443"/>
    <w:rsid w:val="006E2C64"/>
    <w:rsid w:val="006F4DF7"/>
    <w:rsid w:val="006F55FA"/>
    <w:rsid w:val="006F6FB7"/>
    <w:rsid w:val="00701EC0"/>
    <w:rsid w:val="0071134C"/>
    <w:rsid w:val="007114E4"/>
    <w:rsid w:val="00714DDE"/>
    <w:rsid w:val="0071698C"/>
    <w:rsid w:val="00725212"/>
    <w:rsid w:val="00727505"/>
    <w:rsid w:val="00727802"/>
    <w:rsid w:val="00731B29"/>
    <w:rsid w:val="00733795"/>
    <w:rsid w:val="007348F9"/>
    <w:rsid w:val="007351D6"/>
    <w:rsid w:val="00735889"/>
    <w:rsid w:val="00735DB9"/>
    <w:rsid w:val="00737200"/>
    <w:rsid w:val="00737D62"/>
    <w:rsid w:val="00737FEF"/>
    <w:rsid w:val="00740C40"/>
    <w:rsid w:val="00741162"/>
    <w:rsid w:val="00742E57"/>
    <w:rsid w:val="00743D43"/>
    <w:rsid w:val="0074491A"/>
    <w:rsid w:val="00754D85"/>
    <w:rsid w:val="007557E4"/>
    <w:rsid w:val="00756356"/>
    <w:rsid w:val="007568DD"/>
    <w:rsid w:val="00757FD8"/>
    <w:rsid w:val="007605F1"/>
    <w:rsid w:val="00774434"/>
    <w:rsid w:val="007756AB"/>
    <w:rsid w:val="007811F6"/>
    <w:rsid w:val="00781896"/>
    <w:rsid w:val="00781D6C"/>
    <w:rsid w:val="0078382D"/>
    <w:rsid w:val="007845E1"/>
    <w:rsid w:val="00786429"/>
    <w:rsid w:val="00792EAE"/>
    <w:rsid w:val="007936EA"/>
    <w:rsid w:val="007940A9"/>
    <w:rsid w:val="007940BF"/>
    <w:rsid w:val="007A149B"/>
    <w:rsid w:val="007A3424"/>
    <w:rsid w:val="007C244C"/>
    <w:rsid w:val="007C66E4"/>
    <w:rsid w:val="007C7536"/>
    <w:rsid w:val="007D1FFC"/>
    <w:rsid w:val="007D4CFB"/>
    <w:rsid w:val="007D725F"/>
    <w:rsid w:val="007E01CE"/>
    <w:rsid w:val="007E52EF"/>
    <w:rsid w:val="007E608C"/>
    <w:rsid w:val="007F44C1"/>
    <w:rsid w:val="00801A7F"/>
    <w:rsid w:val="00801F02"/>
    <w:rsid w:val="00803054"/>
    <w:rsid w:val="00803765"/>
    <w:rsid w:val="0080563C"/>
    <w:rsid w:val="00806B94"/>
    <w:rsid w:val="00806BAC"/>
    <w:rsid w:val="00812DC4"/>
    <w:rsid w:val="00813A84"/>
    <w:rsid w:val="00814260"/>
    <w:rsid w:val="00814DA3"/>
    <w:rsid w:val="00815F39"/>
    <w:rsid w:val="008206EE"/>
    <w:rsid w:val="00821563"/>
    <w:rsid w:val="008216E8"/>
    <w:rsid w:val="00823DCE"/>
    <w:rsid w:val="008247C4"/>
    <w:rsid w:val="00824BBC"/>
    <w:rsid w:val="008264D6"/>
    <w:rsid w:val="00826611"/>
    <w:rsid w:val="00826BFA"/>
    <w:rsid w:val="00827184"/>
    <w:rsid w:val="008315E7"/>
    <w:rsid w:val="00831A18"/>
    <w:rsid w:val="0083258C"/>
    <w:rsid w:val="00833772"/>
    <w:rsid w:val="008354CA"/>
    <w:rsid w:val="0083703C"/>
    <w:rsid w:val="00840B0D"/>
    <w:rsid w:val="0084154F"/>
    <w:rsid w:val="00841853"/>
    <w:rsid w:val="00846F9A"/>
    <w:rsid w:val="00850D96"/>
    <w:rsid w:val="00853F5C"/>
    <w:rsid w:val="00854417"/>
    <w:rsid w:val="008552DB"/>
    <w:rsid w:val="00856862"/>
    <w:rsid w:val="00860AE3"/>
    <w:rsid w:val="00862F16"/>
    <w:rsid w:val="00866B58"/>
    <w:rsid w:val="00874BB5"/>
    <w:rsid w:val="00875F6C"/>
    <w:rsid w:val="008779C2"/>
    <w:rsid w:val="00883A1D"/>
    <w:rsid w:val="00883F30"/>
    <w:rsid w:val="00884A57"/>
    <w:rsid w:val="008863B4"/>
    <w:rsid w:val="00886C98"/>
    <w:rsid w:val="00886CE3"/>
    <w:rsid w:val="00887632"/>
    <w:rsid w:val="00893A2E"/>
    <w:rsid w:val="00895F4A"/>
    <w:rsid w:val="008973E6"/>
    <w:rsid w:val="008A008B"/>
    <w:rsid w:val="008A3C18"/>
    <w:rsid w:val="008A62AA"/>
    <w:rsid w:val="008A6490"/>
    <w:rsid w:val="008A68FC"/>
    <w:rsid w:val="008B1872"/>
    <w:rsid w:val="008B29D3"/>
    <w:rsid w:val="008B3416"/>
    <w:rsid w:val="008B4863"/>
    <w:rsid w:val="008B579D"/>
    <w:rsid w:val="008B6B5F"/>
    <w:rsid w:val="008C1125"/>
    <w:rsid w:val="008C2552"/>
    <w:rsid w:val="008C44D0"/>
    <w:rsid w:val="008C50FF"/>
    <w:rsid w:val="008C54E6"/>
    <w:rsid w:val="008D02D8"/>
    <w:rsid w:val="008D78B0"/>
    <w:rsid w:val="008E1EB5"/>
    <w:rsid w:val="008E2A83"/>
    <w:rsid w:val="008E63DC"/>
    <w:rsid w:val="008E71D5"/>
    <w:rsid w:val="008E7ADB"/>
    <w:rsid w:val="008E7C88"/>
    <w:rsid w:val="008F0327"/>
    <w:rsid w:val="008F0F8A"/>
    <w:rsid w:val="008F2A53"/>
    <w:rsid w:val="008F3A33"/>
    <w:rsid w:val="009009D6"/>
    <w:rsid w:val="009029CF"/>
    <w:rsid w:val="009056A9"/>
    <w:rsid w:val="00905E4B"/>
    <w:rsid w:val="009103BD"/>
    <w:rsid w:val="00913E57"/>
    <w:rsid w:val="00917DDE"/>
    <w:rsid w:val="009209E2"/>
    <w:rsid w:val="00924305"/>
    <w:rsid w:val="00926112"/>
    <w:rsid w:val="00926E1B"/>
    <w:rsid w:val="009270CF"/>
    <w:rsid w:val="009317D5"/>
    <w:rsid w:val="00932BA3"/>
    <w:rsid w:val="00935854"/>
    <w:rsid w:val="00940E07"/>
    <w:rsid w:val="009411E1"/>
    <w:rsid w:val="00943727"/>
    <w:rsid w:val="00943854"/>
    <w:rsid w:val="00944025"/>
    <w:rsid w:val="00947EBA"/>
    <w:rsid w:val="00951738"/>
    <w:rsid w:val="00953891"/>
    <w:rsid w:val="0096172C"/>
    <w:rsid w:val="00961E25"/>
    <w:rsid w:val="0096388F"/>
    <w:rsid w:val="00963992"/>
    <w:rsid w:val="00966431"/>
    <w:rsid w:val="009706A4"/>
    <w:rsid w:val="00970FC4"/>
    <w:rsid w:val="00971533"/>
    <w:rsid w:val="009718CC"/>
    <w:rsid w:val="009750C1"/>
    <w:rsid w:val="00975641"/>
    <w:rsid w:val="00975CD3"/>
    <w:rsid w:val="00991C98"/>
    <w:rsid w:val="00994827"/>
    <w:rsid w:val="009A0CE8"/>
    <w:rsid w:val="009A27F5"/>
    <w:rsid w:val="009A4141"/>
    <w:rsid w:val="009A62C4"/>
    <w:rsid w:val="009A6EA6"/>
    <w:rsid w:val="009A78A5"/>
    <w:rsid w:val="009A7A2D"/>
    <w:rsid w:val="009B36FD"/>
    <w:rsid w:val="009C0BDB"/>
    <w:rsid w:val="009C1579"/>
    <w:rsid w:val="009C2645"/>
    <w:rsid w:val="009C52F7"/>
    <w:rsid w:val="009C5B24"/>
    <w:rsid w:val="009C643E"/>
    <w:rsid w:val="009D2D7E"/>
    <w:rsid w:val="009D5100"/>
    <w:rsid w:val="009E0EBD"/>
    <w:rsid w:val="009E3161"/>
    <w:rsid w:val="009F0F09"/>
    <w:rsid w:val="009F25E1"/>
    <w:rsid w:val="009F33B1"/>
    <w:rsid w:val="009F3962"/>
    <w:rsid w:val="009F5B7F"/>
    <w:rsid w:val="009F7D99"/>
    <w:rsid w:val="00A00814"/>
    <w:rsid w:val="00A0200B"/>
    <w:rsid w:val="00A05C7B"/>
    <w:rsid w:val="00A11355"/>
    <w:rsid w:val="00A118CE"/>
    <w:rsid w:val="00A11DCA"/>
    <w:rsid w:val="00A12161"/>
    <w:rsid w:val="00A1234F"/>
    <w:rsid w:val="00A1372A"/>
    <w:rsid w:val="00A151BA"/>
    <w:rsid w:val="00A1533B"/>
    <w:rsid w:val="00A16A3E"/>
    <w:rsid w:val="00A22171"/>
    <w:rsid w:val="00A22C63"/>
    <w:rsid w:val="00A23C1F"/>
    <w:rsid w:val="00A24C2A"/>
    <w:rsid w:val="00A24C55"/>
    <w:rsid w:val="00A25D4B"/>
    <w:rsid w:val="00A263D3"/>
    <w:rsid w:val="00A2656A"/>
    <w:rsid w:val="00A30490"/>
    <w:rsid w:val="00A324C0"/>
    <w:rsid w:val="00A356AD"/>
    <w:rsid w:val="00A365A2"/>
    <w:rsid w:val="00A37FDF"/>
    <w:rsid w:val="00A42C5E"/>
    <w:rsid w:val="00A43914"/>
    <w:rsid w:val="00A449BB"/>
    <w:rsid w:val="00A47C14"/>
    <w:rsid w:val="00A501C8"/>
    <w:rsid w:val="00A511A6"/>
    <w:rsid w:val="00A518E1"/>
    <w:rsid w:val="00A52D71"/>
    <w:rsid w:val="00A52E40"/>
    <w:rsid w:val="00A53994"/>
    <w:rsid w:val="00A55BDB"/>
    <w:rsid w:val="00A7382D"/>
    <w:rsid w:val="00A75476"/>
    <w:rsid w:val="00A7660B"/>
    <w:rsid w:val="00A82992"/>
    <w:rsid w:val="00A84390"/>
    <w:rsid w:val="00A86090"/>
    <w:rsid w:val="00A865BA"/>
    <w:rsid w:val="00A877C5"/>
    <w:rsid w:val="00A87F41"/>
    <w:rsid w:val="00A93EC6"/>
    <w:rsid w:val="00A94D0D"/>
    <w:rsid w:val="00A95615"/>
    <w:rsid w:val="00AA01C6"/>
    <w:rsid w:val="00AA10A7"/>
    <w:rsid w:val="00AA112C"/>
    <w:rsid w:val="00AA4E65"/>
    <w:rsid w:val="00AA4EDB"/>
    <w:rsid w:val="00AA51B6"/>
    <w:rsid w:val="00AA7135"/>
    <w:rsid w:val="00AA73B2"/>
    <w:rsid w:val="00AB10F4"/>
    <w:rsid w:val="00AB228F"/>
    <w:rsid w:val="00AB329A"/>
    <w:rsid w:val="00AB5586"/>
    <w:rsid w:val="00AB565E"/>
    <w:rsid w:val="00AC3575"/>
    <w:rsid w:val="00AC57C3"/>
    <w:rsid w:val="00AC63CF"/>
    <w:rsid w:val="00AD0169"/>
    <w:rsid w:val="00AD0172"/>
    <w:rsid w:val="00AD2BF7"/>
    <w:rsid w:val="00AD44C7"/>
    <w:rsid w:val="00AD4D17"/>
    <w:rsid w:val="00AD5449"/>
    <w:rsid w:val="00AE200F"/>
    <w:rsid w:val="00AE261F"/>
    <w:rsid w:val="00AE2DC3"/>
    <w:rsid w:val="00AE3AD9"/>
    <w:rsid w:val="00AE6370"/>
    <w:rsid w:val="00AF11A3"/>
    <w:rsid w:val="00AF1EF8"/>
    <w:rsid w:val="00AF2036"/>
    <w:rsid w:val="00AF25CA"/>
    <w:rsid w:val="00B01CC1"/>
    <w:rsid w:val="00B0340D"/>
    <w:rsid w:val="00B03636"/>
    <w:rsid w:val="00B046DF"/>
    <w:rsid w:val="00B0506E"/>
    <w:rsid w:val="00B05BC1"/>
    <w:rsid w:val="00B07A8A"/>
    <w:rsid w:val="00B11249"/>
    <w:rsid w:val="00B11E26"/>
    <w:rsid w:val="00B144D3"/>
    <w:rsid w:val="00B20590"/>
    <w:rsid w:val="00B213D1"/>
    <w:rsid w:val="00B23C80"/>
    <w:rsid w:val="00B33E7B"/>
    <w:rsid w:val="00B37157"/>
    <w:rsid w:val="00B37261"/>
    <w:rsid w:val="00B429E8"/>
    <w:rsid w:val="00B43099"/>
    <w:rsid w:val="00B5014D"/>
    <w:rsid w:val="00B50F8B"/>
    <w:rsid w:val="00B53F5C"/>
    <w:rsid w:val="00B55234"/>
    <w:rsid w:val="00B5537F"/>
    <w:rsid w:val="00B55800"/>
    <w:rsid w:val="00B56568"/>
    <w:rsid w:val="00B63436"/>
    <w:rsid w:val="00B65AE9"/>
    <w:rsid w:val="00B66676"/>
    <w:rsid w:val="00B6740B"/>
    <w:rsid w:val="00B708B2"/>
    <w:rsid w:val="00B73416"/>
    <w:rsid w:val="00B7347D"/>
    <w:rsid w:val="00B7681B"/>
    <w:rsid w:val="00B77477"/>
    <w:rsid w:val="00B80F4F"/>
    <w:rsid w:val="00B823C2"/>
    <w:rsid w:val="00B82774"/>
    <w:rsid w:val="00B83ED0"/>
    <w:rsid w:val="00B843EC"/>
    <w:rsid w:val="00B85047"/>
    <w:rsid w:val="00B943A5"/>
    <w:rsid w:val="00B94DD1"/>
    <w:rsid w:val="00B94E0B"/>
    <w:rsid w:val="00B94EFE"/>
    <w:rsid w:val="00B954B8"/>
    <w:rsid w:val="00B95AA9"/>
    <w:rsid w:val="00BA0C59"/>
    <w:rsid w:val="00BA12CE"/>
    <w:rsid w:val="00BA570D"/>
    <w:rsid w:val="00BA5A89"/>
    <w:rsid w:val="00BA67F2"/>
    <w:rsid w:val="00BB14F3"/>
    <w:rsid w:val="00BB15DB"/>
    <w:rsid w:val="00BB2599"/>
    <w:rsid w:val="00BB6932"/>
    <w:rsid w:val="00BB7B52"/>
    <w:rsid w:val="00BC2838"/>
    <w:rsid w:val="00BC4BDB"/>
    <w:rsid w:val="00BC552E"/>
    <w:rsid w:val="00BC6307"/>
    <w:rsid w:val="00BC75E3"/>
    <w:rsid w:val="00BD049A"/>
    <w:rsid w:val="00BD1C9B"/>
    <w:rsid w:val="00BD2990"/>
    <w:rsid w:val="00BD46AC"/>
    <w:rsid w:val="00BD50BC"/>
    <w:rsid w:val="00BD58F8"/>
    <w:rsid w:val="00BE2351"/>
    <w:rsid w:val="00BE2434"/>
    <w:rsid w:val="00BE4828"/>
    <w:rsid w:val="00BE6F1F"/>
    <w:rsid w:val="00BE7E1C"/>
    <w:rsid w:val="00BF1BCD"/>
    <w:rsid w:val="00BF1D3E"/>
    <w:rsid w:val="00BF2633"/>
    <w:rsid w:val="00BF3001"/>
    <w:rsid w:val="00BF5179"/>
    <w:rsid w:val="00BF5B03"/>
    <w:rsid w:val="00C010F6"/>
    <w:rsid w:val="00C02050"/>
    <w:rsid w:val="00C02995"/>
    <w:rsid w:val="00C06078"/>
    <w:rsid w:val="00C07069"/>
    <w:rsid w:val="00C10DDC"/>
    <w:rsid w:val="00C11840"/>
    <w:rsid w:val="00C123EE"/>
    <w:rsid w:val="00C13CB6"/>
    <w:rsid w:val="00C15B60"/>
    <w:rsid w:val="00C16960"/>
    <w:rsid w:val="00C20386"/>
    <w:rsid w:val="00C24084"/>
    <w:rsid w:val="00C240EA"/>
    <w:rsid w:val="00C251EB"/>
    <w:rsid w:val="00C25C07"/>
    <w:rsid w:val="00C3071D"/>
    <w:rsid w:val="00C34EF5"/>
    <w:rsid w:val="00C41385"/>
    <w:rsid w:val="00C4271D"/>
    <w:rsid w:val="00C43474"/>
    <w:rsid w:val="00C452A4"/>
    <w:rsid w:val="00C45AB0"/>
    <w:rsid w:val="00C4615A"/>
    <w:rsid w:val="00C47943"/>
    <w:rsid w:val="00C556A8"/>
    <w:rsid w:val="00C559F2"/>
    <w:rsid w:val="00C5603B"/>
    <w:rsid w:val="00C56CE2"/>
    <w:rsid w:val="00C63CAC"/>
    <w:rsid w:val="00C63F98"/>
    <w:rsid w:val="00C655FB"/>
    <w:rsid w:val="00C65F66"/>
    <w:rsid w:val="00C6688C"/>
    <w:rsid w:val="00C76CBA"/>
    <w:rsid w:val="00C83F05"/>
    <w:rsid w:val="00C84144"/>
    <w:rsid w:val="00C8714F"/>
    <w:rsid w:val="00C877FA"/>
    <w:rsid w:val="00C91BC6"/>
    <w:rsid w:val="00C928D8"/>
    <w:rsid w:val="00C94DE6"/>
    <w:rsid w:val="00C96904"/>
    <w:rsid w:val="00C9708E"/>
    <w:rsid w:val="00CA061C"/>
    <w:rsid w:val="00CA4819"/>
    <w:rsid w:val="00CA52C8"/>
    <w:rsid w:val="00CA558A"/>
    <w:rsid w:val="00CA5A7B"/>
    <w:rsid w:val="00CB1526"/>
    <w:rsid w:val="00CB15D9"/>
    <w:rsid w:val="00CB4195"/>
    <w:rsid w:val="00CC0882"/>
    <w:rsid w:val="00CC3859"/>
    <w:rsid w:val="00CC6C27"/>
    <w:rsid w:val="00CC71EF"/>
    <w:rsid w:val="00CD1247"/>
    <w:rsid w:val="00CD1381"/>
    <w:rsid w:val="00CD28C3"/>
    <w:rsid w:val="00CD39C3"/>
    <w:rsid w:val="00CD641B"/>
    <w:rsid w:val="00CE3587"/>
    <w:rsid w:val="00CE3911"/>
    <w:rsid w:val="00CE4310"/>
    <w:rsid w:val="00CE618C"/>
    <w:rsid w:val="00CE7CD2"/>
    <w:rsid w:val="00CF1134"/>
    <w:rsid w:val="00CF1AC8"/>
    <w:rsid w:val="00CF2652"/>
    <w:rsid w:val="00CF4569"/>
    <w:rsid w:val="00CF5A36"/>
    <w:rsid w:val="00D01B13"/>
    <w:rsid w:val="00D03056"/>
    <w:rsid w:val="00D0457A"/>
    <w:rsid w:val="00D04C1F"/>
    <w:rsid w:val="00D056CC"/>
    <w:rsid w:val="00D06E0F"/>
    <w:rsid w:val="00D1006C"/>
    <w:rsid w:val="00D16D4A"/>
    <w:rsid w:val="00D21B4F"/>
    <w:rsid w:val="00D25186"/>
    <w:rsid w:val="00D32A78"/>
    <w:rsid w:val="00D32D33"/>
    <w:rsid w:val="00D35977"/>
    <w:rsid w:val="00D41B12"/>
    <w:rsid w:val="00D43F5A"/>
    <w:rsid w:val="00D447C6"/>
    <w:rsid w:val="00D44A5D"/>
    <w:rsid w:val="00D46122"/>
    <w:rsid w:val="00D46946"/>
    <w:rsid w:val="00D47978"/>
    <w:rsid w:val="00D5208D"/>
    <w:rsid w:val="00D54625"/>
    <w:rsid w:val="00D62C10"/>
    <w:rsid w:val="00D63D86"/>
    <w:rsid w:val="00D64597"/>
    <w:rsid w:val="00D6558E"/>
    <w:rsid w:val="00D7113A"/>
    <w:rsid w:val="00D731BB"/>
    <w:rsid w:val="00D742F6"/>
    <w:rsid w:val="00D748CD"/>
    <w:rsid w:val="00D779E8"/>
    <w:rsid w:val="00D82669"/>
    <w:rsid w:val="00D830DE"/>
    <w:rsid w:val="00D8352D"/>
    <w:rsid w:val="00D84FBA"/>
    <w:rsid w:val="00D87A69"/>
    <w:rsid w:val="00D87F07"/>
    <w:rsid w:val="00D9142A"/>
    <w:rsid w:val="00D9558F"/>
    <w:rsid w:val="00D9735E"/>
    <w:rsid w:val="00DA2634"/>
    <w:rsid w:val="00DA30DC"/>
    <w:rsid w:val="00DA50C3"/>
    <w:rsid w:val="00DA68EA"/>
    <w:rsid w:val="00DA7438"/>
    <w:rsid w:val="00DA7E91"/>
    <w:rsid w:val="00DB250D"/>
    <w:rsid w:val="00DB335D"/>
    <w:rsid w:val="00DB7F6F"/>
    <w:rsid w:val="00DC0905"/>
    <w:rsid w:val="00DC6D02"/>
    <w:rsid w:val="00DC6E2D"/>
    <w:rsid w:val="00DD0DE2"/>
    <w:rsid w:val="00DD2123"/>
    <w:rsid w:val="00DD2CE2"/>
    <w:rsid w:val="00DD60DE"/>
    <w:rsid w:val="00DD642A"/>
    <w:rsid w:val="00DD6D85"/>
    <w:rsid w:val="00DE0200"/>
    <w:rsid w:val="00DE1406"/>
    <w:rsid w:val="00DE14F6"/>
    <w:rsid w:val="00DE35BE"/>
    <w:rsid w:val="00DE368F"/>
    <w:rsid w:val="00DF4FB8"/>
    <w:rsid w:val="00DF7385"/>
    <w:rsid w:val="00DF7EB5"/>
    <w:rsid w:val="00E03011"/>
    <w:rsid w:val="00E0572F"/>
    <w:rsid w:val="00E07730"/>
    <w:rsid w:val="00E103E1"/>
    <w:rsid w:val="00E1061C"/>
    <w:rsid w:val="00E10692"/>
    <w:rsid w:val="00E14738"/>
    <w:rsid w:val="00E1479A"/>
    <w:rsid w:val="00E1610B"/>
    <w:rsid w:val="00E16B69"/>
    <w:rsid w:val="00E206A3"/>
    <w:rsid w:val="00E20C64"/>
    <w:rsid w:val="00E21DA0"/>
    <w:rsid w:val="00E228B1"/>
    <w:rsid w:val="00E24DB8"/>
    <w:rsid w:val="00E26EB0"/>
    <w:rsid w:val="00E27034"/>
    <w:rsid w:val="00E314FC"/>
    <w:rsid w:val="00E32D4B"/>
    <w:rsid w:val="00E3547A"/>
    <w:rsid w:val="00E36423"/>
    <w:rsid w:val="00E41116"/>
    <w:rsid w:val="00E414EF"/>
    <w:rsid w:val="00E424DA"/>
    <w:rsid w:val="00E45390"/>
    <w:rsid w:val="00E455A5"/>
    <w:rsid w:val="00E47511"/>
    <w:rsid w:val="00E54CCA"/>
    <w:rsid w:val="00E54F56"/>
    <w:rsid w:val="00E5722D"/>
    <w:rsid w:val="00E5767E"/>
    <w:rsid w:val="00E6221F"/>
    <w:rsid w:val="00E62643"/>
    <w:rsid w:val="00E62938"/>
    <w:rsid w:val="00E64954"/>
    <w:rsid w:val="00E67F78"/>
    <w:rsid w:val="00E67F8C"/>
    <w:rsid w:val="00E702F6"/>
    <w:rsid w:val="00E7387C"/>
    <w:rsid w:val="00E738A0"/>
    <w:rsid w:val="00E73C17"/>
    <w:rsid w:val="00E74D89"/>
    <w:rsid w:val="00E778AE"/>
    <w:rsid w:val="00E77A0F"/>
    <w:rsid w:val="00E820E0"/>
    <w:rsid w:val="00E835A1"/>
    <w:rsid w:val="00E83E2D"/>
    <w:rsid w:val="00E85164"/>
    <w:rsid w:val="00E8739B"/>
    <w:rsid w:val="00E87AAE"/>
    <w:rsid w:val="00E907C7"/>
    <w:rsid w:val="00E91F7E"/>
    <w:rsid w:val="00E948B4"/>
    <w:rsid w:val="00E9508B"/>
    <w:rsid w:val="00E96570"/>
    <w:rsid w:val="00EA31DB"/>
    <w:rsid w:val="00EA68E9"/>
    <w:rsid w:val="00EA6932"/>
    <w:rsid w:val="00EA7652"/>
    <w:rsid w:val="00EA7EDC"/>
    <w:rsid w:val="00EB14CE"/>
    <w:rsid w:val="00EB18C5"/>
    <w:rsid w:val="00EB3C38"/>
    <w:rsid w:val="00EB41BB"/>
    <w:rsid w:val="00EB515F"/>
    <w:rsid w:val="00EB5611"/>
    <w:rsid w:val="00EC00D0"/>
    <w:rsid w:val="00EC12A0"/>
    <w:rsid w:val="00EC77F4"/>
    <w:rsid w:val="00EC78B7"/>
    <w:rsid w:val="00ED14BD"/>
    <w:rsid w:val="00ED24F1"/>
    <w:rsid w:val="00ED41E5"/>
    <w:rsid w:val="00ED6C72"/>
    <w:rsid w:val="00EE2823"/>
    <w:rsid w:val="00EE332B"/>
    <w:rsid w:val="00EE5143"/>
    <w:rsid w:val="00EF1519"/>
    <w:rsid w:val="00EF2896"/>
    <w:rsid w:val="00EF2C61"/>
    <w:rsid w:val="00EF4610"/>
    <w:rsid w:val="00EF4964"/>
    <w:rsid w:val="00EF5012"/>
    <w:rsid w:val="00EF6377"/>
    <w:rsid w:val="00EF6CB2"/>
    <w:rsid w:val="00EF7939"/>
    <w:rsid w:val="00F01A5C"/>
    <w:rsid w:val="00F04DE2"/>
    <w:rsid w:val="00F076E3"/>
    <w:rsid w:val="00F11CFC"/>
    <w:rsid w:val="00F13EC0"/>
    <w:rsid w:val="00F1463A"/>
    <w:rsid w:val="00F213D5"/>
    <w:rsid w:val="00F23DBE"/>
    <w:rsid w:val="00F27B09"/>
    <w:rsid w:val="00F329A7"/>
    <w:rsid w:val="00F375D4"/>
    <w:rsid w:val="00F40513"/>
    <w:rsid w:val="00F41C5C"/>
    <w:rsid w:val="00F424A9"/>
    <w:rsid w:val="00F4459F"/>
    <w:rsid w:val="00F44C87"/>
    <w:rsid w:val="00F503BC"/>
    <w:rsid w:val="00F508C7"/>
    <w:rsid w:val="00F51EC8"/>
    <w:rsid w:val="00F52F72"/>
    <w:rsid w:val="00F54D5B"/>
    <w:rsid w:val="00F562EB"/>
    <w:rsid w:val="00F5729F"/>
    <w:rsid w:val="00F6061B"/>
    <w:rsid w:val="00F65587"/>
    <w:rsid w:val="00F656A1"/>
    <w:rsid w:val="00F65B62"/>
    <w:rsid w:val="00F65C38"/>
    <w:rsid w:val="00F667FA"/>
    <w:rsid w:val="00F72DC7"/>
    <w:rsid w:val="00F73D53"/>
    <w:rsid w:val="00F776C3"/>
    <w:rsid w:val="00F77E06"/>
    <w:rsid w:val="00F80262"/>
    <w:rsid w:val="00F850F4"/>
    <w:rsid w:val="00F85864"/>
    <w:rsid w:val="00F85A1D"/>
    <w:rsid w:val="00F85AD8"/>
    <w:rsid w:val="00F86F2E"/>
    <w:rsid w:val="00F9021F"/>
    <w:rsid w:val="00F916EE"/>
    <w:rsid w:val="00F93464"/>
    <w:rsid w:val="00F95594"/>
    <w:rsid w:val="00F96E6B"/>
    <w:rsid w:val="00FA0CAE"/>
    <w:rsid w:val="00FA11E7"/>
    <w:rsid w:val="00FA5DE1"/>
    <w:rsid w:val="00FA7D60"/>
    <w:rsid w:val="00FB260A"/>
    <w:rsid w:val="00FB2B02"/>
    <w:rsid w:val="00FB4897"/>
    <w:rsid w:val="00FB525F"/>
    <w:rsid w:val="00FB6664"/>
    <w:rsid w:val="00FC3BF8"/>
    <w:rsid w:val="00FC60C3"/>
    <w:rsid w:val="00FC6311"/>
    <w:rsid w:val="00FC7CE6"/>
    <w:rsid w:val="00FD0795"/>
    <w:rsid w:val="00FD3A37"/>
    <w:rsid w:val="00FD577E"/>
    <w:rsid w:val="00FD6497"/>
    <w:rsid w:val="00FD73BD"/>
    <w:rsid w:val="00FE14B4"/>
    <w:rsid w:val="00FE1EBE"/>
    <w:rsid w:val="00FE3B41"/>
    <w:rsid w:val="00FE7B64"/>
    <w:rsid w:val="00FE7F2B"/>
    <w:rsid w:val="00FF2EC3"/>
    <w:rsid w:val="00FF3E4A"/>
    <w:rsid w:val="00FF462C"/>
    <w:rsid w:val="00FF631B"/>
    <w:rsid w:val="00FF66DC"/>
    <w:rsid w:val="00FF7CD6"/>
    <w:rsid w:val="012A4E2C"/>
    <w:rsid w:val="02DC2156"/>
    <w:rsid w:val="03CC3F79"/>
    <w:rsid w:val="05CD222A"/>
    <w:rsid w:val="06084616"/>
    <w:rsid w:val="06A9292B"/>
    <w:rsid w:val="08EF7A39"/>
    <w:rsid w:val="0A5844F0"/>
    <w:rsid w:val="0EE41D10"/>
    <w:rsid w:val="11386E78"/>
    <w:rsid w:val="11B73ED3"/>
    <w:rsid w:val="12277661"/>
    <w:rsid w:val="133D4C82"/>
    <w:rsid w:val="13D12EE6"/>
    <w:rsid w:val="13EE1CEA"/>
    <w:rsid w:val="13F37300"/>
    <w:rsid w:val="174D6D27"/>
    <w:rsid w:val="18CE5C46"/>
    <w:rsid w:val="1A2A2D28"/>
    <w:rsid w:val="1B9C64CF"/>
    <w:rsid w:val="1E6C7E3E"/>
    <w:rsid w:val="20346CD6"/>
    <w:rsid w:val="206E043A"/>
    <w:rsid w:val="21B75E11"/>
    <w:rsid w:val="2443573A"/>
    <w:rsid w:val="25496D80"/>
    <w:rsid w:val="27095D8A"/>
    <w:rsid w:val="277B51EB"/>
    <w:rsid w:val="279E6744"/>
    <w:rsid w:val="29EF532D"/>
    <w:rsid w:val="2BAD2B02"/>
    <w:rsid w:val="2DFE73B2"/>
    <w:rsid w:val="2E0C3040"/>
    <w:rsid w:val="2E40384E"/>
    <w:rsid w:val="2F083808"/>
    <w:rsid w:val="2F0B058C"/>
    <w:rsid w:val="2F7C5FA4"/>
    <w:rsid w:val="344833B2"/>
    <w:rsid w:val="3B7F5E21"/>
    <w:rsid w:val="3CFA47F3"/>
    <w:rsid w:val="3D6C58AA"/>
    <w:rsid w:val="3E799816"/>
    <w:rsid w:val="403F2E01"/>
    <w:rsid w:val="431A1904"/>
    <w:rsid w:val="45413951"/>
    <w:rsid w:val="46E47FFF"/>
    <w:rsid w:val="4779601E"/>
    <w:rsid w:val="493E1AE1"/>
    <w:rsid w:val="4B2238EC"/>
    <w:rsid w:val="4C6C7CEB"/>
    <w:rsid w:val="4DDD59C1"/>
    <w:rsid w:val="4EAE0286"/>
    <w:rsid w:val="51FB0B52"/>
    <w:rsid w:val="531F075A"/>
    <w:rsid w:val="56DA342C"/>
    <w:rsid w:val="57A01936"/>
    <w:rsid w:val="57A57FD6"/>
    <w:rsid w:val="57F01F2D"/>
    <w:rsid w:val="58D367F3"/>
    <w:rsid w:val="592C1295"/>
    <w:rsid w:val="59DD74BB"/>
    <w:rsid w:val="5A8C449C"/>
    <w:rsid w:val="5B571FFB"/>
    <w:rsid w:val="5BFB00CD"/>
    <w:rsid w:val="5C452F47"/>
    <w:rsid w:val="5D086F45"/>
    <w:rsid w:val="5D4D6706"/>
    <w:rsid w:val="60252B89"/>
    <w:rsid w:val="616C2448"/>
    <w:rsid w:val="63DF2082"/>
    <w:rsid w:val="654A16B4"/>
    <w:rsid w:val="660F1D12"/>
    <w:rsid w:val="67277FC8"/>
    <w:rsid w:val="677C2407"/>
    <w:rsid w:val="68C47A98"/>
    <w:rsid w:val="68C53F3C"/>
    <w:rsid w:val="6CC80E6D"/>
    <w:rsid w:val="6D7D28A3"/>
    <w:rsid w:val="6FDD1529"/>
    <w:rsid w:val="710B6BAC"/>
    <w:rsid w:val="71CC633B"/>
    <w:rsid w:val="71F238C8"/>
    <w:rsid w:val="738A5B9F"/>
    <w:rsid w:val="741F6AAA"/>
    <w:rsid w:val="74A0585D"/>
    <w:rsid w:val="7755A80A"/>
    <w:rsid w:val="77A7157C"/>
    <w:rsid w:val="78B143BF"/>
    <w:rsid w:val="7A035425"/>
    <w:rsid w:val="7AB465B7"/>
    <w:rsid w:val="7AFEC822"/>
    <w:rsid w:val="7B215011"/>
    <w:rsid w:val="7CB63E70"/>
    <w:rsid w:val="7D221505"/>
    <w:rsid w:val="7E2B61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365C428D"/>
  <w15:docId w15:val="{F5773D5B-68ED-444D-8425-9A03F74D41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uiPriority="0" w:qFormat="1"/>
    <w:lsdException w:name="footnote reference" w:uiPriority="0" w:qFormat="1"/>
    <w:lsdException w:name="annotation reference" w:qFormat="1"/>
    <w:lsdException w:name="line number" w:uiPriority="0" w:qFormat="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39" w:qFormat="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d">
    <w:name w:val="Normal"/>
    <w:qFormat/>
    <w:pPr>
      <w:widowControl w:val="0"/>
      <w:jc w:val="both"/>
    </w:pPr>
    <w:rPr>
      <w:rFonts w:ascii="Calibri" w:hAnsi="Calibri" w:cs="Calibri"/>
      <w:kern w:val="2"/>
      <w:sz w:val="21"/>
      <w:szCs w:val="24"/>
    </w:rPr>
  </w:style>
  <w:style w:type="paragraph" w:styleId="1">
    <w:name w:val="heading 1"/>
    <w:basedOn w:val="ad"/>
    <w:next w:val="ad"/>
    <w:qFormat/>
    <w:pPr>
      <w:keepNext/>
      <w:keepLines/>
      <w:spacing w:before="340" w:after="330" w:line="578" w:lineRule="auto"/>
      <w:outlineLvl w:val="0"/>
    </w:pPr>
    <w:rPr>
      <w:b/>
      <w:bCs/>
      <w:kern w:val="44"/>
      <w:sz w:val="44"/>
    </w:rPr>
  </w:style>
  <w:style w:type="paragraph" w:styleId="2">
    <w:name w:val="heading 2"/>
    <w:basedOn w:val="ad"/>
    <w:next w:val="ad"/>
    <w:qFormat/>
    <w:pPr>
      <w:keepNext/>
      <w:keepLines/>
      <w:spacing w:before="260" w:after="260" w:line="415" w:lineRule="auto"/>
      <w:outlineLvl w:val="1"/>
    </w:pPr>
    <w:rPr>
      <w:rFonts w:ascii="Times New Roman" w:eastAsia="黑体" w:hAnsi="Times New Roman"/>
      <w:b/>
      <w:sz w:val="32"/>
    </w:rPr>
  </w:style>
  <w:style w:type="paragraph" w:styleId="3">
    <w:name w:val="heading 3"/>
    <w:basedOn w:val="ad"/>
    <w:next w:val="ad"/>
    <w:qFormat/>
    <w:pPr>
      <w:keepNext/>
      <w:keepLines/>
      <w:spacing w:before="260" w:after="260" w:line="415" w:lineRule="auto"/>
      <w:outlineLvl w:val="2"/>
    </w:pPr>
    <w:rPr>
      <w:b/>
      <w:sz w:val="32"/>
    </w:rPr>
  </w:style>
  <w:style w:type="paragraph" w:styleId="7">
    <w:name w:val="heading 7"/>
    <w:basedOn w:val="ad"/>
    <w:next w:val="ad"/>
    <w:link w:val="70"/>
    <w:uiPriority w:val="9"/>
    <w:qFormat/>
    <w:pPr>
      <w:keepNext/>
      <w:keepLines/>
      <w:spacing w:before="240" w:after="64" w:line="320" w:lineRule="auto"/>
      <w:outlineLvl w:val="6"/>
    </w:pPr>
    <w:rPr>
      <w:b/>
      <w:bCs/>
      <w:sz w:val="24"/>
    </w:rPr>
  </w:style>
  <w:style w:type="character" w:default="1" w:styleId="ae">
    <w:name w:val="Default Paragraph Font"/>
    <w:uiPriority w:val="1"/>
    <w:unhideWhenUsed/>
  </w:style>
  <w:style w:type="table" w:default="1" w:styleId="af">
    <w:name w:val="Normal Table"/>
    <w:uiPriority w:val="99"/>
    <w:semiHidden/>
    <w:unhideWhenUsed/>
    <w:tblPr>
      <w:tblInd w:w="0" w:type="dxa"/>
      <w:tblCellMar>
        <w:top w:w="0" w:type="dxa"/>
        <w:left w:w="108" w:type="dxa"/>
        <w:bottom w:w="0" w:type="dxa"/>
        <w:right w:w="108" w:type="dxa"/>
      </w:tblCellMar>
    </w:tblPr>
  </w:style>
  <w:style w:type="numbering" w:default="1" w:styleId="af0">
    <w:name w:val="No List"/>
    <w:uiPriority w:val="99"/>
    <w:semiHidden/>
    <w:unhideWhenUsed/>
  </w:style>
  <w:style w:type="paragraph" w:styleId="af1">
    <w:name w:val="annotation text"/>
    <w:basedOn w:val="ad"/>
    <w:link w:val="af2"/>
    <w:uiPriority w:val="99"/>
    <w:unhideWhenUsed/>
    <w:qFormat/>
    <w:pPr>
      <w:adjustRightInd w:val="0"/>
      <w:spacing w:line="400" w:lineRule="exact"/>
      <w:jc w:val="left"/>
    </w:pPr>
    <w:rPr>
      <w:szCs w:val="21"/>
    </w:rPr>
  </w:style>
  <w:style w:type="paragraph" w:styleId="af3">
    <w:name w:val="Date"/>
    <w:basedOn w:val="ad"/>
    <w:next w:val="ad"/>
    <w:link w:val="af4"/>
    <w:uiPriority w:val="99"/>
    <w:semiHidden/>
    <w:unhideWhenUsed/>
    <w:qFormat/>
    <w:pPr>
      <w:ind w:leftChars="2500" w:left="100"/>
    </w:pPr>
  </w:style>
  <w:style w:type="paragraph" w:styleId="af5">
    <w:name w:val="endnote text"/>
    <w:basedOn w:val="ad"/>
    <w:link w:val="af6"/>
    <w:uiPriority w:val="99"/>
    <w:semiHidden/>
    <w:unhideWhenUsed/>
    <w:qFormat/>
    <w:pPr>
      <w:snapToGrid w:val="0"/>
      <w:jc w:val="left"/>
    </w:pPr>
  </w:style>
  <w:style w:type="paragraph" w:styleId="af7">
    <w:name w:val="Balloon Text"/>
    <w:basedOn w:val="ad"/>
    <w:link w:val="af8"/>
    <w:uiPriority w:val="99"/>
    <w:unhideWhenUsed/>
    <w:qFormat/>
    <w:rPr>
      <w:sz w:val="18"/>
      <w:szCs w:val="18"/>
    </w:rPr>
  </w:style>
  <w:style w:type="paragraph" w:styleId="af9">
    <w:name w:val="footer"/>
    <w:basedOn w:val="ad"/>
    <w:link w:val="afa"/>
    <w:uiPriority w:val="99"/>
    <w:qFormat/>
    <w:pPr>
      <w:tabs>
        <w:tab w:val="center" w:pos="4153"/>
        <w:tab w:val="right" w:pos="8306"/>
      </w:tabs>
      <w:snapToGrid w:val="0"/>
      <w:jc w:val="left"/>
    </w:pPr>
    <w:rPr>
      <w:sz w:val="18"/>
      <w:szCs w:val="18"/>
    </w:rPr>
  </w:style>
  <w:style w:type="paragraph" w:styleId="afb">
    <w:name w:val="envelope return"/>
    <w:basedOn w:val="ad"/>
    <w:qFormat/>
    <w:pPr>
      <w:snapToGrid w:val="0"/>
    </w:pPr>
    <w:rPr>
      <w:rFonts w:ascii="Times New Roman" w:hAnsi="Times New Roman"/>
    </w:rPr>
  </w:style>
  <w:style w:type="paragraph" w:styleId="afc">
    <w:name w:val="header"/>
    <w:basedOn w:val="ad"/>
    <w:link w:val="afd"/>
    <w:qFormat/>
    <w:pPr>
      <w:pBdr>
        <w:bottom w:val="single" w:sz="6" w:space="1" w:color="auto"/>
      </w:pBdr>
      <w:tabs>
        <w:tab w:val="center" w:pos="4153"/>
        <w:tab w:val="right" w:pos="8306"/>
      </w:tabs>
      <w:snapToGrid w:val="0"/>
      <w:jc w:val="center"/>
    </w:pPr>
    <w:rPr>
      <w:sz w:val="18"/>
      <w:szCs w:val="18"/>
    </w:rPr>
  </w:style>
  <w:style w:type="paragraph" w:styleId="4">
    <w:name w:val="toc 4"/>
    <w:basedOn w:val="ad"/>
    <w:next w:val="ad"/>
    <w:uiPriority w:val="39"/>
    <w:unhideWhenUsed/>
    <w:qFormat/>
    <w:pPr>
      <w:tabs>
        <w:tab w:val="right" w:leader="dot" w:pos="9344"/>
      </w:tabs>
      <w:adjustRightInd w:val="0"/>
      <w:spacing w:line="300" w:lineRule="exact"/>
      <w:ind w:left="629"/>
    </w:pPr>
    <w:rPr>
      <w:rFonts w:ascii="宋体"/>
      <w:szCs w:val="21"/>
    </w:rPr>
  </w:style>
  <w:style w:type="paragraph" w:styleId="afe">
    <w:name w:val="Normal (Web)"/>
    <w:basedOn w:val="ad"/>
    <w:uiPriority w:val="99"/>
    <w:semiHidden/>
    <w:unhideWhenUsed/>
    <w:qFormat/>
    <w:rPr>
      <w:sz w:val="24"/>
    </w:rPr>
  </w:style>
  <w:style w:type="paragraph" w:styleId="aff">
    <w:name w:val="Title"/>
    <w:basedOn w:val="ad"/>
    <w:next w:val="ad"/>
    <w:link w:val="aff0"/>
    <w:uiPriority w:val="10"/>
    <w:qFormat/>
    <w:pPr>
      <w:spacing w:before="240" w:after="60"/>
      <w:jc w:val="center"/>
      <w:outlineLvl w:val="0"/>
    </w:pPr>
    <w:rPr>
      <w:rFonts w:asciiTheme="majorHAnsi" w:eastAsiaTheme="majorEastAsia" w:hAnsiTheme="majorHAnsi" w:cstheme="majorBidi"/>
      <w:b/>
      <w:bCs/>
      <w:sz w:val="32"/>
      <w:szCs w:val="32"/>
    </w:rPr>
  </w:style>
  <w:style w:type="paragraph" w:styleId="aff1">
    <w:name w:val="annotation subject"/>
    <w:basedOn w:val="af1"/>
    <w:next w:val="af1"/>
    <w:link w:val="aff2"/>
    <w:uiPriority w:val="99"/>
    <w:semiHidden/>
    <w:unhideWhenUsed/>
    <w:qFormat/>
    <w:pPr>
      <w:adjustRightInd/>
      <w:spacing w:line="240" w:lineRule="auto"/>
    </w:pPr>
    <w:rPr>
      <w:b/>
      <w:bCs/>
      <w:szCs w:val="24"/>
    </w:rPr>
  </w:style>
  <w:style w:type="table" w:styleId="aff3">
    <w:name w:val="Table Grid"/>
    <w:basedOn w:val="af"/>
    <w:uiPriority w:val="39"/>
    <w:qFormat/>
    <w:pPr>
      <w:widowControl w:val="0"/>
      <w:jc w:val="both"/>
    </w:pPr>
    <w:tblPr>
      <w:tblBorders>
        <w:top w:val="single" w:sz="4" w:space="0" w:color="auto"/>
        <w:bottom w:val="single" w:sz="4" w:space="0" w:color="auto"/>
      </w:tblBorders>
    </w:tblPr>
  </w:style>
  <w:style w:type="character" w:styleId="aff4">
    <w:name w:val="Strong"/>
    <w:basedOn w:val="ae"/>
    <w:uiPriority w:val="22"/>
    <w:qFormat/>
    <w:rPr>
      <w:b/>
    </w:rPr>
  </w:style>
  <w:style w:type="character" w:styleId="aff5">
    <w:name w:val="endnote reference"/>
    <w:basedOn w:val="ae"/>
    <w:uiPriority w:val="99"/>
    <w:semiHidden/>
    <w:unhideWhenUsed/>
    <w:qFormat/>
    <w:rPr>
      <w:vertAlign w:val="superscript"/>
    </w:rPr>
  </w:style>
  <w:style w:type="character" w:styleId="aff6">
    <w:name w:val="line number"/>
    <w:qFormat/>
  </w:style>
  <w:style w:type="character" w:styleId="aff7">
    <w:name w:val="Hyperlink"/>
    <w:qFormat/>
    <w:rPr>
      <w:rFonts w:ascii="宋体" w:eastAsia="宋体"/>
      <w:color w:val="auto"/>
      <w:spacing w:val="0"/>
      <w:w w:val="100"/>
      <w:position w:val="0"/>
      <w:sz w:val="21"/>
      <w:u w:val="none"/>
      <w:vertAlign w:val="baseline"/>
    </w:rPr>
  </w:style>
  <w:style w:type="character" w:styleId="aff8">
    <w:name w:val="annotation reference"/>
    <w:uiPriority w:val="99"/>
    <w:qFormat/>
    <w:rPr>
      <w:sz w:val="21"/>
    </w:rPr>
  </w:style>
  <w:style w:type="character" w:styleId="aff9">
    <w:name w:val="footnote reference"/>
    <w:qFormat/>
    <w:rPr>
      <w:vertAlign w:val="superscript"/>
    </w:rPr>
  </w:style>
  <w:style w:type="paragraph" w:customStyle="1" w:styleId="BodyText2">
    <w:name w:val="BodyText2"/>
    <w:basedOn w:val="ad"/>
    <w:qFormat/>
    <w:pPr>
      <w:spacing w:after="120" w:line="480" w:lineRule="auto"/>
      <w:textAlignment w:val="baseline"/>
    </w:pPr>
    <w:rPr>
      <w:rFonts w:cs="Times New Roman"/>
      <w:sz w:val="32"/>
      <w:szCs w:val="32"/>
    </w:rPr>
  </w:style>
  <w:style w:type="paragraph" w:customStyle="1" w:styleId="-1">
    <w:name w:val="正文-公1"/>
    <w:uiPriority w:val="99"/>
    <w:qFormat/>
    <w:pPr>
      <w:widowControl w:val="0"/>
      <w:suppressAutoHyphens/>
      <w:jc w:val="both"/>
    </w:pPr>
    <w:rPr>
      <w:rFonts w:ascii="Calibri" w:hAnsi="Calibri"/>
      <w:kern w:val="2"/>
      <w:sz w:val="21"/>
      <w:szCs w:val="24"/>
    </w:rPr>
  </w:style>
  <w:style w:type="character" w:customStyle="1" w:styleId="70">
    <w:name w:val="标题 7 字符"/>
    <w:link w:val="7"/>
    <w:qFormat/>
    <w:rPr>
      <w:rFonts w:eastAsia="宋体"/>
      <w:b/>
      <w:bCs/>
      <w:kern w:val="2"/>
      <w:sz w:val="24"/>
      <w:szCs w:val="24"/>
    </w:rPr>
  </w:style>
  <w:style w:type="character" w:customStyle="1" w:styleId="af2">
    <w:name w:val="批注文字 字符"/>
    <w:link w:val="af1"/>
    <w:uiPriority w:val="99"/>
    <w:qFormat/>
    <w:rPr>
      <w:rFonts w:ascii="Calibri" w:eastAsia="宋体" w:hAnsi="Calibri"/>
      <w:kern w:val="2"/>
      <w:sz w:val="21"/>
      <w:szCs w:val="21"/>
    </w:rPr>
  </w:style>
  <w:style w:type="character" w:customStyle="1" w:styleId="af8">
    <w:name w:val="批注框文本 字符"/>
    <w:link w:val="af7"/>
    <w:uiPriority w:val="99"/>
    <w:semiHidden/>
    <w:qFormat/>
    <w:rPr>
      <w:rFonts w:eastAsia="宋体"/>
      <w:kern w:val="2"/>
      <w:sz w:val="18"/>
      <w:szCs w:val="18"/>
    </w:rPr>
  </w:style>
  <w:style w:type="character" w:customStyle="1" w:styleId="afa">
    <w:name w:val="页脚 字符"/>
    <w:link w:val="af9"/>
    <w:uiPriority w:val="99"/>
    <w:qFormat/>
    <w:locked/>
    <w:rPr>
      <w:rFonts w:eastAsia="宋体"/>
      <w:kern w:val="2"/>
      <w:sz w:val="18"/>
      <w:szCs w:val="18"/>
    </w:rPr>
  </w:style>
  <w:style w:type="paragraph" w:customStyle="1" w:styleId="affa">
    <w:name w:val="其他标准称谓"/>
    <w:qFormat/>
    <w:pPr>
      <w:spacing w:line="0" w:lineRule="atLeast"/>
      <w:jc w:val="distribute"/>
    </w:pPr>
    <w:rPr>
      <w:rFonts w:ascii="黑体" w:eastAsia="黑体" w:hAnsi="Calibri" w:cs="Calibri"/>
      <w:sz w:val="52"/>
    </w:rPr>
  </w:style>
  <w:style w:type="paragraph" w:customStyle="1" w:styleId="10">
    <w:name w:val="封面标准号1"/>
    <w:qFormat/>
    <w:pPr>
      <w:widowControl w:val="0"/>
      <w:kinsoku w:val="0"/>
      <w:overflowPunct w:val="0"/>
      <w:autoSpaceDE w:val="0"/>
      <w:autoSpaceDN w:val="0"/>
      <w:spacing w:before="308"/>
      <w:jc w:val="right"/>
      <w:textAlignment w:val="center"/>
    </w:pPr>
    <w:rPr>
      <w:rFonts w:ascii="Calibri" w:hAnsi="Calibri" w:cs="Calibri"/>
      <w:sz w:val="28"/>
    </w:rPr>
  </w:style>
  <w:style w:type="paragraph" w:customStyle="1" w:styleId="affb">
    <w:name w:val="标准文件_段"/>
    <w:link w:val="Char"/>
    <w:qFormat/>
    <w:pPr>
      <w:autoSpaceDE w:val="0"/>
      <w:autoSpaceDN w:val="0"/>
      <w:spacing w:line="520" w:lineRule="exact"/>
      <w:ind w:firstLineChars="200" w:firstLine="640"/>
      <w:jc w:val="both"/>
    </w:pPr>
    <w:rPr>
      <w:rFonts w:ascii="仿宋" w:eastAsia="仿宋" w:hAnsi="仿宋" w:cs="Calibri"/>
      <w:kern w:val="2"/>
      <w:sz w:val="32"/>
      <w:szCs w:val="32"/>
    </w:rPr>
  </w:style>
  <w:style w:type="character" w:customStyle="1" w:styleId="Char">
    <w:name w:val="标准文件_段 Char"/>
    <w:link w:val="affb"/>
    <w:qFormat/>
    <w:rPr>
      <w:rFonts w:ascii="仿宋" w:eastAsia="仿宋" w:hAnsi="仿宋" w:cs="Calibri"/>
      <w:kern w:val="2"/>
      <w:sz w:val="32"/>
      <w:szCs w:val="32"/>
    </w:rPr>
  </w:style>
  <w:style w:type="paragraph" w:customStyle="1" w:styleId="a7">
    <w:name w:val="标准文件_章标题"/>
    <w:next w:val="affb"/>
    <w:qFormat/>
    <w:pPr>
      <w:numPr>
        <w:ilvl w:val="1"/>
        <w:numId w:val="1"/>
      </w:numPr>
      <w:spacing w:beforeLines="100" w:before="100" w:afterLines="100" w:after="100"/>
      <w:jc w:val="both"/>
      <w:outlineLvl w:val="0"/>
    </w:pPr>
    <w:rPr>
      <w:rFonts w:ascii="黑体" w:eastAsia="黑体" w:hAnsi="Calibri" w:cs="Calibri"/>
      <w:sz w:val="21"/>
    </w:rPr>
  </w:style>
  <w:style w:type="paragraph" w:customStyle="1" w:styleId="affc">
    <w:name w:val="标准文件_二级条标题"/>
    <w:next w:val="affb"/>
    <w:qFormat/>
    <w:pPr>
      <w:widowControl w:val="0"/>
      <w:spacing w:beforeLines="50" w:before="50" w:afterLines="50" w:after="50"/>
      <w:jc w:val="both"/>
      <w:outlineLvl w:val="2"/>
    </w:pPr>
    <w:rPr>
      <w:rFonts w:ascii="黑体" w:eastAsia="黑体" w:hAnsi="Calibri" w:cs="Calibri"/>
      <w:sz w:val="21"/>
    </w:rPr>
  </w:style>
  <w:style w:type="paragraph" w:customStyle="1" w:styleId="a8">
    <w:name w:val="标准文件_一级条标题"/>
    <w:basedOn w:val="a7"/>
    <w:next w:val="affb"/>
    <w:qFormat/>
    <w:pPr>
      <w:numPr>
        <w:ilvl w:val="2"/>
      </w:numPr>
      <w:spacing w:beforeLines="0" w:before="50" w:afterLines="0" w:after="50"/>
      <w:outlineLvl w:val="1"/>
    </w:pPr>
  </w:style>
  <w:style w:type="paragraph" w:customStyle="1" w:styleId="affd">
    <w:name w:val="标准文件_三级条标题"/>
    <w:basedOn w:val="affc"/>
    <w:next w:val="affb"/>
    <w:qFormat/>
    <w:pPr>
      <w:outlineLvl w:val="3"/>
    </w:pPr>
  </w:style>
  <w:style w:type="paragraph" w:customStyle="1" w:styleId="affe">
    <w:name w:val="标准文件_四级条标题"/>
    <w:next w:val="affb"/>
    <w:qFormat/>
    <w:pPr>
      <w:widowControl w:val="0"/>
      <w:spacing w:beforeLines="50" w:before="50" w:afterLines="50" w:after="50"/>
      <w:jc w:val="both"/>
      <w:outlineLvl w:val="4"/>
    </w:pPr>
    <w:rPr>
      <w:rFonts w:ascii="黑体" w:eastAsia="黑体" w:hAnsi="Calibri" w:cs="Calibri"/>
      <w:sz w:val="21"/>
    </w:rPr>
  </w:style>
  <w:style w:type="paragraph" w:customStyle="1" w:styleId="ab">
    <w:name w:val="标准文件_五级条标题"/>
    <w:next w:val="affc"/>
    <w:qFormat/>
    <w:pPr>
      <w:widowControl w:val="0"/>
      <w:numPr>
        <w:ilvl w:val="6"/>
        <w:numId w:val="1"/>
      </w:numPr>
      <w:spacing w:beforeLines="50" w:before="50" w:afterLines="50" w:after="50"/>
      <w:jc w:val="both"/>
      <w:outlineLvl w:val="5"/>
    </w:pPr>
    <w:rPr>
      <w:rFonts w:ascii="黑体" w:eastAsia="黑体" w:hAnsi="Calibri" w:cs="Calibri"/>
      <w:sz w:val="21"/>
    </w:rPr>
  </w:style>
  <w:style w:type="paragraph" w:customStyle="1" w:styleId="a6">
    <w:name w:val="前言标题"/>
    <w:next w:val="ad"/>
    <w:qFormat/>
    <w:pPr>
      <w:numPr>
        <w:numId w:val="1"/>
      </w:numPr>
      <w:shd w:val="clear" w:color="FFFFFF" w:fill="FFFFFF"/>
      <w:spacing w:before="540" w:after="600"/>
      <w:jc w:val="center"/>
      <w:outlineLvl w:val="0"/>
    </w:pPr>
    <w:rPr>
      <w:rFonts w:ascii="黑体" w:eastAsia="黑体" w:hAnsi="Calibri" w:cs="Calibri"/>
      <w:sz w:val="32"/>
    </w:rPr>
  </w:style>
  <w:style w:type="paragraph" w:customStyle="1" w:styleId="aa">
    <w:name w:val="标准文件_四级无标题"/>
    <w:basedOn w:val="affe"/>
    <w:qFormat/>
    <w:pPr>
      <w:numPr>
        <w:ilvl w:val="5"/>
        <w:numId w:val="1"/>
      </w:numPr>
    </w:pPr>
    <w:rPr>
      <w:rFonts w:ascii="宋体" w:eastAsia="宋体"/>
      <w:szCs w:val="52"/>
    </w:rPr>
  </w:style>
  <w:style w:type="paragraph" w:customStyle="1" w:styleId="a9">
    <w:name w:val="标准文件_三级无标题"/>
    <w:basedOn w:val="affd"/>
    <w:qFormat/>
    <w:pPr>
      <w:numPr>
        <w:ilvl w:val="4"/>
        <w:numId w:val="1"/>
      </w:numPr>
    </w:pPr>
    <w:rPr>
      <w:rFonts w:ascii="宋体" w:eastAsia="宋体"/>
    </w:rPr>
  </w:style>
  <w:style w:type="paragraph" w:customStyle="1" w:styleId="a">
    <w:name w:val="标准文件_正文表标题"/>
    <w:qFormat/>
    <w:pPr>
      <w:numPr>
        <w:numId w:val="2"/>
      </w:numPr>
      <w:tabs>
        <w:tab w:val="left" w:pos="0"/>
      </w:tabs>
      <w:spacing w:beforeLines="50" w:before="50" w:afterLines="50" w:after="50"/>
      <w:jc w:val="center"/>
    </w:pPr>
    <w:rPr>
      <w:rFonts w:ascii="黑体" w:eastAsia="黑体" w:hAnsi="Calibri" w:cs="Calibri"/>
      <w:sz w:val="21"/>
    </w:rPr>
  </w:style>
  <w:style w:type="character" w:customStyle="1" w:styleId="font11">
    <w:name w:val="font11"/>
    <w:qFormat/>
    <w:rPr>
      <w:rFonts w:ascii="等线" w:eastAsia="等线"/>
      <w:b/>
      <w:bCs/>
      <w:color w:val="FF0000"/>
      <w:sz w:val="22"/>
      <w:szCs w:val="22"/>
      <w:u w:val="none"/>
    </w:rPr>
  </w:style>
  <w:style w:type="character" w:customStyle="1" w:styleId="font01">
    <w:name w:val="font01"/>
    <w:qFormat/>
    <w:rPr>
      <w:rFonts w:ascii="等线" w:eastAsia="等线"/>
      <w:color w:val="000000"/>
      <w:sz w:val="22"/>
      <w:szCs w:val="22"/>
      <w:u w:val="none"/>
    </w:rPr>
  </w:style>
  <w:style w:type="paragraph" w:customStyle="1" w:styleId="afff">
    <w:name w:val="段"/>
    <w:qFormat/>
    <w:pPr>
      <w:autoSpaceDE w:val="0"/>
      <w:autoSpaceDN w:val="0"/>
      <w:ind w:firstLineChars="200" w:firstLine="200"/>
      <w:jc w:val="both"/>
    </w:pPr>
    <w:rPr>
      <w:rFonts w:ascii="宋体" w:hAnsi="Calibri" w:cs="Calibri"/>
      <w:sz w:val="21"/>
    </w:rPr>
  </w:style>
  <w:style w:type="paragraph" w:customStyle="1" w:styleId="afff0">
    <w:name w:val="二级无"/>
    <w:basedOn w:val="ad"/>
    <w:qFormat/>
    <w:pPr>
      <w:widowControl/>
      <w:tabs>
        <w:tab w:val="left" w:pos="780"/>
      </w:tabs>
      <w:ind w:left="780" w:hanging="360"/>
      <w:jc w:val="left"/>
      <w:outlineLvl w:val="3"/>
    </w:pPr>
    <w:rPr>
      <w:rFonts w:ascii="宋体"/>
      <w:kern w:val="0"/>
      <w:szCs w:val="21"/>
    </w:rPr>
  </w:style>
  <w:style w:type="paragraph" w:customStyle="1" w:styleId="afff1">
    <w:name w:val="标准文件_二级无标题"/>
    <w:basedOn w:val="affc"/>
    <w:qFormat/>
    <w:pPr>
      <w:tabs>
        <w:tab w:val="left" w:pos="1200"/>
      </w:tabs>
      <w:spacing w:beforeLines="0" w:before="0" w:afterLines="0" w:after="0"/>
      <w:ind w:left="1200" w:hanging="360"/>
      <w:outlineLvl w:val="9"/>
    </w:pPr>
    <w:rPr>
      <w:rFonts w:ascii="宋体" w:eastAsia="宋体"/>
    </w:rPr>
  </w:style>
  <w:style w:type="paragraph" w:customStyle="1" w:styleId="CharCharCharChar">
    <w:name w:val="Char Char Char Char"/>
    <w:basedOn w:val="ad"/>
    <w:qFormat/>
  </w:style>
  <w:style w:type="paragraph" w:customStyle="1" w:styleId="a4">
    <w:name w:val="标准文件_数字编号列项（二级）"/>
    <w:qFormat/>
    <w:pPr>
      <w:numPr>
        <w:ilvl w:val="1"/>
        <w:numId w:val="3"/>
      </w:numPr>
      <w:jc w:val="both"/>
    </w:pPr>
    <w:rPr>
      <w:rFonts w:ascii="宋体" w:hAnsi="Calibri" w:cs="Calibri"/>
      <w:sz w:val="21"/>
    </w:rPr>
  </w:style>
  <w:style w:type="paragraph" w:customStyle="1" w:styleId="a5">
    <w:name w:val="标准文件_编号列项（三级）"/>
    <w:qFormat/>
    <w:pPr>
      <w:numPr>
        <w:ilvl w:val="2"/>
        <w:numId w:val="3"/>
      </w:numPr>
    </w:pPr>
    <w:rPr>
      <w:rFonts w:ascii="宋体" w:hAnsi="Calibri" w:cs="Calibri"/>
      <w:sz w:val="21"/>
    </w:rPr>
  </w:style>
  <w:style w:type="paragraph" w:customStyle="1" w:styleId="a3">
    <w:name w:val="标准文件_字母编号列项（一级）"/>
    <w:qFormat/>
    <w:pPr>
      <w:numPr>
        <w:numId w:val="3"/>
      </w:numPr>
      <w:jc w:val="both"/>
    </w:pPr>
    <w:rPr>
      <w:rFonts w:ascii="宋体" w:hAnsi="Calibri" w:cs="Calibri"/>
      <w:sz w:val="21"/>
    </w:rPr>
  </w:style>
  <w:style w:type="paragraph" w:customStyle="1" w:styleId="afff2">
    <w:name w:val="标准文件_术语条一"/>
    <w:basedOn w:val="ad"/>
    <w:next w:val="affb"/>
    <w:qFormat/>
    <w:pPr>
      <w:widowControl/>
    </w:pPr>
    <w:rPr>
      <w:rFonts w:ascii="宋体"/>
      <w:kern w:val="0"/>
      <w:szCs w:val="20"/>
    </w:rPr>
  </w:style>
  <w:style w:type="paragraph" w:customStyle="1" w:styleId="abstract">
    <w:name w:val="abstract"/>
    <w:basedOn w:val="ad"/>
    <w:qFormat/>
    <w:pPr>
      <w:widowControl/>
      <w:spacing w:before="100" w:beforeAutospacing="1" w:after="100" w:afterAutospacing="1"/>
      <w:jc w:val="left"/>
    </w:pPr>
    <w:rPr>
      <w:rFonts w:ascii="宋体" w:hAnsi="宋体" w:cs="宋体"/>
      <w:kern w:val="0"/>
      <w:sz w:val="24"/>
    </w:rPr>
  </w:style>
  <w:style w:type="paragraph" w:customStyle="1" w:styleId="abstractmore">
    <w:name w:val="abstract_more"/>
    <w:basedOn w:val="ad"/>
    <w:qFormat/>
    <w:pPr>
      <w:widowControl/>
      <w:spacing w:before="100" w:beforeAutospacing="1" w:after="100" w:afterAutospacing="1"/>
      <w:jc w:val="left"/>
    </w:pPr>
    <w:rPr>
      <w:rFonts w:ascii="宋体" w:hAnsi="宋体" w:cs="宋体"/>
      <w:kern w:val="0"/>
      <w:sz w:val="24"/>
    </w:rPr>
  </w:style>
  <w:style w:type="paragraph" w:styleId="afff3">
    <w:name w:val="No Spacing"/>
    <w:uiPriority w:val="99"/>
    <w:qFormat/>
    <w:pPr>
      <w:widowControl w:val="0"/>
      <w:jc w:val="both"/>
    </w:pPr>
    <w:rPr>
      <w:rFonts w:ascii="Calibri" w:hAnsi="Calibri"/>
      <w:kern w:val="2"/>
      <w:sz w:val="21"/>
      <w:szCs w:val="24"/>
    </w:rPr>
  </w:style>
  <w:style w:type="paragraph" w:customStyle="1" w:styleId="a2">
    <w:name w:val="标准文件_一级项"/>
    <w:qFormat/>
    <w:pPr>
      <w:numPr>
        <w:numId w:val="4"/>
      </w:numPr>
    </w:pPr>
    <w:rPr>
      <w:rFonts w:ascii="宋体"/>
      <w:sz w:val="21"/>
    </w:rPr>
  </w:style>
  <w:style w:type="paragraph" w:customStyle="1" w:styleId="ac">
    <w:name w:val="附录表标题"/>
    <w:basedOn w:val="ad"/>
    <w:next w:val="afff"/>
    <w:qFormat/>
    <w:pPr>
      <w:numPr>
        <w:ilvl w:val="1"/>
        <w:numId w:val="5"/>
      </w:numPr>
      <w:tabs>
        <w:tab w:val="left" w:pos="180"/>
      </w:tabs>
      <w:spacing w:beforeLines="50" w:afterLines="50"/>
      <w:ind w:left="0" w:firstLine="0"/>
      <w:jc w:val="center"/>
    </w:pPr>
    <w:rPr>
      <w:rFonts w:ascii="黑体" w:eastAsia="黑体" w:hAnsi="Times New Roman" w:cs="Times New Roman"/>
      <w:szCs w:val="21"/>
    </w:rPr>
  </w:style>
  <w:style w:type="paragraph" w:styleId="afff4">
    <w:name w:val="List Paragraph"/>
    <w:basedOn w:val="ad"/>
    <w:uiPriority w:val="99"/>
    <w:unhideWhenUsed/>
    <w:qFormat/>
    <w:pPr>
      <w:ind w:firstLineChars="200" w:firstLine="420"/>
    </w:pPr>
    <w:rPr>
      <w:rFonts w:ascii="Times New Roman" w:hAnsi="Times New Roman" w:cs="Times New Roman"/>
    </w:rPr>
  </w:style>
  <w:style w:type="character" w:customStyle="1" w:styleId="afd">
    <w:name w:val="页眉 字符"/>
    <w:basedOn w:val="ae"/>
    <w:link w:val="afc"/>
    <w:qFormat/>
    <w:rPr>
      <w:rFonts w:ascii="Calibri" w:hAnsi="Calibri" w:cs="Calibri"/>
      <w:kern w:val="2"/>
      <w:sz w:val="18"/>
      <w:szCs w:val="18"/>
    </w:rPr>
  </w:style>
  <w:style w:type="character" w:customStyle="1" w:styleId="aff2">
    <w:name w:val="批注主题 字符"/>
    <w:basedOn w:val="af2"/>
    <w:link w:val="aff1"/>
    <w:uiPriority w:val="99"/>
    <w:semiHidden/>
    <w:qFormat/>
    <w:rPr>
      <w:rFonts w:ascii="Calibri" w:eastAsia="宋体" w:hAnsi="Calibri" w:cs="Calibri"/>
      <w:b/>
      <w:bCs/>
      <w:kern w:val="2"/>
      <w:sz w:val="21"/>
      <w:szCs w:val="24"/>
    </w:rPr>
  </w:style>
  <w:style w:type="character" w:customStyle="1" w:styleId="af6">
    <w:name w:val="尾注文本 字符"/>
    <w:basedOn w:val="ae"/>
    <w:link w:val="af5"/>
    <w:uiPriority w:val="99"/>
    <w:semiHidden/>
    <w:qFormat/>
    <w:rPr>
      <w:rFonts w:ascii="Calibri" w:hAnsi="Calibri" w:cs="Calibri"/>
      <w:kern w:val="2"/>
      <w:sz w:val="21"/>
      <w:szCs w:val="24"/>
    </w:rPr>
  </w:style>
  <w:style w:type="paragraph" w:customStyle="1" w:styleId="a1">
    <w:name w:val="标准文件_方框数字列项"/>
    <w:basedOn w:val="affb"/>
    <w:qFormat/>
    <w:pPr>
      <w:numPr>
        <w:numId w:val="6"/>
      </w:numPr>
      <w:spacing w:line="240" w:lineRule="auto"/>
      <w:ind w:firstLineChars="0" w:firstLine="0"/>
    </w:pPr>
    <w:rPr>
      <w:rFonts w:ascii="宋体" w:eastAsia="宋体" w:hAnsi="Times New Roman" w:cs="Times New Roman"/>
      <w:kern w:val="0"/>
      <w:sz w:val="21"/>
      <w:szCs w:val="20"/>
    </w:rPr>
  </w:style>
  <w:style w:type="character" w:customStyle="1" w:styleId="af4">
    <w:name w:val="日期 字符"/>
    <w:basedOn w:val="ae"/>
    <w:link w:val="af3"/>
    <w:uiPriority w:val="99"/>
    <w:semiHidden/>
    <w:qFormat/>
    <w:rPr>
      <w:rFonts w:ascii="Calibri" w:hAnsi="Calibri" w:cs="Calibri"/>
      <w:kern w:val="2"/>
      <w:sz w:val="21"/>
      <w:szCs w:val="24"/>
    </w:rPr>
  </w:style>
  <w:style w:type="character" w:customStyle="1" w:styleId="aff0">
    <w:name w:val="标题 字符"/>
    <w:basedOn w:val="ae"/>
    <w:link w:val="aff"/>
    <w:uiPriority w:val="10"/>
    <w:qFormat/>
    <w:rPr>
      <w:rFonts w:asciiTheme="majorHAnsi" w:eastAsiaTheme="majorEastAsia" w:hAnsiTheme="majorHAnsi" w:cstheme="majorBidi"/>
      <w:b/>
      <w:bCs/>
      <w:kern w:val="2"/>
      <w:sz w:val="32"/>
      <w:szCs w:val="32"/>
    </w:rPr>
  </w:style>
  <w:style w:type="paragraph" w:customStyle="1" w:styleId="afff5">
    <w:name w:val="标准文件_表格"/>
    <w:basedOn w:val="affb"/>
    <w:qFormat/>
    <w:pPr>
      <w:spacing w:line="240" w:lineRule="auto"/>
      <w:ind w:firstLineChars="0" w:firstLine="0"/>
      <w:jc w:val="center"/>
    </w:pPr>
    <w:rPr>
      <w:rFonts w:ascii="宋体" w:eastAsia="宋体" w:hAnsi="Times New Roman" w:cs="Times New Roman"/>
      <w:kern w:val="0"/>
      <w:sz w:val="18"/>
      <w:szCs w:val="20"/>
    </w:rPr>
  </w:style>
  <w:style w:type="table" w:customStyle="1" w:styleId="11">
    <w:name w:val="网格型1"/>
    <w:basedOn w:val="af"/>
    <w:autoRedefine/>
    <w:uiPriority w:val="39"/>
    <w:qFormat/>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Borders>
        <w:top w:val="single" w:sz="4" w:space="0" w:color="auto"/>
        <w:left w:val="single" w:sz="4" w:space="0" w:color="auto"/>
        <w:bottom w:val="single" w:sz="4" w:space="0" w:color="auto"/>
        <w:right w:val="single" w:sz="4" w:space="0" w:color="auto"/>
      </w:tcBorders>
    </w:tcPr>
  </w:style>
  <w:style w:type="character" w:styleId="afff6">
    <w:name w:val="Placeholder Text"/>
    <w:basedOn w:val="ae"/>
    <w:uiPriority w:val="99"/>
    <w:semiHidden/>
    <w:rsid w:val="00BF5B03"/>
    <w:rPr>
      <w:color w:val="808080"/>
    </w:rPr>
  </w:style>
  <w:style w:type="paragraph" w:customStyle="1" w:styleId="a0">
    <w:name w:val="标准文件_参考文献条目"/>
    <w:rsid w:val="00BF5B03"/>
    <w:pPr>
      <w:numPr>
        <w:numId w:val="10"/>
      </w:numPr>
    </w:pPr>
    <w:rPr>
      <w:rFonts w:ascii="宋体"/>
    </w:rPr>
  </w:style>
  <w:style w:type="paragraph" w:customStyle="1" w:styleId="afff7">
    <w:name w:val="标准文件_正文公式"/>
    <w:basedOn w:val="ad"/>
    <w:next w:val="ad"/>
    <w:rsid w:val="00BF5B03"/>
    <w:pPr>
      <w:tabs>
        <w:tab w:val="center" w:pos="4678"/>
        <w:tab w:val="right" w:leader="middleDot" w:pos="9356"/>
      </w:tabs>
      <w:adjustRightInd w:val="0"/>
    </w:pPr>
    <w:rPr>
      <w:rFonts w:ascii="宋体" w:hAnsi="宋体" w:cs="Times New Roman"/>
      <w:szCs w:val="21"/>
    </w:rPr>
  </w:style>
  <w:style w:type="paragraph" w:styleId="afff8">
    <w:name w:val="Revision"/>
    <w:hidden/>
    <w:uiPriority w:val="99"/>
    <w:semiHidden/>
    <w:rsid w:val="00DD6D85"/>
    <w:rPr>
      <w:rFonts w:ascii="Calibri" w:hAnsi="Calibri" w:cs="Calibri"/>
      <w:kern w:val="2"/>
      <w:sz w:val="21"/>
      <w:szCs w:val="24"/>
    </w:rPr>
  </w:style>
  <w:style w:type="table" w:customStyle="1" w:styleId="20">
    <w:name w:val="网格型2"/>
    <w:basedOn w:val="af"/>
    <w:next w:val="aff3"/>
    <w:uiPriority w:val="39"/>
    <w:rsid w:val="001E39C1"/>
    <w:rPr>
      <w:rFonts w:ascii="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26300066">
      <w:bodyDiv w:val="1"/>
      <w:marLeft w:val="0"/>
      <w:marRight w:val="0"/>
      <w:marTop w:val="0"/>
      <w:marBottom w:val="0"/>
      <w:divBdr>
        <w:top w:val="none" w:sz="0" w:space="0" w:color="auto"/>
        <w:left w:val="none" w:sz="0" w:space="0" w:color="auto"/>
        <w:bottom w:val="none" w:sz="0" w:space="0" w:color="auto"/>
        <w:right w:val="none" w:sz="0" w:space="0" w:color="auto"/>
      </w:divBdr>
    </w:div>
    <w:div w:id="1293824683">
      <w:bodyDiv w:val="1"/>
      <w:marLeft w:val="0"/>
      <w:marRight w:val="0"/>
      <w:marTop w:val="0"/>
      <w:marBottom w:val="0"/>
      <w:divBdr>
        <w:top w:val="none" w:sz="0" w:space="0" w:color="auto"/>
        <w:left w:val="none" w:sz="0" w:space="0" w:color="auto"/>
        <w:bottom w:val="none" w:sz="0" w:space="0" w:color="auto"/>
        <w:right w:val="none" w:sz="0" w:space="0" w:color="auto"/>
      </w:divBdr>
    </w:div>
    <w:div w:id="1540970123">
      <w:bodyDiv w:val="1"/>
      <w:marLeft w:val="0"/>
      <w:marRight w:val="0"/>
      <w:marTop w:val="0"/>
      <w:marBottom w:val="0"/>
      <w:divBdr>
        <w:top w:val="none" w:sz="0" w:space="0" w:color="auto"/>
        <w:left w:val="none" w:sz="0" w:space="0" w:color="auto"/>
        <w:bottom w:val="none" w:sz="0" w:space="0" w:color="auto"/>
        <w:right w:val="none" w:sz="0" w:space="0" w:color="auto"/>
      </w:divBdr>
    </w:div>
    <w:div w:id="15777382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2.xml><?xml version="1.0" encoding="utf-8"?>
<b:Sources xmlns:b="http://schemas.openxmlformats.org/officeDocument/2006/bibliography" Version="6" SelectedStyle="\APASixthEditionOfficeOnline.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91C06C-B5D0-416C-AE54-721FDBB694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1239</TotalTime>
  <Pages>16</Pages>
  <Words>1681</Words>
  <Characters>9582</Characters>
  <Application>Microsoft Office Word</Application>
  <DocSecurity>0</DocSecurity>
  <Lines>79</Lines>
  <Paragraphs>22</Paragraphs>
  <ScaleCrop>false</ScaleCrop>
  <Company>微软中国</Company>
  <LinksUpToDate>false</LinksUpToDate>
  <CharactersWithSpaces>11241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456</cp:revision>
  <cp:lastPrinted>2025-05-16T19:41:00Z</cp:lastPrinted>
  <dcterms:created xsi:type="dcterms:W3CDTF">2024-09-30T17:06:00Z</dcterms:created>
  <dcterms:modified xsi:type="dcterms:W3CDTF">2025-09-01T09:58:00Z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2052-12.0.0.21573</vt:lpwstr>
  </property>
  <property fmtid="{D5CDD505-2E9C-101B-9397-08002B2CF9AE}" pid="3" name="ICV">
    <vt:lpwstr>A922D90BF3B641DA8C66AE267C36FA1E_13</vt:lpwstr>
  </property>
</Properties>
</file>