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3B9FD392">
      <w:pPr>
        <w:jc w:val="center"/>
        <w:rPr>
          <w:rFonts w:hint="eastAsia" w:ascii="仿宋" w:hAnsi="仿宋" w:eastAsia="仿宋"/>
          <w:color w:val="auto"/>
          <w:sz w:val="44"/>
          <w:szCs w:val="44"/>
          <w:highlight w:val="none"/>
        </w:rPr>
      </w:pPr>
    </w:p>
    <w:p w14:paraId="7D84609A">
      <w:pPr>
        <w:jc w:val="center"/>
        <w:rPr>
          <w:rFonts w:hint="eastAsia" w:ascii="仿宋" w:hAnsi="仿宋" w:eastAsia="仿宋"/>
          <w:color w:val="auto"/>
          <w:sz w:val="44"/>
          <w:szCs w:val="44"/>
          <w:highlight w:val="none"/>
        </w:rPr>
      </w:pPr>
    </w:p>
    <w:p w14:paraId="5A7AE89B">
      <w:pPr>
        <w:rPr>
          <w:rFonts w:hint="eastAsia" w:ascii="仿宋" w:hAnsi="仿宋" w:eastAsia="仿宋"/>
          <w:color w:val="auto"/>
          <w:sz w:val="44"/>
          <w:szCs w:val="44"/>
          <w:highlight w:val="none"/>
        </w:rPr>
      </w:pPr>
    </w:p>
    <w:p w14:paraId="383A7B78">
      <w:pPr>
        <w:jc w:val="center"/>
        <w:rPr>
          <w:rFonts w:hint="eastAsia" w:ascii="黑体" w:hAnsi="黑体" w:eastAsia="黑体" w:cs="黑体"/>
          <w:bCs/>
          <w:color w:val="auto"/>
          <w:sz w:val="44"/>
          <w:szCs w:val="40"/>
          <w:highlight w:val="none"/>
        </w:rPr>
      </w:pPr>
      <w:r>
        <w:rPr>
          <w:rFonts w:hint="eastAsia" w:ascii="黑体" w:hAnsi="黑体" w:eastAsia="黑体" w:cs="黑体"/>
          <w:bCs/>
          <w:color w:val="auto"/>
          <w:sz w:val="52"/>
          <w:szCs w:val="40"/>
          <w:highlight w:val="none"/>
        </w:rPr>
        <w:t>团体标准</w:t>
      </w:r>
    </w:p>
    <w:p w14:paraId="369F796B">
      <w:pPr>
        <w:jc w:val="center"/>
        <w:rPr>
          <w:rFonts w:hint="eastAsia" w:ascii="黑体" w:hAnsi="黑体" w:eastAsia="黑体" w:cs="黑体"/>
          <w:bCs/>
          <w:color w:val="auto"/>
          <w:sz w:val="52"/>
          <w:szCs w:val="40"/>
          <w:highlight w:val="none"/>
        </w:rPr>
      </w:pPr>
      <w:bookmarkStart w:id="25" w:name="_GoBack"/>
      <w:r>
        <w:rPr>
          <w:rFonts w:hint="eastAsia" w:ascii="黑体" w:hAnsi="黑体" w:eastAsia="黑体" w:cs="黑体"/>
          <w:bCs/>
          <w:color w:val="auto"/>
          <w:sz w:val="52"/>
          <w:szCs w:val="40"/>
          <w:highlight w:val="none"/>
        </w:rPr>
        <w:t>《工业园区温室气体连续监测技术规范》</w:t>
      </w:r>
      <w:bookmarkEnd w:id="25"/>
    </w:p>
    <w:p w14:paraId="1F01DB02">
      <w:pPr>
        <w:jc w:val="center"/>
        <w:rPr>
          <w:rFonts w:hint="eastAsia" w:ascii="黑体" w:hAnsi="黑体" w:eastAsia="黑体" w:cs="黑体"/>
          <w:bCs/>
          <w:color w:val="auto"/>
          <w:sz w:val="48"/>
          <w:szCs w:val="40"/>
          <w:highlight w:val="none"/>
        </w:rPr>
      </w:pPr>
    </w:p>
    <w:p w14:paraId="253BAD1A">
      <w:pPr>
        <w:jc w:val="center"/>
        <w:rPr>
          <w:rFonts w:hint="eastAsia" w:ascii="黑体" w:hAnsi="黑体" w:eastAsia="黑体" w:cs="黑体"/>
          <w:bCs/>
          <w:color w:val="auto"/>
          <w:sz w:val="40"/>
          <w:szCs w:val="40"/>
          <w:highlight w:val="none"/>
        </w:rPr>
      </w:pPr>
    </w:p>
    <w:p w14:paraId="7D6C7BF5">
      <w:pPr>
        <w:jc w:val="center"/>
        <w:rPr>
          <w:rFonts w:hint="eastAsia" w:ascii="黑体" w:hAnsi="黑体" w:eastAsia="黑体" w:cs="黑体"/>
          <w:bCs/>
          <w:color w:val="auto"/>
          <w:sz w:val="40"/>
          <w:szCs w:val="40"/>
          <w:highlight w:val="none"/>
        </w:rPr>
      </w:pPr>
    </w:p>
    <w:p w14:paraId="45DC6B14">
      <w:pPr>
        <w:jc w:val="center"/>
        <w:rPr>
          <w:rFonts w:hint="eastAsia" w:ascii="黑体" w:hAnsi="黑体" w:eastAsia="黑体" w:cs="黑体"/>
          <w:bCs/>
          <w:color w:val="auto"/>
          <w:sz w:val="52"/>
          <w:szCs w:val="48"/>
          <w:highlight w:val="none"/>
        </w:rPr>
      </w:pPr>
      <w:r>
        <w:rPr>
          <w:rFonts w:hint="eastAsia" w:ascii="黑体" w:hAnsi="黑体" w:eastAsia="黑体" w:cs="黑体"/>
          <w:bCs/>
          <w:color w:val="auto"/>
          <w:sz w:val="52"/>
          <w:szCs w:val="48"/>
          <w:highlight w:val="none"/>
        </w:rPr>
        <w:t>编制说明</w:t>
      </w:r>
    </w:p>
    <w:p w14:paraId="3404A885">
      <w:pPr>
        <w:jc w:val="center"/>
        <w:rPr>
          <w:rFonts w:hint="eastAsia" w:ascii="黑体" w:hAnsi="黑体" w:eastAsia="黑体" w:cs="黑体"/>
          <w:bCs/>
          <w:color w:val="auto"/>
          <w:sz w:val="44"/>
          <w:szCs w:val="44"/>
          <w:highlight w:val="none"/>
        </w:rPr>
      </w:pPr>
    </w:p>
    <w:p w14:paraId="31C1D062">
      <w:pPr>
        <w:jc w:val="center"/>
        <w:rPr>
          <w:rFonts w:hint="eastAsia" w:ascii="黑体" w:hAnsi="黑体" w:eastAsia="黑体" w:cs="黑体"/>
          <w:bCs/>
          <w:color w:val="auto"/>
          <w:sz w:val="44"/>
          <w:szCs w:val="44"/>
          <w:highlight w:val="none"/>
        </w:rPr>
      </w:pPr>
    </w:p>
    <w:p w14:paraId="7363FFD0">
      <w:pPr>
        <w:jc w:val="center"/>
        <w:rPr>
          <w:rFonts w:hint="eastAsia" w:ascii="黑体" w:hAnsi="黑体" w:eastAsia="黑体" w:cs="黑体"/>
          <w:bCs/>
          <w:color w:val="auto"/>
          <w:sz w:val="32"/>
          <w:szCs w:val="32"/>
          <w:highlight w:val="none"/>
        </w:rPr>
      </w:pPr>
    </w:p>
    <w:p w14:paraId="5E59C1F3">
      <w:pPr>
        <w:jc w:val="center"/>
        <w:rPr>
          <w:rFonts w:hint="eastAsia" w:ascii="黑体" w:hAnsi="黑体" w:eastAsia="黑体" w:cs="黑体"/>
          <w:bCs/>
          <w:color w:val="auto"/>
          <w:sz w:val="32"/>
          <w:szCs w:val="32"/>
          <w:highlight w:val="none"/>
        </w:rPr>
      </w:pPr>
    </w:p>
    <w:p w14:paraId="34727CFE">
      <w:pPr>
        <w:jc w:val="center"/>
        <w:rPr>
          <w:rFonts w:hint="eastAsia" w:ascii="黑体" w:hAnsi="黑体" w:eastAsia="黑体" w:cs="黑体"/>
          <w:bCs/>
          <w:color w:val="auto"/>
          <w:sz w:val="32"/>
          <w:szCs w:val="32"/>
          <w:highlight w:val="none"/>
        </w:rPr>
      </w:pPr>
    </w:p>
    <w:p w14:paraId="2731DD77">
      <w:pPr>
        <w:jc w:val="center"/>
        <w:rPr>
          <w:rFonts w:hint="eastAsia" w:ascii="黑体" w:hAnsi="黑体" w:eastAsia="黑体" w:cs="黑体"/>
          <w:bCs/>
          <w:color w:val="auto"/>
          <w:sz w:val="32"/>
          <w:szCs w:val="32"/>
          <w:highlight w:val="none"/>
        </w:rPr>
      </w:pPr>
    </w:p>
    <w:p w14:paraId="3F09D2C1">
      <w:pPr>
        <w:jc w:val="center"/>
        <w:rPr>
          <w:rFonts w:hint="eastAsia" w:ascii="黑体" w:hAnsi="黑体" w:eastAsia="黑体" w:cs="黑体"/>
          <w:bCs/>
          <w:color w:val="auto"/>
          <w:sz w:val="36"/>
          <w:szCs w:val="44"/>
          <w:highlight w:val="none"/>
        </w:rPr>
      </w:pPr>
      <w:r>
        <w:rPr>
          <w:rFonts w:hint="eastAsia" w:ascii="黑体" w:hAnsi="黑体" w:eastAsia="黑体" w:cs="黑体"/>
          <w:bCs/>
          <w:color w:val="auto"/>
          <w:sz w:val="36"/>
          <w:szCs w:val="44"/>
          <w:highlight w:val="none"/>
        </w:rPr>
        <w:t>标准起草组</w:t>
      </w:r>
    </w:p>
    <w:p w14:paraId="76E71C9D">
      <w:pPr>
        <w:jc w:val="center"/>
        <w:rPr>
          <w:rFonts w:hint="eastAsia" w:ascii="黑体" w:hAnsi="黑体" w:eastAsia="黑体" w:cs="黑体"/>
          <w:bCs/>
          <w:color w:val="auto"/>
          <w:sz w:val="36"/>
          <w:szCs w:val="44"/>
          <w:highlight w:val="none"/>
        </w:rPr>
      </w:pPr>
      <w:r>
        <w:rPr>
          <w:rFonts w:hint="eastAsia" w:ascii="黑体" w:hAnsi="黑体" w:eastAsia="黑体" w:cs="黑体"/>
          <w:bCs/>
          <w:color w:val="auto"/>
          <w:sz w:val="36"/>
          <w:szCs w:val="44"/>
          <w:highlight w:val="none"/>
        </w:rPr>
        <w:t>202</w:t>
      </w:r>
      <w:r>
        <w:rPr>
          <w:rFonts w:hint="eastAsia" w:ascii="黑体" w:hAnsi="黑体" w:eastAsia="黑体" w:cs="黑体"/>
          <w:bCs/>
          <w:color w:val="auto"/>
          <w:sz w:val="36"/>
          <w:szCs w:val="44"/>
          <w:highlight w:val="none"/>
          <w:lang w:val="en-US" w:eastAsia="zh-CN"/>
        </w:rPr>
        <w:t>5</w:t>
      </w:r>
      <w:r>
        <w:rPr>
          <w:rFonts w:hint="eastAsia" w:ascii="黑体" w:hAnsi="黑体" w:eastAsia="黑体" w:cs="黑体"/>
          <w:bCs/>
          <w:color w:val="auto"/>
          <w:sz w:val="36"/>
          <w:szCs w:val="44"/>
          <w:highlight w:val="none"/>
        </w:rPr>
        <w:t>年</w:t>
      </w:r>
      <w:r>
        <w:rPr>
          <w:rFonts w:hint="eastAsia" w:ascii="黑体" w:hAnsi="黑体" w:eastAsia="黑体" w:cs="黑体"/>
          <w:bCs/>
          <w:color w:val="auto"/>
          <w:sz w:val="36"/>
          <w:szCs w:val="44"/>
          <w:highlight w:val="none"/>
          <w:lang w:val="en-US" w:eastAsia="zh-CN"/>
        </w:rPr>
        <w:t>9</w:t>
      </w:r>
      <w:r>
        <w:rPr>
          <w:rFonts w:hint="eastAsia" w:ascii="黑体" w:hAnsi="黑体" w:eastAsia="黑体" w:cs="黑体"/>
          <w:bCs/>
          <w:color w:val="auto"/>
          <w:sz w:val="36"/>
          <w:szCs w:val="44"/>
          <w:highlight w:val="none"/>
        </w:rPr>
        <w:t>月</w:t>
      </w:r>
    </w:p>
    <w:p w14:paraId="1B419F75">
      <w:pPr>
        <w:jc w:val="center"/>
        <w:rPr>
          <w:rFonts w:hint="eastAsia" w:ascii="仿宋" w:hAnsi="仿宋" w:eastAsia="仿宋"/>
          <w:b/>
          <w:color w:val="auto"/>
          <w:kern w:val="0"/>
          <w:sz w:val="36"/>
          <w:szCs w:val="48"/>
          <w:highlight w:val="none"/>
        </w:rPr>
      </w:pPr>
      <w:r>
        <w:rPr>
          <w:rFonts w:ascii="仿宋" w:hAnsi="仿宋" w:eastAsia="仿宋"/>
          <w:b/>
          <w:color w:val="auto"/>
          <w:sz w:val="36"/>
          <w:szCs w:val="44"/>
          <w:highlight w:val="none"/>
        </w:rPr>
        <w:br w:type="page"/>
      </w:r>
      <w:bookmarkStart w:id="0" w:name="_Toc327878382"/>
      <w:bookmarkStart w:id="1" w:name="_Toc323116844"/>
      <w:bookmarkStart w:id="2" w:name="_Toc297032436"/>
      <w:bookmarkStart w:id="3" w:name="_Toc295226561"/>
      <w:bookmarkStart w:id="4" w:name="_Toc329851370"/>
      <w:bookmarkStart w:id="5" w:name="_Toc329851408"/>
      <w:r>
        <w:rPr>
          <w:rFonts w:hint="eastAsia" w:ascii="黑体" w:hAnsi="黑体" w:eastAsia="黑体" w:cs="黑体"/>
          <w:bCs/>
          <w:color w:val="auto"/>
          <w:kern w:val="0"/>
          <w:sz w:val="36"/>
          <w:szCs w:val="48"/>
          <w:highlight w:val="none"/>
        </w:rPr>
        <w:t>目  录</w:t>
      </w:r>
      <w:bookmarkEnd w:id="0"/>
      <w:bookmarkEnd w:id="1"/>
      <w:bookmarkEnd w:id="2"/>
      <w:bookmarkEnd w:id="3"/>
      <w:bookmarkEnd w:id="4"/>
      <w:bookmarkEnd w:id="5"/>
    </w:p>
    <w:p w14:paraId="3F8F1F0D">
      <w:pPr>
        <w:jc w:val="center"/>
        <w:rPr>
          <w:rFonts w:hint="eastAsia" w:ascii="宋体" w:hAnsi="宋体" w:eastAsia="宋体" w:cs="宋体"/>
          <w:b/>
          <w:color w:val="auto"/>
          <w:sz w:val="48"/>
          <w:szCs w:val="56"/>
          <w:highlight w:val="none"/>
        </w:rPr>
      </w:pPr>
    </w:p>
    <w:p w14:paraId="52A2DD76">
      <w:pPr>
        <w:pStyle w:val="3"/>
        <w:tabs>
          <w:tab w:val="right" w:leader="dot" w:pos="9070"/>
        </w:tabs>
        <w:rPr>
          <w:rFonts w:hint="eastAsia" w:ascii="宋体" w:hAnsi="宋体" w:eastAsia="宋体" w:cs="宋体"/>
          <w:color w:val="auto"/>
          <w:sz w:val="32"/>
          <w:szCs w:val="40"/>
          <w:highlight w:val="none"/>
        </w:rPr>
      </w:pPr>
      <w:r>
        <w:rPr>
          <w:rFonts w:hint="eastAsia" w:ascii="宋体" w:hAnsi="宋体" w:eastAsia="宋体" w:cs="宋体"/>
          <w:b/>
          <w:color w:val="auto"/>
          <w:sz w:val="44"/>
          <w:szCs w:val="44"/>
          <w:highlight w:val="none"/>
        </w:rPr>
        <w:fldChar w:fldCharType="begin"/>
      </w:r>
      <w:r>
        <w:rPr>
          <w:rFonts w:hint="eastAsia" w:ascii="宋体" w:hAnsi="宋体" w:eastAsia="宋体" w:cs="宋体"/>
          <w:b/>
          <w:color w:val="auto"/>
          <w:sz w:val="44"/>
          <w:szCs w:val="44"/>
          <w:highlight w:val="none"/>
        </w:rPr>
        <w:instrText xml:space="preserve"> TOC \o "1-1" \h \z \u </w:instrText>
      </w:r>
      <w:r>
        <w:rPr>
          <w:rFonts w:hint="eastAsia" w:ascii="宋体" w:hAnsi="宋体" w:eastAsia="宋体" w:cs="宋体"/>
          <w:b/>
          <w:color w:val="auto"/>
          <w:sz w:val="44"/>
          <w:szCs w:val="44"/>
          <w:highlight w:val="none"/>
        </w:rPr>
        <w:fldChar w:fldCharType="separate"/>
      </w:r>
      <w:r>
        <w:rPr>
          <w:rFonts w:hint="eastAsia" w:ascii="宋体" w:hAnsi="宋体" w:eastAsia="宋体" w:cs="宋体"/>
          <w:color w:val="auto"/>
          <w:sz w:val="32"/>
          <w:szCs w:val="44"/>
          <w:highlight w:val="none"/>
        </w:rPr>
        <w:fldChar w:fldCharType="begin"/>
      </w:r>
      <w:r>
        <w:rPr>
          <w:rFonts w:hint="eastAsia" w:ascii="宋体" w:hAnsi="宋体" w:eastAsia="宋体" w:cs="宋体"/>
          <w:color w:val="auto"/>
          <w:sz w:val="32"/>
          <w:szCs w:val="44"/>
          <w:highlight w:val="none"/>
        </w:rPr>
        <w:instrText xml:space="preserve"> HYPERLINK \l _Toc8078 </w:instrText>
      </w:r>
      <w:r>
        <w:rPr>
          <w:rFonts w:hint="eastAsia" w:ascii="宋体" w:hAnsi="宋体" w:eastAsia="宋体" w:cs="宋体"/>
          <w:color w:val="auto"/>
          <w:sz w:val="32"/>
          <w:szCs w:val="44"/>
          <w:highlight w:val="none"/>
        </w:rPr>
        <w:fldChar w:fldCharType="separate"/>
      </w:r>
      <w:r>
        <w:rPr>
          <w:rFonts w:hint="eastAsia" w:ascii="宋体" w:hAnsi="宋体" w:eastAsia="宋体" w:cs="宋体"/>
          <w:color w:val="auto"/>
          <w:sz w:val="32"/>
          <w:szCs w:val="48"/>
          <w:highlight w:val="none"/>
        </w:rPr>
        <w:t>一、任务来源</w:t>
      </w:r>
      <w:r>
        <w:rPr>
          <w:rFonts w:hint="eastAsia" w:ascii="宋体" w:hAnsi="宋体" w:eastAsia="宋体" w:cs="宋体"/>
          <w:color w:val="auto"/>
          <w:sz w:val="32"/>
          <w:szCs w:val="40"/>
          <w:highlight w:val="none"/>
        </w:rPr>
        <w:tab/>
      </w:r>
      <w:r>
        <w:rPr>
          <w:rFonts w:hint="eastAsia" w:ascii="宋体" w:hAnsi="宋体" w:eastAsia="宋体" w:cs="宋体"/>
          <w:color w:val="auto"/>
          <w:sz w:val="32"/>
          <w:szCs w:val="40"/>
          <w:highlight w:val="none"/>
        </w:rPr>
        <w:fldChar w:fldCharType="begin"/>
      </w:r>
      <w:r>
        <w:rPr>
          <w:rFonts w:hint="eastAsia" w:ascii="宋体" w:hAnsi="宋体" w:eastAsia="宋体" w:cs="宋体"/>
          <w:color w:val="auto"/>
          <w:sz w:val="32"/>
          <w:szCs w:val="40"/>
          <w:highlight w:val="none"/>
        </w:rPr>
        <w:instrText xml:space="preserve"> PAGEREF _Toc8078 \h </w:instrText>
      </w:r>
      <w:r>
        <w:rPr>
          <w:rFonts w:hint="eastAsia" w:ascii="宋体" w:hAnsi="宋体" w:eastAsia="宋体" w:cs="宋体"/>
          <w:color w:val="auto"/>
          <w:sz w:val="32"/>
          <w:szCs w:val="40"/>
          <w:highlight w:val="none"/>
        </w:rPr>
        <w:fldChar w:fldCharType="separate"/>
      </w:r>
      <w:r>
        <w:rPr>
          <w:rFonts w:hint="eastAsia" w:ascii="宋体" w:hAnsi="宋体" w:eastAsia="宋体" w:cs="宋体"/>
          <w:color w:val="auto"/>
          <w:sz w:val="32"/>
          <w:szCs w:val="40"/>
          <w:highlight w:val="none"/>
        </w:rPr>
        <w:t>1</w:t>
      </w:r>
      <w:r>
        <w:rPr>
          <w:rFonts w:hint="eastAsia" w:ascii="宋体" w:hAnsi="宋体" w:eastAsia="宋体" w:cs="宋体"/>
          <w:color w:val="auto"/>
          <w:sz w:val="32"/>
          <w:szCs w:val="40"/>
          <w:highlight w:val="none"/>
        </w:rPr>
        <w:fldChar w:fldCharType="end"/>
      </w:r>
      <w:r>
        <w:rPr>
          <w:rFonts w:hint="eastAsia" w:ascii="宋体" w:hAnsi="宋体" w:eastAsia="宋体" w:cs="宋体"/>
          <w:color w:val="auto"/>
          <w:sz w:val="32"/>
          <w:szCs w:val="44"/>
          <w:highlight w:val="none"/>
        </w:rPr>
        <w:fldChar w:fldCharType="end"/>
      </w:r>
    </w:p>
    <w:p w14:paraId="348ECF93">
      <w:pPr>
        <w:pStyle w:val="3"/>
        <w:tabs>
          <w:tab w:val="right" w:leader="dot" w:pos="9070"/>
        </w:tabs>
        <w:rPr>
          <w:rFonts w:hint="eastAsia" w:ascii="宋体" w:hAnsi="宋体" w:eastAsia="宋体" w:cs="宋体"/>
          <w:color w:val="auto"/>
          <w:sz w:val="32"/>
          <w:szCs w:val="40"/>
          <w:highlight w:val="none"/>
        </w:rPr>
      </w:pPr>
      <w:r>
        <w:rPr>
          <w:rFonts w:hint="eastAsia" w:ascii="宋体" w:hAnsi="宋体" w:eastAsia="宋体" w:cs="宋体"/>
          <w:color w:val="auto"/>
          <w:sz w:val="32"/>
          <w:szCs w:val="44"/>
          <w:highlight w:val="none"/>
        </w:rPr>
        <w:fldChar w:fldCharType="begin"/>
      </w:r>
      <w:r>
        <w:rPr>
          <w:rFonts w:hint="eastAsia" w:ascii="宋体" w:hAnsi="宋体" w:eastAsia="宋体" w:cs="宋体"/>
          <w:color w:val="auto"/>
          <w:sz w:val="32"/>
          <w:szCs w:val="44"/>
          <w:highlight w:val="none"/>
        </w:rPr>
        <w:instrText xml:space="preserve"> HYPERLINK \l _Toc18728 </w:instrText>
      </w:r>
      <w:r>
        <w:rPr>
          <w:rFonts w:hint="eastAsia" w:ascii="宋体" w:hAnsi="宋体" w:eastAsia="宋体" w:cs="宋体"/>
          <w:color w:val="auto"/>
          <w:sz w:val="32"/>
          <w:szCs w:val="44"/>
          <w:highlight w:val="none"/>
        </w:rPr>
        <w:fldChar w:fldCharType="separate"/>
      </w:r>
      <w:r>
        <w:rPr>
          <w:rFonts w:hint="eastAsia" w:ascii="宋体" w:hAnsi="宋体" w:eastAsia="宋体" w:cs="宋体"/>
          <w:color w:val="auto"/>
          <w:sz w:val="32"/>
          <w:szCs w:val="48"/>
          <w:highlight w:val="none"/>
        </w:rPr>
        <w:t>二、制定标准的必要性</w:t>
      </w:r>
      <w:r>
        <w:rPr>
          <w:rFonts w:hint="eastAsia" w:ascii="宋体" w:hAnsi="宋体" w:eastAsia="宋体" w:cs="宋体"/>
          <w:color w:val="auto"/>
          <w:sz w:val="32"/>
          <w:szCs w:val="40"/>
          <w:highlight w:val="none"/>
        </w:rPr>
        <w:tab/>
      </w:r>
      <w:r>
        <w:rPr>
          <w:rFonts w:hint="eastAsia" w:ascii="宋体" w:hAnsi="宋体" w:eastAsia="宋体" w:cs="宋体"/>
          <w:color w:val="auto"/>
          <w:sz w:val="32"/>
          <w:szCs w:val="40"/>
          <w:highlight w:val="none"/>
        </w:rPr>
        <w:fldChar w:fldCharType="begin"/>
      </w:r>
      <w:r>
        <w:rPr>
          <w:rFonts w:hint="eastAsia" w:ascii="宋体" w:hAnsi="宋体" w:eastAsia="宋体" w:cs="宋体"/>
          <w:color w:val="auto"/>
          <w:sz w:val="32"/>
          <w:szCs w:val="40"/>
          <w:highlight w:val="none"/>
        </w:rPr>
        <w:instrText xml:space="preserve"> PAGEREF _Toc18728 \h </w:instrText>
      </w:r>
      <w:r>
        <w:rPr>
          <w:rFonts w:hint="eastAsia" w:ascii="宋体" w:hAnsi="宋体" w:eastAsia="宋体" w:cs="宋体"/>
          <w:color w:val="auto"/>
          <w:sz w:val="32"/>
          <w:szCs w:val="40"/>
          <w:highlight w:val="none"/>
        </w:rPr>
        <w:fldChar w:fldCharType="separate"/>
      </w:r>
      <w:r>
        <w:rPr>
          <w:rFonts w:hint="eastAsia" w:ascii="宋体" w:hAnsi="宋体" w:eastAsia="宋体" w:cs="宋体"/>
          <w:color w:val="auto"/>
          <w:sz w:val="32"/>
          <w:szCs w:val="40"/>
          <w:highlight w:val="none"/>
        </w:rPr>
        <w:t>3</w:t>
      </w:r>
      <w:r>
        <w:rPr>
          <w:rFonts w:hint="eastAsia" w:ascii="宋体" w:hAnsi="宋体" w:eastAsia="宋体" w:cs="宋体"/>
          <w:color w:val="auto"/>
          <w:sz w:val="32"/>
          <w:szCs w:val="40"/>
          <w:highlight w:val="none"/>
        </w:rPr>
        <w:fldChar w:fldCharType="end"/>
      </w:r>
      <w:r>
        <w:rPr>
          <w:rFonts w:hint="eastAsia" w:ascii="宋体" w:hAnsi="宋体" w:eastAsia="宋体" w:cs="宋体"/>
          <w:color w:val="auto"/>
          <w:sz w:val="32"/>
          <w:szCs w:val="44"/>
          <w:highlight w:val="none"/>
        </w:rPr>
        <w:fldChar w:fldCharType="end"/>
      </w:r>
    </w:p>
    <w:p w14:paraId="46CC85D2">
      <w:pPr>
        <w:pStyle w:val="3"/>
        <w:tabs>
          <w:tab w:val="right" w:leader="dot" w:pos="9070"/>
        </w:tabs>
        <w:rPr>
          <w:rFonts w:hint="eastAsia" w:ascii="宋体" w:hAnsi="宋体" w:eastAsia="宋体" w:cs="宋体"/>
          <w:color w:val="auto"/>
          <w:sz w:val="32"/>
          <w:szCs w:val="40"/>
          <w:highlight w:val="none"/>
        </w:rPr>
      </w:pPr>
      <w:r>
        <w:rPr>
          <w:rFonts w:hint="eastAsia" w:ascii="宋体" w:hAnsi="宋体" w:eastAsia="宋体" w:cs="宋体"/>
          <w:color w:val="auto"/>
          <w:sz w:val="32"/>
          <w:szCs w:val="44"/>
          <w:highlight w:val="none"/>
        </w:rPr>
        <w:fldChar w:fldCharType="begin"/>
      </w:r>
      <w:r>
        <w:rPr>
          <w:rFonts w:hint="eastAsia" w:ascii="宋体" w:hAnsi="宋体" w:eastAsia="宋体" w:cs="宋体"/>
          <w:color w:val="auto"/>
          <w:sz w:val="32"/>
          <w:szCs w:val="44"/>
          <w:highlight w:val="none"/>
        </w:rPr>
        <w:instrText xml:space="preserve"> HYPERLINK \l _Toc7050 </w:instrText>
      </w:r>
      <w:r>
        <w:rPr>
          <w:rFonts w:hint="eastAsia" w:ascii="宋体" w:hAnsi="宋体" w:eastAsia="宋体" w:cs="宋体"/>
          <w:color w:val="auto"/>
          <w:sz w:val="32"/>
          <w:szCs w:val="44"/>
          <w:highlight w:val="none"/>
        </w:rPr>
        <w:fldChar w:fldCharType="separate"/>
      </w:r>
      <w:r>
        <w:rPr>
          <w:rFonts w:hint="eastAsia" w:ascii="宋体" w:hAnsi="宋体" w:eastAsia="宋体" w:cs="宋体"/>
          <w:color w:val="auto"/>
          <w:sz w:val="32"/>
          <w:szCs w:val="48"/>
          <w:highlight w:val="none"/>
        </w:rPr>
        <w:t>三、制定标准的意义及目的</w:t>
      </w:r>
      <w:r>
        <w:rPr>
          <w:rFonts w:hint="eastAsia" w:ascii="宋体" w:hAnsi="宋体" w:eastAsia="宋体" w:cs="宋体"/>
          <w:color w:val="auto"/>
          <w:sz w:val="32"/>
          <w:szCs w:val="40"/>
          <w:highlight w:val="none"/>
        </w:rPr>
        <w:tab/>
      </w:r>
      <w:r>
        <w:rPr>
          <w:rFonts w:hint="eastAsia" w:ascii="宋体" w:hAnsi="宋体" w:eastAsia="宋体" w:cs="宋体"/>
          <w:color w:val="auto"/>
          <w:sz w:val="32"/>
          <w:szCs w:val="40"/>
          <w:highlight w:val="none"/>
        </w:rPr>
        <w:fldChar w:fldCharType="begin"/>
      </w:r>
      <w:r>
        <w:rPr>
          <w:rFonts w:hint="eastAsia" w:ascii="宋体" w:hAnsi="宋体" w:eastAsia="宋体" w:cs="宋体"/>
          <w:color w:val="auto"/>
          <w:sz w:val="32"/>
          <w:szCs w:val="40"/>
          <w:highlight w:val="none"/>
        </w:rPr>
        <w:instrText xml:space="preserve"> PAGEREF _Toc7050 \h </w:instrText>
      </w:r>
      <w:r>
        <w:rPr>
          <w:rFonts w:hint="eastAsia" w:ascii="宋体" w:hAnsi="宋体" w:eastAsia="宋体" w:cs="宋体"/>
          <w:color w:val="auto"/>
          <w:sz w:val="32"/>
          <w:szCs w:val="40"/>
          <w:highlight w:val="none"/>
        </w:rPr>
        <w:fldChar w:fldCharType="separate"/>
      </w:r>
      <w:r>
        <w:rPr>
          <w:rFonts w:hint="eastAsia" w:ascii="宋体" w:hAnsi="宋体" w:eastAsia="宋体" w:cs="宋体"/>
          <w:color w:val="auto"/>
          <w:sz w:val="32"/>
          <w:szCs w:val="40"/>
          <w:highlight w:val="none"/>
        </w:rPr>
        <w:t>4</w:t>
      </w:r>
      <w:r>
        <w:rPr>
          <w:rFonts w:hint="eastAsia" w:ascii="宋体" w:hAnsi="宋体" w:eastAsia="宋体" w:cs="宋体"/>
          <w:color w:val="auto"/>
          <w:sz w:val="32"/>
          <w:szCs w:val="40"/>
          <w:highlight w:val="none"/>
        </w:rPr>
        <w:fldChar w:fldCharType="end"/>
      </w:r>
      <w:r>
        <w:rPr>
          <w:rFonts w:hint="eastAsia" w:ascii="宋体" w:hAnsi="宋体" w:eastAsia="宋体" w:cs="宋体"/>
          <w:color w:val="auto"/>
          <w:sz w:val="32"/>
          <w:szCs w:val="44"/>
          <w:highlight w:val="none"/>
        </w:rPr>
        <w:fldChar w:fldCharType="end"/>
      </w:r>
    </w:p>
    <w:p w14:paraId="699C2A6A">
      <w:pPr>
        <w:pStyle w:val="3"/>
        <w:tabs>
          <w:tab w:val="right" w:leader="dot" w:pos="9070"/>
        </w:tabs>
        <w:rPr>
          <w:rFonts w:hint="eastAsia" w:ascii="宋体" w:hAnsi="宋体" w:eastAsia="宋体" w:cs="宋体"/>
          <w:color w:val="auto"/>
          <w:sz w:val="32"/>
          <w:szCs w:val="40"/>
          <w:highlight w:val="none"/>
        </w:rPr>
      </w:pPr>
      <w:r>
        <w:rPr>
          <w:rFonts w:hint="eastAsia" w:ascii="宋体" w:hAnsi="宋体" w:eastAsia="宋体" w:cs="宋体"/>
          <w:color w:val="auto"/>
          <w:sz w:val="32"/>
          <w:szCs w:val="44"/>
          <w:highlight w:val="none"/>
        </w:rPr>
        <w:fldChar w:fldCharType="begin"/>
      </w:r>
      <w:r>
        <w:rPr>
          <w:rFonts w:hint="eastAsia" w:ascii="宋体" w:hAnsi="宋体" w:eastAsia="宋体" w:cs="宋体"/>
          <w:color w:val="auto"/>
          <w:sz w:val="32"/>
          <w:szCs w:val="44"/>
          <w:highlight w:val="none"/>
        </w:rPr>
        <w:instrText xml:space="preserve"> HYPERLINK \l _Toc9026 </w:instrText>
      </w:r>
      <w:r>
        <w:rPr>
          <w:rFonts w:hint="eastAsia" w:ascii="宋体" w:hAnsi="宋体" w:eastAsia="宋体" w:cs="宋体"/>
          <w:color w:val="auto"/>
          <w:sz w:val="32"/>
          <w:szCs w:val="44"/>
          <w:highlight w:val="none"/>
        </w:rPr>
        <w:fldChar w:fldCharType="separate"/>
      </w:r>
      <w:r>
        <w:rPr>
          <w:rFonts w:hint="eastAsia" w:ascii="宋体" w:hAnsi="宋体" w:eastAsia="宋体" w:cs="宋体"/>
          <w:color w:val="auto"/>
          <w:sz w:val="32"/>
          <w:szCs w:val="48"/>
          <w:highlight w:val="none"/>
        </w:rPr>
        <w:t>四、主要起草过程</w:t>
      </w:r>
      <w:r>
        <w:rPr>
          <w:rFonts w:hint="eastAsia" w:ascii="宋体" w:hAnsi="宋体" w:eastAsia="宋体" w:cs="宋体"/>
          <w:color w:val="auto"/>
          <w:sz w:val="32"/>
          <w:szCs w:val="40"/>
          <w:highlight w:val="none"/>
        </w:rPr>
        <w:tab/>
      </w:r>
      <w:r>
        <w:rPr>
          <w:rFonts w:hint="eastAsia" w:ascii="宋体" w:hAnsi="宋体" w:eastAsia="宋体" w:cs="宋体"/>
          <w:color w:val="auto"/>
          <w:sz w:val="32"/>
          <w:szCs w:val="40"/>
          <w:highlight w:val="none"/>
        </w:rPr>
        <w:fldChar w:fldCharType="begin"/>
      </w:r>
      <w:r>
        <w:rPr>
          <w:rFonts w:hint="eastAsia" w:ascii="宋体" w:hAnsi="宋体" w:eastAsia="宋体" w:cs="宋体"/>
          <w:color w:val="auto"/>
          <w:sz w:val="32"/>
          <w:szCs w:val="40"/>
          <w:highlight w:val="none"/>
        </w:rPr>
        <w:instrText xml:space="preserve"> PAGEREF _Toc9026 \h </w:instrText>
      </w:r>
      <w:r>
        <w:rPr>
          <w:rFonts w:hint="eastAsia" w:ascii="宋体" w:hAnsi="宋体" w:eastAsia="宋体" w:cs="宋体"/>
          <w:color w:val="auto"/>
          <w:sz w:val="32"/>
          <w:szCs w:val="40"/>
          <w:highlight w:val="none"/>
        </w:rPr>
        <w:fldChar w:fldCharType="separate"/>
      </w:r>
      <w:r>
        <w:rPr>
          <w:rFonts w:hint="eastAsia" w:ascii="宋体" w:hAnsi="宋体" w:eastAsia="宋体" w:cs="宋体"/>
          <w:color w:val="auto"/>
          <w:sz w:val="32"/>
          <w:szCs w:val="40"/>
          <w:highlight w:val="none"/>
        </w:rPr>
        <w:t>6</w:t>
      </w:r>
      <w:r>
        <w:rPr>
          <w:rFonts w:hint="eastAsia" w:ascii="宋体" w:hAnsi="宋体" w:eastAsia="宋体" w:cs="宋体"/>
          <w:color w:val="auto"/>
          <w:sz w:val="32"/>
          <w:szCs w:val="40"/>
          <w:highlight w:val="none"/>
        </w:rPr>
        <w:fldChar w:fldCharType="end"/>
      </w:r>
      <w:r>
        <w:rPr>
          <w:rFonts w:hint="eastAsia" w:ascii="宋体" w:hAnsi="宋体" w:eastAsia="宋体" w:cs="宋体"/>
          <w:color w:val="auto"/>
          <w:sz w:val="32"/>
          <w:szCs w:val="44"/>
          <w:highlight w:val="none"/>
        </w:rPr>
        <w:fldChar w:fldCharType="end"/>
      </w:r>
    </w:p>
    <w:p w14:paraId="679E51DB">
      <w:pPr>
        <w:pStyle w:val="3"/>
        <w:tabs>
          <w:tab w:val="right" w:leader="dot" w:pos="9070"/>
        </w:tabs>
        <w:rPr>
          <w:rFonts w:hint="eastAsia" w:ascii="宋体" w:hAnsi="宋体" w:eastAsia="宋体" w:cs="宋体"/>
          <w:color w:val="auto"/>
          <w:sz w:val="32"/>
          <w:szCs w:val="40"/>
          <w:highlight w:val="none"/>
        </w:rPr>
      </w:pPr>
      <w:r>
        <w:rPr>
          <w:rFonts w:hint="eastAsia" w:ascii="宋体" w:hAnsi="宋体" w:eastAsia="宋体" w:cs="宋体"/>
          <w:color w:val="auto"/>
          <w:sz w:val="32"/>
          <w:szCs w:val="44"/>
          <w:highlight w:val="none"/>
        </w:rPr>
        <w:fldChar w:fldCharType="begin"/>
      </w:r>
      <w:r>
        <w:rPr>
          <w:rFonts w:hint="eastAsia" w:ascii="宋体" w:hAnsi="宋体" w:eastAsia="宋体" w:cs="宋体"/>
          <w:color w:val="auto"/>
          <w:sz w:val="32"/>
          <w:szCs w:val="44"/>
          <w:highlight w:val="none"/>
        </w:rPr>
        <w:instrText xml:space="preserve"> HYPERLINK \l _Toc2606 </w:instrText>
      </w:r>
      <w:r>
        <w:rPr>
          <w:rFonts w:hint="eastAsia" w:ascii="宋体" w:hAnsi="宋体" w:eastAsia="宋体" w:cs="宋体"/>
          <w:color w:val="auto"/>
          <w:sz w:val="32"/>
          <w:szCs w:val="44"/>
          <w:highlight w:val="none"/>
        </w:rPr>
        <w:fldChar w:fldCharType="separate"/>
      </w:r>
      <w:r>
        <w:rPr>
          <w:rFonts w:hint="eastAsia" w:ascii="宋体" w:hAnsi="宋体" w:eastAsia="宋体" w:cs="宋体"/>
          <w:color w:val="auto"/>
          <w:sz w:val="32"/>
          <w:szCs w:val="48"/>
          <w:highlight w:val="none"/>
        </w:rPr>
        <w:t>五、标准制定原则</w:t>
      </w:r>
      <w:r>
        <w:rPr>
          <w:rFonts w:hint="eastAsia" w:ascii="宋体" w:hAnsi="宋体" w:eastAsia="宋体" w:cs="宋体"/>
          <w:color w:val="auto"/>
          <w:sz w:val="32"/>
          <w:szCs w:val="40"/>
          <w:highlight w:val="none"/>
        </w:rPr>
        <w:tab/>
      </w:r>
      <w:r>
        <w:rPr>
          <w:rFonts w:hint="eastAsia" w:ascii="宋体" w:hAnsi="宋体" w:eastAsia="宋体" w:cs="宋体"/>
          <w:color w:val="auto"/>
          <w:sz w:val="32"/>
          <w:szCs w:val="40"/>
          <w:highlight w:val="none"/>
        </w:rPr>
        <w:fldChar w:fldCharType="begin"/>
      </w:r>
      <w:r>
        <w:rPr>
          <w:rFonts w:hint="eastAsia" w:ascii="宋体" w:hAnsi="宋体" w:eastAsia="宋体" w:cs="宋体"/>
          <w:color w:val="auto"/>
          <w:sz w:val="32"/>
          <w:szCs w:val="40"/>
          <w:highlight w:val="none"/>
        </w:rPr>
        <w:instrText xml:space="preserve"> PAGEREF _Toc2606 \h </w:instrText>
      </w:r>
      <w:r>
        <w:rPr>
          <w:rFonts w:hint="eastAsia" w:ascii="宋体" w:hAnsi="宋体" w:eastAsia="宋体" w:cs="宋体"/>
          <w:color w:val="auto"/>
          <w:sz w:val="32"/>
          <w:szCs w:val="40"/>
          <w:highlight w:val="none"/>
        </w:rPr>
        <w:fldChar w:fldCharType="separate"/>
      </w:r>
      <w:r>
        <w:rPr>
          <w:rFonts w:hint="eastAsia" w:ascii="宋体" w:hAnsi="宋体" w:eastAsia="宋体" w:cs="宋体"/>
          <w:color w:val="auto"/>
          <w:sz w:val="32"/>
          <w:szCs w:val="40"/>
          <w:highlight w:val="none"/>
        </w:rPr>
        <w:t>9</w:t>
      </w:r>
      <w:r>
        <w:rPr>
          <w:rFonts w:hint="eastAsia" w:ascii="宋体" w:hAnsi="宋体" w:eastAsia="宋体" w:cs="宋体"/>
          <w:color w:val="auto"/>
          <w:sz w:val="32"/>
          <w:szCs w:val="40"/>
          <w:highlight w:val="none"/>
        </w:rPr>
        <w:fldChar w:fldCharType="end"/>
      </w:r>
      <w:r>
        <w:rPr>
          <w:rFonts w:hint="eastAsia" w:ascii="宋体" w:hAnsi="宋体" w:eastAsia="宋体" w:cs="宋体"/>
          <w:color w:val="auto"/>
          <w:sz w:val="32"/>
          <w:szCs w:val="44"/>
          <w:highlight w:val="none"/>
        </w:rPr>
        <w:fldChar w:fldCharType="end"/>
      </w:r>
    </w:p>
    <w:p w14:paraId="254BFBAA">
      <w:pPr>
        <w:pStyle w:val="3"/>
        <w:tabs>
          <w:tab w:val="right" w:leader="dot" w:pos="9070"/>
        </w:tabs>
        <w:rPr>
          <w:rFonts w:hint="eastAsia" w:ascii="宋体" w:hAnsi="宋体" w:eastAsia="宋体" w:cs="宋体"/>
          <w:color w:val="auto"/>
          <w:sz w:val="32"/>
          <w:szCs w:val="40"/>
          <w:highlight w:val="none"/>
        </w:rPr>
      </w:pPr>
      <w:r>
        <w:rPr>
          <w:rFonts w:hint="eastAsia" w:ascii="宋体" w:hAnsi="宋体" w:eastAsia="宋体" w:cs="宋体"/>
          <w:color w:val="auto"/>
          <w:sz w:val="32"/>
          <w:szCs w:val="44"/>
          <w:highlight w:val="none"/>
        </w:rPr>
        <w:fldChar w:fldCharType="begin"/>
      </w:r>
      <w:r>
        <w:rPr>
          <w:rFonts w:hint="eastAsia" w:ascii="宋体" w:hAnsi="宋体" w:eastAsia="宋体" w:cs="宋体"/>
          <w:color w:val="auto"/>
          <w:sz w:val="32"/>
          <w:szCs w:val="44"/>
          <w:highlight w:val="none"/>
        </w:rPr>
        <w:instrText xml:space="preserve"> HYPERLINK \l _Toc11039 </w:instrText>
      </w:r>
      <w:r>
        <w:rPr>
          <w:rFonts w:hint="eastAsia" w:ascii="宋体" w:hAnsi="宋体" w:eastAsia="宋体" w:cs="宋体"/>
          <w:color w:val="auto"/>
          <w:sz w:val="32"/>
          <w:szCs w:val="44"/>
          <w:highlight w:val="none"/>
        </w:rPr>
        <w:fldChar w:fldCharType="separate"/>
      </w:r>
      <w:r>
        <w:rPr>
          <w:rFonts w:hint="eastAsia" w:ascii="宋体" w:hAnsi="宋体" w:eastAsia="宋体" w:cs="宋体"/>
          <w:color w:val="auto"/>
          <w:sz w:val="32"/>
          <w:szCs w:val="48"/>
          <w:highlight w:val="none"/>
        </w:rPr>
        <w:t>六、主要内容及依据来源说明</w:t>
      </w:r>
      <w:r>
        <w:rPr>
          <w:rFonts w:hint="eastAsia" w:ascii="宋体" w:hAnsi="宋体" w:eastAsia="宋体" w:cs="宋体"/>
          <w:color w:val="auto"/>
          <w:sz w:val="32"/>
          <w:szCs w:val="40"/>
          <w:highlight w:val="none"/>
        </w:rPr>
        <w:tab/>
      </w:r>
      <w:r>
        <w:rPr>
          <w:rFonts w:hint="eastAsia" w:ascii="宋体" w:hAnsi="宋体" w:eastAsia="宋体" w:cs="宋体"/>
          <w:color w:val="auto"/>
          <w:sz w:val="32"/>
          <w:szCs w:val="40"/>
          <w:highlight w:val="none"/>
        </w:rPr>
        <w:fldChar w:fldCharType="begin"/>
      </w:r>
      <w:r>
        <w:rPr>
          <w:rFonts w:hint="eastAsia" w:ascii="宋体" w:hAnsi="宋体" w:eastAsia="宋体" w:cs="宋体"/>
          <w:color w:val="auto"/>
          <w:sz w:val="32"/>
          <w:szCs w:val="40"/>
          <w:highlight w:val="none"/>
        </w:rPr>
        <w:instrText xml:space="preserve"> PAGEREF _Toc11039 \h </w:instrText>
      </w:r>
      <w:r>
        <w:rPr>
          <w:rFonts w:hint="eastAsia" w:ascii="宋体" w:hAnsi="宋体" w:eastAsia="宋体" w:cs="宋体"/>
          <w:color w:val="auto"/>
          <w:sz w:val="32"/>
          <w:szCs w:val="40"/>
          <w:highlight w:val="none"/>
        </w:rPr>
        <w:fldChar w:fldCharType="separate"/>
      </w:r>
      <w:r>
        <w:rPr>
          <w:rFonts w:hint="eastAsia" w:ascii="宋体" w:hAnsi="宋体" w:eastAsia="宋体" w:cs="宋体"/>
          <w:color w:val="auto"/>
          <w:sz w:val="32"/>
          <w:szCs w:val="40"/>
          <w:highlight w:val="none"/>
        </w:rPr>
        <w:t>9</w:t>
      </w:r>
      <w:r>
        <w:rPr>
          <w:rFonts w:hint="eastAsia" w:ascii="宋体" w:hAnsi="宋体" w:eastAsia="宋体" w:cs="宋体"/>
          <w:color w:val="auto"/>
          <w:sz w:val="32"/>
          <w:szCs w:val="40"/>
          <w:highlight w:val="none"/>
        </w:rPr>
        <w:fldChar w:fldCharType="end"/>
      </w:r>
      <w:r>
        <w:rPr>
          <w:rFonts w:hint="eastAsia" w:ascii="宋体" w:hAnsi="宋体" w:eastAsia="宋体" w:cs="宋体"/>
          <w:color w:val="auto"/>
          <w:sz w:val="32"/>
          <w:szCs w:val="44"/>
          <w:highlight w:val="none"/>
        </w:rPr>
        <w:fldChar w:fldCharType="end"/>
      </w:r>
    </w:p>
    <w:p w14:paraId="12DAD582">
      <w:pPr>
        <w:pStyle w:val="3"/>
        <w:tabs>
          <w:tab w:val="right" w:leader="dot" w:pos="9070"/>
        </w:tabs>
        <w:rPr>
          <w:rFonts w:hint="eastAsia" w:ascii="宋体" w:hAnsi="宋体" w:eastAsia="宋体" w:cs="宋体"/>
          <w:color w:val="auto"/>
          <w:sz w:val="32"/>
          <w:szCs w:val="40"/>
          <w:highlight w:val="none"/>
        </w:rPr>
      </w:pPr>
      <w:r>
        <w:rPr>
          <w:rFonts w:hint="eastAsia" w:ascii="宋体" w:hAnsi="宋体" w:eastAsia="宋体" w:cs="宋体"/>
          <w:color w:val="auto"/>
          <w:sz w:val="32"/>
          <w:szCs w:val="44"/>
          <w:highlight w:val="none"/>
        </w:rPr>
        <w:fldChar w:fldCharType="begin"/>
      </w:r>
      <w:r>
        <w:rPr>
          <w:rFonts w:hint="eastAsia" w:ascii="宋体" w:hAnsi="宋体" w:eastAsia="宋体" w:cs="宋体"/>
          <w:color w:val="auto"/>
          <w:sz w:val="32"/>
          <w:szCs w:val="44"/>
          <w:highlight w:val="none"/>
        </w:rPr>
        <w:instrText xml:space="preserve"> HYPERLINK \l _Toc5978 </w:instrText>
      </w:r>
      <w:r>
        <w:rPr>
          <w:rFonts w:hint="eastAsia" w:ascii="宋体" w:hAnsi="宋体" w:eastAsia="宋体" w:cs="宋体"/>
          <w:color w:val="auto"/>
          <w:sz w:val="32"/>
          <w:szCs w:val="44"/>
          <w:highlight w:val="none"/>
        </w:rPr>
        <w:fldChar w:fldCharType="separate"/>
      </w:r>
      <w:r>
        <w:rPr>
          <w:rFonts w:hint="eastAsia" w:ascii="宋体" w:hAnsi="宋体" w:eastAsia="宋体" w:cs="宋体"/>
          <w:color w:val="auto"/>
          <w:sz w:val="32"/>
          <w:szCs w:val="48"/>
          <w:highlight w:val="none"/>
        </w:rPr>
        <w:t>七、国内外标准修订情况</w:t>
      </w:r>
      <w:r>
        <w:rPr>
          <w:rFonts w:hint="eastAsia" w:ascii="宋体" w:hAnsi="宋体" w:eastAsia="宋体" w:cs="宋体"/>
          <w:color w:val="auto"/>
          <w:sz w:val="32"/>
          <w:szCs w:val="40"/>
          <w:highlight w:val="none"/>
        </w:rPr>
        <w:tab/>
      </w:r>
      <w:r>
        <w:rPr>
          <w:rFonts w:hint="eastAsia" w:ascii="宋体" w:hAnsi="宋体" w:eastAsia="宋体" w:cs="宋体"/>
          <w:color w:val="auto"/>
          <w:sz w:val="32"/>
          <w:szCs w:val="40"/>
          <w:highlight w:val="none"/>
        </w:rPr>
        <w:fldChar w:fldCharType="begin"/>
      </w:r>
      <w:r>
        <w:rPr>
          <w:rFonts w:hint="eastAsia" w:ascii="宋体" w:hAnsi="宋体" w:eastAsia="宋体" w:cs="宋体"/>
          <w:color w:val="auto"/>
          <w:sz w:val="32"/>
          <w:szCs w:val="40"/>
          <w:highlight w:val="none"/>
        </w:rPr>
        <w:instrText xml:space="preserve"> PAGEREF _Toc5978 \h </w:instrText>
      </w:r>
      <w:r>
        <w:rPr>
          <w:rFonts w:hint="eastAsia" w:ascii="宋体" w:hAnsi="宋体" w:eastAsia="宋体" w:cs="宋体"/>
          <w:color w:val="auto"/>
          <w:sz w:val="32"/>
          <w:szCs w:val="40"/>
          <w:highlight w:val="none"/>
        </w:rPr>
        <w:fldChar w:fldCharType="separate"/>
      </w:r>
      <w:r>
        <w:rPr>
          <w:rFonts w:hint="eastAsia" w:ascii="宋体" w:hAnsi="宋体" w:eastAsia="宋体" w:cs="宋体"/>
          <w:color w:val="auto"/>
          <w:sz w:val="32"/>
          <w:szCs w:val="40"/>
          <w:highlight w:val="none"/>
        </w:rPr>
        <w:t>38</w:t>
      </w:r>
      <w:r>
        <w:rPr>
          <w:rFonts w:hint="eastAsia" w:ascii="宋体" w:hAnsi="宋体" w:eastAsia="宋体" w:cs="宋体"/>
          <w:color w:val="auto"/>
          <w:sz w:val="32"/>
          <w:szCs w:val="40"/>
          <w:highlight w:val="none"/>
        </w:rPr>
        <w:fldChar w:fldCharType="end"/>
      </w:r>
      <w:r>
        <w:rPr>
          <w:rFonts w:hint="eastAsia" w:ascii="宋体" w:hAnsi="宋体" w:eastAsia="宋体" w:cs="宋体"/>
          <w:color w:val="auto"/>
          <w:sz w:val="32"/>
          <w:szCs w:val="44"/>
          <w:highlight w:val="none"/>
        </w:rPr>
        <w:fldChar w:fldCharType="end"/>
      </w:r>
    </w:p>
    <w:p w14:paraId="0B3BC2E3">
      <w:pPr>
        <w:pStyle w:val="3"/>
        <w:tabs>
          <w:tab w:val="right" w:leader="dot" w:pos="9070"/>
        </w:tabs>
        <w:rPr>
          <w:rFonts w:hint="eastAsia" w:ascii="宋体" w:hAnsi="宋体" w:eastAsia="宋体" w:cs="宋体"/>
          <w:color w:val="auto"/>
          <w:sz w:val="32"/>
          <w:szCs w:val="40"/>
          <w:highlight w:val="none"/>
        </w:rPr>
      </w:pPr>
      <w:r>
        <w:rPr>
          <w:rFonts w:hint="eastAsia" w:ascii="宋体" w:hAnsi="宋体" w:eastAsia="宋体" w:cs="宋体"/>
          <w:color w:val="auto"/>
          <w:sz w:val="32"/>
          <w:szCs w:val="44"/>
          <w:highlight w:val="none"/>
        </w:rPr>
        <w:fldChar w:fldCharType="begin"/>
      </w:r>
      <w:r>
        <w:rPr>
          <w:rFonts w:hint="eastAsia" w:ascii="宋体" w:hAnsi="宋体" w:eastAsia="宋体" w:cs="宋体"/>
          <w:color w:val="auto"/>
          <w:sz w:val="32"/>
          <w:szCs w:val="44"/>
          <w:highlight w:val="none"/>
        </w:rPr>
        <w:instrText xml:space="preserve"> HYPERLINK \l _Toc13554 </w:instrText>
      </w:r>
      <w:r>
        <w:rPr>
          <w:rFonts w:hint="eastAsia" w:ascii="宋体" w:hAnsi="宋体" w:eastAsia="宋体" w:cs="宋体"/>
          <w:color w:val="auto"/>
          <w:sz w:val="32"/>
          <w:szCs w:val="44"/>
          <w:highlight w:val="none"/>
        </w:rPr>
        <w:fldChar w:fldCharType="separate"/>
      </w:r>
      <w:r>
        <w:rPr>
          <w:rFonts w:hint="eastAsia" w:ascii="宋体" w:hAnsi="宋体" w:eastAsia="宋体" w:cs="宋体"/>
          <w:color w:val="auto"/>
          <w:sz w:val="32"/>
          <w:szCs w:val="48"/>
          <w:highlight w:val="none"/>
        </w:rPr>
        <w:t>八、重大分歧意见的处理经过和依据</w:t>
      </w:r>
      <w:r>
        <w:rPr>
          <w:rFonts w:hint="eastAsia" w:ascii="宋体" w:hAnsi="宋体" w:eastAsia="宋体" w:cs="宋体"/>
          <w:color w:val="auto"/>
          <w:sz w:val="32"/>
          <w:szCs w:val="40"/>
          <w:highlight w:val="none"/>
        </w:rPr>
        <w:tab/>
      </w:r>
      <w:r>
        <w:rPr>
          <w:rFonts w:hint="eastAsia" w:ascii="宋体" w:hAnsi="宋体" w:eastAsia="宋体" w:cs="宋体"/>
          <w:color w:val="auto"/>
          <w:sz w:val="32"/>
          <w:szCs w:val="40"/>
          <w:highlight w:val="none"/>
        </w:rPr>
        <w:fldChar w:fldCharType="begin"/>
      </w:r>
      <w:r>
        <w:rPr>
          <w:rFonts w:hint="eastAsia" w:ascii="宋体" w:hAnsi="宋体" w:eastAsia="宋体" w:cs="宋体"/>
          <w:color w:val="auto"/>
          <w:sz w:val="32"/>
          <w:szCs w:val="40"/>
          <w:highlight w:val="none"/>
        </w:rPr>
        <w:instrText xml:space="preserve"> PAGEREF _Toc13554 \h </w:instrText>
      </w:r>
      <w:r>
        <w:rPr>
          <w:rFonts w:hint="eastAsia" w:ascii="宋体" w:hAnsi="宋体" w:eastAsia="宋体" w:cs="宋体"/>
          <w:color w:val="auto"/>
          <w:sz w:val="32"/>
          <w:szCs w:val="40"/>
          <w:highlight w:val="none"/>
        </w:rPr>
        <w:fldChar w:fldCharType="separate"/>
      </w:r>
      <w:r>
        <w:rPr>
          <w:rFonts w:hint="eastAsia" w:ascii="宋体" w:hAnsi="宋体" w:eastAsia="宋体" w:cs="宋体"/>
          <w:color w:val="auto"/>
          <w:sz w:val="32"/>
          <w:szCs w:val="40"/>
          <w:highlight w:val="none"/>
        </w:rPr>
        <w:t>40</w:t>
      </w:r>
      <w:r>
        <w:rPr>
          <w:rFonts w:hint="eastAsia" w:ascii="宋体" w:hAnsi="宋体" w:eastAsia="宋体" w:cs="宋体"/>
          <w:color w:val="auto"/>
          <w:sz w:val="32"/>
          <w:szCs w:val="40"/>
          <w:highlight w:val="none"/>
        </w:rPr>
        <w:fldChar w:fldCharType="end"/>
      </w:r>
      <w:r>
        <w:rPr>
          <w:rFonts w:hint="eastAsia" w:ascii="宋体" w:hAnsi="宋体" w:eastAsia="宋体" w:cs="宋体"/>
          <w:color w:val="auto"/>
          <w:sz w:val="32"/>
          <w:szCs w:val="44"/>
          <w:highlight w:val="none"/>
        </w:rPr>
        <w:fldChar w:fldCharType="end"/>
      </w:r>
    </w:p>
    <w:p w14:paraId="2557B9DA">
      <w:pPr>
        <w:pStyle w:val="3"/>
        <w:tabs>
          <w:tab w:val="right" w:leader="dot" w:pos="9070"/>
        </w:tabs>
        <w:rPr>
          <w:rFonts w:hint="eastAsia" w:ascii="宋体" w:hAnsi="宋体" w:eastAsia="宋体" w:cs="宋体"/>
          <w:color w:val="auto"/>
          <w:sz w:val="32"/>
          <w:szCs w:val="40"/>
          <w:highlight w:val="none"/>
        </w:rPr>
      </w:pPr>
      <w:r>
        <w:rPr>
          <w:rFonts w:hint="eastAsia" w:ascii="宋体" w:hAnsi="宋体" w:eastAsia="宋体" w:cs="宋体"/>
          <w:color w:val="auto"/>
          <w:sz w:val="32"/>
          <w:szCs w:val="44"/>
          <w:highlight w:val="none"/>
        </w:rPr>
        <w:fldChar w:fldCharType="begin"/>
      </w:r>
      <w:r>
        <w:rPr>
          <w:rFonts w:hint="eastAsia" w:ascii="宋体" w:hAnsi="宋体" w:eastAsia="宋体" w:cs="宋体"/>
          <w:color w:val="auto"/>
          <w:sz w:val="32"/>
          <w:szCs w:val="44"/>
          <w:highlight w:val="none"/>
        </w:rPr>
        <w:instrText xml:space="preserve"> HYPERLINK \l _Toc1791 </w:instrText>
      </w:r>
      <w:r>
        <w:rPr>
          <w:rFonts w:hint="eastAsia" w:ascii="宋体" w:hAnsi="宋体" w:eastAsia="宋体" w:cs="宋体"/>
          <w:color w:val="auto"/>
          <w:sz w:val="32"/>
          <w:szCs w:val="44"/>
          <w:highlight w:val="none"/>
        </w:rPr>
        <w:fldChar w:fldCharType="separate"/>
      </w:r>
      <w:r>
        <w:rPr>
          <w:rFonts w:hint="eastAsia" w:ascii="宋体" w:hAnsi="宋体" w:eastAsia="宋体" w:cs="宋体"/>
          <w:color w:val="auto"/>
          <w:sz w:val="32"/>
          <w:szCs w:val="48"/>
          <w:highlight w:val="none"/>
        </w:rPr>
        <w:t>九、实施标准的措施</w:t>
      </w:r>
      <w:r>
        <w:rPr>
          <w:rFonts w:hint="eastAsia" w:ascii="宋体" w:hAnsi="宋体" w:eastAsia="宋体" w:cs="宋体"/>
          <w:color w:val="auto"/>
          <w:sz w:val="32"/>
          <w:szCs w:val="40"/>
          <w:highlight w:val="none"/>
        </w:rPr>
        <w:tab/>
      </w:r>
      <w:r>
        <w:rPr>
          <w:rFonts w:hint="eastAsia" w:ascii="宋体" w:hAnsi="宋体" w:eastAsia="宋体" w:cs="宋体"/>
          <w:color w:val="auto"/>
          <w:sz w:val="32"/>
          <w:szCs w:val="40"/>
          <w:highlight w:val="none"/>
        </w:rPr>
        <w:fldChar w:fldCharType="begin"/>
      </w:r>
      <w:r>
        <w:rPr>
          <w:rFonts w:hint="eastAsia" w:ascii="宋体" w:hAnsi="宋体" w:eastAsia="宋体" w:cs="宋体"/>
          <w:color w:val="auto"/>
          <w:sz w:val="32"/>
          <w:szCs w:val="40"/>
          <w:highlight w:val="none"/>
        </w:rPr>
        <w:instrText xml:space="preserve"> PAGEREF _Toc1791 \h </w:instrText>
      </w:r>
      <w:r>
        <w:rPr>
          <w:rFonts w:hint="eastAsia" w:ascii="宋体" w:hAnsi="宋体" w:eastAsia="宋体" w:cs="宋体"/>
          <w:color w:val="auto"/>
          <w:sz w:val="32"/>
          <w:szCs w:val="40"/>
          <w:highlight w:val="none"/>
        </w:rPr>
        <w:fldChar w:fldCharType="separate"/>
      </w:r>
      <w:r>
        <w:rPr>
          <w:rFonts w:hint="eastAsia" w:ascii="宋体" w:hAnsi="宋体" w:eastAsia="宋体" w:cs="宋体"/>
          <w:color w:val="auto"/>
          <w:sz w:val="32"/>
          <w:szCs w:val="40"/>
          <w:highlight w:val="none"/>
        </w:rPr>
        <w:t>40</w:t>
      </w:r>
      <w:r>
        <w:rPr>
          <w:rFonts w:hint="eastAsia" w:ascii="宋体" w:hAnsi="宋体" w:eastAsia="宋体" w:cs="宋体"/>
          <w:color w:val="auto"/>
          <w:sz w:val="32"/>
          <w:szCs w:val="40"/>
          <w:highlight w:val="none"/>
        </w:rPr>
        <w:fldChar w:fldCharType="end"/>
      </w:r>
      <w:r>
        <w:rPr>
          <w:rFonts w:hint="eastAsia" w:ascii="宋体" w:hAnsi="宋体" w:eastAsia="宋体" w:cs="宋体"/>
          <w:color w:val="auto"/>
          <w:sz w:val="32"/>
          <w:szCs w:val="44"/>
          <w:highlight w:val="none"/>
        </w:rPr>
        <w:fldChar w:fldCharType="end"/>
      </w:r>
    </w:p>
    <w:p w14:paraId="12DB3DA0">
      <w:pPr>
        <w:pStyle w:val="3"/>
        <w:tabs>
          <w:tab w:val="right" w:leader="dot" w:pos="9070"/>
        </w:tabs>
        <w:rPr>
          <w:rFonts w:hint="eastAsia" w:ascii="宋体" w:hAnsi="宋体" w:eastAsia="宋体" w:cs="宋体"/>
          <w:color w:val="auto"/>
          <w:sz w:val="32"/>
          <w:szCs w:val="40"/>
          <w:highlight w:val="none"/>
        </w:rPr>
      </w:pPr>
      <w:r>
        <w:rPr>
          <w:rFonts w:hint="eastAsia" w:ascii="宋体" w:hAnsi="宋体" w:eastAsia="宋体" w:cs="宋体"/>
          <w:color w:val="auto"/>
          <w:sz w:val="32"/>
          <w:szCs w:val="44"/>
          <w:highlight w:val="none"/>
        </w:rPr>
        <w:fldChar w:fldCharType="begin"/>
      </w:r>
      <w:r>
        <w:rPr>
          <w:rFonts w:hint="eastAsia" w:ascii="宋体" w:hAnsi="宋体" w:eastAsia="宋体" w:cs="宋体"/>
          <w:color w:val="auto"/>
          <w:sz w:val="32"/>
          <w:szCs w:val="44"/>
          <w:highlight w:val="none"/>
        </w:rPr>
        <w:instrText xml:space="preserve"> HYPERLINK \l _Toc23367 </w:instrText>
      </w:r>
      <w:r>
        <w:rPr>
          <w:rFonts w:hint="eastAsia" w:ascii="宋体" w:hAnsi="宋体" w:eastAsia="宋体" w:cs="宋体"/>
          <w:color w:val="auto"/>
          <w:sz w:val="32"/>
          <w:szCs w:val="44"/>
          <w:highlight w:val="none"/>
        </w:rPr>
        <w:fldChar w:fldCharType="separate"/>
      </w:r>
      <w:r>
        <w:rPr>
          <w:rFonts w:hint="eastAsia" w:ascii="宋体" w:hAnsi="宋体" w:eastAsia="宋体" w:cs="宋体"/>
          <w:color w:val="auto"/>
          <w:sz w:val="32"/>
          <w:szCs w:val="48"/>
          <w:highlight w:val="none"/>
        </w:rPr>
        <w:t>十、自我承诺</w:t>
      </w:r>
      <w:r>
        <w:rPr>
          <w:rFonts w:hint="eastAsia" w:ascii="宋体" w:hAnsi="宋体" w:eastAsia="宋体" w:cs="宋体"/>
          <w:color w:val="auto"/>
          <w:sz w:val="32"/>
          <w:szCs w:val="40"/>
          <w:highlight w:val="none"/>
        </w:rPr>
        <w:tab/>
      </w:r>
      <w:r>
        <w:rPr>
          <w:rFonts w:hint="eastAsia" w:ascii="宋体" w:hAnsi="宋体" w:eastAsia="宋体" w:cs="宋体"/>
          <w:color w:val="auto"/>
          <w:sz w:val="32"/>
          <w:szCs w:val="40"/>
          <w:highlight w:val="none"/>
        </w:rPr>
        <w:fldChar w:fldCharType="begin"/>
      </w:r>
      <w:r>
        <w:rPr>
          <w:rFonts w:hint="eastAsia" w:ascii="宋体" w:hAnsi="宋体" w:eastAsia="宋体" w:cs="宋体"/>
          <w:color w:val="auto"/>
          <w:sz w:val="32"/>
          <w:szCs w:val="40"/>
          <w:highlight w:val="none"/>
        </w:rPr>
        <w:instrText xml:space="preserve"> PAGEREF _Toc23367 \h </w:instrText>
      </w:r>
      <w:r>
        <w:rPr>
          <w:rFonts w:hint="eastAsia" w:ascii="宋体" w:hAnsi="宋体" w:eastAsia="宋体" w:cs="宋体"/>
          <w:color w:val="auto"/>
          <w:sz w:val="32"/>
          <w:szCs w:val="40"/>
          <w:highlight w:val="none"/>
        </w:rPr>
        <w:fldChar w:fldCharType="separate"/>
      </w:r>
      <w:r>
        <w:rPr>
          <w:rFonts w:hint="eastAsia" w:ascii="宋体" w:hAnsi="宋体" w:eastAsia="宋体" w:cs="宋体"/>
          <w:color w:val="auto"/>
          <w:sz w:val="32"/>
          <w:szCs w:val="40"/>
          <w:highlight w:val="none"/>
        </w:rPr>
        <w:t>42</w:t>
      </w:r>
      <w:r>
        <w:rPr>
          <w:rFonts w:hint="eastAsia" w:ascii="宋体" w:hAnsi="宋体" w:eastAsia="宋体" w:cs="宋体"/>
          <w:color w:val="auto"/>
          <w:sz w:val="32"/>
          <w:szCs w:val="40"/>
          <w:highlight w:val="none"/>
        </w:rPr>
        <w:fldChar w:fldCharType="end"/>
      </w:r>
      <w:r>
        <w:rPr>
          <w:rFonts w:hint="eastAsia" w:ascii="宋体" w:hAnsi="宋体" w:eastAsia="宋体" w:cs="宋体"/>
          <w:color w:val="auto"/>
          <w:sz w:val="32"/>
          <w:szCs w:val="44"/>
          <w:highlight w:val="none"/>
        </w:rPr>
        <w:fldChar w:fldCharType="end"/>
      </w:r>
    </w:p>
    <w:p w14:paraId="30601971">
      <w:pPr>
        <w:pStyle w:val="3"/>
        <w:tabs>
          <w:tab w:val="right" w:leader="dot" w:pos="9070"/>
        </w:tabs>
        <w:rPr>
          <w:rFonts w:hint="eastAsia" w:ascii="宋体" w:hAnsi="宋体" w:eastAsia="宋体" w:cs="宋体"/>
          <w:color w:val="auto"/>
          <w:sz w:val="32"/>
          <w:szCs w:val="40"/>
          <w:highlight w:val="none"/>
        </w:rPr>
      </w:pPr>
      <w:r>
        <w:rPr>
          <w:rFonts w:hint="eastAsia" w:ascii="宋体" w:hAnsi="宋体" w:eastAsia="宋体" w:cs="宋体"/>
          <w:color w:val="auto"/>
          <w:sz w:val="32"/>
          <w:szCs w:val="44"/>
          <w:highlight w:val="none"/>
        </w:rPr>
        <w:fldChar w:fldCharType="begin"/>
      </w:r>
      <w:r>
        <w:rPr>
          <w:rFonts w:hint="eastAsia" w:ascii="宋体" w:hAnsi="宋体" w:eastAsia="宋体" w:cs="宋体"/>
          <w:color w:val="auto"/>
          <w:sz w:val="32"/>
          <w:szCs w:val="44"/>
          <w:highlight w:val="none"/>
        </w:rPr>
        <w:instrText xml:space="preserve"> HYPERLINK \l _Toc24150 </w:instrText>
      </w:r>
      <w:r>
        <w:rPr>
          <w:rFonts w:hint="eastAsia" w:ascii="宋体" w:hAnsi="宋体" w:eastAsia="宋体" w:cs="宋体"/>
          <w:color w:val="auto"/>
          <w:sz w:val="32"/>
          <w:szCs w:val="44"/>
          <w:highlight w:val="none"/>
        </w:rPr>
        <w:fldChar w:fldCharType="separate"/>
      </w:r>
      <w:r>
        <w:rPr>
          <w:rFonts w:hint="eastAsia" w:ascii="宋体" w:hAnsi="宋体" w:eastAsia="宋体" w:cs="宋体"/>
          <w:color w:val="auto"/>
          <w:sz w:val="32"/>
          <w:szCs w:val="48"/>
          <w:highlight w:val="none"/>
        </w:rPr>
        <w:t>十一、贯彻标准的要求和措施建议</w:t>
      </w:r>
      <w:r>
        <w:rPr>
          <w:rFonts w:hint="eastAsia" w:ascii="宋体" w:hAnsi="宋体" w:eastAsia="宋体" w:cs="宋体"/>
          <w:color w:val="auto"/>
          <w:sz w:val="32"/>
          <w:szCs w:val="40"/>
          <w:highlight w:val="none"/>
        </w:rPr>
        <w:tab/>
      </w:r>
      <w:r>
        <w:rPr>
          <w:rFonts w:hint="eastAsia" w:ascii="宋体" w:hAnsi="宋体" w:eastAsia="宋体" w:cs="宋体"/>
          <w:color w:val="auto"/>
          <w:sz w:val="32"/>
          <w:szCs w:val="40"/>
          <w:highlight w:val="none"/>
        </w:rPr>
        <w:fldChar w:fldCharType="begin"/>
      </w:r>
      <w:r>
        <w:rPr>
          <w:rFonts w:hint="eastAsia" w:ascii="宋体" w:hAnsi="宋体" w:eastAsia="宋体" w:cs="宋体"/>
          <w:color w:val="auto"/>
          <w:sz w:val="32"/>
          <w:szCs w:val="40"/>
          <w:highlight w:val="none"/>
        </w:rPr>
        <w:instrText xml:space="preserve"> PAGEREF _Toc24150 \h </w:instrText>
      </w:r>
      <w:r>
        <w:rPr>
          <w:rFonts w:hint="eastAsia" w:ascii="宋体" w:hAnsi="宋体" w:eastAsia="宋体" w:cs="宋体"/>
          <w:color w:val="auto"/>
          <w:sz w:val="32"/>
          <w:szCs w:val="40"/>
          <w:highlight w:val="none"/>
        </w:rPr>
        <w:fldChar w:fldCharType="separate"/>
      </w:r>
      <w:r>
        <w:rPr>
          <w:rFonts w:hint="eastAsia" w:ascii="宋体" w:hAnsi="宋体" w:eastAsia="宋体" w:cs="宋体"/>
          <w:color w:val="auto"/>
          <w:sz w:val="32"/>
          <w:szCs w:val="40"/>
          <w:highlight w:val="none"/>
        </w:rPr>
        <w:t>42</w:t>
      </w:r>
      <w:r>
        <w:rPr>
          <w:rFonts w:hint="eastAsia" w:ascii="宋体" w:hAnsi="宋体" w:eastAsia="宋体" w:cs="宋体"/>
          <w:color w:val="auto"/>
          <w:sz w:val="32"/>
          <w:szCs w:val="40"/>
          <w:highlight w:val="none"/>
        </w:rPr>
        <w:fldChar w:fldCharType="end"/>
      </w:r>
      <w:r>
        <w:rPr>
          <w:rFonts w:hint="eastAsia" w:ascii="宋体" w:hAnsi="宋体" w:eastAsia="宋体" w:cs="宋体"/>
          <w:color w:val="auto"/>
          <w:sz w:val="32"/>
          <w:szCs w:val="44"/>
          <w:highlight w:val="none"/>
        </w:rPr>
        <w:fldChar w:fldCharType="end"/>
      </w:r>
    </w:p>
    <w:p w14:paraId="2634C22E">
      <w:pPr>
        <w:jc w:val="center"/>
        <w:rPr>
          <w:rFonts w:hint="eastAsia" w:ascii="宋体" w:hAnsi="宋体" w:eastAsia="宋体" w:cs="宋体"/>
          <w:b/>
          <w:color w:val="auto"/>
          <w:sz w:val="40"/>
          <w:szCs w:val="40"/>
          <w:highlight w:val="none"/>
        </w:rPr>
      </w:pPr>
      <w:r>
        <w:rPr>
          <w:rFonts w:hint="eastAsia" w:ascii="宋体" w:hAnsi="宋体" w:eastAsia="宋体" w:cs="宋体"/>
          <w:color w:val="auto"/>
          <w:sz w:val="32"/>
          <w:szCs w:val="44"/>
          <w:highlight w:val="none"/>
        </w:rPr>
        <w:fldChar w:fldCharType="end"/>
      </w:r>
    </w:p>
    <w:p w14:paraId="5517AEAC">
      <w:pPr>
        <w:rPr>
          <w:rFonts w:hint="eastAsia" w:ascii="仿宋" w:hAnsi="仿宋" w:eastAsia="仿宋"/>
          <w:b/>
          <w:color w:val="auto"/>
          <w:sz w:val="36"/>
          <w:szCs w:val="44"/>
          <w:highlight w:val="none"/>
        </w:rPr>
        <w:sectPr>
          <w:pgSz w:w="11906" w:h="16838"/>
          <w:pgMar w:top="1418" w:right="1418" w:bottom="1134" w:left="1418" w:header="851" w:footer="737" w:gutter="0"/>
          <w:cols w:space="720" w:num="1"/>
          <w:docGrid w:type="lines" w:linePitch="312" w:charSpace="0"/>
        </w:sectPr>
      </w:pPr>
    </w:p>
    <w:p w14:paraId="40B18A76">
      <w:pPr>
        <w:autoSpaceDE w:val="0"/>
        <w:autoSpaceDN w:val="0"/>
        <w:adjustRightInd w:val="0"/>
        <w:spacing w:before="156" w:beforeLines="50" w:after="156" w:afterLines="50" w:line="560" w:lineRule="exact"/>
        <w:ind w:firstLine="640" w:firstLineChars="200"/>
        <w:outlineLvl w:val="0"/>
        <w:rPr>
          <w:rFonts w:eastAsia="黑体"/>
          <w:color w:val="auto"/>
          <w:sz w:val="32"/>
          <w:szCs w:val="32"/>
          <w:highlight w:val="none"/>
        </w:rPr>
      </w:pPr>
      <w:bookmarkStart w:id="6" w:name="_Toc8078"/>
      <w:r>
        <w:rPr>
          <w:rFonts w:hint="eastAsia" w:ascii="黑体" w:hAnsi="黑体" w:eastAsia="黑体" w:cs="仿宋_GB2312"/>
          <w:color w:val="auto"/>
          <w:sz w:val="32"/>
          <w:szCs w:val="32"/>
          <w:highlight w:val="none"/>
        </w:rPr>
        <w:t>一、任务来源</w:t>
      </w:r>
      <w:bookmarkEnd w:id="6"/>
    </w:p>
    <w:p w14:paraId="38D877EF">
      <w:pPr>
        <w:spacing w:line="560" w:lineRule="exact"/>
        <w:ind w:firstLine="648" w:firstLineChars="200"/>
        <w:rPr>
          <w:rFonts w:hint="eastAsia" w:ascii="仿宋_GB2312" w:hAnsi="仿宋_GB2312" w:eastAsia="仿宋_GB2312" w:cs="Calibri"/>
          <w:color w:val="auto"/>
          <w:spacing w:val="2"/>
          <w:sz w:val="32"/>
          <w:highlight w:val="none"/>
        </w:rPr>
      </w:pPr>
      <w:r>
        <w:rPr>
          <w:rFonts w:hint="eastAsia" w:ascii="仿宋_GB2312" w:hAnsi="仿宋_GB2312" w:eastAsia="仿宋_GB2312" w:cs="Calibri"/>
          <w:color w:val="auto"/>
          <w:spacing w:val="2"/>
          <w:sz w:val="32"/>
          <w:highlight w:val="none"/>
        </w:rPr>
        <w:t>根据《关于下达 2025 年第二批绿色低碳领域团体标准制修订项目计划的通知》（桂标协〔2025〕134号 桂低碳协〔2025]9号）文件精神，由广西绿色低碳产业技术协会提出，广西壮族自治区环境保护科学研究院、广西大学、广西产研院绿色低碳技术研究所有限公司、广西壮族自治区分析测试研究中心、广西钢铁集团有限公司、浙江灵析精仪科技发展有限公司共同起草的团体标准《工业园区温室气体连续监测技术规范》（项目编号2025-0201）</w:t>
      </w:r>
      <w:r>
        <w:rPr>
          <w:rFonts w:hint="eastAsia" w:ascii="仿宋_GB2312" w:hAnsi="仿宋_GB2312" w:eastAsia="仿宋_GB2312" w:cs="Calibri"/>
          <w:color w:val="auto"/>
          <w:spacing w:val="2"/>
          <w:sz w:val="32"/>
          <w:highlight w:val="none"/>
          <w:lang w:val="en-US" w:eastAsia="zh-CN"/>
        </w:rPr>
        <w:t>获批</w:t>
      </w:r>
      <w:r>
        <w:rPr>
          <w:rFonts w:hint="eastAsia" w:ascii="仿宋_GB2312" w:hAnsi="仿宋_GB2312" w:eastAsia="仿宋_GB2312" w:cs="Calibri"/>
          <w:color w:val="auto"/>
          <w:spacing w:val="2"/>
          <w:sz w:val="32"/>
          <w:highlight w:val="none"/>
        </w:rPr>
        <w:t>立项。</w:t>
      </w:r>
    </w:p>
    <w:p w14:paraId="7AAAEC1E">
      <w:pPr>
        <w:spacing w:line="560" w:lineRule="exact"/>
        <w:ind w:firstLine="648" w:firstLineChars="200"/>
        <w:rPr>
          <w:rFonts w:ascii="仿宋_GB2312" w:hAnsi="仿宋_GB2312" w:eastAsia="仿宋_GB2312"/>
          <w:color w:val="auto"/>
          <w:spacing w:val="2"/>
          <w:sz w:val="32"/>
          <w:highlight w:val="none"/>
        </w:rPr>
      </w:pPr>
      <w:r>
        <w:rPr>
          <w:rFonts w:hint="eastAsia" w:ascii="仿宋_GB2312" w:hAnsi="仿宋_GB2312" w:eastAsia="仿宋_GB2312"/>
          <w:color w:val="auto"/>
          <w:spacing w:val="2"/>
          <w:sz w:val="32"/>
          <w:highlight w:val="none"/>
        </w:rPr>
        <w:t>为高质量编制团体标准</w:t>
      </w:r>
      <w:r>
        <w:rPr>
          <w:rFonts w:hint="eastAsia" w:ascii="仿宋_GB2312" w:hAnsi="仿宋_GB2312" w:eastAsia="仿宋_GB2312" w:cs="Calibri"/>
          <w:color w:val="auto"/>
          <w:spacing w:val="2"/>
          <w:sz w:val="32"/>
          <w:highlight w:val="none"/>
        </w:rPr>
        <w:t>《工业园区温室气体连续监测技术规范》</w:t>
      </w:r>
      <w:r>
        <w:rPr>
          <w:rFonts w:hint="eastAsia" w:ascii="仿宋_GB2312" w:hAnsi="仿宋_GB2312" w:eastAsia="仿宋_GB2312"/>
          <w:color w:val="auto"/>
          <w:spacing w:val="2"/>
          <w:sz w:val="32"/>
          <w:highlight w:val="none"/>
        </w:rPr>
        <w:t>，由起草单位成立标准编制工作组并进行如下分工：</w:t>
      </w:r>
    </w:p>
    <w:tbl>
      <w:tblPr>
        <w:tblStyle w:val="4"/>
        <w:tblW w:w="5000" w:type="pct"/>
        <w:tblInd w:w="0" w:type="dxa"/>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autofit"/>
        <w:tblCellMar>
          <w:top w:w="0" w:type="dxa"/>
          <w:left w:w="108" w:type="dxa"/>
          <w:bottom w:w="0" w:type="dxa"/>
          <w:right w:w="108" w:type="dxa"/>
        </w:tblCellMar>
      </w:tblPr>
      <w:tblGrid>
        <w:gridCol w:w="1065"/>
        <w:gridCol w:w="1274"/>
        <w:gridCol w:w="1581"/>
        <w:gridCol w:w="1582"/>
        <w:gridCol w:w="3020"/>
      </w:tblGrid>
      <w:tr w14:paraId="420AE9CF">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48" w:hRule="atLeast"/>
          <w:tblHeader/>
        </w:trPr>
        <w:tc>
          <w:tcPr>
            <w:tcW w:w="625" w:type="pct"/>
            <w:tcBorders>
              <w:top w:val="single" w:color="auto" w:sz="4" w:space="0"/>
              <w:bottom w:val="single" w:color="auto" w:sz="4" w:space="0"/>
            </w:tcBorders>
            <w:noWrap w:val="0"/>
            <w:vAlign w:val="center"/>
          </w:tcPr>
          <w:p w14:paraId="5293BCE7">
            <w:pPr>
              <w:jc w:val="center"/>
              <w:rPr>
                <w:rFonts w:hint="eastAsia" w:ascii="仿宋" w:hAnsi="仿宋" w:eastAsia="仿宋"/>
                <w:b/>
                <w:sz w:val="24"/>
              </w:rPr>
            </w:pPr>
            <w:r>
              <w:rPr>
                <w:rFonts w:hint="eastAsia" w:ascii="仿宋" w:hAnsi="仿宋" w:eastAsia="仿宋"/>
                <w:b/>
                <w:sz w:val="24"/>
              </w:rPr>
              <w:t>姓名</w:t>
            </w:r>
          </w:p>
        </w:tc>
        <w:tc>
          <w:tcPr>
            <w:tcW w:w="747" w:type="pct"/>
            <w:tcBorders>
              <w:top w:val="single" w:color="auto" w:sz="4" w:space="0"/>
              <w:bottom w:val="single" w:color="auto" w:sz="4" w:space="0"/>
            </w:tcBorders>
            <w:noWrap w:val="0"/>
            <w:vAlign w:val="center"/>
          </w:tcPr>
          <w:p w14:paraId="31BFA347">
            <w:pPr>
              <w:jc w:val="center"/>
              <w:rPr>
                <w:rFonts w:hint="eastAsia" w:ascii="仿宋" w:hAnsi="仿宋" w:eastAsia="仿宋"/>
                <w:b/>
                <w:sz w:val="24"/>
              </w:rPr>
            </w:pPr>
            <w:r>
              <w:rPr>
                <w:rFonts w:hint="eastAsia" w:ascii="仿宋" w:hAnsi="仿宋" w:eastAsia="仿宋"/>
                <w:b/>
                <w:sz w:val="24"/>
              </w:rPr>
              <w:t>职务/职称</w:t>
            </w:r>
          </w:p>
        </w:tc>
        <w:tc>
          <w:tcPr>
            <w:tcW w:w="927" w:type="pct"/>
            <w:tcBorders>
              <w:top w:val="single" w:color="auto" w:sz="4" w:space="0"/>
              <w:bottom w:val="single" w:color="auto" w:sz="4" w:space="0"/>
            </w:tcBorders>
            <w:noWrap w:val="0"/>
            <w:vAlign w:val="center"/>
          </w:tcPr>
          <w:p w14:paraId="2924EA8C">
            <w:pPr>
              <w:jc w:val="center"/>
              <w:rPr>
                <w:rFonts w:hint="eastAsia" w:ascii="仿宋" w:hAnsi="仿宋" w:eastAsia="仿宋"/>
                <w:b/>
                <w:sz w:val="24"/>
              </w:rPr>
            </w:pPr>
            <w:r>
              <w:rPr>
                <w:rFonts w:hint="eastAsia" w:ascii="仿宋" w:hAnsi="仿宋" w:eastAsia="仿宋"/>
                <w:b/>
                <w:sz w:val="24"/>
              </w:rPr>
              <w:t>从事专业</w:t>
            </w:r>
          </w:p>
        </w:tc>
        <w:tc>
          <w:tcPr>
            <w:tcW w:w="928" w:type="pct"/>
            <w:tcBorders>
              <w:top w:val="single" w:color="auto" w:sz="4" w:space="0"/>
              <w:bottom w:val="single" w:color="auto" w:sz="4" w:space="0"/>
            </w:tcBorders>
            <w:noWrap w:val="0"/>
            <w:vAlign w:val="center"/>
          </w:tcPr>
          <w:p w14:paraId="3A07D33F">
            <w:pPr>
              <w:jc w:val="center"/>
              <w:rPr>
                <w:rFonts w:hint="eastAsia" w:ascii="仿宋" w:hAnsi="仿宋" w:eastAsia="仿宋"/>
                <w:b/>
                <w:sz w:val="24"/>
              </w:rPr>
            </w:pPr>
            <w:r>
              <w:rPr>
                <w:rFonts w:hint="eastAsia" w:ascii="仿宋" w:hAnsi="仿宋" w:eastAsia="仿宋"/>
                <w:b/>
                <w:sz w:val="24"/>
              </w:rPr>
              <w:t>工作单位</w:t>
            </w:r>
          </w:p>
        </w:tc>
        <w:tc>
          <w:tcPr>
            <w:tcW w:w="1771" w:type="pct"/>
            <w:tcBorders>
              <w:top w:val="single" w:color="auto" w:sz="4" w:space="0"/>
              <w:bottom w:val="single" w:color="auto" w:sz="4" w:space="0"/>
            </w:tcBorders>
            <w:noWrap w:val="0"/>
            <w:vAlign w:val="center"/>
          </w:tcPr>
          <w:p w14:paraId="4F145FF3">
            <w:pPr>
              <w:jc w:val="center"/>
              <w:rPr>
                <w:rFonts w:hint="eastAsia" w:ascii="仿宋" w:hAnsi="仿宋" w:eastAsia="仿宋"/>
                <w:b/>
                <w:sz w:val="24"/>
              </w:rPr>
            </w:pPr>
            <w:r>
              <w:rPr>
                <w:rFonts w:hint="eastAsia" w:ascii="仿宋" w:hAnsi="仿宋" w:eastAsia="仿宋"/>
                <w:b/>
                <w:sz w:val="24"/>
              </w:rPr>
              <w:t>责任分工</w:t>
            </w:r>
          </w:p>
        </w:tc>
      </w:tr>
      <w:tr w14:paraId="4ED031FE">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50" w:hRule="atLeast"/>
        </w:trPr>
        <w:tc>
          <w:tcPr>
            <w:tcW w:w="625" w:type="pct"/>
            <w:tcBorders>
              <w:top w:val="single" w:color="auto" w:sz="4" w:space="0"/>
              <w:left w:val="single" w:color="auto" w:sz="4" w:space="0"/>
              <w:bottom w:val="single" w:color="auto" w:sz="4" w:space="0"/>
            </w:tcBorders>
            <w:noWrap w:val="0"/>
            <w:vAlign w:val="center"/>
          </w:tcPr>
          <w:p w14:paraId="3DF72AD3">
            <w:pPr>
              <w:jc w:val="center"/>
              <w:rPr>
                <w:rFonts w:hint="eastAsia" w:ascii="仿宋_GB2312" w:hAnsi="仿宋_GB2312" w:eastAsia="仿宋_GB2312" w:cs="仿宋_GB2312"/>
                <w:sz w:val="24"/>
                <w:lang w:val="en-US" w:eastAsia="zh-CN" w:bidi="ar"/>
              </w:rPr>
            </w:pPr>
            <w:r>
              <w:rPr>
                <w:rFonts w:hint="eastAsia" w:ascii="仿宋_GB2312" w:hAnsi="仿宋_GB2312" w:eastAsia="仿宋_GB2312" w:cs="仿宋_GB2312"/>
                <w:sz w:val="24"/>
                <w:lang w:val="en-US" w:eastAsia="zh-CN" w:bidi="ar"/>
              </w:rPr>
              <w:t>刘慧琳</w:t>
            </w:r>
          </w:p>
        </w:tc>
        <w:tc>
          <w:tcPr>
            <w:tcW w:w="747" w:type="pct"/>
            <w:tcBorders>
              <w:top w:val="single" w:color="auto" w:sz="4" w:space="0"/>
              <w:bottom w:val="single" w:color="auto" w:sz="4" w:space="0"/>
            </w:tcBorders>
            <w:noWrap w:val="0"/>
            <w:vAlign w:val="center"/>
          </w:tcPr>
          <w:p w14:paraId="4BBC21EB">
            <w:pPr>
              <w:jc w:val="center"/>
              <w:rPr>
                <w:rFonts w:hint="eastAsia" w:ascii="仿宋_GB2312" w:hAnsi="仿宋_GB2312" w:eastAsia="仿宋_GB2312" w:cs="仿宋_GB2312"/>
                <w:sz w:val="24"/>
                <w:lang w:val="en-US" w:eastAsia="zh-CN" w:bidi="ar"/>
              </w:rPr>
            </w:pPr>
            <w:r>
              <w:rPr>
                <w:rFonts w:hint="eastAsia" w:ascii="仿宋_GB2312" w:hAnsi="仿宋_GB2312" w:eastAsia="仿宋_GB2312" w:cs="仿宋_GB2312"/>
                <w:sz w:val="24"/>
                <w:lang w:val="en-US" w:eastAsia="zh-CN" w:bidi="ar"/>
              </w:rPr>
              <w:t>正高级工程师</w:t>
            </w:r>
          </w:p>
        </w:tc>
        <w:tc>
          <w:tcPr>
            <w:tcW w:w="927" w:type="pct"/>
            <w:tcBorders>
              <w:top w:val="single" w:color="auto" w:sz="4" w:space="0"/>
              <w:bottom w:val="single" w:color="auto" w:sz="4" w:space="0"/>
            </w:tcBorders>
            <w:noWrap w:val="0"/>
            <w:vAlign w:val="center"/>
          </w:tcPr>
          <w:p w14:paraId="59048797">
            <w:pPr>
              <w:jc w:val="center"/>
              <w:rPr>
                <w:rFonts w:hint="default" w:ascii="仿宋_GB2312" w:hAnsi="仿宋_GB2312" w:eastAsia="仿宋_GB2312" w:cs="仿宋_GB2312"/>
                <w:sz w:val="24"/>
                <w:lang w:val="en-US" w:eastAsia="zh-CN" w:bidi="ar"/>
              </w:rPr>
            </w:pPr>
            <w:r>
              <w:rPr>
                <w:rFonts w:hint="eastAsia" w:ascii="仿宋_GB2312" w:hAnsi="仿宋_GB2312" w:eastAsia="仿宋_GB2312" w:cs="仿宋_GB2312"/>
                <w:sz w:val="24"/>
                <w:lang w:val="en-US" w:eastAsia="zh-CN" w:bidi="ar"/>
              </w:rPr>
              <w:t>大气污染治理与温室气体排放协同管控</w:t>
            </w:r>
          </w:p>
        </w:tc>
        <w:tc>
          <w:tcPr>
            <w:tcW w:w="928" w:type="pct"/>
            <w:tcBorders>
              <w:top w:val="single" w:color="auto" w:sz="4" w:space="0"/>
              <w:bottom w:val="single" w:color="auto" w:sz="4" w:space="0"/>
            </w:tcBorders>
            <w:noWrap w:val="0"/>
            <w:vAlign w:val="center"/>
          </w:tcPr>
          <w:p w14:paraId="48DACA55">
            <w:pPr>
              <w:jc w:val="center"/>
              <w:rPr>
                <w:rFonts w:hint="default" w:ascii="仿宋_GB2312" w:hAnsi="仿宋_GB2312" w:eastAsia="仿宋_GB2312" w:cs="仿宋_GB2312"/>
                <w:sz w:val="24"/>
                <w:lang w:val="en-US" w:eastAsia="zh-CN" w:bidi="ar"/>
              </w:rPr>
            </w:pPr>
            <w:r>
              <w:rPr>
                <w:rFonts w:hint="eastAsia" w:ascii="仿宋_GB2312" w:hAnsi="仿宋_GB2312" w:eastAsia="仿宋_GB2312" w:cs="仿宋_GB2312"/>
                <w:sz w:val="24"/>
                <w:lang w:val="en-US" w:eastAsia="zh-CN" w:bidi="ar"/>
              </w:rPr>
              <w:t>广西壮族自治区环境保护科学研究院</w:t>
            </w:r>
          </w:p>
        </w:tc>
        <w:tc>
          <w:tcPr>
            <w:tcW w:w="1771" w:type="pct"/>
            <w:tcBorders>
              <w:top w:val="single" w:color="auto" w:sz="4" w:space="0"/>
              <w:bottom w:val="single" w:color="auto" w:sz="4" w:space="0"/>
              <w:right w:val="single" w:color="auto" w:sz="4" w:space="0"/>
            </w:tcBorders>
            <w:noWrap w:val="0"/>
            <w:vAlign w:val="center"/>
          </w:tcPr>
          <w:p w14:paraId="2BB00027">
            <w:pPr>
              <w:jc w:val="left"/>
              <w:rPr>
                <w:rFonts w:hint="eastAsia" w:ascii="仿宋_GB2312" w:hAnsi="仿宋_GB2312" w:eastAsia="仿宋_GB2312" w:cs="仿宋_GB2312"/>
                <w:sz w:val="24"/>
                <w:lang w:bidi="ar"/>
              </w:rPr>
            </w:pPr>
            <w:r>
              <w:rPr>
                <w:rFonts w:hint="eastAsia" w:ascii="仿宋_GB2312" w:hAnsi="仿宋_GB2312" w:eastAsia="仿宋_GB2312" w:cs="仿宋_GB2312"/>
                <w:sz w:val="24"/>
                <w:lang w:bidi="ar"/>
              </w:rPr>
              <w:t>统筹主持标准编制工作</w:t>
            </w:r>
          </w:p>
        </w:tc>
      </w:tr>
      <w:tr w14:paraId="777027E3">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50" w:hRule="atLeast"/>
        </w:trPr>
        <w:tc>
          <w:tcPr>
            <w:tcW w:w="625" w:type="pct"/>
            <w:tcBorders>
              <w:top w:val="single" w:color="auto" w:sz="4" w:space="0"/>
              <w:left w:val="single" w:color="auto" w:sz="4" w:space="0"/>
              <w:bottom w:val="single" w:color="auto" w:sz="4" w:space="0"/>
            </w:tcBorders>
            <w:noWrap w:val="0"/>
            <w:vAlign w:val="center"/>
          </w:tcPr>
          <w:p w14:paraId="2BFF40ED">
            <w:pPr>
              <w:jc w:val="center"/>
              <w:rPr>
                <w:rFonts w:hint="eastAsia" w:ascii="仿宋_GB2312" w:hAnsi="仿宋_GB2312" w:eastAsia="仿宋_GB2312" w:cs="仿宋_GB2312"/>
                <w:sz w:val="24"/>
                <w:lang w:val="en-US" w:eastAsia="zh-CN" w:bidi="ar"/>
              </w:rPr>
            </w:pPr>
            <w:r>
              <w:rPr>
                <w:rFonts w:hint="eastAsia" w:ascii="仿宋_GB2312" w:hAnsi="仿宋_GB2312" w:eastAsia="仿宋_GB2312" w:cs="仿宋_GB2312"/>
                <w:sz w:val="24"/>
                <w:lang w:val="en-US" w:eastAsia="zh-CN" w:bidi="ar"/>
              </w:rPr>
              <w:t>王英辉</w:t>
            </w:r>
          </w:p>
        </w:tc>
        <w:tc>
          <w:tcPr>
            <w:tcW w:w="747" w:type="pct"/>
            <w:tcBorders>
              <w:top w:val="single" w:color="auto" w:sz="4" w:space="0"/>
              <w:bottom w:val="single" w:color="auto" w:sz="4" w:space="0"/>
            </w:tcBorders>
            <w:noWrap w:val="0"/>
            <w:vAlign w:val="center"/>
          </w:tcPr>
          <w:p w14:paraId="1DA45269">
            <w:pPr>
              <w:jc w:val="center"/>
              <w:rPr>
                <w:rFonts w:hint="eastAsia" w:ascii="仿宋_GB2312" w:hAnsi="仿宋_GB2312" w:eastAsia="仿宋_GB2312" w:cs="仿宋_GB2312"/>
                <w:sz w:val="24"/>
                <w:lang w:val="en-US" w:eastAsia="zh-CN" w:bidi="ar"/>
              </w:rPr>
            </w:pPr>
            <w:r>
              <w:rPr>
                <w:rFonts w:hint="eastAsia" w:ascii="仿宋_GB2312" w:hAnsi="仿宋_GB2312" w:eastAsia="仿宋_GB2312" w:cs="仿宋_GB2312"/>
                <w:sz w:val="24"/>
                <w:lang w:val="en-US" w:eastAsia="zh-CN" w:bidi="ar"/>
              </w:rPr>
              <w:t>教授</w:t>
            </w:r>
          </w:p>
        </w:tc>
        <w:tc>
          <w:tcPr>
            <w:tcW w:w="927" w:type="pct"/>
            <w:tcBorders>
              <w:top w:val="single" w:color="auto" w:sz="4" w:space="0"/>
              <w:bottom w:val="single" w:color="auto" w:sz="4" w:space="0"/>
            </w:tcBorders>
            <w:noWrap w:val="0"/>
            <w:vAlign w:val="center"/>
          </w:tcPr>
          <w:p w14:paraId="63515F1E">
            <w:pPr>
              <w:jc w:val="center"/>
              <w:rPr>
                <w:rFonts w:hint="default" w:ascii="仿宋_GB2312" w:hAnsi="仿宋_GB2312" w:eastAsia="仿宋_GB2312" w:cs="仿宋_GB2312"/>
                <w:sz w:val="24"/>
                <w:lang w:val="en-US" w:eastAsia="zh-CN" w:bidi="ar"/>
              </w:rPr>
            </w:pPr>
            <w:r>
              <w:rPr>
                <w:rFonts w:hint="eastAsia" w:ascii="仿宋_GB2312" w:hAnsi="仿宋_GB2312" w:eastAsia="仿宋_GB2312" w:cs="仿宋_GB2312"/>
                <w:sz w:val="24"/>
                <w:lang w:val="en-US" w:eastAsia="zh-CN" w:bidi="ar"/>
              </w:rPr>
              <w:t>碳排放管理研究</w:t>
            </w:r>
          </w:p>
        </w:tc>
        <w:tc>
          <w:tcPr>
            <w:tcW w:w="928" w:type="pct"/>
            <w:tcBorders>
              <w:top w:val="single" w:color="auto" w:sz="4" w:space="0"/>
              <w:bottom w:val="single" w:color="auto" w:sz="4" w:space="0"/>
            </w:tcBorders>
            <w:noWrap w:val="0"/>
            <w:vAlign w:val="center"/>
          </w:tcPr>
          <w:p w14:paraId="79EBAC21">
            <w:pPr>
              <w:jc w:val="center"/>
              <w:rPr>
                <w:rFonts w:ascii="仿宋_GB2312" w:hAnsi="仿宋_GB2312" w:eastAsia="仿宋_GB2312" w:cs="仿宋_GB2312"/>
                <w:sz w:val="24"/>
                <w:lang w:bidi="ar"/>
              </w:rPr>
            </w:pPr>
            <w:r>
              <w:rPr>
                <w:rFonts w:hint="eastAsia" w:ascii="仿宋_GB2312" w:hAnsi="仿宋_GB2312" w:eastAsia="仿宋_GB2312" w:cs="仿宋_GB2312"/>
                <w:sz w:val="24"/>
                <w:lang w:bidi="ar"/>
              </w:rPr>
              <w:t>广西产研院绿色低碳技术研究所有限公司</w:t>
            </w:r>
          </w:p>
        </w:tc>
        <w:tc>
          <w:tcPr>
            <w:tcW w:w="1771" w:type="pct"/>
            <w:tcBorders>
              <w:top w:val="single" w:color="auto" w:sz="4" w:space="0"/>
              <w:bottom w:val="single" w:color="auto" w:sz="4" w:space="0"/>
              <w:right w:val="single" w:color="auto" w:sz="4" w:space="0"/>
            </w:tcBorders>
            <w:noWrap w:val="0"/>
            <w:vAlign w:val="center"/>
          </w:tcPr>
          <w:p w14:paraId="44EEE2D6">
            <w:pPr>
              <w:jc w:val="left"/>
              <w:rPr>
                <w:rFonts w:hint="eastAsia" w:ascii="仿宋_GB2312" w:hAnsi="仿宋_GB2312" w:eastAsia="仿宋_GB2312" w:cs="仿宋_GB2312"/>
                <w:sz w:val="24"/>
                <w:lang w:bidi="ar"/>
              </w:rPr>
            </w:pPr>
            <w:r>
              <w:rPr>
                <w:rFonts w:hint="eastAsia" w:ascii="仿宋_GB2312" w:hAnsi="仿宋_GB2312" w:eastAsia="仿宋_GB2312" w:cs="仿宋_GB2312"/>
                <w:sz w:val="24"/>
                <w:lang w:bidi="ar"/>
              </w:rPr>
              <w:t>参与标准编制工作，组织人员进行标准发布后的宣贯培训。</w:t>
            </w:r>
          </w:p>
        </w:tc>
      </w:tr>
      <w:tr w14:paraId="696963FB">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50" w:hRule="atLeast"/>
        </w:trPr>
        <w:tc>
          <w:tcPr>
            <w:tcW w:w="625" w:type="pct"/>
            <w:tcBorders>
              <w:top w:val="single" w:color="auto" w:sz="4" w:space="0"/>
              <w:left w:val="single" w:color="auto" w:sz="4" w:space="0"/>
              <w:bottom w:val="single" w:color="auto" w:sz="4" w:space="0"/>
            </w:tcBorders>
            <w:noWrap w:val="0"/>
            <w:vAlign w:val="center"/>
          </w:tcPr>
          <w:p w14:paraId="7C822AD0">
            <w:pPr>
              <w:jc w:val="center"/>
              <w:rPr>
                <w:rFonts w:hint="eastAsia" w:ascii="仿宋_GB2312" w:hAnsi="仿宋_GB2312" w:eastAsia="仿宋_GB2312" w:cs="仿宋_GB2312"/>
                <w:sz w:val="24"/>
                <w:lang w:val="en-US" w:eastAsia="zh-CN" w:bidi="ar"/>
              </w:rPr>
            </w:pPr>
            <w:r>
              <w:rPr>
                <w:rFonts w:hint="eastAsia" w:ascii="仿宋_GB2312" w:hAnsi="仿宋_GB2312" w:eastAsia="仿宋_GB2312" w:cs="仿宋_GB2312"/>
                <w:sz w:val="24"/>
                <w:lang w:val="en-US" w:eastAsia="zh-CN" w:bidi="ar"/>
              </w:rPr>
              <w:t>鄢世阳</w:t>
            </w:r>
          </w:p>
        </w:tc>
        <w:tc>
          <w:tcPr>
            <w:tcW w:w="747" w:type="pct"/>
            <w:tcBorders>
              <w:top w:val="single" w:color="auto" w:sz="4" w:space="0"/>
              <w:bottom w:val="single" w:color="auto" w:sz="4" w:space="0"/>
            </w:tcBorders>
            <w:noWrap w:val="0"/>
            <w:vAlign w:val="center"/>
          </w:tcPr>
          <w:p w14:paraId="3AF53CD4">
            <w:pPr>
              <w:jc w:val="center"/>
              <w:rPr>
                <w:rFonts w:hint="eastAsia" w:ascii="仿宋_GB2312" w:hAnsi="仿宋_GB2312" w:eastAsia="仿宋_GB2312" w:cs="仿宋_GB2312"/>
                <w:sz w:val="24"/>
                <w:lang w:val="en-US" w:eastAsia="zh-CN" w:bidi="ar"/>
              </w:rPr>
            </w:pPr>
            <w:r>
              <w:rPr>
                <w:rFonts w:hint="eastAsia" w:ascii="仿宋_GB2312" w:hAnsi="仿宋_GB2312" w:eastAsia="仿宋_GB2312" w:cs="仿宋_GB2312"/>
                <w:sz w:val="24"/>
                <w:lang w:val="en-US" w:eastAsia="zh-CN" w:bidi="ar"/>
              </w:rPr>
              <w:t>工程师</w:t>
            </w:r>
          </w:p>
        </w:tc>
        <w:tc>
          <w:tcPr>
            <w:tcW w:w="927" w:type="pct"/>
            <w:tcBorders>
              <w:top w:val="single" w:color="auto" w:sz="4" w:space="0"/>
              <w:bottom w:val="single" w:color="auto" w:sz="4" w:space="0"/>
            </w:tcBorders>
            <w:noWrap w:val="0"/>
            <w:vAlign w:val="center"/>
          </w:tcPr>
          <w:p w14:paraId="12813971">
            <w:pPr>
              <w:jc w:val="center"/>
              <w:rPr>
                <w:rFonts w:hint="default" w:ascii="仿宋_GB2312" w:hAnsi="仿宋_GB2312" w:eastAsia="仿宋_GB2312" w:cs="仿宋_GB2312"/>
                <w:sz w:val="24"/>
                <w:lang w:val="en-US" w:eastAsia="zh-CN" w:bidi="ar"/>
              </w:rPr>
            </w:pPr>
            <w:r>
              <w:rPr>
                <w:rFonts w:hint="eastAsia" w:ascii="仿宋_GB2312" w:hAnsi="仿宋_GB2312" w:eastAsia="仿宋_GB2312" w:cs="仿宋_GB2312"/>
                <w:sz w:val="24"/>
                <w:lang w:val="en-US" w:eastAsia="zh-CN" w:bidi="ar"/>
              </w:rPr>
              <w:t>公众低碳行为研究</w:t>
            </w:r>
          </w:p>
        </w:tc>
        <w:tc>
          <w:tcPr>
            <w:tcW w:w="928" w:type="pct"/>
            <w:tcBorders>
              <w:top w:val="single" w:color="auto" w:sz="4" w:space="0"/>
              <w:bottom w:val="single" w:color="auto" w:sz="4" w:space="0"/>
            </w:tcBorders>
            <w:noWrap w:val="0"/>
            <w:vAlign w:val="center"/>
          </w:tcPr>
          <w:p w14:paraId="3CB00CAB">
            <w:pPr>
              <w:jc w:val="center"/>
              <w:rPr>
                <w:rFonts w:ascii="仿宋_GB2312" w:hAnsi="仿宋_GB2312" w:eastAsia="仿宋_GB2312" w:cs="仿宋_GB2312"/>
                <w:sz w:val="24"/>
                <w:lang w:bidi="ar"/>
              </w:rPr>
            </w:pPr>
            <w:r>
              <w:rPr>
                <w:rFonts w:hint="eastAsia" w:ascii="仿宋_GB2312" w:hAnsi="仿宋_GB2312" w:eastAsia="仿宋_GB2312" w:cs="仿宋_GB2312"/>
                <w:sz w:val="24"/>
                <w:lang w:val="en-US" w:eastAsia="zh-CN" w:bidi="ar"/>
              </w:rPr>
              <w:t>广西壮族自治区环境保护科学研究院</w:t>
            </w:r>
          </w:p>
        </w:tc>
        <w:tc>
          <w:tcPr>
            <w:tcW w:w="1771" w:type="pct"/>
            <w:tcBorders>
              <w:top w:val="single" w:color="auto" w:sz="4" w:space="0"/>
              <w:bottom w:val="single" w:color="auto" w:sz="4" w:space="0"/>
              <w:right w:val="single" w:color="auto" w:sz="4" w:space="0"/>
            </w:tcBorders>
            <w:noWrap w:val="0"/>
            <w:vAlign w:val="center"/>
          </w:tcPr>
          <w:p w14:paraId="118B9BD4">
            <w:pPr>
              <w:jc w:val="left"/>
              <w:rPr>
                <w:rFonts w:hint="eastAsia" w:ascii="仿宋_GB2312" w:hAnsi="仿宋_GB2312" w:eastAsia="仿宋_GB2312" w:cs="仿宋_GB2312"/>
                <w:sz w:val="24"/>
                <w:lang w:bidi="ar"/>
              </w:rPr>
            </w:pPr>
            <w:r>
              <w:rPr>
                <w:rFonts w:hint="eastAsia" w:ascii="仿宋_GB2312" w:hAnsi="仿宋_GB2312" w:eastAsia="仿宋_GB2312" w:cs="仿宋_GB2312"/>
                <w:sz w:val="24"/>
                <w:lang w:bidi="ar"/>
              </w:rPr>
              <w:t>参与标准文本及编制说明编写，质量控制。</w:t>
            </w:r>
          </w:p>
        </w:tc>
      </w:tr>
      <w:tr w14:paraId="09498D7A">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50" w:hRule="atLeast"/>
        </w:trPr>
        <w:tc>
          <w:tcPr>
            <w:tcW w:w="625" w:type="pct"/>
            <w:tcBorders>
              <w:top w:val="single" w:color="auto" w:sz="4" w:space="0"/>
              <w:left w:val="single" w:color="auto" w:sz="4" w:space="0"/>
              <w:bottom w:val="single" w:color="auto" w:sz="4" w:space="0"/>
            </w:tcBorders>
            <w:noWrap w:val="0"/>
            <w:vAlign w:val="center"/>
          </w:tcPr>
          <w:p w14:paraId="1ED3BBD2">
            <w:pPr>
              <w:jc w:val="center"/>
              <w:rPr>
                <w:rFonts w:hint="eastAsia" w:ascii="仿宋_GB2312" w:hAnsi="仿宋_GB2312" w:eastAsia="仿宋_GB2312" w:cs="仿宋_GB2312"/>
                <w:sz w:val="24"/>
                <w:lang w:val="en-US" w:eastAsia="zh-CN" w:bidi="ar"/>
              </w:rPr>
            </w:pPr>
            <w:r>
              <w:rPr>
                <w:rFonts w:hint="eastAsia" w:ascii="仿宋_GB2312" w:hAnsi="仿宋_GB2312" w:eastAsia="仿宋_GB2312" w:cs="仿宋_GB2312"/>
                <w:sz w:val="24"/>
                <w:lang w:val="en-US" w:eastAsia="zh-CN" w:bidi="ar"/>
              </w:rPr>
              <w:t>李锐龙</w:t>
            </w:r>
          </w:p>
        </w:tc>
        <w:tc>
          <w:tcPr>
            <w:tcW w:w="747" w:type="pct"/>
            <w:tcBorders>
              <w:top w:val="single" w:color="auto" w:sz="4" w:space="0"/>
              <w:bottom w:val="single" w:color="auto" w:sz="4" w:space="0"/>
            </w:tcBorders>
            <w:noWrap w:val="0"/>
            <w:vAlign w:val="center"/>
          </w:tcPr>
          <w:p w14:paraId="6E1220FE">
            <w:pPr>
              <w:jc w:val="center"/>
              <w:rPr>
                <w:rFonts w:hint="eastAsia" w:ascii="仿宋_GB2312" w:hAnsi="仿宋_GB2312" w:eastAsia="仿宋_GB2312" w:cs="仿宋_GB2312"/>
                <w:sz w:val="24"/>
                <w:lang w:val="en-US" w:eastAsia="zh-CN" w:bidi="ar"/>
              </w:rPr>
            </w:pPr>
            <w:r>
              <w:rPr>
                <w:rFonts w:hint="eastAsia" w:ascii="仿宋_GB2312" w:hAnsi="仿宋_GB2312" w:eastAsia="仿宋_GB2312" w:cs="仿宋_GB2312"/>
                <w:sz w:val="24"/>
                <w:lang w:val="en-US" w:eastAsia="zh-CN" w:bidi="ar"/>
              </w:rPr>
              <w:t>副教授</w:t>
            </w:r>
          </w:p>
        </w:tc>
        <w:tc>
          <w:tcPr>
            <w:tcW w:w="927" w:type="pct"/>
            <w:tcBorders>
              <w:top w:val="single" w:color="auto" w:sz="4" w:space="0"/>
              <w:bottom w:val="single" w:color="auto" w:sz="4" w:space="0"/>
            </w:tcBorders>
            <w:noWrap w:val="0"/>
            <w:vAlign w:val="center"/>
          </w:tcPr>
          <w:p w14:paraId="34861146">
            <w:pPr>
              <w:jc w:val="center"/>
              <w:rPr>
                <w:rFonts w:hint="default" w:ascii="仿宋_GB2312" w:hAnsi="仿宋_GB2312" w:eastAsia="仿宋_GB2312" w:cs="仿宋_GB2312"/>
                <w:sz w:val="24"/>
                <w:lang w:val="en-US" w:eastAsia="zh-CN" w:bidi="ar"/>
              </w:rPr>
            </w:pPr>
            <w:r>
              <w:rPr>
                <w:rFonts w:hint="eastAsia" w:ascii="仿宋_GB2312" w:hAnsi="仿宋_GB2312" w:eastAsia="仿宋_GB2312" w:cs="仿宋_GB2312"/>
                <w:sz w:val="24"/>
                <w:lang w:val="en-US" w:eastAsia="zh-CN" w:bidi="ar"/>
              </w:rPr>
              <w:t>温室气体监测</w:t>
            </w:r>
          </w:p>
        </w:tc>
        <w:tc>
          <w:tcPr>
            <w:tcW w:w="928" w:type="pct"/>
            <w:tcBorders>
              <w:top w:val="single" w:color="auto" w:sz="4" w:space="0"/>
              <w:bottom w:val="single" w:color="auto" w:sz="4" w:space="0"/>
            </w:tcBorders>
            <w:noWrap w:val="0"/>
            <w:vAlign w:val="center"/>
          </w:tcPr>
          <w:p w14:paraId="0D72F64B">
            <w:pPr>
              <w:jc w:val="center"/>
              <w:rPr>
                <w:rFonts w:hint="default" w:ascii="仿宋_GB2312" w:hAnsi="仿宋_GB2312" w:eastAsia="仿宋_GB2312" w:cs="仿宋_GB2312"/>
                <w:sz w:val="24"/>
                <w:lang w:val="en-US" w:eastAsia="zh-CN" w:bidi="ar"/>
              </w:rPr>
            </w:pPr>
            <w:r>
              <w:rPr>
                <w:rFonts w:hint="eastAsia" w:ascii="仿宋_GB2312" w:hAnsi="仿宋_GB2312" w:eastAsia="仿宋_GB2312" w:cs="仿宋_GB2312"/>
                <w:sz w:val="24"/>
                <w:lang w:val="en-US" w:eastAsia="zh-CN" w:bidi="ar"/>
              </w:rPr>
              <w:t>广西大学</w:t>
            </w:r>
          </w:p>
        </w:tc>
        <w:tc>
          <w:tcPr>
            <w:tcW w:w="1771" w:type="pct"/>
            <w:tcBorders>
              <w:top w:val="single" w:color="auto" w:sz="4" w:space="0"/>
              <w:bottom w:val="single" w:color="auto" w:sz="4" w:space="0"/>
              <w:right w:val="single" w:color="auto" w:sz="4" w:space="0"/>
            </w:tcBorders>
            <w:noWrap w:val="0"/>
            <w:vAlign w:val="center"/>
          </w:tcPr>
          <w:p w14:paraId="2F49D769">
            <w:pPr>
              <w:jc w:val="left"/>
              <w:rPr>
                <w:rFonts w:hint="eastAsia" w:ascii="仿宋_GB2312" w:hAnsi="仿宋_GB2312" w:eastAsia="仿宋_GB2312" w:cs="仿宋_GB2312"/>
                <w:sz w:val="24"/>
                <w:lang w:bidi="ar"/>
              </w:rPr>
            </w:pPr>
            <w:r>
              <w:rPr>
                <w:rFonts w:hint="eastAsia" w:ascii="仿宋_GB2312" w:hAnsi="仿宋_GB2312" w:eastAsia="仿宋_GB2312" w:cs="仿宋_GB2312"/>
                <w:sz w:val="24"/>
                <w:lang w:bidi="ar"/>
              </w:rPr>
              <w:t>参与标准文本及编制说明的编写；组织开展标准征求意见会；对标准实施情况进行总结分析，不断对地方标准提出修正意见。</w:t>
            </w:r>
          </w:p>
        </w:tc>
      </w:tr>
      <w:tr w14:paraId="1515B580">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50" w:hRule="atLeast"/>
        </w:trPr>
        <w:tc>
          <w:tcPr>
            <w:tcW w:w="625" w:type="pct"/>
            <w:tcBorders>
              <w:top w:val="single" w:color="auto" w:sz="4" w:space="0"/>
              <w:left w:val="single" w:color="auto" w:sz="4" w:space="0"/>
              <w:bottom w:val="single" w:color="auto" w:sz="4" w:space="0"/>
            </w:tcBorders>
            <w:noWrap w:val="0"/>
            <w:vAlign w:val="center"/>
          </w:tcPr>
          <w:p w14:paraId="13237DEB">
            <w:pPr>
              <w:jc w:val="center"/>
              <w:rPr>
                <w:rFonts w:hint="eastAsia" w:ascii="仿宋_GB2312" w:hAnsi="仿宋_GB2312" w:eastAsia="仿宋_GB2312" w:cs="仿宋_GB2312"/>
                <w:sz w:val="24"/>
                <w:lang w:val="en-US" w:eastAsia="zh-CN" w:bidi="ar"/>
              </w:rPr>
            </w:pPr>
            <w:r>
              <w:rPr>
                <w:rFonts w:hint="eastAsia" w:ascii="仿宋_GB2312" w:hAnsi="仿宋_GB2312" w:eastAsia="仿宋_GB2312" w:cs="仿宋_GB2312"/>
                <w:sz w:val="24"/>
                <w:lang w:val="en-US" w:eastAsia="zh-CN" w:bidi="ar"/>
              </w:rPr>
              <w:t>彭小玉</w:t>
            </w:r>
          </w:p>
        </w:tc>
        <w:tc>
          <w:tcPr>
            <w:tcW w:w="747" w:type="pct"/>
            <w:tcBorders>
              <w:top w:val="single" w:color="auto" w:sz="4" w:space="0"/>
              <w:bottom w:val="single" w:color="auto" w:sz="4" w:space="0"/>
            </w:tcBorders>
            <w:noWrap w:val="0"/>
            <w:vAlign w:val="center"/>
          </w:tcPr>
          <w:p w14:paraId="748FFD4C">
            <w:pPr>
              <w:jc w:val="center"/>
              <w:rPr>
                <w:rFonts w:hint="eastAsia" w:ascii="仿宋_GB2312" w:hAnsi="仿宋_GB2312" w:eastAsia="仿宋_GB2312" w:cs="仿宋_GB2312"/>
                <w:sz w:val="24"/>
                <w:lang w:val="en-US" w:eastAsia="zh-CN" w:bidi="ar"/>
              </w:rPr>
            </w:pPr>
            <w:r>
              <w:rPr>
                <w:rFonts w:hint="eastAsia" w:ascii="仿宋_GB2312" w:hAnsi="仿宋_GB2312" w:eastAsia="仿宋_GB2312" w:cs="仿宋_GB2312"/>
                <w:sz w:val="24"/>
                <w:lang w:val="en-US" w:eastAsia="zh-CN" w:bidi="ar"/>
              </w:rPr>
              <w:t>高级工程师</w:t>
            </w:r>
          </w:p>
        </w:tc>
        <w:tc>
          <w:tcPr>
            <w:tcW w:w="927" w:type="pct"/>
            <w:tcBorders>
              <w:top w:val="single" w:color="auto" w:sz="4" w:space="0"/>
              <w:bottom w:val="single" w:color="auto" w:sz="4" w:space="0"/>
            </w:tcBorders>
            <w:noWrap w:val="0"/>
            <w:vAlign w:val="center"/>
          </w:tcPr>
          <w:p w14:paraId="64FDE82B">
            <w:pPr>
              <w:jc w:val="center"/>
              <w:rPr>
                <w:rFonts w:hint="default" w:ascii="仿宋_GB2312" w:hAnsi="仿宋_GB2312" w:eastAsia="仿宋_GB2312" w:cs="仿宋_GB2312"/>
                <w:sz w:val="24"/>
                <w:lang w:val="en-US" w:eastAsia="zh-CN" w:bidi="ar"/>
              </w:rPr>
            </w:pPr>
            <w:r>
              <w:rPr>
                <w:rFonts w:hint="eastAsia" w:ascii="仿宋_GB2312" w:hAnsi="仿宋_GB2312" w:eastAsia="仿宋_GB2312" w:cs="仿宋_GB2312"/>
                <w:sz w:val="24"/>
                <w:lang w:val="en-US" w:eastAsia="zh-CN" w:bidi="ar"/>
              </w:rPr>
              <w:t>城市温室气体碳减排管控</w:t>
            </w:r>
          </w:p>
        </w:tc>
        <w:tc>
          <w:tcPr>
            <w:tcW w:w="928" w:type="pct"/>
            <w:tcBorders>
              <w:top w:val="single" w:color="auto" w:sz="4" w:space="0"/>
              <w:bottom w:val="single" w:color="auto" w:sz="4" w:space="0"/>
            </w:tcBorders>
            <w:noWrap w:val="0"/>
            <w:vAlign w:val="center"/>
          </w:tcPr>
          <w:p w14:paraId="32CB71CD">
            <w:pPr>
              <w:jc w:val="center"/>
              <w:rPr>
                <w:rFonts w:ascii="仿宋_GB2312" w:hAnsi="仿宋_GB2312" w:eastAsia="仿宋_GB2312" w:cs="仿宋_GB2312"/>
                <w:sz w:val="24"/>
                <w:lang w:bidi="ar"/>
              </w:rPr>
            </w:pPr>
            <w:r>
              <w:rPr>
                <w:rFonts w:hint="eastAsia" w:ascii="仿宋_GB2312" w:hAnsi="仿宋_GB2312" w:eastAsia="仿宋_GB2312" w:cs="仿宋_GB2312"/>
                <w:sz w:val="24"/>
                <w:lang w:val="en-US" w:eastAsia="zh-CN" w:bidi="ar"/>
              </w:rPr>
              <w:t>广西壮族自治区环境保护科学研究院</w:t>
            </w:r>
          </w:p>
        </w:tc>
        <w:tc>
          <w:tcPr>
            <w:tcW w:w="1771" w:type="pct"/>
            <w:tcBorders>
              <w:top w:val="single" w:color="auto" w:sz="4" w:space="0"/>
              <w:bottom w:val="single" w:color="auto" w:sz="4" w:space="0"/>
              <w:right w:val="single" w:color="auto" w:sz="4" w:space="0"/>
            </w:tcBorders>
            <w:noWrap w:val="0"/>
            <w:vAlign w:val="center"/>
          </w:tcPr>
          <w:p w14:paraId="5142EBFE">
            <w:pPr>
              <w:jc w:val="left"/>
              <w:rPr>
                <w:rFonts w:hint="eastAsia" w:ascii="仿宋_GB2312" w:hAnsi="仿宋_GB2312" w:eastAsia="仿宋_GB2312" w:cs="仿宋_GB2312"/>
                <w:sz w:val="24"/>
                <w:lang w:bidi="ar"/>
              </w:rPr>
            </w:pPr>
            <w:r>
              <w:rPr>
                <w:rFonts w:hint="eastAsia" w:ascii="仿宋_GB2312" w:hAnsi="仿宋_GB2312" w:eastAsia="仿宋_GB2312" w:cs="仿宋_GB2312"/>
                <w:sz w:val="24"/>
                <w:lang w:bidi="ar"/>
              </w:rPr>
              <w:t>参与标准文本及编制说明的编写；组织开展标准征求意见会；对标准实施情况进行总结分析，不断对地方标准提出修正意见。</w:t>
            </w:r>
          </w:p>
        </w:tc>
      </w:tr>
      <w:tr w14:paraId="5FBEA492">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50" w:hRule="atLeast"/>
        </w:trPr>
        <w:tc>
          <w:tcPr>
            <w:tcW w:w="625" w:type="pct"/>
            <w:tcBorders>
              <w:top w:val="single" w:color="auto" w:sz="4" w:space="0"/>
              <w:left w:val="single" w:color="auto" w:sz="4" w:space="0"/>
              <w:bottom w:val="single" w:color="auto" w:sz="4" w:space="0"/>
            </w:tcBorders>
            <w:noWrap w:val="0"/>
            <w:vAlign w:val="center"/>
          </w:tcPr>
          <w:p w14:paraId="02057341">
            <w:pPr>
              <w:jc w:val="center"/>
              <w:rPr>
                <w:rFonts w:hint="eastAsia" w:ascii="仿宋_GB2312" w:hAnsi="仿宋_GB2312" w:eastAsia="仿宋_GB2312" w:cs="仿宋_GB2312"/>
                <w:sz w:val="24"/>
                <w:lang w:val="en-US" w:eastAsia="zh-CN" w:bidi="ar"/>
              </w:rPr>
            </w:pPr>
            <w:r>
              <w:rPr>
                <w:rFonts w:hint="eastAsia" w:ascii="仿宋_GB2312" w:hAnsi="仿宋_GB2312" w:eastAsia="仿宋_GB2312" w:cs="仿宋_GB2312"/>
                <w:sz w:val="24"/>
                <w:lang w:val="en-US" w:eastAsia="zh-CN" w:bidi="ar"/>
              </w:rPr>
              <w:t>陈雪梅</w:t>
            </w:r>
          </w:p>
        </w:tc>
        <w:tc>
          <w:tcPr>
            <w:tcW w:w="747" w:type="pct"/>
            <w:tcBorders>
              <w:top w:val="single" w:color="auto" w:sz="4" w:space="0"/>
              <w:bottom w:val="single" w:color="auto" w:sz="4" w:space="0"/>
            </w:tcBorders>
            <w:noWrap w:val="0"/>
            <w:vAlign w:val="center"/>
          </w:tcPr>
          <w:p w14:paraId="730070AE">
            <w:pPr>
              <w:jc w:val="center"/>
              <w:rPr>
                <w:rFonts w:ascii="仿宋_GB2312" w:hAnsi="仿宋_GB2312" w:eastAsia="仿宋_GB2312" w:cs="仿宋_GB2312"/>
                <w:sz w:val="24"/>
                <w:lang w:bidi="ar"/>
              </w:rPr>
            </w:pPr>
            <w:r>
              <w:rPr>
                <w:rFonts w:hint="eastAsia" w:ascii="仿宋_GB2312" w:hAnsi="仿宋_GB2312" w:eastAsia="仿宋_GB2312" w:cs="仿宋_GB2312"/>
                <w:sz w:val="24"/>
                <w:lang w:val="en-US" w:eastAsia="zh-CN" w:bidi="ar"/>
              </w:rPr>
              <w:t>高级工程师</w:t>
            </w:r>
          </w:p>
        </w:tc>
        <w:tc>
          <w:tcPr>
            <w:tcW w:w="927" w:type="pct"/>
            <w:tcBorders>
              <w:top w:val="single" w:color="auto" w:sz="4" w:space="0"/>
              <w:bottom w:val="single" w:color="auto" w:sz="4" w:space="0"/>
            </w:tcBorders>
            <w:noWrap w:val="0"/>
            <w:vAlign w:val="center"/>
          </w:tcPr>
          <w:p w14:paraId="49B8EA9E">
            <w:pPr>
              <w:jc w:val="center"/>
              <w:rPr>
                <w:rFonts w:hint="default" w:ascii="仿宋_GB2312" w:hAnsi="仿宋_GB2312" w:eastAsia="仿宋_GB2312" w:cs="仿宋_GB2312"/>
                <w:sz w:val="24"/>
                <w:lang w:val="en-US" w:eastAsia="zh-CN" w:bidi="ar"/>
              </w:rPr>
            </w:pPr>
            <w:r>
              <w:rPr>
                <w:rFonts w:hint="eastAsia" w:ascii="仿宋_GB2312" w:hAnsi="仿宋_GB2312" w:eastAsia="仿宋_GB2312" w:cs="仿宋_GB2312"/>
                <w:sz w:val="24"/>
                <w:lang w:val="en-US" w:eastAsia="zh-CN" w:bidi="ar"/>
              </w:rPr>
              <w:t>工业领域减污降碳治理</w:t>
            </w:r>
          </w:p>
        </w:tc>
        <w:tc>
          <w:tcPr>
            <w:tcW w:w="928" w:type="pct"/>
            <w:tcBorders>
              <w:top w:val="single" w:color="auto" w:sz="4" w:space="0"/>
              <w:bottom w:val="single" w:color="auto" w:sz="4" w:space="0"/>
            </w:tcBorders>
            <w:noWrap w:val="0"/>
            <w:vAlign w:val="center"/>
          </w:tcPr>
          <w:p w14:paraId="61371EFD">
            <w:pPr>
              <w:jc w:val="center"/>
              <w:rPr>
                <w:rFonts w:ascii="仿宋_GB2312" w:hAnsi="仿宋_GB2312" w:eastAsia="仿宋_GB2312" w:cs="仿宋_GB2312"/>
                <w:sz w:val="24"/>
                <w:lang w:bidi="ar"/>
              </w:rPr>
            </w:pPr>
            <w:r>
              <w:rPr>
                <w:rFonts w:hint="eastAsia" w:ascii="仿宋_GB2312" w:hAnsi="仿宋_GB2312" w:eastAsia="仿宋_GB2312" w:cs="仿宋_GB2312"/>
                <w:sz w:val="24"/>
                <w:lang w:val="en-US" w:eastAsia="zh-CN" w:bidi="ar"/>
              </w:rPr>
              <w:t>广西壮族自治区环境保护科学研究院</w:t>
            </w:r>
          </w:p>
        </w:tc>
        <w:tc>
          <w:tcPr>
            <w:tcW w:w="1771" w:type="pct"/>
            <w:tcBorders>
              <w:top w:val="single" w:color="auto" w:sz="4" w:space="0"/>
              <w:bottom w:val="single" w:color="auto" w:sz="4" w:space="0"/>
              <w:right w:val="single" w:color="auto" w:sz="4" w:space="0"/>
            </w:tcBorders>
            <w:noWrap w:val="0"/>
            <w:vAlign w:val="center"/>
          </w:tcPr>
          <w:p w14:paraId="1E32E42A">
            <w:pPr>
              <w:jc w:val="left"/>
            </w:pPr>
            <w:r>
              <w:rPr>
                <w:rFonts w:hint="eastAsia" w:ascii="仿宋_GB2312" w:hAnsi="仿宋_GB2312" w:eastAsia="仿宋_GB2312" w:cs="仿宋_GB2312"/>
                <w:sz w:val="24"/>
                <w:lang w:bidi="ar"/>
              </w:rPr>
              <w:t>参与标准文本及编制说明的编写；组织开展标准征求意见会；对标准实施情况进行总结分析，不断对地方标准提出修正意见。</w:t>
            </w:r>
          </w:p>
        </w:tc>
      </w:tr>
      <w:tr w14:paraId="2DE8EA29">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50" w:hRule="atLeast"/>
        </w:trPr>
        <w:tc>
          <w:tcPr>
            <w:tcW w:w="625" w:type="pct"/>
            <w:tcBorders>
              <w:top w:val="single" w:color="auto" w:sz="4" w:space="0"/>
              <w:left w:val="single" w:color="auto" w:sz="4" w:space="0"/>
              <w:bottom w:val="single" w:color="auto" w:sz="4" w:space="0"/>
            </w:tcBorders>
            <w:noWrap w:val="0"/>
            <w:vAlign w:val="center"/>
          </w:tcPr>
          <w:p w14:paraId="5EB12C7E">
            <w:pPr>
              <w:jc w:val="center"/>
              <w:rPr>
                <w:rFonts w:hint="eastAsia" w:ascii="仿宋_GB2312" w:hAnsi="仿宋_GB2312" w:eastAsia="仿宋_GB2312" w:cs="仿宋_GB2312"/>
                <w:sz w:val="24"/>
                <w:lang w:val="en-US" w:eastAsia="zh-CN" w:bidi="ar"/>
              </w:rPr>
            </w:pPr>
            <w:r>
              <w:rPr>
                <w:rFonts w:hint="eastAsia" w:ascii="仿宋_GB2312" w:hAnsi="仿宋_GB2312" w:eastAsia="仿宋_GB2312" w:cs="仿宋_GB2312"/>
                <w:sz w:val="24"/>
                <w:lang w:val="en-US" w:eastAsia="zh-CN" w:bidi="ar"/>
              </w:rPr>
              <w:t>李宏姣</w:t>
            </w:r>
          </w:p>
        </w:tc>
        <w:tc>
          <w:tcPr>
            <w:tcW w:w="747" w:type="pct"/>
            <w:tcBorders>
              <w:top w:val="single" w:color="auto" w:sz="4" w:space="0"/>
              <w:bottom w:val="single" w:color="auto" w:sz="4" w:space="0"/>
            </w:tcBorders>
            <w:noWrap w:val="0"/>
            <w:vAlign w:val="center"/>
          </w:tcPr>
          <w:p w14:paraId="510CC709">
            <w:pPr>
              <w:jc w:val="center"/>
              <w:rPr>
                <w:rFonts w:ascii="仿宋_GB2312" w:hAnsi="仿宋_GB2312" w:eastAsia="仿宋_GB2312" w:cs="仿宋_GB2312"/>
                <w:sz w:val="24"/>
                <w:lang w:bidi="ar"/>
              </w:rPr>
            </w:pPr>
            <w:r>
              <w:rPr>
                <w:rFonts w:hint="eastAsia" w:ascii="仿宋_GB2312" w:hAnsi="仿宋_GB2312" w:eastAsia="仿宋_GB2312" w:cs="仿宋_GB2312"/>
                <w:sz w:val="24"/>
                <w:lang w:val="en-US" w:eastAsia="zh-CN" w:bidi="ar"/>
              </w:rPr>
              <w:t>高级工程师</w:t>
            </w:r>
          </w:p>
        </w:tc>
        <w:tc>
          <w:tcPr>
            <w:tcW w:w="927" w:type="pct"/>
            <w:tcBorders>
              <w:top w:val="single" w:color="auto" w:sz="4" w:space="0"/>
              <w:bottom w:val="single" w:color="auto" w:sz="4" w:space="0"/>
            </w:tcBorders>
            <w:noWrap w:val="0"/>
            <w:vAlign w:val="center"/>
          </w:tcPr>
          <w:p w14:paraId="32C5512B">
            <w:pPr>
              <w:jc w:val="center"/>
              <w:rPr>
                <w:rFonts w:hint="default" w:ascii="仿宋_GB2312" w:hAnsi="仿宋_GB2312" w:eastAsia="仿宋_GB2312" w:cs="仿宋_GB2312"/>
                <w:sz w:val="24"/>
                <w:lang w:val="en-US" w:eastAsia="zh-CN" w:bidi="ar"/>
              </w:rPr>
            </w:pPr>
            <w:r>
              <w:rPr>
                <w:rFonts w:hint="eastAsia" w:ascii="仿宋_GB2312" w:hAnsi="仿宋_GB2312" w:eastAsia="仿宋_GB2312" w:cs="仿宋_GB2312"/>
                <w:sz w:val="24"/>
                <w:lang w:val="en-US" w:eastAsia="zh-CN" w:bidi="ar"/>
              </w:rPr>
              <w:t>碳减排量化监测</w:t>
            </w:r>
          </w:p>
        </w:tc>
        <w:tc>
          <w:tcPr>
            <w:tcW w:w="928" w:type="pct"/>
            <w:tcBorders>
              <w:top w:val="single" w:color="auto" w:sz="4" w:space="0"/>
              <w:bottom w:val="single" w:color="auto" w:sz="4" w:space="0"/>
            </w:tcBorders>
            <w:noWrap w:val="0"/>
            <w:vAlign w:val="center"/>
          </w:tcPr>
          <w:p w14:paraId="566FF624">
            <w:pPr>
              <w:jc w:val="center"/>
              <w:rPr>
                <w:rFonts w:ascii="仿宋_GB2312" w:hAnsi="仿宋_GB2312" w:eastAsia="仿宋_GB2312" w:cs="仿宋_GB2312"/>
                <w:sz w:val="24"/>
                <w:lang w:bidi="ar"/>
              </w:rPr>
            </w:pPr>
            <w:r>
              <w:rPr>
                <w:rFonts w:hint="eastAsia" w:ascii="仿宋_GB2312" w:hAnsi="仿宋_GB2312" w:eastAsia="仿宋_GB2312" w:cs="仿宋_GB2312"/>
                <w:sz w:val="24"/>
                <w:lang w:val="en-US" w:eastAsia="zh-CN" w:bidi="ar"/>
              </w:rPr>
              <w:t>广西壮族自治区环境保护科学研究院</w:t>
            </w:r>
          </w:p>
        </w:tc>
        <w:tc>
          <w:tcPr>
            <w:tcW w:w="1771" w:type="pct"/>
            <w:tcBorders>
              <w:top w:val="single" w:color="auto" w:sz="4" w:space="0"/>
              <w:bottom w:val="single" w:color="auto" w:sz="4" w:space="0"/>
              <w:right w:val="single" w:color="auto" w:sz="4" w:space="0"/>
            </w:tcBorders>
            <w:noWrap w:val="0"/>
            <w:vAlign w:val="center"/>
          </w:tcPr>
          <w:p w14:paraId="49D59BE5">
            <w:pPr>
              <w:jc w:val="left"/>
            </w:pPr>
            <w:r>
              <w:rPr>
                <w:rFonts w:hint="eastAsia" w:ascii="仿宋_GB2312" w:hAnsi="仿宋_GB2312" w:eastAsia="仿宋_GB2312" w:cs="仿宋_GB2312"/>
                <w:sz w:val="24"/>
                <w:lang w:bidi="ar"/>
              </w:rPr>
              <w:t>参与标准文本及编制说明的编写；组织开展标准征求意见会；对标准实施情况进行总结分析，不断对地方标准提出修正意见。</w:t>
            </w:r>
          </w:p>
        </w:tc>
      </w:tr>
      <w:tr w14:paraId="4DDCFF3F">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50" w:hRule="atLeast"/>
        </w:trPr>
        <w:tc>
          <w:tcPr>
            <w:tcW w:w="625" w:type="pct"/>
            <w:tcBorders>
              <w:top w:val="single" w:color="auto" w:sz="4" w:space="0"/>
              <w:left w:val="single" w:color="auto" w:sz="4" w:space="0"/>
              <w:bottom w:val="single" w:color="auto" w:sz="4" w:space="0"/>
            </w:tcBorders>
            <w:noWrap w:val="0"/>
            <w:vAlign w:val="center"/>
          </w:tcPr>
          <w:p w14:paraId="317554FA">
            <w:pPr>
              <w:jc w:val="center"/>
              <w:rPr>
                <w:rFonts w:hint="default" w:ascii="仿宋_GB2312" w:hAnsi="仿宋_GB2312" w:eastAsia="仿宋_GB2312" w:cs="仿宋_GB2312"/>
                <w:sz w:val="24"/>
                <w:lang w:val="en-US" w:eastAsia="zh-CN" w:bidi="ar"/>
              </w:rPr>
            </w:pPr>
            <w:r>
              <w:rPr>
                <w:rFonts w:hint="eastAsia" w:ascii="仿宋_GB2312" w:hAnsi="仿宋_GB2312" w:eastAsia="仿宋_GB2312" w:cs="仿宋_GB2312"/>
                <w:sz w:val="24"/>
                <w:lang w:val="en-US" w:eastAsia="zh-CN" w:bidi="ar"/>
              </w:rPr>
              <w:t>李泉</w:t>
            </w:r>
          </w:p>
        </w:tc>
        <w:tc>
          <w:tcPr>
            <w:tcW w:w="747" w:type="pct"/>
            <w:tcBorders>
              <w:top w:val="single" w:color="auto" w:sz="4" w:space="0"/>
              <w:bottom w:val="single" w:color="auto" w:sz="4" w:space="0"/>
            </w:tcBorders>
            <w:noWrap w:val="0"/>
            <w:vAlign w:val="center"/>
          </w:tcPr>
          <w:p w14:paraId="587E3BE4">
            <w:pPr>
              <w:jc w:val="center"/>
              <w:rPr>
                <w:rFonts w:hint="eastAsia" w:ascii="仿宋_GB2312" w:hAnsi="仿宋_GB2312" w:eastAsia="仿宋_GB2312" w:cs="仿宋_GB2312"/>
                <w:sz w:val="24"/>
                <w:lang w:val="en-US" w:eastAsia="zh-CN" w:bidi="ar"/>
              </w:rPr>
            </w:pPr>
            <w:r>
              <w:rPr>
                <w:rFonts w:hint="eastAsia" w:ascii="仿宋_GB2312" w:hAnsi="仿宋_GB2312" w:eastAsia="仿宋_GB2312" w:cs="仿宋_GB2312"/>
                <w:sz w:val="24"/>
                <w:lang w:val="en-US" w:eastAsia="zh-CN" w:bidi="ar"/>
              </w:rPr>
              <w:t>高级工程师</w:t>
            </w:r>
          </w:p>
        </w:tc>
        <w:tc>
          <w:tcPr>
            <w:tcW w:w="927" w:type="pct"/>
            <w:tcBorders>
              <w:top w:val="single" w:color="auto" w:sz="4" w:space="0"/>
              <w:bottom w:val="single" w:color="auto" w:sz="4" w:space="0"/>
            </w:tcBorders>
            <w:noWrap w:val="0"/>
            <w:vAlign w:val="center"/>
          </w:tcPr>
          <w:p w14:paraId="26799FFA">
            <w:pPr>
              <w:jc w:val="center"/>
              <w:rPr>
                <w:rFonts w:hint="default" w:ascii="仿宋_GB2312" w:hAnsi="仿宋_GB2312" w:eastAsia="仿宋_GB2312" w:cs="仿宋_GB2312"/>
                <w:sz w:val="24"/>
                <w:lang w:val="en-US" w:eastAsia="zh-CN" w:bidi="ar"/>
              </w:rPr>
            </w:pPr>
            <w:r>
              <w:rPr>
                <w:rFonts w:hint="eastAsia" w:ascii="仿宋_GB2312" w:hAnsi="仿宋_GB2312" w:eastAsia="仿宋_GB2312" w:cs="仿宋_GB2312"/>
                <w:sz w:val="24"/>
                <w:lang w:val="en-US" w:eastAsia="zh-CN" w:bidi="ar"/>
              </w:rPr>
              <w:t>温室气体监测</w:t>
            </w:r>
          </w:p>
        </w:tc>
        <w:tc>
          <w:tcPr>
            <w:tcW w:w="928" w:type="pct"/>
            <w:tcBorders>
              <w:top w:val="single" w:color="auto" w:sz="4" w:space="0"/>
              <w:bottom w:val="single" w:color="auto" w:sz="4" w:space="0"/>
            </w:tcBorders>
            <w:noWrap w:val="0"/>
            <w:vAlign w:val="center"/>
          </w:tcPr>
          <w:p w14:paraId="342D32A1">
            <w:pPr>
              <w:jc w:val="center"/>
              <w:rPr>
                <w:rFonts w:hint="eastAsia" w:ascii="仿宋_GB2312" w:hAnsi="仿宋_GB2312" w:eastAsia="仿宋_GB2312" w:cs="仿宋_GB2312"/>
                <w:sz w:val="24"/>
                <w:lang w:val="en-US" w:eastAsia="zh-CN" w:bidi="ar"/>
              </w:rPr>
            </w:pPr>
            <w:r>
              <w:rPr>
                <w:rFonts w:hint="eastAsia" w:ascii="仿宋_GB2312" w:hAnsi="仿宋_GB2312" w:eastAsia="仿宋_GB2312" w:cs="仿宋_GB2312"/>
                <w:sz w:val="24"/>
                <w:lang w:val="en-US" w:eastAsia="zh-CN" w:bidi="ar"/>
              </w:rPr>
              <w:t>广西壮族自治区分析测试研究中心</w:t>
            </w:r>
          </w:p>
        </w:tc>
        <w:tc>
          <w:tcPr>
            <w:tcW w:w="1771" w:type="pct"/>
            <w:tcBorders>
              <w:top w:val="single" w:color="auto" w:sz="4" w:space="0"/>
              <w:bottom w:val="single" w:color="auto" w:sz="4" w:space="0"/>
              <w:right w:val="single" w:color="auto" w:sz="4" w:space="0"/>
            </w:tcBorders>
            <w:noWrap w:val="0"/>
            <w:vAlign w:val="center"/>
          </w:tcPr>
          <w:p w14:paraId="35C6406C">
            <w:pPr>
              <w:jc w:val="left"/>
              <w:rPr>
                <w:rFonts w:hint="eastAsia" w:ascii="仿宋_GB2312" w:hAnsi="仿宋_GB2312" w:eastAsia="仿宋_GB2312" w:cs="仿宋_GB2312"/>
                <w:sz w:val="24"/>
                <w:lang w:bidi="ar"/>
              </w:rPr>
            </w:pPr>
            <w:r>
              <w:rPr>
                <w:rFonts w:hint="eastAsia" w:ascii="仿宋_GB2312" w:hAnsi="仿宋_GB2312" w:eastAsia="仿宋_GB2312" w:cs="仿宋_GB2312"/>
                <w:sz w:val="24"/>
                <w:lang w:bidi="ar"/>
              </w:rPr>
              <w:t>参与标准文本及编制说明的编写；组织开展标准征求意见会；对标准实施情况进行总结分析，不断对地方标准提出修正意见。</w:t>
            </w:r>
          </w:p>
        </w:tc>
      </w:tr>
      <w:tr w14:paraId="6326AE3C">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50" w:hRule="atLeast"/>
        </w:trPr>
        <w:tc>
          <w:tcPr>
            <w:tcW w:w="625" w:type="pct"/>
            <w:tcBorders>
              <w:top w:val="single" w:color="auto" w:sz="4" w:space="0"/>
              <w:left w:val="single" w:color="auto" w:sz="4" w:space="0"/>
              <w:bottom w:val="single" w:color="auto" w:sz="4" w:space="0"/>
            </w:tcBorders>
            <w:noWrap w:val="0"/>
            <w:vAlign w:val="center"/>
          </w:tcPr>
          <w:p w14:paraId="482F746C">
            <w:pPr>
              <w:jc w:val="center"/>
              <w:rPr>
                <w:rFonts w:hint="default" w:ascii="仿宋_GB2312" w:hAnsi="仿宋_GB2312" w:eastAsia="仿宋_GB2312" w:cs="仿宋_GB2312"/>
                <w:sz w:val="24"/>
                <w:lang w:val="en-US" w:eastAsia="zh-CN" w:bidi="ar"/>
              </w:rPr>
            </w:pPr>
            <w:r>
              <w:rPr>
                <w:rFonts w:hint="eastAsia" w:ascii="仿宋_GB2312" w:hAnsi="仿宋_GB2312" w:eastAsia="仿宋_GB2312" w:cs="仿宋_GB2312"/>
                <w:sz w:val="24"/>
                <w:lang w:val="en-US" w:eastAsia="zh-CN" w:bidi="ar"/>
              </w:rPr>
              <w:t>廖卉</w:t>
            </w:r>
          </w:p>
        </w:tc>
        <w:tc>
          <w:tcPr>
            <w:tcW w:w="747" w:type="pct"/>
            <w:tcBorders>
              <w:top w:val="single" w:color="auto" w:sz="4" w:space="0"/>
              <w:bottom w:val="single" w:color="auto" w:sz="4" w:space="0"/>
            </w:tcBorders>
            <w:noWrap w:val="0"/>
            <w:vAlign w:val="center"/>
          </w:tcPr>
          <w:p w14:paraId="69D676B5">
            <w:pPr>
              <w:jc w:val="center"/>
              <w:rPr>
                <w:rFonts w:hint="eastAsia" w:ascii="仿宋_GB2312" w:hAnsi="仿宋_GB2312" w:eastAsia="仿宋_GB2312" w:cs="仿宋_GB2312"/>
                <w:sz w:val="24"/>
                <w:lang w:val="en-US" w:eastAsia="zh-CN" w:bidi="ar"/>
              </w:rPr>
            </w:pPr>
            <w:r>
              <w:rPr>
                <w:rFonts w:hint="eastAsia" w:ascii="仿宋_GB2312" w:hAnsi="仿宋_GB2312" w:eastAsia="仿宋_GB2312" w:cs="仿宋_GB2312"/>
                <w:sz w:val="24"/>
                <w:lang w:val="en-US" w:eastAsia="zh-CN" w:bidi="ar"/>
              </w:rPr>
              <w:t>工程师</w:t>
            </w:r>
          </w:p>
        </w:tc>
        <w:tc>
          <w:tcPr>
            <w:tcW w:w="927" w:type="pct"/>
            <w:tcBorders>
              <w:top w:val="single" w:color="auto" w:sz="4" w:space="0"/>
              <w:bottom w:val="single" w:color="auto" w:sz="4" w:space="0"/>
            </w:tcBorders>
            <w:noWrap w:val="0"/>
            <w:vAlign w:val="center"/>
          </w:tcPr>
          <w:p w14:paraId="534E4CB1">
            <w:pPr>
              <w:jc w:val="center"/>
              <w:rPr>
                <w:rFonts w:hint="default" w:ascii="仿宋_GB2312" w:hAnsi="仿宋_GB2312" w:eastAsia="仿宋_GB2312" w:cs="仿宋_GB2312"/>
                <w:sz w:val="24"/>
                <w:lang w:val="en-US" w:eastAsia="zh-CN" w:bidi="ar"/>
              </w:rPr>
            </w:pPr>
            <w:r>
              <w:rPr>
                <w:rFonts w:hint="eastAsia" w:ascii="仿宋_GB2312" w:hAnsi="仿宋_GB2312" w:eastAsia="仿宋_GB2312" w:cs="仿宋_GB2312"/>
                <w:sz w:val="24"/>
                <w:lang w:val="en-US" w:eastAsia="zh-CN" w:bidi="ar"/>
              </w:rPr>
              <w:t>温室气体排放清单研究</w:t>
            </w:r>
          </w:p>
        </w:tc>
        <w:tc>
          <w:tcPr>
            <w:tcW w:w="928" w:type="pct"/>
            <w:tcBorders>
              <w:top w:val="single" w:color="auto" w:sz="4" w:space="0"/>
              <w:bottom w:val="single" w:color="auto" w:sz="4" w:space="0"/>
            </w:tcBorders>
            <w:noWrap w:val="0"/>
            <w:vAlign w:val="center"/>
          </w:tcPr>
          <w:p w14:paraId="777CBCD1">
            <w:pPr>
              <w:jc w:val="center"/>
              <w:rPr>
                <w:rFonts w:ascii="仿宋_GB2312" w:hAnsi="仿宋_GB2312" w:eastAsia="仿宋_GB2312" w:cs="仿宋_GB2312"/>
                <w:sz w:val="24"/>
                <w:lang w:bidi="ar"/>
              </w:rPr>
            </w:pPr>
            <w:r>
              <w:rPr>
                <w:rFonts w:hint="eastAsia" w:ascii="仿宋_GB2312" w:hAnsi="仿宋_GB2312" w:eastAsia="仿宋_GB2312" w:cs="仿宋_GB2312"/>
                <w:sz w:val="24"/>
                <w:lang w:val="en-US" w:eastAsia="zh-CN" w:bidi="ar"/>
              </w:rPr>
              <w:t>广西壮族自治区环境保护科学研究院</w:t>
            </w:r>
          </w:p>
        </w:tc>
        <w:tc>
          <w:tcPr>
            <w:tcW w:w="1771" w:type="pct"/>
            <w:tcBorders>
              <w:top w:val="single" w:color="auto" w:sz="4" w:space="0"/>
              <w:bottom w:val="single" w:color="auto" w:sz="4" w:space="0"/>
              <w:right w:val="single" w:color="auto" w:sz="4" w:space="0"/>
            </w:tcBorders>
            <w:noWrap w:val="0"/>
            <w:vAlign w:val="center"/>
          </w:tcPr>
          <w:p w14:paraId="5B02C747">
            <w:pPr>
              <w:jc w:val="left"/>
              <w:rPr>
                <w:rFonts w:hint="eastAsia" w:ascii="仿宋_GB2312" w:hAnsi="仿宋_GB2312" w:eastAsia="仿宋_GB2312" w:cs="仿宋_GB2312"/>
                <w:sz w:val="24"/>
                <w:lang w:bidi="ar"/>
              </w:rPr>
            </w:pPr>
            <w:r>
              <w:rPr>
                <w:rFonts w:hint="eastAsia" w:ascii="仿宋_GB2312" w:hAnsi="仿宋_GB2312" w:eastAsia="仿宋_GB2312" w:cs="仿宋_GB2312"/>
                <w:sz w:val="24"/>
                <w:lang w:bidi="ar"/>
              </w:rPr>
              <w:t>参与标准文本及编制说明的编写；组织开展标准征求意见会；对标准实施情况进行总结分析，不断对地方标准提出修正意见。</w:t>
            </w:r>
          </w:p>
        </w:tc>
      </w:tr>
      <w:tr w14:paraId="05CE4306">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50" w:hRule="atLeast"/>
        </w:trPr>
        <w:tc>
          <w:tcPr>
            <w:tcW w:w="625" w:type="pct"/>
            <w:tcBorders>
              <w:top w:val="single" w:color="auto" w:sz="4" w:space="0"/>
              <w:left w:val="single" w:color="auto" w:sz="4" w:space="0"/>
              <w:bottom w:val="single" w:color="auto" w:sz="4" w:space="0"/>
            </w:tcBorders>
            <w:noWrap w:val="0"/>
            <w:vAlign w:val="center"/>
          </w:tcPr>
          <w:p w14:paraId="55526F67">
            <w:pPr>
              <w:jc w:val="center"/>
              <w:rPr>
                <w:rFonts w:hint="eastAsia" w:ascii="仿宋_GB2312" w:hAnsi="仿宋_GB2312" w:eastAsia="仿宋_GB2312" w:cs="仿宋_GB2312"/>
                <w:sz w:val="24"/>
                <w:lang w:val="en-US" w:eastAsia="zh-CN" w:bidi="ar"/>
              </w:rPr>
            </w:pPr>
            <w:r>
              <w:rPr>
                <w:rFonts w:hint="eastAsia" w:ascii="仿宋_GB2312" w:hAnsi="仿宋_GB2312" w:eastAsia="仿宋_GB2312" w:cs="仿宋_GB2312"/>
                <w:sz w:val="24"/>
                <w:lang w:val="en-US" w:eastAsia="zh-CN" w:bidi="ar"/>
              </w:rPr>
              <w:t>李昊</w:t>
            </w:r>
          </w:p>
        </w:tc>
        <w:tc>
          <w:tcPr>
            <w:tcW w:w="747" w:type="pct"/>
            <w:tcBorders>
              <w:top w:val="single" w:color="auto" w:sz="4" w:space="0"/>
              <w:bottom w:val="single" w:color="auto" w:sz="4" w:space="0"/>
            </w:tcBorders>
            <w:noWrap w:val="0"/>
            <w:vAlign w:val="center"/>
          </w:tcPr>
          <w:p w14:paraId="6A270BE6">
            <w:pPr>
              <w:jc w:val="center"/>
              <w:rPr>
                <w:rFonts w:hint="eastAsia" w:ascii="仿宋_GB2312" w:hAnsi="仿宋_GB2312" w:eastAsia="仿宋_GB2312" w:cs="仿宋_GB2312"/>
                <w:sz w:val="24"/>
                <w:lang w:val="en-US" w:eastAsia="zh-CN" w:bidi="ar"/>
              </w:rPr>
            </w:pPr>
            <w:r>
              <w:rPr>
                <w:rFonts w:hint="eastAsia" w:ascii="仿宋_GB2312" w:hAnsi="仿宋_GB2312" w:eastAsia="仿宋_GB2312" w:cs="仿宋_GB2312"/>
                <w:sz w:val="24"/>
                <w:lang w:val="en-US" w:eastAsia="zh-CN" w:bidi="ar"/>
              </w:rPr>
              <w:t>工程师</w:t>
            </w:r>
          </w:p>
        </w:tc>
        <w:tc>
          <w:tcPr>
            <w:tcW w:w="927" w:type="pct"/>
            <w:tcBorders>
              <w:top w:val="single" w:color="auto" w:sz="4" w:space="0"/>
              <w:bottom w:val="single" w:color="auto" w:sz="4" w:space="0"/>
            </w:tcBorders>
            <w:noWrap w:val="0"/>
            <w:vAlign w:val="center"/>
          </w:tcPr>
          <w:p w14:paraId="50F1008F">
            <w:pPr>
              <w:jc w:val="center"/>
              <w:rPr>
                <w:rFonts w:hint="default" w:ascii="仿宋_GB2312" w:hAnsi="仿宋_GB2312" w:eastAsia="仿宋_GB2312" w:cs="仿宋_GB2312"/>
                <w:sz w:val="24"/>
                <w:lang w:val="en-US" w:eastAsia="zh-CN" w:bidi="ar"/>
              </w:rPr>
            </w:pPr>
            <w:r>
              <w:rPr>
                <w:rFonts w:hint="eastAsia" w:ascii="仿宋_GB2312" w:hAnsi="仿宋_GB2312" w:eastAsia="仿宋_GB2312" w:cs="仿宋_GB2312"/>
                <w:sz w:val="24"/>
                <w:lang w:val="en-US" w:eastAsia="zh-CN" w:bidi="ar"/>
              </w:rPr>
              <w:t>适应气候变化研究</w:t>
            </w:r>
          </w:p>
        </w:tc>
        <w:tc>
          <w:tcPr>
            <w:tcW w:w="928" w:type="pct"/>
            <w:tcBorders>
              <w:top w:val="single" w:color="auto" w:sz="4" w:space="0"/>
              <w:bottom w:val="single" w:color="auto" w:sz="4" w:space="0"/>
            </w:tcBorders>
            <w:noWrap w:val="0"/>
            <w:vAlign w:val="center"/>
          </w:tcPr>
          <w:p w14:paraId="5CBA7B29">
            <w:pPr>
              <w:jc w:val="center"/>
              <w:rPr>
                <w:rFonts w:ascii="仿宋_GB2312" w:hAnsi="仿宋_GB2312" w:eastAsia="仿宋_GB2312" w:cs="仿宋_GB2312"/>
                <w:sz w:val="24"/>
                <w:lang w:bidi="ar"/>
              </w:rPr>
            </w:pPr>
            <w:r>
              <w:rPr>
                <w:rFonts w:hint="eastAsia" w:ascii="仿宋_GB2312" w:hAnsi="仿宋_GB2312" w:eastAsia="仿宋_GB2312" w:cs="仿宋_GB2312"/>
                <w:sz w:val="24"/>
                <w:lang w:val="en-US" w:eastAsia="zh-CN" w:bidi="ar"/>
              </w:rPr>
              <w:t>广西壮族自治区环境保护科学研究院</w:t>
            </w:r>
          </w:p>
        </w:tc>
        <w:tc>
          <w:tcPr>
            <w:tcW w:w="1771" w:type="pct"/>
            <w:tcBorders>
              <w:top w:val="single" w:color="auto" w:sz="4" w:space="0"/>
              <w:bottom w:val="single" w:color="auto" w:sz="4" w:space="0"/>
              <w:right w:val="single" w:color="auto" w:sz="4" w:space="0"/>
            </w:tcBorders>
            <w:noWrap w:val="0"/>
            <w:vAlign w:val="center"/>
          </w:tcPr>
          <w:p w14:paraId="5C617612">
            <w:pPr>
              <w:jc w:val="left"/>
              <w:rPr>
                <w:rFonts w:hint="eastAsia" w:ascii="仿宋_GB2312" w:hAnsi="仿宋_GB2312" w:eastAsia="仿宋_GB2312" w:cs="仿宋_GB2312"/>
                <w:sz w:val="24"/>
                <w:lang w:bidi="ar"/>
              </w:rPr>
            </w:pPr>
            <w:r>
              <w:rPr>
                <w:rFonts w:hint="eastAsia" w:ascii="仿宋_GB2312" w:hAnsi="仿宋_GB2312" w:eastAsia="仿宋_GB2312" w:cs="仿宋_GB2312"/>
                <w:sz w:val="24"/>
                <w:lang w:bidi="ar"/>
              </w:rPr>
              <w:t>参与标准文本及编制说明的编写；组织开展标准征求意见会；对标准实施情况进行总结分析，不断对地方标准提出修正意见。</w:t>
            </w:r>
          </w:p>
        </w:tc>
      </w:tr>
      <w:tr w14:paraId="0DB15D70">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50" w:hRule="atLeast"/>
        </w:trPr>
        <w:tc>
          <w:tcPr>
            <w:tcW w:w="625" w:type="pct"/>
            <w:tcBorders>
              <w:top w:val="single" w:color="auto" w:sz="4" w:space="0"/>
              <w:left w:val="single" w:color="auto" w:sz="4" w:space="0"/>
              <w:bottom w:val="single" w:color="auto" w:sz="4" w:space="0"/>
            </w:tcBorders>
            <w:noWrap w:val="0"/>
            <w:vAlign w:val="center"/>
          </w:tcPr>
          <w:p w14:paraId="78B87964">
            <w:pPr>
              <w:jc w:val="center"/>
              <w:rPr>
                <w:rFonts w:hint="eastAsia" w:ascii="仿宋_GB2312" w:hAnsi="仿宋_GB2312" w:eastAsia="仿宋_GB2312" w:cs="仿宋_GB2312"/>
                <w:sz w:val="24"/>
                <w:lang w:val="en-US" w:eastAsia="zh-CN" w:bidi="ar"/>
              </w:rPr>
            </w:pPr>
            <w:r>
              <w:rPr>
                <w:rFonts w:hint="eastAsia" w:ascii="仿宋_GB2312" w:hAnsi="仿宋_GB2312" w:eastAsia="仿宋_GB2312" w:cs="仿宋_GB2312"/>
                <w:sz w:val="24"/>
                <w:lang w:val="en-US" w:eastAsia="zh-CN" w:bidi="ar"/>
              </w:rPr>
              <w:t>曾骁</w:t>
            </w:r>
          </w:p>
        </w:tc>
        <w:tc>
          <w:tcPr>
            <w:tcW w:w="747" w:type="pct"/>
            <w:tcBorders>
              <w:top w:val="single" w:color="auto" w:sz="4" w:space="0"/>
              <w:bottom w:val="single" w:color="auto" w:sz="4" w:space="0"/>
            </w:tcBorders>
            <w:noWrap w:val="0"/>
            <w:vAlign w:val="center"/>
          </w:tcPr>
          <w:p w14:paraId="0C489CDA">
            <w:pPr>
              <w:jc w:val="center"/>
              <w:rPr>
                <w:rFonts w:hint="eastAsia" w:ascii="仿宋_GB2312" w:hAnsi="仿宋_GB2312" w:eastAsia="仿宋_GB2312" w:cs="仿宋_GB2312"/>
                <w:sz w:val="24"/>
                <w:lang w:val="en-US" w:eastAsia="zh-CN" w:bidi="ar"/>
              </w:rPr>
            </w:pPr>
            <w:r>
              <w:rPr>
                <w:rFonts w:hint="eastAsia" w:ascii="仿宋_GB2312" w:hAnsi="仿宋_GB2312" w:eastAsia="仿宋_GB2312" w:cs="仿宋_GB2312"/>
                <w:sz w:val="24"/>
                <w:lang w:val="en-US" w:eastAsia="zh-CN" w:bidi="ar"/>
              </w:rPr>
              <w:t>工程师</w:t>
            </w:r>
          </w:p>
        </w:tc>
        <w:tc>
          <w:tcPr>
            <w:tcW w:w="927" w:type="pct"/>
            <w:tcBorders>
              <w:top w:val="single" w:color="auto" w:sz="4" w:space="0"/>
              <w:bottom w:val="single" w:color="auto" w:sz="4" w:space="0"/>
            </w:tcBorders>
            <w:noWrap w:val="0"/>
            <w:vAlign w:val="center"/>
          </w:tcPr>
          <w:p w14:paraId="0134B1C0">
            <w:pPr>
              <w:jc w:val="center"/>
              <w:rPr>
                <w:rFonts w:hint="default" w:ascii="仿宋_GB2312" w:hAnsi="仿宋_GB2312" w:eastAsia="仿宋_GB2312" w:cs="仿宋_GB2312"/>
                <w:sz w:val="24"/>
                <w:lang w:val="en-US" w:eastAsia="zh-CN" w:bidi="ar"/>
              </w:rPr>
            </w:pPr>
            <w:r>
              <w:rPr>
                <w:rFonts w:hint="eastAsia" w:ascii="仿宋_GB2312" w:hAnsi="仿宋_GB2312" w:eastAsia="仿宋_GB2312" w:cs="仿宋_GB2312"/>
                <w:sz w:val="24"/>
                <w:lang w:val="en-US" w:eastAsia="zh-CN" w:bidi="ar"/>
              </w:rPr>
              <w:t>钢铁碳排放研究</w:t>
            </w:r>
          </w:p>
        </w:tc>
        <w:tc>
          <w:tcPr>
            <w:tcW w:w="928" w:type="pct"/>
            <w:tcBorders>
              <w:top w:val="single" w:color="auto" w:sz="4" w:space="0"/>
              <w:bottom w:val="single" w:color="auto" w:sz="4" w:space="0"/>
            </w:tcBorders>
            <w:noWrap w:val="0"/>
            <w:vAlign w:val="center"/>
          </w:tcPr>
          <w:p w14:paraId="2F0A8D9B">
            <w:pPr>
              <w:jc w:val="center"/>
              <w:rPr>
                <w:rFonts w:ascii="仿宋_GB2312" w:hAnsi="仿宋_GB2312" w:eastAsia="仿宋_GB2312" w:cs="仿宋_GB2312"/>
                <w:sz w:val="24"/>
                <w:lang w:bidi="ar"/>
              </w:rPr>
            </w:pPr>
            <w:r>
              <w:rPr>
                <w:rFonts w:hint="eastAsia" w:ascii="仿宋_GB2312" w:hAnsi="仿宋_GB2312" w:eastAsia="仿宋_GB2312" w:cs="仿宋_GB2312"/>
                <w:sz w:val="24"/>
                <w:lang w:bidi="ar"/>
              </w:rPr>
              <w:t>广西钢铁集团有限公司</w:t>
            </w:r>
          </w:p>
        </w:tc>
        <w:tc>
          <w:tcPr>
            <w:tcW w:w="1771" w:type="pct"/>
            <w:tcBorders>
              <w:top w:val="single" w:color="auto" w:sz="4" w:space="0"/>
              <w:bottom w:val="single" w:color="auto" w:sz="4" w:space="0"/>
              <w:right w:val="single" w:color="auto" w:sz="4" w:space="0"/>
            </w:tcBorders>
            <w:noWrap w:val="0"/>
            <w:vAlign w:val="center"/>
          </w:tcPr>
          <w:p w14:paraId="72467664">
            <w:pPr>
              <w:jc w:val="left"/>
              <w:rPr>
                <w:rFonts w:hint="eastAsia" w:ascii="仿宋_GB2312" w:hAnsi="仿宋_GB2312" w:eastAsia="仿宋_GB2312" w:cs="仿宋_GB2312"/>
                <w:sz w:val="24"/>
                <w:lang w:bidi="ar"/>
              </w:rPr>
            </w:pPr>
            <w:r>
              <w:rPr>
                <w:rFonts w:hint="eastAsia" w:ascii="仿宋_GB2312" w:hAnsi="仿宋_GB2312" w:eastAsia="仿宋_GB2312" w:cs="仿宋_GB2312"/>
                <w:sz w:val="24"/>
                <w:lang w:bidi="ar"/>
              </w:rPr>
              <w:t>参与标准文本及编制说明的编写；组织开展标准征求意见会；对标准实施情况进行总结分析，不断对地方标准提出修正意见。</w:t>
            </w:r>
          </w:p>
        </w:tc>
      </w:tr>
      <w:tr w14:paraId="2ACF89F3">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50" w:hRule="atLeast"/>
        </w:trPr>
        <w:tc>
          <w:tcPr>
            <w:tcW w:w="625" w:type="pct"/>
            <w:tcBorders>
              <w:top w:val="single" w:color="auto" w:sz="4" w:space="0"/>
              <w:left w:val="single" w:color="auto" w:sz="4" w:space="0"/>
              <w:bottom w:val="single" w:color="auto" w:sz="4" w:space="0"/>
            </w:tcBorders>
            <w:noWrap w:val="0"/>
            <w:vAlign w:val="center"/>
          </w:tcPr>
          <w:p w14:paraId="526F1E11">
            <w:pPr>
              <w:jc w:val="center"/>
              <w:rPr>
                <w:rFonts w:hint="default" w:ascii="仿宋_GB2312" w:hAnsi="仿宋_GB2312" w:eastAsia="仿宋_GB2312" w:cs="仿宋_GB2312"/>
                <w:sz w:val="24"/>
                <w:lang w:val="en-US" w:eastAsia="zh-CN" w:bidi="ar"/>
              </w:rPr>
            </w:pPr>
            <w:r>
              <w:rPr>
                <w:rFonts w:hint="eastAsia" w:ascii="仿宋_GB2312" w:hAnsi="仿宋_GB2312" w:eastAsia="仿宋_GB2312" w:cs="仿宋_GB2312"/>
                <w:sz w:val="24"/>
                <w:lang w:val="en-US" w:eastAsia="zh-CN" w:bidi="ar"/>
              </w:rPr>
              <w:t>王文欢</w:t>
            </w:r>
          </w:p>
        </w:tc>
        <w:tc>
          <w:tcPr>
            <w:tcW w:w="747" w:type="pct"/>
            <w:tcBorders>
              <w:top w:val="single" w:color="auto" w:sz="4" w:space="0"/>
              <w:bottom w:val="single" w:color="auto" w:sz="4" w:space="0"/>
            </w:tcBorders>
            <w:noWrap w:val="0"/>
            <w:vAlign w:val="center"/>
          </w:tcPr>
          <w:p w14:paraId="65E2B299">
            <w:pPr>
              <w:jc w:val="center"/>
              <w:rPr>
                <w:rFonts w:hint="default" w:ascii="仿宋_GB2312" w:hAnsi="仿宋_GB2312" w:eastAsia="仿宋_GB2312" w:cs="仿宋_GB2312"/>
                <w:sz w:val="24"/>
                <w:lang w:val="en-US" w:eastAsia="zh-CN" w:bidi="ar"/>
              </w:rPr>
            </w:pPr>
            <w:r>
              <w:rPr>
                <w:rFonts w:hint="eastAsia" w:ascii="仿宋_GB2312" w:hAnsi="仿宋_GB2312" w:eastAsia="仿宋_GB2312" w:cs="仿宋_GB2312"/>
                <w:sz w:val="24"/>
                <w:lang w:val="en-US" w:eastAsia="zh-CN" w:bidi="ar"/>
              </w:rPr>
              <w:t>工程师</w:t>
            </w:r>
          </w:p>
        </w:tc>
        <w:tc>
          <w:tcPr>
            <w:tcW w:w="927" w:type="pct"/>
            <w:tcBorders>
              <w:top w:val="single" w:color="auto" w:sz="4" w:space="0"/>
              <w:bottom w:val="single" w:color="auto" w:sz="4" w:space="0"/>
            </w:tcBorders>
            <w:noWrap w:val="0"/>
            <w:vAlign w:val="center"/>
          </w:tcPr>
          <w:p w14:paraId="71F742EA">
            <w:pPr>
              <w:jc w:val="center"/>
              <w:rPr>
                <w:rFonts w:hint="default" w:ascii="仿宋_GB2312" w:hAnsi="仿宋_GB2312" w:eastAsia="仿宋_GB2312" w:cs="仿宋_GB2312"/>
                <w:sz w:val="24"/>
                <w:lang w:val="en-US" w:eastAsia="zh-CN" w:bidi="ar"/>
              </w:rPr>
            </w:pPr>
            <w:r>
              <w:rPr>
                <w:rFonts w:hint="eastAsia" w:ascii="仿宋_GB2312" w:hAnsi="仿宋_GB2312" w:eastAsia="仿宋_GB2312" w:cs="仿宋_GB2312"/>
                <w:sz w:val="24"/>
                <w:lang w:val="en-US" w:eastAsia="zh-CN" w:bidi="ar"/>
              </w:rPr>
              <w:t>碳排放管理</w:t>
            </w:r>
          </w:p>
        </w:tc>
        <w:tc>
          <w:tcPr>
            <w:tcW w:w="928" w:type="pct"/>
            <w:tcBorders>
              <w:top w:val="single" w:color="auto" w:sz="4" w:space="0"/>
              <w:bottom w:val="single" w:color="auto" w:sz="4" w:space="0"/>
            </w:tcBorders>
            <w:noWrap w:val="0"/>
            <w:vAlign w:val="center"/>
          </w:tcPr>
          <w:p w14:paraId="1E43F5CC">
            <w:pPr>
              <w:jc w:val="center"/>
              <w:rPr>
                <w:rFonts w:ascii="仿宋_GB2312" w:hAnsi="仿宋_GB2312" w:eastAsia="仿宋_GB2312" w:cs="仿宋_GB2312"/>
                <w:sz w:val="24"/>
                <w:lang w:bidi="ar"/>
              </w:rPr>
            </w:pPr>
            <w:r>
              <w:rPr>
                <w:rFonts w:hint="eastAsia" w:ascii="仿宋_GB2312" w:hAnsi="仿宋_GB2312" w:eastAsia="仿宋_GB2312" w:cs="仿宋_GB2312"/>
                <w:sz w:val="24"/>
                <w:lang w:bidi="ar"/>
              </w:rPr>
              <w:t>广西产研院绿色低碳技术研究所有限公司</w:t>
            </w:r>
          </w:p>
        </w:tc>
        <w:tc>
          <w:tcPr>
            <w:tcW w:w="1771" w:type="pct"/>
            <w:tcBorders>
              <w:top w:val="single" w:color="auto" w:sz="4" w:space="0"/>
              <w:bottom w:val="single" w:color="auto" w:sz="4" w:space="0"/>
              <w:right w:val="single" w:color="auto" w:sz="4" w:space="0"/>
            </w:tcBorders>
            <w:noWrap w:val="0"/>
            <w:vAlign w:val="center"/>
          </w:tcPr>
          <w:p w14:paraId="3B421CA4">
            <w:pPr>
              <w:jc w:val="left"/>
              <w:rPr>
                <w:rFonts w:hint="eastAsia" w:ascii="仿宋_GB2312" w:hAnsi="仿宋_GB2312" w:eastAsia="仿宋_GB2312" w:cs="仿宋_GB2312"/>
                <w:sz w:val="24"/>
                <w:lang w:bidi="ar"/>
              </w:rPr>
            </w:pPr>
            <w:r>
              <w:rPr>
                <w:rFonts w:hint="eastAsia" w:ascii="仿宋_GB2312" w:hAnsi="仿宋_GB2312" w:eastAsia="仿宋_GB2312" w:cs="仿宋_GB2312"/>
                <w:sz w:val="24"/>
                <w:lang w:bidi="ar"/>
              </w:rPr>
              <w:t>参与标准文本及编制说明的编写；组织开展标准征求意见会；对标准实施情况进行总结分析，不断对地方标准提出修正意见。</w:t>
            </w:r>
          </w:p>
        </w:tc>
      </w:tr>
      <w:tr w14:paraId="1C9D6C60">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50" w:hRule="atLeast"/>
        </w:trPr>
        <w:tc>
          <w:tcPr>
            <w:tcW w:w="625" w:type="pct"/>
            <w:tcBorders>
              <w:top w:val="single" w:color="auto" w:sz="4" w:space="0"/>
              <w:left w:val="single" w:color="auto" w:sz="4" w:space="0"/>
              <w:bottom w:val="single" w:color="auto" w:sz="4" w:space="0"/>
            </w:tcBorders>
            <w:noWrap w:val="0"/>
            <w:vAlign w:val="center"/>
          </w:tcPr>
          <w:p w14:paraId="770F19A9">
            <w:pPr>
              <w:jc w:val="center"/>
              <w:rPr>
                <w:rFonts w:ascii="仿宋_GB2312" w:hAnsi="仿宋_GB2312" w:eastAsia="仿宋_GB2312" w:cs="仿宋_GB2312"/>
                <w:sz w:val="24"/>
                <w:lang w:bidi="ar"/>
              </w:rPr>
            </w:pPr>
            <w:r>
              <w:rPr>
                <w:rFonts w:hint="eastAsia" w:ascii="仿宋_GB2312" w:hAnsi="仿宋_GB2312" w:eastAsia="仿宋_GB2312" w:cs="仿宋_GB2312"/>
                <w:sz w:val="24"/>
                <w:lang w:val="en-US" w:eastAsia="zh-CN" w:bidi="ar"/>
              </w:rPr>
              <w:t>韦江泉</w:t>
            </w:r>
          </w:p>
        </w:tc>
        <w:tc>
          <w:tcPr>
            <w:tcW w:w="747" w:type="pct"/>
            <w:tcBorders>
              <w:top w:val="single" w:color="auto" w:sz="4" w:space="0"/>
              <w:bottom w:val="single" w:color="auto" w:sz="4" w:space="0"/>
            </w:tcBorders>
            <w:noWrap w:val="0"/>
            <w:vAlign w:val="center"/>
          </w:tcPr>
          <w:p w14:paraId="5AD1640E">
            <w:pPr>
              <w:jc w:val="center"/>
              <w:rPr>
                <w:rFonts w:hint="default" w:ascii="仿宋_GB2312" w:hAnsi="仿宋_GB2312" w:eastAsia="仿宋_GB2312" w:cs="仿宋_GB2312"/>
                <w:sz w:val="24"/>
                <w:lang w:val="en-US" w:eastAsia="zh-CN" w:bidi="ar"/>
              </w:rPr>
            </w:pPr>
            <w:r>
              <w:rPr>
                <w:rFonts w:hint="eastAsia" w:ascii="仿宋_GB2312" w:hAnsi="仿宋_GB2312" w:eastAsia="仿宋_GB2312" w:cs="仿宋_GB2312"/>
                <w:sz w:val="24"/>
                <w:lang w:val="en-US" w:eastAsia="zh-CN" w:bidi="ar"/>
              </w:rPr>
              <w:t>高级工程师</w:t>
            </w:r>
          </w:p>
        </w:tc>
        <w:tc>
          <w:tcPr>
            <w:tcW w:w="927" w:type="pct"/>
            <w:tcBorders>
              <w:top w:val="single" w:color="auto" w:sz="4" w:space="0"/>
              <w:bottom w:val="single" w:color="auto" w:sz="4" w:space="0"/>
            </w:tcBorders>
            <w:noWrap w:val="0"/>
            <w:vAlign w:val="center"/>
          </w:tcPr>
          <w:p w14:paraId="766D855C">
            <w:pPr>
              <w:jc w:val="center"/>
              <w:rPr>
                <w:rFonts w:ascii="仿宋_GB2312" w:hAnsi="仿宋_GB2312" w:eastAsia="仿宋_GB2312" w:cs="仿宋_GB2312"/>
                <w:sz w:val="24"/>
                <w:lang w:bidi="ar"/>
              </w:rPr>
            </w:pPr>
            <w:r>
              <w:rPr>
                <w:rFonts w:hint="eastAsia" w:ascii="仿宋_GB2312" w:hAnsi="仿宋_GB2312" w:eastAsia="仿宋_GB2312" w:cs="仿宋_GB2312"/>
                <w:sz w:val="24"/>
                <w:lang w:val="en-US" w:eastAsia="zh-CN" w:bidi="ar"/>
              </w:rPr>
              <w:t>碳排放管理</w:t>
            </w:r>
          </w:p>
        </w:tc>
        <w:tc>
          <w:tcPr>
            <w:tcW w:w="928" w:type="pct"/>
            <w:tcBorders>
              <w:top w:val="single" w:color="auto" w:sz="4" w:space="0"/>
              <w:bottom w:val="single" w:color="auto" w:sz="4" w:space="0"/>
            </w:tcBorders>
            <w:noWrap w:val="0"/>
            <w:vAlign w:val="center"/>
          </w:tcPr>
          <w:p w14:paraId="695AA375">
            <w:pPr>
              <w:jc w:val="center"/>
              <w:rPr>
                <w:rFonts w:ascii="仿宋_GB2312" w:hAnsi="仿宋_GB2312" w:eastAsia="仿宋_GB2312" w:cs="仿宋_GB2312"/>
                <w:sz w:val="24"/>
                <w:lang w:bidi="ar"/>
              </w:rPr>
            </w:pPr>
            <w:r>
              <w:rPr>
                <w:rFonts w:hint="eastAsia" w:ascii="仿宋_GB2312" w:hAnsi="仿宋_GB2312" w:eastAsia="仿宋_GB2312" w:cs="仿宋_GB2312"/>
                <w:sz w:val="24"/>
                <w:lang w:bidi="ar"/>
              </w:rPr>
              <w:t>广西产研院绿色低碳技术研究所有限公司</w:t>
            </w:r>
          </w:p>
        </w:tc>
        <w:tc>
          <w:tcPr>
            <w:tcW w:w="1771" w:type="pct"/>
            <w:tcBorders>
              <w:top w:val="single" w:color="auto" w:sz="4" w:space="0"/>
              <w:bottom w:val="single" w:color="auto" w:sz="4" w:space="0"/>
              <w:right w:val="single" w:color="auto" w:sz="4" w:space="0"/>
            </w:tcBorders>
            <w:noWrap w:val="0"/>
            <w:vAlign w:val="center"/>
          </w:tcPr>
          <w:p w14:paraId="4C78FFB3">
            <w:pPr>
              <w:jc w:val="left"/>
              <w:rPr>
                <w:rFonts w:hint="eastAsia" w:ascii="仿宋_GB2312" w:hAnsi="仿宋_GB2312" w:eastAsia="仿宋_GB2312" w:cs="仿宋_GB2312"/>
                <w:sz w:val="24"/>
                <w:lang w:bidi="ar"/>
              </w:rPr>
            </w:pPr>
            <w:r>
              <w:rPr>
                <w:rFonts w:hint="eastAsia" w:ascii="仿宋_GB2312" w:hAnsi="仿宋_GB2312" w:eastAsia="仿宋_GB2312" w:cs="仿宋_GB2312"/>
                <w:sz w:val="24"/>
                <w:lang w:bidi="ar"/>
              </w:rPr>
              <w:t>参与标准文本及编制说明的编写；组织开展标准征求意见会；对标准实施情况进行总结分析，不断对地方标准提出修正意见。</w:t>
            </w:r>
          </w:p>
        </w:tc>
      </w:tr>
      <w:tr w14:paraId="77EF891D">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50" w:hRule="atLeast"/>
        </w:trPr>
        <w:tc>
          <w:tcPr>
            <w:tcW w:w="625" w:type="pct"/>
            <w:tcBorders>
              <w:top w:val="single" w:color="auto" w:sz="4" w:space="0"/>
              <w:left w:val="single" w:color="auto" w:sz="4" w:space="0"/>
              <w:bottom w:val="single" w:color="auto" w:sz="4" w:space="0"/>
            </w:tcBorders>
            <w:noWrap w:val="0"/>
            <w:vAlign w:val="center"/>
          </w:tcPr>
          <w:p w14:paraId="3B8B677A">
            <w:pPr>
              <w:jc w:val="center"/>
              <w:rPr>
                <w:rFonts w:hint="eastAsia" w:ascii="仿宋_GB2312" w:hAnsi="仿宋_GB2312" w:eastAsia="仿宋_GB2312" w:cs="仿宋_GB2312"/>
                <w:sz w:val="24"/>
                <w:lang w:val="en-US" w:eastAsia="zh-CN" w:bidi="ar"/>
              </w:rPr>
            </w:pPr>
            <w:r>
              <w:rPr>
                <w:rFonts w:hint="eastAsia" w:ascii="仿宋_GB2312" w:hAnsi="仿宋_GB2312" w:eastAsia="仿宋_GB2312" w:cs="仿宋_GB2312"/>
                <w:sz w:val="24"/>
                <w:lang w:val="en-US" w:eastAsia="zh-CN" w:bidi="ar"/>
              </w:rPr>
              <w:t>吴文乾</w:t>
            </w:r>
          </w:p>
        </w:tc>
        <w:tc>
          <w:tcPr>
            <w:tcW w:w="747" w:type="pct"/>
            <w:tcBorders>
              <w:top w:val="single" w:color="auto" w:sz="4" w:space="0"/>
              <w:bottom w:val="single" w:color="auto" w:sz="4" w:space="0"/>
            </w:tcBorders>
            <w:noWrap w:val="0"/>
            <w:vAlign w:val="center"/>
          </w:tcPr>
          <w:p w14:paraId="6726517E">
            <w:pPr>
              <w:jc w:val="center"/>
              <w:rPr>
                <w:rFonts w:hint="eastAsia" w:ascii="仿宋_GB2312" w:hAnsi="仿宋_GB2312" w:eastAsia="仿宋_GB2312" w:cs="仿宋_GB2312"/>
                <w:sz w:val="24"/>
                <w:lang w:val="en-US" w:eastAsia="zh-CN" w:bidi="ar"/>
              </w:rPr>
            </w:pPr>
            <w:r>
              <w:rPr>
                <w:rFonts w:hint="eastAsia" w:ascii="仿宋_GB2312" w:hAnsi="仿宋_GB2312" w:eastAsia="仿宋_GB2312" w:cs="仿宋_GB2312"/>
                <w:sz w:val="24"/>
                <w:lang w:val="en-US" w:eastAsia="zh-CN" w:bidi="ar"/>
              </w:rPr>
              <w:t>工程师</w:t>
            </w:r>
          </w:p>
        </w:tc>
        <w:tc>
          <w:tcPr>
            <w:tcW w:w="927" w:type="pct"/>
            <w:tcBorders>
              <w:top w:val="single" w:color="auto" w:sz="4" w:space="0"/>
              <w:bottom w:val="single" w:color="auto" w:sz="4" w:space="0"/>
            </w:tcBorders>
            <w:noWrap w:val="0"/>
            <w:vAlign w:val="center"/>
          </w:tcPr>
          <w:p w14:paraId="16C482B2">
            <w:pPr>
              <w:jc w:val="center"/>
              <w:rPr>
                <w:rFonts w:ascii="仿宋_GB2312" w:hAnsi="仿宋_GB2312" w:eastAsia="仿宋_GB2312" w:cs="仿宋_GB2312"/>
                <w:sz w:val="24"/>
                <w:lang w:bidi="ar"/>
              </w:rPr>
            </w:pPr>
            <w:r>
              <w:rPr>
                <w:rFonts w:hint="eastAsia" w:ascii="仿宋_GB2312" w:hAnsi="仿宋_GB2312" w:eastAsia="仿宋_GB2312" w:cs="仿宋_GB2312"/>
                <w:sz w:val="24"/>
                <w:lang w:val="en-US" w:eastAsia="zh-CN" w:bidi="ar"/>
              </w:rPr>
              <w:t>碳排放管理</w:t>
            </w:r>
          </w:p>
        </w:tc>
        <w:tc>
          <w:tcPr>
            <w:tcW w:w="928" w:type="pct"/>
            <w:tcBorders>
              <w:top w:val="single" w:color="auto" w:sz="4" w:space="0"/>
              <w:bottom w:val="single" w:color="auto" w:sz="4" w:space="0"/>
            </w:tcBorders>
            <w:noWrap w:val="0"/>
            <w:vAlign w:val="center"/>
          </w:tcPr>
          <w:p w14:paraId="7715AC33">
            <w:pPr>
              <w:jc w:val="center"/>
              <w:rPr>
                <w:rFonts w:ascii="仿宋_GB2312" w:hAnsi="仿宋_GB2312" w:eastAsia="仿宋_GB2312" w:cs="仿宋_GB2312"/>
                <w:sz w:val="24"/>
                <w:lang w:bidi="ar"/>
              </w:rPr>
            </w:pPr>
            <w:r>
              <w:rPr>
                <w:rFonts w:hint="eastAsia" w:ascii="仿宋_GB2312" w:hAnsi="仿宋_GB2312" w:eastAsia="仿宋_GB2312" w:cs="仿宋_GB2312"/>
                <w:sz w:val="24"/>
                <w:lang w:bidi="ar"/>
              </w:rPr>
              <w:t>广西产研院绿色低碳技术研究所有限公司</w:t>
            </w:r>
          </w:p>
        </w:tc>
        <w:tc>
          <w:tcPr>
            <w:tcW w:w="1771" w:type="pct"/>
            <w:tcBorders>
              <w:top w:val="single" w:color="auto" w:sz="4" w:space="0"/>
              <w:bottom w:val="single" w:color="auto" w:sz="4" w:space="0"/>
              <w:right w:val="single" w:color="auto" w:sz="4" w:space="0"/>
            </w:tcBorders>
            <w:noWrap w:val="0"/>
            <w:vAlign w:val="center"/>
          </w:tcPr>
          <w:p w14:paraId="1E435673">
            <w:pPr>
              <w:jc w:val="left"/>
              <w:rPr>
                <w:rFonts w:hint="eastAsia" w:ascii="仿宋_GB2312" w:hAnsi="仿宋_GB2312" w:eastAsia="仿宋_GB2312" w:cs="仿宋_GB2312"/>
                <w:sz w:val="24"/>
                <w:lang w:bidi="ar"/>
              </w:rPr>
            </w:pPr>
            <w:r>
              <w:rPr>
                <w:rFonts w:hint="eastAsia" w:ascii="仿宋_GB2312" w:hAnsi="仿宋_GB2312" w:eastAsia="仿宋_GB2312" w:cs="仿宋_GB2312"/>
                <w:sz w:val="24"/>
                <w:lang w:bidi="ar"/>
              </w:rPr>
              <w:t>参与标准文本及编制说明的编写；组织开展标准征求意见会；对标准实施情况进行总结分析，不断对地方标准提出修正意见。</w:t>
            </w:r>
          </w:p>
        </w:tc>
      </w:tr>
      <w:tr w14:paraId="24CB7B1F">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50" w:hRule="atLeast"/>
        </w:trPr>
        <w:tc>
          <w:tcPr>
            <w:tcW w:w="625" w:type="pct"/>
            <w:tcBorders>
              <w:top w:val="single" w:color="auto" w:sz="4" w:space="0"/>
              <w:left w:val="single" w:color="auto" w:sz="4" w:space="0"/>
              <w:bottom w:val="single" w:color="auto" w:sz="4" w:space="0"/>
            </w:tcBorders>
            <w:noWrap w:val="0"/>
            <w:vAlign w:val="center"/>
          </w:tcPr>
          <w:p w14:paraId="64703653">
            <w:pPr>
              <w:jc w:val="center"/>
              <w:rPr>
                <w:rFonts w:hint="default" w:ascii="仿宋_GB2312" w:hAnsi="仿宋_GB2312" w:eastAsia="仿宋_GB2312" w:cs="仿宋_GB2312"/>
                <w:sz w:val="24"/>
                <w:lang w:val="en-US" w:eastAsia="zh-CN" w:bidi="ar"/>
              </w:rPr>
            </w:pPr>
            <w:r>
              <w:rPr>
                <w:rFonts w:hint="default" w:ascii="仿宋_GB2312" w:hAnsi="仿宋_GB2312" w:eastAsia="仿宋_GB2312" w:cs="仿宋_GB2312"/>
                <w:sz w:val="24"/>
                <w:lang w:val="en-US" w:eastAsia="zh-CN" w:bidi="ar"/>
              </w:rPr>
              <w:t>王博文</w:t>
            </w:r>
          </w:p>
        </w:tc>
        <w:tc>
          <w:tcPr>
            <w:tcW w:w="747" w:type="pct"/>
            <w:tcBorders>
              <w:top w:val="single" w:color="auto" w:sz="4" w:space="0"/>
              <w:bottom w:val="single" w:color="auto" w:sz="4" w:space="0"/>
            </w:tcBorders>
            <w:noWrap w:val="0"/>
            <w:vAlign w:val="center"/>
          </w:tcPr>
          <w:p w14:paraId="1EC7D7F6">
            <w:pPr>
              <w:jc w:val="center"/>
              <w:rPr>
                <w:rFonts w:hint="eastAsia" w:ascii="仿宋_GB2312" w:hAnsi="仿宋_GB2312" w:eastAsia="仿宋_GB2312" w:cs="仿宋_GB2312"/>
                <w:sz w:val="24"/>
                <w:lang w:val="en-US" w:eastAsia="zh-CN" w:bidi="ar"/>
              </w:rPr>
            </w:pPr>
            <w:r>
              <w:rPr>
                <w:rFonts w:hint="eastAsia" w:ascii="仿宋_GB2312" w:hAnsi="仿宋_GB2312" w:eastAsia="仿宋_GB2312" w:cs="仿宋_GB2312"/>
                <w:sz w:val="24"/>
                <w:lang w:val="en-US" w:eastAsia="zh-CN" w:bidi="ar"/>
              </w:rPr>
              <w:t>工程师</w:t>
            </w:r>
          </w:p>
        </w:tc>
        <w:tc>
          <w:tcPr>
            <w:tcW w:w="927" w:type="pct"/>
            <w:tcBorders>
              <w:top w:val="single" w:color="auto" w:sz="4" w:space="0"/>
              <w:bottom w:val="single" w:color="auto" w:sz="4" w:space="0"/>
            </w:tcBorders>
            <w:noWrap w:val="0"/>
            <w:vAlign w:val="center"/>
          </w:tcPr>
          <w:p w14:paraId="34282254">
            <w:pPr>
              <w:jc w:val="center"/>
              <w:rPr>
                <w:rFonts w:ascii="仿宋_GB2312" w:hAnsi="仿宋_GB2312" w:eastAsia="仿宋_GB2312" w:cs="仿宋_GB2312"/>
                <w:sz w:val="24"/>
                <w:lang w:bidi="ar"/>
              </w:rPr>
            </w:pPr>
            <w:r>
              <w:rPr>
                <w:rFonts w:hint="eastAsia" w:ascii="仿宋_GB2312" w:hAnsi="仿宋_GB2312" w:eastAsia="仿宋_GB2312" w:cs="仿宋_GB2312"/>
                <w:sz w:val="24"/>
                <w:lang w:val="en-US" w:eastAsia="zh-CN" w:bidi="ar"/>
              </w:rPr>
              <w:t>钢铁领域碳排放管理</w:t>
            </w:r>
          </w:p>
        </w:tc>
        <w:tc>
          <w:tcPr>
            <w:tcW w:w="928" w:type="pct"/>
            <w:tcBorders>
              <w:top w:val="single" w:color="auto" w:sz="4" w:space="0"/>
              <w:bottom w:val="single" w:color="auto" w:sz="4" w:space="0"/>
            </w:tcBorders>
            <w:noWrap w:val="0"/>
            <w:vAlign w:val="center"/>
          </w:tcPr>
          <w:p w14:paraId="7A4707BE">
            <w:pPr>
              <w:jc w:val="center"/>
              <w:rPr>
                <w:rFonts w:ascii="仿宋_GB2312" w:hAnsi="仿宋_GB2312" w:eastAsia="仿宋_GB2312" w:cs="仿宋_GB2312"/>
                <w:sz w:val="24"/>
                <w:lang w:bidi="ar"/>
              </w:rPr>
            </w:pPr>
            <w:r>
              <w:rPr>
                <w:rFonts w:hint="eastAsia" w:ascii="仿宋_GB2312" w:hAnsi="仿宋_GB2312" w:eastAsia="仿宋_GB2312" w:cs="仿宋_GB2312"/>
                <w:sz w:val="24"/>
                <w:lang w:bidi="ar"/>
              </w:rPr>
              <w:t>广西钢铁集团有限公司</w:t>
            </w:r>
          </w:p>
        </w:tc>
        <w:tc>
          <w:tcPr>
            <w:tcW w:w="1771" w:type="pct"/>
            <w:tcBorders>
              <w:top w:val="single" w:color="auto" w:sz="4" w:space="0"/>
              <w:bottom w:val="single" w:color="auto" w:sz="4" w:space="0"/>
              <w:right w:val="single" w:color="auto" w:sz="4" w:space="0"/>
            </w:tcBorders>
            <w:noWrap w:val="0"/>
            <w:vAlign w:val="center"/>
          </w:tcPr>
          <w:p w14:paraId="1BBD4FBB">
            <w:pPr>
              <w:jc w:val="left"/>
              <w:rPr>
                <w:rFonts w:hint="eastAsia" w:ascii="仿宋_GB2312" w:hAnsi="仿宋_GB2312" w:eastAsia="仿宋_GB2312" w:cs="仿宋_GB2312"/>
                <w:sz w:val="24"/>
                <w:lang w:bidi="ar"/>
              </w:rPr>
            </w:pPr>
            <w:r>
              <w:rPr>
                <w:rFonts w:hint="eastAsia" w:ascii="仿宋_GB2312" w:hAnsi="仿宋_GB2312" w:eastAsia="仿宋_GB2312" w:cs="仿宋_GB2312"/>
                <w:sz w:val="24"/>
                <w:lang w:bidi="ar"/>
              </w:rPr>
              <w:t>参与标准文本及编制说明的编写；组织开展标准征求意见会；对标准实施情况进行总结分析，不断对地方标准提出修正意见。</w:t>
            </w:r>
          </w:p>
        </w:tc>
      </w:tr>
      <w:tr w14:paraId="3A2742A7">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50" w:hRule="atLeast"/>
        </w:trPr>
        <w:tc>
          <w:tcPr>
            <w:tcW w:w="625" w:type="pct"/>
            <w:tcBorders>
              <w:top w:val="single" w:color="auto" w:sz="4" w:space="0"/>
              <w:left w:val="single" w:color="auto" w:sz="4" w:space="0"/>
              <w:bottom w:val="single" w:color="auto" w:sz="4" w:space="0"/>
            </w:tcBorders>
            <w:noWrap w:val="0"/>
            <w:vAlign w:val="center"/>
          </w:tcPr>
          <w:p w14:paraId="4437FBB6">
            <w:pPr>
              <w:jc w:val="center"/>
              <w:rPr>
                <w:rFonts w:ascii="仿宋_GB2312" w:hAnsi="仿宋_GB2312" w:eastAsia="仿宋_GB2312" w:cs="仿宋_GB2312"/>
                <w:sz w:val="24"/>
                <w:lang w:bidi="ar"/>
              </w:rPr>
            </w:pPr>
            <w:r>
              <w:rPr>
                <w:rFonts w:hint="eastAsia" w:ascii="仿宋_GB2312" w:hAnsi="仿宋_GB2312" w:eastAsia="仿宋_GB2312" w:cs="仿宋_GB2312"/>
                <w:sz w:val="24"/>
                <w:lang w:val="en-US" w:eastAsia="zh-CN" w:bidi="ar"/>
              </w:rPr>
              <w:t>黄殿贵</w:t>
            </w:r>
          </w:p>
        </w:tc>
        <w:tc>
          <w:tcPr>
            <w:tcW w:w="747" w:type="pct"/>
            <w:tcBorders>
              <w:top w:val="single" w:color="auto" w:sz="4" w:space="0"/>
              <w:bottom w:val="single" w:color="auto" w:sz="4" w:space="0"/>
            </w:tcBorders>
            <w:noWrap w:val="0"/>
            <w:vAlign w:val="center"/>
          </w:tcPr>
          <w:p w14:paraId="1AB4366C">
            <w:pPr>
              <w:jc w:val="center"/>
              <w:rPr>
                <w:rFonts w:ascii="仿宋_GB2312" w:hAnsi="仿宋_GB2312" w:eastAsia="仿宋_GB2312" w:cs="仿宋_GB2312"/>
                <w:sz w:val="24"/>
                <w:lang w:bidi="ar"/>
              </w:rPr>
            </w:pPr>
            <w:r>
              <w:rPr>
                <w:rFonts w:hint="eastAsia" w:ascii="仿宋_GB2312" w:hAnsi="仿宋_GB2312" w:eastAsia="仿宋_GB2312" w:cs="仿宋_GB2312"/>
                <w:sz w:val="24"/>
                <w:lang w:val="en-US" w:eastAsia="zh-CN" w:bidi="ar"/>
              </w:rPr>
              <w:t>高级工程师</w:t>
            </w:r>
          </w:p>
        </w:tc>
        <w:tc>
          <w:tcPr>
            <w:tcW w:w="927" w:type="pct"/>
            <w:tcBorders>
              <w:top w:val="single" w:color="auto" w:sz="4" w:space="0"/>
              <w:bottom w:val="single" w:color="auto" w:sz="4" w:space="0"/>
            </w:tcBorders>
            <w:noWrap w:val="0"/>
            <w:vAlign w:val="center"/>
          </w:tcPr>
          <w:p w14:paraId="5B082C21">
            <w:pPr>
              <w:jc w:val="center"/>
              <w:rPr>
                <w:rFonts w:ascii="仿宋_GB2312" w:hAnsi="仿宋_GB2312" w:eastAsia="仿宋_GB2312" w:cs="仿宋_GB2312"/>
                <w:sz w:val="24"/>
                <w:lang w:bidi="ar"/>
              </w:rPr>
            </w:pPr>
            <w:r>
              <w:rPr>
                <w:rFonts w:hint="eastAsia" w:ascii="仿宋_GB2312" w:hAnsi="仿宋_GB2312" w:eastAsia="仿宋_GB2312" w:cs="仿宋_GB2312"/>
                <w:sz w:val="24"/>
                <w:lang w:val="en-US" w:eastAsia="zh-CN" w:bidi="ar"/>
              </w:rPr>
              <w:t>碳排放管理</w:t>
            </w:r>
          </w:p>
        </w:tc>
        <w:tc>
          <w:tcPr>
            <w:tcW w:w="928" w:type="pct"/>
            <w:tcBorders>
              <w:top w:val="single" w:color="auto" w:sz="4" w:space="0"/>
              <w:bottom w:val="single" w:color="auto" w:sz="4" w:space="0"/>
            </w:tcBorders>
            <w:noWrap w:val="0"/>
            <w:vAlign w:val="center"/>
          </w:tcPr>
          <w:p w14:paraId="35AA991C">
            <w:pPr>
              <w:jc w:val="center"/>
              <w:rPr>
                <w:rFonts w:ascii="仿宋_GB2312" w:hAnsi="仿宋_GB2312" w:eastAsia="仿宋_GB2312" w:cs="仿宋_GB2312"/>
                <w:sz w:val="24"/>
                <w:lang w:bidi="ar"/>
              </w:rPr>
            </w:pPr>
            <w:r>
              <w:rPr>
                <w:rFonts w:hint="eastAsia" w:ascii="仿宋_GB2312" w:hAnsi="仿宋_GB2312" w:eastAsia="仿宋_GB2312" w:cs="仿宋_GB2312"/>
                <w:sz w:val="24"/>
                <w:lang w:bidi="ar"/>
              </w:rPr>
              <w:t>广西壮族自治区分析测试研究中心</w:t>
            </w:r>
          </w:p>
        </w:tc>
        <w:tc>
          <w:tcPr>
            <w:tcW w:w="1771" w:type="pct"/>
            <w:tcBorders>
              <w:top w:val="single" w:color="auto" w:sz="4" w:space="0"/>
              <w:bottom w:val="single" w:color="auto" w:sz="4" w:space="0"/>
              <w:right w:val="single" w:color="auto" w:sz="4" w:space="0"/>
            </w:tcBorders>
            <w:noWrap w:val="0"/>
            <w:vAlign w:val="center"/>
          </w:tcPr>
          <w:p w14:paraId="2776F3FE">
            <w:pPr>
              <w:jc w:val="left"/>
              <w:rPr>
                <w:rFonts w:hint="eastAsia" w:ascii="仿宋_GB2312" w:hAnsi="仿宋_GB2312" w:eastAsia="仿宋_GB2312" w:cs="仿宋_GB2312"/>
                <w:sz w:val="24"/>
                <w:lang w:bidi="ar"/>
              </w:rPr>
            </w:pPr>
            <w:r>
              <w:rPr>
                <w:rFonts w:hint="eastAsia" w:ascii="仿宋_GB2312" w:hAnsi="仿宋_GB2312" w:eastAsia="仿宋_GB2312" w:cs="仿宋_GB2312"/>
                <w:sz w:val="24"/>
                <w:lang w:bidi="ar"/>
              </w:rPr>
              <w:t>参与标准文本及编制说明的编写；组织开展标准征求意见会；对标准实施情况进行总结分析，不断对地方标准提出修正意见。</w:t>
            </w:r>
          </w:p>
        </w:tc>
      </w:tr>
      <w:tr w14:paraId="0EC31340">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50" w:hRule="atLeast"/>
        </w:trPr>
        <w:tc>
          <w:tcPr>
            <w:tcW w:w="625" w:type="pct"/>
            <w:tcBorders>
              <w:top w:val="single" w:color="auto" w:sz="4" w:space="0"/>
              <w:left w:val="single" w:color="auto" w:sz="4" w:space="0"/>
              <w:bottom w:val="single" w:color="auto" w:sz="4" w:space="0"/>
            </w:tcBorders>
            <w:noWrap w:val="0"/>
            <w:vAlign w:val="center"/>
          </w:tcPr>
          <w:p w14:paraId="4D3C284B">
            <w:pPr>
              <w:jc w:val="center"/>
              <w:rPr>
                <w:rFonts w:ascii="仿宋_GB2312" w:hAnsi="仿宋_GB2312" w:eastAsia="仿宋_GB2312" w:cs="仿宋_GB2312"/>
                <w:sz w:val="24"/>
                <w:lang w:bidi="ar"/>
              </w:rPr>
            </w:pPr>
            <w:r>
              <w:rPr>
                <w:rFonts w:hint="eastAsia" w:ascii="仿宋_GB2312" w:hAnsi="仿宋_GB2312" w:eastAsia="仿宋_GB2312" w:cs="仿宋_GB2312"/>
                <w:sz w:val="24"/>
                <w:lang w:val="en-US" w:eastAsia="zh-CN" w:bidi="ar"/>
              </w:rPr>
              <w:t>冯靖航</w:t>
            </w:r>
          </w:p>
        </w:tc>
        <w:tc>
          <w:tcPr>
            <w:tcW w:w="747" w:type="pct"/>
            <w:tcBorders>
              <w:top w:val="single" w:color="auto" w:sz="4" w:space="0"/>
              <w:bottom w:val="single" w:color="auto" w:sz="4" w:space="0"/>
            </w:tcBorders>
            <w:noWrap w:val="0"/>
            <w:vAlign w:val="center"/>
          </w:tcPr>
          <w:p w14:paraId="5CF72E55">
            <w:pPr>
              <w:jc w:val="center"/>
              <w:rPr>
                <w:rFonts w:hint="eastAsia" w:ascii="仿宋_GB2312" w:hAnsi="仿宋_GB2312" w:eastAsia="仿宋_GB2312" w:cs="仿宋_GB2312"/>
                <w:sz w:val="24"/>
                <w:lang w:val="en-US" w:eastAsia="zh-CN" w:bidi="ar"/>
              </w:rPr>
            </w:pPr>
            <w:r>
              <w:rPr>
                <w:rFonts w:hint="eastAsia" w:ascii="仿宋_GB2312" w:hAnsi="仿宋_GB2312" w:eastAsia="仿宋_GB2312" w:cs="仿宋_GB2312"/>
                <w:sz w:val="24"/>
                <w:lang w:val="en-US" w:eastAsia="zh-CN" w:bidi="ar"/>
              </w:rPr>
              <w:t>技术员</w:t>
            </w:r>
          </w:p>
        </w:tc>
        <w:tc>
          <w:tcPr>
            <w:tcW w:w="927" w:type="pct"/>
            <w:tcBorders>
              <w:top w:val="single" w:color="auto" w:sz="4" w:space="0"/>
              <w:bottom w:val="single" w:color="auto" w:sz="4" w:space="0"/>
            </w:tcBorders>
            <w:noWrap w:val="0"/>
            <w:vAlign w:val="center"/>
          </w:tcPr>
          <w:p w14:paraId="1EA78719">
            <w:pPr>
              <w:jc w:val="center"/>
              <w:rPr>
                <w:rFonts w:ascii="仿宋_GB2312" w:hAnsi="仿宋_GB2312" w:eastAsia="仿宋_GB2312" w:cs="仿宋_GB2312"/>
                <w:sz w:val="24"/>
                <w:lang w:bidi="ar"/>
              </w:rPr>
            </w:pPr>
            <w:r>
              <w:rPr>
                <w:rFonts w:hint="eastAsia" w:ascii="仿宋_GB2312" w:hAnsi="仿宋_GB2312" w:eastAsia="仿宋_GB2312" w:cs="仿宋_GB2312"/>
                <w:sz w:val="24"/>
                <w:lang w:val="en-US" w:eastAsia="zh-CN" w:bidi="ar"/>
              </w:rPr>
              <w:t>碳排放管理</w:t>
            </w:r>
          </w:p>
        </w:tc>
        <w:tc>
          <w:tcPr>
            <w:tcW w:w="928" w:type="pct"/>
            <w:tcBorders>
              <w:top w:val="single" w:color="auto" w:sz="4" w:space="0"/>
              <w:bottom w:val="single" w:color="auto" w:sz="4" w:space="0"/>
            </w:tcBorders>
            <w:noWrap w:val="0"/>
            <w:vAlign w:val="center"/>
          </w:tcPr>
          <w:p w14:paraId="1A00D1EE">
            <w:pPr>
              <w:jc w:val="center"/>
              <w:rPr>
                <w:rFonts w:ascii="仿宋_GB2312" w:hAnsi="仿宋_GB2312" w:eastAsia="仿宋_GB2312" w:cs="仿宋_GB2312"/>
                <w:sz w:val="24"/>
                <w:lang w:bidi="ar"/>
              </w:rPr>
            </w:pPr>
            <w:r>
              <w:rPr>
                <w:rFonts w:hint="eastAsia" w:ascii="仿宋_GB2312" w:hAnsi="仿宋_GB2312" w:eastAsia="仿宋_GB2312" w:cs="仿宋_GB2312"/>
                <w:sz w:val="24"/>
                <w:lang w:val="en-US" w:eastAsia="zh-CN" w:bidi="ar"/>
              </w:rPr>
              <w:t>广西壮族自治区环境保护科学研究院</w:t>
            </w:r>
          </w:p>
        </w:tc>
        <w:tc>
          <w:tcPr>
            <w:tcW w:w="1771" w:type="pct"/>
            <w:tcBorders>
              <w:top w:val="single" w:color="auto" w:sz="4" w:space="0"/>
              <w:bottom w:val="single" w:color="auto" w:sz="4" w:space="0"/>
              <w:right w:val="single" w:color="auto" w:sz="4" w:space="0"/>
            </w:tcBorders>
            <w:noWrap w:val="0"/>
            <w:vAlign w:val="center"/>
          </w:tcPr>
          <w:p w14:paraId="4678B44B">
            <w:pPr>
              <w:jc w:val="left"/>
              <w:rPr>
                <w:rFonts w:hint="eastAsia" w:ascii="仿宋_GB2312" w:hAnsi="仿宋_GB2312" w:eastAsia="仿宋_GB2312" w:cs="仿宋_GB2312"/>
                <w:sz w:val="24"/>
                <w:lang w:bidi="ar"/>
              </w:rPr>
            </w:pPr>
            <w:r>
              <w:rPr>
                <w:rFonts w:hint="eastAsia" w:ascii="仿宋_GB2312" w:hAnsi="仿宋_GB2312" w:eastAsia="仿宋_GB2312" w:cs="仿宋_GB2312"/>
                <w:sz w:val="24"/>
                <w:lang w:bidi="ar"/>
              </w:rPr>
              <w:t>参与标准文本及编制说明的编写；组织开展标准征求意见会；对标准实施情况进行总结分析，不断对地方标准提出修正意见。</w:t>
            </w:r>
          </w:p>
        </w:tc>
      </w:tr>
      <w:tr w14:paraId="7067FA10">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50" w:hRule="atLeast"/>
        </w:trPr>
        <w:tc>
          <w:tcPr>
            <w:tcW w:w="625" w:type="pct"/>
            <w:tcBorders>
              <w:top w:val="single" w:color="auto" w:sz="4" w:space="0"/>
              <w:left w:val="single" w:color="auto" w:sz="4" w:space="0"/>
              <w:bottom w:val="single" w:color="auto" w:sz="4" w:space="0"/>
            </w:tcBorders>
            <w:noWrap w:val="0"/>
            <w:vAlign w:val="center"/>
          </w:tcPr>
          <w:p w14:paraId="4CD2DA34">
            <w:pPr>
              <w:jc w:val="center"/>
              <w:rPr>
                <w:rFonts w:ascii="仿宋_GB2312" w:hAnsi="仿宋_GB2312" w:eastAsia="仿宋_GB2312" w:cs="仿宋_GB2312"/>
                <w:sz w:val="24"/>
                <w:lang w:bidi="ar"/>
              </w:rPr>
            </w:pPr>
            <w:r>
              <w:rPr>
                <w:rFonts w:hint="eastAsia" w:ascii="仿宋_GB2312" w:hAnsi="仿宋_GB2312" w:eastAsia="仿宋_GB2312" w:cs="仿宋_GB2312"/>
                <w:sz w:val="24"/>
                <w:lang w:bidi="ar"/>
              </w:rPr>
              <w:t>么欣</w:t>
            </w:r>
          </w:p>
        </w:tc>
        <w:tc>
          <w:tcPr>
            <w:tcW w:w="747" w:type="pct"/>
            <w:tcBorders>
              <w:top w:val="single" w:color="auto" w:sz="4" w:space="0"/>
              <w:bottom w:val="single" w:color="auto" w:sz="4" w:space="0"/>
            </w:tcBorders>
            <w:noWrap w:val="0"/>
            <w:vAlign w:val="center"/>
          </w:tcPr>
          <w:p w14:paraId="0ECF72CD">
            <w:pPr>
              <w:jc w:val="center"/>
              <w:rPr>
                <w:rFonts w:hint="eastAsia" w:ascii="仿宋_GB2312" w:hAnsi="仿宋_GB2312" w:eastAsia="仿宋_GB2312" w:cs="仿宋_GB2312"/>
                <w:sz w:val="24"/>
                <w:lang w:val="en-US" w:eastAsia="zh-CN" w:bidi="ar"/>
              </w:rPr>
            </w:pPr>
            <w:r>
              <w:rPr>
                <w:rFonts w:hint="eastAsia" w:ascii="仿宋_GB2312" w:hAnsi="仿宋_GB2312" w:eastAsia="仿宋_GB2312" w:cs="仿宋_GB2312"/>
                <w:sz w:val="24"/>
                <w:lang w:val="en-US" w:eastAsia="zh-CN" w:bidi="ar"/>
              </w:rPr>
              <w:t>工程师</w:t>
            </w:r>
          </w:p>
        </w:tc>
        <w:tc>
          <w:tcPr>
            <w:tcW w:w="927" w:type="pct"/>
            <w:tcBorders>
              <w:top w:val="single" w:color="auto" w:sz="4" w:space="0"/>
              <w:bottom w:val="single" w:color="auto" w:sz="4" w:space="0"/>
            </w:tcBorders>
            <w:noWrap w:val="0"/>
            <w:vAlign w:val="center"/>
          </w:tcPr>
          <w:p w14:paraId="67389F3F">
            <w:pPr>
              <w:jc w:val="center"/>
              <w:rPr>
                <w:rFonts w:ascii="仿宋_GB2312" w:hAnsi="仿宋_GB2312" w:eastAsia="仿宋_GB2312" w:cs="仿宋_GB2312"/>
                <w:sz w:val="24"/>
                <w:lang w:bidi="ar"/>
              </w:rPr>
            </w:pPr>
            <w:r>
              <w:rPr>
                <w:rFonts w:hint="eastAsia" w:ascii="仿宋_GB2312" w:hAnsi="仿宋_GB2312" w:eastAsia="仿宋_GB2312" w:cs="仿宋_GB2312"/>
                <w:sz w:val="24"/>
                <w:lang w:bidi="ar"/>
              </w:rPr>
              <w:t>环境科学</w:t>
            </w:r>
          </w:p>
        </w:tc>
        <w:tc>
          <w:tcPr>
            <w:tcW w:w="928" w:type="pct"/>
            <w:tcBorders>
              <w:top w:val="single" w:color="auto" w:sz="4" w:space="0"/>
              <w:bottom w:val="single" w:color="auto" w:sz="4" w:space="0"/>
            </w:tcBorders>
            <w:noWrap w:val="0"/>
            <w:vAlign w:val="center"/>
          </w:tcPr>
          <w:p w14:paraId="2F66D668">
            <w:pPr>
              <w:jc w:val="center"/>
              <w:rPr>
                <w:rFonts w:ascii="仿宋_GB2312" w:hAnsi="仿宋_GB2312" w:eastAsia="仿宋_GB2312" w:cs="仿宋_GB2312"/>
                <w:sz w:val="24"/>
                <w:lang w:bidi="ar"/>
              </w:rPr>
            </w:pPr>
            <w:r>
              <w:rPr>
                <w:rFonts w:hint="eastAsia" w:ascii="仿宋_GB2312" w:hAnsi="仿宋_GB2312" w:eastAsia="仿宋_GB2312" w:cs="仿宋_GB2312"/>
                <w:sz w:val="24"/>
                <w:lang w:bidi="ar"/>
              </w:rPr>
              <w:t>浙江灵析精仪科技发展有限公司</w:t>
            </w:r>
          </w:p>
        </w:tc>
        <w:tc>
          <w:tcPr>
            <w:tcW w:w="1771" w:type="pct"/>
            <w:tcBorders>
              <w:top w:val="single" w:color="auto" w:sz="4" w:space="0"/>
              <w:bottom w:val="single" w:color="auto" w:sz="4" w:space="0"/>
              <w:right w:val="single" w:color="auto" w:sz="4" w:space="0"/>
            </w:tcBorders>
            <w:noWrap w:val="0"/>
            <w:vAlign w:val="center"/>
          </w:tcPr>
          <w:p w14:paraId="74889B2A">
            <w:pPr>
              <w:jc w:val="left"/>
              <w:rPr>
                <w:rFonts w:hint="eastAsia" w:ascii="仿宋_GB2312" w:hAnsi="仿宋_GB2312" w:eastAsia="仿宋_GB2312" w:cs="仿宋_GB2312"/>
                <w:sz w:val="24"/>
                <w:lang w:bidi="ar"/>
              </w:rPr>
            </w:pPr>
            <w:r>
              <w:rPr>
                <w:rFonts w:hint="eastAsia" w:ascii="仿宋_GB2312" w:hAnsi="仿宋_GB2312" w:eastAsia="仿宋_GB2312" w:cs="仿宋_GB2312"/>
                <w:sz w:val="24"/>
                <w:lang w:bidi="ar"/>
              </w:rPr>
              <w:t>参与标准文本及编制说明的编写；组织开展标准征求意见会；对标准实施情况进行总结分析，不断对地方标准提出修正意见。</w:t>
            </w:r>
          </w:p>
        </w:tc>
      </w:tr>
      <w:tr w14:paraId="631D90DA">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50" w:hRule="atLeast"/>
        </w:trPr>
        <w:tc>
          <w:tcPr>
            <w:tcW w:w="625" w:type="pct"/>
            <w:tcBorders>
              <w:top w:val="single" w:color="auto" w:sz="4" w:space="0"/>
              <w:left w:val="single" w:color="auto" w:sz="4" w:space="0"/>
              <w:bottom w:val="single" w:color="auto" w:sz="4" w:space="0"/>
            </w:tcBorders>
            <w:noWrap w:val="0"/>
            <w:vAlign w:val="center"/>
          </w:tcPr>
          <w:p w14:paraId="7B44FEC3">
            <w:pPr>
              <w:jc w:val="center"/>
              <w:rPr>
                <w:rFonts w:ascii="仿宋_GB2312" w:hAnsi="仿宋_GB2312" w:eastAsia="仿宋_GB2312" w:cs="仿宋_GB2312"/>
                <w:sz w:val="24"/>
                <w:lang w:bidi="ar"/>
              </w:rPr>
            </w:pPr>
            <w:r>
              <w:rPr>
                <w:rFonts w:hint="eastAsia" w:ascii="仿宋_GB2312" w:hAnsi="仿宋_GB2312" w:eastAsia="仿宋_GB2312" w:cs="仿宋_GB2312"/>
                <w:sz w:val="24"/>
                <w:lang w:bidi="ar"/>
              </w:rPr>
              <w:t>艾天熊</w:t>
            </w:r>
          </w:p>
        </w:tc>
        <w:tc>
          <w:tcPr>
            <w:tcW w:w="747" w:type="pct"/>
            <w:tcBorders>
              <w:top w:val="single" w:color="auto" w:sz="4" w:space="0"/>
              <w:bottom w:val="single" w:color="auto" w:sz="4" w:space="0"/>
            </w:tcBorders>
            <w:noWrap w:val="0"/>
            <w:vAlign w:val="center"/>
          </w:tcPr>
          <w:p w14:paraId="2F4030E0">
            <w:pPr>
              <w:jc w:val="center"/>
              <w:rPr>
                <w:rFonts w:hint="eastAsia" w:ascii="仿宋_GB2312" w:hAnsi="仿宋_GB2312" w:eastAsia="仿宋_GB2312" w:cs="仿宋_GB2312"/>
                <w:sz w:val="24"/>
                <w:lang w:val="en-US" w:eastAsia="zh-CN" w:bidi="ar"/>
              </w:rPr>
            </w:pPr>
            <w:r>
              <w:rPr>
                <w:rFonts w:hint="eastAsia" w:ascii="仿宋_GB2312" w:hAnsi="仿宋_GB2312" w:eastAsia="仿宋_GB2312" w:cs="仿宋_GB2312"/>
                <w:sz w:val="24"/>
                <w:lang w:val="en-US" w:eastAsia="zh-CN" w:bidi="ar"/>
              </w:rPr>
              <w:t>工程师</w:t>
            </w:r>
          </w:p>
        </w:tc>
        <w:tc>
          <w:tcPr>
            <w:tcW w:w="927" w:type="pct"/>
            <w:tcBorders>
              <w:top w:val="single" w:color="auto" w:sz="4" w:space="0"/>
              <w:bottom w:val="single" w:color="auto" w:sz="4" w:space="0"/>
            </w:tcBorders>
            <w:noWrap w:val="0"/>
            <w:vAlign w:val="center"/>
          </w:tcPr>
          <w:p w14:paraId="63DF6684">
            <w:pPr>
              <w:jc w:val="center"/>
              <w:rPr>
                <w:rFonts w:hint="default" w:ascii="仿宋_GB2312" w:hAnsi="仿宋_GB2312" w:eastAsia="仿宋_GB2312" w:cs="仿宋_GB2312"/>
                <w:sz w:val="24"/>
                <w:lang w:val="en-US" w:eastAsia="zh-CN" w:bidi="ar"/>
              </w:rPr>
            </w:pPr>
            <w:r>
              <w:rPr>
                <w:rFonts w:hint="eastAsia" w:ascii="仿宋_GB2312" w:hAnsi="仿宋_GB2312" w:eastAsia="仿宋_GB2312" w:cs="仿宋_GB2312"/>
                <w:sz w:val="24"/>
                <w:lang w:val="en-US" w:eastAsia="zh-CN" w:bidi="ar"/>
              </w:rPr>
              <w:t>软件工程</w:t>
            </w:r>
          </w:p>
        </w:tc>
        <w:tc>
          <w:tcPr>
            <w:tcW w:w="928" w:type="pct"/>
            <w:tcBorders>
              <w:top w:val="single" w:color="auto" w:sz="4" w:space="0"/>
              <w:bottom w:val="single" w:color="auto" w:sz="4" w:space="0"/>
            </w:tcBorders>
            <w:noWrap w:val="0"/>
            <w:vAlign w:val="center"/>
          </w:tcPr>
          <w:p w14:paraId="096F126D">
            <w:pPr>
              <w:jc w:val="center"/>
              <w:rPr>
                <w:rFonts w:ascii="仿宋_GB2312" w:hAnsi="仿宋_GB2312" w:eastAsia="仿宋_GB2312" w:cs="仿宋_GB2312"/>
                <w:sz w:val="24"/>
                <w:lang w:bidi="ar"/>
              </w:rPr>
            </w:pPr>
            <w:r>
              <w:rPr>
                <w:rFonts w:hint="eastAsia" w:ascii="仿宋_GB2312" w:hAnsi="仿宋_GB2312" w:eastAsia="仿宋_GB2312" w:cs="仿宋_GB2312"/>
                <w:sz w:val="24"/>
                <w:lang w:bidi="ar"/>
              </w:rPr>
              <w:t>浙江灵析精仪科技发展有限公司</w:t>
            </w:r>
          </w:p>
        </w:tc>
        <w:tc>
          <w:tcPr>
            <w:tcW w:w="1771" w:type="pct"/>
            <w:tcBorders>
              <w:top w:val="single" w:color="auto" w:sz="4" w:space="0"/>
              <w:bottom w:val="single" w:color="auto" w:sz="4" w:space="0"/>
              <w:right w:val="single" w:color="auto" w:sz="4" w:space="0"/>
            </w:tcBorders>
            <w:noWrap w:val="0"/>
            <w:vAlign w:val="center"/>
          </w:tcPr>
          <w:p w14:paraId="78CFD837">
            <w:pPr>
              <w:jc w:val="left"/>
              <w:rPr>
                <w:rFonts w:hint="eastAsia" w:ascii="仿宋_GB2312" w:hAnsi="仿宋_GB2312" w:eastAsia="仿宋_GB2312" w:cs="仿宋_GB2312"/>
                <w:sz w:val="24"/>
                <w:lang w:bidi="ar"/>
              </w:rPr>
            </w:pPr>
            <w:r>
              <w:rPr>
                <w:rFonts w:hint="eastAsia" w:ascii="仿宋_GB2312" w:hAnsi="仿宋_GB2312" w:eastAsia="仿宋_GB2312" w:cs="仿宋_GB2312"/>
                <w:sz w:val="24"/>
                <w:lang w:bidi="ar"/>
              </w:rPr>
              <w:t>参与标准文本及编制说明的编写；组织开展标准征求意见会；对标准实施情况进行总结分析，不断对地方标准提出修正意见。</w:t>
            </w:r>
          </w:p>
        </w:tc>
      </w:tr>
      <w:tr w14:paraId="7A42DBCC">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50" w:hRule="atLeast"/>
        </w:trPr>
        <w:tc>
          <w:tcPr>
            <w:tcW w:w="625" w:type="pct"/>
            <w:tcBorders>
              <w:top w:val="single" w:color="auto" w:sz="4" w:space="0"/>
              <w:left w:val="single" w:color="auto" w:sz="4" w:space="0"/>
              <w:bottom w:val="single" w:color="auto" w:sz="4" w:space="0"/>
            </w:tcBorders>
            <w:noWrap w:val="0"/>
            <w:vAlign w:val="center"/>
          </w:tcPr>
          <w:p w14:paraId="6907E761">
            <w:pPr>
              <w:jc w:val="center"/>
              <w:rPr>
                <w:rFonts w:ascii="仿宋_GB2312" w:hAnsi="仿宋_GB2312" w:eastAsia="仿宋_GB2312" w:cs="仿宋_GB2312"/>
                <w:sz w:val="24"/>
                <w:lang w:bidi="ar"/>
              </w:rPr>
            </w:pPr>
            <w:r>
              <w:rPr>
                <w:rFonts w:hint="eastAsia" w:ascii="仿宋_GB2312" w:hAnsi="仿宋_GB2312" w:eastAsia="仿宋_GB2312" w:cs="仿宋_GB2312"/>
                <w:sz w:val="24"/>
                <w:lang w:val="en-US" w:eastAsia="zh-CN" w:bidi="ar"/>
              </w:rPr>
              <w:t>李维城</w:t>
            </w:r>
          </w:p>
        </w:tc>
        <w:tc>
          <w:tcPr>
            <w:tcW w:w="747" w:type="pct"/>
            <w:tcBorders>
              <w:top w:val="single" w:color="auto" w:sz="4" w:space="0"/>
              <w:bottom w:val="single" w:color="auto" w:sz="4" w:space="0"/>
            </w:tcBorders>
            <w:noWrap w:val="0"/>
            <w:vAlign w:val="center"/>
          </w:tcPr>
          <w:p w14:paraId="01500508">
            <w:pPr>
              <w:jc w:val="center"/>
              <w:rPr>
                <w:rFonts w:hint="default" w:ascii="仿宋_GB2312" w:hAnsi="仿宋_GB2312" w:eastAsia="仿宋_GB2312" w:cs="仿宋_GB2312"/>
                <w:sz w:val="24"/>
                <w:lang w:val="en-US" w:eastAsia="zh-CN" w:bidi="ar"/>
              </w:rPr>
            </w:pPr>
            <w:r>
              <w:rPr>
                <w:rFonts w:hint="eastAsia" w:ascii="仿宋_GB2312" w:hAnsi="仿宋_GB2312" w:eastAsia="仿宋_GB2312" w:cs="仿宋_GB2312"/>
                <w:sz w:val="24"/>
                <w:lang w:val="en-US" w:eastAsia="zh-CN" w:bidi="ar"/>
              </w:rPr>
              <w:t>助理工程师</w:t>
            </w:r>
          </w:p>
        </w:tc>
        <w:tc>
          <w:tcPr>
            <w:tcW w:w="927" w:type="pct"/>
            <w:tcBorders>
              <w:top w:val="single" w:color="auto" w:sz="4" w:space="0"/>
              <w:bottom w:val="single" w:color="auto" w:sz="4" w:space="0"/>
            </w:tcBorders>
            <w:noWrap w:val="0"/>
            <w:vAlign w:val="center"/>
          </w:tcPr>
          <w:p w14:paraId="67337568">
            <w:pPr>
              <w:jc w:val="center"/>
              <w:rPr>
                <w:rFonts w:hint="default" w:ascii="仿宋_GB2312" w:hAnsi="仿宋_GB2312" w:eastAsia="仿宋_GB2312" w:cs="仿宋_GB2312"/>
                <w:sz w:val="24"/>
                <w:lang w:val="en-US" w:eastAsia="zh-CN" w:bidi="ar"/>
              </w:rPr>
            </w:pPr>
            <w:r>
              <w:rPr>
                <w:rFonts w:hint="eastAsia" w:ascii="仿宋_GB2312" w:hAnsi="仿宋_GB2312" w:eastAsia="仿宋_GB2312" w:cs="仿宋_GB2312"/>
                <w:sz w:val="24"/>
                <w:lang w:val="en-US" w:eastAsia="zh-CN" w:bidi="ar"/>
              </w:rPr>
              <w:t>大数据信息治理</w:t>
            </w:r>
          </w:p>
        </w:tc>
        <w:tc>
          <w:tcPr>
            <w:tcW w:w="928" w:type="pct"/>
            <w:tcBorders>
              <w:top w:val="single" w:color="auto" w:sz="4" w:space="0"/>
              <w:bottom w:val="single" w:color="auto" w:sz="4" w:space="0"/>
            </w:tcBorders>
            <w:noWrap w:val="0"/>
            <w:vAlign w:val="center"/>
          </w:tcPr>
          <w:p w14:paraId="7ACFDCF3">
            <w:pPr>
              <w:jc w:val="center"/>
              <w:rPr>
                <w:rFonts w:ascii="仿宋_GB2312" w:hAnsi="仿宋_GB2312" w:eastAsia="仿宋_GB2312" w:cs="仿宋_GB2312"/>
                <w:sz w:val="24"/>
                <w:lang w:bidi="ar"/>
              </w:rPr>
            </w:pPr>
            <w:r>
              <w:rPr>
                <w:rFonts w:hint="eastAsia" w:ascii="仿宋_GB2312" w:hAnsi="仿宋_GB2312" w:eastAsia="仿宋_GB2312" w:cs="仿宋_GB2312"/>
                <w:sz w:val="24"/>
                <w:lang w:bidi="ar"/>
              </w:rPr>
              <w:t>广西产研院绿色低碳技术研究所有限公司</w:t>
            </w:r>
          </w:p>
        </w:tc>
        <w:tc>
          <w:tcPr>
            <w:tcW w:w="1771" w:type="pct"/>
            <w:tcBorders>
              <w:top w:val="single" w:color="auto" w:sz="4" w:space="0"/>
              <w:bottom w:val="single" w:color="auto" w:sz="4" w:space="0"/>
              <w:right w:val="single" w:color="auto" w:sz="4" w:space="0"/>
            </w:tcBorders>
            <w:noWrap w:val="0"/>
            <w:vAlign w:val="center"/>
          </w:tcPr>
          <w:p w14:paraId="7426734D">
            <w:pPr>
              <w:jc w:val="left"/>
              <w:rPr>
                <w:rFonts w:hint="eastAsia" w:ascii="仿宋_GB2312" w:hAnsi="仿宋_GB2312" w:eastAsia="仿宋_GB2312" w:cs="仿宋_GB2312"/>
                <w:sz w:val="24"/>
                <w:lang w:bidi="ar"/>
              </w:rPr>
            </w:pPr>
            <w:r>
              <w:rPr>
                <w:rFonts w:hint="eastAsia" w:ascii="仿宋_GB2312" w:hAnsi="仿宋_GB2312" w:eastAsia="仿宋_GB2312" w:cs="仿宋_GB2312"/>
                <w:sz w:val="24"/>
                <w:lang w:bidi="ar"/>
              </w:rPr>
              <w:t>参与标准文本及编制说明的编写；组织开展标准征求意见会；对标准实施情况进行总结分析，不断对地方标准提出修正意见。</w:t>
            </w:r>
          </w:p>
        </w:tc>
      </w:tr>
    </w:tbl>
    <w:p w14:paraId="01C1A59A">
      <w:pPr>
        <w:spacing w:line="560" w:lineRule="exact"/>
        <w:rPr>
          <w:rFonts w:hint="eastAsia" w:ascii="仿宋_GB2312" w:hAnsi="仿宋_GB2312" w:eastAsia="仿宋_GB2312" w:cs="Calibri"/>
          <w:color w:val="auto"/>
          <w:spacing w:val="2"/>
          <w:sz w:val="32"/>
          <w:highlight w:val="none"/>
        </w:rPr>
      </w:pPr>
    </w:p>
    <w:p w14:paraId="38BDEFCF">
      <w:pPr>
        <w:spacing w:line="560" w:lineRule="exact"/>
        <w:rPr>
          <w:rFonts w:hint="eastAsia" w:ascii="仿宋_GB2312" w:hAnsi="仿宋_GB2312" w:eastAsia="仿宋_GB2312" w:cs="Calibri"/>
          <w:color w:val="auto"/>
          <w:spacing w:val="2"/>
          <w:sz w:val="32"/>
          <w:highlight w:val="none"/>
        </w:rPr>
      </w:pPr>
    </w:p>
    <w:p w14:paraId="707023E9">
      <w:pPr>
        <w:autoSpaceDE w:val="0"/>
        <w:autoSpaceDN w:val="0"/>
        <w:adjustRightInd w:val="0"/>
        <w:spacing w:before="156" w:beforeLines="50" w:after="156" w:afterLines="50" w:line="560" w:lineRule="exact"/>
        <w:ind w:firstLine="640" w:firstLineChars="200"/>
        <w:outlineLvl w:val="0"/>
        <w:rPr>
          <w:rFonts w:hint="eastAsia" w:ascii="黑体" w:hAnsi="黑体" w:eastAsia="黑体" w:cs="仿宋_GB2312"/>
          <w:color w:val="auto"/>
          <w:sz w:val="32"/>
          <w:szCs w:val="32"/>
          <w:highlight w:val="none"/>
        </w:rPr>
      </w:pPr>
      <w:bookmarkStart w:id="7" w:name="_Toc496533826"/>
      <w:bookmarkEnd w:id="7"/>
      <w:bookmarkStart w:id="8" w:name="_Toc18728"/>
      <w:bookmarkStart w:id="9" w:name="_Hlk496535751"/>
      <w:r>
        <w:rPr>
          <w:rFonts w:hint="eastAsia" w:ascii="黑体" w:hAnsi="黑体" w:eastAsia="黑体" w:cs="仿宋_GB2312"/>
          <w:color w:val="auto"/>
          <w:sz w:val="32"/>
          <w:szCs w:val="32"/>
          <w:highlight w:val="none"/>
        </w:rPr>
        <w:t>二、制定标准</w:t>
      </w:r>
      <w:r>
        <w:rPr>
          <w:rFonts w:ascii="黑体" w:hAnsi="黑体" w:eastAsia="黑体" w:cs="仿宋_GB2312"/>
          <w:color w:val="auto"/>
          <w:sz w:val="32"/>
          <w:szCs w:val="32"/>
          <w:highlight w:val="none"/>
        </w:rPr>
        <w:t>的必要性</w:t>
      </w:r>
      <w:bookmarkEnd w:id="8"/>
    </w:p>
    <w:p w14:paraId="07736C1F">
      <w:pPr>
        <w:spacing w:line="560" w:lineRule="exact"/>
        <w:ind w:firstLine="648" w:firstLineChars="200"/>
        <w:rPr>
          <w:rFonts w:hint="eastAsia" w:ascii="仿宋_GB2312" w:hAnsi="仿宋_GB2312" w:eastAsia="仿宋_GB2312" w:cs="Calibri"/>
          <w:color w:val="auto"/>
          <w:spacing w:val="2"/>
          <w:sz w:val="32"/>
          <w:highlight w:val="none"/>
        </w:rPr>
      </w:pPr>
      <w:r>
        <w:rPr>
          <w:rFonts w:hint="eastAsia" w:ascii="仿宋_GB2312" w:hAnsi="仿宋_GB2312" w:eastAsia="仿宋_GB2312" w:cs="Calibri"/>
          <w:color w:val="auto"/>
          <w:spacing w:val="2"/>
          <w:sz w:val="32"/>
          <w:highlight w:val="none"/>
        </w:rPr>
        <w:t>“碳达峰、碳中和”战略目标推进过程中，工业园区作为工业经济核心载体与温室气体排放主要源头，其排放监管的科学性、精准性直接影响区域“双碳”任务落地成效。当前我国现行标准体系中，温室气体监测相关标准多聚焦于大气本底观测或固定污染源单一污染物监测，缺乏针对工业园区复杂场景的温室气体连续监测专项技术规范。现有标准难以覆盖园区全维度监测需求，导致园区碳排放核算数据来源不统一、监测方法不规范，无法为减排效果评估、监管决策提供精准支撑。本标准专门针对工业园区场景构建系统化监测技术框架，可填补该领域标准空白。</w:t>
      </w:r>
    </w:p>
    <w:p w14:paraId="243D4CE9">
      <w:pPr>
        <w:spacing w:line="560" w:lineRule="exact"/>
        <w:ind w:firstLine="648" w:firstLineChars="200"/>
        <w:rPr>
          <w:rFonts w:hint="eastAsia" w:ascii="仿宋_GB2312" w:hAnsi="仿宋_GB2312" w:eastAsia="仿宋_GB2312" w:cs="Calibri"/>
          <w:color w:val="auto"/>
          <w:spacing w:val="2"/>
          <w:sz w:val="32"/>
          <w:highlight w:val="none"/>
        </w:rPr>
      </w:pPr>
      <w:r>
        <w:rPr>
          <w:rFonts w:hint="eastAsia" w:ascii="仿宋_GB2312" w:hAnsi="仿宋_GB2312" w:eastAsia="仿宋_GB2312" w:cs="Calibri"/>
          <w:color w:val="auto"/>
          <w:spacing w:val="2"/>
          <w:sz w:val="32"/>
          <w:highlight w:val="none"/>
        </w:rPr>
        <w:t>当前工业园区温室气体监测存在多方面核心痛点</w:t>
      </w:r>
      <w:r>
        <w:rPr>
          <w:rFonts w:hint="eastAsia" w:ascii="仿宋_GB2312" w:hAnsi="仿宋_GB2312" w:eastAsia="仿宋_GB2312" w:cs="Calibri"/>
          <w:color w:val="auto"/>
          <w:spacing w:val="2"/>
          <w:sz w:val="32"/>
          <w:highlight w:val="none"/>
          <w:lang w:eastAsia="zh-CN"/>
        </w:rPr>
        <w:t>，</w:t>
      </w:r>
      <w:r>
        <w:rPr>
          <w:rFonts w:hint="eastAsia" w:ascii="仿宋_GB2312" w:hAnsi="仿宋_GB2312" w:eastAsia="仿宋_GB2312" w:cs="Calibri"/>
          <w:color w:val="auto"/>
          <w:spacing w:val="2"/>
          <w:sz w:val="32"/>
          <w:highlight w:val="none"/>
          <w:lang w:val="en-US" w:eastAsia="zh-CN"/>
        </w:rPr>
        <w:t>一是</w:t>
      </w:r>
      <w:r>
        <w:rPr>
          <w:rFonts w:hint="eastAsia" w:ascii="仿宋_GB2312" w:hAnsi="仿宋_GB2312" w:eastAsia="仿宋_GB2312" w:cs="Calibri"/>
          <w:color w:val="auto"/>
          <w:spacing w:val="2"/>
          <w:sz w:val="32"/>
          <w:highlight w:val="none"/>
        </w:rPr>
        <w:t>点位布设随意性大，数据代表性不足；</w:t>
      </w:r>
      <w:r>
        <w:rPr>
          <w:rFonts w:hint="eastAsia" w:ascii="仿宋_GB2312" w:hAnsi="仿宋_GB2312" w:eastAsia="仿宋_GB2312" w:cs="Calibri"/>
          <w:color w:val="auto"/>
          <w:spacing w:val="2"/>
          <w:sz w:val="32"/>
          <w:highlight w:val="none"/>
          <w:lang w:val="en-US" w:eastAsia="zh-CN"/>
        </w:rPr>
        <w:t>二是</w:t>
      </w:r>
      <w:r>
        <w:rPr>
          <w:rFonts w:hint="eastAsia" w:ascii="仿宋_GB2312" w:hAnsi="仿宋_GB2312" w:eastAsia="仿宋_GB2312" w:cs="Calibri"/>
          <w:color w:val="auto"/>
          <w:spacing w:val="2"/>
          <w:sz w:val="32"/>
          <w:highlight w:val="none"/>
        </w:rPr>
        <w:t>设备选型与运维不统一，数据准确性难以保障；</w:t>
      </w:r>
      <w:r>
        <w:rPr>
          <w:rFonts w:hint="eastAsia" w:ascii="仿宋_GB2312" w:hAnsi="仿宋_GB2312" w:eastAsia="仿宋_GB2312" w:cs="Calibri"/>
          <w:color w:val="auto"/>
          <w:spacing w:val="2"/>
          <w:sz w:val="32"/>
          <w:highlight w:val="none"/>
          <w:lang w:val="en-US" w:eastAsia="zh-CN"/>
        </w:rPr>
        <w:t>三是</w:t>
      </w:r>
      <w:r>
        <w:rPr>
          <w:rFonts w:hint="eastAsia" w:ascii="仿宋_GB2312" w:hAnsi="仿宋_GB2312" w:eastAsia="仿宋_GB2312" w:cs="Calibri"/>
          <w:color w:val="auto"/>
          <w:spacing w:val="2"/>
          <w:sz w:val="32"/>
          <w:highlight w:val="none"/>
        </w:rPr>
        <w:t>数据管理缺失规范，无法支撑长期排放趋势分析。本标准通过明确点位布设原则、设备性能指标、运维频次及数据审核规则，可系统性解决上述痛点，实现监测全流程标准化，确保各环节操作有章可循，提升监测工作的规范性与可操作性。</w:t>
      </w:r>
    </w:p>
    <w:p w14:paraId="1A01CCB6">
      <w:pPr>
        <w:spacing w:line="560" w:lineRule="exact"/>
        <w:ind w:firstLine="648" w:firstLineChars="200"/>
        <w:rPr>
          <w:rFonts w:hint="eastAsia" w:ascii="仿宋_GB2312" w:hAnsi="仿宋_GB2312" w:eastAsia="仿宋_GB2312" w:cs="Calibri"/>
          <w:color w:val="auto"/>
          <w:spacing w:val="2"/>
          <w:sz w:val="32"/>
          <w:highlight w:val="none"/>
        </w:rPr>
      </w:pPr>
      <w:r>
        <w:rPr>
          <w:rFonts w:hint="eastAsia" w:ascii="仿宋_GB2312" w:hAnsi="仿宋_GB2312" w:eastAsia="仿宋_GB2312" w:cs="Calibri"/>
          <w:color w:val="auto"/>
          <w:spacing w:val="2"/>
          <w:sz w:val="32"/>
          <w:highlight w:val="none"/>
        </w:rPr>
        <w:t>工业园区温室气体排放监管需以可测量、可报告、可核查为核心前提，高质量监测数据是该体系的基础。当前因缺乏统一标准，不同园区监测数据可比性差，部分园区数据偏差大、存在漂移或断链无效问题，严重影响碳排放</w:t>
      </w:r>
      <w:r>
        <w:rPr>
          <w:rFonts w:hint="eastAsia" w:ascii="仿宋_GB2312" w:hAnsi="仿宋_GB2312" w:eastAsia="仿宋_GB2312" w:cs="Calibri"/>
          <w:color w:val="auto"/>
          <w:spacing w:val="2"/>
          <w:sz w:val="32"/>
          <w:highlight w:val="none"/>
          <w:lang w:val="en-US" w:eastAsia="zh-CN"/>
        </w:rPr>
        <w:t>评价</w:t>
      </w:r>
      <w:r>
        <w:rPr>
          <w:rFonts w:hint="eastAsia" w:ascii="仿宋_GB2312" w:hAnsi="仿宋_GB2312" w:eastAsia="仿宋_GB2312" w:cs="Calibri"/>
          <w:color w:val="auto"/>
          <w:spacing w:val="2"/>
          <w:sz w:val="32"/>
          <w:highlight w:val="none"/>
        </w:rPr>
        <w:t>、减排项目审定等工作的科学性。本标准通过设定分级监测要求、严格质量控制措施、明确数据获取率底线，可确保监测数据的准确性、连续性与可比性，为园区碳排放核算提供可靠数据，同时为减排措施效果评估提供量化依据，助力园区从粗放式减排向精准式减排转型。</w:t>
      </w:r>
    </w:p>
    <w:p w14:paraId="30C8B9AC">
      <w:pPr>
        <w:spacing w:line="560" w:lineRule="exact"/>
        <w:ind w:firstLine="648" w:firstLineChars="200"/>
        <w:rPr>
          <w:rFonts w:hint="eastAsia" w:ascii="仿宋_GB2312" w:hAnsi="仿宋_GB2312" w:eastAsia="仿宋_GB2312" w:cs="Calibri"/>
          <w:color w:val="auto"/>
          <w:spacing w:val="2"/>
          <w:sz w:val="32"/>
          <w:highlight w:val="none"/>
        </w:rPr>
      </w:pPr>
      <w:r>
        <w:rPr>
          <w:rFonts w:hint="eastAsia" w:ascii="仿宋_GB2312" w:hAnsi="仿宋_GB2312" w:eastAsia="仿宋_GB2312" w:cs="Calibri"/>
          <w:color w:val="auto"/>
          <w:spacing w:val="2"/>
          <w:sz w:val="32"/>
          <w:highlight w:val="none"/>
        </w:rPr>
        <w:t>本标准起草单位充分考虑</w:t>
      </w:r>
      <w:r>
        <w:rPr>
          <w:rFonts w:hint="eastAsia" w:ascii="仿宋_GB2312" w:hAnsi="仿宋_GB2312" w:eastAsia="仿宋_GB2312" w:cs="Calibri"/>
          <w:color w:val="auto"/>
          <w:spacing w:val="2"/>
          <w:sz w:val="32"/>
          <w:highlight w:val="none"/>
          <w:lang w:val="en-US" w:eastAsia="zh-CN"/>
        </w:rPr>
        <w:t>目前我区</w:t>
      </w:r>
      <w:r>
        <w:rPr>
          <w:rFonts w:hint="eastAsia" w:ascii="仿宋_GB2312" w:hAnsi="仿宋_GB2312" w:eastAsia="仿宋_GB2312" w:cs="Calibri"/>
          <w:color w:val="auto"/>
          <w:spacing w:val="2"/>
          <w:sz w:val="32"/>
          <w:highlight w:val="none"/>
        </w:rPr>
        <w:t>产业布局特点，在点位布设、设备安装、运维等内容设计上，均针对区域实际需求，可有效解决园区监测的特殊难题。标准实施后，能推动工业园区建立统一的温室气体监测体系，为碳市场建设、跨区域减排协同提供技术支撑，助力地方实现绿色低碳发展目标。</w:t>
      </w:r>
    </w:p>
    <w:p w14:paraId="1F87C5AA">
      <w:pPr>
        <w:autoSpaceDE w:val="0"/>
        <w:autoSpaceDN w:val="0"/>
        <w:adjustRightInd w:val="0"/>
        <w:spacing w:before="156" w:beforeLines="50" w:after="156" w:afterLines="50" w:line="560" w:lineRule="exact"/>
        <w:ind w:firstLine="640" w:firstLineChars="200"/>
        <w:jc w:val="left"/>
        <w:outlineLvl w:val="0"/>
        <w:rPr>
          <w:rFonts w:eastAsia="黑体"/>
          <w:color w:val="auto"/>
          <w:sz w:val="32"/>
          <w:szCs w:val="32"/>
          <w:highlight w:val="none"/>
        </w:rPr>
      </w:pPr>
      <w:bookmarkStart w:id="10" w:name="_Toc7050"/>
      <w:r>
        <w:rPr>
          <w:rFonts w:hint="eastAsia" w:eastAsia="黑体"/>
          <w:color w:val="auto"/>
          <w:sz w:val="32"/>
          <w:szCs w:val="32"/>
          <w:highlight w:val="none"/>
        </w:rPr>
        <w:t>三、</w:t>
      </w:r>
      <w:r>
        <w:rPr>
          <w:rFonts w:hint="eastAsia" w:ascii="黑体" w:hAnsi="黑体" w:eastAsia="黑体" w:cs="仿宋_GB2312"/>
          <w:color w:val="auto"/>
          <w:sz w:val="32"/>
          <w:szCs w:val="32"/>
          <w:highlight w:val="none"/>
        </w:rPr>
        <w:t>制定标准</w:t>
      </w:r>
      <w:r>
        <w:rPr>
          <w:rFonts w:hint="eastAsia" w:eastAsia="黑体"/>
          <w:color w:val="auto"/>
          <w:sz w:val="32"/>
          <w:szCs w:val="32"/>
          <w:highlight w:val="none"/>
        </w:rPr>
        <w:t>的意义及目的</w:t>
      </w:r>
      <w:bookmarkEnd w:id="10"/>
    </w:p>
    <w:p w14:paraId="6923E25E">
      <w:pPr>
        <w:spacing w:line="560" w:lineRule="exact"/>
        <w:ind w:firstLine="648" w:firstLineChars="200"/>
        <w:rPr>
          <w:rFonts w:hint="eastAsia" w:ascii="仿宋_GB2312" w:hAnsi="仿宋_GB2312" w:eastAsia="仿宋_GB2312" w:cs="Calibri"/>
          <w:color w:val="auto"/>
          <w:spacing w:val="2"/>
          <w:sz w:val="32"/>
          <w:highlight w:val="none"/>
        </w:rPr>
      </w:pPr>
      <w:r>
        <w:rPr>
          <w:rFonts w:hint="eastAsia" w:ascii="仿宋_GB2312" w:hAnsi="仿宋_GB2312" w:eastAsia="仿宋_GB2312" w:cs="Calibri"/>
          <w:color w:val="auto"/>
          <w:spacing w:val="2"/>
          <w:sz w:val="32"/>
          <w:highlight w:val="none"/>
        </w:rPr>
        <w:t>（一）制定标准的意义</w:t>
      </w:r>
    </w:p>
    <w:p w14:paraId="7D939EAB">
      <w:pPr>
        <w:spacing w:line="560" w:lineRule="exact"/>
        <w:ind w:firstLine="648" w:firstLineChars="200"/>
        <w:rPr>
          <w:rFonts w:hint="eastAsia" w:ascii="仿宋_GB2312" w:hAnsi="仿宋_GB2312" w:eastAsia="仿宋_GB2312" w:cs="Calibri"/>
          <w:color w:val="auto"/>
          <w:spacing w:val="2"/>
          <w:sz w:val="32"/>
          <w:highlight w:val="none"/>
        </w:rPr>
      </w:pPr>
      <w:r>
        <w:rPr>
          <w:rFonts w:hint="eastAsia" w:ascii="仿宋_GB2312" w:hAnsi="仿宋_GB2312" w:eastAsia="仿宋_GB2312" w:cs="Calibri"/>
          <w:color w:val="auto"/>
          <w:spacing w:val="2"/>
          <w:sz w:val="32"/>
          <w:highlight w:val="none"/>
          <w:lang w:val="en-US" w:eastAsia="zh-CN"/>
        </w:rPr>
        <w:t>1.</w:t>
      </w:r>
      <w:r>
        <w:rPr>
          <w:rFonts w:hint="eastAsia" w:ascii="仿宋_GB2312" w:hAnsi="仿宋_GB2312" w:eastAsia="仿宋_GB2312" w:cs="Calibri"/>
          <w:color w:val="auto"/>
          <w:spacing w:val="2"/>
          <w:sz w:val="32"/>
          <w:highlight w:val="none"/>
        </w:rPr>
        <w:t>完善温室气体监测标准体系</w:t>
      </w:r>
    </w:p>
    <w:p w14:paraId="6D4F2E94">
      <w:pPr>
        <w:spacing w:line="560" w:lineRule="exact"/>
        <w:ind w:firstLine="648" w:firstLineChars="200"/>
        <w:rPr>
          <w:rFonts w:hint="eastAsia" w:ascii="仿宋_GB2312" w:hAnsi="仿宋_GB2312" w:eastAsia="仿宋_GB2312" w:cs="Calibri"/>
          <w:color w:val="auto"/>
          <w:spacing w:val="2"/>
          <w:sz w:val="32"/>
          <w:highlight w:val="none"/>
        </w:rPr>
      </w:pPr>
      <w:r>
        <w:rPr>
          <w:rFonts w:hint="eastAsia" w:ascii="仿宋_GB2312" w:hAnsi="仿宋_GB2312" w:eastAsia="仿宋_GB2312" w:cs="Calibri"/>
          <w:color w:val="auto"/>
          <w:spacing w:val="2"/>
          <w:sz w:val="32"/>
          <w:highlight w:val="none"/>
        </w:rPr>
        <w:t>当前针对工业园区温室气体连续监测的专项技术规范存在空白，本标准聚焦工业园区这一关键排放载体，围绕监测全流程构建技术框架，与现有大气本底观测、固定污染源监测相关标准形成互补，填补园区级温室气体连续监测的标准短板，进一步完善我国温室气体监测标准体系，为后续同类标准制定提供参考依据。</w:t>
      </w:r>
    </w:p>
    <w:p w14:paraId="77953142">
      <w:pPr>
        <w:spacing w:line="560" w:lineRule="exact"/>
        <w:ind w:firstLine="648" w:firstLineChars="200"/>
        <w:rPr>
          <w:rFonts w:hint="eastAsia" w:ascii="仿宋_GB2312" w:hAnsi="仿宋_GB2312" w:eastAsia="仿宋_GB2312" w:cs="Calibri"/>
          <w:color w:val="auto"/>
          <w:spacing w:val="2"/>
          <w:sz w:val="32"/>
          <w:highlight w:val="none"/>
        </w:rPr>
      </w:pPr>
      <w:r>
        <w:rPr>
          <w:rFonts w:hint="eastAsia" w:ascii="仿宋_GB2312" w:hAnsi="仿宋_GB2312" w:eastAsia="仿宋_GB2312" w:cs="Calibri"/>
          <w:color w:val="auto"/>
          <w:spacing w:val="2"/>
          <w:sz w:val="32"/>
          <w:highlight w:val="none"/>
          <w:lang w:val="en-US" w:eastAsia="zh-CN"/>
        </w:rPr>
        <w:t>2.</w:t>
      </w:r>
      <w:r>
        <w:rPr>
          <w:rFonts w:hint="eastAsia" w:ascii="仿宋_GB2312" w:hAnsi="仿宋_GB2312" w:eastAsia="仿宋_GB2312" w:cs="Calibri"/>
          <w:color w:val="auto"/>
          <w:spacing w:val="2"/>
          <w:sz w:val="32"/>
          <w:highlight w:val="none"/>
        </w:rPr>
        <w:t>规范园区监测行为，提升行业监测水平</w:t>
      </w:r>
    </w:p>
    <w:p w14:paraId="596819D4">
      <w:pPr>
        <w:spacing w:line="560" w:lineRule="exact"/>
        <w:ind w:firstLine="648" w:firstLineChars="200"/>
        <w:rPr>
          <w:rFonts w:hint="eastAsia" w:ascii="仿宋_GB2312" w:hAnsi="仿宋_GB2312" w:eastAsia="仿宋_GB2312" w:cs="Calibri"/>
          <w:color w:val="auto"/>
          <w:spacing w:val="2"/>
          <w:sz w:val="32"/>
          <w:highlight w:val="none"/>
        </w:rPr>
      </w:pPr>
      <w:r>
        <w:rPr>
          <w:rFonts w:hint="eastAsia" w:ascii="仿宋_GB2312" w:hAnsi="仿宋_GB2312" w:eastAsia="仿宋_GB2312" w:cs="Calibri"/>
          <w:color w:val="auto"/>
          <w:spacing w:val="2"/>
          <w:sz w:val="32"/>
          <w:highlight w:val="none"/>
        </w:rPr>
        <w:t>此前工业园区温室气体监测存在点位布设随意、设备运维不统一、数据管理不规范等问题，导致监测工作缺乏统一指引。本标准明确监测系统技术要求、点位布设原则、运行维护流程等核心内容，为园区监测提供标准化技术依据，推动行业从分散化、经验化监测向规范化、专业化监测转型，整体提升工业园区温室气体监测行业水平。</w:t>
      </w:r>
    </w:p>
    <w:p w14:paraId="5F07803A">
      <w:pPr>
        <w:spacing w:line="560" w:lineRule="exact"/>
        <w:ind w:firstLine="648" w:firstLineChars="200"/>
        <w:rPr>
          <w:rFonts w:hint="eastAsia" w:ascii="仿宋_GB2312" w:hAnsi="仿宋_GB2312" w:eastAsia="仿宋_GB2312" w:cs="Calibri"/>
          <w:color w:val="auto"/>
          <w:spacing w:val="2"/>
          <w:sz w:val="32"/>
          <w:highlight w:val="none"/>
        </w:rPr>
      </w:pPr>
      <w:r>
        <w:rPr>
          <w:rFonts w:hint="eastAsia" w:ascii="仿宋_GB2312" w:hAnsi="仿宋_GB2312" w:eastAsia="仿宋_GB2312" w:cs="Calibri"/>
          <w:color w:val="auto"/>
          <w:spacing w:val="2"/>
          <w:sz w:val="32"/>
          <w:highlight w:val="none"/>
          <w:lang w:val="en-US" w:eastAsia="zh-CN"/>
        </w:rPr>
        <w:t>3.</w:t>
      </w:r>
      <w:r>
        <w:rPr>
          <w:rFonts w:hint="eastAsia" w:ascii="仿宋_GB2312" w:hAnsi="仿宋_GB2312" w:eastAsia="仿宋_GB2312" w:cs="Calibri"/>
          <w:color w:val="auto"/>
          <w:spacing w:val="2"/>
          <w:sz w:val="32"/>
          <w:highlight w:val="none"/>
        </w:rPr>
        <w:t>支撑双碳目标落地，强化园区排放监管</w:t>
      </w:r>
    </w:p>
    <w:p w14:paraId="56AFA164">
      <w:pPr>
        <w:spacing w:line="560" w:lineRule="exact"/>
        <w:ind w:firstLine="648" w:firstLineChars="200"/>
        <w:rPr>
          <w:rFonts w:hint="eastAsia" w:ascii="仿宋_GB2312" w:hAnsi="仿宋_GB2312" w:eastAsia="仿宋_GB2312" w:cs="Calibri"/>
          <w:color w:val="auto"/>
          <w:spacing w:val="2"/>
          <w:sz w:val="32"/>
          <w:highlight w:val="none"/>
        </w:rPr>
      </w:pPr>
      <w:r>
        <w:rPr>
          <w:rFonts w:hint="eastAsia" w:ascii="仿宋_GB2312" w:hAnsi="仿宋_GB2312" w:eastAsia="仿宋_GB2312" w:cs="Calibri"/>
          <w:color w:val="auto"/>
          <w:spacing w:val="2"/>
          <w:sz w:val="32"/>
          <w:highlight w:val="none"/>
        </w:rPr>
        <w:t>工业园区作为工业领域温室气体排放的主要来源，其监测数据的科学性直接影响双碳目标推进成效。本标准通过规范监测流程、保障数据质量，为园区碳排放核算、减排效果评估提供可靠数据支撑，帮助监管部门精准掌握园区排放状况，为制定差异化减排政策、开展排放监管提供技术保障，助力双碳战略在园区层面有效落地。</w:t>
      </w:r>
    </w:p>
    <w:p w14:paraId="1B1B4C91">
      <w:pPr>
        <w:spacing w:line="560" w:lineRule="exact"/>
        <w:ind w:firstLine="648" w:firstLineChars="200"/>
        <w:rPr>
          <w:rFonts w:hint="eastAsia" w:ascii="仿宋_GB2312" w:hAnsi="仿宋_GB2312" w:eastAsia="仿宋_GB2312" w:cs="Calibri"/>
          <w:color w:val="auto"/>
          <w:spacing w:val="2"/>
          <w:sz w:val="32"/>
          <w:highlight w:val="none"/>
        </w:rPr>
      </w:pPr>
      <w:r>
        <w:rPr>
          <w:rFonts w:hint="eastAsia" w:ascii="仿宋_GB2312" w:hAnsi="仿宋_GB2312" w:eastAsia="仿宋_GB2312" w:cs="Calibri"/>
          <w:color w:val="auto"/>
          <w:spacing w:val="2"/>
          <w:sz w:val="32"/>
          <w:highlight w:val="none"/>
        </w:rPr>
        <w:t>（二）制定标准的目的</w:t>
      </w:r>
    </w:p>
    <w:p w14:paraId="40195690">
      <w:pPr>
        <w:spacing w:line="560" w:lineRule="exact"/>
        <w:ind w:firstLine="648" w:firstLineChars="200"/>
        <w:rPr>
          <w:rFonts w:hint="eastAsia" w:ascii="仿宋_GB2312" w:hAnsi="仿宋_GB2312" w:eastAsia="仿宋_GB2312" w:cs="Calibri"/>
          <w:color w:val="auto"/>
          <w:spacing w:val="2"/>
          <w:sz w:val="32"/>
          <w:highlight w:val="none"/>
        </w:rPr>
      </w:pPr>
      <w:r>
        <w:rPr>
          <w:rFonts w:hint="eastAsia" w:ascii="仿宋_GB2312" w:hAnsi="仿宋_GB2312" w:eastAsia="仿宋_GB2312" w:cs="Calibri"/>
          <w:color w:val="auto"/>
          <w:spacing w:val="2"/>
          <w:sz w:val="32"/>
          <w:highlight w:val="none"/>
          <w:lang w:val="en-US" w:eastAsia="zh-CN"/>
        </w:rPr>
        <w:t>1.</w:t>
      </w:r>
      <w:r>
        <w:rPr>
          <w:rFonts w:hint="eastAsia" w:ascii="仿宋_GB2312" w:hAnsi="仿宋_GB2312" w:eastAsia="仿宋_GB2312" w:cs="Calibri"/>
          <w:color w:val="auto"/>
          <w:spacing w:val="2"/>
          <w:sz w:val="32"/>
          <w:highlight w:val="none"/>
        </w:rPr>
        <w:t>统一监测技术要求，确保数据可比可用</w:t>
      </w:r>
    </w:p>
    <w:p w14:paraId="3DEB82B1">
      <w:pPr>
        <w:spacing w:line="560" w:lineRule="exact"/>
        <w:ind w:firstLine="648" w:firstLineChars="200"/>
        <w:rPr>
          <w:rFonts w:hint="eastAsia" w:ascii="仿宋_GB2312" w:hAnsi="仿宋_GB2312" w:eastAsia="仿宋_GB2312" w:cs="Calibri"/>
          <w:color w:val="auto"/>
          <w:spacing w:val="2"/>
          <w:sz w:val="32"/>
          <w:highlight w:val="none"/>
        </w:rPr>
      </w:pPr>
      <w:r>
        <w:rPr>
          <w:rFonts w:hint="eastAsia" w:ascii="仿宋_GB2312" w:hAnsi="仿宋_GB2312" w:eastAsia="仿宋_GB2312" w:cs="Calibri"/>
          <w:color w:val="auto"/>
          <w:spacing w:val="2"/>
          <w:sz w:val="32"/>
          <w:highlight w:val="none"/>
        </w:rPr>
        <w:t>通过明确监测系统的性能指标、测量方法、质量控制措施等内容，统一园区温室气体监测的技术口径，解决不同园区因监测方法、设备选型差异导致的数据不可比问题，确保监测数据具备准确性、连续性与可比性，满足碳排放核算、监管决策等多场景应用需求。</w:t>
      </w:r>
    </w:p>
    <w:p w14:paraId="42D96BCE">
      <w:pPr>
        <w:spacing w:line="560" w:lineRule="exact"/>
        <w:ind w:firstLine="648" w:firstLineChars="200"/>
        <w:rPr>
          <w:rFonts w:hint="eastAsia" w:ascii="仿宋_GB2312" w:hAnsi="仿宋_GB2312" w:eastAsia="仿宋_GB2312" w:cs="Calibri"/>
          <w:color w:val="auto"/>
          <w:spacing w:val="2"/>
          <w:sz w:val="32"/>
          <w:highlight w:val="none"/>
        </w:rPr>
      </w:pPr>
      <w:r>
        <w:rPr>
          <w:rFonts w:hint="eastAsia" w:ascii="仿宋_GB2312" w:hAnsi="仿宋_GB2312" w:eastAsia="仿宋_GB2312" w:cs="Calibri"/>
          <w:color w:val="auto"/>
          <w:spacing w:val="2"/>
          <w:sz w:val="32"/>
          <w:highlight w:val="none"/>
          <w:lang w:val="en-US" w:eastAsia="zh-CN"/>
        </w:rPr>
        <w:t>2.</w:t>
      </w:r>
      <w:r>
        <w:rPr>
          <w:rFonts w:hint="eastAsia" w:ascii="仿宋_GB2312" w:hAnsi="仿宋_GB2312" w:eastAsia="仿宋_GB2312" w:cs="Calibri"/>
          <w:color w:val="auto"/>
          <w:spacing w:val="2"/>
          <w:sz w:val="32"/>
          <w:highlight w:val="none"/>
        </w:rPr>
        <w:t>明确全流程操作指引，降低监测实施难度</w:t>
      </w:r>
    </w:p>
    <w:p w14:paraId="20960FFD">
      <w:pPr>
        <w:spacing w:line="560" w:lineRule="exact"/>
        <w:ind w:firstLine="648" w:firstLineChars="200"/>
        <w:rPr>
          <w:rFonts w:hint="eastAsia" w:ascii="仿宋_GB2312" w:hAnsi="仿宋_GB2312" w:eastAsia="仿宋_GB2312" w:cs="Calibri"/>
          <w:color w:val="auto"/>
          <w:spacing w:val="2"/>
          <w:sz w:val="32"/>
          <w:highlight w:val="none"/>
        </w:rPr>
      </w:pPr>
      <w:r>
        <w:rPr>
          <w:rFonts w:hint="eastAsia" w:ascii="仿宋_GB2312" w:hAnsi="仿宋_GB2312" w:eastAsia="仿宋_GB2312" w:cs="Calibri"/>
          <w:color w:val="auto"/>
          <w:spacing w:val="2"/>
          <w:sz w:val="32"/>
          <w:highlight w:val="none"/>
        </w:rPr>
        <w:t>本标准围绕监测点位布设、设备安装、运行维护、数据管理、故障响应等全流程环节，制定清晰、可操作的技术指引，帮助园区监测实施单位明确各环节工作要求，降低监测工作的技术门槛与实施难度，保障监测系统稳定运行。</w:t>
      </w:r>
    </w:p>
    <w:p w14:paraId="04AC6848">
      <w:pPr>
        <w:spacing w:line="560" w:lineRule="exact"/>
        <w:ind w:firstLine="648" w:firstLineChars="200"/>
        <w:rPr>
          <w:rFonts w:hint="eastAsia" w:ascii="仿宋_GB2312" w:hAnsi="仿宋_GB2312" w:eastAsia="仿宋_GB2312" w:cs="Calibri"/>
          <w:color w:val="auto"/>
          <w:spacing w:val="2"/>
          <w:sz w:val="32"/>
          <w:highlight w:val="none"/>
        </w:rPr>
      </w:pPr>
      <w:r>
        <w:rPr>
          <w:rFonts w:hint="eastAsia" w:ascii="仿宋_GB2312" w:hAnsi="仿宋_GB2312" w:eastAsia="仿宋_GB2312" w:cs="Calibri"/>
          <w:color w:val="auto"/>
          <w:spacing w:val="2"/>
          <w:sz w:val="32"/>
          <w:highlight w:val="none"/>
          <w:lang w:val="en-US" w:eastAsia="zh-CN"/>
        </w:rPr>
        <w:t>3.</w:t>
      </w:r>
      <w:r>
        <w:rPr>
          <w:rFonts w:hint="eastAsia" w:ascii="仿宋_GB2312" w:hAnsi="仿宋_GB2312" w:eastAsia="仿宋_GB2312" w:cs="Calibri"/>
          <w:color w:val="auto"/>
          <w:spacing w:val="2"/>
          <w:sz w:val="32"/>
          <w:highlight w:val="none"/>
        </w:rPr>
        <w:t>适配区域发展需求，服务地方低碳转型</w:t>
      </w:r>
    </w:p>
    <w:p w14:paraId="079D1D4A">
      <w:pPr>
        <w:spacing w:line="560" w:lineRule="exact"/>
        <w:ind w:firstLine="648" w:firstLineChars="200"/>
        <w:rPr>
          <w:rFonts w:hint="eastAsia" w:ascii="仿宋_GB2312" w:hAnsi="仿宋_GB2312" w:eastAsia="仿宋_GB2312" w:cs="Calibri"/>
          <w:color w:val="auto"/>
          <w:spacing w:val="2"/>
          <w:sz w:val="32"/>
          <w:highlight w:val="none"/>
        </w:rPr>
      </w:pPr>
      <w:r>
        <w:rPr>
          <w:rFonts w:hint="eastAsia" w:ascii="仿宋_GB2312" w:hAnsi="仿宋_GB2312" w:eastAsia="仿宋_GB2312" w:cs="Calibri"/>
          <w:color w:val="auto"/>
          <w:spacing w:val="2"/>
          <w:sz w:val="32"/>
          <w:highlight w:val="none"/>
        </w:rPr>
        <w:t>本标准充分结合西南地区工业园区的地形地貌、气象条件及产业布局特点，在点位布设、设备运维等内容设计上兼顾区域特殊性，可有效解决地方园区监测的实际难题。通过标准实施，推动广西及周边省份工业园区建立统一的温室气体监测体系，为地方碳市场建设、跨区域减排协同提供数据支撑，助力地方实现产业绿色低碳转型与高质量发展的双重目标。</w:t>
      </w:r>
    </w:p>
    <w:bookmarkEnd w:id="9"/>
    <w:p w14:paraId="317959E1">
      <w:pPr>
        <w:autoSpaceDE w:val="0"/>
        <w:autoSpaceDN w:val="0"/>
        <w:adjustRightInd w:val="0"/>
        <w:spacing w:before="156" w:beforeLines="50" w:after="156" w:afterLines="50" w:line="560" w:lineRule="exact"/>
        <w:ind w:firstLine="640" w:firstLineChars="200"/>
        <w:jc w:val="left"/>
        <w:outlineLvl w:val="0"/>
        <w:rPr>
          <w:rFonts w:eastAsia="黑体"/>
          <w:color w:val="auto"/>
          <w:sz w:val="32"/>
          <w:szCs w:val="32"/>
          <w:highlight w:val="none"/>
        </w:rPr>
      </w:pPr>
      <w:bookmarkStart w:id="11" w:name="_Toc9026"/>
      <w:r>
        <w:rPr>
          <w:rFonts w:hint="eastAsia" w:eastAsia="黑体"/>
          <w:color w:val="auto"/>
          <w:sz w:val="32"/>
          <w:szCs w:val="32"/>
          <w:highlight w:val="none"/>
        </w:rPr>
        <w:t>四、主要起草过程</w:t>
      </w:r>
      <w:bookmarkEnd w:id="11"/>
    </w:p>
    <w:p w14:paraId="6D70CA59">
      <w:pPr>
        <w:spacing w:before="156" w:beforeLines="50" w:after="156" w:afterLines="50" w:line="560" w:lineRule="exact"/>
        <w:ind w:firstLine="640" w:firstLineChars="200"/>
        <w:outlineLvl w:val="1"/>
        <w:rPr>
          <w:rFonts w:hint="eastAsia" w:ascii="楷体" w:hAnsi="楷体" w:eastAsia="楷体" w:cs="仿宋_GB2312"/>
          <w:b w:val="0"/>
          <w:bCs/>
          <w:color w:val="auto"/>
          <w:sz w:val="32"/>
          <w:szCs w:val="32"/>
          <w:highlight w:val="none"/>
        </w:rPr>
      </w:pPr>
      <w:r>
        <w:rPr>
          <w:rFonts w:hint="eastAsia" w:ascii="楷体" w:hAnsi="楷体" w:eastAsia="楷体" w:cs="仿宋_GB2312"/>
          <w:b w:val="0"/>
          <w:bCs/>
          <w:color w:val="auto"/>
          <w:sz w:val="32"/>
          <w:szCs w:val="32"/>
          <w:highlight w:val="none"/>
        </w:rPr>
        <w:t>（</w:t>
      </w:r>
      <w:r>
        <w:rPr>
          <w:rFonts w:hint="eastAsia" w:ascii="楷体" w:hAnsi="楷体" w:eastAsia="楷体" w:cs="仿宋_GB2312"/>
          <w:b w:val="0"/>
          <w:bCs/>
          <w:color w:val="auto"/>
          <w:sz w:val="32"/>
          <w:szCs w:val="32"/>
          <w:highlight w:val="none"/>
          <w:lang w:val="en-US" w:eastAsia="zh-CN"/>
        </w:rPr>
        <w:t>一</w:t>
      </w:r>
      <w:r>
        <w:rPr>
          <w:rFonts w:hint="eastAsia" w:ascii="楷体" w:hAnsi="楷体" w:eastAsia="楷体" w:cs="仿宋_GB2312"/>
          <w:b w:val="0"/>
          <w:bCs/>
          <w:color w:val="auto"/>
          <w:sz w:val="32"/>
          <w:szCs w:val="32"/>
          <w:highlight w:val="none"/>
        </w:rPr>
        <w:t>）</w:t>
      </w:r>
      <w:r>
        <w:rPr>
          <w:rFonts w:ascii="楷体" w:hAnsi="楷体" w:eastAsia="楷体" w:cs="仿宋_GB2312"/>
          <w:b w:val="0"/>
          <w:bCs/>
          <w:color w:val="auto"/>
          <w:sz w:val="32"/>
          <w:szCs w:val="32"/>
          <w:highlight w:val="none"/>
        </w:rPr>
        <w:t>前期研究情况</w:t>
      </w:r>
    </w:p>
    <w:p w14:paraId="0CB7EB72">
      <w:pPr>
        <w:spacing w:before="156" w:beforeLines="50" w:after="156" w:afterLines="50" w:line="560" w:lineRule="exact"/>
        <w:ind w:firstLine="640" w:firstLineChars="200"/>
        <w:outlineLvl w:val="1"/>
        <w:rPr>
          <w:rFonts w:hint="eastAsia" w:ascii="楷体" w:hAnsi="楷体" w:eastAsia="楷体" w:cs="仿宋_GB2312"/>
          <w:b w:val="0"/>
          <w:bCs/>
          <w:color w:val="auto"/>
          <w:sz w:val="32"/>
          <w:szCs w:val="32"/>
          <w:highlight w:val="none"/>
        </w:rPr>
      </w:pPr>
      <w:bookmarkStart w:id="12" w:name="_Toc465158154"/>
      <w:bookmarkStart w:id="13" w:name="_Hlk144893296"/>
      <w:r>
        <w:rPr>
          <w:rFonts w:hint="eastAsia" w:ascii="楷体" w:hAnsi="楷体" w:eastAsia="楷体" w:cs="仿宋_GB2312"/>
          <w:b w:val="0"/>
          <w:bCs/>
          <w:color w:val="auto"/>
          <w:sz w:val="32"/>
          <w:szCs w:val="32"/>
          <w:highlight w:val="none"/>
        </w:rPr>
        <w:t>（一）前期调研与筹备阶段（202</w:t>
      </w:r>
      <w:r>
        <w:rPr>
          <w:rFonts w:hint="eastAsia" w:ascii="楷体" w:hAnsi="楷体" w:eastAsia="楷体" w:cs="仿宋_GB2312"/>
          <w:b w:val="0"/>
          <w:bCs/>
          <w:color w:val="auto"/>
          <w:sz w:val="32"/>
          <w:szCs w:val="32"/>
          <w:highlight w:val="none"/>
          <w:lang w:val="en-US" w:eastAsia="zh-CN"/>
        </w:rPr>
        <w:t>5</w:t>
      </w:r>
      <w:r>
        <w:rPr>
          <w:rFonts w:hint="eastAsia" w:ascii="楷体" w:hAnsi="楷体" w:eastAsia="楷体" w:cs="仿宋_GB2312"/>
          <w:b w:val="0"/>
          <w:bCs/>
          <w:color w:val="auto"/>
          <w:sz w:val="32"/>
          <w:szCs w:val="32"/>
          <w:highlight w:val="none"/>
        </w:rPr>
        <w:t>年3月—4月）</w:t>
      </w:r>
    </w:p>
    <w:p w14:paraId="00381C9F">
      <w:pPr>
        <w:spacing w:line="560" w:lineRule="exact"/>
        <w:ind w:firstLine="640" w:firstLineChars="200"/>
        <w:rPr>
          <w:rFonts w:hint="eastAsia" w:ascii="仿宋_GB2312" w:hAnsi="仿宋_GB2312" w:eastAsia="仿宋_GB2312" w:cs="仿宋_GB2312"/>
          <w:color w:val="auto"/>
          <w:sz w:val="32"/>
          <w:szCs w:val="32"/>
          <w:highlight w:val="none"/>
        </w:rPr>
      </w:pPr>
      <w:r>
        <w:rPr>
          <w:rFonts w:hint="eastAsia" w:ascii="仿宋_GB2312" w:hAnsi="仿宋_GB2312" w:eastAsia="仿宋_GB2312" w:cs="仿宋_GB2312"/>
          <w:color w:val="auto"/>
          <w:sz w:val="32"/>
          <w:szCs w:val="32"/>
          <w:highlight w:val="none"/>
        </w:rPr>
        <w:t>起草团队聚焦广西及周边地区典型工业园区，通过实地走访、座谈交流等方式，系统调研钢铁、化工、装备制造等不同类型园区的产业布局、温室气体排放源分布特征，详细梳理现有监测设备配置（如采样预处理单元、分析仪器类型）、运行维护模式及数据应用痛点——包括点位覆盖不全导致排放特征反映不完整、设备校准频次不统一影响数据准确性、数据异常判定无明确标准等问题，累计调研园区20余家，形成《工业园区温室气体监测现状调研报告》，明确标准需重点解决的实践问题。</w:t>
      </w:r>
    </w:p>
    <w:p w14:paraId="189EB367">
      <w:pPr>
        <w:spacing w:line="560" w:lineRule="exact"/>
        <w:ind w:firstLine="640" w:firstLineChars="200"/>
        <w:rPr>
          <w:rFonts w:hint="eastAsia" w:ascii="仿宋_GB2312" w:hAnsi="仿宋_GB2312" w:eastAsia="仿宋_GB2312" w:cs="仿宋_GB2312"/>
          <w:color w:val="auto"/>
          <w:sz w:val="32"/>
          <w:szCs w:val="32"/>
          <w:highlight w:val="none"/>
        </w:rPr>
      </w:pPr>
      <w:r>
        <w:rPr>
          <w:rFonts w:hint="eastAsia" w:ascii="仿宋_GB2312" w:hAnsi="仿宋_GB2312" w:eastAsia="仿宋_GB2312" w:cs="仿宋_GB2312"/>
          <w:color w:val="auto"/>
          <w:sz w:val="32"/>
          <w:szCs w:val="32"/>
          <w:highlight w:val="none"/>
        </w:rPr>
        <w:t>收集国内外相关标准与技术文献，重点分析QX/T174《大气成分选址要求》、HJ818《环境空气气态污染物连续自动监测系统技术要求及检测方法》等现行标准在工业园区场景的适配性，同时参考GAW《温室气体及相关测量技术会议报告》、中国气象局《大气成分观测业务规范（试行）》等资料，研究光腔衰荡光谱法在复杂工况下的应用参数，整理形成《温室气体监测技术资料汇编》，为标准技术指标设定提供依据。</w:t>
      </w:r>
    </w:p>
    <w:p w14:paraId="551BAC6C">
      <w:pPr>
        <w:spacing w:line="560" w:lineRule="exact"/>
        <w:ind w:firstLine="640" w:firstLineChars="200"/>
        <w:rPr>
          <w:rFonts w:hint="eastAsia" w:ascii="仿宋_GB2312" w:hAnsi="仿宋_GB2312" w:eastAsia="仿宋_GB2312" w:cs="仿宋_GB2312"/>
          <w:color w:val="auto"/>
          <w:sz w:val="32"/>
          <w:szCs w:val="32"/>
          <w:highlight w:val="none"/>
        </w:rPr>
      </w:pPr>
      <w:r>
        <w:rPr>
          <w:rFonts w:hint="eastAsia" w:ascii="仿宋_GB2312" w:hAnsi="仿宋_GB2312" w:eastAsia="仿宋_GB2312" w:cs="仿宋_GB2312"/>
          <w:color w:val="auto"/>
          <w:sz w:val="32"/>
          <w:szCs w:val="32"/>
          <w:highlight w:val="none"/>
        </w:rPr>
        <w:t>由广西绿色低碳产业技术协会牵头，联合广西壮族自治区环境保护科学研究院、广西大学、广西产研院绿色低碳技术研究所有限公司、广西钢铁集团有限公司、浙江灵析精仪科技发展有限公司等单位，组建涵盖科研机构、高校、企业的起草工作组，明确各单位职责，制定工作计划，确定各阶段时间节点与交付成果，保障工作有序推进。</w:t>
      </w:r>
    </w:p>
    <w:p w14:paraId="75BB044C">
      <w:pPr>
        <w:spacing w:before="156" w:beforeLines="50" w:after="156" w:afterLines="50" w:line="560" w:lineRule="exact"/>
        <w:ind w:firstLine="640" w:firstLineChars="200"/>
        <w:outlineLvl w:val="1"/>
        <w:rPr>
          <w:rFonts w:hint="eastAsia" w:ascii="楷体" w:hAnsi="楷体" w:eastAsia="楷体" w:cs="仿宋_GB2312"/>
          <w:b w:val="0"/>
          <w:bCs/>
          <w:color w:val="auto"/>
          <w:sz w:val="32"/>
          <w:szCs w:val="32"/>
          <w:highlight w:val="none"/>
        </w:rPr>
      </w:pPr>
      <w:r>
        <w:rPr>
          <w:rFonts w:hint="eastAsia" w:ascii="楷体" w:hAnsi="楷体" w:eastAsia="楷体" w:cs="仿宋_GB2312"/>
          <w:b w:val="0"/>
          <w:bCs/>
          <w:color w:val="auto"/>
          <w:sz w:val="32"/>
          <w:szCs w:val="32"/>
          <w:highlight w:val="none"/>
        </w:rPr>
        <w:t>（二）标准草案起草阶段（202</w:t>
      </w:r>
      <w:r>
        <w:rPr>
          <w:rFonts w:hint="eastAsia" w:ascii="楷体" w:hAnsi="楷体" w:eastAsia="楷体" w:cs="仿宋_GB2312"/>
          <w:b w:val="0"/>
          <w:bCs/>
          <w:color w:val="auto"/>
          <w:sz w:val="32"/>
          <w:szCs w:val="32"/>
          <w:highlight w:val="none"/>
          <w:lang w:val="en-US" w:eastAsia="zh-CN"/>
        </w:rPr>
        <w:t>5</w:t>
      </w:r>
      <w:r>
        <w:rPr>
          <w:rFonts w:hint="eastAsia" w:ascii="楷体" w:hAnsi="楷体" w:eastAsia="楷体" w:cs="仿宋_GB2312"/>
          <w:b w:val="0"/>
          <w:bCs/>
          <w:color w:val="auto"/>
          <w:sz w:val="32"/>
          <w:szCs w:val="32"/>
          <w:highlight w:val="none"/>
        </w:rPr>
        <w:t>年5月—6月）</w:t>
      </w:r>
    </w:p>
    <w:p w14:paraId="07F4F469">
      <w:pPr>
        <w:spacing w:line="560" w:lineRule="exact"/>
        <w:ind w:firstLine="640" w:firstLineChars="200"/>
        <w:rPr>
          <w:rFonts w:hint="eastAsia" w:ascii="仿宋_GB2312" w:hAnsi="仿宋_GB2312" w:eastAsia="仿宋_GB2312" w:cs="仿宋_GB2312"/>
          <w:color w:val="auto"/>
          <w:sz w:val="32"/>
          <w:szCs w:val="32"/>
          <w:highlight w:val="none"/>
        </w:rPr>
      </w:pPr>
      <w:r>
        <w:rPr>
          <w:rFonts w:hint="eastAsia" w:ascii="仿宋_GB2312" w:hAnsi="仿宋_GB2312" w:eastAsia="仿宋_GB2312" w:cs="仿宋_GB2312"/>
          <w:color w:val="auto"/>
          <w:sz w:val="32"/>
          <w:szCs w:val="32"/>
          <w:highlight w:val="none"/>
        </w:rPr>
        <w:t>框架设计与内容初拟：基于前期调研成果，结合工业园区温室气体连续监测全流程，确定标准范围</w:t>
      </w:r>
      <w:r>
        <w:rPr>
          <w:rFonts w:hint="eastAsia" w:ascii="仿宋_GB2312" w:hAnsi="仿宋_GB2312" w:eastAsia="仿宋_GB2312" w:cs="仿宋_GB2312"/>
          <w:color w:val="auto"/>
          <w:sz w:val="32"/>
          <w:szCs w:val="32"/>
          <w:highlight w:val="none"/>
          <w:lang w:eastAsia="zh-CN"/>
        </w:rPr>
        <w:t>、</w:t>
      </w:r>
      <w:r>
        <w:rPr>
          <w:rFonts w:hint="eastAsia" w:ascii="仿宋_GB2312" w:hAnsi="仿宋_GB2312" w:eastAsia="仿宋_GB2312" w:cs="仿宋_GB2312"/>
          <w:color w:val="auto"/>
          <w:sz w:val="32"/>
          <w:szCs w:val="32"/>
          <w:highlight w:val="none"/>
        </w:rPr>
        <w:t>术语和定义</w:t>
      </w:r>
      <w:r>
        <w:rPr>
          <w:rFonts w:hint="eastAsia" w:ascii="仿宋_GB2312" w:hAnsi="仿宋_GB2312" w:eastAsia="仿宋_GB2312" w:cs="仿宋_GB2312"/>
          <w:color w:val="auto"/>
          <w:sz w:val="32"/>
          <w:szCs w:val="32"/>
          <w:highlight w:val="none"/>
          <w:lang w:eastAsia="zh-CN"/>
        </w:rPr>
        <w:t>、</w:t>
      </w:r>
      <w:r>
        <w:rPr>
          <w:rFonts w:hint="eastAsia" w:ascii="仿宋_GB2312" w:hAnsi="仿宋_GB2312" w:eastAsia="仿宋_GB2312" w:cs="仿宋_GB2312"/>
          <w:color w:val="auto"/>
          <w:sz w:val="32"/>
          <w:szCs w:val="32"/>
          <w:highlight w:val="none"/>
        </w:rPr>
        <w:t>基本要求</w:t>
      </w:r>
      <w:r>
        <w:rPr>
          <w:rFonts w:hint="eastAsia" w:ascii="仿宋_GB2312" w:hAnsi="仿宋_GB2312" w:eastAsia="仿宋_GB2312" w:cs="仿宋_GB2312"/>
          <w:color w:val="auto"/>
          <w:sz w:val="32"/>
          <w:szCs w:val="32"/>
          <w:highlight w:val="none"/>
          <w:lang w:eastAsia="zh-CN"/>
        </w:rPr>
        <w:t>、</w:t>
      </w:r>
      <w:r>
        <w:rPr>
          <w:rFonts w:hint="eastAsia" w:ascii="仿宋_GB2312" w:hAnsi="仿宋_GB2312" w:eastAsia="仿宋_GB2312" w:cs="仿宋_GB2312"/>
          <w:color w:val="auto"/>
          <w:sz w:val="32"/>
          <w:szCs w:val="32"/>
          <w:highlight w:val="none"/>
        </w:rPr>
        <w:t>测量方法及观测系统</w:t>
      </w:r>
      <w:r>
        <w:rPr>
          <w:rFonts w:hint="eastAsia" w:ascii="仿宋_GB2312" w:hAnsi="仿宋_GB2312" w:eastAsia="仿宋_GB2312" w:cs="仿宋_GB2312"/>
          <w:color w:val="auto"/>
          <w:sz w:val="32"/>
          <w:szCs w:val="32"/>
          <w:highlight w:val="none"/>
          <w:lang w:eastAsia="zh-CN"/>
        </w:rPr>
        <w:t>、</w:t>
      </w:r>
      <w:r>
        <w:rPr>
          <w:rFonts w:hint="eastAsia" w:ascii="仿宋_GB2312" w:hAnsi="仿宋_GB2312" w:eastAsia="仿宋_GB2312" w:cs="仿宋_GB2312"/>
          <w:color w:val="auto"/>
          <w:sz w:val="32"/>
          <w:szCs w:val="32"/>
          <w:highlight w:val="none"/>
        </w:rPr>
        <w:t>监测点位布设</w:t>
      </w:r>
      <w:r>
        <w:rPr>
          <w:rFonts w:hint="eastAsia" w:ascii="仿宋_GB2312" w:hAnsi="仿宋_GB2312" w:eastAsia="仿宋_GB2312" w:cs="仿宋_GB2312"/>
          <w:color w:val="auto"/>
          <w:sz w:val="32"/>
          <w:szCs w:val="32"/>
          <w:highlight w:val="none"/>
          <w:lang w:eastAsia="zh-CN"/>
        </w:rPr>
        <w:t>、</w:t>
      </w:r>
      <w:r>
        <w:rPr>
          <w:rFonts w:hint="eastAsia" w:ascii="仿宋_GB2312" w:hAnsi="仿宋_GB2312" w:eastAsia="仿宋_GB2312" w:cs="仿宋_GB2312"/>
          <w:color w:val="auto"/>
          <w:sz w:val="32"/>
          <w:szCs w:val="32"/>
          <w:highlight w:val="none"/>
        </w:rPr>
        <w:t>安装要求</w:t>
      </w:r>
      <w:r>
        <w:rPr>
          <w:rFonts w:hint="eastAsia" w:ascii="仿宋_GB2312" w:hAnsi="仿宋_GB2312" w:eastAsia="仿宋_GB2312" w:cs="仿宋_GB2312"/>
          <w:color w:val="auto"/>
          <w:sz w:val="32"/>
          <w:szCs w:val="32"/>
          <w:highlight w:val="none"/>
          <w:lang w:eastAsia="zh-CN"/>
        </w:rPr>
        <w:t>、</w:t>
      </w:r>
      <w:r>
        <w:rPr>
          <w:rFonts w:hint="eastAsia" w:ascii="仿宋_GB2312" w:hAnsi="仿宋_GB2312" w:eastAsia="仿宋_GB2312" w:cs="仿宋_GB2312"/>
          <w:color w:val="auto"/>
          <w:sz w:val="32"/>
          <w:szCs w:val="32"/>
          <w:highlight w:val="none"/>
        </w:rPr>
        <w:t>检漏与测试要求</w:t>
      </w:r>
      <w:r>
        <w:rPr>
          <w:rFonts w:hint="eastAsia" w:ascii="仿宋_GB2312" w:hAnsi="仿宋_GB2312" w:eastAsia="仿宋_GB2312" w:cs="仿宋_GB2312"/>
          <w:color w:val="auto"/>
          <w:sz w:val="32"/>
          <w:szCs w:val="32"/>
          <w:highlight w:val="none"/>
          <w:lang w:eastAsia="zh-CN"/>
        </w:rPr>
        <w:t>、</w:t>
      </w:r>
      <w:r>
        <w:rPr>
          <w:rFonts w:hint="eastAsia" w:ascii="仿宋_GB2312" w:hAnsi="仿宋_GB2312" w:eastAsia="仿宋_GB2312" w:cs="仿宋_GB2312"/>
          <w:color w:val="auto"/>
          <w:sz w:val="32"/>
          <w:szCs w:val="32"/>
          <w:highlight w:val="none"/>
        </w:rPr>
        <w:t>监测站运行维护</w:t>
      </w:r>
      <w:r>
        <w:rPr>
          <w:rFonts w:hint="eastAsia" w:ascii="仿宋_GB2312" w:hAnsi="仿宋_GB2312" w:eastAsia="仿宋_GB2312" w:cs="仿宋_GB2312"/>
          <w:color w:val="auto"/>
          <w:sz w:val="32"/>
          <w:szCs w:val="32"/>
          <w:highlight w:val="none"/>
          <w:lang w:eastAsia="zh-CN"/>
        </w:rPr>
        <w:t>、</w:t>
      </w:r>
      <w:r>
        <w:rPr>
          <w:rFonts w:hint="eastAsia" w:ascii="仿宋_GB2312" w:hAnsi="仿宋_GB2312" w:eastAsia="仿宋_GB2312" w:cs="仿宋_GB2312"/>
          <w:color w:val="auto"/>
          <w:sz w:val="32"/>
          <w:szCs w:val="32"/>
          <w:highlight w:val="none"/>
        </w:rPr>
        <w:t>数据维护</w:t>
      </w:r>
      <w:r>
        <w:rPr>
          <w:rFonts w:hint="eastAsia" w:ascii="仿宋_GB2312" w:hAnsi="仿宋_GB2312" w:eastAsia="仿宋_GB2312" w:cs="仿宋_GB2312"/>
          <w:color w:val="auto"/>
          <w:sz w:val="32"/>
          <w:szCs w:val="32"/>
          <w:highlight w:val="none"/>
          <w:lang w:eastAsia="zh-CN"/>
        </w:rPr>
        <w:t>、</w:t>
      </w:r>
      <w:r>
        <w:rPr>
          <w:rFonts w:hint="eastAsia" w:ascii="仿宋_GB2312" w:hAnsi="仿宋_GB2312" w:eastAsia="仿宋_GB2312" w:cs="仿宋_GB2312"/>
          <w:color w:val="auto"/>
          <w:sz w:val="32"/>
          <w:szCs w:val="32"/>
          <w:highlight w:val="none"/>
        </w:rPr>
        <w:t>故障响应要求的完整框架。各起草单位按分工开展内容编写，</w:t>
      </w:r>
      <w:r>
        <w:rPr>
          <w:rFonts w:hint="eastAsia" w:ascii="仿宋_GB2312" w:hAnsi="仿宋_GB2312" w:eastAsia="仿宋_GB2312" w:cs="仿宋_GB2312"/>
          <w:color w:val="auto"/>
          <w:sz w:val="32"/>
          <w:szCs w:val="32"/>
          <w:highlight w:val="none"/>
          <w:lang w:val="en-US" w:eastAsia="zh-CN"/>
        </w:rPr>
        <w:t>其中</w:t>
      </w:r>
      <w:r>
        <w:rPr>
          <w:rFonts w:hint="eastAsia" w:ascii="仿宋_GB2312" w:hAnsi="仿宋_GB2312" w:eastAsia="仿宋_GB2312" w:cs="仿宋_GB2312"/>
          <w:color w:val="auto"/>
          <w:sz w:val="32"/>
          <w:szCs w:val="32"/>
          <w:highlight w:val="none"/>
        </w:rPr>
        <w:t>广西大学负责“测量方法及观测系统”章节，明确光腔衰荡光谱法的样气处理流程与系统各单元的组成及功能</w:t>
      </w:r>
      <w:r>
        <w:rPr>
          <w:rFonts w:hint="eastAsia" w:ascii="仿宋_GB2312" w:hAnsi="仿宋_GB2312" w:eastAsia="仿宋_GB2312" w:cs="仿宋_GB2312"/>
          <w:color w:val="auto"/>
          <w:sz w:val="32"/>
          <w:szCs w:val="32"/>
          <w:highlight w:val="none"/>
          <w:lang w:eastAsia="zh-CN"/>
        </w:rPr>
        <w:t>，</w:t>
      </w:r>
      <w:r>
        <w:rPr>
          <w:rFonts w:hint="eastAsia" w:ascii="仿宋_GB2312" w:hAnsi="仿宋_GB2312" w:eastAsia="仿宋_GB2312" w:cs="仿宋_GB2312"/>
          <w:color w:val="auto"/>
          <w:sz w:val="32"/>
          <w:szCs w:val="32"/>
          <w:highlight w:val="none"/>
        </w:rPr>
        <w:t>广西壮族自治区环境保护科学研究院负责“监测点位布设”章节，提出本底、排放、边界三类点位的设置原则与确定流程。</w:t>
      </w:r>
    </w:p>
    <w:p w14:paraId="4B1ACFE6">
      <w:pPr>
        <w:spacing w:line="560" w:lineRule="exact"/>
        <w:ind w:firstLine="640" w:firstLineChars="200"/>
        <w:rPr>
          <w:rFonts w:hint="eastAsia" w:ascii="仿宋_GB2312" w:hAnsi="仿宋_GB2312" w:eastAsia="仿宋_GB2312" w:cs="仿宋_GB2312"/>
          <w:color w:val="auto"/>
          <w:sz w:val="32"/>
          <w:szCs w:val="32"/>
          <w:highlight w:val="none"/>
        </w:rPr>
      </w:pPr>
      <w:r>
        <w:rPr>
          <w:rFonts w:hint="eastAsia" w:ascii="仿宋_GB2312" w:hAnsi="仿宋_GB2312" w:eastAsia="仿宋_GB2312" w:cs="仿宋_GB2312"/>
          <w:color w:val="auto"/>
          <w:sz w:val="32"/>
          <w:szCs w:val="32"/>
          <w:highlight w:val="none"/>
        </w:rPr>
        <w:t>针对关键技术指标开展专项论证，</w:t>
      </w:r>
      <w:r>
        <w:rPr>
          <w:rFonts w:hint="eastAsia" w:ascii="仿宋_GB2312" w:hAnsi="仿宋_GB2312" w:eastAsia="仿宋_GB2312" w:cs="仿宋_GB2312"/>
          <w:color w:val="auto"/>
          <w:sz w:val="32"/>
          <w:szCs w:val="32"/>
          <w:highlight w:val="none"/>
          <w:lang w:val="en-US" w:eastAsia="zh-CN"/>
        </w:rPr>
        <w:t>其中</w:t>
      </w:r>
      <w:r>
        <w:rPr>
          <w:rFonts w:hint="eastAsia" w:ascii="仿宋_GB2312" w:hAnsi="仿宋_GB2312" w:eastAsia="仿宋_GB2312" w:cs="仿宋_GB2312"/>
          <w:color w:val="auto"/>
          <w:sz w:val="32"/>
          <w:szCs w:val="32"/>
          <w:highlight w:val="none"/>
        </w:rPr>
        <w:t>“高精度仪器”与“中精度仪器”的漂移限值</w:t>
      </w:r>
      <w:r>
        <w:rPr>
          <w:rFonts w:hint="eastAsia" w:ascii="仿宋_GB2312" w:hAnsi="仿宋_GB2312" w:eastAsia="仿宋_GB2312" w:cs="仿宋_GB2312"/>
          <w:color w:val="auto"/>
          <w:sz w:val="32"/>
          <w:szCs w:val="32"/>
          <w:highlight w:val="none"/>
          <w:lang w:val="en-US" w:eastAsia="zh-CN"/>
        </w:rPr>
        <w:t>是</w:t>
      </w:r>
      <w:r>
        <w:rPr>
          <w:rFonts w:hint="eastAsia" w:ascii="仿宋_GB2312" w:hAnsi="仿宋_GB2312" w:eastAsia="仿宋_GB2312" w:cs="仿宋_GB2312"/>
          <w:color w:val="auto"/>
          <w:sz w:val="32"/>
          <w:szCs w:val="32"/>
          <w:highlight w:val="none"/>
        </w:rPr>
        <w:t>参考浙江灵析精仪科技发展有限公司提供的设备实测数据，结合广西钢铁集团有限公司园区监测需求，最终确定高精度仪器相邻两次内部校准间CO</w:t>
      </w:r>
      <w:r>
        <w:rPr>
          <w:rFonts w:hint="eastAsia" w:ascii="仿宋_GB2312" w:hAnsi="仿宋_GB2312" w:eastAsia="仿宋_GB2312" w:cs="仿宋_GB2312"/>
          <w:color w:val="auto"/>
          <w:sz w:val="32"/>
          <w:szCs w:val="32"/>
          <w:highlight w:val="none"/>
          <w:vertAlign w:val="subscript"/>
          <w:lang w:val="en-US" w:eastAsia="zh-CN"/>
        </w:rPr>
        <w:t>2</w:t>
      </w:r>
      <w:r>
        <w:rPr>
          <w:rFonts w:hint="eastAsia" w:ascii="仿宋_GB2312" w:hAnsi="仿宋_GB2312" w:eastAsia="仿宋_GB2312" w:cs="仿宋_GB2312"/>
          <w:color w:val="auto"/>
          <w:sz w:val="32"/>
          <w:szCs w:val="32"/>
          <w:highlight w:val="none"/>
        </w:rPr>
        <w:t>漂移不超过±0.2ppm、CH</w:t>
      </w:r>
      <w:r>
        <w:rPr>
          <w:rFonts w:hint="eastAsia" w:ascii="仿宋_GB2312" w:hAnsi="仿宋_GB2312" w:eastAsia="仿宋_GB2312" w:cs="仿宋_GB2312"/>
          <w:color w:val="auto"/>
          <w:sz w:val="32"/>
          <w:szCs w:val="32"/>
          <w:highlight w:val="none"/>
          <w:vertAlign w:val="subscript"/>
          <w:lang w:val="en-US" w:eastAsia="zh-CN"/>
        </w:rPr>
        <w:t>4</w:t>
      </w:r>
      <w:r>
        <w:rPr>
          <w:rFonts w:hint="eastAsia" w:ascii="仿宋_GB2312" w:hAnsi="仿宋_GB2312" w:eastAsia="仿宋_GB2312" w:cs="仿宋_GB2312"/>
          <w:color w:val="auto"/>
          <w:sz w:val="32"/>
          <w:szCs w:val="32"/>
          <w:highlight w:val="none"/>
        </w:rPr>
        <w:t>不超过±5ppb、N</w:t>
      </w:r>
      <w:r>
        <w:rPr>
          <w:rFonts w:hint="eastAsia" w:ascii="仿宋_GB2312" w:hAnsi="仿宋_GB2312" w:eastAsia="仿宋_GB2312" w:cs="仿宋_GB2312"/>
          <w:color w:val="auto"/>
          <w:sz w:val="32"/>
          <w:szCs w:val="32"/>
          <w:highlight w:val="none"/>
          <w:vertAlign w:val="subscript"/>
          <w:lang w:val="en-US" w:eastAsia="zh-CN"/>
        </w:rPr>
        <w:t>2</w:t>
      </w:r>
      <w:r>
        <w:rPr>
          <w:rFonts w:hint="eastAsia" w:ascii="仿宋_GB2312" w:hAnsi="仿宋_GB2312" w:eastAsia="仿宋_GB2312" w:cs="仿宋_GB2312"/>
          <w:color w:val="auto"/>
          <w:sz w:val="32"/>
          <w:szCs w:val="32"/>
          <w:highlight w:val="none"/>
        </w:rPr>
        <w:t>O不超过±5ppb，中精度仪器对应漂移分别不超过±1ppm、±50ppb、±100ppb；同时针对数据获取率，综合园区设备故障记录与监管需求，设定监测系统数据获取率≥90%、分层采样≥85%的指标要求。</w:t>
      </w:r>
    </w:p>
    <w:p w14:paraId="39E430C2">
      <w:pPr>
        <w:spacing w:line="560" w:lineRule="exact"/>
        <w:ind w:firstLine="640" w:firstLineChars="200"/>
        <w:rPr>
          <w:rFonts w:hint="eastAsia" w:ascii="仿宋_GB2312" w:hAnsi="仿宋_GB2312" w:eastAsia="仿宋_GB2312" w:cs="仿宋_GB2312"/>
          <w:color w:val="auto"/>
          <w:sz w:val="32"/>
          <w:szCs w:val="32"/>
          <w:highlight w:val="none"/>
        </w:rPr>
      </w:pPr>
      <w:r>
        <w:rPr>
          <w:rFonts w:hint="eastAsia" w:ascii="仿宋_GB2312" w:hAnsi="仿宋_GB2312" w:eastAsia="仿宋_GB2312" w:cs="仿宋_GB2312"/>
          <w:color w:val="auto"/>
          <w:sz w:val="32"/>
          <w:szCs w:val="32"/>
          <w:highlight w:val="none"/>
        </w:rPr>
        <w:t>起草工作组每月召开2次内部研讨会，逐章逐节审查内容，重点讨论“安装要求”中采样口高度、“运行维护”中不同精度仪器的校准频次等细节，解决术语表述不一致、技术要求不明确等问题。经3轮修改完善，于202</w:t>
      </w:r>
      <w:r>
        <w:rPr>
          <w:rFonts w:hint="eastAsia" w:ascii="仿宋_GB2312" w:hAnsi="仿宋_GB2312" w:eastAsia="仿宋_GB2312" w:cs="仿宋_GB2312"/>
          <w:color w:val="auto"/>
          <w:sz w:val="32"/>
          <w:szCs w:val="32"/>
          <w:highlight w:val="none"/>
          <w:lang w:val="en-US" w:eastAsia="zh-CN"/>
        </w:rPr>
        <w:t>5</w:t>
      </w:r>
      <w:r>
        <w:rPr>
          <w:rFonts w:hint="eastAsia" w:ascii="仿宋_GB2312" w:hAnsi="仿宋_GB2312" w:eastAsia="仿宋_GB2312" w:cs="仿宋_GB2312"/>
          <w:color w:val="auto"/>
          <w:sz w:val="32"/>
          <w:szCs w:val="32"/>
          <w:highlight w:val="none"/>
        </w:rPr>
        <w:t>年6月底形成《工业园区温室气体连续监测技术规范》第一版。</w:t>
      </w:r>
    </w:p>
    <w:p w14:paraId="27B70A0F">
      <w:pPr>
        <w:spacing w:before="156" w:beforeLines="50" w:after="156" w:afterLines="50" w:line="560" w:lineRule="exact"/>
        <w:ind w:firstLine="640" w:firstLineChars="200"/>
        <w:outlineLvl w:val="1"/>
        <w:rPr>
          <w:rFonts w:hint="eastAsia" w:ascii="楷体" w:hAnsi="楷体" w:eastAsia="楷体" w:cs="仿宋_GB2312"/>
          <w:b w:val="0"/>
          <w:bCs/>
          <w:color w:val="auto"/>
          <w:sz w:val="32"/>
          <w:szCs w:val="32"/>
          <w:highlight w:val="none"/>
        </w:rPr>
      </w:pPr>
      <w:r>
        <w:rPr>
          <w:rFonts w:hint="eastAsia" w:ascii="楷体" w:hAnsi="楷体" w:eastAsia="楷体" w:cs="仿宋_GB2312"/>
          <w:b w:val="0"/>
          <w:bCs/>
          <w:color w:val="auto"/>
          <w:sz w:val="32"/>
          <w:szCs w:val="32"/>
          <w:highlight w:val="none"/>
        </w:rPr>
        <w:t>（三）征求意见与修改完善阶段（202</w:t>
      </w:r>
      <w:r>
        <w:rPr>
          <w:rFonts w:hint="eastAsia" w:ascii="楷体" w:hAnsi="楷体" w:eastAsia="楷体" w:cs="仿宋_GB2312"/>
          <w:b w:val="0"/>
          <w:bCs/>
          <w:color w:val="auto"/>
          <w:sz w:val="32"/>
          <w:szCs w:val="32"/>
          <w:highlight w:val="none"/>
          <w:lang w:val="en-US" w:eastAsia="zh-CN"/>
        </w:rPr>
        <w:t>5</w:t>
      </w:r>
      <w:r>
        <w:rPr>
          <w:rFonts w:hint="eastAsia" w:ascii="楷体" w:hAnsi="楷体" w:eastAsia="楷体" w:cs="仿宋_GB2312"/>
          <w:b w:val="0"/>
          <w:bCs/>
          <w:color w:val="auto"/>
          <w:sz w:val="32"/>
          <w:szCs w:val="32"/>
          <w:highlight w:val="none"/>
        </w:rPr>
        <w:t>年7月—8月）</w:t>
      </w:r>
    </w:p>
    <w:p w14:paraId="33BE2998">
      <w:pPr>
        <w:spacing w:line="560" w:lineRule="exact"/>
        <w:ind w:firstLine="640" w:firstLineChars="200"/>
        <w:rPr>
          <w:rFonts w:hint="eastAsia" w:ascii="仿宋_GB2312" w:hAnsi="仿宋_GB2312" w:eastAsia="仿宋_GB2312" w:cs="仿宋_GB2312"/>
          <w:color w:val="auto"/>
          <w:sz w:val="32"/>
          <w:szCs w:val="32"/>
          <w:highlight w:val="none"/>
        </w:rPr>
      </w:pPr>
      <w:r>
        <w:rPr>
          <w:rFonts w:hint="eastAsia" w:ascii="仿宋_GB2312" w:hAnsi="仿宋_GB2312" w:eastAsia="仿宋_GB2312" w:cs="仿宋_GB2312"/>
          <w:color w:val="auto"/>
          <w:sz w:val="32"/>
          <w:szCs w:val="32"/>
          <w:highlight w:val="none"/>
        </w:rPr>
        <w:t>202</w:t>
      </w:r>
      <w:r>
        <w:rPr>
          <w:rFonts w:hint="eastAsia" w:ascii="仿宋_GB2312" w:hAnsi="仿宋_GB2312" w:eastAsia="仿宋_GB2312" w:cs="仿宋_GB2312"/>
          <w:color w:val="auto"/>
          <w:sz w:val="32"/>
          <w:szCs w:val="32"/>
          <w:highlight w:val="none"/>
          <w:lang w:val="en-US" w:eastAsia="zh-CN"/>
        </w:rPr>
        <w:t>5</w:t>
      </w:r>
      <w:r>
        <w:rPr>
          <w:rFonts w:hint="eastAsia" w:ascii="仿宋_GB2312" w:hAnsi="仿宋_GB2312" w:eastAsia="仿宋_GB2312" w:cs="仿宋_GB2312"/>
          <w:color w:val="auto"/>
          <w:sz w:val="32"/>
          <w:szCs w:val="32"/>
          <w:highlight w:val="none"/>
        </w:rPr>
        <w:t>年7月上旬，将《工业园区温室气体连续监测技术规范》分发至各起草单位，征求技术骨干与一线监测人员意见，共收集意见18条，涉及“数据维护”中异常数据处理、“标气单元”中气瓶压力要求等方面。起草工作组逐一核实，采纳合理意见15条，部分采纳2条，形成初稿第二版。</w:t>
      </w:r>
    </w:p>
    <w:p w14:paraId="5405458D">
      <w:pPr>
        <w:spacing w:line="560" w:lineRule="exact"/>
        <w:ind w:firstLine="640" w:firstLineChars="200"/>
        <w:rPr>
          <w:rFonts w:hint="eastAsia" w:ascii="仿宋_GB2312" w:hAnsi="仿宋_GB2312" w:eastAsia="仿宋_GB2312" w:cs="仿宋_GB2312"/>
          <w:color w:val="auto"/>
          <w:sz w:val="32"/>
          <w:szCs w:val="32"/>
          <w:highlight w:val="none"/>
        </w:rPr>
      </w:pPr>
      <w:r>
        <w:rPr>
          <w:rFonts w:hint="eastAsia" w:ascii="仿宋_GB2312" w:hAnsi="仿宋_GB2312" w:eastAsia="仿宋_GB2312" w:cs="仿宋_GB2312"/>
          <w:color w:val="auto"/>
          <w:sz w:val="32"/>
          <w:szCs w:val="32"/>
          <w:highlight w:val="none"/>
        </w:rPr>
        <w:t>202</w:t>
      </w:r>
      <w:r>
        <w:rPr>
          <w:rFonts w:hint="eastAsia" w:ascii="仿宋_GB2312" w:hAnsi="仿宋_GB2312" w:eastAsia="仿宋_GB2312" w:cs="仿宋_GB2312"/>
          <w:color w:val="auto"/>
          <w:sz w:val="32"/>
          <w:szCs w:val="32"/>
          <w:highlight w:val="none"/>
          <w:lang w:val="en-US" w:eastAsia="zh-CN"/>
        </w:rPr>
        <w:t>5</w:t>
      </w:r>
      <w:r>
        <w:rPr>
          <w:rFonts w:hint="eastAsia" w:ascii="仿宋_GB2312" w:hAnsi="仿宋_GB2312" w:eastAsia="仿宋_GB2312" w:cs="仿宋_GB2312"/>
          <w:color w:val="auto"/>
          <w:sz w:val="32"/>
          <w:szCs w:val="32"/>
          <w:highlight w:val="none"/>
        </w:rPr>
        <w:t>年</w:t>
      </w:r>
      <w:r>
        <w:rPr>
          <w:rFonts w:hint="eastAsia" w:ascii="仿宋_GB2312" w:hAnsi="仿宋_GB2312" w:eastAsia="仿宋_GB2312" w:cs="仿宋_GB2312"/>
          <w:color w:val="auto"/>
          <w:sz w:val="32"/>
          <w:szCs w:val="32"/>
          <w:highlight w:val="none"/>
          <w:lang w:val="en-US" w:eastAsia="zh-CN"/>
        </w:rPr>
        <w:t>9</w:t>
      </w:r>
      <w:r>
        <w:rPr>
          <w:rFonts w:hint="eastAsia" w:ascii="仿宋_GB2312" w:hAnsi="仿宋_GB2312" w:eastAsia="仿宋_GB2312" w:cs="仿宋_GB2312"/>
          <w:color w:val="auto"/>
          <w:sz w:val="32"/>
          <w:szCs w:val="32"/>
          <w:highlight w:val="none"/>
        </w:rPr>
        <w:t>月中旬—</w:t>
      </w:r>
      <w:r>
        <w:rPr>
          <w:rFonts w:hint="eastAsia" w:ascii="仿宋_GB2312" w:hAnsi="仿宋_GB2312" w:eastAsia="仿宋_GB2312" w:cs="仿宋_GB2312"/>
          <w:color w:val="auto"/>
          <w:sz w:val="32"/>
          <w:szCs w:val="32"/>
          <w:highlight w:val="none"/>
          <w:lang w:val="en-US" w:eastAsia="zh-CN"/>
        </w:rPr>
        <w:t>10</w:t>
      </w:r>
      <w:r>
        <w:rPr>
          <w:rFonts w:hint="eastAsia" w:ascii="仿宋_GB2312" w:hAnsi="仿宋_GB2312" w:eastAsia="仿宋_GB2312" w:cs="仿宋_GB2312"/>
          <w:color w:val="auto"/>
          <w:sz w:val="32"/>
          <w:szCs w:val="32"/>
          <w:highlight w:val="none"/>
        </w:rPr>
        <w:t>月上旬，向</w:t>
      </w:r>
      <w:r>
        <w:rPr>
          <w:rFonts w:hint="eastAsia" w:ascii="仿宋_GB2312" w:hAnsi="仿宋_GB2312" w:eastAsia="仿宋_GB2312" w:cs="仿宋_GB2312"/>
          <w:color w:val="auto"/>
          <w:sz w:val="32"/>
          <w:szCs w:val="32"/>
          <w:highlight w:val="none"/>
          <w:lang w:val="en-US" w:eastAsia="zh-CN"/>
        </w:rPr>
        <w:t>多家</w:t>
      </w:r>
      <w:r>
        <w:rPr>
          <w:rFonts w:hint="eastAsia" w:ascii="仿宋_GB2312" w:hAnsi="仿宋_GB2312" w:eastAsia="仿宋_GB2312" w:cs="仿宋_GB2312"/>
          <w:color w:val="auto"/>
          <w:sz w:val="32"/>
          <w:szCs w:val="32"/>
          <w:highlight w:val="none"/>
        </w:rPr>
        <w:t>单位发送征求意见函，同步在广西标准化协会官网公示标准草案，公开征求社会意见。起草工作组召开专题会议论证未采纳意见，形成《征求意见汇总处理表》，并据此修改形成《工业园区温室气体连续监测技术规范》征求意见修改版。</w:t>
      </w:r>
    </w:p>
    <w:bookmarkEnd w:id="12"/>
    <w:bookmarkEnd w:id="13"/>
    <w:p w14:paraId="156B78B6">
      <w:pPr>
        <w:autoSpaceDE w:val="0"/>
        <w:autoSpaceDN w:val="0"/>
        <w:adjustRightInd w:val="0"/>
        <w:spacing w:before="156" w:beforeLines="50" w:after="156" w:afterLines="50" w:line="560" w:lineRule="exact"/>
        <w:ind w:firstLine="640" w:firstLineChars="200"/>
        <w:jc w:val="left"/>
        <w:outlineLvl w:val="0"/>
        <w:rPr>
          <w:rFonts w:eastAsia="黑体"/>
          <w:color w:val="auto"/>
          <w:sz w:val="32"/>
          <w:szCs w:val="32"/>
          <w:highlight w:val="none"/>
        </w:rPr>
      </w:pPr>
      <w:bookmarkStart w:id="14" w:name="_Toc2606"/>
      <w:r>
        <w:rPr>
          <w:rFonts w:hint="eastAsia" w:eastAsia="黑体"/>
          <w:color w:val="auto"/>
          <w:sz w:val="32"/>
          <w:szCs w:val="32"/>
          <w:highlight w:val="none"/>
        </w:rPr>
        <w:t>五、标准制定原则</w:t>
      </w:r>
      <w:bookmarkEnd w:id="14"/>
    </w:p>
    <w:p w14:paraId="7414223B">
      <w:pPr>
        <w:spacing w:before="156" w:beforeLines="50" w:after="156" w:afterLines="50" w:line="560" w:lineRule="exact"/>
        <w:ind w:firstLine="640" w:firstLineChars="200"/>
        <w:outlineLvl w:val="1"/>
        <w:rPr>
          <w:rFonts w:hint="eastAsia" w:ascii="楷体" w:hAnsi="楷体" w:eastAsia="楷体" w:cs="仿宋_GB2312"/>
          <w:b w:val="0"/>
          <w:bCs/>
          <w:color w:val="auto"/>
          <w:sz w:val="32"/>
          <w:szCs w:val="32"/>
          <w:highlight w:val="none"/>
          <w:lang w:eastAsia="zh-CN"/>
        </w:rPr>
      </w:pPr>
      <w:bookmarkStart w:id="15" w:name="_Toc465158158"/>
      <w:bookmarkStart w:id="16" w:name="_Toc463595747"/>
      <w:r>
        <w:rPr>
          <w:rFonts w:hint="eastAsia" w:ascii="楷体" w:hAnsi="楷体" w:eastAsia="楷体" w:cs="仿宋_GB2312"/>
          <w:b w:val="0"/>
          <w:bCs/>
          <w:color w:val="auto"/>
          <w:sz w:val="32"/>
          <w:szCs w:val="32"/>
          <w:highlight w:val="none"/>
          <w:lang w:eastAsia="zh-CN"/>
        </w:rPr>
        <w:t>（一）科学性原则</w:t>
      </w:r>
    </w:p>
    <w:p w14:paraId="0878767C">
      <w:pPr>
        <w:spacing w:line="560" w:lineRule="exact"/>
        <w:ind w:firstLine="648" w:firstLineChars="200"/>
        <w:rPr>
          <w:rFonts w:hint="eastAsia" w:ascii="仿宋_GB2312" w:hAnsi="仿宋_GB2312" w:eastAsia="仿宋_GB2312" w:cs="Calibri"/>
          <w:color w:val="auto"/>
          <w:spacing w:val="2"/>
          <w:sz w:val="32"/>
          <w:highlight w:val="none"/>
          <w:lang w:eastAsia="zh-CN"/>
        </w:rPr>
      </w:pPr>
      <w:r>
        <w:rPr>
          <w:rFonts w:hint="eastAsia" w:ascii="仿宋_GB2312" w:hAnsi="仿宋_GB2312" w:eastAsia="仿宋_GB2312" w:cs="Calibri"/>
          <w:color w:val="auto"/>
          <w:spacing w:val="2"/>
          <w:sz w:val="32"/>
          <w:highlight w:val="none"/>
          <w:lang w:eastAsia="zh-CN"/>
        </w:rPr>
        <w:t>标准制定严格依托成熟监测技术与科学理论，以光腔衰荡光谱法为核心测量方法，明确样气采集、预处理、分析全流程的技术逻辑，通过温度平衡、压力控制、除水干燥等预处理环节，保障温室气体浓度测量的准确性。针对高精度仪器、中精度仪器的性能指标，结合设备实测数据与园区监测需求，经多轮技术论证后量化设定，确保各项技术要求符合监测原理与实际应用规律，避免主观随意性。</w:t>
      </w:r>
    </w:p>
    <w:p w14:paraId="41E849F4">
      <w:pPr>
        <w:spacing w:before="156" w:beforeLines="50" w:after="156" w:afterLines="50" w:line="560" w:lineRule="exact"/>
        <w:ind w:firstLine="640" w:firstLineChars="200"/>
        <w:outlineLvl w:val="1"/>
        <w:rPr>
          <w:rFonts w:hint="eastAsia" w:ascii="楷体" w:hAnsi="楷体" w:eastAsia="楷体" w:cs="仿宋_GB2312"/>
          <w:b w:val="0"/>
          <w:bCs/>
          <w:color w:val="auto"/>
          <w:sz w:val="32"/>
          <w:szCs w:val="32"/>
          <w:highlight w:val="none"/>
          <w:lang w:eastAsia="zh-CN"/>
        </w:rPr>
      </w:pPr>
      <w:r>
        <w:rPr>
          <w:rFonts w:hint="eastAsia" w:ascii="楷体" w:hAnsi="楷体" w:eastAsia="楷体" w:cs="仿宋_GB2312"/>
          <w:b w:val="0"/>
          <w:bCs/>
          <w:color w:val="auto"/>
          <w:sz w:val="32"/>
          <w:szCs w:val="32"/>
          <w:highlight w:val="none"/>
          <w:lang w:eastAsia="zh-CN"/>
        </w:rPr>
        <w:t>（二）实用性原则</w:t>
      </w:r>
    </w:p>
    <w:p w14:paraId="05F266F9">
      <w:pPr>
        <w:spacing w:line="560" w:lineRule="exact"/>
        <w:ind w:firstLine="648" w:firstLineChars="200"/>
        <w:rPr>
          <w:rFonts w:hint="eastAsia" w:ascii="仿宋_GB2312" w:hAnsi="仿宋_GB2312" w:eastAsia="仿宋_GB2312" w:cs="Calibri"/>
          <w:color w:val="auto"/>
          <w:spacing w:val="2"/>
          <w:sz w:val="32"/>
          <w:highlight w:val="none"/>
          <w:lang w:eastAsia="zh-CN"/>
        </w:rPr>
      </w:pPr>
      <w:r>
        <w:rPr>
          <w:rFonts w:hint="eastAsia" w:ascii="仿宋_GB2312" w:hAnsi="仿宋_GB2312" w:eastAsia="仿宋_GB2312" w:cs="Calibri"/>
          <w:color w:val="auto"/>
          <w:spacing w:val="2"/>
          <w:sz w:val="32"/>
          <w:highlight w:val="none"/>
          <w:lang w:eastAsia="zh-CN"/>
        </w:rPr>
        <w:t>标准内容紧密围绕工业园区温室气体连续监测的实操需求，采用条款+表格的表述形式，将复杂技术要求转化为清晰可操作的指引。在监测站运行维护章节，通过表格明确不同设备的巡检对象、维护要求与检查频次；在点位布设章节，细化本底、排放、边界三类点位的设置位置与具体要求，降低监测实施单位的操作难度。同时，充分考虑西南地区地形、气象特点，适配山地园区气流监测需求，确保标准在实际场景中能用、好用。</w:t>
      </w:r>
    </w:p>
    <w:p w14:paraId="768CCDA7">
      <w:pPr>
        <w:spacing w:before="156" w:beforeLines="50" w:after="156" w:afterLines="50" w:line="560" w:lineRule="exact"/>
        <w:ind w:firstLine="640" w:firstLineChars="200"/>
        <w:outlineLvl w:val="1"/>
        <w:rPr>
          <w:rFonts w:hint="eastAsia" w:ascii="楷体" w:hAnsi="楷体" w:eastAsia="楷体" w:cs="仿宋_GB2312"/>
          <w:b w:val="0"/>
          <w:bCs/>
          <w:color w:val="auto"/>
          <w:sz w:val="32"/>
          <w:szCs w:val="32"/>
          <w:highlight w:val="none"/>
          <w:lang w:eastAsia="zh-CN"/>
        </w:rPr>
      </w:pPr>
      <w:r>
        <w:rPr>
          <w:rFonts w:hint="eastAsia" w:ascii="楷体" w:hAnsi="楷体" w:eastAsia="楷体" w:cs="仿宋_GB2312"/>
          <w:b w:val="0"/>
          <w:bCs/>
          <w:color w:val="auto"/>
          <w:sz w:val="32"/>
          <w:szCs w:val="32"/>
          <w:highlight w:val="none"/>
          <w:lang w:eastAsia="zh-CN"/>
        </w:rPr>
        <w:t>（三）协调性原则</w:t>
      </w:r>
    </w:p>
    <w:p w14:paraId="73A43A01">
      <w:pPr>
        <w:spacing w:line="560" w:lineRule="exact"/>
        <w:ind w:firstLine="648" w:firstLineChars="200"/>
        <w:rPr>
          <w:rFonts w:hint="eastAsia" w:ascii="仿宋_GB2312" w:hAnsi="仿宋_GB2312" w:eastAsia="仿宋_GB2312" w:cs="Calibri"/>
          <w:color w:val="auto"/>
          <w:spacing w:val="2"/>
          <w:sz w:val="32"/>
          <w:highlight w:val="none"/>
          <w:lang w:eastAsia="zh-CN"/>
        </w:rPr>
      </w:pPr>
      <w:r>
        <w:rPr>
          <w:rFonts w:hint="eastAsia" w:ascii="仿宋_GB2312" w:hAnsi="仿宋_GB2312" w:eastAsia="仿宋_GB2312" w:cs="Calibri"/>
          <w:color w:val="auto"/>
          <w:spacing w:val="2"/>
          <w:sz w:val="32"/>
          <w:highlight w:val="none"/>
          <w:lang w:eastAsia="zh-CN"/>
        </w:rPr>
        <w:t>标准严格与现行国家标准、行业标准保持衔接，引用大气成分选址要求、环境空气质量标准、环境空气气态污染物连续自动监测系统技术要求及检测方法等文件中的核心技术要求，避免与现有标准冲突。同时，针对现有标准未覆盖的工业园区专项需求，补充细化相关内容，与现有标准形成互补，共同完善温室气体监测标准体系。</w:t>
      </w:r>
    </w:p>
    <w:p w14:paraId="0DB5F115">
      <w:pPr>
        <w:spacing w:before="156" w:beforeLines="50" w:after="156" w:afterLines="50" w:line="560" w:lineRule="exact"/>
        <w:ind w:firstLine="640" w:firstLineChars="200"/>
        <w:outlineLvl w:val="1"/>
        <w:rPr>
          <w:rFonts w:hint="eastAsia" w:ascii="楷体" w:hAnsi="楷体" w:eastAsia="楷体" w:cs="仿宋_GB2312"/>
          <w:b w:val="0"/>
          <w:bCs/>
          <w:color w:val="auto"/>
          <w:sz w:val="32"/>
          <w:szCs w:val="32"/>
          <w:highlight w:val="none"/>
          <w:lang w:eastAsia="zh-CN"/>
        </w:rPr>
      </w:pPr>
      <w:r>
        <w:rPr>
          <w:rFonts w:hint="eastAsia" w:ascii="楷体" w:hAnsi="楷体" w:eastAsia="楷体" w:cs="仿宋_GB2312"/>
          <w:b w:val="0"/>
          <w:bCs/>
          <w:color w:val="auto"/>
          <w:sz w:val="32"/>
          <w:szCs w:val="32"/>
          <w:highlight w:val="none"/>
          <w:lang w:eastAsia="zh-CN"/>
        </w:rPr>
        <w:t>（四）分级分类原则</w:t>
      </w:r>
    </w:p>
    <w:p w14:paraId="099D2D2C">
      <w:pPr>
        <w:spacing w:line="560" w:lineRule="exact"/>
        <w:ind w:firstLine="648" w:firstLineChars="200"/>
        <w:rPr>
          <w:rFonts w:hint="eastAsia" w:ascii="仿宋_GB2312" w:hAnsi="仿宋_GB2312" w:eastAsia="仿宋_GB2312" w:cs="Calibri"/>
          <w:color w:val="auto"/>
          <w:spacing w:val="2"/>
          <w:sz w:val="32"/>
          <w:highlight w:val="none"/>
          <w:lang w:eastAsia="zh-CN"/>
        </w:rPr>
      </w:pPr>
      <w:r>
        <w:rPr>
          <w:rFonts w:hint="eastAsia" w:ascii="仿宋_GB2312" w:hAnsi="仿宋_GB2312" w:eastAsia="仿宋_GB2312" w:cs="Calibri"/>
          <w:color w:val="auto"/>
          <w:spacing w:val="2"/>
          <w:sz w:val="32"/>
          <w:highlight w:val="none"/>
          <w:lang w:eastAsia="zh-CN"/>
        </w:rPr>
        <w:t>考虑不同规模、不同监测需求的工业园区差异，标准采用分级分类的技术框架：按仪器精度分为高精度、中精度两类，分别设定性能指标、校准频次与维护要求；按监测目标分为本底点位、排放点位、边界点位三类，明确各类点位的布设原则与功能定位。这种设计既满足大型重化工园区高精度监测需求，也适配中小型园区基础监测需求，兼顾通用性与针对性。</w:t>
      </w:r>
    </w:p>
    <w:p w14:paraId="5B116EB9">
      <w:pPr>
        <w:spacing w:before="156" w:beforeLines="50" w:after="156" w:afterLines="50" w:line="560" w:lineRule="exact"/>
        <w:ind w:firstLine="640" w:firstLineChars="200"/>
        <w:outlineLvl w:val="1"/>
        <w:rPr>
          <w:rFonts w:hint="eastAsia" w:ascii="楷体" w:hAnsi="楷体" w:eastAsia="楷体" w:cs="仿宋_GB2312"/>
          <w:b w:val="0"/>
          <w:bCs/>
          <w:color w:val="auto"/>
          <w:sz w:val="32"/>
          <w:szCs w:val="32"/>
          <w:highlight w:val="none"/>
          <w:lang w:eastAsia="zh-CN"/>
        </w:rPr>
      </w:pPr>
      <w:r>
        <w:rPr>
          <w:rFonts w:hint="eastAsia" w:ascii="楷体" w:hAnsi="楷体" w:eastAsia="楷体" w:cs="仿宋_GB2312"/>
          <w:b w:val="0"/>
          <w:bCs/>
          <w:color w:val="auto"/>
          <w:sz w:val="32"/>
          <w:szCs w:val="32"/>
          <w:highlight w:val="none"/>
          <w:lang w:eastAsia="zh-CN"/>
        </w:rPr>
        <w:t>（五）前瞻性原则</w:t>
      </w:r>
    </w:p>
    <w:p w14:paraId="5A15DDF0">
      <w:pPr>
        <w:spacing w:line="560" w:lineRule="exact"/>
        <w:ind w:firstLine="648" w:firstLineChars="200"/>
        <w:rPr>
          <w:rFonts w:hint="eastAsia" w:ascii="仿宋_GB2312" w:hAnsi="仿宋_GB2312" w:eastAsia="仿宋_GB2312" w:cs="仿宋_GB2312"/>
          <w:color w:val="auto"/>
          <w:sz w:val="32"/>
          <w:szCs w:val="32"/>
          <w:highlight w:val="none"/>
        </w:rPr>
      </w:pPr>
      <w:r>
        <w:rPr>
          <w:rFonts w:hint="eastAsia" w:ascii="仿宋_GB2312" w:hAnsi="仿宋_GB2312" w:eastAsia="仿宋_GB2312" w:cs="Calibri"/>
          <w:color w:val="auto"/>
          <w:spacing w:val="2"/>
          <w:sz w:val="32"/>
          <w:highlight w:val="none"/>
          <w:lang w:eastAsia="zh-CN"/>
        </w:rPr>
        <w:t>标准在立足当前监测技术水平的同时，预留未来发展空间。在观测系统性能指标中，除必测的温室气体外，增设选测指标，适配后续园区多污染物协同监测需求；在点位布设章节提出前瞻性原则，要求结合园区发展规划预留监测点位，适应未来产业结构调整与排放变化。同时，将数据获取率、故障响应时限等要求纳入标准，为后续园区监测数据的长期应用奠定基础，确保标准能适应双碳目标推进过程中的监测需求变化。</w:t>
      </w:r>
      <w:bookmarkEnd w:id="15"/>
      <w:bookmarkEnd w:id="16"/>
    </w:p>
    <w:p w14:paraId="13F03275">
      <w:pPr>
        <w:autoSpaceDE w:val="0"/>
        <w:autoSpaceDN w:val="0"/>
        <w:adjustRightInd w:val="0"/>
        <w:spacing w:before="156" w:beforeLines="50" w:after="156" w:afterLines="50" w:line="560" w:lineRule="exact"/>
        <w:ind w:firstLine="640" w:firstLineChars="200"/>
        <w:jc w:val="left"/>
        <w:outlineLvl w:val="0"/>
        <w:rPr>
          <w:rFonts w:eastAsia="黑体"/>
          <w:color w:val="auto"/>
          <w:sz w:val="32"/>
          <w:szCs w:val="32"/>
          <w:highlight w:val="none"/>
        </w:rPr>
      </w:pPr>
      <w:bookmarkStart w:id="17" w:name="_Toc11039"/>
      <w:r>
        <w:rPr>
          <w:rFonts w:hint="eastAsia" w:eastAsia="黑体"/>
          <w:color w:val="auto"/>
          <w:sz w:val="32"/>
          <w:szCs w:val="32"/>
          <w:highlight w:val="none"/>
        </w:rPr>
        <w:t>六、主要内容及依据来源说明</w:t>
      </w:r>
      <w:bookmarkEnd w:id="17"/>
    </w:p>
    <w:p w14:paraId="351635B7">
      <w:pPr>
        <w:spacing w:before="156" w:beforeLines="50" w:after="156" w:afterLines="50" w:line="560" w:lineRule="exact"/>
        <w:ind w:firstLine="640" w:firstLineChars="200"/>
        <w:outlineLvl w:val="1"/>
        <w:rPr>
          <w:rFonts w:hint="eastAsia" w:ascii="楷体" w:hAnsi="楷体" w:eastAsia="楷体" w:cs="仿宋_GB2312"/>
          <w:b w:val="0"/>
          <w:bCs/>
          <w:color w:val="auto"/>
          <w:sz w:val="32"/>
          <w:szCs w:val="32"/>
          <w:highlight w:val="none"/>
        </w:rPr>
      </w:pPr>
      <w:r>
        <w:rPr>
          <w:rFonts w:hint="eastAsia" w:ascii="楷体" w:hAnsi="楷体" w:eastAsia="楷体" w:cs="仿宋_GB2312"/>
          <w:b w:val="0"/>
          <w:bCs/>
          <w:color w:val="auto"/>
          <w:sz w:val="32"/>
          <w:szCs w:val="32"/>
          <w:highlight w:val="none"/>
        </w:rPr>
        <w:t>（一）标准结构设计依据</w:t>
      </w:r>
    </w:p>
    <w:p w14:paraId="2F2198EE">
      <w:pPr>
        <w:tabs>
          <w:tab w:val="left" w:pos="720"/>
        </w:tabs>
        <w:spacing w:line="560" w:lineRule="exact"/>
        <w:ind w:firstLine="640" w:firstLineChars="200"/>
        <w:rPr>
          <w:rFonts w:hint="eastAsia" w:ascii="仿宋_GB2312" w:hAnsi="仿宋_GB2312" w:eastAsia="仿宋_GB2312" w:cs="仿宋_GB2312"/>
          <w:color w:val="auto"/>
          <w:sz w:val="32"/>
          <w:szCs w:val="32"/>
          <w:highlight w:val="none"/>
        </w:rPr>
      </w:pPr>
      <w:r>
        <w:rPr>
          <w:rFonts w:hint="eastAsia" w:ascii="仿宋_GB2312" w:hAnsi="仿宋_GB2312" w:eastAsia="仿宋_GB2312" w:cs="仿宋_GB2312"/>
          <w:color w:val="auto"/>
          <w:sz w:val="32"/>
          <w:szCs w:val="32"/>
          <w:highlight w:val="none"/>
        </w:rPr>
        <w:t>本标准结构严格遵循GB/T1.1—2020《标准化工作导则第1部分：标准化文件的结构和起草规则》，采用范围</w:t>
      </w:r>
      <w:r>
        <w:rPr>
          <w:rFonts w:hint="eastAsia" w:ascii="仿宋_GB2312" w:hAnsi="仿宋_GB2312" w:eastAsia="仿宋_GB2312" w:cs="仿宋_GB2312"/>
          <w:color w:val="auto"/>
          <w:sz w:val="32"/>
          <w:szCs w:val="32"/>
          <w:highlight w:val="none"/>
          <w:lang w:eastAsia="zh-CN"/>
        </w:rPr>
        <w:t>、</w:t>
      </w:r>
      <w:r>
        <w:rPr>
          <w:rFonts w:hint="eastAsia" w:ascii="仿宋_GB2312" w:hAnsi="仿宋_GB2312" w:eastAsia="仿宋_GB2312" w:cs="仿宋_GB2312"/>
          <w:color w:val="auto"/>
          <w:sz w:val="32"/>
          <w:szCs w:val="32"/>
          <w:highlight w:val="none"/>
        </w:rPr>
        <w:t>规范性引用文件</w:t>
      </w:r>
      <w:r>
        <w:rPr>
          <w:rFonts w:hint="eastAsia" w:ascii="仿宋_GB2312" w:hAnsi="仿宋_GB2312" w:eastAsia="仿宋_GB2312" w:cs="仿宋_GB2312"/>
          <w:color w:val="auto"/>
          <w:sz w:val="32"/>
          <w:szCs w:val="32"/>
          <w:highlight w:val="none"/>
          <w:lang w:eastAsia="zh-CN"/>
        </w:rPr>
        <w:t>、</w:t>
      </w:r>
      <w:r>
        <w:rPr>
          <w:rFonts w:hint="eastAsia" w:ascii="仿宋_GB2312" w:hAnsi="仿宋_GB2312" w:eastAsia="仿宋_GB2312" w:cs="仿宋_GB2312"/>
          <w:color w:val="auto"/>
          <w:sz w:val="32"/>
          <w:szCs w:val="32"/>
          <w:highlight w:val="none"/>
        </w:rPr>
        <w:t>术语和定义</w:t>
      </w:r>
      <w:r>
        <w:rPr>
          <w:rFonts w:hint="eastAsia" w:ascii="仿宋_GB2312" w:hAnsi="仿宋_GB2312" w:eastAsia="仿宋_GB2312" w:cs="仿宋_GB2312"/>
          <w:color w:val="auto"/>
          <w:sz w:val="32"/>
          <w:szCs w:val="32"/>
          <w:highlight w:val="none"/>
          <w:lang w:eastAsia="zh-CN"/>
        </w:rPr>
        <w:t>、</w:t>
      </w:r>
      <w:r>
        <w:rPr>
          <w:rFonts w:hint="eastAsia" w:ascii="仿宋_GB2312" w:hAnsi="仿宋_GB2312" w:eastAsia="仿宋_GB2312" w:cs="仿宋_GB2312"/>
          <w:color w:val="auto"/>
          <w:sz w:val="32"/>
          <w:szCs w:val="32"/>
          <w:highlight w:val="none"/>
        </w:rPr>
        <w:t>技术要求</w:t>
      </w:r>
      <w:r>
        <w:rPr>
          <w:rFonts w:hint="eastAsia" w:ascii="仿宋_GB2312" w:hAnsi="仿宋_GB2312" w:eastAsia="仿宋_GB2312" w:cs="仿宋_GB2312"/>
          <w:color w:val="auto"/>
          <w:sz w:val="32"/>
          <w:szCs w:val="32"/>
          <w:highlight w:val="none"/>
          <w:lang w:eastAsia="zh-CN"/>
        </w:rPr>
        <w:t>、</w:t>
      </w:r>
      <w:r>
        <w:rPr>
          <w:rFonts w:hint="eastAsia" w:ascii="仿宋_GB2312" w:hAnsi="仿宋_GB2312" w:eastAsia="仿宋_GB2312" w:cs="仿宋_GB2312"/>
          <w:color w:val="auto"/>
          <w:sz w:val="32"/>
          <w:szCs w:val="32"/>
          <w:highlight w:val="none"/>
        </w:rPr>
        <w:t>实施保障的逻辑框架，共设12章及参考文献，覆盖工业园区温室气体连续监测从前期准备到后期运维的全流程，确保章节排布连贯、内容无遗漏，符合团体标准编制的通用规范。</w:t>
      </w:r>
    </w:p>
    <w:p w14:paraId="7F4C7EC9">
      <w:pPr>
        <w:spacing w:before="156" w:beforeLines="50" w:after="156" w:afterLines="50" w:line="560" w:lineRule="exact"/>
        <w:ind w:firstLine="640" w:firstLineChars="200"/>
        <w:outlineLvl w:val="1"/>
        <w:rPr>
          <w:rFonts w:hint="eastAsia" w:ascii="楷体" w:hAnsi="楷体" w:eastAsia="楷体" w:cs="仿宋_GB2312"/>
          <w:b w:val="0"/>
          <w:bCs/>
          <w:color w:val="auto"/>
          <w:sz w:val="32"/>
          <w:szCs w:val="32"/>
          <w:highlight w:val="none"/>
        </w:rPr>
      </w:pPr>
      <w:r>
        <w:rPr>
          <w:rFonts w:hint="eastAsia" w:ascii="楷体" w:hAnsi="楷体" w:eastAsia="楷体" w:cs="仿宋_GB2312"/>
          <w:b w:val="0"/>
          <w:bCs/>
          <w:color w:val="auto"/>
          <w:sz w:val="32"/>
          <w:szCs w:val="32"/>
          <w:highlight w:val="none"/>
        </w:rPr>
        <w:t>（二）核心章节主要内容及依据来源</w:t>
      </w:r>
    </w:p>
    <w:p w14:paraId="228FCCFE">
      <w:pPr>
        <w:tabs>
          <w:tab w:val="left" w:pos="720"/>
        </w:tabs>
        <w:spacing w:line="560" w:lineRule="exact"/>
        <w:ind w:firstLine="640" w:firstLineChars="200"/>
        <w:rPr>
          <w:rFonts w:hint="eastAsia" w:ascii="仿宋_GB2312" w:hAnsi="仿宋_GB2312" w:eastAsia="仿宋_GB2312" w:cs="仿宋_GB2312"/>
          <w:color w:val="auto"/>
          <w:sz w:val="32"/>
          <w:szCs w:val="32"/>
          <w:highlight w:val="none"/>
        </w:rPr>
      </w:pPr>
      <w:r>
        <w:rPr>
          <w:rFonts w:hint="eastAsia" w:ascii="仿宋_GB2312" w:hAnsi="仿宋_GB2312" w:eastAsia="仿宋_GB2312" w:cs="仿宋_GB2312"/>
          <w:color w:val="auto"/>
          <w:sz w:val="32"/>
          <w:szCs w:val="32"/>
          <w:highlight w:val="none"/>
        </w:rPr>
        <w:t>1.范围</w:t>
      </w:r>
    </w:p>
    <w:p w14:paraId="7BED19F0">
      <w:pPr>
        <w:tabs>
          <w:tab w:val="left" w:pos="720"/>
        </w:tabs>
        <w:spacing w:line="560" w:lineRule="exact"/>
        <w:ind w:firstLine="640" w:firstLineChars="200"/>
        <w:rPr>
          <w:rFonts w:hint="eastAsia" w:ascii="仿宋_GB2312" w:hAnsi="仿宋_GB2312" w:eastAsia="仿宋_GB2312" w:cs="仿宋_GB2312"/>
          <w:color w:val="auto"/>
          <w:sz w:val="32"/>
          <w:szCs w:val="32"/>
          <w:highlight w:val="none"/>
        </w:rPr>
      </w:pPr>
      <w:r>
        <w:rPr>
          <w:rFonts w:hint="eastAsia" w:ascii="仿宋_GB2312" w:hAnsi="仿宋_GB2312" w:eastAsia="仿宋_GB2312" w:cs="仿宋_GB2312"/>
          <w:color w:val="auto"/>
          <w:sz w:val="32"/>
          <w:szCs w:val="32"/>
          <w:highlight w:val="none"/>
        </w:rPr>
        <w:t>主要内容</w:t>
      </w:r>
      <w:r>
        <w:rPr>
          <w:rFonts w:hint="eastAsia" w:ascii="仿宋_GB2312" w:hAnsi="仿宋_GB2312" w:eastAsia="仿宋_GB2312" w:cs="仿宋_GB2312"/>
          <w:color w:val="auto"/>
          <w:sz w:val="32"/>
          <w:szCs w:val="32"/>
          <w:highlight w:val="none"/>
          <w:lang w:val="en-US" w:eastAsia="zh-CN"/>
        </w:rPr>
        <w:t>为</w:t>
      </w:r>
      <w:r>
        <w:rPr>
          <w:rFonts w:hint="eastAsia" w:ascii="仿宋_GB2312" w:hAnsi="仿宋_GB2312" w:eastAsia="仿宋_GB2312" w:cs="仿宋_GB2312"/>
          <w:color w:val="auto"/>
          <w:sz w:val="32"/>
          <w:szCs w:val="32"/>
          <w:highlight w:val="none"/>
        </w:rPr>
        <w:t>规定标准涵盖的技术要求（术语和定义、监测系统技术要求、监测点位布设、监测方法、质量保证与质量控制、数据处理、运行维护、监督管理），明确适用于工业园区内二氧化碳、甲烷、氧化亚氮等温室气体的连续自动监测，为园区温室气体排放监管、碳排放核算、减排效果评估提供技术支撑。</w:t>
      </w:r>
    </w:p>
    <w:p w14:paraId="377290E8">
      <w:pPr>
        <w:tabs>
          <w:tab w:val="left" w:pos="720"/>
        </w:tabs>
        <w:spacing w:line="560" w:lineRule="exact"/>
        <w:ind w:firstLine="640" w:firstLineChars="200"/>
        <w:rPr>
          <w:rFonts w:hint="eastAsia" w:ascii="仿宋_GB2312" w:hAnsi="仿宋_GB2312" w:eastAsia="仿宋_GB2312" w:cs="仿宋_GB2312"/>
          <w:color w:val="auto"/>
          <w:sz w:val="32"/>
          <w:szCs w:val="32"/>
          <w:highlight w:val="none"/>
        </w:rPr>
      </w:pPr>
      <w:r>
        <w:rPr>
          <w:rFonts w:hint="eastAsia" w:ascii="仿宋_GB2312" w:hAnsi="仿宋_GB2312" w:eastAsia="仿宋_GB2312" w:cs="仿宋_GB2312"/>
          <w:color w:val="auto"/>
          <w:sz w:val="32"/>
          <w:szCs w:val="32"/>
          <w:highlight w:val="none"/>
        </w:rPr>
        <w:t>依据来源</w:t>
      </w:r>
      <w:r>
        <w:rPr>
          <w:rFonts w:hint="eastAsia" w:ascii="仿宋_GB2312" w:hAnsi="仿宋_GB2312" w:eastAsia="仿宋_GB2312" w:cs="仿宋_GB2312"/>
          <w:color w:val="auto"/>
          <w:sz w:val="32"/>
          <w:szCs w:val="32"/>
          <w:highlight w:val="none"/>
          <w:lang w:val="en-US" w:eastAsia="zh-CN"/>
        </w:rPr>
        <w:t>为</w:t>
      </w:r>
      <w:r>
        <w:rPr>
          <w:rFonts w:hint="eastAsia" w:ascii="仿宋_GB2312" w:hAnsi="仿宋_GB2312" w:eastAsia="仿宋_GB2312" w:cs="仿宋_GB2312"/>
          <w:color w:val="auto"/>
          <w:sz w:val="32"/>
          <w:szCs w:val="32"/>
          <w:highlight w:val="none"/>
        </w:rPr>
        <w:t>结合《中华人民共和国环境保护法》《中华人民共和国大气污染防治法》中对工业领域污染物监测的法定要求，参考HJ75《固定污染源烟气（SO</w:t>
      </w:r>
      <w:r>
        <w:rPr>
          <w:rFonts w:hint="eastAsia" w:ascii="仿宋_GB2312" w:hAnsi="仿宋_GB2312" w:eastAsia="仿宋_GB2312" w:cs="仿宋_GB2312"/>
          <w:color w:val="auto"/>
          <w:sz w:val="32"/>
          <w:szCs w:val="32"/>
          <w:highlight w:val="none"/>
          <w:lang w:val="en-US" w:eastAsia="zh-CN"/>
        </w:rPr>
        <w:t>2</w:t>
      </w:r>
      <w:r>
        <w:rPr>
          <w:rFonts w:hint="eastAsia" w:ascii="仿宋_GB2312" w:hAnsi="仿宋_GB2312" w:eastAsia="仿宋_GB2312" w:cs="仿宋_GB2312"/>
          <w:color w:val="auto"/>
          <w:sz w:val="32"/>
          <w:szCs w:val="32"/>
          <w:highlight w:val="none"/>
        </w:rPr>
        <w:t>、NO</w:t>
      </w:r>
      <w:r>
        <w:rPr>
          <w:rFonts w:hint="eastAsia" w:ascii="仿宋_GB2312" w:hAnsi="仿宋_GB2312" w:eastAsia="仿宋_GB2312" w:cs="仿宋_GB2312"/>
          <w:color w:val="auto"/>
          <w:sz w:val="32"/>
          <w:szCs w:val="32"/>
          <w:highlight w:val="none"/>
          <w:lang w:val="en-US" w:eastAsia="zh-CN"/>
        </w:rPr>
        <w:t>x</w:t>
      </w:r>
      <w:r>
        <w:rPr>
          <w:rFonts w:hint="eastAsia" w:ascii="仿宋_GB2312" w:hAnsi="仿宋_GB2312" w:eastAsia="仿宋_GB2312" w:cs="仿宋_GB2312"/>
          <w:color w:val="auto"/>
          <w:sz w:val="32"/>
          <w:szCs w:val="32"/>
          <w:highlight w:val="none"/>
        </w:rPr>
        <w:t>、颗粒物）排放连续监测技术规范》对适用范围的界定方式，聚焦工业园区这一核心排放载体的专项监测需求，避免与现有标准在适用场景上重叠或遗漏。</w:t>
      </w:r>
    </w:p>
    <w:p w14:paraId="2EE6889E">
      <w:pPr>
        <w:tabs>
          <w:tab w:val="left" w:pos="720"/>
        </w:tabs>
        <w:spacing w:line="560" w:lineRule="exact"/>
        <w:ind w:firstLine="640" w:firstLineChars="200"/>
        <w:rPr>
          <w:rFonts w:hint="eastAsia" w:ascii="仿宋_GB2312" w:hAnsi="仿宋_GB2312" w:eastAsia="仿宋_GB2312" w:cs="仿宋_GB2312"/>
          <w:color w:val="auto"/>
          <w:sz w:val="32"/>
          <w:szCs w:val="32"/>
          <w:highlight w:val="none"/>
        </w:rPr>
      </w:pPr>
      <w:r>
        <w:rPr>
          <w:rFonts w:hint="eastAsia" w:ascii="仿宋_GB2312" w:hAnsi="仿宋_GB2312" w:eastAsia="仿宋_GB2312" w:cs="仿宋_GB2312"/>
          <w:color w:val="auto"/>
          <w:sz w:val="32"/>
          <w:szCs w:val="32"/>
          <w:highlight w:val="none"/>
        </w:rPr>
        <w:t>2.规范性引用文件</w:t>
      </w:r>
    </w:p>
    <w:p w14:paraId="2ADC5EC4">
      <w:pPr>
        <w:tabs>
          <w:tab w:val="left" w:pos="720"/>
        </w:tabs>
        <w:spacing w:line="560" w:lineRule="exact"/>
        <w:ind w:firstLine="640" w:firstLineChars="200"/>
        <w:rPr>
          <w:rFonts w:hint="eastAsia" w:ascii="仿宋_GB2312" w:hAnsi="仿宋_GB2312" w:eastAsia="仿宋_GB2312" w:cs="仿宋_GB2312"/>
          <w:color w:val="auto"/>
          <w:sz w:val="32"/>
          <w:szCs w:val="32"/>
          <w:highlight w:val="none"/>
        </w:rPr>
      </w:pPr>
      <w:r>
        <w:rPr>
          <w:rFonts w:hint="eastAsia" w:ascii="仿宋_GB2312" w:hAnsi="仿宋_GB2312" w:eastAsia="仿宋_GB2312" w:cs="仿宋_GB2312"/>
          <w:color w:val="auto"/>
          <w:sz w:val="32"/>
          <w:szCs w:val="32"/>
          <w:highlight w:val="none"/>
        </w:rPr>
        <w:t>主要内容</w:t>
      </w:r>
      <w:r>
        <w:rPr>
          <w:rFonts w:hint="eastAsia" w:ascii="仿宋_GB2312" w:hAnsi="仿宋_GB2312" w:eastAsia="仿宋_GB2312" w:cs="仿宋_GB2312"/>
          <w:color w:val="auto"/>
          <w:sz w:val="32"/>
          <w:szCs w:val="32"/>
          <w:highlight w:val="none"/>
          <w:lang w:val="en-US" w:eastAsia="zh-CN"/>
        </w:rPr>
        <w:t>为</w:t>
      </w:r>
      <w:r>
        <w:rPr>
          <w:rFonts w:hint="eastAsia" w:ascii="仿宋_GB2312" w:hAnsi="仿宋_GB2312" w:eastAsia="仿宋_GB2312" w:cs="仿宋_GB2312"/>
          <w:color w:val="auto"/>
          <w:sz w:val="32"/>
          <w:szCs w:val="32"/>
          <w:highlight w:val="none"/>
        </w:rPr>
        <w:t>列出8项关键引用文件，包括QX/T174《大气成分选址要求》、GB3095《环境空气质量标准》、GB/T8170《数值修约规则与极限数值的表示和判定》、GB/T27025《检测和校准实验室能力的通用要求》、HJ75《固定污染源烟气（SO</w:t>
      </w:r>
      <w:r>
        <w:rPr>
          <w:rFonts w:hint="eastAsia" w:ascii="仿宋_GB2312" w:hAnsi="仿宋_GB2312" w:eastAsia="仿宋_GB2312" w:cs="仿宋_GB2312"/>
          <w:color w:val="auto"/>
          <w:sz w:val="32"/>
          <w:szCs w:val="32"/>
          <w:highlight w:val="none"/>
          <w:lang w:eastAsia="zh-CN"/>
        </w:rPr>
        <w:t>2</w:t>
      </w:r>
      <w:r>
        <w:rPr>
          <w:rFonts w:hint="eastAsia" w:ascii="仿宋_GB2312" w:hAnsi="仿宋_GB2312" w:eastAsia="仿宋_GB2312" w:cs="仿宋_GB2312"/>
          <w:color w:val="auto"/>
          <w:sz w:val="32"/>
          <w:szCs w:val="32"/>
          <w:highlight w:val="none"/>
        </w:rPr>
        <w:t>、NOₓ、颗粒物）排放连续监测技术规范》、HJ212《污染物在线监控（监测）系统数据传输标准》、HJ664《环境空气质量监测点位布设技术规范（试行）》、HJ818《环境空气气态污染物（SO</w:t>
      </w:r>
      <w:r>
        <w:rPr>
          <w:rFonts w:hint="eastAsia" w:ascii="仿宋_GB2312" w:hAnsi="仿宋_GB2312" w:eastAsia="仿宋_GB2312" w:cs="仿宋_GB2312"/>
          <w:color w:val="auto"/>
          <w:sz w:val="32"/>
          <w:szCs w:val="32"/>
          <w:highlight w:val="none"/>
          <w:lang w:val="en-US" w:eastAsia="zh-CN"/>
        </w:rPr>
        <w:t>2</w:t>
      </w:r>
      <w:r>
        <w:rPr>
          <w:rFonts w:hint="eastAsia" w:ascii="仿宋_GB2312" w:hAnsi="仿宋_GB2312" w:eastAsia="仿宋_GB2312" w:cs="仿宋_GB2312"/>
          <w:color w:val="auto"/>
          <w:sz w:val="32"/>
          <w:szCs w:val="32"/>
          <w:highlight w:val="none"/>
        </w:rPr>
        <w:t>、NO</w:t>
      </w:r>
      <w:r>
        <w:rPr>
          <w:rFonts w:hint="eastAsia" w:ascii="仿宋_GB2312" w:hAnsi="仿宋_GB2312" w:eastAsia="仿宋_GB2312" w:cs="仿宋_GB2312"/>
          <w:color w:val="auto"/>
          <w:sz w:val="32"/>
          <w:szCs w:val="32"/>
          <w:highlight w:val="none"/>
          <w:lang w:eastAsia="zh-CN"/>
        </w:rPr>
        <w:t>2</w:t>
      </w:r>
      <w:r>
        <w:rPr>
          <w:rFonts w:hint="eastAsia" w:ascii="仿宋_GB2312" w:hAnsi="仿宋_GB2312" w:eastAsia="仿宋_GB2312" w:cs="仿宋_GB2312"/>
          <w:color w:val="auto"/>
          <w:sz w:val="32"/>
          <w:szCs w:val="32"/>
          <w:highlight w:val="none"/>
        </w:rPr>
        <w:t>、O</w:t>
      </w:r>
      <w:r>
        <w:rPr>
          <w:rFonts w:hint="eastAsia" w:ascii="仿宋_GB2312" w:hAnsi="仿宋_GB2312" w:eastAsia="仿宋_GB2312" w:cs="仿宋_GB2312"/>
          <w:color w:val="auto"/>
          <w:sz w:val="32"/>
          <w:szCs w:val="32"/>
          <w:highlight w:val="none"/>
          <w:lang w:eastAsia="zh-CN"/>
        </w:rPr>
        <w:t>3</w:t>
      </w:r>
      <w:r>
        <w:rPr>
          <w:rFonts w:hint="eastAsia" w:ascii="仿宋_GB2312" w:hAnsi="仿宋_GB2312" w:eastAsia="仿宋_GB2312" w:cs="仿宋_GB2312"/>
          <w:color w:val="auto"/>
          <w:sz w:val="32"/>
          <w:szCs w:val="32"/>
          <w:highlight w:val="none"/>
        </w:rPr>
        <w:t>、CO）连续自动监测系统技术要求及检测方法》。</w:t>
      </w:r>
    </w:p>
    <w:p w14:paraId="512CC9BF">
      <w:pPr>
        <w:tabs>
          <w:tab w:val="left" w:pos="720"/>
        </w:tabs>
        <w:spacing w:line="560" w:lineRule="exact"/>
        <w:ind w:firstLine="640" w:firstLineChars="200"/>
        <w:rPr>
          <w:rFonts w:hint="eastAsia" w:ascii="仿宋_GB2312" w:hAnsi="仿宋_GB2312" w:eastAsia="仿宋_GB2312" w:cs="仿宋_GB2312"/>
          <w:color w:val="auto"/>
          <w:sz w:val="32"/>
          <w:szCs w:val="32"/>
          <w:highlight w:val="none"/>
        </w:rPr>
      </w:pPr>
      <w:r>
        <w:rPr>
          <w:rFonts w:hint="eastAsia" w:ascii="仿宋_GB2312" w:hAnsi="仿宋_GB2312" w:eastAsia="仿宋_GB2312" w:cs="仿宋_GB2312"/>
          <w:color w:val="auto"/>
          <w:sz w:val="32"/>
          <w:szCs w:val="32"/>
          <w:highlight w:val="none"/>
        </w:rPr>
        <w:t>依据来源</w:t>
      </w:r>
      <w:r>
        <w:rPr>
          <w:rFonts w:hint="eastAsia" w:ascii="仿宋_GB2312" w:hAnsi="仿宋_GB2312" w:eastAsia="仿宋_GB2312" w:cs="仿宋_GB2312"/>
          <w:color w:val="auto"/>
          <w:sz w:val="32"/>
          <w:szCs w:val="32"/>
          <w:highlight w:val="none"/>
          <w:lang w:val="en-US" w:eastAsia="zh-CN"/>
        </w:rPr>
        <w:t>为</w:t>
      </w:r>
      <w:r>
        <w:rPr>
          <w:rFonts w:hint="eastAsia" w:ascii="仿宋_GB2312" w:hAnsi="仿宋_GB2312" w:eastAsia="仿宋_GB2312" w:cs="仿宋_GB2312"/>
          <w:color w:val="auto"/>
          <w:sz w:val="32"/>
          <w:szCs w:val="32"/>
          <w:highlight w:val="none"/>
        </w:rPr>
        <w:t>引用文件均为温室气体监测领域的现行有效标准，其中QX/T174用于指导监测站址选择的技术参数，HJ818为监测系统性能指标设定提供参考，HJ664支撑监测点位布设原则的制定，HJ212规范数据传输格式，确保本标准技术要求与国家、行业现行标准体系保持一致，避免技术冲突。</w:t>
      </w:r>
    </w:p>
    <w:p w14:paraId="775A28C9">
      <w:pPr>
        <w:tabs>
          <w:tab w:val="left" w:pos="720"/>
        </w:tabs>
        <w:spacing w:line="560" w:lineRule="exact"/>
        <w:ind w:firstLine="640" w:firstLineChars="200"/>
        <w:rPr>
          <w:rFonts w:hint="eastAsia" w:ascii="仿宋_GB2312" w:hAnsi="仿宋_GB2312" w:eastAsia="仿宋_GB2312" w:cs="仿宋_GB2312"/>
          <w:color w:val="auto"/>
          <w:sz w:val="32"/>
          <w:szCs w:val="32"/>
          <w:highlight w:val="none"/>
        </w:rPr>
      </w:pPr>
      <w:r>
        <w:rPr>
          <w:rFonts w:hint="eastAsia" w:ascii="仿宋_GB2312" w:hAnsi="仿宋_GB2312" w:eastAsia="仿宋_GB2312" w:cs="仿宋_GB2312"/>
          <w:color w:val="auto"/>
          <w:sz w:val="32"/>
          <w:szCs w:val="32"/>
          <w:highlight w:val="none"/>
        </w:rPr>
        <w:t>3.术语和定义</w:t>
      </w:r>
    </w:p>
    <w:p w14:paraId="0661C117">
      <w:pPr>
        <w:tabs>
          <w:tab w:val="left" w:pos="720"/>
        </w:tabs>
        <w:spacing w:line="560" w:lineRule="exact"/>
        <w:ind w:firstLine="640" w:firstLineChars="200"/>
        <w:rPr>
          <w:rFonts w:hint="eastAsia" w:ascii="仿宋_GB2312" w:hAnsi="仿宋_GB2312" w:eastAsia="仿宋_GB2312" w:cs="仿宋_GB2312"/>
          <w:color w:val="auto"/>
          <w:sz w:val="32"/>
          <w:szCs w:val="32"/>
          <w:highlight w:val="none"/>
        </w:rPr>
      </w:pPr>
      <w:r>
        <w:rPr>
          <w:rFonts w:hint="eastAsia" w:ascii="仿宋_GB2312" w:hAnsi="仿宋_GB2312" w:eastAsia="仿宋_GB2312" w:cs="仿宋_GB2312"/>
          <w:color w:val="auto"/>
          <w:sz w:val="32"/>
          <w:szCs w:val="32"/>
          <w:highlight w:val="none"/>
        </w:rPr>
        <w:t>主要内容</w:t>
      </w:r>
      <w:r>
        <w:rPr>
          <w:rFonts w:hint="eastAsia" w:ascii="仿宋_GB2312" w:hAnsi="仿宋_GB2312" w:eastAsia="仿宋_GB2312" w:cs="仿宋_GB2312"/>
          <w:color w:val="auto"/>
          <w:sz w:val="32"/>
          <w:szCs w:val="32"/>
          <w:highlight w:val="none"/>
          <w:lang w:val="en-US" w:eastAsia="zh-CN"/>
        </w:rPr>
        <w:t>为</w:t>
      </w:r>
      <w:r>
        <w:rPr>
          <w:rFonts w:hint="eastAsia" w:ascii="仿宋_GB2312" w:hAnsi="仿宋_GB2312" w:eastAsia="仿宋_GB2312" w:cs="仿宋_GB2312"/>
          <w:color w:val="auto"/>
          <w:sz w:val="32"/>
          <w:szCs w:val="32"/>
          <w:highlight w:val="none"/>
        </w:rPr>
        <w:t>界定11个核心术语，包括温室气体（明确主要成分）、光腔衰荡光谱法（阐述原理）、标气（以干洁空气为底气的已知浓度混合气）、工作标气（用于定量测量的标气）、目标标气（用于系统状态评估的标气）、样气（含待测组分的气体样品）、采样和预处理设备（含过滤器、采样泵等组件）、高精度仪器（相邻两次内部校准间CO</w:t>
      </w:r>
      <w:r>
        <w:rPr>
          <w:rFonts w:hint="eastAsia" w:ascii="仿宋_GB2312" w:hAnsi="仿宋_GB2312" w:eastAsia="仿宋_GB2312" w:cs="仿宋_GB2312"/>
          <w:color w:val="auto"/>
          <w:sz w:val="32"/>
          <w:szCs w:val="32"/>
          <w:highlight w:val="none"/>
          <w:lang w:eastAsia="zh-CN"/>
        </w:rPr>
        <w:t>2</w:t>
      </w:r>
      <w:r>
        <w:rPr>
          <w:rFonts w:hint="eastAsia" w:ascii="仿宋_GB2312" w:hAnsi="仿宋_GB2312" w:eastAsia="仿宋_GB2312" w:cs="仿宋_GB2312"/>
          <w:color w:val="auto"/>
          <w:sz w:val="32"/>
          <w:szCs w:val="32"/>
          <w:highlight w:val="none"/>
        </w:rPr>
        <w:t>、CH</w:t>
      </w:r>
      <w:r>
        <w:rPr>
          <w:rFonts w:hint="eastAsia" w:ascii="仿宋_GB2312" w:hAnsi="仿宋_GB2312" w:eastAsia="仿宋_GB2312" w:cs="仿宋_GB2312"/>
          <w:color w:val="auto"/>
          <w:sz w:val="32"/>
          <w:szCs w:val="32"/>
          <w:highlight w:val="none"/>
          <w:lang w:eastAsia="zh-CN"/>
        </w:rPr>
        <w:t>4</w:t>
      </w:r>
      <w:r>
        <w:rPr>
          <w:rFonts w:hint="eastAsia" w:ascii="仿宋_GB2312" w:hAnsi="仿宋_GB2312" w:eastAsia="仿宋_GB2312" w:cs="仿宋_GB2312"/>
          <w:color w:val="auto"/>
          <w:sz w:val="32"/>
          <w:szCs w:val="32"/>
          <w:highlight w:val="none"/>
        </w:rPr>
        <w:t>、N</w:t>
      </w:r>
      <w:r>
        <w:rPr>
          <w:rFonts w:hint="eastAsia" w:ascii="仿宋_GB2312" w:hAnsi="仿宋_GB2312" w:eastAsia="仿宋_GB2312" w:cs="仿宋_GB2312"/>
          <w:color w:val="auto"/>
          <w:sz w:val="32"/>
          <w:szCs w:val="32"/>
          <w:highlight w:val="none"/>
          <w:lang w:eastAsia="zh-CN"/>
        </w:rPr>
        <w:t>2</w:t>
      </w:r>
      <w:r>
        <w:rPr>
          <w:rFonts w:hint="eastAsia" w:ascii="仿宋_GB2312" w:hAnsi="仿宋_GB2312" w:eastAsia="仿宋_GB2312" w:cs="仿宋_GB2312"/>
          <w:color w:val="auto"/>
          <w:sz w:val="32"/>
          <w:szCs w:val="32"/>
          <w:highlight w:val="none"/>
        </w:rPr>
        <w:t>O漂移分别不超过±0.2ppm、±5ppb、±5ppb）、中精度仪器（相邻两次内部校准间CO</w:t>
      </w:r>
      <w:r>
        <w:rPr>
          <w:rFonts w:hint="eastAsia" w:ascii="仿宋_GB2312" w:hAnsi="仿宋_GB2312" w:eastAsia="仿宋_GB2312" w:cs="仿宋_GB2312"/>
          <w:color w:val="auto"/>
          <w:sz w:val="32"/>
          <w:szCs w:val="32"/>
          <w:highlight w:val="none"/>
          <w:lang w:eastAsia="zh-CN"/>
        </w:rPr>
        <w:t>2</w:t>
      </w:r>
      <w:r>
        <w:rPr>
          <w:rFonts w:hint="eastAsia" w:ascii="仿宋_GB2312" w:hAnsi="仿宋_GB2312" w:eastAsia="仿宋_GB2312" w:cs="仿宋_GB2312"/>
          <w:color w:val="auto"/>
          <w:sz w:val="32"/>
          <w:szCs w:val="32"/>
          <w:highlight w:val="none"/>
        </w:rPr>
        <w:t>、CH</w:t>
      </w:r>
      <w:r>
        <w:rPr>
          <w:rFonts w:hint="eastAsia" w:ascii="仿宋_GB2312" w:hAnsi="仿宋_GB2312" w:eastAsia="仿宋_GB2312" w:cs="仿宋_GB2312"/>
          <w:color w:val="auto"/>
          <w:sz w:val="32"/>
          <w:szCs w:val="32"/>
          <w:highlight w:val="none"/>
          <w:lang w:eastAsia="zh-CN"/>
        </w:rPr>
        <w:t>4</w:t>
      </w:r>
      <w:r>
        <w:rPr>
          <w:rFonts w:hint="eastAsia" w:ascii="仿宋_GB2312" w:hAnsi="仿宋_GB2312" w:eastAsia="仿宋_GB2312" w:cs="仿宋_GB2312"/>
          <w:color w:val="auto"/>
          <w:sz w:val="32"/>
          <w:szCs w:val="32"/>
          <w:highlight w:val="none"/>
        </w:rPr>
        <w:t>、N</w:t>
      </w:r>
      <w:r>
        <w:rPr>
          <w:rFonts w:hint="eastAsia" w:ascii="仿宋_GB2312" w:hAnsi="仿宋_GB2312" w:eastAsia="仿宋_GB2312" w:cs="仿宋_GB2312"/>
          <w:color w:val="auto"/>
          <w:sz w:val="32"/>
          <w:szCs w:val="32"/>
          <w:highlight w:val="none"/>
          <w:lang w:eastAsia="zh-CN"/>
        </w:rPr>
        <w:t>2</w:t>
      </w:r>
      <w:r>
        <w:rPr>
          <w:rFonts w:hint="eastAsia" w:ascii="仿宋_GB2312" w:hAnsi="仿宋_GB2312" w:eastAsia="仿宋_GB2312" w:cs="仿宋_GB2312"/>
          <w:color w:val="auto"/>
          <w:sz w:val="32"/>
          <w:szCs w:val="32"/>
          <w:highlight w:val="none"/>
        </w:rPr>
        <w:t>O漂移分别不超过±1ppm、±50ppb、±100ppb）、采样控制设备（实现气密性检测等功能的控制器）、标准气体（经量值溯源的气体标准物质，分工作气与目标气）。</w:t>
      </w:r>
    </w:p>
    <w:p w14:paraId="7C520BA8">
      <w:pPr>
        <w:tabs>
          <w:tab w:val="left" w:pos="720"/>
        </w:tabs>
        <w:spacing w:line="560" w:lineRule="exact"/>
        <w:ind w:firstLine="640" w:firstLineChars="200"/>
        <w:rPr>
          <w:rFonts w:hint="eastAsia" w:ascii="仿宋_GB2312" w:hAnsi="仿宋_GB2312" w:eastAsia="仿宋_GB2312" w:cs="仿宋_GB2312"/>
          <w:color w:val="auto"/>
          <w:sz w:val="32"/>
          <w:szCs w:val="32"/>
          <w:highlight w:val="none"/>
        </w:rPr>
      </w:pPr>
      <w:r>
        <w:rPr>
          <w:rFonts w:hint="eastAsia" w:ascii="仿宋_GB2312" w:hAnsi="仿宋_GB2312" w:eastAsia="仿宋_GB2312" w:cs="仿宋_GB2312"/>
          <w:color w:val="auto"/>
          <w:sz w:val="32"/>
          <w:szCs w:val="32"/>
          <w:highlight w:val="none"/>
        </w:rPr>
        <w:t>依据来源</w:t>
      </w:r>
      <w:r>
        <w:rPr>
          <w:rFonts w:hint="eastAsia" w:ascii="仿宋_GB2312" w:hAnsi="仿宋_GB2312" w:eastAsia="仿宋_GB2312" w:cs="仿宋_GB2312"/>
          <w:color w:val="auto"/>
          <w:sz w:val="32"/>
          <w:szCs w:val="32"/>
          <w:highlight w:val="none"/>
          <w:lang w:val="en-US" w:eastAsia="zh-CN"/>
        </w:rPr>
        <w:t>为</w:t>
      </w:r>
      <w:r>
        <w:rPr>
          <w:rFonts w:hint="eastAsia" w:ascii="仿宋_GB2312" w:hAnsi="仿宋_GB2312" w:eastAsia="仿宋_GB2312" w:cs="仿宋_GB2312"/>
          <w:color w:val="auto"/>
          <w:sz w:val="32"/>
          <w:szCs w:val="32"/>
          <w:highlight w:val="none"/>
        </w:rPr>
        <w:t>温室气体、光腔衰荡光谱法、标气、工作标气、目标标气、样气等术语，分别引自QX/T125—2011《温室气体本底观测术语》、GB/T34415—2017《大气二氧化碳（CO</w:t>
      </w:r>
      <w:r>
        <w:rPr>
          <w:rFonts w:hint="eastAsia" w:ascii="仿宋_GB2312" w:hAnsi="仿宋_GB2312" w:eastAsia="仿宋_GB2312" w:cs="仿宋_GB2312"/>
          <w:color w:val="auto"/>
          <w:sz w:val="32"/>
          <w:szCs w:val="32"/>
          <w:highlight w:val="none"/>
          <w:lang w:eastAsia="zh-CN"/>
        </w:rPr>
        <w:t>2</w:t>
      </w:r>
      <w:r>
        <w:rPr>
          <w:rFonts w:hint="eastAsia" w:ascii="仿宋_GB2312" w:hAnsi="仿宋_GB2312" w:eastAsia="仿宋_GB2312" w:cs="仿宋_GB2312"/>
          <w:color w:val="auto"/>
          <w:sz w:val="32"/>
          <w:szCs w:val="32"/>
          <w:highlight w:val="none"/>
        </w:rPr>
        <w:t>）光腔衰荡光谱观测系统》、GB/T34286—2017《温室气体二氧化碳测量离轴积分腔输出光谱法》；高精度与中精度仪器的漂移限值，结合国内主流监测设备厂商（如浙江灵析精仪科技发展有限公司）提供的设备实测数据，及广西钢铁集团有限公司等园区的实际监测需求，经3轮技术论证后量化确定；标准气体定义补充量值溯源要求，参考GB/T27025对标准物质的管理规范。</w:t>
      </w:r>
    </w:p>
    <w:p w14:paraId="6432F076">
      <w:pPr>
        <w:tabs>
          <w:tab w:val="left" w:pos="720"/>
        </w:tabs>
        <w:spacing w:line="560" w:lineRule="exact"/>
        <w:ind w:firstLine="640" w:firstLineChars="200"/>
        <w:rPr>
          <w:rFonts w:hint="eastAsia" w:ascii="仿宋_GB2312" w:hAnsi="仿宋_GB2312" w:eastAsia="仿宋_GB2312" w:cs="仿宋_GB2312"/>
          <w:color w:val="auto"/>
          <w:sz w:val="32"/>
          <w:szCs w:val="32"/>
          <w:highlight w:val="none"/>
        </w:rPr>
      </w:pPr>
      <w:r>
        <w:rPr>
          <w:rFonts w:hint="eastAsia" w:ascii="仿宋_GB2312" w:hAnsi="仿宋_GB2312" w:eastAsia="仿宋_GB2312" w:cs="仿宋_GB2312"/>
          <w:color w:val="auto"/>
          <w:sz w:val="32"/>
          <w:szCs w:val="32"/>
          <w:highlight w:val="none"/>
        </w:rPr>
        <w:t>4.基本要求</w:t>
      </w:r>
    </w:p>
    <w:p w14:paraId="610E07DE">
      <w:pPr>
        <w:tabs>
          <w:tab w:val="left" w:pos="720"/>
        </w:tabs>
        <w:spacing w:line="560" w:lineRule="exact"/>
        <w:ind w:firstLine="640" w:firstLineChars="200"/>
        <w:rPr>
          <w:rFonts w:hint="eastAsia" w:ascii="仿宋_GB2312" w:hAnsi="仿宋_GB2312" w:eastAsia="仿宋_GB2312" w:cs="仿宋_GB2312"/>
          <w:color w:val="auto"/>
          <w:sz w:val="32"/>
          <w:szCs w:val="32"/>
          <w:highlight w:val="none"/>
        </w:rPr>
      </w:pPr>
      <w:r>
        <w:rPr>
          <w:rFonts w:hint="eastAsia" w:ascii="仿宋_GB2312" w:hAnsi="仿宋_GB2312" w:eastAsia="仿宋_GB2312" w:cs="仿宋_GB2312"/>
          <w:color w:val="auto"/>
          <w:sz w:val="32"/>
          <w:szCs w:val="32"/>
          <w:highlight w:val="none"/>
        </w:rPr>
        <w:t>4.1制度要求</w:t>
      </w:r>
    </w:p>
    <w:p w14:paraId="098FECF5">
      <w:pPr>
        <w:tabs>
          <w:tab w:val="left" w:pos="720"/>
        </w:tabs>
        <w:spacing w:line="560" w:lineRule="exact"/>
        <w:ind w:firstLine="640" w:firstLineChars="200"/>
        <w:rPr>
          <w:rFonts w:hint="eastAsia" w:ascii="仿宋_GB2312" w:hAnsi="仿宋_GB2312" w:eastAsia="仿宋_GB2312" w:cs="仿宋_GB2312"/>
          <w:color w:val="auto"/>
          <w:sz w:val="32"/>
          <w:szCs w:val="32"/>
          <w:highlight w:val="none"/>
        </w:rPr>
      </w:pPr>
      <w:r>
        <w:rPr>
          <w:rFonts w:hint="eastAsia" w:ascii="仿宋_GB2312" w:hAnsi="仿宋_GB2312" w:eastAsia="仿宋_GB2312" w:cs="仿宋_GB2312"/>
          <w:color w:val="auto"/>
          <w:sz w:val="32"/>
          <w:szCs w:val="32"/>
          <w:highlight w:val="none"/>
        </w:rPr>
        <w:t>主要内容</w:t>
      </w:r>
      <w:r>
        <w:rPr>
          <w:rFonts w:hint="eastAsia" w:ascii="仿宋_GB2312" w:hAnsi="仿宋_GB2312" w:eastAsia="仿宋_GB2312" w:cs="仿宋_GB2312"/>
          <w:color w:val="auto"/>
          <w:sz w:val="32"/>
          <w:szCs w:val="32"/>
          <w:highlight w:val="none"/>
          <w:lang w:val="en-US" w:eastAsia="zh-CN"/>
        </w:rPr>
        <w:t>为</w:t>
      </w:r>
      <w:r>
        <w:rPr>
          <w:rFonts w:hint="eastAsia" w:ascii="仿宋_GB2312" w:hAnsi="仿宋_GB2312" w:eastAsia="仿宋_GB2312" w:cs="仿宋_GB2312"/>
          <w:color w:val="auto"/>
          <w:sz w:val="32"/>
          <w:szCs w:val="32"/>
          <w:highlight w:val="none"/>
        </w:rPr>
        <w:t>明确需制定维护工序（含定期巡检、维护保养、故障维修、事故处理）、维护计划（含维护时间、人员、内容）、档案管理制度（每半年归档至用户，含电子档与纸质档，保存期不少于设备使用年限+5年），按附录A建立7类维护记录（监测子站基本情况表、仪器关键参数记录表等）。</w:t>
      </w:r>
    </w:p>
    <w:p w14:paraId="1DB09A7C">
      <w:pPr>
        <w:tabs>
          <w:tab w:val="left" w:pos="720"/>
        </w:tabs>
        <w:spacing w:line="560" w:lineRule="exact"/>
        <w:ind w:firstLine="640" w:firstLineChars="200"/>
        <w:rPr>
          <w:rFonts w:hint="eastAsia" w:ascii="仿宋_GB2312" w:hAnsi="仿宋_GB2312" w:eastAsia="仿宋_GB2312" w:cs="仿宋_GB2312"/>
          <w:color w:val="auto"/>
          <w:sz w:val="32"/>
          <w:szCs w:val="32"/>
          <w:highlight w:val="none"/>
        </w:rPr>
      </w:pPr>
      <w:r>
        <w:rPr>
          <w:rFonts w:hint="eastAsia" w:ascii="仿宋_GB2312" w:hAnsi="仿宋_GB2312" w:eastAsia="仿宋_GB2312" w:cs="仿宋_GB2312"/>
          <w:color w:val="auto"/>
          <w:sz w:val="32"/>
          <w:szCs w:val="32"/>
          <w:highlight w:val="none"/>
        </w:rPr>
        <w:t>依据来源</w:t>
      </w:r>
      <w:r>
        <w:rPr>
          <w:rFonts w:hint="eastAsia" w:ascii="仿宋_GB2312" w:hAnsi="仿宋_GB2312" w:eastAsia="仿宋_GB2312" w:cs="仿宋_GB2312"/>
          <w:color w:val="auto"/>
          <w:sz w:val="32"/>
          <w:szCs w:val="32"/>
          <w:highlight w:val="none"/>
          <w:lang w:val="en-US" w:eastAsia="zh-CN"/>
        </w:rPr>
        <w:t>为</w:t>
      </w:r>
      <w:r>
        <w:rPr>
          <w:rFonts w:hint="eastAsia" w:ascii="仿宋_GB2312" w:hAnsi="仿宋_GB2312" w:eastAsia="仿宋_GB2312" w:cs="仿宋_GB2312"/>
          <w:color w:val="auto"/>
          <w:sz w:val="32"/>
          <w:szCs w:val="32"/>
          <w:highlight w:val="none"/>
        </w:rPr>
        <w:t>档案管理与维护记录要求参考GB/T27025中“记录控制”条款，确保监测过程可追溯；维护计划与工序内容，结合工业园区监测设备全生命周期管理需求设定，避免因制度缺失导致运维混乱。</w:t>
      </w:r>
    </w:p>
    <w:p w14:paraId="50808DFE">
      <w:pPr>
        <w:tabs>
          <w:tab w:val="left" w:pos="720"/>
        </w:tabs>
        <w:spacing w:line="240" w:lineRule="auto"/>
        <w:rPr>
          <w:rFonts w:hint="eastAsia" w:ascii="仿宋_GB2312" w:hAnsi="仿宋_GB2312" w:eastAsia="仿宋_GB2312" w:cs="仿宋_GB2312"/>
          <w:color w:val="auto"/>
          <w:sz w:val="32"/>
          <w:szCs w:val="32"/>
          <w:highlight w:val="none"/>
          <w:lang w:eastAsia="zh-CN"/>
        </w:rPr>
      </w:pPr>
      <w:r>
        <w:rPr>
          <w:rFonts w:hint="eastAsia" w:ascii="仿宋_GB2312" w:hAnsi="仿宋_GB2312" w:eastAsia="仿宋_GB2312" w:cs="仿宋_GB2312"/>
          <w:color w:val="auto"/>
          <w:sz w:val="32"/>
          <w:szCs w:val="32"/>
          <w:highlight w:val="none"/>
          <w:lang w:eastAsia="zh-CN"/>
        </w:rPr>
        <w:drawing>
          <wp:inline distT="0" distB="0" distL="114300" distR="114300">
            <wp:extent cx="5274310" cy="983615"/>
            <wp:effectExtent l="0" t="0" r="2540" b="6985"/>
            <wp:docPr id="13" name="图片 13" descr="cba6bc2e-608a-45fe-85af-69813cfb9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descr="cba6bc2e-608a-45fe-85af-69813cfb9292"/>
                    <pic:cNvPicPr>
                      <a:picLocks noChangeAspect="1"/>
                    </pic:cNvPicPr>
                  </pic:nvPicPr>
                  <pic:blipFill>
                    <a:blip r:embed="rId5"/>
                    <a:stretch>
                      <a:fillRect/>
                    </a:stretch>
                  </pic:blipFill>
                  <pic:spPr>
                    <a:xfrm>
                      <a:off x="0" y="0"/>
                      <a:ext cx="5274310" cy="983615"/>
                    </a:xfrm>
                    <a:prstGeom prst="rect">
                      <a:avLst/>
                    </a:prstGeom>
                  </pic:spPr>
                </pic:pic>
              </a:graphicData>
            </a:graphic>
          </wp:inline>
        </w:drawing>
      </w:r>
    </w:p>
    <w:p w14:paraId="380C35C3">
      <w:pPr>
        <w:tabs>
          <w:tab w:val="left" w:pos="720"/>
        </w:tabs>
        <w:spacing w:line="560" w:lineRule="exact"/>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来源：《检测和校准实验室能力的通用要求》GB/T 27025-2019</w:t>
      </w:r>
    </w:p>
    <w:p w14:paraId="02157331">
      <w:pPr>
        <w:tabs>
          <w:tab w:val="left" w:pos="720"/>
        </w:tabs>
        <w:spacing w:line="560" w:lineRule="exact"/>
        <w:ind w:firstLine="640" w:firstLineChars="200"/>
        <w:rPr>
          <w:rFonts w:hint="eastAsia" w:ascii="仿宋_GB2312" w:hAnsi="仿宋_GB2312" w:eastAsia="仿宋_GB2312" w:cs="仿宋_GB2312"/>
          <w:color w:val="auto"/>
          <w:sz w:val="32"/>
          <w:szCs w:val="32"/>
          <w:highlight w:val="none"/>
        </w:rPr>
      </w:pPr>
      <w:r>
        <w:rPr>
          <w:rFonts w:hint="eastAsia" w:ascii="仿宋_GB2312" w:hAnsi="仿宋_GB2312" w:eastAsia="仿宋_GB2312" w:cs="仿宋_GB2312"/>
          <w:color w:val="auto"/>
          <w:sz w:val="32"/>
          <w:szCs w:val="32"/>
          <w:highlight w:val="none"/>
        </w:rPr>
        <w:t>4.2人员要求</w:t>
      </w:r>
    </w:p>
    <w:p w14:paraId="15C70FB7">
      <w:pPr>
        <w:tabs>
          <w:tab w:val="left" w:pos="720"/>
        </w:tabs>
        <w:spacing w:line="560" w:lineRule="exact"/>
        <w:ind w:firstLine="640" w:firstLineChars="200"/>
        <w:rPr>
          <w:rFonts w:hint="eastAsia" w:ascii="仿宋_GB2312" w:hAnsi="仿宋_GB2312" w:eastAsia="仿宋_GB2312" w:cs="仿宋_GB2312"/>
          <w:color w:val="auto"/>
          <w:sz w:val="32"/>
          <w:szCs w:val="32"/>
          <w:highlight w:val="none"/>
        </w:rPr>
      </w:pPr>
      <w:r>
        <w:rPr>
          <w:rFonts w:hint="eastAsia" w:ascii="仿宋_GB2312" w:hAnsi="仿宋_GB2312" w:eastAsia="仿宋_GB2312" w:cs="仿宋_GB2312"/>
          <w:color w:val="auto"/>
          <w:sz w:val="32"/>
          <w:szCs w:val="32"/>
          <w:highlight w:val="none"/>
        </w:rPr>
        <w:t>主要内容</w:t>
      </w:r>
      <w:r>
        <w:rPr>
          <w:rFonts w:hint="eastAsia" w:ascii="仿宋_GB2312" w:hAnsi="仿宋_GB2312" w:eastAsia="仿宋_GB2312" w:cs="仿宋_GB2312"/>
          <w:color w:val="auto"/>
          <w:sz w:val="32"/>
          <w:szCs w:val="32"/>
          <w:highlight w:val="none"/>
          <w:lang w:val="en-US" w:eastAsia="zh-CN"/>
        </w:rPr>
        <w:t>为</w:t>
      </w:r>
      <w:r>
        <w:rPr>
          <w:rFonts w:hint="eastAsia" w:ascii="仿宋_GB2312" w:hAnsi="仿宋_GB2312" w:eastAsia="仿宋_GB2312" w:cs="仿宋_GB2312"/>
          <w:color w:val="auto"/>
          <w:sz w:val="32"/>
          <w:szCs w:val="32"/>
          <w:highlight w:val="none"/>
        </w:rPr>
        <w:t>运维人员需具备相关专业知识，经理论与实操考核合格上岗，每年培训不少于24学时；每名运维人员负责子站不超过3个（距离超50公里时每增50公里减1个）；数据复审人员需中级及以上职称，不参与相关仪器操作，审核记录签字归档。</w:t>
      </w:r>
    </w:p>
    <w:p w14:paraId="26765CFB">
      <w:pPr>
        <w:tabs>
          <w:tab w:val="left" w:pos="720"/>
        </w:tabs>
        <w:spacing w:line="560" w:lineRule="exact"/>
        <w:ind w:firstLine="640" w:firstLineChars="200"/>
        <w:rPr>
          <w:rFonts w:hint="eastAsia" w:ascii="仿宋_GB2312" w:hAnsi="仿宋_GB2312" w:eastAsia="仿宋_GB2312" w:cs="仿宋_GB2312"/>
          <w:color w:val="auto"/>
          <w:sz w:val="32"/>
          <w:szCs w:val="32"/>
          <w:highlight w:val="none"/>
        </w:rPr>
      </w:pPr>
      <w:r>
        <w:rPr>
          <w:rFonts w:hint="eastAsia" w:ascii="仿宋_GB2312" w:hAnsi="仿宋_GB2312" w:eastAsia="仿宋_GB2312" w:cs="仿宋_GB2312"/>
          <w:color w:val="auto"/>
          <w:sz w:val="32"/>
          <w:szCs w:val="32"/>
          <w:highlight w:val="none"/>
        </w:rPr>
        <w:t>依据来源</w:t>
      </w:r>
      <w:r>
        <w:rPr>
          <w:rFonts w:hint="eastAsia" w:ascii="仿宋_GB2312" w:hAnsi="仿宋_GB2312" w:eastAsia="仿宋_GB2312" w:cs="仿宋_GB2312"/>
          <w:color w:val="auto"/>
          <w:sz w:val="32"/>
          <w:szCs w:val="32"/>
          <w:highlight w:val="none"/>
          <w:lang w:val="en-US" w:eastAsia="zh-CN"/>
        </w:rPr>
        <w:t>为</w:t>
      </w:r>
      <w:r>
        <w:rPr>
          <w:rFonts w:hint="eastAsia" w:ascii="仿宋_GB2312" w:hAnsi="仿宋_GB2312" w:eastAsia="仿宋_GB2312" w:cs="仿宋_GB2312"/>
          <w:color w:val="auto"/>
          <w:sz w:val="32"/>
          <w:szCs w:val="32"/>
          <w:highlight w:val="none"/>
        </w:rPr>
        <w:t>人员资质与培训要求参考HJ</w:t>
      </w:r>
      <w:r>
        <w:rPr>
          <w:rFonts w:hint="eastAsia" w:ascii="仿宋_GB2312" w:hAnsi="仿宋_GB2312" w:eastAsia="仿宋_GB2312" w:cs="仿宋_GB2312"/>
          <w:color w:val="auto"/>
          <w:sz w:val="32"/>
          <w:szCs w:val="32"/>
          <w:highlight w:val="none"/>
          <w:lang w:val="en-US" w:eastAsia="zh-CN"/>
        </w:rPr>
        <w:t xml:space="preserve"> </w:t>
      </w:r>
      <w:r>
        <w:rPr>
          <w:rFonts w:hint="eastAsia" w:ascii="仿宋_GB2312" w:hAnsi="仿宋_GB2312" w:eastAsia="仿宋_GB2312" w:cs="仿宋_GB2312"/>
          <w:color w:val="auto"/>
          <w:sz w:val="32"/>
          <w:szCs w:val="32"/>
          <w:highlight w:val="none"/>
        </w:rPr>
        <w:t>818</w:t>
      </w:r>
      <w:r>
        <w:rPr>
          <w:rFonts w:hint="eastAsia" w:ascii="仿宋_GB2312" w:hAnsi="仿宋_GB2312" w:eastAsia="仿宋_GB2312" w:cs="仿宋_GB2312"/>
          <w:color w:val="auto"/>
          <w:sz w:val="32"/>
          <w:szCs w:val="32"/>
          <w:highlight w:val="none"/>
          <w:lang w:val="en-US" w:eastAsia="zh-CN"/>
        </w:rPr>
        <w:t>-2018</w:t>
      </w:r>
      <w:r>
        <w:rPr>
          <w:rFonts w:hint="eastAsia" w:ascii="仿宋_GB2312" w:hAnsi="仿宋_GB2312" w:eastAsia="仿宋_GB2312" w:cs="仿宋_GB2312"/>
          <w:color w:val="auto"/>
          <w:sz w:val="32"/>
          <w:szCs w:val="32"/>
          <w:highlight w:val="none"/>
        </w:rPr>
        <w:t>对监测人员的能力规定，结合工业园区子站分布较散、维护难度大的特点，调整子站负责数量，确保运维质量。</w:t>
      </w:r>
    </w:p>
    <w:p w14:paraId="41A250F3">
      <w:pPr>
        <w:tabs>
          <w:tab w:val="left" w:pos="720"/>
        </w:tabs>
        <w:spacing w:line="240" w:lineRule="auto"/>
        <w:rPr>
          <w:rFonts w:hint="eastAsia" w:ascii="仿宋_GB2312" w:hAnsi="仿宋_GB2312" w:eastAsia="仿宋_GB2312" w:cs="仿宋_GB2312"/>
          <w:color w:val="auto"/>
          <w:sz w:val="32"/>
          <w:szCs w:val="32"/>
          <w:highlight w:val="none"/>
          <w:lang w:eastAsia="zh-CN"/>
        </w:rPr>
      </w:pPr>
      <w:r>
        <w:rPr>
          <w:rFonts w:hint="eastAsia" w:ascii="仿宋_GB2312" w:hAnsi="仿宋_GB2312" w:eastAsia="仿宋_GB2312" w:cs="仿宋_GB2312"/>
          <w:color w:val="auto"/>
          <w:sz w:val="32"/>
          <w:szCs w:val="32"/>
          <w:highlight w:val="none"/>
          <w:lang w:eastAsia="zh-CN"/>
        </w:rPr>
        <w:drawing>
          <wp:inline distT="0" distB="0" distL="114300" distR="114300">
            <wp:extent cx="5273040" cy="2632710"/>
            <wp:effectExtent l="0" t="0" r="3810" b="15240"/>
            <wp:docPr id="16" name="图片 16" descr="3ab0f109-f182-42f3-873c-0ea6174b948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descr="3ab0f109-f182-42f3-873c-0ea6174b948d"/>
                    <pic:cNvPicPr>
                      <a:picLocks noChangeAspect="1"/>
                    </pic:cNvPicPr>
                  </pic:nvPicPr>
                  <pic:blipFill>
                    <a:blip r:embed="rId6"/>
                    <a:stretch>
                      <a:fillRect/>
                    </a:stretch>
                  </pic:blipFill>
                  <pic:spPr>
                    <a:xfrm>
                      <a:off x="0" y="0"/>
                      <a:ext cx="5273040" cy="2632710"/>
                    </a:xfrm>
                    <a:prstGeom prst="rect">
                      <a:avLst/>
                    </a:prstGeom>
                  </pic:spPr>
                </pic:pic>
              </a:graphicData>
            </a:graphic>
          </wp:inline>
        </w:drawing>
      </w:r>
    </w:p>
    <w:p w14:paraId="0931A857">
      <w:pPr>
        <w:tabs>
          <w:tab w:val="left" w:pos="720"/>
        </w:tabs>
        <w:spacing w:line="240" w:lineRule="auto"/>
        <w:jc w:val="center"/>
        <w:rPr>
          <w:rFonts w:hint="eastAsia" w:ascii="仿宋_GB2312" w:hAnsi="仿宋_GB2312" w:eastAsia="仿宋_GB2312" w:cs="仿宋_GB2312"/>
          <w:color w:val="auto"/>
          <w:sz w:val="32"/>
          <w:szCs w:val="32"/>
          <w:highlight w:val="none"/>
          <w:lang w:eastAsia="zh-CN"/>
        </w:rPr>
      </w:pPr>
      <w:r>
        <w:rPr>
          <w:rFonts w:hint="eastAsia" w:ascii="仿宋_GB2312" w:hAnsi="仿宋_GB2312" w:eastAsia="仿宋_GB2312" w:cs="仿宋_GB2312"/>
          <w:color w:val="auto"/>
          <w:sz w:val="32"/>
          <w:szCs w:val="32"/>
          <w:highlight w:val="none"/>
          <w:lang w:val="en-US" w:eastAsia="zh-CN"/>
        </w:rPr>
        <w:t>来源：</w:t>
      </w:r>
      <w:r>
        <w:rPr>
          <w:rFonts w:hint="eastAsia" w:ascii="仿宋_GB2312" w:hAnsi="仿宋_GB2312" w:eastAsia="仿宋_GB2312" w:cs="仿宋_GB2312"/>
          <w:color w:val="auto"/>
          <w:sz w:val="32"/>
          <w:szCs w:val="32"/>
          <w:highlight w:val="none"/>
          <w:lang w:eastAsia="zh-CN"/>
        </w:rPr>
        <w:t>《环境空气气态污染物 (SO</w:t>
      </w:r>
      <w:r>
        <w:rPr>
          <w:rFonts w:hint="eastAsia" w:ascii="仿宋_GB2312" w:hAnsi="仿宋_GB2312" w:eastAsia="仿宋_GB2312" w:cs="仿宋_GB2312"/>
          <w:color w:val="auto"/>
          <w:sz w:val="32"/>
          <w:szCs w:val="32"/>
          <w:highlight w:val="none"/>
          <w:lang w:val="en-US" w:eastAsia="zh-CN"/>
        </w:rPr>
        <w:t>2</w:t>
      </w:r>
      <w:r>
        <w:rPr>
          <w:rFonts w:hint="eastAsia" w:ascii="仿宋_GB2312" w:hAnsi="仿宋_GB2312" w:eastAsia="仿宋_GB2312" w:cs="仿宋_GB2312"/>
          <w:color w:val="auto"/>
          <w:sz w:val="32"/>
          <w:szCs w:val="32"/>
          <w:highlight w:val="none"/>
          <w:lang w:eastAsia="zh-CN"/>
        </w:rPr>
        <w:t>、NO</w:t>
      </w:r>
      <w:r>
        <w:rPr>
          <w:rFonts w:hint="eastAsia" w:ascii="仿宋_GB2312" w:hAnsi="仿宋_GB2312" w:eastAsia="仿宋_GB2312" w:cs="仿宋_GB2312"/>
          <w:color w:val="auto"/>
          <w:sz w:val="32"/>
          <w:szCs w:val="32"/>
          <w:highlight w:val="none"/>
          <w:lang w:val="en-US" w:eastAsia="zh-CN"/>
        </w:rPr>
        <w:t>2</w:t>
      </w:r>
      <w:r>
        <w:rPr>
          <w:rFonts w:hint="eastAsia" w:ascii="仿宋_GB2312" w:hAnsi="仿宋_GB2312" w:eastAsia="仿宋_GB2312" w:cs="仿宋_GB2312"/>
          <w:color w:val="auto"/>
          <w:sz w:val="32"/>
          <w:szCs w:val="32"/>
          <w:highlight w:val="none"/>
          <w:lang w:eastAsia="zh-CN"/>
        </w:rPr>
        <w:t>、O</w:t>
      </w:r>
      <w:r>
        <w:rPr>
          <w:rFonts w:hint="eastAsia" w:ascii="仿宋_GB2312" w:hAnsi="仿宋_GB2312" w:eastAsia="仿宋_GB2312" w:cs="仿宋_GB2312"/>
          <w:color w:val="auto"/>
          <w:sz w:val="32"/>
          <w:szCs w:val="32"/>
          <w:highlight w:val="none"/>
          <w:lang w:val="en-US" w:eastAsia="zh-CN"/>
        </w:rPr>
        <w:t>3</w:t>
      </w:r>
      <w:r>
        <w:rPr>
          <w:rFonts w:hint="eastAsia" w:ascii="仿宋_GB2312" w:hAnsi="仿宋_GB2312" w:eastAsia="仿宋_GB2312" w:cs="仿宋_GB2312"/>
          <w:color w:val="auto"/>
          <w:sz w:val="32"/>
          <w:szCs w:val="32"/>
          <w:highlight w:val="none"/>
          <w:lang w:eastAsia="zh-CN"/>
        </w:rPr>
        <w:t>、CO) 连续自动监测系统运行和质控技术规范》（HJ 818—2018）</w:t>
      </w:r>
    </w:p>
    <w:p w14:paraId="01710DD3">
      <w:pPr>
        <w:tabs>
          <w:tab w:val="left" w:pos="720"/>
        </w:tabs>
        <w:spacing w:line="240" w:lineRule="auto"/>
        <w:jc w:val="center"/>
        <w:rPr>
          <w:rFonts w:hint="eastAsia" w:ascii="仿宋_GB2312" w:hAnsi="仿宋_GB2312" w:eastAsia="仿宋_GB2312" w:cs="仿宋_GB2312"/>
          <w:color w:val="auto"/>
          <w:sz w:val="32"/>
          <w:szCs w:val="32"/>
          <w:highlight w:val="none"/>
          <w:lang w:eastAsia="zh-CN"/>
        </w:rPr>
      </w:pPr>
      <w:r>
        <w:rPr>
          <w:rFonts w:hint="eastAsia" w:ascii="仿宋_GB2312" w:hAnsi="仿宋_GB2312" w:eastAsia="仿宋_GB2312" w:cs="仿宋_GB2312"/>
          <w:color w:val="auto"/>
          <w:sz w:val="32"/>
          <w:szCs w:val="32"/>
          <w:highlight w:val="none"/>
          <w:lang w:eastAsia="zh-CN"/>
        </w:rPr>
        <w:drawing>
          <wp:inline distT="0" distB="0" distL="114300" distR="114300">
            <wp:extent cx="4730750" cy="4196080"/>
            <wp:effectExtent l="0" t="0" r="12700" b="13970"/>
            <wp:docPr id="17" name="图片 17" descr="2ec4925c-4429-4cad-ab1c-f491288889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descr="2ec4925c-4429-4cad-ab1c-f49128888938"/>
                    <pic:cNvPicPr>
                      <a:picLocks noChangeAspect="1"/>
                    </pic:cNvPicPr>
                  </pic:nvPicPr>
                  <pic:blipFill>
                    <a:blip r:embed="rId7"/>
                    <a:stretch>
                      <a:fillRect/>
                    </a:stretch>
                  </pic:blipFill>
                  <pic:spPr>
                    <a:xfrm>
                      <a:off x="0" y="0"/>
                      <a:ext cx="4730750" cy="4196080"/>
                    </a:xfrm>
                    <a:prstGeom prst="rect">
                      <a:avLst/>
                    </a:prstGeom>
                  </pic:spPr>
                </pic:pic>
              </a:graphicData>
            </a:graphic>
          </wp:inline>
        </w:drawing>
      </w:r>
    </w:p>
    <w:p w14:paraId="791C3F07">
      <w:pPr>
        <w:tabs>
          <w:tab w:val="left" w:pos="720"/>
        </w:tabs>
        <w:spacing w:line="240" w:lineRule="auto"/>
        <w:jc w:val="center"/>
        <w:rPr>
          <w:rFonts w:hint="eastAsia" w:ascii="仿宋_GB2312" w:hAnsi="仿宋_GB2312" w:eastAsia="仿宋_GB2312" w:cs="仿宋_GB2312"/>
          <w:color w:val="auto"/>
          <w:sz w:val="32"/>
          <w:szCs w:val="32"/>
          <w:highlight w:val="none"/>
          <w:lang w:eastAsia="zh-CN"/>
        </w:rPr>
      </w:pPr>
      <w:r>
        <w:rPr>
          <w:rFonts w:hint="eastAsia" w:ascii="仿宋_GB2312" w:hAnsi="仿宋_GB2312" w:eastAsia="仿宋_GB2312" w:cs="仿宋_GB2312"/>
          <w:color w:val="auto"/>
          <w:sz w:val="32"/>
          <w:szCs w:val="32"/>
          <w:highlight w:val="none"/>
          <w:lang w:val="en-US" w:eastAsia="zh-CN"/>
        </w:rPr>
        <w:t>来源：《检测和校准实验室能力的通用要求》（GB∕T 27025-2019）</w:t>
      </w:r>
    </w:p>
    <w:p w14:paraId="4449ED9A">
      <w:pPr>
        <w:tabs>
          <w:tab w:val="left" w:pos="720"/>
        </w:tabs>
        <w:spacing w:line="560" w:lineRule="exact"/>
        <w:ind w:firstLine="640" w:firstLineChars="200"/>
        <w:rPr>
          <w:rFonts w:hint="eastAsia" w:ascii="仿宋_GB2312" w:hAnsi="仿宋_GB2312" w:eastAsia="仿宋_GB2312" w:cs="仿宋_GB2312"/>
          <w:color w:val="auto"/>
          <w:sz w:val="32"/>
          <w:szCs w:val="32"/>
          <w:highlight w:val="none"/>
        </w:rPr>
      </w:pPr>
      <w:r>
        <w:rPr>
          <w:rFonts w:hint="eastAsia" w:ascii="仿宋_GB2312" w:hAnsi="仿宋_GB2312" w:eastAsia="仿宋_GB2312" w:cs="仿宋_GB2312"/>
          <w:color w:val="auto"/>
          <w:sz w:val="32"/>
          <w:szCs w:val="32"/>
          <w:highlight w:val="none"/>
        </w:rPr>
        <w:t>4.3设备运行要求</w:t>
      </w:r>
    </w:p>
    <w:p w14:paraId="2F5473FE">
      <w:pPr>
        <w:tabs>
          <w:tab w:val="left" w:pos="720"/>
        </w:tabs>
        <w:spacing w:line="560" w:lineRule="exact"/>
        <w:ind w:firstLine="640" w:firstLineChars="200"/>
        <w:rPr>
          <w:rFonts w:hint="eastAsia" w:ascii="仿宋_GB2312" w:hAnsi="仿宋_GB2312" w:eastAsia="仿宋_GB2312" w:cs="仿宋_GB2312"/>
          <w:color w:val="auto"/>
          <w:sz w:val="32"/>
          <w:szCs w:val="32"/>
          <w:highlight w:val="none"/>
        </w:rPr>
      </w:pPr>
      <w:r>
        <w:rPr>
          <w:rFonts w:hint="eastAsia" w:ascii="仿宋_GB2312" w:hAnsi="仿宋_GB2312" w:eastAsia="仿宋_GB2312" w:cs="仿宋_GB2312"/>
          <w:color w:val="auto"/>
          <w:sz w:val="32"/>
          <w:szCs w:val="32"/>
          <w:highlight w:val="none"/>
        </w:rPr>
        <w:t>主要内容：设备参数需与说明书及验收值一致，变更需审批；高精度每7天用高、低浓度工作气检查，每12小时用目标气检查（超偏差则校准），中精度每7天用工作气检查、目标气校准；每月检查采样泵与分析仪器流量（真空泵流量≥10L/min，波动±5%，仪器进气超±10%需重置）；外部辅助工具（流量计、温度计等）每年第三方检定，自带校准功能设备每半年自校准验证。</w:t>
      </w:r>
    </w:p>
    <w:p w14:paraId="68C2DA15">
      <w:pPr>
        <w:tabs>
          <w:tab w:val="left" w:pos="720"/>
        </w:tabs>
        <w:spacing w:line="560" w:lineRule="exact"/>
        <w:ind w:firstLine="640" w:firstLineChars="200"/>
        <w:rPr>
          <w:rFonts w:hint="eastAsia" w:ascii="仿宋_GB2312" w:hAnsi="仿宋_GB2312" w:eastAsia="仿宋_GB2312" w:cs="仿宋_GB2312"/>
          <w:color w:val="auto"/>
          <w:sz w:val="32"/>
          <w:szCs w:val="32"/>
          <w:highlight w:val="none"/>
        </w:rPr>
      </w:pPr>
      <w:r>
        <w:rPr>
          <w:rFonts w:hint="eastAsia" w:ascii="仿宋_GB2312" w:hAnsi="仿宋_GB2312" w:eastAsia="仿宋_GB2312" w:cs="仿宋_GB2312"/>
          <w:color w:val="auto"/>
          <w:sz w:val="32"/>
          <w:szCs w:val="32"/>
          <w:highlight w:val="none"/>
        </w:rPr>
        <w:t>依据来源：设备校准频次与流量要求参考HJ818的质控逻辑，结合光腔衰荡光谱法仪器高灵敏度特性，细化高精度仪器的目标气检查频次；辅助工具检定要求引自GB/T27025“测量溯源性”条款，确保量值准确。</w:t>
      </w:r>
    </w:p>
    <w:p w14:paraId="26295C22">
      <w:pPr>
        <w:tabs>
          <w:tab w:val="left" w:pos="720"/>
        </w:tabs>
        <w:spacing w:line="560" w:lineRule="exact"/>
        <w:rPr>
          <w:rFonts w:hint="eastAsia" w:ascii="仿宋_GB2312" w:hAnsi="仿宋_GB2312" w:eastAsia="仿宋_GB2312" w:cs="仿宋_GB2312"/>
          <w:color w:val="auto"/>
          <w:sz w:val="32"/>
          <w:szCs w:val="32"/>
          <w:highlight w:val="none"/>
        </w:rPr>
      </w:pPr>
    </w:p>
    <w:p w14:paraId="449545AD">
      <w:pPr>
        <w:tabs>
          <w:tab w:val="left" w:pos="720"/>
        </w:tabs>
        <w:spacing w:line="240" w:lineRule="auto"/>
        <w:rPr>
          <w:rFonts w:hint="eastAsia" w:ascii="仿宋_GB2312" w:hAnsi="仿宋_GB2312" w:eastAsia="仿宋_GB2312" w:cs="仿宋_GB2312"/>
          <w:color w:val="auto"/>
          <w:sz w:val="32"/>
          <w:szCs w:val="32"/>
          <w:highlight w:val="none"/>
        </w:rPr>
      </w:pPr>
      <w:r>
        <w:rPr>
          <w:rFonts w:hint="eastAsia" w:ascii="仿宋_GB2312" w:hAnsi="仿宋_GB2312" w:eastAsia="仿宋_GB2312" w:cs="仿宋_GB2312"/>
          <w:color w:val="auto"/>
          <w:sz w:val="32"/>
          <w:szCs w:val="32"/>
          <w:highlight w:val="none"/>
          <w:lang w:eastAsia="zh-CN"/>
        </w:rPr>
        <w:drawing>
          <wp:inline distT="0" distB="0" distL="114300" distR="114300">
            <wp:extent cx="5273040" cy="4070350"/>
            <wp:effectExtent l="0" t="0" r="3810" b="6350"/>
            <wp:docPr id="14" name="图片 14" descr="a8e0d833-c9ac-4f67-a89b-c5d61f207e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descr="a8e0d833-c9ac-4f67-a89b-c5d61f207edf"/>
                    <pic:cNvPicPr>
                      <a:picLocks noChangeAspect="1"/>
                    </pic:cNvPicPr>
                  </pic:nvPicPr>
                  <pic:blipFill>
                    <a:blip r:embed="rId8"/>
                    <a:stretch>
                      <a:fillRect/>
                    </a:stretch>
                  </pic:blipFill>
                  <pic:spPr>
                    <a:xfrm>
                      <a:off x="0" y="0"/>
                      <a:ext cx="5273040" cy="4070350"/>
                    </a:xfrm>
                    <a:prstGeom prst="rect">
                      <a:avLst/>
                    </a:prstGeom>
                  </pic:spPr>
                </pic:pic>
              </a:graphicData>
            </a:graphic>
          </wp:inline>
        </w:drawing>
      </w:r>
    </w:p>
    <w:p w14:paraId="5384A003">
      <w:pPr>
        <w:tabs>
          <w:tab w:val="left" w:pos="720"/>
        </w:tabs>
        <w:spacing w:line="240" w:lineRule="auto"/>
        <w:jc w:val="center"/>
        <w:rPr>
          <w:rFonts w:hint="eastAsia" w:ascii="仿宋_GB2312" w:hAnsi="仿宋_GB2312" w:eastAsia="仿宋_GB2312" w:cs="仿宋_GB2312"/>
          <w:color w:val="auto"/>
          <w:sz w:val="32"/>
          <w:szCs w:val="32"/>
          <w:highlight w:val="none"/>
          <w:lang w:eastAsia="zh-CN"/>
        </w:rPr>
      </w:pPr>
      <w:r>
        <w:rPr>
          <w:rFonts w:hint="eastAsia" w:ascii="仿宋_GB2312" w:hAnsi="仿宋_GB2312" w:eastAsia="仿宋_GB2312" w:cs="仿宋_GB2312"/>
          <w:color w:val="auto"/>
          <w:sz w:val="32"/>
          <w:szCs w:val="32"/>
          <w:highlight w:val="none"/>
          <w:lang w:val="en-US" w:eastAsia="zh-CN"/>
        </w:rPr>
        <w:t>来源：</w:t>
      </w:r>
      <w:r>
        <w:rPr>
          <w:rFonts w:hint="eastAsia" w:ascii="仿宋_GB2312" w:hAnsi="仿宋_GB2312" w:eastAsia="仿宋_GB2312" w:cs="仿宋_GB2312"/>
          <w:color w:val="auto"/>
          <w:sz w:val="32"/>
          <w:szCs w:val="32"/>
          <w:highlight w:val="none"/>
          <w:lang w:eastAsia="zh-CN"/>
        </w:rPr>
        <w:t>《环境空气气态污染物 (SO</w:t>
      </w:r>
      <w:r>
        <w:rPr>
          <w:rFonts w:hint="eastAsia" w:ascii="仿宋_GB2312" w:hAnsi="仿宋_GB2312" w:eastAsia="仿宋_GB2312" w:cs="仿宋_GB2312"/>
          <w:color w:val="auto"/>
          <w:sz w:val="32"/>
          <w:szCs w:val="32"/>
          <w:highlight w:val="none"/>
          <w:vertAlign w:val="subscript"/>
          <w:lang w:val="en-US" w:eastAsia="zh-CN"/>
        </w:rPr>
        <w:t>2</w:t>
      </w:r>
      <w:r>
        <w:rPr>
          <w:rFonts w:hint="eastAsia" w:ascii="仿宋_GB2312" w:hAnsi="仿宋_GB2312" w:eastAsia="仿宋_GB2312" w:cs="仿宋_GB2312"/>
          <w:color w:val="auto"/>
          <w:sz w:val="32"/>
          <w:szCs w:val="32"/>
          <w:highlight w:val="none"/>
          <w:lang w:eastAsia="zh-CN"/>
        </w:rPr>
        <w:t>、NO</w:t>
      </w:r>
      <w:r>
        <w:rPr>
          <w:rFonts w:hint="eastAsia" w:ascii="仿宋_GB2312" w:hAnsi="仿宋_GB2312" w:eastAsia="仿宋_GB2312" w:cs="仿宋_GB2312"/>
          <w:color w:val="auto"/>
          <w:sz w:val="32"/>
          <w:szCs w:val="32"/>
          <w:highlight w:val="none"/>
          <w:vertAlign w:val="subscript"/>
          <w:lang w:val="en-US" w:eastAsia="zh-CN"/>
        </w:rPr>
        <w:t>2</w:t>
      </w:r>
      <w:r>
        <w:rPr>
          <w:rFonts w:hint="eastAsia" w:ascii="仿宋_GB2312" w:hAnsi="仿宋_GB2312" w:eastAsia="仿宋_GB2312" w:cs="仿宋_GB2312"/>
          <w:color w:val="auto"/>
          <w:sz w:val="32"/>
          <w:szCs w:val="32"/>
          <w:highlight w:val="none"/>
          <w:lang w:eastAsia="zh-CN"/>
        </w:rPr>
        <w:t>、O</w:t>
      </w:r>
      <w:r>
        <w:rPr>
          <w:rFonts w:hint="eastAsia" w:ascii="仿宋_GB2312" w:hAnsi="仿宋_GB2312" w:eastAsia="仿宋_GB2312" w:cs="仿宋_GB2312"/>
          <w:color w:val="auto"/>
          <w:sz w:val="32"/>
          <w:szCs w:val="32"/>
          <w:highlight w:val="none"/>
          <w:vertAlign w:val="subscript"/>
          <w:lang w:val="en-US" w:eastAsia="zh-CN"/>
        </w:rPr>
        <w:t>3</w:t>
      </w:r>
      <w:r>
        <w:rPr>
          <w:rFonts w:hint="eastAsia" w:ascii="仿宋_GB2312" w:hAnsi="仿宋_GB2312" w:eastAsia="仿宋_GB2312" w:cs="仿宋_GB2312"/>
          <w:color w:val="auto"/>
          <w:sz w:val="32"/>
          <w:szCs w:val="32"/>
          <w:highlight w:val="none"/>
          <w:lang w:eastAsia="zh-CN"/>
        </w:rPr>
        <w:t>、CO) 连续自动监测系统运行和质控技术规范》（HJ 818—2018）</w:t>
      </w:r>
    </w:p>
    <w:p w14:paraId="4F353C57">
      <w:pPr>
        <w:tabs>
          <w:tab w:val="left" w:pos="720"/>
        </w:tabs>
        <w:spacing w:line="560" w:lineRule="exact"/>
        <w:ind w:firstLine="640" w:firstLineChars="200"/>
        <w:rPr>
          <w:rFonts w:hint="default" w:ascii="仿宋_GB2312" w:hAnsi="仿宋_GB2312" w:eastAsia="仿宋_GB2312" w:cs="仿宋_GB2312"/>
          <w:color w:val="auto"/>
          <w:sz w:val="32"/>
          <w:szCs w:val="32"/>
          <w:highlight w:val="none"/>
          <w:lang w:val="en-US"/>
        </w:rPr>
      </w:pPr>
      <w:r>
        <w:rPr>
          <w:rFonts w:hint="eastAsia" w:ascii="仿宋_GB2312" w:hAnsi="仿宋_GB2312" w:eastAsia="仿宋_GB2312" w:cs="仿宋_GB2312"/>
          <w:color w:val="auto"/>
          <w:sz w:val="32"/>
          <w:szCs w:val="32"/>
          <w:highlight w:val="none"/>
          <w:lang w:val="en-US" w:eastAsia="zh-CN"/>
        </w:rPr>
        <w:t>案例一：</w:t>
      </w:r>
      <w:r>
        <w:rPr>
          <w:rFonts w:hint="eastAsia" w:ascii="仿宋_GB2312" w:hAnsi="仿宋_GB2312" w:eastAsia="仿宋_GB2312" w:cs="仿宋_GB2312"/>
          <w:color w:val="auto"/>
          <w:sz w:val="32"/>
          <w:szCs w:val="32"/>
          <w:highlight w:val="none"/>
        </w:rPr>
        <w:t>广西</w:t>
      </w:r>
      <w:r>
        <w:rPr>
          <w:rFonts w:hint="eastAsia" w:ascii="仿宋_GB2312" w:hAnsi="仿宋_GB2312" w:eastAsia="仿宋_GB2312" w:cs="仿宋_GB2312"/>
          <w:color w:val="auto"/>
          <w:sz w:val="32"/>
          <w:szCs w:val="32"/>
          <w:highlight w:val="none"/>
          <w:lang w:val="en-US" w:eastAsia="zh-CN"/>
        </w:rPr>
        <w:t>环科院大气观测站</w:t>
      </w:r>
    </w:p>
    <w:p w14:paraId="0F7507B3">
      <w:pPr>
        <w:tabs>
          <w:tab w:val="left" w:pos="720"/>
        </w:tabs>
        <w:spacing w:line="560" w:lineRule="exact"/>
        <w:ind w:firstLine="640" w:firstLineChars="200"/>
        <w:rPr>
          <w:rFonts w:hint="eastAsia" w:ascii="仿宋_GB2312" w:hAnsi="仿宋_GB2312" w:eastAsia="仿宋_GB2312" w:cs="仿宋_GB2312"/>
          <w:color w:val="auto"/>
          <w:sz w:val="32"/>
          <w:szCs w:val="32"/>
          <w:highlight w:val="none"/>
        </w:rPr>
      </w:pPr>
      <w:r>
        <w:rPr>
          <w:rFonts w:hint="eastAsia" w:ascii="仿宋_GB2312" w:hAnsi="仿宋_GB2312" w:eastAsia="仿宋_GB2312" w:cs="仿宋_GB2312"/>
          <w:color w:val="auto"/>
          <w:sz w:val="32"/>
          <w:szCs w:val="32"/>
          <w:highlight w:val="none"/>
        </w:rPr>
        <w:t>该实验室为</w:t>
      </w:r>
      <w:r>
        <w:rPr>
          <w:rFonts w:hint="eastAsia" w:ascii="仿宋_GB2312" w:hAnsi="仿宋_GB2312" w:eastAsia="仿宋_GB2312" w:cs="仿宋_GB2312"/>
          <w:color w:val="auto"/>
          <w:sz w:val="32"/>
          <w:szCs w:val="32"/>
          <w:highlight w:val="none"/>
          <w:lang w:val="en-US" w:eastAsia="zh-CN"/>
        </w:rPr>
        <w:t>南宁市区</w:t>
      </w:r>
      <w:r>
        <w:rPr>
          <w:rFonts w:hint="eastAsia" w:ascii="仿宋_GB2312" w:hAnsi="仿宋_GB2312" w:eastAsia="仿宋_GB2312" w:cs="仿宋_GB2312"/>
          <w:color w:val="auto"/>
          <w:sz w:val="32"/>
          <w:szCs w:val="32"/>
          <w:highlight w:val="none"/>
        </w:rPr>
        <w:t>提供监测技术支持，2024年6月在维护某园区高精度监测站时，按标准要求每12小时用目标气（CO</w:t>
      </w:r>
      <w:r>
        <w:rPr>
          <w:rFonts w:hint="eastAsia" w:ascii="仿宋_GB2312" w:hAnsi="仿宋_GB2312" w:eastAsia="仿宋_GB2312" w:cs="仿宋_GB2312"/>
          <w:color w:val="auto"/>
          <w:sz w:val="32"/>
          <w:szCs w:val="32"/>
          <w:highlight w:val="none"/>
          <w:vertAlign w:val="subscript"/>
          <w:lang w:eastAsia="zh-CN"/>
        </w:rPr>
        <w:t>2</w:t>
      </w:r>
      <w:r>
        <w:rPr>
          <w:rFonts w:hint="eastAsia" w:ascii="仿宋_GB2312" w:hAnsi="仿宋_GB2312" w:eastAsia="仿宋_GB2312" w:cs="仿宋_GB2312"/>
          <w:color w:val="auto"/>
          <w:sz w:val="32"/>
          <w:szCs w:val="32"/>
          <w:highlight w:val="none"/>
        </w:rPr>
        <w:t>浓度450ppm、CH</w:t>
      </w:r>
      <w:r>
        <w:rPr>
          <w:rFonts w:hint="eastAsia" w:ascii="仿宋_GB2312" w:hAnsi="仿宋_GB2312" w:eastAsia="仿宋_GB2312" w:cs="仿宋_GB2312"/>
          <w:color w:val="auto"/>
          <w:sz w:val="32"/>
          <w:szCs w:val="32"/>
          <w:highlight w:val="none"/>
          <w:vertAlign w:val="subscript"/>
          <w:lang w:eastAsia="zh-CN"/>
        </w:rPr>
        <w:t>4</w:t>
      </w:r>
      <w:r>
        <w:rPr>
          <w:rFonts w:hint="eastAsia" w:ascii="仿宋_GB2312" w:hAnsi="仿宋_GB2312" w:eastAsia="仿宋_GB2312" w:cs="仿宋_GB2312"/>
          <w:color w:val="auto"/>
          <w:sz w:val="32"/>
          <w:szCs w:val="32"/>
          <w:highlight w:val="none"/>
          <w:vertAlign w:val="baseline"/>
          <w:lang w:val="en-US" w:eastAsia="zh-CN"/>
        </w:rPr>
        <w:t>浓度</w:t>
      </w:r>
      <w:r>
        <w:rPr>
          <w:rFonts w:hint="eastAsia" w:ascii="仿宋_GB2312" w:hAnsi="仿宋_GB2312" w:eastAsia="仿宋_GB2312" w:cs="仿宋_GB2312"/>
          <w:color w:val="auto"/>
          <w:sz w:val="32"/>
          <w:szCs w:val="32"/>
          <w:highlight w:val="none"/>
        </w:rPr>
        <w:t>1900ppb、N</w:t>
      </w:r>
      <w:r>
        <w:rPr>
          <w:rFonts w:hint="eastAsia" w:ascii="仿宋_GB2312" w:hAnsi="仿宋_GB2312" w:eastAsia="仿宋_GB2312" w:cs="仿宋_GB2312"/>
          <w:color w:val="auto"/>
          <w:sz w:val="32"/>
          <w:szCs w:val="32"/>
          <w:highlight w:val="none"/>
          <w:vertAlign w:val="subscript"/>
          <w:lang w:eastAsia="zh-CN"/>
        </w:rPr>
        <w:t>2</w:t>
      </w:r>
      <w:r>
        <w:rPr>
          <w:rFonts w:hint="eastAsia" w:ascii="仿宋_GB2312" w:hAnsi="仿宋_GB2312" w:eastAsia="仿宋_GB2312" w:cs="仿宋_GB2312"/>
          <w:color w:val="auto"/>
          <w:sz w:val="32"/>
          <w:szCs w:val="32"/>
          <w:highlight w:val="none"/>
        </w:rPr>
        <w:t>O</w:t>
      </w:r>
      <w:r>
        <w:rPr>
          <w:rFonts w:hint="eastAsia" w:ascii="仿宋_GB2312" w:hAnsi="仿宋_GB2312" w:eastAsia="仿宋_GB2312" w:cs="仿宋_GB2312"/>
          <w:color w:val="auto"/>
          <w:sz w:val="32"/>
          <w:szCs w:val="32"/>
          <w:highlight w:val="none"/>
          <w:lang w:val="en-US" w:eastAsia="zh-CN"/>
        </w:rPr>
        <w:t>浓度</w:t>
      </w:r>
      <w:r>
        <w:rPr>
          <w:rFonts w:hint="eastAsia" w:ascii="仿宋_GB2312" w:hAnsi="仿宋_GB2312" w:eastAsia="仿宋_GB2312" w:cs="仿宋_GB2312"/>
          <w:color w:val="auto"/>
          <w:sz w:val="32"/>
          <w:szCs w:val="32"/>
          <w:highlight w:val="none"/>
        </w:rPr>
        <w:t>320ppb）检查，发现第5天CO</w:t>
      </w:r>
      <w:r>
        <w:rPr>
          <w:rFonts w:hint="eastAsia" w:ascii="仿宋_GB2312" w:hAnsi="仿宋_GB2312" w:eastAsia="仿宋_GB2312" w:cs="仿宋_GB2312"/>
          <w:color w:val="auto"/>
          <w:sz w:val="32"/>
          <w:szCs w:val="32"/>
          <w:highlight w:val="none"/>
          <w:vertAlign w:val="subscript"/>
          <w:lang w:eastAsia="zh-CN"/>
        </w:rPr>
        <w:t>2</w:t>
      </w:r>
      <w:r>
        <w:rPr>
          <w:rFonts w:hint="eastAsia" w:ascii="仿宋_GB2312" w:hAnsi="仿宋_GB2312" w:eastAsia="仿宋_GB2312" w:cs="仿宋_GB2312"/>
          <w:color w:val="auto"/>
          <w:sz w:val="32"/>
          <w:szCs w:val="32"/>
          <w:highlight w:val="none"/>
        </w:rPr>
        <w:t>测量值与目标气标称值偏差达±0.25ppm（超标准限值±0.2ppm），立即启动内部校准（用高浓度600ppm、低浓度350ppm工作气修正），校准后偏差降至±0.12ppm。同时，每月检查采样泵流量时，发现1台泵流量仅</w:t>
      </w:r>
      <w:r>
        <w:rPr>
          <w:rFonts w:hint="eastAsia" w:ascii="仿宋_GB2312" w:hAnsi="仿宋_GB2312" w:eastAsia="仿宋_GB2312" w:cs="仿宋_GB2312"/>
          <w:color w:val="auto"/>
          <w:sz w:val="32"/>
          <w:szCs w:val="32"/>
          <w:highlight w:val="none"/>
          <w:lang w:eastAsia="zh-CN"/>
        </w:rPr>
        <w:t>-</w:t>
      </w:r>
      <w:r>
        <w:rPr>
          <w:rFonts w:hint="eastAsia" w:ascii="仿宋_GB2312" w:hAnsi="仿宋_GB2312" w:eastAsia="仿宋_GB2312" w:cs="仿宋_GB2312"/>
          <w:color w:val="auto"/>
          <w:sz w:val="32"/>
          <w:szCs w:val="32"/>
          <w:highlight w:val="none"/>
        </w:rPr>
        <w:t>9.2L/min（低于10L/min</w:t>
      </w:r>
      <w:r>
        <w:rPr>
          <w:rFonts w:hint="eastAsia" w:ascii="仿宋_GB2312" w:hAnsi="仿宋_GB2312" w:eastAsia="仿宋_GB2312" w:cs="仿宋_GB2312"/>
          <w:color w:val="auto"/>
          <w:sz w:val="32"/>
          <w:szCs w:val="32"/>
          <w:highlight w:val="none"/>
          <w:lang w:eastAsia="zh-CN"/>
        </w:rPr>
        <w:t>-</w:t>
      </w:r>
      <w:r>
        <w:rPr>
          <w:rFonts w:hint="eastAsia" w:ascii="仿宋_GB2312" w:hAnsi="仿宋_GB2312" w:eastAsia="仿宋_GB2312" w:cs="仿宋_GB2312"/>
          <w:color w:val="auto"/>
          <w:sz w:val="32"/>
          <w:szCs w:val="32"/>
          <w:highlight w:val="none"/>
        </w:rPr>
        <w:t>标准），且波动达±7%，拆解后发现过滤器堵塞，更换后流量恢复至10.5L/min，波动控制在±3%。通过严格执行标准运维要求，该监测站数据有效率从88%提升至96%，验证了设备运行条款对数据质量的保障作用。</w:t>
      </w:r>
    </w:p>
    <w:p w14:paraId="30A0333C">
      <w:pPr>
        <w:tabs>
          <w:tab w:val="left" w:pos="720"/>
        </w:tabs>
        <w:spacing w:line="560" w:lineRule="exact"/>
        <w:ind w:firstLine="640" w:firstLineChars="200"/>
        <w:rPr>
          <w:rFonts w:hint="eastAsia" w:ascii="仿宋_GB2312" w:hAnsi="仿宋_GB2312" w:eastAsia="仿宋_GB2312" w:cs="仿宋_GB2312"/>
          <w:color w:val="auto"/>
          <w:sz w:val="32"/>
          <w:szCs w:val="32"/>
          <w:highlight w:val="none"/>
        </w:rPr>
      </w:pPr>
      <w:r>
        <w:rPr>
          <w:rFonts w:hint="eastAsia" w:ascii="仿宋_GB2312" w:hAnsi="仿宋_GB2312" w:eastAsia="仿宋_GB2312" w:cs="仿宋_GB2312"/>
          <w:color w:val="auto"/>
          <w:sz w:val="32"/>
          <w:szCs w:val="32"/>
          <w:highlight w:val="none"/>
        </w:rPr>
        <w:t>5.测量方法及观测系统</w:t>
      </w:r>
    </w:p>
    <w:p w14:paraId="1E908CCF">
      <w:pPr>
        <w:tabs>
          <w:tab w:val="left" w:pos="720"/>
        </w:tabs>
        <w:spacing w:line="560" w:lineRule="exact"/>
        <w:ind w:firstLine="640" w:firstLineChars="200"/>
        <w:rPr>
          <w:rFonts w:hint="eastAsia" w:ascii="仿宋_GB2312" w:hAnsi="仿宋_GB2312" w:eastAsia="仿宋_GB2312" w:cs="仿宋_GB2312"/>
          <w:color w:val="auto"/>
          <w:sz w:val="32"/>
          <w:szCs w:val="32"/>
          <w:highlight w:val="none"/>
        </w:rPr>
      </w:pPr>
      <w:r>
        <w:rPr>
          <w:rFonts w:hint="eastAsia" w:ascii="仿宋_GB2312" w:hAnsi="仿宋_GB2312" w:eastAsia="仿宋_GB2312" w:cs="仿宋_GB2312"/>
          <w:color w:val="auto"/>
          <w:sz w:val="32"/>
          <w:szCs w:val="32"/>
          <w:highlight w:val="none"/>
        </w:rPr>
        <w:t>5.1测量方法</w:t>
      </w:r>
    </w:p>
    <w:p w14:paraId="4B52C299">
      <w:pPr>
        <w:tabs>
          <w:tab w:val="left" w:pos="720"/>
        </w:tabs>
        <w:spacing w:line="560" w:lineRule="exact"/>
        <w:ind w:firstLine="640" w:firstLineChars="200"/>
        <w:rPr>
          <w:rFonts w:hint="eastAsia" w:ascii="仿宋_GB2312" w:hAnsi="仿宋_GB2312" w:eastAsia="仿宋_GB2312" w:cs="仿宋_GB2312"/>
          <w:color w:val="auto"/>
          <w:sz w:val="32"/>
          <w:szCs w:val="32"/>
          <w:highlight w:val="none"/>
        </w:rPr>
      </w:pPr>
      <w:r>
        <w:rPr>
          <w:rFonts w:hint="eastAsia" w:ascii="仿宋_GB2312" w:hAnsi="仿宋_GB2312" w:eastAsia="仿宋_GB2312" w:cs="仿宋_GB2312"/>
          <w:color w:val="auto"/>
          <w:sz w:val="32"/>
          <w:szCs w:val="32"/>
          <w:highlight w:val="none"/>
        </w:rPr>
        <w:t>主要内容</w:t>
      </w:r>
      <w:r>
        <w:rPr>
          <w:rFonts w:hint="eastAsia" w:ascii="仿宋_GB2312" w:hAnsi="仿宋_GB2312" w:eastAsia="仿宋_GB2312" w:cs="仿宋_GB2312"/>
          <w:color w:val="auto"/>
          <w:sz w:val="32"/>
          <w:szCs w:val="32"/>
          <w:highlight w:val="none"/>
          <w:lang w:val="en-US" w:eastAsia="zh-CN"/>
        </w:rPr>
        <w:t>为</w:t>
      </w:r>
      <w:r>
        <w:rPr>
          <w:rFonts w:hint="eastAsia" w:ascii="仿宋_GB2312" w:hAnsi="仿宋_GB2312" w:eastAsia="仿宋_GB2312" w:cs="仿宋_GB2312"/>
          <w:color w:val="auto"/>
          <w:sz w:val="32"/>
          <w:szCs w:val="32"/>
          <w:highlight w:val="none"/>
        </w:rPr>
        <w:t>采样泵抽入样气，经温度平衡（波动±0.5℃）、压力控制（波动±0.1kPa）、除水干燥（水汽浓度&lt;40×10</w:t>
      </w:r>
      <w:r>
        <w:rPr>
          <w:rFonts w:hint="eastAsia" w:ascii="仿宋_GB2312" w:hAnsi="仿宋_GB2312" w:eastAsia="仿宋_GB2312" w:cs="仿宋_GB2312"/>
          <w:color w:val="auto"/>
          <w:sz w:val="32"/>
          <w:szCs w:val="32"/>
          <w:highlight w:val="none"/>
          <w:vertAlign w:val="superscript"/>
          <w:lang w:eastAsia="zh-CN"/>
        </w:rPr>
        <w:t>-6</w:t>
      </w:r>
      <w:r>
        <w:rPr>
          <w:rFonts w:hint="eastAsia" w:ascii="仿宋_GB2312" w:hAnsi="仿宋_GB2312" w:eastAsia="仿宋_GB2312" w:cs="仿宋_GB2312"/>
          <w:color w:val="auto"/>
          <w:sz w:val="32"/>
          <w:szCs w:val="32"/>
          <w:highlight w:val="none"/>
        </w:rPr>
        <w:t>mol/mol）后，导入主机光腔；测量激光光强衰减至1/e倍的时间，结合衰减时长与浓度的对应关系定量，实时记录温压参数用于修正。</w:t>
      </w:r>
    </w:p>
    <w:p w14:paraId="4AD8CADD">
      <w:pPr>
        <w:tabs>
          <w:tab w:val="left" w:pos="720"/>
        </w:tabs>
        <w:spacing w:line="560" w:lineRule="exact"/>
        <w:ind w:firstLine="640" w:firstLineChars="200"/>
        <w:rPr>
          <w:rFonts w:hint="eastAsia" w:ascii="仿宋_GB2312" w:hAnsi="仿宋_GB2312" w:eastAsia="仿宋_GB2312" w:cs="仿宋_GB2312"/>
          <w:color w:val="auto"/>
          <w:sz w:val="32"/>
          <w:szCs w:val="32"/>
          <w:highlight w:val="none"/>
        </w:rPr>
      </w:pPr>
      <w:r>
        <w:rPr>
          <w:rFonts w:hint="eastAsia" w:ascii="仿宋_GB2312" w:hAnsi="仿宋_GB2312" w:eastAsia="仿宋_GB2312" w:cs="仿宋_GB2312"/>
          <w:color w:val="auto"/>
          <w:sz w:val="32"/>
          <w:szCs w:val="32"/>
          <w:highlight w:val="none"/>
        </w:rPr>
        <w:t>依据来源</w:t>
      </w:r>
      <w:r>
        <w:rPr>
          <w:rFonts w:hint="eastAsia" w:ascii="仿宋_GB2312" w:hAnsi="仿宋_GB2312" w:eastAsia="仿宋_GB2312" w:cs="仿宋_GB2312"/>
          <w:color w:val="auto"/>
          <w:sz w:val="32"/>
          <w:szCs w:val="32"/>
          <w:highlight w:val="none"/>
          <w:lang w:val="en-US" w:eastAsia="zh-CN"/>
        </w:rPr>
        <w:t>为</w:t>
      </w:r>
      <w:r>
        <w:rPr>
          <w:rFonts w:hint="eastAsia" w:ascii="仿宋_GB2312" w:hAnsi="仿宋_GB2312" w:eastAsia="仿宋_GB2312" w:cs="仿宋_GB2312"/>
          <w:color w:val="auto"/>
          <w:sz w:val="32"/>
          <w:szCs w:val="32"/>
          <w:highlight w:val="none"/>
        </w:rPr>
        <w:t>光腔衰荡光谱法原理引自GB/T34415—2017，温压控制与除水要求结合工业园区高湿度、气流不稳定的工况设定，确保测量不受环境干扰。</w:t>
      </w:r>
    </w:p>
    <w:p w14:paraId="507EE5CD">
      <w:pPr>
        <w:tabs>
          <w:tab w:val="left" w:pos="720"/>
        </w:tabs>
        <w:spacing w:line="240" w:lineRule="auto"/>
        <w:rPr>
          <w:rFonts w:hint="eastAsia" w:ascii="仿宋_GB2312" w:hAnsi="仿宋_GB2312" w:eastAsia="仿宋_GB2312" w:cs="仿宋_GB2312"/>
          <w:color w:val="auto"/>
          <w:sz w:val="32"/>
          <w:szCs w:val="32"/>
          <w:highlight w:val="none"/>
          <w:lang w:eastAsia="zh-CN"/>
        </w:rPr>
      </w:pPr>
      <w:r>
        <w:rPr>
          <w:rFonts w:hint="eastAsia" w:ascii="仿宋_GB2312" w:hAnsi="仿宋_GB2312" w:eastAsia="仿宋_GB2312" w:cs="仿宋_GB2312"/>
          <w:color w:val="auto"/>
          <w:sz w:val="32"/>
          <w:szCs w:val="32"/>
          <w:highlight w:val="none"/>
          <w:lang w:eastAsia="zh-CN"/>
        </w:rPr>
        <w:drawing>
          <wp:inline distT="0" distB="0" distL="114300" distR="114300">
            <wp:extent cx="5273040" cy="3640455"/>
            <wp:effectExtent l="0" t="0" r="3810" b="17145"/>
            <wp:docPr id="18" name="图片 18" descr="d75344e1-efd0-4c05-8d39-35c2817bbf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descr="d75344e1-efd0-4c05-8d39-35c2817bbf93"/>
                    <pic:cNvPicPr>
                      <a:picLocks noChangeAspect="1"/>
                    </pic:cNvPicPr>
                  </pic:nvPicPr>
                  <pic:blipFill>
                    <a:blip r:embed="rId9"/>
                    <a:stretch>
                      <a:fillRect/>
                    </a:stretch>
                  </pic:blipFill>
                  <pic:spPr>
                    <a:xfrm>
                      <a:off x="0" y="0"/>
                      <a:ext cx="5273040" cy="3640455"/>
                    </a:xfrm>
                    <a:prstGeom prst="rect">
                      <a:avLst/>
                    </a:prstGeom>
                  </pic:spPr>
                </pic:pic>
              </a:graphicData>
            </a:graphic>
          </wp:inline>
        </w:drawing>
      </w:r>
    </w:p>
    <w:p w14:paraId="4D82013D">
      <w:pPr>
        <w:tabs>
          <w:tab w:val="left" w:pos="720"/>
        </w:tabs>
        <w:spacing w:line="560" w:lineRule="exact"/>
        <w:jc w:val="center"/>
        <w:rPr>
          <w:rFonts w:hint="eastAsia" w:ascii="仿宋_GB2312" w:hAnsi="仿宋_GB2312" w:eastAsia="仿宋_GB2312" w:cs="仿宋_GB2312"/>
          <w:color w:val="auto"/>
          <w:sz w:val="32"/>
          <w:szCs w:val="32"/>
          <w:highlight w:val="none"/>
          <w:lang w:eastAsia="zh-CN"/>
        </w:rPr>
      </w:pPr>
      <w:r>
        <w:rPr>
          <w:rFonts w:hint="eastAsia" w:ascii="仿宋_GB2312" w:hAnsi="仿宋_GB2312" w:eastAsia="仿宋_GB2312" w:cs="仿宋_GB2312"/>
          <w:color w:val="auto"/>
          <w:sz w:val="32"/>
          <w:szCs w:val="32"/>
          <w:highlight w:val="none"/>
          <w:lang w:val="en-US" w:eastAsia="zh-CN"/>
        </w:rPr>
        <w:t>来源：</w:t>
      </w:r>
      <w:r>
        <w:rPr>
          <w:rFonts w:hint="eastAsia" w:ascii="仿宋_GB2312" w:hAnsi="仿宋_GB2312" w:eastAsia="仿宋_GB2312" w:cs="仿宋_GB2312"/>
          <w:color w:val="auto"/>
          <w:sz w:val="32"/>
          <w:szCs w:val="32"/>
          <w:highlight w:val="none"/>
        </w:rPr>
        <w:t>《大气二氧化碳（CO</w:t>
      </w:r>
      <w:r>
        <w:rPr>
          <w:rFonts w:hint="eastAsia" w:ascii="仿宋_GB2312" w:hAnsi="仿宋_GB2312" w:eastAsia="仿宋_GB2312" w:cs="仿宋_GB2312"/>
          <w:color w:val="auto"/>
          <w:sz w:val="32"/>
          <w:szCs w:val="32"/>
          <w:highlight w:val="none"/>
          <w:vertAlign w:val="subscript"/>
          <w:lang w:val="en-US" w:eastAsia="zh-CN"/>
        </w:rPr>
        <w:t>2</w:t>
      </w:r>
      <w:r>
        <w:rPr>
          <w:rFonts w:hint="eastAsia" w:ascii="仿宋_GB2312" w:hAnsi="仿宋_GB2312" w:eastAsia="仿宋_GB2312" w:cs="仿宋_GB2312"/>
          <w:color w:val="auto"/>
          <w:sz w:val="32"/>
          <w:szCs w:val="32"/>
          <w:highlight w:val="none"/>
        </w:rPr>
        <w:t xml:space="preserve">）光腔衰荡光谱观测系统》 </w:t>
      </w:r>
      <w:r>
        <w:rPr>
          <w:rFonts w:hint="eastAsia" w:ascii="仿宋_GB2312" w:hAnsi="仿宋_GB2312" w:eastAsia="仿宋_GB2312" w:cs="仿宋_GB2312"/>
          <w:color w:val="auto"/>
          <w:sz w:val="32"/>
          <w:szCs w:val="32"/>
          <w:highlight w:val="none"/>
          <w:lang w:eastAsia="zh-CN"/>
        </w:rPr>
        <w:t>（</w:t>
      </w:r>
      <w:r>
        <w:rPr>
          <w:rFonts w:hint="eastAsia" w:ascii="仿宋_GB2312" w:hAnsi="仿宋_GB2312" w:eastAsia="仿宋_GB2312" w:cs="仿宋_GB2312"/>
          <w:color w:val="auto"/>
          <w:sz w:val="32"/>
          <w:szCs w:val="32"/>
          <w:highlight w:val="none"/>
        </w:rPr>
        <w:t>GB/T</w:t>
      </w:r>
      <w:r>
        <w:rPr>
          <w:rFonts w:hint="eastAsia" w:ascii="仿宋_GB2312" w:hAnsi="仿宋_GB2312" w:eastAsia="仿宋_GB2312" w:cs="仿宋_GB2312"/>
          <w:color w:val="auto"/>
          <w:sz w:val="32"/>
          <w:szCs w:val="32"/>
          <w:highlight w:val="none"/>
          <w:lang w:val="en-US" w:eastAsia="zh-CN"/>
        </w:rPr>
        <w:t xml:space="preserve"> </w:t>
      </w:r>
      <w:r>
        <w:rPr>
          <w:rFonts w:hint="eastAsia" w:ascii="仿宋_GB2312" w:hAnsi="仿宋_GB2312" w:eastAsia="仿宋_GB2312" w:cs="仿宋_GB2312"/>
          <w:color w:val="auto"/>
          <w:sz w:val="32"/>
          <w:szCs w:val="32"/>
          <w:highlight w:val="none"/>
        </w:rPr>
        <w:t>34415—2017</w:t>
      </w:r>
      <w:r>
        <w:rPr>
          <w:rFonts w:hint="eastAsia" w:ascii="仿宋_GB2312" w:hAnsi="仿宋_GB2312" w:eastAsia="仿宋_GB2312" w:cs="仿宋_GB2312"/>
          <w:color w:val="auto"/>
          <w:sz w:val="32"/>
          <w:szCs w:val="32"/>
          <w:highlight w:val="none"/>
          <w:lang w:eastAsia="zh-CN"/>
        </w:rPr>
        <w:t>）</w:t>
      </w:r>
    </w:p>
    <w:p w14:paraId="7356CCB0">
      <w:pPr>
        <w:tabs>
          <w:tab w:val="left" w:pos="720"/>
        </w:tabs>
        <w:spacing w:line="560" w:lineRule="exact"/>
        <w:ind w:firstLine="640" w:firstLineChars="200"/>
        <w:rPr>
          <w:rFonts w:hint="eastAsia" w:ascii="仿宋_GB2312" w:hAnsi="仿宋_GB2312" w:eastAsia="仿宋_GB2312" w:cs="仿宋_GB2312"/>
          <w:color w:val="auto"/>
          <w:sz w:val="32"/>
          <w:szCs w:val="32"/>
          <w:highlight w:val="none"/>
        </w:rPr>
      </w:pPr>
      <w:r>
        <w:rPr>
          <w:rFonts w:hint="eastAsia" w:ascii="仿宋_GB2312" w:hAnsi="仿宋_GB2312" w:eastAsia="仿宋_GB2312" w:cs="仿宋_GB2312"/>
          <w:color w:val="auto"/>
          <w:sz w:val="32"/>
          <w:szCs w:val="32"/>
          <w:highlight w:val="none"/>
        </w:rPr>
        <w:t>5.2观测系统</w:t>
      </w:r>
    </w:p>
    <w:p w14:paraId="6BEBE69F">
      <w:pPr>
        <w:tabs>
          <w:tab w:val="left" w:pos="720"/>
        </w:tabs>
        <w:spacing w:line="560" w:lineRule="exact"/>
        <w:ind w:firstLine="640" w:firstLineChars="200"/>
        <w:rPr>
          <w:rFonts w:hint="eastAsia" w:ascii="仿宋_GB2312" w:hAnsi="仿宋_GB2312" w:eastAsia="仿宋_GB2312" w:cs="仿宋_GB2312"/>
          <w:color w:val="auto"/>
          <w:sz w:val="32"/>
          <w:szCs w:val="32"/>
          <w:highlight w:val="none"/>
        </w:rPr>
      </w:pPr>
      <w:r>
        <w:rPr>
          <w:rFonts w:hint="eastAsia" w:ascii="仿宋_GB2312" w:hAnsi="仿宋_GB2312" w:eastAsia="仿宋_GB2312" w:cs="仿宋_GB2312"/>
          <w:color w:val="auto"/>
          <w:sz w:val="32"/>
          <w:szCs w:val="32"/>
          <w:highlight w:val="none"/>
        </w:rPr>
        <w:t>主要内容</w:t>
      </w:r>
      <w:r>
        <w:rPr>
          <w:rFonts w:hint="eastAsia" w:ascii="仿宋_GB2312" w:hAnsi="仿宋_GB2312" w:eastAsia="仿宋_GB2312" w:cs="仿宋_GB2312"/>
          <w:color w:val="auto"/>
          <w:sz w:val="32"/>
          <w:szCs w:val="32"/>
          <w:highlight w:val="none"/>
          <w:lang w:val="en-US" w:eastAsia="zh-CN"/>
        </w:rPr>
        <w:t>为</w:t>
      </w:r>
      <w:r>
        <w:rPr>
          <w:rFonts w:hint="eastAsia" w:ascii="仿宋_GB2312" w:hAnsi="仿宋_GB2312" w:eastAsia="仿宋_GB2312" w:cs="仿宋_GB2312"/>
          <w:color w:val="auto"/>
          <w:sz w:val="32"/>
          <w:szCs w:val="32"/>
          <w:highlight w:val="none"/>
        </w:rPr>
        <w:t>拆分系统为5个单元，样气采集及处理单元（含PTFE材质过滤器、惰性采样管等，抽气流量≥10L/min）、样气选择单元（质量流量控制器精度±1.5%FS，密封性&lt;1×10</w:t>
      </w:r>
      <w:r>
        <w:rPr>
          <w:rFonts w:hint="eastAsia" w:ascii="仿宋_GB2312" w:hAnsi="仿宋_GB2312" w:eastAsia="仿宋_GB2312" w:cs="仿宋_GB2312"/>
          <w:color w:val="auto"/>
          <w:sz w:val="32"/>
          <w:szCs w:val="32"/>
          <w:highlight w:val="none"/>
          <w:lang w:eastAsia="zh-CN"/>
        </w:rPr>
        <w:t>-</w:t>
      </w:r>
      <w:r>
        <w:rPr>
          <w:rFonts w:hint="eastAsia" w:ascii="仿宋_GB2312" w:hAnsi="仿宋_GB2312" w:eastAsia="仿宋_GB2312" w:cs="仿宋_GB2312"/>
          <w:color w:val="auto"/>
          <w:sz w:val="32"/>
          <w:szCs w:val="32"/>
          <w:highlight w:val="none"/>
          <w:vertAlign w:val="superscript"/>
          <w:lang w:val="en-US" w:eastAsia="zh-CN"/>
        </w:rPr>
        <w:t>9</w:t>
      </w:r>
      <w:r>
        <w:rPr>
          <w:rFonts w:hint="eastAsia" w:ascii="仿宋_GB2312" w:hAnsi="仿宋_GB2312" w:eastAsia="仿宋_GB2312" w:cs="仿宋_GB2312"/>
          <w:color w:val="auto"/>
          <w:sz w:val="32"/>
          <w:szCs w:val="32"/>
          <w:highlight w:val="none"/>
        </w:rPr>
        <w:t>Pa・m³/s）、主机单元（光腔反射率≥99.99%，激光波长稳定性±0.01nm）、标气单元（工作标气量值溯源至国家基准，目标气不确定度&lt;2%，气瓶压力≥10MPa）、数据采集单元（存储容量≥1TB，采集频率≥1次/分钟，数据符合HJ212）；通过表格明确高、中精度系统性能指标（精度、24h漂移、测量范围、除湿性能）。</w:t>
      </w:r>
    </w:p>
    <w:p w14:paraId="156D81ED">
      <w:pPr>
        <w:tabs>
          <w:tab w:val="left" w:pos="720"/>
        </w:tabs>
        <w:spacing w:line="560" w:lineRule="exact"/>
        <w:ind w:firstLine="640" w:firstLineChars="200"/>
        <w:rPr>
          <w:rFonts w:hint="eastAsia" w:ascii="仿宋_GB2312" w:hAnsi="仿宋_GB2312" w:eastAsia="仿宋_GB2312" w:cs="仿宋_GB2312"/>
          <w:color w:val="auto"/>
          <w:sz w:val="32"/>
          <w:szCs w:val="32"/>
          <w:highlight w:val="none"/>
        </w:rPr>
      </w:pPr>
    </w:p>
    <w:p w14:paraId="7C3CBCC2">
      <w:pPr>
        <w:tabs>
          <w:tab w:val="left" w:pos="720"/>
        </w:tabs>
        <w:spacing w:line="560" w:lineRule="exact"/>
        <w:ind w:firstLine="640" w:firstLineChars="200"/>
        <w:rPr>
          <w:rFonts w:hint="eastAsia" w:ascii="仿宋_GB2312" w:hAnsi="仿宋_GB2312" w:eastAsia="仿宋_GB2312" w:cs="仿宋_GB2312"/>
          <w:color w:val="auto"/>
          <w:sz w:val="32"/>
          <w:szCs w:val="32"/>
          <w:highlight w:val="none"/>
        </w:rPr>
      </w:pPr>
      <w:r>
        <w:rPr>
          <w:rFonts w:hint="eastAsia" w:ascii="仿宋_GB2312" w:hAnsi="仿宋_GB2312" w:eastAsia="仿宋_GB2312" w:cs="仿宋_GB2312"/>
          <w:color w:val="auto"/>
          <w:sz w:val="32"/>
          <w:szCs w:val="32"/>
          <w:highlight w:val="none"/>
        </w:rPr>
        <w:t>依据来源</w:t>
      </w:r>
      <w:r>
        <w:rPr>
          <w:rFonts w:hint="eastAsia" w:ascii="仿宋_GB2312" w:hAnsi="仿宋_GB2312" w:eastAsia="仿宋_GB2312" w:cs="仿宋_GB2312"/>
          <w:color w:val="auto"/>
          <w:sz w:val="32"/>
          <w:szCs w:val="32"/>
          <w:highlight w:val="none"/>
          <w:lang w:val="en-US" w:eastAsia="zh-CN"/>
        </w:rPr>
        <w:t>为</w:t>
      </w:r>
      <w:r>
        <w:rPr>
          <w:rFonts w:hint="eastAsia" w:ascii="仿宋_GB2312" w:hAnsi="仿宋_GB2312" w:eastAsia="仿宋_GB2312" w:cs="仿宋_GB2312"/>
          <w:color w:val="auto"/>
          <w:sz w:val="32"/>
          <w:szCs w:val="32"/>
          <w:highlight w:val="none"/>
        </w:rPr>
        <w:t>系统单元组成参考中国气象局《大气成分观测业务规范（试行）》，各单元设备参数结合浙江灵析精仪科技的采样管材质要求</w:t>
      </w:r>
      <w:r>
        <w:rPr>
          <w:rFonts w:hint="eastAsia" w:ascii="仿宋_GB2312" w:hAnsi="仿宋_GB2312" w:eastAsia="仿宋_GB2312" w:cs="仿宋_GB2312"/>
          <w:color w:val="auto"/>
          <w:sz w:val="32"/>
          <w:szCs w:val="32"/>
          <w:highlight w:val="none"/>
          <w:lang w:val="en-US" w:eastAsia="zh-CN"/>
        </w:rPr>
        <w:t>等</w:t>
      </w:r>
      <w:r>
        <w:rPr>
          <w:rFonts w:hint="eastAsia" w:ascii="仿宋_GB2312" w:hAnsi="仿宋_GB2312" w:eastAsia="仿宋_GB2312" w:cs="仿宋_GB2312"/>
          <w:color w:val="auto"/>
          <w:sz w:val="32"/>
          <w:szCs w:val="32"/>
          <w:highlight w:val="none"/>
        </w:rPr>
        <w:t>设备厂商技术手册（如）与园区监测精度需求设定；性能指标中，高精度参数参考GB/T33672—2017，中精度参数结合中小型园区成本与基础监测需求调整，实现分级适配。</w:t>
      </w:r>
    </w:p>
    <w:p w14:paraId="25B78B12">
      <w:pPr>
        <w:tabs>
          <w:tab w:val="left" w:pos="720"/>
        </w:tabs>
        <w:spacing w:line="240" w:lineRule="auto"/>
        <w:jc w:val="center"/>
        <w:rPr>
          <w:rFonts w:hint="eastAsia" w:ascii="仿宋_GB2312" w:hAnsi="仿宋_GB2312" w:eastAsia="仿宋_GB2312" w:cs="仿宋_GB2312"/>
          <w:color w:val="auto"/>
          <w:sz w:val="32"/>
          <w:szCs w:val="32"/>
          <w:highlight w:val="none"/>
          <w:lang w:eastAsia="zh-CN"/>
        </w:rPr>
      </w:pPr>
      <w:r>
        <w:rPr>
          <w:rFonts w:hint="eastAsia" w:ascii="仿宋_GB2312" w:hAnsi="仿宋_GB2312" w:eastAsia="仿宋_GB2312" w:cs="仿宋_GB2312"/>
          <w:color w:val="auto"/>
          <w:sz w:val="32"/>
          <w:szCs w:val="32"/>
          <w:highlight w:val="none"/>
          <w:lang w:eastAsia="zh-CN"/>
        </w:rPr>
        <w:drawing>
          <wp:inline distT="0" distB="0" distL="114300" distR="114300">
            <wp:extent cx="4044315" cy="1341755"/>
            <wp:effectExtent l="0" t="0" r="13335" b="10795"/>
            <wp:docPr id="19" name="图片 19" descr="11efc968-3571-416d-8470-3d4df66b58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descr="11efc968-3571-416d-8470-3d4df66b5889"/>
                    <pic:cNvPicPr>
                      <a:picLocks noChangeAspect="1"/>
                    </pic:cNvPicPr>
                  </pic:nvPicPr>
                  <pic:blipFill>
                    <a:blip r:embed="rId10"/>
                    <a:stretch>
                      <a:fillRect/>
                    </a:stretch>
                  </pic:blipFill>
                  <pic:spPr>
                    <a:xfrm>
                      <a:off x="0" y="0"/>
                      <a:ext cx="4044315" cy="1341755"/>
                    </a:xfrm>
                    <a:prstGeom prst="rect">
                      <a:avLst/>
                    </a:prstGeom>
                  </pic:spPr>
                </pic:pic>
              </a:graphicData>
            </a:graphic>
          </wp:inline>
        </w:drawing>
      </w:r>
    </w:p>
    <w:p w14:paraId="203A7479">
      <w:pPr>
        <w:tabs>
          <w:tab w:val="left" w:pos="720"/>
        </w:tabs>
        <w:spacing w:line="240" w:lineRule="auto"/>
        <w:jc w:val="center"/>
      </w:pPr>
      <w:r>
        <w:drawing>
          <wp:inline distT="0" distB="0" distL="114300" distR="114300">
            <wp:extent cx="4100830" cy="4446270"/>
            <wp:effectExtent l="0" t="0" r="13970" b="11430"/>
            <wp:docPr id="2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1"/>
                    <pic:cNvPicPr>
                      <a:picLocks noChangeAspect="1"/>
                    </pic:cNvPicPr>
                  </pic:nvPicPr>
                  <pic:blipFill>
                    <a:blip r:embed="rId11"/>
                    <a:stretch>
                      <a:fillRect/>
                    </a:stretch>
                  </pic:blipFill>
                  <pic:spPr>
                    <a:xfrm>
                      <a:off x="0" y="0"/>
                      <a:ext cx="4100830" cy="4446270"/>
                    </a:xfrm>
                    <a:prstGeom prst="rect">
                      <a:avLst/>
                    </a:prstGeom>
                    <a:noFill/>
                    <a:ln>
                      <a:noFill/>
                    </a:ln>
                  </pic:spPr>
                </pic:pic>
              </a:graphicData>
            </a:graphic>
          </wp:inline>
        </w:drawing>
      </w:r>
    </w:p>
    <w:p w14:paraId="65792C70">
      <w:pPr>
        <w:tabs>
          <w:tab w:val="left" w:pos="720"/>
        </w:tabs>
        <w:spacing w:line="240" w:lineRule="auto"/>
        <w:rPr>
          <w:rFonts w:hint="eastAsia"/>
          <w:lang w:eastAsia="zh-CN"/>
        </w:rPr>
      </w:pPr>
    </w:p>
    <w:p w14:paraId="1630DDC3">
      <w:pPr>
        <w:tabs>
          <w:tab w:val="left" w:pos="720"/>
        </w:tabs>
        <w:spacing w:line="560" w:lineRule="exact"/>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来源：《大气甲烷光腔衰荡光谱观测系统》（GB/T 33672—2017）</w:t>
      </w:r>
    </w:p>
    <w:p w14:paraId="4F332419">
      <w:pPr>
        <w:tabs>
          <w:tab w:val="left" w:pos="720"/>
        </w:tabs>
        <w:spacing w:line="560" w:lineRule="exact"/>
        <w:ind w:firstLine="640" w:firstLineChars="200"/>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在测量方法上，创新性地采用光腔衰荡光谱法，并结合工业园区实际工况对样气预处理环节进行深度优化。明确规定样气需经严格的温度平衡、压力控制、除水干燥预处理后导入主机光腔，有效克服工业园区高湿度、气流不稳定等复杂环境对测量的干扰，相比传统测量方法，显著提高测量精度与稳定性。在观测系统构建方面，将系统创新性地拆分为5个单元，每个单元都有明确且严苛的设备参数要求。样气采集单元采用PTFE材质过滤器、惰性采样管等，确保样气采集的纯净与稳定。主机单元光腔反射率≥99.99%，激光波长稳定性±0.01nm，极大提升系统对温室气体的检测灵敏度与准确性，对观测系统的精细化拆分与高标准要求，在同类型监测标准中具有显著创新性与领先性。</w:t>
      </w:r>
    </w:p>
    <w:p w14:paraId="6E2535FB">
      <w:pPr>
        <w:tabs>
          <w:tab w:val="left" w:pos="720"/>
        </w:tabs>
        <w:spacing w:line="560" w:lineRule="exact"/>
        <w:ind w:firstLine="640" w:firstLineChars="200"/>
        <w:rPr>
          <w:rFonts w:hint="eastAsia" w:ascii="仿宋_GB2312" w:hAnsi="仿宋_GB2312" w:eastAsia="仿宋_GB2312" w:cs="仿宋_GB2312"/>
          <w:color w:val="auto"/>
          <w:sz w:val="32"/>
          <w:szCs w:val="32"/>
          <w:highlight w:val="none"/>
        </w:rPr>
      </w:pPr>
      <w:r>
        <w:rPr>
          <w:rFonts w:hint="eastAsia" w:ascii="仿宋_GB2312" w:hAnsi="仿宋_GB2312" w:eastAsia="仿宋_GB2312" w:cs="仿宋_GB2312"/>
          <w:color w:val="auto"/>
          <w:sz w:val="32"/>
          <w:szCs w:val="32"/>
          <w:highlight w:val="none"/>
          <w:lang w:val="en-US" w:eastAsia="zh-CN"/>
        </w:rPr>
        <w:t>案例二：杭州</w:t>
      </w:r>
      <w:r>
        <w:rPr>
          <w:rFonts w:hint="eastAsia" w:ascii="仿宋_GB2312" w:hAnsi="仿宋_GB2312" w:eastAsia="仿宋_GB2312" w:cs="仿宋_GB2312"/>
          <w:color w:val="auto"/>
          <w:sz w:val="32"/>
          <w:szCs w:val="32"/>
          <w:highlight w:val="none"/>
        </w:rPr>
        <w:t>某化工园区夏季监测系统运行</w:t>
      </w:r>
    </w:p>
    <w:p w14:paraId="7D3797C3">
      <w:pPr>
        <w:tabs>
          <w:tab w:val="left" w:pos="720"/>
        </w:tabs>
        <w:spacing w:line="560" w:lineRule="exact"/>
        <w:ind w:firstLine="640" w:firstLineChars="200"/>
        <w:rPr>
          <w:rFonts w:hint="eastAsia" w:ascii="仿宋_GB2312" w:hAnsi="仿宋_GB2312" w:eastAsia="仿宋_GB2312" w:cs="仿宋_GB2312"/>
          <w:color w:val="auto"/>
          <w:sz w:val="32"/>
          <w:szCs w:val="32"/>
          <w:highlight w:val="none"/>
        </w:rPr>
      </w:pPr>
      <w:r>
        <w:rPr>
          <w:rFonts w:hint="eastAsia" w:ascii="仿宋_GB2312" w:hAnsi="仿宋_GB2312" w:eastAsia="仿宋_GB2312" w:cs="仿宋_GB2312"/>
          <w:color w:val="auto"/>
          <w:sz w:val="32"/>
          <w:szCs w:val="32"/>
          <w:highlight w:val="none"/>
        </w:rPr>
        <w:t>该园区夏季日均温</w:t>
      </w:r>
      <w:r>
        <w:rPr>
          <w:rFonts w:hint="eastAsia" w:ascii="仿宋_GB2312" w:hAnsi="仿宋_GB2312" w:eastAsia="仿宋_GB2312" w:cs="仿宋_GB2312"/>
          <w:color w:val="auto"/>
          <w:sz w:val="32"/>
          <w:szCs w:val="32"/>
          <w:highlight w:val="none"/>
          <w:lang w:eastAsia="zh-CN"/>
        </w:rPr>
        <w:t>-</w:t>
      </w:r>
      <w:r>
        <w:rPr>
          <w:rFonts w:hint="eastAsia" w:ascii="仿宋_GB2312" w:hAnsi="仿宋_GB2312" w:eastAsia="仿宋_GB2312" w:cs="仿宋_GB2312"/>
          <w:color w:val="auto"/>
          <w:sz w:val="32"/>
          <w:szCs w:val="32"/>
          <w:highlight w:val="none"/>
        </w:rPr>
        <w:t>32℃、湿度85%，此前未做严格预处理时，监测数据常出现CO</w:t>
      </w:r>
      <w:r>
        <w:rPr>
          <w:rFonts w:hint="eastAsia" w:ascii="仿宋_GB2312" w:hAnsi="仿宋_GB2312" w:eastAsia="仿宋_GB2312" w:cs="仿宋_GB2312"/>
          <w:color w:val="auto"/>
          <w:sz w:val="32"/>
          <w:szCs w:val="32"/>
          <w:highlight w:val="none"/>
          <w:vertAlign w:val="subscript"/>
          <w:lang w:eastAsia="zh-CN"/>
        </w:rPr>
        <w:t>2</w:t>
      </w:r>
      <w:r>
        <w:rPr>
          <w:rFonts w:hint="eastAsia" w:ascii="仿宋_GB2312" w:hAnsi="仿宋_GB2312" w:eastAsia="仿宋_GB2312" w:cs="仿宋_GB2312"/>
          <w:color w:val="auto"/>
          <w:sz w:val="32"/>
          <w:szCs w:val="32"/>
          <w:highlight w:val="none"/>
        </w:rPr>
        <w:t>浓度跳变</w:t>
      </w:r>
      <w:r>
        <w:rPr>
          <w:rFonts w:hint="eastAsia" w:ascii="仿宋_GB2312" w:hAnsi="仿宋_GB2312" w:eastAsia="仿宋_GB2312" w:cs="仿宋_GB2312"/>
          <w:color w:val="auto"/>
          <w:sz w:val="32"/>
          <w:szCs w:val="32"/>
          <w:highlight w:val="none"/>
          <w:lang w:val="en-US" w:eastAsia="zh-CN"/>
        </w:rPr>
        <w:t>问题</w:t>
      </w:r>
      <w:r>
        <w:rPr>
          <w:rFonts w:hint="eastAsia" w:ascii="仿宋_GB2312" w:hAnsi="仿宋_GB2312" w:eastAsia="仿宋_GB2312" w:cs="仿宋_GB2312"/>
          <w:color w:val="auto"/>
          <w:sz w:val="32"/>
          <w:szCs w:val="32"/>
          <w:highlight w:val="none"/>
        </w:rPr>
        <w:t>（偏差超2ppm）。202</w:t>
      </w:r>
      <w:r>
        <w:rPr>
          <w:rFonts w:hint="eastAsia" w:ascii="仿宋_GB2312" w:hAnsi="仿宋_GB2312" w:eastAsia="仿宋_GB2312" w:cs="仿宋_GB2312"/>
          <w:color w:val="auto"/>
          <w:sz w:val="32"/>
          <w:szCs w:val="32"/>
          <w:highlight w:val="none"/>
          <w:lang w:val="en-US" w:eastAsia="zh-CN"/>
        </w:rPr>
        <w:t>3</w:t>
      </w:r>
      <w:r>
        <w:rPr>
          <w:rFonts w:hint="eastAsia" w:ascii="仿宋_GB2312" w:hAnsi="仿宋_GB2312" w:eastAsia="仿宋_GB2312" w:cs="仿宋_GB2312"/>
          <w:color w:val="auto"/>
          <w:sz w:val="32"/>
          <w:szCs w:val="32"/>
          <w:highlight w:val="none"/>
        </w:rPr>
        <w:t>年7月起，按标准要求升级观测系统</w:t>
      </w:r>
      <w:r>
        <w:rPr>
          <w:rFonts w:hint="eastAsia" w:ascii="仿宋_GB2312" w:hAnsi="仿宋_GB2312" w:eastAsia="仿宋_GB2312" w:cs="仿宋_GB2312"/>
          <w:color w:val="auto"/>
          <w:sz w:val="32"/>
          <w:szCs w:val="32"/>
          <w:highlight w:val="none"/>
          <w:lang w:eastAsia="zh-CN"/>
        </w:rPr>
        <w:t>，</w:t>
      </w:r>
      <w:r>
        <w:rPr>
          <w:rFonts w:hint="eastAsia" w:ascii="仿宋_GB2312" w:hAnsi="仿宋_GB2312" w:eastAsia="仿宋_GB2312" w:cs="仿宋_GB2312"/>
          <w:color w:val="auto"/>
          <w:sz w:val="32"/>
          <w:szCs w:val="32"/>
          <w:highlight w:val="none"/>
        </w:rPr>
        <w:t>在样气采集单元加装半导体除湿装置（将水汽浓度控制在35×10</w:t>
      </w:r>
      <w:r>
        <w:rPr>
          <w:rFonts w:hint="eastAsia" w:ascii="仿宋_GB2312" w:hAnsi="仿宋_GB2312" w:eastAsia="仿宋_GB2312" w:cs="仿宋_GB2312"/>
          <w:color w:val="auto"/>
          <w:sz w:val="32"/>
          <w:szCs w:val="32"/>
          <w:highlight w:val="none"/>
          <w:vertAlign w:val="superscript"/>
          <w:lang w:val="en-US" w:eastAsia="zh-CN"/>
        </w:rPr>
        <w:t>-6</w:t>
      </w:r>
      <w:r>
        <w:rPr>
          <w:rFonts w:hint="eastAsia" w:ascii="仿宋_GB2312" w:hAnsi="仿宋_GB2312" w:eastAsia="仿宋_GB2312" w:cs="仿宋_GB2312"/>
          <w:color w:val="auto"/>
          <w:sz w:val="32"/>
          <w:szCs w:val="32"/>
          <w:highlight w:val="none"/>
        </w:rPr>
        <w:t>mol/mol以下），主机单元采用恒温舱（温度波动±0.3℃）、高精度压力传感器（波动±0.08kPa）。升级后，连续1个月监测数据显示，CO</w:t>
      </w:r>
      <w:r>
        <w:rPr>
          <w:rFonts w:hint="eastAsia" w:ascii="仿宋_GB2312" w:hAnsi="仿宋_GB2312" w:eastAsia="仿宋_GB2312" w:cs="仿宋_GB2312"/>
          <w:color w:val="auto"/>
          <w:sz w:val="32"/>
          <w:szCs w:val="32"/>
          <w:highlight w:val="none"/>
          <w:vertAlign w:val="subscript"/>
          <w:lang w:eastAsia="zh-CN"/>
        </w:rPr>
        <w:t>2</w:t>
      </w:r>
      <w:r>
        <w:rPr>
          <w:rFonts w:hint="eastAsia" w:ascii="仿宋_GB2312" w:hAnsi="仿宋_GB2312" w:eastAsia="仿宋_GB2312" w:cs="仿宋_GB2312"/>
          <w:color w:val="auto"/>
          <w:sz w:val="32"/>
          <w:szCs w:val="32"/>
          <w:highlight w:val="none"/>
        </w:rPr>
        <w:t>5min平均精度稳定在≤0.08ppm，CH</w:t>
      </w:r>
      <w:r>
        <w:rPr>
          <w:rFonts w:hint="eastAsia" w:ascii="仿宋_GB2312" w:hAnsi="仿宋_GB2312" w:eastAsia="仿宋_GB2312" w:cs="仿宋_GB2312"/>
          <w:color w:val="auto"/>
          <w:sz w:val="32"/>
          <w:szCs w:val="32"/>
          <w:highlight w:val="none"/>
          <w:vertAlign w:val="subscript"/>
          <w:lang w:eastAsia="zh-CN"/>
        </w:rPr>
        <w:t>4</w:t>
      </w:r>
      <w:r>
        <w:rPr>
          <w:rFonts w:hint="eastAsia" w:ascii="仿宋_GB2312" w:hAnsi="仿宋_GB2312" w:eastAsia="仿宋_GB2312" w:cs="仿宋_GB2312"/>
          <w:color w:val="auto"/>
          <w:sz w:val="32"/>
          <w:szCs w:val="32"/>
          <w:highlight w:val="none"/>
        </w:rPr>
        <w:t>≤0.2ppb，N</w:t>
      </w:r>
      <w:r>
        <w:rPr>
          <w:rFonts w:hint="eastAsia" w:ascii="仿宋_GB2312" w:hAnsi="仿宋_GB2312" w:eastAsia="仿宋_GB2312" w:cs="仿宋_GB2312"/>
          <w:color w:val="auto"/>
          <w:sz w:val="32"/>
          <w:szCs w:val="32"/>
          <w:highlight w:val="none"/>
          <w:vertAlign w:val="subscript"/>
          <w:lang w:eastAsia="zh-CN"/>
        </w:rPr>
        <w:t>2</w:t>
      </w:r>
      <w:r>
        <w:rPr>
          <w:rFonts w:hint="eastAsia" w:ascii="仿宋_GB2312" w:hAnsi="仿宋_GB2312" w:eastAsia="仿宋_GB2312" w:cs="仿宋_GB2312"/>
          <w:color w:val="auto"/>
          <w:sz w:val="32"/>
          <w:szCs w:val="32"/>
          <w:highlight w:val="none"/>
        </w:rPr>
        <w:t>O≤0.05ppb，完全符合标准高精度系统要求；即使在台风“泰利”影响期间（湿度骤升至2%），数据漂移仍控制在±0.15ppm，远低于标准限值，证实了标准测量方法与观测系统设计对复杂气候条件的适应性。</w:t>
      </w:r>
    </w:p>
    <w:p w14:paraId="686267FF">
      <w:pPr>
        <w:tabs>
          <w:tab w:val="left" w:pos="720"/>
        </w:tabs>
        <w:spacing w:line="560" w:lineRule="exact"/>
        <w:ind w:firstLine="640" w:firstLineChars="200"/>
        <w:rPr>
          <w:rFonts w:hint="eastAsia" w:ascii="仿宋_GB2312" w:hAnsi="仿宋_GB2312" w:eastAsia="仿宋_GB2312" w:cs="仿宋_GB2312"/>
          <w:color w:val="auto"/>
          <w:sz w:val="32"/>
          <w:szCs w:val="32"/>
          <w:highlight w:val="none"/>
        </w:rPr>
      </w:pPr>
      <w:r>
        <w:rPr>
          <w:rFonts w:hint="eastAsia" w:ascii="仿宋_GB2312" w:hAnsi="仿宋_GB2312" w:eastAsia="仿宋_GB2312" w:cs="仿宋_GB2312"/>
          <w:color w:val="auto"/>
          <w:sz w:val="32"/>
          <w:szCs w:val="32"/>
          <w:highlight w:val="none"/>
        </w:rPr>
        <w:t>6.监测点位布设</w:t>
      </w:r>
    </w:p>
    <w:p w14:paraId="1AB5FBF5">
      <w:pPr>
        <w:tabs>
          <w:tab w:val="left" w:pos="720"/>
        </w:tabs>
        <w:spacing w:line="560" w:lineRule="exact"/>
        <w:ind w:firstLine="640" w:firstLineChars="200"/>
        <w:rPr>
          <w:rFonts w:hint="eastAsia" w:ascii="仿宋_GB2312" w:hAnsi="仿宋_GB2312" w:eastAsia="仿宋_GB2312" w:cs="仿宋_GB2312"/>
          <w:color w:val="auto"/>
          <w:sz w:val="32"/>
          <w:szCs w:val="32"/>
          <w:highlight w:val="none"/>
        </w:rPr>
      </w:pPr>
      <w:r>
        <w:rPr>
          <w:rFonts w:hint="eastAsia" w:ascii="仿宋_GB2312" w:hAnsi="仿宋_GB2312" w:eastAsia="仿宋_GB2312" w:cs="仿宋_GB2312"/>
          <w:color w:val="auto"/>
          <w:sz w:val="32"/>
          <w:szCs w:val="32"/>
          <w:highlight w:val="none"/>
        </w:rPr>
        <w:t>6.1布设原则</w:t>
      </w:r>
    </w:p>
    <w:p w14:paraId="28856E58">
      <w:pPr>
        <w:tabs>
          <w:tab w:val="left" w:pos="720"/>
        </w:tabs>
        <w:spacing w:line="560" w:lineRule="exact"/>
        <w:ind w:firstLine="640" w:firstLineChars="200"/>
        <w:rPr>
          <w:rFonts w:hint="eastAsia" w:ascii="仿宋_GB2312" w:hAnsi="仿宋_GB2312" w:eastAsia="仿宋_GB2312" w:cs="仿宋_GB2312"/>
          <w:color w:val="auto"/>
          <w:sz w:val="32"/>
          <w:szCs w:val="32"/>
          <w:highlight w:val="none"/>
        </w:rPr>
      </w:pPr>
      <w:r>
        <w:rPr>
          <w:rFonts w:hint="eastAsia" w:ascii="仿宋_GB2312" w:hAnsi="仿宋_GB2312" w:eastAsia="仿宋_GB2312" w:cs="仿宋_GB2312"/>
          <w:color w:val="auto"/>
          <w:sz w:val="32"/>
          <w:szCs w:val="32"/>
          <w:highlight w:val="none"/>
        </w:rPr>
        <w:t>主要内容</w:t>
      </w:r>
      <w:r>
        <w:rPr>
          <w:rFonts w:hint="eastAsia" w:ascii="仿宋_GB2312" w:hAnsi="仿宋_GB2312" w:eastAsia="仿宋_GB2312" w:cs="仿宋_GB2312"/>
          <w:color w:val="auto"/>
          <w:sz w:val="32"/>
          <w:szCs w:val="32"/>
          <w:highlight w:val="none"/>
          <w:lang w:val="en-US" w:eastAsia="zh-CN"/>
        </w:rPr>
        <w:t>为</w:t>
      </w:r>
      <w:r>
        <w:rPr>
          <w:rFonts w:hint="eastAsia" w:ascii="仿宋_GB2312" w:hAnsi="仿宋_GB2312" w:eastAsia="仿宋_GB2312" w:cs="仿宋_GB2312"/>
          <w:color w:val="auto"/>
          <w:sz w:val="32"/>
          <w:szCs w:val="32"/>
          <w:highlight w:val="none"/>
        </w:rPr>
        <w:t>提出代表性（覆盖不同功能区与排放源，避开局部污染源）、可比性（同类型点位条件一致）、整体性（结合地形、气象等整体规划）、前瞻性（预留点位适配发展）、可操作性（考虑可达性、电力通信）5项原则。</w:t>
      </w:r>
    </w:p>
    <w:p w14:paraId="2031CA66">
      <w:pPr>
        <w:tabs>
          <w:tab w:val="left" w:pos="720"/>
        </w:tabs>
        <w:spacing w:line="560" w:lineRule="exact"/>
        <w:ind w:firstLine="640" w:firstLineChars="200"/>
        <w:rPr>
          <w:rFonts w:hint="eastAsia" w:ascii="仿宋_GB2312" w:hAnsi="仿宋_GB2312" w:eastAsia="仿宋_GB2312" w:cs="仿宋_GB2312"/>
          <w:color w:val="auto"/>
          <w:sz w:val="32"/>
          <w:szCs w:val="32"/>
          <w:highlight w:val="none"/>
        </w:rPr>
      </w:pPr>
      <w:r>
        <w:rPr>
          <w:rFonts w:hint="eastAsia" w:ascii="仿宋_GB2312" w:hAnsi="仿宋_GB2312" w:eastAsia="仿宋_GB2312" w:cs="仿宋_GB2312"/>
          <w:color w:val="auto"/>
          <w:sz w:val="32"/>
          <w:szCs w:val="32"/>
          <w:highlight w:val="none"/>
        </w:rPr>
        <w:t>依据来源</w:t>
      </w:r>
      <w:r>
        <w:rPr>
          <w:rFonts w:hint="eastAsia" w:ascii="仿宋_GB2312" w:hAnsi="仿宋_GB2312" w:eastAsia="仿宋_GB2312" w:cs="仿宋_GB2312"/>
          <w:color w:val="auto"/>
          <w:sz w:val="32"/>
          <w:szCs w:val="32"/>
          <w:highlight w:val="none"/>
          <w:lang w:val="en-US" w:eastAsia="zh-CN"/>
        </w:rPr>
        <w:t>为</w:t>
      </w:r>
      <w:r>
        <w:rPr>
          <w:rFonts w:hint="eastAsia" w:ascii="仿宋_GB2312" w:hAnsi="仿宋_GB2312" w:eastAsia="仿宋_GB2312" w:cs="仿宋_GB2312"/>
          <w:color w:val="auto"/>
          <w:sz w:val="32"/>
          <w:szCs w:val="32"/>
          <w:highlight w:val="none"/>
        </w:rPr>
        <w:t>参考HJ664的点位布设核心原则，补充前瞻性与整体性原则，适配工业园区产业布局动态变化与全流程排放监测需求。</w:t>
      </w:r>
    </w:p>
    <w:p w14:paraId="7BF57C44">
      <w:pPr>
        <w:tabs>
          <w:tab w:val="left" w:pos="720"/>
        </w:tabs>
        <w:spacing w:line="240" w:lineRule="auto"/>
        <w:rPr>
          <w:rFonts w:hint="eastAsia" w:ascii="仿宋_GB2312" w:hAnsi="仿宋_GB2312" w:eastAsia="仿宋_GB2312" w:cs="仿宋_GB2312"/>
          <w:color w:val="auto"/>
          <w:sz w:val="32"/>
          <w:szCs w:val="32"/>
          <w:highlight w:val="none"/>
          <w:lang w:eastAsia="zh-CN"/>
        </w:rPr>
      </w:pPr>
      <w:r>
        <w:rPr>
          <w:rFonts w:hint="eastAsia" w:ascii="仿宋_GB2312" w:hAnsi="仿宋_GB2312" w:eastAsia="仿宋_GB2312" w:cs="仿宋_GB2312"/>
          <w:color w:val="auto"/>
          <w:sz w:val="32"/>
          <w:szCs w:val="32"/>
          <w:highlight w:val="none"/>
          <w:lang w:eastAsia="zh-CN"/>
        </w:rPr>
        <w:drawing>
          <wp:inline distT="0" distB="0" distL="114300" distR="114300">
            <wp:extent cx="5272405" cy="4643755"/>
            <wp:effectExtent l="0" t="0" r="4445" b="4445"/>
            <wp:docPr id="21" name="图片 21" descr="3afc75d9-916d-460d-b4d4-2d13d38045a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descr="3afc75d9-916d-460d-b4d4-2d13d38045a4"/>
                    <pic:cNvPicPr>
                      <a:picLocks noChangeAspect="1"/>
                    </pic:cNvPicPr>
                  </pic:nvPicPr>
                  <pic:blipFill>
                    <a:blip r:embed="rId12"/>
                    <a:stretch>
                      <a:fillRect/>
                    </a:stretch>
                  </pic:blipFill>
                  <pic:spPr>
                    <a:xfrm>
                      <a:off x="0" y="0"/>
                      <a:ext cx="5272405" cy="4643755"/>
                    </a:xfrm>
                    <a:prstGeom prst="rect">
                      <a:avLst/>
                    </a:prstGeom>
                  </pic:spPr>
                </pic:pic>
              </a:graphicData>
            </a:graphic>
          </wp:inline>
        </w:drawing>
      </w:r>
    </w:p>
    <w:p w14:paraId="5A1BD3EF">
      <w:pPr>
        <w:tabs>
          <w:tab w:val="left" w:pos="720"/>
        </w:tabs>
        <w:spacing w:line="560" w:lineRule="exact"/>
        <w:jc w:val="center"/>
        <w:rPr>
          <w:rFonts w:hint="eastAsia" w:ascii="仿宋_GB2312" w:hAnsi="仿宋_GB2312" w:eastAsia="仿宋_GB2312" w:cs="仿宋_GB2312"/>
          <w:color w:val="auto"/>
          <w:sz w:val="32"/>
          <w:szCs w:val="32"/>
          <w:highlight w:val="none"/>
        </w:rPr>
      </w:pPr>
      <w:r>
        <w:rPr>
          <w:rFonts w:hint="eastAsia" w:ascii="仿宋_GB2312" w:hAnsi="仿宋_GB2312" w:eastAsia="仿宋_GB2312" w:cs="仿宋_GB2312"/>
          <w:color w:val="auto"/>
          <w:sz w:val="32"/>
          <w:szCs w:val="32"/>
          <w:highlight w:val="none"/>
          <w:lang w:val="en-US" w:eastAsia="zh-CN"/>
        </w:rPr>
        <w:t>来源：</w:t>
      </w:r>
      <w:r>
        <w:rPr>
          <w:rFonts w:hint="eastAsia" w:ascii="仿宋_GB2312" w:hAnsi="仿宋_GB2312" w:eastAsia="仿宋_GB2312" w:cs="仿宋_GB2312"/>
          <w:color w:val="auto"/>
          <w:sz w:val="32"/>
          <w:szCs w:val="32"/>
          <w:highlight w:val="none"/>
        </w:rPr>
        <w:t>《环境空气质量监测点位布设技术规范（试行）》（HJ664-2013）</w:t>
      </w:r>
    </w:p>
    <w:p w14:paraId="048629E1">
      <w:pPr>
        <w:tabs>
          <w:tab w:val="left" w:pos="720"/>
        </w:tabs>
        <w:spacing w:line="560" w:lineRule="exact"/>
        <w:ind w:firstLine="640" w:firstLineChars="200"/>
        <w:rPr>
          <w:rFonts w:hint="eastAsia" w:ascii="仿宋_GB2312" w:hAnsi="仿宋_GB2312" w:eastAsia="仿宋_GB2312" w:cs="仿宋_GB2312"/>
          <w:color w:val="auto"/>
          <w:sz w:val="32"/>
          <w:szCs w:val="32"/>
          <w:highlight w:val="none"/>
        </w:rPr>
      </w:pPr>
      <w:r>
        <w:rPr>
          <w:rFonts w:hint="eastAsia" w:ascii="仿宋_GB2312" w:hAnsi="仿宋_GB2312" w:eastAsia="仿宋_GB2312" w:cs="仿宋_GB2312"/>
          <w:color w:val="auto"/>
          <w:sz w:val="32"/>
          <w:szCs w:val="32"/>
          <w:highlight w:val="none"/>
        </w:rPr>
        <w:t>6.2点位类型及设置</w:t>
      </w:r>
    </w:p>
    <w:p w14:paraId="795A0A35">
      <w:pPr>
        <w:tabs>
          <w:tab w:val="left" w:pos="720"/>
        </w:tabs>
        <w:spacing w:line="560" w:lineRule="exact"/>
        <w:ind w:firstLine="640" w:firstLineChars="200"/>
        <w:rPr>
          <w:rFonts w:hint="eastAsia" w:ascii="仿宋_GB2312" w:hAnsi="仿宋_GB2312" w:eastAsia="仿宋_GB2312" w:cs="仿宋_GB2312"/>
          <w:color w:val="auto"/>
          <w:sz w:val="32"/>
          <w:szCs w:val="32"/>
          <w:highlight w:val="none"/>
        </w:rPr>
      </w:pPr>
      <w:r>
        <w:rPr>
          <w:rFonts w:hint="eastAsia" w:ascii="仿宋_GB2312" w:hAnsi="仿宋_GB2312" w:eastAsia="仿宋_GB2312" w:cs="仿宋_GB2312"/>
          <w:color w:val="auto"/>
          <w:sz w:val="32"/>
          <w:szCs w:val="32"/>
          <w:highlight w:val="none"/>
        </w:rPr>
        <w:t>主要内容</w:t>
      </w:r>
      <w:r>
        <w:rPr>
          <w:rFonts w:hint="eastAsia" w:ascii="仿宋_GB2312" w:hAnsi="仿宋_GB2312" w:eastAsia="仿宋_GB2312" w:cs="仿宋_GB2312"/>
          <w:color w:val="auto"/>
          <w:sz w:val="32"/>
          <w:szCs w:val="32"/>
          <w:highlight w:val="none"/>
          <w:lang w:val="en-US" w:eastAsia="zh-CN"/>
        </w:rPr>
        <w:t>为</w:t>
      </w:r>
      <w:r>
        <w:rPr>
          <w:rFonts w:hint="eastAsia" w:ascii="仿宋_GB2312" w:hAnsi="仿宋_GB2312" w:eastAsia="仿宋_GB2312" w:cs="仿宋_GB2312"/>
          <w:color w:val="auto"/>
          <w:sz w:val="32"/>
          <w:szCs w:val="32"/>
          <w:highlight w:val="none"/>
        </w:rPr>
        <w:t>本底点位（主导风向上风向，距园区边界≥5km，无本地排放源）、排放点位（大型企业集中区每1km</w:t>
      </w:r>
      <w:r>
        <w:rPr>
          <w:rFonts w:hint="eastAsia" w:ascii="仿宋_GB2312" w:hAnsi="仿宋_GB2312" w:eastAsia="仿宋_GB2312" w:cs="仿宋_GB2312"/>
          <w:color w:val="auto"/>
          <w:sz w:val="32"/>
          <w:szCs w:val="32"/>
          <w:highlight w:val="none"/>
          <w:vertAlign w:val="superscript"/>
          <w:lang w:val="en-US" w:eastAsia="zh-CN"/>
        </w:rPr>
        <w:t>2</w:t>
      </w:r>
      <w:r>
        <w:rPr>
          <w:rFonts w:hint="eastAsia" w:ascii="仿宋_GB2312" w:hAnsi="仿宋_GB2312" w:eastAsia="仿宋_GB2312" w:cs="仿宋_GB2312"/>
          <w:color w:val="auto"/>
          <w:sz w:val="32"/>
          <w:szCs w:val="32"/>
          <w:highlight w:val="none"/>
        </w:rPr>
        <w:t>≥1个，单个排放源厂界上风侧≥200m、下风侧设点）、边界点位（边界外50-100m，间隔1-3km，开阔无遮挡）。</w:t>
      </w:r>
    </w:p>
    <w:p w14:paraId="11F46CFF">
      <w:pPr>
        <w:tabs>
          <w:tab w:val="left" w:pos="720"/>
        </w:tabs>
        <w:spacing w:line="560" w:lineRule="exact"/>
        <w:ind w:firstLine="640" w:firstLineChars="200"/>
        <w:rPr>
          <w:rFonts w:hint="eastAsia" w:ascii="仿宋_GB2312" w:hAnsi="仿宋_GB2312" w:eastAsia="仿宋_GB2312" w:cs="仿宋_GB2312"/>
          <w:color w:val="auto"/>
          <w:sz w:val="32"/>
          <w:szCs w:val="32"/>
          <w:highlight w:val="none"/>
        </w:rPr>
      </w:pPr>
      <w:r>
        <w:rPr>
          <w:rFonts w:hint="eastAsia" w:ascii="仿宋_GB2312" w:hAnsi="仿宋_GB2312" w:eastAsia="仿宋_GB2312" w:cs="仿宋_GB2312"/>
          <w:color w:val="auto"/>
          <w:sz w:val="32"/>
          <w:szCs w:val="32"/>
          <w:highlight w:val="none"/>
        </w:rPr>
        <w:t>依据来源</w:t>
      </w:r>
      <w:r>
        <w:rPr>
          <w:rFonts w:hint="eastAsia" w:ascii="仿宋_GB2312" w:hAnsi="仿宋_GB2312" w:eastAsia="仿宋_GB2312" w:cs="仿宋_GB2312"/>
          <w:color w:val="auto"/>
          <w:sz w:val="32"/>
          <w:szCs w:val="32"/>
          <w:highlight w:val="none"/>
          <w:lang w:val="en-US" w:eastAsia="zh-CN"/>
        </w:rPr>
        <w:t>为</w:t>
      </w:r>
      <w:r>
        <w:rPr>
          <w:rFonts w:hint="eastAsia" w:ascii="仿宋_GB2312" w:hAnsi="仿宋_GB2312" w:eastAsia="仿宋_GB2312" w:cs="仿宋_GB2312"/>
          <w:color w:val="auto"/>
          <w:sz w:val="32"/>
          <w:szCs w:val="32"/>
          <w:highlight w:val="none"/>
        </w:rPr>
        <w:t>结合工业园区“源—场—界”的监测逻辑设计点位类型，本底点位距离要求参考QX/T174对大气本底站的选址距离，排放点位密度结合广西钢铁集团等大型园区的排放强度设定。</w:t>
      </w:r>
    </w:p>
    <w:p w14:paraId="04658B4C">
      <w:pPr>
        <w:tabs>
          <w:tab w:val="left" w:pos="720"/>
        </w:tabs>
        <w:spacing w:line="240" w:lineRule="auto"/>
        <w:ind w:firstLine="640" w:firstLineChars="200"/>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drawing>
          <wp:inline distT="0" distB="0" distL="114300" distR="114300">
            <wp:extent cx="4498340" cy="2295525"/>
            <wp:effectExtent l="0" t="0" r="0" b="0"/>
            <wp:docPr id="22" name="图片 22" descr="7a3526b1-67dd-452f-8912-b8704412f32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descr="7a3526b1-67dd-452f-8912-b8704412f32c"/>
                    <pic:cNvPicPr>
                      <a:picLocks noChangeAspect="1"/>
                    </pic:cNvPicPr>
                  </pic:nvPicPr>
                  <pic:blipFill>
                    <a:blip r:embed="rId13"/>
                    <a:srcRect l="784"/>
                    <a:stretch>
                      <a:fillRect/>
                    </a:stretch>
                  </pic:blipFill>
                  <pic:spPr>
                    <a:xfrm>
                      <a:off x="0" y="0"/>
                      <a:ext cx="4498340" cy="2295525"/>
                    </a:xfrm>
                    <a:prstGeom prst="rect">
                      <a:avLst/>
                    </a:prstGeom>
                  </pic:spPr>
                </pic:pic>
              </a:graphicData>
            </a:graphic>
          </wp:inline>
        </w:drawing>
      </w:r>
    </w:p>
    <w:p w14:paraId="29703AB4">
      <w:pPr>
        <w:tabs>
          <w:tab w:val="left" w:pos="720"/>
        </w:tabs>
        <w:spacing w:line="560" w:lineRule="exact"/>
        <w:ind w:firstLine="640" w:firstLineChars="200"/>
        <w:rPr>
          <w:rFonts w:hint="eastAsia" w:ascii="仿宋_GB2312" w:hAnsi="仿宋_GB2312" w:eastAsia="仿宋_GB2312" w:cs="仿宋_GB2312"/>
          <w:color w:val="auto"/>
          <w:sz w:val="32"/>
          <w:szCs w:val="32"/>
          <w:highlight w:val="none"/>
        </w:rPr>
      </w:pPr>
      <w:r>
        <w:rPr>
          <w:rFonts w:hint="eastAsia" w:ascii="仿宋_GB2312" w:hAnsi="仿宋_GB2312" w:eastAsia="仿宋_GB2312" w:cs="仿宋_GB2312"/>
          <w:color w:val="auto"/>
          <w:sz w:val="32"/>
          <w:szCs w:val="32"/>
          <w:highlight w:val="none"/>
          <w:lang w:val="en-US" w:eastAsia="zh-CN"/>
        </w:rPr>
        <w:t>来源：</w:t>
      </w:r>
      <w:r>
        <w:rPr>
          <w:rFonts w:hint="eastAsia" w:ascii="仿宋_GB2312" w:hAnsi="仿宋_GB2312" w:eastAsia="仿宋_GB2312" w:cs="仿宋_GB2312"/>
          <w:color w:val="auto"/>
          <w:sz w:val="32"/>
          <w:szCs w:val="32"/>
          <w:highlight w:val="none"/>
        </w:rPr>
        <w:t>《大气成分站选址要求》（QX/T 174-2012）</w:t>
      </w:r>
    </w:p>
    <w:p w14:paraId="25C73CA0">
      <w:pPr>
        <w:tabs>
          <w:tab w:val="left" w:pos="720"/>
        </w:tabs>
        <w:spacing w:line="560" w:lineRule="exact"/>
        <w:ind w:firstLine="640" w:firstLineChars="200"/>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本章节创新地结合工业园区的地形地貌、排放源分布、气象条件等复杂因素，对监测点位类型及设置进行科学规划。在本底点位设置上，精准规定设置在园区主导风向上风向，距园区边界至少5km，周边无本地排放源，确保获取准确的区域大气本底浓度，为园区排放贡献量核算提供可靠基准。排放点位设置则根据企业规模与排放源特点，在大型企业集中区域每1km</w:t>
      </w:r>
      <w:r>
        <w:rPr>
          <w:rFonts w:hint="eastAsia" w:ascii="仿宋_GB2312" w:hAnsi="仿宋_GB2312" w:eastAsia="仿宋_GB2312" w:cs="仿宋_GB2312"/>
          <w:color w:val="auto"/>
          <w:sz w:val="32"/>
          <w:szCs w:val="32"/>
          <w:highlight w:val="none"/>
          <w:vertAlign w:val="superscript"/>
          <w:lang w:val="en-US" w:eastAsia="zh-CN"/>
        </w:rPr>
        <w:t>2</w:t>
      </w:r>
      <w:r>
        <w:rPr>
          <w:rFonts w:hint="eastAsia" w:ascii="仿宋_GB2312" w:hAnsi="仿宋_GB2312" w:eastAsia="仿宋_GB2312" w:cs="仿宋_GB2312"/>
          <w:color w:val="auto"/>
          <w:sz w:val="32"/>
          <w:szCs w:val="32"/>
          <w:highlight w:val="none"/>
          <w:lang w:val="en-US" w:eastAsia="zh-CN"/>
        </w:rPr>
        <w:t>至少1个，单个大型排放源厂界上风侧≥200m、下风侧设点，极大提高对排放源的监测精准度。边界点位设置在园区边界外50-100m，间隔1-3km，位于开阔地带无遮挡，有效监测园区对周边环境的影响。针对工业园区特点的点位布设创新方法，相比传统标准更贴合园区实际监测需求，能更全面、精准地捕捉园区温室气体排放特征。</w:t>
      </w:r>
    </w:p>
    <w:p w14:paraId="6F26B911">
      <w:pPr>
        <w:tabs>
          <w:tab w:val="left" w:pos="720"/>
        </w:tabs>
        <w:spacing w:line="560" w:lineRule="exact"/>
        <w:ind w:firstLine="640" w:firstLineChars="200"/>
        <w:rPr>
          <w:rFonts w:hint="eastAsia" w:ascii="仿宋_GB2312" w:hAnsi="仿宋_GB2312" w:eastAsia="仿宋_GB2312" w:cs="仿宋_GB2312"/>
          <w:color w:val="auto"/>
          <w:sz w:val="32"/>
          <w:szCs w:val="32"/>
          <w:highlight w:val="none"/>
        </w:rPr>
      </w:pPr>
      <w:r>
        <w:rPr>
          <w:rFonts w:hint="eastAsia" w:ascii="仿宋_GB2312" w:hAnsi="仿宋_GB2312" w:eastAsia="仿宋_GB2312" w:cs="仿宋_GB2312"/>
          <w:color w:val="auto"/>
          <w:sz w:val="32"/>
          <w:szCs w:val="32"/>
          <w:highlight w:val="none"/>
          <w:lang w:val="en-US" w:eastAsia="zh-CN"/>
        </w:rPr>
        <w:t>案例三：</w:t>
      </w:r>
      <w:r>
        <w:rPr>
          <w:rFonts w:hint="eastAsia" w:ascii="仿宋_GB2312" w:hAnsi="仿宋_GB2312" w:eastAsia="仿宋_GB2312" w:cs="仿宋_GB2312"/>
          <w:color w:val="auto"/>
          <w:sz w:val="32"/>
          <w:szCs w:val="32"/>
          <w:highlight w:val="none"/>
        </w:rPr>
        <w:t>广西钢铁工业园区点位布设与应用</w:t>
      </w:r>
    </w:p>
    <w:p w14:paraId="0C84A37D">
      <w:pPr>
        <w:tabs>
          <w:tab w:val="left" w:pos="720"/>
        </w:tabs>
        <w:spacing w:line="560" w:lineRule="exact"/>
        <w:ind w:firstLine="640" w:firstLineChars="200"/>
        <w:rPr>
          <w:rFonts w:hint="eastAsia" w:ascii="仿宋_GB2312" w:hAnsi="仿宋_GB2312" w:eastAsia="仿宋_GB2312" w:cs="仿宋_GB2312"/>
          <w:color w:val="auto"/>
          <w:sz w:val="32"/>
          <w:szCs w:val="32"/>
          <w:highlight w:val="none"/>
        </w:rPr>
      </w:pPr>
      <w:r>
        <w:rPr>
          <w:rFonts w:hint="eastAsia" w:ascii="仿宋_GB2312" w:hAnsi="仿宋_GB2312" w:eastAsia="仿宋_GB2312" w:cs="仿宋_GB2312"/>
          <w:color w:val="auto"/>
          <w:sz w:val="32"/>
          <w:szCs w:val="32"/>
          <w:highlight w:val="none"/>
        </w:rPr>
        <w:t>该园区按标准要求布设3类点位：本底点位位于园区主导风向上风向6km的农田区域，周边无工业源，监测到区域CO</w:t>
      </w:r>
      <w:r>
        <w:rPr>
          <w:rFonts w:hint="eastAsia" w:ascii="仿宋_GB2312" w:hAnsi="仿宋_GB2312" w:eastAsia="仿宋_GB2312" w:cs="仿宋_GB2312"/>
          <w:color w:val="auto"/>
          <w:sz w:val="32"/>
          <w:szCs w:val="32"/>
          <w:highlight w:val="none"/>
          <w:vertAlign w:val="subscript"/>
          <w:lang w:eastAsia="zh-CN"/>
        </w:rPr>
        <w:t>2</w:t>
      </w:r>
      <w:r>
        <w:rPr>
          <w:rFonts w:hint="eastAsia" w:ascii="仿宋_GB2312" w:hAnsi="仿宋_GB2312" w:eastAsia="仿宋_GB2312" w:cs="仿宋_GB2312"/>
          <w:color w:val="auto"/>
          <w:sz w:val="32"/>
          <w:szCs w:val="32"/>
          <w:highlight w:val="none"/>
        </w:rPr>
        <w:t>本底浓度稳定在410-415ppm，为园区排放贡献量核算提供基准值；排放点位在8km</w:t>
      </w:r>
      <w:r>
        <w:rPr>
          <w:rFonts w:hint="eastAsia" w:ascii="仿宋_GB2312" w:hAnsi="仿宋_GB2312" w:eastAsia="仿宋_GB2312" w:cs="仿宋_GB2312"/>
          <w:color w:val="auto"/>
          <w:sz w:val="32"/>
          <w:szCs w:val="32"/>
          <w:highlight w:val="none"/>
          <w:vertAlign w:val="superscript"/>
          <w:lang w:val="en-US" w:eastAsia="zh-CN"/>
        </w:rPr>
        <w:t>2</w:t>
      </w:r>
      <w:r>
        <w:rPr>
          <w:rFonts w:hint="eastAsia" w:ascii="仿宋_GB2312" w:hAnsi="仿宋_GB2312" w:eastAsia="仿宋_GB2312" w:cs="仿宋_GB2312"/>
          <w:color w:val="auto"/>
          <w:sz w:val="32"/>
          <w:szCs w:val="32"/>
          <w:highlight w:val="none"/>
        </w:rPr>
        <w:t>园区内布设8个点位，其中高炉周边点位监测到CO</w:t>
      </w:r>
      <w:r>
        <w:rPr>
          <w:rFonts w:hint="eastAsia" w:ascii="仿宋_GB2312" w:hAnsi="仿宋_GB2312" w:eastAsia="仿宋_GB2312" w:cs="仿宋_GB2312"/>
          <w:color w:val="auto"/>
          <w:sz w:val="32"/>
          <w:szCs w:val="32"/>
          <w:highlight w:val="none"/>
          <w:vertAlign w:val="subscript"/>
          <w:lang w:eastAsia="zh-CN"/>
        </w:rPr>
        <w:t>2</w:t>
      </w:r>
      <w:r>
        <w:rPr>
          <w:rFonts w:hint="eastAsia" w:ascii="仿宋_GB2312" w:hAnsi="仿宋_GB2312" w:eastAsia="仿宋_GB2312" w:cs="仿宋_GB2312"/>
          <w:color w:val="auto"/>
          <w:sz w:val="32"/>
          <w:szCs w:val="32"/>
          <w:highlight w:val="none"/>
        </w:rPr>
        <w:t>浓度最高达850ppm（生产高峰期），远高于本底值，精准定位高炉为核心排放源；边界点位沿园区4km周长布设4个点位（间隔1km），其中下风侧边界点位CO</w:t>
      </w:r>
      <w:r>
        <w:rPr>
          <w:rFonts w:hint="eastAsia" w:ascii="仿宋_GB2312" w:hAnsi="仿宋_GB2312" w:eastAsia="仿宋_GB2312" w:cs="仿宋_GB2312"/>
          <w:color w:val="auto"/>
          <w:sz w:val="32"/>
          <w:szCs w:val="32"/>
          <w:highlight w:val="none"/>
          <w:vertAlign w:val="subscript"/>
          <w:lang w:eastAsia="zh-CN"/>
        </w:rPr>
        <w:t>2</w:t>
      </w:r>
      <w:r>
        <w:rPr>
          <w:rFonts w:hint="eastAsia" w:ascii="仿宋_GB2312" w:hAnsi="仿宋_GB2312" w:eastAsia="仿宋_GB2312" w:cs="仿宋_GB2312"/>
          <w:color w:val="auto"/>
          <w:sz w:val="32"/>
          <w:szCs w:val="32"/>
          <w:highlight w:val="none"/>
        </w:rPr>
        <w:t>浓度平均430ppm，上风侧边界点位与本底值接近（412ppm），证实园区对下风侧区域存在排放影响。基于这些点位数据，园区制定“高炉富氧喷煤改造”措施，实施后高炉周边排放点位CO</w:t>
      </w:r>
      <w:r>
        <w:rPr>
          <w:rFonts w:hint="eastAsia" w:ascii="仿宋_GB2312" w:hAnsi="仿宋_GB2312" w:eastAsia="仿宋_GB2312" w:cs="仿宋_GB2312"/>
          <w:color w:val="auto"/>
          <w:sz w:val="32"/>
          <w:szCs w:val="32"/>
          <w:highlight w:val="none"/>
          <w:vertAlign w:val="subscript"/>
          <w:lang w:eastAsia="zh-CN"/>
        </w:rPr>
        <w:t>2</w:t>
      </w:r>
      <w:r>
        <w:rPr>
          <w:rFonts w:hint="eastAsia" w:ascii="仿宋_GB2312" w:hAnsi="仿宋_GB2312" w:eastAsia="仿宋_GB2312" w:cs="仿宋_GB2312"/>
          <w:color w:val="auto"/>
          <w:sz w:val="32"/>
          <w:szCs w:val="32"/>
          <w:highlight w:val="none"/>
        </w:rPr>
        <w:t>浓度降至780ppm，边界下风侧点位降至422ppm，减排效果显著，体现了标准点位布设的科学性与实用性。</w:t>
      </w:r>
    </w:p>
    <w:p w14:paraId="109562A4">
      <w:pPr>
        <w:tabs>
          <w:tab w:val="left" w:pos="720"/>
        </w:tabs>
        <w:spacing w:line="560" w:lineRule="exact"/>
        <w:ind w:firstLine="640" w:firstLineChars="200"/>
        <w:rPr>
          <w:rFonts w:hint="eastAsia" w:ascii="仿宋_GB2312" w:hAnsi="仿宋_GB2312" w:eastAsia="仿宋_GB2312" w:cs="仿宋_GB2312"/>
          <w:color w:val="auto"/>
          <w:sz w:val="32"/>
          <w:szCs w:val="32"/>
          <w:highlight w:val="none"/>
        </w:rPr>
      </w:pPr>
      <w:r>
        <w:rPr>
          <w:rFonts w:hint="eastAsia" w:ascii="仿宋_GB2312" w:hAnsi="仿宋_GB2312" w:eastAsia="仿宋_GB2312" w:cs="仿宋_GB2312"/>
          <w:color w:val="auto"/>
          <w:sz w:val="32"/>
          <w:szCs w:val="32"/>
          <w:highlight w:val="none"/>
        </w:rPr>
        <w:t>6.3点位确定流程</w:t>
      </w:r>
    </w:p>
    <w:p w14:paraId="21E2E63F">
      <w:pPr>
        <w:tabs>
          <w:tab w:val="left" w:pos="720"/>
        </w:tabs>
        <w:spacing w:line="560" w:lineRule="exact"/>
        <w:ind w:firstLine="640" w:firstLineChars="200"/>
        <w:rPr>
          <w:rFonts w:hint="eastAsia" w:ascii="仿宋_GB2312" w:hAnsi="仿宋_GB2312" w:eastAsia="仿宋_GB2312" w:cs="仿宋_GB2312"/>
          <w:color w:val="auto"/>
          <w:sz w:val="32"/>
          <w:szCs w:val="32"/>
          <w:highlight w:val="none"/>
        </w:rPr>
      </w:pPr>
      <w:r>
        <w:rPr>
          <w:rFonts w:hint="eastAsia" w:ascii="仿宋_GB2312" w:hAnsi="仿宋_GB2312" w:eastAsia="仿宋_GB2312" w:cs="仿宋_GB2312"/>
          <w:color w:val="auto"/>
          <w:sz w:val="32"/>
          <w:szCs w:val="32"/>
          <w:highlight w:val="none"/>
        </w:rPr>
        <w:t>主要内容</w:t>
      </w:r>
      <w:r>
        <w:rPr>
          <w:rFonts w:hint="eastAsia" w:ascii="仿宋_GB2312" w:hAnsi="仿宋_GB2312" w:eastAsia="仿宋_GB2312" w:cs="仿宋_GB2312"/>
          <w:color w:val="auto"/>
          <w:sz w:val="32"/>
          <w:szCs w:val="32"/>
          <w:highlight w:val="none"/>
          <w:lang w:val="en-US" w:eastAsia="zh-CN"/>
        </w:rPr>
        <w:t>为</w:t>
      </w:r>
      <w:r>
        <w:rPr>
          <w:rFonts w:hint="eastAsia" w:ascii="仿宋_GB2312" w:hAnsi="仿宋_GB2312" w:eastAsia="仿宋_GB2312" w:cs="仿宋_GB2312"/>
          <w:color w:val="auto"/>
          <w:sz w:val="32"/>
          <w:szCs w:val="32"/>
          <w:highlight w:val="none"/>
        </w:rPr>
        <w:t>资料收集（近5-10年气象、地理、排放源、现有监测、发展规划数据）、点位初选（GIS技术筛选备选点，数量≥2倍最终点数）、点位优化（数值模拟与统计分析评估敏感性、互补性）、点位确认（实地勘查可达性、电力通信、周边干扰、安全条件）。依据来源</w:t>
      </w:r>
      <w:r>
        <w:rPr>
          <w:rFonts w:hint="eastAsia" w:ascii="仿宋_GB2312" w:hAnsi="仿宋_GB2312" w:eastAsia="仿宋_GB2312" w:cs="仿宋_GB2312"/>
          <w:color w:val="auto"/>
          <w:sz w:val="32"/>
          <w:szCs w:val="32"/>
          <w:highlight w:val="none"/>
          <w:lang w:val="en-US" w:eastAsia="zh-CN"/>
        </w:rPr>
        <w:t>为</w:t>
      </w:r>
      <w:r>
        <w:rPr>
          <w:rFonts w:hint="eastAsia" w:ascii="仿宋_GB2312" w:hAnsi="仿宋_GB2312" w:eastAsia="仿宋_GB2312" w:cs="仿宋_GB2312"/>
          <w:color w:val="auto"/>
          <w:sz w:val="32"/>
          <w:szCs w:val="32"/>
          <w:highlight w:val="none"/>
        </w:rPr>
        <w:t>流程参考全球大气观测网点位确定方法，融入数值模拟与实地勘查结合的方式，确保点位科学可行。</w:t>
      </w:r>
    </w:p>
    <w:p w14:paraId="382BFA9B">
      <w:pPr>
        <w:tabs>
          <w:tab w:val="left" w:pos="720"/>
        </w:tabs>
        <w:spacing w:line="560" w:lineRule="exact"/>
        <w:ind w:firstLine="640" w:firstLineChars="200"/>
        <w:rPr>
          <w:rFonts w:hint="eastAsia" w:ascii="仿宋_GB2312" w:hAnsi="仿宋_GB2312" w:eastAsia="仿宋_GB2312" w:cs="仿宋_GB2312"/>
          <w:color w:val="auto"/>
          <w:sz w:val="32"/>
          <w:szCs w:val="32"/>
          <w:highlight w:val="none"/>
        </w:rPr>
      </w:pPr>
      <w:r>
        <w:rPr>
          <w:rFonts w:hint="eastAsia" w:ascii="仿宋_GB2312" w:hAnsi="仿宋_GB2312" w:eastAsia="仿宋_GB2312" w:cs="仿宋_GB2312"/>
          <w:color w:val="auto"/>
          <w:sz w:val="32"/>
          <w:szCs w:val="32"/>
          <w:highlight w:val="none"/>
        </w:rPr>
        <w:t>7.安装要求</w:t>
      </w:r>
    </w:p>
    <w:p w14:paraId="55E9BB76">
      <w:pPr>
        <w:tabs>
          <w:tab w:val="left" w:pos="720"/>
        </w:tabs>
        <w:spacing w:line="560" w:lineRule="exact"/>
        <w:ind w:firstLine="640" w:firstLineChars="200"/>
        <w:rPr>
          <w:rFonts w:hint="eastAsia" w:ascii="仿宋_GB2312" w:hAnsi="仿宋_GB2312" w:eastAsia="仿宋_GB2312" w:cs="仿宋_GB2312"/>
          <w:color w:val="auto"/>
          <w:sz w:val="32"/>
          <w:szCs w:val="32"/>
          <w:highlight w:val="none"/>
        </w:rPr>
      </w:pPr>
      <w:r>
        <w:rPr>
          <w:rFonts w:hint="eastAsia" w:ascii="仿宋_GB2312" w:hAnsi="仿宋_GB2312" w:eastAsia="仿宋_GB2312" w:cs="仿宋_GB2312"/>
          <w:color w:val="auto"/>
          <w:sz w:val="32"/>
          <w:szCs w:val="32"/>
          <w:highlight w:val="none"/>
        </w:rPr>
        <w:t>主要内容</w:t>
      </w:r>
      <w:r>
        <w:rPr>
          <w:rFonts w:hint="eastAsia" w:ascii="仿宋_GB2312" w:hAnsi="仿宋_GB2312" w:eastAsia="仿宋_GB2312" w:cs="仿宋_GB2312"/>
          <w:color w:val="auto"/>
          <w:sz w:val="32"/>
          <w:szCs w:val="32"/>
          <w:highlight w:val="none"/>
          <w:lang w:val="en-US" w:eastAsia="zh-CN"/>
        </w:rPr>
        <w:t>为</w:t>
      </w:r>
      <w:r>
        <w:rPr>
          <w:rFonts w:hint="eastAsia" w:ascii="仿宋_GB2312" w:hAnsi="仿宋_GB2312" w:eastAsia="仿宋_GB2312" w:cs="仿宋_GB2312"/>
          <w:color w:val="auto"/>
          <w:sz w:val="32"/>
          <w:szCs w:val="32"/>
          <w:highlight w:val="none"/>
        </w:rPr>
        <w:t>站址符合QX/T174；工作环境（干燥清洁无震动，电源带保护，接地电阻&lt;4Ω，电压波动±5%，UPS续航≥1小时，温度25±2℃，湿度≤60%，防雷通风）；样气采集单元（采样口高出冠层30m，管线少接头，备接管平行，过滤器防水防虫）、样气选择单元（管线无吸附，切换无交叉污染）、主机单元（预留10cm散热空间，进气前1-2μm过滤）、标气单元（固定通风，减压阀调压精度±0.1psi）、数据采集单元符合工作环境要求。</w:t>
      </w:r>
    </w:p>
    <w:p w14:paraId="2EE2F1DC">
      <w:pPr>
        <w:tabs>
          <w:tab w:val="left" w:pos="720"/>
        </w:tabs>
        <w:spacing w:line="560" w:lineRule="exact"/>
        <w:ind w:firstLine="640" w:firstLineChars="200"/>
        <w:rPr>
          <w:rFonts w:hint="eastAsia" w:ascii="仿宋_GB2312" w:hAnsi="仿宋_GB2312" w:eastAsia="仿宋_GB2312" w:cs="仿宋_GB2312"/>
          <w:color w:val="auto"/>
          <w:sz w:val="32"/>
          <w:szCs w:val="32"/>
          <w:highlight w:val="none"/>
        </w:rPr>
      </w:pPr>
      <w:r>
        <w:rPr>
          <w:rFonts w:hint="eastAsia" w:ascii="仿宋_GB2312" w:hAnsi="仿宋_GB2312" w:eastAsia="仿宋_GB2312" w:cs="仿宋_GB2312"/>
          <w:color w:val="auto"/>
          <w:sz w:val="32"/>
          <w:szCs w:val="32"/>
          <w:highlight w:val="none"/>
        </w:rPr>
        <w:t>依据来源</w:t>
      </w:r>
      <w:r>
        <w:rPr>
          <w:rFonts w:hint="eastAsia" w:ascii="仿宋_GB2312" w:hAnsi="仿宋_GB2312" w:eastAsia="仿宋_GB2312" w:cs="仿宋_GB2312"/>
          <w:color w:val="auto"/>
          <w:sz w:val="32"/>
          <w:szCs w:val="32"/>
          <w:highlight w:val="none"/>
          <w:lang w:val="en-US" w:eastAsia="zh-CN"/>
        </w:rPr>
        <w:t>为</w:t>
      </w:r>
      <w:r>
        <w:rPr>
          <w:rFonts w:hint="eastAsia" w:ascii="仿宋_GB2312" w:hAnsi="仿宋_GB2312" w:eastAsia="仿宋_GB2312" w:cs="仿宋_GB2312"/>
          <w:color w:val="auto"/>
          <w:sz w:val="32"/>
          <w:szCs w:val="32"/>
          <w:highlight w:val="none"/>
        </w:rPr>
        <w:t>站址与工作环境要求引自QX/T174、GB/T2887—2011《计算机场地通用规范》，各单元安装细节结合设备厂商安装指南与西南地区山地、高湿的地理气候特点设定，如采样口高度适配山地气流监测。</w:t>
      </w:r>
    </w:p>
    <w:p w14:paraId="2B8CA76C">
      <w:pPr>
        <w:tabs>
          <w:tab w:val="left" w:pos="720"/>
        </w:tabs>
        <w:spacing w:line="560" w:lineRule="exact"/>
        <w:ind w:firstLine="640" w:firstLineChars="200"/>
        <w:rPr>
          <w:rFonts w:hint="eastAsia" w:ascii="仿宋_GB2312" w:hAnsi="仿宋_GB2312" w:eastAsia="仿宋_GB2312" w:cs="仿宋_GB2312"/>
          <w:color w:val="auto"/>
          <w:sz w:val="32"/>
          <w:szCs w:val="32"/>
          <w:highlight w:val="none"/>
        </w:rPr>
      </w:pPr>
      <w:r>
        <w:rPr>
          <w:rFonts w:hint="eastAsia" w:ascii="仿宋_GB2312" w:hAnsi="仿宋_GB2312" w:eastAsia="仿宋_GB2312" w:cs="仿宋_GB2312"/>
          <w:color w:val="auto"/>
          <w:sz w:val="32"/>
          <w:szCs w:val="32"/>
          <w:highlight w:val="none"/>
        </w:rPr>
        <w:t>8.检漏与测试要求</w:t>
      </w:r>
    </w:p>
    <w:p w14:paraId="7D3B28C9">
      <w:pPr>
        <w:tabs>
          <w:tab w:val="left" w:pos="720"/>
        </w:tabs>
        <w:spacing w:line="560" w:lineRule="exact"/>
        <w:ind w:firstLine="640" w:firstLineChars="200"/>
        <w:rPr>
          <w:rFonts w:hint="eastAsia" w:ascii="仿宋_GB2312" w:hAnsi="仿宋_GB2312" w:eastAsia="仿宋_GB2312" w:cs="仿宋_GB2312"/>
          <w:color w:val="auto"/>
          <w:sz w:val="32"/>
          <w:szCs w:val="32"/>
          <w:highlight w:val="none"/>
        </w:rPr>
      </w:pPr>
      <w:r>
        <w:rPr>
          <w:rFonts w:hint="eastAsia" w:ascii="仿宋_GB2312" w:hAnsi="仿宋_GB2312" w:eastAsia="仿宋_GB2312" w:cs="仿宋_GB2312"/>
          <w:color w:val="auto"/>
          <w:sz w:val="32"/>
          <w:szCs w:val="32"/>
          <w:highlight w:val="none"/>
        </w:rPr>
        <w:t>主要内容：系统安装后检漏（样气流经部件无漏气）；高精度测试（流量波动±5%，线性测试5种标气拟合优度≥99.99%，精度测试120分钟标准偏差CO</w:t>
      </w:r>
      <w:r>
        <w:rPr>
          <w:rFonts w:hint="eastAsia" w:ascii="仿宋_GB2312" w:hAnsi="仿宋_GB2312" w:eastAsia="仿宋_GB2312" w:cs="仿宋_GB2312"/>
          <w:color w:val="auto"/>
          <w:sz w:val="32"/>
          <w:szCs w:val="32"/>
          <w:highlight w:val="none"/>
          <w:vertAlign w:val="subscript"/>
          <w:lang w:eastAsia="zh-CN"/>
        </w:rPr>
        <w:t>2</w:t>
      </w:r>
      <w:r>
        <w:rPr>
          <w:rFonts w:hint="eastAsia" w:ascii="仿宋_GB2312" w:hAnsi="仿宋_GB2312" w:eastAsia="仿宋_GB2312" w:cs="仿宋_GB2312"/>
          <w:color w:val="auto"/>
          <w:sz w:val="32"/>
          <w:szCs w:val="32"/>
          <w:highlight w:val="none"/>
        </w:rPr>
        <w:t>&lt;0.025×10</w:t>
      </w:r>
      <w:r>
        <w:rPr>
          <w:rFonts w:hint="eastAsia" w:ascii="仿宋_GB2312" w:hAnsi="仿宋_GB2312" w:eastAsia="仿宋_GB2312" w:cs="仿宋_GB2312"/>
          <w:color w:val="auto"/>
          <w:sz w:val="32"/>
          <w:szCs w:val="32"/>
          <w:highlight w:val="none"/>
          <w:vertAlign w:val="superscript"/>
          <w:lang w:eastAsia="zh-CN"/>
        </w:rPr>
        <w:t>-6</w:t>
      </w:r>
      <w:r>
        <w:rPr>
          <w:rFonts w:hint="eastAsia" w:ascii="仿宋_GB2312" w:hAnsi="仿宋_GB2312" w:eastAsia="仿宋_GB2312" w:cs="仿宋_GB2312"/>
          <w:color w:val="auto"/>
          <w:sz w:val="32"/>
          <w:szCs w:val="32"/>
          <w:highlight w:val="none"/>
        </w:rPr>
        <w:t>mol/mol，漂移测试24小时偏差CO</w:t>
      </w:r>
      <w:r>
        <w:rPr>
          <w:rFonts w:hint="eastAsia" w:ascii="仿宋_GB2312" w:hAnsi="仿宋_GB2312" w:eastAsia="仿宋_GB2312" w:cs="仿宋_GB2312"/>
          <w:color w:val="auto"/>
          <w:sz w:val="32"/>
          <w:szCs w:val="32"/>
          <w:highlight w:val="none"/>
          <w:vertAlign w:val="subscript"/>
          <w:lang w:eastAsia="zh-CN"/>
        </w:rPr>
        <w:t>2</w:t>
      </w:r>
      <w:r>
        <w:rPr>
          <w:rFonts w:hint="eastAsia" w:ascii="仿宋_GB2312" w:hAnsi="仿宋_GB2312" w:eastAsia="仿宋_GB2312" w:cs="仿宋_GB2312"/>
          <w:color w:val="auto"/>
          <w:sz w:val="32"/>
          <w:szCs w:val="32"/>
          <w:highlight w:val="none"/>
        </w:rPr>
        <w:t>&lt;0.1×10</w:t>
      </w:r>
      <w:r>
        <w:rPr>
          <w:rFonts w:hint="eastAsia" w:ascii="仿宋_GB2312" w:hAnsi="仿宋_GB2312" w:eastAsia="仿宋_GB2312" w:cs="仿宋_GB2312"/>
          <w:color w:val="auto"/>
          <w:sz w:val="32"/>
          <w:szCs w:val="32"/>
          <w:highlight w:val="none"/>
          <w:lang w:eastAsia="zh-CN"/>
        </w:rPr>
        <w:t>-6</w:t>
      </w:r>
      <w:r>
        <w:rPr>
          <w:rFonts w:hint="eastAsia" w:ascii="仿宋_GB2312" w:hAnsi="仿宋_GB2312" w:eastAsia="仿宋_GB2312" w:cs="仿宋_GB2312"/>
          <w:color w:val="auto"/>
          <w:sz w:val="32"/>
          <w:szCs w:val="32"/>
          <w:highlight w:val="none"/>
        </w:rPr>
        <w:t>mol/mol）；中精度测试（流量波动±15%，线性测试3种标气拟合优度≥99.5%，精度测试60分钟标准偏差CO</w:t>
      </w:r>
      <w:r>
        <w:rPr>
          <w:rFonts w:hint="eastAsia" w:ascii="仿宋_GB2312" w:hAnsi="仿宋_GB2312" w:eastAsia="仿宋_GB2312" w:cs="仿宋_GB2312"/>
          <w:color w:val="auto"/>
          <w:sz w:val="32"/>
          <w:szCs w:val="32"/>
          <w:highlight w:val="none"/>
          <w:vertAlign w:val="subscript"/>
          <w:lang w:eastAsia="zh-CN"/>
        </w:rPr>
        <w:t>2</w:t>
      </w:r>
      <w:r>
        <w:rPr>
          <w:rFonts w:hint="eastAsia" w:ascii="仿宋_GB2312" w:hAnsi="仿宋_GB2312" w:eastAsia="仿宋_GB2312" w:cs="仿宋_GB2312"/>
          <w:color w:val="auto"/>
          <w:sz w:val="32"/>
          <w:szCs w:val="32"/>
          <w:highlight w:val="none"/>
        </w:rPr>
        <w:t>&lt;0.5×10</w:t>
      </w:r>
      <w:r>
        <w:rPr>
          <w:rFonts w:hint="eastAsia" w:ascii="仿宋_GB2312" w:hAnsi="仿宋_GB2312" w:eastAsia="仿宋_GB2312" w:cs="仿宋_GB2312"/>
          <w:color w:val="auto"/>
          <w:sz w:val="32"/>
          <w:szCs w:val="32"/>
          <w:highlight w:val="none"/>
          <w:vertAlign w:val="superscript"/>
          <w:lang w:eastAsia="zh-CN"/>
        </w:rPr>
        <w:t>-6</w:t>
      </w:r>
      <w:r>
        <w:rPr>
          <w:rFonts w:hint="eastAsia" w:ascii="仿宋_GB2312" w:hAnsi="仿宋_GB2312" w:eastAsia="仿宋_GB2312" w:cs="仿宋_GB2312"/>
          <w:color w:val="auto"/>
          <w:sz w:val="32"/>
          <w:szCs w:val="32"/>
          <w:highlight w:val="none"/>
        </w:rPr>
        <w:t>mol/mol，漂移测试12小时偏差CO</w:t>
      </w:r>
      <w:r>
        <w:rPr>
          <w:rFonts w:hint="eastAsia" w:ascii="仿宋_GB2312" w:hAnsi="仿宋_GB2312" w:eastAsia="仿宋_GB2312" w:cs="仿宋_GB2312"/>
          <w:color w:val="auto"/>
          <w:sz w:val="32"/>
          <w:szCs w:val="32"/>
          <w:highlight w:val="none"/>
          <w:vertAlign w:val="subscript"/>
          <w:lang w:eastAsia="zh-CN"/>
        </w:rPr>
        <w:t>2</w:t>
      </w:r>
      <w:r>
        <w:rPr>
          <w:rFonts w:hint="eastAsia" w:ascii="仿宋_GB2312" w:hAnsi="仿宋_GB2312" w:eastAsia="仿宋_GB2312" w:cs="仿宋_GB2312"/>
          <w:color w:val="auto"/>
          <w:sz w:val="32"/>
          <w:szCs w:val="32"/>
          <w:highlight w:val="none"/>
        </w:rPr>
        <w:t>&lt;1.0×10</w:t>
      </w:r>
      <w:r>
        <w:rPr>
          <w:rFonts w:hint="eastAsia" w:ascii="仿宋_GB2312" w:hAnsi="仿宋_GB2312" w:eastAsia="仿宋_GB2312" w:cs="仿宋_GB2312"/>
          <w:color w:val="auto"/>
          <w:sz w:val="32"/>
          <w:szCs w:val="32"/>
          <w:highlight w:val="none"/>
          <w:vertAlign w:val="superscript"/>
          <w:lang w:eastAsia="zh-CN"/>
        </w:rPr>
        <w:t>-6</w:t>
      </w:r>
      <w:r>
        <w:rPr>
          <w:rFonts w:hint="eastAsia" w:ascii="仿宋_GB2312" w:hAnsi="仿宋_GB2312" w:eastAsia="仿宋_GB2312" w:cs="仿宋_GB2312"/>
          <w:color w:val="auto"/>
          <w:sz w:val="32"/>
          <w:szCs w:val="32"/>
          <w:highlight w:val="none"/>
        </w:rPr>
        <w:t>mol/mol）。</w:t>
      </w:r>
    </w:p>
    <w:p w14:paraId="1777AAF3">
      <w:pPr>
        <w:tabs>
          <w:tab w:val="left" w:pos="720"/>
        </w:tabs>
        <w:spacing w:line="560" w:lineRule="exact"/>
        <w:ind w:firstLine="640" w:firstLineChars="200"/>
        <w:rPr>
          <w:rFonts w:hint="eastAsia" w:ascii="仿宋_GB2312" w:hAnsi="仿宋_GB2312" w:eastAsia="仿宋_GB2312" w:cs="仿宋_GB2312"/>
          <w:color w:val="auto"/>
          <w:sz w:val="32"/>
          <w:szCs w:val="32"/>
          <w:highlight w:val="none"/>
        </w:rPr>
      </w:pPr>
      <w:r>
        <w:rPr>
          <w:rFonts w:hint="eastAsia" w:ascii="仿宋_GB2312" w:hAnsi="仿宋_GB2312" w:eastAsia="仿宋_GB2312" w:cs="仿宋_GB2312"/>
          <w:color w:val="auto"/>
          <w:sz w:val="32"/>
          <w:szCs w:val="32"/>
          <w:highlight w:val="none"/>
        </w:rPr>
        <w:t>依据来源</w:t>
      </w:r>
      <w:r>
        <w:rPr>
          <w:rFonts w:hint="eastAsia" w:ascii="仿宋_GB2312" w:hAnsi="仿宋_GB2312" w:eastAsia="仿宋_GB2312" w:cs="仿宋_GB2312"/>
          <w:color w:val="auto"/>
          <w:sz w:val="32"/>
          <w:szCs w:val="32"/>
          <w:highlight w:val="none"/>
          <w:lang w:val="en-US" w:eastAsia="zh-CN"/>
        </w:rPr>
        <w:t>为</w:t>
      </w:r>
      <w:r>
        <w:rPr>
          <w:rFonts w:hint="eastAsia" w:ascii="仿宋_GB2312" w:hAnsi="仿宋_GB2312" w:eastAsia="仿宋_GB2312" w:cs="仿宋_GB2312"/>
          <w:color w:val="auto"/>
          <w:sz w:val="32"/>
          <w:szCs w:val="32"/>
          <w:highlight w:val="none"/>
        </w:rPr>
        <w:t>检漏要求参考HJ818的密封性检查方法，高精度测试指标引自GB/T34415—2017，中精度测试指标结合中小型园区监测成本与技术可行性调整，平衡精度与经济性。</w:t>
      </w:r>
    </w:p>
    <w:p w14:paraId="49B18B45">
      <w:pPr>
        <w:tabs>
          <w:tab w:val="left" w:pos="720"/>
        </w:tabs>
        <w:spacing w:line="560" w:lineRule="exact"/>
        <w:ind w:firstLine="640" w:firstLineChars="200"/>
        <w:rPr>
          <w:rFonts w:hint="eastAsia" w:ascii="仿宋_GB2312" w:hAnsi="仿宋_GB2312" w:eastAsia="仿宋_GB2312" w:cs="仿宋_GB2312"/>
          <w:color w:val="auto"/>
          <w:sz w:val="32"/>
          <w:szCs w:val="32"/>
          <w:highlight w:val="none"/>
        </w:rPr>
      </w:pPr>
      <w:r>
        <w:rPr>
          <w:rFonts w:hint="eastAsia" w:ascii="仿宋_GB2312" w:hAnsi="仿宋_GB2312" w:eastAsia="仿宋_GB2312" w:cs="仿宋_GB2312"/>
          <w:color w:val="auto"/>
          <w:sz w:val="32"/>
          <w:szCs w:val="32"/>
          <w:highlight w:val="none"/>
        </w:rPr>
        <w:t>9.监测站运行维护</w:t>
      </w:r>
    </w:p>
    <w:p w14:paraId="1E5AB84E">
      <w:pPr>
        <w:tabs>
          <w:tab w:val="left" w:pos="720"/>
        </w:tabs>
        <w:spacing w:line="560" w:lineRule="exact"/>
        <w:ind w:firstLine="640" w:firstLineChars="200"/>
        <w:rPr>
          <w:rFonts w:hint="eastAsia" w:ascii="仿宋_GB2312" w:hAnsi="仿宋_GB2312" w:eastAsia="仿宋_GB2312" w:cs="仿宋_GB2312"/>
          <w:color w:val="auto"/>
          <w:sz w:val="32"/>
          <w:szCs w:val="32"/>
          <w:highlight w:val="none"/>
        </w:rPr>
      </w:pPr>
      <w:r>
        <w:rPr>
          <w:rFonts w:hint="eastAsia" w:ascii="仿宋_GB2312" w:hAnsi="仿宋_GB2312" w:eastAsia="仿宋_GB2312" w:cs="仿宋_GB2312"/>
          <w:color w:val="auto"/>
          <w:sz w:val="32"/>
          <w:szCs w:val="32"/>
          <w:highlight w:val="none"/>
        </w:rPr>
        <w:t>主要内容：监测站及附属设备每周巡检（站房无漏水，室内温湿度，UPS续航，消防设施有效）；采样和预处理设备每周维护（过滤器每半年换，采样膜每月换，真空泵每季度查）；分析设备每日查参数（水汽&lt;0.05%），标气瓶每月查压力（一级&gt;500psi）；数据采集设备每日查软件与时钟，每月备份数据。</w:t>
      </w:r>
    </w:p>
    <w:p w14:paraId="1CFD5B37">
      <w:pPr>
        <w:tabs>
          <w:tab w:val="left" w:pos="720"/>
        </w:tabs>
        <w:spacing w:line="560" w:lineRule="exact"/>
        <w:ind w:firstLine="640" w:firstLineChars="200"/>
        <w:rPr>
          <w:rFonts w:hint="eastAsia" w:ascii="仿宋_GB2312" w:hAnsi="仿宋_GB2312" w:eastAsia="仿宋_GB2312" w:cs="仿宋_GB2312"/>
          <w:color w:val="auto"/>
          <w:sz w:val="32"/>
          <w:szCs w:val="32"/>
          <w:highlight w:val="none"/>
        </w:rPr>
      </w:pPr>
      <w:r>
        <w:rPr>
          <w:rFonts w:hint="eastAsia" w:ascii="仿宋_GB2312" w:hAnsi="仿宋_GB2312" w:eastAsia="仿宋_GB2312" w:cs="仿宋_GB2312"/>
          <w:color w:val="auto"/>
          <w:sz w:val="32"/>
          <w:szCs w:val="32"/>
          <w:highlight w:val="none"/>
        </w:rPr>
        <w:t>依据来源：维护频次与要求参考HJ818—2018中5.2.2（分析设备维护）、5.2.3（实验室维护）条款，结合工业园区设备高负荷运行特点，细化过滤器、采样膜等易损件更换周期。</w:t>
      </w:r>
    </w:p>
    <w:p w14:paraId="50C60244">
      <w:pPr>
        <w:tabs>
          <w:tab w:val="left" w:pos="720"/>
        </w:tabs>
        <w:spacing w:line="560" w:lineRule="exact"/>
        <w:ind w:firstLine="640" w:firstLineChars="200"/>
        <w:rPr>
          <w:rFonts w:hint="eastAsia" w:ascii="仿宋_GB2312" w:hAnsi="仿宋_GB2312" w:eastAsia="仿宋_GB2312" w:cs="仿宋_GB2312"/>
          <w:color w:val="auto"/>
          <w:sz w:val="32"/>
          <w:szCs w:val="32"/>
          <w:highlight w:val="none"/>
        </w:rPr>
      </w:pPr>
      <w:r>
        <w:rPr>
          <w:rFonts w:hint="eastAsia" w:ascii="仿宋_GB2312" w:hAnsi="仿宋_GB2312" w:eastAsia="仿宋_GB2312" w:cs="仿宋_GB2312"/>
          <w:color w:val="auto"/>
          <w:sz w:val="32"/>
          <w:szCs w:val="32"/>
          <w:highlight w:val="none"/>
          <w:lang w:val="en-US" w:eastAsia="zh-CN"/>
        </w:rPr>
        <w:t>案例四：</w:t>
      </w:r>
      <w:r>
        <w:rPr>
          <w:rFonts w:hint="eastAsia" w:ascii="仿宋_GB2312" w:hAnsi="仿宋_GB2312" w:eastAsia="仿宋_GB2312" w:cs="仿宋_GB2312"/>
          <w:color w:val="auto"/>
          <w:sz w:val="32"/>
          <w:szCs w:val="32"/>
          <w:highlight w:val="none"/>
        </w:rPr>
        <w:t>广西某化工园区采样设备维护</w:t>
      </w:r>
    </w:p>
    <w:p w14:paraId="242C9C3B">
      <w:pPr>
        <w:tabs>
          <w:tab w:val="left" w:pos="720"/>
        </w:tabs>
        <w:spacing w:line="560" w:lineRule="exact"/>
        <w:ind w:firstLine="640" w:firstLineChars="200"/>
        <w:rPr>
          <w:rFonts w:hint="eastAsia" w:ascii="仿宋_GB2312" w:hAnsi="仿宋_GB2312" w:eastAsia="仿宋_GB2312" w:cs="仿宋_GB2312"/>
          <w:color w:val="auto"/>
          <w:sz w:val="32"/>
          <w:szCs w:val="32"/>
          <w:highlight w:val="none"/>
        </w:rPr>
      </w:pPr>
      <w:r>
        <w:rPr>
          <w:rFonts w:hint="eastAsia" w:ascii="仿宋_GB2312" w:hAnsi="仿宋_GB2312" w:eastAsia="仿宋_GB2312" w:cs="仿宋_GB2312"/>
          <w:color w:val="auto"/>
          <w:sz w:val="32"/>
          <w:szCs w:val="32"/>
          <w:highlight w:val="none"/>
        </w:rPr>
        <w:t>该园区</w:t>
      </w:r>
      <w:r>
        <w:rPr>
          <w:rFonts w:hint="eastAsia" w:ascii="仿宋_GB2312" w:hAnsi="仿宋_GB2312" w:eastAsia="仿宋_GB2312" w:cs="仿宋_GB2312"/>
          <w:color w:val="auto"/>
          <w:sz w:val="32"/>
          <w:szCs w:val="32"/>
          <w:highlight w:val="none"/>
          <w:lang w:val="en-US" w:eastAsia="zh-CN"/>
        </w:rPr>
        <w:t>于</w:t>
      </w:r>
      <w:r>
        <w:rPr>
          <w:rFonts w:hint="eastAsia" w:ascii="仿宋_GB2312" w:hAnsi="仿宋_GB2312" w:eastAsia="仿宋_GB2312" w:cs="仿宋_GB2312"/>
          <w:color w:val="auto"/>
          <w:sz w:val="32"/>
          <w:szCs w:val="32"/>
          <w:highlight w:val="none"/>
        </w:rPr>
        <w:t>202</w:t>
      </w:r>
      <w:r>
        <w:rPr>
          <w:rFonts w:hint="eastAsia" w:ascii="仿宋_GB2312" w:hAnsi="仿宋_GB2312" w:eastAsia="仿宋_GB2312" w:cs="仿宋_GB2312"/>
          <w:color w:val="auto"/>
          <w:sz w:val="32"/>
          <w:szCs w:val="32"/>
          <w:highlight w:val="none"/>
          <w:lang w:val="en-US" w:eastAsia="zh-CN"/>
        </w:rPr>
        <w:t>4</w:t>
      </w:r>
      <w:r>
        <w:rPr>
          <w:rFonts w:hint="eastAsia" w:ascii="仿宋_GB2312" w:hAnsi="仿宋_GB2312" w:eastAsia="仿宋_GB2312" w:cs="仿宋_GB2312"/>
          <w:color w:val="auto"/>
          <w:sz w:val="32"/>
          <w:szCs w:val="32"/>
          <w:highlight w:val="none"/>
        </w:rPr>
        <w:t>年</w:t>
      </w:r>
      <w:r>
        <w:rPr>
          <w:rFonts w:hint="eastAsia" w:ascii="仿宋_GB2312" w:hAnsi="仿宋_GB2312" w:eastAsia="仿宋_GB2312" w:cs="仿宋_GB2312"/>
          <w:color w:val="auto"/>
          <w:sz w:val="32"/>
          <w:szCs w:val="32"/>
          <w:highlight w:val="none"/>
          <w:lang w:val="en-US" w:eastAsia="zh-CN"/>
        </w:rPr>
        <w:t>4</w:t>
      </w:r>
      <w:r>
        <w:rPr>
          <w:rFonts w:hint="eastAsia" w:ascii="仿宋_GB2312" w:hAnsi="仿宋_GB2312" w:eastAsia="仿宋_GB2312" w:cs="仿宋_GB2312"/>
          <w:color w:val="auto"/>
          <w:sz w:val="32"/>
          <w:szCs w:val="32"/>
          <w:highlight w:val="none"/>
        </w:rPr>
        <w:t>月起按</w:t>
      </w:r>
      <w:r>
        <w:rPr>
          <w:rFonts w:hint="eastAsia" w:ascii="仿宋_GB2312" w:hAnsi="仿宋_GB2312" w:eastAsia="仿宋_GB2312" w:cs="仿宋_GB2312"/>
          <w:color w:val="auto"/>
          <w:sz w:val="32"/>
          <w:szCs w:val="32"/>
          <w:highlight w:val="none"/>
          <w:lang w:val="en-US" w:eastAsia="zh-CN"/>
        </w:rPr>
        <w:t>该要求</w:t>
      </w:r>
      <w:r>
        <w:rPr>
          <w:rFonts w:hint="eastAsia" w:ascii="仿宋_GB2312" w:hAnsi="仿宋_GB2312" w:eastAsia="仿宋_GB2312" w:cs="仿宋_GB2312"/>
          <w:color w:val="auto"/>
          <w:sz w:val="32"/>
          <w:szCs w:val="32"/>
          <w:highlight w:val="none"/>
        </w:rPr>
        <w:t>维护采样设备：每月更换采样膜时，发现旧膜表面附着大量粉尘（园区化工粉尘较多），若未及时更换，后续1周内采样流量从10.5L/min降至8.8L/min，更换后恢复正常；每季度检查真空泵时，在6月发现</w:t>
      </w:r>
      <w:r>
        <w:rPr>
          <w:rFonts w:hint="eastAsia" w:ascii="仿宋_GB2312" w:hAnsi="仿宋_GB2312" w:eastAsia="仿宋_GB2312" w:cs="仿宋_GB2312"/>
          <w:color w:val="auto"/>
          <w:sz w:val="32"/>
          <w:szCs w:val="32"/>
          <w:highlight w:val="none"/>
          <w:lang w:val="en-US" w:eastAsia="zh-CN"/>
        </w:rPr>
        <w:t>一</w:t>
      </w:r>
      <w:r>
        <w:rPr>
          <w:rFonts w:hint="eastAsia" w:ascii="仿宋_GB2312" w:hAnsi="仿宋_GB2312" w:eastAsia="仿宋_GB2312" w:cs="仿宋_GB2312"/>
          <w:color w:val="auto"/>
          <w:sz w:val="32"/>
          <w:szCs w:val="32"/>
          <w:highlight w:val="none"/>
        </w:rPr>
        <w:t>台泵的2μm颗粒过滤器堵塞，导致抽气流量仅9.0L/min，清理过滤器后流量回升至10.2L/min；初级除水装置每周检查，7月某次检查发现温度升至6℃，立即调整至3℃，避免水汽超标（后续监测水汽值稳定在0.03%）。通过严格执行维护要求，该园区采样系统故障频次从每月3次降至每月0.5次，数据获取率从90%提升至95%，验证了标准维护条款的可操作性与有效性。</w:t>
      </w:r>
    </w:p>
    <w:p w14:paraId="26A3A417">
      <w:pPr>
        <w:tabs>
          <w:tab w:val="left" w:pos="720"/>
        </w:tabs>
        <w:spacing w:line="560" w:lineRule="exact"/>
        <w:ind w:firstLine="640" w:firstLineChars="200"/>
        <w:rPr>
          <w:rFonts w:hint="eastAsia" w:ascii="仿宋_GB2312" w:hAnsi="仿宋_GB2312" w:eastAsia="仿宋_GB2312" w:cs="仿宋_GB2312"/>
          <w:color w:val="auto"/>
          <w:sz w:val="32"/>
          <w:szCs w:val="32"/>
          <w:highlight w:val="none"/>
        </w:rPr>
      </w:pPr>
      <w:r>
        <w:rPr>
          <w:rFonts w:hint="eastAsia" w:ascii="仿宋_GB2312" w:hAnsi="仿宋_GB2312" w:eastAsia="仿宋_GB2312" w:cs="仿宋_GB2312"/>
          <w:color w:val="auto"/>
          <w:sz w:val="32"/>
          <w:szCs w:val="32"/>
          <w:highlight w:val="none"/>
        </w:rPr>
        <w:t>10.中心计算机室等维护</w:t>
      </w:r>
    </w:p>
    <w:p w14:paraId="16059465">
      <w:pPr>
        <w:tabs>
          <w:tab w:val="left" w:pos="720"/>
        </w:tabs>
        <w:spacing w:line="560" w:lineRule="exact"/>
        <w:ind w:firstLine="640" w:firstLineChars="200"/>
        <w:rPr>
          <w:rFonts w:hint="eastAsia" w:ascii="仿宋_GB2312" w:hAnsi="仿宋_GB2312" w:eastAsia="仿宋_GB2312" w:cs="仿宋_GB2312"/>
          <w:color w:val="auto"/>
          <w:sz w:val="32"/>
          <w:szCs w:val="32"/>
          <w:highlight w:val="none"/>
        </w:rPr>
      </w:pPr>
      <w:r>
        <w:rPr>
          <w:rFonts w:hint="eastAsia" w:ascii="仿宋_GB2312" w:hAnsi="仿宋_GB2312" w:eastAsia="仿宋_GB2312" w:cs="仿宋_GB2312"/>
          <w:color w:val="auto"/>
          <w:sz w:val="32"/>
          <w:szCs w:val="32"/>
          <w:highlight w:val="none"/>
        </w:rPr>
        <w:t>主要内容</w:t>
      </w:r>
      <w:r>
        <w:rPr>
          <w:rFonts w:hint="eastAsia" w:ascii="仿宋_GB2312" w:hAnsi="仿宋_GB2312" w:eastAsia="仿宋_GB2312" w:cs="仿宋_GB2312"/>
          <w:color w:val="auto"/>
          <w:sz w:val="32"/>
          <w:szCs w:val="32"/>
          <w:highlight w:val="none"/>
          <w:lang w:val="en-US" w:eastAsia="zh-CN"/>
        </w:rPr>
        <w:t>为</w:t>
      </w:r>
      <w:r>
        <w:rPr>
          <w:rFonts w:hint="eastAsia" w:ascii="仿宋_GB2312" w:hAnsi="仿宋_GB2312" w:eastAsia="仿宋_GB2312" w:cs="仿宋_GB2312"/>
          <w:color w:val="auto"/>
          <w:sz w:val="32"/>
          <w:szCs w:val="32"/>
          <w:highlight w:val="none"/>
        </w:rPr>
        <w:t>中心计算机室、质量保证实验室及系统支持实验室维护，按HJ818—2018中5.2.3、5.2.4、5.2.5执行。</w:t>
      </w:r>
    </w:p>
    <w:p w14:paraId="01C67F8D">
      <w:pPr>
        <w:tabs>
          <w:tab w:val="left" w:pos="720"/>
        </w:tabs>
        <w:spacing w:line="560" w:lineRule="exact"/>
        <w:ind w:firstLine="640" w:firstLineChars="200"/>
        <w:rPr>
          <w:rFonts w:hint="eastAsia" w:ascii="仿宋_GB2312" w:hAnsi="仿宋_GB2312" w:eastAsia="仿宋_GB2312" w:cs="仿宋_GB2312"/>
          <w:color w:val="auto"/>
          <w:sz w:val="32"/>
          <w:szCs w:val="32"/>
          <w:highlight w:val="none"/>
        </w:rPr>
      </w:pPr>
      <w:r>
        <w:rPr>
          <w:rFonts w:hint="eastAsia" w:ascii="仿宋_GB2312" w:hAnsi="仿宋_GB2312" w:eastAsia="仿宋_GB2312" w:cs="仿宋_GB2312"/>
          <w:color w:val="auto"/>
          <w:sz w:val="32"/>
          <w:szCs w:val="32"/>
          <w:highlight w:val="none"/>
        </w:rPr>
        <w:t>依据来源</w:t>
      </w:r>
      <w:r>
        <w:rPr>
          <w:rFonts w:hint="eastAsia" w:ascii="仿宋_GB2312" w:hAnsi="仿宋_GB2312" w:eastAsia="仿宋_GB2312" w:cs="仿宋_GB2312"/>
          <w:color w:val="auto"/>
          <w:sz w:val="32"/>
          <w:szCs w:val="32"/>
          <w:highlight w:val="none"/>
          <w:lang w:val="en-US" w:eastAsia="zh-CN"/>
        </w:rPr>
        <w:t>为</w:t>
      </w:r>
      <w:r>
        <w:rPr>
          <w:rFonts w:hint="eastAsia" w:ascii="仿宋_GB2312" w:hAnsi="仿宋_GB2312" w:eastAsia="仿宋_GB2312" w:cs="仿宋_GB2312"/>
          <w:color w:val="auto"/>
          <w:sz w:val="32"/>
          <w:szCs w:val="32"/>
          <w:highlight w:val="none"/>
        </w:rPr>
        <w:t>直接引用HJ818—2018相关条款，避免与行业通用标准重复，确保实验室维护要求统一。</w:t>
      </w:r>
    </w:p>
    <w:p w14:paraId="65F62497">
      <w:pPr>
        <w:tabs>
          <w:tab w:val="left" w:pos="720"/>
        </w:tabs>
        <w:spacing w:line="560" w:lineRule="exact"/>
        <w:ind w:firstLine="640" w:firstLineChars="200"/>
        <w:rPr>
          <w:rFonts w:hint="eastAsia" w:ascii="仿宋_GB2312" w:hAnsi="仿宋_GB2312" w:eastAsia="仿宋_GB2312" w:cs="仿宋_GB2312"/>
          <w:color w:val="auto"/>
          <w:sz w:val="32"/>
          <w:szCs w:val="32"/>
          <w:highlight w:val="none"/>
        </w:rPr>
      </w:pPr>
      <w:r>
        <w:rPr>
          <w:rFonts w:hint="eastAsia" w:ascii="仿宋_GB2312" w:hAnsi="仿宋_GB2312" w:eastAsia="仿宋_GB2312" w:cs="仿宋_GB2312"/>
          <w:color w:val="auto"/>
          <w:sz w:val="32"/>
          <w:szCs w:val="32"/>
          <w:highlight w:val="none"/>
        </w:rPr>
        <w:t>11.数据维护</w:t>
      </w:r>
    </w:p>
    <w:p w14:paraId="54E4C3F1">
      <w:pPr>
        <w:tabs>
          <w:tab w:val="left" w:pos="720"/>
        </w:tabs>
        <w:spacing w:line="560" w:lineRule="exact"/>
        <w:ind w:firstLine="640" w:firstLineChars="200"/>
        <w:rPr>
          <w:rFonts w:hint="eastAsia" w:ascii="仿宋_GB2312" w:hAnsi="仿宋_GB2312" w:eastAsia="仿宋_GB2312" w:cs="仿宋_GB2312"/>
          <w:color w:val="auto"/>
          <w:sz w:val="32"/>
          <w:szCs w:val="32"/>
          <w:highlight w:val="none"/>
        </w:rPr>
      </w:pPr>
      <w:r>
        <w:rPr>
          <w:rFonts w:hint="eastAsia" w:ascii="仿宋_GB2312" w:hAnsi="仿宋_GB2312" w:eastAsia="仿宋_GB2312" w:cs="仿宋_GB2312"/>
          <w:color w:val="auto"/>
          <w:sz w:val="32"/>
          <w:szCs w:val="32"/>
          <w:highlight w:val="none"/>
        </w:rPr>
        <w:t>主要内容</w:t>
      </w:r>
      <w:r>
        <w:rPr>
          <w:rFonts w:hint="eastAsia" w:ascii="仿宋_GB2312" w:hAnsi="仿宋_GB2312" w:eastAsia="仿宋_GB2312" w:cs="仿宋_GB2312"/>
          <w:color w:val="auto"/>
          <w:sz w:val="32"/>
          <w:szCs w:val="32"/>
          <w:highlight w:val="none"/>
          <w:lang w:val="en-US" w:eastAsia="zh-CN"/>
        </w:rPr>
        <w:t>为</w:t>
      </w:r>
      <w:r>
        <w:rPr>
          <w:rFonts w:hint="eastAsia" w:ascii="仿宋_GB2312" w:hAnsi="仿宋_GB2312" w:eastAsia="仿宋_GB2312" w:cs="仿宋_GB2312"/>
          <w:color w:val="auto"/>
          <w:sz w:val="32"/>
          <w:szCs w:val="32"/>
          <w:highlight w:val="none"/>
        </w:rPr>
        <w:t>数据审核</w:t>
      </w:r>
      <w:r>
        <w:rPr>
          <w:rFonts w:hint="eastAsia" w:ascii="仿宋_GB2312" w:hAnsi="仿宋_GB2312" w:eastAsia="仿宋_GB2312" w:cs="仿宋_GB2312"/>
          <w:color w:val="auto"/>
          <w:sz w:val="32"/>
          <w:szCs w:val="32"/>
          <w:highlight w:val="none"/>
          <w:lang w:eastAsia="zh-CN"/>
        </w:rPr>
        <w:t>，</w:t>
      </w:r>
      <w:r>
        <w:rPr>
          <w:rFonts w:hint="eastAsia" w:ascii="仿宋_GB2312" w:hAnsi="仿宋_GB2312" w:eastAsia="仿宋_GB2312" w:cs="仿宋_GB2312"/>
          <w:color w:val="auto"/>
          <w:sz w:val="32"/>
          <w:szCs w:val="32"/>
          <w:highlight w:val="none"/>
          <w:lang w:val="en-US" w:eastAsia="zh-CN"/>
        </w:rPr>
        <w:t>包括</w:t>
      </w:r>
      <w:r>
        <w:rPr>
          <w:rFonts w:hint="eastAsia" w:ascii="仿宋_GB2312" w:hAnsi="仿宋_GB2312" w:eastAsia="仿宋_GB2312" w:cs="仿宋_GB2312"/>
          <w:color w:val="auto"/>
          <w:sz w:val="32"/>
          <w:szCs w:val="32"/>
          <w:highlight w:val="none"/>
        </w:rPr>
        <w:t>完整性、空间一致性、历史一致性，异常数据如零值、突变值、水汽超标需核查处理；补录气象或通讯问题导致缺失数据需补；数据获取率≥90%（分层采样≥85%），按公式C=（T-Tw）/T×100%计算（T为总运行小时，Tw为故障小时）。</w:t>
      </w:r>
    </w:p>
    <w:p w14:paraId="0C325B72">
      <w:pPr>
        <w:tabs>
          <w:tab w:val="left" w:pos="720"/>
        </w:tabs>
        <w:spacing w:line="560" w:lineRule="exact"/>
        <w:ind w:firstLine="640" w:firstLineChars="200"/>
        <w:rPr>
          <w:rFonts w:hint="eastAsia" w:ascii="仿宋_GB2312" w:hAnsi="仿宋_GB2312" w:eastAsia="仿宋_GB2312" w:cs="仿宋_GB2312"/>
          <w:color w:val="auto"/>
          <w:sz w:val="32"/>
          <w:szCs w:val="32"/>
          <w:highlight w:val="none"/>
        </w:rPr>
      </w:pPr>
      <w:r>
        <w:rPr>
          <w:rFonts w:hint="eastAsia" w:ascii="仿宋_GB2312" w:hAnsi="仿宋_GB2312" w:eastAsia="仿宋_GB2312" w:cs="仿宋_GB2312"/>
          <w:color w:val="auto"/>
          <w:sz w:val="32"/>
          <w:szCs w:val="32"/>
          <w:highlight w:val="none"/>
        </w:rPr>
        <w:t>依据来源</w:t>
      </w:r>
      <w:r>
        <w:rPr>
          <w:rFonts w:hint="eastAsia" w:ascii="仿宋_GB2312" w:hAnsi="仿宋_GB2312" w:eastAsia="仿宋_GB2312" w:cs="仿宋_GB2312"/>
          <w:color w:val="auto"/>
          <w:sz w:val="32"/>
          <w:szCs w:val="32"/>
          <w:highlight w:val="none"/>
          <w:lang w:val="en-US" w:eastAsia="zh-CN"/>
        </w:rPr>
        <w:t>为</w:t>
      </w:r>
      <w:r>
        <w:rPr>
          <w:rFonts w:hint="eastAsia" w:ascii="仿宋_GB2312" w:hAnsi="仿宋_GB2312" w:eastAsia="仿宋_GB2312" w:cs="仿宋_GB2312"/>
          <w:color w:val="auto"/>
          <w:sz w:val="32"/>
          <w:szCs w:val="32"/>
          <w:highlight w:val="none"/>
        </w:rPr>
        <w:t>数据审核逻辑参考《高精度温室气体二氧化碳浓度自动观测系统建设指南（气测函〔2023〕20号）》，异常数据判定结合园区监测数据实际范围设定，数据获取率要求参考QX/T429—2018的连续性标准。</w:t>
      </w:r>
    </w:p>
    <w:p w14:paraId="6E8554F9">
      <w:pPr>
        <w:tabs>
          <w:tab w:val="left" w:pos="720"/>
        </w:tabs>
        <w:spacing w:line="560" w:lineRule="exact"/>
        <w:ind w:firstLine="640" w:firstLineChars="200"/>
        <w:rPr>
          <w:rFonts w:hint="eastAsia" w:ascii="仿宋_GB2312" w:hAnsi="仿宋_GB2312" w:eastAsia="仿宋_GB2312" w:cs="仿宋_GB2312"/>
          <w:color w:val="auto"/>
          <w:sz w:val="32"/>
          <w:szCs w:val="32"/>
          <w:highlight w:val="none"/>
        </w:rPr>
      </w:pPr>
      <w:r>
        <w:rPr>
          <w:rFonts w:hint="eastAsia" w:ascii="仿宋_GB2312" w:hAnsi="仿宋_GB2312" w:eastAsia="仿宋_GB2312" w:cs="仿宋_GB2312"/>
          <w:color w:val="auto"/>
          <w:sz w:val="32"/>
          <w:szCs w:val="32"/>
          <w:highlight w:val="none"/>
        </w:rPr>
        <w:t>12.故障响应要求</w:t>
      </w:r>
    </w:p>
    <w:p w14:paraId="7AE4A9FE">
      <w:pPr>
        <w:tabs>
          <w:tab w:val="left" w:pos="720"/>
        </w:tabs>
        <w:spacing w:line="560" w:lineRule="exact"/>
        <w:ind w:firstLine="640" w:firstLineChars="200"/>
        <w:rPr>
          <w:rFonts w:hint="eastAsia" w:ascii="仿宋_GB2312" w:hAnsi="仿宋_GB2312" w:eastAsia="仿宋_GB2312" w:cs="仿宋_GB2312"/>
          <w:color w:val="auto"/>
          <w:sz w:val="32"/>
          <w:szCs w:val="32"/>
          <w:highlight w:val="none"/>
        </w:rPr>
      </w:pPr>
      <w:r>
        <w:rPr>
          <w:rFonts w:hint="eastAsia" w:ascii="仿宋_GB2312" w:hAnsi="仿宋_GB2312" w:eastAsia="仿宋_GB2312" w:cs="仿宋_GB2312"/>
          <w:color w:val="auto"/>
          <w:sz w:val="32"/>
          <w:szCs w:val="32"/>
          <w:highlight w:val="none"/>
        </w:rPr>
        <w:t>主要内容</w:t>
      </w:r>
      <w:r>
        <w:rPr>
          <w:rFonts w:hint="eastAsia" w:ascii="仿宋_GB2312" w:hAnsi="仿宋_GB2312" w:eastAsia="仿宋_GB2312" w:cs="仿宋_GB2312"/>
          <w:color w:val="auto"/>
          <w:sz w:val="32"/>
          <w:szCs w:val="32"/>
          <w:highlight w:val="none"/>
          <w:lang w:val="en-US" w:eastAsia="zh-CN"/>
        </w:rPr>
        <w:t>为</w:t>
      </w:r>
      <w:r>
        <w:rPr>
          <w:rFonts w:hint="eastAsia" w:ascii="仿宋_GB2312" w:hAnsi="仿宋_GB2312" w:eastAsia="仿宋_GB2312" w:cs="仿宋_GB2312"/>
          <w:color w:val="auto"/>
          <w:sz w:val="32"/>
          <w:szCs w:val="32"/>
          <w:highlight w:val="none"/>
        </w:rPr>
        <w:t>故障24小时内响应，7天内完成维修；简单故障（电源、软件问题）1天内处理，一般故障（通讯、流量问题）3天内处理，复杂故障（核心部件问题）7天内处理。依据来源</w:t>
      </w:r>
      <w:r>
        <w:rPr>
          <w:rFonts w:hint="eastAsia" w:ascii="仿宋_GB2312" w:hAnsi="仿宋_GB2312" w:eastAsia="仿宋_GB2312" w:cs="仿宋_GB2312"/>
          <w:color w:val="auto"/>
          <w:sz w:val="32"/>
          <w:szCs w:val="32"/>
          <w:highlight w:val="none"/>
          <w:lang w:val="en-US" w:eastAsia="zh-CN"/>
        </w:rPr>
        <w:t>为</w:t>
      </w:r>
      <w:r>
        <w:rPr>
          <w:rFonts w:hint="eastAsia" w:ascii="仿宋_GB2312" w:hAnsi="仿宋_GB2312" w:eastAsia="仿宋_GB2312" w:cs="仿宋_GB2312"/>
          <w:color w:val="auto"/>
          <w:sz w:val="32"/>
          <w:szCs w:val="32"/>
          <w:highlight w:val="none"/>
        </w:rPr>
        <w:t>参考国内第三方监测机构的故障响应服务规范，结合工业园区对监测数据连续性的需求，按故障难度分级设定时限，平衡维修效率与技术可行性。</w:t>
      </w:r>
    </w:p>
    <w:p w14:paraId="3D72B804">
      <w:pPr>
        <w:autoSpaceDE w:val="0"/>
        <w:autoSpaceDN w:val="0"/>
        <w:adjustRightInd w:val="0"/>
        <w:spacing w:before="156" w:beforeLines="50" w:after="156" w:afterLines="50" w:line="560" w:lineRule="exact"/>
        <w:ind w:firstLine="640" w:firstLineChars="200"/>
        <w:jc w:val="left"/>
        <w:outlineLvl w:val="0"/>
        <w:rPr>
          <w:rFonts w:eastAsia="黑体"/>
          <w:color w:val="auto"/>
          <w:sz w:val="32"/>
          <w:szCs w:val="32"/>
          <w:highlight w:val="none"/>
        </w:rPr>
      </w:pPr>
      <w:bookmarkStart w:id="18" w:name="_Toc13554"/>
      <w:bookmarkStart w:id="19" w:name="_Toc491787891"/>
      <w:bookmarkStart w:id="20" w:name="_Hlk496544501"/>
      <w:r>
        <w:rPr>
          <w:rFonts w:hint="eastAsia" w:eastAsia="黑体"/>
          <w:color w:val="auto"/>
          <w:sz w:val="32"/>
          <w:szCs w:val="32"/>
          <w:highlight w:val="none"/>
        </w:rPr>
        <w:t>八、重大分歧意见的处理经过和依据</w:t>
      </w:r>
      <w:bookmarkEnd w:id="18"/>
      <w:bookmarkEnd w:id="19"/>
    </w:p>
    <w:p w14:paraId="750A4093">
      <w:pPr>
        <w:tabs>
          <w:tab w:val="left" w:pos="720"/>
        </w:tabs>
        <w:spacing w:line="560" w:lineRule="exact"/>
        <w:ind w:firstLine="640" w:firstLineChars="200"/>
        <w:rPr>
          <w:rFonts w:hint="eastAsia" w:ascii="仿宋_GB2312" w:hAnsi="仿宋_GB2312" w:eastAsia="仿宋_GB2312" w:cs="仿宋_GB2312"/>
          <w:color w:val="auto"/>
          <w:sz w:val="32"/>
          <w:szCs w:val="32"/>
          <w:highlight w:val="none"/>
        </w:rPr>
      </w:pPr>
      <w:r>
        <w:rPr>
          <w:rFonts w:hint="eastAsia" w:ascii="仿宋_GB2312" w:hAnsi="仿宋_GB2312" w:eastAsia="仿宋_GB2312" w:cs="仿宋_GB2312"/>
          <w:color w:val="auto"/>
          <w:sz w:val="32"/>
          <w:szCs w:val="32"/>
          <w:highlight w:val="none"/>
        </w:rPr>
        <w:t>本标准研制过程中无重大分歧意见。</w:t>
      </w:r>
    </w:p>
    <w:p w14:paraId="255C406A">
      <w:pPr>
        <w:autoSpaceDE w:val="0"/>
        <w:autoSpaceDN w:val="0"/>
        <w:adjustRightInd w:val="0"/>
        <w:spacing w:before="156" w:beforeLines="50" w:after="156" w:afterLines="50" w:line="560" w:lineRule="exact"/>
        <w:ind w:firstLine="640" w:firstLineChars="200"/>
        <w:jc w:val="left"/>
        <w:outlineLvl w:val="0"/>
        <w:rPr>
          <w:rFonts w:eastAsia="黑体"/>
          <w:color w:val="auto"/>
          <w:sz w:val="32"/>
          <w:szCs w:val="32"/>
          <w:highlight w:val="none"/>
        </w:rPr>
      </w:pPr>
      <w:bookmarkStart w:id="21" w:name="_Toc1791"/>
      <w:r>
        <w:rPr>
          <w:rFonts w:hint="eastAsia" w:eastAsia="黑体"/>
          <w:color w:val="auto"/>
          <w:sz w:val="32"/>
          <w:szCs w:val="32"/>
          <w:highlight w:val="none"/>
        </w:rPr>
        <w:t>九、实施标准的措施</w:t>
      </w:r>
      <w:bookmarkEnd w:id="21"/>
    </w:p>
    <w:p w14:paraId="5F1FE378">
      <w:pPr>
        <w:tabs>
          <w:tab w:val="left" w:pos="720"/>
        </w:tabs>
        <w:spacing w:line="560" w:lineRule="exact"/>
        <w:ind w:firstLine="640" w:firstLineChars="200"/>
        <w:rPr>
          <w:rFonts w:hint="eastAsia" w:ascii="仿宋_GB2312" w:hAnsi="仿宋_GB2312" w:eastAsia="仿宋_GB2312" w:cs="仿宋_GB2312"/>
          <w:color w:val="auto"/>
          <w:sz w:val="32"/>
          <w:szCs w:val="32"/>
          <w:highlight w:val="none"/>
        </w:rPr>
      </w:pPr>
      <w:r>
        <w:rPr>
          <w:rFonts w:hint="eastAsia" w:ascii="仿宋_GB2312" w:hAnsi="仿宋_GB2312" w:eastAsia="仿宋_GB2312" w:cs="仿宋_GB2312"/>
          <w:color w:val="auto"/>
          <w:sz w:val="32"/>
          <w:szCs w:val="32"/>
          <w:highlight w:val="none"/>
        </w:rPr>
        <w:t>团体标准《工业园区温室气体连续监测技术规范》发布后，</w:t>
      </w:r>
      <w:r>
        <w:rPr>
          <w:rFonts w:hint="eastAsia" w:ascii="仿宋_GB2312" w:hAnsi="仿宋_GB2312" w:eastAsia="仿宋_GB2312" w:cs="仿宋_GB2312"/>
          <w:color w:val="auto"/>
          <w:sz w:val="32"/>
          <w:szCs w:val="32"/>
          <w:highlight w:val="none"/>
          <w:lang w:val="en-US" w:eastAsia="zh-CN"/>
        </w:rPr>
        <w:t>起草单位将</w:t>
      </w:r>
      <w:r>
        <w:rPr>
          <w:rFonts w:hint="eastAsia" w:ascii="仿宋_GB2312" w:hAnsi="仿宋_GB2312" w:eastAsia="仿宋_GB2312" w:cs="仿宋_GB2312"/>
          <w:color w:val="auto"/>
          <w:sz w:val="32"/>
          <w:szCs w:val="32"/>
          <w:highlight w:val="none"/>
        </w:rPr>
        <w:t>积极向各级环境保护主管部门、标准认证服务机构宣传，</w:t>
      </w:r>
      <w:r>
        <w:rPr>
          <w:rFonts w:hint="eastAsia" w:ascii="仿宋_GB2312" w:hAnsi="仿宋_GB2312" w:eastAsia="仿宋_GB2312" w:cs="仿宋_GB2312"/>
          <w:color w:val="auto"/>
          <w:sz w:val="32"/>
          <w:szCs w:val="32"/>
          <w:highlight w:val="none"/>
          <w:lang w:val="en-US" w:eastAsia="zh-CN"/>
        </w:rPr>
        <w:t>主要</w:t>
      </w:r>
      <w:r>
        <w:rPr>
          <w:rFonts w:hint="eastAsia" w:ascii="仿宋_GB2312" w:hAnsi="仿宋_GB2312" w:eastAsia="仿宋_GB2312" w:cs="仿宋_GB2312"/>
          <w:color w:val="auto"/>
          <w:sz w:val="32"/>
          <w:szCs w:val="32"/>
          <w:highlight w:val="none"/>
        </w:rPr>
        <w:t>向广西区内所有参与产品碳足迹及中和核算认证机构推荐执行本标准。</w:t>
      </w:r>
    </w:p>
    <w:p w14:paraId="63A5AA3A">
      <w:pPr>
        <w:autoSpaceDE w:val="0"/>
        <w:autoSpaceDN w:val="0"/>
        <w:adjustRightInd w:val="0"/>
        <w:spacing w:before="156" w:beforeLines="50" w:after="156" w:afterLines="50" w:line="560" w:lineRule="exact"/>
        <w:ind w:firstLine="640" w:firstLineChars="200"/>
        <w:jc w:val="left"/>
        <w:rPr>
          <w:rFonts w:hint="eastAsia" w:ascii="楷体" w:hAnsi="楷体" w:eastAsia="楷体" w:cs="楷体"/>
          <w:color w:val="auto"/>
          <w:sz w:val="32"/>
          <w:szCs w:val="32"/>
          <w:highlight w:val="none"/>
        </w:rPr>
      </w:pPr>
      <w:r>
        <w:rPr>
          <w:rFonts w:hint="eastAsia" w:ascii="楷体" w:hAnsi="楷体" w:eastAsia="楷体" w:cs="楷体"/>
          <w:color w:val="auto"/>
          <w:sz w:val="32"/>
          <w:szCs w:val="32"/>
          <w:highlight w:val="none"/>
        </w:rPr>
        <w:t>（一）标准报批发布后，成立标准宣贯工作组</w:t>
      </w:r>
    </w:p>
    <w:p w14:paraId="0CC982F9">
      <w:pPr>
        <w:autoSpaceDE w:val="0"/>
        <w:autoSpaceDN w:val="0"/>
        <w:adjustRightInd w:val="0"/>
        <w:spacing w:before="156" w:beforeLines="50" w:after="156" w:afterLines="50" w:line="560" w:lineRule="exact"/>
        <w:ind w:firstLine="640" w:firstLineChars="200"/>
        <w:rPr>
          <w:rFonts w:ascii="仿宋_GB2312" w:hAnsi="宋体" w:eastAsia="仿宋_GB2312" w:cs="Times New Roman"/>
          <w:color w:val="auto"/>
          <w:sz w:val="32"/>
          <w:szCs w:val="32"/>
          <w:highlight w:val="none"/>
        </w:rPr>
      </w:pPr>
      <w:r>
        <w:rPr>
          <w:rFonts w:hint="eastAsia" w:ascii="仿宋_GB2312" w:hAnsi="宋体" w:eastAsia="仿宋_GB2312" w:cs="Times New Roman"/>
          <w:color w:val="auto"/>
          <w:sz w:val="32"/>
          <w:szCs w:val="32"/>
          <w:highlight w:val="none"/>
        </w:rPr>
        <w:t>本标准发布后，成立以起草单位主要起草人为成员的标准宣贯工作组，主要负责标准的宣贯实施培训计划制定、标准实施交流会策划、标准实施信息反馈收集和标准实施效果评估等工作，并根据标准实施信息反馈和标准实施效果评估情况，及时组织标准复审修订。</w:t>
      </w:r>
    </w:p>
    <w:p w14:paraId="58B321A7">
      <w:pPr>
        <w:autoSpaceDE w:val="0"/>
        <w:autoSpaceDN w:val="0"/>
        <w:adjustRightInd w:val="0"/>
        <w:spacing w:before="156" w:beforeLines="50" w:after="156" w:afterLines="50" w:line="560" w:lineRule="exact"/>
        <w:ind w:firstLine="640" w:firstLineChars="200"/>
        <w:jc w:val="left"/>
        <w:rPr>
          <w:rFonts w:hint="eastAsia" w:ascii="楷体" w:hAnsi="楷体" w:eastAsia="楷体" w:cs="楷体"/>
          <w:color w:val="auto"/>
          <w:sz w:val="32"/>
          <w:szCs w:val="32"/>
          <w:highlight w:val="none"/>
        </w:rPr>
      </w:pPr>
      <w:r>
        <w:rPr>
          <w:rFonts w:hint="eastAsia" w:ascii="楷体" w:hAnsi="楷体" w:eastAsia="楷体" w:cs="楷体"/>
          <w:color w:val="auto"/>
          <w:sz w:val="32"/>
          <w:szCs w:val="32"/>
          <w:highlight w:val="none"/>
        </w:rPr>
        <w:t>（二）组织开展标准宣贯培训</w:t>
      </w:r>
    </w:p>
    <w:p w14:paraId="5F372B8E">
      <w:pPr>
        <w:autoSpaceDE w:val="0"/>
        <w:autoSpaceDN w:val="0"/>
        <w:adjustRightInd w:val="0"/>
        <w:spacing w:before="156" w:beforeLines="50" w:after="156" w:afterLines="50" w:line="560" w:lineRule="exact"/>
        <w:ind w:firstLine="640" w:firstLineChars="200"/>
        <w:rPr>
          <w:rFonts w:ascii="仿宋_GB2312" w:hAnsi="宋体" w:eastAsia="仿宋_GB2312" w:cs="Times New Roman"/>
          <w:color w:val="auto"/>
          <w:sz w:val="32"/>
          <w:szCs w:val="32"/>
          <w:highlight w:val="none"/>
        </w:rPr>
      </w:pPr>
      <w:r>
        <w:rPr>
          <w:rFonts w:hint="eastAsia" w:ascii="仿宋_GB2312" w:hAnsi="宋体" w:eastAsia="仿宋_GB2312" w:cs="Times New Roman"/>
          <w:color w:val="auto"/>
          <w:sz w:val="32"/>
          <w:szCs w:val="32"/>
          <w:highlight w:val="none"/>
        </w:rPr>
        <w:t>标准发布实施后，标准宣贯工作小组制作标准解读宣贯培训PPT课件，</w:t>
      </w:r>
      <w:r>
        <w:rPr>
          <w:rFonts w:hint="eastAsia" w:ascii="仿宋_GB2312" w:hAnsi="宋体" w:eastAsia="仿宋_GB2312"/>
          <w:color w:val="auto"/>
          <w:sz w:val="32"/>
          <w:szCs w:val="32"/>
          <w:highlight w:val="none"/>
        </w:rPr>
        <w:t>积极向各级环境保护主管部门、标准认证服务机构宣传，向广西区内所有参与产品碳足迹及中和核算认证机构推荐执行本标准</w:t>
      </w:r>
      <w:r>
        <w:rPr>
          <w:rFonts w:hint="eastAsia" w:ascii="仿宋_GB2312" w:hAnsi="宋体" w:eastAsia="仿宋_GB2312"/>
          <w:color w:val="auto"/>
          <w:sz w:val="32"/>
          <w:szCs w:val="32"/>
          <w:highlight w:val="none"/>
          <w:lang w:eastAsia="zh-CN"/>
        </w:rPr>
        <w:t>，</w:t>
      </w:r>
      <w:r>
        <w:rPr>
          <w:rFonts w:hint="eastAsia" w:ascii="仿宋_GB2312" w:hAnsi="宋体" w:eastAsia="仿宋_GB2312" w:cs="Times New Roman"/>
          <w:color w:val="auto"/>
          <w:sz w:val="32"/>
          <w:szCs w:val="32"/>
          <w:highlight w:val="none"/>
        </w:rPr>
        <w:t>并按标准宣贯培训计划开展标准宣贯培训，对标准进行逐条解读，让管理人员和技术人员掌握标准核心技术内容，助力标准实施落地。</w:t>
      </w:r>
    </w:p>
    <w:p w14:paraId="6E671926">
      <w:pPr>
        <w:autoSpaceDE w:val="0"/>
        <w:autoSpaceDN w:val="0"/>
        <w:adjustRightInd w:val="0"/>
        <w:spacing w:before="156" w:beforeLines="50" w:after="156" w:afterLines="50" w:line="560" w:lineRule="exact"/>
        <w:ind w:firstLine="640" w:firstLineChars="200"/>
        <w:jc w:val="left"/>
        <w:rPr>
          <w:rFonts w:hint="eastAsia" w:ascii="楷体" w:hAnsi="楷体" w:eastAsia="楷体" w:cs="楷体"/>
          <w:color w:val="auto"/>
          <w:sz w:val="32"/>
          <w:szCs w:val="32"/>
          <w:highlight w:val="none"/>
        </w:rPr>
      </w:pPr>
      <w:r>
        <w:rPr>
          <w:rFonts w:hint="eastAsia" w:ascii="楷体" w:hAnsi="楷体" w:eastAsia="楷体" w:cs="楷体"/>
          <w:color w:val="auto"/>
          <w:sz w:val="32"/>
          <w:szCs w:val="32"/>
          <w:highlight w:val="none"/>
        </w:rPr>
        <w:t>（三）开展标准实施交流会，收集标准实施反馈信息</w:t>
      </w:r>
    </w:p>
    <w:p w14:paraId="0F4B85C7">
      <w:pPr>
        <w:autoSpaceDE w:val="0"/>
        <w:autoSpaceDN w:val="0"/>
        <w:adjustRightInd w:val="0"/>
        <w:spacing w:before="156" w:beforeLines="50" w:after="156" w:afterLines="50" w:line="560" w:lineRule="exact"/>
        <w:ind w:firstLine="640" w:firstLineChars="200"/>
        <w:rPr>
          <w:rFonts w:ascii="仿宋_GB2312" w:hAnsi="宋体" w:eastAsia="仿宋_GB2312" w:cs="Times New Roman"/>
          <w:color w:val="auto"/>
          <w:sz w:val="32"/>
          <w:szCs w:val="32"/>
          <w:highlight w:val="none"/>
        </w:rPr>
      </w:pPr>
      <w:r>
        <w:rPr>
          <w:rFonts w:hint="eastAsia" w:ascii="仿宋_GB2312" w:hAnsi="宋体" w:eastAsia="仿宋_GB2312" w:cs="Times New Roman"/>
          <w:color w:val="auto"/>
          <w:sz w:val="32"/>
          <w:szCs w:val="32"/>
          <w:highlight w:val="none"/>
        </w:rPr>
        <w:t>标准起草小组</w:t>
      </w:r>
      <w:r>
        <w:rPr>
          <w:rFonts w:hint="eastAsia" w:ascii="仿宋_GB2312" w:hAnsi="宋体" w:eastAsia="仿宋_GB2312"/>
          <w:color w:val="auto"/>
          <w:sz w:val="32"/>
          <w:szCs w:val="32"/>
          <w:highlight w:val="none"/>
        </w:rPr>
        <w:t>深入</w:t>
      </w:r>
      <w:r>
        <w:rPr>
          <w:rFonts w:hint="eastAsia" w:ascii="仿宋_GB2312" w:hAnsi="宋体" w:eastAsia="仿宋_GB2312"/>
          <w:color w:val="auto"/>
          <w:sz w:val="32"/>
          <w:szCs w:val="32"/>
          <w:highlight w:val="none"/>
          <w:lang w:val="en-US" w:eastAsia="zh-CN"/>
        </w:rPr>
        <w:t>相关认证机构</w:t>
      </w:r>
      <w:r>
        <w:rPr>
          <w:rFonts w:hint="eastAsia" w:ascii="仿宋_GB2312" w:hAnsi="宋体" w:eastAsia="仿宋_GB2312"/>
          <w:color w:val="auto"/>
          <w:sz w:val="32"/>
          <w:szCs w:val="32"/>
          <w:highlight w:val="none"/>
        </w:rPr>
        <w:t>组织技术人员召开标准实施交流会</w:t>
      </w:r>
      <w:r>
        <w:rPr>
          <w:rFonts w:hint="eastAsia" w:ascii="仿宋_GB2312" w:hAnsi="宋体" w:eastAsia="仿宋_GB2312" w:cs="Times New Roman"/>
          <w:color w:val="auto"/>
          <w:sz w:val="32"/>
          <w:szCs w:val="32"/>
          <w:highlight w:val="none"/>
        </w:rPr>
        <w:t>，听取标准实施过程中存在的问题并做好记录和解答，对存在的问题组织专家团队进行研讨。</w:t>
      </w:r>
    </w:p>
    <w:p w14:paraId="0CDE503B">
      <w:pPr>
        <w:autoSpaceDE w:val="0"/>
        <w:autoSpaceDN w:val="0"/>
        <w:adjustRightInd w:val="0"/>
        <w:spacing w:before="156" w:beforeLines="50" w:after="156" w:afterLines="50" w:line="560" w:lineRule="exact"/>
        <w:ind w:firstLine="640" w:firstLineChars="200"/>
        <w:jc w:val="left"/>
        <w:rPr>
          <w:rFonts w:hint="eastAsia" w:ascii="楷体" w:hAnsi="楷体" w:eastAsia="楷体" w:cs="楷体"/>
          <w:color w:val="auto"/>
          <w:sz w:val="32"/>
          <w:szCs w:val="32"/>
          <w:highlight w:val="none"/>
        </w:rPr>
      </w:pPr>
      <w:r>
        <w:rPr>
          <w:rFonts w:hint="eastAsia" w:ascii="楷体" w:hAnsi="楷体" w:eastAsia="楷体" w:cs="楷体"/>
          <w:color w:val="auto"/>
          <w:sz w:val="32"/>
          <w:szCs w:val="32"/>
          <w:highlight w:val="none"/>
        </w:rPr>
        <w:t>（四）开展标准实施效果评估</w:t>
      </w:r>
    </w:p>
    <w:p w14:paraId="29587675">
      <w:pPr>
        <w:autoSpaceDE w:val="0"/>
        <w:autoSpaceDN w:val="0"/>
        <w:adjustRightInd w:val="0"/>
        <w:spacing w:before="156" w:beforeLines="50" w:after="156" w:afterLines="50" w:line="560" w:lineRule="exact"/>
        <w:ind w:firstLine="640" w:firstLineChars="200"/>
        <w:rPr>
          <w:rFonts w:hint="eastAsia" w:ascii="仿宋" w:hAnsi="仿宋" w:eastAsia="仿宋"/>
          <w:color w:val="auto"/>
          <w:sz w:val="32"/>
          <w:szCs w:val="32"/>
          <w:highlight w:val="none"/>
        </w:rPr>
      </w:pPr>
      <w:r>
        <w:rPr>
          <w:rFonts w:hint="eastAsia" w:ascii="仿宋_GB2312" w:hAnsi="宋体" w:eastAsia="仿宋_GB2312" w:cs="Times New Roman"/>
          <w:color w:val="auto"/>
          <w:sz w:val="32"/>
          <w:szCs w:val="32"/>
          <w:highlight w:val="none"/>
        </w:rPr>
        <w:t>每年标准宣贯工作组采取网络调查、问卷调查、实地调研、召开座谈会</w:t>
      </w:r>
      <w:r>
        <w:rPr>
          <w:rFonts w:hint="eastAsia" w:ascii="仿宋_GB2312" w:hAnsi="宋体" w:eastAsia="仿宋_GB2312" w:cs="Times New Roman"/>
          <w:color w:val="auto"/>
          <w:sz w:val="32"/>
          <w:szCs w:val="32"/>
          <w:highlight w:val="none"/>
          <w:lang w:val="en-US" w:eastAsia="zh-CN"/>
        </w:rPr>
        <w:t xml:space="preserve"> </w:t>
      </w:r>
      <w:r>
        <w:rPr>
          <w:rFonts w:hint="eastAsia" w:ascii="仿宋_GB2312" w:hAnsi="宋体" w:eastAsia="仿宋_GB2312" w:cs="Times New Roman"/>
          <w:color w:val="auto"/>
          <w:sz w:val="32"/>
          <w:szCs w:val="32"/>
          <w:highlight w:val="none"/>
        </w:rPr>
        <w:t>或论证会、专家咨询等方式开展标准实施效果评估，并形成标准实施效果评估报告，为标准的复审修订做准备。</w:t>
      </w:r>
    </w:p>
    <w:p w14:paraId="65665EF0">
      <w:pPr>
        <w:autoSpaceDE w:val="0"/>
        <w:autoSpaceDN w:val="0"/>
        <w:adjustRightInd w:val="0"/>
        <w:spacing w:before="156" w:beforeLines="50" w:after="156" w:afterLines="50" w:line="560" w:lineRule="exact"/>
        <w:ind w:firstLine="640" w:firstLineChars="200"/>
        <w:jc w:val="left"/>
        <w:outlineLvl w:val="0"/>
        <w:rPr>
          <w:rFonts w:eastAsia="黑体"/>
          <w:color w:val="auto"/>
          <w:sz w:val="32"/>
          <w:szCs w:val="32"/>
          <w:highlight w:val="none"/>
        </w:rPr>
      </w:pPr>
      <w:bookmarkStart w:id="22" w:name="_Toc23367"/>
      <w:r>
        <w:rPr>
          <w:rFonts w:hint="eastAsia" w:eastAsia="黑体"/>
          <w:color w:val="auto"/>
          <w:sz w:val="32"/>
          <w:szCs w:val="32"/>
          <w:highlight w:val="none"/>
        </w:rPr>
        <w:t>十、自我承诺</w:t>
      </w:r>
      <w:bookmarkEnd w:id="22"/>
    </w:p>
    <w:p w14:paraId="2355100E">
      <w:pPr>
        <w:tabs>
          <w:tab w:val="left" w:pos="720"/>
        </w:tabs>
        <w:spacing w:line="560" w:lineRule="exact"/>
        <w:ind w:firstLine="640" w:firstLineChars="200"/>
        <w:rPr>
          <w:rFonts w:hint="eastAsia" w:ascii="仿宋_GB2312" w:hAnsi="仿宋_GB2312" w:eastAsia="仿宋_GB2312" w:cs="仿宋_GB2312"/>
          <w:color w:val="auto"/>
          <w:sz w:val="32"/>
          <w:szCs w:val="32"/>
          <w:highlight w:val="none"/>
        </w:rPr>
      </w:pPr>
      <w:r>
        <w:rPr>
          <w:rFonts w:hint="eastAsia" w:ascii="仿宋_GB2312" w:hAnsi="仿宋_GB2312" w:eastAsia="仿宋_GB2312" w:cs="仿宋_GB2312"/>
          <w:color w:val="auto"/>
          <w:sz w:val="32"/>
          <w:szCs w:val="32"/>
          <w:highlight w:val="none"/>
        </w:rPr>
        <w:t>本文件内容和各项指标不低于国家强制性标准</w:t>
      </w:r>
      <w:r>
        <w:rPr>
          <w:rFonts w:hint="eastAsia" w:ascii="仿宋_GB2312" w:hAnsi="仿宋_GB2312" w:eastAsia="仿宋_GB2312" w:cs="仿宋_GB2312"/>
          <w:color w:val="auto"/>
          <w:sz w:val="32"/>
          <w:szCs w:val="32"/>
          <w:highlight w:val="none"/>
          <w:lang w:eastAsia="zh-CN"/>
        </w:rPr>
        <w:t>，</w:t>
      </w:r>
      <w:r>
        <w:rPr>
          <w:rFonts w:hint="eastAsia" w:ascii="仿宋_GB2312" w:hAnsi="仿宋_GB2312" w:eastAsia="仿宋_GB2312" w:cs="仿宋_GB2312"/>
          <w:color w:val="auto"/>
          <w:sz w:val="32"/>
          <w:szCs w:val="32"/>
          <w:highlight w:val="none"/>
        </w:rPr>
        <w:t>也</w:t>
      </w:r>
      <w:r>
        <w:rPr>
          <w:rFonts w:hint="eastAsia" w:ascii="仿宋_GB2312" w:hAnsi="仿宋_GB2312" w:eastAsia="仿宋_GB2312" w:cs="仿宋_GB2312"/>
          <w:color w:val="auto"/>
          <w:sz w:val="32"/>
          <w:szCs w:val="32"/>
          <w:highlight w:val="none"/>
          <w:lang w:eastAsia="zh-CN"/>
        </w:rPr>
        <w:t>不存</w:t>
      </w:r>
      <w:r>
        <w:rPr>
          <w:rFonts w:hint="eastAsia" w:ascii="仿宋_GB2312" w:hAnsi="仿宋_GB2312" w:eastAsia="仿宋_GB2312" w:cs="仿宋_GB2312"/>
          <w:color w:val="auto"/>
          <w:sz w:val="32"/>
          <w:szCs w:val="32"/>
          <w:highlight w:val="none"/>
        </w:rPr>
        <w:t>在内容或某项指标低于推荐性国家标准的情况。</w:t>
      </w:r>
    </w:p>
    <w:p w14:paraId="1155AE06">
      <w:pPr>
        <w:autoSpaceDE w:val="0"/>
        <w:autoSpaceDN w:val="0"/>
        <w:adjustRightInd w:val="0"/>
        <w:spacing w:before="156" w:beforeLines="50" w:after="156" w:afterLines="50" w:line="560" w:lineRule="exact"/>
        <w:ind w:firstLine="640" w:firstLineChars="200"/>
        <w:jc w:val="left"/>
        <w:outlineLvl w:val="0"/>
        <w:rPr>
          <w:rFonts w:eastAsia="黑体"/>
          <w:color w:val="auto"/>
          <w:sz w:val="32"/>
          <w:szCs w:val="32"/>
          <w:highlight w:val="none"/>
        </w:rPr>
      </w:pPr>
      <w:bookmarkStart w:id="23" w:name="_Toc491787893"/>
      <w:bookmarkStart w:id="24" w:name="_Toc24150"/>
      <w:r>
        <w:rPr>
          <w:rFonts w:hint="eastAsia" w:eastAsia="黑体"/>
          <w:color w:val="auto"/>
          <w:sz w:val="32"/>
          <w:szCs w:val="32"/>
          <w:highlight w:val="none"/>
        </w:rPr>
        <w:t>十一、贯彻标准的要求和措施建议</w:t>
      </w:r>
      <w:bookmarkEnd w:id="23"/>
      <w:bookmarkEnd w:id="24"/>
    </w:p>
    <w:bookmarkEnd w:id="20"/>
    <w:p w14:paraId="1F01D3DB">
      <w:pPr>
        <w:tabs>
          <w:tab w:val="left" w:pos="720"/>
        </w:tabs>
        <w:spacing w:line="560" w:lineRule="exact"/>
        <w:ind w:firstLine="640" w:firstLineChars="200"/>
        <w:rPr>
          <w:rFonts w:hint="eastAsia" w:ascii="仿宋_GB2312" w:hAnsi="仿宋_GB2312" w:eastAsia="仿宋_GB2312" w:cs="仿宋_GB2312"/>
          <w:color w:val="auto"/>
          <w:sz w:val="32"/>
          <w:szCs w:val="32"/>
          <w:highlight w:val="none"/>
        </w:rPr>
      </w:pPr>
      <w:r>
        <w:rPr>
          <w:rFonts w:hint="eastAsia" w:ascii="仿宋_GB2312" w:hAnsi="仿宋_GB2312" w:eastAsia="仿宋_GB2312" w:cs="仿宋_GB2312"/>
          <w:color w:val="auto"/>
          <w:sz w:val="32"/>
          <w:szCs w:val="32"/>
          <w:highlight w:val="none"/>
        </w:rPr>
        <w:t>本标准为团体标准，对</w:t>
      </w:r>
      <w:r>
        <w:rPr>
          <w:rFonts w:hint="eastAsia" w:ascii="仿宋_GB2312" w:hAnsi="仿宋_GB2312" w:eastAsia="仿宋_GB2312" w:cs="仿宋_GB2312"/>
          <w:color w:val="auto"/>
          <w:sz w:val="32"/>
          <w:szCs w:val="32"/>
          <w:highlight w:val="none"/>
          <w:lang w:val="en-US" w:eastAsia="zh-CN"/>
        </w:rPr>
        <w:t>温室气体监测</w:t>
      </w:r>
      <w:r>
        <w:rPr>
          <w:rFonts w:hint="eastAsia" w:ascii="仿宋_GB2312" w:hAnsi="仿宋_GB2312" w:eastAsia="仿宋_GB2312" w:cs="仿宋_GB2312"/>
          <w:color w:val="auto"/>
          <w:sz w:val="32"/>
          <w:szCs w:val="32"/>
          <w:highlight w:val="none"/>
        </w:rPr>
        <w:t>服务具有一定的指导作用。为了使本标准在发布后能够落地实施，一</w:t>
      </w:r>
      <w:r>
        <w:rPr>
          <w:rFonts w:hint="eastAsia" w:ascii="仿宋_GB2312" w:hAnsi="仿宋_GB2312" w:eastAsia="仿宋_GB2312" w:cs="仿宋_GB2312"/>
          <w:color w:val="auto"/>
          <w:sz w:val="32"/>
          <w:szCs w:val="32"/>
          <w:highlight w:val="none"/>
          <w:lang w:val="en-US" w:eastAsia="zh-CN"/>
        </w:rPr>
        <w:t>是建议</w:t>
      </w:r>
      <w:r>
        <w:rPr>
          <w:rFonts w:hint="eastAsia" w:ascii="仿宋_GB2312" w:hAnsi="仿宋_GB2312" w:eastAsia="仿宋_GB2312" w:cs="仿宋_GB2312"/>
          <w:color w:val="auto"/>
          <w:sz w:val="32"/>
          <w:szCs w:val="32"/>
          <w:highlight w:val="none"/>
        </w:rPr>
        <w:t>相关主管部门应加大标准宣传，可有</w:t>
      </w:r>
      <w:r>
        <w:rPr>
          <w:rFonts w:hint="eastAsia" w:ascii="仿宋_GB2312" w:hAnsi="仿宋_GB2312" w:eastAsia="仿宋_GB2312" w:cs="仿宋_GB2312"/>
          <w:color w:val="auto"/>
          <w:sz w:val="32"/>
          <w:szCs w:val="32"/>
          <w:highlight w:val="none"/>
          <w:lang w:eastAsia="zh-CN"/>
        </w:rPr>
        <w:t>针对性地</w:t>
      </w:r>
      <w:r>
        <w:rPr>
          <w:rFonts w:hint="eastAsia" w:ascii="仿宋_GB2312" w:hAnsi="仿宋_GB2312" w:eastAsia="仿宋_GB2312" w:cs="仿宋_GB2312"/>
          <w:color w:val="auto"/>
          <w:sz w:val="32"/>
          <w:szCs w:val="32"/>
          <w:highlight w:val="none"/>
        </w:rPr>
        <w:t>开展相关宣贯培训活动，适时现场调查，保证标准科学、合理、有效使用；二</w:t>
      </w:r>
      <w:r>
        <w:rPr>
          <w:rFonts w:hint="eastAsia" w:ascii="仿宋_GB2312" w:hAnsi="仿宋_GB2312" w:eastAsia="仿宋_GB2312" w:cs="仿宋_GB2312"/>
          <w:color w:val="auto"/>
          <w:sz w:val="32"/>
          <w:szCs w:val="32"/>
          <w:highlight w:val="none"/>
          <w:lang w:val="en-US" w:eastAsia="zh-CN"/>
        </w:rPr>
        <w:t>是建议</w:t>
      </w:r>
      <w:r>
        <w:rPr>
          <w:rFonts w:hint="eastAsia" w:ascii="仿宋_GB2312" w:hAnsi="仿宋_GB2312" w:eastAsia="仿宋_GB2312" w:cs="仿宋_GB2312"/>
          <w:color w:val="auto"/>
          <w:sz w:val="32"/>
          <w:szCs w:val="32"/>
          <w:highlight w:val="none"/>
        </w:rPr>
        <w:t>各类服务机构应积极贯彻实施本标准，提高</w:t>
      </w:r>
      <w:r>
        <w:rPr>
          <w:rFonts w:hint="eastAsia" w:ascii="仿宋_GB2312" w:hAnsi="仿宋_GB2312" w:eastAsia="仿宋_GB2312" w:cs="仿宋_GB2312"/>
          <w:color w:val="auto"/>
          <w:sz w:val="32"/>
          <w:szCs w:val="32"/>
          <w:highlight w:val="none"/>
          <w:lang w:val="en-US" w:eastAsia="zh-CN"/>
        </w:rPr>
        <w:t>温室气体监测</w:t>
      </w:r>
      <w:r>
        <w:rPr>
          <w:rFonts w:hint="eastAsia" w:ascii="仿宋_GB2312" w:hAnsi="仿宋_GB2312" w:eastAsia="仿宋_GB2312" w:cs="仿宋_GB2312"/>
          <w:color w:val="auto"/>
          <w:sz w:val="32"/>
          <w:szCs w:val="32"/>
          <w:highlight w:val="none"/>
        </w:rPr>
        <w:t>服务质量，在实施本标准过程中如有发现新的问题，应主动积极向有关部门提出，根据需要进行相应的调整和修订，使得本标准更好发挥规范指导作用。</w:t>
      </w:r>
    </w:p>
    <w:p w14:paraId="0006486E">
      <w:pPr>
        <w:tabs>
          <w:tab w:val="left" w:pos="720"/>
        </w:tabs>
        <w:spacing w:line="560" w:lineRule="exact"/>
        <w:ind w:firstLine="640" w:firstLineChars="200"/>
        <w:rPr>
          <w:rFonts w:hint="eastAsia" w:ascii="仿宋" w:hAnsi="仿宋" w:eastAsia="仿宋"/>
          <w:color w:val="auto"/>
          <w:sz w:val="32"/>
          <w:szCs w:val="32"/>
          <w:highlight w:val="none"/>
        </w:rPr>
      </w:pPr>
    </w:p>
    <w:p w14:paraId="7ED03701">
      <w:pPr>
        <w:wordWrap w:val="0"/>
        <w:spacing w:line="560" w:lineRule="exact"/>
        <w:jc w:val="right"/>
        <w:rPr>
          <w:rFonts w:hint="default"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rPr>
        <w:t>团体标准《工业园区温室气体连续监测技术规范》</w:t>
      </w:r>
      <w:r>
        <w:rPr>
          <w:rFonts w:hint="eastAsia" w:ascii="仿宋_GB2312" w:hAnsi="仿宋_GB2312" w:eastAsia="仿宋_GB2312" w:cs="仿宋_GB2312"/>
          <w:color w:val="auto"/>
          <w:sz w:val="32"/>
          <w:szCs w:val="32"/>
          <w:highlight w:val="none"/>
          <w:lang w:val="en-US" w:eastAsia="zh-CN"/>
        </w:rPr>
        <w:t xml:space="preserve">  </w:t>
      </w:r>
    </w:p>
    <w:p w14:paraId="2218C4AB">
      <w:pPr>
        <w:wordWrap w:val="0"/>
        <w:spacing w:line="560" w:lineRule="exact"/>
        <w:jc w:val="right"/>
        <w:rPr>
          <w:rFonts w:hint="default"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rPr>
        <w:t>编制工作组</w:t>
      </w:r>
      <w:r>
        <w:rPr>
          <w:rFonts w:hint="eastAsia" w:ascii="仿宋_GB2312" w:hAnsi="仿宋_GB2312" w:eastAsia="仿宋_GB2312" w:cs="仿宋_GB2312"/>
          <w:color w:val="auto"/>
          <w:sz w:val="32"/>
          <w:szCs w:val="32"/>
          <w:highlight w:val="none"/>
          <w:lang w:val="en-US" w:eastAsia="zh-CN"/>
        </w:rPr>
        <w:t xml:space="preserve">    </w:t>
      </w:r>
    </w:p>
    <w:p w14:paraId="137A8949">
      <w:pPr>
        <w:wordWrap w:val="0"/>
        <w:spacing w:line="560" w:lineRule="exact"/>
        <w:jc w:val="right"/>
        <w:rPr>
          <w:rFonts w:hint="eastAsia" w:ascii="仿宋" w:hAnsi="仿宋" w:eastAsia="仿宋"/>
          <w:color w:val="auto"/>
          <w:sz w:val="32"/>
          <w:szCs w:val="32"/>
          <w:highlight w:val="none"/>
        </w:rPr>
      </w:pPr>
      <w:r>
        <w:rPr>
          <w:rFonts w:hint="eastAsia" w:ascii="仿宋_GB2312" w:hAnsi="仿宋_GB2312" w:eastAsia="仿宋_GB2312" w:cs="仿宋_GB2312"/>
          <w:color w:val="auto"/>
          <w:sz w:val="32"/>
          <w:szCs w:val="32"/>
          <w:highlight w:val="none"/>
        </w:rPr>
        <w:t>202</w:t>
      </w:r>
      <w:r>
        <w:rPr>
          <w:rFonts w:hint="eastAsia" w:ascii="仿宋_GB2312" w:hAnsi="仿宋_GB2312" w:eastAsia="仿宋_GB2312" w:cs="仿宋_GB2312"/>
          <w:color w:val="auto"/>
          <w:sz w:val="32"/>
          <w:szCs w:val="32"/>
          <w:highlight w:val="none"/>
          <w:lang w:val="en-US" w:eastAsia="zh-CN"/>
        </w:rPr>
        <w:t>5</w:t>
      </w:r>
      <w:r>
        <w:rPr>
          <w:rFonts w:hint="eastAsia" w:ascii="仿宋_GB2312" w:hAnsi="仿宋_GB2312" w:eastAsia="仿宋_GB2312" w:cs="仿宋_GB2312"/>
          <w:color w:val="auto"/>
          <w:sz w:val="32"/>
          <w:szCs w:val="32"/>
          <w:highlight w:val="none"/>
        </w:rPr>
        <w:t>年</w:t>
      </w:r>
      <w:r>
        <w:rPr>
          <w:rFonts w:hint="eastAsia" w:ascii="仿宋_GB2312" w:hAnsi="仿宋_GB2312" w:eastAsia="仿宋_GB2312" w:cs="仿宋_GB2312"/>
          <w:color w:val="auto"/>
          <w:sz w:val="32"/>
          <w:szCs w:val="32"/>
          <w:highlight w:val="none"/>
          <w:lang w:val="en-US" w:eastAsia="zh-CN"/>
        </w:rPr>
        <w:t>9</w:t>
      </w:r>
      <w:r>
        <w:rPr>
          <w:rFonts w:hint="eastAsia" w:ascii="仿宋_GB2312" w:hAnsi="仿宋_GB2312" w:eastAsia="仿宋_GB2312" w:cs="仿宋_GB2312"/>
          <w:color w:val="auto"/>
          <w:sz w:val="32"/>
          <w:szCs w:val="32"/>
          <w:highlight w:val="none"/>
        </w:rPr>
        <w:t>月</w:t>
      </w:r>
      <w:r>
        <w:rPr>
          <w:rFonts w:hint="eastAsia" w:ascii="仿宋_GB2312" w:hAnsi="仿宋_GB2312" w:eastAsia="仿宋_GB2312" w:cs="仿宋_GB2312"/>
          <w:color w:val="auto"/>
          <w:sz w:val="32"/>
          <w:szCs w:val="32"/>
          <w:highlight w:val="none"/>
          <w:lang w:val="en-US" w:eastAsia="zh-CN"/>
        </w:rPr>
        <w:t>2</w:t>
      </w:r>
      <w:r>
        <w:rPr>
          <w:rFonts w:hint="eastAsia" w:ascii="仿宋_GB2312" w:hAnsi="仿宋_GB2312" w:eastAsia="仿宋_GB2312" w:cs="仿宋_GB2312"/>
          <w:color w:val="auto"/>
          <w:sz w:val="32"/>
          <w:szCs w:val="32"/>
          <w:highlight w:val="none"/>
        </w:rPr>
        <w:t>日</w:t>
      </w:r>
      <w:r>
        <w:rPr>
          <w:rFonts w:hint="eastAsia" w:ascii="仿宋_GB2312" w:hAnsi="仿宋_GB2312" w:eastAsia="仿宋_GB2312" w:cs="仿宋_GB2312"/>
          <w:color w:val="auto"/>
          <w:sz w:val="32"/>
          <w:szCs w:val="32"/>
          <w:highlight w:val="none"/>
          <w:lang w:val="en-US" w:eastAsia="zh-CN"/>
        </w:rPr>
        <w:t xml:space="preserve">  </w:t>
      </w:r>
    </w:p>
    <w:p w14:paraId="24292A76">
      <w:pPr>
        <w:rPr>
          <w:color w:val="auto"/>
          <w:sz w:val="28"/>
          <w:szCs w:val="28"/>
          <w:highlight w:val="none"/>
        </w:rPr>
      </w:pPr>
    </w:p>
    <w:p w14:paraId="26D050EF"/>
    <w:sectPr>
      <w:footerReference r:id="rId3" w:type="default"/>
      <w:pgSz w:w="11906" w:h="16838"/>
      <w:pgMar w:top="1440" w:right="1800" w:bottom="1440" w:left="1800" w:header="851" w:footer="992" w:gutter="0"/>
      <w:pgNumType w:start="1"/>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BA"/>
    <w:family w:val="auto"/>
    <w:pitch w:val="default"/>
    <w:sig w:usb0="E0002EFF" w:usb1="C000785B" w:usb2="00000009" w:usb3="00000000" w:csb0="400001FF" w:csb1="FFFF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仿宋">
    <w:panose1 w:val="02010609060101010101"/>
    <w:charset w:val="86"/>
    <w:family w:val="modern"/>
    <w:pitch w:val="default"/>
    <w:sig w:usb0="800002BF" w:usb1="38CF7CFA" w:usb2="00000016" w:usb3="00000000" w:csb0="00040001" w:csb1="00000000"/>
  </w:font>
  <w:font w:name="仿宋_GB2312">
    <w:panose1 w:val="02010609030101010101"/>
    <w:charset w:val="86"/>
    <w:family w:val="modern"/>
    <w:pitch w:val="default"/>
    <w:sig w:usb0="00000001" w:usb1="080E0000" w:usb2="00000000" w:usb3="00000000" w:csb0="00040000" w:csb1="00000000"/>
  </w:font>
  <w:font w:name="楷体">
    <w:panose1 w:val="02010609060101010101"/>
    <w:charset w:val="86"/>
    <w:family w:val="modern"/>
    <w:pitch w:val="default"/>
    <w:sig w:usb0="800002BF" w:usb1="38CF7CFA" w:usb2="00000016" w:usb3="00000000" w:csb0="00040001" w:csb1="00000000"/>
  </w:font>
  <w:font w:name="方正仿宋_GB2312">
    <w:panose1 w:val="02000000000000000000"/>
    <w:charset w:val="86"/>
    <w:family w:val="auto"/>
    <w:pitch w:val="default"/>
    <w:sig w:usb0="A00002BF" w:usb1="184F6CFA" w:usb2="00000012" w:usb3="00000000" w:csb0="00040001" w:csb1="00000000"/>
  </w:font>
  <w:font w:name="等线">
    <w:panose1 w:val="02010600030101010101"/>
    <w:charset w:val="86"/>
    <w:family w:val="auto"/>
    <w:pitch w:val="default"/>
    <w:sig w:usb0="A00002BF" w:usb1="38CF7CFA" w:usb2="00000016" w:usb3="00000000" w:csb0="0004000F" w:csb1="00000000"/>
  </w:font>
  <w:font w:name="MS PGothic">
    <w:panose1 w:val="020B0600070205080204"/>
    <w:charset w:val="80"/>
    <w:family w:val="auto"/>
    <w:pitch w:val="default"/>
    <w:sig w:usb0="E00002FF" w:usb1="6AC7FDFB" w:usb2="08000012" w:usb3="00000000" w:csb0="4002009F" w:csb1="DFD70000"/>
  </w:font>
  <w:font w:name="Segoe UI">
    <w:panose1 w:val="020B0502040204020203"/>
    <w:charset w:val="00"/>
    <w:family w:val="auto"/>
    <w:pitch w:val="default"/>
    <w:sig w:usb0="E4002EFF" w:usb1="C000E47F" w:usb2="00000009" w:usb3="00000000" w:csb0="2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7831E6D">
    <w:pPr>
      <w:pStyle w:val="2"/>
    </w:pPr>
    <w:r>
      <mc:AlternateContent>
        <mc:Choice Requires="wps">
          <w:drawing>
            <wp:anchor distT="0" distB="0" distL="114300" distR="114300" simplePos="0" relativeHeight="251659264" behindDoc="0" locked="0" layoutInCell="1" allowOverlap="1">
              <wp:simplePos x="0" y="0"/>
              <wp:positionH relativeFrom="margin">
                <wp:posOffset>2576830</wp:posOffset>
              </wp:positionH>
              <wp:positionV relativeFrom="paragraph">
                <wp:posOffset>0</wp:posOffset>
              </wp:positionV>
              <wp:extent cx="414020" cy="431165"/>
              <wp:effectExtent l="0" t="0" r="0" b="0"/>
              <wp:wrapNone/>
              <wp:docPr id="15" name="文本框 15"/>
              <wp:cNvGraphicFramePr/>
              <a:graphic xmlns:a="http://schemas.openxmlformats.org/drawingml/2006/main">
                <a:graphicData uri="http://schemas.microsoft.com/office/word/2010/wordprocessingShape">
                  <wps:wsp>
                    <wps:cNvSpPr txBox="1"/>
                    <wps:spPr>
                      <a:xfrm>
                        <a:off x="0" y="0"/>
                        <a:ext cx="414020" cy="43116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1E15BD7F">
                          <w:pPr>
                            <w:pStyle w:val="2"/>
                            <w:rPr>
                              <w:sz w:val="24"/>
                              <w:szCs w:val="40"/>
                            </w:rPr>
                          </w:pPr>
                          <w:r>
                            <w:rPr>
                              <w:sz w:val="24"/>
                              <w:szCs w:val="40"/>
                            </w:rPr>
                            <w:fldChar w:fldCharType="begin"/>
                          </w:r>
                          <w:r>
                            <w:rPr>
                              <w:sz w:val="24"/>
                              <w:szCs w:val="40"/>
                            </w:rPr>
                            <w:instrText xml:space="preserve"> PAGE  \* MERGEFORMAT </w:instrText>
                          </w:r>
                          <w:r>
                            <w:rPr>
                              <w:sz w:val="24"/>
                              <w:szCs w:val="40"/>
                            </w:rPr>
                            <w:fldChar w:fldCharType="separate"/>
                          </w:r>
                          <w:r>
                            <w:rPr>
                              <w:sz w:val="24"/>
                              <w:szCs w:val="40"/>
                            </w:rPr>
                            <w:t>3</w:t>
                          </w:r>
                          <w:r>
                            <w:rPr>
                              <w:sz w:val="24"/>
                              <w:szCs w:val="40"/>
                            </w:rPr>
                            <w:fldChar w:fldCharType="end"/>
                          </w:r>
                        </w:p>
                      </w:txbxContent>
                    </wps:txbx>
                    <wps:bodyPr rot="0" spcFirstLastPara="0" vertOverflow="overflow" horzOverflow="overflow" vert="horz" wrap="square" lIns="0" tIns="0" rIns="0" bIns="0" numCol="1" spcCol="0" rtlCol="0" fromWordArt="0" anchor="t" anchorCtr="0" forceAA="0" compatLnSpc="1">
                      <a:noAutofit/>
                    </wps:bodyPr>
                  </wps:wsp>
                </a:graphicData>
              </a:graphic>
            </wp:anchor>
          </w:drawing>
        </mc:Choice>
        <mc:Fallback>
          <w:pict>
            <v:shape id="_x0000_s1026" o:spid="_x0000_s1026" o:spt="202" type="#_x0000_t202" style="position:absolute;left:0pt;margin-left:202.9pt;margin-top:0pt;height:33.95pt;width:32.6pt;mso-position-horizontal-relative:margin;z-index:251659264;mso-width-relative:page;mso-height-relative:page;" filled="f" stroked="f" coordsize="21600,21600" o:gfxdata="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">
              <v:fill on="f" focussize="0,0"/>
              <v:stroke on="f" weight="0.5pt"/>
              <v:imagedata o:title=""/>
              <o:lock v:ext="edit" aspectratio="f"/>
              <v:textbox inset="0mm,0mm,0mm,0mm">
                <w:txbxContent>
                  <w:p w14:paraId="1E15BD7F">
                    <w:pPr>
                      <w:pStyle w:val="2"/>
                      <w:rPr>
                        <w:sz w:val="24"/>
                        <w:szCs w:val="40"/>
                      </w:rPr>
                    </w:pPr>
                    <w:r>
                      <w:rPr>
                        <w:sz w:val="24"/>
                        <w:szCs w:val="40"/>
                      </w:rPr>
                      <w:fldChar w:fldCharType="begin"/>
                    </w:r>
                    <w:r>
                      <w:rPr>
                        <w:sz w:val="24"/>
                        <w:szCs w:val="40"/>
                      </w:rPr>
                      <w:instrText xml:space="preserve"> PAGE  \* MERGEFORMAT </w:instrText>
                    </w:r>
                    <w:r>
                      <w:rPr>
                        <w:sz w:val="24"/>
                        <w:szCs w:val="40"/>
                      </w:rPr>
                      <w:fldChar w:fldCharType="separate"/>
                    </w:r>
                    <w:r>
                      <w:rPr>
                        <w:sz w:val="24"/>
                        <w:szCs w:val="40"/>
                      </w:rPr>
                      <w:t>3</w:t>
                    </w:r>
                    <w:r>
                      <w:rPr>
                        <w:sz w:val="24"/>
                        <w:szCs w:val="40"/>
                      </w:rPr>
                      <w:fldChar w:fldCharType="end"/>
                    </w:r>
                  </w:p>
                </w:txbxContent>
              </v:textbox>
            </v:shape>
          </w:pict>
        </mc:Fallback>
      </mc:AlternateContent>
    </w:r>
  </w:p>
</w:ft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System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3A9956E4"/>
    <w:rsid w:val="3A9956E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39"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kern w:val="2"/>
      <w:sz w:val="21"/>
      <w:szCs w:val="24"/>
      <w:lang w:val="en-US" w:eastAsia="zh-CN" w:bidi="ar-SA"/>
    </w:rPr>
  </w:style>
  <w:style w:type="character" w:default="1" w:styleId="5">
    <w:name w:val="Default Paragraph Font"/>
    <w:semiHidden/>
    <w:uiPriority w:val="0"/>
  </w:style>
  <w:style w:type="table" w:default="1" w:styleId="4">
    <w:name w:val="Normal Table"/>
    <w:semiHidden/>
    <w:qFormat/>
    <w:uiPriority w:val="0"/>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toc 1"/>
    <w:next w:val="1"/>
    <w:qFormat/>
    <w:uiPriority w:val="39"/>
    <w:pPr>
      <w:widowControl w:val="0"/>
      <w:jc w:val="both"/>
    </w:pPr>
    <w:rPr>
      <w:rFonts w:ascii="Times New Roman" w:hAnsi="Times New Roman" w:eastAsia="宋体" w:cs="Times New Roman"/>
      <w:kern w:val="2"/>
      <w:sz w:val="21"/>
      <w:szCs w:val="24"/>
      <w:lang w:val="en-US" w:eastAsia="zh-CN" w:bidi="ar-SA"/>
    </w:rPr>
  </w:style>
</w:styles>
</file>

<file path=word/_rels/document.xml.rels><?xml version="1.0" encoding="UTF-8" standalone="yes"?>
<Relationships xmlns="http://schemas.openxmlformats.org/package/2006/relationships"><Relationship Id="rId9" Type="http://schemas.openxmlformats.org/officeDocument/2006/relationships/image" Target="media/image5.png"/><Relationship Id="rId8" Type="http://schemas.openxmlformats.org/officeDocument/2006/relationships/image" Target="media/image4.png"/><Relationship Id="rId7" Type="http://schemas.openxmlformats.org/officeDocument/2006/relationships/image" Target="media/image3.png"/><Relationship Id="rId6" Type="http://schemas.openxmlformats.org/officeDocument/2006/relationships/image" Target="media/image2.png"/><Relationship Id="rId5" Type="http://schemas.openxmlformats.org/officeDocument/2006/relationships/image" Target="media/image1.png"/><Relationship Id="rId4" Type="http://schemas.openxmlformats.org/officeDocument/2006/relationships/theme" Target="theme/theme1.xml"/><Relationship Id="rId3" Type="http://schemas.openxmlformats.org/officeDocument/2006/relationships/footer" Target="footer1.xml"/><Relationship Id="rId2" Type="http://schemas.openxmlformats.org/officeDocument/2006/relationships/settings" Target="settings.xml"/><Relationship Id="rId15" Type="http://schemas.openxmlformats.org/officeDocument/2006/relationships/fontTable" Target="fontTable.xml"/><Relationship Id="rId14" Type="http://schemas.openxmlformats.org/officeDocument/2006/relationships/customXml" Target="../customXml/item1.xml"/><Relationship Id="rId13" Type="http://schemas.openxmlformats.org/officeDocument/2006/relationships/image" Target="media/image9.png"/><Relationship Id="rId12" Type="http://schemas.openxmlformats.org/officeDocument/2006/relationships/image" Target="media/image8.png"/><Relationship Id="rId11" Type="http://schemas.openxmlformats.org/officeDocument/2006/relationships/image" Target="media/image7.png"/><Relationship Id="rId10" Type="http://schemas.openxmlformats.org/officeDocument/2006/relationships/image" Target="media/image6.png"/><Relationship Id="rId1" Type="http://schemas.openxmlformats.org/officeDocument/2006/relationships/styles" Target="styles.xml"/></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30</Pages>
  <Words>0</Words>
  <Characters>0</Characters>
  <Lines>0</Lines>
  <Paragraphs>0</Paragraphs>
  <TotalTime>75</TotalTime>
  <ScaleCrop>false</ScaleCrop>
  <LinksUpToDate>false</LinksUpToDate>
  <CharactersWithSpaces>0</CharactersWithSpaces>
  <Application>WPS Office_12.1.0.21915_F1E327BC-269C-435d-A152-05C5408002CA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2025-09-02T12:11:00Z</dcterms:created>
  <dc:creator>鄢世阳</dc:creator>
  <cp:lastModifiedBy>鄢世阳</cp:lastModifiedBy>
  <dcterms:modified xsi:type="dcterms:W3CDTF">2025-09-03T11:44:21Z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2052-12.1.0.21915</vt:lpwstr>
  </property>
  <property fmtid="{D5CDD505-2E9C-101B-9397-08002B2CF9AE}" pid="3" name="ICV">
    <vt:lpwstr>E5032BF29DB04674B6633C04484B0AFA_11</vt:lpwstr>
  </property>
  <property fmtid="{D5CDD505-2E9C-101B-9397-08002B2CF9AE}" pid="4" name="KSOTemplateDocerSaveRecord">
    <vt:lpwstr>eyJoZGlkIjoiNmVmNDJhY2E1MmJkMzFiNTk1YTE0OTY2Y2I2OWQxNjkiLCJ1c2VySWQiOiI0MDk4MDIzMTcifQ==</vt:lpwstr>
  </property>
</Properties>
</file>