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92826">
      <w:pPr>
        <w:jc w:val="center"/>
        <w:rPr>
          <w:rFonts w:hint="eastAsia" w:ascii="方正小标宋简体" w:eastAsia="方正小标宋简体" w:cs="仿宋_GB2312"/>
          <w:bCs/>
          <w:color w:val="auto"/>
          <w:sz w:val="36"/>
          <w:szCs w:val="32"/>
          <w:lang w:eastAsia="zh-CN"/>
        </w:rPr>
      </w:pPr>
      <w:r>
        <w:rPr>
          <w:rFonts w:hint="eastAsia" w:ascii="方正小标宋简体" w:eastAsia="方正小标宋简体" w:cs="仿宋_GB2312"/>
          <w:bCs/>
          <w:color w:val="auto"/>
          <w:sz w:val="36"/>
          <w:szCs w:val="32"/>
          <w:lang w:eastAsia="zh-CN"/>
        </w:rPr>
        <w:t>团体标准《ICU获得性肌无力中西医护理规范》</w:t>
      </w:r>
    </w:p>
    <w:p w14:paraId="05751094">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rPr>
        <w:t>（征求意见稿）编制说明</w:t>
      </w:r>
    </w:p>
    <w:p w14:paraId="33C58FC6">
      <w:pPr>
        <w:jc w:val="center"/>
        <w:rPr>
          <w:rFonts w:hint="eastAsia" w:ascii="方正小标宋简体" w:eastAsia="方正小标宋简体" w:cs="仿宋_GB2312"/>
          <w:bCs/>
          <w:color w:val="auto"/>
          <w:sz w:val="18"/>
          <w:szCs w:val="18"/>
        </w:rPr>
      </w:pPr>
    </w:p>
    <w:p w14:paraId="54990CC0">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6E1C26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根据《关于下达 2025年第</w:t>
      </w:r>
      <w:r>
        <w:rPr>
          <w:rFonts w:hint="eastAsia" w:ascii="仿宋_GB2312" w:eastAsia="仿宋_GB2312"/>
          <w:color w:val="auto"/>
          <w:sz w:val="28"/>
          <w:szCs w:val="28"/>
          <w:lang w:val="en-US" w:eastAsia="zh-CN"/>
        </w:rPr>
        <w:t>二十八</w:t>
      </w:r>
      <w:r>
        <w:rPr>
          <w:rFonts w:hint="eastAsia" w:ascii="仿宋_GB2312" w:eastAsia="仿宋_GB2312"/>
          <w:color w:val="auto"/>
          <w:sz w:val="28"/>
          <w:szCs w:val="28"/>
        </w:rPr>
        <w:t>批团体标准制修订项目计划的通知》（桂标协〔2025〕</w:t>
      </w:r>
      <w:r>
        <w:rPr>
          <w:rFonts w:hint="eastAsia" w:ascii="仿宋_GB2312" w:eastAsia="仿宋_GB2312"/>
          <w:color w:val="auto"/>
          <w:sz w:val="28"/>
          <w:szCs w:val="28"/>
          <w:lang w:val="en-US" w:eastAsia="zh-CN"/>
        </w:rPr>
        <w:t>255</w:t>
      </w:r>
      <w:r>
        <w:rPr>
          <w:rFonts w:hint="eastAsia" w:ascii="仿宋_GB2312" w:eastAsia="仿宋_GB2312"/>
          <w:color w:val="auto"/>
          <w:sz w:val="28"/>
          <w:szCs w:val="28"/>
        </w:rPr>
        <w:t>号）精神，由广西护理学会提出，广西中医药大学附属瑞康医院、成都中医药大学附属医院、上海市第七人民医院、广西医科大学第一附属医院、广西壮族自治区人民医院、广西中医药大学第一附属医院、广西医科大学附属肿瘤医院、柳州市中医医院、南宁市第一人民医院、南宁市第四人民医院、钦州市中医医院、桂平市人民医院、岑溪市人民医院等单位共同起草的</w:t>
      </w:r>
      <w:r>
        <w:rPr>
          <w:rFonts w:hint="eastAsia" w:ascii="仿宋_GB2312" w:eastAsia="仿宋_GB2312"/>
          <w:color w:val="auto"/>
          <w:sz w:val="28"/>
          <w:szCs w:val="28"/>
          <w:lang w:eastAsia="zh-CN"/>
        </w:rPr>
        <w:t>团体标准《ICU获得性肌无力中西医护理规范》</w:t>
      </w:r>
      <w:r>
        <w:rPr>
          <w:rFonts w:hint="eastAsia" w:ascii="仿宋_GB2312" w:eastAsia="仿宋_GB2312"/>
          <w:color w:val="auto"/>
          <w:sz w:val="28"/>
          <w:szCs w:val="28"/>
        </w:rPr>
        <w:t>（项目编号：2025-</w:t>
      </w:r>
      <w:r>
        <w:rPr>
          <w:rFonts w:hint="eastAsia" w:ascii="仿宋_GB2312" w:eastAsia="仿宋_GB2312"/>
          <w:color w:val="auto"/>
          <w:sz w:val="28"/>
          <w:szCs w:val="28"/>
          <w:lang w:val="en-US" w:eastAsia="zh-CN"/>
        </w:rPr>
        <w:t>2807</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311E8CA8">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团体标准《ICU获得性肌无力中西医护理规范》</w:t>
      </w:r>
      <w:r>
        <w:rPr>
          <w:rFonts w:hint="eastAsia" w:ascii="仿宋_GB2312" w:eastAsia="仿宋_GB2312"/>
          <w:color w:val="auto"/>
          <w:sz w:val="28"/>
          <w:szCs w:val="28"/>
        </w:rPr>
        <w:t>，由起草单位成立标准编制工作组并进行如下分工：</w:t>
      </w:r>
    </w:p>
    <w:tbl>
      <w:tblPr>
        <w:tblStyle w:val="13"/>
        <w:tblW w:w="90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1133"/>
        <w:gridCol w:w="1120"/>
        <w:gridCol w:w="3223"/>
        <w:gridCol w:w="2727"/>
      </w:tblGrid>
      <w:tr w14:paraId="0219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7BEBA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姓名</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0BC881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职务/职称</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7B2C1B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从事</w:t>
            </w:r>
          </w:p>
          <w:p w14:paraId="33F036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专业</w:t>
            </w:r>
          </w:p>
        </w:tc>
        <w:tc>
          <w:tcPr>
            <w:tcW w:w="3223" w:type="dxa"/>
            <w:tcBorders>
              <w:top w:val="single" w:color="auto" w:sz="4" w:space="0"/>
              <w:left w:val="single" w:color="auto" w:sz="4" w:space="0"/>
              <w:bottom w:val="single" w:color="auto" w:sz="4" w:space="0"/>
              <w:right w:val="single" w:color="auto" w:sz="4" w:space="0"/>
            </w:tcBorders>
            <w:noWrap w:val="0"/>
            <w:vAlign w:val="center"/>
          </w:tcPr>
          <w:p w14:paraId="092F1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工作单位</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1FEBD4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主要负责工作</w:t>
            </w:r>
          </w:p>
        </w:tc>
      </w:tr>
      <w:tr w14:paraId="4947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39F2D74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both"/>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黄静铭</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251DCAA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护士长/副主任 护师</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71FD491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both"/>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noWrap w:val="0"/>
            <w:vAlign w:val="center"/>
          </w:tcPr>
          <w:p w14:paraId="02F7D0A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广西中医药大学附属瑞 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36C78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统筹主持标准编制工作</w:t>
            </w:r>
          </w:p>
        </w:tc>
      </w:tr>
      <w:tr w14:paraId="65C1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766F3E2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杨翔缨</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24C97F7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17543DE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noWrap w:val="0"/>
            <w:vAlign w:val="center"/>
          </w:tcPr>
          <w:p w14:paraId="42CBC7A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广西中医药大学附属瑞 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D0A8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参与标准编制工作，组织人员进行标准发布后的宣贯培训</w:t>
            </w:r>
          </w:p>
        </w:tc>
      </w:tr>
      <w:tr w14:paraId="6B2F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44DF9A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rPr>
            </w:pPr>
          </w:p>
          <w:p w14:paraId="2245467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涂惠琼</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5F03A9F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护理部主任/主 任护师</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57EC04F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rPr>
            </w:pPr>
          </w:p>
          <w:p w14:paraId="6E4CC60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noWrap w:val="0"/>
            <w:vAlign w:val="center"/>
          </w:tcPr>
          <w:p w14:paraId="10D3BE9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广西中医药大学附属瑞 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3F8C4B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参与标准文本及编制说明编写，质量控制</w:t>
            </w:r>
          </w:p>
        </w:tc>
      </w:tr>
      <w:tr w14:paraId="77F5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3B4ADB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岳燕</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6FB5F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w:t>
            </w:r>
            <w:r>
              <w:rPr>
                <w:rFonts w:hint="eastAsia" w:cs="宋体"/>
                <w:spacing w:val="2"/>
                <w:sz w:val="21"/>
                <w:szCs w:val="21"/>
                <w:lang w:eastAsia="zh-CN"/>
              </w:rPr>
              <w:t>副</w:t>
            </w:r>
            <w:r>
              <w:rPr>
                <w:rFonts w:hint="eastAsia" w:ascii="宋体" w:hAnsi="宋体" w:eastAsia="宋体" w:cs="宋体"/>
                <w:spacing w:val="2"/>
                <w:sz w:val="21"/>
                <w:szCs w:val="21"/>
              </w:rPr>
              <w:t>主任护</w:t>
            </w:r>
            <w:r>
              <w:rPr>
                <w:rFonts w:hint="eastAsia" w:ascii="宋体" w:hAnsi="宋体" w:eastAsia="宋体" w:cs="宋体"/>
                <w:sz w:val="21"/>
                <w:szCs w:val="21"/>
              </w:rPr>
              <w:t xml:space="preserve"> 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2C93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49AC701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E8886B">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 xml:space="preserve">成都中医药大学附属医 </w:t>
            </w:r>
            <w:r>
              <w:rPr>
                <w:rFonts w:hint="eastAsia" w:ascii="宋体" w:hAnsi="宋体" w:eastAsia="宋体" w:cs="宋体"/>
                <w:sz w:val="21"/>
                <w:szCs w:val="21"/>
              </w:rPr>
              <w:t>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813D7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78CF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D85A0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王青</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092F8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746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518AF6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3A6B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49B23DC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上海第七人民医院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AAE7D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3607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59F9F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钟博华</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EE38C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护士长/主任护</w:t>
            </w:r>
            <w:r>
              <w:rPr>
                <w:rFonts w:hint="eastAsia" w:ascii="宋体" w:hAnsi="宋体" w:eastAsia="宋体" w:cs="宋体"/>
                <w:sz w:val="21"/>
                <w:szCs w:val="21"/>
              </w:rPr>
              <w:t xml:space="preserve"> 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FDE7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5AA480E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4931D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广西医科大学第一附属</w:t>
            </w:r>
            <w:r>
              <w:rPr>
                <w:rFonts w:hint="eastAsia" w:ascii="宋体" w:hAnsi="宋体" w:eastAsia="宋体" w:cs="宋体"/>
                <w:spacing w:val="6"/>
                <w:sz w:val="21"/>
                <w:szCs w:val="21"/>
              </w:rPr>
              <w:t xml:space="preserve"> </w:t>
            </w:r>
            <w:r>
              <w:rPr>
                <w:rFonts w:hint="eastAsia" w:ascii="宋体" w:hAnsi="宋体" w:eastAsia="宋体" w:cs="宋体"/>
                <w:spacing w:val="5"/>
                <w:sz w:val="21"/>
                <w:szCs w:val="21"/>
              </w:rPr>
              <w:t>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567834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227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E2B68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黎艳</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D35C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06EE8EB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33F4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96E54F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4207B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 xml:space="preserve">广西壮族自治区人民医 </w:t>
            </w:r>
            <w:r>
              <w:rPr>
                <w:rFonts w:hint="eastAsia" w:ascii="宋体" w:hAnsi="宋体" w:eastAsia="宋体" w:cs="宋体"/>
                <w:sz w:val="21"/>
                <w:szCs w:val="21"/>
              </w:rPr>
              <w:t>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063C1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参与标准文本及编制说明的编写；组织开展标准征求意见会；对标准实施情况进行总结分析，不断对标准提出修正意见</w:t>
            </w:r>
          </w:p>
        </w:tc>
      </w:tr>
      <w:tr w14:paraId="27D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726609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龚贝贝</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CD2C7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护理部主任/</w:t>
            </w:r>
            <w:r>
              <w:rPr>
                <w:rFonts w:hint="eastAsia" w:ascii="宋体" w:hAnsi="宋体" w:eastAsia="宋体" w:cs="宋体"/>
                <w:spacing w:val="4"/>
                <w:sz w:val="21"/>
                <w:szCs w:val="21"/>
              </w:rPr>
              <w:t xml:space="preserve"> </w:t>
            </w:r>
            <w:r>
              <w:rPr>
                <w:rFonts w:hint="eastAsia" w:ascii="宋体" w:hAnsi="宋体" w:eastAsia="宋体" w:cs="宋体"/>
                <w:spacing w:val="-2"/>
                <w:sz w:val="21"/>
                <w:szCs w:val="21"/>
              </w:rPr>
              <w:t>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C134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51E7841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EF94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60E71A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南宁市第四人民医院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82459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40DF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7D79D2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杨小凤</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6DA64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64F5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18F9532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8C647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广西中医药大学第一附</w:t>
            </w:r>
            <w:r>
              <w:rPr>
                <w:rFonts w:hint="eastAsia" w:ascii="宋体" w:hAnsi="宋体" w:eastAsia="宋体" w:cs="宋体"/>
                <w:spacing w:val="1"/>
                <w:sz w:val="21"/>
                <w:szCs w:val="21"/>
              </w:rPr>
              <w:t xml:space="preserve"> </w:t>
            </w:r>
            <w:r>
              <w:rPr>
                <w:rFonts w:hint="eastAsia" w:ascii="宋体" w:hAnsi="宋体" w:eastAsia="宋体" w:cs="宋体"/>
                <w:spacing w:val="3"/>
                <w:sz w:val="21"/>
                <w:szCs w:val="21"/>
              </w:rPr>
              <w:t>属医院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9825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B66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8D60F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黄玲</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4C007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护士长/主任护</w:t>
            </w:r>
            <w:r>
              <w:rPr>
                <w:rFonts w:hint="eastAsia" w:ascii="宋体" w:hAnsi="宋体" w:eastAsia="宋体" w:cs="宋体"/>
                <w:sz w:val="21"/>
                <w:szCs w:val="21"/>
              </w:rPr>
              <w:t xml:space="preserve"> 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64E8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490D011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7C056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广西医科大学附属肿瘤</w:t>
            </w:r>
            <w:r>
              <w:rPr>
                <w:rFonts w:hint="eastAsia" w:ascii="宋体" w:hAnsi="宋体" w:eastAsia="宋体" w:cs="宋体"/>
                <w:spacing w:val="1"/>
                <w:sz w:val="21"/>
                <w:szCs w:val="21"/>
              </w:rPr>
              <w:t xml:space="preserve"> </w:t>
            </w:r>
            <w:r>
              <w:rPr>
                <w:rFonts w:hint="eastAsia" w:ascii="宋体" w:hAnsi="宋体" w:eastAsia="宋体" w:cs="宋体"/>
                <w:spacing w:val="5"/>
                <w:sz w:val="21"/>
                <w:szCs w:val="21"/>
              </w:rPr>
              <w:t>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3639C6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4FB6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4F1B6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杨青梅</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ED494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 xml:space="preserve">大科护士长/副 </w:t>
            </w:r>
            <w:r>
              <w:rPr>
                <w:rFonts w:hint="eastAsia" w:ascii="宋体" w:hAnsi="宋体" w:eastAsia="宋体" w:cs="宋体"/>
                <w:spacing w:val="-2"/>
                <w:sz w:val="21"/>
                <w:szCs w:val="21"/>
              </w:rPr>
              <w:t>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93E2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5D39F45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33E5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3AFAD51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en-US" w:bidi="ar-SA"/>
              </w:rPr>
            </w:pPr>
            <w:r>
              <w:rPr>
                <w:rFonts w:hint="eastAsia" w:ascii="宋体" w:hAnsi="宋体" w:eastAsia="宋体" w:cs="宋体"/>
                <w:spacing w:val="1"/>
                <w:sz w:val="21"/>
                <w:szCs w:val="21"/>
              </w:rPr>
              <w:t>南宁市第一人民医院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2DAEF6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5ED9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3209BC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sz w:val="21"/>
                <w:szCs w:val="21"/>
                <w:highlight w:val="none"/>
                <w:lang w:val="en-US" w:eastAsia="zh-CN" w:bidi="ar"/>
              </w:rPr>
              <w:t>黄连意</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3FA4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highlight w:val="none"/>
              </w:rPr>
            </w:pPr>
          </w:p>
          <w:p w14:paraId="2F785F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highlight w:val="none"/>
              </w:rPr>
            </w:pPr>
          </w:p>
          <w:p w14:paraId="7D33136B">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pacing w:val="2"/>
                <w:sz w:val="21"/>
                <w:szCs w:val="21"/>
                <w:highlight w:val="none"/>
              </w:rPr>
              <w:t>副主任护师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52D2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highlight w:val="none"/>
              </w:rPr>
            </w:pPr>
          </w:p>
          <w:p w14:paraId="71C9DF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highlight w:val="none"/>
              </w:rPr>
            </w:pPr>
          </w:p>
          <w:p w14:paraId="4FF29FE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pacing w:val="-2"/>
                <w:sz w:val="21"/>
                <w:szCs w:val="21"/>
                <w:highlight w:val="none"/>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F709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highlight w:val="none"/>
              </w:rPr>
            </w:pPr>
          </w:p>
          <w:p w14:paraId="163737E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highlight w:val="none"/>
                <w:lang w:val="en-US" w:eastAsia="en-US" w:bidi="ar-SA"/>
              </w:rPr>
            </w:pPr>
            <w:r>
              <w:rPr>
                <w:rFonts w:hint="eastAsia" w:ascii="宋体" w:hAnsi="宋体" w:eastAsia="宋体" w:cs="宋体"/>
                <w:spacing w:val="-1"/>
                <w:sz w:val="21"/>
                <w:szCs w:val="21"/>
                <w:highlight w:val="none"/>
              </w:rPr>
              <w:t>广西中医药大学附属瑞</w:t>
            </w:r>
            <w:r>
              <w:rPr>
                <w:rFonts w:hint="eastAsia" w:ascii="宋体" w:hAnsi="宋体" w:eastAsia="宋体" w:cs="宋体"/>
                <w:spacing w:val="1"/>
                <w:sz w:val="21"/>
                <w:szCs w:val="21"/>
                <w:highlight w:val="none"/>
              </w:rPr>
              <w:t xml:space="preserve"> </w:t>
            </w:r>
            <w:r>
              <w:rPr>
                <w:rFonts w:hint="eastAsia" w:ascii="宋体" w:hAnsi="宋体" w:eastAsia="宋体" w:cs="宋体"/>
                <w:spacing w:val="-2"/>
                <w:sz w:val="21"/>
                <w:szCs w:val="21"/>
                <w:highlight w:val="none"/>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D009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参与标准文本及编制说明的编写；组织开展标准征求意见会；对标准实施情况进行总结分析，不断对标准提出修正意见</w:t>
            </w:r>
          </w:p>
        </w:tc>
      </w:tr>
      <w:tr w14:paraId="03A7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EA89A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李芯睿</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00B11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 xml:space="preserve">大科护士长/副 </w:t>
            </w:r>
            <w:r>
              <w:rPr>
                <w:rFonts w:hint="eastAsia" w:ascii="宋体" w:hAnsi="宋体" w:eastAsia="宋体" w:cs="宋体"/>
                <w:spacing w:val="-2"/>
                <w:sz w:val="21"/>
                <w:szCs w:val="21"/>
              </w:rPr>
              <w:t>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F343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76A17F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2FD6B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518BEA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0FDB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4ABC1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刘丽贞</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6BBBA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EBBD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2E295C4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C6BFC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27B2DA6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桂平市人民医院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469F0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4BDA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CC2EE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李亚茜</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A77F8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副护士长/副主</w:t>
            </w:r>
            <w:r>
              <w:rPr>
                <w:rFonts w:hint="eastAsia" w:ascii="宋体" w:hAnsi="宋体" w:eastAsia="宋体" w:cs="宋体"/>
                <w:spacing w:val="3"/>
                <w:sz w:val="21"/>
                <w:szCs w:val="21"/>
              </w:rPr>
              <w:t xml:space="preserve"> </w:t>
            </w:r>
            <w:r>
              <w:rPr>
                <w:rFonts w:hint="eastAsia" w:ascii="宋体" w:hAnsi="宋体" w:eastAsia="宋体" w:cs="宋体"/>
                <w:spacing w:val="-2"/>
                <w:sz w:val="21"/>
                <w:szCs w:val="21"/>
              </w:rPr>
              <w:t>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77F8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2483940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51FF6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1854E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2DC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91BE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sz w:val="21"/>
                <w:szCs w:val="21"/>
                <w:highlight w:val="none"/>
                <w:lang w:val="en-US" w:eastAsia="zh-CN" w:bidi="ar"/>
              </w:rPr>
              <w:t>韦丽华</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604C15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spacing w:val="1"/>
                <w:sz w:val="21"/>
                <w:szCs w:val="21"/>
                <w:highlight w:val="none"/>
              </w:rPr>
              <w:t>护士长/副主</w:t>
            </w:r>
            <w:r>
              <w:rPr>
                <w:rFonts w:hint="eastAsia" w:ascii="宋体" w:hAnsi="宋体" w:eastAsia="宋体" w:cs="宋体"/>
                <w:spacing w:val="3"/>
                <w:sz w:val="21"/>
                <w:szCs w:val="21"/>
                <w:highlight w:val="none"/>
              </w:rPr>
              <w:t xml:space="preserve"> </w:t>
            </w:r>
            <w:r>
              <w:rPr>
                <w:rFonts w:hint="eastAsia" w:ascii="宋体" w:hAnsi="宋体" w:eastAsia="宋体" w:cs="宋体"/>
                <w:spacing w:val="-2"/>
                <w:sz w:val="21"/>
                <w:szCs w:val="21"/>
                <w:highlight w:val="none"/>
              </w:rPr>
              <w:t>任护师</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4322B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spacing w:val="-2"/>
                <w:sz w:val="21"/>
                <w:szCs w:val="21"/>
                <w:highlight w:val="none"/>
              </w:rPr>
              <w:t>护理学</w:t>
            </w:r>
          </w:p>
        </w:tc>
        <w:tc>
          <w:tcPr>
            <w:tcW w:w="3223" w:type="dxa"/>
            <w:tcBorders>
              <w:top w:val="single" w:color="auto" w:sz="4" w:space="0"/>
              <w:left w:val="single" w:color="auto" w:sz="4" w:space="0"/>
              <w:bottom w:val="single" w:color="auto" w:sz="4" w:space="0"/>
              <w:right w:val="single" w:color="auto" w:sz="4" w:space="0"/>
            </w:tcBorders>
            <w:noWrap w:val="0"/>
            <w:vAlign w:val="center"/>
          </w:tcPr>
          <w:p w14:paraId="54129B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spacing w:val="-1"/>
                <w:sz w:val="21"/>
                <w:szCs w:val="21"/>
                <w:highlight w:val="none"/>
              </w:rPr>
              <w:t>广西中医药大学附属瑞</w:t>
            </w:r>
            <w:r>
              <w:rPr>
                <w:rFonts w:hint="eastAsia" w:ascii="宋体" w:hAnsi="宋体" w:eastAsia="宋体" w:cs="宋体"/>
                <w:spacing w:val="1"/>
                <w:sz w:val="21"/>
                <w:szCs w:val="21"/>
                <w:highlight w:val="none"/>
              </w:rPr>
              <w:t xml:space="preserve"> </w:t>
            </w:r>
            <w:r>
              <w:rPr>
                <w:rFonts w:hint="eastAsia" w:ascii="宋体" w:hAnsi="宋体" w:eastAsia="宋体" w:cs="宋体"/>
                <w:spacing w:val="-2"/>
                <w:sz w:val="21"/>
                <w:szCs w:val="21"/>
                <w:highlight w:val="none"/>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501339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参与标准文本及编制说明的编写；组织开展标准征求意见会；对标准实施情况进行总结分析，不断对标准提出修正意见</w:t>
            </w:r>
          </w:p>
        </w:tc>
      </w:tr>
      <w:tr w14:paraId="67F3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5E304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梁珊珊</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51956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w:t>
            </w:r>
            <w:r>
              <w:rPr>
                <w:rFonts w:hint="eastAsia" w:cs="宋体"/>
                <w:spacing w:val="-2"/>
                <w:sz w:val="21"/>
                <w:szCs w:val="21"/>
                <w:lang w:eastAsia="zh-CN"/>
              </w:rPr>
              <w:t>主管</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F648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118C18D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3E467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02356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3B74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B24DF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覃惠娟</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423C8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护士长/主任护</w:t>
            </w:r>
            <w:r>
              <w:rPr>
                <w:rFonts w:hint="eastAsia" w:ascii="宋体" w:hAnsi="宋体" w:eastAsia="宋体" w:cs="宋体"/>
                <w:sz w:val="21"/>
                <w:szCs w:val="21"/>
              </w:rPr>
              <w:t xml:space="preserve"> 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5F0C9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A5503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24AE77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6B2F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B85D1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韦小英</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13C182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cs="宋体"/>
                <w:spacing w:val="-2"/>
                <w:sz w:val="21"/>
                <w:szCs w:val="21"/>
                <w:lang w:eastAsia="zh-CN"/>
              </w:rPr>
              <w:t>护理部副主任</w:t>
            </w:r>
            <w:r>
              <w:rPr>
                <w:rFonts w:hint="eastAsia" w:ascii="宋体" w:hAnsi="宋体" w:eastAsia="宋体" w:cs="宋体"/>
                <w:spacing w:val="-2"/>
                <w:sz w:val="21"/>
                <w:szCs w:val="21"/>
              </w:rPr>
              <w:t>/副主任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1DB1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C1E586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247B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48EE574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南宁市第四人民医院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3CA199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AD3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275FD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朱凤梅</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3CB7B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1D09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533D56D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A258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B53AE4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南宁市第四人民医院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58559E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0067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51E560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郑春秋</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DC932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w:t>
            </w:r>
            <w:r>
              <w:rPr>
                <w:rFonts w:hint="eastAsia" w:cs="宋体"/>
                <w:spacing w:val="-2"/>
                <w:sz w:val="21"/>
                <w:szCs w:val="21"/>
                <w:lang w:eastAsia="zh-CN"/>
              </w:rPr>
              <w:t>主管</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81AC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2105165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87DBB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广西中医药大学第一附</w:t>
            </w:r>
            <w:r>
              <w:rPr>
                <w:rFonts w:hint="eastAsia" w:ascii="宋体" w:hAnsi="宋体" w:eastAsia="宋体" w:cs="宋体"/>
                <w:spacing w:val="1"/>
                <w:sz w:val="21"/>
                <w:szCs w:val="21"/>
              </w:rPr>
              <w:t xml:space="preserve"> </w:t>
            </w:r>
            <w:r>
              <w:rPr>
                <w:rFonts w:hint="eastAsia" w:ascii="宋体" w:hAnsi="宋体" w:eastAsia="宋体" w:cs="宋体"/>
                <w:spacing w:val="3"/>
                <w:sz w:val="21"/>
                <w:szCs w:val="21"/>
              </w:rPr>
              <w:t>属医院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437D6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7EB8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1E5C4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陈燕红</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D9DD2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A6DD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48EDB81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F844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3EC231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柳州市中医院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4472DA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57E2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93C2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黎冰峰</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D77D2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0F76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4E53545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06F0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1F8DAF4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钦州市中医院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EB3DF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EE1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9D722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李忆梅</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E0BEB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护士长/副主任</w:t>
            </w:r>
            <w:r>
              <w:rPr>
                <w:rFonts w:hint="eastAsia" w:ascii="宋体" w:hAnsi="宋体" w:eastAsia="宋体" w:cs="宋体"/>
                <w:spacing w:val="4"/>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2E5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06088BD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B94A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24AFAAA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岑溪市人民医院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32D0A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5C67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57B8C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吴静</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7A7F6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cs="宋体"/>
                <w:spacing w:val="-2"/>
                <w:sz w:val="21"/>
                <w:szCs w:val="21"/>
                <w:lang w:eastAsia="zh-CN"/>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1FE2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2B66910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45A23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广西医科大学第一附属</w:t>
            </w:r>
            <w:r>
              <w:rPr>
                <w:rFonts w:hint="eastAsia" w:ascii="宋体" w:hAnsi="宋体" w:eastAsia="宋体" w:cs="宋体"/>
                <w:spacing w:val="6"/>
                <w:sz w:val="21"/>
                <w:szCs w:val="21"/>
              </w:rPr>
              <w:t xml:space="preserve"> </w:t>
            </w:r>
            <w:r>
              <w:rPr>
                <w:rFonts w:hint="eastAsia" w:ascii="宋体" w:hAnsi="宋体" w:eastAsia="宋体" w:cs="宋体"/>
                <w:spacing w:val="5"/>
                <w:sz w:val="21"/>
                <w:szCs w:val="21"/>
              </w:rPr>
              <w:t>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67D6C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828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D1CA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叶桦</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082A1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副护士长/主任</w:t>
            </w:r>
            <w:r>
              <w:rPr>
                <w:rFonts w:hint="eastAsia" w:ascii="宋体" w:hAnsi="宋体" w:eastAsia="宋体" w:cs="宋体"/>
                <w:sz w:val="21"/>
                <w:szCs w:val="21"/>
              </w:rPr>
              <w:t xml:space="preserve"> </w:t>
            </w:r>
            <w:r>
              <w:rPr>
                <w:rFonts w:hint="eastAsia" w:ascii="宋体" w:hAnsi="宋体" w:eastAsia="宋体" w:cs="宋体"/>
                <w:spacing w:val="-3"/>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C465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firstLine="0"/>
              <w:jc w:val="center"/>
              <w:textAlignment w:val="auto"/>
              <w:rPr>
                <w:rFonts w:hint="eastAsia" w:ascii="宋体" w:hAnsi="宋体" w:eastAsia="宋体" w:cs="宋体"/>
                <w:sz w:val="21"/>
                <w:szCs w:val="21"/>
              </w:rPr>
            </w:pPr>
          </w:p>
          <w:p w14:paraId="64EF703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9EDB5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43D4DE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F81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25CCD8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李鲜</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967FE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副主任护师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D634E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05FF6B">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907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3EDC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28E7F0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樊玉丰</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624CD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副主任护师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BD754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58842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0C844A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C72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F411A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彭静</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35B88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B2A67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3525D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024C3B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364F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DCC4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周凯</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3AB3A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副主任护师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CC85C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FE122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76C94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524B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29825E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李咏翔</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FA0F3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B0A65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4D87F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4AA77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6F5A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03226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韦利营</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CAA04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FE19D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5E869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2A8CB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58F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0B1699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陆甜甜</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556BA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0CAE1B">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14599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193E69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F14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74D1D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梁海燕</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244F1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副主任护师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7DC52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357CF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5CC37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65B5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233A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蔡丽</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718BE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CB9C8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994B2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0175BC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5AC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55E148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欧阳姗</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748A8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759D42">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59F42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09436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723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49843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刘叶美</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6FF7B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73BE6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D42B5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4CB3FD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01B4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575C7D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陈娜</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57FA51">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B49C87">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3CD30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101726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E95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6F13A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陈丽</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C286D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2DD9C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32B24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00264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7D1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586876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覃秋艳</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F68FD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655FB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5FB89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37BE4A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7675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5A1131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黄高山</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D79FC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AA4B8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D4BBC0">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1E449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6601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3A3397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韦利莎</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9356A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FB0D4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B08F7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02E83E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2B73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7EA9F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廖运娟</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7C0EBA">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998F04">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97E0E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7DC9E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62BB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25F9F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张东方</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C67E8D">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B69A3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13B04F">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6D8B56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F96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390D7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唐会</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8D05A8">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B06BB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F7F77E">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5A038A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1301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3C113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val="en-US" w:eastAsia="zh-CN" w:bidi="ar"/>
              </w:rPr>
              <w:t>田颖</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9FEBDC">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B628F6">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60DA79">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2A55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r w14:paraId="6898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5" w:type="dxa"/>
            <w:tcBorders>
              <w:top w:val="single" w:color="auto" w:sz="4" w:space="0"/>
              <w:left w:val="single" w:color="auto" w:sz="4" w:space="0"/>
              <w:bottom w:val="single" w:color="auto" w:sz="4" w:space="0"/>
              <w:right w:val="single" w:color="auto" w:sz="4" w:space="0"/>
            </w:tcBorders>
            <w:noWrap w:val="0"/>
            <w:vAlign w:val="center"/>
          </w:tcPr>
          <w:p w14:paraId="1901E2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val="en-US" w:eastAsia="zh-CN" w:bidi="ar"/>
              </w:rPr>
            </w:pPr>
            <w:r>
              <w:rPr>
                <w:rFonts w:hint="eastAsia" w:ascii="宋体" w:hAnsi="宋体" w:eastAsia="宋体" w:cs="宋体"/>
                <w:color w:val="auto"/>
                <w:sz w:val="21"/>
                <w:szCs w:val="21"/>
                <w:lang w:val="en-US" w:eastAsia="zh-CN" w:bidi="ar"/>
              </w:rPr>
              <w:t>覃琳慧</w:t>
            </w:r>
          </w:p>
        </w:tc>
        <w:tc>
          <w:tcPr>
            <w:tcW w:w="11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39A503">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2"/>
                <w:sz w:val="21"/>
                <w:szCs w:val="21"/>
              </w:rPr>
              <w:t>主管护师</w:t>
            </w:r>
          </w:p>
        </w:tc>
        <w:tc>
          <w:tcPr>
            <w:tcW w:w="11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D209EB">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firstLine="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4"/>
                <w:sz w:val="21"/>
                <w:szCs w:val="21"/>
              </w:rPr>
              <w:t>护理学</w:t>
            </w:r>
          </w:p>
        </w:tc>
        <w:tc>
          <w:tcPr>
            <w:tcW w:w="32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448265">
            <w:pPr>
              <w:pStyle w:val="6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pacing w:val="-1"/>
                <w:sz w:val="21"/>
                <w:szCs w:val="21"/>
              </w:rPr>
              <w:t>广西中医药大学附属瑞</w:t>
            </w:r>
            <w:r>
              <w:rPr>
                <w:rFonts w:hint="eastAsia" w:ascii="宋体" w:hAnsi="宋体" w:eastAsia="宋体" w:cs="宋体"/>
                <w:spacing w:val="1"/>
                <w:sz w:val="21"/>
                <w:szCs w:val="21"/>
              </w:rPr>
              <w:t xml:space="preserve"> </w:t>
            </w:r>
            <w:r>
              <w:rPr>
                <w:rFonts w:hint="eastAsia" w:ascii="宋体" w:hAnsi="宋体" w:eastAsia="宋体" w:cs="宋体"/>
                <w:spacing w:val="-2"/>
                <w:sz w:val="21"/>
                <w:szCs w:val="21"/>
              </w:rPr>
              <w:t>康医院</w:t>
            </w:r>
          </w:p>
        </w:tc>
        <w:tc>
          <w:tcPr>
            <w:tcW w:w="2727" w:type="dxa"/>
            <w:tcBorders>
              <w:top w:val="single" w:color="auto" w:sz="4" w:space="0"/>
              <w:left w:val="single" w:color="auto" w:sz="4" w:space="0"/>
              <w:bottom w:val="single" w:color="auto" w:sz="4" w:space="0"/>
              <w:right w:val="single" w:color="auto" w:sz="4" w:space="0"/>
            </w:tcBorders>
            <w:noWrap w:val="0"/>
            <w:vAlign w:val="center"/>
          </w:tcPr>
          <w:p w14:paraId="2D6087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firstLine="0"/>
              <w:jc w:val="center"/>
              <w:textAlignment w:val="auto"/>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参与标准文本及编制说明的编写；组织开展标准征求意见会；对标准实施情况进行总结分析，不断对标准提出修正意见</w:t>
            </w:r>
          </w:p>
        </w:tc>
      </w:tr>
    </w:tbl>
    <w:p w14:paraId="53753F26">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197039B3">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ICU获得性肌无力是指危重症患者在ICU治疗期间出现的、非原发疾病所致的肌肉无力和功能障碍，属于一种常见的ICU并发症。其特点是四肢对称性肌力下降，腱反射减弱或消失，严重者可影响呼吸肌功能，导致脱机困难、康复延迟甚至长期残疾。</w:t>
      </w:r>
    </w:p>
    <w:p w14:paraId="48DE8525">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约25%～50%的长期住ICU患者会出现不同程度的肌无力，其中严重病例占10%～30%。中国ICU年收治患者约300万～500万人次（国家卫健委2023年数据），若按30%的发病率估算，每年新增ICU-AW病例可能超过90万～150万例。</w:t>
      </w:r>
    </w:p>
    <w:p w14:paraId="477BE238">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近年来，ICU-AW的发病率逐渐上升。我国ICU-AW的发病率为30%-50%，患者约50万人，平均发病率为40%（待确认），广西ICU-AW的发病率为30%-50%，患者约1.5万人。这些数字表明，ICU获得性肌无力已成为ICU患者中不可忽视的健康问题。</w:t>
      </w:r>
    </w:p>
    <w:p w14:paraId="5B51A6FB">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中医在治疗ICU获得性肌无力方面具有显著优势。首先，中医基于整体观念，将该病症归入“痿证”范畴，认为与脾、肝、肾、肺等脏腑虚损有关，从而为治疗提供理论基础。其次，中医通过辨证论治，根据患者具体症状制定个体化治疗方案，提高治疗针对性。再者，中医采用综合治疗方法，如中药汤剂内服、针刺、艾灸、推拿等，实现多靶点干预，发挥协同治疗作用。此外，中医注重调节机体功能状态，增强免疫力，减少并发症，提高患者生活质量和生存率。中医还强调预防康复一体，通过早期干预和康复治疗方案促进患者功能恢复。同时，中医治疗方法安全性与耐受性良好，不良反应较少，更易被患者接受。</w:t>
      </w:r>
    </w:p>
    <w:p w14:paraId="070E40A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eastAsia="zh-CN"/>
        </w:rPr>
        <w:t>目前全国共有百余家医院开展ICU患者获得性肌无力中医诊疗，改善和治愈率达到80%-90%，患者满意度达到90%-100%。然而，不同医院的治疗方法和流程存在差异，缺乏统一的标准</w:t>
      </w:r>
      <w:r>
        <w:rPr>
          <w:rFonts w:hint="eastAsia" w:ascii="仿宋_GB2312" w:eastAsia="仿宋_GB2312"/>
          <w:color w:val="auto"/>
          <w:sz w:val="28"/>
          <w:szCs w:val="28"/>
        </w:rPr>
        <w:t>。通过制定团体标准《ICU患者获得性肌无力中西医护理规范》，以标准为抓手，统一规范ICU患者获得性肌无力中西医护理要求，对提高ICU患者获得性肌无力中西医护理水平，进一步提升操作的准确性和可靠性。</w:t>
      </w:r>
    </w:p>
    <w:p w14:paraId="747AD21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5478853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7DD45D63">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lang w:eastAsia="zh-CN"/>
        </w:rPr>
        <w:t>团体标准《ICU获得性肌无力中西医护理规范》</w:t>
      </w:r>
      <w:r>
        <w:rPr>
          <w:rFonts w:hint="eastAsia" w:ascii="仿宋_GB2312" w:eastAsia="仿宋_GB2312"/>
          <w:color w:val="auto"/>
          <w:sz w:val="28"/>
          <w:szCs w:val="28"/>
        </w:rPr>
        <w:t>项目任务下达后，广西中医药大学附属瑞康医院、成都中医药大学附属医院、上海市第七人民医院、广西医科大学第一附属医院、广西壮族自治区人民医院、广西中医药大学第一附属医院、广西医科大学附属肿瘤医院、柳州市中医医院、南宁市第一人民医院、南宁市第四人民医院、钦州市中医医院、桂平市人民医院、岑溪市人民医院成立了标准编制工作组，制定了起草编写方案与进度安排，明确任务职责，确定工作技术路线，开展标准研制工作。具体标准编制工作由起草单位相关人员配合完成。</w:t>
      </w:r>
    </w:p>
    <w:p w14:paraId="3975F9A9">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0217FCF3">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2EA0CF3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的相关文献资料。主要有：</w:t>
      </w:r>
    </w:p>
    <w:p w14:paraId="17BD668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  杨丽平，张志刚，张彩云，等.药物预防和治疗ICU获得性肌无力效果的Meta分析[J].中华危重病急救医学，2020，32(3):357-361.</w:t>
      </w:r>
    </w:p>
    <w:p w14:paraId="221EA29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]WUYC，ZHANGZG，JIANGBT，etal.CurrentpracticeandbarrierstoICU-acquiredweaknessassessment:across-sectionalsurvey[J].Physiotherapy，2021，112:135-142.</w:t>
      </w:r>
    </w:p>
    <w:p w14:paraId="30ED4BF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]陈惠瑶，李杏崧，张莉.脓毒症患者ICU获得性肌无力早期康复的研究进展[J].中华急危重症护理杂志，2022，3(4):326-330.</w:t>
      </w:r>
    </w:p>
    <w:p w14:paraId="0284B64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]崔颖，高天宇，贾月霞，等.益元清肺汤联合西药对老年重症肺炎(气虚肺热证)呼吸支持患者炎症反应及免疫功能的影响[J].陕西中医，2022，43(7):880-883.</w:t>
      </w:r>
    </w:p>
    <w:p w14:paraId="4C0F521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]郑宝玲，吴美霞，王淑萍.早期运动训练对ICU机械通气患者获得性肌无力的干预作用[J].中华保健医学杂志，2022，24(3):182-185.</w:t>
      </w:r>
    </w:p>
    <w:p w14:paraId="509652D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]彭志龙，邓熙，梁勇，等.ICU获得性肌无力中医证型与股直肌肌肉横截面积变化率相关性的回顾性队列研究[J].中国中医基础医学杂志，2022，28(5):741-746.</w:t>
      </w:r>
    </w:p>
    <w:p w14:paraId="23936B4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7</w:t>
      </w:r>
      <w:r>
        <w:rPr>
          <w:rFonts w:hint="eastAsia" w:ascii="仿宋_GB2312" w:eastAsia="仿宋_GB2312"/>
          <w:color w:val="auto"/>
          <w:sz w:val="28"/>
          <w:szCs w:val="28"/>
        </w:rPr>
        <w:t>]李淑景，周晓虹，宋东庆.改良吞咽球囊扩张术联合呼吸训练对ICU老年脑卒中后吞咽障碍患者吞咽能力及吸入性肺炎的影响[J].中国老年学杂志，2022，42(8):1813-1815.</w:t>
      </w:r>
    </w:p>
    <w:p w14:paraId="6EFDFC64">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（三）研讨确定标准特色、创新点和主体内容</w:t>
      </w:r>
    </w:p>
    <w:p w14:paraId="27C287CE">
      <w:pPr>
        <w:pStyle w:val="29"/>
        <w:spacing w:line="520" w:lineRule="exact"/>
        <w:ind w:firstLine="560"/>
        <w:rPr>
          <w:rFonts w:hint="eastAsia" w:ascii="仿宋_GB2312" w:eastAsia="仿宋_GB2312"/>
          <w:color w:val="auto"/>
          <w:sz w:val="28"/>
          <w:szCs w:val="28"/>
          <w:highlight w:val="none"/>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 w:eastAsia="zh-CN"/>
        </w:rPr>
        <w:t>ICU获得性肌无力中西医护理的基本要求、护理评估与方案、护理措施、并发症预防及处理</w:t>
      </w:r>
      <w:r>
        <w:rPr>
          <w:rFonts w:hint="eastAsia" w:ascii="仿宋_GB2312" w:eastAsia="仿宋_GB2312"/>
          <w:color w:val="auto"/>
          <w:sz w:val="28"/>
          <w:szCs w:val="28"/>
          <w:highlight w:val="none"/>
          <w:lang w:val="en" w:eastAsia="zh-CN"/>
        </w:rPr>
        <w:t>的要求。</w:t>
      </w:r>
    </w:p>
    <w:p w14:paraId="2273D80A">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总结说明本标准对比与共识、护理书籍、相关标准的创新点在于：</w:t>
      </w:r>
    </w:p>
    <w:p w14:paraId="4670DFAB">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建立了与肌力分级</w:t>
      </w:r>
      <w:r>
        <w:rPr>
          <w:rFonts w:hint="eastAsia" w:ascii="仿宋_GB2312" w:eastAsia="仿宋_GB2312"/>
          <w:sz w:val="28"/>
          <w:szCs w:val="28"/>
          <w:highlight w:val="none"/>
          <w:lang w:eastAsia="zh-CN"/>
        </w:rPr>
        <w:t>挂钩的、阶梯式中西医护理措施方案</w:t>
      </w:r>
    </w:p>
    <w:p w14:paraId="2C195F84">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理由与依据：ICU患者病情危重且动态变化，护理措施必须与患者的实际耐受能力精确匹配。传统护理方案缺乏与客观评估指标紧密挂钩的、清晰的进阶路径。具体体现：本标准在整个第7章“护理措施”中，将每一项核心干预措施（如呼吸肌锻炼、运动疗法、八段锦）的“强度与方式”都与肌力分级</w:t>
      </w:r>
      <w:r>
        <w:rPr>
          <w:rFonts w:hint="eastAsia" w:ascii="仿宋_GB2312" w:eastAsia="仿宋_GB2312"/>
          <w:sz w:val="28"/>
          <w:szCs w:val="28"/>
          <w:highlight w:val="none"/>
          <w:lang w:eastAsia="zh-CN"/>
        </w:rPr>
        <w:t>直接关联（详见草案第7.1.4.4, 7.1.5.4, 7.2.1.3条）。例如：肌力≤ 3级</w:t>
      </w:r>
      <w:r>
        <w:rPr>
          <w:rFonts w:hint="eastAsia" w:ascii="仿宋_GB2312" w:eastAsia="仿宋_GB2312"/>
          <w:sz w:val="28"/>
          <w:szCs w:val="28"/>
          <w:highlight w:val="none"/>
          <w:lang w:eastAsia="zh-CN"/>
        </w:rPr>
        <w:t>：以被动活动、辅助运动为主（如被动关节活动、卧式八段锦）。肌力 ≥ 4级</w:t>
      </w:r>
      <w:r>
        <w:rPr>
          <w:rFonts w:hint="eastAsia" w:ascii="仿宋_GB2312" w:eastAsia="仿宋_GB2312"/>
          <w:sz w:val="28"/>
          <w:szCs w:val="28"/>
          <w:highlight w:val="none"/>
          <w:lang w:eastAsia="zh-CN"/>
        </w:rPr>
        <w:t>：逐步增加主动、抗阻训练（如使用弹力带、坐式八段锦）。此方案提供了一条清晰、安全、循序渐进的康复路径，使护士和执行者有章可循，有效避免了康复不足或过度康复的风险，体现了精准医疗和康复理念。</w:t>
      </w:r>
    </w:p>
    <w:p w14:paraId="2BA81A20">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highlight w:val="none"/>
        </w:rPr>
        <w:t>（四）调研及形成草案、征求</w:t>
      </w:r>
      <w:r>
        <w:rPr>
          <w:rFonts w:hint="eastAsia" w:ascii="仿宋_GB2312" w:eastAsia="仿宋_GB2312" w:cs="仿宋_GB2312"/>
          <w:b/>
          <w:color w:val="auto"/>
          <w:sz w:val="28"/>
          <w:szCs w:val="28"/>
        </w:rPr>
        <w:t>意见稿</w:t>
      </w:r>
    </w:p>
    <w:p w14:paraId="761DE700">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月～202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5B2A83BE">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w:t>
      </w:r>
      <w:r>
        <w:rPr>
          <w:rFonts w:hint="default" w:ascii="仿宋_GB2312" w:eastAsia="仿宋_GB2312"/>
          <w:color w:val="auto"/>
          <w:kern w:val="0"/>
          <w:sz w:val="28"/>
          <w:szCs w:val="28"/>
          <w:lang w:val="en"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团体标准《ICU获得性肌无力中西医护理规范》</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团体标准《ICU获得性肌无力中西医护理规范》</w:t>
      </w:r>
      <w:r>
        <w:rPr>
          <w:rFonts w:hint="eastAsia" w:ascii="仿宋_GB2312" w:eastAsia="仿宋_GB2312"/>
          <w:color w:val="auto"/>
          <w:kern w:val="0"/>
          <w:sz w:val="28"/>
          <w:szCs w:val="28"/>
        </w:rPr>
        <w:t>（草案）。</w:t>
      </w:r>
    </w:p>
    <w:p w14:paraId="73D52349">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sz w:val="28"/>
          <w:szCs w:val="28"/>
          <w:lang w:val="en"/>
        </w:rPr>
        <w:t>年</w:t>
      </w:r>
      <w:r>
        <w:rPr>
          <w:rFonts w:hint="default" w:ascii="仿宋_GB2312" w:eastAsia="仿宋_GB2312"/>
          <w:color w:val="auto"/>
          <w:sz w:val="28"/>
          <w:szCs w:val="28"/>
          <w:lang w:val="en" w:eastAsia="zh-CN"/>
        </w:rPr>
        <w:t>7</w:t>
      </w:r>
      <w:r>
        <w:rPr>
          <w:rFonts w:hint="eastAsia" w:ascii="仿宋_GB2312" w:eastAsia="仿宋_GB2312"/>
          <w:color w:val="auto"/>
          <w:sz w:val="28"/>
          <w:szCs w:val="28"/>
          <w:lang w:val="en"/>
        </w:rPr>
        <w:t>月～</w:t>
      </w:r>
      <w:r>
        <w:rPr>
          <w:rFonts w:hint="eastAsia" w:ascii="仿宋_GB2312" w:eastAsia="仿宋_GB2312"/>
          <w:color w:val="auto"/>
          <w:sz w:val="28"/>
          <w:szCs w:val="28"/>
          <w:lang w:val="en-US" w:eastAsia="zh-CN"/>
        </w:rPr>
        <w:t>202</w:t>
      </w:r>
      <w:r>
        <w:rPr>
          <w:rFonts w:hint="default" w:ascii="仿宋_GB2312" w:eastAsia="仿宋_GB2312"/>
          <w:color w:val="auto"/>
          <w:sz w:val="28"/>
          <w:szCs w:val="28"/>
          <w:lang w:val="en" w:eastAsia="zh-CN"/>
        </w:rPr>
        <w:t>5</w:t>
      </w:r>
      <w:r>
        <w:rPr>
          <w:rFonts w:hint="eastAsia" w:ascii="仿宋_GB2312" w:eastAsia="仿宋_GB2312"/>
          <w:color w:val="auto"/>
          <w:sz w:val="28"/>
          <w:szCs w:val="28"/>
          <w:lang w:val="en-US" w:eastAsia="zh-CN"/>
        </w:rPr>
        <w:t>年</w:t>
      </w:r>
      <w:r>
        <w:rPr>
          <w:rFonts w:hint="default" w:ascii="仿宋_GB2312" w:eastAsia="仿宋_GB2312"/>
          <w:color w:val="auto"/>
          <w:sz w:val="28"/>
          <w:szCs w:val="28"/>
          <w:lang w:val="en" w:eastAsia="zh-CN"/>
        </w:rPr>
        <w:t>8</w:t>
      </w:r>
      <w:r>
        <w:rPr>
          <w:rFonts w:hint="eastAsia" w:ascii="仿宋_GB2312" w:eastAsia="仿宋_GB2312"/>
          <w:color w:val="auto"/>
          <w:sz w:val="28"/>
          <w:szCs w:val="28"/>
          <w:lang w:val="en"/>
        </w:rPr>
        <w:t>月，标准编制工作组深入广西中医药大学附属瑞康医院、成都中医药大学附属医院、上海市第七人民医院、广西医科大学第一附属医院、广西壮族自治区人民医院、广西中医药大学第一附属医院、广西医科大学附属肿瘤医院、柳州市中医医院、南宁市第一人民医院、南宁市第四人民医院、钦州市中医医院、桂平市人民医院、岑溪市人民医院</w:t>
      </w:r>
      <w:r>
        <w:rPr>
          <w:rFonts w:hint="eastAsia" w:ascii="仿宋_GB2312" w:eastAsia="仿宋_GB2312"/>
          <w:color w:val="auto"/>
          <w:sz w:val="28"/>
          <w:szCs w:val="28"/>
          <w:lang w:val="en" w:eastAsia="zh-CN"/>
        </w:rPr>
        <w:t>实施ICU获得性肌无力中西医护理</w:t>
      </w:r>
      <w:r>
        <w:rPr>
          <w:rFonts w:hint="eastAsia" w:ascii="仿宋_GB2312" w:hAnsi="宋体" w:eastAsia="仿宋_GB2312"/>
          <w:color w:val="auto"/>
          <w:sz w:val="28"/>
          <w:szCs w:val="28"/>
        </w:rPr>
        <w:t>的有代表性的</w:t>
      </w:r>
      <w:r>
        <w:rPr>
          <w:rFonts w:hint="eastAsia" w:ascii="仿宋_GB2312" w:hAnsi="宋体" w:eastAsia="仿宋_GB2312"/>
          <w:color w:val="auto"/>
          <w:sz w:val="28"/>
          <w:szCs w:val="28"/>
          <w:lang w:val="en-US" w:eastAsia="zh-CN"/>
        </w:rPr>
        <w:t>医疗机构</w:t>
      </w:r>
      <w:r>
        <w:rPr>
          <w:rFonts w:hint="eastAsia" w:ascii="仿宋_GB2312" w:eastAsia="仿宋_GB2312"/>
          <w:color w:val="auto"/>
          <w:kern w:val="0"/>
          <w:sz w:val="28"/>
          <w:szCs w:val="28"/>
        </w:rPr>
        <w:t>进行实地调研，并组织相关主管单位、</w:t>
      </w:r>
      <w:r>
        <w:rPr>
          <w:rFonts w:hint="eastAsia" w:ascii="仿宋_GB2312" w:eastAsia="仿宋_GB2312"/>
          <w:color w:val="auto"/>
          <w:kern w:val="0"/>
          <w:sz w:val="28"/>
          <w:szCs w:val="28"/>
          <w:lang w:val="en-US" w:eastAsia="zh-CN"/>
        </w:rPr>
        <w:t>医院</w:t>
      </w:r>
      <w:r>
        <w:rPr>
          <w:rFonts w:hint="eastAsia" w:ascii="仿宋_GB2312" w:eastAsia="仿宋_GB2312"/>
          <w:color w:val="auto"/>
          <w:kern w:val="0"/>
          <w:sz w:val="28"/>
          <w:szCs w:val="28"/>
        </w:rPr>
        <w:t>等召开标准研讨会，收集反馈了大量意见，对标准草案进行了反复修改和研究讨论，掌握了</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0" w:name="_Hlk120181503"/>
      <w:r>
        <w:rPr>
          <w:rFonts w:hint="eastAsia" w:ascii="仿宋_GB2312" w:eastAsia="仿宋_GB2312"/>
          <w:color w:val="auto"/>
          <w:kern w:val="0"/>
          <w:sz w:val="28"/>
          <w:szCs w:val="28"/>
          <w:lang w:eastAsia="zh-CN"/>
        </w:rPr>
        <w:t>团体标准《ICU获得性肌无力中西医护理规范》</w:t>
      </w:r>
      <w:r>
        <w:rPr>
          <w:rFonts w:hint="eastAsia" w:ascii="仿宋_GB2312" w:eastAsia="仿宋_GB2312"/>
          <w:color w:val="auto"/>
          <w:kern w:val="0"/>
          <w:sz w:val="28"/>
          <w:szCs w:val="28"/>
        </w:rPr>
        <w:t>（征求意见稿）及其编制说明。</w:t>
      </w:r>
      <w:bookmarkEnd w:id="0"/>
    </w:p>
    <w:p w14:paraId="5194B39A">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6671BE0C">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67B7B533">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98BE10C">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sz w:val="28"/>
          <w:szCs w:val="28"/>
          <w:lang w:val="en" w:eastAsia="zh-CN"/>
        </w:rPr>
        <w:t>ICU获得性肌无力中西医护理</w:t>
      </w:r>
      <w:r>
        <w:rPr>
          <w:rFonts w:hint="eastAsia" w:ascii="仿宋_GB2312" w:eastAsia="仿宋_GB2312" w:cs="仿宋"/>
          <w:color w:val="auto"/>
          <w:sz w:val="28"/>
          <w:szCs w:val="28"/>
        </w:rPr>
        <w:t>现状，结合起草单位前期研究工作取得的研究成果及积累的实践经验，并借鉴国内</w:t>
      </w:r>
      <w:r>
        <w:rPr>
          <w:rFonts w:hint="eastAsia" w:ascii="仿宋_GB2312" w:eastAsia="仿宋_GB2312"/>
          <w:color w:val="auto"/>
          <w:sz w:val="28"/>
          <w:szCs w:val="28"/>
          <w:lang w:val="en" w:eastAsia="zh-CN"/>
        </w:rPr>
        <w:t>ICU获得性肌无力中西医护理</w:t>
      </w:r>
      <w:r>
        <w:rPr>
          <w:rFonts w:hint="eastAsia" w:ascii="仿宋_GB2312" w:eastAsia="仿宋_GB2312" w:cs="仿宋"/>
          <w:color w:val="auto"/>
          <w:sz w:val="28"/>
          <w:szCs w:val="28"/>
        </w:rPr>
        <w:t>进行总结起草的，符合工作实际，利于</w:t>
      </w:r>
      <w:r>
        <w:rPr>
          <w:rFonts w:hint="eastAsia" w:ascii="仿宋_GB2312" w:eastAsia="仿宋_GB2312"/>
          <w:color w:val="auto"/>
          <w:sz w:val="28"/>
          <w:szCs w:val="28"/>
          <w:lang w:val="en" w:eastAsia="zh-CN"/>
        </w:rPr>
        <w:t>ICU获得性肌无力中西医护理</w:t>
      </w:r>
      <w:r>
        <w:rPr>
          <w:rFonts w:hint="eastAsia" w:ascii="仿宋_GB2312" w:eastAsia="仿宋_GB2312" w:cs="仿宋"/>
          <w:color w:val="auto"/>
          <w:sz w:val="28"/>
          <w:szCs w:val="28"/>
        </w:rPr>
        <w:t>的实施与推广，具有可操作性和实用性。</w:t>
      </w:r>
    </w:p>
    <w:p w14:paraId="10217A12">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38FFE9B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相关法律法规的协调问题，在内容上与现行法律法规、标准协调一致。</w:t>
      </w:r>
    </w:p>
    <w:p w14:paraId="276E29B0">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12F126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3021FB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1AD6C48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现实情况的同时，还考虑到了</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发展的指导。</w:t>
      </w:r>
    </w:p>
    <w:p w14:paraId="7A1B5DB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2BE3BA5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sz w:val="28"/>
          <w:szCs w:val="28"/>
          <w:lang w:val="en" w:eastAsia="zh-CN"/>
        </w:rPr>
        <w:t>ICU获得性肌无力中西医护理</w:t>
      </w:r>
      <w:r>
        <w:rPr>
          <w:rFonts w:hint="eastAsia" w:ascii="仿宋_GB2312" w:eastAsia="仿宋_GB2312"/>
          <w:color w:val="auto"/>
          <w:sz w:val="28"/>
          <w:szCs w:val="28"/>
        </w:rPr>
        <w:t>研究应用过程中的实践经验确定。</w:t>
      </w:r>
    </w:p>
    <w:p w14:paraId="64ACBF6C">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0EC8997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4BE8A554">
      <w:pPr>
        <w:adjustRightInd w:val="0"/>
        <w:snapToGrid w:val="0"/>
        <w:spacing w:line="520" w:lineRule="exact"/>
        <w:ind w:firstLine="560" w:firstLineChars="200"/>
        <w:rPr>
          <w:rFonts w:hint="eastAsia"/>
          <w:color w:val="auto"/>
          <w:lang w:eastAsia="zh-CN"/>
        </w:rPr>
      </w:pPr>
      <w:r>
        <w:rPr>
          <w:rFonts w:hint="eastAsia" w:ascii="仿宋_GB2312" w:eastAsia="仿宋_GB2312"/>
          <w:color w:val="auto"/>
          <w:sz w:val="28"/>
          <w:szCs w:val="28"/>
          <w:lang w:eastAsia="zh-CN"/>
        </w:rPr>
        <w:t>经查阅，暂无与“获得性肌无力”、“ICU患者  肌无力”、“肌无力  护理”相关的标准</w:t>
      </w:r>
      <w:r>
        <w:rPr>
          <w:rFonts w:hint="eastAsia" w:ascii="仿宋_GB2312" w:eastAsia="仿宋_GB2312" w:cs="仿宋"/>
          <w:bCs/>
          <w:color w:val="auto"/>
          <w:sz w:val="28"/>
          <w:szCs w:val="28"/>
          <w:lang w:val="en-US" w:eastAsia="zh-CN"/>
        </w:rPr>
        <w:t>。</w:t>
      </w:r>
    </w:p>
    <w:p w14:paraId="43BA97DC">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4A771D42">
      <w:pPr>
        <w:pStyle w:val="29"/>
        <w:spacing w:line="520" w:lineRule="exact"/>
        <w:ind w:firstLine="562"/>
        <w:rPr>
          <w:rFonts w:hint="eastAsia" w:ascii="仿宋_GB2312" w:eastAsia="仿宋_GB2312" w:cs="仿宋"/>
          <w:bCs/>
          <w:color w:val="auto"/>
          <w:sz w:val="28"/>
          <w:szCs w:val="28"/>
        </w:rPr>
      </w:pPr>
      <w:r>
        <w:rPr>
          <w:rFonts w:hint="eastAsia" w:ascii="仿宋_GB2312" w:eastAsia="仿宋_GB2312" w:cs="仿宋"/>
          <w:b w:val="0"/>
          <w:bCs w:val="0"/>
          <w:color w:val="auto"/>
          <w:sz w:val="28"/>
          <w:szCs w:val="28"/>
        </w:rPr>
        <w:t>本文件界定了</w:t>
      </w:r>
      <w:r>
        <w:rPr>
          <w:rFonts w:hint="eastAsia" w:ascii="仿宋_GB2312" w:eastAsia="仿宋_GB2312" w:cs="仿宋"/>
          <w:b w:val="0"/>
          <w:bCs w:val="0"/>
          <w:color w:val="auto"/>
          <w:sz w:val="28"/>
          <w:szCs w:val="28"/>
          <w:lang w:val="en" w:eastAsia="zh-CN"/>
        </w:rPr>
        <w:t>ICU获得性肌无力中西医护理</w:t>
      </w:r>
      <w:r>
        <w:rPr>
          <w:rFonts w:hint="eastAsia" w:ascii="仿宋_GB2312" w:eastAsia="仿宋_GB2312" w:cs="仿宋"/>
          <w:b w:val="0"/>
          <w:bCs w:val="0"/>
          <w:color w:val="auto"/>
          <w:sz w:val="28"/>
          <w:szCs w:val="28"/>
        </w:rPr>
        <w:t>涉及的术语和定义，规定了基本要求、护理评估与方案、护理措施、并发症预防及处理的要求。本文件适用于医疗机构</w:t>
      </w:r>
      <w:r>
        <w:rPr>
          <w:rFonts w:hint="eastAsia" w:ascii="仿宋_GB2312" w:eastAsia="仿宋_GB2312" w:cs="仿宋"/>
          <w:b w:val="0"/>
          <w:bCs w:val="0"/>
          <w:color w:val="auto"/>
          <w:sz w:val="28"/>
          <w:szCs w:val="28"/>
          <w:lang w:val="en" w:eastAsia="zh-CN"/>
        </w:rPr>
        <w:t>ICU获得性肌无力中西医护理</w:t>
      </w:r>
      <w:r>
        <w:rPr>
          <w:rFonts w:hint="eastAsia" w:ascii="仿宋_GB2312" w:eastAsia="仿宋_GB2312"/>
          <w:sz w:val="28"/>
          <w:szCs w:val="28"/>
          <w:lang w:eastAsia="zh-CN"/>
        </w:rPr>
        <w:t>。</w:t>
      </w:r>
    </w:p>
    <w:p w14:paraId="75F11B3F">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val="en-US" w:eastAsia="zh-CN"/>
        </w:rPr>
        <w:t>基本要求</w:t>
      </w:r>
    </w:p>
    <w:p w14:paraId="5CA99C8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bCs w:val="0"/>
          <w:color w:val="auto"/>
          <w:sz w:val="28"/>
          <w:szCs w:val="28"/>
          <w:lang w:val="en-US" w:eastAsia="zh-CN"/>
        </w:rPr>
        <w:t>明确护理人员应经过专项培训并考核合格，需同时掌握西医评估方法（如MRC评分）和中医技术操作（如八段锦、穴位按摩）及应急处理技能。</w:t>
      </w:r>
      <w:r>
        <w:rPr>
          <w:rFonts w:hint="eastAsia" w:ascii="仿宋_GB2312" w:eastAsia="仿宋_GB2312" w:cs="仿宋"/>
          <w:b w:val="0"/>
          <w:bCs/>
          <w:color w:val="auto"/>
          <w:sz w:val="28"/>
          <w:szCs w:val="28"/>
          <w:lang w:val="en-US" w:eastAsia="zh-CN"/>
        </w:rPr>
        <w:t>因为ICU-AW的护理干预，尤其是早期活动和中医疗法，存在一定风险（如跌倒、病情变化）。若操作者未经规范培训，易导致无效康复或安全事件。本条旨在确保执行护理措施的护士具备跨学科知识和技能，保证护理质量与患者安全。</w:t>
      </w:r>
    </w:p>
    <w:p w14:paraId="137CDF18">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bCs w:val="0"/>
          <w:color w:val="auto"/>
          <w:sz w:val="28"/>
          <w:szCs w:val="28"/>
          <w:lang w:val="en-US" w:eastAsia="zh-CN"/>
        </w:rPr>
        <w:t>要求遵循无菌原则和标准预防，手卫生遵守WS/T 313，医院隔离遵守WS/T 311，并强调着装规范。</w:t>
      </w:r>
      <w:r>
        <w:rPr>
          <w:rFonts w:hint="eastAsia" w:ascii="仿宋_GB2312" w:eastAsia="仿宋_GB2312" w:cs="仿宋"/>
          <w:b w:val="0"/>
          <w:bCs/>
          <w:color w:val="auto"/>
          <w:sz w:val="28"/>
          <w:szCs w:val="28"/>
          <w:lang w:val="en-US" w:eastAsia="zh-CN"/>
        </w:rPr>
        <w:t>因为ICU患者多为免疫力低下的危重患者，任何护理操作都必须将感染控制置于首位。</w:t>
      </w:r>
    </w:p>
    <w:p w14:paraId="34ECE9A4">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安全启动条件：明确了患者生命体征相对稳定的前提。</w:t>
      </w:r>
    </w:p>
    <w:p w14:paraId="35893EAA">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lang w:val="en-US" w:eastAsia="zh-CN"/>
        </w:rPr>
        <w:t>绝对禁忌证：列出了如</w:t>
      </w:r>
      <w:r>
        <w:rPr>
          <w:rFonts w:hint="eastAsia" w:ascii="仿宋_GB2312" w:eastAsia="仿宋_GB2312" w:cs="仿宋"/>
          <w:b/>
          <w:bCs w:val="0"/>
          <w:color w:val="auto"/>
          <w:sz w:val="28"/>
          <w:szCs w:val="28"/>
          <w:highlight w:val="none"/>
          <w:lang w:val="en-US" w:eastAsia="zh-CN"/>
        </w:rPr>
        <w:t>病情急性恶化、未抗凝的DVT、活动性出血等必须禁止活动的具体情况。</w:t>
      </w:r>
    </w:p>
    <w:p w14:paraId="20FD143B">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强度与进度原则：提出了“与肌力分级、耐受度匹配”和“循序渐进、量力而行”的核心原则。</w:t>
      </w:r>
    </w:p>
    <w:p w14:paraId="14701D62">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终止指征：列出了活动中如出现生</w:t>
      </w:r>
      <w:r>
        <w:rPr>
          <w:rFonts w:hint="eastAsia" w:ascii="仿宋_GB2312" w:eastAsia="仿宋_GB2312" w:cs="仿宋"/>
          <w:b/>
          <w:bCs w:val="0"/>
          <w:color w:val="auto"/>
          <w:sz w:val="28"/>
          <w:szCs w:val="28"/>
          <w:lang w:val="en-US" w:eastAsia="zh-CN"/>
        </w:rPr>
        <w:t>命体征显著恶化、疼痛等应立即停止的情况。</w:t>
      </w:r>
    </w:p>
    <w:p w14:paraId="6C321241">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何时开始、如何进行、何时停止，是ICU早期康复实践中医护人员最关切的安全问题。本标准通过正面清单（启动条件）和负面清单（禁忌证与终止指征），为临床决策提供了清晰、可操作的安全边界，有效降低了康复治疗的风险。体现精准护理：“强度与进度原则”将抽象的康复理念具体化为与客观指标（肌力分级）和主观感受（患者耐受度）挂钩的操作指南，是实现个体化、精准化护理的关键。参考权威共识：上述条款的制定参考了《中国重症患者早期康复治疗专家共识》以及国内外关于ICU早期活动安全管理的相关文献。</w:t>
      </w:r>
    </w:p>
    <w:p w14:paraId="5EBF2969">
      <w:pPr>
        <w:pStyle w:val="29"/>
        <w:numPr>
          <w:ilvl w:val="0"/>
          <w:numId w:val="8"/>
        </w:numPr>
        <w:spacing w:line="520" w:lineRule="exact"/>
        <w:ind w:firstLine="0" w:firstLineChars="0"/>
        <w:rPr>
          <w:rFonts w:hint="eastAsia" w:ascii="仿宋_GB2312" w:eastAsia="仿宋_GB2312" w:cs="仿宋"/>
          <w:b/>
          <w:bCs/>
          <w:color w:val="auto"/>
          <w:sz w:val="28"/>
          <w:szCs w:val="28"/>
          <w:highlight w:val="none"/>
        </w:rPr>
      </w:pPr>
      <w:r>
        <w:rPr>
          <w:rFonts w:hint="eastAsia" w:ascii="仿宋_GB2312" w:eastAsia="仿宋_GB2312" w:cs="仿宋"/>
          <w:b/>
          <w:bCs/>
          <w:color w:val="auto"/>
          <w:sz w:val="28"/>
          <w:szCs w:val="28"/>
          <w:highlight w:val="none"/>
          <w:lang w:val="en-US" w:eastAsia="zh-CN"/>
        </w:rPr>
        <w:t>护理前评估</w:t>
      </w:r>
    </w:p>
    <w:p w14:paraId="359A30D4">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多维度评估工具整合；西医采用MRC肌力分级、握力计量化评估，结合中医“望闻问切”判断气血状态（如舌质淡、脉细提示气虚）</w:t>
      </w:r>
    </w:p>
    <w:p w14:paraId="2290F298">
      <w:pPr>
        <w:pStyle w:val="29"/>
        <w:numPr>
          <w:ilvl w:val="0"/>
          <w:numId w:val="9"/>
        </w:numPr>
        <w:spacing w:line="520" w:lineRule="exact"/>
        <w:ind w:left="0" w:leftChars="0" w:firstLine="562" w:firstLineChars="200"/>
        <w:rPr>
          <w:rFonts w:hint="eastAsia" w:ascii="仿宋_GB2312" w:eastAsia="仿宋_GB2312" w:cs="仿宋"/>
          <w:b/>
          <w:bCs/>
          <w:color w:val="auto"/>
          <w:sz w:val="28"/>
          <w:szCs w:val="28"/>
          <w:highlight w:val="none"/>
          <w:lang w:val="en-US" w:eastAsia="zh-CN"/>
        </w:rPr>
      </w:pPr>
      <w:r>
        <w:rPr>
          <w:rFonts w:hint="eastAsia" w:ascii="仿宋_GB2312" w:eastAsia="仿宋_GB2312" w:cs="仿宋"/>
          <w:b/>
          <w:bCs/>
          <w:color w:val="auto"/>
          <w:sz w:val="28"/>
          <w:szCs w:val="28"/>
          <w:highlight w:val="none"/>
          <w:lang w:val="en-US" w:eastAsia="zh-CN"/>
        </w:rPr>
        <w:t>西医评估</w:t>
      </w:r>
    </w:p>
    <w:p w14:paraId="5A878C5F">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将西医评估作为护理方案制定的客观基础，核心是采用国际公认的MRC（Medical Research Council）肌力评分量表，对患者双侧6组肌群进行标准化量化评估。明确规定总分低于48分即可诊断ICU获得性肌无力，并根据评分范围（36～48分为轻症，＜36分为重症）分级，为后续护理措施的强度选择（如被动活动、主动抗阻训练）提供精准、统一的科学依据。此设计旨在解决临床评估主观性差异问题，确保干预措施与患者实际肌力水平严格匹配，提升护理的安全性和有效性。</w:t>
      </w:r>
    </w:p>
    <w:p w14:paraId="0DEDE9B8">
      <w:pPr>
        <w:pStyle w:val="29"/>
        <w:spacing w:line="520" w:lineRule="exact"/>
        <w:ind w:left="0" w:leftChars="0" w:firstLine="562" w:firstLineChars="200"/>
        <w:rPr>
          <w:rFonts w:hint="default" w:ascii="仿宋_GB2312" w:eastAsia="仿宋_GB2312" w:cs="仿宋"/>
          <w:b/>
          <w:bCs/>
          <w:color w:val="auto"/>
          <w:sz w:val="28"/>
          <w:szCs w:val="28"/>
          <w:highlight w:val="none"/>
          <w:lang w:val="en-US" w:eastAsia="zh-CN"/>
        </w:rPr>
      </w:pPr>
      <w:r>
        <w:rPr>
          <w:rFonts w:hint="eastAsia" w:ascii="仿宋_GB2312" w:eastAsia="仿宋_GB2312" w:cs="仿宋"/>
          <w:b/>
          <w:bCs/>
          <w:color w:val="auto"/>
          <w:sz w:val="28"/>
          <w:szCs w:val="28"/>
          <w:highlight w:val="none"/>
          <w:lang w:val="en-US" w:eastAsia="zh-CN"/>
        </w:rPr>
        <w:t>（2）中医评估</w:t>
      </w:r>
    </w:p>
    <w:p w14:paraId="323E7D91">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基于中医“痿证”理论基础，将ICU获得性肌无力划分为“脾胃虚弱证”、“肝肾亏虚证”及“脉络瘀阻证”三种基本证型。该评估通过观察患者肢体无力程度、肌肉萎缩情况，并结合神疲、腹胀、腰酸、舌象、脉象等全身症状与体征进行综合辨证。从整体观念出发，揭示疾病的中医病机本质，为后续实施辨证施护（如针对性的穴位按摩、耳穴压豆及饮食情志调摄）提供关键依据，是实现中西医结合个性化护理的核心环节。</w:t>
      </w:r>
    </w:p>
    <w:p w14:paraId="4BC77A0B">
      <w:pPr>
        <w:pStyle w:val="29"/>
        <w:numPr>
          <w:ilvl w:val="0"/>
          <w:numId w:val="8"/>
        </w:numPr>
        <w:spacing w:line="520" w:lineRule="exact"/>
        <w:ind w:firstLine="0" w:firstLineChars="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护理措施</w:t>
      </w:r>
    </w:p>
    <w:p w14:paraId="2F1FCF32">
      <w:pPr>
        <w:pStyle w:val="29"/>
        <w:numPr>
          <w:ilvl w:val="0"/>
          <w:numId w:val="10"/>
        </w:numPr>
        <w:spacing w:line="520" w:lineRule="exact"/>
        <w:ind w:left="0" w:leftChars="0" w:firstLine="562" w:firstLineChars="200"/>
        <w:rPr>
          <w:rFonts w:hint="eastAsia" w:ascii="仿宋_GB2312" w:eastAsia="仿宋_GB2312"/>
          <w:b/>
          <w:bCs/>
          <w:sz w:val="28"/>
          <w:szCs w:val="28"/>
          <w:highlight w:val="none"/>
          <w:lang w:val="en-US" w:eastAsia="zh-CN"/>
        </w:rPr>
      </w:pPr>
      <w:r>
        <w:rPr>
          <w:rFonts w:hint="eastAsia" w:ascii="仿宋_GB2312" w:eastAsia="仿宋_GB2312"/>
          <w:b/>
          <w:bCs/>
          <w:sz w:val="28"/>
          <w:szCs w:val="28"/>
          <w:highlight w:val="none"/>
          <w:lang w:val="en-US" w:eastAsia="zh-CN"/>
        </w:rPr>
        <w:t>西医护理</w:t>
      </w:r>
    </w:p>
    <w:p w14:paraId="2DA89BCA">
      <w:pPr>
        <w:pStyle w:val="29"/>
        <w:numPr>
          <w:ilvl w:val="0"/>
          <w:numId w:val="0"/>
        </w:numPr>
        <w:spacing w:line="520" w:lineRule="exact"/>
        <w:ind w:leftChars="200"/>
        <w:rPr>
          <w:rFonts w:hint="eastAsia" w:ascii="仿宋_GB2312" w:eastAsia="仿宋_GB2312"/>
          <w:b/>
          <w:bCs/>
          <w:sz w:val="28"/>
          <w:szCs w:val="28"/>
          <w:highlight w:val="none"/>
          <w:lang w:val="en-US" w:eastAsia="zh-CN"/>
        </w:rPr>
      </w:pPr>
      <w:r>
        <w:rPr>
          <w:rFonts w:hint="eastAsia" w:ascii="仿宋_GB2312" w:eastAsia="仿宋_GB2312" w:cs="仿宋"/>
          <w:b/>
          <w:bCs w:val="0"/>
          <w:color w:val="auto"/>
          <w:sz w:val="28"/>
          <w:szCs w:val="28"/>
          <w:highlight w:val="none"/>
          <w:lang w:val="en-US" w:eastAsia="zh-CN"/>
        </w:rPr>
        <w:t>目前起草单位近三年进行西医护理患者接诊约119例，有效率达到84%</w:t>
      </w:r>
    </w:p>
    <w:p w14:paraId="138A0CD8">
      <w:pPr>
        <w:pStyle w:val="29"/>
        <w:spacing w:line="520" w:lineRule="exact"/>
        <w:ind w:left="0" w:leftChars="0" w:firstLine="562" w:firstLineChars="200"/>
        <w:rPr>
          <w:rFonts w:hint="eastAsia" w:ascii="仿宋_GB2312" w:eastAsia="仿宋_GB2312"/>
          <w:sz w:val="28"/>
          <w:szCs w:val="28"/>
          <w:highlight w:val="none"/>
          <w:lang w:val="en-US" w:eastAsia="zh-CN"/>
        </w:rPr>
      </w:pPr>
      <w:r>
        <w:rPr>
          <w:rFonts w:hint="eastAsia" w:ascii="仿宋_GB2312" w:eastAsia="仿宋_GB2312"/>
          <w:b/>
          <w:bCs/>
          <w:sz w:val="28"/>
          <w:szCs w:val="28"/>
          <w:highlight w:val="none"/>
          <w:lang w:val="en-US" w:eastAsia="zh-CN"/>
        </w:rPr>
        <w:t>病情观察</w:t>
      </w:r>
      <w:r>
        <w:rPr>
          <w:rFonts w:hint="eastAsia" w:ascii="仿宋_GB2312" w:eastAsia="仿宋_GB2312"/>
          <w:sz w:val="28"/>
          <w:szCs w:val="28"/>
          <w:highlight w:val="none"/>
          <w:lang w:val="en-US" w:eastAsia="zh-CN"/>
        </w:rPr>
        <w:t>明确了观察的核心内容与预警机制，旨在实现动态、前瞻性的护理评估。其要求不仅限于监测肌无力症状（发生时间、部位、程度、进展），更涵盖对肢体运动功能、肌张力、肌肉萎缩及神经系统体征（皮肤感觉、浅反射）的全面评估，从而形成完整的症状-功能-神经损害评估链条。特别强调了对于痿软向上蔓延累及呼吸肌等危急证候的即时识别与抢救，并关注病情进展趋势及药物相关副作用，为及时调整护理方案、确保患者安全提供了关键决策依据。</w:t>
      </w:r>
    </w:p>
    <w:p w14:paraId="158BA423">
      <w:pPr>
        <w:pStyle w:val="29"/>
        <w:spacing w:line="520" w:lineRule="exact"/>
        <w:ind w:left="0" w:leftChars="0" w:firstLine="562" w:firstLineChars="200"/>
        <w:rPr>
          <w:rFonts w:hint="eastAsia" w:ascii="仿宋_GB2312" w:eastAsia="仿宋_GB2312"/>
          <w:sz w:val="28"/>
          <w:szCs w:val="28"/>
          <w:highlight w:val="none"/>
          <w:lang w:val="en-US" w:eastAsia="zh-CN"/>
        </w:rPr>
      </w:pPr>
      <w:r>
        <w:rPr>
          <w:rFonts w:hint="eastAsia" w:ascii="仿宋_GB2312" w:eastAsia="仿宋_GB2312"/>
          <w:b/>
          <w:bCs/>
          <w:sz w:val="28"/>
          <w:szCs w:val="28"/>
          <w:highlight w:val="none"/>
          <w:lang w:val="en-US" w:eastAsia="zh-CN"/>
        </w:rPr>
        <w:t>镇静药物管理</w:t>
      </w:r>
      <w:r>
        <w:rPr>
          <w:rFonts w:hint="eastAsia" w:ascii="仿宋_GB2312" w:eastAsia="仿宋_GB2312"/>
          <w:sz w:val="28"/>
          <w:szCs w:val="28"/>
          <w:highlight w:val="none"/>
          <w:lang w:val="en-US" w:eastAsia="zh-CN"/>
        </w:rPr>
        <w:t>明确了以“每日唤醒”和“必要性评估”为核心的镇静管理策略，旨在最大限度减少因过度镇静导致的肌肉废用和ICU获得性肌无力加重风险。其内容体现了“最小化镇静”的现代ICU管理理念，要求护士每日主动评估并配合医生调整镇静方案；同时，条款并非一概否定深度镇静，而是精准界定了在应激急性期、严重颅脑外伤等特定危重场景下维持深度镇静的临床必要性，从而在促进患者早期活动与保障生命体征稳定之间取得关键平衡，为早期康复介入创造前提条件。</w:t>
      </w:r>
    </w:p>
    <w:p w14:paraId="35E77630">
      <w:pPr>
        <w:pStyle w:val="29"/>
        <w:spacing w:line="520" w:lineRule="exact"/>
        <w:ind w:left="0" w:leftChars="0" w:firstLine="562" w:firstLineChars="200"/>
        <w:rPr>
          <w:rFonts w:hint="eastAsia" w:ascii="仿宋_GB2312" w:eastAsia="仿宋_GB2312"/>
          <w:b/>
          <w:bCs/>
          <w:sz w:val="28"/>
          <w:szCs w:val="28"/>
          <w:highlight w:val="none"/>
          <w:lang w:val="en-US" w:eastAsia="zh-CN"/>
        </w:rPr>
      </w:pPr>
      <w:r>
        <w:rPr>
          <w:rFonts w:hint="eastAsia" w:ascii="仿宋_GB2312" w:eastAsia="仿宋_GB2312"/>
          <w:b/>
          <w:bCs/>
          <w:sz w:val="28"/>
          <w:szCs w:val="28"/>
          <w:highlight w:val="none"/>
          <w:lang w:val="en-US" w:eastAsia="zh-CN"/>
        </w:rPr>
        <w:t>血糖管理</w:t>
      </w:r>
      <w:r>
        <w:rPr>
          <w:rFonts w:hint="eastAsia" w:ascii="仿宋_GB2312" w:eastAsia="仿宋_GB2312"/>
          <w:b w:val="0"/>
          <w:bCs w:val="0"/>
          <w:sz w:val="28"/>
          <w:szCs w:val="28"/>
          <w:highlight w:val="none"/>
          <w:lang w:val="en-US" w:eastAsia="zh-CN"/>
        </w:rPr>
        <w:t>明确的血糖干预阈值（连续2次≥10 mmol/L）与管理路径，旨在通过严格的血糖控制阻断高血糖这一加剧ICU获得性肌无力的关键病理环节。其依据在于，危重症应激状态下的高血糖可导致胰岛素抵抗、线粒体功能障碍及全身性炎症反应，直接损害肌肉蛋白合成与能量代谢，加速肌肉萎缩。将干预阈值设定于10 mmol/L并强调胰岛素治疗，是基于循证医学证据（如重症医学指南）的平衡选择，既能有效规避严重高血糖的肌肉毒性，又可防止过于激进的血糖控制所带来的低血糖风险，为神经肌肉功能的恢复创造稳定的内环境。</w:t>
      </w:r>
    </w:p>
    <w:p w14:paraId="0FF28E37">
      <w:pPr>
        <w:pStyle w:val="29"/>
        <w:spacing w:line="520" w:lineRule="exact"/>
        <w:ind w:left="0" w:leftChars="0" w:firstLine="562" w:firstLineChars="200"/>
        <w:rPr>
          <w:rFonts w:hint="eastAsia" w:ascii="仿宋_GB2312" w:eastAsia="仿宋_GB2312"/>
          <w:b/>
          <w:bCs/>
          <w:sz w:val="28"/>
          <w:szCs w:val="28"/>
          <w:highlight w:val="none"/>
          <w:lang w:val="en-US" w:eastAsia="zh-CN"/>
        </w:rPr>
      </w:pPr>
      <w:r>
        <w:rPr>
          <w:rFonts w:hint="eastAsia" w:ascii="仿宋_GB2312" w:eastAsia="仿宋_GB2312"/>
          <w:b/>
          <w:bCs/>
          <w:sz w:val="28"/>
          <w:szCs w:val="28"/>
          <w:highlight w:val="none"/>
          <w:lang w:val="en-US" w:eastAsia="zh-CN"/>
        </w:rPr>
        <w:t>体位管理</w:t>
      </w:r>
      <w:r>
        <w:rPr>
          <w:rFonts w:hint="eastAsia" w:ascii="仿宋_GB2312" w:eastAsia="仿宋_GB2312"/>
          <w:b w:val="0"/>
          <w:bCs w:val="0"/>
          <w:sz w:val="28"/>
          <w:szCs w:val="28"/>
          <w:highlight w:val="none"/>
          <w:lang w:val="en-US" w:eastAsia="zh-CN"/>
        </w:rPr>
        <w:t>将体位管理从基础护理提升为重要的治疗性措施，其核心是通过规范的良肢位摆放和使用减压工具（如气垫床、软枕）来预防关节挛缩、足下垂及压力性损伤等继发性并发症。要求基于Braden量表进行风险评估并执行定时翻身，旨在通过主动的体位变换打破压力-缺血-损伤的病理链条，维持肌肉与关节的功能位置。</w:t>
      </w:r>
    </w:p>
    <w:p w14:paraId="172EDB59">
      <w:pPr>
        <w:pStyle w:val="29"/>
        <w:spacing w:line="520" w:lineRule="exact"/>
        <w:ind w:left="0" w:leftChars="0" w:firstLine="562" w:firstLineChars="200"/>
        <w:rPr>
          <w:rFonts w:hint="eastAsia" w:ascii="仿宋_GB2312" w:eastAsia="仿宋_GB2312"/>
          <w:b/>
          <w:bCs/>
          <w:sz w:val="28"/>
          <w:szCs w:val="28"/>
          <w:highlight w:val="none"/>
          <w:lang w:val="en-US" w:eastAsia="zh-CN"/>
        </w:rPr>
      </w:pPr>
      <w:r>
        <w:rPr>
          <w:rFonts w:hint="eastAsia" w:ascii="仿宋_GB2312" w:eastAsia="仿宋_GB2312"/>
          <w:b/>
          <w:bCs/>
          <w:sz w:val="28"/>
          <w:szCs w:val="28"/>
          <w:highlight w:val="none"/>
          <w:lang w:val="en-US" w:eastAsia="zh-CN"/>
        </w:rPr>
        <w:t>口腔护理</w:t>
      </w:r>
      <w:r>
        <w:rPr>
          <w:rFonts w:hint="eastAsia" w:ascii="仿宋_GB2312" w:eastAsia="仿宋_GB2312"/>
          <w:b w:val="0"/>
          <w:bCs w:val="0"/>
          <w:sz w:val="28"/>
          <w:szCs w:val="28"/>
          <w:highlight w:val="none"/>
          <w:lang w:val="en-US" w:eastAsia="zh-CN"/>
        </w:rPr>
        <w:t>使用具有清热解毒、修复粘膜功效的漱口液进行口腔护理，其设计思路超越了保持口腔清洁的基本要求，而是着眼于控制口腔这一潜在的感染灶，以降低危重症患者常见的误吸相关性肺炎风险。肺炎引发的全身性炎症反应会显著加重肌无力病情。</w:t>
      </w:r>
    </w:p>
    <w:p w14:paraId="5CF23ACE">
      <w:pPr>
        <w:pStyle w:val="29"/>
        <w:spacing w:line="520" w:lineRule="exact"/>
        <w:ind w:left="0" w:leftChars="0" w:firstLine="562" w:firstLineChars="200"/>
        <w:rPr>
          <w:rFonts w:hint="eastAsia" w:ascii="仿宋_GB2312" w:eastAsia="仿宋_GB2312"/>
          <w:b w:val="0"/>
          <w:bCs w:val="0"/>
          <w:sz w:val="28"/>
          <w:szCs w:val="28"/>
          <w:highlight w:val="none"/>
          <w:lang w:val="en-US" w:eastAsia="zh-CN"/>
        </w:rPr>
      </w:pPr>
      <w:r>
        <w:rPr>
          <w:rFonts w:hint="eastAsia" w:ascii="仿宋_GB2312" w:eastAsia="仿宋_GB2312"/>
          <w:b/>
          <w:bCs/>
          <w:sz w:val="28"/>
          <w:szCs w:val="28"/>
          <w:highlight w:val="none"/>
          <w:lang w:val="en-US" w:eastAsia="zh-CN"/>
        </w:rPr>
        <w:t>呼吸肌功能锻炼</w:t>
      </w:r>
      <w:r>
        <w:rPr>
          <w:rFonts w:hint="eastAsia" w:ascii="仿宋_GB2312" w:eastAsia="仿宋_GB2312"/>
          <w:b w:val="0"/>
          <w:bCs w:val="0"/>
          <w:sz w:val="28"/>
          <w:szCs w:val="28"/>
          <w:highlight w:val="none"/>
          <w:lang w:val="en-US" w:eastAsia="zh-CN"/>
        </w:rPr>
        <w:t>构建了与肌力分级和脱机流程相衔接的阶梯式呼吸康复方案。其创新性在于将呼吸肌锻炼的启动时机、禁忌证、具体方式与患者的整体肌力水平及脱机指征（如自主呼吸试验SBT）进行精准绑定。为</w:t>
      </w:r>
      <w:r>
        <w:rPr>
          <w:rFonts w:hint="eastAsia"/>
          <w:color w:val="auto"/>
          <w:highlight w:val="none"/>
          <w:lang w:val="en-US" w:eastAsia="zh-CN"/>
        </w:rPr>
        <w:t>肌力分级较低</w:t>
      </w:r>
      <w:r>
        <w:rPr>
          <w:rFonts w:hint="eastAsia" w:ascii="仿宋_GB2312" w:eastAsia="仿宋_GB2312"/>
          <w:b w:val="0"/>
          <w:bCs w:val="0"/>
          <w:sz w:val="28"/>
          <w:szCs w:val="28"/>
          <w:highlight w:val="none"/>
          <w:lang w:val="en-US" w:eastAsia="zh-CN"/>
        </w:rPr>
        <w:t>患者提供被动的气道廓清技术，为肌力恢复较好的患者指导主动的呼吸训练，确保了呼吸康复的安全性与个体化，直接针对ICU获得性肌无力的核心难题——呼吸肌无力导致的脱机困难，是缩短机械通气时间、改善预后的关键干预。</w:t>
      </w:r>
    </w:p>
    <w:p w14:paraId="3178A6CD">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呼吸肌功能锻炼护理病例记录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3732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534F4B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09F1FB1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B859CA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6661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D8B798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0C94A6B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肌力1～3级：</w:t>
            </w:r>
            <w:r>
              <w:rPr>
                <w:rFonts w:hint="eastAsia" w:ascii="仿宋_GB2312" w:hAnsi="Times New Roman" w:eastAsia="仿宋_GB2312" w:cs="仿宋"/>
                <w:bCs/>
                <w:color w:val="auto"/>
                <w:kern w:val="0"/>
                <w:sz w:val="21"/>
                <w:szCs w:val="21"/>
                <w:highlight w:val="none"/>
                <w:lang w:val="en-US" w:eastAsia="zh-CN" w:bidi="ar"/>
              </w:rPr>
              <w:t>以被动气道廓清技术为主，如体位引流、机械吸痰。宜在呼吸治疗师指导下进行低强度、辅助式的腹式呼吸刺激；</w:t>
            </w:r>
          </w:p>
          <w:p w14:paraId="6EBCC71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肌力≥4级：</w:t>
            </w:r>
            <w:r>
              <w:rPr>
                <w:rFonts w:hint="eastAsia" w:ascii="仿宋_GB2312" w:hAnsi="Times New Roman" w:eastAsia="仿宋_GB2312" w:cs="仿宋"/>
                <w:bCs/>
                <w:color w:val="auto"/>
                <w:kern w:val="0"/>
                <w:sz w:val="21"/>
                <w:szCs w:val="21"/>
                <w:highlight w:val="none"/>
                <w:lang w:val="en-US" w:eastAsia="zh-CN" w:bidi="ar"/>
              </w:rPr>
              <w:t>宜指导患者进行主动的呼吸训练，如缩唇呼吸、腹式呼吸、使用呼吸训练器。从每次5 min～10 min开始，每日2～3次，逐步增加时间和频率。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34F9D5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85%</w:t>
            </w:r>
            <w:r>
              <w:rPr>
                <w:rFonts w:hint="eastAsia" w:ascii="仿宋_GB2312" w:eastAsia="仿宋_GB2312" w:cs="仿宋"/>
                <w:bCs/>
                <w:color w:val="auto"/>
                <w:sz w:val="21"/>
                <w:szCs w:val="21"/>
                <w:highlight w:val="none"/>
                <w:lang w:eastAsia="zh-CN"/>
              </w:rPr>
              <w:t>。</w:t>
            </w:r>
          </w:p>
        </w:tc>
      </w:tr>
      <w:tr w14:paraId="53EB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4F5E32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75C915F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413BBD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r w14:paraId="38A3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423D09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E0B51D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CBB0C9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41</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bl>
    <w:p w14:paraId="2FAEF3A7">
      <w:pPr>
        <w:pStyle w:val="29"/>
        <w:spacing w:line="520" w:lineRule="exact"/>
        <w:ind w:left="0" w:leftChars="0" w:firstLine="562" w:firstLineChars="200"/>
        <w:rPr>
          <w:rFonts w:hint="default" w:ascii="仿宋_GB2312" w:eastAsia="仿宋_GB2312"/>
          <w:b w:val="0"/>
          <w:bCs w:val="0"/>
          <w:i w:val="0"/>
          <w:iCs w:val="0"/>
          <w:sz w:val="28"/>
          <w:szCs w:val="28"/>
          <w:highlight w:val="none"/>
          <w:lang w:val="en-US" w:eastAsia="zh-CN"/>
        </w:rPr>
      </w:pPr>
      <w:r>
        <w:rPr>
          <w:rFonts w:hint="default" w:ascii="仿宋_GB2312" w:eastAsia="仿宋_GB2312"/>
          <w:b/>
          <w:bCs/>
          <w:sz w:val="28"/>
          <w:szCs w:val="28"/>
          <w:highlight w:val="none"/>
          <w:lang w:val="en-US" w:eastAsia="zh-CN"/>
        </w:rPr>
        <w:t>运动疗法</w:t>
      </w:r>
      <w:r>
        <w:rPr>
          <w:rFonts w:hint="default" w:ascii="仿宋_GB2312" w:eastAsia="仿宋_GB2312"/>
          <w:b w:val="0"/>
          <w:bCs w:val="0"/>
          <w:i w:val="0"/>
          <w:iCs w:val="0"/>
          <w:sz w:val="28"/>
          <w:szCs w:val="28"/>
          <w:highlight w:val="none"/>
          <w:lang w:val="en-US" w:eastAsia="zh-CN"/>
        </w:rPr>
        <w:t>规定了从被动活动到抗阻训练的全周期运动干预方案。其核心原则是与</w:t>
      </w:r>
      <w:r>
        <w:rPr>
          <w:rFonts w:hint="eastAsia" w:ascii="仿宋_GB2312" w:eastAsia="仿宋_GB2312"/>
          <w:b w:val="0"/>
          <w:bCs w:val="0"/>
          <w:i w:val="0"/>
          <w:iCs w:val="0"/>
          <w:sz w:val="28"/>
          <w:szCs w:val="28"/>
          <w:highlight w:val="none"/>
          <w:lang w:val="en-US" w:eastAsia="zh-CN"/>
        </w:rPr>
        <w:t>肌力分级</w:t>
      </w:r>
      <w:r>
        <w:rPr>
          <w:rFonts w:hint="default" w:ascii="仿宋_GB2312" w:eastAsia="仿宋_GB2312"/>
          <w:b w:val="0"/>
          <w:bCs w:val="0"/>
          <w:i w:val="0"/>
          <w:iCs w:val="0"/>
          <w:sz w:val="28"/>
          <w:szCs w:val="28"/>
          <w:highlight w:val="none"/>
          <w:lang w:val="en-US" w:eastAsia="zh-CN"/>
        </w:rPr>
        <w:t>严格挂钩，实现康复强度的精准量化：针对</w:t>
      </w:r>
      <w:r>
        <w:rPr>
          <w:rFonts w:hint="eastAsia" w:ascii="仿宋_GB2312" w:eastAsia="仿宋_GB2312"/>
          <w:b w:val="0"/>
          <w:bCs w:val="0"/>
          <w:i w:val="0"/>
          <w:iCs w:val="0"/>
          <w:sz w:val="28"/>
          <w:szCs w:val="28"/>
          <w:highlight w:val="none"/>
          <w:lang w:val="en-US" w:eastAsia="zh-CN"/>
        </w:rPr>
        <w:t>肌力</w:t>
      </w:r>
      <w:r>
        <w:rPr>
          <w:rFonts w:hint="default" w:ascii="仿宋_GB2312" w:eastAsia="仿宋_GB2312"/>
          <w:b w:val="0"/>
          <w:bCs w:val="0"/>
          <w:i w:val="0"/>
          <w:iCs w:val="0"/>
          <w:sz w:val="28"/>
          <w:szCs w:val="28"/>
          <w:highlight w:val="none"/>
          <w:lang w:val="en-US" w:eastAsia="zh-CN"/>
        </w:rPr>
        <w:t>≤1</w:t>
      </w:r>
      <w:r>
        <w:rPr>
          <w:rFonts w:hint="eastAsia" w:ascii="仿宋_GB2312" w:eastAsia="仿宋_GB2312"/>
          <w:b w:val="0"/>
          <w:bCs w:val="0"/>
          <w:i w:val="0"/>
          <w:iCs w:val="0"/>
          <w:sz w:val="28"/>
          <w:szCs w:val="28"/>
          <w:highlight w:val="none"/>
          <w:lang w:val="en-US" w:eastAsia="zh-CN"/>
        </w:rPr>
        <w:t>级</w:t>
      </w:r>
      <w:r>
        <w:rPr>
          <w:rFonts w:hint="default" w:ascii="仿宋_GB2312" w:eastAsia="仿宋_GB2312"/>
          <w:b w:val="0"/>
          <w:bCs w:val="0"/>
          <w:i w:val="0"/>
          <w:iCs w:val="0"/>
          <w:sz w:val="28"/>
          <w:szCs w:val="28"/>
          <w:highlight w:val="none"/>
          <w:lang w:val="en-US" w:eastAsia="zh-CN"/>
        </w:rPr>
        <w:t>的患者以维持关节活动度的被动运动为主；随着肌力恢复（</w:t>
      </w:r>
      <w:r>
        <w:rPr>
          <w:rFonts w:hint="eastAsia" w:ascii="仿宋_GB2312" w:eastAsia="仿宋_GB2312"/>
          <w:b w:val="0"/>
          <w:bCs w:val="0"/>
          <w:i w:val="0"/>
          <w:iCs w:val="0"/>
          <w:sz w:val="28"/>
          <w:szCs w:val="28"/>
          <w:highlight w:val="none"/>
          <w:lang w:val="en-US" w:eastAsia="zh-CN"/>
        </w:rPr>
        <w:t>肌力</w:t>
      </w:r>
      <w:r>
        <w:rPr>
          <w:rFonts w:hint="default" w:ascii="仿宋_GB2312" w:eastAsia="仿宋_GB2312"/>
          <w:b w:val="0"/>
          <w:bCs w:val="0"/>
          <w:i w:val="0"/>
          <w:iCs w:val="0"/>
          <w:sz w:val="28"/>
          <w:szCs w:val="28"/>
          <w:highlight w:val="none"/>
          <w:lang w:val="en-US" w:eastAsia="zh-CN"/>
        </w:rPr>
        <w:t xml:space="preserve"> 2-3</w:t>
      </w:r>
      <w:r>
        <w:rPr>
          <w:rFonts w:hint="eastAsia" w:ascii="仿宋_GB2312" w:eastAsia="仿宋_GB2312"/>
          <w:b w:val="0"/>
          <w:bCs w:val="0"/>
          <w:i w:val="0"/>
          <w:iCs w:val="0"/>
          <w:sz w:val="28"/>
          <w:szCs w:val="28"/>
          <w:highlight w:val="none"/>
          <w:lang w:val="en-US" w:eastAsia="zh-CN"/>
        </w:rPr>
        <w:t>级</w:t>
      </w:r>
      <w:r>
        <w:rPr>
          <w:rFonts w:hint="default" w:ascii="仿宋_GB2312" w:eastAsia="仿宋_GB2312"/>
          <w:b w:val="0"/>
          <w:bCs w:val="0"/>
          <w:i w:val="0"/>
          <w:iCs w:val="0"/>
          <w:sz w:val="28"/>
          <w:szCs w:val="28"/>
          <w:highlight w:val="none"/>
          <w:lang w:val="en-US" w:eastAsia="zh-CN"/>
        </w:rPr>
        <w:t>），过渡到主动-辅助运动；对</w:t>
      </w:r>
      <w:r>
        <w:rPr>
          <w:rFonts w:hint="eastAsia" w:ascii="仿宋_GB2312" w:eastAsia="仿宋_GB2312"/>
          <w:b w:val="0"/>
          <w:bCs w:val="0"/>
          <w:i w:val="0"/>
          <w:iCs w:val="0"/>
          <w:sz w:val="28"/>
          <w:szCs w:val="28"/>
          <w:highlight w:val="none"/>
          <w:lang w:val="en-US" w:eastAsia="zh-CN"/>
        </w:rPr>
        <w:t>肌力</w:t>
      </w:r>
      <w:r>
        <w:rPr>
          <w:rFonts w:hint="default" w:ascii="仿宋_GB2312" w:eastAsia="仿宋_GB2312"/>
          <w:b w:val="0"/>
          <w:bCs w:val="0"/>
          <w:i w:val="0"/>
          <w:iCs w:val="0"/>
          <w:sz w:val="28"/>
          <w:szCs w:val="28"/>
          <w:highlight w:val="none"/>
          <w:lang w:val="en-US" w:eastAsia="zh-CN"/>
        </w:rPr>
        <w:t>≥3</w:t>
      </w:r>
      <w:r>
        <w:rPr>
          <w:rFonts w:hint="eastAsia" w:ascii="仿宋_GB2312" w:eastAsia="仿宋_GB2312"/>
          <w:b w:val="0"/>
          <w:bCs w:val="0"/>
          <w:i w:val="0"/>
          <w:iCs w:val="0"/>
          <w:sz w:val="28"/>
          <w:szCs w:val="28"/>
          <w:highlight w:val="none"/>
          <w:lang w:val="en-US" w:eastAsia="zh-CN"/>
        </w:rPr>
        <w:t>级</w:t>
      </w:r>
      <w:r>
        <w:rPr>
          <w:rFonts w:hint="default" w:ascii="仿宋_GB2312" w:eastAsia="仿宋_GB2312"/>
          <w:b w:val="0"/>
          <w:bCs w:val="0"/>
          <w:i w:val="0"/>
          <w:iCs w:val="0"/>
          <w:sz w:val="28"/>
          <w:szCs w:val="28"/>
          <w:highlight w:val="none"/>
          <w:lang w:val="en-US" w:eastAsia="zh-CN"/>
        </w:rPr>
        <w:t>的患者，则进阶至抗阻和耐力训练。这种分级方案确保了康复措施与患者实际功能状态相匹配，是逆转肌肉萎缩、提升肢体功能最直接且证据充分的主动干预策略。</w:t>
      </w:r>
    </w:p>
    <w:p w14:paraId="1D311193">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运动疗法护理病例记录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542F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943CAA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0F236EB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641B47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1EEB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06504D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4C24D06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肌力≤1级：</w:t>
            </w:r>
            <w:r>
              <w:rPr>
                <w:rFonts w:hint="eastAsia" w:ascii="仿宋_GB2312" w:hAnsi="Times New Roman" w:eastAsia="仿宋_GB2312" w:cs="仿宋"/>
                <w:bCs/>
                <w:color w:val="auto"/>
                <w:kern w:val="0"/>
                <w:sz w:val="21"/>
                <w:szCs w:val="21"/>
                <w:highlight w:val="none"/>
                <w:lang w:val="en-US" w:eastAsia="zh-CN" w:bidi="ar"/>
              </w:rPr>
              <w:t>以维持关节活动度的被动运动为主。由治疗师或护士进行全范围关节的被动活动，每个关节10～15次，每日2次。宜遵医嘱配合医生进行神经肌肉电刺激；</w:t>
            </w:r>
          </w:p>
          <w:p w14:paraId="655D90D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3级&gt;肌力≥2级</w:t>
            </w:r>
            <w:r>
              <w:rPr>
                <w:rFonts w:hint="eastAsia" w:ascii="仿宋_GB2312" w:hAnsi="Times New Roman" w:eastAsia="仿宋_GB2312" w:cs="仿宋"/>
                <w:bCs/>
                <w:color w:val="auto"/>
                <w:kern w:val="0"/>
                <w:sz w:val="21"/>
                <w:szCs w:val="21"/>
                <w:highlight w:val="none"/>
                <w:lang w:val="en-US" w:eastAsia="zh-CN" w:bidi="ar"/>
              </w:rPr>
              <w:t>：：进行主动-辅助运动和主动运动。在撤去重力或部分辅助下进行活动，如床上桥式运动、悬吊下的肢体活动。每次训练15 min～20 min；</w:t>
            </w:r>
          </w:p>
          <w:p w14:paraId="401D11E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肌力≥3级：</w:t>
            </w:r>
            <w:r>
              <w:rPr>
                <w:rFonts w:hint="eastAsia" w:ascii="仿宋_GB2312" w:hAnsi="Times New Roman" w:eastAsia="仿宋_GB2312" w:cs="仿宋"/>
                <w:bCs/>
                <w:color w:val="auto"/>
                <w:kern w:val="0"/>
                <w:sz w:val="21"/>
                <w:szCs w:val="21"/>
                <w:highlight w:val="none"/>
                <w:lang w:val="en-US" w:eastAsia="zh-CN" w:bidi="ar"/>
              </w:rPr>
              <w:t>进行抗阻训练（使用弹力带、小哑铃）和耐力训练（如床边坐位踏车）。强度以患者宜完成8～12次/组，以感到轻度疲劳为宜，每次训练20 min～30 min。</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428578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85%</w:t>
            </w:r>
            <w:r>
              <w:rPr>
                <w:rFonts w:hint="eastAsia" w:ascii="仿宋_GB2312" w:eastAsia="仿宋_GB2312" w:cs="仿宋"/>
                <w:bCs/>
                <w:color w:val="auto"/>
                <w:sz w:val="21"/>
                <w:szCs w:val="21"/>
                <w:highlight w:val="none"/>
                <w:lang w:eastAsia="zh-CN"/>
              </w:rPr>
              <w:t>。</w:t>
            </w:r>
          </w:p>
        </w:tc>
      </w:tr>
      <w:tr w14:paraId="2212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DBB76F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5B5DD7C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B0EC98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r w14:paraId="5A20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AA9ABD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3E653F9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4A7360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41</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bl>
    <w:p w14:paraId="63916133">
      <w:pPr>
        <w:pStyle w:val="29"/>
        <w:numPr>
          <w:ilvl w:val="0"/>
          <w:numId w:val="11"/>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中医护理</w:t>
      </w:r>
    </w:p>
    <w:p w14:paraId="7653C879">
      <w:pPr>
        <w:pStyle w:val="29"/>
        <w:numPr>
          <w:ilvl w:val="0"/>
          <w:numId w:val="0"/>
        </w:numPr>
        <w:spacing w:line="520" w:lineRule="exact"/>
        <w:ind w:left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目前起草单位近三年进行中医护理患者接诊约119，有效率达到84%</w:t>
      </w:r>
    </w:p>
    <w:p w14:paraId="51A0AE3B">
      <w:pPr>
        <w:pStyle w:val="29"/>
        <w:spacing w:line="520" w:lineRule="exact"/>
        <w:ind w:left="0" w:leftChars="0" w:firstLine="562" w:firstLineChars="200"/>
        <w:rPr>
          <w:rFonts w:hint="eastAsia" w:ascii="仿宋_GB2312" w:eastAsia="仿宋_GB2312"/>
          <w:sz w:val="28"/>
          <w:szCs w:val="28"/>
          <w:highlight w:val="none"/>
          <w:lang w:val="en-US" w:eastAsia="zh-CN"/>
        </w:rPr>
      </w:pPr>
      <w:r>
        <w:rPr>
          <w:rFonts w:hint="eastAsia" w:ascii="仿宋_GB2312" w:eastAsia="仿宋_GB2312"/>
          <w:b/>
          <w:bCs/>
          <w:sz w:val="28"/>
          <w:szCs w:val="28"/>
          <w:highlight w:val="none"/>
          <w:lang w:val="en-US" w:eastAsia="zh-CN"/>
        </w:rPr>
        <w:t>八段锦改良训练法</w:t>
      </w:r>
      <w:r>
        <w:rPr>
          <w:rFonts w:hint="eastAsia" w:ascii="仿宋_GB2312" w:eastAsia="仿宋_GB2312"/>
          <w:sz w:val="28"/>
          <w:szCs w:val="28"/>
          <w:highlight w:val="none"/>
          <w:lang w:val="en-US" w:eastAsia="zh-CN"/>
        </w:rPr>
        <w:t>创新在于将传统八段锦改良为适用于ICU危重患者的床旁康复技术，其核心是依据患者肌力水平（肌力分级）和体位耐受度，设计了“卧式”与“坐式”两套分级训练方案。该设计解决了传统功法无法在卧床患者中应用的难题，通过温和、连贯的动作组合，实现调息、行气、活血的综合效应，旨在被动维持或主动改善关节活动度、促进血液循环、增强肌力与耐力，是体现“动静结合”康复理念的中医特色运动疗法。</w:t>
      </w:r>
    </w:p>
    <w:p w14:paraId="289FDE44">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八段锦改良训练法病例记录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5A18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DFB5D7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48E6AB4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0FBDAA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29B3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F3A49F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ED2042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 xml:space="preserve">卧式八段锦：适用于肌力2～3级 </w:t>
            </w:r>
            <w:r>
              <w:rPr>
                <w:rFonts w:hint="eastAsia" w:ascii="仿宋_GB2312" w:hAnsi="Times New Roman" w:eastAsia="仿宋_GB2312" w:cs="仿宋"/>
                <w:bCs/>
                <w:color w:val="auto"/>
                <w:kern w:val="0"/>
                <w:sz w:val="21"/>
                <w:szCs w:val="21"/>
                <w:highlight w:val="none"/>
                <w:lang w:val="en-US" w:eastAsia="zh-CN" w:bidi="ar"/>
              </w:rPr>
              <w:t>、无法坐起或坐位平衡差的患者。每次训练10  min～15  min，每日1～2次，完成4～8遍，以不引起疲劳为度；</w:t>
            </w:r>
          </w:p>
          <w:p w14:paraId="670AF33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 xml:space="preserve"> 坐式八段锦：适用于肌力≥4级、</w:t>
            </w:r>
            <w:r>
              <w:rPr>
                <w:rFonts w:hint="eastAsia" w:ascii="仿宋_GB2312" w:hAnsi="Times New Roman" w:eastAsia="仿宋_GB2312" w:cs="仿宋"/>
                <w:bCs/>
                <w:color w:val="auto"/>
                <w:kern w:val="0"/>
                <w:sz w:val="21"/>
                <w:szCs w:val="21"/>
                <w:highlight w:val="none"/>
                <w:lang w:val="en-US" w:eastAsia="zh-CN" w:bidi="ar"/>
              </w:rPr>
              <w:t>宜维持坐位平衡的患者。每次训练15～20分钟，每日1～2次。初期需有人员在旁保护</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340E17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85%</w:t>
            </w:r>
            <w:r>
              <w:rPr>
                <w:rFonts w:hint="eastAsia" w:ascii="仿宋_GB2312" w:eastAsia="仿宋_GB2312" w:cs="仿宋"/>
                <w:bCs/>
                <w:color w:val="auto"/>
                <w:sz w:val="21"/>
                <w:szCs w:val="21"/>
                <w:highlight w:val="none"/>
                <w:lang w:eastAsia="zh-CN"/>
              </w:rPr>
              <w:t>。</w:t>
            </w:r>
          </w:p>
        </w:tc>
      </w:tr>
      <w:tr w14:paraId="2762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BF2659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1F0B82C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33114F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r w14:paraId="5131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936365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5657E7D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2F3BE4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41</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bl>
    <w:p w14:paraId="7D5DFA26">
      <w:pPr>
        <w:pStyle w:val="29"/>
        <w:spacing w:line="520" w:lineRule="exact"/>
        <w:ind w:left="0" w:leftChars="0" w:firstLine="560" w:firstLineChars="200"/>
        <w:rPr>
          <w:rFonts w:hint="eastAsia" w:ascii="仿宋_GB2312" w:eastAsia="仿宋_GB2312"/>
          <w:sz w:val="28"/>
          <w:szCs w:val="28"/>
          <w:highlight w:val="none"/>
          <w:lang w:val="en-US" w:eastAsia="zh-CN"/>
        </w:rPr>
      </w:pPr>
    </w:p>
    <w:p w14:paraId="307558A0">
      <w:pPr>
        <w:pStyle w:val="29"/>
        <w:spacing w:line="520" w:lineRule="exact"/>
        <w:ind w:left="0" w:leftChars="0" w:firstLine="562" w:firstLineChars="200"/>
        <w:rPr>
          <w:rFonts w:hint="eastAsia" w:ascii="仿宋_GB2312" w:eastAsia="仿宋_GB2312"/>
          <w:sz w:val="28"/>
          <w:szCs w:val="28"/>
          <w:highlight w:val="none"/>
          <w:lang w:val="en-US" w:eastAsia="zh-CN"/>
        </w:rPr>
      </w:pPr>
      <w:r>
        <w:rPr>
          <w:rFonts w:hint="eastAsia" w:ascii="仿宋_GB2312" w:eastAsia="仿宋_GB2312"/>
          <w:b/>
          <w:bCs/>
          <w:sz w:val="28"/>
          <w:szCs w:val="28"/>
          <w:highlight w:val="none"/>
          <w:lang w:val="en-US" w:eastAsia="zh-CN"/>
        </w:rPr>
        <w:t>肌肉萎缩推拿按摩疗法</w:t>
      </w:r>
      <w:r>
        <w:rPr>
          <w:rFonts w:hint="eastAsia" w:ascii="仿宋_GB2312" w:eastAsia="仿宋_GB2312"/>
          <w:sz w:val="28"/>
          <w:szCs w:val="28"/>
          <w:highlight w:val="none"/>
          <w:lang w:val="en-US" w:eastAsia="zh-CN"/>
        </w:rPr>
        <w:t>规范了以防治肌肉萎缩为目标的推拿操作流程，其特点是将中医经络腧穴理论与现代康复医学相结合。手法上强调由近心端向远心端操作，并针对上下肢主要肌群和关键穴位（如肩井、足三里、环跳等）进行揉、拿、点、按，旨在疏通经络、行气活血、刺激萎缩肌肉。条款特别规定了手法力度与肌力分级挂钩（轻柔放松或酸胀舒适），确保了操作的安全性与有效性，是延缓肌肉废用、促进功能恢复的重要被动干预手段。</w:t>
      </w:r>
    </w:p>
    <w:p w14:paraId="1C8F721F">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肌肉萎缩推拿按摩疗法病例记录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5206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E6E1F4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FBCE8E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35384F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3EFEF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F8D36C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C0D9ED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手法：采用揉、拿、点、搓等手法，由近心端向远心端操作；</w:t>
            </w:r>
          </w:p>
          <w:p w14:paraId="5DBC21A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上肢：拿法作用于肩井穴，揉法作用于臂臑、手三里、合谷穴；穴位按压顺序为上肢从肩至手，下肢从髋至足；</w:t>
            </w:r>
          </w:p>
          <w:p w14:paraId="2B05A6F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下肢：拿阴廉、承山、昆仑筋，揉捏伏免、承扶、殷门部肌筋，点腰阳关、环跳、足三里、委中、犊鼻、解溪、内庭等穴，穴位定位应符合GB/T 12346的规定，搓揉股肌来回数遍（最好能明确几次）；</w:t>
            </w:r>
          </w:p>
          <w:p w14:paraId="4154338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每个穴位先施予点按1min，再揉按2min，采用平补平泻手法，每穴3min；先上肢后下肢，穴位按压由上至下。</w:t>
            </w:r>
          </w:p>
          <w:p w14:paraId="714F734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力度：肌力0～2级</w:t>
            </w:r>
            <w:r>
              <w:rPr>
                <w:rFonts w:hint="eastAsia" w:ascii="仿宋_GB2312" w:hAnsi="Times New Roman" w:eastAsia="仿宋_GB2312" w:cs="仿宋"/>
                <w:bCs/>
                <w:color w:val="auto"/>
                <w:kern w:val="0"/>
                <w:sz w:val="21"/>
                <w:szCs w:val="21"/>
                <w:highlight w:val="none"/>
                <w:lang w:val="en-US" w:eastAsia="zh-CN" w:bidi="ar"/>
              </w:rPr>
              <w:t>患者，手法宜轻柔，以放松和刺激为主。肌力≥3级患者，</w:t>
            </w:r>
            <w:r>
              <w:rPr>
                <w:rFonts w:hint="eastAsia" w:ascii="仿宋_GB2312" w:hAnsi="Times New Roman" w:eastAsia="仿宋_GB2312" w:cs="仿宋"/>
                <w:bCs/>
                <w:color w:val="auto"/>
                <w:kern w:val="0"/>
                <w:sz w:val="21"/>
                <w:szCs w:val="21"/>
                <w:highlight w:val="none"/>
                <w:lang w:val="en-US" w:eastAsia="zh-CN" w:bidi="ar"/>
              </w:rPr>
              <w:t>宜适当加大力度，以患者感到酸胀、舒适为宜。</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1451AB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85%</w:t>
            </w:r>
            <w:r>
              <w:rPr>
                <w:rFonts w:hint="eastAsia" w:ascii="仿宋_GB2312" w:eastAsia="仿宋_GB2312" w:cs="仿宋"/>
                <w:bCs/>
                <w:color w:val="auto"/>
                <w:sz w:val="21"/>
                <w:szCs w:val="21"/>
                <w:highlight w:val="none"/>
                <w:lang w:eastAsia="zh-CN"/>
              </w:rPr>
              <w:t>。</w:t>
            </w:r>
          </w:p>
        </w:tc>
      </w:tr>
      <w:tr w14:paraId="7F97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C8AA0B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797DFF1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776EE4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r w14:paraId="02E2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65FF04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607AD12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832715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41</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bl>
    <w:p w14:paraId="6A1578A2">
      <w:pPr>
        <w:pStyle w:val="29"/>
        <w:spacing w:line="520" w:lineRule="exact"/>
        <w:ind w:left="0" w:leftChars="0" w:firstLine="562" w:firstLineChars="200"/>
        <w:rPr>
          <w:rFonts w:hint="eastAsia" w:ascii="仿宋_GB2312" w:eastAsia="仿宋_GB2312"/>
          <w:sz w:val="28"/>
          <w:szCs w:val="28"/>
          <w:highlight w:val="none"/>
          <w:lang w:val="en-US" w:eastAsia="zh-CN"/>
        </w:rPr>
      </w:pPr>
      <w:r>
        <w:rPr>
          <w:rFonts w:hint="eastAsia" w:ascii="仿宋_GB2312" w:eastAsia="仿宋_GB2312"/>
          <w:b/>
          <w:bCs/>
          <w:sz w:val="28"/>
          <w:szCs w:val="28"/>
          <w:highlight w:val="none"/>
          <w:lang w:val="en-US" w:eastAsia="zh-CN"/>
        </w:rPr>
        <w:t>穴位按摩</w:t>
      </w:r>
      <w:r>
        <w:rPr>
          <w:rFonts w:hint="eastAsia" w:ascii="仿宋_GB2312" w:eastAsia="仿宋_GB2312"/>
          <w:sz w:val="28"/>
          <w:szCs w:val="28"/>
          <w:highlight w:val="none"/>
          <w:lang w:val="en-US" w:eastAsia="zh-CN"/>
        </w:rPr>
        <w:t>针对ICU获得性肌无力的三种基本证型（脾胃虚弱、肝肾亏虚、脉络瘀阻），分别制定了规范化的主穴与配穴方案。通过运用指揉法等手法刺激特定穴位（如脾胃虚弱证取足三里、中脘），旨在调理相应脏腑功能（健脾益气、滋补肝肾、活血通络），从病机根本入手改善气血生化与输布，以辅助肢体功能恢复。该措施与中药汤剂、情志护理等相互协同，构成了中医综合治疗方案的关键一环。</w:t>
      </w:r>
    </w:p>
    <w:p w14:paraId="122E611F">
      <w:pPr>
        <w:pStyle w:val="29"/>
        <w:spacing w:line="520" w:lineRule="exact"/>
        <w:ind w:left="0" w:leftChars="0" w:firstLine="560" w:firstLineChars="200"/>
        <w:rPr>
          <w:rFonts w:hint="eastAsia" w:ascii="仿宋_GB2312" w:eastAsia="仿宋_GB2312"/>
          <w:sz w:val="28"/>
          <w:szCs w:val="28"/>
          <w:highlight w:val="none"/>
          <w:lang w:val="en-US" w:eastAsia="zh-CN"/>
        </w:rPr>
      </w:pPr>
    </w:p>
    <w:p w14:paraId="79FAB471">
      <w:pPr>
        <w:pStyle w:val="29"/>
        <w:spacing w:line="520" w:lineRule="exact"/>
        <w:ind w:left="0" w:leftChars="0" w:firstLine="560" w:firstLineChars="200"/>
        <w:rPr>
          <w:rFonts w:hint="eastAsia" w:ascii="仿宋_GB2312" w:eastAsia="仿宋_GB2312"/>
          <w:sz w:val="28"/>
          <w:szCs w:val="28"/>
          <w:highlight w:val="none"/>
          <w:lang w:val="en-US" w:eastAsia="zh-CN"/>
        </w:rPr>
      </w:pPr>
    </w:p>
    <w:p w14:paraId="6D957E1E">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穴位按摩病例记录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72B8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A34B05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7DB8A72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B2D4A9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0C96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E79F37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169F8D9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脾胃虚弱证：主穴：足三里、中脘、肢体局部阿是穴；配穴：气虚明显/加黄芪：气海；湿浊中阻/纳呆腹胀苔腻：阴陵泉、天枢；便溏严重：上巨虚、关元；</w:t>
            </w:r>
          </w:p>
          <w:p w14:paraId="0FBB605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肝肾亏虚证：主穴：太溪、三阴交、涌泉、肾俞；配穴：阴虚明显/五心烦热：照海、复溜；阳虚明显/畏寒肢冷：关元、命门；</w:t>
            </w:r>
          </w:p>
          <w:p w14:paraId="3B483B3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脉络瘀阻证：主穴：合谷、血海、曲池、足三里、肢体局部阿是穴；配穴：气虚明显：气海、关元，血瘀为主：膈俞、地机，兼痰湿：丰隆；</w:t>
            </w:r>
          </w:p>
          <w:p w14:paraId="1A1F62C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防止肌肉萎缩：取肝俞、肾俞、脾俞、委中、肩髃、阳陵泉、足三里、曲池、合谷、阳溪、梁丘、解溪。</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02618A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85%</w:t>
            </w:r>
            <w:r>
              <w:rPr>
                <w:rFonts w:hint="eastAsia" w:ascii="仿宋_GB2312" w:eastAsia="仿宋_GB2312" w:cs="仿宋"/>
                <w:bCs/>
                <w:color w:val="auto"/>
                <w:sz w:val="21"/>
                <w:szCs w:val="21"/>
                <w:highlight w:val="none"/>
                <w:lang w:eastAsia="zh-CN"/>
              </w:rPr>
              <w:t>。</w:t>
            </w:r>
          </w:p>
        </w:tc>
      </w:tr>
      <w:tr w14:paraId="2DE1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4BA4C8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62C2607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C04DA2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r w14:paraId="356D8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FABFAC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451429D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D6247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41</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bl>
    <w:p w14:paraId="01B4AF6A">
      <w:pPr>
        <w:pStyle w:val="29"/>
        <w:numPr>
          <w:ilvl w:val="0"/>
          <w:numId w:val="11"/>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情志护理</w:t>
      </w:r>
    </w:p>
    <w:p w14:paraId="727039A1">
      <w:pPr>
        <w:pStyle w:val="29"/>
        <w:spacing w:line="520" w:lineRule="exact"/>
        <w:ind w:left="0" w:leftChars="0" w:firstLine="560" w:firstLineChars="200"/>
        <w:rPr>
          <w:rFonts w:hint="eastAsia" w:ascii="仿宋_GB2312" w:eastAsia="仿宋_GB2312"/>
          <w:b w:val="0"/>
          <w:bCs w:val="0"/>
          <w:sz w:val="28"/>
          <w:szCs w:val="28"/>
          <w:highlight w:val="none"/>
          <w:lang w:val="en-US" w:eastAsia="zh-CN"/>
        </w:rPr>
      </w:pPr>
      <w:r>
        <w:rPr>
          <w:rFonts w:hint="eastAsia" w:ascii="仿宋_GB2312" w:eastAsia="仿宋_GB2312"/>
          <w:b w:val="0"/>
          <w:bCs w:val="0"/>
          <w:sz w:val="28"/>
          <w:szCs w:val="28"/>
          <w:highlight w:val="none"/>
          <w:lang w:val="en-US" w:eastAsia="zh-CN"/>
        </w:rPr>
        <w:t>将心理干预系统化和具体化，旨在应对ICU患者的焦虑、抑郁情绪（ICU后综合征的核心表现），这些负面情绪会直接影响康复意愿与疗效。通过弹性探视、沟通技巧、正念冥想、特别是创新性地引入基于“五行相胜”理论的结构化音乐疗法，为不同证型患者提供个性化情志调摄方案，并辅以健康教育和成功案例展示，旨在打破“心因性”康复障碍，调动患者主观能动性，为功能康复创造积极的心理环境。</w:t>
      </w:r>
    </w:p>
    <w:p w14:paraId="1AF143AF">
      <w:pPr>
        <w:pStyle w:val="29"/>
        <w:numPr>
          <w:ilvl w:val="0"/>
          <w:numId w:val="0"/>
        </w:numPr>
        <w:spacing w:line="520" w:lineRule="exact"/>
        <w:jc w:val="center"/>
        <w:rPr>
          <w:rFonts w:hint="eastAsia" w:ascii="仿宋_GB2312" w:eastAsia="仿宋_GB2312" w:cs="仿宋"/>
          <w:bCs/>
          <w:color w:val="auto"/>
          <w:sz w:val="28"/>
          <w:szCs w:val="28"/>
          <w:highlight w:val="none"/>
        </w:rPr>
      </w:pPr>
      <w:r>
        <w:rPr>
          <w:rFonts w:hint="eastAsia" w:ascii="黑体" w:hAnsi="黑体" w:eastAsia="黑体" w:cs="黑体"/>
          <w:bCs/>
          <w:color w:val="auto"/>
          <w:sz w:val="24"/>
          <w:szCs w:val="24"/>
          <w:highlight w:val="none"/>
          <w:lang w:val="en-US" w:eastAsia="zh-CN"/>
        </w:rPr>
        <w:t>五音疗法病例记录</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7408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D60C5F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D485C0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1DD30D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3F73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4"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4A5DC8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46CAE62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根据患者情况选择五音疗法，应保持室内环境安静舒适，患者佩戴耳机，调整音量至50 dB～60 dB，以患者舒适为度。每次施乐30 min，4首乐曲循环播放，直至患者出院。出院后将符合患者证型的音乐发给患者，要求患者每日上午、下午各听1次音乐，每次30 min，持续2周。音乐选择如下：</w:t>
            </w:r>
          </w:p>
          <w:p w14:paraId="1465396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——脾胃虚弱证：选用 “宫” 调与 “徵” 调音乐的五音疗法；</w:t>
            </w:r>
          </w:p>
          <w:p w14:paraId="5C88A72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——肝肾亏虚证：选用 “角” 调与 “羽” 调音乐的五音疗法。角调式阳韵乐曲《草木青青》《绿叶迎风》，羽调式阳韵乐曲《昭君怨》《塞上曲》；</w:t>
            </w:r>
          </w:p>
          <w:p w14:paraId="2614729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脉络瘀阻证：宫调(如《花好月圆》《春江花月夜》《月儿高》等)、商调(如《悲怆》 《第三交响曲》《阳春白雪》等)、角调(如《江南好》《蓝 色多瑙河》《高山流水》等)音乐。</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1CFBC2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85%</w:t>
            </w:r>
            <w:r>
              <w:rPr>
                <w:rFonts w:hint="eastAsia" w:ascii="仿宋_GB2312" w:eastAsia="仿宋_GB2312" w:cs="仿宋"/>
                <w:bCs/>
                <w:color w:val="auto"/>
                <w:sz w:val="21"/>
                <w:szCs w:val="21"/>
                <w:highlight w:val="none"/>
                <w:lang w:eastAsia="zh-CN"/>
              </w:rPr>
              <w:t>。</w:t>
            </w:r>
          </w:p>
        </w:tc>
      </w:tr>
      <w:tr w14:paraId="5E25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4"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4FF8E6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17E9944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1FEEC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39</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r w14:paraId="23DA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5F6341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7BA0AB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19CA05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w:t>
            </w:r>
            <w:r>
              <w:rPr>
                <w:rFonts w:hint="eastAsia" w:ascii="仿宋_GB2312" w:eastAsia="仿宋_GB2312" w:cs="仿宋"/>
                <w:bCs/>
                <w:color w:val="auto"/>
                <w:sz w:val="21"/>
                <w:szCs w:val="21"/>
                <w:highlight w:val="none"/>
                <w:lang w:val="en-US" w:eastAsia="zh-CN"/>
              </w:rPr>
              <w:t>护理</w:t>
            </w:r>
            <w:r>
              <w:rPr>
                <w:rFonts w:hint="eastAsia" w:ascii="仿宋_GB2312" w:eastAsia="仿宋_GB2312" w:cs="仿宋"/>
                <w:bCs/>
                <w:color w:val="auto"/>
                <w:sz w:val="21"/>
                <w:szCs w:val="21"/>
                <w:highlight w:val="none"/>
                <w:lang w:eastAsia="zh-CN"/>
              </w:rPr>
              <w:t>约</w:t>
            </w:r>
            <w:r>
              <w:rPr>
                <w:rFonts w:hint="eastAsia" w:ascii="仿宋_GB2312" w:eastAsia="仿宋_GB2312" w:cs="仿宋"/>
                <w:bCs/>
                <w:color w:val="auto"/>
                <w:sz w:val="21"/>
                <w:szCs w:val="21"/>
                <w:highlight w:val="none"/>
                <w:lang w:val="en-US" w:eastAsia="zh-CN"/>
              </w:rPr>
              <w:t>41</w:t>
            </w:r>
            <w:r>
              <w:rPr>
                <w:rFonts w:hint="eastAsia" w:ascii="仿宋_GB2312" w:eastAsia="仿宋_GB2312" w:cs="仿宋"/>
                <w:bCs/>
                <w:color w:val="auto"/>
                <w:sz w:val="21"/>
                <w:szCs w:val="21"/>
                <w:highlight w:val="none"/>
                <w:lang w:eastAsia="zh-CN"/>
              </w:rPr>
              <w:t>例患者，其中并发症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（如</w:t>
            </w:r>
            <w:r>
              <w:rPr>
                <w:rFonts w:hint="eastAsia" w:ascii="仿宋_GB2312" w:eastAsia="仿宋_GB2312" w:cs="仿宋"/>
                <w:bCs/>
                <w:color w:val="auto"/>
                <w:sz w:val="21"/>
                <w:szCs w:val="21"/>
                <w:highlight w:val="none"/>
                <w:lang w:val="en-US" w:eastAsia="zh-CN"/>
              </w:rPr>
              <w:t>受伤</w:t>
            </w:r>
            <w:r>
              <w:rPr>
                <w:rFonts w:hint="eastAsia" w:ascii="仿宋_GB2312" w:eastAsia="仿宋_GB2312" w:cs="仿宋"/>
                <w:bCs/>
                <w:color w:val="auto"/>
                <w:sz w:val="21"/>
                <w:szCs w:val="21"/>
                <w:highlight w:val="none"/>
                <w:lang w:eastAsia="zh-CN"/>
              </w:rPr>
              <w:t>等）发生率</w:t>
            </w:r>
            <w:r>
              <w:rPr>
                <w:rFonts w:hint="eastAsia" w:ascii="仿宋_GB2312" w:eastAsia="仿宋_GB2312" w:cs="仿宋"/>
                <w:bCs/>
                <w:color w:val="auto"/>
                <w:sz w:val="21"/>
                <w:szCs w:val="21"/>
                <w:highlight w:val="none"/>
                <w:lang w:val="en-US" w:eastAsia="zh-CN"/>
              </w:rPr>
              <w:t>0%</w:t>
            </w:r>
            <w:r>
              <w:rPr>
                <w:rFonts w:hint="eastAsia" w:ascii="仿宋_GB2312" w:eastAsia="仿宋_GB2312" w:cs="仿宋"/>
                <w:bCs/>
                <w:color w:val="auto"/>
                <w:sz w:val="21"/>
                <w:szCs w:val="21"/>
                <w:highlight w:val="none"/>
                <w:lang w:eastAsia="zh-CN"/>
              </w:rPr>
              <w:t>，有效率</w:t>
            </w:r>
            <w:r>
              <w:rPr>
                <w:rFonts w:hint="eastAsia" w:ascii="仿宋_GB2312" w:eastAsia="仿宋_GB2312" w:cs="仿宋"/>
                <w:bCs/>
                <w:color w:val="auto"/>
                <w:sz w:val="21"/>
                <w:szCs w:val="21"/>
                <w:highlight w:val="none"/>
                <w:lang w:val="en-US" w:eastAsia="zh-CN"/>
              </w:rPr>
              <w:t>83%</w:t>
            </w:r>
            <w:r>
              <w:rPr>
                <w:rFonts w:hint="eastAsia" w:ascii="仿宋_GB2312" w:eastAsia="仿宋_GB2312" w:cs="仿宋"/>
                <w:bCs/>
                <w:color w:val="auto"/>
                <w:sz w:val="21"/>
                <w:szCs w:val="21"/>
                <w:highlight w:val="none"/>
                <w:lang w:eastAsia="zh-CN"/>
              </w:rPr>
              <w:t>。</w:t>
            </w:r>
          </w:p>
        </w:tc>
      </w:tr>
    </w:tbl>
    <w:p w14:paraId="237F8B3E">
      <w:pPr>
        <w:pStyle w:val="29"/>
        <w:numPr>
          <w:ilvl w:val="0"/>
          <w:numId w:val="11"/>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营养管理</w:t>
      </w:r>
    </w:p>
    <w:p w14:paraId="082C6412">
      <w:pPr>
        <w:pStyle w:val="29"/>
        <w:spacing w:line="520" w:lineRule="exact"/>
        <w:ind w:left="0" w:leftChars="0" w:firstLine="560" w:firstLineChars="200"/>
        <w:rPr>
          <w:rFonts w:hint="eastAsia" w:ascii="仿宋_GB2312" w:eastAsia="仿宋_GB2312"/>
          <w:b w:val="0"/>
          <w:bCs w:val="0"/>
          <w:sz w:val="28"/>
          <w:szCs w:val="28"/>
          <w:highlight w:val="none"/>
          <w:lang w:val="en-US" w:eastAsia="zh-CN"/>
        </w:rPr>
      </w:pPr>
      <w:r>
        <w:rPr>
          <w:rFonts w:hint="eastAsia" w:ascii="仿宋_GB2312" w:eastAsia="仿宋_GB2312"/>
          <w:b w:val="0"/>
          <w:bCs w:val="0"/>
          <w:sz w:val="28"/>
          <w:szCs w:val="28"/>
          <w:highlight w:val="none"/>
          <w:lang w:val="en-US" w:eastAsia="zh-CN"/>
        </w:rPr>
        <w:t>确立了高蛋白、高微量元素的营养支持原则，将营养提升至治疗层面。其设计基于ICU-AW患者处于高分解代谢状态、亟需优质营养素修复肌肉组织的病理生理特点。明确每日蛋白质摄入量（1.2-1.5 g/kg）并强调补充B族维生素、锌、镁等参与能量代谢和神经肌肉功能的微量元素，同时根据吞咽功能评估结果进行进食方式管理，旨在为肌肉合成提供充足的物质基础，是药物治疗与康复训练起效的重要保障。</w:t>
      </w:r>
    </w:p>
    <w:p w14:paraId="1276844C">
      <w:pPr>
        <w:pStyle w:val="29"/>
        <w:numPr>
          <w:ilvl w:val="0"/>
          <w:numId w:val="8"/>
        </w:numPr>
        <w:spacing w:line="520" w:lineRule="exact"/>
        <w:ind w:firstLine="0" w:firstLineChars="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并发症预防及处理</w:t>
      </w:r>
    </w:p>
    <w:p w14:paraId="1F973A9E">
      <w:pPr>
        <w:pStyle w:val="29"/>
        <w:spacing w:line="520" w:lineRule="exact"/>
        <w:ind w:left="0" w:leftChars="0" w:firstLine="560" w:firstLineChars="200"/>
        <w:rPr>
          <w:rFonts w:hint="eastAsia" w:ascii="仿宋_GB2312" w:eastAsia="仿宋_GB2312"/>
          <w:b w:val="0"/>
          <w:bCs w:val="0"/>
          <w:sz w:val="28"/>
          <w:szCs w:val="28"/>
          <w:highlight w:val="none"/>
          <w:lang w:val="en-US" w:eastAsia="zh-CN"/>
        </w:rPr>
      </w:pPr>
      <w:r>
        <w:rPr>
          <w:rFonts w:hint="eastAsia" w:ascii="仿宋_GB2312" w:eastAsia="仿宋_GB2312"/>
          <w:b w:val="0"/>
          <w:bCs w:val="0"/>
          <w:sz w:val="28"/>
          <w:szCs w:val="28"/>
          <w:highlight w:val="none"/>
          <w:lang w:val="en-US" w:eastAsia="zh-CN"/>
        </w:rPr>
        <w:t>目前起草单位在实际护理中遇到呼吸肌无力与脱机困难（大概的发生率10-30%）、深静脉血栓（DVT）及栓塞（大概的发生率5-15%）、压力性损伤</w:t>
      </w:r>
      <w:bookmarkStart w:id="1" w:name="_GoBack"/>
      <w:bookmarkEnd w:id="1"/>
      <w:r>
        <w:rPr>
          <w:rFonts w:hint="eastAsia" w:ascii="仿宋_GB2312" w:eastAsia="仿宋_GB2312"/>
          <w:b w:val="0"/>
          <w:bCs w:val="0"/>
          <w:sz w:val="28"/>
          <w:szCs w:val="28"/>
          <w:highlight w:val="none"/>
          <w:lang w:val="en-US" w:eastAsia="zh-CN"/>
        </w:rPr>
        <w:t>、关节挛缩与废用综合征（大概的发生率10-20%）</w:t>
      </w:r>
    </w:p>
    <w:p w14:paraId="3BF92062">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highlight w:val="none"/>
          <w:lang w:val="en-US" w:eastAsia="zh-CN"/>
        </w:rPr>
        <w:t>（1）</w:t>
      </w:r>
      <w:r>
        <w:rPr>
          <w:rFonts w:hint="eastAsia" w:ascii="仿宋_GB2312" w:eastAsia="仿宋_GB2312"/>
          <w:b/>
          <w:bCs/>
          <w:sz w:val="28"/>
          <w:szCs w:val="28"/>
          <w:highlight w:val="none"/>
          <w:lang w:val="en-US" w:eastAsia="zh-CN"/>
        </w:rPr>
        <w:t>呼吸肌无力与脱机困难</w:t>
      </w:r>
      <w:r>
        <w:rPr>
          <w:rFonts w:hint="eastAsia" w:ascii="仿宋_GB2312" w:eastAsia="仿宋_GB2312"/>
          <w:sz w:val="28"/>
          <w:szCs w:val="28"/>
          <w:highlight w:val="none"/>
          <w:lang w:val="en-US" w:eastAsia="zh-CN"/>
        </w:rPr>
        <w:t>：通过每日自主</w:t>
      </w:r>
      <w:r>
        <w:rPr>
          <w:rFonts w:hint="eastAsia" w:ascii="仿宋_GB2312" w:eastAsia="仿宋_GB2312"/>
          <w:sz w:val="28"/>
          <w:szCs w:val="28"/>
          <w:lang w:val="en-US" w:eastAsia="zh-CN"/>
        </w:rPr>
        <w:t>呼吸试验（SBT）和循序渐进的锻炼进行前瞻性管理，确保脱机安全。（2）</w:t>
      </w:r>
      <w:r>
        <w:rPr>
          <w:rFonts w:hint="eastAsia" w:ascii="仿宋_GB2312" w:eastAsia="仿宋_GB2312"/>
          <w:b/>
          <w:bCs/>
          <w:sz w:val="28"/>
          <w:szCs w:val="28"/>
          <w:lang w:val="en-US" w:eastAsia="zh-CN"/>
        </w:rPr>
        <w:t>深静脉血栓（DVT）及栓塞</w:t>
      </w:r>
      <w:r>
        <w:rPr>
          <w:rFonts w:hint="eastAsia" w:ascii="仿宋_GB2312" w:eastAsia="仿宋_GB2312"/>
          <w:sz w:val="28"/>
          <w:szCs w:val="28"/>
          <w:lang w:val="en-US" w:eastAsia="zh-CN"/>
        </w:rPr>
        <w:t>：基于风险评估，结合物理预防（IPC、压力袜）和药物预防，并对疑似病例规定标准化应急流程。（3）</w:t>
      </w:r>
      <w:r>
        <w:rPr>
          <w:rFonts w:hint="eastAsia" w:ascii="仿宋_GB2312" w:eastAsia="仿宋_GB2312"/>
          <w:b/>
          <w:bCs/>
          <w:sz w:val="28"/>
          <w:szCs w:val="28"/>
          <w:lang w:val="en-US" w:eastAsia="zh-CN"/>
        </w:rPr>
        <w:t>压力性损伤</w:t>
      </w:r>
      <w:r>
        <w:rPr>
          <w:rFonts w:hint="eastAsia" w:ascii="仿宋_GB2312" w:eastAsia="仿宋_GB2312"/>
          <w:sz w:val="28"/>
          <w:szCs w:val="28"/>
          <w:lang w:val="en-US" w:eastAsia="zh-CN"/>
        </w:rPr>
        <w:t>：运用Braden量表实现风险预警，通过系统化的翻身、减压和皮肤护理进行主动预防。（4）</w:t>
      </w:r>
      <w:r>
        <w:rPr>
          <w:rFonts w:hint="eastAsia" w:ascii="仿宋_GB2312" w:eastAsia="仿宋_GB2312"/>
          <w:b/>
          <w:bCs/>
          <w:sz w:val="28"/>
          <w:szCs w:val="28"/>
          <w:lang w:val="en-US" w:eastAsia="zh-CN"/>
        </w:rPr>
        <w:t>关节挛缩与废用综合征</w:t>
      </w:r>
      <w:r>
        <w:rPr>
          <w:rFonts w:hint="eastAsia" w:ascii="仿宋_GB2312" w:eastAsia="仿宋_GB2312"/>
          <w:sz w:val="28"/>
          <w:szCs w:val="28"/>
          <w:lang w:val="en-US" w:eastAsia="zh-CN"/>
        </w:rPr>
        <w:t>：强调早期（即使昏迷时）被动活动与功能位摆放，防止二次残疾。整体上，本部分将并发症的被动处置转变为主动的、结构化的防控体系，是保障患者安全、提升整体护理质量的关键。</w:t>
      </w:r>
    </w:p>
    <w:p w14:paraId="62BFE303">
      <w:pPr>
        <w:pStyle w:val="31"/>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2ECDC1D8">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110E29A1">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576581C1">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0CF00144">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9C2AE6E">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1154BC2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087A8FE3">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0A2365C8">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4EF7045C">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4B8C7BD5">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051074EA">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4B44292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3FA46A38">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01E4203C">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1500C9E6">
      <w:pPr>
        <w:pStyle w:val="22"/>
        <w:rPr>
          <w:rFonts w:hint="eastAsia" w:ascii="仿宋_GB2312" w:eastAsia="仿宋_GB2312"/>
          <w:color w:val="auto"/>
          <w:sz w:val="28"/>
          <w:szCs w:val="28"/>
        </w:rPr>
      </w:pPr>
    </w:p>
    <w:p w14:paraId="7A675FCC">
      <w:pPr>
        <w:pStyle w:val="22"/>
        <w:rPr>
          <w:rFonts w:hint="eastAsia" w:ascii="仿宋_GB2312" w:eastAsia="仿宋_GB2312"/>
          <w:color w:val="auto"/>
          <w:sz w:val="28"/>
          <w:szCs w:val="28"/>
        </w:rPr>
      </w:pPr>
    </w:p>
    <w:p w14:paraId="523D1AB1">
      <w:pPr>
        <w:pStyle w:val="22"/>
        <w:rPr>
          <w:rFonts w:hint="eastAsia" w:ascii="仿宋_GB2312" w:eastAsia="仿宋_GB2312"/>
          <w:color w:val="auto"/>
          <w:sz w:val="28"/>
          <w:szCs w:val="28"/>
        </w:rPr>
      </w:pPr>
    </w:p>
    <w:p w14:paraId="67359EE9">
      <w:pPr>
        <w:spacing w:before="240" w:after="60" w:line="520" w:lineRule="exact"/>
        <w:jc w:val="right"/>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团体标准《ICU获得性肌无力中西医护理规范》</w:t>
      </w:r>
    </w:p>
    <w:p w14:paraId="22E9AA6C">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0B5E7D8D">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27</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1E19B3-65A9-403D-A581-C5DCB5F89B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2" w:fontKey="{EA2EC873-ED53-4F4E-8DF8-45FD206AD758}"/>
  </w:font>
  <w:font w:name="仿宋_GB2312">
    <w:panose1 w:val="02010609030101010101"/>
    <w:charset w:val="86"/>
    <w:family w:val="modern"/>
    <w:pitch w:val="default"/>
    <w:sig w:usb0="00000001" w:usb1="080E0000" w:usb2="00000000" w:usb3="00000000" w:csb0="00040000" w:csb1="00000000"/>
    <w:embedRegular r:id="rId3" w:fontKey="{5A4F1494-694E-44F4-A7C5-AD6C0A72D8E7}"/>
  </w:font>
  <w:font w:name="仿宋">
    <w:panose1 w:val="02010609060101010101"/>
    <w:charset w:val="86"/>
    <w:family w:val="modern"/>
    <w:pitch w:val="default"/>
    <w:sig w:usb0="800002BF" w:usb1="38CF7CFA" w:usb2="00000016" w:usb3="00000000" w:csb0="00040001" w:csb1="00000000"/>
    <w:embedRegular r:id="rId4" w:fontKey="{F3957E3C-D144-415D-8F44-35A561D896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852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1A690152">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1A690152">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EB5585BC"/>
    <w:multiLevelType w:val="singleLevel"/>
    <w:tmpl w:val="EB5585BC"/>
    <w:lvl w:ilvl="0" w:tentative="0">
      <w:start w:val="1"/>
      <w:numFmt w:val="decimal"/>
      <w:suff w:val="nothing"/>
      <w:lvlText w:val="（%1）"/>
      <w:lvlJc w:val="left"/>
    </w:lvl>
  </w:abstractNum>
  <w:abstractNum w:abstractNumId="2">
    <w:nsid w:val="FA25A687"/>
    <w:multiLevelType w:val="singleLevel"/>
    <w:tmpl w:val="FA25A687"/>
    <w:lvl w:ilvl="0" w:tentative="0">
      <w:start w:val="1"/>
      <w:numFmt w:val="chineseCounting"/>
      <w:suff w:val="nothing"/>
      <w:lvlText w:val="（%1）"/>
      <w:lvlJc w:val="left"/>
      <w:rPr>
        <w:rFonts w:hint="eastAsia"/>
      </w:rPr>
    </w:lvl>
  </w:abstractNum>
  <w:abstractNum w:abstractNumId="3">
    <w:nsid w:val="0FFFFF7E"/>
    <w:multiLevelType w:val="singleLevel"/>
    <w:tmpl w:val="0FFFFF7E"/>
    <w:lvl w:ilvl="0" w:tentative="0">
      <w:start w:val="1"/>
      <w:numFmt w:val="decimal"/>
      <w:lvlText w:val="%1."/>
      <w:lvlJc w:val="left"/>
      <w:pPr>
        <w:tabs>
          <w:tab w:val="left" w:pos="1200"/>
        </w:tabs>
        <w:ind w:left="1200" w:hanging="360"/>
      </w:pPr>
    </w:lvl>
  </w:abstractNum>
  <w:abstractNum w:abstractNumId="4">
    <w:nsid w:val="0FFFFF7F"/>
    <w:multiLevelType w:val="singleLevel"/>
    <w:tmpl w:val="0FFFFF7F"/>
    <w:lvl w:ilvl="0" w:tentative="0">
      <w:start w:val="1"/>
      <w:numFmt w:val="decimal"/>
      <w:lvlText w:val="%1."/>
      <w:lvlJc w:val="left"/>
      <w:pPr>
        <w:tabs>
          <w:tab w:val="left" w:pos="780"/>
        </w:tabs>
        <w:ind w:left="780" w:hanging="360"/>
      </w:pPr>
    </w:lvl>
  </w:abstractNum>
  <w:abstractNum w:abstractNumId="5">
    <w:nsid w:val="290D7148"/>
    <w:multiLevelType w:val="singleLevel"/>
    <w:tmpl w:val="290D7148"/>
    <w:lvl w:ilvl="0" w:tentative="0">
      <w:start w:val="2"/>
      <w:numFmt w:val="decimal"/>
      <w:suff w:val="nothing"/>
      <w:lvlText w:val="（%1）"/>
      <w:lvlJc w:val="left"/>
    </w:lvl>
  </w:abstractNum>
  <w:abstractNum w:abstractNumId="6">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7">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3"/>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9">
    <w:nsid w:val="6DBF04F4"/>
    <w:multiLevelType w:val="multilevel"/>
    <w:tmpl w:val="6DBF04F4"/>
    <w:lvl w:ilvl="0" w:tentative="0">
      <w:start w:val="1"/>
      <w:numFmt w:val="none"/>
      <w:pStyle w:val="5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0">
    <w:nsid w:val="79B0D09C"/>
    <w:multiLevelType w:val="singleLevel"/>
    <w:tmpl w:val="79B0D09C"/>
    <w:lvl w:ilvl="0" w:tentative="0">
      <w:start w:val="1"/>
      <w:numFmt w:val="decimal"/>
      <w:suff w:val="nothing"/>
      <w:lvlText w:val="（%1）"/>
      <w:lvlJc w:val="left"/>
    </w:lvl>
  </w:abstractNum>
  <w:num w:numId="1">
    <w:abstractNumId w:val="8"/>
  </w:num>
  <w:num w:numId="2">
    <w:abstractNumId w:val="0"/>
  </w:num>
  <w:num w:numId="3">
    <w:abstractNumId w:val="4"/>
  </w:num>
  <w:num w:numId="4">
    <w:abstractNumId w:val="3"/>
  </w:num>
  <w:num w:numId="5">
    <w:abstractNumId w:val="7"/>
  </w:num>
  <w:num w:numId="6">
    <w:abstractNumId w:val="6"/>
  </w:num>
  <w:num w:numId="7">
    <w:abstractNumId w:val="9"/>
  </w:num>
  <w:num w:numId="8">
    <w:abstractNumId w:val="2"/>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5B55C2C"/>
    <w:rsid w:val="05CD222A"/>
    <w:rsid w:val="06084616"/>
    <w:rsid w:val="06A9292B"/>
    <w:rsid w:val="08EF7A39"/>
    <w:rsid w:val="09E73A6B"/>
    <w:rsid w:val="0A5844F0"/>
    <w:rsid w:val="0EE41D10"/>
    <w:rsid w:val="11386E78"/>
    <w:rsid w:val="11B73ED3"/>
    <w:rsid w:val="11DF729D"/>
    <w:rsid w:val="12277661"/>
    <w:rsid w:val="133D4C82"/>
    <w:rsid w:val="13D12EE6"/>
    <w:rsid w:val="13EE1CEA"/>
    <w:rsid w:val="13F37300"/>
    <w:rsid w:val="172D0BF0"/>
    <w:rsid w:val="174D6D27"/>
    <w:rsid w:val="179A554D"/>
    <w:rsid w:val="18CE5C46"/>
    <w:rsid w:val="1A2A2D28"/>
    <w:rsid w:val="1A611AD4"/>
    <w:rsid w:val="1B9C64CF"/>
    <w:rsid w:val="1E4A1472"/>
    <w:rsid w:val="1E6C7E3E"/>
    <w:rsid w:val="20346CD6"/>
    <w:rsid w:val="203E6C0D"/>
    <w:rsid w:val="206E043A"/>
    <w:rsid w:val="21B75E11"/>
    <w:rsid w:val="2443573A"/>
    <w:rsid w:val="25496D80"/>
    <w:rsid w:val="256A366E"/>
    <w:rsid w:val="27095D8A"/>
    <w:rsid w:val="275E6C1B"/>
    <w:rsid w:val="277B51EB"/>
    <w:rsid w:val="279E6744"/>
    <w:rsid w:val="2AB253C7"/>
    <w:rsid w:val="2BAD2B02"/>
    <w:rsid w:val="2C6C6F3C"/>
    <w:rsid w:val="2E0C3040"/>
    <w:rsid w:val="2E40384E"/>
    <w:rsid w:val="2E826991"/>
    <w:rsid w:val="2F083808"/>
    <w:rsid w:val="2F0B058C"/>
    <w:rsid w:val="2F7C5FA4"/>
    <w:rsid w:val="2FDD0EDC"/>
    <w:rsid w:val="320B5AF3"/>
    <w:rsid w:val="33690688"/>
    <w:rsid w:val="344833B2"/>
    <w:rsid w:val="346F5A63"/>
    <w:rsid w:val="35146A33"/>
    <w:rsid w:val="39CD7B28"/>
    <w:rsid w:val="3D6C58AA"/>
    <w:rsid w:val="3F976E21"/>
    <w:rsid w:val="403F2E01"/>
    <w:rsid w:val="4136661C"/>
    <w:rsid w:val="431A1904"/>
    <w:rsid w:val="45413951"/>
    <w:rsid w:val="46E47FFF"/>
    <w:rsid w:val="4779601E"/>
    <w:rsid w:val="493E1AE1"/>
    <w:rsid w:val="4A3C1B65"/>
    <w:rsid w:val="4B213303"/>
    <w:rsid w:val="4B2238EC"/>
    <w:rsid w:val="4C6C7CEB"/>
    <w:rsid w:val="4DDD59C1"/>
    <w:rsid w:val="4EF3603F"/>
    <w:rsid w:val="50370ABF"/>
    <w:rsid w:val="51FB0B52"/>
    <w:rsid w:val="52FDF3F3"/>
    <w:rsid w:val="531F075A"/>
    <w:rsid w:val="53F87A3F"/>
    <w:rsid w:val="5529794D"/>
    <w:rsid w:val="56DA342C"/>
    <w:rsid w:val="5708A920"/>
    <w:rsid w:val="57A01936"/>
    <w:rsid w:val="57A57FD6"/>
    <w:rsid w:val="57F01F2D"/>
    <w:rsid w:val="58D367F3"/>
    <w:rsid w:val="592B4413"/>
    <w:rsid w:val="592C1295"/>
    <w:rsid w:val="59665469"/>
    <w:rsid w:val="598A001D"/>
    <w:rsid w:val="59DD74BB"/>
    <w:rsid w:val="5A8C449C"/>
    <w:rsid w:val="5B571FFB"/>
    <w:rsid w:val="5B8C421A"/>
    <w:rsid w:val="5BD06662"/>
    <w:rsid w:val="5BFB00CD"/>
    <w:rsid w:val="5C452F47"/>
    <w:rsid w:val="5D086F45"/>
    <w:rsid w:val="5D4D6706"/>
    <w:rsid w:val="5E8C2041"/>
    <w:rsid w:val="60252B89"/>
    <w:rsid w:val="613750A2"/>
    <w:rsid w:val="616C2448"/>
    <w:rsid w:val="63057E95"/>
    <w:rsid w:val="63DF2082"/>
    <w:rsid w:val="654A16B4"/>
    <w:rsid w:val="660F1D12"/>
    <w:rsid w:val="67277FC8"/>
    <w:rsid w:val="677C2407"/>
    <w:rsid w:val="68C47A98"/>
    <w:rsid w:val="68C53F3C"/>
    <w:rsid w:val="6CC80E6D"/>
    <w:rsid w:val="6CD819DD"/>
    <w:rsid w:val="710B6BAC"/>
    <w:rsid w:val="71525B1E"/>
    <w:rsid w:val="716444DA"/>
    <w:rsid w:val="71CC633B"/>
    <w:rsid w:val="71F238C8"/>
    <w:rsid w:val="72C07522"/>
    <w:rsid w:val="738A5B9F"/>
    <w:rsid w:val="741F6AAA"/>
    <w:rsid w:val="74A0585D"/>
    <w:rsid w:val="763864CA"/>
    <w:rsid w:val="764D461B"/>
    <w:rsid w:val="77A7157C"/>
    <w:rsid w:val="77D048EE"/>
    <w:rsid w:val="78B143BF"/>
    <w:rsid w:val="7A035425"/>
    <w:rsid w:val="7AB465B7"/>
    <w:rsid w:val="7B215011"/>
    <w:rsid w:val="7CB63E70"/>
    <w:rsid w:val="7D221505"/>
    <w:rsid w:val="7E2B6198"/>
    <w:rsid w:val="7EF26A8C"/>
    <w:rsid w:val="7F9806C6"/>
    <w:rsid w:val="B8CFA9F0"/>
    <w:rsid w:val="B9EE8E15"/>
    <w:rsid w:val="BDFFEC67"/>
    <w:rsid w:val="DFFD0EE9"/>
    <w:rsid w:val="EBDF77FB"/>
    <w:rsid w:val="FB7F6E02"/>
    <w:rsid w:val="FBFFF8E5"/>
    <w:rsid w:val="FDAB63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paragraph" w:styleId="5">
    <w:name w:val="heading 7"/>
    <w:basedOn w:val="1"/>
    <w:next w:val="1"/>
    <w:link w:val="23"/>
    <w:qFormat/>
    <w:uiPriority w:val="9"/>
    <w:pPr>
      <w:keepNext/>
      <w:keepLines/>
      <w:spacing w:before="240" w:after="64" w:line="320" w:lineRule="auto"/>
      <w:outlineLvl w:val="6"/>
    </w:pPr>
    <w:rPr>
      <w:b/>
      <w:bCs/>
      <w:sz w:val="24"/>
    </w:rPr>
  </w:style>
  <w:style w:type="character" w:default="1" w:styleId="15">
    <w:name w:val="Default Paragraph Font"/>
    <w:qFormat/>
    <w:uiPriority w:val="0"/>
  </w:style>
  <w:style w:type="table" w:default="1" w:styleId="13">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link w:val="24"/>
    <w:unhideWhenUsed/>
    <w:qFormat/>
    <w:uiPriority w:val="99"/>
    <w:pPr>
      <w:adjustRightInd w:val="0"/>
      <w:spacing w:line="400" w:lineRule="exact"/>
      <w:jc w:val="left"/>
    </w:pPr>
    <w:rPr>
      <w:rFonts w:ascii="Calibri" w:hAnsi="Calibri"/>
      <w:szCs w:val="21"/>
    </w:rPr>
  </w:style>
  <w:style w:type="paragraph" w:styleId="7">
    <w:name w:val="Balloon Text"/>
    <w:basedOn w:val="1"/>
    <w:link w:val="25"/>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Times New Roman" w:hAnsi="Times New Roman"/>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tabs>
        <w:tab w:val="right" w:leader="dot" w:pos="9344"/>
      </w:tabs>
      <w:adjustRightInd w:val="0"/>
      <w:spacing w:line="300" w:lineRule="exact"/>
      <w:ind w:left="629"/>
    </w:pPr>
    <w:rPr>
      <w:rFonts w:ascii="宋体" w:hAnsi="Calibri"/>
      <w:szCs w:val="21"/>
    </w:rPr>
  </w:style>
  <w:style w:type="paragraph" w:styleId="12">
    <w:name w:val="Normal (Web)"/>
    <w:basedOn w:val="1"/>
    <w:semiHidden/>
    <w:unhideWhenUsed/>
    <w:qFormat/>
    <w:uiPriority w:val="99"/>
    <w:rPr>
      <w:sz w:val="24"/>
    </w:rPr>
  </w:style>
  <w:style w:type="table" w:styleId="14">
    <w:name w:val="Table Grid"/>
    <w:basedOn w:val="13"/>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6">
    <w:name w:val="Strong"/>
    <w:basedOn w:val="15"/>
    <w:qFormat/>
    <w:uiPriority w:val="22"/>
    <w:rPr>
      <w:b/>
    </w:rPr>
  </w:style>
  <w:style w:type="character" w:styleId="17">
    <w:name w:val="line number"/>
    <w:qFormat/>
    <w:uiPriority w:val="0"/>
  </w:style>
  <w:style w:type="character" w:styleId="18">
    <w:name w:val="Hyperlink"/>
    <w:qFormat/>
    <w:uiPriority w:val="0"/>
    <w:rPr>
      <w:rFonts w:ascii="宋体" w:eastAsia="宋体"/>
      <w:color w:val="auto"/>
      <w:spacing w:val="0"/>
      <w:w w:val="100"/>
      <w:position w:val="0"/>
      <w:sz w:val="21"/>
      <w:u w:val="none"/>
      <w:vertAlign w:val="baseline"/>
    </w:rPr>
  </w:style>
  <w:style w:type="character" w:styleId="19">
    <w:name w:val="annotation reference"/>
    <w:qFormat/>
    <w:uiPriority w:val="99"/>
    <w:rPr>
      <w:sz w:val="21"/>
    </w:rPr>
  </w:style>
  <w:style w:type="character" w:styleId="20">
    <w:name w:val="footnote reference"/>
    <w:qFormat/>
    <w:uiPriority w:val="0"/>
    <w:rPr>
      <w:vertAlign w:val="superscript"/>
    </w:rPr>
  </w:style>
  <w:style w:type="paragraph" w:customStyle="1" w:styleId="21">
    <w:name w:val="BodyText2"/>
    <w:basedOn w:val="1"/>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2">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字符"/>
    <w:link w:val="5"/>
    <w:qFormat/>
    <w:uiPriority w:val="0"/>
    <w:rPr>
      <w:rFonts w:eastAsia="宋体"/>
      <w:b/>
      <w:bCs/>
      <w:kern w:val="2"/>
      <w:sz w:val="24"/>
      <w:szCs w:val="24"/>
    </w:rPr>
  </w:style>
  <w:style w:type="character" w:customStyle="1" w:styleId="24">
    <w:name w:val="批注文字 字符"/>
    <w:link w:val="6"/>
    <w:semiHidden/>
    <w:qFormat/>
    <w:uiPriority w:val="99"/>
    <w:rPr>
      <w:rFonts w:ascii="Calibri" w:hAnsi="Calibri" w:eastAsia="宋体"/>
      <w:kern w:val="2"/>
      <w:sz w:val="21"/>
      <w:szCs w:val="21"/>
    </w:rPr>
  </w:style>
  <w:style w:type="character" w:customStyle="1" w:styleId="25">
    <w:name w:val="批注框文本 字符"/>
    <w:link w:val="7"/>
    <w:semiHidden/>
    <w:qFormat/>
    <w:uiPriority w:val="99"/>
    <w:rPr>
      <w:rFonts w:eastAsia="宋体"/>
      <w:kern w:val="2"/>
      <w:sz w:val="18"/>
      <w:szCs w:val="18"/>
    </w:rPr>
  </w:style>
  <w:style w:type="character" w:customStyle="1" w:styleId="26">
    <w:name w:val="页脚 字符"/>
    <w:link w:val="8"/>
    <w:qFormat/>
    <w:locked/>
    <w:uiPriority w:val="99"/>
    <w:rPr>
      <w:rFonts w:eastAsia="宋体"/>
      <w:kern w:val="2"/>
      <w:sz w:val="18"/>
      <w:szCs w:val="18"/>
    </w:rPr>
  </w:style>
  <w:style w:type="paragraph" w:customStyle="1" w:styleId="27">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qFormat/>
    <w:uiPriority w:val="0"/>
    <w:rPr>
      <w:rFonts w:ascii="宋体" w:eastAsia="宋体"/>
      <w:sz w:val="21"/>
    </w:rPr>
  </w:style>
  <w:style w:type="paragraph" w:customStyle="1" w:styleId="31">
    <w:name w:val="标准文件_章标题"/>
    <w:next w:val="29"/>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qFormat/>
    <w:uiPriority w:val="0"/>
    <w:pPr>
      <w:numPr>
        <w:ilvl w:val="2"/>
        <w:numId w:val="1"/>
      </w:numPr>
      <w:spacing w:before="50" w:beforeLines="0" w:after="50" w:afterLines="0"/>
      <w:outlineLvl w:val="1"/>
    </w:pPr>
  </w:style>
  <w:style w:type="paragraph" w:customStyle="1" w:styleId="34">
    <w:name w:val="标准文件_三级条标题"/>
    <w:basedOn w:val="32"/>
    <w:next w:val="29"/>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5">
    <w:name w:val="标准文件_四级条标题"/>
    <w:next w:val="29"/>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39">
    <w:name w:val="标准文件_三级无标题"/>
    <w:basedOn w:val="34"/>
    <w:qFormat/>
    <w:uiPriority w:val="0"/>
    <w:pPr>
      <w:numPr>
        <w:ilvl w:val="4"/>
        <w:numId w:val="1"/>
      </w:numPr>
      <w:spacing w:before="50" w:after="50"/>
      <w:jc w:val="both"/>
    </w:pPr>
    <w:rPr>
      <w:rFonts w:ascii="宋体" w:eastAsia="宋体"/>
      <w:sz w:val="21"/>
      <w:lang w:val="en-US" w:eastAsia="zh-CN" w:bidi="ar-SA"/>
    </w:rPr>
  </w:style>
  <w:style w:type="paragraph" w:customStyle="1" w:styleId="40">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qFormat/>
    <w:uiPriority w:val="0"/>
    <w:rPr>
      <w:rFonts w:ascii="等线" w:eastAsia="等线"/>
      <w:b/>
      <w:bCs/>
      <w:color w:val="FF0000"/>
      <w:sz w:val="22"/>
      <w:szCs w:val="22"/>
      <w:u w:val="none"/>
    </w:rPr>
  </w:style>
  <w:style w:type="character" w:customStyle="1" w:styleId="42">
    <w:name w:val="font01"/>
    <w:qFormat/>
    <w:uiPriority w:val="0"/>
    <w:rPr>
      <w:rFonts w:ascii="等线" w:eastAsia="等线"/>
      <w:color w:val="000000"/>
      <w:sz w:val="22"/>
      <w:szCs w:val="22"/>
      <w:u w:val="none"/>
    </w:rPr>
  </w:style>
  <w:style w:type="paragraph" w:customStyle="1" w:styleId="4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qFormat/>
    <w:uiPriority w:val="0"/>
    <w:pPr>
      <w:widowControl/>
      <w:numPr>
        <w:ilvl w:val="2"/>
        <w:numId w:val="3"/>
      </w:numPr>
      <w:tabs>
        <w:tab w:val="left" w:pos="780"/>
      </w:tabs>
      <w:jc w:val="left"/>
      <w:outlineLvl w:val="3"/>
    </w:pPr>
    <w:rPr>
      <w:rFonts w:ascii="宋体"/>
      <w:kern w:val="0"/>
      <w:szCs w:val="21"/>
    </w:rPr>
  </w:style>
  <w:style w:type="paragraph" w:customStyle="1" w:styleId="45">
    <w:name w:val="标准文件_二级无标题"/>
    <w:basedOn w:val="32"/>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6">
    <w:name w:val="Char Char Char Char"/>
    <w:basedOn w:val="1"/>
    <w:qFormat/>
    <w:uiPriority w:val="0"/>
  </w:style>
  <w:style w:type="paragraph" w:customStyle="1" w:styleId="47">
    <w:name w:val="标准文件_数字编号列项（二级）"/>
    <w:qFormat/>
    <w:uiPriority w:val="0"/>
    <w:pPr>
      <w:numPr>
        <w:ilvl w:val="1"/>
        <w:numId w:val="5"/>
      </w:numPr>
      <w:jc w:val="both"/>
    </w:pPr>
    <w:rPr>
      <w:rFonts w:ascii="宋体" w:hAnsi="Calibri" w:eastAsia="宋体" w:cs="Calibri"/>
      <w:sz w:val="21"/>
      <w:lang w:val="en-US" w:eastAsia="zh-CN" w:bidi="ar-SA"/>
    </w:rPr>
  </w:style>
  <w:style w:type="paragraph" w:customStyle="1" w:styleId="48">
    <w:name w:val="标准文件_编号列项（三级）"/>
    <w:qFormat/>
    <w:uiPriority w:val="0"/>
    <w:pPr>
      <w:numPr>
        <w:ilvl w:val="2"/>
        <w:numId w:val="5"/>
      </w:numPr>
    </w:pPr>
    <w:rPr>
      <w:rFonts w:ascii="宋体" w:hAnsi="Calibri" w:eastAsia="宋体" w:cs="Calibri"/>
      <w:sz w:val="21"/>
      <w:lang w:val="en-US" w:eastAsia="zh-CN" w:bidi="ar-SA"/>
    </w:rPr>
  </w:style>
  <w:style w:type="paragraph" w:customStyle="1" w:styleId="49">
    <w:name w:val="标准文件_字母编号列项（一级）"/>
    <w:qFormat/>
    <w:uiPriority w:val="0"/>
    <w:pPr>
      <w:numPr>
        <w:ilvl w:val="0"/>
        <w:numId w:val="5"/>
      </w:numPr>
      <w:jc w:val="both"/>
    </w:pPr>
    <w:rPr>
      <w:rFonts w:ascii="宋体" w:hAnsi="Calibri" w:eastAsia="宋体" w:cs="Calibri"/>
      <w:sz w:val="21"/>
      <w:lang w:val="en-US" w:eastAsia="zh-CN" w:bidi="ar-SA"/>
    </w:rPr>
  </w:style>
  <w:style w:type="paragraph" w:customStyle="1" w:styleId="50">
    <w:name w:val="标准文件_术语条一"/>
    <w:basedOn w:val="1"/>
    <w:next w:val="29"/>
    <w:qFormat/>
    <w:uiPriority w:val="0"/>
    <w:pPr>
      <w:widowControl/>
    </w:pPr>
    <w:rPr>
      <w:rFonts w:ascii="宋体"/>
      <w:kern w:val="0"/>
      <w:szCs w:val="20"/>
    </w:rPr>
  </w:style>
  <w:style w:type="paragraph" w:customStyle="1" w:styleId="51">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styleId="53">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qFormat/>
    <w:uiPriority w:val="0"/>
    <w:pPr>
      <w:numPr>
        <w:ilvl w:val="0"/>
        <w:numId w:val="6"/>
      </w:numPr>
    </w:pPr>
    <w:rPr>
      <w:rFonts w:ascii="宋体" w:hAnsi="Times New Roman" w:eastAsia="宋体" w:cs="Times New Roman"/>
      <w:sz w:val="21"/>
      <w:lang w:val="en-US" w:eastAsia="zh-CN" w:bidi="ar-SA"/>
    </w:rPr>
  </w:style>
  <w:style w:type="paragraph" w:customStyle="1" w:styleId="55">
    <w:name w:val="标准文件_注："/>
    <w:next w:val="29"/>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character" w:customStyle="1" w:styleId="56">
    <w:name w:val="font21"/>
    <w:basedOn w:val="15"/>
    <w:qFormat/>
    <w:uiPriority w:val="0"/>
    <w:rPr>
      <w:rFonts w:hint="eastAsia" w:ascii="宋体" w:hAnsi="宋体" w:eastAsia="宋体" w:cs="宋体"/>
      <w:color w:val="000000"/>
      <w:sz w:val="32"/>
      <w:szCs w:val="32"/>
      <w:u w:val="none"/>
    </w:rPr>
  </w:style>
  <w:style w:type="paragraph" w:customStyle="1" w:styleId="5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8">
    <w:name w:val="标准文件_页眉偶数页"/>
    <w:basedOn w:val="57"/>
    <w:next w:val="1"/>
    <w:qFormat/>
    <w:uiPriority w:val="0"/>
    <w:pPr>
      <w:jc w:val="left"/>
    </w:p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文件_页脚偶数页"/>
    <w:qFormat/>
    <w:uiPriority w:val="0"/>
    <w:pPr>
      <w:ind w:left="198"/>
    </w:pPr>
    <w:rPr>
      <w:rFonts w:ascii="宋体" w:hAnsi="Times New Roman" w:eastAsia="宋体" w:cs="Times New Roman"/>
      <w:sz w:val="18"/>
      <w:lang w:val="en-US" w:eastAsia="zh-CN" w:bidi="ar-SA"/>
    </w:rPr>
  </w:style>
  <w:style w:type="table" w:customStyle="1" w:styleId="61">
    <w:name w:val="Table Normal"/>
    <w:semiHidden/>
    <w:unhideWhenUsed/>
    <w:qFormat/>
    <w:uiPriority w:val="0"/>
    <w:tblPr>
      <w:tblCellMar>
        <w:top w:w="0" w:type="dxa"/>
        <w:left w:w="0" w:type="dxa"/>
        <w:bottom w:w="0" w:type="dxa"/>
        <w:right w:w="0" w:type="dxa"/>
      </w:tblCellMar>
    </w:tblPr>
  </w:style>
  <w:style w:type="paragraph" w:customStyle="1" w:styleId="62">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7351</Words>
  <Characters>7852</Characters>
  <Lines>140</Lines>
  <Paragraphs>39</Paragraphs>
  <TotalTime>1</TotalTime>
  <ScaleCrop>false</ScaleCrop>
  <LinksUpToDate>false</LinksUpToDate>
  <CharactersWithSpaces>7928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2023-11-09T07:48:00Z</dcterms:created>
  <dc:creator>Administrator</dc:creator>
  <cp:lastModifiedBy>覃思颖</cp:lastModifiedBy>
  <dcterms:modified xsi:type="dcterms:W3CDTF">2025-09-29T08:03:27Z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DD6CA3FC293E43FDBAB428080B5426A7_13</vt:lpwstr>
  </property>
  <property fmtid="{D5CDD505-2E9C-101B-9397-08002B2CF9AE}" pid="4" name="KSOTemplateDocerSaveRecord">
    <vt:lpwstr>eyJoZGlkIjoiYTIxMmYxNDBkODA0MDQ1OTQ1ZGY3MWUxODhmNzk0ZjAiLCJ1c2VySWQiOiI2NTgwMDU1NDYifQ==</vt:lpwstr>
  </property>
</Properties>
</file>