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DA85B2C">
      <w:pPr>
        <w:jc w:val="center"/>
        <w:rPr>
          <w:rFonts w:hint="eastAsia" w:ascii="方正小标宋简体" w:eastAsia="方正小标宋简体" w:cs="仿宋_GB2312"/>
          <w:bCs/>
          <w:color w:val="auto"/>
          <w:sz w:val="36"/>
          <w:szCs w:val="32"/>
        </w:rPr>
      </w:pPr>
      <w:r>
        <w:rPr>
          <w:rFonts w:hint="eastAsia" w:ascii="方正小标宋简体" w:eastAsia="方正小标宋简体" w:cs="仿宋_GB2312"/>
          <w:bCs/>
          <w:color w:val="auto"/>
          <w:sz w:val="36"/>
          <w:szCs w:val="32"/>
          <w:lang w:eastAsia="zh-CN"/>
        </w:rPr>
        <w:t>团体标准</w:t>
      </w:r>
      <w:r>
        <w:rPr>
          <w:rFonts w:hint="eastAsia" w:ascii="方正小标宋简体" w:eastAsia="方正小标宋简体" w:cs="仿宋_GB2312"/>
          <w:bCs/>
          <w:color w:val="auto"/>
          <w:sz w:val="36"/>
          <w:szCs w:val="32"/>
        </w:rPr>
        <w:t>《</w:t>
      </w:r>
      <w:r>
        <w:rPr>
          <w:rFonts w:hint="eastAsia" w:ascii="方正小标宋简体" w:eastAsia="方正小标宋简体" w:cs="仿宋_GB2312"/>
          <w:bCs/>
          <w:color w:val="auto"/>
          <w:sz w:val="36"/>
          <w:szCs w:val="32"/>
          <w:lang w:eastAsia="zh-CN"/>
        </w:rPr>
        <w:t>瑶医神火灸治疗脑卒中后肩手综合征技术操作规范</w:t>
      </w:r>
      <w:r>
        <w:rPr>
          <w:rFonts w:hint="eastAsia" w:ascii="方正小标宋简体" w:eastAsia="方正小标宋简体" w:cs="仿宋_GB2312"/>
          <w:bCs/>
          <w:color w:val="auto"/>
          <w:sz w:val="36"/>
          <w:szCs w:val="32"/>
        </w:rPr>
        <w:t>》（</w:t>
      </w:r>
      <w:r>
        <w:rPr>
          <w:rFonts w:hint="eastAsia" w:ascii="方正小标宋简体" w:eastAsia="方正小标宋简体" w:cs="仿宋_GB2312"/>
          <w:bCs/>
          <w:color w:val="auto"/>
          <w:sz w:val="36"/>
          <w:szCs w:val="32"/>
          <w:lang w:eastAsia="zh-CN"/>
        </w:rPr>
        <w:t>征求意见</w:t>
      </w:r>
      <w:r>
        <w:rPr>
          <w:rFonts w:hint="eastAsia" w:ascii="方正小标宋简体" w:eastAsia="方正小标宋简体" w:cs="仿宋_GB2312"/>
          <w:bCs/>
          <w:color w:val="auto"/>
          <w:sz w:val="36"/>
          <w:szCs w:val="32"/>
        </w:rPr>
        <w:t>稿）编制说明</w:t>
      </w:r>
    </w:p>
    <w:p w14:paraId="5C534F24">
      <w:pPr>
        <w:jc w:val="center"/>
        <w:rPr>
          <w:rFonts w:hint="eastAsia" w:ascii="方正小标宋简体" w:eastAsia="方正小标宋简体" w:cs="仿宋_GB2312"/>
          <w:bCs/>
          <w:color w:val="auto"/>
          <w:sz w:val="18"/>
          <w:szCs w:val="18"/>
        </w:rPr>
      </w:pPr>
    </w:p>
    <w:p w14:paraId="2E0749D1">
      <w:pPr>
        <w:spacing w:line="520" w:lineRule="exact"/>
        <w:ind w:firstLine="640" w:firstLineChars="200"/>
        <w:rPr>
          <w:rFonts w:hint="eastAsia" w:ascii="黑体" w:eastAsia="黑体" w:cs="仿宋_GB2312"/>
          <w:bCs/>
          <w:color w:val="auto"/>
          <w:sz w:val="32"/>
          <w:szCs w:val="32"/>
        </w:rPr>
      </w:pPr>
      <w:r>
        <w:rPr>
          <w:rFonts w:hint="eastAsia" w:ascii="黑体" w:eastAsia="黑体" w:cs="仿宋_GB2312"/>
          <w:color w:val="auto"/>
          <w:sz w:val="32"/>
          <w:szCs w:val="32"/>
        </w:rPr>
        <w:t>一、任务来源、起草单位、主要起草人</w:t>
      </w:r>
    </w:p>
    <w:p w14:paraId="37CF72A6">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根据《</w:t>
      </w:r>
      <w:r>
        <w:rPr>
          <w:rFonts w:hint="eastAsia" w:ascii="仿宋_GB2312" w:eastAsia="仿宋_GB2312"/>
          <w:color w:val="auto"/>
          <w:sz w:val="28"/>
          <w:szCs w:val="28"/>
          <w:lang w:eastAsia="zh-CN"/>
        </w:rPr>
        <w:t>广西标准化协会</w:t>
      </w:r>
      <w:r>
        <w:rPr>
          <w:rFonts w:hint="eastAsia" w:ascii="仿宋_GB2312" w:eastAsia="仿宋_GB2312"/>
          <w:color w:val="auto"/>
          <w:sz w:val="28"/>
          <w:szCs w:val="28"/>
        </w:rPr>
        <w:t>关于下达202</w:t>
      </w:r>
      <w:r>
        <w:rPr>
          <w:rFonts w:hint="eastAsia" w:ascii="仿宋_GB2312" w:eastAsia="仿宋_GB2312"/>
          <w:color w:val="auto"/>
          <w:sz w:val="28"/>
          <w:szCs w:val="28"/>
          <w:lang w:val="en-US" w:eastAsia="zh-CN"/>
        </w:rPr>
        <w:t>5</w:t>
      </w:r>
      <w:r>
        <w:rPr>
          <w:rFonts w:hint="eastAsia" w:ascii="仿宋_GB2312" w:eastAsia="仿宋_GB2312"/>
          <w:color w:val="auto"/>
          <w:sz w:val="28"/>
          <w:szCs w:val="28"/>
        </w:rPr>
        <w:t>年第</w:t>
      </w:r>
      <w:r>
        <w:rPr>
          <w:rFonts w:hint="eastAsia" w:ascii="仿宋_GB2312" w:eastAsia="仿宋_GB2312"/>
          <w:color w:val="auto"/>
          <w:sz w:val="28"/>
          <w:szCs w:val="28"/>
          <w:lang w:eastAsia="zh-CN"/>
        </w:rPr>
        <w:t>三十二</w:t>
      </w:r>
      <w:r>
        <w:rPr>
          <w:rFonts w:hint="eastAsia" w:ascii="仿宋_GB2312" w:eastAsia="仿宋_GB2312"/>
          <w:color w:val="auto"/>
          <w:sz w:val="28"/>
          <w:szCs w:val="28"/>
        </w:rPr>
        <w:t>批团体标准制修订项目计划的通知》（桂标协〔202</w:t>
      </w:r>
      <w:r>
        <w:rPr>
          <w:rFonts w:hint="eastAsia" w:ascii="仿宋_GB2312" w:eastAsia="仿宋_GB2312"/>
          <w:color w:val="auto"/>
          <w:sz w:val="28"/>
          <w:szCs w:val="28"/>
          <w:lang w:val="en-US" w:eastAsia="zh-CN"/>
        </w:rPr>
        <w:t>5</w:t>
      </w:r>
      <w:r>
        <w:rPr>
          <w:rFonts w:hint="eastAsia" w:ascii="仿宋_GB2312" w:eastAsia="仿宋_GB2312"/>
          <w:color w:val="auto"/>
          <w:sz w:val="28"/>
          <w:szCs w:val="28"/>
        </w:rPr>
        <w:t>〕</w:t>
      </w:r>
      <w:r>
        <w:rPr>
          <w:rFonts w:hint="eastAsia" w:ascii="仿宋_GB2312" w:eastAsia="仿宋_GB2312"/>
          <w:color w:val="auto"/>
          <w:sz w:val="28"/>
          <w:szCs w:val="28"/>
          <w:lang w:val="en-US" w:eastAsia="zh-CN"/>
        </w:rPr>
        <w:t>300</w:t>
      </w:r>
      <w:r>
        <w:rPr>
          <w:rFonts w:hint="eastAsia" w:ascii="仿宋_GB2312" w:eastAsia="仿宋_GB2312"/>
          <w:color w:val="auto"/>
          <w:sz w:val="28"/>
          <w:szCs w:val="28"/>
        </w:rPr>
        <w:t>号）精神，由柳州市中医医院(柳州市壮医医院)提出，柳州市中医医院(柳州市壮医医院)、广西中医药大学第一附属医院、广西国际壮医医院、柳城县中医医院、融水苗族自治县中医医院、桂林市中医医院等单位共同起草的团体标准《</w:t>
      </w:r>
      <w:r>
        <w:rPr>
          <w:rFonts w:hint="eastAsia" w:ascii="仿宋_GB2312" w:eastAsia="仿宋_GB2312"/>
          <w:color w:val="auto"/>
          <w:sz w:val="28"/>
          <w:szCs w:val="28"/>
          <w:lang w:eastAsia="zh-CN"/>
        </w:rPr>
        <w:t>瑶医神火灸治疗脑卒中后肩手综合征技术操作规范</w:t>
      </w:r>
      <w:r>
        <w:rPr>
          <w:rFonts w:hint="eastAsia" w:ascii="仿宋_GB2312" w:eastAsia="仿宋_GB2312"/>
          <w:color w:val="auto"/>
          <w:sz w:val="28"/>
          <w:szCs w:val="28"/>
        </w:rPr>
        <w:t>》（项目编号</w:t>
      </w:r>
      <w:r>
        <w:rPr>
          <w:rFonts w:hint="eastAsia" w:ascii="仿宋_GB2312" w:eastAsia="仿宋_GB2312"/>
          <w:color w:val="auto"/>
          <w:sz w:val="28"/>
          <w:szCs w:val="28"/>
          <w:lang w:eastAsia="zh-CN"/>
        </w:rPr>
        <w:t>：202</w:t>
      </w:r>
      <w:r>
        <w:rPr>
          <w:rFonts w:hint="eastAsia" w:ascii="仿宋_GB2312" w:eastAsia="仿宋_GB2312"/>
          <w:color w:val="auto"/>
          <w:sz w:val="28"/>
          <w:szCs w:val="28"/>
          <w:lang w:val="en-US" w:eastAsia="zh-CN"/>
        </w:rPr>
        <w:t>5</w:t>
      </w:r>
      <w:r>
        <w:rPr>
          <w:rFonts w:hint="eastAsia" w:ascii="仿宋_GB2312" w:eastAsia="仿宋_GB2312"/>
          <w:color w:val="auto"/>
          <w:sz w:val="28"/>
          <w:szCs w:val="28"/>
          <w:lang w:eastAsia="zh-CN"/>
        </w:rPr>
        <w:t>-</w:t>
      </w:r>
      <w:r>
        <w:rPr>
          <w:rFonts w:hint="eastAsia" w:ascii="仿宋_GB2312" w:eastAsia="仿宋_GB2312"/>
          <w:color w:val="auto"/>
          <w:sz w:val="28"/>
          <w:szCs w:val="28"/>
          <w:lang w:val="en-US" w:eastAsia="zh-CN"/>
        </w:rPr>
        <w:t>3218</w:t>
      </w:r>
      <w:r>
        <w:rPr>
          <w:rFonts w:hint="eastAsia" w:ascii="仿宋_GB2312" w:eastAsia="仿宋_GB2312"/>
          <w:color w:val="auto"/>
          <w:sz w:val="28"/>
          <w:szCs w:val="28"/>
        </w:rPr>
        <w:t>）</w:t>
      </w:r>
      <w:r>
        <w:rPr>
          <w:rFonts w:hint="eastAsia" w:ascii="仿宋_GB2312" w:eastAsia="仿宋_GB2312"/>
          <w:color w:val="auto"/>
          <w:sz w:val="28"/>
          <w:szCs w:val="28"/>
          <w:lang w:eastAsia="zh-CN"/>
        </w:rPr>
        <w:t>，已获立项</w:t>
      </w:r>
      <w:r>
        <w:rPr>
          <w:rFonts w:hint="eastAsia" w:ascii="仿宋_GB2312" w:eastAsia="仿宋_GB2312"/>
          <w:color w:val="auto"/>
          <w:sz w:val="28"/>
          <w:szCs w:val="28"/>
        </w:rPr>
        <w:t>。</w:t>
      </w:r>
    </w:p>
    <w:p w14:paraId="6E7ED8E7">
      <w:pPr>
        <w:spacing w:line="520" w:lineRule="exact"/>
        <w:ind w:firstLine="560" w:firstLineChars="200"/>
        <w:rPr>
          <w:rFonts w:hint="eastAsia" w:ascii="仿宋_GB2312" w:eastAsia="仿宋_GB2312"/>
          <w:color w:val="auto"/>
          <w:sz w:val="32"/>
          <w:szCs w:val="32"/>
          <w:lang w:eastAsia="zh-CN"/>
        </w:rPr>
      </w:pPr>
      <w:r>
        <w:rPr>
          <w:rFonts w:hint="eastAsia" w:ascii="仿宋_GB2312" w:eastAsia="仿宋_GB2312"/>
          <w:color w:val="auto"/>
          <w:sz w:val="28"/>
          <w:szCs w:val="28"/>
        </w:rPr>
        <w:t>为高质量编制</w:t>
      </w:r>
      <w:r>
        <w:rPr>
          <w:rFonts w:hint="eastAsia" w:ascii="仿宋_GB2312" w:eastAsia="仿宋_GB2312"/>
          <w:color w:val="auto"/>
          <w:sz w:val="28"/>
          <w:szCs w:val="28"/>
          <w:lang w:val="en-US" w:eastAsia="zh-CN"/>
        </w:rPr>
        <w:t>团体</w:t>
      </w:r>
      <w:r>
        <w:rPr>
          <w:rFonts w:hint="eastAsia" w:ascii="仿宋_GB2312" w:eastAsia="仿宋_GB2312"/>
          <w:color w:val="auto"/>
          <w:sz w:val="28"/>
          <w:szCs w:val="28"/>
        </w:rPr>
        <w:t>标准《</w:t>
      </w:r>
      <w:r>
        <w:rPr>
          <w:rFonts w:hint="eastAsia" w:ascii="仿宋_GB2312" w:eastAsia="仿宋_GB2312"/>
          <w:color w:val="auto"/>
          <w:sz w:val="28"/>
          <w:szCs w:val="28"/>
          <w:lang w:eastAsia="zh-CN"/>
        </w:rPr>
        <w:t>瑶医神火灸治疗脑卒中后肩手综合征技术操作规范</w:t>
      </w:r>
      <w:r>
        <w:rPr>
          <w:rFonts w:hint="eastAsia" w:ascii="仿宋_GB2312" w:eastAsia="仿宋_GB2312"/>
          <w:color w:val="auto"/>
          <w:sz w:val="28"/>
          <w:szCs w:val="28"/>
        </w:rPr>
        <w:t>》，由起草单位成立标准编制工作组并进行如下分工：</w:t>
      </w:r>
    </w:p>
    <w:tbl>
      <w:tblPr>
        <w:tblStyle w:val="14"/>
        <w:tblW w:w="4997" w:type="pct"/>
        <w:tblInd w:w="0" w:type="dxa"/>
        <w:tblLayout w:type="autofit"/>
        <w:tblCellMar>
          <w:top w:w="0" w:type="dxa"/>
          <w:left w:w="108" w:type="dxa"/>
          <w:bottom w:w="0" w:type="dxa"/>
          <w:right w:w="108" w:type="dxa"/>
        </w:tblCellMar>
      </w:tblPr>
      <w:tblGrid>
        <w:gridCol w:w="591"/>
        <w:gridCol w:w="950"/>
        <w:gridCol w:w="1558"/>
        <w:gridCol w:w="1290"/>
        <w:gridCol w:w="2249"/>
        <w:gridCol w:w="2530"/>
      </w:tblGrid>
      <w:tr w14:paraId="42CD1739">
        <w:tblPrEx>
          <w:tblCellMar>
            <w:top w:w="0" w:type="dxa"/>
            <w:left w:w="108" w:type="dxa"/>
            <w:bottom w:w="0" w:type="dxa"/>
            <w:right w:w="108" w:type="dxa"/>
          </w:tblCellMar>
        </w:tblPrEx>
        <w:trPr>
          <w:cantSplit/>
          <w:trHeight w:val="410" w:hRule="atLeast"/>
        </w:trPr>
        <w:tc>
          <w:tcPr>
            <w:tcW w:w="322" w:type="pct"/>
            <w:tcBorders>
              <w:top w:val="single" w:color="auto" w:sz="4" w:space="0"/>
              <w:left w:val="single" w:color="auto" w:sz="4" w:space="0"/>
              <w:bottom w:val="single" w:color="auto" w:sz="4" w:space="0"/>
              <w:right w:val="single" w:color="auto" w:sz="4" w:space="0"/>
            </w:tcBorders>
            <w:noWrap w:val="0"/>
            <w:vAlign w:val="center"/>
          </w:tcPr>
          <w:p w14:paraId="5057EC2E">
            <w:pPr>
              <w:keepNext w:val="0"/>
              <w:keepLines w:val="0"/>
              <w:suppressLineNumbers w:val="0"/>
              <w:spacing w:before="0" w:beforeAutospacing="0" w:after="0" w:afterAutospacing="0"/>
              <w:ind w:left="0" w:right="0"/>
              <w:jc w:val="center"/>
              <w:rPr>
                <w:rFonts w:hint="default" w:ascii="仿宋" w:hAnsi="仿宋" w:eastAsia="仿宋" w:cs="仿宋"/>
                <w:b/>
                <w:color w:val="auto"/>
                <w:sz w:val="24"/>
              </w:rPr>
            </w:pPr>
            <w:r>
              <w:rPr>
                <w:rFonts w:hint="eastAsia" w:ascii="仿宋" w:hAnsi="仿宋" w:eastAsia="仿宋" w:cs="仿宋"/>
                <w:b/>
                <w:color w:val="auto"/>
                <w:sz w:val="24"/>
              </w:rPr>
              <w:t>序号</w:t>
            </w:r>
          </w:p>
        </w:tc>
        <w:tc>
          <w:tcPr>
            <w:tcW w:w="518" w:type="pct"/>
            <w:tcBorders>
              <w:top w:val="single" w:color="auto" w:sz="4" w:space="0"/>
              <w:left w:val="single" w:color="auto" w:sz="4" w:space="0"/>
              <w:bottom w:val="single" w:color="auto" w:sz="4" w:space="0"/>
              <w:right w:val="single" w:color="auto" w:sz="4" w:space="0"/>
            </w:tcBorders>
            <w:noWrap w:val="0"/>
            <w:vAlign w:val="center"/>
          </w:tcPr>
          <w:p w14:paraId="25E1C504">
            <w:pPr>
              <w:keepNext w:val="0"/>
              <w:keepLines w:val="0"/>
              <w:suppressLineNumbers w:val="0"/>
              <w:spacing w:before="0" w:beforeAutospacing="0" w:after="0" w:afterAutospacing="0"/>
              <w:ind w:left="0" w:right="0"/>
              <w:jc w:val="center"/>
              <w:rPr>
                <w:rFonts w:hint="default" w:ascii="仿宋" w:hAnsi="仿宋" w:eastAsia="仿宋" w:cs="仿宋"/>
                <w:b/>
                <w:color w:val="auto"/>
                <w:sz w:val="24"/>
              </w:rPr>
            </w:pPr>
            <w:r>
              <w:rPr>
                <w:rFonts w:hint="eastAsia" w:ascii="仿宋" w:hAnsi="仿宋" w:eastAsia="仿宋" w:cs="仿宋"/>
                <w:b/>
                <w:color w:val="auto"/>
                <w:sz w:val="24"/>
              </w:rPr>
              <w:t>姓名</w:t>
            </w:r>
          </w:p>
        </w:tc>
        <w:tc>
          <w:tcPr>
            <w:tcW w:w="849" w:type="pct"/>
            <w:tcBorders>
              <w:top w:val="single" w:color="auto" w:sz="4" w:space="0"/>
              <w:left w:val="single" w:color="auto" w:sz="4" w:space="0"/>
              <w:bottom w:val="single" w:color="auto" w:sz="4" w:space="0"/>
              <w:right w:val="single" w:color="auto" w:sz="4" w:space="0"/>
            </w:tcBorders>
            <w:noWrap w:val="0"/>
            <w:vAlign w:val="center"/>
          </w:tcPr>
          <w:p w14:paraId="226B63C3">
            <w:pPr>
              <w:keepNext w:val="0"/>
              <w:keepLines w:val="0"/>
              <w:suppressLineNumbers w:val="0"/>
              <w:spacing w:before="0" w:beforeAutospacing="0" w:after="0" w:afterAutospacing="0"/>
              <w:ind w:left="0" w:right="0"/>
              <w:jc w:val="center"/>
              <w:rPr>
                <w:rFonts w:hint="default" w:ascii="仿宋" w:hAnsi="仿宋" w:eastAsia="仿宋" w:cs="仿宋"/>
                <w:b/>
                <w:color w:val="auto"/>
                <w:sz w:val="24"/>
              </w:rPr>
            </w:pPr>
            <w:r>
              <w:rPr>
                <w:rFonts w:hint="eastAsia" w:ascii="仿宋" w:hAnsi="仿宋" w:eastAsia="仿宋" w:cs="仿宋"/>
                <w:b/>
                <w:color w:val="auto"/>
                <w:sz w:val="24"/>
              </w:rPr>
              <w:t>单位</w:t>
            </w:r>
          </w:p>
        </w:tc>
        <w:tc>
          <w:tcPr>
            <w:tcW w:w="703" w:type="pct"/>
            <w:tcBorders>
              <w:top w:val="single" w:color="auto" w:sz="4" w:space="0"/>
              <w:left w:val="single" w:color="auto" w:sz="4" w:space="0"/>
              <w:bottom w:val="single" w:color="auto" w:sz="4" w:space="0"/>
              <w:right w:val="single" w:color="auto" w:sz="4" w:space="0"/>
            </w:tcBorders>
            <w:noWrap w:val="0"/>
            <w:vAlign w:val="center"/>
          </w:tcPr>
          <w:p w14:paraId="4397E291">
            <w:pPr>
              <w:keepNext w:val="0"/>
              <w:keepLines w:val="0"/>
              <w:suppressLineNumbers w:val="0"/>
              <w:spacing w:before="0" w:beforeAutospacing="0" w:after="0" w:afterAutospacing="0"/>
              <w:ind w:left="0" w:right="0"/>
              <w:jc w:val="center"/>
              <w:rPr>
                <w:rFonts w:hint="default" w:ascii="仿宋" w:hAnsi="仿宋" w:eastAsia="仿宋" w:cs="仿宋"/>
                <w:b/>
                <w:color w:val="auto"/>
                <w:sz w:val="24"/>
              </w:rPr>
            </w:pPr>
            <w:r>
              <w:rPr>
                <w:rFonts w:hint="eastAsia" w:ascii="仿宋" w:hAnsi="仿宋" w:eastAsia="仿宋" w:cs="仿宋"/>
                <w:b/>
                <w:color w:val="auto"/>
                <w:sz w:val="24"/>
              </w:rPr>
              <w:t>职务/职称</w:t>
            </w:r>
          </w:p>
        </w:tc>
        <w:tc>
          <w:tcPr>
            <w:tcW w:w="1226" w:type="pct"/>
            <w:tcBorders>
              <w:top w:val="single" w:color="auto" w:sz="4" w:space="0"/>
              <w:left w:val="single" w:color="auto" w:sz="4" w:space="0"/>
              <w:bottom w:val="single" w:color="auto" w:sz="4" w:space="0"/>
              <w:right w:val="single" w:color="auto" w:sz="4" w:space="0"/>
            </w:tcBorders>
            <w:noWrap w:val="0"/>
            <w:vAlign w:val="center"/>
          </w:tcPr>
          <w:p w14:paraId="4F32E348">
            <w:pPr>
              <w:keepNext w:val="0"/>
              <w:keepLines w:val="0"/>
              <w:suppressLineNumbers w:val="0"/>
              <w:spacing w:before="0" w:beforeAutospacing="0" w:after="0" w:afterAutospacing="0"/>
              <w:ind w:left="0" w:right="0"/>
              <w:jc w:val="center"/>
              <w:rPr>
                <w:rFonts w:hint="eastAsia" w:ascii="仿宋" w:hAnsi="仿宋" w:eastAsia="仿宋" w:cs="仿宋"/>
                <w:b/>
                <w:color w:val="auto"/>
                <w:sz w:val="24"/>
                <w:lang w:eastAsia="zh-CN"/>
              </w:rPr>
            </w:pPr>
            <w:r>
              <w:rPr>
                <w:rFonts w:hint="eastAsia" w:ascii="仿宋" w:hAnsi="仿宋" w:eastAsia="仿宋" w:cs="仿宋"/>
                <w:b/>
                <w:color w:val="auto"/>
                <w:sz w:val="24"/>
                <w:lang w:eastAsia="zh-CN"/>
              </w:rPr>
              <w:t>从事专业</w:t>
            </w:r>
          </w:p>
        </w:tc>
        <w:tc>
          <w:tcPr>
            <w:tcW w:w="1379" w:type="pct"/>
            <w:tcBorders>
              <w:top w:val="single" w:color="auto" w:sz="4" w:space="0"/>
              <w:left w:val="single" w:color="auto" w:sz="4" w:space="0"/>
              <w:bottom w:val="single" w:color="auto" w:sz="4" w:space="0"/>
              <w:right w:val="single" w:color="auto" w:sz="4" w:space="0"/>
            </w:tcBorders>
            <w:noWrap w:val="0"/>
            <w:vAlign w:val="center"/>
          </w:tcPr>
          <w:p w14:paraId="3D286A9E">
            <w:pPr>
              <w:keepNext w:val="0"/>
              <w:keepLines w:val="0"/>
              <w:suppressLineNumbers w:val="0"/>
              <w:spacing w:before="0" w:beforeAutospacing="0" w:after="0" w:afterAutospacing="0"/>
              <w:ind w:left="0" w:right="0"/>
              <w:jc w:val="center"/>
              <w:rPr>
                <w:rFonts w:hint="eastAsia" w:ascii="仿宋" w:hAnsi="仿宋" w:eastAsia="仿宋" w:cs="仿宋"/>
                <w:b/>
                <w:color w:val="auto"/>
                <w:sz w:val="24"/>
                <w:lang w:eastAsia="zh-CN"/>
              </w:rPr>
            </w:pPr>
            <w:r>
              <w:rPr>
                <w:rFonts w:hint="eastAsia" w:ascii="仿宋" w:hAnsi="仿宋" w:eastAsia="仿宋" w:cs="仿宋"/>
                <w:b/>
                <w:color w:val="auto"/>
                <w:sz w:val="24"/>
              </w:rPr>
              <w:t>参与编制标准分工情况</w:t>
            </w:r>
          </w:p>
        </w:tc>
      </w:tr>
      <w:tr w14:paraId="08120DD7">
        <w:tblPrEx>
          <w:tblCellMar>
            <w:top w:w="0" w:type="dxa"/>
            <w:left w:w="108" w:type="dxa"/>
            <w:bottom w:w="0" w:type="dxa"/>
            <w:right w:w="108" w:type="dxa"/>
          </w:tblCellMar>
        </w:tblPrEx>
        <w:trPr>
          <w:cantSplit/>
          <w:trHeight w:val="881" w:hRule="atLeast"/>
        </w:trPr>
        <w:tc>
          <w:tcPr>
            <w:tcW w:w="322" w:type="pct"/>
            <w:tcBorders>
              <w:top w:val="single" w:color="auto" w:sz="4" w:space="0"/>
              <w:left w:val="single" w:color="auto" w:sz="4" w:space="0"/>
              <w:bottom w:val="single" w:color="auto" w:sz="4" w:space="0"/>
              <w:right w:val="single" w:color="auto" w:sz="4" w:space="0"/>
            </w:tcBorders>
            <w:noWrap w:val="0"/>
            <w:vAlign w:val="center"/>
          </w:tcPr>
          <w:p w14:paraId="5A4F0BD6">
            <w:pPr>
              <w:numPr>
                <w:ilvl w:val="0"/>
                <w:numId w:val="7"/>
              </w:numPr>
              <w:ind w:left="425" w:leftChars="0" w:hanging="425" w:firstLineChars="0"/>
              <w:rPr>
                <w:rFonts w:hint="eastAsia"/>
              </w:rPr>
            </w:pPr>
          </w:p>
        </w:tc>
        <w:tc>
          <w:tcPr>
            <w:tcW w:w="518" w:type="pct"/>
            <w:tcBorders>
              <w:top w:val="single" w:color="auto" w:sz="4" w:space="0"/>
              <w:left w:val="single" w:color="auto" w:sz="4" w:space="0"/>
              <w:bottom w:val="single" w:color="auto" w:sz="4" w:space="0"/>
              <w:right w:val="single" w:color="auto" w:sz="4" w:space="0"/>
            </w:tcBorders>
            <w:noWrap w:val="0"/>
            <w:vAlign w:val="center"/>
          </w:tcPr>
          <w:p w14:paraId="3B825840">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周哲屹</w:t>
            </w:r>
          </w:p>
        </w:tc>
        <w:tc>
          <w:tcPr>
            <w:tcW w:w="849" w:type="pct"/>
            <w:tcBorders>
              <w:top w:val="single" w:color="auto" w:sz="4" w:space="0"/>
              <w:left w:val="single" w:color="auto" w:sz="4" w:space="0"/>
              <w:bottom w:val="single" w:color="auto" w:sz="4" w:space="0"/>
              <w:right w:val="single" w:color="auto" w:sz="4" w:space="0"/>
            </w:tcBorders>
            <w:noWrap w:val="0"/>
            <w:vAlign w:val="center"/>
          </w:tcPr>
          <w:p w14:paraId="5181BDFA">
            <w:pPr>
              <w:keepNext w:val="0"/>
              <w:keepLines w:val="0"/>
              <w:suppressLineNumbers w:val="0"/>
              <w:spacing w:before="0" w:beforeAutospacing="0" w:after="0" w:afterAutospacing="0"/>
              <w:ind w:left="0" w:right="0"/>
              <w:jc w:val="center"/>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柳州市中医医院（柳州市壮医医院）</w:t>
            </w:r>
          </w:p>
        </w:tc>
        <w:tc>
          <w:tcPr>
            <w:tcW w:w="703" w:type="pct"/>
            <w:tcBorders>
              <w:top w:val="single" w:color="auto" w:sz="4" w:space="0"/>
              <w:left w:val="single" w:color="auto" w:sz="4" w:space="0"/>
              <w:bottom w:val="single" w:color="auto" w:sz="4" w:space="0"/>
              <w:right w:val="single" w:color="auto" w:sz="4" w:space="0"/>
            </w:tcBorders>
            <w:noWrap w:val="0"/>
            <w:vAlign w:val="center"/>
          </w:tcPr>
          <w:p w14:paraId="789540EE">
            <w:pPr>
              <w:keepNext w:val="0"/>
              <w:keepLines w:val="0"/>
              <w:suppressLineNumbers w:val="0"/>
              <w:spacing w:before="0" w:beforeAutospacing="0" w:after="0" w:afterAutospacing="0"/>
              <w:ind w:left="0" w:right="0"/>
              <w:jc w:val="center"/>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副院长/主任医师</w:t>
            </w:r>
          </w:p>
        </w:tc>
        <w:tc>
          <w:tcPr>
            <w:tcW w:w="1226" w:type="pct"/>
            <w:tcBorders>
              <w:top w:val="single" w:color="auto" w:sz="4" w:space="0"/>
              <w:left w:val="single" w:color="auto" w:sz="4" w:space="0"/>
              <w:bottom w:val="single" w:color="auto" w:sz="4" w:space="0"/>
              <w:right w:val="single" w:color="auto" w:sz="4" w:space="0"/>
            </w:tcBorders>
            <w:noWrap w:val="0"/>
            <w:vAlign w:val="center"/>
          </w:tcPr>
          <w:p w14:paraId="452DCC93">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中医内科</w:t>
            </w:r>
          </w:p>
        </w:tc>
        <w:tc>
          <w:tcPr>
            <w:tcW w:w="1379" w:type="pct"/>
            <w:tcBorders>
              <w:top w:val="single" w:color="auto" w:sz="4" w:space="0"/>
              <w:left w:val="single" w:color="auto" w:sz="4" w:space="0"/>
              <w:bottom w:val="single" w:color="auto" w:sz="4" w:space="0"/>
              <w:right w:val="single" w:color="auto" w:sz="4" w:space="0"/>
            </w:tcBorders>
            <w:noWrap w:val="0"/>
            <w:vAlign w:val="center"/>
          </w:tcPr>
          <w:p w14:paraId="3E2949A9">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统筹规范编制工作，组织人员进行规范发布后的宣贯培训</w:t>
            </w:r>
          </w:p>
        </w:tc>
      </w:tr>
      <w:tr w14:paraId="41437823">
        <w:tblPrEx>
          <w:tblCellMar>
            <w:top w:w="0" w:type="dxa"/>
            <w:left w:w="108" w:type="dxa"/>
            <w:bottom w:w="0" w:type="dxa"/>
            <w:right w:w="108" w:type="dxa"/>
          </w:tblCellMar>
        </w:tblPrEx>
        <w:trPr>
          <w:cantSplit/>
          <w:trHeight w:val="688" w:hRule="atLeast"/>
        </w:trPr>
        <w:tc>
          <w:tcPr>
            <w:tcW w:w="322" w:type="pct"/>
            <w:tcBorders>
              <w:top w:val="single" w:color="auto" w:sz="4" w:space="0"/>
              <w:left w:val="single" w:color="auto" w:sz="4" w:space="0"/>
              <w:bottom w:val="single" w:color="auto" w:sz="4" w:space="0"/>
              <w:right w:val="single" w:color="auto" w:sz="4" w:space="0"/>
            </w:tcBorders>
            <w:noWrap w:val="0"/>
            <w:vAlign w:val="center"/>
          </w:tcPr>
          <w:p w14:paraId="74D4906D">
            <w:pPr>
              <w:numPr>
                <w:ilvl w:val="0"/>
                <w:numId w:val="7"/>
              </w:numPr>
              <w:ind w:left="425" w:leftChars="0" w:hanging="425" w:firstLineChars="0"/>
              <w:rPr>
                <w:rFonts w:hint="default"/>
              </w:rPr>
            </w:pPr>
          </w:p>
        </w:tc>
        <w:tc>
          <w:tcPr>
            <w:tcW w:w="518" w:type="pct"/>
            <w:tcBorders>
              <w:top w:val="single" w:color="auto" w:sz="4" w:space="0"/>
              <w:left w:val="single" w:color="auto" w:sz="4" w:space="0"/>
              <w:bottom w:val="single" w:color="auto" w:sz="4" w:space="0"/>
              <w:right w:val="single" w:color="auto" w:sz="4" w:space="0"/>
            </w:tcBorders>
            <w:noWrap w:val="0"/>
            <w:vAlign w:val="center"/>
          </w:tcPr>
          <w:p w14:paraId="625E7C01">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刘国成</w:t>
            </w:r>
          </w:p>
        </w:tc>
        <w:tc>
          <w:tcPr>
            <w:tcW w:w="849" w:type="pct"/>
            <w:tcBorders>
              <w:top w:val="single" w:color="auto" w:sz="4" w:space="0"/>
              <w:left w:val="single" w:color="auto" w:sz="4" w:space="0"/>
              <w:bottom w:val="single" w:color="auto" w:sz="4" w:space="0"/>
              <w:right w:val="single" w:color="auto" w:sz="4" w:space="0"/>
            </w:tcBorders>
            <w:noWrap w:val="0"/>
            <w:vAlign w:val="center"/>
          </w:tcPr>
          <w:p w14:paraId="59C54C5F">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柳州市中医医院（柳州市壮医医院）</w:t>
            </w:r>
          </w:p>
        </w:tc>
        <w:tc>
          <w:tcPr>
            <w:tcW w:w="703" w:type="pct"/>
            <w:tcBorders>
              <w:top w:val="single" w:color="auto" w:sz="4" w:space="0"/>
              <w:left w:val="single" w:color="auto" w:sz="4" w:space="0"/>
              <w:bottom w:val="single" w:color="auto" w:sz="4" w:space="0"/>
              <w:right w:val="single" w:color="auto" w:sz="4" w:space="0"/>
            </w:tcBorders>
            <w:noWrap w:val="0"/>
            <w:vAlign w:val="center"/>
          </w:tcPr>
          <w:p w14:paraId="77EF7461">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科主任/主任医师</w:t>
            </w:r>
          </w:p>
        </w:tc>
        <w:tc>
          <w:tcPr>
            <w:tcW w:w="1226" w:type="pct"/>
            <w:tcBorders>
              <w:top w:val="single" w:color="auto" w:sz="4" w:space="0"/>
              <w:left w:val="single" w:color="auto" w:sz="4" w:space="0"/>
              <w:bottom w:val="single" w:color="auto" w:sz="4" w:space="0"/>
              <w:right w:val="single" w:color="auto" w:sz="4" w:space="0"/>
            </w:tcBorders>
            <w:noWrap w:val="0"/>
            <w:vAlign w:val="center"/>
          </w:tcPr>
          <w:p w14:paraId="112E2765">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康复医学</w:t>
            </w:r>
          </w:p>
        </w:tc>
        <w:tc>
          <w:tcPr>
            <w:tcW w:w="1379" w:type="pct"/>
            <w:tcBorders>
              <w:top w:val="single" w:color="auto" w:sz="4" w:space="0"/>
              <w:left w:val="single" w:color="auto" w:sz="4" w:space="0"/>
              <w:bottom w:val="single" w:color="auto" w:sz="4" w:space="0"/>
              <w:right w:val="single" w:color="auto" w:sz="4" w:space="0"/>
            </w:tcBorders>
            <w:noWrap w:val="0"/>
            <w:vAlign w:val="center"/>
          </w:tcPr>
          <w:p w14:paraId="70CA4EF5">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指导规范文本及编制说明编写，质量控制</w:t>
            </w:r>
          </w:p>
        </w:tc>
      </w:tr>
      <w:tr w14:paraId="49D78204">
        <w:tblPrEx>
          <w:tblCellMar>
            <w:top w:w="0" w:type="dxa"/>
            <w:left w:w="108" w:type="dxa"/>
            <w:bottom w:w="0" w:type="dxa"/>
            <w:right w:w="108" w:type="dxa"/>
          </w:tblCellMar>
        </w:tblPrEx>
        <w:trPr>
          <w:cantSplit/>
          <w:trHeight w:val="881" w:hRule="atLeast"/>
        </w:trPr>
        <w:tc>
          <w:tcPr>
            <w:tcW w:w="322" w:type="pct"/>
            <w:tcBorders>
              <w:top w:val="single" w:color="auto" w:sz="4" w:space="0"/>
              <w:left w:val="single" w:color="auto" w:sz="4" w:space="0"/>
              <w:bottom w:val="single" w:color="auto" w:sz="4" w:space="0"/>
              <w:right w:val="single" w:color="auto" w:sz="4" w:space="0"/>
            </w:tcBorders>
            <w:noWrap w:val="0"/>
            <w:vAlign w:val="center"/>
          </w:tcPr>
          <w:p w14:paraId="20895281">
            <w:pPr>
              <w:numPr>
                <w:ilvl w:val="0"/>
                <w:numId w:val="7"/>
              </w:numPr>
              <w:ind w:left="425" w:leftChars="0" w:hanging="425" w:firstLineChars="0"/>
              <w:rPr>
                <w:rFonts w:hint="default"/>
              </w:rPr>
            </w:pPr>
          </w:p>
        </w:tc>
        <w:tc>
          <w:tcPr>
            <w:tcW w:w="518" w:type="pct"/>
            <w:tcBorders>
              <w:top w:val="single" w:color="auto" w:sz="4" w:space="0"/>
              <w:left w:val="single" w:color="auto" w:sz="4" w:space="0"/>
              <w:bottom w:val="single" w:color="auto" w:sz="4" w:space="0"/>
              <w:right w:val="single" w:color="auto" w:sz="4" w:space="0"/>
            </w:tcBorders>
            <w:noWrap w:val="0"/>
            <w:vAlign w:val="center"/>
          </w:tcPr>
          <w:p w14:paraId="4B2580CD">
            <w:pPr>
              <w:keepNext w:val="0"/>
              <w:keepLines w:val="0"/>
              <w:suppressLineNumbers w:val="0"/>
              <w:spacing w:before="0" w:beforeAutospacing="0" w:after="0" w:afterAutospacing="0"/>
              <w:ind w:left="0" w:right="0"/>
              <w:jc w:val="center"/>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徐宏</w:t>
            </w:r>
          </w:p>
        </w:tc>
        <w:tc>
          <w:tcPr>
            <w:tcW w:w="849" w:type="pct"/>
            <w:tcBorders>
              <w:top w:val="single" w:color="auto" w:sz="4" w:space="0"/>
              <w:left w:val="single" w:color="auto" w:sz="4" w:space="0"/>
              <w:bottom w:val="single" w:color="auto" w:sz="4" w:space="0"/>
              <w:right w:val="single" w:color="auto" w:sz="4" w:space="0"/>
            </w:tcBorders>
            <w:noWrap w:val="0"/>
            <w:vAlign w:val="center"/>
          </w:tcPr>
          <w:p w14:paraId="58E86F80">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柳州市中医医院（柳州市壮医医院）</w:t>
            </w:r>
          </w:p>
        </w:tc>
        <w:tc>
          <w:tcPr>
            <w:tcW w:w="703" w:type="pct"/>
            <w:tcBorders>
              <w:top w:val="single" w:color="auto" w:sz="4" w:space="0"/>
              <w:left w:val="single" w:color="auto" w:sz="4" w:space="0"/>
              <w:bottom w:val="single" w:color="auto" w:sz="4" w:space="0"/>
              <w:right w:val="single" w:color="auto" w:sz="4" w:space="0"/>
            </w:tcBorders>
            <w:noWrap w:val="0"/>
            <w:vAlign w:val="center"/>
          </w:tcPr>
          <w:p w14:paraId="3A61FD4D">
            <w:pPr>
              <w:keepNext w:val="0"/>
              <w:keepLines w:val="0"/>
              <w:suppressLineNumbers w:val="0"/>
              <w:spacing w:before="0" w:beforeAutospacing="0" w:after="0" w:afterAutospacing="0"/>
              <w:ind w:left="0" w:right="0"/>
              <w:jc w:val="center"/>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科主任/主任医师</w:t>
            </w:r>
          </w:p>
        </w:tc>
        <w:tc>
          <w:tcPr>
            <w:tcW w:w="1226" w:type="pct"/>
            <w:tcBorders>
              <w:top w:val="single" w:color="auto" w:sz="4" w:space="0"/>
              <w:left w:val="single" w:color="auto" w:sz="4" w:space="0"/>
              <w:bottom w:val="single" w:color="auto" w:sz="4" w:space="0"/>
              <w:right w:val="single" w:color="auto" w:sz="4" w:space="0"/>
            </w:tcBorders>
            <w:noWrap w:val="0"/>
            <w:vAlign w:val="center"/>
          </w:tcPr>
          <w:p w14:paraId="5C932FCB">
            <w:pPr>
              <w:keepNext w:val="0"/>
              <w:keepLines w:val="0"/>
              <w:suppressLineNumbers w:val="0"/>
              <w:spacing w:before="0" w:beforeAutospacing="0" w:after="0" w:afterAutospacing="0"/>
              <w:ind w:left="0" w:right="0"/>
              <w:jc w:val="center"/>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中医内科</w:t>
            </w:r>
          </w:p>
        </w:tc>
        <w:tc>
          <w:tcPr>
            <w:tcW w:w="1379" w:type="pct"/>
            <w:tcBorders>
              <w:top w:val="single" w:color="auto" w:sz="4" w:space="0"/>
              <w:left w:val="single" w:color="auto" w:sz="4" w:space="0"/>
              <w:bottom w:val="single" w:color="auto" w:sz="4" w:space="0"/>
              <w:right w:val="single" w:color="auto" w:sz="4" w:space="0"/>
            </w:tcBorders>
            <w:noWrap w:val="0"/>
            <w:vAlign w:val="center"/>
          </w:tcPr>
          <w:p w14:paraId="5026B266">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对规范实施情况进行总结分析，不断对规范提出修正意见</w:t>
            </w:r>
          </w:p>
        </w:tc>
      </w:tr>
      <w:tr w14:paraId="7CFCD903">
        <w:tblPrEx>
          <w:tblCellMar>
            <w:top w:w="0" w:type="dxa"/>
            <w:left w:w="108" w:type="dxa"/>
            <w:bottom w:w="0" w:type="dxa"/>
            <w:right w:w="108" w:type="dxa"/>
          </w:tblCellMar>
        </w:tblPrEx>
        <w:trPr>
          <w:cantSplit/>
          <w:trHeight w:val="881" w:hRule="atLeast"/>
        </w:trPr>
        <w:tc>
          <w:tcPr>
            <w:tcW w:w="322" w:type="pct"/>
            <w:tcBorders>
              <w:top w:val="single" w:color="auto" w:sz="4" w:space="0"/>
              <w:left w:val="single" w:color="auto" w:sz="4" w:space="0"/>
              <w:bottom w:val="single" w:color="auto" w:sz="4" w:space="0"/>
              <w:right w:val="single" w:color="auto" w:sz="4" w:space="0"/>
            </w:tcBorders>
            <w:noWrap w:val="0"/>
            <w:vAlign w:val="center"/>
          </w:tcPr>
          <w:p w14:paraId="222A0DF4">
            <w:pPr>
              <w:numPr>
                <w:ilvl w:val="0"/>
                <w:numId w:val="7"/>
              </w:numPr>
              <w:ind w:left="425" w:leftChars="0" w:hanging="425" w:firstLineChars="0"/>
              <w:rPr>
                <w:rFonts w:hint="default"/>
              </w:rPr>
            </w:pPr>
          </w:p>
        </w:tc>
        <w:tc>
          <w:tcPr>
            <w:tcW w:w="518" w:type="pct"/>
            <w:tcBorders>
              <w:top w:val="single" w:color="auto" w:sz="4" w:space="0"/>
              <w:left w:val="single" w:color="auto" w:sz="4" w:space="0"/>
              <w:bottom w:val="single" w:color="auto" w:sz="4" w:space="0"/>
              <w:right w:val="single" w:color="auto" w:sz="4" w:space="0"/>
            </w:tcBorders>
            <w:noWrap w:val="0"/>
            <w:vAlign w:val="center"/>
          </w:tcPr>
          <w:p w14:paraId="0A3A3C5D">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顿玲露</w:t>
            </w:r>
          </w:p>
        </w:tc>
        <w:tc>
          <w:tcPr>
            <w:tcW w:w="849" w:type="pct"/>
            <w:tcBorders>
              <w:top w:val="single" w:color="auto" w:sz="4" w:space="0"/>
              <w:left w:val="single" w:color="auto" w:sz="4" w:space="0"/>
              <w:bottom w:val="single" w:color="auto" w:sz="4" w:space="0"/>
              <w:right w:val="single" w:color="auto" w:sz="4" w:space="0"/>
            </w:tcBorders>
            <w:noWrap w:val="0"/>
            <w:vAlign w:val="center"/>
          </w:tcPr>
          <w:p w14:paraId="5367B3C4">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柳州市中医医院（柳州市壮医医院）</w:t>
            </w:r>
          </w:p>
        </w:tc>
        <w:tc>
          <w:tcPr>
            <w:tcW w:w="703" w:type="pct"/>
            <w:tcBorders>
              <w:top w:val="single" w:color="auto" w:sz="4" w:space="0"/>
              <w:left w:val="single" w:color="auto" w:sz="4" w:space="0"/>
              <w:bottom w:val="single" w:color="auto" w:sz="4" w:space="0"/>
              <w:right w:val="single" w:color="auto" w:sz="4" w:space="0"/>
            </w:tcBorders>
            <w:shd w:val="clear" w:color="auto" w:fill="auto"/>
            <w:noWrap w:val="0"/>
            <w:vAlign w:val="center"/>
          </w:tcPr>
          <w:p w14:paraId="6E0F7824">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无/助理研究员</w:t>
            </w:r>
          </w:p>
        </w:tc>
        <w:tc>
          <w:tcPr>
            <w:tcW w:w="1226" w:type="pct"/>
            <w:tcBorders>
              <w:top w:val="single" w:color="auto" w:sz="4" w:space="0"/>
              <w:left w:val="single" w:color="auto" w:sz="4" w:space="0"/>
              <w:bottom w:val="single" w:color="auto" w:sz="4" w:space="0"/>
              <w:right w:val="single" w:color="auto" w:sz="4" w:space="0"/>
            </w:tcBorders>
            <w:shd w:val="clear" w:color="auto" w:fill="auto"/>
            <w:noWrap w:val="0"/>
            <w:vAlign w:val="center"/>
          </w:tcPr>
          <w:p w14:paraId="5AE4C369">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药理学</w:t>
            </w:r>
          </w:p>
        </w:tc>
        <w:tc>
          <w:tcPr>
            <w:tcW w:w="1379" w:type="pct"/>
            <w:tcBorders>
              <w:top w:val="single" w:color="auto" w:sz="4" w:space="0"/>
              <w:left w:val="single" w:color="auto" w:sz="4" w:space="0"/>
              <w:bottom w:val="single" w:color="auto" w:sz="4" w:space="0"/>
              <w:right w:val="single" w:color="auto" w:sz="4" w:space="0"/>
            </w:tcBorders>
            <w:noWrap w:val="0"/>
            <w:vAlign w:val="center"/>
          </w:tcPr>
          <w:p w14:paraId="5B8A1755">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负责起草规范草案，征求意见稿和规范编制说明，送审稿及编制说明的编写工作</w:t>
            </w:r>
          </w:p>
        </w:tc>
      </w:tr>
      <w:tr w14:paraId="1F064649">
        <w:tblPrEx>
          <w:tblCellMar>
            <w:top w:w="0" w:type="dxa"/>
            <w:left w:w="108" w:type="dxa"/>
            <w:bottom w:w="0" w:type="dxa"/>
            <w:right w:w="108" w:type="dxa"/>
          </w:tblCellMar>
        </w:tblPrEx>
        <w:trPr>
          <w:cantSplit/>
          <w:trHeight w:val="881" w:hRule="atLeast"/>
        </w:trPr>
        <w:tc>
          <w:tcPr>
            <w:tcW w:w="322" w:type="pct"/>
            <w:tcBorders>
              <w:top w:val="single" w:color="auto" w:sz="4" w:space="0"/>
              <w:left w:val="single" w:color="auto" w:sz="4" w:space="0"/>
              <w:bottom w:val="single" w:color="auto" w:sz="4" w:space="0"/>
              <w:right w:val="single" w:color="auto" w:sz="4" w:space="0"/>
            </w:tcBorders>
            <w:noWrap w:val="0"/>
            <w:vAlign w:val="center"/>
          </w:tcPr>
          <w:p w14:paraId="06815D0D">
            <w:pPr>
              <w:numPr>
                <w:ilvl w:val="0"/>
                <w:numId w:val="7"/>
              </w:numPr>
              <w:ind w:left="425" w:leftChars="0" w:hanging="425" w:firstLineChars="0"/>
              <w:rPr>
                <w:rFonts w:hint="default"/>
              </w:rPr>
            </w:pPr>
          </w:p>
        </w:tc>
        <w:tc>
          <w:tcPr>
            <w:tcW w:w="518" w:type="pct"/>
            <w:tcBorders>
              <w:top w:val="single" w:color="auto" w:sz="4" w:space="0"/>
              <w:left w:val="single" w:color="auto" w:sz="4" w:space="0"/>
              <w:bottom w:val="single" w:color="auto" w:sz="4" w:space="0"/>
              <w:right w:val="single" w:color="auto" w:sz="4" w:space="0"/>
            </w:tcBorders>
            <w:noWrap w:val="0"/>
            <w:vAlign w:val="center"/>
          </w:tcPr>
          <w:p w14:paraId="68DAC802">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韦冰心</w:t>
            </w:r>
          </w:p>
        </w:tc>
        <w:tc>
          <w:tcPr>
            <w:tcW w:w="849" w:type="pct"/>
            <w:tcBorders>
              <w:top w:val="single" w:color="auto" w:sz="4" w:space="0"/>
              <w:left w:val="single" w:color="auto" w:sz="4" w:space="0"/>
              <w:bottom w:val="single" w:color="auto" w:sz="4" w:space="0"/>
              <w:right w:val="single" w:color="auto" w:sz="4" w:space="0"/>
            </w:tcBorders>
            <w:noWrap w:val="0"/>
            <w:vAlign w:val="center"/>
          </w:tcPr>
          <w:p w14:paraId="4DB61776">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柳州市中医医院（柳州市壮医医院）</w:t>
            </w:r>
          </w:p>
        </w:tc>
        <w:tc>
          <w:tcPr>
            <w:tcW w:w="703" w:type="pct"/>
            <w:tcBorders>
              <w:top w:val="single" w:color="auto" w:sz="4" w:space="0"/>
              <w:left w:val="single" w:color="auto" w:sz="4" w:space="0"/>
              <w:bottom w:val="single" w:color="auto" w:sz="4" w:space="0"/>
              <w:right w:val="single" w:color="auto" w:sz="4" w:space="0"/>
            </w:tcBorders>
            <w:noWrap w:val="0"/>
            <w:vAlign w:val="center"/>
          </w:tcPr>
          <w:p w14:paraId="1294C518">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无/主任医师</w:t>
            </w:r>
          </w:p>
        </w:tc>
        <w:tc>
          <w:tcPr>
            <w:tcW w:w="1226" w:type="pct"/>
            <w:tcBorders>
              <w:top w:val="single" w:color="auto" w:sz="4" w:space="0"/>
              <w:left w:val="single" w:color="auto" w:sz="4" w:space="0"/>
              <w:bottom w:val="single" w:color="auto" w:sz="4" w:space="0"/>
              <w:right w:val="single" w:color="auto" w:sz="4" w:space="0"/>
            </w:tcBorders>
            <w:noWrap w:val="0"/>
            <w:vAlign w:val="center"/>
          </w:tcPr>
          <w:p w14:paraId="201C59CB">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针灸推拿</w:t>
            </w:r>
          </w:p>
        </w:tc>
        <w:tc>
          <w:tcPr>
            <w:tcW w:w="1379" w:type="pct"/>
            <w:tcBorders>
              <w:top w:val="single" w:color="auto" w:sz="4" w:space="0"/>
              <w:left w:val="single" w:color="auto" w:sz="4" w:space="0"/>
              <w:bottom w:val="single" w:color="auto" w:sz="4" w:space="0"/>
              <w:right w:val="single" w:color="auto" w:sz="4" w:space="0"/>
            </w:tcBorders>
            <w:noWrap w:val="0"/>
            <w:vAlign w:val="center"/>
          </w:tcPr>
          <w:p w14:paraId="540B8BF1">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负责起草规范草案，征求意见稿和规范编制说明，送审稿及编制说明的编写工作</w:t>
            </w:r>
          </w:p>
        </w:tc>
      </w:tr>
      <w:tr w14:paraId="794A588C">
        <w:tblPrEx>
          <w:tblCellMar>
            <w:top w:w="0" w:type="dxa"/>
            <w:left w:w="108" w:type="dxa"/>
            <w:bottom w:w="0" w:type="dxa"/>
            <w:right w:w="108" w:type="dxa"/>
          </w:tblCellMar>
        </w:tblPrEx>
        <w:trPr>
          <w:cantSplit/>
          <w:trHeight w:val="881" w:hRule="atLeast"/>
        </w:trPr>
        <w:tc>
          <w:tcPr>
            <w:tcW w:w="322" w:type="pct"/>
            <w:tcBorders>
              <w:top w:val="single" w:color="auto" w:sz="4" w:space="0"/>
              <w:left w:val="single" w:color="auto" w:sz="4" w:space="0"/>
              <w:bottom w:val="single" w:color="auto" w:sz="4" w:space="0"/>
              <w:right w:val="single" w:color="auto" w:sz="4" w:space="0"/>
            </w:tcBorders>
            <w:noWrap w:val="0"/>
            <w:vAlign w:val="center"/>
          </w:tcPr>
          <w:p w14:paraId="2C6CC781">
            <w:pPr>
              <w:numPr>
                <w:ilvl w:val="0"/>
                <w:numId w:val="7"/>
              </w:numPr>
              <w:ind w:left="425" w:leftChars="0" w:hanging="425" w:firstLineChars="0"/>
              <w:rPr>
                <w:rFonts w:hint="default"/>
              </w:rPr>
            </w:pPr>
          </w:p>
        </w:tc>
        <w:tc>
          <w:tcPr>
            <w:tcW w:w="518" w:type="pct"/>
            <w:tcBorders>
              <w:top w:val="single" w:color="auto" w:sz="4" w:space="0"/>
              <w:left w:val="single" w:color="auto" w:sz="4" w:space="0"/>
              <w:bottom w:val="single" w:color="auto" w:sz="4" w:space="0"/>
              <w:right w:val="single" w:color="auto" w:sz="4" w:space="0"/>
            </w:tcBorders>
            <w:noWrap w:val="0"/>
            <w:vAlign w:val="center"/>
          </w:tcPr>
          <w:p w14:paraId="7819C612">
            <w:pPr>
              <w:keepNext w:val="0"/>
              <w:keepLines w:val="0"/>
              <w:suppressLineNumbers w:val="0"/>
              <w:spacing w:before="0" w:beforeAutospacing="0" w:after="0" w:afterAutospacing="0"/>
              <w:ind w:left="0" w:right="0"/>
              <w:jc w:val="center"/>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廖钟玲</w:t>
            </w:r>
          </w:p>
        </w:tc>
        <w:tc>
          <w:tcPr>
            <w:tcW w:w="849" w:type="pct"/>
            <w:tcBorders>
              <w:top w:val="single" w:color="auto" w:sz="4" w:space="0"/>
              <w:left w:val="single" w:color="auto" w:sz="4" w:space="0"/>
              <w:bottom w:val="single" w:color="auto" w:sz="4" w:space="0"/>
              <w:right w:val="single" w:color="auto" w:sz="4" w:space="0"/>
            </w:tcBorders>
            <w:noWrap w:val="0"/>
            <w:vAlign w:val="center"/>
          </w:tcPr>
          <w:p w14:paraId="7BECD77F">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柳州市中医医院（柳州市壮医医院）</w:t>
            </w:r>
          </w:p>
        </w:tc>
        <w:tc>
          <w:tcPr>
            <w:tcW w:w="703" w:type="pct"/>
            <w:tcBorders>
              <w:top w:val="single" w:color="auto" w:sz="4" w:space="0"/>
              <w:left w:val="single" w:color="auto" w:sz="4" w:space="0"/>
              <w:bottom w:val="single" w:color="auto" w:sz="4" w:space="0"/>
              <w:right w:val="single" w:color="auto" w:sz="4" w:space="0"/>
            </w:tcBorders>
            <w:noWrap w:val="0"/>
            <w:vAlign w:val="center"/>
          </w:tcPr>
          <w:p w14:paraId="7D1A6656">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无/住院医师</w:t>
            </w:r>
          </w:p>
        </w:tc>
        <w:tc>
          <w:tcPr>
            <w:tcW w:w="1226" w:type="pct"/>
            <w:tcBorders>
              <w:top w:val="single" w:color="auto" w:sz="4" w:space="0"/>
              <w:left w:val="single" w:color="auto" w:sz="4" w:space="0"/>
              <w:bottom w:val="single" w:color="auto" w:sz="4" w:space="0"/>
              <w:right w:val="single" w:color="auto" w:sz="4" w:space="0"/>
            </w:tcBorders>
            <w:noWrap w:val="0"/>
            <w:vAlign w:val="center"/>
          </w:tcPr>
          <w:p w14:paraId="352AD46C">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中医内科</w:t>
            </w:r>
          </w:p>
        </w:tc>
        <w:tc>
          <w:tcPr>
            <w:tcW w:w="1379" w:type="pct"/>
            <w:tcBorders>
              <w:top w:val="single" w:color="auto" w:sz="4" w:space="0"/>
              <w:left w:val="single" w:color="auto" w:sz="4" w:space="0"/>
              <w:bottom w:val="single" w:color="auto" w:sz="4" w:space="0"/>
              <w:right w:val="single" w:color="auto" w:sz="4" w:space="0"/>
            </w:tcBorders>
            <w:shd w:val="clear" w:color="auto" w:fill="auto"/>
            <w:noWrap w:val="0"/>
            <w:vAlign w:val="center"/>
          </w:tcPr>
          <w:p w14:paraId="230A4C94">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协助起草规范草案，征求意见稿和规范编制说明，送审稿及编制说明的编写工作</w:t>
            </w:r>
          </w:p>
        </w:tc>
      </w:tr>
      <w:tr w14:paraId="06BC7BC3">
        <w:tblPrEx>
          <w:tblCellMar>
            <w:top w:w="0" w:type="dxa"/>
            <w:left w:w="108" w:type="dxa"/>
            <w:bottom w:w="0" w:type="dxa"/>
            <w:right w:w="108" w:type="dxa"/>
          </w:tblCellMar>
        </w:tblPrEx>
        <w:trPr>
          <w:cantSplit/>
          <w:trHeight w:val="881" w:hRule="atLeast"/>
        </w:trPr>
        <w:tc>
          <w:tcPr>
            <w:tcW w:w="322" w:type="pct"/>
            <w:tcBorders>
              <w:top w:val="single" w:color="auto" w:sz="4" w:space="0"/>
              <w:left w:val="single" w:color="auto" w:sz="4" w:space="0"/>
              <w:bottom w:val="single" w:color="auto" w:sz="4" w:space="0"/>
              <w:right w:val="single" w:color="auto" w:sz="4" w:space="0"/>
            </w:tcBorders>
            <w:noWrap w:val="0"/>
            <w:vAlign w:val="center"/>
          </w:tcPr>
          <w:p w14:paraId="698F625F">
            <w:pPr>
              <w:numPr>
                <w:ilvl w:val="0"/>
                <w:numId w:val="7"/>
              </w:numPr>
              <w:ind w:left="425" w:leftChars="0" w:hanging="425" w:firstLineChars="0"/>
              <w:rPr>
                <w:rFonts w:hint="default"/>
              </w:rPr>
            </w:pPr>
          </w:p>
        </w:tc>
        <w:tc>
          <w:tcPr>
            <w:tcW w:w="518" w:type="pct"/>
            <w:tcBorders>
              <w:top w:val="single" w:color="auto" w:sz="4" w:space="0"/>
              <w:left w:val="single" w:color="auto" w:sz="4" w:space="0"/>
              <w:bottom w:val="single" w:color="auto" w:sz="4" w:space="0"/>
              <w:right w:val="single" w:color="auto" w:sz="4" w:space="0"/>
            </w:tcBorders>
            <w:noWrap w:val="0"/>
            <w:vAlign w:val="center"/>
          </w:tcPr>
          <w:p w14:paraId="2CE52F40">
            <w:pPr>
              <w:keepNext w:val="0"/>
              <w:keepLines w:val="0"/>
              <w:suppressLineNumbers w:val="0"/>
              <w:spacing w:before="0" w:beforeAutospacing="0" w:after="0" w:afterAutospacing="0"/>
              <w:ind w:left="0" w:right="0"/>
              <w:jc w:val="center"/>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曾鉴源</w:t>
            </w:r>
          </w:p>
        </w:tc>
        <w:tc>
          <w:tcPr>
            <w:tcW w:w="849" w:type="pct"/>
            <w:tcBorders>
              <w:top w:val="single" w:color="auto" w:sz="4" w:space="0"/>
              <w:left w:val="single" w:color="auto" w:sz="4" w:space="0"/>
              <w:bottom w:val="single" w:color="auto" w:sz="4" w:space="0"/>
              <w:right w:val="single" w:color="auto" w:sz="4" w:space="0"/>
            </w:tcBorders>
            <w:noWrap w:val="0"/>
            <w:vAlign w:val="center"/>
          </w:tcPr>
          <w:p w14:paraId="4517CF85">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柳州市中医医院（柳州市壮医医院）</w:t>
            </w:r>
          </w:p>
        </w:tc>
        <w:tc>
          <w:tcPr>
            <w:tcW w:w="703" w:type="pct"/>
            <w:tcBorders>
              <w:top w:val="single" w:color="auto" w:sz="4" w:space="0"/>
              <w:left w:val="single" w:color="auto" w:sz="4" w:space="0"/>
              <w:bottom w:val="single" w:color="auto" w:sz="4" w:space="0"/>
              <w:right w:val="single" w:color="auto" w:sz="4" w:space="0"/>
            </w:tcBorders>
            <w:noWrap w:val="0"/>
            <w:vAlign w:val="center"/>
          </w:tcPr>
          <w:p w14:paraId="6BC861F4">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无/副主任医师</w:t>
            </w:r>
          </w:p>
        </w:tc>
        <w:tc>
          <w:tcPr>
            <w:tcW w:w="1226" w:type="pct"/>
            <w:tcBorders>
              <w:top w:val="single" w:color="auto" w:sz="4" w:space="0"/>
              <w:left w:val="single" w:color="auto" w:sz="4" w:space="0"/>
              <w:bottom w:val="single" w:color="auto" w:sz="4" w:space="0"/>
              <w:right w:val="single" w:color="auto" w:sz="4" w:space="0"/>
            </w:tcBorders>
            <w:noWrap w:val="0"/>
            <w:vAlign w:val="center"/>
          </w:tcPr>
          <w:p w14:paraId="0FC469EF">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针灸推拿</w:t>
            </w:r>
          </w:p>
        </w:tc>
        <w:tc>
          <w:tcPr>
            <w:tcW w:w="1379" w:type="pct"/>
            <w:tcBorders>
              <w:top w:val="single" w:color="auto" w:sz="4" w:space="0"/>
              <w:left w:val="single" w:color="auto" w:sz="4" w:space="0"/>
              <w:bottom w:val="single" w:color="auto" w:sz="4" w:space="0"/>
              <w:right w:val="single" w:color="auto" w:sz="4" w:space="0"/>
            </w:tcBorders>
            <w:shd w:val="clear" w:color="auto" w:fill="auto"/>
            <w:noWrap w:val="0"/>
            <w:vAlign w:val="center"/>
          </w:tcPr>
          <w:p w14:paraId="525B4231">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协助起草规范草案，征求意见稿和规范编制说明，送审稿及编制说明的编写工作</w:t>
            </w:r>
          </w:p>
        </w:tc>
      </w:tr>
      <w:tr w14:paraId="0334E792">
        <w:tblPrEx>
          <w:tblCellMar>
            <w:top w:w="0" w:type="dxa"/>
            <w:left w:w="108" w:type="dxa"/>
            <w:bottom w:w="0" w:type="dxa"/>
            <w:right w:w="108" w:type="dxa"/>
          </w:tblCellMar>
        </w:tblPrEx>
        <w:trPr>
          <w:cantSplit/>
          <w:trHeight w:val="881" w:hRule="atLeast"/>
        </w:trPr>
        <w:tc>
          <w:tcPr>
            <w:tcW w:w="322" w:type="pct"/>
            <w:tcBorders>
              <w:top w:val="single" w:color="auto" w:sz="4" w:space="0"/>
              <w:left w:val="single" w:color="auto" w:sz="4" w:space="0"/>
              <w:bottom w:val="single" w:color="auto" w:sz="4" w:space="0"/>
              <w:right w:val="single" w:color="auto" w:sz="4" w:space="0"/>
            </w:tcBorders>
            <w:noWrap w:val="0"/>
            <w:vAlign w:val="center"/>
          </w:tcPr>
          <w:p w14:paraId="354B755E">
            <w:pPr>
              <w:numPr>
                <w:ilvl w:val="0"/>
                <w:numId w:val="7"/>
              </w:numPr>
              <w:ind w:left="425" w:leftChars="0" w:hanging="425" w:firstLineChars="0"/>
              <w:rPr>
                <w:rFonts w:hint="default"/>
              </w:rPr>
            </w:pPr>
          </w:p>
        </w:tc>
        <w:tc>
          <w:tcPr>
            <w:tcW w:w="518" w:type="pct"/>
            <w:tcBorders>
              <w:top w:val="single" w:color="auto" w:sz="4" w:space="0"/>
              <w:left w:val="single" w:color="auto" w:sz="4" w:space="0"/>
              <w:bottom w:val="single" w:color="auto" w:sz="4" w:space="0"/>
              <w:right w:val="single" w:color="auto" w:sz="4" w:space="0"/>
            </w:tcBorders>
            <w:shd w:val="clear" w:color="auto" w:fill="auto"/>
            <w:noWrap w:val="0"/>
            <w:vAlign w:val="center"/>
          </w:tcPr>
          <w:p w14:paraId="13FAF021">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陈炜</w:t>
            </w:r>
          </w:p>
        </w:tc>
        <w:tc>
          <w:tcPr>
            <w:tcW w:w="849" w:type="pct"/>
            <w:tcBorders>
              <w:top w:val="single" w:color="auto" w:sz="4" w:space="0"/>
              <w:left w:val="single" w:color="auto" w:sz="4" w:space="0"/>
              <w:bottom w:val="single" w:color="auto" w:sz="4" w:space="0"/>
              <w:right w:val="single" w:color="auto" w:sz="4" w:space="0"/>
            </w:tcBorders>
            <w:shd w:val="clear" w:color="auto" w:fill="auto"/>
            <w:noWrap w:val="0"/>
            <w:vAlign w:val="center"/>
          </w:tcPr>
          <w:p w14:paraId="4E520637">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广西中医药大学第一附属医院</w:t>
            </w:r>
          </w:p>
        </w:tc>
        <w:tc>
          <w:tcPr>
            <w:tcW w:w="703" w:type="pct"/>
            <w:tcBorders>
              <w:top w:val="single" w:color="auto" w:sz="4" w:space="0"/>
              <w:left w:val="single" w:color="auto" w:sz="4" w:space="0"/>
              <w:bottom w:val="single" w:color="auto" w:sz="4" w:space="0"/>
              <w:right w:val="single" w:color="auto" w:sz="4" w:space="0"/>
            </w:tcBorders>
            <w:shd w:val="clear" w:color="auto" w:fill="auto"/>
            <w:noWrap w:val="0"/>
            <w:vAlign w:val="center"/>
          </w:tcPr>
          <w:p w14:paraId="0B331D0A">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科主任/主任医师</w:t>
            </w:r>
          </w:p>
        </w:tc>
        <w:tc>
          <w:tcPr>
            <w:tcW w:w="1226" w:type="pct"/>
            <w:tcBorders>
              <w:top w:val="single" w:color="auto" w:sz="4" w:space="0"/>
              <w:left w:val="single" w:color="auto" w:sz="4" w:space="0"/>
              <w:bottom w:val="single" w:color="auto" w:sz="4" w:space="0"/>
              <w:right w:val="single" w:color="auto" w:sz="4" w:space="0"/>
            </w:tcBorders>
            <w:shd w:val="clear" w:color="auto" w:fill="auto"/>
            <w:noWrap w:val="0"/>
            <w:vAlign w:val="center"/>
          </w:tcPr>
          <w:p w14:paraId="6DDF6B98">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中医内科</w:t>
            </w:r>
          </w:p>
        </w:tc>
        <w:tc>
          <w:tcPr>
            <w:tcW w:w="1379" w:type="pct"/>
            <w:tcBorders>
              <w:top w:val="single" w:color="auto" w:sz="4" w:space="0"/>
              <w:left w:val="single" w:color="auto" w:sz="4" w:space="0"/>
              <w:bottom w:val="single" w:color="auto" w:sz="4" w:space="0"/>
              <w:right w:val="single" w:color="auto" w:sz="4" w:space="0"/>
            </w:tcBorders>
            <w:shd w:val="clear" w:color="auto" w:fill="auto"/>
            <w:noWrap w:val="0"/>
            <w:vAlign w:val="center"/>
          </w:tcPr>
          <w:p w14:paraId="364E3CBE">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对规范实施情况进行总结分析，不断对规范提出修正意见</w:t>
            </w:r>
          </w:p>
        </w:tc>
      </w:tr>
      <w:tr w14:paraId="719F81F1">
        <w:tblPrEx>
          <w:tblCellMar>
            <w:top w:w="0" w:type="dxa"/>
            <w:left w:w="108" w:type="dxa"/>
            <w:bottom w:w="0" w:type="dxa"/>
            <w:right w:w="108" w:type="dxa"/>
          </w:tblCellMar>
        </w:tblPrEx>
        <w:trPr>
          <w:cantSplit/>
          <w:trHeight w:val="881" w:hRule="atLeast"/>
        </w:trPr>
        <w:tc>
          <w:tcPr>
            <w:tcW w:w="322" w:type="pct"/>
            <w:tcBorders>
              <w:top w:val="single" w:color="auto" w:sz="4" w:space="0"/>
              <w:left w:val="single" w:color="auto" w:sz="4" w:space="0"/>
              <w:bottom w:val="single" w:color="auto" w:sz="4" w:space="0"/>
              <w:right w:val="single" w:color="auto" w:sz="4" w:space="0"/>
            </w:tcBorders>
            <w:noWrap w:val="0"/>
            <w:vAlign w:val="center"/>
          </w:tcPr>
          <w:p w14:paraId="24A2B16D">
            <w:pPr>
              <w:numPr>
                <w:ilvl w:val="0"/>
                <w:numId w:val="7"/>
              </w:numPr>
              <w:ind w:left="425" w:leftChars="0" w:hanging="425" w:firstLineChars="0"/>
              <w:rPr>
                <w:rFonts w:hint="default"/>
              </w:rPr>
            </w:pPr>
          </w:p>
        </w:tc>
        <w:tc>
          <w:tcPr>
            <w:tcW w:w="518" w:type="pct"/>
            <w:tcBorders>
              <w:top w:val="single" w:color="auto" w:sz="4" w:space="0"/>
              <w:left w:val="single" w:color="auto" w:sz="4" w:space="0"/>
              <w:bottom w:val="single" w:color="auto" w:sz="4" w:space="0"/>
              <w:right w:val="single" w:color="auto" w:sz="4" w:space="0"/>
            </w:tcBorders>
            <w:shd w:val="clear" w:color="auto" w:fill="auto"/>
            <w:noWrap w:val="0"/>
            <w:vAlign w:val="center"/>
          </w:tcPr>
          <w:p w14:paraId="1E2F79B1">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王凯华</w:t>
            </w:r>
          </w:p>
        </w:tc>
        <w:tc>
          <w:tcPr>
            <w:tcW w:w="849" w:type="pct"/>
            <w:tcBorders>
              <w:top w:val="single" w:color="auto" w:sz="4" w:space="0"/>
              <w:left w:val="single" w:color="auto" w:sz="4" w:space="0"/>
              <w:bottom w:val="single" w:color="auto" w:sz="4" w:space="0"/>
              <w:right w:val="single" w:color="auto" w:sz="4" w:space="0"/>
            </w:tcBorders>
            <w:shd w:val="clear" w:color="auto" w:fill="auto"/>
            <w:noWrap w:val="0"/>
            <w:vAlign w:val="center"/>
          </w:tcPr>
          <w:p w14:paraId="1D61DA9E">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广西中医药大学附属国际壮医医院</w:t>
            </w:r>
          </w:p>
        </w:tc>
        <w:tc>
          <w:tcPr>
            <w:tcW w:w="703" w:type="pct"/>
            <w:tcBorders>
              <w:top w:val="single" w:color="auto" w:sz="4" w:space="0"/>
              <w:left w:val="single" w:color="auto" w:sz="4" w:space="0"/>
              <w:bottom w:val="single" w:color="auto" w:sz="4" w:space="0"/>
              <w:right w:val="single" w:color="auto" w:sz="4" w:space="0"/>
            </w:tcBorders>
            <w:shd w:val="clear" w:color="auto" w:fill="auto"/>
            <w:noWrap w:val="0"/>
            <w:vAlign w:val="center"/>
          </w:tcPr>
          <w:p w14:paraId="694F1211">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科主任/主任医师</w:t>
            </w:r>
          </w:p>
        </w:tc>
        <w:tc>
          <w:tcPr>
            <w:tcW w:w="1226" w:type="pct"/>
            <w:tcBorders>
              <w:top w:val="single" w:color="auto" w:sz="4" w:space="0"/>
              <w:left w:val="single" w:color="auto" w:sz="4" w:space="0"/>
              <w:bottom w:val="single" w:color="auto" w:sz="4" w:space="0"/>
              <w:right w:val="single" w:color="auto" w:sz="4" w:space="0"/>
            </w:tcBorders>
            <w:shd w:val="clear" w:color="auto" w:fill="auto"/>
            <w:noWrap w:val="0"/>
            <w:vAlign w:val="center"/>
          </w:tcPr>
          <w:p w14:paraId="127C6B45">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中医内科</w:t>
            </w:r>
          </w:p>
        </w:tc>
        <w:tc>
          <w:tcPr>
            <w:tcW w:w="1379" w:type="pct"/>
            <w:tcBorders>
              <w:top w:val="single" w:color="auto" w:sz="4" w:space="0"/>
              <w:left w:val="single" w:color="auto" w:sz="4" w:space="0"/>
              <w:bottom w:val="single" w:color="auto" w:sz="4" w:space="0"/>
              <w:right w:val="single" w:color="auto" w:sz="4" w:space="0"/>
            </w:tcBorders>
            <w:shd w:val="clear" w:color="auto" w:fill="auto"/>
            <w:noWrap w:val="0"/>
            <w:vAlign w:val="center"/>
          </w:tcPr>
          <w:p w14:paraId="5CA99995">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对规范实施情况进行总结分析，不断对规范提出修正意见</w:t>
            </w:r>
          </w:p>
        </w:tc>
      </w:tr>
      <w:tr w14:paraId="072F5C0A">
        <w:tblPrEx>
          <w:tblCellMar>
            <w:top w:w="0" w:type="dxa"/>
            <w:left w:w="108" w:type="dxa"/>
            <w:bottom w:w="0" w:type="dxa"/>
            <w:right w:w="108" w:type="dxa"/>
          </w:tblCellMar>
        </w:tblPrEx>
        <w:trPr>
          <w:cantSplit/>
          <w:trHeight w:val="881" w:hRule="atLeast"/>
        </w:trPr>
        <w:tc>
          <w:tcPr>
            <w:tcW w:w="322" w:type="pct"/>
            <w:tcBorders>
              <w:top w:val="single" w:color="auto" w:sz="4" w:space="0"/>
              <w:left w:val="single" w:color="auto" w:sz="4" w:space="0"/>
              <w:bottom w:val="single" w:color="auto" w:sz="4" w:space="0"/>
              <w:right w:val="single" w:color="auto" w:sz="4" w:space="0"/>
            </w:tcBorders>
            <w:noWrap w:val="0"/>
            <w:vAlign w:val="center"/>
          </w:tcPr>
          <w:p w14:paraId="10F546B3">
            <w:pPr>
              <w:numPr>
                <w:ilvl w:val="0"/>
                <w:numId w:val="7"/>
              </w:numPr>
              <w:ind w:left="425" w:leftChars="0" w:hanging="425" w:firstLineChars="0"/>
              <w:rPr>
                <w:rFonts w:hint="default"/>
              </w:rPr>
            </w:pPr>
          </w:p>
        </w:tc>
        <w:tc>
          <w:tcPr>
            <w:tcW w:w="518" w:type="pct"/>
            <w:tcBorders>
              <w:top w:val="single" w:color="auto" w:sz="4" w:space="0"/>
              <w:left w:val="single" w:color="auto" w:sz="4" w:space="0"/>
              <w:bottom w:val="single" w:color="auto" w:sz="4" w:space="0"/>
              <w:right w:val="single" w:color="auto" w:sz="4" w:space="0"/>
            </w:tcBorders>
            <w:shd w:val="clear" w:color="auto" w:fill="auto"/>
            <w:noWrap w:val="0"/>
            <w:vAlign w:val="center"/>
          </w:tcPr>
          <w:p w14:paraId="4A6A5B3B">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韦海飚</w:t>
            </w:r>
          </w:p>
        </w:tc>
        <w:tc>
          <w:tcPr>
            <w:tcW w:w="849" w:type="pct"/>
            <w:tcBorders>
              <w:top w:val="single" w:color="auto" w:sz="4" w:space="0"/>
              <w:left w:val="single" w:color="auto" w:sz="4" w:space="0"/>
              <w:bottom w:val="single" w:color="auto" w:sz="4" w:space="0"/>
              <w:right w:val="single" w:color="auto" w:sz="4" w:space="0"/>
            </w:tcBorders>
            <w:shd w:val="clear" w:color="auto" w:fill="auto"/>
            <w:noWrap w:val="0"/>
            <w:vAlign w:val="center"/>
          </w:tcPr>
          <w:p w14:paraId="011BFC3B">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融水苗族自治县中医医院</w:t>
            </w:r>
          </w:p>
        </w:tc>
        <w:tc>
          <w:tcPr>
            <w:tcW w:w="703" w:type="pct"/>
            <w:tcBorders>
              <w:top w:val="single" w:color="auto" w:sz="4" w:space="0"/>
              <w:left w:val="single" w:color="auto" w:sz="4" w:space="0"/>
              <w:bottom w:val="single" w:color="auto" w:sz="4" w:space="0"/>
              <w:right w:val="single" w:color="auto" w:sz="4" w:space="0"/>
            </w:tcBorders>
            <w:shd w:val="clear" w:color="auto" w:fill="auto"/>
            <w:noWrap w:val="0"/>
            <w:vAlign w:val="center"/>
          </w:tcPr>
          <w:p w14:paraId="228B7E26">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科主任/副主任医师</w:t>
            </w:r>
          </w:p>
        </w:tc>
        <w:tc>
          <w:tcPr>
            <w:tcW w:w="1226" w:type="pct"/>
            <w:tcBorders>
              <w:top w:val="single" w:color="auto" w:sz="4" w:space="0"/>
              <w:left w:val="single" w:color="auto" w:sz="4" w:space="0"/>
              <w:bottom w:val="single" w:color="auto" w:sz="4" w:space="0"/>
              <w:right w:val="single" w:color="auto" w:sz="4" w:space="0"/>
            </w:tcBorders>
            <w:shd w:val="clear" w:color="auto" w:fill="auto"/>
            <w:noWrap w:val="0"/>
            <w:vAlign w:val="center"/>
          </w:tcPr>
          <w:p w14:paraId="4C65FB10">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康复医学</w:t>
            </w:r>
          </w:p>
        </w:tc>
        <w:tc>
          <w:tcPr>
            <w:tcW w:w="1379" w:type="pct"/>
            <w:tcBorders>
              <w:top w:val="single" w:color="auto" w:sz="4" w:space="0"/>
              <w:left w:val="single" w:color="auto" w:sz="4" w:space="0"/>
              <w:bottom w:val="single" w:color="auto" w:sz="4" w:space="0"/>
              <w:right w:val="single" w:color="auto" w:sz="4" w:space="0"/>
            </w:tcBorders>
            <w:shd w:val="clear" w:color="auto" w:fill="auto"/>
            <w:noWrap w:val="0"/>
            <w:vAlign w:val="center"/>
          </w:tcPr>
          <w:p w14:paraId="6648A75A">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对规范实施情况进行总结分析，不断对规范提出修正意见</w:t>
            </w:r>
          </w:p>
        </w:tc>
      </w:tr>
      <w:tr w14:paraId="40293E33">
        <w:tblPrEx>
          <w:tblCellMar>
            <w:top w:w="0" w:type="dxa"/>
            <w:left w:w="108" w:type="dxa"/>
            <w:bottom w:w="0" w:type="dxa"/>
            <w:right w:w="108" w:type="dxa"/>
          </w:tblCellMar>
        </w:tblPrEx>
        <w:trPr>
          <w:cantSplit/>
          <w:trHeight w:val="881" w:hRule="atLeast"/>
        </w:trPr>
        <w:tc>
          <w:tcPr>
            <w:tcW w:w="322" w:type="pct"/>
            <w:tcBorders>
              <w:top w:val="single" w:color="auto" w:sz="4" w:space="0"/>
              <w:left w:val="single" w:color="auto" w:sz="4" w:space="0"/>
              <w:bottom w:val="single" w:color="auto" w:sz="4" w:space="0"/>
              <w:right w:val="single" w:color="auto" w:sz="4" w:space="0"/>
            </w:tcBorders>
            <w:noWrap w:val="0"/>
            <w:vAlign w:val="center"/>
          </w:tcPr>
          <w:p w14:paraId="1BC7E29F">
            <w:pPr>
              <w:numPr>
                <w:ilvl w:val="0"/>
                <w:numId w:val="7"/>
              </w:numPr>
              <w:ind w:left="425" w:leftChars="0" w:hanging="425" w:firstLineChars="0"/>
              <w:rPr>
                <w:rFonts w:hint="default"/>
              </w:rPr>
            </w:pPr>
          </w:p>
        </w:tc>
        <w:tc>
          <w:tcPr>
            <w:tcW w:w="518" w:type="pct"/>
            <w:tcBorders>
              <w:top w:val="single" w:color="auto" w:sz="4" w:space="0"/>
              <w:left w:val="single" w:color="auto" w:sz="4" w:space="0"/>
              <w:bottom w:val="single" w:color="auto" w:sz="4" w:space="0"/>
              <w:right w:val="single" w:color="auto" w:sz="4" w:space="0"/>
            </w:tcBorders>
            <w:shd w:val="clear" w:color="auto" w:fill="auto"/>
            <w:noWrap w:val="0"/>
            <w:vAlign w:val="center"/>
          </w:tcPr>
          <w:p w14:paraId="178AAD3F">
            <w:pPr>
              <w:keepNext w:val="0"/>
              <w:keepLines w:val="0"/>
              <w:suppressLineNumbers w:val="0"/>
              <w:spacing w:before="0" w:beforeAutospacing="0" w:after="0" w:afterAutospacing="0"/>
              <w:ind w:left="0" w:right="0"/>
              <w:jc w:val="center"/>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蒋金波</w:t>
            </w:r>
          </w:p>
        </w:tc>
        <w:tc>
          <w:tcPr>
            <w:tcW w:w="849" w:type="pct"/>
            <w:tcBorders>
              <w:top w:val="single" w:color="auto" w:sz="4" w:space="0"/>
              <w:left w:val="single" w:color="auto" w:sz="4" w:space="0"/>
              <w:bottom w:val="single" w:color="auto" w:sz="4" w:space="0"/>
              <w:right w:val="single" w:color="auto" w:sz="4" w:space="0"/>
            </w:tcBorders>
            <w:shd w:val="clear" w:color="auto" w:fill="auto"/>
            <w:noWrap w:val="0"/>
            <w:vAlign w:val="center"/>
          </w:tcPr>
          <w:p w14:paraId="3869A16A">
            <w:pPr>
              <w:keepNext w:val="0"/>
              <w:keepLines w:val="0"/>
              <w:suppressLineNumbers w:val="0"/>
              <w:spacing w:before="0" w:beforeAutospacing="0" w:after="0" w:afterAutospacing="0"/>
              <w:ind w:left="0" w:right="0"/>
              <w:jc w:val="center"/>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柳城县中医医院</w:t>
            </w:r>
          </w:p>
        </w:tc>
        <w:tc>
          <w:tcPr>
            <w:tcW w:w="703" w:type="pct"/>
            <w:tcBorders>
              <w:top w:val="single" w:color="auto" w:sz="4" w:space="0"/>
              <w:left w:val="single" w:color="auto" w:sz="4" w:space="0"/>
              <w:bottom w:val="single" w:color="auto" w:sz="4" w:space="0"/>
              <w:right w:val="single" w:color="auto" w:sz="4" w:space="0"/>
            </w:tcBorders>
            <w:shd w:val="clear" w:color="auto" w:fill="auto"/>
            <w:noWrap w:val="0"/>
            <w:vAlign w:val="center"/>
          </w:tcPr>
          <w:p w14:paraId="3058715D">
            <w:pPr>
              <w:keepNext w:val="0"/>
              <w:keepLines w:val="0"/>
              <w:suppressLineNumbers w:val="0"/>
              <w:spacing w:before="0" w:beforeAutospacing="0" w:after="0" w:afterAutospacing="0"/>
              <w:ind w:left="0" w:right="0"/>
              <w:jc w:val="center"/>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科主任/主治医师</w:t>
            </w:r>
          </w:p>
        </w:tc>
        <w:tc>
          <w:tcPr>
            <w:tcW w:w="1226" w:type="pct"/>
            <w:tcBorders>
              <w:top w:val="single" w:color="auto" w:sz="4" w:space="0"/>
              <w:left w:val="single" w:color="auto" w:sz="4" w:space="0"/>
              <w:bottom w:val="single" w:color="auto" w:sz="4" w:space="0"/>
              <w:right w:val="single" w:color="auto" w:sz="4" w:space="0"/>
            </w:tcBorders>
            <w:shd w:val="clear" w:color="auto" w:fill="auto"/>
            <w:noWrap w:val="0"/>
            <w:vAlign w:val="center"/>
          </w:tcPr>
          <w:p w14:paraId="5DEC3590">
            <w:pPr>
              <w:keepNext w:val="0"/>
              <w:keepLines w:val="0"/>
              <w:suppressLineNumbers w:val="0"/>
              <w:spacing w:before="0" w:beforeAutospacing="0" w:after="0" w:afterAutospacing="0"/>
              <w:ind w:left="0" w:right="0"/>
              <w:jc w:val="center"/>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针灸推拿</w:t>
            </w:r>
          </w:p>
        </w:tc>
        <w:tc>
          <w:tcPr>
            <w:tcW w:w="1379" w:type="pct"/>
            <w:tcBorders>
              <w:top w:val="single" w:color="auto" w:sz="4" w:space="0"/>
              <w:left w:val="single" w:color="auto" w:sz="4" w:space="0"/>
              <w:bottom w:val="single" w:color="auto" w:sz="4" w:space="0"/>
              <w:right w:val="single" w:color="auto" w:sz="4" w:space="0"/>
            </w:tcBorders>
            <w:shd w:val="clear" w:color="auto" w:fill="auto"/>
            <w:noWrap w:val="0"/>
            <w:vAlign w:val="center"/>
          </w:tcPr>
          <w:p w14:paraId="7EDC8290">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对规范实施情况进行总结分析，不断对规范提出修正意见</w:t>
            </w:r>
          </w:p>
        </w:tc>
      </w:tr>
      <w:tr w14:paraId="17B67FD0">
        <w:tblPrEx>
          <w:tblCellMar>
            <w:top w:w="0" w:type="dxa"/>
            <w:left w:w="108" w:type="dxa"/>
            <w:bottom w:w="0" w:type="dxa"/>
            <w:right w:w="108" w:type="dxa"/>
          </w:tblCellMar>
        </w:tblPrEx>
        <w:trPr>
          <w:cantSplit/>
          <w:trHeight w:val="881" w:hRule="atLeast"/>
        </w:trPr>
        <w:tc>
          <w:tcPr>
            <w:tcW w:w="322" w:type="pct"/>
            <w:tcBorders>
              <w:top w:val="single" w:color="auto" w:sz="4" w:space="0"/>
              <w:left w:val="single" w:color="auto" w:sz="4" w:space="0"/>
              <w:bottom w:val="single" w:color="auto" w:sz="4" w:space="0"/>
              <w:right w:val="single" w:color="auto" w:sz="4" w:space="0"/>
            </w:tcBorders>
            <w:noWrap w:val="0"/>
            <w:vAlign w:val="center"/>
          </w:tcPr>
          <w:p w14:paraId="50063F09">
            <w:pPr>
              <w:numPr>
                <w:ilvl w:val="0"/>
                <w:numId w:val="7"/>
              </w:numPr>
              <w:ind w:left="425" w:leftChars="0" w:hanging="425" w:firstLineChars="0"/>
              <w:rPr>
                <w:rFonts w:hint="default"/>
              </w:rPr>
            </w:pPr>
          </w:p>
        </w:tc>
        <w:tc>
          <w:tcPr>
            <w:tcW w:w="518" w:type="pct"/>
            <w:tcBorders>
              <w:top w:val="single" w:color="auto" w:sz="4" w:space="0"/>
              <w:left w:val="single" w:color="auto" w:sz="4" w:space="0"/>
              <w:bottom w:val="single" w:color="auto" w:sz="4" w:space="0"/>
              <w:right w:val="single" w:color="auto" w:sz="4" w:space="0"/>
            </w:tcBorders>
            <w:shd w:val="clear" w:color="auto" w:fill="auto"/>
            <w:noWrap w:val="0"/>
            <w:vAlign w:val="center"/>
          </w:tcPr>
          <w:p w14:paraId="7CE98EB2">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周义杰</w:t>
            </w:r>
          </w:p>
        </w:tc>
        <w:tc>
          <w:tcPr>
            <w:tcW w:w="849" w:type="pct"/>
            <w:tcBorders>
              <w:top w:val="single" w:color="auto" w:sz="4" w:space="0"/>
              <w:left w:val="single" w:color="auto" w:sz="4" w:space="0"/>
              <w:bottom w:val="single" w:color="auto" w:sz="4" w:space="0"/>
              <w:right w:val="single" w:color="auto" w:sz="4" w:space="0"/>
            </w:tcBorders>
            <w:shd w:val="clear" w:color="auto" w:fill="auto"/>
            <w:noWrap w:val="0"/>
            <w:vAlign w:val="center"/>
          </w:tcPr>
          <w:p w14:paraId="4465AC10">
            <w:pPr>
              <w:keepNext w:val="0"/>
              <w:keepLines w:val="0"/>
              <w:suppressLineNumbers w:val="0"/>
              <w:spacing w:before="0" w:beforeAutospacing="0" w:after="0" w:afterAutospacing="0"/>
              <w:ind w:left="0" w:right="0"/>
              <w:jc w:val="center"/>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桂林市中医院</w:t>
            </w:r>
          </w:p>
        </w:tc>
        <w:tc>
          <w:tcPr>
            <w:tcW w:w="703" w:type="pct"/>
            <w:tcBorders>
              <w:top w:val="single" w:color="auto" w:sz="4" w:space="0"/>
              <w:left w:val="single" w:color="auto" w:sz="4" w:space="0"/>
              <w:bottom w:val="single" w:color="auto" w:sz="4" w:space="0"/>
              <w:right w:val="single" w:color="auto" w:sz="4" w:space="0"/>
            </w:tcBorders>
            <w:shd w:val="clear" w:color="auto" w:fill="auto"/>
            <w:noWrap w:val="0"/>
            <w:vAlign w:val="center"/>
          </w:tcPr>
          <w:p w14:paraId="20E88266">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科主任/主任医师</w:t>
            </w:r>
          </w:p>
        </w:tc>
        <w:tc>
          <w:tcPr>
            <w:tcW w:w="1226" w:type="pct"/>
            <w:tcBorders>
              <w:top w:val="single" w:color="auto" w:sz="4" w:space="0"/>
              <w:left w:val="single" w:color="auto" w:sz="4" w:space="0"/>
              <w:bottom w:val="single" w:color="auto" w:sz="4" w:space="0"/>
              <w:right w:val="single" w:color="auto" w:sz="4" w:space="0"/>
            </w:tcBorders>
            <w:shd w:val="clear" w:color="auto" w:fill="auto"/>
            <w:noWrap w:val="0"/>
            <w:vAlign w:val="center"/>
          </w:tcPr>
          <w:p w14:paraId="4AA0C505">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中医内科</w:t>
            </w:r>
          </w:p>
        </w:tc>
        <w:tc>
          <w:tcPr>
            <w:tcW w:w="1379" w:type="pct"/>
            <w:tcBorders>
              <w:top w:val="single" w:color="auto" w:sz="4" w:space="0"/>
              <w:left w:val="single" w:color="auto" w:sz="4" w:space="0"/>
              <w:bottom w:val="single" w:color="auto" w:sz="4" w:space="0"/>
              <w:right w:val="single" w:color="auto" w:sz="4" w:space="0"/>
            </w:tcBorders>
            <w:shd w:val="clear" w:color="auto" w:fill="auto"/>
            <w:noWrap w:val="0"/>
            <w:vAlign w:val="center"/>
          </w:tcPr>
          <w:p w14:paraId="0D0F1A02">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对规范实施情况进行总结分析，不断对规范提出修正意见</w:t>
            </w:r>
          </w:p>
        </w:tc>
      </w:tr>
    </w:tbl>
    <w:p w14:paraId="5E83CE59">
      <w:pPr>
        <w:spacing w:line="520" w:lineRule="exact"/>
        <w:ind w:firstLine="640" w:firstLineChars="200"/>
        <w:rPr>
          <w:rFonts w:hint="eastAsia" w:ascii="黑体" w:eastAsia="黑体" w:cs="仿宋_GB2312"/>
          <w:color w:val="auto"/>
          <w:sz w:val="32"/>
          <w:szCs w:val="32"/>
        </w:rPr>
      </w:pPr>
    </w:p>
    <w:p w14:paraId="33BC8E98">
      <w:pPr>
        <w:spacing w:line="520" w:lineRule="exact"/>
        <w:ind w:firstLine="640" w:firstLineChars="200"/>
        <w:rPr>
          <w:rFonts w:hint="eastAsia" w:ascii="黑体" w:eastAsia="黑体" w:cs="仿宋_GB2312"/>
          <w:color w:val="auto"/>
          <w:sz w:val="32"/>
          <w:szCs w:val="32"/>
        </w:rPr>
      </w:pPr>
      <w:r>
        <w:rPr>
          <w:rFonts w:hint="eastAsia" w:ascii="黑体" w:eastAsia="黑体" w:cs="仿宋_GB2312"/>
          <w:color w:val="auto"/>
          <w:sz w:val="32"/>
          <w:szCs w:val="32"/>
        </w:rPr>
        <w:t>二、制定标准的必要性和意义</w:t>
      </w:r>
    </w:p>
    <w:p w14:paraId="70DAB120">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《中国脑卒中防治报告（2023）》数据显示，我国40岁及以上人群脑卒中现有患者达1242万，脑卒中已成为我国国民首位死亡原因，具有高发病率、高死亡率、高致残率的特点。肩手综合征(shoulder-hand syndrome，SHS)又称反射性交感神经营养不良(reflex sympathetic dystrophy，RSD)，是脑卒中最常见的并发症，常在卒中后1～3月后发生，临床表现括肩部被动屈曲时强烈疼痛，运动受限，肢体或手指肿胀，约有12%～25%的中风患者合并肩手综合征，另认为其发病率高达5%～84%，增加患者痛苦，对患者生活质量有严重影响。卒中相当于瑶医学中的起风。瑶医认为人体内脏之间、人体内脏与外界环境之间，既对立又统一，从而维持相对盈亏平衡和正常的生理活动，某些脏腑的亏虚引起百体经脉阻塞，九窍不通，盈亏失调，导致中风的发生。</w:t>
      </w:r>
    </w:p>
    <w:p w14:paraId="6A4266AA">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瑶医神火灸是广西瑶族传承的独特外治疗法，瑶族民间称为杜闷倒，是指是利用植物的藤茎作原料，经过加工炮制而成药棒(棍)，在酒精灯上点燃药棒一端片刻后，熄掉明火，隔物间接地在一定的穴位上，施适当的温热刺激，通过筋脉的传导作用而达到治病和保健目的的一种方法。神火灸所使用的药材大多来源于瑶医民间所用道地新鲜药材。瑶族古代医者认为，药物气味有风打之分，“风者纯而缓，打者燥且急”。风药具有和缓、平调脏腑机能作用，如大钻、小钻之属。“风药”有清热解毒、祛风除湿、活血散瘀、补气补血、健脾胃、益肝肾作用的药；“打药”起散瘀消肿止痛作用，如“虎”类及部分“钻”类等药物。本疗法所用药材宽筋藤、威灵仙分属于瑶药“九牛”里的青九牛、黑九牛，具有启关透窍，舒经活络的功能；大血藤、四方藤分属于瑶药“十八钻”里的槟大钻，具有穿经走脉，祛风活血、行气止痛之功；追骨风、牛耳风具有通经活络，散瘀止痛之效；配合全蝎、地龙搜风剔骨，共奏活血通络祛风的功效。</w:t>
      </w:r>
    </w:p>
    <w:p w14:paraId="786135AA">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神火灸治疗卒中后肩手综合症选用肩井、肩隅、肩贞、肩髎局部要穴，配合曲池、合谷，起到活血散瘀，温经通脉、祛风止痛的作用，可缓解关节水肿、疼痛，防止关节痉挛、肌肉萎缩，降低卒中病人致残率，改善患者生活质量，充分发挥了民族医药简、便、效、廉的特点，疗效较为确切。运用瑶医学的方法可为SHS的治疗提供另一手段，且易于在基层医院推广。同时瑶医药作为国家级非物质文化遗产，其技法面临传承危机。本规范将系统整理药枝制备、施灸手法等核心技艺，有助于将瑶医这一宝贵的传统医学技术规范化、系统化，使其得以更好地传承与发展。</w:t>
      </w:r>
    </w:p>
    <w:p w14:paraId="293EF13B">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近年来，随着生活方式的改变及人口老龄化的加剧，广西地区脑卒中患者数量呈上升趋势。以柳州市中医医院神经内科（脑病科）为例，该科室作为国家高级卒中中心、中国综合卒中中心联盟单位等，目前开放床位126张，近1年出院病人7500人次以上，门诊量62000人次以上，这从侧面反映出广西地区脑卒中患者基数庞大，其中约有12%～25%的脑卒中患者合并肩手综合征，治疗需求极为迫切。瑶医神火灸是瑶医特色疗法，对多种疾病有独特疗效，尤其在脑卒中治疗上效果显著。据相关研究，通过采用文献收集及基层调研、理论整理等多种方法，收集瑶医神火灸治疗卒中后肩手综合症的药物使用及操作方法，在瑶医药核心理论“盈亏平衡”和“三元和谐”的指导下，采用瑶医神火灸治疗卒中后肩手综合症，完成100例临床病例观察，治疗总有效率达94%，且治疗前后无不良反应。</w:t>
      </w:r>
    </w:p>
    <w:p w14:paraId="6E159C29">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从全区范围看，随着人们对中医及民族医学认可度的提升，对瑶医神火灸技术有需求的医院数量不少。柳州市中医医院作为区域内中医领域的佼佼者，在中医（壮瑶医）药发展方面成果颇丰，已将壮瑶医特色诊疗技术拓展至13项。其在壮瑶医药传承创新发展上的成功经验，吸引众多医院寻求合作与技术指导。据不完全统计，广西目前有众多基层医院及部分综合医院，由于自身医疗技术有限，面对大量脑卒中患者，急需如瑶医神火灸这类安全有效的特色治疗技术，初步设想全区对该技术有需求的医院数量可能达数十家甚至更多。这些医院期望通过引入瑶医神火灸技术，提升自身对脑卒中患者的治疗能力，丰富治疗手段，为当地患者提供更优质的医疗服务。</w:t>
      </w:r>
    </w:p>
    <w:p w14:paraId="62FE04CB">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通过制定团体标准《</w:t>
      </w:r>
      <w:r>
        <w:rPr>
          <w:rFonts w:hint="eastAsia" w:ascii="仿宋_GB2312" w:eastAsia="仿宋_GB2312"/>
          <w:color w:val="auto"/>
          <w:sz w:val="28"/>
          <w:szCs w:val="28"/>
          <w:lang w:eastAsia="zh-CN"/>
        </w:rPr>
        <w:t>瑶医神火灸治疗脑卒中后肩手综合征技术操作规范</w:t>
      </w:r>
      <w:r>
        <w:rPr>
          <w:rFonts w:hint="eastAsia" w:ascii="仿宋_GB2312" w:eastAsia="仿宋_GB2312"/>
          <w:color w:val="auto"/>
          <w:sz w:val="28"/>
          <w:szCs w:val="28"/>
        </w:rPr>
        <w:t>》，以标准为抓手，统一规范瑶医神火灸治疗卒中后肩手综合征技术操作要求，提高瑶医神火灸治疗卒中后肩手综合征技术水平，进一步发挥瑶医技术优势，提高脑卒中后肩手综合征患者的治疗质量，为脑卒中患者提供更广泛、更优质的治疗选择，保障患者的安全与权益，对于弘扬民族传统医药文化，推动民族地区医疗卫生事业高质量发展具有重要意义。</w:t>
      </w:r>
    </w:p>
    <w:p w14:paraId="55003037">
      <w:pPr>
        <w:autoSpaceDE w:val="0"/>
        <w:autoSpaceDN w:val="0"/>
        <w:adjustRightInd w:val="0"/>
        <w:spacing w:line="520" w:lineRule="exact"/>
        <w:ind w:firstLine="640" w:firstLineChars="200"/>
        <w:jc w:val="left"/>
        <w:rPr>
          <w:rFonts w:hint="eastAsia" w:ascii="黑体" w:eastAsia="黑体" w:cs="仿宋_GB2312"/>
          <w:color w:val="auto"/>
          <w:sz w:val="32"/>
          <w:szCs w:val="32"/>
        </w:rPr>
      </w:pPr>
      <w:r>
        <w:rPr>
          <w:rFonts w:hint="eastAsia" w:ascii="黑体" w:eastAsia="黑体" w:cs="仿宋_GB2312"/>
          <w:color w:val="auto"/>
          <w:sz w:val="32"/>
          <w:szCs w:val="32"/>
        </w:rPr>
        <w:t>三、主要起草过程</w:t>
      </w:r>
    </w:p>
    <w:p w14:paraId="646717BE">
      <w:pPr>
        <w:spacing w:line="520" w:lineRule="exact"/>
        <w:ind w:firstLine="562" w:firstLineChars="200"/>
        <w:rPr>
          <w:rFonts w:hint="eastAsia" w:ascii="仿宋_GB2312" w:eastAsia="仿宋_GB2312"/>
          <w:color w:val="auto"/>
          <w:sz w:val="28"/>
          <w:szCs w:val="28"/>
        </w:rPr>
      </w:pPr>
      <w:r>
        <w:rPr>
          <w:rFonts w:hint="eastAsia" w:ascii="仿宋_GB2312" w:eastAsia="仿宋_GB2312" w:cs="仿宋_GB2312"/>
          <w:b/>
          <w:color w:val="auto"/>
          <w:sz w:val="28"/>
          <w:szCs w:val="28"/>
        </w:rPr>
        <w:t>（一）成立标准编制工作组</w:t>
      </w:r>
    </w:p>
    <w:p w14:paraId="590EB7DE">
      <w:pPr>
        <w:spacing w:line="520" w:lineRule="exact"/>
        <w:ind w:firstLine="560" w:firstLineChars="200"/>
        <w:jc w:val="left"/>
        <w:rPr>
          <w:rFonts w:hint="eastAsia" w:ascii="仿宋_GB2312" w:eastAsia="仿宋_GB2312"/>
          <w:color w:val="auto"/>
          <w:sz w:val="28"/>
          <w:szCs w:val="28"/>
        </w:rPr>
      </w:pPr>
      <w:r>
        <w:rPr>
          <w:rFonts w:hint="eastAsia" w:ascii="仿宋_GB2312" w:hAnsi="宋体" w:eastAsia="仿宋_GB2312"/>
          <w:color w:val="auto"/>
          <w:sz w:val="28"/>
          <w:szCs w:val="28"/>
        </w:rPr>
        <w:t>团体标准</w:t>
      </w:r>
      <w:r>
        <w:rPr>
          <w:rFonts w:hint="eastAsia" w:ascii="仿宋_GB2312" w:eastAsia="仿宋_GB2312"/>
          <w:color w:val="auto"/>
          <w:sz w:val="28"/>
          <w:szCs w:val="28"/>
        </w:rPr>
        <w:t>《</w:t>
      </w:r>
      <w:r>
        <w:rPr>
          <w:rFonts w:hint="eastAsia" w:ascii="仿宋_GB2312" w:eastAsia="仿宋_GB2312"/>
          <w:color w:val="auto"/>
          <w:sz w:val="28"/>
          <w:szCs w:val="28"/>
          <w:lang w:eastAsia="zh-CN"/>
        </w:rPr>
        <w:t>瑶医神火灸治疗脑卒中后肩手综合征技术操作规范</w:t>
      </w:r>
      <w:r>
        <w:rPr>
          <w:rFonts w:hint="eastAsia" w:ascii="仿宋_GB2312" w:eastAsia="仿宋_GB2312"/>
          <w:color w:val="auto"/>
          <w:sz w:val="28"/>
          <w:szCs w:val="28"/>
        </w:rPr>
        <w:t>》项目任务下达后，</w:t>
      </w:r>
      <w:r>
        <w:rPr>
          <w:rFonts w:hint="eastAsia" w:ascii="仿宋_GB2312" w:eastAsia="仿宋_GB2312"/>
          <w:color w:val="auto"/>
          <w:sz w:val="28"/>
          <w:szCs w:val="28"/>
          <w:lang w:val="en-US" w:eastAsia="zh-CN"/>
        </w:rPr>
        <w:t>柳州市中医医院(柳州市壮医医院)、广西中医药大学第一附属医院、广西国际壮医医院、柳城县中医医院、融水苗族自治县中医医院、桂林市中医医院</w:t>
      </w:r>
      <w:r>
        <w:rPr>
          <w:rFonts w:hint="eastAsia" w:ascii="仿宋_GB2312" w:eastAsia="仿宋_GB2312"/>
          <w:color w:val="auto"/>
          <w:sz w:val="28"/>
          <w:szCs w:val="28"/>
        </w:rPr>
        <w:t>成立了标准编制工作组，制定了起草编写方案与进度安排，明确任务职责，确定工作技术路线，开展标准研制工作。具体标准编制工作由起草单位相关人员配合完成。</w:t>
      </w:r>
    </w:p>
    <w:p w14:paraId="407528C4">
      <w:pPr>
        <w:spacing w:line="520" w:lineRule="exact"/>
        <w:ind w:firstLine="560" w:firstLineChars="200"/>
        <w:rPr>
          <w:rFonts w:hint="eastAsia" w:ascii="仿宋_GB2312" w:eastAsia="仿宋_GB2312" w:cs="仿宋_GB2312"/>
          <w:color w:val="auto"/>
          <w:sz w:val="28"/>
          <w:szCs w:val="28"/>
        </w:rPr>
      </w:pPr>
      <w:r>
        <w:rPr>
          <w:rFonts w:hint="eastAsia" w:ascii="仿宋_GB2312" w:eastAsia="仿宋_GB2312"/>
          <w:color w:val="auto"/>
          <w:sz w:val="28"/>
          <w:szCs w:val="28"/>
        </w:rPr>
        <w:t>为了明确标准编制的任务职责，确定工作技术路线，开展标准研制工作。标准编制工作组下设二个组，分别是资料收集组、草案编写组。资料收集组负责国内外有关</w:t>
      </w:r>
      <w:r>
        <w:rPr>
          <w:rFonts w:hint="eastAsia" w:ascii="仿宋_GB2312" w:eastAsia="仿宋_GB2312"/>
          <w:color w:val="auto"/>
          <w:sz w:val="28"/>
          <w:szCs w:val="28"/>
          <w:lang w:eastAsia="zh-CN"/>
        </w:rPr>
        <w:t>瑶医神火灸治疗脑卒中后肩手综合征技术操作</w:t>
      </w:r>
      <w:r>
        <w:rPr>
          <w:rFonts w:hint="eastAsia" w:ascii="仿宋_GB2312" w:eastAsia="仿宋_GB2312"/>
          <w:color w:val="auto"/>
          <w:sz w:val="28"/>
          <w:szCs w:val="28"/>
        </w:rPr>
        <w:t>方面的文献资料的查询、收集和整理工作，查阅前</w:t>
      </w:r>
      <w:r>
        <w:rPr>
          <w:rFonts w:hint="eastAsia" w:ascii="仿宋_GB2312" w:eastAsia="仿宋_GB2312"/>
          <w:color w:val="auto"/>
          <w:sz w:val="28"/>
          <w:szCs w:val="28"/>
          <w:lang w:eastAsia="zh-CN"/>
        </w:rPr>
        <w:t>期</w:t>
      </w:r>
      <w:r>
        <w:rPr>
          <w:rFonts w:hint="eastAsia" w:ascii="仿宋_GB2312" w:eastAsia="仿宋_GB2312"/>
          <w:color w:val="auto"/>
          <w:sz w:val="28"/>
          <w:szCs w:val="28"/>
        </w:rPr>
        <w:t>对</w:t>
      </w:r>
      <w:r>
        <w:rPr>
          <w:rFonts w:hint="eastAsia" w:ascii="仿宋_GB2312" w:eastAsia="仿宋_GB2312"/>
          <w:color w:val="auto"/>
          <w:sz w:val="28"/>
          <w:szCs w:val="28"/>
          <w:lang w:eastAsia="zh-CN"/>
        </w:rPr>
        <w:t>瑶医神火灸治疗脑卒中后肩手综合征</w:t>
      </w:r>
      <w:r>
        <w:rPr>
          <w:rFonts w:hint="eastAsia" w:ascii="仿宋_GB2312" w:eastAsia="仿宋_GB2312"/>
          <w:color w:val="auto"/>
          <w:sz w:val="28"/>
          <w:szCs w:val="28"/>
        </w:rPr>
        <w:t>方面的有关研究情况和目前科学界</w:t>
      </w:r>
      <w:r>
        <w:rPr>
          <w:rFonts w:hint="eastAsia" w:ascii="仿宋_GB2312" w:eastAsia="仿宋_GB2312"/>
          <w:color w:val="auto"/>
          <w:sz w:val="28"/>
          <w:szCs w:val="28"/>
          <w:lang w:eastAsia="zh-CN"/>
        </w:rPr>
        <w:t>对瑶医神火灸治疗脑卒中后肩手综合征</w:t>
      </w:r>
      <w:r>
        <w:rPr>
          <w:rFonts w:hint="eastAsia" w:ascii="仿宋_GB2312" w:eastAsia="仿宋_GB2312"/>
          <w:color w:val="auto"/>
          <w:sz w:val="28"/>
          <w:szCs w:val="28"/>
        </w:rPr>
        <w:t>的研究进展；草案编写组负责起草标准草案及后续征求意见稿和标准编制说明、送审稿及编制说明等编写工作，包括后期召开征求意见会、网上征求意见，以及标准的不断修改和完善。</w:t>
      </w:r>
    </w:p>
    <w:p w14:paraId="1232901F">
      <w:pPr>
        <w:spacing w:line="520" w:lineRule="exact"/>
        <w:ind w:firstLine="562" w:firstLineChars="200"/>
        <w:rPr>
          <w:rFonts w:hint="eastAsia" w:ascii="仿宋_GB2312" w:eastAsia="仿宋_GB2312" w:cs="仿宋_GB2312"/>
          <w:b/>
          <w:color w:val="auto"/>
          <w:sz w:val="28"/>
          <w:szCs w:val="28"/>
        </w:rPr>
      </w:pPr>
      <w:r>
        <w:rPr>
          <w:rFonts w:hint="eastAsia" w:ascii="仿宋_GB2312" w:eastAsia="仿宋_GB2312" w:cs="仿宋_GB2312"/>
          <w:b/>
          <w:color w:val="auto"/>
          <w:sz w:val="28"/>
          <w:szCs w:val="28"/>
        </w:rPr>
        <w:t>（二）收集整理文献资料</w:t>
      </w:r>
    </w:p>
    <w:p w14:paraId="055BBAAC">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标准编制工作组收集了国内有关</w:t>
      </w:r>
      <w:r>
        <w:rPr>
          <w:rFonts w:hint="eastAsia" w:ascii="仿宋_GB2312" w:eastAsia="仿宋_GB2312"/>
          <w:color w:val="auto"/>
          <w:sz w:val="28"/>
          <w:szCs w:val="28"/>
          <w:lang w:eastAsia="zh-CN"/>
        </w:rPr>
        <w:t>瑶医神火灸治疗脑卒中后肩手综合征</w:t>
      </w:r>
      <w:r>
        <w:rPr>
          <w:rFonts w:hint="eastAsia" w:ascii="仿宋_GB2312" w:eastAsia="仿宋_GB2312"/>
          <w:color w:val="auto"/>
          <w:sz w:val="28"/>
          <w:szCs w:val="28"/>
        </w:rPr>
        <w:t>的相关文献资料。主要有：</w:t>
      </w:r>
    </w:p>
    <w:p w14:paraId="27A170B5">
      <w:pPr>
        <w:spacing w:line="520" w:lineRule="exact"/>
        <w:ind w:firstLine="560" w:firstLineChars="200"/>
        <w:rPr>
          <w:rFonts w:hint="eastAsia" w:ascii="仿宋_GB2312" w:eastAsia="仿宋_GB2312"/>
          <w:color w:val="auto"/>
          <w:sz w:val="28"/>
          <w:szCs w:val="28"/>
          <w:lang w:eastAsia="zh-CN"/>
        </w:rPr>
      </w:pPr>
      <w:r>
        <w:rPr>
          <w:rFonts w:hint="eastAsia" w:ascii="仿宋_GB2312" w:eastAsia="仿宋_GB2312"/>
          <w:color w:val="auto"/>
          <w:sz w:val="28"/>
          <w:szCs w:val="28"/>
          <w:lang w:eastAsia="zh-CN"/>
        </w:rPr>
        <w:t>[1]  瑶医神火灸对卒中后肩手综合征患者体质的影响_周哲屹</w:t>
      </w:r>
    </w:p>
    <w:p w14:paraId="78A01EA7">
      <w:pPr>
        <w:spacing w:line="520" w:lineRule="exact"/>
        <w:ind w:firstLine="560" w:firstLineChars="200"/>
        <w:rPr>
          <w:rFonts w:hint="eastAsia" w:ascii="仿宋_GB2312" w:eastAsia="仿宋_GB2312"/>
          <w:color w:val="auto"/>
          <w:sz w:val="28"/>
          <w:szCs w:val="28"/>
          <w:lang w:eastAsia="zh-CN"/>
        </w:rPr>
      </w:pPr>
      <w:r>
        <w:rPr>
          <w:rFonts w:hint="eastAsia" w:ascii="仿宋_GB2312" w:eastAsia="仿宋_GB2312"/>
          <w:color w:val="auto"/>
          <w:sz w:val="28"/>
          <w:szCs w:val="28"/>
          <w:lang w:eastAsia="zh-CN"/>
        </w:rPr>
        <w:t>[2]  瑶医神火灸结合综合康复对卒中后肩_省略_合征患者生活质量及心理健康的影响_周哲屹</w:t>
      </w:r>
    </w:p>
    <w:p w14:paraId="07D3753C">
      <w:pPr>
        <w:spacing w:line="520" w:lineRule="exact"/>
        <w:ind w:firstLine="560" w:firstLineChars="200"/>
        <w:rPr>
          <w:rFonts w:hint="default" w:ascii="仿宋_GB2312" w:eastAsia="仿宋_GB2312"/>
          <w:color w:val="auto"/>
          <w:sz w:val="28"/>
          <w:szCs w:val="28"/>
          <w:lang w:val="en-US" w:eastAsia="zh-CN"/>
        </w:rPr>
      </w:pPr>
      <w:r>
        <w:rPr>
          <w:rFonts w:hint="eastAsia" w:ascii="仿宋_GB2312" w:eastAsia="仿宋_GB2312"/>
          <w:color w:val="auto"/>
          <w:sz w:val="28"/>
          <w:szCs w:val="28"/>
          <w:lang w:eastAsia="zh-CN"/>
        </w:rPr>
        <w:t>[3]  瑶医神火灸结合综合康复疗法治疗脑卒中后肩手综合征临床研究_刘国成 周哲屹 关建国 徐宏</w:t>
      </w:r>
    </w:p>
    <w:p w14:paraId="4A238B27">
      <w:pPr>
        <w:spacing w:line="520" w:lineRule="exact"/>
        <w:ind w:firstLine="560" w:firstLineChars="200"/>
        <w:rPr>
          <w:rFonts w:hint="eastAsia" w:ascii="仿宋_GB2312" w:eastAsia="仿宋_GB2312"/>
          <w:color w:val="auto"/>
          <w:sz w:val="28"/>
          <w:szCs w:val="28"/>
          <w:lang w:eastAsia="zh-CN"/>
        </w:rPr>
      </w:pPr>
      <w:r>
        <w:rPr>
          <w:rFonts w:hint="eastAsia" w:ascii="仿宋_GB2312" w:eastAsia="仿宋_GB2312"/>
          <w:color w:val="auto"/>
          <w:sz w:val="28"/>
          <w:szCs w:val="28"/>
          <w:lang w:eastAsia="zh-CN"/>
        </w:rPr>
        <w:t>[4]  瑶医神火灸疗法治疗卒中后肩手综合症的规范化研究_</w:t>
      </w:r>
    </w:p>
    <w:p w14:paraId="127BD05B">
      <w:pPr>
        <w:spacing w:line="520" w:lineRule="exact"/>
        <w:ind w:firstLine="560" w:firstLineChars="200"/>
        <w:rPr>
          <w:rFonts w:hint="default" w:ascii="仿宋_GB2312" w:eastAsia="仿宋_GB2312"/>
          <w:color w:val="auto"/>
          <w:sz w:val="28"/>
          <w:szCs w:val="28"/>
          <w:lang w:val="en-US" w:eastAsia="zh-CN"/>
        </w:rPr>
      </w:pPr>
      <w:r>
        <w:rPr>
          <w:rFonts w:hint="eastAsia" w:ascii="仿宋_GB2312" w:eastAsia="仿宋_GB2312"/>
          <w:color w:val="auto"/>
          <w:sz w:val="28"/>
          <w:szCs w:val="28"/>
          <w:lang w:eastAsia="zh-CN"/>
        </w:rPr>
        <w:t>[5]  瑶医神火灸治疗缺血性脑卒中的临床疗效及对炎性因子的影响_周哲屹</w:t>
      </w:r>
    </w:p>
    <w:p w14:paraId="42594A75">
      <w:pPr>
        <w:spacing w:line="520" w:lineRule="exact"/>
        <w:ind w:firstLine="560" w:firstLineChars="200"/>
        <w:rPr>
          <w:rFonts w:hint="eastAsia" w:ascii="仿宋_GB2312" w:eastAsia="仿宋_GB2312"/>
          <w:color w:val="auto"/>
          <w:sz w:val="28"/>
          <w:szCs w:val="28"/>
          <w:lang w:eastAsia="zh-CN"/>
        </w:rPr>
      </w:pPr>
      <w:r>
        <w:rPr>
          <w:rFonts w:hint="eastAsia" w:ascii="仿宋_GB2312" w:eastAsia="仿宋_GB2312"/>
          <w:color w:val="auto"/>
          <w:sz w:val="28"/>
          <w:szCs w:val="28"/>
          <w:lang w:eastAsia="zh-CN"/>
        </w:rPr>
        <w:t>[6]  瑶医神火灸治疗卒中后肩手综合征经验拾要_周哲屹</w:t>
      </w:r>
    </w:p>
    <w:p w14:paraId="5FE4CEF1">
      <w:pPr>
        <w:spacing w:line="520" w:lineRule="exact"/>
        <w:ind w:firstLine="562" w:firstLineChars="200"/>
        <w:rPr>
          <w:rFonts w:hint="eastAsia" w:ascii="仿宋_GB2312" w:eastAsia="仿宋_GB2312" w:cs="仿宋_GB2312"/>
          <w:b/>
          <w:color w:val="auto"/>
          <w:sz w:val="28"/>
          <w:szCs w:val="28"/>
          <w:lang w:eastAsia="zh-CN"/>
        </w:rPr>
      </w:pPr>
      <w:r>
        <w:rPr>
          <w:rFonts w:hint="eastAsia" w:ascii="仿宋_GB2312" w:eastAsia="仿宋_GB2312" w:cs="仿宋_GB2312"/>
          <w:b/>
          <w:color w:val="auto"/>
          <w:sz w:val="28"/>
          <w:szCs w:val="28"/>
        </w:rPr>
        <w:t>（三）研讨确定标准主体内容</w:t>
      </w:r>
      <w:r>
        <w:rPr>
          <w:rFonts w:hint="eastAsia" w:ascii="仿宋_GB2312" w:eastAsia="仿宋_GB2312" w:cs="仿宋_GB2312"/>
          <w:b/>
          <w:color w:val="auto"/>
          <w:sz w:val="28"/>
          <w:szCs w:val="28"/>
          <w:lang w:eastAsia="zh-CN"/>
        </w:rPr>
        <w:t>、核心技术及创新点</w:t>
      </w:r>
    </w:p>
    <w:p w14:paraId="48208B50">
      <w:pPr>
        <w:pStyle w:val="30"/>
        <w:spacing w:line="520" w:lineRule="exact"/>
        <w:ind w:firstLine="560"/>
        <w:rPr>
          <w:rFonts w:hint="eastAsia" w:ascii="仿宋_GB2312" w:eastAsia="仿宋_GB2312"/>
          <w:color w:val="auto"/>
          <w:sz w:val="28"/>
          <w:szCs w:val="28"/>
          <w:highlight w:val="none"/>
        </w:rPr>
      </w:pPr>
      <w:r>
        <w:rPr>
          <w:rFonts w:hint="eastAsia" w:ascii="仿宋_GB2312" w:eastAsia="仿宋_GB2312"/>
          <w:color w:val="auto"/>
          <w:sz w:val="28"/>
          <w:szCs w:val="28"/>
        </w:rPr>
        <w:t>标准编制工作组在对收集的资料进行整理研究之后，标准编制工作组召开了标准编制会议，对标准的整体框架结构进行了研究，并对标准的关键性内容进行了初步探讨。经过研究，标准的主体内容为</w:t>
      </w:r>
      <w:r>
        <w:rPr>
          <w:rFonts w:hint="eastAsia" w:ascii="仿宋_GB2312" w:eastAsia="仿宋_GB2312"/>
          <w:color w:val="auto"/>
          <w:sz w:val="28"/>
          <w:szCs w:val="28"/>
          <w:lang w:eastAsia="zh-CN"/>
        </w:rPr>
        <w:t>瑶医神火灸治疗脑卒中后肩手综合征</w:t>
      </w:r>
      <w:r>
        <w:rPr>
          <w:rFonts w:hint="eastAsia" w:ascii="仿宋_GB2312" w:eastAsia="仿宋_GB2312"/>
          <w:color w:val="auto"/>
          <w:sz w:val="28"/>
          <w:szCs w:val="28"/>
        </w:rPr>
        <w:t>的基本要求、</w:t>
      </w:r>
      <w:r>
        <w:rPr>
          <w:rFonts w:hint="eastAsia" w:ascii="仿宋_GB2312" w:eastAsia="仿宋_GB2312"/>
          <w:color w:val="auto"/>
          <w:sz w:val="28"/>
          <w:szCs w:val="28"/>
          <w:lang w:eastAsia="zh-CN"/>
        </w:rPr>
        <w:t>辨证分型、</w:t>
      </w:r>
      <w:r>
        <w:rPr>
          <w:rFonts w:hint="eastAsia" w:ascii="仿宋_GB2312" w:eastAsia="仿宋_GB2312"/>
          <w:color w:val="auto"/>
          <w:sz w:val="28"/>
          <w:szCs w:val="28"/>
        </w:rPr>
        <w:t>施术前准备、施术方法、施术后处理、注意事项、日常调护的要求。</w:t>
      </w:r>
      <w:r>
        <w:rPr>
          <w:rFonts w:hint="eastAsia" w:ascii="仿宋_GB2312" w:eastAsia="仿宋_GB2312"/>
          <w:color w:val="auto"/>
          <w:sz w:val="28"/>
          <w:szCs w:val="28"/>
          <w:lang w:eastAsia="zh-CN"/>
        </w:rPr>
        <w:t>核心技术及创</w:t>
      </w:r>
      <w:r>
        <w:rPr>
          <w:rFonts w:hint="eastAsia" w:ascii="仿宋_GB2312" w:eastAsia="仿宋_GB2312"/>
          <w:color w:val="auto"/>
          <w:sz w:val="28"/>
          <w:szCs w:val="28"/>
          <w:highlight w:val="none"/>
          <w:lang w:eastAsia="zh-CN"/>
        </w:rPr>
        <w:t>新点在于：</w:t>
      </w:r>
    </w:p>
    <w:p w14:paraId="0DD0E996">
      <w:pPr>
        <w:pStyle w:val="30"/>
        <w:spacing w:line="520" w:lineRule="exact"/>
        <w:ind w:firstLine="560"/>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1.</w:t>
      </w:r>
      <w:r>
        <w:rPr>
          <w:rFonts w:hint="eastAsia" w:ascii="仿宋_GB2312" w:eastAsia="仿宋_GB2312"/>
          <w:color w:val="auto"/>
          <w:sz w:val="28"/>
          <w:szCs w:val="28"/>
          <w:lang w:eastAsia="zh-CN"/>
        </w:rPr>
        <w:t>其药</w:t>
      </w:r>
      <w:bookmarkStart w:id="0" w:name="OLE_LINK139"/>
      <w:bookmarkStart w:id="1" w:name="OLE_LINK138"/>
      <w:bookmarkStart w:id="2" w:name="OLE_LINK137"/>
      <w:r>
        <w:rPr>
          <w:rFonts w:hint="eastAsia" w:ascii="仿宋_GB2312" w:eastAsia="仿宋_GB2312"/>
          <w:color w:val="auto"/>
          <w:sz w:val="28"/>
          <w:szCs w:val="28"/>
          <w:lang w:eastAsia="zh-CN"/>
        </w:rPr>
        <w:t>材来源于瑶医民间所用道地药材，经过加工炮制而成药棒（棍），对穴位施以适当的温热刺激，通过筋脉的传导作用而达到治病和保健的作用。选取追骨风、牛耳风、大钻、五味藤、八角枫、当归藤、四方藤、吹风散等地道原生新鲜药材，切成</w:t>
      </w:r>
      <w:r>
        <w:rPr>
          <w:rFonts w:hint="eastAsia" w:ascii="仿宋_GB2312" w:eastAsia="仿宋_GB2312"/>
          <w:color w:val="auto"/>
          <w:sz w:val="28"/>
          <w:szCs w:val="28"/>
          <w:lang w:val="en-US" w:eastAsia="zh-CN"/>
        </w:rPr>
        <w:t>15cm</w:t>
      </w:r>
      <w:r>
        <w:rPr>
          <w:rFonts w:hint="eastAsia" w:ascii="仿宋_GB2312" w:eastAsia="仿宋_GB2312"/>
          <w:color w:val="auto"/>
          <w:sz w:val="28"/>
          <w:szCs w:val="28"/>
          <w:lang w:eastAsia="zh-CN"/>
        </w:rPr>
        <w:t>～</w:t>
      </w:r>
      <w:r>
        <w:rPr>
          <w:rFonts w:hint="eastAsia" w:ascii="仿宋_GB2312" w:eastAsia="仿宋_GB2312"/>
          <w:color w:val="auto"/>
          <w:sz w:val="28"/>
          <w:szCs w:val="28"/>
          <w:lang w:val="en-US" w:eastAsia="zh-CN"/>
        </w:rPr>
        <w:t>20cm</w:t>
      </w:r>
      <w:r>
        <w:rPr>
          <w:rFonts w:hint="eastAsia" w:ascii="仿宋_GB2312" w:eastAsia="仿宋_GB2312"/>
          <w:color w:val="auto"/>
          <w:sz w:val="28"/>
          <w:szCs w:val="28"/>
          <w:lang w:eastAsia="zh-CN"/>
        </w:rPr>
        <w:t>，阴干后配生姜、大葱、地龙、全蝎加入</w:t>
      </w:r>
      <w:r>
        <w:rPr>
          <w:rFonts w:hint="eastAsia" w:ascii="仿宋_GB2312" w:eastAsia="仿宋_GB2312"/>
          <w:color w:val="auto"/>
          <w:sz w:val="28"/>
          <w:szCs w:val="28"/>
          <w:lang w:val="en-US" w:eastAsia="zh-CN"/>
        </w:rPr>
        <w:t>40</w:t>
      </w:r>
      <w:r>
        <w:rPr>
          <w:rFonts w:hint="eastAsia" w:ascii="仿宋_GB2312" w:eastAsia="仿宋_GB2312"/>
          <w:color w:val="auto"/>
          <w:sz w:val="28"/>
          <w:szCs w:val="28"/>
          <w:lang w:eastAsia="zh-CN"/>
        </w:rPr>
        <w:t>～</w:t>
      </w:r>
      <w:r>
        <w:rPr>
          <w:rFonts w:hint="eastAsia" w:ascii="仿宋_GB2312" w:eastAsia="仿宋_GB2312"/>
          <w:color w:val="auto"/>
          <w:sz w:val="28"/>
          <w:szCs w:val="28"/>
          <w:lang w:val="en-US" w:eastAsia="zh-CN"/>
        </w:rPr>
        <w:t>50</w:t>
      </w:r>
      <w:r>
        <w:rPr>
          <w:rFonts w:hint="eastAsia" w:ascii="仿宋_GB2312" w:eastAsia="仿宋_GB2312"/>
          <w:color w:val="auto"/>
          <w:sz w:val="28"/>
          <w:szCs w:val="28"/>
          <w:lang w:eastAsia="zh-CN"/>
        </w:rPr>
        <w:t>度左右白酒或</w:t>
      </w:r>
      <w:r>
        <w:rPr>
          <w:rFonts w:hint="eastAsia" w:ascii="仿宋_GB2312" w:eastAsia="仿宋_GB2312"/>
          <w:color w:val="auto"/>
          <w:sz w:val="28"/>
          <w:szCs w:val="28"/>
          <w:lang w:val="en-US" w:eastAsia="zh-CN"/>
        </w:rPr>
        <w:t>95%</w:t>
      </w:r>
      <w:r>
        <w:rPr>
          <w:rFonts w:hint="eastAsia" w:ascii="仿宋_GB2312" w:eastAsia="仿宋_GB2312"/>
          <w:color w:val="auto"/>
          <w:sz w:val="28"/>
          <w:szCs w:val="28"/>
          <w:lang w:eastAsia="zh-CN"/>
        </w:rPr>
        <w:t>乙醇中浸泡，用白酒浸泡约半个月</w:t>
      </w:r>
      <w:r>
        <w:rPr>
          <w:rFonts w:hint="eastAsia" w:ascii="仿宋_GB2312" w:eastAsia="仿宋_GB2312"/>
          <w:color w:val="auto"/>
          <w:sz w:val="28"/>
          <w:szCs w:val="28"/>
          <w:lang w:val="en-US" w:eastAsia="zh-CN"/>
        </w:rPr>
        <w:t>(</w:t>
      </w:r>
      <w:r>
        <w:rPr>
          <w:rFonts w:hint="eastAsia" w:ascii="仿宋_GB2312" w:eastAsia="仿宋_GB2312"/>
          <w:color w:val="auto"/>
          <w:sz w:val="28"/>
          <w:szCs w:val="28"/>
          <w:lang w:eastAsia="zh-CN"/>
        </w:rPr>
        <w:t>或用乙醇浸泡</w:t>
      </w:r>
      <w:r>
        <w:rPr>
          <w:rFonts w:hint="eastAsia" w:ascii="仿宋_GB2312" w:eastAsia="仿宋_GB2312"/>
          <w:color w:val="auto"/>
          <w:sz w:val="28"/>
          <w:szCs w:val="28"/>
          <w:lang w:val="en-US" w:eastAsia="zh-CN"/>
        </w:rPr>
        <w:t>7</w:t>
      </w:r>
      <w:r>
        <w:rPr>
          <w:rFonts w:hint="eastAsia" w:ascii="仿宋_GB2312" w:eastAsia="仿宋_GB2312"/>
          <w:color w:val="auto"/>
          <w:sz w:val="28"/>
          <w:szCs w:val="28"/>
          <w:lang w:eastAsia="zh-CN"/>
        </w:rPr>
        <w:t>天</w:t>
      </w:r>
      <w:r>
        <w:rPr>
          <w:rFonts w:hint="eastAsia" w:ascii="仿宋_GB2312" w:eastAsia="仿宋_GB2312"/>
          <w:color w:val="auto"/>
          <w:sz w:val="28"/>
          <w:szCs w:val="28"/>
          <w:lang w:val="en-US" w:eastAsia="zh-CN"/>
        </w:rPr>
        <w:t>)</w:t>
      </w:r>
      <w:r>
        <w:rPr>
          <w:rFonts w:hint="eastAsia" w:ascii="仿宋_GB2312" w:eastAsia="仿宋_GB2312"/>
          <w:color w:val="auto"/>
          <w:sz w:val="28"/>
          <w:szCs w:val="28"/>
          <w:lang w:eastAsia="zh-CN"/>
        </w:rPr>
        <w:t>，取出阴干后即为备用药枝（药枝的基本方法已申请专利）。其他材料：酒精灯、双层牛皮纸、打火机或火柴、小瓶子</w:t>
      </w:r>
      <w:r>
        <w:rPr>
          <w:rFonts w:hint="eastAsia" w:ascii="仿宋_GB2312" w:eastAsia="仿宋_GB2312"/>
          <w:color w:val="auto"/>
          <w:sz w:val="28"/>
          <w:szCs w:val="28"/>
          <w:lang w:val="en-US" w:eastAsia="zh-CN"/>
        </w:rPr>
        <w:t>(</w:t>
      </w:r>
      <w:r>
        <w:rPr>
          <w:rFonts w:hint="eastAsia" w:ascii="仿宋_GB2312" w:eastAsia="仿宋_GB2312"/>
          <w:color w:val="auto"/>
          <w:sz w:val="28"/>
          <w:szCs w:val="28"/>
          <w:lang w:eastAsia="zh-CN"/>
        </w:rPr>
        <w:t>瓶口大小略大于药枝直径</w:t>
      </w:r>
      <w:r>
        <w:rPr>
          <w:rFonts w:hint="eastAsia" w:ascii="仿宋_GB2312" w:eastAsia="仿宋_GB2312"/>
          <w:color w:val="auto"/>
          <w:sz w:val="28"/>
          <w:szCs w:val="28"/>
          <w:lang w:val="en-US" w:eastAsia="zh-CN"/>
        </w:rPr>
        <w:t>)</w:t>
      </w:r>
      <w:r>
        <w:rPr>
          <w:rFonts w:hint="eastAsia" w:ascii="仿宋_GB2312" w:eastAsia="仿宋_GB2312"/>
          <w:color w:val="auto"/>
          <w:sz w:val="28"/>
          <w:szCs w:val="28"/>
          <w:lang w:eastAsia="zh-CN"/>
        </w:rPr>
        <w:t>等。</w:t>
      </w:r>
      <w:bookmarkEnd w:id="0"/>
      <w:bookmarkEnd w:id="1"/>
      <w:bookmarkEnd w:id="2"/>
    </w:p>
    <w:p w14:paraId="7EE2F009">
      <w:pPr>
        <w:pStyle w:val="30"/>
        <w:spacing w:line="520" w:lineRule="exact"/>
        <w:ind w:firstLine="560"/>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2.</w:t>
      </w:r>
      <w:r>
        <w:rPr>
          <w:rFonts w:hint="eastAsia" w:ascii="仿宋_GB2312" w:eastAsia="仿宋_GB2312"/>
          <w:color w:val="auto"/>
          <w:sz w:val="28"/>
          <w:szCs w:val="28"/>
          <w:lang w:eastAsia="zh-CN"/>
        </w:rPr>
        <w:t>施灸的方法：取一盏酒精灯，右手紧握</w:t>
      </w:r>
      <w:r>
        <w:rPr>
          <w:rFonts w:hint="eastAsia" w:ascii="仿宋_GB2312" w:eastAsia="仿宋_GB2312"/>
          <w:color w:val="auto"/>
          <w:sz w:val="28"/>
          <w:szCs w:val="28"/>
          <w:lang w:val="en-US" w:eastAsia="zh-CN"/>
        </w:rPr>
        <w:t>15</w:t>
      </w:r>
      <w:r>
        <w:rPr>
          <w:rFonts w:hint="eastAsia" w:ascii="仿宋_GB2312" w:eastAsia="仿宋_GB2312"/>
          <w:color w:val="auto"/>
          <w:sz w:val="28"/>
          <w:szCs w:val="28"/>
          <w:lang w:eastAsia="zh-CN"/>
        </w:rPr>
        <w:t>～</w:t>
      </w:r>
      <w:r>
        <w:rPr>
          <w:rFonts w:hint="eastAsia" w:ascii="仿宋_GB2312" w:eastAsia="仿宋_GB2312"/>
          <w:color w:val="auto"/>
          <w:sz w:val="28"/>
          <w:szCs w:val="28"/>
          <w:lang w:val="en-US" w:eastAsia="zh-CN"/>
        </w:rPr>
        <w:t>20cm</w:t>
      </w:r>
      <w:r>
        <w:rPr>
          <w:rFonts w:hint="eastAsia" w:ascii="仿宋_GB2312" w:eastAsia="仿宋_GB2312"/>
          <w:color w:val="auto"/>
          <w:sz w:val="28"/>
          <w:szCs w:val="28"/>
          <w:lang w:eastAsia="zh-CN"/>
        </w:rPr>
        <w:t>长的药枝，把药枝的一端在酒精灯上燃烧。明火熄灭后，把燃着暗火的药枝裹于两层牛皮纸内，随即在患者身上的穴位施灸</w:t>
      </w:r>
      <w:r>
        <w:rPr>
          <w:rFonts w:hint="eastAsia" w:ascii="仿宋_GB2312" w:eastAsia="仿宋_GB2312"/>
          <w:color w:val="auto"/>
          <w:sz w:val="28"/>
          <w:szCs w:val="28"/>
          <w:lang w:val="en-US" w:eastAsia="zh-CN"/>
        </w:rPr>
        <w:t>(</w:t>
      </w:r>
      <w:r>
        <w:rPr>
          <w:rFonts w:hint="eastAsia" w:ascii="仿宋_GB2312" w:eastAsia="仿宋_GB2312"/>
          <w:color w:val="auto"/>
          <w:sz w:val="28"/>
          <w:szCs w:val="28"/>
          <w:lang w:eastAsia="zh-CN"/>
        </w:rPr>
        <w:t>灸时隔着皮肤或直接灸在皮肤上都可</w:t>
      </w:r>
      <w:r>
        <w:rPr>
          <w:rFonts w:hint="eastAsia" w:ascii="仿宋_GB2312" w:eastAsia="仿宋_GB2312"/>
          <w:color w:val="auto"/>
          <w:sz w:val="28"/>
          <w:szCs w:val="28"/>
          <w:lang w:val="en-US" w:eastAsia="zh-CN"/>
        </w:rPr>
        <w:t>)</w:t>
      </w:r>
      <w:r>
        <w:rPr>
          <w:rFonts w:hint="eastAsia" w:ascii="仿宋_GB2312" w:eastAsia="仿宋_GB2312"/>
          <w:color w:val="auto"/>
          <w:sz w:val="28"/>
          <w:szCs w:val="28"/>
          <w:lang w:eastAsia="zh-CN"/>
        </w:rPr>
        <w:t>。每个穴位或部位施灸</w:t>
      </w:r>
      <w:r>
        <w:rPr>
          <w:rFonts w:hint="eastAsia" w:ascii="仿宋_GB2312" w:eastAsia="仿宋_GB2312"/>
          <w:color w:val="auto"/>
          <w:sz w:val="28"/>
          <w:szCs w:val="28"/>
          <w:lang w:val="en-US" w:eastAsia="zh-CN"/>
        </w:rPr>
        <w:t>3</w:t>
      </w:r>
      <w:r>
        <w:rPr>
          <w:rFonts w:hint="eastAsia" w:ascii="仿宋_GB2312" w:eastAsia="仿宋_GB2312"/>
          <w:color w:val="auto"/>
          <w:sz w:val="28"/>
          <w:szCs w:val="28"/>
          <w:lang w:eastAsia="zh-CN"/>
        </w:rPr>
        <w:t>～</w:t>
      </w:r>
      <w:r>
        <w:rPr>
          <w:rFonts w:hint="eastAsia" w:ascii="仿宋_GB2312" w:eastAsia="仿宋_GB2312"/>
          <w:color w:val="auto"/>
          <w:sz w:val="28"/>
          <w:szCs w:val="28"/>
          <w:lang w:val="en-US" w:eastAsia="zh-CN"/>
        </w:rPr>
        <w:t>5</w:t>
      </w:r>
      <w:r>
        <w:rPr>
          <w:rFonts w:hint="eastAsia" w:ascii="仿宋_GB2312" w:eastAsia="仿宋_GB2312"/>
          <w:color w:val="auto"/>
          <w:sz w:val="28"/>
          <w:szCs w:val="28"/>
          <w:lang w:eastAsia="zh-CN"/>
        </w:rPr>
        <w:t>分钟，至皮肤稍起红晕为度。在治疗中患者的取穴，体位采取轮换取用法。</w:t>
      </w:r>
    </w:p>
    <w:p w14:paraId="0E22A6DE">
      <w:pPr>
        <w:pStyle w:val="30"/>
        <w:spacing w:line="520" w:lineRule="exact"/>
        <w:ind w:firstLine="560"/>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3.</w:t>
      </w:r>
      <w:r>
        <w:rPr>
          <w:rFonts w:hint="eastAsia" w:ascii="仿宋_GB2312" w:eastAsia="仿宋_GB2312"/>
          <w:color w:val="auto"/>
          <w:sz w:val="28"/>
          <w:szCs w:val="28"/>
          <w:lang w:eastAsia="zh-CN"/>
        </w:rPr>
        <w:t>施灸的顺序：一般可以按上、下、前、后根据配穴的顺序施灸，一般按照由阳经至阴经，由上部至下部，又背部至腹部，从头身至四肢的顺序依次进行，达到从阳引阴，由上至下引热下行，引火归元的目的。</w:t>
      </w:r>
    </w:p>
    <w:p w14:paraId="621226AE">
      <w:pPr>
        <w:pStyle w:val="30"/>
        <w:spacing w:line="520" w:lineRule="exact"/>
        <w:ind w:firstLine="560"/>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4.</w:t>
      </w:r>
      <w:r>
        <w:rPr>
          <w:rFonts w:hint="eastAsia" w:ascii="仿宋_GB2312" w:eastAsia="仿宋_GB2312"/>
          <w:color w:val="auto"/>
          <w:sz w:val="28"/>
          <w:szCs w:val="28"/>
          <w:lang w:eastAsia="zh-CN"/>
        </w:rPr>
        <w:t>施灸的穴位：瑶医神火灸传统取穴按照病之所及，取病位或者病灶周围及经络所行取穴。目前借鉴传统中医的经络，取穴可按照一般针灸取穴的原则，根据</w:t>
      </w:r>
      <w:r>
        <w:rPr>
          <w:rFonts w:hint="eastAsia" w:ascii="仿宋_GB2312" w:eastAsia="仿宋_GB2312"/>
          <w:color w:val="auto"/>
          <w:sz w:val="28"/>
          <w:szCs w:val="28"/>
          <w:lang w:val="en-US" w:eastAsia="zh-CN"/>
        </w:rPr>
        <w:t>“</w:t>
      </w:r>
      <w:r>
        <w:rPr>
          <w:rFonts w:hint="eastAsia" w:ascii="仿宋_GB2312" w:eastAsia="仿宋_GB2312"/>
          <w:color w:val="auto"/>
          <w:sz w:val="28"/>
          <w:szCs w:val="28"/>
          <w:lang w:eastAsia="zh-CN"/>
        </w:rPr>
        <w:t>经脉所通，主治所及</w:t>
      </w:r>
      <w:r>
        <w:rPr>
          <w:rFonts w:hint="eastAsia" w:ascii="仿宋_GB2312" w:eastAsia="仿宋_GB2312"/>
          <w:color w:val="auto"/>
          <w:sz w:val="28"/>
          <w:szCs w:val="28"/>
          <w:lang w:val="en-US" w:eastAsia="zh-CN"/>
        </w:rPr>
        <w:t>”</w:t>
      </w:r>
      <w:r>
        <w:rPr>
          <w:rFonts w:hint="eastAsia" w:ascii="仿宋_GB2312" w:eastAsia="仿宋_GB2312"/>
          <w:color w:val="auto"/>
          <w:sz w:val="28"/>
          <w:szCs w:val="28"/>
          <w:lang w:eastAsia="zh-CN"/>
        </w:rPr>
        <w:t>的原则循经取穴，也可以就近取穴、远部取穴及随证取穴。配穴方面也可按照本经、表里、上下、前后、左右配穴的原则进行配合。也可以根据疾病不同情况取特定穴进行治疗。取穴</w:t>
      </w:r>
      <w:r>
        <w:rPr>
          <w:rFonts w:hint="eastAsia" w:ascii="仿宋_GB2312" w:eastAsia="仿宋_GB2312"/>
          <w:color w:val="auto"/>
          <w:sz w:val="28"/>
          <w:szCs w:val="28"/>
          <w:lang w:val="en-US" w:eastAsia="zh-CN"/>
        </w:rPr>
        <w:t>:</w:t>
      </w:r>
      <w:r>
        <w:rPr>
          <w:rFonts w:hint="eastAsia" w:ascii="仿宋_GB2312" w:eastAsia="仿宋_GB2312"/>
          <w:color w:val="auto"/>
          <w:sz w:val="28"/>
          <w:szCs w:val="28"/>
          <w:lang w:eastAsia="zh-CN"/>
        </w:rPr>
        <w:t>肩井、肩隅、肩贞、肩髎、曲池、合谷。</w:t>
      </w:r>
    </w:p>
    <w:p w14:paraId="52679CE8">
      <w:pPr>
        <w:pStyle w:val="30"/>
        <w:spacing w:line="520" w:lineRule="exact"/>
        <w:ind w:firstLine="560"/>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5.</w:t>
      </w:r>
      <w:r>
        <w:rPr>
          <w:rFonts w:hint="eastAsia" w:ascii="仿宋_GB2312" w:eastAsia="仿宋_GB2312"/>
          <w:color w:val="auto"/>
          <w:sz w:val="28"/>
          <w:szCs w:val="28"/>
          <w:lang w:eastAsia="zh-CN"/>
        </w:rPr>
        <w:t>疗程：每天</w:t>
      </w:r>
      <w:r>
        <w:rPr>
          <w:rFonts w:hint="eastAsia" w:ascii="仿宋_GB2312" w:eastAsia="仿宋_GB2312"/>
          <w:color w:val="auto"/>
          <w:sz w:val="28"/>
          <w:szCs w:val="28"/>
          <w:lang w:val="en-US" w:eastAsia="zh-CN"/>
        </w:rPr>
        <w:t>1</w:t>
      </w:r>
      <w:r>
        <w:rPr>
          <w:rFonts w:hint="eastAsia" w:ascii="仿宋_GB2312" w:eastAsia="仿宋_GB2312"/>
          <w:color w:val="auto"/>
          <w:sz w:val="28"/>
          <w:szCs w:val="28"/>
          <w:lang w:eastAsia="zh-CN"/>
        </w:rPr>
        <w:t>次，每次</w:t>
      </w:r>
      <w:r>
        <w:rPr>
          <w:rFonts w:hint="eastAsia" w:ascii="仿宋_GB2312" w:eastAsia="仿宋_GB2312"/>
          <w:color w:val="auto"/>
          <w:sz w:val="28"/>
          <w:szCs w:val="28"/>
          <w:lang w:val="en-US" w:eastAsia="zh-CN"/>
        </w:rPr>
        <w:t>20</w:t>
      </w:r>
      <w:r>
        <w:rPr>
          <w:rFonts w:hint="eastAsia" w:ascii="仿宋_GB2312" w:eastAsia="仿宋_GB2312"/>
          <w:color w:val="auto"/>
          <w:sz w:val="28"/>
          <w:szCs w:val="28"/>
          <w:lang w:eastAsia="zh-CN"/>
        </w:rPr>
        <w:t>分钟，</w:t>
      </w:r>
      <w:r>
        <w:rPr>
          <w:rFonts w:hint="eastAsia" w:ascii="仿宋_GB2312" w:eastAsia="仿宋_GB2312"/>
          <w:color w:val="auto"/>
          <w:sz w:val="28"/>
          <w:szCs w:val="28"/>
          <w:lang w:val="en-US" w:eastAsia="zh-CN"/>
        </w:rPr>
        <w:t>7</w:t>
      </w:r>
      <w:r>
        <w:rPr>
          <w:rFonts w:hint="eastAsia" w:ascii="仿宋_GB2312" w:eastAsia="仿宋_GB2312"/>
          <w:color w:val="auto"/>
          <w:sz w:val="28"/>
          <w:szCs w:val="28"/>
          <w:lang w:eastAsia="zh-CN"/>
        </w:rPr>
        <w:t>天为</w:t>
      </w:r>
      <w:r>
        <w:rPr>
          <w:rFonts w:hint="eastAsia" w:ascii="仿宋_GB2312" w:eastAsia="仿宋_GB2312"/>
          <w:color w:val="auto"/>
          <w:sz w:val="28"/>
          <w:szCs w:val="28"/>
          <w:lang w:val="en-US" w:eastAsia="zh-CN"/>
        </w:rPr>
        <w:t>1</w:t>
      </w:r>
      <w:r>
        <w:rPr>
          <w:rFonts w:hint="eastAsia" w:ascii="仿宋_GB2312" w:eastAsia="仿宋_GB2312"/>
          <w:color w:val="auto"/>
          <w:sz w:val="28"/>
          <w:szCs w:val="28"/>
          <w:lang w:eastAsia="zh-CN"/>
        </w:rPr>
        <w:t>疗程，连用</w:t>
      </w:r>
      <w:r>
        <w:rPr>
          <w:rFonts w:hint="eastAsia" w:ascii="仿宋_GB2312" w:eastAsia="仿宋_GB2312"/>
          <w:color w:val="auto"/>
          <w:sz w:val="28"/>
          <w:szCs w:val="28"/>
          <w:lang w:val="en-US" w:eastAsia="zh-CN"/>
        </w:rPr>
        <w:t>2</w:t>
      </w:r>
      <w:r>
        <w:rPr>
          <w:rFonts w:hint="eastAsia" w:ascii="仿宋_GB2312" w:eastAsia="仿宋_GB2312"/>
          <w:color w:val="auto"/>
          <w:sz w:val="28"/>
          <w:szCs w:val="28"/>
          <w:lang w:eastAsia="zh-CN"/>
        </w:rPr>
        <w:t>疗程。施灸完毕后，将药枝燃着暗火的一端插入小瓶中，以备下次使用。</w:t>
      </w:r>
    </w:p>
    <w:p w14:paraId="4B4A8BFB">
      <w:pPr>
        <w:pStyle w:val="30"/>
        <w:spacing w:line="520" w:lineRule="exact"/>
        <w:ind w:firstLine="560"/>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6.</w:t>
      </w:r>
      <w:r>
        <w:rPr>
          <w:rFonts w:hint="eastAsia" w:ascii="仿宋_GB2312" w:eastAsia="仿宋_GB2312"/>
          <w:color w:val="auto"/>
          <w:sz w:val="28"/>
          <w:szCs w:val="28"/>
          <w:lang w:eastAsia="zh-CN"/>
        </w:rPr>
        <w:t>规定了适应症、禁忌及并发症：适应症</w:t>
      </w:r>
      <w:r>
        <w:rPr>
          <w:rFonts w:hint="eastAsia" w:ascii="仿宋_GB2312" w:eastAsia="仿宋_GB2312"/>
          <w:color w:val="auto"/>
          <w:sz w:val="28"/>
          <w:szCs w:val="28"/>
          <w:lang w:val="en-US" w:eastAsia="zh-CN"/>
        </w:rPr>
        <w:t>:</w:t>
      </w:r>
      <w:r>
        <w:rPr>
          <w:rFonts w:hint="eastAsia" w:ascii="仿宋_GB2312" w:eastAsia="仿宋_GB2312"/>
          <w:color w:val="auto"/>
          <w:sz w:val="28"/>
          <w:szCs w:val="28"/>
          <w:lang w:eastAsia="zh-CN"/>
        </w:rPr>
        <w:t>用于卒中后痰浊、瘀血痹阻经络，所致肩关节、手部水肿、痛、痉挛，不能活动。禁忌症</w:t>
      </w:r>
      <w:r>
        <w:rPr>
          <w:rFonts w:hint="eastAsia" w:ascii="仿宋_GB2312" w:eastAsia="仿宋_GB2312"/>
          <w:color w:val="auto"/>
          <w:sz w:val="28"/>
          <w:szCs w:val="28"/>
          <w:lang w:val="en-US" w:eastAsia="zh-CN"/>
        </w:rPr>
        <w:t>:</w:t>
      </w:r>
      <w:r>
        <w:rPr>
          <w:rFonts w:hint="eastAsia" w:ascii="仿宋_GB2312" w:eastAsia="仿宋_GB2312"/>
          <w:color w:val="auto"/>
          <w:sz w:val="28"/>
          <w:szCs w:val="28"/>
          <w:lang w:eastAsia="zh-CN"/>
        </w:rPr>
        <w:t>各种原因所致的高热、急性炎症等实热证；局部皮肤破溃、烫伤和血管曲张者</w:t>
      </w:r>
      <w:r>
        <w:rPr>
          <w:rFonts w:hint="eastAsia" w:ascii="仿宋_GB2312" w:eastAsia="仿宋_GB2312"/>
          <w:color w:val="auto"/>
          <w:sz w:val="28"/>
          <w:szCs w:val="28"/>
          <w:lang w:val="en-US" w:eastAsia="zh-CN"/>
        </w:rPr>
        <w:t>;</w:t>
      </w:r>
      <w:r>
        <w:rPr>
          <w:rFonts w:hint="eastAsia" w:ascii="仿宋_GB2312" w:eastAsia="仿宋_GB2312"/>
          <w:color w:val="auto"/>
          <w:sz w:val="28"/>
          <w:szCs w:val="28"/>
          <w:lang w:eastAsia="zh-CN"/>
        </w:rPr>
        <w:t>急性出血性疾病；畏惧本法不能配合操作者，孕妇及体弱者慎用。可能出现的并发症：烫伤皮肤。</w:t>
      </w:r>
    </w:p>
    <w:p w14:paraId="2FEDAAE6">
      <w:pPr>
        <w:pStyle w:val="30"/>
        <w:spacing w:line="520" w:lineRule="exact"/>
        <w:ind w:firstLine="560"/>
        <w:rPr>
          <w:rFonts w:hint="eastAsia" w:ascii="仿宋_GB2312" w:eastAsia="仿宋_GB2312"/>
          <w:color w:val="auto"/>
          <w:sz w:val="28"/>
          <w:szCs w:val="28"/>
          <w:lang w:eastAsia="zh-CN"/>
        </w:rPr>
      </w:pPr>
      <w:r>
        <w:rPr>
          <w:rFonts w:hint="eastAsia" w:ascii="仿宋_GB2312" w:eastAsia="仿宋_GB2312"/>
          <w:color w:val="auto"/>
          <w:sz w:val="28"/>
          <w:szCs w:val="28"/>
          <w:lang w:val="en-US" w:eastAsia="zh-CN"/>
        </w:rPr>
        <w:t>7.引入了体质辨识的方法，运用中医体质辨识理论，于治疗前后辨识其体制变化。卒中后肩手综合症患者以瘀血质、痰质、气郁质、气虚质为主，其中瘀血质、痰瘀质居多</w:t>
      </w:r>
    </w:p>
    <w:p w14:paraId="332503A2">
      <w:pPr>
        <w:spacing w:line="520" w:lineRule="exact"/>
        <w:ind w:firstLine="562" w:firstLineChars="200"/>
        <w:rPr>
          <w:rFonts w:hint="eastAsia" w:ascii="仿宋_GB2312" w:eastAsia="仿宋_GB2312" w:cs="仿宋_GB2312"/>
          <w:b/>
          <w:color w:val="auto"/>
          <w:sz w:val="28"/>
          <w:szCs w:val="28"/>
          <w:lang w:eastAsia="zh-CN"/>
        </w:rPr>
      </w:pPr>
      <w:r>
        <w:rPr>
          <w:rFonts w:hint="eastAsia" w:ascii="仿宋_GB2312" w:eastAsia="仿宋_GB2312" w:cs="仿宋_GB2312"/>
          <w:b/>
          <w:color w:val="auto"/>
          <w:sz w:val="28"/>
          <w:szCs w:val="28"/>
        </w:rPr>
        <w:t>（四）调研及形成草案、征求意见稿</w:t>
      </w:r>
    </w:p>
    <w:p w14:paraId="2953E794">
      <w:pPr>
        <w:spacing w:line="520" w:lineRule="exact"/>
        <w:ind w:firstLine="560" w:firstLineChars="200"/>
        <w:rPr>
          <w:rFonts w:ascii="仿宋_GB2312" w:eastAsia="仿宋_GB2312"/>
          <w:color w:val="auto"/>
          <w:kern w:val="0"/>
          <w:sz w:val="28"/>
          <w:szCs w:val="28"/>
        </w:rPr>
      </w:pPr>
      <w:r>
        <w:rPr>
          <w:rFonts w:hint="eastAsia" w:ascii="仿宋_GB2312" w:eastAsia="仿宋_GB2312"/>
          <w:color w:val="auto"/>
          <w:kern w:val="0"/>
          <w:sz w:val="28"/>
          <w:szCs w:val="28"/>
        </w:rPr>
        <w:t>202</w:t>
      </w:r>
      <w:r>
        <w:rPr>
          <w:rFonts w:hint="eastAsia" w:ascii="仿宋_GB2312" w:eastAsia="仿宋_GB2312"/>
          <w:color w:val="auto"/>
          <w:kern w:val="0"/>
          <w:sz w:val="28"/>
          <w:szCs w:val="28"/>
          <w:lang w:val="en-US" w:eastAsia="zh-CN"/>
        </w:rPr>
        <w:t>5</w:t>
      </w:r>
      <w:r>
        <w:rPr>
          <w:rFonts w:hint="eastAsia" w:ascii="仿宋_GB2312" w:eastAsia="仿宋_GB2312"/>
          <w:color w:val="auto"/>
          <w:kern w:val="0"/>
          <w:sz w:val="28"/>
          <w:szCs w:val="28"/>
        </w:rPr>
        <w:t>年</w:t>
      </w:r>
      <w:r>
        <w:rPr>
          <w:rFonts w:hint="eastAsia" w:ascii="仿宋_GB2312" w:eastAsia="仿宋_GB2312"/>
          <w:color w:val="auto"/>
          <w:kern w:val="0"/>
          <w:sz w:val="28"/>
          <w:szCs w:val="28"/>
          <w:lang w:val="en-US" w:eastAsia="zh-CN"/>
        </w:rPr>
        <w:t>6</w:t>
      </w:r>
      <w:r>
        <w:rPr>
          <w:rFonts w:hint="eastAsia" w:ascii="仿宋_GB2312" w:eastAsia="仿宋_GB2312"/>
          <w:color w:val="auto"/>
          <w:kern w:val="0"/>
          <w:sz w:val="28"/>
          <w:szCs w:val="28"/>
        </w:rPr>
        <w:t>月～202</w:t>
      </w:r>
      <w:r>
        <w:rPr>
          <w:rFonts w:hint="eastAsia" w:ascii="仿宋_GB2312" w:eastAsia="仿宋_GB2312"/>
          <w:color w:val="auto"/>
          <w:kern w:val="0"/>
          <w:sz w:val="28"/>
          <w:szCs w:val="28"/>
          <w:lang w:val="en-US" w:eastAsia="zh-CN"/>
        </w:rPr>
        <w:t>5</w:t>
      </w:r>
      <w:r>
        <w:rPr>
          <w:rFonts w:hint="eastAsia" w:ascii="仿宋_GB2312" w:eastAsia="仿宋_GB2312"/>
          <w:color w:val="auto"/>
          <w:kern w:val="0"/>
          <w:sz w:val="28"/>
          <w:szCs w:val="28"/>
        </w:rPr>
        <w:t>年</w:t>
      </w:r>
      <w:r>
        <w:rPr>
          <w:rFonts w:hint="eastAsia" w:ascii="仿宋_GB2312" w:eastAsia="仿宋_GB2312"/>
          <w:color w:val="auto"/>
          <w:kern w:val="0"/>
          <w:sz w:val="28"/>
          <w:szCs w:val="28"/>
          <w:lang w:val="en-US" w:eastAsia="zh-CN"/>
        </w:rPr>
        <w:t>7</w:t>
      </w:r>
      <w:r>
        <w:rPr>
          <w:rFonts w:hint="eastAsia" w:ascii="仿宋_GB2312" w:eastAsia="仿宋_GB2312"/>
          <w:color w:val="auto"/>
          <w:kern w:val="0"/>
          <w:sz w:val="28"/>
          <w:szCs w:val="28"/>
        </w:rPr>
        <w:t>月，标准编制工作组查阅了大量的国内文献资料，对</w:t>
      </w:r>
      <w:r>
        <w:rPr>
          <w:rFonts w:hint="eastAsia" w:ascii="仿宋_GB2312" w:eastAsia="仿宋_GB2312"/>
          <w:color w:val="auto"/>
          <w:sz w:val="28"/>
          <w:szCs w:val="28"/>
          <w:lang w:eastAsia="zh-CN"/>
        </w:rPr>
        <w:t>瑶医神火灸治疗脑卒中后肩手综合征</w:t>
      </w:r>
      <w:r>
        <w:rPr>
          <w:rFonts w:hint="eastAsia" w:ascii="仿宋_GB2312" w:eastAsia="仿宋_GB2312"/>
          <w:color w:val="auto"/>
          <w:kern w:val="0"/>
          <w:sz w:val="28"/>
          <w:szCs w:val="28"/>
        </w:rPr>
        <w:t>相关的文件进行系统总结。形成了标准的基本构架，对主要内容进行了讨论并对项目的工作进行了部署和安排。</w:t>
      </w:r>
    </w:p>
    <w:p w14:paraId="399710CD">
      <w:pPr>
        <w:spacing w:line="520" w:lineRule="exact"/>
        <w:ind w:firstLine="560" w:firstLineChars="200"/>
        <w:rPr>
          <w:rFonts w:hint="eastAsia"/>
          <w:color w:val="auto"/>
          <w:sz w:val="28"/>
          <w:szCs w:val="28"/>
        </w:rPr>
      </w:pPr>
      <w:r>
        <w:rPr>
          <w:rFonts w:hint="eastAsia" w:ascii="仿宋_GB2312" w:eastAsia="仿宋_GB2312"/>
          <w:color w:val="auto"/>
          <w:kern w:val="0"/>
          <w:sz w:val="28"/>
          <w:szCs w:val="28"/>
        </w:rPr>
        <w:t>202</w:t>
      </w:r>
      <w:r>
        <w:rPr>
          <w:rFonts w:hint="eastAsia" w:ascii="仿宋_GB2312" w:eastAsia="仿宋_GB2312"/>
          <w:color w:val="auto"/>
          <w:kern w:val="0"/>
          <w:sz w:val="28"/>
          <w:szCs w:val="28"/>
          <w:lang w:val="en-US" w:eastAsia="zh-CN"/>
        </w:rPr>
        <w:t>5</w:t>
      </w:r>
      <w:r>
        <w:rPr>
          <w:rFonts w:hint="eastAsia" w:ascii="仿宋_GB2312" w:eastAsia="仿宋_GB2312"/>
          <w:color w:val="auto"/>
          <w:kern w:val="0"/>
          <w:sz w:val="28"/>
          <w:szCs w:val="28"/>
        </w:rPr>
        <w:t>年</w:t>
      </w:r>
      <w:r>
        <w:rPr>
          <w:rFonts w:hint="eastAsia" w:ascii="仿宋_GB2312" w:eastAsia="仿宋_GB2312"/>
          <w:color w:val="auto"/>
          <w:kern w:val="0"/>
          <w:sz w:val="28"/>
          <w:szCs w:val="28"/>
          <w:lang w:val="en-US" w:eastAsia="zh-CN"/>
        </w:rPr>
        <w:t>7</w:t>
      </w:r>
      <w:r>
        <w:rPr>
          <w:rFonts w:hint="eastAsia" w:ascii="仿宋_GB2312" w:eastAsia="仿宋_GB2312"/>
          <w:color w:val="auto"/>
          <w:kern w:val="0"/>
          <w:sz w:val="28"/>
          <w:szCs w:val="28"/>
        </w:rPr>
        <w:t>月～</w:t>
      </w:r>
      <w:r>
        <w:rPr>
          <w:rFonts w:hint="eastAsia" w:ascii="仿宋_GB2312" w:eastAsia="仿宋_GB2312"/>
          <w:color w:val="auto"/>
          <w:kern w:val="0"/>
          <w:sz w:val="28"/>
          <w:szCs w:val="28"/>
          <w:lang w:val="en-US" w:eastAsia="zh-CN"/>
        </w:rPr>
        <w:t>8</w:t>
      </w:r>
      <w:r>
        <w:rPr>
          <w:rFonts w:hint="eastAsia" w:ascii="仿宋_GB2312" w:eastAsia="仿宋_GB2312"/>
          <w:color w:val="auto"/>
          <w:kern w:val="0"/>
          <w:sz w:val="28"/>
          <w:szCs w:val="28"/>
        </w:rPr>
        <w:t>月，</w:t>
      </w:r>
      <w:r>
        <w:rPr>
          <w:rFonts w:hint="eastAsia" w:ascii="仿宋_GB2312" w:eastAsia="仿宋_GB2312"/>
          <w:color w:val="auto"/>
          <w:kern w:val="0"/>
          <w:sz w:val="28"/>
          <w:szCs w:val="28"/>
          <w:lang w:eastAsia="zh-CN"/>
        </w:rPr>
        <w:t>团体</w:t>
      </w:r>
      <w:r>
        <w:rPr>
          <w:rFonts w:hint="eastAsia" w:ascii="仿宋_GB2312" w:eastAsia="仿宋_GB2312"/>
          <w:color w:val="auto"/>
          <w:kern w:val="0"/>
          <w:sz w:val="28"/>
          <w:szCs w:val="28"/>
        </w:rPr>
        <w:t>标准《</w:t>
      </w:r>
      <w:r>
        <w:rPr>
          <w:rFonts w:hint="eastAsia" w:ascii="仿宋_GB2312" w:eastAsia="仿宋_GB2312"/>
          <w:color w:val="auto"/>
          <w:kern w:val="0"/>
          <w:sz w:val="28"/>
          <w:szCs w:val="28"/>
          <w:lang w:eastAsia="zh-CN"/>
        </w:rPr>
        <w:t>瑶医神火灸治疗脑卒中后肩手综合征技术操作规范</w:t>
      </w:r>
      <w:r>
        <w:rPr>
          <w:rFonts w:hint="eastAsia" w:ascii="仿宋_GB2312" w:eastAsia="仿宋_GB2312"/>
          <w:color w:val="auto"/>
          <w:kern w:val="0"/>
          <w:sz w:val="28"/>
          <w:szCs w:val="28"/>
        </w:rPr>
        <w:t>》</w:t>
      </w:r>
      <w:r>
        <w:rPr>
          <w:rFonts w:hint="eastAsia" w:ascii="仿宋_GB2312" w:hAnsi="宋体" w:eastAsia="仿宋_GB2312"/>
          <w:color w:val="auto"/>
          <w:sz w:val="28"/>
          <w:szCs w:val="28"/>
        </w:rPr>
        <w:t>获批立项</w:t>
      </w:r>
      <w:r>
        <w:rPr>
          <w:rFonts w:hint="eastAsia" w:ascii="仿宋_GB2312" w:eastAsia="仿宋_GB2312"/>
          <w:color w:val="auto"/>
          <w:kern w:val="0"/>
          <w:sz w:val="28"/>
          <w:szCs w:val="28"/>
        </w:rPr>
        <w:t>，在前期工作的基础之上，通过理清逻辑脉络，整合已有参考资料中有关</w:t>
      </w:r>
      <w:r>
        <w:rPr>
          <w:rFonts w:hint="eastAsia" w:ascii="仿宋_GB2312" w:eastAsia="仿宋_GB2312"/>
          <w:color w:val="auto"/>
          <w:sz w:val="28"/>
          <w:szCs w:val="28"/>
          <w:lang w:eastAsia="zh-CN"/>
        </w:rPr>
        <w:t>瑶医神火灸治疗脑卒中后肩手综合征</w:t>
      </w:r>
      <w:r>
        <w:rPr>
          <w:rFonts w:hint="eastAsia" w:ascii="仿宋_GB2312" w:eastAsia="仿宋_GB2312"/>
          <w:color w:val="auto"/>
          <w:kern w:val="0"/>
          <w:sz w:val="28"/>
          <w:szCs w:val="28"/>
        </w:rPr>
        <w:t>的要求，并在</w:t>
      </w:r>
      <w:r>
        <w:rPr>
          <w:rFonts w:hint="eastAsia" w:ascii="仿宋_GB2312" w:eastAsia="仿宋_GB2312"/>
          <w:color w:val="auto"/>
          <w:kern w:val="0"/>
          <w:sz w:val="28"/>
          <w:szCs w:val="28"/>
          <w:lang w:eastAsia="zh-CN"/>
        </w:rPr>
        <w:t>目前</w:t>
      </w:r>
      <w:r>
        <w:rPr>
          <w:rFonts w:hint="eastAsia" w:ascii="仿宋_GB2312" w:eastAsia="仿宋_GB2312"/>
          <w:color w:val="auto"/>
          <w:sz w:val="28"/>
          <w:szCs w:val="28"/>
          <w:lang w:eastAsia="zh-CN"/>
        </w:rPr>
        <w:t>瑶医神火灸治疗脑卒中后肩手综合征技术</w:t>
      </w:r>
      <w:r>
        <w:rPr>
          <w:rFonts w:hint="eastAsia" w:ascii="仿宋_GB2312" w:eastAsia="仿宋_GB2312"/>
          <w:color w:val="auto"/>
          <w:kern w:val="0"/>
          <w:sz w:val="28"/>
          <w:szCs w:val="28"/>
        </w:rPr>
        <w:t>操作的基础上，按照简化、统一等原则编制完成</w:t>
      </w:r>
      <w:r>
        <w:rPr>
          <w:rFonts w:hint="eastAsia" w:ascii="仿宋_GB2312" w:eastAsia="仿宋_GB2312"/>
          <w:color w:val="auto"/>
          <w:kern w:val="0"/>
          <w:sz w:val="28"/>
          <w:szCs w:val="28"/>
          <w:lang w:val="en-US" w:eastAsia="zh-CN"/>
        </w:rPr>
        <w:t>团体</w:t>
      </w:r>
      <w:r>
        <w:rPr>
          <w:rFonts w:hint="eastAsia" w:ascii="仿宋_GB2312" w:eastAsia="仿宋_GB2312"/>
          <w:color w:val="auto"/>
          <w:kern w:val="0"/>
          <w:sz w:val="28"/>
          <w:szCs w:val="28"/>
        </w:rPr>
        <w:t>标准《</w:t>
      </w:r>
      <w:r>
        <w:rPr>
          <w:rFonts w:hint="eastAsia" w:ascii="仿宋_GB2312" w:eastAsia="仿宋_GB2312"/>
          <w:color w:val="auto"/>
          <w:kern w:val="0"/>
          <w:sz w:val="28"/>
          <w:szCs w:val="28"/>
          <w:lang w:eastAsia="zh-CN"/>
        </w:rPr>
        <w:t>瑶医神火灸治疗脑卒中后肩手综合征技术操作规范</w:t>
      </w:r>
      <w:r>
        <w:rPr>
          <w:rFonts w:hint="eastAsia" w:ascii="仿宋_GB2312" w:eastAsia="仿宋_GB2312"/>
          <w:color w:val="auto"/>
          <w:kern w:val="0"/>
          <w:sz w:val="28"/>
          <w:szCs w:val="28"/>
        </w:rPr>
        <w:t>》（草案）。</w:t>
      </w:r>
    </w:p>
    <w:p w14:paraId="6F1974DE">
      <w:pPr>
        <w:spacing w:line="520" w:lineRule="exact"/>
        <w:ind w:firstLine="560" w:firstLineChars="200"/>
        <w:rPr>
          <w:rFonts w:ascii="仿宋_GB2312" w:eastAsia="仿宋_GB2312"/>
          <w:kern w:val="0"/>
          <w:sz w:val="28"/>
          <w:szCs w:val="28"/>
        </w:rPr>
      </w:pPr>
      <w:r>
        <w:rPr>
          <w:rFonts w:hint="eastAsia" w:ascii="仿宋_GB2312" w:eastAsia="仿宋_GB2312"/>
          <w:color w:val="auto"/>
          <w:kern w:val="0"/>
          <w:sz w:val="28"/>
          <w:szCs w:val="28"/>
        </w:rPr>
        <w:t>202</w:t>
      </w:r>
      <w:r>
        <w:rPr>
          <w:rFonts w:hint="eastAsia" w:ascii="仿宋_GB2312" w:eastAsia="仿宋_GB2312"/>
          <w:color w:val="auto"/>
          <w:kern w:val="0"/>
          <w:sz w:val="28"/>
          <w:szCs w:val="28"/>
          <w:lang w:val="en-US" w:eastAsia="zh-CN"/>
        </w:rPr>
        <w:t>5</w:t>
      </w:r>
      <w:r>
        <w:rPr>
          <w:rFonts w:hint="eastAsia" w:ascii="仿宋_GB2312" w:eastAsia="仿宋_GB2312"/>
          <w:color w:val="auto"/>
          <w:kern w:val="0"/>
          <w:sz w:val="28"/>
          <w:szCs w:val="28"/>
        </w:rPr>
        <w:t>年</w:t>
      </w:r>
      <w:r>
        <w:rPr>
          <w:rFonts w:hint="eastAsia" w:ascii="仿宋_GB2312" w:eastAsia="仿宋_GB2312"/>
          <w:color w:val="auto"/>
          <w:kern w:val="0"/>
          <w:sz w:val="28"/>
          <w:szCs w:val="28"/>
          <w:lang w:val="en-US" w:eastAsia="zh-CN"/>
        </w:rPr>
        <w:t>8</w:t>
      </w:r>
      <w:r>
        <w:rPr>
          <w:rFonts w:hint="eastAsia" w:ascii="仿宋_GB2312" w:eastAsia="仿宋_GB2312"/>
          <w:color w:val="auto"/>
          <w:kern w:val="0"/>
          <w:sz w:val="28"/>
          <w:szCs w:val="28"/>
        </w:rPr>
        <w:t>月～</w:t>
      </w:r>
      <w:r>
        <w:rPr>
          <w:rFonts w:hint="eastAsia" w:ascii="仿宋_GB2312" w:eastAsia="仿宋_GB2312"/>
          <w:color w:val="auto"/>
          <w:kern w:val="0"/>
          <w:sz w:val="28"/>
          <w:szCs w:val="28"/>
          <w:lang w:val="en-US" w:eastAsia="zh-CN"/>
        </w:rPr>
        <w:t>2025年9</w:t>
      </w:r>
      <w:r>
        <w:rPr>
          <w:rFonts w:hint="eastAsia" w:ascii="仿宋_GB2312" w:eastAsia="仿宋_GB2312"/>
          <w:color w:val="auto"/>
          <w:kern w:val="0"/>
          <w:sz w:val="28"/>
          <w:szCs w:val="28"/>
        </w:rPr>
        <w:t>月，标准编制工作组</w:t>
      </w:r>
      <w:r>
        <w:rPr>
          <w:rFonts w:hint="eastAsia" w:ascii="仿宋_GB2312" w:eastAsia="仿宋_GB2312"/>
          <w:color w:val="auto"/>
          <w:kern w:val="0"/>
          <w:sz w:val="28"/>
          <w:szCs w:val="28"/>
          <w:lang w:val="en-US" w:eastAsia="zh-CN"/>
        </w:rPr>
        <w:t>去往广西中医药大学第一附属医院、广西国际壮医医院、柳城县中医医院、融水苗族自治县中医医院、桂林市中医医院</w:t>
      </w:r>
      <w:r>
        <w:rPr>
          <w:rFonts w:hint="eastAsia" w:ascii="仿宋_GB2312" w:eastAsia="仿宋_GB2312"/>
          <w:color w:val="auto"/>
          <w:sz w:val="28"/>
          <w:szCs w:val="28"/>
          <w:lang w:val="en-US" w:eastAsia="zh-CN"/>
        </w:rPr>
        <w:t>进行调研，开展临床验证，并对实际征求意见，通过收集反馈了大量意见，标准编制工作组召开会议，对标准草案进行反复修改和研究讨论。进一步讨论完善标准草案，形成</w:t>
      </w:r>
      <w:r>
        <w:rPr>
          <w:rFonts w:hint="eastAsia" w:ascii="仿宋_GB2312" w:eastAsia="仿宋_GB2312"/>
          <w:color w:val="auto"/>
          <w:kern w:val="0"/>
          <w:sz w:val="28"/>
          <w:szCs w:val="28"/>
        </w:rPr>
        <w:t>《</w:t>
      </w:r>
      <w:r>
        <w:rPr>
          <w:rFonts w:hint="eastAsia" w:ascii="仿宋_GB2312" w:eastAsia="仿宋_GB2312"/>
          <w:color w:val="auto"/>
          <w:kern w:val="0"/>
          <w:sz w:val="28"/>
          <w:szCs w:val="28"/>
          <w:lang w:eastAsia="zh-CN"/>
        </w:rPr>
        <w:t>瑶医神火灸治疗脑卒中后肩手综合征技术操作规范</w:t>
      </w:r>
      <w:r>
        <w:rPr>
          <w:rFonts w:hint="eastAsia" w:ascii="仿宋_GB2312" w:eastAsia="仿宋_GB2312"/>
          <w:color w:val="auto"/>
          <w:kern w:val="0"/>
          <w:sz w:val="28"/>
          <w:szCs w:val="28"/>
        </w:rPr>
        <w:t>》</w:t>
      </w:r>
      <w:r>
        <w:rPr>
          <w:rFonts w:hint="eastAsia" w:ascii="仿宋_GB2312" w:eastAsia="仿宋_GB2312"/>
          <w:color w:val="auto"/>
          <w:kern w:val="0"/>
          <w:sz w:val="28"/>
          <w:szCs w:val="28"/>
          <w:lang w:val="en-US" w:eastAsia="zh-CN"/>
        </w:rPr>
        <w:t>和征求意见稿编制说明。</w:t>
      </w:r>
      <w:r>
        <w:rPr>
          <w:rFonts w:hint="eastAsia" w:ascii="仿宋_GB2312" w:eastAsia="仿宋_GB2312"/>
          <w:color w:val="auto"/>
          <w:kern w:val="0"/>
          <w:sz w:val="28"/>
          <w:szCs w:val="28"/>
          <w:lang w:eastAsia="zh-CN"/>
        </w:rPr>
        <w:t>实施瑶医神火灸治疗脑卒中后肩手综合征技术</w:t>
      </w:r>
      <w:r>
        <w:rPr>
          <w:rFonts w:hint="eastAsia" w:ascii="仿宋_GB2312" w:hAnsi="宋体" w:eastAsia="仿宋_GB2312"/>
          <w:color w:val="auto"/>
          <w:sz w:val="28"/>
          <w:szCs w:val="28"/>
        </w:rPr>
        <w:t>的有代表性的中医医院</w:t>
      </w:r>
      <w:r>
        <w:rPr>
          <w:rFonts w:hint="eastAsia" w:ascii="仿宋_GB2312" w:eastAsia="仿宋_GB2312"/>
          <w:color w:val="auto"/>
          <w:kern w:val="0"/>
          <w:sz w:val="28"/>
          <w:szCs w:val="28"/>
        </w:rPr>
        <w:t>进行实地调研，并组织相关主管单位、医疗机构等召开标准研讨会，收集反馈了大量意见，对标准草案进行了反复修改和研究讨论，掌握了</w:t>
      </w:r>
      <w:r>
        <w:rPr>
          <w:rFonts w:hint="eastAsia" w:ascii="仿宋_GB2312" w:eastAsia="仿宋_GB2312"/>
          <w:color w:val="auto"/>
          <w:kern w:val="0"/>
          <w:sz w:val="28"/>
          <w:szCs w:val="28"/>
          <w:lang w:eastAsia="zh-CN"/>
        </w:rPr>
        <w:t>瑶医神火灸治疗脑卒中后肩手综合征技术</w:t>
      </w:r>
      <w:r>
        <w:rPr>
          <w:rFonts w:hint="eastAsia" w:ascii="仿宋_GB2312" w:eastAsia="仿宋_GB2312"/>
          <w:color w:val="auto"/>
          <w:kern w:val="0"/>
          <w:sz w:val="28"/>
          <w:szCs w:val="28"/>
        </w:rPr>
        <w:t>的基本情况</w:t>
      </w:r>
      <w:r>
        <w:rPr>
          <w:rFonts w:hint="eastAsia" w:ascii="仿宋_GB2312" w:eastAsia="仿宋_GB2312"/>
          <w:color w:val="auto"/>
          <w:kern w:val="0"/>
          <w:sz w:val="28"/>
          <w:szCs w:val="28"/>
          <w:lang w:eastAsia="zh-CN"/>
        </w:rPr>
        <w:t>以及</w:t>
      </w:r>
      <w:r>
        <w:rPr>
          <w:rFonts w:hint="eastAsia" w:ascii="仿宋_GB2312" w:eastAsia="仿宋_GB2312"/>
          <w:color w:val="auto"/>
          <w:kern w:val="0"/>
          <w:sz w:val="28"/>
          <w:szCs w:val="28"/>
        </w:rPr>
        <w:t>要求，最终形成了</w:t>
      </w:r>
      <w:bookmarkStart w:id="3" w:name="_Hlk120181503"/>
      <w:r>
        <w:rPr>
          <w:rFonts w:hint="eastAsia" w:ascii="仿宋_GB2312" w:eastAsia="仿宋_GB2312"/>
          <w:color w:val="auto"/>
          <w:kern w:val="0"/>
          <w:sz w:val="28"/>
          <w:szCs w:val="28"/>
          <w:lang w:eastAsia="zh-CN"/>
        </w:rPr>
        <w:t>团体标准</w:t>
      </w:r>
      <w:r>
        <w:rPr>
          <w:rFonts w:hint="eastAsia" w:ascii="仿宋_GB2312" w:eastAsia="仿宋_GB2312"/>
          <w:color w:val="auto"/>
          <w:kern w:val="0"/>
          <w:sz w:val="28"/>
          <w:szCs w:val="28"/>
        </w:rPr>
        <w:t>《</w:t>
      </w:r>
      <w:r>
        <w:rPr>
          <w:rFonts w:hint="eastAsia" w:ascii="仿宋_GB2312" w:eastAsia="仿宋_GB2312"/>
          <w:color w:val="auto"/>
          <w:kern w:val="0"/>
          <w:sz w:val="28"/>
          <w:szCs w:val="28"/>
          <w:lang w:eastAsia="zh-CN"/>
        </w:rPr>
        <w:t>瑶医神火灸治疗脑卒中后肩手综合征技术操作规范</w:t>
      </w:r>
      <w:r>
        <w:rPr>
          <w:rFonts w:hint="eastAsia" w:ascii="仿宋_GB2312" w:eastAsia="仿宋_GB2312"/>
          <w:color w:val="auto"/>
          <w:kern w:val="0"/>
          <w:sz w:val="28"/>
          <w:szCs w:val="28"/>
        </w:rPr>
        <w:t>》（征求意见稿）及其编制说明。</w:t>
      </w:r>
      <w:bookmarkEnd w:id="3"/>
    </w:p>
    <w:p w14:paraId="2F26DED6">
      <w:pPr>
        <w:autoSpaceDE w:val="0"/>
        <w:autoSpaceDN w:val="0"/>
        <w:adjustRightInd w:val="0"/>
        <w:spacing w:line="520" w:lineRule="exact"/>
        <w:ind w:firstLine="640" w:firstLineChars="200"/>
        <w:jc w:val="left"/>
        <w:rPr>
          <w:rFonts w:hint="eastAsia" w:ascii="黑体" w:eastAsia="黑体" w:cs="仿宋_GB2312"/>
          <w:color w:val="auto"/>
          <w:sz w:val="32"/>
          <w:szCs w:val="32"/>
        </w:rPr>
      </w:pPr>
      <w:r>
        <w:rPr>
          <w:rFonts w:hint="eastAsia" w:ascii="黑体" w:eastAsia="黑体" w:cs="仿宋_GB2312"/>
          <w:color w:val="auto"/>
          <w:sz w:val="32"/>
          <w:szCs w:val="32"/>
        </w:rPr>
        <w:t>四、制定标准的原则和依据，与现行法律、法规的关系，与有关国家标准、行业标准的协调情况</w:t>
      </w:r>
    </w:p>
    <w:p w14:paraId="452D7840">
      <w:pPr>
        <w:widowControl/>
        <w:tabs>
          <w:tab w:val="center" w:pos="4201"/>
          <w:tab w:val="right" w:leader="dot" w:pos="9298"/>
        </w:tabs>
        <w:autoSpaceDE w:val="0"/>
        <w:autoSpaceDN w:val="0"/>
        <w:spacing w:line="520" w:lineRule="exact"/>
        <w:ind w:firstLine="562" w:firstLineChars="200"/>
        <w:outlineLvl w:val="1"/>
        <w:rPr>
          <w:rFonts w:hint="eastAsia" w:ascii="仿宋_GB2312" w:eastAsia="仿宋_GB2312"/>
          <w:b/>
          <w:bCs/>
          <w:color w:val="auto"/>
          <w:kern w:val="0"/>
          <w:sz w:val="28"/>
          <w:szCs w:val="28"/>
        </w:rPr>
      </w:pPr>
      <w:r>
        <w:rPr>
          <w:rFonts w:hint="eastAsia" w:ascii="仿宋_GB2312" w:eastAsia="仿宋_GB2312"/>
          <w:b/>
          <w:bCs/>
          <w:color w:val="auto"/>
          <w:kern w:val="0"/>
          <w:sz w:val="28"/>
          <w:szCs w:val="28"/>
        </w:rPr>
        <w:t>（一）编制原则</w:t>
      </w:r>
    </w:p>
    <w:p w14:paraId="3F535D31">
      <w:pPr>
        <w:spacing w:line="520" w:lineRule="exact"/>
        <w:ind w:firstLine="562" w:firstLineChars="200"/>
        <w:rPr>
          <w:rFonts w:hint="eastAsia" w:ascii="仿宋_GB2312" w:eastAsia="仿宋_GB2312"/>
          <w:b/>
          <w:color w:val="auto"/>
          <w:sz w:val="28"/>
          <w:szCs w:val="28"/>
        </w:rPr>
      </w:pPr>
      <w:r>
        <w:rPr>
          <w:rFonts w:hint="eastAsia" w:ascii="仿宋_GB2312" w:eastAsia="仿宋_GB2312"/>
          <w:b/>
          <w:color w:val="auto"/>
          <w:sz w:val="28"/>
          <w:szCs w:val="28"/>
        </w:rPr>
        <w:t>1、实用性原则</w:t>
      </w:r>
    </w:p>
    <w:p w14:paraId="51AE984F">
      <w:pPr>
        <w:spacing w:line="520" w:lineRule="exact"/>
        <w:ind w:firstLine="560" w:firstLineChars="200"/>
        <w:rPr>
          <w:rFonts w:ascii="仿宋_GB2312" w:eastAsia="仿宋_GB2312" w:cs="仿宋"/>
          <w:color w:val="auto"/>
          <w:sz w:val="28"/>
          <w:szCs w:val="28"/>
        </w:rPr>
      </w:pPr>
      <w:r>
        <w:rPr>
          <w:rFonts w:hint="eastAsia" w:ascii="仿宋_GB2312" w:eastAsia="仿宋_GB2312" w:cs="仿宋"/>
          <w:color w:val="auto"/>
          <w:sz w:val="28"/>
          <w:szCs w:val="28"/>
        </w:rPr>
        <w:t>本标准是在充分收集国内外相关资料和文献、调研分析</w:t>
      </w:r>
      <w:r>
        <w:rPr>
          <w:rFonts w:hint="eastAsia" w:ascii="仿宋_GB2312" w:eastAsia="仿宋_GB2312"/>
          <w:color w:val="auto"/>
          <w:kern w:val="0"/>
          <w:sz w:val="28"/>
          <w:szCs w:val="28"/>
          <w:lang w:eastAsia="zh-CN"/>
        </w:rPr>
        <w:t>瑶医神火灸治疗脑卒中后肩手综合征技术操作</w:t>
      </w:r>
      <w:r>
        <w:rPr>
          <w:rFonts w:hint="eastAsia" w:ascii="仿宋_GB2312" w:eastAsia="仿宋_GB2312" w:cs="仿宋"/>
          <w:color w:val="auto"/>
          <w:sz w:val="28"/>
          <w:szCs w:val="28"/>
        </w:rPr>
        <w:t>现状，结合起草单位前期研究工作取得的研究成果及积累的</w:t>
      </w:r>
      <w:r>
        <w:rPr>
          <w:rFonts w:hint="eastAsia" w:ascii="仿宋_GB2312" w:eastAsia="仿宋_GB2312" w:cs="仿宋"/>
          <w:color w:val="auto"/>
          <w:sz w:val="28"/>
          <w:szCs w:val="28"/>
          <w:lang w:eastAsia="zh-CN"/>
        </w:rPr>
        <w:t>瑶医</w:t>
      </w:r>
      <w:r>
        <w:rPr>
          <w:rFonts w:hint="eastAsia" w:ascii="仿宋_GB2312" w:eastAsia="仿宋_GB2312" w:cs="仿宋"/>
          <w:color w:val="auto"/>
          <w:sz w:val="28"/>
          <w:szCs w:val="28"/>
        </w:rPr>
        <w:t>实践经验，并借鉴国内</w:t>
      </w:r>
      <w:r>
        <w:rPr>
          <w:rFonts w:hint="eastAsia" w:ascii="仿宋_GB2312" w:eastAsia="仿宋_GB2312"/>
          <w:color w:val="auto"/>
          <w:kern w:val="0"/>
          <w:sz w:val="28"/>
          <w:szCs w:val="28"/>
          <w:lang w:eastAsia="zh-CN"/>
        </w:rPr>
        <w:t>瑶医神火灸治疗脑卒中后肩手综合征技术操作</w:t>
      </w:r>
      <w:r>
        <w:rPr>
          <w:rFonts w:hint="eastAsia" w:ascii="仿宋_GB2312" w:eastAsia="仿宋_GB2312" w:cs="仿宋"/>
          <w:color w:val="auto"/>
          <w:sz w:val="28"/>
          <w:szCs w:val="28"/>
        </w:rPr>
        <w:t>进行总结起草的，符合工作实际，利于</w:t>
      </w:r>
      <w:r>
        <w:rPr>
          <w:rFonts w:hint="eastAsia" w:ascii="仿宋_GB2312" w:eastAsia="仿宋_GB2312"/>
          <w:color w:val="auto"/>
          <w:kern w:val="0"/>
          <w:sz w:val="28"/>
          <w:szCs w:val="28"/>
          <w:lang w:eastAsia="zh-CN"/>
        </w:rPr>
        <w:t>瑶医神火灸治疗脑卒中后肩手综合征技术</w:t>
      </w:r>
      <w:r>
        <w:rPr>
          <w:rFonts w:hint="eastAsia" w:ascii="仿宋_GB2312" w:eastAsia="仿宋_GB2312" w:cs="仿宋"/>
          <w:color w:val="auto"/>
          <w:sz w:val="28"/>
          <w:szCs w:val="28"/>
        </w:rPr>
        <w:t>的实施与推广，具有可操作性和实用性。</w:t>
      </w:r>
    </w:p>
    <w:p w14:paraId="1CAE46BF">
      <w:pPr>
        <w:spacing w:line="520" w:lineRule="exact"/>
        <w:ind w:firstLine="562" w:firstLineChars="200"/>
        <w:rPr>
          <w:rFonts w:hint="eastAsia" w:ascii="仿宋_GB2312" w:eastAsia="仿宋_GB2312"/>
          <w:b/>
          <w:color w:val="auto"/>
          <w:sz w:val="28"/>
          <w:szCs w:val="28"/>
        </w:rPr>
      </w:pPr>
      <w:r>
        <w:rPr>
          <w:rFonts w:hint="eastAsia" w:ascii="仿宋_GB2312" w:eastAsia="仿宋_GB2312"/>
          <w:b/>
          <w:color w:val="auto"/>
          <w:sz w:val="28"/>
          <w:szCs w:val="28"/>
        </w:rPr>
        <w:t>2、协调性原则</w:t>
      </w:r>
    </w:p>
    <w:p w14:paraId="3C2841AB">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本文件编写过程中注意了与</w:t>
      </w:r>
      <w:r>
        <w:rPr>
          <w:rFonts w:hint="eastAsia" w:ascii="仿宋_GB2312" w:eastAsia="仿宋_GB2312"/>
          <w:color w:val="auto"/>
          <w:kern w:val="0"/>
          <w:sz w:val="28"/>
          <w:szCs w:val="28"/>
          <w:lang w:eastAsia="zh-CN"/>
        </w:rPr>
        <w:t>瑶医神火灸治疗脑卒中后肩手综合征技术</w:t>
      </w:r>
      <w:r>
        <w:rPr>
          <w:rFonts w:hint="eastAsia" w:ascii="仿宋_GB2312" w:eastAsia="仿宋_GB2312"/>
          <w:color w:val="auto"/>
          <w:sz w:val="28"/>
          <w:szCs w:val="28"/>
        </w:rPr>
        <w:t>相关法律法规的协调问题，在内容上与现行法律法规、标准协调一致。</w:t>
      </w:r>
    </w:p>
    <w:p w14:paraId="6C9CAA26">
      <w:pPr>
        <w:spacing w:line="520" w:lineRule="exact"/>
        <w:ind w:firstLine="562" w:firstLineChars="200"/>
        <w:rPr>
          <w:rFonts w:hint="eastAsia" w:ascii="仿宋_GB2312" w:eastAsia="仿宋_GB2312"/>
          <w:b/>
          <w:color w:val="auto"/>
          <w:sz w:val="28"/>
          <w:szCs w:val="28"/>
        </w:rPr>
      </w:pPr>
      <w:r>
        <w:rPr>
          <w:rFonts w:hint="eastAsia" w:ascii="仿宋_GB2312" w:eastAsia="仿宋_GB2312"/>
          <w:b/>
          <w:color w:val="auto"/>
          <w:sz w:val="28"/>
          <w:szCs w:val="28"/>
        </w:rPr>
        <w:t>3、规范性原则</w:t>
      </w:r>
    </w:p>
    <w:p w14:paraId="059709A1">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本文件严格按照GB/T 1.1—2020《标准化工作导则  第1部分：标准化文件的结构和起草规则》编写本标准的内容，保证标准的编写质量。</w:t>
      </w:r>
    </w:p>
    <w:p w14:paraId="160C3DF6">
      <w:pPr>
        <w:spacing w:line="520" w:lineRule="exact"/>
        <w:ind w:firstLine="562" w:firstLineChars="200"/>
        <w:rPr>
          <w:rFonts w:hint="eastAsia" w:ascii="仿宋_GB2312" w:eastAsia="仿宋_GB2312"/>
          <w:b/>
          <w:color w:val="auto"/>
          <w:sz w:val="28"/>
          <w:szCs w:val="28"/>
        </w:rPr>
      </w:pPr>
      <w:r>
        <w:rPr>
          <w:rFonts w:hint="eastAsia" w:ascii="仿宋_GB2312" w:eastAsia="仿宋_GB2312"/>
          <w:b/>
          <w:color w:val="auto"/>
          <w:sz w:val="28"/>
          <w:szCs w:val="28"/>
        </w:rPr>
        <w:t>4、前瞻性原则</w:t>
      </w:r>
    </w:p>
    <w:p w14:paraId="4DB49F2D">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本文件在兼顾当前区内</w:t>
      </w:r>
      <w:r>
        <w:rPr>
          <w:rFonts w:hint="eastAsia" w:ascii="仿宋_GB2312" w:eastAsia="仿宋_GB2312"/>
          <w:color w:val="auto"/>
          <w:kern w:val="0"/>
          <w:sz w:val="28"/>
          <w:szCs w:val="28"/>
          <w:lang w:eastAsia="zh-CN"/>
        </w:rPr>
        <w:t>瑶医神火灸治疗脑卒中后肩手综合征技术</w:t>
      </w:r>
      <w:r>
        <w:rPr>
          <w:rFonts w:hint="eastAsia" w:ascii="仿宋_GB2312" w:eastAsia="仿宋_GB2312"/>
          <w:color w:val="auto"/>
          <w:sz w:val="28"/>
          <w:szCs w:val="28"/>
        </w:rPr>
        <w:t>现实情况的同时，还考虑到了</w:t>
      </w:r>
      <w:r>
        <w:rPr>
          <w:rFonts w:hint="eastAsia" w:ascii="仿宋_GB2312" w:eastAsia="仿宋_GB2312"/>
          <w:color w:val="auto"/>
          <w:kern w:val="0"/>
          <w:sz w:val="28"/>
          <w:szCs w:val="28"/>
          <w:lang w:eastAsia="zh-CN"/>
        </w:rPr>
        <w:t>瑶医神火灸治疗脑卒中后肩手综合征技术操作</w:t>
      </w:r>
      <w:r>
        <w:rPr>
          <w:rFonts w:hint="eastAsia" w:ascii="仿宋_GB2312" w:eastAsia="仿宋_GB2312"/>
          <w:color w:val="auto"/>
          <w:sz w:val="28"/>
          <w:szCs w:val="28"/>
        </w:rPr>
        <w:t>的需要，在标准中体现了个别特色性、前瞻性和先进性条款，作为对</w:t>
      </w:r>
      <w:r>
        <w:rPr>
          <w:rFonts w:hint="eastAsia" w:ascii="仿宋_GB2312" w:eastAsia="仿宋_GB2312"/>
          <w:color w:val="auto"/>
          <w:kern w:val="0"/>
          <w:sz w:val="28"/>
          <w:szCs w:val="28"/>
          <w:lang w:eastAsia="zh-CN"/>
        </w:rPr>
        <w:t>瑶医神火灸治疗脑卒中后肩手综合征技术</w:t>
      </w:r>
      <w:r>
        <w:rPr>
          <w:rFonts w:hint="eastAsia" w:ascii="仿宋_GB2312" w:eastAsia="仿宋_GB2312"/>
          <w:color w:val="auto"/>
          <w:sz w:val="28"/>
          <w:szCs w:val="28"/>
        </w:rPr>
        <w:t>发展的指导。</w:t>
      </w:r>
    </w:p>
    <w:p w14:paraId="028A7C9B">
      <w:pPr>
        <w:spacing w:line="520" w:lineRule="exact"/>
        <w:ind w:firstLine="562" w:firstLineChars="200"/>
        <w:rPr>
          <w:rFonts w:hint="eastAsia" w:ascii="仿宋_GB2312" w:eastAsia="仿宋_GB2312"/>
          <w:b/>
          <w:bCs/>
          <w:color w:val="auto"/>
          <w:sz w:val="28"/>
          <w:szCs w:val="28"/>
        </w:rPr>
      </w:pPr>
      <w:r>
        <w:rPr>
          <w:rFonts w:hint="eastAsia" w:ascii="仿宋_GB2312" w:eastAsia="仿宋_GB2312"/>
          <w:b/>
          <w:bCs/>
          <w:color w:val="auto"/>
          <w:sz w:val="28"/>
          <w:szCs w:val="28"/>
        </w:rPr>
        <w:t>（二）编制依据</w:t>
      </w:r>
    </w:p>
    <w:p w14:paraId="58F297BA">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本标准严格按照GB/T 1.1—2020《标准化工作导则  第1部分：标准化文件的结构和起草规则》的规则起草，标准主要内容依据起草单位在</w:t>
      </w:r>
      <w:r>
        <w:rPr>
          <w:rFonts w:hint="eastAsia" w:ascii="仿宋_GB2312" w:eastAsia="仿宋_GB2312"/>
          <w:color w:val="auto"/>
          <w:kern w:val="0"/>
          <w:sz w:val="28"/>
          <w:szCs w:val="28"/>
          <w:lang w:eastAsia="zh-CN"/>
        </w:rPr>
        <w:t>瑶医神火灸治疗脑卒中后肩手综合征技术</w:t>
      </w:r>
      <w:r>
        <w:rPr>
          <w:rFonts w:hint="eastAsia" w:ascii="仿宋_GB2312" w:eastAsia="仿宋_GB2312"/>
          <w:color w:val="auto"/>
          <w:sz w:val="28"/>
          <w:szCs w:val="28"/>
        </w:rPr>
        <w:t>研究应用过程中的实践经验确定。</w:t>
      </w:r>
    </w:p>
    <w:p w14:paraId="6EE4F66F">
      <w:pPr>
        <w:spacing w:line="520" w:lineRule="exact"/>
        <w:ind w:firstLine="562" w:firstLineChars="200"/>
        <w:rPr>
          <w:rFonts w:hint="eastAsia" w:ascii="仿宋_GB2312" w:eastAsia="仿宋_GB2312"/>
          <w:b/>
          <w:bCs/>
          <w:color w:val="auto"/>
          <w:sz w:val="28"/>
          <w:szCs w:val="28"/>
        </w:rPr>
      </w:pPr>
      <w:r>
        <w:rPr>
          <w:rFonts w:hint="eastAsia" w:ascii="仿宋_GB2312" w:eastAsia="仿宋_GB2312"/>
          <w:b/>
          <w:bCs/>
          <w:color w:val="auto"/>
          <w:sz w:val="28"/>
          <w:szCs w:val="28"/>
        </w:rPr>
        <w:t>（三）与现行法律、法规的关系，与有关国家标准、行业标准的协调情况</w:t>
      </w:r>
    </w:p>
    <w:p w14:paraId="73CAD001">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本标准与相关法律法规、强制性标准协调一致，无冲突。</w:t>
      </w:r>
    </w:p>
    <w:p w14:paraId="7BB7C8FD">
      <w:pPr>
        <w:spacing w:line="520" w:lineRule="exact"/>
        <w:ind w:firstLine="560" w:firstLineChars="200"/>
        <w:rPr>
          <w:rFonts w:hint="eastAsia" w:ascii="仿宋_GB2312" w:eastAsia="仿宋_GB2312"/>
          <w:color w:val="auto"/>
          <w:sz w:val="28"/>
          <w:szCs w:val="28"/>
          <w:lang w:val="en-US" w:eastAsia="zh-CN"/>
        </w:rPr>
      </w:pPr>
      <w:r>
        <w:rPr>
          <w:rFonts w:hint="eastAsia" w:ascii="仿宋_GB2312" w:eastAsia="仿宋_GB2312"/>
          <w:color w:val="auto"/>
          <w:sz w:val="28"/>
          <w:szCs w:val="28"/>
          <w:lang w:eastAsia="zh-CN"/>
        </w:rPr>
        <w:t>经查阅，截至目前，国内暂无与“瑶医神火灸治疗脑卒中后肩手综合征技术操作”相关的标准。</w:t>
      </w:r>
    </w:p>
    <w:p w14:paraId="61DE6630">
      <w:pPr>
        <w:spacing w:line="520" w:lineRule="exact"/>
        <w:ind w:firstLine="560" w:firstLineChars="200"/>
        <w:rPr>
          <w:rFonts w:hint="eastAsia" w:ascii="仿宋_GB2312" w:eastAsia="仿宋_GB2312"/>
          <w:color w:val="auto"/>
          <w:sz w:val="28"/>
          <w:szCs w:val="28"/>
          <w:lang w:val="en-US" w:eastAsia="zh-CN"/>
        </w:rPr>
      </w:pPr>
      <w:bookmarkStart w:id="4" w:name="OLE_LINK157"/>
      <w:bookmarkStart w:id="5" w:name="OLE_LINK156"/>
      <w:r>
        <w:rPr>
          <w:rFonts w:hint="eastAsia" w:ascii="仿宋_GB2312" w:eastAsia="仿宋_GB2312"/>
          <w:color w:val="auto"/>
          <w:sz w:val="28"/>
          <w:szCs w:val="28"/>
          <w:lang w:eastAsia="zh-CN"/>
        </w:rPr>
        <w:t>与“瑶医神火灸”“脑卒中</w:t>
      </w:r>
      <w:r>
        <w:rPr>
          <w:rFonts w:hint="eastAsia" w:ascii="仿宋_GB2312" w:eastAsia="仿宋_GB2312"/>
          <w:color w:val="auto"/>
          <w:sz w:val="28"/>
          <w:szCs w:val="28"/>
          <w:lang w:val="en-US" w:eastAsia="zh-CN"/>
        </w:rPr>
        <w:t xml:space="preserve">  </w:t>
      </w:r>
      <w:r>
        <w:rPr>
          <w:rFonts w:hint="eastAsia" w:ascii="仿宋_GB2312" w:eastAsia="仿宋_GB2312"/>
          <w:color w:val="auto"/>
          <w:sz w:val="28"/>
          <w:szCs w:val="28"/>
          <w:lang w:eastAsia="zh-CN"/>
        </w:rPr>
        <w:t>治疗”“肩手综合征”相关的标准有：</w:t>
      </w:r>
      <w:r>
        <w:rPr>
          <w:rFonts w:hint="eastAsia" w:ascii="仿宋_GB2312" w:eastAsia="仿宋_GB2312"/>
          <w:color w:val="auto"/>
          <w:sz w:val="28"/>
          <w:szCs w:val="28"/>
          <w:lang w:val="en-US" w:eastAsia="zh-CN"/>
        </w:rPr>
        <w:t>WS/T 558-2017</w:t>
      </w:r>
      <w:r>
        <w:rPr>
          <w:rFonts w:hint="eastAsia" w:ascii="仿宋_GB2312" w:eastAsia="仿宋_GB2312"/>
          <w:color w:val="auto"/>
          <w:sz w:val="28"/>
          <w:szCs w:val="28"/>
          <w:lang w:eastAsia="zh-CN"/>
        </w:rPr>
        <w:t>《脑卒中患者膳食指导》、</w:t>
      </w:r>
      <w:r>
        <w:rPr>
          <w:rFonts w:hint="eastAsia" w:ascii="仿宋_GB2312" w:eastAsia="仿宋_GB2312"/>
          <w:color w:val="auto"/>
          <w:sz w:val="28"/>
          <w:szCs w:val="28"/>
          <w:lang w:val="en-US" w:eastAsia="zh-CN"/>
        </w:rPr>
        <w:t>T/GXAS 874-2024</w:t>
      </w:r>
      <w:r>
        <w:rPr>
          <w:rFonts w:hint="eastAsia" w:ascii="仿宋_GB2312" w:eastAsia="仿宋_GB2312"/>
          <w:color w:val="auto"/>
          <w:sz w:val="28"/>
          <w:szCs w:val="28"/>
          <w:lang w:eastAsia="zh-CN"/>
        </w:rPr>
        <w:t>《缺血性中风（脑卒中）中医康复规范》、</w:t>
      </w:r>
      <w:r>
        <w:rPr>
          <w:rFonts w:hint="eastAsia" w:ascii="仿宋_GB2312" w:eastAsia="仿宋_GB2312"/>
          <w:color w:val="auto"/>
          <w:sz w:val="28"/>
          <w:szCs w:val="28"/>
          <w:lang w:val="en-US" w:eastAsia="zh-CN"/>
        </w:rPr>
        <w:t>T/GXAS 671-2024</w:t>
      </w:r>
      <w:r>
        <w:rPr>
          <w:rFonts w:hint="eastAsia" w:ascii="仿宋_GB2312" w:eastAsia="仿宋_GB2312"/>
          <w:color w:val="auto"/>
          <w:sz w:val="28"/>
          <w:szCs w:val="28"/>
          <w:lang w:eastAsia="zh-CN"/>
        </w:rPr>
        <w:t>《脑卒中吞咽障碍康复治疗规范》、</w:t>
      </w:r>
      <w:r>
        <w:rPr>
          <w:rFonts w:hint="eastAsia" w:ascii="仿宋_GB2312" w:eastAsia="仿宋_GB2312"/>
          <w:color w:val="auto"/>
          <w:sz w:val="28"/>
          <w:szCs w:val="28"/>
          <w:lang w:val="en-US" w:eastAsia="zh-CN"/>
        </w:rPr>
        <w:t>T/GXAS 716</w:t>
      </w:r>
      <w:r>
        <w:rPr>
          <w:rFonts w:hint="eastAsia" w:ascii="仿宋_GB2312" w:eastAsia="仿宋_GB2312"/>
          <w:color w:val="auto"/>
          <w:sz w:val="28"/>
          <w:szCs w:val="28"/>
          <w:lang w:eastAsia="zh-CN"/>
        </w:rPr>
        <w:t>—</w:t>
      </w:r>
      <w:r>
        <w:rPr>
          <w:rFonts w:hint="eastAsia" w:ascii="仿宋_GB2312" w:eastAsia="仿宋_GB2312"/>
          <w:color w:val="auto"/>
          <w:sz w:val="28"/>
          <w:szCs w:val="28"/>
          <w:lang w:val="en-US" w:eastAsia="zh-CN"/>
        </w:rPr>
        <w:t>2024</w:t>
      </w:r>
      <w:r>
        <w:rPr>
          <w:rFonts w:hint="eastAsia" w:ascii="仿宋_GB2312" w:eastAsia="仿宋_GB2312"/>
          <w:color w:val="auto"/>
          <w:sz w:val="28"/>
          <w:szCs w:val="28"/>
          <w:lang w:eastAsia="zh-CN"/>
        </w:rPr>
        <w:t>《脑卒中后肩手综合征的肌内效贴贴扎治疗操作技术规范》、《脑卒中患者中医延续护理服务规范》（广西标准化协会团体标准</w:t>
      </w:r>
      <w:r>
        <w:rPr>
          <w:rFonts w:hint="eastAsia" w:ascii="仿宋_GB2312" w:eastAsia="仿宋_GB2312"/>
          <w:color w:val="auto"/>
          <w:sz w:val="28"/>
          <w:szCs w:val="28"/>
          <w:lang w:val="en-US" w:eastAsia="zh-CN"/>
        </w:rPr>
        <w:t>2024-1502</w:t>
      </w:r>
      <w:r>
        <w:rPr>
          <w:rFonts w:hint="eastAsia" w:ascii="仿宋_GB2312" w:eastAsia="仿宋_GB2312"/>
          <w:color w:val="auto"/>
          <w:sz w:val="28"/>
          <w:szCs w:val="28"/>
          <w:lang w:eastAsia="zh-CN"/>
        </w:rPr>
        <w:t>）、《缺血性脑卒中中西医结合康复规范》（广西标准化协会团体标准</w:t>
      </w:r>
      <w:r>
        <w:rPr>
          <w:rFonts w:hint="eastAsia" w:ascii="仿宋_GB2312" w:eastAsia="仿宋_GB2312"/>
          <w:color w:val="auto"/>
          <w:sz w:val="28"/>
          <w:szCs w:val="28"/>
          <w:lang w:val="en-US" w:eastAsia="zh-CN"/>
        </w:rPr>
        <w:t>2024-1509</w:t>
      </w:r>
      <w:r>
        <w:rPr>
          <w:rFonts w:hint="eastAsia" w:ascii="仿宋_GB2312" w:eastAsia="仿宋_GB2312"/>
          <w:color w:val="auto"/>
          <w:sz w:val="28"/>
          <w:szCs w:val="28"/>
          <w:lang w:eastAsia="zh-CN"/>
        </w:rPr>
        <w:t>）。</w:t>
      </w:r>
    </w:p>
    <w:p w14:paraId="5451CA4A">
      <w:pPr>
        <w:spacing w:line="520" w:lineRule="exact"/>
        <w:ind w:firstLine="560" w:firstLineChars="200"/>
        <w:rPr>
          <w:rFonts w:hint="eastAsia" w:ascii="仿宋_GB2312" w:eastAsia="仿宋_GB2312"/>
          <w:color w:val="auto"/>
          <w:sz w:val="28"/>
          <w:szCs w:val="28"/>
          <w:lang w:eastAsia="zh-CN"/>
        </w:rPr>
      </w:pPr>
      <w:r>
        <w:rPr>
          <w:rFonts w:hint="eastAsia" w:ascii="仿宋_GB2312" w:eastAsia="仿宋_GB2312"/>
          <w:color w:val="auto"/>
          <w:sz w:val="28"/>
          <w:szCs w:val="28"/>
          <w:lang w:val="en-US" w:eastAsia="zh-CN"/>
        </w:rPr>
        <w:t>上述标准主要涉及脑卒中患者膳食、缺血性中风（脑卒中）中医康复、脑卒中吞咽障碍康复、脑卒中患者中医延续护理、肌内效贴贴扎治疗脑卒中后肩手综合征等技术，以上标准未涉及“瑶医神火灸治疗脑卒中后肩手综合征技术”的内容。</w:t>
      </w:r>
      <w:bookmarkEnd w:id="4"/>
      <w:bookmarkEnd w:id="5"/>
    </w:p>
    <w:p w14:paraId="7B6445AB">
      <w:pPr>
        <w:spacing w:before="240" w:after="60" w:line="520" w:lineRule="exact"/>
        <w:ind w:firstLine="640" w:firstLineChars="200"/>
        <w:jc w:val="left"/>
        <w:outlineLvl w:val="0"/>
        <w:rPr>
          <w:rFonts w:hint="eastAsia" w:ascii="黑体" w:eastAsia="黑体"/>
          <w:bCs/>
          <w:color w:val="auto"/>
          <w:sz w:val="32"/>
          <w:szCs w:val="32"/>
        </w:rPr>
      </w:pPr>
      <w:r>
        <w:rPr>
          <w:rFonts w:hint="eastAsia" w:ascii="黑体" w:eastAsia="黑体"/>
          <w:bCs/>
          <w:color w:val="auto"/>
          <w:sz w:val="32"/>
          <w:szCs w:val="32"/>
        </w:rPr>
        <w:t>五、主要条款的说明</w:t>
      </w:r>
    </w:p>
    <w:p w14:paraId="6A2ED831">
      <w:pPr>
        <w:autoSpaceDE w:val="0"/>
        <w:autoSpaceDN w:val="0"/>
        <w:ind w:firstLine="560" w:firstLineChars="200"/>
        <w:jc w:val="both"/>
        <w:rPr>
          <w:rFonts w:hint="eastAsia" w:ascii="仿宋_GB2312" w:eastAsia="仿宋_GB2312" w:cs="仿宋"/>
          <w:b w:val="0"/>
          <w:bCs w:val="0"/>
          <w:color w:val="auto"/>
          <w:sz w:val="28"/>
          <w:szCs w:val="28"/>
        </w:rPr>
      </w:pPr>
      <w:r>
        <w:rPr>
          <w:rFonts w:hint="eastAsia" w:ascii="仿宋_GB2312" w:eastAsia="仿宋_GB2312" w:cs="仿宋"/>
          <w:b w:val="0"/>
          <w:bCs w:val="0"/>
          <w:color w:val="auto"/>
          <w:sz w:val="28"/>
          <w:szCs w:val="28"/>
        </w:rPr>
        <w:t>标准技术内容界定了</w:t>
      </w:r>
      <w:bookmarkStart w:id="6" w:name="OLE_LINK8"/>
      <w:bookmarkStart w:id="7" w:name="OLE_LINK7"/>
      <w:bookmarkStart w:id="8" w:name="OLE_LINK2"/>
      <w:bookmarkStart w:id="9" w:name="OLE_LINK10"/>
      <w:bookmarkStart w:id="10" w:name="OLE_LINK4"/>
      <w:bookmarkStart w:id="11" w:name="OLE_LINK29"/>
      <w:bookmarkStart w:id="12" w:name="OLE_LINK6"/>
      <w:bookmarkStart w:id="13" w:name="OLE_LINK5"/>
      <w:bookmarkStart w:id="14" w:name="OLE_LINK3"/>
      <w:r>
        <w:rPr>
          <w:rFonts w:hint="eastAsia" w:ascii="仿宋_GB2312" w:eastAsia="仿宋_GB2312" w:cs="仿宋"/>
          <w:b w:val="0"/>
          <w:bCs w:val="0"/>
          <w:color w:val="auto"/>
          <w:sz w:val="28"/>
          <w:szCs w:val="28"/>
        </w:rPr>
        <w:t>瑶医神火灸</w:t>
      </w:r>
      <w:bookmarkEnd w:id="6"/>
      <w:bookmarkEnd w:id="7"/>
      <w:r>
        <w:rPr>
          <w:rFonts w:hint="eastAsia" w:ascii="仿宋_GB2312" w:eastAsia="仿宋_GB2312" w:cs="仿宋"/>
          <w:b w:val="0"/>
          <w:bCs w:val="0"/>
          <w:color w:val="auto"/>
          <w:sz w:val="28"/>
          <w:szCs w:val="28"/>
        </w:rPr>
        <w:t>治疗</w:t>
      </w:r>
      <w:bookmarkStart w:id="15" w:name="OLE_LINK9"/>
      <w:bookmarkStart w:id="16" w:name="OLE_LINK11"/>
      <w:r>
        <w:rPr>
          <w:rFonts w:hint="eastAsia" w:ascii="仿宋_GB2312" w:eastAsia="仿宋_GB2312" w:cs="仿宋"/>
          <w:b w:val="0"/>
          <w:bCs w:val="0"/>
          <w:color w:val="auto"/>
          <w:sz w:val="28"/>
          <w:szCs w:val="28"/>
        </w:rPr>
        <w:t>脑卒中后肩手综合征</w:t>
      </w:r>
      <w:bookmarkEnd w:id="8"/>
      <w:bookmarkEnd w:id="9"/>
      <w:bookmarkEnd w:id="10"/>
      <w:bookmarkEnd w:id="15"/>
      <w:bookmarkEnd w:id="16"/>
      <w:r>
        <w:rPr>
          <w:rFonts w:hint="eastAsia" w:ascii="仿宋_GB2312" w:eastAsia="仿宋_GB2312" w:cs="仿宋"/>
          <w:b w:val="0"/>
          <w:bCs w:val="0"/>
          <w:color w:val="auto"/>
          <w:sz w:val="28"/>
          <w:szCs w:val="28"/>
        </w:rPr>
        <w:t>技术</w:t>
      </w:r>
      <w:bookmarkEnd w:id="11"/>
      <w:bookmarkEnd w:id="12"/>
      <w:bookmarkEnd w:id="13"/>
      <w:r>
        <w:rPr>
          <w:rFonts w:hint="eastAsia" w:ascii="仿宋_GB2312" w:eastAsia="仿宋_GB2312" w:cs="仿宋"/>
          <w:b w:val="0"/>
          <w:bCs w:val="0"/>
          <w:color w:val="auto"/>
          <w:sz w:val="28"/>
          <w:szCs w:val="28"/>
        </w:rPr>
        <w:t>涉及的术语和定义，规定了</w:t>
      </w:r>
      <w:bookmarkStart w:id="17" w:name="OLE_LINK25"/>
      <w:r>
        <w:rPr>
          <w:rFonts w:hint="eastAsia" w:ascii="仿宋_GB2312" w:eastAsia="仿宋_GB2312" w:cs="仿宋"/>
          <w:b w:val="0"/>
          <w:bCs w:val="0"/>
          <w:color w:val="auto"/>
          <w:sz w:val="28"/>
          <w:szCs w:val="28"/>
        </w:rPr>
        <w:t>基本要求、辨证分型、施</w:t>
      </w:r>
      <w:bookmarkEnd w:id="14"/>
      <w:r>
        <w:rPr>
          <w:rFonts w:hint="eastAsia" w:ascii="仿宋_GB2312" w:eastAsia="仿宋_GB2312" w:cs="仿宋"/>
          <w:b w:val="0"/>
          <w:bCs w:val="0"/>
          <w:color w:val="auto"/>
          <w:sz w:val="28"/>
          <w:szCs w:val="28"/>
        </w:rPr>
        <w:t>术前准备、施术方法、施术后处理、注意事项、日常调护的要求</w:t>
      </w:r>
      <w:bookmarkEnd w:id="17"/>
      <w:r>
        <w:rPr>
          <w:rFonts w:hint="eastAsia" w:ascii="仿宋_GB2312" w:eastAsia="仿宋_GB2312" w:cs="仿宋"/>
          <w:b w:val="0"/>
          <w:bCs w:val="0"/>
          <w:color w:val="auto"/>
          <w:sz w:val="28"/>
          <w:szCs w:val="28"/>
        </w:rPr>
        <w:t>。</w:t>
      </w:r>
    </w:p>
    <w:p w14:paraId="3A3B9ADA">
      <w:pPr>
        <w:pStyle w:val="30"/>
        <w:spacing w:line="520" w:lineRule="exact"/>
        <w:ind w:firstLine="0" w:firstLineChars="0"/>
        <w:rPr>
          <w:rFonts w:hint="eastAsia" w:ascii="仿宋_GB2312" w:eastAsia="仿宋_GB2312" w:cs="仿宋"/>
          <w:b/>
          <w:bCs/>
          <w:color w:val="auto"/>
          <w:sz w:val="28"/>
          <w:szCs w:val="28"/>
        </w:rPr>
      </w:pPr>
      <w:r>
        <w:rPr>
          <w:rFonts w:hint="eastAsia" w:ascii="仿宋_GB2312" w:eastAsia="仿宋_GB2312" w:cs="仿宋"/>
          <w:b/>
          <w:bCs/>
          <w:color w:val="auto"/>
          <w:sz w:val="28"/>
          <w:szCs w:val="28"/>
          <w:lang w:eastAsia="zh-CN"/>
        </w:rPr>
        <w:t>（一）</w:t>
      </w:r>
      <w:r>
        <w:rPr>
          <w:rFonts w:hint="eastAsia" w:ascii="仿宋_GB2312" w:eastAsia="仿宋_GB2312" w:cs="仿宋"/>
          <w:b/>
          <w:bCs/>
          <w:color w:val="auto"/>
          <w:sz w:val="28"/>
          <w:szCs w:val="28"/>
        </w:rPr>
        <w:t>术语和定义</w:t>
      </w:r>
    </w:p>
    <w:p w14:paraId="12B42CBC">
      <w:pPr>
        <w:pStyle w:val="30"/>
        <w:spacing w:line="520" w:lineRule="exact"/>
        <w:ind w:firstLine="562"/>
        <w:rPr>
          <w:rFonts w:hint="eastAsia" w:ascii="仿宋_GB2312" w:eastAsia="仿宋_GB2312" w:cs="仿宋"/>
          <w:bCs/>
          <w:color w:val="auto"/>
          <w:sz w:val="28"/>
          <w:szCs w:val="28"/>
          <w:lang w:val="en-US" w:eastAsia="zh-CN"/>
        </w:rPr>
      </w:pPr>
      <w:r>
        <w:rPr>
          <w:rFonts w:hint="eastAsia" w:ascii="仿宋_GB2312" w:eastAsia="仿宋_GB2312" w:cs="仿宋"/>
          <w:bCs/>
          <w:color w:val="auto"/>
          <w:sz w:val="28"/>
          <w:szCs w:val="28"/>
          <w:lang w:val="en-US" w:eastAsia="zh-CN"/>
        </w:rPr>
        <w:t>瑶医神火灸</w:t>
      </w:r>
    </w:p>
    <w:p w14:paraId="4E9D8A96">
      <w:pPr>
        <w:pStyle w:val="30"/>
        <w:spacing w:line="520" w:lineRule="exact"/>
        <w:ind w:firstLine="562"/>
        <w:rPr>
          <w:rFonts w:hint="default" w:ascii="仿宋_GB2312" w:eastAsia="仿宋_GB2312" w:cs="仿宋"/>
          <w:bCs/>
          <w:color w:val="auto"/>
          <w:sz w:val="28"/>
          <w:szCs w:val="28"/>
          <w:lang w:val="en-US" w:eastAsia="zh-CN"/>
        </w:rPr>
      </w:pPr>
      <w:r>
        <w:rPr>
          <w:rFonts w:hint="eastAsia" w:ascii="仿宋_GB2312" w:eastAsia="仿宋_GB2312" w:cs="仿宋"/>
          <w:bCs/>
          <w:color w:val="auto"/>
          <w:sz w:val="28"/>
          <w:szCs w:val="28"/>
          <w:lang w:val="en-US" w:eastAsia="zh-CN"/>
        </w:rPr>
        <w:t>以瑶族地区道地藤茎类药材制备成药枝，点燃后隔牛皮纸施灸于穴位，通过温热与药力共同作用，达到疏通经络、活血止痛目的的外治法。主要依据本团队前期研究：瑶医神火灸治疗卒中后肩手综合征经验拾要[J]周哲屹等.</w:t>
      </w:r>
    </w:p>
    <w:p w14:paraId="326686A7">
      <w:pPr>
        <w:pStyle w:val="30"/>
        <w:keepNext w:val="0"/>
        <w:keepLines w:val="0"/>
        <w:pageBreakBefore w:val="0"/>
        <w:widowControl/>
        <w:kinsoku/>
        <w:wordWrap/>
        <w:overflowPunct/>
        <w:topLinePunct w:val="0"/>
        <w:autoSpaceDE w:val="0"/>
        <w:autoSpaceDN w:val="0"/>
        <w:bidi w:val="0"/>
        <w:adjustRightInd/>
        <w:snapToGrid/>
        <w:spacing w:line="240" w:lineRule="auto"/>
        <w:ind w:left="0" w:leftChars="0" w:firstLine="0" w:firstLineChars="0"/>
        <w:jc w:val="center"/>
        <w:textAlignment w:val="auto"/>
      </w:pPr>
      <w:r>
        <w:drawing>
          <wp:inline distT="0" distB="0" distL="114300" distR="114300">
            <wp:extent cx="2959735" cy="1938020"/>
            <wp:effectExtent l="0" t="0" r="12065" b="508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5"/>
                    <a:stretch>
                      <a:fillRect/>
                    </a:stretch>
                  </pic:blipFill>
                  <pic:spPr>
                    <a:xfrm>
                      <a:off x="0" y="0"/>
                      <a:ext cx="2959735" cy="1938020"/>
                    </a:xfrm>
                    <a:prstGeom prst="rect">
                      <a:avLst/>
                    </a:prstGeom>
                    <a:noFill/>
                    <a:ln>
                      <a:noFill/>
                    </a:ln>
                  </pic:spPr>
                </pic:pic>
              </a:graphicData>
            </a:graphic>
          </wp:inline>
        </w:drawing>
      </w:r>
    </w:p>
    <w:p w14:paraId="122E331A">
      <w:pPr>
        <w:pStyle w:val="30"/>
        <w:keepNext w:val="0"/>
        <w:keepLines w:val="0"/>
        <w:pageBreakBefore w:val="0"/>
        <w:widowControl/>
        <w:kinsoku/>
        <w:wordWrap/>
        <w:overflowPunct/>
        <w:topLinePunct w:val="0"/>
        <w:autoSpaceDE w:val="0"/>
        <w:autoSpaceDN w:val="0"/>
        <w:bidi w:val="0"/>
        <w:adjustRightInd/>
        <w:snapToGrid/>
        <w:spacing w:line="240" w:lineRule="auto"/>
        <w:ind w:left="0" w:leftChars="0" w:firstLine="0" w:firstLineChars="0"/>
        <w:jc w:val="center"/>
        <w:textAlignment w:val="auto"/>
        <w:rPr>
          <w:rFonts w:hint="eastAsia"/>
          <w:b/>
          <w:bCs/>
          <w:lang w:val="en-US" w:eastAsia="zh-CN"/>
        </w:rPr>
      </w:pPr>
      <w:r>
        <w:rPr>
          <w:rFonts w:hint="eastAsia"/>
          <w:b/>
          <w:bCs/>
          <w:lang w:val="en-US" w:eastAsia="zh-CN"/>
        </w:rPr>
        <w:t>图  瑶医神火灸治疗卒中后肩手综合征经验拾要_周哲屹</w:t>
      </w:r>
    </w:p>
    <w:p w14:paraId="28F461A7">
      <w:pPr>
        <w:pStyle w:val="30"/>
        <w:spacing w:line="520" w:lineRule="exact"/>
        <w:ind w:firstLine="562"/>
        <w:rPr>
          <w:rFonts w:hint="eastAsia" w:ascii="仿宋_GB2312" w:eastAsia="仿宋_GB2312" w:cs="仿宋"/>
          <w:bCs/>
          <w:color w:val="auto"/>
          <w:sz w:val="28"/>
          <w:szCs w:val="28"/>
          <w:lang w:val="en-US" w:eastAsia="zh-CN"/>
        </w:rPr>
      </w:pPr>
      <w:r>
        <w:rPr>
          <w:rFonts w:hint="eastAsia" w:ascii="仿宋_GB2312" w:eastAsia="仿宋_GB2312" w:cs="仿宋"/>
          <w:bCs/>
          <w:color w:val="auto"/>
          <w:sz w:val="28"/>
          <w:szCs w:val="28"/>
          <w:lang w:val="en-US" w:eastAsia="zh-CN"/>
        </w:rPr>
        <w:t>脑卒中后肩手综合征(shoulder-and syndromeafter stroke,SHSAS)是脑卒中后常见并发症，以肩痛、运动受限,伴同侧手的疼痛、肿胀等为主要临床表现,其手指多呈伸展位，屈曲时活动受限。</w:t>
      </w:r>
    </w:p>
    <w:p w14:paraId="3B11D07E">
      <w:pPr>
        <w:pStyle w:val="30"/>
        <w:keepNext w:val="0"/>
        <w:keepLines w:val="0"/>
        <w:pageBreakBefore w:val="0"/>
        <w:widowControl/>
        <w:kinsoku/>
        <w:wordWrap/>
        <w:overflowPunct/>
        <w:topLinePunct w:val="0"/>
        <w:autoSpaceDE w:val="0"/>
        <w:autoSpaceDN w:val="0"/>
        <w:bidi w:val="0"/>
        <w:adjustRightInd/>
        <w:snapToGrid/>
        <w:spacing w:line="240" w:lineRule="auto"/>
        <w:ind w:left="0" w:leftChars="0" w:firstLine="0" w:firstLineChars="0"/>
        <w:jc w:val="center"/>
        <w:textAlignment w:val="auto"/>
        <w:rPr>
          <w:rFonts w:hint="eastAsia"/>
          <w:lang w:val="en-US" w:eastAsia="zh-CN"/>
        </w:rPr>
      </w:pPr>
      <w:r>
        <w:drawing>
          <wp:inline distT="0" distB="0" distL="114300" distR="114300">
            <wp:extent cx="4508500" cy="1250315"/>
            <wp:effectExtent l="0" t="0" r="6350" b="6985"/>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6"/>
                    <a:stretch>
                      <a:fillRect/>
                    </a:stretch>
                  </pic:blipFill>
                  <pic:spPr>
                    <a:xfrm>
                      <a:off x="0" y="0"/>
                      <a:ext cx="4508500" cy="1250315"/>
                    </a:xfrm>
                    <a:prstGeom prst="rect">
                      <a:avLst/>
                    </a:prstGeom>
                    <a:noFill/>
                    <a:ln>
                      <a:noFill/>
                    </a:ln>
                  </pic:spPr>
                </pic:pic>
              </a:graphicData>
            </a:graphic>
          </wp:inline>
        </w:drawing>
      </w:r>
    </w:p>
    <w:p w14:paraId="0DFD8598">
      <w:pPr>
        <w:pStyle w:val="30"/>
        <w:spacing w:line="520" w:lineRule="exact"/>
        <w:ind w:left="0" w:leftChars="0" w:firstLine="0" w:firstLineChars="0"/>
        <w:rPr>
          <w:rFonts w:hint="default" w:ascii="仿宋_GB2312" w:hAnsi="Calibri" w:eastAsia="仿宋_GB2312" w:cs="Calibri"/>
          <w:b/>
          <w:bCs w:val="0"/>
          <w:color w:val="auto"/>
          <w:sz w:val="28"/>
          <w:szCs w:val="28"/>
          <w:lang w:val="en-US" w:eastAsia="zh-CN"/>
        </w:rPr>
      </w:pPr>
      <w:r>
        <w:rPr>
          <w:rFonts w:hint="eastAsia" w:ascii="仿宋_GB2312" w:hAnsi="Calibri" w:eastAsia="仿宋_GB2312" w:cs="仿宋"/>
          <w:b/>
          <w:bCs w:val="0"/>
          <w:color w:val="auto"/>
          <w:sz w:val="28"/>
          <w:szCs w:val="28"/>
          <w:lang w:val="en-US" w:eastAsia="zh-CN"/>
        </w:rPr>
        <w:t>（二）</w:t>
      </w:r>
      <w:r>
        <w:rPr>
          <w:rFonts w:hint="eastAsia" w:ascii="仿宋_GB2312" w:eastAsia="仿宋_GB2312" w:cs="仿宋"/>
          <w:b/>
          <w:bCs w:val="0"/>
          <w:color w:val="auto"/>
          <w:sz w:val="28"/>
          <w:szCs w:val="28"/>
          <w:lang w:val="en-US" w:eastAsia="zh-CN"/>
        </w:rPr>
        <w:t>基本要求</w:t>
      </w:r>
    </w:p>
    <w:p w14:paraId="74E0C16D">
      <w:pPr>
        <w:pStyle w:val="30"/>
        <w:spacing w:line="520" w:lineRule="exact"/>
        <w:ind w:left="0" w:leftChars="0" w:firstLine="560" w:firstLineChars="200"/>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人员：瑶医神火灸是涉及明火、药材和经络穴位的专业技术。规定操作者需为注册护士或中医师，是确保其具备基本的医学知识和执业资格。要求“经过专项培训并考核合格”，是为了保证操作者能精准掌握瑶医神火灸特有的药枝制备、施灸手法、温度控制和辨证选穴等核心技术，确保疗效和安全。明确需掌握病理生理及不良反应处理，旨在提升操作者的风险预判与应急处理能力，保障患者安全。</w:t>
      </w:r>
    </w:p>
    <w:p w14:paraId="040B6BA3">
      <w:pPr>
        <w:pStyle w:val="30"/>
        <w:spacing w:line="520" w:lineRule="exact"/>
        <w:ind w:left="0" w:leftChars="0" w:firstLine="560" w:firstLineChars="200"/>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环境：为治疗提供一个安全、规范、舒适的环境。明确的温湿度范围可防止患者受凉，并利于药物挥发和吸收。引用多项国家卫生标准，是为了确保治疗环境的感染控制和消毒隔离达到医疗机构基本要求，防止交叉感染。强调消防安全管理，是针对本技术使用明火的特点，进行强制性风险管控，医务人员手卫生应符合WS/T 313的规定，医疗机构消毒技术应符合WS/T 367的规定，医院消毒卫生符合GB 15982的规定，医疗机构消防安全管理应符合WS 308的规定。</w:t>
      </w:r>
    </w:p>
    <w:p w14:paraId="38FC94E0">
      <w:pPr>
        <w:pStyle w:val="30"/>
        <w:spacing w:line="520" w:lineRule="exact"/>
        <w:ind w:firstLine="562"/>
        <w:rPr>
          <w:rFonts w:hint="default" w:ascii="仿宋_GB2312" w:eastAsia="仿宋_GB2312" w:cs="仿宋"/>
          <w:bCs/>
          <w:color w:val="auto"/>
          <w:sz w:val="28"/>
          <w:szCs w:val="28"/>
          <w:lang w:val="en-US" w:eastAsia="zh-CN"/>
        </w:rPr>
      </w:pPr>
      <w:r>
        <w:rPr>
          <w:rFonts w:hint="eastAsia" w:ascii="仿宋_GB2312" w:eastAsia="仿宋_GB2312"/>
          <w:color w:val="auto"/>
          <w:sz w:val="28"/>
          <w:szCs w:val="28"/>
          <w:lang w:val="en-US" w:eastAsia="zh-CN"/>
        </w:rPr>
        <w:t>耗材与药品：药枝是瑶医神火灸技术的核心载体，其药材配伍和炮制工艺直接关系到临床疗效。本标准严格遵循前期研究已验证有效的配方和制备方法，旨在实现技术的标准化和可重复性，确保向患者提供质量稳定、安全有效的治疗。明确辅助器材的规格，是为了保证施灸过程的准确性与安全性。</w:t>
      </w:r>
      <w:r>
        <w:rPr>
          <w:rFonts w:hint="eastAsia" w:ascii="仿宋_GB2312" w:eastAsia="仿宋_GB2312" w:cs="仿宋"/>
          <w:bCs/>
          <w:color w:val="auto"/>
          <w:sz w:val="28"/>
          <w:szCs w:val="28"/>
          <w:lang w:val="en-US" w:eastAsia="zh-CN"/>
        </w:rPr>
        <w:t>主要依据本团队前期研究：瑶医神火灸治疗卒中后肩手综合征经验拾要[J]周哲屹等.</w:t>
      </w:r>
    </w:p>
    <w:p w14:paraId="577D3231">
      <w:pPr>
        <w:pStyle w:val="30"/>
        <w:keepNext w:val="0"/>
        <w:keepLines w:val="0"/>
        <w:pageBreakBefore w:val="0"/>
        <w:widowControl/>
        <w:kinsoku/>
        <w:wordWrap/>
        <w:overflowPunct/>
        <w:topLinePunct w:val="0"/>
        <w:autoSpaceDE w:val="0"/>
        <w:autoSpaceDN w:val="0"/>
        <w:bidi w:val="0"/>
        <w:adjustRightInd/>
        <w:snapToGrid/>
        <w:spacing w:line="240" w:lineRule="auto"/>
        <w:ind w:left="0" w:leftChars="0" w:firstLine="420" w:firstLineChars="200"/>
        <w:jc w:val="center"/>
        <w:textAlignment w:val="auto"/>
      </w:pPr>
      <w:r>
        <w:drawing>
          <wp:inline distT="0" distB="0" distL="114300" distR="114300">
            <wp:extent cx="4326255" cy="2090420"/>
            <wp:effectExtent l="0" t="0" r="17145" b="5080"/>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7"/>
                    <a:stretch>
                      <a:fillRect/>
                    </a:stretch>
                  </pic:blipFill>
                  <pic:spPr>
                    <a:xfrm>
                      <a:off x="0" y="0"/>
                      <a:ext cx="4326255" cy="2090420"/>
                    </a:xfrm>
                    <a:prstGeom prst="rect">
                      <a:avLst/>
                    </a:prstGeom>
                    <a:noFill/>
                    <a:ln>
                      <a:noFill/>
                    </a:ln>
                  </pic:spPr>
                </pic:pic>
              </a:graphicData>
            </a:graphic>
          </wp:inline>
        </w:drawing>
      </w:r>
    </w:p>
    <w:p w14:paraId="2C96132A">
      <w:pPr>
        <w:pStyle w:val="30"/>
        <w:keepNext w:val="0"/>
        <w:keepLines w:val="0"/>
        <w:pageBreakBefore w:val="0"/>
        <w:widowControl/>
        <w:kinsoku/>
        <w:wordWrap/>
        <w:overflowPunct/>
        <w:topLinePunct w:val="0"/>
        <w:autoSpaceDE w:val="0"/>
        <w:autoSpaceDN w:val="0"/>
        <w:bidi w:val="0"/>
        <w:adjustRightInd/>
        <w:snapToGrid/>
        <w:spacing w:line="240" w:lineRule="auto"/>
        <w:ind w:left="0" w:leftChars="0" w:firstLine="0" w:firstLineChars="0"/>
        <w:jc w:val="center"/>
        <w:textAlignment w:val="auto"/>
        <w:rPr>
          <w:rFonts w:hint="eastAsia"/>
          <w:b/>
          <w:bCs/>
          <w:lang w:val="en-US" w:eastAsia="zh-CN"/>
        </w:rPr>
      </w:pPr>
      <w:r>
        <w:rPr>
          <w:rFonts w:hint="eastAsia"/>
          <w:b/>
          <w:bCs/>
          <w:lang w:val="en-US" w:eastAsia="zh-CN"/>
        </w:rPr>
        <w:t>图  瑶医神火灸治疗卒中后肩手综合征经验拾要_周哲屹</w:t>
      </w:r>
    </w:p>
    <w:p w14:paraId="61007200">
      <w:pPr>
        <w:pStyle w:val="30"/>
        <w:keepNext w:val="0"/>
        <w:keepLines w:val="0"/>
        <w:pageBreakBefore w:val="0"/>
        <w:widowControl/>
        <w:kinsoku/>
        <w:wordWrap/>
        <w:overflowPunct/>
        <w:topLinePunct w:val="0"/>
        <w:autoSpaceDE w:val="0"/>
        <w:autoSpaceDN w:val="0"/>
        <w:bidi w:val="0"/>
        <w:adjustRightInd/>
        <w:snapToGrid/>
        <w:spacing w:line="240" w:lineRule="auto"/>
        <w:ind w:left="0" w:leftChars="0" w:firstLine="420" w:firstLineChars="200"/>
        <w:jc w:val="center"/>
        <w:textAlignment w:val="auto"/>
        <w:rPr>
          <w:rFonts w:hint="eastAsia"/>
          <w:lang w:val="en-US" w:eastAsia="zh-CN"/>
        </w:rPr>
      </w:pPr>
    </w:p>
    <w:p w14:paraId="0438613A">
      <w:pPr>
        <w:pStyle w:val="13"/>
        <w:spacing w:before="0" w:beforeAutospacing="0" w:after="0" w:afterAutospacing="0" w:line="360" w:lineRule="auto"/>
        <w:ind w:firstLine="482" w:firstLineChars="200"/>
        <w:jc w:val="both"/>
        <w:rPr>
          <w:rFonts w:hint="eastAsia" w:eastAsia="宋体"/>
          <w:b/>
          <w:bCs/>
          <w:lang w:eastAsia="zh-CN"/>
        </w:rPr>
      </w:pPr>
      <w:r>
        <w:rPr>
          <w:rFonts w:hint="eastAsia"/>
          <w:b/>
          <w:bCs/>
        </w:rPr>
        <w:t>神火灸的制备方法</w:t>
      </w:r>
      <w:r>
        <w:rPr>
          <w:rFonts w:hint="eastAsia"/>
          <w:b/>
          <w:bCs/>
          <w:lang w:eastAsia="zh-CN"/>
        </w:rPr>
        <w:t>说明：</w:t>
      </w:r>
    </w:p>
    <w:p w14:paraId="0C92C420">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瑶医药纯粹为原生态的经验医学，没有形成自己完整而系统的理论体系。瑶族支系较多，并且居住分散，语言有别。不同族群医师的诊疾方法、技术、所用药物都各有千秋、师传流派也各不相同，如药棍灸法在广西金秀瑶族自治县一带就应用很普遍。根据治疗的病证和传承不一，神火灸的制备方法也不同，也有部分地区使用晾干的原药进行施灸，大部分地区根据经验和不同病证进行制备。如风湿痹痛的相关疾病可以选用驱风通络作用较强的小钻藤，而筋骨痿软、肝肾虚亏者可以选用具有补肝肾、强筋骨作用的杜仲藤进行施灸。常用的药物包括吹风藤、追骨风、牛耳风、四方藤、过山香、大钻、当归藤、五味藤、吹风散、八角枫、断肠草等。有方法直接将藤（茎）枝砍下（一般直径0.5-1cm），如吹风藤，浸泡在特制药液中49天，取出阴干后使用。有文献描述将追骨风、吹风散、牛耳风、五味藤、过山香、大钻等药切断成约15-20cm，晒干后再置入药罐，与生姜、毛萎、大葱、防己、两面针、黄柏和白酒充分浸泡7天，取出晒干[1]。除了上述药枝制备法，还可选用八角枫、当归藤、四方藤、宽筋藤、威灵仙等生新鲜药材，阴干后配地龙、全蝎生姜、大葱等，置入白酒或酒精中浸泡，乙醇浸泡7天（白酒浸泡约半个月），取出阴干[周哲屹，环球中医药]。</w:t>
      </w:r>
    </w:p>
    <w:p w14:paraId="29AAC342">
      <w:pPr>
        <w:pStyle w:val="13"/>
        <w:spacing w:before="0" w:beforeAutospacing="0" w:after="0" w:afterAutospacing="0" w:line="360" w:lineRule="auto"/>
        <w:ind w:firstLine="514" w:firstLineChars="200"/>
        <w:jc w:val="both"/>
        <w:rPr>
          <w:b/>
          <w:bCs/>
          <w:spacing w:val="8"/>
        </w:rPr>
      </w:pPr>
      <w:r>
        <w:rPr>
          <w:rFonts w:hint="eastAsia"/>
          <w:b/>
          <w:bCs/>
          <w:spacing w:val="8"/>
        </w:rPr>
        <w:t>神火灸药枝常用药物及功效[</w:t>
      </w:r>
      <w:r>
        <w:rPr>
          <w:b/>
          <w:bCs/>
          <w:spacing w:val="8"/>
        </w:rPr>
        <w:t>1</w:t>
      </w:r>
      <w:r>
        <w:rPr>
          <w:rFonts w:hint="eastAsia"/>
          <w:b/>
          <w:bCs/>
          <w:spacing w:val="8"/>
        </w:rPr>
        <w:t>李彤，实用瑶医学</w:t>
      </w:r>
      <w:r>
        <w:rPr>
          <w:b/>
          <w:bCs/>
          <w:spacing w:val="8"/>
        </w:rPr>
        <w:t>]</w:t>
      </w:r>
    </w:p>
    <w:p w14:paraId="6DA5D2D7">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4</w:t>
      </w:r>
      <w:r>
        <w:rPr>
          <w:rFonts w:hint="eastAsia" w:ascii="仿宋_GB2312" w:eastAsia="仿宋_GB2312"/>
          <w:color w:val="auto"/>
          <w:sz w:val="28"/>
          <w:szCs w:val="28"/>
          <w:lang w:val="en-US" w:eastAsia="zh-CN"/>
        </w:rPr>
        <w:t xml:space="preserve">.1牛耳风 </w:t>
      </w:r>
    </w:p>
    <w:p w14:paraId="24B6B2D0">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【瑶语】拱照风</w:t>
      </w:r>
    </w:p>
    <w:p w14:paraId="478D2A8D">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【别名】黑风藤、黑皮跌打、拉公藤、通气香、石拢藤。</w:t>
      </w:r>
    </w:p>
    <w:p w14:paraId="0DA63DBD">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【来源】番荔枝科植物黑风藤</w:t>
      </w:r>
    </w:p>
    <w:p w14:paraId="33C9F882">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【性味功能】属于风药，味甘性温。具有补气益元，祛风散邪，穿经走脉，祛风除湿，强筋壮骨，消肿止痛，活血调经的作用。</w:t>
      </w:r>
    </w:p>
    <w:p w14:paraId="795F50CB">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【主治】主治风湿或类风湿性关节炎，乙脑或小儿麻痹后遗症，面神经麻痹，神经痛，月经不调，跌打损伤。</w:t>
      </w:r>
    </w:p>
    <w:p w14:paraId="7F600E61">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4.2追骨风</w:t>
      </w:r>
    </w:p>
    <w:p w14:paraId="478EA661">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【瑶语】 追骨风</w:t>
      </w:r>
    </w:p>
    <w:p w14:paraId="47467DA0">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【来源】 桑科植物薛荔Ficus pumila L.全株</w:t>
      </w:r>
    </w:p>
    <w:p w14:paraId="764E4F78">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【别名】王不留行、爬山虎、巴山虎、凉粉果。</w:t>
      </w:r>
    </w:p>
    <w:p w14:paraId="6555E76A">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【性味功能】味甘，性平。清热解毒，固精壮阳，利湿通乳，活血消肿，通经行血。</w:t>
      </w:r>
    </w:p>
    <w:p w14:paraId="7DD15420">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主治】果托，治产后乳汁不足、阳痿、遗精、睾丸炎、脱肛、水肿、淋浊、小儿肺炎、久痢。根、茎，治风湿性关节炎、手足麻痺、产后风、头痛头晕、风湿筋骨疼痛、腰痛、淋浊、跌打损伤，叶，治白疱疮、漆疮。4.3青九牛</w:t>
      </w:r>
    </w:p>
    <w:p w14:paraId="629550E0">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【瑶语】 拱九命</w:t>
      </w:r>
    </w:p>
    <w:p w14:paraId="191DE7A5">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【别名】大接筋藤、大松身、无地根、表筋藤、松筋藤、宽筋藤、舒筋藤、表筋藤、打不死。</w:t>
      </w:r>
    </w:p>
    <w:p w14:paraId="4E71EB3C">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【性味功能】属打药，味微苦，性凉。祛风散邪，启关透窍，穿经走脉，祛风除湿，筋活络，消肿止痛。</w:t>
      </w:r>
    </w:p>
    <w:p w14:paraId="636AE8BF">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【主治】主治风湿性关节炎，腰肌劳损，坐骨神经痛，半身麻痹，阳痿，脑膜炎后遗，跌打损伤后肌腱挛缩，骨折，无名肿毒，乳腺炎，疮疥。</w:t>
      </w:r>
    </w:p>
    <w:p w14:paraId="3F5B34BA">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 xml:space="preserve">4.5大 钻 </w:t>
      </w:r>
    </w:p>
    <w:p w14:paraId="5BBFE67E">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【瑶语】 浸端</w:t>
      </w:r>
    </w:p>
    <w:p w14:paraId="70A02AB8">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【别名】冷饭团、臭饭团、入地麝香、十八症、红钻、黑老虎。</w:t>
      </w:r>
    </w:p>
    <w:p w14:paraId="0516BA94">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【性味功能】属风药，味辛微苦，性温。穿经走脉，祛风散邪，行气止痛，散瘀消肿，</w:t>
      </w:r>
    </w:p>
    <w:p w14:paraId="1B3CA007">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【主治】主治风湿性关节炎，腰腿痛，慢性胃炎，胃、十二指肠溃疡，痛经，产后腹痛、疝气痛，跌打损伤。</w:t>
      </w:r>
    </w:p>
    <w:p w14:paraId="43290060">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4.6大红钻 （吹风散）</w:t>
      </w:r>
    </w:p>
    <w:p w14:paraId="170029FC">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【瑶语】 浸色端</w:t>
      </w:r>
    </w:p>
    <w:p w14:paraId="098FFE15">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【别名】大梅花钻、大饭团、大血藤、过山龙藤、过山风、风藤、风钻、海风藤、地香、梅花钻、吹风散、绣球香、通血香、红吹风。</w:t>
      </w:r>
    </w:p>
    <w:p w14:paraId="5C74BB47">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【性味功能】属风药，味辛，性微温。启关透窍，解毒除蛊，祛风除湿，祛风散邪，行气止痛，活血散瘀，消肿，舒筋活络。</w:t>
      </w:r>
    </w:p>
    <w:p w14:paraId="1BC6E5A9">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【主治】主治风湿骨痛，腰腿痛，坐骨神经痛，急性肠炎，慢性胃炎，胃溃疡，痛经，产后腹痛，产后风瘫，跌打损伤。</w:t>
      </w:r>
    </w:p>
    <w:p w14:paraId="2697EB23">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4.7双钩钻</w:t>
      </w:r>
    </w:p>
    <w:p w14:paraId="43973336">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【瑶语】 双钩端</w:t>
      </w:r>
    </w:p>
    <w:p w14:paraId="05A865B1">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【别名】金钩草、金勾藤、双钩藤、鹰爪风、吊风根、琴吊、倒挂刺。【性味功能】属打药，属风药，味甘苦，性微寒。泻热逐邪，清热，平肝熄风，镇静，降血压。</w:t>
      </w:r>
    </w:p>
    <w:p w14:paraId="0C77DC47">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【主治】主治头晕目眩，风热头痛，小儿高热惊风，高血压，风湿骨痛，半身不遂， 坐骨神经痛，跌打损伤。</w:t>
      </w:r>
    </w:p>
    <w:p w14:paraId="11A977D5">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4.8四方钻（四方藤）</w:t>
      </w:r>
    </w:p>
    <w:p w14:paraId="2D66F3C8">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【瑶语】 四方端</w:t>
      </w:r>
    </w:p>
    <w:p w14:paraId="2D02BF05">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【别名】翼枝白粉藤、四方藤、红四方藤、风藤、远筋藤。</w:t>
      </w:r>
    </w:p>
    <w:p w14:paraId="77C90F03">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【性味功能】属风药，味酸涩，性平。祛风除湿，祛风散邪，穿经走脉，舒筋活络，祛瘀生新。</w:t>
      </w:r>
    </w:p>
    <w:p w14:paraId="79637837">
      <w:pPr>
        <w:pStyle w:val="30"/>
        <w:spacing w:line="520" w:lineRule="exact"/>
        <w:ind w:firstLine="562"/>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【主治】主治风湿痹痛，风湿性关节炎，四肢麻木，腰肌劳损，跌打损伤，关节功能碍。</w:t>
      </w:r>
    </w:p>
    <w:p w14:paraId="64A13D81">
      <w:pPr>
        <w:pStyle w:val="30"/>
        <w:spacing w:line="520" w:lineRule="exact"/>
        <w:ind w:left="0" w:leftChars="0" w:firstLine="0" w:firstLineChars="0"/>
        <w:rPr>
          <w:rFonts w:hint="default" w:ascii="仿宋_GB2312" w:hAnsi="Calibri" w:eastAsia="仿宋_GB2312" w:cs="Calibri"/>
          <w:b/>
          <w:bCs w:val="0"/>
          <w:color w:val="auto"/>
          <w:sz w:val="28"/>
          <w:szCs w:val="28"/>
          <w:lang w:val="en-US" w:eastAsia="zh-CN"/>
        </w:rPr>
      </w:pPr>
      <w:r>
        <w:rPr>
          <w:rFonts w:hint="eastAsia" w:ascii="仿宋_GB2312" w:hAnsi="Calibri" w:eastAsia="仿宋_GB2312" w:cs="仿宋"/>
          <w:b/>
          <w:bCs w:val="0"/>
          <w:color w:val="auto"/>
          <w:sz w:val="28"/>
          <w:szCs w:val="28"/>
          <w:lang w:val="en-US" w:eastAsia="zh-CN"/>
        </w:rPr>
        <w:t>（二）</w:t>
      </w:r>
      <w:bookmarkStart w:id="18" w:name="_Toc129855215"/>
      <w:bookmarkStart w:id="19" w:name="_Toc130001562"/>
      <w:bookmarkStart w:id="20" w:name="_Toc130001592"/>
      <w:bookmarkStart w:id="21" w:name="_Toc130001751"/>
      <w:bookmarkStart w:id="22" w:name="_Toc129855049"/>
      <w:r>
        <w:rPr>
          <w:rFonts w:hint="eastAsia" w:ascii="仿宋_GB2312" w:hAnsi="Calibri" w:eastAsia="仿宋_GB2312" w:cs="仿宋"/>
          <w:b/>
          <w:bCs w:val="0"/>
          <w:color w:val="auto"/>
          <w:sz w:val="28"/>
          <w:szCs w:val="28"/>
          <w:lang w:val="en-US" w:eastAsia="zh-CN"/>
        </w:rPr>
        <w:t>辨证分型</w:t>
      </w:r>
    </w:p>
    <w:bookmarkEnd w:id="18"/>
    <w:bookmarkEnd w:id="19"/>
    <w:bookmarkEnd w:id="20"/>
    <w:bookmarkEnd w:id="21"/>
    <w:bookmarkEnd w:id="22"/>
    <w:p w14:paraId="3B20594A">
      <w:pPr>
        <w:pStyle w:val="34"/>
        <w:numPr>
          <w:ilvl w:val="0"/>
          <w:numId w:val="0"/>
        </w:numPr>
        <w:spacing w:before="0" w:after="0" w:line="520" w:lineRule="exact"/>
        <w:ind w:left="0" w:leftChars="0" w:firstLine="560" w:firstLineChars="200"/>
        <w:rPr>
          <w:rFonts w:hint="eastAsia" w:ascii="仿宋_GB2312" w:eastAsia="仿宋_GB2312" w:cs="仿宋"/>
          <w:bCs/>
          <w:color w:val="auto"/>
          <w:sz w:val="28"/>
          <w:szCs w:val="28"/>
          <w:lang w:val="en-US" w:eastAsia="zh-CN"/>
        </w:rPr>
      </w:pPr>
      <w:r>
        <w:rPr>
          <w:rFonts w:hint="eastAsia" w:ascii="仿宋_GB2312" w:eastAsia="仿宋_GB2312" w:cs="仿宋"/>
          <w:b w:val="0"/>
          <w:bCs/>
          <w:color w:val="auto"/>
          <w:sz w:val="28"/>
          <w:szCs w:val="28"/>
          <w:lang w:val="en-US" w:eastAsia="zh-CN"/>
        </w:rPr>
        <w:t>辩证分型主要分为三个证型（瘀阻脉结、痰瘀壅阻、气虚络瘀）及其主症、次症、舌脉描述，直接来源于研究文献《瑶医神火灸对卒中后肩手综合征患者体质的影响_周哲屹》的结论：“卒中后肩手综合征患者以瘀血质、痰瘀质、气郁质、气虚质为主，其中瘀血质、痰瘀质居多”。该研究通过中医体质判定明确了SHSAS的主要病机与体质分布</w:t>
      </w:r>
      <w:r>
        <w:rPr>
          <w:rFonts w:hint="eastAsia" w:ascii="仿宋_GB2312" w:eastAsia="仿宋_GB2312" w:cs="仿宋"/>
          <w:bCs/>
          <w:color w:val="auto"/>
          <w:sz w:val="28"/>
          <w:szCs w:val="28"/>
          <w:lang w:val="en-US" w:eastAsia="zh-CN"/>
        </w:rPr>
        <w:t>。</w:t>
      </w:r>
    </w:p>
    <w:p w14:paraId="386F9B18">
      <w:pPr>
        <w:pStyle w:val="30"/>
        <w:jc w:val="center"/>
      </w:pPr>
      <w:r>
        <w:drawing>
          <wp:inline distT="0" distB="0" distL="114300" distR="114300">
            <wp:extent cx="5678805" cy="1903730"/>
            <wp:effectExtent l="0" t="0" r="17145" b="1270"/>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8"/>
                    <a:stretch>
                      <a:fillRect/>
                    </a:stretch>
                  </pic:blipFill>
                  <pic:spPr>
                    <a:xfrm>
                      <a:off x="0" y="0"/>
                      <a:ext cx="5678805" cy="1903730"/>
                    </a:xfrm>
                    <a:prstGeom prst="rect">
                      <a:avLst/>
                    </a:prstGeom>
                    <a:noFill/>
                    <a:ln>
                      <a:noFill/>
                    </a:ln>
                  </pic:spPr>
                </pic:pic>
              </a:graphicData>
            </a:graphic>
          </wp:inline>
        </w:drawing>
      </w:r>
    </w:p>
    <w:p w14:paraId="0BB488A2">
      <w:pPr>
        <w:pStyle w:val="30"/>
        <w:jc w:val="center"/>
      </w:pPr>
      <w:r>
        <w:drawing>
          <wp:inline distT="0" distB="0" distL="114300" distR="114300">
            <wp:extent cx="2181860" cy="2563495"/>
            <wp:effectExtent l="0" t="0" r="8890" b="8255"/>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pic:cNvPicPr>
                      <a:picLocks noChangeAspect="1"/>
                    </pic:cNvPicPr>
                  </pic:nvPicPr>
                  <pic:blipFill>
                    <a:blip r:embed="rId9"/>
                    <a:stretch>
                      <a:fillRect/>
                    </a:stretch>
                  </pic:blipFill>
                  <pic:spPr>
                    <a:xfrm>
                      <a:off x="0" y="0"/>
                      <a:ext cx="2181860" cy="2563495"/>
                    </a:xfrm>
                    <a:prstGeom prst="rect">
                      <a:avLst/>
                    </a:prstGeom>
                    <a:noFill/>
                    <a:ln>
                      <a:noFill/>
                    </a:ln>
                  </pic:spPr>
                </pic:pic>
              </a:graphicData>
            </a:graphic>
          </wp:inline>
        </w:drawing>
      </w:r>
    </w:p>
    <w:p w14:paraId="69955966">
      <w:pPr>
        <w:pStyle w:val="30"/>
        <w:numPr>
          <w:ilvl w:val="0"/>
          <w:numId w:val="0"/>
        </w:numPr>
        <w:spacing w:line="520" w:lineRule="exact"/>
        <w:ind w:firstLine="560" w:firstLineChars="200"/>
        <w:rPr>
          <w:rFonts w:hint="eastAsia" w:ascii="仿宋_GB2312" w:eastAsia="仿宋_GB2312" w:cs="仿宋"/>
          <w:b w:val="0"/>
          <w:bCs/>
          <w:color w:val="auto"/>
          <w:sz w:val="28"/>
          <w:szCs w:val="28"/>
          <w:lang w:val="en-US" w:eastAsia="zh-CN"/>
        </w:rPr>
      </w:pPr>
      <w:r>
        <w:rPr>
          <w:rFonts w:hint="eastAsia" w:ascii="仿宋_GB2312" w:eastAsia="仿宋_GB2312" w:cs="仿宋"/>
          <w:b w:val="0"/>
          <w:bCs/>
          <w:color w:val="auto"/>
          <w:sz w:val="28"/>
          <w:szCs w:val="28"/>
          <w:lang w:val="en-US" w:eastAsia="zh-CN"/>
        </w:rPr>
        <w:t>卒中后肩手综合征患者中瘀血质、痰瘀质、气郁质、气虚质为主,其中瘀血质、痰瘀质居多,这与中风以瘀、虚、痰湿、气滞相混杂的病机特点相符。气血不通则痛，也可以解释肩手综合征患者多合并肩、手关节的疼痛，皮肤水肿及瘀滞的改变</w:t>
      </w:r>
    </w:p>
    <w:p w14:paraId="18F02299">
      <w:pPr>
        <w:pStyle w:val="30"/>
        <w:numPr>
          <w:ilvl w:val="0"/>
          <w:numId w:val="0"/>
        </w:numPr>
        <w:spacing w:line="520" w:lineRule="exact"/>
        <w:ind w:firstLine="560" w:firstLineChars="200"/>
        <w:rPr>
          <w:rFonts w:hint="eastAsia" w:ascii="仿宋_GB2312" w:eastAsia="仿宋_GB2312" w:cs="仿宋"/>
          <w:b w:val="0"/>
          <w:bCs/>
          <w:color w:val="auto"/>
          <w:sz w:val="28"/>
          <w:szCs w:val="28"/>
          <w:lang w:val="en-US" w:eastAsia="zh-CN"/>
        </w:rPr>
      </w:pPr>
      <w:r>
        <w:rPr>
          <w:rFonts w:hint="eastAsia" w:ascii="仿宋_GB2312" w:eastAsia="仿宋_GB2312" w:cs="仿宋"/>
          <w:b w:val="0"/>
          <w:bCs/>
          <w:color w:val="auto"/>
          <w:sz w:val="28"/>
          <w:szCs w:val="28"/>
          <w:lang w:val="en-US" w:eastAsia="zh-CN"/>
        </w:rPr>
        <w:t>瑶医神火灸为瑶医民间的道地药材经加工炮制为药棒(棍)，对穴位施以适度的温热刺激,通过筋脉传壚術塑螋ㄛ撾今餄祿鲮睦镙睑蓍全颓防病治病的目的四。其结合灸疗与药物的优势,具有活血散瘀、疏风散寒、祛风止痛、温经通脉、强壮元阳、调和营卫的作用2。灸法的温热刺激促使毛细血管扩张，增强局部的淋巴与血液的循环,缓解或者消除肌肉的痉挛,促进炎症、粘连、浮肿、斑痕、渗出物及血肿等病理产物的消散和吸收:加强局部的组织代谢能力，还可经过大脑皮层发挥镇静、镇痛作用。瑶药根据其治疗的疾病特点分为“五虎”“九牛”“十八钻”“七十二风”,按功效特点可分为“风药“和“打药”。“风药”有发散祛邪、祛风除湿、开窍通络、辛温通阳、活血散瘀、益肝肾、健脾胃的作用:“打药”具有消肿化瘀止痛作用。神火灸治疗所用的药棒及制备中，用药“风”“打”兼施:兼顾补泻及盈亏平衡。神火灸采用瑶药中的青九牛(宽筋藤)、黑九牛(威灵仙)具有舒经活络、固肾益精、启关透窍的功能,大血藤、四方藤等藤类药具有透利关节、通达经脉的作用，对于瘀阻、湿滞尤为适用,可以祛风活血、行气止痛,配以牛耳风、追骨风等散瘀止痛、活络通经，起到祛风除湿、通络止痛的功效。</w:t>
      </w:r>
    </w:p>
    <w:p w14:paraId="128F9FF3">
      <w:pPr>
        <w:pStyle w:val="30"/>
        <w:numPr>
          <w:ilvl w:val="0"/>
          <w:numId w:val="0"/>
        </w:numPr>
        <w:spacing w:line="520" w:lineRule="exact"/>
        <w:ind w:firstLine="560" w:firstLineChars="200"/>
        <w:rPr>
          <w:rFonts w:hint="eastAsia" w:ascii="仿宋_GB2312" w:eastAsia="仿宋_GB2312" w:cs="仿宋"/>
          <w:b w:val="0"/>
          <w:bCs/>
          <w:color w:val="auto"/>
          <w:sz w:val="28"/>
          <w:szCs w:val="28"/>
          <w:lang w:val="en-US" w:eastAsia="zh-CN"/>
        </w:rPr>
      </w:pPr>
      <w:r>
        <w:rPr>
          <w:rFonts w:hint="eastAsia" w:ascii="仿宋_GB2312" w:eastAsia="仿宋_GB2312" w:cs="仿宋"/>
          <w:b w:val="0"/>
          <w:bCs/>
          <w:color w:val="auto"/>
          <w:sz w:val="28"/>
          <w:szCs w:val="28"/>
          <w:lang w:val="en-US" w:eastAsia="zh-CN"/>
        </w:rPr>
        <w:t>基于临床研究证据确立分型，使标准更具科学性和实用性。明确的证型诊断标准便于操作者准确判断病情，为后续针对性的选穴配穴提供依据，从而实现个体化精准治疗。盈证——瘀阻脉结，病机：风打之邪（以打为主）痹阻筋脉，气血壅盛，瘀滞不通，属“盈”证范畴。盈亏相杂——痰瘀壅阻，病机：痰浊与瘀血（风打相兼）互结，缠滞经络，导致气血运行不畅，盈亏失衡，痰瘀属“盈”，正气不足为本为“亏”。亏证——气虚络瘀。病机：大病之后，气血亏虚，运血无力，导致瘀血内停，脉络不通，属“亏”证范畴。</w:t>
      </w:r>
      <w:bookmarkStart w:id="38" w:name="_GoBack"/>
      <w:bookmarkEnd w:id="38"/>
    </w:p>
    <w:p w14:paraId="7A68E60F">
      <w:pPr>
        <w:pStyle w:val="30"/>
        <w:numPr>
          <w:ilvl w:val="0"/>
          <w:numId w:val="0"/>
        </w:numPr>
        <w:spacing w:line="520" w:lineRule="exact"/>
        <w:ind w:left="0" w:leftChars="0" w:firstLine="0" w:firstLineChars="0"/>
        <w:rPr>
          <w:rFonts w:hint="eastAsia" w:ascii="仿宋_GB2312" w:eastAsia="仿宋_GB2312" w:cs="仿宋"/>
          <w:b/>
          <w:bCs w:val="0"/>
          <w:color w:val="auto"/>
          <w:sz w:val="28"/>
          <w:szCs w:val="28"/>
          <w:lang w:val="en-US" w:eastAsia="zh-CN"/>
        </w:rPr>
      </w:pPr>
      <w:bookmarkStart w:id="23" w:name="_Toc200095087"/>
      <w:bookmarkStart w:id="24" w:name="_Toc199439485"/>
      <w:bookmarkStart w:id="25" w:name="_Toc200560131"/>
      <w:r>
        <w:rPr>
          <w:rFonts w:hint="eastAsia" w:ascii="仿宋_GB2312" w:hAnsi="Calibri" w:eastAsia="仿宋_GB2312" w:cs="仿宋"/>
          <w:b/>
          <w:bCs w:val="0"/>
          <w:color w:val="auto"/>
          <w:sz w:val="28"/>
          <w:szCs w:val="28"/>
          <w:lang w:val="en-US" w:eastAsia="zh-CN" w:bidi="ar-SA"/>
        </w:rPr>
        <w:t>（三）</w:t>
      </w:r>
      <w:r>
        <w:rPr>
          <w:rFonts w:hint="eastAsia" w:ascii="仿宋_GB2312" w:eastAsia="仿宋_GB2312" w:cs="仿宋"/>
          <w:b/>
          <w:bCs w:val="0"/>
          <w:color w:val="auto"/>
          <w:sz w:val="28"/>
          <w:szCs w:val="28"/>
          <w:lang w:val="en-US" w:eastAsia="zh-CN"/>
        </w:rPr>
        <w:t>施术前准备</w:t>
      </w:r>
      <w:bookmarkEnd w:id="23"/>
      <w:bookmarkEnd w:id="24"/>
      <w:bookmarkEnd w:id="25"/>
    </w:p>
    <w:p w14:paraId="03036D9C">
      <w:pPr>
        <w:pStyle w:val="30"/>
        <w:numPr>
          <w:ilvl w:val="0"/>
          <w:numId w:val="0"/>
        </w:numPr>
        <w:spacing w:line="520" w:lineRule="exact"/>
        <w:rPr>
          <w:rFonts w:hint="eastAsia" w:ascii="仿宋_GB2312" w:eastAsia="仿宋_GB2312" w:cs="仿宋"/>
          <w:b w:val="0"/>
          <w:bCs/>
          <w:color w:val="auto"/>
          <w:sz w:val="28"/>
          <w:szCs w:val="28"/>
          <w:lang w:val="en-US" w:eastAsia="zh-CN"/>
        </w:rPr>
      </w:pPr>
      <w:r>
        <w:rPr>
          <w:rFonts w:hint="eastAsia" w:ascii="仿宋_GB2312" w:hAnsi="Calibri" w:eastAsia="仿宋_GB2312" w:cs="仿宋"/>
          <w:b w:val="0"/>
          <w:bCs/>
          <w:color w:val="auto"/>
          <w:sz w:val="28"/>
          <w:szCs w:val="28"/>
          <w:lang w:val="en-US" w:eastAsia="zh-CN" w:bidi="ar-SA"/>
        </w:rPr>
        <w:t>1、</w:t>
      </w:r>
      <w:r>
        <w:rPr>
          <w:rFonts w:hint="eastAsia" w:ascii="仿宋_GB2312" w:eastAsia="仿宋_GB2312" w:cs="仿宋"/>
          <w:b/>
          <w:bCs w:val="0"/>
          <w:color w:val="auto"/>
          <w:sz w:val="28"/>
          <w:szCs w:val="28"/>
          <w:lang w:val="en-US" w:eastAsia="zh-CN"/>
        </w:rPr>
        <w:t>评估：</w:t>
      </w:r>
      <w:r>
        <w:rPr>
          <w:rFonts w:hint="eastAsia" w:ascii="仿宋_GB2312" w:eastAsia="仿宋_GB2312" w:cs="仿宋"/>
          <w:b w:val="0"/>
          <w:bCs/>
          <w:color w:val="auto"/>
          <w:sz w:val="28"/>
          <w:szCs w:val="28"/>
          <w:lang w:val="en-US" w:eastAsia="zh-CN"/>
        </w:rPr>
        <w:t>严格界定适应证与禁忌证是保障患者安全的第一道防线。此条款旨在规范治疗前的筛查流程，确保技术应用于适宜人群，避免对禁忌证患者实施治疗而引发不良事件，最大限度地降低医疗风险。</w:t>
      </w:r>
    </w:p>
    <w:p w14:paraId="56E4AE04">
      <w:pPr>
        <w:pStyle w:val="30"/>
        <w:numPr>
          <w:ilvl w:val="0"/>
          <w:numId w:val="0"/>
        </w:numPr>
        <w:spacing w:line="520" w:lineRule="exact"/>
        <w:ind w:firstLine="560" w:firstLineChars="200"/>
        <w:rPr>
          <w:rFonts w:hint="eastAsia" w:ascii="仿宋_GB2312" w:eastAsia="仿宋_GB2312" w:cs="仿宋"/>
          <w:b w:val="0"/>
          <w:bCs/>
          <w:color w:val="auto"/>
          <w:sz w:val="28"/>
          <w:szCs w:val="28"/>
          <w:lang w:val="en-US" w:eastAsia="zh-CN"/>
        </w:rPr>
      </w:pPr>
      <w:r>
        <w:rPr>
          <w:rFonts w:hint="eastAsia" w:ascii="仿宋_GB2312" w:eastAsia="仿宋_GB2312" w:cs="仿宋"/>
          <w:b w:val="0"/>
          <w:bCs/>
          <w:color w:val="auto"/>
          <w:sz w:val="28"/>
          <w:szCs w:val="28"/>
          <w:lang w:val="en-US" w:eastAsia="zh-CN"/>
        </w:rPr>
        <w:t>所述“肩关节、手部水肿痛、痉挛，不能活动”涵盖了肩手综合征（SHS）的典型症状（疼痛、肿胀、运动功能障碍）。如此规定确保了该技术被准确地应用于其疗效已得到验证的特定病症上，避免技术滥用，保证治疗效果。使用“痰浊”“瘀血”“痹阻经络”等中医/瑶医术语定义适应证，强调了该技术是在传统医学理论指导下的治疗手段，而非简单的物理疗法，体现了其理论深度和特色。</w:t>
      </w:r>
    </w:p>
    <w:p w14:paraId="6752B9D4">
      <w:pPr>
        <w:pStyle w:val="30"/>
        <w:numPr>
          <w:ilvl w:val="0"/>
          <w:numId w:val="0"/>
        </w:numPr>
        <w:spacing w:line="520" w:lineRule="exact"/>
        <w:ind w:firstLine="560" w:firstLineChars="200"/>
        <w:rPr>
          <w:rFonts w:hint="default" w:ascii="仿宋_GB2312" w:eastAsia="仿宋_GB2312" w:cs="仿宋"/>
          <w:b w:val="0"/>
          <w:bCs/>
          <w:color w:val="auto"/>
          <w:sz w:val="28"/>
          <w:szCs w:val="28"/>
          <w:lang w:val="en-US" w:eastAsia="zh-CN"/>
        </w:rPr>
      </w:pPr>
      <w:r>
        <w:rPr>
          <w:rFonts w:hint="eastAsia" w:ascii="仿宋_GB2312" w:eastAsia="仿宋_GB2312" w:cs="仿宋"/>
          <w:b w:val="0"/>
          <w:bCs/>
          <w:color w:val="auto"/>
          <w:sz w:val="28"/>
          <w:szCs w:val="28"/>
          <w:lang w:val="en-US" w:eastAsia="zh-CN"/>
        </w:rPr>
        <w:t>禁忌症：</w:t>
      </w:r>
    </w:p>
    <w:p w14:paraId="5E42F74F">
      <w:pPr>
        <w:pStyle w:val="30"/>
        <w:numPr>
          <w:ilvl w:val="0"/>
          <w:numId w:val="0"/>
        </w:numPr>
        <w:spacing w:line="520" w:lineRule="exact"/>
        <w:ind w:firstLine="560" w:firstLineChars="200"/>
        <w:rPr>
          <w:rFonts w:hint="default" w:ascii="仿宋_GB2312" w:eastAsia="仿宋_GB2312" w:cs="仿宋"/>
          <w:b w:val="0"/>
          <w:bCs/>
          <w:color w:val="auto"/>
          <w:sz w:val="28"/>
          <w:szCs w:val="28"/>
          <w:lang w:val="en-US" w:eastAsia="zh-CN"/>
        </w:rPr>
      </w:pPr>
      <w:r>
        <w:rPr>
          <w:rFonts w:hint="default" w:ascii="仿宋_GB2312" w:eastAsia="仿宋_GB2312" w:cs="仿宋"/>
          <w:b w:val="0"/>
          <w:bCs/>
          <w:color w:val="auto"/>
          <w:sz w:val="28"/>
          <w:szCs w:val="28"/>
          <w:lang w:val="en-US" w:eastAsia="zh-CN"/>
        </w:rPr>
        <w:t>高热、急性炎症等实热证：瑶医神火灸属于温通疗法，其药性与热力均具有温煦、辛散的特性。对于实热证患者，施加温热刺激如同“火上浇油”，会助长体内热邪，可能导致病情加重，如出现高热不退、炎症扩散等“抱薪救火”的反效果。</w:t>
      </w:r>
    </w:p>
    <w:p w14:paraId="1023DC07">
      <w:pPr>
        <w:pStyle w:val="30"/>
        <w:numPr>
          <w:ilvl w:val="0"/>
          <w:numId w:val="0"/>
        </w:numPr>
        <w:spacing w:line="520" w:lineRule="exact"/>
        <w:ind w:firstLine="560" w:firstLineChars="200"/>
        <w:rPr>
          <w:rFonts w:hint="default" w:ascii="仿宋_GB2312" w:eastAsia="仿宋_GB2312" w:cs="仿宋"/>
          <w:b w:val="0"/>
          <w:bCs/>
          <w:color w:val="auto"/>
          <w:sz w:val="28"/>
          <w:szCs w:val="28"/>
          <w:lang w:val="en-US" w:eastAsia="zh-CN"/>
        </w:rPr>
      </w:pPr>
      <w:r>
        <w:rPr>
          <w:rFonts w:hint="default" w:ascii="仿宋_GB2312" w:eastAsia="仿宋_GB2312" w:cs="仿宋"/>
          <w:b w:val="0"/>
          <w:bCs/>
          <w:color w:val="auto"/>
          <w:sz w:val="28"/>
          <w:szCs w:val="28"/>
          <w:lang w:val="en-US" w:eastAsia="zh-CN"/>
        </w:rPr>
        <w:t>局部皮肤破溃、烫伤：这是防止局部感染和加重损伤的直接要求。施灸处的皮肤完整性受损时，操作不仅会引起疼痛，更可能将细菌带入深层组织引发感染，或阻碍创面的正常愈合。</w:t>
      </w:r>
    </w:p>
    <w:p w14:paraId="38A19EAC">
      <w:pPr>
        <w:pStyle w:val="30"/>
        <w:numPr>
          <w:ilvl w:val="0"/>
          <w:numId w:val="0"/>
        </w:numPr>
        <w:spacing w:line="520" w:lineRule="exact"/>
        <w:ind w:firstLine="560" w:firstLineChars="200"/>
        <w:rPr>
          <w:rFonts w:hint="default" w:ascii="仿宋_GB2312" w:eastAsia="仿宋_GB2312" w:cs="仿宋"/>
          <w:b w:val="0"/>
          <w:bCs/>
          <w:color w:val="auto"/>
          <w:sz w:val="28"/>
          <w:szCs w:val="28"/>
          <w:lang w:val="en-US" w:eastAsia="zh-CN"/>
        </w:rPr>
      </w:pPr>
      <w:r>
        <w:rPr>
          <w:rFonts w:hint="default" w:ascii="仿宋_GB2312" w:eastAsia="仿宋_GB2312" w:cs="仿宋"/>
          <w:b w:val="0"/>
          <w:bCs/>
          <w:color w:val="auto"/>
          <w:sz w:val="28"/>
          <w:szCs w:val="28"/>
          <w:lang w:val="en-US" w:eastAsia="zh-CN"/>
        </w:rPr>
        <w:t>局部血管曲张者：血管曲张部位血管壁薄弱，功能不全。直接的热刺激可能导致血管进一步扩张、加重血液淤滞，甚至在极端情况下有引发血管破裂的风险。</w:t>
      </w:r>
    </w:p>
    <w:p w14:paraId="30A6D5AA">
      <w:pPr>
        <w:pStyle w:val="30"/>
        <w:numPr>
          <w:ilvl w:val="0"/>
          <w:numId w:val="0"/>
        </w:numPr>
        <w:spacing w:line="520" w:lineRule="exact"/>
        <w:ind w:firstLine="560" w:firstLineChars="200"/>
        <w:rPr>
          <w:rFonts w:hint="default" w:ascii="仿宋_GB2312" w:eastAsia="仿宋_GB2312" w:cs="仿宋"/>
          <w:b w:val="0"/>
          <w:bCs/>
          <w:color w:val="auto"/>
          <w:sz w:val="28"/>
          <w:szCs w:val="28"/>
          <w:lang w:val="en-US" w:eastAsia="zh-CN"/>
        </w:rPr>
      </w:pPr>
      <w:r>
        <w:rPr>
          <w:rFonts w:hint="default" w:ascii="仿宋_GB2312" w:eastAsia="仿宋_GB2312" w:cs="仿宋"/>
          <w:b w:val="0"/>
          <w:bCs/>
          <w:color w:val="auto"/>
          <w:sz w:val="28"/>
          <w:szCs w:val="28"/>
          <w:lang w:val="en-US" w:eastAsia="zh-CN"/>
        </w:rPr>
        <w:t>急性出血性疾病：瑶医神火灸中的许多药材（如大血藤、四方藤）以及其活血化瘀的治法，本身具有抗凝、促血液循环的作用。对于正处于出血期（如脑出血急性期、消化道出血等）的患者，使用该技术可能会加重出血或引发再次出血，极为危险。</w:t>
      </w:r>
    </w:p>
    <w:p w14:paraId="4ED9C48D">
      <w:pPr>
        <w:pStyle w:val="30"/>
        <w:numPr>
          <w:ilvl w:val="0"/>
          <w:numId w:val="0"/>
        </w:numPr>
        <w:spacing w:line="520" w:lineRule="exact"/>
        <w:ind w:firstLine="560" w:firstLineChars="200"/>
        <w:rPr>
          <w:rFonts w:hint="default" w:ascii="仿宋_GB2312" w:eastAsia="仿宋_GB2312" w:cs="仿宋"/>
          <w:b w:val="0"/>
          <w:bCs/>
          <w:color w:val="auto"/>
          <w:sz w:val="28"/>
          <w:szCs w:val="28"/>
          <w:lang w:val="en-US" w:eastAsia="zh-CN"/>
        </w:rPr>
      </w:pPr>
      <w:r>
        <w:rPr>
          <w:rFonts w:hint="default" w:ascii="仿宋_GB2312" w:eastAsia="仿宋_GB2312" w:cs="仿宋"/>
          <w:b w:val="0"/>
          <w:bCs/>
          <w:color w:val="auto"/>
          <w:sz w:val="28"/>
          <w:szCs w:val="28"/>
          <w:lang w:val="en-US" w:eastAsia="zh-CN"/>
        </w:rPr>
        <w:t>孕妇及体弱者慎用：出于伦理和对胎儿安全的极致谨慎。虽然施灸部位在肩手，但温热刺激和药物气味可能通过经络系统对冲、任二脉及胎儿产生影响，其风险不可控。体弱者：指气血极度亏虚、元气大伤者。神火灸虽可补益，但其“开泄”的作用可能对于“亏”至极点的患者而言难以承受，可能导致虚不受补，甚至晕灸等不良反应。因此需格外谨慎，必须由经验丰富的医师评估后决定是否适用。</w:t>
      </w:r>
    </w:p>
    <w:p w14:paraId="177E9496">
      <w:pPr>
        <w:pStyle w:val="30"/>
        <w:spacing w:line="520" w:lineRule="exact"/>
        <w:ind w:left="0" w:leftChars="0" w:firstLine="0" w:firstLineChars="0"/>
        <w:rPr>
          <w:rFonts w:hint="eastAsia" w:ascii="仿宋_GB2312" w:eastAsia="仿宋_GB2312" w:cs="仿宋"/>
          <w:b/>
          <w:bCs w:val="0"/>
          <w:color w:val="auto"/>
          <w:sz w:val="28"/>
          <w:szCs w:val="28"/>
          <w:highlight w:val="none"/>
          <w:lang w:val="en-US" w:eastAsia="zh-CN"/>
        </w:rPr>
      </w:pPr>
      <w:bookmarkStart w:id="26" w:name="_Toc200560133"/>
      <w:bookmarkStart w:id="27" w:name="_Toc200095089"/>
      <w:bookmarkStart w:id="28" w:name="_Toc199439487"/>
      <w:r>
        <w:rPr>
          <w:rFonts w:hint="eastAsia" w:ascii="仿宋_GB2312" w:eastAsia="仿宋_GB2312" w:cs="仿宋"/>
          <w:b/>
          <w:bCs w:val="0"/>
          <w:color w:val="auto"/>
          <w:sz w:val="28"/>
          <w:szCs w:val="28"/>
          <w:highlight w:val="none"/>
          <w:lang w:val="en-US" w:eastAsia="zh-CN"/>
        </w:rPr>
        <w:t>2、术者准备</w:t>
      </w:r>
      <w:bookmarkEnd w:id="26"/>
      <w:bookmarkEnd w:id="27"/>
      <w:bookmarkEnd w:id="28"/>
      <w:r>
        <w:rPr>
          <w:rFonts w:hint="eastAsia" w:ascii="仿宋_GB2312" w:eastAsia="仿宋_GB2312" w:cs="仿宋"/>
          <w:b/>
          <w:bCs w:val="0"/>
          <w:color w:val="auto"/>
          <w:sz w:val="28"/>
          <w:szCs w:val="28"/>
          <w:highlight w:val="none"/>
          <w:lang w:val="en-US" w:eastAsia="zh-CN"/>
        </w:rPr>
        <w:t>、患者准备：</w:t>
      </w:r>
    </w:p>
    <w:p w14:paraId="7BD3363D">
      <w:pPr>
        <w:pStyle w:val="30"/>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条款内容主要综合了本院临床经验总结相关瑶医神火灸操作规范中的注意事项以及临床医疗操作的通则。例如，核对信息、签署知情同意、检查器械、手卫生、体位摆放等均为基础医疗规范；患者准备中的体位要求直接引用了操作规范中“可采用仰卧、俯、卧、坐位等体位，从舒适能坚持较长时间为主”的原文。制定详尽的术前准备流程，旨在确保治疗的规范性、安全性和有效性。核对与检查可防止差错；沟通与解释能获取患者配合，提高治疗依从性；手卫生与器械准备是感染控制的基本要求；舒适的体位是保证施灸准确和患者耐受的前提。</w:t>
      </w:r>
    </w:p>
    <w:p w14:paraId="6233FEE4">
      <w:pPr>
        <w:pStyle w:val="30"/>
        <w:numPr>
          <w:ilvl w:val="0"/>
          <w:numId w:val="0"/>
        </w:numPr>
        <w:spacing w:line="520" w:lineRule="exact"/>
        <w:ind w:left="0" w:leftChars="0" w:firstLine="0" w:firstLineChars="0"/>
        <w:rPr>
          <w:rFonts w:hint="eastAsia" w:ascii="仿宋_GB2312" w:eastAsia="仿宋_GB2312" w:cs="仿宋"/>
          <w:b/>
          <w:bCs w:val="0"/>
          <w:color w:val="auto"/>
          <w:sz w:val="28"/>
          <w:szCs w:val="28"/>
          <w:lang w:val="en-US" w:eastAsia="zh-CN"/>
        </w:rPr>
      </w:pPr>
      <w:r>
        <w:rPr>
          <w:rFonts w:hint="eastAsia" w:ascii="仿宋_GB2312" w:hAnsi="Calibri" w:eastAsia="仿宋_GB2312" w:cs="仿宋"/>
          <w:b/>
          <w:bCs w:val="0"/>
          <w:color w:val="auto"/>
          <w:sz w:val="28"/>
          <w:szCs w:val="28"/>
          <w:lang w:val="en-US" w:eastAsia="zh-CN" w:bidi="ar-SA"/>
        </w:rPr>
        <w:t>（四）</w:t>
      </w:r>
      <w:r>
        <w:rPr>
          <w:rFonts w:hint="eastAsia" w:ascii="仿宋_GB2312" w:eastAsia="仿宋_GB2312" w:cs="仿宋"/>
          <w:b/>
          <w:bCs w:val="0"/>
          <w:color w:val="auto"/>
          <w:sz w:val="28"/>
          <w:szCs w:val="28"/>
          <w:highlight w:val="none"/>
          <w:lang w:val="en-US" w:eastAsia="zh-CN"/>
        </w:rPr>
        <w:t>施术方法</w:t>
      </w:r>
    </w:p>
    <w:p w14:paraId="23A7F019">
      <w:pPr>
        <w:pStyle w:val="30"/>
        <w:spacing w:line="520" w:lineRule="exact"/>
        <w:ind w:left="0" w:leftChars="0" w:firstLine="0" w:firstLineChars="0"/>
        <w:rPr>
          <w:rFonts w:hint="eastAsia" w:ascii="仿宋_GB2312" w:eastAsia="仿宋_GB2312" w:cs="仿宋"/>
          <w:b/>
          <w:bCs w:val="0"/>
          <w:color w:val="auto"/>
          <w:sz w:val="28"/>
          <w:szCs w:val="28"/>
          <w:highlight w:val="none"/>
          <w:lang w:val="en-US" w:eastAsia="zh-CN"/>
        </w:rPr>
      </w:pPr>
      <w:r>
        <w:rPr>
          <w:rFonts w:hint="eastAsia" w:ascii="仿宋_GB2312" w:eastAsia="仿宋_GB2312" w:cs="仿宋"/>
          <w:b/>
          <w:bCs w:val="0"/>
          <w:color w:val="auto"/>
          <w:sz w:val="28"/>
          <w:szCs w:val="28"/>
          <w:highlight w:val="none"/>
          <w:lang w:val="en-US" w:eastAsia="zh-CN"/>
        </w:rPr>
        <w:t>7.1 施灸配穴原则</w:t>
      </w:r>
    </w:p>
    <w:p w14:paraId="4156BAEE">
      <w:pPr>
        <w:pStyle w:val="30"/>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纳入瑶医神火灸传统的配穴与施灸顺序原则，是为了尊重和继承该技术的传统理论精髓。“引热力下行”、“从阳引阴”等原则体现了中医及瑶医的整体观念和阴阳平衡思想，指导临床操作以优化疗效，避免不良反应</w:t>
      </w:r>
    </w:p>
    <w:p w14:paraId="4BAD4720">
      <w:pPr>
        <w:pStyle w:val="30"/>
        <w:spacing w:line="520" w:lineRule="exact"/>
        <w:ind w:left="0" w:leftChars="0" w:firstLine="0" w:firstLineChars="0"/>
        <w:rPr>
          <w:rFonts w:hint="eastAsia" w:ascii="仿宋_GB2312" w:eastAsia="仿宋_GB2312" w:cs="仿宋"/>
          <w:b/>
          <w:bCs w:val="0"/>
          <w:color w:val="auto"/>
          <w:sz w:val="28"/>
          <w:szCs w:val="28"/>
          <w:highlight w:val="none"/>
          <w:lang w:val="en-US" w:eastAsia="zh-CN"/>
        </w:rPr>
      </w:pPr>
      <w:r>
        <w:rPr>
          <w:rFonts w:hint="eastAsia" w:ascii="仿宋_GB2312" w:eastAsia="仿宋_GB2312" w:cs="仿宋"/>
          <w:b/>
          <w:bCs w:val="0"/>
          <w:color w:val="auto"/>
          <w:sz w:val="28"/>
          <w:szCs w:val="28"/>
          <w:highlight w:val="none"/>
          <w:lang w:val="en-US" w:eastAsia="zh-CN"/>
        </w:rPr>
        <w:t>7.2 穴位选择（主穴与配穴）</w:t>
      </w:r>
    </w:p>
    <w:p w14:paraId="180A84B5">
      <w:pPr>
        <w:pStyle w:val="30"/>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来源依据：主穴（</w:t>
      </w:r>
      <w:bookmarkStart w:id="29" w:name="OLE_LINK141"/>
      <w:r>
        <w:rPr>
          <w:rFonts w:hint="eastAsia" w:ascii="仿宋_GB2312" w:eastAsia="仿宋_GB2312" w:cs="仿宋"/>
          <w:b w:val="0"/>
          <w:bCs/>
          <w:color w:val="auto"/>
          <w:sz w:val="28"/>
          <w:szCs w:val="28"/>
          <w:highlight w:val="none"/>
          <w:lang w:val="en-US" w:eastAsia="zh-CN"/>
        </w:rPr>
        <w:t>肩井、肩隅、肩贞、合谷、肩髎、曲池</w:t>
      </w:r>
      <w:bookmarkEnd w:id="29"/>
      <w:r>
        <w:rPr>
          <w:rFonts w:hint="eastAsia" w:ascii="仿宋_GB2312" w:eastAsia="仿宋_GB2312" w:cs="仿宋"/>
          <w:b w:val="0"/>
          <w:bCs/>
          <w:color w:val="auto"/>
          <w:sz w:val="28"/>
          <w:szCs w:val="28"/>
          <w:highlight w:val="none"/>
          <w:lang w:val="en-US" w:eastAsia="zh-CN"/>
        </w:rPr>
        <w:t>）在所有临床研究文献（如周哲屹等人的多篇文章，见下图）及操作规范中均被列为治疗SHSAS的核心穴位。配穴方案（如瘀血加血海、膈俞等）是基于前述“辨证分型”的现代临床应用延伸，遵循“辨证取穴”的中医针灸学原则。</w:t>
      </w:r>
    </w:p>
    <w:p w14:paraId="5B14517C">
      <w:pPr>
        <w:pStyle w:val="30"/>
        <w:keepNext w:val="0"/>
        <w:keepLines w:val="0"/>
        <w:pageBreakBefore w:val="0"/>
        <w:widowControl/>
        <w:kinsoku/>
        <w:wordWrap/>
        <w:overflowPunct/>
        <w:topLinePunct w:val="0"/>
        <w:autoSpaceDE w:val="0"/>
        <w:autoSpaceDN w:val="0"/>
        <w:bidi w:val="0"/>
        <w:adjustRightInd/>
        <w:snapToGrid/>
        <w:spacing w:line="240" w:lineRule="auto"/>
        <w:ind w:left="0" w:leftChars="0" w:firstLine="0" w:firstLineChars="0"/>
        <w:jc w:val="center"/>
        <w:textAlignment w:val="auto"/>
      </w:pPr>
      <w:r>
        <w:drawing>
          <wp:inline distT="0" distB="0" distL="114300" distR="114300">
            <wp:extent cx="2749550" cy="2266315"/>
            <wp:effectExtent l="0" t="0" r="12700" b="635"/>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pic:cNvPicPr>
                      <a:picLocks noChangeAspect="1"/>
                    </pic:cNvPicPr>
                  </pic:nvPicPr>
                  <pic:blipFill>
                    <a:blip r:embed="rId10"/>
                    <a:srcRect t="1822"/>
                    <a:stretch>
                      <a:fillRect/>
                    </a:stretch>
                  </pic:blipFill>
                  <pic:spPr>
                    <a:xfrm>
                      <a:off x="0" y="0"/>
                      <a:ext cx="2749550" cy="2266315"/>
                    </a:xfrm>
                    <a:prstGeom prst="rect">
                      <a:avLst/>
                    </a:prstGeom>
                    <a:noFill/>
                    <a:ln>
                      <a:noFill/>
                    </a:ln>
                  </pic:spPr>
                </pic:pic>
              </a:graphicData>
            </a:graphic>
          </wp:inline>
        </w:drawing>
      </w:r>
    </w:p>
    <w:p w14:paraId="59668C4E">
      <w:pPr>
        <w:pStyle w:val="30"/>
        <w:keepNext w:val="0"/>
        <w:keepLines w:val="0"/>
        <w:pageBreakBefore w:val="0"/>
        <w:widowControl/>
        <w:kinsoku/>
        <w:wordWrap/>
        <w:overflowPunct/>
        <w:topLinePunct w:val="0"/>
        <w:autoSpaceDE w:val="0"/>
        <w:autoSpaceDN w:val="0"/>
        <w:bidi w:val="0"/>
        <w:adjustRightInd/>
        <w:snapToGrid/>
        <w:spacing w:line="240" w:lineRule="auto"/>
        <w:ind w:left="0" w:leftChars="0" w:firstLine="0" w:firstLineChars="0"/>
        <w:jc w:val="center"/>
        <w:textAlignment w:val="auto"/>
        <w:rPr>
          <w:rFonts w:hint="eastAsia"/>
          <w:b/>
          <w:bCs/>
          <w:lang w:val="en-US" w:eastAsia="zh-CN"/>
        </w:rPr>
      </w:pPr>
      <w:r>
        <w:rPr>
          <w:rFonts w:hint="eastAsia"/>
          <w:b/>
          <w:bCs/>
          <w:lang w:val="en-US" w:eastAsia="zh-CN"/>
        </w:rPr>
        <w:t>瑶医神火灸结合综合康复对卒中后肩手综合征患者生活质量及心理健康的影响_周哲屹</w:t>
      </w:r>
    </w:p>
    <w:p w14:paraId="5771874A">
      <w:pPr>
        <w:pStyle w:val="30"/>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其中，瘀血阻络证</w:t>
      </w:r>
      <w:r>
        <w:rPr>
          <w:rFonts w:hint="eastAsia" w:ascii="仿宋_GB2312" w:eastAsia="仿宋_GB2312" w:cs="仿宋"/>
          <w:b w:val="0"/>
          <w:bCs/>
          <w:color w:val="auto"/>
          <w:sz w:val="28"/>
          <w:szCs w:val="28"/>
          <w:highlight w:val="none"/>
          <w:lang w:val="en-US" w:eastAsia="zh-CN"/>
        </w:rPr>
        <w:t>方义：血海、膈俞为活血化瘀之要穴，助打药破瘀通络，改善局部瘀滞。痰瘀互结证方义：丰隆为化痰要穴，阴陵泉可健脾利湿，二者合用共奏化痰祛湿之效，配合药枝以化解痰瘀互结；气虚血瘀证方义：足三里健脾益气，气海补益元气，二穴合用可扶助人体正气，益气以行血，消除血瘀。明确的主穴列表确立了治疗SHSAS的核心刺激靶点，保证治疗的基础效果。针对不同证型设立配穴，是将瑶医神火灸技术与中医辨证理论相结合的关键步骤，旨在通过穴位配伍增强治疗的针对性，实现“同病异治”，提升疗效。</w:t>
      </w:r>
    </w:p>
    <w:p w14:paraId="3F558833">
      <w:pPr>
        <w:pStyle w:val="30"/>
        <w:numPr>
          <w:ilvl w:val="0"/>
          <w:numId w:val="0"/>
        </w:numPr>
        <w:spacing w:line="520" w:lineRule="exact"/>
        <w:ind w:leftChars="0" w:firstLine="562" w:firstLineChars="200"/>
        <w:rPr>
          <w:rFonts w:hint="eastAsia" w:ascii="仿宋_GB2312" w:eastAsia="仿宋_GB2312" w:cs="仿宋"/>
          <w:b/>
          <w:bCs w:val="0"/>
          <w:color w:val="auto"/>
          <w:sz w:val="28"/>
          <w:szCs w:val="28"/>
          <w:highlight w:val="none"/>
          <w:lang w:val="en-US" w:eastAsia="zh-CN"/>
        </w:rPr>
      </w:pPr>
      <w:r>
        <w:rPr>
          <w:rFonts w:hint="eastAsia" w:ascii="仿宋_GB2312" w:eastAsia="仿宋_GB2312" w:cs="仿宋"/>
          <w:b/>
          <w:bCs w:val="0"/>
          <w:color w:val="auto"/>
          <w:sz w:val="28"/>
          <w:szCs w:val="28"/>
          <w:highlight w:val="none"/>
          <w:lang w:val="en-US" w:eastAsia="zh-CN"/>
        </w:rPr>
        <w:t>7.4 操作方法</w:t>
      </w:r>
    </w:p>
    <w:p w14:paraId="14A6B14B">
      <w:pPr>
        <w:pStyle w:val="30"/>
        <w:numPr>
          <w:ilvl w:val="0"/>
          <w:numId w:val="0"/>
        </w:numPr>
        <w:spacing w:line="520" w:lineRule="exact"/>
        <w:ind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来源依据：该条款下的所有操作细节，包括药枝燃烧时间（3min）、暗火施灸、隔牛皮纸、温度控制（50℃-60℃）、施灸时长（3-5min/穴）、总时间（20min）及药枝用后处理等，依据：瑶医神火灸结合综合康复疗法治疗脑卒中后肩手综合征临床研究中的相关治疗方法。</w:t>
      </w:r>
    </w:p>
    <w:p w14:paraId="06EF15FD">
      <w:pPr>
        <w:pStyle w:val="30"/>
        <w:keepNext w:val="0"/>
        <w:keepLines w:val="0"/>
        <w:pageBreakBefore w:val="0"/>
        <w:widowControl/>
        <w:numPr>
          <w:ilvl w:val="0"/>
          <w:numId w:val="0"/>
        </w:numPr>
        <w:kinsoku/>
        <w:wordWrap/>
        <w:overflowPunct/>
        <w:topLinePunct w:val="0"/>
        <w:autoSpaceDE w:val="0"/>
        <w:autoSpaceDN w:val="0"/>
        <w:bidi w:val="0"/>
        <w:adjustRightInd/>
        <w:snapToGrid/>
        <w:spacing w:line="240" w:lineRule="auto"/>
        <w:ind w:leftChars="0" w:firstLine="420" w:firstLineChars="200"/>
        <w:jc w:val="center"/>
        <w:textAlignment w:val="auto"/>
      </w:pPr>
      <w:r>
        <w:drawing>
          <wp:inline distT="0" distB="0" distL="114300" distR="114300">
            <wp:extent cx="2248535" cy="2450465"/>
            <wp:effectExtent l="0" t="0" r="18415" b="6985"/>
            <wp:docPr id="1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7"/>
                    <pic:cNvPicPr>
                      <a:picLocks noChangeAspect="1"/>
                    </pic:cNvPicPr>
                  </pic:nvPicPr>
                  <pic:blipFill>
                    <a:blip r:embed="rId11"/>
                    <a:stretch>
                      <a:fillRect/>
                    </a:stretch>
                  </pic:blipFill>
                  <pic:spPr>
                    <a:xfrm>
                      <a:off x="0" y="0"/>
                      <a:ext cx="2248535" cy="2450465"/>
                    </a:xfrm>
                    <a:prstGeom prst="rect">
                      <a:avLst/>
                    </a:prstGeom>
                    <a:noFill/>
                    <a:ln>
                      <a:noFill/>
                    </a:ln>
                  </pic:spPr>
                </pic:pic>
              </a:graphicData>
            </a:graphic>
          </wp:inline>
        </w:drawing>
      </w:r>
    </w:p>
    <w:p w14:paraId="0F50FAC0">
      <w:pPr>
        <w:pStyle w:val="30"/>
        <w:keepNext w:val="0"/>
        <w:keepLines w:val="0"/>
        <w:pageBreakBefore w:val="0"/>
        <w:widowControl/>
        <w:numPr>
          <w:ilvl w:val="0"/>
          <w:numId w:val="0"/>
        </w:numPr>
        <w:kinsoku/>
        <w:wordWrap/>
        <w:overflowPunct/>
        <w:topLinePunct w:val="0"/>
        <w:autoSpaceDE w:val="0"/>
        <w:autoSpaceDN w:val="0"/>
        <w:bidi w:val="0"/>
        <w:adjustRightInd/>
        <w:snapToGrid/>
        <w:spacing w:line="240" w:lineRule="auto"/>
        <w:ind w:leftChars="0" w:firstLine="422" w:firstLineChars="200"/>
        <w:jc w:val="center"/>
        <w:textAlignment w:val="auto"/>
        <w:rPr>
          <w:rFonts w:hint="eastAsia"/>
          <w:b/>
          <w:bCs w:val="0"/>
          <w:sz w:val="21"/>
          <w:szCs w:val="21"/>
          <w:lang w:val="en-US" w:eastAsia="zh-CN"/>
        </w:rPr>
      </w:pPr>
      <w:r>
        <w:rPr>
          <w:rFonts w:hint="eastAsia" w:ascii="仿宋_GB2312" w:eastAsia="仿宋_GB2312" w:cs="仿宋"/>
          <w:b/>
          <w:bCs w:val="0"/>
          <w:color w:val="auto"/>
          <w:sz w:val="21"/>
          <w:szCs w:val="21"/>
          <w:highlight w:val="none"/>
          <w:lang w:val="en-US" w:eastAsia="zh-CN"/>
        </w:rPr>
        <w:t>瑶医神火灸结合综合康复疗</w:t>
      </w:r>
      <w:r>
        <w:rPr>
          <w:rFonts w:hint="eastAsia" w:ascii="仿宋_GB2312" w:eastAsia="仿宋_GB2312" w:cs="仿宋"/>
          <w:b/>
          <w:bCs w:val="0"/>
          <w:color w:val="auto"/>
          <w:sz w:val="21"/>
          <w:szCs w:val="21"/>
          <w:highlight w:val="none"/>
          <w:lang w:val="en-US" w:eastAsia="zh-CN"/>
        </w:rPr>
        <w:t>法治疗脑卒中后肩手综合征临床研究</w:t>
      </w:r>
      <w:r>
        <w:rPr>
          <w:rFonts w:hint="eastAsia" w:ascii="仿宋_GB2312" w:eastAsia="仿宋_GB2312" w:cs="仿宋"/>
          <w:b/>
          <w:bCs w:val="0"/>
          <w:color w:val="auto"/>
          <w:sz w:val="21"/>
          <w:szCs w:val="21"/>
          <w:highlight w:val="none"/>
          <w:lang w:val="en-US" w:eastAsia="zh-CN"/>
        </w:rPr>
        <w:t>[J].刘国成，周哲屹等</w:t>
      </w:r>
    </w:p>
    <w:p w14:paraId="2B45FEDC">
      <w:pPr>
        <w:pStyle w:val="30"/>
        <w:numPr>
          <w:ilvl w:val="0"/>
          <w:numId w:val="0"/>
        </w:numPr>
        <w:spacing w:line="520" w:lineRule="exact"/>
        <w:ind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操作方法是技术的核心。本标准严格遵循前期研究与临床实践验证过的标准化流程，旨在确保每一位操作者都能按照统一、规范的程序执行，从而保证治疗技术的稳定性、安全性和可重复性，为临床推广和大规模应用奠定基础。</w:t>
      </w:r>
    </w:p>
    <w:p w14:paraId="66E39AAE">
      <w:pPr>
        <w:pStyle w:val="30"/>
        <w:numPr>
          <w:ilvl w:val="0"/>
          <w:numId w:val="0"/>
        </w:numPr>
        <w:spacing w:line="520" w:lineRule="exact"/>
        <w:ind w:leftChars="0" w:firstLine="562" w:firstLineChars="200"/>
        <w:rPr>
          <w:rFonts w:hint="eastAsia" w:ascii="仿宋_GB2312" w:eastAsia="仿宋_GB2312" w:cs="仿宋"/>
          <w:b/>
          <w:bCs w:val="0"/>
          <w:color w:val="auto"/>
          <w:sz w:val="28"/>
          <w:szCs w:val="28"/>
          <w:highlight w:val="none"/>
          <w:lang w:val="en-US" w:eastAsia="zh-CN"/>
        </w:rPr>
      </w:pPr>
      <w:r>
        <w:rPr>
          <w:rFonts w:hint="eastAsia" w:ascii="仿宋_GB2312" w:eastAsia="仿宋_GB2312" w:cs="仿宋"/>
          <w:b/>
          <w:bCs w:val="0"/>
          <w:color w:val="auto"/>
          <w:sz w:val="28"/>
          <w:szCs w:val="28"/>
          <w:highlight w:val="none"/>
          <w:lang w:val="en-US" w:eastAsia="zh-CN"/>
        </w:rPr>
        <w:t>7.6 疗程及疗效评估</w:t>
      </w:r>
    </w:p>
    <w:p w14:paraId="5E36B37D">
      <w:pPr>
        <w:pStyle w:val="30"/>
        <w:numPr>
          <w:ilvl w:val="0"/>
          <w:numId w:val="0"/>
        </w:numPr>
        <w:spacing w:line="520" w:lineRule="exact"/>
        <w:ind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来源依据：疗程设定（每日1次，7日1疗程，连用2疗程）来源于《瑶医神火灸结合综合康复疗法治疗脑卒中后肩手综合征临床研究》等文中描述的临床研究方案。</w:t>
      </w:r>
    </w:p>
    <w:p w14:paraId="0F8E87FB">
      <w:pPr>
        <w:pStyle w:val="30"/>
        <w:numPr>
          <w:ilvl w:val="0"/>
          <w:numId w:val="0"/>
        </w:numPr>
        <w:spacing w:line="520" w:lineRule="exact"/>
        <w:ind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疗效评定标准（显效、有效、无效）直接引用自瑶医神火灸结合综合康复疗法治疗脑卒中后肩手综合征临床研究[J].刘国成，周哲屹等中的疗效评定标准。明确的疗程规定是基于临床研究得出的有效治疗周期，能指导医护人员和患者进行系统、足量的治疗。统一的疗效评估标准是客观评价该技术临床应用价值、进行疗效对比和统计学分析的必要工具。</w:t>
      </w:r>
    </w:p>
    <w:p w14:paraId="44DDAF35">
      <w:pPr>
        <w:pStyle w:val="30"/>
        <w:keepNext w:val="0"/>
        <w:keepLines w:val="0"/>
        <w:pageBreakBefore w:val="0"/>
        <w:widowControl/>
        <w:numPr>
          <w:ilvl w:val="0"/>
          <w:numId w:val="0"/>
        </w:numPr>
        <w:kinsoku/>
        <w:wordWrap/>
        <w:overflowPunct/>
        <w:topLinePunct w:val="0"/>
        <w:autoSpaceDE w:val="0"/>
        <w:autoSpaceDN w:val="0"/>
        <w:bidi w:val="0"/>
        <w:adjustRightInd/>
        <w:snapToGrid/>
        <w:spacing w:line="240" w:lineRule="auto"/>
        <w:ind w:leftChars="0" w:firstLine="420" w:firstLineChars="200"/>
        <w:jc w:val="center"/>
        <w:textAlignment w:val="auto"/>
        <w:rPr>
          <w:rFonts w:hint="eastAsia" w:ascii="仿宋_GB2312" w:eastAsia="仿宋_GB2312" w:cs="仿宋"/>
          <w:b w:val="0"/>
          <w:bCs/>
          <w:color w:val="auto"/>
          <w:sz w:val="28"/>
          <w:szCs w:val="28"/>
          <w:highlight w:val="none"/>
          <w:lang w:val="en-US" w:eastAsia="zh-CN"/>
        </w:rPr>
      </w:pPr>
      <w:r>
        <w:drawing>
          <wp:inline distT="0" distB="0" distL="114300" distR="114300">
            <wp:extent cx="3010535" cy="1424305"/>
            <wp:effectExtent l="0" t="0" r="18415" b="4445"/>
            <wp:docPr id="1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8"/>
                    <pic:cNvPicPr>
                      <a:picLocks noChangeAspect="1"/>
                    </pic:cNvPicPr>
                  </pic:nvPicPr>
                  <pic:blipFill>
                    <a:blip r:embed="rId12"/>
                    <a:stretch>
                      <a:fillRect/>
                    </a:stretch>
                  </pic:blipFill>
                  <pic:spPr>
                    <a:xfrm>
                      <a:off x="0" y="0"/>
                      <a:ext cx="3010535" cy="1424305"/>
                    </a:xfrm>
                    <a:prstGeom prst="rect">
                      <a:avLst/>
                    </a:prstGeom>
                    <a:noFill/>
                    <a:ln>
                      <a:noFill/>
                    </a:ln>
                  </pic:spPr>
                </pic:pic>
              </a:graphicData>
            </a:graphic>
          </wp:inline>
        </w:drawing>
      </w:r>
    </w:p>
    <w:p w14:paraId="705934BD">
      <w:pPr>
        <w:pStyle w:val="30"/>
        <w:numPr>
          <w:ilvl w:val="0"/>
          <w:numId w:val="0"/>
        </w:numPr>
        <w:spacing w:line="520" w:lineRule="exact"/>
        <w:ind w:left="0" w:leftChars="0" w:firstLine="0" w:firstLineChars="0"/>
        <w:rPr>
          <w:rFonts w:hint="eastAsia" w:ascii="仿宋_GB2312" w:eastAsia="仿宋_GB2312" w:cs="仿宋"/>
          <w:b/>
          <w:bCs w:val="0"/>
          <w:color w:val="auto"/>
          <w:sz w:val="28"/>
          <w:szCs w:val="28"/>
          <w:lang w:val="en-US" w:eastAsia="zh-CN"/>
        </w:rPr>
      </w:pPr>
      <w:r>
        <w:rPr>
          <w:rFonts w:hint="eastAsia" w:ascii="仿宋_GB2312" w:hAnsi="Calibri" w:eastAsia="仿宋_GB2312" w:cs="仿宋"/>
          <w:b/>
          <w:bCs w:val="0"/>
          <w:color w:val="auto"/>
          <w:sz w:val="28"/>
          <w:szCs w:val="28"/>
          <w:lang w:val="en-US" w:eastAsia="zh-CN" w:bidi="ar-SA"/>
        </w:rPr>
        <w:t>（六）</w:t>
      </w:r>
      <w:r>
        <w:rPr>
          <w:rFonts w:hint="eastAsia" w:ascii="仿宋_GB2312" w:eastAsia="仿宋_GB2312" w:cs="仿宋"/>
          <w:b/>
          <w:bCs w:val="0"/>
          <w:color w:val="auto"/>
          <w:sz w:val="28"/>
          <w:szCs w:val="28"/>
          <w:lang w:val="en-US" w:eastAsia="zh-CN"/>
        </w:rPr>
        <w:t>施术后处理</w:t>
      </w:r>
    </w:p>
    <w:p w14:paraId="71F97817">
      <w:pPr>
        <w:pStyle w:val="30"/>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观察与处理局部皮肤（如水泡）：这是对灸疗共性反应的标准化管理。神火灸作为温热灸法，施灸后局部出现红晕是气血通畅、“得气”的良好表现，故明确“无需处理”，可减轻患者不必要的焦虑。对于水泡，则区分情况处理：小水泡自然吸收，避免过度医疗干预。大水泡刺破并外敷：旨在预防感染、促进愈合、减轻患者痛苦，是标准的医疗清创处理原则。制定统一处理标准，可防止操作者因经验不足而处理不当。</w:t>
      </w:r>
    </w:p>
    <w:p w14:paraId="202E021A">
      <w:pPr>
        <w:pStyle w:val="30"/>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协助整理衣物与保暖：施灸过程中腠理开泄，毛孔张开，人体卫外功能暂时减弱，极易受风寒侵袭。此条款旨在“固护正气，避邪防风”，是中医“治未病”思想在操作后的具体体现，对于预防患者感冒、保证疗效至关重要。</w:t>
      </w:r>
    </w:p>
    <w:p w14:paraId="257AE8D5">
      <w:pPr>
        <w:pStyle w:val="30"/>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记录治疗反应及不良事件：这是医疗质量持续改进与安全保障的关键环节。明确“微热、疲倦、口干”等为正常反应，可避免将良性反应误判为事故，增强患者治疗信心。提供对内热症状（口渴、便秘、尿黄）的处治方药，体现了瑶医/中医“未病先防，既病防变”的思维，为操作者提供了处理轻度不良反应的工具。强制要求记录，是为了建立技术应用的安全数据库，为评估技术风险、优化操作方案提供真实证据</w:t>
      </w:r>
      <w:r>
        <w:rPr>
          <w:rFonts w:hint="eastAsia" w:ascii="仿宋_GB2312" w:eastAsia="仿宋_GB2312" w:cs="仿宋"/>
          <w:b w:val="0"/>
          <w:bCs/>
          <w:color w:val="auto"/>
          <w:sz w:val="28"/>
          <w:szCs w:val="28"/>
          <w:highlight w:val="none"/>
          <w:lang w:val="en-US" w:eastAsia="zh-CN"/>
        </w:rPr>
        <w:t>。</w:t>
      </w:r>
    </w:p>
    <w:p w14:paraId="5522102A">
      <w:pPr>
        <w:pStyle w:val="30"/>
        <w:numPr>
          <w:ilvl w:val="0"/>
          <w:numId w:val="0"/>
        </w:numPr>
        <w:spacing w:line="520" w:lineRule="exact"/>
        <w:ind w:left="0" w:leftChars="0" w:firstLine="0" w:firstLineChars="0"/>
        <w:rPr>
          <w:rFonts w:hint="eastAsia" w:ascii="仿宋_GB2312" w:eastAsia="仿宋_GB2312" w:cs="仿宋"/>
          <w:b/>
          <w:bCs w:val="0"/>
          <w:color w:val="auto"/>
          <w:sz w:val="28"/>
          <w:szCs w:val="28"/>
          <w:lang w:val="en-US" w:eastAsia="zh-CN"/>
        </w:rPr>
      </w:pPr>
      <w:bookmarkStart w:id="30" w:name="_Toc200095097"/>
      <w:bookmarkStart w:id="31" w:name="_Toc199439495"/>
      <w:bookmarkStart w:id="32" w:name="_Toc200560141"/>
      <w:r>
        <w:rPr>
          <w:rFonts w:hint="eastAsia" w:ascii="仿宋_GB2312" w:hAnsi="Calibri" w:eastAsia="仿宋_GB2312" w:cs="仿宋"/>
          <w:b/>
          <w:bCs w:val="0"/>
          <w:color w:val="auto"/>
          <w:sz w:val="28"/>
          <w:szCs w:val="28"/>
          <w:lang w:val="en-US" w:eastAsia="zh-CN" w:bidi="ar-SA"/>
        </w:rPr>
        <w:t>（七）</w:t>
      </w:r>
      <w:r>
        <w:rPr>
          <w:rFonts w:hint="eastAsia" w:ascii="仿宋_GB2312" w:eastAsia="仿宋_GB2312" w:cs="仿宋"/>
          <w:b/>
          <w:bCs w:val="0"/>
          <w:color w:val="auto"/>
          <w:sz w:val="28"/>
          <w:szCs w:val="28"/>
          <w:lang w:val="en-US" w:eastAsia="zh-CN"/>
        </w:rPr>
        <w:t>注意事项</w:t>
      </w:r>
      <w:bookmarkEnd w:id="30"/>
      <w:bookmarkEnd w:id="31"/>
      <w:bookmarkEnd w:id="32"/>
    </w:p>
    <w:p w14:paraId="3187D988">
      <w:pPr>
        <w:pStyle w:val="30"/>
        <w:numPr>
          <w:ilvl w:val="0"/>
          <w:numId w:val="0"/>
        </w:numPr>
        <w:spacing w:line="520" w:lineRule="exact"/>
        <w:ind w:firstLine="560" w:firstLineChars="200"/>
        <w:rPr>
          <w:rFonts w:hint="eastAsia" w:ascii="仿宋_GB2312" w:eastAsia="仿宋_GB2312" w:cs="仿宋"/>
          <w:bCs/>
          <w:color w:val="auto"/>
          <w:sz w:val="28"/>
          <w:szCs w:val="28"/>
          <w:highlight w:val="none"/>
          <w:lang w:val="en-US" w:eastAsia="zh-CN"/>
        </w:rPr>
      </w:pPr>
      <w:r>
        <w:rPr>
          <w:rFonts w:hint="eastAsia" w:ascii="仿宋_GB2312" w:eastAsia="仿宋_GB2312" w:cs="仿宋"/>
          <w:bCs/>
          <w:color w:val="auto"/>
          <w:sz w:val="28"/>
          <w:szCs w:val="28"/>
          <w:highlight w:val="none"/>
          <w:lang w:val="en-US" w:eastAsia="zh-CN"/>
        </w:rPr>
        <w:t>控制温度、明火熄灭后施灸。这是预防烫伤最核心、最直接的技术控制点。药枝明火温度极高，直接施灸必然导致严重烫伤。规定必须等明火熄灭后用暗火（约50-60℃）隔纸施灸，保障安全有效。</w:t>
      </w:r>
    </w:p>
    <w:p w14:paraId="2F025670">
      <w:pPr>
        <w:pStyle w:val="30"/>
        <w:numPr>
          <w:ilvl w:val="0"/>
          <w:numId w:val="0"/>
        </w:numPr>
        <w:spacing w:line="520" w:lineRule="exact"/>
        <w:ind w:firstLine="560" w:firstLineChars="200"/>
        <w:rPr>
          <w:rFonts w:hint="eastAsia" w:ascii="仿宋_GB2312" w:eastAsia="仿宋_GB2312" w:cs="仿宋"/>
          <w:bCs/>
          <w:color w:val="auto"/>
          <w:sz w:val="28"/>
          <w:szCs w:val="28"/>
          <w:highlight w:val="none"/>
          <w:lang w:val="en-US" w:eastAsia="zh-CN"/>
        </w:rPr>
      </w:pPr>
      <w:r>
        <w:rPr>
          <w:rFonts w:hint="eastAsia" w:ascii="仿宋_GB2312" w:eastAsia="仿宋_GB2312" w:cs="仿宋"/>
          <w:bCs/>
          <w:color w:val="auto"/>
          <w:sz w:val="28"/>
          <w:szCs w:val="28"/>
          <w:highlight w:val="none"/>
          <w:lang w:val="en-US" w:eastAsia="zh-CN"/>
        </w:rPr>
        <w:t>特定病症的施灸时间（如失眠临睡前灸）此条体现了“因时制宜”和“辨证施治”的高级原则。根据疾病的性质选择最佳治疗时机，以最大化疗效。例如，失眠症在临睡前施灸，可利用灸法的镇静安神作用，直接促进睡眠，这超越了简单的“每日一次”的机械化操作，展现了治疗的个性化。</w:t>
      </w:r>
    </w:p>
    <w:p w14:paraId="36ADEED8">
      <w:pPr>
        <w:pStyle w:val="30"/>
        <w:numPr>
          <w:ilvl w:val="0"/>
          <w:numId w:val="0"/>
        </w:numPr>
        <w:spacing w:line="520" w:lineRule="exact"/>
        <w:ind w:firstLine="560" w:firstLineChars="200"/>
        <w:rPr>
          <w:rFonts w:hint="eastAsia" w:ascii="仿宋_GB2312" w:eastAsia="仿宋_GB2312" w:cs="仿宋"/>
          <w:bCs/>
          <w:color w:val="auto"/>
          <w:sz w:val="28"/>
          <w:szCs w:val="28"/>
          <w:highlight w:val="none"/>
          <w:lang w:val="en-US" w:eastAsia="zh-CN"/>
        </w:rPr>
      </w:pPr>
      <w:r>
        <w:rPr>
          <w:rFonts w:hint="eastAsia" w:ascii="仿宋_GB2312" w:eastAsia="仿宋_GB2312" w:cs="仿宋"/>
          <w:bCs/>
          <w:color w:val="auto"/>
          <w:sz w:val="28"/>
          <w:szCs w:val="28"/>
          <w:highlight w:val="none"/>
          <w:lang w:val="en-US" w:eastAsia="zh-CN"/>
        </w:rPr>
        <w:t>明确了意外情况处理方案（头晕、烫伤），对“头晕、心悸”等晕灸反应的处理流程，保障患者在出现不适时得到快速、正确的处置。对烫伤的分级处理（冷敷、涂药膏），与术后处理相呼应，为操作中最可能发生的意外提供了处理依据，能有效控制损害，降低医疗风险。</w:t>
      </w:r>
    </w:p>
    <w:p w14:paraId="02B2A04F">
      <w:pPr>
        <w:pStyle w:val="30"/>
        <w:numPr>
          <w:ilvl w:val="0"/>
          <w:numId w:val="0"/>
        </w:numPr>
        <w:spacing w:line="520" w:lineRule="exact"/>
        <w:ind w:left="0" w:leftChars="0" w:firstLine="0" w:firstLineChars="0"/>
        <w:rPr>
          <w:rFonts w:hint="eastAsia" w:ascii="仿宋_GB2312" w:eastAsia="仿宋_GB2312" w:cs="仿宋"/>
          <w:b w:val="0"/>
          <w:bCs/>
          <w:color w:val="auto"/>
          <w:sz w:val="28"/>
          <w:szCs w:val="28"/>
          <w:highlight w:val="none"/>
          <w:lang w:val="en-US" w:eastAsia="zh-CN"/>
        </w:rPr>
      </w:pPr>
      <w:bookmarkStart w:id="33" w:name="_Toc192062545"/>
      <w:bookmarkStart w:id="34" w:name="_Toc199439496"/>
      <w:bookmarkStart w:id="35" w:name="_Toc200095098"/>
      <w:bookmarkStart w:id="36" w:name="_Toc200560142"/>
      <w:bookmarkStart w:id="37" w:name="_Toc195961752"/>
      <w:r>
        <w:rPr>
          <w:rFonts w:hint="eastAsia" w:ascii="仿宋_GB2312" w:hAnsi="Calibri" w:eastAsia="仿宋_GB2312" w:cs="仿宋"/>
          <w:b/>
          <w:bCs w:val="0"/>
          <w:color w:val="auto"/>
          <w:sz w:val="28"/>
          <w:szCs w:val="28"/>
          <w:lang w:val="en-US" w:eastAsia="zh-CN" w:bidi="ar-SA"/>
        </w:rPr>
        <w:t>（八）</w:t>
      </w:r>
      <w:r>
        <w:rPr>
          <w:rFonts w:hint="eastAsia" w:ascii="仿宋_GB2312" w:eastAsia="仿宋_GB2312" w:cs="仿宋"/>
          <w:b/>
          <w:bCs w:val="0"/>
          <w:color w:val="auto"/>
          <w:sz w:val="28"/>
          <w:szCs w:val="28"/>
          <w:highlight w:val="none"/>
          <w:lang w:val="en-US" w:eastAsia="zh-CN"/>
        </w:rPr>
        <w:t>日常调护</w:t>
      </w:r>
      <w:bookmarkEnd w:id="33"/>
      <w:bookmarkEnd w:id="34"/>
      <w:bookmarkEnd w:id="35"/>
      <w:bookmarkEnd w:id="36"/>
      <w:bookmarkEnd w:id="37"/>
      <w:r>
        <w:rPr>
          <w:rFonts w:hint="eastAsia" w:ascii="仿宋_GB2312" w:eastAsia="仿宋_GB2312" w:cs="仿宋"/>
          <w:b/>
          <w:bCs w:val="0"/>
          <w:color w:val="auto"/>
          <w:sz w:val="28"/>
          <w:szCs w:val="28"/>
          <w:highlight w:val="none"/>
          <w:lang w:val="en-US" w:eastAsia="zh-CN"/>
        </w:rPr>
        <w:t>：</w:t>
      </w:r>
      <w:r>
        <w:rPr>
          <w:rFonts w:hint="eastAsia" w:ascii="仿宋_GB2312" w:eastAsia="仿宋_GB2312" w:cs="仿宋"/>
          <w:b w:val="0"/>
          <w:bCs/>
          <w:color w:val="auto"/>
          <w:sz w:val="28"/>
          <w:szCs w:val="28"/>
          <w:highlight w:val="none"/>
          <w:lang w:val="en-US" w:eastAsia="zh-CN"/>
        </w:rPr>
        <w:t>主要应注重从生活、运动、饮食、情志等方面进行调护。</w:t>
      </w:r>
    </w:p>
    <w:p w14:paraId="1A9F88E4">
      <w:pPr>
        <w:pStyle w:val="30"/>
        <w:numPr>
          <w:ilvl w:val="0"/>
          <w:numId w:val="0"/>
        </w:numPr>
        <w:spacing w:line="520" w:lineRule="exact"/>
        <w:ind w:left="0" w:leftChars="0" w:firstLine="0" w:firstLineChars="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清淡饮食：可避免肥甘厚味助湿生痰，加重“痰瘀”病机。情志调护：针对卒中后患者高发的焦虑、抑郁状态，直接的心理干预能改善其“气郁”体质，打破“疼痛-负性情绪-功能障碍”的恶性循环，这与研究文献中关注心理健康的结论完全一致。生活调护（保暖、功能锻炼）：是巩固疗效、预防复发的关键。指导患者在日常活动中使用患肢，是将治疗延伸至24小时的功能性训练，能极大促进康复进程。要求定期复查，是为了让医生能动态评估疗效，根据恢复情况及时调整治疗方案，实现动态化、个体化的全程管理，确保治疗的连贯性和有效性。</w:t>
      </w:r>
    </w:p>
    <w:p w14:paraId="0D6B7526">
      <w:pPr>
        <w:pStyle w:val="32"/>
        <w:numPr>
          <w:ilvl w:val="0"/>
          <w:numId w:val="0"/>
        </w:numPr>
        <w:spacing w:beforeLines="0" w:afterLines="0" w:line="360" w:lineRule="auto"/>
        <w:rPr>
          <w:rFonts w:hint="eastAsia"/>
          <w:bCs/>
          <w:color w:val="auto"/>
          <w:sz w:val="32"/>
          <w:szCs w:val="32"/>
        </w:rPr>
      </w:pPr>
      <w:r>
        <w:rPr>
          <w:rFonts w:hint="eastAsia"/>
          <w:b/>
          <w:bCs/>
          <w:color w:val="auto"/>
          <w:sz w:val="32"/>
          <w:szCs w:val="32"/>
        </w:rPr>
        <w:t>六</w:t>
      </w:r>
      <w:r>
        <w:rPr>
          <w:rFonts w:hint="eastAsia"/>
          <w:bCs/>
          <w:color w:val="auto"/>
          <w:sz w:val="32"/>
          <w:szCs w:val="32"/>
        </w:rPr>
        <w:t>、</w:t>
      </w:r>
      <w:r>
        <w:rPr>
          <w:rFonts w:hint="eastAsia"/>
          <w:color w:val="auto"/>
          <w:sz w:val="32"/>
          <w:szCs w:val="32"/>
        </w:rPr>
        <w:t>重大意见分歧的处理依据和结果</w:t>
      </w:r>
    </w:p>
    <w:p w14:paraId="5901BD90">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本标准研制过程中无重大分歧意见。</w:t>
      </w:r>
    </w:p>
    <w:p w14:paraId="6B1FFC80">
      <w:pPr>
        <w:autoSpaceDE w:val="0"/>
        <w:autoSpaceDN w:val="0"/>
        <w:adjustRightInd w:val="0"/>
        <w:spacing w:before="156" w:beforeLines="50" w:after="156" w:afterLines="50" w:line="520" w:lineRule="exact"/>
        <w:ind w:firstLine="640" w:firstLineChars="200"/>
        <w:outlineLvl w:val="0"/>
        <w:rPr>
          <w:rFonts w:eastAsia="黑体"/>
          <w:color w:val="auto"/>
          <w:sz w:val="32"/>
          <w:szCs w:val="32"/>
        </w:rPr>
      </w:pPr>
      <w:r>
        <w:rPr>
          <w:rFonts w:hint="eastAsia" w:ascii="黑体" w:eastAsia="黑体"/>
          <w:bCs/>
          <w:color w:val="auto"/>
          <w:sz w:val="32"/>
          <w:szCs w:val="32"/>
        </w:rPr>
        <w:t>七、</w:t>
      </w:r>
      <w:r>
        <w:rPr>
          <w:rFonts w:hint="eastAsia" w:eastAsia="黑体"/>
          <w:color w:val="auto"/>
          <w:sz w:val="32"/>
          <w:szCs w:val="32"/>
        </w:rPr>
        <w:t>实施标准的措施</w:t>
      </w:r>
    </w:p>
    <w:p w14:paraId="43DE7DA7">
      <w:pPr>
        <w:spacing w:line="500" w:lineRule="exact"/>
        <w:ind w:firstLine="562" w:firstLineChars="200"/>
        <w:rPr>
          <w:rFonts w:hint="eastAsia" w:ascii="仿宋_GB2312" w:eastAsia="仿宋_GB2312" w:cs="仿宋_GB2312"/>
          <w:b/>
          <w:color w:val="auto"/>
          <w:sz w:val="28"/>
          <w:szCs w:val="28"/>
        </w:rPr>
      </w:pPr>
      <w:r>
        <w:rPr>
          <w:rFonts w:hint="eastAsia" w:ascii="仿宋_GB2312" w:eastAsia="仿宋_GB2312" w:cs="仿宋_GB2312"/>
          <w:b/>
          <w:color w:val="auto"/>
          <w:sz w:val="28"/>
          <w:szCs w:val="28"/>
        </w:rPr>
        <w:t>（一）标准报批发布后，成立标准宣贯工作组</w:t>
      </w:r>
    </w:p>
    <w:p w14:paraId="6254ED11">
      <w:pPr>
        <w:spacing w:line="50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255571FF">
      <w:pPr>
        <w:spacing w:line="500" w:lineRule="exact"/>
        <w:ind w:firstLine="562" w:firstLineChars="200"/>
        <w:rPr>
          <w:rFonts w:hint="eastAsia" w:ascii="仿宋_GB2312" w:eastAsia="仿宋_GB2312"/>
          <w:b/>
          <w:color w:val="auto"/>
          <w:sz w:val="28"/>
          <w:szCs w:val="28"/>
        </w:rPr>
      </w:pPr>
      <w:r>
        <w:rPr>
          <w:rFonts w:hint="eastAsia" w:ascii="仿宋_GB2312" w:eastAsia="仿宋_GB2312"/>
          <w:b/>
          <w:color w:val="auto"/>
          <w:sz w:val="28"/>
          <w:szCs w:val="28"/>
        </w:rPr>
        <w:t>（二）组织开展标准宣贯培训</w:t>
      </w:r>
    </w:p>
    <w:p w14:paraId="684177CD">
      <w:pPr>
        <w:spacing w:line="50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标准发布实施后，标准宣贯工作小组制作标准解读宣贯培训PPT课件和标准核心技术明白书，并按标准宣贯培训计划深入各市县医疗机构，对医师和医护人员开展标准宣贯培训，对标准进行逐条解读，让医师和医护人员掌握标准核心技术内容，助力标准实施落地，推动广西中医技术高质量发展。</w:t>
      </w:r>
    </w:p>
    <w:p w14:paraId="24F36826">
      <w:pPr>
        <w:spacing w:line="500" w:lineRule="exact"/>
        <w:ind w:firstLine="562" w:firstLineChars="200"/>
        <w:rPr>
          <w:rFonts w:hint="eastAsia" w:ascii="仿宋_GB2312" w:eastAsia="仿宋_GB2312"/>
          <w:b/>
          <w:color w:val="auto"/>
          <w:sz w:val="28"/>
          <w:szCs w:val="28"/>
        </w:rPr>
      </w:pPr>
      <w:r>
        <w:rPr>
          <w:rFonts w:hint="eastAsia" w:ascii="仿宋_GB2312" w:eastAsia="仿宋_GB2312"/>
          <w:b/>
          <w:color w:val="auto"/>
          <w:sz w:val="28"/>
          <w:szCs w:val="28"/>
        </w:rPr>
        <w:t>（三）开展标准实施交流会，收集标准实施反馈信息</w:t>
      </w:r>
    </w:p>
    <w:p w14:paraId="7488335B">
      <w:pPr>
        <w:spacing w:line="50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标准起草小组深入各市县医疗机构组织医师和医护人员召开标准实施交流会，听取标准实施过程中存在的问题并做好记录和解答，对存在的问题组织专家团队进行研讨，为标准的复审修订做准备。</w:t>
      </w:r>
    </w:p>
    <w:p w14:paraId="6712A9C8">
      <w:pPr>
        <w:spacing w:line="500" w:lineRule="exact"/>
        <w:ind w:firstLine="562" w:firstLineChars="200"/>
        <w:rPr>
          <w:rFonts w:hint="eastAsia" w:ascii="仿宋_GB2312" w:eastAsia="仿宋_GB2312"/>
          <w:b/>
          <w:color w:val="auto"/>
          <w:sz w:val="28"/>
          <w:szCs w:val="28"/>
        </w:rPr>
      </w:pPr>
      <w:r>
        <w:rPr>
          <w:rFonts w:hint="eastAsia" w:ascii="仿宋_GB2312" w:eastAsia="仿宋_GB2312"/>
          <w:b/>
          <w:color w:val="auto"/>
          <w:sz w:val="28"/>
          <w:szCs w:val="28"/>
        </w:rPr>
        <w:t>（四）开展标准实施效果评估</w:t>
      </w:r>
    </w:p>
    <w:p w14:paraId="6F26A459">
      <w:pPr>
        <w:spacing w:line="50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标准实施满2年，每年标准宣贯工作组采取网络调查、问卷调查、实地调研、召开座谈会或论证会、专家咨询等方式开展标准实施效果评估，并形成标准实施效果评估报告，为标准的复审修订做准备。</w:t>
      </w:r>
    </w:p>
    <w:p w14:paraId="467B4A06">
      <w:pPr>
        <w:spacing w:before="240" w:after="60" w:line="520" w:lineRule="exact"/>
        <w:ind w:firstLine="640" w:firstLineChars="200"/>
        <w:outlineLvl w:val="0"/>
        <w:rPr>
          <w:rFonts w:hint="eastAsia" w:ascii="黑体" w:eastAsia="黑体"/>
          <w:bCs/>
          <w:color w:val="auto"/>
          <w:sz w:val="32"/>
          <w:szCs w:val="32"/>
        </w:rPr>
      </w:pPr>
      <w:r>
        <w:rPr>
          <w:rFonts w:hint="eastAsia" w:ascii="黑体" w:eastAsia="黑体"/>
          <w:bCs/>
          <w:color w:val="auto"/>
          <w:sz w:val="32"/>
          <w:szCs w:val="32"/>
        </w:rPr>
        <w:t>八、其他应当说明的事项</w:t>
      </w:r>
    </w:p>
    <w:p w14:paraId="6D062A51">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无。</w:t>
      </w:r>
    </w:p>
    <w:p w14:paraId="52787E3B">
      <w:pPr>
        <w:autoSpaceDE w:val="0"/>
        <w:autoSpaceDN w:val="0"/>
        <w:adjustRightInd w:val="0"/>
        <w:spacing w:before="156" w:beforeLines="50" w:after="156" w:afterLines="50" w:line="520" w:lineRule="exact"/>
        <w:ind w:firstLine="640"/>
        <w:outlineLvl w:val="0"/>
        <w:rPr>
          <w:rFonts w:hint="eastAsia" w:eastAsia="黑体"/>
          <w:color w:val="auto"/>
          <w:sz w:val="32"/>
          <w:szCs w:val="32"/>
        </w:rPr>
      </w:pPr>
      <w:r>
        <w:rPr>
          <w:rFonts w:hint="eastAsia" w:eastAsia="黑体"/>
          <w:color w:val="auto"/>
          <w:sz w:val="32"/>
          <w:szCs w:val="32"/>
        </w:rPr>
        <w:t>九、自我承诺</w:t>
      </w:r>
    </w:p>
    <w:p w14:paraId="1CA3DC93">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该标准的内容符合国家相关法律法规，技术要求不低于强制性国家标准的相关技术要求，与相关的国家、行业推荐性标准协调一致，标准的编写符合GB/T 1.1-2020的要求。</w:t>
      </w:r>
    </w:p>
    <w:p w14:paraId="3099184D">
      <w:pPr>
        <w:pStyle w:val="23"/>
        <w:rPr>
          <w:rFonts w:hint="eastAsia" w:ascii="仿宋_GB2312" w:eastAsia="仿宋_GB2312"/>
          <w:color w:val="auto"/>
          <w:sz w:val="28"/>
          <w:szCs w:val="28"/>
        </w:rPr>
      </w:pPr>
    </w:p>
    <w:p w14:paraId="7696C500">
      <w:pPr>
        <w:pStyle w:val="23"/>
        <w:rPr>
          <w:rFonts w:hint="eastAsia" w:ascii="仿宋_GB2312" w:eastAsia="仿宋_GB2312"/>
          <w:color w:val="auto"/>
          <w:sz w:val="28"/>
          <w:szCs w:val="28"/>
        </w:rPr>
      </w:pPr>
    </w:p>
    <w:p w14:paraId="62C157D1">
      <w:pPr>
        <w:pStyle w:val="23"/>
        <w:rPr>
          <w:rFonts w:hint="eastAsia" w:ascii="仿宋_GB2312" w:eastAsia="仿宋_GB2312"/>
          <w:color w:val="auto"/>
          <w:sz w:val="28"/>
          <w:szCs w:val="28"/>
        </w:rPr>
      </w:pPr>
    </w:p>
    <w:p w14:paraId="753963BB">
      <w:pPr>
        <w:spacing w:before="240" w:after="60" w:line="520" w:lineRule="exact"/>
        <w:ind w:firstLine="1680" w:firstLineChars="600"/>
        <w:outlineLvl w:val="0"/>
        <w:rPr>
          <w:rFonts w:hint="eastAsia" w:ascii="仿宋_GB2312" w:eastAsia="仿宋_GB2312"/>
          <w:color w:val="auto"/>
          <w:sz w:val="28"/>
          <w:szCs w:val="28"/>
        </w:rPr>
      </w:pPr>
      <w:r>
        <w:rPr>
          <w:rFonts w:hint="eastAsia" w:ascii="仿宋_GB2312" w:eastAsia="仿宋_GB2312"/>
          <w:color w:val="auto"/>
          <w:sz w:val="28"/>
          <w:szCs w:val="28"/>
          <w:lang w:val="en-US" w:eastAsia="zh-CN"/>
        </w:rPr>
        <w:t>团体标准</w:t>
      </w:r>
      <w:r>
        <w:rPr>
          <w:rFonts w:hint="eastAsia" w:ascii="仿宋_GB2312" w:eastAsia="仿宋_GB2312"/>
          <w:color w:val="auto"/>
          <w:sz w:val="28"/>
          <w:szCs w:val="28"/>
        </w:rPr>
        <w:t>《</w:t>
      </w:r>
      <w:r>
        <w:rPr>
          <w:rFonts w:hint="eastAsia" w:ascii="仿宋_GB2312" w:eastAsia="仿宋_GB2312"/>
          <w:color w:val="auto"/>
          <w:sz w:val="28"/>
          <w:szCs w:val="28"/>
          <w:lang w:eastAsia="zh-CN"/>
        </w:rPr>
        <w:t>瑶医神火灸治疗脑卒中后肩手综合征技术操作规范</w:t>
      </w:r>
      <w:r>
        <w:rPr>
          <w:rFonts w:hint="eastAsia" w:ascii="仿宋_GB2312" w:eastAsia="仿宋_GB2312"/>
          <w:color w:val="auto"/>
          <w:sz w:val="28"/>
          <w:szCs w:val="28"/>
        </w:rPr>
        <w:t>》</w:t>
      </w:r>
    </w:p>
    <w:p w14:paraId="59BB109D">
      <w:pPr>
        <w:spacing w:line="520" w:lineRule="exact"/>
        <w:ind w:right="1120"/>
        <w:jc w:val="center"/>
        <w:rPr>
          <w:rFonts w:hint="eastAsia" w:ascii="仿宋_GB2312" w:eastAsia="仿宋_GB2312"/>
          <w:color w:val="auto"/>
          <w:sz w:val="28"/>
          <w:szCs w:val="28"/>
        </w:rPr>
      </w:pPr>
      <w:r>
        <w:rPr>
          <w:rFonts w:hint="eastAsia" w:ascii="仿宋_GB2312" w:eastAsia="仿宋_GB2312"/>
          <w:color w:val="auto"/>
          <w:sz w:val="28"/>
          <w:szCs w:val="28"/>
        </w:rPr>
        <w:t xml:space="preserve">                                  标准编制工作组</w:t>
      </w:r>
    </w:p>
    <w:p w14:paraId="2804818C">
      <w:pPr>
        <w:spacing w:line="520" w:lineRule="exact"/>
        <w:ind w:firstLine="640" w:firstLineChars="200"/>
        <w:rPr>
          <w:rFonts w:hint="eastAsia" w:ascii="仿宋_GB2312" w:eastAsia="仿宋_GB2312"/>
          <w:color w:val="auto"/>
          <w:sz w:val="28"/>
          <w:szCs w:val="28"/>
        </w:rPr>
      </w:pPr>
      <w:r>
        <w:rPr>
          <w:rFonts w:hint="eastAsia" w:ascii="仿宋_GB2312" w:eastAsia="仿宋_GB2312"/>
          <w:color w:val="auto"/>
          <w:sz w:val="32"/>
          <w:szCs w:val="28"/>
        </w:rPr>
        <w:t xml:space="preserve">                             </w:t>
      </w:r>
      <w:r>
        <w:rPr>
          <w:rFonts w:hint="eastAsia" w:ascii="仿宋_GB2312" w:eastAsia="仿宋_GB2312"/>
          <w:color w:val="auto"/>
          <w:sz w:val="28"/>
          <w:szCs w:val="28"/>
        </w:rPr>
        <w:t>202</w:t>
      </w:r>
      <w:r>
        <w:rPr>
          <w:rFonts w:hint="eastAsia" w:ascii="仿宋_GB2312" w:eastAsia="仿宋_GB2312"/>
          <w:color w:val="auto"/>
          <w:sz w:val="28"/>
          <w:szCs w:val="28"/>
          <w:lang w:val="en-US" w:eastAsia="zh-CN"/>
        </w:rPr>
        <w:t>5</w:t>
      </w:r>
      <w:r>
        <w:rPr>
          <w:rFonts w:hint="eastAsia" w:ascii="仿宋_GB2312" w:eastAsia="仿宋_GB2312"/>
          <w:color w:val="auto"/>
          <w:sz w:val="28"/>
          <w:szCs w:val="28"/>
        </w:rPr>
        <w:t>年</w:t>
      </w:r>
      <w:r>
        <w:rPr>
          <w:rFonts w:hint="eastAsia" w:ascii="仿宋_GB2312" w:eastAsia="仿宋_GB2312"/>
          <w:color w:val="auto"/>
          <w:sz w:val="28"/>
          <w:szCs w:val="28"/>
          <w:lang w:val="en-US" w:eastAsia="zh-CN"/>
        </w:rPr>
        <w:t>6</w:t>
      </w:r>
      <w:r>
        <w:rPr>
          <w:rFonts w:hint="eastAsia" w:ascii="仿宋_GB2312" w:eastAsia="仿宋_GB2312"/>
          <w:color w:val="auto"/>
          <w:sz w:val="28"/>
          <w:szCs w:val="28"/>
        </w:rPr>
        <w:t>月</w:t>
      </w:r>
      <w:r>
        <w:rPr>
          <w:rFonts w:hint="eastAsia" w:ascii="仿宋_GB2312" w:eastAsia="仿宋_GB2312"/>
          <w:color w:val="auto"/>
          <w:sz w:val="28"/>
          <w:szCs w:val="28"/>
          <w:lang w:val="en-US" w:eastAsia="zh-CN"/>
        </w:rPr>
        <w:t>26</w:t>
      </w:r>
      <w:r>
        <w:rPr>
          <w:rFonts w:hint="eastAsia" w:ascii="仿宋_GB2312" w:eastAsia="仿宋_GB2312"/>
          <w:color w:val="auto"/>
          <w:sz w:val="28"/>
          <w:szCs w:val="28"/>
        </w:rPr>
        <w:t>日</w:t>
      </w:r>
    </w:p>
    <w:sectPr>
      <w:footerReference r:id="rId3" w:type="default"/>
      <w:pgSz w:w="11906" w:h="16838"/>
      <w:pgMar w:top="1474" w:right="1474" w:bottom="1474" w:left="1474"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F25E0874-EA37-420C-9692-9CF6CE6D64F4}"/>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embedRegular r:id="rId2" w:fontKey="{E8B35187-F5AD-42CA-AFDF-B11CC7DAC4B0}"/>
  </w:font>
  <w:font w:name="等线">
    <w:panose1 w:val="02010600030101010101"/>
    <w:charset w:val="86"/>
    <w:family w:val="auto"/>
    <w:pitch w:val="default"/>
    <w:sig w:usb0="A00002BF" w:usb1="38CF7CFA" w:usb2="00000016" w:usb3="00000000" w:csb0="0004000F" w:csb1="00000000"/>
  </w:font>
  <w:font w:name="方正小标宋简体">
    <w:panose1 w:val="03000509000000000000"/>
    <w:charset w:val="86"/>
    <w:family w:val="script"/>
    <w:pitch w:val="default"/>
    <w:sig w:usb0="00000001" w:usb1="080E0000" w:usb2="00000000" w:usb3="00000000" w:csb0="00040000" w:csb1="00000000"/>
    <w:embedRegular r:id="rId3" w:fontKey="{FDFA0BDE-9731-41EA-834A-E97060695BF2}"/>
  </w:font>
  <w:font w:name="仿宋_GB2312">
    <w:panose1 w:val="02010609030101010101"/>
    <w:charset w:val="86"/>
    <w:family w:val="modern"/>
    <w:pitch w:val="default"/>
    <w:sig w:usb0="00000001" w:usb1="080E0000" w:usb2="00000000" w:usb3="00000000" w:csb0="00040000" w:csb1="00000000"/>
    <w:embedRegular r:id="rId4" w:fontKey="{6C3352CD-FE91-4C70-B045-8CF457E0DED9}"/>
  </w:font>
  <w:font w:name="仿宋">
    <w:panose1 w:val="02010609060101010101"/>
    <w:charset w:val="86"/>
    <w:family w:val="modern"/>
    <w:pitch w:val="default"/>
    <w:sig w:usb0="800002BF" w:usb1="38CF7CFA" w:usb2="00000016" w:usb3="00000000" w:csb0="00040001" w:csb1="00000000"/>
    <w:embedRegular r:id="rId5" w:fontKey="{1B8BD7BA-723A-4D49-95F8-0A516F079B36}"/>
  </w:font>
  <w:font w:name="微软雅黑">
    <w:panose1 w:val="020B0503020204020204"/>
    <w:charset w:val="86"/>
    <w:family w:val="auto"/>
    <w:pitch w:val="default"/>
    <w:sig w:usb0="80000287" w:usb1="280F3C52" w:usb2="00000016" w:usb3="00000000" w:csb0="0004001F" w:csb1="00000000"/>
  </w:font>
  <w:font w:name="Cambria Math">
    <w:panose1 w:val="02040503050406030204"/>
    <w:charset w:val="01"/>
    <w:family w:val="auto"/>
    <w:pitch w:val="variable"/>
    <w:sig w:usb0="E00002FF" w:usb1="420024FF" w:usb2="00000000" w:usb3="00000000" w:csb0="2000019F" w:csb1="00000000"/>
  </w:font>
  <w:font w:name="@宋体">
    <w:panose1 w:val="02010600030101010101"/>
    <w:charset w:val="86"/>
    <w:family w:val="auto"/>
    <w:pitch w:val="variable"/>
    <w:sig w:usb0="00000003" w:usb1="288F0000" w:usb2="00000006" w:usb3="00000000" w:csb0="00040001" w:csb1="00000000"/>
  </w:font>
  <w:font w:name="楷体_GB2312">
    <w:panose1 w:val="02010609030101010101"/>
    <w:charset w:val="86"/>
    <w:family w:val="auto"/>
    <w:pitch w:val="default"/>
    <w:sig w:usb0="00000001" w:usb1="080E0000" w:usb2="00000000" w:usb3="00000000" w:csb0="00040000" w:csb1="00000000"/>
  </w:font>
  <w:font w:name="Segoe UI">
    <w:panose1 w:val="020B0502040204020203"/>
    <w:charset w:val="00"/>
    <w:family w:val="auto"/>
    <w:pitch w:val="default"/>
    <w:sig w:usb0="E10022FF" w:usb1="C000E47F" w:usb2="00000029" w:usb3="00000000" w:csb0="200001DF" w:csb1="20000000"/>
  </w:font>
  <w:font w:name="Symbol">
    <w:panose1 w:val="05050102010706020507"/>
    <w:charset w:val="00"/>
    <w:family w:val="auto"/>
    <w:pitch w:val="default"/>
    <w:sig w:usb0="00000000" w:usb1="00000000" w:usb2="00000000" w:usb3="00000000" w:csb0="80000000" w:csb1="00000000"/>
  </w:font>
  <w:font w:name="Courier New">
    <w:panose1 w:val="02070309020205020404"/>
    <w:charset w:val="00"/>
    <w:family w:val="auto"/>
    <w:pitch w:val="default"/>
    <w:sig w:usb0="E0002AFF" w:usb1="C0007843" w:usb2="00000009" w:usb3="00000000" w:csb0="400001FF" w:csb1="FFFF0000"/>
  </w:font>
  <w:font w:name="Wingdings">
    <w:panose1 w:val="05000000000000000000"/>
    <w:charset w:val="00"/>
    <w:family w:val="auto"/>
    <w:pitch w:val="default"/>
    <w:sig w:usb0="00000000" w:usb1="00000000" w:usb2="00000000" w:usb3="00000000" w:csb0="80000000" w:csb1="00000000"/>
  </w:font>
  <w:font w:name="&amp;quot">
    <w:altName w:val="Cambria"/>
    <w:panose1 w:val="00000000000000000000"/>
    <w:charset w:val="00"/>
    <w:family w:val="roman"/>
    <w:pitch w:val="default"/>
    <w:sig w:usb0="00000000" w:usb1="00000000" w:usb2="00000000" w:usb3="00000000" w:csb0="00000000" w:csb1="00000000"/>
  </w:font>
  <w:font w:name="Cambria">
    <w:panose1 w:val="02040503050406030204"/>
    <w:charset w:val="00"/>
    <w:family w:val="auto"/>
    <w:pitch w:val="default"/>
    <w:sig w:usb0="E00002FF" w:usb1="400004FF" w:usb2="00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FD6AFB0">
    <w:pPr>
      <w:pStyle w:val="9"/>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14:paraId="3835A740">
                          <w:pPr>
                            <w:pStyle w:val="9"/>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wps:txbx>
                    <wps:bodyPr wrap="none" lIns="0" tIns="0" rIns="0" bIns="0" upright="1">
                      <a:spAutoFit/>
                    </wps:bodyPr>
                  </wps:wsp>
                </a:graphicData>
              </a:graphic>
            </wp:anchor>
          </w:drawing>
        </mc:Choice>
        <mc:Fallback>
          <w:pict>
            <v:shape id="文本框 1" o:spid="_x0000_s1026" o:spt="202" type="#_x0000_t202" style="position:absolute;left:0pt;margin-top:0pt;height:10.35pt;width:4.45pt;mso-position-horizontal:center;mso-position-horizontal-relative:margin;mso-wrap-style:none;z-index:251659264;mso-width-relative:page;mso-height-relative:page;" filled="f" stroked="f" coordsize="21600,21600" o:gfxdata="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HyXN5vRAAAAAgEAAA8AAAAAAAAAAQAgAAAAIgAA&#10;AGRycy9kb3ducmV2LnhtbFBLAQIUABQAAAAIAIdO4kAdICOU1gEAAKADAAAOAAAAAAAAAAEAIAAA&#10;ACABAABkcnMvZTJvRG9jLnhtbFBLBQYAAAAABgAGAFkBAABoBQAAAAA=&#10;">
              <v:fill on="f" focussize="0,0"/>
              <v:stroke on="f" weight="0.5pt"/>
              <v:imagedata o:title=""/>
              <o:lock v:ext="edit" aspectratio="f"/>
              <v:textbox inset="0mm,0mm,0mm,0mm" style="mso-fit-shape-to-text:t;">
                <w:txbxContent>
                  <w:p w14:paraId="3835A740">
                    <w:pPr>
                      <w:pStyle w:val="9"/>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DDF8329"/>
    <w:multiLevelType w:val="multilevel"/>
    <w:tmpl w:val="8DDF8329"/>
    <w:lvl w:ilvl="0" w:tentative="0">
      <w:start w:val="1"/>
      <w:numFmt w:val="decimal"/>
      <w:pStyle w:val="41"/>
      <w:suff w:val="nothing"/>
      <w:lvlText w:val="表%1　"/>
      <w:legacy w:legacy="1" w:legacySpace="0" w:legacyIndent="0"/>
      <w:lvlJc w:val="left"/>
      <w:pPr>
        <w:ind w:left="0" w:firstLine="0"/>
      </w:pPr>
    </w:lvl>
    <w:lvl w:ilvl="1" w:tentative="0">
      <w:start w:val="1"/>
      <w:numFmt w:val="decimal"/>
      <w:lvlText w:val="%1.%2"/>
      <w:legacy w:legacy="1" w:legacySpace="0" w:legacyIndent="567"/>
      <w:lvlJc w:val="left"/>
      <w:pPr>
        <w:ind w:left="992" w:hanging="567"/>
      </w:pPr>
    </w:lvl>
    <w:lvl w:ilvl="2" w:tentative="0">
      <w:start w:val="1"/>
      <w:numFmt w:val="decimal"/>
      <w:lvlText w:val="%1.%2.%3"/>
      <w:legacy w:legacy="1" w:legacySpace="0" w:legacyIndent="567"/>
      <w:lvlJc w:val="left"/>
      <w:pPr>
        <w:ind w:left="1417" w:hanging="567"/>
      </w:pPr>
    </w:lvl>
    <w:lvl w:ilvl="3" w:tentative="0">
      <w:start w:val="1"/>
      <w:numFmt w:val="decimal"/>
      <w:lvlText w:val="%1.%2.%3.%4"/>
      <w:legacy w:legacy="1" w:legacySpace="0" w:legacyIndent="708"/>
      <w:lvlJc w:val="left"/>
      <w:pPr>
        <w:ind w:left="1984" w:hanging="708"/>
      </w:pPr>
    </w:lvl>
    <w:lvl w:ilvl="4" w:tentative="0">
      <w:start w:val="1"/>
      <w:numFmt w:val="decimal"/>
      <w:lvlText w:val="%1.%2.%3.%4.%5"/>
      <w:legacy w:legacy="1" w:legacySpace="0" w:legacyIndent="850"/>
      <w:lvlJc w:val="left"/>
      <w:pPr>
        <w:ind w:left="2551" w:hanging="850"/>
      </w:pPr>
    </w:lvl>
    <w:lvl w:ilvl="5" w:tentative="0">
      <w:start w:val="1"/>
      <w:numFmt w:val="decimal"/>
      <w:lvlText w:val="%1.%2.%3.%4.%5.%6"/>
      <w:legacy w:legacy="1" w:legacySpace="0" w:legacyIndent="1134"/>
      <w:lvlJc w:val="left"/>
      <w:pPr>
        <w:ind w:left="3260" w:hanging="1134"/>
      </w:pPr>
    </w:lvl>
    <w:lvl w:ilvl="6" w:tentative="0">
      <w:start w:val="1"/>
      <w:numFmt w:val="decimal"/>
      <w:lvlText w:val="%1.%2.%3.%4.%5.%6.%7"/>
      <w:legacy w:legacy="1" w:legacySpace="0" w:legacyIndent="1276"/>
      <w:lvlJc w:val="left"/>
      <w:pPr>
        <w:ind w:left="3827" w:hanging="1276"/>
      </w:pPr>
    </w:lvl>
    <w:lvl w:ilvl="7" w:tentative="0">
      <w:start w:val="1"/>
      <w:numFmt w:val="decimal"/>
      <w:lvlText w:val="%1.%2.%3.%4.%5.%6.%7.%8"/>
      <w:legacy w:legacy="1" w:legacySpace="0" w:legacyIndent="1418"/>
      <w:lvlJc w:val="left"/>
      <w:pPr>
        <w:ind w:left="4394" w:hanging="1418"/>
      </w:pPr>
    </w:lvl>
    <w:lvl w:ilvl="8" w:tentative="0">
      <w:start w:val="1"/>
      <w:numFmt w:val="decimal"/>
      <w:lvlText w:val="%1.%2.%3.%4.%5.%6.%7.%8.%9"/>
      <w:legacy w:legacy="1" w:legacySpace="0" w:legacyIndent="1700"/>
      <w:lvlJc w:val="left"/>
      <w:pPr>
        <w:ind w:left="5102" w:hanging="1700"/>
      </w:pPr>
    </w:lvl>
  </w:abstractNum>
  <w:abstractNum w:abstractNumId="1">
    <w:nsid w:val="CC6EF6A0"/>
    <w:multiLevelType w:val="singleLevel"/>
    <w:tmpl w:val="CC6EF6A0"/>
    <w:lvl w:ilvl="0" w:tentative="0">
      <w:start w:val="1"/>
      <w:numFmt w:val="decimal"/>
      <w:lvlText w:val="%1"/>
      <w:lvlJc w:val="left"/>
      <w:pPr>
        <w:tabs>
          <w:tab w:val="left" w:pos="420"/>
        </w:tabs>
        <w:ind w:left="425" w:leftChars="0" w:hanging="425" w:firstLineChars="0"/>
      </w:pPr>
      <w:rPr>
        <w:rFonts w:hint="default"/>
      </w:rPr>
    </w:lvl>
  </w:abstractNum>
  <w:abstractNum w:abstractNumId="2">
    <w:nsid w:val="0FFFFF7E"/>
    <w:multiLevelType w:val="singleLevel"/>
    <w:tmpl w:val="0FFFFF7E"/>
    <w:lvl w:ilvl="0" w:tentative="0">
      <w:start w:val="1"/>
      <w:numFmt w:val="decimal"/>
      <w:lvlText w:val="%1."/>
      <w:lvlJc w:val="left"/>
      <w:pPr>
        <w:tabs>
          <w:tab w:val="left" w:pos="1200"/>
        </w:tabs>
        <w:ind w:left="1200" w:hanging="360"/>
      </w:pPr>
    </w:lvl>
  </w:abstractNum>
  <w:abstractNum w:abstractNumId="3">
    <w:nsid w:val="0FFFFF7F"/>
    <w:multiLevelType w:val="singleLevel"/>
    <w:tmpl w:val="0FFFFF7F"/>
    <w:lvl w:ilvl="0" w:tentative="0">
      <w:start w:val="1"/>
      <w:numFmt w:val="decimal"/>
      <w:lvlText w:val="%1."/>
      <w:lvlJc w:val="left"/>
      <w:pPr>
        <w:tabs>
          <w:tab w:val="left" w:pos="780"/>
        </w:tabs>
        <w:ind w:left="780" w:hanging="360"/>
      </w:pPr>
    </w:lvl>
  </w:abstractNum>
  <w:abstractNum w:abstractNumId="4">
    <w:nsid w:val="2C5917C3"/>
    <w:multiLevelType w:val="multilevel"/>
    <w:tmpl w:val="2C5917C3"/>
    <w:lvl w:ilvl="0" w:tentative="0">
      <w:start w:val="1"/>
      <w:numFmt w:val="none"/>
      <w:pStyle w:val="56"/>
      <w:lvlText w:val="%1——"/>
      <w:lvlJc w:val="left"/>
      <w:pPr>
        <w:tabs>
          <w:tab w:val="left" w:pos="851"/>
        </w:tabs>
        <w:ind w:left="636" w:hanging="426"/>
      </w:pPr>
      <w:rPr>
        <w:rFonts w:hint="eastAsia" w:ascii="宋体" w:hAnsi="Times New Roman" w:eastAsia="宋体"/>
        <w:b w:val="0"/>
        <w:i w:val="0"/>
        <w:sz w:val="21"/>
      </w:rPr>
    </w:lvl>
    <w:lvl w:ilvl="1" w:tentative="0">
      <w:start w:val="1"/>
      <w:numFmt w:val="none"/>
      <w:lvlText w:val=""/>
      <w:lvlJc w:val="left"/>
      <w:pPr>
        <w:ind w:left="636" w:hanging="431"/>
      </w:pPr>
      <w:rPr>
        <w:rFonts w:hint="default" w:ascii="Symbol" w:hAnsi="Symbol"/>
        <w:sz w:val="21"/>
      </w:rPr>
    </w:lvl>
    <w:lvl w:ilvl="2" w:tentative="0">
      <w:start w:val="1"/>
      <w:numFmt w:val="bullet"/>
      <w:lvlText w:val=""/>
      <w:lvlJc w:val="left"/>
      <w:pPr>
        <w:ind w:left="636" w:hanging="426"/>
      </w:pPr>
      <w:rPr>
        <w:rFonts w:hint="default" w:ascii="Wingdings" w:hAnsi="Wingdings"/>
        <w:sz w:val="21"/>
      </w:rPr>
    </w:lvl>
    <w:lvl w:ilvl="3" w:tentative="0">
      <w:start w:val="1"/>
      <w:numFmt w:val="decimal"/>
      <w:lvlText w:val="%4."/>
      <w:lvlJc w:val="left"/>
      <w:pPr>
        <w:tabs>
          <w:tab w:val="left" w:pos="2071"/>
        </w:tabs>
        <w:ind w:left="1669" w:hanging="528"/>
      </w:pPr>
      <w:rPr>
        <w:rFonts w:hint="eastAsia"/>
      </w:rPr>
    </w:lvl>
    <w:lvl w:ilvl="4" w:tentative="0">
      <w:start w:val="1"/>
      <w:numFmt w:val="lowerLetter"/>
      <w:lvlText w:val="%5)"/>
      <w:lvlJc w:val="left"/>
      <w:pPr>
        <w:tabs>
          <w:tab w:val="left" w:pos="2383"/>
        </w:tabs>
        <w:ind w:left="1981" w:hanging="528"/>
      </w:pPr>
      <w:rPr>
        <w:rFonts w:hint="eastAsia"/>
      </w:rPr>
    </w:lvl>
    <w:lvl w:ilvl="5" w:tentative="0">
      <w:start w:val="1"/>
      <w:numFmt w:val="lowerRoman"/>
      <w:lvlText w:val="%6."/>
      <w:lvlJc w:val="right"/>
      <w:pPr>
        <w:tabs>
          <w:tab w:val="left" w:pos="2695"/>
        </w:tabs>
        <w:ind w:left="2293" w:hanging="528"/>
      </w:pPr>
      <w:rPr>
        <w:rFonts w:hint="eastAsia"/>
      </w:rPr>
    </w:lvl>
    <w:lvl w:ilvl="6" w:tentative="0">
      <w:start w:val="1"/>
      <w:numFmt w:val="decimal"/>
      <w:lvlText w:val="%7."/>
      <w:lvlJc w:val="left"/>
      <w:pPr>
        <w:tabs>
          <w:tab w:val="left" w:pos="3007"/>
        </w:tabs>
        <w:ind w:left="2605" w:hanging="528"/>
      </w:pPr>
      <w:rPr>
        <w:rFonts w:hint="eastAsia"/>
      </w:rPr>
    </w:lvl>
    <w:lvl w:ilvl="7" w:tentative="0">
      <w:start w:val="1"/>
      <w:numFmt w:val="lowerLetter"/>
      <w:lvlText w:val="%8)"/>
      <w:lvlJc w:val="left"/>
      <w:pPr>
        <w:tabs>
          <w:tab w:val="left" w:pos="3319"/>
        </w:tabs>
        <w:ind w:left="2917" w:hanging="528"/>
      </w:pPr>
      <w:rPr>
        <w:rFonts w:hint="eastAsia"/>
      </w:rPr>
    </w:lvl>
    <w:lvl w:ilvl="8" w:tentative="0">
      <w:start w:val="1"/>
      <w:numFmt w:val="lowerRoman"/>
      <w:lvlText w:val="%9."/>
      <w:lvlJc w:val="right"/>
      <w:pPr>
        <w:tabs>
          <w:tab w:val="left" w:pos="3631"/>
        </w:tabs>
        <w:ind w:left="3229" w:hanging="528"/>
      </w:pPr>
      <w:rPr>
        <w:rFonts w:hint="eastAsia"/>
      </w:rPr>
    </w:lvl>
  </w:abstractNum>
  <w:abstractNum w:abstractNumId="5">
    <w:nsid w:val="44C50F90"/>
    <w:multiLevelType w:val="multilevel"/>
    <w:tmpl w:val="44C50F90"/>
    <w:lvl w:ilvl="0" w:tentative="0">
      <w:start w:val="1"/>
      <w:numFmt w:val="lowerLetter"/>
      <w:pStyle w:val="50"/>
      <w:lvlText w:val="%1)"/>
      <w:lvlJc w:val="left"/>
      <w:pPr>
        <w:tabs>
          <w:tab w:val="left" w:pos="851"/>
        </w:tabs>
        <w:ind w:left="851" w:hanging="426"/>
      </w:pPr>
      <w:rPr>
        <w:rFonts w:hint="eastAsia" w:ascii="宋体" w:hAnsi="Times New Roman" w:eastAsia="宋体"/>
        <w:sz w:val="21"/>
      </w:rPr>
    </w:lvl>
    <w:lvl w:ilvl="1" w:tentative="0">
      <w:start w:val="1"/>
      <w:numFmt w:val="decimal"/>
      <w:pStyle w:val="48"/>
      <w:lvlText w:val="%2)"/>
      <w:lvlJc w:val="left"/>
      <w:pPr>
        <w:tabs>
          <w:tab w:val="left" w:pos="1276"/>
        </w:tabs>
        <w:ind w:left="1276" w:hanging="425"/>
      </w:pPr>
      <w:rPr>
        <w:rFonts w:hint="eastAsia" w:ascii="宋体" w:hAnsi="Times New Roman" w:eastAsia="宋体"/>
        <w:sz w:val="21"/>
      </w:rPr>
    </w:lvl>
    <w:lvl w:ilvl="2" w:tentative="0">
      <w:start w:val="1"/>
      <w:numFmt w:val="decimal"/>
      <w:pStyle w:val="49"/>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6">
    <w:nsid w:val="5A9B6960"/>
    <w:multiLevelType w:val="multilevel"/>
    <w:tmpl w:val="5A9B6960"/>
    <w:lvl w:ilvl="0" w:tentative="0">
      <w:start w:val="1"/>
      <w:numFmt w:val="none"/>
      <w:pStyle w:val="38"/>
      <w:suff w:val="nothing"/>
      <w:lvlText w:val="%1"/>
      <w:legacy w:legacy="1" w:legacySpace="0" w:legacyIndent="0"/>
      <w:lvlJc w:val="left"/>
      <w:pPr>
        <w:ind w:left="0" w:firstLine="0"/>
      </w:pPr>
      <w:rPr>
        <w:rFonts w:hint="eastAsia"/>
      </w:rPr>
    </w:lvl>
    <w:lvl w:ilvl="1" w:tentative="0">
      <w:start w:val="1"/>
      <w:numFmt w:val="decimal"/>
      <w:pStyle w:val="32"/>
      <w:suff w:val="nothing"/>
      <w:lvlText w:val="%1%2　"/>
      <w:legacy w:legacy="1" w:legacySpace="0" w:legacyIndent="0"/>
      <w:lvlJc w:val="left"/>
      <w:pPr>
        <w:ind w:left="0" w:firstLine="0"/>
      </w:pPr>
      <w:rPr>
        <w:rFonts w:hint="eastAsia" w:ascii="黑体" w:hAnsi="黑体" w:eastAsia="黑体"/>
        <w:b w:val="0"/>
        <w:i w:val="0"/>
        <w:sz w:val="21"/>
      </w:rPr>
    </w:lvl>
    <w:lvl w:ilvl="2" w:tentative="0">
      <w:start w:val="1"/>
      <w:numFmt w:val="decimal"/>
      <w:pStyle w:val="34"/>
      <w:suff w:val="nothing"/>
      <w:lvlText w:val="%1%2.%3　"/>
      <w:legacy w:legacy="1" w:legacySpace="0" w:legacyIndent="0"/>
      <w:lvlJc w:val="left"/>
      <w:pPr>
        <w:ind w:left="0" w:firstLine="0"/>
      </w:pPr>
      <w:rPr>
        <w:rFonts w:hint="eastAsia" w:ascii="黑体" w:hAnsi="黑体"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suff w:val="nothing"/>
      <w:lvlText w:val="%1%2.%3.%4　"/>
      <w:legacy w:legacy="1" w:legacySpace="0" w:legacyIndent="0"/>
      <w:lvlJc w:val="left"/>
      <w:pPr>
        <w:ind w:left="0" w:firstLine="0"/>
      </w:pPr>
      <w:rPr>
        <w:rFonts w:hint="eastAsia" w:ascii="黑体" w:hAnsi="黑体" w:eastAsia="黑体"/>
        <w:b w:val="0"/>
        <w:i w:val="0"/>
        <w:sz w:val="21"/>
      </w:rPr>
    </w:lvl>
    <w:lvl w:ilvl="4" w:tentative="0">
      <w:start w:val="1"/>
      <w:numFmt w:val="decimal"/>
      <w:pStyle w:val="40"/>
      <w:suff w:val="nothing"/>
      <w:lvlText w:val="%1%2.%3.%4.%5　"/>
      <w:legacy w:legacy="1" w:legacySpace="0" w:legacyIndent="0"/>
      <w:lvlJc w:val="left"/>
      <w:pPr>
        <w:ind w:left="0" w:firstLine="0"/>
      </w:pPr>
      <w:rPr>
        <w:rFonts w:hint="eastAsia" w:ascii="黑体" w:hAnsi="黑体" w:eastAsia="黑体"/>
        <w:b w:val="0"/>
        <w:i w:val="0"/>
        <w:sz w:val="21"/>
      </w:rPr>
    </w:lvl>
    <w:lvl w:ilvl="5" w:tentative="0">
      <w:start w:val="1"/>
      <w:numFmt w:val="decimal"/>
      <w:pStyle w:val="39"/>
      <w:suff w:val="nothing"/>
      <w:lvlText w:val="%1%2.%3.%4.%5.%6　"/>
      <w:legacy w:legacy="1" w:legacySpace="0" w:legacyIndent="0"/>
      <w:lvlJc w:val="left"/>
      <w:pPr>
        <w:ind w:left="0" w:firstLine="0"/>
      </w:pPr>
      <w:rPr>
        <w:rFonts w:hint="eastAsia" w:ascii="黑体" w:hAnsi="黑体" w:eastAsia="黑体"/>
        <w:b w:val="0"/>
        <w:i w:val="0"/>
        <w:sz w:val="21"/>
      </w:rPr>
    </w:lvl>
    <w:lvl w:ilvl="6" w:tentative="0">
      <w:start w:val="1"/>
      <w:numFmt w:val="decimal"/>
      <w:pStyle w:val="37"/>
      <w:suff w:val="nothing"/>
      <w:lvlText w:val="%1%2.%3.%4.%5.%6.%7　"/>
      <w:legacy w:legacy="1" w:legacySpace="0" w:legacyIndent="0"/>
      <w:lvlJc w:val="left"/>
      <w:pPr>
        <w:ind w:left="0" w:firstLine="0"/>
      </w:pPr>
      <w:rPr>
        <w:rFonts w:hint="eastAsia" w:ascii="黑体" w:hAnsi="黑体" w:eastAsia="黑体"/>
        <w:b w:val="0"/>
        <w:i w:val="0"/>
        <w:sz w:val="21"/>
      </w:rPr>
    </w:lvl>
    <w:lvl w:ilvl="7" w:tentative="0">
      <w:start w:val="1"/>
      <w:numFmt w:val="decimal"/>
      <w:lvlText w:val="%1.%2.%3.%4.%5.%6.%7.%8"/>
      <w:legacy w:legacy="1" w:legacySpace="0" w:legacyIndent="1418"/>
      <w:lvlJc w:val="left"/>
      <w:pPr>
        <w:ind w:left="3969" w:hanging="1418"/>
      </w:pPr>
      <w:rPr>
        <w:rFonts w:hint="eastAsia"/>
      </w:rPr>
    </w:lvl>
    <w:lvl w:ilvl="8" w:tentative="0">
      <w:start w:val="1"/>
      <w:numFmt w:val="decimal"/>
      <w:lvlText w:val="%1.%2.%3.%4.%5.%6.%7.%8.%9"/>
      <w:legacy w:legacy="1" w:legacySpace="0" w:legacyIndent="1700"/>
      <w:lvlJc w:val="left"/>
      <w:pPr>
        <w:ind w:left="4677" w:hanging="1700"/>
      </w:pPr>
      <w:rPr>
        <w:rFonts w:hint="eastAsia"/>
      </w:rPr>
    </w:lvl>
  </w:abstractNum>
  <w:num w:numId="1">
    <w:abstractNumId w:val="6"/>
  </w:num>
  <w:num w:numId="2">
    <w:abstractNumId w:val="0"/>
  </w:num>
  <w:num w:numId="3">
    <w:abstractNumId w:val="3"/>
  </w:num>
  <w:num w:numId="4">
    <w:abstractNumId w:val="2"/>
  </w:num>
  <w:num w:numId="5">
    <w:abstractNumId w:val="5"/>
  </w:num>
  <w:num w:numId="6">
    <w:abstractNumId w:val="4"/>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TrueTypeFonts/>
  <w:saveSubsetFonts/>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VerticalSpacing w:val="156"/>
  <w:displayHorizontalDrawingGridEvery w:val="1"/>
  <w:displayVerticalDrawingGridEvery w:val="1"/>
  <w:noPunctuationKerning w:val="1"/>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U0OWNhMGUyYzc2MTI5ZWY2NzM4MTVkMDAwODg0YzMifQ=="/>
  </w:docVars>
  <w:rsids>
    <w:rsidRoot w:val="000D75AA"/>
    <w:rsid w:val="000068A2"/>
    <w:rsid w:val="00012EC2"/>
    <w:rsid w:val="00014983"/>
    <w:rsid w:val="000178C8"/>
    <w:rsid w:val="00055442"/>
    <w:rsid w:val="00072103"/>
    <w:rsid w:val="00075653"/>
    <w:rsid w:val="00082613"/>
    <w:rsid w:val="000C517B"/>
    <w:rsid w:val="000E53EA"/>
    <w:rsid w:val="001133E6"/>
    <w:rsid w:val="001655CC"/>
    <w:rsid w:val="0018012C"/>
    <w:rsid w:val="001821C9"/>
    <w:rsid w:val="001A7570"/>
    <w:rsid w:val="001D3156"/>
    <w:rsid w:val="001E2D73"/>
    <w:rsid w:val="0020127F"/>
    <w:rsid w:val="00205352"/>
    <w:rsid w:val="002210B4"/>
    <w:rsid w:val="0022236C"/>
    <w:rsid w:val="002324B6"/>
    <w:rsid w:val="00234F7D"/>
    <w:rsid w:val="00236909"/>
    <w:rsid w:val="00236EB4"/>
    <w:rsid w:val="00241F8A"/>
    <w:rsid w:val="00281F39"/>
    <w:rsid w:val="0028500C"/>
    <w:rsid w:val="002879F6"/>
    <w:rsid w:val="00292F73"/>
    <w:rsid w:val="0029554A"/>
    <w:rsid w:val="002A3479"/>
    <w:rsid w:val="002B7C92"/>
    <w:rsid w:val="002E357A"/>
    <w:rsid w:val="00321E92"/>
    <w:rsid w:val="003259AF"/>
    <w:rsid w:val="003332BA"/>
    <w:rsid w:val="00340D9B"/>
    <w:rsid w:val="003517E7"/>
    <w:rsid w:val="00372E66"/>
    <w:rsid w:val="00375933"/>
    <w:rsid w:val="00382E35"/>
    <w:rsid w:val="00396F2C"/>
    <w:rsid w:val="003D485E"/>
    <w:rsid w:val="00426DC5"/>
    <w:rsid w:val="004373E9"/>
    <w:rsid w:val="0044036C"/>
    <w:rsid w:val="0044065E"/>
    <w:rsid w:val="004805DB"/>
    <w:rsid w:val="0048511D"/>
    <w:rsid w:val="004A75FF"/>
    <w:rsid w:val="004B4D68"/>
    <w:rsid w:val="004F29B4"/>
    <w:rsid w:val="00515B82"/>
    <w:rsid w:val="0051755E"/>
    <w:rsid w:val="00533B2A"/>
    <w:rsid w:val="00554B7D"/>
    <w:rsid w:val="00564A0C"/>
    <w:rsid w:val="005E3C13"/>
    <w:rsid w:val="005E7B33"/>
    <w:rsid w:val="005F1668"/>
    <w:rsid w:val="005F2FD2"/>
    <w:rsid w:val="005F4961"/>
    <w:rsid w:val="00617B08"/>
    <w:rsid w:val="00627AB4"/>
    <w:rsid w:val="006335ED"/>
    <w:rsid w:val="006343EC"/>
    <w:rsid w:val="0063539D"/>
    <w:rsid w:val="00637F53"/>
    <w:rsid w:val="006511A8"/>
    <w:rsid w:val="0067378F"/>
    <w:rsid w:val="00691000"/>
    <w:rsid w:val="006B0BA0"/>
    <w:rsid w:val="006B12C0"/>
    <w:rsid w:val="00714DDE"/>
    <w:rsid w:val="0074491A"/>
    <w:rsid w:val="007557E4"/>
    <w:rsid w:val="00756356"/>
    <w:rsid w:val="00774434"/>
    <w:rsid w:val="007756AB"/>
    <w:rsid w:val="00781D6C"/>
    <w:rsid w:val="007A149B"/>
    <w:rsid w:val="007C244C"/>
    <w:rsid w:val="00801A7F"/>
    <w:rsid w:val="00814260"/>
    <w:rsid w:val="008247C4"/>
    <w:rsid w:val="00826BFA"/>
    <w:rsid w:val="00853F5C"/>
    <w:rsid w:val="00874BB5"/>
    <w:rsid w:val="008779C2"/>
    <w:rsid w:val="00887632"/>
    <w:rsid w:val="00895F4A"/>
    <w:rsid w:val="008973E6"/>
    <w:rsid w:val="008B6B5F"/>
    <w:rsid w:val="008E1EB5"/>
    <w:rsid w:val="00926E1B"/>
    <w:rsid w:val="00932BA3"/>
    <w:rsid w:val="00947EBA"/>
    <w:rsid w:val="009718CC"/>
    <w:rsid w:val="009A4141"/>
    <w:rsid w:val="009E3161"/>
    <w:rsid w:val="00A16A3E"/>
    <w:rsid w:val="00A263D3"/>
    <w:rsid w:val="00A365A2"/>
    <w:rsid w:val="00A37FDF"/>
    <w:rsid w:val="00A42C5E"/>
    <w:rsid w:val="00A75476"/>
    <w:rsid w:val="00A84853"/>
    <w:rsid w:val="00A87F41"/>
    <w:rsid w:val="00AC57C3"/>
    <w:rsid w:val="00AD0172"/>
    <w:rsid w:val="00B07A8A"/>
    <w:rsid w:val="00B66676"/>
    <w:rsid w:val="00B73416"/>
    <w:rsid w:val="00B77477"/>
    <w:rsid w:val="00B94EFE"/>
    <w:rsid w:val="00B954B8"/>
    <w:rsid w:val="00BA570D"/>
    <w:rsid w:val="00BB6932"/>
    <w:rsid w:val="00BB7B52"/>
    <w:rsid w:val="00BD2990"/>
    <w:rsid w:val="00C07069"/>
    <w:rsid w:val="00C123EE"/>
    <w:rsid w:val="00C13CB6"/>
    <w:rsid w:val="00C20386"/>
    <w:rsid w:val="00CC71EF"/>
    <w:rsid w:val="00CE7CD2"/>
    <w:rsid w:val="00D0457A"/>
    <w:rsid w:val="00D35977"/>
    <w:rsid w:val="00D43F5A"/>
    <w:rsid w:val="00D87F07"/>
    <w:rsid w:val="00D9142A"/>
    <w:rsid w:val="00D9735E"/>
    <w:rsid w:val="00DB7F6F"/>
    <w:rsid w:val="00DF4FB8"/>
    <w:rsid w:val="00E27034"/>
    <w:rsid w:val="00E32D4B"/>
    <w:rsid w:val="00E41116"/>
    <w:rsid w:val="00E414EF"/>
    <w:rsid w:val="00E455A5"/>
    <w:rsid w:val="00E835A1"/>
    <w:rsid w:val="00E83E2D"/>
    <w:rsid w:val="00ED41E5"/>
    <w:rsid w:val="00EE332B"/>
    <w:rsid w:val="00EF4610"/>
    <w:rsid w:val="00EF6CB2"/>
    <w:rsid w:val="00F01A5C"/>
    <w:rsid w:val="00F40513"/>
    <w:rsid w:val="00F424A9"/>
    <w:rsid w:val="00F5729F"/>
    <w:rsid w:val="00F65587"/>
    <w:rsid w:val="00F77E06"/>
    <w:rsid w:val="00F9021F"/>
    <w:rsid w:val="00FA7D60"/>
    <w:rsid w:val="00FB260A"/>
    <w:rsid w:val="00FC7CE6"/>
    <w:rsid w:val="00FD6497"/>
    <w:rsid w:val="00FF2EC3"/>
    <w:rsid w:val="012A4E2C"/>
    <w:rsid w:val="02DC2156"/>
    <w:rsid w:val="031C6CD9"/>
    <w:rsid w:val="034C72DC"/>
    <w:rsid w:val="03CC3F79"/>
    <w:rsid w:val="05CD222A"/>
    <w:rsid w:val="06084616"/>
    <w:rsid w:val="06A9292B"/>
    <w:rsid w:val="06D80E87"/>
    <w:rsid w:val="07AA6569"/>
    <w:rsid w:val="08B95E3C"/>
    <w:rsid w:val="08EF7A39"/>
    <w:rsid w:val="094620D8"/>
    <w:rsid w:val="0A5844F0"/>
    <w:rsid w:val="0BF40511"/>
    <w:rsid w:val="0D5F5E5E"/>
    <w:rsid w:val="0EB92622"/>
    <w:rsid w:val="0EE41D10"/>
    <w:rsid w:val="11386E78"/>
    <w:rsid w:val="11537A88"/>
    <w:rsid w:val="11B73ED3"/>
    <w:rsid w:val="11DF729D"/>
    <w:rsid w:val="12277661"/>
    <w:rsid w:val="12800601"/>
    <w:rsid w:val="133D4C82"/>
    <w:rsid w:val="13D12EE6"/>
    <w:rsid w:val="13EE1CEA"/>
    <w:rsid w:val="13F37300"/>
    <w:rsid w:val="13FD3CDB"/>
    <w:rsid w:val="174D6D27"/>
    <w:rsid w:val="18CE5C46"/>
    <w:rsid w:val="1A2A2D28"/>
    <w:rsid w:val="1A611AD4"/>
    <w:rsid w:val="1B3426D8"/>
    <w:rsid w:val="1B9C64CF"/>
    <w:rsid w:val="1E4A1472"/>
    <w:rsid w:val="1E6C7E3E"/>
    <w:rsid w:val="20346CD6"/>
    <w:rsid w:val="206E043A"/>
    <w:rsid w:val="21B75E11"/>
    <w:rsid w:val="220646A2"/>
    <w:rsid w:val="220A4192"/>
    <w:rsid w:val="22B3482A"/>
    <w:rsid w:val="2418246B"/>
    <w:rsid w:val="2443573A"/>
    <w:rsid w:val="24575D7C"/>
    <w:rsid w:val="2480073C"/>
    <w:rsid w:val="25496D80"/>
    <w:rsid w:val="259011F8"/>
    <w:rsid w:val="266B3ABF"/>
    <w:rsid w:val="26812549"/>
    <w:rsid w:val="27095D8A"/>
    <w:rsid w:val="277B51EB"/>
    <w:rsid w:val="279E6744"/>
    <w:rsid w:val="2A8C1D97"/>
    <w:rsid w:val="2AB253C7"/>
    <w:rsid w:val="2BAD2B02"/>
    <w:rsid w:val="2C0C0B07"/>
    <w:rsid w:val="2C6C6F3C"/>
    <w:rsid w:val="2E0C3040"/>
    <w:rsid w:val="2E40384E"/>
    <w:rsid w:val="2E826991"/>
    <w:rsid w:val="2F083808"/>
    <w:rsid w:val="2F0B058C"/>
    <w:rsid w:val="2F7C5FA4"/>
    <w:rsid w:val="2FDD0EDC"/>
    <w:rsid w:val="30744ECD"/>
    <w:rsid w:val="32F32A21"/>
    <w:rsid w:val="33490893"/>
    <w:rsid w:val="344833B2"/>
    <w:rsid w:val="35146A33"/>
    <w:rsid w:val="35BE10C4"/>
    <w:rsid w:val="37A25927"/>
    <w:rsid w:val="380223B3"/>
    <w:rsid w:val="3870241E"/>
    <w:rsid w:val="393771F9"/>
    <w:rsid w:val="39CD7B28"/>
    <w:rsid w:val="3A7B57D6"/>
    <w:rsid w:val="3A7D586C"/>
    <w:rsid w:val="3CE05DC4"/>
    <w:rsid w:val="3D6C58AA"/>
    <w:rsid w:val="3DBB238D"/>
    <w:rsid w:val="3DCB2851"/>
    <w:rsid w:val="3E6639DC"/>
    <w:rsid w:val="3FC7172D"/>
    <w:rsid w:val="403F2E01"/>
    <w:rsid w:val="41B8297D"/>
    <w:rsid w:val="42F500EF"/>
    <w:rsid w:val="431A1904"/>
    <w:rsid w:val="43DB1093"/>
    <w:rsid w:val="45413951"/>
    <w:rsid w:val="46E47FFF"/>
    <w:rsid w:val="4779601E"/>
    <w:rsid w:val="480320A7"/>
    <w:rsid w:val="493E1AE1"/>
    <w:rsid w:val="4B2238EC"/>
    <w:rsid w:val="4C6C7CEB"/>
    <w:rsid w:val="4D717D16"/>
    <w:rsid w:val="4DDD59C1"/>
    <w:rsid w:val="4F9D7B44"/>
    <w:rsid w:val="50370ABF"/>
    <w:rsid w:val="51A650B5"/>
    <w:rsid w:val="51FB0B52"/>
    <w:rsid w:val="52284EA5"/>
    <w:rsid w:val="52845057"/>
    <w:rsid w:val="5286657D"/>
    <w:rsid w:val="531F075A"/>
    <w:rsid w:val="53F87A3F"/>
    <w:rsid w:val="54D52ADE"/>
    <w:rsid w:val="56DA342C"/>
    <w:rsid w:val="56ED13B1"/>
    <w:rsid w:val="57A01936"/>
    <w:rsid w:val="57A57FD6"/>
    <w:rsid w:val="57F01F2D"/>
    <w:rsid w:val="58922210"/>
    <w:rsid w:val="58D367F3"/>
    <w:rsid w:val="592B4413"/>
    <w:rsid w:val="592C1295"/>
    <w:rsid w:val="59D12E03"/>
    <w:rsid w:val="59DD74BB"/>
    <w:rsid w:val="5A8C449C"/>
    <w:rsid w:val="5AF53E9A"/>
    <w:rsid w:val="5B571FFB"/>
    <w:rsid w:val="5BD06662"/>
    <w:rsid w:val="5BFB00CD"/>
    <w:rsid w:val="5C452F47"/>
    <w:rsid w:val="5D086F45"/>
    <w:rsid w:val="5D26524D"/>
    <w:rsid w:val="5D4D6706"/>
    <w:rsid w:val="5F8F08F2"/>
    <w:rsid w:val="601974BD"/>
    <w:rsid w:val="60252B89"/>
    <w:rsid w:val="616C2448"/>
    <w:rsid w:val="63057E95"/>
    <w:rsid w:val="63232915"/>
    <w:rsid w:val="63DF2082"/>
    <w:rsid w:val="654A16B4"/>
    <w:rsid w:val="660F1D12"/>
    <w:rsid w:val="66A21530"/>
    <w:rsid w:val="66E62693"/>
    <w:rsid w:val="67277FC8"/>
    <w:rsid w:val="677C2407"/>
    <w:rsid w:val="67C27CF0"/>
    <w:rsid w:val="68C47A98"/>
    <w:rsid w:val="68C53F3C"/>
    <w:rsid w:val="695969AA"/>
    <w:rsid w:val="6CC80E6D"/>
    <w:rsid w:val="6E8C314C"/>
    <w:rsid w:val="7040659E"/>
    <w:rsid w:val="710B6BAC"/>
    <w:rsid w:val="71525B1E"/>
    <w:rsid w:val="716444DA"/>
    <w:rsid w:val="71CC633B"/>
    <w:rsid w:val="71F238C8"/>
    <w:rsid w:val="71FC02A3"/>
    <w:rsid w:val="722A04CF"/>
    <w:rsid w:val="7365084C"/>
    <w:rsid w:val="738A5B9F"/>
    <w:rsid w:val="741F6AAA"/>
    <w:rsid w:val="74A0585D"/>
    <w:rsid w:val="754A5489"/>
    <w:rsid w:val="763864CA"/>
    <w:rsid w:val="764D461B"/>
    <w:rsid w:val="77A7157C"/>
    <w:rsid w:val="77D048EE"/>
    <w:rsid w:val="78B143BF"/>
    <w:rsid w:val="7A035425"/>
    <w:rsid w:val="7AB465B7"/>
    <w:rsid w:val="7B215011"/>
    <w:rsid w:val="7B3960C4"/>
    <w:rsid w:val="7BCE2CB0"/>
    <w:rsid w:val="7BEC1388"/>
    <w:rsid w:val="7BFE17E7"/>
    <w:rsid w:val="7CB63E70"/>
    <w:rsid w:val="7D1577EE"/>
    <w:rsid w:val="7D221505"/>
    <w:rsid w:val="7E2B6198"/>
    <w:rsid w:val="7EF26A8C"/>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nhideWhenUsed="0" w:uiPriority="9" w:semiHidden="0"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qFormat="1" w:uiPriority="39" w:semiHidden="0"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qFormat="1" w:unhideWhenUsed="0" w:uiPriority="0" w:semiHidden="0" w:name="envelope return"/>
    <w:lsdException w:qFormat="1" w:unhideWhenUsed="0" w:uiPriority="0" w:semiHidden="0" w:name="footnote reference"/>
    <w:lsdException w:qFormat="1" w:unhideWhenUsed="0" w:uiPriority="99" w:semiHidden="0" w:name="annotation reference"/>
    <w:lsdException w:qFormat="1" w:unhideWhenUsed="0" w:uiPriority="0" w:semiHidden="0"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nhideWhenUsed="0" w:uiPriority="0"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39" w:semiHidden="0" w:name="Table Grid"/>
    <w:lsdException w:uiPriority="99" w:name="Table Theme"/>
    <w:lsdException w:qFormat="1" w:unhideWhenUsed="0" w:uiPriority="99"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Calibri"/>
      <w:kern w:val="2"/>
      <w:sz w:val="21"/>
      <w:szCs w:val="24"/>
      <w:lang w:val="en-US" w:eastAsia="zh-CN" w:bidi="ar-SA"/>
    </w:rPr>
  </w:style>
  <w:style w:type="paragraph" w:styleId="2">
    <w:name w:val="heading 1"/>
    <w:basedOn w:val="1"/>
    <w:next w:val="1"/>
    <w:autoRedefine/>
    <w:qFormat/>
    <w:uiPriority w:val="0"/>
    <w:pPr>
      <w:keepNext/>
      <w:keepLines/>
      <w:widowControl w:val="0"/>
      <w:spacing w:before="340" w:after="330" w:line="578" w:lineRule="auto"/>
      <w:outlineLvl w:val="0"/>
    </w:pPr>
    <w:rPr>
      <w:b/>
      <w:bCs/>
      <w:kern w:val="44"/>
      <w:sz w:val="44"/>
    </w:rPr>
  </w:style>
  <w:style w:type="paragraph" w:styleId="3">
    <w:name w:val="heading 2"/>
    <w:basedOn w:val="1"/>
    <w:next w:val="1"/>
    <w:qFormat/>
    <w:uiPriority w:val="0"/>
    <w:pPr>
      <w:keepNext/>
      <w:keepLines/>
      <w:widowControl w:val="0"/>
      <w:spacing w:before="260" w:after="260" w:line="415" w:lineRule="auto"/>
      <w:outlineLvl w:val="1"/>
    </w:pPr>
    <w:rPr>
      <w:rFonts w:ascii="Times New Roman" w:hAnsi="Times New Roman" w:eastAsia="黑体"/>
      <w:b/>
      <w:sz w:val="32"/>
    </w:rPr>
  </w:style>
  <w:style w:type="paragraph" w:styleId="4">
    <w:name w:val="heading 3"/>
    <w:basedOn w:val="1"/>
    <w:next w:val="1"/>
    <w:autoRedefine/>
    <w:qFormat/>
    <w:uiPriority w:val="0"/>
    <w:pPr>
      <w:keepNext/>
      <w:keepLines/>
      <w:widowControl w:val="0"/>
      <w:spacing w:before="260" w:after="260" w:line="415" w:lineRule="auto"/>
      <w:outlineLvl w:val="2"/>
    </w:pPr>
    <w:rPr>
      <w:b/>
      <w:sz w:val="32"/>
    </w:rPr>
  </w:style>
  <w:style w:type="paragraph" w:styleId="5">
    <w:name w:val="heading 4"/>
    <w:basedOn w:val="1"/>
    <w:next w:val="1"/>
    <w:semiHidden/>
    <w:unhideWhenUsed/>
    <w:qFormat/>
    <w:uiPriority w:val="9"/>
    <w:pPr>
      <w:spacing w:before="0" w:beforeAutospacing="1" w:after="0" w:afterAutospacing="1"/>
      <w:jc w:val="left"/>
    </w:pPr>
    <w:rPr>
      <w:rFonts w:hint="eastAsia" w:ascii="宋体" w:hAnsi="宋体" w:eastAsia="宋体" w:cs="宋体"/>
      <w:b/>
      <w:bCs/>
      <w:kern w:val="0"/>
      <w:sz w:val="24"/>
      <w:szCs w:val="24"/>
      <w:lang w:val="en-US" w:eastAsia="zh-CN" w:bidi="ar"/>
    </w:rPr>
  </w:style>
  <w:style w:type="paragraph" w:styleId="6">
    <w:name w:val="heading 7"/>
    <w:basedOn w:val="1"/>
    <w:next w:val="1"/>
    <w:link w:val="24"/>
    <w:autoRedefine/>
    <w:qFormat/>
    <w:uiPriority w:val="9"/>
    <w:pPr>
      <w:keepNext/>
      <w:keepLines/>
      <w:spacing w:before="240" w:after="64" w:line="320" w:lineRule="auto"/>
      <w:outlineLvl w:val="6"/>
    </w:pPr>
    <w:rPr>
      <w:b/>
      <w:bCs/>
      <w:sz w:val="24"/>
    </w:rPr>
  </w:style>
  <w:style w:type="character" w:default="1" w:styleId="16">
    <w:name w:val="Default Paragraph Font"/>
    <w:autoRedefine/>
    <w:qFormat/>
    <w:uiPriority w:val="0"/>
  </w:style>
  <w:style w:type="table" w:default="1" w:styleId="14">
    <w:name w:val="Normal Table"/>
    <w:unhideWhenUsed/>
    <w:qFormat/>
    <w:uiPriority w:val="99"/>
    <w:pPr>
      <w:keepNext w:val="0"/>
      <w:keepLines w:val="0"/>
      <w:widowControl/>
      <w:suppressLineNumbers w:val="0"/>
      <w:spacing w:before="0" w:beforeAutospacing="0" w:after="0" w:afterAutospacing="0"/>
      <w:ind w:left="0" w:right="0"/>
    </w:pPr>
    <w:rPr>
      <w:rFonts w:hint="default" w:ascii="Calibri" w:hAnsi="Calibri" w:cs="Times New Roman"/>
      <w:sz w:val="20"/>
      <w:szCs w:val="20"/>
    </w:rPr>
    <w:tblPr>
      <w:tblCellMar>
        <w:top w:w="0" w:type="dxa"/>
        <w:left w:w="108" w:type="dxa"/>
        <w:bottom w:w="0" w:type="dxa"/>
        <w:right w:w="108" w:type="dxa"/>
      </w:tblCellMar>
    </w:tblPr>
  </w:style>
  <w:style w:type="paragraph" w:styleId="7">
    <w:name w:val="annotation text"/>
    <w:basedOn w:val="1"/>
    <w:link w:val="25"/>
    <w:autoRedefine/>
    <w:unhideWhenUsed/>
    <w:qFormat/>
    <w:uiPriority w:val="99"/>
    <w:pPr>
      <w:adjustRightInd w:val="0"/>
      <w:spacing w:line="400" w:lineRule="exact"/>
      <w:jc w:val="left"/>
    </w:pPr>
    <w:rPr>
      <w:rFonts w:ascii="Calibri" w:hAnsi="Calibri"/>
      <w:szCs w:val="21"/>
    </w:rPr>
  </w:style>
  <w:style w:type="paragraph" w:styleId="8">
    <w:name w:val="Balloon Text"/>
    <w:basedOn w:val="1"/>
    <w:link w:val="26"/>
    <w:autoRedefine/>
    <w:unhideWhenUsed/>
    <w:qFormat/>
    <w:uiPriority w:val="99"/>
    <w:rPr>
      <w:sz w:val="18"/>
      <w:szCs w:val="18"/>
    </w:rPr>
  </w:style>
  <w:style w:type="paragraph" w:styleId="9">
    <w:name w:val="footer"/>
    <w:basedOn w:val="1"/>
    <w:link w:val="27"/>
    <w:autoRedefine/>
    <w:qFormat/>
    <w:uiPriority w:val="99"/>
    <w:pPr>
      <w:tabs>
        <w:tab w:val="center" w:pos="4153"/>
        <w:tab w:val="right" w:pos="8306"/>
      </w:tabs>
      <w:snapToGrid w:val="0"/>
      <w:jc w:val="left"/>
    </w:pPr>
    <w:rPr>
      <w:sz w:val="18"/>
      <w:szCs w:val="18"/>
    </w:rPr>
  </w:style>
  <w:style w:type="paragraph" w:styleId="10">
    <w:name w:val="envelope return"/>
    <w:basedOn w:val="1"/>
    <w:autoRedefine/>
    <w:qFormat/>
    <w:uiPriority w:val="0"/>
    <w:pPr>
      <w:snapToGrid w:val="0"/>
    </w:pPr>
    <w:rPr>
      <w:rFonts w:ascii="Times New Roman" w:hAnsi="Times New Roman"/>
    </w:rPr>
  </w:style>
  <w:style w:type="paragraph" w:styleId="11">
    <w:name w:val="header"/>
    <w:basedOn w:val="1"/>
    <w:autoRedefine/>
    <w:qFormat/>
    <w:uiPriority w:val="0"/>
    <w:pPr>
      <w:pBdr>
        <w:bottom w:val="single" w:color="auto" w:sz="6" w:space="1"/>
      </w:pBdr>
      <w:tabs>
        <w:tab w:val="center" w:pos="4153"/>
        <w:tab w:val="right" w:pos="8306"/>
      </w:tabs>
      <w:snapToGrid w:val="0"/>
      <w:jc w:val="center"/>
    </w:pPr>
    <w:rPr>
      <w:sz w:val="18"/>
      <w:szCs w:val="18"/>
    </w:rPr>
  </w:style>
  <w:style w:type="paragraph" w:styleId="12">
    <w:name w:val="toc 4"/>
    <w:basedOn w:val="1"/>
    <w:next w:val="1"/>
    <w:autoRedefine/>
    <w:unhideWhenUsed/>
    <w:qFormat/>
    <w:uiPriority w:val="39"/>
    <w:pPr>
      <w:tabs>
        <w:tab w:val="right" w:leader="dot" w:pos="9344"/>
      </w:tabs>
      <w:adjustRightInd w:val="0"/>
      <w:spacing w:line="300" w:lineRule="exact"/>
      <w:ind w:left="629"/>
    </w:pPr>
    <w:rPr>
      <w:rFonts w:ascii="宋体" w:hAnsi="Calibri"/>
      <w:szCs w:val="21"/>
    </w:rPr>
  </w:style>
  <w:style w:type="paragraph" w:styleId="13">
    <w:name w:val="Normal (Web)"/>
    <w:basedOn w:val="1"/>
    <w:autoRedefine/>
    <w:semiHidden/>
    <w:unhideWhenUsed/>
    <w:qFormat/>
    <w:uiPriority w:val="99"/>
    <w:pPr>
      <w:keepNext w:val="0"/>
      <w:keepLines w:val="0"/>
      <w:widowControl w:val="0"/>
      <w:suppressLineNumbers w:val="0"/>
      <w:spacing w:before="0" w:beforeAutospacing="1" w:after="0" w:afterAutospacing="1"/>
      <w:ind w:left="0" w:right="0"/>
      <w:jc w:val="left"/>
    </w:pPr>
    <w:rPr>
      <w:rFonts w:hint="default" w:ascii="Times New Roman" w:hAnsi="Times New Roman" w:eastAsia="宋体" w:cs="Times New Roman"/>
      <w:kern w:val="0"/>
      <w:sz w:val="24"/>
      <w:szCs w:val="24"/>
      <w:lang w:val="en-US" w:eastAsia="zh-CN" w:bidi="ar"/>
    </w:rPr>
  </w:style>
  <w:style w:type="table" w:styleId="15">
    <w:name w:val="Table Grid"/>
    <w:basedOn w:val="14"/>
    <w:autoRedefine/>
    <w:qFormat/>
    <w:uiPriority w:val="39"/>
    <w:pPr>
      <w:keepNext w:val="0"/>
      <w:keepLines w:val="0"/>
      <w:widowControl/>
      <w:suppressLineNumbers w:val="0"/>
      <w:spacing w:before="0" w:beforeAutospacing="0" w:after="0" w:afterAutospacing="0"/>
      <w:ind w:left="0" w:right="0"/>
    </w:pPr>
    <w:rPr>
      <w:rFonts w:hint="default" w:ascii="Calibri" w:hAnsi="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tcPr>
      <w:tcBorders>
        <w:top w:val="single" w:color="auto" w:sz="4" w:space="0"/>
        <w:left w:val="single" w:color="auto" w:sz="4" w:space="0"/>
        <w:bottom w:val="single" w:color="auto" w:sz="4" w:space="0"/>
        <w:right w:val="single" w:color="auto" w:sz="4" w:space="0"/>
      </w:tcBorders>
    </w:tcPr>
  </w:style>
  <w:style w:type="character" w:styleId="17">
    <w:name w:val="Strong"/>
    <w:basedOn w:val="16"/>
    <w:autoRedefine/>
    <w:qFormat/>
    <w:uiPriority w:val="22"/>
    <w:rPr>
      <w:b/>
    </w:rPr>
  </w:style>
  <w:style w:type="character" w:styleId="18">
    <w:name w:val="line number"/>
    <w:autoRedefine/>
    <w:qFormat/>
    <w:uiPriority w:val="0"/>
  </w:style>
  <w:style w:type="character" w:styleId="19">
    <w:name w:val="Hyperlink"/>
    <w:autoRedefine/>
    <w:qFormat/>
    <w:uiPriority w:val="0"/>
    <w:rPr>
      <w:rFonts w:ascii="宋体" w:eastAsia="宋体"/>
      <w:color w:val="auto"/>
      <w:spacing w:val="0"/>
      <w:w w:val="100"/>
      <w:position w:val="0"/>
      <w:sz w:val="21"/>
      <w:u w:val="none"/>
      <w:vertAlign w:val="baseline"/>
    </w:rPr>
  </w:style>
  <w:style w:type="character" w:styleId="20">
    <w:name w:val="annotation reference"/>
    <w:autoRedefine/>
    <w:qFormat/>
    <w:uiPriority w:val="99"/>
    <w:rPr>
      <w:sz w:val="21"/>
    </w:rPr>
  </w:style>
  <w:style w:type="character" w:styleId="21">
    <w:name w:val="footnote reference"/>
    <w:autoRedefine/>
    <w:qFormat/>
    <w:uiPriority w:val="0"/>
    <w:rPr>
      <w:vertAlign w:val="superscript"/>
    </w:rPr>
  </w:style>
  <w:style w:type="paragraph" w:customStyle="1" w:styleId="22">
    <w:name w:val="BodyText2"/>
    <w:basedOn w:val="1"/>
    <w:autoRedefine/>
    <w:qFormat/>
    <w:uiPriority w:val="0"/>
    <w:pPr>
      <w:spacing w:after="120" w:line="480" w:lineRule="auto"/>
      <w:textAlignment w:val="baseline"/>
    </w:pPr>
    <w:rPr>
      <w:rFonts w:ascii="Calibri" w:hAnsi="Calibri" w:eastAsia="宋体" w:cs="Times New Roman"/>
      <w:sz w:val="32"/>
      <w:szCs w:val="32"/>
      <w:lang w:bidi="ar-SA"/>
    </w:rPr>
  </w:style>
  <w:style w:type="paragraph" w:customStyle="1" w:styleId="23">
    <w:name w:val="正文-公1"/>
    <w:autoRedefine/>
    <w:qFormat/>
    <w:uiPriority w:val="99"/>
    <w:pPr>
      <w:widowControl w:val="0"/>
      <w:suppressAutoHyphens/>
      <w:jc w:val="both"/>
    </w:pPr>
    <w:rPr>
      <w:rFonts w:ascii="Calibri" w:hAnsi="Calibri" w:eastAsia="宋体" w:cs="Times New Roman"/>
      <w:kern w:val="2"/>
      <w:sz w:val="21"/>
      <w:szCs w:val="24"/>
      <w:lang w:val="en-US" w:eastAsia="zh-CN" w:bidi="ar-SA"/>
    </w:rPr>
  </w:style>
  <w:style w:type="character" w:customStyle="1" w:styleId="24">
    <w:name w:val="标题 7 字符"/>
    <w:link w:val="6"/>
    <w:autoRedefine/>
    <w:qFormat/>
    <w:uiPriority w:val="0"/>
    <w:rPr>
      <w:rFonts w:eastAsia="宋体"/>
      <w:b/>
      <w:bCs/>
      <w:kern w:val="2"/>
      <w:sz w:val="24"/>
      <w:szCs w:val="24"/>
    </w:rPr>
  </w:style>
  <w:style w:type="character" w:customStyle="1" w:styleId="25">
    <w:name w:val="批注文字 字符"/>
    <w:link w:val="7"/>
    <w:autoRedefine/>
    <w:semiHidden/>
    <w:qFormat/>
    <w:uiPriority w:val="99"/>
    <w:rPr>
      <w:rFonts w:ascii="Calibri" w:hAnsi="Calibri" w:eastAsia="宋体"/>
      <w:kern w:val="2"/>
      <w:sz w:val="21"/>
      <w:szCs w:val="21"/>
    </w:rPr>
  </w:style>
  <w:style w:type="character" w:customStyle="1" w:styleId="26">
    <w:name w:val="批注框文本 字符"/>
    <w:link w:val="8"/>
    <w:autoRedefine/>
    <w:semiHidden/>
    <w:qFormat/>
    <w:uiPriority w:val="99"/>
    <w:rPr>
      <w:rFonts w:eastAsia="宋体"/>
      <w:kern w:val="2"/>
      <w:sz w:val="18"/>
      <w:szCs w:val="18"/>
    </w:rPr>
  </w:style>
  <w:style w:type="character" w:customStyle="1" w:styleId="27">
    <w:name w:val="页脚 字符"/>
    <w:link w:val="9"/>
    <w:autoRedefine/>
    <w:qFormat/>
    <w:locked/>
    <w:uiPriority w:val="99"/>
    <w:rPr>
      <w:rFonts w:eastAsia="宋体"/>
      <w:kern w:val="2"/>
      <w:sz w:val="18"/>
      <w:szCs w:val="18"/>
    </w:rPr>
  </w:style>
  <w:style w:type="paragraph" w:customStyle="1" w:styleId="28">
    <w:name w:val="其他标准称谓"/>
    <w:autoRedefine/>
    <w:qFormat/>
    <w:uiPriority w:val="0"/>
    <w:pPr>
      <w:spacing w:line="0" w:lineRule="atLeast"/>
      <w:jc w:val="distribute"/>
    </w:pPr>
    <w:rPr>
      <w:rFonts w:ascii="黑体" w:hAnsi="Calibri" w:eastAsia="黑体" w:cs="Calibri"/>
      <w:sz w:val="52"/>
      <w:lang w:val="en-US" w:eastAsia="zh-CN" w:bidi="ar-SA"/>
    </w:rPr>
  </w:style>
  <w:style w:type="paragraph" w:customStyle="1" w:styleId="29">
    <w:name w:val="封面标准号1"/>
    <w:autoRedefine/>
    <w:qFormat/>
    <w:uiPriority w:val="0"/>
    <w:pPr>
      <w:widowControl w:val="0"/>
      <w:kinsoku w:val="0"/>
      <w:overflowPunct w:val="0"/>
      <w:autoSpaceDE w:val="0"/>
      <w:autoSpaceDN w:val="0"/>
      <w:spacing w:before="308"/>
      <w:jc w:val="right"/>
      <w:textAlignment w:val="center"/>
    </w:pPr>
    <w:rPr>
      <w:rFonts w:ascii="Calibri" w:hAnsi="Calibri" w:eastAsia="宋体" w:cs="Calibri"/>
      <w:sz w:val="28"/>
      <w:lang w:val="en-US" w:eastAsia="zh-CN" w:bidi="ar-SA"/>
    </w:rPr>
  </w:style>
  <w:style w:type="paragraph" w:customStyle="1" w:styleId="30">
    <w:name w:val="标准文件_段"/>
    <w:link w:val="31"/>
    <w:autoRedefine/>
    <w:qFormat/>
    <w:uiPriority w:val="0"/>
    <w:pPr>
      <w:autoSpaceDE w:val="0"/>
      <w:autoSpaceDN w:val="0"/>
      <w:ind w:firstLine="200" w:firstLineChars="200"/>
      <w:jc w:val="both"/>
    </w:pPr>
    <w:rPr>
      <w:rFonts w:ascii="宋体" w:hAnsi="Calibri" w:eastAsia="宋体" w:cs="Calibri"/>
      <w:sz w:val="21"/>
      <w:lang w:val="en-US" w:eastAsia="zh-CN" w:bidi="ar-SA"/>
    </w:rPr>
  </w:style>
  <w:style w:type="character" w:customStyle="1" w:styleId="31">
    <w:name w:val="标准文件_段 Char"/>
    <w:link w:val="30"/>
    <w:autoRedefine/>
    <w:qFormat/>
    <w:uiPriority w:val="0"/>
    <w:rPr>
      <w:rFonts w:ascii="宋体" w:eastAsia="宋体"/>
      <w:sz w:val="21"/>
    </w:rPr>
  </w:style>
  <w:style w:type="paragraph" w:customStyle="1" w:styleId="32">
    <w:name w:val="标准文件_章标题"/>
    <w:next w:val="30"/>
    <w:autoRedefine/>
    <w:qFormat/>
    <w:uiPriority w:val="0"/>
    <w:pPr>
      <w:numPr>
        <w:ilvl w:val="1"/>
        <w:numId w:val="1"/>
      </w:numPr>
      <w:spacing w:before="100" w:beforeLines="100" w:after="100" w:afterLines="100"/>
      <w:jc w:val="both"/>
      <w:outlineLvl w:val="0"/>
    </w:pPr>
    <w:rPr>
      <w:rFonts w:ascii="黑体" w:hAnsi="Calibri" w:eastAsia="黑体" w:cs="Calibri"/>
      <w:sz w:val="21"/>
      <w:lang w:val="en-US" w:eastAsia="zh-CN" w:bidi="ar-SA"/>
    </w:rPr>
  </w:style>
  <w:style w:type="paragraph" w:customStyle="1" w:styleId="33">
    <w:name w:val="标准文件_二级条标题"/>
    <w:next w:val="30"/>
    <w:autoRedefine/>
    <w:qFormat/>
    <w:uiPriority w:val="0"/>
    <w:pPr>
      <w:widowControl w:val="0"/>
      <w:spacing w:before="50" w:beforeLines="50" w:after="50" w:afterLines="50"/>
      <w:jc w:val="both"/>
      <w:outlineLvl w:val="2"/>
    </w:pPr>
    <w:rPr>
      <w:rFonts w:ascii="黑体" w:hAnsi="Calibri" w:eastAsia="黑体" w:cs="Calibri"/>
      <w:sz w:val="21"/>
      <w:lang w:val="en-US" w:eastAsia="zh-CN" w:bidi="ar-SA"/>
    </w:rPr>
  </w:style>
  <w:style w:type="paragraph" w:customStyle="1" w:styleId="34">
    <w:name w:val="标准文件_一级条标题"/>
    <w:basedOn w:val="32"/>
    <w:next w:val="30"/>
    <w:autoRedefine/>
    <w:qFormat/>
    <w:uiPriority w:val="0"/>
    <w:pPr>
      <w:numPr>
        <w:ilvl w:val="2"/>
        <w:numId w:val="1"/>
      </w:numPr>
      <w:spacing w:before="50" w:beforeLines="0" w:after="50" w:afterLines="0"/>
      <w:outlineLvl w:val="1"/>
    </w:pPr>
  </w:style>
  <w:style w:type="paragraph" w:customStyle="1" w:styleId="35">
    <w:name w:val="标准文件_三级条标题"/>
    <w:basedOn w:val="33"/>
    <w:next w:val="30"/>
    <w:autoRedefine/>
    <w:qFormat/>
    <w:uiPriority w:val="0"/>
    <w:pPr>
      <w:numPr>
        <w:ilvl w:val="4"/>
        <w:numId w:val="1"/>
      </w:numPr>
      <w:spacing w:before="50" w:beforeLines="50" w:after="50" w:afterLines="50"/>
      <w:jc w:val="both"/>
      <w:outlineLvl w:val="3"/>
    </w:pPr>
    <w:rPr>
      <w:rFonts w:ascii="黑体" w:eastAsia="黑体"/>
      <w:sz w:val="21"/>
      <w:lang w:val="en-US" w:eastAsia="zh-CN" w:bidi="ar-SA"/>
    </w:rPr>
  </w:style>
  <w:style w:type="paragraph" w:customStyle="1" w:styleId="36">
    <w:name w:val="标准文件_四级条标题"/>
    <w:next w:val="30"/>
    <w:autoRedefine/>
    <w:qFormat/>
    <w:uiPriority w:val="0"/>
    <w:pPr>
      <w:widowControl w:val="0"/>
      <w:numPr>
        <w:ilvl w:val="5"/>
        <w:numId w:val="1"/>
      </w:numPr>
      <w:spacing w:before="50" w:beforeLines="50" w:after="50" w:afterLines="50"/>
      <w:jc w:val="both"/>
      <w:outlineLvl w:val="4"/>
    </w:pPr>
    <w:rPr>
      <w:rFonts w:ascii="黑体" w:hAnsi="Calibri" w:eastAsia="黑体" w:cs="Calibri"/>
      <w:sz w:val="21"/>
      <w:lang w:val="en-US" w:eastAsia="zh-CN" w:bidi="ar-SA"/>
    </w:rPr>
  </w:style>
  <w:style w:type="paragraph" w:customStyle="1" w:styleId="37">
    <w:name w:val="标准文件_五级条标题"/>
    <w:next w:val="33"/>
    <w:autoRedefine/>
    <w:qFormat/>
    <w:uiPriority w:val="0"/>
    <w:pPr>
      <w:widowControl w:val="0"/>
      <w:numPr>
        <w:ilvl w:val="6"/>
        <w:numId w:val="1"/>
      </w:numPr>
      <w:spacing w:before="50" w:beforeLines="50" w:after="50" w:afterLines="50"/>
      <w:jc w:val="both"/>
      <w:outlineLvl w:val="5"/>
    </w:pPr>
    <w:rPr>
      <w:rFonts w:ascii="黑体" w:hAnsi="Calibri" w:eastAsia="黑体" w:cs="Calibri"/>
      <w:sz w:val="21"/>
      <w:lang w:val="en-US" w:eastAsia="zh-CN" w:bidi="ar-SA"/>
    </w:rPr>
  </w:style>
  <w:style w:type="paragraph" w:customStyle="1" w:styleId="38">
    <w:name w:val="前言标题"/>
    <w:next w:val="1"/>
    <w:autoRedefine/>
    <w:qFormat/>
    <w:uiPriority w:val="0"/>
    <w:pPr>
      <w:numPr>
        <w:ilvl w:val="0"/>
        <w:numId w:val="1"/>
      </w:numPr>
      <w:shd w:val="clear" w:color="FFFFFF" w:fill="FFFFFF"/>
      <w:spacing w:before="540" w:after="600"/>
      <w:jc w:val="center"/>
      <w:outlineLvl w:val="0"/>
    </w:pPr>
    <w:rPr>
      <w:rFonts w:ascii="黑体" w:hAnsi="Calibri" w:eastAsia="黑体" w:cs="Calibri"/>
      <w:sz w:val="32"/>
      <w:lang w:val="en-US" w:eastAsia="zh-CN" w:bidi="ar-SA"/>
    </w:rPr>
  </w:style>
  <w:style w:type="paragraph" w:customStyle="1" w:styleId="39">
    <w:name w:val="标准文件_四级无标题"/>
    <w:basedOn w:val="36"/>
    <w:autoRedefine/>
    <w:qFormat/>
    <w:uiPriority w:val="0"/>
    <w:pPr>
      <w:widowControl w:val="0"/>
      <w:numPr>
        <w:ilvl w:val="5"/>
        <w:numId w:val="1"/>
      </w:numPr>
      <w:spacing w:before="50" w:after="50"/>
      <w:jc w:val="both"/>
    </w:pPr>
    <w:rPr>
      <w:rFonts w:ascii="宋体" w:hAnsi="Calibri" w:eastAsia="宋体" w:cs="Calibri"/>
      <w:sz w:val="21"/>
      <w:szCs w:val="52"/>
      <w:lang w:val="en-US" w:eastAsia="zh-CN" w:bidi="ar-SA"/>
    </w:rPr>
  </w:style>
  <w:style w:type="paragraph" w:customStyle="1" w:styleId="40">
    <w:name w:val="标准文件_三级无标题"/>
    <w:basedOn w:val="35"/>
    <w:autoRedefine/>
    <w:qFormat/>
    <w:uiPriority w:val="0"/>
    <w:pPr>
      <w:numPr>
        <w:ilvl w:val="4"/>
        <w:numId w:val="1"/>
      </w:numPr>
      <w:spacing w:before="50" w:after="50"/>
      <w:jc w:val="both"/>
    </w:pPr>
    <w:rPr>
      <w:rFonts w:ascii="宋体" w:eastAsia="宋体"/>
      <w:sz w:val="21"/>
      <w:lang w:val="en-US" w:eastAsia="zh-CN" w:bidi="ar-SA"/>
    </w:rPr>
  </w:style>
  <w:style w:type="paragraph" w:customStyle="1" w:styleId="41">
    <w:name w:val="标准文件_正文表标题"/>
    <w:autoRedefine/>
    <w:qFormat/>
    <w:uiPriority w:val="0"/>
    <w:pPr>
      <w:numPr>
        <w:ilvl w:val="0"/>
        <w:numId w:val="2"/>
      </w:numPr>
      <w:tabs>
        <w:tab w:val="left" w:pos="0"/>
      </w:tabs>
      <w:spacing w:before="50" w:beforeLines="50" w:after="50" w:afterLines="50"/>
      <w:jc w:val="center"/>
    </w:pPr>
    <w:rPr>
      <w:rFonts w:ascii="黑体" w:hAnsi="Calibri" w:eastAsia="黑体" w:cs="Calibri"/>
      <w:sz w:val="21"/>
      <w:lang w:val="en-US" w:eastAsia="zh-CN" w:bidi="ar-SA"/>
    </w:rPr>
  </w:style>
  <w:style w:type="character" w:customStyle="1" w:styleId="42">
    <w:name w:val="font11"/>
    <w:autoRedefine/>
    <w:qFormat/>
    <w:uiPriority w:val="0"/>
    <w:rPr>
      <w:rFonts w:ascii="等线" w:eastAsia="等线"/>
      <w:b/>
      <w:bCs/>
      <w:color w:val="FF0000"/>
      <w:sz w:val="22"/>
      <w:szCs w:val="22"/>
      <w:u w:val="none"/>
    </w:rPr>
  </w:style>
  <w:style w:type="character" w:customStyle="1" w:styleId="43">
    <w:name w:val="font01"/>
    <w:autoRedefine/>
    <w:qFormat/>
    <w:uiPriority w:val="0"/>
    <w:rPr>
      <w:rFonts w:ascii="等线" w:eastAsia="等线"/>
      <w:color w:val="000000"/>
      <w:sz w:val="22"/>
      <w:szCs w:val="22"/>
      <w:u w:val="none"/>
    </w:rPr>
  </w:style>
  <w:style w:type="paragraph" w:customStyle="1" w:styleId="44">
    <w:name w:val="段"/>
    <w:autoRedefine/>
    <w:qFormat/>
    <w:uiPriority w:val="0"/>
    <w:pPr>
      <w:autoSpaceDE w:val="0"/>
      <w:autoSpaceDN w:val="0"/>
      <w:ind w:firstLine="200" w:firstLineChars="200"/>
      <w:jc w:val="both"/>
    </w:pPr>
    <w:rPr>
      <w:rFonts w:ascii="宋体" w:hAnsi="Calibri" w:eastAsia="宋体" w:cs="Calibri"/>
      <w:sz w:val="21"/>
      <w:lang w:val="en-US" w:eastAsia="zh-CN" w:bidi="ar-SA"/>
    </w:rPr>
  </w:style>
  <w:style w:type="paragraph" w:customStyle="1" w:styleId="45">
    <w:name w:val="二级无"/>
    <w:basedOn w:val="1"/>
    <w:autoRedefine/>
    <w:qFormat/>
    <w:uiPriority w:val="0"/>
    <w:pPr>
      <w:widowControl/>
      <w:numPr>
        <w:ilvl w:val="2"/>
        <w:numId w:val="3"/>
      </w:numPr>
      <w:tabs>
        <w:tab w:val="left" w:pos="780"/>
      </w:tabs>
      <w:jc w:val="left"/>
      <w:outlineLvl w:val="3"/>
    </w:pPr>
    <w:rPr>
      <w:rFonts w:ascii="宋体"/>
      <w:kern w:val="0"/>
      <w:szCs w:val="21"/>
    </w:rPr>
  </w:style>
  <w:style w:type="paragraph" w:customStyle="1" w:styleId="46">
    <w:name w:val="标准文件_二级无标题"/>
    <w:basedOn w:val="33"/>
    <w:autoRedefine/>
    <w:qFormat/>
    <w:uiPriority w:val="0"/>
    <w:pPr>
      <w:numPr>
        <w:ilvl w:val="3"/>
        <w:numId w:val="4"/>
      </w:numPr>
      <w:tabs>
        <w:tab w:val="left" w:pos="1200"/>
      </w:tabs>
      <w:spacing w:before="0" w:beforeLines="0" w:after="0" w:afterLines="0"/>
      <w:outlineLvl w:val="9"/>
    </w:pPr>
    <w:rPr>
      <w:rFonts w:ascii="宋体" w:eastAsia="宋体"/>
    </w:rPr>
  </w:style>
  <w:style w:type="paragraph" w:customStyle="1" w:styleId="47">
    <w:name w:val="Char Char Char Char"/>
    <w:basedOn w:val="1"/>
    <w:autoRedefine/>
    <w:qFormat/>
    <w:uiPriority w:val="0"/>
  </w:style>
  <w:style w:type="paragraph" w:customStyle="1" w:styleId="48">
    <w:name w:val="标准文件_数字编号列项（二级）"/>
    <w:autoRedefine/>
    <w:qFormat/>
    <w:uiPriority w:val="0"/>
    <w:pPr>
      <w:numPr>
        <w:ilvl w:val="1"/>
        <w:numId w:val="5"/>
      </w:numPr>
      <w:jc w:val="both"/>
    </w:pPr>
    <w:rPr>
      <w:rFonts w:ascii="宋体" w:hAnsi="Calibri" w:eastAsia="宋体" w:cs="Calibri"/>
      <w:sz w:val="21"/>
      <w:lang w:val="en-US" w:eastAsia="zh-CN" w:bidi="ar-SA"/>
    </w:rPr>
  </w:style>
  <w:style w:type="paragraph" w:customStyle="1" w:styleId="49">
    <w:name w:val="标准文件_编号列项（三级）"/>
    <w:autoRedefine/>
    <w:qFormat/>
    <w:uiPriority w:val="0"/>
    <w:pPr>
      <w:numPr>
        <w:ilvl w:val="2"/>
        <w:numId w:val="5"/>
      </w:numPr>
    </w:pPr>
    <w:rPr>
      <w:rFonts w:ascii="宋体" w:hAnsi="Calibri" w:eastAsia="宋体" w:cs="Calibri"/>
      <w:sz w:val="21"/>
      <w:lang w:val="en-US" w:eastAsia="zh-CN" w:bidi="ar-SA"/>
    </w:rPr>
  </w:style>
  <w:style w:type="paragraph" w:customStyle="1" w:styleId="50">
    <w:name w:val="标准文件_字母编号列项（一级）"/>
    <w:autoRedefine/>
    <w:qFormat/>
    <w:uiPriority w:val="0"/>
    <w:pPr>
      <w:numPr>
        <w:ilvl w:val="0"/>
        <w:numId w:val="5"/>
      </w:numPr>
      <w:jc w:val="both"/>
    </w:pPr>
    <w:rPr>
      <w:rFonts w:ascii="宋体" w:hAnsi="Calibri" w:eastAsia="宋体" w:cs="Calibri"/>
      <w:sz w:val="21"/>
      <w:lang w:val="en-US" w:eastAsia="zh-CN" w:bidi="ar-SA"/>
    </w:rPr>
  </w:style>
  <w:style w:type="paragraph" w:customStyle="1" w:styleId="51">
    <w:name w:val="标准文件_术语条一"/>
    <w:basedOn w:val="52"/>
    <w:next w:val="30"/>
    <w:autoRedefine/>
    <w:qFormat/>
    <w:uiPriority w:val="0"/>
    <w:pPr>
      <w:widowControl/>
    </w:pPr>
    <w:rPr>
      <w:rFonts w:ascii="宋体"/>
      <w:kern w:val="0"/>
      <w:szCs w:val="20"/>
    </w:rPr>
  </w:style>
  <w:style w:type="paragraph" w:customStyle="1" w:styleId="52">
    <w:name w:val="标准文件_一级无标题"/>
    <w:basedOn w:val="34"/>
    <w:qFormat/>
    <w:uiPriority w:val="0"/>
    <w:pPr>
      <w:spacing w:before="0" w:beforeLines="0" w:after="0" w:afterLines="0"/>
      <w:outlineLvl w:val="9"/>
    </w:pPr>
    <w:rPr>
      <w:rFonts w:ascii="宋体" w:eastAsia="宋体"/>
    </w:rPr>
  </w:style>
  <w:style w:type="paragraph" w:customStyle="1" w:styleId="53">
    <w:name w:val="abstract"/>
    <w:basedOn w:val="1"/>
    <w:autoRedefine/>
    <w:qFormat/>
    <w:uiPriority w:val="0"/>
    <w:pPr>
      <w:widowControl/>
      <w:spacing w:before="100" w:beforeAutospacing="1" w:after="100" w:afterAutospacing="1"/>
      <w:jc w:val="left"/>
    </w:pPr>
    <w:rPr>
      <w:rFonts w:ascii="宋体" w:hAnsi="宋体" w:cs="宋体"/>
      <w:kern w:val="0"/>
      <w:sz w:val="24"/>
    </w:rPr>
  </w:style>
  <w:style w:type="paragraph" w:customStyle="1" w:styleId="54">
    <w:name w:val="abstract_more"/>
    <w:basedOn w:val="1"/>
    <w:autoRedefine/>
    <w:qFormat/>
    <w:uiPriority w:val="0"/>
    <w:pPr>
      <w:widowControl/>
      <w:spacing w:before="100" w:beforeAutospacing="1" w:after="100" w:afterAutospacing="1"/>
      <w:jc w:val="left"/>
    </w:pPr>
    <w:rPr>
      <w:rFonts w:ascii="宋体" w:hAnsi="宋体" w:cs="宋体"/>
      <w:kern w:val="0"/>
      <w:sz w:val="24"/>
    </w:rPr>
  </w:style>
  <w:style w:type="paragraph" w:styleId="55">
    <w:name w:val="No Spacing"/>
    <w:autoRedefine/>
    <w:qFormat/>
    <w:uiPriority w:val="99"/>
    <w:pPr>
      <w:widowControl w:val="0"/>
      <w:jc w:val="both"/>
    </w:pPr>
    <w:rPr>
      <w:rFonts w:ascii="Calibri" w:hAnsi="Calibri" w:eastAsia="宋体" w:cs="Times New Roman"/>
      <w:kern w:val="2"/>
      <w:sz w:val="21"/>
      <w:szCs w:val="24"/>
      <w:lang w:val="en-US" w:eastAsia="zh-CN" w:bidi="ar-SA"/>
    </w:rPr>
  </w:style>
  <w:style w:type="paragraph" w:customStyle="1" w:styleId="56">
    <w:name w:val="标准文件_一级项"/>
    <w:autoRedefine/>
    <w:qFormat/>
    <w:uiPriority w:val="0"/>
    <w:pPr>
      <w:numPr>
        <w:ilvl w:val="0"/>
        <w:numId w:val="6"/>
      </w:numPr>
    </w:pPr>
    <w:rPr>
      <w:rFonts w:ascii="宋体" w:hAnsi="Times New Roman" w:eastAsia="宋体" w:cs="Times New Roman"/>
      <w:sz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23</Pages>
  <Words>11341</Words>
  <Characters>11886</Characters>
  <Lines>140</Lines>
  <Paragraphs>39</Paragraphs>
  <TotalTime>12</TotalTime>
  <ScaleCrop>false</ScaleCrop>
  <LinksUpToDate>false</LinksUpToDate>
  <CharactersWithSpaces>12007</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2023-11-07T15:48:00Z</dcterms:created>
  <dc:creator>Administrator</dc:creator>
  <cp:lastModifiedBy>誰念誰川</cp:lastModifiedBy>
  <cp:lastPrinted>2025-06-12T03:01:00Z</cp:lastPrinted>
  <dcterms:modified xsi:type="dcterms:W3CDTF">2025-09-30T14:59:12Z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DC516586E33E4E6DBBE5B99F0554A076_13</vt:lpwstr>
  </property>
  <property fmtid="{D5CDD505-2E9C-101B-9397-08002B2CF9AE}" pid="4" name="KSOTemplateDocerSaveRecord">
    <vt:lpwstr>eyJoZGlkIjoiNmU0OWNhMGUyYzc2MTI5ZWY2NzM4MTVkMDAwODg0YzMiLCJ1c2VySWQiOiIxOTA2MDI2MDgifQ==</vt:lpwstr>
  </property>
</Properties>
</file>