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CBC6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1EE3FC">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hint="eastAsia" w:ascii="Times New Roman" w:hAnsi="Times New Roman" w:eastAsia="黑体"/>
                <w:sz w:val="21"/>
                <w:szCs w:val="21"/>
              </w:rPr>
              <w:t xml:space="preserve">                                                                                                     </w:t>
            </w:r>
            <w:r>
              <w:rPr>
                <w:rFonts w:ascii="黑体" w:hAnsi="黑体" w:eastAsia="黑体"/>
                <w:sz w:val="21"/>
                <w:szCs w:val="21"/>
              </w:rPr>
              <w:t xml:space="preserve">  </w:t>
            </w:r>
          </w:p>
        </w:tc>
        <w:tc>
          <w:tcPr>
            <w:tcW w:w="8855" w:type="dxa"/>
          </w:tcPr>
          <w:p w14:paraId="67E80B39">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p>
        </w:tc>
      </w:tr>
      <w:tr w14:paraId="3908C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9500A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F0F615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624426A8">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GXAS</w:t>
                  </w:r>
                </w:p>
              </w:tc>
            </w:tr>
          </w:tbl>
          <w:p w14:paraId="5EE3F2A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fldChar w:fldCharType="end"/>
            </w:r>
            <w:bookmarkEnd w:id="1"/>
          </w:p>
        </w:tc>
      </w:tr>
    </w:tbl>
    <w:p w14:paraId="1D22C72C">
      <w:pPr>
        <w:pStyle w:val="53"/>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16A4419E">
      <w:pPr>
        <w:pStyle w:val="198"/>
      </w:pPr>
      <w:r>
        <w:t>T/</w:t>
      </w:r>
      <w:r>
        <w:rPr>
          <w:rFonts w:hint="eastAsia"/>
        </w:rPr>
        <w:t>GXAS</w:t>
      </w:r>
      <w:r>
        <w:t xml:space="preserve">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t>XXXX</w:t>
      </w:r>
      <w:r>
        <w:fldChar w:fldCharType="end"/>
      </w:r>
      <w:bookmarkEnd w:id="4"/>
    </w:p>
    <w:p w14:paraId="57DC259B">
      <w:pPr>
        <w:pStyle w:val="199"/>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1DAEE53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E3A9D0A">
      <w:pPr>
        <w:pStyle w:val="53"/>
        <w:framePr w:w="9639" w:h="6976" w:hRule="exact" w:hSpace="0" w:vSpace="0" w:wrap="around" w:hAnchor="page" w:y="6408"/>
        <w:jc w:val="center"/>
        <w:rPr>
          <w:rFonts w:ascii="黑体" w:hAnsi="黑体" w:eastAsia="黑体"/>
          <w:b w:val="0"/>
          <w:bCs w:val="0"/>
          <w:w w:val="100"/>
        </w:rPr>
      </w:pPr>
    </w:p>
    <w:p w14:paraId="030769DB">
      <w:pPr>
        <w:pStyle w:val="200"/>
        <w:framePr w:h="6974" w:hRule="exact" w:wrap="around" w:x="1419" w:anchorLock="1"/>
      </w:pPr>
      <w:r>
        <w:rPr>
          <w:rFonts w:hint="eastAsia"/>
        </w:rPr>
        <w:t>零售药店药师技能培训规范</w:t>
      </w:r>
    </w:p>
    <w:p w14:paraId="173058FE">
      <w:pPr>
        <w:framePr w:w="9639" w:h="6974" w:hRule="exact" w:wrap="around" w:vAnchor="page" w:hAnchor="page" w:x="1419" w:y="6408" w:anchorLock="1"/>
        <w:ind w:left="-1418"/>
        <w:rPr>
          <w:rFonts w:ascii="黑体" w:hAnsi="黑体" w:eastAsia="黑体"/>
        </w:rPr>
      </w:pPr>
    </w:p>
    <w:p w14:paraId="11A28B82">
      <w:pPr>
        <w:pStyle w:val="128"/>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t>Specification for skill training of pharmacist in retail pharmacy</w:t>
      </w:r>
    </w:p>
    <w:p w14:paraId="11C1437F">
      <w:pPr>
        <w:framePr w:w="9639" w:h="6974" w:hRule="exact" w:wrap="around" w:vAnchor="page" w:hAnchor="page" w:x="1419" w:y="6408" w:anchorLock="1"/>
        <w:spacing w:line="760" w:lineRule="exact"/>
        <w:ind w:left="-1418"/>
      </w:pPr>
    </w:p>
    <w:p w14:paraId="61DA7208">
      <w:pPr>
        <w:pStyle w:val="128"/>
        <w:framePr w:w="9639" w:h="6974" w:hRule="exact" w:wrap="around" w:vAnchor="page" w:hAnchor="page" w:x="1419" w:y="6408" w:anchorLock="1"/>
        <w:textAlignment w:val="bottom"/>
        <w:rPr>
          <w:rFonts w:eastAsia="黑体"/>
          <w:szCs w:val="28"/>
        </w:rPr>
      </w:pPr>
    </w:p>
    <w:p w14:paraId="612BA996">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14:paraId="52B70D94">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14:paraId="63336934">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14:paraId="2F76F112">
      <w:pPr>
        <w:pStyle w:val="196"/>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72C41153">
      <w:pPr>
        <w:pStyle w:val="197"/>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07A27265">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5"/>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CD6EE4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650BF4A">
      <w:pPr>
        <w:pStyle w:val="94"/>
        <w:spacing w:after="360"/>
        <w:rPr>
          <w:rFonts w:hint="eastAsia"/>
        </w:rPr>
      </w:pPr>
      <w:bookmarkStart w:id="16" w:name="BookMark1"/>
      <w:bookmarkStart w:id="17" w:name="_Toc196387201"/>
      <w:bookmarkStart w:id="18" w:name="_Toc196382733"/>
      <w:bookmarkStart w:id="19" w:name="_Toc12353"/>
      <w:r>
        <w:rPr>
          <w:rFonts w:hint="eastAsia"/>
          <w:spacing w:val="320"/>
        </w:rPr>
        <w:t>目</w:t>
      </w:r>
      <w:r>
        <w:rPr>
          <w:rFonts w:hint="eastAsia"/>
        </w:rPr>
        <w:t>次</w:t>
      </w:r>
    </w:p>
    <w:p w14:paraId="49C3CE74">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"_Toc211241017" </w:instrText>
      </w:r>
      <w:r>
        <w:fldChar w:fldCharType="separate"/>
      </w:r>
      <w:r>
        <w:rPr>
          <w:rStyle w:val="34"/>
        </w:rPr>
        <w:t>前言</w:t>
      </w:r>
      <w:r>
        <w:tab/>
      </w:r>
      <w:r>
        <w:fldChar w:fldCharType="begin"/>
      </w:r>
      <w:r>
        <w:instrText xml:space="preserve"> PAGEREF _Toc211241017 \h </w:instrText>
      </w:r>
      <w:r>
        <w:fldChar w:fldCharType="separate"/>
      </w:r>
      <w:r>
        <w:t>III</w:t>
      </w:r>
      <w:r>
        <w:fldChar w:fldCharType="end"/>
      </w:r>
      <w:r>
        <w:fldChar w:fldCharType="end"/>
      </w:r>
    </w:p>
    <w:p w14:paraId="6789C2A7">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"_Toc211241018" </w:instrText>
      </w:r>
      <w:r>
        <w:fldChar w:fldCharType="separate"/>
      </w:r>
      <w:r>
        <w:rPr>
          <w:rStyle w:val="34"/>
        </w:rPr>
        <w:t>1  范围</w:t>
      </w:r>
      <w:r>
        <w:tab/>
      </w:r>
      <w:r>
        <w:fldChar w:fldCharType="begin"/>
      </w:r>
      <w:r>
        <w:instrText xml:space="preserve"> PAGEREF _Toc211241018 \h </w:instrText>
      </w:r>
      <w:r>
        <w:fldChar w:fldCharType="separate"/>
      </w:r>
      <w:r>
        <w:t>1</w:t>
      </w:r>
      <w:r>
        <w:fldChar w:fldCharType="end"/>
      </w:r>
      <w:r>
        <w:fldChar w:fldCharType="end"/>
      </w:r>
    </w:p>
    <w:p w14:paraId="1F62D75D">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"_Toc211241019" </w:instrText>
      </w:r>
      <w:r>
        <w:fldChar w:fldCharType="separate"/>
      </w:r>
      <w:r>
        <w:rPr>
          <w:rStyle w:val="34"/>
        </w:rPr>
        <w:t>2  规范性引用文件</w:t>
      </w:r>
      <w:r>
        <w:tab/>
      </w:r>
      <w:r>
        <w:fldChar w:fldCharType="begin"/>
      </w:r>
      <w:r>
        <w:instrText xml:space="preserve"> PAGEREF _Toc211241019 \h </w:instrText>
      </w:r>
      <w:r>
        <w:fldChar w:fldCharType="separate"/>
      </w:r>
      <w:r>
        <w:t>1</w:t>
      </w:r>
      <w:r>
        <w:fldChar w:fldCharType="end"/>
      </w:r>
      <w:r>
        <w:fldChar w:fldCharType="end"/>
      </w:r>
    </w:p>
    <w:p w14:paraId="0B0389EA">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"_Toc211241020" </w:instrText>
      </w:r>
      <w:r>
        <w:fldChar w:fldCharType="separate"/>
      </w:r>
      <w:r>
        <w:rPr>
          <w:rStyle w:val="34"/>
        </w:rPr>
        <w:t>3  术语和定义</w:t>
      </w:r>
      <w:r>
        <w:tab/>
      </w:r>
      <w:r>
        <w:fldChar w:fldCharType="begin"/>
      </w:r>
      <w:r>
        <w:instrText xml:space="preserve"> PAGEREF _Toc211241020 \h </w:instrText>
      </w:r>
      <w:r>
        <w:fldChar w:fldCharType="separate"/>
      </w:r>
      <w:r>
        <w:t>1</w:t>
      </w:r>
      <w:r>
        <w:fldChar w:fldCharType="end"/>
      </w:r>
      <w:r>
        <w:fldChar w:fldCharType="end"/>
      </w:r>
    </w:p>
    <w:p w14:paraId="51A87AA8">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"_Toc211241021" </w:instrText>
      </w:r>
      <w:r>
        <w:fldChar w:fldCharType="separate"/>
      </w:r>
      <w:r>
        <w:rPr>
          <w:rStyle w:val="34"/>
        </w:rPr>
        <w:t>4  基本要求</w:t>
      </w:r>
      <w:r>
        <w:tab/>
      </w:r>
      <w:r>
        <w:fldChar w:fldCharType="begin"/>
      </w:r>
      <w:r>
        <w:instrText xml:space="preserve"> PAGEREF _Toc211241021 \h </w:instrText>
      </w:r>
      <w:r>
        <w:fldChar w:fldCharType="separate"/>
      </w:r>
      <w:r>
        <w:t>1</w:t>
      </w:r>
      <w:r>
        <w:fldChar w:fldCharType="end"/>
      </w:r>
      <w:r>
        <w:fldChar w:fldCharType="end"/>
      </w:r>
    </w:p>
    <w:p w14:paraId="70B13D25">
      <w:pPr>
        <w:pStyle w:val="25"/>
        <w:rPr>
          <w:rFonts w:asciiTheme="minorHAnsi" w:hAnsiTheme="minorHAnsi" w:eastAsiaTheme="minorEastAsia" w:cstheme="minorBidi"/>
          <w:szCs w:val="22"/>
        </w:rPr>
      </w:pPr>
      <w:r>
        <w:fldChar w:fldCharType="begin"/>
      </w:r>
      <w:r>
        <w:instrText xml:space="preserve"> HYPERLINK \l "_Toc211241022" </w:instrText>
      </w:r>
      <w:r>
        <w:fldChar w:fldCharType="separate"/>
      </w:r>
      <w:r>
        <w:rPr>
          <w:rStyle w:val="34"/>
          <w14:scene3d>
            <w14:lightRig w14:rig="threePt" w14:dir="t">
              <w14:rot w14:lat="0" w14:lon="0" w14:rev="0"/>
            </w14:lightRig>
          </w14:scene3d>
        </w:rPr>
        <w:t xml:space="preserve">4.1 </w:t>
      </w:r>
      <w:r>
        <w:rPr>
          <w:rStyle w:val="34"/>
        </w:rPr>
        <w:t xml:space="preserve"> 场所</w:t>
      </w:r>
      <w:r>
        <w:tab/>
      </w:r>
      <w:r>
        <w:fldChar w:fldCharType="begin"/>
      </w:r>
      <w:r>
        <w:instrText xml:space="preserve"> PAGEREF _Toc211241022 \h </w:instrText>
      </w:r>
      <w:r>
        <w:fldChar w:fldCharType="separate"/>
      </w:r>
      <w:r>
        <w:t>1</w:t>
      </w:r>
      <w:r>
        <w:fldChar w:fldCharType="end"/>
      </w:r>
      <w:r>
        <w:fldChar w:fldCharType="end"/>
      </w:r>
    </w:p>
    <w:p w14:paraId="366B3B70">
      <w:pPr>
        <w:pStyle w:val="25"/>
        <w:rPr>
          <w:rFonts w:asciiTheme="minorHAnsi" w:hAnsiTheme="minorHAnsi" w:eastAsiaTheme="minorEastAsia" w:cstheme="minorBidi"/>
          <w:szCs w:val="22"/>
        </w:rPr>
      </w:pPr>
      <w:r>
        <w:fldChar w:fldCharType="begin"/>
      </w:r>
      <w:r>
        <w:instrText xml:space="preserve"> HYPERLINK \l "_Toc211241023" </w:instrText>
      </w:r>
      <w:r>
        <w:fldChar w:fldCharType="separate"/>
      </w:r>
      <w:r>
        <w:rPr>
          <w:rStyle w:val="34"/>
          <w14:scene3d>
            <w14:lightRig w14:rig="threePt" w14:dir="t">
              <w14:rot w14:lat="0" w14:lon="0" w14:rev="0"/>
            </w14:lightRig>
          </w14:scene3d>
        </w:rPr>
        <w:t xml:space="preserve">4.2 </w:t>
      </w:r>
      <w:r>
        <w:rPr>
          <w:rStyle w:val="34"/>
        </w:rPr>
        <w:t xml:space="preserve"> 设备</w:t>
      </w:r>
      <w:r>
        <w:tab/>
      </w:r>
      <w:r>
        <w:fldChar w:fldCharType="begin"/>
      </w:r>
      <w:r>
        <w:instrText xml:space="preserve"> PAGEREF _Toc211241023 \h </w:instrText>
      </w:r>
      <w:r>
        <w:fldChar w:fldCharType="separate"/>
      </w:r>
      <w:r>
        <w:t>1</w:t>
      </w:r>
      <w:r>
        <w:fldChar w:fldCharType="end"/>
      </w:r>
      <w:r>
        <w:fldChar w:fldCharType="end"/>
      </w:r>
    </w:p>
    <w:p w14:paraId="3F98B38C">
      <w:pPr>
        <w:pStyle w:val="25"/>
        <w:rPr>
          <w:rFonts w:asciiTheme="minorHAnsi" w:hAnsiTheme="minorHAnsi" w:eastAsiaTheme="minorEastAsia" w:cstheme="minorBidi"/>
          <w:szCs w:val="22"/>
        </w:rPr>
      </w:pPr>
      <w:r>
        <w:fldChar w:fldCharType="begin"/>
      </w:r>
      <w:r>
        <w:instrText xml:space="preserve"> HYPERLINK \l "_Toc211241024" </w:instrText>
      </w:r>
      <w:r>
        <w:fldChar w:fldCharType="separate"/>
      </w:r>
      <w:r>
        <w:rPr>
          <w:rStyle w:val="34"/>
          <w14:scene3d>
            <w14:lightRig w14:rig="threePt" w14:dir="t">
              <w14:rot w14:lat="0" w14:lon="0" w14:rev="0"/>
            </w14:lightRig>
          </w14:scene3d>
        </w:rPr>
        <w:t xml:space="preserve">4.3 </w:t>
      </w:r>
      <w:r>
        <w:rPr>
          <w:rStyle w:val="34"/>
        </w:rPr>
        <w:t xml:space="preserve"> 师资基本素养</w:t>
      </w:r>
      <w:r>
        <w:tab/>
      </w:r>
      <w:r>
        <w:fldChar w:fldCharType="begin"/>
      </w:r>
      <w:r>
        <w:instrText xml:space="preserve"> PAGEREF _Toc211241024 \h </w:instrText>
      </w:r>
      <w:r>
        <w:fldChar w:fldCharType="separate"/>
      </w:r>
      <w:r>
        <w:t>1</w:t>
      </w:r>
      <w:r>
        <w:fldChar w:fldCharType="end"/>
      </w:r>
      <w:r>
        <w:fldChar w:fldCharType="end"/>
      </w:r>
    </w:p>
    <w:p w14:paraId="7C8586BB">
      <w:pPr>
        <w:pStyle w:val="25"/>
        <w:rPr>
          <w:rFonts w:asciiTheme="minorHAnsi" w:hAnsiTheme="minorHAnsi" w:eastAsiaTheme="minorEastAsia" w:cstheme="minorBidi"/>
          <w:szCs w:val="22"/>
        </w:rPr>
      </w:pPr>
      <w:r>
        <w:fldChar w:fldCharType="begin"/>
      </w:r>
      <w:r>
        <w:instrText xml:space="preserve"> HYPERLINK \l "_Toc211241025" </w:instrText>
      </w:r>
      <w:r>
        <w:fldChar w:fldCharType="separate"/>
      </w:r>
      <w:r>
        <w:rPr>
          <w:rStyle w:val="34"/>
          <w14:scene3d>
            <w14:lightRig w14:rig="threePt" w14:dir="t">
              <w14:rot w14:lat="0" w14:lon="0" w14:rev="0"/>
            </w14:lightRig>
          </w14:scene3d>
        </w:rPr>
        <w:t xml:space="preserve">4.4 </w:t>
      </w:r>
      <w:r>
        <w:rPr>
          <w:rStyle w:val="34"/>
        </w:rPr>
        <w:t xml:space="preserve"> 教学资源</w:t>
      </w:r>
      <w:r>
        <w:tab/>
      </w:r>
      <w:r>
        <w:fldChar w:fldCharType="begin"/>
      </w:r>
      <w:r>
        <w:instrText xml:space="preserve"> PAGEREF _Toc211241025 \h </w:instrText>
      </w:r>
      <w:r>
        <w:fldChar w:fldCharType="separate"/>
      </w:r>
      <w:r>
        <w:t>2</w:t>
      </w:r>
      <w:r>
        <w:fldChar w:fldCharType="end"/>
      </w:r>
      <w:r>
        <w:fldChar w:fldCharType="end"/>
      </w:r>
    </w:p>
    <w:p w14:paraId="63FA7067">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"_Toc211241026" </w:instrText>
      </w:r>
      <w:r>
        <w:fldChar w:fldCharType="separate"/>
      </w:r>
      <w:r>
        <w:rPr>
          <w:rStyle w:val="34"/>
        </w:rPr>
        <w:t>5  培训目标</w:t>
      </w:r>
      <w:r>
        <w:tab/>
      </w:r>
      <w:r>
        <w:fldChar w:fldCharType="begin"/>
      </w:r>
      <w:r>
        <w:instrText xml:space="preserve"> PAGEREF _Toc211241026 \h </w:instrText>
      </w:r>
      <w:r>
        <w:fldChar w:fldCharType="separate"/>
      </w:r>
      <w:r>
        <w:t>2</w:t>
      </w:r>
      <w:r>
        <w:fldChar w:fldCharType="end"/>
      </w:r>
      <w:r>
        <w:fldChar w:fldCharType="end"/>
      </w:r>
    </w:p>
    <w:p w14:paraId="4DAAD38E">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"_Toc211241027" </w:instrText>
      </w:r>
      <w:r>
        <w:fldChar w:fldCharType="separate"/>
      </w:r>
      <w:r>
        <w:rPr>
          <w:rStyle w:val="34"/>
        </w:rPr>
        <w:t>6  培训内容</w:t>
      </w:r>
      <w:r>
        <w:tab/>
      </w:r>
      <w:r>
        <w:fldChar w:fldCharType="begin"/>
      </w:r>
      <w:r>
        <w:instrText xml:space="preserve"> PAGEREF _Toc211241027 \h </w:instrText>
      </w:r>
      <w:r>
        <w:fldChar w:fldCharType="separate"/>
      </w:r>
      <w:r>
        <w:t>2</w:t>
      </w:r>
      <w:r>
        <w:fldChar w:fldCharType="end"/>
      </w:r>
      <w:r>
        <w:fldChar w:fldCharType="end"/>
      </w:r>
    </w:p>
    <w:p w14:paraId="2EE0E994">
      <w:pPr>
        <w:pStyle w:val="25"/>
        <w:rPr>
          <w:rFonts w:asciiTheme="minorHAnsi" w:hAnsiTheme="minorHAnsi" w:eastAsiaTheme="minorEastAsia" w:cstheme="minorBidi"/>
          <w:szCs w:val="22"/>
        </w:rPr>
      </w:pPr>
      <w:r>
        <w:fldChar w:fldCharType="begin"/>
      </w:r>
      <w:r>
        <w:instrText xml:space="preserve"> HYPERLINK \l "_Toc211241028" </w:instrText>
      </w:r>
      <w:r>
        <w:fldChar w:fldCharType="separate"/>
      </w:r>
      <w:r>
        <w:rPr>
          <w:rStyle w:val="34"/>
          <w14:scene3d>
            <w14:lightRig w14:rig="threePt" w14:dir="t">
              <w14:rot w14:lat="0" w14:lon="0" w14:rev="0"/>
            </w14:lightRig>
          </w14:scene3d>
        </w:rPr>
        <w:t xml:space="preserve">6.1 </w:t>
      </w:r>
      <w:r>
        <w:rPr>
          <w:rStyle w:val="34"/>
        </w:rPr>
        <w:t xml:space="preserve"> 理论知识</w:t>
      </w:r>
      <w:r>
        <w:tab/>
      </w:r>
      <w:r>
        <w:fldChar w:fldCharType="begin"/>
      </w:r>
      <w:r>
        <w:instrText xml:space="preserve"> PAGEREF _Toc211241028 \h </w:instrText>
      </w:r>
      <w:r>
        <w:fldChar w:fldCharType="separate"/>
      </w:r>
      <w:r>
        <w:t>2</w:t>
      </w:r>
      <w:r>
        <w:fldChar w:fldCharType="end"/>
      </w:r>
      <w:r>
        <w:fldChar w:fldCharType="end"/>
      </w:r>
    </w:p>
    <w:p w14:paraId="5F4B28E3">
      <w:pPr>
        <w:pStyle w:val="25"/>
        <w:rPr>
          <w:rFonts w:asciiTheme="minorHAnsi" w:hAnsiTheme="minorHAnsi" w:eastAsiaTheme="minorEastAsia" w:cstheme="minorBidi"/>
          <w:szCs w:val="22"/>
        </w:rPr>
      </w:pPr>
      <w:r>
        <w:fldChar w:fldCharType="begin"/>
      </w:r>
      <w:r>
        <w:instrText xml:space="preserve"> HYPERLINK \l "_Toc211241029" </w:instrText>
      </w:r>
      <w:r>
        <w:fldChar w:fldCharType="separate"/>
      </w:r>
      <w:r>
        <w:rPr>
          <w:rStyle w:val="34"/>
          <w14:scene3d>
            <w14:lightRig w14:rig="threePt" w14:dir="t">
              <w14:rot w14:lat="0" w14:lon="0" w14:rev="0"/>
            </w14:lightRig>
          </w14:scene3d>
        </w:rPr>
        <w:t xml:space="preserve">6.2 </w:t>
      </w:r>
      <w:r>
        <w:rPr>
          <w:rStyle w:val="34"/>
        </w:rPr>
        <w:t xml:space="preserve"> 职业素养</w:t>
      </w:r>
      <w:r>
        <w:tab/>
      </w:r>
      <w:r>
        <w:fldChar w:fldCharType="begin"/>
      </w:r>
      <w:r>
        <w:instrText xml:space="preserve"> PAGEREF _Toc211241029 \h </w:instrText>
      </w:r>
      <w:r>
        <w:fldChar w:fldCharType="separate"/>
      </w:r>
      <w:r>
        <w:t>2</w:t>
      </w:r>
      <w:r>
        <w:fldChar w:fldCharType="end"/>
      </w:r>
      <w:r>
        <w:fldChar w:fldCharType="end"/>
      </w:r>
    </w:p>
    <w:p w14:paraId="0BD0DF5F">
      <w:pPr>
        <w:pStyle w:val="25"/>
        <w:rPr>
          <w:rFonts w:asciiTheme="minorHAnsi" w:hAnsiTheme="minorHAnsi" w:eastAsiaTheme="minorEastAsia" w:cstheme="minorBidi"/>
          <w:szCs w:val="22"/>
        </w:rPr>
      </w:pPr>
      <w:r>
        <w:fldChar w:fldCharType="begin"/>
      </w:r>
      <w:r>
        <w:instrText xml:space="preserve"> HYPERLINK \l "_Toc211241030" </w:instrText>
      </w:r>
      <w:r>
        <w:fldChar w:fldCharType="separate"/>
      </w:r>
      <w:r>
        <w:rPr>
          <w:rStyle w:val="34"/>
          <w14:scene3d>
            <w14:lightRig w14:rig="threePt" w14:dir="t">
              <w14:rot w14:lat="0" w14:lon="0" w14:rev="0"/>
            </w14:lightRig>
          </w14:scene3d>
        </w:rPr>
        <w:t xml:space="preserve">6.3 </w:t>
      </w:r>
      <w:r>
        <w:rPr>
          <w:rStyle w:val="34"/>
        </w:rPr>
        <w:t xml:space="preserve"> 药学服务实操</w:t>
      </w:r>
      <w:r>
        <w:tab/>
      </w:r>
      <w:r>
        <w:fldChar w:fldCharType="begin"/>
      </w:r>
      <w:r>
        <w:instrText xml:space="preserve"> PAGEREF _Toc211241030 \h </w:instrText>
      </w:r>
      <w:r>
        <w:fldChar w:fldCharType="separate"/>
      </w:r>
      <w:r>
        <w:t>2</w:t>
      </w:r>
      <w:r>
        <w:fldChar w:fldCharType="end"/>
      </w:r>
      <w:r>
        <w:fldChar w:fldCharType="end"/>
      </w:r>
    </w:p>
    <w:p w14:paraId="3CCFE022">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"_Toc211241031" </w:instrText>
      </w:r>
      <w:r>
        <w:fldChar w:fldCharType="separate"/>
      </w:r>
      <w:r>
        <w:rPr>
          <w:rStyle w:val="34"/>
        </w:rPr>
        <w:t>7  培训要求</w:t>
      </w:r>
      <w:r>
        <w:tab/>
      </w:r>
      <w:r>
        <w:fldChar w:fldCharType="begin"/>
      </w:r>
      <w:r>
        <w:instrText xml:space="preserve"> PAGEREF _Toc211241031 \h </w:instrText>
      </w:r>
      <w:r>
        <w:fldChar w:fldCharType="separate"/>
      </w:r>
      <w:r>
        <w:t>3</w:t>
      </w:r>
      <w:r>
        <w:fldChar w:fldCharType="end"/>
      </w:r>
      <w:r>
        <w:fldChar w:fldCharType="end"/>
      </w:r>
    </w:p>
    <w:p w14:paraId="7019F38F">
      <w:pPr>
        <w:pStyle w:val="25"/>
        <w:rPr>
          <w:rFonts w:asciiTheme="minorHAnsi" w:hAnsiTheme="minorHAnsi" w:eastAsiaTheme="minorEastAsia" w:cstheme="minorBidi"/>
          <w:szCs w:val="22"/>
        </w:rPr>
      </w:pPr>
      <w:r>
        <w:fldChar w:fldCharType="begin"/>
      </w:r>
      <w:r>
        <w:instrText xml:space="preserve"> HYPERLINK \l "_Toc211241032" </w:instrText>
      </w:r>
      <w:r>
        <w:fldChar w:fldCharType="separate"/>
      </w:r>
      <w:r>
        <w:rPr>
          <w:rStyle w:val="34"/>
          <w14:scene3d>
            <w14:lightRig w14:rig="threePt" w14:dir="t">
              <w14:rot w14:lat="0" w14:lon="0" w14:rev="0"/>
            </w14:lightRig>
          </w14:scene3d>
        </w:rPr>
        <w:t xml:space="preserve">7.1 </w:t>
      </w:r>
      <w:r>
        <w:rPr>
          <w:rStyle w:val="34"/>
        </w:rPr>
        <w:t xml:space="preserve"> 培训前准备</w:t>
      </w:r>
      <w:r>
        <w:tab/>
      </w:r>
      <w:r>
        <w:fldChar w:fldCharType="begin"/>
      </w:r>
      <w:r>
        <w:instrText xml:space="preserve"> PAGEREF _Toc211241032 \h </w:instrText>
      </w:r>
      <w:r>
        <w:fldChar w:fldCharType="separate"/>
      </w:r>
      <w:r>
        <w:t>3</w:t>
      </w:r>
      <w:r>
        <w:fldChar w:fldCharType="end"/>
      </w:r>
      <w:r>
        <w:fldChar w:fldCharType="end"/>
      </w:r>
    </w:p>
    <w:p w14:paraId="12DD87D9">
      <w:pPr>
        <w:pStyle w:val="25"/>
        <w:rPr>
          <w:rFonts w:asciiTheme="minorHAnsi" w:hAnsiTheme="minorHAnsi" w:eastAsiaTheme="minorEastAsia" w:cstheme="minorBidi"/>
          <w:szCs w:val="22"/>
        </w:rPr>
      </w:pPr>
      <w:r>
        <w:fldChar w:fldCharType="begin"/>
      </w:r>
      <w:r>
        <w:instrText xml:space="preserve"> HYPERLINK \l "_Toc211241033" </w:instrText>
      </w:r>
      <w:r>
        <w:fldChar w:fldCharType="separate"/>
      </w:r>
      <w:r>
        <w:rPr>
          <w:rStyle w:val="34"/>
          <w14:scene3d>
            <w14:lightRig w14:rig="threePt" w14:dir="t">
              <w14:rot w14:lat="0" w14:lon="0" w14:rev="0"/>
            </w14:lightRig>
          </w14:scene3d>
        </w:rPr>
        <w:t xml:space="preserve">7.2 </w:t>
      </w:r>
      <w:r>
        <w:rPr>
          <w:rStyle w:val="34"/>
        </w:rPr>
        <w:t xml:space="preserve"> 培训实施</w:t>
      </w:r>
      <w:r>
        <w:tab/>
      </w:r>
      <w:r>
        <w:fldChar w:fldCharType="begin"/>
      </w:r>
      <w:r>
        <w:instrText xml:space="preserve"> PAGEREF _Toc211241033 \h </w:instrText>
      </w:r>
      <w:r>
        <w:fldChar w:fldCharType="separate"/>
      </w:r>
      <w:r>
        <w:t>3</w:t>
      </w:r>
      <w:r>
        <w:fldChar w:fldCharType="end"/>
      </w:r>
      <w:r>
        <w:fldChar w:fldCharType="end"/>
      </w:r>
    </w:p>
    <w:p w14:paraId="082F875A">
      <w:pPr>
        <w:pStyle w:val="25"/>
        <w:rPr>
          <w:rFonts w:asciiTheme="minorHAnsi" w:hAnsiTheme="minorHAnsi" w:eastAsiaTheme="minorEastAsia" w:cstheme="minorBidi"/>
          <w:szCs w:val="22"/>
        </w:rPr>
      </w:pPr>
      <w:r>
        <w:fldChar w:fldCharType="begin"/>
      </w:r>
      <w:r>
        <w:instrText xml:space="preserve"> HYPERLINK \l "_Toc211241034" </w:instrText>
      </w:r>
      <w:r>
        <w:fldChar w:fldCharType="separate"/>
      </w:r>
      <w:r>
        <w:rPr>
          <w:rStyle w:val="34"/>
          <w14:scene3d>
            <w14:lightRig w14:rig="threePt" w14:dir="t">
              <w14:rot w14:lat="0" w14:lon="0" w14:rev="0"/>
            </w14:lightRig>
          </w14:scene3d>
        </w:rPr>
        <w:t xml:space="preserve">7.3 </w:t>
      </w:r>
      <w:r>
        <w:rPr>
          <w:rStyle w:val="34"/>
        </w:rPr>
        <w:t xml:space="preserve"> 培训考评</w:t>
      </w:r>
      <w:r>
        <w:tab/>
      </w:r>
      <w:r>
        <w:fldChar w:fldCharType="begin"/>
      </w:r>
      <w:r>
        <w:instrText xml:space="preserve"> PAGEREF _Toc211241034 \h </w:instrText>
      </w:r>
      <w:r>
        <w:fldChar w:fldCharType="separate"/>
      </w:r>
      <w:r>
        <w:t>3</w:t>
      </w:r>
      <w:r>
        <w:fldChar w:fldCharType="end"/>
      </w:r>
      <w:r>
        <w:fldChar w:fldCharType="end"/>
      </w:r>
    </w:p>
    <w:p w14:paraId="777487AC">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"_Toc211241035" </w:instrText>
      </w:r>
      <w:r>
        <w:fldChar w:fldCharType="separate"/>
      </w:r>
      <w:r>
        <w:rPr>
          <w:rStyle w:val="34"/>
        </w:rPr>
        <w:t>8  评价与改进</w:t>
      </w:r>
      <w:r>
        <w:tab/>
      </w:r>
      <w:r>
        <w:fldChar w:fldCharType="begin"/>
      </w:r>
      <w:r>
        <w:instrText xml:space="preserve"> PAGEREF _Toc211241035 \h </w:instrText>
      </w:r>
      <w:r>
        <w:fldChar w:fldCharType="separate"/>
      </w:r>
      <w:r>
        <w:t>3</w:t>
      </w:r>
      <w:r>
        <w:fldChar w:fldCharType="end"/>
      </w:r>
      <w:r>
        <w:fldChar w:fldCharType="end"/>
      </w:r>
    </w:p>
    <w:p w14:paraId="7FA522C4">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"_Toc211241036" </w:instrText>
      </w:r>
      <w:r>
        <w:fldChar w:fldCharType="separate"/>
      </w:r>
      <w:r>
        <w:rPr>
          <w:rStyle w:val="34"/>
        </w:rPr>
        <w:t>9  档案管理</w:t>
      </w:r>
      <w:r>
        <w:tab/>
      </w:r>
      <w:r>
        <w:fldChar w:fldCharType="begin"/>
      </w:r>
      <w:r>
        <w:instrText xml:space="preserve"> PAGEREF _Toc211241036 \h </w:instrText>
      </w:r>
      <w:r>
        <w:fldChar w:fldCharType="separate"/>
      </w:r>
      <w:r>
        <w:t>3</w:t>
      </w:r>
      <w:r>
        <w:fldChar w:fldCharType="end"/>
      </w:r>
      <w:r>
        <w:fldChar w:fldCharType="end"/>
      </w:r>
    </w:p>
    <w:p w14:paraId="08863FE3">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"_Toc211241037" </w:instrText>
      </w:r>
      <w:r>
        <w:fldChar w:fldCharType="separate"/>
      </w:r>
      <w:r>
        <w:rPr>
          <w:rStyle w:val="34"/>
        </w:rPr>
        <w:t>附录A（资料性）  合规管理服务人员要求</w:t>
      </w:r>
      <w:r>
        <w:tab/>
      </w:r>
      <w:r>
        <w:fldChar w:fldCharType="begin"/>
      </w:r>
      <w:r>
        <w:instrText xml:space="preserve"> PAGEREF _Toc211241037 \h </w:instrText>
      </w:r>
      <w:r>
        <w:fldChar w:fldCharType="separate"/>
      </w:r>
      <w:r>
        <w:t>4</w:t>
      </w:r>
      <w:r>
        <w:fldChar w:fldCharType="end"/>
      </w:r>
      <w:r>
        <w:fldChar w:fldCharType="end"/>
      </w:r>
    </w:p>
    <w:p w14:paraId="34812049">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"_Toc211241038" </w:instrText>
      </w:r>
      <w:r>
        <w:fldChar w:fldCharType="separate"/>
      </w:r>
      <w:r>
        <w:rPr>
          <w:rStyle w:val="34"/>
        </w:rPr>
        <w:t>附录B（资料性）  职业素养服务人员要求</w:t>
      </w:r>
      <w:r>
        <w:tab/>
      </w:r>
      <w:r>
        <w:fldChar w:fldCharType="begin"/>
      </w:r>
      <w:r>
        <w:instrText xml:space="preserve"> PAGEREF _Toc211241038 \h </w:instrText>
      </w:r>
      <w:r>
        <w:fldChar w:fldCharType="separate"/>
      </w:r>
      <w:r>
        <w:t>0</w:t>
      </w:r>
      <w:r>
        <w:fldChar w:fldCharType="end"/>
      </w:r>
      <w:r>
        <w:fldChar w:fldCharType="end"/>
      </w:r>
    </w:p>
    <w:p w14:paraId="78341F1B">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"_Toc211241039" </w:instrText>
      </w:r>
      <w:r>
        <w:fldChar w:fldCharType="separate"/>
      </w:r>
      <w:r>
        <w:rPr>
          <w:rStyle w:val="34"/>
        </w:rPr>
        <w:t>附录C（资料性）  药品管理服务人员要求</w:t>
      </w:r>
      <w:r>
        <w:tab/>
      </w:r>
      <w:r>
        <w:fldChar w:fldCharType="begin"/>
      </w:r>
      <w:r>
        <w:instrText xml:space="preserve"> PAGEREF _Toc211241039 \h </w:instrText>
      </w:r>
      <w:r>
        <w:fldChar w:fldCharType="separate"/>
      </w:r>
      <w:r>
        <w:t>0</w:t>
      </w:r>
      <w:r>
        <w:fldChar w:fldCharType="end"/>
      </w:r>
      <w:r>
        <w:fldChar w:fldCharType="end"/>
      </w:r>
    </w:p>
    <w:p w14:paraId="2DB9E33E">
      <w:pPr>
        <w:pStyle w:val="25"/>
        <w:rPr>
          <w:rFonts w:asciiTheme="minorHAnsi" w:hAnsiTheme="minorHAnsi" w:eastAsiaTheme="minorEastAsia" w:cstheme="minorBidi"/>
          <w:szCs w:val="22"/>
        </w:rPr>
      </w:pPr>
      <w:r>
        <w:fldChar w:fldCharType="begin"/>
      </w:r>
      <w:r>
        <w:instrText xml:space="preserve"> HYPERLINK \l "_Toc211241040" </w:instrText>
      </w:r>
      <w:r>
        <w:fldChar w:fldCharType="separate"/>
      </w:r>
      <w:r>
        <w:rPr>
          <w:rStyle w:val="34"/>
        </w:rPr>
        <w:t>C.1  采购与验收</w:t>
      </w:r>
      <w:r>
        <w:tab/>
      </w:r>
      <w:r>
        <w:fldChar w:fldCharType="begin"/>
      </w:r>
      <w:r>
        <w:instrText xml:space="preserve"> PAGEREF _Toc211241040 \h </w:instrText>
      </w:r>
      <w:r>
        <w:fldChar w:fldCharType="separate"/>
      </w:r>
      <w:r>
        <w:t>0</w:t>
      </w:r>
      <w:r>
        <w:fldChar w:fldCharType="end"/>
      </w:r>
      <w:r>
        <w:fldChar w:fldCharType="end"/>
      </w:r>
    </w:p>
    <w:p w14:paraId="13493AD3">
      <w:pPr>
        <w:pStyle w:val="25"/>
        <w:rPr>
          <w:rFonts w:asciiTheme="minorHAnsi" w:hAnsiTheme="minorHAnsi" w:eastAsiaTheme="minorEastAsia" w:cstheme="minorBidi"/>
          <w:szCs w:val="22"/>
        </w:rPr>
      </w:pPr>
      <w:r>
        <w:fldChar w:fldCharType="begin"/>
      </w:r>
      <w:r>
        <w:instrText xml:space="preserve"> HYPERLINK \l "_Toc211241041" </w:instrText>
      </w:r>
      <w:r>
        <w:fldChar w:fldCharType="separate"/>
      </w:r>
      <w:r>
        <w:rPr>
          <w:rStyle w:val="34"/>
        </w:rPr>
        <w:t>C.2  陈列与储存</w:t>
      </w:r>
      <w:r>
        <w:tab/>
      </w:r>
      <w:r>
        <w:fldChar w:fldCharType="begin"/>
      </w:r>
      <w:r>
        <w:instrText xml:space="preserve"> PAGEREF _Toc211241041 \h </w:instrText>
      </w:r>
      <w:r>
        <w:fldChar w:fldCharType="separate"/>
      </w:r>
      <w:r>
        <w:t>0</w:t>
      </w:r>
      <w:r>
        <w:fldChar w:fldCharType="end"/>
      </w:r>
      <w:r>
        <w:fldChar w:fldCharType="end"/>
      </w:r>
    </w:p>
    <w:p w14:paraId="6B56CDAF">
      <w:pPr>
        <w:pStyle w:val="25"/>
        <w:rPr>
          <w:rFonts w:asciiTheme="minorHAnsi" w:hAnsiTheme="minorHAnsi" w:eastAsiaTheme="minorEastAsia" w:cstheme="minorBidi"/>
          <w:szCs w:val="22"/>
        </w:rPr>
      </w:pPr>
      <w:r>
        <w:fldChar w:fldCharType="begin"/>
      </w:r>
      <w:r>
        <w:instrText xml:space="preserve"> HYPERLINK \l "_Toc211241042" </w:instrText>
      </w:r>
      <w:r>
        <w:fldChar w:fldCharType="separate"/>
      </w:r>
      <w:r>
        <w:rPr>
          <w:rStyle w:val="34"/>
        </w:rPr>
        <w:t>C.3  冷链药品管理</w:t>
      </w:r>
      <w:r>
        <w:tab/>
      </w:r>
      <w:r>
        <w:fldChar w:fldCharType="begin"/>
      </w:r>
      <w:r>
        <w:instrText xml:space="preserve"> PAGEREF _Toc211241042 \h </w:instrText>
      </w:r>
      <w:r>
        <w:fldChar w:fldCharType="separate"/>
      </w:r>
      <w:r>
        <w:t>0</w:t>
      </w:r>
      <w:r>
        <w:fldChar w:fldCharType="end"/>
      </w:r>
      <w:r>
        <w:fldChar w:fldCharType="end"/>
      </w:r>
    </w:p>
    <w:p w14:paraId="4ED89FB1">
      <w:pPr>
        <w:pStyle w:val="25"/>
        <w:rPr>
          <w:rFonts w:asciiTheme="minorHAnsi" w:hAnsiTheme="minorHAnsi" w:eastAsiaTheme="minorEastAsia" w:cstheme="minorBidi"/>
          <w:szCs w:val="22"/>
        </w:rPr>
      </w:pPr>
      <w:r>
        <w:fldChar w:fldCharType="begin"/>
      </w:r>
      <w:r>
        <w:instrText xml:space="preserve"> HYPERLINK \l "_Toc211241043" </w:instrText>
      </w:r>
      <w:r>
        <w:fldChar w:fldCharType="separate"/>
      </w:r>
      <w:r>
        <w:rPr>
          <w:rStyle w:val="34"/>
        </w:rPr>
        <w:t>C.4  药品销售</w:t>
      </w:r>
      <w:r>
        <w:tab/>
      </w:r>
      <w:r>
        <w:fldChar w:fldCharType="begin"/>
      </w:r>
      <w:r>
        <w:instrText xml:space="preserve"> PAGEREF _Toc211241043 \h </w:instrText>
      </w:r>
      <w:r>
        <w:fldChar w:fldCharType="separate"/>
      </w:r>
      <w:r>
        <w:t>0</w:t>
      </w:r>
      <w:r>
        <w:fldChar w:fldCharType="end"/>
      </w:r>
      <w:r>
        <w:fldChar w:fldCharType="end"/>
      </w:r>
    </w:p>
    <w:p w14:paraId="7CEA36B3">
      <w:pPr>
        <w:pStyle w:val="25"/>
        <w:rPr>
          <w:rFonts w:asciiTheme="minorHAnsi" w:hAnsiTheme="minorHAnsi" w:eastAsiaTheme="minorEastAsia" w:cstheme="minorBidi"/>
          <w:szCs w:val="22"/>
        </w:rPr>
      </w:pPr>
      <w:r>
        <w:fldChar w:fldCharType="begin"/>
      </w:r>
      <w:r>
        <w:instrText xml:space="preserve"> HYPERLINK \l "_Toc211241044" </w:instrText>
      </w:r>
      <w:r>
        <w:fldChar w:fldCharType="separate"/>
      </w:r>
      <w:r>
        <w:rPr>
          <w:rStyle w:val="34"/>
        </w:rPr>
        <w:t>C.5  医保及商保政策</w:t>
      </w:r>
      <w:r>
        <w:tab/>
      </w:r>
      <w:r>
        <w:fldChar w:fldCharType="begin"/>
      </w:r>
      <w:r>
        <w:instrText xml:space="preserve"> PAGEREF _Toc211241044 \h </w:instrText>
      </w:r>
      <w:r>
        <w:fldChar w:fldCharType="separate"/>
      </w:r>
      <w:r>
        <w:t>0</w:t>
      </w:r>
      <w:r>
        <w:fldChar w:fldCharType="end"/>
      </w:r>
      <w:r>
        <w:fldChar w:fldCharType="end"/>
      </w:r>
    </w:p>
    <w:p w14:paraId="1C5B5274">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"_Toc211241045" </w:instrText>
      </w:r>
      <w:r>
        <w:fldChar w:fldCharType="separate"/>
      </w:r>
      <w:r>
        <w:rPr>
          <w:rStyle w:val="34"/>
        </w:rPr>
        <w:t>附录D（资料性）  应急处理</w:t>
      </w:r>
      <w:r>
        <w:tab/>
      </w:r>
      <w:r>
        <w:fldChar w:fldCharType="begin"/>
      </w:r>
      <w:r>
        <w:instrText xml:space="preserve"> PAGEREF _Toc211241045 \h </w:instrText>
      </w:r>
      <w:r>
        <w:fldChar w:fldCharType="separate"/>
      </w:r>
      <w:r>
        <w:t>1</w:t>
      </w:r>
      <w:r>
        <w:fldChar w:fldCharType="end"/>
      </w:r>
      <w:r>
        <w:fldChar w:fldCharType="end"/>
      </w:r>
    </w:p>
    <w:p w14:paraId="2F3D746E">
      <w:pPr>
        <w:pStyle w:val="25"/>
        <w:rPr>
          <w:rFonts w:asciiTheme="minorHAnsi" w:hAnsiTheme="minorHAnsi" w:eastAsiaTheme="minorEastAsia" w:cstheme="minorBidi"/>
          <w:szCs w:val="22"/>
        </w:rPr>
      </w:pPr>
      <w:r>
        <w:fldChar w:fldCharType="begin"/>
      </w:r>
      <w:r>
        <w:instrText xml:space="preserve"> HYPERLINK \l "_Toc211241046" </w:instrText>
      </w:r>
      <w:r>
        <w:fldChar w:fldCharType="separate"/>
      </w:r>
      <w:r>
        <w:rPr>
          <w:rStyle w:val="34"/>
        </w:rPr>
        <w:t>D.1  药物不良反应</w:t>
      </w:r>
      <w:r>
        <w:tab/>
      </w:r>
      <w:r>
        <w:fldChar w:fldCharType="begin"/>
      </w:r>
      <w:r>
        <w:instrText xml:space="preserve"> PAGEREF _Toc211241046 \h </w:instrText>
      </w:r>
      <w:r>
        <w:fldChar w:fldCharType="separate"/>
      </w:r>
      <w:r>
        <w:t>1</w:t>
      </w:r>
      <w:r>
        <w:fldChar w:fldCharType="end"/>
      </w:r>
      <w:r>
        <w:fldChar w:fldCharType="end"/>
      </w:r>
    </w:p>
    <w:p w14:paraId="6FC51943">
      <w:pPr>
        <w:pStyle w:val="25"/>
        <w:rPr>
          <w:rFonts w:asciiTheme="minorHAnsi" w:hAnsiTheme="minorHAnsi" w:eastAsiaTheme="minorEastAsia" w:cstheme="minorBidi"/>
          <w:szCs w:val="22"/>
        </w:rPr>
      </w:pPr>
      <w:r>
        <w:fldChar w:fldCharType="begin"/>
      </w:r>
      <w:r>
        <w:instrText xml:space="preserve"> HYPERLINK \l "_Toc211241047" </w:instrText>
      </w:r>
      <w:r>
        <w:fldChar w:fldCharType="separate"/>
      </w:r>
      <w:r>
        <w:rPr>
          <w:rStyle w:val="34"/>
        </w:rPr>
        <w:t>D.2  突发疾病</w:t>
      </w:r>
      <w:r>
        <w:tab/>
      </w:r>
      <w:r>
        <w:fldChar w:fldCharType="begin"/>
      </w:r>
      <w:r>
        <w:instrText xml:space="preserve"> PAGEREF _Toc211241047 \h </w:instrText>
      </w:r>
      <w:r>
        <w:fldChar w:fldCharType="separate"/>
      </w:r>
      <w:r>
        <w:t>1</w:t>
      </w:r>
      <w:r>
        <w:fldChar w:fldCharType="end"/>
      </w:r>
      <w:r>
        <w:fldChar w:fldCharType="end"/>
      </w:r>
    </w:p>
    <w:p w14:paraId="6ED75873">
      <w:pPr>
        <w:pStyle w:val="25"/>
        <w:rPr>
          <w:rFonts w:asciiTheme="minorHAnsi" w:hAnsiTheme="minorHAnsi" w:eastAsiaTheme="minorEastAsia" w:cstheme="minorBidi"/>
          <w:szCs w:val="22"/>
        </w:rPr>
      </w:pPr>
      <w:r>
        <w:fldChar w:fldCharType="begin"/>
      </w:r>
      <w:r>
        <w:instrText xml:space="preserve"> HYPERLINK \l "_Toc211241048" </w:instrText>
      </w:r>
      <w:r>
        <w:fldChar w:fldCharType="separate"/>
      </w:r>
      <w:r>
        <w:rPr>
          <w:rStyle w:val="34"/>
        </w:rPr>
        <w:t>D.3  外伤应急</w:t>
      </w:r>
      <w:r>
        <w:tab/>
      </w:r>
      <w:r>
        <w:fldChar w:fldCharType="begin"/>
      </w:r>
      <w:r>
        <w:instrText xml:space="preserve"> PAGEREF _Toc211241048 \h </w:instrText>
      </w:r>
      <w:r>
        <w:fldChar w:fldCharType="separate"/>
      </w:r>
      <w:r>
        <w:t>1</w:t>
      </w:r>
      <w:r>
        <w:fldChar w:fldCharType="end"/>
      </w:r>
      <w:r>
        <w:fldChar w:fldCharType="end"/>
      </w:r>
    </w:p>
    <w:p w14:paraId="736DCB84">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"_Toc211241049" </w:instrText>
      </w:r>
      <w:r>
        <w:fldChar w:fldCharType="separate"/>
      </w:r>
      <w:r>
        <w:rPr>
          <w:rStyle w:val="34"/>
        </w:rPr>
        <w:t>附录E（资料性）  顾客关系管理</w:t>
      </w:r>
      <w:r>
        <w:tab/>
      </w:r>
      <w:r>
        <w:fldChar w:fldCharType="begin"/>
      </w:r>
      <w:r>
        <w:instrText xml:space="preserve"> PAGEREF _Toc211241049 \h </w:instrText>
      </w:r>
      <w:r>
        <w:fldChar w:fldCharType="separate"/>
      </w:r>
      <w:r>
        <w:t>2</w:t>
      </w:r>
      <w:r>
        <w:fldChar w:fldCharType="end"/>
      </w:r>
      <w:r>
        <w:fldChar w:fldCharType="end"/>
      </w:r>
    </w:p>
    <w:p w14:paraId="14881B2A">
      <w:pPr>
        <w:pStyle w:val="25"/>
        <w:rPr>
          <w:rFonts w:asciiTheme="minorHAnsi" w:hAnsiTheme="minorHAnsi" w:eastAsiaTheme="minorEastAsia" w:cstheme="minorBidi"/>
          <w:szCs w:val="22"/>
        </w:rPr>
      </w:pPr>
      <w:r>
        <w:fldChar w:fldCharType="begin"/>
      </w:r>
      <w:r>
        <w:instrText xml:space="preserve"> HYPERLINK \l "_Toc211241050" </w:instrText>
      </w:r>
      <w:r>
        <w:fldChar w:fldCharType="separate"/>
      </w:r>
      <w:r>
        <w:rPr>
          <w:rStyle w:val="34"/>
        </w:rPr>
        <w:t>E.1  顾客投诉事件处理</w:t>
      </w:r>
      <w:r>
        <w:tab/>
      </w:r>
      <w:r>
        <w:fldChar w:fldCharType="begin"/>
      </w:r>
      <w:r>
        <w:instrText xml:space="preserve"> PAGEREF _Toc211241050 \h </w:instrText>
      </w:r>
      <w:r>
        <w:fldChar w:fldCharType="separate"/>
      </w:r>
      <w:r>
        <w:t>2</w:t>
      </w:r>
      <w:r>
        <w:fldChar w:fldCharType="end"/>
      </w:r>
      <w:r>
        <w:fldChar w:fldCharType="end"/>
      </w:r>
    </w:p>
    <w:p w14:paraId="0B7ECB08">
      <w:pPr>
        <w:pStyle w:val="25"/>
        <w:rPr>
          <w:rFonts w:asciiTheme="minorHAnsi" w:hAnsiTheme="minorHAnsi" w:eastAsiaTheme="minorEastAsia" w:cstheme="minorBidi"/>
          <w:szCs w:val="22"/>
        </w:rPr>
      </w:pPr>
      <w:r>
        <w:fldChar w:fldCharType="begin"/>
      </w:r>
      <w:r>
        <w:instrText xml:space="preserve"> HYPERLINK \l "_Toc211241051" </w:instrText>
      </w:r>
      <w:r>
        <w:fldChar w:fldCharType="separate"/>
      </w:r>
      <w:r>
        <w:rPr>
          <w:rStyle w:val="34"/>
        </w:rPr>
        <w:t>E.2  顾客争吵事件处理</w:t>
      </w:r>
      <w:r>
        <w:tab/>
      </w:r>
      <w:r>
        <w:fldChar w:fldCharType="begin"/>
      </w:r>
      <w:r>
        <w:instrText xml:space="preserve"> PAGEREF _Toc211241051 \h </w:instrText>
      </w:r>
      <w:r>
        <w:fldChar w:fldCharType="separate"/>
      </w:r>
      <w:r>
        <w:t>2</w:t>
      </w:r>
      <w:r>
        <w:fldChar w:fldCharType="end"/>
      </w:r>
      <w:r>
        <w:fldChar w:fldCharType="end"/>
      </w:r>
    </w:p>
    <w:p w14:paraId="628540B3">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"_Toc211241052" </w:instrText>
      </w:r>
      <w:r>
        <w:fldChar w:fldCharType="separate"/>
      </w:r>
      <w:r>
        <w:rPr>
          <w:rStyle w:val="34"/>
        </w:rPr>
        <w:t>参考文献</w:t>
      </w:r>
      <w:r>
        <w:tab/>
      </w:r>
      <w:r>
        <w:fldChar w:fldCharType="begin"/>
      </w:r>
      <w:r>
        <w:instrText xml:space="preserve"> PAGEREF _Toc211241052 \h </w:instrText>
      </w:r>
      <w:r>
        <w:fldChar w:fldCharType="separate"/>
      </w:r>
      <w:r>
        <w:t>3</w:t>
      </w:r>
      <w:r>
        <w:fldChar w:fldCharType="end"/>
      </w:r>
      <w:r>
        <w:fldChar w:fldCharType="end"/>
      </w:r>
    </w:p>
    <w:p w14:paraId="21784C5E">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6"/>
    <w:p w14:paraId="3BB4ED29">
      <w:pPr>
        <w:pStyle w:val="92"/>
        <w:spacing w:before="900" w:after="360"/>
      </w:pPr>
      <w:bookmarkStart w:id="20" w:name="_Toc211241017"/>
      <w:bookmarkStart w:id="21" w:name="BookMark2"/>
      <w:r>
        <w:rPr>
          <w:rFonts w:hint="eastAsia"/>
          <w:spacing w:val="320"/>
        </w:rPr>
        <w:t>前</w:t>
      </w:r>
      <w:r>
        <w:rPr>
          <w:rFonts w:hint="eastAsia"/>
        </w:rPr>
        <w:t>言</w:t>
      </w:r>
      <w:bookmarkEnd w:id="17"/>
      <w:bookmarkEnd w:id="18"/>
      <w:bookmarkEnd w:id="19"/>
      <w:bookmarkEnd w:id="20"/>
    </w:p>
    <w:p w14:paraId="42BDFC7C">
      <w:pPr>
        <w:pStyle w:val="59"/>
        <w:ind w:firstLine="420"/>
      </w:pPr>
      <w:r>
        <w:rPr>
          <w:rFonts w:hint="eastAsia"/>
        </w:rPr>
        <w:t>本文件参照GB/T 1.1—2020《标准化工作导则  第1部分：标准化文件的结构和起草规则》的规定起草。</w:t>
      </w:r>
    </w:p>
    <w:p w14:paraId="7D996AA8">
      <w:pPr>
        <w:pStyle w:val="59"/>
        <w:ind w:firstLine="420"/>
      </w:pPr>
      <w:r>
        <w:rPr>
          <w:rFonts w:hint="eastAsia"/>
        </w:rPr>
        <w:t>请注意本文件的某些内容可能涉及专利。本文件的发布机构不承担识别专利的责任。</w:t>
      </w:r>
    </w:p>
    <w:p w14:paraId="4EFFF097">
      <w:pPr>
        <w:pStyle w:val="59"/>
        <w:ind w:firstLine="420"/>
      </w:pPr>
      <w:r>
        <w:rPr>
          <w:rFonts w:hint="eastAsia"/>
        </w:rPr>
        <w:t>本文件由广西药师协会提出、归口并宣贯。</w:t>
      </w:r>
      <w:bookmarkStart w:id="111" w:name="_GoBack"/>
      <w:bookmarkEnd w:id="111"/>
    </w:p>
    <w:p w14:paraId="2AE85B8E">
      <w:pPr>
        <w:pStyle w:val="59"/>
        <w:ind w:firstLine="420"/>
      </w:pPr>
      <w:r>
        <w:rPr>
          <w:rFonts w:hint="eastAsia"/>
        </w:rPr>
        <w:t>本文件起草单位：广西药师协会零售药店药学服务专业委员会、广西药师协会、国药控股广西有限公司、国药控股国大药房广西连锁有限公司、广西大参林连锁药店有限公司、广西桂中大药房连锁有限责任公司、广西壮族自治区食品药品审评查验中心、广西医科大学第一附属医院、广西壮族自治区人民医院、广西医科大学附属肿瘤医院、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w:t>
      </w:r>
    </w:p>
    <w:p w14:paraId="6545E9BD">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彭敏、陆丽、陈英、蔡乐、张宏亮、陈晓宇、梁月霞、唐新秀、韦丽芬、蒋受军、李艳、凌玲、谭英、韦柳媚、杨静、雷鸣、杜清华、张琳、刘恒震、韦凤娟、陈军、王年旺、袁榕穗、刘代华、陈薇、邓雪玉、席加喜、田万平、李典聪、朗月圆、郭栋、李桂桃、彭勇、黄春、林忠秋、申庆荣、廖欣、郭又嘉、廖柳凤、黄晓娟、陈敏泓、黄燚燚、梁慧、张晨、陈烽、刘体红、李津。</w:t>
      </w:r>
    </w:p>
    <w:bookmarkEnd w:id="21"/>
    <w:p w14:paraId="776EF3AC">
      <w:pPr>
        <w:spacing w:line="20" w:lineRule="exact"/>
        <w:jc w:val="center"/>
        <w:rPr>
          <w:rFonts w:ascii="黑体" w:hAnsi="黑体" w:eastAsia="黑体"/>
          <w:sz w:val="32"/>
          <w:szCs w:val="32"/>
        </w:rPr>
      </w:pPr>
      <w:bookmarkStart w:id="22" w:name="BookMark4"/>
    </w:p>
    <w:p w14:paraId="3B2B9B31">
      <w:pPr>
        <w:spacing w:line="20" w:lineRule="exact"/>
        <w:jc w:val="center"/>
        <w:rPr>
          <w:rFonts w:ascii="黑体" w:hAnsi="黑体" w:eastAsia="黑体"/>
          <w:sz w:val="32"/>
          <w:szCs w:val="32"/>
        </w:rPr>
      </w:pPr>
    </w:p>
    <w:p w14:paraId="097FC75B">
      <w:pPr>
        <w:pStyle w:val="180"/>
        <w:rPr>
          <w:bCs/>
        </w:rPr>
      </w:pPr>
      <w:sdt>
        <w:sdtPr>
          <w:tag w:val="NEW_STAND_NAME"/>
          <w:id w:val="595910757"/>
          <w:lock w:val="sdtLocked"/>
          <w:placeholder>
            <w:docPart w:val="5E4E3FB3C62343DF80BEF536D4108A75"/>
          </w:placeholder>
        </w:sdtPr>
        <w:sdtContent>
          <w:bookmarkStart w:id="23" w:name="NEW_STAND_NAME"/>
          <w:r>
            <w:rPr>
              <w:rFonts w:hint="eastAsia"/>
            </w:rPr>
            <w:t>零售药店药师技能培训规范</w:t>
          </w:r>
        </w:sdtContent>
      </w:sdt>
      <w:bookmarkEnd w:id="23"/>
    </w:p>
    <w:p w14:paraId="481D3870">
      <w:pPr>
        <w:pStyle w:val="107"/>
        <w:spacing w:before="240" w:after="240"/>
      </w:pPr>
      <w:bookmarkStart w:id="24" w:name="_Toc26986530"/>
      <w:bookmarkStart w:id="25" w:name="_Toc97192964"/>
      <w:bookmarkStart w:id="26" w:name="_Toc196387202"/>
      <w:bookmarkStart w:id="27" w:name="_Toc211241018"/>
      <w:bookmarkStart w:id="28" w:name="_Toc196382734"/>
      <w:bookmarkStart w:id="29" w:name="_Toc17233325"/>
      <w:bookmarkStart w:id="30" w:name="_Toc26648465"/>
      <w:bookmarkStart w:id="31" w:name="_Toc17233333"/>
      <w:bookmarkStart w:id="32" w:name="_Toc26986771"/>
      <w:bookmarkStart w:id="33" w:name="_Toc24884211"/>
      <w:bookmarkStart w:id="34" w:name="_Toc24884218"/>
      <w:bookmarkStart w:id="35" w:name="_Toc20712"/>
      <w:bookmarkStart w:id="36" w:name="_Toc26718930"/>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p>
    <w:p w14:paraId="14E33902">
      <w:pPr>
        <w:pStyle w:val="59"/>
        <w:ind w:firstLine="420"/>
        <w:rPr>
          <w:rFonts w:hAnsi="宋体" w:cs="宋体"/>
          <w:szCs w:val="21"/>
        </w:rPr>
      </w:pPr>
      <w:bookmarkStart w:id="37" w:name="_Toc26648466"/>
      <w:bookmarkStart w:id="38" w:name="_Toc17233326"/>
      <w:bookmarkStart w:id="39" w:name="_Toc17233334"/>
      <w:bookmarkStart w:id="40" w:name="_Toc24884212"/>
      <w:bookmarkStart w:id="41" w:name="_Toc24884219"/>
      <w:r>
        <w:rPr>
          <w:rFonts w:hint="eastAsia" w:hAnsi="宋体" w:cs="宋体"/>
          <w:szCs w:val="21"/>
        </w:rPr>
        <w:t>本文件界定了零售药店药师技能培训涉及的术语和定义，规定了零售药店药师技能培训的基本要求、培训目标、培训对象、培训内容、培训要求、评价与改进、档案管理的要求。本文件适用于零售药店药师技能培训。</w:t>
      </w:r>
    </w:p>
    <w:p w14:paraId="6C8F9D84">
      <w:pPr>
        <w:pStyle w:val="107"/>
        <w:spacing w:before="240" w:after="240"/>
      </w:pPr>
      <w:bookmarkStart w:id="42" w:name="_Toc21418"/>
      <w:bookmarkStart w:id="43" w:name="_Toc196387203"/>
      <w:bookmarkStart w:id="44" w:name="_Toc26986772"/>
      <w:bookmarkStart w:id="45" w:name="_Toc97192965"/>
      <w:bookmarkStart w:id="46" w:name="_Toc211241019"/>
      <w:bookmarkStart w:id="47" w:name="_Toc196382735"/>
      <w:bookmarkStart w:id="48" w:name="_Toc26986531"/>
      <w:bookmarkStart w:id="49" w:name="_Toc26718931"/>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p>
    <w:sdt>
      <w:sdtPr>
        <w:rPr>
          <w:rFonts w:hint="eastAsia" w:hAnsi="宋体" w:cs="宋体"/>
          <w:szCs w:val="21"/>
        </w:rPr>
        <w:id w:val="715848253"/>
        <w:placeholder>
          <w:docPart w:val="92CA306BA6E3444FA6F2D5807172C5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Ansi="宋体" w:cs="宋体"/>
          <w:szCs w:val="21"/>
        </w:rPr>
      </w:sdtEndPr>
      <w:sdtContent>
        <w:p w14:paraId="64C580B6">
          <w:pPr>
            <w:pStyle w:val="59"/>
            <w:ind w:firstLine="420"/>
            <w:rPr>
              <w:rFonts w:hAnsi="宋体" w:cs="宋体"/>
              <w:color w:val="0000FF"/>
              <w:szCs w:val="21"/>
            </w:rPr>
          </w:pPr>
          <w:bookmarkStart w:id="50" w:name="_Toc97192966"/>
          <w:bookmarkStart w:id="51" w:name="_Toc196387204"/>
          <w:bookmarkStart w:id="52" w:name="_Toc196382736"/>
          <w:r>
            <w:rPr>
              <w:rFonts w:hint="eastAsia" w:hAnsi="宋体" w:cs="宋体"/>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7D740D">
      <w:pPr>
        <w:pStyle w:val="59"/>
        <w:ind w:firstLine="420"/>
      </w:pPr>
      <w:r>
        <w:rPr>
          <w:rFonts w:hint="eastAsia"/>
        </w:rPr>
        <w:t>SB/T 10763  零售药店经营服务规范</w:t>
      </w:r>
    </w:p>
    <w:p w14:paraId="1784A1FA">
      <w:pPr>
        <w:pStyle w:val="107"/>
        <w:spacing w:before="240" w:after="240"/>
      </w:pPr>
      <w:bookmarkStart w:id="53" w:name="_Toc22002"/>
      <w:bookmarkStart w:id="54" w:name="_Toc211241020"/>
      <w:r>
        <w:rPr>
          <w:rFonts w:hint="eastAsia"/>
        </w:rPr>
        <w:t>术语和定义</w:t>
      </w:r>
      <w:bookmarkEnd w:id="50"/>
      <w:bookmarkEnd w:id="51"/>
      <w:bookmarkEnd w:id="52"/>
      <w:bookmarkEnd w:id="53"/>
      <w:bookmarkEnd w:id="54"/>
    </w:p>
    <w:p w14:paraId="691AEFF9">
      <w:pPr>
        <w:pStyle w:val="59"/>
        <w:ind w:firstLine="420"/>
        <w:rPr>
          <w:rFonts w:hAnsi="宋体" w:cs="宋体"/>
          <w:szCs w:val="21"/>
        </w:rPr>
      </w:pPr>
      <w:r>
        <w:rPr>
          <w:rFonts w:hint="eastAsia"/>
        </w:rPr>
        <w:t>SB/T 10763</w:t>
      </w:r>
      <w:bookmarkStart w:id="55" w:name="_Toc26986532"/>
      <w:bookmarkEnd w:id="55"/>
      <w:sdt>
        <w:sdtPr>
          <w:rPr>
            <w:rFonts w:hint="eastAsia" w:hAnsi="宋体" w:cs="宋体"/>
            <w:szCs w:val="21"/>
          </w:rPr>
          <w:id w:val="-1909835108"/>
          <w:placeholder>
            <w:docPart w:val="DFF97C0EFD664C46B56E1FB29EF4C5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hAnsi="宋体" w:cs="宋体"/>
            <w:szCs w:val="21"/>
          </w:rPr>
        </w:sdtEndPr>
        <w:sdtContent>
          <w:r>
            <w:rPr>
              <w:rFonts w:hint="eastAsia" w:hAnsi="宋体" w:cs="宋体"/>
              <w:szCs w:val="21"/>
            </w:rPr>
            <w:t>界定的以及下列术语和定义适用于本文件。</w:t>
          </w:r>
        </w:sdtContent>
      </w:sdt>
    </w:p>
    <w:p w14:paraId="40F1AB63">
      <w:pPr>
        <w:pStyle w:val="226"/>
        <w:ind w:left="420" w:hanging="420" w:hangingChars="200"/>
        <w:rPr>
          <w:rFonts w:ascii="黑体" w:hAnsi="黑体" w:eastAsia="黑体"/>
        </w:rPr>
      </w:pPr>
      <w:bookmarkStart w:id="56" w:name="_Toc196382737"/>
      <w:bookmarkStart w:id="57" w:name="_Toc196387205"/>
      <w:r>
        <w:rPr>
          <w:rFonts w:ascii="黑体" w:hAnsi="黑体" w:eastAsia="黑体"/>
        </w:rPr>
        <w:br w:type="textWrapping"/>
      </w:r>
      <w:r>
        <w:rPr>
          <w:rFonts w:hint="eastAsia" w:ascii="黑体" w:hAnsi="黑体" w:eastAsia="黑体"/>
        </w:rPr>
        <w:t>药师  pharmacist</w:t>
      </w:r>
    </w:p>
    <w:p w14:paraId="710448C9">
      <w:pPr>
        <w:pStyle w:val="59"/>
        <w:ind w:firstLine="420"/>
      </w:pPr>
      <w:r>
        <w:rPr>
          <w:rFonts w:hint="eastAsia"/>
        </w:rPr>
        <w:t>具有药学或中药学相关专业学历，并经行业监管部门统一考试或依法资格认定的药学专业技术人员，负责提供药物知识及药学服务。包括：（中）药士、（中）药师、主管（中）药师、副主任（中）药师、主任（中）药师。</w:t>
      </w:r>
    </w:p>
    <w:p w14:paraId="29CA6C2A">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技能培训  skills training</w:t>
      </w:r>
    </w:p>
    <w:p w14:paraId="72011A1A">
      <w:pPr>
        <w:pStyle w:val="59"/>
        <w:ind w:firstLine="420"/>
      </w:pPr>
      <w:r>
        <w:rPr>
          <w:rFonts w:hint="eastAsia"/>
        </w:rPr>
        <w:t>为提升药师在药品调配、处方审方、用药指导、顾客沟通、药品管理、不良反应监测等药学服务相关领域的专业技能和实践能力，而有计划、有组织开展的系统性教育活动。</w:t>
      </w:r>
    </w:p>
    <w:p w14:paraId="3015AFD6">
      <w:pPr>
        <w:pStyle w:val="107"/>
        <w:spacing w:before="240" w:after="240"/>
      </w:pPr>
      <w:bookmarkStart w:id="58" w:name="_Toc17762"/>
      <w:bookmarkStart w:id="59" w:name="_Toc211241021"/>
      <w:r>
        <w:rPr>
          <w:rFonts w:hint="eastAsia"/>
        </w:rPr>
        <w:t>基本要求</w:t>
      </w:r>
      <w:bookmarkEnd w:id="58"/>
      <w:bookmarkEnd w:id="59"/>
    </w:p>
    <w:p w14:paraId="013FBE02">
      <w:pPr>
        <w:pStyle w:val="108"/>
        <w:spacing w:before="120" w:after="120"/>
      </w:pPr>
      <w:bookmarkStart w:id="60" w:name="_Toc211241022"/>
      <w:r>
        <w:rPr>
          <w:rFonts w:hint="eastAsia"/>
        </w:rPr>
        <w:t>场所</w:t>
      </w:r>
      <w:bookmarkEnd w:id="60"/>
      <w:r>
        <w:rPr>
          <w:rFonts w:hint="eastAsia"/>
        </w:rPr>
        <w:t xml:space="preserve"> </w:t>
      </w:r>
    </w:p>
    <w:p w14:paraId="6F5F9B73">
      <w:pPr>
        <w:pStyle w:val="168"/>
      </w:pPr>
      <w:r>
        <w:rPr>
          <w:rFonts w:hint="eastAsia"/>
        </w:rPr>
        <w:t>培训教学场所应符合相关机构安全要求，环境应安静、安全、舒适。</w:t>
      </w:r>
    </w:p>
    <w:p w14:paraId="3E5B152C">
      <w:pPr>
        <w:pStyle w:val="168"/>
      </w:pPr>
      <w:r>
        <w:rPr>
          <w:rFonts w:hint="eastAsia"/>
        </w:rPr>
        <w:t>实训教学场所应满足仪器设备、教具的布设需要，并配备必要的照明设施、消防器具，保持良好的通风和消防通道的畅通。</w:t>
      </w:r>
    </w:p>
    <w:p w14:paraId="0C39493E">
      <w:pPr>
        <w:pStyle w:val="108"/>
        <w:spacing w:before="120" w:after="120"/>
      </w:pPr>
      <w:bookmarkStart w:id="61" w:name="_Toc211241023"/>
      <w:r>
        <w:rPr>
          <w:rFonts w:hint="eastAsia"/>
        </w:rPr>
        <w:t>设备</w:t>
      </w:r>
      <w:bookmarkEnd w:id="61"/>
    </w:p>
    <w:p w14:paraId="213FAB88">
      <w:pPr>
        <w:pStyle w:val="59"/>
        <w:ind w:firstLine="420"/>
      </w:pPr>
      <w:r>
        <w:rPr>
          <w:rFonts w:hint="eastAsia"/>
        </w:rPr>
        <w:t>应配备完善的多媒体教学设备，包括但不限于投影仪、音响系统、录音录像设备。</w:t>
      </w:r>
    </w:p>
    <w:p w14:paraId="2B3563EF">
      <w:pPr>
        <w:pStyle w:val="108"/>
        <w:spacing w:before="120" w:after="120"/>
      </w:pPr>
      <w:bookmarkStart w:id="62" w:name="_Toc211241024"/>
      <w:r>
        <w:rPr>
          <w:rFonts w:hint="eastAsia"/>
        </w:rPr>
        <w:t>师资基本素养</w:t>
      </w:r>
      <w:bookmarkEnd w:id="62"/>
      <w:r>
        <w:rPr>
          <w:rFonts w:hint="eastAsia"/>
        </w:rPr>
        <w:t xml:space="preserve"> </w:t>
      </w:r>
    </w:p>
    <w:p w14:paraId="737F646F">
      <w:pPr>
        <w:pStyle w:val="168"/>
      </w:pPr>
      <w:r>
        <w:rPr>
          <w:rFonts w:hint="eastAsia"/>
        </w:rPr>
        <w:t>应自觉遵守教师职业道德，履行教师职责。培训带教老师熟悉并掌握药学专业理论知识，具有丰富的实践工作经验，具有指导带教、沟通等能力。</w:t>
      </w:r>
    </w:p>
    <w:p w14:paraId="01B7CD40">
      <w:pPr>
        <w:pStyle w:val="168"/>
      </w:pPr>
      <w:r>
        <w:rPr>
          <w:rFonts w:hint="eastAsia"/>
        </w:rPr>
        <w:t>理论培训教师应具有药品管理、临床医学或药学服务等3年及以上实践经验的业务骨干和专家学者。应具备药学或临床药学专业本科及以上学历</w:t>
      </w:r>
      <w:r>
        <w:t>,</w:t>
      </w:r>
      <w:r>
        <w:rPr>
          <w:rFonts w:hint="eastAsia"/>
        </w:rPr>
        <w:t>执业药师资格或药师及以上职称</w:t>
      </w:r>
      <w:r>
        <w:t xml:space="preserve"> </w:t>
      </w:r>
      <w:r>
        <w:rPr>
          <w:rFonts w:hint="eastAsia"/>
        </w:rPr>
        <w:t>。拥有扎实的药学理论基础，熟悉所在药学工作场景的全流程业务。</w:t>
      </w:r>
    </w:p>
    <w:p w14:paraId="7AF1BCC8">
      <w:pPr>
        <w:pStyle w:val="168"/>
      </w:pPr>
      <w:r>
        <w:rPr>
          <w:rFonts w:hint="eastAsia"/>
        </w:rPr>
        <w:t>实践培训教师具备处方点评、合理用药指导等实操能力，能独立完成复杂案例分析教学。应为参与临床药学岗位工作1年（含）以上或从事药品调配、质量管理相关工作3年以上的人员。</w:t>
      </w:r>
    </w:p>
    <w:p w14:paraId="58C052F1">
      <w:pPr>
        <w:pStyle w:val="108"/>
        <w:spacing w:before="120" w:after="120"/>
      </w:pPr>
      <w:bookmarkStart w:id="63" w:name="_Toc211241025"/>
      <w:r>
        <w:rPr>
          <w:rFonts w:hint="eastAsia"/>
        </w:rPr>
        <w:t>教学资源</w:t>
      </w:r>
      <w:bookmarkEnd w:id="63"/>
    </w:p>
    <w:p w14:paraId="5F2665FF">
      <w:pPr>
        <w:pStyle w:val="59"/>
        <w:ind w:firstLine="420"/>
      </w:pPr>
      <w:r>
        <w:rPr>
          <w:rStyle w:val="34"/>
          <w:rFonts w:hint="eastAsia" w:hAnsi="宋体" w:cs="宋体"/>
          <w:szCs w:val="21"/>
        </w:rPr>
        <w:t>应提供反映药学领域的最新研究成果和发展趋势，能提供实用性强、案例丰富的实操指导，建立动态更新的教学案例库，包含处方审核典型错误案例、特殊人群用药指导实例、药品不良反应处置流程等实操内容。</w:t>
      </w:r>
    </w:p>
    <w:p w14:paraId="007B75F0">
      <w:pPr>
        <w:pStyle w:val="107"/>
        <w:spacing w:before="240" w:after="240"/>
      </w:pPr>
      <w:bookmarkStart w:id="64" w:name="_Toc4709"/>
      <w:bookmarkStart w:id="65" w:name="_Toc211241026"/>
      <w:r>
        <w:rPr>
          <w:rFonts w:hint="eastAsia"/>
        </w:rPr>
        <w:t>培训目标</w:t>
      </w:r>
      <w:bookmarkEnd w:id="64"/>
      <w:bookmarkEnd w:id="65"/>
    </w:p>
    <w:p w14:paraId="509E7AFF">
      <w:pPr>
        <w:pStyle w:val="59"/>
        <w:ind w:firstLine="420"/>
        <w:rPr>
          <w:rFonts w:hAnsi="宋体" w:cs="宋体"/>
          <w:szCs w:val="21"/>
        </w:rPr>
      </w:pPr>
      <w:bookmarkStart w:id="66" w:name="OLE_LINK12"/>
      <w:bookmarkStart w:id="67" w:name="OLE_LINK11"/>
      <w:r>
        <w:rPr>
          <w:rFonts w:hint="eastAsia"/>
        </w:rPr>
        <w:t>全面掌握药品相关法律法规与行业规范，能精准运用条款解决采购验收、处方审核等实际合规问题；夯实药学基础理论与常见病、慢性病用药知识；熟练掌握处方审核、药品调配复核、冷链药品管理等实操技能，具备个性化用药指导与药品不良反应处置能力；同时提升突发不适应急处理水平、职业沟通素养与 “以顾客为中心” 的服务理念，掌握慢病管理等相关能力，最终成长为合规执业、专业服务、保障公众用药安全的高素质药学服务人员。</w:t>
      </w:r>
    </w:p>
    <w:bookmarkEnd w:id="66"/>
    <w:bookmarkEnd w:id="67"/>
    <w:p w14:paraId="7EFE1542">
      <w:pPr>
        <w:pStyle w:val="107"/>
        <w:spacing w:before="240" w:after="240"/>
      </w:pPr>
      <w:bookmarkStart w:id="68" w:name="_Toc211241027"/>
      <w:r>
        <w:rPr>
          <w:rFonts w:hint="eastAsia"/>
        </w:rPr>
        <w:t>培训内容</w:t>
      </w:r>
      <w:bookmarkEnd w:id="68"/>
    </w:p>
    <w:p w14:paraId="65BB82E9">
      <w:pPr>
        <w:pStyle w:val="108"/>
        <w:spacing w:before="120" w:after="120"/>
      </w:pPr>
      <w:bookmarkStart w:id="69" w:name="_Toc211241028"/>
      <w:r>
        <w:rPr>
          <w:rFonts w:hint="eastAsia"/>
        </w:rPr>
        <w:t>理论知识</w:t>
      </w:r>
      <w:bookmarkEnd w:id="69"/>
    </w:p>
    <w:p w14:paraId="045693B1">
      <w:pPr>
        <w:pStyle w:val="59"/>
        <w:ind w:firstLine="199" w:firstLineChars="95"/>
      </w:pPr>
      <w:r>
        <w:rPr>
          <w:rFonts w:hint="eastAsia"/>
        </w:rPr>
        <w:t>包括但不限于以下内容：</w:t>
      </w:r>
    </w:p>
    <w:p w14:paraId="39B94097">
      <w:pPr>
        <w:pStyle w:val="135"/>
      </w:pPr>
      <w:r>
        <w:rPr>
          <w:rFonts w:hint="eastAsia"/>
        </w:rPr>
        <w:t>药学理论知识，包括但不限于以下内容：药品基础知识、常见疾病与用药、持续学习；</w:t>
      </w:r>
    </w:p>
    <w:p w14:paraId="3C01501D">
      <w:pPr>
        <w:pStyle w:val="135"/>
      </w:pPr>
      <w:r>
        <w:rPr>
          <w:rFonts w:hint="eastAsia"/>
        </w:rPr>
        <w:t>法律法规知识，</w:t>
      </w:r>
      <w:bookmarkStart w:id="70" w:name="OLE_LINK13"/>
      <w:bookmarkStart w:id="71" w:name="OLE_LINK14"/>
      <w:r>
        <w:rPr>
          <w:rFonts w:hint="eastAsia"/>
        </w:rPr>
        <w:t>包括但不限于</w:t>
      </w:r>
      <w:bookmarkEnd w:id="70"/>
      <w:bookmarkEnd w:id="71"/>
      <w:r>
        <w:rPr>
          <w:rFonts w:hint="eastAsia"/>
        </w:rPr>
        <w:t>《药品管理法》《处方管理办法》等法规，药品经营质量管理规范、医疗机构药事管理规定等制度；</w:t>
      </w:r>
    </w:p>
    <w:p w14:paraId="27081F9A">
      <w:pPr>
        <w:pStyle w:val="135"/>
      </w:pPr>
      <w:r>
        <w:rPr>
          <w:rFonts w:hint="eastAsia"/>
        </w:rPr>
        <w:t>夯实药学基础理论，包括但不限于药理学、药剂学、药物化学等学科核心知识，理解药物作用机制与临床应用的关联逻辑；</w:t>
      </w:r>
    </w:p>
    <w:p w14:paraId="710CD361">
      <w:pPr>
        <w:pStyle w:val="135"/>
      </w:pPr>
      <w:r>
        <w:rPr>
          <w:rFonts w:hint="eastAsia"/>
        </w:rPr>
        <w:t>掌握药品采购、陈列、储存、养护及效期管理流程，确保药品质量全程可控，掌握冷藏药品陈列、储存设备等关键设施的操作规范及日常维保知识。</w:t>
      </w:r>
    </w:p>
    <w:p w14:paraId="1B202F37">
      <w:pPr>
        <w:pStyle w:val="108"/>
        <w:spacing w:before="120" w:after="120"/>
      </w:pPr>
      <w:bookmarkStart w:id="72" w:name="_Toc211241029"/>
      <w:r>
        <w:rPr>
          <w:rFonts w:hint="eastAsia"/>
        </w:rPr>
        <w:t>职业素养</w:t>
      </w:r>
      <w:bookmarkEnd w:id="72"/>
    </w:p>
    <w:p w14:paraId="21C71DE0">
      <w:pPr>
        <w:pStyle w:val="59"/>
        <w:ind w:firstLine="420"/>
      </w:pPr>
      <w:bookmarkStart w:id="73" w:name="OLE_LINK10"/>
      <w:r>
        <w:rPr>
          <w:rFonts w:hint="eastAsia"/>
        </w:rPr>
        <w:t>包括但不限于以下内容</w:t>
      </w:r>
      <w:bookmarkEnd w:id="73"/>
      <w:r>
        <w:rPr>
          <w:rFonts w:hint="eastAsia"/>
        </w:rPr>
        <w:t>（服务人员要求见附录</w:t>
      </w:r>
      <w:r>
        <w:t>A</w:t>
      </w:r>
      <w:r>
        <w:rPr>
          <w:rFonts w:hint="eastAsia"/>
        </w:rPr>
        <w:t>、</w:t>
      </w:r>
      <w:r>
        <w:t>B</w:t>
      </w:r>
      <w:r>
        <w:rPr>
          <w:rFonts w:hint="eastAsia"/>
        </w:rPr>
        <w:t>）：</w:t>
      </w:r>
    </w:p>
    <w:p w14:paraId="26AB02C7">
      <w:pPr>
        <w:pStyle w:val="135"/>
      </w:pPr>
      <w:r>
        <w:rPr>
          <w:rFonts w:hint="eastAsia"/>
        </w:rPr>
        <w:t>诚实守信，恪守专业底线；</w:t>
      </w:r>
    </w:p>
    <w:p w14:paraId="1BD77A83">
      <w:pPr>
        <w:pStyle w:val="135"/>
      </w:pPr>
      <w:r>
        <w:rPr>
          <w:rFonts w:hint="eastAsia"/>
        </w:rPr>
        <w:t>保护顾客隐私，严守信息机密；</w:t>
      </w:r>
    </w:p>
    <w:p w14:paraId="5BC559C2">
      <w:pPr>
        <w:pStyle w:val="135"/>
      </w:pPr>
      <w:r>
        <w:rPr>
          <w:rFonts w:hint="eastAsia"/>
        </w:rPr>
        <w:t>尽职尽责，保障用药安全；</w:t>
      </w:r>
    </w:p>
    <w:p w14:paraId="1A71A93B">
      <w:pPr>
        <w:pStyle w:val="135"/>
      </w:pPr>
      <w:r>
        <w:rPr>
          <w:rFonts w:hint="eastAsia"/>
        </w:rPr>
        <w:t>服务意识，主动关怀顾客；</w:t>
      </w:r>
    </w:p>
    <w:p w14:paraId="34DC4B8F">
      <w:pPr>
        <w:pStyle w:val="135"/>
      </w:pPr>
      <w:r>
        <w:rPr>
          <w:rFonts w:hint="eastAsia"/>
        </w:rPr>
        <w:t>责任担当，勇于承担后果；</w:t>
      </w:r>
    </w:p>
    <w:p w14:paraId="6C085F4B">
      <w:pPr>
        <w:pStyle w:val="135"/>
        <w:rPr>
          <w:rFonts w:hAnsi="宋体" w:cs="宋体"/>
          <w:szCs w:val="21"/>
        </w:rPr>
      </w:pPr>
      <w:r>
        <w:rPr>
          <w:rFonts w:hint="eastAsia"/>
        </w:rPr>
        <w:t>沟通能力，高效化解矛盾；</w:t>
      </w:r>
    </w:p>
    <w:p w14:paraId="46028CDA">
      <w:pPr>
        <w:pStyle w:val="135"/>
        <w:rPr>
          <w:rFonts w:hAnsi="宋体" w:cs="宋体"/>
          <w:szCs w:val="21"/>
        </w:rPr>
      </w:pPr>
      <w:r>
        <w:rPr>
          <w:rFonts w:hint="eastAsia"/>
        </w:rPr>
        <w:t>沟通技巧，高效传递信息。</w:t>
      </w:r>
    </w:p>
    <w:p w14:paraId="1B968B99">
      <w:pPr>
        <w:pStyle w:val="108"/>
        <w:spacing w:before="120" w:after="120"/>
      </w:pPr>
      <w:bookmarkStart w:id="74" w:name="_Toc211241030"/>
      <w:r>
        <w:rPr>
          <w:rFonts w:hint="eastAsia"/>
        </w:rPr>
        <w:t>药学服务实操</w:t>
      </w:r>
      <w:bookmarkEnd w:id="74"/>
    </w:p>
    <w:p w14:paraId="0EB62E9D">
      <w:pPr>
        <w:pStyle w:val="168"/>
      </w:pPr>
      <w:r>
        <w:t>药品管理</w:t>
      </w:r>
      <w:bookmarkStart w:id="75" w:name="OLE_LINK8"/>
      <w:bookmarkStart w:id="76" w:name="OLE_LINK7"/>
      <w:r>
        <w:rPr>
          <w:rFonts w:hint="eastAsia"/>
        </w:rPr>
        <w:t>，包括但不限于以下内容（服务人员要求见附录</w:t>
      </w:r>
      <w:r>
        <w:t>C</w:t>
      </w:r>
      <w:r>
        <w:rPr>
          <w:rFonts w:hint="eastAsia"/>
        </w:rPr>
        <w:t>）：</w:t>
      </w:r>
    </w:p>
    <w:bookmarkEnd w:id="75"/>
    <w:bookmarkEnd w:id="76"/>
    <w:p w14:paraId="5E726816">
      <w:pPr>
        <w:pStyle w:val="135"/>
      </w:pPr>
      <w:r>
        <w:rPr>
          <w:rFonts w:hint="eastAsia"/>
        </w:rPr>
        <w:t>采购与验收：采购记录、验收流程、验收记录；</w:t>
      </w:r>
    </w:p>
    <w:p w14:paraId="4B9CD94A">
      <w:pPr>
        <w:pStyle w:val="135"/>
      </w:pPr>
      <w:r>
        <w:rPr>
          <w:rFonts w:hint="eastAsia"/>
        </w:rPr>
        <w:t>陈列与储存：储存设备要求、药品陈列要求、药品储存温度；</w:t>
      </w:r>
    </w:p>
    <w:p w14:paraId="41D0D1C5">
      <w:pPr>
        <w:pStyle w:val="135"/>
      </w:pPr>
      <w:r>
        <w:rPr>
          <w:rFonts w:hint="eastAsia"/>
        </w:rPr>
        <w:t>冷链药品管理：冷链药品的储存、运输要求和温度监控方法；</w:t>
      </w:r>
    </w:p>
    <w:p w14:paraId="769C8E90">
      <w:pPr>
        <w:pStyle w:val="135"/>
      </w:pPr>
      <w:r>
        <w:rPr>
          <w:rFonts w:hint="eastAsia"/>
        </w:rPr>
        <w:t>药品销售：处方调配要求、拆零销售记录、特殊管理的药品和国家有专门管理要求的药品销售要求、药品质量监控；</w:t>
      </w:r>
    </w:p>
    <w:p w14:paraId="0952A673">
      <w:pPr>
        <w:pStyle w:val="135"/>
      </w:pPr>
      <w:r>
        <w:rPr>
          <w:rFonts w:hint="eastAsia"/>
        </w:rPr>
        <w:t>医保及商保政策：精通医保与商保政策，为顾客提供专业的用药报销与理赔指导。</w:t>
      </w:r>
    </w:p>
    <w:p w14:paraId="72CEA5C5">
      <w:pPr>
        <w:pStyle w:val="168"/>
      </w:pPr>
      <w:r>
        <w:rPr>
          <w:rFonts w:hint="eastAsia"/>
        </w:rPr>
        <w:t>应按T/GXAS XXX进行药学服务培训。</w:t>
      </w:r>
    </w:p>
    <w:p w14:paraId="3880694D">
      <w:pPr>
        <w:pStyle w:val="168"/>
      </w:pPr>
      <w:bookmarkStart w:id="77" w:name="OLE_LINK15"/>
      <w:bookmarkStart w:id="78" w:name="OLE_LINK16"/>
      <w:r>
        <w:rPr>
          <w:rFonts w:hint="eastAsia" w:hAnsi="宋体" w:cs="宋体"/>
          <w:color w:val="333333"/>
          <w:shd w:val="clear" w:color="auto" w:fill="FFFFFF"/>
        </w:rPr>
        <w:t>掌握</w:t>
      </w:r>
      <w:r>
        <w:rPr>
          <w:rFonts w:hint="eastAsia"/>
        </w:rPr>
        <w:t>在药店运营中产生突发问题的应急预案，顾客服用后疑似出现严重不良反应等情况的处理，包括但不限于（服务人员要求见附录</w:t>
      </w:r>
      <w:r>
        <w:t>D</w:t>
      </w:r>
      <w:r>
        <w:rPr>
          <w:rFonts w:hint="eastAsia"/>
        </w:rPr>
        <w:t>）：</w:t>
      </w:r>
    </w:p>
    <w:p w14:paraId="2D06C614">
      <w:pPr>
        <w:pStyle w:val="135"/>
      </w:pPr>
      <w:r>
        <w:rPr>
          <w:rFonts w:hint="eastAsia"/>
        </w:rPr>
        <w:t>药物不良反应；</w:t>
      </w:r>
    </w:p>
    <w:p w14:paraId="407976F7">
      <w:pPr>
        <w:pStyle w:val="135"/>
      </w:pPr>
      <w:r>
        <w:rPr>
          <w:rFonts w:hint="eastAsia"/>
        </w:rPr>
        <w:t>突发疾病；</w:t>
      </w:r>
    </w:p>
    <w:p w14:paraId="0C486F42">
      <w:pPr>
        <w:pStyle w:val="135"/>
      </w:pPr>
      <w:r>
        <w:rPr>
          <w:rFonts w:hint="eastAsia"/>
        </w:rPr>
        <w:t>外伤应急。</w:t>
      </w:r>
    </w:p>
    <w:p w14:paraId="08006094">
      <w:pPr>
        <w:pStyle w:val="168"/>
      </w:pPr>
      <w:r>
        <w:rPr>
          <w:rFonts w:hint="eastAsia"/>
        </w:rPr>
        <w:t>掌握顾客关系管理（服务人员要求见附录</w:t>
      </w:r>
      <w:r>
        <w:t>E</w:t>
      </w:r>
      <w:r>
        <w:rPr>
          <w:rFonts w:hint="eastAsia"/>
        </w:rPr>
        <w:t>），如：顾客投诉事件处理、顾客争吵事件处理。</w:t>
      </w:r>
    </w:p>
    <w:bookmarkEnd w:id="77"/>
    <w:bookmarkEnd w:id="78"/>
    <w:p w14:paraId="48605779">
      <w:pPr>
        <w:pStyle w:val="107"/>
        <w:spacing w:before="240" w:after="240"/>
      </w:pPr>
      <w:bookmarkStart w:id="79" w:name="_Toc211241031"/>
      <w:bookmarkStart w:id="80" w:name="_Toc28681"/>
      <w:r>
        <w:rPr>
          <w:rFonts w:hint="eastAsia"/>
        </w:rPr>
        <w:t>培训要求</w:t>
      </w:r>
      <w:bookmarkEnd w:id="79"/>
      <w:bookmarkEnd w:id="80"/>
    </w:p>
    <w:p w14:paraId="560925B5">
      <w:pPr>
        <w:pStyle w:val="108"/>
        <w:spacing w:before="120" w:after="120"/>
      </w:pPr>
      <w:bookmarkStart w:id="81" w:name="_Toc211241032"/>
      <w:r>
        <w:rPr>
          <w:rFonts w:hint="eastAsia"/>
        </w:rPr>
        <w:t>培训前准备</w:t>
      </w:r>
      <w:bookmarkEnd w:id="81"/>
    </w:p>
    <w:p w14:paraId="3E599308">
      <w:pPr>
        <w:pStyle w:val="168"/>
      </w:pPr>
      <w:r>
        <w:t>根据培训项目的要求制定培训计划，包括但不限于时间、地点、人员、课程设置、教学师资、 教学时数、考核要求等内容。</w:t>
      </w:r>
    </w:p>
    <w:p w14:paraId="575F4A64">
      <w:pPr>
        <w:pStyle w:val="168"/>
        <w:rPr>
          <w:rFonts w:hAnsi="宋体" w:cs="宋体"/>
          <w:szCs w:val="24"/>
        </w:rPr>
      </w:pPr>
      <w:r>
        <w:t>根据培</w:t>
      </w:r>
      <w:r>
        <w:rPr>
          <w:rFonts w:hAnsi="宋体" w:cs="宋体"/>
          <w:szCs w:val="24"/>
        </w:rPr>
        <w:t>训计划进行培训筹备工作，筹备内容包括但不限于：</w:t>
      </w:r>
    </w:p>
    <w:p w14:paraId="4F4787BF">
      <w:pPr>
        <w:pStyle w:val="135"/>
      </w:pPr>
      <w:r>
        <w:t>设置培训课程：课程目标明确，体现知识、技能技巧的传授和能力及职业道德的培养；课程内容实用，课程理论知识与技能操作比例科学；</w:t>
      </w:r>
    </w:p>
    <w:p w14:paraId="27CC570F">
      <w:pPr>
        <w:pStyle w:val="135"/>
      </w:pPr>
      <w:r>
        <w:t>选定培训师资：合理配置师资，根据培训性质、教学形式和内容的特点确定合理的专兼职教师数量；</w:t>
      </w:r>
    </w:p>
    <w:p w14:paraId="652374C1">
      <w:pPr>
        <w:pStyle w:val="135"/>
      </w:pPr>
      <w:r>
        <w:t>选择适合的</w:t>
      </w:r>
      <w:r>
        <w:rPr>
          <w:rFonts w:hint="eastAsia"/>
        </w:rPr>
        <w:t>药学</w:t>
      </w:r>
      <w:r>
        <w:t>服务培训教材，教材完整、准确，与培训内容相匹配，体现专科课程特点；</w:t>
      </w:r>
    </w:p>
    <w:p w14:paraId="05B502DE">
      <w:pPr>
        <w:pStyle w:val="135"/>
      </w:pPr>
      <w:r>
        <w:t>确定培训场所：临床实践场地、教学设备等方面满足培训需求。</w:t>
      </w:r>
    </w:p>
    <w:p w14:paraId="29849FD2">
      <w:pPr>
        <w:pStyle w:val="108"/>
        <w:spacing w:before="120" w:after="120"/>
      </w:pPr>
      <w:bookmarkStart w:id="82" w:name="_Toc211241033"/>
      <w:r>
        <w:rPr>
          <w:rFonts w:hint="eastAsia"/>
        </w:rPr>
        <w:t>培训实施</w:t>
      </w:r>
      <w:bookmarkEnd w:id="82"/>
    </w:p>
    <w:p w14:paraId="1C758EC0">
      <w:pPr>
        <w:pStyle w:val="168"/>
      </w:pPr>
      <w:r>
        <w:rPr>
          <w:rFonts w:hint="eastAsia"/>
        </w:rPr>
        <w:t xml:space="preserve">培训形式采取线上+线下相结合的形式，包括专题讲座、观看教学视频、课堂体验、案例分享、情景演练等形式。 </w:t>
      </w:r>
    </w:p>
    <w:p w14:paraId="3A417B97">
      <w:pPr>
        <w:pStyle w:val="168"/>
      </w:pPr>
      <w:r>
        <w:rPr>
          <w:rFonts w:hint="eastAsia"/>
        </w:rPr>
        <w:t xml:space="preserve">建立考勤制度，统计学员的出勤情况。学员应达到规定的出勤率（100％）后参加结业考核。 </w:t>
      </w:r>
    </w:p>
    <w:p w14:paraId="4EE52743">
      <w:pPr>
        <w:pStyle w:val="168"/>
      </w:pPr>
      <w:r>
        <w:rPr>
          <w:rFonts w:hint="eastAsia"/>
        </w:rPr>
        <w:t xml:space="preserve">跟进教学服务，解决培训过程中的技术支持问题，按照课时进度授课。 </w:t>
      </w:r>
    </w:p>
    <w:p w14:paraId="147A210D">
      <w:pPr>
        <w:pStyle w:val="168"/>
      </w:pPr>
      <w:r>
        <w:rPr>
          <w:rFonts w:hint="eastAsia"/>
        </w:rPr>
        <w:t xml:space="preserve">建立教学质量管理制度，在培训过程中，收集学员对培训内容、形式、师资等方面的反馈意见，对存在的问题运用质量管理工具分析、整改，定期考核教学质量。 </w:t>
      </w:r>
    </w:p>
    <w:p w14:paraId="0526168C">
      <w:pPr>
        <w:pStyle w:val="108"/>
        <w:spacing w:before="120" w:after="120"/>
      </w:pPr>
      <w:bookmarkStart w:id="83" w:name="_Toc211241034"/>
      <w:r>
        <w:rPr>
          <w:rFonts w:hint="eastAsia"/>
        </w:rPr>
        <w:t>培训考评</w:t>
      </w:r>
      <w:bookmarkEnd w:id="83"/>
    </w:p>
    <w:p w14:paraId="7622E88E">
      <w:pPr>
        <w:pStyle w:val="168"/>
      </w:pPr>
      <w:r>
        <w:rPr>
          <w:rFonts w:hint="eastAsia"/>
        </w:rPr>
        <w:t>考评内容包括但不限于：</w:t>
      </w:r>
    </w:p>
    <w:p w14:paraId="2B8F3D11">
      <w:pPr>
        <w:pStyle w:val="135"/>
      </w:pPr>
      <w:r>
        <w:rPr>
          <w:rFonts w:hint="eastAsia"/>
        </w:rPr>
        <w:t xml:space="preserve">过程评价：根据学员出勤情况、遵守纪律情况和课堂学习互动表现情况、实践操作进行评价； </w:t>
      </w:r>
    </w:p>
    <w:p w14:paraId="419970F4">
      <w:pPr>
        <w:pStyle w:val="135"/>
      </w:pPr>
      <w:r>
        <w:rPr>
          <w:rFonts w:hint="eastAsia"/>
        </w:rPr>
        <w:t>结业考试：通过理论及实践能力考核，考试题型包括选择题、填空题、是非题、简答题、案例分析、模拟咨询，采取集中考试形式进行考核，总分为100分，合格分数为80分。包括：</w:t>
      </w:r>
    </w:p>
    <w:p w14:paraId="7178DF67">
      <w:pPr>
        <w:pStyle w:val="190"/>
      </w:pPr>
      <w:r>
        <w:rPr>
          <w:rFonts w:hint="eastAsia"/>
        </w:rPr>
        <w:t>理论考核（权重50％）：覆盖执业药师岗位所需专业理论与法规知识；</w:t>
      </w:r>
    </w:p>
    <w:p w14:paraId="505A639A">
      <w:pPr>
        <w:pStyle w:val="190"/>
      </w:pPr>
      <w:r>
        <w:rPr>
          <w:rFonts w:hint="eastAsia"/>
        </w:rPr>
        <w:t>实践考核（权重50％）：实践考核聚焦执业药师岗位实操能力验证，通过分阶段、多场景考核。</w:t>
      </w:r>
    </w:p>
    <w:p w14:paraId="20453843">
      <w:pPr>
        <w:pStyle w:val="168"/>
      </w:pPr>
      <w:r>
        <w:rPr>
          <w:rFonts w:hint="eastAsia"/>
        </w:rPr>
        <w:t>通过问卷调查、跟踪回访等方式评估培训效果，了解学员在实际工作中的应用情况和进步。</w:t>
      </w:r>
    </w:p>
    <w:bookmarkEnd w:id="56"/>
    <w:bookmarkEnd w:id="57"/>
    <w:p w14:paraId="3FB914F8">
      <w:pPr>
        <w:pStyle w:val="107"/>
        <w:spacing w:before="240" w:after="240"/>
      </w:pPr>
      <w:bookmarkStart w:id="84" w:name="_Toc211241035"/>
      <w:bookmarkStart w:id="85" w:name="_Toc9775"/>
      <w:bookmarkStart w:id="86" w:name="_Toc196387210"/>
      <w:bookmarkStart w:id="87" w:name="_Toc196382743"/>
      <w:r>
        <w:rPr>
          <w:rFonts w:hint="eastAsia"/>
        </w:rPr>
        <w:t>评价与改进</w:t>
      </w:r>
      <w:bookmarkEnd w:id="84"/>
      <w:bookmarkEnd w:id="85"/>
      <w:r>
        <w:rPr>
          <w:rFonts w:hint="eastAsia"/>
        </w:rPr>
        <w:t xml:space="preserve">  </w:t>
      </w:r>
    </w:p>
    <w:p w14:paraId="6461EFE8">
      <w:pPr>
        <w:pStyle w:val="165"/>
      </w:pPr>
      <w:r>
        <w:rPr>
          <w:rFonts w:hint="eastAsia"/>
        </w:rPr>
        <w:t>建立评价与改进机制，定期开展培训质量评价并收集来自内外部的评价信息。</w:t>
      </w:r>
    </w:p>
    <w:p w14:paraId="5F8076ED">
      <w:pPr>
        <w:pStyle w:val="165"/>
      </w:pPr>
      <w:r>
        <w:rPr>
          <w:rFonts w:hint="eastAsia"/>
        </w:rPr>
        <w:t>根据反馈意见和效果评估结果，定期对培训方案进行优化和改进课程设计、教学方法，必要时根据学员需求增加课程内容，对开展工作中遇到的特殊案例开展案例督导，不断提升培训质量。</w:t>
      </w:r>
    </w:p>
    <w:p w14:paraId="787824D4">
      <w:pPr>
        <w:pStyle w:val="107"/>
        <w:spacing w:before="240" w:after="240"/>
      </w:pPr>
      <w:bookmarkStart w:id="88" w:name="_Toc211241036"/>
      <w:bookmarkStart w:id="89" w:name="_Toc28290"/>
      <w:r>
        <w:rPr>
          <w:rFonts w:hint="eastAsia"/>
        </w:rPr>
        <w:t>档案管理</w:t>
      </w:r>
      <w:bookmarkEnd w:id="86"/>
      <w:bookmarkEnd w:id="87"/>
      <w:bookmarkEnd w:id="88"/>
      <w:bookmarkEnd w:id="89"/>
      <w:r>
        <w:rPr>
          <w:rFonts w:hint="eastAsia"/>
        </w:rPr>
        <w:t xml:space="preserve"> </w:t>
      </w:r>
    </w:p>
    <w:p w14:paraId="7B6747FC">
      <w:pPr>
        <w:pStyle w:val="165"/>
      </w:pPr>
      <w:r>
        <w:rPr>
          <w:rFonts w:hint="eastAsia"/>
        </w:rPr>
        <w:t>建立每批学员的培训档案，包括报名材料、学习记录、考核成绩、反馈意见等。</w:t>
      </w:r>
    </w:p>
    <w:p w14:paraId="0644BCBC">
      <w:pPr>
        <w:pStyle w:val="165"/>
      </w:pPr>
      <w:r>
        <w:rPr>
          <w:rFonts w:hint="eastAsia"/>
        </w:rPr>
        <w:t>对培训过程形成的各种记录进行汇总、分类、储存，形成统一的档案资料。</w:t>
      </w:r>
    </w:p>
    <w:p w14:paraId="2FF2B61C">
      <w:pPr>
        <w:pStyle w:val="165"/>
      </w:pPr>
      <w:r>
        <w:rPr>
          <w:rFonts w:hint="eastAsia"/>
        </w:rPr>
        <w:t>严格管理学员档案，确保个人信息和隐私的安全与保密。</w:t>
      </w:r>
    </w:p>
    <w:p w14:paraId="5B620D11">
      <w:pPr>
        <w:pStyle w:val="165"/>
      </w:pPr>
      <w:r>
        <w:rPr>
          <w:rFonts w:hint="eastAsia"/>
        </w:rPr>
        <w:t>培训档案应及时归档并妥善保存，保存期不少于5年。</w:t>
      </w:r>
    </w:p>
    <w:bookmarkEnd w:id="22"/>
    <w:p w14:paraId="16C6BF28">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90" w:name="BookMark5"/>
    </w:p>
    <w:p w14:paraId="2FAEFEB5">
      <w:pPr>
        <w:pStyle w:val="201"/>
      </w:pPr>
    </w:p>
    <w:p w14:paraId="29B6E515">
      <w:pPr>
        <w:pStyle w:val="202"/>
      </w:pPr>
    </w:p>
    <w:p w14:paraId="472B1315">
      <w:pPr>
        <w:pStyle w:val="79"/>
        <w:spacing w:after="120"/>
      </w:pPr>
      <w:bookmarkStart w:id="91" w:name="_Toc19529"/>
      <w:r>
        <w:br w:type="textWrapping"/>
      </w:r>
      <w:bookmarkStart w:id="92" w:name="_Toc211241037"/>
      <w:r>
        <w:rPr>
          <w:rFonts w:hint="eastAsia"/>
        </w:rPr>
        <w:t>（资料性）</w:t>
      </w:r>
      <w:r>
        <w:br w:type="textWrapping"/>
      </w:r>
      <w:r>
        <w:rPr>
          <w:rFonts w:hint="eastAsia"/>
        </w:rPr>
        <w:t>合规管理服务人员要求</w:t>
      </w:r>
      <w:bookmarkEnd w:id="91"/>
      <w:bookmarkEnd w:id="92"/>
    </w:p>
    <w:p w14:paraId="2DDC9B2B">
      <w:pPr>
        <w:pStyle w:val="214"/>
      </w:pPr>
      <w:r>
        <w:rPr>
          <w:rFonts w:hint="eastAsia"/>
        </w:rPr>
        <w:t>诚实守信，恪守专业底线：执业药师需如实向顾客告知药品信息，包括法定适应症、用法用量、不良反应、禁忌症等，禁止通过夸大疗效、隐瞒风险等方式诱导顾客购药。</w:t>
      </w:r>
    </w:p>
    <w:p w14:paraId="577CF368">
      <w:pPr>
        <w:pStyle w:val="214"/>
      </w:pPr>
      <w:r>
        <w:rPr>
          <w:rFonts w:hint="eastAsia"/>
        </w:rPr>
        <w:t>保护顾客隐私，严守信息机密：在与顾客沟通或处理用药记录时，对顾客的个人信息严格保密，不随意泄露给无关人员，确保顾客隐私不受侵犯。</w:t>
      </w:r>
    </w:p>
    <w:p w14:paraId="50891A45">
      <w:pPr>
        <w:pStyle w:val="214"/>
      </w:pPr>
      <w:r>
        <w:rPr>
          <w:rFonts w:hint="eastAsia"/>
        </w:rPr>
        <w:t>尽职尽责，保障用药安全：以顾客用药安全为首要责任，对处方审核、药品调配等工作高度负责，发现处方存在不合理用药、配伍禁忌等问题时，及时与医生沟通。</w:t>
      </w:r>
    </w:p>
    <w:p w14:paraId="2722A991">
      <w:pPr>
        <w:pStyle w:val="59"/>
        <w:ind w:firstLine="420"/>
      </w:pPr>
    </w:p>
    <w:p w14:paraId="09EF2EC2">
      <w:pPr>
        <w:pStyle w:val="59"/>
        <w:ind w:firstLine="420"/>
      </w:pPr>
    </w:p>
    <w:p w14:paraId="29F90C16">
      <w:pPr>
        <w:pStyle w:val="59"/>
        <w:ind w:firstLine="420"/>
      </w:pPr>
    </w:p>
    <w:p w14:paraId="5264B35A">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0826CF69">
      <w:pPr>
        <w:pStyle w:val="201"/>
      </w:pPr>
    </w:p>
    <w:p w14:paraId="06D7CD66">
      <w:pPr>
        <w:pStyle w:val="202"/>
      </w:pPr>
    </w:p>
    <w:p w14:paraId="313CBA66">
      <w:pPr>
        <w:pStyle w:val="79"/>
        <w:spacing w:after="120"/>
      </w:pPr>
      <w:bookmarkStart w:id="93" w:name="_Toc25464"/>
      <w:r>
        <w:br w:type="textWrapping"/>
      </w:r>
      <w:bookmarkStart w:id="94" w:name="_Toc211241038"/>
      <w:r>
        <w:rPr>
          <w:rFonts w:hint="eastAsia"/>
        </w:rPr>
        <w:t>（资料性）</w:t>
      </w:r>
      <w:r>
        <w:br w:type="textWrapping"/>
      </w:r>
      <w:r>
        <w:rPr>
          <w:rFonts w:hint="eastAsia"/>
        </w:rPr>
        <w:t>职业素养服务人员要求</w:t>
      </w:r>
      <w:bookmarkEnd w:id="93"/>
      <w:bookmarkEnd w:id="94"/>
    </w:p>
    <w:p w14:paraId="2647CE59">
      <w:pPr>
        <w:pStyle w:val="214"/>
      </w:pPr>
      <w:r>
        <w:rPr>
          <w:rFonts w:hint="eastAsia"/>
        </w:rPr>
        <w:t>服务意识，主动关怀顾客：具备强烈的服务理念，主动关注顾客需求，耐心倾听顾客的用药疑问，用通俗易懂的语言解答问题，避免使用专业术语让顾客困惑。对行动不便、老年顾客等特殊群体，提供更贴心的帮助，如指导用药流程、提醒注意事项等。</w:t>
      </w:r>
    </w:p>
    <w:p w14:paraId="1B44480B">
      <w:pPr>
        <w:pStyle w:val="214"/>
      </w:pPr>
      <w:r>
        <w:rPr>
          <w:rFonts w:hint="eastAsia"/>
        </w:rPr>
        <w:t>责任担当，勇于承担后果：在工作中出现失误时，不推诿责任，主动采取补救措施减少对顾客的影响，并总结经验教训避免再次犯错。对药品质量、有效期等问题保持高度警惕，发现问题药品及时上报并处理，防止流入顾客手中。</w:t>
      </w:r>
    </w:p>
    <w:p w14:paraId="017C91BB">
      <w:pPr>
        <w:pStyle w:val="214"/>
      </w:pPr>
      <w:r>
        <w:rPr>
          <w:rFonts w:hint="eastAsia"/>
        </w:rPr>
        <w:t>沟通能力，高效化解矛盾：掌握医患沟通技巧，面对顾客的质疑或不满时，保持冷静耐心，先倾听顾客诉求，再用专业知识和温和态度解释说明，避免冲突升级。同时，能与医生、药店其他工作人员有效协作，共同解决用药相关问题。</w:t>
      </w:r>
    </w:p>
    <w:p w14:paraId="136203E9">
      <w:pPr>
        <w:pStyle w:val="59"/>
        <w:ind w:firstLine="420"/>
      </w:pPr>
    </w:p>
    <w:p w14:paraId="419F520C">
      <w:pPr>
        <w:pStyle w:val="59"/>
        <w:ind w:firstLine="420"/>
      </w:pPr>
    </w:p>
    <w:p w14:paraId="4340133E">
      <w:pPr>
        <w:pStyle w:val="59"/>
        <w:ind w:firstLine="420"/>
      </w:pPr>
    </w:p>
    <w:p w14:paraId="7B080C78">
      <w:pPr>
        <w:pStyle w:val="59"/>
        <w:ind w:firstLine="420"/>
      </w:pPr>
    </w:p>
    <w:p w14:paraId="449663D1">
      <w:pPr>
        <w:pStyle w:val="59"/>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pgNumType w:start="0"/>
          <w:cols w:space="425" w:num="1"/>
          <w:formProt w:val="0"/>
          <w:docGrid w:linePitch="312" w:charSpace="0"/>
        </w:sectPr>
      </w:pPr>
    </w:p>
    <w:p w14:paraId="4882376D">
      <w:pPr>
        <w:pStyle w:val="201"/>
      </w:pPr>
    </w:p>
    <w:p w14:paraId="507A6AD6">
      <w:pPr>
        <w:pStyle w:val="202"/>
      </w:pPr>
    </w:p>
    <w:p w14:paraId="6E73ABBE">
      <w:pPr>
        <w:pStyle w:val="79"/>
        <w:spacing w:after="120"/>
      </w:pPr>
      <w:r>
        <w:br w:type="textWrapping"/>
      </w:r>
      <w:bookmarkStart w:id="95" w:name="_Toc211241039"/>
      <w:r>
        <w:rPr>
          <w:rFonts w:hint="eastAsia"/>
        </w:rPr>
        <w:t>（资料性）</w:t>
      </w:r>
      <w:r>
        <w:br w:type="textWrapping"/>
      </w:r>
      <w:r>
        <w:rPr>
          <w:rFonts w:hint="eastAsia"/>
        </w:rPr>
        <w:t>药品管理服务人员要求</w:t>
      </w:r>
      <w:bookmarkEnd w:id="95"/>
    </w:p>
    <w:p w14:paraId="5D2A667D">
      <w:pPr>
        <w:pStyle w:val="81"/>
        <w:spacing w:before="120" w:after="120"/>
      </w:pPr>
      <w:bookmarkStart w:id="96" w:name="_Toc211241040"/>
      <w:r>
        <w:rPr>
          <w:rFonts w:hint="eastAsia"/>
        </w:rPr>
        <w:t>采购与验收</w:t>
      </w:r>
      <w:bookmarkEnd w:id="96"/>
    </w:p>
    <w:p w14:paraId="1C3F66E6">
      <w:pPr>
        <w:pStyle w:val="215"/>
      </w:pPr>
      <w:r>
        <w:rPr>
          <w:rFonts w:hint="eastAsia"/>
        </w:rPr>
        <w:t>了解采购记录内容，应包括药品通用名称、剂型、规格、生产厂商、供货单位、数量、价格、购货日期等内容。</w:t>
      </w:r>
    </w:p>
    <w:p w14:paraId="18468E92">
      <w:pPr>
        <w:pStyle w:val="182"/>
      </w:pPr>
      <w:r>
        <w:rPr>
          <w:rFonts w:hint="eastAsia"/>
        </w:rPr>
        <w:t>采购中药饮片的还应当标明产地等内容。</w:t>
      </w:r>
    </w:p>
    <w:p w14:paraId="043D4A89">
      <w:pPr>
        <w:pStyle w:val="215"/>
      </w:pPr>
      <w:r>
        <w:rPr>
          <w:rFonts w:hint="eastAsia"/>
        </w:rPr>
        <w:t>了解验收时应按规定程序和要求对到货药品逐批进行。</w:t>
      </w:r>
    </w:p>
    <w:p w14:paraId="2AE65DC1">
      <w:pPr>
        <w:pStyle w:val="215"/>
      </w:pPr>
      <w:r>
        <w:rPr>
          <w:rFonts w:hint="eastAsia"/>
        </w:rPr>
        <w:t>了解验收药品时应当做好验收记录，记录内容包括药品的通用名称、剂型、规格、批准文号、批号、生产日期、有效期、生产厂商、供货单位、到货数量、到货日期、验收合格数量、验收结果等内容。</w:t>
      </w:r>
    </w:p>
    <w:p w14:paraId="6AD7907B">
      <w:pPr>
        <w:pStyle w:val="81"/>
        <w:spacing w:before="120" w:after="120"/>
      </w:pPr>
      <w:bookmarkStart w:id="97" w:name="_Toc211241041"/>
      <w:r>
        <w:rPr>
          <w:rFonts w:hint="eastAsia"/>
        </w:rPr>
        <w:t>陈列与储存</w:t>
      </w:r>
      <w:bookmarkEnd w:id="97"/>
    </w:p>
    <w:p w14:paraId="2D7F50AA">
      <w:pPr>
        <w:pStyle w:val="215"/>
      </w:pPr>
      <w:r>
        <w:rPr>
          <w:rFonts w:hint="eastAsia"/>
        </w:rPr>
        <w:t>了解存放、陈列药品的设备应当保持清洁卫生，无破损和杂物堆放，并采取防虫、防鼠等措施，不应放置与销售活动无关的物品。</w:t>
      </w:r>
    </w:p>
    <w:p w14:paraId="441A26F7">
      <w:pPr>
        <w:pStyle w:val="215"/>
      </w:pPr>
      <w:r>
        <w:rPr>
          <w:rFonts w:hint="eastAsia"/>
        </w:rPr>
        <w:t>药品陈列应当设置醒目标志，类别标签字迹清晰、放置准确。陈列的药品应当放置于货架（柜），摆放整齐有序。</w:t>
      </w:r>
    </w:p>
    <w:p w14:paraId="25F3FDA3">
      <w:pPr>
        <w:pStyle w:val="215"/>
      </w:pPr>
      <w:r>
        <w:rPr>
          <w:rFonts w:hint="eastAsia"/>
        </w:rPr>
        <w:t>按包装标示的温度要求储存药品，包装上没有标示具体温度的应按照《中华人民共和国药典》规定的贮藏要求进行储存。</w:t>
      </w:r>
    </w:p>
    <w:p w14:paraId="2F7DDD28">
      <w:pPr>
        <w:pStyle w:val="81"/>
        <w:spacing w:before="120" w:after="120"/>
      </w:pPr>
      <w:bookmarkStart w:id="98" w:name="_Toc211241042"/>
      <w:r>
        <w:rPr>
          <w:rFonts w:hint="eastAsia"/>
        </w:rPr>
        <w:t>冷链药品管理</w:t>
      </w:r>
      <w:bookmarkEnd w:id="98"/>
      <w:r>
        <w:rPr>
          <w:rFonts w:hint="eastAsia"/>
        </w:rPr>
        <w:t xml:space="preserve"> </w:t>
      </w:r>
    </w:p>
    <w:p w14:paraId="78112D50">
      <w:pPr>
        <w:pStyle w:val="215"/>
      </w:pPr>
      <w:r>
        <w:rPr>
          <w:rFonts w:hint="eastAsia"/>
        </w:rPr>
        <w:t>运输中应实时监控温度，交付时向顾客说明贮存条件（如2～8℃冷藏）。</w:t>
      </w:r>
    </w:p>
    <w:p w14:paraId="46C38DDA">
      <w:pPr>
        <w:pStyle w:val="215"/>
      </w:pPr>
      <w:r>
        <w:rPr>
          <w:rFonts w:hint="eastAsia"/>
        </w:rPr>
        <w:t>熟悉冷链药品的储存、运输要求和温度监控方法（是否可以补充附件），如了解胰岛素、单克隆抗体等冷链药品的冷链管理要点。</w:t>
      </w:r>
    </w:p>
    <w:p w14:paraId="636C3414">
      <w:pPr>
        <w:pStyle w:val="81"/>
        <w:spacing w:before="120" w:after="120"/>
      </w:pPr>
      <w:bookmarkStart w:id="99" w:name="_Toc211241043"/>
      <w:r>
        <w:rPr>
          <w:rFonts w:hint="eastAsia"/>
        </w:rPr>
        <w:t>药品销售</w:t>
      </w:r>
      <w:bookmarkEnd w:id="99"/>
    </w:p>
    <w:p w14:paraId="3E5E1389">
      <w:pPr>
        <w:pStyle w:val="215"/>
      </w:pPr>
      <w:r>
        <w:rPr>
          <w:rFonts w:hint="eastAsia"/>
        </w:rPr>
        <w:t>对处方所列药品不应擅自更改或代用，对有配伍禁忌或超剂量的处方，应拒绝调配。</w:t>
      </w:r>
    </w:p>
    <w:p w14:paraId="322464F6">
      <w:pPr>
        <w:pStyle w:val="215"/>
      </w:pPr>
      <w:r>
        <w:rPr>
          <w:rFonts w:hint="eastAsia"/>
        </w:rPr>
        <w:t>经处方医师更正或重新签字确认的可以调配。</w:t>
      </w:r>
    </w:p>
    <w:p w14:paraId="45E6C74A">
      <w:pPr>
        <w:pStyle w:val="215"/>
      </w:pPr>
      <w:r>
        <w:rPr>
          <w:rFonts w:hint="eastAsia"/>
        </w:rPr>
        <w:t>处方审核、调配、核对人员应当在处方上签字或盖章，并按照有关规定保存处方或其复印件。</w:t>
      </w:r>
    </w:p>
    <w:p w14:paraId="6D4F0EAF">
      <w:pPr>
        <w:pStyle w:val="215"/>
      </w:pPr>
      <w:r>
        <w:rPr>
          <w:rFonts w:hint="eastAsia"/>
        </w:rPr>
        <w:t>应做好拆零销售记录，包括拆零起始日期、药品的通用名称、规格、批号、生产厂商、有效期、销售数量、销售日期、分拆及复核人员等内容。</w:t>
      </w:r>
    </w:p>
    <w:p w14:paraId="2526C178">
      <w:pPr>
        <w:pStyle w:val="215"/>
      </w:pPr>
      <w:r>
        <w:rPr>
          <w:rFonts w:hint="eastAsia"/>
        </w:rPr>
        <w:t>销售特殊管理的药品和国家有专门管理要求的药品，应当严格执行国家有关规定。</w:t>
      </w:r>
    </w:p>
    <w:p w14:paraId="7B7C033C">
      <w:pPr>
        <w:pStyle w:val="215"/>
      </w:pPr>
      <w:r>
        <w:rPr>
          <w:rFonts w:hint="eastAsia"/>
        </w:rPr>
        <w:t>在营业场所公布药品监督管理部门的监督电话，设置顾客意见簿，及时处理顾客对药品质量的投诉。</w:t>
      </w:r>
    </w:p>
    <w:p w14:paraId="7C10ACEC">
      <w:pPr>
        <w:pStyle w:val="81"/>
        <w:spacing w:before="120" w:after="120"/>
      </w:pPr>
      <w:bookmarkStart w:id="100" w:name="_Toc211241044"/>
      <w:r>
        <w:rPr>
          <w:rFonts w:hint="eastAsia"/>
        </w:rPr>
        <w:t>医保及商保政策</w:t>
      </w:r>
      <w:bookmarkEnd w:id="100"/>
    </w:p>
    <w:p w14:paraId="7990CC66">
      <w:pPr>
        <w:pStyle w:val="215"/>
      </w:pPr>
      <w:r>
        <w:rPr>
          <w:rFonts w:hint="eastAsia"/>
        </w:rPr>
        <w:t>政策服务：掌握国家和地方的医保政策，特别是关于特殊药品的医保报销范围、报销比例、报销流程等；了解商业保险中与特殊药品相关的险种、理赔条件和流程，能够为顾客提供医保和商保方面的咨询服务。</w:t>
      </w:r>
    </w:p>
    <w:p w14:paraId="31E60E07">
      <w:pPr>
        <w:pStyle w:val="215"/>
      </w:pPr>
      <w:r>
        <w:rPr>
          <w:rFonts w:hint="eastAsia"/>
        </w:rPr>
        <w:t>医保结算：支持医保电子凭证、解读医保目录（如肿瘤药报销比例）。</w:t>
      </w:r>
    </w:p>
    <w:p w14:paraId="3463A659">
      <w:pPr>
        <w:pStyle w:val="215"/>
      </w:pPr>
      <w:r>
        <w:rPr>
          <w:rFonts w:hint="eastAsia"/>
        </w:rPr>
        <w:t>商业保险对接：协助患者申请理赔，提供慈善援助咨询。</w:t>
      </w:r>
    </w:p>
    <w:p w14:paraId="7BB8F910">
      <w:pPr>
        <w:pStyle w:val="59"/>
        <w:ind w:firstLine="420"/>
      </w:pPr>
    </w:p>
    <w:p w14:paraId="003D2465">
      <w:pPr>
        <w:pStyle w:val="59"/>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pgNumType w:start="0"/>
          <w:cols w:space="425" w:num="1"/>
          <w:formProt w:val="0"/>
          <w:docGrid w:linePitch="312" w:charSpace="0"/>
        </w:sectPr>
      </w:pPr>
    </w:p>
    <w:p w14:paraId="0B14ECAE">
      <w:pPr>
        <w:pStyle w:val="201"/>
      </w:pPr>
    </w:p>
    <w:p w14:paraId="719BBC8C">
      <w:pPr>
        <w:pStyle w:val="202"/>
      </w:pPr>
    </w:p>
    <w:p w14:paraId="2F84E815">
      <w:pPr>
        <w:pStyle w:val="79"/>
        <w:spacing w:after="120"/>
      </w:pPr>
      <w:r>
        <w:br w:type="textWrapping"/>
      </w:r>
      <w:bookmarkStart w:id="101" w:name="_Toc211241045"/>
      <w:r>
        <w:rPr>
          <w:rFonts w:hint="eastAsia"/>
        </w:rPr>
        <w:t>（资料性）</w:t>
      </w:r>
      <w:r>
        <w:br w:type="textWrapping"/>
      </w:r>
      <w:r>
        <w:rPr>
          <w:rFonts w:hint="eastAsia"/>
        </w:rPr>
        <w:t>应急处理</w:t>
      </w:r>
      <w:bookmarkEnd w:id="101"/>
    </w:p>
    <w:p w14:paraId="2A5752A4">
      <w:pPr>
        <w:pStyle w:val="81"/>
        <w:spacing w:before="120" w:after="120"/>
      </w:pPr>
      <w:bookmarkStart w:id="102" w:name="_Toc211241046"/>
      <w:r>
        <w:rPr>
          <w:rFonts w:hint="eastAsia"/>
        </w:rPr>
        <w:t>药物不良反应</w:t>
      </w:r>
      <w:bookmarkEnd w:id="102"/>
    </w:p>
    <w:p w14:paraId="69B7F667">
      <w:pPr>
        <w:pStyle w:val="215"/>
      </w:pPr>
      <w:r>
        <w:rPr>
          <w:rFonts w:hint="eastAsia"/>
        </w:rPr>
        <w:t>在药店运营中，若遇顾客服用后疑似出现严重不良反应，如过敏休克、严重呕吐腹泻等，应立刻停用药品，呼叫急救（拨打“120”），同时留存药品样本、记录顾客症状与用药信息，便于后续溯源。</w:t>
      </w:r>
    </w:p>
    <w:p w14:paraId="172FDC6D">
      <w:pPr>
        <w:pStyle w:val="215"/>
      </w:pPr>
      <w:r>
        <w:rPr>
          <w:rFonts w:hint="eastAsia"/>
        </w:rPr>
        <w:t>上报流程：记录顾客信息（姓名、联系方式）、药品信息（名称、批号、厂家）及反应详情，24 小时内通过企业内部上报渠道或国家药品不良反应监测系统提交报告，留存相关记录备查。</w:t>
      </w:r>
    </w:p>
    <w:p w14:paraId="314947C6">
      <w:pPr>
        <w:pStyle w:val="81"/>
        <w:spacing w:before="120" w:after="120"/>
      </w:pPr>
      <w:bookmarkStart w:id="103" w:name="_Toc211241047"/>
      <w:r>
        <w:rPr>
          <w:rFonts w:hint="eastAsia"/>
        </w:rPr>
        <w:t>突发疾病</w:t>
      </w:r>
      <w:bookmarkEnd w:id="103"/>
    </w:p>
    <w:p w14:paraId="26C75C64">
      <w:pPr>
        <w:pStyle w:val="215"/>
      </w:pPr>
      <w:r>
        <w:rPr>
          <w:rFonts w:hint="eastAsia"/>
        </w:rPr>
        <w:t>癫痫发作:迅速将顾客周围尖锐、危险物品移开，防止顾客在抽搐过程中受伤；让顾客侧卧，头偏向一侧，以保持呼吸道通畅，避免口腔分泌物或呕吐物导致窒息；不要强行按压顾客肢体，以免造成骨折等伤害；若癫痫发作持续超过5分钟或短时间内多次发作，立即拨打“120”急救电话。</w:t>
      </w:r>
    </w:p>
    <w:p w14:paraId="09953D77">
      <w:pPr>
        <w:pStyle w:val="215"/>
      </w:pPr>
      <w:r>
        <w:rPr>
          <w:rFonts w:hint="eastAsia"/>
        </w:rPr>
        <w:t>哮喘急性发作:协助顾客坐下或半卧位休息，保持环境通风；若顾客随身携带有支气管扩张剂，指导其正确使用，一般可先按压1 - 2喷，观察症状是否缓解；若症状未改善或持续加重，及时拨打“120”。</w:t>
      </w:r>
    </w:p>
    <w:p w14:paraId="5FAB8A54">
      <w:pPr>
        <w:pStyle w:val="215"/>
      </w:pPr>
      <w:r>
        <w:rPr>
          <w:rFonts w:hint="eastAsia"/>
        </w:rPr>
        <w:t>中风突发：迅速协助顾客取平卧位，若有呕吐需将头部偏向一侧，清理口鼻分泌物防窒息；解开领口、袖口保持呼吸通畅，勿随意移动头部和颈部。密切观察意识、呼吸、脉搏，若意识丧失、呼吸微弱或停止，立即做心肺复苏；若顾客携带中风急救药，可协助正确服用。症状未缓解或加重（如单侧肢体完全不能动、剧烈头痛、昏迷），立即拨打“120”，等待时持续关注生命体征。</w:t>
      </w:r>
    </w:p>
    <w:p w14:paraId="1A2393C6">
      <w:pPr>
        <w:pStyle w:val="81"/>
        <w:spacing w:before="120" w:after="120"/>
      </w:pPr>
      <w:bookmarkStart w:id="104" w:name="_Toc211241048"/>
      <w:r>
        <w:rPr>
          <w:rFonts w:hint="eastAsia"/>
        </w:rPr>
        <w:t>外伤应急</w:t>
      </w:r>
      <w:bookmarkEnd w:id="104"/>
    </w:p>
    <w:p w14:paraId="11C35D47">
      <w:pPr>
        <w:pStyle w:val="215"/>
      </w:pPr>
      <w:r>
        <w:rPr>
          <w:rFonts w:hint="eastAsia"/>
        </w:rPr>
        <w:t>掌握“止血-清创-消毒-包扎”核心流程：</w:t>
      </w:r>
    </w:p>
    <w:p w14:paraId="3C0DECCC">
      <w:pPr>
        <w:pStyle w:val="135"/>
      </w:pPr>
      <w:r>
        <w:rPr>
          <w:rFonts w:hint="eastAsia"/>
        </w:rPr>
        <w:t>止血：立即用无菌纱布或洁净敷料覆盖伤口，施行直接压迫法。如伤口在肢体，可同时抬高患处至心脏水平以上。</w:t>
      </w:r>
    </w:p>
    <w:p w14:paraId="17D7960E">
      <w:pPr>
        <w:pStyle w:val="135"/>
      </w:pPr>
      <w:r>
        <w:rPr>
          <w:rFonts w:hint="eastAsia"/>
        </w:rPr>
        <w:t>清创：使用足量生理盐水，充分冲洗伤口，以去除泥沙等异物。</w:t>
      </w:r>
    </w:p>
    <w:p w14:paraId="10295494">
      <w:pPr>
        <w:pStyle w:val="135"/>
      </w:pPr>
      <w:r>
        <w:rPr>
          <w:rFonts w:hint="eastAsia"/>
        </w:rPr>
        <w:t>消毒：用无菌棉签蘸取碘伏，以伤口为中心，由内向外画圈式擦拭消毒。</w:t>
      </w:r>
    </w:p>
    <w:p w14:paraId="5E3F3245">
      <w:pPr>
        <w:pStyle w:val="135"/>
      </w:pPr>
      <w:r>
        <w:rPr>
          <w:rFonts w:hint="eastAsia"/>
        </w:rPr>
        <w:t>包扎：使用无菌敷料（如纱布、创可贴）覆盖伤口，并用胶带或绷带妥善固定，保持松紧适度。</w:t>
      </w:r>
    </w:p>
    <w:p w14:paraId="73BCA5B7">
      <w:pPr>
        <w:pStyle w:val="215"/>
      </w:pPr>
      <w:r>
        <w:rPr>
          <w:rFonts w:hint="eastAsia"/>
        </w:rPr>
        <w:t>出血不止、伤口过深、重度污染等，立即到医院就诊。</w:t>
      </w:r>
    </w:p>
    <w:p w14:paraId="6C688B33">
      <w:pPr>
        <w:pStyle w:val="59"/>
        <w:ind w:firstLine="420"/>
      </w:pPr>
    </w:p>
    <w:p w14:paraId="54EF1BCB">
      <w:pPr>
        <w:pStyle w:val="59"/>
        <w:ind w:firstLine="420"/>
      </w:pPr>
    </w:p>
    <w:p w14:paraId="04C7C76D">
      <w:pPr>
        <w:pStyle w:val="59"/>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pPr>
    </w:p>
    <w:p w14:paraId="0D8BF62D">
      <w:pPr>
        <w:pStyle w:val="201"/>
      </w:pPr>
    </w:p>
    <w:p w14:paraId="62612456">
      <w:pPr>
        <w:pStyle w:val="202"/>
      </w:pPr>
    </w:p>
    <w:p w14:paraId="0612FA5F">
      <w:pPr>
        <w:pStyle w:val="79"/>
        <w:spacing w:after="120"/>
      </w:pPr>
      <w:r>
        <w:br w:type="textWrapping"/>
      </w:r>
      <w:bookmarkStart w:id="105" w:name="_Toc211241049"/>
      <w:r>
        <w:rPr>
          <w:rFonts w:hint="eastAsia"/>
        </w:rPr>
        <w:t>（资料性）</w:t>
      </w:r>
      <w:r>
        <w:br w:type="textWrapping"/>
      </w:r>
      <w:r>
        <w:rPr>
          <w:rFonts w:hint="eastAsia"/>
        </w:rPr>
        <w:t>顾客关系管理</w:t>
      </w:r>
      <w:bookmarkEnd w:id="105"/>
    </w:p>
    <w:p w14:paraId="7C45E1CB">
      <w:pPr>
        <w:pStyle w:val="81"/>
        <w:spacing w:before="120" w:after="120"/>
      </w:pPr>
      <w:bookmarkStart w:id="106" w:name="_Toc211241050"/>
      <w:r>
        <w:rPr>
          <w:rFonts w:hint="eastAsia"/>
        </w:rPr>
        <w:t>顾客投诉事件处理</w:t>
      </w:r>
      <w:bookmarkEnd w:id="106"/>
    </w:p>
    <w:p w14:paraId="073C0CA9">
      <w:pPr>
        <w:pStyle w:val="82"/>
        <w:spacing w:before="120" w:after="120"/>
      </w:pPr>
      <w:r>
        <w:rPr>
          <w:rFonts w:hint="eastAsia"/>
        </w:rPr>
        <w:t>投诉受理</w:t>
      </w:r>
    </w:p>
    <w:p w14:paraId="5EFF74B5">
      <w:pPr>
        <w:pStyle w:val="59"/>
        <w:ind w:firstLine="420"/>
      </w:pPr>
      <w:r>
        <w:rPr>
          <w:rFonts w:hint="eastAsia"/>
        </w:rPr>
        <w:t>接待人员需使用礼貌用语，全程记录投诉时间、联系人信息、投诉事项、相关药品、员工信息等，确保无遗漏。</w:t>
      </w:r>
    </w:p>
    <w:p w14:paraId="47374CDC">
      <w:pPr>
        <w:pStyle w:val="82"/>
        <w:spacing w:before="120" w:after="120"/>
      </w:pPr>
      <w:r>
        <w:rPr>
          <w:rFonts w:hint="eastAsia"/>
        </w:rPr>
        <w:t>即时响应</w:t>
      </w:r>
    </w:p>
    <w:p w14:paraId="1FE3C80E">
      <w:pPr>
        <w:pStyle w:val="59"/>
        <w:ind w:firstLine="420"/>
      </w:pPr>
      <w:r>
        <w:rPr>
          <w:rFonts w:hint="eastAsia"/>
        </w:rPr>
        <w:t>当场可解决的投诉立即处理；无法即时解决的，明确告知顾客24小时内给予初步反馈，一般投诉3个工作日内办结，复杂投诉7个工作日内回复进展。</w:t>
      </w:r>
    </w:p>
    <w:p w14:paraId="40BB1A04">
      <w:pPr>
        <w:pStyle w:val="82"/>
        <w:spacing w:before="120" w:after="120"/>
      </w:pPr>
      <w:r>
        <w:rPr>
          <w:rFonts w:hint="eastAsia"/>
        </w:rPr>
        <w:t>调查与处置流程</w:t>
      </w:r>
    </w:p>
    <w:p w14:paraId="67294F2C">
      <w:pPr>
        <w:pStyle w:val="216"/>
      </w:pPr>
      <w:r>
        <w:rPr>
          <w:rFonts w:hint="eastAsia"/>
        </w:rPr>
        <w:t>药品质量投诉由质量负责人牵头，核查采购验收记录、储存条件、药品效期等，必要时送检并联系供应商溯源。服务质量投诉应调取监控、访谈涉事员工及目击人员，核实服务流程是否符合规范。</w:t>
      </w:r>
    </w:p>
    <w:p w14:paraId="05FACFA6">
      <w:pPr>
        <w:pStyle w:val="216"/>
      </w:pPr>
      <w:r>
        <w:rPr>
          <w:rFonts w:hint="eastAsia"/>
        </w:rPr>
        <w:t>解决方案实施：质量问题立即下架同批次药品，为顾客办理退款/换货，若造成健康影响，协助对接医疗机构并按法规赔偿。服务问题由涉事员工致歉。告知顾客处理结果及改进措施，确认顾客满意度。</w:t>
      </w:r>
    </w:p>
    <w:p w14:paraId="5002EAC7">
      <w:pPr>
        <w:pStyle w:val="81"/>
        <w:spacing w:before="120" w:after="120"/>
      </w:pPr>
      <w:bookmarkStart w:id="107" w:name="_Toc211241051"/>
      <w:r>
        <w:rPr>
          <w:rFonts w:hint="eastAsia"/>
        </w:rPr>
        <w:t>顾客争吵事件处理</w:t>
      </w:r>
      <w:bookmarkEnd w:id="107"/>
    </w:p>
    <w:p w14:paraId="5358E4DF">
      <w:pPr>
        <w:pStyle w:val="215"/>
      </w:pPr>
      <w:r>
        <w:rPr>
          <w:rFonts w:hint="eastAsia"/>
        </w:rPr>
        <w:t>当顾客与员工发生争吵时，在岗管理人员需立即介入，引导当事人至非营业区域（如接待室），避免影响其他顾客或扩大冲突。介入时使用中立话术：“您好，我们非常理解您的心情，能否先到这边坐下沟通，我们一定尽力帮您解决问题。”</w:t>
      </w:r>
    </w:p>
    <w:p w14:paraId="1BD20CC7">
      <w:pPr>
        <w:pStyle w:val="215"/>
      </w:pPr>
      <w:r>
        <w:rPr>
          <w:rFonts w:hint="eastAsia"/>
        </w:rPr>
        <w:t>冲突调解流程：听取各方诉求，不打断、不评判，同步记录争吵起因及核心矛盾点。针对药品相关争议，由执业药师提供权威解释；针对服务问题，当场致歉并说明改进措施。提出具体解决方案，直至双方认可，避免矛盾升级。</w:t>
      </w:r>
    </w:p>
    <w:p w14:paraId="13A08F8B">
      <w:pPr>
        <w:pStyle w:val="215"/>
      </w:pPr>
      <w:r>
        <w:rPr>
          <w:rFonts w:hint="eastAsia"/>
        </w:rPr>
        <w:t>特殊情况处置：若争吵引发肢体冲突或顾客情绪失控，安排专人维护现场秩序，拨打110报警，同时保护药品及设施安全，待警方介入后配合调查。</w:t>
      </w:r>
    </w:p>
    <w:p w14:paraId="690F088F">
      <w:pPr>
        <w:pStyle w:val="59"/>
        <w:ind w:firstLine="420"/>
      </w:pPr>
    </w:p>
    <w:p w14:paraId="71C21EC1">
      <w:pPr>
        <w:pStyle w:val="59"/>
        <w:ind w:firstLine="420"/>
      </w:pPr>
    </w:p>
    <w:p w14:paraId="77693EC6">
      <w:pPr>
        <w:pStyle w:val="59"/>
        <w:ind w:firstLine="420"/>
      </w:pPr>
    </w:p>
    <w:p w14:paraId="21BE9FD6">
      <w:pPr>
        <w:pStyle w:val="59"/>
        <w:ind w:firstLine="420"/>
      </w:pPr>
    </w:p>
    <w:bookmarkEnd w:id="90"/>
    <w:p w14:paraId="4822417B">
      <w:pPr>
        <w:pStyle w:val="59"/>
        <w:ind w:firstLine="420"/>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linePitch="312" w:charSpace="0"/>
        </w:sectPr>
      </w:pPr>
    </w:p>
    <w:p w14:paraId="62B4AA5E">
      <w:pPr>
        <w:pStyle w:val="66"/>
        <w:spacing w:after="120"/>
      </w:pPr>
      <w:bookmarkStart w:id="108" w:name="_Toc211241052"/>
      <w:bookmarkStart w:id="109" w:name="_Toc26747"/>
      <w:bookmarkStart w:id="110" w:name="BookMark6"/>
      <w:r>
        <w:rPr>
          <w:rFonts w:hint="eastAsia"/>
          <w:spacing w:val="105"/>
        </w:rPr>
        <w:t>参考文</w:t>
      </w:r>
      <w:r>
        <w:rPr>
          <w:rFonts w:hint="eastAsia"/>
        </w:rPr>
        <w:t>献</w:t>
      </w:r>
      <w:bookmarkEnd w:id="108"/>
      <w:bookmarkEnd w:id="109"/>
    </w:p>
    <w:p w14:paraId="49CB7D60">
      <w:pPr>
        <w:pStyle w:val="59"/>
        <w:ind w:firstLine="420"/>
      </w:pPr>
      <w:r>
        <w:rPr>
          <w:rFonts w:hint="eastAsia"/>
        </w:rPr>
        <w:t>[1] 《执业药师业务规范》</w:t>
      </w:r>
    </w:p>
    <w:p w14:paraId="07D32949">
      <w:pPr>
        <w:pStyle w:val="59"/>
        <w:ind w:firstLine="420"/>
      </w:pPr>
      <w:r>
        <w:rPr>
          <w:rFonts w:hint="eastAsia"/>
        </w:rPr>
        <w:t xml:space="preserve">[2] 《医疗机构药事管理规定》卫医政发(2011)11号 </w:t>
      </w:r>
    </w:p>
    <w:p w14:paraId="03A73F55">
      <w:pPr>
        <w:pStyle w:val="59"/>
        <w:ind w:firstLine="420"/>
      </w:pPr>
      <w:r>
        <w:rPr>
          <w:rFonts w:hint="eastAsia"/>
        </w:rPr>
        <w:t>[3] 《中药专业技术人员职称评价基本标准》人社部发[2021]51号</w:t>
      </w:r>
    </w:p>
    <w:p w14:paraId="7F373EDA">
      <w:pPr>
        <w:pStyle w:val="59"/>
        <w:ind w:firstLine="420"/>
      </w:pPr>
      <w:r>
        <w:rPr>
          <w:rFonts w:hint="eastAsia"/>
        </w:rPr>
        <w:t xml:space="preserve">[4] 《药学专业技术人员职称评价基本标准》人社部发[2021]51号 </w:t>
      </w:r>
    </w:p>
    <w:p w14:paraId="7563BD9F">
      <w:pPr>
        <w:pStyle w:val="59"/>
        <w:ind w:firstLine="420"/>
      </w:pPr>
      <w:r>
        <w:rPr>
          <w:rFonts w:hint="eastAsia"/>
        </w:rPr>
        <w:t>[5] 《“健康中国 2030”规划纲要》</w:t>
      </w:r>
    </w:p>
    <w:p w14:paraId="5E9A563C">
      <w:pPr>
        <w:pStyle w:val="59"/>
        <w:ind w:firstLine="420"/>
      </w:pPr>
      <w:r>
        <w:rPr>
          <w:rFonts w:hint="eastAsia"/>
        </w:rPr>
        <w:t>[6] 《临床药师培训指南》</w:t>
      </w:r>
    </w:p>
    <w:p w14:paraId="54386C3F">
      <w:pPr>
        <w:pStyle w:val="59"/>
        <w:ind w:firstLine="420"/>
      </w:pPr>
      <w:r>
        <w:rPr>
          <w:rFonts w:hint="eastAsia"/>
        </w:rPr>
        <w:t>[7] 《国家慢性病综合防控规划》国办发〔2017〕12 号</w:t>
      </w:r>
    </w:p>
    <w:p w14:paraId="2A73F464">
      <w:pPr>
        <w:pStyle w:val="59"/>
        <w:ind w:firstLine="420"/>
      </w:pPr>
      <w:r>
        <w:rPr>
          <w:rFonts w:hint="eastAsia"/>
        </w:rPr>
        <w:t>[8] 《国家基层高血压防治管理指南》</w:t>
      </w:r>
    </w:p>
    <w:p w14:paraId="72281FFE">
      <w:pPr>
        <w:pStyle w:val="59"/>
        <w:ind w:firstLine="420"/>
      </w:pPr>
      <w:r>
        <w:rPr>
          <w:rFonts w:hint="eastAsia"/>
        </w:rPr>
        <w:t>[9] 《国家基层糖尿病防治管理指南》</w:t>
      </w:r>
    </w:p>
    <w:p w14:paraId="5AAD93B2">
      <w:pPr>
        <w:pStyle w:val="59"/>
        <w:ind w:firstLine="420"/>
      </w:pPr>
      <w:r>
        <w:rPr>
          <w:rFonts w:hint="eastAsia"/>
        </w:rPr>
        <w:t>[10]《中国成人血脂异常防治指南》</w:t>
      </w:r>
    </w:p>
    <w:p w14:paraId="0CC16628">
      <w:pPr>
        <w:pStyle w:val="59"/>
        <w:ind w:firstLine="420"/>
      </w:pPr>
      <w:r>
        <w:rPr>
          <w:rFonts w:hint="eastAsia"/>
        </w:rPr>
        <w:t>[11]《冠心病合理用药指南》</w:t>
      </w:r>
    </w:p>
    <w:p w14:paraId="4C2100FC">
      <w:pPr>
        <w:pStyle w:val="59"/>
        <w:ind w:firstLine="420"/>
      </w:pPr>
      <w:r>
        <w:rPr>
          <w:rFonts w:hint="eastAsia"/>
        </w:rPr>
        <w:t>[12]《中国国家处方集》卫医政发〔2010〕10号</w:t>
      </w:r>
    </w:p>
    <w:p w14:paraId="7FBDABE6">
      <w:pPr>
        <w:pStyle w:val="59"/>
        <w:ind w:firstLine="420"/>
      </w:pPr>
      <w:r>
        <w:rPr>
          <w:rFonts w:hint="eastAsia"/>
        </w:rPr>
        <w:t>[13]《药学服务实践指南》</w:t>
      </w:r>
    </w:p>
    <w:p w14:paraId="3A9EF3FB">
      <w:pPr>
        <w:pStyle w:val="59"/>
        <w:ind w:firstLine="420"/>
      </w:pPr>
      <w:r>
        <w:rPr>
          <w:rFonts w:hint="eastAsia"/>
        </w:rPr>
        <w:t>[14]《中华人民共和国药典临床用药须知》</w:t>
      </w:r>
    </w:p>
    <w:p w14:paraId="60206634">
      <w:pPr>
        <w:pStyle w:val="59"/>
        <w:ind w:firstLine="420"/>
      </w:pPr>
      <w:r>
        <w:rPr>
          <w:rFonts w:hint="eastAsia"/>
        </w:rPr>
        <w:t>[15]《过敏性休克诊断与治疗中国专家共识》</w:t>
      </w:r>
    </w:p>
    <w:p w14:paraId="291F719D">
      <w:pPr>
        <w:pStyle w:val="59"/>
        <w:ind w:firstLine="420"/>
      </w:pPr>
      <w:r>
        <w:rPr>
          <w:rFonts w:hint="eastAsia"/>
        </w:rPr>
        <w:t xml:space="preserve">[16]《关于推进医疗机构间医学检验检查结果互认的指导意见》国卫医政发〔2024〕37号  </w:t>
      </w:r>
    </w:p>
    <w:p w14:paraId="2A0F29DC">
      <w:pPr>
        <w:pStyle w:val="59"/>
        <w:ind w:firstLine="420"/>
      </w:pPr>
      <w:r>
        <w:rPr>
          <w:rFonts w:hint="eastAsia"/>
        </w:rPr>
        <w:t>[17]《广西壮族自治区药品经营质量管理规范》（2017年修订）</w:t>
      </w:r>
    </w:p>
    <w:p w14:paraId="07F6EAD0">
      <w:pPr>
        <w:pStyle w:val="59"/>
        <w:ind w:firstLine="420"/>
      </w:pPr>
      <w:r>
        <w:rPr>
          <w:rFonts w:hint="eastAsia"/>
        </w:rPr>
        <w:t>[18]《中华人民共和国药品管理法》</w:t>
      </w:r>
    </w:p>
    <w:p w14:paraId="3F04338A">
      <w:pPr>
        <w:pStyle w:val="59"/>
        <w:ind w:firstLine="420"/>
      </w:pPr>
      <w:r>
        <w:rPr>
          <w:rFonts w:hint="eastAsia"/>
        </w:rPr>
        <w:t>[19]《药品经营质量管理规范》（2015年6月25日国家食品药品监督管理总局令第13号公布并施行）</w:t>
      </w:r>
    </w:p>
    <w:p w14:paraId="54F59372">
      <w:pPr>
        <w:pStyle w:val="59"/>
        <w:ind w:firstLine="420"/>
      </w:pPr>
      <w:r>
        <w:rPr>
          <w:rFonts w:hint="eastAsia"/>
        </w:rPr>
        <w:t>[20]《长期处方管理规范》国卫办医发〔2021〕17号</w:t>
      </w:r>
    </w:p>
    <w:p w14:paraId="5A53E614">
      <w:pPr>
        <w:pStyle w:val="59"/>
        <w:ind w:firstLine="420"/>
      </w:pPr>
      <w:r>
        <w:rPr>
          <w:rFonts w:hint="eastAsia"/>
        </w:rPr>
        <w:t>[21]《执业药师职业资格制度规定》国药监人〔2019〕12号</w:t>
      </w:r>
    </w:p>
    <w:p w14:paraId="273A55E2">
      <w:pPr>
        <w:pStyle w:val="59"/>
        <w:ind w:firstLine="420"/>
      </w:pPr>
      <w:r>
        <w:rPr>
          <w:rFonts w:hint="eastAsia"/>
        </w:rPr>
        <w:t>[22]《处方管理办法》中华人民共和国卫生部令第53号</w:t>
      </w:r>
    </w:p>
    <w:p w14:paraId="445A5A01">
      <w:pPr>
        <w:pStyle w:val="59"/>
        <w:ind w:firstLine="420"/>
      </w:pPr>
      <w:r>
        <w:rPr>
          <w:rFonts w:hint="eastAsia"/>
        </w:rPr>
        <w:t>[23]《医疗机构处方审核规范》</w:t>
      </w:r>
    </w:p>
    <w:p w14:paraId="6D07AF90">
      <w:pPr>
        <w:pStyle w:val="59"/>
        <w:ind w:firstLine="420"/>
      </w:pPr>
      <w:r>
        <w:rPr>
          <w:rFonts w:hint="eastAsia"/>
        </w:rPr>
        <w:t>[24]《中国急性缺血性脑卒中诊治指南 2018》</w:t>
      </w:r>
    </w:p>
    <w:p w14:paraId="33E2ECFE">
      <w:pPr>
        <w:pStyle w:val="59"/>
        <w:ind w:firstLine="420"/>
      </w:pPr>
      <w:r>
        <w:rPr>
          <w:rFonts w:hint="eastAsia"/>
        </w:rPr>
        <w:t>[25]《中国脑血管病临床管理指南（第二版）》</w:t>
      </w:r>
    </w:p>
    <w:p w14:paraId="0CCD4ADC">
      <w:pPr>
        <w:pStyle w:val="59"/>
        <w:ind w:firstLine="420"/>
      </w:pPr>
      <w:r>
        <w:rPr>
          <w:rFonts w:hint="eastAsia"/>
        </w:rPr>
        <w:t>[26]《基础创伤生命支持（BTLS）指南》</w:t>
      </w:r>
    </w:p>
    <w:p w14:paraId="0508418F">
      <w:pPr>
        <w:pStyle w:val="59"/>
        <w:ind w:firstLine="420"/>
      </w:pPr>
      <w:r>
        <w:rPr>
          <w:rFonts w:hint="eastAsia"/>
        </w:rPr>
        <w:t>[27]《外科手术部位感染预防与控制技术指南》</w:t>
      </w:r>
    </w:p>
    <w:p w14:paraId="012B2404">
      <w:pPr>
        <w:pStyle w:val="59"/>
        <w:ind w:firstLine="420"/>
      </w:pPr>
      <w:r>
        <w:rPr>
          <w:rFonts w:hint="eastAsia"/>
        </w:rPr>
        <w:t>[28]《现场急救培训教材》——中国红十字会</w:t>
      </w:r>
    </w:p>
    <w:p w14:paraId="4C61AEFF">
      <w:pPr>
        <w:pStyle w:val="59"/>
        <w:ind w:firstLine="420"/>
      </w:pPr>
      <w:r>
        <w:rPr>
          <w:rFonts w:hint="eastAsia"/>
        </w:rPr>
        <w:t>[29]《零售药店经营服务规范》（SB/T 10763）</w:t>
      </w:r>
    </w:p>
    <w:p w14:paraId="2EF3CFCB">
      <w:pPr>
        <w:pStyle w:val="59"/>
        <w:ind w:firstLine="420"/>
      </w:pPr>
      <w:r>
        <w:rPr>
          <w:rFonts w:hint="eastAsia"/>
        </w:rPr>
        <w:t>[30]《零售药店顾客投诉处理标准》</w:t>
      </w:r>
    </w:p>
    <w:p w14:paraId="496A999C">
      <w:pPr>
        <w:pStyle w:val="59"/>
        <w:ind w:firstLine="420"/>
      </w:pPr>
      <w:r>
        <w:rPr>
          <w:rFonts w:hint="eastAsia"/>
        </w:rPr>
        <w:t>[31]《零售药店顾客服务管理制度》</w:t>
      </w:r>
    </w:p>
    <w:p w14:paraId="478CAEA1">
      <w:pPr>
        <w:pStyle w:val="59"/>
        <w:ind w:firstLine="420"/>
      </w:pPr>
    </w:p>
    <w:p w14:paraId="2B3FEEE5">
      <w:pPr>
        <w:pStyle w:val="59"/>
        <w:ind w:firstLine="420"/>
      </w:pPr>
    </w:p>
    <w:p w14:paraId="0E6DE8B3">
      <w:pPr>
        <w:pStyle w:val="215"/>
        <w:numPr>
          <w:ilvl w:val="2"/>
          <w:numId w:val="0"/>
        </w:numPr>
        <w:rPr>
          <w:sz w:val="15"/>
          <w:szCs w:val="15"/>
        </w:rPr>
      </w:pPr>
    </w:p>
    <w:bookmarkEnd w:id="110"/>
    <w:p w14:paraId="20CFE6B7">
      <w:pPr>
        <w:pStyle w:val="215"/>
        <w:numPr>
          <w:ilvl w:val="2"/>
          <w:numId w:val="0"/>
        </w:numPr>
        <w:rPr>
          <w:sz w:val="15"/>
          <w:szCs w:val="15"/>
        </w:rPr>
      </w:pPr>
    </w:p>
    <w:sectPr>
      <w:headerReference r:id="rId43" w:type="default"/>
      <w:footerReference r:id="rId45" w:type="default"/>
      <w:headerReference r:id="rId44" w:type="even"/>
      <w:footerReference r:id="rId4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37552">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DDB89">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649B0">
    <w:pPr>
      <w:pStyle w:val="54"/>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42954">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1CB97">
    <w:pPr>
      <w:pStyle w:val="54"/>
    </w:pPr>
    <w:r>
      <w:fldChar w:fldCharType="begin"/>
    </w:r>
    <w:r>
      <w:instrText xml:space="preserve"> PAGE   \* MERGEFORMAT \* MERGEFORMAT </w:instrText>
    </w:r>
    <w:r>
      <w:fldChar w:fldCharType="separate"/>
    </w:r>
    <w:r>
      <w:t>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4D946">
    <w:pPr>
      <w:pStyle w:val="55"/>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C1515">
    <w:pPr>
      <w:pStyle w:val="54"/>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25147">
    <w:pPr>
      <w:pStyle w:val="55"/>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31A00">
    <w:pPr>
      <w:pStyle w:val="54"/>
    </w:pPr>
    <w:r>
      <w:fldChar w:fldCharType="begin"/>
    </w:r>
    <w:r>
      <w:instrText xml:space="preserve"> PAGE   \* MERGEFORMAT \* MERGEFORMAT </w:instrText>
    </w:r>
    <w:r>
      <w:fldChar w:fldCharType="separate"/>
    </w:r>
    <w:r>
      <w:t>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79413">
    <w:pPr>
      <w:pStyle w:val="55"/>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6F57F">
    <w:pPr>
      <w:pStyle w:val="54"/>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17BA3">
    <w:pPr>
      <w:pStyle w:val="18"/>
    </w:pPr>
    <w:r>
      <w:fldChar w:fldCharType="begin"/>
    </w:r>
    <w:r>
      <w:instrText xml:space="preserve">PAGE   \* MERGEFORMAT</w:instrText>
    </w:r>
    <w:r>
      <w:fldChar w:fldCharType="separate"/>
    </w:r>
    <w:r>
      <w:rPr>
        <w:lang w:val="zh-CN"/>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A1DC1">
    <w:pPr>
      <w:pStyle w:val="55"/>
    </w:pPr>
    <w:r>
      <w:fldChar w:fldCharType="begin"/>
    </w:r>
    <w:r>
      <w:instrText xml:space="preserve">PAGE   \* MERGEFORMAT</w:instrText>
    </w:r>
    <w:r>
      <w:fldChar w:fldCharType="separate"/>
    </w:r>
    <w:r>
      <w:rPr>
        <w:lang w:val="zh-CN"/>
      </w:rPr>
      <w:t>1</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02769">
    <w:pPr>
      <w:pStyle w:val="54"/>
    </w:pPr>
    <w:r>
      <w:fldChar w:fldCharType="begin"/>
    </w:r>
    <w:r>
      <w:instrText xml:space="preserve"> PAGE   \* MERGEFORMAT \* MERGEFORMAT </w:instrText>
    </w:r>
    <w:r>
      <w:fldChar w:fldCharType="separate"/>
    </w:r>
    <w: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CF56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0A951">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AB3F">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6C618">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0CDFA">
    <w:pPr>
      <w:pStyle w:val="54"/>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8584F">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26BAD">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9BB5">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382A6">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281BE">
    <w:pPr>
      <w:pStyle w:val="65"/>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48277">
    <w:pPr>
      <w:pStyle w:val="64"/>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19E3D">
    <w:pPr>
      <w:pStyle w:val="65"/>
    </w:pPr>
    <w:r>
      <w:fldChar w:fldCharType="begin"/>
    </w:r>
    <w:r>
      <w:instrText xml:space="preserve"> STYLEREF  标准文件_文件编号 \* MERGEFORMAT </w:instrText>
    </w:r>
    <w:r>
      <w:fldChar w:fldCharType="separate"/>
    </w:r>
    <w:r>
      <w:t>T/GXAS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BB99F">
    <w:pPr>
      <w:pStyle w:val="64"/>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9047A">
    <w:pPr>
      <w:pStyle w:val="65"/>
    </w:pPr>
    <w:r>
      <w:fldChar w:fldCharType="begin"/>
    </w:r>
    <w:r>
      <w:instrText xml:space="preserve"> STYLEREF  标准文件_文件编号 \* MERGEFORMAT </w:instrText>
    </w:r>
    <w:r>
      <w:fldChar w:fldCharType="separate"/>
    </w:r>
    <w:r>
      <w:t>T/GXAS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45F75">
    <w:pPr>
      <w:pStyle w:val="64"/>
    </w:pPr>
    <w:r>
      <w:fldChar w:fldCharType="begin"/>
    </w:r>
    <w:r>
      <w:instrText xml:space="preserve"> STYLEREF  标准文件_文件编号  \* MERGEFORMAT </w:instrText>
    </w:r>
    <w:r>
      <w:fldChar w:fldCharType="separate"/>
    </w:r>
    <w:r>
      <w:t>T/GXAS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E6A1A">
    <w:pPr>
      <w:pStyle w:val="65"/>
    </w:pPr>
    <w:r>
      <w:fldChar w:fldCharType="begin"/>
    </w:r>
    <w:r>
      <w:instrText xml:space="preserve"> STYLEREF  标准文件_文件编号 \* MERGEFORMAT </w:instrText>
    </w:r>
    <w:r>
      <w:fldChar w:fldCharType="separate"/>
    </w:r>
    <w:r>
      <w:t>T/GXAS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2ED2A">
    <w:pPr>
      <w:pStyle w:val="64"/>
    </w:pPr>
    <w:r>
      <w:fldChar w:fldCharType="begin"/>
    </w:r>
    <w:r>
      <w:instrText xml:space="preserve"> STYLEREF  标准文件_文件编号  \* MERGEFORMAT </w:instrText>
    </w:r>
    <w:r>
      <w:fldChar w:fldCharType="separate"/>
    </w:r>
    <w:r>
      <w:t>T/GXAS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917BE">
    <w:pPr>
      <w:pStyle w:val="65"/>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67A5">
    <w:pPr>
      <w:pStyle w:val="19"/>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57A24">
    <w:pPr>
      <w:pStyle w:val="64"/>
    </w:pPr>
    <w:r>
      <w:fldChar w:fldCharType="begin"/>
    </w:r>
    <w:r>
      <w:instrText xml:space="preserve"> STYLEREF  标准文件_文件编号  \* MERGEFORMAT </w:instrText>
    </w:r>
    <w:r>
      <w:fldChar w:fldCharType="separate"/>
    </w:r>
    <w:r>
      <w:t>T/GXAS XXXX—XXXX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9FA94">
    <w:pPr>
      <w:pStyle w:val="65"/>
    </w:pPr>
    <w:r>
      <w:fldChar w:fldCharType="begin"/>
    </w:r>
    <w:r>
      <w:instrText xml:space="preserve"> STYLEREF  标准文件_文件编号 \* MERGEFORMAT </w:instrText>
    </w:r>
    <w:r>
      <w:fldChar w:fldCharType="separate"/>
    </w:r>
    <w:r>
      <w:t>T/GXAS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317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9E3B8">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7DE9E">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72F13">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CE1D6">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EB016">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D303C">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425"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JhOTQxYzE4NjQ1MmY1ZGU5MzAyZjExYzUzZjNmOTEifQ=="/>
  </w:docVars>
  <w:rsids>
    <w:rsidRoot w:val="009607DA"/>
    <w:rsid w:val="0000040A"/>
    <w:rsid w:val="00000A94"/>
    <w:rsid w:val="00001972"/>
    <w:rsid w:val="00001D9A"/>
    <w:rsid w:val="00007B3A"/>
    <w:rsid w:val="000107E0"/>
    <w:rsid w:val="00011FDE"/>
    <w:rsid w:val="000124DD"/>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801"/>
    <w:rsid w:val="00043282"/>
    <w:rsid w:val="00044286"/>
    <w:rsid w:val="00047F28"/>
    <w:rsid w:val="000503AA"/>
    <w:rsid w:val="000506A1"/>
    <w:rsid w:val="000510F0"/>
    <w:rsid w:val="000515DD"/>
    <w:rsid w:val="0005265A"/>
    <w:rsid w:val="000539DD"/>
    <w:rsid w:val="00053BD3"/>
    <w:rsid w:val="000556ED"/>
    <w:rsid w:val="00055FE2"/>
    <w:rsid w:val="0005616F"/>
    <w:rsid w:val="00060BB5"/>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144"/>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DC6"/>
    <w:rsid w:val="000F0E3C"/>
    <w:rsid w:val="000F19D5"/>
    <w:rsid w:val="000F4050"/>
    <w:rsid w:val="000F4AEA"/>
    <w:rsid w:val="000F67E9"/>
    <w:rsid w:val="00104926"/>
    <w:rsid w:val="00113B1E"/>
    <w:rsid w:val="0011711C"/>
    <w:rsid w:val="00124E4F"/>
    <w:rsid w:val="001260B7"/>
    <w:rsid w:val="001265CB"/>
    <w:rsid w:val="001301E2"/>
    <w:rsid w:val="001321C6"/>
    <w:rsid w:val="001323BD"/>
    <w:rsid w:val="001325C4"/>
    <w:rsid w:val="00133010"/>
    <w:rsid w:val="001338EE"/>
    <w:rsid w:val="00133AAE"/>
    <w:rsid w:val="00135323"/>
    <w:rsid w:val="001356C4"/>
    <w:rsid w:val="00137565"/>
    <w:rsid w:val="00140305"/>
    <w:rsid w:val="00141114"/>
    <w:rsid w:val="00141EDD"/>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1F9"/>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96F"/>
    <w:rsid w:val="001F62FF"/>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E0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148"/>
    <w:rsid w:val="0026148A"/>
    <w:rsid w:val="00262696"/>
    <w:rsid w:val="00262F57"/>
    <w:rsid w:val="00263D25"/>
    <w:rsid w:val="002643C3"/>
    <w:rsid w:val="00264A0C"/>
    <w:rsid w:val="00266EEB"/>
    <w:rsid w:val="00267EF4"/>
    <w:rsid w:val="00270CB8"/>
    <w:rsid w:val="00272B08"/>
    <w:rsid w:val="00281BB8"/>
    <w:rsid w:val="00281E9E"/>
    <w:rsid w:val="00282405"/>
    <w:rsid w:val="00283D6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57D"/>
    <w:rsid w:val="002B4432"/>
    <w:rsid w:val="002B4508"/>
    <w:rsid w:val="002B5779"/>
    <w:rsid w:val="002B7332"/>
    <w:rsid w:val="002B7F51"/>
    <w:rsid w:val="002C09E7"/>
    <w:rsid w:val="002C1E06"/>
    <w:rsid w:val="002C373A"/>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416"/>
    <w:rsid w:val="003331E4"/>
    <w:rsid w:val="00336C64"/>
    <w:rsid w:val="00337162"/>
    <w:rsid w:val="0034194F"/>
    <w:rsid w:val="00344605"/>
    <w:rsid w:val="003474AA"/>
    <w:rsid w:val="00350D1D"/>
    <w:rsid w:val="00352292"/>
    <w:rsid w:val="00352C83"/>
    <w:rsid w:val="00352F1A"/>
    <w:rsid w:val="00353C2E"/>
    <w:rsid w:val="0036107C"/>
    <w:rsid w:val="003615D2"/>
    <w:rsid w:val="003631E6"/>
    <w:rsid w:val="0036429C"/>
    <w:rsid w:val="00364A53"/>
    <w:rsid w:val="003654CB"/>
    <w:rsid w:val="00365AA9"/>
    <w:rsid w:val="00365F86"/>
    <w:rsid w:val="00365F87"/>
    <w:rsid w:val="00366E89"/>
    <w:rsid w:val="003705F4"/>
    <w:rsid w:val="00370D58"/>
    <w:rsid w:val="00371316"/>
    <w:rsid w:val="00373D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231"/>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225"/>
    <w:rsid w:val="0041477A"/>
    <w:rsid w:val="004161EF"/>
    <w:rsid w:val="004167A3"/>
    <w:rsid w:val="00426AE5"/>
    <w:rsid w:val="00432DAA"/>
    <w:rsid w:val="0043355B"/>
    <w:rsid w:val="00434305"/>
    <w:rsid w:val="00435DF7"/>
    <w:rsid w:val="00436427"/>
    <w:rsid w:val="0043741A"/>
    <w:rsid w:val="0044083F"/>
    <w:rsid w:val="00441AE7"/>
    <w:rsid w:val="004430EC"/>
    <w:rsid w:val="00445574"/>
    <w:rsid w:val="004467FB"/>
    <w:rsid w:val="00452A13"/>
    <w:rsid w:val="00452D6B"/>
    <w:rsid w:val="00454484"/>
    <w:rsid w:val="0045517B"/>
    <w:rsid w:val="004577A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13"/>
    <w:rsid w:val="004D2253"/>
    <w:rsid w:val="004D4406"/>
    <w:rsid w:val="004D7C42"/>
    <w:rsid w:val="004E0465"/>
    <w:rsid w:val="004E127B"/>
    <w:rsid w:val="004E1C0A"/>
    <w:rsid w:val="004E30C5"/>
    <w:rsid w:val="004E4AA5"/>
    <w:rsid w:val="004E4AEE"/>
    <w:rsid w:val="004E59E3"/>
    <w:rsid w:val="004E67C0"/>
    <w:rsid w:val="004F391A"/>
    <w:rsid w:val="004F3CFB"/>
    <w:rsid w:val="004F5244"/>
    <w:rsid w:val="004F6456"/>
    <w:rsid w:val="004F696E"/>
    <w:rsid w:val="004F6C71"/>
    <w:rsid w:val="00500E6E"/>
    <w:rsid w:val="00501139"/>
    <w:rsid w:val="0050363E"/>
    <w:rsid w:val="005039BC"/>
    <w:rsid w:val="005043BB"/>
    <w:rsid w:val="00504A3D"/>
    <w:rsid w:val="00505767"/>
    <w:rsid w:val="005073F0"/>
    <w:rsid w:val="005109B8"/>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2F7"/>
    <w:rsid w:val="00543BDA"/>
    <w:rsid w:val="005441CC"/>
    <w:rsid w:val="005479DA"/>
    <w:rsid w:val="00547BCC"/>
    <w:rsid w:val="0055013B"/>
    <w:rsid w:val="00551F6F"/>
    <w:rsid w:val="00555044"/>
    <w:rsid w:val="00556F48"/>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2D5"/>
    <w:rsid w:val="005D4171"/>
    <w:rsid w:val="005D4DAA"/>
    <w:rsid w:val="005D6A95"/>
    <w:rsid w:val="005D6B2C"/>
    <w:rsid w:val="005D6D9C"/>
    <w:rsid w:val="005E2335"/>
    <w:rsid w:val="005E34CA"/>
    <w:rsid w:val="005E3C18"/>
    <w:rsid w:val="005E4250"/>
    <w:rsid w:val="005E53BD"/>
    <w:rsid w:val="005E6812"/>
    <w:rsid w:val="005E7881"/>
    <w:rsid w:val="005E78E0"/>
    <w:rsid w:val="005F0D9C"/>
    <w:rsid w:val="005F284E"/>
    <w:rsid w:val="006015CE"/>
    <w:rsid w:val="00604784"/>
    <w:rsid w:val="00606419"/>
    <w:rsid w:val="00607D29"/>
    <w:rsid w:val="00611028"/>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4F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A45"/>
    <w:rsid w:val="006F03A8"/>
    <w:rsid w:val="006F2ACA"/>
    <w:rsid w:val="006F2ADC"/>
    <w:rsid w:val="006F2BFE"/>
    <w:rsid w:val="006F31E9"/>
    <w:rsid w:val="006F6284"/>
    <w:rsid w:val="007002C5"/>
    <w:rsid w:val="00704387"/>
    <w:rsid w:val="00707669"/>
    <w:rsid w:val="00711051"/>
    <w:rsid w:val="00711CBA"/>
    <w:rsid w:val="00711FB5"/>
    <w:rsid w:val="00712A01"/>
    <w:rsid w:val="00714F58"/>
    <w:rsid w:val="00722FBF"/>
    <w:rsid w:val="00722FC2"/>
    <w:rsid w:val="007241F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DBE"/>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371"/>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A54"/>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3EB"/>
    <w:rsid w:val="009305B5"/>
    <w:rsid w:val="009378DD"/>
    <w:rsid w:val="009429D5"/>
    <w:rsid w:val="00942BF1"/>
    <w:rsid w:val="00945180"/>
    <w:rsid w:val="00945428"/>
    <w:rsid w:val="0094607B"/>
    <w:rsid w:val="00953604"/>
    <w:rsid w:val="0095496B"/>
    <w:rsid w:val="009607DA"/>
    <w:rsid w:val="00960F1E"/>
    <w:rsid w:val="009610DC"/>
    <w:rsid w:val="00961490"/>
    <w:rsid w:val="0096381A"/>
    <w:rsid w:val="00965E04"/>
    <w:rsid w:val="009674AD"/>
    <w:rsid w:val="00970CDC"/>
    <w:rsid w:val="00971685"/>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FD9"/>
    <w:rsid w:val="009D112C"/>
    <w:rsid w:val="009D1385"/>
    <w:rsid w:val="009D22B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4C9"/>
    <w:rsid w:val="00A129D0"/>
    <w:rsid w:val="00A12C33"/>
    <w:rsid w:val="00A138BA"/>
    <w:rsid w:val="00A14C8E"/>
    <w:rsid w:val="00A153D9"/>
    <w:rsid w:val="00A15F09"/>
    <w:rsid w:val="00A169B6"/>
    <w:rsid w:val="00A2271D"/>
    <w:rsid w:val="00A237D5"/>
    <w:rsid w:val="00A30EFC"/>
    <w:rsid w:val="00A31984"/>
    <w:rsid w:val="00A32D73"/>
    <w:rsid w:val="00A33430"/>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1E9"/>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1F"/>
    <w:rsid w:val="00AD1A94"/>
    <w:rsid w:val="00AD1C05"/>
    <w:rsid w:val="00AD4126"/>
    <w:rsid w:val="00AD421C"/>
    <w:rsid w:val="00AD44FA"/>
    <w:rsid w:val="00AE070A"/>
    <w:rsid w:val="00AE101C"/>
    <w:rsid w:val="00AE1224"/>
    <w:rsid w:val="00AE2A69"/>
    <w:rsid w:val="00AE37E5"/>
    <w:rsid w:val="00AE5EB4"/>
    <w:rsid w:val="00AF0C18"/>
    <w:rsid w:val="00AF47C5"/>
    <w:rsid w:val="00AF5398"/>
    <w:rsid w:val="00B049AF"/>
    <w:rsid w:val="00B07242"/>
    <w:rsid w:val="00B10534"/>
    <w:rsid w:val="00B113DB"/>
    <w:rsid w:val="00B11D8A"/>
    <w:rsid w:val="00B12981"/>
    <w:rsid w:val="00B1457C"/>
    <w:rsid w:val="00B147DD"/>
    <w:rsid w:val="00B156FD"/>
    <w:rsid w:val="00B21F61"/>
    <w:rsid w:val="00B261F1"/>
    <w:rsid w:val="00B265BC"/>
    <w:rsid w:val="00B31FB1"/>
    <w:rsid w:val="00B33952"/>
    <w:rsid w:val="00B33C5E"/>
    <w:rsid w:val="00B342F4"/>
    <w:rsid w:val="00B34369"/>
    <w:rsid w:val="00B34DC2"/>
    <w:rsid w:val="00B378E5"/>
    <w:rsid w:val="00B42BF2"/>
    <w:rsid w:val="00B4346D"/>
    <w:rsid w:val="00B43F12"/>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4AD"/>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F54"/>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DE"/>
    <w:rsid w:val="00CE0C4F"/>
    <w:rsid w:val="00CE30EA"/>
    <w:rsid w:val="00CE6E86"/>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20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EE6"/>
    <w:rsid w:val="00E12495"/>
    <w:rsid w:val="00E12D2F"/>
    <w:rsid w:val="00E15CCD"/>
    <w:rsid w:val="00E202EF"/>
    <w:rsid w:val="00E210B5"/>
    <w:rsid w:val="00E2552F"/>
    <w:rsid w:val="00E3121D"/>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1FA"/>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49B"/>
    <w:rsid w:val="00EB0249"/>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928"/>
    <w:rsid w:val="00F06D37"/>
    <w:rsid w:val="00F07B9D"/>
    <w:rsid w:val="00F11586"/>
    <w:rsid w:val="00F1183B"/>
    <w:rsid w:val="00F11C9F"/>
    <w:rsid w:val="00F12263"/>
    <w:rsid w:val="00F1409D"/>
    <w:rsid w:val="00F14214"/>
    <w:rsid w:val="00F150E0"/>
    <w:rsid w:val="00F157A9"/>
    <w:rsid w:val="00F16F00"/>
    <w:rsid w:val="00F2047A"/>
    <w:rsid w:val="00F25843"/>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2385"/>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E4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5A4"/>
    <w:rsid w:val="00FC4090"/>
    <w:rsid w:val="00FC55B4"/>
    <w:rsid w:val="00FD00E6"/>
    <w:rsid w:val="00FD09A1"/>
    <w:rsid w:val="00FD2A7C"/>
    <w:rsid w:val="00FD59EB"/>
    <w:rsid w:val="00FD7299"/>
    <w:rsid w:val="00FE1FBE"/>
    <w:rsid w:val="00FE30A0"/>
    <w:rsid w:val="00FE3901"/>
    <w:rsid w:val="00FE39D3"/>
    <w:rsid w:val="00FE4BCE"/>
    <w:rsid w:val="00FE54AE"/>
    <w:rsid w:val="00FE576A"/>
    <w:rsid w:val="00FE7E79"/>
    <w:rsid w:val="00FF3E7D"/>
    <w:rsid w:val="00FF5B99"/>
    <w:rsid w:val="00FF730C"/>
    <w:rsid w:val="00FF73F4"/>
    <w:rsid w:val="00FF7CE4"/>
    <w:rsid w:val="00FF7E39"/>
    <w:rsid w:val="01A65429"/>
    <w:rsid w:val="01E81602"/>
    <w:rsid w:val="05AD48C9"/>
    <w:rsid w:val="060A068A"/>
    <w:rsid w:val="06AC6F2C"/>
    <w:rsid w:val="06C12E7B"/>
    <w:rsid w:val="07AE01F0"/>
    <w:rsid w:val="07E61381"/>
    <w:rsid w:val="08EE52B2"/>
    <w:rsid w:val="0B9C533C"/>
    <w:rsid w:val="0CD12600"/>
    <w:rsid w:val="0CD143AE"/>
    <w:rsid w:val="0F056591"/>
    <w:rsid w:val="10093E5F"/>
    <w:rsid w:val="10626582"/>
    <w:rsid w:val="117C3141"/>
    <w:rsid w:val="118D033E"/>
    <w:rsid w:val="11F36B75"/>
    <w:rsid w:val="12866483"/>
    <w:rsid w:val="14EE4930"/>
    <w:rsid w:val="165E6491"/>
    <w:rsid w:val="16953C93"/>
    <w:rsid w:val="169D65F0"/>
    <w:rsid w:val="17CB0D73"/>
    <w:rsid w:val="1AED613D"/>
    <w:rsid w:val="1B8B6070"/>
    <w:rsid w:val="1C5D5C5E"/>
    <w:rsid w:val="1E1130E2"/>
    <w:rsid w:val="1EB31B66"/>
    <w:rsid w:val="206A37CD"/>
    <w:rsid w:val="20A02989"/>
    <w:rsid w:val="21313216"/>
    <w:rsid w:val="21AB2FC8"/>
    <w:rsid w:val="21C85928"/>
    <w:rsid w:val="231E3647"/>
    <w:rsid w:val="23FF39AF"/>
    <w:rsid w:val="25897686"/>
    <w:rsid w:val="26D703BB"/>
    <w:rsid w:val="28047020"/>
    <w:rsid w:val="28350208"/>
    <w:rsid w:val="2AE91872"/>
    <w:rsid w:val="2B157F1C"/>
    <w:rsid w:val="2DDB4947"/>
    <w:rsid w:val="2DEA30CA"/>
    <w:rsid w:val="2E581132"/>
    <w:rsid w:val="2F2D6977"/>
    <w:rsid w:val="31223C40"/>
    <w:rsid w:val="3216623C"/>
    <w:rsid w:val="322941B2"/>
    <w:rsid w:val="34B85CFD"/>
    <w:rsid w:val="38BE762D"/>
    <w:rsid w:val="39247160"/>
    <w:rsid w:val="3B200152"/>
    <w:rsid w:val="3B714E2B"/>
    <w:rsid w:val="3B7A783B"/>
    <w:rsid w:val="3CE85DD3"/>
    <w:rsid w:val="41035B6A"/>
    <w:rsid w:val="4393455B"/>
    <w:rsid w:val="43B20D42"/>
    <w:rsid w:val="440920A4"/>
    <w:rsid w:val="45F07FC4"/>
    <w:rsid w:val="47694C08"/>
    <w:rsid w:val="49B303BC"/>
    <w:rsid w:val="4A0363C7"/>
    <w:rsid w:val="4BD62F83"/>
    <w:rsid w:val="4C211691"/>
    <w:rsid w:val="4D354CC2"/>
    <w:rsid w:val="4EC30082"/>
    <w:rsid w:val="50271928"/>
    <w:rsid w:val="50AA726A"/>
    <w:rsid w:val="530408E7"/>
    <w:rsid w:val="53193986"/>
    <w:rsid w:val="55861DD6"/>
    <w:rsid w:val="55A27D07"/>
    <w:rsid w:val="59326AFB"/>
    <w:rsid w:val="5A3E5799"/>
    <w:rsid w:val="5C0852AD"/>
    <w:rsid w:val="5C1224CA"/>
    <w:rsid w:val="5CE146C4"/>
    <w:rsid w:val="5DCF529C"/>
    <w:rsid w:val="5FEF504D"/>
    <w:rsid w:val="60FF3C8B"/>
    <w:rsid w:val="613A51F3"/>
    <w:rsid w:val="62B27678"/>
    <w:rsid w:val="6421269A"/>
    <w:rsid w:val="67544B35"/>
    <w:rsid w:val="67BE5312"/>
    <w:rsid w:val="67ED0ADA"/>
    <w:rsid w:val="681F796D"/>
    <w:rsid w:val="68B41D2F"/>
    <w:rsid w:val="68B910F3"/>
    <w:rsid w:val="68FD2185"/>
    <w:rsid w:val="6A2E0A55"/>
    <w:rsid w:val="6A7A48B2"/>
    <w:rsid w:val="6C8859AD"/>
    <w:rsid w:val="6C8B2DA7"/>
    <w:rsid w:val="6E4D01AC"/>
    <w:rsid w:val="6E906C9F"/>
    <w:rsid w:val="705D7C14"/>
    <w:rsid w:val="70621E82"/>
    <w:rsid w:val="728E12B8"/>
    <w:rsid w:val="740320B2"/>
    <w:rsid w:val="74A011B2"/>
    <w:rsid w:val="74C5130A"/>
    <w:rsid w:val="753366D1"/>
    <w:rsid w:val="75EB223B"/>
    <w:rsid w:val="7634625D"/>
    <w:rsid w:val="764B1D9C"/>
    <w:rsid w:val="768454F0"/>
    <w:rsid w:val="76BF021D"/>
    <w:rsid w:val="7ADC630A"/>
    <w:rsid w:val="7C5E4034"/>
    <w:rsid w:val="7E154BC6"/>
    <w:rsid w:val="7EE71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semiHidden/>
    <w:unhideWhenUsed/>
    <w:qFormat/>
    <w:uiPriority w:val="99"/>
    <w:rPr>
      <w:rFonts w:ascii="Times New Roman" w:hAnsi="Times New Roman" w:eastAsia="宋体" w:cs="Times New Roman"/>
      <w:lang w:val="en-US" w:eastAsia="zh-CN" w:bidi="ar-SA"/>
    </w:r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adjustRightInd/>
      <w:spacing w:before="100" w:beforeAutospacing="1" w:after="100" w:afterAutospacing="1" w:line="278" w:lineRule="auto"/>
      <w:jc w:val="left"/>
    </w:pPr>
    <w:rPr>
      <w:kern w:val="0"/>
      <w:sz w:val="24"/>
      <w:szCs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4" Type="http://schemas.openxmlformats.org/officeDocument/2006/relationships/glossaryDocument" Target="glossary/document.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1.xml"/><Relationship Id="rId49" Type="http://schemas.openxmlformats.org/officeDocument/2006/relationships/image" Target="media/image2.png"/><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21.xml"/><Relationship Id="rId45" Type="http://schemas.openxmlformats.org/officeDocument/2006/relationships/footer" Target="footer20.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E4E3FB3C62343DF80BEF536D4108A75"/>
        <w:style w:val=""/>
        <w:category>
          <w:name w:val="常规"/>
          <w:gallery w:val="placeholder"/>
        </w:category>
        <w:types>
          <w:type w:val="bbPlcHdr"/>
        </w:types>
        <w:behaviors>
          <w:behavior w:val="content"/>
        </w:behaviors>
        <w:description w:val=""/>
        <w:guid w:val="{7439444E-E86F-48B9-9E07-E10F0C83D5E1}"/>
      </w:docPartPr>
      <w:docPartBody>
        <w:p w14:paraId="3A2872B1">
          <w:pPr>
            <w:pStyle w:val="5"/>
          </w:pPr>
          <w:r>
            <w:rPr>
              <w:rStyle w:val="4"/>
              <w:rFonts w:hint="eastAsia"/>
            </w:rPr>
            <w:t>单击或点击此处输入文字。</w:t>
          </w:r>
        </w:p>
      </w:docPartBody>
    </w:docPart>
    <w:docPart>
      <w:docPartPr>
        <w:name w:val="92CA306BA6E3444FA6F2D5807172C587"/>
        <w:style w:val=""/>
        <w:category>
          <w:name w:val="常规"/>
          <w:gallery w:val="placeholder"/>
        </w:category>
        <w:types>
          <w:type w:val="bbPlcHdr"/>
        </w:types>
        <w:behaviors>
          <w:behavior w:val="content"/>
        </w:behaviors>
        <w:description w:val=""/>
        <w:guid w:val="{ED776CB1-B607-409C-A3DE-9881D2659187}"/>
      </w:docPartPr>
      <w:docPartBody>
        <w:p w14:paraId="6EDE14D8">
          <w:pPr>
            <w:pStyle w:val="6"/>
          </w:pPr>
          <w:r>
            <w:rPr>
              <w:rStyle w:val="4"/>
              <w:rFonts w:hint="eastAsia"/>
            </w:rPr>
            <w:t>选择一项。</w:t>
          </w:r>
        </w:p>
      </w:docPartBody>
    </w:docPart>
    <w:docPart>
      <w:docPartPr>
        <w:name w:val="DFF97C0EFD664C46B56E1FB29EF4C517"/>
        <w:style w:val=""/>
        <w:category>
          <w:name w:val="常规"/>
          <w:gallery w:val="placeholder"/>
        </w:category>
        <w:types>
          <w:type w:val="bbPlcHdr"/>
        </w:types>
        <w:behaviors>
          <w:behavior w:val="content"/>
        </w:behaviors>
        <w:description w:val=""/>
        <w:guid w:val="{EE3D85CF-24DB-4091-A5F4-1E93A571F7B5}"/>
      </w:docPartPr>
      <w:docPartBody>
        <w:p w14:paraId="6CFC4125">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A9"/>
    <w:rsid w:val="00034F6E"/>
    <w:rsid w:val="000F7CE4"/>
    <w:rsid w:val="001069DF"/>
    <w:rsid w:val="0023409F"/>
    <w:rsid w:val="00262F57"/>
    <w:rsid w:val="002B3FD0"/>
    <w:rsid w:val="00480BFE"/>
    <w:rsid w:val="004D1BC4"/>
    <w:rsid w:val="00556F48"/>
    <w:rsid w:val="0066195F"/>
    <w:rsid w:val="006764B1"/>
    <w:rsid w:val="006F032D"/>
    <w:rsid w:val="00791B32"/>
    <w:rsid w:val="00A27E12"/>
    <w:rsid w:val="00AD1A1F"/>
    <w:rsid w:val="00AE1224"/>
    <w:rsid w:val="00B43F12"/>
    <w:rsid w:val="00C20FF2"/>
    <w:rsid w:val="00C31E19"/>
    <w:rsid w:val="00C4428B"/>
    <w:rsid w:val="00C91BFF"/>
    <w:rsid w:val="00CD4EA9"/>
    <w:rsid w:val="00F25843"/>
    <w:rsid w:val="00F522CA"/>
    <w:rsid w:val="00F5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E4E3FB3C62343DF80BEF536D4108A7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92CA306BA6E3444FA6F2D5807172C58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FF97C0EFD664C46B56E1FB29EF4C51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3998A-1D57-4896-B75E-162287C15B5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17</Pages>
  <Words>7079</Words>
  <Characters>7431</Characters>
  <Lines>75</Lines>
  <Paragraphs>21</Paragraphs>
  <TotalTime>27</TotalTime>
  <ScaleCrop>false</ScaleCrop>
  <LinksUpToDate>false</LinksUpToDate>
  <CharactersWithSpaces>7707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2025-07-07T08:59:00Z</dcterms:created>
  <dc:creator>Acer</dc:creator>
  <cp:lastModifiedBy>覃思颖</cp:lastModifiedBy>
  <cp:lastPrinted>2021-02-02T08:22:00Z</cp:lastPrinted>
  <dcterms:modified xsi:type="dcterms:W3CDTF">2025-10-15T02:03:44Z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eyJoZGlkIjoiZDU4MDczMzcyYmJkMTU0Yzk3Y2Q1OWEyNGVlYzBmODAiLCJ1c2VySWQiOiI2NTgwMDU1NDYifQ==</vt:lpwstr>
  </property>
  <property fmtid="{D5CDD505-2E9C-101B-9397-08002B2CF9AE}" pid="15" name="KSOProductBuildVer">
    <vt:lpwstr>2052-12.1.0.22529</vt:lpwstr>
  </property>
  <property fmtid="{D5CDD505-2E9C-101B-9397-08002B2CF9AE}" pid="16" name="ICV">
    <vt:lpwstr>29A19080119E4BDAB7F53E844B96BC38_13</vt:lpwstr>
  </property>
  <property fmtid="{D5CDD505-2E9C-101B-9397-08002B2CF9AE}" pid="17" name="DoublePage">
    <vt:lpwstr>true</vt:lpwstr>
  </property>
</Properties>
</file>