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751094">
      <w:pPr>
        <w:jc w:val="center"/>
        <w:rPr>
          <w:rFonts w:hint="eastAsia" w:ascii="方正小标宋简体" w:eastAsia="方正小标宋简体" w:cs="仿宋_GB2312"/>
          <w:bCs/>
          <w:color w:val="auto"/>
          <w:sz w:val="36"/>
          <w:szCs w:val="32"/>
        </w:rPr>
      </w:pPr>
      <w:r>
        <w:rPr>
          <w:rFonts w:hint="eastAsia" w:ascii="方正小标宋简体" w:eastAsia="方正小标宋简体" w:cs="仿宋_GB2312"/>
          <w:bCs/>
          <w:color w:val="auto"/>
          <w:sz w:val="36"/>
          <w:szCs w:val="32"/>
          <w:lang w:eastAsia="zh-CN"/>
        </w:rPr>
        <w:t>团体标准</w:t>
      </w:r>
      <w:r>
        <w:rPr>
          <w:rFonts w:hint="eastAsia" w:ascii="方正小标宋简体" w:eastAsia="方正小标宋简体" w:cs="仿宋_GB2312"/>
          <w:bCs/>
          <w:color w:val="auto"/>
          <w:sz w:val="36"/>
          <w:szCs w:val="32"/>
        </w:rPr>
        <w:t>《</w:t>
      </w:r>
      <w:r>
        <w:rPr>
          <w:rFonts w:hint="eastAsia" w:ascii="方正小标宋简体" w:eastAsia="方正小标宋简体" w:cs="仿宋_GB2312"/>
          <w:bCs/>
          <w:color w:val="auto"/>
          <w:sz w:val="36"/>
          <w:szCs w:val="32"/>
          <w:lang w:val="en-US" w:eastAsia="zh-CN"/>
        </w:rPr>
        <w:t>零售药店技能培训规范</w:t>
      </w:r>
      <w:r>
        <w:rPr>
          <w:rFonts w:hint="eastAsia" w:ascii="方正小标宋简体" w:eastAsia="方正小标宋简体" w:cs="仿宋_GB2312"/>
          <w:bCs/>
          <w:color w:val="auto"/>
          <w:sz w:val="36"/>
          <w:szCs w:val="32"/>
        </w:rPr>
        <w:t>》（征求意见稿）编制说明</w:t>
      </w:r>
    </w:p>
    <w:p w14:paraId="33C58FC6">
      <w:pPr>
        <w:jc w:val="center"/>
        <w:rPr>
          <w:rFonts w:hint="eastAsia" w:ascii="方正小标宋简体" w:eastAsia="方正小标宋简体" w:cs="仿宋_GB2312"/>
          <w:bCs/>
          <w:color w:val="auto"/>
          <w:sz w:val="18"/>
          <w:szCs w:val="18"/>
        </w:rPr>
      </w:pPr>
    </w:p>
    <w:p w14:paraId="54990CC0">
      <w:pPr>
        <w:spacing w:line="520" w:lineRule="exact"/>
        <w:ind w:firstLine="640" w:firstLineChars="200"/>
        <w:rPr>
          <w:rFonts w:hint="eastAsia" w:ascii="黑体" w:eastAsia="黑体" w:cs="仿宋_GB2312"/>
          <w:bCs/>
          <w:color w:val="auto"/>
          <w:sz w:val="32"/>
          <w:szCs w:val="32"/>
        </w:rPr>
      </w:pPr>
      <w:r>
        <w:rPr>
          <w:rFonts w:hint="eastAsia" w:ascii="黑体" w:eastAsia="黑体" w:cs="仿宋_GB2312"/>
          <w:color w:val="auto"/>
          <w:sz w:val="32"/>
          <w:szCs w:val="32"/>
        </w:rPr>
        <w:t>一、任务来源、起草单位、主要起草人</w:t>
      </w:r>
    </w:p>
    <w:p w14:paraId="6E1C269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根据《</w:t>
      </w:r>
      <w:r>
        <w:rPr>
          <w:rFonts w:hint="eastAsia" w:ascii="仿宋_GB2312" w:eastAsia="仿宋_GB2312"/>
          <w:color w:val="auto"/>
          <w:sz w:val="28"/>
          <w:szCs w:val="28"/>
          <w:lang w:eastAsia="zh-CN"/>
        </w:rPr>
        <w:t>关于下达 2025年第一批医药领域团体标准制修订项目计划的通知</w:t>
      </w:r>
      <w:r>
        <w:rPr>
          <w:rFonts w:hint="eastAsia" w:ascii="仿宋_GB2312" w:eastAsia="仿宋_GB2312"/>
          <w:color w:val="auto"/>
          <w:sz w:val="28"/>
          <w:szCs w:val="28"/>
        </w:rPr>
        <w:t>》（桂标协〔2025〕29号</w:t>
      </w:r>
      <w:r>
        <w:rPr>
          <w:rFonts w:hint="eastAsia" w:ascii="仿宋_GB2312" w:eastAsia="仿宋_GB2312"/>
          <w:color w:val="auto"/>
          <w:sz w:val="28"/>
          <w:szCs w:val="28"/>
          <w:lang w:eastAsia="zh-CN"/>
        </w:rPr>
        <w:t>、</w:t>
      </w:r>
      <w:r>
        <w:rPr>
          <w:rFonts w:hint="eastAsia" w:ascii="仿宋_GB2312" w:eastAsia="仿宋_GB2312"/>
          <w:color w:val="auto"/>
          <w:sz w:val="28"/>
          <w:szCs w:val="28"/>
        </w:rPr>
        <w:t>桂药协〔2025〕4号）精神，由广西药师协会提出，广西药师协会零售药店药学服务专业委员会、广西药师协会、国药控股广西有限公司、国药控股国大药房广西连锁有限公司、广西大参林连锁药店有限公司、广西桂中大药房连锁有限责任公司、广西壮族自治区食品药品审评查验中心、广西医科大学第一附属医院、广西壮族自治区人民医院、广西医科大学附属肿瘤医院、南宁市第二人民医院、柳州市人民医院、桂林医学院附属医院、全州县妇幼保健院、广西康全药业连锁有限公司、老百姓大药房连锁(广西)有限公司、广西鸿翔一心堂药业有限责任公司、广西一心药业集团有限责任公司、广西桂翰百姓人家大药房有限责任公司、广西健之佳药店连锁有限公司、广西横州市福旺大药房有限责任公司、大参林医药集团股份有限公司、福建国大药房连锁有限公司等单位共同起草的团体标准《</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》（项目编号</w:t>
      </w:r>
      <w:r>
        <w:rPr>
          <w:rFonts w:hint="eastAsia" w:ascii="仿宋_GB2312" w:eastAsia="仿宋_GB2312"/>
          <w:color w:val="auto"/>
          <w:sz w:val="28"/>
          <w:szCs w:val="28"/>
          <w:lang w:eastAsia="zh-CN"/>
        </w:rPr>
        <w:t>：</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5</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0101</w:t>
      </w:r>
      <w:r>
        <w:rPr>
          <w:rFonts w:hint="eastAsia" w:ascii="仿宋_GB2312" w:eastAsia="仿宋_GB2312"/>
          <w:color w:val="auto"/>
          <w:sz w:val="28"/>
          <w:szCs w:val="28"/>
        </w:rPr>
        <w:t>）</w:t>
      </w:r>
      <w:r>
        <w:rPr>
          <w:rFonts w:hint="eastAsia" w:ascii="仿宋_GB2312" w:eastAsia="仿宋_GB2312"/>
          <w:color w:val="auto"/>
          <w:sz w:val="28"/>
          <w:szCs w:val="28"/>
          <w:lang w:eastAsia="zh-CN"/>
        </w:rPr>
        <w:t>，已获立项</w:t>
      </w:r>
      <w:r>
        <w:rPr>
          <w:rFonts w:hint="eastAsia" w:ascii="仿宋_GB2312" w:eastAsia="仿宋_GB2312"/>
          <w:color w:val="auto"/>
          <w:sz w:val="28"/>
          <w:szCs w:val="28"/>
        </w:rPr>
        <w:t>。</w:t>
      </w:r>
    </w:p>
    <w:p w14:paraId="311E8CA8">
      <w:pPr>
        <w:spacing w:line="520" w:lineRule="exact"/>
        <w:ind w:firstLine="560" w:firstLineChars="200"/>
        <w:rPr>
          <w:rFonts w:hint="eastAsia" w:ascii="仿宋_GB2312" w:eastAsia="仿宋_GB2312"/>
          <w:color w:val="auto"/>
          <w:sz w:val="32"/>
          <w:szCs w:val="32"/>
          <w:lang w:eastAsia="zh-CN"/>
        </w:rPr>
      </w:pPr>
      <w:r>
        <w:rPr>
          <w:rFonts w:hint="eastAsia" w:ascii="仿宋_GB2312" w:eastAsia="仿宋_GB2312"/>
          <w:color w:val="auto"/>
          <w:sz w:val="28"/>
          <w:szCs w:val="28"/>
        </w:rPr>
        <w:t>为高质量编制</w:t>
      </w:r>
      <w:r>
        <w:rPr>
          <w:rFonts w:hint="eastAsia" w:ascii="仿宋_GB2312" w:eastAsia="仿宋_GB2312"/>
          <w:color w:val="auto"/>
          <w:sz w:val="28"/>
          <w:szCs w:val="28"/>
          <w:lang w:val="en-US" w:eastAsia="zh-CN"/>
        </w:rPr>
        <w:t>团体</w:t>
      </w:r>
      <w:r>
        <w:rPr>
          <w:rFonts w:hint="eastAsia" w:ascii="仿宋_GB2312" w:eastAsia="仿宋_GB2312"/>
          <w:color w:val="auto"/>
          <w:sz w:val="28"/>
          <w:szCs w:val="28"/>
        </w:rPr>
        <w:t>标准《</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》，由起草单位成立标准编制工作组并进行如下分工：</w:t>
      </w:r>
    </w:p>
    <w:tbl>
      <w:tblPr>
        <w:tblStyle w:val="13"/>
        <w:tblW w:w="90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8"/>
        <w:gridCol w:w="1287"/>
        <w:gridCol w:w="1127"/>
        <w:gridCol w:w="1948"/>
        <w:gridCol w:w="3778"/>
      </w:tblGrid>
      <w:tr w14:paraId="02198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7BEBA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姓名</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BC881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职务/职称</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B2C1B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从事</w:t>
            </w:r>
          </w:p>
          <w:p w14:paraId="33F03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专业</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92F1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auto"/>
              <w:rPr>
                <w:rFonts w:hint="default" w:ascii="仿宋" w:hAnsi="仿宋" w:eastAsia="仿宋" w:cs="仿宋"/>
                <w:b/>
                <w:color w:val="auto"/>
                <w:sz w:val="24"/>
              </w:rPr>
            </w:pPr>
            <w:r>
              <w:rPr>
                <w:rFonts w:hint="eastAsia" w:ascii="仿宋" w:hAnsi="仿宋" w:eastAsia="仿宋" w:cs="仿宋"/>
                <w:b/>
                <w:color w:val="auto"/>
                <w:sz w:val="24"/>
              </w:rPr>
              <w:t>工作单位</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FEBD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right="0"/>
              <w:jc w:val="left"/>
              <w:textAlignment w:val="auto"/>
              <w:rPr>
                <w:rFonts w:hint="default" w:ascii="仿宋" w:hAnsi="仿宋" w:eastAsia="仿宋" w:cs="仿宋"/>
                <w:b/>
                <w:color w:val="auto"/>
                <w:sz w:val="24"/>
              </w:rPr>
            </w:pPr>
            <w:r>
              <w:rPr>
                <w:rFonts w:hint="eastAsia" w:ascii="仿宋" w:hAnsi="仿宋" w:eastAsia="仿宋" w:cs="仿宋"/>
                <w:b/>
                <w:color w:val="auto"/>
                <w:sz w:val="24"/>
              </w:rPr>
              <w:t>主要负责工作</w:t>
            </w:r>
          </w:p>
        </w:tc>
      </w:tr>
      <w:tr w14:paraId="65C14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66F3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彭敏</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4C97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主任委员/副主任药师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7543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2CBC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广西药师协会零售药店药学服务专业委员会</w:t>
            </w:r>
          </w:p>
        </w:tc>
        <w:tc>
          <w:tcPr>
            <w:tcW w:w="3778" w:type="dxa"/>
            <w:tcBorders>
              <w:top w:val="single" w:color="auto" w:sz="4" w:space="0"/>
              <w:left w:val="single" w:color="auto" w:sz="4" w:space="0"/>
              <w:bottom w:val="single" w:color="auto" w:sz="4" w:space="0"/>
              <w:right w:val="single" w:color="auto" w:sz="4" w:space="0"/>
            </w:tcBorders>
            <w:shd w:val="clear"/>
            <w:noWrap w:val="0"/>
            <w:vAlign w:val="center"/>
          </w:tcPr>
          <w:p w14:paraId="6D0A86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bidi="ar"/>
              </w:rPr>
              <w:t>统筹主持标准编制工作</w:t>
            </w:r>
          </w:p>
        </w:tc>
      </w:tr>
      <w:tr w14:paraId="6B2F6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0A37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陆丽</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F03A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主管药师/执业药师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BDE79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0D3BE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shd w:val="clear"/>
            <w:noWrap w:val="0"/>
            <w:vAlign w:val="center"/>
          </w:tcPr>
          <w:p w14:paraId="3F8C4B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bidi="ar"/>
              </w:rPr>
              <w:t>参与标准编制工作，组织人员进行标准发布后的宣贯培训</w:t>
            </w:r>
          </w:p>
        </w:tc>
      </w:tr>
      <w:tr w14:paraId="1C487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shd w:val="clear"/>
            <w:noWrap w:val="0"/>
            <w:vAlign w:val="center"/>
          </w:tcPr>
          <w:p w14:paraId="6A3B76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陈英</w:t>
            </w:r>
          </w:p>
        </w:tc>
        <w:tc>
          <w:tcPr>
            <w:tcW w:w="1287" w:type="dxa"/>
            <w:tcBorders>
              <w:top w:val="single" w:color="auto" w:sz="4" w:space="0"/>
              <w:left w:val="single" w:color="auto" w:sz="4" w:space="0"/>
              <w:bottom w:val="single" w:color="auto" w:sz="4" w:space="0"/>
              <w:right w:val="single" w:color="auto" w:sz="4" w:space="0"/>
            </w:tcBorders>
            <w:shd w:val="clear"/>
            <w:noWrap w:val="0"/>
            <w:vAlign w:val="center"/>
          </w:tcPr>
          <w:p w14:paraId="098C2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shd w:val="clear"/>
            <w:noWrap w:val="0"/>
            <w:vAlign w:val="center"/>
          </w:tcPr>
          <w:p w14:paraId="3DA268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shd w:val="clear"/>
            <w:noWrap w:val="0"/>
            <w:vAlign w:val="center"/>
          </w:tcPr>
          <w:p w14:paraId="5D54C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广西药师协会</w:t>
            </w:r>
          </w:p>
        </w:tc>
        <w:tc>
          <w:tcPr>
            <w:tcW w:w="3778" w:type="dxa"/>
            <w:tcBorders>
              <w:top w:val="single" w:color="auto" w:sz="4" w:space="0"/>
              <w:left w:val="single" w:color="auto" w:sz="4" w:space="0"/>
              <w:bottom w:val="single" w:color="auto" w:sz="4" w:space="0"/>
              <w:right w:val="single" w:color="auto" w:sz="4" w:space="0"/>
            </w:tcBorders>
            <w:shd w:val="clear"/>
            <w:noWrap w:val="0"/>
            <w:vAlign w:val="center"/>
          </w:tcPr>
          <w:p w14:paraId="6507DC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bidi="ar"/>
              </w:rPr>
              <w:t>参与标准文本及编制说明编写，质量控制</w:t>
            </w:r>
          </w:p>
        </w:tc>
      </w:tr>
      <w:tr w14:paraId="07CCC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shd w:val="clear"/>
            <w:noWrap w:val="0"/>
            <w:vAlign w:val="center"/>
          </w:tcPr>
          <w:p w14:paraId="2305F0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蔡乐</w:t>
            </w:r>
          </w:p>
        </w:tc>
        <w:tc>
          <w:tcPr>
            <w:tcW w:w="1287" w:type="dxa"/>
            <w:tcBorders>
              <w:top w:val="single" w:color="auto" w:sz="4" w:space="0"/>
              <w:left w:val="single" w:color="auto" w:sz="4" w:space="0"/>
              <w:bottom w:val="single" w:color="auto" w:sz="4" w:space="0"/>
              <w:right w:val="single" w:color="auto" w:sz="4" w:space="0"/>
            </w:tcBorders>
            <w:shd w:val="clear"/>
            <w:noWrap w:val="0"/>
            <w:vAlign w:val="center"/>
          </w:tcPr>
          <w:p w14:paraId="4CAB0E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shd w:val="clear"/>
            <w:noWrap w:val="0"/>
            <w:vAlign w:val="center"/>
          </w:tcPr>
          <w:p w14:paraId="457DC4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shd w:val="clear"/>
            <w:noWrap w:val="0"/>
            <w:vAlign w:val="center"/>
          </w:tcPr>
          <w:p w14:paraId="3826C6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kern w:val="2"/>
                <w:sz w:val="16"/>
                <w:szCs w:val="16"/>
                <w:lang w:val="en-US" w:eastAsia="zh-CN" w:bidi="ar"/>
              </w:rPr>
            </w:pPr>
            <w:r>
              <w:rPr>
                <w:rFonts w:hint="eastAsia" w:ascii="仿宋_GB2312" w:hAnsi="仿宋_GB2312" w:eastAsia="仿宋_GB2312" w:cs="仿宋_GB2312"/>
                <w:color w:val="auto"/>
                <w:sz w:val="16"/>
                <w:szCs w:val="16"/>
                <w:lang w:val="en-US" w:eastAsia="zh-CN" w:bidi="ar"/>
              </w:rPr>
              <w:t>广西药师协会</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701DB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77F5C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B4ADB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张宏亮</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A6FB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48D1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9E888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广西医科大学第一附属医院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813D7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78CF8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D85A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陈晓宇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8092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382EB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33E04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广西壮族自治区人民医院</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6AAE7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607E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59F9F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梁月霞</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2EE38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质量负责人</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6A7D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34931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广西大参林连锁药店有限公司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67834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2275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E2B6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唐新秀</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B4A0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总经理助理/执业药师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D803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经营管理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64207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广西桂中大药房连锁有限责任公司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063C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参与标准文本及编制说明的编写；组织开展标准征求意见会；对标准实施情况进行总结分析，不断对标准提出修正意见</w:t>
            </w:r>
          </w:p>
        </w:tc>
      </w:tr>
      <w:tr w14:paraId="27D09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26609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韦丽芬</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ACD2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培训主管</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7FCC8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制药工程</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03618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eastAsia="zh-CN" w:bidi="ar"/>
              </w:rPr>
              <w:t>国药控股国大药房广西连锁有限公司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8245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40DF0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D79D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蒋受军</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86DA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中心主任/主任药师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54EB6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“两品一械”审评查验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D8C6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9825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B66F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8D60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李艳</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64C00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72BFD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抗感染药物</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27C05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广西医科大学附属肿瘤医院</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3639C6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4FB64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4F1B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凌玲</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FED49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副主任委员兼秘书</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43B10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60E3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广西药师协会零售药店药学服务专业委员会</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2DAEF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ED95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209BC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谭英</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A73E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执业中药师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974EF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5136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6D009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3A7E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EA89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韦柳媚</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800B1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执业中药师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46974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D2FD6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18BE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FDBA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4ABC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杨静</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A6BBB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慢病主管</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B26F0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848C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广西大参林连锁药店有限公司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469F0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4BDAC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CC2EE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雷鸣</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3A77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金牌慢病药师/执业药师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86CA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慢病管理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151FF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广西桂中大药房连锁有限责任公司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1854E6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2DC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91BE1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杜清华</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04C15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主管药师/执业中药师/执业西药师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322BF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4129B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国药控股广西有限公司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0133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7F3C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E3046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张琳</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F519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质量管理员</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5863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D3E4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eastAsia="zh-CN" w:bidi="ar"/>
              </w:rPr>
              <w:t>国药控股国大药房广西连锁有限公司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02356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B745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B24D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刘恒震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D423C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总经理</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D5F0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6A550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老百姓大药房连锁(广西)有限公司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24AE77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B2F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B85D1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韦凤娟</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13C1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副总经理</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A1BA5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0B7C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广西一心药业集团有限责任公司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3CA199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AD3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275F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陈军</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1B3CB7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董事长</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79FD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企业管理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4861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广西桂翰百姓人家大药房有限责任公司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58559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067A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1E560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王年旺</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7DC93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副总经理</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A7041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连锁药店</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E87DB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广西健之佳</w:t>
            </w:r>
            <w:r>
              <w:rPr>
                <w:rFonts w:hint="eastAsia" w:ascii="仿宋_GB2312" w:hAnsi="仿宋_GB2312" w:eastAsia="仿宋_GB2312" w:cs="仿宋_GB2312"/>
                <w:color w:val="auto"/>
                <w:sz w:val="16"/>
                <w:szCs w:val="16"/>
                <w:lang w:val="en-US" w:eastAsia="zh-CN" w:bidi="ar"/>
              </w:rPr>
              <w:t>药店连锁</w:t>
            </w:r>
            <w:r>
              <w:rPr>
                <w:rFonts w:hint="eastAsia" w:ascii="仿宋_GB2312" w:hAnsi="仿宋_GB2312" w:eastAsia="仿宋_GB2312" w:cs="仿宋_GB2312"/>
                <w:color w:val="auto"/>
                <w:sz w:val="16"/>
                <w:szCs w:val="16"/>
                <w:lang w:bidi="ar"/>
              </w:rPr>
              <w:t>有限公司</w:t>
            </w:r>
          </w:p>
        </w:tc>
        <w:tc>
          <w:tcPr>
            <w:tcW w:w="3778" w:type="dxa"/>
            <w:tcBorders>
              <w:top w:val="single" w:color="auto" w:sz="4" w:space="0"/>
              <w:left w:val="single" w:color="auto" w:sz="4" w:space="0"/>
              <w:bottom w:val="single" w:color="auto" w:sz="4" w:space="0"/>
              <w:right w:val="single" w:color="auto" w:sz="4" w:space="0"/>
            </w:tcBorders>
            <w:noWrap w:val="0"/>
            <w:vAlign w:val="top"/>
          </w:tcPr>
          <w:p w14:paraId="7437D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7E24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93C27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袁榕穗</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4D77D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中心副主任/工程师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9A84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药品流通检查、医疗器械审评查验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07AC0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EB3D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EE15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9D722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刘代华</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5E0B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0063E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387CAB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柳州市人民医院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32D0A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C672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57B8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陈薇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A7A7F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F3950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845A2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桂林医学院附属医院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67D6C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8282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D1CA8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邓雪玉</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4082A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218C4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289EDB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全州县妇幼保健院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43D4D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F81C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5CCD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席加喜</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8967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0D63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2E05FF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广西药师协会</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9073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EDCE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8E7F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田万平</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B624C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商采总监</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8BD7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D58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老百姓大药房连锁(广西)有限公司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C844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C72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F411A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李典聪</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B35B8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总监/中级药师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8B2A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F352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广西一心药业集团有限责任公司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24C3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364F1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1DCC4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朗月圆</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93AB3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培训主管</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9CC8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培训</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6FE12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广西鸿翔一心堂药业有限责任公司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776C9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524BA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9825E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郭栋</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6FA0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人力资源总监</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2BB0A6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E4D87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广西康全药业连锁有限公司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4AA77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F5A3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032262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李桂桃</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7CAA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质量负责人</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EFE1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质管部</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625E86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广西横州市福旺大药房有限责任公司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2A8CB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58F7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0B169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彭勇</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5556B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质管部部长</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70CA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质量管理</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0145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老百姓大药房连锁(广西)有限公司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93E6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F147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4D1DA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黄春</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C244F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97DC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D357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广西医科大学第一附属医院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5CC37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5B54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233A3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林忠秋</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6718B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7CB9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E994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广西医科大学第一附属医院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175B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5ACA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5E14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申庆荣</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3A748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B759D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心血管内科临床药师</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759F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9436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7239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49843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廖欣</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46FF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6673BE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心血管内科临床药师</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8D42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4CB3FD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01B46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75C7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郭又嘉</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757FA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3FB49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抗肿瘤药物</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93CD3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广西医科大学附属肿瘤医院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0172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E95B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6F13A6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廖柳凤</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CC28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副主任药师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F2DD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营养药物</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732B2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广西医科大学附属肿瘤医院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00264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7D1F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8687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黄晓娟</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7FF68F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副科长/主管药师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8655F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药品流通审核查验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175FB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37BE4A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76753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5A113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陈敏泓</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47D79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39AA4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FD4B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南宁市第二人民医院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1E449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601E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A339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黄燚燚</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069356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EFB0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6B08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南宁市第二人民医院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02E83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2B737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7EA9F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梁慧</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E7C0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5998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临床药学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0797E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bidi="ar"/>
              </w:rPr>
              <w:t>南宁市第二人民医院</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7DC9EA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2BBA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25F9F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张晨</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2FC67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工程师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7B69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药品流通审核查验</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5C13B0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广西壮族自治区食品药品审评查验中心</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6D8B56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F967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90D7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陈烽</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6E8D0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主管药师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7B06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48F7F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大参林医药集团股份有限公司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5A038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1301E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noWrap w:val="0"/>
            <w:vAlign w:val="center"/>
          </w:tcPr>
          <w:p w14:paraId="3C1138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val="en-US" w:eastAsia="zh-CN" w:bidi="ar"/>
              </w:rPr>
              <w:t>刘体红</w:t>
            </w:r>
          </w:p>
        </w:tc>
        <w:tc>
          <w:tcPr>
            <w:tcW w:w="1287" w:type="dxa"/>
            <w:tcBorders>
              <w:top w:val="single" w:color="auto" w:sz="4" w:space="0"/>
              <w:left w:val="single" w:color="auto" w:sz="4" w:space="0"/>
              <w:bottom w:val="single" w:color="auto" w:sz="4" w:space="0"/>
              <w:right w:val="single" w:color="auto" w:sz="4" w:space="0"/>
            </w:tcBorders>
            <w:noWrap w:val="0"/>
            <w:vAlign w:val="center"/>
          </w:tcPr>
          <w:p w14:paraId="539FE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初级中药师</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33B628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260DA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default"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福建国大药房连锁有限公司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2A559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r w14:paraId="6DA83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7B83D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李津</w:t>
            </w:r>
          </w:p>
        </w:tc>
        <w:tc>
          <w:tcPr>
            <w:tcW w:w="128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48F0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初级药师</w:t>
            </w:r>
          </w:p>
        </w:tc>
        <w:tc>
          <w:tcPr>
            <w:tcW w:w="112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4C0A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中药学</w:t>
            </w:r>
          </w:p>
        </w:tc>
        <w:tc>
          <w:tcPr>
            <w:tcW w:w="1948" w:type="dxa"/>
            <w:tcBorders>
              <w:top w:val="single" w:color="auto" w:sz="4" w:space="0"/>
              <w:left w:val="single" w:color="auto" w:sz="4" w:space="0"/>
              <w:bottom w:val="single" w:color="auto" w:sz="4" w:space="0"/>
              <w:right w:val="single" w:color="auto" w:sz="4" w:space="0"/>
            </w:tcBorders>
            <w:noWrap w:val="0"/>
            <w:vAlign w:val="center"/>
          </w:tcPr>
          <w:p w14:paraId="7FDF7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val="en-US" w:eastAsia="zh-CN" w:bidi="ar"/>
              </w:rPr>
            </w:pPr>
            <w:r>
              <w:rPr>
                <w:rFonts w:hint="eastAsia" w:ascii="仿宋_GB2312" w:hAnsi="仿宋_GB2312" w:eastAsia="仿宋_GB2312" w:cs="仿宋_GB2312"/>
                <w:color w:val="auto"/>
                <w:sz w:val="16"/>
                <w:szCs w:val="16"/>
                <w:lang w:val="en-US" w:eastAsia="zh-CN" w:bidi="ar"/>
              </w:rPr>
              <w:t>福建国大药房连锁有限公司</w:t>
            </w:r>
          </w:p>
        </w:tc>
        <w:tc>
          <w:tcPr>
            <w:tcW w:w="3778" w:type="dxa"/>
            <w:tcBorders>
              <w:top w:val="single" w:color="auto" w:sz="4" w:space="0"/>
              <w:left w:val="single" w:color="auto" w:sz="4" w:space="0"/>
              <w:bottom w:val="single" w:color="auto" w:sz="4" w:space="0"/>
              <w:right w:val="single" w:color="auto" w:sz="4" w:space="0"/>
            </w:tcBorders>
            <w:noWrap w:val="0"/>
            <w:vAlign w:val="center"/>
          </w:tcPr>
          <w:p w14:paraId="356A38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tLeast"/>
              <w:ind w:left="0" w:leftChars="0" w:right="0" w:rightChars="0"/>
              <w:jc w:val="left"/>
              <w:textAlignment w:val="auto"/>
              <w:rPr>
                <w:rFonts w:hint="eastAsia" w:ascii="仿宋_GB2312" w:hAnsi="仿宋_GB2312" w:eastAsia="仿宋_GB2312" w:cs="仿宋_GB2312"/>
                <w:color w:val="auto"/>
                <w:sz w:val="16"/>
                <w:szCs w:val="16"/>
                <w:lang w:bidi="ar"/>
              </w:rPr>
            </w:pPr>
            <w:r>
              <w:rPr>
                <w:rFonts w:hint="eastAsia" w:ascii="仿宋_GB2312" w:hAnsi="仿宋_GB2312" w:eastAsia="仿宋_GB2312" w:cs="仿宋_GB2312"/>
                <w:color w:val="auto"/>
                <w:sz w:val="16"/>
                <w:szCs w:val="16"/>
                <w:lang w:bidi="ar"/>
              </w:rPr>
              <w:t>参与标准文本及编制说明的编写；组织开展标准征求意见会；对标准实施情况进行总结分析，不断对标准提出修正意见</w:t>
            </w:r>
          </w:p>
        </w:tc>
      </w:tr>
    </w:tbl>
    <w:p w14:paraId="53753F26">
      <w:pPr>
        <w:spacing w:line="520" w:lineRule="exact"/>
        <w:ind w:firstLine="640" w:firstLineChars="200"/>
        <w:rPr>
          <w:rFonts w:hint="eastAsia" w:ascii="黑体" w:eastAsia="黑体" w:cs="仿宋_GB2312"/>
          <w:color w:val="auto"/>
          <w:sz w:val="32"/>
          <w:szCs w:val="32"/>
        </w:rPr>
      </w:pPr>
      <w:r>
        <w:rPr>
          <w:rFonts w:hint="eastAsia" w:ascii="黑体" w:eastAsia="黑体" w:cs="仿宋_GB2312"/>
          <w:color w:val="auto"/>
          <w:sz w:val="32"/>
          <w:szCs w:val="32"/>
        </w:rPr>
        <w:t>二、制定标准的必要性和意义</w:t>
      </w:r>
    </w:p>
    <w:p w14:paraId="0750FEAC">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零售药店药学专业性服务贯穿消费者购药的全流程，从购买前病情询问、购买中药物咨询、到购买后服用顺从，药店的专业性服务能够为消费者提供全方位的指导和帮助，大大提升治疗效果和消费者购药体验。</w:t>
      </w:r>
    </w:p>
    <w:p w14:paraId="08848BC6">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在2022年国家市场监督管理总局为了规范药品网络销售行为，就出台了《药品网络销售监督管理办法》。该办法提出药品网络零售企业还应当建立在线药学服务制度。2024年，国家药品监督管理局执业药师资格认证中心发布《药品零售企业执业药师药学服务指南》提出帮助药品零售企业执业药师开展药学服务，不断提升服务能力和水平，保障公众合理用药。2024年，国务院印发《关于促进服务消费高质量发展的意见》后，重庆、广东等地药监局发布相关政策，引导零售药店提供保障用药、健康监测、康复咨询、慢性病管理等服务，从而打造“药师服务”专业店，并为此制定了评选和计分标准，评审尤其关注药店的药师服务内容。</w:t>
      </w:r>
    </w:p>
    <w:p w14:paraId="325F1B6F">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药师培训的内容涉及面非常广泛，主要包括临床药学知识、药剂学知识、药理学知识、药物化学知识、中药学知识等。在培训过程中，药师需要全面学习这些知识，并进行实践应用，以提高自身技能水平。此外，还要学会如何与患者进行沟通和解答疑问，提供有效的药物教育和用药指导，以保证患者用药的合理性和安全性。</w:t>
      </w:r>
    </w:p>
    <w:p w14:paraId="6F350DD7">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eastAsia="zh-CN"/>
        </w:rPr>
        <w:t>目前我国药店数量也在近十年持续提升，总量在2022年达到了62.3万家，店均服务人数约2265人。零售药店整体数量上已经趋近饱和状态，带来日益激烈的竞争。我国药店连锁率在近年来持续增长。根据相关数据，2022年全国药店连锁率达到57.8%，比2021年增加了0.6个百分点。这表明越来越多的药店开始采用连锁经营模式，以提高经营效率和服务质量。2023年国内零售药店有66.7万家，同比上升7%，广西零售药店有2.5万家。目前国内执业药师数量78.9万人，广西执业药师数量有2.9万人。</w:t>
      </w:r>
    </w:p>
    <w:p w14:paraId="070E40A9">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lang w:eastAsia="zh-CN"/>
        </w:rPr>
        <w:t>因此提高药师药学专业性，对药师技能展开技能培训，鼓励药品零售店提升药师技能、药学服务水平，为消费者提供药学服务，保障其安全用药。通过制定团体标准《零售药店药师技能培训规范》，以标准为抓手，推动药品零售店药学服务规范化发展，保障消费者用药安全具有重要意义</w:t>
      </w:r>
      <w:r>
        <w:rPr>
          <w:rFonts w:hint="eastAsia" w:ascii="仿宋_GB2312" w:eastAsia="仿宋_GB2312"/>
          <w:color w:val="auto"/>
          <w:sz w:val="28"/>
          <w:szCs w:val="28"/>
        </w:rPr>
        <w:t>。</w:t>
      </w:r>
    </w:p>
    <w:p w14:paraId="747AD218">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三、主要起草过程</w:t>
      </w:r>
    </w:p>
    <w:p w14:paraId="54788535">
      <w:pPr>
        <w:spacing w:line="520" w:lineRule="exact"/>
        <w:ind w:firstLine="562" w:firstLineChars="200"/>
        <w:rPr>
          <w:rFonts w:hint="eastAsia" w:ascii="仿宋_GB2312" w:eastAsia="仿宋_GB2312"/>
          <w:color w:val="auto"/>
          <w:sz w:val="28"/>
          <w:szCs w:val="28"/>
        </w:rPr>
      </w:pPr>
      <w:r>
        <w:rPr>
          <w:rFonts w:hint="eastAsia" w:ascii="仿宋_GB2312" w:eastAsia="仿宋_GB2312" w:cs="仿宋_GB2312"/>
          <w:b/>
          <w:color w:val="auto"/>
          <w:sz w:val="28"/>
          <w:szCs w:val="28"/>
        </w:rPr>
        <w:t>（一）成立标准编制工作组</w:t>
      </w:r>
    </w:p>
    <w:p w14:paraId="7DD45D63">
      <w:pPr>
        <w:spacing w:line="520" w:lineRule="exact"/>
        <w:ind w:firstLine="560" w:firstLineChars="200"/>
        <w:jc w:val="left"/>
        <w:rPr>
          <w:rFonts w:hint="eastAsia" w:ascii="仿宋_GB2312" w:eastAsia="仿宋_GB2312"/>
          <w:color w:val="auto"/>
          <w:sz w:val="28"/>
          <w:szCs w:val="28"/>
        </w:rPr>
      </w:pPr>
      <w:r>
        <w:rPr>
          <w:rFonts w:hint="eastAsia" w:ascii="仿宋_GB2312" w:hAnsi="宋体" w:eastAsia="仿宋_GB2312"/>
          <w:color w:val="auto"/>
          <w:sz w:val="28"/>
          <w:szCs w:val="28"/>
        </w:rPr>
        <w:t>团体标准</w:t>
      </w:r>
      <w:r>
        <w:rPr>
          <w:rFonts w:hint="eastAsia" w:ascii="仿宋_GB2312" w:eastAsia="仿宋_GB2312"/>
          <w:color w:val="auto"/>
          <w:sz w:val="28"/>
          <w:szCs w:val="28"/>
        </w:rPr>
        <w:t>《</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项目任务下达后，广西药师协会零售药店药学服务专业委员会、广西药师协会、国药控股广西有限公司、国药控股国大药房广西连锁有限公司、广西大参林连锁药店有限公司、广西桂中大药房连锁有限责任公司、广西壮族自治区食品药品审评查验中心、广西医科大学第一附属医院、广西壮族自治区人民医院、广西医科大学附属肿瘤医院、南宁市第二人民医院、柳州市人民医院、桂林医学院附属医院、全州县妇幼保健院、广西康全药业连锁有限公司、老百姓大药房连锁(广西)有限公司、广西鸿翔一心堂药业有限责任公司、广西一心药业集团有限责任公司、广西桂翰百姓人家大药房有限责任公司、广西健之佳药店连锁有限公司、广西横州市福旺大药房有限责任公司、大参林医药集团股份有限公司、福建国大药房连锁有限公司成立了标准编制工作组，制定了起草编写方案与进度安排，明确任务职责，确定工作技术路线，开展标准研制工作。具体标准编制工作由起草单位相关人员配合完成。</w:t>
      </w:r>
    </w:p>
    <w:p w14:paraId="3975F9A9">
      <w:pPr>
        <w:spacing w:line="520" w:lineRule="exact"/>
        <w:ind w:firstLine="560" w:firstLineChars="200"/>
        <w:rPr>
          <w:rFonts w:hint="eastAsia" w:ascii="仿宋_GB2312" w:eastAsia="仿宋_GB2312" w:cs="仿宋_GB2312"/>
          <w:color w:val="auto"/>
          <w:sz w:val="28"/>
          <w:szCs w:val="28"/>
        </w:rPr>
      </w:pPr>
      <w:r>
        <w:rPr>
          <w:rFonts w:hint="eastAsia" w:ascii="仿宋_GB2312" w:eastAsia="仿宋_GB2312"/>
          <w:color w:val="auto"/>
          <w:sz w:val="28"/>
          <w:szCs w:val="28"/>
        </w:rPr>
        <w:t>为了明确标准编制的任务职责，确定工作技术路线，开展标准研制工作。标准编制工作组下设二个组，分别是资料收集组、草案编写组。资料收集组负责国内外有关</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方面的文献资料的查询、收集和整理工作，查阅前</w:t>
      </w:r>
      <w:r>
        <w:rPr>
          <w:rFonts w:hint="eastAsia" w:ascii="仿宋_GB2312" w:eastAsia="仿宋_GB2312"/>
          <w:color w:val="auto"/>
          <w:sz w:val="28"/>
          <w:szCs w:val="28"/>
          <w:lang w:eastAsia="zh-CN"/>
        </w:rPr>
        <w:t>期</w:t>
      </w:r>
      <w:r>
        <w:rPr>
          <w:rFonts w:hint="eastAsia" w:ascii="仿宋_GB2312" w:eastAsia="仿宋_GB2312"/>
          <w:color w:val="auto"/>
          <w:sz w:val="28"/>
          <w:szCs w:val="28"/>
        </w:rPr>
        <w:t>对</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方面的有关研究情况和目前科学界</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的研究进展；草案编写组负责起草标准草案及后续征求意见稿和标准编制说明、送审稿及编制说明等编写工作，包括后期召开征求意见会、网上征求意见，以及标准的不断修改和完善。</w:t>
      </w:r>
    </w:p>
    <w:p w14:paraId="0217FCF3">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（二）收集整理文献资料</w:t>
      </w:r>
    </w:p>
    <w:p w14:paraId="2EA0CF3A">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标准编制工作组收集了国内有关</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的相关文献资料。主要有：</w:t>
      </w:r>
    </w:p>
    <w:p w14:paraId="22434709">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 《执业药师业务规范》</w:t>
      </w:r>
    </w:p>
    <w:p w14:paraId="248244E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[2] 《医疗机构药事管理规定》卫医政发(2011)11号 </w:t>
      </w:r>
    </w:p>
    <w:p w14:paraId="53DFC8CE">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[3] 《中药专业技术人员职称评价基本标准》人社部发[2021]51号</w:t>
      </w:r>
    </w:p>
    <w:p w14:paraId="31D060F7">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[4] 《药学专业技术人员职称评价基本标准》人社部发[2021]51号 </w:t>
      </w:r>
    </w:p>
    <w:p w14:paraId="58975848">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[5] 《“健康中国 2030”规划纲要》</w:t>
      </w:r>
    </w:p>
    <w:p w14:paraId="76E1837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[6] 《临床药师培训指南》</w:t>
      </w:r>
    </w:p>
    <w:p w14:paraId="2DA275C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[7] 《国家慢性病综合防控规划》国办发〔2017〕12 号</w:t>
      </w:r>
    </w:p>
    <w:p w14:paraId="446CD108">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[8] 《国家基层高血压防治管理指南》</w:t>
      </w:r>
    </w:p>
    <w:p w14:paraId="1682591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[9] 《国家基层糖尿病防治管理指南》</w:t>
      </w:r>
    </w:p>
    <w:p w14:paraId="10AC4C27">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[10]《中国成人血脂异常防治指南》</w:t>
      </w:r>
    </w:p>
    <w:p w14:paraId="5C4B4C2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[11]《冠心病合理用药指南》</w:t>
      </w:r>
    </w:p>
    <w:p w14:paraId="47FFFE92">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[12]《中国国家处方集》卫医政发〔2010〕10号</w:t>
      </w:r>
    </w:p>
    <w:p w14:paraId="28A4DB0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[13]《药学服务实践指南》</w:t>
      </w:r>
    </w:p>
    <w:p w14:paraId="183E0C9E">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[14]《中华人民共和国药典临床用药须知》</w:t>
      </w:r>
    </w:p>
    <w:p w14:paraId="13C77C0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[15]《过敏性休克诊断与治疗中国专家共识》</w:t>
      </w:r>
    </w:p>
    <w:p w14:paraId="3D8A261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[16]《关于推进医疗机构间医学检验检查结果互认的指导意见》国卫医政发〔2024〕37号  </w:t>
      </w:r>
    </w:p>
    <w:p w14:paraId="2CD8A1DB">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[17]《广西壮族自治区药品经营质量管理规范》（2017年修订）</w:t>
      </w:r>
    </w:p>
    <w:p w14:paraId="2B668A4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[18]《中华人民共和国药品管理法》</w:t>
      </w:r>
    </w:p>
    <w:p w14:paraId="7A6A93C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[19]《药品经营质量管理规范》（2015年6月25日国家食品药品监督管理总局令第13号公布并施行）</w:t>
      </w:r>
    </w:p>
    <w:p w14:paraId="489DF7D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[20]《长期处方管理规范》国卫办医发〔2021〕17号</w:t>
      </w:r>
    </w:p>
    <w:p w14:paraId="2BBD8026">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[21]《执业药师职业资格制度规定》国药监人〔2019〕12号</w:t>
      </w:r>
    </w:p>
    <w:p w14:paraId="251C322D">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[22]《处方管理办法》中华人民共和国卫生部令第53号</w:t>
      </w:r>
    </w:p>
    <w:p w14:paraId="71E2A944">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[23]《医疗机构处方审核规范》</w:t>
      </w:r>
    </w:p>
    <w:p w14:paraId="6EFDFC64">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（三）研讨确定标准特色、创新点和主体内容</w:t>
      </w:r>
    </w:p>
    <w:p w14:paraId="27C287CE">
      <w:pPr>
        <w:pStyle w:val="29"/>
        <w:spacing w:line="520" w:lineRule="exact"/>
        <w:ind w:firstLine="560"/>
        <w:rPr>
          <w:rFonts w:hint="eastAsia" w:ascii="仿宋_GB2312" w:eastAsia="仿宋_GB2312"/>
          <w:color w:val="auto"/>
          <w:sz w:val="28"/>
          <w:szCs w:val="28"/>
          <w:highlight w:val="none"/>
        </w:rPr>
      </w:pPr>
      <w:r>
        <w:rPr>
          <w:rFonts w:hint="eastAsia" w:ascii="仿宋_GB2312" w:eastAsia="仿宋_GB2312"/>
          <w:color w:val="auto"/>
          <w:sz w:val="28"/>
          <w:szCs w:val="28"/>
        </w:rPr>
        <w:t>标准编制工作组在对收集的资料进行整理研究之后，标准编制工作组召开了标准编制会议，对标准的整体框架结构进行了研究，并对标准的关键性内容进行了初步探讨。经过研究，标准的主体内容为</w:t>
      </w:r>
      <w:r>
        <w:rPr>
          <w:rFonts w:hint="eastAsia" w:ascii="仿宋_GB2312" w:eastAsia="仿宋_GB2312"/>
          <w:color w:val="auto"/>
          <w:sz w:val="28"/>
          <w:szCs w:val="28"/>
          <w:lang w:val="en" w:eastAsia="zh-CN"/>
        </w:rPr>
        <w:t>零售药店技能培训的基</w:t>
      </w:r>
      <w:r>
        <w:rPr>
          <w:rFonts w:hint="eastAsia" w:ascii="仿宋_GB2312" w:eastAsia="仿宋_GB2312"/>
          <w:color w:val="auto"/>
          <w:sz w:val="28"/>
          <w:szCs w:val="28"/>
          <w:highlight w:val="none"/>
          <w:lang w:val="en" w:eastAsia="zh-CN"/>
        </w:rPr>
        <w:t>本要求、服务内容、服务评价与改进的要求。</w:t>
      </w:r>
    </w:p>
    <w:p w14:paraId="2273D80A">
      <w:pPr>
        <w:spacing w:line="520" w:lineRule="exact"/>
        <w:ind w:firstLine="560" w:firstLineChars="200"/>
        <w:rPr>
          <w:rFonts w:hint="eastAsia" w:ascii="仿宋_GB2312" w:eastAsia="仿宋_GB2312"/>
          <w:color w:val="auto"/>
          <w:sz w:val="28"/>
          <w:szCs w:val="28"/>
          <w:highlight w:val="none"/>
          <w:lang w:eastAsia="zh-CN"/>
        </w:rPr>
      </w:pPr>
      <w:r>
        <w:rPr>
          <w:rFonts w:hint="eastAsia" w:ascii="仿宋_GB2312" w:eastAsia="仿宋_GB2312"/>
          <w:color w:val="auto"/>
          <w:sz w:val="28"/>
          <w:szCs w:val="28"/>
          <w:highlight w:val="none"/>
          <w:lang w:eastAsia="zh-CN"/>
        </w:rPr>
        <w:t>总结说明本标准对比与共识、护理书籍、相关标准的创新点在于：</w:t>
      </w:r>
    </w:p>
    <w:p w14:paraId="5965A838">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1.聚焦零售药店场景，填补行业培训标准空白</w:t>
      </w:r>
    </w:p>
    <w:p w14:paraId="0EE89127">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目前国内已有标准如 T/CMEAS 017—2023、T/CHAS 20-4-8-1/2—2023 等均针对医疗机构药师培训，而本标准首次系统性地针对零售药店药师的技能培训进行规范，涵盖药品管理、药学服务、合规管理、应急处理等零售特有环节，具有较强的行业针对性和实用性。</w:t>
      </w:r>
    </w:p>
    <w:p w14:paraId="571CD29C">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2.突出实操导向，明确培训课时与考核方式</w:t>
      </w:r>
    </w:p>
    <w:p w14:paraId="7AB410EF">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本标准在“培训要求”中明确培训总课时为90课时，理论占70%、实践占30%，并细化理论考核与实践考核的权重（70%:30%），结业考试合格分数为80分，体现以能力为本位的培训理念。</w:t>
      </w:r>
    </w:p>
    <w:p w14:paraId="1E438DED">
      <w:pPr>
        <w:spacing w:line="520" w:lineRule="exact"/>
        <w:ind w:firstLine="560" w:firstLineChars="200"/>
        <w:rPr>
          <w:rFonts w:hint="eastAsia" w:ascii="仿宋_GB2312" w:eastAsia="仿宋_GB2312"/>
          <w:color w:val="auto"/>
          <w:sz w:val="28"/>
          <w:szCs w:val="28"/>
          <w:highlight w:val="none"/>
          <w:lang w:val="en-US" w:eastAsia="zh-CN"/>
        </w:rPr>
      </w:pPr>
      <w:r>
        <w:rPr>
          <w:rFonts w:hint="eastAsia" w:ascii="仿宋_GB2312" w:eastAsia="仿宋_GB2312"/>
          <w:color w:val="auto"/>
          <w:sz w:val="28"/>
          <w:szCs w:val="28"/>
          <w:highlight w:val="none"/>
          <w:lang w:val="en-US" w:eastAsia="zh-CN"/>
        </w:rPr>
        <w:t>3.引入附录，细化服务人员岗位能力要求</w:t>
      </w:r>
    </w:p>
    <w:p w14:paraId="77848629">
      <w:pPr>
        <w:spacing w:line="520" w:lineRule="exact"/>
        <w:ind w:firstLine="560" w:firstLineChars="200"/>
        <w:rPr>
          <w:rFonts w:hint="default" w:ascii="仿宋_GB2312" w:eastAsia="仿宋_GB2312"/>
          <w:sz w:val="28"/>
          <w:szCs w:val="28"/>
          <w:highlight w:val="none"/>
          <w:lang w:val="en-US" w:eastAsia="zh-CN"/>
        </w:rPr>
      </w:pPr>
      <w:r>
        <w:rPr>
          <w:rFonts w:hint="eastAsia" w:ascii="仿宋_GB2312" w:eastAsia="仿宋_GB2312"/>
          <w:color w:val="auto"/>
          <w:sz w:val="28"/>
          <w:szCs w:val="28"/>
          <w:highlight w:val="none"/>
          <w:lang w:val="en-US" w:eastAsia="zh-CN"/>
        </w:rPr>
        <w:t>通过附录分别对药品管理、药学专业服务等板块提出具体岗位能力要求，如药品验收记录、处方审核要点、慢病管理流程等，增强标准的可操作性和指导性</w:t>
      </w:r>
    </w:p>
    <w:p w14:paraId="2BA81A20">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（四）调研及形成草案、征求意见稿</w:t>
      </w:r>
    </w:p>
    <w:p w14:paraId="761DE700">
      <w:pPr>
        <w:spacing w:line="520" w:lineRule="exact"/>
        <w:ind w:firstLine="560" w:firstLineChars="200"/>
        <w:rPr>
          <w:rFonts w:ascii="仿宋_GB2312" w:eastAsia="仿宋_GB2312"/>
          <w:color w:val="auto"/>
          <w:kern w:val="0"/>
          <w:sz w:val="28"/>
          <w:szCs w:val="28"/>
        </w:rPr>
      </w:pPr>
      <w:r>
        <w:rPr>
          <w:rFonts w:hint="eastAsia" w:ascii="仿宋_GB2312" w:eastAsia="仿宋_GB2312"/>
          <w:color w:val="auto"/>
          <w:kern w:val="0"/>
          <w:sz w:val="28"/>
          <w:szCs w:val="28"/>
        </w:rPr>
        <w:t>202</w:t>
      </w:r>
      <w:r>
        <w:rPr>
          <w:rFonts w:hint="default" w:ascii="仿宋_GB2312" w:eastAsia="仿宋_GB2312"/>
          <w:color w:val="auto"/>
          <w:kern w:val="0"/>
          <w:sz w:val="28"/>
          <w:szCs w:val="28"/>
          <w:lang w:val="en"/>
        </w:rPr>
        <w:t>5</w:t>
      </w:r>
      <w:r>
        <w:rPr>
          <w:rFonts w:hint="eastAsia" w:ascii="仿宋_GB2312" w:eastAsia="仿宋_GB2312"/>
          <w:color w:val="auto"/>
          <w:kern w:val="0"/>
          <w:sz w:val="28"/>
          <w:szCs w:val="28"/>
        </w:rPr>
        <w:t>年</w:t>
      </w:r>
      <w:r>
        <w:rPr>
          <w:rFonts w:hint="default" w:ascii="仿宋_GB2312" w:eastAsia="仿宋_GB2312"/>
          <w:color w:val="auto"/>
          <w:kern w:val="0"/>
          <w:sz w:val="28"/>
          <w:szCs w:val="28"/>
          <w:lang w:val="en"/>
        </w:rPr>
        <w:t>5</w:t>
      </w:r>
      <w:r>
        <w:rPr>
          <w:rFonts w:hint="eastAsia" w:ascii="仿宋_GB2312" w:eastAsia="仿宋_GB2312"/>
          <w:color w:val="auto"/>
          <w:kern w:val="0"/>
          <w:sz w:val="28"/>
          <w:szCs w:val="28"/>
        </w:rPr>
        <w:t>月～202</w:t>
      </w:r>
      <w:r>
        <w:rPr>
          <w:rFonts w:hint="default" w:ascii="仿宋_GB2312" w:eastAsia="仿宋_GB2312"/>
          <w:color w:val="auto"/>
          <w:kern w:val="0"/>
          <w:sz w:val="28"/>
          <w:szCs w:val="28"/>
          <w:lang w:val="en" w:eastAsia="zh-CN"/>
        </w:rPr>
        <w:t>5</w:t>
      </w:r>
      <w:r>
        <w:rPr>
          <w:rFonts w:hint="eastAsia" w:ascii="仿宋_GB2312" w:eastAsia="仿宋_GB2312"/>
          <w:color w:val="auto"/>
          <w:kern w:val="0"/>
          <w:sz w:val="28"/>
          <w:szCs w:val="28"/>
        </w:rPr>
        <w:t>年</w:t>
      </w:r>
      <w:r>
        <w:rPr>
          <w:rFonts w:hint="default" w:ascii="仿宋_GB2312" w:eastAsia="仿宋_GB2312"/>
          <w:color w:val="auto"/>
          <w:kern w:val="0"/>
          <w:sz w:val="28"/>
          <w:szCs w:val="28"/>
          <w:lang w:val="en" w:eastAsia="zh-CN"/>
        </w:rPr>
        <w:t>6</w:t>
      </w:r>
      <w:r>
        <w:rPr>
          <w:rFonts w:hint="eastAsia" w:ascii="仿宋_GB2312" w:eastAsia="仿宋_GB2312"/>
          <w:color w:val="auto"/>
          <w:kern w:val="0"/>
          <w:sz w:val="28"/>
          <w:szCs w:val="28"/>
        </w:rPr>
        <w:t>月，标准编制工作组查阅了大量的国内文献资料，对</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相关的文件进行系统总结。形成了标准的基本构架，对主要内容进行了讨论并对项目的工作进行了部署和安排。</w:t>
      </w:r>
    </w:p>
    <w:p w14:paraId="5B2A83BE">
      <w:pPr>
        <w:spacing w:line="520" w:lineRule="exact"/>
        <w:ind w:firstLine="560" w:firstLineChars="200"/>
        <w:rPr>
          <w:rFonts w:hint="eastAsia"/>
          <w:color w:val="auto"/>
          <w:sz w:val="28"/>
          <w:szCs w:val="28"/>
        </w:rPr>
      </w:pPr>
      <w:r>
        <w:rPr>
          <w:rFonts w:hint="eastAsia" w:ascii="仿宋_GB2312" w:eastAsia="仿宋_GB2312"/>
          <w:color w:val="auto"/>
          <w:kern w:val="0"/>
          <w:sz w:val="28"/>
          <w:szCs w:val="28"/>
        </w:rPr>
        <w:t>202</w:t>
      </w:r>
      <w:r>
        <w:rPr>
          <w:rFonts w:hint="default" w:ascii="仿宋_GB2312" w:eastAsia="仿宋_GB2312"/>
          <w:color w:val="auto"/>
          <w:kern w:val="0"/>
          <w:sz w:val="28"/>
          <w:szCs w:val="28"/>
          <w:lang w:val="en" w:eastAsia="zh-CN"/>
        </w:rPr>
        <w:t>5</w:t>
      </w:r>
      <w:r>
        <w:rPr>
          <w:rFonts w:hint="eastAsia" w:ascii="仿宋_GB2312" w:eastAsia="仿宋_GB2312"/>
          <w:color w:val="auto"/>
          <w:kern w:val="0"/>
          <w:sz w:val="28"/>
          <w:szCs w:val="28"/>
        </w:rPr>
        <w:t>年</w:t>
      </w:r>
      <w:r>
        <w:rPr>
          <w:rFonts w:hint="default" w:ascii="仿宋_GB2312" w:eastAsia="仿宋_GB2312"/>
          <w:color w:val="auto"/>
          <w:kern w:val="0"/>
          <w:sz w:val="28"/>
          <w:szCs w:val="28"/>
          <w:lang w:val="en" w:eastAsia="zh-CN"/>
        </w:rPr>
        <w:t>6</w:t>
      </w:r>
      <w:r>
        <w:rPr>
          <w:rFonts w:hint="eastAsia" w:ascii="仿宋_GB2312" w:eastAsia="仿宋_GB2312"/>
          <w:color w:val="auto"/>
          <w:kern w:val="0"/>
          <w:sz w:val="28"/>
          <w:szCs w:val="28"/>
        </w:rPr>
        <w:t>月～</w:t>
      </w:r>
      <w:r>
        <w:rPr>
          <w:rFonts w:hint="default" w:ascii="仿宋_GB2312" w:eastAsia="仿宋_GB2312"/>
          <w:color w:val="auto"/>
          <w:kern w:val="0"/>
          <w:sz w:val="28"/>
          <w:szCs w:val="28"/>
          <w:lang w:val="en" w:eastAsia="zh-CN"/>
        </w:rPr>
        <w:t>7</w:t>
      </w:r>
      <w:r>
        <w:rPr>
          <w:rFonts w:hint="eastAsia" w:ascii="仿宋_GB2312" w:eastAsia="仿宋_GB2312"/>
          <w:color w:val="auto"/>
          <w:kern w:val="0"/>
          <w:sz w:val="28"/>
          <w:szCs w:val="28"/>
        </w:rPr>
        <w:t>月，</w:t>
      </w:r>
      <w:r>
        <w:rPr>
          <w:rFonts w:hint="eastAsia" w:ascii="仿宋_GB2312" w:eastAsia="仿宋_GB2312"/>
          <w:color w:val="auto"/>
          <w:kern w:val="0"/>
          <w:sz w:val="28"/>
          <w:szCs w:val="28"/>
          <w:lang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eastAsia="zh-CN"/>
        </w:rPr>
        <w:t>零售药店技能培训规范</w:t>
      </w:r>
      <w:r>
        <w:rPr>
          <w:rFonts w:hint="eastAsia" w:ascii="仿宋_GB2312" w:eastAsia="仿宋_GB2312"/>
          <w:color w:val="auto"/>
          <w:kern w:val="0"/>
          <w:sz w:val="28"/>
          <w:szCs w:val="28"/>
        </w:rPr>
        <w:t>》</w:t>
      </w:r>
      <w:r>
        <w:rPr>
          <w:rFonts w:hint="eastAsia" w:ascii="仿宋_GB2312" w:hAnsi="宋体" w:eastAsia="仿宋_GB2312"/>
          <w:color w:val="auto"/>
          <w:sz w:val="28"/>
          <w:szCs w:val="28"/>
        </w:rPr>
        <w:t>获批立项</w:t>
      </w:r>
      <w:r>
        <w:rPr>
          <w:rFonts w:hint="eastAsia" w:ascii="仿宋_GB2312" w:eastAsia="仿宋_GB2312"/>
          <w:color w:val="auto"/>
          <w:kern w:val="0"/>
          <w:sz w:val="28"/>
          <w:szCs w:val="28"/>
        </w:rPr>
        <w:t>，在前期工作的基础之上，通过理清逻辑脉络，整合已有参考资料中有关</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的要求，并在</w:t>
      </w:r>
      <w:r>
        <w:rPr>
          <w:rFonts w:hint="eastAsia" w:ascii="仿宋_GB2312" w:eastAsia="仿宋_GB2312"/>
          <w:color w:val="auto"/>
          <w:kern w:val="0"/>
          <w:sz w:val="28"/>
          <w:szCs w:val="28"/>
          <w:lang w:eastAsia="zh-CN"/>
        </w:rPr>
        <w:t>目前</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的基础上，按照简化、统一等原则编制完成</w:t>
      </w:r>
      <w:r>
        <w:rPr>
          <w:rFonts w:hint="eastAsia" w:ascii="仿宋_GB2312" w:eastAsia="仿宋_GB2312"/>
          <w:color w:val="auto"/>
          <w:kern w:val="0"/>
          <w:sz w:val="28"/>
          <w:szCs w:val="28"/>
          <w:lang w:val="en-US"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eastAsia="zh-CN"/>
        </w:rPr>
        <w:t>零售药店技能培训规范</w:t>
      </w:r>
      <w:r>
        <w:rPr>
          <w:rFonts w:hint="eastAsia" w:ascii="仿宋_GB2312" w:eastAsia="仿宋_GB2312"/>
          <w:color w:val="auto"/>
          <w:kern w:val="0"/>
          <w:sz w:val="28"/>
          <w:szCs w:val="28"/>
        </w:rPr>
        <w:t>》（草案）。</w:t>
      </w:r>
    </w:p>
    <w:p w14:paraId="73D52349">
      <w:pPr>
        <w:spacing w:line="520" w:lineRule="exact"/>
        <w:ind w:firstLine="560" w:firstLineChars="200"/>
        <w:rPr>
          <w:rFonts w:ascii="仿宋_GB2312" w:eastAsia="仿宋_GB2312"/>
          <w:color w:val="auto"/>
          <w:kern w:val="0"/>
          <w:sz w:val="28"/>
          <w:szCs w:val="28"/>
        </w:rPr>
      </w:pPr>
      <w:r>
        <w:rPr>
          <w:rFonts w:hint="eastAsia" w:ascii="仿宋_GB2312" w:eastAsia="仿宋_GB2312"/>
          <w:color w:val="auto"/>
          <w:kern w:val="0"/>
          <w:sz w:val="28"/>
          <w:szCs w:val="28"/>
        </w:rPr>
        <w:t>202</w:t>
      </w:r>
      <w:r>
        <w:rPr>
          <w:rFonts w:hint="default" w:ascii="仿宋_GB2312" w:eastAsia="仿宋_GB2312"/>
          <w:color w:val="auto"/>
          <w:kern w:val="0"/>
          <w:sz w:val="28"/>
          <w:szCs w:val="28"/>
          <w:lang w:val="en" w:eastAsia="zh-CN"/>
        </w:rPr>
        <w:t>5</w:t>
      </w:r>
      <w:r>
        <w:rPr>
          <w:rFonts w:hint="eastAsia" w:ascii="仿宋_GB2312" w:eastAsia="仿宋_GB2312"/>
          <w:color w:val="auto"/>
          <w:sz w:val="28"/>
          <w:szCs w:val="28"/>
          <w:lang w:val="en"/>
        </w:rPr>
        <w:t>年</w:t>
      </w:r>
      <w:r>
        <w:rPr>
          <w:rFonts w:hint="default" w:ascii="仿宋_GB2312" w:eastAsia="仿宋_GB2312"/>
          <w:color w:val="auto"/>
          <w:sz w:val="28"/>
          <w:szCs w:val="28"/>
          <w:lang w:val="en" w:eastAsia="zh-CN"/>
        </w:rPr>
        <w:t>7</w:t>
      </w:r>
      <w:r>
        <w:rPr>
          <w:rFonts w:hint="eastAsia" w:ascii="仿宋_GB2312" w:eastAsia="仿宋_GB2312"/>
          <w:color w:val="auto"/>
          <w:sz w:val="28"/>
          <w:szCs w:val="28"/>
          <w:lang w:val="en"/>
        </w:rPr>
        <w:t>月～</w:t>
      </w:r>
      <w:r>
        <w:rPr>
          <w:rFonts w:hint="eastAsia" w:ascii="仿宋_GB2312" w:eastAsia="仿宋_GB2312"/>
          <w:color w:val="auto"/>
          <w:sz w:val="28"/>
          <w:szCs w:val="28"/>
          <w:lang w:val="en-US" w:eastAsia="zh-CN"/>
        </w:rPr>
        <w:t>202</w:t>
      </w:r>
      <w:r>
        <w:rPr>
          <w:rFonts w:hint="default" w:ascii="仿宋_GB2312" w:eastAsia="仿宋_GB2312"/>
          <w:color w:val="auto"/>
          <w:sz w:val="28"/>
          <w:szCs w:val="28"/>
          <w:lang w:val="en" w:eastAsia="zh-CN"/>
        </w:rPr>
        <w:t>5</w:t>
      </w:r>
      <w:r>
        <w:rPr>
          <w:rFonts w:hint="eastAsia" w:ascii="仿宋_GB2312" w:eastAsia="仿宋_GB2312"/>
          <w:color w:val="auto"/>
          <w:sz w:val="28"/>
          <w:szCs w:val="28"/>
          <w:lang w:val="en-US" w:eastAsia="zh-CN"/>
        </w:rPr>
        <w:t>年</w:t>
      </w:r>
      <w:r>
        <w:rPr>
          <w:rFonts w:hint="default" w:ascii="仿宋_GB2312" w:eastAsia="仿宋_GB2312"/>
          <w:color w:val="auto"/>
          <w:sz w:val="28"/>
          <w:szCs w:val="28"/>
          <w:lang w:val="en" w:eastAsia="zh-CN"/>
        </w:rPr>
        <w:t>8</w:t>
      </w:r>
      <w:r>
        <w:rPr>
          <w:rFonts w:hint="eastAsia" w:ascii="仿宋_GB2312" w:eastAsia="仿宋_GB2312"/>
          <w:color w:val="auto"/>
          <w:sz w:val="28"/>
          <w:szCs w:val="28"/>
          <w:lang w:val="en"/>
        </w:rPr>
        <w:t>月，标准编制工作组深入广西药师协会零售药店药学服务专业委员会、广西药师协会、国药控股广西有限公司、国药控股国大药房广西连锁有限公司、广西大参林连锁药店有限公司、广西桂中大药房连锁有限责任公司、广西壮族自治区食品药品审评查验中心、广西医科大学第一附属医院、广西壮族自治区人民医院、广西医科大学附属肿瘤医院、南宁市第二人民医院、柳州市人民医院、桂林医学院附属医院、全州县妇幼保健院、广西康全药业连锁有限公司、老百姓大药房连锁(广西)有限公司、广西鸿翔一心堂药业有限责任公司、广西一心药业集团有限责任公司、广西桂翰百姓人家大药房有限责任公司、广西健之佳药店连锁有限公司、广西横州市福旺大药房有限责任公司、大参林医药集团股份有限公司、福建国大药房连锁有限公司</w:t>
      </w:r>
      <w:bookmarkStart w:id="1" w:name="_GoBack"/>
      <w:bookmarkEnd w:id="1"/>
      <w:r>
        <w:rPr>
          <w:rFonts w:hint="eastAsia" w:ascii="仿宋_GB2312" w:eastAsia="仿宋_GB2312"/>
          <w:color w:val="auto"/>
          <w:sz w:val="28"/>
          <w:szCs w:val="28"/>
          <w:lang w:val="en" w:eastAsia="zh-CN"/>
        </w:rPr>
        <w:t>实施零售药店技能培训</w:t>
      </w:r>
      <w:r>
        <w:rPr>
          <w:rFonts w:hint="eastAsia" w:ascii="仿宋_GB2312" w:hAnsi="宋体" w:eastAsia="仿宋_GB2312"/>
          <w:color w:val="auto"/>
          <w:sz w:val="28"/>
          <w:szCs w:val="28"/>
        </w:rPr>
        <w:t>的有代表性的</w:t>
      </w:r>
      <w:r>
        <w:rPr>
          <w:rFonts w:hint="eastAsia" w:ascii="仿宋_GB2312" w:hAnsi="宋体" w:eastAsia="仿宋_GB2312"/>
          <w:color w:val="auto"/>
          <w:sz w:val="28"/>
          <w:szCs w:val="28"/>
          <w:lang w:val="en-US" w:eastAsia="zh-CN"/>
        </w:rPr>
        <w:t>药店</w:t>
      </w:r>
      <w:r>
        <w:rPr>
          <w:rFonts w:hint="eastAsia" w:ascii="仿宋_GB2312" w:eastAsia="仿宋_GB2312"/>
          <w:color w:val="auto"/>
          <w:kern w:val="0"/>
          <w:sz w:val="28"/>
          <w:szCs w:val="28"/>
        </w:rPr>
        <w:t>进行实地调研，并组织相关主管单位、</w:t>
      </w:r>
      <w:r>
        <w:rPr>
          <w:rFonts w:hint="eastAsia" w:ascii="仿宋_GB2312" w:eastAsia="仿宋_GB2312"/>
          <w:color w:val="auto"/>
          <w:kern w:val="0"/>
          <w:sz w:val="28"/>
          <w:szCs w:val="28"/>
          <w:lang w:val="en-US" w:eastAsia="zh-CN"/>
        </w:rPr>
        <w:t>药店</w:t>
      </w:r>
      <w:r>
        <w:rPr>
          <w:rFonts w:hint="eastAsia" w:ascii="仿宋_GB2312" w:eastAsia="仿宋_GB2312"/>
          <w:color w:val="auto"/>
          <w:kern w:val="0"/>
          <w:sz w:val="28"/>
          <w:szCs w:val="28"/>
        </w:rPr>
        <w:t>等召开标准研讨会，收集反馈了大量意见，对标准草案进行了反复修改和研究讨论，掌握了</w:t>
      </w:r>
      <w:r>
        <w:rPr>
          <w:rFonts w:hint="eastAsia" w:ascii="仿宋_GB2312" w:eastAsia="仿宋_GB2312"/>
          <w:color w:val="auto"/>
          <w:sz w:val="28"/>
          <w:szCs w:val="28"/>
          <w:lang w:val="en" w:eastAsia="zh-CN"/>
        </w:rPr>
        <w:t>零售药店技能培训</w:t>
      </w:r>
      <w:r>
        <w:rPr>
          <w:rFonts w:hint="eastAsia" w:ascii="仿宋_GB2312" w:eastAsia="仿宋_GB2312"/>
          <w:color w:val="auto"/>
          <w:kern w:val="0"/>
          <w:sz w:val="28"/>
          <w:szCs w:val="28"/>
        </w:rPr>
        <w:t>的基本情况</w:t>
      </w:r>
      <w:r>
        <w:rPr>
          <w:rFonts w:hint="eastAsia" w:ascii="仿宋_GB2312" w:eastAsia="仿宋_GB2312"/>
          <w:color w:val="auto"/>
          <w:kern w:val="0"/>
          <w:sz w:val="28"/>
          <w:szCs w:val="28"/>
          <w:lang w:eastAsia="zh-CN"/>
        </w:rPr>
        <w:t>以及</w:t>
      </w:r>
      <w:r>
        <w:rPr>
          <w:rFonts w:hint="eastAsia" w:ascii="仿宋_GB2312" w:eastAsia="仿宋_GB2312"/>
          <w:color w:val="auto"/>
          <w:kern w:val="0"/>
          <w:sz w:val="28"/>
          <w:szCs w:val="28"/>
        </w:rPr>
        <w:t>要求，最终形成了</w:t>
      </w:r>
      <w:bookmarkStart w:id="0" w:name="_Hlk120181503"/>
      <w:r>
        <w:rPr>
          <w:rFonts w:hint="eastAsia" w:ascii="仿宋_GB2312" w:eastAsia="仿宋_GB2312"/>
          <w:color w:val="auto"/>
          <w:kern w:val="0"/>
          <w:sz w:val="28"/>
          <w:szCs w:val="28"/>
          <w:lang w:eastAsia="zh-CN"/>
        </w:rPr>
        <w:t>团体标准</w:t>
      </w:r>
      <w:r>
        <w:rPr>
          <w:rFonts w:hint="eastAsia" w:ascii="仿宋_GB2312" w:eastAsia="仿宋_GB2312"/>
          <w:color w:val="auto"/>
          <w:kern w:val="0"/>
          <w:sz w:val="28"/>
          <w:szCs w:val="28"/>
        </w:rPr>
        <w:t>《</w:t>
      </w:r>
      <w:r>
        <w:rPr>
          <w:rFonts w:hint="eastAsia" w:ascii="仿宋_GB2312" w:eastAsia="仿宋_GB2312"/>
          <w:color w:val="auto"/>
          <w:sz w:val="28"/>
          <w:szCs w:val="28"/>
          <w:lang w:eastAsia="zh-CN"/>
        </w:rPr>
        <w:t>零售药店技能培训规范</w:t>
      </w:r>
      <w:r>
        <w:rPr>
          <w:rFonts w:hint="eastAsia" w:ascii="仿宋_GB2312" w:eastAsia="仿宋_GB2312"/>
          <w:color w:val="auto"/>
          <w:kern w:val="0"/>
          <w:sz w:val="28"/>
          <w:szCs w:val="28"/>
        </w:rPr>
        <w:t>》（征求意见稿）及其编制说明。</w:t>
      </w:r>
      <w:bookmarkEnd w:id="0"/>
    </w:p>
    <w:p w14:paraId="5194B39A">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四、制定标准的原则和依据，与现行法律、法规的关系，与有关国家标准、行业标准的协调情况</w:t>
      </w:r>
    </w:p>
    <w:p w14:paraId="6671BE0C">
      <w:pPr>
        <w:widowControl/>
        <w:tabs>
          <w:tab w:val="center" w:pos="4201"/>
          <w:tab w:val="right" w:leader="dot" w:pos="9298"/>
        </w:tabs>
        <w:autoSpaceDE w:val="0"/>
        <w:autoSpaceDN w:val="0"/>
        <w:spacing w:line="520" w:lineRule="exact"/>
        <w:ind w:firstLine="562" w:firstLineChars="200"/>
        <w:outlineLvl w:val="1"/>
        <w:rPr>
          <w:rFonts w:hint="eastAsia" w:ascii="仿宋_GB2312" w:eastAsia="仿宋_GB2312"/>
          <w:b/>
          <w:bCs/>
          <w:color w:val="auto"/>
          <w:kern w:val="0"/>
          <w:sz w:val="28"/>
          <w:szCs w:val="28"/>
        </w:rPr>
      </w:pPr>
      <w:r>
        <w:rPr>
          <w:rFonts w:hint="eastAsia" w:ascii="仿宋_GB2312" w:eastAsia="仿宋_GB2312"/>
          <w:b/>
          <w:bCs/>
          <w:color w:val="auto"/>
          <w:kern w:val="0"/>
          <w:sz w:val="28"/>
          <w:szCs w:val="28"/>
        </w:rPr>
        <w:t>（一）编制原则</w:t>
      </w:r>
    </w:p>
    <w:p w14:paraId="67B7B533">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1、实用性原则</w:t>
      </w:r>
    </w:p>
    <w:p w14:paraId="198BE10C">
      <w:pPr>
        <w:spacing w:line="520" w:lineRule="exact"/>
        <w:ind w:firstLine="560" w:firstLineChars="200"/>
        <w:rPr>
          <w:rFonts w:ascii="仿宋_GB2312" w:eastAsia="仿宋_GB2312" w:cs="仿宋"/>
          <w:color w:val="auto"/>
          <w:sz w:val="28"/>
          <w:szCs w:val="28"/>
        </w:rPr>
      </w:pPr>
      <w:r>
        <w:rPr>
          <w:rFonts w:hint="eastAsia" w:ascii="仿宋_GB2312" w:eastAsia="仿宋_GB2312" w:cs="仿宋"/>
          <w:color w:val="auto"/>
          <w:sz w:val="28"/>
          <w:szCs w:val="28"/>
        </w:rPr>
        <w:t>本标准是在充分收集国内外相关资料和文献、调研分析</w:t>
      </w:r>
      <w:r>
        <w:rPr>
          <w:rFonts w:hint="eastAsia" w:ascii="仿宋_GB2312" w:eastAsia="仿宋_GB2312"/>
          <w:color w:val="auto"/>
          <w:sz w:val="28"/>
          <w:szCs w:val="28"/>
          <w:lang w:val="en" w:eastAsia="zh-CN"/>
        </w:rPr>
        <w:t>零售药店技能培训</w:t>
      </w:r>
      <w:r>
        <w:rPr>
          <w:rFonts w:hint="eastAsia" w:ascii="仿宋_GB2312" w:eastAsia="仿宋_GB2312" w:cs="仿宋"/>
          <w:color w:val="auto"/>
          <w:sz w:val="28"/>
          <w:szCs w:val="28"/>
        </w:rPr>
        <w:t>现状，结合起草单位前期研究工作取得的研究成果及积累的实践经验，并借鉴国内</w:t>
      </w:r>
      <w:r>
        <w:rPr>
          <w:rFonts w:hint="eastAsia" w:ascii="仿宋_GB2312" w:eastAsia="仿宋_GB2312"/>
          <w:color w:val="auto"/>
          <w:sz w:val="28"/>
          <w:szCs w:val="28"/>
          <w:lang w:val="en" w:eastAsia="zh-CN"/>
        </w:rPr>
        <w:t>零售药店技能培训</w:t>
      </w:r>
      <w:r>
        <w:rPr>
          <w:rFonts w:hint="eastAsia" w:ascii="仿宋_GB2312" w:eastAsia="仿宋_GB2312" w:cs="仿宋"/>
          <w:color w:val="auto"/>
          <w:sz w:val="28"/>
          <w:szCs w:val="28"/>
        </w:rPr>
        <w:t>进行总结起草的，符合工作实际，利于</w:t>
      </w:r>
      <w:r>
        <w:rPr>
          <w:rFonts w:hint="eastAsia" w:ascii="仿宋_GB2312" w:eastAsia="仿宋_GB2312"/>
          <w:color w:val="auto"/>
          <w:sz w:val="28"/>
          <w:szCs w:val="28"/>
          <w:lang w:val="en" w:eastAsia="zh-CN"/>
        </w:rPr>
        <w:t>零售药店技能培训</w:t>
      </w:r>
      <w:r>
        <w:rPr>
          <w:rFonts w:hint="eastAsia" w:ascii="仿宋_GB2312" w:eastAsia="仿宋_GB2312" w:cs="仿宋"/>
          <w:color w:val="auto"/>
          <w:sz w:val="28"/>
          <w:szCs w:val="28"/>
        </w:rPr>
        <w:t>的实施与推广，具有可操作性和实用性。</w:t>
      </w:r>
    </w:p>
    <w:p w14:paraId="10217A12">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2、协调性原则</w:t>
      </w:r>
    </w:p>
    <w:p w14:paraId="38FFE9B2">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本文件编写过程中注意了与</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相关法律法规的协调问题，在内容上与现行法律法规、标准协调一致。</w:t>
      </w:r>
    </w:p>
    <w:p w14:paraId="276E29B0">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3、规范性原则</w:t>
      </w:r>
    </w:p>
    <w:p w14:paraId="212F126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本文件严格按照GB/T 1.1—2020《标准化工作导则  第1部分：标准化文件的结构和起草规则》编写本标准的内容，保证标准的编写质量。</w:t>
      </w:r>
    </w:p>
    <w:p w14:paraId="43021FBC">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4、前瞻性原则</w:t>
      </w:r>
    </w:p>
    <w:p w14:paraId="1AD6C48A">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本文件在兼顾当前区内</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现实情况的同时，还考虑到了</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的需要，在标准中体现了个别特色性、前瞻性和先进性条款，作为对</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发展的指导。</w:t>
      </w:r>
    </w:p>
    <w:p w14:paraId="7A1B5DB7">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（二）编制依据</w:t>
      </w:r>
    </w:p>
    <w:p w14:paraId="2BE3BA5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本标准严格按照GB/T 1.1—2020《标准化工作导则  第1部分：标准化文件的结构和起草规则》的规则起草，标准主要内容依据起草单位在</w:t>
      </w:r>
      <w:r>
        <w:rPr>
          <w:rFonts w:hint="eastAsia" w:ascii="仿宋_GB2312" w:eastAsia="仿宋_GB2312"/>
          <w:color w:val="auto"/>
          <w:sz w:val="28"/>
          <w:szCs w:val="28"/>
          <w:lang w:val="en" w:eastAsia="zh-CN"/>
        </w:rPr>
        <w:t>零售药店技能培训</w:t>
      </w:r>
      <w:r>
        <w:rPr>
          <w:rFonts w:hint="eastAsia" w:ascii="仿宋_GB2312" w:eastAsia="仿宋_GB2312"/>
          <w:color w:val="auto"/>
          <w:sz w:val="28"/>
          <w:szCs w:val="28"/>
        </w:rPr>
        <w:t>研究应用过程中的实践经验确定。</w:t>
      </w:r>
    </w:p>
    <w:p w14:paraId="64ACBF6C">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（三）与现行法律、法规的关系，与有关国家标准、行业标准的协调情况</w:t>
      </w:r>
    </w:p>
    <w:p w14:paraId="0EC8997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本标准与相关法律法规、强制性标准协调一致，无冲突。</w:t>
      </w:r>
    </w:p>
    <w:p w14:paraId="4BE8A554">
      <w:pPr>
        <w:adjustRightInd w:val="0"/>
        <w:snapToGrid w:val="0"/>
        <w:spacing w:line="520" w:lineRule="exact"/>
        <w:ind w:firstLine="560" w:firstLineChars="200"/>
        <w:rPr>
          <w:rFonts w:hint="eastAsia"/>
          <w:color w:val="auto"/>
          <w:lang w:eastAsia="zh-CN"/>
        </w:rPr>
      </w:pPr>
      <w:r>
        <w:rPr>
          <w:rFonts w:hint="eastAsia" w:ascii="仿宋_GB2312" w:eastAsia="仿宋_GB2312"/>
          <w:color w:val="auto"/>
          <w:sz w:val="28"/>
          <w:szCs w:val="28"/>
          <w:lang w:eastAsia="zh-CN"/>
        </w:rPr>
        <w:t>经查阅，目前国内与“药师 培训”相关标准有T/CMEAS 017—2023《医疗机构静脉用药集中调配与评价药师培训规范》、T/CHAS 20-4-8-2—2023《医疗机构药事管理与药学服务 第 4-8-2 部分：药事管理 药学培训管理 临床药师师资培训》、T/CHAS 20-4-8-1—2023《医疗机构药事管理与药学服务 第 4-8-1 部分：药事管理 药学培训管理 临床药师培训》以上标准均是对医疗机构药师培训进行规范，而本标准是对零售药店药师技能培训进行规范，当前未制定有团体标准《零售药店药师技能培训规范》</w:t>
      </w:r>
      <w:r>
        <w:rPr>
          <w:rFonts w:hint="eastAsia" w:ascii="仿宋_GB2312" w:eastAsia="仿宋_GB2312" w:cs="仿宋"/>
          <w:bCs/>
          <w:color w:val="auto"/>
          <w:sz w:val="28"/>
          <w:szCs w:val="28"/>
          <w:lang w:val="en-US" w:eastAsia="zh-CN"/>
        </w:rPr>
        <w:t>。</w:t>
      </w:r>
    </w:p>
    <w:p w14:paraId="43BA97DC">
      <w:pPr>
        <w:spacing w:before="240" w:after="60" w:line="520" w:lineRule="exact"/>
        <w:ind w:firstLine="640" w:firstLineChars="200"/>
        <w:jc w:val="left"/>
        <w:outlineLvl w:val="0"/>
        <w:rPr>
          <w:rFonts w:hint="eastAsia" w:ascii="黑体" w:eastAsia="黑体"/>
          <w:bCs/>
          <w:color w:val="auto"/>
          <w:sz w:val="32"/>
          <w:szCs w:val="32"/>
        </w:rPr>
      </w:pPr>
      <w:r>
        <w:rPr>
          <w:rFonts w:hint="eastAsia" w:ascii="黑体" w:eastAsia="黑体"/>
          <w:bCs/>
          <w:color w:val="auto"/>
          <w:sz w:val="32"/>
          <w:szCs w:val="32"/>
        </w:rPr>
        <w:t>五、主要条款的说明</w:t>
      </w:r>
    </w:p>
    <w:p w14:paraId="4A771D42">
      <w:pPr>
        <w:pStyle w:val="29"/>
        <w:spacing w:line="520" w:lineRule="exact"/>
        <w:ind w:firstLine="562"/>
        <w:rPr>
          <w:rFonts w:hint="eastAsia" w:ascii="仿宋_GB2312" w:eastAsia="仿宋_GB2312"/>
          <w:sz w:val="28"/>
          <w:szCs w:val="28"/>
          <w:lang w:eastAsia="zh-CN"/>
        </w:rPr>
      </w:pPr>
      <w:r>
        <w:rPr>
          <w:rFonts w:hint="eastAsia" w:ascii="仿宋_GB2312" w:eastAsia="仿宋_GB2312" w:cs="仿宋"/>
          <w:b w:val="0"/>
          <w:bCs w:val="0"/>
          <w:color w:val="auto"/>
          <w:sz w:val="28"/>
          <w:szCs w:val="28"/>
        </w:rPr>
        <w:t>本文件界定了</w:t>
      </w:r>
      <w:r>
        <w:rPr>
          <w:rFonts w:hint="eastAsia" w:ascii="仿宋_GB2312" w:eastAsia="仿宋_GB2312" w:cs="仿宋"/>
          <w:b w:val="0"/>
          <w:bCs w:val="0"/>
          <w:color w:val="auto"/>
          <w:sz w:val="28"/>
          <w:szCs w:val="28"/>
          <w:lang w:val="en" w:eastAsia="zh-CN"/>
        </w:rPr>
        <w:t>零售药店技能培训</w:t>
      </w:r>
      <w:r>
        <w:rPr>
          <w:rFonts w:hint="eastAsia" w:ascii="仿宋_GB2312" w:eastAsia="仿宋_GB2312" w:cs="仿宋"/>
          <w:b w:val="0"/>
          <w:bCs w:val="0"/>
          <w:color w:val="auto"/>
          <w:sz w:val="28"/>
          <w:szCs w:val="28"/>
        </w:rPr>
        <w:t>涉及的术语和定义，规定了基本要求、培训目标、培训对象、培训内容、培训要求、评价与改进、档案管理的要求。本文件适用于医疗机构</w:t>
      </w:r>
      <w:r>
        <w:rPr>
          <w:rFonts w:hint="eastAsia" w:ascii="仿宋_GB2312" w:eastAsia="仿宋_GB2312" w:cs="仿宋"/>
          <w:b w:val="0"/>
          <w:bCs w:val="0"/>
          <w:color w:val="auto"/>
          <w:sz w:val="28"/>
          <w:szCs w:val="28"/>
          <w:lang w:val="en" w:eastAsia="zh-CN"/>
        </w:rPr>
        <w:t>零售药店技能培训</w:t>
      </w:r>
      <w:r>
        <w:rPr>
          <w:rFonts w:hint="eastAsia" w:ascii="仿宋_GB2312" w:eastAsia="仿宋_GB2312"/>
          <w:sz w:val="28"/>
          <w:szCs w:val="28"/>
          <w:lang w:eastAsia="zh-CN"/>
        </w:rPr>
        <w:t>。</w:t>
      </w:r>
    </w:p>
    <w:p w14:paraId="212D976E">
      <w:pPr>
        <w:spacing w:line="520" w:lineRule="exact"/>
        <w:ind w:firstLine="560" w:firstLineChars="200"/>
        <w:rPr>
          <w:rFonts w:hint="eastAsia" w:ascii="仿宋_GB2312" w:eastAsia="仿宋_GB2312"/>
          <w:sz w:val="28"/>
          <w:szCs w:val="28"/>
          <w:highlight w:val="none"/>
          <w:lang w:val="en-US" w:eastAsia="zh-CN"/>
        </w:rPr>
      </w:pPr>
      <w:r>
        <w:rPr>
          <w:rFonts w:hint="eastAsia" w:ascii="仿宋_GB2312" w:eastAsia="仿宋_GB2312"/>
          <w:sz w:val="28"/>
          <w:szCs w:val="28"/>
          <w:highlight w:val="none"/>
          <w:lang w:val="en-US" w:eastAsia="zh-CN"/>
        </w:rPr>
        <w:t>前期</w:t>
      </w:r>
      <w:r>
        <w:rPr>
          <w:rFonts w:hint="eastAsia" w:ascii="仿宋_GB2312" w:eastAsia="仿宋_GB2312"/>
          <w:color w:val="auto"/>
          <w:sz w:val="28"/>
          <w:szCs w:val="28"/>
        </w:rPr>
        <w:t>国药控股广西有限公司</w:t>
      </w:r>
      <w:r>
        <w:rPr>
          <w:rFonts w:hint="eastAsia" w:ascii="仿宋_GB2312" w:eastAsia="仿宋_GB2312"/>
          <w:color w:val="auto"/>
          <w:sz w:val="28"/>
          <w:szCs w:val="28"/>
          <w:lang w:eastAsia="zh-CN"/>
        </w:rPr>
        <w:t>多次展开相关服务培训，平均每场培训参会人员在20-30人左右，开展</w:t>
      </w:r>
      <w:r>
        <w:rPr>
          <w:rFonts w:hint="eastAsia" w:ascii="仿宋_GB2312" w:eastAsia="仿宋_GB2312"/>
          <w:color w:val="auto"/>
          <w:sz w:val="28"/>
          <w:szCs w:val="28"/>
          <w:lang w:val="en-US" w:eastAsia="zh-CN"/>
        </w:rPr>
        <w:t>80多场培训，</w:t>
      </w:r>
      <w:r>
        <w:rPr>
          <w:rFonts w:hint="eastAsia" w:ascii="仿宋_GB2312" w:eastAsia="仿宋_GB2312"/>
          <w:color w:val="auto"/>
          <w:sz w:val="28"/>
          <w:szCs w:val="28"/>
          <w:lang w:eastAsia="zh-CN"/>
        </w:rPr>
        <w:t>共计培训</w:t>
      </w:r>
      <w:r>
        <w:rPr>
          <w:rFonts w:hint="eastAsia" w:ascii="仿宋_GB2312" w:eastAsia="仿宋_GB2312"/>
          <w:sz w:val="28"/>
          <w:szCs w:val="28"/>
          <w:highlight w:val="none"/>
          <w:lang w:val="en-US" w:eastAsia="zh-CN"/>
        </w:rPr>
        <w:t>1800人次。</w:t>
      </w:r>
    </w:p>
    <w:p w14:paraId="3E32C7C8">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194935" cy="3535045"/>
            <wp:effectExtent l="0" t="0" r="5715" b="8255"/>
            <wp:docPr id="3" name="图片 3" descr="d91d89e60deb57f146a0c8fb1cb154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91d89e60deb57f146a0c8fb1cb154de"/>
                    <pic:cNvPicPr>
                      <a:picLocks noChangeAspect="1"/>
                    </pic:cNvPicPr>
                  </pic:nvPicPr>
                  <pic:blipFill>
                    <a:blip r:embed="rId5"/>
                    <a:stretch>
                      <a:fillRect/>
                    </a:stretch>
                  </pic:blipFill>
                  <pic:spPr>
                    <a:xfrm>
                      <a:off x="0" y="0"/>
                      <a:ext cx="5194935" cy="3535045"/>
                    </a:xfrm>
                    <a:prstGeom prst="rect">
                      <a:avLst/>
                    </a:prstGeom>
                  </pic:spPr>
                </pic:pic>
              </a:graphicData>
            </a:graphic>
          </wp:inline>
        </w:drawing>
      </w:r>
    </w:p>
    <w:p w14:paraId="6B17AEF4">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7695" cy="4264025"/>
            <wp:effectExtent l="0" t="0" r="8255" b="3175"/>
            <wp:docPr id="4" name="图片 4" descr="1b5ff351a1803ac337fb361d2f7ec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b5ff351a1803ac337fb361d2f7ec045"/>
                    <pic:cNvPicPr>
                      <a:picLocks noChangeAspect="1"/>
                    </pic:cNvPicPr>
                  </pic:nvPicPr>
                  <pic:blipFill>
                    <a:blip r:embed="rId6"/>
                    <a:stretch>
                      <a:fillRect/>
                    </a:stretch>
                  </pic:blipFill>
                  <pic:spPr>
                    <a:xfrm>
                      <a:off x="0" y="0"/>
                      <a:ext cx="5687695" cy="4264025"/>
                    </a:xfrm>
                    <a:prstGeom prst="rect">
                      <a:avLst/>
                    </a:prstGeom>
                  </pic:spPr>
                </pic:pic>
              </a:graphicData>
            </a:graphic>
          </wp:inline>
        </w:drawing>
      </w:r>
    </w:p>
    <w:p w14:paraId="5C1B46AD">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3885" cy="4262755"/>
            <wp:effectExtent l="0" t="0" r="12065" b="4445"/>
            <wp:docPr id="5" name="图片 5" descr="97309c6ebf5abc59c96a2ec8ef9ae3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97309c6ebf5abc59c96a2ec8ef9ae3fe"/>
                    <pic:cNvPicPr>
                      <a:picLocks noChangeAspect="1"/>
                    </pic:cNvPicPr>
                  </pic:nvPicPr>
                  <pic:blipFill>
                    <a:blip r:embed="rId7"/>
                    <a:stretch>
                      <a:fillRect/>
                    </a:stretch>
                  </pic:blipFill>
                  <pic:spPr>
                    <a:xfrm>
                      <a:off x="0" y="0"/>
                      <a:ext cx="5683885" cy="4262755"/>
                    </a:xfrm>
                    <a:prstGeom prst="rect">
                      <a:avLst/>
                    </a:prstGeom>
                  </pic:spPr>
                </pic:pic>
              </a:graphicData>
            </a:graphic>
          </wp:inline>
        </w:drawing>
      </w:r>
    </w:p>
    <w:p w14:paraId="7F52F571">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3885" cy="4262755"/>
            <wp:effectExtent l="0" t="0" r="12065" b="4445"/>
            <wp:docPr id="6" name="图片 6" descr="b5cb42e8ccb1060719a46e888e2128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5cb42e8ccb1060719a46e888e21285a"/>
                    <pic:cNvPicPr>
                      <a:picLocks noChangeAspect="1"/>
                    </pic:cNvPicPr>
                  </pic:nvPicPr>
                  <pic:blipFill>
                    <a:blip r:embed="rId8"/>
                    <a:stretch>
                      <a:fillRect/>
                    </a:stretch>
                  </pic:blipFill>
                  <pic:spPr>
                    <a:xfrm>
                      <a:off x="0" y="0"/>
                      <a:ext cx="5683885" cy="4262755"/>
                    </a:xfrm>
                    <a:prstGeom prst="rect">
                      <a:avLst/>
                    </a:prstGeom>
                  </pic:spPr>
                </pic:pic>
              </a:graphicData>
            </a:graphic>
          </wp:inline>
        </w:drawing>
      </w:r>
    </w:p>
    <w:p w14:paraId="338B5318">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1345" cy="4260850"/>
            <wp:effectExtent l="0" t="0" r="14605" b="6350"/>
            <wp:docPr id="7" name="图片 7" descr="32af65a2f7a3cbb7c737572da4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2af65a2f7a3cbb7c737572da4443119"/>
                    <pic:cNvPicPr>
                      <a:picLocks noChangeAspect="1"/>
                    </pic:cNvPicPr>
                  </pic:nvPicPr>
                  <pic:blipFill>
                    <a:blip r:embed="rId9"/>
                    <a:stretch>
                      <a:fillRect/>
                    </a:stretch>
                  </pic:blipFill>
                  <pic:spPr>
                    <a:xfrm>
                      <a:off x="0" y="0"/>
                      <a:ext cx="5681345" cy="4260850"/>
                    </a:xfrm>
                    <a:prstGeom prst="rect">
                      <a:avLst/>
                    </a:prstGeom>
                  </pic:spPr>
                </pic:pic>
              </a:graphicData>
            </a:graphic>
          </wp:inline>
        </w:drawing>
      </w:r>
    </w:p>
    <w:p w14:paraId="0F26F2E2">
      <w:pPr>
        <w:spacing w:line="240" w:lineRule="auto"/>
        <w:ind w:firstLine="560" w:firstLineChars="200"/>
        <w:rPr>
          <w:rFonts w:hint="default" w:ascii="仿宋_GB2312" w:eastAsia="仿宋_GB2312"/>
          <w:sz w:val="28"/>
          <w:szCs w:val="28"/>
          <w:highlight w:val="none"/>
          <w:lang w:val="en-US" w:eastAsia="zh-CN"/>
        </w:rPr>
      </w:pPr>
      <w:r>
        <w:rPr>
          <w:rFonts w:hint="default" w:ascii="仿宋_GB2312" w:eastAsia="仿宋_GB2312"/>
          <w:sz w:val="28"/>
          <w:szCs w:val="28"/>
          <w:highlight w:val="none"/>
          <w:lang w:val="en-US" w:eastAsia="zh-CN"/>
        </w:rPr>
        <w:drawing>
          <wp:inline distT="0" distB="0" distL="114300" distR="114300">
            <wp:extent cx="5681345" cy="4260850"/>
            <wp:effectExtent l="0" t="0" r="14605" b="6350"/>
            <wp:docPr id="8" name="图片 8" descr="55f283bdfc4567690dfe33c1ae9cd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5f283bdfc4567690dfe33c1ae9cd760"/>
                    <pic:cNvPicPr>
                      <a:picLocks noChangeAspect="1"/>
                    </pic:cNvPicPr>
                  </pic:nvPicPr>
                  <pic:blipFill>
                    <a:blip r:embed="rId10"/>
                    <a:stretch>
                      <a:fillRect/>
                    </a:stretch>
                  </pic:blipFill>
                  <pic:spPr>
                    <a:xfrm>
                      <a:off x="0" y="0"/>
                      <a:ext cx="5681345" cy="4260850"/>
                    </a:xfrm>
                    <a:prstGeom prst="rect">
                      <a:avLst/>
                    </a:prstGeom>
                  </pic:spPr>
                </pic:pic>
              </a:graphicData>
            </a:graphic>
          </wp:inline>
        </w:drawing>
      </w:r>
    </w:p>
    <w:p w14:paraId="1EEC332F">
      <w:pPr>
        <w:pStyle w:val="29"/>
        <w:spacing w:line="520" w:lineRule="exact"/>
        <w:ind w:firstLine="562"/>
        <w:rPr>
          <w:rFonts w:hint="eastAsia" w:ascii="仿宋_GB2312" w:eastAsia="仿宋_GB2312"/>
          <w:sz w:val="28"/>
          <w:szCs w:val="28"/>
          <w:lang w:eastAsia="zh-CN"/>
        </w:rPr>
      </w:pPr>
      <w:r>
        <w:rPr>
          <w:rFonts w:hint="default" w:ascii="仿宋_GB2312" w:eastAsia="仿宋_GB2312"/>
          <w:sz w:val="28"/>
          <w:szCs w:val="28"/>
          <w:highlight w:val="none"/>
          <w:lang w:val="en-US" w:eastAsia="zh-CN"/>
        </w:rPr>
        <w:drawing>
          <wp:inline distT="0" distB="0" distL="114300" distR="114300">
            <wp:extent cx="5681345" cy="4260850"/>
            <wp:effectExtent l="0" t="0" r="14605" b="6350"/>
            <wp:docPr id="9" name="图片 9" descr="97e0b44a7e740829c6ebab97dd496f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7e0b44a7e740829c6ebab97dd496fbc"/>
                    <pic:cNvPicPr>
                      <a:picLocks noChangeAspect="1"/>
                    </pic:cNvPicPr>
                  </pic:nvPicPr>
                  <pic:blipFill>
                    <a:blip r:embed="rId11"/>
                    <a:stretch>
                      <a:fillRect/>
                    </a:stretch>
                  </pic:blipFill>
                  <pic:spPr>
                    <a:xfrm>
                      <a:off x="0" y="0"/>
                      <a:ext cx="5681345" cy="4260850"/>
                    </a:xfrm>
                    <a:prstGeom prst="rect">
                      <a:avLst/>
                    </a:prstGeom>
                  </pic:spPr>
                </pic:pic>
              </a:graphicData>
            </a:graphic>
          </wp:inline>
        </w:drawing>
      </w:r>
    </w:p>
    <w:p w14:paraId="1DDAC3BE">
      <w:pPr>
        <w:pStyle w:val="29"/>
        <w:numPr>
          <w:ilvl w:val="0"/>
          <w:numId w:val="8"/>
        </w:numPr>
        <w:spacing w:line="520" w:lineRule="exact"/>
        <w:ind w:firstLine="0" w:firstLineChars="0"/>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eastAsia="zh-CN"/>
        </w:rPr>
        <w:t>术语和定义</w:t>
      </w:r>
    </w:p>
    <w:p w14:paraId="5D32AC89">
      <w:pPr>
        <w:pStyle w:val="29"/>
        <w:spacing w:line="520" w:lineRule="exact"/>
        <w:ind w:firstLine="562"/>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val="en-US" w:eastAsia="zh-CN"/>
        </w:rPr>
        <w:t>药师  pharmacist</w:t>
      </w:r>
    </w:p>
    <w:p w14:paraId="6CCC76F1">
      <w:pPr>
        <w:pStyle w:val="29"/>
        <w:spacing w:line="520" w:lineRule="exact"/>
        <w:ind w:firstLine="562"/>
        <w:rPr>
          <w:rFonts w:hint="eastAsia"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lang w:val="en-US" w:eastAsia="zh-CN"/>
        </w:rPr>
        <w:t>具有药学或中药学相关专业学历，并经行业监管部门统一考试或依法资格认定的药学专业技术人员，负责提供药物知识及药学服务。包括：（中）药士、（中）药师、主管（中）药师、副主任（中）药师、主任（中）药师。</w:t>
      </w:r>
    </w:p>
    <w:p w14:paraId="689622DE">
      <w:pPr>
        <w:pStyle w:val="29"/>
        <w:spacing w:line="520" w:lineRule="exact"/>
        <w:ind w:firstLine="562"/>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val="en-US" w:eastAsia="zh-CN"/>
        </w:rPr>
        <w:t>技能培训  skills training</w:t>
      </w:r>
    </w:p>
    <w:p w14:paraId="6E473AD3">
      <w:pPr>
        <w:pStyle w:val="29"/>
        <w:spacing w:line="520" w:lineRule="exact"/>
        <w:ind w:firstLine="562"/>
        <w:rPr>
          <w:rFonts w:hint="eastAsia"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lang w:val="en-US" w:eastAsia="zh-CN"/>
        </w:rPr>
        <w:t>为提升药师在药品调配、处方审方、用药指导、顾客沟通、药品管理、不良反应监测等药学服务相关领域的专业技能和实践能力，而有计划、有组织开展的系统性教育活动。</w:t>
      </w:r>
    </w:p>
    <w:p w14:paraId="5EBF2969">
      <w:pPr>
        <w:pStyle w:val="29"/>
        <w:numPr>
          <w:ilvl w:val="0"/>
          <w:numId w:val="9"/>
        </w:numPr>
        <w:spacing w:line="520" w:lineRule="exact"/>
        <w:ind w:left="0" w:leftChars="0" w:firstLine="0" w:firstLineChars="0"/>
        <w:rPr>
          <w:rFonts w:hint="eastAsia" w:ascii="仿宋_GB2312" w:eastAsia="仿宋_GB2312" w:cs="仿宋"/>
          <w:b/>
          <w:bCs/>
          <w:color w:val="auto"/>
          <w:sz w:val="28"/>
          <w:szCs w:val="28"/>
        </w:rPr>
      </w:pPr>
      <w:r>
        <w:rPr>
          <w:rFonts w:hint="eastAsia" w:ascii="仿宋_GB2312" w:eastAsia="仿宋_GB2312" w:cs="仿宋"/>
          <w:b/>
          <w:bCs/>
          <w:color w:val="auto"/>
          <w:sz w:val="28"/>
          <w:szCs w:val="28"/>
          <w:lang w:val="en-US" w:eastAsia="zh-CN"/>
        </w:rPr>
        <w:t>基本</w:t>
      </w:r>
      <w:r>
        <w:rPr>
          <w:rFonts w:hint="eastAsia" w:ascii="仿宋_GB2312" w:eastAsia="仿宋_GB2312" w:cs="仿宋"/>
          <w:b/>
          <w:bCs w:val="0"/>
          <w:color w:val="auto"/>
          <w:sz w:val="28"/>
          <w:szCs w:val="28"/>
          <w:lang w:val="en-US" w:eastAsia="zh-CN"/>
        </w:rPr>
        <w:t>要求</w:t>
      </w:r>
    </w:p>
    <w:p w14:paraId="60E504C3">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default" w:ascii="仿宋_GB2312" w:eastAsia="仿宋_GB2312" w:cs="仿宋"/>
          <w:b w:val="0"/>
          <w:bCs/>
          <w:color w:val="auto"/>
          <w:sz w:val="28"/>
          <w:szCs w:val="28"/>
          <w:lang w:val="en-US" w:eastAsia="zh-CN"/>
        </w:rPr>
      </w:pPr>
      <w:r>
        <w:rPr>
          <w:rFonts w:hint="default" w:ascii="仿宋_GB2312" w:eastAsia="仿宋_GB2312" w:cs="仿宋"/>
          <w:b w:val="0"/>
          <w:bCs/>
          <w:color w:val="auto"/>
          <w:sz w:val="28"/>
          <w:szCs w:val="28"/>
          <w:lang w:val="en-US" w:eastAsia="zh-CN"/>
        </w:rPr>
        <w:t>本标准对开展零售药店药师技能培训的单位、场所、设备、师资及教学资源提出了系统性要求。编制过程中，我们依据《药品经营质量管理规范》（GSP）中关于人员培训与设施管理的基本精神，并参考《执业药师业务规范》对药学服务专业性的要求，明确培训单位须为经授权的合法机构，培训场所应安全、适宜，设备需满足多媒体教学需求。特别是对师资资质进行了细化，要求理论教师具备本科以上学历、执业药师资格及3年以上相关经验，实践教师需拥有扎实的实操背景，以确保培训内容的专业性与实用性。</w:t>
      </w:r>
    </w:p>
    <w:p w14:paraId="4BC77A0B">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培训目标</w:t>
      </w:r>
    </w:p>
    <w:p w14:paraId="086E3169">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default" w:ascii="仿宋_GB2312" w:eastAsia="仿宋_GB2312" w:cs="仿宋"/>
          <w:b w:val="0"/>
          <w:bCs/>
          <w:color w:val="auto"/>
          <w:sz w:val="28"/>
          <w:szCs w:val="28"/>
          <w:lang w:val="en-US" w:eastAsia="zh-CN"/>
        </w:rPr>
      </w:pPr>
      <w:r>
        <w:rPr>
          <w:rFonts w:hint="eastAsia" w:ascii="仿宋_GB2312" w:eastAsia="仿宋_GB2312" w:cs="仿宋"/>
          <w:b w:val="0"/>
          <w:bCs/>
          <w:color w:val="auto"/>
          <w:sz w:val="28"/>
          <w:szCs w:val="28"/>
          <w:lang w:val="en-US" w:eastAsia="zh-CN"/>
        </w:rPr>
        <w:t>依据《“健康中国2030”规划纲要》对提供全方位、全周期健康服务的要求，以及《执业药师业务规范》中关于处方审核、用药指导、慢病管理等核心职责的规定。本标准将培训目标具体划分为“知识体系构建”、“职业素养提升”和“实操技能掌握度”三个维度，旨在引导培训不仅夯实药师在法律法规、药学理论基础和药品管理等方面的知识，更着重培养其以顾客为中心的服务理念、合规意识、沟通协作能力，并精准提升处方审核、调配及用药指导等关键实操技能的熟练度。</w:t>
      </w:r>
    </w:p>
    <w:p w14:paraId="4CDF3C51">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培训内容</w:t>
      </w:r>
    </w:p>
    <w:p w14:paraId="3EA8FF7E">
      <w:pPr>
        <w:pStyle w:val="29"/>
        <w:numPr>
          <w:ilvl w:val="0"/>
          <w:numId w:val="10"/>
        </w:numPr>
        <w:spacing w:line="520" w:lineRule="exact"/>
        <w:ind w:left="0" w:leftChars="0" w:firstLine="562" w:firstLineChars="200"/>
        <w:rPr>
          <w:rFonts w:hint="eastAsia" w:ascii="仿宋_GB2312" w:eastAsia="仿宋_GB2312"/>
          <w:b/>
          <w:bCs/>
          <w:sz w:val="28"/>
          <w:szCs w:val="28"/>
          <w:lang w:val="en-US" w:eastAsia="zh-CN"/>
        </w:rPr>
      </w:pPr>
      <w:r>
        <w:rPr>
          <w:rFonts w:hint="eastAsia" w:ascii="仿宋_GB2312" w:eastAsia="仿宋_GB2312"/>
          <w:b/>
          <w:bCs/>
          <w:sz w:val="28"/>
          <w:szCs w:val="28"/>
          <w:lang w:val="en-US" w:eastAsia="zh-CN"/>
        </w:rPr>
        <w:t>理论知识</w:t>
      </w:r>
    </w:p>
    <w:p w14:paraId="72CB9814">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eastAsia" w:ascii="仿宋_GB2312" w:eastAsia="仿宋_GB2312" w:cs="仿宋"/>
          <w:b w:val="0"/>
          <w:bCs/>
          <w:color w:val="auto"/>
          <w:sz w:val="28"/>
          <w:szCs w:val="28"/>
          <w:lang w:val="en-US" w:eastAsia="zh-CN"/>
        </w:rPr>
      </w:pPr>
      <w:r>
        <w:rPr>
          <w:rFonts w:hint="eastAsia" w:ascii="仿宋_GB2312" w:eastAsia="仿宋_GB2312" w:cs="仿宋"/>
          <w:b w:val="0"/>
          <w:bCs/>
          <w:color w:val="auto"/>
          <w:sz w:val="28"/>
          <w:szCs w:val="28"/>
          <w:lang w:val="en-US" w:eastAsia="zh-CN"/>
        </w:rPr>
        <w:t>通过明确药品管理全流程要求及关键设施操作规范，如药学理论知识、法律法规知识、夯实药学基础理论，直接对接岗位工作实际，为保障药品质量安全与合理用药提供了清晰、可循的准则依据，逻辑严密，针对性强。</w:t>
      </w:r>
    </w:p>
    <w:p w14:paraId="19A443BE">
      <w:pPr>
        <w:pStyle w:val="29"/>
        <w:numPr>
          <w:ilvl w:val="0"/>
          <w:numId w:val="11"/>
        </w:numPr>
        <w:spacing w:line="520" w:lineRule="exact"/>
        <w:ind w:left="0" w:leftChars="0" w:firstLine="562" w:firstLineChars="20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职业素养</w:t>
      </w:r>
    </w:p>
    <w:p w14:paraId="75CEAA17">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主要依据《执业药师业务规范》中对药师职业道德和沟通服务能力的要求，并契合《“健康中国2030”规划纲要》关于构建和谐医患关系、提升医疗服务人文关怀的精神。本部分旨在通过系统培训，重点强化药师的服务意识、责任担当与沟通协调能力，使其能够在日常工作中主动关怀顾客、勇于承担责任、有效化解矛盾，从而推动零售药店服务从单纯的技术型输出向有温度、有担当的人文关怀型服务升级，全面提升患者的用药体验和满意度。</w:t>
      </w:r>
    </w:p>
    <w:p w14:paraId="25B063AD">
      <w:pPr>
        <w:pStyle w:val="29"/>
        <w:numPr>
          <w:ilvl w:val="0"/>
          <w:numId w:val="10"/>
        </w:numPr>
        <w:spacing w:line="520" w:lineRule="exact"/>
        <w:ind w:left="0" w:leftChars="0" w:firstLine="562" w:firstLineChars="200"/>
        <w:rPr>
          <w:rFonts w:hint="eastAsia" w:ascii="仿宋_GB2312" w:eastAsia="仿宋_GB2312"/>
          <w:b/>
          <w:bCs/>
          <w:sz w:val="28"/>
          <w:szCs w:val="28"/>
          <w:lang w:val="en-US" w:eastAsia="zh-CN"/>
        </w:rPr>
      </w:pPr>
      <w:r>
        <w:rPr>
          <w:rFonts w:hint="eastAsia" w:ascii="仿宋_GB2312" w:eastAsia="仿宋_GB2312"/>
          <w:b/>
          <w:bCs/>
          <w:sz w:val="28"/>
          <w:szCs w:val="28"/>
          <w:lang w:val="en-US" w:eastAsia="zh-CN"/>
        </w:rPr>
        <w:t>药学服务操作</w:t>
      </w:r>
    </w:p>
    <w:p w14:paraId="503F7680">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eastAsia" w:ascii="仿宋_GB2312" w:eastAsia="仿宋_GB2312" w:cs="仿宋"/>
          <w:b/>
          <w:bCs w:val="0"/>
          <w:color w:val="auto"/>
          <w:sz w:val="28"/>
          <w:szCs w:val="28"/>
          <w:lang w:val="en-US" w:eastAsia="zh-CN"/>
        </w:rPr>
      </w:pPr>
      <w:r>
        <w:rPr>
          <w:rFonts w:hint="eastAsia" w:ascii="仿宋_GB2312" w:eastAsia="仿宋_GB2312" w:cs="仿宋"/>
          <w:b w:val="0"/>
          <w:bCs/>
          <w:color w:val="auto"/>
          <w:sz w:val="28"/>
          <w:szCs w:val="28"/>
          <w:lang w:val="en-US" w:eastAsia="zh-CN"/>
        </w:rPr>
        <w:t>药品管理</w:t>
      </w:r>
      <w:r>
        <w:rPr>
          <w:rFonts w:hint="default" w:ascii="仿宋_GB2312" w:eastAsia="仿宋_GB2312" w:cs="仿宋"/>
          <w:b w:val="0"/>
          <w:bCs/>
          <w:color w:val="auto"/>
          <w:sz w:val="28"/>
          <w:szCs w:val="28"/>
          <w:lang w:val="en-US" w:eastAsia="zh-CN"/>
        </w:rPr>
        <w:t>严格依据《中华人民共和国药品管理法》和《药品经营质量管理规范》（GSP）的核心要求，针对零售药店药品流转的全过程进行规划。其目的在于通过系统培训，使药师牢固掌握从药品采购验收、储存陈列、冷链管理到规范销售等关键环节的操作规程与质量管控要点，特别是强化对特殊管理药品、冷链药品等高风险环节的实操能力，确保药品在零售终端的质量安全与可追溯性，从源头上保障公众用药安全有效。</w:t>
      </w:r>
    </w:p>
    <w:p w14:paraId="7FBB296A">
      <w:pPr>
        <w:pStyle w:val="29"/>
        <w:keepNext w:val="0"/>
        <w:keepLines w:val="0"/>
        <w:pageBreakBefore w:val="0"/>
        <w:widowControl/>
        <w:numPr>
          <w:ilvl w:val="0"/>
          <w:numId w:val="0"/>
        </w:numPr>
        <w:kinsoku/>
        <w:wordWrap/>
        <w:overflowPunct/>
        <w:topLinePunct w:val="0"/>
        <w:autoSpaceDE w:val="0"/>
        <w:autoSpaceDN w:val="0"/>
        <w:bidi w:val="0"/>
        <w:adjustRightInd/>
        <w:snapToGrid/>
        <w:spacing w:line="520" w:lineRule="exact"/>
        <w:ind w:firstLine="560" w:firstLineChars="200"/>
        <w:textAlignment w:val="auto"/>
        <w:rPr>
          <w:rFonts w:hint="eastAsia" w:ascii="仿宋_GB2312" w:eastAsia="仿宋_GB2312" w:cs="仿宋"/>
          <w:b/>
          <w:bCs w:val="0"/>
          <w:color w:val="auto"/>
          <w:sz w:val="28"/>
          <w:szCs w:val="28"/>
          <w:lang w:val="en-US" w:eastAsia="zh-CN"/>
        </w:rPr>
      </w:pPr>
      <w:r>
        <w:rPr>
          <w:rFonts w:hint="eastAsia" w:ascii="仿宋_GB2312" w:eastAsia="仿宋_GB2312" w:cs="仿宋"/>
          <w:b w:val="0"/>
          <w:bCs/>
          <w:color w:val="auto"/>
          <w:sz w:val="28"/>
          <w:szCs w:val="28"/>
          <w:lang w:val="en-US" w:eastAsia="zh-CN"/>
        </w:rPr>
        <w:t>药学专业服务</w:t>
      </w:r>
      <w:r>
        <w:rPr>
          <w:rFonts w:hint="default" w:ascii="仿宋_GB2312" w:eastAsia="仿宋_GB2312" w:cs="仿宋"/>
          <w:b w:val="0"/>
          <w:bCs/>
          <w:color w:val="auto"/>
          <w:sz w:val="28"/>
          <w:szCs w:val="28"/>
          <w:lang w:val="en-US" w:eastAsia="zh-CN"/>
        </w:rPr>
        <w:t>核心依据是《执业药师业务规范》中对药学服务内涵的界定以及《处方管理办法》对处方调剂的专业要求。本部分旨在通过系统培训，使药师不仅掌握处方审核、调配、用药指导与健康咨询等标准化服务流程，更重点提升其在慢病管理、个性化用药方案制定以及医患沟通等方面的综合能力，从而推动零售药店药学服务从简单的药品销售向以患者为中心的专业化、精细化服务转型，切实发挥药师在合理用药中的关键作用。</w:t>
      </w:r>
    </w:p>
    <w:p w14:paraId="0C05087E">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应急处理依据《药品管理法》中关于药品不良反应报告与处置的法定要求，并参考了《药品经营质量管理规范》对药店应建立应急预案的相关规定以及《过敏性休克诊断与治疗中国专家共识》等临床指导文件。其目的在于通过系统培训，使药师能够熟练掌握顾客在药店内发生严重药品不良反应等突发状况的识别、初步急救、规范上报及后续处理的全流程，提升药师的现场应急处置能力与风险防范意识，切实履行药店作为药品供应终端在保障公众用药安全方面的首要责任。</w:t>
      </w:r>
    </w:p>
    <w:p w14:paraId="5A4AA253">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培训要求</w:t>
      </w:r>
    </w:p>
    <w:p w14:paraId="5907A1CC">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参考了《执业药师继续教育管理办法》中关于培训形式与学时考核的相关规定。本部分明确采用“线上+线下”相结合的混合式培训模式，规定总学时不低于90课时（理论70%、实践30%），并建立涵盖过程评价与结业考核的综合性考评体系，其中结业考试合格分数线设定为80分，高于常规及格标准，旨在通过严格的流程管理和质量把控，确保培训取得实效，切实提升药师岗位胜任力。</w:t>
      </w:r>
    </w:p>
    <w:p w14:paraId="0F89D377">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评价与改进</w:t>
      </w:r>
    </w:p>
    <w:p w14:paraId="5CF50A71">
      <w:pPr>
        <w:pStyle w:val="29"/>
        <w:spacing w:line="520" w:lineRule="exact"/>
        <w:ind w:left="0" w:leftChars="0" w:firstLine="560" w:firstLineChars="200"/>
        <w:rPr>
          <w:rFonts w:hint="eastAsia" w:ascii="仿宋_GB2312" w:eastAsia="仿宋_GB2312" w:cs="仿宋"/>
          <w:b w:val="0"/>
          <w:bCs/>
          <w:color w:val="auto"/>
          <w:sz w:val="28"/>
          <w:szCs w:val="28"/>
          <w:highlight w:val="none"/>
          <w:lang w:val="en-US" w:eastAsia="zh-CN" w:bidi="ar-SA"/>
        </w:rPr>
      </w:pPr>
      <w:r>
        <w:rPr>
          <w:rFonts w:hint="eastAsia" w:ascii="仿宋_GB2312" w:eastAsia="仿宋_GB2312" w:cs="仿宋"/>
          <w:b w:val="0"/>
          <w:bCs/>
          <w:color w:val="auto"/>
          <w:sz w:val="28"/>
          <w:szCs w:val="28"/>
          <w:highlight w:val="none"/>
          <w:lang w:val="en-US" w:eastAsia="zh-CN" w:bidi="ar-SA"/>
        </w:rPr>
        <w:t>通过建立常态化的培训质量评估体系，要求定期收集学员反馈与实施效果数据，并基于评估结果对培训方案、课程内容和教学方法进行动态调整与优化。这种机制确保了培训标准能够与时俱进地适应政策变化和业务需求，形成“实施-评估-改进-再实施”的良性循环，从而持续提升零售药店药师技能培训的质量与实效。</w:t>
      </w:r>
    </w:p>
    <w:p w14:paraId="07C2B35B">
      <w:pPr>
        <w:pStyle w:val="29"/>
        <w:numPr>
          <w:ilvl w:val="0"/>
          <w:numId w:val="9"/>
        </w:numPr>
        <w:spacing w:line="520" w:lineRule="exact"/>
        <w:ind w:left="0" w:leftChars="0" w:firstLine="0" w:firstLineChars="0"/>
        <w:rPr>
          <w:rFonts w:hint="eastAsia" w:ascii="仿宋_GB2312" w:eastAsia="仿宋_GB2312" w:cs="仿宋"/>
          <w:b/>
          <w:bCs w:val="0"/>
          <w:color w:val="auto"/>
          <w:sz w:val="28"/>
          <w:szCs w:val="28"/>
          <w:lang w:val="en-US" w:eastAsia="zh-CN"/>
        </w:rPr>
      </w:pPr>
      <w:r>
        <w:rPr>
          <w:rFonts w:hint="eastAsia" w:ascii="仿宋_GB2312" w:eastAsia="仿宋_GB2312" w:cs="仿宋"/>
          <w:b/>
          <w:bCs w:val="0"/>
          <w:color w:val="auto"/>
          <w:sz w:val="28"/>
          <w:szCs w:val="28"/>
          <w:lang w:val="en-US" w:eastAsia="zh-CN"/>
        </w:rPr>
        <w:t>档案管理</w:t>
      </w:r>
    </w:p>
    <w:p w14:paraId="3B26050B">
      <w:pPr>
        <w:pStyle w:val="29"/>
        <w:spacing w:line="520" w:lineRule="exact"/>
        <w:ind w:left="0" w:leftChars="0"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确保了培训过程的可追溯性，为质量评估和监督提供完整依据，又通过严格的信息管理制度保障学员个人隐私安全，体现了培训管理的规范性和严肃性。</w:t>
      </w:r>
    </w:p>
    <w:p w14:paraId="62BFE303">
      <w:pPr>
        <w:pStyle w:val="31"/>
        <w:numPr>
          <w:ilvl w:val="0"/>
          <w:numId w:val="0"/>
        </w:numPr>
        <w:spacing w:beforeLines="0" w:afterLines="0" w:line="360" w:lineRule="auto"/>
        <w:rPr>
          <w:rFonts w:hint="eastAsia"/>
          <w:bCs/>
          <w:color w:val="auto"/>
          <w:sz w:val="32"/>
          <w:szCs w:val="32"/>
        </w:rPr>
      </w:pPr>
      <w:r>
        <w:rPr>
          <w:rFonts w:hint="eastAsia"/>
          <w:b/>
          <w:bCs/>
          <w:color w:val="auto"/>
          <w:sz w:val="32"/>
          <w:szCs w:val="32"/>
        </w:rPr>
        <w:t>六</w:t>
      </w:r>
      <w:r>
        <w:rPr>
          <w:rFonts w:hint="eastAsia"/>
          <w:bCs/>
          <w:color w:val="auto"/>
          <w:sz w:val="32"/>
          <w:szCs w:val="32"/>
        </w:rPr>
        <w:t>、</w:t>
      </w:r>
      <w:r>
        <w:rPr>
          <w:rFonts w:hint="eastAsia"/>
          <w:color w:val="auto"/>
          <w:sz w:val="32"/>
          <w:szCs w:val="32"/>
        </w:rPr>
        <w:t>重大意见分歧的处理依据和结果</w:t>
      </w:r>
    </w:p>
    <w:p w14:paraId="2ECDC1D8">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本标准研制过程中无重大分歧意见。</w:t>
      </w:r>
    </w:p>
    <w:p w14:paraId="110E29A1">
      <w:pPr>
        <w:autoSpaceDE w:val="0"/>
        <w:autoSpaceDN w:val="0"/>
        <w:adjustRightInd w:val="0"/>
        <w:spacing w:before="156" w:beforeLines="50" w:after="156" w:afterLines="50" w:line="520" w:lineRule="exact"/>
        <w:ind w:firstLine="640" w:firstLineChars="200"/>
        <w:outlineLvl w:val="0"/>
        <w:rPr>
          <w:rFonts w:eastAsia="黑体"/>
          <w:color w:val="auto"/>
          <w:sz w:val="32"/>
          <w:szCs w:val="32"/>
        </w:rPr>
      </w:pPr>
      <w:r>
        <w:rPr>
          <w:rFonts w:hint="eastAsia" w:ascii="黑体" w:eastAsia="黑体"/>
          <w:bCs/>
          <w:color w:val="auto"/>
          <w:sz w:val="32"/>
          <w:szCs w:val="32"/>
        </w:rPr>
        <w:t>七、</w:t>
      </w:r>
      <w:r>
        <w:rPr>
          <w:rFonts w:hint="eastAsia" w:eastAsia="黑体"/>
          <w:color w:val="auto"/>
          <w:sz w:val="32"/>
          <w:szCs w:val="32"/>
        </w:rPr>
        <w:t>实施标准的措施</w:t>
      </w:r>
    </w:p>
    <w:p w14:paraId="576581C1">
      <w:pPr>
        <w:spacing w:line="50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（一）标准报批发布后，成立标准宣贯工作组</w:t>
      </w:r>
    </w:p>
    <w:p w14:paraId="0CF00144">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9C2AE6E">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（二）组织开展标准宣贯培训</w:t>
      </w:r>
    </w:p>
    <w:p w14:paraId="1154BC2D">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发布实施后，标准宣贯工作小组制作标准解读宣贯培训PPT课件和标准核心技术明白书，并按标准宣贯培训计划深入各市县医疗机构，对医师和医护人员开展标准宣贯培训，对标准进行逐条解读，让医师和医护人员掌握标准核心技术内容，助力标准实施落地，推动广西中医技术高质量发展。</w:t>
      </w:r>
    </w:p>
    <w:p w14:paraId="087A8FE3">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（三）开展标准实施交流会，收集标准实施反馈信息</w:t>
      </w:r>
    </w:p>
    <w:p w14:paraId="0A2365C8">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14:paraId="4EF7045C">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（四）开展标准实施效果评估</w:t>
      </w:r>
    </w:p>
    <w:p w14:paraId="4B8C7BD5">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051074EA">
      <w:pPr>
        <w:spacing w:before="240" w:after="60" w:line="520" w:lineRule="exact"/>
        <w:ind w:firstLine="640" w:firstLineChars="200"/>
        <w:outlineLvl w:val="0"/>
        <w:rPr>
          <w:rFonts w:hint="eastAsia" w:ascii="黑体" w:eastAsia="黑体"/>
          <w:bCs/>
          <w:color w:val="auto"/>
          <w:sz w:val="32"/>
          <w:szCs w:val="32"/>
        </w:rPr>
      </w:pPr>
      <w:r>
        <w:rPr>
          <w:rFonts w:hint="eastAsia" w:ascii="黑体" w:eastAsia="黑体"/>
          <w:bCs/>
          <w:color w:val="auto"/>
          <w:sz w:val="32"/>
          <w:szCs w:val="32"/>
        </w:rPr>
        <w:t>八、其他应当说明的事项</w:t>
      </w:r>
    </w:p>
    <w:p w14:paraId="4B44292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无。</w:t>
      </w:r>
    </w:p>
    <w:p w14:paraId="3FA46A38">
      <w:pPr>
        <w:autoSpaceDE w:val="0"/>
        <w:autoSpaceDN w:val="0"/>
        <w:adjustRightInd w:val="0"/>
        <w:spacing w:before="156" w:beforeLines="50" w:after="156" w:afterLines="50" w:line="520" w:lineRule="exact"/>
        <w:ind w:firstLine="640"/>
        <w:outlineLvl w:val="0"/>
        <w:rPr>
          <w:rFonts w:hint="eastAsia" w:eastAsia="黑体"/>
          <w:color w:val="auto"/>
          <w:sz w:val="32"/>
          <w:szCs w:val="32"/>
        </w:rPr>
      </w:pPr>
      <w:r>
        <w:rPr>
          <w:rFonts w:hint="eastAsia" w:eastAsia="黑体"/>
          <w:color w:val="auto"/>
          <w:sz w:val="32"/>
          <w:szCs w:val="32"/>
        </w:rPr>
        <w:t>九、自我承诺</w:t>
      </w:r>
    </w:p>
    <w:p w14:paraId="01E4203C">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该标准的内容符合国家相关法律法规，技术要求不低于强制性国家标准的相关技术要求，与相关的国家、行业推荐性标准协调一致，标准的编写符合GB/T 1.1-2020的要求。</w:t>
      </w:r>
    </w:p>
    <w:p w14:paraId="1500C9E6">
      <w:pPr>
        <w:pStyle w:val="22"/>
        <w:rPr>
          <w:rFonts w:hint="eastAsia" w:ascii="仿宋_GB2312" w:eastAsia="仿宋_GB2312"/>
          <w:color w:val="auto"/>
          <w:sz w:val="28"/>
          <w:szCs w:val="28"/>
        </w:rPr>
      </w:pPr>
    </w:p>
    <w:p w14:paraId="7A675FCC">
      <w:pPr>
        <w:pStyle w:val="22"/>
        <w:rPr>
          <w:rFonts w:hint="eastAsia" w:ascii="仿宋_GB2312" w:eastAsia="仿宋_GB2312"/>
          <w:color w:val="auto"/>
          <w:sz w:val="28"/>
          <w:szCs w:val="28"/>
        </w:rPr>
      </w:pPr>
    </w:p>
    <w:p w14:paraId="523D1AB1">
      <w:pPr>
        <w:pStyle w:val="22"/>
        <w:rPr>
          <w:rFonts w:hint="eastAsia" w:ascii="仿宋_GB2312" w:eastAsia="仿宋_GB2312"/>
          <w:color w:val="auto"/>
          <w:sz w:val="28"/>
          <w:szCs w:val="28"/>
        </w:rPr>
      </w:pPr>
    </w:p>
    <w:p w14:paraId="67359EE9">
      <w:pPr>
        <w:spacing w:before="240" w:after="60" w:line="520" w:lineRule="exact"/>
        <w:jc w:val="right"/>
        <w:outlineLvl w:val="0"/>
        <w:rPr>
          <w:rFonts w:hint="eastAsia" w:ascii="仿宋_GB2312" w:eastAsia="仿宋_GB2312"/>
          <w:color w:val="auto"/>
          <w:sz w:val="28"/>
          <w:szCs w:val="28"/>
        </w:rPr>
      </w:pPr>
      <w:r>
        <w:rPr>
          <w:rFonts w:hint="eastAsia" w:ascii="仿宋_GB2312" w:eastAsia="仿宋_GB2312"/>
          <w:color w:val="auto"/>
          <w:sz w:val="28"/>
          <w:szCs w:val="28"/>
          <w:lang w:val="en-US" w:eastAsia="zh-CN"/>
        </w:rPr>
        <w:t>团体标准</w:t>
      </w:r>
      <w:r>
        <w:rPr>
          <w:rFonts w:hint="eastAsia" w:ascii="仿宋_GB2312" w:eastAsia="仿宋_GB2312"/>
          <w:color w:val="auto"/>
          <w:sz w:val="28"/>
          <w:szCs w:val="28"/>
        </w:rPr>
        <w:t>《</w:t>
      </w:r>
      <w:r>
        <w:rPr>
          <w:rFonts w:hint="eastAsia" w:ascii="仿宋_GB2312" w:eastAsia="仿宋_GB2312"/>
          <w:color w:val="auto"/>
          <w:sz w:val="28"/>
          <w:szCs w:val="28"/>
          <w:lang w:eastAsia="zh-CN"/>
        </w:rPr>
        <w:t>零售药店技能培训规范</w:t>
      </w:r>
      <w:r>
        <w:rPr>
          <w:rFonts w:hint="eastAsia" w:ascii="仿宋_GB2312" w:eastAsia="仿宋_GB2312"/>
          <w:color w:val="auto"/>
          <w:sz w:val="28"/>
          <w:szCs w:val="28"/>
        </w:rPr>
        <w:t>》</w:t>
      </w:r>
    </w:p>
    <w:p w14:paraId="22E9AA6C">
      <w:pPr>
        <w:spacing w:line="520" w:lineRule="exact"/>
        <w:ind w:right="1120"/>
        <w:jc w:val="center"/>
        <w:rPr>
          <w:rFonts w:hint="eastAsia" w:ascii="仿宋_GB2312" w:eastAsia="仿宋_GB2312"/>
          <w:color w:val="auto"/>
          <w:sz w:val="28"/>
          <w:szCs w:val="28"/>
        </w:rPr>
      </w:pPr>
      <w:r>
        <w:rPr>
          <w:rFonts w:hint="eastAsia" w:ascii="仿宋_GB2312" w:eastAsia="仿宋_GB2312"/>
          <w:color w:val="auto"/>
          <w:sz w:val="28"/>
          <w:szCs w:val="28"/>
        </w:rPr>
        <w:t xml:space="preserve">                                  标准编制工作组</w:t>
      </w:r>
    </w:p>
    <w:p w14:paraId="7B9D4B9B">
      <w:pPr>
        <w:spacing w:line="520" w:lineRule="exact"/>
        <w:ind w:firstLine="640" w:firstLineChars="200"/>
        <w:rPr>
          <w:rFonts w:hint="eastAsia" w:ascii="仿宋_GB2312" w:eastAsia="仿宋_GB2312"/>
          <w:color w:val="auto"/>
          <w:sz w:val="28"/>
          <w:szCs w:val="28"/>
        </w:rPr>
      </w:pPr>
      <w:r>
        <w:rPr>
          <w:rFonts w:hint="eastAsia" w:ascii="仿宋_GB2312" w:eastAsia="仿宋_GB2312"/>
          <w:color w:val="auto"/>
          <w:sz w:val="32"/>
          <w:szCs w:val="28"/>
        </w:rPr>
        <w:t xml:space="preserve">                             </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5</w:t>
      </w:r>
      <w:r>
        <w:rPr>
          <w:rFonts w:hint="eastAsia" w:ascii="仿宋_GB2312" w:eastAsia="仿宋_GB2312"/>
          <w:color w:val="auto"/>
          <w:sz w:val="28"/>
          <w:szCs w:val="28"/>
        </w:rPr>
        <w:t>年</w:t>
      </w:r>
      <w:r>
        <w:rPr>
          <w:rFonts w:hint="eastAsia" w:ascii="仿宋_GB2312" w:eastAsia="仿宋_GB2312"/>
          <w:color w:val="auto"/>
          <w:sz w:val="28"/>
          <w:szCs w:val="28"/>
          <w:lang w:val="en-US" w:eastAsia="zh-CN"/>
        </w:rPr>
        <w:t>9</w:t>
      </w:r>
      <w:r>
        <w:rPr>
          <w:rFonts w:hint="eastAsia" w:ascii="仿宋_GB2312" w:eastAsia="仿宋_GB2312"/>
          <w:color w:val="auto"/>
          <w:sz w:val="28"/>
          <w:szCs w:val="28"/>
        </w:rPr>
        <w:t>月</w:t>
      </w:r>
      <w:r>
        <w:rPr>
          <w:rFonts w:hint="eastAsia" w:ascii="仿宋_GB2312" w:eastAsia="仿宋_GB2312"/>
          <w:color w:val="auto"/>
          <w:sz w:val="28"/>
          <w:szCs w:val="28"/>
          <w:lang w:val="en-US" w:eastAsia="zh-CN"/>
        </w:rPr>
        <w:t>20</w:t>
      </w:r>
      <w:r>
        <w:rPr>
          <w:rFonts w:hint="eastAsia" w:ascii="仿宋_GB2312" w:eastAsia="仿宋_GB2312"/>
          <w:color w:val="auto"/>
          <w:sz w:val="28"/>
          <w:szCs w:val="28"/>
        </w:rPr>
        <w:t>日</w:t>
      </w:r>
    </w:p>
    <w:sectPr>
      <w:footerReference r:id="rId3" w:type="default"/>
      <w:pgSz w:w="11906" w:h="16838"/>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C8569F7-2DC7-48A3-B181-6D4437022B9D}"/>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2" w:fontKey="{DAD67131-2391-4855-B9D4-C34441E7B8EE}"/>
  </w:font>
  <w:font w:name="仿宋_GB2312">
    <w:panose1 w:val="02010609030101010101"/>
    <w:charset w:val="86"/>
    <w:family w:val="modern"/>
    <w:pitch w:val="default"/>
    <w:sig w:usb0="00000001" w:usb1="080E0000" w:usb2="00000000" w:usb3="00000000" w:csb0="00040000" w:csb1="00000000"/>
    <w:embedRegular r:id="rId3" w:fontKey="{EA1496FB-B031-4867-BC5F-3590BEAD642A}"/>
  </w:font>
  <w:font w:name="仿宋">
    <w:panose1 w:val="02010609060101010101"/>
    <w:charset w:val="86"/>
    <w:family w:val="modern"/>
    <w:pitch w:val="default"/>
    <w:sig w:usb0="800002BF" w:usb1="38CF7CFA" w:usb2="00000016" w:usb3="00000000" w:csb0="00040001" w:csb1="00000000"/>
    <w:embedRegular r:id="rId4" w:fontKey="{D1E7EC80-398B-42B1-8968-A1081D6D273C}"/>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98526">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1A690152">
                          <w:pPr>
                            <w:pStyle w:val="8"/>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1A690152">
                    <w:pPr>
                      <w:pStyle w:val="8"/>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0"/>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FA25A687"/>
    <w:multiLevelType w:val="singleLevel"/>
    <w:tmpl w:val="FA25A687"/>
    <w:lvl w:ilvl="0" w:tentative="0">
      <w:start w:val="1"/>
      <w:numFmt w:val="chineseCounting"/>
      <w:suff w:val="nothing"/>
      <w:lvlText w:val="（%1）"/>
      <w:lvlJc w:val="left"/>
      <w:rPr>
        <w:rFonts w:hint="eastAsia"/>
      </w:rPr>
    </w:lvl>
  </w:abstractNum>
  <w:abstractNum w:abstractNumId="2">
    <w:nsid w:val="FFEE46E6"/>
    <w:multiLevelType w:val="singleLevel"/>
    <w:tmpl w:val="FFEE46E6"/>
    <w:lvl w:ilvl="0" w:tentative="0">
      <w:start w:val="2"/>
      <w:numFmt w:val="chineseCounting"/>
      <w:suff w:val="nothing"/>
      <w:lvlText w:val="（%1）"/>
      <w:lvlJc w:val="left"/>
      <w:rPr>
        <w:rFonts w:hint="eastAsia"/>
      </w:rPr>
    </w:lvl>
  </w:abstractNum>
  <w:abstractNum w:abstractNumId="3">
    <w:nsid w:val="0F42CE74"/>
    <w:multiLevelType w:val="singleLevel"/>
    <w:tmpl w:val="0F42CE74"/>
    <w:lvl w:ilvl="0" w:tentative="0">
      <w:start w:val="1"/>
      <w:numFmt w:val="decimal"/>
      <w:suff w:val="nothing"/>
      <w:lvlText w:val="（%1）"/>
      <w:lvlJc w:val="left"/>
    </w:lvl>
  </w:abstractNum>
  <w:abstractNum w:abstractNumId="4">
    <w:nsid w:val="0FFFFF7E"/>
    <w:multiLevelType w:val="singleLevel"/>
    <w:tmpl w:val="0FFFFF7E"/>
    <w:lvl w:ilvl="0" w:tentative="0">
      <w:start w:val="1"/>
      <w:numFmt w:val="decimal"/>
      <w:lvlText w:val="%1."/>
      <w:lvlJc w:val="left"/>
      <w:pPr>
        <w:tabs>
          <w:tab w:val="left" w:pos="1200"/>
        </w:tabs>
        <w:ind w:left="1200" w:hanging="360"/>
      </w:pPr>
    </w:lvl>
  </w:abstractNum>
  <w:abstractNum w:abstractNumId="5">
    <w:nsid w:val="0FFFFF7F"/>
    <w:multiLevelType w:val="singleLevel"/>
    <w:tmpl w:val="0FFFFF7F"/>
    <w:lvl w:ilvl="0" w:tentative="0">
      <w:start w:val="1"/>
      <w:numFmt w:val="decimal"/>
      <w:lvlText w:val="%1."/>
      <w:lvlJc w:val="left"/>
      <w:pPr>
        <w:tabs>
          <w:tab w:val="left" w:pos="780"/>
        </w:tabs>
        <w:ind w:left="780" w:hanging="360"/>
      </w:pPr>
    </w:lvl>
  </w:abstractNum>
  <w:abstractNum w:abstractNumId="6">
    <w:nsid w:val="2C5917C3"/>
    <w:multiLevelType w:val="multilevel"/>
    <w:tmpl w:val="2C5917C3"/>
    <w:lvl w:ilvl="0" w:tentative="0">
      <w:start w:val="1"/>
      <w:numFmt w:val="none"/>
      <w:pStyle w:val="54"/>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7">
    <w:nsid w:val="44C50F90"/>
    <w:multiLevelType w:val="multilevel"/>
    <w:tmpl w:val="44C50F90"/>
    <w:lvl w:ilvl="0" w:tentative="0">
      <w:start w:val="1"/>
      <w:numFmt w:val="lowerLetter"/>
      <w:pStyle w:val="49"/>
      <w:lvlText w:val="%1)"/>
      <w:lvlJc w:val="left"/>
      <w:pPr>
        <w:tabs>
          <w:tab w:val="left" w:pos="851"/>
        </w:tabs>
        <w:ind w:left="851" w:hanging="426"/>
      </w:pPr>
      <w:rPr>
        <w:rFonts w:hint="eastAsia" w:ascii="宋体" w:hAnsi="Times New Roman" w:eastAsia="宋体"/>
        <w:sz w:val="21"/>
      </w:rPr>
    </w:lvl>
    <w:lvl w:ilvl="1" w:tentative="0">
      <w:start w:val="1"/>
      <w:numFmt w:val="decimal"/>
      <w:pStyle w:val="47"/>
      <w:lvlText w:val="%2)"/>
      <w:lvlJc w:val="left"/>
      <w:pPr>
        <w:tabs>
          <w:tab w:val="left" w:pos="1276"/>
        </w:tabs>
        <w:ind w:left="1276" w:hanging="425"/>
      </w:pPr>
      <w:rPr>
        <w:rFonts w:hint="eastAsia" w:ascii="宋体" w:hAnsi="Times New Roman" w:eastAsia="宋体"/>
        <w:sz w:val="21"/>
      </w:rPr>
    </w:lvl>
    <w:lvl w:ilvl="2" w:tentative="0">
      <w:start w:val="1"/>
      <w:numFmt w:val="decimal"/>
      <w:pStyle w:val="4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8">
    <w:nsid w:val="5A9B6960"/>
    <w:multiLevelType w:val="multilevel"/>
    <w:tmpl w:val="5A9B6960"/>
    <w:lvl w:ilvl="0" w:tentative="0">
      <w:start w:val="1"/>
      <w:numFmt w:val="none"/>
      <w:pStyle w:val="37"/>
      <w:suff w:val="nothing"/>
      <w:lvlText w:val="%1"/>
      <w:legacy w:legacy="1" w:legacySpace="0" w:legacyIndent="0"/>
      <w:lvlJc w:val="left"/>
      <w:pPr>
        <w:ind w:left="0" w:firstLine="0"/>
      </w:pPr>
      <w:rPr>
        <w:rFonts w:hint="eastAsia"/>
      </w:rPr>
    </w:lvl>
    <w:lvl w:ilvl="1" w:tentative="0">
      <w:start w:val="1"/>
      <w:numFmt w:val="decimal"/>
      <w:pStyle w:val="31"/>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3"/>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39"/>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38"/>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36"/>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9">
    <w:nsid w:val="6DBF04F4"/>
    <w:multiLevelType w:val="multilevel"/>
    <w:tmpl w:val="6DBF04F4"/>
    <w:lvl w:ilvl="0" w:tentative="0">
      <w:start w:val="1"/>
      <w:numFmt w:val="none"/>
      <w:pStyle w:val="55"/>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10">
    <w:nsid w:val="7EDACC23"/>
    <w:multiLevelType w:val="singleLevel"/>
    <w:tmpl w:val="7EDACC23"/>
    <w:lvl w:ilvl="0" w:tentative="0">
      <w:start w:val="2"/>
      <w:numFmt w:val="decimal"/>
      <w:suff w:val="nothing"/>
      <w:lvlText w:val="（%1）"/>
      <w:lvlJc w:val="left"/>
    </w:lvl>
  </w:abstractNum>
  <w:num w:numId="1">
    <w:abstractNumId w:val="8"/>
  </w:num>
  <w:num w:numId="2">
    <w:abstractNumId w:val="0"/>
  </w:num>
  <w:num w:numId="3">
    <w:abstractNumId w:val="5"/>
  </w:num>
  <w:num w:numId="4">
    <w:abstractNumId w:val="4"/>
  </w:num>
  <w:num w:numId="5">
    <w:abstractNumId w:val="7"/>
  </w:num>
  <w:num w:numId="6">
    <w:abstractNumId w:val="6"/>
  </w:num>
  <w:num w:numId="7">
    <w:abstractNumId w:val="9"/>
  </w:num>
  <w:num w:numId="8">
    <w:abstractNumId w:val="1"/>
  </w:num>
  <w:num w:numId="9">
    <w:abstractNumId w:val="2"/>
  </w:num>
  <w:num w:numId="10">
    <w:abstractNumId w:val="3"/>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55442"/>
    <w:rsid w:val="00072103"/>
    <w:rsid w:val="00075653"/>
    <w:rsid w:val="00082613"/>
    <w:rsid w:val="000C517B"/>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72E66"/>
    <w:rsid w:val="00375933"/>
    <w:rsid w:val="00382E35"/>
    <w:rsid w:val="00396F2C"/>
    <w:rsid w:val="003D485E"/>
    <w:rsid w:val="00426DC5"/>
    <w:rsid w:val="004373E9"/>
    <w:rsid w:val="0044036C"/>
    <w:rsid w:val="0044065E"/>
    <w:rsid w:val="004805DB"/>
    <w:rsid w:val="0048511D"/>
    <w:rsid w:val="004A75FF"/>
    <w:rsid w:val="004B4D68"/>
    <w:rsid w:val="004F29B4"/>
    <w:rsid w:val="00515B82"/>
    <w:rsid w:val="0051755E"/>
    <w:rsid w:val="00533B2A"/>
    <w:rsid w:val="00554B7D"/>
    <w:rsid w:val="00564A0C"/>
    <w:rsid w:val="005E3C13"/>
    <w:rsid w:val="005E7B33"/>
    <w:rsid w:val="005F1668"/>
    <w:rsid w:val="005F2FD2"/>
    <w:rsid w:val="005F4961"/>
    <w:rsid w:val="00617B08"/>
    <w:rsid w:val="00627AB4"/>
    <w:rsid w:val="006335ED"/>
    <w:rsid w:val="006343EC"/>
    <w:rsid w:val="0063539D"/>
    <w:rsid w:val="00637F53"/>
    <w:rsid w:val="006511A8"/>
    <w:rsid w:val="0067378F"/>
    <w:rsid w:val="00691000"/>
    <w:rsid w:val="006B0BA0"/>
    <w:rsid w:val="006B12C0"/>
    <w:rsid w:val="00714DDE"/>
    <w:rsid w:val="0074491A"/>
    <w:rsid w:val="007557E4"/>
    <w:rsid w:val="007563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B6B5F"/>
    <w:rsid w:val="008E1EB5"/>
    <w:rsid w:val="00926E1B"/>
    <w:rsid w:val="00932BA3"/>
    <w:rsid w:val="00947EBA"/>
    <w:rsid w:val="009718CC"/>
    <w:rsid w:val="009A4141"/>
    <w:rsid w:val="009E3161"/>
    <w:rsid w:val="00A16A3E"/>
    <w:rsid w:val="00A263D3"/>
    <w:rsid w:val="00A365A2"/>
    <w:rsid w:val="00A37FDF"/>
    <w:rsid w:val="00A42C5E"/>
    <w:rsid w:val="00A75476"/>
    <w:rsid w:val="00A87F41"/>
    <w:rsid w:val="00AC57C3"/>
    <w:rsid w:val="00AD0172"/>
    <w:rsid w:val="00B07A8A"/>
    <w:rsid w:val="00B66676"/>
    <w:rsid w:val="00B73416"/>
    <w:rsid w:val="00B77477"/>
    <w:rsid w:val="00B94EFE"/>
    <w:rsid w:val="00B954B8"/>
    <w:rsid w:val="00BA570D"/>
    <w:rsid w:val="00BB6932"/>
    <w:rsid w:val="00BB7B52"/>
    <w:rsid w:val="00BD2990"/>
    <w:rsid w:val="00C07069"/>
    <w:rsid w:val="00C123EE"/>
    <w:rsid w:val="00C13CB6"/>
    <w:rsid w:val="00C20386"/>
    <w:rsid w:val="00CC71EF"/>
    <w:rsid w:val="00CE7CD2"/>
    <w:rsid w:val="00D0457A"/>
    <w:rsid w:val="00D35977"/>
    <w:rsid w:val="00D43F5A"/>
    <w:rsid w:val="00D87F07"/>
    <w:rsid w:val="00D9142A"/>
    <w:rsid w:val="00D9735E"/>
    <w:rsid w:val="00DB7F6F"/>
    <w:rsid w:val="00DF4FB8"/>
    <w:rsid w:val="00E27034"/>
    <w:rsid w:val="00E32D4B"/>
    <w:rsid w:val="00E41116"/>
    <w:rsid w:val="00E414EF"/>
    <w:rsid w:val="00E455A5"/>
    <w:rsid w:val="00E835A1"/>
    <w:rsid w:val="00E83E2D"/>
    <w:rsid w:val="00ED41E5"/>
    <w:rsid w:val="00EE332B"/>
    <w:rsid w:val="00EF4610"/>
    <w:rsid w:val="00EF6CB2"/>
    <w:rsid w:val="00F01A5C"/>
    <w:rsid w:val="00F40513"/>
    <w:rsid w:val="00F424A9"/>
    <w:rsid w:val="00F5729F"/>
    <w:rsid w:val="00F65587"/>
    <w:rsid w:val="00F77E06"/>
    <w:rsid w:val="00F9021F"/>
    <w:rsid w:val="00FA7D60"/>
    <w:rsid w:val="00FB260A"/>
    <w:rsid w:val="00FC7CE6"/>
    <w:rsid w:val="00FD6497"/>
    <w:rsid w:val="00FF2EC3"/>
    <w:rsid w:val="012A4E2C"/>
    <w:rsid w:val="02DC2156"/>
    <w:rsid w:val="03CC3F79"/>
    <w:rsid w:val="05B55C2C"/>
    <w:rsid w:val="05CD222A"/>
    <w:rsid w:val="06084616"/>
    <w:rsid w:val="06A9292B"/>
    <w:rsid w:val="08EF7A39"/>
    <w:rsid w:val="09E73A6B"/>
    <w:rsid w:val="0A5844F0"/>
    <w:rsid w:val="0EE41D10"/>
    <w:rsid w:val="11386E78"/>
    <w:rsid w:val="11B73ED3"/>
    <w:rsid w:val="11DF729D"/>
    <w:rsid w:val="12277661"/>
    <w:rsid w:val="133D4C82"/>
    <w:rsid w:val="13D12EE6"/>
    <w:rsid w:val="13EE1CEA"/>
    <w:rsid w:val="13F37300"/>
    <w:rsid w:val="174D6D27"/>
    <w:rsid w:val="18CE5C46"/>
    <w:rsid w:val="1A2A2D28"/>
    <w:rsid w:val="1A611AD4"/>
    <w:rsid w:val="1B9C64CF"/>
    <w:rsid w:val="1E4A1472"/>
    <w:rsid w:val="1E6C7E3E"/>
    <w:rsid w:val="20346CD6"/>
    <w:rsid w:val="203E6C0D"/>
    <w:rsid w:val="206E043A"/>
    <w:rsid w:val="21B75E11"/>
    <w:rsid w:val="2443573A"/>
    <w:rsid w:val="25496D80"/>
    <w:rsid w:val="256A366E"/>
    <w:rsid w:val="27095D8A"/>
    <w:rsid w:val="275E6C1B"/>
    <w:rsid w:val="277B51EB"/>
    <w:rsid w:val="279E6744"/>
    <w:rsid w:val="282925E4"/>
    <w:rsid w:val="29340586"/>
    <w:rsid w:val="2AB253C7"/>
    <w:rsid w:val="2BAD2B02"/>
    <w:rsid w:val="2C6C6F3C"/>
    <w:rsid w:val="2C90798E"/>
    <w:rsid w:val="2CB47810"/>
    <w:rsid w:val="2E0C3040"/>
    <w:rsid w:val="2E40384E"/>
    <w:rsid w:val="2E826991"/>
    <w:rsid w:val="2F083808"/>
    <w:rsid w:val="2F0B058C"/>
    <w:rsid w:val="2F7C5FA4"/>
    <w:rsid w:val="2FDD0EDC"/>
    <w:rsid w:val="344833B2"/>
    <w:rsid w:val="346F5A63"/>
    <w:rsid w:val="35146A33"/>
    <w:rsid w:val="39CD7B28"/>
    <w:rsid w:val="3B675F56"/>
    <w:rsid w:val="3D6C58AA"/>
    <w:rsid w:val="3F976E21"/>
    <w:rsid w:val="403F2E01"/>
    <w:rsid w:val="431A1904"/>
    <w:rsid w:val="45413951"/>
    <w:rsid w:val="46E47FFF"/>
    <w:rsid w:val="4779601E"/>
    <w:rsid w:val="493E1AE1"/>
    <w:rsid w:val="4B2238EC"/>
    <w:rsid w:val="4C6C7CEB"/>
    <w:rsid w:val="4DDD59C1"/>
    <w:rsid w:val="50370ABF"/>
    <w:rsid w:val="51FB0B52"/>
    <w:rsid w:val="527B23BF"/>
    <w:rsid w:val="52FDF3F3"/>
    <w:rsid w:val="531F075A"/>
    <w:rsid w:val="53F87A3F"/>
    <w:rsid w:val="5529794D"/>
    <w:rsid w:val="55C35160"/>
    <w:rsid w:val="56DA342C"/>
    <w:rsid w:val="5708A920"/>
    <w:rsid w:val="57A01936"/>
    <w:rsid w:val="57A57FD6"/>
    <w:rsid w:val="57F01F2D"/>
    <w:rsid w:val="58D367F3"/>
    <w:rsid w:val="592B4413"/>
    <w:rsid w:val="592C1295"/>
    <w:rsid w:val="59DD74BB"/>
    <w:rsid w:val="5A8C449C"/>
    <w:rsid w:val="5B571FFB"/>
    <w:rsid w:val="5B8C421A"/>
    <w:rsid w:val="5BD06662"/>
    <w:rsid w:val="5BFB00CD"/>
    <w:rsid w:val="5C452F47"/>
    <w:rsid w:val="5CEB5ABA"/>
    <w:rsid w:val="5D086F45"/>
    <w:rsid w:val="5D4D6706"/>
    <w:rsid w:val="5E8C2041"/>
    <w:rsid w:val="60252B89"/>
    <w:rsid w:val="613750A2"/>
    <w:rsid w:val="616C2448"/>
    <w:rsid w:val="63057E95"/>
    <w:rsid w:val="63DF2082"/>
    <w:rsid w:val="654A16B4"/>
    <w:rsid w:val="660F1D12"/>
    <w:rsid w:val="67277FC8"/>
    <w:rsid w:val="677C2407"/>
    <w:rsid w:val="68C47A98"/>
    <w:rsid w:val="68C53F3C"/>
    <w:rsid w:val="6AEE6EE1"/>
    <w:rsid w:val="6C7E30AD"/>
    <w:rsid w:val="6CC80E6D"/>
    <w:rsid w:val="6CD819DD"/>
    <w:rsid w:val="7046644F"/>
    <w:rsid w:val="710B6BAC"/>
    <w:rsid w:val="71525B1E"/>
    <w:rsid w:val="716444DA"/>
    <w:rsid w:val="71CC633B"/>
    <w:rsid w:val="71F238C8"/>
    <w:rsid w:val="738A5B9F"/>
    <w:rsid w:val="741F6AAA"/>
    <w:rsid w:val="74A0585D"/>
    <w:rsid w:val="763864CA"/>
    <w:rsid w:val="764D461B"/>
    <w:rsid w:val="77A7157C"/>
    <w:rsid w:val="77D048EE"/>
    <w:rsid w:val="78B143BF"/>
    <w:rsid w:val="7A035425"/>
    <w:rsid w:val="7AB465B7"/>
    <w:rsid w:val="7B215011"/>
    <w:rsid w:val="7CB63E70"/>
    <w:rsid w:val="7D221505"/>
    <w:rsid w:val="7E2B6198"/>
    <w:rsid w:val="7EF26A8C"/>
    <w:rsid w:val="7F9806C6"/>
    <w:rsid w:val="B8CFA9F0"/>
    <w:rsid w:val="B9EE8E15"/>
    <w:rsid w:val="BDFFEC67"/>
    <w:rsid w:val="DFFD0EE9"/>
    <w:rsid w:val="EBDF77FB"/>
    <w:rsid w:val="FB7F6E02"/>
    <w:rsid w:val="FBFFF8E5"/>
    <w:rsid w:val="FDAB632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qFormat/>
    <w:uiPriority w:val="0"/>
    <w:pPr>
      <w:keepNext/>
      <w:keepLines/>
      <w:widowControl w:val="0"/>
      <w:spacing w:before="340" w:after="330" w:line="578" w:lineRule="auto"/>
      <w:outlineLvl w:val="0"/>
    </w:pPr>
    <w:rPr>
      <w:b/>
      <w:bCs/>
      <w:kern w:val="44"/>
      <w:sz w:val="44"/>
    </w:rPr>
  </w:style>
  <w:style w:type="paragraph" w:styleId="3">
    <w:name w:val="heading 2"/>
    <w:basedOn w:val="1"/>
    <w:next w:val="1"/>
    <w:qFormat/>
    <w:uiPriority w:val="0"/>
    <w:pPr>
      <w:keepNext/>
      <w:keepLines/>
      <w:widowControl w:val="0"/>
      <w:spacing w:before="260" w:after="260" w:line="415" w:lineRule="auto"/>
      <w:outlineLvl w:val="1"/>
    </w:pPr>
    <w:rPr>
      <w:rFonts w:ascii="Times New Roman" w:hAnsi="Times New Roman" w:eastAsia="黑体"/>
      <w:b/>
      <w:sz w:val="32"/>
    </w:rPr>
  </w:style>
  <w:style w:type="paragraph" w:styleId="4">
    <w:name w:val="heading 3"/>
    <w:basedOn w:val="1"/>
    <w:next w:val="1"/>
    <w:qFormat/>
    <w:uiPriority w:val="0"/>
    <w:pPr>
      <w:keepNext/>
      <w:keepLines/>
      <w:widowControl w:val="0"/>
      <w:spacing w:before="260" w:after="260" w:line="415" w:lineRule="auto"/>
      <w:outlineLvl w:val="2"/>
    </w:pPr>
    <w:rPr>
      <w:b/>
      <w:sz w:val="32"/>
    </w:rPr>
  </w:style>
  <w:style w:type="paragraph" w:styleId="5">
    <w:name w:val="heading 7"/>
    <w:basedOn w:val="1"/>
    <w:next w:val="1"/>
    <w:link w:val="23"/>
    <w:qFormat/>
    <w:uiPriority w:val="9"/>
    <w:pPr>
      <w:keepNext/>
      <w:keepLines/>
      <w:spacing w:before="240" w:after="64" w:line="320" w:lineRule="auto"/>
      <w:outlineLvl w:val="6"/>
    </w:pPr>
    <w:rPr>
      <w:b/>
      <w:bCs/>
      <w:sz w:val="24"/>
    </w:rPr>
  </w:style>
  <w:style w:type="character" w:default="1" w:styleId="15">
    <w:name w:val="Default Paragraph Font"/>
    <w:qFormat/>
    <w:uiPriority w:val="0"/>
  </w:style>
  <w:style w:type="table" w:default="1" w:styleId="13">
    <w:name w:val="Normal Table"/>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6">
    <w:name w:val="annotation text"/>
    <w:basedOn w:val="1"/>
    <w:link w:val="24"/>
    <w:unhideWhenUsed/>
    <w:qFormat/>
    <w:uiPriority w:val="99"/>
    <w:pPr>
      <w:adjustRightInd w:val="0"/>
      <w:spacing w:line="400" w:lineRule="exact"/>
      <w:jc w:val="left"/>
    </w:pPr>
    <w:rPr>
      <w:rFonts w:ascii="Calibri" w:hAnsi="Calibri"/>
      <w:szCs w:val="21"/>
    </w:rPr>
  </w:style>
  <w:style w:type="paragraph" w:styleId="7">
    <w:name w:val="Balloon Text"/>
    <w:basedOn w:val="1"/>
    <w:link w:val="25"/>
    <w:unhideWhenUsed/>
    <w:qFormat/>
    <w:uiPriority w:val="99"/>
    <w:rPr>
      <w:sz w:val="18"/>
      <w:szCs w:val="18"/>
    </w:rPr>
  </w:style>
  <w:style w:type="paragraph" w:styleId="8">
    <w:name w:val="footer"/>
    <w:basedOn w:val="1"/>
    <w:link w:val="26"/>
    <w:qFormat/>
    <w:uiPriority w:val="99"/>
    <w:pPr>
      <w:tabs>
        <w:tab w:val="center" w:pos="4153"/>
        <w:tab w:val="right" w:pos="8306"/>
      </w:tabs>
      <w:snapToGrid w:val="0"/>
      <w:jc w:val="left"/>
    </w:pPr>
    <w:rPr>
      <w:sz w:val="18"/>
      <w:szCs w:val="18"/>
    </w:rPr>
  </w:style>
  <w:style w:type="paragraph" w:styleId="9">
    <w:name w:val="envelope return"/>
    <w:basedOn w:val="1"/>
    <w:qFormat/>
    <w:uiPriority w:val="0"/>
    <w:pPr>
      <w:snapToGrid w:val="0"/>
    </w:pPr>
    <w:rPr>
      <w:rFonts w:ascii="Times New Roman" w:hAnsi="Times New Roman"/>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toc 4"/>
    <w:basedOn w:val="1"/>
    <w:next w:val="1"/>
    <w:unhideWhenUsed/>
    <w:qFormat/>
    <w:uiPriority w:val="39"/>
    <w:pPr>
      <w:tabs>
        <w:tab w:val="right" w:leader="dot" w:pos="9344"/>
      </w:tabs>
      <w:adjustRightInd w:val="0"/>
      <w:spacing w:line="300" w:lineRule="exact"/>
      <w:ind w:left="629"/>
    </w:pPr>
    <w:rPr>
      <w:rFonts w:ascii="宋体" w:hAnsi="Calibri"/>
      <w:szCs w:val="21"/>
    </w:rPr>
  </w:style>
  <w:style w:type="paragraph" w:styleId="12">
    <w:name w:val="Normal (Web)"/>
    <w:basedOn w:val="1"/>
    <w:semiHidden/>
    <w:unhideWhenUsed/>
    <w:qFormat/>
    <w:uiPriority w:val="99"/>
    <w:rPr>
      <w:sz w:val="24"/>
    </w:rPr>
  </w:style>
  <w:style w:type="table" w:styleId="14">
    <w:name w:val="Table Grid"/>
    <w:basedOn w:val="13"/>
    <w:qFormat/>
    <w:uiPriority w:val="3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16">
    <w:name w:val="Strong"/>
    <w:basedOn w:val="15"/>
    <w:qFormat/>
    <w:uiPriority w:val="22"/>
    <w:rPr>
      <w:b/>
    </w:rPr>
  </w:style>
  <w:style w:type="character" w:styleId="17">
    <w:name w:val="line number"/>
    <w:qFormat/>
    <w:uiPriority w:val="0"/>
  </w:style>
  <w:style w:type="character" w:styleId="18">
    <w:name w:val="Hyperlink"/>
    <w:qFormat/>
    <w:uiPriority w:val="0"/>
    <w:rPr>
      <w:rFonts w:ascii="宋体" w:eastAsia="宋体"/>
      <w:color w:val="auto"/>
      <w:spacing w:val="0"/>
      <w:w w:val="100"/>
      <w:position w:val="0"/>
      <w:sz w:val="21"/>
      <w:u w:val="none"/>
      <w:vertAlign w:val="baseline"/>
    </w:rPr>
  </w:style>
  <w:style w:type="character" w:styleId="19">
    <w:name w:val="annotation reference"/>
    <w:qFormat/>
    <w:uiPriority w:val="99"/>
    <w:rPr>
      <w:sz w:val="21"/>
    </w:rPr>
  </w:style>
  <w:style w:type="character" w:styleId="20">
    <w:name w:val="footnote reference"/>
    <w:qFormat/>
    <w:uiPriority w:val="0"/>
    <w:rPr>
      <w:vertAlign w:val="superscript"/>
    </w:rPr>
  </w:style>
  <w:style w:type="paragraph" w:customStyle="1" w:styleId="21">
    <w:name w:val="BodyText2"/>
    <w:basedOn w:val="1"/>
    <w:qFormat/>
    <w:uiPriority w:val="0"/>
    <w:pPr>
      <w:spacing w:after="120" w:line="480" w:lineRule="auto"/>
      <w:textAlignment w:val="baseline"/>
    </w:pPr>
    <w:rPr>
      <w:rFonts w:ascii="Calibri" w:hAnsi="Calibri" w:eastAsia="宋体" w:cs="Times New Roman"/>
      <w:sz w:val="32"/>
      <w:szCs w:val="32"/>
      <w:lang w:bidi="ar-SA"/>
    </w:rPr>
  </w:style>
  <w:style w:type="paragraph" w:customStyle="1" w:styleId="22">
    <w:name w:val="正文-公1"/>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3">
    <w:name w:val="标题 7 字符"/>
    <w:link w:val="5"/>
    <w:qFormat/>
    <w:uiPriority w:val="0"/>
    <w:rPr>
      <w:rFonts w:eastAsia="宋体"/>
      <w:b/>
      <w:bCs/>
      <w:kern w:val="2"/>
      <w:sz w:val="24"/>
      <w:szCs w:val="24"/>
    </w:rPr>
  </w:style>
  <w:style w:type="character" w:customStyle="1" w:styleId="24">
    <w:name w:val="批注文字 字符"/>
    <w:link w:val="6"/>
    <w:semiHidden/>
    <w:qFormat/>
    <w:uiPriority w:val="99"/>
    <w:rPr>
      <w:rFonts w:ascii="Calibri" w:hAnsi="Calibri" w:eastAsia="宋体"/>
      <w:kern w:val="2"/>
      <w:sz w:val="21"/>
      <w:szCs w:val="21"/>
    </w:rPr>
  </w:style>
  <w:style w:type="character" w:customStyle="1" w:styleId="25">
    <w:name w:val="批注框文本 字符"/>
    <w:link w:val="7"/>
    <w:semiHidden/>
    <w:qFormat/>
    <w:uiPriority w:val="99"/>
    <w:rPr>
      <w:rFonts w:eastAsia="宋体"/>
      <w:kern w:val="2"/>
      <w:sz w:val="18"/>
      <w:szCs w:val="18"/>
    </w:rPr>
  </w:style>
  <w:style w:type="character" w:customStyle="1" w:styleId="26">
    <w:name w:val="页脚 字符"/>
    <w:link w:val="8"/>
    <w:qFormat/>
    <w:locked/>
    <w:uiPriority w:val="99"/>
    <w:rPr>
      <w:rFonts w:eastAsia="宋体"/>
      <w:kern w:val="2"/>
      <w:sz w:val="18"/>
      <w:szCs w:val="18"/>
    </w:rPr>
  </w:style>
  <w:style w:type="paragraph" w:customStyle="1" w:styleId="27">
    <w:name w:val="其他标准称谓"/>
    <w:qFormat/>
    <w:uiPriority w:val="0"/>
    <w:pPr>
      <w:spacing w:line="0" w:lineRule="atLeast"/>
      <w:jc w:val="distribute"/>
    </w:pPr>
    <w:rPr>
      <w:rFonts w:ascii="黑体" w:hAnsi="Calibri" w:eastAsia="黑体" w:cs="Calibri"/>
      <w:sz w:val="52"/>
      <w:lang w:val="en-US" w:eastAsia="zh-CN" w:bidi="ar-SA"/>
    </w:rPr>
  </w:style>
  <w:style w:type="paragraph" w:customStyle="1" w:styleId="28">
    <w:name w:val="封面标准号1"/>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29">
    <w:name w:val="标准文件_段"/>
    <w:link w:val="30"/>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30">
    <w:name w:val="标准文件_段 Char"/>
    <w:link w:val="29"/>
    <w:qFormat/>
    <w:uiPriority w:val="0"/>
    <w:rPr>
      <w:rFonts w:ascii="宋体" w:eastAsia="宋体"/>
      <w:sz w:val="21"/>
    </w:rPr>
  </w:style>
  <w:style w:type="paragraph" w:customStyle="1" w:styleId="31">
    <w:name w:val="标准文件_章标题"/>
    <w:next w:val="29"/>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2">
    <w:name w:val="标准文件_二级条标题"/>
    <w:next w:val="29"/>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3">
    <w:name w:val="标准文件_一级条标题"/>
    <w:basedOn w:val="31"/>
    <w:next w:val="29"/>
    <w:qFormat/>
    <w:uiPriority w:val="0"/>
    <w:pPr>
      <w:numPr>
        <w:ilvl w:val="2"/>
        <w:numId w:val="1"/>
      </w:numPr>
      <w:spacing w:before="50" w:beforeLines="0" w:after="50" w:afterLines="0"/>
      <w:outlineLvl w:val="1"/>
    </w:pPr>
  </w:style>
  <w:style w:type="paragraph" w:customStyle="1" w:styleId="34">
    <w:name w:val="标准文件_三级条标题"/>
    <w:basedOn w:val="32"/>
    <w:next w:val="29"/>
    <w:qFormat/>
    <w:uiPriority w:val="0"/>
    <w:pPr>
      <w:numPr>
        <w:ilvl w:val="4"/>
        <w:numId w:val="1"/>
      </w:numPr>
      <w:spacing w:before="50" w:beforeLines="50" w:after="50" w:afterLines="50"/>
      <w:jc w:val="both"/>
      <w:outlineLvl w:val="3"/>
    </w:pPr>
    <w:rPr>
      <w:rFonts w:ascii="黑体" w:eastAsia="黑体"/>
      <w:sz w:val="21"/>
      <w:lang w:val="en-US" w:eastAsia="zh-CN" w:bidi="ar-SA"/>
    </w:rPr>
  </w:style>
  <w:style w:type="paragraph" w:customStyle="1" w:styleId="35">
    <w:name w:val="标准文件_四级条标题"/>
    <w:next w:val="29"/>
    <w:qFormat/>
    <w:uiPriority w:val="0"/>
    <w:pPr>
      <w:widowControl w:val="0"/>
      <w:numPr>
        <w:ilvl w:val="5"/>
        <w:numId w:val="1"/>
      </w:numPr>
      <w:spacing w:before="50" w:beforeLines="50" w:after="50" w:afterLines="50"/>
      <w:jc w:val="both"/>
      <w:outlineLvl w:val="4"/>
    </w:pPr>
    <w:rPr>
      <w:rFonts w:ascii="黑体" w:hAnsi="Calibri" w:eastAsia="黑体" w:cs="Calibri"/>
      <w:sz w:val="21"/>
      <w:lang w:val="en-US" w:eastAsia="zh-CN" w:bidi="ar-SA"/>
    </w:rPr>
  </w:style>
  <w:style w:type="paragraph" w:customStyle="1" w:styleId="36">
    <w:name w:val="标准文件_五级条标题"/>
    <w:next w:val="32"/>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37">
    <w:name w:val="前言标题"/>
    <w:next w:val="1"/>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38">
    <w:name w:val="标准文件_四级无标题"/>
    <w:basedOn w:val="35"/>
    <w:qFormat/>
    <w:uiPriority w:val="0"/>
    <w:pPr>
      <w:widowControl w:val="0"/>
      <w:numPr>
        <w:ilvl w:val="5"/>
        <w:numId w:val="1"/>
      </w:numPr>
      <w:spacing w:before="50" w:after="50"/>
      <w:jc w:val="both"/>
    </w:pPr>
    <w:rPr>
      <w:rFonts w:ascii="宋体" w:hAnsi="Calibri" w:eastAsia="宋体" w:cs="Calibri"/>
      <w:sz w:val="21"/>
      <w:szCs w:val="52"/>
      <w:lang w:val="en-US" w:eastAsia="zh-CN" w:bidi="ar-SA"/>
    </w:rPr>
  </w:style>
  <w:style w:type="paragraph" w:customStyle="1" w:styleId="39">
    <w:name w:val="标准文件_三级无标题"/>
    <w:basedOn w:val="34"/>
    <w:qFormat/>
    <w:uiPriority w:val="0"/>
    <w:pPr>
      <w:numPr>
        <w:ilvl w:val="4"/>
        <w:numId w:val="1"/>
      </w:numPr>
      <w:spacing w:before="50" w:after="50"/>
      <w:jc w:val="both"/>
    </w:pPr>
    <w:rPr>
      <w:rFonts w:ascii="宋体" w:eastAsia="宋体"/>
      <w:sz w:val="21"/>
      <w:lang w:val="en-US" w:eastAsia="zh-CN" w:bidi="ar-SA"/>
    </w:rPr>
  </w:style>
  <w:style w:type="paragraph" w:customStyle="1" w:styleId="40">
    <w:name w:val="标准文件_正文表标题"/>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1">
    <w:name w:val="font11"/>
    <w:qFormat/>
    <w:uiPriority w:val="0"/>
    <w:rPr>
      <w:rFonts w:ascii="等线" w:eastAsia="等线"/>
      <w:b/>
      <w:bCs/>
      <w:color w:val="FF0000"/>
      <w:sz w:val="22"/>
      <w:szCs w:val="22"/>
      <w:u w:val="none"/>
    </w:rPr>
  </w:style>
  <w:style w:type="character" w:customStyle="1" w:styleId="42">
    <w:name w:val="font01"/>
    <w:qFormat/>
    <w:uiPriority w:val="0"/>
    <w:rPr>
      <w:rFonts w:ascii="等线" w:eastAsia="等线"/>
      <w:color w:val="000000"/>
      <w:sz w:val="22"/>
      <w:szCs w:val="22"/>
      <w:u w:val="none"/>
    </w:rPr>
  </w:style>
  <w:style w:type="paragraph" w:customStyle="1" w:styleId="43">
    <w:name w:val="段"/>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4">
    <w:name w:val="二级无"/>
    <w:basedOn w:val="1"/>
    <w:qFormat/>
    <w:uiPriority w:val="0"/>
    <w:pPr>
      <w:widowControl/>
      <w:numPr>
        <w:ilvl w:val="2"/>
        <w:numId w:val="3"/>
      </w:numPr>
      <w:tabs>
        <w:tab w:val="left" w:pos="780"/>
      </w:tabs>
      <w:jc w:val="left"/>
      <w:outlineLvl w:val="3"/>
    </w:pPr>
    <w:rPr>
      <w:rFonts w:ascii="宋体"/>
      <w:kern w:val="0"/>
      <w:szCs w:val="21"/>
    </w:rPr>
  </w:style>
  <w:style w:type="paragraph" w:customStyle="1" w:styleId="45">
    <w:name w:val="标准文件_二级无标题"/>
    <w:basedOn w:val="32"/>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46">
    <w:name w:val="Char Char Char Char"/>
    <w:basedOn w:val="1"/>
    <w:qFormat/>
    <w:uiPriority w:val="0"/>
  </w:style>
  <w:style w:type="paragraph" w:customStyle="1" w:styleId="47">
    <w:name w:val="标准文件_数字编号列项（二级）"/>
    <w:qFormat/>
    <w:uiPriority w:val="0"/>
    <w:pPr>
      <w:numPr>
        <w:ilvl w:val="1"/>
        <w:numId w:val="5"/>
      </w:numPr>
      <w:jc w:val="both"/>
    </w:pPr>
    <w:rPr>
      <w:rFonts w:ascii="宋体" w:hAnsi="Calibri" w:eastAsia="宋体" w:cs="Calibri"/>
      <w:sz w:val="21"/>
      <w:lang w:val="en-US" w:eastAsia="zh-CN" w:bidi="ar-SA"/>
    </w:rPr>
  </w:style>
  <w:style w:type="paragraph" w:customStyle="1" w:styleId="48">
    <w:name w:val="标准文件_编号列项（三级）"/>
    <w:qFormat/>
    <w:uiPriority w:val="0"/>
    <w:pPr>
      <w:numPr>
        <w:ilvl w:val="2"/>
        <w:numId w:val="5"/>
      </w:numPr>
    </w:pPr>
    <w:rPr>
      <w:rFonts w:ascii="宋体" w:hAnsi="Calibri" w:eastAsia="宋体" w:cs="Calibri"/>
      <w:sz w:val="21"/>
      <w:lang w:val="en-US" w:eastAsia="zh-CN" w:bidi="ar-SA"/>
    </w:rPr>
  </w:style>
  <w:style w:type="paragraph" w:customStyle="1" w:styleId="49">
    <w:name w:val="标准文件_字母编号列项（一级）"/>
    <w:qFormat/>
    <w:uiPriority w:val="0"/>
    <w:pPr>
      <w:numPr>
        <w:ilvl w:val="0"/>
        <w:numId w:val="5"/>
      </w:numPr>
      <w:jc w:val="both"/>
    </w:pPr>
    <w:rPr>
      <w:rFonts w:ascii="宋体" w:hAnsi="Calibri" w:eastAsia="宋体" w:cs="Calibri"/>
      <w:sz w:val="21"/>
      <w:lang w:val="en-US" w:eastAsia="zh-CN" w:bidi="ar-SA"/>
    </w:rPr>
  </w:style>
  <w:style w:type="paragraph" w:customStyle="1" w:styleId="50">
    <w:name w:val="标准文件_术语条一"/>
    <w:basedOn w:val="1"/>
    <w:next w:val="29"/>
    <w:qFormat/>
    <w:uiPriority w:val="0"/>
    <w:pPr>
      <w:widowControl/>
    </w:pPr>
    <w:rPr>
      <w:rFonts w:ascii="宋体"/>
      <w:kern w:val="0"/>
      <w:szCs w:val="20"/>
    </w:rPr>
  </w:style>
  <w:style w:type="paragraph" w:customStyle="1" w:styleId="51">
    <w:name w:val="abstract"/>
    <w:basedOn w:val="1"/>
    <w:qFormat/>
    <w:uiPriority w:val="0"/>
    <w:pPr>
      <w:widowControl/>
      <w:spacing w:before="100" w:beforeAutospacing="1" w:after="100" w:afterAutospacing="1"/>
      <w:jc w:val="left"/>
    </w:pPr>
    <w:rPr>
      <w:rFonts w:ascii="宋体" w:hAnsi="宋体" w:cs="宋体"/>
      <w:kern w:val="0"/>
      <w:sz w:val="24"/>
    </w:rPr>
  </w:style>
  <w:style w:type="paragraph" w:customStyle="1" w:styleId="52">
    <w:name w:val="abstract_more"/>
    <w:basedOn w:val="1"/>
    <w:qFormat/>
    <w:uiPriority w:val="0"/>
    <w:pPr>
      <w:widowControl/>
      <w:spacing w:before="100" w:beforeAutospacing="1" w:after="100" w:afterAutospacing="1"/>
      <w:jc w:val="left"/>
    </w:pPr>
    <w:rPr>
      <w:rFonts w:ascii="宋体" w:hAnsi="宋体" w:cs="宋体"/>
      <w:kern w:val="0"/>
      <w:sz w:val="24"/>
    </w:rPr>
  </w:style>
  <w:style w:type="paragraph" w:styleId="53">
    <w:name w:val="No Spacing"/>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4">
    <w:name w:val="标准文件_一级项"/>
    <w:qFormat/>
    <w:uiPriority w:val="0"/>
    <w:pPr>
      <w:numPr>
        <w:ilvl w:val="0"/>
        <w:numId w:val="6"/>
      </w:numPr>
    </w:pPr>
    <w:rPr>
      <w:rFonts w:ascii="宋体" w:hAnsi="Times New Roman" w:eastAsia="宋体" w:cs="Times New Roman"/>
      <w:sz w:val="21"/>
      <w:lang w:val="en-US" w:eastAsia="zh-CN" w:bidi="ar-SA"/>
    </w:rPr>
  </w:style>
  <w:style w:type="paragraph" w:customStyle="1" w:styleId="55">
    <w:name w:val="标准文件_注："/>
    <w:next w:val="29"/>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character" w:customStyle="1" w:styleId="56">
    <w:name w:val="font21"/>
    <w:basedOn w:val="15"/>
    <w:qFormat/>
    <w:uiPriority w:val="0"/>
    <w:rPr>
      <w:rFonts w:hint="eastAsia" w:ascii="宋体" w:hAnsi="宋体" w:eastAsia="宋体" w:cs="宋体"/>
      <w:color w:val="000000"/>
      <w:sz w:val="32"/>
      <w:szCs w:val="32"/>
      <w:u w:val="none"/>
    </w:rPr>
  </w:style>
  <w:style w:type="paragraph" w:customStyle="1" w:styleId="57">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58">
    <w:name w:val="标准文件_页眉偶数页"/>
    <w:basedOn w:val="57"/>
    <w:next w:val="1"/>
    <w:qFormat/>
    <w:uiPriority w:val="0"/>
    <w:pPr>
      <w:jc w:val="left"/>
    </w:pPr>
  </w:style>
  <w:style w:type="paragraph" w:customStyle="1" w:styleId="59">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60">
    <w:name w:val="标准文件_页脚偶数页"/>
    <w:qFormat/>
    <w:uiPriority w:val="0"/>
    <w:pPr>
      <w:ind w:left="198"/>
    </w:pPr>
    <w:rPr>
      <w:rFonts w:ascii="宋体" w:hAnsi="Times New Roman" w:eastAsia="宋体" w:cs="Times New Roman"/>
      <w:sz w:val="1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10566</Words>
  <Characters>10925</Characters>
  <Lines>140</Lines>
  <Paragraphs>39</Paragraphs>
  <TotalTime>0</TotalTime>
  <ScaleCrop>false</ScaleCrop>
  <LinksUpToDate>false</LinksUpToDate>
  <CharactersWithSpaces>11034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2023-11-09T07:48:00Z</dcterms:created>
  <dc:creator>Administrator</dc:creator>
  <cp:lastModifiedBy>覃思颖</cp:lastModifiedBy>
  <dcterms:modified xsi:type="dcterms:W3CDTF">2025-10-15T06:43:12Z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DD6CA3FC293E43FDBAB428080B5426A7_13</vt:lpwstr>
  </property>
  <property fmtid="{D5CDD505-2E9C-101B-9397-08002B2CF9AE}" pid="4" name="KSOTemplateDocerSaveRecord">
    <vt:lpwstr>eyJoZGlkIjoiZDU4MDczMzcyYmJkMTU0Yzk3Y2Q1OWEyNGVlYzBmODAiLCJ1c2VySWQiOiI2NTgwMDU1NDYifQ==</vt:lpwstr>
  </property>
</Properties>
</file>