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942455" w14:textId="77777777" w:rsidR="00493EB4" w:rsidRDefault="00795F6A">
      <w:pPr>
        <w:spacing w:line="600"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团体标准《桉树人工林薇甘菊防治技术规程》</w:t>
      </w:r>
    </w:p>
    <w:p w14:paraId="6C7BF39F" w14:textId="77777777" w:rsidR="00493EB4" w:rsidRDefault="00795F6A">
      <w:pPr>
        <w:spacing w:line="600" w:lineRule="exact"/>
        <w:jc w:val="center"/>
        <w:rPr>
          <w:rFonts w:ascii="方正小标宋_GBK" w:eastAsia="方正小标宋_GBK" w:hAnsi="方正小标宋_GBK" w:cs="方正小标宋_GBK"/>
          <w:sz w:val="36"/>
          <w:szCs w:val="36"/>
        </w:rPr>
      </w:pPr>
      <w:r>
        <w:rPr>
          <w:rFonts w:ascii="方正小标宋_GBK" w:eastAsia="方正小标宋_GBK" w:hAnsi="方正小标宋_GBK" w:cs="方正小标宋_GBK" w:hint="eastAsia"/>
          <w:sz w:val="36"/>
          <w:szCs w:val="36"/>
        </w:rPr>
        <w:t>（征求意见稿）编制说明</w:t>
      </w:r>
    </w:p>
    <w:p w14:paraId="3AFEA090" w14:textId="77777777" w:rsidR="00493EB4" w:rsidRDefault="00493EB4">
      <w:pPr>
        <w:spacing w:line="560" w:lineRule="exact"/>
        <w:ind w:firstLineChars="200" w:firstLine="640"/>
        <w:rPr>
          <w:rFonts w:ascii="黑体" w:eastAsia="黑体" w:hAnsi="黑体" w:cs="黑体"/>
          <w:bCs/>
          <w:sz w:val="32"/>
          <w:szCs w:val="32"/>
        </w:rPr>
      </w:pPr>
    </w:p>
    <w:p w14:paraId="5AFD540C"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一、任务来源及起草单位</w:t>
      </w:r>
    </w:p>
    <w:p w14:paraId="461672E2"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根据广西标准化协会《关于下达</w:t>
      </w:r>
      <w:r>
        <w:rPr>
          <w:rFonts w:ascii="仿宋_GB2312" w:eastAsia="仿宋_GB2312" w:hAnsi="宋体" w:hint="eastAsia"/>
          <w:sz w:val="32"/>
          <w:szCs w:val="28"/>
          <w:lang w:val="zh-CN"/>
        </w:rPr>
        <w:t>202</w:t>
      </w:r>
      <w:r>
        <w:rPr>
          <w:rFonts w:ascii="仿宋_GB2312" w:eastAsia="仿宋_GB2312" w:hAnsi="宋体" w:hint="eastAsia"/>
          <w:sz w:val="32"/>
          <w:szCs w:val="28"/>
        </w:rPr>
        <w:t>4</w:t>
      </w:r>
      <w:r>
        <w:rPr>
          <w:rFonts w:ascii="仿宋_GB2312" w:eastAsia="仿宋_GB2312" w:hAnsi="宋体" w:hint="eastAsia"/>
          <w:sz w:val="32"/>
          <w:szCs w:val="28"/>
          <w:lang w:val="zh-CN"/>
        </w:rPr>
        <w:t>年第</w:t>
      </w:r>
      <w:r>
        <w:rPr>
          <w:rFonts w:ascii="仿宋_GB2312" w:eastAsia="仿宋_GB2312" w:hAnsi="宋体" w:hint="eastAsia"/>
          <w:sz w:val="32"/>
          <w:szCs w:val="28"/>
        </w:rPr>
        <w:t>三十一</w:t>
      </w:r>
      <w:r>
        <w:rPr>
          <w:rFonts w:ascii="仿宋_GB2312" w:eastAsia="仿宋_GB2312" w:hAnsi="宋体" w:hint="eastAsia"/>
          <w:sz w:val="32"/>
          <w:szCs w:val="28"/>
          <w:lang w:val="zh-CN"/>
        </w:rPr>
        <w:t>批团体标准制修订项目计划的通知》（</w:t>
      </w:r>
      <w:proofErr w:type="gramStart"/>
      <w:r>
        <w:rPr>
          <w:rFonts w:ascii="仿宋_GB2312" w:eastAsia="仿宋_GB2312" w:hAnsi="宋体" w:hint="eastAsia"/>
          <w:sz w:val="32"/>
          <w:szCs w:val="28"/>
          <w:lang w:val="zh-CN"/>
        </w:rPr>
        <w:t>桂标协</w:t>
      </w:r>
      <w:r>
        <w:rPr>
          <w:rFonts w:ascii="仿宋_GB2312" w:eastAsia="仿宋_GB2312" w:hAnsi="微软雅黑" w:cs="微软雅黑" w:hint="eastAsia"/>
          <w:sz w:val="32"/>
          <w:szCs w:val="28"/>
          <w:lang w:val="zh-CN"/>
        </w:rPr>
        <w:t>〔</w:t>
      </w:r>
      <w:r>
        <w:rPr>
          <w:rFonts w:ascii="仿宋_GB2312" w:eastAsia="仿宋_GB2312" w:hAnsi="宋体" w:hint="eastAsia"/>
          <w:sz w:val="32"/>
          <w:szCs w:val="28"/>
          <w:lang w:val="zh-CN"/>
        </w:rPr>
        <w:t>202</w:t>
      </w:r>
      <w:r>
        <w:rPr>
          <w:rFonts w:ascii="仿宋_GB2312" w:eastAsia="仿宋_GB2312" w:hAnsi="宋体" w:hint="eastAsia"/>
          <w:sz w:val="32"/>
          <w:szCs w:val="28"/>
        </w:rPr>
        <w:t>4</w:t>
      </w:r>
      <w:r>
        <w:rPr>
          <w:rFonts w:ascii="仿宋_GB2312" w:eastAsia="仿宋_GB2312" w:hAnsi="微软雅黑" w:cs="微软雅黑" w:hint="eastAsia"/>
          <w:sz w:val="32"/>
          <w:szCs w:val="28"/>
          <w:lang w:val="zh-CN"/>
        </w:rPr>
        <w:t>〕</w:t>
      </w:r>
      <w:proofErr w:type="gramEnd"/>
      <w:r>
        <w:rPr>
          <w:rFonts w:ascii="仿宋_GB2312" w:eastAsia="仿宋_GB2312" w:hAnsi="宋体" w:hint="eastAsia"/>
          <w:sz w:val="32"/>
          <w:szCs w:val="28"/>
        </w:rPr>
        <w:t>235</w:t>
      </w:r>
      <w:r>
        <w:rPr>
          <w:rFonts w:ascii="仿宋_GB2312" w:eastAsia="仿宋_GB2312" w:hAnsi="宋体" w:hint="eastAsia"/>
          <w:sz w:val="32"/>
          <w:szCs w:val="28"/>
          <w:lang w:val="zh-CN"/>
        </w:rPr>
        <w:t>号）文件，</w:t>
      </w:r>
      <w:r>
        <w:rPr>
          <w:rFonts w:ascii="仿宋_GB2312" w:eastAsia="仿宋_GB2312" w:hAnsi="宋体" w:hint="eastAsia"/>
          <w:sz w:val="32"/>
          <w:szCs w:val="28"/>
        </w:rPr>
        <w:t>经广西林学会</w:t>
      </w:r>
      <w:r>
        <w:rPr>
          <w:rFonts w:ascii="仿宋_GB2312" w:eastAsia="仿宋_GB2312" w:hAnsi="宋体" w:hint="eastAsia"/>
          <w:sz w:val="32"/>
          <w:szCs w:val="28"/>
          <w:lang w:val="zh-CN"/>
        </w:rPr>
        <w:t>提出，由广西壮族自治区国有博白林场</w:t>
      </w:r>
      <w:r>
        <w:rPr>
          <w:rFonts w:ascii="仿宋_GB2312" w:eastAsia="仿宋_GB2312" w:hAnsi="宋体" w:hint="eastAsia"/>
          <w:sz w:val="32"/>
          <w:szCs w:val="28"/>
        </w:rPr>
        <w:t>牵头、广西大学、广西壮族自治区林业科学研究院、广西新方向现代农业发展有限公司、</w:t>
      </w:r>
      <w:proofErr w:type="gramStart"/>
      <w:r>
        <w:rPr>
          <w:rFonts w:ascii="仿宋_GB2312" w:eastAsia="仿宋_GB2312" w:hAnsi="宋体" w:hint="eastAsia"/>
          <w:sz w:val="32"/>
          <w:szCs w:val="28"/>
        </w:rPr>
        <w:t>广西科虹有害生物</w:t>
      </w:r>
      <w:proofErr w:type="gramEnd"/>
      <w:r>
        <w:rPr>
          <w:rFonts w:ascii="仿宋_GB2312" w:eastAsia="仿宋_GB2312" w:hAnsi="宋体" w:hint="eastAsia"/>
          <w:sz w:val="32"/>
          <w:szCs w:val="28"/>
        </w:rPr>
        <w:t>防治有限公司</w:t>
      </w:r>
      <w:r>
        <w:rPr>
          <w:rFonts w:ascii="仿宋_GB2312" w:eastAsia="仿宋_GB2312" w:hAnsi="宋体" w:hint="eastAsia"/>
          <w:sz w:val="32"/>
          <w:szCs w:val="28"/>
          <w:lang w:val="zh-CN"/>
        </w:rPr>
        <w:t>共同起草了团体标准《桉树人工林薇甘菊防治技术规程》</w:t>
      </w:r>
      <w:r>
        <w:rPr>
          <w:rFonts w:ascii="仿宋_GB2312" w:eastAsia="仿宋_GB2312" w:hAnsi="宋体" w:hint="eastAsia"/>
          <w:sz w:val="32"/>
          <w:szCs w:val="28"/>
          <w:lang w:val="zh-CN"/>
        </w:rPr>
        <w:t>(</w:t>
      </w:r>
      <w:r>
        <w:rPr>
          <w:rFonts w:ascii="仿宋_GB2312" w:eastAsia="仿宋_GB2312" w:hAnsi="宋体" w:hint="eastAsia"/>
          <w:sz w:val="32"/>
          <w:szCs w:val="28"/>
          <w:lang w:val="zh-CN"/>
        </w:rPr>
        <w:t>项目编号：</w:t>
      </w:r>
      <w:r>
        <w:rPr>
          <w:rFonts w:ascii="仿宋_GB2312" w:eastAsia="仿宋_GB2312" w:hAnsi="宋体" w:hint="eastAsia"/>
          <w:sz w:val="32"/>
          <w:szCs w:val="28"/>
          <w:lang w:val="zh-CN"/>
        </w:rPr>
        <w:t>202</w:t>
      </w:r>
      <w:r>
        <w:rPr>
          <w:rFonts w:ascii="仿宋_GB2312" w:eastAsia="仿宋_GB2312" w:hAnsi="宋体" w:hint="eastAsia"/>
          <w:sz w:val="32"/>
          <w:szCs w:val="28"/>
        </w:rPr>
        <w:t>4</w:t>
      </w:r>
      <w:r>
        <w:rPr>
          <w:rFonts w:ascii="仿宋_GB2312" w:eastAsia="仿宋_GB2312" w:hAnsi="宋体" w:hint="eastAsia"/>
          <w:sz w:val="32"/>
          <w:szCs w:val="28"/>
          <w:lang w:val="zh-CN"/>
        </w:rPr>
        <w:t>-</w:t>
      </w:r>
      <w:r>
        <w:rPr>
          <w:rFonts w:ascii="仿宋_GB2312" w:eastAsia="仿宋_GB2312" w:hAnsi="宋体" w:hint="eastAsia"/>
          <w:sz w:val="32"/>
          <w:szCs w:val="28"/>
        </w:rPr>
        <w:t>3102</w:t>
      </w:r>
      <w:r>
        <w:rPr>
          <w:rFonts w:ascii="仿宋_GB2312" w:eastAsia="仿宋_GB2312" w:hAnsi="宋体" w:hint="eastAsia"/>
          <w:sz w:val="32"/>
          <w:szCs w:val="28"/>
          <w:lang w:val="zh-CN"/>
        </w:rPr>
        <w:t>)</w:t>
      </w:r>
      <w:r>
        <w:rPr>
          <w:rFonts w:ascii="仿宋_GB2312" w:eastAsia="仿宋_GB2312" w:hAnsi="宋体" w:hint="eastAsia"/>
          <w:sz w:val="32"/>
          <w:szCs w:val="28"/>
          <w:lang w:val="zh-CN"/>
        </w:rPr>
        <w:t>。</w:t>
      </w:r>
    </w:p>
    <w:p w14:paraId="6005E17E"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二、制定标准的必要性和意义</w:t>
      </w:r>
    </w:p>
    <w:p w14:paraId="0C15014A"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随着我国林业产业的发展，桉树作为重要速生树种，在南方多个省份广泛种植，形成广袤的人工林种植区。然而，伴随着桉树人工林面积增长，外来入侵植物</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w:t>
      </w:r>
      <w:r>
        <w:rPr>
          <w:rFonts w:eastAsia="仿宋_GB2312"/>
          <w:i/>
          <w:sz w:val="32"/>
          <w:szCs w:val="28"/>
          <w:lang w:val="zh-CN"/>
        </w:rPr>
        <w:t xml:space="preserve">Mikania micrantha </w:t>
      </w:r>
      <w:r>
        <w:rPr>
          <w:rFonts w:eastAsia="仿宋_GB2312"/>
          <w:sz w:val="32"/>
          <w:szCs w:val="28"/>
          <w:lang w:val="zh-CN"/>
        </w:rPr>
        <w:t>Kunth</w:t>
      </w:r>
      <w:r>
        <w:rPr>
          <w:rFonts w:ascii="仿宋_GB2312" w:eastAsia="仿宋_GB2312" w:hAnsi="宋体" w:hint="eastAsia"/>
          <w:sz w:val="32"/>
          <w:szCs w:val="28"/>
          <w:lang w:val="zh-CN"/>
        </w:rPr>
        <w:t>）的扩散也给这些林地带来严重危害。</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是一种生长迅速、繁殖力强、适应性强的多年生藤本，能够覆盖其他植物，影响植物的正常生长，导致森林生物多样性减少和森林生态功能削弱，对农林业生产和自然生态系统造成严重威胁。因此，制定《桉树人工林薇甘菊防治技术规程》团体标准具有极其迫切的现实需求和长远的战略</w:t>
      </w:r>
      <w:proofErr w:type="gramStart"/>
      <w:r>
        <w:rPr>
          <w:rFonts w:ascii="仿宋_GB2312" w:eastAsia="仿宋_GB2312" w:hAnsi="宋体" w:hint="eastAsia"/>
          <w:sz w:val="32"/>
          <w:szCs w:val="28"/>
          <w:lang w:val="zh-CN"/>
        </w:rPr>
        <w:t>考量</w:t>
      </w:r>
      <w:proofErr w:type="gramEnd"/>
      <w:r>
        <w:rPr>
          <w:rFonts w:ascii="仿宋_GB2312" w:eastAsia="仿宋_GB2312" w:hAnsi="宋体" w:hint="eastAsia"/>
          <w:sz w:val="32"/>
          <w:szCs w:val="28"/>
          <w:lang w:val="zh-CN"/>
        </w:rPr>
        <w:t>。</w:t>
      </w:r>
    </w:p>
    <w:p w14:paraId="33FD1ABD"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从必要性来看，该标准</w:t>
      </w:r>
      <w:r>
        <w:rPr>
          <w:rFonts w:ascii="仿宋_GB2312" w:eastAsia="仿宋_GB2312" w:hAnsi="宋体" w:hint="eastAsia"/>
          <w:sz w:val="32"/>
          <w:szCs w:val="28"/>
          <w:lang w:val="zh-CN"/>
        </w:rPr>
        <w:t>的出台是应对</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甘菊危害、保护桉树人工林资源的重要举措。一方面，通过规范监测方法和技术，可以及时掌握</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甘菊的发生动态，为早期预警提供科学依据；另一方面，</w:t>
      </w:r>
      <w:r>
        <w:rPr>
          <w:rFonts w:ascii="仿宋_GB2312" w:eastAsia="仿宋_GB2312" w:hAnsi="宋体" w:hint="eastAsia"/>
          <w:sz w:val="32"/>
          <w:szCs w:val="28"/>
          <w:lang w:val="zh-CN"/>
        </w:rPr>
        <w:lastRenderedPageBreak/>
        <w:t>建立统一的防治技术体系，有助于提高防治工作的针对性和有效性，减少化学药剂的使用量，降低对环境的影响。此外，标准化工作还能促进不同地区之间信息交流和技术共享，推动形成区域联防联控机制，提升整体防控能力。这不仅有利于保障现有桉树人工林的安全稳定，而且对于维护区域生态平衡、实现可持续发展目标有着不可替代的作用。</w:t>
      </w:r>
    </w:p>
    <w:p w14:paraId="7E836AB8"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这项标准的意义深远而广泛。其一，它将填补国内在此领域的</w:t>
      </w:r>
      <w:r>
        <w:rPr>
          <w:rFonts w:ascii="仿宋_GB2312" w:eastAsia="仿宋_GB2312" w:hAnsi="宋体" w:hint="eastAsia"/>
          <w:sz w:val="32"/>
          <w:szCs w:val="28"/>
          <w:lang w:val="zh-CN"/>
        </w:rPr>
        <w:t>空白，为相关科研机构、管理部门以及一线工作人员提供权威指导文件，增强社会各界对</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防治工作的重视程度和支持力度。其二，标准的实施有助于引导企业和社会资本投入到防治技术和产品研发中来，培育新的经济增长点，同时带动就业机会增加。更重要的是，《桉树人工林薇甘菊防治技术规程》将成为连接理论研究与实际应用之间的桥梁，鼓励更多的科学家投身于这一领域，加速成果转化，为构建绿色屏障贡献力量。最终，该标准的推行不仅是解决当前问题的关键一步，也将为中国乃至全球范围</w:t>
      </w:r>
      <w:proofErr w:type="gramStart"/>
      <w:r>
        <w:rPr>
          <w:rFonts w:ascii="仿宋_GB2312" w:eastAsia="仿宋_GB2312" w:hAnsi="宋体" w:hint="eastAsia"/>
          <w:sz w:val="32"/>
          <w:szCs w:val="28"/>
          <w:lang w:val="zh-CN"/>
        </w:rPr>
        <w:t>内类似</w:t>
      </w:r>
      <w:proofErr w:type="gramEnd"/>
      <w:r>
        <w:rPr>
          <w:rFonts w:ascii="仿宋_GB2312" w:eastAsia="仿宋_GB2312" w:hAnsi="宋体" w:hint="eastAsia"/>
          <w:sz w:val="32"/>
          <w:szCs w:val="28"/>
          <w:lang w:val="zh-CN"/>
        </w:rPr>
        <w:t>生态环境问题的治理提供宝贵经验。</w:t>
      </w:r>
    </w:p>
    <w:p w14:paraId="10E98705"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三、主要起草过程</w:t>
      </w:r>
    </w:p>
    <w:p w14:paraId="1947BA78"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（一）成立标准编制工作组</w:t>
      </w:r>
    </w:p>
    <w:p w14:paraId="3936F7F9"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团体标准《桉树人工林薇甘菊防治技术规程》项目编制任务下达后，广西壮族自治区国有博白林场</w:t>
      </w:r>
      <w:r>
        <w:rPr>
          <w:rFonts w:ascii="仿宋_GB2312" w:eastAsia="仿宋_GB2312" w:hAnsi="宋体" w:hint="eastAsia"/>
          <w:sz w:val="32"/>
          <w:szCs w:val="28"/>
        </w:rPr>
        <w:t>于</w:t>
      </w:r>
      <w:r>
        <w:rPr>
          <w:rFonts w:ascii="仿宋_GB2312" w:eastAsia="仿宋_GB2312" w:hAnsi="宋体" w:hint="eastAsia"/>
          <w:sz w:val="32"/>
          <w:szCs w:val="28"/>
        </w:rPr>
        <w:t>2024</w:t>
      </w:r>
      <w:r>
        <w:rPr>
          <w:rFonts w:ascii="仿宋_GB2312" w:eastAsia="仿宋_GB2312" w:hAnsi="宋体" w:hint="eastAsia"/>
          <w:sz w:val="32"/>
          <w:szCs w:val="28"/>
        </w:rPr>
        <w:t>年</w:t>
      </w:r>
      <w:r>
        <w:rPr>
          <w:rFonts w:ascii="仿宋_GB2312" w:eastAsia="仿宋_GB2312" w:hAnsi="宋体" w:hint="eastAsia"/>
          <w:sz w:val="32"/>
          <w:szCs w:val="28"/>
        </w:rPr>
        <w:t>6</w:t>
      </w:r>
      <w:r>
        <w:rPr>
          <w:rFonts w:ascii="仿宋_GB2312" w:eastAsia="仿宋_GB2312" w:hAnsi="宋体" w:hint="eastAsia"/>
          <w:sz w:val="32"/>
          <w:szCs w:val="28"/>
        </w:rPr>
        <w:t>月</w:t>
      </w:r>
      <w:r>
        <w:rPr>
          <w:rFonts w:ascii="仿宋_GB2312" w:eastAsia="仿宋_GB2312" w:hAnsi="宋体" w:hint="eastAsia"/>
          <w:sz w:val="32"/>
          <w:szCs w:val="28"/>
          <w:lang w:val="zh-CN"/>
        </w:rPr>
        <w:t>成立了该标准编制工作组，由广西壮族自治区国有博白林场</w:t>
      </w:r>
      <w:r>
        <w:rPr>
          <w:rFonts w:ascii="仿宋_GB2312" w:eastAsia="仿宋_GB2312" w:hAnsi="宋体" w:hint="eastAsia"/>
          <w:sz w:val="32"/>
          <w:szCs w:val="28"/>
        </w:rPr>
        <w:t>场长</w:t>
      </w:r>
      <w:r>
        <w:rPr>
          <w:rFonts w:ascii="仿宋_GB2312" w:eastAsia="仿宋_GB2312" w:hAnsi="宋体" w:hint="eastAsia"/>
          <w:sz w:val="32"/>
          <w:szCs w:val="28"/>
          <w:lang w:val="zh-CN"/>
        </w:rPr>
        <w:t>、</w:t>
      </w:r>
      <w:r>
        <w:rPr>
          <w:rFonts w:ascii="仿宋_GB2312" w:eastAsia="仿宋_GB2312" w:hAnsi="宋体" w:hint="eastAsia"/>
          <w:sz w:val="32"/>
          <w:szCs w:val="28"/>
        </w:rPr>
        <w:t>高级工程师罗敦</w:t>
      </w:r>
      <w:r>
        <w:rPr>
          <w:rFonts w:ascii="仿宋_GB2312" w:eastAsia="仿宋_GB2312" w:hAnsi="宋体" w:hint="eastAsia"/>
          <w:sz w:val="32"/>
          <w:szCs w:val="28"/>
          <w:lang w:val="zh-CN"/>
        </w:rPr>
        <w:t>牵头领导，</w:t>
      </w:r>
      <w:r>
        <w:rPr>
          <w:rFonts w:ascii="仿宋_GB2312" w:eastAsia="仿宋_GB2312" w:hAnsi="宋体" w:hint="eastAsia"/>
          <w:sz w:val="32"/>
          <w:szCs w:val="28"/>
        </w:rPr>
        <w:t>胡平副</w:t>
      </w:r>
      <w:r>
        <w:rPr>
          <w:rFonts w:ascii="仿宋_GB2312" w:eastAsia="仿宋_GB2312" w:hAnsi="宋体" w:hint="eastAsia"/>
          <w:sz w:val="32"/>
          <w:szCs w:val="28"/>
          <w:lang w:val="zh-CN"/>
        </w:rPr>
        <w:t>教授主笔，</w:t>
      </w:r>
      <w:r>
        <w:rPr>
          <w:rFonts w:ascii="仿宋_GB2312" w:eastAsia="仿宋_GB2312" w:hAnsi="宋体" w:hint="eastAsia"/>
          <w:sz w:val="32"/>
          <w:szCs w:val="28"/>
        </w:rPr>
        <w:t>钟铭隆、梁</w:t>
      </w:r>
      <w:r>
        <w:rPr>
          <w:rFonts w:ascii="仿宋_GB2312" w:eastAsia="仿宋_GB2312" w:hAnsi="宋体" w:hint="eastAsia"/>
          <w:sz w:val="32"/>
          <w:szCs w:val="28"/>
        </w:rPr>
        <w:t xml:space="preserve">  </w:t>
      </w:r>
      <w:r>
        <w:rPr>
          <w:rFonts w:ascii="仿宋_GB2312" w:eastAsia="仿宋_GB2312" w:hAnsi="宋体" w:hint="eastAsia"/>
          <w:sz w:val="32"/>
          <w:szCs w:val="28"/>
        </w:rPr>
        <w:t>晨、罗</w:t>
      </w:r>
      <w:r>
        <w:rPr>
          <w:rFonts w:ascii="仿宋_GB2312" w:eastAsia="仿宋_GB2312" w:hAnsi="宋体" w:hint="eastAsia"/>
          <w:sz w:val="32"/>
          <w:szCs w:val="28"/>
        </w:rPr>
        <w:t xml:space="preserve">  </w:t>
      </w:r>
      <w:r>
        <w:rPr>
          <w:rFonts w:ascii="仿宋_GB2312" w:eastAsia="仿宋_GB2312" w:hAnsi="宋体" w:hint="eastAsia"/>
          <w:sz w:val="32"/>
          <w:szCs w:val="28"/>
        </w:rPr>
        <w:t>辑、霍</w:t>
      </w:r>
      <w:r>
        <w:rPr>
          <w:rFonts w:ascii="仿宋_GB2312" w:eastAsia="仿宋_GB2312" w:hAnsi="宋体" w:hint="eastAsia"/>
          <w:sz w:val="32"/>
          <w:szCs w:val="28"/>
        </w:rPr>
        <w:t xml:space="preserve">  </w:t>
      </w:r>
      <w:r>
        <w:rPr>
          <w:rFonts w:ascii="仿宋_GB2312" w:eastAsia="仿宋_GB2312" w:hAnsi="宋体" w:hint="eastAsia"/>
          <w:sz w:val="32"/>
          <w:szCs w:val="28"/>
        </w:rPr>
        <w:t>洁、刘德杰、陈振生、罗丽娇、</w:t>
      </w:r>
      <w:proofErr w:type="gramStart"/>
      <w:r>
        <w:rPr>
          <w:rFonts w:ascii="仿宋_GB2312" w:eastAsia="仿宋_GB2312" w:hAnsi="宋体" w:hint="eastAsia"/>
          <w:sz w:val="32"/>
          <w:szCs w:val="28"/>
        </w:rPr>
        <w:t>袁</w:t>
      </w:r>
      <w:proofErr w:type="gramEnd"/>
      <w:r>
        <w:rPr>
          <w:rFonts w:ascii="仿宋_GB2312" w:eastAsia="仿宋_GB2312" w:hAnsi="宋体" w:hint="eastAsia"/>
          <w:sz w:val="32"/>
          <w:szCs w:val="28"/>
        </w:rPr>
        <w:t xml:space="preserve">  </w:t>
      </w:r>
      <w:r>
        <w:rPr>
          <w:rFonts w:ascii="仿宋_GB2312" w:eastAsia="仿宋_GB2312" w:hAnsi="宋体" w:hint="eastAsia"/>
          <w:sz w:val="32"/>
          <w:szCs w:val="28"/>
        </w:rPr>
        <w:t>平、莫勤秋、莫奇锦、赵鹏飞、卜</w:t>
      </w:r>
      <w:r>
        <w:rPr>
          <w:rFonts w:ascii="仿宋_GB2312" w:eastAsia="仿宋_GB2312" w:hAnsi="宋体" w:hint="eastAsia"/>
          <w:sz w:val="32"/>
          <w:szCs w:val="28"/>
        </w:rPr>
        <w:lastRenderedPageBreak/>
        <w:t>永春、陆素君、王书婷、邹东霞、张森哲、钟先龙、张洪嘉、林</w:t>
      </w:r>
      <w:r>
        <w:rPr>
          <w:rFonts w:ascii="仿宋_GB2312" w:eastAsia="仿宋_GB2312" w:hAnsi="宋体" w:hint="eastAsia"/>
          <w:sz w:val="32"/>
          <w:szCs w:val="28"/>
        </w:rPr>
        <w:t xml:space="preserve">  </w:t>
      </w:r>
      <w:r>
        <w:rPr>
          <w:rFonts w:ascii="仿宋_GB2312" w:eastAsia="仿宋_GB2312" w:hAnsi="宋体" w:hint="eastAsia"/>
          <w:sz w:val="32"/>
          <w:szCs w:val="28"/>
        </w:rPr>
        <w:t>杰、韦</w:t>
      </w:r>
      <w:r>
        <w:rPr>
          <w:rFonts w:ascii="仿宋_GB2312" w:eastAsia="仿宋_GB2312" w:hAnsi="宋体" w:hint="eastAsia"/>
          <w:sz w:val="32"/>
          <w:szCs w:val="28"/>
        </w:rPr>
        <w:t xml:space="preserve">  </w:t>
      </w:r>
      <w:r>
        <w:rPr>
          <w:rFonts w:ascii="仿宋_GB2312" w:eastAsia="仿宋_GB2312" w:hAnsi="宋体" w:hint="eastAsia"/>
          <w:sz w:val="32"/>
          <w:szCs w:val="28"/>
        </w:rPr>
        <w:t>宁、罗志刚、</w:t>
      </w:r>
      <w:proofErr w:type="gramStart"/>
      <w:r>
        <w:rPr>
          <w:rFonts w:ascii="仿宋_GB2312" w:eastAsia="仿宋_GB2312" w:hAnsi="宋体" w:hint="eastAsia"/>
          <w:sz w:val="32"/>
          <w:szCs w:val="28"/>
        </w:rPr>
        <w:t>马兰华</w:t>
      </w:r>
      <w:proofErr w:type="gramEnd"/>
      <w:r>
        <w:rPr>
          <w:rFonts w:ascii="仿宋_GB2312" w:eastAsia="仿宋_GB2312" w:hAnsi="宋体" w:hint="eastAsia"/>
          <w:sz w:val="32"/>
          <w:szCs w:val="28"/>
          <w:lang w:val="zh-CN"/>
        </w:rPr>
        <w:t>等同志共同参与标准编制组织管理与起草</w:t>
      </w:r>
      <w:r>
        <w:rPr>
          <w:rFonts w:ascii="仿宋_GB2312" w:eastAsia="仿宋_GB2312" w:hAnsi="宋体" w:hint="eastAsia"/>
          <w:sz w:val="32"/>
          <w:szCs w:val="28"/>
        </w:rPr>
        <w:t>工作</w:t>
      </w:r>
      <w:r>
        <w:rPr>
          <w:rFonts w:ascii="仿宋_GB2312" w:eastAsia="仿宋_GB2312" w:hAnsi="宋体" w:hint="eastAsia"/>
          <w:sz w:val="32"/>
          <w:szCs w:val="28"/>
          <w:lang w:val="zh-CN"/>
        </w:rPr>
        <w:t>，明确职责，落实任务，制定了标准编写方案，确定工作技术路线，</w:t>
      </w:r>
      <w:r>
        <w:rPr>
          <w:rFonts w:ascii="仿宋_GB2312" w:eastAsia="仿宋_GB2312" w:hAnsi="宋体" w:hint="eastAsia"/>
          <w:sz w:val="32"/>
          <w:szCs w:val="28"/>
          <w:lang w:val="zh-CN"/>
        </w:rPr>
        <w:t>对项目工作进度进行了具体安排，开展标准编制与完善工作。</w:t>
      </w:r>
    </w:p>
    <w:p w14:paraId="1543F750"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（二）收集整理文献资料</w:t>
      </w:r>
    </w:p>
    <w:p w14:paraId="28AF08F5" w14:textId="77777777" w:rsidR="00493EB4" w:rsidRDefault="00795F6A">
      <w:pPr>
        <w:spacing w:line="58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标准编制工作组调研收集了国内有关林业</w:t>
      </w:r>
      <w:r>
        <w:rPr>
          <w:rFonts w:ascii="仿宋_GB2312" w:eastAsia="仿宋_GB2312" w:hAnsi="宋体" w:hint="eastAsia"/>
          <w:sz w:val="32"/>
          <w:szCs w:val="32"/>
        </w:rPr>
        <w:t>入侵植物</w:t>
      </w:r>
      <w:r>
        <w:rPr>
          <w:rFonts w:ascii="仿宋_GB2312" w:eastAsia="仿宋_GB2312" w:hAnsi="宋体" w:hint="eastAsia"/>
          <w:sz w:val="32"/>
          <w:szCs w:val="32"/>
          <w:lang w:val="zh-CN"/>
        </w:rPr>
        <w:t>防治相关文献资料。具体列出如下：</w:t>
      </w:r>
    </w:p>
    <w:p w14:paraId="05C95547" w14:textId="77777777" w:rsidR="00493EB4" w:rsidRDefault="00795F6A">
      <w:pPr>
        <w:spacing w:line="58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《中华人民共和国森林法》（</w:t>
      </w:r>
      <w:r>
        <w:rPr>
          <w:rFonts w:ascii="仿宋_GB2312" w:eastAsia="仿宋_GB2312" w:hAnsi="宋体" w:hint="eastAsia"/>
          <w:sz w:val="32"/>
          <w:szCs w:val="32"/>
          <w:lang w:val="zh-CN"/>
        </w:rPr>
        <w:t>2019</w:t>
      </w:r>
      <w:r>
        <w:rPr>
          <w:rFonts w:ascii="仿宋_GB2312" w:eastAsia="仿宋_GB2312" w:hAnsi="宋体" w:hint="eastAsia"/>
          <w:sz w:val="32"/>
          <w:szCs w:val="32"/>
          <w:lang w:val="zh-CN"/>
        </w:rPr>
        <w:t>年修订）</w:t>
      </w:r>
    </w:p>
    <w:p w14:paraId="3823DA96" w14:textId="77777777" w:rsidR="00493EB4" w:rsidRDefault="00795F6A">
      <w:pPr>
        <w:spacing w:line="58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植物检疫条例</w:t>
      </w:r>
      <w:r>
        <w:rPr>
          <w:rFonts w:ascii="仿宋_GB2312" w:eastAsia="仿宋_GB2312" w:hAnsi="宋体" w:hint="eastAsia"/>
          <w:sz w:val="32"/>
          <w:szCs w:val="32"/>
          <w:lang w:val="zh-CN"/>
        </w:rPr>
        <w:t xml:space="preserve"> (2017</w:t>
      </w:r>
      <w:r>
        <w:rPr>
          <w:rFonts w:ascii="仿宋_GB2312" w:eastAsia="仿宋_GB2312" w:hAnsi="宋体" w:hint="eastAsia"/>
          <w:sz w:val="32"/>
          <w:szCs w:val="32"/>
          <w:lang w:val="zh-CN"/>
        </w:rPr>
        <w:t>年</w:t>
      </w:r>
      <w:r>
        <w:rPr>
          <w:rFonts w:ascii="仿宋_GB2312" w:eastAsia="仿宋_GB2312" w:hAnsi="宋体" w:hint="eastAsia"/>
          <w:sz w:val="32"/>
          <w:szCs w:val="32"/>
          <w:lang w:val="zh-CN"/>
        </w:rPr>
        <w:t>10</w:t>
      </w:r>
      <w:r>
        <w:rPr>
          <w:rFonts w:ascii="仿宋_GB2312" w:eastAsia="仿宋_GB2312" w:hAnsi="宋体" w:hint="eastAsia"/>
          <w:sz w:val="32"/>
          <w:szCs w:val="32"/>
          <w:lang w:val="zh-CN"/>
        </w:rPr>
        <w:t>月</w:t>
      </w:r>
      <w:r>
        <w:rPr>
          <w:rFonts w:ascii="仿宋_GB2312" w:eastAsia="仿宋_GB2312" w:hAnsi="宋体" w:hint="eastAsia"/>
          <w:sz w:val="32"/>
          <w:szCs w:val="32"/>
          <w:lang w:val="zh-CN"/>
        </w:rPr>
        <w:t>7</w:t>
      </w:r>
      <w:r>
        <w:rPr>
          <w:rFonts w:ascii="仿宋_GB2312" w:eastAsia="仿宋_GB2312" w:hAnsi="宋体" w:hint="eastAsia"/>
          <w:sz w:val="32"/>
          <w:szCs w:val="32"/>
          <w:lang w:val="zh-CN"/>
        </w:rPr>
        <w:t>日修正版</w:t>
      </w:r>
      <w:r>
        <w:rPr>
          <w:rFonts w:ascii="仿宋_GB2312" w:eastAsia="仿宋_GB2312" w:hAnsi="宋体" w:hint="eastAsia"/>
          <w:sz w:val="32"/>
          <w:szCs w:val="32"/>
          <w:lang w:val="zh-CN"/>
        </w:rPr>
        <w:t>)</w:t>
      </w:r>
      <w:r>
        <w:rPr>
          <w:rFonts w:ascii="仿宋_GB2312" w:eastAsia="仿宋_GB2312" w:hAnsi="宋体"/>
          <w:sz w:val="32"/>
          <w:szCs w:val="32"/>
          <w:lang w:val="zh-CN"/>
        </w:rPr>
        <w:t xml:space="preserve"> </w:t>
      </w:r>
    </w:p>
    <w:p w14:paraId="2058FB22" w14:textId="77777777" w:rsidR="00493EB4" w:rsidRDefault="00795F6A">
      <w:pPr>
        <w:spacing w:line="58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《外来入侵植物对自然保护区植物多样性影响评估技术导则》（生态环境部）</w:t>
      </w:r>
    </w:p>
    <w:p w14:paraId="2005EFF2" w14:textId="77777777" w:rsidR="00493EB4" w:rsidRDefault="00795F6A">
      <w:pPr>
        <w:spacing w:line="580" w:lineRule="exact"/>
        <w:ind w:firstLineChars="200" w:firstLine="640"/>
        <w:rPr>
          <w:rFonts w:ascii="仿宋_GB2312" w:eastAsia="仿宋_GB2312" w:hAnsi="宋体"/>
          <w:sz w:val="32"/>
          <w:szCs w:val="32"/>
          <w:lang w:val="zh-CN"/>
        </w:rPr>
      </w:pPr>
      <w:r>
        <w:rPr>
          <w:rFonts w:ascii="仿宋_GB2312" w:eastAsia="仿宋_GB2312" w:hAnsi="宋体" w:hint="eastAsia"/>
          <w:sz w:val="32"/>
          <w:szCs w:val="32"/>
          <w:lang w:val="zh-CN"/>
        </w:rPr>
        <w:t>中</w:t>
      </w:r>
      <w:proofErr w:type="gramStart"/>
      <w:r>
        <w:rPr>
          <w:rFonts w:ascii="仿宋_GB2312" w:eastAsia="仿宋_GB2312" w:hAnsi="宋体" w:hint="eastAsia"/>
          <w:sz w:val="32"/>
          <w:szCs w:val="32"/>
          <w:lang w:val="zh-CN"/>
        </w:rPr>
        <w:t>印专家</w:t>
      </w:r>
      <w:proofErr w:type="gramEnd"/>
      <w:r>
        <w:rPr>
          <w:rFonts w:ascii="仿宋_GB2312" w:eastAsia="仿宋_GB2312" w:hAnsi="宋体" w:hint="eastAsia"/>
          <w:sz w:val="32"/>
          <w:szCs w:val="32"/>
          <w:lang w:val="zh-CN"/>
        </w:rPr>
        <w:t>联手探讨解决</w:t>
      </w:r>
      <w:proofErr w:type="gramStart"/>
      <w:r>
        <w:rPr>
          <w:rFonts w:ascii="仿宋_GB2312" w:eastAsia="仿宋_GB2312" w:hAnsi="宋体" w:hint="eastAsia"/>
          <w:sz w:val="32"/>
          <w:szCs w:val="32"/>
          <w:lang w:val="zh-CN"/>
        </w:rPr>
        <w:t>薇</w:t>
      </w:r>
      <w:proofErr w:type="gramEnd"/>
      <w:r>
        <w:rPr>
          <w:rFonts w:ascii="仿宋_GB2312" w:eastAsia="仿宋_GB2312" w:hAnsi="宋体" w:hint="eastAsia"/>
          <w:sz w:val="32"/>
          <w:szCs w:val="32"/>
          <w:lang w:val="zh-CN"/>
        </w:rPr>
        <w:t>甘菊等植物入侵机制</w:t>
      </w:r>
      <w:r>
        <w:rPr>
          <w:rFonts w:ascii="仿宋_GB2312" w:eastAsia="仿宋_GB2312" w:hAnsi="宋体" w:hint="eastAsia"/>
          <w:sz w:val="32"/>
          <w:szCs w:val="32"/>
          <w:lang w:val="zh-CN"/>
        </w:rPr>
        <w:t>-</w:t>
      </w:r>
      <w:r>
        <w:rPr>
          <w:rFonts w:ascii="仿宋_GB2312" w:eastAsia="仿宋_GB2312" w:hAnsi="宋体" w:hint="eastAsia"/>
          <w:sz w:val="32"/>
          <w:szCs w:val="32"/>
          <w:lang w:val="zh-CN"/>
        </w:rPr>
        <w:t>深圳农业基因组研究所（</w:t>
      </w:r>
      <w:r>
        <w:rPr>
          <w:rFonts w:ascii="仿宋_GB2312" w:eastAsia="仿宋_GB2312" w:hAnsi="宋体" w:hint="eastAsia"/>
          <w:sz w:val="32"/>
          <w:szCs w:val="32"/>
          <w:lang w:val="zh-CN"/>
        </w:rPr>
        <w:t>2017</w:t>
      </w:r>
      <w:r>
        <w:rPr>
          <w:rFonts w:ascii="仿宋_GB2312" w:eastAsia="仿宋_GB2312" w:hAnsi="宋体" w:hint="eastAsia"/>
          <w:sz w:val="32"/>
          <w:szCs w:val="32"/>
          <w:lang w:val="zh-CN"/>
        </w:rPr>
        <w:t>年</w:t>
      </w:r>
      <w:r>
        <w:rPr>
          <w:rFonts w:ascii="仿宋_GB2312" w:eastAsia="仿宋_GB2312" w:hAnsi="宋体" w:hint="eastAsia"/>
          <w:sz w:val="32"/>
          <w:szCs w:val="32"/>
          <w:lang w:val="zh-CN"/>
        </w:rPr>
        <w:t>4</w:t>
      </w:r>
      <w:r>
        <w:rPr>
          <w:rFonts w:ascii="仿宋_GB2312" w:eastAsia="仿宋_GB2312" w:hAnsi="宋体" w:hint="eastAsia"/>
          <w:sz w:val="32"/>
          <w:szCs w:val="32"/>
          <w:lang w:val="zh-CN"/>
        </w:rPr>
        <w:t>月</w:t>
      </w:r>
      <w:r>
        <w:rPr>
          <w:rFonts w:ascii="仿宋_GB2312" w:eastAsia="仿宋_GB2312" w:hAnsi="宋体" w:hint="eastAsia"/>
          <w:sz w:val="32"/>
          <w:szCs w:val="32"/>
          <w:lang w:val="zh-CN"/>
        </w:rPr>
        <w:t>6</w:t>
      </w:r>
      <w:r>
        <w:rPr>
          <w:rFonts w:ascii="仿宋_GB2312" w:eastAsia="仿宋_GB2312" w:hAnsi="宋体" w:hint="eastAsia"/>
          <w:sz w:val="32"/>
          <w:szCs w:val="32"/>
          <w:lang w:val="zh-CN"/>
        </w:rPr>
        <w:t>日</w:t>
      </w:r>
      <w:r>
        <w:rPr>
          <w:rFonts w:ascii="仿宋_GB2312" w:eastAsia="仿宋_GB2312" w:hAnsi="宋体" w:hint="eastAsia"/>
          <w:sz w:val="32"/>
          <w:szCs w:val="32"/>
        </w:rPr>
        <w:t>国际合作会议</w:t>
      </w:r>
      <w:r>
        <w:rPr>
          <w:rFonts w:ascii="仿宋_GB2312" w:eastAsia="仿宋_GB2312" w:hAnsi="宋体" w:hint="eastAsia"/>
          <w:sz w:val="32"/>
          <w:szCs w:val="32"/>
          <w:lang w:val="zh-CN"/>
        </w:rPr>
        <w:t>）</w:t>
      </w:r>
    </w:p>
    <w:p w14:paraId="142BFDFD" w14:textId="77777777" w:rsidR="00493EB4" w:rsidRDefault="00795F6A">
      <w:pPr>
        <w:spacing w:line="58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 xml:space="preserve">LY/T 2422-2015 </w:t>
      </w:r>
      <w:r>
        <w:rPr>
          <w:rFonts w:ascii="仿宋_GB2312" w:eastAsia="仿宋_GB2312" w:hAnsi="宋体"/>
          <w:color w:val="FF0000"/>
          <w:sz w:val="32"/>
          <w:szCs w:val="32"/>
        </w:rPr>
        <w:t xml:space="preserve"> </w:t>
      </w:r>
      <w:proofErr w:type="gramStart"/>
      <w:r>
        <w:rPr>
          <w:rFonts w:ascii="仿宋_GB2312" w:eastAsia="仿宋_GB2312" w:hAnsi="宋体" w:hint="eastAsia"/>
          <w:color w:val="FF0000"/>
          <w:sz w:val="32"/>
          <w:szCs w:val="32"/>
        </w:rPr>
        <w:t>薇</w:t>
      </w:r>
      <w:proofErr w:type="gramEnd"/>
      <w:r>
        <w:rPr>
          <w:rFonts w:ascii="仿宋_GB2312" w:eastAsia="仿宋_GB2312" w:hAnsi="宋体" w:hint="eastAsia"/>
          <w:color w:val="FF0000"/>
          <w:sz w:val="32"/>
          <w:szCs w:val="32"/>
        </w:rPr>
        <w:t>甘菊防治技术规程</w:t>
      </w:r>
    </w:p>
    <w:p w14:paraId="5EAA497F" w14:textId="77777777" w:rsidR="00493EB4" w:rsidRDefault="00795F6A">
      <w:pPr>
        <w:spacing w:line="58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 xml:space="preserve">NY/T 1865-2010 </w:t>
      </w:r>
      <w:r>
        <w:rPr>
          <w:rFonts w:ascii="仿宋_GB2312" w:eastAsia="仿宋_GB2312" w:hAnsi="宋体" w:hint="eastAsia"/>
          <w:color w:val="FF0000"/>
          <w:sz w:val="32"/>
          <w:szCs w:val="32"/>
        </w:rPr>
        <w:t>外来入侵植物监测技术规程</w:t>
      </w:r>
      <w:r>
        <w:rPr>
          <w:rFonts w:ascii="仿宋_GB2312" w:eastAsia="仿宋_GB2312" w:hAnsi="宋体" w:hint="eastAsia"/>
          <w:color w:val="FF0000"/>
          <w:sz w:val="32"/>
          <w:szCs w:val="32"/>
        </w:rPr>
        <w:t xml:space="preserve"> </w:t>
      </w:r>
      <w:proofErr w:type="gramStart"/>
      <w:r>
        <w:rPr>
          <w:rFonts w:ascii="仿宋_GB2312" w:eastAsia="仿宋_GB2312" w:hAnsi="宋体" w:hint="eastAsia"/>
          <w:color w:val="FF0000"/>
          <w:sz w:val="32"/>
          <w:szCs w:val="32"/>
        </w:rPr>
        <w:t>薇</w:t>
      </w:r>
      <w:proofErr w:type="gramEnd"/>
      <w:r>
        <w:rPr>
          <w:rFonts w:ascii="仿宋_GB2312" w:eastAsia="仿宋_GB2312" w:hAnsi="宋体" w:hint="eastAsia"/>
          <w:color w:val="FF0000"/>
          <w:sz w:val="32"/>
          <w:szCs w:val="32"/>
        </w:rPr>
        <w:t>甘菊</w:t>
      </w:r>
    </w:p>
    <w:p w14:paraId="1244DF78" w14:textId="77777777" w:rsidR="00493EB4" w:rsidRDefault="00795F6A">
      <w:pPr>
        <w:spacing w:line="58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 xml:space="preserve">LY/T 2779-2016 </w:t>
      </w:r>
      <w:r>
        <w:rPr>
          <w:rFonts w:ascii="仿宋_GB2312" w:eastAsia="仿宋_GB2312" w:hAnsi="宋体"/>
          <w:color w:val="FF0000"/>
          <w:sz w:val="32"/>
          <w:szCs w:val="32"/>
        </w:rPr>
        <w:t xml:space="preserve"> </w:t>
      </w:r>
      <w:proofErr w:type="gramStart"/>
      <w:r>
        <w:rPr>
          <w:rFonts w:ascii="仿宋_GB2312" w:eastAsia="仿宋_GB2312" w:hAnsi="宋体" w:hint="eastAsia"/>
          <w:color w:val="FF0000"/>
          <w:sz w:val="32"/>
          <w:szCs w:val="32"/>
        </w:rPr>
        <w:t>薇</w:t>
      </w:r>
      <w:proofErr w:type="gramEnd"/>
      <w:r>
        <w:rPr>
          <w:rFonts w:ascii="仿宋_GB2312" w:eastAsia="仿宋_GB2312" w:hAnsi="宋体" w:hint="eastAsia"/>
          <w:color w:val="FF0000"/>
          <w:sz w:val="32"/>
          <w:szCs w:val="32"/>
        </w:rPr>
        <w:t>甘菊检疫技术规程</w:t>
      </w:r>
    </w:p>
    <w:p w14:paraId="15CB23DE" w14:textId="77777777" w:rsidR="00493EB4" w:rsidRDefault="00795F6A">
      <w:pPr>
        <w:spacing w:line="58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SZDB/Z 191-2016</w:t>
      </w:r>
      <w:r>
        <w:rPr>
          <w:rFonts w:ascii="仿宋_GB2312" w:eastAsia="仿宋_GB2312" w:hAnsi="宋体"/>
          <w:color w:val="FF0000"/>
          <w:sz w:val="32"/>
          <w:szCs w:val="32"/>
        </w:rPr>
        <w:t xml:space="preserve"> </w:t>
      </w:r>
      <w:r>
        <w:rPr>
          <w:rFonts w:ascii="仿宋_GB2312" w:eastAsia="仿宋_GB2312" w:hAnsi="宋体" w:hint="eastAsia"/>
          <w:color w:val="FF0000"/>
          <w:sz w:val="32"/>
          <w:szCs w:val="32"/>
        </w:rPr>
        <w:t xml:space="preserve"> </w:t>
      </w:r>
      <w:proofErr w:type="gramStart"/>
      <w:r>
        <w:rPr>
          <w:rFonts w:ascii="仿宋_GB2312" w:eastAsia="仿宋_GB2312" w:hAnsi="宋体"/>
          <w:color w:val="FF0000"/>
          <w:sz w:val="32"/>
          <w:szCs w:val="32"/>
        </w:rPr>
        <w:t>薇</w:t>
      </w:r>
      <w:proofErr w:type="gramEnd"/>
      <w:r>
        <w:rPr>
          <w:rFonts w:ascii="仿宋_GB2312" w:eastAsia="仿宋_GB2312" w:hAnsi="宋体"/>
          <w:color w:val="FF0000"/>
          <w:sz w:val="32"/>
          <w:szCs w:val="32"/>
        </w:rPr>
        <w:t>甘菊防控技术规范</w:t>
      </w:r>
    </w:p>
    <w:p w14:paraId="4DD5BB07" w14:textId="77777777" w:rsidR="00493EB4" w:rsidRDefault="00795F6A">
      <w:pPr>
        <w:spacing w:line="580" w:lineRule="exact"/>
        <w:ind w:firstLineChars="200" w:firstLine="640"/>
        <w:rPr>
          <w:rFonts w:ascii="仿宋_GB2312" w:eastAsia="仿宋_GB2312" w:hAnsi="宋体"/>
          <w:color w:val="FF0000"/>
          <w:sz w:val="32"/>
          <w:szCs w:val="32"/>
          <w:lang w:val="zh-CN"/>
        </w:rPr>
      </w:pPr>
      <w:r>
        <w:rPr>
          <w:rFonts w:ascii="仿宋_GB2312" w:eastAsia="仿宋_GB2312" w:hAnsi="宋体" w:hint="eastAsia"/>
          <w:color w:val="FF0000"/>
          <w:sz w:val="32"/>
          <w:szCs w:val="32"/>
          <w:lang w:val="zh-CN"/>
        </w:rPr>
        <w:t>DB53/T 532-2013</w:t>
      </w:r>
      <w:r>
        <w:rPr>
          <w:rFonts w:ascii="仿宋_GB2312" w:eastAsia="仿宋_GB2312" w:hAnsi="宋体"/>
          <w:color w:val="FF0000"/>
          <w:sz w:val="32"/>
          <w:szCs w:val="32"/>
          <w:lang w:val="zh-CN"/>
        </w:rPr>
        <w:t xml:space="preserve">  </w:t>
      </w:r>
      <w:r>
        <w:rPr>
          <w:rFonts w:ascii="仿宋_GB2312" w:eastAsia="仿宋_GB2312" w:hAnsi="宋体"/>
          <w:color w:val="FF0000"/>
          <w:sz w:val="32"/>
          <w:szCs w:val="32"/>
          <w:lang w:val="zh-CN"/>
        </w:rPr>
        <w:t>林地</w:t>
      </w:r>
      <w:proofErr w:type="gramStart"/>
      <w:r>
        <w:rPr>
          <w:rFonts w:ascii="仿宋_GB2312" w:eastAsia="仿宋_GB2312" w:hAnsi="宋体"/>
          <w:color w:val="FF0000"/>
          <w:sz w:val="32"/>
          <w:szCs w:val="32"/>
          <w:lang w:val="zh-CN"/>
        </w:rPr>
        <w:t>薇</w:t>
      </w:r>
      <w:proofErr w:type="gramEnd"/>
      <w:r>
        <w:rPr>
          <w:rFonts w:ascii="仿宋_GB2312" w:eastAsia="仿宋_GB2312" w:hAnsi="宋体"/>
          <w:color w:val="FF0000"/>
          <w:sz w:val="32"/>
          <w:szCs w:val="32"/>
          <w:lang w:val="zh-CN"/>
        </w:rPr>
        <w:t>甘菊防控技术规程</w:t>
      </w:r>
    </w:p>
    <w:p w14:paraId="72838FFF" w14:textId="77777777" w:rsidR="00493EB4" w:rsidRDefault="00795F6A">
      <w:pPr>
        <w:spacing w:line="580" w:lineRule="exact"/>
        <w:ind w:firstLineChars="200" w:firstLine="640"/>
        <w:rPr>
          <w:rFonts w:ascii="仿宋_GB2312" w:eastAsia="仿宋_GB2312" w:hAnsi="宋体"/>
          <w:color w:val="FF0000"/>
          <w:sz w:val="32"/>
          <w:szCs w:val="32"/>
          <w:lang w:val="zh-CN"/>
        </w:rPr>
      </w:pPr>
      <w:r>
        <w:rPr>
          <w:rFonts w:ascii="仿宋_GB2312" w:eastAsia="仿宋_GB2312" w:hAnsi="宋体" w:hint="eastAsia"/>
          <w:color w:val="FF0000"/>
          <w:sz w:val="32"/>
          <w:szCs w:val="32"/>
          <w:lang w:val="zh-CN"/>
        </w:rPr>
        <w:t>GB/T 8321</w:t>
      </w:r>
      <w:r>
        <w:rPr>
          <w:rFonts w:ascii="仿宋_GB2312" w:eastAsia="仿宋_GB2312" w:hAnsi="宋体" w:hint="eastAsia"/>
          <w:color w:val="FF0000"/>
          <w:sz w:val="32"/>
          <w:szCs w:val="32"/>
          <w:lang w:val="zh-CN"/>
        </w:rPr>
        <w:t>（所有部分）</w:t>
      </w:r>
      <w:r>
        <w:rPr>
          <w:rFonts w:ascii="仿宋_GB2312" w:eastAsia="仿宋_GB2312" w:hAnsi="宋体" w:hint="eastAsia"/>
          <w:color w:val="FF0000"/>
          <w:sz w:val="32"/>
          <w:szCs w:val="32"/>
          <w:lang w:val="zh-CN"/>
        </w:rPr>
        <w:t xml:space="preserve"> </w:t>
      </w:r>
      <w:r>
        <w:rPr>
          <w:rFonts w:ascii="仿宋_GB2312" w:eastAsia="仿宋_GB2312" w:hAnsi="宋体"/>
          <w:color w:val="FF0000"/>
          <w:sz w:val="32"/>
          <w:szCs w:val="32"/>
          <w:lang w:val="zh-CN"/>
        </w:rPr>
        <w:t xml:space="preserve"> </w:t>
      </w:r>
      <w:r>
        <w:rPr>
          <w:rFonts w:ascii="仿宋_GB2312" w:eastAsia="仿宋_GB2312" w:hAnsi="宋体" w:hint="eastAsia"/>
          <w:color w:val="FF0000"/>
          <w:sz w:val="32"/>
          <w:szCs w:val="32"/>
          <w:lang w:val="zh-CN"/>
        </w:rPr>
        <w:t>农药合理使用准则</w:t>
      </w:r>
    </w:p>
    <w:p w14:paraId="2756C8AE" w14:textId="77777777" w:rsidR="00493EB4" w:rsidRDefault="00795F6A">
      <w:pPr>
        <w:spacing w:line="580" w:lineRule="exact"/>
        <w:ind w:firstLineChars="200" w:firstLine="640"/>
        <w:rPr>
          <w:lang w:val="zh-CN"/>
        </w:rPr>
      </w:pPr>
      <w:r>
        <w:rPr>
          <w:rFonts w:ascii="仿宋_GB2312" w:eastAsia="仿宋_GB2312" w:hAnsi="宋体" w:hint="eastAsia"/>
          <w:color w:val="FF0000"/>
          <w:sz w:val="32"/>
          <w:szCs w:val="32"/>
          <w:lang w:val="zh-CN"/>
        </w:rPr>
        <w:t xml:space="preserve">NY/T 1276 </w:t>
      </w:r>
      <w:r>
        <w:rPr>
          <w:rFonts w:ascii="仿宋_GB2312" w:eastAsia="仿宋_GB2312" w:hAnsi="宋体"/>
          <w:color w:val="FF0000"/>
          <w:sz w:val="32"/>
          <w:szCs w:val="32"/>
          <w:lang w:val="zh-CN"/>
        </w:rPr>
        <w:t xml:space="preserve"> </w:t>
      </w:r>
      <w:r>
        <w:rPr>
          <w:rFonts w:ascii="仿宋_GB2312" w:eastAsia="仿宋_GB2312" w:hAnsi="宋体" w:hint="eastAsia"/>
          <w:color w:val="FF0000"/>
          <w:sz w:val="32"/>
          <w:szCs w:val="32"/>
          <w:lang w:val="zh-CN"/>
        </w:rPr>
        <w:t>农药安全使用规范</w:t>
      </w:r>
      <w:r>
        <w:rPr>
          <w:rFonts w:ascii="仿宋_GB2312" w:eastAsia="仿宋_GB2312" w:hAnsi="宋体" w:hint="eastAsia"/>
          <w:color w:val="FF0000"/>
          <w:sz w:val="32"/>
          <w:szCs w:val="32"/>
          <w:lang w:val="zh-CN"/>
        </w:rPr>
        <w:t xml:space="preserve"> </w:t>
      </w:r>
      <w:r>
        <w:rPr>
          <w:rFonts w:ascii="仿宋_GB2312" w:eastAsia="仿宋_GB2312" w:hAnsi="宋体" w:hint="eastAsia"/>
          <w:color w:val="FF0000"/>
          <w:sz w:val="32"/>
          <w:szCs w:val="32"/>
          <w:lang w:val="zh-CN"/>
        </w:rPr>
        <w:t>总则</w:t>
      </w:r>
    </w:p>
    <w:p w14:paraId="57505F22" w14:textId="77777777" w:rsidR="00493EB4" w:rsidRDefault="00795F6A">
      <w:pPr>
        <w:numPr>
          <w:ilvl w:val="0"/>
          <w:numId w:val="8"/>
        </w:numPr>
        <w:spacing w:line="580" w:lineRule="exact"/>
        <w:ind w:firstLine="643"/>
        <w:rPr>
          <w:rFonts w:ascii="楷体" w:eastAsia="楷体" w:hAnsi="楷体"/>
          <w:b/>
          <w:sz w:val="32"/>
          <w:szCs w:val="32"/>
          <w:lang w:val="zh-CN"/>
        </w:rPr>
      </w:pPr>
      <w:r>
        <w:rPr>
          <w:rFonts w:ascii="楷体" w:eastAsia="楷体" w:hAnsi="楷体" w:hint="eastAsia"/>
          <w:b/>
          <w:sz w:val="32"/>
          <w:szCs w:val="32"/>
          <w:lang w:val="zh-CN"/>
        </w:rPr>
        <w:t>开展区内外调研</w:t>
      </w:r>
    </w:p>
    <w:p w14:paraId="0EF57D4A"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为了掌握我区桉树人工林中</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甘菊危害现状及等级划分依据，进行广西壮族自治区内外调研工作至关重要。于</w:t>
      </w:r>
      <w:r>
        <w:rPr>
          <w:rFonts w:ascii="仿宋_GB2312" w:eastAsia="仿宋_GB2312" w:hAnsi="宋体" w:hint="eastAsia"/>
          <w:sz w:val="32"/>
          <w:szCs w:val="28"/>
          <w:lang w:val="zh-CN"/>
        </w:rPr>
        <w:t>2024</w:t>
      </w:r>
      <w:r>
        <w:rPr>
          <w:rFonts w:ascii="仿宋_GB2312" w:eastAsia="仿宋_GB2312" w:hAnsi="宋体" w:hint="eastAsia"/>
          <w:sz w:val="32"/>
          <w:szCs w:val="28"/>
          <w:lang w:val="zh-CN"/>
        </w:rPr>
        <w:t>年</w:t>
      </w:r>
      <w:r>
        <w:rPr>
          <w:rFonts w:ascii="仿宋_GB2312" w:eastAsia="仿宋_GB2312" w:hAnsi="宋体" w:hint="eastAsia"/>
          <w:sz w:val="32"/>
          <w:szCs w:val="28"/>
          <w:lang w:val="zh-CN"/>
        </w:rPr>
        <w:t>2</w:t>
      </w:r>
      <w:r>
        <w:rPr>
          <w:rFonts w:ascii="仿宋_GB2312" w:eastAsia="仿宋_GB2312" w:hAnsi="宋体" w:hint="eastAsia"/>
          <w:sz w:val="32"/>
          <w:szCs w:val="28"/>
          <w:lang w:val="zh-CN"/>
        </w:rPr>
        <w:t>月</w:t>
      </w:r>
      <w:r>
        <w:rPr>
          <w:rFonts w:ascii="仿宋_GB2312" w:eastAsia="仿宋_GB2312" w:hAnsi="宋体" w:hint="eastAsia"/>
          <w:sz w:val="32"/>
          <w:szCs w:val="28"/>
          <w:lang w:val="zh-CN"/>
        </w:rPr>
        <w:t>1</w:t>
      </w:r>
      <w:r>
        <w:rPr>
          <w:rFonts w:ascii="仿宋_GB2312" w:eastAsia="仿宋_GB2312" w:hAnsi="宋体" w:hint="eastAsia"/>
          <w:sz w:val="32"/>
          <w:szCs w:val="28"/>
          <w:lang w:val="zh-CN"/>
        </w:rPr>
        <w:t>日</w:t>
      </w:r>
      <w:r>
        <w:rPr>
          <w:rFonts w:ascii="仿宋_GB2312" w:eastAsia="仿宋_GB2312" w:hAnsi="宋体" w:hint="eastAsia"/>
          <w:sz w:val="32"/>
          <w:szCs w:val="28"/>
          <w:lang w:val="zh-CN"/>
        </w:rPr>
        <w:lastRenderedPageBreak/>
        <w:t>开始组织调研，此次调研旨在全面了解区内</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甘菊的分布、危害程度及现有防治措施，同时借鉴区外先进经验。调研团队走访区内主要桉树种植区域，实地考察</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甘菊的发生情况，收集第一手数据，并与当地农户、林业部</w:t>
      </w:r>
      <w:proofErr w:type="gramStart"/>
      <w:r>
        <w:rPr>
          <w:rFonts w:ascii="仿宋_GB2312" w:eastAsia="仿宋_GB2312" w:hAnsi="宋体" w:hint="eastAsia"/>
          <w:sz w:val="32"/>
          <w:szCs w:val="28"/>
          <w:lang w:val="zh-CN"/>
        </w:rPr>
        <w:t>门交流</w:t>
      </w:r>
      <w:proofErr w:type="gramEnd"/>
      <w:r>
        <w:rPr>
          <w:rFonts w:ascii="仿宋_GB2312" w:eastAsia="仿宋_GB2312" w:hAnsi="宋体" w:hint="eastAsia"/>
          <w:sz w:val="32"/>
          <w:szCs w:val="28"/>
          <w:lang w:val="zh-CN"/>
        </w:rPr>
        <w:t>防治成效与挑战。此外，还赴广东、云南等</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w:t>
      </w:r>
      <w:proofErr w:type="gramStart"/>
      <w:r>
        <w:rPr>
          <w:rFonts w:ascii="仿宋_GB2312" w:eastAsia="仿宋_GB2312" w:hAnsi="宋体" w:hint="eastAsia"/>
          <w:sz w:val="32"/>
          <w:szCs w:val="28"/>
          <w:lang w:val="zh-CN"/>
        </w:rPr>
        <w:t>菊同样</w:t>
      </w:r>
      <w:proofErr w:type="gramEnd"/>
      <w:r>
        <w:rPr>
          <w:rFonts w:ascii="仿宋_GB2312" w:eastAsia="仿宋_GB2312" w:hAnsi="宋体" w:hint="eastAsia"/>
          <w:sz w:val="32"/>
          <w:szCs w:val="28"/>
          <w:lang w:val="zh-CN"/>
        </w:rPr>
        <w:t>泛滥的省份，学习其在监测预警、综合防控方面的成功模式和技术手段。通过问卷调查、专家访谈和文献研究相结合的方式，确保调研结果科学准确，为制定符合广西实际</w:t>
      </w:r>
      <w:r>
        <w:rPr>
          <w:rFonts w:ascii="仿宋_GB2312" w:eastAsia="仿宋_GB2312" w:hAnsi="宋体" w:hint="eastAsia"/>
          <w:sz w:val="32"/>
          <w:szCs w:val="28"/>
          <w:lang w:val="zh-CN"/>
        </w:rPr>
        <w:t>且具前瞻性的团体标准提供坚实依据。此举不仅有助于提升本地区桉树人工林生态系统的稳定性，也将为全国</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甘菊防治贡献宝贵经验。</w:t>
      </w:r>
    </w:p>
    <w:p w14:paraId="2519019D" w14:textId="77777777" w:rsidR="00493EB4" w:rsidRDefault="00795F6A">
      <w:pPr>
        <w:numPr>
          <w:ilvl w:val="0"/>
          <w:numId w:val="8"/>
        </w:numPr>
        <w:spacing w:line="580" w:lineRule="exact"/>
        <w:ind w:firstLine="643"/>
        <w:rPr>
          <w:rFonts w:ascii="楷体" w:eastAsia="楷体" w:hAnsi="楷体"/>
          <w:b/>
          <w:sz w:val="32"/>
          <w:szCs w:val="32"/>
          <w:lang w:val="zh-CN"/>
        </w:rPr>
      </w:pPr>
      <w:r>
        <w:rPr>
          <w:rFonts w:ascii="楷体" w:eastAsia="楷体" w:hAnsi="楷体" w:hint="eastAsia"/>
          <w:b/>
          <w:sz w:val="32"/>
          <w:szCs w:val="32"/>
          <w:lang w:val="zh-CN"/>
        </w:rPr>
        <w:t>研讨确定标准主体内容</w:t>
      </w:r>
    </w:p>
    <w:p w14:paraId="14C5A2F4" w14:textId="77777777" w:rsidR="00493EB4" w:rsidRDefault="00795F6A">
      <w:pPr>
        <w:pStyle w:val="a1"/>
        <w:numPr>
          <w:ilvl w:val="255"/>
          <w:numId w:val="0"/>
        </w:numPr>
        <w:spacing w:beforeLines="0" w:afterLines="0" w:line="580" w:lineRule="exact"/>
        <w:ind w:firstLineChars="200" w:firstLine="640"/>
        <w:rPr>
          <w:rFonts w:ascii="Times New Roman"/>
        </w:rPr>
      </w:pPr>
      <w:r>
        <w:rPr>
          <w:rFonts w:ascii="仿宋_GB2312" w:eastAsia="仿宋_GB2312" w:hAnsi="宋体" w:hint="eastAsia"/>
          <w:sz w:val="32"/>
          <w:szCs w:val="28"/>
          <w:lang w:val="zh-CN"/>
        </w:rPr>
        <w:t>标准编制工作组对收集资料和区内外调研情况进行整理研究，</w:t>
      </w:r>
      <w:r>
        <w:rPr>
          <w:rFonts w:ascii="仿宋_GB2312" w:eastAsia="仿宋_GB2312" w:hAnsi="宋体" w:hint="eastAsia"/>
          <w:sz w:val="32"/>
          <w:szCs w:val="28"/>
        </w:rPr>
        <w:t>2024</w:t>
      </w:r>
      <w:r>
        <w:rPr>
          <w:rFonts w:ascii="仿宋_GB2312" w:eastAsia="仿宋_GB2312" w:hAnsi="宋体" w:hint="eastAsia"/>
          <w:sz w:val="32"/>
          <w:szCs w:val="28"/>
        </w:rPr>
        <w:t>年</w:t>
      </w:r>
      <w:r>
        <w:rPr>
          <w:rFonts w:ascii="仿宋_GB2312" w:eastAsia="仿宋_GB2312" w:hAnsi="宋体" w:hint="eastAsia"/>
          <w:sz w:val="32"/>
          <w:szCs w:val="28"/>
        </w:rPr>
        <w:t>6</w:t>
      </w:r>
      <w:r>
        <w:rPr>
          <w:rFonts w:ascii="仿宋_GB2312" w:eastAsia="仿宋_GB2312" w:hAnsi="宋体" w:hint="eastAsia"/>
          <w:sz w:val="32"/>
          <w:szCs w:val="28"/>
        </w:rPr>
        <w:t>月初</w:t>
      </w:r>
      <w:r>
        <w:rPr>
          <w:rFonts w:ascii="仿宋_GB2312" w:eastAsia="仿宋_GB2312" w:hAnsi="宋体" w:hint="eastAsia"/>
          <w:sz w:val="32"/>
          <w:szCs w:val="28"/>
          <w:lang w:val="zh-CN"/>
        </w:rPr>
        <w:t>召开了标准编制工作组会议，对标准的整体框架进行了研究，并对标准的关键性问题进行了初步探讨。经过研究确定标准主体内容，本文件界定了</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甘菊在桉树人工林内的监测、评估，以及桉树人工林</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甘菊预防和治理技术，确定了</w:t>
      </w:r>
      <w:bookmarkStart w:id="0" w:name="_Toc19789046"/>
      <w:bookmarkStart w:id="1" w:name="_Toc24570429"/>
      <w:r>
        <w:rPr>
          <w:rFonts w:ascii="仿宋_GB2312" w:eastAsia="仿宋_GB2312" w:hAnsi="宋体" w:hint="eastAsia"/>
          <w:sz w:val="32"/>
          <w:szCs w:val="28"/>
        </w:rPr>
        <w:t>监测的方法</w:t>
      </w:r>
      <w:r>
        <w:rPr>
          <w:rFonts w:ascii="仿宋_GB2312" w:eastAsia="仿宋_GB2312" w:hAnsi="宋体" w:hint="eastAsia"/>
          <w:sz w:val="32"/>
          <w:szCs w:val="28"/>
          <w:lang w:val="zh-CN"/>
        </w:rPr>
        <w:t>与</w:t>
      </w:r>
      <w:bookmarkEnd w:id="0"/>
      <w:bookmarkEnd w:id="1"/>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w:t>
      </w:r>
      <w:proofErr w:type="gramStart"/>
      <w:r>
        <w:rPr>
          <w:rFonts w:ascii="仿宋_GB2312" w:eastAsia="仿宋_GB2312" w:hAnsi="宋体" w:hint="eastAsia"/>
          <w:sz w:val="32"/>
          <w:szCs w:val="28"/>
          <w:lang w:val="zh-CN"/>
        </w:rPr>
        <w:t>菊风险</w:t>
      </w:r>
      <w:proofErr w:type="gramEnd"/>
      <w:r>
        <w:rPr>
          <w:rFonts w:ascii="仿宋_GB2312" w:eastAsia="仿宋_GB2312" w:hAnsi="宋体" w:hint="eastAsia"/>
          <w:sz w:val="32"/>
          <w:szCs w:val="28"/>
          <w:lang w:val="zh-CN"/>
        </w:rPr>
        <w:t>评估、</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甘菊的防治方法和</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甘菊的防治措施等标准</w:t>
      </w:r>
      <w:r>
        <w:rPr>
          <w:rFonts w:ascii="仿宋_GB2312" w:eastAsia="仿宋_GB2312" w:hAnsi="宋体" w:hint="eastAsia"/>
          <w:sz w:val="32"/>
          <w:szCs w:val="28"/>
        </w:rPr>
        <w:t>开始</w:t>
      </w:r>
      <w:r>
        <w:rPr>
          <w:rFonts w:ascii="仿宋_GB2312" w:eastAsia="仿宋_GB2312" w:hAnsi="宋体" w:hint="eastAsia"/>
          <w:sz w:val="32"/>
          <w:szCs w:val="28"/>
          <w:lang w:val="zh-CN"/>
        </w:rPr>
        <w:t>编写主体内容。</w:t>
      </w:r>
    </w:p>
    <w:p w14:paraId="5CA84B7E"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w:t>
      </w:r>
      <w:r>
        <w:rPr>
          <w:rFonts w:ascii="楷体" w:eastAsia="楷体" w:hAnsi="楷体" w:hint="eastAsia"/>
          <w:b/>
          <w:sz w:val="32"/>
          <w:szCs w:val="32"/>
        </w:rPr>
        <w:t>五</w:t>
      </w:r>
      <w:r>
        <w:rPr>
          <w:rFonts w:ascii="楷体" w:eastAsia="楷体" w:hAnsi="楷体" w:hint="eastAsia"/>
          <w:b/>
          <w:sz w:val="32"/>
          <w:szCs w:val="32"/>
          <w:lang w:val="zh-CN"/>
        </w:rPr>
        <w:t>）编写形成文本草案和征求意见稿</w:t>
      </w:r>
    </w:p>
    <w:p w14:paraId="710456FC"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材料收集整理和区内外调研工作完成后，标准编制工作组于</w:t>
      </w:r>
      <w:r>
        <w:rPr>
          <w:rFonts w:ascii="仿宋_GB2312" w:eastAsia="仿宋_GB2312" w:hAnsi="宋体" w:hint="eastAsia"/>
          <w:sz w:val="32"/>
          <w:szCs w:val="28"/>
        </w:rPr>
        <w:t>2025</w:t>
      </w:r>
      <w:r>
        <w:rPr>
          <w:rFonts w:ascii="仿宋_GB2312" w:eastAsia="仿宋_GB2312" w:hAnsi="宋体" w:hint="eastAsia"/>
          <w:sz w:val="32"/>
          <w:szCs w:val="28"/>
        </w:rPr>
        <w:t>年</w:t>
      </w:r>
      <w:r>
        <w:rPr>
          <w:rFonts w:ascii="仿宋_GB2312" w:eastAsia="仿宋_GB2312" w:hAnsi="宋体" w:hint="eastAsia"/>
          <w:sz w:val="32"/>
          <w:szCs w:val="28"/>
        </w:rPr>
        <w:t>4</w:t>
      </w:r>
      <w:r>
        <w:rPr>
          <w:rFonts w:ascii="仿宋_GB2312" w:eastAsia="仿宋_GB2312" w:hAnsi="宋体" w:hint="eastAsia"/>
          <w:sz w:val="32"/>
          <w:szCs w:val="28"/>
        </w:rPr>
        <w:t>月上旬召开会议认真研究，</w:t>
      </w:r>
      <w:r>
        <w:rPr>
          <w:rFonts w:ascii="仿宋_GB2312" w:eastAsia="仿宋_GB2312" w:hAnsi="宋体" w:hint="eastAsia"/>
          <w:sz w:val="32"/>
          <w:szCs w:val="28"/>
          <w:lang w:val="zh-CN"/>
        </w:rPr>
        <w:t>经编制组人员反复讨论，形成了标准的基本构架，对主要内容进行了讨论形成统一意见。根据区外有关桉树人工林</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甘菊监测及防治经验，结合我区实际情况，由主笔人撰写形成标准初稿，然后提交编制工作组成员修改补充完善</w:t>
      </w:r>
      <w:r>
        <w:rPr>
          <w:rFonts w:ascii="仿宋_GB2312" w:eastAsia="仿宋_GB2312" w:hAnsi="宋体" w:hint="eastAsia"/>
          <w:sz w:val="32"/>
          <w:szCs w:val="28"/>
          <w:lang w:val="zh-CN"/>
        </w:rPr>
        <w:lastRenderedPageBreak/>
        <w:t>形成标准草案</w:t>
      </w:r>
      <w:r>
        <w:rPr>
          <w:rFonts w:ascii="仿宋_GB2312" w:eastAsia="仿宋_GB2312" w:hAnsi="宋体" w:hint="eastAsia"/>
          <w:sz w:val="32"/>
          <w:szCs w:val="28"/>
        </w:rPr>
        <w:t>,</w:t>
      </w:r>
      <w:proofErr w:type="gramStart"/>
      <w:r>
        <w:rPr>
          <w:rFonts w:ascii="仿宋_GB2312" w:eastAsia="仿宋_GB2312" w:hAnsi="宋体" w:hint="eastAsia"/>
          <w:sz w:val="32"/>
          <w:szCs w:val="28"/>
        </w:rPr>
        <w:t>经</w:t>
      </w:r>
      <w:r>
        <w:rPr>
          <w:rFonts w:ascii="仿宋_GB2312" w:eastAsia="仿宋_GB2312" w:hAnsi="宋体" w:hint="eastAsia"/>
          <w:sz w:val="32"/>
          <w:szCs w:val="28"/>
          <w:lang w:val="zh-CN"/>
        </w:rPr>
        <w:t>标准</w:t>
      </w:r>
      <w:proofErr w:type="gramEnd"/>
      <w:r>
        <w:rPr>
          <w:rFonts w:ascii="仿宋_GB2312" w:eastAsia="仿宋_GB2312" w:hAnsi="宋体" w:hint="eastAsia"/>
          <w:sz w:val="32"/>
          <w:szCs w:val="28"/>
          <w:lang w:val="zh-CN"/>
        </w:rPr>
        <w:t>编制工作组多次召开会议，对标准草案进行反复研究和修改补充，形成团体标准《桉树人工林薇甘菊监测及防治技术规程》（征求意见稿）和（征求意见稿）编制说明。</w:t>
      </w:r>
    </w:p>
    <w:p w14:paraId="52C732D9"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四、制定标准的原则和依</w:t>
      </w:r>
      <w:r>
        <w:rPr>
          <w:rFonts w:ascii="黑体" w:eastAsia="黑体" w:hAnsi="黑体" w:cs="黑体" w:hint="eastAsia"/>
          <w:bCs/>
          <w:sz w:val="32"/>
          <w:szCs w:val="32"/>
        </w:rPr>
        <w:t>据，与现行法律、法规的关系，与有关国家标准、行业标准的协调情况</w:t>
      </w:r>
    </w:p>
    <w:p w14:paraId="0EAE6B9F"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（一）制</w:t>
      </w:r>
      <w:r>
        <w:rPr>
          <w:rFonts w:ascii="楷体" w:eastAsia="楷体" w:hAnsi="楷体" w:hint="eastAsia"/>
          <w:b/>
          <w:sz w:val="32"/>
          <w:szCs w:val="32"/>
        </w:rPr>
        <w:t>定</w:t>
      </w:r>
      <w:r>
        <w:rPr>
          <w:rFonts w:ascii="楷体" w:eastAsia="楷体" w:hAnsi="楷体" w:hint="eastAsia"/>
          <w:b/>
          <w:sz w:val="32"/>
          <w:szCs w:val="32"/>
          <w:lang w:val="zh-CN"/>
        </w:rPr>
        <w:t>标准的原则</w:t>
      </w:r>
    </w:p>
    <w:p w14:paraId="5EB701D3"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在制定《桉树人工林薇甘菊防治技术规程》标准时，遵循科学性、实用性、前瞻性和可操作性的原则。科学性是基础，确保所有规定基于最新的科学研究成果和技术进展，通过严谨的数据分析和实验验证，为标准提供坚实的理论支撑。实用性至关重要，标准应紧密贴合实际需求，考虑到不同地区、不同规模的桉树林实际情况，提供切实可行的操作指南，使一线工作人员能够有效执行。前瞻性原则要求我们考虑未来可能的变化和发展趋势，预留调整空间，以应对新的挑战和技术革新</w:t>
      </w:r>
      <w:r>
        <w:rPr>
          <w:rFonts w:ascii="仿宋_GB2312" w:eastAsia="仿宋_GB2312" w:hAnsi="宋体" w:hint="eastAsia"/>
          <w:sz w:val="32"/>
          <w:szCs w:val="28"/>
          <w:lang w:val="zh-CN"/>
        </w:rPr>
        <w:t>。可操作性确保标准内容具体明确，流程清晰易懂，措施易于实施，减少执行中的不确定性。此外，标准还强调生态友好与可持续发展，鼓励采用环境友好的防治方法，避免对非目标生物和生态系统造成负面影响。综合以上原则，本标准旨在构建一个全面、系统且高效的</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甘菊监测及防治体系，为保护桉树人工林资源和维护区域生态平衡提供有力保障。</w:t>
      </w:r>
    </w:p>
    <w:p w14:paraId="72B265F5" w14:textId="77777777" w:rsidR="00493EB4" w:rsidRDefault="00795F6A">
      <w:pPr>
        <w:numPr>
          <w:ilvl w:val="0"/>
          <w:numId w:val="9"/>
        </w:num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制</w:t>
      </w:r>
      <w:r>
        <w:rPr>
          <w:rFonts w:ascii="楷体" w:eastAsia="楷体" w:hAnsi="楷体" w:hint="eastAsia"/>
          <w:b/>
          <w:sz w:val="32"/>
          <w:szCs w:val="32"/>
        </w:rPr>
        <w:t>定</w:t>
      </w:r>
      <w:r>
        <w:rPr>
          <w:rFonts w:ascii="楷体" w:eastAsia="楷体" w:hAnsi="楷体" w:hint="eastAsia"/>
          <w:b/>
          <w:sz w:val="32"/>
          <w:szCs w:val="32"/>
          <w:lang w:val="zh-CN"/>
        </w:rPr>
        <w:t>标准的依据</w:t>
      </w:r>
    </w:p>
    <w:p w14:paraId="3DDAE263" w14:textId="77777777" w:rsidR="00493EB4" w:rsidRDefault="00795F6A">
      <w:pPr>
        <w:pStyle w:val="af7"/>
        <w:ind w:left="0" w:firstLineChars="200" w:firstLine="640"/>
        <w:rPr>
          <w:lang w:val="zh-CN"/>
        </w:rPr>
      </w:pPr>
      <w:r>
        <w:rPr>
          <w:rFonts w:hint="eastAsia"/>
          <w:lang w:val="zh-CN"/>
        </w:rPr>
        <w:t>本文</w:t>
      </w:r>
      <w:proofErr w:type="gramStart"/>
      <w:r>
        <w:rPr>
          <w:rFonts w:hint="eastAsia"/>
          <w:lang w:val="zh-CN"/>
        </w:rPr>
        <w:t>本严格</w:t>
      </w:r>
      <w:proofErr w:type="gramEnd"/>
      <w:r>
        <w:rPr>
          <w:rFonts w:hint="eastAsia"/>
          <w:lang w:val="zh-CN"/>
        </w:rPr>
        <w:t>按照</w:t>
      </w:r>
      <w:r>
        <w:rPr>
          <w:rFonts w:hint="eastAsia"/>
          <w:lang w:val="zh-CN"/>
        </w:rPr>
        <w:t xml:space="preserve"> GB /T1</w:t>
      </w:r>
      <w:r>
        <w:rPr>
          <w:rFonts w:hint="eastAsia"/>
        </w:rPr>
        <w:t>.</w:t>
      </w:r>
      <w:r>
        <w:rPr>
          <w:rFonts w:hint="eastAsia"/>
          <w:lang w:val="zh-CN"/>
        </w:rPr>
        <w:t>1</w:t>
      </w:r>
      <w:r>
        <w:rPr>
          <w:rFonts w:hint="eastAsia"/>
        </w:rPr>
        <w:t>-</w:t>
      </w:r>
      <w:r>
        <w:rPr>
          <w:rFonts w:hint="eastAsia"/>
          <w:lang w:val="zh-CN"/>
        </w:rPr>
        <w:t>2020</w:t>
      </w:r>
      <w:r>
        <w:rPr>
          <w:rFonts w:hint="eastAsia"/>
          <w:lang w:val="zh-CN"/>
        </w:rPr>
        <w:t>《标准化工作导则》（第</w:t>
      </w:r>
      <w:r>
        <w:rPr>
          <w:rFonts w:hint="eastAsia"/>
          <w:lang w:val="zh-CN"/>
        </w:rPr>
        <w:t>1</w:t>
      </w:r>
      <w:r>
        <w:rPr>
          <w:rFonts w:hint="eastAsia"/>
          <w:lang w:val="zh-CN"/>
        </w:rPr>
        <w:t>部分标准化文件的结构和起草规则）的要求和规定编写</w:t>
      </w:r>
      <w:r>
        <w:rPr>
          <w:rFonts w:hint="eastAsia"/>
        </w:rPr>
        <w:t>相关</w:t>
      </w:r>
      <w:r>
        <w:rPr>
          <w:rFonts w:hint="eastAsia"/>
          <w:lang w:val="zh-CN"/>
        </w:rPr>
        <w:t>内容，保证标准的编写质量。主要依据</w:t>
      </w:r>
      <w:r>
        <w:rPr>
          <w:rFonts w:hint="eastAsia"/>
        </w:rPr>
        <w:t>林业有害入侵植物</w:t>
      </w:r>
      <w:r>
        <w:rPr>
          <w:rFonts w:hint="eastAsia"/>
          <w:lang w:val="zh-CN"/>
        </w:rPr>
        <w:t>相关法律法规、</w:t>
      </w:r>
      <w:r>
        <w:rPr>
          <w:rFonts w:hint="eastAsia"/>
          <w:lang w:val="zh-CN"/>
        </w:rPr>
        <w:t>调</w:t>
      </w:r>
      <w:r>
        <w:rPr>
          <w:rFonts w:hint="eastAsia"/>
          <w:lang w:val="zh-CN"/>
        </w:rPr>
        <w:lastRenderedPageBreak/>
        <w:t>研掌握的广西主要林业有害</w:t>
      </w:r>
      <w:r>
        <w:rPr>
          <w:rFonts w:hint="eastAsia"/>
        </w:rPr>
        <w:t>入侵植物</w:t>
      </w:r>
      <w:r>
        <w:rPr>
          <w:rFonts w:hint="eastAsia"/>
          <w:lang w:val="zh-CN"/>
        </w:rPr>
        <w:t>组织从业情况以及区外林业有害</w:t>
      </w:r>
      <w:r>
        <w:rPr>
          <w:rFonts w:hint="eastAsia"/>
        </w:rPr>
        <w:t>入侵植物</w:t>
      </w:r>
      <w:r>
        <w:rPr>
          <w:rFonts w:hint="eastAsia"/>
          <w:lang w:val="zh-CN"/>
        </w:rPr>
        <w:t>防治组织等级</w:t>
      </w:r>
      <w:r>
        <w:rPr>
          <w:rFonts w:hAnsi="宋体" w:hint="eastAsia"/>
          <w:szCs w:val="28"/>
          <w:lang w:val="zh-CN"/>
        </w:rPr>
        <w:t>划分和应用经验，并结合广西林业有害</w:t>
      </w:r>
      <w:r>
        <w:rPr>
          <w:rFonts w:hAnsi="宋体" w:hint="eastAsia"/>
          <w:szCs w:val="28"/>
        </w:rPr>
        <w:t>入侵植物</w:t>
      </w:r>
      <w:r>
        <w:rPr>
          <w:rFonts w:hAnsi="宋体" w:hint="eastAsia"/>
          <w:szCs w:val="28"/>
          <w:lang w:val="zh-CN"/>
        </w:rPr>
        <w:t>防治工作实际情况进行标准编写，确保本标准在广西推广应用</w:t>
      </w:r>
      <w:r>
        <w:rPr>
          <w:rFonts w:hint="eastAsia"/>
          <w:lang w:val="zh-CN"/>
        </w:rPr>
        <w:t>。</w:t>
      </w:r>
    </w:p>
    <w:p w14:paraId="3BFDC2EE"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（三）与现行法律法规关系及协调情况</w:t>
      </w:r>
    </w:p>
    <w:p w14:paraId="555C7987" w14:textId="77777777" w:rsidR="00493EB4" w:rsidRDefault="00795F6A">
      <w:pPr>
        <w:spacing w:line="580" w:lineRule="exact"/>
        <w:ind w:firstLineChars="200" w:firstLine="640"/>
        <w:rPr>
          <w:rFonts w:ascii="仿宋_GB2312" w:hAnsi="宋体"/>
          <w:sz w:val="32"/>
          <w:szCs w:val="28"/>
          <w:lang w:val="zh-CN"/>
        </w:rPr>
      </w:pPr>
      <w:r>
        <w:rPr>
          <w:rFonts w:ascii="仿宋_GB2312" w:eastAsia="仿宋_GB2312" w:hAnsi="宋体" w:hint="eastAsia"/>
          <w:sz w:val="32"/>
          <w:szCs w:val="28"/>
          <w:lang w:val="zh-CN"/>
        </w:rPr>
        <w:t>本文件编写过程中认真参考了我国林业有害</w:t>
      </w:r>
      <w:r>
        <w:rPr>
          <w:rFonts w:ascii="仿宋_GB2312" w:eastAsia="仿宋_GB2312" w:hAnsi="宋体" w:hint="eastAsia"/>
          <w:sz w:val="32"/>
          <w:szCs w:val="28"/>
        </w:rPr>
        <w:t>入侵植物</w:t>
      </w:r>
      <w:r>
        <w:rPr>
          <w:rFonts w:ascii="仿宋_GB2312" w:eastAsia="仿宋_GB2312" w:hAnsi="宋体" w:hint="eastAsia"/>
          <w:sz w:val="32"/>
          <w:szCs w:val="28"/>
          <w:lang w:val="zh-CN"/>
        </w:rPr>
        <w:t>防治相关的法律法规及相关标准，在内容上与现行法律法规、标准协调一致，保证标准的编写质量和标准的实施。目前未见到桉树人工林</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甘菊监测及防治相关的国</w:t>
      </w:r>
      <w:r>
        <w:rPr>
          <w:rFonts w:ascii="仿宋_GB2312" w:eastAsia="仿宋_GB2312" w:hAnsi="宋体" w:hint="eastAsia"/>
          <w:sz w:val="32"/>
          <w:szCs w:val="28"/>
        </w:rPr>
        <w:t>家</w:t>
      </w:r>
      <w:r>
        <w:rPr>
          <w:rFonts w:ascii="仿宋_GB2312" w:eastAsia="仿宋_GB2312" w:hAnsi="宋体" w:hint="eastAsia"/>
          <w:sz w:val="32"/>
          <w:szCs w:val="28"/>
          <w:lang w:val="zh-CN"/>
        </w:rPr>
        <w:t>标准，不存在与国标冲突问题。</w:t>
      </w:r>
    </w:p>
    <w:p w14:paraId="7ABA5F47"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（四）标准编制的前瞻性</w:t>
      </w:r>
    </w:p>
    <w:p w14:paraId="29246B91"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本文件在兼顾当前</w:t>
      </w:r>
      <w:r>
        <w:rPr>
          <w:rFonts w:ascii="仿宋_GB2312" w:eastAsia="仿宋_GB2312" w:hAnsi="宋体" w:hint="eastAsia"/>
          <w:sz w:val="32"/>
          <w:szCs w:val="28"/>
        </w:rPr>
        <w:t>广西</w:t>
      </w:r>
      <w:r>
        <w:rPr>
          <w:rFonts w:ascii="仿宋_GB2312" w:eastAsia="仿宋_GB2312" w:hAnsi="宋体" w:hint="eastAsia"/>
          <w:sz w:val="32"/>
          <w:szCs w:val="28"/>
          <w:lang w:val="zh-CN"/>
        </w:rPr>
        <w:t>内桉树人工林</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甘菊监测及防治现状的同时，调研和采纳了区外一些先进的</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甘菊监测及防治经验，确保区内</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甘菊监测及防治等级划分和认定，不排斥区外先进的防治组织在广西开展</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甘菊监测及防治作业和监理工作，本标准的制定有利于推动我区桉树人工林</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甘菊监测及防治组织能力、技术和诚信的全面提升，具有较好的前瞻性。</w:t>
      </w:r>
    </w:p>
    <w:p w14:paraId="32697877"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五、主要条款的说明，主要技术指标、参数的论述</w:t>
      </w:r>
    </w:p>
    <w:p w14:paraId="02CE386E" w14:textId="77777777" w:rsidR="00493EB4" w:rsidRDefault="00795F6A">
      <w:pPr>
        <w:pStyle w:val="a1"/>
        <w:numPr>
          <w:ilvl w:val="255"/>
          <w:numId w:val="0"/>
        </w:numPr>
        <w:spacing w:beforeLines="0" w:afterLines="0" w:line="580" w:lineRule="exact"/>
        <w:ind w:firstLineChars="200" w:firstLine="640"/>
        <w:rPr>
          <w:rFonts w:ascii="Times New Roman" w:eastAsia="仿宋_GB2312"/>
          <w:sz w:val="32"/>
          <w:szCs w:val="28"/>
          <w:lang w:val="zh-CN"/>
        </w:rPr>
      </w:pPr>
      <w:r>
        <w:rPr>
          <w:rFonts w:ascii="Times New Roman" w:eastAsia="仿宋_GB2312" w:hint="eastAsia"/>
          <w:sz w:val="32"/>
          <w:szCs w:val="28"/>
          <w:lang w:val="zh-CN"/>
        </w:rPr>
        <w:t>团体标准《桉树人工林薇甘菊防治技术规程》主要内容包括界定了广西桉树人工林</w:t>
      </w:r>
      <w:proofErr w:type="gramStart"/>
      <w:r>
        <w:rPr>
          <w:rFonts w:ascii="Times New Roman" w:eastAsia="仿宋_GB2312" w:hint="eastAsia"/>
          <w:sz w:val="32"/>
          <w:szCs w:val="28"/>
          <w:lang w:val="zh-CN"/>
        </w:rPr>
        <w:t>薇</w:t>
      </w:r>
      <w:proofErr w:type="gramEnd"/>
      <w:r>
        <w:rPr>
          <w:rFonts w:ascii="Times New Roman" w:eastAsia="仿宋_GB2312" w:hint="eastAsia"/>
          <w:sz w:val="32"/>
          <w:szCs w:val="28"/>
          <w:lang w:val="zh-CN"/>
        </w:rPr>
        <w:t>甘菊等级划分的术语和定义，确定</w:t>
      </w:r>
      <w:proofErr w:type="gramStart"/>
      <w:r>
        <w:rPr>
          <w:rFonts w:ascii="Times New Roman" w:eastAsia="仿宋_GB2312" w:hint="eastAsia"/>
          <w:sz w:val="32"/>
          <w:szCs w:val="28"/>
        </w:rPr>
        <w:t>薇</w:t>
      </w:r>
      <w:proofErr w:type="gramEnd"/>
      <w:r>
        <w:rPr>
          <w:rFonts w:ascii="Times New Roman" w:eastAsia="仿宋_GB2312" w:hint="eastAsia"/>
          <w:sz w:val="32"/>
          <w:szCs w:val="28"/>
        </w:rPr>
        <w:t>甘菊检测技术</w:t>
      </w:r>
      <w:r>
        <w:rPr>
          <w:rFonts w:ascii="Times New Roman" w:eastAsia="仿宋_GB2312" w:hint="eastAsia"/>
          <w:sz w:val="32"/>
          <w:szCs w:val="28"/>
          <w:lang w:val="zh-CN"/>
        </w:rPr>
        <w:t>、</w:t>
      </w:r>
      <w:proofErr w:type="gramStart"/>
      <w:r>
        <w:rPr>
          <w:rFonts w:ascii="Times New Roman" w:eastAsia="仿宋_GB2312" w:hint="eastAsia"/>
          <w:sz w:val="32"/>
          <w:szCs w:val="28"/>
        </w:rPr>
        <w:t>薇</w:t>
      </w:r>
      <w:proofErr w:type="gramEnd"/>
      <w:r>
        <w:rPr>
          <w:rFonts w:ascii="Times New Roman" w:eastAsia="仿宋_GB2312" w:hint="eastAsia"/>
          <w:sz w:val="32"/>
          <w:szCs w:val="28"/>
        </w:rPr>
        <w:t>甘</w:t>
      </w:r>
      <w:proofErr w:type="gramStart"/>
      <w:r>
        <w:rPr>
          <w:rFonts w:ascii="Times New Roman" w:eastAsia="仿宋_GB2312" w:hint="eastAsia"/>
          <w:sz w:val="32"/>
          <w:szCs w:val="28"/>
        </w:rPr>
        <w:t>菊风险</w:t>
      </w:r>
      <w:proofErr w:type="gramEnd"/>
      <w:r>
        <w:rPr>
          <w:rFonts w:ascii="Times New Roman" w:eastAsia="仿宋_GB2312" w:hint="eastAsia"/>
          <w:sz w:val="32"/>
          <w:szCs w:val="28"/>
        </w:rPr>
        <w:t>评估</w:t>
      </w:r>
      <w:r>
        <w:rPr>
          <w:rFonts w:ascii="Times New Roman" w:eastAsia="仿宋_GB2312" w:hint="eastAsia"/>
          <w:sz w:val="32"/>
          <w:szCs w:val="28"/>
          <w:lang w:val="zh-CN"/>
        </w:rPr>
        <w:t>和</w:t>
      </w:r>
      <w:proofErr w:type="gramStart"/>
      <w:r>
        <w:rPr>
          <w:rFonts w:ascii="Times New Roman" w:eastAsia="仿宋_GB2312" w:hint="eastAsia"/>
          <w:sz w:val="32"/>
          <w:szCs w:val="28"/>
        </w:rPr>
        <w:t>薇</w:t>
      </w:r>
      <w:proofErr w:type="gramEnd"/>
      <w:r>
        <w:rPr>
          <w:rFonts w:ascii="Times New Roman" w:eastAsia="仿宋_GB2312" w:hint="eastAsia"/>
          <w:sz w:val="32"/>
          <w:szCs w:val="28"/>
        </w:rPr>
        <w:t>甘菊的防治方法和措施</w:t>
      </w:r>
      <w:r>
        <w:rPr>
          <w:rFonts w:ascii="Times New Roman" w:eastAsia="仿宋_GB2312" w:hint="eastAsia"/>
          <w:sz w:val="32"/>
          <w:szCs w:val="28"/>
          <w:lang w:val="zh-CN"/>
        </w:rPr>
        <w:t>等。</w:t>
      </w:r>
    </w:p>
    <w:p w14:paraId="397F211A"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（一）术语和定义</w:t>
      </w:r>
    </w:p>
    <w:p w14:paraId="5AA8D08E" w14:textId="77777777" w:rsidR="00493EB4" w:rsidRDefault="00795F6A">
      <w:pPr>
        <w:pStyle w:val="af7"/>
        <w:ind w:firstLineChars="200" w:firstLine="640"/>
        <w:rPr>
          <w:rFonts w:hAnsi="Times New Roman"/>
          <w:color w:val="FF0000"/>
          <w:szCs w:val="28"/>
          <w:lang w:val="zh-CN"/>
        </w:rPr>
      </w:pPr>
      <w:r>
        <w:rPr>
          <w:rFonts w:hAnsi="Times New Roman" w:hint="eastAsia"/>
          <w:szCs w:val="28"/>
          <w:lang w:val="zh-CN"/>
        </w:rPr>
        <w:t>桉树人工林</w:t>
      </w:r>
      <w:proofErr w:type="gramStart"/>
      <w:r>
        <w:rPr>
          <w:rFonts w:hAnsi="Times New Roman" w:hint="eastAsia"/>
          <w:szCs w:val="28"/>
          <w:lang w:val="zh-CN"/>
        </w:rPr>
        <w:t>薇</w:t>
      </w:r>
      <w:proofErr w:type="gramEnd"/>
      <w:r>
        <w:rPr>
          <w:rFonts w:hAnsi="Times New Roman" w:hint="eastAsia"/>
          <w:szCs w:val="28"/>
          <w:lang w:val="zh-CN"/>
        </w:rPr>
        <w:t>甘菊监测及防治技术规程的术语和定义</w:t>
      </w:r>
      <w:r>
        <w:rPr>
          <w:rFonts w:hAnsi="Times New Roman" w:hint="eastAsia"/>
          <w:szCs w:val="28"/>
        </w:rPr>
        <w:t>依据《外来入侵植物对自然保护区植物多样性影响评估技术导则》（生</w:t>
      </w:r>
      <w:r>
        <w:rPr>
          <w:rFonts w:hAnsi="Times New Roman" w:hint="eastAsia"/>
          <w:szCs w:val="28"/>
        </w:rPr>
        <w:lastRenderedPageBreak/>
        <w:t>态环境部）及植物检疫条例</w:t>
      </w:r>
      <w:r>
        <w:rPr>
          <w:rFonts w:hAnsi="Times New Roman" w:hint="eastAsia"/>
          <w:szCs w:val="28"/>
        </w:rPr>
        <w:t>(2017</w:t>
      </w:r>
      <w:r>
        <w:rPr>
          <w:rFonts w:hAnsi="Times New Roman" w:hint="eastAsia"/>
          <w:szCs w:val="28"/>
        </w:rPr>
        <w:t>年</w:t>
      </w:r>
      <w:r>
        <w:rPr>
          <w:rFonts w:hAnsi="Times New Roman" w:hint="eastAsia"/>
          <w:szCs w:val="28"/>
        </w:rPr>
        <w:t>10</w:t>
      </w:r>
      <w:r>
        <w:rPr>
          <w:rFonts w:hAnsi="Times New Roman" w:hint="eastAsia"/>
          <w:szCs w:val="28"/>
        </w:rPr>
        <w:t>月</w:t>
      </w:r>
      <w:r>
        <w:rPr>
          <w:rFonts w:hAnsi="Times New Roman" w:hint="eastAsia"/>
          <w:szCs w:val="28"/>
        </w:rPr>
        <w:t>7</w:t>
      </w:r>
      <w:r>
        <w:rPr>
          <w:rFonts w:hAnsi="Times New Roman" w:hint="eastAsia"/>
          <w:szCs w:val="28"/>
        </w:rPr>
        <w:t>日修正版</w:t>
      </w:r>
      <w:r>
        <w:rPr>
          <w:rFonts w:hAnsi="Times New Roman" w:hint="eastAsia"/>
          <w:szCs w:val="28"/>
        </w:rPr>
        <w:t>)</w:t>
      </w:r>
      <w:r>
        <w:rPr>
          <w:rFonts w:hAnsi="Times New Roman" w:hint="eastAsia"/>
          <w:szCs w:val="28"/>
        </w:rPr>
        <w:t>等我国林业有害入侵植物防治工作相关论著、规定</w:t>
      </w:r>
      <w:r>
        <w:rPr>
          <w:rFonts w:hAnsi="Times New Roman" w:hint="eastAsia"/>
          <w:color w:val="FF0000"/>
          <w:szCs w:val="28"/>
          <w:lang w:val="zh-CN"/>
        </w:rPr>
        <w:t>、条例</w:t>
      </w:r>
      <w:r>
        <w:rPr>
          <w:rFonts w:hAnsi="Times New Roman" w:hint="eastAsia"/>
          <w:szCs w:val="28"/>
          <w:lang w:val="zh-CN"/>
        </w:rPr>
        <w:t>讨论修改形成，</w:t>
      </w:r>
      <w:r>
        <w:rPr>
          <w:rFonts w:hAnsi="Times New Roman" w:hint="eastAsia"/>
          <w:color w:val="FF0000"/>
          <w:szCs w:val="28"/>
          <w:lang w:val="zh-CN"/>
        </w:rPr>
        <w:t>规定了人工林、</w:t>
      </w:r>
      <w:proofErr w:type="gramStart"/>
      <w:r>
        <w:rPr>
          <w:rFonts w:hAnsi="Times New Roman" w:hint="eastAsia"/>
          <w:color w:val="FF0000"/>
          <w:szCs w:val="28"/>
          <w:lang w:val="zh-CN"/>
        </w:rPr>
        <w:t>薇</w:t>
      </w:r>
      <w:proofErr w:type="gramEnd"/>
      <w:r>
        <w:rPr>
          <w:rFonts w:hAnsi="Times New Roman" w:hint="eastAsia"/>
          <w:color w:val="FF0000"/>
          <w:szCs w:val="28"/>
          <w:lang w:val="zh-CN"/>
        </w:rPr>
        <w:t>甘菊、盖度、</w:t>
      </w:r>
      <w:proofErr w:type="gramStart"/>
      <w:r>
        <w:rPr>
          <w:rFonts w:hAnsi="Times New Roman" w:hint="eastAsia"/>
          <w:color w:val="FF0000"/>
          <w:szCs w:val="28"/>
          <w:lang w:val="zh-CN"/>
        </w:rPr>
        <w:t>攀爬率</w:t>
      </w:r>
      <w:proofErr w:type="gramEnd"/>
      <w:r>
        <w:rPr>
          <w:rFonts w:hAnsi="Times New Roman" w:hint="eastAsia"/>
          <w:color w:val="FF0000"/>
          <w:szCs w:val="28"/>
          <w:lang w:val="zh-CN"/>
        </w:rPr>
        <w:t>等术语的定义。</w:t>
      </w:r>
    </w:p>
    <w:p w14:paraId="620BB0BA" w14:textId="77777777" w:rsidR="00493EB4" w:rsidRDefault="00795F6A">
      <w:pPr>
        <w:pStyle w:val="af7"/>
        <w:ind w:firstLineChars="200" w:firstLine="640"/>
        <w:rPr>
          <w:rFonts w:hAnsi="Times New Roman"/>
          <w:color w:val="FF0000"/>
          <w:szCs w:val="28"/>
          <w:lang w:val="zh-CN"/>
        </w:rPr>
      </w:pPr>
      <w:r>
        <w:rPr>
          <w:rFonts w:hAnsi="Times New Roman" w:hint="eastAsia"/>
          <w:color w:val="FF0000"/>
          <w:szCs w:val="28"/>
          <w:lang w:val="zh-CN"/>
        </w:rPr>
        <w:t>1</w:t>
      </w:r>
      <w:r>
        <w:rPr>
          <w:rFonts w:hAnsi="Times New Roman" w:hint="eastAsia"/>
          <w:color w:val="FF0000"/>
          <w:szCs w:val="28"/>
          <w:lang w:val="zh-CN"/>
        </w:rPr>
        <w:t>、盖度：指植物地上部分垂直投影的面积占林地面积的比率。依据</w:t>
      </w:r>
      <w:r>
        <w:rPr>
          <w:rFonts w:hAnsi="Times New Roman"/>
          <w:color w:val="FF0000"/>
          <w:szCs w:val="28"/>
          <w:lang w:val="zh-CN"/>
        </w:rPr>
        <w:t>LY/T 2422-2015</w:t>
      </w:r>
      <w:r>
        <w:rPr>
          <w:rFonts w:hAnsi="Times New Roman" w:hint="eastAsia"/>
          <w:color w:val="FF0000"/>
          <w:szCs w:val="28"/>
          <w:lang w:val="zh-CN"/>
        </w:rPr>
        <w:t>《薇甘菊防治技术规程》（覆盖度计算方法）及深圳地方标准</w:t>
      </w:r>
      <w:r>
        <w:rPr>
          <w:rFonts w:hAnsi="Times New Roman"/>
          <w:color w:val="FF0000"/>
          <w:szCs w:val="28"/>
          <w:lang w:val="zh-CN"/>
        </w:rPr>
        <w:t>SZDB/Z 191-2016</w:t>
      </w:r>
      <w:r>
        <w:rPr>
          <w:rFonts w:hAnsi="Times New Roman" w:hint="eastAsia"/>
          <w:color w:val="FF0000"/>
          <w:szCs w:val="28"/>
          <w:lang w:val="zh-CN"/>
        </w:rPr>
        <w:t>（样方设置规范）。</w:t>
      </w:r>
    </w:p>
    <w:p w14:paraId="7250A40A" w14:textId="77777777" w:rsidR="00493EB4" w:rsidRDefault="00795F6A">
      <w:pPr>
        <w:pStyle w:val="af7"/>
        <w:ind w:firstLineChars="200" w:firstLine="640"/>
        <w:rPr>
          <w:rFonts w:hAnsi="Times New Roman"/>
          <w:color w:val="FF0000"/>
          <w:szCs w:val="28"/>
        </w:rPr>
      </w:pPr>
      <w:r>
        <w:rPr>
          <w:rFonts w:hAnsi="Times New Roman" w:hint="eastAsia"/>
          <w:color w:val="FF0000"/>
          <w:szCs w:val="28"/>
          <w:lang w:val="zh-CN"/>
        </w:rPr>
        <w:t>2</w:t>
      </w:r>
      <w:r>
        <w:rPr>
          <w:rFonts w:hAnsi="Times New Roman" w:hint="eastAsia"/>
          <w:color w:val="FF0000"/>
          <w:szCs w:val="28"/>
          <w:lang w:val="zh-CN"/>
        </w:rPr>
        <w:t>、攀爬率：指林分中某一特定植物攀爬或覆盖的林分占总林分的比率。</w:t>
      </w:r>
    </w:p>
    <w:p w14:paraId="128D0BF1" w14:textId="77777777" w:rsidR="00493EB4" w:rsidRDefault="00795F6A">
      <w:pPr>
        <w:spacing w:line="580" w:lineRule="exact"/>
        <w:ind w:firstLineChars="200" w:firstLine="643"/>
        <w:rPr>
          <w:rFonts w:ascii="楷体" w:eastAsia="楷体" w:hAnsi="楷体"/>
          <w:b/>
          <w:sz w:val="32"/>
          <w:szCs w:val="32"/>
          <w:lang w:val="zh-CN"/>
        </w:rPr>
      </w:pPr>
      <w:r>
        <w:rPr>
          <w:rFonts w:ascii="楷体" w:eastAsia="楷体" w:hAnsi="楷体" w:hint="eastAsia"/>
          <w:b/>
          <w:sz w:val="32"/>
          <w:szCs w:val="32"/>
          <w:lang w:val="zh-CN"/>
        </w:rPr>
        <w:t>（二）监测技术</w:t>
      </w:r>
    </w:p>
    <w:p w14:paraId="0767FFE3" w14:textId="77777777" w:rsidR="00493EB4" w:rsidRDefault="00795F6A">
      <w:pPr>
        <w:pStyle w:val="af7"/>
        <w:ind w:firstLine="642"/>
        <w:rPr>
          <w:rFonts w:cs="仿宋_GB2312"/>
          <w:bCs/>
          <w:szCs w:val="32"/>
        </w:rPr>
      </w:pPr>
      <w:r>
        <w:rPr>
          <w:rFonts w:cs="仿宋_GB2312"/>
          <w:bCs/>
          <w:szCs w:val="32"/>
        </w:rPr>
        <w:t>1</w:t>
      </w:r>
      <w:r>
        <w:rPr>
          <w:rFonts w:cs="仿宋_GB2312" w:hint="eastAsia"/>
          <w:bCs/>
          <w:szCs w:val="32"/>
        </w:rPr>
        <w:t>.</w:t>
      </w:r>
      <w:r>
        <w:rPr>
          <w:rFonts w:cs="仿宋_GB2312" w:hint="eastAsia"/>
          <w:bCs/>
          <w:szCs w:val="32"/>
        </w:rPr>
        <w:t>调查频次</w:t>
      </w:r>
    </w:p>
    <w:p w14:paraId="1BEAEC38" w14:textId="77777777" w:rsidR="00493EB4" w:rsidRDefault="00795F6A">
      <w:pPr>
        <w:pStyle w:val="af7"/>
        <w:ind w:firstLine="642"/>
        <w:rPr>
          <w:rFonts w:cs="仿宋_GB2312"/>
          <w:bCs/>
          <w:color w:val="FF0000"/>
          <w:szCs w:val="32"/>
        </w:rPr>
      </w:pPr>
      <w:r>
        <w:rPr>
          <w:rFonts w:cs="仿宋_GB2312" w:hint="eastAsia"/>
          <w:bCs/>
          <w:color w:val="FF0000"/>
          <w:szCs w:val="32"/>
        </w:rPr>
        <w:t>监测技术在原有</w:t>
      </w:r>
      <w:r>
        <w:rPr>
          <w:rFonts w:cs="仿宋_GB2312"/>
          <w:bCs/>
          <w:color w:val="FF0000"/>
          <w:szCs w:val="32"/>
        </w:rPr>
        <w:t>LY/T 2422-2015</w:t>
      </w:r>
      <w:r>
        <w:rPr>
          <w:rFonts w:cs="仿宋_GB2312"/>
          <w:bCs/>
          <w:color w:val="FF0000"/>
          <w:szCs w:val="32"/>
        </w:rPr>
        <w:t>等标准的基础上，新增引用了</w:t>
      </w:r>
      <w:r>
        <w:rPr>
          <w:rFonts w:cs="仿宋_GB2312"/>
          <w:bCs/>
          <w:color w:val="FF0000"/>
          <w:szCs w:val="32"/>
        </w:rPr>
        <w:t>NY/T 1865-2010</w:t>
      </w:r>
      <w:r>
        <w:rPr>
          <w:rFonts w:cs="仿宋_GB2312"/>
          <w:bCs/>
          <w:color w:val="FF0000"/>
          <w:szCs w:val="32"/>
        </w:rPr>
        <w:t>、</w:t>
      </w:r>
      <w:r>
        <w:rPr>
          <w:rFonts w:cs="仿宋_GB2312"/>
          <w:bCs/>
          <w:color w:val="FF0000"/>
          <w:szCs w:val="32"/>
        </w:rPr>
        <w:t>LY/T 2779-2016</w:t>
      </w:r>
      <w:r>
        <w:rPr>
          <w:rFonts w:cs="仿宋_GB2312"/>
          <w:bCs/>
          <w:color w:val="FF0000"/>
          <w:szCs w:val="32"/>
        </w:rPr>
        <w:t>、</w:t>
      </w:r>
      <w:r>
        <w:rPr>
          <w:rFonts w:cs="仿宋_GB2312"/>
          <w:bCs/>
          <w:color w:val="FF0000"/>
          <w:szCs w:val="32"/>
        </w:rPr>
        <w:t>SZDB/Z 191-2016</w:t>
      </w:r>
      <w:r>
        <w:rPr>
          <w:rFonts w:cs="仿宋_GB2312"/>
          <w:bCs/>
          <w:color w:val="FF0000"/>
          <w:szCs w:val="32"/>
        </w:rPr>
        <w:t>、</w:t>
      </w:r>
      <w:r>
        <w:rPr>
          <w:rFonts w:cs="仿宋_GB2312"/>
          <w:bCs/>
          <w:color w:val="FF0000"/>
          <w:szCs w:val="32"/>
        </w:rPr>
        <w:t>DB53/T 532-2013</w:t>
      </w:r>
      <w:r>
        <w:rPr>
          <w:rFonts w:cs="仿宋_GB2312"/>
          <w:bCs/>
          <w:color w:val="FF0000"/>
          <w:szCs w:val="32"/>
        </w:rPr>
        <w:t>等标准规定。本标准的监测频次（</w:t>
      </w:r>
      <w:r>
        <w:rPr>
          <w:rFonts w:cs="仿宋_GB2312"/>
          <w:bCs/>
          <w:color w:val="FF0000"/>
          <w:szCs w:val="32"/>
        </w:rPr>
        <w:t>5-6</w:t>
      </w:r>
      <w:r>
        <w:rPr>
          <w:rFonts w:cs="仿宋_GB2312"/>
          <w:bCs/>
          <w:color w:val="FF0000"/>
          <w:szCs w:val="32"/>
        </w:rPr>
        <w:t>月、</w:t>
      </w:r>
      <w:r>
        <w:rPr>
          <w:rFonts w:cs="仿宋_GB2312"/>
          <w:bCs/>
          <w:color w:val="FF0000"/>
          <w:szCs w:val="32"/>
        </w:rPr>
        <w:t>10-11</w:t>
      </w:r>
      <w:r>
        <w:rPr>
          <w:rFonts w:cs="仿宋_GB2312"/>
          <w:bCs/>
          <w:color w:val="FF0000"/>
          <w:szCs w:val="32"/>
        </w:rPr>
        <w:t>月）、踏查方法及标准地设置（</w:t>
      </w:r>
      <w:r>
        <w:rPr>
          <w:rFonts w:cs="仿宋_GB2312"/>
          <w:bCs/>
          <w:color w:val="FF0000"/>
          <w:szCs w:val="32"/>
        </w:rPr>
        <w:t>40 m×40 m</w:t>
      </w:r>
      <w:r>
        <w:rPr>
          <w:rFonts w:cs="仿宋_GB2312"/>
          <w:bCs/>
          <w:color w:val="FF0000"/>
          <w:szCs w:val="32"/>
        </w:rPr>
        <w:t>，不少于</w:t>
      </w:r>
      <w:r>
        <w:rPr>
          <w:rFonts w:cs="仿宋_GB2312"/>
          <w:bCs/>
          <w:color w:val="FF0000"/>
          <w:szCs w:val="32"/>
        </w:rPr>
        <w:t>3</w:t>
      </w:r>
      <w:r>
        <w:rPr>
          <w:rFonts w:cs="仿宋_GB2312"/>
          <w:bCs/>
          <w:color w:val="FF0000"/>
          <w:szCs w:val="32"/>
        </w:rPr>
        <w:t>个重复）等内容，在契合广西物候特征的同时，充分符合</w:t>
      </w:r>
      <w:r>
        <w:rPr>
          <w:rFonts w:cs="仿宋_GB2312"/>
          <w:bCs/>
          <w:color w:val="FF0000"/>
          <w:szCs w:val="32"/>
        </w:rPr>
        <w:t>NY/T 1865-2010</w:t>
      </w:r>
      <w:r>
        <w:rPr>
          <w:rFonts w:cs="仿宋_GB2312"/>
          <w:bCs/>
          <w:color w:val="FF0000"/>
          <w:szCs w:val="32"/>
        </w:rPr>
        <w:t>的技术要求，确保了监测方法的科学性、规范性</w:t>
      </w:r>
      <w:r>
        <w:rPr>
          <w:rFonts w:cs="仿宋_GB2312"/>
          <w:bCs/>
          <w:color w:val="FF0000"/>
          <w:szCs w:val="32"/>
        </w:rPr>
        <w:t>和与国内先进标准的协调性。</w:t>
      </w:r>
    </w:p>
    <w:p w14:paraId="543704BE" w14:textId="77777777" w:rsidR="00493EB4" w:rsidRDefault="00795F6A">
      <w:pPr>
        <w:pStyle w:val="af7"/>
        <w:numPr>
          <w:ilvl w:val="255"/>
          <w:numId w:val="0"/>
        </w:numPr>
        <w:ind w:left="751"/>
      </w:pPr>
      <w:bookmarkStart w:id="2" w:name="_Toc187246031"/>
      <w:r>
        <w:rPr>
          <w:rFonts w:hint="eastAsia"/>
        </w:rPr>
        <w:t>2.</w:t>
      </w:r>
      <w:r>
        <w:rPr>
          <w:rFonts w:hint="eastAsia"/>
        </w:rPr>
        <w:t>调查方法</w:t>
      </w:r>
      <w:bookmarkEnd w:id="2"/>
    </w:p>
    <w:p w14:paraId="5DC0753E" w14:textId="77777777" w:rsidR="00493EB4" w:rsidRDefault="00795F6A">
      <w:pPr>
        <w:pStyle w:val="af7"/>
        <w:numPr>
          <w:ilvl w:val="255"/>
          <w:numId w:val="0"/>
        </w:numPr>
        <w:ind w:left="751"/>
      </w:pPr>
      <w:r>
        <w:rPr>
          <w:rFonts w:hint="eastAsia"/>
        </w:rPr>
        <w:t xml:space="preserve">2.1 </w:t>
      </w:r>
      <w:r>
        <w:rPr>
          <w:rFonts w:hint="eastAsia"/>
        </w:rPr>
        <w:t>踏查</w:t>
      </w:r>
    </w:p>
    <w:p w14:paraId="3B04D436" w14:textId="77777777" w:rsidR="00493EB4" w:rsidRDefault="00795F6A">
      <w:pPr>
        <w:pStyle w:val="af7"/>
        <w:ind w:firstLine="642"/>
        <w:rPr>
          <w:rFonts w:cs="仿宋_GB2312"/>
          <w:bCs/>
          <w:szCs w:val="32"/>
        </w:rPr>
      </w:pPr>
      <w:r>
        <w:rPr>
          <w:rFonts w:cs="仿宋_GB2312" w:hint="eastAsia"/>
          <w:bCs/>
          <w:szCs w:val="32"/>
        </w:rPr>
        <w:t>在桉树人工林林分内设置踏查路线，采用</w:t>
      </w:r>
      <w:r>
        <w:rPr>
          <w:rFonts w:cs="仿宋_GB2312"/>
          <w:bCs/>
          <w:szCs w:val="32"/>
        </w:rPr>
        <w:t>GPS</w:t>
      </w:r>
      <w:r>
        <w:rPr>
          <w:rFonts w:cs="仿宋_GB2312"/>
          <w:bCs/>
          <w:szCs w:val="32"/>
        </w:rPr>
        <w:t>定位仪、无人机等工具对</w:t>
      </w:r>
      <w:proofErr w:type="gramStart"/>
      <w:r>
        <w:rPr>
          <w:rFonts w:cs="仿宋_GB2312"/>
          <w:bCs/>
          <w:szCs w:val="32"/>
        </w:rPr>
        <w:t>薇</w:t>
      </w:r>
      <w:proofErr w:type="gramEnd"/>
      <w:r>
        <w:rPr>
          <w:rFonts w:cs="仿宋_GB2312"/>
          <w:bCs/>
          <w:szCs w:val="32"/>
        </w:rPr>
        <w:t>甘菊的分布地点、发生程度进行调查记录。对发现存在</w:t>
      </w:r>
      <w:proofErr w:type="gramStart"/>
      <w:r>
        <w:rPr>
          <w:rFonts w:cs="仿宋_GB2312"/>
          <w:bCs/>
          <w:szCs w:val="32"/>
        </w:rPr>
        <w:t>薇</w:t>
      </w:r>
      <w:proofErr w:type="gramEnd"/>
      <w:r>
        <w:rPr>
          <w:rFonts w:cs="仿宋_GB2312"/>
          <w:bCs/>
          <w:szCs w:val="32"/>
        </w:rPr>
        <w:t>甘菊危害的林地进行调查标准地设置。</w:t>
      </w:r>
    </w:p>
    <w:p w14:paraId="37126F4D" w14:textId="77777777" w:rsidR="00493EB4" w:rsidRDefault="00795F6A">
      <w:pPr>
        <w:pStyle w:val="af7"/>
        <w:numPr>
          <w:ilvl w:val="255"/>
          <w:numId w:val="0"/>
        </w:numPr>
        <w:ind w:left="751"/>
      </w:pPr>
      <w:r>
        <w:rPr>
          <w:rFonts w:hint="eastAsia"/>
        </w:rPr>
        <w:t xml:space="preserve">2.2 </w:t>
      </w:r>
      <w:r>
        <w:rPr>
          <w:rFonts w:hint="eastAsia"/>
        </w:rPr>
        <w:t>调查标准地设置</w:t>
      </w:r>
    </w:p>
    <w:p w14:paraId="4DCD0CCC" w14:textId="77777777" w:rsidR="00493EB4" w:rsidRDefault="00795F6A">
      <w:pPr>
        <w:pStyle w:val="af7"/>
        <w:ind w:firstLine="642"/>
      </w:pPr>
      <w:r>
        <w:rPr>
          <w:rFonts w:cs="仿宋_GB2312" w:hint="eastAsia"/>
          <w:bCs/>
          <w:szCs w:val="32"/>
        </w:rPr>
        <w:lastRenderedPageBreak/>
        <w:t>选择具有代表性的桉树人工林地段，包括不同林龄、不同郁闭度、不同坡向</w:t>
      </w:r>
      <w:proofErr w:type="gramStart"/>
      <w:r>
        <w:rPr>
          <w:rFonts w:cs="仿宋_GB2312" w:hint="eastAsia"/>
          <w:bCs/>
          <w:szCs w:val="32"/>
        </w:rPr>
        <w:t>和坡位的</w:t>
      </w:r>
      <w:proofErr w:type="gramEnd"/>
      <w:r>
        <w:rPr>
          <w:rFonts w:cs="仿宋_GB2312" w:hint="eastAsia"/>
          <w:bCs/>
          <w:szCs w:val="32"/>
        </w:rPr>
        <w:t>林地，优先选择</w:t>
      </w:r>
      <w:proofErr w:type="gramStart"/>
      <w:r>
        <w:rPr>
          <w:rFonts w:cs="仿宋_GB2312" w:hint="eastAsia"/>
          <w:bCs/>
          <w:szCs w:val="32"/>
        </w:rPr>
        <w:t>薇</w:t>
      </w:r>
      <w:proofErr w:type="gramEnd"/>
      <w:r>
        <w:rPr>
          <w:rFonts w:cs="仿宋_GB2312" w:hint="eastAsia"/>
          <w:bCs/>
          <w:szCs w:val="32"/>
        </w:rPr>
        <w:t>甘</w:t>
      </w:r>
      <w:proofErr w:type="gramStart"/>
      <w:r>
        <w:rPr>
          <w:rFonts w:cs="仿宋_GB2312" w:hint="eastAsia"/>
          <w:bCs/>
          <w:szCs w:val="32"/>
        </w:rPr>
        <w:t>菊发生</w:t>
      </w:r>
      <w:proofErr w:type="gramEnd"/>
      <w:r>
        <w:rPr>
          <w:rFonts w:cs="仿宋_GB2312" w:hint="eastAsia"/>
          <w:bCs/>
          <w:szCs w:val="32"/>
        </w:rPr>
        <w:t>较为严重的地段设置调查标准地。桉树人工林内调查标准地面积设置为</w:t>
      </w:r>
      <w:r>
        <w:rPr>
          <w:rFonts w:cs="仿宋_GB2312"/>
          <w:bCs/>
          <w:szCs w:val="32"/>
        </w:rPr>
        <w:t>40 m×40 m</w:t>
      </w:r>
      <w:r>
        <w:rPr>
          <w:rFonts w:cs="仿宋_GB2312"/>
          <w:bCs/>
          <w:szCs w:val="32"/>
        </w:rPr>
        <w:t>，同一类型的样地设置不少于</w:t>
      </w:r>
      <w:r>
        <w:rPr>
          <w:rFonts w:cs="仿宋_GB2312"/>
          <w:bCs/>
          <w:szCs w:val="32"/>
        </w:rPr>
        <w:t>3</w:t>
      </w:r>
      <w:r>
        <w:rPr>
          <w:rFonts w:cs="仿宋_GB2312"/>
          <w:bCs/>
          <w:szCs w:val="32"/>
        </w:rPr>
        <w:t>个重复。记录标准地的详细</w:t>
      </w:r>
      <w:r>
        <w:rPr>
          <w:rFonts w:cs="仿宋_GB2312"/>
          <w:bCs/>
          <w:szCs w:val="32"/>
        </w:rPr>
        <w:t>GPS</w:t>
      </w:r>
      <w:r>
        <w:rPr>
          <w:rFonts w:cs="仿宋_GB2312"/>
          <w:bCs/>
          <w:szCs w:val="32"/>
        </w:rPr>
        <w:t>定位，记录</w:t>
      </w:r>
      <w:proofErr w:type="gramStart"/>
      <w:r>
        <w:rPr>
          <w:rFonts w:cs="仿宋_GB2312"/>
          <w:bCs/>
          <w:szCs w:val="32"/>
        </w:rPr>
        <w:t>薇</w:t>
      </w:r>
      <w:proofErr w:type="gramEnd"/>
      <w:r>
        <w:rPr>
          <w:rFonts w:cs="仿宋_GB2312"/>
          <w:bCs/>
          <w:szCs w:val="32"/>
        </w:rPr>
        <w:t>甘菊的分布、盖度、攀爬率。</w:t>
      </w:r>
    </w:p>
    <w:p w14:paraId="22373D05" w14:textId="77777777" w:rsidR="00493EB4" w:rsidRDefault="00795F6A">
      <w:pPr>
        <w:pStyle w:val="af7"/>
        <w:numPr>
          <w:ilvl w:val="255"/>
          <w:numId w:val="0"/>
        </w:numPr>
        <w:ind w:left="751"/>
        <w:rPr>
          <w:b/>
          <w:bCs/>
        </w:rPr>
      </w:pPr>
      <w:bookmarkStart w:id="3" w:name="_Toc187246032"/>
      <w:bookmarkStart w:id="4" w:name="_Toc21581"/>
      <w:bookmarkStart w:id="5" w:name="_Toc187246065"/>
      <w:r>
        <w:rPr>
          <w:rFonts w:hint="eastAsia"/>
          <w:b/>
          <w:bCs/>
        </w:rPr>
        <w:t>（三）</w:t>
      </w:r>
      <w:proofErr w:type="gramStart"/>
      <w:r>
        <w:rPr>
          <w:rFonts w:hint="eastAsia"/>
          <w:b/>
          <w:bCs/>
        </w:rPr>
        <w:t>薇</w:t>
      </w:r>
      <w:proofErr w:type="gramEnd"/>
      <w:r>
        <w:rPr>
          <w:rFonts w:hint="eastAsia"/>
          <w:b/>
          <w:bCs/>
        </w:rPr>
        <w:t>甘菊危害风险评估</w:t>
      </w:r>
      <w:bookmarkEnd w:id="3"/>
      <w:bookmarkEnd w:id="4"/>
      <w:bookmarkEnd w:id="5"/>
    </w:p>
    <w:p w14:paraId="02F10B53" w14:textId="77777777" w:rsidR="00493EB4" w:rsidRDefault="00795F6A">
      <w:pPr>
        <w:pStyle w:val="af7"/>
        <w:numPr>
          <w:ilvl w:val="255"/>
          <w:numId w:val="0"/>
        </w:numPr>
        <w:ind w:left="751"/>
      </w:pPr>
      <w:r>
        <w:rPr>
          <w:rFonts w:hint="eastAsia"/>
        </w:rPr>
        <w:t>1</w:t>
      </w:r>
      <w:bookmarkStart w:id="6" w:name="_Toc187246033"/>
      <w:r>
        <w:rPr>
          <w:rFonts w:hint="eastAsia"/>
        </w:rPr>
        <w:t>.</w:t>
      </w:r>
      <w:r>
        <w:rPr>
          <w:rFonts w:hint="eastAsia"/>
        </w:rPr>
        <w:t>盖度划分</w:t>
      </w:r>
      <w:bookmarkEnd w:id="6"/>
    </w:p>
    <w:p w14:paraId="344FB30A" w14:textId="77777777" w:rsidR="00493EB4" w:rsidRDefault="00795F6A">
      <w:pPr>
        <w:pStyle w:val="af7"/>
        <w:ind w:firstLine="642"/>
      </w:pPr>
      <w:r>
        <w:rPr>
          <w:rFonts w:cs="仿宋_GB2312" w:hint="eastAsia"/>
          <w:bCs/>
          <w:szCs w:val="32"/>
        </w:rPr>
        <w:t>根据</w:t>
      </w:r>
      <w:proofErr w:type="gramStart"/>
      <w:r>
        <w:rPr>
          <w:rFonts w:cs="仿宋_GB2312" w:hint="eastAsia"/>
          <w:bCs/>
          <w:szCs w:val="32"/>
        </w:rPr>
        <w:t>薇</w:t>
      </w:r>
      <w:proofErr w:type="gramEnd"/>
      <w:r>
        <w:rPr>
          <w:rFonts w:cs="仿宋_GB2312" w:hint="eastAsia"/>
          <w:bCs/>
          <w:szCs w:val="32"/>
        </w:rPr>
        <w:t>甘菊在桉树人工林内的盖度比，将</w:t>
      </w:r>
      <w:proofErr w:type="gramStart"/>
      <w:r>
        <w:rPr>
          <w:rFonts w:cs="仿宋_GB2312" w:hint="eastAsia"/>
          <w:bCs/>
          <w:szCs w:val="32"/>
        </w:rPr>
        <w:t>薇</w:t>
      </w:r>
      <w:proofErr w:type="gramEnd"/>
      <w:r>
        <w:rPr>
          <w:rFonts w:cs="仿宋_GB2312" w:hint="eastAsia"/>
          <w:bCs/>
          <w:szCs w:val="32"/>
        </w:rPr>
        <w:t>甘</w:t>
      </w:r>
      <w:proofErr w:type="gramStart"/>
      <w:r>
        <w:rPr>
          <w:rFonts w:cs="仿宋_GB2312" w:hint="eastAsia"/>
          <w:bCs/>
          <w:szCs w:val="32"/>
        </w:rPr>
        <w:t>菊存在</w:t>
      </w:r>
      <w:proofErr w:type="gramEnd"/>
      <w:r>
        <w:rPr>
          <w:rFonts w:cs="仿宋_GB2312" w:hint="eastAsia"/>
          <w:bCs/>
          <w:szCs w:val="32"/>
        </w:rPr>
        <w:t>风险定为四个等级：</w:t>
      </w:r>
    </w:p>
    <w:p w14:paraId="05532D3B" w14:textId="77777777" w:rsidR="00493EB4" w:rsidRDefault="00795F6A">
      <w:pPr>
        <w:pStyle w:val="af7"/>
        <w:ind w:firstLine="642"/>
        <w:rPr>
          <w:rFonts w:cs="仿宋_GB2312"/>
          <w:bCs/>
          <w:szCs w:val="32"/>
        </w:rPr>
      </w:pPr>
      <w:r>
        <w:rPr>
          <w:rFonts w:cs="仿宋_GB2312" w:hint="eastAsia"/>
          <w:bCs/>
          <w:szCs w:val="32"/>
        </w:rPr>
        <w:t>暂无风险：</w:t>
      </w:r>
      <w:r>
        <w:rPr>
          <w:rFonts w:cs="仿宋_GB2312"/>
          <w:bCs/>
          <w:szCs w:val="32"/>
        </w:rPr>
        <w:t>0</w:t>
      </w:r>
      <w:r>
        <w:rPr>
          <w:rFonts w:cs="仿宋_GB2312"/>
          <w:bCs/>
          <w:szCs w:val="32"/>
        </w:rPr>
        <w:t>～</w:t>
      </w:r>
      <w:r>
        <w:rPr>
          <w:rFonts w:cs="仿宋_GB2312"/>
          <w:bCs/>
          <w:szCs w:val="32"/>
        </w:rPr>
        <w:t>10%</w:t>
      </w:r>
    </w:p>
    <w:p w14:paraId="3E11EB56" w14:textId="77777777" w:rsidR="00493EB4" w:rsidRDefault="00795F6A">
      <w:pPr>
        <w:pStyle w:val="af7"/>
        <w:ind w:firstLine="642"/>
        <w:rPr>
          <w:rFonts w:cs="仿宋_GB2312"/>
          <w:bCs/>
          <w:szCs w:val="32"/>
        </w:rPr>
      </w:pPr>
      <w:r>
        <w:rPr>
          <w:rFonts w:cs="仿宋_GB2312" w:hint="eastAsia"/>
          <w:bCs/>
          <w:szCs w:val="32"/>
        </w:rPr>
        <w:t>轻度风险：</w:t>
      </w:r>
      <w:r>
        <w:rPr>
          <w:rFonts w:cs="仿宋_GB2312"/>
          <w:bCs/>
          <w:szCs w:val="32"/>
        </w:rPr>
        <w:t>10</w:t>
      </w:r>
      <w:r>
        <w:rPr>
          <w:rFonts w:cs="仿宋_GB2312"/>
          <w:bCs/>
          <w:szCs w:val="32"/>
        </w:rPr>
        <w:t>～</w:t>
      </w:r>
      <w:r>
        <w:rPr>
          <w:rFonts w:cs="仿宋_GB2312"/>
          <w:bCs/>
          <w:szCs w:val="32"/>
        </w:rPr>
        <w:t>30%</w:t>
      </w:r>
    </w:p>
    <w:p w14:paraId="116EF2E9" w14:textId="77777777" w:rsidR="00493EB4" w:rsidRDefault="00795F6A">
      <w:pPr>
        <w:pStyle w:val="af7"/>
        <w:ind w:firstLine="642"/>
        <w:rPr>
          <w:rFonts w:cs="仿宋_GB2312"/>
          <w:bCs/>
          <w:szCs w:val="32"/>
        </w:rPr>
      </w:pPr>
      <w:r>
        <w:rPr>
          <w:rFonts w:cs="仿宋_GB2312" w:hint="eastAsia"/>
          <w:bCs/>
          <w:szCs w:val="32"/>
        </w:rPr>
        <w:t>中度风险：</w:t>
      </w:r>
      <w:r>
        <w:rPr>
          <w:rFonts w:cs="仿宋_GB2312"/>
          <w:bCs/>
          <w:szCs w:val="32"/>
        </w:rPr>
        <w:t>30</w:t>
      </w:r>
      <w:r>
        <w:rPr>
          <w:rFonts w:cs="仿宋_GB2312"/>
          <w:bCs/>
          <w:szCs w:val="32"/>
        </w:rPr>
        <w:t>～</w:t>
      </w:r>
      <w:r>
        <w:rPr>
          <w:rFonts w:cs="仿宋_GB2312"/>
          <w:bCs/>
          <w:szCs w:val="32"/>
        </w:rPr>
        <w:t>60%</w:t>
      </w:r>
    </w:p>
    <w:p w14:paraId="28F2B11C" w14:textId="77777777" w:rsidR="00493EB4" w:rsidRDefault="00795F6A">
      <w:pPr>
        <w:pStyle w:val="af7"/>
        <w:ind w:firstLine="642"/>
        <w:rPr>
          <w:rFonts w:cs="仿宋_GB2312"/>
          <w:bCs/>
          <w:szCs w:val="32"/>
        </w:rPr>
      </w:pPr>
      <w:r>
        <w:rPr>
          <w:rFonts w:cs="仿宋_GB2312" w:hint="eastAsia"/>
          <w:bCs/>
          <w:szCs w:val="32"/>
        </w:rPr>
        <w:t>重度风险：</w:t>
      </w:r>
      <w:r>
        <w:rPr>
          <w:rFonts w:cs="仿宋_GB2312"/>
          <w:bCs/>
          <w:szCs w:val="32"/>
        </w:rPr>
        <w:t>60%</w:t>
      </w:r>
      <w:r>
        <w:rPr>
          <w:rFonts w:cs="仿宋_GB2312"/>
          <w:bCs/>
          <w:szCs w:val="32"/>
        </w:rPr>
        <w:t>以上</w:t>
      </w:r>
    </w:p>
    <w:p w14:paraId="6541BB58" w14:textId="77777777" w:rsidR="00493EB4" w:rsidRDefault="00795F6A">
      <w:pPr>
        <w:pStyle w:val="af7"/>
        <w:numPr>
          <w:ilvl w:val="255"/>
          <w:numId w:val="0"/>
        </w:numPr>
        <w:ind w:left="751"/>
      </w:pPr>
      <w:r>
        <w:rPr>
          <w:rFonts w:hint="eastAsia"/>
        </w:rPr>
        <w:t>2.</w:t>
      </w:r>
      <w:proofErr w:type="gramStart"/>
      <w:r>
        <w:rPr>
          <w:rFonts w:hint="eastAsia"/>
        </w:rPr>
        <w:t>攀爬率</w:t>
      </w:r>
      <w:proofErr w:type="gramEnd"/>
      <w:r>
        <w:rPr>
          <w:rFonts w:hint="eastAsia"/>
        </w:rPr>
        <w:t>划分</w:t>
      </w:r>
    </w:p>
    <w:p w14:paraId="273CB205" w14:textId="77777777" w:rsidR="00493EB4" w:rsidRDefault="00795F6A">
      <w:pPr>
        <w:pStyle w:val="af7"/>
        <w:ind w:firstLine="642"/>
        <w:rPr>
          <w:rFonts w:cs="仿宋_GB2312"/>
          <w:bCs/>
          <w:szCs w:val="32"/>
        </w:rPr>
      </w:pPr>
      <w:r>
        <w:rPr>
          <w:rFonts w:cs="仿宋_GB2312" w:hint="eastAsia"/>
          <w:bCs/>
          <w:szCs w:val="32"/>
        </w:rPr>
        <w:t>暂无风险：</w:t>
      </w:r>
      <w:r>
        <w:rPr>
          <w:rFonts w:cs="仿宋_GB2312"/>
          <w:bCs/>
          <w:szCs w:val="32"/>
        </w:rPr>
        <w:t>0</w:t>
      </w:r>
      <w:r>
        <w:rPr>
          <w:rFonts w:cs="仿宋_GB2312"/>
          <w:bCs/>
          <w:szCs w:val="32"/>
        </w:rPr>
        <w:t>～</w:t>
      </w:r>
      <w:r>
        <w:rPr>
          <w:rFonts w:cs="仿宋_GB2312"/>
          <w:bCs/>
          <w:szCs w:val="32"/>
        </w:rPr>
        <w:t>5%</w:t>
      </w:r>
    </w:p>
    <w:p w14:paraId="0C2647BB" w14:textId="77777777" w:rsidR="00493EB4" w:rsidRDefault="00795F6A">
      <w:pPr>
        <w:pStyle w:val="af7"/>
        <w:ind w:firstLine="642"/>
        <w:rPr>
          <w:rFonts w:cs="仿宋_GB2312"/>
          <w:bCs/>
          <w:szCs w:val="32"/>
        </w:rPr>
      </w:pPr>
      <w:r>
        <w:rPr>
          <w:rFonts w:cs="仿宋_GB2312" w:hint="eastAsia"/>
          <w:bCs/>
          <w:szCs w:val="32"/>
        </w:rPr>
        <w:t>轻度风险：</w:t>
      </w:r>
      <w:r>
        <w:rPr>
          <w:rFonts w:cs="仿宋_GB2312"/>
          <w:bCs/>
          <w:szCs w:val="32"/>
        </w:rPr>
        <w:t>5</w:t>
      </w:r>
      <w:r>
        <w:rPr>
          <w:rFonts w:cs="仿宋_GB2312"/>
          <w:bCs/>
          <w:szCs w:val="32"/>
        </w:rPr>
        <w:t>～</w:t>
      </w:r>
      <w:r>
        <w:rPr>
          <w:rFonts w:cs="仿宋_GB2312"/>
          <w:bCs/>
          <w:szCs w:val="32"/>
        </w:rPr>
        <w:t>20%</w:t>
      </w:r>
    </w:p>
    <w:p w14:paraId="17DDCF00" w14:textId="77777777" w:rsidR="00493EB4" w:rsidRDefault="00795F6A">
      <w:pPr>
        <w:pStyle w:val="af7"/>
        <w:ind w:firstLine="642"/>
        <w:rPr>
          <w:rFonts w:cs="仿宋_GB2312"/>
          <w:bCs/>
          <w:szCs w:val="32"/>
        </w:rPr>
      </w:pPr>
      <w:r>
        <w:rPr>
          <w:rFonts w:cs="仿宋_GB2312" w:hint="eastAsia"/>
          <w:bCs/>
          <w:szCs w:val="32"/>
        </w:rPr>
        <w:t>中度风险：</w:t>
      </w:r>
      <w:r>
        <w:rPr>
          <w:rFonts w:cs="仿宋_GB2312"/>
          <w:bCs/>
          <w:szCs w:val="32"/>
        </w:rPr>
        <w:t>20</w:t>
      </w:r>
      <w:r>
        <w:rPr>
          <w:rFonts w:cs="仿宋_GB2312"/>
          <w:bCs/>
          <w:szCs w:val="32"/>
        </w:rPr>
        <w:t>～</w:t>
      </w:r>
      <w:r>
        <w:rPr>
          <w:rFonts w:cs="仿宋_GB2312"/>
          <w:bCs/>
          <w:szCs w:val="32"/>
        </w:rPr>
        <w:t>40%</w:t>
      </w:r>
    </w:p>
    <w:p w14:paraId="35F42C09" w14:textId="77777777" w:rsidR="00493EB4" w:rsidRDefault="00795F6A">
      <w:pPr>
        <w:pStyle w:val="af7"/>
        <w:ind w:firstLine="642"/>
        <w:rPr>
          <w:rFonts w:cs="仿宋_GB2312"/>
          <w:bCs/>
          <w:szCs w:val="32"/>
        </w:rPr>
      </w:pPr>
      <w:r>
        <w:rPr>
          <w:rFonts w:cs="仿宋_GB2312" w:hint="eastAsia"/>
          <w:bCs/>
          <w:szCs w:val="32"/>
        </w:rPr>
        <w:t>重度风险：</w:t>
      </w:r>
      <w:r>
        <w:rPr>
          <w:rFonts w:cs="仿宋_GB2312"/>
          <w:bCs/>
          <w:szCs w:val="32"/>
        </w:rPr>
        <w:t>40%</w:t>
      </w:r>
      <w:r>
        <w:rPr>
          <w:rFonts w:cs="仿宋_GB2312"/>
          <w:bCs/>
          <w:szCs w:val="32"/>
        </w:rPr>
        <w:t>以上</w:t>
      </w:r>
    </w:p>
    <w:p w14:paraId="708E5D55" w14:textId="77777777" w:rsidR="00493EB4" w:rsidRDefault="00795F6A">
      <w:pPr>
        <w:spacing w:line="580" w:lineRule="exact"/>
        <w:ind w:firstLineChars="200" w:firstLine="640"/>
        <w:rPr>
          <w:rFonts w:eastAsia="仿宋_GB2312"/>
          <w:color w:val="FF0000"/>
          <w:lang w:val="zh-CN"/>
        </w:rPr>
      </w:pPr>
      <w:r>
        <w:rPr>
          <w:rFonts w:eastAsia="仿宋_GB2312"/>
          <w:color w:val="FF0000"/>
          <w:sz w:val="32"/>
          <w:szCs w:val="28"/>
          <w:lang w:val="zh-CN"/>
        </w:rPr>
        <w:t>参考并基于广西壮族自治区国有博白林场</w:t>
      </w:r>
      <w:r>
        <w:rPr>
          <w:rFonts w:eastAsia="仿宋_GB2312"/>
          <w:color w:val="FF0000"/>
          <w:sz w:val="32"/>
          <w:szCs w:val="28"/>
          <w:lang w:val="zh-CN"/>
        </w:rPr>
        <w:t>2020-2024</w:t>
      </w:r>
      <w:r>
        <w:rPr>
          <w:rFonts w:eastAsia="仿宋_GB2312"/>
          <w:color w:val="FF0000"/>
          <w:sz w:val="32"/>
          <w:szCs w:val="28"/>
          <w:lang w:val="zh-CN"/>
        </w:rPr>
        <w:t>年防控试验数据、《广西国有博白林场薇甘菊危害现状及防控措施》（广西林业科学</w:t>
      </w:r>
      <w:r>
        <w:rPr>
          <w:rFonts w:eastAsia="仿宋_GB2312"/>
          <w:color w:val="FF0000"/>
          <w:sz w:val="32"/>
          <w:szCs w:val="28"/>
          <w:lang w:val="zh-CN"/>
        </w:rPr>
        <w:t>2022</w:t>
      </w:r>
      <w:r>
        <w:rPr>
          <w:rFonts w:eastAsia="仿宋_GB2312"/>
          <w:color w:val="FF0000"/>
          <w:sz w:val="32"/>
          <w:szCs w:val="28"/>
          <w:lang w:val="zh-CN"/>
        </w:rPr>
        <w:t>年第</w:t>
      </w:r>
      <w:r>
        <w:rPr>
          <w:rFonts w:eastAsia="仿宋_GB2312"/>
          <w:color w:val="FF0000"/>
          <w:sz w:val="32"/>
          <w:szCs w:val="28"/>
          <w:lang w:val="zh-CN"/>
        </w:rPr>
        <w:t>51</w:t>
      </w:r>
      <w:r>
        <w:rPr>
          <w:rFonts w:eastAsia="仿宋_GB2312"/>
          <w:color w:val="FF0000"/>
          <w:sz w:val="32"/>
          <w:szCs w:val="28"/>
          <w:lang w:val="zh-CN"/>
        </w:rPr>
        <w:t>卷第</w:t>
      </w:r>
      <w:r>
        <w:rPr>
          <w:rFonts w:eastAsia="仿宋_GB2312"/>
          <w:color w:val="FF0000"/>
          <w:sz w:val="32"/>
          <w:szCs w:val="28"/>
          <w:lang w:val="zh-CN"/>
        </w:rPr>
        <w:t>3</w:t>
      </w:r>
      <w:r>
        <w:rPr>
          <w:rFonts w:eastAsia="仿宋_GB2312"/>
          <w:color w:val="FF0000"/>
          <w:sz w:val="32"/>
          <w:szCs w:val="28"/>
          <w:lang w:val="zh-CN"/>
        </w:rPr>
        <w:t>期）、《广西国有博白林场薇甘菊危害现状及综合防控策略》（南方</w:t>
      </w:r>
      <w:r>
        <w:rPr>
          <w:rFonts w:eastAsia="仿宋_GB2312"/>
          <w:color w:val="FF0000"/>
          <w:sz w:val="32"/>
          <w:szCs w:val="28"/>
          <w:lang w:val="zh-CN"/>
        </w:rPr>
        <w:t>农业</w:t>
      </w:r>
      <w:r>
        <w:rPr>
          <w:rFonts w:eastAsia="仿宋_GB2312"/>
          <w:color w:val="FF0000"/>
          <w:sz w:val="32"/>
          <w:szCs w:val="28"/>
          <w:lang w:val="zh-CN"/>
        </w:rPr>
        <w:t>2025</w:t>
      </w:r>
      <w:r>
        <w:rPr>
          <w:rFonts w:eastAsia="仿宋_GB2312"/>
          <w:color w:val="FF0000"/>
          <w:sz w:val="32"/>
          <w:szCs w:val="28"/>
          <w:lang w:val="zh-CN"/>
        </w:rPr>
        <w:t>年第</w:t>
      </w:r>
      <w:r>
        <w:rPr>
          <w:rFonts w:eastAsia="仿宋_GB2312"/>
          <w:color w:val="FF0000"/>
          <w:sz w:val="32"/>
          <w:szCs w:val="28"/>
          <w:lang w:val="zh-CN"/>
        </w:rPr>
        <w:t>19</w:t>
      </w:r>
      <w:r>
        <w:rPr>
          <w:rFonts w:eastAsia="仿宋_GB2312"/>
          <w:color w:val="FF0000"/>
          <w:sz w:val="32"/>
          <w:szCs w:val="28"/>
          <w:lang w:val="zh-CN"/>
        </w:rPr>
        <w:t>卷第</w:t>
      </w:r>
      <w:r>
        <w:rPr>
          <w:rFonts w:eastAsia="仿宋_GB2312"/>
          <w:color w:val="FF0000"/>
          <w:sz w:val="32"/>
          <w:szCs w:val="28"/>
          <w:lang w:val="zh-CN"/>
        </w:rPr>
        <w:t>1</w:t>
      </w:r>
      <w:r>
        <w:rPr>
          <w:rFonts w:eastAsia="仿宋_GB2312"/>
          <w:color w:val="FF0000"/>
          <w:sz w:val="32"/>
          <w:szCs w:val="28"/>
          <w:lang w:val="zh-CN"/>
        </w:rPr>
        <w:t>期）及</w:t>
      </w:r>
      <w:r>
        <w:rPr>
          <w:rFonts w:eastAsia="仿宋_GB2312"/>
          <w:color w:val="FF0000"/>
          <w:sz w:val="32"/>
          <w:szCs w:val="28"/>
          <w:lang w:val="zh-CN"/>
        </w:rPr>
        <w:lastRenderedPageBreak/>
        <w:t>LY/T 2422-2015</w:t>
      </w:r>
      <w:r>
        <w:rPr>
          <w:rFonts w:eastAsia="仿宋_GB2312"/>
          <w:color w:val="FF0000"/>
          <w:sz w:val="32"/>
          <w:szCs w:val="28"/>
          <w:lang w:val="zh-CN"/>
        </w:rPr>
        <w:t>、</w:t>
      </w:r>
      <w:r>
        <w:rPr>
          <w:rFonts w:eastAsia="仿宋_GB2312"/>
          <w:color w:val="FF0000"/>
          <w:sz w:val="32"/>
          <w:szCs w:val="28"/>
          <w:lang w:val="zh-CN"/>
        </w:rPr>
        <w:t>LY/T 2779-2016</w:t>
      </w:r>
      <w:r>
        <w:rPr>
          <w:rFonts w:eastAsia="仿宋_GB2312"/>
          <w:color w:val="FF0000"/>
          <w:sz w:val="32"/>
          <w:szCs w:val="28"/>
          <w:lang w:val="zh-CN"/>
        </w:rPr>
        <w:t>等数据、论文、标准，当</w:t>
      </w:r>
      <w:proofErr w:type="gramStart"/>
      <w:r>
        <w:rPr>
          <w:rFonts w:eastAsia="仿宋_GB2312"/>
          <w:color w:val="FF0000"/>
          <w:sz w:val="32"/>
          <w:szCs w:val="28"/>
          <w:lang w:val="zh-CN"/>
        </w:rPr>
        <w:t>薇</w:t>
      </w:r>
      <w:proofErr w:type="gramEnd"/>
      <w:r>
        <w:rPr>
          <w:rFonts w:eastAsia="仿宋_GB2312"/>
          <w:color w:val="FF0000"/>
          <w:sz w:val="32"/>
          <w:szCs w:val="28"/>
          <w:lang w:val="zh-CN"/>
        </w:rPr>
        <w:t>甘菊盖度超过</w:t>
      </w:r>
      <w:r>
        <w:rPr>
          <w:rFonts w:eastAsia="仿宋_GB2312"/>
          <w:color w:val="FF0000"/>
          <w:sz w:val="32"/>
          <w:szCs w:val="28"/>
          <w:lang w:val="zh-CN"/>
        </w:rPr>
        <w:t>30%</w:t>
      </w:r>
      <w:r>
        <w:rPr>
          <w:rFonts w:eastAsia="仿宋_GB2312"/>
          <w:color w:val="FF0000"/>
          <w:sz w:val="32"/>
          <w:szCs w:val="28"/>
          <w:lang w:val="zh-CN"/>
        </w:rPr>
        <w:t>、</w:t>
      </w:r>
      <w:proofErr w:type="gramStart"/>
      <w:r>
        <w:rPr>
          <w:rFonts w:eastAsia="仿宋_GB2312"/>
          <w:color w:val="FF0000"/>
          <w:sz w:val="32"/>
          <w:szCs w:val="28"/>
          <w:lang w:val="zh-CN"/>
        </w:rPr>
        <w:t>攀爬率</w:t>
      </w:r>
      <w:proofErr w:type="gramEnd"/>
      <w:r>
        <w:rPr>
          <w:rFonts w:eastAsia="仿宋_GB2312"/>
          <w:color w:val="FF0000"/>
          <w:sz w:val="32"/>
          <w:szCs w:val="28"/>
          <w:lang w:val="zh-CN"/>
        </w:rPr>
        <w:t>超过</w:t>
      </w:r>
      <w:r>
        <w:rPr>
          <w:rFonts w:eastAsia="仿宋_GB2312"/>
          <w:color w:val="FF0000"/>
          <w:sz w:val="32"/>
          <w:szCs w:val="28"/>
          <w:lang w:val="zh-CN"/>
        </w:rPr>
        <w:t>20%</w:t>
      </w:r>
      <w:r>
        <w:rPr>
          <w:rFonts w:eastAsia="仿宋_GB2312"/>
          <w:color w:val="FF0000"/>
          <w:sz w:val="32"/>
          <w:szCs w:val="28"/>
          <w:lang w:val="zh-CN"/>
        </w:rPr>
        <w:t>时（即中度风险），其对桉树高、径生长量的抑制开始达到显著水平（</w:t>
      </w:r>
      <w:r>
        <w:rPr>
          <w:rFonts w:eastAsia="仿宋_GB2312"/>
          <w:color w:val="FF0000"/>
          <w:sz w:val="32"/>
          <w:szCs w:val="28"/>
          <w:lang w:val="zh-CN"/>
        </w:rPr>
        <w:t>p&lt;0.05</w:t>
      </w:r>
      <w:r>
        <w:rPr>
          <w:rFonts w:eastAsia="仿宋_GB2312"/>
          <w:color w:val="FF0000"/>
          <w:sz w:val="32"/>
          <w:szCs w:val="28"/>
          <w:lang w:val="zh-CN"/>
        </w:rPr>
        <w:t>），必须进行化学干预；当进入重度风险等级时，林木生长几乎停滞，防治难度和成本急剧增加。本标准的分级与</w:t>
      </w:r>
      <w:r>
        <w:rPr>
          <w:rFonts w:eastAsia="仿宋_GB2312"/>
          <w:color w:val="FF0000"/>
          <w:sz w:val="32"/>
          <w:szCs w:val="28"/>
          <w:lang w:val="zh-CN"/>
        </w:rPr>
        <w:t>DB53/T 532-2013</w:t>
      </w:r>
      <w:r>
        <w:rPr>
          <w:rFonts w:eastAsia="仿宋_GB2312"/>
          <w:color w:val="FF0000"/>
          <w:sz w:val="32"/>
          <w:szCs w:val="28"/>
          <w:lang w:val="zh-CN"/>
        </w:rPr>
        <w:t>《林地薇甘菊防控技术规程》（云南地标）、</w:t>
      </w:r>
      <w:r>
        <w:rPr>
          <w:rFonts w:eastAsia="仿宋_GB2312"/>
          <w:color w:val="FF0000"/>
          <w:sz w:val="32"/>
          <w:szCs w:val="28"/>
          <w:lang w:val="zh-CN"/>
        </w:rPr>
        <w:t>SZDB/Z 191-2016</w:t>
      </w:r>
      <w:r>
        <w:rPr>
          <w:rFonts w:eastAsia="仿宋_GB2312"/>
          <w:color w:val="FF0000"/>
          <w:sz w:val="32"/>
          <w:szCs w:val="28"/>
          <w:lang w:val="zh-CN"/>
        </w:rPr>
        <w:t>《薇甘菊防控技术规范》（深圳地标）等地方标准中的相关等级划分保持了良好的衔接和一致性，并</w:t>
      </w:r>
      <w:r>
        <w:rPr>
          <w:rFonts w:eastAsia="仿宋_GB2312"/>
          <w:color w:val="FF0000"/>
          <w:sz w:val="32"/>
          <w:szCs w:val="28"/>
          <w:lang w:val="zh-CN"/>
        </w:rPr>
        <w:t>进行了细化和优化。最终经编制组论证确定以下分级阈值：</w:t>
      </w:r>
    </w:p>
    <w:p w14:paraId="209F6A49" w14:textId="77777777" w:rsidR="00493EB4" w:rsidRDefault="00795F6A">
      <w:pPr>
        <w:spacing w:line="580" w:lineRule="exact"/>
        <w:jc w:val="center"/>
        <w:rPr>
          <w:rFonts w:eastAsia="仿宋_GB2312"/>
          <w:color w:val="000000" w:themeColor="text1"/>
          <w:sz w:val="28"/>
          <w:szCs w:val="28"/>
          <w:lang w:val="zh-CN"/>
        </w:rPr>
      </w:pPr>
      <w:r>
        <w:rPr>
          <w:rFonts w:eastAsia="仿宋_GB2312"/>
          <w:color w:val="000000" w:themeColor="text1"/>
          <w:sz w:val="28"/>
          <w:szCs w:val="28"/>
          <w:lang w:val="zh-CN"/>
        </w:rPr>
        <w:t>表</w:t>
      </w:r>
      <w:r>
        <w:rPr>
          <w:rFonts w:eastAsia="仿宋_GB2312"/>
          <w:color w:val="000000" w:themeColor="text1"/>
          <w:sz w:val="28"/>
          <w:szCs w:val="28"/>
          <w:lang w:val="zh-CN"/>
        </w:rPr>
        <w:t>1</w:t>
      </w:r>
      <w:proofErr w:type="gramStart"/>
      <w:r>
        <w:rPr>
          <w:rFonts w:eastAsia="仿宋_GB2312"/>
          <w:color w:val="000000" w:themeColor="text1"/>
          <w:sz w:val="28"/>
          <w:szCs w:val="28"/>
          <w:lang w:val="zh-CN"/>
        </w:rPr>
        <w:t>薇</w:t>
      </w:r>
      <w:proofErr w:type="gramEnd"/>
      <w:r>
        <w:rPr>
          <w:rFonts w:eastAsia="仿宋_GB2312"/>
          <w:color w:val="000000" w:themeColor="text1"/>
          <w:sz w:val="28"/>
          <w:szCs w:val="28"/>
          <w:lang w:val="zh-CN"/>
        </w:rPr>
        <w:t>甘</w:t>
      </w:r>
      <w:proofErr w:type="gramStart"/>
      <w:r>
        <w:rPr>
          <w:rFonts w:eastAsia="仿宋_GB2312"/>
          <w:color w:val="000000" w:themeColor="text1"/>
          <w:sz w:val="28"/>
          <w:szCs w:val="28"/>
          <w:lang w:val="zh-CN"/>
        </w:rPr>
        <w:t>菊风险</w:t>
      </w:r>
      <w:proofErr w:type="gramEnd"/>
      <w:r>
        <w:rPr>
          <w:rFonts w:eastAsia="仿宋_GB2312"/>
          <w:color w:val="000000" w:themeColor="text1"/>
          <w:sz w:val="28"/>
          <w:szCs w:val="28"/>
          <w:lang w:val="zh-CN"/>
        </w:rPr>
        <w:t>评估等级划分表</w:t>
      </w:r>
    </w:p>
    <w:tbl>
      <w:tblPr>
        <w:tblStyle w:val="afd"/>
        <w:tblW w:w="0" w:type="auto"/>
        <w:tblInd w:w="1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1701"/>
        <w:gridCol w:w="1984"/>
        <w:gridCol w:w="3935"/>
      </w:tblGrid>
      <w:tr w:rsidR="00493EB4" w14:paraId="42958C28" w14:textId="77777777">
        <w:tc>
          <w:tcPr>
            <w:tcW w:w="1446" w:type="dxa"/>
            <w:tcBorders>
              <w:top w:val="single" w:sz="12" w:space="0" w:color="auto"/>
              <w:bottom w:val="single" w:sz="4" w:space="0" w:color="auto"/>
            </w:tcBorders>
            <w:vAlign w:val="center"/>
          </w:tcPr>
          <w:p w14:paraId="1EBD3548"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等级</w:t>
            </w:r>
          </w:p>
        </w:tc>
        <w:tc>
          <w:tcPr>
            <w:tcW w:w="1701" w:type="dxa"/>
            <w:tcBorders>
              <w:top w:val="single" w:sz="12" w:space="0" w:color="auto"/>
              <w:bottom w:val="single" w:sz="4" w:space="0" w:color="auto"/>
            </w:tcBorders>
            <w:vAlign w:val="center"/>
          </w:tcPr>
          <w:p w14:paraId="5BB1DEED"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盖度（</w:t>
            </w:r>
            <w:r>
              <w:rPr>
                <w:rFonts w:ascii="Times New Roman" w:hAnsi="Times New Roman" w:cs="Times New Roman"/>
                <w:color w:val="FF0000"/>
                <w:sz w:val="24"/>
                <w:lang w:val="zh-CN"/>
              </w:rPr>
              <w:t>%</w:t>
            </w:r>
            <w:r>
              <w:rPr>
                <w:rFonts w:ascii="Times New Roman" w:hAnsi="Times New Roman" w:cs="Times New Roman"/>
                <w:color w:val="FF0000"/>
                <w:sz w:val="24"/>
                <w:lang w:val="zh-CN"/>
              </w:rPr>
              <w:t>）</w:t>
            </w:r>
          </w:p>
        </w:tc>
        <w:tc>
          <w:tcPr>
            <w:tcW w:w="1984" w:type="dxa"/>
            <w:tcBorders>
              <w:top w:val="single" w:sz="12" w:space="0" w:color="auto"/>
              <w:bottom w:val="single" w:sz="4" w:space="0" w:color="auto"/>
            </w:tcBorders>
            <w:vAlign w:val="center"/>
          </w:tcPr>
          <w:p w14:paraId="51C206C8"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攀爬率（</w:t>
            </w:r>
            <w:r>
              <w:rPr>
                <w:rFonts w:ascii="Times New Roman" w:hAnsi="Times New Roman" w:cs="Times New Roman"/>
                <w:color w:val="FF0000"/>
                <w:sz w:val="24"/>
                <w:lang w:val="zh-CN"/>
              </w:rPr>
              <w:t>%</w:t>
            </w:r>
            <w:r>
              <w:rPr>
                <w:rFonts w:ascii="Times New Roman" w:hAnsi="Times New Roman" w:cs="Times New Roman"/>
                <w:color w:val="FF0000"/>
                <w:sz w:val="24"/>
                <w:lang w:val="zh-CN"/>
              </w:rPr>
              <w:t>）</w:t>
            </w:r>
          </w:p>
        </w:tc>
        <w:tc>
          <w:tcPr>
            <w:tcW w:w="3935" w:type="dxa"/>
            <w:tcBorders>
              <w:top w:val="single" w:sz="12" w:space="0" w:color="auto"/>
              <w:bottom w:val="single" w:sz="4" w:space="0" w:color="auto"/>
            </w:tcBorders>
          </w:tcPr>
          <w:p w14:paraId="1B8B1AF3"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依据</w:t>
            </w:r>
          </w:p>
        </w:tc>
      </w:tr>
      <w:tr w:rsidR="00493EB4" w14:paraId="68ABA50F" w14:textId="77777777">
        <w:trPr>
          <w:trHeight w:val="936"/>
        </w:trPr>
        <w:tc>
          <w:tcPr>
            <w:tcW w:w="1446" w:type="dxa"/>
            <w:tcBorders>
              <w:top w:val="single" w:sz="4" w:space="0" w:color="auto"/>
            </w:tcBorders>
            <w:vAlign w:val="center"/>
          </w:tcPr>
          <w:p w14:paraId="7E2EB6FD"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暂无风险</w:t>
            </w:r>
          </w:p>
        </w:tc>
        <w:tc>
          <w:tcPr>
            <w:tcW w:w="1701" w:type="dxa"/>
            <w:tcBorders>
              <w:top w:val="single" w:sz="4" w:space="0" w:color="auto"/>
            </w:tcBorders>
            <w:vAlign w:val="center"/>
          </w:tcPr>
          <w:p w14:paraId="612F0DA8"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0</w:t>
            </w:r>
            <w:r>
              <w:rPr>
                <w:rFonts w:ascii="Times New Roman" w:hAnsi="Times New Roman" w:cs="Times New Roman"/>
                <w:color w:val="FF0000"/>
                <w:sz w:val="24"/>
                <w:lang w:val="zh-CN"/>
              </w:rPr>
              <w:t>～</w:t>
            </w:r>
            <w:r>
              <w:rPr>
                <w:rFonts w:ascii="Times New Roman" w:hAnsi="Times New Roman" w:cs="Times New Roman"/>
                <w:color w:val="FF0000"/>
                <w:sz w:val="24"/>
                <w:lang w:val="zh-CN"/>
              </w:rPr>
              <w:t>10</w:t>
            </w:r>
          </w:p>
        </w:tc>
        <w:tc>
          <w:tcPr>
            <w:tcW w:w="1984" w:type="dxa"/>
            <w:tcBorders>
              <w:top w:val="single" w:sz="4" w:space="0" w:color="auto"/>
            </w:tcBorders>
            <w:vAlign w:val="center"/>
          </w:tcPr>
          <w:p w14:paraId="652BC8B6"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0</w:t>
            </w:r>
            <w:r>
              <w:rPr>
                <w:rFonts w:ascii="Times New Roman" w:hAnsi="Times New Roman" w:cs="Times New Roman"/>
                <w:color w:val="FF0000"/>
                <w:sz w:val="24"/>
                <w:lang w:val="zh-CN"/>
              </w:rPr>
              <w:t>～</w:t>
            </w:r>
            <w:r>
              <w:rPr>
                <w:rFonts w:ascii="Times New Roman" w:hAnsi="Times New Roman" w:cs="Times New Roman"/>
                <w:color w:val="FF0000"/>
                <w:sz w:val="24"/>
                <w:lang w:val="zh-CN"/>
              </w:rPr>
              <w:t>5</w:t>
            </w:r>
          </w:p>
        </w:tc>
        <w:tc>
          <w:tcPr>
            <w:tcW w:w="3935" w:type="dxa"/>
            <w:tcBorders>
              <w:top w:val="single" w:sz="4" w:space="0" w:color="auto"/>
            </w:tcBorders>
            <w:vAlign w:val="center"/>
          </w:tcPr>
          <w:p w14:paraId="5BBFD06C" w14:textId="77777777" w:rsidR="00493EB4" w:rsidRDefault="00795F6A">
            <w:pPr>
              <w:pStyle w:val="af7"/>
              <w:spacing w:line="240" w:lineRule="atLeast"/>
              <w:ind w:left="0"/>
              <w:rPr>
                <w:rFonts w:ascii="Times New Roman" w:hAnsi="Times New Roman" w:cs="Times New Roman"/>
                <w:color w:val="FF0000"/>
                <w:sz w:val="24"/>
                <w:lang w:val="zh-CN"/>
              </w:rPr>
            </w:pPr>
            <w:r>
              <w:rPr>
                <w:rFonts w:ascii="Times New Roman" w:hAnsi="Times New Roman" w:cs="Times New Roman"/>
                <w:color w:val="FF0000"/>
                <w:sz w:val="24"/>
                <w:lang w:val="zh-CN"/>
              </w:rPr>
              <w:t>博白林场监测数据：盖度＜</w:t>
            </w:r>
            <w:r>
              <w:rPr>
                <w:rFonts w:ascii="Times New Roman" w:hAnsi="Times New Roman" w:cs="Times New Roman"/>
                <w:color w:val="FF0000"/>
                <w:sz w:val="24"/>
                <w:lang w:val="zh-CN"/>
              </w:rPr>
              <w:t>10%</w:t>
            </w:r>
            <w:proofErr w:type="gramStart"/>
            <w:r>
              <w:rPr>
                <w:rFonts w:ascii="Times New Roman" w:hAnsi="Times New Roman" w:cs="Times New Roman"/>
                <w:color w:val="FF0000"/>
                <w:sz w:val="24"/>
                <w:lang w:val="zh-CN"/>
              </w:rPr>
              <w:t>时薇甘菊呈零星</w:t>
            </w:r>
            <w:proofErr w:type="gramEnd"/>
            <w:r>
              <w:rPr>
                <w:rFonts w:ascii="Times New Roman" w:hAnsi="Times New Roman" w:cs="Times New Roman"/>
                <w:color w:val="FF0000"/>
                <w:sz w:val="24"/>
                <w:lang w:val="zh-CN"/>
              </w:rPr>
              <w:t>分布，未形成攀援</w:t>
            </w:r>
          </w:p>
        </w:tc>
      </w:tr>
      <w:tr w:rsidR="00493EB4" w14:paraId="6676709F" w14:textId="77777777">
        <w:trPr>
          <w:trHeight w:val="936"/>
        </w:trPr>
        <w:tc>
          <w:tcPr>
            <w:tcW w:w="1446" w:type="dxa"/>
            <w:vAlign w:val="center"/>
          </w:tcPr>
          <w:p w14:paraId="1BE82AE2"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轻度风险</w:t>
            </w:r>
          </w:p>
        </w:tc>
        <w:tc>
          <w:tcPr>
            <w:tcW w:w="1701" w:type="dxa"/>
            <w:vAlign w:val="center"/>
          </w:tcPr>
          <w:p w14:paraId="34C1F24D"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10</w:t>
            </w:r>
            <w:r>
              <w:rPr>
                <w:rFonts w:ascii="Times New Roman" w:hAnsi="Times New Roman" w:cs="Times New Roman"/>
                <w:color w:val="FF0000"/>
                <w:sz w:val="24"/>
                <w:lang w:val="zh-CN"/>
              </w:rPr>
              <w:t>～</w:t>
            </w:r>
            <w:r>
              <w:rPr>
                <w:rFonts w:ascii="Times New Roman" w:hAnsi="Times New Roman" w:cs="Times New Roman"/>
                <w:color w:val="FF0000"/>
                <w:sz w:val="24"/>
                <w:lang w:val="zh-CN"/>
              </w:rPr>
              <w:t>30</w:t>
            </w:r>
          </w:p>
        </w:tc>
        <w:tc>
          <w:tcPr>
            <w:tcW w:w="1984" w:type="dxa"/>
            <w:vAlign w:val="center"/>
          </w:tcPr>
          <w:p w14:paraId="0F79316B"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5</w:t>
            </w:r>
            <w:r>
              <w:rPr>
                <w:rFonts w:ascii="Times New Roman" w:hAnsi="Times New Roman" w:cs="Times New Roman"/>
                <w:color w:val="FF0000"/>
                <w:sz w:val="24"/>
                <w:lang w:val="zh-CN"/>
              </w:rPr>
              <w:t>～</w:t>
            </w:r>
            <w:r>
              <w:rPr>
                <w:rFonts w:ascii="Times New Roman" w:hAnsi="Times New Roman" w:cs="Times New Roman"/>
                <w:color w:val="FF0000"/>
                <w:sz w:val="24"/>
                <w:lang w:val="zh-CN"/>
              </w:rPr>
              <w:t>20</w:t>
            </w:r>
          </w:p>
        </w:tc>
        <w:tc>
          <w:tcPr>
            <w:tcW w:w="3935" w:type="dxa"/>
            <w:vAlign w:val="center"/>
          </w:tcPr>
          <w:p w14:paraId="37698740" w14:textId="77777777" w:rsidR="00493EB4" w:rsidRDefault="00795F6A">
            <w:pPr>
              <w:pStyle w:val="af7"/>
              <w:spacing w:line="240" w:lineRule="atLeast"/>
              <w:ind w:left="0"/>
              <w:rPr>
                <w:rFonts w:ascii="Times New Roman" w:hAnsi="Times New Roman" w:cs="Times New Roman"/>
                <w:color w:val="FF0000"/>
                <w:sz w:val="24"/>
                <w:lang w:val="zh-CN"/>
              </w:rPr>
            </w:pPr>
            <w:r>
              <w:rPr>
                <w:rFonts w:ascii="Times New Roman" w:hAnsi="Times New Roman" w:cs="Times New Roman"/>
                <w:color w:val="FF0000"/>
                <w:sz w:val="24"/>
                <w:lang w:val="zh-CN"/>
              </w:rPr>
              <w:t>参照云南地方标准，结合博白林场云飞分场的防控实践：人工清除即可控制</w:t>
            </w:r>
          </w:p>
        </w:tc>
      </w:tr>
      <w:tr w:rsidR="00493EB4" w14:paraId="25B1BD9D" w14:textId="77777777">
        <w:trPr>
          <w:trHeight w:val="936"/>
        </w:trPr>
        <w:tc>
          <w:tcPr>
            <w:tcW w:w="1446" w:type="dxa"/>
            <w:vAlign w:val="center"/>
          </w:tcPr>
          <w:p w14:paraId="68CB83D0"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中度风险</w:t>
            </w:r>
          </w:p>
        </w:tc>
        <w:tc>
          <w:tcPr>
            <w:tcW w:w="1701" w:type="dxa"/>
            <w:vAlign w:val="center"/>
          </w:tcPr>
          <w:p w14:paraId="628CACA9"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30</w:t>
            </w:r>
            <w:r>
              <w:rPr>
                <w:rFonts w:ascii="Times New Roman" w:hAnsi="Times New Roman" w:cs="Times New Roman"/>
                <w:color w:val="FF0000"/>
                <w:sz w:val="24"/>
                <w:lang w:val="zh-CN"/>
              </w:rPr>
              <w:t>～</w:t>
            </w:r>
            <w:r>
              <w:rPr>
                <w:rFonts w:ascii="Times New Roman" w:hAnsi="Times New Roman" w:cs="Times New Roman"/>
                <w:color w:val="FF0000"/>
                <w:sz w:val="24"/>
                <w:lang w:val="zh-CN"/>
              </w:rPr>
              <w:t>60</w:t>
            </w:r>
          </w:p>
        </w:tc>
        <w:tc>
          <w:tcPr>
            <w:tcW w:w="1984" w:type="dxa"/>
            <w:vAlign w:val="center"/>
          </w:tcPr>
          <w:p w14:paraId="49C8B107"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20</w:t>
            </w:r>
            <w:r>
              <w:rPr>
                <w:rFonts w:ascii="Times New Roman" w:hAnsi="Times New Roman" w:cs="Times New Roman"/>
                <w:color w:val="FF0000"/>
                <w:sz w:val="24"/>
                <w:lang w:val="zh-CN"/>
              </w:rPr>
              <w:t>～</w:t>
            </w:r>
            <w:r>
              <w:rPr>
                <w:rFonts w:ascii="Times New Roman" w:hAnsi="Times New Roman" w:cs="Times New Roman"/>
                <w:color w:val="FF0000"/>
                <w:sz w:val="24"/>
                <w:lang w:val="zh-CN"/>
              </w:rPr>
              <w:t>40</w:t>
            </w:r>
          </w:p>
        </w:tc>
        <w:tc>
          <w:tcPr>
            <w:tcW w:w="3935" w:type="dxa"/>
            <w:vAlign w:val="center"/>
          </w:tcPr>
          <w:p w14:paraId="333C2705" w14:textId="77777777" w:rsidR="00493EB4" w:rsidRDefault="00795F6A">
            <w:pPr>
              <w:pStyle w:val="af7"/>
              <w:spacing w:line="240" w:lineRule="atLeast"/>
              <w:ind w:left="0"/>
              <w:rPr>
                <w:rFonts w:ascii="Times New Roman" w:hAnsi="Times New Roman" w:cs="Times New Roman"/>
                <w:color w:val="FF0000"/>
                <w:sz w:val="24"/>
                <w:lang w:val="zh-CN"/>
              </w:rPr>
            </w:pPr>
            <w:r>
              <w:rPr>
                <w:rFonts w:ascii="Times New Roman" w:hAnsi="Times New Roman" w:cs="Times New Roman"/>
                <w:color w:val="FF0000"/>
                <w:sz w:val="24"/>
                <w:lang w:val="zh-CN"/>
              </w:rPr>
              <w:t>东方分场试验数据：盖度超</w:t>
            </w:r>
            <w:r>
              <w:rPr>
                <w:rFonts w:ascii="Times New Roman" w:hAnsi="Times New Roman" w:cs="Times New Roman"/>
                <w:color w:val="FF0000"/>
                <w:sz w:val="24"/>
                <w:lang w:val="zh-CN"/>
              </w:rPr>
              <w:t>30%</w:t>
            </w:r>
            <w:r>
              <w:rPr>
                <w:rFonts w:ascii="Times New Roman" w:hAnsi="Times New Roman" w:cs="Times New Roman"/>
                <w:color w:val="FF0000"/>
                <w:sz w:val="24"/>
                <w:lang w:val="zh-CN"/>
              </w:rPr>
              <w:t>时，需化学干预</w:t>
            </w:r>
          </w:p>
        </w:tc>
      </w:tr>
      <w:tr w:rsidR="00493EB4" w14:paraId="0BFDD355" w14:textId="77777777">
        <w:trPr>
          <w:trHeight w:val="936"/>
        </w:trPr>
        <w:tc>
          <w:tcPr>
            <w:tcW w:w="1446" w:type="dxa"/>
            <w:tcBorders>
              <w:bottom w:val="single" w:sz="12" w:space="0" w:color="auto"/>
            </w:tcBorders>
            <w:vAlign w:val="center"/>
          </w:tcPr>
          <w:p w14:paraId="2EC3FEDC"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重度风险</w:t>
            </w:r>
          </w:p>
        </w:tc>
        <w:tc>
          <w:tcPr>
            <w:tcW w:w="1701" w:type="dxa"/>
            <w:tcBorders>
              <w:bottom w:val="single" w:sz="12" w:space="0" w:color="auto"/>
            </w:tcBorders>
            <w:vAlign w:val="center"/>
          </w:tcPr>
          <w:p w14:paraId="30151B0F"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60</w:t>
            </w:r>
            <w:r>
              <w:rPr>
                <w:rFonts w:ascii="Times New Roman" w:hAnsi="Times New Roman" w:cs="Times New Roman"/>
                <w:color w:val="FF0000"/>
                <w:sz w:val="24"/>
                <w:lang w:val="zh-CN"/>
              </w:rPr>
              <w:t>以上</w:t>
            </w:r>
          </w:p>
        </w:tc>
        <w:tc>
          <w:tcPr>
            <w:tcW w:w="1984" w:type="dxa"/>
            <w:tcBorders>
              <w:bottom w:val="single" w:sz="12" w:space="0" w:color="auto"/>
            </w:tcBorders>
            <w:vAlign w:val="center"/>
          </w:tcPr>
          <w:p w14:paraId="34BBDFD3" w14:textId="77777777" w:rsidR="00493EB4" w:rsidRDefault="00795F6A">
            <w:pPr>
              <w:pStyle w:val="af7"/>
              <w:ind w:left="0"/>
              <w:jc w:val="center"/>
              <w:rPr>
                <w:rFonts w:ascii="Times New Roman" w:hAnsi="Times New Roman" w:cs="Times New Roman"/>
                <w:color w:val="FF0000"/>
                <w:sz w:val="24"/>
                <w:lang w:val="zh-CN"/>
              </w:rPr>
            </w:pPr>
            <w:r>
              <w:rPr>
                <w:rFonts w:ascii="Times New Roman" w:hAnsi="Times New Roman" w:cs="Times New Roman"/>
                <w:color w:val="FF0000"/>
                <w:sz w:val="24"/>
                <w:lang w:val="zh-CN"/>
              </w:rPr>
              <w:t>40</w:t>
            </w:r>
            <w:r>
              <w:rPr>
                <w:rFonts w:ascii="Times New Roman" w:hAnsi="Times New Roman" w:cs="Times New Roman"/>
                <w:color w:val="FF0000"/>
                <w:sz w:val="24"/>
                <w:lang w:val="zh-CN"/>
              </w:rPr>
              <w:t>以上</w:t>
            </w:r>
          </w:p>
        </w:tc>
        <w:tc>
          <w:tcPr>
            <w:tcW w:w="3935" w:type="dxa"/>
            <w:tcBorders>
              <w:bottom w:val="single" w:sz="12" w:space="0" w:color="auto"/>
            </w:tcBorders>
            <w:vAlign w:val="center"/>
          </w:tcPr>
          <w:p w14:paraId="26865F2C" w14:textId="77777777" w:rsidR="00493EB4" w:rsidRDefault="00795F6A">
            <w:pPr>
              <w:pStyle w:val="af7"/>
              <w:spacing w:line="240" w:lineRule="atLeast"/>
              <w:ind w:left="0"/>
              <w:rPr>
                <w:rFonts w:ascii="Times New Roman" w:hAnsi="Times New Roman" w:cs="Times New Roman"/>
                <w:color w:val="FF0000"/>
                <w:sz w:val="24"/>
                <w:lang w:val="zh-CN"/>
              </w:rPr>
            </w:pPr>
            <w:r>
              <w:rPr>
                <w:rFonts w:ascii="Times New Roman" w:hAnsi="Times New Roman" w:cs="Times New Roman"/>
                <w:color w:val="FF0000"/>
                <w:sz w:val="24"/>
                <w:lang w:val="zh-CN"/>
              </w:rPr>
              <w:t>东方分场核心区实测：</w:t>
            </w:r>
            <w:proofErr w:type="gramStart"/>
            <w:r>
              <w:rPr>
                <w:rFonts w:ascii="Times New Roman" w:hAnsi="Times New Roman" w:cs="Times New Roman"/>
                <w:color w:val="FF0000"/>
                <w:sz w:val="24"/>
                <w:lang w:val="zh-CN"/>
              </w:rPr>
              <w:t>攀爬率</w:t>
            </w:r>
            <w:proofErr w:type="gramEnd"/>
            <w:r>
              <w:rPr>
                <w:rFonts w:ascii="Times New Roman" w:hAnsi="Times New Roman" w:cs="Times New Roman"/>
                <w:color w:val="FF0000"/>
                <w:sz w:val="24"/>
                <w:lang w:val="zh-CN"/>
              </w:rPr>
              <w:t>超</w:t>
            </w:r>
            <w:r>
              <w:rPr>
                <w:rFonts w:ascii="Times New Roman" w:hAnsi="Times New Roman" w:cs="Times New Roman"/>
                <w:color w:val="FF0000"/>
                <w:sz w:val="24"/>
                <w:lang w:val="zh-CN"/>
              </w:rPr>
              <w:t>40%</w:t>
            </w:r>
            <w:r>
              <w:rPr>
                <w:rFonts w:ascii="Times New Roman" w:hAnsi="Times New Roman" w:cs="Times New Roman"/>
                <w:color w:val="FF0000"/>
                <w:sz w:val="24"/>
                <w:lang w:val="zh-CN"/>
              </w:rPr>
              <w:t>，</w:t>
            </w:r>
            <w:proofErr w:type="gramStart"/>
            <w:r>
              <w:rPr>
                <w:rFonts w:ascii="Times New Roman" w:hAnsi="Times New Roman" w:cs="Times New Roman"/>
                <w:color w:val="FF0000"/>
                <w:sz w:val="24"/>
                <w:lang w:val="zh-CN"/>
              </w:rPr>
              <w:t>需复配药</w:t>
            </w:r>
            <w:proofErr w:type="gramEnd"/>
            <w:r>
              <w:rPr>
                <w:rFonts w:ascii="Times New Roman" w:hAnsi="Times New Roman" w:cs="Times New Roman"/>
                <w:color w:val="FF0000"/>
                <w:sz w:val="24"/>
                <w:lang w:val="zh-CN"/>
              </w:rPr>
              <w:t>剂</w:t>
            </w:r>
          </w:p>
        </w:tc>
      </w:tr>
    </w:tbl>
    <w:p w14:paraId="6B9640C7" w14:textId="77777777" w:rsidR="00493EB4" w:rsidRDefault="00795F6A">
      <w:pPr>
        <w:pStyle w:val="af7"/>
        <w:ind w:firstLine="642"/>
        <w:rPr>
          <w:rFonts w:cs="仿宋_GB2312"/>
          <w:b/>
          <w:szCs w:val="32"/>
        </w:rPr>
      </w:pPr>
      <w:r>
        <w:rPr>
          <w:rFonts w:cs="仿宋_GB2312" w:hint="eastAsia"/>
          <w:b/>
          <w:szCs w:val="32"/>
        </w:rPr>
        <w:t>（四）</w:t>
      </w:r>
      <w:proofErr w:type="gramStart"/>
      <w:r>
        <w:rPr>
          <w:rFonts w:cs="仿宋_GB2312" w:hint="eastAsia"/>
          <w:b/>
          <w:szCs w:val="32"/>
        </w:rPr>
        <w:t>薇</w:t>
      </w:r>
      <w:proofErr w:type="gramEnd"/>
      <w:r>
        <w:rPr>
          <w:rFonts w:cs="仿宋_GB2312" w:hint="eastAsia"/>
          <w:b/>
          <w:szCs w:val="32"/>
        </w:rPr>
        <w:t>甘菊的防治方法</w:t>
      </w:r>
    </w:p>
    <w:p w14:paraId="3BB538E2" w14:textId="77777777" w:rsidR="00493EB4" w:rsidRDefault="00795F6A">
      <w:pPr>
        <w:pStyle w:val="af7"/>
        <w:ind w:firstLine="642"/>
        <w:rPr>
          <w:rFonts w:cs="仿宋_GB2312"/>
          <w:bCs/>
          <w:szCs w:val="32"/>
        </w:rPr>
      </w:pPr>
      <w:r>
        <w:rPr>
          <w:rFonts w:cs="仿宋_GB2312" w:hint="eastAsia"/>
          <w:bCs/>
          <w:szCs w:val="32"/>
        </w:rPr>
        <w:t>1</w:t>
      </w:r>
      <w:bookmarkStart w:id="7" w:name="_Toc187246036"/>
      <w:r>
        <w:rPr>
          <w:rFonts w:cs="仿宋_GB2312" w:hint="eastAsia"/>
          <w:bCs/>
          <w:szCs w:val="32"/>
        </w:rPr>
        <w:t>.</w:t>
      </w:r>
      <w:r>
        <w:rPr>
          <w:rFonts w:hint="eastAsia"/>
        </w:rPr>
        <w:t>抚育控制防治</w:t>
      </w:r>
      <w:bookmarkEnd w:id="7"/>
    </w:p>
    <w:p w14:paraId="1D615B94" w14:textId="77777777" w:rsidR="00493EB4" w:rsidRDefault="00795F6A">
      <w:pPr>
        <w:pStyle w:val="af7"/>
        <w:ind w:firstLine="642"/>
        <w:rPr>
          <w:rFonts w:cs="仿宋_GB2312"/>
          <w:bCs/>
          <w:szCs w:val="32"/>
        </w:rPr>
      </w:pPr>
      <w:r>
        <w:rPr>
          <w:rFonts w:cs="仿宋_GB2312" w:hint="eastAsia"/>
          <w:bCs/>
          <w:szCs w:val="32"/>
        </w:rPr>
        <w:t>使用全修、带修、全铲、带铲、块铲、拔除、</w:t>
      </w:r>
      <w:proofErr w:type="gramStart"/>
      <w:r>
        <w:rPr>
          <w:rFonts w:cs="仿宋_GB2312" w:hint="eastAsia"/>
          <w:bCs/>
          <w:szCs w:val="32"/>
        </w:rPr>
        <w:t>割藤等</w:t>
      </w:r>
      <w:proofErr w:type="gramEnd"/>
      <w:r>
        <w:rPr>
          <w:rFonts w:cs="仿宋_GB2312" w:hint="eastAsia"/>
          <w:bCs/>
          <w:szCs w:val="32"/>
        </w:rPr>
        <w:t>抚育手段控制</w:t>
      </w:r>
      <w:proofErr w:type="gramStart"/>
      <w:r>
        <w:rPr>
          <w:rFonts w:cs="仿宋_GB2312" w:hint="eastAsia"/>
          <w:bCs/>
          <w:szCs w:val="32"/>
        </w:rPr>
        <w:t>薇</w:t>
      </w:r>
      <w:proofErr w:type="gramEnd"/>
      <w:r>
        <w:rPr>
          <w:rFonts w:cs="仿宋_GB2312" w:hint="eastAsia"/>
          <w:bCs/>
          <w:szCs w:val="32"/>
        </w:rPr>
        <w:t>甘菊生长，一定时间内降低或消除</w:t>
      </w:r>
      <w:proofErr w:type="gramStart"/>
      <w:r>
        <w:rPr>
          <w:rFonts w:cs="仿宋_GB2312" w:hint="eastAsia"/>
          <w:bCs/>
          <w:szCs w:val="32"/>
        </w:rPr>
        <w:t>薇</w:t>
      </w:r>
      <w:proofErr w:type="gramEnd"/>
      <w:r>
        <w:rPr>
          <w:rFonts w:cs="仿宋_GB2312" w:hint="eastAsia"/>
          <w:bCs/>
          <w:szCs w:val="32"/>
        </w:rPr>
        <w:t>甘菊对桉树人工林的危害，一般不能根除</w:t>
      </w:r>
      <w:proofErr w:type="gramStart"/>
      <w:r>
        <w:rPr>
          <w:rFonts w:cs="仿宋_GB2312" w:hint="eastAsia"/>
          <w:bCs/>
          <w:szCs w:val="32"/>
        </w:rPr>
        <w:t>薇</w:t>
      </w:r>
      <w:proofErr w:type="gramEnd"/>
      <w:r>
        <w:rPr>
          <w:rFonts w:cs="仿宋_GB2312" w:hint="eastAsia"/>
          <w:bCs/>
          <w:szCs w:val="32"/>
        </w:rPr>
        <w:t>甘菊。全修：人工林全林割除杂草和</w:t>
      </w:r>
      <w:proofErr w:type="gramStart"/>
      <w:r>
        <w:rPr>
          <w:rFonts w:cs="仿宋_GB2312" w:hint="eastAsia"/>
          <w:bCs/>
          <w:szCs w:val="32"/>
        </w:rPr>
        <w:t>薇</w:t>
      </w:r>
      <w:proofErr w:type="gramEnd"/>
      <w:r>
        <w:rPr>
          <w:rFonts w:cs="仿宋_GB2312" w:hint="eastAsia"/>
          <w:bCs/>
          <w:szCs w:val="32"/>
        </w:rPr>
        <w:t>甘菊，割除后茬头高度低于</w:t>
      </w:r>
      <w:r>
        <w:rPr>
          <w:rFonts w:cs="仿宋_GB2312"/>
          <w:bCs/>
          <w:szCs w:val="32"/>
        </w:rPr>
        <w:t>15 cm</w:t>
      </w:r>
      <w:r>
        <w:rPr>
          <w:rFonts w:cs="仿宋_GB2312"/>
          <w:bCs/>
          <w:szCs w:val="32"/>
        </w:rPr>
        <w:t>。带修：带状割除，以同一行植株连线为中线形成</w:t>
      </w:r>
      <w:r>
        <w:rPr>
          <w:rFonts w:cs="仿宋_GB2312"/>
          <w:bCs/>
          <w:szCs w:val="32"/>
        </w:rPr>
        <w:t>1.5 m</w:t>
      </w:r>
      <w:r>
        <w:rPr>
          <w:rFonts w:cs="仿宋_GB2312"/>
          <w:bCs/>
          <w:szCs w:val="32"/>
        </w:rPr>
        <w:t>宽的带状区域后，割除区域内的杂草和</w:t>
      </w:r>
      <w:proofErr w:type="gramStart"/>
      <w:r>
        <w:rPr>
          <w:rFonts w:cs="仿宋_GB2312"/>
          <w:bCs/>
          <w:szCs w:val="32"/>
        </w:rPr>
        <w:t>薇</w:t>
      </w:r>
      <w:proofErr w:type="gramEnd"/>
      <w:r>
        <w:rPr>
          <w:rFonts w:cs="仿宋_GB2312"/>
          <w:bCs/>
          <w:szCs w:val="32"/>
        </w:rPr>
        <w:t>甘菊，</w:t>
      </w:r>
      <w:r>
        <w:rPr>
          <w:rFonts w:cs="仿宋_GB2312"/>
          <w:bCs/>
          <w:szCs w:val="32"/>
        </w:rPr>
        <w:lastRenderedPageBreak/>
        <w:t>割除后茬头高度低于</w:t>
      </w:r>
      <w:r>
        <w:rPr>
          <w:rFonts w:cs="仿宋_GB2312"/>
          <w:bCs/>
          <w:szCs w:val="32"/>
        </w:rPr>
        <w:t>15 cm</w:t>
      </w:r>
      <w:r>
        <w:rPr>
          <w:rFonts w:cs="仿宋_GB2312"/>
          <w:bCs/>
          <w:szCs w:val="32"/>
        </w:rPr>
        <w:t>。全铲：全林铲除杂草和</w:t>
      </w:r>
      <w:proofErr w:type="gramStart"/>
      <w:r>
        <w:rPr>
          <w:rFonts w:cs="仿宋_GB2312"/>
          <w:bCs/>
          <w:szCs w:val="32"/>
        </w:rPr>
        <w:t>薇</w:t>
      </w:r>
      <w:proofErr w:type="gramEnd"/>
      <w:r>
        <w:rPr>
          <w:rFonts w:cs="仿宋_GB2312"/>
          <w:bCs/>
          <w:szCs w:val="32"/>
        </w:rPr>
        <w:t>甘菊。带铲：带状铲除杂草和</w:t>
      </w:r>
      <w:proofErr w:type="gramStart"/>
      <w:r>
        <w:rPr>
          <w:rFonts w:cs="仿宋_GB2312"/>
          <w:bCs/>
          <w:szCs w:val="32"/>
        </w:rPr>
        <w:t>薇</w:t>
      </w:r>
      <w:proofErr w:type="gramEnd"/>
      <w:r>
        <w:rPr>
          <w:rFonts w:cs="仿宋_GB2312"/>
          <w:bCs/>
          <w:szCs w:val="32"/>
        </w:rPr>
        <w:t>甘菊，带以同一行植株连线为中线成</w:t>
      </w:r>
      <w:r>
        <w:rPr>
          <w:rFonts w:cs="仿宋_GB2312"/>
          <w:bCs/>
          <w:szCs w:val="32"/>
        </w:rPr>
        <w:t>1.5 m</w:t>
      </w:r>
      <w:r>
        <w:rPr>
          <w:rFonts w:cs="仿宋_GB2312"/>
          <w:bCs/>
          <w:szCs w:val="32"/>
        </w:rPr>
        <w:t>宽的带状。块铲：块状铲草，多为圆形，半径约</w:t>
      </w:r>
      <w:r>
        <w:rPr>
          <w:rFonts w:cs="仿宋_GB2312"/>
          <w:bCs/>
          <w:szCs w:val="32"/>
        </w:rPr>
        <w:t>60 cm</w:t>
      </w:r>
      <w:r>
        <w:rPr>
          <w:rFonts w:cs="仿宋_GB2312"/>
          <w:bCs/>
          <w:szCs w:val="32"/>
        </w:rPr>
        <w:t>，可针对</w:t>
      </w:r>
      <w:proofErr w:type="gramStart"/>
      <w:r>
        <w:rPr>
          <w:rFonts w:cs="仿宋_GB2312"/>
          <w:bCs/>
          <w:szCs w:val="32"/>
        </w:rPr>
        <w:t>薇</w:t>
      </w:r>
      <w:proofErr w:type="gramEnd"/>
      <w:r>
        <w:rPr>
          <w:rFonts w:cs="仿宋_GB2312"/>
          <w:bCs/>
          <w:szCs w:val="32"/>
        </w:rPr>
        <w:t>甘</w:t>
      </w:r>
      <w:proofErr w:type="gramStart"/>
      <w:r>
        <w:rPr>
          <w:rFonts w:cs="仿宋_GB2312"/>
          <w:bCs/>
          <w:szCs w:val="32"/>
        </w:rPr>
        <w:t>菊扩大</w:t>
      </w:r>
      <w:proofErr w:type="gramEnd"/>
      <w:r>
        <w:rPr>
          <w:rFonts w:cs="仿宋_GB2312"/>
          <w:bCs/>
          <w:szCs w:val="32"/>
        </w:rPr>
        <w:t>半径。拔除：</w:t>
      </w:r>
      <w:r>
        <w:rPr>
          <w:rFonts w:cs="仿宋_GB2312"/>
          <w:bCs/>
          <w:szCs w:val="32"/>
        </w:rPr>
        <w:t>把</w:t>
      </w:r>
      <w:proofErr w:type="gramStart"/>
      <w:r>
        <w:rPr>
          <w:rFonts w:cs="仿宋_GB2312"/>
          <w:bCs/>
          <w:szCs w:val="32"/>
        </w:rPr>
        <w:t>薇</w:t>
      </w:r>
      <w:proofErr w:type="gramEnd"/>
      <w:r>
        <w:rPr>
          <w:rFonts w:cs="仿宋_GB2312"/>
          <w:bCs/>
          <w:szCs w:val="32"/>
        </w:rPr>
        <w:t>甘菊连根拔除，带出林外销毁。割藤：割断攀爬上林木的</w:t>
      </w:r>
      <w:proofErr w:type="gramStart"/>
      <w:r>
        <w:rPr>
          <w:rFonts w:cs="仿宋_GB2312"/>
          <w:bCs/>
          <w:szCs w:val="32"/>
        </w:rPr>
        <w:t>薇</w:t>
      </w:r>
      <w:proofErr w:type="gramEnd"/>
      <w:r>
        <w:rPr>
          <w:rFonts w:cs="仿宋_GB2312"/>
          <w:bCs/>
          <w:szCs w:val="32"/>
        </w:rPr>
        <w:t>甘菊藤蔓，</w:t>
      </w:r>
      <w:proofErr w:type="gramStart"/>
      <w:r>
        <w:rPr>
          <w:rFonts w:cs="仿宋_GB2312"/>
          <w:bCs/>
          <w:szCs w:val="32"/>
        </w:rPr>
        <w:t>茬头约</w:t>
      </w:r>
      <w:proofErr w:type="gramEnd"/>
      <w:r>
        <w:rPr>
          <w:rFonts w:cs="仿宋_GB2312"/>
          <w:bCs/>
          <w:szCs w:val="32"/>
        </w:rPr>
        <w:t>20 cm</w:t>
      </w:r>
      <w:r>
        <w:rPr>
          <w:rFonts w:cs="仿宋_GB2312"/>
          <w:bCs/>
          <w:szCs w:val="32"/>
        </w:rPr>
        <w:t>。</w:t>
      </w:r>
    </w:p>
    <w:p w14:paraId="01D870D8" w14:textId="77777777" w:rsidR="00493EB4" w:rsidRDefault="00795F6A">
      <w:pPr>
        <w:pStyle w:val="af7"/>
        <w:ind w:firstLine="642"/>
        <w:rPr>
          <w:rFonts w:cs="仿宋_GB2312"/>
          <w:bCs/>
          <w:szCs w:val="32"/>
        </w:rPr>
      </w:pPr>
      <w:r>
        <w:rPr>
          <w:rFonts w:cs="仿宋_GB2312" w:hint="eastAsia"/>
          <w:bCs/>
          <w:szCs w:val="32"/>
        </w:rPr>
        <w:t>2.</w:t>
      </w:r>
      <w:r>
        <w:rPr>
          <w:rFonts w:cs="仿宋_GB2312" w:hint="eastAsia"/>
          <w:bCs/>
          <w:szCs w:val="32"/>
        </w:rPr>
        <w:t>化学防治</w:t>
      </w:r>
    </w:p>
    <w:p w14:paraId="7D12FCA6" w14:textId="77777777" w:rsidR="00493EB4" w:rsidRDefault="00795F6A">
      <w:pPr>
        <w:pStyle w:val="af7"/>
        <w:ind w:firstLine="642"/>
        <w:rPr>
          <w:rFonts w:cs="仿宋_GB2312"/>
          <w:bCs/>
          <w:color w:val="FF0000"/>
          <w:szCs w:val="32"/>
        </w:rPr>
      </w:pPr>
      <w:r>
        <w:rPr>
          <w:rFonts w:cs="仿宋_GB2312" w:hint="eastAsia"/>
          <w:bCs/>
          <w:szCs w:val="32"/>
        </w:rPr>
        <w:t>喷施</w:t>
      </w:r>
      <w:proofErr w:type="gramStart"/>
      <w:r>
        <w:rPr>
          <w:rFonts w:cs="仿宋_GB2312" w:hint="eastAsia"/>
          <w:bCs/>
          <w:szCs w:val="32"/>
        </w:rPr>
        <w:t>薇</w:t>
      </w:r>
      <w:proofErr w:type="gramEnd"/>
      <w:r>
        <w:rPr>
          <w:rFonts w:cs="仿宋_GB2312" w:hint="eastAsia"/>
          <w:bCs/>
          <w:szCs w:val="32"/>
        </w:rPr>
        <w:t>快克（氟磺胺草醚含量</w:t>
      </w:r>
      <w:r>
        <w:rPr>
          <w:rFonts w:cs="仿宋_GB2312"/>
          <w:bCs/>
          <w:szCs w:val="32"/>
        </w:rPr>
        <w:t>25%</w:t>
      </w:r>
      <w:r>
        <w:rPr>
          <w:rFonts w:cs="仿宋_GB2312"/>
          <w:bCs/>
          <w:szCs w:val="32"/>
        </w:rPr>
        <w:t>）、紫薇清（滴酸</w:t>
      </w:r>
      <w:r>
        <w:rPr>
          <w:rFonts w:cs="仿宋_GB2312"/>
          <w:bCs/>
          <w:szCs w:val="32"/>
          <w:lang w:val="zh-CN"/>
        </w:rPr>
        <w:t>·</w:t>
      </w:r>
      <w:r>
        <w:rPr>
          <w:rFonts w:cs="仿宋_GB2312" w:hint="eastAsia"/>
          <w:bCs/>
          <w:szCs w:val="32"/>
        </w:rPr>
        <w:t>二氯</w:t>
      </w:r>
      <w:proofErr w:type="gramStart"/>
      <w:r>
        <w:rPr>
          <w:rFonts w:cs="仿宋_GB2312" w:hint="eastAsia"/>
          <w:bCs/>
          <w:szCs w:val="32"/>
        </w:rPr>
        <w:t>吡</w:t>
      </w:r>
      <w:proofErr w:type="gramEnd"/>
      <w:r>
        <w:rPr>
          <w:rFonts w:cs="仿宋_GB2312"/>
          <w:bCs/>
          <w:szCs w:val="32"/>
        </w:rPr>
        <w:t>/2,4-</w:t>
      </w:r>
      <w:r>
        <w:rPr>
          <w:rFonts w:cs="仿宋_GB2312"/>
          <w:bCs/>
          <w:szCs w:val="32"/>
        </w:rPr>
        <w:t>滴</w:t>
      </w:r>
      <w:r>
        <w:rPr>
          <w:rFonts w:cs="仿宋_GB2312"/>
          <w:bCs/>
          <w:szCs w:val="32"/>
          <w:lang w:val="zh-CN"/>
        </w:rPr>
        <w:t>·</w:t>
      </w:r>
      <w:r>
        <w:rPr>
          <w:rFonts w:cs="仿宋_GB2312"/>
          <w:bCs/>
          <w:szCs w:val="32"/>
        </w:rPr>
        <w:t>氯氟</w:t>
      </w:r>
      <w:proofErr w:type="gramStart"/>
      <w:r>
        <w:rPr>
          <w:rFonts w:cs="仿宋_GB2312"/>
          <w:bCs/>
          <w:szCs w:val="32"/>
        </w:rPr>
        <w:t>吡</w:t>
      </w:r>
      <w:proofErr w:type="gramEnd"/>
      <w:r>
        <w:rPr>
          <w:rFonts w:cs="仿宋_GB2312"/>
          <w:bCs/>
          <w:szCs w:val="32"/>
        </w:rPr>
        <w:t>氧乙酸）</w:t>
      </w:r>
      <w:r>
        <w:rPr>
          <w:rFonts w:cs="仿宋_GB2312" w:hint="eastAsia"/>
          <w:bCs/>
          <w:szCs w:val="32"/>
        </w:rPr>
        <w:t>1</w:t>
      </w:r>
      <w:r>
        <w:rPr>
          <w:rFonts w:cs="仿宋_GB2312"/>
          <w:bCs/>
          <w:szCs w:val="32"/>
        </w:rPr>
        <w:t>500</w:t>
      </w:r>
      <w:r>
        <w:rPr>
          <w:rFonts w:cs="仿宋_GB2312" w:hint="eastAsia"/>
          <w:bCs/>
          <w:szCs w:val="32"/>
        </w:rPr>
        <w:t>～</w:t>
      </w:r>
      <w:r>
        <w:rPr>
          <w:rFonts w:cs="仿宋_GB2312"/>
          <w:bCs/>
          <w:szCs w:val="32"/>
        </w:rPr>
        <w:t xml:space="preserve">2000 </w:t>
      </w:r>
      <w:proofErr w:type="gramStart"/>
      <w:r>
        <w:rPr>
          <w:rFonts w:cs="仿宋_GB2312"/>
          <w:bCs/>
          <w:szCs w:val="32"/>
        </w:rPr>
        <w:t>倍</w:t>
      </w:r>
      <w:proofErr w:type="gramEnd"/>
      <w:r>
        <w:rPr>
          <w:rFonts w:cs="仿宋_GB2312"/>
          <w:bCs/>
          <w:szCs w:val="32"/>
        </w:rPr>
        <w:t>液等专门除治</w:t>
      </w:r>
      <w:proofErr w:type="gramStart"/>
      <w:r>
        <w:rPr>
          <w:rFonts w:cs="仿宋_GB2312"/>
          <w:bCs/>
          <w:szCs w:val="32"/>
        </w:rPr>
        <w:t>薇</w:t>
      </w:r>
      <w:proofErr w:type="gramEnd"/>
      <w:r>
        <w:rPr>
          <w:rFonts w:cs="仿宋_GB2312"/>
          <w:bCs/>
          <w:szCs w:val="32"/>
        </w:rPr>
        <w:t>甘菊的药剂。防治时选择静风、晴好天气条件，避免喷施药剂漂移到桉树，产生药害。具体施用详见附录</w:t>
      </w:r>
      <w:r>
        <w:rPr>
          <w:rFonts w:cs="仿宋_GB2312"/>
          <w:bCs/>
          <w:szCs w:val="32"/>
        </w:rPr>
        <w:t>B</w:t>
      </w:r>
      <w:r>
        <w:rPr>
          <w:rFonts w:cs="仿宋_GB2312"/>
          <w:bCs/>
          <w:szCs w:val="32"/>
        </w:rPr>
        <w:t>。药剂种类、浓度及效果参照</w:t>
      </w:r>
      <w:r>
        <w:rPr>
          <w:rFonts w:cs="仿宋_GB2312"/>
          <w:bCs/>
          <w:szCs w:val="32"/>
        </w:rPr>
        <w:t>LY/T 2422-2015</w:t>
      </w:r>
      <w:r>
        <w:rPr>
          <w:rFonts w:cs="仿宋_GB2312"/>
          <w:bCs/>
          <w:szCs w:val="32"/>
        </w:rPr>
        <w:t>、</w:t>
      </w:r>
      <w:r>
        <w:rPr>
          <w:rFonts w:cs="仿宋_GB2312"/>
          <w:bCs/>
          <w:szCs w:val="32"/>
        </w:rPr>
        <w:t>SZDB/Z 191-2016</w:t>
      </w:r>
      <w:r>
        <w:rPr>
          <w:rFonts w:cs="仿宋_GB2312"/>
          <w:bCs/>
          <w:szCs w:val="32"/>
        </w:rPr>
        <w:t>规定，药剂施用严格按照</w:t>
      </w:r>
      <w:r>
        <w:rPr>
          <w:rFonts w:cs="仿宋_GB2312"/>
          <w:bCs/>
          <w:szCs w:val="32"/>
        </w:rPr>
        <w:t>GB/T8321</w:t>
      </w:r>
      <w:r>
        <w:rPr>
          <w:rFonts w:cs="仿宋_GB2312"/>
          <w:bCs/>
          <w:szCs w:val="32"/>
        </w:rPr>
        <w:t>和</w:t>
      </w:r>
      <w:r>
        <w:rPr>
          <w:rFonts w:cs="仿宋_GB2312"/>
          <w:bCs/>
          <w:szCs w:val="32"/>
        </w:rPr>
        <w:t>NY/T1276</w:t>
      </w:r>
      <w:r>
        <w:rPr>
          <w:rFonts w:cs="仿宋_GB2312"/>
          <w:bCs/>
          <w:szCs w:val="32"/>
        </w:rPr>
        <w:t>的有关规定执行。</w:t>
      </w:r>
      <w:r>
        <w:rPr>
          <w:rFonts w:cs="仿宋_GB2312" w:hint="eastAsia"/>
          <w:bCs/>
          <w:color w:val="FF0000"/>
          <w:szCs w:val="32"/>
        </w:rPr>
        <w:t>由表</w:t>
      </w:r>
      <w:r>
        <w:rPr>
          <w:rFonts w:cs="仿宋_GB2312" w:hint="eastAsia"/>
          <w:bCs/>
          <w:color w:val="FF0000"/>
          <w:szCs w:val="32"/>
        </w:rPr>
        <w:t>2</w:t>
      </w:r>
      <w:r>
        <w:rPr>
          <w:rFonts w:cs="仿宋_GB2312" w:hint="eastAsia"/>
          <w:bCs/>
          <w:color w:val="FF0000"/>
          <w:szCs w:val="32"/>
        </w:rPr>
        <w:t>可知，施用紫薇清</w:t>
      </w:r>
      <w:r>
        <w:rPr>
          <w:rFonts w:cs="仿宋_GB2312" w:hint="eastAsia"/>
          <w:bCs/>
          <w:color w:val="FF0000"/>
          <w:szCs w:val="32"/>
        </w:rPr>
        <w:t>1500</w:t>
      </w:r>
      <w:r>
        <w:rPr>
          <w:rFonts w:cs="仿宋_GB2312" w:hint="eastAsia"/>
          <w:bCs/>
          <w:color w:val="FF0000"/>
          <w:szCs w:val="32"/>
        </w:rPr>
        <w:t>倍液时，防治效果最好。</w:t>
      </w:r>
    </w:p>
    <w:p w14:paraId="72DDC098" w14:textId="77777777" w:rsidR="00493EB4" w:rsidRDefault="00795F6A">
      <w:pPr>
        <w:spacing w:line="580" w:lineRule="exact"/>
        <w:jc w:val="center"/>
        <w:rPr>
          <w:rFonts w:eastAsia="仿宋_GB2312"/>
          <w:color w:val="FF0000"/>
          <w:sz w:val="28"/>
          <w:szCs w:val="28"/>
          <w:lang w:val="zh-CN"/>
        </w:rPr>
      </w:pPr>
      <w:r>
        <w:rPr>
          <w:rFonts w:eastAsia="仿宋_GB2312"/>
          <w:color w:val="FF0000"/>
          <w:sz w:val="28"/>
          <w:szCs w:val="28"/>
          <w:lang w:val="zh-CN"/>
        </w:rPr>
        <w:t>表</w:t>
      </w:r>
      <w:r>
        <w:rPr>
          <w:rFonts w:eastAsia="仿宋_GB2312"/>
          <w:color w:val="FF0000"/>
          <w:sz w:val="28"/>
          <w:szCs w:val="28"/>
          <w:lang w:val="zh-CN"/>
        </w:rPr>
        <w:t xml:space="preserve">2 </w:t>
      </w:r>
      <w:proofErr w:type="gramStart"/>
      <w:r>
        <w:rPr>
          <w:rFonts w:eastAsia="仿宋_GB2312"/>
          <w:color w:val="FF0000"/>
          <w:sz w:val="28"/>
          <w:szCs w:val="28"/>
          <w:lang w:val="zh-CN"/>
        </w:rPr>
        <w:t>薇</w:t>
      </w:r>
      <w:proofErr w:type="gramEnd"/>
      <w:r>
        <w:rPr>
          <w:rFonts w:eastAsia="仿宋_GB2312"/>
          <w:color w:val="FF0000"/>
          <w:sz w:val="28"/>
          <w:szCs w:val="28"/>
          <w:lang w:val="zh-CN"/>
        </w:rPr>
        <w:t>甘菊化学药剂防治效果</w:t>
      </w: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1276"/>
        <w:gridCol w:w="1413"/>
        <w:gridCol w:w="1614"/>
        <w:gridCol w:w="1328"/>
        <w:gridCol w:w="1205"/>
        <w:gridCol w:w="1205"/>
      </w:tblGrid>
      <w:tr w:rsidR="00493EB4" w14:paraId="503A9A68" w14:textId="77777777">
        <w:trPr>
          <w:trHeight w:val="466"/>
        </w:trPr>
        <w:tc>
          <w:tcPr>
            <w:tcW w:w="1134" w:type="dxa"/>
            <w:vMerge w:val="restart"/>
            <w:tcBorders>
              <w:top w:val="single" w:sz="12" w:space="0" w:color="auto"/>
            </w:tcBorders>
            <w:vAlign w:val="center"/>
          </w:tcPr>
          <w:p w14:paraId="40327451" w14:textId="77777777" w:rsidR="00493EB4" w:rsidRDefault="00795F6A">
            <w:pPr>
              <w:jc w:val="center"/>
              <w:rPr>
                <w:rFonts w:eastAsia="仿宋_GB2312"/>
                <w:color w:val="FF0000"/>
                <w:sz w:val="24"/>
                <w:lang w:val="zh-CN"/>
              </w:rPr>
            </w:pPr>
            <w:r>
              <w:rPr>
                <w:rFonts w:eastAsia="仿宋_GB2312"/>
                <w:color w:val="FF0000"/>
                <w:sz w:val="24"/>
                <w:lang w:val="zh-CN"/>
              </w:rPr>
              <w:t>药剂</w:t>
            </w:r>
          </w:p>
        </w:tc>
        <w:tc>
          <w:tcPr>
            <w:tcW w:w="1276" w:type="dxa"/>
            <w:vMerge w:val="restart"/>
            <w:tcBorders>
              <w:top w:val="single" w:sz="12" w:space="0" w:color="auto"/>
            </w:tcBorders>
            <w:vAlign w:val="center"/>
          </w:tcPr>
          <w:p w14:paraId="6AA50CE2" w14:textId="77777777" w:rsidR="00493EB4" w:rsidRDefault="00795F6A">
            <w:pPr>
              <w:jc w:val="center"/>
              <w:rPr>
                <w:rFonts w:eastAsia="仿宋_GB2312"/>
                <w:color w:val="FF0000"/>
                <w:sz w:val="24"/>
                <w:lang w:val="zh-CN"/>
              </w:rPr>
            </w:pPr>
            <w:r>
              <w:rPr>
                <w:rFonts w:eastAsia="仿宋_GB2312"/>
                <w:color w:val="FF0000"/>
                <w:sz w:val="24"/>
                <w:lang w:val="zh-CN"/>
              </w:rPr>
              <w:t>药剂浓度</w:t>
            </w:r>
          </w:p>
        </w:tc>
        <w:tc>
          <w:tcPr>
            <w:tcW w:w="1413" w:type="dxa"/>
            <w:vMerge w:val="restart"/>
            <w:tcBorders>
              <w:top w:val="single" w:sz="12" w:space="0" w:color="auto"/>
            </w:tcBorders>
            <w:vAlign w:val="center"/>
          </w:tcPr>
          <w:p w14:paraId="58EC228D" w14:textId="77777777" w:rsidR="00493EB4" w:rsidRDefault="00795F6A">
            <w:pPr>
              <w:jc w:val="center"/>
              <w:rPr>
                <w:rFonts w:eastAsia="仿宋_GB2312"/>
                <w:color w:val="FF0000"/>
                <w:sz w:val="24"/>
                <w:lang w:val="zh-CN"/>
              </w:rPr>
            </w:pPr>
            <w:r>
              <w:rPr>
                <w:rFonts w:eastAsia="仿宋_GB2312"/>
                <w:color w:val="FF0000"/>
                <w:sz w:val="24"/>
                <w:lang w:val="zh-CN"/>
              </w:rPr>
              <w:t>施药时期</w:t>
            </w:r>
          </w:p>
        </w:tc>
        <w:tc>
          <w:tcPr>
            <w:tcW w:w="2942" w:type="dxa"/>
            <w:gridSpan w:val="2"/>
            <w:tcBorders>
              <w:top w:val="single" w:sz="12" w:space="0" w:color="auto"/>
              <w:bottom w:val="single" w:sz="4" w:space="0" w:color="auto"/>
            </w:tcBorders>
            <w:vAlign w:val="center"/>
          </w:tcPr>
          <w:p w14:paraId="75F65D00" w14:textId="77777777" w:rsidR="00493EB4" w:rsidRDefault="00795F6A">
            <w:pPr>
              <w:jc w:val="center"/>
              <w:rPr>
                <w:rFonts w:eastAsia="仿宋_GB2312"/>
                <w:color w:val="FF0000"/>
                <w:sz w:val="24"/>
                <w:lang w:val="zh-CN"/>
              </w:rPr>
            </w:pPr>
            <w:proofErr w:type="gramStart"/>
            <w:r>
              <w:rPr>
                <w:rFonts w:eastAsia="仿宋_GB2312"/>
                <w:color w:val="FF0000"/>
                <w:sz w:val="24"/>
                <w:lang w:val="zh-CN"/>
              </w:rPr>
              <w:t>薇</w:t>
            </w:r>
            <w:proofErr w:type="gramEnd"/>
            <w:r>
              <w:rPr>
                <w:rFonts w:eastAsia="仿宋_GB2312"/>
                <w:color w:val="FF0000"/>
                <w:sz w:val="24"/>
                <w:lang w:val="zh-CN"/>
              </w:rPr>
              <w:t>甘菊覆盖度</w:t>
            </w:r>
          </w:p>
        </w:tc>
        <w:tc>
          <w:tcPr>
            <w:tcW w:w="1205" w:type="dxa"/>
            <w:vMerge w:val="restart"/>
            <w:tcBorders>
              <w:top w:val="single" w:sz="12" w:space="0" w:color="auto"/>
            </w:tcBorders>
            <w:vAlign w:val="center"/>
          </w:tcPr>
          <w:p w14:paraId="075ACAC8" w14:textId="77777777" w:rsidR="00493EB4" w:rsidRDefault="00795F6A">
            <w:pPr>
              <w:jc w:val="center"/>
              <w:rPr>
                <w:rFonts w:eastAsia="仿宋_GB2312"/>
                <w:color w:val="FF0000"/>
                <w:sz w:val="24"/>
                <w:lang w:val="zh-CN"/>
              </w:rPr>
            </w:pPr>
            <w:r>
              <w:rPr>
                <w:rFonts w:eastAsia="仿宋_GB2312"/>
                <w:color w:val="FF0000"/>
                <w:sz w:val="24"/>
                <w:lang w:val="zh-CN"/>
              </w:rPr>
              <w:t>残存率（</w:t>
            </w:r>
            <w:r>
              <w:rPr>
                <w:rFonts w:eastAsia="仿宋_GB2312"/>
                <w:color w:val="FF0000"/>
                <w:sz w:val="24"/>
                <w:lang w:val="zh-CN"/>
              </w:rPr>
              <w:t>%</w:t>
            </w:r>
            <w:r>
              <w:rPr>
                <w:rFonts w:eastAsia="仿宋_GB2312"/>
                <w:color w:val="FF0000"/>
                <w:sz w:val="24"/>
                <w:lang w:val="zh-CN"/>
              </w:rPr>
              <w:t>）</w:t>
            </w:r>
          </w:p>
        </w:tc>
        <w:tc>
          <w:tcPr>
            <w:tcW w:w="1205" w:type="dxa"/>
            <w:vMerge w:val="restart"/>
            <w:tcBorders>
              <w:top w:val="single" w:sz="12" w:space="0" w:color="auto"/>
            </w:tcBorders>
            <w:vAlign w:val="center"/>
          </w:tcPr>
          <w:p w14:paraId="4121FED9" w14:textId="77777777" w:rsidR="00493EB4" w:rsidRDefault="00795F6A">
            <w:pPr>
              <w:jc w:val="center"/>
              <w:rPr>
                <w:rFonts w:eastAsia="仿宋_GB2312"/>
                <w:color w:val="FF0000"/>
                <w:sz w:val="24"/>
                <w:lang w:val="zh-CN"/>
              </w:rPr>
            </w:pPr>
            <w:r>
              <w:rPr>
                <w:rFonts w:eastAsia="仿宋_GB2312"/>
                <w:color w:val="FF0000"/>
                <w:sz w:val="24"/>
                <w:lang w:val="zh-CN"/>
              </w:rPr>
              <w:t>防治效果（</w:t>
            </w:r>
            <w:r>
              <w:rPr>
                <w:rFonts w:eastAsia="仿宋_GB2312"/>
                <w:color w:val="FF0000"/>
                <w:sz w:val="24"/>
                <w:lang w:val="zh-CN"/>
              </w:rPr>
              <w:t>%</w:t>
            </w:r>
            <w:r>
              <w:rPr>
                <w:rFonts w:eastAsia="仿宋_GB2312"/>
                <w:color w:val="FF0000"/>
                <w:sz w:val="24"/>
                <w:lang w:val="zh-CN"/>
              </w:rPr>
              <w:t>）</w:t>
            </w:r>
          </w:p>
        </w:tc>
      </w:tr>
      <w:tr w:rsidR="00493EB4" w14:paraId="67F27A4B" w14:textId="77777777">
        <w:trPr>
          <w:trHeight w:val="447"/>
        </w:trPr>
        <w:tc>
          <w:tcPr>
            <w:tcW w:w="1134" w:type="dxa"/>
            <w:vMerge/>
            <w:tcBorders>
              <w:bottom w:val="single" w:sz="4" w:space="0" w:color="auto"/>
            </w:tcBorders>
            <w:vAlign w:val="center"/>
          </w:tcPr>
          <w:p w14:paraId="73425DDF" w14:textId="77777777" w:rsidR="00493EB4" w:rsidRDefault="00493EB4">
            <w:pPr>
              <w:jc w:val="center"/>
              <w:rPr>
                <w:rFonts w:eastAsia="仿宋_GB2312"/>
                <w:color w:val="FF0000"/>
                <w:sz w:val="24"/>
                <w:lang w:val="zh-CN"/>
              </w:rPr>
            </w:pPr>
          </w:p>
        </w:tc>
        <w:tc>
          <w:tcPr>
            <w:tcW w:w="1276" w:type="dxa"/>
            <w:vMerge/>
            <w:tcBorders>
              <w:bottom w:val="single" w:sz="4" w:space="0" w:color="auto"/>
            </w:tcBorders>
            <w:vAlign w:val="center"/>
          </w:tcPr>
          <w:p w14:paraId="541828E6" w14:textId="77777777" w:rsidR="00493EB4" w:rsidRDefault="00493EB4">
            <w:pPr>
              <w:jc w:val="center"/>
              <w:rPr>
                <w:rFonts w:eastAsia="仿宋_GB2312"/>
                <w:color w:val="FF0000"/>
                <w:sz w:val="24"/>
                <w:lang w:val="zh-CN"/>
              </w:rPr>
            </w:pPr>
          </w:p>
        </w:tc>
        <w:tc>
          <w:tcPr>
            <w:tcW w:w="1413" w:type="dxa"/>
            <w:vMerge/>
            <w:tcBorders>
              <w:bottom w:val="single" w:sz="4" w:space="0" w:color="auto"/>
            </w:tcBorders>
            <w:vAlign w:val="center"/>
          </w:tcPr>
          <w:p w14:paraId="3DE5E72E" w14:textId="77777777" w:rsidR="00493EB4" w:rsidRDefault="00493EB4">
            <w:pPr>
              <w:jc w:val="center"/>
              <w:rPr>
                <w:rFonts w:eastAsia="仿宋_GB2312"/>
                <w:color w:val="FF0000"/>
                <w:sz w:val="24"/>
                <w:lang w:val="zh-CN"/>
              </w:rPr>
            </w:pPr>
          </w:p>
        </w:tc>
        <w:tc>
          <w:tcPr>
            <w:tcW w:w="1614" w:type="dxa"/>
            <w:tcBorders>
              <w:top w:val="single" w:sz="4" w:space="0" w:color="auto"/>
              <w:bottom w:val="single" w:sz="4" w:space="0" w:color="auto"/>
            </w:tcBorders>
            <w:vAlign w:val="center"/>
          </w:tcPr>
          <w:p w14:paraId="37E2B191" w14:textId="77777777" w:rsidR="00493EB4" w:rsidRDefault="00795F6A">
            <w:pPr>
              <w:jc w:val="center"/>
              <w:rPr>
                <w:rFonts w:eastAsia="仿宋_GB2312"/>
                <w:color w:val="FF0000"/>
                <w:sz w:val="24"/>
                <w:lang w:val="zh-CN"/>
              </w:rPr>
            </w:pPr>
            <w:r>
              <w:rPr>
                <w:rFonts w:eastAsia="仿宋_GB2312"/>
                <w:color w:val="FF0000"/>
                <w:sz w:val="24"/>
                <w:lang w:val="zh-CN"/>
              </w:rPr>
              <w:t>防治前</w:t>
            </w:r>
          </w:p>
        </w:tc>
        <w:tc>
          <w:tcPr>
            <w:tcW w:w="1328" w:type="dxa"/>
            <w:tcBorders>
              <w:top w:val="single" w:sz="4" w:space="0" w:color="auto"/>
              <w:bottom w:val="single" w:sz="4" w:space="0" w:color="auto"/>
            </w:tcBorders>
            <w:vAlign w:val="center"/>
          </w:tcPr>
          <w:p w14:paraId="0EC2EA0F" w14:textId="77777777" w:rsidR="00493EB4" w:rsidRDefault="00795F6A">
            <w:pPr>
              <w:jc w:val="center"/>
              <w:rPr>
                <w:rFonts w:eastAsia="仿宋_GB2312"/>
                <w:color w:val="FF0000"/>
                <w:sz w:val="24"/>
                <w:lang w:val="zh-CN"/>
              </w:rPr>
            </w:pPr>
            <w:r>
              <w:rPr>
                <w:rFonts w:eastAsia="仿宋_GB2312"/>
                <w:color w:val="FF0000"/>
                <w:sz w:val="24"/>
                <w:lang w:val="zh-CN"/>
              </w:rPr>
              <w:t>防治后</w:t>
            </w:r>
          </w:p>
        </w:tc>
        <w:tc>
          <w:tcPr>
            <w:tcW w:w="1205" w:type="dxa"/>
            <w:vMerge/>
            <w:tcBorders>
              <w:bottom w:val="single" w:sz="4" w:space="0" w:color="auto"/>
            </w:tcBorders>
            <w:vAlign w:val="center"/>
          </w:tcPr>
          <w:p w14:paraId="669A07E1" w14:textId="77777777" w:rsidR="00493EB4" w:rsidRDefault="00493EB4">
            <w:pPr>
              <w:jc w:val="center"/>
              <w:rPr>
                <w:rFonts w:eastAsia="仿宋_GB2312"/>
                <w:color w:val="FF0000"/>
                <w:sz w:val="24"/>
                <w:lang w:val="zh-CN"/>
              </w:rPr>
            </w:pPr>
          </w:p>
        </w:tc>
        <w:tc>
          <w:tcPr>
            <w:tcW w:w="1205" w:type="dxa"/>
            <w:vMerge/>
            <w:tcBorders>
              <w:bottom w:val="single" w:sz="4" w:space="0" w:color="auto"/>
            </w:tcBorders>
            <w:vAlign w:val="center"/>
          </w:tcPr>
          <w:p w14:paraId="3E2D390D" w14:textId="77777777" w:rsidR="00493EB4" w:rsidRDefault="00493EB4">
            <w:pPr>
              <w:jc w:val="center"/>
              <w:rPr>
                <w:rFonts w:eastAsia="仿宋_GB2312"/>
                <w:color w:val="FF0000"/>
                <w:sz w:val="24"/>
                <w:lang w:val="zh-CN"/>
              </w:rPr>
            </w:pPr>
          </w:p>
        </w:tc>
      </w:tr>
      <w:tr w:rsidR="00493EB4" w14:paraId="2ABCAD99" w14:textId="77777777">
        <w:trPr>
          <w:trHeight w:val="460"/>
        </w:trPr>
        <w:tc>
          <w:tcPr>
            <w:tcW w:w="1134" w:type="dxa"/>
            <w:tcBorders>
              <w:top w:val="single" w:sz="4" w:space="0" w:color="auto"/>
            </w:tcBorders>
            <w:vAlign w:val="center"/>
          </w:tcPr>
          <w:p w14:paraId="5C4A6F87" w14:textId="77777777" w:rsidR="00493EB4" w:rsidRDefault="00795F6A">
            <w:pPr>
              <w:jc w:val="center"/>
              <w:rPr>
                <w:rFonts w:eastAsia="仿宋_GB2312"/>
                <w:color w:val="FF0000"/>
                <w:sz w:val="24"/>
                <w:lang w:val="zh-CN"/>
              </w:rPr>
            </w:pPr>
            <w:r>
              <w:rPr>
                <w:rFonts w:eastAsia="仿宋_GB2312"/>
                <w:color w:val="FF0000"/>
                <w:sz w:val="24"/>
                <w:lang w:val="zh-CN"/>
              </w:rPr>
              <w:t>紫薇清</w:t>
            </w:r>
          </w:p>
        </w:tc>
        <w:tc>
          <w:tcPr>
            <w:tcW w:w="1276" w:type="dxa"/>
            <w:tcBorders>
              <w:top w:val="single" w:sz="4" w:space="0" w:color="auto"/>
            </w:tcBorders>
            <w:vAlign w:val="center"/>
          </w:tcPr>
          <w:p w14:paraId="2EA5778B" w14:textId="77777777" w:rsidR="00493EB4" w:rsidRDefault="00795F6A">
            <w:pPr>
              <w:jc w:val="center"/>
              <w:rPr>
                <w:rFonts w:eastAsia="仿宋_GB2312"/>
                <w:color w:val="FF0000"/>
                <w:sz w:val="24"/>
                <w:lang w:val="zh-CN"/>
              </w:rPr>
            </w:pPr>
            <w:r>
              <w:rPr>
                <w:rFonts w:eastAsia="仿宋_GB2312"/>
                <w:color w:val="FF0000"/>
                <w:sz w:val="24"/>
                <w:lang w:val="zh-CN"/>
              </w:rPr>
              <w:t>1000</w:t>
            </w:r>
            <w:r>
              <w:rPr>
                <w:rFonts w:eastAsia="仿宋_GB2312"/>
                <w:color w:val="FF0000"/>
                <w:sz w:val="24"/>
                <w:lang w:val="zh-CN"/>
              </w:rPr>
              <w:t>倍</w:t>
            </w:r>
          </w:p>
        </w:tc>
        <w:tc>
          <w:tcPr>
            <w:tcW w:w="1413" w:type="dxa"/>
            <w:tcBorders>
              <w:top w:val="single" w:sz="4" w:space="0" w:color="auto"/>
            </w:tcBorders>
            <w:vAlign w:val="center"/>
          </w:tcPr>
          <w:p w14:paraId="1CE7DFBF" w14:textId="77777777" w:rsidR="00493EB4" w:rsidRDefault="00795F6A">
            <w:pPr>
              <w:jc w:val="center"/>
              <w:rPr>
                <w:rFonts w:eastAsia="仿宋_GB2312"/>
                <w:color w:val="FF0000"/>
                <w:sz w:val="24"/>
                <w:lang w:val="zh-CN"/>
              </w:rPr>
            </w:pPr>
            <w:r>
              <w:rPr>
                <w:rFonts w:eastAsia="仿宋_GB2312"/>
                <w:color w:val="FF0000"/>
                <w:sz w:val="24"/>
                <w:lang w:val="zh-CN"/>
              </w:rPr>
              <w:t>营养期</w:t>
            </w:r>
          </w:p>
        </w:tc>
        <w:tc>
          <w:tcPr>
            <w:tcW w:w="1614" w:type="dxa"/>
            <w:tcBorders>
              <w:top w:val="single" w:sz="4" w:space="0" w:color="auto"/>
            </w:tcBorders>
            <w:vAlign w:val="center"/>
          </w:tcPr>
          <w:p w14:paraId="067F6A79" w14:textId="77777777" w:rsidR="00493EB4" w:rsidRDefault="00795F6A">
            <w:pPr>
              <w:jc w:val="center"/>
              <w:rPr>
                <w:rFonts w:eastAsia="仿宋_GB2312"/>
                <w:color w:val="FF0000"/>
                <w:sz w:val="24"/>
                <w:lang w:val="zh-CN"/>
              </w:rPr>
            </w:pPr>
            <w:r>
              <w:rPr>
                <w:rFonts w:eastAsia="仿宋_GB2312"/>
                <w:color w:val="FF0000"/>
                <w:sz w:val="24"/>
                <w:lang w:val="zh-CN"/>
              </w:rPr>
              <w:t>75.05</w:t>
            </w:r>
          </w:p>
        </w:tc>
        <w:tc>
          <w:tcPr>
            <w:tcW w:w="1328" w:type="dxa"/>
            <w:tcBorders>
              <w:top w:val="single" w:sz="4" w:space="0" w:color="auto"/>
            </w:tcBorders>
            <w:vAlign w:val="center"/>
          </w:tcPr>
          <w:p w14:paraId="61244D64" w14:textId="77777777" w:rsidR="00493EB4" w:rsidRDefault="00795F6A">
            <w:pPr>
              <w:jc w:val="center"/>
              <w:rPr>
                <w:rFonts w:eastAsia="仿宋_GB2312"/>
                <w:color w:val="FF0000"/>
                <w:sz w:val="24"/>
                <w:lang w:val="zh-CN"/>
              </w:rPr>
            </w:pPr>
            <w:r>
              <w:rPr>
                <w:rFonts w:eastAsia="仿宋_GB2312"/>
                <w:color w:val="FF0000"/>
                <w:sz w:val="24"/>
                <w:lang w:val="zh-CN"/>
              </w:rPr>
              <w:t>2.73</w:t>
            </w:r>
          </w:p>
        </w:tc>
        <w:tc>
          <w:tcPr>
            <w:tcW w:w="1205" w:type="dxa"/>
            <w:tcBorders>
              <w:top w:val="single" w:sz="4" w:space="0" w:color="auto"/>
            </w:tcBorders>
            <w:vAlign w:val="center"/>
          </w:tcPr>
          <w:p w14:paraId="48B9E053" w14:textId="77777777" w:rsidR="00493EB4" w:rsidRDefault="00795F6A">
            <w:pPr>
              <w:jc w:val="center"/>
              <w:rPr>
                <w:rFonts w:eastAsia="仿宋_GB2312"/>
                <w:color w:val="FF0000"/>
                <w:sz w:val="24"/>
                <w:lang w:val="zh-CN"/>
              </w:rPr>
            </w:pPr>
            <w:r>
              <w:rPr>
                <w:rFonts w:eastAsia="仿宋_GB2312"/>
                <w:color w:val="FF0000"/>
                <w:sz w:val="24"/>
                <w:lang w:val="zh-CN"/>
              </w:rPr>
              <w:t>3.63</w:t>
            </w:r>
          </w:p>
        </w:tc>
        <w:tc>
          <w:tcPr>
            <w:tcW w:w="1205" w:type="dxa"/>
            <w:tcBorders>
              <w:top w:val="single" w:sz="4" w:space="0" w:color="auto"/>
            </w:tcBorders>
            <w:vAlign w:val="center"/>
          </w:tcPr>
          <w:p w14:paraId="1DDFB8AE" w14:textId="77777777" w:rsidR="00493EB4" w:rsidRDefault="00795F6A">
            <w:pPr>
              <w:jc w:val="center"/>
              <w:rPr>
                <w:rFonts w:eastAsia="仿宋_GB2312"/>
                <w:color w:val="FF0000"/>
                <w:sz w:val="24"/>
                <w:lang w:val="zh-CN"/>
              </w:rPr>
            </w:pPr>
            <w:r>
              <w:rPr>
                <w:rFonts w:eastAsiaTheme="minorEastAsia"/>
                <w:color w:val="FF0000"/>
                <w:sz w:val="24"/>
                <w:szCs w:val="22"/>
              </w:rPr>
              <w:t xml:space="preserve">96.36 </w:t>
            </w:r>
          </w:p>
        </w:tc>
      </w:tr>
      <w:tr w:rsidR="00493EB4" w14:paraId="5FF5B2F4" w14:textId="77777777">
        <w:trPr>
          <w:trHeight w:val="460"/>
        </w:trPr>
        <w:tc>
          <w:tcPr>
            <w:tcW w:w="1134" w:type="dxa"/>
            <w:vAlign w:val="center"/>
          </w:tcPr>
          <w:p w14:paraId="235C9DE0" w14:textId="77777777" w:rsidR="00493EB4" w:rsidRDefault="00795F6A">
            <w:pPr>
              <w:jc w:val="center"/>
              <w:rPr>
                <w:rFonts w:eastAsia="仿宋_GB2312"/>
                <w:color w:val="FF0000"/>
                <w:sz w:val="24"/>
                <w:lang w:val="zh-CN"/>
              </w:rPr>
            </w:pPr>
            <w:r>
              <w:rPr>
                <w:rFonts w:eastAsia="仿宋_GB2312"/>
                <w:color w:val="FF0000"/>
                <w:sz w:val="24"/>
                <w:lang w:val="zh-CN"/>
              </w:rPr>
              <w:t>紫薇清</w:t>
            </w:r>
          </w:p>
        </w:tc>
        <w:tc>
          <w:tcPr>
            <w:tcW w:w="1276" w:type="dxa"/>
            <w:vAlign w:val="center"/>
          </w:tcPr>
          <w:p w14:paraId="3321654E" w14:textId="77777777" w:rsidR="00493EB4" w:rsidRDefault="00795F6A">
            <w:pPr>
              <w:jc w:val="center"/>
              <w:rPr>
                <w:rFonts w:eastAsia="仿宋_GB2312"/>
                <w:color w:val="FF0000"/>
                <w:sz w:val="24"/>
                <w:lang w:val="zh-CN"/>
              </w:rPr>
            </w:pPr>
            <w:r>
              <w:rPr>
                <w:rFonts w:eastAsia="仿宋_GB2312"/>
                <w:color w:val="FF0000"/>
                <w:sz w:val="24"/>
                <w:lang w:val="zh-CN"/>
              </w:rPr>
              <w:t>1500</w:t>
            </w:r>
            <w:r>
              <w:rPr>
                <w:rFonts w:eastAsia="仿宋_GB2312"/>
                <w:color w:val="FF0000"/>
                <w:sz w:val="24"/>
                <w:lang w:val="zh-CN"/>
              </w:rPr>
              <w:t>倍</w:t>
            </w:r>
          </w:p>
        </w:tc>
        <w:tc>
          <w:tcPr>
            <w:tcW w:w="1413" w:type="dxa"/>
            <w:tcBorders>
              <w:bottom w:val="single" w:sz="4" w:space="0" w:color="auto"/>
            </w:tcBorders>
            <w:vAlign w:val="center"/>
          </w:tcPr>
          <w:p w14:paraId="23382D64" w14:textId="77777777" w:rsidR="00493EB4" w:rsidRDefault="00795F6A">
            <w:pPr>
              <w:jc w:val="center"/>
              <w:rPr>
                <w:rFonts w:eastAsia="仿宋_GB2312"/>
                <w:color w:val="FF0000"/>
                <w:sz w:val="24"/>
                <w:lang w:val="zh-CN"/>
              </w:rPr>
            </w:pPr>
            <w:r>
              <w:rPr>
                <w:rFonts w:eastAsia="仿宋_GB2312"/>
                <w:color w:val="FF0000"/>
                <w:sz w:val="24"/>
                <w:lang w:val="zh-CN"/>
              </w:rPr>
              <w:t>营养期</w:t>
            </w:r>
          </w:p>
        </w:tc>
        <w:tc>
          <w:tcPr>
            <w:tcW w:w="1614" w:type="dxa"/>
            <w:tcBorders>
              <w:bottom w:val="single" w:sz="4" w:space="0" w:color="auto"/>
            </w:tcBorders>
            <w:vAlign w:val="center"/>
          </w:tcPr>
          <w:p w14:paraId="3D3216D1" w14:textId="77777777" w:rsidR="00493EB4" w:rsidRDefault="00795F6A">
            <w:pPr>
              <w:jc w:val="center"/>
              <w:rPr>
                <w:rFonts w:eastAsia="仿宋_GB2312"/>
                <w:color w:val="FF0000"/>
                <w:sz w:val="24"/>
                <w:lang w:val="zh-CN"/>
              </w:rPr>
            </w:pPr>
            <w:r>
              <w:rPr>
                <w:rFonts w:eastAsia="仿宋_GB2312"/>
                <w:color w:val="FF0000"/>
                <w:sz w:val="24"/>
                <w:lang w:val="zh-CN"/>
              </w:rPr>
              <w:t>90.48</w:t>
            </w:r>
          </w:p>
        </w:tc>
        <w:tc>
          <w:tcPr>
            <w:tcW w:w="1328" w:type="dxa"/>
            <w:tcBorders>
              <w:bottom w:val="single" w:sz="4" w:space="0" w:color="auto"/>
            </w:tcBorders>
            <w:vAlign w:val="center"/>
          </w:tcPr>
          <w:p w14:paraId="45A22053" w14:textId="77777777" w:rsidR="00493EB4" w:rsidRDefault="00795F6A">
            <w:pPr>
              <w:jc w:val="center"/>
              <w:rPr>
                <w:rFonts w:eastAsia="仿宋_GB2312"/>
                <w:color w:val="FF0000"/>
                <w:sz w:val="24"/>
                <w:lang w:val="zh-CN"/>
              </w:rPr>
            </w:pPr>
            <w:r>
              <w:rPr>
                <w:rFonts w:eastAsia="仿宋_GB2312"/>
                <w:color w:val="FF0000"/>
                <w:sz w:val="24"/>
                <w:lang w:val="zh-CN"/>
              </w:rPr>
              <w:t>2.09</w:t>
            </w:r>
          </w:p>
        </w:tc>
        <w:tc>
          <w:tcPr>
            <w:tcW w:w="1205" w:type="dxa"/>
            <w:tcBorders>
              <w:bottom w:val="single" w:sz="4" w:space="0" w:color="auto"/>
            </w:tcBorders>
            <w:vAlign w:val="center"/>
          </w:tcPr>
          <w:p w14:paraId="77BEE62B" w14:textId="77777777" w:rsidR="00493EB4" w:rsidRDefault="00795F6A">
            <w:pPr>
              <w:jc w:val="center"/>
              <w:rPr>
                <w:rFonts w:eastAsia="仿宋_GB2312"/>
                <w:color w:val="FF0000"/>
                <w:sz w:val="24"/>
                <w:lang w:val="zh-CN"/>
              </w:rPr>
            </w:pPr>
            <w:r>
              <w:rPr>
                <w:rFonts w:eastAsia="仿宋_GB2312"/>
                <w:color w:val="FF0000"/>
                <w:sz w:val="24"/>
                <w:lang w:val="zh-CN"/>
              </w:rPr>
              <w:t>2.30</w:t>
            </w:r>
          </w:p>
        </w:tc>
        <w:tc>
          <w:tcPr>
            <w:tcW w:w="1205" w:type="dxa"/>
            <w:tcBorders>
              <w:bottom w:val="single" w:sz="4" w:space="0" w:color="auto"/>
            </w:tcBorders>
            <w:vAlign w:val="center"/>
          </w:tcPr>
          <w:p w14:paraId="7190ED8A" w14:textId="77777777" w:rsidR="00493EB4" w:rsidRDefault="00795F6A">
            <w:pPr>
              <w:jc w:val="center"/>
              <w:rPr>
                <w:rFonts w:eastAsia="仿宋_GB2312"/>
                <w:color w:val="FF0000"/>
                <w:sz w:val="24"/>
                <w:lang w:val="zh-CN"/>
              </w:rPr>
            </w:pPr>
            <w:r>
              <w:rPr>
                <w:rFonts w:eastAsiaTheme="minorEastAsia"/>
                <w:color w:val="FF0000"/>
                <w:sz w:val="24"/>
                <w:szCs w:val="22"/>
              </w:rPr>
              <w:t xml:space="preserve">97.69 </w:t>
            </w:r>
          </w:p>
        </w:tc>
      </w:tr>
      <w:tr w:rsidR="00493EB4" w14:paraId="4CBDA567" w14:textId="77777777">
        <w:trPr>
          <w:trHeight w:val="460"/>
        </w:trPr>
        <w:tc>
          <w:tcPr>
            <w:tcW w:w="1134" w:type="dxa"/>
            <w:vAlign w:val="center"/>
          </w:tcPr>
          <w:p w14:paraId="6FDF232A" w14:textId="77777777" w:rsidR="00493EB4" w:rsidRDefault="00795F6A">
            <w:pPr>
              <w:jc w:val="center"/>
              <w:rPr>
                <w:rFonts w:eastAsia="仿宋_GB2312"/>
                <w:color w:val="FF0000"/>
                <w:sz w:val="24"/>
                <w:lang w:val="zh-CN"/>
              </w:rPr>
            </w:pPr>
            <w:r>
              <w:rPr>
                <w:rFonts w:eastAsia="仿宋_GB2312"/>
                <w:color w:val="FF0000"/>
                <w:sz w:val="24"/>
                <w:lang w:val="zh-CN"/>
              </w:rPr>
              <w:t>紫薇清</w:t>
            </w:r>
          </w:p>
        </w:tc>
        <w:tc>
          <w:tcPr>
            <w:tcW w:w="1276" w:type="dxa"/>
            <w:vAlign w:val="center"/>
          </w:tcPr>
          <w:p w14:paraId="5E54EB02" w14:textId="77777777" w:rsidR="00493EB4" w:rsidRDefault="00795F6A">
            <w:pPr>
              <w:jc w:val="center"/>
              <w:rPr>
                <w:rFonts w:eastAsia="仿宋_GB2312"/>
                <w:color w:val="FF0000"/>
                <w:sz w:val="24"/>
                <w:lang w:val="zh-CN"/>
              </w:rPr>
            </w:pPr>
            <w:r>
              <w:rPr>
                <w:rFonts w:eastAsia="仿宋_GB2312"/>
                <w:color w:val="FF0000"/>
                <w:sz w:val="24"/>
                <w:lang w:val="zh-CN"/>
              </w:rPr>
              <w:t>1000</w:t>
            </w:r>
            <w:r>
              <w:rPr>
                <w:rFonts w:eastAsia="仿宋_GB2312"/>
                <w:color w:val="FF0000"/>
                <w:sz w:val="24"/>
                <w:lang w:val="zh-CN"/>
              </w:rPr>
              <w:t>倍</w:t>
            </w:r>
          </w:p>
        </w:tc>
        <w:tc>
          <w:tcPr>
            <w:tcW w:w="1413" w:type="dxa"/>
            <w:tcBorders>
              <w:top w:val="single" w:sz="4" w:space="0" w:color="auto"/>
            </w:tcBorders>
            <w:vAlign w:val="center"/>
          </w:tcPr>
          <w:p w14:paraId="7AC8832A" w14:textId="77777777" w:rsidR="00493EB4" w:rsidRDefault="00795F6A">
            <w:pPr>
              <w:jc w:val="center"/>
              <w:rPr>
                <w:rFonts w:eastAsia="仿宋_GB2312"/>
                <w:color w:val="FF0000"/>
                <w:sz w:val="24"/>
                <w:lang w:val="zh-CN"/>
              </w:rPr>
            </w:pPr>
            <w:r>
              <w:rPr>
                <w:rFonts w:eastAsia="仿宋_GB2312"/>
                <w:color w:val="FF0000"/>
                <w:sz w:val="24"/>
                <w:lang w:val="zh-CN"/>
              </w:rPr>
              <w:t>盛花期</w:t>
            </w:r>
          </w:p>
        </w:tc>
        <w:tc>
          <w:tcPr>
            <w:tcW w:w="1614" w:type="dxa"/>
            <w:tcBorders>
              <w:top w:val="single" w:sz="4" w:space="0" w:color="auto"/>
            </w:tcBorders>
            <w:vAlign w:val="center"/>
          </w:tcPr>
          <w:p w14:paraId="795CE17C" w14:textId="77777777" w:rsidR="00493EB4" w:rsidRDefault="00795F6A">
            <w:pPr>
              <w:jc w:val="center"/>
              <w:rPr>
                <w:rFonts w:eastAsia="仿宋_GB2312"/>
                <w:color w:val="FF0000"/>
                <w:sz w:val="24"/>
                <w:lang w:val="zh-CN"/>
              </w:rPr>
            </w:pPr>
            <w:r>
              <w:rPr>
                <w:rFonts w:eastAsia="仿宋_GB2312"/>
                <w:color w:val="FF0000"/>
                <w:sz w:val="24"/>
                <w:lang w:val="zh-CN"/>
              </w:rPr>
              <w:t>90.59</w:t>
            </w:r>
          </w:p>
        </w:tc>
        <w:tc>
          <w:tcPr>
            <w:tcW w:w="1328" w:type="dxa"/>
            <w:tcBorders>
              <w:top w:val="single" w:sz="4" w:space="0" w:color="auto"/>
            </w:tcBorders>
            <w:vAlign w:val="center"/>
          </w:tcPr>
          <w:p w14:paraId="7B433C5E" w14:textId="77777777" w:rsidR="00493EB4" w:rsidRDefault="00795F6A">
            <w:pPr>
              <w:jc w:val="center"/>
              <w:rPr>
                <w:rFonts w:eastAsia="仿宋_GB2312"/>
                <w:color w:val="FF0000"/>
                <w:sz w:val="24"/>
                <w:lang w:val="zh-CN"/>
              </w:rPr>
            </w:pPr>
            <w:r>
              <w:rPr>
                <w:rFonts w:eastAsia="仿宋_GB2312"/>
                <w:color w:val="FF0000"/>
                <w:sz w:val="24"/>
                <w:lang w:val="zh-CN"/>
              </w:rPr>
              <w:t>6.09</w:t>
            </w:r>
          </w:p>
        </w:tc>
        <w:tc>
          <w:tcPr>
            <w:tcW w:w="1205" w:type="dxa"/>
            <w:tcBorders>
              <w:top w:val="single" w:sz="4" w:space="0" w:color="auto"/>
            </w:tcBorders>
            <w:vAlign w:val="center"/>
          </w:tcPr>
          <w:p w14:paraId="5D6FD8C2" w14:textId="77777777" w:rsidR="00493EB4" w:rsidRDefault="00795F6A">
            <w:pPr>
              <w:jc w:val="center"/>
              <w:rPr>
                <w:rFonts w:eastAsia="仿宋_GB2312"/>
                <w:color w:val="FF0000"/>
                <w:sz w:val="24"/>
                <w:lang w:val="zh-CN"/>
              </w:rPr>
            </w:pPr>
            <w:r>
              <w:rPr>
                <w:rFonts w:eastAsia="仿宋_GB2312"/>
                <w:color w:val="FF0000"/>
                <w:sz w:val="24"/>
                <w:lang w:val="zh-CN"/>
              </w:rPr>
              <w:t>6.73</w:t>
            </w:r>
          </w:p>
        </w:tc>
        <w:tc>
          <w:tcPr>
            <w:tcW w:w="1205" w:type="dxa"/>
            <w:tcBorders>
              <w:top w:val="single" w:sz="4" w:space="0" w:color="auto"/>
            </w:tcBorders>
            <w:vAlign w:val="center"/>
          </w:tcPr>
          <w:p w14:paraId="26DB78FF" w14:textId="77777777" w:rsidR="00493EB4" w:rsidRDefault="00795F6A">
            <w:pPr>
              <w:jc w:val="center"/>
              <w:rPr>
                <w:rFonts w:eastAsia="仿宋_GB2312"/>
                <w:color w:val="FF0000"/>
                <w:sz w:val="24"/>
                <w:lang w:val="zh-CN"/>
              </w:rPr>
            </w:pPr>
            <w:r>
              <w:rPr>
                <w:rFonts w:eastAsiaTheme="minorEastAsia"/>
                <w:color w:val="FF0000"/>
                <w:sz w:val="24"/>
                <w:szCs w:val="22"/>
              </w:rPr>
              <w:t xml:space="preserve">93.28 </w:t>
            </w:r>
          </w:p>
        </w:tc>
      </w:tr>
      <w:tr w:rsidR="00493EB4" w14:paraId="2901DB71" w14:textId="77777777">
        <w:trPr>
          <w:trHeight w:val="460"/>
        </w:trPr>
        <w:tc>
          <w:tcPr>
            <w:tcW w:w="1134" w:type="dxa"/>
            <w:tcBorders>
              <w:bottom w:val="single" w:sz="12" w:space="0" w:color="auto"/>
            </w:tcBorders>
            <w:vAlign w:val="center"/>
          </w:tcPr>
          <w:p w14:paraId="227F474C" w14:textId="77777777" w:rsidR="00493EB4" w:rsidRDefault="00795F6A">
            <w:pPr>
              <w:jc w:val="center"/>
              <w:rPr>
                <w:rFonts w:eastAsia="仿宋_GB2312"/>
                <w:color w:val="FF0000"/>
                <w:sz w:val="24"/>
                <w:lang w:val="zh-CN"/>
              </w:rPr>
            </w:pPr>
            <w:r>
              <w:rPr>
                <w:rFonts w:eastAsia="仿宋_GB2312"/>
                <w:color w:val="FF0000"/>
                <w:sz w:val="24"/>
                <w:lang w:val="zh-CN"/>
              </w:rPr>
              <w:t>紫薇清</w:t>
            </w:r>
          </w:p>
        </w:tc>
        <w:tc>
          <w:tcPr>
            <w:tcW w:w="1276" w:type="dxa"/>
            <w:tcBorders>
              <w:bottom w:val="single" w:sz="12" w:space="0" w:color="auto"/>
            </w:tcBorders>
            <w:vAlign w:val="center"/>
          </w:tcPr>
          <w:p w14:paraId="07DEF126" w14:textId="77777777" w:rsidR="00493EB4" w:rsidRDefault="00795F6A">
            <w:pPr>
              <w:jc w:val="center"/>
              <w:rPr>
                <w:rFonts w:eastAsia="仿宋_GB2312"/>
                <w:color w:val="FF0000"/>
                <w:sz w:val="24"/>
                <w:lang w:val="zh-CN"/>
              </w:rPr>
            </w:pPr>
            <w:r>
              <w:rPr>
                <w:rFonts w:eastAsia="仿宋_GB2312"/>
                <w:color w:val="FF0000"/>
                <w:sz w:val="24"/>
                <w:lang w:val="zh-CN"/>
              </w:rPr>
              <w:t>1500</w:t>
            </w:r>
            <w:r>
              <w:rPr>
                <w:rFonts w:eastAsia="仿宋_GB2312"/>
                <w:color w:val="FF0000"/>
                <w:sz w:val="24"/>
                <w:lang w:val="zh-CN"/>
              </w:rPr>
              <w:t>倍</w:t>
            </w:r>
          </w:p>
        </w:tc>
        <w:tc>
          <w:tcPr>
            <w:tcW w:w="1413" w:type="dxa"/>
            <w:tcBorders>
              <w:bottom w:val="single" w:sz="12" w:space="0" w:color="auto"/>
            </w:tcBorders>
            <w:vAlign w:val="center"/>
          </w:tcPr>
          <w:p w14:paraId="0ED5FDAC" w14:textId="77777777" w:rsidR="00493EB4" w:rsidRDefault="00795F6A">
            <w:pPr>
              <w:jc w:val="center"/>
              <w:rPr>
                <w:rFonts w:eastAsia="仿宋_GB2312"/>
                <w:color w:val="FF0000"/>
                <w:sz w:val="24"/>
                <w:lang w:val="zh-CN"/>
              </w:rPr>
            </w:pPr>
            <w:r>
              <w:rPr>
                <w:rFonts w:eastAsia="仿宋_GB2312"/>
                <w:color w:val="FF0000"/>
                <w:sz w:val="24"/>
                <w:lang w:val="zh-CN"/>
              </w:rPr>
              <w:t>盛花期</w:t>
            </w:r>
          </w:p>
        </w:tc>
        <w:tc>
          <w:tcPr>
            <w:tcW w:w="1614" w:type="dxa"/>
            <w:tcBorders>
              <w:bottom w:val="single" w:sz="12" w:space="0" w:color="auto"/>
            </w:tcBorders>
            <w:vAlign w:val="center"/>
          </w:tcPr>
          <w:p w14:paraId="4271722C" w14:textId="77777777" w:rsidR="00493EB4" w:rsidRDefault="00795F6A">
            <w:pPr>
              <w:jc w:val="center"/>
              <w:rPr>
                <w:rFonts w:eastAsia="仿宋_GB2312"/>
                <w:color w:val="FF0000"/>
                <w:sz w:val="24"/>
                <w:lang w:val="zh-CN"/>
              </w:rPr>
            </w:pPr>
            <w:r>
              <w:rPr>
                <w:rFonts w:eastAsia="仿宋_GB2312"/>
                <w:color w:val="FF0000"/>
                <w:sz w:val="24"/>
                <w:lang w:val="zh-CN"/>
              </w:rPr>
              <w:t>80.63</w:t>
            </w:r>
          </w:p>
        </w:tc>
        <w:tc>
          <w:tcPr>
            <w:tcW w:w="1328" w:type="dxa"/>
            <w:tcBorders>
              <w:bottom w:val="single" w:sz="12" w:space="0" w:color="auto"/>
            </w:tcBorders>
            <w:vAlign w:val="center"/>
          </w:tcPr>
          <w:p w14:paraId="1535CECA" w14:textId="77777777" w:rsidR="00493EB4" w:rsidRDefault="00795F6A">
            <w:pPr>
              <w:jc w:val="center"/>
              <w:rPr>
                <w:rFonts w:eastAsia="仿宋_GB2312"/>
                <w:color w:val="FF0000"/>
                <w:sz w:val="24"/>
                <w:lang w:val="zh-CN"/>
              </w:rPr>
            </w:pPr>
            <w:r>
              <w:rPr>
                <w:rFonts w:eastAsia="仿宋_GB2312"/>
                <w:color w:val="FF0000"/>
                <w:sz w:val="24"/>
                <w:lang w:val="zh-CN"/>
              </w:rPr>
              <w:t>3.73</w:t>
            </w:r>
          </w:p>
        </w:tc>
        <w:tc>
          <w:tcPr>
            <w:tcW w:w="1205" w:type="dxa"/>
            <w:tcBorders>
              <w:bottom w:val="single" w:sz="12" w:space="0" w:color="auto"/>
            </w:tcBorders>
            <w:vAlign w:val="center"/>
          </w:tcPr>
          <w:p w14:paraId="4C4AD5D4" w14:textId="77777777" w:rsidR="00493EB4" w:rsidRDefault="00795F6A">
            <w:pPr>
              <w:jc w:val="center"/>
              <w:rPr>
                <w:rFonts w:eastAsia="仿宋_GB2312"/>
                <w:color w:val="FF0000"/>
                <w:sz w:val="24"/>
                <w:lang w:val="zh-CN"/>
              </w:rPr>
            </w:pPr>
            <w:r>
              <w:rPr>
                <w:rFonts w:eastAsia="仿宋_GB2312"/>
                <w:color w:val="FF0000"/>
                <w:sz w:val="24"/>
                <w:lang w:val="zh-CN"/>
              </w:rPr>
              <w:t>4.62</w:t>
            </w:r>
          </w:p>
        </w:tc>
        <w:tc>
          <w:tcPr>
            <w:tcW w:w="1205" w:type="dxa"/>
            <w:vAlign w:val="center"/>
          </w:tcPr>
          <w:p w14:paraId="6DF9F390" w14:textId="77777777" w:rsidR="00493EB4" w:rsidRDefault="00795F6A">
            <w:pPr>
              <w:jc w:val="center"/>
              <w:rPr>
                <w:rFonts w:eastAsia="仿宋_GB2312"/>
                <w:color w:val="FF0000"/>
                <w:sz w:val="24"/>
                <w:lang w:val="zh-CN"/>
              </w:rPr>
            </w:pPr>
            <w:r>
              <w:rPr>
                <w:rFonts w:eastAsiaTheme="minorEastAsia"/>
                <w:color w:val="FF0000"/>
                <w:sz w:val="24"/>
                <w:szCs w:val="22"/>
              </w:rPr>
              <w:t xml:space="preserve">95.37 </w:t>
            </w:r>
          </w:p>
        </w:tc>
      </w:tr>
      <w:tr w:rsidR="00493EB4" w14:paraId="5495B15D" w14:textId="77777777">
        <w:trPr>
          <w:trHeight w:val="407"/>
        </w:trPr>
        <w:tc>
          <w:tcPr>
            <w:tcW w:w="9175" w:type="dxa"/>
            <w:gridSpan w:val="7"/>
            <w:tcBorders>
              <w:top w:val="single" w:sz="12" w:space="0" w:color="auto"/>
            </w:tcBorders>
            <w:vAlign w:val="center"/>
          </w:tcPr>
          <w:p w14:paraId="474C48E7" w14:textId="77777777" w:rsidR="00493EB4" w:rsidRDefault="00795F6A">
            <w:pPr>
              <w:rPr>
                <w:rFonts w:eastAsia="仿宋_GB2312"/>
                <w:color w:val="FF0000"/>
                <w:sz w:val="24"/>
                <w:szCs w:val="22"/>
              </w:rPr>
            </w:pPr>
            <w:r>
              <w:rPr>
                <w:rFonts w:eastAsia="仿宋_GB2312"/>
                <w:color w:val="FF0000"/>
                <w:sz w:val="24"/>
                <w:szCs w:val="22"/>
              </w:rPr>
              <w:t>注：残存率</w:t>
            </w:r>
            <w:r>
              <w:rPr>
                <w:rFonts w:eastAsia="仿宋_GB2312"/>
                <w:color w:val="FF0000"/>
                <w:sz w:val="24"/>
                <w:szCs w:val="22"/>
              </w:rPr>
              <w:t>(%)=</w:t>
            </w:r>
            <w:r>
              <w:rPr>
                <w:rFonts w:eastAsia="仿宋_GB2312"/>
                <w:color w:val="FF0000"/>
                <w:sz w:val="24"/>
                <w:szCs w:val="22"/>
              </w:rPr>
              <w:t>防治后覆盖度</w:t>
            </w:r>
            <w:r>
              <w:rPr>
                <w:rFonts w:eastAsia="仿宋_GB2312"/>
                <w:color w:val="FF0000"/>
                <w:sz w:val="24"/>
                <w:szCs w:val="22"/>
              </w:rPr>
              <w:t>/</w:t>
            </w:r>
            <w:r>
              <w:rPr>
                <w:rFonts w:eastAsia="仿宋_GB2312"/>
                <w:color w:val="FF0000"/>
                <w:sz w:val="24"/>
                <w:szCs w:val="22"/>
              </w:rPr>
              <w:t>防治前覆盖度</w:t>
            </w:r>
            <w:r>
              <w:rPr>
                <w:rFonts w:eastAsia="仿宋_GB2312"/>
                <w:color w:val="FF0000"/>
                <w:sz w:val="24"/>
                <w:szCs w:val="22"/>
              </w:rPr>
              <w:t>×100%</w:t>
            </w:r>
            <w:r>
              <w:rPr>
                <w:rFonts w:eastAsia="仿宋_GB2312"/>
                <w:color w:val="FF0000"/>
                <w:sz w:val="24"/>
                <w:szCs w:val="22"/>
              </w:rPr>
              <w:t>；防治效果</w:t>
            </w:r>
            <w:r>
              <w:rPr>
                <w:rFonts w:eastAsia="仿宋_GB2312"/>
                <w:color w:val="FF0000"/>
                <w:sz w:val="24"/>
                <w:szCs w:val="22"/>
              </w:rPr>
              <w:t>(%)=(</w:t>
            </w:r>
            <w:r>
              <w:rPr>
                <w:rFonts w:eastAsia="仿宋_GB2312"/>
                <w:color w:val="FF0000"/>
                <w:sz w:val="24"/>
                <w:szCs w:val="22"/>
              </w:rPr>
              <w:t>防治前覆盖度－防治后覆盖度</w:t>
            </w:r>
            <w:r>
              <w:rPr>
                <w:rFonts w:eastAsia="仿宋_GB2312"/>
                <w:color w:val="FF0000"/>
                <w:sz w:val="24"/>
                <w:szCs w:val="22"/>
              </w:rPr>
              <w:t>)/</w:t>
            </w:r>
            <w:r>
              <w:rPr>
                <w:rFonts w:eastAsia="仿宋_GB2312"/>
                <w:color w:val="FF0000"/>
                <w:sz w:val="24"/>
                <w:szCs w:val="22"/>
              </w:rPr>
              <w:t>防治前覆盖度</w:t>
            </w:r>
            <w:r>
              <w:rPr>
                <w:rFonts w:eastAsia="仿宋_GB2312"/>
                <w:color w:val="FF0000"/>
                <w:sz w:val="24"/>
                <w:szCs w:val="22"/>
              </w:rPr>
              <w:t>×100%</w:t>
            </w:r>
            <w:r>
              <w:rPr>
                <w:rFonts w:eastAsia="仿宋_GB2312"/>
                <w:color w:val="FF0000"/>
                <w:sz w:val="24"/>
                <w:szCs w:val="22"/>
              </w:rPr>
              <w:t>。以上数据来源于《广西国有博白林场薇甘菊危害现状及防控措施》广西林业科学</w:t>
            </w:r>
            <w:r>
              <w:rPr>
                <w:rFonts w:eastAsia="仿宋_GB2312"/>
                <w:color w:val="FF0000"/>
                <w:sz w:val="24"/>
                <w:szCs w:val="22"/>
              </w:rPr>
              <w:t>2022</w:t>
            </w:r>
            <w:r>
              <w:rPr>
                <w:rFonts w:eastAsia="仿宋_GB2312"/>
                <w:color w:val="FF0000"/>
                <w:sz w:val="24"/>
                <w:szCs w:val="22"/>
              </w:rPr>
              <w:t>年第</w:t>
            </w:r>
            <w:r>
              <w:rPr>
                <w:rFonts w:eastAsia="仿宋_GB2312"/>
                <w:color w:val="FF0000"/>
                <w:sz w:val="24"/>
                <w:szCs w:val="22"/>
              </w:rPr>
              <w:t>51</w:t>
            </w:r>
            <w:r>
              <w:rPr>
                <w:rFonts w:eastAsia="仿宋_GB2312"/>
                <w:color w:val="FF0000"/>
                <w:sz w:val="24"/>
                <w:szCs w:val="22"/>
              </w:rPr>
              <w:t>卷第</w:t>
            </w:r>
            <w:r>
              <w:rPr>
                <w:rFonts w:eastAsia="仿宋_GB2312"/>
                <w:color w:val="FF0000"/>
                <w:sz w:val="24"/>
                <w:szCs w:val="22"/>
              </w:rPr>
              <w:t>3</w:t>
            </w:r>
            <w:r>
              <w:rPr>
                <w:rFonts w:eastAsia="仿宋_GB2312"/>
                <w:color w:val="FF0000"/>
                <w:sz w:val="24"/>
                <w:szCs w:val="22"/>
              </w:rPr>
              <w:t>期。</w:t>
            </w:r>
          </w:p>
        </w:tc>
      </w:tr>
    </w:tbl>
    <w:p w14:paraId="53F135B2" w14:textId="77777777" w:rsidR="00493EB4" w:rsidRDefault="00795F6A">
      <w:pPr>
        <w:pStyle w:val="af7"/>
        <w:ind w:firstLine="642"/>
      </w:pPr>
      <w:r>
        <w:rPr>
          <w:rFonts w:cs="仿宋_GB2312" w:hint="eastAsia"/>
          <w:bCs/>
          <w:szCs w:val="32"/>
        </w:rPr>
        <w:t>3</w:t>
      </w:r>
      <w:bookmarkStart w:id="8" w:name="_Toc187246038"/>
      <w:r>
        <w:rPr>
          <w:rFonts w:cs="仿宋_GB2312" w:hint="eastAsia"/>
          <w:bCs/>
          <w:szCs w:val="32"/>
        </w:rPr>
        <w:t>.</w:t>
      </w:r>
      <w:r>
        <w:rPr>
          <w:rFonts w:hint="eastAsia"/>
        </w:rPr>
        <w:t>综合防治</w:t>
      </w:r>
      <w:bookmarkEnd w:id="8"/>
    </w:p>
    <w:p w14:paraId="539F9A7F" w14:textId="77777777" w:rsidR="00493EB4" w:rsidRDefault="00795F6A">
      <w:pPr>
        <w:pStyle w:val="af7"/>
        <w:ind w:firstLine="642"/>
      </w:pPr>
      <w:r>
        <w:rPr>
          <w:rFonts w:hint="eastAsia"/>
        </w:rPr>
        <w:t>抚育控制防治和化学防治综合实施，以在同一轮</w:t>
      </w:r>
      <w:proofErr w:type="gramStart"/>
      <w:r>
        <w:rPr>
          <w:rFonts w:hint="eastAsia"/>
        </w:rPr>
        <w:t>伐</w:t>
      </w:r>
      <w:proofErr w:type="gramEnd"/>
      <w:r>
        <w:rPr>
          <w:rFonts w:hint="eastAsia"/>
        </w:rPr>
        <w:t>周期内基</w:t>
      </w:r>
      <w:r>
        <w:rPr>
          <w:rFonts w:hint="eastAsia"/>
        </w:rPr>
        <w:lastRenderedPageBreak/>
        <w:t>本消除</w:t>
      </w:r>
      <w:proofErr w:type="gramStart"/>
      <w:r>
        <w:rPr>
          <w:rFonts w:hint="eastAsia"/>
        </w:rPr>
        <w:t>薇</w:t>
      </w:r>
      <w:proofErr w:type="gramEnd"/>
      <w:r>
        <w:rPr>
          <w:rFonts w:hint="eastAsia"/>
        </w:rPr>
        <w:t>甘菊危害。</w:t>
      </w:r>
    </w:p>
    <w:p w14:paraId="520F6783" w14:textId="77777777" w:rsidR="00493EB4" w:rsidRDefault="00795F6A">
      <w:pPr>
        <w:pStyle w:val="af7"/>
        <w:ind w:firstLine="642"/>
      </w:pPr>
      <w:r>
        <w:rPr>
          <w:rFonts w:hint="eastAsia"/>
        </w:rPr>
        <w:t>4.</w:t>
      </w:r>
      <w:r>
        <w:rPr>
          <w:rFonts w:hint="eastAsia"/>
        </w:rPr>
        <w:t>防治时期</w:t>
      </w:r>
    </w:p>
    <w:p w14:paraId="33A11450" w14:textId="77777777" w:rsidR="00493EB4" w:rsidRDefault="00795F6A">
      <w:pPr>
        <w:pStyle w:val="af7"/>
        <w:spacing w:line="580" w:lineRule="exact"/>
        <w:ind w:left="0" w:firstLineChars="200" w:firstLine="640"/>
      </w:pPr>
      <w:r>
        <w:rPr>
          <w:rFonts w:hint="eastAsia"/>
        </w:rPr>
        <w:t>一般</w:t>
      </w:r>
      <w:r>
        <w:rPr>
          <w:rFonts w:hint="eastAsia"/>
        </w:rPr>
        <w:t>3</w:t>
      </w:r>
      <w:r>
        <w:rPr>
          <w:rFonts w:hint="eastAsia"/>
        </w:rPr>
        <w:t>月份～</w:t>
      </w:r>
      <w:r>
        <w:rPr>
          <w:rFonts w:hint="eastAsia"/>
        </w:rPr>
        <w:t>10</w:t>
      </w:r>
      <w:r>
        <w:rPr>
          <w:rFonts w:hint="eastAsia"/>
        </w:rPr>
        <w:t>月份，</w:t>
      </w:r>
      <w:proofErr w:type="gramStart"/>
      <w:r>
        <w:rPr>
          <w:rFonts w:hint="eastAsia"/>
        </w:rPr>
        <w:t>薇</w:t>
      </w:r>
      <w:proofErr w:type="gramEnd"/>
      <w:r>
        <w:rPr>
          <w:rFonts w:hint="eastAsia"/>
        </w:rPr>
        <w:t>甘菊处在旺盛营养生长期，未进入花期前是最佳防治时期。</w:t>
      </w:r>
      <w:r>
        <w:rPr>
          <w:rFonts w:ascii="Times New Roman" w:hAnsi="Times New Roman" w:cs="Times New Roman"/>
          <w:color w:val="FF0000"/>
          <w:szCs w:val="28"/>
          <w:lang w:val="zh-CN"/>
        </w:rPr>
        <w:t>2020</w:t>
      </w:r>
      <w:r>
        <w:rPr>
          <w:rFonts w:ascii="Times New Roman" w:hAnsi="Times New Roman" w:cs="Times New Roman"/>
          <w:color w:val="FF0000"/>
          <w:szCs w:val="28"/>
          <w:lang w:val="zh-CN"/>
        </w:rPr>
        <w:t>年于博白林场开展的田间药效试验结果表明，在</w:t>
      </w:r>
      <w:proofErr w:type="gramStart"/>
      <w:r>
        <w:rPr>
          <w:rFonts w:ascii="Times New Roman" w:hAnsi="Times New Roman" w:cs="Times New Roman"/>
          <w:color w:val="FF0000"/>
          <w:szCs w:val="28"/>
          <w:lang w:val="zh-CN"/>
        </w:rPr>
        <w:t>薇</w:t>
      </w:r>
      <w:proofErr w:type="gramEnd"/>
      <w:r>
        <w:rPr>
          <w:rFonts w:ascii="Times New Roman" w:hAnsi="Times New Roman" w:cs="Times New Roman"/>
          <w:color w:val="FF0000"/>
          <w:szCs w:val="28"/>
          <w:lang w:val="zh-CN"/>
        </w:rPr>
        <w:t>甘菊营养期进行化学防治，其整体效果优于盛花期。由表</w:t>
      </w:r>
      <w:r>
        <w:rPr>
          <w:rFonts w:ascii="Times New Roman" w:hAnsi="Times New Roman" w:cs="Times New Roman"/>
          <w:color w:val="FF0000"/>
          <w:szCs w:val="28"/>
          <w:lang w:val="zh-CN"/>
        </w:rPr>
        <w:t>2</w:t>
      </w:r>
      <w:r>
        <w:rPr>
          <w:rFonts w:ascii="Times New Roman" w:hAnsi="Times New Roman" w:cs="Times New Roman"/>
          <w:color w:val="FF0000"/>
          <w:szCs w:val="28"/>
          <w:lang w:val="zh-CN"/>
        </w:rPr>
        <w:t>可知，营养期施紫薇清</w:t>
      </w:r>
      <w:r>
        <w:rPr>
          <w:rFonts w:ascii="Times New Roman" w:hAnsi="Times New Roman" w:cs="Times New Roman"/>
          <w:color w:val="FF0000"/>
          <w:szCs w:val="28"/>
          <w:lang w:val="zh-CN"/>
        </w:rPr>
        <w:t>1500</w:t>
      </w:r>
      <w:r>
        <w:rPr>
          <w:rFonts w:ascii="Times New Roman" w:hAnsi="Times New Roman" w:cs="Times New Roman"/>
          <w:color w:val="FF0000"/>
          <w:szCs w:val="28"/>
          <w:lang w:val="zh-CN"/>
        </w:rPr>
        <w:t>倍液使用的防治效果最佳，达到</w:t>
      </w:r>
      <w:r>
        <w:rPr>
          <w:rFonts w:ascii="Times New Roman" w:hAnsi="Times New Roman" w:cs="Times New Roman"/>
          <w:color w:val="FF0000"/>
          <w:szCs w:val="28"/>
          <w:lang w:val="zh-CN"/>
        </w:rPr>
        <w:t>97.69%</w:t>
      </w:r>
      <w:r>
        <w:rPr>
          <w:rFonts w:ascii="Times New Roman" w:hAnsi="Times New Roman" w:cs="Times New Roman"/>
          <w:color w:val="FF0000"/>
          <w:szCs w:val="28"/>
          <w:lang w:val="zh-CN"/>
        </w:rPr>
        <w:t>，盛花期施药的处理组防治效果在</w:t>
      </w:r>
      <w:r>
        <w:rPr>
          <w:rFonts w:ascii="Times New Roman" w:hAnsi="Times New Roman" w:cs="Times New Roman"/>
          <w:color w:val="FF0000"/>
          <w:szCs w:val="28"/>
          <w:lang w:val="zh-CN"/>
        </w:rPr>
        <w:t>90%</w:t>
      </w:r>
      <w:r>
        <w:rPr>
          <w:rFonts w:ascii="Times New Roman" w:hAnsi="Times New Roman" w:cs="Times New Roman"/>
          <w:color w:val="FF0000"/>
          <w:szCs w:val="28"/>
          <w:lang w:val="zh-CN"/>
        </w:rPr>
        <w:t>之上。因此，标准中推荐将营养期作为</w:t>
      </w:r>
      <w:proofErr w:type="gramStart"/>
      <w:r>
        <w:rPr>
          <w:rFonts w:ascii="Times New Roman" w:hAnsi="Times New Roman" w:cs="Times New Roman"/>
          <w:color w:val="FF0000"/>
          <w:szCs w:val="28"/>
          <w:lang w:val="zh-CN"/>
        </w:rPr>
        <w:t>薇</w:t>
      </w:r>
      <w:proofErr w:type="gramEnd"/>
      <w:r>
        <w:rPr>
          <w:rFonts w:ascii="Times New Roman" w:hAnsi="Times New Roman" w:cs="Times New Roman"/>
          <w:color w:val="FF0000"/>
          <w:szCs w:val="28"/>
          <w:lang w:val="zh-CN"/>
        </w:rPr>
        <w:t>甘菊化学防治的关键窗口期，试验数据为标准正文中推荐使用的药剂种类及其浓度配比提供直接的实证支持。</w:t>
      </w:r>
      <w:r>
        <w:rPr>
          <w:rFonts w:hint="eastAsia"/>
        </w:rPr>
        <w:t>桉树人工林采伐后如规划萌芽更新林地，必须在采伐前进行化学防治。植苗更新造林在炼山后，种植前，如果</w:t>
      </w:r>
      <w:proofErr w:type="gramStart"/>
      <w:r>
        <w:rPr>
          <w:rFonts w:hint="eastAsia"/>
        </w:rPr>
        <w:t>薇</w:t>
      </w:r>
      <w:proofErr w:type="gramEnd"/>
      <w:r>
        <w:rPr>
          <w:rFonts w:hint="eastAsia"/>
        </w:rPr>
        <w:t>甘菊有</w:t>
      </w:r>
      <w:proofErr w:type="gramStart"/>
      <w:r>
        <w:rPr>
          <w:rFonts w:hint="eastAsia"/>
        </w:rPr>
        <w:t>轻度以上</w:t>
      </w:r>
      <w:proofErr w:type="gramEnd"/>
      <w:r>
        <w:rPr>
          <w:rFonts w:hint="eastAsia"/>
        </w:rPr>
        <w:t>发生，种植前必须开展化学防治。</w:t>
      </w:r>
    </w:p>
    <w:p w14:paraId="5687DB90" w14:textId="77777777" w:rsidR="00493EB4" w:rsidRDefault="00795F6A">
      <w:pPr>
        <w:pStyle w:val="af7"/>
        <w:ind w:firstLine="642"/>
        <w:rPr>
          <w:b/>
          <w:bCs/>
        </w:rPr>
      </w:pPr>
      <w:r>
        <w:rPr>
          <w:rFonts w:hint="eastAsia"/>
          <w:b/>
          <w:bCs/>
        </w:rPr>
        <w:t>（五）</w:t>
      </w:r>
      <w:proofErr w:type="gramStart"/>
      <w:r>
        <w:rPr>
          <w:rFonts w:hint="eastAsia"/>
          <w:b/>
          <w:bCs/>
        </w:rPr>
        <w:t>薇</w:t>
      </w:r>
      <w:proofErr w:type="gramEnd"/>
      <w:r>
        <w:rPr>
          <w:rFonts w:hint="eastAsia"/>
          <w:b/>
          <w:bCs/>
        </w:rPr>
        <w:t>甘菊的防治措施</w:t>
      </w:r>
    </w:p>
    <w:p w14:paraId="22E5752C" w14:textId="77777777" w:rsidR="00493EB4" w:rsidRDefault="00795F6A">
      <w:pPr>
        <w:pStyle w:val="af7"/>
        <w:ind w:firstLine="642"/>
      </w:pPr>
      <w:r>
        <w:rPr>
          <w:rFonts w:hint="eastAsia"/>
        </w:rPr>
        <w:t>1.</w:t>
      </w:r>
      <w:r>
        <w:rPr>
          <w:rFonts w:hint="eastAsia"/>
        </w:rPr>
        <w:t>造林前防治措施</w:t>
      </w:r>
    </w:p>
    <w:p w14:paraId="7C9F7A74" w14:textId="77777777" w:rsidR="00493EB4" w:rsidRDefault="00795F6A">
      <w:pPr>
        <w:pStyle w:val="af7"/>
        <w:ind w:firstLine="642"/>
      </w:pPr>
      <w:r>
        <w:rPr>
          <w:rFonts w:hint="eastAsia"/>
        </w:rPr>
        <w:t>轻度风险及以下采用人工除草或广谱性除草剂对造林地内</w:t>
      </w:r>
      <w:proofErr w:type="gramStart"/>
      <w:r>
        <w:rPr>
          <w:rFonts w:hint="eastAsia"/>
        </w:rPr>
        <w:t>薇</w:t>
      </w:r>
      <w:proofErr w:type="gramEnd"/>
      <w:r>
        <w:rPr>
          <w:rFonts w:hint="eastAsia"/>
        </w:rPr>
        <w:t>甘菊及杂草进行防治施用。药剂全林喷施，每公顷喷药</w:t>
      </w:r>
      <w:r>
        <w:rPr>
          <w:rFonts w:hint="eastAsia"/>
        </w:rPr>
        <w:t>1500 kg</w:t>
      </w:r>
      <w:r>
        <w:rPr>
          <w:rFonts w:hint="eastAsia"/>
        </w:rPr>
        <w:t>（即每亩喷药</w:t>
      </w:r>
      <w:r>
        <w:rPr>
          <w:rFonts w:hint="eastAsia"/>
        </w:rPr>
        <w:t>100 kg</w:t>
      </w:r>
      <w:r>
        <w:rPr>
          <w:rFonts w:hint="eastAsia"/>
        </w:rPr>
        <w:t>）。</w:t>
      </w:r>
    </w:p>
    <w:p w14:paraId="4EAE2EAE" w14:textId="77777777" w:rsidR="00493EB4" w:rsidRDefault="00795F6A">
      <w:pPr>
        <w:pStyle w:val="af7"/>
        <w:ind w:firstLine="642"/>
      </w:pPr>
      <w:r>
        <w:rPr>
          <w:rFonts w:hint="eastAsia"/>
        </w:rPr>
        <w:t>中度风险及以上采用</w:t>
      </w:r>
      <w:proofErr w:type="gramStart"/>
      <w:r>
        <w:rPr>
          <w:rFonts w:hint="eastAsia"/>
        </w:rPr>
        <w:t>薇</w:t>
      </w:r>
      <w:proofErr w:type="gramEnd"/>
      <w:r>
        <w:rPr>
          <w:rFonts w:hint="eastAsia"/>
        </w:rPr>
        <w:t>甘菊专用药剂对造林地内</w:t>
      </w:r>
      <w:proofErr w:type="gramStart"/>
      <w:r>
        <w:rPr>
          <w:rFonts w:hint="eastAsia"/>
        </w:rPr>
        <w:t>薇</w:t>
      </w:r>
      <w:proofErr w:type="gramEnd"/>
      <w:r>
        <w:rPr>
          <w:rFonts w:hint="eastAsia"/>
        </w:rPr>
        <w:t>甘</w:t>
      </w:r>
      <w:proofErr w:type="gramStart"/>
      <w:r>
        <w:rPr>
          <w:rFonts w:hint="eastAsia"/>
        </w:rPr>
        <w:t>菊进行</w:t>
      </w:r>
      <w:proofErr w:type="gramEnd"/>
      <w:r>
        <w:rPr>
          <w:rFonts w:hint="eastAsia"/>
        </w:rPr>
        <w:t>施用。药剂全林喷施，每公顷喷药</w:t>
      </w:r>
      <w:r>
        <w:rPr>
          <w:rFonts w:hint="eastAsia"/>
        </w:rPr>
        <w:t>1875 kg</w:t>
      </w:r>
      <w:r>
        <w:rPr>
          <w:rFonts w:hint="eastAsia"/>
        </w:rPr>
        <w:t>（即每亩喷药</w:t>
      </w:r>
      <w:r>
        <w:rPr>
          <w:rFonts w:hint="eastAsia"/>
        </w:rPr>
        <w:t>125 kg</w:t>
      </w:r>
      <w:r>
        <w:rPr>
          <w:rFonts w:hint="eastAsia"/>
        </w:rPr>
        <w:t>）。</w:t>
      </w:r>
    </w:p>
    <w:p w14:paraId="7DC32674" w14:textId="77777777" w:rsidR="00493EB4" w:rsidRDefault="00795F6A">
      <w:pPr>
        <w:pStyle w:val="af7"/>
        <w:numPr>
          <w:ilvl w:val="255"/>
          <w:numId w:val="0"/>
        </w:numPr>
        <w:ind w:left="751"/>
      </w:pPr>
      <w:r>
        <w:rPr>
          <w:rFonts w:hint="eastAsia"/>
        </w:rPr>
        <w:t>2.</w:t>
      </w:r>
      <w:r>
        <w:rPr>
          <w:rFonts w:hint="eastAsia"/>
        </w:rPr>
        <w:t>一年生幼龄林的防治措施</w:t>
      </w:r>
    </w:p>
    <w:p w14:paraId="25BE4885" w14:textId="77777777" w:rsidR="00493EB4" w:rsidRDefault="00795F6A">
      <w:pPr>
        <w:pStyle w:val="af7"/>
        <w:ind w:firstLine="642"/>
      </w:pPr>
      <w:r>
        <w:rPr>
          <w:rFonts w:hint="eastAsia"/>
        </w:rPr>
        <w:t>轻度风险及以下：采用全修、带修等抚育控制防治措施。</w:t>
      </w:r>
    </w:p>
    <w:p w14:paraId="21744425" w14:textId="77777777" w:rsidR="00493EB4" w:rsidRDefault="00795F6A">
      <w:pPr>
        <w:pStyle w:val="af7"/>
        <w:ind w:firstLine="642"/>
      </w:pPr>
      <w:r>
        <w:rPr>
          <w:rFonts w:hint="eastAsia"/>
        </w:rPr>
        <w:t>中度风险及以上：树高</w:t>
      </w:r>
      <w:r>
        <w:rPr>
          <w:rFonts w:hint="eastAsia"/>
        </w:rPr>
        <w:t>2 m</w:t>
      </w:r>
      <w:r>
        <w:rPr>
          <w:rFonts w:hint="eastAsia"/>
        </w:rPr>
        <w:t>以下，采用全修、带修等抚育控</w:t>
      </w:r>
      <w:r>
        <w:rPr>
          <w:rFonts w:hint="eastAsia"/>
        </w:rPr>
        <w:lastRenderedPageBreak/>
        <w:t>制防治措施</w:t>
      </w:r>
      <w:r>
        <w:rPr>
          <w:rFonts w:hint="eastAsia"/>
        </w:rPr>
        <w:t xml:space="preserve"> </w:t>
      </w:r>
      <w:r>
        <w:rPr>
          <w:rFonts w:hint="eastAsia"/>
        </w:rPr>
        <w:t>；树高</w:t>
      </w:r>
      <w:r>
        <w:rPr>
          <w:rFonts w:hint="eastAsia"/>
        </w:rPr>
        <w:t>2 m</w:t>
      </w:r>
      <w:r>
        <w:rPr>
          <w:rFonts w:hint="eastAsia"/>
        </w:rPr>
        <w:t>以上，采用综合防治措施，全林喷施专用药剂，每公顷喷药</w:t>
      </w:r>
      <w:r>
        <w:rPr>
          <w:rFonts w:hint="eastAsia"/>
        </w:rPr>
        <w:t>1875 k</w:t>
      </w:r>
      <w:r>
        <w:rPr>
          <w:rFonts w:hint="eastAsia"/>
        </w:rPr>
        <w:t>g</w:t>
      </w:r>
      <w:r>
        <w:rPr>
          <w:rFonts w:hint="eastAsia"/>
        </w:rPr>
        <w:t>（即每亩喷药</w:t>
      </w:r>
      <w:r>
        <w:rPr>
          <w:rFonts w:hint="eastAsia"/>
        </w:rPr>
        <w:t>125 kg</w:t>
      </w:r>
      <w:r>
        <w:rPr>
          <w:rFonts w:hint="eastAsia"/>
        </w:rPr>
        <w:t>）。</w:t>
      </w:r>
    </w:p>
    <w:p w14:paraId="278EEC82" w14:textId="77777777" w:rsidR="00493EB4" w:rsidRDefault="00795F6A">
      <w:pPr>
        <w:pStyle w:val="af7"/>
        <w:ind w:left="0" w:firstLine="642"/>
      </w:pPr>
      <w:r>
        <w:rPr>
          <w:rFonts w:hint="eastAsia"/>
        </w:rPr>
        <w:t>3.</w:t>
      </w:r>
      <w:r>
        <w:rPr>
          <w:rFonts w:hint="eastAsia"/>
        </w:rPr>
        <w:t>二年生以上中幼龄林防治措施</w:t>
      </w:r>
    </w:p>
    <w:p w14:paraId="02FB0E20" w14:textId="77777777" w:rsidR="00493EB4" w:rsidRDefault="00795F6A">
      <w:pPr>
        <w:pStyle w:val="af7"/>
        <w:ind w:firstLine="642"/>
      </w:pPr>
      <w:r>
        <w:rPr>
          <w:rFonts w:hint="eastAsia"/>
        </w:rPr>
        <w:t>轻度风险及以下采用全修、带修、全铲、</w:t>
      </w:r>
      <w:proofErr w:type="gramStart"/>
      <w:r>
        <w:rPr>
          <w:rFonts w:hint="eastAsia"/>
        </w:rPr>
        <w:t>带铲等</w:t>
      </w:r>
      <w:proofErr w:type="gramEnd"/>
      <w:r>
        <w:rPr>
          <w:rFonts w:hint="eastAsia"/>
        </w:rPr>
        <w:t>抚育控制防治措施。</w:t>
      </w:r>
    </w:p>
    <w:p w14:paraId="4DA3EDB5" w14:textId="77777777" w:rsidR="00493EB4" w:rsidRDefault="00795F6A">
      <w:pPr>
        <w:pStyle w:val="af7"/>
        <w:ind w:firstLine="642"/>
      </w:pPr>
      <w:r>
        <w:rPr>
          <w:rFonts w:hint="eastAsia"/>
        </w:rPr>
        <w:t>中度风险及以上采用综合防治措施。全林喷施专用药剂，每公顷喷药</w:t>
      </w:r>
      <w:r>
        <w:rPr>
          <w:rFonts w:hint="eastAsia"/>
        </w:rPr>
        <w:t>1875 kg</w:t>
      </w:r>
      <w:r>
        <w:rPr>
          <w:rFonts w:hint="eastAsia"/>
        </w:rPr>
        <w:t>（即每亩喷药</w:t>
      </w:r>
      <w:r>
        <w:rPr>
          <w:rFonts w:hint="eastAsia"/>
        </w:rPr>
        <w:t>125 kg</w:t>
      </w:r>
      <w:r>
        <w:rPr>
          <w:rFonts w:hint="eastAsia"/>
        </w:rPr>
        <w:t>）。</w:t>
      </w:r>
    </w:p>
    <w:p w14:paraId="032447B2" w14:textId="77777777" w:rsidR="00493EB4" w:rsidRDefault="00795F6A">
      <w:pPr>
        <w:pStyle w:val="af7"/>
        <w:ind w:left="0" w:firstLine="642"/>
      </w:pPr>
      <w:r>
        <w:rPr>
          <w:rFonts w:hint="eastAsia"/>
        </w:rPr>
        <w:t>4.</w:t>
      </w:r>
      <w:r>
        <w:rPr>
          <w:rFonts w:hint="eastAsia"/>
        </w:rPr>
        <w:t>成熟林的防治措施</w:t>
      </w:r>
    </w:p>
    <w:p w14:paraId="23BEF9AB" w14:textId="77777777" w:rsidR="00493EB4" w:rsidRDefault="00795F6A">
      <w:pPr>
        <w:pStyle w:val="aff9"/>
        <w:rPr>
          <w:color w:val="000000" w:themeColor="text1"/>
        </w:rPr>
      </w:pPr>
      <w:r>
        <w:rPr>
          <w:rFonts w:hint="eastAsia"/>
          <w:color w:val="000000" w:themeColor="text1"/>
        </w:rPr>
        <w:t>中度风险及以上采用综合防治措施。全林喷施专用药剂，每公顷喷药</w:t>
      </w:r>
      <w:r>
        <w:rPr>
          <w:rFonts w:hint="eastAsia"/>
          <w:color w:val="000000" w:themeColor="text1"/>
        </w:rPr>
        <w:t>1875 kg</w:t>
      </w:r>
      <w:r>
        <w:rPr>
          <w:rFonts w:hint="eastAsia"/>
          <w:color w:val="000000" w:themeColor="text1"/>
        </w:rPr>
        <w:t>（即每亩喷药</w:t>
      </w:r>
      <w:r>
        <w:rPr>
          <w:rFonts w:hint="eastAsia"/>
          <w:color w:val="000000" w:themeColor="text1"/>
        </w:rPr>
        <w:t>125 kg</w:t>
      </w:r>
      <w:r>
        <w:rPr>
          <w:rFonts w:hint="eastAsia"/>
          <w:color w:val="000000" w:themeColor="text1"/>
        </w:rPr>
        <w:t>）。为采伐和伐后更新做好充分准备。</w:t>
      </w:r>
    </w:p>
    <w:p w14:paraId="707CCBAB" w14:textId="77777777" w:rsidR="00493EB4" w:rsidRDefault="00795F6A">
      <w:pPr>
        <w:spacing w:line="580" w:lineRule="exact"/>
        <w:jc w:val="center"/>
        <w:rPr>
          <w:rFonts w:eastAsia="仿宋_GB2312"/>
          <w:color w:val="000000" w:themeColor="text1"/>
          <w:sz w:val="28"/>
          <w:szCs w:val="28"/>
          <w:lang w:val="zh-CN"/>
        </w:rPr>
      </w:pPr>
      <w:r>
        <w:rPr>
          <w:rFonts w:eastAsia="仿宋_GB2312"/>
          <w:color w:val="000000" w:themeColor="text1"/>
          <w:sz w:val="28"/>
          <w:szCs w:val="28"/>
          <w:lang w:val="zh-CN"/>
        </w:rPr>
        <w:t>表</w:t>
      </w:r>
      <w:r>
        <w:rPr>
          <w:rFonts w:eastAsia="仿宋_GB2312"/>
          <w:color w:val="000000" w:themeColor="text1"/>
          <w:sz w:val="28"/>
          <w:szCs w:val="28"/>
          <w:lang w:val="zh-CN"/>
        </w:rPr>
        <w:t xml:space="preserve">3 </w:t>
      </w:r>
      <w:proofErr w:type="gramStart"/>
      <w:r>
        <w:rPr>
          <w:rFonts w:eastAsia="仿宋_GB2312"/>
          <w:color w:val="000000" w:themeColor="text1"/>
          <w:sz w:val="28"/>
          <w:szCs w:val="28"/>
          <w:lang w:val="zh-CN"/>
        </w:rPr>
        <w:t>薇</w:t>
      </w:r>
      <w:proofErr w:type="gramEnd"/>
      <w:r>
        <w:rPr>
          <w:rFonts w:eastAsia="仿宋_GB2312"/>
          <w:color w:val="000000" w:themeColor="text1"/>
          <w:sz w:val="28"/>
          <w:szCs w:val="28"/>
          <w:lang w:val="zh-CN"/>
        </w:rPr>
        <w:t>甘菊防治措施</w:t>
      </w:r>
    </w:p>
    <w:tbl>
      <w:tblPr>
        <w:tblStyle w:val="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1985"/>
        <w:gridCol w:w="3260"/>
        <w:gridCol w:w="2234"/>
      </w:tblGrid>
      <w:tr w:rsidR="00493EB4" w14:paraId="5F2377E8" w14:textId="77777777">
        <w:trPr>
          <w:trHeight w:val="533"/>
          <w:jc w:val="center"/>
        </w:trPr>
        <w:tc>
          <w:tcPr>
            <w:tcW w:w="1696" w:type="dxa"/>
            <w:tcBorders>
              <w:top w:val="single" w:sz="12" w:space="0" w:color="auto"/>
              <w:bottom w:val="single" w:sz="4" w:space="0" w:color="auto"/>
            </w:tcBorders>
            <w:vAlign w:val="center"/>
          </w:tcPr>
          <w:p w14:paraId="7E9E41F3"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林分类型</w:t>
            </w:r>
          </w:p>
        </w:tc>
        <w:tc>
          <w:tcPr>
            <w:tcW w:w="1985" w:type="dxa"/>
            <w:tcBorders>
              <w:top w:val="single" w:sz="12" w:space="0" w:color="auto"/>
              <w:bottom w:val="single" w:sz="4" w:space="0" w:color="auto"/>
            </w:tcBorders>
            <w:vAlign w:val="center"/>
          </w:tcPr>
          <w:p w14:paraId="1854F799"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风险等级</w:t>
            </w:r>
          </w:p>
        </w:tc>
        <w:tc>
          <w:tcPr>
            <w:tcW w:w="3260" w:type="dxa"/>
            <w:tcBorders>
              <w:top w:val="single" w:sz="12" w:space="0" w:color="auto"/>
              <w:bottom w:val="single" w:sz="4" w:space="0" w:color="auto"/>
            </w:tcBorders>
            <w:vAlign w:val="center"/>
          </w:tcPr>
          <w:p w14:paraId="0EAB66DA"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推荐防治方法</w:t>
            </w:r>
          </w:p>
        </w:tc>
        <w:tc>
          <w:tcPr>
            <w:tcW w:w="2234" w:type="dxa"/>
            <w:tcBorders>
              <w:top w:val="single" w:sz="12" w:space="0" w:color="auto"/>
              <w:bottom w:val="single" w:sz="4" w:space="0" w:color="auto"/>
            </w:tcBorders>
            <w:vAlign w:val="center"/>
          </w:tcPr>
          <w:p w14:paraId="60956A7F"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技术要点</w:t>
            </w:r>
          </w:p>
        </w:tc>
      </w:tr>
      <w:tr w:rsidR="00493EB4" w14:paraId="04FF0A75" w14:textId="77777777">
        <w:trPr>
          <w:trHeight w:val="664"/>
          <w:jc w:val="center"/>
        </w:trPr>
        <w:tc>
          <w:tcPr>
            <w:tcW w:w="1696" w:type="dxa"/>
            <w:tcBorders>
              <w:top w:val="single" w:sz="4" w:space="0" w:color="auto"/>
            </w:tcBorders>
            <w:vAlign w:val="center"/>
          </w:tcPr>
          <w:p w14:paraId="6EBBDD17"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造林前</w:t>
            </w:r>
          </w:p>
        </w:tc>
        <w:tc>
          <w:tcPr>
            <w:tcW w:w="1985" w:type="dxa"/>
            <w:tcBorders>
              <w:top w:val="single" w:sz="4" w:space="0" w:color="auto"/>
            </w:tcBorders>
            <w:vAlign w:val="center"/>
          </w:tcPr>
          <w:p w14:paraId="381DA515"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轻度及以下</w:t>
            </w:r>
          </w:p>
        </w:tc>
        <w:tc>
          <w:tcPr>
            <w:tcW w:w="3260" w:type="dxa"/>
            <w:tcBorders>
              <w:top w:val="single" w:sz="4" w:space="0" w:color="auto"/>
            </w:tcBorders>
            <w:vAlign w:val="center"/>
          </w:tcPr>
          <w:p w14:paraId="6452D57E"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人工除草或广谱性除草剂</w:t>
            </w:r>
          </w:p>
        </w:tc>
        <w:tc>
          <w:tcPr>
            <w:tcW w:w="2234" w:type="dxa"/>
            <w:tcBorders>
              <w:top w:val="single" w:sz="4" w:space="0" w:color="auto"/>
            </w:tcBorders>
            <w:vAlign w:val="center"/>
          </w:tcPr>
          <w:p w14:paraId="58D52BD2"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每公顷喷药</w:t>
            </w:r>
            <w:r>
              <w:rPr>
                <w:rFonts w:eastAsia="仿宋_GB2312"/>
                <w:kern w:val="0"/>
                <w:sz w:val="24"/>
                <w:szCs w:val="21"/>
              </w:rPr>
              <w:t>1500 kg</w:t>
            </w:r>
          </w:p>
        </w:tc>
      </w:tr>
      <w:tr w:rsidR="00493EB4" w14:paraId="12E7C2EF" w14:textId="77777777">
        <w:trPr>
          <w:trHeight w:val="664"/>
          <w:jc w:val="center"/>
        </w:trPr>
        <w:tc>
          <w:tcPr>
            <w:tcW w:w="1696" w:type="dxa"/>
            <w:vAlign w:val="center"/>
          </w:tcPr>
          <w:p w14:paraId="4740E4F3"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造林前</w:t>
            </w:r>
          </w:p>
        </w:tc>
        <w:tc>
          <w:tcPr>
            <w:tcW w:w="1985" w:type="dxa"/>
            <w:vAlign w:val="center"/>
          </w:tcPr>
          <w:p w14:paraId="1F9C0BD5"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中度及以上</w:t>
            </w:r>
          </w:p>
        </w:tc>
        <w:tc>
          <w:tcPr>
            <w:tcW w:w="3260" w:type="dxa"/>
            <w:vAlign w:val="center"/>
          </w:tcPr>
          <w:p w14:paraId="407E9DC8" w14:textId="77777777" w:rsidR="00493EB4" w:rsidRDefault="00795F6A">
            <w:pPr>
              <w:widowControl/>
              <w:autoSpaceDE w:val="0"/>
              <w:autoSpaceDN w:val="0"/>
              <w:spacing w:before="20" w:after="20"/>
              <w:jc w:val="center"/>
              <w:rPr>
                <w:rFonts w:eastAsia="仿宋_GB2312"/>
                <w:kern w:val="0"/>
                <w:sz w:val="24"/>
                <w:szCs w:val="21"/>
              </w:rPr>
            </w:pPr>
            <w:proofErr w:type="gramStart"/>
            <w:r>
              <w:rPr>
                <w:rFonts w:eastAsia="仿宋_GB2312"/>
                <w:kern w:val="0"/>
                <w:sz w:val="24"/>
                <w:szCs w:val="21"/>
              </w:rPr>
              <w:t>薇</w:t>
            </w:r>
            <w:proofErr w:type="gramEnd"/>
            <w:r>
              <w:rPr>
                <w:rFonts w:eastAsia="仿宋_GB2312"/>
                <w:kern w:val="0"/>
                <w:sz w:val="24"/>
                <w:szCs w:val="21"/>
              </w:rPr>
              <w:t>甘菊专用药剂</w:t>
            </w:r>
          </w:p>
        </w:tc>
        <w:tc>
          <w:tcPr>
            <w:tcW w:w="2234" w:type="dxa"/>
            <w:vAlign w:val="center"/>
          </w:tcPr>
          <w:p w14:paraId="5477CC5C"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每公顷喷药</w:t>
            </w:r>
            <w:r>
              <w:rPr>
                <w:rFonts w:eastAsia="仿宋_GB2312"/>
                <w:kern w:val="0"/>
                <w:sz w:val="24"/>
                <w:szCs w:val="21"/>
              </w:rPr>
              <w:t>1875 kg</w:t>
            </w:r>
          </w:p>
        </w:tc>
      </w:tr>
      <w:tr w:rsidR="00493EB4" w14:paraId="6C7A0872" w14:textId="77777777">
        <w:trPr>
          <w:trHeight w:val="664"/>
          <w:jc w:val="center"/>
        </w:trPr>
        <w:tc>
          <w:tcPr>
            <w:tcW w:w="1696" w:type="dxa"/>
            <w:vAlign w:val="center"/>
          </w:tcPr>
          <w:p w14:paraId="602E18AC"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一年生幼龄林</w:t>
            </w:r>
          </w:p>
        </w:tc>
        <w:tc>
          <w:tcPr>
            <w:tcW w:w="1985" w:type="dxa"/>
            <w:vAlign w:val="center"/>
          </w:tcPr>
          <w:p w14:paraId="6375741F"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轻度及以下</w:t>
            </w:r>
          </w:p>
        </w:tc>
        <w:tc>
          <w:tcPr>
            <w:tcW w:w="3260" w:type="dxa"/>
            <w:vAlign w:val="center"/>
          </w:tcPr>
          <w:p w14:paraId="2BF4A9D9"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全修、带修</w:t>
            </w:r>
          </w:p>
        </w:tc>
        <w:tc>
          <w:tcPr>
            <w:tcW w:w="2234" w:type="dxa"/>
            <w:vAlign w:val="center"/>
          </w:tcPr>
          <w:p w14:paraId="6424A27A" w14:textId="77777777" w:rsidR="00493EB4" w:rsidRDefault="00493EB4">
            <w:pPr>
              <w:widowControl/>
              <w:autoSpaceDE w:val="0"/>
              <w:autoSpaceDN w:val="0"/>
              <w:spacing w:before="20" w:after="20"/>
              <w:jc w:val="center"/>
              <w:rPr>
                <w:rFonts w:eastAsia="仿宋_GB2312"/>
                <w:kern w:val="0"/>
                <w:sz w:val="24"/>
                <w:szCs w:val="21"/>
              </w:rPr>
            </w:pPr>
          </w:p>
        </w:tc>
      </w:tr>
      <w:tr w:rsidR="00493EB4" w14:paraId="14720007" w14:textId="77777777">
        <w:trPr>
          <w:trHeight w:val="664"/>
          <w:jc w:val="center"/>
        </w:trPr>
        <w:tc>
          <w:tcPr>
            <w:tcW w:w="1696" w:type="dxa"/>
            <w:vAlign w:val="center"/>
          </w:tcPr>
          <w:p w14:paraId="20A2ED5C"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一年生幼龄林</w:t>
            </w:r>
          </w:p>
        </w:tc>
        <w:tc>
          <w:tcPr>
            <w:tcW w:w="1985" w:type="dxa"/>
            <w:vAlign w:val="center"/>
          </w:tcPr>
          <w:p w14:paraId="2578A449"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中度及以上，</w:t>
            </w:r>
            <w:r>
              <w:rPr>
                <w:rFonts w:eastAsia="仿宋_GB2312"/>
                <w:kern w:val="0"/>
                <w:sz w:val="24"/>
                <w:szCs w:val="21"/>
              </w:rPr>
              <w:br/>
            </w:r>
            <w:r>
              <w:rPr>
                <w:rFonts w:eastAsia="仿宋_GB2312"/>
                <w:kern w:val="0"/>
                <w:sz w:val="24"/>
                <w:szCs w:val="21"/>
              </w:rPr>
              <w:t>树高</w:t>
            </w:r>
            <w:r>
              <w:rPr>
                <w:rFonts w:eastAsia="仿宋_GB2312"/>
                <w:kern w:val="0"/>
                <w:sz w:val="24"/>
                <w:szCs w:val="21"/>
              </w:rPr>
              <w:t>&lt;2m</w:t>
            </w:r>
          </w:p>
        </w:tc>
        <w:tc>
          <w:tcPr>
            <w:tcW w:w="3260" w:type="dxa"/>
            <w:vAlign w:val="center"/>
          </w:tcPr>
          <w:p w14:paraId="20435166"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全修、带修</w:t>
            </w:r>
          </w:p>
        </w:tc>
        <w:tc>
          <w:tcPr>
            <w:tcW w:w="2234" w:type="dxa"/>
            <w:vAlign w:val="center"/>
          </w:tcPr>
          <w:p w14:paraId="51967777" w14:textId="77777777" w:rsidR="00493EB4" w:rsidRDefault="00493EB4">
            <w:pPr>
              <w:widowControl/>
              <w:autoSpaceDE w:val="0"/>
              <w:autoSpaceDN w:val="0"/>
              <w:spacing w:before="20" w:after="20"/>
              <w:jc w:val="center"/>
              <w:rPr>
                <w:rFonts w:eastAsia="仿宋_GB2312"/>
                <w:kern w:val="0"/>
                <w:sz w:val="24"/>
                <w:szCs w:val="21"/>
              </w:rPr>
            </w:pPr>
          </w:p>
        </w:tc>
      </w:tr>
      <w:tr w:rsidR="00493EB4" w14:paraId="568A4709" w14:textId="77777777">
        <w:trPr>
          <w:trHeight w:val="664"/>
          <w:jc w:val="center"/>
        </w:trPr>
        <w:tc>
          <w:tcPr>
            <w:tcW w:w="1696" w:type="dxa"/>
            <w:vAlign w:val="center"/>
          </w:tcPr>
          <w:p w14:paraId="7477C051"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一年生幼龄林</w:t>
            </w:r>
          </w:p>
        </w:tc>
        <w:tc>
          <w:tcPr>
            <w:tcW w:w="1985" w:type="dxa"/>
            <w:vAlign w:val="center"/>
          </w:tcPr>
          <w:p w14:paraId="3119D0F9"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中度及以上，</w:t>
            </w:r>
            <w:r>
              <w:rPr>
                <w:rFonts w:eastAsia="仿宋_GB2312"/>
                <w:kern w:val="0"/>
                <w:sz w:val="24"/>
                <w:szCs w:val="21"/>
              </w:rPr>
              <w:br/>
            </w:r>
            <w:r>
              <w:rPr>
                <w:rFonts w:eastAsia="仿宋_GB2312"/>
                <w:kern w:val="0"/>
                <w:sz w:val="24"/>
                <w:szCs w:val="21"/>
              </w:rPr>
              <w:t>树高</w:t>
            </w:r>
            <w:r>
              <w:rPr>
                <w:rFonts w:eastAsia="仿宋_GB2312"/>
                <w:kern w:val="0"/>
                <w:sz w:val="24"/>
                <w:szCs w:val="21"/>
              </w:rPr>
              <w:t>≥2m</w:t>
            </w:r>
          </w:p>
        </w:tc>
        <w:tc>
          <w:tcPr>
            <w:tcW w:w="3260" w:type="dxa"/>
            <w:vAlign w:val="center"/>
          </w:tcPr>
          <w:p w14:paraId="4672A983"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综合防治（喷施专用药剂）</w:t>
            </w:r>
          </w:p>
        </w:tc>
        <w:tc>
          <w:tcPr>
            <w:tcW w:w="2234" w:type="dxa"/>
            <w:vAlign w:val="center"/>
          </w:tcPr>
          <w:p w14:paraId="37DDE440"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每公顷喷药</w:t>
            </w:r>
            <w:r>
              <w:rPr>
                <w:rFonts w:eastAsia="仿宋_GB2312"/>
                <w:kern w:val="0"/>
                <w:sz w:val="24"/>
                <w:szCs w:val="21"/>
              </w:rPr>
              <w:t>1875 kg</w:t>
            </w:r>
          </w:p>
        </w:tc>
      </w:tr>
      <w:tr w:rsidR="00493EB4" w14:paraId="2D1F9ADE" w14:textId="77777777">
        <w:trPr>
          <w:trHeight w:val="664"/>
          <w:jc w:val="center"/>
        </w:trPr>
        <w:tc>
          <w:tcPr>
            <w:tcW w:w="1696" w:type="dxa"/>
            <w:vAlign w:val="center"/>
          </w:tcPr>
          <w:p w14:paraId="11D411AB" w14:textId="77777777" w:rsidR="00493EB4" w:rsidRDefault="00795F6A">
            <w:pPr>
              <w:widowControl/>
              <w:autoSpaceDE w:val="0"/>
              <w:autoSpaceDN w:val="0"/>
              <w:spacing w:before="20" w:after="20"/>
              <w:jc w:val="center"/>
              <w:rPr>
                <w:rFonts w:eastAsia="仿宋_GB2312"/>
                <w:kern w:val="0"/>
                <w:sz w:val="24"/>
                <w:szCs w:val="21"/>
              </w:rPr>
            </w:pPr>
            <w:proofErr w:type="gramStart"/>
            <w:r>
              <w:rPr>
                <w:rFonts w:eastAsia="仿宋_GB2312"/>
                <w:kern w:val="0"/>
                <w:sz w:val="24"/>
                <w:szCs w:val="21"/>
              </w:rPr>
              <w:t>二年生以上</w:t>
            </w:r>
            <w:proofErr w:type="gramEnd"/>
            <w:r>
              <w:rPr>
                <w:rFonts w:eastAsia="仿宋_GB2312"/>
                <w:kern w:val="0"/>
                <w:sz w:val="24"/>
                <w:szCs w:val="21"/>
              </w:rPr>
              <w:br/>
            </w:r>
            <w:r>
              <w:rPr>
                <w:rFonts w:eastAsia="仿宋_GB2312"/>
                <w:kern w:val="0"/>
                <w:sz w:val="24"/>
                <w:szCs w:val="21"/>
              </w:rPr>
              <w:t>中幼龄林</w:t>
            </w:r>
          </w:p>
        </w:tc>
        <w:tc>
          <w:tcPr>
            <w:tcW w:w="1985" w:type="dxa"/>
            <w:vAlign w:val="center"/>
          </w:tcPr>
          <w:p w14:paraId="0FB68818"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轻度及以下</w:t>
            </w:r>
          </w:p>
        </w:tc>
        <w:tc>
          <w:tcPr>
            <w:tcW w:w="3260" w:type="dxa"/>
            <w:vAlign w:val="center"/>
          </w:tcPr>
          <w:p w14:paraId="688FB252"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全修、带修、全铲、</w:t>
            </w:r>
            <w:proofErr w:type="gramStart"/>
            <w:r>
              <w:rPr>
                <w:rFonts w:eastAsia="仿宋_GB2312"/>
                <w:kern w:val="0"/>
                <w:sz w:val="24"/>
                <w:szCs w:val="21"/>
              </w:rPr>
              <w:t>带铲</w:t>
            </w:r>
            <w:proofErr w:type="gramEnd"/>
          </w:p>
        </w:tc>
        <w:tc>
          <w:tcPr>
            <w:tcW w:w="2234" w:type="dxa"/>
            <w:vAlign w:val="center"/>
          </w:tcPr>
          <w:p w14:paraId="6BB8D711" w14:textId="77777777" w:rsidR="00493EB4" w:rsidRDefault="00493EB4">
            <w:pPr>
              <w:widowControl/>
              <w:autoSpaceDE w:val="0"/>
              <w:autoSpaceDN w:val="0"/>
              <w:spacing w:before="20" w:after="20"/>
              <w:jc w:val="center"/>
              <w:rPr>
                <w:rFonts w:eastAsia="仿宋_GB2312"/>
                <w:kern w:val="0"/>
                <w:sz w:val="24"/>
                <w:szCs w:val="21"/>
              </w:rPr>
            </w:pPr>
          </w:p>
        </w:tc>
      </w:tr>
      <w:tr w:rsidR="00493EB4" w14:paraId="0CD0604E" w14:textId="77777777">
        <w:trPr>
          <w:trHeight w:val="664"/>
          <w:jc w:val="center"/>
        </w:trPr>
        <w:tc>
          <w:tcPr>
            <w:tcW w:w="1696" w:type="dxa"/>
            <w:vAlign w:val="center"/>
          </w:tcPr>
          <w:p w14:paraId="3084FB82" w14:textId="77777777" w:rsidR="00493EB4" w:rsidRDefault="00795F6A">
            <w:pPr>
              <w:widowControl/>
              <w:autoSpaceDE w:val="0"/>
              <w:autoSpaceDN w:val="0"/>
              <w:spacing w:before="20" w:after="20"/>
              <w:jc w:val="center"/>
              <w:rPr>
                <w:rFonts w:eastAsia="仿宋_GB2312"/>
                <w:kern w:val="0"/>
                <w:sz w:val="24"/>
                <w:szCs w:val="21"/>
              </w:rPr>
            </w:pPr>
            <w:proofErr w:type="gramStart"/>
            <w:r>
              <w:rPr>
                <w:rFonts w:eastAsia="仿宋_GB2312"/>
                <w:kern w:val="0"/>
                <w:sz w:val="24"/>
                <w:szCs w:val="21"/>
              </w:rPr>
              <w:t>二年生以上</w:t>
            </w:r>
            <w:proofErr w:type="gramEnd"/>
            <w:r>
              <w:rPr>
                <w:rFonts w:eastAsia="仿宋_GB2312"/>
                <w:kern w:val="0"/>
                <w:sz w:val="24"/>
                <w:szCs w:val="21"/>
              </w:rPr>
              <w:br/>
            </w:r>
            <w:r>
              <w:rPr>
                <w:rFonts w:eastAsia="仿宋_GB2312"/>
                <w:kern w:val="0"/>
                <w:sz w:val="24"/>
                <w:szCs w:val="21"/>
              </w:rPr>
              <w:t>中幼龄林</w:t>
            </w:r>
          </w:p>
        </w:tc>
        <w:tc>
          <w:tcPr>
            <w:tcW w:w="1985" w:type="dxa"/>
            <w:vAlign w:val="center"/>
          </w:tcPr>
          <w:p w14:paraId="78B1814A"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中度及以上</w:t>
            </w:r>
          </w:p>
        </w:tc>
        <w:tc>
          <w:tcPr>
            <w:tcW w:w="3260" w:type="dxa"/>
            <w:vAlign w:val="center"/>
          </w:tcPr>
          <w:p w14:paraId="4CB9F6A2"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综合防治（喷施专用药剂）</w:t>
            </w:r>
          </w:p>
        </w:tc>
        <w:tc>
          <w:tcPr>
            <w:tcW w:w="2234" w:type="dxa"/>
            <w:vAlign w:val="center"/>
          </w:tcPr>
          <w:p w14:paraId="15377D58"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每公顷喷药</w:t>
            </w:r>
            <w:r>
              <w:rPr>
                <w:rFonts w:eastAsia="仿宋_GB2312"/>
                <w:kern w:val="0"/>
                <w:sz w:val="24"/>
                <w:szCs w:val="21"/>
              </w:rPr>
              <w:t>1875 kg</w:t>
            </w:r>
          </w:p>
        </w:tc>
      </w:tr>
      <w:tr w:rsidR="00493EB4" w14:paraId="0BADB4C1" w14:textId="77777777">
        <w:trPr>
          <w:trHeight w:val="664"/>
          <w:jc w:val="center"/>
        </w:trPr>
        <w:tc>
          <w:tcPr>
            <w:tcW w:w="1696" w:type="dxa"/>
            <w:tcBorders>
              <w:bottom w:val="single" w:sz="12" w:space="0" w:color="auto"/>
            </w:tcBorders>
            <w:vAlign w:val="center"/>
          </w:tcPr>
          <w:p w14:paraId="310B40D1"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成熟林</w:t>
            </w:r>
          </w:p>
        </w:tc>
        <w:tc>
          <w:tcPr>
            <w:tcW w:w="1985" w:type="dxa"/>
            <w:tcBorders>
              <w:bottom w:val="single" w:sz="12" w:space="0" w:color="auto"/>
            </w:tcBorders>
            <w:vAlign w:val="center"/>
          </w:tcPr>
          <w:p w14:paraId="17C25969"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中度风险及以上</w:t>
            </w:r>
          </w:p>
        </w:tc>
        <w:tc>
          <w:tcPr>
            <w:tcW w:w="3260" w:type="dxa"/>
            <w:tcBorders>
              <w:bottom w:val="single" w:sz="12" w:space="0" w:color="auto"/>
            </w:tcBorders>
            <w:vAlign w:val="center"/>
          </w:tcPr>
          <w:p w14:paraId="15ECCF90"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综合防治（喷施专用药剂）</w:t>
            </w:r>
          </w:p>
        </w:tc>
        <w:tc>
          <w:tcPr>
            <w:tcW w:w="2234" w:type="dxa"/>
            <w:tcBorders>
              <w:bottom w:val="single" w:sz="12" w:space="0" w:color="auto"/>
            </w:tcBorders>
            <w:vAlign w:val="center"/>
          </w:tcPr>
          <w:p w14:paraId="38E3868E" w14:textId="77777777" w:rsidR="00493EB4" w:rsidRDefault="00795F6A">
            <w:pPr>
              <w:widowControl/>
              <w:autoSpaceDE w:val="0"/>
              <w:autoSpaceDN w:val="0"/>
              <w:spacing w:before="20" w:after="20"/>
              <w:jc w:val="center"/>
              <w:rPr>
                <w:rFonts w:eastAsia="仿宋_GB2312"/>
                <w:kern w:val="0"/>
                <w:sz w:val="24"/>
                <w:szCs w:val="21"/>
              </w:rPr>
            </w:pPr>
            <w:r>
              <w:rPr>
                <w:rFonts w:eastAsia="仿宋_GB2312"/>
                <w:kern w:val="0"/>
                <w:sz w:val="24"/>
                <w:szCs w:val="21"/>
              </w:rPr>
              <w:t>每公顷喷药</w:t>
            </w:r>
            <w:r>
              <w:rPr>
                <w:rFonts w:eastAsia="仿宋_GB2312"/>
                <w:kern w:val="0"/>
                <w:sz w:val="24"/>
                <w:szCs w:val="21"/>
              </w:rPr>
              <w:t>1875 kg</w:t>
            </w:r>
          </w:p>
        </w:tc>
      </w:tr>
    </w:tbl>
    <w:p w14:paraId="2C296EC1" w14:textId="77777777" w:rsidR="00493EB4" w:rsidRDefault="00795F6A">
      <w:pPr>
        <w:pStyle w:val="af7"/>
        <w:ind w:left="0" w:firstLine="642"/>
        <w:rPr>
          <w:color w:val="FF0000"/>
        </w:rPr>
      </w:pPr>
      <w:r>
        <w:rPr>
          <w:rFonts w:hint="eastAsia"/>
          <w:color w:val="FF0000"/>
        </w:rPr>
        <w:t>为提升标准</w:t>
      </w:r>
      <w:r>
        <w:rPr>
          <w:rFonts w:hint="eastAsia"/>
          <w:color w:val="FF0000"/>
        </w:rPr>
        <w:t>在林间</w:t>
      </w:r>
      <w:r>
        <w:rPr>
          <w:rFonts w:hint="eastAsia"/>
          <w:color w:val="FF0000"/>
        </w:rPr>
        <w:t>的可操作性，本标准制定了“表</w:t>
      </w:r>
      <w:r>
        <w:rPr>
          <w:color w:val="FF0000"/>
        </w:rPr>
        <w:t>3</w:t>
      </w:r>
      <w:r>
        <w:rPr>
          <w:rFonts w:hint="eastAsia"/>
          <w:color w:val="FF0000"/>
        </w:rPr>
        <w:t xml:space="preserve"> </w:t>
      </w:r>
      <w:proofErr w:type="gramStart"/>
      <w:r>
        <w:rPr>
          <w:rFonts w:hint="eastAsia"/>
          <w:color w:val="FF0000"/>
        </w:rPr>
        <w:t>薇</w:t>
      </w:r>
      <w:proofErr w:type="gramEnd"/>
      <w:r>
        <w:rPr>
          <w:rFonts w:hint="eastAsia"/>
          <w:color w:val="FF0000"/>
        </w:rPr>
        <w:t>甘菊防</w:t>
      </w:r>
      <w:r>
        <w:rPr>
          <w:rFonts w:hint="eastAsia"/>
          <w:color w:val="FF0000"/>
        </w:rPr>
        <w:lastRenderedPageBreak/>
        <w:t>治措施”（标准中为表</w:t>
      </w:r>
      <w:r>
        <w:rPr>
          <w:rFonts w:hint="eastAsia"/>
          <w:color w:val="FF0000"/>
        </w:rPr>
        <w:t>2</w:t>
      </w:r>
      <w:r>
        <w:rPr>
          <w:rFonts w:hint="eastAsia"/>
          <w:color w:val="FF0000"/>
        </w:rPr>
        <w:t>）。该表综合了广西国有博白林场多年的防治实践经验，将林分类型（造林前、一年生林等）与风险等级评估结果进行矩阵交叉，为每一种情景匹配了最优化的防治措施组合。表中推荐的措施，特别是化学防治的药液用量，是基于多次重复的田间药效试验确定的优化参数，该用量能确保药液对</w:t>
      </w:r>
      <w:proofErr w:type="gramStart"/>
      <w:r>
        <w:rPr>
          <w:rFonts w:hint="eastAsia"/>
          <w:color w:val="FF0000"/>
        </w:rPr>
        <w:t>薇</w:t>
      </w:r>
      <w:proofErr w:type="gramEnd"/>
      <w:r>
        <w:rPr>
          <w:rFonts w:hint="eastAsia"/>
          <w:color w:val="FF0000"/>
        </w:rPr>
        <w:t>甘菊叶片达到充分湿润覆盖的理想效果，同时兼顾了防治成本与效率。该表的使用将极大方便一线生产人员快速、准确地确定防治方案，减少决策失误，提高防治效率与效果。</w:t>
      </w:r>
    </w:p>
    <w:p w14:paraId="18ED6891" w14:textId="77777777" w:rsidR="00493EB4" w:rsidRDefault="00795F6A">
      <w:pPr>
        <w:pStyle w:val="af7"/>
        <w:spacing w:line="580" w:lineRule="exact"/>
        <w:ind w:left="0" w:firstLineChars="200" w:firstLine="640"/>
        <w:rPr>
          <w:rFonts w:ascii="Times New Roman" w:hAnsi="Times New Roman" w:cs="Times New Roman"/>
          <w:color w:val="FF0000"/>
          <w:szCs w:val="28"/>
          <w:lang w:val="zh-CN"/>
        </w:rPr>
      </w:pPr>
      <w:r>
        <w:rPr>
          <w:rFonts w:ascii="Times New Roman" w:hAnsi="Times New Roman" w:cs="Times New Roman" w:hint="eastAsia"/>
          <w:color w:val="FF0000"/>
          <w:szCs w:val="28"/>
          <w:lang w:val="zh-CN"/>
        </w:rPr>
        <w:t>（六）</w:t>
      </w:r>
      <w:r>
        <w:rPr>
          <w:rFonts w:ascii="Times New Roman" w:hAnsi="Times New Roman" w:cs="Times New Roman"/>
          <w:color w:val="FF0000"/>
          <w:szCs w:val="28"/>
          <w:lang w:val="zh-CN"/>
        </w:rPr>
        <w:t>附录</w:t>
      </w:r>
      <w:r>
        <w:rPr>
          <w:rFonts w:ascii="Times New Roman" w:hAnsi="Times New Roman" w:cs="Times New Roman"/>
          <w:color w:val="FF0000"/>
          <w:szCs w:val="28"/>
          <w:lang w:val="zh-CN"/>
        </w:rPr>
        <w:t>B</w:t>
      </w:r>
      <w:r>
        <w:rPr>
          <w:rFonts w:ascii="Times New Roman" w:hAnsi="Times New Roman" w:cs="Times New Roman"/>
          <w:color w:val="FF0000"/>
          <w:szCs w:val="28"/>
          <w:lang w:val="zh-CN"/>
        </w:rPr>
        <w:t>化学防治方法</w:t>
      </w:r>
    </w:p>
    <w:p w14:paraId="2CFCEB70" w14:textId="77777777" w:rsidR="00493EB4" w:rsidRDefault="00795F6A">
      <w:pPr>
        <w:pStyle w:val="af7"/>
        <w:spacing w:line="580" w:lineRule="exact"/>
        <w:ind w:left="0" w:firstLineChars="200" w:firstLine="640"/>
        <w:rPr>
          <w:rFonts w:ascii="Times New Roman" w:hAnsi="Times New Roman" w:cs="Times New Roman"/>
          <w:color w:val="FF0000"/>
          <w:szCs w:val="28"/>
          <w:lang w:val="zh-CN"/>
        </w:rPr>
      </w:pPr>
      <w:r>
        <w:rPr>
          <w:rFonts w:ascii="Times New Roman" w:hAnsi="Times New Roman" w:cs="Times New Roman"/>
          <w:color w:val="FF0000"/>
          <w:szCs w:val="28"/>
          <w:lang w:val="zh-CN"/>
        </w:rPr>
        <w:t>附录</w:t>
      </w:r>
      <w:r>
        <w:rPr>
          <w:rFonts w:ascii="Times New Roman" w:hAnsi="Times New Roman" w:cs="Times New Roman"/>
          <w:color w:val="FF0000"/>
          <w:szCs w:val="28"/>
          <w:lang w:val="zh-CN"/>
        </w:rPr>
        <w:t>B</w:t>
      </w:r>
      <w:r>
        <w:rPr>
          <w:rFonts w:ascii="Times New Roman" w:hAnsi="Times New Roman" w:cs="Times New Roman"/>
          <w:color w:val="FF0000"/>
          <w:szCs w:val="28"/>
          <w:lang w:val="zh-CN"/>
        </w:rPr>
        <w:t>作为规范性附录，对标准正文第</w:t>
      </w:r>
      <w:r>
        <w:rPr>
          <w:rFonts w:ascii="Times New Roman" w:hAnsi="Times New Roman" w:cs="Times New Roman"/>
          <w:color w:val="FF0000"/>
          <w:szCs w:val="28"/>
          <w:lang w:val="zh-CN"/>
        </w:rPr>
        <w:t>6</w:t>
      </w:r>
      <w:r>
        <w:rPr>
          <w:rFonts w:ascii="Times New Roman" w:hAnsi="Times New Roman" w:cs="Times New Roman"/>
          <w:color w:val="FF0000"/>
          <w:szCs w:val="28"/>
          <w:lang w:val="zh-CN"/>
        </w:rPr>
        <w:t>章构成了重要</w:t>
      </w:r>
      <w:proofErr w:type="gramStart"/>
      <w:r>
        <w:rPr>
          <w:rFonts w:ascii="Times New Roman" w:hAnsi="Times New Roman" w:cs="Times New Roman"/>
          <w:color w:val="FF0000"/>
          <w:szCs w:val="28"/>
          <w:lang w:val="zh-CN"/>
        </w:rPr>
        <w:t>且必要</w:t>
      </w:r>
      <w:proofErr w:type="gramEnd"/>
      <w:r>
        <w:rPr>
          <w:rFonts w:ascii="Times New Roman" w:hAnsi="Times New Roman" w:cs="Times New Roman"/>
          <w:color w:val="FF0000"/>
          <w:szCs w:val="28"/>
          <w:lang w:val="zh-CN"/>
        </w:rPr>
        <w:t>的补充和细化。</w:t>
      </w:r>
    </w:p>
    <w:p w14:paraId="7E4B9A8A" w14:textId="56D57E41" w:rsidR="00493EB4" w:rsidRDefault="00795F6A">
      <w:pPr>
        <w:pStyle w:val="af7"/>
        <w:spacing w:line="580" w:lineRule="exact"/>
        <w:ind w:firstLineChars="200" w:firstLine="640"/>
        <w:rPr>
          <w:rFonts w:ascii="Times New Roman" w:hAnsi="Times New Roman" w:cs="Times New Roman"/>
          <w:color w:val="FF0000"/>
          <w:szCs w:val="28"/>
          <w:lang w:val="zh-CN"/>
        </w:rPr>
      </w:pPr>
      <w:r>
        <w:rPr>
          <w:rFonts w:ascii="Times New Roman" w:hAnsi="Times New Roman" w:cs="Times New Roman"/>
          <w:color w:val="FF0000"/>
          <w:szCs w:val="28"/>
          <w:lang w:val="zh-CN"/>
        </w:rPr>
        <w:t>（</w:t>
      </w:r>
      <w:r>
        <w:rPr>
          <w:rFonts w:ascii="Times New Roman" w:hAnsi="Times New Roman" w:cs="Times New Roman"/>
          <w:color w:val="FF0000"/>
          <w:szCs w:val="28"/>
          <w:lang w:val="zh-CN"/>
        </w:rPr>
        <w:t>1</w:t>
      </w:r>
      <w:r>
        <w:rPr>
          <w:rFonts w:ascii="Times New Roman" w:hAnsi="Times New Roman" w:cs="Times New Roman"/>
          <w:color w:val="FF0000"/>
          <w:szCs w:val="28"/>
          <w:lang w:val="zh-CN"/>
        </w:rPr>
        <w:t>）药剂选择依据：推荐的</w:t>
      </w:r>
      <w:r>
        <w:rPr>
          <w:rFonts w:ascii="Times New Roman" w:hAnsi="Times New Roman" w:cs="Times New Roman"/>
          <w:color w:val="FF0000"/>
          <w:szCs w:val="28"/>
          <w:lang w:val="zh-CN"/>
        </w:rPr>
        <w:t>“</w:t>
      </w:r>
      <w:r>
        <w:rPr>
          <w:rFonts w:ascii="Times New Roman" w:hAnsi="Times New Roman" w:cs="Times New Roman"/>
          <w:color w:val="FF0000"/>
          <w:szCs w:val="28"/>
          <w:lang w:val="zh-CN"/>
        </w:rPr>
        <w:t>薇快克</w:t>
      </w:r>
      <w:r>
        <w:rPr>
          <w:rFonts w:ascii="Times New Roman" w:hAnsi="Times New Roman" w:cs="Times New Roman"/>
          <w:color w:val="FF0000"/>
          <w:szCs w:val="28"/>
          <w:lang w:val="zh-CN"/>
        </w:rPr>
        <w:t>”</w:t>
      </w:r>
      <w:r>
        <w:rPr>
          <w:rFonts w:ascii="Times New Roman" w:hAnsi="Times New Roman" w:cs="Times New Roman"/>
          <w:color w:val="FF0000"/>
          <w:szCs w:val="28"/>
          <w:lang w:val="zh-CN"/>
        </w:rPr>
        <w:t>与</w:t>
      </w:r>
      <w:r>
        <w:rPr>
          <w:rFonts w:ascii="Times New Roman" w:hAnsi="Times New Roman" w:cs="Times New Roman"/>
          <w:color w:val="FF0000"/>
          <w:szCs w:val="28"/>
          <w:lang w:val="zh-CN"/>
        </w:rPr>
        <w:t>“</w:t>
      </w:r>
      <w:r>
        <w:rPr>
          <w:rFonts w:ascii="Times New Roman" w:hAnsi="Times New Roman" w:cs="Times New Roman"/>
          <w:color w:val="FF0000"/>
          <w:szCs w:val="28"/>
          <w:lang w:val="zh-CN"/>
        </w:rPr>
        <w:t>紫薇清</w:t>
      </w:r>
      <w:r>
        <w:rPr>
          <w:rFonts w:ascii="Times New Roman" w:hAnsi="Times New Roman" w:cs="Times New Roman"/>
          <w:color w:val="FF0000"/>
          <w:szCs w:val="28"/>
          <w:lang w:val="zh-CN"/>
        </w:rPr>
        <w:t>”</w:t>
      </w:r>
      <w:r>
        <w:rPr>
          <w:rFonts w:ascii="Times New Roman" w:hAnsi="Times New Roman" w:cs="Times New Roman"/>
          <w:color w:val="FF0000"/>
          <w:szCs w:val="28"/>
          <w:lang w:val="zh-CN"/>
        </w:rPr>
        <w:t>两种药剂，是基于</w:t>
      </w:r>
      <w:r>
        <w:rPr>
          <w:rFonts w:ascii="Times New Roman" w:hAnsi="Times New Roman" w:cs="Times New Roman"/>
          <w:color w:val="FF0000"/>
          <w:szCs w:val="28"/>
          <w:lang w:val="zh-CN"/>
        </w:rPr>
        <w:t>LY/T 2422-2015</w:t>
      </w:r>
      <w:r>
        <w:rPr>
          <w:rFonts w:ascii="Times New Roman" w:hAnsi="Times New Roman" w:cs="Times New Roman"/>
          <w:color w:val="FF0000"/>
          <w:szCs w:val="28"/>
          <w:lang w:val="zh-CN"/>
        </w:rPr>
        <w:t>、</w:t>
      </w:r>
      <w:r>
        <w:rPr>
          <w:rFonts w:ascii="Times New Roman" w:hAnsi="Times New Roman" w:cs="Times New Roman"/>
          <w:color w:val="FF0000"/>
          <w:szCs w:val="28"/>
          <w:lang w:val="zh-CN"/>
        </w:rPr>
        <w:t>NY/T 1865-2010</w:t>
      </w:r>
      <w:r>
        <w:rPr>
          <w:rFonts w:ascii="Times New Roman" w:hAnsi="Times New Roman" w:cs="Times New Roman"/>
          <w:color w:val="FF0000"/>
          <w:szCs w:val="28"/>
          <w:lang w:val="zh-CN"/>
        </w:rPr>
        <w:t>、</w:t>
      </w:r>
      <w:r>
        <w:rPr>
          <w:rFonts w:ascii="Times New Roman" w:hAnsi="Times New Roman" w:cs="Times New Roman"/>
          <w:color w:val="FF0000"/>
          <w:szCs w:val="28"/>
          <w:lang w:val="zh-CN"/>
        </w:rPr>
        <w:t>SZDB/Z 191-2016</w:t>
      </w:r>
      <w:r>
        <w:rPr>
          <w:rFonts w:ascii="Times New Roman" w:hAnsi="Times New Roman" w:cs="Times New Roman"/>
          <w:color w:val="FF0000"/>
          <w:szCs w:val="28"/>
          <w:lang w:val="zh-CN"/>
        </w:rPr>
        <w:t>、</w:t>
      </w:r>
      <w:r>
        <w:rPr>
          <w:rFonts w:ascii="Times New Roman" w:hAnsi="Times New Roman" w:cs="Times New Roman"/>
          <w:color w:val="FF0000"/>
          <w:szCs w:val="28"/>
          <w:lang w:val="zh-CN"/>
        </w:rPr>
        <w:t>DB53/T 532-2013</w:t>
      </w:r>
      <w:r>
        <w:rPr>
          <w:rFonts w:ascii="Times New Roman" w:hAnsi="Times New Roman" w:cs="Times New Roman"/>
          <w:color w:val="FF0000"/>
          <w:szCs w:val="28"/>
          <w:lang w:val="zh-CN"/>
        </w:rPr>
        <w:t>结果筛选确定的。广西国有博白林场</w:t>
      </w:r>
      <w:r>
        <w:rPr>
          <w:rFonts w:ascii="Times New Roman" w:hAnsi="Times New Roman" w:cs="Times New Roman"/>
          <w:color w:val="FF0000"/>
          <w:szCs w:val="28"/>
          <w:lang w:val="zh-CN"/>
        </w:rPr>
        <w:t>2020</w:t>
      </w:r>
      <w:r>
        <w:rPr>
          <w:rFonts w:ascii="Times New Roman" w:hAnsi="Times New Roman" w:cs="Times New Roman"/>
          <w:color w:val="FF0000"/>
          <w:szCs w:val="28"/>
          <w:lang w:val="zh-CN"/>
        </w:rPr>
        <w:t>开展的多药剂田间对比试验数据表明，在推荐剂量下，紫薇清</w:t>
      </w:r>
      <w:r w:rsidR="00962134">
        <w:rPr>
          <w:rFonts w:ascii="Times New Roman" w:hAnsi="Times New Roman" w:cs="Times New Roman" w:hint="eastAsia"/>
          <w:color w:val="FF0000"/>
          <w:szCs w:val="28"/>
          <w:lang w:val="zh-CN"/>
        </w:rPr>
        <w:t>1</w:t>
      </w:r>
      <w:r w:rsidR="00962134">
        <w:rPr>
          <w:rFonts w:ascii="Times New Roman" w:hAnsi="Times New Roman" w:cs="Times New Roman"/>
          <w:color w:val="FF0000"/>
          <w:szCs w:val="28"/>
          <w:lang w:val="zh-CN"/>
        </w:rPr>
        <w:t>500</w:t>
      </w:r>
      <w:r w:rsidR="00962134">
        <w:rPr>
          <w:rFonts w:ascii="Times New Roman" w:hAnsi="Times New Roman" w:cs="Times New Roman"/>
          <w:color w:val="FF0000"/>
          <w:szCs w:val="28"/>
          <w:lang w:val="zh-CN"/>
        </w:rPr>
        <w:t>倍液</w:t>
      </w:r>
      <w:r>
        <w:rPr>
          <w:rFonts w:ascii="Times New Roman" w:hAnsi="Times New Roman" w:cs="Times New Roman"/>
          <w:color w:val="FF0000"/>
          <w:szCs w:val="28"/>
          <w:lang w:val="zh-CN"/>
        </w:rPr>
        <w:t>施药防治效果达</w:t>
      </w:r>
      <w:r>
        <w:rPr>
          <w:rFonts w:ascii="Times New Roman" w:hAnsi="Times New Roman" w:cs="Times New Roman"/>
          <w:color w:val="FF0000"/>
          <w:szCs w:val="28"/>
          <w:lang w:val="zh-CN"/>
        </w:rPr>
        <w:t>97.69%</w:t>
      </w:r>
      <w:r>
        <w:rPr>
          <w:rFonts w:ascii="Times New Roman" w:hAnsi="Times New Roman" w:cs="Times New Roman"/>
          <w:color w:val="FF0000"/>
          <w:szCs w:val="28"/>
          <w:lang w:val="zh-CN"/>
        </w:rPr>
        <w:t>，且对桉树安全，具体详见表</w:t>
      </w:r>
      <w:r>
        <w:rPr>
          <w:rFonts w:ascii="Times New Roman" w:hAnsi="Times New Roman" w:cs="Times New Roman"/>
          <w:color w:val="FF0000"/>
          <w:szCs w:val="28"/>
          <w:lang w:val="zh-CN"/>
        </w:rPr>
        <w:t>2</w:t>
      </w:r>
      <w:r>
        <w:rPr>
          <w:rFonts w:ascii="Times New Roman" w:hAnsi="Times New Roman" w:cs="Times New Roman"/>
          <w:color w:val="FF0000"/>
          <w:szCs w:val="28"/>
          <w:lang w:val="zh-CN"/>
        </w:rPr>
        <w:t>。</w:t>
      </w:r>
    </w:p>
    <w:p w14:paraId="58098009" w14:textId="075E0288" w:rsidR="00493EB4" w:rsidRDefault="00795F6A" w:rsidP="00962134">
      <w:pPr>
        <w:pStyle w:val="af7"/>
        <w:spacing w:line="580" w:lineRule="exact"/>
        <w:ind w:firstLineChars="200" w:firstLine="640"/>
        <w:rPr>
          <w:rFonts w:ascii="Times New Roman" w:hAnsi="Times New Roman" w:cs="Times New Roman"/>
          <w:color w:val="FF0000"/>
          <w:szCs w:val="28"/>
          <w:lang w:val="zh-CN"/>
        </w:rPr>
      </w:pPr>
      <w:r>
        <w:rPr>
          <w:rFonts w:ascii="Times New Roman" w:hAnsi="Times New Roman" w:cs="Times New Roman"/>
          <w:color w:val="FF0000"/>
          <w:szCs w:val="28"/>
          <w:lang w:val="zh-CN"/>
        </w:rPr>
        <w:t>（</w:t>
      </w:r>
      <w:r>
        <w:rPr>
          <w:rFonts w:ascii="Times New Roman" w:hAnsi="Times New Roman" w:cs="Times New Roman"/>
          <w:color w:val="FF0000"/>
          <w:szCs w:val="28"/>
          <w:lang w:val="zh-CN"/>
        </w:rPr>
        <w:t>2</w:t>
      </w:r>
      <w:r>
        <w:rPr>
          <w:rFonts w:ascii="Times New Roman" w:hAnsi="Times New Roman" w:cs="Times New Roman"/>
          <w:color w:val="FF0000"/>
          <w:szCs w:val="28"/>
          <w:lang w:val="zh-CN"/>
        </w:rPr>
        <w:t>）施药量参数：</w:t>
      </w:r>
      <w:r w:rsidR="00091E34" w:rsidRPr="00091E34">
        <w:rPr>
          <w:rFonts w:ascii="Times New Roman" w:hAnsi="Times New Roman" w:cs="Times New Roman" w:hint="eastAsia"/>
          <w:color w:val="FF0000"/>
          <w:szCs w:val="28"/>
          <w:lang w:val="zh-CN"/>
        </w:rPr>
        <w:t>不同风险等级与用药量精准对应</w:t>
      </w:r>
      <w:r w:rsidR="00962134" w:rsidRPr="00962134">
        <w:rPr>
          <w:rFonts w:ascii="Times New Roman" w:hAnsi="Times New Roman" w:cs="Times New Roman" w:hint="eastAsia"/>
          <w:color w:val="FF0000"/>
          <w:szCs w:val="28"/>
          <w:lang w:val="zh-CN"/>
        </w:rPr>
        <w:t>。</w:t>
      </w:r>
      <w:r w:rsidR="00962134" w:rsidRPr="00962134">
        <w:rPr>
          <w:rFonts w:ascii="Times New Roman" w:hAnsi="Times New Roman" w:cs="Times New Roman" w:hint="eastAsia"/>
          <w:color w:val="FF0000"/>
          <w:szCs w:val="28"/>
          <w:lang w:val="zh-CN"/>
        </w:rPr>
        <w:t>具体而言，对于重度风险区，因薇甘菊覆盖度高、生物量大，推荐采用</w:t>
      </w:r>
      <w:r w:rsidR="00406AC3">
        <w:rPr>
          <w:rFonts w:ascii="Times New Roman" w:hAnsi="Times New Roman" w:cs="Times New Roman" w:hint="eastAsia"/>
          <w:color w:val="FF0000"/>
          <w:szCs w:val="28"/>
          <w:lang w:val="zh-CN"/>
        </w:rPr>
        <w:t>更高的制剂浓度</w:t>
      </w:r>
      <w:r w:rsidR="00962134" w:rsidRPr="00962134">
        <w:rPr>
          <w:rFonts w:ascii="Times New Roman" w:hAnsi="Times New Roman" w:cs="Times New Roman" w:hint="eastAsia"/>
          <w:color w:val="FF0000"/>
          <w:szCs w:val="28"/>
          <w:lang w:val="zh-CN"/>
        </w:rPr>
        <w:t>，以保证有足够的</w:t>
      </w:r>
      <w:r w:rsidR="00406AC3">
        <w:rPr>
          <w:rFonts w:ascii="Times New Roman" w:hAnsi="Times New Roman" w:cs="Times New Roman" w:hint="eastAsia"/>
          <w:color w:val="FF0000"/>
          <w:szCs w:val="28"/>
          <w:lang w:val="zh-CN"/>
        </w:rPr>
        <w:t>有效成分作用于植株，达到更为有效的</w:t>
      </w:r>
      <w:bookmarkStart w:id="9" w:name="_GoBack"/>
      <w:bookmarkEnd w:id="9"/>
      <w:r w:rsidR="00406AC3">
        <w:rPr>
          <w:rFonts w:ascii="Times New Roman" w:hAnsi="Times New Roman" w:cs="Times New Roman" w:hint="eastAsia"/>
          <w:color w:val="FF0000"/>
          <w:szCs w:val="28"/>
          <w:lang w:val="zh-CN"/>
        </w:rPr>
        <w:t>效果。反之，对于轻度风险区，</w:t>
      </w:r>
      <w:r w:rsidR="00962134" w:rsidRPr="00962134">
        <w:rPr>
          <w:rFonts w:ascii="Times New Roman" w:hAnsi="Times New Roman" w:cs="Times New Roman" w:hint="eastAsia"/>
          <w:color w:val="FF0000"/>
          <w:szCs w:val="28"/>
          <w:lang w:val="zh-CN"/>
        </w:rPr>
        <w:t>采用</w:t>
      </w:r>
      <w:r w:rsidR="00406AC3">
        <w:rPr>
          <w:rFonts w:ascii="Times New Roman" w:hAnsi="Times New Roman" w:cs="Times New Roman" w:hint="eastAsia"/>
          <w:color w:val="FF0000"/>
          <w:szCs w:val="28"/>
          <w:lang w:val="zh-CN"/>
        </w:rPr>
        <w:t>更低的制剂浓度</w:t>
      </w:r>
      <w:r w:rsidR="00091E34">
        <w:rPr>
          <w:rFonts w:ascii="Times New Roman" w:hAnsi="Times New Roman" w:cs="Times New Roman" w:hint="eastAsia"/>
          <w:color w:val="FF0000"/>
          <w:szCs w:val="28"/>
          <w:lang w:val="zh-CN"/>
        </w:rPr>
        <w:t>，在满足防治需求的同时，显著减少农药投入量，</w:t>
      </w:r>
      <w:r w:rsidR="00962134" w:rsidRPr="00962134">
        <w:rPr>
          <w:rFonts w:ascii="Times New Roman" w:hAnsi="Times New Roman" w:cs="Times New Roman" w:hint="eastAsia"/>
          <w:color w:val="FF0000"/>
          <w:szCs w:val="28"/>
          <w:lang w:val="zh-CN"/>
        </w:rPr>
        <w:t>表</w:t>
      </w:r>
      <w:r w:rsidR="00962134" w:rsidRPr="00962134">
        <w:rPr>
          <w:rFonts w:ascii="Times New Roman" w:hAnsi="Times New Roman" w:cs="Times New Roman" w:hint="eastAsia"/>
          <w:color w:val="FF0000"/>
          <w:szCs w:val="28"/>
          <w:lang w:val="zh-CN"/>
        </w:rPr>
        <w:t>2</w:t>
      </w:r>
      <w:r w:rsidR="00962134" w:rsidRPr="00962134">
        <w:rPr>
          <w:rFonts w:ascii="Times New Roman" w:hAnsi="Times New Roman" w:cs="Times New Roman" w:hint="eastAsia"/>
          <w:color w:val="FF0000"/>
          <w:szCs w:val="28"/>
          <w:lang w:val="zh-CN"/>
        </w:rPr>
        <w:t>的试验数据为这一原则提供了实证</w:t>
      </w:r>
      <w:r w:rsidR="00091E34">
        <w:rPr>
          <w:rFonts w:ascii="Times New Roman" w:hAnsi="Times New Roman" w:cs="Times New Roman" w:hint="eastAsia"/>
          <w:color w:val="FF0000"/>
          <w:szCs w:val="28"/>
          <w:lang w:val="zh-CN"/>
        </w:rPr>
        <w:t>。</w:t>
      </w:r>
      <w:r w:rsidR="00962134" w:rsidRPr="00962134">
        <w:rPr>
          <w:rFonts w:ascii="Times New Roman" w:hAnsi="Times New Roman" w:cs="Times New Roman" w:hint="eastAsia"/>
          <w:color w:val="FF0000"/>
          <w:szCs w:val="28"/>
          <w:lang w:val="zh-CN"/>
        </w:rPr>
        <w:t>因此，将风险等级、防治</w:t>
      </w:r>
      <w:r w:rsidR="00962134">
        <w:rPr>
          <w:rFonts w:ascii="Times New Roman" w:hAnsi="Times New Roman" w:cs="Times New Roman" w:hint="eastAsia"/>
          <w:color w:val="FF0000"/>
          <w:szCs w:val="28"/>
          <w:lang w:val="zh-CN"/>
        </w:rPr>
        <w:t>时期进行协同优化，体现精准施药、减量施药的科学原则</w:t>
      </w:r>
      <w:r w:rsidR="00962134" w:rsidRPr="00962134">
        <w:rPr>
          <w:rFonts w:ascii="Times New Roman" w:hAnsi="Times New Roman" w:cs="Times New Roman" w:hint="eastAsia"/>
          <w:color w:val="FF0000"/>
          <w:szCs w:val="28"/>
          <w:lang w:val="zh-CN"/>
        </w:rPr>
        <w:t>，从而在提升防治效果的同时，</w:t>
      </w:r>
      <w:r w:rsidR="00962134" w:rsidRPr="00962134">
        <w:rPr>
          <w:rFonts w:ascii="Times New Roman" w:hAnsi="Times New Roman" w:cs="Times New Roman" w:hint="eastAsia"/>
          <w:color w:val="FF0000"/>
          <w:szCs w:val="28"/>
          <w:lang w:val="zh-CN"/>
        </w:rPr>
        <w:lastRenderedPageBreak/>
        <w:t>有效规避药害并减轻环境压力</w:t>
      </w:r>
      <w:r w:rsidR="00091E34">
        <w:rPr>
          <w:rFonts w:ascii="Times New Roman" w:hAnsi="Times New Roman" w:cs="Times New Roman" w:hint="eastAsia"/>
          <w:color w:val="FF0000"/>
          <w:szCs w:val="28"/>
          <w:lang w:val="zh-CN"/>
        </w:rPr>
        <w:t>。</w:t>
      </w:r>
    </w:p>
    <w:p w14:paraId="469C499B" w14:textId="77777777" w:rsidR="00493EB4" w:rsidRDefault="00795F6A">
      <w:pPr>
        <w:pStyle w:val="aff9"/>
      </w:pPr>
      <w:r>
        <w:t>（</w:t>
      </w:r>
      <w:r>
        <w:t>3</w:t>
      </w:r>
      <w:r>
        <w:t>）安全性与规范性：附录</w:t>
      </w:r>
      <w:r>
        <w:t>B</w:t>
      </w:r>
      <w:r>
        <w:t>中关于安全注意事项、废弃物处理等内容的编写，严格遵循了</w:t>
      </w:r>
      <w:r>
        <w:t>GB/T 8321</w:t>
      </w:r>
      <w:r>
        <w:t>（所有部分）和</w:t>
      </w:r>
      <w:r>
        <w:t>NY/T 1276</w:t>
      </w:r>
      <w:r>
        <w:t>等国家标准和行业标准的强制性要求，确保了标准在技术先进的同时，兼具安全性和环保性。</w:t>
      </w:r>
    </w:p>
    <w:p w14:paraId="02B88964" w14:textId="77777777" w:rsidR="00493EB4" w:rsidRDefault="00795F6A">
      <w:pPr>
        <w:spacing w:line="580" w:lineRule="exact"/>
        <w:ind w:firstLineChars="200" w:firstLine="643"/>
        <w:rPr>
          <w:rFonts w:ascii="楷体" w:eastAsia="楷体" w:hAnsi="楷体" w:cs="楷体"/>
          <w:b/>
          <w:bCs/>
          <w:sz w:val="32"/>
          <w:szCs w:val="28"/>
          <w:lang w:val="zh-CN"/>
        </w:rPr>
      </w:pPr>
      <w:bookmarkStart w:id="10" w:name="_Toc19789047"/>
      <w:bookmarkStart w:id="11" w:name="_Toc24570430"/>
      <w:r>
        <w:rPr>
          <w:rFonts w:ascii="楷体" w:eastAsia="楷体" w:hAnsi="楷体" w:cs="楷体" w:hint="eastAsia"/>
          <w:b/>
          <w:bCs/>
          <w:sz w:val="32"/>
          <w:szCs w:val="28"/>
          <w:lang w:val="zh-CN"/>
        </w:rPr>
        <w:t>（三）等级条件</w:t>
      </w:r>
    </w:p>
    <w:p w14:paraId="603CCDA5" w14:textId="77777777" w:rsidR="00493EB4" w:rsidRDefault="00795F6A">
      <w:pPr>
        <w:spacing w:line="580" w:lineRule="exact"/>
        <w:ind w:firstLineChars="200" w:firstLine="640"/>
        <w:rPr>
          <w:rFonts w:ascii="仿宋_GB2312" w:eastAsia="仿宋_GB2312" w:hAnsi="宋体"/>
          <w:sz w:val="32"/>
          <w:szCs w:val="28"/>
        </w:rPr>
      </w:pPr>
      <w:r>
        <w:rPr>
          <w:rFonts w:ascii="仿宋_GB2312" w:eastAsia="仿宋_GB2312" w:hAnsi="宋体" w:hint="eastAsia"/>
          <w:sz w:val="32"/>
          <w:szCs w:val="28"/>
        </w:rPr>
        <w:t>参考广东省、云南省等地方标准，</w:t>
      </w:r>
      <w:proofErr w:type="gramStart"/>
      <w:r>
        <w:rPr>
          <w:rFonts w:ascii="仿宋_GB2312" w:eastAsia="仿宋_GB2312" w:hAnsi="宋体" w:hint="eastAsia"/>
          <w:sz w:val="32"/>
          <w:szCs w:val="28"/>
        </w:rPr>
        <w:t>薇</w:t>
      </w:r>
      <w:proofErr w:type="gramEnd"/>
      <w:r>
        <w:rPr>
          <w:rFonts w:ascii="仿宋_GB2312" w:eastAsia="仿宋_GB2312" w:hAnsi="宋体" w:hint="eastAsia"/>
          <w:sz w:val="32"/>
          <w:szCs w:val="28"/>
        </w:rPr>
        <w:t>甘菊监测防治</w:t>
      </w:r>
      <w:r>
        <w:rPr>
          <w:rFonts w:ascii="仿宋_GB2312" w:eastAsia="仿宋_GB2312" w:hAnsi="宋体" w:hint="eastAsia"/>
          <w:sz w:val="32"/>
          <w:szCs w:val="28"/>
          <w:lang w:val="zh-CN"/>
        </w:rPr>
        <w:t>的等级条件包括法人营业执照内容、注册资金、防控队伍、技术力量、技术储备、办公及实验条件、仪器设备、方案编写能力、</w:t>
      </w:r>
      <w:r>
        <w:rPr>
          <w:rFonts w:ascii="仿宋_GB2312" w:eastAsia="仿宋_GB2312" w:hAnsi="宋体" w:hint="eastAsia"/>
          <w:sz w:val="32"/>
          <w:szCs w:val="28"/>
        </w:rPr>
        <w:t>入侵植物</w:t>
      </w:r>
      <w:r>
        <w:rPr>
          <w:rFonts w:ascii="仿宋_GB2312" w:eastAsia="仿宋_GB2312" w:hAnsi="宋体" w:hint="eastAsia"/>
          <w:sz w:val="32"/>
          <w:szCs w:val="28"/>
          <w:lang w:val="zh-CN"/>
        </w:rPr>
        <w:t>防治工作经历和业绩、管理制度和社</w:t>
      </w:r>
      <w:r>
        <w:rPr>
          <w:rFonts w:ascii="仿宋_GB2312" w:eastAsia="仿宋_GB2312" w:hAnsi="宋体" w:hint="eastAsia"/>
          <w:sz w:val="32"/>
          <w:szCs w:val="28"/>
          <w:lang w:val="zh-CN"/>
        </w:rPr>
        <w:t>会声誉等</w:t>
      </w:r>
      <w:r>
        <w:rPr>
          <w:rFonts w:ascii="仿宋_GB2312" w:eastAsia="仿宋_GB2312" w:hAnsi="宋体" w:hint="eastAsia"/>
          <w:sz w:val="32"/>
          <w:szCs w:val="28"/>
        </w:rPr>
        <w:t>条件</w:t>
      </w:r>
      <w:r>
        <w:rPr>
          <w:rFonts w:ascii="仿宋_GB2312" w:eastAsia="仿宋_GB2312" w:hAnsi="宋体" w:hint="eastAsia"/>
          <w:sz w:val="32"/>
          <w:szCs w:val="28"/>
          <w:lang w:val="zh-CN"/>
        </w:rPr>
        <w:t>。</w:t>
      </w:r>
    </w:p>
    <w:p w14:paraId="0AA57694" w14:textId="77777777" w:rsidR="00493EB4" w:rsidRDefault="00795F6A">
      <w:pPr>
        <w:spacing w:line="580" w:lineRule="exact"/>
        <w:ind w:firstLineChars="200" w:firstLine="643"/>
        <w:rPr>
          <w:rFonts w:ascii="楷体" w:eastAsia="楷体" w:hAnsi="楷体" w:cs="楷体"/>
          <w:b/>
          <w:bCs/>
          <w:sz w:val="32"/>
          <w:szCs w:val="28"/>
        </w:rPr>
      </w:pPr>
      <w:r>
        <w:rPr>
          <w:rFonts w:ascii="楷体" w:eastAsia="楷体" w:hAnsi="楷体" w:cs="楷体" w:hint="eastAsia"/>
          <w:b/>
          <w:bCs/>
          <w:sz w:val="32"/>
          <w:szCs w:val="28"/>
          <w:lang w:val="zh-CN"/>
        </w:rPr>
        <w:t>（四）等级技术指标及参数确定</w:t>
      </w:r>
    </w:p>
    <w:p w14:paraId="3C1BD044" w14:textId="77777777" w:rsidR="00493EB4" w:rsidRDefault="00795F6A">
      <w:pPr>
        <w:spacing w:line="580" w:lineRule="exact"/>
        <w:ind w:firstLineChars="200" w:firstLine="640"/>
        <w:rPr>
          <w:rFonts w:ascii="仿宋_GB2312" w:eastAsia="仿宋_GB2312" w:hAnsi="宋体"/>
          <w:sz w:val="32"/>
          <w:szCs w:val="28"/>
        </w:rPr>
      </w:pPr>
      <w:r>
        <w:rPr>
          <w:rFonts w:ascii="仿宋_GB2312" w:eastAsia="仿宋_GB2312" w:hAnsi="宋体" w:hint="eastAsia"/>
          <w:sz w:val="32"/>
          <w:szCs w:val="28"/>
          <w:lang w:val="zh-CN"/>
        </w:rPr>
        <w:t>标准编制工作组</w:t>
      </w:r>
      <w:r>
        <w:rPr>
          <w:rFonts w:ascii="仿宋_GB2312" w:eastAsia="仿宋_GB2312" w:hAnsi="宋体" w:hint="eastAsia"/>
          <w:sz w:val="32"/>
          <w:szCs w:val="28"/>
        </w:rPr>
        <w:t>进行了细致的调研，主要调研组织有专业技术队伍、监测防治设备、办公检测试验场地、业绩情况及社会信用等。经统计对比分析，广西壮族自治区国有博白林场全部条件符合。</w:t>
      </w:r>
      <w:bookmarkStart w:id="12" w:name="_Toc24570431"/>
      <w:bookmarkStart w:id="13" w:name="_Toc19789048"/>
      <w:bookmarkEnd w:id="10"/>
      <w:bookmarkEnd w:id="11"/>
    </w:p>
    <w:p w14:paraId="75688404" w14:textId="77777777" w:rsidR="00493EB4" w:rsidRDefault="00795F6A">
      <w:pPr>
        <w:spacing w:line="580" w:lineRule="exact"/>
        <w:ind w:firstLineChars="200" w:firstLine="643"/>
        <w:rPr>
          <w:rFonts w:ascii="楷体" w:eastAsia="楷体" w:hAnsi="楷体" w:cs="楷体"/>
          <w:b/>
          <w:bCs/>
          <w:sz w:val="32"/>
          <w:szCs w:val="28"/>
          <w:lang w:val="zh-CN"/>
        </w:rPr>
      </w:pPr>
      <w:r>
        <w:rPr>
          <w:rFonts w:ascii="楷体" w:eastAsia="楷体" w:hAnsi="楷体" w:cs="楷体" w:hint="eastAsia"/>
          <w:b/>
          <w:bCs/>
          <w:sz w:val="32"/>
          <w:szCs w:val="28"/>
        </w:rPr>
        <w:t>（五）</w:t>
      </w:r>
      <w:r>
        <w:rPr>
          <w:rFonts w:ascii="楷体" w:eastAsia="楷体" w:hAnsi="楷体" w:cs="楷体" w:hint="eastAsia"/>
          <w:b/>
          <w:bCs/>
          <w:sz w:val="32"/>
          <w:szCs w:val="28"/>
          <w:lang w:val="zh-CN"/>
        </w:rPr>
        <w:t>等级认定</w:t>
      </w:r>
      <w:bookmarkEnd w:id="12"/>
      <w:bookmarkEnd w:id="13"/>
    </w:p>
    <w:p w14:paraId="200E99DD"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等级认定包括提交申请材料及材料受理与认定。</w:t>
      </w:r>
    </w:p>
    <w:p w14:paraId="15E4D584"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申请材料需提交</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甘菊防治组织等级申请表、防控队伍、技术力量、技术储备、办公及实验条件、仪器设备、方案编写能力、</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甘菊监测及防治工作经历和业绩、管理制度和社会声誉等证明材料。</w:t>
      </w:r>
    </w:p>
    <w:p w14:paraId="288D1714"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防治作业组织、监理组织的</w:t>
      </w:r>
      <w:r>
        <w:rPr>
          <w:rFonts w:ascii="仿宋_GB2312" w:eastAsia="仿宋_GB2312" w:hAnsi="宋体" w:hint="eastAsia"/>
          <w:sz w:val="32"/>
          <w:szCs w:val="28"/>
        </w:rPr>
        <w:t>等级</w:t>
      </w:r>
      <w:r>
        <w:rPr>
          <w:rFonts w:ascii="仿宋_GB2312" w:eastAsia="仿宋_GB2312" w:hAnsi="宋体" w:hint="eastAsia"/>
          <w:sz w:val="32"/>
          <w:szCs w:val="28"/>
          <w:lang w:val="zh-CN"/>
        </w:rPr>
        <w:t>申报材料由</w:t>
      </w:r>
      <w:r>
        <w:rPr>
          <w:rFonts w:ascii="仿宋_GB2312" w:eastAsia="仿宋_GB2312" w:hAnsi="宋体" w:hint="eastAsia"/>
          <w:sz w:val="32"/>
          <w:szCs w:val="28"/>
        </w:rPr>
        <w:t>广西</w:t>
      </w:r>
      <w:r>
        <w:rPr>
          <w:rFonts w:ascii="仿宋_GB2312" w:eastAsia="仿宋_GB2312" w:hAnsi="宋体" w:hint="eastAsia"/>
          <w:sz w:val="32"/>
          <w:szCs w:val="28"/>
          <w:lang w:val="zh-CN"/>
        </w:rPr>
        <w:t>林学</w:t>
      </w:r>
      <w:proofErr w:type="gramStart"/>
      <w:r>
        <w:rPr>
          <w:rFonts w:ascii="仿宋_GB2312" w:eastAsia="仿宋_GB2312" w:hAnsi="宋体" w:hint="eastAsia"/>
          <w:sz w:val="32"/>
          <w:szCs w:val="28"/>
          <w:lang w:val="zh-CN"/>
        </w:rPr>
        <w:t>会森保专业</w:t>
      </w:r>
      <w:proofErr w:type="gramEnd"/>
      <w:r>
        <w:rPr>
          <w:rFonts w:ascii="仿宋_GB2312" w:eastAsia="仿宋_GB2312" w:hAnsi="宋体" w:hint="eastAsia"/>
          <w:sz w:val="32"/>
          <w:szCs w:val="28"/>
          <w:lang w:val="zh-CN"/>
        </w:rPr>
        <w:t>委员会受理，</w:t>
      </w:r>
      <w:r>
        <w:rPr>
          <w:rFonts w:ascii="仿宋_GB2312" w:eastAsia="仿宋_GB2312" w:hAnsi="宋体" w:hint="eastAsia"/>
          <w:sz w:val="32"/>
          <w:szCs w:val="28"/>
        </w:rPr>
        <w:t>广西</w:t>
      </w:r>
      <w:r>
        <w:rPr>
          <w:rFonts w:ascii="仿宋_GB2312" w:eastAsia="仿宋_GB2312" w:hAnsi="宋体" w:hint="eastAsia"/>
          <w:sz w:val="32"/>
          <w:szCs w:val="28"/>
          <w:lang w:val="zh-CN"/>
        </w:rPr>
        <w:t>林学</w:t>
      </w:r>
      <w:proofErr w:type="gramStart"/>
      <w:r>
        <w:rPr>
          <w:rFonts w:ascii="仿宋_GB2312" w:eastAsia="仿宋_GB2312" w:hAnsi="宋体" w:hint="eastAsia"/>
          <w:sz w:val="32"/>
          <w:szCs w:val="28"/>
          <w:lang w:val="zh-CN"/>
        </w:rPr>
        <w:t>会森保专业</w:t>
      </w:r>
      <w:proofErr w:type="gramEnd"/>
      <w:r>
        <w:rPr>
          <w:rFonts w:ascii="仿宋_GB2312" w:eastAsia="仿宋_GB2312" w:hAnsi="宋体" w:hint="eastAsia"/>
          <w:sz w:val="32"/>
          <w:szCs w:val="28"/>
          <w:lang w:val="zh-CN"/>
        </w:rPr>
        <w:t>委员会按有关程序进行等级认定并核发等级证书。</w:t>
      </w:r>
    </w:p>
    <w:p w14:paraId="10A788C2" w14:textId="77777777" w:rsidR="00493EB4" w:rsidRDefault="00795F6A">
      <w:pPr>
        <w:spacing w:line="580" w:lineRule="exact"/>
        <w:ind w:firstLineChars="200" w:firstLine="643"/>
        <w:rPr>
          <w:rFonts w:ascii="楷体" w:eastAsia="楷体" w:hAnsi="楷体" w:cs="楷体"/>
          <w:b/>
          <w:bCs/>
          <w:sz w:val="32"/>
          <w:szCs w:val="28"/>
          <w:lang w:val="zh-CN"/>
        </w:rPr>
      </w:pPr>
      <w:r>
        <w:rPr>
          <w:rFonts w:ascii="楷体" w:eastAsia="楷体" w:hAnsi="楷体" w:cs="楷体" w:hint="eastAsia"/>
          <w:b/>
          <w:bCs/>
          <w:sz w:val="32"/>
          <w:szCs w:val="28"/>
        </w:rPr>
        <w:t>（六）</w:t>
      </w:r>
      <w:r>
        <w:rPr>
          <w:rFonts w:ascii="楷体" w:eastAsia="楷体" w:hAnsi="楷体" w:cs="楷体" w:hint="eastAsia"/>
          <w:b/>
          <w:bCs/>
          <w:sz w:val="32"/>
          <w:szCs w:val="28"/>
          <w:lang w:val="zh-CN"/>
        </w:rPr>
        <w:t>管理与监督</w:t>
      </w:r>
    </w:p>
    <w:p w14:paraId="03B75793"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rPr>
        <w:lastRenderedPageBreak/>
        <w:t>明确</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甘菊监测及防治作业组织，确定</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甘菊监测及防治作业组织等级有效期，到期验审、升级申请、降级或</w:t>
      </w:r>
      <w:r>
        <w:rPr>
          <w:rFonts w:ascii="仿宋_GB2312" w:eastAsia="仿宋_GB2312" w:hAnsi="宋体" w:hint="eastAsia"/>
          <w:sz w:val="32"/>
          <w:szCs w:val="28"/>
        </w:rPr>
        <w:t>撤销</w:t>
      </w:r>
      <w:r>
        <w:rPr>
          <w:rFonts w:ascii="仿宋_GB2312" w:eastAsia="仿宋_GB2312" w:hAnsi="宋体" w:hint="eastAsia"/>
          <w:sz w:val="32"/>
          <w:szCs w:val="28"/>
          <w:lang w:val="zh-CN"/>
        </w:rPr>
        <w:t>等事项。</w:t>
      </w:r>
    </w:p>
    <w:p w14:paraId="7EEB7FF9" w14:textId="77777777" w:rsidR="00493EB4" w:rsidRDefault="00795F6A">
      <w:pPr>
        <w:spacing w:line="580" w:lineRule="exact"/>
        <w:ind w:firstLineChars="200" w:firstLine="643"/>
        <w:rPr>
          <w:rFonts w:ascii="楷体" w:eastAsia="楷体" w:hAnsi="楷体" w:cs="楷体"/>
          <w:b/>
          <w:bCs/>
          <w:sz w:val="32"/>
          <w:szCs w:val="28"/>
          <w:lang w:val="zh-CN"/>
        </w:rPr>
      </w:pPr>
      <w:bookmarkStart w:id="14" w:name="_Toc19789049"/>
      <w:bookmarkStart w:id="15" w:name="_Toc24570432"/>
      <w:r>
        <w:rPr>
          <w:rFonts w:ascii="楷体" w:eastAsia="楷体" w:hAnsi="楷体" w:cs="楷体" w:hint="eastAsia"/>
          <w:b/>
          <w:bCs/>
          <w:sz w:val="32"/>
          <w:szCs w:val="28"/>
          <w:lang w:val="zh-CN"/>
        </w:rPr>
        <w:t>（七）业务范围</w:t>
      </w:r>
      <w:bookmarkEnd w:id="14"/>
      <w:bookmarkEnd w:id="15"/>
    </w:p>
    <w:p w14:paraId="2518C810" w14:textId="77777777" w:rsidR="00493EB4" w:rsidRDefault="00795F6A">
      <w:pPr>
        <w:spacing w:line="580" w:lineRule="exact"/>
        <w:ind w:firstLineChars="200" w:firstLine="640"/>
        <w:rPr>
          <w:rFonts w:eastAsia="黑体"/>
        </w:rPr>
      </w:pPr>
      <w:r>
        <w:rPr>
          <w:rFonts w:ascii="仿宋_GB2312" w:eastAsia="仿宋_GB2312" w:hAnsi="宋体" w:hint="eastAsia"/>
          <w:sz w:val="32"/>
          <w:szCs w:val="28"/>
        </w:rPr>
        <w:t>明确了不同</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甘菊监测及防治业务范围，包括实施面积、项目资金规模等，便于规范</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甘菊监测及防治市场，保证</w:t>
      </w:r>
      <w:proofErr w:type="gramStart"/>
      <w:r>
        <w:rPr>
          <w:rFonts w:ascii="仿宋_GB2312" w:eastAsia="仿宋_GB2312" w:hAnsi="宋体" w:hint="eastAsia"/>
          <w:sz w:val="32"/>
          <w:szCs w:val="28"/>
        </w:rPr>
        <w:t>薇</w:t>
      </w:r>
      <w:proofErr w:type="gramEnd"/>
      <w:r>
        <w:rPr>
          <w:rFonts w:ascii="仿宋_GB2312" w:eastAsia="仿宋_GB2312" w:hAnsi="宋体" w:hint="eastAsia"/>
          <w:sz w:val="32"/>
          <w:szCs w:val="28"/>
        </w:rPr>
        <w:t>甘菊防控成效。</w:t>
      </w:r>
    </w:p>
    <w:p w14:paraId="6E9E6542"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六、国内外标准制修订情况</w:t>
      </w:r>
    </w:p>
    <w:p w14:paraId="3622874C" w14:textId="77777777" w:rsidR="00493EB4" w:rsidRDefault="00795F6A">
      <w:pPr>
        <w:widowControl/>
        <w:ind w:firstLineChars="200" w:firstLine="640"/>
        <w:jc w:val="left"/>
        <w:rPr>
          <w:rFonts w:ascii="仿宋_GB2312" w:eastAsia="仿宋_GB2312" w:hAnsi="宋体"/>
          <w:sz w:val="32"/>
          <w:szCs w:val="28"/>
          <w:lang w:val="zh-CN"/>
        </w:rPr>
      </w:pPr>
      <w:r>
        <w:rPr>
          <w:rFonts w:ascii="仿宋_GB2312" w:eastAsia="仿宋_GB2312" w:hAnsi="宋体" w:hint="eastAsia"/>
          <w:sz w:val="32"/>
          <w:szCs w:val="28"/>
          <w:lang w:val="zh-CN"/>
        </w:rPr>
        <w:t>经查阅，</w:t>
      </w:r>
      <w:r>
        <w:rPr>
          <w:rFonts w:ascii="仿宋_GB2312" w:eastAsia="仿宋_GB2312" w:hAnsi="宋体" w:hint="eastAsia"/>
          <w:sz w:val="32"/>
          <w:szCs w:val="28"/>
        </w:rPr>
        <w:t>广西壮族自治区内暂无</w:t>
      </w:r>
      <w:r>
        <w:rPr>
          <w:rFonts w:ascii="仿宋_GB2312" w:eastAsia="仿宋_GB2312" w:hAnsi="宋体" w:hint="eastAsia"/>
          <w:sz w:val="32"/>
          <w:szCs w:val="28"/>
          <w:lang w:val="zh-CN"/>
        </w:rPr>
        <w:t>桉树人工林</w:t>
      </w:r>
      <w:proofErr w:type="gramStart"/>
      <w:r>
        <w:rPr>
          <w:rFonts w:ascii="仿宋_GB2312" w:eastAsia="仿宋_GB2312" w:hAnsi="宋体" w:hint="eastAsia"/>
          <w:sz w:val="32"/>
          <w:szCs w:val="28"/>
          <w:lang w:val="zh-CN"/>
        </w:rPr>
        <w:t>薇</w:t>
      </w:r>
      <w:proofErr w:type="gramEnd"/>
      <w:r>
        <w:rPr>
          <w:rFonts w:ascii="仿宋_GB2312" w:eastAsia="仿宋_GB2312" w:hAnsi="宋体" w:hint="eastAsia"/>
          <w:sz w:val="32"/>
          <w:szCs w:val="28"/>
          <w:lang w:val="zh-CN"/>
        </w:rPr>
        <w:t>甘菊监测及防治应用</w:t>
      </w:r>
      <w:r>
        <w:rPr>
          <w:rFonts w:ascii="仿宋_GB2312" w:eastAsia="仿宋_GB2312" w:hAnsi="宋体" w:hint="eastAsia"/>
          <w:sz w:val="32"/>
          <w:szCs w:val="28"/>
        </w:rPr>
        <w:t>标准</w:t>
      </w:r>
      <w:r>
        <w:rPr>
          <w:rFonts w:ascii="仿宋_GB2312" w:eastAsia="仿宋_GB2312" w:hAnsi="宋体" w:hint="eastAsia"/>
          <w:sz w:val="32"/>
          <w:szCs w:val="28"/>
          <w:lang w:val="zh-CN"/>
        </w:rPr>
        <w:t>。</w:t>
      </w:r>
    </w:p>
    <w:p w14:paraId="08A81B5B"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七、重大分歧意见处理经过和依据</w:t>
      </w:r>
    </w:p>
    <w:p w14:paraId="2633DA18"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本标准研制过程中无重大分歧意见。</w:t>
      </w:r>
    </w:p>
    <w:p w14:paraId="734B287A"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八</w:t>
      </w:r>
      <w:r>
        <w:rPr>
          <w:rFonts w:ascii="黑体" w:eastAsia="黑体" w:hAnsi="黑体" w:cs="黑体"/>
          <w:bCs/>
          <w:sz w:val="32"/>
          <w:szCs w:val="32"/>
        </w:rPr>
        <w:t>、</w:t>
      </w:r>
      <w:r>
        <w:rPr>
          <w:rFonts w:ascii="黑体" w:eastAsia="黑体" w:hAnsi="黑体" w:cs="黑体" w:hint="eastAsia"/>
          <w:bCs/>
          <w:sz w:val="32"/>
          <w:szCs w:val="32"/>
        </w:rPr>
        <w:t>实施标准的措施</w:t>
      </w:r>
    </w:p>
    <w:p w14:paraId="201158CF" w14:textId="77777777" w:rsidR="00493EB4" w:rsidRDefault="00795F6A">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本标准发布后，建议由行政主管部门和起草单位组织宣传和实施，由提出单位实施监督。建议由标准提出单位和起草单位邀请标准相关单位、媒体等召开标准发布会，对标准进行宣传推广；建议由起草单位以及行政主管部门组织相关人员对该标准进行宣传培训，对标准规范逐条进行详细解读，让我区桉树人工林</w:t>
      </w:r>
      <w:proofErr w:type="gramStart"/>
      <w:r>
        <w:rPr>
          <w:rFonts w:ascii="仿宋_GB2312" w:eastAsia="仿宋_GB2312" w:hAnsi="宋体" w:hint="eastAsia"/>
          <w:sz w:val="32"/>
          <w:szCs w:val="32"/>
        </w:rPr>
        <w:t>薇</w:t>
      </w:r>
      <w:proofErr w:type="gramEnd"/>
      <w:r>
        <w:rPr>
          <w:rFonts w:ascii="仿宋_GB2312" w:eastAsia="仿宋_GB2312" w:hAnsi="宋体" w:hint="eastAsia"/>
          <w:sz w:val="32"/>
          <w:szCs w:val="32"/>
        </w:rPr>
        <w:t>甘菊监测及防治组织单位和参与</w:t>
      </w:r>
      <w:proofErr w:type="gramStart"/>
      <w:r>
        <w:rPr>
          <w:rFonts w:ascii="仿宋_GB2312" w:eastAsia="仿宋_GB2312" w:hAnsi="宋体" w:hint="eastAsia"/>
          <w:sz w:val="32"/>
          <w:szCs w:val="32"/>
        </w:rPr>
        <w:t>薇</w:t>
      </w:r>
      <w:proofErr w:type="gramEnd"/>
      <w:r>
        <w:rPr>
          <w:rFonts w:ascii="仿宋_GB2312" w:eastAsia="仿宋_GB2312" w:hAnsi="宋体" w:hint="eastAsia"/>
          <w:sz w:val="32"/>
          <w:szCs w:val="32"/>
        </w:rPr>
        <w:t>甘菊防治工作的防治，全面了解标准规范，便于该标准推广实施。</w:t>
      </w:r>
    </w:p>
    <w:p w14:paraId="47AC72AB" w14:textId="77777777" w:rsidR="00493EB4" w:rsidRDefault="00795F6A">
      <w:pPr>
        <w:spacing w:line="580" w:lineRule="exact"/>
        <w:ind w:firstLineChars="200" w:firstLine="640"/>
        <w:rPr>
          <w:rFonts w:ascii="黑体" w:eastAsia="黑体" w:hAnsi="黑体" w:cs="黑体"/>
          <w:bCs/>
          <w:sz w:val="32"/>
          <w:szCs w:val="32"/>
        </w:rPr>
      </w:pPr>
      <w:r>
        <w:rPr>
          <w:rFonts w:ascii="黑体" w:eastAsia="黑体" w:hAnsi="黑体" w:cs="黑体" w:hint="eastAsia"/>
          <w:bCs/>
          <w:sz w:val="32"/>
          <w:szCs w:val="32"/>
        </w:rPr>
        <w:t>九、自我承诺</w:t>
      </w:r>
    </w:p>
    <w:p w14:paraId="5F9305D5" w14:textId="77777777" w:rsidR="00493EB4" w:rsidRDefault="00795F6A">
      <w:pPr>
        <w:spacing w:line="580" w:lineRule="exact"/>
        <w:ind w:firstLineChars="200" w:firstLine="640"/>
        <w:rPr>
          <w:rFonts w:ascii="仿宋_GB2312" w:eastAsia="仿宋_GB2312" w:hAnsi="宋体"/>
          <w:sz w:val="32"/>
          <w:szCs w:val="28"/>
          <w:lang w:val="zh-CN"/>
        </w:rPr>
      </w:pPr>
      <w:r>
        <w:rPr>
          <w:rFonts w:ascii="仿宋_GB2312" w:eastAsia="仿宋_GB2312" w:hAnsi="宋体" w:hint="eastAsia"/>
          <w:sz w:val="32"/>
          <w:szCs w:val="28"/>
          <w:lang w:val="zh-CN"/>
        </w:rPr>
        <w:t>本标准内容与各项指标不低于强制性标准要求。</w:t>
      </w:r>
    </w:p>
    <w:p w14:paraId="679AEAA8" w14:textId="77777777" w:rsidR="00493EB4" w:rsidRDefault="00795F6A">
      <w:pPr>
        <w:spacing w:line="580" w:lineRule="exact"/>
        <w:ind w:firstLineChars="200" w:firstLine="560"/>
        <w:rPr>
          <w:rFonts w:ascii="仿宋_GB2312" w:eastAsia="仿宋_GB2312" w:hAnsi="宋体"/>
          <w:sz w:val="28"/>
          <w:szCs w:val="32"/>
          <w:lang w:val="zh-CN"/>
        </w:rPr>
      </w:pPr>
      <w:r>
        <w:rPr>
          <w:rFonts w:ascii="仿宋_GB2312" w:eastAsia="仿宋_GB2312" w:hAnsi="宋体" w:hint="eastAsia"/>
          <w:sz w:val="28"/>
          <w:szCs w:val="32"/>
          <w:lang w:val="zh-CN"/>
        </w:rPr>
        <w:t xml:space="preserve">     </w:t>
      </w:r>
    </w:p>
    <w:p w14:paraId="6AAE6280" w14:textId="77777777" w:rsidR="00493EB4" w:rsidRDefault="00493EB4">
      <w:pPr>
        <w:spacing w:line="580" w:lineRule="exact"/>
        <w:ind w:firstLineChars="200" w:firstLine="560"/>
        <w:rPr>
          <w:rFonts w:ascii="仿宋_GB2312" w:eastAsia="仿宋_GB2312" w:hAnsi="宋体"/>
          <w:sz w:val="28"/>
          <w:szCs w:val="32"/>
          <w:lang w:val="zh-CN"/>
        </w:rPr>
      </w:pPr>
    </w:p>
    <w:p w14:paraId="0373E234" w14:textId="77777777" w:rsidR="00493EB4" w:rsidRDefault="00795F6A">
      <w:pPr>
        <w:spacing w:line="580" w:lineRule="exact"/>
        <w:ind w:left="5760" w:hangingChars="1800" w:hanging="5760"/>
        <w:jc w:val="right"/>
        <w:rPr>
          <w:rFonts w:ascii="仿宋_GB2312" w:eastAsia="仿宋_GB2312" w:hAnsi="宋体"/>
          <w:sz w:val="32"/>
          <w:szCs w:val="28"/>
          <w:lang w:val="zh-CN"/>
        </w:rPr>
      </w:pPr>
      <w:r>
        <w:rPr>
          <w:rFonts w:ascii="仿宋_GB2312" w:eastAsia="仿宋_GB2312" w:hAnsi="宋体" w:hint="eastAsia"/>
          <w:sz w:val="32"/>
          <w:szCs w:val="28"/>
          <w:lang w:val="zh-CN"/>
        </w:rPr>
        <w:lastRenderedPageBreak/>
        <w:t>团体标准《桉树人工林薇甘菊防治技术规程》标准编制小组</w:t>
      </w:r>
    </w:p>
    <w:p w14:paraId="70BCB84B" w14:textId="77777777" w:rsidR="00493EB4" w:rsidRDefault="00795F6A">
      <w:pPr>
        <w:wordWrap w:val="0"/>
        <w:spacing w:line="580" w:lineRule="exact"/>
        <w:ind w:left="5760" w:hangingChars="1800" w:hanging="5760"/>
        <w:jc w:val="right"/>
        <w:rPr>
          <w:rFonts w:ascii="仿宋_GB2312" w:eastAsia="仿宋_GB2312" w:hAnsi="宋体"/>
          <w:sz w:val="32"/>
          <w:szCs w:val="28"/>
          <w:lang w:val="zh-CN"/>
        </w:rPr>
      </w:pPr>
      <w:r>
        <w:rPr>
          <w:rFonts w:ascii="仿宋_GB2312" w:eastAsia="仿宋_GB2312" w:hAnsi="宋体" w:hint="eastAsia"/>
          <w:sz w:val="32"/>
          <w:szCs w:val="28"/>
          <w:lang w:val="zh-CN"/>
        </w:rPr>
        <w:t>202</w:t>
      </w:r>
      <w:r>
        <w:rPr>
          <w:rFonts w:ascii="仿宋_GB2312" w:eastAsia="仿宋_GB2312" w:hAnsi="宋体" w:hint="eastAsia"/>
          <w:sz w:val="32"/>
          <w:szCs w:val="28"/>
        </w:rPr>
        <w:t>5</w:t>
      </w:r>
      <w:r>
        <w:rPr>
          <w:rFonts w:ascii="仿宋_GB2312" w:eastAsia="仿宋_GB2312" w:hAnsi="宋体" w:hint="eastAsia"/>
          <w:sz w:val="32"/>
          <w:szCs w:val="28"/>
          <w:lang w:val="zh-CN"/>
        </w:rPr>
        <w:t>年</w:t>
      </w:r>
      <w:r>
        <w:rPr>
          <w:rFonts w:ascii="仿宋_GB2312" w:eastAsia="仿宋_GB2312" w:hAnsi="宋体" w:hint="eastAsia"/>
          <w:sz w:val="32"/>
          <w:szCs w:val="28"/>
        </w:rPr>
        <w:t>5</w:t>
      </w:r>
      <w:r>
        <w:rPr>
          <w:rFonts w:ascii="仿宋_GB2312" w:eastAsia="仿宋_GB2312" w:hAnsi="宋体" w:hint="eastAsia"/>
          <w:sz w:val="32"/>
          <w:szCs w:val="28"/>
          <w:lang w:val="zh-CN"/>
        </w:rPr>
        <w:t>月</w:t>
      </w:r>
      <w:r>
        <w:rPr>
          <w:rFonts w:ascii="仿宋_GB2312" w:eastAsia="仿宋_GB2312" w:hAnsi="宋体" w:hint="eastAsia"/>
          <w:sz w:val="32"/>
          <w:szCs w:val="28"/>
        </w:rPr>
        <w:t>8</w:t>
      </w:r>
      <w:r>
        <w:rPr>
          <w:rFonts w:ascii="仿宋_GB2312" w:eastAsia="仿宋_GB2312" w:hAnsi="宋体" w:hint="eastAsia"/>
          <w:sz w:val="32"/>
          <w:szCs w:val="28"/>
          <w:lang w:val="zh-CN"/>
        </w:rPr>
        <w:t>日</w:t>
      </w:r>
      <w:r>
        <w:rPr>
          <w:rFonts w:ascii="仿宋_GB2312" w:eastAsia="仿宋_GB2312" w:hAnsi="宋体" w:hint="eastAsia"/>
          <w:sz w:val="32"/>
          <w:szCs w:val="28"/>
          <w:lang w:val="zh-CN"/>
        </w:rPr>
        <w:t xml:space="preserve"> </w:t>
      </w:r>
      <w:r>
        <w:rPr>
          <w:rFonts w:ascii="仿宋_GB2312" w:eastAsia="仿宋_GB2312" w:hAnsi="宋体"/>
          <w:sz w:val="32"/>
          <w:szCs w:val="28"/>
          <w:lang w:val="zh-CN"/>
        </w:rPr>
        <w:t xml:space="preserve">   </w:t>
      </w:r>
    </w:p>
    <w:sectPr w:rsidR="00493EB4">
      <w:footerReference w:type="default" r:id="rId8"/>
      <w:pgSz w:w="11906" w:h="16838"/>
      <w:pgMar w:top="1474" w:right="1247" w:bottom="1247" w:left="1474"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55D98" w14:textId="77777777" w:rsidR="00795F6A" w:rsidRDefault="00795F6A">
      <w:r>
        <w:separator/>
      </w:r>
    </w:p>
  </w:endnote>
  <w:endnote w:type="continuationSeparator" w:id="0">
    <w:p w14:paraId="37B3DBD8" w14:textId="77777777" w:rsidR="00795F6A" w:rsidRDefault="00795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方正小标宋_GBK">
    <w:altName w:val="微软雅黑"/>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12968"/>
    </w:sdtPr>
    <w:sdtEndPr/>
    <w:sdtContent>
      <w:p w14:paraId="166338E8" w14:textId="77777777" w:rsidR="00493EB4" w:rsidRDefault="00795F6A">
        <w:pPr>
          <w:pStyle w:val="afa"/>
          <w:jc w:val="center"/>
        </w:pPr>
        <w:r>
          <w:rPr>
            <w:rFonts w:ascii="宋体" w:hAnsi="宋体"/>
            <w:sz w:val="32"/>
            <w:szCs w:val="32"/>
          </w:rPr>
          <w:fldChar w:fldCharType="begin"/>
        </w:r>
        <w:r>
          <w:rPr>
            <w:rFonts w:ascii="宋体" w:hAnsi="宋体"/>
            <w:sz w:val="32"/>
            <w:szCs w:val="32"/>
          </w:rPr>
          <w:instrText xml:space="preserve"> PAGE   \* MERGEFORMAT </w:instrText>
        </w:r>
        <w:r>
          <w:rPr>
            <w:rFonts w:ascii="宋体" w:hAnsi="宋体"/>
            <w:sz w:val="32"/>
            <w:szCs w:val="32"/>
          </w:rPr>
          <w:fldChar w:fldCharType="separate"/>
        </w:r>
        <w:r w:rsidR="00406AC3" w:rsidRPr="00406AC3">
          <w:rPr>
            <w:rFonts w:ascii="宋体" w:hAnsi="宋体"/>
            <w:noProof/>
            <w:sz w:val="32"/>
            <w:szCs w:val="32"/>
            <w:lang w:val="zh-CN"/>
          </w:rPr>
          <w:t>14</w:t>
        </w:r>
        <w:r>
          <w:rPr>
            <w:rFonts w:ascii="宋体" w:hAnsi="宋体"/>
            <w:sz w:val="32"/>
            <w:szCs w:val="32"/>
          </w:rPr>
          <w:fldChar w:fldCharType="end"/>
        </w:r>
      </w:p>
    </w:sdtContent>
  </w:sdt>
  <w:p w14:paraId="06376B65" w14:textId="77777777" w:rsidR="00493EB4" w:rsidRDefault="00493EB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1EC439" w14:textId="77777777" w:rsidR="00795F6A" w:rsidRDefault="00795F6A">
      <w:r>
        <w:separator/>
      </w:r>
    </w:p>
  </w:footnote>
  <w:footnote w:type="continuationSeparator" w:id="0">
    <w:p w14:paraId="313C544F" w14:textId="77777777" w:rsidR="00795F6A" w:rsidRDefault="00795F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7EC27CF"/>
    <w:multiLevelType w:val="singleLevel"/>
    <w:tmpl w:val="F7EC27CF"/>
    <w:lvl w:ilvl="0">
      <w:start w:val="4"/>
      <w:numFmt w:val="chineseCounting"/>
      <w:pStyle w:val="a"/>
      <w:suff w:val="nothing"/>
      <w:lvlText w:val="（%1）"/>
      <w:lvlJc w:val="left"/>
      <w:rPr>
        <w:rFonts w:hint="eastAsia"/>
      </w:rPr>
    </w:lvl>
  </w:abstractNum>
  <w:abstractNum w:abstractNumId="1" w15:restartNumberingAfterBreak="0">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2"/>
      <w:suff w:val="nothing"/>
      <w:lvlText w:val="%1.%2.%3　"/>
      <w:lvlJc w:val="left"/>
      <w:pPr>
        <w:ind w:left="4361" w:firstLine="0"/>
      </w:pPr>
      <w:rPr>
        <w:rFonts w:ascii="黑体" w:eastAsia="黑体" w:hAnsi="Times New Roman" w:hint="eastAsia"/>
        <w:b w:val="0"/>
        <w:i w:val="0"/>
        <w:sz w:val="21"/>
      </w:rPr>
    </w:lvl>
    <w:lvl w:ilvl="3">
      <w:start w:val="1"/>
      <w:numFmt w:val="decimal"/>
      <w:pStyle w:val="a3"/>
      <w:suff w:val="nothing"/>
      <w:lvlText w:val="%1.%2.%3.%4　"/>
      <w:lvlJc w:val="left"/>
      <w:pPr>
        <w:ind w:left="0" w:firstLine="0"/>
      </w:pPr>
      <w:rPr>
        <w:rFonts w:ascii="黑体" w:eastAsia="黑体" w:hAnsi="Times New Roman" w:hint="eastAsia"/>
        <w:b w:val="0"/>
        <w:i w:val="0"/>
        <w:sz w:val="21"/>
      </w:rPr>
    </w:lvl>
    <w:lvl w:ilvl="4">
      <w:start w:val="1"/>
      <w:numFmt w:val="decimal"/>
      <w:pStyle w:val="a4"/>
      <w:suff w:val="nothing"/>
      <w:lvlText w:val="%1.%2.%3.%4.%5　"/>
      <w:lvlJc w:val="left"/>
      <w:pPr>
        <w:ind w:left="840" w:firstLine="0"/>
      </w:pPr>
      <w:rPr>
        <w:rFonts w:ascii="黑体" w:eastAsia="黑体" w:hAnsi="Times New Roman" w:hint="eastAsia"/>
        <w:b w:val="0"/>
        <w:i w:val="0"/>
        <w:sz w:val="21"/>
      </w:rPr>
    </w:lvl>
    <w:lvl w:ilvl="5">
      <w:start w:val="1"/>
      <w:numFmt w:val="decimal"/>
      <w:pStyle w:val="a5"/>
      <w:suff w:val="nothing"/>
      <w:lvlText w:val="%1.%2.%3.%4.%5.%6　"/>
      <w:lvlJc w:val="left"/>
      <w:pPr>
        <w:ind w:left="-420" w:firstLine="0"/>
      </w:pPr>
      <w:rPr>
        <w:rFonts w:ascii="黑体" w:eastAsia="黑体" w:hAnsi="Times New Roman" w:hint="eastAsia"/>
        <w:b w:val="0"/>
        <w:i w:val="0"/>
        <w:sz w:val="21"/>
      </w:rPr>
    </w:lvl>
    <w:lvl w:ilvl="6">
      <w:start w:val="1"/>
      <w:numFmt w:val="decimal"/>
      <w:suff w:val="nothing"/>
      <w:lvlText w:val="%1%2.%3.%4.%5.%6.%7　"/>
      <w:lvlJc w:val="left"/>
      <w:pPr>
        <w:ind w:left="-420" w:firstLine="0"/>
      </w:pPr>
      <w:rPr>
        <w:rFonts w:ascii="黑体" w:eastAsia="黑体" w:hAnsi="Times New Roman" w:hint="eastAsia"/>
        <w:b w:val="0"/>
        <w:i w:val="0"/>
        <w:sz w:val="21"/>
      </w:rPr>
    </w:lvl>
    <w:lvl w:ilvl="7">
      <w:start w:val="1"/>
      <w:numFmt w:val="decimal"/>
      <w:lvlText w:val="%1.%2.%3.%4.%5.%6.%7.%8"/>
      <w:lvlJc w:val="left"/>
      <w:pPr>
        <w:tabs>
          <w:tab w:val="left" w:pos="3931"/>
        </w:tabs>
        <w:ind w:left="3549" w:hanging="1418"/>
      </w:pPr>
      <w:rPr>
        <w:rFonts w:hint="eastAsia"/>
      </w:rPr>
    </w:lvl>
    <w:lvl w:ilvl="8">
      <w:start w:val="1"/>
      <w:numFmt w:val="decimal"/>
      <w:lvlText w:val="%1.%2.%3.%4.%5.%6.%7.%8.%9"/>
      <w:lvlJc w:val="left"/>
      <w:pPr>
        <w:tabs>
          <w:tab w:val="left" w:pos="4357"/>
        </w:tabs>
        <w:ind w:left="4257" w:hanging="1700"/>
      </w:pPr>
      <w:rPr>
        <w:rFonts w:hint="eastAsia"/>
      </w:rPr>
    </w:lvl>
  </w:abstractNum>
  <w:abstractNum w:abstractNumId="2" w15:restartNumberingAfterBreak="0">
    <w:nsid w:val="251538CD"/>
    <w:multiLevelType w:val="singleLevel"/>
    <w:tmpl w:val="251538CD"/>
    <w:lvl w:ilvl="0">
      <w:start w:val="3"/>
      <w:numFmt w:val="chineseCounting"/>
      <w:suff w:val="nothing"/>
      <w:lvlText w:val="（%1）"/>
      <w:lvlJc w:val="left"/>
      <w:pPr>
        <w:ind w:left="-13"/>
      </w:pPr>
      <w:rPr>
        <w:rFonts w:hint="eastAsia"/>
      </w:rPr>
    </w:lvl>
  </w:abstractNum>
  <w:abstractNum w:abstractNumId="3" w15:restartNumberingAfterBreak="0">
    <w:nsid w:val="2C5917C3"/>
    <w:multiLevelType w:val="multilevel"/>
    <w:tmpl w:val="2C5917C3"/>
    <w:lvl w:ilvl="0">
      <w:start w:val="1"/>
      <w:numFmt w:val="none"/>
      <w:pStyle w:val="a6"/>
      <w:lvlText w:val="%1——"/>
      <w:lvlJc w:val="left"/>
      <w:pPr>
        <w:tabs>
          <w:tab w:val="left" w:pos="851"/>
        </w:tabs>
        <w:ind w:left="851" w:hanging="426"/>
      </w:pPr>
      <w:rPr>
        <w:rFonts w:ascii="宋体" w:eastAsia="宋体" w:hAnsi="宋体" w:cs="宋体" w:hint="default"/>
        <w:b w:val="0"/>
        <w:i w:val="0"/>
        <w:sz w:val="32"/>
        <w:szCs w:val="32"/>
      </w:rPr>
    </w:lvl>
    <w:lvl w:ilvl="1">
      <w:start w:val="1"/>
      <w:numFmt w:val="none"/>
      <w:lvlText w:val=""/>
      <w:lvlJc w:val="left"/>
      <w:pPr>
        <w:ind w:left="851" w:hanging="431"/>
      </w:pPr>
      <w:rPr>
        <w:rFonts w:ascii="Symbol" w:hAnsi="Symbol" w:hint="default"/>
        <w:sz w:val="21"/>
      </w:rPr>
    </w:lvl>
    <w:lvl w:ilvl="2">
      <w:start w:val="1"/>
      <w:numFmt w:val="bullet"/>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4" w15:restartNumberingAfterBreak="0">
    <w:nsid w:val="3BD256AA"/>
    <w:multiLevelType w:val="singleLevel"/>
    <w:tmpl w:val="3BD256AA"/>
    <w:lvl w:ilvl="0">
      <w:start w:val="2"/>
      <w:numFmt w:val="chineseCounting"/>
      <w:suff w:val="nothing"/>
      <w:lvlText w:val="（%1）"/>
      <w:lvlJc w:val="left"/>
      <w:rPr>
        <w:rFonts w:hint="eastAsia"/>
      </w:rPr>
    </w:lvl>
  </w:abstractNum>
  <w:abstractNum w:abstractNumId="5" w15:restartNumberingAfterBreak="0">
    <w:nsid w:val="44C50F90"/>
    <w:multiLevelType w:val="multilevel"/>
    <w:tmpl w:val="44C50F90"/>
    <w:lvl w:ilvl="0">
      <w:start w:val="1"/>
      <w:numFmt w:val="lowerLetter"/>
      <w:pStyle w:val="a7"/>
      <w:lvlText w:val="%1)"/>
      <w:lvlJc w:val="left"/>
      <w:pPr>
        <w:tabs>
          <w:tab w:val="left" w:pos="840"/>
        </w:tabs>
        <w:ind w:left="839" w:hanging="419"/>
      </w:pPr>
      <w:rPr>
        <w:rFonts w:ascii="宋体" w:eastAsia="宋体" w:hint="eastAsia"/>
        <w:b w:val="0"/>
        <w:i w:val="0"/>
        <w:sz w:val="21"/>
        <w:szCs w:val="21"/>
      </w:rPr>
    </w:lvl>
    <w:lvl w:ilvl="1">
      <w:start w:val="1"/>
      <w:numFmt w:val="decimal"/>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6" w15:restartNumberingAfterBreak="0">
    <w:nsid w:val="5603797C"/>
    <w:multiLevelType w:val="multilevel"/>
    <w:tmpl w:val="5603797C"/>
    <w:lvl w:ilvl="0">
      <w:start w:val="1"/>
      <w:numFmt w:val="upperLetter"/>
      <w:pStyle w:val="a8"/>
      <w:suff w:val="space"/>
      <w:lvlText w:val="%1"/>
      <w:lvlJc w:val="left"/>
      <w:pPr>
        <w:ind w:left="425" w:hanging="425"/>
      </w:pPr>
      <w:rPr>
        <w:rFonts w:hint="eastAsia"/>
      </w:rPr>
    </w:lvl>
    <w:lvl w:ilvl="1">
      <w:start w:val="1"/>
      <w:numFmt w:val="decimal"/>
      <w:pStyle w:val="a9"/>
      <w:suff w:val="space"/>
      <w:lvlText w:val="表%1.%2"/>
      <w:lvlJc w:val="center"/>
      <w:pPr>
        <w:ind w:left="0"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646260FA"/>
    <w:multiLevelType w:val="multilevel"/>
    <w:tmpl w:val="646260FA"/>
    <w:lvl w:ilvl="0">
      <w:start w:val="1"/>
      <w:numFmt w:val="decimal"/>
      <w:pStyle w:val="aa"/>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8" w15:restartNumberingAfterBreak="0">
    <w:nsid w:val="6CEA2025"/>
    <w:multiLevelType w:val="multilevel"/>
    <w:tmpl w:val="6CEA2025"/>
    <w:lvl w:ilvl="0">
      <w:start w:val="1"/>
      <w:numFmt w:val="none"/>
      <w:pStyle w:val="ab"/>
      <w:suff w:val="nothing"/>
      <w:lvlText w:val="%1"/>
      <w:lvlJc w:val="left"/>
      <w:pPr>
        <w:ind w:left="0" w:firstLine="0"/>
      </w:pPr>
      <w:rPr>
        <w:rFonts w:hint="eastAsia"/>
      </w:rPr>
    </w:lvl>
    <w:lvl w:ilvl="1">
      <w:start w:val="1"/>
      <w:numFmt w:val="decimal"/>
      <w:pStyle w:val="ac"/>
      <w:suff w:val="nothing"/>
      <w:lvlText w:val="%1%2　"/>
      <w:lvlJc w:val="left"/>
      <w:pPr>
        <w:ind w:left="0" w:firstLine="0"/>
      </w:pPr>
      <w:rPr>
        <w:rFonts w:ascii="黑体" w:eastAsia="黑体" w:hint="eastAsia"/>
        <w:b w:val="0"/>
        <w:i w:val="0"/>
        <w:sz w:val="21"/>
      </w:rPr>
    </w:lvl>
    <w:lvl w:ilvl="2">
      <w:start w:val="1"/>
      <w:numFmt w:val="decimal"/>
      <w:pStyle w:val="a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e"/>
      <w:suff w:val="nothing"/>
      <w:lvlText w:val="%1%2.%3.%4　"/>
      <w:lvlJc w:val="left"/>
      <w:pPr>
        <w:ind w:left="0" w:firstLine="0"/>
      </w:pPr>
      <w:rPr>
        <w:rFonts w:ascii="黑体" w:eastAsia="黑体" w:hint="eastAsia"/>
        <w:b w:val="0"/>
        <w:i w:val="0"/>
        <w:sz w:val="21"/>
      </w:rPr>
    </w:lvl>
    <w:lvl w:ilvl="4">
      <w:start w:val="1"/>
      <w:numFmt w:val="decimal"/>
      <w:pStyle w:val="af"/>
      <w:suff w:val="nothing"/>
      <w:lvlText w:val="%1%2.%3.%4.%5　"/>
      <w:lvlJc w:val="left"/>
      <w:pPr>
        <w:ind w:left="0" w:firstLine="0"/>
      </w:pPr>
      <w:rPr>
        <w:rFonts w:ascii="黑体" w:eastAsia="黑体" w:hint="eastAsia"/>
        <w:b w:val="0"/>
        <w:i w:val="0"/>
        <w:sz w:val="21"/>
      </w:rPr>
    </w:lvl>
    <w:lvl w:ilvl="5">
      <w:start w:val="1"/>
      <w:numFmt w:val="decimal"/>
      <w:pStyle w:val="af0"/>
      <w:suff w:val="nothing"/>
      <w:lvlText w:val="%1%2.%3.%4.%5.%6　"/>
      <w:lvlJc w:val="left"/>
      <w:pPr>
        <w:ind w:left="0" w:firstLine="0"/>
      </w:pPr>
      <w:rPr>
        <w:rFonts w:ascii="黑体" w:eastAsia="黑体" w:hint="eastAsia"/>
        <w:b w:val="0"/>
        <w:i w:val="0"/>
        <w:sz w:val="21"/>
      </w:rPr>
    </w:lvl>
    <w:lvl w:ilvl="6">
      <w:start w:val="1"/>
      <w:numFmt w:val="decimal"/>
      <w:pStyle w:val="a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8"/>
  </w:num>
  <w:num w:numId="2">
    <w:abstractNumId w:val="1"/>
  </w:num>
  <w:num w:numId="3">
    <w:abstractNumId w:val="0"/>
  </w:num>
  <w:num w:numId="4">
    <w:abstractNumId w:val="7"/>
  </w:num>
  <w:num w:numId="5">
    <w:abstractNumId w:val="6"/>
  </w:num>
  <w:num w:numId="6">
    <w:abstractNumId w:val="5"/>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embedSystemFonts/>
  <w:bordersDoNotSurroundHeader/>
  <w:bordersDoNotSurroundFooter/>
  <w:proofState w:spelling="clean" w:grammar="clean"/>
  <w:defaultTabStop w:val="46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MwZjZlYWZmMDk4NTllNTQ5MDgwNjhkY2M2NGZhYmQifQ=="/>
  </w:docVars>
  <w:rsids>
    <w:rsidRoot w:val="52F40A7A"/>
    <w:rsid w:val="00002030"/>
    <w:rsid w:val="00004B01"/>
    <w:rsid w:val="00004C4A"/>
    <w:rsid w:val="000073E2"/>
    <w:rsid w:val="00010E6E"/>
    <w:rsid w:val="0001162D"/>
    <w:rsid w:val="0001346F"/>
    <w:rsid w:val="000172E1"/>
    <w:rsid w:val="00021C3C"/>
    <w:rsid w:val="00022A5F"/>
    <w:rsid w:val="000252AF"/>
    <w:rsid w:val="000252F8"/>
    <w:rsid w:val="000255B1"/>
    <w:rsid w:val="00031C67"/>
    <w:rsid w:val="00045D6D"/>
    <w:rsid w:val="00050D8A"/>
    <w:rsid w:val="00052EF2"/>
    <w:rsid w:val="00057AD3"/>
    <w:rsid w:val="00070361"/>
    <w:rsid w:val="00072AE1"/>
    <w:rsid w:val="00074C76"/>
    <w:rsid w:val="00075056"/>
    <w:rsid w:val="0008582A"/>
    <w:rsid w:val="000877AB"/>
    <w:rsid w:val="00091E34"/>
    <w:rsid w:val="00094586"/>
    <w:rsid w:val="00095094"/>
    <w:rsid w:val="00096D34"/>
    <w:rsid w:val="000A029B"/>
    <w:rsid w:val="000A1420"/>
    <w:rsid w:val="000A63E7"/>
    <w:rsid w:val="000A7A8C"/>
    <w:rsid w:val="000A7D1E"/>
    <w:rsid w:val="000B14A3"/>
    <w:rsid w:val="000B15F9"/>
    <w:rsid w:val="000B25F0"/>
    <w:rsid w:val="000C1B17"/>
    <w:rsid w:val="000C5234"/>
    <w:rsid w:val="000C7B94"/>
    <w:rsid w:val="000D092D"/>
    <w:rsid w:val="000D0936"/>
    <w:rsid w:val="000D2085"/>
    <w:rsid w:val="000D2512"/>
    <w:rsid w:val="000D4AA2"/>
    <w:rsid w:val="000D5D37"/>
    <w:rsid w:val="000D7675"/>
    <w:rsid w:val="000E68F4"/>
    <w:rsid w:val="000E6DEA"/>
    <w:rsid w:val="000F124B"/>
    <w:rsid w:val="000F3C96"/>
    <w:rsid w:val="000F51A4"/>
    <w:rsid w:val="000F5CC1"/>
    <w:rsid w:val="000F6FC5"/>
    <w:rsid w:val="000F7431"/>
    <w:rsid w:val="000F77A5"/>
    <w:rsid w:val="0010044B"/>
    <w:rsid w:val="0010459D"/>
    <w:rsid w:val="00106E48"/>
    <w:rsid w:val="001074C4"/>
    <w:rsid w:val="00113C15"/>
    <w:rsid w:val="00113EE6"/>
    <w:rsid w:val="0011771D"/>
    <w:rsid w:val="00122F32"/>
    <w:rsid w:val="00123812"/>
    <w:rsid w:val="001240E5"/>
    <w:rsid w:val="00127C38"/>
    <w:rsid w:val="00127DA2"/>
    <w:rsid w:val="0013283F"/>
    <w:rsid w:val="0014292D"/>
    <w:rsid w:val="00144CFD"/>
    <w:rsid w:val="00146E1F"/>
    <w:rsid w:val="00147F6F"/>
    <w:rsid w:val="00151C6D"/>
    <w:rsid w:val="00151FAB"/>
    <w:rsid w:val="00152E1B"/>
    <w:rsid w:val="001565C0"/>
    <w:rsid w:val="00164EB5"/>
    <w:rsid w:val="00166AEE"/>
    <w:rsid w:val="001670A9"/>
    <w:rsid w:val="001719CE"/>
    <w:rsid w:val="00171BE7"/>
    <w:rsid w:val="00172B0C"/>
    <w:rsid w:val="0017337C"/>
    <w:rsid w:val="0017654D"/>
    <w:rsid w:val="00176C27"/>
    <w:rsid w:val="001804FB"/>
    <w:rsid w:val="00184228"/>
    <w:rsid w:val="001901B7"/>
    <w:rsid w:val="00193030"/>
    <w:rsid w:val="00193D3F"/>
    <w:rsid w:val="00197E2B"/>
    <w:rsid w:val="001A129A"/>
    <w:rsid w:val="001A2C3B"/>
    <w:rsid w:val="001A44D7"/>
    <w:rsid w:val="001A4509"/>
    <w:rsid w:val="001A5698"/>
    <w:rsid w:val="001A60A2"/>
    <w:rsid w:val="001A7A69"/>
    <w:rsid w:val="001B03C8"/>
    <w:rsid w:val="001B08A5"/>
    <w:rsid w:val="001B08C8"/>
    <w:rsid w:val="001B28B9"/>
    <w:rsid w:val="001B4D6B"/>
    <w:rsid w:val="001C067E"/>
    <w:rsid w:val="001C0ABF"/>
    <w:rsid w:val="001C2136"/>
    <w:rsid w:val="001C4BEF"/>
    <w:rsid w:val="001C600B"/>
    <w:rsid w:val="001C7C32"/>
    <w:rsid w:val="001D0A9B"/>
    <w:rsid w:val="001D6DFB"/>
    <w:rsid w:val="001E0A61"/>
    <w:rsid w:val="001E2028"/>
    <w:rsid w:val="001E35AB"/>
    <w:rsid w:val="001E5046"/>
    <w:rsid w:val="0020008A"/>
    <w:rsid w:val="002008BD"/>
    <w:rsid w:val="002052DF"/>
    <w:rsid w:val="00205A58"/>
    <w:rsid w:val="002118F0"/>
    <w:rsid w:val="002139BA"/>
    <w:rsid w:val="00214A8A"/>
    <w:rsid w:val="0021627C"/>
    <w:rsid w:val="002242A4"/>
    <w:rsid w:val="00224C22"/>
    <w:rsid w:val="0022611B"/>
    <w:rsid w:val="002324AB"/>
    <w:rsid w:val="002362C7"/>
    <w:rsid w:val="00240DD0"/>
    <w:rsid w:val="00244076"/>
    <w:rsid w:val="00246898"/>
    <w:rsid w:val="0025067D"/>
    <w:rsid w:val="00253736"/>
    <w:rsid w:val="00255B2D"/>
    <w:rsid w:val="0025708A"/>
    <w:rsid w:val="00263F21"/>
    <w:rsid w:val="00265259"/>
    <w:rsid w:val="002722E9"/>
    <w:rsid w:val="00274817"/>
    <w:rsid w:val="002770E7"/>
    <w:rsid w:val="0028089D"/>
    <w:rsid w:val="00286F69"/>
    <w:rsid w:val="00294913"/>
    <w:rsid w:val="00295E77"/>
    <w:rsid w:val="00297CC4"/>
    <w:rsid w:val="00297DC0"/>
    <w:rsid w:val="002A1E5E"/>
    <w:rsid w:val="002A26BA"/>
    <w:rsid w:val="002A32D5"/>
    <w:rsid w:val="002A58A4"/>
    <w:rsid w:val="002A7EEE"/>
    <w:rsid w:val="002B656B"/>
    <w:rsid w:val="002C0A09"/>
    <w:rsid w:val="002C0A5C"/>
    <w:rsid w:val="002C18A8"/>
    <w:rsid w:val="002C2739"/>
    <w:rsid w:val="002C322D"/>
    <w:rsid w:val="002C5836"/>
    <w:rsid w:val="002D4945"/>
    <w:rsid w:val="002D6E7D"/>
    <w:rsid w:val="002D7CF5"/>
    <w:rsid w:val="002E3C13"/>
    <w:rsid w:val="002E4CF8"/>
    <w:rsid w:val="002E6378"/>
    <w:rsid w:val="002F1363"/>
    <w:rsid w:val="002F247A"/>
    <w:rsid w:val="002F2C24"/>
    <w:rsid w:val="002F4F22"/>
    <w:rsid w:val="00305AE4"/>
    <w:rsid w:val="0030658C"/>
    <w:rsid w:val="00306B56"/>
    <w:rsid w:val="003070BD"/>
    <w:rsid w:val="00310580"/>
    <w:rsid w:val="00313604"/>
    <w:rsid w:val="00320404"/>
    <w:rsid w:val="003230C1"/>
    <w:rsid w:val="0032577A"/>
    <w:rsid w:val="00332A60"/>
    <w:rsid w:val="00332CD2"/>
    <w:rsid w:val="0033374E"/>
    <w:rsid w:val="0033381E"/>
    <w:rsid w:val="00333E2F"/>
    <w:rsid w:val="00335735"/>
    <w:rsid w:val="00340AA6"/>
    <w:rsid w:val="003438F5"/>
    <w:rsid w:val="00343BA7"/>
    <w:rsid w:val="0034456A"/>
    <w:rsid w:val="00350542"/>
    <w:rsid w:val="0035100C"/>
    <w:rsid w:val="00361165"/>
    <w:rsid w:val="00371733"/>
    <w:rsid w:val="00382CF3"/>
    <w:rsid w:val="00384E7B"/>
    <w:rsid w:val="003855F8"/>
    <w:rsid w:val="00385DFC"/>
    <w:rsid w:val="00386773"/>
    <w:rsid w:val="00387783"/>
    <w:rsid w:val="0039067E"/>
    <w:rsid w:val="003A0912"/>
    <w:rsid w:val="003A7270"/>
    <w:rsid w:val="003B2175"/>
    <w:rsid w:val="003B5E20"/>
    <w:rsid w:val="003B624C"/>
    <w:rsid w:val="003C0F86"/>
    <w:rsid w:val="003C3CA4"/>
    <w:rsid w:val="003D35F5"/>
    <w:rsid w:val="003D593D"/>
    <w:rsid w:val="003E3F3F"/>
    <w:rsid w:val="003E3F52"/>
    <w:rsid w:val="003E42C1"/>
    <w:rsid w:val="003E7932"/>
    <w:rsid w:val="003F206F"/>
    <w:rsid w:val="003F7245"/>
    <w:rsid w:val="003F76C4"/>
    <w:rsid w:val="004000B9"/>
    <w:rsid w:val="00403C1F"/>
    <w:rsid w:val="004057CB"/>
    <w:rsid w:val="00406AC3"/>
    <w:rsid w:val="004071AD"/>
    <w:rsid w:val="00414772"/>
    <w:rsid w:val="00416771"/>
    <w:rsid w:val="0042060E"/>
    <w:rsid w:val="00423B26"/>
    <w:rsid w:val="00423DBE"/>
    <w:rsid w:val="00427AB0"/>
    <w:rsid w:val="00427E5F"/>
    <w:rsid w:val="00430FDB"/>
    <w:rsid w:val="00431613"/>
    <w:rsid w:val="00431D23"/>
    <w:rsid w:val="00431F05"/>
    <w:rsid w:val="004334C2"/>
    <w:rsid w:val="004364E4"/>
    <w:rsid w:val="004427FE"/>
    <w:rsid w:val="00442F39"/>
    <w:rsid w:val="00443C8F"/>
    <w:rsid w:val="00444343"/>
    <w:rsid w:val="004456FA"/>
    <w:rsid w:val="004460F2"/>
    <w:rsid w:val="004464EA"/>
    <w:rsid w:val="00446864"/>
    <w:rsid w:val="004476EC"/>
    <w:rsid w:val="00447ED7"/>
    <w:rsid w:val="00451866"/>
    <w:rsid w:val="00455DDE"/>
    <w:rsid w:val="00457D76"/>
    <w:rsid w:val="00467F5A"/>
    <w:rsid w:val="004714EA"/>
    <w:rsid w:val="00472AF8"/>
    <w:rsid w:val="00483264"/>
    <w:rsid w:val="00487AD3"/>
    <w:rsid w:val="00487CD5"/>
    <w:rsid w:val="00490B58"/>
    <w:rsid w:val="00493EB4"/>
    <w:rsid w:val="00495B49"/>
    <w:rsid w:val="004979F2"/>
    <w:rsid w:val="004A085B"/>
    <w:rsid w:val="004A558B"/>
    <w:rsid w:val="004A67D6"/>
    <w:rsid w:val="004A70D3"/>
    <w:rsid w:val="004A753C"/>
    <w:rsid w:val="004B3E07"/>
    <w:rsid w:val="004B546B"/>
    <w:rsid w:val="004B7836"/>
    <w:rsid w:val="004C0DEB"/>
    <w:rsid w:val="004C0F0C"/>
    <w:rsid w:val="004C13CE"/>
    <w:rsid w:val="004C3D65"/>
    <w:rsid w:val="004C4192"/>
    <w:rsid w:val="004C6640"/>
    <w:rsid w:val="004C6D83"/>
    <w:rsid w:val="004D0734"/>
    <w:rsid w:val="004D08F0"/>
    <w:rsid w:val="004D1A39"/>
    <w:rsid w:val="004E16F1"/>
    <w:rsid w:val="004E174F"/>
    <w:rsid w:val="004E2A80"/>
    <w:rsid w:val="004F35E4"/>
    <w:rsid w:val="004F632C"/>
    <w:rsid w:val="004F6563"/>
    <w:rsid w:val="004F6860"/>
    <w:rsid w:val="00500460"/>
    <w:rsid w:val="00501B35"/>
    <w:rsid w:val="00503679"/>
    <w:rsid w:val="00505174"/>
    <w:rsid w:val="00506E71"/>
    <w:rsid w:val="00507F69"/>
    <w:rsid w:val="00531BFC"/>
    <w:rsid w:val="00531E86"/>
    <w:rsid w:val="00533090"/>
    <w:rsid w:val="005334DC"/>
    <w:rsid w:val="00534C7A"/>
    <w:rsid w:val="00534E76"/>
    <w:rsid w:val="0054263E"/>
    <w:rsid w:val="00543432"/>
    <w:rsid w:val="00543CD4"/>
    <w:rsid w:val="00546648"/>
    <w:rsid w:val="00550AA4"/>
    <w:rsid w:val="00552387"/>
    <w:rsid w:val="0055581B"/>
    <w:rsid w:val="00555B17"/>
    <w:rsid w:val="00556950"/>
    <w:rsid w:val="0055791F"/>
    <w:rsid w:val="005626B0"/>
    <w:rsid w:val="00563A69"/>
    <w:rsid w:val="005742A0"/>
    <w:rsid w:val="00575CAC"/>
    <w:rsid w:val="0058057F"/>
    <w:rsid w:val="0058337F"/>
    <w:rsid w:val="00584AE2"/>
    <w:rsid w:val="00584E25"/>
    <w:rsid w:val="00585D6E"/>
    <w:rsid w:val="00586207"/>
    <w:rsid w:val="00587573"/>
    <w:rsid w:val="00596018"/>
    <w:rsid w:val="005A03D0"/>
    <w:rsid w:val="005A22BD"/>
    <w:rsid w:val="005A47E5"/>
    <w:rsid w:val="005A4D84"/>
    <w:rsid w:val="005A56FC"/>
    <w:rsid w:val="005A75B7"/>
    <w:rsid w:val="005B08D7"/>
    <w:rsid w:val="005B1C23"/>
    <w:rsid w:val="005B2C83"/>
    <w:rsid w:val="005B4F6A"/>
    <w:rsid w:val="005C01D0"/>
    <w:rsid w:val="005C240D"/>
    <w:rsid w:val="005C39D5"/>
    <w:rsid w:val="005D0EE5"/>
    <w:rsid w:val="005D5823"/>
    <w:rsid w:val="005E18D3"/>
    <w:rsid w:val="005E2FE1"/>
    <w:rsid w:val="005E509C"/>
    <w:rsid w:val="005F02EE"/>
    <w:rsid w:val="00601416"/>
    <w:rsid w:val="00603C54"/>
    <w:rsid w:val="00604982"/>
    <w:rsid w:val="00605579"/>
    <w:rsid w:val="00606685"/>
    <w:rsid w:val="006117A9"/>
    <w:rsid w:val="006179DF"/>
    <w:rsid w:val="006220ED"/>
    <w:rsid w:val="00622C50"/>
    <w:rsid w:val="006251E7"/>
    <w:rsid w:val="006255F6"/>
    <w:rsid w:val="006255FF"/>
    <w:rsid w:val="0062579B"/>
    <w:rsid w:val="00625952"/>
    <w:rsid w:val="00630EE0"/>
    <w:rsid w:val="006322F0"/>
    <w:rsid w:val="0063304D"/>
    <w:rsid w:val="00634F18"/>
    <w:rsid w:val="0063510B"/>
    <w:rsid w:val="006374FE"/>
    <w:rsid w:val="00637EE1"/>
    <w:rsid w:val="00643931"/>
    <w:rsid w:val="00643DC2"/>
    <w:rsid w:val="00645B65"/>
    <w:rsid w:val="00647A52"/>
    <w:rsid w:val="00657118"/>
    <w:rsid w:val="00657EE4"/>
    <w:rsid w:val="00663A2D"/>
    <w:rsid w:val="006651FC"/>
    <w:rsid w:val="00676521"/>
    <w:rsid w:val="00676728"/>
    <w:rsid w:val="00676AA0"/>
    <w:rsid w:val="00683E8F"/>
    <w:rsid w:val="006867A4"/>
    <w:rsid w:val="006947E9"/>
    <w:rsid w:val="006A089E"/>
    <w:rsid w:val="006A4180"/>
    <w:rsid w:val="006A558C"/>
    <w:rsid w:val="006A5D51"/>
    <w:rsid w:val="006A6BC6"/>
    <w:rsid w:val="006A6C12"/>
    <w:rsid w:val="006A6C6E"/>
    <w:rsid w:val="006B30BF"/>
    <w:rsid w:val="006B4686"/>
    <w:rsid w:val="006B5247"/>
    <w:rsid w:val="006B55BE"/>
    <w:rsid w:val="006C0B35"/>
    <w:rsid w:val="006C2D86"/>
    <w:rsid w:val="006C5D24"/>
    <w:rsid w:val="006C6978"/>
    <w:rsid w:val="006D0ABD"/>
    <w:rsid w:val="006D2529"/>
    <w:rsid w:val="006D4CAF"/>
    <w:rsid w:val="006D7035"/>
    <w:rsid w:val="006E0EAE"/>
    <w:rsid w:val="006E3F49"/>
    <w:rsid w:val="006E45F0"/>
    <w:rsid w:val="006E5D11"/>
    <w:rsid w:val="006E719E"/>
    <w:rsid w:val="006E72AA"/>
    <w:rsid w:val="006E7B72"/>
    <w:rsid w:val="006E7C98"/>
    <w:rsid w:val="006F33AE"/>
    <w:rsid w:val="006F36AF"/>
    <w:rsid w:val="006F579F"/>
    <w:rsid w:val="00705791"/>
    <w:rsid w:val="00707310"/>
    <w:rsid w:val="00716400"/>
    <w:rsid w:val="007211EB"/>
    <w:rsid w:val="00725661"/>
    <w:rsid w:val="0072647B"/>
    <w:rsid w:val="007317AF"/>
    <w:rsid w:val="00734925"/>
    <w:rsid w:val="0073717B"/>
    <w:rsid w:val="00743324"/>
    <w:rsid w:val="00743BE7"/>
    <w:rsid w:val="007464D8"/>
    <w:rsid w:val="007473CE"/>
    <w:rsid w:val="00750917"/>
    <w:rsid w:val="0075225E"/>
    <w:rsid w:val="0075538B"/>
    <w:rsid w:val="0075649E"/>
    <w:rsid w:val="00756B7A"/>
    <w:rsid w:val="007658D5"/>
    <w:rsid w:val="007723F1"/>
    <w:rsid w:val="0077269F"/>
    <w:rsid w:val="00773D4E"/>
    <w:rsid w:val="0077484C"/>
    <w:rsid w:val="00782FF7"/>
    <w:rsid w:val="00783975"/>
    <w:rsid w:val="00786E8E"/>
    <w:rsid w:val="007908FC"/>
    <w:rsid w:val="00795E8F"/>
    <w:rsid w:val="00795F6A"/>
    <w:rsid w:val="007A10EC"/>
    <w:rsid w:val="007A486B"/>
    <w:rsid w:val="007A5147"/>
    <w:rsid w:val="007B3222"/>
    <w:rsid w:val="007B7084"/>
    <w:rsid w:val="007B7D2B"/>
    <w:rsid w:val="007C05E2"/>
    <w:rsid w:val="007C06D1"/>
    <w:rsid w:val="007C14D0"/>
    <w:rsid w:val="007C4BD4"/>
    <w:rsid w:val="007D2E45"/>
    <w:rsid w:val="007D630D"/>
    <w:rsid w:val="007F0128"/>
    <w:rsid w:val="007F3616"/>
    <w:rsid w:val="007F37EE"/>
    <w:rsid w:val="007F5AD7"/>
    <w:rsid w:val="007F6F3A"/>
    <w:rsid w:val="007F7265"/>
    <w:rsid w:val="007F7C5A"/>
    <w:rsid w:val="00804313"/>
    <w:rsid w:val="0080432C"/>
    <w:rsid w:val="008064A0"/>
    <w:rsid w:val="00807434"/>
    <w:rsid w:val="00810133"/>
    <w:rsid w:val="00812F89"/>
    <w:rsid w:val="00815E3D"/>
    <w:rsid w:val="00816C6C"/>
    <w:rsid w:val="00817D5D"/>
    <w:rsid w:val="00817DA2"/>
    <w:rsid w:val="00817EEE"/>
    <w:rsid w:val="00823A17"/>
    <w:rsid w:val="008252D1"/>
    <w:rsid w:val="00827B75"/>
    <w:rsid w:val="00830741"/>
    <w:rsid w:val="008451F4"/>
    <w:rsid w:val="00846662"/>
    <w:rsid w:val="00846B43"/>
    <w:rsid w:val="00846C7D"/>
    <w:rsid w:val="00847950"/>
    <w:rsid w:val="008507CD"/>
    <w:rsid w:val="00850D2D"/>
    <w:rsid w:val="00853B04"/>
    <w:rsid w:val="008540BE"/>
    <w:rsid w:val="00854E95"/>
    <w:rsid w:val="00862A1E"/>
    <w:rsid w:val="00862EB9"/>
    <w:rsid w:val="0086324C"/>
    <w:rsid w:val="008668A8"/>
    <w:rsid w:val="00866934"/>
    <w:rsid w:val="0087147C"/>
    <w:rsid w:val="008762C2"/>
    <w:rsid w:val="00877AC9"/>
    <w:rsid w:val="008816F1"/>
    <w:rsid w:val="008907C2"/>
    <w:rsid w:val="00892C1C"/>
    <w:rsid w:val="00893D72"/>
    <w:rsid w:val="00897050"/>
    <w:rsid w:val="008A137F"/>
    <w:rsid w:val="008A3597"/>
    <w:rsid w:val="008A5EFE"/>
    <w:rsid w:val="008B16C5"/>
    <w:rsid w:val="008B26B0"/>
    <w:rsid w:val="008B5643"/>
    <w:rsid w:val="008B680D"/>
    <w:rsid w:val="008B6C66"/>
    <w:rsid w:val="008B75DD"/>
    <w:rsid w:val="008C3A06"/>
    <w:rsid w:val="008C441E"/>
    <w:rsid w:val="008C65ED"/>
    <w:rsid w:val="008C682F"/>
    <w:rsid w:val="008C6AC7"/>
    <w:rsid w:val="008C6BD8"/>
    <w:rsid w:val="008D1373"/>
    <w:rsid w:val="008D4E14"/>
    <w:rsid w:val="008E00E7"/>
    <w:rsid w:val="008E168B"/>
    <w:rsid w:val="008E2021"/>
    <w:rsid w:val="008E3E24"/>
    <w:rsid w:val="008E4C51"/>
    <w:rsid w:val="008F2DF4"/>
    <w:rsid w:val="008F2F90"/>
    <w:rsid w:val="008F40B5"/>
    <w:rsid w:val="00903499"/>
    <w:rsid w:val="00904023"/>
    <w:rsid w:val="00905603"/>
    <w:rsid w:val="009111EA"/>
    <w:rsid w:val="009132BF"/>
    <w:rsid w:val="009156BA"/>
    <w:rsid w:val="009207CA"/>
    <w:rsid w:val="00923F57"/>
    <w:rsid w:val="009309AA"/>
    <w:rsid w:val="00946400"/>
    <w:rsid w:val="00962134"/>
    <w:rsid w:val="00965A51"/>
    <w:rsid w:val="009671CA"/>
    <w:rsid w:val="0097074C"/>
    <w:rsid w:val="00971985"/>
    <w:rsid w:val="00972962"/>
    <w:rsid w:val="00972FC5"/>
    <w:rsid w:val="00974279"/>
    <w:rsid w:val="00981956"/>
    <w:rsid w:val="00982BD5"/>
    <w:rsid w:val="00983918"/>
    <w:rsid w:val="009918CC"/>
    <w:rsid w:val="0099345D"/>
    <w:rsid w:val="00996124"/>
    <w:rsid w:val="00996984"/>
    <w:rsid w:val="00996C24"/>
    <w:rsid w:val="00997829"/>
    <w:rsid w:val="009A0290"/>
    <w:rsid w:val="009A770B"/>
    <w:rsid w:val="009A7AE8"/>
    <w:rsid w:val="009B05F8"/>
    <w:rsid w:val="009B0913"/>
    <w:rsid w:val="009B0F1C"/>
    <w:rsid w:val="009B3475"/>
    <w:rsid w:val="009B5DAD"/>
    <w:rsid w:val="009B62A8"/>
    <w:rsid w:val="009C01B4"/>
    <w:rsid w:val="009C266D"/>
    <w:rsid w:val="009C3228"/>
    <w:rsid w:val="009C4D74"/>
    <w:rsid w:val="009C725B"/>
    <w:rsid w:val="009D23FA"/>
    <w:rsid w:val="009D266B"/>
    <w:rsid w:val="009D61BA"/>
    <w:rsid w:val="009E02E5"/>
    <w:rsid w:val="009E21D2"/>
    <w:rsid w:val="009E36D8"/>
    <w:rsid w:val="009E4104"/>
    <w:rsid w:val="009E4E1B"/>
    <w:rsid w:val="009E6753"/>
    <w:rsid w:val="009E6BEE"/>
    <w:rsid w:val="009E6E38"/>
    <w:rsid w:val="00A00ABF"/>
    <w:rsid w:val="00A01F1F"/>
    <w:rsid w:val="00A05861"/>
    <w:rsid w:val="00A06C3F"/>
    <w:rsid w:val="00A07E0F"/>
    <w:rsid w:val="00A14D87"/>
    <w:rsid w:val="00A1543E"/>
    <w:rsid w:val="00A15EF5"/>
    <w:rsid w:val="00A173F3"/>
    <w:rsid w:val="00A17F31"/>
    <w:rsid w:val="00A24BF5"/>
    <w:rsid w:val="00A24FDF"/>
    <w:rsid w:val="00A32B67"/>
    <w:rsid w:val="00A33BC3"/>
    <w:rsid w:val="00A3695A"/>
    <w:rsid w:val="00A417A3"/>
    <w:rsid w:val="00A427B6"/>
    <w:rsid w:val="00A44A0B"/>
    <w:rsid w:val="00A53400"/>
    <w:rsid w:val="00A53EF2"/>
    <w:rsid w:val="00A56182"/>
    <w:rsid w:val="00A57903"/>
    <w:rsid w:val="00A60B45"/>
    <w:rsid w:val="00A614F7"/>
    <w:rsid w:val="00A72752"/>
    <w:rsid w:val="00A72BE0"/>
    <w:rsid w:val="00A72F2B"/>
    <w:rsid w:val="00A746B4"/>
    <w:rsid w:val="00A74EE5"/>
    <w:rsid w:val="00A761E4"/>
    <w:rsid w:val="00A775A4"/>
    <w:rsid w:val="00A819DE"/>
    <w:rsid w:val="00A905AF"/>
    <w:rsid w:val="00A9102B"/>
    <w:rsid w:val="00A912E4"/>
    <w:rsid w:val="00A92404"/>
    <w:rsid w:val="00A93605"/>
    <w:rsid w:val="00A96B83"/>
    <w:rsid w:val="00A9764A"/>
    <w:rsid w:val="00AA0C10"/>
    <w:rsid w:val="00AA376B"/>
    <w:rsid w:val="00AB06B2"/>
    <w:rsid w:val="00AB2DA5"/>
    <w:rsid w:val="00AB436B"/>
    <w:rsid w:val="00AB6D03"/>
    <w:rsid w:val="00AC62A5"/>
    <w:rsid w:val="00AD03AD"/>
    <w:rsid w:val="00AD6406"/>
    <w:rsid w:val="00AE0409"/>
    <w:rsid w:val="00AE0CC7"/>
    <w:rsid w:val="00AE2E1C"/>
    <w:rsid w:val="00AE6041"/>
    <w:rsid w:val="00AE6884"/>
    <w:rsid w:val="00AE6EDA"/>
    <w:rsid w:val="00AE7736"/>
    <w:rsid w:val="00AE7C04"/>
    <w:rsid w:val="00AF1BF3"/>
    <w:rsid w:val="00B001F4"/>
    <w:rsid w:val="00B0296E"/>
    <w:rsid w:val="00B02F22"/>
    <w:rsid w:val="00B03ACD"/>
    <w:rsid w:val="00B123DB"/>
    <w:rsid w:val="00B13EFE"/>
    <w:rsid w:val="00B160C4"/>
    <w:rsid w:val="00B16697"/>
    <w:rsid w:val="00B268CE"/>
    <w:rsid w:val="00B27F04"/>
    <w:rsid w:val="00B3000B"/>
    <w:rsid w:val="00B313DD"/>
    <w:rsid w:val="00B34676"/>
    <w:rsid w:val="00B35959"/>
    <w:rsid w:val="00B37AE5"/>
    <w:rsid w:val="00B42781"/>
    <w:rsid w:val="00B43123"/>
    <w:rsid w:val="00B43B12"/>
    <w:rsid w:val="00B50F53"/>
    <w:rsid w:val="00B53FB2"/>
    <w:rsid w:val="00B540BC"/>
    <w:rsid w:val="00B54EC2"/>
    <w:rsid w:val="00B604A5"/>
    <w:rsid w:val="00B613A1"/>
    <w:rsid w:val="00B6365B"/>
    <w:rsid w:val="00B636A3"/>
    <w:rsid w:val="00B7141F"/>
    <w:rsid w:val="00B772B7"/>
    <w:rsid w:val="00B80E71"/>
    <w:rsid w:val="00B82DBE"/>
    <w:rsid w:val="00B85955"/>
    <w:rsid w:val="00B90BCC"/>
    <w:rsid w:val="00B925F3"/>
    <w:rsid w:val="00B97929"/>
    <w:rsid w:val="00BA7058"/>
    <w:rsid w:val="00BB479C"/>
    <w:rsid w:val="00BB6FF5"/>
    <w:rsid w:val="00BC05FC"/>
    <w:rsid w:val="00BC171F"/>
    <w:rsid w:val="00BC2F6B"/>
    <w:rsid w:val="00BC4455"/>
    <w:rsid w:val="00BD0E64"/>
    <w:rsid w:val="00BD10BC"/>
    <w:rsid w:val="00BD2791"/>
    <w:rsid w:val="00BD2CBA"/>
    <w:rsid w:val="00BD4E78"/>
    <w:rsid w:val="00BD62CB"/>
    <w:rsid w:val="00BD7550"/>
    <w:rsid w:val="00BE5140"/>
    <w:rsid w:val="00BE7BC2"/>
    <w:rsid w:val="00BF0016"/>
    <w:rsid w:val="00BF5764"/>
    <w:rsid w:val="00C0204A"/>
    <w:rsid w:val="00C03202"/>
    <w:rsid w:val="00C033F8"/>
    <w:rsid w:val="00C07B22"/>
    <w:rsid w:val="00C13F3F"/>
    <w:rsid w:val="00C17CA3"/>
    <w:rsid w:val="00C2083A"/>
    <w:rsid w:val="00C2476C"/>
    <w:rsid w:val="00C31177"/>
    <w:rsid w:val="00C3291B"/>
    <w:rsid w:val="00C3316E"/>
    <w:rsid w:val="00C332A3"/>
    <w:rsid w:val="00C4029B"/>
    <w:rsid w:val="00C4082F"/>
    <w:rsid w:val="00C42251"/>
    <w:rsid w:val="00C42490"/>
    <w:rsid w:val="00C44AA5"/>
    <w:rsid w:val="00C468FA"/>
    <w:rsid w:val="00C46D76"/>
    <w:rsid w:val="00C512F4"/>
    <w:rsid w:val="00C53498"/>
    <w:rsid w:val="00C53C8B"/>
    <w:rsid w:val="00C54E3F"/>
    <w:rsid w:val="00C552A1"/>
    <w:rsid w:val="00C576EA"/>
    <w:rsid w:val="00C62B66"/>
    <w:rsid w:val="00C71A2A"/>
    <w:rsid w:val="00C729D5"/>
    <w:rsid w:val="00C74827"/>
    <w:rsid w:val="00C751EC"/>
    <w:rsid w:val="00C77D35"/>
    <w:rsid w:val="00C86E93"/>
    <w:rsid w:val="00C93DB8"/>
    <w:rsid w:val="00CB013D"/>
    <w:rsid w:val="00CC2F39"/>
    <w:rsid w:val="00CC315E"/>
    <w:rsid w:val="00CC35A5"/>
    <w:rsid w:val="00CC6A91"/>
    <w:rsid w:val="00CD2054"/>
    <w:rsid w:val="00CD53E0"/>
    <w:rsid w:val="00CD6DD2"/>
    <w:rsid w:val="00CE0644"/>
    <w:rsid w:val="00CE0EE1"/>
    <w:rsid w:val="00CE2C95"/>
    <w:rsid w:val="00CE4E86"/>
    <w:rsid w:val="00CF0C38"/>
    <w:rsid w:val="00CF3ECE"/>
    <w:rsid w:val="00CF45E1"/>
    <w:rsid w:val="00CF746A"/>
    <w:rsid w:val="00D007BE"/>
    <w:rsid w:val="00D0154F"/>
    <w:rsid w:val="00D0439E"/>
    <w:rsid w:val="00D04BBD"/>
    <w:rsid w:val="00D04C92"/>
    <w:rsid w:val="00D127DD"/>
    <w:rsid w:val="00D129C1"/>
    <w:rsid w:val="00D31E19"/>
    <w:rsid w:val="00D35563"/>
    <w:rsid w:val="00D4017B"/>
    <w:rsid w:val="00D41F6E"/>
    <w:rsid w:val="00D44366"/>
    <w:rsid w:val="00D45485"/>
    <w:rsid w:val="00D45A60"/>
    <w:rsid w:val="00D52670"/>
    <w:rsid w:val="00D52D3A"/>
    <w:rsid w:val="00D537B9"/>
    <w:rsid w:val="00D55E67"/>
    <w:rsid w:val="00D570E4"/>
    <w:rsid w:val="00D603FD"/>
    <w:rsid w:val="00D61555"/>
    <w:rsid w:val="00D63572"/>
    <w:rsid w:val="00D63ECD"/>
    <w:rsid w:val="00D64185"/>
    <w:rsid w:val="00D6448D"/>
    <w:rsid w:val="00D6621F"/>
    <w:rsid w:val="00D67582"/>
    <w:rsid w:val="00D732B5"/>
    <w:rsid w:val="00D74029"/>
    <w:rsid w:val="00D77F0F"/>
    <w:rsid w:val="00D85F9D"/>
    <w:rsid w:val="00D901D5"/>
    <w:rsid w:val="00D91693"/>
    <w:rsid w:val="00D94810"/>
    <w:rsid w:val="00DA0E02"/>
    <w:rsid w:val="00DA36F2"/>
    <w:rsid w:val="00DB7D16"/>
    <w:rsid w:val="00DC0876"/>
    <w:rsid w:val="00DC3084"/>
    <w:rsid w:val="00DC325A"/>
    <w:rsid w:val="00DC5650"/>
    <w:rsid w:val="00DD3813"/>
    <w:rsid w:val="00DE3986"/>
    <w:rsid w:val="00DF3ABD"/>
    <w:rsid w:val="00DF5055"/>
    <w:rsid w:val="00DF5A2F"/>
    <w:rsid w:val="00DF6063"/>
    <w:rsid w:val="00DF671D"/>
    <w:rsid w:val="00E01EB8"/>
    <w:rsid w:val="00E0763C"/>
    <w:rsid w:val="00E077CA"/>
    <w:rsid w:val="00E10D4E"/>
    <w:rsid w:val="00E114CE"/>
    <w:rsid w:val="00E153B5"/>
    <w:rsid w:val="00E165A6"/>
    <w:rsid w:val="00E2048F"/>
    <w:rsid w:val="00E22B90"/>
    <w:rsid w:val="00E2587A"/>
    <w:rsid w:val="00E266E5"/>
    <w:rsid w:val="00E34012"/>
    <w:rsid w:val="00E34597"/>
    <w:rsid w:val="00E352F7"/>
    <w:rsid w:val="00E40928"/>
    <w:rsid w:val="00E44E39"/>
    <w:rsid w:val="00E50B46"/>
    <w:rsid w:val="00E54082"/>
    <w:rsid w:val="00E55B1A"/>
    <w:rsid w:val="00E57F20"/>
    <w:rsid w:val="00E603AB"/>
    <w:rsid w:val="00E75003"/>
    <w:rsid w:val="00E769C9"/>
    <w:rsid w:val="00E77A73"/>
    <w:rsid w:val="00E801DC"/>
    <w:rsid w:val="00E805F3"/>
    <w:rsid w:val="00E82889"/>
    <w:rsid w:val="00E857AA"/>
    <w:rsid w:val="00E85B5D"/>
    <w:rsid w:val="00E87031"/>
    <w:rsid w:val="00E93D18"/>
    <w:rsid w:val="00EA04C0"/>
    <w:rsid w:val="00EB013C"/>
    <w:rsid w:val="00EB341E"/>
    <w:rsid w:val="00EB360A"/>
    <w:rsid w:val="00EB5476"/>
    <w:rsid w:val="00EB7532"/>
    <w:rsid w:val="00EC06F7"/>
    <w:rsid w:val="00EC22A2"/>
    <w:rsid w:val="00EC5B56"/>
    <w:rsid w:val="00ED0847"/>
    <w:rsid w:val="00ED1D5B"/>
    <w:rsid w:val="00ED5650"/>
    <w:rsid w:val="00EE49F6"/>
    <w:rsid w:val="00EE4D8C"/>
    <w:rsid w:val="00EE745B"/>
    <w:rsid w:val="00EE78B6"/>
    <w:rsid w:val="00EE7D57"/>
    <w:rsid w:val="00F0301A"/>
    <w:rsid w:val="00F042E7"/>
    <w:rsid w:val="00F064CF"/>
    <w:rsid w:val="00F10FA7"/>
    <w:rsid w:val="00F115C7"/>
    <w:rsid w:val="00F13400"/>
    <w:rsid w:val="00F24FBB"/>
    <w:rsid w:val="00F26D9C"/>
    <w:rsid w:val="00F313B7"/>
    <w:rsid w:val="00F32516"/>
    <w:rsid w:val="00F3374D"/>
    <w:rsid w:val="00F33B63"/>
    <w:rsid w:val="00F43E2B"/>
    <w:rsid w:val="00F51980"/>
    <w:rsid w:val="00F67BB0"/>
    <w:rsid w:val="00F70FCD"/>
    <w:rsid w:val="00F718EB"/>
    <w:rsid w:val="00F732E3"/>
    <w:rsid w:val="00F73D6A"/>
    <w:rsid w:val="00F755BF"/>
    <w:rsid w:val="00F77801"/>
    <w:rsid w:val="00F77D16"/>
    <w:rsid w:val="00F804F9"/>
    <w:rsid w:val="00F8690F"/>
    <w:rsid w:val="00F8731F"/>
    <w:rsid w:val="00F900BE"/>
    <w:rsid w:val="00F91953"/>
    <w:rsid w:val="00F9435B"/>
    <w:rsid w:val="00F972A0"/>
    <w:rsid w:val="00FA2720"/>
    <w:rsid w:val="00FA77B1"/>
    <w:rsid w:val="00FB047A"/>
    <w:rsid w:val="00FB0E82"/>
    <w:rsid w:val="00FB54D0"/>
    <w:rsid w:val="00FC1F81"/>
    <w:rsid w:val="00FC599D"/>
    <w:rsid w:val="00FC68A8"/>
    <w:rsid w:val="00FD15E7"/>
    <w:rsid w:val="00FD16A7"/>
    <w:rsid w:val="00FD19C3"/>
    <w:rsid w:val="00FD3708"/>
    <w:rsid w:val="00FD482A"/>
    <w:rsid w:val="00FE19BD"/>
    <w:rsid w:val="00FE253C"/>
    <w:rsid w:val="00FE377D"/>
    <w:rsid w:val="00FE74C7"/>
    <w:rsid w:val="00FF0EF1"/>
    <w:rsid w:val="00FF1C92"/>
    <w:rsid w:val="00FF3472"/>
    <w:rsid w:val="00FF455E"/>
    <w:rsid w:val="00FF6348"/>
    <w:rsid w:val="00FF683B"/>
    <w:rsid w:val="012073A2"/>
    <w:rsid w:val="01973053"/>
    <w:rsid w:val="027E74CA"/>
    <w:rsid w:val="034B5463"/>
    <w:rsid w:val="03FC455C"/>
    <w:rsid w:val="04DB3C44"/>
    <w:rsid w:val="0CF43C8A"/>
    <w:rsid w:val="0D4967B3"/>
    <w:rsid w:val="0D56750A"/>
    <w:rsid w:val="0DA87EC0"/>
    <w:rsid w:val="0EE553D4"/>
    <w:rsid w:val="0F447B05"/>
    <w:rsid w:val="0FB35FCE"/>
    <w:rsid w:val="0FEC3E14"/>
    <w:rsid w:val="12A53D1F"/>
    <w:rsid w:val="134C146A"/>
    <w:rsid w:val="14377FD0"/>
    <w:rsid w:val="1457055C"/>
    <w:rsid w:val="14856F74"/>
    <w:rsid w:val="15C0748F"/>
    <w:rsid w:val="16174E54"/>
    <w:rsid w:val="16BE53A8"/>
    <w:rsid w:val="174E18CF"/>
    <w:rsid w:val="17A35DDF"/>
    <w:rsid w:val="18787EC5"/>
    <w:rsid w:val="19106884"/>
    <w:rsid w:val="19E84073"/>
    <w:rsid w:val="1AEF3D03"/>
    <w:rsid w:val="1B7E0E69"/>
    <w:rsid w:val="1C136E65"/>
    <w:rsid w:val="1CC031EA"/>
    <w:rsid w:val="1E1F4AC3"/>
    <w:rsid w:val="1EFA407E"/>
    <w:rsid w:val="1F126151"/>
    <w:rsid w:val="20042719"/>
    <w:rsid w:val="20EC512E"/>
    <w:rsid w:val="21604DF6"/>
    <w:rsid w:val="21B878C1"/>
    <w:rsid w:val="22723962"/>
    <w:rsid w:val="22A46395"/>
    <w:rsid w:val="241C4DDC"/>
    <w:rsid w:val="24CD0EEF"/>
    <w:rsid w:val="24D067A5"/>
    <w:rsid w:val="25150C2F"/>
    <w:rsid w:val="27640417"/>
    <w:rsid w:val="286F17BB"/>
    <w:rsid w:val="29204D61"/>
    <w:rsid w:val="29F17F1B"/>
    <w:rsid w:val="29F563F0"/>
    <w:rsid w:val="2B1F6EEB"/>
    <w:rsid w:val="2B97780B"/>
    <w:rsid w:val="2CCB46E5"/>
    <w:rsid w:val="2CD91B50"/>
    <w:rsid w:val="2D147227"/>
    <w:rsid w:val="2E2A5CB9"/>
    <w:rsid w:val="2E531BBE"/>
    <w:rsid w:val="2E6073FD"/>
    <w:rsid w:val="2F24002C"/>
    <w:rsid w:val="2F743656"/>
    <w:rsid w:val="2FD06E56"/>
    <w:rsid w:val="31343FF3"/>
    <w:rsid w:val="31AE15C3"/>
    <w:rsid w:val="31FF6CE2"/>
    <w:rsid w:val="350E3920"/>
    <w:rsid w:val="3510389B"/>
    <w:rsid w:val="35BB3EF4"/>
    <w:rsid w:val="369C4E13"/>
    <w:rsid w:val="386B0FD9"/>
    <w:rsid w:val="38D30083"/>
    <w:rsid w:val="3933479C"/>
    <w:rsid w:val="396D1326"/>
    <w:rsid w:val="3B5870A7"/>
    <w:rsid w:val="3B97665A"/>
    <w:rsid w:val="3DCC6552"/>
    <w:rsid w:val="3E046715"/>
    <w:rsid w:val="3EE2552D"/>
    <w:rsid w:val="43D0120B"/>
    <w:rsid w:val="459335BD"/>
    <w:rsid w:val="46AE0B03"/>
    <w:rsid w:val="46ED03C2"/>
    <w:rsid w:val="471F4837"/>
    <w:rsid w:val="47326AA5"/>
    <w:rsid w:val="47C23E75"/>
    <w:rsid w:val="47C37016"/>
    <w:rsid w:val="484F252F"/>
    <w:rsid w:val="4A8A1CA2"/>
    <w:rsid w:val="4B011028"/>
    <w:rsid w:val="4C661C38"/>
    <w:rsid w:val="4C9A5EA5"/>
    <w:rsid w:val="4DD3129F"/>
    <w:rsid w:val="4EE2079C"/>
    <w:rsid w:val="4F4E509D"/>
    <w:rsid w:val="4F695EDB"/>
    <w:rsid w:val="50D543D0"/>
    <w:rsid w:val="51885345"/>
    <w:rsid w:val="52F40A7A"/>
    <w:rsid w:val="53AB37CE"/>
    <w:rsid w:val="555F515E"/>
    <w:rsid w:val="56BE2F0F"/>
    <w:rsid w:val="579529A0"/>
    <w:rsid w:val="57A943D4"/>
    <w:rsid w:val="57F10380"/>
    <w:rsid w:val="58BB5DBB"/>
    <w:rsid w:val="5ADC31EB"/>
    <w:rsid w:val="5B20154B"/>
    <w:rsid w:val="5CD62593"/>
    <w:rsid w:val="5D4B6EB5"/>
    <w:rsid w:val="5DB11630"/>
    <w:rsid w:val="5EB85928"/>
    <w:rsid w:val="5F7F05A5"/>
    <w:rsid w:val="60090E87"/>
    <w:rsid w:val="616855EF"/>
    <w:rsid w:val="619D1C6C"/>
    <w:rsid w:val="62E269BE"/>
    <w:rsid w:val="63273FE2"/>
    <w:rsid w:val="633C4553"/>
    <w:rsid w:val="635E1DC8"/>
    <w:rsid w:val="637C4E48"/>
    <w:rsid w:val="638D4F5B"/>
    <w:rsid w:val="63F8153B"/>
    <w:rsid w:val="644C70F9"/>
    <w:rsid w:val="64DB6CED"/>
    <w:rsid w:val="65DD6181"/>
    <w:rsid w:val="669022A4"/>
    <w:rsid w:val="66BF71C4"/>
    <w:rsid w:val="68A1291D"/>
    <w:rsid w:val="68B76BCA"/>
    <w:rsid w:val="68D12C7B"/>
    <w:rsid w:val="693646B5"/>
    <w:rsid w:val="69604790"/>
    <w:rsid w:val="6BD35AC9"/>
    <w:rsid w:val="6F100594"/>
    <w:rsid w:val="6F8C1691"/>
    <w:rsid w:val="6FB05B67"/>
    <w:rsid w:val="70241AA7"/>
    <w:rsid w:val="7052319E"/>
    <w:rsid w:val="70A257A4"/>
    <w:rsid w:val="7221670E"/>
    <w:rsid w:val="72600832"/>
    <w:rsid w:val="73222030"/>
    <w:rsid w:val="732469A5"/>
    <w:rsid w:val="74B64137"/>
    <w:rsid w:val="76552FDB"/>
    <w:rsid w:val="766B54D5"/>
    <w:rsid w:val="77A46809"/>
    <w:rsid w:val="77C05946"/>
    <w:rsid w:val="793E45B1"/>
    <w:rsid w:val="7A5B26E7"/>
    <w:rsid w:val="7A610B9B"/>
    <w:rsid w:val="7A983FB3"/>
    <w:rsid w:val="7AFA5663"/>
    <w:rsid w:val="7D0F0FB9"/>
    <w:rsid w:val="7D1829FA"/>
    <w:rsid w:val="7DAB739D"/>
    <w:rsid w:val="7EBB4B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2C5BD8-9F9F-4A76-B24E-93A5C8E7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unhideWhenUsed="1" w:qFormat="1"/>
    <w:lsdException w:name="FollowedHyperlink" w:semiHidden="1" w:unhideWhenUsed="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39" w:unhideWhenUsed="1"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2">
    <w:name w:val="Normal"/>
    <w:qFormat/>
    <w:pPr>
      <w:widowControl w:val="0"/>
      <w:jc w:val="both"/>
    </w:pPr>
    <w:rPr>
      <w:kern w:val="2"/>
      <w:sz w:val="21"/>
      <w:szCs w:val="24"/>
    </w:rPr>
  </w:style>
  <w:style w:type="paragraph" w:styleId="3">
    <w:name w:val="heading 3"/>
    <w:basedOn w:val="af2"/>
    <w:next w:val="af2"/>
    <w:semiHidden/>
    <w:unhideWhenUsed/>
    <w:qFormat/>
    <w:pPr>
      <w:spacing w:beforeAutospacing="1" w:afterAutospacing="1"/>
      <w:jc w:val="left"/>
      <w:outlineLvl w:val="2"/>
    </w:pPr>
    <w:rPr>
      <w:rFonts w:ascii="宋体" w:hAnsi="宋体" w:hint="eastAsia"/>
      <w:b/>
      <w:kern w:val="0"/>
      <w:sz w:val="27"/>
      <w:szCs w:val="27"/>
    </w:rPr>
  </w:style>
  <w:style w:type="paragraph" w:styleId="4">
    <w:name w:val="heading 4"/>
    <w:basedOn w:val="af2"/>
    <w:next w:val="af2"/>
    <w:link w:val="4Char"/>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f3">
    <w:name w:val="Default Paragraph Font"/>
    <w:uiPriority w:val="1"/>
    <w:semiHidden/>
    <w:unhideWhenUsed/>
  </w:style>
  <w:style w:type="table" w:default="1" w:styleId="af4">
    <w:name w:val="Normal Table"/>
    <w:uiPriority w:val="99"/>
    <w:semiHidden/>
    <w:unhideWhenUsed/>
    <w:tblPr>
      <w:tblInd w:w="0" w:type="dxa"/>
      <w:tblCellMar>
        <w:top w:w="0" w:type="dxa"/>
        <w:left w:w="108" w:type="dxa"/>
        <w:bottom w:w="0" w:type="dxa"/>
        <w:right w:w="108" w:type="dxa"/>
      </w:tblCellMar>
    </w:tblPr>
  </w:style>
  <w:style w:type="numbering" w:default="1" w:styleId="af5">
    <w:name w:val="No List"/>
    <w:uiPriority w:val="99"/>
    <w:semiHidden/>
    <w:unhideWhenUsed/>
  </w:style>
  <w:style w:type="paragraph" w:styleId="af6">
    <w:name w:val="annotation text"/>
    <w:basedOn w:val="af2"/>
    <w:link w:val="Char"/>
    <w:semiHidden/>
    <w:unhideWhenUsed/>
    <w:qFormat/>
    <w:pPr>
      <w:jc w:val="left"/>
    </w:pPr>
  </w:style>
  <w:style w:type="paragraph" w:styleId="af7">
    <w:name w:val="Body Text"/>
    <w:basedOn w:val="af2"/>
    <w:link w:val="Char0"/>
    <w:uiPriority w:val="99"/>
    <w:unhideWhenUsed/>
    <w:qFormat/>
    <w:pPr>
      <w:ind w:left="109"/>
    </w:pPr>
    <w:rPr>
      <w:rFonts w:ascii="仿宋_GB2312" w:eastAsia="仿宋_GB2312" w:hAnsi="仿宋_GB2312" w:cs="Calibri"/>
      <w:sz w:val="32"/>
    </w:rPr>
  </w:style>
  <w:style w:type="paragraph" w:styleId="af8">
    <w:name w:val="Plain Text"/>
    <w:basedOn w:val="af2"/>
    <w:qFormat/>
    <w:rPr>
      <w:rFonts w:ascii="宋体" w:hAnsi="Courier New" w:cs="Courier New"/>
      <w:szCs w:val="21"/>
    </w:rPr>
  </w:style>
  <w:style w:type="paragraph" w:styleId="af9">
    <w:name w:val="Balloon Text"/>
    <w:basedOn w:val="af2"/>
    <w:link w:val="Char1"/>
    <w:qFormat/>
    <w:rPr>
      <w:sz w:val="18"/>
      <w:szCs w:val="18"/>
    </w:rPr>
  </w:style>
  <w:style w:type="paragraph" w:styleId="afa">
    <w:name w:val="footer"/>
    <w:basedOn w:val="af2"/>
    <w:link w:val="Char2"/>
    <w:uiPriority w:val="99"/>
    <w:qFormat/>
    <w:pPr>
      <w:tabs>
        <w:tab w:val="center" w:pos="4153"/>
        <w:tab w:val="right" w:pos="8306"/>
      </w:tabs>
      <w:snapToGrid w:val="0"/>
      <w:jc w:val="left"/>
    </w:pPr>
    <w:rPr>
      <w:sz w:val="18"/>
      <w:szCs w:val="18"/>
    </w:rPr>
  </w:style>
  <w:style w:type="paragraph" w:styleId="afb">
    <w:name w:val="header"/>
    <w:basedOn w:val="af2"/>
    <w:link w:val="Char3"/>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f2"/>
    <w:link w:val="HTML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c">
    <w:name w:val="annotation subject"/>
    <w:basedOn w:val="af6"/>
    <w:next w:val="af6"/>
    <w:link w:val="Char4"/>
    <w:semiHidden/>
    <w:unhideWhenUsed/>
    <w:qFormat/>
    <w:rPr>
      <w:b/>
      <w:bCs/>
    </w:rPr>
  </w:style>
  <w:style w:type="table" w:styleId="afd">
    <w:name w:val="Table Grid"/>
    <w:basedOn w:val="af4"/>
    <w:uiPriority w:val="3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f3"/>
    <w:qFormat/>
    <w:rPr>
      <w:b/>
    </w:rPr>
  </w:style>
  <w:style w:type="character" w:styleId="aff">
    <w:name w:val="Hyperlink"/>
    <w:basedOn w:val="af3"/>
    <w:uiPriority w:val="99"/>
    <w:unhideWhenUsed/>
    <w:qFormat/>
    <w:rPr>
      <w:color w:val="0000FF"/>
      <w:u w:val="single"/>
    </w:rPr>
  </w:style>
  <w:style w:type="character" w:styleId="aff0">
    <w:name w:val="annotation reference"/>
    <w:basedOn w:val="af3"/>
    <w:semiHidden/>
    <w:unhideWhenUsed/>
    <w:qFormat/>
    <w:rPr>
      <w:sz w:val="21"/>
      <w:szCs w:val="21"/>
    </w:rPr>
  </w:style>
  <w:style w:type="paragraph" w:styleId="aff1">
    <w:name w:val="List Paragraph"/>
    <w:basedOn w:val="af2"/>
    <w:qFormat/>
    <w:pPr>
      <w:ind w:firstLineChars="200" w:firstLine="420"/>
    </w:pPr>
    <w:rPr>
      <w:szCs w:val="22"/>
    </w:rPr>
  </w:style>
  <w:style w:type="paragraph" w:customStyle="1" w:styleId="aff2">
    <w:name w:val="标准文件_段"/>
    <w:link w:val="Char5"/>
    <w:qFormat/>
    <w:pPr>
      <w:autoSpaceDE w:val="0"/>
      <w:autoSpaceDN w:val="0"/>
      <w:ind w:firstLineChars="200" w:firstLine="200"/>
      <w:jc w:val="both"/>
    </w:pPr>
    <w:rPr>
      <w:rFonts w:ascii="宋体"/>
      <w:sz w:val="21"/>
    </w:rPr>
  </w:style>
  <w:style w:type="character" w:customStyle="1" w:styleId="Char5">
    <w:name w:val="标准文件_段 Char"/>
    <w:link w:val="aff2"/>
    <w:qFormat/>
    <w:rPr>
      <w:rFonts w:ascii="宋体"/>
      <w:sz w:val="21"/>
    </w:rPr>
  </w:style>
  <w:style w:type="character" w:customStyle="1" w:styleId="Char3">
    <w:name w:val="页眉 Char"/>
    <w:basedOn w:val="af3"/>
    <w:link w:val="afb"/>
    <w:qFormat/>
    <w:rPr>
      <w:rFonts w:ascii="Times New Roman" w:hAnsi="Times New Roman"/>
      <w:kern w:val="2"/>
      <w:sz w:val="18"/>
      <w:szCs w:val="18"/>
    </w:rPr>
  </w:style>
  <w:style w:type="character" w:customStyle="1" w:styleId="Char2">
    <w:name w:val="页脚 Char"/>
    <w:basedOn w:val="af3"/>
    <w:link w:val="afa"/>
    <w:uiPriority w:val="99"/>
    <w:qFormat/>
    <w:rPr>
      <w:rFonts w:ascii="Times New Roman" w:hAnsi="Times New Roman"/>
      <w:kern w:val="2"/>
      <w:sz w:val="18"/>
      <w:szCs w:val="18"/>
    </w:rPr>
  </w:style>
  <w:style w:type="character" w:customStyle="1" w:styleId="Char1">
    <w:name w:val="批注框文本 Char"/>
    <w:basedOn w:val="af3"/>
    <w:link w:val="af9"/>
    <w:qFormat/>
    <w:rPr>
      <w:rFonts w:ascii="Times New Roman" w:hAnsi="Times New Roman"/>
      <w:kern w:val="2"/>
      <w:sz w:val="18"/>
      <w:szCs w:val="18"/>
    </w:rPr>
  </w:style>
  <w:style w:type="paragraph" w:customStyle="1" w:styleId="ae">
    <w:name w:val="标准文件_二级条标题"/>
    <w:next w:val="aff2"/>
    <w:qFormat/>
    <w:pPr>
      <w:widowControl w:val="0"/>
      <w:numPr>
        <w:ilvl w:val="3"/>
        <w:numId w:val="1"/>
      </w:numPr>
      <w:spacing w:beforeLines="50" w:afterLines="50"/>
      <w:jc w:val="both"/>
      <w:outlineLvl w:val="2"/>
    </w:pPr>
    <w:rPr>
      <w:rFonts w:ascii="黑体" w:eastAsia="黑体"/>
      <w:sz w:val="21"/>
    </w:rPr>
  </w:style>
  <w:style w:type="paragraph" w:customStyle="1" w:styleId="af">
    <w:name w:val="标准文件_三级条标题"/>
    <w:basedOn w:val="ae"/>
    <w:next w:val="aff2"/>
    <w:qFormat/>
    <w:pPr>
      <w:widowControl/>
      <w:numPr>
        <w:ilvl w:val="4"/>
      </w:numPr>
      <w:outlineLvl w:val="3"/>
    </w:pPr>
  </w:style>
  <w:style w:type="paragraph" w:customStyle="1" w:styleId="af0">
    <w:name w:val="标准文件_四级条标题"/>
    <w:next w:val="aff2"/>
    <w:qFormat/>
    <w:pPr>
      <w:widowControl w:val="0"/>
      <w:numPr>
        <w:ilvl w:val="5"/>
        <w:numId w:val="1"/>
      </w:numPr>
      <w:spacing w:beforeLines="50" w:afterLines="50"/>
      <w:jc w:val="both"/>
      <w:outlineLvl w:val="4"/>
    </w:pPr>
    <w:rPr>
      <w:rFonts w:ascii="黑体" w:eastAsia="黑体"/>
      <w:sz w:val="21"/>
    </w:rPr>
  </w:style>
  <w:style w:type="paragraph" w:customStyle="1" w:styleId="af1">
    <w:name w:val="标准文件_五级条标题"/>
    <w:next w:val="aff2"/>
    <w:qFormat/>
    <w:pPr>
      <w:widowControl w:val="0"/>
      <w:numPr>
        <w:ilvl w:val="6"/>
        <w:numId w:val="1"/>
      </w:numPr>
      <w:spacing w:beforeLines="50" w:afterLines="50"/>
      <w:jc w:val="both"/>
      <w:outlineLvl w:val="5"/>
    </w:pPr>
    <w:rPr>
      <w:rFonts w:ascii="黑体" w:eastAsia="黑体"/>
      <w:sz w:val="21"/>
    </w:rPr>
  </w:style>
  <w:style w:type="paragraph" w:customStyle="1" w:styleId="ac">
    <w:name w:val="标准文件_章标题"/>
    <w:next w:val="aff2"/>
    <w:qFormat/>
    <w:pPr>
      <w:numPr>
        <w:ilvl w:val="1"/>
        <w:numId w:val="1"/>
      </w:numPr>
      <w:spacing w:beforeLines="100" w:afterLines="100"/>
      <w:jc w:val="both"/>
      <w:outlineLvl w:val="0"/>
    </w:pPr>
    <w:rPr>
      <w:rFonts w:ascii="黑体" w:eastAsia="黑体"/>
      <w:sz w:val="21"/>
    </w:rPr>
  </w:style>
  <w:style w:type="paragraph" w:customStyle="1" w:styleId="ad">
    <w:name w:val="标准文件_一级条标题"/>
    <w:basedOn w:val="ac"/>
    <w:next w:val="aff2"/>
    <w:qFormat/>
    <w:pPr>
      <w:numPr>
        <w:ilvl w:val="2"/>
      </w:numPr>
      <w:spacing w:beforeLines="50" w:afterLines="50"/>
      <w:outlineLvl w:val="1"/>
    </w:pPr>
  </w:style>
  <w:style w:type="paragraph" w:customStyle="1" w:styleId="ab">
    <w:name w:val="前言标题"/>
    <w:next w:val="af2"/>
    <w:qFormat/>
    <w:pPr>
      <w:numPr>
        <w:numId w:val="1"/>
      </w:numPr>
      <w:shd w:val="clear" w:color="FFFFFF" w:fill="FFFFFF"/>
      <w:spacing w:before="540" w:after="600"/>
      <w:jc w:val="center"/>
      <w:outlineLvl w:val="0"/>
    </w:pPr>
    <w:rPr>
      <w:rFonts w:ascii="黑体" w:eastAsia="黑体"/>
      <w:sz w:val="32"/>
    </w:rPr>
  </w:style>
  <w:style w:type="paragraph" w:customStyle="1" w:styleId="aff3">
    <w:name w:val="标准文件_二级无标题"/>
    <w:basedOn w:val="ae"/>
    <w:qFormat/>
    <w:pPr>
      <w:spacing w:beforeLines="0" w:afterLines="0"/>
      <w:outlineLvl w:val="9"/>
    </w:pPr>
    <w:rPr>
      <w:rFonts w:ascii="宋体" w:eastAsia="宋体"/>
    </w:rPr>
  </w:style>
  <w:style w:type="character" w:customStyle="1" w:styleId="Char6">
    <w:name w:val="段 Char"/>
    <w:link w:val="aff4"/>
    <w:qFormat/>
    <w:rPr>
      <w:rFonts w:ascii="宋体"/>
      <w:sz w:val="21"/>
    </w:rPr>
  </w:style>
  <w:style w:type="paragraph" w:customStyle="1" w:styleId="aff4">
    <w:name w:val="段"/>
    <w:link w:val="Char6"/>
    <w:qFormat/>
    <w:pPr>
      <w:autoSpaceDE w:val="0"/>
      <w:autoSpaceDN w:val="0"/>
      <w:ind w:firstLineChars="200" w:firstLine="200"/>
      <w:jc w:val="both"/>
    </w:pPr>
    <w:rPr>
      <w:rFonts w:ascii="宋体" w:hAnsi="Calibri"/>
      <w:sz w:val="21"/>
    </w:rPr>
  </w:style>
  <w:style w:type="paragraph" w:customStyle="1" w:styleId="a1">
    <w:name w:val="一级条标题"/>
    <w:next w:val="aff4"/>
    <w:qFormat/>
    <w:pPr>
      <w:numPr>
        <w:ilvl w:val="1"/>
        <w:numId w:val="2"/>
      </w:numPr>
      <w:spacing w:beforeLines="50" w:afterLines="50"/>
      <w:outlineLvl w:val="2"/>
    </w:pPr>
    <w:rPr>
      <w:rFonts w:ascii="黑体" w:eastAsia="黑体"/>
      <w:sz w:val="21"/>
      <w:szCs w:val="21"/>
    </w:rPr>
  </w:style>
  <w:style w:type="paragraph" w:customStyle="1" w:styleId="a0">
    <w:name w:val="章标题"/>
    <w:next w:val="aff4"/>
    <w:qFormat/>
    <w:pPr>
      <w:numPr>
        <w:numId w:val="2"/>
      </w:numPr>
      <w:spacing w:beforeLines="100" w:afterLines="100"/>
      <w:jc w:val="both"/>
      <w:outlineLvl w:val="1"/>
    </w:pPr>
    <w:rPr>
      <w:rFonts w:ascii="黑体" w:eastAsia="黑体"/>
      <w:sz w:val="21"/>
    </w:rPr>
  </w:style>
  <w:style w:type="paragraph" w:customStyle="1" w:styleId="a2">
    <w:name w:val="二级条标题"/>
    <w:basedOn w:val="a1"/>
    <w:next w:val="aff4"/>
    <w:qFormat/>
    <w:pPr>
      <w:numPr>
        <w:ilvl w:val="2"/>
      </w:numPr>
      <w:spacing w:before="50" w:after="50"/>
      <w:outlineLvl w:val="3"/>
    </w:pPr>
  </w:style>
  <w:style w:type="paragraph" w:customStyle="1" w:styleId="a3">
    <w:name w:val="三级条标题"/>
    <w:basedOn w:val="a2"/>
    <w:next w:val="aff4"/>
    <w:qFormat/>
    <w:pPr>
      <w:numPr>
        <w:ilvl w:val="3"/>
      </w:numPr>
      <w:outlineLvl w:val="4"/>
    </w:pPr>
  </w:style>
  <w:style w:type="paragraph" w:customStyle="1" w:styleId="a4">
    <w:name w:val="四级条标题"/>
    <w:basedOn w:val="a3"/>
    <w:next w:val="aff4"/>
    <w:qFormat/>
    <w:pPr>
      <w:numPr>
        <w:ilvl w:val="4"/>
      </w:numPr>
      <w:outlineLvl w:val="5"/>
    </w:pPr>
  </w:style>
  <w:style w:type="paragraph" w:customStyle="1" w:styleId="a5">
    <w:name w:val="五级条标题"/>
    <w:basedOn w:val="a4"/>
    <w:next w:val="aff4"/>
    <w:qFormat/>
    <w:pPr>
      <w:numPr>
        <w:ilvl w:val="5"/>
      </w:numPr>
      <w:outlineLvl w:val="6"/>
    </w:pPr>
  </w:style>
  <w:style w:type="paragraph" w:customStyle="1" w:styleId="a">
    <w:name w:val="标准文件_术语条一"/>
    <w:basedOn w:val="af2"/>
    <w:next w:val="aff2"/>
    <w:qFormat/>
    <w:pPr>
      <w:widowControl/>
      <w:numPr>
        <w:ilvl w:val="2"/>
        <w:numId w:val="3"/>
      </w:numPr>
    </w:pPr>
    <w:rPr>
      <w:rFonts w:ascii="宋体"/>
      <w:kern w:val="0"/>
      <w:szCs w:val="20"/>
    </w:rPr>
  </w:style>
  <w:style w:type="paragraph" w:customStyle="1" w:styleId="1">
    <w:name w:val="正文1"/>
    <w:qFormat/>
    <w:pPr>
      <w:jc w:val="both"/>
    </w:pPr>
    <w:rPr>
      <w:kern w:val="2"/>
      <w:sz w:val="21"/>
      <w:szCs w:val="21"/>
    </w:rPr>
  </w:style>
  <w:style w:type="character" w:customStyle="1" w:styleId="HTMLChar">
    <w:name w:val="HTML 预设格式 Char"/>
    <w:basedOn w:val="af3"/>
    <w:link w:val="HTML"/>
    <w:uiPriority w:val="99"/>
    <w:qFormat/>
    <w:rPr>
      <w:rFonts w:ascii="宋体" w:hAnsi="宋体" w:cs="宋体"/>
      <w:sz w:val="24"/>
      <w:szCs w:val="24"/>
    </w:rPr>
  </w:style>
  <w:style w:type="paragraph" w:styleId="aff5">
    <w:name w:val="No Spacing"/>
    <w:uiPriority w:val="1"/>
    <w:qFormat/>
    <w:pPr>
      <w:adjustRightInd w:val="0"/>
      <w:snapToGrid w:val="0"/>
    </w:pPr>
    <w:rPr>
      <w:rFonts w:ascii="Tahoma" w:eastAsia="微软雅黑" w:hAnsi="Tahoma"/>
      <w:sz w:val="22"/>
      <w:szCs w:val="22"/>
    </w:rPr>
  </w:style>
  <w:style w:type="character" w:customStyle="1" w:styleId="Char0">
    <w:name w:val="正文文本 Char"/>
    <w:basedOn w:val="af3"/>
    <w:link w:val="af7"/>
    <w:uiPriority w:val="99"/>
    <w:qFormat/>
    <w:rPr>
      <w:rFonts w:ascii="仿宋_GB2312" w:eastAsia="仿宋_GB2312" w:hAnsi="仿宋_GB2312" w:cs="Calibri"/>
      <w:kern w:val="2"/>
      <w:sz w:val="32"/>
      <w:szCs w:val="24"/>
    </w:rPr>
  </w:style>
  <w:style w:type="paragraph" w:customStyle="1" w:styleId="aa">
    <w:name w:val="标准文件_正文表标题"/>
    <w:next w:val="aff2"/>
    <w:qFormat/>
    <w:pPr>
      <w:numPr>
        <w:numId w:val="4"/>
      </w:numPr>
      <w:tabs>
        <w:tab w:val="left" w:pos="0"/>
      </w:tabs>
      <w:spacing w:beforeLines="50" w:afterLines="50"/>
      <w:jc w:val="center"/>
    </w:pPr>
    <w:rPr>
      <w:rFonts w:ascii="黑体" w:eastAsia="黑体"/>
      <w:sz w:val="21"/>
    </w:rPr>
  </w:style>
  <w:style w:type="paragraph" w:customStyle="1" w:styleId="aff6">
    <w:name w:val="标准文件_表格"/>
    <w:basedOn w:val="aff2"/>
    <w:qFormat/>
    <w:pPr>
      <w:ind w:firstLineChars="0" w:firstLine="0"/>
      <w:jc w:val="center"/>
    </w:pPr>
    <w:rPr>
      <w:sz w:val="18"/>
    </w:rPr>
  </w:style>
  <w:style w:type="paragraph" w:customStyle="1" w:styleId="a9">
    <w:name w:val="标准文件_附录表标题"/>
    <w:next w:val="aff2"/>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8">
    <w:name w:val="标准文件_附录表标号"/>
    <w:basedOn w:val="aff2"/>
    <w:next w:val="aff2"/>
    <w:qFormat/>
    <w:pPr>
      <w:numPr>
        <w:numId w:val="5"/>
      </w:numPr>
      <w:spacing w:line="14" w:lineRule="exact"/>
      <w:ind w:firstLineChars="0" w:firstLine="0"/>
      <w:jc w:val="center"/>
    </w:pPr>
    <w:rPr>
      <w:rFonts w:eastAsia="黑体"/>
      <w:vanish/>
      <w:sz w:val="2"/>
    </w:rPr>
  </w:style>
  <w:style w:type="character" w:customStyle="1" w:styleId="Char">
    <w:name w:val="批注文字 Char"/>
    <w:basedOn w:val="af3"/>
    <w:link w:val="af6"/>
    <w:semiHidden/>
    <w:qFormat/>
    <w:rPr>
      <w:rFonts w:ascii="Times New Roman" w:hAnsi="Times New Roman"/>
      <w:kern w:val="2"/>
      <w:sz w:val="21"/>
      <w:szCs w:val="24"/>
    </w:rPr>
  </w:style>
  <w:style w:type="character" w:customStyle="1" w:styleId="Char4">
    <w:name w:val="批注主题 Char"/>
    <w:basedOn w:val="Char"/>
    <w:link w:val="afc"/>
    <w:semiHidden/>
    <w:qFormat/>
    <w:rPr>
      <w:rFonts w:ascii="Times New Roman" w:hAnsi="Times New Roman"/>
      <w:b/>
      <w:bCs/>
      <w:kern w:val="2"/>
      <w:sz w:val="21"/>
      <w:szCs w:val="24"/>
    </w:rPr>
  </w:style>
  <w:style w:type="paragraph" w:customStyle="1" w:styleId="a7">
    <w:name w:val="字母编号列项（一级）"/>
    <w:qFormat/>
    <w:pPr>
      <w:numPr>
        <w:numId w:val="6"/>
      </w:numPr>
      <w:jc w:val="both"/>
    </w:pPr>
    <w:rPr>
      <w:rFonts w:ascii="宋体"/>
      <w:sz w:val="21"/>
    </w:rPr>
  </w:style>
  <w:style w:type="paragraph" w:customStyle="1" w:styleId="aff7">
    <w:name w:val="列项——"/>
    <w:qFormat/>
    <w:pPr>
      <w:widowControl w:val="0"/>
      <w:tabs>
        <w:tab w:val="left" w:pos="854"/>
      </w:tabs>
      <w:ind w:leftChars="200" w:left="840" w:hangingChars="200" w:hanging="420"/>
      <w:jc w:val="both"/>
    </w:pPr>
    <w:rPr>
      <w:rFonts w:ascii="宋体"/>
      <w:sz w:val="21"/>
    </w:rPr>
  </w:style>
  <w:style w:type="paragraph" w:customStyle="1" w:styleId="aff8">
    <w:name w:val="二级无"/>
    <w:basedOn w:val="a2"/>
    <w:qFormat/>
    <w:pPr>
      <w:spacing w:beforeLines="0" w:before="0" w:afterLines="0" w:after="0"/>
      <w:ind w:left="0"/>
    </w:pPr>
    <w:rPr>
      <w:rFonts w:ascii="宋体" w:eastAsia="宋体"/>
    </w:rPr>
  </w:style>
  <w:style w:type="character" w:customStyle="1" w:styleId="4Char">
    <w:name w:val="标题 4 Char"/>
    <w:basedOn w:val="af3"/>
    <w:link w:val="4"/>
    <w:semiHidden/>
    <w:qFormat/>
    <w:rPr>
      <w:rFonts w:asciiTheme="majorHAnsi" w:eastAsiaTheme="majorEastAsia" w:hAnsiTheme="majorHAnsi" w:cstheme="majorBidi"/>
      <w:b/>
      <w:bCs/>
      <w:kern w:val="2"/>
      <w:sz w:val="28"/>
      <w:szCs w:val="28"/>
    </w:rPr>
  </w:style>
  <w:style w:type="paragraph" w:customStyle="1" w:styleId="a6">
    <w:name w:val="标准文件_一级项"/>
    <w:qFormat/>
    <w:pPr>
      <w:numPr>
        <w:numId w:val="7"/>
      </w:numPr>
    </w:pPr>
    <w:rPr>
      <w:rFonts w:ascii="宋体"/>
      <w:sz w:val="21"/>
    </w:rPr>
  </w:style>
  <w:style w:type="table" w:customStyle="1" w:styleId="10">
    <w:name w:val="网格型1"/>
    <w:basedOn w:val="af4"/>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9">
    <w:name w:val="说明正文"/>
    <w:basedOn w:val="af7"/>
    <w:link w:val="Char7"/>
    <w:qFormat/>
    <w:pPr>
      <w:spacing w:line="580" w:lineRule="exact"/>
      <w:ind w:left="0" w:firstLineChars="200" w:firstLine="640"/>
    </w:pPr>
    <w:rPr>
      <w:rFonts w:ascii="Times New Roman" w:hAnsi="Times New Roman" w:cs="Times New Roman"/>
      <w:color w:val="FF0000"/>
      <w:szCs w:val="28"/>
      <w:lang w:val="zh-CN"/>
    </w:rPr>
  </w:style>
  <w:style w:type="character" w:customStyle="1" w:styleId="Char7">
    <w:name w:val="说明正文 Char"/>
    <w:basedOn w:val="Char0"/>
    <w:link w:val="aff9"/>
    <w:qFormat/>
    <w:rPr>
      <w:rFonts w:ascii="仿宋_GB2312" w:eastAsia="仿宋_GB2312" w:hAnsi="仿宋_GB2312" w:cs="Calibri"/>
      <w:color w:val="FF0000"/>
      <w:kern w:val="2"/>
      <w:sz w:val="32"/>
      <w:szCs w:val="28"/>
      <w:lang w:val="zh-CN"/>
    </w:rPr>
  </w:style>
  <w:style w:type="table" w:customStyle="1" w:styleId="2">
    <w:name w:val="网格型2"/>
    <w:basedOn w:val="af4"/>
    <w:uiPriority w:val="99"/>
    <w:unhideWhenUsed/>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38300-428E-454E-BE53-1723CBA4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1280</Words>
  <Characters>7302</Characters>
  <Application>Microsoft Office Word</Application>
  <DocSecurity>0</DocSecurity>
  <Lines>60</Lines>
  <Paragraphs>17</Paragraphs>
  <ScaleCrop>false</ScaleCrop>
  <Company>HP</Company>
  <LinksUpToDate>false</LinksUpToDate>
  <CharactersWithSpaces>8565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 帐户</cp:lastModifiedBy>
  <cp:revision>9</cp:revision>
  <dcterms:created xsi:type="dcterms:W3CDTF">2025-10-13T16:04:00Z</dcterms:created>
  <dcterms:modified xsi:type="dcterms:W3CDTF">2025-10-13T16:54:00Z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9BC2AA99A08F4379A66905DD0B1391F4_13</vt:lpwstr>
  </property>
  <property fmtid="{D5CDD505-2E9C-101B-9397-08002B2CF9AE}" pid="4" name="KSOTemplateDocerSaveRecord">
    <vt:lpwstr>eyJoZGlkIjoiMjg3MDJlYTUxYzQ0OGI5ZDBmN2U0ZjkzY2IxNTFiMGEiLCJ1c2VySWQiOiIzODg0NjM3NDIifQ==</vt:lpwstr>
  </property>
</Properties>
</file>