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890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C3912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93E7A8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65.020.40</w:t>
            </w:r>
            <w:r>
              <w:rPr>
                <w:rFonts w:ascii="黑体" w:hAnsi="黑体" w:eastAsia="黑体"/>
                <w:sz w:val="21"/>
                <w:szCs w:val="21"/>
              </w:rPr>
              <w:fldChar w:fldCharType="end"/>
            </w:r>
            <w:bookmarkEnd w:id="0"/>
          </w:p>
        </w:tc>
      </w:tr>
      <w:tr w14:paraId="4C587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0B941F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2E4500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7EEFDC0">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16C4F8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w:t>
            </w:r>
            <w:r>
              <w:rPr>
                <w:rFonts w:hint="eastAsia" w:ascii="黑体" w:hAnsi="黑体" w:eastAsia="黑体"/>
                <w:sz w:val="21"/>
                <w:szCs w:val="21"/>
                <w:lang w:val="en-US" w:eastAsia="zh-CN"/>
              </w:rPr>
              <w:t xml:space="preserve"> </w:t>
            </w:r>
            <w:r>
              <w:rPr>
                <w:rFonts w:ascii="黑体" w:hAnsi="黑体" w:eastAsia="黑体"/>
                <w:sz w:val="21"/>
                <w:szCs w:val="21"/>
              </w:rPr>
              <w:t>64</w:t>
            </w:r>
            <w:r>
              <w:rPr>
                <w:rFonts w:ascii="黑体" w:hAnsi="黑体" w:eastAsia="黑体"/>
                <w:sz w:val="21"/>
                <w:szCs w:val="21"/>
              </w:rPr>
              <w:fldChar w:fldCharType="end"/>
            </w:r>
            <w:bookmarkEnd w:id="2"/>
          </w:p>
        </w:tc>
      </w:tr>
    </w:tbl>
    <w:p w14:paraId="49DB163C">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787A57C">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19ADE33">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FEDF31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9E767F">
      <w:pPr>
        <w:pStyle w:val="50"/>
        <w:framePr w:w="9639" w:h="6976" w:hRule="exact" w:hSpace="0" w:vSpace="0" w:wrap="around" w:hAnchor="page" w:y="6408"/>
        <w:jc w:val="center"/>
        <w:rPr>
          <w:rFonts w:ascii="黑体" w:hAnsi="黑体" w:eastAsia="黑体"/>
          <w:b w:val="0"/>
          <w:bCs w:val="0"/>
          <w:w w:val="100"/>
        </w:rPr>
      </w:pPr>
    </w:p>
    <w:p w14:paraId="79F5FBEC">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黑木相思种植技术规程</w:t>
      </w:r>
      <w:r>
        <w:fldChar w:fldCharType="end"/>
      </w:r>
      <w:bookmarkEnd w:id="8"/>
    </w:p>
    <w:p w14:paraId="25E9D57A">
      <w:pPr>
        <w:framePr w:w="9639" w:h="6974" w:hRule="exact" w:wrap="around" w:vAnchor="page" w:hAnchor="page" w:x="1419" w:y="6408" w:anchorLock="1"/>
        <w:ind w:left="-1418"/>
      </w:pPr>
    </w:p>
    <w:p w14:paraId="0E6CA7EA">
      <w:pPr>
        <w:pStyle w:val="125"/>
        <w:framePr w:w="9639" w:h="6974" w:hRule="exact" w:wrap="around" w:vAnchor="page" w:hAnchor="page" w:x="1419" w:y="6408" w:anchorLock="1"/>
        <w:textAlignment w:val="bottom"/>
        <w:rPr>
          <w:rFonts w:ascii="黑体" w:hAnsi="黑体" w:eastAsia="黑体" w:cs="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 xml:space="preserve">Technical code of practice for afforestation of </w:t>
      </w:r>
      <w:r>
        <w:rPr>
          <w:rFonts w:hint="eastAsia" w:ascii="黑体" w:hAnsi="黑体" w:eastAsia="黑体" w:cs="黑体"/>
          <w:i/>
          <w:iCs/>
          <w:szCs w:val="28"/>
        </w:rPr>
        <w:t>Acacia melanoxylon</w:t>
      </w:r>
      <w:r>
        <w:rPr>
          <w:rFonts w:hint="eastAsia" w:ascii="黑体" w:hAnsi="黑体" w:eastAsia="黑体" w:cs="黑体"/>
          <w:szCs w:val="28"/>
        </w:rPr>
        <w:fldChar w:fldCharType="end"/>
      </w:r>
      <w:bookmarkEnd w:id="9"/>
    </w:p>
    <w:p w14:paraId="2DC80B9F">
      <w:pPr>
        <w:framePr w:w="9639" w:h="6974" w:hRule="exact" w:wrap="around" w:vAnchor="page" w:hAnchor="page" w:x="1419" w:y="6408" w:anchorLock="1"/>
        <w:spacing w:line="760" w:lineRule="exact"/>
        <w:ind w:left="-1418"/>
      </w:pPr>
    </w:p>
    <w:p w14:paraId="7E0C37CB">
      <w:pPr>
        <w:pStyle w:val="125"/>
        <w:framePr w:w="9639" w:h="6974" w:hRule="exact" w:wrap="around" w:vAnchor="page" w:hAnchor="page" w:x="1419" w:y="6408" w:anchorLock="1"/>
        <w:textAlignment w:val="bottom"/>
        <w:rPr>
          <w:rFonts w:eastAsia="黑体"/>
          <w:szCs w:val="28"/>
        </w:rPr>
      </w:pPr>
    </w:p>
    <w:p w14:paraId="7ECDBE9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E94153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F7BC39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11812E2F">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2D5C828">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52C6CEE">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27583C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A3E1EF">
      <w:pPr>
        <w:pStyle w:val="91"/>
        <w:bidi w:val="0"/>
        <w:rPr>
          <w:rFonts w:hint="eastAsia"/>
          <w:lang w:eastAsia="zh-CN"/>
        </w:rPr>
      </w:pPr>
      <w:bookmarkStart w:id="20" w:name="BookMark1"/>
      <w:r>
        <w:rPr>
          <w:rFonts w:hint="eastAsia"/>
          <w:spacing w:val="320"/>
          <w:lang w:eastAsia="zh-CN"/>
        </w:rPr>
        <w:t>目</w:t>
      </w:r>
      <w:r>
        <w:rPr>
          <w:rFonts w:hint="eastAsia"/>
          <w:lang w:eastAsia="zh-CN"/>
        </w:rPr>
        <w:t>次</w:t>
      </w:r>
    </w:p>
    <w:p w14:paraId="60270ED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_Toc21538 </w:instrText>
      </w:r>
      <w:r>
        <w:rPr>
          <w:rFonts w:hint="eastAsia"/>
          <w:spacing w:val="0"/>
          <w:lang w:eastAsia="zh-CN"/>
        </w:rPr>
        <w:fldChar w:fldCharType="separate"/>
      </w:r>
      <w:r>
        <w:rPr>
          <w:rFonts w:hint="eastAsia"/>
          <w:spacing w:val="0"/>
        </w:rPr>
        <w:t>前言</w:t>
      </w:r>
      <w:r>
        <w:rPr>
          <w:spacing w:val="0"/>
        </w:rPr>
        <w:tab/>
      </w:r>
      <w:r>
        <w:rPr>
          <w:spacing w:val="0"/>
        </w:rPr>
        <w:fldChar w:fldCharType="begin"/>
      </w:r>
      <w:r>
        <w:rPr>
          <w:spacing w:val="0"/>
        </w:rPr>
        <w:instrText xml:space="preserve"> PAGEREF _Toc21538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1AB021E9">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_Toc32468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_Toc32468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705DF0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_Toc24319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_Toc24319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D0C88A4">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_Toc20332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_Toc20332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B9B381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_Toc30283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造林</w:t>
      </w:r>
      <w:r>
        <w:rPr>
          <w:spacing w:val="0"/>
        </w:rPr>
        <w:tab/>
      </w:r>
      <w:r>
        <w:rPr>
          <w:spacing w:val="0"/>
        </w:rPr>
        <w:fldChar w:fldCharType="begin"/>
      </w:r>
      <w:r>
        <w:rPr>
          <w:spacing w:val="0"/>
        </w:rPr>
        <w:instrText xml:space="preserve"> PAGEREF _Toc30283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BAADBF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_Toc22635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修枝</w:t>
      </w:r>
      <w:r>
        <w:rPr>
          <w:spacing w:val="0"/>
        </w:rPr>
        <w:tab/>
      </w:r>
      <w:r>
        <w:rPr>
          <w:spacing w:val="0"/>
        </w:rPr>
        <w:fldChar w:fldCharType="begin"/>
      </w:r>
      <w:r>
        <w:rPr>
          <w:spacing w:val="0"/>
        </w:rPr>
        <w:instrText xml:space="preserve"> PAGEREF _Toc22635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2791B6D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_Toc12355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间伐</w:t>
      </w:r>
      <w:r>
        <w:rPr>
          <w:spacing w:val="0"/>
        </w:rPr>
        <w:tab/>
      </w:r>
      <w:r>
        <w:rPr>
          <w:spacing w:val="0"/>
        </w:rPr>
        <w:fldChar w:fldCharType="begin"/>
      </w:r>
      <w:r>
        <w:rPr>
          <w:spacing w:val="0"/>
        </w:rPr>
        <w:instrText xml:space="preserve"> PAGEREF _Toc12355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39E68F7B">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_Toc26311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主伐年龄</w:t>
      </w:r>
      <w:r>
        <w:rPr>
          <w:spacing w:val="0"/>
        </w:rPr>
        <w:tab/>
      </w:r>
      <w:r>
        <w:rPr>
          <w:spacing w:val="0"/>
        </w:rPr>
        <w:fldChar w:fldCharType="begin"/>
      </w:r>
      <w:r>
        <w:rPr>
          <w:spacing w:val="0"/>
        </w:rPr>
        <w:instrText xml:space="preserve"> PAGEREF _Toc26311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28E6973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_Toc7941 </w:instrText>
      </w:r>
      <w:r>
        <w:rPr>
          <w:rFonts w:hint="eastAsia"/>
          <w:spacing w:val="0"/>
          <w:lang w:eastAsia="zh-CN"/>
        </w:rPr>
        <w:fldChar w:fldCharType="separate"/>
      </w:r>
      <w:r>
        <w:rPr>
          <w:rFonts w:hint="eastAsia" w:ascii="黑体" w:eastAsia="黑体"/>
          <w:i w:val="0"/>
          <w:spacing w:val="0"/>
        </w:rPr>
        <w:t>8</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病虫害防治</w:t>
      </w:r>
      <w:r>
        <w:rPr>
          <w:spacing w:val="0"/>
        </w:rPr>
        <w:tab/>
      </w:r>
      <w:r>
        <w:rPr>
          <w:spacing w:val="0"/>
        </w:rPr>
        <w:fldChar w:fldCharType="begin"/>
      </w:r>
      <w:r>
        <w:rPr>
          <w:spacing w:val="0"/>
        </w:rPr>
        <w:instrText xml:space="preserve"> PAGEREF _Toc7941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B38D6D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_Toc24861 </w:instrText>
      </w:r>
      <w:r>
        <w:rPr>
          <w:rFonts w:hint="eastAsia"/>
          <w:spacing w:val="0"/>
          <w:lang w:eastAsia="zh-CN"/>
        </w:rPr>
        <w:fldChar w:fldCharType="separate"/>
      </w:r>
      <w:r>
        <w:rPr>
          <w:rFonts w:hint="eastAsia" w:ascii="黑体" w:eastAsia="黑体"/>
          <w:i w:val="0"/>
          <w:spacing w:val="0"/>
        </w:rPr>
        <w:t>9</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技术档案</w:t>
      </w:r>
      <w:r>
        <w:rPr>
          <w:spacing w:val="0"/>
        </w:rPr>
        <w:tab/>
      </w:r>
      <w:r>
        <w:rPr>
          <w:spacing w:val="0"/>
        </w:rPr>
        <w:fldChar w:fldCharType="begin"/>
      </w:r>
      <w:r>
        <w:rPr>
          <w:spacing w:val="0"/>
        </w:rPr>
        <w:instrText xml:space="preserve"> PAGEREF _Toc24861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3874C3C">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_Toc8140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rPr>
        <w:t>（资料性</w:t>
      </w:r>
      <w:r>
        <w:rPr>
          <w:rFonts w:hint="eastAsia"/>
          <w:spacing w:val="0"/>
          <w:lang w:eastAsia="zh-CN"/>
        </w:rPr>
        <w:t xml:space="preserve"> </w:t>
      </w:r>
      <w:r>
        <w:rPr>
          <w:rFonts w:hint="eastAsia"/>
          <w:spacing w:val="0"/>
        </w:rPr>
        <w:t>） 黑木相思常见病虫害及防治</w:t>
      </w:r>
      <w:r>
        <w:rPr>
          <w:spacing w:val="0"/>
        </w:rPr>
        <w:tab/>
      </w:r>
      <w:r>
        <w:rPr>
          <w:spacing w:val="0"/>
        </w:rPr>
        <w:fldChar w:fldCharType="begin"/>
      </w:r>
      <w:r>
        <w:rPr>
          <w:spacing w:val="0"/>
        </w:rPr>
        <w:instrText xml:space="preserve"> PAGEREF _Toc8140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6DBD4467">
      <w:pPr>
        <w:pStyle w:val="91"/>
        <w:bidi w:val="0"/>
        <w:rPr>
          <w:rFonts w:hint="eastAsia"/>
          <w:spacing w:val="0"/>
          <w:lang w:eastAsia="zh-CN"/>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0"/>
    <w:p w14:paraId="3C2D5D3C">
      <w:pPr>
        <w:pStyle w:val="89"/>
        <w:spacing w:before="560" w:after="360"/>
      </w:pPr>
      <w:bookmarkStart w:id="21" w:name="_Toc21538"/>
      <w:bookmarkStart w:id="22" w:name="BookMark2"/>
      <w:r>
        <w:rPr>
          <w:rFonts w:hint="eastAsia"/>
          <w:spacing w:val="320"/>
        </w:rPr>
        <w:t>前</w:t>
      </w:r>
      <w:r>
        <w:rPr>
          <w:rFonts w:hint="eastAsia"/>
        </w:rPr>
        <w:t>言</w:t>
      </w:r>
      <w:bookmarkEnd w:id="21"/>
    </w:p>
    <w:p w14:paraId="53ED7BDB">
      <w:pPr>
        <w:pStyle w:val="56"/>
        <w:ind w:firstLine="420"/>
      </w:pPr>
      <w:r>
        <w:rPr>
          <w:rFonts w:hint="eastAsia"/>
        </w:rPr>
        <w:t>本文件按照GB/T 1.1—2020《标准化工作导则  第1部分：标准化文件的结构和起草规则》的规定起草。</w:t>
      </w:r>
    </w:p>
    <w:p w14:paraId="295CBCF6">
      <w:pPr>
        <w:pStyle w:val="56"/>
        <w:ind w:firstLine="420"/>
      </w:pPr>
      <w:r>
        <w:rPr>
          <w:rFonts w:hint="eastAsia"/>
        </w:rPr>
        <w:t>请注意本文件的某些内容可能涉及专利。本文件的发布机构不承担识别专利的责任。</w:t>
      </w:r>
    </w:p>
    <w:p w14:paraId="7BCB7789">
      <w:pPr>
        <w:pStyle w:val="56"/>
        <w:ind w:firstLine="420"/>
      </w:pPr>
      <w:r>
        <w:rPr>
          <w:rFonts w:hint="eastAsia"/>
        </w:rPr>
        <w:t>本文件由广西林学会提出、归口并宣贯。</w:t>
      </w:r>
    </w:p>
    <w:p w14:paraId="6BDEA2C7">
      <w:pPr>
        <w:pStyle w:val="56"/>
        <w:ind w:firstLine="420"/>
      </w:pPr>
      <w:r>
        <w:rPr>
          <w:rFonts w:hint="eastAsia"/>
        </w:rPr>
        <w:t>本文件起草单位：广西壮族自治区国有博白林场、广西壮族自治区国有派阳山林场、广西大学</w:t>
      </w:r>
    </w:p>
    <w:p w14:paraId="25CE0A53">
      <w:pPr>
        <w:pStyle w:val="56"/>
        <w:ind w:firstLine="420"/>
      </w:pPr>
      <w:r>
        <w:rPr>
          <w:rFonts w:hint="eastAsia"/>
        </w:rPr>
        <w:t>本文件主要起草人：林武、周怀勋、王凌晖、林婧、杨胜基、杨梅、冯锋、陆素君、梁晨、陈振生、罗丽娇、张彩玲、刘伟莉、李昌涛、蒋锋、梁娟、付军、安冰、滕维超、马道承。</w:t>
      </w:r>
    </w:p>
    <w:p w14:paraId="368A3B82">
      <w:pPr>
        <w:pStyle w:val="56"/>
        <w:ind w:firstLine="420"/>
      </w:pPr>
    </w:p>
    <w:p w14:paraId="6ED49F87">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2"/>
    <w:p w14:paraId="3BC7AF46">
      <w:pPr>
        <w:spacing w:line="20" w:lineRule="exact"/>
        <w:jc w:val="center"/>
        <w:rPr>
          <w:rFonts w:ascii="黑体" w:hAnsi="黑体" w:eastAsia="黑体"/>
          <w:sz w:val="32"/>
          <w:szCs w:val="32"/>
        </w:rPr>
      </w:pPr>
      <w:bookmarkStart w:id="23" w:name="BookMark4"/>
    </w:p>
    <w:p w14:paraId="1A4C5839">
      <w:pPr>
        <w:spacing w:line="20" w:lineRule="exact"/>
        <w:jc w:val="center"/>
        <w:rPr>
          <w:rFonts w:ascii="黑体" w:hAnsi="黑体" w:eastAsia="黑体"/>
          <w:sz w:val="32"/>
          <w:szCs w:val="32"/>
        </w:rPr>
      </w:pPr>
    </w:p>
    <w:sdt>
      <w:sdtPr>
        <w:tag w:val="NEW_STAND_NAME"/>
        <w:id w:val="595910757"/>
        <w:lock w:val="sdtLocked"/>
        <w:placeholder>
          <w:docPart w:val="9B3BEDB4F2724F9D81F4444A5CCE266D"/>
        </w:placeholder>
      </w:sdtPr>
      <w:sdtContent>
        <w:p w14:paraId="32FB985D">
          <w:pPr>
            <w:pStyle w:val="177"/>
            <w:spacing w:before="2" w:beforeLines="1" w:after="528" w:afterLines="220"/>
          </w:pPr>
          <w:bookmarkStart w:id="24" w:name="NEW_STAND_NAME"/>
          <w:r>
            <w:rPr>
              <w:rFonts w:hint="eastAsia"/>
            </w:rPr>
            <w:t>黑木相思种植技术规程</w:t>
          </w:r>
        </w:p>
      </w:sdtContent>
    </w:sdt>
    <w:bookmarkEnd w:id="24"/>
    <w:p w14:paraId="29BAB2C5">
      <w:pPr>
        <w:pStyle w:val="104"/>
        <w:spacing w:before="240" w:after="240"/>
      </w:pPr>
      <w:bookmarkStart w:id="25" w:name="_Toc17233325"/>
      <w:bookmarkStart w:id="26" w:name="_Toc17233333"/>
      <w:bookmarkStart w:id="27" w:name="_Toc26986530"/>
      <w:bookmarkStart w:id="28" w:name="_Toc26648465"/>
      <w:bookmarkStart w:id="29" w:name="_Toc26986771"/>
      <w:bookmarkStart w:id="30" w:name="_Toc97192964"/>
      <w:bookmarkStart w:id="31" w:name="_Toc24884218"/>
      <w:bookmarkStart w:id="32" w:name="_Toc24884211"/>
      <w:bookmarkStart w:id="33" w:name="_Toc32468"/>
      <w:bookmarkStart w:id="34" w:name="_Toc26718930"/>
      <w:r>
        <w:rPr>
          <w:rFonts w:hint="eastAsia"/>
        </w:rPr>
        <w:t>范围</w:t>
      </w:r>
      <w:bookmarkEnd w:id="25"/>
      <w:bookmarkEnd w:id="26"/>
      <w:bookmarkEnd w:id="27"/>
      <w:bookmarkEnd w:id="28"/>
      <w:bookmarkEnd w:id="29"/>
      <w:bookmarkEnd w:id="30"/>
      <w:bookmarkEnd w:id="31"/>
      <w:bookmarkEnd w:id="32"/>
      <w:bookmarkEnd w:id="33"/>
      <w:bookmarkEnd w:id="34"/>
    </w:p>
    <w:p w14:paraId="6C9FB3D9">
      <w:pPr>
        <w:pStyle w:val="56"/>
        <w:ind w:firstLine="420"/>
      </w:pPr>
      <w:bookmarkStart w:id="35" w:name="_Toc26648466"/>
      <w:bookmarkStart w:id="36" w:name="_Toc17233334"/>
      <w:bookmarkStart w:id="37" w:name="_Toc24884219"/>
      <w:bookmarkStart w:id="38" w:name="_Toc17233326"/>
      <w:bookmarkStart w:id="39" w:name="_Toc24884212"/>
      <w:r>
        <w:rPr>
          <w:rFonts w:hint="eastAsia"/>
        </w:rPr>
        <w:t>本标准规定了黑木相思(</w:t>
      </w:r>
      <w:r>
        <w:rPr>
          <w:rFonts w:hint="eastAsia"/>
          <w:i/>
          <w:iCs/>
        </w:rPr>
        <w:t>Acacia melanoxylon</w:t>
      </w:r>
      <w:r>
        <w:rPr>
          <w:rFonts w:hint="eastAsia"/>
        </w:rPr>
        <w:t>)人工林营造林过程中的术语和定义、作业设计、苗木质量、造林、修枝、间伐、主伐年龄、病虫害防治、技术档案等要求。</w:t>
      </w:r>
    </w:p>
    <w:p w14:paraId="4BFB31AB">
      <w:pPr>
        <w:pStyle w:val="56"/>
        <w:ind w:firstLine="420"/>
      </w:pPr>
      <w:r>
        <w:rPr>
          <w:rFonts w:hint="eastAsia"/>
        </w:rPr>
        <w:t>本文件适用于广西行政区域内黑木相思人工林的营造林。</w:t>
      </w:r>
    </w:p>
    <w:p w14:paraId="08622F9E">
      <w:pPr>
        <w:pStyle w:val="104"/>
        <w:spacing w:before="240" w:after="240"/>
      </w:pPr>
      <w:bookmarkStart w:id="40" w:name="_Toc26986531"/>
      <w:bookmarkStart w:id="41" w:name="_Toc97192965"/>
      <w:bookmarkStart w:id="42" w:name="_Toc26986772"/>
      <w:bookmarkStart w:id="43" w:name="_Toc26718931"/>
      <w:bookmarkStart w:id="44" w:name="_Toc2431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973FB8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9C92CD">
      <w:pPr>
        <w:pStyle w:val="56"/>
        <w:ind w:firstLine="420"/>
        <w:rPr>
          <w:rFonts w:ascii="宋体" w:hAnsi="宋体" w:cs="宋体"/>
        </w:rPr>
      </w:pPr>
      <w:r>
        <w:rPr>
          <w:rFonts w:hint="eastAsia" w:ascii="宋体" w:hAnsi="宋体" w:cs="宋体"/>
        </w:rPr>
        <w:t xml:space="preserve">GB 6000 </w:t>
      </w:r>
      <w:r>
        <w:rPr>
          <w:rFonts w:hint="eastAsia" w:ascii="宋体" w:hAnsi="宋体" w:cs="宋体"/>
          <w:lang w:val="en-US" w:eastAsia="zh-CN"/>
        </w:rPr>
        <w:t xml:space="preserve"> </w:t>
      </w:r>
      <w:r>
        <w:rPr>
          <w:rFonts w:hint="eastAsia" w:ascii="宋体" w:hAnsi="宋体" w:cs="宋体"/>
        </w:rPr>
        <w:t>主要造林树种苗木质量分级</w:t>
      </w:r>
    </w:p>
    <w:p w14:paraId="318307F8">
      <w:pPr>
        <w:pStyle w:val="56"/>
        <w:ind w:firstLine="420"/>
        <w:rPr>
          <w:rFonts w:ascii="宋体" w:hAnsi="宋体" w:cs="宋体"/>
        </w:rPr>
      </w:pPr>
      <w:r>
        <w:rPr>
          <w:rFonts w:hint="eastAsia" w:ascii="宋体" w:hAnsi="宋体" w:cs="宋体"/>
        </w:rPr>
        <w:t>GB/T 15776</w:t>
      </w:r>
      <w:r>
        <w:rPr>
          <w:rFonts w:hint="eastAsia" w:ascii="宋体" w:hAnsi="宋体" w:cs="宋体"/>
          <w:lang w:val="en-US" w:eastAsia="zh-CN"/>
        </w:rPr>
        <w:t xml:space="preserve">  </w:t>
      </w:r>
      <w:r>
        <w:rPr>
          <w:rFonts w:hint="eastAsia" w:ascii="宋体" w:hAnsi="宋体" w:cs="宋体"/>
        </w:rPr>
        <w:t>造林技术规程</w:t>
      </w:r>
    </w:p>
    <w:p w14:paraId="786F0B20">
      <w:pPr>
        <w:pStyle w:val="56"/>
        <w:ind w:firstLine="420"/>
        <w:rPr>
          <w:rFonts w:ascii="宋体" w:hAnsi="宋体" w:cs="宋体"/>
        </w:rPr>
      </w:pPr>
      <w:r>
        <w:rPr>
          <w:rFonts w:hint="eastAsia" w:ascii="宋体" w:hAnsi="宋体" w:cs="宋体"/>
        </w:rPr>
        <w:t xml:space="preserve">GB/T 15781 </w:t>
      </w:r>
      <w:r>
        <w:rPr>
          <w:rFonts w:hint="eastAsia" w:ascii="宋体" w:hAnsi="宋体" w:cs="宋体"/>
          <w:lang w:val="en-US" w:eastAsia="zh-CN"/>
        </w:rPr>
        <w:t xml:space="preserve"> </w:t>
      </w:r>
      <w:r>
        <w:rPr>
          <w:rFonts w:hint="eastAsia" w:ascii="宋体" w:hAnsi="宋体" w:cs="宋体"/>
        </w:rPr>
        <w:t>森林抚育规程</w:t>
      </w:r>
    </w:p>
    <w:p w14:paraId="3D90923C">
      <w:pPr>
        <w:pStyle w:val="56"/>
        <w:ind w:firstLine="420"/>
        <w:rPr>
          <w:rFonts w:ascii="宋体" w:hAnsi="宋体" w:cs="宋体"/>
        </w:rPr>
      </w:pPr>
      <w:r>
        <w:rPr>
          <w:rFonts w:hint="eastAsia" w:ascii="宋体" w:hAnsi="宋体" w:cs="宋体"/>
        </w:rPr>
        <w:t>GB/T 15782</w:t>
      </w:r>
      <w:r>
        <w:rPr>
          <w:rFonts w:ascii="宋体" w:hAnsi="宋体" w:cs="宋体"/>
        </w:rPr>
        <w:t xml:space="preserve"> </w:t>
      </w:r>
      <w:r>
        <w:rPr>
          <w:rFonts w:hint="eastAsia" w:ascii="宋体" w:hAnsi="宋体" w:cs="宋体"/>
          <w:lang w:val="en-US" w:eastAsia="zh-CN"/>
        </w:rPr>
        <w:t xml:space="preserve"> </w:t>
      </w:r>
      <w:r>
        <w:rPr>
          <w:rFonts w:hint="eastAsia" w:ascii="宋体" w:hAnsi="宋体" w:cs="宋体"/>
        </w:rPr>
        <w:t>营造林总体设计规程</w:t>
      </w:r>
    </w:p>
    <w:p w14:paraId="6354D8B6">
      <w:pPr>
        <w:pStyle w:val="56"/>
        <w:ind w:firstLine="420"/>
        <w:rPr>
          <w:rFonts w:ascii="宋体" w:hAnsi="宋体" w:cs="宋体"/>
        </w:rPr>
      </w:pPr>
      <w:r>
        <w:rPr>
          <w:rFonts w:hint="eastAsia" w:ascii="宋体" w:hAnsi="宋体" w:cs="宋体"/>
        </w:rPr>
        <w:t xml:space="preserve">LY/T 1000 </w:t>
      </w:r>
      <w:r>
        <w:rPr>
          <w:rFonts w:hint="eastAsia" w:ascii="宋体" w:hAnsi="宋体" w:cs="宋体"/>
          <w:lang w:val="en-US" w:eastAsia="zh-CN"/>
        </w:rPr>
        <w:t xml:space="preserve"> </w:t>
      </w:r>
      <w:r>
        <w:rPr>
          <w:rFonts w:hint="eastAsia" w:ascii="宋体" w:hAnsi="宋体" w:cs="宋体"/>
        </w:rPr>
        <w:t>容器育苗技术</w:t>
      </w:r>
    </w:p>
    <w:p w14:paraId="43664C44">
      <w:pPr>
        <w:pStyle w:val="56"/>
        <w:ind w:firstLine="420"/>
        <w:rPr>
          <w:rFonts w:hint="eastAsia"/>
        </w:rPr>
      </w:pPr>
      <w:r>
        <w:rPr>
          <w:rFonts w:hint="eastAsia" w:ascii="宋体" w:hAnsi="宋体" w:cs="宋体"/>
        </w:rPr>
        <w:t>LY/T 1496</w:t>
      </w:r>
      <w:r>
        <w:rPr>
          <w:rFonts w:ascii="宋体" w:hAnsi="宋体" w:cs="宋体"/>
        </w:rPr>
        <w:t xml:space="preserve"> </w:t>
      </w:r>
      <w:r>
        <w:rPr>
          <w:rFonts w:hint="eastAsia" w:ascii="宋体" w:hAnsi="宋体" w:cs="宋体"/>
          <w:lang w:val="en-US" w:eastAsia="zh-CN"/>
        </w:rPr>
        <w:t xml:space="preserve"> </w:t>
      </w:r>
      <w:r>
        <w:rPr>
          <w:rFonts w:ascii="宋体" w:hAnsi="宋体" w:cs="宋体"/>
        </w:rPr>
        <w:t>造林技术规程</w:t>
      </w:r>
    </w:p>
    <w:p w14:paraId="31AD0C07">
      <w:pPr>
        <w:pStyle w:val="56"/>
        <w:ind w:firstLine="420"/>
        <w:rPr>
          <w:rFonts w:hint="eastAsia"/>
        </w:rPr>
      </w:pPr>
      <w:r>
        <w:rPr>
          <w:rFonts w:hint="eastAsia" w:ascii="宋体" w:hAnsi="宋体" w:cs="宋体"/>
        </w:rPr>
        <w:t xml:space="preserve">LY/T 1646 </w:t>
      </w:r>
      <w:r>
        <w:rPr>
          <w:rFonts w:hint="eastAsia" w:ascii="宋体" w:hAnsi="宋体" w:cs="宋体"/>
          <w:lang w:val="en-US" w:eastAsia="zh-CN"/>
        </w:rPr>
        <w:t xml:space="preserve"> </w:t>
      </w:r>
      <w:r>
        <w:rPr>
          <w:rFonts w:hint="eastAsia" w:ascii="宋体" w:hAnsi="宋体" w:cs="宋体"/>
        </w:rPr>
        <w:t>森林采</w:t>
      </w:r>
      <w:r>
        <w:rPr>
          <w:rFonts w:hint="eastAsia"/>
        </w:rPr>
        <w:t>伐作业规程</w:t>
      </w:r>
    </w:p>
    <w:p w14:paraId="716471B5">
      <w:pPr>
        <w:pStyle w:val="56"/>
        <w:ind w:firstLine="420"/>
        <w:rPr>
          <w:rFonts w:hint="default" w:eastAsia="宋体"/>
          <w:lang w:val="en-US" w:eastAsia="zh-CN"/>
        </w:rPr>
      </w:pPr>
      <w:r>
        <w:rPr>
          <w:rFonts w:hint="eastAsia" w:ascii="宋体" w:hAnsi="宋体" w:cs="宋体"/>
        </w:rPr>
        <w:t>LY/T 2427</w:t>
      </w:r>
      <w:r>
        <w:rPr>
          <w:rFonts w:hint="eastAsia" w:ascii="宋体" w:hAnsi="宋体" w:cs="宋体"/>
          <w:lang w:val="en-US" w:eastAsia="zh-CN"/>
        </w:rPr>
        <w:t xml:space="preserve">  马尾松种子园营建技术规程</w:t>
      </w:r>
    </w:p>
    <w:p w14:paraId="287D3B51">
      <w:pPr>
        <w:pStyle w:val="104"/>
        <w:spacing w:before="240" w:after="240"/>
      </w:pPr>
      <w:bookmarkStart w:id="45" w:name="_Toc20332"/>
      <w:bookmarkStart w:id="46" w:name="_Toc97192966"/>
      <w:r>
        <w:rPr>
          <w:rFonts w:hint="eastAsia"/>
          <w:szCs w:val="21"/>
        </w:rPr>
        <w:t>术语和定义</w:t>
      </w:r>
      <w:bookmarkEnd w:id="45"/>
      <w:bookmarkEnd w:id="46"/>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101650D">
          <w:pPr>
            <w:pStyle w:val="56"/>
            <w:ind w:firstLine="420"/>
          </w:pPr>
          <w:bookmarkStart w:id="47" w:name="_Toc26986532"/>
          <w:bookmarkEnd w:id="47"/>
          <w:r>
            <w:t>下列术语和定义适用于本文件。</w:t>
          </w:r>
        </w:p>
      </w:sdtContent>
    </w:sdt>
    <w:p w14:paraId="1465A4F7">
      <w:pPr>
        <w:pStyle w:val="223"/>
        <w:ind w:left="420" w:hanging="420" w:hangingChars="200"/>
        <w:rPr>
          <w:rFonts w:ascii="黑体" w:hAnsi="黑体" w:eastAsia="黑体" w:cs="黑体"/>
        </w:rPr>
      </w:pPr>
      <w:r>
        <w:rPr>
          <w:rFonts w:hint="eastAsia" w:ascii="黑体" w:hAnsi="黑体" w:eastAsia="黑体" w:cs="黑体"/>
        </w:rPr>
        <w:br w:type="textWrapping"/>
      </w:r>
      <w:r>
        <w:rPr>
          <w:rFonts w:hint="eastAsia" w:ascii="黑体" w:hAnsi="黑体" w:eastAsia="黑体" w:cs="黑体"/>
        </w:rPr>
        <w:t>修枝 pruning</w:t>
      </w:r>
    </w:p>
    <w:p w14:paraId="45316EF1">
      <w:pPr>
        <w:pStyle w:val="56"/>
        <w:ind w:firstLine="420"/>
      </w:pPr>
      <w:r>
        <w:rPr>
          <w:rFonts w:hint="eastAsia"/>
        </w:rPr>
        <w:t>指切除、割断或砍掉林木多余的树枝。</w:t>
      </w:r>
    </w:p>
    <w:p w14:paraId="2B23A1F2">
      <w:pPr>
        <w:pStyle w:val="223"/>
        <w:ind w:left="420" w:hanging="420" w:hangingChars="200"/>
        <w:rPr>
          <w:rFonts w:ascii="黑体" w:hAnsi="黑体" w:eastAsia="黑体" w:cs="黑体"/>
        </w:rPr>
      </w:pPr>
      <w:r>
        <w:rPr>
          <w:rFonts w:hint="eastAsia" w:ascii="黑体" w:hAnsi="黑体" w:eastAsia="黑体" w:cs="黑体"/>
        </w:rPr>
        <w:br w:type="textWrapping"/>
      </w:r>
      <w:r>
        <w:rPr>
          <w:rFonts w:hint="eastAsia" w:ascii="黑体" w:hAnsi="黑体" w:eastAsia="黑体" w:cs="黑体"/>
        </w:rPr>
        <w:t>枝桩 branch pile</w:t>
      </w:r>
    </w:p>
    <w:p w14:paraId="7133A27C">
      <w:pPr>
        <w:pStyle w:val="56"/>
        <w:ind w:firstLine="420"/>
      </w:pPr>
      <w:r>
        <w:rPr>
          <w:rFonts w:hint="eastAsia"/>
        </w:rPr>
        <w:t>林木修枝时，一般保留伤口到树干的一小节侧枝。</w:t>
      </w:r>
    </w:p>
    <w:p w14:paraId="6AEC9CC7">
      <w:pPr>
        <w:pStyle w:val="223"/>
        <w:ind w:left="420" w:hanging="420" w:hangingChars="200"/>
        <w:rPr>
          <w:rFonts w:ascii="黑体" w:hAnsi="黑体" w:eastAsia="黑体" w:cs="黑体"/>
        </w:rPr>
      </w:pPr>
      <w:r>
        <w:rPr>
          <w:rFonts w:hint="eastAsia" w:ascii="黑体" w:hAnsi="黑体" w:eastAsia="黑体" w:cs="黑体"/>
        </w:rPr>
        <w:br w:type="textWrapping"/>
      </w:r>
      <w:r>
        <w:rPr>
          <w:rFonts w:hint="eastAsia" w:ascii="黑体" w:hAnsi="黑体" w:eastAsia="黑体" w:cs="黑体"/>
        </w:rPr>
        <w:t>平切修枝 knot-free timber</w:t>
      </w:r>
    </w:p>
    <w:p w14:paraId="252FDCCB">
      <w:pPr>
        <w:pStyle w:val="56"/>
        <w:ind w:firstLine="420"/>
      </w:pPr>
      <w:r>
        <w:rPr>
          <w:rFonts w:hint="eastAsia"/>
        </w:rPr>
        <w:t>紧贴树干用锯子从枝条下方向上将活枝、死枝切掉，使伤口平面与树干齐平。</w:t>
      </w:r>
    </w:p>
    <w:p w14:paraId="573C5F5B">
      <w:pPr>
        <w:pStyle w:val="223"/>
        <w:ind w:left="420" w:hanging="420" w:hangingChars="200"/>
        <w:rPr>
          <w:rFonts w:ascii="黑体" w:hAnsi="黑体" w:eastAsia="黑体" w:cs="黑体"/>
        </w:rPr>
      </w:pPr>
      <w:r>
        <w:br w:type="textWrapping"/>
      </w:r>
      <w:r>
        <w:rPr>
          <w:rFonts w:hint="eastAsia" w:ascii="黑体" w:hAnsi="黑体" w:eastAsia="黑体" w:cs="黑体"/>
        </w:rPr>
        <w:t>作业设计</w:t>
      </w:r>
    </w:p>
    <w:p w14:paraId="16893127">
      <w:pPr>
        <w:pStyle w:val="56"/>
        <w:ind w:firstLine="420"/>
      </w:pPr>
      <w:r>
        <w:rPr>
          <w:rFonts w:hint="eastAsia"/>
        </w:rPr>
        <w:t>造林作</w:t>
      </w:r>
      <w:r>
        <w:rPr>
          <w:rFonts w:hint="eastAsia" w:ascii="宋体" w:hAnsi="宋体" w:cs="宋体"/>
        </w:rPr>
        <w:t>业设计、抚育设计和采伐设计分别按GB/T 15782 、GB/T 15781和LY/T 1646规</w:t>
      </w:r>
      <w:r>
        <w:rPr>
          <w:rFonts w:hint="eastAsia"/>
        </w:rPr>
        <w:t>定。</w:t>
      </w:r>
    </w:p>
    <w:p w14:paraId="6412C47A">
      <w:pPr>
        <w:pStyle w:val="223"/>
        <w:ind w:left="420" w:hanging="420" w:hangingChars="200"/>
        <w:rPr>
          <w:rFonts w:ascii="黑体" w:hAnsi="黑体" w:eastAsia="黑体" w:cs="黑体"/>
        </w:rPr>
      </w:pPr>
      <w:r>
        <w:br w:type="textWrapping"/>
      </w:r>
      <w:r>
        <w:rPr>
          <w:rFonts w:hint="eastAsia" w:ascii="黑体" w:hAnsi="黑体" w:eastAsia="黑体" w:cs="黑体"/>
        </w:rPr>
        <w:t>苗木质量</w:t>
      </w:r>
    </w:p>
    <w:p w14:paraId="054B30C2">
      <w:pPr>
        <w:pStyle w:val="56"/>
        <w:ind w:firstLine="420"/>
      </w:pPr>
      <w:r>
        <w:rPr>
          <w:rFonts w:hint="eastAsia" w:ascii="宋体" w:hAnsi="宋体" w:cs="宋体"/>
        </w:rPr>
        <w:t>采用区内外的优良无性系，造林苗木为容器苗，出圃规格、包装与苗木运输按执行LY/T 1000的规定，苗木质量检验按GB 6000规定执</w:t>
      </w:r>
      <w:r>
        <w:rPr>
          <w:rFonts w:hint="eastAsia"/>
        </w:rPr>
        <w:t>行。</w:t>
      </w:r>
    </w:p>
    <w:p w14:paraId="1FD8FD5C">
      <w:pPr>
        <w:pStyle w:val="104"/>
        <w:spacing w:before="240" w:after="240"/>
      </w:pPr>
      <w:bookmarkStart w:id="48" w:name="_Toc30283"/>
      <w:r>
        <w:rPr>
          <w:rFonts w:hint="eastAsia"/>
        </w:rPr>
        <w:t>造林</w:t>
      </w:r>
      <w:bookmarkEnd w:id="48"/>
    </w:p>
    <w:p w14:paraId="7E3B99D0">
      <w:pPr>
        <w:pStyle w:val="105"/>
        <w:spacing w:before="120" w:after="120"/>
      </w:pPr>
      <w:r>
        <w:rPr>
          <w:rFonts w:hint="eastAsia"/>
        </w:rPr>
        <w:t>林地选择</w:t>
      </w:r>
    </w:p>
    <w:p w14:paraId="4D52261A">
      <w:pPr>
        <w:pStyle w:val="56"/>
        <w:ind w:firstLine="420"/>
      </w:pPr>
      <w:r>
        <w:rPr>
          <w:rFonts w:hint="eastAsia"/>
        </w:rPr>
        <w:t>选择采伐迹地、退耕还林地、火烧迹</w:t>
      </w:r>
      <w:bookmarkStart w:id="57" w:name="_GoBack"/>
      <w:bookmarkEnd w:id="57"/>
      <w:r>
        <w:rPr>
          <w:rFonts w:hint="eastAsia"/>
        </w:rPr>
        <w:t>地以及荒山荒地等宜林地。</w:t>
      </w:r>
    </w:p>
    <w:p w14:paraId="35CD27DC">
      <w:pPr>
        <w:pStyle w:val="105"/>
        <w:spacing w:before="120" w:after="120"/>
      </w:pPr>
      <w:r>
        <w:rPr>
          <w:rFonts w:hint="eastAsia"/>
        </w:rPr>
        <w:t>整地</w:t>
      </w:r>
    </w:p>
    <w:p w14:paraId="088ADFFD">
      <w:pPr>
        <w:pStyle w:val="56"/>
        <w:ind w:firstLine="420"/>
      </w:pPr>
      <w:r>
        <w:rPr>
          <w:rFonts w:hint="eastAsia" w:ascii="宋体" w:hAnsi="宋体" w:cs="宋体"/>
        </w:rPr>
        <w:t>以垂直于等高线的方向起行；若林地坡向线与等高线难成垂直关系，则要求顺坡向起行。挖穴规格：人工整地，40</w:t>
      </w:r>
      <w:r>
        <w:rPr>
          <w:rFonts w:hint="eastAsia" w:ascii="宋体" w:hAnsi="宋体" w:cs="宋体"/>
          <w:vertAlign w:val="superscript"/>
        </w:rPr>
        <w:t xml:space="preserve"> </w:t>
      </w:r>
      <w:r>
        <w:rPr>
          <w:rFonts w:hint="eastAsia" w:ascii="宋体" w:hAnsi="宋体" w:cs="宋体"/>
        </w:rPr>
        <w:t>cm×30</w:t>
      </w:r>
      <w:r>
        <w:rPr>
          <w:rFonts w:hint="eastAsia" w:ascii="宋体" w:hAnsi="宋体" w:cs="宋体"/>
          <w:vertAlign w:val="superscript"/>
        </w:rPr>
        <w:t xml:space="preserve"> </w:t>
      </w:r>
      <w:r>
        <w:rPr>
          <w:rFonts w:hint="eastAsia" w:ascii="宋体" w:hAnsi="宋体" w:cs="宋体"/>
        </w:rPr>
        <w:t>cm×30</w:t>
      </w:r>
      <w:r>
        <w:rPr>
          <w:rFonts w:hint="eastAsia" w:ascii="宋体" w:hAnsi="宋体" w:cs="宋体"/>
          <w:vertAlign w:val="superscript"/>
        </w:rPr>
        <w:t xml:space="preserve"> </w:t>
      </w:r>
      <w:r>
        <w:rPr>
          <w:rFonts w:hint="eastAsia" w:ascii="宋体" w:hAnsi="宋体" w:cs="宋体"/>
        </w:rPr>
        <w:t>cm；机械整地，60</w:t>
      </w:r>
      <w:r>
        <w:rPr>
          <w:rFonts w:hint="eastAsia" w:ascii="宋体" w:hAnsi="宋体" w:cs="宋体"/>
          <w:vertAlign w:val="superscript"/>
        </w:rPr>
        <w:t xml:space="preserve"> </w:t>
      </w:r>
      <w:r>
        <w:rPr>
          <w:rFonts w:hint="eastAsia" w:ascii="宋体" w:hAnsi="宋体" w:cs="宋体"/>
        </w:rPr>
        <w:t>cm×55</w:t>
      </w:r>
      <w:r>
        <w:rPr>
          <w:rFonts w:hint="eastAsia" w:ascii="宋体" w:hAnsi="宋体" w:cs="宋体"/>
          <w:vertAlign w:val="superscript"/>
        </w:rPr>
        <w:t xml:space="preserve"> </w:t>
      </w:r>
      <w:r>
        <w:rPr>
          <w:rFonts w:hint="eastAsia" w:ascii="宋体" w:hAnsi="宋体" w:cs="宋体"/>
        </w:rPr>
        <w:t>cm×50</w:t>
      </w:r>
      <w:r>
        <w:rPr>
          <w:rFonts w:hint="eastAsia" w:ascii="宋体" w:hAnsi="宋体" w:cs="宋体"/>
          <w:vertAlign w:val="superscript"/>
        </w:rPr>
        <w:t xml:space="preserve"> </w:t>
      </w:r>
      <w:r>
        <w:rPr>
          <w:rFonts w:hint="eastAsia" w:ascii="宋体" w:hAnsi="宋体" w:cs="宋体"/>
        </w:rPr>
        <w:t>cm。回填土顺序为先表土后底土，穴面呈龟背形。其它按GB/T 15776 和LY/T 1496规定执行</w:t>
      </w:r>
      <w:r>
        <w:rPr>
          <w:rFonts w:hint="eastAsia"/>
        </w:rPr>
        <w:t>。</w:t>
      </w:r>
    </w:p>
    <w:p w14:paraId="5956E11C">
      <w:pPr>
        <w:pStyle w:val="105"/>
        <w:spacing w:before="120" w:after="120"/>
      </w:pPr>
      <w:r>
        <w:rPr>
          <w:rFonts w:hint="eastAsia"/>
        </w:rPr>
        <w:t>施基肥</w:t>
      </w:r>
    </w:p>
    <w:p w14:paraId="32377798">
      <w:pPr>
        <w:pStyle w:val="56"/>
        <w:rPr>
          <w:rFonts w:hint="eastAsia" w:eastAsia="宋体"/>
          <w:lang w:val="en-US" w:eastAsia="zh-CN"/>
        </w:rPr>
      </w:pPr>
      <w:r>
        <w:rPr>
          <w:rFonts w:hint="eastAsia"/>
          <w:lang w:val="en-US" w:eastAsia="zh-CN"/>
        </w:rPr>
        <w:t>如下：</w:t>
      </w:r>
    </w:p>
    <w:p w14:paraId="50B027E2">
      <w:pPr>
        <w:pStyle w:val="132"/>
      </w:pPr>
      <w:r>
        <w:rPr>
          <w:rFonts w:hint="eastAsia"/>
        </w:rPr>
        <w:t>施放有机质含量≥45%的有机肥，肥量为0.75</w:t>
      </w:r>
      <w:r>
        <w:rPr>
          <w:rFonts w:hint="eastAsia"/>
          <w:vertAlign w:val="superscript"/>
        </w:rPr>
        <w:t xml:space="preserve"> </w:t>
      </w:r>
      <w:r>
        <w:rPr>
          <w:rFonts w:hint="eastAsia"/>
        </w:rPr>
        <w:t>kg/穴。放肥时，肥料与土壤充分拌匀后放于坑底，然后用穴上方土壤回坑（即：人工整地时将穴下方约1/2部分泥土与肥料拌匀，余下约1/2再用穴上方纯土壤回坑；机械整地回坑时将穴下方约2/3部分泥土与肥料充分拌匀，余下约1/3再用穴上方纯土壤回坑）</w:t>
      </w:r>
      <w:r>
        <w:rPr>
          <w:rFonts w:hint="eastAsia"/>
          <w:lang w:eastAsia="zh-CN"/>
        </w:rPr>
        <w:t>；</w:t>
      </w:r>
    </w:p>
    <w:p w14:paraId="2FC9BDB1">
      <w:pPr>
        <w:pStyle w:val="132"/>
      </w:pPr>
      <w:r>
        <w:rPr>
          <w:rFonts w:hint="eastAsia"/>
        </w:rPr>
        <w:t>回坑土要打碎，土团直径要求一般不得超过3</w:t>
      </w:r>
      <w:r>
        <w:rPr>
          <w:rFonts w:hint="eastAsia"/>
          <w:vertAlign w:val="superscript"/>
        </w:rPr>
        <w:t xml:space="preserve"> </w:t>
      </w:r>
      <w:r>
        <w:rPr>
          <w:rFonts w:hint="eastAsia"/>
        </w:rPr>
        <w:t>cm，回土要求坑面平整，下方略高于上方，呈反坡状。</w:t>
      </w:r>
    </w:p>
    <w:p w14:paraId="18EA3944">
      <w:pPr>
        <w:pStyle w:val="105"/>
        <w:spacing w:before="120" w:after="120"/>
      </w:pPr>
      <w:r>
        <w:rPr>
          <w:rFonts w:hint="eastAsia"/>
        </w:rPr>
        <w:t>造林季节和方法</w:t>
      </w:r>
    </w:p>
    <w:p w14:paraId="26A9571B">
      <w:pPr>
        <w:pStyle w:val="56"/>
        <w:ind w:firstLine="420"/>
      </w:pPr>
      <w:r>
        <w:rPr>
          <w:rFonts w:hint="eastAsia" w:ascii="宋体" w:hAnsi="宋体" w:cs="宋体"/>
        </w:rPr>
        <w:t>造林宜在10月至翌年4月，栽植方法按GB/T 15776和LY/T 1496的规定执</w:t>
      </w:r>
      <w:r>
        <w:rPr>
          <w:rFonts w:hint="eastAsia"/>
        </w:rPr>
        <w:t>行。</w:t>
      </w:r>
    </w:p>
    <w:p w14:paraId="4856D1D8">
      <w:pPr>
        <w:pStyle w:val="105"/>
        <w:spacing w:before="120" w:after="120"/>
      </w:pPr>
      <w:r>
        <w:rPr>
          <w:rFonts w:hint="eastAsia"/>
        </w:rPr>
        <w:t>造林密度</w:t>
      </w:r>
    </w:p>
    <w:p w14:paraId="4A932130">
      <w:pPr>
        <w:pStyle w:val="56"/>
        <w:ind w:firstLine="420"/>
      </w:pPr>
      <w:r>
        <w:rPr>
          <w:rFonts w:hint="eastAsia"/>
        </w:rPr>
        <w:t>按大径材、中小径材培育目标不同采用不同初植密度：</w:t>
      </w:r>
    </w:p>
    <w:p w14:paraId="5C0D8028">
      <w:pPr>
        <w:pStyle w:val="132"/>
      </w:pPr>
      <w:r>
        <w:rPr>
          <w:rFonts w:hint="eastAsia"/>
        </w:rPr>
        <w:t>培育大径材，初植密度1110</w:t>
      </w:r>
      <w:r>
        <w:rPr>
          <w:rFonts w:hint="eastAsia"/>
          <w:vertAlign w:val="superscript"/>
        </w:rPr>
        <w:t xml:space="preserve"> </w:t>
      </w:r>
      <w:r>
        <w:rPr>
          <w:rFonts w:hint="eastAsia"/>
        </w:rPr>
        <w:t>株/公顷～1335株/公顷（株行距3</w:t>
      </w:r>
      <w:r>
        <w:rPr>
          <w:rFonts w:hint="eastAsia"/>
          <w:vertAlign w:val="superscript"/>
        </w:rPr>
        <w:t xml:space="preserve"> </w:t>
      </w:r>
      <w:r>
        <w:rPr>
          <w:rFonts w:hint="eastAsia"/>
        </w:rPr>
        <w:t>m×3</w:t>
      </w:r>
      <w:r>
        <w:rPr>
          <w:rFonts w:hint="eastAsia"/>
          <w:vertAlign w:val="superscript"/>
        </w:rPr>
        <w:t xml:space="preserve"> </w:t>
      </w:r>
      <w:r>
        <w:rPr>
          <w:rFonts w:hint="eastAsia"/>
        </w:rPr>
        <w:t>m～2.5</w:t>
      </w:r>
      <w:r>
        <w:rPr>
          <w:rFonts w:hint="eastAsia"/>
          <w:vertAlign w:val="superscript"/>
        </w:rPr>
        <w:t xml:space="preserve"> </w:t>
      </w:r>
      <w:r>
        <w:rPr>
          <w:rFonts w:hint="eastAsia"/>
        </w:rPr>
        <w:t>m×3</w:t>
      </w:r>
      <w:r>
        <w:rPr>
          <w:rFonts w:hint="eastAsia"/>
          <w:vertAlign w:val="superscript"/>
        </w:rPr>
        <w:t xml:space="preserve"> </w:t>
      </w:r>
      <w:r>
        <w:rPr>
          <w:rFonts w:hint="eastAsia"/>
        </w:rPr>
        <w:t>m）；</w:t>
      </w:r>
    </w:p>
    <w:p w14:paraId="7257A3D6">
      <w:pPr>
        <w:pStyle w:val="132"/>
      </w:pPr>
      <w:r>
        <w:rPr>
          <w:rFonts w:hint="eastAsia"/>
        </w:rPr>
        <w:t>培育中小径材，初植密度1335</w:t>
      </w:r>
      <w:r>
        <w:rPr>
          <w:rFonts w:hint="eastAsia"/>
          <w:vertAlign w:val="superscript"/>
        </w:rPr>
        <w:t xml:space="preserve"> </w:t>
      </w:r>
      <w:r>
        <w:rPr>
          <w:rFonts w:hint="eastAsia"/>
        </w:rPr>
        <w:t>株/公顷～1665株/公顷（株行距2.5</w:t>
      </w:r>
      <w:r>
        <w:rPr>
          <w:rFonts w:hint="eastAsia"/>
          <w:vertAlign w:val="superscript"/>
        </w:rPr>
        <w:t xml:space="preserve"> </w:t>
      </w:r>
      <w:r>
        <w:rPr>
          <w:rFonts w:hint="eastAsia"/>
        </w:rPr>
        <w:t>m×3</w:t>
      </w:r>
      <w:r>
        <w:rPr>
          <w:rFonts w:hint="eastAsia"/>
          <w:vertAlign w:val="superscript"/>
        </w:rPr>
        <w:t xml:space="preserve"> </w:t>
      </w:r>
      <w:r>
        <w:rPr>
          <w:rFonts w:hint="eastAsia"/>
        </w:rPr>
        <w:t>m～2</w:t>
      </w:r>
      <w:r>
        <w:rPr>
          <w:rFonts w:hint="eastAsia"/>
          <w:vertAlign w:val="superscript"/>
        </w:rPr>
        <w:t xml:space="preserve"> </w:t>
      </w:r>
      <w:r>
        <w:rPr>
          <w:rFonts w:hint="eastAsia"/>
        </w:rPr>
        <w:t>m×3</w:t>
      </w:r>
      <w:r>
        <w:rPr>
          <w:rFonts w:hint="eastAsia"/>
          <w:vertAlign w:val="superscript"/>
        </w:rPr>
        <w:t xml:space="preserve"> </w:t>
      </w:r>
      <w:r>
        <w:rPr>
          <w:rFonts w:hint="eastAsia"/>
        </w:rPr>
        <w:t>m）。</w:t>
      </w:r>
    </w:p>
    <w:p w14:paraId="539E0896">
      <w:pPr>
        <w:pStyle w:val="105"/>
        <w:spacing w:before="120" w:after="120"/>
      </w:pPr>
      <w:r>
        <w:rPr>
          <w:rFonts w:hint="eastAsia"/>
        </w:rPr>
        <w:t>定植</w:t>
      </w:r>
    </w:p>
    <w:p w14:paraId="5594CD19">
      <w:pPr>
        <w:pStyle w:val="56"/>
        <w:ind w:firstLine="420"/>
      </w:pPr>
      <w:r>
        <w:rPr>
          <w:rFonts w:hint="eastAsia"/>
        </w:rPr>
        <w:t>定植时先用定植锄在定植坑中央挖小穴，将苗定植穴内，填充松土并高于杯面5</w:t>
      </w:r>
      <w:r>
        <w:rPr>
          <w:rFonts w:hint="eastAsia"/>
          <w:vertAlign w:val="superscript"/>
        </w:rPr>
        <w:t xml:space="preserve"> </w:t>
      </w:r>
      <w:r>
        <w:rPr>
          <w:rFonts w:hint="eastAsia"/>
        </w:rPr>
        <w:t>cm左右，四周适当压实，然后在上面铺一层松土(拨平坑面，坑外缘略高)；种植苗木时，宜小心撕掉营养杯袋或无纺布,保持营养土不松散。</w:t>
      </w:r>
    </w:p>
    <w:p w14:paraId="4B2016DD">
      <w:pPr>
        <w:pStyle w:val="56"/>
        <w:ind w:firstLine="420"/>
        <w:rPr>
          <w:rFonts w:ascii="宋体" w:hAnsi="宋体" w:cs="宋体"/>
        </w:rPr>
      </w:pPr>
      <w:r>
        <w:rPr>
          <w:rFonts w:hint="eastAsia"/>
        </w:rPr>
        <w:t>在白蚁易发生危害的造林地，</w:t>
      </w:r>
      <w:r>
        <w:rPr>
          <w:rFonts w:hint="eastAsia" w:ascii="宋体" w:hAnsi="宋体" w:cs="宋体"/>
        </w:rPr>
        <w:t>所用苗木需要浸泡白蚁药。即在定植前要用白蚁药浸泡半分钟以上，以苗杯不冒气泡为宜。白蚁药与水的配比一般为1：2000，浸泡时不能浸到苗叶，以此达到防治白蚁的效果。定植前，根据实际情况，局部地区需喷除草剂的，核实后安排，除草剂药剂要使用符合FSC认证及生态环境要求。</w:t>
      </w:r>
    </w:p>
    <w:p w14:paraId="70C770A4">
      <w:pPr>
        <w:pStyle w:val="105"/>
        <w:spacing w:before="120" w:after="120"/>
      </w:pPr>
      <w:r>
        <w:rPr>
          <w:rFonts w:hint="eastAsia"/>
        </w:rPr>
        <w:t>未成林抚育</w:t>
      </w:r>
    </w:p>
    <w:p w14:paraId="6DECC7C6">
      <w:pPr>
        <w:pStyle w:val="56"/>
        <w:ind w:firstLine="420"/>
        <w:rPr>
          <w:rFonts w:hint="eastAsia" w:ascii="宋体" w:hAnsi="宋体" w:eastAsia="宋体" w:cs="宋体"/>
        </w:rPr>
      </w:pPr>
      <w:r>
        <w:rPr>
          <w:rFonts w:hint="eastAsia" w:ascii="宋体" w:hAnsi="宋体" w:eastAsia="宋体" w:cs="宋体"/>
        </w:rPr>
        <w:t>造林后连续抚育3</w:t>
      </w:r>
      <w:r>
        <w:rPr>
          <w:rFonts w:hint="eastAsia" w:ascii="宋体" w:hAnsi="宋体" w:eastAsia="宋体" w:cs="宋体"/>
          <w:vertAlign w:val="superscript"/>
        </w:rPr>
        <w:t xml:space="preserve"> </w:t>
      </w:r>
      <w:r>
        <w:rPr>
          <w:rFonts w:hint="eastAsia" w:ascii="宋体" w:hAnsi="宋体" w:eastAsia="宋体" w:cs="宋体"/>
        </w:rPr>
        <w:t>年5～6次，抚育次数第1</w:t>
      </w:r>
      <w:r>
        <w:rPr>
          <w:rFonts w:hint="eastAsia" w:ascii="宋体" w:hAnsi="宋体" w:eastAsia="宋体" w:cs="宋体"/>
          <w:vertAlign w:val="superscript"/>
        </w:rPr>
        <w:t xml:space="preserve"> </w:t>
      </w:r>
      <w:r>
        <w:rPr>
          <w:rFonts w:hint="eastAsia" w:ascii="宋体" w:hAnsi="宋体" w:eastAsia="宋体" w:cs="宋体"/>
        </w:rPr>
        <w:t>年2～3次、第2</w:t>
      </w:r>
      <w:r>
        <w:rPr>
          <w:rFonts w:hint="eastAsia" w:ascii="宋体" w:hAnsi="宋体" w:eastAsia="宋体" w:cs="宋体"/>
          <w:vertAlign w:val="superscript"/>
        </w:rPr>
        <w:t xml:space="preserve"> </w:t>
      </w:r>
      <w:r>
        <w:rPr>
          <w:rFonts w:hint="eastAsia" w:ascii="宋体" w:hAnsi="宋体" w:eastAsia="宋体" w:cs="宋体"/>
        </w:rPr>
        <w:t>年2次、第3</w:t>
      </w:r>
      <w:r>
        <w:rPr>
          <w:rFonts w:hint="eastAsia" w:ascii="宋体" w:hAnsi="宋体" w:eastAsia="宋体" w:cs="宋体"/>
          <w:vertAlign w:val="superscript"/>
        </w:rPr>
        <w:t xml:space="preserve"> </w:t>
      </w:r>
      <w:r>
        <w:rPr>
          <w:rFonts w:hint="eastAsia" w:ascii="宋体" w:hAnsi="宋体" w:eastAsia="宋体" w:cs="宋体"/>
        </w:rPr>
        <w:t>年1次，以除草灌为主；针对薇甘菊、杂藤较多，影响林分正常生长的林分，在高20</w:t>
      </w:r>
      <w:r>
        <w:rPr>
          <w:rFonts w:hint="eastAsia" w:ascii="宋体" w:hAnsi="宋体" w:eastAsia="宋体" w:cs="宋体"/>
          <w:vertAlign w:val="superscript"/>
        </w:rPr>
        <w:t xml:space="preserve"> </w:t>
      </w:r>
      <w:r>
        <w:rPr>
          <w:rFonts w:hint="eastAsia" w:ascii="宋体" w:hAnsi="宋体" w:eastAsia="宋体" w:cs="宋体"/>
        </w:rPr>
        <w:t>cm以下部位割断攀附在植株的杂藤和薇甘菊。宜在10月底前完成。</w:t>
      </w:r>
    </w:p>
    <w:p w14:paraId="73655A8C">
      <w:pPr>
        <w:pStyle w:val="105"/>
        <w:spacing w:before="120" w:after="120"/>
      </w:pPr>
      <w:r>
        <w:rPr>
          <w:rFonts w:hint="eastAsia"/>
        </w:rPr>
        <w:t>施肥</w:t>
      </w:r>
    </w:p>
    <w:p w14:paraId="4B37A126">
      <w:pPr>
        <w:pStyle w:val="56"/>
        <w:ind w:firstLine="420"/>
        <w:rPr>
          <w:rFonts w:ascii="宋体" w:hAnsi="宋体" w:cs="宋体"/>
        </w:rPr>
      </w:pPr>
      <w:r>
        <w:rPr>
          <w:rFonts w:hint="eastAsia" w:ascii="宋体" w:hAnsi="宋体" w:cs="宋体"/>
        </w:rPr>
        <w:t>当年生幼林第一次追肥于当年造林定植完成一个月后二个月内完成，每株施有机无机复混肥0.5</w:t>
      </w:r>
      <w:r>
        <w:rPr>
          <w:rFonts w:hint="eastAsia" w:ascii="宋体" w:hAnsi="宋体" w:cs="宋体"/>
          <w:vertAlign w:val="superscript"/>
        </w:rPr>
        <w:t xml:space="preserve"> </w:t>
      </w:r>
      <w:r>
        <w:rPr>
          <w:rFonts w:hint="eastAsia" w:ascii="宋体" w:hAnsi="宋体" w:cs="宋体"/>
        </w:rPr>
        <w:t>kg；2</w:t>
      </w:r>
      <w:r>
        <w:rPr>
          <w:rFonts w:hint="eastAsia" w:ascii="宋体" w:hAnsi="宋体" w:cs="宋体"/>
          <w:vertAlign w:val="superscript"/>
        </w:rPr>
        <w:t xml:space="preserve"> </w:t>
      </w:r>
      <w:r>
        <w:rPr>
          <w:rFonts w:hint="eastAsia" w:ascii="宋体" w:hAnsi="宋体" w:cs="宋体"/>
        </w:rPr>
        <w:t>a～4</w:t>
      </w:r>
      <w:r>
        <w:rPr>
          <w:rFonts w:hint="eastAsia" w:ascii="宋体" w:hAnsi="宋体" w:cs="宋体"/>
          <w:vertAlign w:val="superscript"/>
        </w:rPr>
        <w:t xml:space="preserve"> </w:t>
      </w:r>
      <w:r>
        <w:rPr>
          <w:rFonts w:hint="eastAsia" w:ascii="宋体" w:hAnsi="宋体" w:cs="宋体"/>
        </w:rPr>
        <w:t>a生林分于当年5月底前完成，每株施有机无机复混肥0.75</w:t>
      </w:r>
      <w:r>
        <w:rPr>
          <w:rFonts w:hint="eastAsia" w:ascii="宋体" w:hAnsi="宋体" w:cs="宋体"/>
          <w:vertAlign w:val="superscript"/>
        </w:rPr>
        <w:t xml:space="preserve"> </w:t>
      </w:r>
      <w:r>
        <w:rPr>
          <w:rFonts w:hint="eastAsia" w:ascii="宋体" w:hAnsi="宋体" w:cs="宋体"/>
        </w:rPr>
        <w:t>kg。</w:t>
      </w:r>
    </w:p>
    <w:p w14:paraId="7CC36632">
      <w:pPr>
        <w:pStyle w:val="56"/>
        <w:ind w:firstLine="420"/>
      </w:pPr>
      <w:r>
        <w:rPr>
          <w:rFonts w:hint="eastAsia"/>
        </w:rPr>
        <w:t>复合肥配比具体规定如下：</w:t>
      </w:r>
    </w:p>
    <w:p w14:paraId="6B27970F">
      <w:pPr>
        <w:pStyle w:val="132"/>
      </w:pPr>
      <w:r>
        <w:rPr>
          <w:rFonts w:hint="eastAsia"/>
        </w:rPr>
        <w:t>桂西复合肥（N</w:t>
      </w:r>
      <w:r>
        <w:rPr>
          <w:rFonts w:hint="eastAsia"/>
          <w:lang w:val="en-US" w:eastAsia="zh-CN"/>
        </w:rPr>
        <w:t>:</w:t>
      </w:r>
      <w:r>
        <w:rPr>
          <w:rFonts w:hint="eastAsia"/>
        </w:rPr>
        <w:t>P</w:t>
      </w:r>
      <w:r>
        <w:rPr>
          <w:rFonts w:hint="eastAsia"/>
          <w:vertAlign w:val="subscript"/>
        </w:rPr>
        <w:t>2</w:t>
      </w:r>
      <w:r>
        <w:rPr>
          <w:rFonts w:hint="eastAsia"/>
        </w:rPr>
        <w:t>O</w:t>
      </w:r>
      <w:r>
        <w:rPr>
          <w:rFonts w:hint="eastAsia"/>
          <w:vertAlign w:val="subscript"/>
        </w:rPr>
        <w:t>5</w:t>
      </w:r>
      <w:r>
        <w:rPr>
          <w:rFonts w:hint="eastAsia"/>
          <w:lang w:val="en-US" w:eastAsia="zh-CN"/>
        </w:rPr>
        <w:t>:</w:t>
      </w:r>
      <w:r>
        <w:rPr>
          <w:rFonts w:hint="eastAsia"/>
        </w:rPr>
        <w:t>K2O=60</w:t>
      </w:r>
      <w:r>
        <w:rPr>
          <w:rFonts w:hint="eastAsia"/>
          <w:lang w:val="en-US" w:eastAsia="zh-CN"/>
        </w:rPr>
        <w:t>:</w:t>
      </w:r>
      <w:r>
        <w:rPr>
          <w:rFonts w:hint="eastAsia"/>
        </w:rPr>
        <w:t>100</w:t>
      </w:r>
      <w:r>
        <w:rPr>
          <w:rFonts w:hint="eastAsia"/>
          <w:lang w:val="en-US" w:eastAsia="zh-CN"/>
        </w:rPr>
        <w:t>:</w:t>
      </w:r>
      <w:r>
        <w:rPr>
          <w:rFonts w:hint="eastAsia"/>
        </w:rPr>
        <w:t>60）；</w:t>
      </w:r>
    </w:p>
    <w:p w14:paraId="54A49373">
      <w:pPr>
        <w:pStyle w:val="132"/>
      </w:pPr>
      <w:r>
        <w:rPr>
          <w:rFonts w:hint="eastAsia"/>
        </w:rPr>
        <w:t>桂南、桂东南复合肥（N</w:t>
      </w:r>
      <w:r>
        <w:rPr>
          <w:rFonts w:hint="eastAsia"/>
          <w:lang w:val="en-US" w:eastAsia="zh-CN"/>
        </w:rPr>
        <w:t>:</w:t>
      </w:r>
      <w:r>
        <w:rPr>
          <w:rFonts w:hint="eastAsia"/>
        </w:rPr>
        <w:t>P</w:t>
      </w:r>
      <w:r>
        <w:rPr>
          <w:rFonts w:hint="eastAsia"/>
          <w:vertAlign w:val="subscript"/>
        </w:rPr>
        <w:t>2</w:t>
      </w:r>
      <w:r>
        <w:rPr>
          <w:rFonts w:hint="eastAsia"/>
        </w:rPr>
        <w:t>O</w:t>
      </w:r>
      <w:r>
        <w:rPr>
          <w:rFonts w:hint="eastAsia"/>
          <w:vertAlign w:val="subscript"/>
        </w:rPr>
        <w:t>5</w:t>
      </w:r>
      <w:r>
        <w:rPr>
          <w:rFonts w:hint="eastAsia"/>
          <w:lang w:val="en-US" w:eastAsia="zh-CN"/>
        </w:rPr>
        <w:t>:</w:t>
      </w:r>
      <w:r>
        <w:rPr>
          <w:rFonts w:hint="eastAsia"/>
        </w:rPr>
        <w:t>K</w:t>
      </w:r>
      <w:r>
        <w:rPr>
          <w:rFonts w:hint="eastAsia"/>
          <w:vertAlign w:val="subscript"/>
        </w:rPr>
        <w:t>2</w:t>
      </w:r>
      <w:r>
        <w:rPr>
          <w:rFonts w:hint="eastAsia"/>
        </w:rPr>
        <w:t>O=100</w:t>
      </w:r>
      <w:r>
        <w:rPr>
          <w:rFonts w:hint="eastAsia"/>
          <w:lang w:val="en-US" w:eastAsia="zh-CN"/>
        </w:rPr>
        <w:t>:</w:t>
      </w:r>
      <w:r>
        <w:rPr>
          <w:rFonts w:hint="eastAsia"/>
        </w:rPr>
        <w:t>100</w:t>
      </w:r>
      <w:r>
        <w:rPr>
          <w:rFonts w:hint="eastAsia"/>
          <w:lang w:val="en-US" w:eastAsia="zh-CN"/>
        </w:rPr>
        <w:t>:</w:t>
      </w:r>
      <w:r>
        <w:rPr>
          <w:rFonts w:hint="eastAsia"/>
        </w:rPr>
        <w:t>60）。</w:t>
      </w:r>
    </w:p>
    <w:p w14:paraId="5FF3A32D">
      <w:pPr>
        <w:pStyle w:val="104"/>
        <w:spacing w:before="240" w:after="240"/>
      </w:pPr>
      <w:bookmarkStart w:id="49" w:name="_Toc22635"/>
      <w:r>
        <w:rPr>
          <w:rFonts w:hint="eastAsia"/>
        </w:rPr>
        <w:t>修枝</w:t>
      </w:r>
      <w:bookmarkEnd w:id="49"/>
    </w:p>
    <w:p w14:paraId="484EF05B">
      <w:pPr>
        <w:pStyle w:val="105"/>
        <w:spacing w:before="120" w:after="120"/>
      </w:pPr>
      <w:r>
        <w:rPr>
          <w:rFonts w:hint="eastAsia"/>
        </w:rPr>
        <w:t>修枝起始年龄</w:t>
      </w:r>
    </w:p>
    <w:p w14:paraId="4D9A3605">
      <w:pPr>
        <w:pStyle w:val="56"/>
        <w:ind w:firstLine="420"/>
      </w:pPr>
      <w:r>
        <w:rPr>
          <w:rFonts w:hint="eastAsia" w:ascii="宋体" w:hAnsi="宋体" w:cs="宋体"/>
        </w:rPr>
        <w:t>当林分接近1.5</w:t>
      </w:r>
      <w:r>
        <w:rPr>
          <w:rFonts w:hint="eastAsia" w:ascii="宋体" w:hAnsi="宋体" w:cs="宋体"/>
          <w:vertAlign w:val="superscript"/>
        </w:rPr>
        <w:t xml:space="preserve"> </w:t>
      </w:r>
      <w:r>
        <w:rPr>
          <w:rFonts w:hint="eastAsia" w:ascii="宋体" w:hAnsi="宋体" w:cs="宋体"/>
        </w:rPr>
        <w:t>a～2</w:t>
      </w:r>
      <w:r>
        <w:rPr>
          <w:rFonts w:hint="eastAsia" w:ascii="宋体" w:hAnsi="宋体" w:cs="宋体"/>
          <w:vertAlign w:val="superscript"/>
        </w:rPr>
        <w:t xml:space="preserve"> </w:t>
      </w:r>
      <w:r>
        <w:rPr>
          <w:rFonts w:hint="eastAsia" w:ascii="宋体" w:hAnsi="宋体" w:cs="宋体"/>
        </w:rPr>
        <w:t>a生，即可对林分进行修枝抚育，以绿修为主</w:t>
      </w:r>
      <w:r>
        <w:rPr>
          <w:rFonts w:hint="eastAsia"/>
        </w:rPr>
        <w:t>。</w:t>
      </w:r>
    </w:p>
    <w:p w14:paraId="11D2EFB3">
      <w:pPr>
        <w:pStyle w:val="105"/>
        <w:spacing w:before="120" w:after="120"/>
      </w:pPr>
      <w:r>
        <w:rPr>
          <w:rFonts w:hint="eastAsia"/>
        </w:rPr>
        <w:t>修枝季节</w:t>
      </w:r>
    </w:p>
    <w:p w14:paraId="39C6F89A">
      <w:pPr>
        <w:pStyle w:val="56"/>
        <w:ind w:firstLine="420"/>
        <w:rPr>
          <w:rFonts w:ascii="宋体" w:hAnsi="宋体" w:cs="宋体"/>
        </w:rPr>
      </w:pPr>
      <w:r>
        <w:rPr>
          <w:rFonts w:hint="eastAsia" w:ascii="宋体" w:hAnsi="宋体" w:cs="宋体"/>
        </w:rPr>
        <w:t>每年1月至2月初，在黑木相思开始抽梢前修枝。</w:t>
      </w:r>
    </w:p>
    <w:p w14:paraId="7CD43A35">
      <w:pPr>
        <w:pStyle w:val="105"/>
        <w:spacing w:before="120" w:after="120"/>
      </w:pPr>
      <w:r>
        <w:rPr>
          <w:rFonts w:hint="eastAsia"/>
        </w:rPr>
        <w:t>修枝强度及方法</w:t>
      </w:r>
    </w:p>
    <w:p w14:paraId="4D6918F1">
      <w:pPr>
        <w:pStyle w:val="56"/>
        <w:ind w:firstLine="420"/>
        <w:rPr>
          <w:rFonts w:hint="eastAsia" w:ascii="宋体" w:hAnsi="宋体" w:eastAsia="宋体" w:cs="宋体"/>
        </w:rPr>
      </w:pPr>
      <w:r>
        <w:rPr>
          <w:rFonts w:hint="eastAsia" w:ascii="宋体" w:hAnsi="宋体" w:eastAsia="宋体" w:cs="宋体"/>
        </w:rPr>
        <w:t>以修掉林木树高的1/3～1/2高度以下枝条对林木生长促进作用最大。</w:t>
      </w:r>
    </w:p>
    <w:p w14:paraId="568E5329">
      <w:pPr>
        <w:pStyle w:val="56"/>
        <w:ind w:firstLine="420"/>
        <w:rPr>
          <w:rFonts w:hint="eastAsia" w:ascii="宋体" w:hAnsi="宋体" w:eastAsia="宋体" w:cs="宋体"/>
        </w:rPr>
      </w:pPr>
      <w:r>
        <w:rPr>
          <w:rFonts w:hint="eastAsia" w:ascii="宋体" w:hAnsi="宋体" w:eastAsia="宋体" w:cs="宋体"/>
        </w:rPr>
        <w:t>修剪去与主梢齐头并进、基部直径大于2厘米的中下部侧枝0～3</w:t>
      </w:r>
      <w:r>
        <w:rPr>
          <w:rFonts w:hint="eastAsia" w:ascii="宋体" w:hAnsi="宋体" w:eastAsia="宋体" w:cs="宋体"/>
          <w:vertAlign w:val="superscript"/>
        </w:rPr>
        <w:t xml:space="preserve"> </w:t>
      </w:r>
      <w:r>
        <w:rPr>
          <w:rFonts w:hint="eastAsia" w:ascii="宋体" w:hAnsi="宋体" w:eastAsia="宋体" w:cs="宋体"/>
        </w:rPr>
        <w:t>条。采用短截法修枝，即截去待修枝梢的1/3～2/3，保留基部长度的1/3～2/3以及相应部分的小枝和叶子。粗大的、与主干接近的分枝，要修剪枝梢的2/3长，仅留基部的1/3长；较小的、与主干差距较大的分枝仅修剪枝梢的1/3长，保留基部的2/3长。每株树宜修剪的粗大分枝不超过3条，小分枝和平长的分枝一条不修剪。</w:t>
      </w:r>
    </w:p>
    <w:p w14:paraId="588D25F4">
      <w:pPr>
        <w:pStyle w:val="105"/>
        <w:spacing w:before="120" w:after="120"/>
      </w:pPr>
      <w:r>
        <w:rPr>
          <w:rFonts w:hint="eastAsia"/>
        </w:rPr>
        <w:t>修枝间隔期</w:t>
      </w:r>
    </w:p>
    <w:p w14:paraId="60ACD973">
      <w:pPr>
        <w:pStyle w:val="56"/>
        <w:ind w:firstLine="420"/>
      </w:pPr>
      <w:r>
        <w:rPr>
          <w:rFonts w:hint="eastAsia" w:ascii="宋体" w:hAnsi="宋体" w:eastAsia="宋体" w:cs="宋体"/>
        </w:rPr>
        <w:t>在林分实施第一次修枝后，以后每隔1</w:t>
      </w:r>
      <w:r>
        <w:rPr>
          <w:rFonts w:hint="eastAsia" w:ascii="宋体" w:hAnsi="宋体" w:eastAsia="宋体" w:cs="宋体"/>
          <w:vertAlign w:val="superscript"/>
        </w:rPr>
        <w:t xml:space="preserve"> </w:t>
      </w:r>
      <w:r>
        <w:rPr>
          <w:rFonts w:hint="eastAsia" w:ascii="宋体" w:hAnsi="宋体" w:eastAsia="宋体" w:cs="宋体"/>
        </w:rPr>
        <w:t>a～2</w:t>
      </w:r>
      <w:r>
        <w:rPr>
          <w:rFonts w:hint="eastAsia" w:ascii="宋体" w:hAnsi="宋体" w:eastAsia="宋体" w:cs="宋体"/>
          <w:vertAlign w:val="superscript"/>
        </w:rPr>
        <w:t xml:space="preserve"> </w:t>
      </w:r>
      <w:r>
        <w:rPr>
          <w:rFonts w:hint="eastAsia" w:ascii="宋体" w:hAnsi="宋体" w:eastAsia="宋体" w:cs="宋体"/>
        </w:rPr>
        <w:t>a修枝一次。</w:t>
      </w:r>
    </w:p>
    <w:p w14:paraId="1DF9F210">
      <w:pPr>
        <w:pStyle w:val="105"/>
        <w:spacing w:before="120" w:after="120"/>
      </w:pPr>
      <w:r>
        <w:rPr>
          <w:rFonts w:hint="eastAsia"/>
        </w:rPr>
        <w:t>枝桩保留长度</w:t>
      </w:r>
    </w:p>
    <w:p w14:paraId="361A623C">
      <w:pPr>
        <w:pStyle w:val="56"/>
        <w:ind w:firstLine="420"/>
      </w:pPr>
      <w:r>
        <w:rPr>
          <w:rFonts w:hint="eastAsia"/>
        </w:rPr>
        <w:t>为避免枝桩枯死形成空洞和死节，修枝采用平切修枝。</w:t>
      </w:r>
    </w:p>
    <w:p w14:paraId="5A4A2FC1">
      <w:pPr>
        <w:pStyle w:val="104"/>
        <w:spacing w:before="240" w:after="240"/>
      </w:pPr>
      <w:bookmarkStart w:id="50" w:name="_Toc12355"/>
      <w:r>
        <w:rPr>
          <w:rFonts w:hint="eastAsia"/>
        </w:rPr>
        <w:t>间伐</w:t>
      </w:r>
      <w:bookmarkEnd w:id="50"/>
    </w:p>
    <w:p w14:paraId="20D8B058">
      <w:pPr>
        <w:pStyle w:val="56"/>
        <w:ind w:firstLine="420"/>
        <w:rPr>
          <w:rFonts w:ascii="宋体" w:hAnsi="宋体" w:cs="宋体"/>
        </w:rPr>
      </w:pPr>
      <w:r>
        <w:rPr>
          <w:rFonts w:hint="eastAsia" w:ascii="宋体" w:hAnsi="宋体" w:cs="宋体"/>
        </w:rPr>
        <w:t>林分郁闭度≥0.9时进行间伐，动态调整2</w:t>
      </w:r>
      <w:r>
        <w:rPr>
          <w:rFonts w:hint="eastAsia" w:ascii="宋体" w:hAnsi="宋体" w:cs="宋体"/>
          <w:vertAlign w:val="superscript"/>
        </w:rPr>
        <w:t xml:space="preserve"> </w:t>
      </w:r>
      <w:r>
        <w:rPr>
          <w:rFonts w:hint="eastAsia" w:ascii="宋体" w:hAnsi="宋体" w:cs="宋体"/>
        </w:rPr>
        <w:t>次间伐方式可培育大径材：</w:t>
      </w:r>
    </w:p>
    <w:p w14:paraId="6C1F4706">
      <w:pPr>
        <w:pStyle w:val="56"/>
        <w:ind w:firstLine="420"/>
        <w:rPr>
          <w:rFonts w:ascii="宋体" w:hAnsi="宋体" w:cs="宋体"/>
        </w:rPr>
      </w:pPr>
      <w:r>
        <w:rPr>
          <w:rFonts w:hint="eastAsia" w:ascii="宋体" w:hAnsi="宋体" w:cs="宋体"/>
        </w:rPr>
        <w:t>8</w:t>
      </w:r>
      <w:r>
        <w:rPr>
          <w:rFonts w:hint="eastAsia" w:ascii="宋体" w:hAnsi="宋体" w:cs="宋体"/>
          <w:vertAlign w:val="superscript"/>
        </w:rPr>
        <w:t xml:space="preserve"> </w:t>
      </w:r>
      <w:r>
        <w:rPr>
          <w:rFonts w:hint="eastAsia" w:ascii="宋体" w:hAnsi="宋体" w:cs="宋体"/>
        </w:rPr>
        <w:t>a～10</w:t>
      </w:r>
      <w:r>
        <w:rPr>
          <w:rFonts w:hint="eastAsia" w:ascii="宋体" w:hAnsi="宋体" w:cs="宋体"/>
          <w:vertAlign w:val="superscript"/>
        </w:rPr>
        <w:t xml:space="preserve"> </w:t>
      </w:r>
      <w:r>
        <w:rPr>
          <w:rFonts w:hint="eastAsia" w:ascii="宋体" w:hAnsi="宋体" w:cs="宋体"/>
        </w:rPr>
        <w:t>a第一次间伐，保留株数800</w:t>
      </w:r>
      <w:r>
        <w:rPr>
          <w:rFonts w:hint="eastAsia" w:ascii="宋体" w:hAnsi="宋体" w:cs="宋体"/>
          <w:vertAlign w:val="superscript"/>
        </w:rPr>
        <w:t xml:space="preserve"> </w:t>
      </w:r>
      <w:r>
        <w:rPr>
          <w:rFonts w:hint="eastAsia" w:ascii="宋体" w:hAnsi="宋体" w:cs="宋体"/>
        </w:rPr>
        <w:t>株/公顷～1000</w:t>
      </w:r>
      <w:r>
        <w:rPr>
          <w:rFonts w:hint="eastAsia" w:ascii="宋体" w:hAnsi="宋体" w:cs="宋体"/>
          <w:vertAlign w:val="superscript"/>
        </w:rPr>
        <w:t xml:space="preserve"> </w:t>
      </w:r>
      <w:r>
        <w:rPr>
          <w:rFonts w:hint="eastAsia" w:ascii="宋体" w:hAnsi="宋体" w:cs="宋体"/>
        </w:rPr>
        <w:t>株/公顷，12</w:t>
      </w:r>
      <w:r>
        <w:rPr>
          <w:rFonts w:hint="eastAsia" w:ascii="宋体" w:hAnsi="宋体" w:cs="宋体"/>
          <w:vertAlign w:val="superscript"/>
        </w:rPr>
        <w:t xml:space="preserve"> </w:t>
      </w:r>
      <w:r>
        <w:rPr>
          <w:rFonts w:hint="eastAsia" w:ascii="宋体" w:hAnsi="宋体" w:cs="宋体"/>
        </w:rPr>
        <w:t>a～14</w:t>
      </w:r>
      <w:r>
        <w:rPr>
          <w:rFonts w:hint="eastAsia" w:ascii="宋体" w:hAnsi="宋体" w:cs="宋体"/>
          <w:vertAlign w:val="superscript"/>
        </w:rPr>
        <w:t xml:space="preserve"> </w:t>
      </w:r>
      <w:r>
        <w:rPr>
          <w:rFonts w:hint="eastAsia" w:ascii="宋体" w:hAnsi="宋体" w:cs="宋体"/>
        </w:rPr>
        <w:t>a第二次间伐，保留株数650</w:t>
      </w:r>
      <w:r>
        <w:rPr>
          <w:rFonts w:hint="eastAsia" w:ascii="宋体" w:hAnsi="宋体" w:cs="宋体"/>
          <w:vertAlign w:val="superscript"/>
        </w:rPr>
        <w:t xml:space="preserve"> </w:t>
      </w:r>
      <w:r>
        <w:rPr>
          <w:rFonts w:hint="eastAsia" w:ascii="宋体" w:hAnsi="宋体" w:cs="宋体"/>
        </w:rPr>
        <w:t>株/公顷～750</w:t>
      </w:r>
      <w:r>
        <w:rPr>
          <w:rFonts w:hint="eastAsia" w:ascii="宋体" w:hAnsi="宋体" w:cs="宋体"/>
          <w:vertAlign w:val="superscript"/>
        </w:rPr>
        <w:t xml:space="preserve"> </w:t>
      </w:r>
      <w:r>
        <w:rPr>
          <w:rFonts w:hint="eastAsia" w:ascii="宋体" w:hAnsi="宋体" w:cs="宋体"/>
        </w:rPr>
        <w:t>株/公顷，单位面积大径材出材量最大。</w:t>
      </w:r>
    </w:p>
    <w:p w14:paraId="50B8FE38">
      <w:pPr>
        <w:pStyle w:val="104"/>
        <w:spacing w:before="240" w:after="240"/>
      </w:pPr>
      <w:bookmarkStart w:id="51" w:name="_Toc26311"/>
      <w:r>
        <w:rPr>
          <w:rFonts w:hint="eastAsia"/>
        </w:rPr>
        <w:t>主伐年龄</w:t>
      </w:r>
      <w:bookmarkEnd w:id="51"/>
    </w:p>
    <w:p w14:paraId="0510F420">
      <w:pPr>
        <w:pStyle w:val="56"/>
        <w:ind w:firstLine="420"/>
      </w:pPr>
      <w:r>
        <w:rPr>
          <w:rFonts w:hint="eastAsia"/>
        </w:rPr>
        <w:t>按培育目标不同，综合数量成熟龄和经济成熟龄，选择不同主伐年龄：</w:t>
      </w:r>
    </w:p>
    <w:p w14:paraId="08F52193">
      <w:pPr>
        <w:pStyle w:val="132"/>
      </w:pPr>
      <w:r>
        <w:rPr>
          <w:rFonts w:hint="eastAsia"/>
        </w:rPr>
        <w:t>大径材，主伐年龄20</w:t>
      </w:r>
      <w:r>
        <w:rPr>
          <w:rFonts w:hint="eastAsia"/>
          <w:vertAlign w:val="superscript"/>
        </w:rPr>
        <w:t xml:space="preserve"> </w:t>
      </w:r>
      <w:r>
        <w:rPr>
          <w:rFonts w:hint="eastAsia"/>
        </w:rPr>
        <w:t>a～25</w:t>
      </w:r>
      <w:r>
        <w:rPr>
          <w:rFonts w:hint="eastAsia"/>
          <w:vertAlign w:val="superscript"/>
        </w:rPr>
        <w:t xml:space="preserve"> </w:t>
      </w:r>
      <w:r>
        <w:rPr>
          <w:rFonts w:hint="eastAsia"/>
        </w:rPr>
        <w:t>a；</w:t>
      </w:r>
    </w:p>
    <w:p w14:paraId="6D8D2B2C">
      <w:pPr>
        <w:pStyle w:val="132"/>
      </w:pPr>
      <w:r>
        <w:rPr>
          <w:rFonts w:hint="eastAsia"/>
        </w:rPr>
        <w:t>中小径材，主伐年龄8</w:t>
      </w:r>
      <w:r>
        <w:rPr>
          <w:rFonts w:hint="eastAsia"/>
          <w:vertAlign w:val="superscript"/>
        </w:rPr>
        <w:t xml:space="preserve"> </w:t>
      </w:r>
      <w:r>
        <w:rPr>
          <w:rFonts w:hint="eastAsia"/>
        </w:rPr>
        <w:t>a～10</w:t>
      </w:r>
      <w:r>
        <w:rPr>
          <w:rFonts w:hint="eastAsia"/>
          <w:vertAlign w:val="superscript"/>
        </w:rPr>
        <w:t xml:space="preserve"> </w:t>
      </w:r>
      <w:r>
        <w:rPr>
          <w:rFonts w:hint="eastAsia"/>
        </w:rPr>
        <w:t>a。</w:t>
      </w:r>
    </w:p>
    <w:p w14:paraId="0EB43B3A">
      <w:pPr>
        <w:pStyle w:val="104"/>
        <w:spacing w:before="240" w:after="240"/>
      </w:pPr>
      <w:bookmarkStart w:id="52" w:name="_Toc7941"/>
      <w:r>
        <w:rPr>
          <w:rFonts w:hint="eastAsia"/>
        </w:rPr>
        <w:t>病虫害防治</w:t>
      </w:r>
      <w:bookmarkEnd w:id="52"/>
    </w:p>
    <w:p w14:paraId="44819F09">
      <w:pPr>
        <w:pStyle w:val="56"/>
        <w:ind w:firstLine="420"/>
      </w:pPr>
      <w:r>
        <w:rPr>
          <w:rFonts w:hint="eastAsia"/>
        </w:rPr>
        <w:t>黑木相思常见的病虫害及防治措施，参</w:t>
      </w:r>
      <w:r>
        <w:rPr>
          <w:rFonts w:hint="eastAsia" w:ascii="宋体" w:hAnsi="宋体" w:cs="宋体"/>
        </w:rPr>
        <w:t>见附录A</w:t>
      </w:r>
      <w:r>
        <w:rPr>
          <w:rFonts w:hint="eastAsia"/>
        </w:rPr>
        <w:t>。</w:t>
      </w:r>
    </w:p>
    <w:p w14:paraId="32B09A9C">
      <w:pPr>
        <w:pStyle w:val="104"/>
        <w:spacing w:before="240" w:after="240"/>
      </w:pPr>
      <w:bookmarkStart w:id="53" w:name="_Toc24861"/>
      <w:r>
        <w:rPr>
          <w:rFonts w:hint="eastAsia"/>
        </w:rPr>
        <w:t>技术档案</w:t>
      </w:r>
      <w:bookmarkEnd w:id="53"/>
    </w:p>
    <w:p w14:paraId="1D9646C4">
      <w:pPr>
        <w:pStyle w:val="56"/>
        <w:ind w:firstLine="420"/>
      </w:pPr>
      <w:r>
        <w:rPr>
          <w:rFonts w:hint="eastAsia" w:ascii="宋体" w:hAnsi="宋体" w:cs="宋体"/>
        </w:rPr>
        <w:t>档案管理的内容包括：作业设计、造林、修枝措施、间伐、各项作业的用工量和物料消耗等。参照LY/T 1000的规定执行</w:t>
      </w:r>
      <w:r>
        <w:rPr>
          <w:rFonts w:hint="eastAsia"/>
        </w:rPr>
        <w:t>。</w:t>
      </w:r>
    </w:p>
    <w:p w14:paraId="3B768BFF">
      <w:pPr>
        <w:pStyle w:val="56"/>
        <w:ind w:firstLine="420"/>
        <w:sectPr>
          <w:pgSz w:w="11906" w:h="16838"/>
          <w:pgMar w:top="1928" w:right="1134" w:bottom="1134" w:left="1134" w:header="1418" w:footer="1134" w:gutter="284"/>
          <w:pgNumType w:start="1"/>
          <w:cols w:space="425" w:num="1"/>
          <w:formProt w:val="0"/>
          <w:docGrid w:linePitch="312" w:charSpace="0"/>
        </w:sectPr>
      </w:pPr>
    </w:p>
    <w:bookmarkEnd w:id="23"/>
    <w:p w14:paraId="3FB7AEE0">
      <w:pPr>
        <w:pStyle w:val="198"/>
      </w:pPr>
      <w:bookmarkStart w:id="54" w:name="BookMark5"/>
    </w:p>
    <w:p w14:paraId="36AAF562">
      <w:pPr>
        <w:pStyle w:val="199"/>
      </w:pPr>
    </w:p>
    <w:p w14:paraId="027F4B75">
      <w:pPr>
        <w:pStyle w:val="76"/>
        <w:spacing w:after="120"/>
      </w:pPr>
      <w:bookmarkStart w:id="55" w:name="_Toc8140"/>
      <w:r>
        <w:br w:type="textWrapping"/>
      </w:r>
      <w:r>
        <w:rPr>
          <w:rFonts w:hint="eastAsia"/>
        </w:rPr>
        <w:t>（资料性）</w:t>
      </w:r>
      <w:r>
        <w:rPr>
          <w:rFonts w:hint="eastAsia"/>
        </w:rPr>
        <w:br w:type="textWrapping"/>
      </w:r>
      <w:r>
        <w:rPr>
          <w:rFonts w:hint="eastAsia"/>
        </w:rPr>
        <w:t>黑木相思常见病虫害及防治</w:t>
      </w:r>
      <w:bookmarkEnd w:id="55"/>
    </w:p>
    <w:p w14:paraId="3536CA86">
      <w:pPr>
        <w:pStyle w:val="56"/>
        <w:ind w:firstLine="420"/>
      </w:pPr>
      <w:r>
        <w:rPr>
          <w:rFonts w:hint="eastAsia"/>
        </w:rPr>
        <w:t>黑木相思常见的病虫害及防治</w:t>
      </w:r>
      <w:r>
        <w:rPr>
          <w:rFonts w:hint="eastAsia" w:ascii="宋体" w:hAnsi="宋体" w:cs="宋体"/>
        </w:rPr>
        <w:t>措施见表A.1</w:t>
      </w:r>
      <w:r>
        <w:rPr>
          <w:rFonts w:hint="eastAsia"/>
        </w:rPr>
        <w:t>。</w:t>
      </w:r>
    </w:p>
    <w:p w14:paraId="544C146F">
      <w:pPr>
        <w:pStyle w:val="77"/>
        <w:spacing w:before="120" w:after="120"/>
      </w:pPr>
      <w:r>
        <w:rPr>
          <w:rFonts w:hint="eastAsia"/>
        </w:rPr>
        <w:t>黑木相思常见病虫害及防治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436"/>
        <w:gridCol w:w="1717"/>
        <w:gridCol w:w="5401"/>
      </w:tblGrid>
      <w:tr w14:paraId="058CFE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436" w:type="dxa"/>
            <w:tcBorders>
              <w:bottom w:val="single" w:color="auto" w:sz="8" w:space="0"/>
            </w:tcBorders>
            <w:vAlign w:val="center"/>
          </w:tcPr>
          <w:p w14:paraId="03755EC6">
            <w:pPr>
              <w:pStyle w:val="178"/>
            </w:pPr>
            <w:r>
              <w:rPr>
                <w:rFonts w:hint="eastAsia"/>
              </w:rPr>
              <w:t>常见病虫害</w:t>
            </w:r>
          </w:p>
        </w:tc>
        <w:tc>
          <w:tcPr>
            <w:tcW w:w="1717" w:type="dxa"/>
            <w:tcBorders>
              <w:bottom w:val="single" w:color="auto" w:sz="8" w:space="0"/>
            </w:tcBorders>
            <w:vAlign w:val="center"/>
          </w:tcPr>
          <w:p w14:paraId="784C48DF">
            <w:pPr>
              <w:pStyle w:val="178"/>
            </w:pPr>
            <w:r>
              <w:rPr>
                <w:rFonts w:hint="eastAsia"/>
              </w:rPr>
              <w:t>类  别</w:t>
            </w:r>
          </w:p>
        </w:tc>
        <w:tc>
          <w:tcPr>
            <w:tcW w:w="5401" w:type="dxa"/>
            <w:tcBorders>
              <w:bottom w:val="single" w:color="auto" w:sz="8" w:space="0"/>
            </w:tcBorders>
            <w:vAlign w:val="center"/>
          </w:tcPr>
          <w:p w14:paraId="528CADF6">
            <w:pPr>
              <w:pStyle w:val="178"/>
            </w:pPr>
            <w:r>
              <w:rPr>
                <w:rFonts w:hint="eastAsia"/>
              </w:rPr>
              <w:t>防治措施</w:t>
            </w:r>
          </w:p>
        </w:tc>
      </w:tr>
      <w:tr w14:paraId="58F380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436" w:type="dxa"/>
            <w:tcBorders>
              <w:top w:val="single" w:color="auto" w:sz="8" w:space="0"/>
            </w:tcBorders>
            <w:vAlign w:val="center"/>
          </w:tcPr>
          <w:p w14:paraId="6711C1E4">
            <w:pPr>
              <w:pStyle w:val="178"/>
              <w:rPr>
                <w:rFonts w:ascii="宋体" w:hAnsi="宋体" w:cs="宋体"/>
              </w:rPr>
            </w:pPr>
            <w:r>
              <w:rPr>
                <w:rFonts w:hint="eastAsia" w:ascii="宋体" w:hAnsi="宋体" w:cs="宋体"/>
              </w:rPr>
              <w:t>松梢螟、微红梢斑螟、芽梢斑螟</w:t>
            </w:r>
          </w:p>
        </w:tc>
        <w:tc>
          <w:tcPr>
            <w:tcW w:w="1717" w:type="dxa"/>
            <w:tcBorders>
              <w:top w:val="single" w:color="auto" w:sz="8" w:space="0"/>
            </w:tcBorders>
            <w:vAlign w:val="center"/>
          </w:tcPr>
          <w:p w14:paraId="7419F09E">
            <w:pPr>
              <w:pStyle w:val="178"/>
              <w:rPr>
                <w:rFonts w:ascii="宋体" w:hAnsi="宋体" w:cs="宋体"/>
              </w:rPr>
            </w:pPr>
            <w:r>
              <w:rPr>
                <w:rFonts w:hint="eastAsia" w:ascii="宋体" w:hAnsi="宋体" w:cs="宋体"/>
              </w:rPr>
              <w:t>枝梢害虫</w:t>
            </w:r>
          </w:p>
        </w:tc>
        <w:tc>
          <w:tcPr>
            <w:tcW w:w="5401" w:type="dxa"/>
            <w:tcBorders>
              <w:top w:val="single" w:color="auto" w:sz="8" w:space="0"/>
            </w:tcBorders>
            <w:vAlign w:val="center"/>
          </w:tcPr>
          <w:p w14:paraId="2B5F5495">
            <w:pPr>
              <w:pStyle w:val="178"/>
              <w:ind w:firstLine="360" w:firstLineChars="200"/>
              <w:jc w:val="left"/>
              <w:rPr>
                <w:rFonts w:ascii="宋体" w:hAnsi="宋体" w:cs="宋体"/>
              </w:rPr>
            </w:pPr>
            <w:r>
              <w:rPr>
                <w:rFonts w:hint="eastAsia" w:ascii="宋体" w:hAnsi="宋体" w:cs="宋体"/>
              </w:rPr>
              <w:t>蚍虫灵水剂、森得宝、氧化乐果、丙硫客百威喷施。</w:t>
            </w:r>
          </w:p>
        </w:tc>
      </w:tr>
      <w:tr w14:paraId="4FA3C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436" w:type="dxa"/>
            <w:vAlign w:val="center"/>
          </w:tcPr>
          <w:p w14:paraId="5D971ECE">
            <w:pPr>
              <w:pStyle w:val="178"/>
              <w:rPr>
                <w:rFonts w:ascii="宋体" w:hAnsi="宋体" w:cs="宋体"/>
              </w:rPr>
            </w:pPr>
            <w:r>
              <w:rPr>
                <w:rFonts w:hint="eastAsia" w:ascii="宋体" w:hAnsi="宋体" w:cs="宋体"/>
              </w:rPr>
              <w:t>马尾松毛虫、松毒蛾、条毒蛾</w:t>
            </w:r>
          </w:p>
        </w:tc>
        <w:tc>
          <w:tcPr>
            <w:tcW w:w="1717" w:type="dxa"/>
            <w:vAlign w:val="center"/>
          </w:tcPr>
          <w:p w14:paraId="2EBB6C2A">
            <w:pPr>
              <w:pStyle w:val="178"/>
              <w:rPr>
                <w:rFonts w:ascii="宋体" w:hAnsi="宋体" w:cs="宋体"/>
              </w:rPr>
            </w:pPr>
            <w:r>
              <w:rPr>
                <w:rFonts w:hint="eastAsia" w:ascii="宋体" w:hAnsi="宋体" w:cs="宋体"/>
              </w:rPr>
              <w:t>食叶害虫</w:t>
            </w:r>
          </w:p>
        </w:tc>
        <w:tc>
          <w:tcPr>
            <w:tcW w:w="5401" w:type="dxa"/>
            <w:vAlign w:val="center"/>
          </w:tcPr>
          <w:p w14:paraId="30219ABB">
            <w:pPr>
              <w:pStyle w:val="178"/>
              <w:ind w:firstLine="360" w:firstLineChars="200"/>
              <w:jc w:val="left"/>
              <w:rPr>
                <w:rFonts w:ascii="宋体" w:hAnsi="宋体" w:cs="宋体"/>
              </w:rPr>
            </w:pPr>
            <w:r>
              <w:rPr>
                <w:rFonts w:hint="eastAsia" w:ascii="宋体" w:hAnsi="宋体" w:cs="宋体"/>
              </w:rPr>
              <w:t>每年3月～5月施用每克含孢子量65</w:t>
            </w:r>
            <w:r>
              <w:rPr>
                <w:rFonts w:hint="eastAsia" w:ascii="宋体" w:hAnsi="宋体" w:cs="宋体"/>
                <w:vertAlign w:val="superscript"/>
              </w:rPr>
              <w:t xml:space="preserve"> </w:t>
            </w:r>
            <w:r>
              <w:rPr>
                <w:rFonts w:hint="eastAsia" w:ascii="宋体" w:hAnsi="宋体" w:cs="宋体"/>
              </w:rPr>
              <w:t>亿白僵菌15</w:t>
            </w:r>
            <w:r>
              <w:rPr>
                <w:rFonts w:hint="eastAsia" w:ascii="宋体" w:hAnsi="宋体" w:cs="宋体"/>
                <w:vertAlign w:val="superscript"/>
              </w:rPr>
              <w:t xml:space="preserve"> </w:t>
            </w:r>
            <w:r>
              <w:rPr>
                <w:rFonts w:hint="eastAsia" w:ascii="宋体" w:hAnsi="宋体" w:cs="宋体"/>
              </w:rPr>
              <w:t>kg/hm</w:t>
            </w:r>
            <w:r>
              <w:rPr>
                <w:rFonts w:hint="eastAsia" w:ascii="宋体" w:hAnsi="宋体" w:cs="宋体"/>
                <w:vertAlign w:val="superscript"/>
              </w:rPr>
              <w:t>2</w:t>
            </w:r>
            <w:r>
              <w:rPr>
                <w:rFonts w:hint="eastAsia" w:ascii="宋体" w:hAnsi="宋体" w:cs="宋体"/>
              </w:rPr>
              <w:t>，或浓度为每升1</w:t>
            </w:r>
            <w:r>
              <w:rPr>
                <w:rFonts w:hint="eastAsia" w:ascii="宋体" w:hAnsi="宋体" w:cs="宋体"/>
                <w:vertAlign w:val="superscript"/>
              </w:rPr>
              <w:t xml:space="preserve"> </w:t>
            </w:r>
            <w:r>
              <w:rPr>
                <w:rFonts w:hint="eastAsia" w:ascii="宋体" w:hAnsi="宋体" w:cs="宋体"/>
              </w:rPr>
              <w:t>亿芽孢苏云金芽孢杆菌喷梢，或释放管氏或川硬皮肿腿蜂、赤眼蜂1.5</w:t>
            </w:r>
            <w:r>
              <w:rPr>
                <w:rFonts w:hint="eastAsia" w:ascii="宋体" w:hAnsi="宋体" w:cs="宋体"/>
                <w:vertAlign w:val="superscript"/>
              </w:rPr>
              <w:t xml:space="preserve"> </w:t>
            </w:r>
            <w:r>
              <w:rPr>
                <w:rFonts w:hint="eastAsia" w:ascii="宋体" w:hAnsi="宋体" w:cs="宋体"/>
              </w:rPr>
              <w:t>万头/hm</w:t>
            </w:r>
            <w:r>
              <w:rPr>
                <w:rFonts w:hint="eastAsia" w:ascii="宋体" w:hAnsi="宋体" w:cs="宋体"/>
                <w:vertAlign w:val="superscript"/>
              </w:rPr>
              <w:t>2</w:t>
            </w:r>
            <w:r>
              <w:rPr>
                <w:rFonts w:hint="eastAsia" w:ascii="宋体" w:hAnsi="宋体" w:cs="宋体"/>
              </w:rPr>
              <w:t>。</w:t>
            </w:r>
          </w:p>
        </w:tc>
      </w:tr>
      <w:tr w14:paraId="1A203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436" w:type="dxa"/>
            <w:vAlign w:val="center"/>
          </w:tcPr>
          <w:p w14:paraId="6E17F2D3">
            <w:pPr>
              <w:pStyle w:val="178"/>
              <w:rPr>
                <w:rFonts w:ascii="宋体" w:hAnsi="宋体" w:cs="宋体"/>
              </w:rPr>
            </w:pPr>
            <w:r>
              <w:rPr>
                <w:rFonts w:hint="eastAsia" w:ascii="宋体" w:hAnsi="宋体" w:cs="宋体"/>
              </w:rPr>
              <w:t>松墨天牛、短角幽天牛、松幽天牛、小灰长角天牛、马尾松角胫象、纵坑切梢小蠧、马尾松梢小蠧</w:t>
            </w:r>
          </w:p>
        </w:tc>
        <w:tc>
          <w:tcPr>
            <w:tcW w:w="1717" w:type="dxa"/>
            <w:tcBorders>
              <w:bottom w:val="nil"/>
            </w:tcBorders>
            <w:vAlign w:val="center"/>
          </w:tcPr>
          <w:p w14:paraId="61F7D2CC">
            <w:pPr>
              <w:pStyle w:val="178"/>
              <w:rPr>
                <w:rFonts w:ascii="宋体" w:hAnsi="宋体" w:cs="宋体"/>
              </w:rPr>
            </w:pPr>
            <w:r>
              <w:rPr>
                <w:rFonts w:hint="eastAsia" w:ascii="宋体" w:hAnsi="宋体" w:cs="宋体"/>
              </w:rPr>
              <w:t>蛀干害虫</w:t>
            </w:r>
          </w:p>
        </w:tc>
        <w:tc>
          <w:tcPr>
            <w:tcW w:w="5401" w:type="dxa"/>
            <w:tcBorders>
              <w:bottom w:val="nil"/>
            </w:tcBorders>
            <w:vAlign w:val="center"/>
          </w:tcPr>
          <w:p w14:paraId="14E591CD">
            <w:pPr>
              <w:pStyle w:val="178"/>
              <w:ind w:firstLine="360" w:firstLineChars="200"/>
              <w:jc w:val="left"/>
              <w:rPr>
                <w:rFonts w:ascii="宋体" w:hAnsi="宋体" w:cs="宋体"/>
              </w:rPr>
            </w:pPr>
            <w:r>
              <w:rPr>
                <w:rFonts w:hint="eastAsia" w:ascii="宋体" w:hAnsi="宋体" w:cs="宋体"/>
              </w:rPr>
              <w:t>LY/T 2427的方法频振式、太阳能等诱虫灯诱杀成虫；在松褐天牛成虫羽化前由外向内伐除包括病死松树、疑似感病木、衰弱木、受压木、风折木、旱死木、雪压木、当年枯死或已经萎蔫的侧枝以及各种人为乱砍滥伐的松树枝、干及伐桩等，所有伐除的松木及直径超过1</w:t>
            </w:r>
            <w:r>
              <w:rPr>
                <w:rFonts w:hint="eastAsia" w:ascii="宋体" w:hAnsi="宋体" w:cs="宋体"/>
                <w:vertAlign w:val="superscript"/>
              </w:rPr>
              <w:t xml:space="preserve"> </w:t>
            </w:r>
            <w:r>
              <w:rPr>
                <w:rFonts w:hint="eastAsia" w:ascii="宋体" w:hAnsi="宋体" w:cs="宋体"/>
              </w:rPr>
              <w:t>cm的枝条作除害处理，并在松褐天牛成虫羽化前完成；伐桩高度最好不超过5</w:t>
            </w:r>
            <w:r>
              <w:rPr>
                <w:rFonts w:hint="eastAsia" w:ascii="宋体" w:hAnsi="宋体" w:cs="宋体"/>
                <w:vertAlign w:val="superscript"/>
              </w:rPr>
              <w:t xml:space="preserve"> </w:t>
            </w:r>
            <w:r>
              <w:rPr>
                <w:rFonts w:hint="eastAsia" w:ascii="宋体" w:hAnsi="宋体" w:cs="宋体"/>
              </w:rPr>
              <w:t>cm。</w:t>
            </w:r>
          </w:p>
        </w:tc>
      </w:tr>
      <w:tr w14:paraId="3330F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436" w:type="dxa"/>
            <w:tcBorders>
              <w:bottom w:val="single" w:color="auto" w:sz="8" w:space="0"/>
              <w:right w:val="nil"/>
            </w:tcBorders>
            <w:vAlign w:val="center"/>
          </w:tcPr>
          <w:p w14:paraId="5B448286">
            <w:pPr>
              <w:pStyle w:val="178"/>
              <w:rPr>
                <w:rFonts w:ascii="宋体" w:hAnsi="宋体" w:cs="宋体"/>
              </w:rPr>
            </w:pPr>
            <w:r>
              <w:rPr>
                <w:rFonts w:hint="eastAsia" w:ascii="宋体" w:hAnsi="宋体" w:cs="宋体"/>
              </w:rPr>
              <w:t>松材线虫、松赤枯病、松落叶病、松梢枯病、</w:t>
            </w:r>
          </w:p>
        </w:tc>
        <w:tc>
          <w:tcPr>
            <w:tcW w:w="1717" w:type="dxa"/>
            <w:tcBorders>
              <w:top w:val="nil"/>
              <w:left w:val="nil"/>
              <w:bottom w:val="single" w:color="auto" w:sz="8" w:space="0"/>
            </w:tcBorders>
            <w:vAlign w:val="center"/>
          </w:tcPr>
          <w:p w14:paraId="691AFFF0">
            <w:pPr>
              <w:pStyle w:val="178"/>
              <w:rPr>
                <w:rFonts w:ascii="宋体" w:hAnsi="宋体" w:cs="宋体"/>
              </w:rPr>
            </w:pPr>
            <w:r>
              <w:rPr>
                <w:rFonts w:hint="eastAsia" w:ascii="宋体" w:hAnsi="宋体" w:cs="宋体"/>
              </w:rPr>
              <w:t>病害</w:t>
            </w:r>
          </w:p>
        </w:tc>
        <w:tc>
          <w:tcPr>
            <w:tcW w:w="5401" w:type="dxa"/>
            <w:tcBorders>
              <w:top w:val="nil"/>
              <w:bottom w:val="single" w:color="auto" w:sz="8" w:space="0"/>
              <w:right w:val="nil"/>
            </w:tcBorders>
            <w:vAlign w:val="center"/>
          </w:tcPr>
          <w:p w14:paraId="3E3E534A">
            <w:pPr>
              <w:pStyle w:val="178"/>
              <w:ind w:firstLine="360" w:firstLineChars="200"/>
              <w:jc w:val="left"/>
              <w:rPr>
                <w:rFonts w:ascii="宋体" w:hAnsi="宋体" w:cs="宋体"/>
              </w:rPr>
            </w:pPr>
            <w:r>
              <w:rPr>
                <w:rFonts w:hint="eastAsia" w:ascii="宋体" w:hAnsi="宋体" w:cs="宋体"/>
              </w:rPr>
              <w:t>及时清除林地带病枯枝，改善林地卫生状况，适时抚育间伐；砍除重病株集中烧毁；使用化学药物来进行防治；结合生物防治。</w:t>
            </w:r>
          </w:p>
        </w:tc>
      </w:tr>
      <w:bookmarkEnd w:id="54"/>
    </w:tbl>
    <w:p w14:paraId="303620C8">
      <w:pPr>
        <w:pStyle w:val="56"/>
        <w:ind w:firstLine="0" w:firstLineChars="0"/>
        <w:jc w:val="center"/>
      </w:pPr>
      <w:bookmarkStart w:id="56" w:name="BookMark8"/>
      <w:r>
        <w:rPr>
          <w:rFonts w:hint="eastAsia"/>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5"/>
                    <a:stretch>
                      <a:fillRect/>
                    </a:stretch>
                  </pic:blipFill>
                  <pic:spPr>
                    <a:xfrm>
                      <a:off x="0" y="0"/>
                      <a:ext cx="1485900" cy="317500"/>
                    </a:xfrm>
                    <a:prstGeom prst="rect">
                      <a:avLst/>
                    </a:prstGeom>
                  </pic:spPr>
                </pic:pic>
              </a:graphicData>
            </a:graphic>
          </wp:inline>
        </w:drawing>
      </w:r>
      <w:bookmarkEnd w:id="5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821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B1D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F19F6">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CD0B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8CC3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15FFF">
    <w:pPr>
      <w:pStyle w:val="61"/>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E5D0">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Full" w:cryptAlgorithmClass="hash" w:cryptAlgorithmType="typeAny" w:cryptAlgorithmSid="4" w:cryptSpinCount="0" w:hash="JOcGNmpjHN5yE9kAhJlqMjZKui8=" w:salt="wYVTc6gRh/hT12a3rHHGV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7002EE"/>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6FE"/>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4E0"/>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3ECD"/>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2DF6"/>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4CB6"/>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1C1"/>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DB3"/>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F4174C"/>
    <w:rsid w:val="0F4F61AB"/>
    <w:rsid w:val="23FA1769"/>
    <w:rsid w:val="30C537B4"/>
    <w:rsid w:val="327A5D44"/>
    <w:rsid w:val="407002EE"/>
    <w:rsid w:val="58720AC3"/>
    <w:rsid w:val="5A0848A9"/>
    <w:rsid w:val="67483581"/>
    <w:rsid w:val="780D2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621A295C">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10BE2E00">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14:paraId="75CE2303">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18649F"/>
    <w:rsid w:val="005D70EA"/>
    <w:rsid w:val="006E28E0"/>
    <w:rsid w:val="00B9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8FFC4-1B08-4138-90AD-8628DA2FD784}">
  <ds:schemaRefs/>
</ds:datastoreItem>
</file>

<file path=docProps/app.xml><?xml version="1.0" encoding="utf-8"?>
<Properties xmlns="http://schemas.openxmlformats.org/officeDocument/2006/extended-properties" xmlns:vt="http://schemas.openxmlformats.org/officeDocument/2006/docPropsVTypes">
  <Template>团体标准.dotx</Template>
  <Company>HP</Company>
  <Pages>7</Pages>
  <Words>2799</Words>
  <Characters>3203</Characters>
  <Lines>26</Lines>
  <Paragraphs>7</Paragraphs>
  <TotalTime>1</TotalTime>
  <ScaleCrop>false</ScaleCrop>
  <LinksUpToDate>false</LinksUpToDate>
  <CharactersWithSpaces>3365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2025-07-07T19:44:00Z</dcterms:created>
  <dc:creator>弥撒夜</dc:creator>
  <cp:lastModifiedBy>誰念誰川</cp:lastModifiedBy>
  <dcterms:modified xsi:type="dcterms:W3CDTF">2025-10-21T11:55:07Z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D98227D562BD4F92A822554902E9EB8E_13</vt:lpwstr>
  </property>
  <property fmtid="{D5CDD505-2E9C-101B-9397-08002B2CF9AE}" pid="15" name="KSOTemplateDocerSaveRecord">
    <vt:lpwstr>eyJoZGlkIjoiZjcwMzBhNDA5MWZkNjNjNjFjNmFkMDk0MGQ5YjMxZTYiLCJ1c2VySWQiOiIxOTA2MDI2MDgifQ==</vt:lpwstr>
  </property>
  <property fmtid="{D5CDD505-2E9C-101B-9397-08002B2CF9AE}" pid="16" name="KSOProductBuildVer">
    <vt:lpwstr>2052-12.1.0.23125</vt:lpwstr>
  </property>
</Properties>
</file>