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5DAA1D2">
      <w:pPr>
        <w:spacing w:line="600" w:lineRule="exact"/>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团体标准《香子含笑容器育苗技术规程》</w:t>
      </w:r>
    </w:p>
    <w:p w14:paraId="6C738732">
      <w:pPr>
        <w:spacing w:line="600" w:lineRule="exact"/>
        <w:jc w:val="center"/>
        <w:rPr>
          <w:rFonts w:ascii="方正小标宋简体" w:hAnsi="宋体" w:eastAsia="方正小标宋简体"/>
          <w:color w:val="000000"/>
          <w:sz w:val="44"/>
          <w:szCs w:val="32"/>
        </w:rPr>
      </w:pPr>
      <w:r>
        <w:rPr>
          <w:rFonts w:hint="eastAsia" w:ascii="方正小标宋简体" w:hAnsi="宋体" w:eastAsia="方正小标宋简体"/>
          <w:color w:val="000000"/>
          <w:sz w:val="44"/>
          <w:szCs w:val="32"/>
        </w:rPr>
        <w:t>（征求意见稿）编制说明</w:t>
      </w:r>
    </w:p>
    <w:p w14:paraId="36A10A99">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一、任务来源、起草单位、主要起草人</w:t>
      </w:r>
    </w:p>
    <w:p w14:paraId="34AB8EE3">
      <w:pPr>
        <w:ind w:firstLine="640"/>
        <w:rPr>
          <w:rFonts w:ascii="仿宋_GB2312" w:hAnsi="宋体"/>
          <w:szCs w:val="28"/>
        </w:rPr>
      </w:pPr>
      <w:r>
        <w:rPr>
          <w:rFonts w:hint="eastAsia" w:ascii="仿宋_GB2312" w:hAnsi="宋体"/>
          <w:szCs w:val="28"/>
        </w:rPr>
        <w:t>根据《广西标准化协会关于下达2025年第二批团体标准制修订项目计划的通知》（桂标协〔2025〕19号）文件精神，由广西大学出，广西大学、广西壮族自治区国有七坡林场、广西壮族自治区国有高峰林场等</w:t>
      </w:r>
      <w:r>
        <w:rPr>
          <w:rFonts w:ascii="仿宋_GB2312" w:hAnsi="宋体"/>
          <w:szCs w:val="28"/>
        </w:rPr>
        <w:t>单位</w:t>
      </w:r>
      <w:r>
        <w:rPr>
          <w:rFonts w:hint="eastAsia" w:ascii="仿宋_GB2312" w:hAnsi="宋体"/>
          <w:szCs w:val="28"/>
        </w:rPr>
        <w:t>共同起草的团体标准《香子含笑容器育苗技术规程》（项目编号：2025-0207）已获批立项。</w:t>
      </w:r>
    </w:p>
    <w:p w14:paraId="72FFF81C">
      <w:pPr>
        <w:ind w:firstLine="640"/>
        <w:rPr>
          <w:rFonts w:ascii="仿宋_GB2312" w:hAnsi="宋体"/>
          <w:szCs w:val="28"/>
        </w:rPr>
      </w:pPr>
      <w:r>
        <w:rPr>
          <w:rFonts w:hint="eastAsia" w:ascii="仿宋_GB2312" w:hAnsi="宋体"/>
          <w:szCs w:val="28"/>
        </w:rPr>
        <w:t>为高质量编制团体标准《香子含笑容器育苗技术规程》，由起草单位成立标准编制工作组并进行如下分工：</w:t>
      </w:r>
    </w:p>
    <w:tbl>
      <w:tblPr>
        <w:tblStyle w:val="9"/>
        <w:tblW w:w="4996" w:type="pct"/>
        <w:jc w:val="center"/>
        <w:tblLayout w:type="autofit"/>
        <w:tblCellMar>
          <w:top w:w="0" w:type="dxa"/>
          <w:left w:w="108" w:type="dxa"/>
          <w:bottom w:w="0" w:type="dxa"/>
          <w:right w:w="108" w:type="dxa"/>
        </w:tblCellMar>
      </w:tblPr>
      <w:tblGrid>
        <w:gridCol w:w="1005"/>
        <w:gridCol w:w="1356"/>
        <w:gridCol w:w="1257"/>
        <w:gridCol w:w="2590"/>
        <w:gridCol w:w="2959"/>
      </w:tblGrid>
      <w:tr w14:paraId="5BC09B6E">
        <w:tblPrEx>
          <w:tblCellMar>
            <w:top w:w="0" w:type="dxa"/>
            <w:left w:w="108" w:type="dxa"/>
            <w:bottom w:w="0" w:type="dxa"/>
            <w:right w:w="108" w:type="dxa"/>
          </w:tblCellMar>
        </w:tblPrEx>
        <w:trPr>
          <w:cantSplit/>
          <w:trHeight w:val="578" w:hRule="atLeast"/>
          <w:tblHeader/>
          <w:jc w:val="center"/>
        </w:trPr>
        <w:tc>
          <w:tcPr>
            <w:tcW w:w="548" w:type="pct"/>
            <w:tcBorders>
              <w:top w:val="single" w:color="auto" w:sz="4" w:space="0"/>
              <w:left w:val="single" w:color="auto" w:sz="4" w:space="0"/>
              <w:bottom w:val="single" w:color="auto" w:sz="4" w:space="0"/>
              <w:right w:val="single" w:color="auto" w:sz="4" w:space="0"/>
            </w:tcBorders>
            <w:vAlign w:val="center"/>
          </w:tcPr>
          <w:p w14:paraId="11BD4BEA">
            <w:pPr>
              <w:ind w:left="241" w:hanging="241" w:hangingChars="100"/>
              <w:jc w:val="center"/>
              <w:rPr>
                <w:rFonts w:ascii="仿宋_GB2312" w:hAnsi="仿宋_GB2312" w:cs="仿宋_GB2312"/>
                <w:b/>
                <w:bCs/>
                <w:sz w:val="24"/>
              </w:rPr>
            </w:pPr>
            <w:r>
              <w:rPr>
                <w:rFonts w:hint="eastAsia" w:ascii="仿宋_GB2312" w:hAnsi="仿宋_GB2312" w:cs="仿宋_GB2312"/>
                <w:b/>
                <w:bCs/>
                <w:sz w:val="24"/>
              </w:rPr>
              <w:t>姓  名</w:t>
            </w:r>
          </w:p>
        </w:tc>
        <w:tc>
          <w:tcPr>
            <w:tcW w:w="739" w:type="pct"/>
            <w:tcBorders>
              <w:top w:val="single" w:color="auto" w:sz="4" w:space="0"/>
              <w:left w:val="single" w:color="auto" w:sz="4" w:space="0"/>
              <w:bottom w:val="single" w:color="auto" w:sz="4" w:space="0"/>
              <w:right w:val="single" w:color="auto" w:sz="4" w:space="0"/>
            </w:tcBorders>
            <w:vAlign w:val="center"/>
          </w:tcPr>
          <w:p w14:paraId="3B28F727">
            <w:pPr>
              <w:ind w:firstLine="0" w:firstLineChars="0"/>
              <w:jc w:val="center"/>
              <w:rPr>
                <w:rFonts w:ascii="仿宋_GB2312" w:hAnsi="仿宋_GB2312" w:cs="仿宋_GB2312"/>
                <w:b/>
                <w:bCs/>
                <w:sz w:val="24"/>
              </w:rPr>
            </w:pPr>
            <w:r>
              <w:rPr>
                <w:rFonts w:hint="eastAsia" w:ascii="仿宋_GB2312" w:hAnsi="仿宋_GB2312" w:cs="仿宋_GB2312"/>
                <w:b/>
                <w:bCs/>
                <w:sz w:val="24"/>
              </w:rPr>
              <w:t>职称/职位</w:t>
            </w:r>
          </w:p>
        </w:tc>
        <w:tc>
          <w:tcPr>
            <w:tcW w:w="685" w:type="pct"/>
            <w:tcBorders>
              <w:top w:val="single" w:color="auto" w:sz="4" w:space="0"/>
              <w:left w:val="single" w:color="auto" w:sz="4" w:space="0"/>
              <w:bottom w:val="single" w:color="auto" w:sz="4" w:space="0"/>
              <w:right w:val="single" w:color="auto" w:sz="4" w:space="0"/>
            </w:tcBorders>
            <w:vAlign w:val="center"/>
          </w:tcPr>
          <w:p w14:paraId="67435EF9">
            <w:pPr>
              <w:ind w:firstLine="0" w:firstLineChars="0"/>
              <w:jc w:val="center"/>
              <w:rPr>
                <w:rFonts w:ascii="仿宋_GB2312" w:hAnsi="仿宋_GB2312" w:cs="仿宋_GB2312"/>
                <w:b/>
                <w:bCs/>
                <w:sz w:val="24"/>
              </w:rPr>
            </w:pPr>
            <w:r>
              <w:rPr>
                <w:rFonts w:hint="eastAsia" w:ascii="仿宋_GB2312" w:hAnsi="仿宋_GB2312" w:cs="仿宋_GB2312"/>
                <w:b/>
                <w:bCs/>
                <w:sz w:val="24"/>
              </w:rPr>
              <w:t>从事专业</w:t>
            </w:r>
          </w:p>
        </w:tc>
        <w:tc>
          <w:tcPr>
            <w:tcW w:w="1412" w:type="pct"/>
            <w:tcBorders>
              <w:top w:val="single" w:color="auto" w:sz="4" w:space="0"/>
              <w:left w:val="single" w:color="auto" w:sz="4" w:space="0"/>
              <w:bottom w:val="single" w:color="auto" w:sz="4" w:space="0"/>
              <w:right w:val="single" w:color="auto" w:sz="4" w:space="0"/>
            </w:tcBorders>
            <w:vAlign w:val="center"/>
          </w:tcPr>
          <w:p w14:paraId="0D84A82A">
            <w:pPr>
              <w:ind w:firstLine="0" w:firstLineChars="0"/>
              <w:jc w:val="center"/>
              <w:rPr>
                <w:rFonts w:ascii="仿宋_GB2312" w:hAnsi="仿宋_GB2312" w:cs="仿宋_GB2312"/>
                <w:b/>
                <w:bCs/>
                <w:sz w:val="24"/>
              </w:rPr>
            </w:pPr>
            <w:r>
              <w:rPr>
                <w:rFonts w:hint="eastAsia" w:ascii="仿宋_GB2312" w:hAnsi="仿宋_GB2312" w:cs="仿宋_GB2312"/>
                <w:b/>
                <w:bCs/>
                <w:sz w:val="24"/>
              </w:rPr>
              <w:t>工作单位</w:t>
            </w:r>
          </w:p>
        </w:tc>
        <w:tc>
          <w:tcPr>
            <w:tcW w:w="1613" w:type="pct"/>
            <w:tcBorders>
              <w:top w:val="single" w:color="auto" w:sz="4" w:space="0"/>
              <w:left w:val="single" w:color="auto" w:sz="4" w:space="0"/>
              <w:bottom w:val="single" w:color="auto" w:sz="4" w:space="0"/>
              <w:right w:val="single" w:color="auto" w:sz="4" w:space="0"/>
            </w:tcBorders>
            <w:vAlign w:val="center"/>
          </w:tcPr>
          <w:p w14:paraId="06D3377F">
            <w:pPr>
              <w:ind w:firstLine="0" w:firstLineChars="0"/>
              <w:jc w:val="center"/>
              <w:rPr>
                <w:rFonts w:ascii="仿宋_GB2312" w:hAnsi="仿宋_GB2312" w:cs="仿宋_GB2312"/>
                <w:b/>
                <w:bCs/>
                <w:sz w:val="24"/>
              </w:rPr>
            </w:pPr>
            <w:r>
              <w:rPr>
                <w:rFonts w:hint="eastAsia" w:ascii="仿宋_GB2312" w:hAnsi="仿宋_GB2312" w:cs="仿宋_GB2312"/>
                <w:b/>
                <w:bCs/>
                <w:sz w:val="24"/>
              </w:rPr>
              <w:t>主要负责工作</w:t>
            </w:r>
          </w:p>
        </w:tc>
      </w:tr>
      <w:tr w14:paraId="440838F3">
        <w:tblPrEx>
          <w:tblCellMar>
            <w:top w:w="0" w:type="dxa"/>
            <w:left w:w="108" w:type="dxa"/>
            <w:bottom w:w="0" w:type="dxa"/>
            <w:right w:w="108" w:type="dxa"/>
          </w:tblCellMar>
        </w:tblPrEx>
        <w:trPr>
          <w:cantSplit/>
          <w:trHeight w:val="521"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6F31ED1D">
            <w:pPr>
              <w:ind w:firstLine="0" w:firstLineChars="0"/>
              <w:jc w:val="center"/>
              <w:rPr>
                <w:rFonts w:ascii="仿宋_GB2312" w:hAnsi="仿宋_GB2312" w:cs="仿宋_GB2312"/>
                <w:sz w:val="24"/>
              </w:rPr>
            </w:pPr>
            <w:r>
              <w:rPr>
                <w:rFonts w:hint="eastAsia" w:ascii="仿宋_GB2312" w:hAnsi="仿宋_GB2312" w:cs="仿宋_GB2312"/>
                <w:sz w:val="24"/>
              </w:rPr>
              <w:t>徐圆圆</w:t>
            </w:r>
          </w:p>
        </w:tc>
        <w:tc>
          <w:tcPr>
            <w:tcW w:w="739" w:type="pct"/>
            <w:tcBorders>
              <w:top w:val="single" w:color="auto" w:sz="4" w:space="0"/>
              <w:left w:val="single" w:color="auto" w:sz="4" w:space="0"/>
              <w:bottom w:val="single" w:color="auto" w:sz="4" w:space="0"/>
              <w:right w:val="single" w:color="auto" w:sz="4" w:space="0"/>
            </w:tcBorders>
            <w:vAlign w:val="center"/>
          </w:tcPr>
          <w:p w14:paraId="43541543">
            <w:pPr>
              <w:ind w:firstLine="0" w:firstLineChars="0"/>
              <w:jc w:val="center"/>
              <w:rPr>
                <w:rFonts w:ascii="仿宋_GB2312" w:hAnsi="仿宋_GB2312" w:cs="仿宋_GB2312"/>
                <w:sz w:val="24"/>
              </w:rPr>
            </w:pPr>
            <w:r>
              <w:rPr>
                <w:rFonts w:hint="eastAsia" w:ascii="仿宋_GB2312" w:hAnsi="仿宋_GB2312" w:cs="仿宋_GB2312"/>
                <w:sz w:val="24"/>
              </w:rPr>
              <w:t>讲师</w:t>
            </w:r>
          </w:p>
        </w:tc>
        <w:tc>
          <w:tcPr>
            <w:tcW w:w="685" w:type="pct"/>
            <w:tcBorders>
              <w:top w:val="single" w:color="000000" w:sz="2" w:space="0"/>
              <w:left w:val="single" w:color="auto" w:sz="4" w:space="0"/>
              <w:bottom w:val="single" w:color="auto" w:sz="4" w:space="0"/>
              <w:right w:val="single" w:color="auto" w:sz="4" w:space="0"/>
            </w:tcBorders>
            <w:vAlign w:val="center"/>
          </w:tcPr>
          <w:p w14:paraId="46BD0CCF">
            <w:pPr>
              <w:ind w:firstLine="0" w:firstLineChars="0"/>
              <w:jc w:val="center"/>
              <w:rPr>
                <w:rFonts w:ascii="仿宋_GB2312" w:hAnsi="仿宋_GB2312" w:cs="仿宋_GB2312"/>
                <w:sz w:val="24"/>
              </w:rPr>
            </w:pPr>
            <w:r>
              <w:rPr>
                <w:rFonts w:hint="eastAsia" w:ascii="仿宋_GB2312" w:hAnsi="仿宋_GB2312" w:cs="仿宋_GB2312"/>
                <w:sz w:val="24"/>
              </w:rPr>
              <w:t>森林培育</w:t>
            </w:r>
          </w:p>
        </w:tc>
        <w:tc>
          <w:tcPr>
            <w:tcW w:w="1412" w:type="pct"/>
            <w:tcBorders>
              <w:top w:val="single" w:color="auto" w:sz="4" w:space="0"/>
              <w:left w:val="single" w:color="auto" w:sz="4" w:space="0"/>
              <w:bottom w:val="single" w:color="auto" w:sz="4" w:space="0"/>
              <w:right w:val="single" w:color="auto" w:sz="4" w:space="0"/>
            </w:tcBorders>
            <w:vAlign w:val="center"/>
          </w:tcPr>
          <w:p w14:paraId="13491991">
            <w:pPr>
              <w:widowControl/>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广西大学</w:t>
            </w:r>
          </w:p>
        </w:tc>
        <w:tc>
          <w:tcPr>
            <w:tcW w:w="1613" w:type="pct"/>
            <w:tcBorders>
              <w:top w:val="single" w:color="auto" w:sz="4" w:space="0"/>
              <w:left w:val="single" w:color="auto" w:sz="4" w:space="0"/>
              <w:bottom w:val="single" w:color="auto" w:sz="4" w:space="0"/>
              <w:right w:val="single" w:color="auto" w:sz="4" w:space="0"/>
            </w:tcBorders>
            <w:vAlign w:val="center"/>
          </w:tcPr>
          <w:p w14:paraId="678FD53F">
            <w:pPr>
              <w:ind w:firstLine="0" w:firstLineChars="0"/>
              <w:jc w:val="center"/>
              <w:rPr>
                <w:rFonts w:ascii="仿宋_GB2312" w:hAnsi="仿宋_GB2312" w:cs="仿宋_GB2312"/>
                <w:sz w:val="24"/>
                <w:lang w:bidi="ar"/>
              </w:rPr>
            </w:pPr>
            <w:r>
              <w:rPr>
                <w:rFonts w:hint="eastAsia" w:ascii="仿宋_GB2312" w:hAnsi="仿宋_GB2312" w:cs="仿宋_GB2312"/>
                <w:sz w:val="24"/>
                <w:lang w:bidi="ar"/>
              </w:rPr>
              <w:t>统筹主持标准编制工作</w:t>
            </w:r>
          </w:p>
        </w:tc>
      </w:tr>
      <w:tr w14:paraId="68BF3475">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309D71C7">
            <w:pPr>
              <w:ind w:firstLine="0" w:firstLineChars="0"/>
              <w:jc w:val="center"/>
              <w:rPr>
                <w:rFonts w:ascii="仿宋_GB2312" w:hAnsi="仿宋_GB2312" w:cs="仿宋_GB2312"/>
                <w:sz w:val="24"/>
              </w:rPr>
            </w:pPr>
            <w:r>
              <w:rPr>
                <w:rFonts w:hint="eastAsia" w:ascii="仿宋_GB2312" w:hAnsi="仿宋_GB2312" w:cs="仿宋_GB2312"/>
                <w:sz w:val="24"/>
              </w:rPr>
              <w:t>马道承</w:t>
            </w:r>
          </w:p>
        </w:tc>
        <w:tc>
          <w:tcPr>
            <w:tcW w:w="739" w:type="pct"/>
            <w:tcBorders>
              <w:top w:val="single" w:color="auto" w:sz="4" w:space="0"/>
              <w:left w:val="single" w:color="auto" w:sz="4" w:space="0"/>
              <w:bottom w:val="single" w:color="auto" w:sz="4" w:space="0"/>
              <w:right w:val="single" w:color="auto" w:sz="4" w:space="0"/>
            </w:tcBorders>
            <w:vAlign w:val="center"/>
          </w:tcPr>
          <w:p w14:paraId="57B75B3B">
            <w:pPr>
              <w:ind w:firstLine="0" w:firstLineChars="0"/>
              <w:jc w:val="center"/>
              <w:rPr>
                <w:rFonts w:ascii="仿宋_GB2312" w:hAnsi="仿宋_GB2312" w:cs="仿宋_GB2312"/>
                <w:sz w:val="24"/>
              </w:rPr>
            </w:pPr>
            <w:r>
              <w:rPr>
                <w:rFonts w:hint="eastAsia" w:ascii="仿宋_GB2312" w:hAnsi="仿宋_GB2312" w:cs="仿宋_GB2312"/>
                <w:sz w:val="24"/>
              </w:rPr>
              <w:t>博士研究生</w:t>
            </w:r>
          </w:p>
        </w:tc>
        <w:tc>
          <w:tcPr>
            <w:tcW w:w="685" w:type="pct"/>
            <w:tcBorders>
              <w:top w:val="single" w:color="000000" w:sz="2" w:space="0"/>
              <w:left w:val="single" w:color="auto" w:sz="4" w:space="0"/>
              <w:bottom w:val="single" w:color="auto" w:sz="4" w:space="0"/>
              <w:right w:val="single" w:color="auto" w:sz="4" w:space="0"/>
            </w:tcBorders>
            <w:vAlign w:val="center"/>
          </w:tcPr>
          <w:p w14:paraId="3B6DDF86">
            <w:pPr>
              <w:ind w:firstLine="0" w:firstLineChars="0"/>
              <w:jc w:val="center"/>
              <w:rPr>
                <w:rFonts w:ascii="仿宋_GB2312" w:hAnsi="仿宋_GB2312" w:cs="仿宋_GB2312"/>
                <w:sz w:val="24"/>
              </w:rPr>
            </w:pPr>
            <w:r>
              <w:rPr>
                <w:rFonts w:hint="eastAsia" w:ascii="仿宋_GB2312" w:hAnsi="仿宋_GB2312" w:cs="仿宋_GB2312"/>
                <w:sz w:val="24"/>
              </w:rPr>
              <w:t>生态学</w:t>
            </w:r>
          </w:p>
        </w:tc>
        <w:tc>
          <w:tcPr>
            <w:tcW w:w="1412" w:type="pct"/>
            <w:tcBorders>
              <w:top w:val="single" w:color="auto" w:sz="4" w:space="0"/>
              <w:left w:val="single" w:color="auto" w:sz="4" w:space="0"/>
              <w:bottom w:val="single" w:color="auto" w:sz="4" w:space="0"/>
              <w:right w:val="single" w:color="auto" w:sz="4" w:space="0"/>
            </w:tcBorders>
            <w:vAlign w:val="center"/>
          </w:tcPr>
          <w:p w14:paraId="5DC68542">
            <w:pPr>
              <w:widowControl/>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广西大学</w:t>
            </w:r>
          </w:p>
        </w:tc>
        <w:tc>
          <w:tcPr>
            <w:tcW w:w="1613" w:type="pct"/>
            <w:tcBorders>
              <w:top w:val="single" w:color="auto" w:sz="4" w:space="0"/>
              <w:left w:val="single" w:color="auto" w:sz="4" w:space="0"/>
              <w:bottom w:val="single" w:color="auto" w:sz="4" w:space="0"/>
              <w:right w:val="single" w:color="auto" w:sz="4" w:space="0"/>
            </w:tcBorders>
            <w:vAlign w:val="center"/>
          </w:tcPr>
          <w:p w14:paraId="4C1E11E2">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参与标准编制工作，组织人员进行标准发布后的宣贯培训。</w:t>
            </w:r>
          </w:p>
        </w:tc>
      </w:tr>
      <w:tr w14:paraId="539B830D">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0D8A6C85">
            <w:pPr>
              <w:ind w:firstLine="0" w:firstLineChars="0"/>
              <w:jc w:val="center"/>
              <w:rPr>
                <w:rFonts w:ascii="仿宋_GB2312" w:hAnsi="仿宋_GB2312" w:cs="仿宋_GB2312"/>
                <w:sz w:val="24"/>
              </w:rPr>
            </w:pPr>
            <w:r>
              <w:rPr>
                <w:rFonts w:hint="eastAsia" w:ascii="仿宋_GB2312" w:hAnsi="仿宋_GB2312" w:cs="仿宋_GB2312"/>
                <w:sz w:val="24"/>
              </w:rPr>
              <w:t>杨梅</w:t>
            </w:r>
          </w:p>
        </w:tc>
        <w:tc>
          <w:tcPr>
            <w:tcW w:w="739" w:type="pct"/>
            <w:tcBorders>
              <w:top w:val="single" w:color="auto" w:sz="4" w:space="0"/>
              <w:left w:val="single" w:color="auto" w:sz="4" w:space="0"/>
              <w:bottom w:val="single" w:color="auto" w:sz="4" w:space="0"/>
              <w:right w:val="single" w:color="auto" w:sz="4" w:space="0"/>
            </w:tcBorders>
            <w:vAlign w:val="center"/>
          </w:tcPr>
          <w:p w14:paraId="17455DA4">
            <w:pPr>
              <w:ind w:firstLine="0" w:firstLineChars="0"/>
              <w:jc w:val="center"/>
              <w:rPr>
                <w:rFonts w:ascii="仿宋_GB2312" w:hAnsi="仿宋_GB2312" w:cs="仿宋_GB2312"/>
                <w:sz w:val="24"/>
              </w:rPr>
            </w:pPr>
            <w:r>
              <w:rPr>
                <w:rFonts w:hint="eastAsia" w:ascii="仿宋_GB2312" w:hAnsi="仿宋_GB2312" w:cs="仿宋_GB2312"/>
                <w:sz w:val="24"/>
              </w:rPr>
              <w:t>教授</w:t>
            </w:r>
          </w:p>
        </w:tc>
        <w:tc>
          <w:tcPr>
            <w:tcW w:w="685" w:type="pct"/>
            <w:tcBorders>
              <w:top w:val="single" w:color="000000" w:sz="2" w:space="0"/>
              <w:left w:val="single" w:color="auto" w:sz="4" w:space="0"/>
              <w:bottom w:val="single" w:color="auto" w:sz="4" w:space="0"/>
              <w:right w:val="single" w:color="auto" w:sz="4" w:space="0"/>
            </w:tcBorders>
            <w:vAlign w:val="center"/>
          </w:tcPr>
          <w:p w14:paraId="649C728B">
            <w:pPr>
              <w:ind w:firstLine="0" w:firstLineChars="0"/>
              <w:jc w:val="center"/>
              <w:rPr>
                <w:rFonts w:ascii="仿宋_GB2312" w:hAnsi="仿宋_GB2312" w:cs="仿宋_GB2312"/>
                <w:sz w:val="24"/>
              </w:rPr>
            </w:pPr>
            <w:r>
              <w:rPr>
                <w:rFonts w:hint="eastAsia" w:ascii="仿宋_GB2312" w:hAnsi="仿宋_GB2312" w:cs="仿宋_GB2312"/>
                <w:sz w:val="24"/>
              </w:rPr>
              <w:t>森林培育</w:t>
            </w:r>
          </w:p>
        </w:tc>
        <w:tc>
          <w:tcPr>
            <w:tcW w:w="1412" w:type="pct"/>
            <w:tcBorders>
              <w:top w:val="single" w:color="auto" w:sz="4" w:space="0"/>
              <w:left w:val="single" w:color="auto" w:sz="4" w:space="0"/>
              <w:bottom w:val="single" w:color="auto" w:sz="4" w:space="0"/>
              <w:right w:val="single" w:color="auto" w:sz="4" w:space="0"/>
            </w:tcBorders>
            <w:vAlign w:val="center"/>
          </w:tcPr>
          <w:p w14:paraId="5054CCE8">
            <w:pPr>
              <w:widowControl/>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广西大学</w:t>
            </w:r>
          </w:p>
        </w:tc>
        <w:tc>
          <w:tcPr>
            <w:tcW w:w="1613" w:type="pct"/>
            <w:tcBorders>
              <w:top w:val="single" w:color="auto" w:sz="4" w:space="0"/>
              <w:left w:val="single" w:color="auto" w:sz="4" w:space="0"/>
              <w:bottom w:val="single" w:color="auto" w:sz="4" w:space="0"/>
              <w:right w:val="single" w:color="auto" w:sz="4" w:space="0"/>
            </w:tcBorders>
            <w:vAlign w:val="center"/>
          </w:tcPr>
          <w:p w14:paraId="69A02D59">
            <w:pPr>
              <w:ind w:firstLine="0" w:firstLineChars="0"/>
              <w:jc w:val="center"/>
              <w:rPr>
                <w:rFonts w:ascii="仿宋_GB2312" w:hAnsi="仿宋_GB2312" w:cs="仿宋_GB2312"/>
                <w:sz w:val="24"/>
                <w:lang w:bidi="ar"/>
              </w:rPr>
            </w:pPr>
            <w:r>
              <w:rPr>
                <w:rFonts w:hint="eastAsia" w:ascii="仿宋_GB2312" w:hAnsi="仿宋_GB2312" w:cs="仿宋_GB2312"/>
                <w:sz w:val="24"/>
                <w:lang w:val="en-US" w:eastAsia="zh-CN" w:bidi="ar"/>
              </w:rPr>
              <w:t>组织</w:t>
            </w:r>
            <w:r>
              <w:rPr>
                <w:rFonts w:hint="eastAsia" w:ascii="仿宋_GB2312" w:hAnsi="仿宋_GB2312" w:cs="仿宋_GB2312"/>
                <w:sz w:val="24"/>
                <w:lang w:bidi="ar"/>
              </w:rPr>
              <w:t>标准文本及编制说明</w:t>
            </w:r>
            <w:r>
              <w:rPr>
                <w:rFonts w:hint="eastAsia" w:ascii="仿宋_GB2312" w:hAnsi="仿宋_GB2312" w:cs="仿宋_GB2312"/>
                <w:sz w:val="24"/>
                <w:lang w:val="en-US" w:eastAsia="zh-CN" w:bidi="ar"/>
              </w:rPr>
              <w:t>的</w:t>
            </w:r>
            <w:r>
              <w:rPr>
                <w:rFonts w:hint="eastAsia" w:ascii="仿宋_GB2312" w:hAnsi="仿宋_GB2312" w:cs="仿宋_GB2312"/>
                <w:sz w:val="24"/>
                <w:lang w:bidi="ar"/>
              </w:rPr>
              <w:t>编写，质量控制。</w:t>
            </w:r>
          </w:p>
        </w:tc>
      </w:tr>
      <w:tr w14:paraId="0DB42043">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28F6A186">
            <w:pPr>
              <w:ind w:firstLine="0" w:firstLineChars="0"/>
              <w:jc w:val="center"/>
              <w:rPr>
                <w:rFonts w:ascii="仿宋_GB2312" w:hAnsi="仿宋_GB2312" w:cs="仿宋_GB2312"/>
                <w:sz w:val="24"/>
              </w:rPr>
            </w:pPr>
            <w:r>
              <w:rPr>
                <w:rFonts w:hint="eastAsia" w:ascii="仿宋_GB2312" w:hAnsi="仿宋_GB2312" w:cs="仿宋_GB2312"/>
                <w:sz w:val="24"/>
              </w:rPr>
              <w:t>李露</w:t>
            </w:r>
          </w:p>
        </w:tc>
        <w:tc>
          <w:tcPr>
            <w:tcW w:w="739" w:type="pct"/>
            <w:tcBorders>
              <w:top w:val="single" w:color="auto" w:sz="4" w:space="0"/>
              <w:left w:val="single" w:color="auto" w:sz="4" w:space="0"/>
              <w:bottom w:val="single" w:color="auto" w:sz="4" w:space="0"/>
              <w:right w:val="single" w:color="auto" w:sz="4" w:space="0"/>
            </w:tcBorders>
            <w:vAlign w:val="center"/>
          </w:tcPr>
          <w:p w14:paraId="432C7745">
            <w:pPr>
              <w:ind w:firstLine="0" w:firstLineChars="0"/>
              <w:jc w:val="center"/>
              <w:rPr>
                <w:rFonts w:ascii="仿宋_GB2312" w:hAnsi="仿宋_GB2312" w:cs="仿宋_GB2312"/>
                <w:sz w:val="24"/>
              </w:rPr>
            </w:pPr>
            <w:r>
              <w:rPr>
                <w:rFonts w:hint="eastAsia" w:ascii="仿宋_GB2312" w:hAnsi="仿宋_GB2312" w:cs="仿宋_GB2312"/>
                <w:sz w:val="24"/>
              </w:rPr>
              <w:t>博士研究生</w:t>
            </w:r>
          </w:p>
        </w:tc>
        <w:tc>
          <w:tcPr>
            <w:tcW w:w="685" w:type="pct"/>
            <w:tcBorders>
              <w:top w:val="single" w:color="000000" w:sz="2" w:space="0"/>
              <w:left w:val="single" w:color="auto" w:sz="4" w:space="0"/>
              <w:bottom w:val="single" w:color="auto" w:sz="4" w:space="0"/>
              <w:right w:val="single" w:color="auto" w:sz="4" w:space="0"/>
            </w:tcBorders>
            <w:vAlign w:val="center"/>
          </w:tcPr>
          <w:p w14:paraId="77390A22">
            <w:pPr>
              <w:ind w:firstLine="0" w:firstLineChars="0"/>
              <w:jc w:val="center"/>
              <w:rPr>
                <w:rFonts w:ascii="仿宋_GB2312" w:hAnsi="仿宋_GB2312" w:cs="仿宋_GB2312"/>
                <w:sz w:val="24"/>
              </w:rPr>
            </w:pPr>
            <w:r>
              <w:rPr>
                <w:rFonts w:hint="eastAsia" w:ascii="仿宋_GB2312" w:hAnsi="仿宋_GB2312" w:cs="仿宋_GB2312"/>
                <w:sz w:val="24"/>
              </w:rPr>
              <w:t>生态学</w:t>
            </w:r>
          </w:p>
        </w:tc>
        <w:tc>
          <w:tcPr>
            <w:tcW w:w="1412" w:type="pct"/>
            <w:tcBorders>
              <w:top w:val="single" w:color="auto" w:sz="4" w:space="0"/>
              <w:left w:val="single" w:color="auto" w:sz="4" w:space="0"/>
              <w:bottom w:val="single" w:color="auto" w:sz="4" w:space="0"/>
              <w:right w:val="single" w:color="auto" w:sz="4" w:space="0"/>
            </w:tcBorders>
            <w:vAlign w:val="center"/>
          </w:tcPr>
          <w:p w14:paraId="7D5F1E84">
            <w:pPr>
              <w:widowControl/>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广西大学</w:t>
            </w:r>
          </w:p>
        </w:tc>
        <w:tc>
          <w:tcPr>
            <w:tcW w:w="1613" w:type="pct"/>
            <w:tcBorders>
              <w:top w:val="single" w:color="auto" w:sz="4" w:space="0"/>
              <w:left w:val="single" w:color="auto" w:sz="4" w:space="0"/>
              <w:bottom w:val="single" w:color="auto" w:sz="4" w:space="0"/>
              <w:right w:val="single" w:color="auto" w:sz="4" w:space="0"/>
            </w:tcBorders>
            <w:vAlign w:val="center"/>
          </w:tcPr>
          <w:p w14:paraId="5D5E8425">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76E8A594">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5C654AC5">
            <w:pPr>
              <w:ind w:firstLine="0" w:firstLineChars="0"/>
              <w:jc w:val="center"/>
              <w:rPr>
                <w:rFonts w:ascii="仿宋_GB2312" w:hAnsi="仿宋_GB2312" w:cs="仿宋_GB2312"/>
                <w:sz w:val="24"/>
              </w:rPr>
            </w:pPr>
            <w:r>
              <w:rPr>
                <w:rFonts w:hint="eastAsia" w:ascii="仿宋_GB2312" w:hAnsi="仿宋_GB2312" w:cs="仿宋_GB2312"/>
                <w:sz w:val="24"/>
              </w:rPr>
              <w:t>江天远</w:t>
            </w:r>
          </w:p>
        </w:tc>
        <w:tc>
          <w:tcPr>
            <w:tcW w:w="739" w:type="pct"/>
            <w:tcBorders>
              <w:top w:val="single" w:color="auto" w:sz="4" w:space="0"/>
              <w:left w:val="single" w:color="auto" w:sz="4" w:space="0"/>
              <w:bottom w:val="single" w:color="auto" w:sz="4" w:space="0"/>
              <w:right w:val="single" w:color="auto" w:sz="4" w:space="0"/>
            </w:tcBorders>
            <w:vAlign w:val="center"/>
          </w:tcPr>
          <w:p w14:paraId="007F95C1">
            <w:pPr>
              <w:ind w:firstLine="0" w:firstLineChars="0"/>
              <w:jc w:val="center"/>
              <w:rPr>
                <w:rFonts w:ascii="仿宋_GB2312" w:hAnsi="仿宋_GB2312" w:cs="仿宋_GB2312"/>
                <w:sz w:val="24"/>
              </w:rPr>
            </w:pPr>
            <w:r>
              <w:rPr>
                <w:rFonts w:hint="eastAsia" w:ascii="仿宋_GB2312" w:hAnsi="仿宋_GB2312" w:cs="仿宋_GB2312"/>
                <w:sz w:val="24"/>
              </w:rPr>
              <w:t>工程师</w:t>
            </w:r>
          </w:p>
        </w:tc>
        <w:tc>
          <w:tcPr>
            <w:tcW w:w="685" w:type="pct"/>
            <w:tcBorders>
              <w:top w:val="single" w:color="000000" w:sz="2" w:space="0"/>
              <w:left w:val="single" w:color="auto" w:sz="4" w:space="0"/>
              <w:bottom w:val="single" w:color="auto" w:sz="4" w:space="0"/>
              <w:right w:val="single" w:color="auto" w:sz="4" w:space="0"/>
            </w:tcBorders>
            <w:vAlign w:val="center"/>
          </w:tcPr>
          <w:p w14:paraId="02E34FE4">
            <w:pPr>
              <w:ind w:firstLine="0" w:firstLineChars="0"/>
              <w:jc w:val="center"/>
              <w:rPr>
                <w:rFonts w:ascii="仿宋_GB2312" w:hAnsi="仿宋_GB2312" w:cs="仿宋_GB2312"/>
                <w:sz w:val="24"/>
              </w:rPr>
            </w:pPr>
            <w:r>
              <w:rPr>
                <w:rFonts w:hint="eastAsia" w:ascii="仿宋_GB2312" w:hAnsi="仿宋_GB2312" w:cs="仿宋_GB2312"/>
                <w:sz w:val="24"/>
              </w:rPr>
              <w:t>林业</w:t>
            </w:r>
          </w:p>
        </w:tc>
        <w:tc>
          <w:tcPr>
            <w:tcW w:w="1412" w:type="pct"/>
            <w:tcBorders>
              <w:top w:val="single" w:color="auto" w:sz="4" w:space="0"/>
              <w:left w:val="single" w:color="auto" w:sz="4" w:space="0"/>
              <w:bottom w:val="single" w:color="auto" w:sz="4" w:space="0"/>
              <w:right w:val="single" w:color="auto" w:sz="4" w:space="0"/>
            </w:tcBorders>
            <w:vAlign w:val="center"/>
          </w:tcPr>
          <w:p w14:paraId="174ABA2B">
            <w:pPr>
              <w:widowControl/>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广西壮族自治区国有七坡林场</w:t>
            </w:r>
          </w:p>
        </w:tc>
        <w:tc>
          <w:tcPr>
            <w:tcW w:w="1613" w:type="pct"/>
            <w:tcBorders>
              <w:top w:val="single" w:color="auto" w:sz="4" w:space="0"/>
              <w:left w:val="single" w:color="auto" w:sz="4" w:space="0"/>
              <w:bottom w:val="single" w:color="auto" w:sz="4" w:space="0"/>
              <w:right w:val="single" w:color="auto" w:sz="4" w:space="0"/>
            </w:tcBorders>
            <w:vAlign w:val="center"/>
          </w:tcPr>
          <w:p w14:paraId="3FA46A04">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34A9A97E">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4E5EC85E">
            <w:pPr>
              <w:ind w:firstLine="0" w:firstLineChars="0"/>
              <w:jc w:val="center"/>
              <w:rPr>
                <w:rFonts w:hint="default" w:ascii="仿宋_GB2312" w:hAnsi="仿宋_GB2312" w:eastAsia="仿宋_GB2312" w:cs="仿宋_GB2312"/>
                <w:kern w:val="2"/>
                <w:sz w:val="24"/>
                <w:szCs w:val="24"/>
                <w:lang w:val="en-US" w:eastAsia="zh-CN" w:bidi="ar-SA"/>
              </w:rPr>
            </w:pPr>
            <w:r>
              <w:rPr>
                <w:rFonts w:hint="eastAsia" w:ascii="仿宋_GB2312" w:hAnsi="仿宋_GB2312" w:cs="仿宋_GB2312"/>
                <w:sz w:val="24"/>
              </w:rPr>
              <w:t>陈敏姣</w:t>
            </w:r>
          </w:p>
        </w:tc>
        <w:tc>
          <w:tcPr>
            <w:tcW w:w="739" w:type="pct"/>
            <w:tcBorders>
              <w:top w:val="single" w:color="auto" w:sz="4" w:space="0"/>
              <w:left w:val="single" w:color="auto" w:sz="4" w:space="0"/>
              <w:bottom w:val="single" w:color="auto" w:sz="4" w:space="0"/>
              <w:right w:val="single" w:color="auto" w:sz="4" w:space="0"/>
            </w:tcBorders>
            <w:vAlign w:val="center"/>
          </w:tcPr>
          <w:p w14:paraId="3C406A90">
            <w:pPr>
              <w:ind w:firstLine="0" w:firstLineChars="0"/>
              <w:jc w:val="center"/>
              <w:rPr>
                <w:rFonts w:hint="default" w:ascii="仿宋_GB2312" w:hAnsi="仿宋_GB2312" w:eastAsia="仿宋_GB2312" w:cs="仿宋_GB2312"/>
                <w:kern w:val="2"/>
                <w:sz w:val="24"/>
                <w:szCs w:val="24"/>
                <w:lang w:val="en-US" w:eastAsia="zh-CN" w:bidi="ar-SA"/>
              </w:rPr>
            </w:pPr>
            <w:r>
              <w:rPr>
                <w:rFonts w:hint="eastAsia" w:ascii="仿宋_GB2312" w:hAnsi="仿宋_GB2312" w:cs="仿宋_GB2312"/>
                <w:sz w:val="24"/>
              </w:rPr>
              <w:t>高级工程师</w:t>
            </w:r>
          </w:p>
        </w:tc>
        <w:tc>
          <w:tcPr>
            <w:tcW w:w="685" w:type="pct"/>
            <w:tcBorders>
              <w:top w:val="single" w:color="000000" w:sz="2" w:space="0"/>
              <w:left w:val="single" w:color="auto" w:sz="4" w:space="0"/>
              <w:bottom w:val="single" w:color="auto" w:sz="4" w:space="0"/>
              <w:right w:val="single" w:color="auto" w:sz="4" w:space="0"/>
            </w:tcBorders>
            <w:vAlign w:val="center"/>
          </w:tcPr>
          <w:p w14:paraId="797B1472">
            <w:pPr>
              <w:ind w:firstLine="0" w:firstLineChars="0"/>
              <w:jc w:val="center"/>
              <w:rPr>
                <w:rFonts w:hint="default" w:ascii="仿宋_GB2312" w:hAnsi="仿宋_GB2312" w:eastAsia="仿宋_GB2312" w:cs="仿宋_GB2312"/>
                <w:kern w:val="2"/>
                <w:sz w:val="24"/>
                <w:szCs w:val="24"/>
                <w:lang w:val="en-US" w:eastAsia="zh-CN" w:bidi="ar-SA"/>
              </w:rPr>
            </w:pPr>
            <w:r>
              <w:rPr>
                <w:rFonts w:hint="eastAsia" w:ascii="仿宋_GB2312" w:hAnsi="仿宋_GB2312" w:cs="仿宋_GB2312"/>
                <w:sz w:val="24"/>
              </w:rPr>
              <w:t>林业</w:t>
            </w:r>
          </w:p>
        </w:tc>
        <w:tc>
          <w:tcPr>
            <w:tcW w:w="1412" w:type="pct"/>
            <w:tcBorders>
              <w:top w:val="single" w:color="auto" w:sz="4" w:space="0"/>
              <w:left w:val="single" w:color="auto" w:sz="4" w:space="0"/>
              <w:bottom w:val="single" w:color="auto" w:sz="4" w:space="0"/>
              <w:right w:val="single" w:color="auto" w:sz="4" w:space="0"/>
            </w:tcBorders>
            <w:vAlign w:val="center"/>
          </w:tcPr>
          <w:p w14:paraId="6F9B3982">
            <w:pPr>
              <w:widowControl/>
              <w:ind w:firstLine="0" w:firstLine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cs="仿宋_GB2312"/>
                <w:color w:val="000000"/>
                <w:kern w:val="0"/>
                <w:sz w:val="24"/>
                <w:lang w:bidi="ar"/>
              </w:rPr>
              <w:t>广西壮族自治区国有七坡林场</w:t>
            </w:r>
          </w:p>
        </w:tc>
        <w:tc>
          <w:tcPr>
            <w:tcW w:w="1613" w:type="pct"/>
            <w:tcBorders>
              <w:top w:val="single" w:color="auto" w:sz="4" w:space="0"/>
              <w:left w:val="single" w:color="auto" w:sz="4" w:space="0"/>
              <w:bottom w:val="single" w:color="auto" w:sz="4" w:space="0"/>
              <w:right w:val="single" w:color="auto" w:sz="4" w:space="0"/>
            </w:tcBorders>
            <w:vAlign w:val="center"/>
          </w:tcPr>
          <w:p w14:paraId="24644204">
            <w:pPr>
              <w:ind w:firstLine="0" w:firstLineChars="0"/>
              <w:jc w:val="center"/>
              <w:rPr>
                <w:rFonts w:hint="default" w:ascii="仿宋_GB2312" w:hAnsi="仿宋_GB2312" w:eastAsia="仿宋_GB2312" w:cs="仿宋_GB2312"/>
                <w:kern w:val="2"/>
                <w:sz w:val="24"/>
                <w:szCs w:val="24"/>
                <w:lang w:val="en-US" w:eastAsia="zh-CN"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3003D044">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7D199E2D">
            <w:pPr>
              <w:ind w:firstLine="0" w:firstLineChars="0"/>
              <w:jc w:val="center"/>
              <w:rPr>
                <w:rFonts w:ascii="仿宋_GB2312" w:hAnsi="仿宋_GB2312" w:cs="仿宋_GB2312"/>
                <w:sz w:val="24"/>
              </w:rPr>
            </w:pPr>
            <w:r>
              <w:rPr>
                <w:rFonts w:hint="eastAsia" w:ascii="仿宋_GB2312" w:hAnsi="仿宋_GB2312" w:cs="仿宋_GB2312"/>
                <w:sz w:val="24"/>
              </w:rPr>
              <w:t>刘春花</w:t>
            </w:r>
          </w:p>
        </w:tc>
        <w:tc>
          <w:tcPr>
            <w:tcW w:w="739" w:type="pct"/>
            <w:tcBorders>
              <w:top w:val="single" w:color="auto" w:sz="4" w:space="0"/>
              <w:left w:val="single" w:color="auto" w:sz="4" w:space="0"/>
              <w:bottom w:val="single" w:color="auto" w:sz="4" w:space="0"/>
              <w:right w:val="single" w:color="auto" w:sz="4" w:space="0"/>
            </w:tcBorders>
            <w:vAlign w:val="center"/>
          </w:tcPr>
          <w:p w14:paraId="53A0CC55">
            <w:pPr>
              <w:ind w:firstLine="0" w:firstLineChars="0"/>
              <w:jc w:val="center"/>
              <w:rPr>
                <w:rFonts w:ascii="仿宋_GB2312" w:hAnsi="仿宋_GB2312" w:cs="仿宋_GB2312"/>
                <w:sz w:val="24"/>
              </w:rPr>
            </w:pPr>
            <w:r>
              <w:rPr>
                <w:rFonts w:hint="eastAsia" w:ascii="仿宋_GB2312" w:hAnsi="仿宋_GB2312" w:cs="仿宋_GB2312"/>
                <w:sz w:val="24"/>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504BA2FA">
            <w:pPr>
              <w:ind w:firstLine="0" w:firstLineChars="0"/>
              <w:jc w:val="center"/>
              <w:rPr>
                <w:rFonts w:ascii="仿宋_GB2312" w:hAnsi="仿宋_GB2312" w:cs="仿宋_GB2312"/>
                <w:sz w:val="24"/>
              </w:rPr>
            </w:pPr>
            <w:r>
              <w:rPr>
                <w:rFonts w:hint="eastAsia" w:ascii="仿宋_GB2312" w:hAnsi="仿宋_GB2312" w:cs="仿宋_GB2312"/>
                <w:sz w:val="24"/>
              </w:rPr>
              <w:t>林业</w:t>
            </w:r>
          </w:p>
        </w:tc>
        <w:tc>
          <w:tcPr>
            <w:tcW w:w="1412" w:type="pct"/>
            <w:tcBorders>
              <w:top w:val="single" w:color="auto" w:sz="4" w:space="0"/>
              <w:left w:val="single" w:color="auto" w:sz="4" w:space="0"/>
              <w:bottom w:val="single" w:color="auto" w:sz="4" w:space="0"/>
              <w:right w:val="single" w:color="auto" w:sz="4" w:space="0"/>
            </w:tcBorders>
            <w:vAlign w:val="center"/>
          </w:tcPr>
          <w:p w14:paraId="147E92F9">
            <w:pPr>
              <w:widowControl/>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广西壮族自治区国有七坡林场</w:t>
            </w:r>
          </w:p>
        </w:tc>
        <w:tc>
          <w:tcPr>
            <w:tcW w:w="1613" w:type="pct"/>
            <w:tcBorders>
              <w:top w:val="single" w:color="auto" w:sz="4" w:space="0"/>
              <w:left w:val="single" w:color="auto" w:sz="4" w:space="0"/>
              <w:bottom w:val="single" w:color="auto" w:sz="4" w:space="0"/>
              <w:right w:val="single" w:color="auto" w:sz="4" w:space="0"/>
            </w:tcBorders>
            <w:vAlign w:val="center"/>
          </w:tcPr>
          <w:p w14:paraId="3D74F6FA">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1D5C05A5">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4CA6DE5A">
            <w:pPr>
              <w:ind w:firstLine="0" w:firstLineChars="0"/>
              <w:jc w:val="center"/>
              <w:rPr>
                <w:rFonts w:ascii="仿宋_GB2312" w:hAnsi="仿宋_GB2312" w:cs="仿宋_GB2312"/>
                <w:sz w:val="24"/>
              </w:rPr>
            </w:pPr>
            <w:r>
              <w:rPr>
                <w:rFonts w:hint="eastAsia" w:ascii="仿宋_GB2312" w:hAnsi="仿宋_GB2312" w:cs="仿宋_GB2312"/>
                <w:sz w:val="24"/>
              </w:rPr>
              <w:t>肖梓钰</w:t>
            </w:r>
          </w:p>
        </w:tc>
        <w:tc>
          <w:tcPr>
            <w:tcW w:w="739" w:type="pct"/>
            <w:tcBorders>
              <w:top w:val="single" w:color="auto" w:sz="4" w:space="0"/>
              <w:left w:val="single" w:color="auto" w:sz="4" w:space="0"/>
              <w:bottom w:val="single" w:color="auto" w:sz="4" w:space="0"/>
              <w:right w:val="single" w:color="auto" w:sz="4" w:space="0"/>
            </w:tcBorders>
            <w:vAlign w:val="center"/>
          </w:tcPr>
          <w:p w14:paraId="25CEA1A5">
            <w:pPr>
              <w:ind w:firstLine="0" w:firstLineChars="0"/>
              <w:jc w:val="center"/>
              <w:rPr>
                <w:rFonts w:ascii="仿宋_GB2312" w:hAnsi="仿宋_GB2312" w:cs="仿宋_GB2312"/>
                <w:sz w:val="24"/>
              </w:rPr>
            </w:pPr>
            <w:r>
              <w:rPr>
                <w:rFonts w:hint="eastAsia" w:ascii="仿宋_GB2312" w:hAnsi="仿宋_GB2312" w:cs="仿宋_GB2312"/>
                <w:sz w:val="24"/>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07DA62A6">
            <w:pPr>
              <w:ind w:firstLine="0" w:firstLineChars="0"/>
              <w:jc w:val="center"/>
              <w:rPr>
                <w:rFonts w:ascii="仿宋_GB2312" w:hAnsi="仿宋_GB2312" w:cs="仿宋_GB2312"/>
                <w:sz w:val="24"/>
              </w:rPr>
            </w:pPr>
            <w:r>
              <w:rPr>
                <w:rFonts w:hint="eastAsia" w:ascii="仿宋_GB2312" w:hAnsi="仿宋_GB2312" w:cs="仿宋_GB2312"/>
                <w:sz w:val="24"/>
              </w:rPr>
              <w:t>林业</w:t>
            </w:r>
          </w:p>
        </w:tc>
        <w:tc>
          <w:tcPr>
            <w:tcW w:w="1412" w:type="pct"/>
            <w:tcBorders>
              <w:top w:val="single" w:color="auto" w:sz="4" w:space="0"/>
              <w:left w:val="single" w:color="auto" w:sz="4" w:space="0"/>
              <w:bottom w:val="single" w:color="auto" w:sz="4" w:space="0"/>
              <w:right w:val="single" w:color="auto" w:sz="4" w:space="0"/>
            </w:tcBorders>
            <w:vAlign w:val="center"/>
          </w:tcPr>
          <w:p w14:paraId="03E86B77">
            <w:pPr>
              <w:widowControl/>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广西壮族自治区国有七坡林场</w:t>
            </w:r>
          </w:p>
        </w:tc>
        <w:tc>
          <w:tcPr>
            <w:tcW w:w="1613" w:type="pct"/>
            <w:tcBorders>
              <w:top w:val="single" w:color="auto" w:sz="4" w:space="0"/>
              <w:left w:val="single" w:color="auto" w:sz="4" w:space="0"/>
              <w:bottom w:val="single" w:color="auto" w:sz="4" w:space="0"/>
              <w:right w:val="single" w:color="auto" w:sz="4" w:space="0"/>
            </w:tcBorders>
            <w:vAlign w:val="center"/>
          </w:tcPr>
          <w:p w14:paraId="4E67A7CF">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218B5229">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5644EE1C">
            <w:pPr>
              <w:ind w:firstLine="0" w:firstLineChars="0"/>
              <w:jc w:val="center"/>
              <w:rPr>
                <w:rFonts w:ascii="仿宋_GB2312" w:hAnsi="仿宋_GB2312" w:cs="仿宋_GB2312"/>
                <w:sz w:val="24"/>
              </w:rPr>
            </w:pPr>
            <w:r>
              <w:rPr>
                <w:rFonts w:hint="eastAsia" w:ascii="仿宋_GB2312" w:hAnsi="仿宋_GB2312" w:cs="仿宋_GB2312"/>
                <w:sz w:val="24"/>
              </w:rPr>
              <w:t>梁炜文</w:t>
            </w:r>
          </w:p>
        </w:tc>
        <w:tc>
          <w:tcPr>
            <w:tcW w:w="739" w:type="pct"/>
            <w:tcBorders>
              <w:top w:val="single" w:color="auto" w:sz="4" w:space="0"/>
              <w:left w:val="single" w:color="auto" w:sz="4" w:space="0"/>
              <w:bottom w:val="single" w:color="auto" w:sz="4" w:space="0"/>
              <w:right w:val="single" w:color="auto" w:sz="4" w:space="0"/>
            </w:tcBorders>
            <w:vAlign w:val="center"/>
          </w:tcPr>
          <w:p w14:paraId="58A5512D">
            <w:pPr>
              <w:ind w:firstLine="0" w:firstLineChars="0"/>
              <w:jc w:val="center"/>
              <w:rPr>
                <w:rFonts w:ascii="仿宋_GB2312" w:hAnsi="仿宋_GB2312" w:cs="仿宋_GB2312"/>
                <w:sz w:val="24"/>
              </w:rPr>
            </w:pPr>
            <w:r>
              <w:rPr>
                <w:rFonts w:hint="eastAsia" w:ascii="仿宋_GB2312" w:hAnsi="仿宋_GB2312" w:cs="仿宋_GB2312"/>
                <w:sz w:val="24"/>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68AD151F">
            <w:pPr>
              <w:ind w:firstLine="0" w:firstLineChars="0"/>
              <w:jc w:val="center"/>
              <w:rPr>
                <w:rFonts w:ascii="仿宋_GB2312" w:hAnsi="仿宋_GB2312" w:cs="仿宋_GB2312"/>
                <w:sz w:val="24"/>
              </w:rPr>
            </w:pPr>
            <w:r>
              <w:rPr>
                <w:rFonts w:hint="eastAsia" w:ascii="仿宋_GB2312" w:hAnsi="仿宋_GB2312" w:cs="仿宋_GB2312"/>
                <w:sz w:val="24"/>
              </w:rPr>
              <w:t>森林培育</w:t>
            </w:r>
          </w:p>
        </w:tc>
        <w:tc>
          <w:tcPr>
            <w:tcW w:w="1412" w:type="pct"/>
            <w:tcBorders>
              <w:top w:val="single" w:color="auto" w:sz="4" w:space="0"/>
              <w:left w:val="single" w:color="auto" w:sz="4" w:space="0"/>
              <w:bottom w:val="single" w:color="auto" w:sz="4" w:space="0"/>
              <w:right w:val="single" w:color="auto" w:sz="4" w:space="0"/>
            </w:tcBorders>
            <w:vAlign w:val="center"/>
          </w:tcPr>
          <w:p w14:paraId="440F920B">
            <w:pPr>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广西壮族自治区国有高峰林场</w:t>
            </w:r>
          </w:p>
        </w:tc>
        <w:tc>
          <w:tcPr>
            <w:tcW w:w="1613" w:type="pct"/>
            <w:tcBorders>
              <w:top w:val="single" w:color="auto" w:sz="4" w:space="0"/>
              <w:left w:val="single" w:color="auto" w:sz="4" w:space="0"/>
              <w:bottom w:val="single" w:color="auto" w:sz="4" w:space="0"/>
              <w:right w:val="single" w:color="auto" w:sz="4" w:space="0"/>
            </w:tcBorders>
            <w:vAlign w:val="center"/>
          </w:tcPr>
          <w:p w14:paraId="264CD7D1">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5E85DF5D">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5B0EA461">
            <w:pPr>
              <w:ind w:firstLine="0" w:firstLineChars="0"/>
              <w:jc w:val="center"/>
              <w:rPr>
                <w:rFonts w:ascii="仿宋_GB2312" w:hAnsi="仿宋_GB2312" w:cs="仿宋_GB2312"/>
                <w:sz w:val="24"/>
              </w:rPr>
            </w:pPr>
            <w:r>
              <w:rPr>
                <w:rFonts w:hint="eastAsia" w:ascii="仿宋_GB2312" w:hAnsi="仿宋_GB2312" w:cs="仿宋_GB2312"/>
                <w:sz w:val="24"/>
              </w:rPr>
              <w:t>李刚</w:t>
            </w:r>
          </w:p>
        </w:tc>
        <w:tc>
          <w:tcPr>
            <w:tcW w:w="739" w:type="pct"/>
            <w:tcBorders>
              <w:top w:val="single" w:color="auto" w:sz="4" w:space="0"/>
              <w:left w:val="single" w:color="auto" w:sz="4" w:space="0"/>
              <w:bottom w:val="single" w:color="auto" w:sz="4" w:space="0"/>
              <w:right w:val="single" w:color="auto" w:sz="4" w:space="0"/>
            </w:tcBorders>
            <w:vAlign w:val="center"/>
          </w:tcPr>
          <w:p w14:paraId="2BBCC18D">
            <w:pPr>
              <w:ind w:firstLine="0" w:firstLineChars="0"/>
              <w:jc w:val="center"/>
              <w:rPr>
                <w:rFonts w:ascii="仿宋_GB2312" w:hAnsi="仿宋_GB2312" w:cs="仿宋_GB2312"/>
                <w:sz w:val="24"/>
              </w:rPr>
            </w:pPr>
            <w:r>
              <w:rPr>
                <w:rFonts w:hint="eastAsia" w:ascii="仿宋_GB2312" w:hAnsi="仿宋_GB2312" w:cs="仿宋_GB2312"/>
                <w:sz w:val="24"/>
              </w:rPr>
              <w:t>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77074643">
            <w:pPr>
              <w:ind w:firstLine="0" w:firstLineChars="0"/>
              <w:jc w:val="center"/>
              <w:rPr>
                <w:rFonts w:ascii="仿宋_GB2312" w:hAnsi="仿宋_GB2312" w:cs="仿宋_GB2312"/>
                <w:sz w:val="24"/>
              </w:rPr>
            </w:pPr>
            <w:r>
              <w:rPr>
                <w:rFonts w:hint="eastAsia" w:ascii="仿宋_GB2312" w:hAnsi="仿宋_GB2312" w:cs="仿宋_GB2312"/>
                <w:sz w:val="24"/>
              </w:rPr>
              <w:t>林业</w:t>
            </w:r>
          </w:p>
        </w:tc>
        <w:tc>
          <w:tcPr>
            <w:tcW w:w="1412" w:type="pct"/>
            <w:tcBorders>
              <w:top w:val="single" w:color="auto" w:sz="4" w:space="0"/>
              <w:left w:val="single" w:color="auto" w:sz="4" w:space="0"/>
              <w:bottom w:val="single" w:color="auto" w:sz="4" w:space="0"/>
              <w:right w:val="single" w:color="auto" w:sz="4" w:space="0"/>
            </w:tcBorders>
            <w:vAlign w:val="center"/>
          </w:tcPr>
          <w:p w14:paraId="0AEE8447">
            <w:pPr>
              <w:ind w:firstLine="0" w:firstLineChars="0"/>
              <w:jc w:val="center"/>
              <w:rPr>
                <w:rFonts w:ascii="仿宋_GB2312" w:hAnsi="仿宋_GB2312" w:cs="仿宋_GB2312"/>
                <w:sz w:val="24"/>
                <w:lang w:bidi="ar"/>
              </w:rPr>
            </w:pPr>
            <w:r>
              <w:rPr>
                <w:rFonts w:hint="eastAsia" w:ascii="仿宋_GB2312" w:hAnsi="仿宋_GB2312" w:cs="仿宋_GB2312"/>
                <w:color w:val="000000"/>
                <w:kern w:val="0"/>
                <w:sz w:val="24"/>
                <w:lang w:bidi="ar"/>
              </w:rPr>
              <w:t>广西壮族自治区国有高峰林场</w:t>
            </w:r>
          </w:p>
        </w:tc>
        <w:tc>
          <w:tcPr>
            <w:tcW w:w="1613" w:type="pct"/>
            <w:tcBorders>
              <w:top w:val="single" w:color="auto" w:sz="4" w:space="0"/>
              <w:left w:val="single" w:color="auto" w:sz="4" w:space="0"/>
              <w:bottom w:val="single" w:color="auto" w:sz="4" w:space="0"/>
              <w:right w:val="single" w:color="auto" w:sz="4" w:space="0"/>
            </w:tcBorders>
            <w:vAlign w:val="center"/>
          </w:tcPr>
          <w:p w14:paraId="5B4A5A7E">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5D131DEE">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32001BC5">
            <w:pPr>
              <w:ind w:firstLine="0" w:firstLineChars="0"/>
              <w:jc w:val="center"/>
              <w:rPr>
                <w:rFonts w:ascii="仿宋_GB2312" w:hAnsi="仿宋_GB2312" w:cs="仿宋_GB2312"/>
                <w:sz w:val="24"/>
              </w:rPr>
            </w:pPr>
            <w:r>
              <w:rPr>
                <w:rFonts w:hint="eastAsia" w:ascii="仿宋_GB2312" w:hAnsi="仿宋_GB2312" w:cs="仿宋_GB2312"/>
                <w:sz w:val="24"/>
              </w:rPr>
              <w:t>刘莉</w:t>
            </w:r>
          </w:p>
        </w:tc>
        <w:tc>
          <w:tcPr>
            <w:tcW w:w="739" w:type="pct"/>
            <w:tcBorders>
              <w:top w:val="single" w:color="auto" w:sz="4" w:space="0"/>
              <w:left w:val="single" w:color="auto" w:sz="4" w:space="0"/>
              <w:bottom w:val="single" w:color="auto" w:sz="4" w:space="0"/>
              <w:right w:val="single" w:color="auto" w:sz="4" w:space="0"/>
            </w:tcBorders>
            <w:vAlign w:val="center"/>
          </w:tcPr>
          <w:p w14:paraId="2322E948">
            <w:pPr>
              <w:ind w:firstLine="0" w:firstLineChars="0"/>
              <w:jc w:val="center"/>
              <w:rPr>
                <w:rFonts w:ascii="仿宋_GB2312" w:hAnsi="仿宋_GB2312" w:cs="仿宋_GB2312"/>
                <w:sz w:val="24"/>
              </w:rPr>
            </w:pPr>
            <w:r>
              <w:rPr>
                <w:rFonts w:hint="eastAsia" w:ascii="仿宋_GB2312" w:hAnsi="仿宋_GB2312" w:cs="仿宋_GB2312"/>
                <w:sz w:val="24"/>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19476AF7">
            <w:pPr>
              <w:ind w:firstLine="0" w:firstLineChars="0"/>
              <w:jc w:val="center"/>
              <w:rPr>
                <w:rFonts w:ascii="仿宋_GB2312" w:hAnsi="仿宋_GB2312" w:cs="仿宋_GB2312"/>
                <w:sz w:val="24"/>
              </w:rPr>
            </w:pPr>
            <w:r>
              <w:rPr>
                <w:rFonts w:hint="eastAsia" w:ascii="仿宋_GB2312" w:hAnsi="仿宋_GB2312" w:cs="仿宋_GB2312"/>
                <w:sz w:val="24"/>
              </w:rPr>
              <w:t>林业工程</w:t>
            </w:r>
          </w:p>
        </w:tc>
        <w:tc>
          <w:tcPr>
            <w:tcW w:w="1412" w:type="pct"/>
            <w:tcBorders>
              <w:top w:val="single" w:color="auto" w:sz="4" w:space="0"/>
              <w:left w:val="single" w:color="auto" w:sz="4" w:space="0"/>
              <w:bottom w:val="single" w:color="auto" w:sz="4" w:space="0"/>
              <w:right w:val="single" w:color="auto" w:sz="4" w:space="0"/>
            </w:tcBorders>
            <w:vAlign w:val="center"/>
          </w:tcPr>
          <w:p w14:paraId="38B26D96">
            <w:pPr>
              <w:ind w:firstLine="0" w:firstLineChars="0"/>
              <w:jc w:val="center"/>
              <w:rPr>
                <w:rFonts w:ascii="仿宋_GB2312" w:hAnsi="仿宋_GB2312" w:cs="仿宋_GB2312"/>
                <w:sz w:val="24"/>
                <w:lang w:bidi="ar"/>
              </w:rPr>
            </w:pPr>
            <w:r>
              <w:rPr>
                <w:rFonts w:hint="eastAsia" w:ascii="仿宋_GB2312" w:hAnsi="仿宋_GB2312" w:cs="仿宋_GB2312"/>
                <w:sz w:val="24"/>
              </w:rPr>
              <w:t>南宁树木园</w:t>
            </w:r>
          </w:p>
        </w:tc>
        <w:tc>
          <w:tcPr>
            <w:tcW w:w="1613" w:type="pct"/>
            <w:tcBorders>
              <w:top w:val="single" w:color="auto" w:sz="4" w:space="0"/>
              <w:left w:val="single" w:color="auto" w:sz="4" w:space="0"/>
              <w:bottom w:val="single" w:color="auto" w:sz="4" w:space="0"/>
              <w:right w:val="single" w:color="auto" w:sz="4" w:space="0"/>
            </w:tcBorders>
            <w:vAlign w:val="center"/>
          </w:tcPr>
          <w:p w14:paraId="3E3E21DC">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2DE598AA">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45B367A1">
            <w:pPr>
              <w:ind w:firstLine="0" w:firstLineChars="0"/>
              <w:jc w:val="center"/>
              <w:rPr>
                <w:rFonts w:ascii="仿宋_GB2312" w:hAnsi="仿宋_GB2312" w:cs="仿宋_GB2312"/>
                <w:sz w:val="24"/>
              </w:rPr>
            </w:pPr>
            <w:r>
              <w:rPr>
                <w:rFonts w:hint="eastAsia" w:ascii="仿宋_GB2312" w:hAnsi="仿宋_GB2312" w:cs="仿宋_GB2312"/>
                <w:sz w:val="24"/>
              </w:rPr>
              <w:t>梁小春</w:t>
            </w:r>
          </w:p>
        </w:tc>
        <w:tc>
          <w:tcPr>
            <w:tcW w:w="739" w:type="pct"/>
            <w:tcBorders>
              <w:top w:val="single" w:color="auto" w:sz="4" w:space="0"/>
              <w:left w:val="single" w:color="auto" w:sz="4" w:space="0"/>
              <w:bottom w:val="single" w:color="auto" w:sz="4" w:space="0"/>
              <w:right w:val="single" w:color="auto" w:sz="4" w:space="0"/>
            </w:tcBorders>
            <w:vAlign w:val="center"/>
          </w:tcPr>
          <w:p w14:paraId="1FE1A453">
            <w:pPr>
              <w:ind w:firstLine="0" w:firstLineChars="0"/>
              <w:jc w:val="center"/>
              <w:rPr>
                <w:rFonts w:ascii="仿宋_GB2312" w:hAnsi="仿宋_GB2312" w:cs="仿宋_GB2312"/>
                <w:sz w:val="24"/>
              </w:rPr>
            </w:pPr>
            <w:r>
              <w:rPr>
                <w:rFonts w:hint="eastAsia" w:ascii="仿宋_GB2312" w:hAnsi="仿宋_GB2312" w:cs="仿宋_GB2312"/>
                <w:sz w:val="24"/>
              </w:rPr>
              <w:t>高级工程师</w:t>
            </w:r>
          </w:p>
        </w:tc>
        <w:tc>
          <w:tcPr>
            <w:tcW w:w="685" w:type="pct"/>
            <w:tcBorders>
              <w:top w:val="single" w:color="000000" w:sz="2" w:space="0"/>
              <w:left w:val="single" w:color="auto" w:sz="4" w:space="0"/>
              <w:bottom w:val="single" w:color="000000" w:sz="2" w:space="0"/>
              <w:right w:val="single" w:color="auto" w:sz="4" w:space="0"/>
            </w:tcBorders>
            <w:vAlign w:val="center"/>
          </w:tcPr>
          <w:p w14:paraId="12F88297">
            <w:pPr>
              <w:ind w:firstLine="0" w:firstLineChars="0"/>
              <w:jc w:val="center"/>
              <w:rPr>
                <w:rFonts w:ascii="仿宋_GB2312" w:hAnsi="仿宋_GB2312" w:cs="仿宋_GB2312"/>
                <w:sz w:val="24"/>
              </w:rPr>
            </w:pPr>
            <w:r>
              <w:rPr>
                <w:rFonts w:hint="eastAsia" w:ascii="仿宋_GB2312" w:hAnsi="仿宋_GB2312" w:cs="仿宋_GB2312"/>
                <w:sz w:val="24"/>
              </w:rPr>
              <w:t>林业工程</w:t>
            </w:r>
          </w:p>
        </w:tc>
        <w:tc>
          <w:tcPr>
            <w:tcW w:w="1412" w:type="pct"/>
            <w:tcBorders>
              <w:top w:val="single" w:color="auto" w:sz="4" w:space="0"/>
              <w:left w:val="single" w:color="auto" w:sz="4" w:space="0"/>
              <w:bottom w:val="single" w:color="auto" w:sz="4" w:space="0"/>
              <w:right w:val="single" w:color="auto" w:sz="4" w:space="0"/>
            </w:tcBorders>
            <w:vAlign w:val="center"/>
          </w:tcPr>
          <w:p w14:paraId="3DA02B76">
            <w:pPr>
              <w:ind w:firstLine="0" w:firstLineChars="0"/>
              <w:jc w:val="center"/>
              <w:rPr>
                <w:rFonts w:ascii="仿宋_GB2312" w:hAnsi="仿宋_GB2312" w:cs="仿宋_GB2312"/>
                <w:sz w:val="24"/>
                <w:lang w:bidi="ar"/>
              </w:rPr>
            </w:pPr>
            <w:r>
              <w:rPr>
                <w:rFonts w:hint="eastAsia" w:ascii="仿宋_GB2312" w:hAnsi="仿宋_GB2312" w:cs="仿宋_GB2312"/>
                <w:sz w:val="24"/>
              </w:rPr>
              <w:t>南宁树木园</w:t>
            </w:r>
          </w:p>
        </w:tc>
        <w:tc>
          <w:tcPr>
            <w:tcW w:w="1613" w:type="pct"/>
            <w:tcBorders>
              <w:top w:val="single" w:color="auto" w:sz="4" w:space="0"/>
              <w:left w:val="single" w:color="auto" w:sz="4" w:space="0"/>
              <w:bottom w:val="single" w:color="auto" w:sz="4" w:space="0"/>
              <w:right w:val="single" w:color="auto" w:sz="4" w:space="0"/>
            </w:tcBorders>
            <w:vAlign w:val="center"/>
          </w:tcPr>
          <w:p w14:paraId="240AC84A">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r w14:paraId="761DA3B7">
        <w:tblPrEx>
          <w:tblCellMar>
            <w:top w:w="0" w:type="dxa"/>
            <w:left w:w="108" w:type="dxa"/>
            <w:bottom w:w="0" w:type="dxa"/>
            <w:right w:w="108" w:type="dxa"/>
          </w:tblCellMar>
        </w:tblPrEx>
        <w:trPr>
          <w:cantSplit/>
          <w:trHeight w:val="517" w:hRule="atLeast"/>
          <w:jc w:val="center"/>
        </w:trPr>
        <w:tc>
          <w:tcPr>
            <w:tcW w:w="548" w:type="pct"/>
            <w:tcBorders>
              <w:top w:val="single" w:color="auto" w:sz="4" w:space="0"/>
              <w:left w:val="single" w:color="auto" w:sz="4" w:space="0"/>
              <w:bottom w:val="single" w:color="auto" w:sz="4" w:space="0"/>
              <w:right w:val="single" w:color="008000" w:sz="4" w:space="0"/>
            </w:tcBorders>
            <w:vAlign w:val="center"/>
          </w:tcPr>
          <w:p w14:paraId="6E56D07A">
            <w:pPr>
              <w:ind w:firstLine="0" w:firstLineChars="0"/>
              <w:jc w:val="center"/>
              <w:rPr>
                <w:rFonts w:ascii="仿宋_GB2312" w:hAnsi="仿宋_GB2312" w:cs="仿宋_GB2312"/>
                <w:sz w:val="24"/>
              </w:rPr>
            </w:pPr>
            <w:r>
              <w:rPr>
                <w:rFonts w:hint="eastAsia" w:ascii="仿宋_GB2312" w:hAnsi="仿宋_GB2312" w:cs="仿宋_GB2312"/>
                <w:sz w:val="24"/>
              </w:rPr>
              <w:t>李婷</w:t>
            </w:r>
          </w:p>
        </w:tc>
        <w:tc>
          <w:tcPr>
            <w:tcW w:w="739" w:type="pct"/>
            <w:tcBorders>
              <w:top w:val="single" w:color="auto" w:sz="4" w:space="0"/>
              <w:left w:val="single" w:color="auto" w:sz="4" w:space="0"/>
              <w:bottom w:val="single" w:color="auto" w:sz="4" w:space="0"/>
              <w:right w:val="single" w:color="auto" w:sz="4" w:space="0"/>
            </w:tcBorders>
            <w:vAlign w:val="center"/>
          </w:tcPr>
          <w:p w14:paraId="05C727AE">
            <w:pPr>
              <w:ind w:firstLine="0" w:firstLineChars="0"/>
              <w:jc w:val="center"/>
              <w:rPr>
                <w:rFonts w:ascii="仿宋_GB2312" w:hAnsi="仿宋_GB2312" w:cs="仿宋_GB2312"/>
                <w:sz w:val="24"/>
              </w:rPr>
            </w:pPr>
            <w:r>
              <w:rPr>
                <w:rFonts w:hint="eastAsia" w:ascii="仿宋_GB2312" w:hAnsi="仿宋_GB2312" w:cs="仿宋_GB2312"/>
                <w:sz w:val="24"/>
              </w:rPr>
              <w:t>高级工程师</w:t>
            </w:r>
          </w:p>
        </w:tc>
        <w:tc>
          <w:tcPr>
            <w:tcW w:w="685" w:type="pct"/>
            <w:tcBorders>
              <w:top w:val="single" w:color="000000" w:sz="2" w:space="0"/>
              <w:left w:val="single" w:color="auto" w:sz="4" w:space="0"/>
              <w:bottom w:val="single" w:color="auto" w:sz="4" w:space="0"/>
              <w:right w:val="single" w:color="auto" w:sz="4" w:space="0"/>
            </w:tcBorders>
            <w:vAlign w:val="center"/>
          </w:tcPr>
          <w:p w14:paraId="54C0807B">
            <w:pPr>
              <w:ind w:firstLine="0" w:firstLineChars="0"/>
              <w:jc w:val="center"/>
              <w:rPr>
                <w:rFonts w:ascii="仿宋_GB2312" w:hAnsi="仿宋_GB2312" w:cs="仿宋_GB2312"/>
                <w:sz w:val="24"/>
              </w:rPr>
            </w:pPr>
            <w:r>
              <w:rPr>
                <w:rFonts w:hint="eastAsia" w:ascii="仿宋_GB2312" w:hAnsi="仿宋_GB2312" w:cs="仿宋_GB2312"/>
                <w:sz w:val="24"/>
              </w:rPr>
              <w:t>林业工程</w:t>
            </w:r>
          </w:p>
        </w:tc>
        <w:tc>
          <w:tcPr>
            <w:tcW w:w="1412" w:type="pct"/>
            <w:tcBorders>
              <w:top w:val="single" w:color="auto" w:sz="4" w:space="0"/>
              <w:left w:val="single" w:color="auto" w:sz="4" w:space="0"/>
              <w:bottom w:val="single" w:color="auto" w:sz="4" w:space="0"/>
              <w:right w:val="single" w:color="auto" w:sz="4" w:space="0"/>
            </w:tcBorders>
            <w:vAlign w:val="center"/>
          </w:tcPr>
          <w:p w14:paraId="245FD44A">
            <w:pPr>
              <w:ind w:firstLine="0" w:firstLineChars="0"/>
              <w:jc w:val="center"/>
              <w:rPr>
                <w:rFonts w:ascii="仿宋_GB2312" w:hAnsi="仿宋_GB2312" w:cs="仿宋_GB2312"/>
                <w:color w:val="000000"/>
                <w:kern w:val="0"/>
                <w:sz w:val="24"/>
                <w:lang w:bidi="ar"/>
              </w:rPr>
            </w:pPr>
            <w:r>
              <w:rPr>
                <w:rFonts w:hint="eastAsia" w:ascii="仿宋_GB2312" w:hAnsi="仿宋_GB2312" w:cs="仿宋_GB2312"/>
                <w:sz w:val="24"/>
              </w:rPr>
              <w:t>南宁树木园</w:t>
            </w:r>
          </w:p>
        </w:tc>
        <w:tc>
          <w:tcPr>
            <w:tcW w:w="1613" w:type="pct"/>
            <w:tcBorders>
              <w:top w:val="single" w:color="auto" w:sz="4" w:space="0"/>
              <w:left w:val="single" w:color="auto" w:sz="4" w:space="0"/>
              <w:bottom w:val="single" w:color="auto" w:sz="4" w:space="0"/>
              <w:right w:val="single" w:color="auto" w:sz="4" w:space="0"/>
            </w:tcBorders>
            <w:vAlign w:val="center"/>
          </w:tcPr>
          <w:p w14:paraId="6746FEC3">
            <w:pPr>
              <w:ind w:firstLine="0" w:firstLineChars="0"/>
              <w:jc w:val="center"/>
              <w:rPr>
                <w:rFonts w:ascii="仿宋_GB2312" w:hAnsi="仿宋_GB2312" w:cs="仿宋_GB2312"/>
                <w:sz w:val="24"/>
                <w:lang w:bidi="ar"/>
              </w:rPr>
            </w:pPr>
            <w:r>
              <w:rPr>
                <w:rFonts w:hint="eastAsia" w:ascii="仿宋_GB2312" w:hAnsi="仿宋_GB2312" w:cs="仿宋_GB2312"/>
                <w:sz w:val="24"/>
                <w:lang w:bidi="ar"/>
              </w:rPr>
              <w:t>参与标准文本及编制说明的编写；组织开展标准征求意见会；对标准实施情况进行总结分析，不断对标准提出修正意见。</w:t>
            </w:r>
          </w:p>
        </w:tc>
      </w:tr>
    </w:tbl>
    <w:p w14:paraId="1A75A3EE">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二、制定标准的必要性和意义</w:t>
      </w:r>
    </w:p>
    <w:p w14:paraId="23CD7A79">
      <w:pPr>
        <w:autoSpaceDE w:val="0"/>
        <w:autoSpaceDN w:val="0"/>
        <w:adjustRightInd w:val="0"/>
        <w:spacing w:before="156" w:beforeLines="50" w:after="156" w:afterLines="50" w:line="560" w:lineRule="exact"/>
        <w:ind w:firstLine="640"/>
        <w:rPr>
          <w:rFonts w:ascii="仿宋_GB2312" w:hAnsi="宋体"/>
          <w:szCs w:val="28"/>
        </w:rPr>
      </w:pPr>
      <w:r>
        <w:rPr>
          <w:rFonts w:hint="eastAsia" w:ascii="仿宋_GB2312" w:hAnsi="宋体"/>
          <w:szCs w:val="28"/>
        </w:rPr>
        <w:t>2021年4月15日，国家林业和草原局行文同意共建广西现代林业产业示范区，国家林业和草原局为扎实推进共建工作，特制定《广西现代林业产业示范区实施方案》，提出了大力提升木材供给能力、大力发展木本油料产业、大力发展绿色富民产业、大力推进木竹加工提档、大力发展林化医药产业的五大重点任务。广西壮族自治区人民政府出台的《广西万亿林业产业三年行动方案（2023—2025年）》中，提升优质木材供给能力是重点任务之一。加快推进林地规模化经营、树种结构调整和低产低效林改造，大力培育乡土树种、珍贵树种和中大径材，不断提高森林蓄积量和单位面积木材产量。</w:t>
      </w:r>
    </w:p>
    <w:p w14:paraId="5B1EEFEA">
      <w:pPr>
        <w:autoSpaceDE w:val="0"/>
        <w:autoSpaceDN w:val="0"/>
        <w:adjustRightInd w:val="0"/>
        <w:spacing w:before="156" w:beforeLines="50" w:after="156" w:afterLines="50" w:line="560" w:lineRule="exact"/>
        <w:ind w:firstLine="640"/>
        <w:rPr>
          <w:rFonts w:ascii="仿宋_GB2312" w:hAnsi="宋体"/>
          <w:szCs w:val="28"/>
        </w:rPr>
      </w:pPr>
      <w:r>
        <w:rPr>
          <w:rFonts w:hint="eastAsia" w:ascii="仿宋_GB2312" w:hAnsi="宋体"/>
          <w:szCs w:val="28"/>
        </w:rPr>
        <w:t>香子含笑为常绿乔木，枝叶浓绿，外形挺拔秀丽，是四旁绿化的好树种。它的“香”主要在于花香、叶香、种子香，其花可提取芳香油，叶子揉碎后散发出类似八角的香气，种子可以做调味香料。香子含笑主干通直圆满,树皮呈灰褐色，芽、嫩叶柄、花梗、花蕾和心皮都密被着短绢毛，叶子倒卵形或椭圆状披针形，花朵半开，像含着笑，花瓣白色芬芳，果实椭圆球形或卵球形，顶端尖、果瓣厚，开裂后便向外反卷。当香子含笑的果实由绿色变为紫色时，就可以进行采收。</w:t>
      </w:r>
    </w:p>
    <w:p w14:paraId="08C2213F">
      <w:pPr>
        <w:autoSpaceDE w:val="0"/>
        <w:autoSpaceDN w:val="0"/>
        <w:adjustRightInd w:val="0"/>
        <w:spacing w:before="156" w:beforeLines="50" w:after="156" w:afterLines="50" w:line="560" w:lineRule="exact"/>
        <w:ind w:firstLine="640"/>
        <w:rPr>
          <w:rFonts w:ascii="仿宋_GB2312" w:hAnsi="宋体"/>
          <w:szCs w:val="28"/>
        </w:rPr>
      </w:pPr>
      <w:r>
        <w:rPr>
          <w:rFonts w:hint="eastAsia" w:ascii="仿宋_GB2312" w:hAnsi="宋体"/>
          <w:szCs w:val="28"/>
        </w:rPr>
        <w:t>香子含笑出材量大、寿命长,木材为散孔材,纹理通直、色泽美观,干燥后少开裂不变形,具有耐腐力强、加工容易的特点,是做横梁、桁条、门窗框以及车船、家具等优良用材。此外其枝叶浓绿,树冠塔形,挺拔秀丽,是很优美的绿化树种。经数据分析，在林场种植11年的香子含笑人工林，树高、胸径和材积生长量分别达到了12.4</w:t>
      </w:r>
      <w:r>
        <w:rPr>
          <w:rFonts w:hint="eastAsia" w:ascii="仿宋_GB2312" w:hAnsi="宋体"/>
          <w:szCs w:val="28"/>
          <w:lang w:val="en-US" w:eastAsia="zh-CN"/>
        </w:rPr>
        <w:t>m</w:t>
      </w:r>
      <w:r>
        <w:rPr>
          <w:rFonts w:hint="eastAsia" w:ascii="仿宋_GB2312" w:hAnsi="宋体"/>
          <w:szCs w:val="28"/>
        </w:rPr>
        <w:t>、14.80</w:t>
      </w:r>
      <w:r>
        <w:rPr>
          <w:rFonts w:hint="eastAsia" w:ascii="仿宋_GB2312" w:hAnsi="宋体"/>
          <w:szCs w:val="28"/>
          <w:highlight w:val="none"/>
        </w:rPr>
        <w:t>cm</w:t>
      </w:r>
      <w:r>
        <w:rPr>
          <w:rFonts w:hint="eastAsia" w:ascii="仿宋_GB2312" w:hAnsi="宋体"/>
          <w:szCs w:val="28"/>
        </w:rPr>
        <w:t>、</w:t>
      </w:r>
      <w:r>
        <w:rPr>
          <w:rFonts w:hint="eastAsia" w:ascii="仿宋_GB2312" w:hAnsi="宋体"/>
          <w:szCs w:val="28"/>
          <w:lang w:val="en-US" w:eastAsia="zh-CN"/>
        </w:rPr>
        <w:t>每株</w:t>
      </w:r>
      <w:r>
        <w:rPr>
          <w:rFonts w:hint="eastAsia" w:ascii="仿宋_GB2312" w:hAnsi="宋体"/>
          <w:szCs w:val="28"/>
        </w:rPr>
        <w:t>0.1337</w:t>
      </w:r>
      <w:r>
        <w:rPr>
          <w:rFonts w:hint="eastAsia" w:ascii="仿宋_GB2312" w:hAnsi="宋体"/>
          <w:szCs w:val="28"/>
          <w:lang w:val="en-US" w:eastAsia="zh-CN"/>
        </w:rPr>
        <w:t>m³</w:t>
      </w:r>
      <w:r>
        <w:rPr>
          <w:rFonts w:hint="eastAsia" w:ascii="仿宋_GB2312" w:hAnsi="宋体"/>
          <w:szCs w:val="28"/>
        </w:rPr>
        <w:t>。树高和胸径快速生长期刚好相反,树高快速增长期为第8～11年,期间</w:t>
      </w:r>
      <w:r>
        <w:rPr>
          <w:rFonts w:hint="eastAsia" w:ascii="仿宋_GB2312" w:hAnsi="宋体"/>
          <w:szCs w:val="28"/>
          <w:lang w:val="en-US" w:eastAsia="zh-CN"/>
        </w:rPr>
        <w:t>每年</w:t>
      </w:r>
      <w:r>
        <w:rPr>
          <w:rFonts w:hint="eastAsia" w:ascii="仿宋_GB2312" w:hAnsi="宋体"/>
          <w:szCs w:val="28"/>
        </w:rPr>
        <w:t>生长量在1.33</w:t>
      </w:r>
      <w:r>
        <w:rPr>
          <w:rFonts w:hint="eastAsia" w:ascii="仿宋_GB2312" w:hAnsi="宋体"/>
          <w:szCs w:val="28"/>
          <w:lang w:val="en-US" w:eastAsia="zh-CN"/>
        </w:rPr>
        <w:t>m</w:t>
      </w:r>
      <w:r>
        <w:rPr>
          <w:rFonts w:hint="eastAsia" w:ascii="仿宋_GB2312" w:hAnsi="宋体"/>
          <w:szCs w:val="28"/>
        </w:rPr>
        <w:t>～1.67</w:t>
      </w:r>
      <w:r>
        <w:rPr>
          <w:rFonts w:hint="eastAsia" w:ascii="仿宋_GB2312" w:hAnsi="宋体"/>
          <w:szCs w:val="28"/>
          <w:lang w:val="en-US" w:eastAsia="zh-CN"/>
        </w:rPr>
        <w:t>m</w:t>
      </w:r>
      <w:r>
        <w:rPr>
          <w:rFonts w:hint="eastAsia" w:ascii="仿宋_GB2312" w:hAnsi="宋体"/>
          <w:szCs w:val="28"/>
        </w:rPr>
        <w:t>之间,而胸径快速增长期则为2～6年,</w:t>
      </w:r>
      <w:r>
        <w:rPr>
          <w:rFonts w:hint="eastAsia" w:ascii="仿宋_GB2312" w:hAnsi="宋体"/>
          <w:szCs w:val="28"/>
          <w:lang w:val="en-US" w:eastAsia="zh-CN"/>
        </w:rPr>
        <w:t>每年</w:t>
      </w:r>
      <w:r>
        <w:rPr>
          <w:rFonts w:hint="eastAsia" w:ascii="仿宋_GB2312" w:hAnsi="宋体"/>
          <w:szCs w:val="28"/>
        </w:rPr>
        <w:t>生长量在1.60</w:t>
      </w:r>
      <w:r>
        <w:rPr>
          <w:rFonts w:hint="eastAsia" w:ascii="仿宋_GB2312" w:hAnsi="宋体"/>
          <w:szCs w:val="28"/>
          <w:lang w:val="en-US" w:eastAsia="zh-CN"/>
        </w:rPr>
        <w:t>cm</w:t>
      </w:r>
      <w:r>
        <w:rPr>
          <w:rFonts w:hint="eastAsia" w:ascii="仿宋_GB2312" w:hAnsi="宋体"/>
          <w:szCs w:val="28"/>
        </w:rPr>
        <w:t>～2.10</w:t>
      </w:r>
      <w:r>
        <w:rPr>
          <w:rFonts w:hint="eastAsia" w:ascii="仿宋_GB2312" w:hAnsi="宋体"/>
          <w:szCs w:val="28"/>
          <w:lang w:val="en-US" w:eastAsia="zh-CN"/>
        </w:rPr>
        <w:t>cm</w:t>
      </w:r>
      <w:r>
        <w:rPr>
          <w:rFonts w:hint="eastAsia" w:ascii="仿宋_GB2312" w:hAnsi="宋体"/>
          <w:szCs w:val="28"/>
        </w:rPr>
        <w:t>之间。</w:t>
      </w:r>
    </w:p>
    <w:p w14:paraId="53E6F894">
      <w:pPr>
        <w:keepNext w:val="0"/>
        <w:keepLines w:val="0"/>
        <w:pageBreakBefore w:val="0"/>
        <w:widowControl w:val="0"/>
        <w:kinsoku/>
        <w:wordWrap/>
        <w:overflowPunct/>
        <w:topLinePunct w:val="0"/>
        <w:autoSpaceDE w:val="0"/>
        <w:autoSpaceDN w:val="0"/>
        <w:bidi w:val="0"/>
        <w:adjustRightInd w:val="0"/>
        <w:snapToGrid/>
        <w:spacing w:line="560" w:lineRule="exact"/>
        <w:ind w:firstLine="640"/>
        <w:textAlignment w:val="auto"/>
        <w:rPr>
          <w:rFonts w:ascii="仿宋_GB2312" w:hAnsi="宋体"/>
          <w:szCs w:val="28"/>
        </w:rPr>
      </w:pPr>
      <w:r>
        <w:rPr>
          <w:rFonts w:hint="eastAsia" w:ascii="仿宋_GB2312" w:hAnsi="宋体"/>
          <w:szCs w:val="28"/>
        </w:rPr>
        <w:t>目前，香子含笑在国内分布较少，仅间断分布于海南、广西西南部和云南南部，分布面积和种群数量锐减，濒危状况日益严重，1992年被列入《中国植物红皮书》第一册。2021年列入中国《国家重点保护野生植物名录》，为国家二级保护野生植物。因其生长较快、树干通直，常做为松、杉、桉人工林的混交树种。</w:t>
      </w:r>
    </w:p>
    <w:p w14:paraId="704D3DF4">
      <w:pPr>
        <w:keepNext w:val="0"/>
        <w:keepLines w:val="0"/>
        <w:pageBreakBefore w:val="0"/>
        <w:widowControl w:val="0"/>
        <w:kinsoku/>
        <w:wordWrap/>
        <w:overflowPunct/>
        <w:topLinePunct w:val="0"/>
        <w:autoSpaceDE w:val="0"/>
        <w:autoSpaceDN w:val="0"/>
        <w:bidi w:val="0"/>
        <w:adjustRightInd w:val="0"/>
        <w:snapToGrid/>
        <w:spacing w:line="560" w:lineRule="exact"/>
        <w:ind w:firstLine="640"/>
        <w:textAlignment w:val="auto"/>
        <w:rPr>
          <w:rFonts w:ascii="仿宋_GB2312" w:hAnsi="宋体"/>
          <w:szCs w:val="28"/>
        </w:rPr>
      </w:pPr>
      <w:r>
        <w:rPr>
          <w:rFonts w:hint="eastAsia" w:ascii="仿宋_GB2312" w:hAnsi="宋体"/>
          <w:szCs w:val="28"/>
        </w:rPr>
        <w:t>通过制定团体标准《香子含笑容器育苗技术规程》，以标准为抓手，统一规范香子含笑育苗技术，对提高香子含笑育苗技术水平，为人工林培育提供优质苗木，实现苗木培育规模化，促进广西林业高质量发展具有重要意义。</w:t>
      </w:r>
    </w:p>
    <w:p w14:paraId="22C0B45E">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三、主要起草过程</w:t>
      </w:r>
    </w:p>
    <w:p w14:paraId="5DA03E68">
      <w:pPr>
        <w:spacing w:before="156" w:beforeLines="50" w:after="156" w:afterLines="50" w:line="560" w:lineRule="exact"/>
        <w:ind w:firstLine="643"/>
        <w:rPr>
          <w:rFonts w:ascii="楷体" w:hAnsi="楷体" w:eastAsia="楷体"/>
          <w:szCs w:val="28"/>
        </w:rPr>
      </w:pPr>
      <w:r>
        <w:rPr>
          <w:rFonts w:hint="eastAsia" w:ascii="楷体" w:hAnsi="楷体" w:eastAsia="楷体" w:cs="仿宋_GB2312"/>
          <w:b/>
          <w:szCs w:val="28"/>
        </w:rPr>
        <w:t>（一）成立标准编制工作组</w:t>
      </w:r>
    </w:p>
    <w:p w14:paraId="62E9C9DF">
      <w:pPr>
        <w:ind w:firstLine="640"/>
        <w:rPr>
          <w:rFonts w:ascii="仿宋_GB2312" w:hAnsi="宋体"/>
          <w:szCs w:val="28"/>
        </w:rPr>
      </w:pPr>
      <w:r>
        <w:rPr>
          <w:rFonts w:hint="eastAsia" w:ascii="仿宋_GB2312" w:hAnsi="宋体"/>
          <w:szCs w:val="28"/>
        </w:rPr>
        <w:t>团体标准《香子含笑容器育苗技术规程》项目任务下达后，广西大学成立了标准编制工作组，起草单位制定了起草编写方案与进度安排，明确任务职责，确定工作技术路线，开展标准研制工作。具体标准编制工作由广西大学、广西壮族自治区国有七坡林场、广西壮族自治区国有高峰林场等单位负责人组成的标准编制工作组完成。</w:t>
      </w:r>
    </w:p>
    <w:p w14:paraId="74ED7515">
      <w:pPr>
        <w:ind w:firstLine="640"/>
        <w:rPr>
          <w:rFonts w:ascii="仿宋_GB2312" w:hAnsi="宋体"/>
          <w:szCs w:val="28"/>
        </w:rPr>
      </w:pPr>
      <w:r>
        <w:rPr>
          <w:rFonts w:hint="eastAsia" w:ascii="仿宋_GB2312" w:hAnsi="宋体"/>
          <w:szCs w:val="28"/>
        </w:rPr>
        <w:t>编制工作组下设三个组，分别是资料收集组、草案编写组、标准实施组。</w:t>
      </w:r>
    </w:p>
    <w:p w14:paraId="7BA6F23E">
      <w:pPr>
        <w:ind w:firstLine="640"/>
        <w:rPr>
          <w:rFonts w:ascii="仿宋_GB2312" w:hAnsi="宋体"/>
          <w:szCs w:val="28"/>
        </w:rPr>
      </w:pPr>
      <w:r>
        <w:rPr>
          <w:rFonts w:hint="eastAsia" w:ascii="仿宋_GB2312" w:hAnsi="宋体"/>
          <w:szCs w:val="28"/>
        </w:rPr>
        <w:t>资料收集组负责国内外有关香子含笑容器育苗的文献资料的查询、收集和整理工作，查阅前人对香子含笑容器育苗技术的研究情况。</w:t>
      </w:r>
    </w:p>
    <w:p w14:paraId="5809B5D8">
      <w:pPr>
        <w:ind w:firstLine="640"/>
        <w:rPr>
          <w:rFonts w:ascii="仿宋_GB2312" w:hAnsi="宋体"/>
          <w:szCs w:val="28"/>
        </w:rPr>
      </w:pPr>
      <w:r>
        <w:rPr>
          <w:rFonts w:hint="eastAsia" w:ascii="仿宋_GB2312" w:hAnsi="宋体"/>
          <w:szCs w:val="28"/>
        </w:rPr>
        <w:t>草案编写组负责起草标准草案、征求意见稿和标准编制说明、送审稿及编制说明的编写工作，包括后期召开征求意见会、网上征求意见，以及标准的不断修改和完善。</w:t>
      </w:r>
    </w:p>
    <w:p w14:paraId="369B3F26">
      <w:pPr>
        <w:ind w:firstLine="640"/>
        <w:rPr>
          <w:rFonts w:ascii="仿宋_GB2312" w:hAnsi="宋体"/>
          <w:szCs w:val="28"/>
        </w:rPr>
      </w:pPr>
      <w:r>
        <w:rPr>
          <w:rFonts w:hint="eastAsia" w:ascii="仿宋_GB2312" w:hAnsi="宋体"/>
          <w:szCs w:val="28"/>
        </w:rPr>
        <w:t>标准实施组负责团体标准《香子含笑容器育苗技术规程》发布后，组织相关企事业单位开展标准宣贯培训会，对标准进行详细解读，让相关人员了解标准，并根据标准对香子含笑容器育苗进行规范化操作，并对标准实施情况进行总结分析，不断对团体标准提出修正意见。</w:t>
      </w:r>
    </w:p>
    <w:p w14:paraId="4ED3DC1A">
      <w:pPr>
        <w:spacing w:before="156" w:beforeLines="50" w:after="156" w:afterLines="50" w:line="560" w:lineRule="exact"/>
        <w:ind w:firstLine="643"/>
        <w:rPr>
          <w:rFonts w:ascii="楷体" w:hAnsi="楷体" w:eastAsia="楷体" w:cs="仿宋_GB2312"/>
          <w:b/>
          <w:szCs w:val="28"/>
        </w:rPr>
      </w:pPr>
      <w:r>
        <w:rPr>
          <w:rFonts w:hint="eastAsia" w:ascii="楷体" w:hAnsi="楷体" w:eastAsia="楷体" w:cs="仿宋_GB2312"/>
          <w:b/>
          <w:szCs w:val="28"/>
        </w:rPr>
        <w:t>（二）收集整理文献资料</w:t>
      </w:r>
    </w:p>
    <w:p w14:paraId="2E6F9492">
      <w:pPr>
        <w:ind w:firstLine="640"/>
        <w:rPr>
          <w:rFonts w:ascii="仿宋_GB2312" w:hAnsi="宋体"/>
          <w:szCs w:val="28"/>
          <w:lang w:val="fr-FR"/>
        </w:rPr>
      </w:pPr>
      <w:r>
        <w:rPr>
          <w:rFonts w:hint="eastAsia" w:ascii="仿宋_GB2312" w:hAnsi="宋体"/>
          <w:szCs w:val="28"/>
        </w:rPr>
        <w:t>标准编制工作组收集了国内有关香子含笑容器育苗相关文献资料。主要有</w:t>
      </w:r>
      <w:r>
        <w:rPr>
          <w:rFonts w:hint="eastAsia" w:ascii="仿宋_GB2312" w:hAnsi="宋体"/>
          <w:szCs w:val="28"/>
          <w:lang w:val="fr-FR"/>
        </w:rPr>
        <w:t>：</w:t>
      </w:r>
    </w:p>
    <w:p w14:paraId="10DCE3E6">
      <w:pPr>
        <w:spacing w:before="156" w:beforeLines="50" w:after="156" w:afterLines="50" w:line="560" w:lineRule="exact"/>
        <w:ind w:firstLine="640"/>
        <w:rPr>
          <w:rFonts w:ascii="仿宋_GB2312" w:hAnsi="宋体"/>
          <w:szCs w:val="28"/>
        </w:rPr>
      </w:pPr>
      <w:r>
        <w:rPr>
          <w:rFonts w:hint="eastAsia" w:ascii="仿宋_GB2312" w:hAnsi="宋体"/>
          <w:szCs w:val="28"/>
        </w:rPr>
        <w:t>（1）LY∕ T 2752—2016  林木轻基质无纺布容器育苗技术规程</w:t>
      </w:r>
    </w:p>
    <w:p w14:paraId="5E006D26">
      <w:pPr>
        <w:spacing w:before="156" w:beforeLines="50" w:after="156" w:afterLines="50" w:line="560" w:lineRule="exact"/>
        <w:ind w:firstLine="640"/>
        <w:rPr>
          <w:rFonts w:ascii="仿宋_GB2312" w:hAnsi="宋体"/>
          <w:szCs w:val="28"/>
        </w:rPr>
      </w:pPr>
      <w:r>
        <w:rPr>
          <w:rFonts w:hint="eastAsia" w:ascii="仿宋_GB2312" w:hAnsi="宋体"/>
          <w:szCs w:val="28"/>
        </w:rPr>
        <w:t>（2）LY∕ T 1882—2010  林木组织培养育苗技术规程</w:t>
      </w:r>
    </w:p>
    <w:p w14:paraId="2F4BB708">
      <w:pPr>
        <w:spacing w:before="156" w:beforeLines="50" w:after="156" w:afterLines="50" w:line="560" w:lineRule="exact"/>
        <w:ind w:firstLine="640"/>
        <w:rPr>
          <w:rFonts w:ascii="仿宋_GB2312" w:hAnsi="宋体"/>
          <w:szCs w:val="28"/>
        </w:rPr>
      </w:pPr>
      <w:r>
        <w:rPr>
          <w:rFonts w:hint="eastAsia" w:ascii="仿宋_GB2312" w:hAnsi="宋体"/>
          <w:szCs w:val="28"/>
        </w:rPr>
        <w:t>（3）DB45/T 975-2014  柚木容器苗培育技术规程</w:t>
      </w:r>
    </w:p>
    <w:p w14:paraId="004002A3">
      <w:pPr>
        <w:spacing w:before="156" w:beforeLines="50" w:after="156" w:afterLines="50" w:line="560" w:lineRule="exact"/>
        <w:ind w:firstLine="640"/>
        <w:rPr>
          <w:rFonts w:ascii="仿宋_GB2312" w:hAnsi="宋体"/>
          <w:szCs w:val="28"/>
        </w:rPr>
      </w:pPr>
      <w:r>
        <w:rPr>
          <w:rFonts w:hint="eastAsia" w:ascii="仿宋_GB2312" w:hAnsi="宋体"/>
          <w:szCs w:val="28"/>
        </w:rPr>
        <w:t>（4）DB45/T 1143-2015  油茶容器苗木质量分级</w:t>
      </w:r>
    </w:p>
    <w:p w14:paraId="41B31EAD">
      <w:pPr>
        <w:spacing w:before="156" w:beforeLines="50" w:after="156" w:afterLines="50" w:line="560" w:lineRule="exact"/>
        <w:ind w:firstLine="640"/>
        <w:rPr>
          <w:rFonts w:ascii="仿宋_GB2312" w:hAnsi="宋体"/>
          <w:szCs w:val="28"/>
        </w:rPr>
      </w:pPr>
      <w:r>
        <w:rPr>
          <w:rFonts w:hint="eastAsia" w:ascii="仿宋_GB2312" w:hAnsi="宋体"/>
          <w:szCs w:val="28"/>
        </w:rPr>
        <w:t>（5）DB45/T 1296-2016  柑橘容器苗繁育技术规程</w:t>
      </w:r>
    </w:p>
    <w:p w14:paraId="6F36A250">
      <w:pPr>
        <w:spacing w:before="156" w:beforeLines="50" w:after="156" w:afterLines="50" w:line="560" w:lineRule="exact"/>
        <w:ind w:firstLine="640"/>
        <w:rPr>
          <w:rFonts w:ascii="仿宋_GB2312" w:hAnsi="宋体"/>
          <w:szCs w:val="28"/>
        </w:rPr>
      </w:pPr>
      <w:r>
        <w:rPr>
          <w:rFonts w:hint="eastAsia" w:ascii="仿宋_GB2312" w:hAnsi="宋体"/>
          <w:szCs w:val="28"/>
        </w:rPr>
        <w:t>（6）DB45/T 2378-2021  降香黄檀容器苗培育技术规程</w:t>
      </w:r>
    </w:p>
    <w:p w14:paraId="25BD1406">
      <w:pPr>
        <w:spacing w:before="156" w:beforeLines="50" w:after="156" w:afterLines="50" w:line="560" w:lineRule="exact"/>
        <w:ind w:firstLine="640"/>
        <w:rPr>
          <w:rFonts w:ascii="仿宋_GB2312" w:hAnsi="宋体"/>
          <w:szCs w:val="28"/>
        </w:rPr>
      </w:pPr>
      <w:r>
        <w:rPr>
          <w:rFonts w:hint="eastAsia" w:ascii="仿宋_GB2312" w:hAnsi="宋体"/>
          <w:szCs w:val="28"/>
        </w:rPr>
        <w:t>（7）DB45/T 2379-2021  蚬木容器苗培育技术规程</w:t>
      </w:r>
    </w:p>
    <w:p w14:paraId="191FB3E9">
      <w:pPr>
        <w:spacing w:before="156" w:beforeLines="50" w:after="156" w:afterLines="50" w:line="560" w:lineRule="exact"/>
        <w:ind w:firstLine="640"/>
        <w:rPr>
          <w:rFonts w:ascii="仿宋_GB2312" w:hAnsi="宋体"/>
          <w:szCs w:val="28"/>
        </w:rPr>
      </w:pPr>
      <w:r>
        <w:rPr>
          <w:rFonts w:hint="eastAsia" w:ascii="仿宋_GB2312" w:hAnsi="宋体"/>
          <w:szCs w:val="28"/>
        </w:rPr>
        <w:t>（8）DB45/T 2385-2021  湿地松轻基质容器苗培育技术规程</w:t>
      </w:r>
    </w:p>
    <w:p w14:paraId="56E221AB">
      <w:pPr>
        <w:spacing w:before="156" w:beforeLines="50" w:after="156" w:afterLines="50" w:line="560" w:lineRule="exact"/>
        <w:ind w:firstLine="643"/>
        <w:rPr>
          <w:rFonts w:ascii="楷体" w:hAnsi="楷体" w:eastAsia="楷体" w:cs="仿宋_GB2312"/>
          <w:b/>
          <w:szCs w:val="28"/>
        </w:rPr>
      </w:pPr>
      <w:r>
        <w:rPr>
          <w:rFonts w:hint="eastAsia" w:ascii="楷体" w:hAnsi="楷体" w:eastAsia="楷体" w:cs="仿宋_GB2312"/>
          <w:b/>
          <w:szCs w:val="28"/>
        </w:rPr>
        <w:t>（三）研讨确定标准特色、创新点及主体内容</w:t>
      </w:r>
    </w:p>
    <w:p w14:paraId="472FDD37">
      <w:pPr>
        <w:ind w:firstLine="640"/>
        <w:rPr>
          <w:rFonts w:ascii="仿宋_GB2312" w:hAnsi="宋体"/>
          <w:szCs w:val="28"/>
        </w:rPr>
      </w:pPr>
      <w:r>
        <w:rPr>
          <w:rFonts w:hint="eastAsia" w:ascii="仿宋_GB2312" w:hAnsi="宋体"/>
          <w:szCs w:val="28"/>
        </w:rPr>
        <w:t>1、创新点</w:t>
      </w:r>
    </w:p>
    <w:p w14:paraId="59C11008">
      <w:pPr>
        <w:ind w:firstLine="640"/>
        <w:rPr>
          <w:rFonts w:ascii="仿宋_GB2312" w:hAnsi="宋体"/>
          <w:szCs w:val="28"/>
        </w:rPr>
      </w:pPr>
      <w:r>
        <w:rPr>
          <w:rFonts w:hint="eastAsia" w:ascii="仿宋_GB2312" w:hAnsi="宋体"/>
          <w:szCs w:val="28"/>
        </w:rPr>
        <w:t>（1）</w:t>
      </w:r>
      <w:r>
        <w:rPr>
          <w:rFonts w:ascii="仿宋_GB2312" w:hAnsi="宋体"/>
          <w:szCs w:val="28"/>
        </w:rPr>
        <w:t>系统集成了从育苗地选择、容器基质配制、种子处理、播种移植、苗期管理到苗木出圃的全流程技术</w:t>
      </w:r>
      <w:r>
        <w:rPr>
          <w:rFonts w:hint="eastAsia" w:ascii="仿宋_GB2312" w:hAnsi="宋体"/>
          <w:szCs w:val="28"/>
        </w:rPr>
        <w:t>要求</w:t>
      </w:r>
      <w:r>
        <w:rPr>
          <w:rFonts w:ascii="仿宋_GB2312" w:hAnsi="宋体"/>
          <w:szCs w:val="28"/>
        </w:rPr>
        <w:t>，对容器类型（无纺布容器）与基质配比（</w:t>
      </w:r>
      <w:r>
        <w:rPr>
          <w:rFonts w:hint="eastAsia" w:ascii="仿宋_GB2312" w:hAnsi="宋体"/>
          <w:szCs w:val="28"/>
          <w:lang w:val="en-US" w:eastAsia="zh-CN"/>
        </w:rPr>
        <w:t>黄心</w:t>
      </w:r>
      <w:r>
        <w:rPr>
          <w:rFonts w:ascii="仿宋_GB2312" w:hAnsi="宋体"/>
          <w:szCs w:val="28"/>
        </w:rPr>
        <w:t>土:泥炭土:椰糠=</w:t>
      </w:r>
      <w:r>
        <w:rPr>
          <w:rFonts w:hint="eastAsia" w:ascii="仿宋_GB2312" w:hAnsi="宋体"/>
          <w:szCs w:val="28"/>
          <w:lang w:val="en-US" w:eastAsia="zh-CN"/>
        </w:rPr>
        <w:t>10</w:t>
      </w:r>
      <w:r>
        <w:rPr>
          <w:rFonts w:ascii="仿宋_GB2312" w:hAnsi="宋体"/>
          <w:szCs w:val="28"/>
        </w:rPr>
        <w:t>:3:</w:t>
      </w:r>
      <w:r>
        <w:rPr>
          <w:rFonts w:hint="eastAsia" w:ascii="仿宋_GB2312" w:hAnsi="宋体"/>
          <w:szCs w:val="28"/>
          <w:lang w:val="en-US" w:eastAsia="zh-CN"/>
        </w:rPr>
        <w:t>7</w:t>
      </w:r>
      <w:r>
        <w:rPr>
          <w:rFonts w:ascii="仿宋_GB2312" w:hAnsi="宋体"/>
          <w:szCs w:val="28"/>
        </w:rPr>
        <w:t>）的</w:t>
      </w:r>
      <w:r>
        <w:rPr>
          <w:rFonts w:hint="eastAsia" w:ascii="仿宋_GB2312" w:hAnsi="宋体"/>
          <w:szCs w:val="28"/>
        </w:rPr>
        <w:t>选择</w:t>
      </w:r>
      <w:r>
        <w:rPr>
          <w:rFonts w:ascii="仿宋_GB2312" w:hAnsi="宋体"/>
          <w:szCs w:val="28"/>
        </w:rPr>
        <w:t>，具有较强的针对性和区域适用性。</w:t>
      </w:r>
    </w:p>
    <w:p w14:paraId="494B7086">
      <w:pPr>
        <w:ind w:firstLine="640"/>
        <w:rPr>
          <w:rFonts w:ascii="仿宋_GB2312" w:hAnsi="宋体"/>
          <w:szCs w:val="28"/>
        </w:rPr>
      </w:pPr>
      <w:r>
        <w:rPr>
          <w:rFonts w:hint="eastAsia" w:ascii="仿宋_GB2312" w:hAnsi="宋体"/>
          <w:szCs w:val="28"/>
        </w:rPr>
        <w:t>（2）通过开展不同遮阴度（0%、25%、50%、75%）对香子含笑幼苗生长及光合生理特性的影响研究，更精准指导香子含笑育苗</w:t>
      </w:r>
      <w:r>
        <w:rPr>
          <w:rFonts w:hint="eastAsia" w:ascii="仿宋_GB2312" w:hAnsi="宋体"/>
          <w:szCs w:val="28"/>
          <w:lang w:val="en-US" w:eastAsia="zh-CN"/>
        </w:rPr>
        <w:t>的光环境</w:t>
      </w:r>
      <w:r>
        <w:rPr>
          <w:rFonts w:hint="eastAsia" w:ascii="仿宋_GB2312" w:hAnsi="宋体"/>
          <w:szCs w:val="28"/>
        </w:rPr>
        <w:t>管理，25%遮阴度条件下，对幼苗的苗高、地径、生物量等都有很好促进作用。而全光照（0%）或高遮阴（75%）均不利于幼苗生长。</w:t>
      </w:r>
    </w:p>
    <w:p w14:paraId="1290C809">
      <w:pPr>
        <w:ind w:firstLine="640"/>
        <w:rPr>
          <w:rFonts w:ascii="仿宋_GB2312" w:hAnsi="宋体"/>
          <w:szCs w:val="28"/>
        </w:rPr>
      </w:pPr>
      <w:r>
        <w:rPr>
          <w:rFonts w:hint="eastAsia" w:ascii="仿宋_GB2312" w:hAnsi="宋体"/>
          <w:szCs w:val="28"/>
        </w:rPr>
        <w:t>2、主体内容</w:t>
      </w:r>
    </w:p>
    <w:p w14:paraId="0189D614">
      <w:pPr>
        <w:ind w:firstLine="640"/>
        <w:rPr>
          <w:rFonts w:ascii="仿宋_GB2312" w:hAnsi="宋体"/>
          <w:szCs w:val="28"/>
        </w:rPr>
      </w:pPr>
      <w:r>
        <w:rPr>
          <w:rFonts w:hint="eastAsia" w:ascii="仿宋_GB2312" w:hAnsi="宋体"/>
          <w:szCs w:val="28"/>
        </w:rPr>
        <w:t>标准编制工作组在对收集的资料进行整理研究之后，标准编制工作组召开了标准编制会议，对标准的整体框架结构进行了研究，并对标准的关键性内容进行了初步探讨。经过研究，标准的主体内容确定为育苗地选择、容器和基质准备、采种与处理、播种和移植、苗期管理、病虫害防治、苗木分级与出圃。</w:t>
      </w:r>
    </w:p>
    <w:p w14:paraId="634F5AF2">
      <w:pPr>
        <w:spacing w:before="156" w:beforeLines="50" w:after="156" w:afterLines="50" w:line="560" w:lineRule="exact"/>
        <w:ind w:firstLine="643"/>
        <w:rPr>
          <w:rFonts w:ascii="楷体" w:hAnsi="楷体" w:eastAsia="楷体" w:cs="仿宋_GB2312"/>
          <w:b/>
          <w:szCs w:val="28"/>
        </w:rPr>
      </w:pPr>
      <w:r>
        <w:rPr>
          <w:rFonts w:hint="eastAsia" w:ascii="楷体" w:hAnsi="楷体" w:eastAsia="楷体" w:cs="仿宋_GB2312"/>
          <w:b/>
          <w:szCs w:val="28"/>
        </w:rPr>
        <w:t>（四）调研及形成草案、征求意见稿</w:t>
      </w:r>
    </w:p>
    <w:p w14:paraId="2FC1C718">
      <w:pPr>
        <w:ind w:firstLine="640"/>
        <w:rPr>
          <w:rFonts w:ascii="仿宋_GB2312" w:hAnsi="宋体"/>
          <w:szCs w:val="28"/>
        </w:rPr>
      </w:pPr>
      <w:r>
        <w:rPr>
          <w:rFonts w:hint="eastAsia" w:ascii="仿宋_GB2312" w:hAnsi="宋体"/>
          <w:szCs w:val="28"/>
        </w:rPr>
        <w:t>2025年5-6月，标准起草工作小组进行了广泛调研工作，查阅了大量的国内外文献资料，对香子含笑容器育苗的前人研究成果进行系统总结。形成了标准的基本构架，对主要内容进行了讨论并对项目的工作进行了部署和安排。</w:t>
      </w:r>
    </w:p>
    <w:p w14:paraId="0706AA06">
      <w:pPr>
        <w:ind w:firstLine="640"/>
        <w:rPr>
          <w:rFonts w:ascii="仿宋_GB2312" w:hAnsi="宋体"/>
          <w:szCs w:val="28"/>
        </w:rPr>
      </w:pPr>
      <w:r>
        <w:rPr>
          <w:rFonts w:hint="eastAsia" w:ascii="仿宋_GB2312" w:hAnsi="宋体"/>
          <w:szCs w:val="28"/>
        </w:rPr>
        <w:t>2025年7月，广西大学、广西壮族自治区国有七坡林场、广西壮族自治区国有高峰林场在前期工作的基础之上，通过理清逻辑脉络，整合已有的参考资料中有关香子含笑容器育苗要求，并结合香子含笑容器育苗实际要求的基础上，按照简化、统一等原则编制完成团体标准《香子含笑容器育苗技术规程》（草案）。</w:t>
      </w:r>
    </w:p>
    <w:p w14:paraId="5CCF33DD">
      <w:pPr>
        <w:ind w:firstLine="640"/>
        <w:rPr>
          <w:rFonts w:hint="eastAsia" w:ascii="仿宋_GB2312" w:hAnsi="宋体"/>
          <w:szCs w:val="28"/>
        </w:rPr>
      </w:pPr>
      <w:r>
        <w:rPr>
          <w:rFonts w:hint="eastAsia" w:ascii="仿宋_GB2312" w:hAnsi="宋体"/>
          <w:szCs w:val="28"/>
        </w:rPr>
        <w:t>2025年8月，标准起草工作组广西大学、广西壮族自治区国有七坡林场、广西壮族自治区国有高峰林场到</w:t>
      </w:r>
      <w:r>
        <w:rPr>
          <w:rFonts w:ascii="仿宋_GB2312" w:hAnsi="宋体"/>
          <w:szCs w:val="28"/>
        </w:rPr>
        <w:t>相关单位和科研机构进行调研，开展试验验证</w:t>
      </w:r>
      <w:r>
        <w:rPr>
          <w:rFonts w:hint="eastAsia" w:ascii="仿宋_GB2312" w:hAnsi="宋体"/>
          <w:szCs w:val="28"/>
        </w:rPr>
        <w:t>。并实际征求意见，通过收集反馈了大量意见，标准编制工作组多次召开会议，对标准草案进行了反复修改和研究讨论。2025年8月29日起草单位在广西大学林学院组织召开讨论会，进一步讨论完善标准草案。9月～10月起草单位针对标准文本涉及的核心技术内容在各林场实际应用效果进行汇总分析，完善标准技术内容，形成团体标准《香子含笑容器育苗技术规程》（征求意见稿）和（征求意见稿）编制说明。</w:t>
      </w:r>
    </w:p>
    <w:tbl>
      <w:tblPr>
        <w:tblStyle w:val="10"/>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87"/>
        <w:gridCol w:w="4587"/>
      </w:tblGrid>
      <w:tr w14:paraId="6ACA80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4587" w:type="dxa"/>
            <w:vAlign w:val="center"/>
          </w:tcPr>
          <w:p w14:paraId="5BA70A7D">
            <w:pPr>
              <w:pStyle w:val="2"/>
              <w:keepNext w:val="0"/>
              <w:keepLines w:val="0"/>
              <w:pageBreakBefore w:val="0"/>
              <w:suppressLineNumbers w:val="0"/>
              <w:kinsoku/>
              <w:overflowPunct/>
              <w:topLinePunct w:val="0"/>
              <w:bidi w:val="0"/>
              <w:spacing w:before="0" w:beforeAutospacing="0" w:after="0" w:afterAutospacing="0"/>
              <w:ind w:left="0" w:right="0"/>
              <w:jc w:val="center"/>
              <w:rPr>
                <w:rFonts w:hint="eastAsia" w:eastAsia="宋体"/>
                <w:vertAlign w:val="baseline"/>
                <w:lang w:eastAsia="zh-CN"/>
              </w:rPr>
            </w:pPr>
            <w:r>
              <w:rPr>
                <w:rFonts w:hint="eastAsia" w:eastAsia="宋体"/>
                <w:vertAlign w:val="baseline"/>
                <w:lang w:eastAsia="zh-CN"/>
              </w:rPr>
              <w:drawing>
                <wp:inline distT="0" distB="0" distL="114300" distR="114300">
                  <wp:extent cx="2567940" cy="1443990"/>
                  <wp:effectExtent l="0" t="0" r="3810" b="3810"/>
                  <wp:docPr id="2" name="图片 2" descr="8232aed21f04a146a3441908c0eac6f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8232aed21f04a146a3441908c0eac6fd"/>
                          <pic:cNvPicPr>
                            <a:picLocks noChangeAspect="1"/>
                          </pic:cNvPicPr>
                        </pic:nvPicPr>
                        <pic:blipFill>
                          <a:blip r:embed="rId7"/>
                          <a:stretch>
                            <a:fillRect/>
                          </a:stretch>
                        </pic:blipFill>
                        <pic:spPr>
                          <a:xfrm>
                            <a:off x="0" y="0"/>
                            <a:ext cx="2567940" cy="1443990"/>
                          </a:xfrm>
                          <a:prstGeom prst="rect">
                            <a:avLst/>
                          </a:prstGeom>
                        </pic:spPr>
                      </pic:pic>
                    </a:graphicData>
                  </a:graphic>
                </wp:inline>
              </w:drawing>
            </w:r>
          </w:p>
        </w:tc>
        <w:tc>
          <w:tcPr>
            <w:tcW w:w="4587" w:type="dxa"/>
            <w:vAlign w:val="center"/>
          </w:tcPr>
          <w:p w14:paraId="3CB78127">
            <w:pPr>
              <w:pStyle w:val="2"/>
              <w:keepNext w:val="0"/>
              <w:keepLines w:val="0"/>
              <w:pageBreakBefore w:val="0"/>
              <w:suppressLineNumbers w:val="0"/>
              <w:kinsoku/>
              <w:overflowPunct/>
              <w:topLinePunct w:val="0"/>
              <w:bidi w:val="0"/>
              <w:spacing w:before="0" w:beforeAutospacing="0" w:after="0" w:afterAutospacing="0"/>
              <w:ind w:left="0" w:right="0"/>
              <w:jc w:val="center"/>
              <w:rPr>
                <w:rFonts w:hint="eastAsia" w:eastAsia="宋体"/>
                <w:vertAlign w:val="baseline"/>
                <w:lang w:eastAsia="zh-CN"/>
              </w:rPr>
            </w:pPr>
            <w:r>
              <w:rPr>
                <w:rFonts w:hint="eastAsia" w:eastAsia="宋体"/>
                <w:vertAlign w:val="baseline"/>
                <w:lang w:eastAsia="zh-CN"/>
              </w:rPr>
              <w:drawing>
                <wp:inline distT="0" distB="0" distL="114300" distR="114300">
                  <wp:extent cx="2652395" cy="1491615"/>
                  <wp:effectExtent l="0" t="0" r="14605" b="13335"/>
                  <wp:docPr id="3" name="图片 3" descr="3a0ebd644017025d19c22175106557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3a0ebd644017025d19c22175106557d2"/>
                          <pic:cNvPicPr>
                            <a:picLocks noChangeAspect="1"/>
                          </pic:cNvPicPr>
                        </pic:nvPicPr>
                        <pic:blipFill>
                          <a:blip r:embed="rId8"/>
                          <a:stretch>
                            <a:fillRect/>
                          </a:stretch>
                        </pic:blipFill>
                        <pic:spPr>
                          <a:xfrm>
                            <a:off x="0" y="0"/>
                            <a:ext cx="2652395" cy="1491615"/>
                          </a:xfrm>
                          <a:prstGeom prst="rect">
                            <a:avLst/>
                          </a:prstGeom>
                        </pic:spPr>
                      </pic:pic>
                    </a:graphicData>
                  </a:graphic>
                </wp:inline>
              </w:drawing>
            </w:r>
          </w:p>
        </w:tc>
      </w:tr>
      <w:tr w14:paraId="303DC1B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9174" w:type="dxa"/>
            <w:gridSpan w:val="2"/>
            <w:vAlign w:val="center"/>
          </w:tcPr>
          <w:p w14:paraId="6BD9ABE0">
            <w:pPr>
              <w:pStyle w:val="2"/>
              <w:keepNext w:val="0"/>
              <w:keepLines w:val="0"/>
              <w:pageBreakBefore w:val="0"/>
              <w:suppressLineNumbers w:val="0"/>
              <w:kinsoku/>
              <w:overflowPunct/>
              <w:topLinePunct w:val="0"/>
              <w:bidi w:val="0"/>
              <w:spacing w:before="0" w:beforeAutospacing="0" w:after="0" w:afterAutospacing="0"/>
              <w:ind w:left="0" w:right="0"/>
              <w:jc w:val="center"/>
              <w:rPr>
                <w:rFonts w:hint="default" w:eastAsia="宋体"/>
                <w:vertAlign w:val="baseline"/>
                <w:lang w:val="en-US" w:eastAsia="zh-CN"/>
              </w:rPr>
            </w:pPr>
            <w:r>
              <w:rPr>
                <w:rFonts w:hint="eastAsia"/>
                <w:vertAlign w:val="baseline"/>
                <w:lang w:val="en-US" w:eastAsia="zh-CN"/>
              </w:rPr>
              <w:t>图1  座谈会现场</w:t>
            </w:r>
          </w:p>
        </w:tc>
      </w:tr>
    </w:tbl>
    <w:p w14:paraId="6DE7F335">
      <w:pPr>
        <w:autoSpaceDE w:val="0"/>
        <w:autoSpaceDN w:val="0"/>
        <w:adjustRightInd w:val="0"/>
        <w:ind w:firstLine="640"/>
        <w:jc w:val="left"/>
        <w:rPr>
          <w:rFonts w:eastAsia="黑体"/>
          <w:bCs/>
          <w:szCs w:val="32"/>
        </w:rPr>
      </w:pPr>
      <w:bookmarkStart w:id="0" w:name="_Toc526940083"/>
      <w:r>
        <w:rPr>
          <w:rFonts w:eastAsia="黑体"/>
          <w:bCs/>
          <w:szCs w:val="32"/>
        </w:rPr>
        <w:t>四、</w:t>
      </w:r>
      <w:bookmarkEnd w:id="0"/>
      <w:r>
        <w:rPr>
          <w:rFonts w:eastAsia="黑体"/>
          <w:bCs/>
          <w:szCs w:val="32"/>
        </w:rPr>
        <w:t>制定标准的原则和依据，与现行法律、法规的关系，与有关国家标准、行业标准的协调情况</w:t>
      </w:r>
    </w:p>
    <w:p w14:paraId="20E9B1E9">
      <w:pPr>
        <w:pStyle w:val="13"/>
        <w:spacing w:line="560" w:lineRule="exact"/>
        <w:ind w:firstLine="0" w:firstLineChars="0"/>
        <w:outlineLvl w:val="1"/>
        <w:rPr>
          <w:rFonts w:ascii="Times New Roman" w:eastAsia="仿宋"/>
          <w:b/>
          <w:bCs/>
          <w:sz w:val="32"/>
          <w:szCs w:val="32"/>
        </w:rPr>
      </w:pPr>
      <w:r>
        <w:rPr>
          <w:rFonts w:ascii="Times New Roman" w:eastAsia="仿宋"/>
          <w:b/>
          <w:bCs/>
          <w:sz w:val="32"/>
          <w:szCs w:val="32"/>
        </w:rPr>
        <w:t>（一）编制原则</w:t>
      </w:r>
    </w:p>
    <w:p w14:paraId="1FDF099A">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1、实用性原则</w:t>
      </w:r>
    </w:p>
    <w:p w14:paraId="49355886">
      <w:pPr>
        <w:ind w:firstLine="640"/>
        <w:rPr>
          <w:rFonts w:ascii="仿宋_GB2312" w:hAnsi="宋体"/>
          <w:szCs w:val="28"/>
        </w:rPr>
      </w:pPr>
      <w:r>
        <w:rPr>
          <w:rFonts w:hint="eastAsia" w:ascii="仿宋_GB2312" w:hAnsi="宋体"/>
          <w:szCs w:val="28"/>
        </w:rPr>
        <w:t>本文件是在充分收集相关资料和文献，分析香子含笑容器育苗当前现状，在现有相关香子含笑容器育苗技术要求的基础上，结合编制单位</w:t>
      </w:r>
      <w:r>
        <w:rPr>
          <w:rFonts w:ascii="仿宋_GB2312" w:hAnsi="宋体"/>
          <w:szCs w:val="28"/>
        </w:rPr>
        <w:t>多年</w:t>
      </w:r>
      <w:r>
        <w:rPr>
          <w:rFonts w:hint="eastAsia" w:ascii="仿宋_GB2312" w:hAnsi="宋体"/>
          <w:szCs w:val="28"/>
        </w:rPr>
        <w:t>相关经验而总结起草的，符合当前香子含笑容器育苗工作发展的方向，具有较强的实用性和可操作性。</w:t>
      </w:r>
    </w:p>
    <w:p w14:paraId="216C5848">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2、协调性原则</w:t>
      </w:r>
    </w:p>
    <w:p w14:paraId="5487D403">
      <w:pPr>
        <w:ind w:firstLine="640"/>
        <w:rPr>
          <w:rFonts w:ascii="仿宋_GB2312" w:hAnsi="宋体"/>
          <w:szCs w:val="28"/>
        </w:rPr>
      </w:pPr>
      <w:r>
        <w:rPr>
          <w:rFonts w:hint="eastAsia" w:ascii="仿宋_GB2312" w:hAnsi="宋体"/>
          <w:szCs w:val="28"/>
        </w:rPr>
        <w:t>本文件编写过程中注意了与香子含笑容器育苗相关法律法规的协调问题，在内容上与现行法律法规、标准协调一致。</w:t>
      </w:r>
    </w:p>
    <w:p w14:paraId="54CFE77D">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3、规范性原则</w:t>
      </w:r>
    </w:p>
    <w:p w14:paraId="058F8938">
      <w:pPr>
        <w:ind w:firstLine="640"/>
        <w:rPr>
          <w:rFonts w:ascii="仿宋_GB2312" w:hAnsi="宋体"/>
          <w:szCs w:val="28"/>
        </w:rPr>
      </w:pPr>
      <w:r>
        <w:rPr>
          <w:rFonts w:hint="eastAsia" w:ascii="仿宋_GB2312" w:hAnsi="宋体"/>
          <w:szCs w:val="28"/>
        </w:rPr>
        <w:t>本文件严格参照GB/T 1.1—2020《标准化工作导则  第1部分：标准化文件的结构和起草规则》编写本标准的内容，保证标准的编写质量。</w:t>
      </w:r>
    </w:p>
    <w:p w14:paraId="7D75F5FA">
      <w:pPr>
        <w:tabs>
          <w:tab w:val="center" w:pos="4201"/>
          <w:tab w:val="right" w:leader="dot" w:pos="9298"/>
        </w:tabs>
        <w:autoSpaceDE w:val="0"/>
        <w:autoSpaceDN w:val="0"/>
        <w:ind w:firstLine="643"/>
        <w:outlineLvl w:val="2"/>
        <w:rPr>
          <w:rFonts w:eastAsia="仿宋"/>
          <w:b/>
          <w:bCs/>
          <w:kern w:val="0"/>
          <w:szCs w:val="32"/>
        </w:rPr>
      </w:pPr>
      <w:r>
        <w:rPr>
          <w:rFonts w:hint="eastAsia" w:eastAsia="仿宋"/>
          <w:b/>
          <w:bCs/>
          <w:kern w:val="0"/>
          <w:szCs w:val="32"/>
        </w:rPr>
        <w:t>4、前瞻性原则</w:t>
      </w:r>
    </w:p>
    <w:p w14:paraId="0990AD79">
      <w:pPr>
        <w:ind w:firstLine="640"/>
        <w:rPr>
          <w:rFonts w:ascii="仿宋_GB2312" w:hAnsi="宋体"/>
          <w:szCs w:val="28"/>
        </w:rPr>
      </w:pPr>
      <w:r>
        <w:rPr>
          <w:rFonts w:hint="eastAsia" w:ascii="仿宋_GB2312" w:hAnsi="宋体"/>
          <w:szCs w:val="28"/>
        </w:rPr>
        <w:t>本文件在兼顾当前区内香子含笑容器育苗现实情况的同时，还考虑到了香子含笑容器育苗快速发展的趋势和需要，在标准中体现了个别特色性、前瞻性和先进性条款，作为对香子含笑容器育苗工作的指导。</w:t>
      </w:r>
    </w:p>
    <w:p w14:paraId="3CC19085">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14:paraId="3C8CA02F">
      <w:pPr>
        <w:ind w:firstLine="640"/>
        <w:rPr>
          <w:rFonts w:eastAsia="仿宋"/>
          <w:szCs w:val="32"/>
        </w:rPr>
      </w:pPr>
      <w:r>
        <w:rPr>
          <w:rFonts w:eastAsia="仿宋"/>
          <w:szCs w:val="32"/>
        </w:rPr>
        <w:t>本标准严格按照GB/T 1.1—2020《标准化工作导则  第1部分：标准化文件的结构和起草规则》的规则起草，标准主要内容参考相关标准文件并结合起草单位多年的</w:t>
      </w:r>
      <w:r>
        <w:rPr>
          <w:rFonts w:hint="eastAsia" w:eastAsia="仿宋"/>
          <w:szCs w:val="32"/>
        </w:rPr>
        <w:t>相关</w:t>
      </w:r>
      <w:r>
        <w:rPr>
          <w:rFonts w:eastAsia="仿宋"/>
          <w:szCs w:val="32"/>
        </w:rPr>
        <w:t>经验</w:t>
      </w:r>
      <w:r>
        <w:rPr>
          <w:rFonts w:hint="eastAsia" w:eastAsia="仿宋"/>
          <w:szCs w:val="32"/>
        </w:rPr>
        <w:t>和实践</w:t>
      </w:r>
      <w:r>
        <w:rPr>
          <w:rFonts w:eastAsia="仿宋"/>
          <w:szCs w:val="32"/>
        </w:rPr>
        <w:t>验证情况总结进行起草。</w:t>
      </w:r>
    </w:p>
    <w:p w14:paraId="2C82A4D3">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14:paraId="4F53DABD">
      <w:pPr>
        <w:ind w:firstLine="640"/>
        <w:rPr>
          <w:rFonts w:eastAsia="仿宋"/>
          <w:szCs w:val="32"/>
        </w:rPr>
      </w:pPr>
      <w:r>
        <w:rPr>
          <w:rFonts w:hint="eastAsia" w:eastAsia="仿宋"/>
          <w:szCs w:val="32"/>
        </w:rPr>
        <w:t>本编制工作组承诺本标准内容与各项指标不违反相关法律法规要求，且不低于国家强制性标准、推荐性国家标准和行业标准要求。</w:t>
      </w:r>
    </w:p>
    <w:p w14:paraId="537228D3">
      <w:pPr>
        <w:spacing w:line="560" w:lineRule="exact"/>
        <w:ind w:firstLine="640"/>
        <w:rPr>
          <w:rFonts w:ascii="仿宋_GB2312" w:hAnsi="宋体"/>
          <w:szCs w:val="28"/>
        </w:rPr>
      </w:pPr>
      <w:r>
        <w:rPr>
          <w:rFonts w:hint="eastAsia" w:ascii="仿宋_GB2312" w:hAnsi="宋体"/>
          <w:szCs w:val="28"/>
        </w:rPr>
        <w:t>经查阅，暂无“香子含笑容器育苗技术”标准，与“容器育苗”相关的标准有：《LY∕ T 2752—2016  林木轻基质无纺布容器育苗技术规程》《LY∕ T 1882—2010  林木组织培养育苗技术规程》《DB45/T 975-2014  柚木容器苗培育技术规程》《DB45/T 1143-2015  油茶容器苗木质量分级》《DB45/T 1296-2016  柑橘容器苗繁育技术规程》《DB45/T 2378-2021  降香黄檀容器苗培育技术规程》《DB45/T 2379-2021  蚬木容器苗培育技术规程》《DB45/T 2385-2021  湿地松轻基质容器苗培育技术规程》等，现有标准只有对相关材质或特定品种的容器育苗或容器苗培育进行相关的规定，不涉及香子含笑容器育苗相关核心关键技术。</w:t>
      </w:r>
    </w:p>
    <w:p w14:paraId="7F503508">
      <w:pPr>
        <w:ind w:firstLine="640"/>
        <w:rPr>
          <w:rFonts w:ascii="仿宋_GB2312" w:hAnsi="宋体"/>
          <w:szCs w:val="28"/>
        </w:rPr>
      </w:pPr>
      <w:r>
        <w:rPr>
          <w:rFonts w:hint="eastAsia" w:ascii="仿宋_GB2312" w:hAnsi="宋体"/>
          <w:szCs w:val="28"/>
        </w:rPr>
        <w:t>综上，国内暂未制定有香子含笑容器育苗相关的标准，因此有必要根据实际情况研制团体标准《香子含笑容器育苗技术规程》，填补香子含笑容器育苗的标准空白，运用标准化手段指导、规范</w:t>
      </w:r>
      <w:r>
        <w:rPr>
          <w:rFonts w:hint="eastAsia" w:hAnsi="宋体" w:cs="宋体"/>
          <w:szCs w:val="21"/>
        </w:rPr>
        <w:t>香子含笑育苗工作，促</w:t>
      </w:r>
      <w:r>
        <w:rPr>
          <w:rFonts w:hAnsi="宋体" w:cs="宋体"/>
          <w:szCs w:val="21"/>
        </w:rPr>
        <w:t>进林业高质量发展</w:t>
      </w:r>
      <w:r>
        <w:rPr>
          <w:rFonts w:hint="eastAsia" w:ascii="仿宋_GB2312" w:hAnsi="宋体"/>
          <w:szCs w:val="28"/>
        </w:rPr>
        <w:t>。</w:t>
      </w:r>
    </w:p>
    <w:p w14:paraId="4BCFC39D">
      <w:pPr>
        <w:autoSpaceDE w:val="0"/>
        <w:autoSpaceDN w:val="0"/>
        <w:adjustRightInd w:val="0"/>
        <w:spacing w:before="156" w:beforeLines="50" w:after="156" w:afterLines="50" w:line="560" w:lineRule="exact"/>
        <w:ind w:firstLine="640"/>
        <w:jc w:val="left"/>
        <w:rPr>
          <w:rFonts w:ascii="黑体" w:hAnsi="黑体" w:eastAsia="黑体" w:cs="仿宋_GB2312"/>
          <w:szCs w:val="32"/>
        </w:rPr>
      </w:pPr>
      <w:bookmarkStart w:id="1" w:name="_Toc526940084"/>
      <w:r>
        <w:rPr>
          <w:rFonts w:hint="eastAsia" w:ascii="黑体" w:hAnsi="黑体" w:eastAsia="黑体" w:cs="仿宋_GB2312"/>
          <w:szCs w:val="32"/>
        </w:rPr>
        <w:t>五、</w:t>
      </w:r>
      <w:bookmarkEnd w:id="1"/>
      <w:r>
        <w:rPr>
          <w:rFonts w:hint="eastAsia" w:ascii="黑体" w:hAnsi="黑体" w:eastAsia="黑体" w:cs="仿宋_GB2312"/>
          <w:szCs w:val="32"/>
        </w:rPr>
        <w:t>主要条款的说明</w:t>
      </w:r>
    </w:p>
    <w:p w14:paraId="452CBD02">
      <w:pPr>
        <w:ind w:firstLine="640"/>
        <w:rPr>
          <w:rFonts w:ascii="仿宋_GB2312" w:hAnsi="宋体"/>
          <w:szCs w:val="32"/>
          <w:lang w:val="zh-CN"/>
        </w:rPr>
      </w:pPr>
      <w:r>
        <w:rPr>
          <w:rFonts w:hint="eastAsia" w:ascii="仿宋_GB2312" w:hAnsi="宋体"/>
          <w:szCs w:val="32"/>
          <w:lang w:val="zh-CN"/>
        </w:rPr>
        <w:t>广西大学与广西国有七坡林场、高峰林场已开展了香子含笑容器育苗及林分经营技术研究，探索该树种的引种栽培、种子处理、养分调控、育苗环境调控、人工林培育技术，尤其在香子含笑育苗技术方面做了较深入的研究与生产实践。对香子含笑种子处理方法、容器育苗基质优化、造林措施、人工林生长效果等方面的研究，可为香子含笑的人工培育提供科学依据与技术指导。另外，还对香子含笑林分生长、化学成份、木材特性进行了测定分析，为开发和利用提供技术支持。</w:t>
      </w:r>
    </w:p>
    <w:p w14:paraId="2D5F27EB">
      <w:pPr>
        <w:ind w:firstLine="640"/>
        <w:rPr>
          <w:rFonts w:ascii="仿宋_GB2312" w:hAnsi="宋体"/>
          <w:szCs w:val="32"/>
          <w:lang w:val="zh-CN"/>
        </w:rPr>
      </w:pPr>
      <w:r>
        <w:rPr>
          <w:rFonts w:hint="eastAsia" w:ascii="仿宋_GB2312" w:hAnsi="宋体"/>
          <w:szCs w:val="32"/>
          <w:lang w:val="zh-CN"/>
        </w:rPr>
        <w:t>团体标准《</w:t>
      </w:r>
      <w:r>
        <w:rPr>
          <w:rFonts w:hint="eastAsia" w:ascii="仿宋_GB2312" w:hAnsi="宋体"/>
          <w:szCs w:val="28"/>
        </w:rPr>
        <w:t>香子含笑容器育苗技术规程</w:t>
      </w:r>
      <w:r>
        <w:rPr>
          <w:rFonts w:hint="eastAsia" w:ascii="仿宋_GB2312" w:hAnsi="宋体"/>
          <w:szCs w:val="32"/>
          <w:lang w:val="zh-CN"/>
        </w:rPr>
        <w:t>》的主要章节内容包括：</w:t>
      </w:r>
      <w:r>
        <w:rPr>
          <w:rFonts w:hint="eastAsia" w:ascii="仿宋_GB2312" w:hAnsi="宋体"/>
          <w:szCs w:val="28"/>
        </w:rPr>
        <w:t>育苗地选择、容器和基质准备、采种与处理、播种和移植、苗期管理、病虫害防治、苗木分级与出圃</w:t>
      </w:r>
      <w:r>
        <w:rPr>
          <w:rFonts w:hint="eastAsia" w:ascii="仿宋_GB2312" w:hAnsi="宋体"/>
          <w:szCs w:val="32"/>
          <w:lang w:val="zh-CN"/>
        </w:rPr>
        <w:t>。本文件主要内容及依据来源说明如下：</w:t>
      </w:r>
    </w:p>
    <w:p w14:paraId="2F623112">
      <w:pPr>
        <w:ind w:firstLine="640"/>
        <w:rPr>
          <w:rFonts w:ascii="仿宋_GB2312" w:hAnsi="宋体"/>
          <w:bCs/>
          <w:szCs w:val="32"/>
        </w:rPr>
      </w:pPr>
      <w:r>
        <w:rPr>
          <w:rFonts w:hint="eastAsia" w:ascii="仿宋_GB2312" w:hAnsi="宋体"/>
          <w:bCs/>
          <w:szCs w:val="32"/>
        </w:rPr>
        <w:t>（一）育苗地选择</w:t>
      </w:r>
    </w:p>
    <w:p w14:paraId="44F81235">
      <w:pPr>
        <w:ind w:firstLine="640"/>
        <w:rPr>
          <w:rFonts w:ascii="仿宋_GB2312" w:hAnsi="宋体"/>
          <w:bCs/>
          <w:szCs w:val="32"/>
        </w:rPr>
      </w:pPr>
      <w:r>
        <w:rPr>
          <w:rFonts w:hint="eastAsia" w:ascii="仿宋_GB2312" w:hAnsi="宋体"/>
          <w:bCs/>
          <w:szCs w:val="32"/>
        </w:rPr>
        <w:t>行业标准《LY/T 1000  容器育苗技术》综合考虑了气候、地形、土壤、水源、管理等因素对于容器育苗的影响，已经科学地、系统地将众多树种育苗所需的一般环境条件，转化为了可操作、可验证的通用技术规范。对于一般通用性、无特殊要求的技术内容，直接引用行业标准，有助于标准内容的协调一致。</w:t>
      </w:r>
    </w:p>
    <w:p w14:paraId="2C8EE27E">
      <w:pPr>
        <w:ind w:firstLine="640"/>
        <w:rPr>
          <w:rFonts w:ascii="仿宋_GB2312" w:hAnsi="宋体"/>
          <w:bCs/>
          <w:szCs w:val="32"/>
        </w:rPr>
      </w:pPr>
      <w:r>
        <w:rPr>
          <w:rFonts w:hint="eastAsia" w:ascii="仿宋_GB2312" w:hAnsi="宋体"/>
          <w:bCs/>
          <w:szCs w:val="32"/>
        </w:rPr>
        <w:t>香子含笑本身喜生在肥沃湿润和排水良好的山坡，忌积水地，喜光，在林边和阳光充足的地方常可见到幼树。因此，按照《LY/T 1000  容器育苗技术》中规定的育苗地要求，能够满足香子含笑育苗要求同时增强香子含笑育苗技术的普遍适用性。</w:t>
      </w:r>
    </w:p>
    <w:p w14:paraId="256AF6A0">
      <w:pPr>
        <w:ind w:firstLine="0" w:firstLineChars="0"/>
        <w:jc w:val="center"/>
        <w:rPr>
          <w:rFonts w:ascii="仿宋_GB2312" w:hAnsi="宋体"/>
          <w:bCs/>
          <w:szCs w:val="32"/>
        </w:rPr>
      </w:pPr>
      <w:r>
        <w:rPr>
          <w:rFonts w:ascii="仿宋_GB2312" w:hAnsi="宋体"/>
          <w:bCs/>
          <w:szCs w:val="32"/>
        </w:rPr>
        <w:drawing>
          <wp:inline distT="0" distB="0" distL="114300" distR="114300">
            <wp:extent cx="2280285" cy="3042920"/>
            <wp:effectExtent l="0" t="0" r="5080" b="5715"/>
            <wp:docPr id="1" name="图片 1" descr="微信图片_2025-08-23_002517_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微信图片_2025-08-23_002517_887"/>
                    <pic:cNvPicPr>
                      <a:picLocks noChangeAspect="1"/>
                    </pic:cNvPicPr>
                  </pic:nvPicPr>
                  <pic:blipFill>
                    <a:blip r:embed="rId9"/>
                    <a:stretch>
                      <a:fillRect/>
                    </a:stretch>
                  </pic:blipFill>
                  <pic:spPr>
                    <a:xfrm rot="16200000">
                      <a:off x="0" y="0"/>
                      <a:ext cx="2280285" cy="3042920"/>
                    </a:xfrm>
                    <a:prstGeom prst="rect">
                      <a:avLst/>
                    </a:prstGeom>
                  </pic:spPr>
                </pic:pic>
              </a:graphicData>
            </a:graphic>
          </wp:inline>
        </w:drawing>
      </w:r>
    </w:p>
    <w:p w14:paraId="1CC56460">
      <w:pPr>
        <w:ind w:firstLine="0" w:firstLineChars="0"/>
        <w:jc w:val="center"/>
        <w:rPr>
          <w:rFonts w:ascii="仿宋_GB2312" w:hAnsi="宋体"/>
          <w:bCs/>
          <w:sz w:val="28"/>
          <w:szCs w:val="28"/>
        </w:rPr>
      </w:pPr>
      <w:r>
        <w:rPr>
          <w:rFonts w:hint="eastAsia" w:ascii="仿宋_GB2312" w:hAnsi="宋体"/>
          <w:bCs/>
          <w:sz w:val="28"/>
          <w:szCs w:val="28"/>
        </w:rPr>
        <w:t>图1 香子含笑育苗</w:t>
      </w:r>
    </w:p>
    <w:p w14:paraId="1300CE5F">
      <w:pPr>
        <w:ind w:firstLine="640"/>
        <w:rPr>
          <w:rFonts w:ascii="仿宋_GB2312" w:hAnsi="宋体"/>
          <w:bCs/>
          <w:szCs w:val="32"/>
        </w:rPr>
      </w:pPr>
      <w:r>
        <w:rPr>
          <w:rFonts w:hint="eastAsia" w:ascii="仿宋_GB2312" w:hAnsi="宋体"/>
          <w:bCs/>
          <w:szCs w:val="32"/>
        </w:rPr>
        <w:t>（二）容器和基质准备</w:t>
      </w:r>
    </w:p>
    <w:p w14:paraId="3BEFC261">
      <w:pPr>
        <w:ind w:firstLine="640"/>
        <w:rPr>
          <w:rFonts w:ascii="仿宋_GB2312" w:hAnsi="宋体"/>
          <w:bCs/>
          <w:szCs w:val="32"/>
        </w:rPr>
      </w:pPr>
      <w:r>
        <w:rPr>
          <w:rFonts w:hint="eastAsia" w:ascii="仿宋_GB2312" w:hAnsi="宋体"/>
          <w:bCs/>
          <w:szCs w:val="32"/>
        </w:rPr>
        <w:t>2.1容器选择</w:t>
      </w:r>
    </w:p>
    <w:p w14:paraId="5393E498">
      <w:pPr>
        <w:ind w:firstLine="640"/>
        <w:rPr>
          <w:rFonts w:ascii="仿宋_GB2312" w:hAnsi="宋体"/>
          <w:bCs/>
          <w:szCs w:val="32"/>
        </w:rPr>
      </w:pPr>
      <w:r>
        <w:rPr>
          <w:rFonts w:hint="eastAsia" w:ascii="仿宋_GB2312" w:hAnsi="宋体"/>
          <w:bCs/>
          <w:szCs w:val="32"/>
        </w:rPr>
        <w:t>容器育苗常用的容器类型主要有塑料薄膜容器、硬塑料杯、穴盘、无纺布容器等，每种类型容器特点见表1。</w:t>
      </w:r>
    </w:p>
    <w:p w14:paraId="50CAC690">
      <w:pPr>
        <w:ind w:firstLine="0" w:firstLineChars="0"/>
        <w:jc w:val="center"/>
        <w:rPr>
          <w:rFonts w:ascii="仿宋_GB2312" w:hAnsi="宋体"/>
          <w:bCs/>
          <w:sz w:val="28"/>
          <w:szCs w:val="28"/>
        </w:rPr>
      </w:pPr>
      <w:r>
        <w:rPr>
          <w:rFonts w:hint="eastAsia" w:ascii="仿宋_GB2312" w:hAnsi="宋体"/>
          <w:bCs/>
          <w:sz w:val="28"/>
          <w:szCs w:val="28"/>
        </w:rPr>
        <w:t>表1 不同类型容器优缺点</w:t>
      </w:r>
    </w:p>
    <w:tbl>
      <w:tblPr>
        <w:tblStyle w:val="1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6"/>
        <w:gridCol w:w="1339"/>
        <w:gridCol w:w="3796"/>
        <w:gridCol w:w="3611"/>
      </w:tblGrid>
      <w:tr w14:paraId="1731E7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26" w:type="dxa"/>
            <w:vAlign w:val="center"/>
          </w:tcPr>
          <w:p w14:paraId="7CB33789">
            <w:pPr>
              <w:snapToGrid w:val="0"/>
              <w:ind w:firstLine="0" w:firstLineChars="0"/>
              <w:jc w:val="center"/>
              <w:rPr>
                <w:rFonts w:ascii="仿宋_GB2312" w:hAnsi="宋体"/>
                <w:bCs/>
                <w:sz w:val="28"/>
                <w:szCs w:val="28"/>
              </w:rPr>
            </w:pPr>
            <w:r>
              <w:rPr>
                <w:rFonts w:hint="eastAsia" w:ascii="仿宋_GB2312" w:hAnsi="宋体"/>
                <w:bCs/>
                <w:sz w:val="28"/>
                <w:szCs w:val="28"/>
              </w:rPr>
              <w:t>序号</w:t>
            </w:r>
          </w:p>
        </w:tc>
        <w:tc>
          <w:tcPr>
            <w:tcW w:w="1339" w:type="dxa"/>
            <w:vAlign w:val="center"/>
          </w:tcPr>
          <w:p w14:paraId="73E18224">
            <w:pPr>
              <w:snapToGrid w:val="0"/>
              <w:ind w:firstLine="0" w:firstLineChars="0"/>
              <w:jc w:val="center"/>
              <w:rPr>
                <w:rFonts w:ascii="仿宋_GB2312" w:hAnsi="宋体"/>
                <w:bCs/>
                <w:sz w:val="28"/>
                <w:szCs w:val="28"/>
              </w:rPr>
            </w:pPr>
            <w:r>
              <w:rPr>
                <w:rFonts w:hint="eastAsia" w:ascii="仿宋_GB2312" w:hAnsi="宋体"/>
                <w:bCs/>
                <w:sz w:val="28"/>
                <w:szCs w:val="28"/>
              </w:rPr>
              <w:t>容器类型</w:t>
            </w:r>
          </w:p>
        </w:tc>
        <w:tc>
          <w:tcPr>
            <w:tcW w:w="3796" w:type="dxa"/>
            <w:vAlign w:val="center"/>
          </w:tcPr>
          <w:p w14:paraId="5CC54CB2">
            <w:pPr>
              <w:snapToGrid w:val="0"/>
              <w:ind w:firstLine="0" w:firstLineChars="0"/>
              <w:jc w:val="center"/>
              <w:rPr>
                <w:rFonts w:ascii="仿宋_GB2312" w:hAnsi="宋体"/>
                <w:bCs/>
                <w:sz w:val="28"/>
                <w:szCs w:val="28"/>
              </w:rPr>
            </w:pPr>
            <w:r>
              <w:rPr>
                <w:rFonts w:hint="eastAsia" w:ascii="仿宋_GB2312" w:hAnsi="宋体"/>
                <w:bCs/>
                <w:sz w:val="28"/>
                <w:szCs w:val="28"/>
              </w:rPr>
              <w:t>优点</w:t>
            </w:r>
          </w:p>
        </w:tc>
        <w:tc>
          <w:tcPr>
            <w:tcW w:w="3611" w:type="dxa"/>
            <w:vAlign w:val="center"/>
          </w:tcPr>
          <w:p w14:paraId="5DC186F3">
            <w:pPr>
              <w:snapToGrid w:val="0"/>
              <w:ind w:firstLine="0" w:firstLineChars="0"/>
              <w:jc w:val="center"/>
              <w:rPr>
                <w:rFonts w:ascii="仿宋_GB2312" w:hAnsi="宋体"/>
                <w:bCs/>
                <w:sz w:val="28"/>
                <w:szCs w:val="28"/>
              </w:rPr>
            </w:pPr>
            <w:r>
              <w:rPr>
                <w:rFonts w:hint="eastAsia" w:ascii="仿宋_GB2312" w:hAnsi="宋体"/>
                <w:bCs/>
                <w:sz w:val="28"/>
                <w:szCs w:val="28"/>
              </w:rPr>
              <w:t>缺点</w:t>
            </w:r>
          </w:p>
        </w:tc>
      </w:tr>
      <w:tr w14:paraId="566B87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29" w:hRule="atLeast"/>
          <w:jc w:val="center"/>
        </w:trPr>
        <w:tc>
          <w:tcPr>
            <w:tcW w:w="426" w:type="dxa"/>
            <w:vAlign w:val="center"/>
          </w:tcPr>
          <w:p w14:paraId="041568CF">
            <w:pPr>
              <w:snapToGrid w:val="0"/>
              <w:ind w:firstLine="0" w:firstLineChars="0"/>
              <w:jc w:val="center"/>
              <w:rPr>
                <w:rFonts w:ascii="仿宋_GB2312" w:hAnsi="宋体"/>
                <w:bCs/>
                <w:sz w:val="28"/>
                <w:szCs w:val="28"/>
              </w:rPr>
            </w:pPr>
            <w:r>
              <w:rPr>
                <w:rFonts w:hint="eastAsia" w:ascii="仿宋_GB2312" w:hAnsi="宋体"/>
                <w:bCs/>
                <w:sz w:val="28"/>
                <w:szCs w:val="28"/>
              </w:rPr>
              <w:t>1</w:t>
            </w:r>
          </w:p>
        </w:tc>
        <w:tc>
          <w:tcPr>
            <w:tcW w:w="1339" w:type="dxa"/>
            <w:vAlign w:val="center"/>
          </w:tcPr>
          <w:p w14:paraId="47F05D20">
            <w:pPr>
              <w:snapToGrid w:val="0"/>
              <w:ind w:firstLine="0" w:firstLineChars="0"/>
              <w:jc w:val="center"/>
              <w:rPr>
                <w:rFonts w:ascii="仿宋_GB2312" w:hAnsi="宋体"/>
                <w:bCs/>
                <w:sz w:val="28"/>
                <w:szCs w:val="28"/>
              </w:rPr>
            </w:pPr>
            <w:r>
              <w:rPr>
                <w:rFonts w:hint="eastAsia" w:ascii="仿宋_GB2312" w:hAnsi="宋体"/>
                <w:bCs/>
                <w:sz w:val="28"/>
                <w:szCs w:val="28"/>
              </w:rPr>
              <w:t>塑料薄膜容器</w:t>
            </w:r>
          </w:p>
        </w:tc>
        <w:tc>
          <w:tcPr>
            <w:tcW w:w="3796" w:type="dxa"/>
            <w:vAlign w:val="center"/>
          </w:tcPr>
          <w:p w14:paraId="482745F9">
            <w:pPr>
              <w:snapToGrid w:val="0"/>
              <w:ind w:firstLine="0" w:firstLineChars="0"/>
              <w:jc w:val="center"/>
              <w:rPr>
                <w:rFonts w:ascii="仿宋_GB2312" w:hAnsi="宋体"/>
                <w:bCs/>
                <w:sz w:val="28"/>
                <w:szCs w:val="28"/>
              </w:rPr>
            </w:pPr>
            <w:r>
              <w:rPr>
                <w:rFonts w:ascii="仿宋_GB2312" w:hAnsi="宋体"/>
                <w:bCs/>
                <w:sz w:val="28"/>
                <w:szCs w:val="28"/>
              </w:rPr>
              <w:t>成本低廉、制作和使用简便、应用</w:t>
            </w:r>
            <w:r>
              <w:rPr>
                <w:rFonts w:hint="eastAsia" w:ascii="仿宋_GB2312" w:hAnsi="宋体"/>
                <w:bCs/>
                <w:sz w:val="28"/>
                <w:szCs w:val="28"/>
              </w:rPr>
              <w:t>较广</w:t>
            </w:r>
          </w:p>
        </w:tc>
        <w:tc>
          <w:tcPr>
            <w:tcW w:w="3611" w:type="dxa"/>
            <w:vAlign w:val="center"/>
          </w:tcPr>
          <w:p w14:paraId="0E2638AB">
            <w:pPr>
              <w:snapToGrid w:val="0"/>
              <w:ind w:firstLine="0" w:firstLineChars="0"/>
              <w:jc w:val="center"/>
              <w:rPr>
                <w:rFonts w:ascii="仿宋_GB2312" w:hAnsi="宋体"/>
                <w:bCs/>
                <w:sz w:val="28"/>
                <w:szCs w:val="28"/>
              </w:rPr>
            </w:pPr>
            <w:r>
              <w:rPr>
                <w:rFonts w:ascii="仿宋_GB2312" w:hAnsi="宋体"/>
                <w:bCs/>
                <w:sz w:val="28"/>
                <w:szCs w:val="28"/>
              </w:rPr>
              <w:t>浇水过多易烂根；透气透水性较差；需划破容器才能栽植，可能伤根。</w:t>
            </w:r>
          </w:p>
        </w:tc>
      </w:tr>
      <w:tr w14:paraId="10450C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46" w:hRule="atLeast"/>
          <w:jc w:val="center"/>
        </w:trPr>
        <w:tc>
          <w:tcPr>
            <w:tcW w:w="426" w:type="dxa"/>
            <w:vAlign w:val="center"/>
          </w:tcPr>
          <w:p w14:paraId="65F82A85">
            <w:pPr>
              <w:snapToGrid w:val="0"/>
              <w:ind w:firstLine="0" w:firstLineChars="0"/>
              <w:jc w:val="center"/>
              <w:rPr>
                <w:rFonts w:ascii="仿宋_GB2312" w:hAnsi="宋体"/>
                <w:bCs/>
                <w:sz w:val="28"/>
                <w:szCs w:val="28"/>
              </w:rPr>
            </w:pPr>
            <w:r>
              <w:rPr>
                <w:rFonts w:hint="eastAsia" w:ascii="仿宋_GB2312" w:hAnsi="宋体"/>
                <w:bCs/>
                <w:sz w:val="28"/>
                <w:szCs w:val="28"/>
              </w:rPr>
              <w:t>2</w:t>
            </w:r>
          </w:p>
        </w:tc>
        <w:tc>
          <w:tcPr>
            <w:tcW w:w="1339" w:type="dxa"/>
            <w:vAlign w:val="center"/>
          </w:tcPr>
          <w:p w14:paraId="1DF5EF5D">
            <w:pPr>
              <w:snapToGrid w:val="0"/>
              <w:ind w:firstLine="0" w:firstLineChars="0"/>
              <w:jc w:val="center"/>
              <w:rPr>
                <w:rFonts w:ascii="仿宋_GB2312" w:hAnsi="宋体"/>
                <w:bCs/>
                <w:sz w:val="28"/>
                <w:szCs w:val="28"/>
              </w:rPr>
            </w:pPr>
            <w:r>
              <w:rPr>
                <w:rFonts w:hint="eastAsia" w:ascii="仿宋_GB2312" w:hAnsi="宋体"/>
                <w:bCs/>
                <w:sz w:val="28"/>
                <w:szCs w:val="28"/>
              </w:rPr>
              <w:t>硬塑料杯</w:t>
            </w:r>
          </w:p>
        </w:tc>
        <w:tc>
          <w:tcPr>
            <w:tcW w:w="3796" w:type="dxa"/>
            <w:vAlign w:val="center"/>
          </w:tcPr>
          <w:p w14:paraId="63A84642">
            <w:pPr>
              <w:snapToGrid w:val="0"/>
              <w:ind w:firstLine="0" w:firstLineChars="0"/>
              <w:jc w:val="center"/>
              <w:rPr>
                <w:rFonts w:ascii="仿宋_GB2312" w:hAnsi="宋体"/>
                <w:bCs/>
                <w:sz w:val="28"/>
                <w:szCs w:val="28"/>
              </w:rPr>
            </w:pPr>
            <w:r>
              <w:rPr>
                <w:rFonts w:ascii="仿宋_GB2312" w:hAnsi="宋体"/>
                <w:bCs/>
                <w:sz w:val="28"/>
                <w:szCs w:val="28"/>
              </w:rPr>
              <w:t>容器规格齐全，坚固耐用；内壁棱状结构可防止根系盘旋，利于根系舒展</w:t>
            </w:r>
          </w:p>
        </w:tc>
        <w:tc>
          <w:tcPr>
            <w:tcW w:w="3611" w:type="dxa"/>
            <w:vAlign w:val="center"/>
          </w:tcPr>
          <w:p w14:paraId="78C0DFAE">
            <w:pPr>
              <w:snapToGrid w:val="0"/>
              <w:ind w:firstLine="0" w:firstLineChars="0"/>
              <w:jc w:val="center"/>
              <w:rPr>
                <w:rFonts w:ascii="仿宋_GB2312" w:hAnsi="宋体"/>
                <w:bCs/>
                <w:sz w:val="28"/>
                <w:szCs w:val="28"/>
              </w:rPr>
            </w:pPr>
            <w:r>
              <w:rPr>
                <w:rFonts w:ascii="仿宋_GB2312" w:hAnsi="宋体"/>
                <w:bCs/>
                <w:sz w:val="28"/>
                <w:szCs w:val="28"/>
              </w:rPr>
              <w:t>透气性一般；成本高于薄膜袋；普通硬塑料，多次使用后可能需回收。</w:t>
            </w:r>
          </w:p>
        </w:tc>
      </w:tr>
      <w:tr w14:paraId="029192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1" w:hRule="atLeast"/>
          <w:jc w:val="center"/>
        </w:trPr>
        <w:tc>
          <w:tcPr>
            <w:tcW w:w="426" w:type="dxa"/>
            <w:vAlign w:val="center"/>
          </w:tcPr>
          <w:p w14:paraId="42079702">
            <w:pPr>
              <w:snapToGrid w:val="0"/>
              <w:ind w:firstLine="0" w:firstLineChars="0"/>
              <w:jc w:val="center"/>
              <w:rPr>
                <w:rFonts w:ascii="仿宋_GB2312" w:hAnsi="宋体"/>
                <w:bCs/>
                <w:sz w:val="28"/>
                <w:szCs w:val="28"/>
              </w:rPr>
            </w:pPr>
            <w:r>
              <w:rPr>
                <w:rFonts w:hint="eastAsia" w:ascii="仿宋_GB2312" w:hAnsi="宋体"/>
                <w:bCs/>
                <w:sz w:val="28"/>
                <w:szCs w:val="28"/>
              </w:rPr>
              <w:t>3</w:t>
            </w:r>
          </w:p>
        </w:tc>
        <w:tc>
          <w:tcPr>
            <w:tcW w:w="1339" w:type="dxa"/>
            <w:vAlign w:val="center"/>
          </w:tcPr>
          <w:p w14:paraId="72FDCF26">
            <w:pPr>
              <w:snapToGrid w:val="0"/>
              <w:ind w:firstLine="0" w:firstLineChars="0"/>
              <w:jc w:val="center"/>
              <w:rPr>
                <w:rFonts w:ascii="仿宋_GB2312" w:hAnsi="宋体"/>
                <w:bCs/>
                <w:sz w:val="28"/>
                <w:szCs w:val="28"/>
              </w:rPr>
            </w:pPr>
            <w:r>
              <w:rPr>
                <w:rFonts w:hint="eastAsia" w:ascii="仿宋_GB2312" w:hAnsi="宋体"/>
                <w:bCs/>
                <w:sz w:val="28"/>
                <w:szCs w:val="28"/>
              </w:rPr>
              <w:t>穴盘</w:t>
            </w:r>
          </w:p>
        </w:tc>
        <w:tc>
          <w:tcPr>
            <w:tcW w:w="3796" w:type="dxa"/>
            <w:vAlign w:val="center"/>
          </w:tcPr>
          <w:p w14:paraId="1CB6B12D">
            <w:pPr>
              <w:snapToGrid w:val="0"/>
              <w:ind w:firstLine="0" w:firstLineChars="0"/>
              <w:jc w:val="center"/>
              <w:rPr>
                <w:rFonts w:ascii="仿宋_GB2312" w:hAnsi="宋体"/>
                <w:bCs/>
                <w:sz w:val="28"/>
                <w:szCs w:val="28"/>
              </w:rPr>
            </w:pPr>
            <w:r>
              <w:rPr>
                <w:rFonts w:ascii="仿宋_GB2312" w:hAnsi="宋体"/>
                <w:bCs/>
                <w:sz w:val="28"/>
                <w:szCs w:val="28"/>
              </w:rPr>
              <w:t>单位面积内可以培育最多数量的幼苗</w:t>
            </w:r>
            <w:r>
              <w:rPr>
                <w:rFonts w:hint="eastAsia" w:ascii="仿宋_GB2312" w:hAnsi="宋体"/>
                <w:bCs/>
                <w:sz w:val="28"/>
                <w:szCs w:val="28"/>
              </w:rPr>
              <w:t>；</w:t>
            </w:r>
            <w:r>
              <w:rPr>
                <w:rFonts w:ascii="仿宋_GB2312" w:hAnsi="宋体"/>
                <w:bCs/>
                <w:sz w:val="28"/>
                <w:szCs w:val="28"/>
              </w:rPr>
              <w:t>可以统一进行灌溉和施肥，效率高</w:t>
            </w:r>
            <w:r>
              <w:rPr>
                <w:rFonts w:hint="eastAsia" w:ascii="仿宋_GB2312" w:hAnsi="宋体"/>
                <w:bCs/>
                <w:sz w:val="28"/>
                <w:szCs w:val="28"/>
              </w:rPr>
              <w:t>；</w:t>
            </w:r>
            <w:r>
              <w:rPr>
                <w:rFonts w:ascii="仿宋_GB2312" w:hAnsi="宋体"/>
                <w:bCs/>
                <w:sz w:val="28"/>
                <w:szCs w:val="28"/>
              </w:rPr>
              <w:t>形成的根团不易散坨，移栽时伤根少，缓苗快，成活率高。</w:t>
            </w:r>
          </w:p>
        </w:tc>
        <w:tc>
          <w:tcPr>
            <w:tcW w:w="3611" w:type="dxa"/>
            <w:vAlign w:val="center"/>
          </w:tcPr>
          <w:p w14:paraId="1C7DB5B9">
            <w:pPr>
              <w:snapToGrid w:val="0"/>
              <w:ind w:firstLine="0" w:firstLineChars="0"/>
              <w:jc w:val="center"/>
              <w:rPr>
                <w:rFonts w:ascii="仿宋_GB2312" w:hAnsi="宋体"/>
                <w:bCs/>
                <w:sz w:val="28"/>
                <w:szCs w:val="28"/>
              </w:rPr>
            </w:pPr>
            <w:r>
              <w:rPr>
                <w:rFonts w:ascii="仿宋_GB2312" w:hAnsi="宋体"/>
                <w:bCs/>
                <w:sz w:val="28"/>
                <w:szCs w:val="28"/>
              </w:rPr>
              <w:t>单个穴孔容量有限</w:t>
            </w:r>
            <w:r>
              <w:rPr>
                <w:rFonts w:hint="eastAsia" w:ascii="仿宋_GB2312" w:hAnsi="宋体"/>
                <w:bCs/>
                <w:sz w:val="28"/>
                <w:szCs w:val="28"/>
              </w:rPr>
              <w:t>，</w:t>
            </w:r>
            <w:r>
              <w:rPr>
                <w:rFonts w:ascii="仿宋_GB2312" w:hAnsi="宋体"/>
                <w:bCs/>
                <w:sz w:val="28"/>
                <w:szCs w:val="28"/>
              </w:rPr>
              <w:t>不适合苗木的长期培育，当幼苗长到一定大小后，必须及时移栽到更大的容器中，否则会限制生长。比传统的营养袋等成本要高。</w:t>
            </w:r>
          </w:p>
        </w:tc>
      </w:tr>
      <w:tr w14:paraId="3B8E6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32" w:hRule="atLeast"/>
          <w:jc w:val="center"/>
        </w:trPr>
        <w:tc>
          <w:tcPr>
            <w:tcW w:w="426" w:type="dxa"/>
            <w:vAlign w:val="center"/>
          </w:tcPr>
          <w:p w14:paraId="4CC757C6">
            <w:pPr>
              <w:snapToGrid w:val="0"/>
              <w:ind w:firstLine="0" w:firstLineChars="0"/>
              <w:jc w:val="center"/>
              <w:rPr>
                <w:rFonts w:ascii="仿宋_GB2312" w:hAnsi="宋体"/>
                <w:bCs/>
                <w:sz w:val="28"/>
                <w:szCs w:val="28"/>
              </w:rPr>
            </w:pPr>
            <w:r>
              <w:rPr>
                <w:rFonts w:hint="eastAsia" w:ascii="仿宋_GB2312" w:hAnsi="宋体"/>
                <w:bCs/>
                <w:sz w:val="28"/>
                <w:szCs w:val="28"/>
              </w:rPr>
              <w:t>4</w:t>
            </w:r>
          </w:p>
        </w:tc>
        <w:tc>
          <w:tcPr>
            <w:tcW w:w="1339" w:type="dxa"/>
            <w:vAlign w:val="center"/>
          </w:tcPr>
          <w:p w14:paraId="22FECFF8">
            <w:pPr>
              <w:snapToGrid w:val="0"/>
              <w:ind w:firstLine="0" w:firstLineChars="0"/>
              <w:jc w:val="center"/>
              <w:rPr>
                <w:rFonts w:ascii="仿宋_GB2312" w:hAnsi="宋体"/>
                <w:bCs/>
                <w:sz w:val="28"/>
                <w:szCs w:val="28"/>
              </w:rPr>
            </w:pPr>
            <w:r>
              <w:rPr>
                <w:rFonts w:hint="eastAsia" w:ascii="仿宋_GB2312" w:hAnsi="宋体"/>
                <w:bCs/>
                <w:sz w:val="28"/>
                <w:szCs w:val="28"/>
              </w:rPr>
              <w:t>无纺布容器</w:t>
            </w:r>
          </w:p>
        </w:tc>
        <w:tc>
          <w:tcPr>
            <w:tcW w:w="3796" w:type="dxa"/>
            <w:vAlign w:val="center"/>
          </w:tcPr>
          <w:p w14:paraId="4ACA4712">
            <w:pPr>
              <w:snapToGrid w:val="0"/>
              <w:ind w:firstLine="0" w:firstLineChars="0"/>
              <w:jc w:val="center"/>
              <w:rPr>
                <w:rFonts w:ascii="仿宋_GB2312" w:hAnsi="宋体"/>
                <w:bCs/>
                <w:sz w:val="28"/>
                <w:szCs w:val="28"/>
              </w:rPr>
            </w:pPr>
            <w:r>
              <w:rPr>
                <w:rFonts w:ascii="仿宋_GB2312" w:hAnsi="宋体"/>
                <w:bCs/>
                <w:sz w:val="28"/>
                <w:szCs w:val="28"/>
              </w:rPr>
              <w:t>对于1年生容器苗生长表现优；利于根系空气修根</w:t>
            </w:r>
          </w:p>
        </w:tc>
        <w:tc>
          <w:tcPr>
            <w:tcW w:w="3611" w:type="dxa"/>
            <w:vAlign w:val="center"/>
          </w:tcPr>
          <w:p w14:paraId="2DBB57F6">
            <w:pPr>
              <w:snapToGrid w:val="0"/>
              <w:ind w:firstLine="0" w:firstLineChars="0"/>
              <w:jc w:val="center"/>
              <w:rPr>
                <w:rFonts w:ascii="仿宋_GB2312" w:hAnsi="宋体"/>
                <w:bCs/>
                <w:sz w:val="28"/>
                <w:szCs w:val="28"/>
              </w:rPr>
            </w:pPr>
            <w:r>
              <w:rPr>
                <w:rFonts w:ascii="仿宋_GB2312" w:hAnsi="宋体"/>
                <w:bCs/>
                <w:sz w:val="28"/>
                <w:szCs w:val="28"/>
              </w:rPr>
              <w:t>对于2年生大苗，其生长表现</w:t>
            </w:r>
            <w:r>
              <w:rPr>
                <w:rFonts w:hint="eastAsia" w:ascii="仿宋_GB2312" w:hAnsi="宋体"/>
                <w:bCs/>
                <w:sz w:val="28"/>
                <w:szCs w:val="28"/>
              </w:rPr>
              <w:t>相较于其他容器优势不大</w:t>
            </w:r>
          </w:p>
        </w:tc>
      </w:tr>
    </w:tbl>
    <w:p w14:paraId="5E33AE01">
      <w:pPr>
        <w:ind w:firstLine="640"/>
        <w:rPr>
          <w:rFonts w:ascii="仿宋_GB2312" w:hAnsi="宋体"/>
          <w:bCs/>
          <w:szCs w:val="32"/>
        </w:rPr>
      </w:pPr>
      <w:r>
        <w:rPr>
          <w:rFonts w:hint="eastAsia" w:ascii="仿宋_GB2312" w:hAnsi="宋体"/>
          <w:bCs/>
          <w:szCs w:val="32"/>
        </w:rPr>
        <w:t>根据香子含笑喜肥沃湿润和排水需求特性以及育苗时间、成本综合考虑，一般采用较多的容器类型为硬塑料杯和无纺布容器。针对这两种容器，起草单位在实际育苗过程也进行了对比分析，相较于硬塑料杯容器，无纺布容器育苗更便利、更能满足幼苗排水透气的需求。</w:t>
      </w:r>
    </w:p>
    <w:tbl>
      <w:tblPr>
        <w:tblStyle w:val="10"/>
        <w:tblW w:w="0" w:type="auto"/>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596"/>
        <w:gridCol w:w="4578"/>
      </w:tblGrid>
      <w:tr w14:paraId="10CAE0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96" w:type="dxa"/>
            <w:vAlign w:val="center"/>
          </w:tcPr>
          <w:p w14:paraId="114F5621">
            <w:pPr>
              <w:ind w:firstLine="0" w:firstLineChars="0"/>
              <w:jc w:val="center"/>
              <w:rPr>
                <w:rFonts w:ascii="仿宋_GB2312" w:hAnsi="宋体"/>
                <w:bCs/>
                <w:color w:val="FF0000"/>
                <w:szCs w:val="32"/>
              </w:rPr>
            </w:pPr>
            <w:r>
              <w:rPr>
                <w:rFonts w:ascii="仿宋_GB2312" w:hAnsi="宋体"/>
                <w:bCs/>
                <w:color w:val="FF0000"/>
                <w:szCs w:val="32"/>
              </w:rPr>
              <w:drawing>
                <wp:inline distT="0" distB="0" distL="114300" distR="114300">
                  <wp:extent cx="2159000" cy="2879725"/>
                  <wp:effectExtent l="0" t="0" r="12700" b="15875"/>
                  <wp:docPr id="6" name="图片 6" descr="微信图片_2025-08-23_001912_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微信图片_2025-08-23_001912_049"/>
                          <pic:cNvPicPr>
                            <a:picLocks noChangeAspect="1"/>
                          </pic:cNvPicPr>
                        </pic:nvPicPr>
                        <pic:blipFill>
                          <a:blip r:embed="rId10"/>
                          <a:stretch>
                            <a:fillRect/>
                          </a:stretch>
                        </pic:blipFill>
                        <pic:spPr>
                          <a:xfrm>
                            <a:off x="0" y="0"/>
                            <a:ext cx="2159000" cy="2879725"/>
                          </a:xfrm>
                          <a:prstGeom prst="rect">
                            <a:avLst/>
                          </a:prstGeom>
                        </pic:spPr>
                      </pic:pic>
                    </a:graphicData>
                  </a:graphic>
                </wp:inline>
              </w:drawing>
            </w:r>
          </w:p>
        </w:tc>
        <w:tc>
          <w:tcPr>
            <w:tcW w:w="4578" w:type="dxa"/>
            <w:vAlign w:val="center"/>
          </w:tcPr>
          <w:p w14:paraId="2C373BCA">
            <w:pPr>
              <w:ind w:firstLine="0" w:firstLineChars="0"/>
              <w:jc w:val="center"/>
              <w:rPr>
                <w:rFonts w:ascii="仿宋_GB2312" w:hAnsi="宋体"/>
                <w:bCs/>
                <w:color w:val="FF0000"/>
                <w:szCs w:val="32"/>
              </w:rPr>
            </w:pPr>
            <w:r>
              <w:rPr>
                <w:rFonts w:ascii="仿宋_GB2312" w:hAnsi="宋体"/>
                <w:bCs/>
                <w:color w:val="FF0000"/>
                <w:szCs w:val="32"/>
              </w:rPr>
              <w:drawing>
                <wp:inline distT="0" distB="0" distL="114300" distR="114300">
                  <wp:extent cx="2155190" cy="2879725"/>
                  <wp:effectExtent l="0" t="0" r="16510" b="15875"/>
                  <wp:docPr id="7" name="图片 7" descr="微信图片_2025-08-23_002333_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5-08-23_002333_037"/>
                          <pic:cNvPicPr>
                            <a:picLocks noChangeAspect="1"/>
                          </pic:cNvPicPr>
                        </pic:nvPicPr>
                        <pic:blipFill>
                          <a:blip r:embed="rId11"/>
                          <a:srcRect t="24839"/>
                          <a:stretch>
                            <a:fillRect/>
                          </a:stretch>
                        </pic:blipFill>
                        <pic:spPr>
                          <a:xfrm>
                            <a:off x="0" y="0"/>
                            <a:ext cx="2155190" cy="2879725"/>
                          </a:xfrm>
                          <a:prstGeom prst="rect">
                            <a:avLst/>
                          </a:prstGeom>
                        </pic:spPr>
                      </pic:pic>
                    </a:graphicData>
                  </a:graphic>
                </wp:inline>
              </w:drawing>
            </w:r>
          </w:p>
        </w:tc>
      </w:tr>
      <w:tr w14:paraId="0B39C3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jc w:val="center"/>
        </w:trPr>
        <w:tc>
          <w:tcPr>
            <w:tcW w:w="4596" w:type="dxa"/>
            <w:vAlign w:val="center"/>
          </w:tcPr>
          <w:p w14:paraId="50306940">
            <w:pPr>
              <w:ind w:firstLine="0" w:firstLineChars="0"/>
              <w:jc w:val="center"/>
              <w:rPr>
                <w:rFonts w:ascii="仿宋_GB2312" w:hAnsi="宋体"/>
                <w:bCs/>
                <w:sz w:val="28"/>
                <w:szCs w:val="28"/>
              </w:rPr>
            </w:pPr>
            <w:r>
              <w:rPr>
                <w:rFonts w:hint="eastAsia" w:ascii="仿宋_GB2312" w:hAnsi="宋体"/>
                <w:bCs/>
                <w:sz w:val="28"/>
                <w:szCs w:val="28"/>
              </w:rPr>
              <w:t>图2 无纺布容器育苗</w:t>
            </w:r>
          </w:p>
        </w:tc>
        <w:tc>
          <w:tcPr>
            <w:tcW w:w="4578" w:type="dxa"/>
            <w:vAlign w:val="center"/>
          </w:tcPr>
          <w:p w14:paraId="1974B07D">
            <w:pPr>
              <w:ind w:firstLine="0" w:firstLineChars="0"/>
              <w:jc w:val="center"/>
              <w:rPr>
                <w:rFonts w:ascii="仿宋_GB2312" w:hAnsi="宋体"/>
                <w:bCs/>
                <w:sz w:val="28"/>
                <w:szCs w:val="28"/>
              </w:rPr>
            </w:pPr>
            <w:r>
              <w:rPr>
                <w:rFonts w:hint="eastAsia" w:ascii="仿宋_GB2312" w:hAnsi="宋体"/>
                <w:bCs/>
                <w:sz w:val="28"/>
                <w:szCs w:val="28"/>
              </w:rPr>
              <w:t>图3 硬塑料杯育苗</w:t>
            </w:r>
          </w:p>
        </w:tc>
      </w:tr>
    </w:tbl>
    <w:p w14:paraId="2DB822E2">
      <w:pPr>
        <w:ind w:firstLine="640"/>
      </w:pPr>
      <w:r>
        <w:rPr>
          <w:rFonts w:hint="eastAsia" w:ascii="仿宋_GB2312" w:hAnsi="宋体"/>
          <w:bCs/>
          <w:szCs w:val="32"/>
        </w:rPr>
        <w:t>除了容器类型之外，容器的尺寸也影响育苗效果，按照行业标准《LY/T 1000  容器育苗技术》要求，育苗容器大小根据苗木培育规格来确定。在保证造林成效的前提下,尽量采用小规格容器,在条件恶劣的地区,可适当加大容器规格过小的规格。香子含笑一般育苗时间12月左右，苗高45cm左右，根据苗木规格一般选择</w:t>
      </w:r>
      <w:r>
        <w:rPr>
          <w:rFonts w:hint="eastAsia"/>
        </w:rPr>
        <w:t>直径10cm、高15cm的容器即可满足要求。</w:t>
      </w:r>
    </w:p>
    <w:p w14:paraId="01D44B30">
      <w:pPr>
        <w:ind w:firstLine="640"/>
      </w:pPr>
      <w:r>
        <w:rPr>
          <w:rFonts w:hint="eastAsia"/>
        </w:rPr>
        <w:t>2.2育苗基质</w:t>
      </w:r>
    </w:p>
    <w:p w14:paraId="58CCFAD4">
      <w:pPr>
        <w:ind w:firstLine="640"/>
      </w:pPr>
      <w:r>
        <w:rPr>
          <w:rFonts w:hint="eastAsia"/>
        </w:rPr>
        <w:t>根据</w:t>
      </w:r>
      <w:r>
        <w:rPr>
          <w:rFonts w:hint="eastAsia" w:ascii="仿宋_GB2312" w:hAnsi="宋体"/>
          <w:bCs/>
          <w:szCs w:val="32"/>
        </w:rPr>
        <w:t>《LY/T 1000  容器育苗技术》中内容，</w:t>
      </w:r>
      <w:r>
        <w:rPr>
          <w:rFonts w:hint="eastAsia"/>
        </w:rPr>
        <w:t>容器育苗用的基质应因地制宜</w:t>
      </w:r>
      <w:r>
        <w:rPr>
          <w:rFonts w:hint="eastAsia"/>
          <w:lang w:eastAsia="zh-CN"/>
        </w:rPr>
        <w:t>，</w:t>
      </w:r>
      <w:r>
        <w:rPr>
          <w:rFonts w:hint="eastAsia"/>
        </w:rPr>
        <w:t>就地取材并具备下列条件：来源广，成本较低；理化性状良好，保湿、通气、透水；重量轻,不带病原菌、虫卵和杂草种子、石块等杂物。</w:t>
      </w:r>
    </w:p>
    <w:p w14:paraId="0D98C2D4">
      <w:pPr>
        <w:ind w:firstLine="640"/>
        <w:rPr>
          <w:rFonts w:hint="eastAsia"/>
        </w:rPr>
      </w:pPr>
      <w:r>
        <w:rPr>
          <w:rFonts w:hint="eastAsia"/>
        </w:rPr>
        <w:t>起草单位广西壮族自治区国有七坡林场在《不同基质处理对一年生香梓楠容器苗生长的影响》中，</w:t>
      </w:r>
      <w:r>
        <w:t>将黄心土、松树皮、轻基质三种物质作为原材料</w:t>
      </w:r>
      <w:r>
        <w:rPr>
          <w:rFonts w:hint="eastAsia"/>
        </w:rPr>
        <w:t>，</w:t>
      </w:r>
      <w:r>
        <w:t>配比成四种基质进行香楠育苗，对香梓楠容器苗的地径、苗高和根系数量进行比较分析</w:t>
      </w:r>
      <w:r>
        <w:rPr>
          <w:rFonts w:hint="eastAsia"/>
        </w:rPr>
        <w:t>，</w:t>
      </w:r>
      <w:r>
        <w:t>并综合评价不同基质处理容器苗的质量</w:t>
      </w:r>
      <w:r>
        <w:rPr>
          <w:rFonts w:hint="eastAsia"/>
        </w:rPr>
        <w:t>。</w:t>
      </w:r>
    </w:p>
    <w:p w14:paraId="50F12E38">
      <w:pPr>
        <w:pStyle w:val="2"/>
        <w:rPr>
          <w:rFonts w:hint="eastAsia"/>
        </w:rPr>
      </w:pPr>
    </w:p>
    <w:p w14:paraId="0813E64E">
      <w:pPr>
        <w:snapToGrid w:val="0"/>
        <w:ind w:firstLine="0" w:firstLineChars="0"/>
        <w:jc w:val="center"/>
        <w:rPr>
          <w:sz w:val="28"/>
          <w:szCs w:val="22"/>
        </w:rPr>
      </w:pPr>
      <w:r>
        <w:rPr>
          <w:rFonts w:hint="eastAsia"/>
          <w:sz w:val="28"/>
          <w:szCs w:val="22"/>
        </w:rPr>
        <w:t xml:space="preserve">表2 </w:t>
      </w:r>
      <w:r>
        <w:rPr>
          <w:sz w:val="28"/>
          <w:szCs w:val="22"/>
        </w:rPr>
        <w:t>不同基质处理一年生香梓楠幼苗根系生长情况比较</w:t>
      </w:r>
    </w:p>
    <w:p w14:paraId="343BCBF0">
      <w:pPr>
        <w:adjustRightInd w:val="0"/>
        <w:snapToGrid w:val="0"/>
        <w:ind w:firstLine="0" w:firstLineChars="0"/>
        <w:jc w:val="center"/>
      </w:pPr>
      <w:r>
        <w:rPr>
          <w:rFonts w:hint="eastAsia"/>
          <w:sz w:val="28"/>
          <w:szCs w:val="22"/>
        </w:rPr>
        <w:t>[来源：不同基质处理对一年生香梓楠容器苗生长的影响]</w:t>
      </w:r>
    </w:p>
    <w:p w14:paraId="7A1D8EE6">
      <w:pPr>
        <w:adjustRightInd w:val="0"/>
        <w:snapToGrid w:val="0"/>
        <w:ind w:firstLine="0" w:firstLineChars="0"/>
        <w:jc w:val="center"/>
      </w:pPr>
      <w:r>
        <w:drawing>
          <wp:inline distT="0" distB="0" distL="114300" distR="114300">
            <wp:extent cx="4482465" cy="2099310"/>
            <wp:effectExtent l="0" t="0" r="13335" b="15240"/>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2"/>
                    <a:stretch>
                      <a:fillRect/>
                    </a:stretch>
                  </pic:blipFill>
                  <pic:spPr>
                    <a:xfrm>
                      <a:off x="0" y="0"/>
                      <a:ext cx="4482465" cy="2099310"/>
                    </a:xfrm>
                    <a:prstGeom prst="rect">
                      <a:avLst/>
                    </a:prstGeom>
                    <a:noFill/>
                    <a:ln>
                      <a:noFill/>
                    </a:ln>
                  </pic:spPr>
                </pic:pic>
              </a:graphicData>
            </a:graphic>
          </wp:inline>
        </w:drawing>
      </w:r>
    </w:p>
    <w:p w14:paraId="78815BF1">
      <w:pPr>
        <w:adjustRightInd w:val="0"/>
        <w:snapToGrid w:val="0"/>
        <w:ind w:firstLine="0" w:firstLineChars="0"/>
        <w:jc w:val="center"/>
      </w:pPr>
    </w:p>
    <w:p w14:paraId="0CEED5C4">
      <w:pPr>
        <w:pStyle w:val="2"/>
      </w:pPr>
    </w:p>
    <w:p w14:paraId="761E80AE">
      <w:pPr>
        <w:adjustRightInd w:val="0"/>
        <w:snapToGrid w:val="0"/>
        <w:ind w:firstLine="0" w:firstLineChars="0"/>
        <w:jc w:val="center"/>
        <w:rPr>
          <w:sz w:val="28"/>
          <w:szCs w:val="22"/>
        </w:rPr>
      </w:pPr>
      <w:r>
        <w:rPr>
          <w:rFonts w:hint="eastAsia"/>
          <w:sz w:val="28"/>
          <w:szCs w:val="22"/>
        </w:rPr>
        <w:t>表3 不同基质处理一年生香梓楠幼苗苗高和地径生长情况比较</w:t>
      </w:r>
    </w:p>
    <w:p w14:paraId="69413AED">
      <w:pPr>
        <w:adjustRightInd w:val="0"/>
        <w:ind w:firstLine="0" w:firstLineChars="0"/>
        <w:jc w:val="center"/>
      </w:pPr>
      <w:r>
        <w:rPr>
          <w:rFonts w:hint="eastAsia"/>
          <w:sz w:val="28"/>
          <w:szCs w:val="22"/>
        </w:rPr>
        <w:t>[来源：不同基质处理对一年生香梓楠容器苗生长的影响]</w:t>
      </w:r>
    </w:p>
    <w:p w14:paraId="52125B0C">
      <w:pPr>
        <w:ind w:firstLine="0" w:firstLineChars="0"/>
        <w:jc w:val="center"/>
      </w:pPr>
      <w:r>
        <w:drawing>
          <wp:inline distT="0" distB="0" distL="114300" distR="114300">
            <wp:extent cx="4772025" cy="1666875"/>
            <wp:effectExtent l="0" t="0" r="9525" b="9525"/>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3"/>
                    <a:stretch>
                      <a:fillRect/>
                    </a:stretch>
                  </pic:blipFill>
                  <pic:spPr>
                    <a:xfrm>
                      <a:off x="0" y="0"/>
                      <a:ext cx="4772025" cy="1666875"/>
                    </a:xfrm>
                    <a:prstGeom prst="rect">
                      <a:avLst/>
                    </a:prstGeom>
                    <a:noFill/>
                    <a:ln>
                      <a:noFill/>
                    </a:ln>
                  </pic:spPr>
                </pic:pic>
              </a:graphicData>
            </a:graphic>
          </wp:inline>
        </w:drawing>
      </w:r>
    </w:p>
    <w:p w14:paraId="40A0467D">
      <w:pPr>
        <w:ind w:firstLine="640"/>
      </w:pPr>
      <w:r>
        <w:t>结果表明不同基质处理对香梓楠容器苗地径生长影响差异显著、对根系数量影响差异极显著。其中，基质为纯轻基质时</w:t>
      </w:r>
      <w:r>
        <w:rPr>
          <w:rFonts w:hint="eastAsia"/>
        </w:rPr>
        <w:t>，</w:t>
      </w:r>
      <w:r>
        <w:t>有利于香梓楠容器苗的苗高增长</w:t>
      </w:r>
      <w:r>
        <w:rPr>
          <w:rFonts w:hint="eastAsia"/>
        </w:rPr>
        <w:t>；</w:t>
      </w:r>
      <w:r>
        <w:t>基质配比为黄心土</w:t>
      </w:r>
      <w:r>
        <w:rPr>
          <w:rFonts w:hint="eastAsia"/>
        </w:rPr>
        <w:t>：</w:t>
      </w:r>
      <w:r>
        <w:t>轻基质=1</w:t>
      </w:r>
      <w:r>
        <w:rPr>
          <w:rFonts w:hint="eastAsia"/>
        </w:rPr>
        <w:t>：</w:t>
      </w:r>
      <w:r>
        <w:t>1时</w:t>
      </w:r>
      <w:r>
        <w:rPr>
          <w:rFonts w:hint="eastAsia"/>
        </w:rPr>
        <w:t>，</w:t>
      </w:r>
      <w:r>
        <w:t>有利于香楠容器苗的地径增长</w:t>
      </w:r>
      <w:r>
        <w:rPr>
          <w:rFonts w:hint="eastAsia"/>
        </w:rPr>
        <w:t>：</w:t>
      </w:r>
      <w:r>
        <w:t>基质配比为黄心土</w:t>
      </w:r>
      <w:r>
        <w:rPr>
          <w:rFonts w:hint="eastAsia"/>
        </w:rPr>
        <w:t>：</w:t>
      </w:r>
      <w:r>
        <w:t>松树皮=1</w:t>
      </w:r>
      <w:r>
        <w:rPr>
          <w:rFonts w:hint="eastAsia"/>
        </w:rPr>
        <w:t>：</w:t>
      </w:r>
      <w:r>
        <w:t>1时,有利于香梓楠容器苗的根系生长。</w:t>
      </w:r>
      <w:r>
        <w:rPr>
          <w:rFonts w:hint="eastAsia"/>
        </w:rPr>
        <w:t>基于现有基质配比研究资料，综合对比分析后，配置了基质为</w:t>
      </w:r>
      <w:r>
        <w:rPr>
          <w:rFonts w:hint="eastAsia"/>
          <w:lang w:val="en-US" w:eastAsia="zh-CN"/>
        </w:rPr>
        <w:t>黄心</w:t>
      </w:r>
      <w:r>
        <w:rPr>
          <w:rFonts w:hint="eastAsia"/>
        </w:rPr>
        <w:t>土：泥炭土：椰糠=</w:t>
      </w:r>
      <w:r>
        <w:rPr>
          <w:rFonts w:hint="eastAsia"/>
          <w:lang w:val="en-US" w:eastAsia="zh-CN"/>
        </w:rPr>
        <w:t>10</w:t>
      </w:r>
      <w:r>
        <w:rPr>
          <w:rFonts w:hint="eastAsia"/>
        </w:rPr>
        <w:t>：3∶</w:t>
      </w:r>
      <w:r>
        <w:rPr>
          <w:rFonts w:hint="eastAsia"/>
          <w:lang w:val="en-US" w:eastAsia="zh-CN"/>
        </w:rPr>
        <w:t>7</w:t>
      </w:r>
      <w:r>
        <w:rPr>
          <w:rFonts w:hint="eastAsia"/>
        </w:rPr>
        <w:t>进行育苗。</w:t>
      </w:r>
    </w:p>
    <w:p w14:paraId="578F8604">
      <w:pPr>
        <w:ind w:firstLine="640"/>
        <w:rPr>
          <w:rFonts w:ascii="仿宋_GB2312" w:hAnsi="宋体"/>
          <w:szCs w:val="32"/>
        </w:rPr>
      </w:pPr>
      <w:r>
        <w:rPr>
          <w:rFonts w:hint="eastAsia" w:ascii="仿宋_GB2312" w:hAnsi="宋体"/>
          <w:szCs w:val="32"/>
        </w:rPr>
        <w:t>（三）采种与处理</w:t>
      </w:r>
    </w:p>
    <w:p w14:paraId="1C534924">
      <w:pPr>
        <w:ind w:firstLine="640"/>
        <w:rPr>
          <w:rFonts w:ascii="仿宋_GB2312" w:hAnsi="宋体"/>
          <w:szCs w:val="32"/>
        </w:rPr>
      </w:pPr>
      <w:r>
        <w:rPr>
          <w:rFonts w:hint="eastAsia" w:ascii="仿宋_GB2312" w:hAnsi="宋体"/>
          <w:szCs w:val="32"/>
        </w:rPr>
        <w:t>3.1种子采收</w:t>
      </w:r>
    </w:p>
    <w:p w14:paraId="2683BECC">
      <w:pPr>
        <w:ind w:firstLine="640"/>
        <w:rPr>
          <w:rFonts w:ascii="仿宋_GB2312" w:hAnsi="宋体"/>
          <w:szCs w:val="32"/>
        </w:rPr>
      </w:pPr>
      <w:r>
        <w:rPr>
          <w:rFonts w:hint="eastAsia" w:ascii="仿宋_GB2312" w:hAnsi="宋体"/>
          <w:szCs w:val="32"/>
        </w:rPr>
        <w:t>香子含笑</w:t>
      </w:r>
      <w:r>
        <w:rPr>
          <w:rFonts w:ascii="仿宋_GB2312" w:hAnsi="宋体"/>
          <w:szCs w:val="32"/>
        </w:rPr>
        <w:t>以种子繁殖为主</w:t>
      </w:r>
      <w:r>
        <w:rPr>
          <w:rFonts w:hint="eastAsia" w:ascii="仿宋_GB2312" w:hAnsi="宋体"/>
          <w:szCs w:val="32"/>
        </w:rPr>
        <w:t>，其在12月至次年1-2月开黄色花，当年10月果熟时聚合果易开裂脱落，因此香子含笑种子采收一般在10月份。此时采摘回来的种子已经接近自然裂开阶段，只需推开风干自然开裂后，取出种子。《GB/T 16619  林木采种技术》中对于林木种子采集准备、采集技术要求以及注意事项进行了规定，一般林木种子采集无特殊要求的可直接按照国家标准要求执行。</w:t>
      </w:r>
    </w:p>
    <w:p w14:paraId="28BD2CDC">
      <w:pPr>
        <w:ind w:firstLine="640"/>
        <w:rPr>
          <w:rFonts w:ascii="仿宋_GB2312" w:hAnsi="宋体"/>
          <w:szCs w:val="32"/>
        </w:rPr>
      </w:pPr>
      <w:r>
        <w:rPr>
          <w:rFonts w:hint="eastAsia" w:ascii="仿宋_GB2312" w:hAnsi="宋体"/>
          <w:szCs w:val="32"/>
        </w:rPr>
        <w:t>3.2种子处理</w:t>
      </w:r>
    </w:p>
    <w:p w14:paraId="3D87CEA0">
      <w:pPr>
        <w:ind w:firstLine="640"/>
        <w:rPr>
          <w:rFonts w:ascii="仿宋_GB2312" w:hAnsi="宋体"/>
          <w:szCs w:val="32"/>
        </w:rPr>
      </w:pPr>
      <w:r>
        <w:rPr>
          <w:rFonts w:ascii="仿宋_GB2312" w:hAnsi="宋体"/>
          <w:szCs w:val="32"/>
        </w:rPr>
        <w:t>种子有较多水分及油脂，</w:t>
      </w:r>
      <w:r>
        <w:rPr>
          <w:rFonts w:hint="eastAsia" w:ascii="仿宋_GB2312" w:hAnsi="宋体"/>
          <w:szCs w:val="32"/>
        </w:rPr>
        <w:t>采</w:t>
      </w:r>
      <w:r>
        <w:rPr>
          <w:rFonts w:ascii="仿宋_GB2312" w:hAnsi="宋体"/>
          <w:szCs w:val="32"/>
        </w:rPr>
        <w:t>收后应即用粗沙搓去假种皮，以免发霉变质，随即播种，发芽率高。</w:t>
      </w:r>
      <w:r>
        <w:rPr>
          <w:rFonts w:hint="eastAsia" w:ascii="仿宋_GB2312" w:hAnsi="宋体"/>
          <w:szCs w:val="32"/>
        </w:rPr>
        <w:t>《</w:t>
      </w:r>
      <w:r>
        <w:rPr>
          <w:rFonts w:ascii="仿宋_GB2312" w:hAnsi="宋体"/>
          <w:szCs w:val="32"/>
        </w:rPr>
        <w:t>GB 2772  林木种子检验规程</w:t>
      </w:r>
      <w:r>
        <w:rPr>
          <w:rFonts w:hint="eastAsia" w:ascii="仿宋_GB2312" w:hAnsi="宋体"/>
          <w:szCs w:val="32"/>
        </w:rPr>
        <w:t>》可用于林木种子生产者、经营管理者和使用者在种子采收、调运、播种、贮藏以及国内外贸易时所进行的种子质量的检验，权威性高、适用性广泛，其中规定的指标、方法能够保证香子含笑种子的质量要求。</w:t>
      </w:r>
    </w:p>
    <w:p w14:paraId="530A2F93">
      <w:pPr>
        <w:ind w:firstLine="640"/>
        <w:rPr>
          <w:rFonts w:ascii="仿宋_GB2312" w:hAnsi="宋体"/>
          <w:szCs w:val="32"/>
        </w:rPr>
      </w:pPr>
      <w:r>
        <w:rPr>
          <w:rFonts w:hint="eastAsia" w:ascii="仿宋_GB2312" w:hAnsi="宋体"/>
          <w:szCs w:val="32"/>
        </w:rPr>
        <w:t>（四）播种和移植</w:t>
      </w:r>
    </w:p>
    <w:p w14:paraId="321B519F">
      <w:pPr>
        <w:ind w:firstLine="640"/>
        <w:rPr>
          <w:rFonts w:ascii="仿宋_GB2312" w:hAnsi="宋体"/>
          <w:szCs w:val="32"/>
        </w:rPr>
      </w:pPr>
      <w:r>
        <w:rPr>
          <w:rFonts w:hint="eastAsia" w:ascii="仿宋_GB2312" w:hAnsi="宋体"/>
          <w:szCs w:val="32"/>
        </w:rPr>
        <w:t>4.1播种前准备</w:t>
      </w:r>
    </w:p>
    <w:p w14:paraId="28242ED3">
      <w:pPr>
        <w:ind w:firstLine="640"/>
        <w:rPr>
          <w:rFonts w:ascii="仿宋_GB2312" w:hAnsi="宋体"/>
          <w:szCs w:val="32"/>
        </w:rPr>
      </w:pPr>
      <w:r>
        <w:rPr>
          <w:rFonts w:hint="eastAsia" w:ascii="仿宋_GB2312" w:hAnsi="宋体"/>
          <w:szCs w:val="32"/>
        </w:rPr>
        <w:t>播种前需要为种子萌发和幼苗生长创造稳定、无菌且水气协调的物理环境，提升种子的发芽率和成苗率。</w:t>
      </w:r>
    </w:p>
    <w:p w14:paraId="7B171926">
      <w:pPr>
        <w:ind w:firstLine="640"/>
        <w:rPr>
          <w:rFonts w:ascii="仿宋_GB2312" w:hAnsi="宋体"/>
          <w:szCs w:val="32"/>
        </w:rPr>
      </w:pPr>
      <w:r>
        <w:rPr>
          <w:rFonts w:hint="eastAsia" w:ascii="仿宋_GB2312" w:hAnsi="宋体"/>
          <w:szCs w:val="32"/>
        </w:rPr>
        <w:t>沙床规格设置宽1米并铺5cm河沙，方便后续人工操作时能够覆盖整个沙床，同时平衡保水与排水，厚度过薄易干，过厚易积水。播种前需清水淋洗，去除杂质与粉尘，确保沙床清洁，减少杂质对发芽干扰。种子消毒主要目的是消除种皮带菌风险，提高发芽率与成苗率。常用的多菌灵800倍液是使用广泛、高效、低毒杀菌剂，能有效防治多种真菌病害，并且消毒后需清水清洗后阴干，避免药剂残留影响发芽，防止种子过湿导致腐烂。</w:t>
      </w:r>
    </w:p>
    <w:p w14:paraId="13E8B113">
      <w:pPr>
        <w:ind w:firstLine="640"/>
        <w:rPr>
          <w:rFonts w:ascii="仿宋_GB2312" w:hAnsi="宋体"/>
          <w:szCs w:val="32"/>
        </w:rPr>
      </w:pPr>
      <w:r>
        <w:rPr>
          <w:rFonts w:hint="eastAsia" w:ascii="仿宋_GB2312" w:hAnsi="宋体"/>
          <w:szCs w:val="32"/>
        </w:rPr>
        <w:t>4.2播种</w:t>
      </w:r>
    </w:p>
    <w:p w14:paraId="53C02A95">
      <w:pPr>
        <w:ind w:firstLine="640"/>
        <w:rPr>
          <w:rFonts w:ascii="仿宋_GB2312" w:hAnsi="宋体"/>
          <w:szCs w:val="32"/>
        </w:rPr>
      </w:pPr>
      <w:r>
        <w:rPr>
          <w:rFonts w:hint="eastAsia" w:ascii="仿宋_GB2312" w:hAnsi="宋体"/>
          <w:szCs w:val="32"/>
        </w:rPr>
        <w:t>根据上述描述的香子含笑种子特性，最好能够随采随播增加发芽率。香子含笑种子通常较小，香子含笑播种</w:t>
      </w:r>
      <w:r>
        <w:rPr>
          <w:rFonts w:ascii="仿宋_GB2312" w:hAnsi="宋体"/>
          <w:szCs w:val="32"/>
        </w:rPr>
        <w:t>一般条播或撒播于畦面沙床</w:t>
      </w:r>
      <w:r>
        <w:rPr>
          <w:rFonts w:hint="eastAsia" w:ascii="仿宋_GB2312" w:hAnsi="宋体"/>
          <w:szCs w:val="32"/>
        </w:rPr>
        <w:t>，覆土0.5cm～0.6cm主要起保湿、防晒、防鸟兽作用。覆土过厚会导致种子缺氧难以萌芽，甚至腐烂；过薄则易导致种子干燥或根系暴露，多一般以不见种子为度。播种后应视天气情况和湿润程度适当增减淋水次数和水量，保持沙床湿润，及时清除病株、杂草。</w:t>
      </w:r>
    </w:p>
    <w:p w14:paraId="13420A22">
      <w:pPr>
        <w:ind w:firstLine="640"/>
        <w:jc w:val="left"/>
        <w:rPr>
          <w:rFonts w:ascii="仿宋_GB2312" w:hAnsi="宋体"/>
          <w:szCs w:val="32"/>
        </w:rPr>
      </w:pPr>
      <w:r>
        <w:rPr>
          <w:rFonts w:hint="eastAsia" w:ascii="仿宋_GB2312" w:hAnsi="宋体"/>
          <w:szCs w:val="32"/>
        </w:rPr>
        <w:t>4.3芽苗移植</w:t>
      </w:r>
    </w:p>
    <w:p w14:paraId="62791601">
      <w:pPr>
        <w:ind w:firstLine="640"/>
        <w:jc w:val="left"/>
        <w:rPr>
          <w:rFonts w:ascii="仿宋_GB2312" w:hAnsi="宋体"/>
          <w:szCs w:val="32"/>
        </w:rPr>
      </w:pPr>
      <w:r>
        <w:rPr>
          <w:rFonts w:hint="eastAsia" w:ascii="仿宋_GB2312" w:hAnsi="宋体"/>
          <w:szCs w:val="32"/>
        </w:rPr>
        <w:t>当</w:t>
      </w:r>
      <w:r>
        <w:rPr>
          <w:rFonts w:ascii="仿宋_GB2312" w:hAnsi="宋体"/>
          <w:szCs w:val="32"/>
        </w:rPr>
        <w:t>幼苗长出2～3片真叶时</w:t>
      </w:r>
      <w:r>
        <w:rPr>
          <w:rFonts w:hint="eastAsia" w:ascii="仿宋_GB2312" w:hAnsi="宋体"/>
          <w:szCs w:val="32"/>
        </w:rPr>
        <w:t>，此时</w:t>
      </w:r>
      <w:r>
        <w:rPr>
          <w:rFonts w:ascii="仿宋_GB2312" w:hAnsi="宋体"/>
          <w:szCs w:val="32"/>
        </w:rPr>
        <w:t>幼苗具备一定抗逆性，侧根开始发育，移栽成活率</w:t>
      </w:r>
      <w:r>
        <w:rPr>
          <w:rFonts w:hint="eastAsia" w:ascii="仿宋_GB2312" w:hAnsi="宋体"/>
          <w:szCs w:val="32"/>
        </w:rPr>
        <w:t>较</w:t>
      </w:r>
      <w:r>
        <w:rPr>
          <w:rFonts w:ascii="仿宋_GB2312" w:hAnsi="宋体"/>
          <w:szCs w:val="32"/>
        </w:rPr>
        <w:t>高。起苗</w:t>
      </w:r>
      <w:r>
        <w:rPr>
          <w:rFonts w:hint="eastAsia" w:ascii="仿宋_GB2312" w:hAnsi="宋体"/>
          <w:szCs w:val="32"/>
        </w:rPr>
        <w:t>时</w:t>
      </w:r>
      <w:r>
        <w:rPr>
          <w:rFonts w:ascii="仿宋_GB2312" w:hAnsi="宋体"/>
          <w:szCs w:val="32"/>
        </w:rPr>
        <w:t>先轻挑起芽苗，放入保湿托盘</w:t>
      </w:r>
      <w:r>
        <w:rPr>
          <w:rFonts w:hint="eastAsia" w:ascii="仿宋_GB2312" w:hAnsi="宋体"/>
          <w:szCs w:val="32"/>
        </w:rPr>
        <w:t>，可以</w:t>
      </w:r>
      <w:r>
        <w:rPr>
          <w:rFonts w:ascii="仿宋_GB2312" w:hAnsi="宋体"/>
          <w:szCs w:val="32"/>
        </w:rPr>
        <w:t>避免损伤根系，防止幼苗失水，保持活力。栽植</w:t>
      </w:r>
      <w:r>
        <w:rPr>
          <w:rFonts w:hint="eastAsia" w:ascii="仿宋_GB2312" w:hAnsi="宋体"/>
          <w:szCs w:val="32"/>
        </w:rPr>
        <w:t>前在</w:t>
      </w:r>
      <w:r>
        <w:rPr>
          <w:rFonts w:ascii="仿宋_GB2312" w:hAnsi="宋体"/>
          <w:szCs w:val="32"/>
        </w:rPr>
        <w:t>容器中间打一个与根系等深小孔</w:t>
      </w:r>
      <w:r>
        <w:rPr>
          <w:rFonts w:hint="eastAsia" w:ascii="仿宋_GB2312" w:hAnsi="宋体"/>
          <w:szCs w:val="32"/>
        </w:rPr>
        <w:t>，可以</w:t>
      </w:r>
      <w:r>
        <w:rPr>
          <w:rFonts w:ascii="仿宋_GB2312" w:hAnsi="宋体"/>
          <w:szCs w:val="32"/>
        </w:rPr>
        <w:t>为根系伸展提供适当空间，防止栽植过深或过浅。将芽苗插入小孔</w:t>
      </w:r>
      <w:r>
        <w:rPr>
          <w:rFonts w:hint="eastAsia" w:ascii="仿宋_GB2312" w:hAnsi="宋体"/>
          <w:szCs w:val="32"/>
        </w:rPr>
        <w:t>后</w:t>
      </w:r>
      <w:r>
        <w:rPr>
          <w:rFonts w:ascii="仿宋_GB2312" w:hAnsi="宋体"/>
          <w:szCs w:val="32"/>
        </w:rPr>
        <w:t>，用竹签轻插基质并挤压</w:t>
      </w:r>
      <w:r>
        <w:rPr>
          <w:rFonts w:hint="eastAsia" w:ascii="仿宋_GB2312" w:hAnsi="宋体"/>
          <w:szCs w:val="32"/>
        </w:rPr>
        <w:t>，</w:t>
      </w:r>
      <w:r>
        <w:rPr>
          <w:rFonts w:ascii="仿宋_GB2312" w:hAnsi="宋体"/>
          <w:szCs w:val="32"/>
        </w:rPr>
        <w:t>确保根系与基质紧密接触，</w:t>
      </w:r>
      <w:r>
        <w:rPr>
          <w:rFonts w:hint="eastAsia" w:ascii="仿宋_GB2312" w:hAnsi="宋体"/>
          <w:szCs w:val="32"/>
        </w:rPr>
        <w:t>有</w:t>
      </w:r>
      <w:r>
        <w:rPr>
          <w:rFonts w:ascii="仿宋_GB2312" w:hAnsi="宋体"/>
          <w:szCs w:val="32"/>
        </w:rPr>
        <w:t>利于水分和养分吸收。栽</w:t>
      </w:r>
      <w:r>
        <w:rPr>
          <w:rFonts w:hint="eastAsia" w:ascii="仿宋_GB2312" w:hAnsi="宋体"/>
          <w:szCs w:val="32"/>
        </w:rPr>
        <w:t>移植后</w:t>
      </w:r>
      <w:r>
        <w:rPr>
          <w:rFonts w:ascii="仿宋_GB2312" w:hAnsi="宋体"/>
          <w:szCs w:val="32"/>
        </w:rPr>
        <w:t>淋透水，确保水分供应，</w:t>
      </w:r>
      <w:r>
        <w:rPr>
          <w:rFonts w:hint="eastAsia" w:ascii="仿宋_GB2312" w:hAnsi="宋体"/>
          <w:szCs w:val="32"/>
        </w:rPr>
        <w:t>并移入</w:t>
      </w:r>
      <w:r>
        <w:rPr>
          <w:rFonts w:ascii="仿宋_GB2312" w:hAnsi="宋体"/>
          <w:szCs w:val="32"/>
        </w:rPr>
        <w:t>大棚环境提供稳定适宜的生长条件</w:t>
      </w:r>
      <w:r>
        <w:rPr>
          <w:rFonts w:hint="eastAsia" w:ascii="仿宋_GB2312" w:hAnsi="宋体"/>
          <w:szCs w:val="32"/>
        </w:rPr>
        <w:t>。</w:t>
      </w:r>
    </w:p>
    <w:p w14:paraId="38F5CA72">
      <w:pPr>
        <w:ind w:firstLine="640"/>
        <w:rPr>
          <w:rFonts w:ascii="仿宋_GB2312" w:hAnsi="宋体"/>
          <w:szCs w:val="32"/>
        </w:rPr>
      </w:pPr>
      <w:r>
        <w:rPr>
          <w:rFonts w:hint="eastAsia" w:ascii="仿宋_GB2312" w:hAnsi="宋体"/>
          <w:szCs w:val="32"/>
        </w:rPr>
        <w:t>（五）苗期管理</w:t>
      </w:r>
    </w:p>
    <w:p w14:paraId="73B6AD16">
      <w:pPr>
        <w:ind w:firstLine="640"/>
        <w:rPr>
          <w:rFonts w:ascii="仿宋_GB2312" w:hAnsi="宋体"/>
          <w:szCs w:val="32"/>
        </w:rPr>
      </w:pPr>
      <w:r>
        <w:rPr>
          <w:rFonts w:hint="eastAsia" w:ascii="仿宋_GB2312" w:hAnsi="宋体"/>
          <w:szCs w:val="32"/>
        </w:rPr>
        <w:t>5.1水分</w:t>
      </w:r>
      <w:r>
        <w:rPr>
          <w:rFonts w:hint="eastAsia" w:ascii="仿宋_GB2312" w:hAnsi="宋体"/>
          <w:szCs w:val="32"/>
          <w:lang w:val="en-US" w:eastAsia="zh-CN"/>
        </w:rPr>
        <w:t>和光照</w:t>
      </w:r>
      <w:r>
        <w:rPr>
          <w:rFonts w:hint="eastAsia" w:ascii="仿宋_GB2312" w:hAnsi="宋体"/>
          <w:szCs w:val="32"/>
        </w:rPr>
        <w:t>管理</w:t>
      </w:r>
    </w:p>
    <w:p w14:paraId="4F11E74F">
      <w:pPr>
        <w:ind w:firstLine="640"/>
        <w:rPr>
          <w:rFonts w:ascii="仿宋_GB2312" w:hAnsi="宋体"/>
          <w:szCs w:val="32"/>
        </w:rPr>
      </w:pPr>
      <w:r>
        <w:rPr>
          <w:rFonts w:hint="eastAsia" w:ascii="仿宋_GB2312" w:hAnsi="宋体"/>
          <w:szCs w:val="32"/>
        </w:rPr>
        <w:t>香子含笑种子较小，种子破壳后生长出来的小苗幼嫩，管理细致对芽苗的生长很重要，床面应经常保持湿润，早晚喷水2～3次/天，有效减少水分蒸发损失。因此要注意天气情况和基质湿润程度适当增减淋水次数和水量，以基质湿润而不滴水为宜。</w:t>
      </w:r>
    </w:p>
    <w:p w14:paraId="2099FCD8">
      <w:pPr>
        <w:ind w:firstLine="0" w:firstLineChars="0"/>
        <w:jc w:val="center"/>
      </w:pPr>
      <w:r>
        <w:drawing>
          <wp:inline distT="0" distB="0" distL="114300" distR="114300">
            <wp:extent cx="2315210" cy="2870835"/>
            <wp:effectExtent l="0" t="0" r="8890" b="571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4"/>
                    <a:stretch>
                      <a:fillRect/>
                    </a:stretch>
                  </pic:blipFill>
                  <pic:spPr>
                    <a:xfrm>
                      <a:off x="0" y="0"/>
                      <a:ext cx="2315210" cy="2870835"/>
                    </a:xfrm>
                    <a:prstGeom prst="rect">
                      <a:avLst/>
                    </a:prstGeom>
                    <a:noFill/>
                    <a:ln>
                      <a:noFill/>
                    </a:ln>
                  </pic:spPr>
                </pic:pic>
              </a:graphicData>
            </a:graphic>
          </wp:inline>
        </w:drawing>
      </w:r>
    </w:p>
    <w:p w14:paraId="111F99BA">
      <w:pPr>
        <w:ind w:firstLine="0" w:firstLineChars="0"/>
        <w:jc w:val="center"/>
        <w:rPr>
          <w:sz w:val="28"/>
          <w:szCs w:val="22"/>
        </w:rPr>
      </w:pPr>
      <w:r>
        <w:rPr>
          <w:rFonts w:hint="eastAsia"/>
          <w:sz w:val="28"/>
          <w:szCs w:val="22"/>
        </w:rPr>
        <w:t>图5 幼苗浇水</w:t>
      </w:r>
    </w:p>
    <w:p w14:paraId="2E13DFCE">
      <w:pPr>
        <w:ind w:firstLine="640"/>
        <w:rPr>
          <w:rFonts w:ascii="仿宋_GB2312" w:hAnsi="宋体"/>
          <w:szCs w:val="32"/>
        </w:rPr>
      </w:pPr>
      <w:r>
        <w:rPr>
          <w:rFonts w:hint="eastAsia" w:ascii="仿宋_GB2312" w:hAnsi="宋体"/>
          <w:szCs w:val="32"/>
        </w:rPr>
        <w:t>光是植物生长发育的必要条件之一,也是光合作用的主要能量来源。光照强度通常决定光的能量供应,其变化对植物形态建成、光合作用、生长生理特性及生物量积累等方面均具有重要影响，香子含笑受遮遮荫度影响也较大。基于此，广西大学选取1年生香子含笑实生苗为研究对象，设置4种不同遮阴度(0，25%，50%，75%)处理，对不同遮阴度下幼苗生长及光合生理特性指标进行测定，为香子含笑苗期培育中光环境选择等提供理论参考，不同遮阴度主要影响香子含笑生长情况主要见表4、表5、图6。</w:t>
      </w:r>
    </w:p>
    <w:p w14:paraId="1B09B48A">
      <w:pPr>
        <w:adjustRightInd w:val="0"/>
        <w:snapToGrid w:val="0"/>
        <w:ind w:firstLine="0" w:firstLineChars="0"/>
        <w:jc w:val="center"/>
        <w:rPr>
          <w:sz w:val="28"/>
          <w:szCs w:val="22"/>
        </w:rPr>
      </w:pPr>
      <w:r>
        <w:rPr>
          <w:rFonts w:hint="eastAsia"/>
          <w:sz w:val="28"/>
          <w:szCs w:val="22"/>
        </w:rPr>
        <w:t>表4 不同遮阴度对幼苗生长的影响</w:t>
      </w:r>
    </w:p>
    <w:p w14:paraId="794EE671">
      <w:pPr>
        <w:adjustRightInd w:val="0"/>
        <w:snapToGrid w:val="0"/>
        <w:ind w:firstLine="0" w:firstLineChars="0"/>
        <w:jc w:val="center"/>
        <w:rPr>
          <w:sz w:val="28"/>
          <w:szCs w:val="22"/>
        </w:rPr>
      </w:pPr>
      <w:r>
        <w:rPr>
          <w:rFonts w:hint="eastAsia"/>
          <w:sz w:val="28"/>
          <w:szCs w:val="22"/>
        </w:rPr>
        <w:t>[来源：不同遮阴度对香子含笑幼苗生长及光合生理特性的影响]</w:t>
      </w:r>
    </w:p>
    <w:p w14:paraId="29513D86">
      <w:pPr>
        <w:ind w:firstLine="0" w:firstLineChars="0"/>
        <w:jc w:val="center"/>
      </w:pPr>
      <w:r>
        <w:drawing>
          <wp:inline distT="0" distB="0" distL="114300" distR="114300">
            <wp:extent cx="4596765" cy="1681480"/>
            <wp:effectExtent l="0" t="0" r="13335" b="13970"/>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5"/>
                    <a:stretch>
                      <a:fillRect/>
                    </a:stretch>
                  </pic:blipFill>
                  <pic:spPr>
                    <a:xfrm>
                      <a:off x="0" y="0"/>
                      <a:ext cx="4596765" cy="1681480"/>
                    </a:xfrm>
                    <a:prstGeom prst="rect">
                      <a:avLst/>
                    </a:prstGeom>
                    <a:noFill/>
                    <a:ln>
                      <a:noFill/>
                    </a:ln>
                  </pic:spPr>
                </pic:pic>
              </a:graphicData>
            </a:graphic>
          </wp:inline>
        </w:drawing>
      </w:r>
    </w:p>
    <w:p w14:paraId="4D7DD444">
      <w:pPr>
        <w:adjustRightInd w:val="0"/>
        <w:snapToGrid w:val="0"/>
        <w:spacing w:before="156" w:beforeLines="50"/>
        <w:ind w:firstLine="0" w:firstLineChars="0"/>
        <w:jc w:val="center"/>
        <w:rPr>
          <w:sz w:val="28"/>
          <w:szCs w:val="22"/>
        </w:rPr>
      </w:pPr>
      <w:r>
        <w:rPr>
          <w:rFonts w:hint="eastAsia"/>
          <w:sz w:val="28"/>
          <w:szCs w:val="22"/>
        </w:rPr>
        <w:t xml:space="preserve">表5 </w:t>
      </w:r>
      <w:r>
        <w:rPr>
          <w:sz w:val="28"/>
          <w:szCs w:val="22"/>
        </w:rPr>
        <w:t>不同遮阴度对幼苗生物量的影响</w:t>
      </w:r>
    </w:p>
    <w:p w14:paraId="59336F7B">
      <w:pPr>
        <w:adjustRightInd w:val="0"/>
        <w:snapToGrid w:val="0"/>
        <w:ind w:firstLine="0" w:firstLineChars="0"/>
        <w:jc w:val="center"/>
        <w:rPr>
          <w:sz w:val="28"/>
          <w:szCs w:val="22"/>
        </w:rPr>
      </w:pPr>
      <w:r>
        <w:rPr>
          <w:rFonts w:hint="eastAsia"/>
          <w:sz w:val="28"/>
          <w:szCs w:val="22"/>
        </w:rPr>
        <w:t>[来源：不同遮阴度对香子含笑幼苗生长及光合生理特性的影响]</w:t>
      </w:r>
    </w:p>
    <w:p w14:paraId="709F9FA6">
      <w:pPr>
        <w:ind w:firstLine="0" w:firstLineChars="0"/>
        <w:jc w:val="center"/>
      </w:pPr>
      <w:r>
        <w:drawing>
          <wp:inline distT="0" distB="0" distL="114300" distR="114300">
            <wp:extent cx="5681980" cy="1773555"/>
            <wp:effectExtent l="0" t="0" r="13970" b="17145"/>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16"/>
                    <a:stretch>
                      <a:fillRect/>
                    </a:stretch>
                  </pic:blipFill>
                  <pic:spPr>
                    <a:xfrm>
                      <a:off x="0" y="0"/>
                      <a:ext cx="5681980" cy="1773555"/>
                    </a:xfrm>
                    <a:prstGeom prst="rect">
                      <a:avLst/>
                    </a:prstGeom>
                    <a:noFill/>
                    <a:ln>
                      <a:noFill/>
                    </a:ln>
                  </pic:spPr>
                </pic:pic>
              </a:graphicData>
            </a:graphic>
          </wp:inline>
        </w:drawing>
      </w:r>
    </w:p>
    <w:p w14:paraId="2AB19A0A">
      <w:pPr>
        <w:ind w:firstLine="0" w:firstLineChars="0"/>
        <w:jc w:val="center"/>
        <w:rPr>
          <w:sz w:val="28"/>
          <w:szCs w:val="22"/>
        </w:rPr>
      </w:pPr>
      <w:r>
        <w:drawing>
          <wp:inline distT="0" distB="0" distL="114300" distR="114300">
            <wp:extent cx="3366135" cy="2723515"/>
            <wp:effectExtent l="0" t="0" r="5715" b="635"/>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17"/>
                    <a:stretch>
                      <a:fillRect/>
                    </a:stretch>
                  </pic:blipFill>
                  <pic:spPr>
                    <a:xfrm>
                      <a:off x="0" y="0"/>
                      <a:ext cx="3366135" cy="2723515"/>
                    </a:xfrm>
                    <a:prstGeom prst="rect">
                      <a:avLst/>
                    </a:prstGeom>
                    <a:noFill/>
                    <a:ln>
                      <a:noFill/>
                    </a:ln>
                  </pic:spPr>
                </pic:pic>
              </a:graphicData>
            </a:graphic>
          </wp:inline>
        </w:drawing>
      </w:r>
    </w:p>
    <w:p w14:paraId="0EEFF289">
      <w:pPr>
        <w:ind w:firstLine="0" w:firstLineChars="0"/>
        <w:jc w:val="center"/>
        <w:rPr>
          <w:sz w:val="28"/>
          <w:szCs w:val="22"/>
        </w:rPr>
      </w:pPr>
      <w:r>
        <w:rPr>
          <w:rFonts w:hint="eastAsia"/>
          <w:sz w:val="28"/>
          <w:szCs w:val="22"/>
        </w:rPr>
        <w:t xml:space="preserve">图4 </w:t>
      </w:r>
      <w:r>
        <w:rPr>
          <w:sz w:val="28"/>
          <w:szCs w:val="22"/>
        </w:rPr>
        <w:t>不同遮阴度对幼苗叶绿素含量的影响</w:t>
      </w:r>
    </w:p>
    <w:p w14:paraId="4CC4C7D9">
      <w:pPr>
        <w:ind w:firstLine="640"/>
        <w:jc w:val="left"/>
        <w:rPr>
          <w:rFonts w:ascii="仿宋_GB2312" w:hAnsi="宋体"/>
          <w:szCs w:val="32"/>
        </w:rPr>
      </w:pPr>
      <w:r>
        <w:rPr>
          <w:rFonts w:hint="eastAsia" w:ascii="仿宋_GB2312" w:hAnsi="宋体"/>
          <w:szCs w:val="32"/>
        </w:rPr>
        <w:t>试验结果表明:(1)各项指标在不同遮阴度处理间均存在显著差异，其中25%遮阴度处理下幼苗生长及光合指标较对照均有显著提高;但75%遮阴度导致幼苗死亡。(2)随遮阴度增加，幼苗苗高增量、地径增量、高径比、叶面积、叶长、叶宽、苗木质量指数及各部位生物量均呈先上升后下降趋势，其中在25%遮阴度处理条件下各指标最优:叶绿素a及总叶绿素含量呈先降低后升高趋势，叶绿素ab逐渐降低，叶绿素b含量和水分利用效率逐渐升高;瞬时光合指标及叶绿素荧光参数呈先上升后下降趋势，并在25%遮阴度下达到最优值。(3)通过对生长指标和光合指标进行相关性分析，发现茎干重与光合指标间具有较强的相关性。</w:t>
      </w:r>
    </w:p>
    <w:p w14:paraId="0368C883">
      <w:pPr>
        <w:ind w:firstLine="640"/>
        <w:jc w:val="left"/>
        <w:rPr>
          <w:rFonts w:hint="eastAsia" w:ascii="仿宋_GB2312" w:hAnsi="宋体"/>
          <w:szCs w:val="32"/>
        </w:rPr>
      </w:pPr>
      <w:r>
        <w:rPr>
          <w:rFonts w:hint="eastAsia" w:ascii="仿宋_GB2312" w:hAnsi="宋体"/>
          <w:szCs w:val="32"/>
        </w:rPr>
        <w:t>综上，25%遮阴度条件下幼苗生长、生物量积累及光合作用在所有处理中表现最佳，适宜香子含笑生长。</w:t>
      </w:r>
    </w:p>
    <w:p w14:paraId="33D38117">
      <w:pPr>
        <w:ind w:firstLine="640"/>
        <w:rPr>
          <w:rFonts w:ascii="仿宋_GB2312" w:hAnsi="宋体"/>
          <w:szCs w:val="32"/>
        </w:rPr>
      </w:pPr>
      <w:r>
        <w:rPr>
          <w:rFonts w:hint="eastAsia" w:ascii="仿宋_GB2312" w:hAnsi="宋体"/>
          <w:szCs w:val="32"/>
        </w:rPr>
        <w:t>5.2施肥管理</w:t>
      </w:r>
    </w:p>
    <w:p w14:paraId="27C61E64">
      <w:pPr>
        <w:ind w:firstLine="640"/>
        <w:rPr>
          <w:rFonts w:ascii="仿宋_GB2312" w:hAnsi="宋体"/>
          <w:szCs w:val="32"/>
        </w:rPr>
      </w:pPr>
      <w:r>
        <w:rPr>
          <w:rFonts w:ascii="仿宋_GB2312" w:hAnsi="宋体"/>
          <w:szCs w:val="32"/>
        </w:rPr>
        <w:t>芽苗生长30天进行首次施肥，之后每半月施肥一次，整个生长季施肥8～10次。</w:t>
      </w:r>
      <w:r>
        <w:rPr>
          <w:rFonts w:hint="eastAsia" w:ascii="仿宋_GB2312" w:hAnsi="宋体"/>
          <w:szCs w:val="32"/>
        </w:rPr>
        <w:t>香子含笑施肥</w:t>
      </w:r>
      <w:r>
        <w:rPr>
          <w:rFonts w:ascii="仿宋_GB2312" w:hAnsi="宋体"/>
          <w:szCs w:val="32"/>
        </w:rPr>
        <w:t>前期</w:t>
      </w:r>
      <w:r>
        <w:rPr>
          <w:rFonts w:hint="eastAsia" w:ascii="仿宋_GB2312" w:hAnsi="宋体"/>
          <w:szCs w:val="32"/>
        </w:rPr>
        <w:t>以</w:t>
      </w:r>
      <w:r>
        <w:rPr>
          <w:rFonts w:ascii="仿宋_GB2312" w:hAnsi="宋体"/>
          <w:szCs w:val="32"/>
        </w:rPr>
        <w:t>促营养生长（茎叶）</w:t>
      </w:r>
      <w:r>
        <w:rPr>
          <w:rFonts w:hint="eastAsia" w:ascii="仿宋_GB2312" w:hAnsi="宋体"/>
          <w:szCs w:val="32"/>
        </w:rPr>
        <w:t>为主</w:t>
      </w:r>
      <w:r>
        <w:rPr>
          <w:rFonts w:ascii="仿宋_GB2312" w:hAnsi="宋体"/>
          <w:szCs w:val="32"/>
        </w:rPr>
        <w:t>，后期</w:t>
      </w:r>
      <w:r>
        <w:rPr>
          <w:rFonts w:hint="eastAsia" w:ascii="仿宋_GB2312" w:hAnsi="宋体"/>
          <w:szCs w:val="32"/>
        </w:rPr>
        <w:t>以</w:t>
      </w:r>
      <w:r>
        <w:rPr>
          <w:rFonts w:ascii="仿宋_GB2312" w:hAnsi="宋体"/>
          <w:szCs w:val="32"/>
        </w:rPr>
        <w:t>促组织充实和抗性</w:t>
      </w:r>
      <w:r>
        <w:rPr>
          <w:rFonts w:hint="eastAsia" w:ascii="仿宋_GB2312" w:hAnsi="宋体"/>
          <w:szCs w:val="32"/>
        </w:rPr>
        <w:t>为主，因此</w:t>
      </w:r>
      <w:r>
        <w:rPr>
          <w:rFonts w:ascii="仿宋_GB2312" w:hAnsi="宋体"/>
          <w:szCs w:val="32"/>
        </w:rPr>
        <w:t>前期以氮肥、复合肥为主，后期增施磷肥、钾肥。</w:t>
      </w:r>
      <w:r>
        <w:rPr>
          <w:rFonts w:hint="eastAsia" w:ascii="仿宋_GB2312" w:hAnsi="宋体"/>
          <w:szCs w:val="32"/>
        </w:rPr>
        <w:t>而且</w:t>
      </w:r>
      <w:r>
        <w:rPr>
          <w:rFonts w:ascii="仿宋_GB2312" w:hAnsi="宋体"/>
          <w:szCs w:val="32"/>
        </w:rPr>
        <w:t>幼根脆弱，</w:t>
      </w:r>
      <w:r>
        <w:rPr>
          <w:rFonts w:hint="eastAsia" w:ascii="仿宋_GB2312" w:hAnsi="宋体"/>
          <w:szCs w:val="32"/>
        </w:rPr>
        <w:t>通过</w:t>
      </w:r>
      <w:r>
        <w:rPr>
          <w:rFonts w:ascii="仿宋_GB2312" w:hAnsi="宋体"/>
          <w:szCs w:val="32"/>
        </w:rPr>
        <w:t>低浓度</w:t>
      </w:r>
      <w:r>
        <w:rPr>
          <w:rFonts w:hint="eastAsia" w:ascii="仿宋_GB2312" w:hAnsi="宋体"/>
          <w:szCs w:val="32"/>
        </w:rPr>
        <w:t>逐步过度</w:t>
      </w:r>
      <w:r>
        <w:rPr>
          <w:rFonts w:ascii="仿宋_GB2312" w:hAnsi="宋体"/>
          <w:szCs w:val="32"/>
        </w:rPr>
        <w:t>防</w:t>
      </w:r>
      <w:r>
        <w:rPr>
          <w:rFonts w:hint="eastAsia" w:ascii="仿宋_GB2312" w:hAnsi="宋体"/>
          <w:szCs w:val="32"/>
        </w:rPr>
        <w:t>止</w:t>
      </w:r>
      <w:r>
        <w:rPr>
          <w:rFonts w:ascii="仿宋_GB2312" w:hAnsi="宋体"/>
          <w:szCs w:val="32"/>
        </w:rPr>
        <w:t>烧苗，随苗生长耐受力提高逐步增加</w:t>
      </w:r>
      <w:r>
        <w:rPr>
          <w:rFonts w:hint="eastAsia" w:ascii="仿宋_GB2312" w:hAnsi="宋体"/>
          <w:szCs w:val="32"/>
        </w:rPr>
        <w:t>，</w:t>
      </w:r>
      <w:r>
        <w:rPr>
          <w:rFonts w:ascii="仿宋_GB2312" w:hAnsi="宋体"/>
          <w:szCs w:val="32"/>
        </w:rPr>
        <w:t>首次施肥浓度小于0.1％，后续根据生长情况浓度增至0.5％～1％。</w:t>
      </w:r>
      <w:r>
        <w:rPr>
          <w:rFonts w:hint="eastAsia" w:ascii="仿宋_GB2312" w:hAnsi="宋体"/>
          <w:szCs w:val="32"/>
        </w:rPr>
        <w:t>高温和低温时段不适宜施肥，一般下午三点后再进行施肥工作。</w:t>
      </w:r>
    </w:p>
    <w:p w14:paraId="5350F8BF">
      <w:pPr>
        <w:ind w:firstLine="640"/>
        <w:rPr>
          <w:rFonts w:ascii="仿宋_GB2312" w:hAnsi="宋体"/>
          <w:szCs w:val="32"/>
        </w:rPr>
      </w:pPr>
      <w:r>
        <w:rPr>
          <w:rFonts w:hint="eastAsia" w:ascii="仿宋_GB2312" w:hAnsi="宋体"/>
          <w:szCs w:val="32"/>
        </w:rPr>
        <w:t>（六）病虫害防治</w:t>
      </w:r>
    </w:p>
    <w:p w14:paraId="0808A1C2">
      <w:pPr>
        <w:ind w:firstLine="640"/>
        <w:rPr>
          <w:rFonts w:ascii="仿宋_GB2312" w:hAnsi="宋体"/>
          <w:szCs w:val="32"/>
        </w:rPr>
      </w:pPr>
      <w:r>
        <w:rPr>
          <w:rFonts w:hint="eastAsia" w:ascii="仿宋_GB2312" w:hAnsi="宋体"/>
          <w:szCs w:val="32"/>
        </w:rPr>
        <w:t>香子含笑育苗主要病害有：炭疽病、立枯病、根腐病；主要虫害有：蚜虫、潜叶虫、卷叶螟等。病害和虫害放置方法根据实际育苗过程普遍采用的方法，增加适用性，具体消毒方法见表6。</w:t>
      </w:r>
    </w:p>
    <w:p w14:paraId="4C835517">
      <w:pPr>
        <w:spacing w:before="156" w:beforeLines="50"/>
        <w:ind w:firstLine="0" w:firstLineChars="0"/>
        <w:jc w:val="center"/>
      </w:pPr>
      <w:r>
        <w:drawing>
          <wp:inline distT="0" distB="0" distL="114300" distR="114300">
            <wp:extent cx="1487805" cy="1977390"/>
            <wp:effectExtent l="0" t="0" r="17145" b="381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8"/>
                    <a:stretch>
                      <a:fillRect/>
                    </a:stretch>
                  </pic:blipFill>
                  <pic:spPr>
                    <a:xfrm>
                      <a:off x="0" y="0"/>
                      <a:ext cx="1487805" cy="1977390"/>
                    </a:xfrm>
                    <a:prstGeom prst="rect">
                      <a:avLst/>
                    </a:prstGeom>
                    <a:noFill/>
                    <a:ln>
                      <a:noFill/>
                    </a:ln>
                  </pic:spPr>
                </pic:pic>
              </a:graphicData>
            </a:graphic>
          </wp:inline>
        </w:drawing>
      </w:r>
      <w:r>
        <w:rPr>
          <w:rFonts w:hint="eastAsia"/>
        </w:rPr>
        <w:t xml:space="preserve">     </w:t>
      </w:r>
      <w:r>
        <w:drawing>
          <wp:inline distT="0" distB="0" distL="114300" distR="114300">
            <wp:extent cx="1342390" cy="1973580"/>
            <wp:effectExtent l="0" t="0" r="10160" b="7620"/>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19"/>
                    <a:stretch>
                      <a:fillRect/>
                    </a:stretch>
                  </pic:blipFill>
                  <pic:spPr>
                    <a:xfrm>
                      <a:off x="0" y="0"/>
                      <a:ext cx="1342390" cy="1973580"/>
                    </a:xfrm>
                    <a:prstGeom prst="rect">
                      <a:avLst/>
                    </a:prstGeom>
                    <a:noFill/>
                    <a:ln>
                      <a:noFill/>
                    </a:ln>
                  </pic:spPr>
                </pic:pic>
              </a:graphicData>
            </a:graphic>
          </wp:inline>
        </w:drawing>
      </w:r>
      <w:bookmarkStart w:id="4" w:name="_GoBack"/>
      <w:bookmarkEnd w:id="4"/>
    </w:p>
    <w:p w14:paraId="7CDB18C5">
      <w:pPr>
        <w:ind w:firstLine="0" w:firstLineChars="0"/>
        <w:jc w:val="center"/>
        <w:rPr>
          <w:sz w:val="28"/>
          <w:szCs w:val="22"/>
        </w:rPr>
      </w:pPr>
      <w:r>
        <w:rPr>
          <w:rFonts w:hint="eastAsia"/>
          <w:sz w:val="28"/>
          <w:szCs w:val="22"/>
        </w:rPr>
        <w:t>图6 香子含笑幼苗病株</w:t>
      </w:r>
    </w:p>
    <w:p w14:paraId="0427C737">
      <w:pPr>
        <w:pStyle w:val="40"/>
        <w:numPr>
          <w:ilvl w:val="1"/>
          <w:numId w:val="0"/>
        </w:numPr>
        <w:spacing w:before="156" w:afterLines="0"/>
        <w:rPr>
          <w:rFonts w:ascii="仿宋_GB2312" w:hAnsi="宋体" w:eastAsia="仿宋_GB2312"/>
          <w:kern w:val="2"/>
          <w:sz w:val="28"/>
          <w:szCs w:val="28"/>
        </w:rPr>
      </w:pPr>
      <w:r>
        <w:rPr>
          <w:rFonts w:hint="eastAsia" w:ascii="仿宋_GB2312" w:hAnsi="宋体" w:eastAsia="仿宋_GB2312"/>
          <w:kern w:val="2"/>
          <w:sz w:val="28"/>
          <w:szCs w:val="28"/>
        </w:rPr>
        <w:t>表6 病虫害防治方法</w:t>
      </w:r>
    </w:p>
    <w:tbl>
      <w:tblPr>
        <w:tblStyle w:val="10"/>
        <w:tblW w:w="9374"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2546"/>
        <w:gridCol w:w="6828"/>
      </w:tblGrid>
      <w:tr w14:paraId="450B85F2">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2546" w:type="dxa"/>
            <w:tcBorders>
              <w:top w:val="single" w:color="auto" w:sz="8" w:space="0"/>
              <w:bottom w:val="single" w:color="auto" w:sz="8" w:space="0"/>
            </w:tcBorders>
            <w:vAlign w:val="center"/>
          </w:tcPr>
          <w:p w14:paraId="460926E0">
            <w:pPr>
              <w:pStyle w:val="39"/>
              <w:rPr>
                <w:rFonts w:ascii="仿宋_GB2312" w:hAnsi="仿宋_GB2312" w:eastAsia="仿宋_GB2312" w:cs="仿宋_GB2312"/>
                <w:sz w:val="24"/>
                <w:szCs w:val="28"/>
              </w:rPr>
            </w:pPr>
            <w:r>
              <w:rPr>
                <w:rFonts w:hint="eastAsia" w:ascii="仿宋_GB2312" w:hAnsi="仿宋_GB2312" w:eastAsia="仿宋_GB2312" w:cs="仿宋_GB2312"/>
                <w:sz w:val="24"/>
                <w:szCs w:val="28"/>
              </w:rPr>
              <w:t>防治对象</w:t>
            </w:r>
          </w:p>
        </w:tc>
        <w:tc>
          <w:tcPr>
            <w:tcW w:w="6828" w:type="dxa"/>
            <w:tcBorders>
              <w:top w:val="single" w:color="auto" w:sz="8" w:space="0"/>
              <w:bottom w:val="single" w:color="auto" w:sz="8" w:space="0"/>
            </w:tcBorders>
            <w:vAlign w:val="center"/>
          </w:tcPr>
          <w:p w14:paraId="55947594">
            <w:pPr>
              <w:pStyle w:val="39"/>
              <w:rPr>
                <w:rFonts w:ascii="仿宋_GB2312" w:hAnsi="仿宋_GB2312" w:eastAsia="仿宋_GB2312" w:cs="仿宋_GB2312"/>
                <w:sz w:val="24"/>
                <w:szCs w:val="28"/>
              </w:rPr>
            </w:pPr>
            <w:r>
              <w:rPr>
                <w:rFonts w:hint="eastAsia" w:ascii="仿宋_GB2312" w:hAnsi="仿宋_GB2312" w:eastAsia="仿宋_GB2312" w:cs="仿宋_GB2312"/>
                <w:sz w:val="24"/>
                <w:szCs w:val="28"/>
              </w:rPr>
              <w:t>防治方法</w:t>
            </w:r>
          </w:p>
        </w:tc>
      </w:tr>
      <w:tr w14:paraId="10FF539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546" w:type="dxa"/>
            <w:vAlign w:val="center"/>
          </w:tcPr>
          <w:p w14:paraId="0A11B305">
            <w:pPr>
              <w:pStyle w:val="39"/>
              <w:rPr>
                <w:rFonts w:ascii="仿宋_GB2312" w:hAnsi="仿宋_GB2312" w:eastAsia="仿宋_GB2312" w:cs="仿宋_GB2312"/>
                <w:sz w:val="24"/>
                <w:szCs w:val="28"/>
              </w:rPr>
            </w:pPr>
            <w:r>
              <w:rPr>
                <w:rFonts w:hint="eastAsia" w:ascii="仿宋_GB2312" w:hAnsi="仿宋_GB2312" w:eastAsia="仿宋_GB2312" w:cs="仿宋_GB2312"/>
                <w:sz w:val="24"/>
                <w:szCs w:val="28"/>
              </w:rPr>
              <w:t>炭疽病</w:t>
            </w:r>
          </w:p>
        </w:tc>
        <w:tc>
          <w:tcPr>
            <w:tcW w:w="6828" w:type="dxa"/>
            <w:vAlign w:val="center"/>
          </w:tcPr>
          <w:p w14:paraId="75C2FB39">
            <w:pPr>
              <w:pStyle w:val="39"/>
              <w:jc w:val="left"/>
              <w:rPr>
                <w:rFonts w:ascii="仿宋_GB2312" w:hAnsi="仿宋_GB2312" w:eastAsia="仿宋_GB2312" w:cs="仿宋_GB2312"/>
                <w:sz w:val="24"/>
                <w:szCs w:val="28"/>
              </w:rPr>
            </w:pPr>
            <w:r>
              <w:rPr>
                <w:rFonts w:hint="eastAsia" w:ascii="仿宋_GB2312" w:hAnsi="仿宋_GB2312" w:eastAsia="仿宋_GB2312" w:cs="仿宋_GB2312"/>
                <w:sz w:val="24"/>
                <w:szCs w:val="28"/>
              </w:rPr>
              <w:t>用70％甲基托布津可湿性粉剂1500倍液，新高脂膜，50％苯来特可湿性粉剂800倍液喷雾，7～8天喷一次；或50％多菌灵800倍液、1％波尔多液、75％百菌清500倍液，每8～15天喷一次</w:t>
            </w:r>
          </w:p>
        </w:tc>
      </w:tr>
      <w:tr w14:paraId="2D035C7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546" w:type="dxa"/>
            <w:vAlign w:val="center"/>
          </w:tcPr>
          <w:p w14:paraId="011163A2">
            <w:pPr>
              <w:pStyle w:val="39"/>
              <w:rPr>
                <w:rFonts w:ascii="仿宋_GB2312" w:hAnsi="仿宋_GB2312" w:eastAsia="仿宋_GB2312" w:cs="仿宋_GB2312"/>
                <w:sz w:val="24"/>
                <w:szCs w:val="28"/>
              </w:rPr>
            </w:pPr>
            <w:bookmarkStart w:id="2" w:name="_Hlk203407977"/>
            <w:r>
              <w:rPr>
                <w:rFonts w:hint="eastAsia" w:ascii="仿宋_GB2312" w:hAnsi="仿宋_GB2312" w:eastAsia="仿宋_GB2312" w:cs="仿宋_GB2312"/>
                <w:sz w:val="24"/>
                <w:szCs w:val="28"/>
              </w:rPr>
              <w:t>立枯病</w:t>
            </w:r>
          </w:p>
        </w:tc>
        <w:tc>
          <w:tcPr>
            <w:tcW w:w="6828" w:type="dxa"/>
            <w:vAlign w:val="center"/>
          </w:tcPr>
          <w:p w14:paraId="36B75B8C">
            <w:pPr>
              <w:pStyle w:val="39"/>
              <w:jc w:val="left"/>
              <w:rPr>
                <w:rFonts w:ascii="仿宋_GB2312" w:hAnsi="仿宋_GB2312" w:eastAsia="仿宋_GB2312" w:cs="仿宋_GB2312"/>
                <w:sz w:val="24"/>
                <w:szCs w:val="28"/>
              </w:rPr>
            </w:pPr>
            <w:r>
              <w:rPr>
                <w:rFonts w:hint="eastAsia" w:ascii="仿宋_GB2312" w:hAnsi="仿宋_GB2312" w:eastAsia="仿宋_GB2312" w:cs="仿宋_GB2312"/>
                <w:sz w:val="24"/>
                <w:szCs w:val="28"/>
              </w:rPr>
              <w:t>用0.5%的硫酸亚铁溶液或1000倍的等量式波尔多液，每10天喷洒一次；或使用800倍的退菌特药液，每7天喷洒一次</w:t>
            </w:r>
          </w:p>
        </w:tc>
      </w:tr>
      <w:tr w14:paraId="3FBF513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546" w:type="dxa"/>
            <w:vAlign w:val="center"/>
          </w:tcPr>
          <w:p w14:paraId="113C978C">
            <w:pPr>
              <w:pStyle w:val="39"/>
              <w:rPr>
                <w:rFonts w:ascii="仿宋_GB2312" w:hAnsi="仿宋_GB2312" w:eastAsia="仿宋_GB2312" w:cs="仿宋_GB2312"/>
                <w:sz w:val="24"/>
                <w:szCs w:val="28"/>
              </w:rPr>
            </w:pPr>
            <w:r>
              <w:rPr>
                <w:rFonts w:hint="eastAsia" w:ascii="仿宋_GB2312" w:hAnsi="仿宋_GB2312" w:eastAsia="仿宋_GB2312" w:cs="仿宋_GB2312"/>
                <w:sz w:val="24"/>
                <w:szCs w:val="28"/>
              </w:rPr>
              <w:t>根腐病</w:t>
            </w:r>
          </w:p>
        </w:tc>
        <w:tc>
          <w:tcPr>
            <w:tcW w:w="6828" w:type="dxa"/>
            <w:vAlign w:val="center"/>
          </w:tcPr>
          <w:p w14:paraId="74A24A2D">
            <w:pPr>
              <w:pStyle w:val="39"/>
              <w:jc w:val="left"/>
              <w:rPr>
                <w:rFonts w:ascii="仿宋_GB2312" w:hAnsi="仿宋_GB2312" w:eastAsia="仿宋_GB2312" w:cs="仿宋_GB2312"/>
                <w:sz w:val="24"/>
                <w:szCs w:val="28"/>
              </w:rPr>
            </w:pPr>
            <w:r>
              <w:rPr>
                <w:rFonts w:hint="eastAsia" w:ascii="仿宋_GB2312" w:hAnsi="仿宋_GB2312" w:eastAsia="仿宋_GB2312" w:cs="仿宋_GB2312"/>
                <w:sz w:val="24"/>
                <w:szCs w:val="28"/>
              </w:rPr>
              <w:t>苗木出土后，适当减少浇水，以减少发病；对已感染的病株，立即带土挖除，并在病株周围1米范围内进行土壤消毒，使用50%的苯来特可湿性粉剂1000倍液浇灌</w:t>
            </w:r>
          </w:p>
        </w:tc>
      </w:tr>
      <w:bookmarkEnd w:id="2"/>
      <w:tr w14:paraId="65CA55B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2546" w:type="dxa"/>
            <w:vAlign w:val="center"/>
          </w:tcPr>
          <w:p w14:paraId="3F017223">
            <w:pPr>
              <w:pStyle w:val="39"/>
              <w:rPr>
                <w:rFonts w:ascii="仿宋_GB2312" w:hAnsi="仿宋_GB2312" w:eastAsia="仿宋_GB2312" w:cs="仿宋_GB2312"/>
                <w:sz w:val="24"/>
                <w:szCs w:val="28"/>
              </w:rPr>
            </w:pPr>
            <w:r>
              <w:rPr>
                <w:rFonts w:hint="eastAsia" w:ascii="仿宋_GB2312" w:hAnsi="仿宋_GB2312" w:eastAsia="仿宋_GB2312" w:cs="仿宋_GB2312"/>
                <w:sz w:val="24"/>
                <w:szCs w:val="28"/>
              </w:rPr>
              <w:t>蚜虫、潜叶虫、卷叶螟</w:t>
            </w:r>
          </w:p>
        </w:tc>
        <w:tc>
          <w:tcPr>
            <w:tcW w:w="6828" w:type="dxa"/>
            <w:vAlign w:val="center"/>
          </w:tcPr>
          <w:p w14:paraId="2F4D7CE6">
            <w:pPr>
              <w:pStyle w:val="39"/>
              <w:jc w:val="left"/>
              <w:rPr>
                <w:rFonts w:ascii="仿宋_GB2312" w:hAnsi="仿宋_GB2312" w:eastAsia="仿宋_GB2312" w:cs="仿宋_GB2312"/>
                <w:sz w:val="24"/>
                <w:szCs w:val="28"/>
              </w:rPr>
            </w:pPr>
            <w:r>
              <w:rPr>
                <w:rFonts w:hint="eastAsia" w:ascii="仿宋_GB2312" w:hAnsi="仿宋_GB2312" w:eastAsia="仿宋_GB2312" w:cs="仿宋_GB2312"/>
                <w:sz w:val="24"/>
                <w:szCs w:val="28"/>
              </w:rPr>
              <w:t>晴天下午3点后，用90％敌百虫800倍液或乐斯本稀释液喷杀</w:t>
            </w:r>
          </w:p>
        </w:tc>
      </w:tr>
    </w:tbl>
    <w:p w14:paraId="309A45E6">
      <w:pPr>
        <w:spacing w:before="156" w:beforeLines="50"/>
        <w:ind w:firstLine="640"/>
        <w:rPr>
          <w:rFonts w:ascii="仿宋_GB2312" w:hAnsi="宋体"/>
          <w:szCs w:val="32"/>
          <w:lang w:val="zh-CN"/>
        </w:rPr>
      </w:pPr>
      <w:r>
        <w:rPr>
          <w:rFonts w:hint="eastAsia" w:ascii="仿宋_GB2312" w:hAnsi="宋体"/>
          <w:szCs w:val="32"/>
        </w:rPr>
        <w:t>（七）苗木分级和出圃</w:t>
      </w:r>
    </w:p>
    <w:p w14:paraId="61161DA5">
      <w:pPr>
        <w:ind w:firstLine="640"/>
        <w:rPr>
          <w:rFonts w:ascii="仿宋_GB2312" w:hAnsi="宋体"/>
          <w:szCs w:val="32"/>
        </w:rPr>
      </w:pPr>
      <w:r>
        <w:rPr>
          <w:rFonts w:hint="eastAsia" w:ascii="仿宋_GB2312" w:hAnsi="宋体"/>
          <w:szCs w:val="32"/>
        </w:rPr>
        <w:t>制定苗木分级标准时，要选择既容易测量，又能反映苗木质量的数量指标。目前，香梓楠容器苗苗木质量分级没有相关标准，根据《GB 6000  主要造林树种苗木质量分级》，苗高、地径和根系是苗木质量分级的重要指标。根据《LY/T 1000  容器育苗技术》中规定，容器苗出圃规格要根据树种、培育期限及造林立地条件等确定，出圃时苗木是否合格主要由苗高和地径来确定，其次还必须观察根系、根团等因素。结合以往的研究及工作经验，选择苗高、地径作为香梓楠容器苗苗木分级的数量指标。顶芽完整、无病虫害、生长健壮，苗高≥45cm，地径≥0.5cm的香子含笑幼苗可出圃；不合格苗需继续留在圃中培养。</w:t>
      </w:r>
    </w:p>
    <w:p w14:paraId="635F92D8">
      <w:pPr>
        <w:ind w:firstLine="640"/>
        <w:rPr>
          <w:rFonts w:ascii="仿宋_GB2312" w:hAnsi="宋体"/>
          <w:szCs w:val="32"/>
        </w:rPr>
      </w:pPr>
      <w:r>
        <w:rPr>
          <w:rFonts w:hint="eastAsia" w:ascii="仿宋_GB2312" w:hAnsi="宋体"/>
          <w:szCs w:val="32"/>
        </w:rPr>
        <w:t>起苗、苗木检验、档案管理等通用性要求按相应现有国家标准执行，起苗按GB/T 6001的规定执行，苗木检验按GB 6000的规定执行，档案管理按GB/T 6001的规定执行。</w:t>
      </w:r>
    </w:p>
    <w:p w14:paraId="0BCC37AE">
      <w:pPr>
        <w:ind w:firstLine="640"/>
        <w:jc w:val="center"/>
        <w:rPr>
          <w:rFonts w:ascii="仿宋_GB2312" w:hAnsi="宋体"/>
          <w:szCs w:val="32"/>
        </w:rPr>
      </w:pPr>
      <w:r>
        <w:rPr>
          <w:rFonts w:hint="eastAsia" w:ascii="仿宋_GB2312" w:hAnsi="宋体"/>
          <w:szCs w:val="32"/>
        </w:rPr>
        <w:drawing>
          <wp:inline distT="0" distB="0" distL="114300" distR="114300">
            <wp:extent cx="1781175" cy="2376170"/>
            <wp:effectExtent l="0" t="0" r="9525" b="5080"/>
            <wp:docPr id="14" name="图片 14" descr="上杯5个月的苗"/>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上杯5个月的苗"/>
                    <pic:cNvPicPr>
                      <a:picLocks noChangeAspect="1"/>
                    </pic:cNvPicPr>
                  </pic:nvPicPr>
                  <pic:blipFill>
                    <a:blip r:embed="rId20"/>
                    <a:stretch>
                      <a:fillRect/>
                    </a:stretch>
                  </pic:blipFill>
                  <pic:spPr>
                    <a:xfrm>
                      <a:off x="0" y="0"/>
                      <a:ext cx="1781175" cy="2376170"/>
                    </a:xfrm>
                    <a:prstGeom prst="rect">
                      <a:avLst/>
                    </a:prstGeom>
                  </pic:spPr>
                </pic:pic>
              </a:graphicData>
            </a:graphic>
          </wp:inline>
        </w:drawing>
      </w:r>
    </w:p>
    <w:p w14:paraId="2EED66F2">
      <w:pPr>
        <w:ind w:firstLine="560"/>
        <w:jc w:val="center"/>
        <w:rPr>
          <w:rFonts w:ascii="仿宋_GB2312" w:hAnsi="宋体"/>
          <w:sz w:val="28"/>
          <w:szCs w:val="28"/>
        </w:rPr>
      </w:pPr>
      <w:r>
        <w:rPr>
          <w:rFonts w:hint="eastAsia" w:ascii="仿宋_GB2312" w:hAnsi="宋体"/>
          <w:sz w:val="28"/>
          <w:szCs w:val="28"/>
        </w:rPr>
        <w:t>图7 苗期5月的香子含笑幼苗</w:t>
      </w:r>
    </w:p>
    <w:p w14:paraId="2B1656E1">
      <w:pPr>
        <w:autoSpaceDE w:val="0"/>
        <w:autoSpaceDN w:val="0"/>
        <w:adjustRightInd w:val="0"/>
        <w:spacing w:before="156" w:beforeLines="50" w:after="156" w:afterLines="50" w:line="560" w:lineRule="exact"/>
        <w:ind w:firstLine="640"/>
        <w:jc w:val="left"/>
        <w:rPr>
          <w:rFonts w:ascii="黑体" w:hAnsi="黑体" w:eastAsia="黑体" w:cs="仿宋_GB2312"/>
          <w:szCs w:val="32"/>
        </w:rPr>
      </w:pPr>
      <w:bookmarkStart w:id="3" w:name="_Toc526940086"/>
      <w:r>
        <w:rPr>
          <w:rFonts w:hint="eastAsia" w:ascii="黑体" w:hAnsi="黑体" w:eastAsia="黑体" w:cs="仿宋_GB2312"/>
          <w:szCs w:val="32"/>
        </w:rPr>
        <w:t>六、</w:t>
      </w:r>
      <w:bookmarkEnd w:id="3"/>
      <w:r>
        <w:rPr>
          <w:rFonts w:hint="eastAsia" w:ascii="黑体" w:hAnsi="黑体" w:eastAsia="黑体" w:cs="仿宋_GB2312"/>
          <w:szCs w:val="32"/>
        </w:rPr>
        <w:t>重大分歧意见的处理经过和依据</w:t>
      </w:r>
    </w:p>
    <w:p w14:paraId="5038B939">
      <w:pPr>
        <w:spacing w:line="560" w:lineRule="exact"/>
        <w:ind w:firstLine="640"/>
        <w:rPr>
          <w:rFonts w:ascii="仿宋_GB2312" w:hAnsi="宋体"/>
          <w:szCs w:val="28"/>
        </w:rPr>
      </w:pPr>
      <w:r>
        <w:rPr>
          <w:rFonts w:hint="eastAsia" w:ascii="仿宋_GB2312" w:hAnsi="宋体"/>
          <w:szCs w:val="28"/>
        </w:rPr>
        <w:t>本标准研制过程中无重大分歧意见。</w:t>
      </w:r>
    </w:p>
    <w:p w14:paraId="5D004554">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七</w:t>
      </w:r>
      <w:r>
        <w:rPr>
          <w:rFonts w:ascii="黑体" w:hAnsi="黑体" w:eastAsia="黑体" w:cs="仿宋_GB2312"/>
          <w:szCs w:val="32"/>
        </w:rPr>
        <w:t>、</w:t>
      </w:r>
      <w:r>
        <w:rPr>
          <w:rFonts w:hint="eastAsia" w:ascii="黑体" w:hAnsi="黑体" w:eastAsia="黑体" w:cs="仿宋_GB2312"/>
          <w:szCs w:val="32"/>
        </w:rPr>
        <w:t>实施标准的措施</w:t>
      </w:r>
    </w:p>
    <w:p w14:paraId="72D25C42">
      <w:pPr>
        <w:spacing w:line="560" w:lineRule="exact"/>
        <w:ind w:firstLine="643"/>
        <w:rPr>
          <w:rFonts w:ascii="仿宋_GB2312" w:hAnsi="宋体"/>
          <w:b/>
          <w:szCs w:val="28"/>
        </w:rPr>
      </w:pPr>
      <w:r>
        <w:rPr>
          <w:rFonts w:hint="eastAsia" w:ascii="仿宋_GB2312" w:hAnsi="宋体"/>
          <w:b/>
          <w:szCs w:val="28"/>
        </w:rPr>
        <w:t>（一）标准报批发布后，成立标准宣贯工作组</w:t>
      </w:r>
    </w:p>
    <w:p w14:paraId="410A3E23">
      <w:pPr>
        <w:spacing w:line="560" w:lineRule="exact"/>
        <w:ind w:firstLine="640"/>
        <w:rPr>
          <w:rFonts w:ascii="仿宋_GB2312" w:hAnsi="宋体"/>
          <w:szCs w:val="28"/>
        </w:rPr>
      </w:pPr>
      <w:r>
        <w:rPr>
          <w:rFonts w:hint="eastAsia" w:ascii="仿宋_GB2312" w:hAnsi="宋体"/>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14:paraId="68D67B29">
      <w:pPr>
        <w:spacing w:line="560" w:lineRule="exact"/>
        <w:ind w:firstLine="643"/>
        <w:rPr>
          <w:rFonts w:ascii="仿宋_GB2312" w:hAnsi="宋体"/>
          <w:b/>
          <w:szCs w:val="28"/>
        </w:rPr>
      </w:pPr>
      <w:r>
        <w:rPr>
          <w:rFonts w:hint="eastAsia" w:ascii="仿宋_GB2312" w:hAnsi="宋体"/>
          <w:b/>
          <w:szCs w:val="28"/>
        </w:rPr>
        <w:t>（二）组织开展标准宣贯培训</w:t>
      </w:r>
    </w:p>
    <w:p w14:paraId="2B4F8467">
      <w:pPr>
        <w:spacing w:line="560" w:lineRule="exact"/>
        <w:ind w:firstLine="640"/>
        <w:rPr>
          <w:rFonts w:ascii="仿宋_GB2312" w:hAnsi="宋体"/>
          <w:szCs w:val="28"/>
        </w:rPr>
      </w:pPr>
      <w:r>
        <w:rPr>
          <w:rFonts w:hint="eastAsia" w:ascii="仿宋_GB2312" w:hAnsi="宋体"/>
          <w:szCs w:val="28"/>
        </w:rPr>
        <w:t>标准发布实施后，标准宣贯工作小组制作标准解读宣贯培训PPT课件和标准核心技术明白书，并按标准宣贯培训计划深入各市县相关机构、单位开展标准宣贯培训，对标准进行逐条解读，让技术人员掌握标准核心内容，助力标准实施落地。</w:t>
      </w:r>
    </w:p>
    <w:p w14:paraId="2F31303A">
      <w:pPr>
        <w:spacing w:line="560" w:lineRule="exact"/>
        <w:ind w:firstLine="643"/>
        <w:rPr>
          <w:rFonts w:ascii="仿宋_GB2312" w:hAnsi="宋体"/>
          <w:b/>
          <w:szCs w:val="28"/>
        </w:rPr>
      </w:pPr>
      <w:r>
        <w:rPr>
          <w:rFonts w:hint="eastAsia" w:ascii="仿宋_GB2312" w:hAnsi="宋体"/>
          <w:b/>
          <w:szCs w:val="28"/>
        </w:rPr>
        <w:t>（三）开展标准实施交流会，收集标准实施反馈信息</w:t>
      </w:r>
    </w:p>
    <w:p w14:paraId="12EBEB75">
      <w:pPr>
        <w:spacing w:line="560" w:lineRule="exact"/>
        <w:ind w:firstLine="640"/>
        <w:rPr>
          <w:rFonts w:ascii="仿宋_GB2312" w:hAnsi="宋体"/>
          <w:szCs w:val="28"/>
        </w:rPr>
      </w:pPr>
      <w:r>
        <w:rPr>
          <w:rFonts w:hint="eastAsia" w:ascii="仿宋_GB2312" w:hAnsi="宋体"/>
          <w:szCs w:val="28"/>
        </w:rPr>
        <w:t>标准起草小组深入各市县相关机构、单位组织技术人员召开标准实施交流会，听取标准实施过程中存在的问题并做好记录和解答，对存在的问题组织专家团队进行研讨，为标准的复审修订做准备。</w:t>
      </w:r>
    </w:p>
    <w:p w14:paraId="1CB32520">
      <w:pPr>
        <w:spacing w:line="560" w:lineRule="exact"/>
        <w:ind w:firstLine="643"/>
        <w:rPr>
          <w:rFonts w:ascii="仿宋_GB2312" w:hAnsi="宋体"/>
          <w:b/>
          <w:szCs w:val="28"/>
        </w:rPr>
      </w:pPr>
      <w:r>
        <w:rPr>
          <w:rFonts w:hint="eastAsia" w:ascii="仿宋_GB2312" w:hAnsi="宋体"/>
          <w:b/>
          <w:szCs w:val="28"/>
        </w:rPr>
        <w:t>（四）开展标准实施效果评估</w:t>
      </w:r>
    </w:p>
    <w:p w14:paraId="34851FDF">
      <w:pPr>
        <w:spacing w:line="560" w:lineRule="exact"/>
        <w:ind w:firstLine="640"/>
        <w:rPr>
          <w:rFonts w:ascii="仿宋_GB2312" w:hAnsi="宋体"/>
          <w:szCs w:val="28"/>
        </w:rPr>
      </w:pPr>
      <w:r>
        <w:rPr>
          <w:rFonts w:hint="eastAsia" w:ascii="仿宋_GB2312" w:hAnsi="宋体"/>
          <w:szCs w:val="28"/>
        </w:rPr>
        <w:t>标准实施满2年，每年标准宣贯工作组采取网络调查、问卷调查、实地调研、召开座谈会或论证会、专家咨询等方式开展标准实施效果评估，并形成标准实施效果评估报告，为标准的复审修订做准备。</w:t>
      </w:r>
    </w:p>
    <w:p w14:paraId="33FF6A3F">
      <w:pPr>
        <w:autoSpaceDE w:val="0"/>
        <w:autoSpaceDN w:val="0"/>
        <w:adjustRightInd w:val="0"/>
        <w:spacing w:before="156" w:beforeLines="50" w:after="156" w:afterLines="50" w:line="560" w:lineRule="exact"/>
        <w:ind w:firstLine="640"/>
        <w:jc w:val="left"/>
        <w:rPr>
          <w:rFonts w:ascii="黑体" w:hAnsi="黑体" w:eastAsia="黑体" w:cs="仿宋_GB2312"/>
          <w:szCs w:val="32"/>
        </w:rPr>
      </w:pPr>
      <w:r>
        <w:rPr>
          <w:rFonts w:hint="eastAsia" w:ascii="黑体" w:hAnsi="黑体" w:eastAsia="黑体" w:cs="仿宋_GB2312"/>
          <w:szCs w:val="32"/>
        </w:rPr>
        <w:t>八、其他应当说明的事项</w:t>
      </w:r>
    </w:p>
    <w:p w14:paraId="03B5C46B">
      <w:pPr>
        <w:spacing w:line="560" w:lineRule="exact"/>
        <w:ind w:firstLine="640"/>
        <w:rPr>
          <w:rFonts w:ascii="仿宋_GB2312" w:hAnsi="宋体"/>
          <w:szCs w:val="28"/>
        </w:rPr>
      </w:pPr>
      <w:r>
        <w:rPr>
          <w:rFonts w:hint="eastAsia" w:ascii="仿宋_GB2312" w:hAnsi="宋体"/>
          <w:szCs w:val="28"/>
        </w:rPr>
        <w:t>无。</w:t>
      </w:r>
    </w:p>
    <w:p w14:paraId="1775447F">
      <w:pPr>
        <w:spacing w:line="560" w:lineRule="exact"/>
        <w:ind w:firstLine="0" w:firstLineChars="0"/>
        <w:rPr>
          <w:rFonts w:ascii="仿宋_GB2312" w:hAnsi="仿宋"/>
          <w:bCs/>
          <w:color w:val="000000"/>
          <w:sz w:val="36"/>
          <w:szCs w:val="32"/>
        </w:rPr>
      </w:pPr>
    </w:p>
    <w:p w14:paraId="37EF1567">
      <w:pPr>
        <w:wordWrap w:val="0"/>
        <w:spacing w:line="560" w:lineRule="exact"/>
        <w:ind w:firstLine="640"/>
        <w:jc w:val="right"/>
        <w:rPr>
          <w:rFonts w:ascii="仿宋_GB2312" w:hAnsi="宋体"/>
          <w:szCs w:val="28"/>
        </w:rPr>
      </w:pPr>
      <w:r>
        <w:rPr>
          <w:rFonts w:hint="eastAsia" w:ascii="仿宋_GB2312" w:hAnsi="宋体"/>
          <w:szCs w:val="28"/>
        </w:rPr>
        <w:t>团体标准《香子含笑容器育苗技术规程》</w:t>
      </w:r>
    </w:p>
    <w:p w14:paraId="3D6CCE68">
      <w:pPr>
        <w:wordWrap w:val="0"/>
        <w:spacing w:line="560" w:lineRule="exact"/>
        <w:ind w:firstLine="640"/>
        <w:jc w:val="right"/>
        <w:rPr>
          <w:rFonts w:ascii="仿宋_GB2312" w:hAnsi="宋体"/>
          <w:szCs w:val="28"/>
        </w:rPr>
      </w:pPr>
      <w:r>
        <w:rPr>
          <w:rFonts w:hint="eastAsia" w:ascii="仿宋_GB2312" w:hAnsi="宋体"/>
          <w:szCs w:val="28"/>
        </w:rPr>
        <w:t xml:space="preserve">标准编制工作组 </w:t>
      </w:r>
      <w:r>
        <w:rPr>
          <w:rFonts w:ascii="仿宋_GB2312" w:hAnsi="宋体"/>
          <w:szCs w:val="28"/>
        </w:rPr>
        <w:t xml:space="preserve">        </w:t>
      </w:r>
    </w:p>
    <w:p w14:paraId="5869A1F2">
      <w:pPr>
        <w:wordWrap w:val="0"/>
        <w:spacing w:line="560" w:lineRule="exact"/>
        <w:ind w:firstLine="640"/>
        <w:jc w:val="right"/>
        <w:rPr>
          <w:rFonts w:ascii="仿宋_GB2312" w:hAnsi="宋体"/>
          <w:color w:val="FF0000"/>
          <w:szCs w:val="28"/>
        </w:rPr>
      </w:pPr>
      <w:r>
        <w:rPr>
          <w:rFonts w:hint="eastAsia" w:ascii="仿宋_GB2312" w:hAnsi="宋体"/>
          <w:szCs w:val="28"/>
        </w:rPr>
        <w:t>2025年10月22日</w:t>
      </w:r>
      <w:r>
        <w:rPr>
          <w:rFonts w:hint="eastAsia" w:ascii="仿宋_GB2312" w:hAnsi="宋体"/>
          <w:color w:val="FF0000"/>
          <w:szCs w:val="28"/>
        </w:rPr>
        <w:t xml:space="preserve">       </w:t>
      </w:r>
      <w:r>
        <w:rPr>
          <w:rFonts w:ascii="仿宋_GB2312" w:hAnsi="宋体"/>
          <w:color w:val="FF0000"/>
          <w:szCs w:val="28"/>
        </w:rPr>
        <w:t xml:space="preserve"> </w:t>
      </w:r>
    </w:p>
    <w:sectPr>
      <w:footerReference r:id="rId5" w:type="default"/>
      <w:pgSz w:w="11906" w:h="16838"/>
      <w:pgMar w:top="1474" w:right="1474" w:bottom="1474" w:left="1474"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640"/>
      </w:pPr>
      <w:r>
        <w:separator/>
      </w:r>
    </w:p>
  </w:endnote>
  <w:endnote w:type="continuationSeparator" w:id="1">
    <w:p>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方正小标宋简体">
    <w:panose1 w:val="03000509000000000000"/>
    <w:charset w:val="86"/>
    <w:family w:val="script"/>
    <w:pitch w:val="default"/>
    <w:sig w:usb0="00000001" w:usb1="080E0000" w:usb2="00000000" w:usb3="00000000" w:csb0="00040000" w:csb1="0000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13316374"/>
    </w:sdtPr>
    <w:sdtContent>
      <w:p w14:paraId="0E90BC79">
        <w:pPr>
          <w:pStyle w:val="6"/>
          <w:ind w:firstLine="360"/>
          <w:jc w:val="center"/>
        </w:pPr>
        <w:r>
          <w:fldChar w:fldCharType="begin"/>
        </w:r>
        <w:r>
          <w:instrText xml:space="preserve">PAGE   \* MERGEFORMAT</w:instrText>
        </w:r>
        <w:r>
          <w:fldChar w:fldCharType="separate"/>
        </w:r>
        <w:r>
          <w:rPr>
            <w:lang w:val="zh-CN"/>
          </w:rPr>
          <w:t>23</w:t>
        </w:r>
        <w:r>
          <w:fldChar w:fldCharType="end"/>
        </w:r>
      </w:p>
    </w:sdtContent>
  </w:sdt>
  <w:p w14:paraId="565786F4">
    <w:pPr>
      <w:pStyle w:val="6"/>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640"/>
      </w:pPr>
      <w:r>
        <w:separator/>
      </w:r>
    </w:p>
  </w:footnote>
  <w:footnote w:type="continuationSeparator" w:id="1">
    <w:p>
      <w:pPr>
        <w:ind w:firstLine="64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79102AD"/>
    <w:multiLevelType w:val="multilevel"/>
    <w:tmpl w:val="079102AD"/>
    <w:lvl w:ilvl="0" w:tentative="0">
      <w:start w:val="1"/>
      <w:numFmt w:val="decimal"/>
      <w:pStyle w:val="23"/>
      <w:suff w:val="nothing"/>
      <w:lvlText w:val="注%1："/>
      <w:lvlJc w:val="left"/>
      <w:pPr>
        <w:ind w:left="811" w:hanging="448"/>
      </w:pPr>
      <w:rPr>
        <w:rFonts w:hint="eastAsia" w:ascii="黑体" w:eastAsia="黑体"/>
        <w:b w:val="0"/>
        <w:i w:val="0"/>
        <w:sz w:val="18"/>
        <w:lang w:val="en-US"/>
      </w:rPr>
    </w:lvl>
    <w:lvl w:ilvl="1" w:tentative="0">
      <w:start w:val="1"/>
      <w:numFmt w:val="lowerLetter"/>
      <w:lvlText w:val="%2)"/>
      <w:lvlJc w:val="left"/>
      <w:pPr>
        <w:tabs>
          <w:tab w:val="left" w:pos="0"/>
        </w:tabs>
        <w:ind w:left="992" w:hanging="629"/>
      </w:pPr>
      <w:rPr>
        <w:rFonts w:hint="eastAsia"/>
      </w:rPr>
    </w:lvl>
    <w:lvl w:ilvl="2" w:tentative="0">
      <w:start w:val="1"/>
      <w:numFmt w:val="lowerRoman"/>
      <w:lvlText w:val="%3."/>
      <w:lvlJc w:val="right"/>
      <w:pPr>
        <w:tabs>
          <w:tab w:val="left" w:pos="0"/>
        </w:tabs>
        <w:ind w:left="992" w:hanging="629"/>
      </w:pPr>
      <w:rPr>
        <w:rFonts w:hint="eastAsia"/>
      </w:rPr>
    </w:lvl>
    <w:lvl w:ilvl="3" w:tentative="0">
      <w:start w:val="1"/>
      <w:numFmt w:val="decimal"/>
      <w:lvlText w:val="%4."/>
      <w:lvlJc w:val="left"/>
      <w:pPr>
        <w:tabs>
          <w:tab w:val="left" w:pos="0"/>
        </w:tabs>
        <w:ind w:left="992" w:hanging="629"/>
      </w:pPr>
      <w:rPr>
        <w:rFonts w:hint="eastAsia"/>
      </w:rPr>
    </w:lvl>
    <w:lvl w:ilvl="4" w:tentative="0">
      <w:start w:val="1"/>
      <w:numFmt w:val="lowerLetter"/>
      <w:lvlText w:val="%5)"/>
      <w:lvlJc w:val="left"/>
      <w:pPr>
        <w:tabs>
          <w:tab w:val="left" w:pos="0"/>
        </w:tabs>
        <w:ind w:left="992" w:hanging="629"/>
      </w:pPr>
      <w:rPr>
        <w:rFonts w:hint="eastAsia"/>
      </w:rPr>
    </w:lvl>
    <w:lvl w:ilvl="5" w:tentative="0">
      <w:start w:val="1"/>
      <w:numFmt w:val="lowerRoman"/>
      <w:lvlText w:val="%6."/>
      <w:lvlJc w:val="right"/>
      <w:pPr>
        <w:tabs>
          <w:tab w:val="left" w:pos="0"/>
        </w:tabs>
        <w:ind w:left="992" w:hanging="629"/>
      </w:pPr>
      <w:rPr>
        <w:rFonts w:hint="eastAsia"/>
      </w:rPr>
    </w:lvl>
    <w:lvl w:ilvl="6" w:tentative="0">
      <w:start w:val="1"/>
      <w:numFmt w:val="decimal"/>
      <w:lvlText w:val="%7."/>
      <w:lvlJc w:val="left"/>
      <w:pPr>
        <w:tabs>
          <w:tab w:val="left" w:pos="0"/>
        </w:tabs>
        <w:ind w:left="992" w:hanging="629"/>
      </w:pPr>
      <w:rPr>
        <w:rFonts w:hint="eastAsia"/>
      </w:rPr>
    </w:lvl>
    <w:lvl w:ilvl="7" w:tentative="0">
      <w:start w:val="1"/>
      <w:numFmt w:val="lowerLetter"/>
      <w:lvlText w:val="%8)"/>
      <w:lvlJc w:val="left"/>
      <w:pPr>
        <w:tabs>
          <w:tab w:val="left" w:pos="0"/>
        </w:tabs>
        <w:ind w:left="992" w:hanging="629"/>
      </w:pPr>
      <w:rPr>
        <w:rFonts w:hint="eastAsia"/>
      </w:rPr>
    </w:lvl>
    <w:lvl w:ilvl="8" w:tentative="0">
      <w:start w:val="1"/>
      <w:numFmt w:val="lowerRoman"/>
      <w:lvlText w:val="%9."/>
      <w:lvlJc w:val="right"/>
      <w:pPr>
        <w:tabs>
          <w:tab w:val="left" w:pos="0"/>
        </w:tabs>
        <w:ind w:left="992" w:hanging="629"/>
      </w:pPr>
      <w:rPr>
        <w:rFonts w:hint="eastAsia"/>
      </w:rPr>
    </w:lvl>
  </w:abstractNum>
  <w:abstractNum w:abstractNumId="1">
    <w:nsid w:val="0DDE2B46"/>
    <w:multiLevelType w:val="multilevel"/>
    <w:tmpl w:val="0DDE2B46"/>
    <w:lvl w:ilvl="0" w:tentative="0">
      <w:start w:val="1"/>
      <w:numFmt w:val="lowerLetter"/>
      <w:pStyle w:val="27"/>
      <w:suff w:val="nothing"/>
      <w:lvlText w:val="%1   "/>
      <w:lvlJc w:val="left"/>
      <w:pPr>
        <w:ind w:left="544" w:hanging="181"/>
      </w:pPr>
      <w:rPr>
        <w:rFonts w:hint="eastAsia" w:ascii="宋体" w:hAnsi="宋体" w:eastAsia="宋体"/>
        <w:b w:val="0"/>
        <w:i w:val="0"/>
        <w:sz w:val="18"/>
        <w:vertAlign w:val="superscript"/>
      </w:rPr>
    </w:lvl>
    <w:lvl w:ilvl="1" w:tentative="0">
      <w:start w:val="1"/>
      <w:numFmt w:val="lowerLetter"/>
      <w:lvlText w:val="%2"/>
      <w:lvlJc w:val="left"/>
      <w:pPr>
        <w:tabs>
          <w:tab w:val="left" w:pos="57"/>
        </w:tabs>
        <w:ind w:left="363" w:hanging="363"/>
      </w:pPr>
      <w:rPr>
        <w:rFonts w:hint="eastAsia"/>
      </w:rPr>
    </w:lvl>
    <w:lvl w:ilvl="2" w:tentative="0">
      <w:start w:val="1"/>
      <w:numFmt w:val="lowerRoman"/>
      <w:lvlText w:val="%3."/>
      <w:lvlJc w:val="right"/>
      <w:pPr>
        <w:tabs>
          <w:tab w:val="left" w:pos="57"/>
        </w:tabs>
        <w:ind w:left="363" w:hanging="363"/>
      </w:pPr>
      <w:rPr>
        <w:rFonts w:hint="eastAsia"/>
      </w:rPr>
    </w:lvl>
    <w:lvl w:ilvl="3" w:tentative="0">
      <w:start w:val="1"/>
      <w:numFmt w:val="decimal"/>
      <w:lvlText w:val="%4."/>
      <w:lvlJc w:val="left"/>
      <w:pPr>
        <w:tabs>
          <w:tab w:val="left" w:pos="57"/>
        </w:tabs>
        <w:ind w:left="363" w:hanging="363"/>
      </w:pPr>
      <w:rPr>
        <w:rFonts w:hint="eastAsia"/>
      </w:rPr>
    </w:lvl>
    <w:lvl w:ilvl="4" w:tentative="0">
      <w:start w:val="1"/>
      <w:numFmt w:val="lowerLetter"/>
      <w:lvlText w:val="%5)"/>
      <w:lvlJc w:val="left"/>
      <w:pPr>
        <w:tabs>
          <w:tab w:val="left" w:pos="57"/>
        </w:tabs>
        <w:ind w:left="363" w:hanging="363"/>
      </w:pPr>
      <w:rPr>
        <w:rFonts w:hint="eastAsia"/>
      </w:rPr>
    </w:lvl>
    <w:lvl w:ilvl="5" w:tentative="0">
      <w:start w:val="1"/>
      <w:numFmt w:val="lowerRoman"/>
      <w:lvlText w:val="%6."/>
      <w:lvlJc w:val="right"/>
      <w:pPr>
        <w:tabs>
          <w:tab w:val="left" w:pos="57"/>
        </w:tabs>
        <w:ind w:left="363" w:hanging="363"/>
      </w:pPr>
      <w:rPr>
        <w:rFonts w:hint="eastAsia"/>
      </w:rPr>
    </w:lvl>
    <w:lvl w:ilvl="6" w:tentative="0">
      <w:start w:val="1"/>
      <w:numFmt w:val="decimal"/>
      <w:lvlText w:val="%7."/>
      <w:lvlJc w:val="left"/>
      <w:pPr>
        <w:tabs>
          <w:tab w:val="left" w:pos="57"/>
        </w:tabs>
        <w:ind w:left="363" w:hanging="363"/>
      </w:pPr>
      <w:rPr>
        <w:rFonts w:hint="eastAsia"/>
      </w:rPr>
    </w:lvl>
    <w:lvl w:ilvl="7" w:tentative="0">
      <w:start w:val="1"/>
      <w:numFmt w:val="lowerLetter"/>
      <w:lvlText w:val="%8)"/>
      <w:lvlJc w:val="left"/>
      <w:pPr>
        <w:tabs>
          <w:tab w:val="left" w:pos="57"/>
        </w:tabs>
        <w:ind w:left="363" w:hanging="363"/>
      </w:pPr>
      <w:rPr>
        <w:rFonts w:hint="eastAsia"/>
      </w:rPr>
    </w:lvl>
    <w:lvl w:ilvl="8" w:tentative="0">
      <w:start w:val="1"/>
      <w:numFmt w:val="lowerRoman"/>
      <w:lvlText w:val="%9."/>
      <w:lvlJc w:val="right"/>
      <w:pPr>
        <w:tabs>
          <w:tab w:val="left" w:pos="57"/>
        </w:tabs>
        <w:ind w:left="363" w:hanging="363"/>
      </w:pPr>
      <w:rPr>
        <w:rFonts w:hint="eastAsia"/>
      </w:rPr>
    </w:lvl>
  </w:abstractNum>
  <w:abstractNum w:abstractNumId="2">
    <w:nsid w:val="1DBF583A"/>
    <w:multiLevelType w:val="multilevel"/>
    <w:tmpl w:val="1DBF583A"/>
    <w:lvl w:ilvl="0" w:tentative="0">
      <w:start w:val="1"/>
      <w:numFmt w:val="decimal"/>
      <w:pStyle w:val="26"/>
      <w:suff w:val="nothing"/>
      <w:lvlText w:val="注%1："/>
      <w:lvlJc w:val="left"/>
      <w:pPr>
        <w:ind w:left="811" w:hanging="448"/>
      </w:pPr>
      <w:rPr>
        <w:rFonts w:hint="eastAsia" w:ascii="黑体" w:eastAsia="黑体"/>
        <w:b w:val="0"/>
        <w:i w:val="0"/>
        <w:sz w:val="18"/>
        <w:szCs w:val="18"/>
        <w:vertAlign w:val="baseline"/>
      </w:rPr>
    </w:lvl>
    <w:lvl w:ilvl="1" w:tentative="0">
      <w:start w:val="1"/>
      <w:numFmt w:val="lowerLetter"/>
      <w:lvlText w:val="%2)"/>
      <w:lvlJc w:val="left"/>
      <w:pPr>
        <w:tabs>
          <w:tab w:val="left" w:pos="180"/>
        </w:tabs>
        <w:ind w:left="1172" w:hanging="629"/>
      </w:pPr>
      <w:rPr>
        <w:rFonts w:hint="eastAsia"/>
        <w:vertAlign w:val="baseline"/>
      </w:rPr>
    </w:lvl>
    <w:lvl w:ilvl="2" w:tentative="0">
      <w:start w:val="1"/>
      <w:numFmt w:val="lowerRoman"/>
      <w:lvlText w:val="%3."/>
      <w:lvlJc w:val="right"/>
      <w:pPr>
        <w:tabs>
          <w:tab w:val="left" w:pos="180"/>
        </w:tabs>
        <w:ind w:left="1172" w:hanging="629"/>
      </w:pPr>
      <w:rPr>
        <w:rFonts w:hint="eastAsia"/>
        <w:vertAlign w:val="baseline"/>
      </w:rPr>
    </w:lvl>
    <w:lvl w:ilvl="3" w:tentative="0">
      <w:start w:val="1"/>
      <w:numFmt w:val="decimal"/>
      <w:lvlText w:val="%4."/>
      <w:lvlJc w:val="left"/>
      <w:pPr>
        <w:tabs>
          <w:tab w:val="left" w:pos="180"/>
        </w:tabs>
        <w:ind w:left="1172" w:hanging="629"/>
      </w:pPr>
      <w:rPr>
        <w:rFonts w:hint="eastAsia"/>
        <w:vertAlign w:val="baseline"/>
      </w:rPr>
    </w:lvl>
    <w:lvl w:ilvl="4" w:tentative="0">
      <w:start w:val="1"/>
      <w:numFmt w:val="lowerLetter"/>
      <w:lvlText w:val="%5)"/>
      <w:lvlJc w:val="left"/>
      <w:pPr>
        <w:tabs>
          <w:tab w:val="left" w:pos="180"/>
        </w:tabs>
        <w:ind w:left="1172" w:hanging="629"/>
      </w:pPr>
      <w:rPr>
        <w:rFonts w:hint="eastAsia"/>
        <w:vertAlign w:val="baseline"/>
      </w:rPr>
    </w:lvl>
    <w:lvl w:ilvl="5" w:tentative="0">
      <w:start w:val="1"/>
      <w:numFmt w:val="lowerRoman"/>
      <w:lvlText w:val="%6."/>
      <w:lvlJc w:val="right"/>
      <w:pPr>
        <w:tabs>
          <w:tab w:val="left" w:pos="180"/>
        </w:tabs>
        <w:ind w:left="1172" w:hanging="629"/>
      </w:pPr>
      <w:rPr>
        <w:rFonts w:hint="eastAsia"/>
        <w:vertAlign w:val="baseline"/>
      </w:rPr>
    </w:lvl>
    <w:lvl w:ilvl="6" w:tentative="0">
      <w:start w:val="1"/>
      <w:numFmt w:val="decimal"/>
      <w:lvlText w:val="%7."/>
      <w:lvlJc w:val="left"/>
      <w:pPr>
        <w:tabs>
          <w:tab w:val="left" w:pos="180"/>
        </w:tabs>
        <w:ind w:left="1172" w:hanging="629"/>
      </w:pPr>
      <w:rPr>
        <w:rFonts w:hint="eastAsia"/>
        <w:vertAlign w:val="baseline"/>
      </w:rPr>
    </w:lvl>
    <w:lvl w:ilvl="7" w:tentative="0">
      <w:start w:val="1"/>
      <w:numFmt w:val="lowerLetter"/>
      <w:lvlText w:val="%8)"/>
      <w:lvlJc w:val="left"/>
      <w:pPr>
        <w:tabs>
          <w:tab w:val="left" w:pos="180"/>
        </w:tabs>
        <w:ind w:left="1172" w:hanging="629"/>
      </w:pPr>
      <w:rPr>
        <w:rFonts w:hint="eastAsia"/>
        <w:vertAlign w:val="baseline"/>
      </w:rPr>
    </w:lvl>
    <w:lvl w:ilvl="8" w:tentative="0">
      <w:start w:val="1"/>
      <w:numFmt w:val="lowerRoman"/>
      <w:lvlText w:val="%9."/>
      <w:lvlJc w:val="right"/>
      <w:pPr>
        <w:tabs>
          <w:tab w:val="left" w:pos="180"/>
        </w:tabs>
        <w:ind w:left="1172" w:hanging="629"/>
      </w:pPr>
      <w:rPr>
        <w:rFonts w:hint="eastAsia"/>
        <w:vertAlign w:val="baseline"/>
      </w:rPr>
    </w:lvl>
  </w:abstractNum>
  <w:abstractNum w:abstractNumId="3">
    <w:nsid w:val="1FC91163"/>
    <w:multiLevelType w:val="multilevel"/>
    <w:tmpl w:val="1FC91163"/>
    <w:lvl w:ilvl="0" w:tentative="0">
      <w:start w:val="1"/>
      <w:numFmt w:val="decimal"/>
      <w:pStyle w:val="18"/>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17"/>
      <w:suff w:val="nothing"/>
      <w:lvlText w:val="%1.%2　"/>
      <w:lvlJc w:val="left"/>
      <w:pPr>
        <w:ind w:left="525" w:firstLine="0"/>
      </w:pPr>
      <w:rPr>
        <w:rFonts w:hint="eastAsia" w:ascii="黑体" w:hAnsi="Times New Roman" w:eastAsia="黑体" w:cs="Times New Roman"/>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tentative="0">
      <w:start w:val="1"/>
      <w:numFmt w:val="decimal"/>
      <w:pStyle w:val="19"/>
      <w:suff w:val="nothing"/>
      <w:lvlText w:val="%1.%2.%3　"/>
      <w:lvlJc w:val="left"/>
      <w:pPr>
        <w:ind w:left="0" w:firstLine="0"/>
      </w:pPr>
      <w:rPr>
        <w:rFonts w:hint="eastAsia" w:ascii="黑体" w:hAnsi="Times New Roman" w:eastAsia="黑体"/>
        <w:b w:val="0"/>
        <w:i w:val="0"/>
        <w:sz w:val="21"/>
      </w:rPr>
    </w:lvl>
    <w:lvl w:ilvl="3" w:tentative="0">
      <w:start w:val="1"/>
      <w:numFmt w:val="decimal"/>
      <w:pStyle w:val="20"/>
      <w:suff w:val="nothing"/>
      <w:lvlText w:val="%1.%2.%3.%4　"/>
      <w:lvlJc w:val="left"/>
      <w:pPr>
        <w:ind w:left="0" w:firstLine="0"/>
      </w:pPr>
      <w:rPr>
        <w:rFonts w:hint="eastAsia" w:ascii="黑体" w:hAnsi="Times New Roman" w:eastAsia="黑体"/>
        <w:b w:val="0"/>
        <w:i w:val="0"/>
        <w:sz w:val="21"/>
      </w:rPr>
    </w:lvl>
    <w:lvl w:ilvl="4" w:tentative="0">
      <w:start w:val="1"/>
      <w:numFmt w:val="decimal"/>
      <w:pStyle w:val="21"/>
      <w:suff w:val="nothing"/>
      <w:lvlText w:val="%1.%2.%3.%4.%5　"/>
      <w:lvlJc w:val="left"/>
      <w:pPr>
        <w:ind w:left="0" w:firstLine="0"/>
      </w:pPr>
      <w:rPr>
        <w:rFonts w:hint="eastAsia" w:ascii="黑体" w:hAnsi="Times New Roman" w:eastAsia="黑体"/>
        <w:b w:val="0"/>
        <w:i w:val="0"/>
        <w:sz w:val="21"/>
      </w:rPr>
    </w:lvl>
    <w:lvl w:ilvl="5" w:tentative="0">
      <w:start w:val="1"/>
      <w:numFmt w:val="decimal"/>
      <w:pStyle w:val="22"/>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4">
    <w:nsid w:val="2A8F7113"/>
    <w:multiLevelType w:val="multilevel"/>
    <w:tmpl w:val="2A8F7113"/>
    <w:lvl w:ilvl="0" w:tentative="0">
      <w:start w:val="1"/>
      <w:numFmt w:val="upperLetter"/>
      <w:pStyle w:val="24"/>
      <w:suff w:val="space"/>
      <w:lvlText w:val="%1"/>
      <w:lvlJc w:val="left"/>
      <w:pPr>
        <w:ind w:left="623" w:hanging="425"/>
      </w:pPr>
      <w:rPr>
        <w:rFonts w:hint="eastAsia"/>
      </w:rPr>
    </w:lvl>
    <w:lvl w:ilvl="1" w:tentative="0">
      <w:start w:val="1"/>
      <w:numFmt w:val="decimal"/>
      <w:pStyle w:val="25"/>
      <w:suff w:val="nothing"/>
      <w:lvlText w:val="图%1.%2　"/>
      <w:lvlJc w:val="left"/>
      <w:pPr>
        <w:ind w:left="1190" w:hanging="567"/>
      </w:pPr>
      <w:rPr>
        <w:rFonts w:hint="eastAsia"/>
      </w:rPr>
    </w:lvl>
    <w:lvl w:ilvl="2" w:tentative="0">
      <w:start w:val="1"/>
      <w:numFmt w:val="decimal"/>
      <w:lvlText w:val="%1.%2.%3"/>
      <w:lvlJc w:val="left"/>
      <w:pPr>
        <w:tabs>
          <w:tab w:val="left" w:pos="1616"/>
        </w:tabs>
        <w:ind w:left="1616" w:hanging="567"/>
      </w:pPr>
      <w:rPr>
        <w:rFonts w:hint="eastAsia"/>
      </w:rPr>
    </w:lvl>
    <w:lvl w:ilvl="3" w:tentative="0">
      <w:start w:val="1"/>
      <w:numFmt w:val="decimal"/>
      <w:lvlText w:val="%1.%2.%3.%4"/>
      <w:lvlJc w:val="left"/>
      <w:pPr>
        <w:tabs>
          <w:tab w:val="left" w:pos="2914"/>
        </w:tabs>
        <w:ind w:left="2182" w:hanging="708"/>
      </w:pPr>
      <w:rPr>
        <w:rFonts w:hint="eastAsia"/>
      </w:rPr>
    </w:lvl>
    <w:lvl w:ilvl="4" w:tentative="0">
      <w:start w:val="1"/>
      <w:numFmt w:val="decimal"/>
      <w:lvlText w:val="%1.%2.%3.%4.%5"/>
      <w:lvlJc w:val="left"/>
      <w:pPr>
        <w:tabs>
          <w:tab w:val="left" w:pos="3699"/>
        </w:tabs>
        <w:ind w:left="2749" w:hanging="850"/>
      </w:pPr>
      <w:rPr>
        <w:rFonts w:hint="eastAsia"/>
      </w:rPr>
    </w:lvl>
    <w:lvl w:ilvl="5" w:tentative="0">
      <w:start w:val="1"/>
      <w:numFmt w:val="decimal"/>
      <w:lvlText w:val="%1.%2.%3.%4.%5.%6"/>
      <w:lvlJc w:val="left"/>
      <w:pPr>
        <w:tabs>
          <w:tab w:val="left" w:pos="4484"/>
        </w:tabs>
        <w:ind w:left="3458" w:hanging="1134"/>
      </w:pPr>
      <w:rPr>
        <w:rFonts w:hint="eastAsia"/>
      </w:rPr>
    </w:lvl>
    <w:lvl w:ilvl="6" w:tentative="0">
      <w:start w:val="1"/>
      <w:numFmt w:val="decimal"/>
      <w:lvlText w:val="%1.%2.%3.%4.%5.%6.%7"/>
      <w:lvlJc w:val="left"/>
      <w:pPr>
        <w:tabs>
          <w:tab w:val="left" w:pos="5269"/>
        </w:tabs>
        <w:ind w:left="4025" w:hanging="1276"/>
      </w:pPr>
      <w:rPr>
        <w:rFonts w:hint="eastAsia"/>
      </w:rPr>
    </w:lvl>
    <w:lvl w:ilvl="7" w:tentative="0">
      <w:start w:val="1"/>
      <w:numFmt w:val="decimal"/>
      <w:lvlText w:val="%1.%2.%3.%4.%5.%6.%7.%8"/>
      <w:lvlJc w:val="left"/>
      <w:pPr>
        <w:tabs>
          <w:tab w:val="left" w:pos="6054"/>
        </w:tabs>
        <w:ind w:left="4592" w:hanging="1418"/>
      </w:pPr>
      <w:rPr>
        <w:rFonts w:hint="eastAsia"/>
      </w:rPr>
    </w:lvl>
    <w:lvl w:ilvl="8" w:tentative="0">
      <w:start w:val="1"/>
      <w:numFmt w:val="decimal"/>
      <w:lvlText w:val="%1.%2.%3.%4.%5.%6.%7.%8.%9"/>
      <w:lvlJc w:val="left"/>
      <w:pPr>
        <w:tabs>
          <w:tab w:val="left" w:pos="6840"/>
        </w:tabs>
        <w:ind w:left="5300" w:hanging="1700"/>
      </w:pPr>
      <w:rPr>
        <w:rFonts w:hint="eastAsia"/>
      </w:rPr>
    </w:lvl>
  </w:abstractNum>
  <w:abstractNum w:abstractNumId="5">
    <w:nsid w:val="557C2AF5"/>
    <w:multiLevelType w:val="multilevel"/>
    <w:tmpl w:val="557C2AF5"/>
    <w:lvl w:ilvl="0" w:tentative="0">
      <w:start w:val="1"/>
      <w:numFmt w:val="decimal"/>
      <w:pStyle w:val="16"/>
      <w:suff w:val="nothing"/>
      <w:lvlText w:val="图%1　"/>
      <w:lvlJc w:val="left"/>
      <w:pPr>
        <w:ind w:left="0" w:firstLine="0"/>
      </w:pPr>
      <w:rPr>
        <w:rFonts w:hint="eastAsia" w:ascii="黑体" w:hAnsi="Times New Roman" w:eastAsia="黑体"/>
        <w:b w:val="0"/>
        <w:i w:val="0"/>
        <w:sz w:val="21"/>
      </w:rPr>
    </w:lvl>
    <w:lvl w:ilvl="1" w:tentative="0">
      <w:start w:val="1"/>
      <w:numFmt w:val="decimal"/>
      <w:suff w:val="nothing"/>
      <w:lvlText w:val="%1%2　"/>
      <w:lvlJc w:val="left"/>
      <w:pPr>
        <w:ind w:left="0" w:firstLine="0"/>
      </w:pPr>
      <w:rPr>
        <w:rFonts w:hint="default" w:ascii="Times New Roman" w:hAnsi="Times New Roman" w:eastAsia="黑体"/>
        <w:b w:val="0"/>
        <w:i w:val="0"/>
        <w:sz w:val="21"/>
      </w:rPr>
    </w:lvl>
    <w:lvl w:ilvl="2" w:tentative="0">
      <w:start w:val="1"/>
      <w:numFmt w:val="decimal"/>
      <w:suff w:val="nothing"/>
      <w:lvlText w:val="%1%2.%3　"/>
      <w:lvlJc w:val="left"/>
      <w:pPr>
        <w:ind w:left="0" w:firstLine="0"/>
      </w:pPr>
      <w:rPr>
        <w:rFonts w:hint="default" w:ascii="Times New Roman" w:hAnsi="Times New Roman" w:eastAsia="黑体"/>
        <w:b w:val="0"/>
        <w:i w:val="0"/>
        <w:sz w:val="21"/>
      </w:rPr>
    </w:lvl>
    <w:lvl w:ilvl="3" w:tentative="0">
      <w:start w:val="1"/>
      <w:numFmt w:val="decimal"/>
      <w:suff w:val="nothing"/>
      <w:lvlText w:val="%1%2.%3.%4　"/>
      <w:lvlJc w:val="left"/>
      <w:pPr>
        <w:ind w:left="0" w:firstLine="0"/>
      </w:pPr>
      <w:rPr>
        <w:rFonts w:hint="default" w:ascii="Times New Roman" w:hAnsi="Times New Roman" w:eastAsia="黑体"/>
        <w:b w:val="0"/>
        <w:i w:val="0"/>
        <w:sz w:val="21"/>
      </w:rPr>
    </w:lvl>
    <w:lvl w:ilvl="4" w:tentative="0">
      <w:start w:val="1"/>
      <w:numFmt w:val="decimal"/>
      <w:suff w:val="nothing"/>
      <w:lvlText w:val="%1%2.%3.%4.%5　"/>
      <w:lvlJc w:val="left"/>
      <w:pPr>
        <w:ind w:left="0" w:firstLine="0"/>
      </w:pPr>
      <w:rPr>
        <w:rFonts w:hint="default" w:ascii="Times New Roman" w:hAnsi="Times New Roman" w:eastAsia="黑体"/>
        <w:b w:val="0"/>
        <w:i w:val="0"/>
        <w:sz w:val="21"/>
      </w:rPr>
    </w:lvl>
    <w:lvl w:ilvl="5" w:tentative="0">
      <w:start w:val="1"/>
      <w:numFmt w:val="decimal"/>
      <w:suff w:val="nothing"/>
      <w:lvlText w:val="%1%2.%3.%4.%5.%6　"/>
      <w:lvlJc w:val="left"/>
      <w:pPr>
        <w:ind w:left="0" w:firstLine="0"/>
      </w:pPr>
      <w:rPr>
        <w:rFonts w:hint="default" w:ascii="Times New Roman" w:hAnsi="Times New Roman" w:eastAsia="黑体"/>
        <w:b w:val="0"/>
        <w:i w:val="0"/>
        <w:sz w:val="21"/>
      </w:rPr>
    </w:lvl>
    <w:lvl w:ilvl="6" w:tentative="0">
      <w:start w:val="1"/>
      <w:numFmt w:val="decimal"/>
      <w:suff w:val="nothing"/>
      <w:lvlText w:val="%1%2.%3.%4.%5.%6.%7　"/>
      <w:lvlJc w:val="left"/>
      <w:pPr>
        <w:ind w:left="0" w:firstLine="0"/>
      </w:pPr>
      <w:rPr>
        <w:rFonts w:hint="default" w:ascii="Times New Roman"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6">
    <w:nsid w:val="5603797C"/>
    <w:multiLevelType w:val="multilevel"/>
    <w:tmpl w:val="5603797C"/>
    <w:lvl w:ilvl="0" w:tentative="0">
      <w:start w:val="1"/>
      <w:numFmt w:val="upperLetter"/>
      <w:suff w:val="space"/>
      <w:lvlText w:val="%1"/>
      <w:lvlJc w:val="left"/>
      <w:pPr>
        <w:ind w:left="425" w:hanging="425"/>
      </w:pPr>
      <w:rPr>
        <w:rFonts w:hint="eastAsia"/>
      </w:rPr>
    </w:lvl>
    <w:lvl w:ilvl="1" w:tentative="0">
      <w:start w:val="1"/>
      <w:numFmt w:val="decimal"/>
      <w:pStyle w:val="40"/>
      <w:suff w:val="space"/>
      <w:lvlText w:val="表%1.%2"/>
      <w:lvlJc w:val="center"/>
      <w:pPr>
        <w:ind w:left="0" w:firstLine="0"/>
      </w:pPr>
      <w:rPr>
        <w:rFonts w:hint="eastAsia" w:ascii="黑体" w:eastAsia="黑体"/>
        <w:sz w:val="21"/>
      </w:rPr>
    </w:lvl>
    <w:lvl w:ilvl="2" w:tentative="0">
      <w:start w:val="1"/>
      <w:numFmt w:val="decimal"/>
      <w:lvlText w:val="%1.%2.%3"/>
      <w:lvlJc w:val="left"/>
      <w:pPr>
        <w:ind w:left="1418" w:hanging="567"/>
      </w:pPr>
      <w:rPr>
        <w:rFonts w:hint="eastAsia"/>
      </w:rPr>
    </w:lvl>
    <w:lvl w:ilvl="3" w:tentative="0">
      <w:start w:val="1"/>
      <w:numFmt w:val="decimal"/>
      <w:lvlText w:val="%1.%2.%3.%4"/>
      <w:lvlJc w:val="left"/>
      <w:pPr>
        <w:ind w:left="1984" w:hanging="708"/>
      </w:pPr>
      <w:rPr>
        <w:rFonts w:hint="eastAsia"/>
      </w:rPr>
    </w:lvl>
    <w:lvl w:ilvl="4" w:tentative="0">
      <w:start w:val="1"/>
      <w:numFmt w:val="decimal"/>
      <w:lvlText w:val="%1.%2.%3.%4.%5"/>
      <w:lvlJc w:val="left"/>
      <w:pPr>
        <w:ind w:left="2551" w:hanging="850"/>
      </w:pPr>
      <w:rPr>
        <w:rFonts w:hint="eastAsia"/>
      </w:rPr>
    </w:lvl>
    <w:lvl w:ilvl="5" w:tentative="0">
      <w:start w:val="1"/>
      <w:numFmt w:val="decimal"/>
      <w:lvlText w:val="%1.%2.%3.%4.%5.%6"/>
      <w:lvlJc w:val="left"/>
      <w:pPr>
        <w:ind w:left="3260" w:hanging="1134"/>
      </w:pPr>
      <w:rPr>
        <w:rFonts w:hint="eastAsia"/>
      </w:rPr>
    </w:lvl>
    <w:lvl w:ilvl="6" w:tentative="0">
      <w:start w:val="1"/>
      <w:numFmt w:val="decimal"/>
      <w:lvlText w:val="%1.%2.%3.%4.%5.%6.%7"/>
      <w:lvlJc w:val="left"/>
      <w:pPr>
        <w:ind w:left="3827" w:hanging="1276"/>
      </w:pPr>
      <w:rPr>
        <w:rFonts w:hint="eastAsia"/>
      </w:rPr>
    </w:lvl>
    <w:lvl w:ilvl="7" w:tentative="0">
      <w:start w:val="1"/>
      <w:numFmt w:val="decimal"/>
      <w:lvlText w:val="%1.%2.%3.%4.%5.%6.%7.%8"/>
      <w:lvlJc w:val="left"/>
      <w:pPr>
        <w:ind w:left="4394" w:hanging="1418"/>
      </w:pPr>
      <w:rPr>
        <w:rFonts w:hint="eastAsia"/>
      </w:rPr>
    </w:lvl>
    <w:lvl w:ilvl="8" w:tentative="0">
      <w:start w:val="1"/>
      <w:numFmt w:val="decimal"/>
      <w:lvlText w:val="%1.%2.%3.%4.%5.%6.%7.%8.%9"/>
      <w:lvlJc w:val="left"/>
      <w:pPr>
        <w:ind w:left="5102" w:hanging="1700"/>
      </w:pPr>
      <w:rPr>
        <w:rFonts w:hint="eastAsia"/>
      </w:rPr>
    </w:lvl>
  </w:abstractNum>
  <w:abstractNum w:abstractNumId="7">
    <w:nsid w:val="60B55DC2"/>
    <w:multiLevelType w:val="multilevel"/>
    <w:tmpl w:val="60B55DC2"/>
    <w:lvl w:ilvl="0" w:tentative="0">
      <w:start w:val="1"/>
      <w:numFmt w:val="upperLetter"/>
      <w:lvlText w:val="%1"/>
      <w:lvlJc w:val="left"/>
      <w:pPr>
        <w:tabs>
          <w:tab w:val="left" w:pos="0"/>
        </w:tabs>
        <w:ind w:left="0" w:hanging="425"/>
      </w:pPr>
      <w:rPr>
        <w:rFonts w:hint="eastAsia"/>
      </w:rPr>
    </w:lvl>
    <w:lvl w:ilvl="1" w:tentative="0">
      <w:start w:val="1"/>
      <w:numFmt w:val="decimal"/>
      <w:pStyle w:val="31"/>
      <w:suff w:val="nothing"/>
      <w:lvlText w:val="表%1.%2　"/>
      <w:lvlJc w:val="left"/>
      <w:pPr>
        <w:ind w:left="567" w:hanging="567"/>
      </w:pPr>
      <w:rPr>
        <w:rFonts w:hint="eastAsia"/>
      </w:rPr>
    </w:lvl>
    <w:lvl w:ilvl="2" w:tentative="0">
      <w:start w:val="1"/>
      <w:numFmt w:val="decimal"/>
      <w:lvlText w:val="%1.%2.%3"/>
      <w:lvlJc w:val="left"/>
      <w:pPr>
        <w:tabs>
          <w:tab w:val="left" w:pos="993"/>
        </w:tabs>
        <w:ind w:left="993" w:hanging="567"/>
      </w:pPr>
      <w:rPr>
        <w:rFonts w:hint="eastAsia"/>
      </w:rPr>
    </w:lvl>
    <w:lvl w:ilvl="3" w:tentative="0">
      <w:start w:val="1"/>
      <w:numFmt w:val="decimal"/>
      <w:lvlText w:val="%1.%2.%3.%4"/>
      <w:lvlJc w:val="left"/>
      <w:pPr>
        <w:tabs>
          <w:tab w:val="left" w:pos="2291"/>
        </w:tabs>
        <w:ind w:left="1559" w:hanging="708"/>
      </w:pPr>
      <w:rPr>
        <w:rFonts w:hint="eastAsia"/>
      </w:rPr>
    </w:lvl>
    <w:lvl w:ilvl="4" w:tentative="0">
      <w:start w:val="1"/>
      <w:numFmt w:val="decimal"/>
      <w:lvlText w:val="%1.%2.%3.%4.%5"/>
      <w:lvlJc w:val="left"/>
      <w:pPr>
        <w:tabs>
          <w:tab w:val="left" w:pos="3076"/>
        </w:tabs>
        <w:ind w:left="2126" w:hanging="850"/>
      </w:pPr>
      <w:rPr>
        <w:rFonts w:hint="eastAsia"/>
      </w:rPr>
    </w:lvl>
    <w:lvl w:ilvl="5" w:tentative="0">
      <w:start w:val="1"/>
      <w:numFmt w:val="decimal"/>
      <w:lvlText w:val="%1.%2.%3.%4.%5.%6"/>
      <w:lvlJc w:val="left"/>
      <w:pPr>
        <w:tabs>
          <w:tab w:val="left" w:pos="3861"/>
        </w:tabs>
        <w:ind w:left="2835" w:hanging="1134"/>
      </w:pPr>
      <w:rPr>
        <w:rFonts w:hint="eastAsia"/>
      </w:rPr>
    </w:lvl>
    <w:lvl w:ilvl="6" w:tentative="0">
      <w:start w:val="1"/>
      <w:numFmt w:val="decimal"/>
      <w:lvlText w:val="%1.%2.%3.%4.%5.%6.%7"/>
      <w:lvlJc w:val="left"/>
      <w:pPr>
        <w:tabs>
          <w:tab w:val="left" w:pos="4646"/>
        </w:tabs>
        <w:ind w:left="3402" w:hanging="1276"/>
      </w:pPr>
      <w:rPr>
        <w:rFonts w:hint="eastAsia"/>
      </w:rPr>
    </w:lvl>
    <w:lvl w:ilvl="7" w:tentative="0">
      <w:start w:val="1"/>
      <w:numFmt w:val="decimal"/>
      <w:lvlText w:val="%1.%2.%3.%4.%5.%6.%7.%8"/>
      <w:lvlJc w:val="left"/>
      <w:pPr>
        <w:tabs>
          <w:tab w:val="left" w:pos="5431"/>
        </w:tabs>
        <w:ind w:left="3969" w:hanging="1418"/>
      </w:pPr>
      <w:rPr>
        <w:rFonts w:hint="eastAsia"/>
      </w:rPr>
    </w:lvl>
    <w:lvl w:ilvl="8" w:tentative="0">
      <w:start w:val="1"/>
      <w:numFmt w:val="decimal"/>
      <w:lvlText w:val="%1.%2.%3.%4.%5.%6.%7.%8.%9"/>
      <w:lvlJc w:val="left"/>
      <w:pPr>
        <w:tabs>
          <w:tab w:val="left" w:pos="6217"/>
        </w:tabs>
        <w:ind w:left="4677" w:hanging="1700"/>
      </w:pPr>
      <w:rPr>
        <w:rFonts w:hint="eastAsia"/>
      </w:rPr>
    </w:lvl>
  </w:abstractNum>
  <w:abstractNum w:abstractNumId="8">
    <w:nsid w:val="646260FA"/>
    <w:multiLevelType w:val="multilevel"/>
    <w:tmpl w:val="646260FA"/>
    <w:lvl w:ilvl="0" w:tentative="0">
      <w:start w:val="1"/>
      <w:numFmt w:val="decimal"/>
      <w:pStyle w:val="15"/>
      <w:suff w:val="nothing"/>
      <w:lvlText w:val="表%1　"/>
      <w:lvlJc w:val="left"/>
      <w:pPr>
        <w:ind w:left="0" w:firstLine="0"/>
      </w:pPr>
      <w:rPr>
        <w:rFonts w:hint="eastAsia" w:ascii="黑体" w:hAnsi="Times New Roman" w:eastAsia="黑体"/>
        <w:b w:val="0"/>
        <w:i w:val="0"/>
        <w:sz w:val="21"/>
      </w:rPr>
    </w:lvl>
    <w:lvl w:ilvl="1" w:tentative="0">
      <w:start w:val="1"/>
      <w:numFmt w:val="decimal"/>
      <w:lvlText w:val="%1.%2"/>
      <w:lvlJc w:val="left"/>
      <w:pPr>
        <w:tabs>
          <w:tab w:val="left" w:pos="992"/>
        </w:tabs>
        <w:ind w:left="992" w:hanging="567"/>
      </w:pPr>
      <w:rPr>
        <w:rFonts w:hint="eastAsia"/>
      </w:rPr>
    </w:lvl>
    <w:lvl w:ilvl="2" w:tentative="0">
      <w:start w:val="1"/>
      <w:numFmt w:val="decimal"/>
      <w:lvlText w:val="%1.%2.%3"/>
      <w:lvlJc w:val="left"/>
      <w:pPr>
        <w:tabs>
          <w:tab w:val="left" w:pos="1418"/>
        </w:tabs>
        <w:ind w:left="1418" w:hanging="567"/>
      </w:pPr>
      <w:rPr>
        <w:rFonts w:hint="eastAsia"/>
      </w:rPr>
    </w:lvl>
    <w:lvl w:ilvl="3" w:tentative="0">
      <w:start w:val="1"/>
      <w:numFmt w:val="decimal"/>
      <w:lvlText w:val="%1.%2.%3.%4"/>
      <w:lvlJc w:val="left"/>
      <w:pPr>
        <w:tabs>
          <w:tab w:val="left" w:pos="1984"/>
        </w:tabs>
        <w:ind w:left="1984" w:hanging="708"/>
      </w:pPr>
      <w:rPr>
        <w:rFonts w:hint="eastAsia"/>
      </w:rPr>
    </w:lvl>
    <w:lvl w:ilvl="4" w:tentative="0">
      <w:start w:val="1"/>
      <w:numFmt w:val="decimal"/>
      <w:lvlText w:val="%1.%2.%3.%4.%5"/>
      <w:lvlJc w:val="left"/>
      <w:pPr>
        <w:tabs>
          <w:tab w:val="left" w:pos="2551"/>
        </w:tabs>
        <w:ind w:left="2551" w:hanging="850"/>
      </w:pPr>
      <w:rPr>
        <w:rFonts w:hint="eastAsia"/>
      </w:rPr>
    </w:lvl>
    <w:lvl w:ilvl="5" w:tentative="0">
      <w:start w:val="1"/>
      <w:numFmt w:val="decimal"/>
      <w:lvlText w:val="%1.%2.%3.%4.%5.%6"/>
      <w:lvlJc w:val="left"/>
      <w:pPr>
        <w:tabs>
          <w:tab w:val="left" w:pos="3260"/>
        </w:tabs>
        <w:ind w:left="3260" w:hanging="1134"/>
      </w:pPr>
      <w:rPr>
        <w:rFonts w:hint="eastAsia"/>
      </w:rPr>
    </w:lvl>
    <w:lvl w:ilvl="6" w:tentative="0">
      <w:start w:val="1"/>
      <w:numFmt w:val="decimal"/>
      <w:lvlText w:val="%1.%2.%3.%4.%5.%6.%7"/>
      <w:lvlJc w:val="left"/>
      <w:pPr>
        <w:tabs>
          <w:tab w:val="left" w:pos="3827"/>
        </w:tabs>
        <w:ind w:left="3827" w:hanging="1276"/>
      </w:pPr>
      <w:rPr>
        <w:rFonts w:hint="eastAsia"/>
      </w:rPr>
    </w:lvl>
    <w:lvl w:ilvl="7" w:tentative="0">
      <w:start w:val="1"/>
      <w:numFmt w:val="decimal"/>
      <w:lvlText w:val="%1.%2.%3.%4.%5.%6.%7.%8"/>
      <w:lvlJc w:val="left"/>
      <w:pPr>
        <w:tabs>
          <w:tab w:val="left" w:pos="4394"/>
        </w:tabs>
        <w:ind w:left="4394" w:hanging="1418"/>
      </w:pPr>
      <w:rPr>
        <w:rFonts w:hint="eastAsia"/>
      </w:rPr>
    </w:lvl>
    <w:lvl w:ilvl="8" w:tentative="0">
      <w:start w:val="1"/>
      <w:numFmt w:val="decimal"/>
      <w:lvlText w:val="%1.%2.%3.%4.%5.%6.%7.%8.%9"/>
      <w:lvlJc w:val="left"/>
      <w:pPr>
        <w:tabs>
          <w:tab w:val="left" w:pos="5102"/>
        </w:tabs>
        <w:ind w:left="5102" w:hanging="1700"/>
      </w:pPr>
      <w:rPr>
        <w:rFonts w:hint="eastAsia"/>
      </w:rPr>
    </w:lvl>
  </w:abstractNum>
  <w:num w:numId="1">
    <w:abstractNumId w:val="8"/>
  </w:num>
  <w:num w:numId="2">
    <w:abstractNumId w:val="5"/>
  </w:num>
  <w:num w:numId="3">
    <w:abstractNumId w:val="3"/>
  </w:num>
  <w:num w:numId="4">
    <w:abstractNumId w:val="0"/>
  </w:num>
  <w:num w:numId="5">
    <w:abstractNumId w:val="4"/>
  </w:num>
  <w:num w:numId="6">
    <w:abstractNumId w:val="2"/>
  </w:num>
  <w:num w:numId="7">
    <w:abstractNumId w:val="1"/>
  </w:num>
  <w:num w:numId="8">
    <w:abstractNumId w:val="7"/>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HorizontalSpacing w:val="105"/>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2062E"/>
    <w:rsid w:val="0000457E"/>
    <w:rsid w:val="00005CA4"/>
    <w:rsid w:val="000107BC"/>
    <w:rsid w:val="00013090"/>
    <w:rsid w:val="00016837"/>
    <w:rsid w:val="00021331"/>
    <w:rsid w:val="00023119"/>
    <w:rsid w:val="00023FE2"/>
    <w:rsid w:val="00024212"/>
    <w:rsid w:val="00024664"/>
    <w:rsid w:val="00032CD6"/>
    <w:rsid w:val="00033257"/>
    <w:rsid w:val="00034233"/>
    <w:rsid w:val="00034BDB"/>
    <w:rsid w:val="00047D7B"/>
    <w:rsid w:val="00053B0B"/>
    <w:rsid w:val="000576D0"/>
    <w:rsid w:val="00057758"/>
    <w:rsid w:val="00060FE2"/>
    <w:rsid w:val="0007330D"/>
    <w:rsid w:val="00073F72"/>
    <w:rsid w:val="00074EB1"/>
    <w:rsid w:val="00076BBA"/>
    <w:rsid w:val="00080F2F"/>
    <w:rsid w:val="0008145A"/>
    <w:rsid w:val="0009177A"/>
    <w:rsid w:val="00093E74"/>
    <w:rsid w:val="000962F6"/>
    <w:rsid w:val="000A0201"/>
    <w:rsid w:val="000A1EAE"/>
    <w:rsid w:val="000A3070"/>
    <w:rsid w:val="000A4601"/>
    <w:rsid w:val="000A77CD"/>
    <w:rsid w:val="000B572A"/>
    <w:rsid w:val="000B6281"/>
    <w:rsid w:val="000D0ACE"/>
    <w:rsid w:val="000D15BE"/>
    <w:rsid w:val="000D5AC8"/>
    <w:rsid w:val="000D6612"/>
    <w:rsid w:val="000D751C"/>
    <w:rsid w:val="000D7F33"/>
    <w:rsid w:val="000F10EB"/>
    <w:rsid w:val="000F3365"/>
    <w:rsid w:val="000F517A"/>
    <w:rsid w:val="000F6467"/>
    <w:rsid w:val="001012D5"/>
    <w:rsid w:val="00101D2E"/>
    <w:rsid w:val="00103B83"/>
    <w:rsid w:val="00105252"/>
    <w:rsid w:val="001062E3"/>
    <w:rsid w:val="00106661"/>
    <w:rsid w:val="0010769F"/>
    <w:rsid w:val="00110864"/>
    <w:rsid w:val="00110F43"/>
    <w:rsid w:val="00112415"/>
    <w:rsid w:val="00113B53"/>
    <w:rsid w:val="00114946"/>
    <w:rsid w:val="00122573"/>
    <w:rsid w:val="00126CA6"/>
    <w:rsid w:val="001273E7"/>
    <w:rsid w:val="00127EB0"/>
    <w:rsid w:val="00131B03"/>
    <w:rsid w:val="00132C5F"/>
    <w:rsid w:val="00133786"/>
    <w:rsid w:val="00134DD4"/>
    <w:rsid w:val="001435D3"/>
    <w:rsid w:val="001449B5"/>
    <w:rsid w:val="001463AC"/>
    <w:rsid w:val="0015152A"/>
    <w:rsid w:val="00156020"/>
    <w:rsid w:val="00156663"/>
    <w:rsid w:val="001611BB"/>
    <w:rsid w:val="00167167"/>
    <w:rsid w:val="001708F8"/>
    <w:rsid w:val="0018112C"/>
    <w:rsid w:val="00183467"/>
    <w:rsid w:val="00190A64"/>
    <w:rsid w:val="00190C6A"/>
    <w:rsid w:val="00191774"/>
    <w:rsid w:val="00191DCE"/>
    <w:rsid w:val="001923CF"/>
    <w:rsid w:val="001925FD"/>
    <w:rsid w:val="001930A1"/>
    <w:rsid w:val="00194FE3"/>
    <w:rsid w:val="00196054"/>
    <w:rsid w:val="0019711F"/>
    <w:rsid w:val="001A0DBF"/>
    <w:rsid w:val="001A3402"/>
    <w:rsid w:val="001B0E92"/>
    <w:rsid w:val="001B36E5"/>
    <w:rsid w:val="001B3B17"/>
    <w:rsid w:val="001C5F01"/>
    <w:rsid w:val="001C793C"/>
    <w:rsid w:val="001D22F0"/>
    <w:rsid w:val="001D64DB"/>
    <w:rsid w:val="001D7816"/>
    <w:rsid w:val="001E48E6"/>
    <w:rsid w:val="001E5000"/>
    <w:rsid w:val="001F07A8"/>
    <w:rsid w:val="001F16E6"/>
    <w:rsid w:val="001F241E"/>
    <w:rsid w:val="001F537A"/>
    <w:rsid w:val="001F660A"/>
    <w:rsid w:val="001F79F5"/>
    <w:rsid w:val="001F7E35"/>
    <w:rsid w:val="00205603"/>
    <w:rsid w:val="00210916"/>
    <w:rsid w:val="002116FB"/>
    <w:rsid w:val="00214221"/>
    <w:rsid w:val="00217683"/>
    <w:rsid w:val="002223DD"/>
    <w:rsid w:val="002231E8"/>
    <w:rsid w:val="00223EB7"/>
    <w:rsid w:val="00224EB8"/>
    <w:rsid w:val="00231E62"/>
    <w:rsid w:val="00232769"/>
    <w:rsid w:val="00244ADA"/>
    <w:rsid w:val="00244C0C"/>
    <w:rsid w:val="002465C7"/>
    <w:rsid w:val="002526F3"/>
    <w:rsid w:val="00254F7A"/>
    <w:rsid w:val="00256FE0"/>
    <w:rsid w:val="002614C6"/>
    <w:rsid w:val="002621E1"/>
    <w:rsid w:val="00262753"/>
    <w:rsid w:val="00262771"/>
    <w:rsid w:val="00262F6C"/>
    <w:rsid w:val="00264A7D"/>
    <w:rsid w:val="00264CE4"/>
    <w:rsid w:val="002651A9"/>
    <w:rsid w:val="00266090"/>
    <w:rsid w:val="0027235B"/>
    <w:rsid w:val="00283085"/>
    <w:rsid w:val="00283E25"/>
    <w:rsid w:val="0029084D"/>
    <w:rsid w:val="00291D7F"/>
    <w:rsid w:val="00291EF3"/>
    <w:rsid w:val="002952AC"/>
    <w:rsid w:val="002A2FCF"/>
    <w:rsid w:val="002A4D06"/>
    <w:rsid w:val="002A5D80"/>
    <w:rsid w:val="002B07E3"/>
    <w:rsid w:val="002B23AB"/>
    <w:rsid w:val="002B2E35"/>
    <w:rsid w:val="002B3D69"/>
    <w:rsid w:val="002B5497"/>
    <w:rsid w:val="002C1D2A"/>
    <w:rsid w:val="002C4FFB"/>
    <w:rsid w:val="002C5534"/>
    <w:rsid w:val="002C611B"/>
    <w:rsid w:val="002C73B6"/>
    <w:rsid w:val="002D49CC"/>
    <w:rsid w:val="002D6D1E"/>
    <w:rsid w:val="002E073F"/>
    <w:rsid w:val="002E7467"/>
    <w:rsid w:val="002E7A35"/>
    <w:rsid w:val="002F34AA"/>
    <w:rsid w:val="002F4B59"/>
    <w:rsid w:val="002F4D7B"/>
    <w:rsid w:val="002F513F"/>
    <w:rsid w:val="002F613B"/>
    <w:rsid w:val="003025DF"/>
    <w:rsid w:val="00303E23"/>
    <w:rsid w:val="00304BFD"/>
    <w:rsid w:val="00306925"/>
    <w:rsid w:val="0031011D"/>
    <w:rsid w:val="003144B8"/>
    <w:rsid w:val="00314640"/>
    <w:rsid w:val="00327623"/>
    <w:rsid w:val="0033375C"/>
    <w:rsid w:val="0034090F"/>
    <w:rsid w:val="00343C24"/>
    <w:rsid w:val="00345BCC"/>
    <w:rsid w:val="00353735"/>
    <w:rsid w:val="00354D06"/>
    <w:rsid w:val="00356D19"/>
    <w:rsid w:val="00357A1D"/>
    <w:rsid w:val="00357E18"/>
    <w:rsid w:val="0036001E"/>
    <w:rsid w:val="00360952"/>
    <w:rsid w:val="00362F10"/>
    <w:rsid w:val="00365252"/>
    <w:rsid w:val="00372A01"/>
    <w:rsid w:val="00372C98"/>
    <w:rsid w:val="00373BAD"/>
    <w:rsid w:val="00374390"/>
    <w:rsid w:val="003754CF"/>
    <w:rsid w:val="00381796"/>
    <w:rsid w:val="00382AB2"/>
    <w:rsid w:val="00386647"/>
    <w:rsid w:val="00391984"/>
    <w:rsid w:val="00392E22"/>
    <w:rsid w:val="00396025"/>
    <w:rsid w:val="003B2F32"/>
    <w:rsid w:val="003B5050"/>
    <w:rsid w:val="003B729F"/>
    <w:rsid w:val="003C2D44"/>
    <w:rsid w:val="003C483D"/>
    <w:rsid w:val="003D3AF0"/>
    <w:rsid w:val="003D48B6"/>
    <w:rsid w:val="003D51D0"/>
    <w:rsid w:val="003D5CB5"/>
    <w:rsid w:val="003D6E58"/>
    <w:rsid w:val="003E330B"/>
    <w:rsid w:val="003E4A86"/>
    <w:rsid w:val="003F284D"/>
    <w:rsid w:val="003F28D0"/>
    <w:rsid w:val="003F3119"/>
    <w:rsid w:val="003F392A"/>
    <w:rsid w:val="003F3AAC"/>
    <w:rsid w:val="003F727B"/>
    <w:rsid w:val="0040035D"/>
    <w:rsid w:val="00403F64"/>
    <w:rsid w:val="00404BD1"/>
    <w:rsid w:val="004050BE"/>
    <w:rsid w:val="0040610D"/>
    <w:rsid w:val="00406A80"/>
    <w:rsid w:val="0042062E"/>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5230"/>
    <w:rsid w:val="00467DEF"/>
    <w:rsid w:val="004715D8"/>
    <w:rsid w:val="004805D0"/>
    <w:rsid w:val="00480BA1"/>
    <w:rsid w:val="004814A9"/>
    <w:rsid w:val="0048357F"/>
    <w:rsid w:val="00484EF3"/>
    <w:rsid w:val="00485212"/>
    <w:rsid w:val="004865C9"/>
    <w:rsid w:val="0049011A"/>
    <w:rsid w:val="00491FE3"/>
    <w:rsid w:val="0049241F"/>
    <w:rsid w:val="0049390C"/>
    <w:rsid w:val="004A25C4"/>
    <w:rsid w:val="004A2878"/>
    <w:rsid w:val="004A614E"/>
    <w:rsid w:val="004A660C"/>
    <w:rsid w:val="004A76AB"/>
    <w:rsid w:val="004B2E7F"/>
    <w:rsid w:val="004C4136"/>
    <w:rsid w:val="004D155D"/>
    <w:rsid w:val="004D2302"/>
    <w:rsid w:val="004D5B22"/>
    <w:rsid w:val="004E3026"/>
    <w:rsid w:val="004F0593"/>
    <w:rsid w:val="004F3F66"/>
    <w:rsid w:val="004F48C2"/>
    <w:rsid w:val="004F74F0"/>
    <w:rsid w:val="004F7FA9"/>
    <w:rsid w:val="005009D1"/>
    <w:rsid w:val="0050156A"/>
    <w:rsid w:val="00505469"/>
    <w:rsid w:val="005066ED"/>
    <w:rsid w:val="005067C2"/>
    <w:rsid w:val="0051028F"/>
    <w:rsid w:val="0051148B"/>
    <w:rsid w:val="00513080"/>
    <w:rsid w:val="00514C97"/>
    <w:rsid w:val="005159F5"/>
    <w:rsid w:val="00526200"/>
    <w:rsid w:val="005269CF"/>
    <w:rsid w:val="00533886"/>
    <w:rsid w:val="0053418A"/>
    <w:rsid w:val="00535AC6"/>
    <w:rsid w:val="00537550"/>
    <w:rsid w:val="0054317B"/>
    <w:rsid w:val="00546DEA"/>
    <w:rsid w:val="005639F8"/>
    <w:rsid w:val="005656AA"/>
    <w:rsid w:val="005742DB"/>
    <w:rsid w:val="00577C08"/>
    <w:rsid w:val="005802BD"/>
    <w:rsid w:val="0058151C"/>
    <w:rsid w:val="00581CE7"/>
    <w:rsid w:val="00582F5C"/>
    <w:rsid w:val="0058472C"/>
    <w:rsid w:val="005870E5"/>
    <w:rsid w:val="005873D6"/>
    <w:rsid w:val="005876DE"/>
    <w:rsid w:val="00596702"/>
    <w:rsid w:val="005A1A17"/>
    <w:rsid w:val="005A4523"/>
    <w:rsid w:val="005A4707"/>
    <w:rsid w:val="005B0CDC"/>
    <w:rsid w:val="005B23F7"/>
    <w:rsid w:val="005B7128"/>
    <w:rsid w:val="005B76D5"/>
    <w:rsid w:val="005B7B7E"/>
    <w:rsid w:val="005C468E"/>
    <w:rsid w:val="005D06D6"/>
    <w:rsid w:val="005D1EE1"/>
    <w:rsid w:val="005D2762"/>
    <w:rsid w:val="005D2AEE"/>
    <w:rsid w:val="005D3F96"/>
    <w:rsid w:val="005D5DDF"/>
    <w:rsid w:val="005D6A5C"/>
    <w:rsid w:val="005E05D4"/>
    <w:rsid w:val="005E207A"/>
    <w:rsid w:val="005E2143"/>
    <w:rsid w:val="005F0995"/>
    <w:rsid w:val="005F1E35"/>
    <w:rsid w:val="005F36D9"/>
    <w:rsid w:val="005F4F92"/>
    <w:rsid w:val="005F6C71"/>
    <w:rsid w:val="005F71EC"/>
    <w:rsid w:val="005F7613"/>
    <w:rsid w:val="006062AE"/>
    <w:rsid w:val="0060656D"/>
    <w:rsid w:val="00606B5A"/>
    <w:rsid w:val="00610884"/>
    <w:rsid w:val="00614347"/>
    <w:rsid w:val="006147DA"/>
    <w:rsid w:val="0062702A"/>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90D6C"/>
    <w:rsid w:val="006945D3"/>
    <w:rsid w:val="006A1BD7"/>
    <w:rsid w:val="006A3112"/>
    <w:rsid w:val="006B1080"/>
    <w:rsid w:val="006B6EA3"/>
    <w:rsid w:val="006C0CC1"/>
    <w:rsid w:val="006C6B87"/>
    <w:rsid w:val="006C70ED"/>
    <w:rsid w:val="006D4B56"/>
    <w:rsid w:val="006D4CCC"/>
    <w:rsid w:val="006D5D5F"/>
    <w:rsid w:val="006E155C"/>
    <w:rsid w:val="006E65EC"/>
    <w:rsid w:val="006E7520"/>
    <w:rsid w:val="006F03ED"/>
    <w:rsid w:val="006F67E6"/>
    <w:rsid w:val="006F77F7"/>
    <w:rsid w:val="00700D32"/>
    <w:rsid w:val="0070138D"/>
    <w:rsid w:val="00701A2B"/>
    <w:rsid w:val="0070266E"/>
    <w:rsid w:val="00705429"/>
    <w:rsid w:val="0070730B"/>
    <w:rsid w:val="00712BC5"/>
    <w:rsid w:val="00715CA4"/>
    <w:rsid w:val="00716EAC"/>
    <w:rsid w:val="00720395"/>
    <w:rsid w:val="00722AAE"/>
    <w:rsid w:val="0072448B"/>
    <w:rsid w:val="007245EF"/>
    <w:rsid w:val="00726016"/>
    <w:rsid w:val="00726F82"/>
    <w:rsid w:val="007432F4"/>
    <w:rsid w:val="0075401E"/>
    <w:rsid w:val="00755471"/>
    <w:rsid w:val="007556A8"/>
    <w:rsid w:val="00756686"/>
    <w:rsid w:val="00760DDA"/>
    <w:rsid w:val="00760FBD"/>
    <w:rsid w:val="007768A2"/>
    <w:rsid w:val="00776FE6"/>
    <w:rsid w:val="007812EA"/>
    <w:rsid w:val="00781F1A"/>
    <w:rsid w:val="00782C84"/>
    <w:rsid w:val="00784D8F"/>
    <w:rsid w:val="007912E9"/>
    <w:rsid w:val="007923BD"/>
    <w:rsid w:val="00793820"/>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C1F"/>
    <w:rsid w:val="007D1773"/>
    <w:rsid w:val="007D3096"/>
    <w:rsid w:val="007D4356"/>
    <w:rsid w:val="007D520B"/>
    <w:rsid w:val="007D5225"/>
    <w:rsid w:val="007D6192"/>
    <w:rsid w:val="007D646F"/>
    <w:rsid w:val="007E0035"/>
    <w:rsid w:val="007F05BA"/>
    <w:rsid w:val="007F1688"/>
    <w:rsid w:val="007F17C2"/>
    <w:rsid w:val="007F3051"/>
    <w:rsid w:val="007F445F"/>
    <w:rsid w:val="007F69C4"/>
    <w:rsid w:val="00800158"/>
    <w:rsid w:val="00800C49"/>
    <w:rsid w:val="00805B1A"/>
    <w:rsid w:val="00812666"/>
    <w:rsid w:val="00816354"/>
    <w:rsid w:val="00825BEF"/>
    <w:rsid w:val="008275DE"/>
    <w:rsid w:val="0083025F"/>
    <w:rsid w:val="00831A4E"/>
    <w:rsid w:val="00834158"/>
    <w:rsid w:val="00834F29"/>
    <w:rsid w:val="00837133"/>
    <w:rsid w:val="00841FDD"/>
    <w:rsid w:val="00843099"/>
    <w:rsid w:val="00844A63"/>
    <w:rsid w:val="00845B6B"/>
    <w:rsid w:val="0085555C"/>
    <w:rsid w:val="0085722C"/>
    <w:rsid w:val="00860076"/>
    <w:rsid w:val="00864B42"/>
    <w:rsid w:val="00864EDC"/>
    <w:rsid w:val="008717FD"/>
    <w:rsid w:val="00872085"/>
    <w:rsid w:val="0087311E"/>
    <w:rsid w:val="008766A7"/>
    <w:rsid w:val="0088023F"/>
    <w:rsid w:val="00884AB2"/>
    <w:rsid w:val="008853E8"/>
    <w:rsid w:val="00890B67"/>
    <w:rsid w:val="00893361"/>
    <w:rsid w:val="00893A8E"/>
    <w:rsid w:val="00893CE3"/>
    <w:rsid w:val="008941F8"/>
    <w:rsid w:val="0089639E"/>
    <w:rsid w:val="0089684C"/>
    <w:rsid w:val="008A328F"/>
    <w:rsid w:val="008A42EB"/>
    <w:rsid w:val="008A4E58"/>
    <w:rsid w:val="008A5709"/>
    <w:rsid w:val="008B1A6F"/>
    <w:rsid w:val="008B35DA"/>
    <w:rsid w:val="008B6562"/>
    <w:rsid w:val="008B7C56"/>
    <w:rsid w:val="008C1BE0"/>
    <w:rsid w:val="008C5328"/>
    <w:rsid w:val="008C6844"/>
    <w:rsid w:val="008D1502"/>
    <w:rsid w:val="008D2E6B"/>
    <w:rsid w:val="008D3059"/>
    <w:rsid w:val="008D44E2"/>
    <w:rsid w:val="008D5C1F"/>
    <w:rsid w:val="008D612C"/>
    <w:rsid w:val="008E0C90"/>
    <w:rsid w:val="008E340A"/>
    <w:rsid w:val="008F024A"/>
    <w:rsid w:val="008F4CD3"/>
    <w:rsid w:val="008F62FB"/>
    <w:rsid w:val="00900B1D"/>
    <w:rsid w:val="00901C67"/>
    <w:rsid w:val="009058DF"/>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724D"/>
    <w:rsid w:val="009510ED"/>
    <w:rsid w:val="00954E13"/>
    <w:rsid w:val="00955098"/>
    <w:rsid w:val="00962A6D"/>
    <w:rsid w:val="009642C6"/>
    <w:rsid w:val="0096452B"/>
    <w:rsid w:val="00975377"/>
    <w:rsid w:val="0097752F"/>
    <w:rsid w:val="00980E2D"/>
    <w:rsid w:val="00981308"/>
    <w:rsid w:val="00983CDC"/>
    <w:rsid w:val="00983E62"/>
    <w:rsid w:val="00984743"/>
    <w:rsid w:val="00985D99"/>
    <w:rsid w:val="00987A4E"/>
    <w:rsid w:val="00987C57"/>
    <w:rsid w:val="0099188F"/>
    <w:rsid w:val="00993328"/>
    <w:rsid w:val="00995822"/>
    <w:rsid w:val="00997A44"/>
    <w:rsid w:val="009A1FC7"/>
    <w:rsid w:val="009A7254"/>
    <w:rsid w:val="009B2BF4"/>
    <w:rsid w:val="009B52A3"/>
    <w:rsid w:val="009B53BA"/>
    <w:rsid w:val="009B609B"/>
    <w:rsid w:val="009B6F4E"/>
    <w:rsid w:val="009B6FA5"/>
    <w:rsid w:val="009B74CD"/>
    <w:rsid w:val="009D1F6F"/>
    <w:rsid w:val="009D38DB"/>
    <w:rsid w:val="009D3D0A"/>
    <w:rsid w:val="009D628E"/>
    <w:rsid w:val="009D62DE"/>
    <w:rsid w:val="009E1F06"/>
    <w:rsid w:val="009E5DEF"/>
    <w:rsid w:val="009E6B6B"/>
    <w:rsid w:val="009F3B36"/>
    <w:rsid w:val="009F79E3"/>
    <w:rsid w:val="00A01A52"/>
    <w:rsid w:val="00A02A0A"/>
    <w:rsid w:val="00A04717"/>
    <w:rsid w:val="00A04E49"/>
    <w:rsid w:val="00A10236"/>
    <w:rsid w:val="00A10B7E"/>
    <w:rsid w:val="00A11E9D"/>
    <w:rsid w:val="00A1598C"/>
    <w:rsid w:val="00A15EDE"/>
    <w:rsid w:val="00A163CB"/>
    <w:rsid w:val="00A24789"/>
    <w:rsid w:val="00A25268"/>
    <w:rsid w:val="00A34924"/>
    <w:rsid w:val="00A35F3F"/>
    <w:rsid w:val="00A40234"/>
    <w:rsid w:val="00A4496C"/>
    <w:rsid w:val="00A51BDA"/>
    <w:rsid w:val="00A52FED"/>
    <w:rsid w:val="00A547EA"/>
    <w:rsid w:val="00A54EE3"/>
    <w:rsid w:val="00A60040"/>
    <w:rsid w:val="00A61125"/>
    <w:rsid w:val="00A64033"/>
    <w:rsid w:val="00A65635"/>
    <w:rsid w:val="00A66230"/>
    <w:rsid w:val="00A66B33"/>
    <w:rsid w:val="00A706DE"/>
    <w:rsid w:val="00A70BEA"/>
    <w:rsid w:val="00A7226B"/>
    <w:rsid w:val="00A77E2C"/>
    <w:rsid w:val="00A806B3"/>
    <w:rsid w:val="00A80E57"/>
    <w:rsid w:val="00A82337"/>
    <w:rsid w:val="00A90118"/>
    <w:rsid w:val="00A90821"/>
    <w:rsid w:val="00A928C5"/>
    <w:rsid w:val="00A94CCD"/>
    <w:rsid w:val="00A955A3"/>
    <w:rsid w:val="00A958C2"/>
    <w:rsid w:val="00A95C9E"/>
    <w:rsid w:val="00A96933"/>
    <w:rsid w:val="00A97D34"/>
    <w:rsid w:val="00AA175E"/>
    <w:rsid w:val="00AA1B3F"/>
    <w:rsid w:val="00AA565B"/>
    <w:rsid w:val="00AA6572"/>
    <w:rsid w:val="00AA6DE0"/>
    <w:rsid w:val="00AB0EDD"/>
    <w:rsid w:val="00AB238D"/>
    <w:rsid w:val="00AC5DC1"/>
    <w:rsid w:val="00AD1275"/>
    <w:rsid w:val="00AD56BA"/>
    <w:rsid w:val="00AE5941"/>
    <w:rsid w:val="00AE7E72"/>
    <w:rsid w:val="00AF00B0"/>
    <w:rsid w:val="00AF0B6E"/>
    <w:rsid w:val="00AF0C1B"/>
    <w:rsid w:val="00AF1152"/>
    <w:rsid w:val="00AF20DE"/>
    <w:rsid w:val="00AF2C7E"/>
    <w:rsid w:val="00AF337C"/>
    <w:rsid w:val="00AF365B"/>
    <w:rsid w:val="00AF3BC9"/>
    <w:rsid w:val="00B0152E"/>
    <w:rsid w:val="00B06F77"/>
    <w:rsid w:val="00B17EA4"/>
    <w:rsid w:val="00B2401D"/>
    <w:rsid w:val="00B271E2"/>
    <w:rsid w:val="00B27F1E"/>
    <w:rsid w:val="00B320E0"/>
    <w:rsid w:val="00B32D83"/>
    <w:rsid w:val="00B35A2B"/>
    <w:rsid w:val="00B44C87"/>
    <w:rsid w:val="00B47772"/>
    <w:rsid w:val="00B525E7"/>
    <w:rsid w:val="00B5298A"/>
    <w:rsid w:val="00B52BC2"/>
    <w:rsid w:val="00B54B9E"/>
    <w:rsid w:val="00B5655B"/>
    <w:rsid w:val="00B602C0"/>
    <w:rsid w:val="00B639CC"/>
    <w:rsid w:val="00B65AA6"/>
    <w:rsid w:val="00B67A38"/>
    <w:rsid w:val="00B736AC"/>
    <w:rsid w:val="00B753D4"/>
    <w:rsid w:val="00B777DB"/>
    <w:rsid w:val="00B804DA"/>
    <w:rsid w:val="00B83BD4"/>
    <w:rsid w:val="00B873B1"/>
    <w:rsid w:val="00B91C42"/>
    <w:rsid w:val="00BB0ED6"/>
    <w:rsid w:val="00BB1C0A"/>
    <w:rsid w:val="00BB4376"/>
    <w:rsid w:val="00BB4A45"/>
    <w:rsid w:val="00BB4B74"/>
    <w:rsid w:val="00BB6FED"/>
    <w:rsid w:val="00BC41B2"/>
    <w:rsid w:val="00BC45B6"/>
    <w:rsid w:val="00BC4F9E"/>
    <w:rsid w:val="00BE0799"/>
    <w:rsid w:val="00BE26D9"/>
    <w:rsid w:val="00BF1119"/>
    <w:rsid w:val="00BF5510"/>
    <w:rsid w:val="00C00C31"/>
    <w:rsid w:val="00C070A2"/>
    <w:rsid w:val="00C10D37"/>
    <w:rsid w:val="00C13A0F"/>
    <w:rsid w:val="00C14C4A"/>
    <w:rsid w:val="00C17E66"/>
    <w:rsid w:val="00C22482"/>
    <w:rsid w:val="00C242A9"/>
    <w:rsid w:val="00C24D87"/>
    <w:rsid w:val="00C3032A"/>
    <w:rsid w:val="00C31C6D"/>
    <w:rsid w:val="00C31FF2"/>
    <w:rsid w:val="00C33C36"/>
    <w:rsid w:val="00C34E53"/>
    <w:rsid w:val="00C37264"/>
    <w:rsid w:val="00C408D1"/>
    <w:rsid w:val="00C44645"/>
    <w:rsid w:val="00C50A3F"/>
    <w:rsid w:val="00C51474"/>
    <w:rsid w:val="00C51847"/>
    <w:rsid w:val="00C55C36"/>
    <w:rsid w:val="00C61072"/>
    <w:rsid w:val="00C6137D"/>
    <w:rsid w:val="00C61540"/>
    <w:rsid w:val="00C61B0C"/>
    <w:rsid w:val="00C634E4"/>
    <w:rsid w:val="00C67D4C"/>
    <w:rsid w:val="00C706FA"/>
    <w:rsid w:val="00C808FE"/>
    <w:rsid w:val="00C81D18"/>
    <w:rsid w:val="00C82258"/>
    <w:rsid w:val="00C82744"/>
    <w:rsid w:val="00C836D9"/>
    <w:rsid w:val="00C84109"/>
    <w:rsid w:val="00C843F0"/>
    <w:rsid w:val="00C85F66"/>
    <w:rsid w:val="00C95F0B"/>
    <w:rsid w:val="00CA0CFD"/>
    <w:rsid w:val="00CA37C8"/>
    <w:rsid w:val="00CA5047"/>
    <w:rsid w:val="00CA7C2A"/>
    <w:rsid w:val="00CC1221"/>
    <w:rsid w:val="00CC4EE7"/>
    <w:rsid w:val="00CD4CC6"/>
    <w:rsid w:val="00CD5C22"/>
    <w:rsid w:val="00CE363E"/>
    <w:rsid w:val="00CF1430"/>
    <w:rsid w:val="00CF1AE4"/>
    <w:rsid w:val="00D0046C"/>
    <w:rsid w:val="00D00979"/>
    <w:rsid w:val="00D01E3B"/>
    <w:rsid w:val="00D05480"/>
    <w:rsid w:val="00D06EEA"/>
    <w:rsid w:val="00D11946"/>
    <w:rsid w:val="00D14F71"/>
    <w:rsid w:val="00D15612"/>
    <w:rsid w:val="00D156E5"/>
    <w:rsid w:val="00D17A89"/>
    <w:rsid w:val="00D204BD"/>
    <w:rsid w:val="00D21619"/>
    <w:rsid w:val="00D21B1B"/>
    <w:rsid w:val="00D220B5"/>
    <w:rsid w:val="00D26063"/>
    <w:rsid w:val="00D30FB0"/>
    <w:rsid w:val="00D32832"/>
    <w:rsid w:val="00D33C76"/>
    <w:rsid w:val="00D34827"/>
    <w:rsid w:val="00D3642E"/>
    <w:rsid w:val="00D41F8D"/>
    <w:rsid w:val="00D451AB"/>
    <w:rsid w:val="00D50991"/>
    <w:rsid w:val="00D578AF"/>
    <w:rsid w:val="00D61DA0"/>
    <w:rsid w:val="00D65D7A"/>
    <w:rsid w:val="00D6793A"/>
    <w:rsid w:val="00D7347C"/>
    <w:rsid w:val="00D74D7F"/>
    <w:rsid w:val="00D75348"/>
    <w:rsid w:val="00D80F6F"/>
    <w:rsid w:val="00D820E3"/>
    <w:rsid w:val="00D9342C"/>
    <w:rsid w:val="00D944CB"/>
    <w:rsid w:val="00DA326B"/>
    <w:rsid w:val="00DA3BCE"/>
    <w:rsid w:val="00DA59FA"/>
    <w:rsid w:val="00DB1157"/>
    <w:rsid w:val="00DB295F"/>
    <w:rsid w:val="00DB29E4"/>
    <w:rsid w:val="00DB3826"/>
    <w:rsid w:val="00DB47DC"/>
    <w:rsid w:val="00DB74F2"/>
    <w:rsid w:val="00DC205C"/>
    <w:rsid w:val="00DC5687"/>
    <w:rsid w:val="00DC6575"/>
    <w:rsid w:val="00DC7A5D"/>
    <w:rsid w:val="00DD00EF"/>
    <w:rsid w:val="00DD1CF8"/>
    <w:rsid w:val="00DD6102"/>
    <w:rsid w:val="00DD71F1"/>
    <w:rsid w:val="00DE00C5"/>
    <w:rsid w:val="00DE3FB5"/>
    <w:rsid w:val="00DF2749"/>
    <w:rsid w:val="00DF60A6"/>
    <w:rsid w:val="00E00D0A"/>
    <w:rsid w:val="00E05B5A"/>
    <w:rsid w:val="00E05F1B"/>
    <w:rsid w:val="00E07B93"/>
    <w:rsid w:val="00E07E15"/>
    <w:rsid w:val="00E1354A"/>
    <w:rsid w:val="00E161F8"/>
    <w:rsid w:val="00E26EE5"/>
    <w:rsid w:val="00E32815"/>
    <w:rsid w:val="00E33554"/>
    <w:rsid w:val="00E40596"/>
    <w:rsid w:val="00E40BA9"/>
    <w:rsid w:val="00E41B77"/>
    <w:rsid w:val="00E45EC3"/>
    <w:rsid w:val="00E47C4F"/>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68E9"/>
    <w:rsid w:val="00EE1FC2"/>
    <w:rsid w:val="00EF670C"/>
    <w:rsid w:val="00F11F09"/>
    <w:rsid w:val="00F1455B"/>
    <w:rsid w:val="00F16D36"/>
    <w:rsid w:val="00F210FD"/>
    <w:rsid w:val="00F250D2"/>
    <w:rsid w:val="00F33087"/>
    <w:rsid w:val="00F350B2"/>
    <w:rsid w:val="00F372A2"/>
    <w:rsid w:val="00F4243D"/>
    <w:rsid w:val="00F4304A"/>
    <w:rsid w:val="00F43155"/>
    <w:rsid w:val="00F44DA4"/>
    <w:rsid w:val="00F45BA7"/>
    <w:rsid w:val="00F45BE9"/>
    <w:rsid w:val="00F46308"/>
    <w:rsid w:val="00F46F4A"/>
    <w:rsid w:val="00F52CE1"/>
    <w:rsid w:val="00F57917"/>
    <w:rsid w:val="00F60788"/>
    <w:rsid w:val="00F7063D"/>
    <w:rsid w:val="00F70C88"/>
    <w:rsid w:val="00F7168A"/>
    <w:rsid w:val="00F734AD"/>
    <w:rsid w:val="00F745D9"/>
    <w:rsid w:val="00F76618"/>
    <w:rsid w:val="00F76E42"/>
    <w:rsid w:val="00F81D1B"/>
    <w:rsid w:val="00F83FBC"/>
    <w:rsid w:val="00F841A7"/>
    <w:rsid w:val="00F84292"/>
    <w:rsid w:val="00F85E04"/>
    <w:rsid w:val="00F864DA"/>
    <w:rsid w:val="00F9134D"/>
    <w:rsid w:val="00F916DA"/>
    <w:rsid w:val="00F92643"/>
    <w:rsid w:val="00F936B3"/>
    <w:rsid w:val="00F97F7D"/>
    <w:rsid w:val="00FA0333"/>
    <w:rsid w:val="00FA19D5"/>
    <w:rsid w:val="00FA3EE8"/>
    <w:rsid w:val="00FA6669"/>
    <w:rsid w:val="00FA7639"/>
    <w:rsid w:val="00FB3457"/>
    <w:rsid w:val="00FB3E2C"/>
    <w:rsid w:val="00FB695B"/>
    <w:rsid w:val="00FC037E"/>
    <w:rsid w:val="00FC19B9"/>
    <w:rsid w:val="00FC4DE3"/>
    <w:rsid w:val="00FC6716"/>
    <w:rsid w:val="00FD00A5"/>
    <w:rsid w:val="00FD4B0F"/>
    <w:rsid w:val="00FE0661"/>
    <w:rsid w:val="00FF0C09"/>
    <w:rsid w:val="00FF1DD7"/>
    <w:rsid w:val="00FF3775"/>
    <w:rsid w:val="01CE5D1C"/>
    <w:rsid w:val="0358342F"/>
    <w:rsid w:val="039E595D"/>
    <w:rsid w:val="03C54999"/>
    <w:rsid w:val="047563BF"/>
    <w:rsid w:val="050910C4"/>
    <w:rsid w:val="06F7130D"/>
    <w:rsid w:val="070F07F6"/>
    <w:rsid w:val="072B70B6"/>
    <w:rsid w:val="08083403"/>
    <w:rsid w:val="084A1FBD"/>
    <w:rsid w:val="08E17105"/>
    <w:rsid w:val="09BE5E2A"/>
    <w:rsid w:val="0A091F73"/>
    <w:rsid w:val="0A8504E9"/>
    <w:rsid w:val="0ABF308F"/>
    <w:rsid w:val="0BE04A65"/>
    <w:rsid w:val="0BE1433A"/>
    <w:rsid w:val="0C2030B4"/>
    <w:rsid w:val="0C903D00"/>
    <w:rsid w:val="0CE340E1"/>
    <w:rsid w:val="0D5B011C"/>
    <w:rsid w:val="0D92619C"/>
    <w:rsid w:val="0DFC18FF"/>
    <w:rsid w:val="0E2C3DC4"/>
    <w:rsid w:val="0EDB32C2"/>
    <w:rsid w:val="0F412CA9"/>
    <w:rsid w:val="0FD566D2"/>
    <w:rsid w:val="105F7F23"/>
    <w:rsid w:val="10F36FE9"/>
    <w:rsid w:val="114E06C3"/>
    <w:rsid w:val="1319085D"/>
    <w:rsid w:val="13B2170D"/>
    <w:rsid w:val="13B97480"/>
    <w:rsid w:val="14034EB5"/>
    <w:rsid w:val="14332C51"/>
    <w:rsid w:val="14870494"/>
    <w:rsid w:val="15085E8C"/>
    <w:rsid w:val="15174F60"/>
    <w:rsid w:val="1556095A"/>
    <w:rsid w:val="167D7F24"/>
    <w:rsid w:val="16C46D32"/>
    <w:rsid w:val="17306AB5"/>
    <w:rsid w:val="17373F64"/>
    <w:rsid w:val="17FF6273"/>
    <w:rsid w:val="19296ABE"/>
    <w:rsid w:val="19A054D6"/>
    <w:rsid w:val="19F416DC"/>
    <w:rsid w:val="1A2E2E40"/>
    <w:rsid w:val="1A705206"/>
    <w:rsid w:val="1A89451A"/>
    <w:rsid w:val="1B0717C8"/>
    <w:rsid w:val="1BAA0BEC"/>
    <w:rsid w:val="1BE33681"/>
    <w:rsid w:val="1C360B2F"/>
    <w:rsid w:val="1D9456B0"/>
    <w:rsid w:val="1DA358F3"/>
    <w:rsid w:val="1F391F6D"/>
    <w:rsid w:val="1FE10954"/>
    <w:rsid w:val="200900BE"/>
    <w:rsid w:val="20254CE5"/>
    <w:rsid w:val="20653288"/>
    <w:rsid w:val="206A26F8"/>
    <w:rsid w:val="20E97AC1"/>
    <w:rsid w:val="21862EC6"/>
    <w:rsid w:val="237A2B2A"/>
    <w:rsid w:val="241E5CD3"/>
    <w:rsid w:val="27547C5E"/>
    <w:rsid w:val="28B27332"/>
    <w:rsid w:val="28E041B8"/>
    <w:rsid w:val="29086F52"/>
    <w:rsid w:val="2A0911D4"/>
    <w:rsid w:val="2C4F36F5"/>
    <w:rsid w:val="2CD915F0"/>
    <w:rsid w:val="2D5F22BD"/>
    <w:rsid w:val="2EE61BB1"/>
    <w:rsid w:val="2F6B1FE9"/>
    <w:rsid w:val="2FF37D11"/>
    <w:rsid w:val="3013049D"/>
    <w:rsid w:val="30851151"/>
    <w:rsid w:val="31216E03"/>
    <w:rsid w:val="3163741B"/>
    <w:rsid w:val="32116E77"/>
    <w:rsid w:val="32B17551"/>
    <w:rsid w:val="32C0264B"/>
    <w:rsid w:val="33036E80"/>
    <w:rsid w:val="332C3D99"/>
    <w:rsid w:val="332E1CAB"/>
    <w:rsid w:val="337C47C4"/>
    <w:rsid w:val="337C5EB5"/>
    <w:rsid w:val="35A63D7A"/>
    <w:rsid w:val="363B44C3"/>
    <w:rsid w:val="365875C5"/>
    <w:rsid w:val="39356049"/>
    <w:rsid w:val="3A0827D2"/>
    <w:rsid w:val="3B09606F"/>
    <w:rsid w:val="3B4E60E4"/>
    <w:rsid w:val="3B7346FF"/>
    <w:rsid w:val="3BC92571"/>
    <w:rsid w:val="3BFE2074"/>
    <w:rsid w:val="3C04508F"/>
    <w:rsid w:val="3F585F85"/>
    <w:rsid w:val="3F8C7277"/>
    <w:rsid w:val="3FA0222F"/>
    <w:rsid w:val="3FD217BA"/>
    <w:rsid w:val="41B33AA7"/>
    <w:rsid w:val="42093C01"/>
    <w:rsid w:val="42D769B6"/>
    <w:rsid w:val="44A75C86"/>
    <w:rsid w:val="44F600D3"/>
    <w:rsid w:val="45617704"/>
    <w:rsid w:val="4597548E"/>
    <w:rsid w:val="48B048DB"/>
    <w:rsid w:val="49177011"/>
    <w:rsid w:val="4A4E6A63"/>
    <w:rsid w:val="4AC9433B"/>
    <w:rsid w:val="4B8C0594"/>
    <w:rsid w:val="4BD034A7"/>
    <w:rsid w:val="4BD97A02"/>
    <w:rsid w:val="4C0F7B1B"/>
    <w:rsid w:val="4C4A14AC"/>
    <w:rsid w:val="4CFE380A"/>
    <w:rsid w:val="4D862B8C"/>
    <w:rsid w:val="4DFF35F5"/>
    <w:rsid w:val="4E5B79A0"/>
    <w:rsid w:val="4EF47599"/>
    <w:rsid w:val="4FB969F3"/>
    <w:rsid w:val="4FE3578A"/>
    <w:rsid w:val="517B2107"/>
    <w:rsid w:val="51AD50EA"/>
    <w:rsid w:val="524D7A1A"/>
    <w:rsid w:val="52D375E1"/>
    <w:rsid w:val="53223354"/>
    <w:rsid w:val="534D53DE"/>
    <w:rsid w:val="54E94B5B"/>
    <w:rsid w:val="550D3076"/>
    <w:rsid w:val="55661639"/>
    <w:rsid w:val="55684751"/>
    <w:rsid w:val="55761622"/>
    <w:rsid w:val="56220387"/>
    <w:rsid w:val="578C0BCA"/>
    <w:rsid w:val="58C46142"/>
    <w:rsid w:val="59C02DAD"/>
    <w:rsid w:val="59F42A57"/>
    <w:rsid w:val="5AA44FD9"/>
    <w:rsid w:val="5BA27654"/>
    <w:rsid w:val="5BB701E0"/>
    <w:rsid w:val="5BD857FA"/>
    <w:rsid w:val="5C080481"/>
    <w:rsid w:val="5C602626"/>
    <w:rsid w:val="5E202145"/>
    <w:rsid w:val="5F621BCD"/>
    <w:rsid w:val="5FB01C67"/>
    <w:rsid w:val="6031647B"/>
    <w:rsid w:val="60487659"/>
    <w:rsid w:val="62F74A7A"/>
    <w:rsid w:val="64724055"/>
    <w:rsid w:val="654523B9"/>
    <w:rsid w:val="65536A9F"/>
    <w:rsid w:val="657131AE"/>
    <w:rsid w:val="668E2223"/>
    <w:rsid w:val="67876CB8"/>
    <w:rsid w:val="683026D9"/>
    <w:rsid w:val="685A43CD"/>
    <w:rsid w:val="689A6DDC"/>
    <w:rsid w:val="68F0088D"/>
    <w:rsid w:val="69140A20"/>
    <w:rsid w:val="693F388B"/>
    <w:rsid w:val="699D27C3"/>
    <w:rsid w:val="6A002D52"/>
    <w:rsid w:val="6ADB1DB9"/>
    <w:rsid w:val="6B6B09F5"/>
    <w:rsid w:val="6BEB1F0C"/>
    <w:rsid w:val="6C922BCE"/>
    <w:rsid w:val="6D6D4BA2"/>
    <w:rsid w:val="6DBA21A1"/>
    <w:rsid w:val="6E12550B"/>
    <w:rsid w:val="6EB26D11"/>
    <w:rsid w:val="70074E3A"/>
    <w:rsid w:val="710F044A"/>
    <w:rsid w:val="73731F46"/>
    <w:rsid w:val="758E3908"/>
    <w:rsid w:val="77EA776B"/>
    <w:rsid w:val="78AF3D07"/>
    <w:rsid w:val="79F857F4"/>
    <w:rsid w:val="7AAC4F5C"/>
    <w:rsid w:val="7AF5051C"/>
    <w:rsid w:val="7B38059E"/>
    <w:rsid w:val="7BBA680A"/>
    <w:rsid w:val="7BE826AE"/>
    <w:rsid w:val="7C9B7036"/>
    <w:rsid w:val="7CCF532E"/>
    <w:rsid w:val="7CE36981"/>
    <w:rsid w:val="7DF2712A"/>
    <w:rsid w:val="7E00338F"/>
    <w:rsid w:val="7ECB17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qFormat="1" w:uiPriority="99" w:semiHidden="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iPriority="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iPriority="99"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99"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ind w:firstLine="880" w:firstLineChars="200"/>
      <w:jc w:val="both"/>
    </w:pPr>
    <w:rPr>
      <w:rFonts w:ascii="Times New Roman" w:hAnsi="Times New Roman" w:eastAsia="仿宋_GB2312" w:cs="Times New Roman"/>
      <w:kern w:val="2"/>
      <w:sz w:val="32"/>
      <w:szCs w:val="24"/>
      <w:lang w:val="en-US" w:eastAsia="zh-CN" w:bidi="ar-SA"/>
    </w:rPr>
  </w:style>
  <w:style w:type="character" w:default="1" w:styleId="11">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customStyle="1" w:styleId="2">
    <w:name w:val="Default"/>
    <w:next w:val="3"/>
    <w:qFormat/>
    <w:uiPriority w:val="0"/>
    <w:pPr>
      <w:widowControl w:val="0"/>
      <w:autoSpaceDE w:val="0"/>
      <w:autoSpaceDN w:val="0"/>
      <w:adjustRightInd w:val="0"/>
    </w:pPr>
    <w:rPr>
      <w:rFonts w:ascii="宋体" w:hAnsi="Calibri" w:eastAsia="宋体" w:cs="宋体"/>
      <w:color w:val="000000"/>
      <w:sz w:val="24"/>
      <w:szCs w:val="24"/>
      <w:lang w:val="en-US" w:eastAsia="zh-CN" w:bidi="ar-SA"/>
    </w:rPr>
  </w:style>
  <w:style w:type="paragraph" w:styleId="3">
    <w:name w:val="index 6"/>
    <w:next w:val="1"/>
    <w:unhideWhenUsed/>
    <w:qFormat/>
    <w:uiPriority w:val="99"/>
    <w:pPr>
      <w:widowControl w:val="0"/>
      <w:ind w:left="2100"/>
      <w:jc w:val="both"/>
    </w:pPr>
    <w:rPr>
      <w:rFonts w:ascii="Times New Roman" w:hAnsi="Times New Roman" w:eastAsia="宋体" w:cs="Times New Roman"/>
      <w:kern w:val="2"/>
      <w:sz w:val="21"/>
      <w:szCs w:val="24"/>
      <w:lang w:val="en-US" w:eastAsia="zh-CN" w:bidi="ar-SA"/>
    </w:rPr>
  </w:style>
  <w:style w:type="paragraph" w:styleId="4">
    <w:name w:val="annotation text"/>
    <w:basedOn w:val="1"/>
    <w:semiHidden/>
    <w:unhideWhenUsed/>
    <w:qFormat/>
    <w:uiPriority w:val="0"/>
    <w:pPr>
      <w:jc w:val="left"/>
    </w:pPr>
  </w:style>
  <w:style w:type="paragraph" w:styleId="5">
    <w:name w:val="Balloon Text"/>
    <w:basedOn w:val="1"/>
    <w:link w:val="38"/>
    <w:semiHidden/>
    <w:unhideWhenUsed/>
    <w:qFormat/>
    <w:uiPriority w:val="0"/>
    <w:rPr>
      <w:sz w:val="18"/>
      <w:szCs w:val="18"/>
    </w:rPr>
  </w:style>
  <w:style w:type="paragraph" w:styleId="6">
    <w:name w:val="footer"/>
    <w:basedOn w:val="1"/>
    <w:link w:val="30"/>
    <w:qFormat/>
    <w:uiPriority w:val="99"/>
    <w:pPr>
      <w:tabs>
        <w:tab w:val="center" w:pos="4153"/>
        <w:tab w:val="right" w:pos="8306"/>
      </w:tabs>
      <w:snapToGrid w:val="0"/>
      <w:jc w:val="left"/>
    </w:pPr>
    <w:rPr>
      <w:sz w:val="18"/>
      <w:szCs w:val="18"/>
    </w:rPr>
  </w:style>
  <w:style w:type="paragraph" w:styleId="7">
    <w:name w:val="header"/>
    <w:basedOn w:val="1"/>
    <w:link w:val="29"/>
    <w:qFormat/>
    <w:uiPriority w:val="0"/>
    <w:pPr>
      <w:pBdr>
        <w:bottom w:val="single" w:color="auto" w:sz="6" w:space="1"/>
      </w:pBdr>
      <w:tabs>
        <w:tab w:val="center" w:pos="4153"/>
        <w:tab w:val="right" w:pos="8306"/>
      </w:tabs>
      <w:snapToGrid w:val="0"/>
      <w:jc w:val="center"/>
    </w:pPr>
    <w:rPr>
      <w:sz w:val="18"/>
      <w:szCs w:val="18"/>
    </w:rPr>
  </w:style>
  <w:style w:type="paragraph" w:styleId="8">
    <w:name w:val="Normal (Web)"/>
    <w:basedOn w:val="1"/>
    <w:qFormat/>
    <w:uiPriority w:val="99"/>
    <w:pPr>
      <w:spacing w:before="100" w:beforeAutospacing="1" w:after="100" w:afterAutospacing="1"/>
      <w:jc w:val="left"/>
    </w:pPr>
    <w:rPr>
      <w:kern w:val="0"/>
      <w:sz w:val="24"/>
    </w:rPr>
  </w:style>
  <w:style w:type="table" w:styleId="10">
    <w:name w:val="Table Grid"/>
    <w:basedOn w:val="9"/>
    <w:qFormat/>
    <w:uiPriority w:val="39"/>
    <w:rPr>
      <w:rFonts w:ascii="宋体"/>
      <w:sz w:val="18"/>
      <w:szCs w:val="18"/>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2">
    <w:name w:val="Hyperlink"/>
    <w:basedOn w:val="11"/>
    <w:unhideWhenUsed/>
    <w:qFormat/>
    <w:uiPriority w:val="99"/>
    <w:rPr>
      <w:color w:val="0000FF"/>
      <w:u w:val="single"/>
    </w:rPr>
  </w:style>
  <w:style w:type="paragraph" w:customStyle="1" w:styleId="13">
    <w:name w:val="段"/>
    <w:link w:val="28"/>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4">
    <w:name w:val="正文表标题"/>
    <w:next w:val="13"/>
    <w:qFormat/>
    <w:uiPriority w:val="0"/>
    <w:pPr>
      <w:spacing w:beforeLines="50" w:afterLines="50"/>
      <w:jc w:val="center"/>
    </w:pPr>
    <w:rPr>
      <w:rFonts w:ascii="黑体" w:hAnsi="Times New Roman" w:eastAsia="黑体" w:cs="Times New Roman"/>
      <w:sz w:val="21"/>
      <w:lang w:val="en-US" w:eastAsia="zh-CN" w:bidi="ar-SA"/>
    </w:rPr>
  </w:style>
  <w:style w:type="paragraph" w:customStyle="1" w:styleId="15">
    <w:name w:val="正文图标题"/>
    <w:next w:val="13"/>
    <w:qFormat/>
    <w:uiPriority w:val="0"/>
    <w:pPr>
      <w:numPr>
        <w:ilvl w:val="0"/>
        <w:numId w:val="1"/>
      </w:numPr>
      <w:tabs>
        <w:tab w:val="left" w:pos="360"/>
      </w:tabs>
      <w:spacing w:beforeLines="50" w:afterLines="50"/>
      <w:jc w:val="center"/>
    </w:pPr>
    <w:rPr>
      <w:rFonts w:ascii="黑体" w:hAnsi="Times New Roman" w:eastAsia="黑体" w:cs="Times New Roman"/>
      <w:sz w:val="21"/>
      <w:lang w:val="en-US" w:eastAsia="zh-CN" w:bidi="ar-SA"/>
    </w:rPr>
  </w:style>
  <w:style w:type="paragraph" w:customStyle="1" w:styleId="16">
    <w:name w:val="其他发布日期"/>
    <w:basedOn w:val="1"/>
    <w:qFormat/>
    <w:uiPriority w:val="0"/>
    <w:pPr>
      <w:framePr w:w="3997" w:h="471" w:hRule="exact" w:vSpace="181" w:wrap="around" w:vAnchor="page" w:hAnchor="page" w:x="1419" w:y="14097" w:anchorLock="1"/>
      <w:widowControl/>
      <w:numPr>
        <w:ilvl w:val="0"/>
        <w:numId w:val="2"/>
      </w:numPr>
      <w:jc w:val="left"/>
    </w:pPr>
    <w:rPr>
      <w:rFonts w:eastAsia="黑体"/>
      <w:kern w:val="0"/>
      <w:sz w:val="28"/>
      <w:szCs w:val="20"/>
    </w:rPr>
  </w:style>
  <w:style w:type="paragraph" w:customStyle="1" w:styleId="17">
    <w:name w:val="一级条标题"/>
    <w:next w:val="13"/>
    <w:qFormat/>
    <w:uiPriority w:val="0"/>
    <w:pPr>
      <w:numPr>
        <w:ilvl w:val="1"/>
        <w:numId w:val="3"/>
      </w:numPr>
      <w:spacing w:beforeLines="50" w:afterLines="50"/>
      <w:outlineLvl w:val="2"/>
    </w:pPr>
    <w:rPr>
      <w:rFonts w:ascii="黑体" w:hAnsi="Times New Roman" w:eastAsia="黑体" w:cs="Times New Roman"/>
      <w:sz w:val="21"/>
      <w:szCs w:val="21"/>
      <w:lang w:val="en-US" w:eastAsia="zh-CN" w:bidi="ar-SA"/>
    </w:rPr>
  </w:style>
  <w:style w:type="paragraph" w:customStyle="1" w:styleId="18">
    <w:name w:val="章标题"/>
    <w:next w:val="13"/>
    <w:qFormat/>
    <w:uiPriority w:val="0"/>
    <w:pPr>
      <w:numPr>
        <w:ilvl w:val="0"/>
        <w:numId w:val="3"/>
      </w:numPr>
      <w:spacing w:beforeLines="100" w:afterLines="100"/>
      <w:jc w:val="both"/>
      <w:outlineLvl w:val="1"/>
    </w:pPr>
    <w:rPr>
      <w:rFonts w:ascii="黑体" w:hAnsi="Times New Roman" w:eastAsia="黑体" w:cs="Times New Roman"/>
      <w:sz w:val="21"/>
      <w:lang w:val="en-US" w:eastAsia="zh-CN" w:bidi="ar-SA"/>
    </w:rPr>
  </w:style>
  <w:style w:type="paragraph" w:customStyle="1" w:styleId="19">
    <w:name w:val="二级条标题"/>
    <w:basedOn w:val="17"/>
    <w:next w:val="13"/>
    <w:qFormat/>
    <w:uiPriority w:val="0"/>
    <w:pPr>
      <w:numPr>
        <w:ilvl w:val="2"/>
      </w:numPr>
      <w:spacing w:before="50" w:after="50"/>
      <w:outlineLvl w:val="3"/>
    </w:pPr>
  </w:style>
  <w:style w:type="paragraph" w:customStyle="1" w:styleId="20">
    <w:name w:val="三级条标题"/>
    <w:basedOn w:val="19"/>
    <w:next w:val="13"/>
    <w:qFormat/>
    <w:uiPriority w:val="0"/>
    <w:pPr>
      <w:numPr>
        <w:ilvl w:val="3"/>
      </w:numPr>
      <w:outlineLvl w:val="4"/>
    </w:pPr>
  </w:style>
  <w:style w:type="paragraph" w:customStyle="1" w:styleId="21">
    <w:name w:val="四级条标题"/>
    <w:basedOn w:val="20"/>
    <w:next w:val="13"/>
    <w:qFormat/>
    <w:uiPriority w:val="0"/>
    <w:pPr>
      <w:numPr>
        <w:ilvl w:val="4"/>
      </w:numPr>
      <w:outlineLvl w:val="5"/>
    </w:pPr>
  </w:style>
  <w:style w:type="paragraph" w:customStyle="1" w:styleId="22">
    <w:name w:val="五级条标题"/>
    <w:basedOn w:val="21"/>
    <w:next w:val="13"/>
    <w:qFormat/>
    <w:uiPriority w:val="0"/>
    <w:pPr>
      <w:numPr>
        <w:ilvl w:val="5"/>
      </w:numPr>
      <w:outlineLvl w:val="6"/>
    </w:pPr>
  </w:style>
  <w:style w:type="paragraph" w:customStyle="1" w:styleId="23">
    <w:name w:val="注："/>
    <w:next w:val="13"/>
    <w:qFormat/>
    <w:uiPriority w:val="0"/>
    <w:pPr>
      <w:widowControl w:val="0"/>
      <w:numPr>
        <w:ilvl w:val="0"/>
        <w:numId w:val="4"/>
      </w:numPr>
      <w:autoSpaceDE w:val="0"/>
      <w:autoSpaceDN w:val="0"/>
      <w:ind w:left="726" w:hanging="363"/>
      <w:jc w:val="both"/>
    </w:pPr>
    <w:rPr>
      <w:rFonts w:ascii="宋体" w:hAnsi="Times New Roman" w:eastAsia="宋体" w:cs="Times New Roman"/>
      <w:sz w:val="18"/>
      <w:szCs w:val="18"/>
      <w:lang w:val="en-US" w:eastAsia="zh-CN" w:bidi="ar-SA"/>
    </w:rPr>
  </w:style>
  <w:style w:type="paragraph" w:customStyle="1" w:styleId="24">
    <w:name w:val="附录图标号"/>
    <w:basedOn w:val="1"/>
    <w:qFormat/>
    <w:uiPriority w:val="0"/>
    <w:pPr>
      <w:keepNext/>
      <w:pageBreakBefore/>
      <w:widowControl/>
      <w:numPr>
        <w:ilvl w:val="0"/>
        <w:numId w:val="5"/>
      </w:numPr>
      <w:spacing w:line="14" w:lineRule="exact"/>
      <w:ind w:left="0" w:firstLine="363"/>
      <w:jc w:val="center"/>
      <w:outlineLvl w:val="0"/>
    </w:pPr>
    <w:rPr>
      <w:color w:val="FFFFFF"/>
    </w:rPr>
  </w:style>
  <w:style w:type="paragraph" w:customStyle="1" w:styleId="25">
    <w:name w:val="附录图标题"/>
    <w:basedOn w:val="1"/>
    <w:next w:val="13"/>
    <w:qFormat/>
    <w:uiPriority w:val="0"/>
    <w:pPr>
      <w:numPr>
        <w:ilvl w:val="1"/>
        <w:numId w:val="5"/>
      </w:numPr>
      <w:tabs>
        <w:tab w:val="left" w:pos="363"/>
      </w:tabs>
      <w:spacing w:beforeLines="50" w:afterLines="50"/>
      <w:ind w:left="0" w:firstLine="0"/>
      <w:jc w:val="center"/>
    </w:pPr>
    <w:rPr>
      <w:rFonts w:ascii="黑体" w:eastAsia="黑体"/>
      <w:szCs w:val="21"/>
    </w:rPr>
  </w:style>
  <w:style w:type="paragraph" w:customStyle="1" w:styleId="26">
    <w:name w:val="注×：（正文）"/>
    <w:qFormat/>
    <w:uiPriority w:val="0"/>
    <w:pPr>
      <w:numPr>
        <w:ilvl w:val="0"/>
        <w:numId w:val="6"/>
      </w:numPr>
      <w:jc w:val="both"/>
    </w:pPr>
    <w:rPr>
      <w:rFonts w:ascii="宋体" w:hAnsi="Times New Roman" w:eastAsia="宋体" w:cs="Times New Roman"/>
      <w:sz w:val="18"/>
      <w:szCs w:val="18"/>
      <w:lang w:val="en-US" w:eastAsia="zh-CN" w:bidi="ar-SA"/>
    </w:rPr>
  </w:style>
  <w:style w:type="paragraph" w:customStyle="1" w:styleId="27">
    <w:name w:val="图表脚注说明"/>
    <w:basedOn w:val="1"/>
    <w:qFormat/>
    <w:uiPriority w:val="0"/>
    <w:pPr>
      <w:numPr>
        <w:ilvl w:val="0"/>
        <w:numId w:val="7"/>
      </w:numPr>
    </w:pPr>
    <w:rPr>
      <w:rFonts w:ascii="宋体"/>
      <w:sz w:val="18"/>
      <w:szCs w:val="18"/>
    </w:rPr>
  </w:style>
  <w:style w:type="character" w:customStyle="1" w:styleId="28">
    <w:name w:val="段 Char"/>
    <w:basedOn w:val="11"/>
    <w:link w:val="13"/>
    <w:qFormat/>
    <w:uiPriority w:val="0"/>
    <w:rPr>
      <w:rFonts w:ascii="宋体"/>
      <w:sz w:val="21"/>
      <w:lang w:val="en-US" w:eastAsia="zh-CN" w:bidi="ar-SA"/>
    </w:rPr>
  </w:style>
  <w:style w:type="character" w:customStyle="1" w:styleId="29">
    <w:name w:val="页眉 字符"/>
    <w:basedOn w:val="11"/>
    <w:link w:val="7"/>
    <w:qFormat/>
    <w:uiPriority w:val="0"/>
    <w:rPr>
      <w:kern w:val="2"/>
      <w:sz w:val="18"/>
      <w:szCs w:val="18"/>
    </w:rPr>
  </w:style>
  <w:style w:type="character" w:customStyle="1" w:styleId="30">
    <w:name w:val="页脚 字符"/>
    <w:basedOn w:val="11"/>
    <w:link w:val="6"/>
    <w:qFormat/>
    <w:uiPriority w:val="99"/>
    <w:rPr>
      <w:kern w:val="2"/>
      <w:sz w:val="18"/>
      <w:szCs w:val="18"/>
    </w:rPr>
  </w:style>
  <w:style w:type="paragraph" w:customStyle="1" w:styleId="31">
    <w:name w:val="附录表标题"/>
    <w:basedOn w:val="1"/>
    <w:next w:val="13"/>
    <w:qFormat/>
    <w:uiPriority w:val="0"/>
    <w:pPr>
      <w:numPr>
        <w:ilvl w:val="1"/>
        <w:numId w:val="8"/>
      </w:numPr>
      <w:tabs>
        <w:tab w:val="left" w:pos="180"/>
      </w:tabs>
      <w:spacing w:beforeLines="50" w:afterLines="50"/>
      <w:ind w:left="0" w:firstLine="0"/>
      <w:jc w:val="center"/>
    </w:pPr>
    <w:rPr>
      <w:rFonts w:ascii="黑体" w:eastAsia="黑体"/>
      <w:szCs w:val="21"/>
    </w:rPr>
  </w:style>
  <w:style w:type="paragraph" w:styleId="32">
    <w:name w:val="List Paragraph"/>
    <w:basedOn w:val="1"/>
    <w:unhideWhenUsed/>
    <w:qFormat/>
    <w:uiPriority w:val="34"/>
    <w:pPr>
      <w:ind w:firstLine="420"/>
    </w:pPr>
  </w:style>
  <w:style w:type="paragraph" w:customStyle="1" w:styleId="33">
    <w:name w:val="其他标准称谓"/>
    <w:qFormat/>
    <w:uiPriority w:val="0"/>
    <w:pPr>
      <w:spacing w:line="0" w:lineRule="atLeast"/>
      <w:jc w:val="distribute"/>
    </w:pPr>
    <w:rPr>
      <w:rFonts w:ascii="黑体" w:hAnsi="宋体" w:eastAsia="黑体" w:cs="Times New Roman"/>
      <w:sz w:val="52"/>
      <w:lang w:val="en-US" w:eastAsia="zh-CN" w:bidi="ar-SA"/>
    </w:rPr>
  </w:style>
  <w:style w:type="paragraph" w:customStyle="1" w:styleId="34">
    <w:name w:val="封面标准号1"/>
    <w:qFormat/>
    <w:uiPriority w:val="0"/>
    <w:pPr>
      <w:widowControl w:val="0"/>
      <w:kinsoku w:val="0"/>
      <w:overflowPunct w:val="0"/>
      <w:autoSpaceDE w:val="0"/>
      <w:autoSpaceDN w:val="0"/>
      <w:spacing w:before="308"/>
      <w:jc w:val="right"/>
      <w:textAlignment w:val="center"/>
    </w:pPr>
    <w:rPr>
      <w:rFonts w:ascii="Times New Roman" w:hAnsi="Times New Roman" w:eastAsia="宋体" w:cs="Times New Roman"/>
      <w:sz w:val="28"/>
      <w:lang w:val="en-US" w:eastAsia="zh-CN" w:bidi="ar-SA"/>
    </w:rPr>
  </w:style>
  <w:style w:type="character" w:customStyle="1" w:styleId="35">
    <w:name w:val="发布"/>
    <w:qFormat/>
    <w:uiPriority w:val="0"/>
    <w:rPr>
      <w:rFonts w:ascii="黑体" w:eastAsia="黑体"/>
      <w:spacing w:val="22"/>
      <w:w w:val="100"/>
      <w:position w:val="3"/>
      <w:sz w:val="28"/>
    </w:rPr>
  </w:style>
  <w:style w:type="paragraph" w:customStyle="1" w:styleId="36">
    <w:name w:val="其他发布部门"/>
    <w:basedOn w:val="1"/>
    <w:qFormat/>
    <w:uiPriority w:val="0"/>
    <w:pPr>
      <w:widowControl/>
      <w:spacing w:line="0" w:lineRule="atLeast"/>
      <w:jc w:val="center"/>
    </w:pPr>
    <w:rPr>
      <w:rFonts w:ascii="黑体" w:eastAsia="黑体"/>
      <w:spacing w:val="20"/>
      <w:w w:val="135"/>
      <w:kern w:val="0"/>
      <w:sz w:val="36"/>
      <w:szCs w:val="20"/>
    </w:rPr>
  </w:style>
  <w:style w:type="paragraph" w:customStyle="1" w:styleId="37">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38">
    <w:name w:val="批注框文本 字符"/>
    <w:basedOn w:val="11"/>
    <w:link w:val="5"/>
    <w:semiHidden/>
    <w:qFormat/>
    <w:uiPriority w:val="0"/>
    <w:rPr>
      <w:rFonts w:ascii="Times New Roman" w:hAnsi="Times New Roman"/>
      <w:kern w:val="2"/>
      <w:sz w:val="18"/>
      <w:szCs w:val="18"/>
    </w:rPr>
  </w:style>
  <w:style w:type="paragraph" w:customStyle="1" w:styleId="39">
    <w:name w:val="标准文件_表格"/>
    <w:basedOn w:val="37"/>
    <w:qFormat/>
    <w:uiPriority w:val="0"/>
    <w:pPr>
      <w:ind w:firstLine="0" w:firstLineChars="0"/>
      <w:jc w:val="center"/>
    </w:pPr>
    <w:rPr>
      <w:sz w:val="18"/>
    </w:rPr>
  </w:style>
  <w:style w:type="paragraph" w:customStyle="1" w:styleId="40">
    <w:name w:val="标准文件_附录表标题"/>
    <w:next w:val="37"/>
    <w:qFormat/>
    <w:uiPriority w:val="0"/>
    <w:pPr>
      <w:numPr>
        <w:ilvl w:val="1"/>
        <w:numId w:val="9"/>
      </w:numPr>
      <w:adjustRightInd w:val="0"/>
      <w:snapToGrid w:val="0"/>
      <w:spacing w:beforeLines="50" w:afterLines="50"/>
      <w:jc w:val="center"/>
      <w:textAlignment w:val="baseline"/>
    </w:pPr>
    <w:rPr>
      <w:rFonts w:ascii="黑体" w:hAnsi="Times New Roman" w:eastAsia="黑体" w:cs="Times New Roman"/>
      <w:kern w:val="21"/>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8" Type="http://schemas.openxmlformats.org/officeDocument/2006/relationships/image" Target="media/image2.jpe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image" Target="media/image14.jpe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jpeg"/><Relationship Id="rId10" Type="http://schemas.openxmlformats.org/officeDocument/2006/relationships/image" Target="media/image4.jpe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WWW.YlmF.CoM</Company>
  <Pages>22</Pages>
  <Words>3523</Words>
  <Characters>3715</Characters>
  <Lines>76</Lines>
  <Paragraphs>21</Paragraphs>
  <TotalTime>1</TotalTime>
  <ScaleCrop>false</ScaleCrop>
  <LinksUpToDate>false</LinksUpToDate>
  <CharactersWithSpaces>3745</CharactersWithSpaces>
  <Application>WPS Office_12.1.0.23125_F1E327BC-269C-435d-A152-05C5408002CA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2025-10-23T08:43:00Z</dcterms:created>
  <dc:creator>USER</dc:creator>
  <cp:lastModifiedBy>河中鱼</cp:lastModifiedBy>
  <cp:lastPrinted>2019-07-10T11:21:00Z</cp:lastPrinted>
  <dcterms:modified xsi:type="dcterms:W3CDTF">2025-10-31T11:06:56Z</dcterms:modified>
  <dc:title>广西地方标准《脱氢枞酸》（征求意见稿）</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7BC00C646AD94A379ED4462CD71BEE9A_13</vt:lpwstr>
  </property>
  <property fmtid="{D5CDD505-2E9C-101B-9397-08002B2CF9AE}" pid="4" name="KSOTemplateDocerSaveRecord">
    <vt:lpwstr>eyJoZGlkIjoiYWZjNGU2M2Y2NzcyODU5MmE2MzU2MGIyMTFlNjRhMjIiLCJ1c2VySWQiOiIxNjgzMDY0NzMzIn0=</vt:lpwstr>
  </property>
</Properties>
</file>