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65401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3D2EABA">
            <w:pPr>
              <w:pStyle w:val="18"/>
              <w:framePr w:wrap="notBeside" w:vAnchor="page" w:hAnchor="page" w:x="1372" w:y="568"/>
              <w:tabs>
                <w:tab w:val="clear" w:pos="4153"/>
                <w:tab w:val="clear" w:pos="8306"/>
              </w:tabs>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21C52C8">
            <w:pPr>
              <w:pStyle w:val="18"/>
              <w:framePr w:wrap="notBeside" w:vAnchor="page" w:hAnchor="page" w:x="1372" w:y="568"/>
              <w:tabs>
                <w:tab w:val="clear" w:pos="4153"/>
                <w:tab w:val="clear" w:pos="8306"/>
              </w:tabs>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67.080.01</w:t>
            </w:r>
            <w:r>
              <w:rPr>
                <w:rFonts w:ascii="黑体" w:hAnsi="黑体" w:eastAsia="黑体"/>
                <w:sz w:val="21"/>
                <w:szCs w:val="21"/>
              </w:rPr>
              <w:fldChar w:fldCharType="end"/>
            </w:r>
            <w:bookmarkEnd w:id="0"/>
          </w:p>
        </w:tc>
      </w:tr>
      <w:tr w14:paraId="2D4BA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DDF8179">
            <w:pPr>
              <w:pStyle w:val="18"/>
              <w:framePr w:wrap="notBeside" w:vAnchor="page" w:hAnchor="page" w:x="1372" w:y="568"/>
              <w:tabs>
                <w:tab w:val="clear" w:pos="4153"/>
                <w:tab w:val="clear" w:pos="8306"/>
              </w:tabs>
              <w:spacing w:before="40"/>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6F056D60">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2940D7B1">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023B9CF7">
            <w:pPr>
              <w:pStyle w:val="18"/>
              <w:framePr w:wrap="notBeside" w:vAnchor="page" w:hAnchor="page" w:x="1372" w:y="568"/>
              <w:tabs>
                <w:tab w:val="clear" w:pos="4153"/>
                <w:tab w:val="clear" w:pos="8306"/>
              </w:tabs>
              <w:spacing w:before="40"/>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31</w:t>
            </w:r>
            <w:r>
              <w:rPr>
                <w:rFonts w:ascii="黑体" w:hAnsi="黑体" w:eastAsia="黑体"/>
                <w:sz w:val="21"/>
                <w:szCs w:val="21"/>
              </w:rPr>
              <w:fldChar w:fldCharType="end"/>
            </w:r>
            <w:bookmarkEnd w:id="2"/>
          </w:p>
        </w:tc>
      </w:tr>
    </w:tbl>
    <w:p w14:paraId="5E752B4F">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64F22FD5">
      <w:pPr>
        <w:pStyle w:val="195"/>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508643A0">
      <w:pPr>
        <w:pStyle w:val="196"/>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7FD94EF7">
      <w:pPr>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193CB52">
      <w:pPr>
        <w:pStyle w:val="50"/>
        <w:framePr w:w="9639" w:h="6976" w:hRule="exact" w:hSpace="0" w:vSpace="0" w:wrap="around" w:hAnchor="page" w:y="6408"/>
        <w:jc w:val="center"/>
        <w:rPr>
          <w:rFonts w:ascii="黑体" w:hAnsi="黑体" w:eastAsia="黑体"/>
          <w:b w:val="0"/>
          <w:bCs w:val="0"/>
          <w:w w:val="100"/>
        </w:rPr>
      </w:pPr>
    </w:p>
    <w:p w14:paraId="6D2E0E5C">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浦北陈皮产品包装规范</w:t>
      </w:r>
      <w:r>
        <w:fldChar w:fldCharType="end"/>
      </w:r>
      <w:bookmarkEnd w:id="8"/>
    </w:p>
    <w:p w14:paraId="1372E60C">
      <w:pPr>
        <w:framePr w:w="9639" w:h="6974" w:hRule="exact" w:wrap="around" w:vAnchor="page" w:hAnchor="page" w:x="1419" w:y="6408" w:anchorLock="1"/>
        <w:ind w:left="-1418"/>
      </w:pPr>
    </w:p>
    <w:p w14:paraId="60E130B8">
      <w:pPr>
        <w:pStyle w:val="125"/>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ascii="黑体" w:hAnsi="黑体" w:eastAsia="黑体"/>
          <w:szCs w:val="28"/>
        </w:rPr>
        <w:t>Specifications for the product packaging of Pubei chenpi</w:t>
      </w:r>
      <w:r>
        <w:rPr>
          <w:rFonts w:ascii="黑体" w:hAnsi="黑体" w:eastAsia="黑体"/>
          <w:szCs w:val="28"/>
        </w:rPr>
        <w:fldChar w:fldCharType="end"/>
      </w:r>
      <w:bookmarkEnd w:id="9"/>
    </w:p>
    <w:p w14:paraId="408F8CFA">
      <w:pPr>
        <w:framePr w:w="9639" w:h="6974" w:hRule="exact" w:wrap="around" w:vAnchor="page" w:hAnchor="page" w:x="1419" w:y="6408" w:anchorLock="1"/>
        <w:spacing w:line="760" w:lineRule="exact"/>
        <w:ind w:left="-1418"/>
      </w:pPr>
    </w:p>
    <w:p w14:paraId="3E1239F2">
      <w:pPr>
        <w:pStyle w:val="125"/>
        <w:framePr w:w="9639" w:h="6974" w:hRule="exact" w:wrap="around" w:vAnchor="page" w:hAnchor="page" w:x="1419" w:y="6408" w:anchorLock="1"/>
        <w:textAlignment w:val="bottom"/>
        <w:rPr>
          <w:rFonts w:eastAsia="黑体"/>
          <w:szCs w:val="28"/>
        </w:rPr>
      </w:pPr>
    </w:p>
    <w:p w14:paraId="081194B9">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5906A547">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240E6BA8">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5280C5F7">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6FDDCC3D">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100493C0">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w:t>
      </w:r>
      <w:r>
        <w:rPr>
          <w:rFonts w:hAnsi="黑体"/>
          <w:w w:val="100"/>
          <w:sz w:val="28"/>
        </w:rPr>
        <w:t>化</w:t>
      </w:r>
      <w:r>
        <w:rPr>
          <w:rFonts w:hint="eastAsia" w:hAnsi="黑体"/>
          <w:w w:val="100"/>
          <w:sz w:val="28"/>
        </w:rPr>
        <w:t>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44A2A29E">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988714D">
      <w:pPr>
        <w:pStyle w:val="91"/>
        <w:spacing w:after="360"/>
        <w:rPr>
          <w:rFonts w:hint="eastAsia"/>
        </w:rPr>
      </w:pPr>
      <w:bookmarkStart w:id="20" w:name="BookMark1"/>
      <w:r>
        <w:rPr>
          <w:rFonts w:hint="eastAsia"/>
          <w:spacing w:val="320"/>
        </w:rPr>
        <w:t>目</w:t>
      </w:r>
      <w:r>
        <w:rPr>
          <w:rFonts w:hint="eastAsia"/>
        </w:rPr>
        <w:t>次</w:t>
      </w:r>
    </w:p>
    <w:p w14:paraId="1F06A6FC">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"_Toc214276981" </w:instrText>
      </w:r>
      <w:r>
        <w:fldChar w:fldCharType="separate"/>
      </w:r>
      <w:r>
        <w:rPr>
          <w:rStyle w:val="32"/>
        </w:rPr>
        <w:t>前言</w:t>
      </w:r>
      <w:r>
        <w:tab/>
      </w:r>
      <w:r>
        <w:fldChar w:fldCharType="begin"/>
      </w:r>
      <w:r>
        <w:instrText xml:space="preserve"> PAGEREF _Toc214276981 \h </w:instrText>
      </w:r>
      <w:r>
        <w:fldChar w:fldCharType="separate"/>
      </w:r>
      <w:r>
        <w:t>II</w:t>
      </w:r>
      <w:r>
        <w:fldChar w:fldCharType="end"/>
      </w:r>
      <w:r>
        <w:fldChar w:fldCharType="end"/>
      </w:r>
    </w:p>
    <w:p w14:paraId="77937445">
      <w:pPr>
        <w:pStyle w:val="19"/>
        <w:tabs>
          <w:tab w:val="right" w:leader="dot" w:pos="9344"/>
        </w:tabs>
        <w:rPr>
          <w:rFonts w:asciiTheme="minorHAnsi" w:hAnsiTheme="minorHAnsi" w:eastAsiaTheme="minorEastAsia" w:cstheme="minorBidi"/>
          <w:szCs w:val="22"/>
        </w:rPr>
      </w:pPr>
      <w:r>
        <w:fldChar w:fldCharType="begin"/>
      </w:r>
      <w:r>
        <w:instrText xml:space="preserve"> HYPERLINK \l "_Toc214276982" </w:instrText>
      </w:r>
      <w:r>
        <w:fldChar w:fldCharType="separate"/>
      </w:r>
      <w:r>
        <w:rPr>
          <w:rStyle w:val="32"/>
        </w:rPr>
        <w:t>1  范围</w:t>
      </w:r>
      <w:r>
        <w:tab/>
      </w:r>
      <w:r>
        <w:fldChar w:fldCharType="begin"/>
      </w:r>
      <w:r>
        <w:instrText xml:space="preserve"> PAGEREF _Toc214276982 \h </w:instrText>
      </w:r>
      <w:r>
        <w:fldChar w:fldCharType="separate"/>
      </w:r>
      <w:r>
        <w:t>1</w:t>
      </w:r>
      <w:r>
        <w:fldChar w:fldCharType="end"/>
      </w:r>
      <w:r>
        <w:fldChar w:fldCharType="end"/>
      </w:r>
    </w:p>
    <w:p w14:paraId="31F28185">
      <w:pPr>
        <w:pStyle w:val="19"/>
        <w:tabs>
          <w:tab w:val="right" w:leader="dot" w:pos="9344"/>
        </w:tabs>
        <w:rPr>
          <w:rFonts w:asciiTheme="minorHAnsi" w:hAnsiTheme="minorHAnsi" w:eastAsiaTheme="minorEastAsia" w:cstheme="minorBidi"/>
          <w:szCs w:val="22"/>
        </w:rPr>
      </w:pPr>
      <w:r>
        <w:fldChar w:fldCharType="begin"/>
      </w:r>
      <w:r>
        <w:instrText xml:space="preserve"> HYPERLINK \l "_Toc214276983" </w:instrText>
      </w:r>
      <w:r>
        <w:fldChar w:fldCharType="separate"/>
      </w:r>
      <w:r>
        <w:rPr>
          <w:rStyle w:val="32"/>
        </w:rPr>
        <w:t>2  规范性引用文件</w:t>
      </w:r>
      <w:r>
        <w:tab/>
      </w:r>
      <w:r>
        <w:fldChar w:fldCharType="begin"/>
      </w:r>
      <w:r>
        <w:instrText xml:space="preserve"> PAGEREF _Toc214276983 \h </w:instrText>
      </w:r>
      <w:r>
        <w:fldChar w:fldCharType="separate"/>
      </w:r>
      <w:r>
        <w:t>1</w:t>
      </w:r>
      <w:r>
        <w:fldChar w:fldCharType="end"/>
      </w:r>
      <w:r>
        <w:fldChar w:fldCharType="end"/>
      </w:r>
    </w:p>
    <w:p w14:paraId="5529725A">
      <w:pPr>
        <w:pStyle w:val="19"/>
        <w:tabs>
          <w:tab w:val="right" w:leader="dot" w:pos="9344"/>
        </w:tabs>
        <w:rPr>
          <w:rFonts w:asciiTheme="minorHAnsi" w:hAnsiTheme="minorHAnsi" w:eastAsiaTheme="minorEastAsia" w:cstheme="minorBidi"/>
          <w:szCs w:val="22"/>
        </w:rPr>
      </w:pPr>
      <w:r>
        <w:fldChar w:fldCharType="begin"/>
      </w:r>
      <w:r>
        <w:instrText xml:space="preserve"> HYPERLINK \l "_Toc214276984" </w:instrText>
      </w:r>
      <w:r>
        <w:fldChar w:fldCharType="separate"/>
      </w:r>
      <w:r>
        <w:rPr>
          <w:rStyle w:val="32"/>
        </w:rPr>
        <w:t>3  术语和定义</w:t>
      </w:r>
      <w:r>
        <w:tab/>
      </w:r>
      <w:r>
        <w:fldChar w:fldCharType="begin"/>
      </w:r>
      <w:r>
        <w:instrText xml:space="preserve"> PAGEREF _Toc214276984 \h </w:instrText>
      </w:r>
      <w:r>
        <w:fldChar w:fldCharType="separate"/>
      </w:r>
      <w:r>
        <w:t>1</w:t>
      </w:r>
      <w:r>
        <w:fldChar w:fldCharType="end"/>
      </w:r>
      <w:r>
        <w:fldChar w:fldCharType="end"/>
      </w:r>
    </w:p>
    <w:p w14:paraId="30606685">
      <w:pPr>
        <w:pStyle w:val="19"/>
        <w:tabs>
          <w:tab w:val="right" w:leader="dot" w:pos="9344"/>
        </w:tabs>
        <w:rPr>
          <w:rFonts w:asciiTheme="minorHAnsi" w:hAnsiTheme="minorHAnsi" w:eastAsiaTheme="minorEastAsia" w:cstheme="minorBidi"/>
          <w:szCs w:val="22"/>
        </w:rPr>
      </w:pPr>
      <w:r>
        <w:fldChar w:fldCharType="begin"/>
      </w:r>
      <w:r>
        <w:instrText xml:space="preserve"> HYPERLINK \l "_Toc214276985" </w:instrText>
      </w:r>
      <w:r>
        <w:fldChar w:fldCharType="separate"/>
      </w:r>
      <w:r>
        <w:rPr>
          <w:rStyle w:val="32"/>
        </w:rPr>
        <w:t>4  基本要求</w:t>
      </w:r>
      <w:r>
        <w:tab/>
      </w:r>
      <w:r>
        <w:fldChar w:fldCharType="begin"/>
      </w:r>
      <w:r>
        <w:instrText xml:space="preserve"> PAGEREF _Toc214276985 \h </w:instrText>
      </w:r>
      <w:r>
        <w:fldChar w:fldCharType="separate"/>
      </w:r>
      <w:r>
        <w:t>1</w:t>
      </w:r>
      <w:r>
        <w:fldChar w:fldCharType="end"/>
      </w:r>
      <w:r>
        <w:fldChar w:fldCharType="end"/>
      </w:r>
    </w:p>
    <w:p w14:paraId="6A8E027A">
      <w:pPr>
        <w:pStyle w:val="19"/>
        <w:tabs>
          <w:tab w:val="right" w:leader="dot" w:pos="9344"/>
        </w:tabs>
        <w:rPr>
          <w:rFonts w:asciiTheme="minorHAnsi" w:hAnsiTheme="minorHAnsi" w:eastAsiaTheme="minorEastAsia" w:cstheme="minorBidi"/>
          <w:szCs w:val="22"/>
        </w:rPr>
      </w:pPr>
      <w:r>
        <w:fldChar w:fldCharType="begin"/>
      </w:r>
      <w:r>
        <w:instrText xml:space="preserve"> HYPERLINK \l "_Toc214276986" </w:instrText>
      </w:r>
      <w:r>
        <w:fldChar w:fldCharType="separate"/>
      </w:r>
      <w:r>
        <w:rPr>
          <w:rStyle w:val="32"/>
        </w:rPr>
        <w:t>5  包装要求</w:t>
      </w:r>
      <w:r>
        <w:tab/>
      </w:r>
      <w:r>
        <w:fldChar w:fldCharType="begin"/>
      </w:r>
      <w:r>
        <w:instrText xml:space="preserve"> PAGEREF _Toc214276986 \h </w:instrText>
      </w:r>
      <w:r>
        <w:fldChar w:fldCharType="separate"/>
      </w:r>
      <w:r>
        <w:t>1</w:t>
      </w:r>
      <w:r>
        <w:fldChar w:fldCharType="end"/>
      </w:r>
      <w:r>
        <w:fldChar w:fldCharType="end"/>
      </w:r>
    </w:p>
    <w:p w14:paraId="363ED918">
      <w:pPr>
        <w:pStyle w:val="24"/>
        <w:rPr>
          <w:rFonts w:asciiTheme="minorHAnsi" w:hAnsiTheme="minorHAnsi" w:eastAsiaTheme="minorEastAsia" w:cstheme="minorBidi"/>
          <w:szCs w:val="22"/>
        </w:rPr>
      </w:pPr>
      <w:r>
        <w:fldChar w:fldCharType="begin"/>
      </w:r>
      <w:r>
        <w:instrText xml:space="preserve"> HYPERLINK \l "_Toc214276987" </w:instrText>
      </w:r>
      <w:r>
        <w:fldChar w:fldCharType="separate"/>
      </w:r>
      <w:r>
        <w:rPr>
          <w:rStyle w:val="32"/>
          <w14:scene3d>
            <w14:lightRig w14:rig="threePt" w14:dir="t">
              <w14:rot w14:lat="0" w14:lon="0" w14:rev="0"/>
            </w14:lightRig>
          </w14:scene3d>
        </w:rPr>
        <w:t xml:space="preserve">5.1 </w:t>
      </w:r>
      <w:r>
        <w:rPr>
          <w:rStyle w:val="32"/>
        </w:rPr>
        <w:t xml:space="preserve"> 包装材料</w:t>
      </w:r>
      <w:r>
        <w:tab/>
      </w:r>
      <w:r>
        <w:fldChar w:fldCharType="begin"/>
      </w:r>
      <w:r>
        <w:instrText xml:space="preserve"> PAGEREF _Toc214276987 \h </w:instrText>
      </w:r>
      <w:r>
        <w:fldChar w:fldCharType="separate"/>
      </w:r>
      <w:r>
        <w:t>1</w:t>
      </w:r>
      <w:r>
        <w:fldChar w:fldCharType="end"/>
      </w:r>
      <w:r>
        <w:fldChar w:fldCharType="end"/>
      </w:r>
    </w:p>
    <w:p w14:paraId="1E65BE58">
      <w:pPr>
        <w:pStyle w:val="24"/>
        <w:rPr>
          <w:rFonts w:asciiTheme="minorHAnsi" w:hAnsiTheme="minorHAnsi" w:eastAsiaTheme="minorEastAsia" w:cstheme="minorBidi"/>
          <w:szCs w:val="22"/>
        </w:rPr>
      </w:pPr>
      <w:r>
        <w:fldChar w:fldCharType="begin"/>
      </w:r>
      <w:r>
        <w:instrText xml:space="preserve"> HYPERLINK \l "_Toc214276988" </w:instrText>
      </w:r>
      <w:r>
        <w:fldChar w:fldCharType="separate"/>
      </w:r>
      <w:r>
        <w:rPr>
          <w:rStyle w:val="32"/>
          <w14:scene3d>
            <w14:lightRig w14:rig="threePt" w14:dir="t">
              <w14:rot w14:lat="0" w14:lon="0" w14:rev="0"/>
            </w14:lightRig>
          </w14:scene3d>
        </w:rPr>
        <w:t xml:space="preserve">5.2 </w:t>
      </w:r>
      <w:r>
        <w:rPr>
          <w:rStyle w:val="32"/>
        </w:rPr>
        <w:t xml:space="preserve"> 包装容器</w:t>
      </w:r>
      <w:r>
        <w:tab/>
      </w:r>
      <w:r>
        <w:fldChar w:fldCharType="begin"/>
      </w:r>
      <w:r>
        <w:instrText xml:space="preserve"> PAGEREF _Toc214276988 \h </w:instrText>
      </w:r>
      <w:r>
        <w:fldChar w:fldCharType="separate"/>
      </w:r>
      <w:r>
        <w:t>2</w:t>
      </w:r>
      <w:r>
        <w:fldChar w:fldCharType="end"/>
      </w:r>
      <w:r>
        <w:fldChar w:fldCharType="end"/>
      </w:r>
    </w:p>
    <w:p w14:paraId="6CA9D86E">
      <w:pPr>
        <w:pStyle w:val="24"/>
        <w:rPr>
          <w:rFonts w:asciiTheme="minorHAnsi" w:hAnsiTheme="minorHAnsi" w:eastAsiaTheme="minorEastAsia" w:cstheme="minorBidi"/>
          <w:szCs w:val="22"/>
        </w:rPr>
      </w:pPr>
      <w:r>
        <w:fldChar w:fldCharType="begin"/>
      </w:r>
      <w:r>
        <w:instrText xml:space="preserve"> HYPERLINK \l "_Toc214276989" </w:instrText>
      </w:r>
      <w:r>
        <w:fldChar w:fldCharType="separate"/>
      </w:r>
      <w:r>
        <w:rPr>
          <w:rStyle w:val="32"/>
          <w14:scene3d>
            <w14:lightRig w14:rig="threePt" w14:dir="t">
              <w14:rot w14:lat="0" w14:lon="0" w14:rev="0"/>
            </w14:lightRig>
          </w14:scene3d>
        </w:rPr>
        <w:t xml:space="preserve">5.3 </w:t>
      </w:r>
      <w:r>
        <w:rPr>
          <w:rStyle w:val="32"/>
        </w:rPr>
        <w:t xml:space="preserve"> 包装规格</w:t>
      </w:r>
      <w:r>
        <w:tab/>
      </w:r>
      <w:r>
        <w:fldChar w:fldCharType="begin"/>
      </w:r>
      <w:r>
        <w:instrText xml:space="preserve"> PAGEREF _Toc214276989 \h </w:instrText>
      </w:r>
      <w:r>
        <w:fldChar w:fldCharType="separate"/>
      </w:r>
      <w:r>
        <w:t>2</w:t>
      </w:r>
      <w:r>
        <w:fldChar w:fldCharType="end"/>
      </w:r>
      <w:r>
        <w:fldChar w:fldCharType="end"/>
      </w:r>
    </w:p>
    <w:p w14:paraId="7DFC075D">
      <w:pPr>
        <w:pStyle w:val="24"/>
        <w:rPr>
          <w:rFonts w:asciiTheme="minorHAnsi" w:hAnsiTheme="minorHAnsi" w:eastAsiaTheme="minorEastAsia" w:cstheme="minorBidi"/>
          <w:szCs w:val="22"/>
        </w:rPr>
      </w:pPr>
      <w:r>
        <w:fldChar w:fldCharType="begin"/>
      </w:r>
      <w:r>
        <w:instrText xml:space="preserve"> HYPERLINK \l "_Toc214276990" </w:instrText>
      </w:r>
      <w:r>
        <w:fldChar w:fldCharType="separate"/>
      </w:r>
      <w:r>
        <w:rPr>
          <w:rStyle w:val="32"/>
          <w14:scene3d>
            <w14:lightRig w14:rig="threePt" w14:dir="t">
              <w14:rot w14:lat="0" w14:lon="0" w14:rev="0"/>
            </w14:lightRig>
          </w14:scene3d>
        </w:rPr>
        <w:t xml:space="preserve">5.4 </w:t>
      </w:r>
      <w:r>
        <w:rPr>
          <w:rStyle w:val="32"/>
        </w:rPr>
        <w:t xml:space="preserve"> 包装层数</w:t>
      </w:r>
      <w:r>
        <w:tab/>
      </w:r>
      <w:r>
        <w:fldChar w:fldCharType="begin"/>
      </w:r>
      <w:r>
        <w:instrText xml:space="preserve"> PAGEREF _Toc214276990 \h </w:instrText>
      </w:r>
      <w:r>
        <w:fldChar w:fldCharType="separate"/>
      </w:r>
      <w:r>
        <w:t>2</w:t>
      </w:r>
      <w:r>
        <w:fldChar w:fldCharType="end"/>
      </w:r>
      <w:r>
        <w:fldChar w:fldCharType="end"/>
      </w:r>
    </w:p>
    <w:p w14:paraId="42959314">
      <w:pPr>
        <w:pStyle w:val="24"/>
        <w:rPr>
          <w:rFonts w:asciiTheme="minorHAnsi" w:hAnsiTheme="minorHAnsi" w:eastAsiaTheme="minorEastAsia" w:cstheme="minorBidi"/>
          <w:szCs w:val="22"/>
        </w:rPr>
      </w:pPr>
      <w:r>
        <w:fldChar w:fldCharType="begin"/>
      </w:r>
      <w:r>
        <w:instrText xml:space="preserve"> HYPERLINK \l "_Toc214276991" </w:instrText>
      </w:r>
      <w:r>
        <w:fldChar w:fldCharType="separate"/>
      </w:r>
      <w:r>
        <w:rPr>
          <w:rStyle w:val="32"/>
          <w14:scene3d>
            <w14:lightRig w14:rig="threePt" w14:dir="t">
              <w14:rot w14:lat="0" w14:lon="0" w14:rev="0"/>
            </w14:lightRig>
          </w14:scene3d>
        </w:rPr>
        <w:t xml:space="preserve">5.5 </w:t>
      </w:r>
      <w:r>
        <w:rPr>
          <w:rStyle w:val="32"/>
        </w:rPr>
        <w:t xml:space="preserve"> 包装空隙率</w:t>
      </w:r>
      <w:r>
        <w:tab/>
      </w:r>
      <w:r>
        <w:fldChar w:fldCharType="begin"/>
      </w:r>
      <w:r>
        <w:instrText xml:space="preserve"> PAGEREF _Toc214276991 \h </w:instrText>
      </w:r>
      <w:r>
        <w:fldChar w:fldCharType="separate"/>
      </w:r>
      <w:r>
        <w:t>2</w:t>
      </w:r>
      <w:r>
        <w:fldChar w:fldCharType="end"/>
      </w:r>
      <w:r>
        <w:fldChar w:fldCharType="end"/>
      </w:r>
    </w:p>
    <w:p w14:paraId="3116ED0B">
      <w:pPr>
        <w:pStyle w:val="24"/>
        <w:rPr>
          <w:rFonts w:asciiTheme="minorHAnsi" w:hAnsiTheme="minorHAnsi" w:eastAsiaTheme="minorEastAsia" w:cstheme="minorBidi"/>
          <w:szCs w:val="22"/>
        </w:rPr>
      </w:pPr>
      <w:r>
        <w:fldChar w:fldCharType="begin"/>
      </w:r>
      <w:r>
        <w:instrText xml:space="preserve"> HYPERLINK \l "_Toc214276992" </w:instrText>
      </w:r>
      <w:r>
        <w:fldChar w:fldCharType="separate"/>
      </w:r>
      <w:r>
        <w:rPr>
          <w:rStyle w:val="32"/>
          <w14:scene3d>
            <w14:lightRig w14:rig="threePt" w14:dir="t">
              <w14:rot w14:lat="0" w14:lon="0" w14:rev="0"/>
            </w14:lightRig>
          </w14:scene3d>
        </w:rPr>
        <w:t xml:space="preserve">5.6 </w:t>
      </w:r>
      <w:r>
        <w:rPr>
          <w:rStyle w:val="32"/>
        </w:rPr>
        <w:t xml:space="preserve"> 包装环保要求</w:t>
      </w:r>
      <w:r>
        <w:tab/>
      </w:r>
      <w:r>
        <w:fldChar w:fldCharType="begin"/>
      </w:r>
      <w:r>
        <w:instrText xml:space="preserve"> PAGEREF _Toc214276992 \h </w:instrText>
      </w:r>
      <w:r>
        <w:fldChar w:fldCharType="separate"/>
      </w:r>
      <w:r>
        <w:t>2</w:t>
      </w:r>
      <w:r>
        <w:fldChar w:fldCharType="end"/>
      </w:r>
      <w:r>
        <w:fldChar w:fldCharType="end"/>
      </w:r>
    </w:p>
    <w:p w14:paraId="43B3666F">
      <w:pPr>
        <w:pStyle w:val="19"/>
        <w:tabs>
          <w:tab w:val="right" w:leader="dot" w:pos="9344"/>
        </w:tabs>
        <w:rPr>
          <w:rFonts w:asciiTheme="minorHAnsi" w:hAnsiTheme="minorHAnsi" w:eastAsiaTheme="minorEastAsia" w:cstheme="minorBidi"/>
          <w:szCs w:val="22"/>
        </w:rPr>
      </w:pPr>
      <w:r>
        <w:fldChar w:fldCharType="begin"/>
      </w:r>
      <w:r>
        <w:instrText xml:space="preserve"> HYPERLINK \l "_Toc214276993" </w:instrText>
      </w:r>
      <w:r>
        <w:fldChar w:fldCharType="separate"/>
      </w:r>
      <w:r>
        <w:rPr>
          <w:rStyle w:val="32"/>
        </w:rPr>
        <w:t>6  包装操作</w:t>
      </w:r>
      <w:r>
        <w:tab/>
      </w:r>
      <w:r>
        <w:fldChar w:fldCharType="begin"/>
      </w:r>
      <w:r>
        <w:instrText xml:space="preserve"> PAGEREF _Toc214276993 \h </w:instrText>
      </w:r>
      <w:r>
        <w:fldChar w:fldCharType="separate"/>
      </w:r>
      <w:r>
        <w:t>2</w:t>
      </w:r>
      <w:r>
        <w:fldChar w:fldCharType="end"/>
      </w:r>
      <w:r>
        <w:fldChar w:fldCharType="end"/>
      </w:r>
    </w:p>
    <w:p w14:paraId="626EB25A">
      <w:pPr>
        <w:pStyle w:val="24"/>
        <w:rPr>
          <w:rFonts w:asciiTheme="minorHAnsi" w:hAnsiTheme="minorHAnsi" w:eastAsiaTheme="minorEastAsia" w:cstheme="minorBidi"/>
          <w:szCs w:val="22"/>
        </w:rPr>
      </w:pPr>
      <w:r>
        <w:fldChar w:fldCharType="begin"/>
      </w:r>
      <w:r>
        <w:instrText xml:space="preserve"> HYPERLINK \l "_Toc214276994" </w:instrText>
      </w:r>
      <w:r>
        <w:fldChar w:fldCharType="separate"/>
      </w:r>
      <w:r>
        <w:rPr>
          <w:rStyle w:val="32"/>
          <w14:scene3d>
            <w14:lightRig w14:rig="threePt" w14:dir="t">
              <w14:rot w14:lat="0" w14:lon="0" w14:rev="0"/>
            </w14:lightRig>
          </w14:scene3d>
        </w:rPr>
        <w:t xml:space="preserve">6.1 </w:t>
      </w:r>
      <w:r>
        <w:rPr>
          <w:rStyle w:val="32"/>
        </w:rPr>
        <w:t xml:space="preserve"> 包装前准备</w:t>
      </w:r>
      <w:r>
        <w:tab/>
      </w:r>
      <w:r>
        <w:fldChar w:fldCharType="begin"/>
      </w:r>
      <w:r>
        <w:instrText xml:space="preserve"> PAGEREF _Toc214276994 \h </w:instrText>
      </w:r>
      <w:r>
        <w:fldChar w:fldCharType="separate"/>
      </w:r>
      <w:r>
        <w:t>2</w:t>
      </w:r>
      <w:r>
        <w:fldChar w:fldCharType="end"/>
      </w:r>
      <w:r>
        <w:fldChar w:fldCharType="end"/>
      </w:r>
    </w:p>
    <w:p w14:paraId="152CC3B0">
      <w:pPr>
        <w:pStyle w:val="24"/>
        <w:rPr>
          <w:rFonts w:asciiTheme="minorHAnsi" w:hAnsiTheme="minorHAnsi" w:eastAsiaTheme="minorEastAsia" w:cstheme="minorBidi"/>
          <w:szCs w:val="22"/>
        </w:rPr>
      </w:pPr>
      <w:r>
        <w:fldChar w:fldCharType="begin"/>
      </w:r>
      <w:r>
        <w:instrText xml:space="preserve"> HYPERLINK \l "_Toc214276995" </w:instrText>
      </w:r>
      <w:r>
        <w:fldChar w:fldCharType="separate"/>
      </w:r>
      <w:r>
        <w:rPr>
          <w:rStyle w:val="32"/>
          <w14:scene3d>
            <w14:lightRig w14:rig="threePt" w14:dir="t">
              <w14:rot w14:lat="0" w14:lon="0" w14:rev="0"/>
            </w14:lightRig>
          </w14:scene3d>
        </w:rPr>
        <w:t xml:space="preserve">6.2 </w:t>
      </w:r>
      <w:r>
        <w:rPr>
          <w:rStyle w:val="32"/>
        </w:rPr>
        <w:t xml:space="preserve"> 包装作业流程</w:t>
      </w:r>
      <w:r>
        <w:tab/>
      </w:r>
      <w:r>
        <w:fldChar w:fldCharType="begin"/>
      </w:r>
      <w:r>
        <w:instrText xml:space="preserve"> PAGEREF _Toc214276995 \h </w:instrText>
      </w:r>
      <w:r>
        <w:fldChar w:fldCharType="separate"/>
      </w:r>
      <w:r>
        <w:t>3</w:t>
      </w:r>
      <w:r>
        <w:fldChar w:fldCharType="end"/>
      </w:r>
      <w:r>
        <w:fldChar w:fldCharType="end"/>
      </w:r>
    </w:p>
    <w:p w14:paraId="01BFCF0F">
      <w:pPr>
        <w:pStyle w:val="24"/>
        <w:rPr>
          <w:rFonts w:asciiTheme="minorHAnsi" w:hAnsiTheme="minorHAnsi" w:eastAsiaTheme="minorEastAsia" w:cstheme="minorBidi"/>
          <w:szCs w:val="22"/>
        </w:rPr>
      </w:pPr>
      <w:r>
        <w:fldChar w:fldCharType="begin"/>
      </w:r>
      <w:r>
        <w:instrText xml:space="preserve"> HYPERLINK \l "_Toc214276996" </w:instrText>
      </w:r>
      <w:r>
        <w:fldChar w:fldCharType="separate"/>
      </w:r>
      <w:r>
        <w:rPr>
          <w:rStyle w:val="32"/>
          <w14:scene3d>
            <w14:lightRig w14:rig="threePt" w14:dir="t">
              <w14:rot w14:lat="0" w14:lon="0" w14:rev="0"/>
            </w14:lightRig>
          </w14:scene3d>
        </w:rPr>
        <w:t xml:space="preserve">6.3 </w:t>
      </w:r>
      <w:r>
        <w:rPr>
          <w:rStyle w:val="32"/>
        </w:rPr>
        <w:t xml:space="preserve"> 包装后处理</w:t>
      </w:r>
      <w:r>
        <w:tab/>
      </w:r>
      <w:r>
        <w:fldChar w:fldCharType="begin"/>
      </w:r>
      <w:r>
        <w:instrText xml:space="preserve"> PAGEREF _Toc214276996 \h </w:instrText>
      </w:r>
      <w:r>
        <w:fldChar w:fldCharType="separate"/>
      </w:r>
      <w:r>
        <w:t>3</w:t>
      </w:r>
      <w:r>
        <w:fldChar w:fldCharType="end"/>
      </w:r>
      <w:r>
        <w:fldChar w:fldCharType="end"/>
      </w:r>
    </w:p>
    <w:p w14:paraId="3BD34BC5">
      <w:pPr>
        <w:pStyle w:val="19"/>
        <w:tabs>
          <w:tab w:val="right" w:leader="dot" w:pos="9344"/>
        </w:tabs>
        <w:rPr>
          <w:rFonts w:asciiTheme="minorHAnsi" w:hAnsiTheme="minorHAnsi" w:eastAsiaTheme="minorEastAsia" w:cstheme="minorBidi"/>
          <w:szCs w:val="22"/>
        </w:rPr>
      </w:pPr>
      <w:r>
        <w:fldChar w:fldCharType="begin"/>
      </w:r>
      <w:r>
        <w:instrText xml:space="preserve"> HYPERLINK \l "_Toc214276997" </w:instrText>
      </w:r>
      <w:r>
        <w:fldChar w:fldCharType="separate"/>
      </w:r>
      <w:r>
        <w:rPr>
          <w:rStyle w:val="32"/>
        </w:rPr>
        <w:t>7  标志、标签和贮存</w:t>
      </w:r>
      <w:r>
        <w:tab/>
      </w:r>
      <w:r>
        <w:fldChar w:fldCharType="begin"/>
      </w:r>
      <w:r>
        <w:instrText xml:space="preserve"> PAGEREF _Toc214276997 \h </w:instrText>
      </w:r>
      <w:r>
        <w:fldChar w:fldCharType="separate"/>
      </w:r>
      <w:r>
        <w:t>3</w:t>
      </w:r>
      <w:r>
        <w:fldChar w:fldCharType="end"/>
      </w:r>
      <w:r>
        <w:fldChar w:fldCharType="end"/>
      </w:r>
    </w:p>
    <w:p w14:paraId="40FF089E">
      <w:pPr>
        <w:pStyle w:val="24"/>
        <w:rPr>
          <w:rFonts w:asciiTheme="minorHAnsi" w:hAnsiTheme="minorHAnsi" w:eastAsiaTheme="minorEastAsia" w:cstheme="minorBidi"/>
          <w:szCs w:val="22"/>
        </w:rPr>
      </w:pPr>
      <w:r>
        <w:fldChar w:fldCharType="begin"/>
      </w:r>
      <w:r>
        <w:instrText xml:space="preserve"> HYPERLINK \l "_Toc214276998" </w:instrText>
      </w:r>
      <w:r>
        <w:fldChar w:fldCharType="separate"/>
      </w:r>
      <w:r>
        <w:rPr>
          <w:rStyle w:val="32"/>
          <w14:scene3d>
            <w14:lightRig w14:rig="threePt" w14:dir="t">
              <w14:rot w14:lat="0" w14:lon="0" w14:rev="0"/>
            </w14:lightRig>
          </w14:scene3d>
        </w:rPr>
        <w:t xml:space="preserve">7.1 </w:t>
      </w:r>
      <w:r>
        <w:rPr>
          <w:rStyle w:val="32"/>
        </w:rPr>
        <w:t xml:space="preserve"> 标志和标签</w:t>
      </w:r>
      <w:r>
        <w:tab/>
      </w:r>
      <w:r>
        <w:fldChar w:fldCharType="begin"/>
      </w:r>
      <w:r>
        <w:instrText xml:space="preserve"> PAGEREF _Toc214276998 \h </w:instrText>
      </w:r>
      <w:r>
        <w:fldChar w:fldCharType="separate"/>
      </w:r>
      <w:r>
        <w:t>3</w:t>
      </w:r>
      <w:r>
        <w:fldChar w:fldCharType="end"/>
      </w:r>
      <w:r>
        <w:fldChar w:fldCharType="end"/>
      </w:r>
    </w:p>
    <w:p w14:paraId="0417EB0C">
      <w:pPr>
        <w:pStyle w:val="24"/>
        <w:rPr>
          <w:rFonts w:asciiTheme="minorHAnsi" w:hAnsiTheme="minorHAnsi" w:eastAsiaTheme="minorEastAsia" w:cstheme="minorBidi"/>
          <w:szCs w:val="22"/>
        </w:rPr>
      </w:pPr>
      <w:r>
        <w:fldChar w:fldCharType="begin"/>
      </w:r>
      <w:r>
        <w:instrText xml:space="preserve"> HYPERLINK \l "_Toc214276999" </w:instrText>
      </w:r>
      <w:r>
        <w:fldChar w:fldCharType="separate"/>
      </w:r>
      <w:r>
        <w:rPr>
          <w:rStyle w:val="32"/>
          <w14:scene3d>
            <w14:lightRig w14:rig="threePt" w14:dir="t">
              <w14:rot w14:lat="0" w14:lon="0" w14:rev="0"/>
            </w14:lightRig>
          </w14:scene3d>
        </w:rPr>
        <w:t xml:space="preserve">7.2 </w:t>
      </w:r>
      <w:r>
        <w:rPr>
          <w:rStyle w:val="32"/>
        </w:rPr>
        <w:t xml:space="preserve"> 贮存</w:t>
      </w:r>
      <w:r>
        <w:tab/>
      </w:r>
      <w:r>
        <w:fldChar w:fldCharType="begin"/>
      </w:r>
      <w:r>
        <w:instrText xml:space="preserve"> PAGEREF _Toc214276999 \h </w:instrText>
      </w:r>
      <w:r>
        <w:fldChar w:fldCharType="separate"/>
      </w:r>
      <w:r>
        <w:t>4</w:t>
      </w:r>
      <w:r>
        <w:fldChar w:fldCharType="end"/>
      </w:r>
      <w:r>
        <w:fldChar w:fldCharType="end"/>
      </w:r>
    </w:p>
    <w:p w14:paraId="05186F91">
      <w:pPr>
        <w:pStyle w:val="91"/>
        <w:spacing w:after="36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0"/>
    <w:p w14:paraId="1115552B">
      <w:pPr>
        <w:pStyle w:val="89"/>
        <w:spacing w:before="900" w:after="360"/>
      </w:pPr>
      <w:bookmarkStart w:id="21" w:name="_Toc214276981"/>
      <w:bookmarkStart w:id="22" w:name="BookMark2"/>
      <w:r>
        <w:rPr>
          <w:spacing w:val="320"/>
        </w:rPr>
        <w:t>前</w:t>
      </w:r>
      <w:r>
        <w:t>言</w:t>
      </w:r>
      <w:bookmarkEnd w:id="21"/>
    </w:p>
    <w:p w14:paraId="554AA375">
      <w:pPr>
        <w:pStyle w:val="56"/>
        <w:ind w:firstLine="420"/>
      </w:pPr>
      <w:r>
        <w:rPr>
          <w:rFonts w:hint="eastAsia"/>
        </w:rPr>
        <w:t>本文件参照GB/T 1.1—2020《标准化工作导则  第1部分：标准化文件的结构和起草规则》的规定起草。</w:t>
      </w:r>
    </w:p>
    <w:p w14:paraId="1EC5AEEC">
      <w:pPr>
        <w:pStyle w:val="56"/>
        <w:ind w:firstLine="420"/>
      </w:pPr>
      <w:bookmarkStart w:id="23" w:name="OLE_LINK47"/>
      <w:bookmarkStart w:id="24" w:name="OLE_LINK46"/>
      <w:r>
        <w:rPr>
          <w:rFonts w:hint="eastAsia"/>
        </w:rPr>
        <w:t>请注意本文件的某些内容可能涉及专利。本文件的发布机构不承担识别专利的责任。</w:t>
      </w:r>
    </w:p>
    <w:p w14:paraId="6B04A6EA">
      <w:pPr>
        <w:pStyle w:val="56"/>
        <w:ind w:firstLine="420"/>
      </w:pPr>
      <w:r>
        <w:rPr>
          <w:rFonts w:hint="eastAsia"/>
          <w:szCs w:val="21"/>
        </w:rPr>
        <w:t>本文件由</w:t>
      </w:r>
      <w:r>
        <w:rPr>
          <w:rFonts w:hint="eastAsia" w:cs="宋体"/>
          <w:szCs w:val="21"/>
          <w:lang w:val="zh-CN"/>
        </w:rPr>
        <w:t>浦北县农业农村局</w:t>
      </w:r>
      <w:r>
        <w:rPr>
          <w:rFonts w:hint="eastAsia"/>
          <w:szCs w:val="21"/>
        </w:rPr>
        <w:t>提出、</w:t>
      </w:r>
      <w:r>
        <w:rPr>
          <w:szCs w:val="21"/>
        </w:rPr>
        <w:t>归口</w:t>
      </w:r>
      <w:r>
        <w:rPr>
          <w:rFonts w:hint="eastAsia"/>
          <w:szCs w:val="21"/>
        </w:rPr>
        <w:t>并宣贯。</w:t>
      </w:r>
    </w:p>
    <w:p w14:paraId="268838C8">
      <w:pPr>
        <w:pStyle w:val="56"/>
        <w:ind w:firstLine="420"/>
      </w:pPr>
      <w:r>
        <w:rPr>
          <w:rFonts w:hint="eastAsia"/>
        </w:rPr>
        <w:t>本文件起草单位：浦北县农业农村局、浦北县市场监督管理局、浦北县陈皮产业发展中心、浦北县陈皮行业协会，广西中皮健康有限公司、广西金浦龙陈皮科技产业有限公司、广西供销三冠陈皮有限公司。</w:t>
      </w:r>
    </w:p>
    <w:p w14:paraId="4429BCAF">
      <w:pPr>
        <w:pStyle w:val="56"/>
        <w:ind w:firstLine="420"/>
      </w:pPr>
      <w:r>
        <w:rPr>
          <w:rFonts w:hint="eastAsia"/>
        </w:rPr>
        <w:t>本文件主要起草人：</w:t>
      </w:r>
      <w:bookmarkEnd w:id="23"/>
      <w:bookmarkEnd w:id="24"/>
      <w:r>
        <w:rPr>
          <w:rFonts w:hint="eastAsia"/>
          <w:lang w:eastAsia="zh-CN"/>
        </w:rPr>
        <w:t>覃祖添、陈承娟、</w:t>
      </w:r>
      <w:r>
        <w:rPr>
          <w:rFonts w:hint="eastAsia"/>
          <w:kern w:val="2"/>
          <w:sz w:val="21"/>
          <w:szCs w:val="24"/>
          <w:lang w:val="en-US" w:eastAsia="zh-CN" w:bidi="ar-SA"/>
        </w:rPr>
        <w:t>李崇团、</w:t>
      </w:r>
      <w:r>
        <w:rPr>
          <w:rFonts w:hint="eastAsia"/>
          <w:lang w:eastAsia="zh-CN"/>
        </w:rPr>
        <w:t>黎斌、邓小红、易泽海、胡广、吴远祥、张真建、徐靖宏、廖明珠、</w:t>
      </w:r>
      <w:r>
        <w:rPr>
          <w:rFonts w:hint="eastAsia"/>
          <w:kern w:val="2"/>
          <w:sz w:val="21"/>
          <w:szCs w:val="24"/>
          <w:lang w:val="en-US" w:eastAsia="zh-CN" w:bidi="ar-SA"/>
        </w:rPr>
        <w:t>林振南、</w:t>
      </w:r>
      <w:r>
        <w:rPr>
          <w:rFonts w:hint="eastAsia"/>
        </w:rPr>
        <w:t>张志平</w:t>
      </w:r>
      <w:r>
        <w:rPr>
          <w:rFonts w:hint="eastAsia"/>
          <w:lang w:eastAsia="zh-CN"/>
        </w:rPr>
        <w:t>、</w:t>
      </w:r>
      <w:r>
        <w:rPr>
          <w:rFonts w:hint="eastAsia"/>
        </w:rPr>
        <w:t>符小艳</w:t>
      </w:r>
      <w:r>
        <w:rPr>
          <w:rFonts w:hint="eastAsia"/>
          <w:lang w:eastAsia="zh-CN"/>
        </w:rPr>
        <w:t>、陈能浩、符敬森、陈月明、颜传新、杨眉、叶茂培、黄陆珍、庞魏、黄卡、</w:t>
      </w:r>
      <w:r>
        <w:rPr>
          <w:rFonts w:hint="eastAsia"/>
        </w:rPr>
        <w:t>张华</w:t>
      </w:r>
      <w:r>
        <w:rPr>
          <w:rFonts w:hint="eastAsia"/>
          <w:lang w:eastAsia="zh-CN"/>
        </w:rPr>
        <w:t>、邓山秀、吴冰、郑顺兰、陈善锋</w:t>
      </w:r>
      <w:r>
        <w:rPr>
          <w:rFonts w:hint="eastAsia" w:hAnsi="宋体"/>
          <w:szCs w:val="21"/>
        </w:rPr>
        <w:t>。</w:t>
      </w:r>
    </w:p>
    <w:p w14:paraId="5D7EDE21">
      <w:pPr>
        <w:pStyle w:val="56"/>
        <w:ind w:firstLine="420"/>
      </w:pPr>
    </w:p>
    <w:p w14:paraId="698705F4">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2"/>
    <w:p w14:paraId="25CF1E02">
      <w:pPr>
        <w:spacing w:line="20" w:lineRule="exact"/>
        <w:jc w:val="center"/>
        <w:rPr>
          <w:rFonts w:ascii="黑体" w:hAnsi="黑体" w:eastAsia="黑体"/>
          <w:sz w:val="32"/>
          <w:szCs w:val="32"/>
        </w:rPr>
      </w:pPr>
      <w:bookmarkStart w:id="25" w:name="BookMark4"/>
    </w:p>
    <w:p w14:paraId="1F8B75DB">
      <w:pPr>
        <w:spacing w:line="20" w:lineRule="exact"/>
        <w:jc w:val="center"/>
        <w:rPr>
          <w:rFonts w:ascii="黑体" w:hAnsi="黑体" w:eastAsia="黑体"/>
          <w:sz w:val="32"/>
          <w:szCs w:val="32"/>
        </w:rPr>
      </w:pPr>
    </w:p>
    <w:sdt>
      <w:sdtPr>
        <w:tag w:val="NEW_STAND_NAME"/>
        <w:id w:val="595910757"/>
        <w:lock w:val="sdtLocked"/>
        <w:placeholder>
          <w:docPart w:val="E573668A27A042158B8801F6CF6B8883"/>
        </w:placeholder>
      </w:sdtPr>
      <w:sdtContent>
        <w:p w14:paraId="71A40CFE">
          <w:pPr>
            <w:pStyle w:val="177"/>
            <w:spacing w:before="240" w:beforeLines="100" w:after="528" w:afterLines="220"/>
          </w:pPr>
          <w:bookmarkStart w:id="26" w:name="NEW_STAND_NAME"/>
          <w:r>
            <w:rPr>
              <w:rFonts w:hint="eastAsia"/>
            </w:rPr>
            <w:t>浦北陈皮产品包装规范</w:t>
          </w:r>
        </w:p>
      </w:sdtContent>
    </w:sdt>
    <w:bookmarkEnd w:id="26"/>
    <w:p w14:paraId="41491FA5">
      <w:pPr>
        <w:pStyle w:val="104"/>
        <w:spacing w:before="240" w:after="240"/>
      </w:pPr>
      <w:bookmarkStart w:id="27" w:name="_Toc17233325"/>
      <w:bookmarkStart w:id="28" w:name="_Toc17233333"/>
      <w:bookmarkStart w:id="29" w:name="_Toc26986771"/>
      <w:bookmarkStart w:id="30" w:name="_Toc26986530"/>
      <w:bookmarkStart w:id="31" w:name="_Toc24884211"/>
      <w:bookmarkStart w:id="32" w:name="_Toc26718930"/>
      <w:bookmarkStart w:id="33" w:name="_Toc214276982"/>
      <w:bookmarkStart w:id="34" w:name="_Toc24884218"/>
      <w:bookmarkStart w:id="35" w:name="_Toc97192964"/>
      <w:bookmarkStart w:id="36" w:name="_Toc26648465"/>
      <w:r>
        <w:rPr>
          <w:rFonts w:hint="eastAsia"/>
        </w:rPr>
        <w:t>范围</w:t>
      </w:r>
      <w:bookmarkEnd w:id="27"/>
      <w:bookmarkEnd w:id="28"/>
      <w:bookmarkEnd w:id="29"/>
      <w:bookmarkEnd w:id="30"/>
      <w:bookmarkEnd w:id="31"/>
      <w:bookmarkEnd w:id="32"/>
      <w:bookmarkEnd w:id="33"/>
      <w:bookmarkEnd w:id="34"/>
      <w:bookmarkEnd w:id="35"/>
      <w:bookmarkEnd w:id="36"/>
    </w:p>
    <w:p w14:paraId="44EEAED1">
      <w:pPr>
        <w:pStyle w:val="56"/>
        <w:ind w:firstLine="420"/>
      </w:pPr>
      <w:bookmarkStart w:id="37" w:name="_Toc17233334"/>
      <w:bookmarkStart w:id="38" w:name="_Toc24884212"/>
      <w:bookmarkStart w:id="39" w:name="_Toc26648466"/>
      <w:bookmarkStart w:id="40" w:name="_Toc24884219"/>
      <w:bookmarkStart w:id="41" w:name="_Toc17233326"/>
      <w:r>
        <w:rPr>
          <w:rFonts w:hint="eastAsia"/>
        </w:rPr>
        <w:t>本文件规定了浦北陈皮产品包装的基本</w:t>
      </w:r>
      <w:r>
        <w:t>要求</w:t>
      </w:r>
      <w:r>
        <w:rPr>
          <w:rFonts w:hint="eastAsia"/>
        </w:rPr>
        <w:t>、包装</w:t>
      </w:r>
      <w:r>
        <w:t>要求、</w:t>
      </w:r>
      <w:r>
        <w:rPr>
          <w:rFonts w:hint="eastAsia"/>
        </w:rPr>
        <w:t>包装操作及标志、标签、</w:t>
      </w:r>
      <w:r>
        <w:t>标识</w:t>
      </w:r>
      <w:r>
        <w:rPr>
          <w:rFonts w:hint="eastAsia"/>
        </w:rPr>
        <w:t>和贮存要求。</w:t>
      </w:r>
    </w:p>
    <w:p w14:paraId="769115B8">
      <w:pPr>
        <w:pStyle w:val="56"/>
        <w:ind w:firstLine="420"/>
      </w:pPr>
      <w:r>
        <w:rPr>
          <w:rFonts w:hint="eastAsia"/>
        </w:rPr>
        <w:t>本</w:t>
      </w:r>
      <w:r>
        <w:t>文件</w:t>
      </w:r>
      <w:r>
        <w:rPr>
          <w:rFonts w:hint="eastAsia"/>
        </w:rPr>
        <w:t>适用于浦北陈皮产品的包装。</w:t>
      </w:r>
    </w:p>
    <w:p w14:paraId="1A0E9298">
      <w:pPr>
        <w:pStyle w:val="104"/>
        <w:spacing w:before="240" w:after="240"/>
      </w:pPr>
      <w:bookmarkStart w:id="42" w:name="_Toc97192965"/>
      <w:bookmarkStart w:id="43" w:name="_Toc214276983"/>
      <w:bookmarkStart w:id="44" w:name="_Toc26986531"/>
      <w:bookmarkStart w:id="45" w:name="_Toc26986772"/>
      <w:bookmarkStart w:id="46" w:name="_Toc26718931"/>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3D10F93DF9C64F1AA06660DBBD6294E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304CB62">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E82079F">
      <w:pPr>
        <w:pStyle w:val="56"/>
        <w:ind w:firstLine="420"/>
      </w:pPr>
      <w:bookmarkStart w:id="47" w:name="_Toc97192966"/>
      <w:r>
        <w:rPr>
          <w:rFonts w:hint="eastAsia"/>
        </w:rPr>
        <w:t xml:space="preserve">GB/T 191 </w:t>
      </w:r>
      <w:r>
        <w:t xml:space="preserve"> </w:t>
      </w:r>
      <w:r>
        <w:rPr>
          <w:rFonts w:hint="eastAsia"/>
        </w:rPr>
        <w:t>包装储运图示标志</w:t>
      </w:r>
    </w:p>
    <w:p w14:paraId="2620A431">
      <w:pPr>
        <w:pStyle w:val="56"/>
        <w:ind w:firstLine="420"/>
      </w:pPr>
      <w:r>
        <w:rPr>
          <w:rFonts w:hint="eastAsia"/>
        </w:rPr>
        <w:t>GB 4806.4</w:t>
      </w:r>
      <w:r>
        <w:t xml:space="preserve"> </w:t>
      </w:r>
      <w:r>
        <w:rPr>
          <w:rFonts w:hint="eastAsia"/>
        </w:rPr>
        <w:t xml:space="preserve"> 食品安全国家标准 </w:t>
      </w:r>
      <w:r>
        <w:t xml:space="preserve"> </w:t>
      </w:r>
      <w:r>
        <w:rPr>
          <w:rFonts w:hint="eastAsia"/>
        </w:rPr>
        <w:t>陶瓷制品</w:t>
      </w:r>
    </w:p>
    <w:p w14:paraId="64DA04AF">
      <w:pPr>
        <w:pStyle w:val="56"/>
        <w:ind w:firstLine="420"/>
      </w:pPr>
      <w:r>
        <w:rPr>
          <w:rFonts w:hint="eastAsia"/>
        </w:rPr>
        <w:t>GB 4806.5</w:t>
      </w:r>
      <w:r>
        <w:t xml:space="preserve"> </w:t>
      </w:r>
      <w:r>
        <w:rPr>
          <w:rFonts w:hint="eastAsia"/>
        </w:rPr>
        <w:t xml:space="preserve"> 食品安全国家标准  玻璃制品</w:t>
      </w:r>
    </w:p>
    <w:p w14:paraId="4A955B35">
      <w:pPr>
        <w:pStyle w:val="56"/>
        <w:ind w:firstLine="420"/>
      </w:pPr>
      <w:r>
        <w:rPr>
          <w:rFonts w:hint="eastAsia"/>
        </w:rPr>
        <w:t>GB 4806.7</w:t>
      </w:r>
      <w:r>
        <w:t xml:space="preserve"> </w:t>
      </w:r>
      <w:r>
        <w:rPr>
          <w:rFonts w:hint="eastAsia"/>
        </w:rPr>
        <w:t xml:space="preserve"> 食品安全国家标准 </w:t>
      </w:r>
      <w:r>
        <w:t xml:space="preserve"> </w:t>
      </w:r>
      <w:r>
        <w:rPr>
          <w:rFonts w:hint="eastAsia"/>
        </w:rPr>
        <w:t>食品接触用塑料材料及制品</w:t>
      </w:r>
    </w:p>
    <w:p w14:paraId="44B8ADB3">
      <w:pPr>
        <w:pStyle w:val="56"/>
        <w:ind w:firstLine="420"/>
      </w:pPr>
      <w:r>
        <w:t xml:space="preserve">GB 4806.8  </w:t>
      </w:r>
      <w:r>
        <w:rPr>
          <w:rFonts w:hint="eastAsia"/>
        </w:rPr>
        <w:t>食品安全国家标准</w:t>
      </w:r>
      <w:r>
        <w:t xml:space="preserve">  </w:t>
      </w:r>
      <w:r>
        <w:rPr>
          <w:rFonts w:hint="eastAsia"/>
        </w:rPr>
        <w:t>食品接触用纸和纸板材料及制品</w:t>
      </w:r>
    </w:p>
    <w:p w14:paraId="25C4BA04">
      <w:pPr>
        <w:pStyle w:val="56"/>
        <w:ind w:firstLine="420"/>
      </w:pPr>
      <w:r>
        <w:t xml:space="preserve">GB 4806.9  </w:t>
      </w:r>
      <w:r>
        <w:rPr>
          <w:rFonts w:hint="eastAsia"/>
        </w:rPr>
        <w:t xml:space="preserve">食品安全国家标准 </w:t>
      </w:r>
      <w:r>
        <w:t xml:space="preserve"> </w:t>
      </w:r>
      <w:r>
        <w:rPr>
          <w:rFonts w:hint="eastAsia"/>
        </w:rPr>
        <w:t>食品接触用金属材料及制品</w:t>
      </w:r>
    </w:p>
    <w:p w14:paraId="5CA3EAFC">
      <w:pPr>
        <w:pStyle w:val="56"/>
        <w:ind w:firstLine="420"/>
      </w:pPr>
      <w:r>
        <w:rPr>
          <w:rFonts w:hint="eastAsia"/>
        </w:rPr>
        <w:t>GB 4806.12</w:t>
      </w:r>
      <w:r>
        <w:t xml:space="preserve"> </w:t>
      </w:r>
      <w:r>
        <w:rPr>
          <w:rFonts w:hint="eastAsia"/>
        </w:rPr>
        <w:t xml:space="preserve"> 食品安全国家标准  食品接触用竹木材料及制品</w:t>
      </w:r>
    </w:p>
    <w:p w14:paraId="779C2583">
      <w:pPr>
        <w:pStyle w:val="56"/>
        <w:ind w:firstLine="420"/>
      </w:pPr>
      <w:r>
        <w:rPr>
          <w:rFonts w:hint="eastAsia"/>
        </w:rPr>
        <w:t>GB/T 6543</w:t>
      </w:r>
      <w:r>
        <w:t xml:space="preserve"> </w:t>
      </w:r>
      <w:r>
        <w:rPr>
          <w:rFonts w:hint="eastAsia"/>
        </w:rPr>
        <w:t xml:space="preserve"> 运输包装用单瓦楞纸箱和双瓦楞纸箱</w:t>
      </w:r>
    </w:p>
    <w:p w14:paraId="350A51E7">
      <w:pPr>
        <w:pStyle w:val="56"/>
        <w:ind w:firstLine="420"/>
      </w:pPr>
      <w:bookmarkStart w:id="48" w:name="OLE_LINK45"/>
      <w:bookmarkStart w:id="49" w:name="OLE_LINK44"/>
      <w:r>
        <w:rPr>
          <w:rFonts w:hint="eastAsia"/>
        </w:rPr>
        <w:t>GB 7718</w:t>
      </w:r>
      <w:bookmarkEnd w:id="48"/>
      <w:bookmarkEnd w:id="49"/>
      <w:r>
        <w:t xml:space="preserve"> </w:t>
      </w:r>
      <w:r>
        <w:rPr>
          <w:rFonts w:hint="eastAsia"/>
        </w:rPr>
        <w:t xml:space="preserve"> 食品安全国家标准 </w:t>
      </w:r>
      <w:r>
        <w:t xml:space="preserve"> </w:t>
      </w:r>
      <w:r>
        <w:rPr>
          <w:rFonts w:hint="eastAsia"/>
        </w:rPr>
        <w:t>预包装食品标签通则</w:t>
      </w:r>
    </w:p>
    <w:p w14:paraId="65518770">
      <w:pPr>
        <w:pStyle w:val="56"/>
        <w:ind w:firstLine="420"/>
      </w:pPr>
      <w:r>
        <w:rPr>
          <w:rFonts w:hint="eastAsia"/>
        </w:rPr>
        <w:t>GB 23350</w:t>
      </w:r>
      <w:r>
        <w:t xml:space="preserve">  </w:t>
      </w:r>
      <w:r>
        <w:rPr>
          <w:rFonts w:hint="eastAsia"/>
        </w:rPr>
        <w:t>限制商品</w:t>
      </w:r>
      <w:bookmarkStart w:id="50" w:name="OLE_LINK24"/>
      <w:bookmarkStart w:id="51" w:name="OLE_LINK23"/>
      <w:r>
        <w:rPr>
          <w:rFonts w:hint="eastAsia"/>
        </w:rPr>
        <w:t>过度包装</w:t>
      </w:r>
      <w:bookmarkEnd w:id="50"/>
      <w:bookmarkEnd w:id="51"/>
      <w:r>
        <w:rPr>
          <w:rFonts w:hint="eastAsia"/>
        </w:rPr>
        <w:t>要求  食品和化妆品</w:t>
      </w:r>
    </w:p>
    <w:p w14:paraId="7C5E6C14">
      <w:pPr>
        <w:pStyle w:val="56"/>
        <w:ind w:firstLine="420"/>
      </w:pPr>
      <w:r>
        <w:rPr>
          <w:rFonts w:hint="eastAsia"/>
        </w:rPr>
        <w:t>T/GXAS 509</w:t>
      </w:r>
      <w:r>
        <w:t xml:space="preserve"> </w:t>
      </w:r>
      <w:r>
        <w:rPr>
          <w:rFonts w:hint="eastAsia"/>
        </w:rPr>
        <w:t xml:space="preserve"> 浦北陈皮</w:t>
      </w:r>
    </w:p>
    <w:p w14:paraId="71C561B3">
      <w:pPr>
        <w:pStyle w:val="56"/>
        <w:ind w:firstLine="420"/>
      </w:pPr>
      <w:bookmarkStart w:id="52" w:name="OLE_LINK42"/>
      <w:bookmarkStart w:id="53" w:name="OLE_LINK43"/>
      <w:r>
        <w:rPr>
          <w:rFonts w:hint="eastAsia"/>
        </w:rPr>
        <w:t>T</w:t>
      </w:r>
      <w:bookmarkStart w:id="54" w:name="OLE_LINK28"/>
      <w:r>
        <w:rPr>
          <w:rFonts w:hint="eastAsia"/>
        </w:rPr>
        <w:t>/</w:t>
      </w:r>
      <w:bookmarkEnd w:id="54"/>
      <w:r>
        <w:rPr>
          <w:rFonts w:hint="eastAsia"/>
        </w:rPr>
        <w:t>GXAS 1018</w:t>
      </w:r>
      <w:bookmarkEnd w:id="52"/>
      <w:bookmarkEnd w:id="53"/>
      <w:r>
        <w:t xml:space="preserve"> </w:t>
      </w:r>
      <w:r>
        <w:rPr>
          <w:rFonts w:hint="eastAsia"/>
        </w:rPr>
        <w:t xml:space="preserve"> </w:t>
      </w:r>
      <w:bookmarkStart w:id="55" w:name="OLE_LINK40"/>
      <w:bookmarkStart w:id="56" w:name="OLE_LINK41"/>
      <w:r>
        <w:rPr>
          <w:rFonts w:hint="eastAsia"/>
        </w:rPr>
        <w:t>浦北陈皮仓储技术规范</w:t>
      </w:r>
      <w:bookmarkEnd w:id="55"/>
      <w:bookmarkEnd w:id="56"/>
    </w:p>
    <w:p w14:paraId="2C1BA1F3">
      <w:pPr>
        <w:pStyle w:val="104"/>
        <w:spacing w:before="240" w:after="240"/>
      </w:pPr>
      <w:bookmarkStart w:id="57" w:name="_Toc214276984"/>
      <w:r>
        <w:rPr>
          <w:rFonts w:hint="eastAsia"/>
          <w:szCs w:val="21"/>
        </w:rPr>
        <w:t>术语和定义</w:t>
      </w:r>
      <w:bookmarkEnd w:id="47"/>
      <w:bookmarkEnd w:id="57"/>
    </w:p>
    <w:sdt>
      <w:sdtPr>
        <w:id w:val="-1909835108"/>
        <w:placeholder>
          <w:docPart w:val="A54A735E5291465CA783B95CF4DB250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AC04798">
          <w:pPr>
            <w:pStyle w:val="56"/>
            <w:ind w:firstLine="420"/>
          </w:pPr>
          <w:bookmarkStart w:id="58" w:name="_Toc26986532"/>
          <w:bookmarkEnd w:id="58"/>
          <w:r>
            <w:t>T/GXAS 1018界定的术语和定义适用于本文件。</w:t>
          </w:r>
        </w:p>
      </w:sdtContent>
    </w:sdt>
    <w:p w14:paraId="2A7F9BCE">
      <w:pPr>
        <w:pStyle w:val="104"/>
        <w:spacing w:before="240" w:after="240"/>
      </w:pPr>
      <w:bookmarkStart w:id="59" w:name="_Toc214276985"/>
      <w:bookmarkStart w:id="60" w:name="OLE_LINK1"/>
      <w:bookmarkStart w:id="61" w:name="OLE_LINK2"/>
      <w:r>
        <w:rPr>
          <w:rFonts w:hint="eastAsia"/>
        </w:rPr>
        <w:t>基本要求</w:t>
      </w:r>
      <w:bookmarkEnd w:id="59"/>
      <w:bookmarkEnd w:id="60"/>
    </w:p>
    <w:p w14:paraId="2904B710">
      <w:pPr>
        <w:pStyle w:val="105"/>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ascii="宋体" w:hAnsi="宋体" w:eastAsia="宋体" w:cs="宋体"/>
        </w:rPr>
      </w:pPr>
      <w:r>
        <w:rPr>
          <w:rFonts w:hint="eastAsia" w:ascii="宋体" w:hAnsi="宋体" w:eastAsia="宋体" w:cs="宋体"/>
        </w:rPr>
        <w:t>包装应遵循“安全卫生、适度环保、标识清晰、便于储运”的原则，在不影响产品品质与安全的前提下，兼顾美观与文化传承。</w:t>
      </w:r>
    </w:p>
    <w:p w14:paraId="41B413A0">
      <w:pPr>
        <w:pStyle w:val="105"/>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ascii="宋体" w:hAnsi="宋体" w:eastAsia="宋体" w:cs="宋体"/>
        </w:rPr>
      </w:pPr>
      <w:r>
        <w:rPr>
          <w:rFonts w:hint="eastAsia" w:ascii="宋体" w:hAnsi="宋体" w:eastAsia="宋体" w:cs="宋体"/>
        </w:rPr>
        <w:t>包装设计应体现浦北陈皮地方特色和文化内涵，鼓励使用具有广西及浦北地方特色的图形、色彩和文字元素。</w:t>
      </w:r>
      <w:bookmarkEnd w:id="61"/>
    </w:p>
    <w:p w14:paraId="1287B337">
      <w:pPr>
        <w:pStyle w:val="105"/>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ascii="宋体" w:hAnsi="宋体" w:eastAsia="宋体" w:cs="宋体"/>
        </w:rPr>
      </w:pPr>
      <w:bookmarkStart w:id="62" w:name="OLE_LINK3"/>
      <w:r>
        <w:rPr>
          <w:rFonts w:hint="eastAsia" w:ascii="宋体" w:hAnsi="宋体" w:eastAsia="宋体" w:cs="宋体"/>
        </w:rPr>
        <w:t>包装场所应选</w:t>
      </w:r>
      <w:r>
        <w:rPr>
          <w:rFonts w:hint="eastAsia" w:ascii="宋体" w:hAnsi="宋体" w:eastAsia="宋体" w:cs="宋体"/>
          <w:lang w:val="en-US" w:eastAsia="zh-CN"/>
        </w:rPr>
        <w:t>择</w:t>
      </w:r>
      <w:bookmarkStart w:id="111" w:name="_GoBack"/>
      <w:bookmarkEnd w:id="111"/>
      <w:r>
        <w:rPr>
          <w:rFonts w:hint="eastAsia" w:ascii="宋体" w:hAnsi="宋体" w:eastAsia="宋体" w:cs="宋体"/>
        </w:rPr>
        <w:t>无有害气体、烟尘、放射性物质及其他扩散性污染源的</w:t>
      </w:r>
      <w:r>
        <w:rPr>
          <w:rFonts w:hint="eastAsia" w:ascii="宋体" w:hAnsi="宋体" w:eastAsia="宋体" w:cs="宋体"/>
          <w:lang w:val="en-US" w:eastAsia="zh-CN"/>
        </w:rPr>
        <w:t>区域</w:t>
      </w:r>
      <w:r>
        <w:rPr>
          <w:rFonts w:hint="eastAsia" w:ascii="宋体" w:hAnsi="宋体" w:eastAsia="宋体" w:cs="宋体"/>
        </w:rPr>
        <w:t>。包装车间应清洁、干燥、通风良好，光照度不低于200</w:t>
      </w:r>
      <w:r>
        <w:rPr>
          <w:rFonts w:hint="eastAsia" w:ascii="宋体" w:hAnsi="宋体" w:eastAsia="宋体" w:cs="宋体"/>
          <w:vertAlign w:val="superscript"/>
        </w:rPr>
        <w:t xml:space="preserve"> </w:t>
      </w:r>
      <w:r>
        <w:rPr>
          <w:rFonts w:hint="eastAsia" w:ascii="宋体" w:hAnsi="宋体" w:eastAsia="宋体" w:cs="宋体"/>
        </w:rPr>
        <w:t>Lux。环境温度应控制在15</w:t>
      </w:r>
      <w:r>
        <w:rPr>
          <w:rFonts w:hint="eastAsia" w:ascii="宋体" w:hAnsi="宋体" w:eastAsia="宋体" w:cs="宋体"/>
          <w:vertAlign w:val="superscript"/>
        </w:rPr>
        <w:t xml:space="preserve"> </w:t>
      </w:r>
      <w:r>
        <w:rPr>
          <w:rFonts w:hint="eastAsia" w:ascii="宋体" w:hAnsi="宋体" w:eastAsia="宋体" w:cs="宋体"/>
        </w:rPr>
        <w:t>℃</w:t>
      </w:r>
      <w:bookmarkStart w:id="63" w:name="OLE_LINK20"/>
      <w:r>
        <w:rPr>
          <w:rFonts w:hint="eastAsia" w:ascii="宋体" w:hAnsi="宋体" w:eastAsia="宋体" w:cs="宋体"/>
        </w:rPr>
        <w:t>～</w:t>
      </w:r>
      <w:bookmarkEnd w:id="63"/>
      <w:r>
        <w:rPr>
          <w:rFonts w:hint="eastAsia" w:ascii="宋体" w:hAnsi="宋体" w:eastAsia="宋体" w:cs="宋体"/>
        </w:rPr>
        <w:t>30</w:t>
      </w:r>
      <w:r>
        <w:rPr>
          <w:rFonts w:hint="eastAsia" w:ascii="宋体" w:hAnsi="宋体" w:eastAsia="宋体" w:cs="宋体"/>
          <w:vertAlign w:val="superscript"/>
        </w:rPr>
        <w:t xml:space="preserve"> </w:t>
      </w:r>
      <w:r>
        <w:rPr>
          <w:rFonts w:hint="eastAsia" w:ascii="宋体" w:hAnsi="宋体" w:eastAsia="宋体" w:cs="宋体"/>
        </w:rPr>
        <w:t>℃</w:t>
      </w:r>
      <w:r>
        <w:rPr>
          <w:rFonts w:hint="eastAsia" w:ascii="宋体" w:hAnsi="宋体" w:eastAsia="宋体" w:cs="宋体"/>
          <w:lang w:val="en-US" w:eastAsia="zh-CN"/>
        </w:rPr>
        <w:t>之间</w:t>
      </w:r>
      <w:r>
        <w:rPr>
          <w:rFonts w:hint="eastAsia" w:ascii="宋体" w:hAnsi="宋体" w:eastAsia="宋体" w:cs="宋体"/>
        </w:rPr>
        <w:t>，相对湿度应控制在45％～65％之间，并配有温湿度监控装置和记录。</w:t>
      </w:r>
    </w:p>
    <w:p w14:paraId="766ECC5A">
      <w:pPr>
        <w:pStyle w:val="105"/>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ascii="宋体" w:hAnsi="宋体" w:eastAsia="宋体" w:cs="宋体"/>
        </w:rPr>
      </w:pPr>
      <w:r>
        <w:rPr>
          <w:rFonts w:hint="eastAsia" w:ascii="宋体" w:hAnsi="宋体" w:eastAsia="宋体" w:cs="宋体"/>
        </w:rPr>
        <w:t>包装人员应经过岗前培训合格，熟悉陈皮产品相关食品安全、操作知识。</w:t>
      </w:r>
      <w:bookmarkEnd w:id="62"/>
    </w:p>
    <w:p w14:paraId="4EE5B6F4">
      <w:pPr>
        <w:pStyle w:val="104"/>
        <w:spacing w:before="240" w:after="240"/>
      </w:pPr>
      <w:bookmarkStart w:id="64" w:name="_Toc214276986"/>
      <w:r>
        <w:rPr>
          <w:rFonts w:hint="eastAsia"/>
        </w:rPr>
        <w:t>包装</w:t>
      </w:r>
      <w:r>
        <w:t>要求</w:t>
      </w:r>
      <w:bookmarkEnd w:id="64"/>
    </w:p>
    <w:p w14:paraId="20EA2207">
      <w:pPr>
        <w:pStyle w:val="105"/>
        <w:spacing w:before="120" w:after="120"/>
      </w:pPr>
      <w:bookmarkStart w:id="65" w:name="_Toc214276987"/>
      <w:r>
        <w:rPr>
          <w:rFonts w:hint="eastAsia"/>
        </w:rPr>
        <w:t>包装材料</w:t>
      </w:r>
      <w:bookmarkEnd w:id="65"/>
    </w:p>
    <w:p w14:paraId="61D947DF">
      <w:pPr>
        <w:pStyle w:val="165"/>
      </w:pPr>
      <w:r>
        <w:rPr>
          <w:rFonts w:hint="eastAsia"/>
        </w:rPr>
        <w:t>直接接触浦北陈皮的包装材料应符合GB 4806.7等相关食品安全国家标准</w:t>
      </w:r>
      <w:r>
        <w:rPr>
          <w:rFonts w:hint="eastAsia"/>
          <w:lang w:val="en-US" w:eastAsia="zh-CN"/>
        </w:rPr>
        <w:t>规定</w:t>
      </w:r>
      <w:r>
        <w:rPr>
          <w:rFonts w:hint="eastAsia"/>
        </w:rPr>
        <w:t>，不</w:t>
      </w:r>
      <w:r>
        <w:rPr>
          <w:rFonts w:hint="eastAsia"/>
          <w:lang w:val="en-US" w:eastAsia="zh-CN"/>
        </w:rPr>
        <w:t>应</w:t>
      </w:r>
      <w:r>
        <w:rPr>
          <w:rFonts w:hint="eastAsia"/>
        </w:rPr>
        <w:t>使用对人体健康有害的材料。</w:t>
      </w:r>
    </w:p>
    <w:p w14:paraId="2F2CBC21">
      <w:pPr>
        <w:pStyle w:val="165"/>
      </w:pPr>
      <w:r>
        <w:rPr>
          <w:rFonts w:hint="eastAsia"/>
        </w:rPr>
        <w:t>包初始包装材料：</w:t>
      </w:r>
    </w:p>
    <w:p w14:paraId="55A5D8B0">
      <w:pPr>
        <w:pStyle w:val="132"/>
      </w:pPr>
      <w:r>
        <w:rPr>
          <w:rFonts w:hint="eastAsia"/>
        </w:rPr>
        <w:t>食品级塑料：用于内袋、密封膜，应符合GB 4806.7的规定；</w:t>
      </w:r>
    </w:p>
    <w:p w14:paraId="02ACCA37">
      <w:pPr>
        <w:pStyle w:val="132"/>
      </w:pPr>
      <w:r>
        <w:rPr>
          <w:rFonts w:hint="eastAsia"/>
        </w:rPr>
        <w:t>食品级纸张：用于内衬、分包包装，应符合</w:t>
      </w:r>
      <w:bookmarkStart w:id="66" w:name="OLE_LINK22"/>
      <w:bookmarkStart w:id="67" w:name="OLE_LINK21"/>
      <w:bookmarkStart w:id="68" w:name="OLE_LINK10"/>
      <w:bookmarkStart w:id="69" w:name="OLE_LINK9"/>
      <w:r>
        <w:rPr>
          <w:rFonts w:hint="eastAsia"/>
        </w:rPr>
        <w:t>GB 4806.8</w:t>
      </w:r>
      <w:bookmarkEnd w:id="66"/>
      <w:bookmarkEnd w:id="67"/>
      <w:bookmarkEnd w:id="68"/>
      <w:bookmarkEnd w:id="69"/>
      <w:r>
        <w:rPr>
          <w:rFonts w:hint="eastAsia"/>
        </w:rPr>
        <w:t>的规定；</w:t>
      </w:r>
    </w:p>
    <w:p w14:paraId="2458C68E">
      <w:pPr>
        <w:pStyle w:val="132"/>
      </w:pPr>
      <w:r>
        <w:rPr>
          <w:rFonts w:hint="eastAsia"/>
        </w:rPr>
        <w:t>金属罐：马口铁罐、铝罐内壁应有食品级环氧涂层，涂层均匀无遗漏，其他应</w:t>
      </w:r>
      <w:r>
        <w:t>符合</w:t>
      </w:r>
      <w:bookmarkStart w:id="70" w:name="OLE_LINK27"/>
      <w:r>
        <w:rPr>
          <w:rFonts w:hint="eastAsia"/>
        </w:rPr>
        <w:t>GB 4806.9</w:t>
      </w:r>
      <w:bookmarkEnd w:id="70"/>
      <w:r>
        <w:rPr>
          <w:rFonts w:hint="eastAsia"/>
        </w:rPr>
        <w:t>的</w:t>
      </w:r>
      <w:r>
        <w:t>规定。</w:t>
      </w:r>
    </w:p>
    <w:p w14:paraId="75D37798">
      <w:pPr>
        <w:pStyle w:val="132"/>
      </w:pPr>
      <w:r>
        <w:rPr>
          <w:rFonts w:hint="eastAsia"/>
        </w:rPr>
        <w:t>陶瓷容器：内壁应施以无铅、无镉釉料，吸水率≤0.5％，</w:t>
      </w:r>
      <w:bookmarkStart w:id="71" w:name="OLE_LINK33"/>
      <w:bookmarkStart w:id="72" w:name="OLE_LINK34"/>
      <w:r>
        <w:rPr>
          <w:rFonts w:hint="eastAsia"/>
        </w:rPr>
        <w:t>其他</w:t>
      </w:r>
      <w:bookmarkEnd w:id="71"/>
      <w:bookmarkEnd w:id="72"/>
      <w:r>
        <w:rPr>
          <w:rFonts w:hint="eastAsia"/>
        </w:rPr>
        <w:t>应</w:t>
      </w:r>
      <w:r>
        <w:t>符合</w:t>
      </w:r>
      <w:r>
        <w:rPr>
          <w:rFonts w:hint="eastAsia"/>
        </w:rPr>
        <w:t>GB 4806.4的</w:t>
      </w:r>
      <w:r>
        <w:t>规定</w:t>
      </w:r>
      <w:r>
        <w:rPr>
          <w:rFonts w:hint="eastAsia"/>
        </w:rPr>
        <w:t>。</w:t>
      </w:r>
    </w:p>
    <w:p w14:paraId="1F357B6F">
      <w:pPr>
        <w:pStyle w:val="132"/>
      </w:pPr>
      <w:r>
        <w:rPr>
          <w:rFonts w:hint="eastAsia"/>
        </w:rPr>
        <w:t>玻璃容器：应为有色玻璃（如棕色、蓝色），透光率应≤30％，</w:t>
      </w:r>
      <w:bookmarkStart w:id="73" w:name="OLE_LINK11"/>
      <w:r>
        <w:rPr>
          <w:rFonts w:hint="eastAsia"/>
        </w:rPr>
        <w:t>其他应</w:t>
      </w:r>
      <w:r>
        <w:t>符合</w:t>
      </w:r>
      <w:r>
        <w:rPr>
          <w:rFonts w:hint="eastAsia"/>
        </w:rPr>
        <w:t>GB 4806.5</w:t>
      </w:r>
      <w:bookmarkEnd w:id="73"/>
      <w:r>
        <w:rPr>
          <w:rFonts w:hint="eastAsia"/>
        </w:rPr>
        <w:t>的</w:t>
      </w:r>
      <w:r>
        <w:t>规定</w:t>
      </w:r>
      <w:r>
        <w:rPr>
          <w:rFonts w:hint="eastAsia"/>
        </w:rPr>
        <w:t>。</w:t>
      </w:r>
    </w:p>
    <w:p w14:paraId="60DEE75F">
      <w:pPr>
        <w:pStyle w:val="165"/>
      </w:pPr>
      <w:r>
        <w:rPr>
          <w:rFonts w:hint="eastAsia"/>
        </w:rPr>
        <w:t>外包装材料：</w:t>
      </w:r>
    </w:p>
    <w:p w14:paraId="4765B3E6">
      <w:pPr>
        <w:pStyle w:val="132"/>
      </w:pPr>
      <w:r>
        <w:rPr>
          <w:rFonts w:hint="eastAsia"/>
        </w:rPr>
        <w:t>木盒：木材含水率应控制在10％</w:t>
      </w:r>
      <w:bookmarkStart w:id="74" w:name="OLE_LINK37"/>
      <w:bookmarkStart w:id="75" w:name="OLE_LINK36"/>
      <w:r>
        <w:rPr>
          <w:rFonts w:hint="eastAsia"/>
        </w:rPr>
        <w:t>～</w:t>
      </w:r>
      <w:bookmarkEnd w:id="74"/>
      <w:bookmarkEnd w:id="75"/>
      <w:r>
        <w:rPr>
          <w:rFonts w:hint="eastAsia"/>
        </w:rPr>
        <w:t>12</w:t>
      </w:r>
      <w:bookmarkStart w:id="76" w:name="OLE_LINK32"/>
      <w:bookmarkStart w:id="77" w:name="OLE_LINK31"/>
      <w:r>
        <w:rPr>
          <w:rFonts w:hint="eastAsia"/>
        </w:rPr>
        <w:t>％</w:t>
      </w:r>
      <w:bookmarkEnd w:id="76"/>
      <w:bookmarkEnd w:id="77"/>
      <w:r>
        <w:rPr>
          <w:rFonts w:hint="eastAsia"/>
        </w:rPr>
        <w:t>，无异味、无虫蛀、无结疤；其他应符合</w:t>
      </w:r>
      <w:bookmarkStart w:id="78" w:name="OLE_LINK30"/>
      <w:bookmarkStart w:id="79" w:name="OLE_LINK29"/>
      <w:r>
        <w:rPr>
          <w:rFonts w:hint="eastAsia"/>
        </w:rPr>
        <w:t>GB 4806.12</w:t>
      </w:r>
      <w:bookmarkEnd w:id="78"/>
      <w:bookmarkEnd w:id="79"/>
      <w:r>
        <w:rPr>
          <w:rFonts w:hint="eastAsia"/>
        </w:rPr>
        <w:t>的规定；</w:t>
      </w:r>
    </w:p>
    <w:p w14:paraId="00EB74FF">
      <w:pPr>
        <w:pStyle w:val="132"/>
      </w:pPr>
      <w:bookmarkStart w:id="80" w:name="OLE_LINK35"/>
      <w:r>
        <w:rPr>
          <w:rFonts w:hint="eastAsia"/>
        </w:rPr>
        <w:t>瓦楞纸箱</w:t>
      </w:r>
      <w:bookmarkEnd w:id="80"/>
      <w:r>
        <w:rPr>
          <w:rFonts w:hint="eastAsia"/>
        </w:rPr>
        <w:t>：用于运输包装，其边压强度、耐破强度应符合GB/T 6543要求。</w:t>
      </w:r>
    </w:p>
    <w:p w14:paraId="305234AC">
      <w:pPr>
        <w:pStyle w:val="165"/>
      </w:pPr>
      <w:r>
        <w:rPr>
          <w:rFonts w:hint="eastAsia"/>
        </w:rPr>
        <w:t>不同陈化年限浦北陈皮的推荐包装材料见</w:t>
      </w:r>
      <w:r>
        <w:t>表1</w:t>
      </w:r>
      <w:r>
        <w:rPr>
          <w:rFonts w:hint="eastAsia"/>
        </w:rPr>
        <w:t>。</w:t>
      </w:r>
    </w:p>
    <w:p w14:paraId="4CEF4A51">
      <w:pPr>
        <w:pStyle w:val="112"/>
        <w:spacing w:before="120" w:after="120"/>
      </w:pPr>
      <w:r>
        <w:rPr>
          <w:rFonts w:hint="eastAsia"/>
        </w:rPr>
        <w:t>不同陈化年限浦北陈皮的推荐包装材料</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36"/>
        <w:gridCol w:w="2336"/>
        <w:gridCol w:w="2336"/>
        <w:gridCol w:w="2336"/>
      </w:tblGrid>
      <w:tr w14:paraId="2D231D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6" w:type="dxa"/>
            <w:tcBorders>
              <w:top w:val="single" w:color="auto" w:sz="8" w:space="0"/>
              <w:bottom w:val="single" w:color="auto" w:sz="8" w:space="0"/>
            </w:tcBorders>
            <w:shd w:val="clear" w:color="auto" w:fill="auto"/>
            <w:vAlign w:val="center"/>
          </w:tcPr>
          <w:p w14:paraId="7488F9FD">
            <w:pPr>
              <w:pStyle w:val="178"/>
            </w:pPr>
            <w:r>
              <w:rPr>
                <w:rFonts w:hint="eastAsia"/>
              </w:rPr>
              <w:t>陈化年限</w:t>
            </w:r>
          </w:p>
        </w:tc>
        <w:tc>
          <w:tcPr>
            <w:tcW w:w="2336" w:type="dxa"/>
            <w:tcBorders>
              <w:top w:val="single" w:color="auto" w:sz="8" w:space="0"/>
              <w:bottom w:val="single" w:color="auto" w:sz="8" w:space="0"/>
            </w:tcBorders>
            <w:shd w:val="clear" w:color="auto" w:fill="auto"/>
            <w:vAlign w:val="center"/>
          </w:tcPr>
          <w:p w14:paraId="4A540CB6">
            <w:pPr>
              <w:pStyle w:val="178"/>
            </w:pPr>
            <w:r>
              <w:rPr>
                <w:rFonts w:hint="eastAsia"/>
              </w:rPr>
              <w:t>推荐初始包装</w:t>
            </w:r>
          </w:p>
        </w:tc>
        <w:tc>
          <w:tcPr>
            <w:tcW w:w="2336" w:type="dxa"/>
            <w:tcBorders>
              <w:top w:val="single" w:color="auto" w:sz="8" w:space="0"/>
              <w:bottom w:val="single" w:color="auto" w:sz="8" w:space="0"/>
            </w:tcBorders>
            <w:shd w:val="clear" w:color="auto" w:fill="auto"/>
            <w:vAlign w:val="center"/>
          </w:tcPr>
          <w:p w14:paraId="61358C8D">
            <w:pPr>
              <w:pStyle w:val="178"/>
            </w:pPr>
            <w:r>
              <w:rPr>
                <w:rFonts w:hint="eastAsia"/>
              </w:rPr>
              <w:t>推荐外包装</w:t>
            </w:r>
          </w:p>
        </w:tc>
        <w:tc>
          <w:tcPr>
            <w:tcW w:w="2336" w:type="dxa"/>
            <w:tcBorders>
              <w:top w:val="single" w:color="auto" w:sz="8" w:space="0"/>
              <w:bottom w:val="single" w:color="auto" w:sz="8" w:space="0"/>
            </w:tcBorders>
            <w:shd w:val="clear" w:color="auto" w:fill="auto"/>
            <w:vAlign w:val="center"/>
          </w:tcPr>
          <w:p w14:paraId="7CD80830">
            <w:pPr>
              <w:pStyle w:val="178"/>
            </w:pPr>
            <w:r>
              <w:rPr>
                <w:rFonts w:hint="eastAsia"/>
              </w:rPr>
              <w:t>特别注意事项</w:t>
            </w:r>
          </w:p>
        </w:tc>
      </w:tr>
      <w:tr w14:paraId="0EA0F1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6" w:type="dxa"/>
            <w:tcBorders>
              <w:top w:val="single" w:color="auto" w:sz="8" w:space="0"/>
            </w:tcBorders>
            <w:shd w:val="clear" w:color="auto" w:fill="auto"/>
            <w:vAlign w:val="center"/>
          </w:tcPr>
          <w:p w14:paraId="27925B17">
            <w:pPr>
              <w:pStyle w:val="178"/>
            </w:pPr>
            <w:r>
              <w:rPr>
                <w:rFonts w:hint="eastAsia"/>
              </w:rPr>
              <w:t>3～5年</w:t>
            </w:r>
          </w:p>
        </w:tc>
        <w:tc>
          <w:tcPr>
            <w:tcW w:w="2336" w:type="dxa"/>
            <w:tcBorders>
              <w:top w:val="single" w:color="auto" w:sz="8" w:space="0"/>
            </w:tcBorders>
            <w:shd w:val="clear" w:color="auto" w:fill="auto"/>
            <w:vAlign w:val="center"/>
          </w:tcPr>
          <w:p w14:paraId="52BC4218">
            <w:pPr>
              <w:pStyle w:val="178"/>
            </w:pPr>
            <w:r>
              <w:rPr>
                <w:rFonts w:hint="eastAsia"/>
              </w:rPr>
              <w:t>食品级PE袋、铝箔复合袋</w:t>
            </w:r>
          </w:p>
        </w:tc>
        <w:tc>
          <w:tcPr>
            <w:tcW w:w="2336" w:type="dxa"/>
            <w:tcBorders>
              <w:top w:val="single" w:color="auto" w:sz="8" w:space="0"/>
            </w:tcBorders>
            <w:shd w:val="clear" w:color="auto" w:fill="auto"/>
            <w:vAlign w:val="center"/>
          </w:tcPr>
          <w:p w14:paraId="15C6EE5E">
            <w:pPr>
              <w:pStyle w:val="178"/>
            </w:pPr>
            <w:r>
              <w:rPr>
                <w:rFonts w:hint="eastAsia"/>
              </w:rPr>
              <w:t>纸盒、铁罐</w:t>
            </w:r>
          </w:p>
        </w:tc>
        <w:tc>
          <w:tcPr>
            <w:tcW w:w="2336" w:type="dxa"/>
            <w:tcBorders>
              <w:top w:val="single" w:color="auto" w:sz="8" w:space="0"/>
            </w:tcBorders>
            <w:shd w:val="clear" w:color="auto" w:fill="auto"/>
            <w:vAlign w:val="center"/>
          </w:tcPr>
          <w:p w14:paraId="285E347E">
            <w:pPr>
              <w:pStyle w:val="178"/>
            </w:pPr>
            <w:r>
              <w:rPr>
                <w:rFonts w:hint="eastAsia"/>
              </w:rPr>
              <w:t>密封防潮</w:t>
            </w:r>
          </w:p>
        </w:tc>
      </w:tr>
      <w:tr w14:paraId="7BACB4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6" w:type="dxa"/>
            <w:shd w:val="clear" w:color="auto" w:fill="auto"/>
            <w:vAlign w:val="center"/>
          </w:tcPr>
          <w:p w14:paraId="16B72D30">
            <w:pPr>
              <w:pStyle w:val="178"/>
            </w:pPr>
            <w:r>
              <w:rPr>
                <w:rFonts w:hint="eastAsia"/>
              </w:rPr>
              <w:t>5～10年</w:t>
            </w:r>
          </w:p>
        </w:tc>
        <w:tc>
          <w:tcPr>
            <w:tcW w:w="2336" w:type="dxa"/>
            <w:shd w:val="clear" w:color="auto" w:fill="auto"/>
            <w:vAlign w:val="center"/>
          </w:tcPr>
          <w:p w14:paraId="26FE20F1">
            <w:pPr>
              <w:pStyle w:val="178"/>
            </w:pPr>
            <w:r>
              <w:rPr>
                <w:rFonts w:hint="eastAsia"/>
              </w:rPr>
              <w:t>铝箔复合袋、玻璃罐</w:t>
            </w:r>
          </w:p>
        </w:tc>
        <w:tc>
          <w:tcPr>
            <w:tcW w:w="2336" w:type="dxa"/>
            <w:shd w:val="clear" w:color="auto" w:fill="auto"/>
            <w:vAlign w:val="center"/>
          </w:tcPr>
          <w:p w14:paraId="7EAF6C00">
            <w:pPr>
              <w:pStyle w:val="178"/>
            </w:pPr>
            <w:r>
              <w:rPr>
                <w:rFonts w:hint="eastAsia"/>
              </w:rPr>
              <w:t>精装纸盒、木盒</w:t>
            </w:r>
          </w:p>
        </w:tc>
        <w:tc>
          <w:tcPr>
            <w:tcW w:w="2336" w:type="dxa"/>
            <w:shd w:val="clear" w:color="auto" w:fill="auto"/>
            <w:vAlign w:val="center"/>
          </w:tcPr>
          <w:p w14:paraId="579E79A3">
            <w:pPr>
              <w:pStyle w:val="178"/>
            </w:pPr>
            <w:r>
              <w:rPr>
                <w:rFonts w:hint="eastAsia"/>
              </w:rPr>
              <w:t>避光、防氧化</w:t>
            </w:r>
          </w:p>
        </w:tc>
      </w:tr>
      <w:tr w14:paraId="771854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6" w:type="dxa"/>
            <w:shd w:val="clear" w:color="auto" w:fill="auto"/>
            <w:vAlign w:val="center"/>
          </w:tcPr>
          <w:p w14:paraId="50640CDB">
            <w:pPr>
              <w:pStyle w:val="178"/>
            </w:pPr>
            <w:r>
              <w:rPr>
                <w:rFonts w:hint="eastAsia"/>
              </w:rPr>
              <w:t>10～20年</w:t>
            </w:r>
          </w:p>
        </w:tc>
        <w:tc>
          <w:tcPr>
            <w:tcW w:w="2336" w:type="dxa"/>
            <w:shd w:val="clear" w:color="auto" w:fill="auto"/>
            <w:vAlign w:val="center"/>
          </w:tcPr>
          <w:p w14:paraId="3D2D6DB0">
            <w:pPr>
              <w:pStyle w:val="178"/>
            </w:pPr>
            <w:r>
              <w:rPr>
                <w:rFonts w:hint="eastAsia"/>
              </w:rPr>
              <w:t>马口铁罐、陶瓷罐</w:t>
            </w:r>
          </w:p>
        </w:tc>
        <w:tc>
          <w:tcPr>
            <w:tcW w:w="2336" w:type="dxa"/>
            <w:shd w:val="clear" w:color="auto" w:fill="auto"/>
            <w:vAlign w:val="center"/>
          </w:tcPr>
          <w:p w14:paraId="03AE545A">
            <w:pPr>
              <w:pStyle w:val="178"/>
            </w:pPr>
            <w:r>
              <w:rPr>
                <w:rFonts w:hint="eastAsia"/>
              </w:rPr>
              <w:t>精品木盒、礼盒</w:t>
            </w:r>
          </w:p>
        </w:tc>
        <w:tc>
          <w:tcPr>
            <w:tcW w:w="2336" w:type="dxa"/>
            <w:shd w:val="clear" w:color="auto" w:fill="auto"/>
            <w:vAlign w:val="center"/>
          </w:tcPr>
          <w:p w14:paraId="1300C1E2">
            <w:pPr>
              <w:pStyle w:val="178"/>
            </w:pPr>
            <w:r>
              <w:rPr>
                <w:rFonts w:hint="eastAsia"/>
              </w:rPr>
              <w:t>避光、防氧化</w:t>
            </w:r>
          </w:p>
        </w:tc>
      </w:tr>
      <w:tr w14:paraId="11D78B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6" w:type="dxa"/>
            <w:shd w:val="clear" w:color="auto" w:fill="auto"/>
            <w:vAlign w:val="center"/>
          </w:tcPr>
          <w:p w14:paraId="48D378AC">
            <w:pPr>
              <w:pStyle w:val="178"/>
            </w:pPr>
            <w:r>
              <w:rPr>
                <w:rFonts w:hint="eastAsia"/>
              </w:rPr>
              <w:t>20年以上</w:t>
            </w:r>
          </w:p>
        </w:tc>
        <w:tc>
          <w:tcPr>
            <w:tcW w:w="2336" w:type="dxa"/>
            <w:shd w:val="clear" w:color="auto" w:fill="auto"/>
            <w:vAlign w:val="center"/>
          </w:tcPr>
          <w:p w14:paraId="10540747">
            <w:pPr>
              <w:pStyle w:val="178"/>
            </w:pPr>
            <w:r>
              <w:rPr>
                <w:rFonts w:hint="eastAsia"/>
              </w:rPr>
              <w:t>密封陶瓷罐、充氮包装</w:t>
            </w:r>
          </w:p>
        </w:tc>
        <w:tc>
          <w:tcPr>
            <w:tcW w:w="2336" w:type="dxa"/>
            <w:shd w:val="clear" w:color="auto" w:fill="auto"/>
            <w:vAlign w:val="center"/>
          </w:tcPr>
          <w:p w14:paraId="2C7BAD2F">
            <w:pPr>
              <w:pStyle w:val="178"/>
            </w:pPr>
            <w:r>
              <w:rPr>
                <w:rFonts w:hint="eastAsia"/>
              </w:rPr>
              <w:t>收藏级包装</w:t>
            </w:r>
          </w:p>
        </w:tc>
        <w:tc>
          <w:tcPr>
            <w:tcW w:w="2336" w:type="dxa"/>
            <w:shd w:val="clear" w:color="auto" w:fill="auto"/>
            <w:vAlign w:val="center"/>
          </w:tcPr>
          <w:p w14:paraId="3CAC7DF9">
            <w:pPr>
              <w:pStyle w:val="178"/>
            </w:pPr>
            <w:r>
              <w:rPr>
                <w:rFonts w:hint="eastAsia"/>
              </w:rPr>
              <w:t>注重长期稳定性</w:t>
            </w:r>
          </w:p>
        </w:tc>
      </w:tr>
    </w:tbl>
    <w:p w14:paraId="3C3D4F01">
      <w:pPr>
        <w:pStyle w:val="165"/>
        <w:numPr>
          <w:ilvl w:val="0"/>
          <w:numId w:val="0"/>
        </w:numPr>
      </w:pPr>
    </w:p>
    <w:p w14:paraId="71BC5333">
      <w:pPr>
        <w:pStyle w:val="165"/>
      </w:pPr>
      <w:r>
        <w:rPr>
          <w:rFonts w:hint="eastAsia"/>
        </w:rPr>
        <w:t>推广使用可降解、可回收的环保包装材料，限制使用一次性塑料制品。不应使用贵金属和红木材料过度包装。</w:t>
      </w:r>
    </w:p>
    <w:p w14:paraId="2C0D0415">
      <w:pPr>
        <w:pStyle w:val="105"/>
        <w:spacing w:before="120" w:after="120"/>
      </w:pPr>
      <w:bookmarkStart w:id="81" w:name="_Toc214276988"/>
      <w:r>
        <w:rPr>
          <w:rFonts w:hint="eastAsia"/>
        </w:rPr>
        <w:t>包装容器</w:t>
      </w:r>
      <w:bookmarkEnd w:id="81"/>
    </w:p>
    <w:p w14:paraId="326C08B2">
      <w:pPr>
        <w:pStyle w:val="165"/>
      </w:pPr>
      <w:r>
        <w:rPr>
          <w:rFonts w:hint="eastAsia"/>
        </w:rPr>
        <w:t>浦北陈皮包装容器应符合以下要求：</w:t>
      </w:r>
    </w:p>
    <w:p w14:paraId="0FF29D10">
      <w:pPr>
        <w:pStyle w:val="132"/>
      </w:pPr>
      <w:r>
        <w:rPr>
          <w:rFonts w:hint="eastAsia"/>
        </w:rPr>
        <w:t>密封性良好，能有效防止陈皮吸潮、霉变和香气挥发；</w:t>
      </w:r>
    </w:p>
    <w:p w14:paraId="7BF00448">
      <w:pPr>
        <w:pStyle w:val="132"/>
      </w:pPr>
      <w:r>
        <w:rPr>
          <w:rFonts w:hint="eastAsia"/>
        </w:rPr>
        <w:t>避光性能良好，能有效延缓陈皮陈化过程中有效成分的变化；</w:t>
      </w:r>
    </w:p>
    <w:p w14:paraId="5BA022EE">
      <w:pPr>
        <w:pStyle w:val="132"/>
      </w:pPr>
      <w:r>
        <w:rPr>
          <w:rFonts w:hint="eastAsia"/>
        </w:rPr>
        <w:t>结构牢固，能承受堆码、运输过程中的冲击和振动。</w:t>
      </w:r>
    </w:p>
    <w:p w14:paraId="3C1D5AAE">
      <w:pPr>
        <w:pStyle w:val="165"/>
      </w:pPr>
      <w:r>
        <w:rPr>
          <w:rFonts w:hint="eastAsia"/>
        </w:rPr>
        <w:t>根据浦北陈皮陈化年限和品质等级，可选择编织袋、纸箱、陶瓷罐、金属听等不同密封性能的包装容器。</w:t>
      </w:r>
    </w:p>
    <w:p w14:paraId="2A00CDB7">
      <w:pPr>
        <w:pStyle w:val="105"/>
        <w:spacing w:before="120" w:after="120"/>
      </w:pPr>
      <w:bookmarkStart w:id="82" w:name="_Toc214276989"/>
      <w:bookmarkStart w:id="83" w:name="OLE_LINK5"/>
      <w:bookmarkStart w:id="84" w:name="OLE_LINK4"/>
      <w:r>
        <w:rPr>
          <w:rFonts w:hint="eastAsia"/>
        </w:rPr>
        <w:t>包装规格</w:t>
      </w:r>
      <w:bookmarkEnd w:id="82"/>
    </w:p>
    <w:p w14:paraId="33B4C1A8">
      <w:pPr>
        <w:pStyle w:val="165"/>
      </w:pPr>
      <w:r>
        <w:rPr>
          <w:rFonts w:hint="eastAsia"/>
        </w:rPr>
        <w:t>浦北陈皮零售包装宜采用50</w:t>
      </w:r>
      <w:r>
        <w:rPr>
          <w:vertAlign w:val="superscript"/>
        </w:rPr>
        <w:t xml:space="preserve"> </w:t>
      </w:r>
      <w:r>
        <w:rPr>
          <w:rFonts w:hint="eastAsia"/>
        </w:rPr>
        <w:t>g、100</w:t>
      </w:r>
      <w:r>
        <w:rPr>
          <w:vertAlign w:val="superscript"/>
        </w:rPr>
        <w:t xml:space="preserve"> </w:t>
      </w:r>
      <w:r>
        <w:rPr>
          <w:rFonts w:hint="eastAsia"/>
        </w:rPr>
        <w:t>g、250</w:t>
      </w:r>
      <w:r>
        <w:rPr>
          <w:vertAlign w:val="superscript"/>
        </w:rPr>
        <w:t xml:space="preserve"> </w:t>
      </w:r>
      <w:r>
        <w:rPr>
          <w:rFonts w:hint="eastAsia"/>
        </w:rPr>
        <w:t>g、500</w:t>
      </w:r>
      <w:r>
        <w:rPr>
          <w:vertAlign w:val="superscript"/>
        </w:rPr>
        <w:t xml:space="preserve"> </w:t>
      </w:r>
      <w:r>
        <w:rPr>
          <w:rFonts w:hint="eastAsia"/>
        </w:rPr>
        <w:t>g等规格，大宗流通包装宜采用1</w:t>
      </w:r>
      <w:r>
        <w:rPr>
          <w:vertAlign w:val="superscript"/>
        </w:rPr>
        <w:t xml:space="preserve"> </w:t>
      </w:r>
      <w:r>
        <w:rPr>
          <w:rFonts w:hint="eastAsia"/>
        </w:rPr>
        <w:t>kg、5</w:t>
      </w:r>
      <w:r>
        <w:rPr>
          <w:vertAlign w:val="superscript"/>
        </w:rPr>
        <w:t xml:space="preserve"> </w:t>
      </w:r>
      <w:r>
        <w:rPr>
          <w:rFonts w:hint="eastAsia"/>
        </w:rPr>
        <w:t>kg、10</w:t>
      </w:r>
      <w:r>
        <w:rPr>
          <w:vertAlign w:val="superscript"/>
        </w:rPr>
        <w:t xml:space="preserve"> </w:t>
      </w:r>
      <w:r>
        <w:rPr>
          <w:rFonts w:hint="eastAsia"/>
        </w:rPr>
        <w:t>kg等规格。浦北陈皮商品包装质量应不大于内装物质量的8倍。</w:t>
      </w:r>
    </w:p>
    <w:p w14:paraId="23212A79">
      <w:pPr>
        <w:pStyle w:val="165"/>
      </w:pPr>
      <w:r>
        <w:rPr>
          <w:rFonts w:hint="eastAsia"/>
        </w:rPr>
        <w:t>同一包装单元内，浦北陈皮的色泽、片形、陈化年限应</w:t>
      </w:r>
      <w:r>
        <w:rPr>
          <w:rFonts w:hint="eastAsia"/>
          <w:lang w:val="en-US" w:eastAsia="zh-CN"/>
        </w:rPr>
        <w:t>基本</w:t>
      </w:r>
      <w:r>
        <w:rPr>
          <w:rFonts w:hint="eastAsia"/>
        </w:rPr>
        <w:t>一致。</w:t>
      </w:r>
    </w:p>
    <w:p w14:paraId="343CD5E2">
      <w:pPr>
        <w:pStyle w:val="105"/>
        <w:spacing w:before="120" w:after="120"/>
      </w:pPr>
      <w:bookmarkStart w:id="85" w:name="_Toc214276990"/>
      <w:bookmarkStart w:id="86" w:name="OLE_LINK6"/>
      <w:bookmarkStart w:id="87" w:name="OLE_LINK7"/>
      <w:r>
        <w:rPr>
          <w:rFonts w:hint="eastAsia"/>
        </w:rPr>
        <w:t>包装层数</w:t>
      </w:r>
      <w:bookmarkEnd w:id="85"/>
    </w:p>
    <w:p w14:paraId="0C8A8DC3">
      <w:pPr>
        <w:pStyle w:val="56"/>
        <w:ind w:firstLine="420"/>
      </w:pPr>
      <w:r>
        <w:rPr>
          <w:rFonts w:hint="eastAsia"/>
        </w:rPr>
        <w:t>浦北陈皮包装层数不得超过3层，其中：</w:t>
      </w:r>
    </w:p>
    <w:p w14:paraId="6EFFA5E2">
      <w:pPr>
        <w:pStyle w:val="132"/>
      </w:pPr>
      <w:r>
        <w:rPr>
          <w:rFonts w:hint="eastAsia"/>
        </w:rPr>
        <w:t>直接接触产品的包装为第1层；</w:t>
      </w:r>
    </w:p>
    <w:p w14:paraId="6FE94D9B">
      <w:pPr>
        <w:pStyle w:val="132"/>
      </w:pPr>
      <w:r>
        <w:rPr>
          <w:rFonts w:hint="eastAsia"/>
        </w:rPr>
        <w:t>完全包裹第1层包装的包装为第2层，以此类推。</w:t>
      </w:r>
    </w:p>
    <w:bookmarkEnd w:id="86"/>
    <w:bookmarkEnd w:id="87"/>
    <w:p w14:paraId="30D77C11">
      <w:pPr>
        <w:pStyle w:val="105"/>
        <w:spacing w:before="120" w:after="120"/>
      </w:pPr>
      <w:bookmarkStart w:id="88" w:name="_Toc214276991"/>
      <w:bookmarkStart w:id="89" w:name="OLE_LINK8"/>
      <w:r>
        <w:rPr>
          <w:rFonts w:hint="eastAsia"/>
        </w:rPr>
        <w:t>包装空隙率</w:t>
      </w:r>
      <w:bookmarkEnd w:id="88"/>
    </w:p>
    <w:p w14:paraId="2BF98FD0">
      <w:pPr>
        <w:pStyle w:val="165"/>
        <w:numPr>
          <w:ilvl w:val="0"/>
          <w:numId w:val="0"/>
        </w:numPr>
        <w:ind w:firstLine="420" w:firstLineChars="200"/>
      </w:pPr>
      <w:r>
        <w:rPr>
          <w:rFonts w:hint="eastAsia"/>
        </w:rPr>
        <w:t xml:space="preserve">浦北陈皮产品的包装空隙率应符合GB </w:t>
      </w:r>
      <w:bookmarkStart w:id="90" w:name="OLE_LINK39"/>
      <w:bookmarkStart w:id="91" w:name="OLE_LINK38"/>
      <w:r>
        <w:rPr>
          <w:rFonts w:hint="eastAsia"/>
        </w:rPr>
        <w:t>23350</w:t>
      </w:r>
      <w:bookmarkEnd w:id="90"/>
      <w:bookmarkEnd w:id="91"/>
      <w:r>
        <w:rPr>
          <w:rFonts w:hint="eastAsia"/>
        </w:rPr>
        <w:t>的</w:t>
      </w:r>
      <w:r>
        <w:rPr>
          <w:rFonts w:hint="eastAsia"/>
          <w:lang w:val="en-US" w:eastAsia="zh-CN"/>
        </w:rPr>
        <w:t>规定</w:t>
      </w:r>
      <w:r>
        <w:rPr>
          <w:rFonts w:hint="eastAsia"/>
        </w:rPr>
        <w:t>。</w:t>
      </w:r>
    </w:p>
    <w:bookmarkEnd w:id="83"/>
    <w:bookmarkEnd w:id="84"/>
    <w:bookmarkEnd w:id="89"/>
    <w:p w14:paraId="61F4A997">
      <w:pPr>
        <w:pStyle w:val="105"/>
        <w:spacing w:before="120" w:after="120"/>
        <w:rPr>
          <w:color w:val="FF0000"/>
        </w:rPr>
      </w:pPr>
      <w:bookmarkStart w:id="92" w:name="_Toc214276992"/>
      <w:r>
        <w:rPr>
          <w:rFonts w:hint="eastAsia"/>
        </w:rPr>
        <w:t>包装环保要求</w:t>
      </w:r>
      <w:bookmarkEnd w:id="92"/>
    </w:p>
    <w:p w14:paraId="4EE560C9">
      <w:pPr>
        <w:pStyle w:val="165"/>
      </w:pPr>
      <w:r>
        <w:rPr>
          <w:rFonts w:hint="eastAsia"/>
        </w:rPr>
        <w:t>包装设计应优先考虑减量化，减少材料使用种类和数量。</w:t>
      </w:r>
    </w:p>
    <w:p w14:paraId="5DA1D788">
      <w:pPr>
        <w:pStyle w:val="165"/>
      </w:pPr>
      <w:r>
        <w:rPr>
          <w:rFonts w:hint="eastAsia"/>
        </w:rPr>
        <w:t>包装材料中铅、汞、镉、六价铬等重金属含量应符合国家限量标准。</w:t>
      </w:r>
    </w:p>
    <w:p w14:paraId="0F94C9EF">
      <w:pPr>
        <w:pStyle w:val="165"/>
      </w:pPr>
      <w:r>
        <w:rPr>
          <w:rFonts w:hint="eastAsia"/>
        </w:rPr>
        <w:t>包装废弃物应便于分类回收利用，鼓励采用单一材质包装结构。</w:t>
      </w:r>
    </w:p>
    <w:p w14:paraId="7CA3AE95">
      <w:pPr>
        <w:pStyle w:val="104"/>
        <w:spacing w:before="240" w:after="240"/>
      </w:pPr>
      <w:bookmarkStart w:id="93" w:name="OLE_LINK12"/>
      <w:bookmarkStart w:id="94" w:name="_Toc214276993"/>
      <w:r>
        <w:rPr>
          <w:rFonts w:hint="eastAsia"/>
        </w:rPr>
        <w:t>包装操作</w:t>
      </w:r>
      <w:bookmarkEnd w:id="93"/>
      <w:bookmarkEnd w:id="94"/>
    </w:p>
    <w:p w14:paraId="2432EECE">
      <w:pPr>
        <w:pStyle w:val="105"/>
        <w:spacing w:before="120" w:after="120"/>
      </w:pPr>
      <w:bookmarkStart w:id="95" w:name="_Toc214276994"/>
      <w:r>
        <w:rPr>
          <w:rFonts w:hint="eastAsia"/>
        </w:rPr>
        <w:t>包装前准备</w:t>
      </w:r>
      <w:bookmarkEnd w:id="95"/>
    </w:p>
    <w:p w14:paraId="0074490E">
      <w:pPr>
        <w:pStyle w:val="56"/>
        <w:ind w:firstLine="420"/>
      </w:pPr>
      <w:r>
        <w:rPr>
          <w:rFonts w:hint="eastAsia"/>
        </w:rPr>
        <w:t>具体如下</w:t>
      </w:r>
      <w:r>
        <w:t>：</w:t>
      </w:r>
    </w:p>
    <w:p w14:paraId="75A9D8AA">
      <w:pPr>
        <w:pStyle w:val="132"/>
      </w:pPr>
      <w:r>
        <w:rPr>
          <w:rFonts w:hint="eastAsia"/>
        </w:rPr>
        <w:t>包装材料：所有包装材料（包括内、中、外层）应经检验合格，并存放于干燥、清洁的物料库中。使用前，应在包装环境中静置不少于24</w:t>
      </w:r>
      <w:r>
        <w:rPr>
          <w:rFonts w:hint="eastAsia"/>
          <w:vertAlign w:val="superscript"/>
        </w:rPr>
        <w:t xml:space="preserve"> </w:t>
      </w:r>
      <w:r>
        <w:t>h</w:t>
      </w:r>
      <w:r>
        <w:rPr>
          <w:rFonts w:hint="eastAsia"/>
        </w:rPr>
        <w:t>，使其与环境温湿度平衡，不吸潮或产生静电；</w:t>
      </w:r>
    </w:p>
    <w:p w14:paraId="1217A5A4">
      <w:pPr>
        <w:pStyle w:val="132"/>
      </w:pPr>
      <w:r>
        <w:rPr>
          <w:rFonts w:hint="eastAsia"/>
        </w:rPr>
        <w:t>产品确认：待包装的浦北陈皮应已经过检验，确认其等级、陈化年限、水分含量等指标符合</w:t>
      </w:r>
      <w:r>
        <w:t>T/GXAS 509</w:t>
      </w:r>
      <w:r>
        <w:rPr>
          <w:rFonts w:hint="eastAsia"/>
        </w:rPr>
        <w:t>，并确保无霉变、虫蛀、异味等质量问题；</w:t>
      </w:r>
    </w:p>
    <w:p w14:paraId="6106DCE6">
      <w:pPr>
        <w:pStyle w:val="132"/>
      </w:pPr>
      <w:r>
        <w:rPr>
          <w:rFonts w:hint="eastAsia"/>
        </w:rPr>
        <w:t>设备与工具：校准电子秤（精度不低于0.1</w:t>
      </w:r>
      <w:r>
        <w:rPr>
          <w:vertAlign w:val="superscript"/>
        </w:rPr>
        <w:t xml:space="preserve"> </w:t>
      </w:r>
      <w:r>
        <w:rPr>
          <w:rFonts w:hint="eastAsia"/>
        </w:rPr>
        <w:t>g），检查封口机、打包机等设备的运行状态，确保其工作正常。</w:t>
      </w:r>
    </w:p>
    <w:p w14:paraId="6A96A057">
      <w:pPr>
        <w:pStyle w:val="105"/>
        <w:spacing w:before="120" w:after="120"/>
      </w:pPr>
      <w:bookmarkStart w:id="96" w:name="_Toc214276995"/>
      <w:r>
        <w:rPr>
          <w:rFonts w:hint="eastAsia"/>
        </w:rPr>
        <w:t>包装作业流程</w:t>
      </w:r>
      <w:bookmarkEnd w:id="96"/>
    </w:p>
    <w:p w14:paraId="4589A473">
      <w:pPr>
        <w:pStyle w:val="65"/>
        <w:spacing w:before="120" w:after="120"/>
      </w:pPr>
      <w:r>
        <w:rPr>
          <w:rFonts w:hint="eastAsia"/>
        </w:rPr>
        <w:t>内包装操作（第一层包装）</w:t>
      </w:r>
    </w:p>
    <w:p w14:paraId="0DCF3BF3">
      <w:pPr>
        <w:pStyle w:val="56"/>
        <w:ind w:firstLine="420"/>
      </w:pPr>
      <w:bookmarkStart w:id="97" w:name="OLE_LINK13"/>
      <w:bookmarkStart w:id="98" w:name="OLE_LINK14"/>
      <w:r>
        <w:rPr>
          <w:rFonts w:hint="eastAsia"/>
        </w:rPr>
        <w:t>具体</w:t>
      </w:r>
      <w:r>
        <w:t>如下：</w:t>
      </w:r>
      <w:bookmarkEnd w:id="97"/>
      <w:bookmarkEnd w:id="98"/>
    </w:p>
    <w:p w14:paraId="0A8AFE41">
      <w:pPr>
        <w:pStyle w:val="174"/>
      </w:pPr>
      <w:r>
        <w:rPr>
          <w:rFonts w:hint="eastAsia"/>
        </w:rPr>
        <w:t>称重与分装：使用校准后的电子秤，按照标示的净含量进行称重。称重时应考虑产品允差，确保净含量符合JJF 1070的规定。操作过程中应轻拿轻放，不应使陈皮断裂破碎；</w:t>
      </w:r>
    </w:p>
    <w:p w14:paraId="71EBB316">
      <w:pPr>
        <w:pStyle w:val="174"/>
      </w:pPr>
      <w:r>
        <w:rPr>
          <w:rFonts w:hint="eastAsia"/>
        </w:rPr>
        <w:t>装入与排气：将称重后的陈皮迅速装入初始包装容器（如食品级塑料袋、铝箔袋）。对于软质包装袋，在封口前应尽量排除袋内空气，以减少氧气对陈化的不利影响；</w:t>
      </w:r>
    </w:p>
    <w:p w14:paraId="3FE4D18B">
      <w:pPr>
        <w:pStyle w:val="174"/>
      </w:pPr>
      <w:r>
        <w:rPr>
          <w:rFonts w:hint="eastAsia"/>
        </w:rPr>
        <w:t>封口：封口应严密、平整、无褶皱。热封封口时，应检查封口强度和气密性。对于罐装容器，应确保盖体闭合严密，必要时使用密封圈。</w:t>
      </w:r>
    </w:p>
    <w:p w14:paraId="241A2C75">
      <w:pPr>
        <w:pStyle w:val="65"/>
        <w:spacing w:before="120" w:after="120"/>
      </w:pPr>
      <w:r>
        <w:rPr>
          <w:rFonts w:hint="eastAsia"/>
        </w:rPr>
        <w:t>中包装与外包装操作（第二、三层包装）</w:t>
      </w:r>
    </w:p>
    <w:p w14:paraId="6A95B82E">
      <w:pPr>
        <w:pStyle w:val="56"/>
        <w:ind w:firstLine="420"/>
      </w:pPr>
      <w:r>
        <w:rPr>
          <w:rFonts w:hint="eastAsia"/>
        </w:rPr>
        <w:t>具体如下：</w:t>
      </w:r>
    </w:p>
    <w:p w14:paraId="1D401775">
      <w:pPr>
        <w:pStyle w:val="174"/>
        <w:numPr>
          <w:ilvl w:val="0"/>
          <w:numId w:val="32"/>
        </w:numPr>
      </w:pPr>
      <w:r>
        <w:rPr>
          <w:rFonts w:hint="eastAsia"/>
        </w:rPr>
        <w:t>组合包装：将完成内包装的产品按规定数量装入纸盒、铁罐等中层包装中。产品应摆放整齐，避免相互挤压。可在中层包装内使用隔板或衬垫进行固定和保护。</w:t>
      </w:r>
    </w:p>
    <w:p w14:paraId="2FA2907B">
      <w:pPr>
        <w:pStyle w:val="174"/>
      </w:pPr>
      <w:r>
        <w:rPr>
          <w:rFonts w:hint="eastAsia"/>
        </w:rPr>
        <w:t>标识粘贴：将印有产品信息的标签牢固、端正地粘贴于外包装的指定位置。标签不应出现错贴、漏贴、歪斜或起皱现象。</w:t>
      </w:r>
    </w:p>
    <w:p w14:paraId="5D04E9D1">
      <w:pPr>
        <w:pStyle w:val="174"/>
      </w:pPr>
      <w:r>
        <w:rPr>
          <w:rFonts w:hint="eastAsia"/>
        </w:rPr>
        <w:t>封装：外包装箱/盒的封装应牢固。使用胶带封箱时，应采用工字形或田字形等规范封装方式，确保箱体结构稳固。</w:t>
      </w:r>
    </w:p>
    <w:p w14:paraId="196B8B16">
      <w:pPr>
        <w:pStyle w:val="65"/>
        <w:spacing w:before="120" w:after="120"/>
      </w:pPr>
      <w:bookmarkStart w:id="99" w:name="OLE_LINK15"/>
      <w:r>
        <w:rPr>
          <w:rFonts w:hint="eastAsia"/>
        </w:rPr>
        <w:t>礼品包装附加操作</w:t>
      </w:r>
    </w:p>
    <w:p w14:paraId="32444335">
      <w:pPr>
        <w:pStyle w:val="56"/>
        <w:ind w:firstLine="420"/>
      </w:pPr>
      <w:r>
        <w:rPr>
          <w:rFonts w:hint="eastAsia"/>
        </w:rPr>
        <w:t>对于礼品包装，在完成6</w:t>
      </w:r>
      <w:r>
        <w:t>.2</w:t>
      </w:r>
      <w:r>
        <w:rPr>
          <w:rFonts w:hint="eastAsia"/>
        </w:rPr>
        <w:t>.</w:t>
      </w:r>
      <w:r>
        <w:t>1</w:t>
      </w:r>
      <w:r>
        <w:rPr>
          <w:rFonts w:hint="eastAsia"/>
        </w:rPr>
        <w:t>、6.2.2流程后，可附加提手、封签、说明书等附件。所有附件应固定牢靠，且不应因此增加包装层数。</w:t>
      </w:r>
    </w:p>
    <w:bookmarkEnd w:id="99"/>
    <w:p w14:paraId="6204271B">
      <w:pPr>
        <w:pStyle w:val="105"/>
        <w:spacing w:before="120" w:after="120"/>
      </w:pPr>
      <w:bookmarkStart w:id="100" w:name="_Toc214276996"/>
      <w:r>
        <w:rPr>
          <w:rFonts w:hint="eastAsia"/>
        </w:rPr>
        <w:t>包装</w:t>
      </w:r>
      <w:r>
        <w:t>后处理</w:t>
      </w:r>
      <w:bookmarkEnd w:id="100"/>
    </w:p>
    <w:p w14:paraId="2EFD8CA7">
      <w:pPr>
        <w:pStyle w:val="65"/>
        <w:spacing w:before="120" w:after="120"/>
      </w:pPr>
      <w:r>
        <w:rPr>
          <w:rFonts w:hint="eastAsia"/>
        </w:rPr>
        <w:t>质量检验</w:t>
      </w:r>
    </w:p>
    <w:p w14:paraId="23ED52A0">
      <w:pPr>
        <w:pStyle w:val="56"/>
        <w:ind w:firstLine="420"/>
      </w:pPr>
      <w:r>
        <w:rPr>
          <w:rFonts w:hint="eastAsia"/>
        </w:rPr>
        <w:t>在包装流水线的关键工序（如称重、封口、贴标、装箱后）应设置质量检查点，对包装质量进行抽检，并及时剔除不合格品。</w:t>
      </w:r>
    </w:p>
    <w:p w14:paraId="2DA5CE14">
      <w:pPr>
        <w:pStyle w:val="65"/>
        <w:spacing w:before="120" w:after="120"/>
      </w:pPr>
      <w:r>
        <w:rPr>
          <w:rFonts w:hint="eastAsia"/>
        </w:rPr>
        <w:t>清洁与记录</w:t>
      </w:r>
    </w:p>
    <w:p w14:paraId="024C122C">
      <w:pPr>
        <w:pStyle w:val="56"/>
        <w:ind w:firstLine="420"/>
      </w:pPr>
      <w:bookmarkStart w:id="101" w:name="OLE_LINK25"/>
      <w:bookmarkStart w:id="102" w:name="OLE_LINK26"/>
      <w:r>
        <w:rPr>
          <w:rFonts w:hint="eastAsia"/>
        </w:rPr>
        <w:t>每班次工作结束后，应对工作区域进行清洁，清点剩余物料并退回仓库。记录每班的包装产品批次、规格、数量、操作人员及检验结果，实现产品包装的可追溯性。</w:t>
      </w:r>
    </w:p>
    <w:bookmarkEnd w:id="101"/>
    <w:bookmarkEnd w:id="102"/>
    <w:p w14:paraId="10712026">
      <w:pPr>
        <w:pStyle w:val="104"/>
        <w:spacing w:before="240" w:after="240"/>
      </w:pPr>
      <w:bookmarkStart w:id="103" w:name="OLE_LINK16"/>
      <w:bookmarkStart w:id="104" w:name="OLE_LINK17"/>
      <w:bookmarkStart w:id="105" w:name="_Toc214276997"/>
      <w:r>
        <w:rPr>
          <w:rFonts w:hint="eastAsia"/>
        </w:rPr>
        <w:t>标志、标签</w:t>
      </w:r>
      <w:bookmarkEnd w:id="103"/>
      <w:bookmarkEnd w:id="104"/>
      <w:r>
        <w:rPr>
          <w:rFonts w:hint="eastAsia"/>
        </w:rPr>
        <w:t>和贮存</w:t>
      </w:r>
      <w:bookmarkEnd w:id="105"/>
    </w:p>
    <w:p w14:paraId="3B1FBE27">
      <w:pPr>
        <w:pStyle w:val="105"/>
        <w:spacing w:before="120" w:after="120"/>
      </w:pPr>
      <w:bookmarkStart w:id="106" w:name="_Toc214276998"/>
      <w:r>
        <w:rPr>
          <w:rFonts w:hint="eastAsia"/>
        </w:rPr>
        <w:t>标志和标签</w:t>
      </w:r>
      <w:bookmarkEnd w:id="106"/>
    </w:p>
    <w:p w14:paraId="3156776A">
      <w:pPr>
        <w:pStyle w:val="165"/>
      </w:pPr>
      <w:r>
        <w:rPr>
          <w:rFonts w:hint="eastAsia"/>
        </w:rPr>
        <w:t>浦北陈皮产品包装上应标注以下内容：</w:t>
      </w:r>
    </w:p>
    <w:p w14:paraId="2826184A">
      <w:pPr>
        <w:pStyle w:val="132"/>
      </w:pPr>
      <w:r>
        <w:rPr>
          <w:rFonts w:hint="eastAsia"/>
        </w:rPr>
        <w:t>产品名称（标注“浦北陈皮”或“大红皮”“老树陈皮”等具体品类）；</w:t>
      </w:r>
    </w:p>
    <w:p w14:paraId="23A5447E">
      <w:pPr>
        <w:pStyle w:val="132"/>
      </w:pPr>
      <w:r>
        <w:rPr>
          <w:rFonts w:hint="eastAsia"/>
        </w:rPr>
        <w:t>地理标志产品专用标志；</w:t>
      </w:r>
    </w:p>
    <w:p w14:paraId="35A89263">
      <w:pPr>
        <w:pStyle w:val="132"/>
      </w:pPr>
      <w:r>
        <w:rPr>
          <w:rFonts w:hint="eastAsia"/>
        </w:rPr>
        <w:t>陈化年限；</w:t>
      </w:r>
    </w:p>
    <w:p w14:paraId="784AB66C">
      <w:pPr>
        <w:pStyle w:val="132"/>
      </w:pPr>
      <w:r>
        <w:rPr>
          <w:rFonts w:hint="eastAsia"/>
        </w:rPr>
        <w:t>净含量和规格；</w:t>
      </w:r>
    </w:p>
    <w:p w14:paraId="396895CB">
      <w:pPr>
        <w:pStyle w:val="132"/>
      </w:pPr>
      <w:r>
        <w:rPr>
          <w:rFonts w:hint="eastAsia"/>
        </w:rPr>
        <w:t>配料表：茶枝柑果皮，部分产品可能标注是否添加其他成分（如是否含添加剂）；</w:t>
      </w:r>
    </w:p>
    <w:p w14:paraId="4FCCD073">
      <w:pPr>
        <w:pStyle w:val="132"/>
      </w:pPr>
      <w:r>
        <w:rPr>
          <w:rFonts w:hint="eastAsia"/>
        </w:rPr>
        <w:t>生产日期和包装日期；</w:t>
      </w:r>
    </w:p>
    <w:p w14:paraId="50E9D7BA">
      <w:pPr>
        <w:pStyle w:val="132"/>
      </w:pPr>
      <w:r>
        <w:rPr>
          <w:rFonts w:hint="eastAsia"/>
        </w:rPr>
        <w:t>保质期</w:t>
      </w:r>
    </w:p>
    <w:p w14:paraId="27A467B1">
      <w:pPr>
        <w:pStyle w:val="132"/>
      </w:pPr>
      <w:r>
        <w:rPr>
          <w:rFonts w:hint="eastAsia"/>
        </w:rPr>
        <w:t>贮存条件；</w:t>
      </w:r>
    </w:p>
    <w:p w14:paraId="26BE8F18">
      <w:pPr>
        <w:pStyle w:val="132"/>
      </w:pPr>
      <w:r>
        <w:rPr>
          <w:rFonts w:hint="eastAsia"/>
        </w:rPr>
        <w:t>生产者信息；</w:t>
      </w:r>
    </w:p>
    <w:p w14:paraId="6E268806">
      <w:pPr>
        <w:pStyle w:val="132"/>
      </w:pPr>
      <w:r>
        <w:rPr>
          <w:rFonts w:hint="eastAsia"/>
        </w:rPr>
        <w:t>产品标准代号。</w:t>
      </w:r>
    </w:p>
    <w:p w14:paraId="1CB77DFD">
      <w:pPr>
        <w:widowControl w:val="0"/>
        <w:numPr>
          <w:ilvl w:val="0"/>
          <w:numId w:val="26"/>
        </w:numPr>
        <w:autoSpaceDE w:val="0"/>
        <w:autoSpaceDN w:val="0"/>
        <w:jc w:val="both"/>
        <w:rPr>
          <w:color w:val="auto"/>
        </w:rPr>
      </w:pPr>
      <w:r>
        <w:rPr>
          <w:rFonts w:hint="eastAsia" w:ascii="宋体" w:hAnsi="Times New Roman" w:eastAsia="宋体" w:cs="Times New Roman"/>
          <w:color w:val="auto"/>
          <w:sz w:val="18"/>
          <w:szCs w:val="18"/>
          <w:lang w:val="en-US" w:eastAsia="zh-CN" w:bidi="ar-SA"/>
        </w:rPr>
        <w:t>鼓励生产者同时通过数字标签展示食品标签信息。</w:t>
      </w:r>
    </w:p>
    <w:p w14:paraId="5D9FF79A">
      <w:pPr>
        <w:pStyle w:val="165"/>
      </w:pPr>
      <w:r>
        <w:rPr>
          <w:rFonts w:hint="eastAsia"/>
        </w:rPr>
        <w:t>外包装运输标志应符合GB/T 191规定，包括“</w:t>
      </w:r>
      <w:bookmarkStart w:id="107" w:name="OLE_LINK19"/>
      <w:bookmarkStart w:id="108" w:name="OLE_LINK18"/>
      <w:r>
        <w:rPr>
          <w:rFonts w:hint="eastAsia"/>
        </w:rPr>
        <w:t>怕湿</w:t>
      </w:r>
      <w:bookmarkEnd w:id="107"/>
      <w:bookmarkEnd w:id="108"/>
      <w:r>
        <w:rPr>
          <w:rFonts w:hint="eastAsia"/>
        </w:rPr>
        <w:t>”“小心轻放”等图示标志。</w:t>
      </w:r>
    </w:p>
    <w:p w14:paraId="55F038EB">
      <w:pPr>
        <w:pStyle w:val="165"/>
      </w:pPr>
      <w:r>
        <w:rPr>
          <w:rFonts w:hint="eastAsia"/>
        </w:rPr>
        <w:t>标签内容应清晰、牢固、醒目，不应与包装容器分离，</w:t>
      </w:r>
      <w:r>
        <w:t>应符合GB 7718</w:t>
      </w:r>
      <w:r>
        <w:rPr>
          <w:rFonts w:hint="eastAsia"/>
        </w:rPr>
        <w:t>的</w:t>
      </w:r>
      <w:r>
        <w:t>规定。</w:t>
      </w:r>
    </w:p>
    <w:p w14:paraId="22B6DD1C">
      <w:pPr>
        <w:pStyle w:val="105"/>
        <w:spacing w:before="120" w:after="120"/>
      </w:pPr>
      <w:bookmarkStart w:id="109" w:name="_Toc214276999"/>
      <w:r>
        <w:rPr>
          <w:rFonts w:hint="eastAsia"/>
        </w:rPr>
        <w:t>贮存</w:t>
      </w:r>
      <w:bookmarkEnd w:id="109"/>
    </w:p>
    <w:p w14:paraId="49B3736A">
      <w:pPr>
        <w:pStyle w:val="56"/>
        <w:ind w:firstLine="420"/>
      </w:pPr>
      <w:r>
        <w:rPr>
          <w:rFonts w:hint="eastAsia"/>
        </w:rPr>
        <w:t>浦北陈皮贮存应符合</w:t>
      </w:r>
      <w:r>
        <w:t>T/GXAS 1018</w:t>
      </w:r>
      <w:r>
        <w:rPr>
          <w:rFonts w:hint="eastAsia"/>
        </w:rPr>
        <w:t>的规定。</w:t>
      </w:r>
    </w:p>
    <w:bookmarkEnd w:id="25"/>
    <w:p w14:paraId="6E0A2A97">
      <w:pPr>
        <w:pStyle w:val="56"/>
        <w:ind w:firstLine="0" w:firstLineChars="0"/>
        <w:jc w:val="center"/>
      </w:pPr>
      <w:bookmarkStart w:id="110" w:name="BookMark8"/>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0"/>
    </w:p>
    <w:sectPr>
      <w:pgSz w:w="11906" w:h="16838"/>
      <w:pgMar w:top="1928" w:right="1134" w:bottom="1134" w:left="1134" w:header="1418" w:footer="1134" w:gutter="284"/>
      <w:pgNumType w:start="1"/>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5406E">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4A8CA">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6DC4A">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50867">
    <w:pPr>
      <w:pStyle w:val="52"/>
    </w:pPr>
    <w:r>
      <w:fldChar w:fldCharType="begin"/>
    </w:r>
    <w:r>
      <w:instrText xml:space="preserve">PAGE   \* MERGEFORMAT</w:instrText>
    </w:r>
    <w:r>
      <w:fldChar w:fldCharType="separate"/>
    </w:r>
    <w:r>
      <w:rPr>
        <w:lang w:val="zh-CN"/>
      </w:rPr>
      <w:t>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5964AD">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8BF276">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8C907">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65A61">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BBDD7">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2F/8tJaJRjqfuxt3nWHEuWf5e6+jG9Vr3DfiXweFzftTqU+MepA5VptNDb9YD606u/4L0KuLAqlMPQKljWE5DQ==" w:salt="zyjLMTRSDuGqBpLnqr/5n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2E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475"/>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2E5"/>
    <w:rsid w:val="000B060F"/>
    <w:rsid w:val="000B1592"/>
    <w:rsid w:val="000B1FF2"/>
    <w:rsid w:val="000B3CDA"/>
    <w:rsid w:val="000B54A9"/>
    <w:rsid w:val="000B6A0B"/>
    <w:rsid w:val="000C0F6C"/>
    <w:rsid w:val="000C11DB"/>
    <w:rsid w:val="000C1492"/>
    <w:rsid w:val="000C2FBD"/>
    <w:rsid w:val="000C30B7"/>
    <w:rsid w:val="000C4B41"/>
    <w:rsid w:val="000C57D6"/>
    <w:rsid w:val="000C61A8"/>
    <w:rsid w:val="000C6362"/>
    <w:rsid w:val="000C7666"/>
    <w:rsid w:val="000D0A9C"/>
    <w:rsid w:val="000D1795"/>
    <w:rsid w:val="000D329A"/>
    <w:rsid w:val="000D4B9C"/>
    <w:rsid w:val="000D4EB6"/>
    <w:rsid w:val="000D753B"/>
    <w:rsid w:val="000E169E"/>
    <w:rsid w:val="000E4C9E"/>
    <w:rsid w:val="000E6FD7"/>
    <w:rsid w:val="000E7144"/>
    <w:rsid w:val="000F06E1"/>
    <w:rsid w:val="000F0E3C"/>
    <w:rsid w:val="000F19D5"/>
    <w:rsid w:val="000F4050"/>
    <w:rsid w:val="000F4AEA"/>
    <w:rsid w:val="000F67E9"/>
    <w:rsid w:val="00100C13"/>
    <w:rsid w:val="00104926"/>
    <w:rsid w:val="00106736"/>
    <w:rsid w:val="00113B1E"/>
    <w:rsid w:val="0011711C"/>
    <w:rsid w:val="00124E4F"/>
    <w:rsid w:val="001260B7"/>
    <w:rsid w:val="001265CB"/>
    <w:rsid w:val="0012689E"/>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1E07"/>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3D92"/>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372"/>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2F8"/>
    <w:rsid w:val="002C3F07"/>
    <w:rsid w:val="002C5278"/>
    <w:rsid w:val="002C7EBB"/>
    <w:rsid w:val="002D06C1"/>
    <w:rsid w:val="002D42B5"/>
    <w:rsid w:val="002D4F1A"/>
    <w:rsid w:val="002D6EC6"/>
    <w:rsid w:val="002D79AC"/>
    <w:rsid w:val="002E039D"/>
    <w:rsid w:val="002E4D5A"/>
    <w:rsid w:val="002E51C0"/>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3BA1"/>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314"/>
    <w:rsid w:val="003B5BF0"/>
    <w:rsid w:val="003B60BF"/>
    <w:rsid w:val="003B6BE3"/>
    <w:rsid w:val="003C010C"/>
    <w:rsid w:val="003C0A6C"/>
    <w:rsid w:val="003C14F8"/>
    <w:rsid w:val="003C5A43"/>
    <w:rsid w:val="003D019D"/>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1D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3A36"/>
    <w:rsid w:val="00454484"/>
    <w:rsid w:val="0045517B"/>
    <w:rsid w:val="00463B77"/>
    <w:rsid w:val="00463C7B"/>
    <w:rsid w:val="004644A6"/>
    <w:rsid w:val="004659BD"/>
    <w:rsid w:val="00470775"/>
    <w:rsid w:val="00472BF4"/>
    <w:rsid w:val="004746B1"/>
    <w:rsid w:val="0047583F"/>
    <w:rsid w:val="00475DE8"/>
    <w:rsid w:val="00481C44"/>
    <w:rsid w:val="004826E6"/>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0F9A"/>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0765B"/>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2FE8"/>
    <w:rsid w:val="005B4903"/>
    <w:rsid w:val="005B51CE"/>
    <w:rsid w:val="005B5885"/>
    <w:rsid w:val="005B5CD7"/>
    <w:rsid w:val="005B6CF6"/>
    <w:rsid w:val="005B7422"/>
    <w:rsid w:val="005C29B8"/>
    <w:rsid w:val="005C5F21"/>
    <w:rsid w:val="005C7156"/>
    <w:rsid w:val="005D08CF"/>
    <w:rsid w:val="005D0C75"/>
    <w:rsid w:val="005D4171"/>
    <w:rsid w:val="005D42E7"/>
    <w:rsid w:val="005D4B8A"/>
    <w:rsid w:val="005D6A95"/>
    <w:rsid w:val="005D6B2C"/>
    <w:rsid w:val="005D6D9C"/>
    <w:rsid w:val="005E2335"/>
    <w:rsid w:val="005E34CA"/>
    <w:rsid w:val="005E3C18"/>
    <w:rsid w:val="005E4250"/>
    <w:rsid w:val="005E6812"/>
    <w:rsid w:val="005E7881"/>
    <w:rsid w:val="005E78E0"/>
    <w:rsid w:val="005F0B26"/>
    <w:rsid w:val="005F0D9C"/>
    <w:rsid w:val="005F284E"/>
    <w:rsid w:val="006015CE"/>
    <w:rsid w:val="00602F56"/>
    <w:rsid w:val="00604784"/>
    <w:rsid w:val="00606419"/>
    <w:rsid w:val="00607D29"/>
    <w:rsid w:val="00612952"/>
    <w:rsid w:val="00614CC1"/>
    <w:rsid w:val="00615A9D"/>
    <w:rsid w:val="00617387"/>
    <w:rsid w:val="006205D6"/>
    <w:rsid w:val="006252D8"/>
    <w:rsid w:val="006259BC"/>
    <w:rsid w:val="00625CCC"/>
    <w:rsid w:val="0062636B"/>
    <w:rsid w:val="006318DF"/>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EC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0291"/>
    <w:rsid w:val="006B11FA"/>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ED4"/>
    <w:rsid w:val="00711FB5"/>
    <w:rsid w:val="00712A01"/>
    <w:rsid w:val="00712FB2"/>
    <w:rsid w:val="00714F58"/>
    <w:rsid w:val="00722FBF"/>
    <w:rsid w:val="00722FC2"/>
    <w:rsid w:val="00724E1B"/>
    <w:rsid w:val="007255BA"/>
    <w:rsid w:val="00725949"/>
    <w:rsid w:val="00727FA2"/>
    <w:rsid w:val="007322D9"/>
    <w:rsid w:val="00732BC0"/>
    <w:rsid w:val="0073720F"/>
    <w:rsid w:val="00737796"/>
    <w:rsid w:val="007408A1"/>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2C73"/>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55CD"/>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378"/>
    <w:rsid w:val="007C2D89"/>
    <w:rsid w:val="007C4593"/>
    <w:rsid w:val="007C5309"/>
    <w:rsid w:val="007C6069"/>
    <w:rsid w:val="007C6E4A"/>
    <w:rsid w:val="007D06C4"/>
    <w:rsid w:val="007D1352"/>
    <w:rsid w:val="007D2508"/>
    <w:rsid w:val="007D346A"/>
    <w:rsid w:val="007D5A59"/>
    <w:rsid w:val="007D6518"/>
    <w:rsid w:val="007D76BD"/>
    <w:rsid w:val="007E0BF1"/>
    <w:rsid w:val="007F0ED8"/>
    <w:rsid w:val="007F0F63"/>
    <w:rsid w:val="007F75CE"/>
    <w:rsid w:val="008013A4"/>
    <w:rsid w:val="008027CE"/>
    <w:rsid w:val="00802F42"/>
    <w:rsid w:val="00804383"/>
    <w:rsid w:val="00804BB7"/>
    <w:rsid w:val="00804D41"/>
    <w:rsid w:val="00805764"/>
    <w:rsid w:val="00810257"/>
    <w:rsid w:val="008104F5"/>
    <w:rsid w:val="00811072"/>
    <w:rsid w:val="00811369"/>
    <w:rsid w:val="00815419"/>
    <w:rsid w:val="008163C8"/>
    <w:rsid w:val="008164A1"/>
    <w:rsid w:val="00817325"/>
    <w:rsid w:val="008206AE"/>
    <w:rsid w:val="008209E6"/>
    <w:rsid w:val="00821D19"/>
    <w:rsid w:val="00823303"/>
    <w:rsid w:val="008233B2"/>
    <w:rsid w:val="00823A9F"/>
    <w:rsid w:val="00823C85"/>
    <w:rsid w:val="00825138"/>
    <w:rsid w:val="008269DD"/>
    <w:rsid w:val="00830621"/>
    <w:rsid w:val="0083289B"/>
    <w:rsid w:val="0083348C"/>
    <w:rsid w:val="008373D3"/>
    <w:rsid w:val="00840617"/>
    <w:rsid w:val="00840F84"/>
    <w:rsid w:val="00842A47"/>
    <w:rsid w:val="00843C13"/>
    <w:rsid w:val="00843DEF"/>
    <w:rsid w:val="0084496E"/>
    <w:rsid w:val="008454F8"/>
    <w:rsid w:val="0085173A"/>
    <w:rsid w:val="00851F56"/>
    <w:rsid w:val="008603CE"/>
    <w:rsid w:val="008620FC"/>
    <w:rsid w:val="008627A5"/>
    <w:rsid w:val="00863E05"/>
    <w:rsid w:val="00865ACA"/>
    <w:rsid w:val="00865D28"/>
    <w:rsid w:val="00865F85"/>
    <w:rsid w:val="00867C10"/>
    <w:rsid w:val="00870439"/>
    <w:rsid w:val="00870DA1"/>
    <w:rsid w:val="0087538E"/>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E82"/>
    <w:rsid w:val="008A100F"/>
    <w:rsid w:val="008A173B"/>
    <w:rsid w:val="008A1893"/>
    <w:rsid w:val="008A57E6"/>
    <w:rsid w:val="008A6F81"/>
    <w:rsid w:val="008A769A"/>
    <w:rsid w:val="008A774C"/>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2EA"/>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42E8"/>
    <w:rsid w:val="0099551B"/>
    <w:rsid w:val="00996BD2"/>
    <w:rsid w:val="00997BF1"/>
    <w:rsid w:val="009A089C"/>
    <w:rsid w:val="009A118E"/>
    <w:rsid w:val="009A21CD"/>
    <w:rsid w:val="009A278C"/>
    <w:rsid w:val="009A2BC2"/>
    <w:rsid w:val="009A42C1"/>
    <w:rsid w:val="009A5429"/>
    <w:rsid w:val="009A6800"/>
    <w:rsid w:val="009A72AD"/>
    <w:rsid w:val="009B09E0"/>
    <w:rsid w:val="009B0BC5"/>
    <w:rsid w:val="009B1247"/>
    <w:rsid w:val="009B1525"/>
    <w:rsid w:val="009B6029"/>
    <w:rsid w:val="009B6971"/>
    <w:rsid w:val="009C004B"/>
    <w:rsid w:val="009C27F1"/>
    <w:rsid w:val="009C3152"/>
    <w:rsid w:val="009C3257"/>
    <w:rsid w:val="009C4CFA"/>
    <w:rsid w:val="009C5070"/>
    <w:rsid w:val="009D041A"/>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1120"/>
    <w:rsid w:val="00A2271D"/>
    <w:rsid w:val="00A237D5"/>
    <w:rsid w:val="00A24911"/>
    <w:rsid w:val="00A30EFC"/>
    <w:rsid w:val="00A31984"/>
    <w:rsid w:val="00A32D73"/>
    <w:rsid w:val="00A3367B"/>
    <w:rsid w:val="00A33C67"/>
    <w:rsid w:val="00A3597D"/>
    <w:rsid w:val="00A36DD1"/>
    <w:rsid w:val="00A4006C"/>
    <w:rsid w:val="00A40091"/>
    <w:rsid w:val="00A4030F"/>
    <w:rsid w:val="00A41C79"/>
    <w:rsid w:val="00A41CB5"/>
    <w:rsid w:val="00A4218D"/>
    <w:rsid w:val="00A42CDF"/>
    <w:rsid w:val="00A4452E"/>
    <w:rsid w:val="00A4472C"/>
    <w:rsid w:val="00A44E69"/>
    <w:rsid w:val="00A4661E"/>
    <w:rsid w:val="00A55BD6"/>
    <w:rsid w:val="00A55D50"/>
    <w:rsid w:val="00A57142"/>
    <w:rsid w:val="00A573C1"/>
    <w:rsid w:val="00A57E8A"/>
    <w:rsid w:val="00A648CD"/>
    <w:rsid w:val="00A6537A"/>
    <w:rsid w:val="00A67866"/>
    <w:rsid w:val="00A70B07"/>
    <w:rsid w:val="00A723F8"/>
    <w:rsid w:val="00A728D8"/>
    <w:rsid w:val="00A77CCB"/>
    <w:rsid w:val="00A83D8D"/>
    <w:rsid w:val="00A8446B"/>
    <w:rsid w:val="00A8473F"/>
    <w:rsid w:val="00A84A98"/>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3C34"/>
    <w:rsid w:val="00AC4D95"/>
    <w:rsid w:val="00AC5DF4"/>
    <w:rsid w:val="00AD0AEF"/>
    <w:rsid w:val="00AD11B7"/>
    <w:rsid w:val="00AD1A94"/>
    <w:rsid w:val="00AD1C05"/>
    <w:rsid w:val="00AD4126"/>
    <w:rsid w:val="00AD421C"/>
    <w:rsid w:val="00AD44FA"/>
    <w:rsid w:val="00AE070A"/>
    <w:rsid w:val="00AE101C"/>
    <w:rsid w:val="00AE21FE"/>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2EE0"/>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5B70"/>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0D9"/>
    <w:rsid w:val="00C34C20"/>
    <w:rsid w:val="00C35A3E"/>
    <w:rsid w:val="00C42130"/>
    <w:rsid w:val="00C423A4"/>
    <w:rsid w:val="00C423E3"/>
    <w:rsid w:val="00C44BF5"/>
    <w:rsid w:val="00C521D6"/>
    <w:rsid w:val="00C55232"/>
    <w:rsid w:val="00C553A4"/>
    <w:rsid w:val="00C559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5F93"/>
    <w:rsid w:val="00C86D6F"/>
    <w:rsid w:val="00C905FC"/>
    <w:rsid w:val="00C92D03"/>
    <w:rsid w:val="00C9319C"/>
    <w:rsid w:val="00C9435D"/>
    <w:rsid w:val="00C94DF2"/>
    <w:rsid w:val="00C96741"/>
    <w:rsid w:val="00CA2D1B"/>
    <w:rsid w:val="00CA375D"/>
    <w:rsid w:val="00CA4CD9"/>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43B2"/>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5DE"/>
    <w:rsid w:val="00D32719"/>
    <w:rsid w:val="00D33333"/>
    <w:rsid w:val="00D352A2"/>
    <w:rsid w:val="00D35FB2"/>
    <w:rsid w:val="00D4162B"/>
    <w:rsid w:val="00D41EB4"/>
    <w:rsid w:val="00D42F6E"/>
    <w:rsid w:val="00D4514F"/>
    <w:rsid w:val="00D451E2"/>
    <w:rsid w:val="00D45E89"/>
    <w:rsid w:val="00D45E8D"/>
    <w:rsid w:val="00D466AE"/>
    <w:rsid w:val="00D4734F"/>
    <w:rsid w:val="00D51BF3"/>
    <w:rsid w:val="00D66846"/>
    <w:rsid w:val="00D675FB"/>
    <w:rsid w:val="00D71F25"/>
    <w:rsid w:val="00D72A9C"/>
    <w:rsid w:val="00D74236"/>
    <w:rsid w:val="00D77031"/>
    <w:rsid w:val="00D84941"/>
    <w:rsid w:val="00D84FA1"/>
    <w:rsid w:val="00D851D9"/>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4D91"/>
    <w:rsid w:val="00DB66CA"/>
    <w:rsid w:val="00DB6BCA"/>
    <w:rsid w:val="00DB6F54"/>
    <w:rsid w:val="00DB73F7"/>
    <w:rsid w:val="00DC0321"/>
    <w:rsid w:val="00DC3067"/>
    <w:rsid w:val="00DC370B"/>
    <w:rsid w:val="00DC5B90"/>
    <w:rsid w:val="00DC7F2D"/>
    <w:rsid w:val="00DD00FF"/>
    <w:rsid w:val="00DD0619"/>
    <w:rsid w:val="00DD07FB"/>
    <w:rsid w:val="00DD25C6"/>
    <w:rsid w:val="00DD4FE5"/>
    <w:rsid w:val="00DD54B0"/>
    <w:rsid w:val="00DD57EE"/>
    <w:rsid w:val="00DD6BCC"/>
    <w:rsid w:val="00DE0A4B"/>
    <w:rsid w:val="00DE2410"/>
    <w:rsid w:val="00DE2535"/>
    <w:rsid w:val="00DE2939"/>
    <w:rsid w:val="00DE6E81"/>
    <w:rsid w:val="00DE703F"/>
    <w:rsid w:val="00DE7595"/>
    <w:rsid w:val="00DF1961"/>
    <w:rsid w:val="00DF44DE"/>
    <w:rsid w:val="00E01138"/>
    <w:rsid w:val="00E02DFB"/>
    <w:rsid w:val="00E030F9"/>
    <w:rsid w:val="00E0311A"/>
    <w:rsid w:val="00E03138"/>
    <w:rsid w:val="00E06404"/>
    <w:rsid w:val="00E11A85"/>
    <w:rsid w:val="00E11F12"/>
    <w:rsid w:val="00E12495"/>
    <w:rsid w:val="00E15CCD"/>
    <w:rsid w:val="00E202EF"/>
    <w:rsid w:val="00E210B5"/>
    <w:rsid w:val="00E21804"/>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154"/>
    <w:rsid w:val="00E56800"/>
    <w:rsid w:val="00E60C63"/>
    <w:rsid w:val="00E62FF9"/>
    <w:rsid w:val="00E635D6"/>
    <w:rsid w:val="00E639BC"/>
    <w:rsid w:val="00E664CC"/>
    <w:rsid w:val="00E70388"/>
    <w:rsid w:val="00E70F92"/>
    <w:rsid w:val="00E74313"/>
    <w:rsid w:val="00E74C54"/>
    <w:rsid w:val="00E77A03"/>
    <w:rsid w:val="00E80C3F"/>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313"/>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2AC5"/>
    <w:rsid w:val="00F25BB6"/>
    <w:rsid w:val="00F26B7E"/>
    <w:rsid w:val="00F27A3B"/>
    <w:rsid w:val="00F32780"/>
    <w:rsid w:val="00F33817"/>
    <w:rsid w:val="00F40746"/>
    <w:rsid w:val="00F420D5"/>
    <w:rsid w:val="00F450B7"/>
    <w:rsid w:val="00F451EA"/>
    <w:rsid w:val="00F45447"/>
    <w:rsid w:val="00F456C6"/>
    <w:rsid w:val="00F4577B"/>
    <w:rsid w:val="00F46348"/>
    <w:rsid w:val="00F46496"/>
    <w:rsid w:val="00F47343"/>
    <w:rsid w:val="00F474D0"/>
    <w:rsid w:val="00F50179"/>
    <w:rsid w:val="00F515EE"/>
    <w:rsid w:val="00F56511"/>
    <w:rsid w:val="00F6194E"/>
    <w:rsid w:val="00F623AC"/>
    <w:rsid w:val="00F6412A"/>
    <w:rsid w:val="00F65893"/>
    <w:rsid w:val="00F66A4A"/>
    <w:rsid w:val="00F71E22"/>
    <w:rsid w:val="00F72142"/>
    <w:rsid w:val="00F72301"/>
    <w:rsid w:val="00F72AE7"/>
    <w:rsid w:val="00F833BA"/>
    <w:rsid w:val="00F84FD0"/>
    <w:rsid w:val="00F859A8"/>
    <w:rsid w:val="00F86D87"/>
    <w:rsid w:val="00F9108B"/>
    <w:rsid w:val="00F91349"/>
    <w:rsid w:val="00F91DD4"/>
    <w:rsid w:val="00F93A8A"/>
    <w:rsid w:val="00F943AF"/>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08BD"/>
    <w:rsid w:val="00FF3E7D"/>
    <w:rsid w:val="00FF5B99"/>
    <w:rsid w:val="00FF730C"/>
    <w:rsid w:val="00FF73F4"/>
    <w:rsid w:val="00FF7CE4"/>
    <w:rsid w:val="00FF7E39"/>
    <w:rsid w:val="13EC7D20"/>
    <w:rsid w:val="1EF2459F"/>
    <w:rsid w:val="47C508BB"/>
    <w:rsid w:val="4A435DB1"/>
    <w:rsid w:val="6B2420FD"/>
    <w:rsid w:val="79165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spacing w:before="280" w:after="290" w:line="376" w:lineRule="auto"/>
      <w:outlineLvl w:val="4"/>
    </w:pPr>
    <w:rPr>
      <w:b/>
      <w:bCs/>
      <w:sz w:val="28"/>
      <w:szCs w:val="28"/>
    </w:rPr>
  </w:style>
  <w:style w:type="paragraph" w:styleId="7">
    <w:name w:val="heading 6"/>
    <w:basedOn w:val="1"/>
    <w:next w:val="1"/>
    <w:link w:val="39"/>
    <w:qFormat/>
    <w:uiPriority w:val="0"/>
    <w:pPr>
      <w:keepNext/>
      <w:keepLines/>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spacing w:before="240" w:after="64" w:line="320" w:lineRule="auto"/>
      <w:outlineLvl w:val="6"/>
    </w:pPr>
    <w:rPr>
      <w:b/>
      <w:bCs/>
      <w:sz w:val="24"/>
      <w:szCs w:val="24"/>
    </w:rPr>
  </w:style>
  <w:style w:type="paragraph" w:styleId="9">
    <w:name w:val="heading 8"/>
    <w:basedOn w:val="1"/>
    <w:next w:val="1"/>
    <w:link w:val="41"/>
    <w:qFormat/>
    <w:uiPriority w:val="0"/>
    <w:pPr>
      <w:keepNext/>
      <w:keepLines/>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snapToGrid w:val="0"/>
      <w:jc w:val="right"/>
    </w:pPr>
    <w:rPr>
      <w:rFonts w:ascii="宋体"/>
      <w:sz w:val="18"/>
      <w:szCs w:val="18"/>
    </w:rPr>
  </w:style>
  <w:style w:type="paragraph" w:styleId="18">
    <w:name w:val="header"/>
    <w:basedOn w:val="1"/>
    <w:link w:val="43"/>
    <w:qFormat/>
    <w:uiPriority w:val="99"/>
    <w:pPr>
      <w:tabs>
        <w:tab w:val="center" w:pos="4153"/>
        <w:tab w:val="right" w:pos="8306"/>
      </w:tabs>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snapToGrid w:val="0"/>
      <w:spacing w:line="300" w:lineRule="exact"/>
      <w:ind w:left="400" w:leftChars="200" w:hanging="200" w:hangingChars="200"/>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shd w:val="clear" w:color="FFFFFF" w:fill="FFFFFF"/>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shd w:val="clear" w:color="FFFFFF" w:fill="FFFFFF"/>
      <w:spacing w:before="560" w:after="50" w:afterLines="50"/>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jc w:val="center"/>
    </w:pPr>
    <w:rPr>
      <w:rFonts w:ascii="黑体" w:eastAsia="黑体"/>
      <w:kern w:val="0"/>
      <w:sz w:val="52"/>
    </w:rPr>
  </w:style>
  <w:style w:type="paragraph" w:customStyle="1" w:styleId="71">
    <w:name w:val="标准文件_封面标准英文名称"/>
    <w:basedOn w:val="1"/>
    <w:qFormat/>
    <w:uiPriority w:val="0"/>
    <w:pPr>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snapToGrid/>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ordWrap w:val="0"/>
      <w:overflowPunct w:val="0"/>
      <w:autoSpaceDE w:val="0"/>
      <w:autoSpaceDN w:val="0"/>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rPr>
      <w:bCs/>
      <w:iCs/>
    </w:rPr>
  </w:style>
  <w:style w:type="paragraph" w:customStyle="1" w:styleId="143">
    <w:name w:val="目录 31"/>
    <w:basedOn w:val="1"/>
    <w:next w:val="1"/>
    <w:autoRedefine/>
    <w:semiHidden/>
    <w:qFormat/>
    <w:uiPriority w:val="0"/>
    <w:rPr>
      <w:rFonts w:ascii="宋体" w:hAnsi="宋体"/>
      <w:iCs/>
    </w:rPr>
  </w:style>
  <w:style w:type="paragraph" w:customStyle="1" w:styleId="144">
    <w:name w:val="目录 41"/>
    <w:basedOn w:val="1"/>
    <w:next w:val="1"/>
    <w:autoRedefine/>
    <w:semiHidden/>
    <w:qFormat/>
    <w:uiPriority w:val="0"/>
  </w:style>
  <w:style w:type="paragraph" w:customStyle="1" w:styleId="145">
    <w:name w:val="目录 51"/>
    <w:basedOn w:val="1"/>
    <w:next w:val="1"/>
    <w:autoRedefine/>
    <w:semiHidden/>
    <w:qFormat/>
    <w:uiPriority w:val="0"/>
    <w:rPr>
      <w:rFonts w:ascii="宋体" w:hAnsi="宋体"/>
    </w:rPr>
  </w:style>
  <w:style w:type="paragraph" w:customStyle="1" w:styleId="146">
    <w:name w:val="目录 61"/>
    <w:basedOn w:val="1"/>
    <w:next w:val="1"/>
    <w:autoRedefine/>
    <w:semiHidden/>
    <w:qFormat/>
    <w:uiPriority w:val="0"/>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pPr>
    <w:rPr>
      <w:szCs w:val="24"/>
    </w:rPr>
  </w:style>
  <w:style w:type="paragraph" w:customStyle="1" w:styleId="159">
    <w:name w:val="一级无标题条"/>
    <w:basedOn w:val="1"/>
    <w:qFormat/>
    <w:uiPriority w:val="0"/>
    <w:pPr>
      <w:numPr>
        <w:ilvl w:val="2"/>
        <w:numId w:val="20"/>
      </w:numPr>
      <w:spacing w:before="10" w:after="10"/>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numPr>
        <w:ilvl w:val="0"/>
        <w:numId w:val="29"/>
      </w:numPr>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573668A27A042158B8801F6CF6B8883"/>
        <w:style w:val=""/>
        <w:category>
          <w:name w:val="常规"/>
          <w:gallery w:val="placeholder"/>
        </w:category>
        <w:types>
          <w:type w:val="bbPlcHdr"/>
        </w:types>
        <w:behaviors>
          <w:behavior w:val="content"/>
        </w:behaviors>
        <w:description w:val=""/>
        <w:guid w:val="{FF58FAED-EFFD-4BBC-87A7-26E24C665299}"/>
      </w:docPartPr>
      <w:docPartBody>
        <w:p w14:paraId="6515B194">
          <w:pPr>
            <w:pStyle w:val="5"/>
          </w:pPr>
          <w:r>
            <w:rPr>
              <w:rStyle w:val="4"/>
              <w:rFonts w:hint="eastAsia"/>
            </w:rPr>
            <w:t>单击或点击此处输入文字。</w:t>
          </w:r>
        </w:p>
      </w:docPartBody>
    </w:docPart>
    <w:docPart>
      <w:docPartPr>
        <w:name w:val="3D10F93DF9C64F1AA06660DBBD6294E3"/>
        <w:style w:val=""/>
        <w:category>
          <w:name w:val="常规"/>
          <w:gallery w:val="placeholder"/>
        </w:category>
        <w:types>
          <w:type w:val="bbPlcHdr"/>
        </w:types>
        <w:behaviors>
          <w:behavior w:val="content"/>
        </w:behaviors>
        <w:description w:val=""/>
        <w:guid w:val="{132A6BA1-E8BA-45EB-B679-F780E7814346}"/>
      </w:docPartPr>
      <w:docPartBody>
        <w:p w14:paraId="4AD70CF7">
          <w:pPr>
            <w:pStyle w:val="6"/>
          </w:pPr>
          <w:r>
            <w:rPr>
              <w:rStyle w:val="4"/>
              <w:rFonts w:hint="eastAsia"/>
            </w:rPr>
            <w:t>选择一项。</w:t>
          </w:r>
        </w:p>
      </w:docPartBody>
    </w:docPart>
    <w:docPart>
      <w:docPartPr>
        <w:name w:val="A54A735E5291465CA783B95CF4DB2509"/>
        <w:style w:val=""/>
        <w:category>
          <w:name w:val="常规"/>
          <w:gallery w:val="placeholder"/>
        </w:category>
        <w:types>
          <w:type w:val="bbPlcHdr"/>
        </w:types>
        <w:behaviors>
          <w:behavior w:val="content"/>
        </w:behaviors>
        <w:description w:val=""/>
        <w:guid w:val="{16A0077B-2752-4B5A-85FF-18E28C5A7134}"/>
      </w:docPartPr>
      <w:docPartBody>
        <w:p w14:paraId="01E6EB57">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110"/>
    <w:rsid w:val="00765DBD"/>
    <w:rsid w:val="00E15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573668A27A042158B8801F6CF6B888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3D10F93DF9C64F1AA06660DBBD6294E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54A735E5291465CA783B95CF4DB250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944149-A36F-4A40-AD99-A73C4080EE77}">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7</Pages>
  <Words>2578</Words>
  <Characters>2874</Characters>
  <Lines>37</Lines>
  <Paragraphs>10</Paragraphs>
  <TotalTime>0</TotalTime>
  <ScaleCrop>false</ScaleCrop>
  <LinksUpToDate>false</LinksUpToDate>
  <CharactersWithSpaces>3030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2025-11-16T15:13:00Z</dcterms:created>
  <dc:creator>USER</dc:creator>
  <dc:description>&lt;config cover="true" show_menu="true" version="1.0.0" doctype="SDKXY"&gt;_x000d_
&lt;/config&gt;</dc:description>
  <cp:lastModifiedBy>XIEX</cp:lastModifiedBy>
  <cp:lastPrinted>2021-02-02T08:22:00Z</cp:lastPrinted>
  <dcterms:modified xsi:type="dcterms:W3CDTF">2025-11-30T09:12:37Z</dcterms:modified>
  <dc:title>团体标准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eyJoZGlkIjoiZWM5ZTM1Mjk5NDFlZGFmYzJhNTRiNWE2ZWVkYTQ3MDIiLCJ1c2VySWQiOiI2ODM5ODUzMDMifQ==</vt:lpwstr>
  </property>
  <property fmtid="{D5CDD505-2E9C-101B-9397-08002B2CF9AE}" pid="15" name="KSOProductBuildVer">
    <vt:lpwstr>2052-12.1.0.23542</vt:lpwstr>
  </property>
  <property fmtid="{D5CDD505-2E9C-101B-9397-08002B2CF9AE}" pid="16" name="ICV">
    <vt:lpwstr>DD98331EC7874C9595150201E2036E29_12</vt:lpwstr>
  </property>
</Properties>
</file>