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59D03D" w14:textId="7FA35D2C" w:rsidR="00D97782" w:rsidRDefault="008854C0">
      <w:pPr>
        <w:jc w:val="center"/>
        <w:rPr>
          <w:rFonts w:ascii="方正小标宋简体" w:eastAsia="方正小标宋简体" w:cs="仿宋_GB2312"/>
          <w:bCs/>
          <w:color w:val="000000" w:themeColor="text1"/>
          <w:sz w:val="44"/>
          <w:szCs w:val="44"/>
        </w:rPr>
      </w:pPr>
      <w:r>
        <w:rPr>
          <w:rFonts w:ascii="方正小标宋简体" w:eastAsia="方正小标宋简体" w:cs="仿宋_GB2312" w:hint="eastAsia"/>
          <w:bCs/>
          <w:color w:val="000000" w:themeColor="text1"/>
          <w:sz w:val="44"/>
          <w:szCs w:val="44"/>
        </w:rPr>
        <w:t>团体标准《</w:t>
      </w:r>
      <w:r w:rsidR="002577E1">
        <w:rPr>
          <w:rFonts w:ascii="方正小标宋简体" w:eastAsia="方正小标宋简体" w:cs="仿宋_GB2312" w:hint="eastAsia"/>
          <w:bCs/>
          <w:color w:val="000000" w:themeColor="text1"/>
          <w:sz w:val="44"/>
          <w:szCs w:val="44"/>
        </w:rPr>
        <w:t>赤红壤蔗田钙镁肥降酸技术规程</w:t>
      </w:r>
      <w:r>
        <w:rPr>
          <w:rFonts w:ascii="方正小标宋简体" w:eastAsia="方正小标宋简体" w:cs="仿宋_GB2312" w:hint="eastAsia"/>
          <w:bCs/>
          <w:color w:val="000000" w:themeColor="text1"/>
          <w:sz w:val="44"/>
          <w:szCs w:val="44"/>
        </w:rPr>
        <w:t>》</w:t>
      </w:r>
    </w:p>
    <w:p w14:paraId="6273E1A5" w14:textId="3201EFD0" w:rsidR="00D634F2" w:rsidRDefault="008854C0">
      <w:pPr>
        <w:jc w:val="center"/>
        <w:rPr>
          <w:rFonts w:ascii="方正小标宋简体" w:eastAsia="方正小标宋简体" w:cs="仿宋_GB2312"/>
          <w:bCs/>
          <w:color w:val="000000" w:themeColor="text1"/>
          <w:sz w:val="44"/>
          <w:szCs w:val="44"/>
        </w:rPr>
      </w:pPr>
      <w:r>
        <w:rPr>
          <w:rFonts w:ascii="方正小标宋简体" w:eastAsia="方正小标宋简体" w:cs="仿宋_GB2312" w:hint="eastAsia"/>
          <w:bCs/>
          <w:color w:val="000000" w:themeColor="text1"/>
          <w:sz w:val="44"/>
          <w:szCs w:val="44"/>
        </w:rPr>
        <w:t>（</w:t>
      </w:r>
      <w:r w:rsidR="00FA35E2">
        <w:rPr>
          <w:rFonts w:ascii="方正小标宋简体" w:eastAsia="方正小标宋简体" w:cs="仿宋_GB2312" w:hint="eastAsia"/>
          <w:bCs/>
          <w:color w:val="000000" w:themeColor="text1"/>
          <w:sz w:val="44"/>
          <w:szCs w:val="44"/>
        </w:rPr>
        <w:t>征求意见</w:t>
      </w:r>
      <w:r>
        <w:rPr>
          <w:rFonts w:ascii="方正小标宋简体" w:eastAsia="方正小标宋简体" w:cs="仿宋_GB2312" w:hint="eastAsia"/>
          <w:bCs/>
          <w:color w:val="000000" w:themeColor="text1"/>
          <w:sz w:val="44"/>
          <w:szCs w:val="44"/>
        </w:rPr>
        <w:t>稿）编制说明</w:t>
      </w:r>
    </w:p>
    <w:p w14:paraId="12A46FE1" w14:textId="77777777" w:rsidR="00D634F2" w:rsidRDefault="00D634F2">
      <w:pPr>
        <w:ind w:firstLine="378"/>
        <w:jc w:val="center"/>
        <w:rPr>
          <w:rFonts w:ascii="方正小标宋简体" w:eastAsia="方正小标宋简体" w:cs="仿宋_GB2312"/>
          <w:bCs/>
          <w:color w:val="000000" w:themeColor="text1"/>
          <w:sz w:val="18"/>
          <w:szCs w:val="18"/>
        </w:rPr>
      </w:pPr>
    </w:p>
    <w:p w14:paraId="4964C4A8" w14:textId="5502E270" w:rsidR="00D634F2" w:rsidRDefault="008854C0">
      <w:pPr>
        <w:pStyle w:val="afe"/>
        <w:ind w:firstLineChars="200" w:firstLine="640"/>
        <w:jc w:val="left"/>
        <w:rPr>
          <w:rFonts w:ascii="黑体" w:eastAsia="黑体" w:hAnsi="黑体"/>
          <w:b w:val="0"/>
          <w:color w:val="000000" w:themeColor="text1"/>
        </w:rPr>
      </w:pPr>
      <w:r>
        <w:rPr>
          <w:rFonts w:ascii="黑体" w:eastAsia="黑体" w:hAnsi="黑体" w:hint="eastAsia"/>
          <w:b w:val="0"/>
          <w:color w:val="000000" w:themeColor="text1"/>
        </w:rPr>
        <w:t>一、任务来源、起草单位</w:t>
      </w:r>
      <w:bookmarkStart w:id="0" w:name="_GoBack"/>
      <w:bookmarkEnd w:id="0"/>
    </w:p>
    <w:p w14:paraId="39D94A88" w14:textId="26C220E7" w:rsidR="00D634F2" w:rsidRDefault="00B1480E">
      <w:pPr>
        <w:spacing w:afterLines="50" w:after="120" w:line="520" w:lineRule="exact"/>
        <w:ind w:firstLineChars="200" w:firstLine="640"/>
        <w:rPr>
          <w:rFonts w:ascii="仿宋_GB2312" w:eastAsia="仿宋_GB2312"/>
          <w:color w:val="000000" w:themeColor="text1"/>
          <w:sz w:val="32"/>
          <w:szCs w:val="32"/>
        </w:rPr>
      </w:pPr>
      <w:r w:rsidRPr="00B1480E">
        <w:rPr>
          <w:rFonts w:ascii="仿宋_GB2312" w:eastAsia="仿宋_GB2312" w:hint="eastAsia"/>
          <w:color w:val="000000" w:themeColor="text1"/>
          <w:sz w:val="32"/>
          <w:szCs w:val="32"/>
        </w:rPr>
        <w:t>根据</w:t>
      </w:r>
      <w:r w:rsidR="002577E1" w:rsidRPr="002577E1">
        <w:rPr>
          <w:rFonts w:ascii="仿宋_GB2312" w:eastAsia="仿宋_GB2312" w:hint="eastAsia"/>
          <w:color w:val="000000" w:themeColor="text1"/>
          <w:sz w:val="32"/>
          <w:szCs w:val="32"/>
        </w:rPr>
        <w:t>《广西标准化协会关于下达2025年第三十八批团体标准制修订项目计划的通知》（桂标协〔2025〕</w:t>
      </w:r>
      <w:r w:rsidR="002577E1" w:rsidRPr="002577E1">
        <w:rPr>
          <w:rFonts w:ascii="仿宋_GB2312" w:eastAsia="仿宋_GB2312"/>
          <w:color w:val="000000" w:themeColor="text1"/>
          <w:sz w:val="32"/>
          <w:szCs w:val="32"/>
        </w:rPr>
        <w:t>332</w:t>
      </w:r>
      <w:r w:rsidR="002577E1" w:rsidRPr="002577E1">
        <w:rPr>
          <w:rFonts w:ascii="仿宋_GB2312" w:eastAsia="仿宋_GB2312" w:hint="eastAsia"/>
          <w:color w:val="000000" w:themeColor="text1"/>
          <w:sz w:val="32"/>
          <w:szCs w:val="32"/>
        </w:rPr>
        <w:t>号）</w:t>
      </w:r>
      <w:r w:rsidRPr="00D97782">
        <w:rPr>
          <w:rFonts w:ascii="仿宋_GB2312" w:eastAsia="仿宋_GB2312" w:hint="eastAsia"/>
          <w:color w:val="000000" w:themeColor="text1"/>
          <w:sz w:val="32"/>
          <w:szCs w:val="32"/>
        </w:rPr>
        <w:t>文件精神，由</w:t>
      </w:r>
      <w:r w:rsidR="00A602E9" w:rsidRPr="00D97782">
        <w:rPr>
          <w:rFonts w:ascii="仿宋_GB2312" w:eastAsia="仿宋_GB2312" w:hint="eastAsia"/>
          <w:color w:val="000000" w:themeColor="text1"/>
          <w:sz w:val="32"/>
          <w:szCs w:val="32"/>
        </w:rPr>
        <w:t>广西</w:t>
      </w:r>
      <w:r w:rsidR="00CF7A2A">
        <w:rPr>
          <w:rFonts w:ascii="仿宋_GB2312" w:eastAsia="仿宋_GB2312" w:hint="eastAsia"/>
          <w:color w:val="000000" w:themeColor="text1"/>
          <w:sz w:val="32"/>
          <w:szCs w:val="32"/>
        </w:rPr>
        <w:t>大学</w:t>
      </w:r>
      <w:r w:rsidRPr="00D97782">
        <w:rPr>
          <w:rFonts w:ascii="仿宋_GB2312" w:eastAsia="仿宋_GB2312" w:hint="eastAsia"/>
          <w:color w:val="000000" w:themeColor="text1"/>
          <w:sz w:val="32"/>
          <w:szCs w:val="32"/>
        </w:rPr>
        <w:t>提出，</w:t>
      </w:r>
      <w:r w:rsidR="00CF7A2A" w:rsidRPr="00CF7A2A">
        <w:rPr>
          <w:rFonts w:ascii="仿宋_GB2312" w:eastAsia="仿宋_GB2312" w:hint="eastAsia"/>
          <w:color w:val="000000" w:themeColor="text1"/>
          <w:sz w:val="32"/>
          <w:szCs w:val="32"/>
        </w:rPr>
        <w:t>广西大学、广西壮族自治区农业技术推广站、广西壮族自治区农业科学院、广西糖业集团有限公司、广西金穗生态科技集团股份有限公司、广西旭田科技有限公司、广西滴滴农业科技有限公司、广西富蔗现代农业科技服务有限公司、广西农投糖业集团股份有限公司、德钾盐（深圳）农业科技有限公司</w:t>
      </w:r>
      <w:r w:rsidRPr="00D97782">
        <w:rPr>
          <w:rFonts w:ascii="仿宋_GB2312" w:eastAsia="仿宋_GB2312" w:hint="eastAsia"/>
          <w:color w:val="000000" w:themeColor="text1"/>
          <w:sz w:val="32"/>
          <w:szCs w:val="32"/>
        </w:rPr>
        <w:t>等单位共同起草的团体标准《</w:t>
      </w:r>
      <w:r w:rsidR="002577E1">
        <w:rPr>
          <w:rFonts w:ascii="仿宋_GB2312" w:eastAsia="仿宋_GB2312" w:hint="eastAsia"/>
          <w:bCs/>
          <w:color w:val="000000" w:themeColor="text1"/>
          <w:sz w:val="32"/>
          <w:szCs w:val="32"/>
        </w:rPr>
        <w:t>赤红壤蔗田钙镁肥降酸技术规程</w:t>
      </w:r>
      <w:r w:rsidRPr="00D97782">
        <w:rPr>
          <w:rFonts w:ascii="仿宋_GB2312" w:eastAsia="仿宋_GB2312" w:hint="eastAsia"/>
          <w:color w:val="000000" w:themeColor="text1"/>
          <w:sz w:val="32"/>
          <w:szCs w:val="32"/>
        </w:rPr>
        <w:t>》（项目编号：2025-</w:t>
      </w:r>
      <w:r w:rsidR="002577E1">
        <w:rPr>
          <w:rFonts w:ascii="仿宋_GB2312" w:eastAsia="仿宋_GB2312"/>
          <w:color w:val="000000" w:themeColor="text1"/>
          <w:sz w:val="32"/>
          <w:szCs w:val="32"/>
        </w:rPr>
        <w:t>3814</w:t>
      </w:r>
      <w:r w:rsidRPr="00D97782">
        <w:rPr>
          <w:rFonts w:ascii="仿宋_GB2312" w:eastAsia="仿宋_GB2312" w:hint="eastAsia"/>
          <w:color w:val="000000" w:themeColor="text1"/>
          <w:sz w:val="32"/>
          <w:szCs w:val="32"/>
        </w:rPr>
        <w:t>）</w:t>
      </w:r>
      <w:r w:rsidR="008854C0" w:rsidRPr="00D97782">
        <w:rPr>
          <w:rFonts w:ascii="仿宋_GB2312" w:eastAsia="仿宋_GB2312" w:hint="eastAsia"/>
          <w:color w:val="000000" w:themeColor="text1"/>
          <w:sz w:val="32"/>
          <w:szCs w:val="32"/>
        </w:rPr>
        <w:t>已获批立项。</w:t>
      </w:r>
    </w:p>
    <w:p w14:paraId="4C18D577" w14:textId="77777777" w:rsidR="00D634F2" w:rsidRDefault="008854C0">
      <w:pPr>
        <w:pStyle w:val="afe"/>
        <w:ind w:firstLineChars="200" w:firstLine="640"/>
        <w:jc w:val="left"/>
        <w:rPr>
          <w:rFonts w:ascii="黑体" w:eastAsia="黑体" w:hAnsi="黑体"/>
          <w:b w:val="0"/>
          <w:color w:val="000000" w:themeColor="text1"/>
        </w:rPr>
      </w:pPr>
      <w:r>
        <w:rPr>
          <w:rFonts w:ascii="黑体" w:eastAsia="黑体" w:hAnsi="黑体" w:hint="eastAsia"/>
          <w:b w:val="0"/>
          <w:color w:val="000000" w:themeColor="text1"/>
        </w:rPr>
        <w:t>二、制定标准的必要性和意义</w:t>
      </w:r>
    </w:p>
    <w:p w14:paraId="38647726" w14:textId="77777777" w:rsidR="00CF7A2A" w:rsidRPr="00CF7A2A" w:rsidRDefault="00CF7A2A" w:rsidP="00CF7A2A">
      <w:pPr>
        <w:spacing w:line="520" w:lineRule="exact"/>
        <w:ind w:firstLineChars="200" w:firstLine="640"/>
        <w:rPr>
          <w:rFonts w:ascii="仿宋_GB2312" w:eastAsia="仿宋_GB2312"/>
          <w:color w:val="000000" w:themeColor="text1"/>
          <w:sz w:val="32"/>
          <w:szCs w:val="32"/>
        </w:rPr>
      </w:pPr>
      <w:r w:rsidRPr="00CF7A2A">
        <w:rPr>
          <w:rFonts w:ascii="仿宋_GB2312" w:eastAsia="仿宋_GB2312" w:hint="eastAsia"/>
          <w:color w:val="000000" w:themeColor="text1"/>
          <w:sz w:val="32"/>
          <w:szCs w:val="32"/>
        </w:rPr>
        <w:t>我国甘蔗主产区高度集中于华南红壤区，广西、云南、广东三省合计占据全国70%以上的甘蔗复合专用肥消费市场，其中广西作为最大产区，2024年甘蔗种植规模达1135万亩，仅该省对镁元素的年需求就达45400吨 MgO，而红壤酸化正是制约这些区域产量提升的核心问题。长期以来，蔗区偏重氮磷钾三元复合肥施用（占比超75%），导致土壤酸碱失衡加剧，不仅降低了肥料利用效率——甘蔗对氮、磷、钾肥的平均利用率仅分别为21.2%、11.6%和21.1%，更直接影响产量与品质。</w:t>
      </w:r>
    </w:p>
    <w:p w14:paraId="013BAD52" w14:textId="77777777" w:rsidR="00CF7A2A" w:rsidRPr="00CF7A2A" w:rsidRDefault="00CF7A2A" w:rsidP="00CF7A2A">
      <w:pPr>
        <w:spacing w:line="520" w:lineRule="exact"/>
        <w:ind w:firstLineChars="200" w:firstLine="640"/>
        <w:rPr>
          <w:rFonts w:ascii="仿宋_GB2312" w:eastAsia="仿宋_GB2312"/>
          <w:color w:val="000000" w:themeColor="text1"/>
          <w:sz w:val="32"/>
          <w:szCs w:val="32"/>
        </w:rPr>
      </w:pPr>
      <w:r w:rsidRPr="00CF7A2A">
        <w:rPr>
          <w:rFonts w:ascii="仿宋_GB2312" w:eastAsia="仿宋_GB2312" w:hint="eastAsia"/>
          <w:color w:val="000000" w:themeColor="text1"/>
          <w:sz w:val="32"/>
          <w:szCs w:val="32"/>
        </w:rPr>
        <w:t>当前行业存在技术应用混乱的突出问题,缺乏统一标准导致种植户在钙镁肥种类选择、施用量控制、施用时机把握等方面盲目操作，既无法充分发挥其降酸改土功效，也造成资源浪费。而</w:t>
      </w:r>
      <w:r w:rsidRPr="00CF7A2A">
        <w:rPr>
          <w:rFonts w:ascii="仿宋_GB2312" w:eastAsia="仿宋_GB2312" w:hint="eastAsia"/>
          <w:color w:val="000000" w:themeColor="text1"/>
          <w:sz w:val="32"/>
          <w:szCs w:val="32"/>
        </w:rPr>
        <w:lastRenderedPageBreak/>
        <w:t>试验数据早已证实钙镁肥的显著效用：华南酸性红壤蔗区试验显示，增施镁肥可使甘蔗增产5%～21%、增糖4.5%～9.2%，每亩增收可达157-587元，增施钙镁磷肥的收益也能提高 18.74%；合理搭配石灰与钙镁肥还能有效提升土壤pH 值，改善土壤结构，延长土地可持续利用周期。面对全国1450万公顷甘蔗种植面积的庞大基数，以及蔗区2000多万从业农民的生产需求，制定统一技术规程成为当务之急。</w:t>
      </w:r>
    </w:p>
    <w:p w14:paraId="46CD4C94" w14:textId="1AD0083A" w:rsidR="00D634F2" w:rsidRPr="00CF7A2A" w:rsidRDefault="00CF7A2A" w:rsidP="00CF7A2A">
      <w:pPr>
        <w:spacing w:line="520" w:lineRule="exact"/>
        <w:ind w:firstLineChars="200" w:firstLine="640"/>
        <w:rPr>
          <w:rFonts w:ascii="仿宋_GB2312" w:eastAsia="仿宋_GB2312"/>
          <w:color w:val="000000" w:themeColor="text1"/>
          <w:sz w:val="32"/>
          <w:szCs w:val="32"/>
        </w:rPr>
      </w:pPr>
      <w:r w:rsidRPr="00CF7A2A">
        <w:rPr>
          <w:rFonts w:ascii="仿宋_GB2312" w:eastAsia="仿宋_GB2312" w:hint="eastAsia"/>
          <w:color w:val="000000" w:themeColor="text1"/>
          <w:sz w:val="32"/>
          <w:szCs w:val="32"/>
        </w:rPr>
        <w:t>通过制定团体标准《红壤蔗田钙镁肥降酸增产技术规程》，以标准为抓手，统一规范红壤蔗田钙镁肥降酸增产技术要求，提高红壤蔗田肥料利用率与甘蔗产量品质，助力突破单产瓶颈、提升含糖量，促进蔗区土壤可持续利用与化肥减量增效，对推动我国蔗糖产业高质量发展具有重要意义。</w:t>
      </w:r>
    </w:p>
    <w:p w14:paraId="4CFFA7A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三、主要起草过程</w:t>
      </w:r>
    </w:p>
    <w:p w14:paraId="06CF7C00"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（一）成立标准编制工作组</w:t>
      </w:r>
    </w:p>
    <w:p w14:paraId="60D4C6AB" w14:textId="18FCCCB8" w:rsidR="00D634F2"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2577E1">
        <w:rPr>
          <w:rFonts w:ascii="仿宋_GB2312" w:eastAsia="仿宋_GB2312" w:hint="eastAsia"/>
          <w:color w:val="000000" w:themeColor="text1"/>
          <w:sz w:val="32"/>
          <w:szCs w:val="32"/>
        </w:rPr>
        <w:t>赤红壤蔗田钙镁肥降酸技术规程</w:t>
      </w:r>
      <w:r>
        <w:rPr>
          <w:rFonts w:ascii="仿宋_GB2312" w:eastAsia="仿宋_GB2312" w:hint="eastAsia"/>
          <w:color w:val="000000" w:themeColor="text1"/>
          <w:sz w:val="32"/>
          <w:szCs w:val="32"/>
        </w:rPr>
        <w:t>》项目任务下达后，</w:t>
      </w:r>
      <w:r w:rsidR="003B0E61" w:rsidRPr="003B0E61">
        <w:rPr>
          <w:rFonts w:ascii="仿宋_GB2312" w:eastAsia="仿宋_GB2312" w:hint="eastAsia"/>
          <w:color w:val="000000" w:themeColor="text1"/>
          <w:sz w:val="32"/>
          <w:szCs w:val="32"/>
        </w:rPr>
        <w:t>广西大学、广西壮族自治区农业技术推广站、广西壮族自治区农业科学院、广西糖业集团有限公司、广西金穗生态科技集团股份有限公司、广西旭田科技有限公司、广西滴滴农业科技有限公司、广西富蔗现代农业科技服务有限公司、广西农投糖业集团股份有限公司、德钾盐（深圳）农业科技有限公司</w:t>
      </w:r>
      <w:r>
        <w:rPr>
          <w:rFonts w:ascii="仿宋_GB2312" w:eastAsia="仿宋_GB2312" w:hint="eastAsia"/>
          <w:color w:val="000000" w:themeColor="text1"/>
          <w:sz w:val="32"/>
          <w:szCs w:val="32"/>
        </w:rPr>
        <w:t>等单位成立了标准编制工作组，制定了起草编写方案与进度安排，明确任务职责，确定工作技术路线，开展标准研制工作。具体标准编制工作由起草单位相关人员配合完成。</w:t>
      </w:r>
    </w:p>
    <w:p w14:paraId="5DD67093" w14:textId="77777777" w:rsidR="00D634F2" w:rsidRPr="00850053"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为了明确标准</w:t>
      </w:r>
      <w:r w:rsidRPr="00850053">
        <w:rPr>
          <w:rFonts w:ascii="仿宋_GB2312" w:eastAsia="仿宋_GB2312" w:hint="eastAsia"/>
          <w:color w:val="000000" w:themeColor="text1"/>
          <w:sz w:val="32"/>
          <w:szCs w:val="32"/>
        </w:rPr>
        <w:t>编制的任务职责，确定工作技术路线，开展标准研制工作。编制工作组下设三个组，分别是资料收集组、草案编写组、标准实施组。</w:t>
      </w:r>
    </w:p>
    <w:p w14:paraId="06A9AB2C" w14:textId="108DDEDD" w:rsidR="00D634F2" w:rsidRPr="00850053"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lastRenderedPageBreak/>
        <w:t>资料收集组负责国内外有关</w:t>
      </w:r>
      <w:r w:rsidR="003B0E61">
        <w:rPr>
          <w:rFonts w:ascii="仿宋_GB2312" w:eastAsia="仿宋_GB2312" w:hint="eastAsia"/>
          <w:color w:val="000000" w:themeColor="text1"/>
          <w:sz w:val="32"/>
          <w:szCs w:val="32"/>
        </w:rPr>
        <w:t>赤红壤蔗田钙镁肥降酸技术</w:t>
      </w:r>
      <w:r w:rsidRPr="00850053">
        <w:rPr>
          <w:rFonts w:ascii="仿宋_GB2312" w:eastAsia="仿宋_GB2312" w:hint="eastAsia"/>
          <w:color w:val="000000" w:themeColor="text1"/>
          <w:sz w:val="32"/>
          <w:szCs w:val="32"/>
        </w:rPr>
        <w:t>相关文献资料的查询、收集和整理工作，查阅前期对</w:t>
      </w:r>
      <w:r w:rsidR="003B0E61">
        <w:rPr>
          <w:rFonts w:ascii="仿宋_GB2312" w:eastAsia="仿宋_GB2312" w:hint="eastAsia"/>
          <w:color w:val="000000" w:themeColor="text1"/>
          <w:sz w:val="32"/>
          <w:szCs w:val="32"/>
        </w:rPr>
        <w:t>赤红壤蔗田钙镁肥降酸技术</w:t>
      </w:r>
      <w:r w:rsidRPr="00850053">
        <w:rPr>
          <w:rFonts w:ascii="仿宋_GB2312" w:eastAsia="仿宋_GB2312" w:hint="eastAsia"/>
          <w:color w:val="000000" w:themeColor="text1"/>
          <w:sz w:val="32"/>
          <w:szCs w:val="32"/>
        </w:rPr>
        <w:t>的有关研究情况和目前</w:t>
      </w:r>
      <w:r w:rsidR="00D97782" w:rsidRPr="00850053">
        <w:rPr>
          <w:rFonts w:ascii="仿宋_GB2312" w:eastAsia="仿宋_GB2312" w:hint="eastAsia"/>
          <w:color w:val="000000" w:themeColor="text1"/>
          <w:sz w:val="32"/>
          <w:szCs w:val="32"/>
        </w:rPr>
        <w:t>科学界</w:t>
      </w:r>
      <w:r w:rsidR="003B0E61">
        <w:rPr>
          <w:rFonts w:ascii="仿宋_GB2312" w:eastAsia="仿宋_GB2312" w:hint="eastAsia"/>
          <w:color w:val="000000" w:themeColor="text1"/>
          <w:sz w:val="32"/>
          <w:szCs w:val="32"/>
        </w:rPr>
        <w:t>赤红壤蔗田钙镁肥降酸技术</w:t>
      </w:r>
      <w:r w:rsidRPr="00850053">
        <w:rPr>
          <w:rFonts w:ascii="仿宋_GB2312" w:eastAsia="仿宋_GB2312" w:hint="eastAsia"/>
          <w:color w:val="000000" w:themeColor="text1"/>
          <w:sz w:val="32"/>
          <w:szCs w:val="32"/>
        </w:rPr>
        <w:t>的研究进展。</w:t>
      </w:r>
    </w:p>
    <w:p w14:paraId="36185C73" w14:textId="77777777" w:rsidR="00D634F2" w:rsidRPr="00850053"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t>草案编写组负责起草标准草案及后续征求意见稿和标准编制说明、送审稿及编制说明等编写工作，包括后期召开征求意见会、网上征求意见，以及标准的不断修改和完善。</w:t>
      </w:r>
    </w:p>
    <w:p w14:paraId="5F9F7AB9" w14:textId="69B0EF16" w:rsidR="00D634F2" w:rsidRPr="00850053" w:rsidRDefault="008854C0">
      <w:pPr>
        <w:spacing w:line="520" w:lineRule="exact"/>
        <w:ind w:firstLineChars="200" w:firstLine="640"/>
        <w:jc w:val="left"/>
        <w:rPr>
          <w:rFonts w:ascii="仿宋_GB2312" w:eastAsia="仿宋_GB2312" w:cs="仿宋_GB2312"/>
          <w:color w:val="000000" w:themeColor="text1"/>
          <w:sz w:val="28"/>
          <w:szCs w:val="28"/>
        </w:rPr>
      </w:pPr>
      <w:r w:rsidRPr="00850053">
        <w:rPr>
          <w:rFonts w:ascii="仿宋_GB2312" w:eastAsia="仿宋_GB2312" w:hint="eastAsia"/>
          <w:color w:val="000000" w:themeColor="text1"/>
          <w:sz w:val="32"/>
          <w:szCs w:val="32"/>
        </w:rPr>
        <w:t>标准实施组负责团体标准《</w:t>
      </w:r>
      <w:r w:rsidR="002577E1">
        <w:rPr>
          <w:rFonts w:ascii="仿宋_GB2312" w:eastAsia="仿宋_GB2312" w:hint="eastAsia"/>
          <w:color w:val="000000" w:themeColor="text1"/>
          <w:sz w:val="32"/>
          <w:szCs w:val="32"/>
        </w:rPr>
        <w:t>赤红壤蔗田钙镁肥降酸技术规程</w:t>
      </w:r>
      <w:r w:rsidRPr="00850053">
        <w:rPr>
          <w:rFonts w:ascii="仿宋_GB2312" w:eastAsia="仿宋_GB2312" w:hint="eastAsia"/>
          <w:color w:val="000000" w:themeColor="text1"/>
          <w:sz w:val="32"/>
          <w:szCs w:val="32"/>
        </w:rPr>
        <w:t>》发布后，组织相关单位开展标准宣贯培训会，对标准进行详细解读，让相关人员了解标准，并根据标准对</w:t>
      </w:r>
      <w:r w:rsidR="003B0E61">
        <w:rPr>
          <w:rFonts w:ascii="仿宋_GB2312" w:eastAsia="仿宋_GB2312" w:hint="eastAsia"/>
          <w:color w:val="000000" w:themeColor="text1"/>
          <w:sz w:val="32"/>
          <w:szCs w:val="32"/>
        </w:rPr>
        <w:t>赤红壤蔗田钙镁肥降酸技术</w:t>
      </w:r>
      <w:r w:rsidRPr="00850053">
        <w:rPr>
          <w:rFonts w:ascii="仿宋_GB2312" w:eastAsia="仿宋_GB2312" w:hint="eastAsia"/>
          <w:color w:val="000000" w:themeColor="text1"/>
          <w:sz w:val="32"/>
          <w:szCs w:val="32"/>
        </w:rPr>
        <w:t>进行规范化操作，并对标准实施情况进行总结分析，不断对标准提出修正意见。</w:t>
      </w:r>
    </w:p>
    <w:p w14:paraId="0433E7F9" w14:textId="77777777" w:rsidR="00D634F2" w:rsidRPr="00850053" w:rsidRDefault="008854C0">
      <w:pPr>
        <w:spacing w:line="560" w:lineRule="exact"/>
        <w:ind w:firstLineChars="200" w:firstLine="643"/>
        <w:rPr>
          <w:rFonts w:ascii="楷体" w:eastAsia="楷体" w:hAnsi="楷体" w:cs="楷体"/>
          <w:b/>
          <w:color w:val="000000" w:themeColor="text1"/>
          <w:sz w:val="32"/>
          <w:szCs w:val="32"/>
        </w:rPr>
      </w:pPr>
      <w:r w:rsidRPr="00850053">
        <w:rPr>
          <w:rFonts w:ascii="楷体" w:eastAsia="楷体" w:hAnsi="楷体" w:cs="楷体" w:hint="eastAsia"/>
          <w:b/>
          <w:color w:val="000000" w:themeColor="text1"/>
          <w:sz w:val="32"/>
          <w:szCs w:val="32"/>
        </w:rPr>
        <w:t>（二）收集整理文献资料</w:t>
      </w:r>
    </w:p>
    <w:p w14:paraId="5656E9FD" w14:textId="798994F8" w:rsidR="00D634F2"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t>标准编制工作组收集了国内有关</w:t>
      </w:r>
      <w:r w:rsidR="00FA0C54" w:rsidRPr="00FA0C54">
        <w:rPr>
          <w:rFonts w:ascii="仿宋_GB2312" w:eastAsia="仿宋_GB2312" w:hint="eastAsia"/>
          <w:color w:val="000000" w:themeColor="text1"/>
          <w:sz w:val="32"/>
          <w:szCs w:val="32"/>
        </w:rPr>
        <w:t>“蔗 高产”“蔗 增产”“蔗 高糖”“蔗 高效”“蔗 改良”</w:t>
      </w:r>
      <w:r w:rsidRPr="00850053">
        <w:rPr>
          <w:rFonts w:ascii="仿宋_GB2312" w:eastAsia="仿宋_GB2312" w:hint="eastAsia"/>
          <w:color w:val="000000" w:themeColor="text1"/>
          <w:sz w:val="32"/>
          <w:szCs w:val="32"/>
        </w:rPr>
        <w:t>的相关</w:t>
      </w:r>
      <w:r>
        <w:rPr>
          <w:rFonts w:ascii="仿宋_GB2312" w:eastAsia="仿宋_GB2312" w:hint="eastAsia"/>
          <w:color w:val="000000" w:themeColor="text1"/>
          <w:sz w:val="32"/>
          <w:szCs w:val="32"/>
        </w:rPr>
        <w:t>资料。主要有：</w:t>
      </w:r>
    </w:p>
    <w:p w14:paraId="2D5F162E" w14:textId="77777777" w:rsidR="00FA0C54"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《GB/T 19566-2004  旱地糖料甘蔗高产栽培技术规程》</w:t>
      </w:r>
    </w:p>
    <w:p w14:paraId="6F8C6DF1" w14:textId="77777777" w:rsidR="00FA0C54"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《DB45/T 1021-2014  旱地甘蔗高产高糖高效节本栽培技术规程》</w:t>
      </w:r>
    </w:p>
    <w:p w14:paraId="06220E89" w14:textId="77777777" w:rsidR="00FA0C54"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《DB45/T 1251-2015  糖料甘蔗轻简高效栽培技术规程》</w:t>
      </w:r>
    </w:p>
    <w:p w14:paraId="1BC93F0D" w14:textId="77777777" w:rsidR="00FA0C54"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《DB45/T 1558-2017  甘蔗地土壤酸性及养分改良技术规程》</w:t>
      </w:r>
    </w:p>
    <w:p w14:paraId="35ACAE6D" w14:textId="77777777" w:rsidR="00FA0C54"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《T/GXTC 0002-2024  甘蔗品种“桂热2号”高产高效栽培技术规程》</w:t>
      </w:r>
    </w:p>
    <w:p w14:paraId="6A537E86" w14:textId="77777777" w:rsidR="00FA0C54"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《T/YNRZ 005-2022  水浇地甘蔗高产高糖种植技术规范》</w:t>
      </w:r>
    </w:p>
    <w:p w14:paraId="7D9D20DD" w14:textId="77777777" w:rsidR="00FA0C54"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《T/GXAS 744-2024  酸化蔗地改良技术规程》</w:t>
      </w:r>
    </w:p>
    <w:p w14:paraId="3D4F227F" w14:textId="6C225ED6" w:rsidR="00302A1F" w:rsidRPr="00302A1F" w:rsidRDefault="00FA0C54" w:rsidP="00302A1F">
      <w:pPr>
        <w:spacing w:line="520" w:lineRule="exact"/>
        <w:ind w:firstLineChars="200" w:firstLine="640"/>
        <w:rPr>
          <w:rFonts w:ascii="仿宋_GB2312" w:eastAsia="仿宋_GB2312"/>
          <w:color w:val="000000" w:themeColor="text1"/>
          <w:sz w:val="32"/>
          <w:szCs w:val="32"/>
        </w:rPr>
      </w:pPr>
      <w:r w:rsidRPr="00FA0C54">
        <w:rPr>
          <w:rFonts w:ascii="仿宋_GB2312" w:eastAsia="仿宋_GB2312" w:hint="eastAsia"/>
          <w:color w:val="000000" w:themeColor="text1"/>
          <w:sz w:val="32"/>
          <w:szCs w:val="32"/>
        </w:rPr>
        <w:t>《T/GXAS 1013-2025  甘蔗增产增糖调控技术规程》</w:t>
      </w:r>
    </w:p>
    <w:p w14:paraId="1F580278"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（三）研讨确定标准特色</w:t>
      </w:r>
      <w:r>
        <w:rPr>
          <w:rFonts w:ascii="楷体" w:eastAsia="楷体" w:hAnsi="楷体" w:cs="楷体"/>
          <w:b/>
          <w:color w:val="000000" w:themeColor="text1"/>
          <w:sz w:val="32"/>
          <w:szCs w:val="32"/>
        </w:rPr>
        <w:t>、</w:t>
      </w:r>
      <w:r>
        <w:rPr>
          <w:rFonts w:ascii="楷体" w:eastAsia="楷体" w:hAnsi="楷体" w:cs="楷体" w:hint="eastAsia"/>
          <w:b/>
          <w:color w:val="000000" w:themeColor="text1"/>
          <w:sz w:val="32"/>
          <w:szCs w:val="32"/>
        </w:rPr>
        <w:t>创新点和主体内容</w:t>
      </w:r>
    </w:p>
    <w:p w14:paraId="0E636C72" w14:textId="77777777"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lastRenderedPageBreak/>
        <w:t>标准编制工作组在对收集的资料进行整理研究之后，标准编制工作组召开了标准编制会议，对标准的整体框架结构进行了研究，并对标准的关键性内容进行了初步探讨。经过研究，标准特色、创新点和主体内容如下</w:t>
      </w:r>
      <w:r>
        <w:rPr>
          <w:rFonts w:ascii="仿宋_GB2312" w:eastAsia="仿宋_GB2312" w:hAnsi="Calibri"/>
          <w:color w:val="000000" w:themeColor="text1"/>
        </w:rPr>
        <w:t>：</w:t>
      </w:r>
    </w:p>
    <w:p w14:paraId="17440365" w14:textId="6D5B9F49" w:rsidR="00D634F2" w:rsidRPr="00C57BEA" w:rsidRDefault="008854C0">
      <w:pPr>
        <w:pStyle w:val="affa"/>
        <w:rPr>
          <w:rFonts w:ascii="仿宋_GB2312" w:eastAsia="仿宋_GB2312" w:hAnsi="Calibri"/>
          <w:color w:val="000000" w:themeColor="text1"/>
        </w:rPr>
      </w:pPr>
      <w:r w:rsidRPr="00C57BEA">
        <w:rPr>
          <w:rFonts w:ascii="仿宋_GB2312" w:eastAsia="仿宋_GB2312" w:hAnsi="Calibri"/>
          <w:color w:val="000000" w:themeColor="text1"/>
        </w:rPr>
        <w:t>1.</w:t>
      </w:r>
      <w:r w:rsidRPr="00C57BEA">
        <w:rPr>
          <w:rFonts w:ascii="仿宋_GB2312" w:eastAsia="仿宋_GB2312" w:hAnsi="Calibri" w:hint="eastAsia"/>
          <w:color w:val="000000" w:themeColor="text1"/>
        </w:rPr>
        <w:t>特色</w:t>
      </w:r>
      <w:r w:rsidR="00732724" w:rsidRPr="00C57BEA">
        <w:rPr>
          <w:rFonts w:ascii="仿宋_GB2312" w:eastAsia="仿宋_GB2312" w:hAnsi="Calibri" w:hint="eastAsia"/>
          <w:color w:val="000000" w:themeColor="text1"/>
        </w:rPr>
        <w:t>、</w:t>
      </w:r>
      <w:r w:rsidR="00732724" w:rsidRPr="00C57BEA">
        <w:rPr>
          <w:rFonts w:ascii="仿宋_GB2312" w:eastAsia="仿宋_GB2312" w:hAnsi="Calibri"/>
          <w:color w:val="000000" w:themeColor="text1"/>
        </w:rPr>
        <w:t>创新点</w:t>
      </w:r>
    </w:p>
    <w:p w14:paraId="6E16408A" w14:textId="5098C334" w:rsidR="00732724" w:rsidRPr="00732724" w:rsidRDefault="00732724" w:rsidP="00732724">
      <w:pPr>
        <w:pStyle w:val="affa"/>
        <w:rPr>
          <w:rFonts w:ascii="仿宋_GB2312" w:eastAsia="仿宋_GB2312"/>
          <w:color w:val="000000" w:themeColor="text1"/>
        </w:rPr>
      </w:pPr>
      <w:r w:rsidRPr="00732724">
        <w:rPr>
          <w:rFonts w:ascii="仿宋_GB2312" w:eastAsia="仿宋_GB2312" w:hint="eastAsia"/>
          <w:color w:val="000000" w:themeColor="text1"/>
        </w:rPr>
        <w:t>标准将焦点精确地集中在“红壤蔗田”这一特定土壤类型，并针对“钙镁元素缺乏”这一核心问题，将“降酸”与“靶向补充钙镁”两大目标紧密结合。提出了“降酸增产”相结合的系统性技术方案。</w:t>
      </w:r>
    </w:p>
    <w:p w14:paraId="66B6E5F1" w14:textId="371813AE" w:rsidR="00732724" w:rsidRPr="00732724" w:rsidRDefault="00732724" w:rsidP="00732724">
      <w:pPr>
        <w:pStyle w:val="affa"/>
        <w:rPr>
          <w:rFonts w:ascii="仿宋_GB2312" w:eastAsia="仿宋_GB2312"/>
          <w:color w:val="000000" w:themeColor="text1"/>
        </w:rPr>
      </w:pPr>
      <w:r w:rsidRPr="00732724">
        <w:rPr>
          <w:rFonts w:ascii="仿宋_GB2312" w:eastAsia="仿宋_GB2312" w:hint="eastAsia"/>
          <w:color w:val="000000" w:themeColor="text1"/>
        </w:rPr>
        <w:t>构建了一套“植前土壤评估+生长期叶片诊断”的闭环管理体系。它彻底打破了“一次施肥定全年”的传统模式，将静态的土壤改良与动态的植株营养监控相结合，实现了从“配方施肥”到“诊断施肥”的重大理念革新。</w:t>
      </w:r>
    </w:p>
    <w:p w14:paraId="64492FFF" w14:textId="59BB7492" w:rsidR="00D634F2" w:rsidRDefault="00732724" w:rsidP="00732724">
      <w:pPr>
        <w:pStyle w:val="affa"/>
        <w:rPr>
          <w:rFonts w:ascii="仿宋_GB2312" w:eastAsia="仿宋_GB2312" w:hAnsi="Calibri"/>
          <w:color w:val="000000" w:themeColor="text1"/>
        </w:rPr>
      </w:pPr>
      <w:r w:rsidRPr="00732724">
        <w:rPr>
          <w:rFonts w:ascii="仿宋_GB2312" w:eastAsia="仿宋_GB2312" w:hAnsi="Calibri" w:hint="eastAsia"/>
          <w:color w:val="000000" w:themeColor="text1"/>
        </w:rPr>
        <w:t>本标准对甘蔗的叶片营养诊断进行了全面的量化规定。不仅详细描述了缺钙、缺镁的宏观症状 ，更关键的是提出了明确的叶片钙、镁营养浓度分级阈值。同时，创新性地将这些量化指标与产量预期直接关联，使技术应用效果可预测，极大地提升了标准的可操作性。</w:t>
      </w:r>
    </w:p>
    <w:p w14:paraId="66C33575" w14:textId="1084291B" w:rsidR="00D634F2" w:rsidRDefault="00732724">
      <w:pPr>
        <w:pStyle w:val="affa"/>
        <w:rPr>
          <w:rFonts w:ascii="仿宋_GB2312" w:eastAsia="仿宋_GB2312" w:hAnsi="Calibri"/>
          <w:color w:val="000000" w:themeColor="text1"/>
        </w:rPr>
      </w:pPr>
      <w:r>
        <w:rPr>
          <w:rFonts w:ascii="仿宋_GB2312" w:eastAsia="仿宋_GB2312" w:hAnsi="Calibri"/>
          <w:color w:val="000000" w:themeColor="text1"/>
        </w:rPr>
        <w:t>2</w:t>
      </w:r>
      <w:r w:rsidR="008854C0">
        <w:rPr>
          <w:rFonts w:ascii="仿宋_GB2312" w:eastAsia="仿宋_GB2312" w:hAnsi="Calibri"/>
          <w:color w:val="000000" w:themeColor="text1"/>
        </w:rPr>
        <w:t>.</w:t>
      </w:r>
      <w:r w:rsidR="008854C0">
        <w:rPr>
          <w:rFonts w:ascii="仿宋_GB2312" w:eastAsia="仿宋_GB2312" w:hAnsi="Calibri" w:hint="eastAsia"/>
          <w:color w:val="000000" w:themeColor="text1"/>
        </w:rPr>
        <w:t>主体内容</w:t>
      </w:r>
    </w:p>
    <w:p w14:paraId="69E6B1F4" w14:textId="67A3282B"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t>主体内容包括</w:t>
      </w:r>
      <w:r w:rsidR="003B0E61">
        <w:rPr>
          <w:rFonts w:ascii="仿宋_GB2312" w:eastAsia="仿宋_GB2312" w:hAnsi="Calibri" w:hint="eastAsia"/>
          <w:color w:val="000000" w:themeColor="text1"/>
        </w:rPr>
        <w:t>赤红壤蔗田钙镁肥降酸技术</w:t>
      </w:r>
      <w:r>
        <w:rPr>
          <w:rFonts w:ascii="仿宋_GB2312" w:eastAsia="仿宋_GB2312" w:hAnsi="Calibri" w:hint="eastAsia"/>
          <w:color w:val="000000" w:themeColor="text1"/>
        </w:rPr>
        <w:t>的</w:t>
      </w:r>
      <w:r w:rsidR="00FA0C54" w:rsidRPr="00FA0C54">
        <w:rPr>
          <w:rFonts w:ascii="仿宋_GB2312" w:eastAsia="仿宋_GB2312" w:hAnsi="Calibri" w:hint="eastAsia"/>
          <w:color w:val="000000" w:themeColor="text1"/>
        </w:rPr>
        <w:t>土壤</w:t>
      </w:r>
      <w:r w:rsidR="00FA0C54" w:rsidRPr="00FA0C54">
        <w:rPr>
          <w:rFonts w:ascii="仿宋_GB2312" w:eastAsia="仿宋_GB2312" w:hAnsi="Calibri"/>
          <w:color w:val="000000" w:themeColor="text1"/>
        </w:rPr>
        <w:t>评估、</w:t>
      </w:r>
      <w:r w:rsidR="00FA0C54" w:rsidRPr="00FA0C54">
        <w:rPr>
          <w:rFonts w:ascii="仿宋_GB2312" w:eastAsia="仿宋_GB2312" w:hAnsi="Calibri" w:hint="eastAsia"/>
          <w:color w:val="000000" w:themeColor="text1"/>
        </w:rPr>
        <w:t>肥料选择、施肥操作、叶片钙镁诊断与补救、田间配套管理、监测复查</w:t>
      </w:r>
      <w:r>
        <w:rPr>
          <w:rFonts w:ascii="仿宋_GB2312" w:eastAsia="仿宋_GB2312" w:hAnsi="Calibri" w:hint="eastAsia"/>
          <w:color w:val="000000" w:themeColor="text1"/>
        </w:rPr>
        <w:t>。</w:t>
      </w:r>
    </w:p>
    <w:p w14:paraId="5245BF6C" w14:textId="7743390B"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（四）调研及形成草案、征求意见稿</w:t>
      </w:r>
    </w:p>
    <w:p w14:paraId="58CD6DA5" w14:textId="3DB63AF3" w:rsidR="00D634F2" w:rsidRPr="000C6800"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8</w:t>
      </w:r>
      <w:r w:rsidRPr="000C6800">
        <w:rPr>
          <w:rFonts w:ascii="仿宋_GB2312" w:eastAsia="仿宋_GB2312" w:hint="eastAsia"/>
          <w:color w:val="000000" w:themeColor="text1"/>
          <w:sz w:val="32"/>
          <w:szCs w:val="32"/>
        </w:rPr>
        <w:t>月～</w:t>
      </w:r>
      <w:r w:rsidRPr="000C6800">
        <w:rPr>
          <w:rFonts w:ascii="仿宋_GB2312" w:eastAsia="仿宋_GB2312"/>
          <w:color w:val="000000" w:themeColor="text1"/>
          <w:sz w:val="32"/>
          <w:szCs w:val="32"/>
        </w:rPr>
        <w:t>9</w:t>
      </w:r>
      <w:r w:rsidRPr="000C6800">
        <w:rPr>
          <w:rFonts w:ascii="仿宋_GB2312" w:eastAsia="仿宋_GB2312" w:hint="eastAsia"/>
          <w:color w:val="000000" w:themeColor="text1"/>
          <w:sz w:val="32"/>
          <w:szCs w:val="32"/>
        </w:rPr>
        <w:t>月，</w:t>
      </w:r>
      <w:r w:rsidR="008854C0" w:rsidRPr="000C6800">
        <w:rPr>
          <w:rFonts w:ascii="仿宋_GB2312" w:eastAsia="仿宋_GB2312" w:hint="eastAsia"/>
          <w:color w:val="000000" w:themeColor="text1"/>
          <w:sz w:val="32"/>
          <w:szCs w:val="32"/>
        </w:rPr>
        <w:t>标准编制工作组查阅了大量的国内文献资料，经编制组反复讨论，对</w:t>
      </w:r>
      <w:r w:rsidR="003B0E61">
        <w:rPr>
          <w:rFonts w:ascii="仿宋_GB2312" w:eastAsia="仿宋_GB2312" w:hint="eastAsia"/>
          <w:color w:val="000000" w:themeColor="text1"/>
          <w:sz w:val="32"/>
          <w:szCs w:val="32"/>
        </w:rPr>
        <w:t>赤红壤蔗田钙镁肥降酸技术</w:t>
      </w:r>
      <w:r w:rsidR="008854C0" w:rsidRPr="000C6800">
        <w:rPr>
          <w:rFonts w:ascii="仿宋_GB2312" w:eastAsia="仿宋_GB2312" w:hint="eastAsia"/>
          <w:color w:val="000000" w:themeColor="text1"/>
          <w:sz w:val="32"/>
          <w:szCs w:val="32"/>
        </w:rPr>
        <w:t>的实践情况进行系统总结，形成了标准的基本构架，对主要内容进行了</w:t>
      </w:r>
      <w:r w:rsidR="008854C0" w:rsidRPr="000C6800">
        <w:rPr>
          <w:rFonts w:ascii="仿宋_GB2312" w:eastAsia="仿宋_GB2312" w:hint="eastAsia"/>
          <w:color w:val="000000" w:themeColor="text1"/>
          <w:sz w:val="32"/>
          <w:szCs w:val="32"/>
        </w:rPr>
        <w:lastRenderedPageBreak/>
        <w:t>讨论并对项目的工作进行了部署和安排。</w:t>
      </w:r>
    </w:p>
    <w:p w14:paraId="5BF443DB" w14:textId="65B582B3" w:rsidR="00D634F2" w:rsidRPr="000C6800"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9</w:t>
      </w:r>
      <w:r w:rsidRPr="000C6800">
        <w:rPr>
          <w:rFonts w:ascii="仿宋_GB2312" w:eastAsia="仿宋_GB2312" w:hint="eastAsia"/>
          <w:color w:val="000000" w:themeColor="text1"/>
          <w:sz w:val="32"/>
          <w:szCs w:val="32"/>
        </w:rPr>
        <w:t>月～</w:t>
      </w:r>
      <w:r w:rsidRPr="000C6800">
        <w:rPr>
          <w:rFonts w:ascii="仿宋_GB2312" w:eastAsia="仿宋_GB2312"/>
          <w:color w:val="000000" w:themeColor="text1"/>
          <w:sz w:val="32"/>
          <w:szCs w:val="32"/>
        </w:rPr>
        <w:t>10</w:t>
      </w:r>
      <w:r w:rsidRPr="000C6800">
        <w:rPr>
          <w:rFonts w:ascii="仿宋_GB2312" w:eastAsia="仿宋_GB2312" w:hint="eastAsia"/>
          <w:color w:val="000000" w:themeColor="text1"/>
          <w:sz w:val="32"/>
          <w:szCs w:val="32"/>
        </w:rPr>
        <w:t>月，</w:t>
      </w:r>
      <w:r w:rsidR="008854C0" w:rsidRPr="000C6800">
        <w:rPr>
          <w:rFonts w:ascii="仿宋_GB2312" w:eastAsia="仿宋_GB2312" w:hint="eastAsia"/>
          <w:color w:val="000000" w:themeColor="text1"/>
          <w:sz w:val="32"/>
          <w:szCs w:val="32"/>
        </w:rPr>
        <w:t>在前期工作的基础之上，通过理清逻辑脉络，整合已有参考资料中有关</w:t>
      </w:r>
      <w:r w:rsidR="003B0E61">
        <w:rPr>
          <w:rFonts w:ascii="仿宋_GB2312" w:eastAsia="仿宋_GB2312" w:hint="eastAsia"/>
          <w:color w:val="000000" w:themeColor="text1"/>
          <w:sz w:val="32"/>
          <w:szCs w:val="32"/>
        </w:rPr>
        <w:t>赤红壤蔗田钙镁肥降酸技术</w:t>
      </w:r>
      <w:r w:rsidR="008854C0" w:rsidRPr="000C6800">
        <w:rPr>
          <w:rFonts w:ascii="仿宋_GB2312" w:eastAsia="仿宋_GB2312" w:hint="eastAsia"/>
          <w:color w:val="000000" w:themeColor="text1"/>
          <w:sz w:val="32"/>
          <w:szCs w:val="32"/>
        </w:rPr>
        <w:t>的要求，并在目前</w:t>
      </w:r>
      <w:r w:rsidR="003B0E61">
        <w:rPr>
          <w:rFonts w:ascii="仿宋_GB2312" w:eastAsia="仿宋_GB2312" w:hint="eastAsia"/>
          <w:color w:val="000000" w:themeColor="text1"/>
          <w:sz w:val="32"/>
          <w:szCs w:val="32"/>
        </w:rPr>
        <w:t>赤红壤蔗田钙镁肥降酸技术</w:t>
      </w:r>
      <w:r w:rsidR="008854C0" w:rsidRPr="000C6800">
        <w:rPr>
          <w:rFonts w:ascii="仿宋_GB2312" w:eastAsia="仿宋_GB2312" w:hint="eastAsia"/>
          <w:color w:val="000000" w:themeColor="text1"/>
          <w:sz w:val="32"/>
          <w:szCs w:val="32"/>
        </w:rPr>
        <w:t>实际操作的基础上，按照简化、统一等原则编制完成团体标准《</w:t>
      </w:r>
      <w:r w:rsidR="002577E1">
        <w:rPr>
          <w:rFonts w:ascii="仿宋_GB2312" w:eastAsia="仿宋_GB2312" w:hint="eastAsia"/>
          <w:color w:val="000000" w:themeColor="text1"/>
          <w:sz w:val="32"/>
          <w:szCs w:val="32"/>
        </w:rPr>
        <w:t>赤红壤蔗田钙镁肥降酸技术规程</w:t>
      </w:r>
      <w:r w:rsidR="008854C0" w:rsidRPr="000C6800">
        <w:rPr>
          <w:rFonts w:ascii="仿宋_GB2312" w:eastAsia="仿宋_GB2312" w:hint="eastAsia"/>
          <w:color w:val="000000" w:themeColor="text1"/>
          <w:sz w:val="32"/>
          <w:szCs w:val="32"/>
        </w:rPr>
        <w:t>》（草案）。</w:t>
      </w:r>
    </w:p>
    <w:p w14:paraId="44DC1E7F" w14:textId="32B47295" w:rsidR="00D634F2"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11</w:t>
      </w:r>
      <w:r w:rsidRPr="000C6800">
        <w:rPr>
          <w:rFonts w:ascii="仿宋_GB2312" w:eastAsia="仿宋_GB2312" w:hint="eastAsia"/>
          <w:color w:val="000000" w:themeColor="text1"/>
          <w:sz w:val="32"/>
          <w:szCs w:val="32"/>
        </w:rPr>
        <w:t>月，</w:t>
      </w:r>
      <w:r w:rsidR="008854C0">
        <w:rPr>
          <w:rFonts w:ascii="仿宋_GB2312" w:eastAsia="仿宋_GB2312" w:hint="eastAsia"/>
          <w:color w:val="000000" w:themeColor="text1"/>
          <w:sz w:val="32"/>
          <w:szCs w:val="32"/>
        </w:rPr>
        <w:t>标准编制工作组征求</w:t>
      </w:r>
      <w:r w:rsidR="008854C0">
        <w:rPr>
          <w:rFonts w:ascii="仿宋_GB2312" w:eastAsia="仿宋_GB2312"/>
          <w:color w:val="000000" w:themeColor="text1"/>
          <w:sz w:val="32"/>
          <w:szCs w:val="32"/>
        </w:rPr>
        <w:t>到了</w:t>
      </w:r>
      <w:r w:rsidR="001D7386" w:rsidRPr="001D7386">
        <w:rPr>
          <w:rFonts w:ascii="仿宋_GB2312" w:eastAsia="仿宋_GB2312" w:hint="eastAsia"/>
          <w:color w:val="000000" w:themeColor="text1"/>
          <w:sz w:val="32"/>
          <w:szCs w:val="32"/>
        </w:rPr>
        <w:t>广西大学、广西壮族自治区农业技术推广站、广西壮族自治区农业科学院、广西糖业集团有限公司、广西金穗生态科技集团股份有限公司、广西旭田科技有限公司、广西滴滴农业科技有限公司、广西富蔗现代农业科技服务有限公司、广西农投糖业集团股份有限公司、德钾盐（深圳）农业科技有限公司</w:t>
      </w:r>
      <w:r w:rsidR="008854C0" w:rsidRPr="00A065E9">
        <w:rPr>
          <w:rFonts w:ascii="仿宋_GB2312" w:eastAsia="仿宋_GB2312" w:hint="eastAsia"/>
          <w:color w:val="000000" w:themeColor="text1"/>
          <w:sz w:val="32"/>
          <w:szCs w:val="32"/>
        </w:rPr>
        <w:t>等单位的内部意见，通过收集反馈的意见，标准编制工作组多次召开会议，</w:t>
      </w:r>
      <w:r w:rsidR="008854C0">
        <w:rPr>
          <w:rFonts w:ascii="仿宋_GB2312" w:eastAsia="仿宋_GB2312" w:hint="eastAsia"/>
          <w:color w:val="000000" w:themeColor="text1"/>
          <w:sz w:val="32"/>
          <w:szCs w:val="32"/>
        </w:rPr>
        <w:t>对标准草案进行了反复修改和研究讨论，明确</w:t>
      </w:r>
      <w:r w:rsidR="003B0E61">
        <w:rPr>
          <w:rFonts w:ascii="仿宋_GB2312" w:eastAsia="仿宋_GB2312" w:hint="eastAsia"/>
          <w:color w:val="000000" w:themeColor="text1"/>
          <w:sz w:val="32"/>
          <w:szCs w:val="32"/>
        </w:rPr>
        <w:t>赤红壤蔗田钙镁肥降酸技术</w:t>
      </w:r>
      <w:r w:rsidR="008854C0">
        <w:rPr>
          <w:rFonts w:ascii="仿宋_GB2312" w:eastAsia="仿宋_GB2312" w:hint="eastAsia"/>
          <w:color w:val="000000" w:themeColor="text1"/>
          <w:sz w:val="32"/>
          <w:szCs w:val="32"/>
        </w:rPr>
        <w:t>的要点，掌握了</w:t>
      </w:r>
      <w:r w:rsidR="003B0E61">
        <w:rPr>
          <w:rFonts w:ascii="仿宋_GB2312" w:eastAsia="仿宋_GB2312" w:hint="eastAsia"/>
          <w:color w:val="000000" w:themeColor="text1"/>
          <w:sz w:val="32"/>
          <w:szCs w:val="32"/>
        </w:rPr>
        <w:t>赤红壤蔗田钙镁肥降酸技术</w:t>
      </w:r>
      <w:r w:rsidR="008854C0">
        <w:rPr>
          <w:rFonts w:ascii="仿宋_GB2312" w:eastAsia="仿宋_GB2312" w:hint="eastAsia"/>
          <w:color w:val="000000" w:themeColor="text1"/>
          <w:sz w:val="32"/>
          <w:szCs w:val="32"/>
        </w:rPr>
        <w:t>的基本情况以及要求，最终形成了</w:t>
      </w:r>
      <w:bookmarkStart w:id="1" w:name="_Hlk120181503"/>
      <w:r w:rsidR="008854C0">
        <w:rPr>
          <w:rFonts w:ascii="仿宋_GB2312" w:eastAsia="仿宋_GB2312" w:hint="eastAsia"/>
          <w:color w:val="000000" w:themeColor="text1"/>
          <w:sz w:val="32"/>
          <w:szCs w:val="32"/>
        </w:rPr>
        <w:t>团体标准《</w:t>
      </w:r>
      <w:r w:rsidR="002577E1">
        <w:rPr>
          <w:rFonts w:ascii="仿宋_GB2312" w:eastAsia="仿宋_GB2312" w:hint="eastAsia"/>
          <w:color w:val="000000" w:themeColor="text1"/>
          <w:sz w:val="32"/>
          <w:szCs w:val="32"/>
        </w:rPr>
        <w:t>赤红壤蔗田钙镁肥降酸技术规程</w:t>
      </w:r>
      <w:r w:rsidR="008854C0">
        <w:rPr>
          <w:rFonts w:ascii="仿宋_GB2312" w:eastAsia="仿宋_GB2312" w:hint="eastAsia"/>
          <w:color w:val="000000" w:themeColor="text1"/>
          <w:sz w:val="32"/>
          <w:szCs w:val="32"/>
        </w:rPr>
        <w:t>》（征求意见稿）及其编制说明。</w:t>
      </w:r>
      <w:bookmarkEnd w:id="1"/>
    </w:p>
    <w:p w14:paraId="2596D9F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273473A2"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（一）编制原则</w:t>
      </w:r>
    </w:p>
    <w:p w14:paraId="2244C959"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1、实用性原则</w:t>
      </w:r>
    </w:p>
    <w:p w14:paraId="43ED175A" w14:textId="4934496F"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本标准是在充分收集国内外相关资料和文献、调研分析</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现状，结合起草单位前期研究工作取得的研究成果及积累的实践经验，并借鉴国内</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进行总结起草的，符合工作实际，有利于</w:t>
      </w:r>
      <w:r w:rsidR="003B0E61">
        <w:rPr>
          <w:rFonts w:ascii="仿宋_GB2312" w:eastAsia="仿宋_GB2312" w:hint="eastAsia"/>
          <w:color w:val="000000" w:themeColor="text1"/>
          <w:sz w:val="32"/>
          <w:szCs w:val="32"/>
        </w:rPr>
        <w:t>赤红壤蔗田钙镁肥</w:t>
      </w:r>
      <w:r w:rsidR="003B0E61">
        <w:rPr>
          <w:rFonts w:ascii="仿宋_GB2312" w:eastAsia="仿宋_GB2312" w:hint="eastAsia"/>
          <w:color w:val="000000" w:themeColor="text1"/>
          <w:sz w:val="32"/>
          <w:szCs w:val="32"/>
        </w:rPr>
        <w:lastRenderedPageBreak/>
        <w:t>降酸技术</w:t>
      </w:r>
      <w:r>
        <w:rPr>
          <w:rFonts w:ascii="仿宋_GB2312" w:eastAsia="仿宋_GB2312" w:hint="eastAsia"/>
          <w:color w:val="000000" w:themeColor="text1"/>
          <w:sz w:val="32"/>
          <w:szCs w:val="32"/>
        </w:rPr>
        <w:t>的实施与推广，具有可操作性和实用性。</w:t>
      </w:r>
    </w:p>
    <w:p w14:paraId="79A59E20"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2、协调性原则</w:t>
      </w:r>
    </w:p>
    <w:p w14:paraId="61B027EF" w14:textId="5FB07F1A"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本文件编写过程中注意了与</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相关法律法规的协调问题，在内容上与现行法律法规、标准协调一致。</w:t>
      </w:r>
    </w:p>
    <w:p w14:paraId="3DF8F4D5"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3、规范性原则</w:t>
      </w:r>
    </w:p>
    <w:p w14:paraId="12D576A2"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本文件严格按照GB/T 1.1—2020《标准化工作规范  第1部分：标准化文件的结构和起草规则》编写本标准的内容，保证标准的编写质量。</w:t>
      </w:r>
    </w:p>
    <w:p w14:paraId="2234E3DE"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4、前瞻性原则</w:t>
      </w:r>
    </w:p>
    <w:p w14:paraId="62168C45" w14:textId="5A7FBCD0"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本文件在兼顾当前</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现实情况的同时，还考虑到了</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的需要，在标准中体现了个别特色性、前瞻性和先进性条款，作为对</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的指导。</w:t>
      </w:r>
    </w:p>
    <w:p w14:paraId="16101DFE"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（二）编制依据</w:t>
      </w:r>
    </w:p>
    <w:p w14:paraId="035B5479" w14:textId="2655A6E8"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本标准严格按照GB/T 1.1—2020《标准化工作规范  第1部分：标准化文件的结构和起草规则》的规则起草，标准主要内容依据起草单位在</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过程中的实践经验确定。</w:t>
      </w:r>
    </w:p>
    <w:p w14:paraId="61C44619"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41C22A5D"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本标准与相关法律法规、强制性标准协调一致，无冲突。</w:t>
      </w:r>
    </w:p>
    <w:p w14:paraId="2324C47D" w14:textId="7F7D8F56" w:rsidR="000E0C0E" w:rsidRDefault="008854C0">
      <w:pPr>
        <w:spacing w:line="520" w:lineRule="exact"/>
        <w:ind w:firstLineChars="200" w:firstLine="640"/>
        <w:rPr>
          <w:rFonts w:ascii="Times New Roman" w:eastAsia="仿宋_GB2312" w:hAnsi="Times New Roman" w:cs="Times New Roman"/>
          <w:color w:val="000000" w:themeColor="text1"/>
          <w:sz w:val="32"/>
          <w:szCs w:val="32"/>
        </w:rPr>
      </w:pPr>
      <w:r>
        <w:rPr>
          <w:rFonts w:ascii="仿宋_GB2312" w:eastAsia="仿宋_GB2312" w:hint="eastAsia"/>
          <w:color w:val="000000" w:themeColor="text1"/>
          <w:sz w:val="32"/>
          <w:szCs w:val="32"/>
        </w:rPr>
        <w:t>经查阅，截至目前，国</w:t>
      </w:r>
      <w:r w:rsidRPr="00B938A5">
        <w:rPr>
          <w:rFonts w:ascii="仿宋_GB2312" w:eastAsia="仿宋_GB2312" w:hint="eastAsia"/>
          <w:color w:val="000000" w:themeColor="text1"/>
          <w:sz w:val="32"/>
          <w:szCs w:val="32"/>
        </w:rPr>
        <w:t>内</w:t>
      </w:r>
      <w:r w:rsidR="000E0C0E" w:rsidRPr="00B938A5">
        <w:rPr>
          <w:rFonts w:ascii="Times New Roman" w:eastAsia="仿宋_GB2312" w:hAnsi="Times New Roman" w:cs="Times New Roman" w:hint="eastAsia"/>
          <w:color w:val="000000" w:themeColor="text1"/>
          <w:sz w:val="32"/>
          <w:szCs w:val="32"/>
        </w:rPr>
        <w:t>与</w:t>
      </w:r>
      <w:r w:rsidR="00732724" w:rsidRPr="00732724">
        <w:rPr>
          <w:rFonts w:ascii="Times New Roman" w:eastAsia="仿宋_GB2312" w:hAnsi="Times New Roman" w:cs="Times New Roman" w:hint="eastAsia"/>
          <w:color w:val="000000" w:themeColor="text1"/>
          <w:sz w:val="32"/>
          <w:szCs w:val="32"/>
        </w:rPr>
        <w:t>“蔗</w:t>
      </w:r>
      <w:r w:rsidR="00732724" w:rsidRPr="00732724">
        <w:rPr>
          <w:rFonts w:ascii="Times New Roman" w:eastAsia="仿宋_GB2312" w:hAnsi="Times New Roman" w:cs="Times New Roman" w:hint="eastAsia"/>
          <w:color w:val="000000" w:themeColor="text1"/>
          <w:sz w:val="32"/>
          <w:szCs w:val="32"/>
        </w:rPr>
        <w:t xml:space="preserve"> </w:t>
      </w:r>
      <w:r w:rsidR="00732724" w:rsidRPr="00732724">
        <w:rPr>
          <w:rFonts w:ascii="Times New Roman" w:eastAsia="仿宋_GB2312" w:hAnsi="Times New Roman" w:cs="Times New Roman" w:hint="eastAsia"/>
          <w:color w:val="000000" w:themeColor="text1"/>
          <w:sz w:val="32"/>
          <w:szCs w:val="32"/>
        </w:rPr>
        <w:t>高产”“蔗</w:t>
      </w:r>
      <w:r w:rsidR="00732724" w:rsidRPr="00732724">
        <w:rPr>
          <w:rFonts w:ascii="Times New Roman" w:eastAsia="仿宋_GB2312" w:hAnsi="Times New Roman" w:cs="Times New Roman" w:hint="eastAsia"/>
          <w:color w:val="000000" w:themeColor="text1"/>
          <w:sz w:val="32"/>
          <w:szCs w:val="32"/>
        </w:rPr>
        <w:t xml:space="preserve"> </w:t>
      </w:r>
      <w:r w:rsidR="00732724" w:rsidRPr="00732724">
        <w:rPr>
          <w:rFonts w:ascii="Times New Roman" w:eastAsia="仿宋_GB2312" w:hAnsi="Times New Roman" w:cs="Times New Roman" w:hint="eastAsia"/>
          <w:color w:val="000000" w:themeColor="text1"/>
          <w:sz w:val="32"/>
          <w:szCs w:val="32"/>
        </w:rPr>
        <w:t>增产”“蔗</w:t>
      </w:r>
      <w:r w:rsidR="00732724" w:rsidRPr="00732724">
        <w:rPr>
          <w:rFonts w:ascii="Times New Roman" w:eastAsia="仿宋_GB2312" w:hAnsi="Times New Roman" w:cs="Times New Roman" w:hint="eastAsia"/>
          <w:color w:val="000000" w:themeColor="text1"/>
          <w:sz w:val="32"/>
          <w:szCs w:val="32"/>
        </w:rPr>
        <w:t xml:space="preserve"> </w:t>
      </w:r>
      <w:r w:rsidR="00732724" w:rsidRPr="00732724">
        <w:rPr>
          <w:rFonts w:ascii="Times New Roman" w:eastAsia="仿宋_GB2312" w:hAnsi="Times New Roman" w:cs="Times New Roman" w:hint="eastAsia"/>
          <w:color w:val="000000" w:themeColor="text1"/>
          <w:sz w:val="32"/>
          <w:szCs w:val="32"/>
        </w:rPr>
        <w:t>高糖”“蔗</w:t>
      </w:r>
      <w:r w:rsidR="00732724" w:rsidRPr="00732724">
        <w:rPr>
          <w:rFonts w:ascii="Times New Roman" w:eastAsia="仿宋_GB2312" w:hAnsi="Times New Roman" w:cs="Times New Roman" w:hint="eastAsia"/>
          <w:color w:val="000000" w:themeColor="text1"/>
          <w:sz w:val="32"/>
          <w:szCs w:val="32"/>
        </w:rPr>
        <w:t xml:space="preserve"> </w:t>
      </w:r>
      <w:r w:rsidR="00732724" w:rsidRPr="00732724">
        <w:rPr>
          <w:rFonts w:ascii="Times New Roman" w:eastAsia="仿宋_GB2312" w:hAnsi="Times New Roman" w:cs="Times New Roman" w:hint="eastAsia"/>
          <w:color w:val="000000" w:themeColor="text1"/>
          <w:sz w:val="32"/>
          <w:szCs w:val="32"/>
        </w:rPr>
        <w:t>高效”“蔗</w:t>
      </w:r>
      <w:r w:rsidR="00732724" w:rsidRPr="00732724">
        <w:rPr>
          <w:rFonts w:ascii="Times New Roman" w:eastAsia="仿宋_GB2312" w:hAnsi="Times New Roman" w:cs="Times New Roman" w:hint="eastAsia"/>
          <w:color w:val="000000" w:themeColor="text1"/>
          <w:sz w:val="32"/>
          <w:szCs w:val="32"/>
        </w:rPr>
        <w:t xml:space="preserve"> </w:t>
      </w:r>
      <w:r w:rsidR="00732724" w:rsidRPr="00732724">
        <w:rPr>
          <w:rFonts w:ascii="Times New Roman" w:eastAsia="仿宋_GB2312" w:hAnsi="Times New Roman" w:cs="Times New Roman" w:hint="eastAsia"/>
          <w:color w:val="000000" w:themeColor="text1"/>
          <w:sz w:val="32"/>
          <w:szCs w:val="32"/>
        </w:rPr>
        <w:t>改良”</w:t>
      </w:r>
      <w:r w:rsidR="000E0C0E" w:rsidRPr="000E0C0E">
        <w:rPr>
          <w:rFonts w:ascii="Times New Roman" w:eastAsia="仿宋_GB2312" w:hAnsi="Times New Roman" w:cs="Times New Roman" w:hint="eastAsia"/>
          <w:color w:val="000000" w:themeColor="text1"/>
          <w:sz w:val="32"/>
          <w:szCs w:val="32"/>
        </w:rPr>
        <w:t>相关的标准有：</w:t>
      </w:r>
      <w:r w:rsidR="00732724" w:rsidRPr="00732724">
        <w:rPr>
          <w:rFonts w:ascii="Times New Roman" w:eastAsia="仿宋_GB2312" w:hAnsi="Times New Roman" w:cs="Times New Roman" w:hint="eastAsia"/>
          <w:color w:val="000000" w:themeColor="text1"/>
          <w:sz w:val="32"/>
          <w:szCs w:val="32"/>
        </w:rPr>
        <w:t>《</w:t>
      </w:r>
      <w:r w:rsidR="00732724" w:rsidRPr="00732724">
        <w:rPr>
          <w:rFonts w:ascii="Times New Roman" w:eastAsia="仿宋_GB2312" w:hAnsi="Times New Roman" w:cs="Times New Roman" w:hint="eastAsia"/>
          <w:color w:val="000000" w:themeColor="text1"/>
          <w:sz w:val="32"/>
          <w:szCs w:val="32"/>
        </w:rPr>
        <w:t xml:space="preserve">GB/T 19566-2004  </w:t>
      </w:r>
      <w:r w:rsidR="00732724" w:rsidRPr="00732724">
        <w:rPr>
          <w:rFonts w:ascii="Times New Roman" w:eastAsia="仿宋_GB2312" w:hAnsi="Times New Roman" w:cs="Times New Roman" w:hint="eastAsia"/>
          <w:color w:val="000000" w:themeColor="text1"/>
          <w:sz w:val="32"/>
          <w:szCs w:val="32"/>
        </w:rPr>
        <w:t>旱地糖料甘蔗高产栽培技术规程》《</w:t>
      </w:r>
      <w:r w:rsidR="00732724" w:rsidRPr="00732724">
        <w:rPr>
          <w:rFonts w:ascii="Times New Roman" w:eastAsia="仿宋_GB2312" w:hAnsi="Times New Roman" w:cs="Times New Roman" w:hint="eastAsia"/>
          <w:color w:val="000000" w:themeColor="text1"/>
          <w:sz w:val="32"/>
          <w:szCs w:val="32"/>
        </w:rPr>
        <w:t xml:space="preserve">DB45/T 1021-2014  </w:t>
      </w:r>
      <w:r w:rsidR="00732724" w:rsidRPr="00732724">
        <w:rPr>
          <w:rFonts w:ascii="Times New Roman" w:eastAsia="仿宋_GB2312" w:hAnsi="Times New Roman" w:cs="Times New Roman" w:hint="eastAsia"/>
          <w:color w:val="000000" w:themeColor="text1"/>
          <w:sz w:val="32"/>
          <w:szCs w:val="32"/>
        </w:rPr>
        <w:t>旱地甘蔗高产高糖高效节本栽培技术规程》《</w:t>
      </w:r>
      <w:r w:rsidR="00732724" w:rsidRPr="00732724">
        <w:rPr>
          <w:rFonts w:ascii="Times New Roman" w:eastAsia="仿宋_GB2312" w:hAnsi="Times New Roman" w:cs="Times New Roman" w:hint="eastAsia"/>
          <w:color w:val="000000" w:themeColor="text1"/>
          <w:sz w:val="32"/>
          <w:szCs w:val="32"/>
        </w:rPr>
        <w:t xml:space="preserve">DB45/T 1251-2015  </w:t>
      </w:r>
      <w:r w:rsidR="00732724" w:rsidRPr="00732724">
        <w:rPr>
          <w:rFonts w:ascii="Times New Roman" w:eastAsia="仿宋_GB2312" w:hAnsi="Times New Roman" w:cs="Times New Roman" w:hint="eastAsia"/>
          <w:color w:val="000000" w:themeColor="text1"/>
          <w:sz w:val="32"/>
          <w:szCs w:val="32"/>
        </w:rPr>
        <w:t>糖料</w:t>
      </w:r>
      <w:r w:rsidR="00732724" w:rsidRPr="00732724">
        <w:rPr>
          <w:rFonts w:ascii="Times New Roman" w:eastAsia="仿宋_GB2312" w:hAnsi="Times New Roman" w:cs="Times New Roman" w:hint="eastAsia"/>
          <w:color w:val="000000" w:themeColor="text1"/>
          <w:sz w:val="32"/>
          <w:szCs w:val="32"/>
        </w:rPr>
        <w:lastRenderedPageBreak/>
        <w:t>甘蔗轻简高效栽培技术规程》《</w:t>
      </w:r>
      <w:r w:rsidR="00732724" w:rsidRPr="00732724">
        <w:rPr>
          <w:rFonts w:ascii="Times New Roman" w:eastAsia="仿宋_GB2312" w:hAnsi="Times New Roman" w:cs="Times New Roman" w:hint="eastAsia"/>
          <w:color w:val="000000" w:themeColor="text1"/>
          <w:sz w:val="32"/>
          <w:szCs w:val="32"/>
        </w:rPr>
        <w:t xml:space="preserve">DB45/T 1558-2017  </w:t>
      </w:r>
      <w:r w:rsidR="00732724" w:rsidRPr="00732724">
        <w:rPr>
          <w:rFonts w:ascii="Times New Roman" w:eastAsia="仿宋_GB2312" w:hAnsi="Times New Roman" w:cs="Times New Roman" w:hint="eastAsia"/>
          <w:color w:val="000000" w:themeColor="text1"/>
          <w:sz w:val="32"/>
          <w:szCs w:val="32"/>
        </w:rPr>
        <w:t>甘蔗地土壤酸性及养分改良技术规程》《</w:t>
      </w:r>
      <w:r w:rsidR="00732724" w:rsidRPr="00732724">
        <w:rPr>
          <w:rFonts w:ascii="Times New Roman" w:eastAsia="仿宋_GB2312" w:hAnsi="Times New Roman" w:cs="Times New Roman" w:hint="eastAsia"/>
          <w:color w:val="000000" w:themeColor="text1"/>
          <w:sz w:val="32"/>
          <w:szCs w:val="32"/>
        </w:rPr>
        <w:t xml:space="preserve">T/GXTC 0002-2024  </w:t>
      </w:r>
      <w:r w:rsidR="00732724" w:rsidRPr="00732724">
        <w:rPr>
          <w:rFonts w:ascii="Times New Roman" w:eastAsia="仿宋_GB2312" w:hAnsi="Times New Roman" w:cs="Times New Roman" w:hint="eastAsia"/>
          <w:color w:val="000000" w:themeColor="text1"/>
          <w:sz w:val="32"/>
          <w:szCs w:val="32"/>
        </w:rPr>
        <w:t>甘蔗品种“桂热</w:t>
      </w:r>
      <w:r w:rsidR="00732724" w:rsidRPr="00732724">
        <w:rPr>
          <w:rFonts w:ascii="Times New Roman" w:eastAsia="仿宋_GB2312" w:hAnsi="Times New Roman" w:cs="Times New Roman" w:hint="eastAsia"/>
          <w:color w:val="000000" w:themeColor="text1"/>
          <w:sz w:val="32"/>
          <w:szCs w:val="32"/>
        </w:rPr>
        <w:t>2</w:t>
      </w:r>
      <w:r w:rsidR="00732724" w:rsidRPr="00732724">
        <w:rPr>
          <w:rFonts w:ascii="Times New Roman" w:eastAsia="仿宋_GB2312" w:hAnsi="Times New Roman" w:cs="Times New Roman" w:hint="eastAsia"/>
          <w:color w:val="000000" w:themeColor="text1"/>
          <w:sz w:val="32"/>
          <w:szCs w:val="32"/>
        </w:rPr>
        <w:t>号”高产高效栽培技术规程》《</w:t>
      </w:r>
      <w:r w:rsidR="00732724" w:rsidRPr="00732724">
        <w:rPr>
          <w:rFonts w:ascii="Times New Roman" w:eastAsia="仿宋_GB2312" w:hAnsi="Times New Roman" w:cs="Times New Roman" w:hint="eastAsia"/>
          <w:color w:val="000000" w:themeColor="text1"/>
          <w:sz w:val="32"/>
          <w:szCs w:val="32"/>
        </w:rPr>
        <w:t xml:space="preserve">T/YNRZ 005-2022  </w:t>
      </w:r>
      <w:r w:rsidR="00732724" w:rsidRPr="00732724">
        <w:rPr>
          <w:rFonts w:ascii="Times New Roman" w:eastAsia="仿宋_GB2312" w:hAnsi="Times New Roman" w:cs="Times New Roman" w:hint="eastAsia"/>
          <w:color w:val="000000" w:themeColor="text1"/>
          <w:sz w:val="32"/>
          <w:szCs w:val="32"/>
        </w:rPr>
        <w:t>水浇地甘蔗高产高糖种植技术规范》《</w:t>
      </w:r>
      <w:r w:rsidR="00732724" w:rsidRPr="00732724">
        <w:rPr>
          <w:rFonts w:ascii="Times New Roman" w:eastAsia="仿宋_GB2312" w:hAnsi="Times New Roman" w:cs="Times New Roman" w:hint="eastAsia"/>
          <w:color w:val="000000" w:themeColor="text1"/>
          <w:sz w:val="32"/>
          <w:szCs w:val="32"/>
        </w:rPr>
        <w:t xml:space="preserve">T/GXAS 744-2024  </w:t>
      </w:r>
      <w:r w:rsidR="00732724" w:rsidRPr="00732724">
        <w:rPr>
          <w:rFonts w:ascii="Times New Roman" w:eastAsia="仿宋_GB2312" w:hAnsi="Times New Roman" w:cs="Times New Roman" w:hint="eastAsia"/>
          <w:color w:val="000000" w:themeColor="text1"/>
          <w:sz w:val="32"/>
          <w:szCs w:val="32"/>
        </w:rPr>
        <w:t>酸化蔗地改良技术规程》《</w:t>
      </w:r>
      <w:r w:rsidR="00732724" w:rsidRPr="00732724">
        <w:rPr>
          <w:rFonts w:ascii="Times New Roman" w:eastAsia="仿宋_GB2312" w:hAnsi="Times New Roman" w:cs="Times New Roman" w:hint="eastAsia"/>
          <w:color w:val="000000" w:themeColor="text1"/>
          <w:sz w:val="32"/>
          <w:szCs w:val="32"/>
        </w:rPr>
        <w:t xml:space="preserve">T/GXAS 1013-2025  </w:t>
      </w:r>
      <w:r w:rsidR="00732724" w:rsidRPr="00732724">
        <w:rPr>
          <w:rFonts w:ascii="Times New Roman" w:eastAsia="仿宋_GB2312" w:hAnsi="Times New Roman" w:cs="Times New Roman" w:hint="eastAsia"/>
          <w:color w:val="000000" w:themeColor="text1"/>
          <w:sz w:val="32"/>
          <w:szCs w:val="32"/>
        </w:rPr>
        <w:t>甘蔗增产增糖调控技术规程》</w:t>
      </w:r>
      <w:r w:rsidR="000E0C0E">
        <w:rPr>
          <w:rFonts w:ascii="Times New Roman" w:eastAsia="仿宋_GB2312" w:hAnsi="Times New Roman" w:cs="Times New Roman" w:hint="eastAsia"/>
          <w:color w:val="000000" w:themeColor="text1"/>
          <w:sz w:val="32"/>
          <w:szCs w:val="32"/>
        </w:rPr>
        <w:t>。</w:t>
      </w:r>
    </w:p>
    <w:p w14:paraId="37279A5F" w14:textId="47DD617E" w:rsidR="00BC3A80" w:rsidRPr="00BC3A80" w:rsidRDefault="00BC3A80" w:rsidP="00BC3A80">
      <w:pPr>
        <w:spacing w:line="520" w:lineRule="exact"/>
        <w:ind w:firstLineChars="200" w:firstLine="640"/>
        <w:rPr>
          <w:rFonts w:ascii="仿宋_GB2312" w:eastAsia="仿宋_GB2312"/>
          <w:color w:val="000000" w:themeColor="text1"/>
          <w:sz w:val="32"/>
          <w:szCs w:val="32"/>
        </w:rPr>
      </w:pPr>
      <w:r w:rsidRPr="00BC3A80">
        <w:rPr>
          <w:rFonts w:ascii="仿宋_GB2312" w:eastAsia="仿宋_GB2312" w:hint="eastAsia"/>
          <w:color w:val="000000" w:themeColor="text1"/>
          <w:sz w:val="32"/>
          <w:szCs w:val="32"/>
        </w:rPr>
        <w:t>其中，《GB/T 19566-2004  旱地糖料甘蔗高产栽培技术规程》属于国家级的宏观栽培技术指导，规定了旱地甘蔗高产的各项栽培措施，包括整地、选种、施肥、田间管理等。施肥部分仅给出了氮磷钾的常规推荐量，没有具体的施用技术、用量指标和诊断方法。本标准对国家标准在特定区域和问题上进行深化和补充，将笼统的“适施钙镁”具体化为一套完整的技术体系。并且直接针对华南红壤蔗区的土壤酸化和钙镁缺乏问题，提供了系统性的解决方案，填补了国家标准在这一细分领域的空白。</w:t>
      </w:r>
    </w:p>
    <w:p w14:paraId="0559F16D" w14:textId="77777777" w:rsidR="00BC3A80" w:rsidRPr="00BC3A80" w:rsidRDefault="00BC3A80" w:rsidP="00BC3A80">
      <w:pPr>
        <w:spacing w:line="520" w:lineRule="exact"/>
        <w:ind w:firstLineChars="200" w:firstLine="640"/>
        <w:rPr>
          <w:rFonts w:ascii="仿宋_GB2312" w:eastAsia="仿宋_GB2312"/>
          <w:color w:val="000000" w:themeColor="text1"/>
          <w:sz w:val="32"/>
          <w:szCs w:val="32"/>
        </w:rPr>
      </w:pPr>
      <w:r w:rsidRPr="00BC3A80">
        <w:rPr>
          <w:rFonts w:ascii="仿宋_GB2312" w:eastAsia="仿宋_GB2312" w:hint="eastAsia"/>
          <w:color w:val="000000" w:themeColor="text1"/>
          <w:sz w:val="32"/>
          <w:szCs w:val="32"/>
        </w:rPr>
        <w:t>《DB45/T 1558-2017甘蔗地土壤酸性及养分改良技术规程》提出了一个较为全面的土壤改良框架，通过复杂的公式计算石灰石粉、钙镁磷肥、钾肥及多种微量元素的施用量，以达到设定的土壤养分目标值。但操作复杂性高，对基层技术人员和蔗农而言，应用门槛较高，不易普及。本标准对提供了基于土壤pH区间的直观施肥推荐表，简单明了，极大地降低了应用门槛。</w:t>
      </w:r>
    </w:p>
    <w:p w14:paraId="668F9DF0" w14:textId="77777777" w:rsidR="00BC3A80" w:rsidRPr="00BC3A80" w:rsidRDefault="00BC3A80" w:rsidP="00BC3A80">
      <w:pPr>
        <w:spacing w:line="520" w:lineRule="exact"/>
        <w:ind w:firstLineChars="200" w:firstLine="640"/>
        <w:rPr>
          <w:rFonts w:ascii="仿宋_GB2312" w:eastAsia="仿宋_GB2312"/>
          <w:color w:val="000000" w:themeColor="text1"/>
          <w:sz w:val="32"/>
          <w:szCs w:val="32"/>
        </w:rPr>
      </w:pPr>
      <w:r w:rsidRPr="00BC3A80">
        <w:rPr>
          <w:rFonts w:ascii="仿宋_GB2312" w:eastAsia="仿宋_GB2312" w:hint="eastAsia"/>
          <w:color w:val="000000" w:themeColor="text1"/>
          <w:sz w:val="32"/>
          <w:szCs w:val="32"/>
        </w:rPr>
        <w:t>《DB45/T 1021-2014  旱地甘蔗高产高糖高效节本栽培技术规程》《DB45/T 1251-2015  糖料甘蔗轻简高效栽培技术规程》《T/GXTC 0002-2024  甘蔗品种“桂热2号”高产高效栽培技术规程》这三份标准分别侧重于“高产高糖高效节本”、“轻简高效”和特定品种“桂热2号”的栽培技术，核心是优化栽培模式和农艺措施。这些规程的施肥建议都集中在氮磷钾大量元素上，对中量元素钙和镁的系统性管理均未涉及。本规程的立足点是土</w:t>
      </w:r>
      <w:r w:rsidRPr="00BC3A80">
        <w:rPr>
          <w:rFonts w:ascii="仿宋_GB2312" w:eastAsia="仿宋_GB2312" w:hint="eastAsia"/>
          <w:color w:val="000000" w:themeColor="text1"/>
          <w:sz w:val="32"/>
          <w:szCs w:val="32"/>
        </w:rPr>
        <w:lastRenderedPageBreak/>
        <w:t>壤改良，是从根本上为甘蔗高产高效创造条件，其理念比单纯优化栽培技术更深入，是实现“高产高效”和“节本增效”的重要前提。</w:t>
      </w:r>
    </w:p>
    <w:p w14:paraId="2EAAFAFF" w14:textId="77777777" w:rsidR="00BC3A80" w:rsidRPr="00BC3A80" w:rsidRDefault="00BC3A80" w:rsidP="00BC3A80">
      <w:pPr>
        <w:spacing w:line="520" w:lineRule="exact"/>
        <w:ind w:firstLineChars="200" w:firstLine="640"/>
        <w:rPr>
          <w:rFonts w:ascii="仿宋_GB2312" w:eastAsia="仿宋_GB2312"/>
          <w:color w:val="000000" w:themeColor="text1"/>
          <w:sz w:val="32"/>
          <w:szCs w:val="32"/>
        </w:rPr>
      </w:pPr>
      <w:r w:rsidRPr="00BC3A80">
        <w:rPr>
          <w:rFonts w:ascii="仿宋_GB2312" w:eastAsia="仿宋_GB2312" w:hint="eastAsia"/>
          <w:color w:val="000000" w:themeColor="text1"/>
          <w:sz w:val="32"/>
          <w:szCs w:val="32"/>
        </w:rPr>
        <w:t>《T/GXAS 744-2024酸化蔗地改良技术规程》主要关注如何通过施用糖厂煤灰、土壤调理剂、熟石灰等材料来改良酸化蔗地，以降pH值和交换性铝含量为核心指标。虽然提到了降酸，但未专门针对红壤普遍缺乏的钙、镁元素进行系统性的补充和管理。本团体标准的技术内容不仅涉及降酸，更明确提出补充钙、镁两种关键中量元素，实现“降酸+营养”双重目标，更符合红壤蔗田的实际需求。</w:t>
      </w:r>
    </w:p>
    <w:p w14:paraId="55513608" w14:textId="5B1B6253" w:rsidR="00BC3A80" w:rsidRDefault="00BC3A80" w:rsidP="00BC3A80">
      <w:pPr>
        <w:spacing w:line="520" w:lineRule="exact"/>
        <w:ind w:firstLineChars="200" w:firstLine="640"/>
        <w:rPr>
          <w:rFonts w:ascii="仿宋_GB2312" w:eastAsia="仿宋_GB2312"/>
          <w:color w:val="000000" w:themeColor="text1"/>
          <w:sz w:val="32"/>
          <w:szCs w:val="32"/>
        </w:rPr>
      </w:pPr>
      <w:r w:rsidRPr="00BC3A80">
        <w:rPr>
          <w:rFonts w:ascii="仿宋_GB2312" w:eastAsia="仿宋_GB2312" w:hint="eastAsia"/>
          <w:color w:val="000000" w:themeColor="text1"/>
          <w:sz w:val="32"/>
          <w:szCs w:val="32"/>
        </w:rPr>
        <w:t>《T/GXAS 1013—2025甘蔗增产增糖调控技术规程》专注于甘蔗生长中后期（7月下旬至9月中旬）通过无人机喷施“叶面肥母液+赤霉素”的调控技术，旨在协调生长与糖分积累。其叶面肥母液配方虽含有硝酸钙，但主要目标是整体调节，并非专门针对土壤缺钙缺镁的根源性问题。本规程着眼于通过基施钙镁肥改良土壤，为甘蔗整个生育期提供坚实的基础。</w:t>
      </w:r>
    </w:p>
    <w:p w14:paraId="50E0003C" w14:textId="5C3EA958" w:rsidR="00D634F2" w:rsidRDefault="00BC3A80" w:rsidP="00BC3A80">
      <w:pPr>
        <w:spacing w:line="520" w:lineRule="exact"/>
        <w:ind w:firstLineChars="200" w:firstLine="640"/>
        <w:rPr>
          <w:rFonts w:ascii="仿宋_GB2312" w:eastAsia="仿宋_GB2312"/>
          <w:color w:val="000000" w:themeColor="text1"/>
          <w:sz w:val="32"/>
          <w:szCs w:val="32"/>
        </w:rPr>
      </w:pPr>
      <w:r w:rsidRPr="00BC3A80">
        <w:rPr>
          <w:rFonts w:ascii="仿宋_GB2312" w:eastAsia="仿宋_GB2312" w:hint="eastAsia"/>
          <w:color w:val="000000" w:themeColor="text1"/>
          <w:sz w:val="32"/>
          <w:szCs w:val="32"/>
        </w:rPr>
        <w:t>综上所述，以上标准并未特定针对红壤蔗田普遍缺乏的钙、镁元素进行系统性的补充和管理，而本标准将焦点精确地集中在“红壤蔗田”这一特定土壤类型，并针对“钙镁元素缺乏”这一核心问题，将“降酸”与“靶向补充钙镁”两大目标紧密结合，提出了“降酸增产”相结合的系统性技术方案。这种“小切口、深钻研”的模式，是对现有甘蔗栽培标准体系的精准补充和深化，具有很强的独创性。因此以上标准不适用红壤蔗田钙镁肥降酸增产技术操作的应用</w:t>
      </w:r>
      <w:r w:rsidR="008854C0">
        <w:rPr>
          <w:rFonts w:ascii="仿宋_GB2312" w:eastAsia="仿宋_GB2312" w:hint="eastAsia"/>
          <w:color w:val="000000" w:themeColor="text1"/>
          <w:sz w:val="32"/>
          <w:szCs w:val="32"/>
        </w:rPr>
        <w:t>。</w:t>
      </w:r>
    </w:p>
    <w:p w14:paraId="3C75DE74"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本标准的内容与现行的法律法规及强制性标准无冲突，本文件相关指标不低于强制性国家标准的相关技术要求，标准的编写</w:t>
      </w:r>
      <w:r>
        <w:rPr>
          <w:rFonts w:ascii="仿宋_GB2312" w:eastAsia="仿宋_GB2312" w:hint="eastAsia"/>
          <w:color w:val="000000" w:themeColor="text1"/>
          <w:sz w:val="32"/>
          <w:szCs w:val="32"/>
        </w:rPr>
        <w:lastRenderedPageBreak/>
        <w:t>符合GB/T 1.1—2020的要求。</w:t>
      </w:r>
    </w:p>
    <w:p w14:paraId="10E3EE1F"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五、主要条款的说明</w:t>
      </w:r>
    </w:p>
    <w:p w14:paraId="1332D6E8" w14:textId="60046C08"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2577E1">
        <w:rPr>
          <w:rFonts w:ascii="仿宋_GB2312" w:eastAsia="仿宋_GB2312" w:hint="eastAsia"/>
          <w:color w:val="000000" w:themeColor="text1"/>
          <w:sz w:val="32"/>
          <w:szCs w:val="32"/>
        </w:rPr>
        <w:t>赤红壤蔗田钙镁肥降酸技术规程</w:t>
      </w:r>
      <w:r>
        <w:rPr>
          <w:rFonts w:ascii="仿宋_GB2312" w:eastAsia="仿宋_GB2312" w:hint="eastAsia"/>
          <w:color w:val="000000" w:themeColor="text1"/>
          <w:sz w:val="32"/>
          <w:szCs w:val="32"/>
        </w:rPr>
        <w:t>》的主要章节内容包括</w:t>
      </w:r>
      <w:r w:rsidR="003B0E61">
        <w:rPr>
          <w:rFonts w:ascii="仿宋_GB2312" w:eastAsia="仿宋_GB2312" w:hint="eastAsia"/>
          <w:color w:val="000000" w:themeColor="text1"/>
          <w:sz w:val="32"/>
          <w:szCs w:val="32"/>
        </w:rPr>
        <w:t>赤红壤蔗田钙镁肥降酸技术</w:t>
      </w:r>
      <w:r>
        <w:rPr>
          <w:rFonts w:ascii="仿宋_GB2312" w:eastAsia="仿宋_GB2312" w:hint="eastAsia"/>
          <w:color w:val="000000" w:themeColor="text1"/>
          <w:sz w:val="32"/>
          <w:szCs w:val="32"/>
        </w:rPr>
        <w:t>的</w:t>
      </w:r>
      <w:r w:rsidR="00B20DB1" w:rsidRPr="000D2C09">
        <w:rPr>
          <w:rFonts w:ascii="仿宋_GB2312" w:eastAsia="仿宋_GB2312" w:hint="eastAsia"/>
          <w:color w:val="000000" w:themeColor="text1"/>
          <w:sz w:val="32"/>
          <w:szCs w:val="32"/>
        </w:rPr>
        <w:t>土壤</w:t>
      </w:r>
      <w:r w:rsidR="00B20DB1" w:rsidRPr="000D2C09">
        <w:rPr>
          <w:rFonts w:ascii="仿宋_GB2312" w:eastAsia="仿宋_GB2312"/>
          <w:color w:val="000000" w:themeColor="text1"/>
          <w:sz w:val="32"/>
          <w:szCs w:val="32"/>
        </w:rPr>
        <w:t>评估、</w:t>
      </w:r>
      <w:r w:rsidR="00B20DB1" w:rsidRPr="000D2C09">
        <w:rPr>
          <w:rFonts w:ascii="仿宋_GB2312" w:eastAsia="仿宋_GB2312" w:hint="eastAsia"/>
          <w:color w:val="000000" w:themeColor="text1"/>
          <w:sz w:val="32"/>
          <w:szCs w:val="32"/>
        </w:rPr>
        <w:t>肥料选择、施肥操作、叶片钙镁诊断与补救、田间配套管理、监测复查</w:t>
      </w:r>
      <w:r w:rsidRPr="007125F7">
        <w:rPr>
          <w:rFonts w:ascii="仿宋_GB2312" w:eastAsia="仿宋_GB2312" w:hint="eastAsia"/>
          <w:color w:val="000000" w:themeColor="text1"/>
          <w:sz w:val="32"/>
          <w:szCs w:val="32"/>
        </w:rPr>
        <w:t>。本</w:t>
      </w:r>
      <w:r>
        <w:rPr>
          <w:rFonts w:ascii="仿宋_GB2312" w:eastAsia="仿宋_GB2312" w:hint="eastAsia"/>
          <w:color w:val="000000" w:themeColor="text1"/>
          <w:sz w:val="32"/>
          <w:szCs w:val="32"/>
        </w:rPr>
        <w:t>文件主要内容及依据来源说明如下：</w:t>
      </w:r>
    </w:p>
    <w:p w14:paraId="41591652" w14:textId="3AEB7706" w:rsidR="00A5377E" w:rsidRDefault="00C77C01" w:rsidP="00A5377E">
      <w:pPr>
        <w:spacing w:line="520" w:lineRule="exact"/>
        <w:ind w:firstLineChars="200" w:firstLine="640"/>
        <w:rPr>
          <w:rFonts w:ascii="仿宋_GB2312" w:eastAsia="仿宋_GB2312"/>
          <w:color w:val="000000" w:themeColor="text1"/>
          <w:sz w:val="32"/>
          <w:szCs w:val="32"/>
        </w:rPr>
      </w:pPr>
      <w:r w:rsidRPr="00C77C01">
        <w:rPr>
          <w:rFonts w:ascii="仿宋_GB2312" w:eastAsia="仿宋_GB2312" w:hint="eastAsia"/>
          <w:color w:val="000000" w:themeColor="text1"/>
          <w:sz w:val="32"/>
          <w:szCs w:val="32"/>
        </w:rPr>
        <w:t>广西大学农学院甘蔗重点实验室自2020年起便系统致力于红壤蔗田钙镁肥降酸增产技术的研究。团队深度参与了国家重点研发计划课题“酸化瘠薄旱地综合调控与产能提升关键技术及产品”和广西重点研发计划课题“广西红壤（赤</w:t>
      </w:r>
      <w:r>
        <w:rPr>
          <w:rFonts w:ascii="仿宋_GB2312" w:eastAsia="仿宋_GB2312" w:hint="eastAsia"/>
          <w:color w:val="000000" w:themeColor="text1"/>
          <w:sz w:val="32"/>
          <w:szCs w:val="32"/>
        </w:rPr>
        <w:t>红壤）周年全阶段治酸模式集成与示范应用”，奠定了深厚的科研基础</w:t>
      </w:r>
      <w:r w:rsidR="00A5377E" w:rsidRPr="00A5377E">
        <w:rPr>
          <w:rFonts w:ascii="仿宋_GB2312" w:eastAsia="仿宋_GB2312" w:hint="eastAsia"/>
          <w:color w:val="000000" w:themeColor="text1"/>
          <w:sz w:val="32"/>
          <w:szCs w:val="32"/>
        </w:rPr>
        <w:t>。</w:t>
      </w:r>
      <w:r>
        <w:rPr>
          <w:rFonts w:ascii="仿宋_GB2312" w:eastAsia="仿宋_GB2312" w:hint="eastAsia"/>
          <w:color w:val="000000" w:themeColor="text1"/>
          <w:sz w:val="32"/>
          <w:szCs w:val="32"/>
        </w:rPr>
        <w:t>起草团队</w:t>
      </w:r>
      <w:r w:rsidRPr="00C77C01">
        <w:rPr>
          <w:rFonts w:ascii="仿宋_GB2312" w:eastAsia="仿宋_GB2312"/>
          <w:color w:val="000000" w:themeColor="text1"/>
          <w:sz w:val="32"/>
          <w:szCs w:val="32"/>
        </w:rPr>
        <w:t>围绕酸性土壤修复与改良，</w:t>
      </w:r>
      <w:r w:rsidRPr="00C77C01">
        <w:rPr>
          <w:rFonts w:ascii="仿宋_GB2312" w:eastAsia="仿宋_GB2312" w:hint="eastAsia"/>
          <w:color w:val="000000" w:themeColor="text1"/>
          <w:sz w:val="32"/>
          <w:szCs w:val="32"/>
        </w:rPr>
        <w:t>已经申请了两份</w:t>
      </w:r>
      <w:r w:rsidRPr="00C77C01">
        <w:rPr>
          <w:rFonts w:ascii="仿宋_GB2312" w:eastAsia="仿宋_GB2312"/>
          <w:color w:val="000000" w:themeColor="text1"/>
          <w:sz w:val="32"/>
          <w:szCs w:val="32"/>
        </w:rPr>
        <w:t>专利</w:t>
      </w:r>
      <w:r w:rsidRPr="00C77C01">
        <w:rPr>
          <w:rFonts w:ascii="仿宋_GB2312" w:eastAsia="仿宋_GB2312"/>
          <w:color w:val="000000" w:themeColor="text1"/>
          <w:sz w:val="32"/>
          <w:szCs w:val="32"/>
        </w:rPr>
        <w:t>“</w:t>
      </w:r>
      <w:r w:rsidRPr="00C77C01">
        <w:rPr>
          <w:rFonts w:ascii="仿宋_GB2312" w:eastAsia="仿宋_GB2312"/>
          <w:color w:val="000000" w:themeColor="text1"/>
          <w:sz w:val="32"/>
          <w:szCs w:val="32"/>
        </w:rPr>
        <w:t>一种适用于酸性土壤的微生物复合菌剂及其应用</w:t>
      </w:r>
      <w:r w:rsidRPr="00C77C01">
        <w:rPr>
          <w:rFonts w:ascii="仿宋_GB2312" w:eastAsia="仿宋_GB2312"/>
          <w:color w:val="000000" w:themeColor="text1"/>
          <w:sz w:val="32"/>
          <w:szCs w:val="32"/>
        </w:rPr>
        <w:t>”</w:t>
      </w:r>
      <w:r w:rsidRPr="00C77C01">
        <w:rPr>
          <w:rFonts w:ascii="仿宋_GB2312" w:eastAsia="仿宋_GB2312"/>
          <w:color w:val="000000" w:themeColor="text1"/>
          <w:sz w:val="32"/>
          <w:szCs w:val="32"/>
        </w:rPr>
        <w:t>、</w:t>
      </w:r>
      <w:r w:rsidRPr="00C77C01">
        <w:rPr>
          <w:rFonts w:ascii="仿宋_GB2312" w:eastAsia="仿宋_GB2312"/>
          <w:color w:val="000000" w:themeColor="text1"/>
          <w:sz w:val="32"/>
          <w:szCs w:val="32"/>
        </w:rPr>
        <w:t>“</w:t>
      </w:r>
      <w:r w:rsidRPr="00C77C01">
        <w:rPr>
          <w:rFonts w:ascii="仿宋_GB2312" w:eastAsia="仿宋_GB2312"/>
          <w:color w:val="000000" w:themeColor="text1"/>
          <w:sz w:val="32"/>
          <w:szCs w:val="32"/>
        </w:rPr>
        <w:t>一种生物炭协同草木灰修复镉污染酸性土壤的方法及其专用复合修复剂</w:t>
      </w:r>
      <w:r w:rsidRPr="00C77C01">
        <w:rPr>
          <w:rFonts w:ascii="仿宋_GB2312" w:eastAsia="仿宋_GB2312"/>
          <w:color w:val="000000" w:themeColor="text1"/>
          <w:sz w:val="32"/>
          <w:szCs w:val="32"/>
        </w:rPr>
        <w:t>”</w:t>
      </w:r>
      <w:r>
        <w:rPr>
          <w:rFonts w:ascii="仿宋_GB2312" w:eastAsia="仿宋_GB2312" w:hint="eastAsia"/>
          <w:color w:val="000000" w:themeColor="text1"/>
          <w:sz w:val="32"/>
          <w:szCs w:val="32"/>
        </w:rPr>
        <w:t>。</w:t>
      </w:r>
      <w:r>
        <w:rPr>
          <w:rFonts w:ascii="仿宋_GB2312" w:eastAsia="仿宋_GB2312"/>
          <w:color w:val="000000" w:themeColor="text1"/>
          <w:sz w:val="32"/>
          <w:szCs w:val="32"/>
        </w:rPr>
        <w:t>团队</w:t>
      </w:r>
      <w:r>
        <w:rPr>
          <w:rFonts w:ascii="仿宋_GB2312" w:eastAsia="仿宋_GB2312" w:hint="eastAsia"/>
          <w:color w:val="000000" w:themeColor="text1"/>
          <w:sz w:val="32"/>
          <w:szCs w:val="32"/>
        </w:rPr>
        <w:t>承担</w:t>
      </w:r>
      <w:r>
        <w:rPr>
          <w:rFonts w:ascii="仿宋_GB2312" w:eastAsia="仿宋_GB2312"/>
          <w:color w:val="000000" w:themeColor="text1"/>
          <w:sz w:val="32"/>
          <w:szCs w:val="32"/>
        </w:rPr>
        <w:t>的</w:t>
      </w:r>
      <w:r w:rsidRPr="00C77C01">
        <w:rPr>
          <w:rFonts w:ascii="仿宋_GB2312" w:eastAsia="仿宋_GB2312"/>
          <w:color w:val="000000" w:themeColor="text1"/>
          <w:sz w:val="32"/>
          <w:szCs w:val="32"/>
        </w:rPr>
        <w:t xml:space="preserve"> </w:t>
      </w:r>
      <w:r w:rsidRPr="00C77C01">
        <w:rPr>
          <w:rFonts w:ascii="仿宋_GB2312" w:eastAsia="仿宋_GB2312"/>
          <w:color w:val="000000" w:themeColor="text1"/>
          <w:sz w:val="32"/>
          <w:szCs w:val="32"/>
        </w:rPr>
        <w:t>“</w:t>
      </w:r>
      <w:r w:rsidRPr="00C77C01">
        <w:rPr>
          <w:rFonts w:ascii="仿宋_GB2312" w:eastAsia="仿宋_GB2312"/>
          <w:color w:val="000000" w:themeColor="text1"/>
          <w:sz w:val="32"/>
          <w:szCs w:val="32"/>
        </w:rPr>
        <w:t>一种甘蔗专用钙镁肥配方的研发</w:t>
      </w:r>
      <w:r w:rsidRPr="00C77C01">
        <w:rPr>
          <w:rFonts w:ascii="仿宋_GB2312" w:eastAsia="仿宋_GB2312"/>
          <w:color w:val="000000" w:themeColor="text1"/>
          <w:sz w:val="32"/>
          <w:szCs w:val="32"/>
        </w:rPr>
        <w:t>”</w:t>
      </w:r>
      <w:r w:rsidRPr="00C77C01">
        <w:rPr>
          <w:rFonts w:ascii="仿宋_GB2312" w:eastAsia="仿宋_GB2312"/>
          <w:color w:val="000000" w:themeColor="text1"/>
          <w:sz w:val="32"/>
          <w:szCs w:val="32"/>
        </w:rPr>
        <w:t>课题在崇左市东门镇开展了10亩的甘蔗大田试验，成功验证了该技术对红壤蔗田的降酸增产效果，另外还在与金穗生态科技集团的合作下推行2000余亩甘蔗红壤降酸增产示范田</w:t>
      </w:r>
      <w:r w:rsidRPr="00C77C01">
        <w:rPr>
          <w:rFonts w:ascii="仿宋_GB2312" w:eastAsia="仿宋_GB2312" w:hint="eastAsia"/>
          <w:color w:val="000000" w:themeColor="text1"/>
          <w:sz w:val="32"/>
          <w:szCs w:val="32"/>
        </w:rPr>
        <w:t>进行</w:t>
      </w:r>
      <w:r w:rsidRPr="00C77C01">
        <w:rPr>
          <w:rFonts w:ascii="仿宋_GB2312" w:eastAsia="仿宋_GB2312"/>
          <w:color w:val="000000" w:themeColor="text1"/>
          <w:sz w:val="32"/>
          <w:szCs w:val="32"/>
        </w:rPr>
        <w:t>规模化应用验证，为后续在全区乃至全国范围内的推广应用提供了宝贵的实践经验和重要样板。在产业应用与推广层面，起草单位与广西富蔗现代农业科技服务有限公司、广西金穗生态科技集团等企业紧密合作，共同建立了多个技术示范基地。同时，</w:t>
      </w:r>
      <w:r w:rsidRPr="00C77C01">
        <w:rPr>
          <w:rFonts w:ascii="仿宋_GB2312" w:eastAsia="仿宋_GB2312" w:hint="eastAsia"/>
          <w:color w:val="000000" w:themeColor="text1"/>
          <w:sz w:val="32"/>
          <w:szCs w:val="32"/>
        </w:rPr>
        <w:t>牵头单位还</w:t>
      </w:r>
      <w:r w:rsidRPr="00C77C01">
        <w:rPr>
          <w:rFonts w:ascii="仿宋_GB2312" w:eastAsia="仿宋_GB2312"/>
          <w:color w:val="000000" w:themeColor="text1"/>
          <w:sz w:val="32"/>
          <w:szCs w:val="32"/>
        </w:rPr>
        <w:t>在广西金穗农业集团隆安县那桐镇甘蔗基地举办现场培训宣讲会，为基层农技人员和种植户提供了有力技术支持。</w:t>
      </w:r>
    </w:p>
    <w:p w14:paraId="7641F279" w14:textId="4DE4A74B" w:rsidR="00C873BB" w:rsidRPr="00587B66" w:rsidRDefault="00C873BB" w:rsidP="00587B66">
      <w:pPr>
        <w:spacing w:line="520" w:lineRule="exact"/>
        <w:ind w:firstLineChars="200" w:firstLine="640"/>
        <w:rPr>
          <w:rFonts w:ascii="仿宋_GB2312" w:eastAsia="仿宋_GB2312"/>
          <w:color w:val="000000" w:themeColor="text1"/>
          <w:sz w:val="32"/>
          <w:szCs w:val="32"/>
        </w:rPr>
      </w:pPr>
      <w:r w:rsidRPr="00587B66">
        <w:rPr>
          <w:rFonts w:ascii="仿宋_GB2312" w:eastAsia="仿宋_GB2312" w:hint="eastAsia"/>
          <w:color w:val="000000" w:themeColor="text1"/>
          <w:sz w:val="32"/>
          <w:szCs w:val="32"/>
        </w:rPr>
        <w:t>1</w:t>
      </w:r>
      <w:r w:rsidR="00587B66" w:rsidRPr="00587B66">
        <w:rPr>
          <w:rFonts w:ascii="仿宋_GB2312" w:eastAsia="仿宋_GB2312"/>
          <w:color w:val="000000" w:themeColor="text1"/>
          <w:sz w:val="32"/>
          <w:szCs w:val="32"/>
        </w:rPr>
        <w:t>.</w:t>
      </w:r>
      <w:r w:rsidRPr="00587B66">
        <w:rPr>
          <w:rFonts w:ascii="仿宋_GB2312" w:eastAsia="仿宋_GB2312" w:hint="eastAsia"/>
          <w:color w:val="000000" w:themeColor="text1"/>
          <w:sz w:val="32"/>
          <w:szCs w:val="32"/>
        </w:rPr>
        <w:t>材料与方法</w:t>
      </w:r>
    </w:p>
    <w:p w14:paraId="621FD31A" w14:textId="699DE06B" w:rsidR="00A5377E" w:rsidRDefault="002A1166" w:rsidP="002A1166">
      <w:pPr>
        <w:spacing w:line="520" w:lineRule="exact"/>
        <w:ind w:firstLineChars="200" w:firstLine="640"/>
        <w:rPr>
          <w:rFonts w:ascii="仿宋_GB2312" w:eastAsia="仿宋_GB2312"/>
          <w:color w:val="000000" w:themeColor="text1"/>
          <w:sz w:val="32"/>
          <w:szCs w:val="32"/>
        </w:rPr>
      </w:pPr>
      <w:r w:rsidRPr="002A1166">
        <w:rPr>
          <w:rFonts w:ascii="仿宋_GB2312" w:eastAsia="仿宋_GB2312" w:hint="eastAsia"/>
          <w:color w:val="000000" w:themeColor="text1"/>
          <w:sz w:val="32"/>
          <w:szCs w:val="32"/>
        </w:rPr>
        <w:t>试验共设21个处理，以不施钙镁肥作CK（W）、CK（T）对</w:t>
      </w:r>
      <w:r w:rsidRPr="002A1166">
        <w:rPr>
          <w:rFonts w:ascii="仿宋_GB2312" w:eastAsia="仿宋_GB2312" w:hint="eastAsia"/>
          <w:color w:val="000000" w:themeColor="text1"/>
          <w:sz w:val="32"/>
          <w:szCs w:val="32"/>
        </w:rPr>
        <w:lastRenderedPageBreak/>
        <w:t>照和以不施肥为对照。采用大区试验，不设重复。各处理施用等量氮、磷、钾肥，即纯氮345 kg/ha、五氧化二磷127.5kg/ha、氧化钾450 kg/ha；小区面积72 m</w:t>
      </w:r>
      <w:r w:rsidRPr="002A1166">
        <w:rPr>
          <w:rFonts w:ascii="仿宋_GB2312" w:eastAsia="仿宋_GB2312" w:hint="eastAsia"/>
          <w:color w:val="000000" w:themeColor="text1"/>
          <w:sz w:val="32"/>
          <w:szCs w:val="32"/>
          <w:vertAlign w:val="superscript"/>
        </w:rPr>
        <w:t>2</w:t>
      </w:r>
      <w:r w:rsidRPr="002A1166">
        <w:rPr>
          <w:rFonts w:ascii="仿宋_GB2312" w:eastAsia="仿宋_GB2312" w:hint="eastAsia"/>
          <w:color w:val="000000" w:themeColor="text1"/>
          <w:sz w:val="32"/>
          <w:szCs w:val="32"/>
        </w:rPr>
        <w:t>，行距1.2 m，行长12 m，约5行；试验地面积4.1亩。施肥种类：氮肥：尿素（46%）；钾肥：硝酸钾（13.5-0-46）；磷肥：磷酸二铵（15-42-0）；钙肥施用碳酸钙（98%）；镁肥施用地益美（MgO40%）；调酸用草木灰。各处理钙镁肥用量见表1</w:t>
      </w:r>
      <w:r w:rsidR="00BE5408">
        <w:rPr>
          <w:rFonts w:ascii="仿宋_GB2312" w:eastAsia="仿宋_GB2312" w:hint="eastAsia"/>
          <w:color w:val="000000" w:themeColor="text1"/>
          <w:sz w:val="32"/>
          <w:szCs w:val="32"/>
        </w:rPr>
        <w:t>。</w:t>
      </w:r>
    </w:p>
    <w:p w14:paraId="68B74C4C" w14:textId="3F41605F" w:rsidR="00BE5408" w:rsidRPr="00BE5408" w:rsidRDefault="00BE5408" w:rsidP="00BE5408">
      <w:pPr>
        <w:spacing w:line="360" w:lineRule="auto"/>
        <w:jc w:val="center"/>
        <w:rPr>
          <w:rFonts w:ascii="Times New Roman" w:eastAsia="仿宋" w:hAnsi="Times New Roman" w:cs="Times New Roman"/>
          <w:color w:val="000000"/>
          <w:kern w:val="0"/>
          <w:sz w:val="24"/>
          <w:szCs w:val="21"/>
        </w:rPr>
      </w:pPr>
      <w:r w:rsidRPr="00BE5408">
        <w:rPr>
          <w:rFonts w:ascii="Times New Roman" w:eastAsia="仿宋" w:hAnsi="Times New Roman" w:cs="Times New Roman" w:hint="eastAsia"/>
          <w:color w:val="000000"/>
          <w:kern w:val="0"/>
          <w:sz w:val="24"/>
          <w:szCs w:val="21"/>
        </w:rPr>
        <w:t>表</w:t>
      </w:r>
      <w:r w:rsidRPr="00BE5408">
        <w:rPr>
          <w:rFonts w:ascii="Times New Roman" w:eastAsia="仿宋" w:hAnsi="Times New Roman" w:cs="Times New Roman" w:hint="eastAsia"/>
          <w:color w:val="000000"/>
          <w:kern w:val="0"/>
          <w:sz w:val="24"/>
          <w:szCs w:val="21"/>
        </w:rPr>
        <w:t xml:space="preserve">1 </w:t>
      </w:r>
      <w:r w:rsidRPr="00BE5408">
        <w:rPr>
          <w:rFonts w:ascii="Times New Roman" w:eastAsia="仿宋" w:hAnsi="Times New Roman" w:cs="Times New Roman" w:hint="eastAsia"/>
          <w:color w:val="000000"/>
          <w:kern w:val="0"/>
          <w:sz w:val="24"/>
          <w:szCs w:val="21"/>
        </w:rPr>
        <w:t>试验处理</w:t>
      </w:r>
    </w:p>
    <w:tbl>
      <w:tblPr>
        <w:tblStyle w:val="110"/>
        <w:tblW w:w="0" w:type="auto"/>
        <w:jc w:val="center"/>
        <w:tblBorders>
          <w:top w:val="single" w:sz="12" w:space="0" w:color="auto"/>
          <w:bottom w:val="single" w:sz="12" w:space="0" w:color="auto"/>
        </w:tblBorders>
        <w:tblLook w:val="04A0" w:firstRow="1" w:lastRow="0" w:firstColumn="1" w:lastColumn="0" w:noHBand="0" w:noVBand="1"/>
      </w:tblPr>
      <w:tblGrid>
        <w:gridCol w:w="1603"/>
        <w:gridCol w:w="1603"/>
        <w:gridCol w:w="1603"/>
        <w:gridCol w:w="1603"/>
        <w:gridCol w:w="1603"/>
      </w:tblGrid>
      <w:tr w:rsidR="00BE5408" w:rsidRPr="00BE5408" w14:paraId="6B9CCCB1" w14:textId="77777777" w:rsidTr="00BE5408">
        <w:trPr>
          <w:trHeight w:val="552"/>
          <w:jc w:val="center"/>
        </w:trPr>
        <w:tc>
          <w:tcPr>
            <w:tcW w:w="1603" w:type="dxa"/>
            <w:tcBorders>
              <w:top w:val="single" w:sz="12" w:space="0" w:color="auto"/>
              <w:left w:val="nil"/>
              <w:bottom w:val="single" w:sz="4" w:space="0" w:color="auto"/>
              <w:right w:val="nil"/>
            </w:tcBorders>
            <w:vAlign w:val="center"/>
          </w:tcPr>
          <w:p w14:paraId="677F467A"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处理组合</w:t>
            </w:r>
          </w:p>
        </w:tc>
        <w:tc>
          <w:tcPr>
            <w:tcW w:w="1603" w:type="dxa"/>
            <w:tcBorders>
              <w:top w:val="single" w:sz="12" w:space="0" w:color="auto"/>
              <w:left w:val="nil"/>
              <w:bottom w:val="single" w:sz="4" w:space="0" w:color="auto"/>
              <w:right w:val="nil"/>
            </w:tcBorders>
            <w:vAlign w:val="center"/>
          </w:tcPr>
          <w:p w14:paraId="18BF9628"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 (kg/ha)</w:t>
            </w:r>
          </w:p>
        </w:tc>
        <w:tc>
          <w:tcPr>
            <w:tcW w:w="1603" w:type="dxa"/>
            <w:tcBorders>
              <w:top w:val="single" w:sz="12" w:space="0" w:color="auto"/>
              <w:left w:val="nil"/>
              <w:bottom w:val="single" w:sz="4" w:space="0" w:color="auto"/>
              <w:right w:val="nil"/>
            </w:tcBorders>
            <w:vAlign w:val="center"/>
          </w:tcPr>
          <w:p w14:paraId="08F03C39"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Mg (kg/ha)</w:t>
            </w:r>
          </w:p>
        </w:tc>
        <w:tc>
          <w:tcPr>
            <w:tcW w:w="1603" w:type="dxa"/>
            <w:tcBorders>
              <w:top w:val="single" w:sz="12" w:space="0" w:color="auto"/>
              <w:left w:val="nil"/>
              <w:bottom w:val="single" w:sz="4" w:space="0" w:color="auto"/>
              <w:right w:val="nil"/>
            </w:tcBorders>
            <w:vAlign w:val="center"/>
          </w:tcPr>
          <w:p w14:paraId="03431953"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未调</w:t>
            </w:r>
            <w:r w:rsidRPr="00BE5408">
              <w:rPr>
                <w:rFonts w:ascii="Times New Roman" w:hAnsi="Times New Roman" w:cs="Times New Roman"/>
                <w:b/>
                <w:bCs/>
                <w:sz w:val="20"/>
                <w:szCs w:val="20"/>
              </w:rPr>
              <w:t>p</w:t>
            </w:r>
            <w:r w:rsidRPr="00BE5408">
              <w:rPr>
                <w:rFonts w:ascii="Times New Roman" w:hAnsi="Times New Roman" w:cs="Times New Roman"/>
                <w:sz w:val="20"/>
                <w:szCs w:val="20"/>
              </w:rPr>
              <w:t>H</w:t>
            </w:r>
            <w:r w:rsidRPr="00BE5408">
              <w:rPr>
                <w:rFonts w:ascii="Times New Roman" w:hAnsi="Times New Roman" w:cs="Times New Roman"/>
                <w:kern w:val="0"/>
                <w:sz w:val="20"/>
                <w:szCs w:val="20"/>
              </w:rPr>
              <w:t>处理</w:t>
            </w:r>
          </w:p>
        </w:tc>
        <w:tc>
          <w:tcPr>
            <w:tcW w:w="1603" w:type="dxa"/>
            <w:tcBorders>
              <w:top w:val="single" w:sz="12" w:space="0" w:color="auto"/>
              <w:left w:val="nil"/>
              <w:bottom w:val="single" w:sz="4" w:space="0" w:color="auto"/>
              <w:right w:val="nil"/>
            </w:tcBorders>
            <w:vAlign w:val="center"/>
          </w:tcPr>
          <w:p w14:paraId="402F249F"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调</w:t>
            </w:r>
            <w:r w:rsidRPr="00BE5408">
              <w:rPr>
                <w:rFonts w:ascii="Times New Roman" w:hAnsi="Times New Roman" w:cs="Times New Roman"/>
                <w:kern w:val="0"/>
                <w:sz w:val="20"/>
                <w:szCs w:val="20"/>
              </w:rPr>
              <w:t>pH</w:t>
            </w:r>
            <w:r w:rsidRPr="00BE5408">
              <w:rPr>
                <w:rFonts w:ascii="Times New Roman" w:hAnsi="Times New Roman" w:cs="Times New Roman"/>
                <w:kern w:val="0"/>
                <w:sz w:val="20"/>
                <w:szCs w:val="20"/>
              </w:rPr>
              <w:t>处理</w:t>
            </w:r>
          </w:p>
        </w:tc>
      </w:tr>
      <w:tr w:rsidR="00BE5408" w:rsidRPr="00BE5408" w14:paraId="5CFF8AFE" w14:textId="77777777" w:rsidTr="00BE5408">
        <w:trPr>
          <w:trHeight w:val="552"/>
          <w:jc w:val="center"/>
        </w:trPr>
        <w:tc>
          <w:tcPr>
            <w:tcW w:w="1603" w:type="dxa"/>
            <w:tcBorders>
              <w:top w:val="single" w:sz="4" w:space="0" w:color="auto"/>
              <w:left w:val="nil"/>
              <w:bottom w:val="nil"/>
              <w:right w:val="nil"/>
            </w:tcBorders>
            <w:vAlign w:val="center"/>
          </w:tcPr>
          <w:p w14:paraId="7965867A"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₁</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₁</w:t>
            </w:r>
          </w:p>
        </w:tc>
        <w:tc>
          <w:tcPr>
            <w:tcW w:w="1603" w:type="dxa"/>
            <w:tcBorders>
              <w:top w:val="single" w:sz="4" w:space="0" w:color="auto"/>
              <w:left w:val="nil"/>
              <w:bottom w:val="nil"/>
              <w:right w:val="nil"/>
            </w:tcBorders>
            <w:vAlign w:val="center"/>
          </w:tcPr>
          <w:p w14:paraId="46E4F0FA"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750</w:t>
            </w:r>
          </w:p>
        </w:tc>
        <w:tc>
          <w:tcPr>
            <w:tcW w:w="1603" w:type="dxa"/>
            <w:tcBorders>
              <w:top w:val="single" w:sz="4" w:space="0" w:color="auto"/>
              <w:left w:val="nil"/>
              <w:bottom w:val="nil"/>
              <w:right w:val="nil"/>
            </w:tcBorders>
            <w:vAlign w:val="center"/>
          </w:tcPr>
          <w:p w14:paraId="57FD8DFF"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150</w:t>
            </w:r>
          </w:p>
        </w:tc>
        <w:tc>
          <w:tcPr>
            <w:tcW w:w="1603" w:type="dxa"/>
            <w:tcBorders>
              <w:top w:val="single" w:sz="4" w:space="0" w:color="auto"/>
              <w:left w:val="nil"/>
              <w:bottom w:val="nil"/>
              <w:right w:val="nil"/>
            </w:tcBorders>
            <w:vAlign w:val="center"/>
          </w:tcPr>
          <w:p w14:paraId="353D4E0C"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W11</w:t>
            </w:r>
          </w:p>
        </w:tc>
        <w:tc>
          <w:tcPr>
            <w:tcW w:w="1603" w:type="dxa"/>
            <w:tcBorders>
              <w:top w:val="single" w:sz="4" w:space="0" w:color="auto"/>
              <w:left w:val="nil"/>
              <w:bottom w:val="nil"/>
              <w:right w:val="nil"/>
            </w:tcBorders>
            <w:vAlign w:val="center"/>
          </w:tcPr>
          <w:p w14:paraId="0BE7F71B"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T11</w:t>
            </w:r>
          </w:p>
        </w:tc>
      </w:tr>
      <w:tr w:rsidR="00BE5408" w:rsidRPr="00BE5408" w14:paraId="3F21ABD2" w14:textId="77777777" w:rsidTr="00BE5408">
        <w:trPr>
          <w:trHeight w:val="552"/>
          <w:jc w:val="center"/>
        </w:trPr>
        <w:tc>
          <w:tcPr>
            <w:tcW w:w="1603" w:type="dxa"/>
            <w:tcBorders>
              <w:top w:val="nil"/>
              <w:left w:val="nil"/>
              <w:bottom w:val="nil"/>
              <w:right w:val="nil"/>
            </w:tcBorders>
            <w:vAlign w:val="center"/>
          </w:tcPr>
          <w:p w14:paraId="5284175A"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₁</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₂</w:t>
            </w:r>
          </w:p>
        </w:tc>
        <w:tc>
          <w:tcPr>
            <w:tcW w:w="1603" w:type="dxa"/>
            <w:tcBorders>
              <w:top w:val="nil"/>
              <w:left w:val="nil"/>
              <w:bottom w:val="nil"/>
              <w:right w:val="nil"/>
            </w:tcBorders>
            <w:vAlign w:val="center"/>
          </w:tcPr>
          <w:p w14:paraId="3080B2CF"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750</w:t>
            </w:r>
          </w:p>
        </w:tc>
        <w:tc>
          <w:tcPr>
            <w:tcW w:w="1603" w:type="dxa"/>
            <w:tcBorders>
              <w:top w:val="nil"/>
              <w:left w:val="nil"/>
              <w:bottom w:val="nil"/>
              <w:right w:val="nil"/>
            </w:tcBorders>
            <w:vAlign w:val="center"/>
          </w:tcPr>
          <w:p w14:paraId="5458843E"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300</w:t>
            </w:r>
          </w:p>
        </w:tc>
        <w:tc>
          <w:tcPr>
            <w:tcW w:w="1603" w:type="dxa"/>
            <w:tcBorders>
              <w:top w:val="nil"/>
              <w:left w:val="nil"/>
              <w:bottom w:val="nil"/>
              <w:right w:val="nil"/>
            </w:tcBorders>
            <w:vAlign w:val="center"/>
          </w:tcPr>
          <w:p w14:paraId="62D61E94"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W12</w:t>
            </w:r>
          </w:p>
        </w:tc>
        <w:tc>
          <w:tcPr>
            <w:tcW w:w="1603" w:type="dxa"/>
            <w:tcBorders>
              <w:top w:val="nil"/>
              <w:left w:val="nil"/>
              <w:bottom w:val="nil"/>
              <w:right w:val="nil"/>
            </w:tcBorders>
            <w:vAlign w:val="center"/>
          </w:tcPr>
          <w:p w14:paraId="4B600EB9"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T12</w:t>
            </w:r>
          </w:p>
        </w:tc>
      </w:tr>
      <w:tr w:rsidR="00BE5408" w:rsidRPr="00BE5408" w14:paraId="5CB21035" w14:textId="77777777" w:rsidTr="00BE5408">
        <w:trPr>
          <w:trHeight w:val="552"/>
          <w:jc w:val="center"/>
        </w:trPr>
        <w:tc>
          <w:tcPr>
            <w:tcW w:w="1603" w:type="dxa"/>
            <w:tcBorders>
              <w:top w:val="nil"/>
              <w:left w:val="nil"/>
              <w:bottom w:val="nil"/>
              <w:right w:val="nil"/>
            </w:tcBorders>
            <w:vAlign w:val="center"/>
          </w:tcPr>
          <w:p w14:paraId="09C95E40"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₁</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₃</w:t>
            </w:r>
          </w:p>
        </w:tc>
        <w:tc>
          <w:tcPr>
            <w:tcW w:w="1603" w:type="dxa"/>
            <w:tcBorders>
              <w:top w:val="nil"/>
              <w:left w:val="nil"/>
              <w:bottom w:val="nil"/>
              <w:right w:val="nil"/>
            </w:tcBorders>
            <w:vAlign w:val="center"/>
          </w:tcPr>
          <w:p w14:paraId="0D317141"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750</w:t>
            </w:r>
          </w:p>
        </w:tc>
        <w:tc>
          <w:tcPr>
            <w:tcW w:w="1603" w:type="dxa"/>
            <w:tcBorders>
              <w:top w:val="nil"/>
              <w:left w:val="nil"/>
              <w:bottom w:val="nil"/>
              <w:right w:val="nil"/>
            </w:tcBorders>
            <w:vAlign w:val="center"/>
          </w:tcPr>
          <w:p w14:paraId="3CD28056"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450</w:t>
            </w:r>
          </w:p>
        </w:tc>
        <w:tc>
          <w:tcPr>
            <w:tcW w:w="1603" w:type="dxa"/>
            <w:tcBorders>
              <w:top w:val="nil"/>
              <w:left w:val="nil"/>
              <w:bottom w:val="nil"/>
              <w:right w:val="nil"/>
            </w:tcBorders>
            <w:vAlign w:val="center"/>
          </w:tcPr>
          <w:p w14:paraId="72924625"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W13</w:t>
            </w:r>
          </w:p>
        </w:tc>
        <w:tc>
          <w:tcPr>
            <w:tcW w:w="1603" w:type="dxa"/>
            <w:tcBorders>
              <w:top w:val="nil"/>
              <w:left w:val="nil"/>
              <w:bottom w:val="nil"/>
              <w:right w:val="nil"/>
            </w:tcBorders>
            <w:vAlign w:val="center"/>
          </w:tcPr>
          <w:p w14:paraId="7099F0A6"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T13</w:t>
            </w:r>
          </w:p>
        </w:tc>
      </w:tr>
      <w:tr w:rsidR="00BE5408" w:rsidRPr="00BE5408" w14:paraId="6E3D873A" w14:textId="77777777" w:rsidTr="00BE5408">
        <w:trPr>
          <w:trHeight w:val="537"/>
          <w:jc w:val="center"/>
        </w:trPr>
        <w:tc>
          <w:tcPr>
            <w:tcW w:w="1603" w:type="dxa"/>
            <w:tcBorders>
              <w:top w:val="nil"/>
              <w:left w:val="nil"/>
              <w:bottom w:val="nil"/>
              <w:right w:val="nil"/>
            </w:tcBorders>
            <w:vAlign w:val="center"/>
          </w:tcPr>
          <w:p w14:paraId="36249D7E"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₂</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₁</w:t>
            </w:r>
          </w:p>
        </w:tc>
        <w:tc>
          <w:tcPr>
            <w:tcW w:w="1603" w:type="dxa"/>
            <w:tcBorders>
              <w:top w:val="nil"/>
              <w:left w:val="nil"/>
              <w:bottom w:val="nil"/>
              <w:right w:val="nil"/>
            </w:tcBorders>
            <w:vAlign w:val="center"/>
          </w:tcPr>
          <w:p w14:paraId="35BAB541"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1500</w:t>
            </w:r>
          </w:p>
        </w:tc>
        <w:tc>
          <w:tcPr>
            <w:tcW w:w="1603" w:type="dxa"/>
            <w:tcBorders>
              <w:top w:val="nil"/>
              <w:left w:val="nil"/>
              <w:bottom w:val="nil"/>
              <w:right w:val="nil"/>
            </w:tcBorders>
            <w:vAlign w:val="center"/>
          </w:tcPr>
          <w:p w14:paraId="56C84738"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150</w:t>
            </w:r>
          </w:p>
        </w:tc>
        <w:tc>
          <w:tcPr>
            <w:tcW w:w="1603" w:type="dxa"/>
            <w:tcBorders>
              <w:top w:val="nil"/>
              <w:left w:val="nil"/>
              <w:bottom w:val="nil"/>
              <w:right w:val="nil"/>
            </w:tcBorders>
            <w:vAlign w:val="center"/>
          </w:tcPr>
          <w:p w14:paraId="5C61098E"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W21</w:t>
            </w:r>
          </w:p>
        </w:tc>
        <w:tc>
          <w:tcPr>
            <w:tcW w:w="1603" w:type="dxa"/>
            <w:tcBorders>
              <w:top w:val="nil"/>
              <w:left w:val="nil"/>
              <w:bottom w:val="nil"/>
              <w:right w:val="nil"/>
            </w:tcBorders>
            <w:vAlign w:val="center"/>
          </w:tcPr>
          <w:p w14:paraId="11B8811A"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T21</w:t>
            </w:r>
          </w:p>
        </w:tc>
      </w:tr>
      <w:tr w:rsidR="00BE5408" w:rsidRPr="00BE5408" w14:paraId="49998757" w14:textId="77777777" w:rsidTr="00BE5408">
        <w:trPr>
          <w:trHeight w:val="552"/>
          <w:jc w:val="center"/>
        </w:trPr>
        <w:tc>
          <w:tcPr>
            <w:tcW w:w="1603" w:type="dxa"/>
            <w:tcBorders>
              <w:top w:val="nil"/>
              <w:left w:val="nil"/>
              <w:bottom w:val="nil"/>
              <w:right w:val="nil"/>
            </w:tcBorders>
            <w:vAlign w:val="center"/>
          </w:tcPr>
          <w:p w14:paraId="4979B288"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₂</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₂</w:t>
            </w:r>
          </w:p>
        </w:tc>
        <w:tc>
          <w:tcPr>
            <w:tcW w:w="1603" w:type="dxa"/>
            <w:tcBorders>
              <w:top w:val="nil"/>
              <w:left w:val="nil"/>
              <w:bottom w:val="nil"/>
              <w:right w:val="nil"/>
            </w:tcBorders>
            <w:vAlign w:val="center"/>
          </w:tcPr>
          <w:p w14:paraId="5CC2EBFD"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1500</w:t>
            </w:r>
          </w:p>
        </w:tc>
        <w:tc>
          <w:tcPr>
            <w:tcW w:w="1603" w:type="dxa"/>
            <w:tcBorders>
              <w:top w:val="nil"/>
              <w:left w:val="nil"/>
              <w:bottom w:val="nil"/>
              <w:right w:val="nil"/>
            </w:tcBorders>
            <w:vAlign w:val="center"/>
          </w:tcPr>
          <w:p w14:paraId="3CE427EB"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300</w:t>
            </w:r>
          </w:p>
        </w:tc>
        <w:tc>
          <w:tcPr>
            <w:tcW w:w="1603" w:type="dxa"/>
            <w:tcBorders>
              <w:top w:val="nil"/>
              <w:left w:val="nil"/>
              <w:bottom w:val="nil"/>
              <w:right w:val="nil"/>
            </w:tcBorders>
            <w:vAlign w:val="center"/>
          </w:tcPr>
          <w:p w14:paraId="17DC4880"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W22</w:t>
            </w:r>
          </w:p>
        </w:tc>
        <w:tc>
          <w:tcPr>
            <w:tcW w:w="1603" w:type="dxa"/>
            <w:tcBorders>
              <w:top w:val="nil"/>
              <w:left w:val="nil"/>
              <w:bottom w:val="nil"/>
              <w:right w:val="nil"/>
            </w:tcBorders>
            <w:vAlign w:val="center"/>
          </w:tcPr>
          <w:p w14:paraId="78D62014"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T22</w:t>
            </w:r>
          </w:p>
        </w:tc>
      </w:tr>
      <w:tr w:rsidR="00BE5408" w:rsidRPr="00BE5408" w14:paraId="1F09AC23" w14:textId="77777777" w:rsidTr="00BE5408">
        <w:trPr>
          <w:trHeight w:val="552"/>
          <w:jc w:val="center"/>
        </w:trPr>
        <w:tc>
          <w:tcPr>
            <w:tcW w:w="1603" w:type="dxa"/>
            <w:tcBorders>
              <w:top w:val="nil"/>
              <w:left w:val="nil"/>
              <w:bottom w:val="nil"/>
              <w:right w:val="nil"/>
            </w:tcBorders>
            <w:vAlign w:val="center"/>
          </w:tcPr>
          <w:p w14:paraId="21E9F9FC"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₂</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₃</w:t>
            </w:r>
          </w:p>
        </w:tc>
        <w:tc>
          <w:tcPr>
            <w:tcW w:w="1603" w:type="dxa"/>
            <w:tcBorders>
              <w:top w:val="nil"/>
              <w:left w:val="nil"/>
              <w:bottom w:val="nil"/>
              <w:right w:val="nil"/>
            </w:tcBorders>
            <w:vAlign w:val="center"/>
          </w:tcPr>
          <w:p w14:paraId="2828092C"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1500</w:t>
            </w:r>
          </w:p>
        </w:tc>
        <w:tc>
          <w:tcPr>
            <w:tcW w:w="1603" w:type="dxa"/>
            <w:tcBorders>
              <w:top w:val="nil"/>
              <w:left w:val="nil"/>
              <w:bottom w:val="nil"/>
              <w:right w:val="nil"/>
            </w:tcBorders>
            <w:vAlign w:val="center"/>
          </w:tcPr>
          <w:p w14:paraId="22F4A18C"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450</w:t>
            </w:r>
          </w:p>
        </w:tc>
        <w:tc>
          <w:tcPr>
            <w:tcW w:w="1603" w:type="dxa"/>
            <w:tcBorders>
              <w:top w:val="nil"/>
              <w:left w:val="nil"/>
              <w:bottom w:val="nil"/>
              <w:right w:val="nil"/>
            </w:tcBorders>
            <w:vAlign w:val="center"/>
          </w:tcPr>
          <w:p w14:paraId="1DE6330E"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W23</w:t>
            </w:r>
          </w:p>
        </w:tc>
        <w:tc>
          <w:tcPr>
            <w:tcW w:w="1603" w:type="dxa"/>
            <w:tcBorders>
              <w:top w:val="nil"/>
              <w:left w:val="nil"/>
              <w:bottom w:val="nil"/>
              <w:right w:val="nil"/>
            </w:tcBorders>
            <w:vAlign w:val="center"/>
          </w:tcPr>
          <w:p w14:paraId="23416698"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T23</w:t>
            </w:r>
          </w:p>
        </w:tc>
      </w:tr>
      <w:tr w:rsidR="00BE5408" w:rsidRPr="00BE5408" w14:paraId="26EC5473" w14:textId="77777777" w:rsidTr="00BE5408">
        <w:trPr>
          <w:trHeight w:val="552"/>
          <w:jc w:val="center"/>
        </w:trPr>
        <w:tc>
          <w:tcPr>
            <w:tcW w:w="1603" w:type="dxa"/>
            <w:tcBorders>
              <w:top w:val="nil"/>
              <w:left w:val="nil"/>
              <w:bottom w:val="nil"/>
              <w:right w:val="nil"/>
            </w:tcBorders>
            <w:vAlign w:val="center"/>
          </w:tcPr>
          <w:p w14:paraId="511D892A"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₃</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₁</w:t>
            </w:r>
          </w:p>
        </w:tc>
        <w:tc>
          <w:tcPr>
            <w:tcW w:w="1603" w:type="dxa"/>
            <w:tcBorders>
              <w:top w:val="nil"/>
              <w:left w:val="nil"/>
              <w:bottom w:val="nil"/>
              <w:right w:val="nil"/>
            </w:tcBorders>
            <w:vAlign w:val="center"/>
          </w:tcPr>
          <w:p w14:paraId="7523F0EA"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2250</w:t>
            </w:r>
          </w:p>
        </w:tc>
        <w:tc>
          <w:tcPr>
            <w:tcW w:w="1603" w:type="dxa"/>
            <w:tcBorders>
              <w:top w:val="nil"/>
              <w:left w:val="nil"/>
              <w:bottom w:val="nil"/>
              <w:right w:val="nil"/>
            </w:tcBorders>
            <w:vAlign w:val="center"/>
          </w:tcPr>
          <w:p w14:paraId="7EDE26FB"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150</w:t>
            </w:r>
          </w:p>
        </w:tc>
        <w:tc>
          <w:tcPr>
            <w:tcW w:w="1603" w:type="dxa"/>
            <w:tcBorders>
              <w:top w:val="nil"/>
              <w:left w:val="nil"/>
              <w:bottom w:val="nil"/>
              <w:right w:val="nil"/>
            </w:tcBorders>
            <w:vAlign w:val="center"/>
          </w:tcPr>
          <w:p w14:paraId="2B8A73A1"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W31</w:t>
            </w:r>
          </w:p>
        </w:tc>
        <w:tc>
          <w:tcPr>
            <w:tcW w:w="1603" w:type="dxa"/>
            <w:tcBorders>
              <w:top w:val="nil"/>
              <w:left w:val="nil"/>
              <w:bottom w:val="nil"/>
              <w:right w:val="nil"/>
            </w:tcBorders>
            <w:vAlign w:val="center"/>
          </w:tcPr>
          <w:p w14:paraId="7982B87C" w14:textId="77777777" w:rsidR="00BE5408" w:rsidRPr="00BE5408" w:rsidRDefault="00BE5408" w:rsidP="00BE5408">
            <w:pPr>
              <w:spacing w:line="360" w:lineRule="auto"/>
              <w:jc w:val="center"/>
              <w:rPr>
                <w:rFonts w:ascii="Times New Roman" w:hAnsi="Times New Roman" w:cs="Times New Roman"/>
                <w:sz w:val="24"/>
              </w:rPr>
            </w:pPr>
            <w:r w:rsidRPr="00BE5408">
              <w:rPr>
                <w:rFonts w:ascii="Times New Roman" w:hAnsi="Times New Roman" w:cs="Times New Roman"/>
                <w:kern w:val="0"/>
                <w:sz w:val="20"/>
                <w:szCs w:val="20"/>
              </w:rPr>
              <w:t>T31</w:t>
            </w:r>
          </w:p>
        </w:tc>
      </w:tr>
      <w:tr w:rsidR="00BE5408" w:rsidRPr="00BE5408" w14:paraId="3019405F" w14:textId="77777777" w:rsidTr="00BE5408">
        <w:trPr>
          <w:trHeight w:val="552"/>
          <w:jc w:val="center"/>
        </w:trPr>
        <w:tc>
          <w:tcPr>
            <w:tcW w:w="1603" w:type="dxa"/>
            <w:tcBorders>
              <w:top w:val="nil"/>
              <w:left w:val="nil"/>
              <w:bottom w:val="nil"/>
              <w:right w:val="nil"/>
            </w:tcBorders>
            <w:vAlign w:val="center"/>
          </w:tcPr>
          <w:p w14:paraId="53708CBA"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₃</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₂</w:t>
            </w:r>
          </w:p>
        </w:tc>
        <w:tc>
          <w:tcPr>
            <w:tcW w:w="1603" w:type="dxa"/>
            <w:tcBorders>
              <w:top w:val="nil"/>
              <w:left w:val="nil"/>
              <w:bottom w:val="nil"/>
              <w:right w:val="nil"/>
            </w:tcBorders>
            <w:vAlign w:val="center"/>
          </w:tcPr>
          <w:p w14:paraId="1FD3AA51"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2250</w:t>
            </w:r>
          </w:p>
        </w:tc>
        <w:tc>
          <w:tcPr>
            <w:tcW w:w="1603" w:type="dxa"/>
            <w:tcBorders>
              <w:top w:val="nil"/>
              <w:left w:val="nil"/>
              <w:bottom w:val="nil"/>
              <w:right w:val="nil"/>
            </w:tcBorders>
            <w:vAlign w:val="center"/>
          </w:tcPr>
          <w:p w14:paraId="1639AABD"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300</w:t>
            </w:r>
          </w:p>
        </w:tc>
        <w:tc>
          <w:tcPr>
            <w:tcW w:w="1603" w:type="dxa"/>
            <w:tcBorders>
              <w:top w:val="nil"/>
              <w:left w:val="nil"/>
              <w:bottom w:val="nil"/>
              <w:right w:val="nil"/>
            </w:tcBorders>
            <w:vAlign w:val="center"/>
          </w:tcPr>
          <w:p w14:paraId="3D57C8D0"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W32</w:t>
            </w:r>
          </w:p>
        </w:tc>
        <w:tc>
          <w:tcPr>
            <w:tcW w:w="1603" w:type="dxa"/>
            <w:tcBorders>
              <w:top w:val="nil"/>
              <w:left w:val="nil"/>
              <w:bottom w:val="nil"/>
              <w:right w:val="nil"/>
            </w:tcBorders>
            <w:vAlign w:val="center"/>
          </w:tcPr>
          <w:p w14:paraId="6BBF9738"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T32</w:t>
            </w:r>
          </w:p>
        </w:tc>
      </w:tr>
      <w:tr w:rsidR="00BE5408" w:rsidRPr="00BE5408" w14:paraId="5058C46E" w14:textId="77777777" w:rsidTr="00BE5408">
        <w:trPr>
          <w:trHeight w:val="552"/>
          <w:jc w:val="center"/>
        </w:trPr>
        <w:tc>
          <w:tcPr>
            <w:tcW w:w="1603" w:type="dxa"/>
            <w:tcBorders>
              <w:top w:val="nil"/>
              <w:left w:val="nil"/>
              <w:bottom w:val="single" w:sz="12" w:space="0" w:color="auto"/>
              <w:right w:val="nil"/>
            </w:tcBorders>
            <w:vAlign w:val="center"/>
          </w:tcPr>
          <w:p w14:paraId="53C74E42"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Ca</w:t>
            </w:r>
            <w:r w:rsidRPr="00BE5408">
              <w:rPr>
                <w:rFonts w:ascii="Cambria Math" w:hAnsi="Cambria Math" w:cs="Cambria Math"/>
                <w:kern w:val="0"/>
                <w:sz w:val="20"/>
                <w:szCs w:val="20"/>
              </w:rPr>
              <w:t>₃</w:t>
            </w:r>
            <w:r w:rsidRPr="00BE5408">
              <w:rPr>
                <w:rFonts w:ascii="Times New Roman" w:hAnsi="Times New Roman" w:cs="Times New Roman"/>
                <w:kern w:val="0"/>
                <w:sz w:val="20"/>
                <w:szCs w:val="20"/>
              </w:rPr>
              <w:t>Mg</w:t>
            </w:r>
            <w:r w:rsidRPr="00BE5408">
              <w:rPr>
                <w:rFonts w:ascii="Cambria Math" w:hAnsi="Cambria Math" w:cs="Cambria Math"/>
                <w:kern w:val="0"/>
                <w:sz w:val="20"/>
                <w:szCs w:val="20"/>
              </w:rPr>
              <w:t>₃</w:t>
            </w:r>
          </w:p>
        </w:tc>
        <w:tc>
          <w:tcPr>
            <w:tcW w:w="1603" w:type="dxa"/>
            <w:tcBorders>
              <w:top w:val="nil"/>
              <w:left w:val="nil"/>
              <w:bottom w:val="single" w:sz="12" w:space="0" w:color="auto"/>
              <w:right w:val="nil"/>
            </w:tcBorders>
            <w:vAlign w:val="center"/>
          </w:tcPr>
          <w:p w14:paraId="20121A56"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2250</w:t>
            </w:r>
          </w:p>
        </w:tc>
        <w:tc>
          <w:tcPr>
            <w:tcW w:w="1603" w:type="dxa"/>
            <w:tcBorders>
              <w:top w:val="nil"/>
              <w:left w:val="nil"/>
              <w:bottom w:val="single" w:sz="12" w:space="0" w:color="auto"/>
              <w:right w:val="nil"/>
            </w:tcBorders>
            <w:vAlign w:val="center"/>
          </w:tcPr>
          <w:p w14:paraId="71891F58"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450</w:t>
            </w:r>
          </w:p>
        </w:tc>
        <w:tc>
          <w:tcPr>
            <w:tcW w:w="1603" w:type="dxa"/>
            <w:tcBorders>
              <w:top w:val="nil"/>
              <w:left w:val="nil"/>
              <w:bottom w:val="single" w:sz="12" w:space="0" w:color="auto"/>
              <w:right w:val="nil"/>
            </w:tcBorders>
            <w:vAlign w:val="center"/>
          </w:tcPr>
          <w:p w14:paraId="34846576"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W33</w:t>
            </w:r>
          </w:p>
        </w:tc>
        <w:tc>
          <w:tcPr>
            <w:tcW w:w="1603" w:type="dxa"/>
            <w:tcBorders>
              <w:top w:val="nil"/>
              <w:left w:val="nil"/>
              <w:bottom w:val="single" w:sz="12" w:space="0" w:color="auto"/>
              <w:right w:val="nil"/>
            </w:tcBorders>
            <w:vAlign w:val="center"/>
          </w:tcPr>
          <w:p w14:paraId="56352852" w14:textId="77777777" w:rsidR="00BE5408" w:rsidRPr="00BE5408" w:rsidRDefault="00BE5408" w:rsidP="00BE5408">
            <w:pPr>
              <w:spacing w:line="360" w:lineRule="auto"/>
              <w:jc w:val="center"/>
              <w:rPr>
                <w:rFonts w:ascii="Times New Roman" w:hAnsi="Times New Roman" w:cs="Times New Roman"/>
                <w:kern w:val="0"/>
                <w:sz w:val="20"/>
                <w:szCs w:val="20"/>
              </w:rPr>
            </w:pPr>
            <w:r w:rsidRPr="00BE5408">
              <w:rPr>
                <w:rFonts w:ascii="Times New Roman" w:hAnsi="Times New Roman" w:cs="Times New Roman"/>
                <w:kern w:val="0"/>
                <w:sz w:val="20"/>
                <w:szCs w:val="20"/>
              </w:rPr>
              <w:t>T33</w:t>
            </w:r>
          </w:p>
        </w:tc>
      </w:tr>
    </w:tbl>
    <w:p w14:paraId="0007F0A3" w14:textId="28CD4D8E" w:rsidR="00BE5408" w:rsidRPr="00C77C01" w:rsidRDefault="00C77C01" w:rsidP="00C77C01">
      <w:pPr>
        <w:spacing w:line="520" w:lineRule="exact"/>
        <w:ind w:firstLineChars="200" w:firstLine="640"/>
        <w:rPr>
          <w:rFonts w:ascii="仿宋_GB2312" w:eastAsia="仿宋_GB2312"/>
          <w:color w:val="000000" w:themeColor="text1"/>
          <w:sz w:val="32"/>
          <w:szCs w:val="32"/>
        </w:rPr>
      </w:pPr>
      <w:r w:rsidRPr="00C77C01">
        <w:rPr>
          <w:rFonts w:ascii="仿宋_GB2312" w:eastAsia="仿宋_GB2312" w:hint="eastAsia"/>
          <w:color w:val="000000" w:themeColor="text1"/>
          <w:sz w:val="32"/>
          <w:szCs w:val="32"/>
        </w:rPr>
        <w:t>各生育期肥料分配为：氮肥基肥、分蘖肥占40%，拔节伸长肥占60%；钾肥基肥、分蘖肥占60%，拔节伸长肥占40%；镁、磷肥全部作基肥；钙肥整地用。于典型时期测定甘蔗株高、茎径、单株绿叶数、单茎重、叶重等农艺性状。于处理前和处理后苗期、伸长期、拔节期、成熟期，采集耕作层土壤样品。土壤经风干碾碎后，测定土壤pH值、全量钾钙镁和水溶性钾钙镁含量。甘蔗成熟期测定甘蔗根、茎、叶全钙、全镁、全钾含量。各处理随机选取有代表性的蔗茎5条，用比重计法测蔗汁锤度；二次旋光法</w:t>
      </w:r>
      <w:r w:rsidRPr="00C77C01">
        <w:rPr>
          <w:rFonts w:ascii="仿宋_GB2312" w:eastAsia="仿宋_GB2312" w:hint="eastAsia"/>
          <w:color w:val="000000" w:themeColor="text1"/>
          <w:sz w:val="32"/>
          <w:szCs w:val="32"/>
        </w:rPr>
        <w:lastRenderedPageBreak/>
        <w:t>测蔗糖分；四甲基蓝法测还原糖分；常压干燥法测纤维分。同时，测定土壤蔗糖酶、碱性磷酸酶活性、过氧化氢酶、脲酶等酶活性。</w:t>
      </w:r>
    </w:p>
    <w:p w14:paraId="24ADC81E" w14:textId="18291151" w:rsidR="00587B66" w:rsidRPr="00587B66" w:rsidRDefault="00587B66" w:rsidP="00587B66">
      <w:pPr>
        <w:spacing w:line="520" w:lineRule="exact"/>
        <w:ind w:firstLineChars="200" w:firstLine="640"/>
        <w:rPr>
          <w:rFonts w:ascii="仿宋_GB2312" w:eastAsia="仿宋_GB2312"/>
          <w:color w:val="000000" w:themeColor="text1"/>
          <w:sz w:val="32"/>
          <w:szCs w:val="32"/>
        </w:rPr>
      </w:pPr>
      <w:r w:rsidRPr="00587B66">
        <w:rPr>
          <w:rFonts w:ascii="仿宋_GB2312" w:eastAsia="仿宋_GB2312" w:hint="eastAsia"/>
          <w:color w:val="000000" w:themeColor="text1"/>
          <w:sz w:val="32"/>
          <w:szCs w:val="32"/>
        </w:rPr>
        <w:t>2.试验结果</w:t>
      </w:r>
    </w:p>
    <w:p w14:paraId="3D899A43" w14:textId="09BCA25F" w:rsidR="00BE5408" w:rsidRPr="00587B66" w:rsidRDefault="00C77C01" w:rsidP="00587B66">
      <w:pPr>
        <w:spacing w:line="520" w:lineRule="exact"/>
        <w:ind w:firstLineChars="200" w:firstLine="640"/>
        <w:rPr>
          <w:rFonts w:ascii="仿宋_GB2312" w:eastAsia="仿宋_GB2312"/>
          <w:color w:val="000000" w:themeColor="text1"/>
          <w:sz w:val="32"/>
          <w:szCs w:val="32"/>
        </w:rPr>
      </w:pPr>
      <w:r w:rsidRPr="00587B66">
        <w:rPr>
          <w:rFonts w:ascii="仿宋_GB2312" w:eastAsia="仿宋_GB2312" w:hint="eastAsia"/>
          <w:color w:val="000000" w:themeColor="text1"/>
          <w:sz w:val="32"/>
          <w:szCs w:val="32"/>
        </w:rPr>
        <w:t>（1）土壤交换性钙含量</w:t>
      </w:r>
    </w:p>
    <w:p w14:paraId="772E744F" w14:textId="108F2B2E" w:rsidR="00587B66" w:rsidRPr="00587B66" w:rsidRDefault="00587B66" w:rsidP="00587B66">
      <w:pPr>
        <w:spacing w:line="520" w:lineRule="exact"/>
        <w:ind w:firstLineChars="200" w:firstLine="640"/>
        <w:rPr>
          <w:rFonts w:ascii="仿宋_GB2312" w:eastAsia="仿宋_GB2312"/>
          <w:color w:val="000000" w:themeColor="text1"/>
          <w:sz w:val="32"/>
          <w:szCs w:val="32"/>
        </w:rPr>
      </w:pPr>
      <w:r w:rsidRPr="00587B66">
        <w:rPr>
          <w:rFonts w:ascii="仿宋_GB2312" w:eastAsia="仿宋_GB2312" w:hint="eastAsia"/>
          <w:color w:val="000000" w:themeColor="text1"/>
          <w:sz w:val="32"/>
          <w:szCs w:val="32"/>
        </w:rPr>
        <w:t>施用钙镁肥料显著提高了土壤交换性钙含量。随着钙肥施用量增加，土壤交换性钙含量呈现显著上升趋势（图1）。Ca3处理组（2250 kg/ha）的交换性钙含量最高，显著高于Ca1组（750 kg/ha）和Ca2组（1500 kg/ha）。在相同钙水平下，不同镁肥用量（150-450 kg/ha）对交换性钙含量的影响差异不显著，表明试验设定的镁肥用量范围内不存在明显的钙镁拮抗作用。</w:t>
      </w:r>
    </w:p>
    <w:p w14:paraId="431DD731" w14:textId="097DE302" w:rsidR="00BE5408" w:rsidRDefault="00587B66" w:rsidP="009642E4">
      <w:pPr>
        <w:spacing w:line="520" w:lineRule="exact"/>
        <w:ind w:firstLineChars="200" w:firstLine="640"/>
        <w:rPr>
          <w:rFonts w:ascii="仿宋_GB2312" w:eastAsia="仿宋_GB2312"/>
          <w:color w:val="000000" w:themeColor="text1"/>
          <w:sz w:val="32"/>
          <w:szCs w:val="32"/>
        </w:rPr>
      </w:pPr>
      <w:r w:rsidRPr="00587B66">
        <w:rPr>
          <w:rFonts w:ascii="仿宋_GB2312" w:eastAsia="仿宋_GB2312" w:hint="eastAsia"/>
          <w:color w:val="000000" w:themeColor="text1"/>
          <w:sz w:val="32"/>
          <w:szCs w:val="32"/>
        </w:rPr>
        <w:t>与对照组（CK）相比，所有施肥处理均显著提高了土壤交换性钙含量。其中Ca3Mg1、Ca3Mg2和Ca3Mg3处理的效果最为显著，交换性钙含量较CK提高了300%以上，表明适量钙镁配施能显著改善土壤钙素营养状况。</w:t>
      </w:r>
    </w:p>
    <w:p w14:paraId="562797E6" w14:textId="5D74AF94" w:rsidR="00587B66" w:rsidRPr="00587B66" w:rsidRDefault="003618D0" w:rsidP="00E947E7">
      <w:pPr>
        <w:jc w:val="center"/>
        <w:rPr>
          <w:rFonts w:ascii="仿宋_GB2312" w:eastAsia="仿宋_GB2312"/>
          <w:color w:val="000000" w:themeColor="text1"/>
          <w:sz w:val="32"/>
          <w:szCs w:val="32"/>
        </w:rPr>
      </w:pPr>
      <w:r>
        <w:rPr>
          <w:rFonts w:ascii="仿宋_GB2312" w:eastAsia="仿宋_GB2312"/>
          <w:noProof/>
          <w:color w:val="000000" w:themeColor="text1"/>
          <w:sz w:val="32"/>
          <w:szCs w:val="32"/>
        </w:rPr>
        <w:drawing>
          <wp:inline distT="0" distB="0" distL="0" distR="0" wp14:anchorId="60809FD9" wp14:editId="418134EE">
            <wp:extent cx="5279390" cy="2962910"/>
            <wp:effectExtent l="0" t="0" r="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9390" cy="2962910"/>
                    </a:xfrm>
                    <a:prstGeom prst="rect">
                      <a:avLst/>
                    </a:prstGeom>
                    <a:noFill/>
                  </pic:spPr>
                </pic:pic>
              </a:graphicData>
            </a:graphic>
          </wp:inline>
        </w:drawing>
      </w:r>
    </w:p>
    <w:p w14:paraId="1C86B8C2" w14:textId="1DC883C8" w:rsidR="00587B66" w:rsidRPr="003618D0" w:rsidRDefault="003618D0" w:rsidP="003618D0">
      <w:pPr>
        <w:spacing w:line="360" w:lineRule="auto"/>
        <w:jc w:val="center"/>
        <w:rPr>
          <w:rFonts w:ascii="Times New Roman" w:eastAsia="仿宋" w:hAnsi="Times New Roman" w:cs="Times New Roman"/>
          <w:color w:val="000000"/>
          <w:kern w:val="0"/>
          <w:sz w:val="24"/>
          <w:szCs w:val="21"/>
        </w:rPr>
      </w:pPr>
      <w:r w:rsidRPr="003618D0">
        <w:rPr>
          <w:rFonts w:ascii="Times New Roman" w:eastAsia="仿宋" w:hAnsi="Times New Roman" w:cs="Times New Roman" w:hint="eastAsia"/>
          <w:color w:val="000000"/>
          <w:kern w:val="0"/>
          <w:sz w:val="24"/>
          <w:szCs w:val="21"/>
        </w:rPr>
        <w:t>图</w:t>
      </w:r>
      <w:r w:rsidRPr="003618D0">
        <w:rPr>
          <w:rFonts w:ascii="Times New Roman" w:eastAsia="仿宋" w:hAnsi="Times New Roman" w:cs="Times New Roman" w:hint="eastAsia"/>
          <w:color w:val="000000"/>
          <w:kern w:val="0"/>
          <w:sz w:val="24"/>
          <w:szCs w:val="21"/>
        </w:rPr>
        <w:t xml:space="preserve">1  </w:t>
      </w:r>
      <w:r w:rsidRPr="003618D0">
        <w:rPr>
          <w:rFonts w:ascii="Times New Roman" w:eastAsia="仿宋" w:hAnsi="Times New Roman" w:cs="Times New Roman" w:hint="eastAsia"/>
          <w:color w:val="000000"/>
          <w:kern w:val="0"/>
          <w:sz w:val="24"/>
          <w:szCs w:val="21"/>
        </w:rPr>
        <w:t>土壤交换性钙含量</w:t>
      </w:r>
    </w:p>
    <w:p w14:paraId="69F92525" w14:textId="0B727A07" w:rsidR="00587B66" w:rsidRPr="003618D0" w:rsidRDefault="003618D0" w:rsidP="003618D0">
      <w:pPr>
        <w:spacing w:line="360" w:lineRule="auto"/>
        <w:jc w:val="center"/>
        <w:rPr>
          <w:rFonts w:ascii="Times New Roman" w:eastAsia="仿宋" w:hAnsi="Times New Roman" w:cs="Times New Roman"/>
          <w:color w:val="000000"/>
          <w:kern w:val="0"/>
          <w:sz w:val="24"/>
          <w:szCs w:val="21"/>
        </w:rPr>
      </w:pPr>
      <w:r w:rsidRPr="003618D0">
        <w:rPr>
          <w:rFonts w:ascii="Times New Roman" w:eastAsia="仿宋" w:hAnsi="Times New Roman" w:cs="Times New Roman" w:hint="eastAsia"/>
          <w:color w:val="000000"/>
          <w:kern w:val="0"/>
          <w:sz w:val="24"/>
          <w:szCs w:val="21"/>
        </w:rPr>
        <w:t>注：各处理柱子上不同小写字母代表在</w:t>
      </w:r>
      <w:r w:rsidRPr="003618D0">
        <w:rPr>
          <w:rFonts w:ascii="Times New Roman" w:eastAsia="仿宋" w:hAnsi="Times New Roman" w:cs="Times New Roman" w:hint="eastAsia"/>
          <w:color w:val="000000"/>
          <w:kern w:val="0"/>
          <w:sz w:val="24"/>
          <w:szCs w:val="21"/>
        </w:rPr>
        <w:t>p&lt;0.05</w:t>
      </w:r>
      <w:r w:rsidRPr="003618D0">
        <w:rPr>
          <w:rFonts w:ascii="Times New Roman" w:eastAsia="仿宋" w:hAnsi="Times New Roman" w:cs="Times New Roman" w:hint="eastAsia"/>
          <w:color w:val="000000"/>
          <w:kern w:val="0"/>
          <w:sz w:val="24"/>
          <w:szCs w:val="21"/>
        </w:rPr>
        <w:t>水平上差异达显著水平。</w:t>
      </w:r>
    </w:p>
    <w:p w14:paraId="207D4C7B" w14:textId="77777777" w:rsidR="006E0874" w:rsidRPr="006E0874" w:rsidRDefault="006E0874" w:rsidP="006E0874">
      <w:pPr>
        <w:spacing w:line="520" w:lineRule="exact"/>
        <w:ind w:firstLineChars="200" w:firstLine="640"/>
        <w:rPr>
          <w:rFonts w:ascii="仿宋_GB2312" w:eastAsia="仿宋_GB2312"/>
          <w:color w:val="000000" w:themeColor="text1"/>
          <w:sz w:val="32"/>
          <w:szCs w:val="32"/>
        </w:rPr>
      </w:pPr>
      <w:r w:rsidRPr="006E0874">
        <w:rPr>
          <w:rFonts w:ascii="仿宋_GB2312" w:eastAsia="仿宋_GB2312" w:hint="eastAsia"/>
          <w:color w:val="000000" w:themeColor="text1"/>
          <w:sz w:val="32"/>
          <w:szCs w:val="32"/>
        </w:rPr>
        <w:t>（2）土壤交换性镁含量</w:t>
      </w:r>
    </w:p>
    <w:p w14:paraId="01EBD95D" w14:textId="231CF1DD" w:rsidR="006E0874" w:rsidRPr="006E0874" w:rsidRDefault="006E0874" w:rsidP="006E0874">
      <w:pPr>
        <w:spacing w:line="520" w:lineRule="exact"/>
        <w:ind w:firstLineChars="200" w:firstLine="640"/>
        <w:rPr>
          <w:rFonts w:ascii="仿宋_GB2312" w:eastAsia="仿宋_GB2312"/>
          <w:color w:val="000000" w:themeColor="text1"/>
          <w:sz w:val="32"/>
          <w:szCs w:val="32"/>
        </w:rPr>
      </w:pPr>
      <w:r w:rsidRPr="006E0874">
        <w:rPr>
          <w:rFonts w:ascii="仿宋_GB2312" w:eastAsia="仿宋_GB2312" w:hint="eastAsia"/>
          <w:color w:val="000000" w:themeColor="text1"/>
          <w:sz w:val="32"/>
          <w:szCs w:val="32"/>
        </w:rPr>
        <w:lastRenderedPageBreak/>
        <w:t>低钙水平（Ca1）下，随着镁肥用量增加，交换性镁含量呈现显著上升趋势，Ca1Mg3处理达到最高值，较CK提高约180%（图2）。中等（Ca2）和高钙（Ca3）水平下，镁肥用量增加对交换性镁的促进作用表现出边际递减趋势，这可能是由于高钙环境下钙镁离子的竞争吸附作用所致。</w:t>
      </w:r>
    </w:p>
    <w:p w14:paraId="3437AF24" w14:textId="3E43EF0E" w:rsidR="00587B66" w:rsidRPr="00587B66" w:rsidRDefault="006E0874" w:rsidP="009642E4">
      <w:pPr>
        <w:spacing w:line="520" w:lineRule="exact"/>
        <w:ind w:firstLineChars="200" w:firstLine="640"/>
        <w:rPr>
          <w:rFonts w:ascii="仿宋_GB2312" w:eastAsia="仿宋_GB2312"/>
          <w:color w:val="000000" w:themeColor="text1"/>
          <w:sz w:val="32"/>
          <w:szCs w:val="32"/>
        </w:rPr>
      </w:pPr>
      <w:r w:rsidRPr="006E0874">
        <w:rPr>
          <w:rFonts w:ascii="仿宋_GB2312" w:eastAsia="仿宋_GB2312" w:hint="eastAsia"/>
          <w:color w:val="000000" w:themeColor="text1"/>
          <w:sz w:val="32"/>
          <w:szCs w:val="32"/>
        </w:rPr>
        <w:t>不同处理组间的差异分析表明，土壤交换性镁含量受钙镁配比的影响显著。适宜的钙镁配比不仅有利于维持土壤交换性镁的稳定水平，还能避免养分失衡导致的负面影响。这为科学确定钙镁肥料施用比例提供了重要参考依据。</w:t>
      </w:r>
    </w:p>
    <w:p w14:paraId="69821BA0" w14:textId="261FE5A3" w:rsidR="00587B66" w:rsidRPr="00587B66" w:rsidRDefault="006E0874" w:rsidP="00E947E7">
      <w:pPr>
        <w:jc w:val="center"/>
        <w:rPr>
          <w:rFonts w:ascii="仿宋_GB2312" w:eastAsia="仿宋_GB2312"/>
          <w:color w:val="000000" w:themeColor="text1"/>
          <w:sz w:val="32"/>
          <w:szCs w:val="32"/>
        </w:rPr>
      </w:pPr>
      <w:r>
        <w:rPr>
          <w:rFonts w:ascii="仿宋_GB2312" w:eastAsia="仿宋_GB2312"/>
          <w:noProof/>
          <w:color w:val="000000" w:themeColor="text1"/>
          <w:sz w:val="32"/>
          <w:szCs w:val="32"/>
        </w:rPr>
        <w:drawing>
          <wp:inline distT="0" distB="0" distL="0" distR="0" wp14:anchorId="30B96B5B" wp14:editId="545848AD">
            <wp:extent cx="5279390" cy="298132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9390" cy="2981325"/>
                    </a:xfrm>
                    <a:prstGeom prst="rect">
                      <a:avLst/>
                    </a:prstGeom>
                    <a:noFill/>
                  </pic:spPr>
                </pic:pic>
              </a:graphicData>
            </a:graphic>
          </wp:inline>
        </w:drawing>
      </w:r>
    </w:p>
    <w:p w14:paraId="07CE4702" w14:textId="39A12225" w:rsidR="006E0874" w:rsidRPr="003618D0" w:rsidRDefault="006E0874" w:rsidP="006E0874">
      <w:pPr>
        <w:spacing w:line="360" w:lineRule="auto"/>
        <w:jc w:val="center"/>
        <w:rPr>
          <w:rFonts w:ascii="Times New Roman" w:eastAsia="仿宋" w:hAnsi="Times New Roman" w:cs="Times New Roman"/>
          <w:color w:val="000000"/>
          <w:kern w:val="0"/>
          <w:sz w:val="24"/>
          <w:szCs w:val="21"/>
        </w:rPr>
      </w:pPr>
      <w:r w:rsidRPr="003618D0">
        <w:rPr>
          <w:rFonts w:ascii="Times New Roman" w:eastAsia="仿宋" w:hAnsi="Times New Roman" w:cs="Times New Roman" w:hint="eastAsia"/>
          <w:color w:val="000000"/>
          <w:kern w:val="0"/>
          <w:sz w:val="24"/>
          <w:szCs w:val="21"/>
        </w:rPr>
        <w:t>图</w:t>
      </w:r>
      <w:r>
        <w:rPr>
          <w:rFonts w:ascii="Times New Roman" w:eastAsia="仿宋" w:hAnsi="Times New Roman" w:cs="Times New Roman"/>
          <w:color w:val="000000"/>
          <w:kern w:val="0"/>
          <w:sz w:val="24"/>
          <w:szCs w:val="21"/>
        </w:rPr>
        <w:t>2</w:t>
      </w:r>
      <w:r w:rsidRPr="003618D0">
        <w:rPr>
          <w:rFonts w:ascii="Times New Roman" w:eastAsia="仿宋" w:hAnsi="Times New Roman" w:cs="Times New Roman" w:hint="eastAsia"/>
          <w:color w:val="000000"/>
          <w:kern w:val="0"/>
          <w:sz w:val="24"/>
          <w:szCs w:val="21"/>
        </w:rPr>
        <w:t xml:space="preserve">  </w:t>
      </w:r>
      <w:r w:rsidRPr="003618D0">
        <w:rPr>
          <w:rFonts w:ascii="Times New Roman" w:eastAsia="仿宋" w:hAnsi="Times New Roman" w:cs="Times New Roman" w:hint="eastAsia"/>
          <w:color w:val="000000"/>
          <w:kern w:val="0"/>
          <w:sz w:val="24"/>
          <w:szCs w:val="21"/>
        </w:rPr>
        <w:t>土壤交换性</w:t>
      </w:r>
      <w:r>
        <w:rPr>
          <w:rFonts w:ascii="Times New Roman" w:eastAsia="仿宋" w:hAnsi="Times New Roman" w:cs="Times New Roman" w:hint="eastAsia"/>
          <w:color w:val="000000"/>
          <w:kern w:val="0"/>
          <w:sz w:val="24"/>
          <w:szCs w:val="21"/>
        </w:rPr>
        <w:t>镁</w:t>
      </w:r>
      <w:r w:rsidRPr="003618D0">
        <w:rPr>
          <w:rFonts w:ascii="Times New Roman" w:eastAsia="仿宋" w:hAnsi="Times New Roman" w:cs="Times New Roman" w:hint="eastAsia"/>
          <w:color w:val="000000"/>
          <w:kern w:val="0"/>
          <w:sz w:val="24"/>
          <w:szCs w:val="21"/>
        </w:rPr>
        <w:t>含量</w:t>
      </w:r>
    </w:p>
    <w:p w14:paraId="6A66F77E" w14:textId="033576E9" w:rsidR="00587B66" w:rsidRPr="00587B66" w:rsidRDefault="00E947E7" w:rsidP="00587B66">
      <w:pPr>
        <w:spacing w:line="520" w:lineRule="exact"/>
        <w:ind w:firstLineChars="200" w:firstLine="640"/>
        <w:rPr>
          <w:rFonts w:ascii="仿宋_GB2312" w:eastAsia="仿宋_GB2312"/>
          <w:color w:val="000000" w:themeColor="text1"/>
          <w:sz w:val="32"/>
          <w:szCs w:val="32"/>
        </w:rPr>
      </w:pPr>
      <w:r w:rsidRPr="00E947E7">
        <w:rPr>
          <w:rFonts w:ascii="仿宋_GB2312" w:eastAsia="仿宋_GB2312" w:hint="eastAsia"/>
          <w:color w:val="000000" w:themeColor="text1"/>
          <w:sz w:val="32"/>
          <w:szCs w:val="32"/>
        </w:rPr>
        <w:t>（3）甘蔗叶干重</w:t>
      </w:r>
    </w:p>
    <w:p w14:paraId="19F3D709" w14:textId="5BB70915" w:rsidR="00E947E7" w:rsidRDefault="00E947E7" w:rsidP="00587B66">
      <w:pPr>
        <w:spacing w:line="520" w:lineRule="exact"/>
        <w:ind w:firstLineChars="200" w:firstLine="640"/>
        <w:rPr>
          <w:rFonts w:ascii="仿宋_GB2312" w:eastAsia="仿宋_GB2312"/>
          <w:color w:val="000000" w:themeColor="text1"/>
          <w:sz w:val="32"/>
          <w:szCs w:val="32"/>
        </w:rPr>
      </w:pPr>
      <w:r w:rsidRPr="00E947E7">
        <w:rPr>
          <w:rFonts w:ascii="仿宋_GB2312" w:eastAsia="仿宋_GB2312" w:hint="eastAsia"/>
          <w:color w:val="000000" w:themeColor="text1"/>
          <w:sz w:val="32"/>
          <w:szCs w:val="32"/>
        </w:rPr>
        <w:t>施用钙镁肥料显著促进了甘蔗叶片生物量积累（图3）。Ca2和Ca3处理组的叶干重普遍高于Ca1处理组，表明适量提高钙肥用量能促进叶片生长发育。在相同钙水平下，随着镁肥用量的增加，叶干重呈现先增加后趋于稳定的趋势。Ca3Mg2和Ca3Mg3处理的叶干重显著高于其他处理，较CK分别提高约40%和35%，表明高钙配合适量镁肥施用能显著促进叶片生物量积累</w:t>
      </w:r>
      <w:r>
        <w:rPr>
          <w:rFonts w:ascii="仿宋_GB2312" w:eastAsia="仿宋_GB2312" w:hint="eastAsia"/>
          <w:color w:val="000000" w:themeColor="text1"/>
          <w:sz w:val="32"/>
          <w:szCs w:val="32"/>
        </w:rPr>
        <w:t>。</w:t>
      </w:r>
    </w:p>
    <w:p w14:paraId="721C3886" w14:textId="320727EC" w:rsidR="00E947E7" w:rsidRDefault="00E947E7" w:rsidP="00E947E7">
      <w:pPr>
        <w:jc w:val="center"/>
        <w:rPr>
          <w:rFonts w:ascii="仿宋_GB2312" w:eastAsia="仿宋_GB2312"/>
          <w:color w:val="000000" w:themeColor="text1"/>
          <w:sz w:val="32"/>
          <w:szCs w:val="32"/>
        </w:rPr>
      </w:pPr>
      <w:r>
        <w:rPr>
          <w:rFonts w:ascii="仿宋_GB2312" w:eastAsia="仿宋_GB2312"/>
          <w:noProof/>
          <w:color w:val="000000" w:themeColor="text1"/>
          <w:sz w:val="32"/>
          <w:szCs w:val="32"/>
        </w:rPr>
        <w:lastRenderedPageBreak/>
        <w:drawing>
          <wp:inline distT="0" distB="0" distL="0" distR="0" wp14:anchorId="0DD8A299" wp14:editId="10966FC7">
            <wp:extent cx="5279390" cy="301180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9390" cy="3011805"/>
                    </a:xfrm>
                    <a:prstGeom prst="rect">
                      <a:avLst/>
                    </a:prstGeom>
                    <a:noFill/>
                  </pic:spPr>
                </pic:pic>
              </a:graphicData>
            </a:graphic>
          </wp:inline>
        </w:drawing>
      </w:r>
    </w:p>
    <w:p w14:paraId="1C909FDB" w14:textId="79BA3636" w:rsidR="00E947E7" w:rsidRPr="00E947E7" w:rsidRDefault="00E947E7" w:rsidP="00E947E7">
      <w:pPr>
        <w:spacing w:line="360" w:lineRule="auto"/>
        <w:jc w:val="center"/>
        <w:rPr>
          <w:rFonts w:ascii="Times New Roman" w:eastAsia="仿宋" w:hAnsi="Times New Roman" w:cs="Times New Roman"/>
          <w:color w:val="000000"/>
          <w:kern w:val="0"/>
          <w:sz w:val="24"/>
          <w:szCs w:val="21"/>
        </w:rPr>
      </w:pPr>
      <w:r w:rsidRPr="00E947E7">
        <w:rPr>
          <w:rFonts w:ascii="Times New Roman" w:eastAsia="仿宋" w:hAnsi="Times New Roman" w:cs="Times New Roman" w:hint="eastAsia"/>
          <w:color w:val="000000"/>
          <w:kern w:val="0"/>
          <w:sz w:val="24"/>
          <w:szCs w:val="21"/>
        </w:rPr>
        <w:t>图</w:t>
      </w:r>
      <w:r w:rsidRPr="00E947E7">
        <w:rPr>
          <w:rFonts w:ascii="Times New Roman" w:eastAsia="仿宋" w:hAnsi="Times New Roman" w:cs="Times New Roman" w:hint="eastAsia"/>
          <w:color w:val="000000"/>
          <w:kern w:val="0"/>
          <w:sz w:val="24"/>
          <w:szCs w:val="21"/>
        </w:rPr>
        <w:t xml:space="preserve">3  </w:t>
      </w:r>
      <w:r w:rsidRPr="00E947E7">
        <w:rPr>
          <w:rFonts w:ascii="Times New Roman" w:eastAsia="仿宋" w:hAnsi="Times New Roman" w:cs="Times New Roman" w:hint="eastAsia"/>
          <w:color w:val="000000"/>
          <w:kern w:val="0"/>
          <w:sz w:val="24"/>
          <w:szCs w:val="21"/>
        </w:rPr>
        <w:t>植株叶干重</w:t>
      </w:r>
    </w:p>
    <w:p w14:paraId="30C9E719" w14:textId="77777777" w:rsidR="00342837" w:rsidRPr="00342837" w:rsidRDefault="00342837" w:rsidP="00342837">
      <w:pPr>
        <w:spacing w:line="520" w:lineRule="exact"/>
        <w:ind w:firstLineChars="200" w:firstLine="640"/>
        <w:rPr>
          <w:rFonts w:ascii="仿宋_GB2312" w:eastAsia="仿宋_GB2312"/>
          <w:color w:val="000000" w:themeColor="text1"/>
          <w:sz w:val="32"/>
          <w:szCs w:val="32"/>
        </w:rPr>
      </w:pPr>
      <w:r w:rsidRPr="00342837">
        <w:rPr>
          <w:rFonts w:ascii="仿宋_GB2312" w:eastAsia="仿宋_GB2312" w:hint="eastAsia"/>
          <w:color w:val="000000" w:themeColor="text1"/>
          <w:sz w:val="32"/>
          <w:szCs w:val="32"/>
        </w:rPr>
        <w:t>（4）甘蔗茎干重</w:t>
      </w:r>
    </w:p>
    <w:p w14:paraId="0852E1E1" w14:textId="1AA131EC" w:rsidR="00E947E7" w:rsidRDefault="00342837" w:rsidP="00342837">
      <w:pPr>
        <w:spacing w:line="520" w:lineRule="exact"/>
        <w:ind w:firstLineChars="200" w:firstLine="640"/>
        <w:rPr>
          <w:rFonts w:ascii="仿宋_GB2312" w:eastAsia="仿宋_GB2312"/>
          <w:color w:val="000000" w:themeColor="text1"/>
          <w:sz w:val="32"/>
          <w:szCs w:val="32"/>
        </w:rPr>
      </w:pPr>
      <w:r w:rsidRPr="00342837">
        <w:rPr>
          <w:rFonts w:ascii="仿宋_GB2312" w:eastAsia="仿宋_GB2312" w:hint="eastAsia"/>
          <w:color w:val="000000" w:themeColor="text1"/>
          <w:sz w:val="32"/>
          <w:szCs w:val="32"/>
        </w:rPr>
        <w:t>钙镁配施对甘蔗茎秆生长发育的影响显著（图4）。随着钙肥用量的增加，茎干重整体呈现上升趋势。Ca3处理组中，不同镁肥用量间的茎干重差异不显著，但均高于CK，说明在确保钙素供应充足的情况下，镁肥用量的影响相对较小。Ca2Mg2、Ca3Mg2和Ca3Mg3处理的茎干重表现最好，较CK提高30%~40%，说明这些配比组合能较好地满足甘蔗茎秆生长对钙镁营养的需求。</w:t>
      </w:r>
    </w:p>
    <w:p w14:paraId="108A945F" w14:textId="49B7ECFF" w:rsidR="00E947E7" w:rsidRDefault="00342837" w:rsidP="00342837">
      <w:pPr>
        <w:jc w:val="center"/>
        <w:rPr>
          <w:rFonts w:ascii="仿宋_GB2312" w:eastAsia="仿宋_GB2312"/>
          <w:color w:val="000000" w:themeColor="text1"/>
          <w:sz w:val="32"/>
          <w:szCs w:val="32"/>
        </w:rPr>
      </w:pPr>
      <w:r>
        <w:rPr>
          <w:rFonts w:ascii="仿宋_GB2312" w:eastAsia="仿宋_GB2312"/>
          <w:noProof/>
          <w:color w:val="000000" w:themeColor="text1"/>
          <w:sz w:val="32"/>
          <w:szCs w:val="32"/>
        </w:rPr>
        <w:drawing>
          <wp:inline distT="0" distB="0" distL="0" distR="0" wp14:anchorId="4B95EC93" wp14:editId="26CB1208">
            <wp:extent cx="4667250" cy="265697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8692" cy="2657796"/>
                    </a:xfrm>
                    <a:prstGeom prst="rect">
                      <a:avLst/>
                    </a:prstGeom>
                    <a:noFill/>
                  </pic:spPr>
                </pic:pic>
              </a:graphicData>
            </a:graphic>
          </wp:inline>
        </w:drawing>
      </w:r>
    </w:p>
    <w:p w14:paraId="34BD9B65" w14:textId="2BD6FF0C" w:rsidR="00E947E7" w:rsidRPr="00342837" w:rsidRDefault="00342837" w:rsidP="00342837">
      <w:pPr>
        <w:spacing w:line="360" w:lineRule="auto"/>
        <w:jc w:val="center"/>
        <w:rPr>
          <w:rFonts w:ascii="Times New Roman" w:eastAsia="仿宋" w:hAnsi="Times New Roman" w:cs="Times New Roman"/>
          <w:color w:val="000000"/>
          <w:kern w:val="0"/>
          <w:sz w:val="24"/>
          <w:szCs w:val="21"/>
        </w:rPr>
      </w:pPr>
      <w:r w:rsidRPr="00342837">
        <w:rPr>
          <w:rFonts w:ascii="Times New Roman" w:eastAsia="仿宋" w:hAnsi="Times New Roman" w:cs="Times New Roman" w:hint="eastAsia"/>
          <w:color w:val="000000"/>
          <w:kern w:val="0"/>
          <w:sz w:val="24"/>
          <w:szCs w:val="21"/>
        </w:rPr>
        <w:t>图</w:t>
      </w:r>
      <w:r w:rsidRPr="00342837">
        <w:rPr>
          <w:rFonts w:ascii="Times New Roman" w:eastAsia="仿宋" w:hAnsi="Times New Roman" w:cs="Times New Roman" w:hint="eastAsia"/>
          <w:color w:val="000000"/>
          <w:kern w:val="0"/>
          <w:sz w:val="24"/>
          <w:szCs w:val="21"/>
        </w:rPr>
        <w:t xml:space="preserve">4  </w:t>
      </w:r>
      <w:r w:rsidRPr="00342837">
        <w:rPr>
          <w:rFonts w:ascii="Times New Roman" w:eastAsia="仿宋" w:hAnsi="Times New Roman" w:cs="Times New Roman" w:hint="eastAsia"/>
          <w:color w:val="000000"/>
          <w:kern w:val="0"/>
          <w:sz w:val="24"/>
          <w:szCs w:val="21"/>
        </w:rPr>
        <w:t>植株茎干重</w:t>
      </w:r>
    </w:p>
    <w:p w14:paraId="1F5F2B47" w14:textId="77777777" w:rsidR="00342837" w:rsidRPr="00342837" w:rsidRDefault="00342837" w:rsidP="00342837">
      <w:pPr>
        <w:spacing w:line="520" w:lineRule="exact"/>
        <w:ind w:firstLineChars="200" w:firstLine="640"/>
        <w:rPr>
          <w:rFonts w:ascii="仿宋_GB2312" w:eastAsia="仿宋_GB2312"/>
          <w:color w:val="000000" w:themeColor="text1"/>
          <w:sz w:val="32"/>
          <w:szCs w:val="32"/>
        </w:rPr>
      </w:pPr>
      <w:r w:rsidRPr="00342837">
        <w:rPr>
          <w:rFonts w:ascii="仿宋_GB2312" w:eastAsia="仿宋_GB2312" w:hint="eastAsia"/>
          <w:color w:val="000000" w:themeColor="text1"/>
          <w:sz w:val="32"/>
          <w:szCs w:val="32"/>
        </w:rPr>
        <w:lastRenderedPageBreak/>
        <w:t>（5）蔗糖锤度</w:t>
      </w:r>
    </w:p>
    <w:p w14:paraId="6D95A964" w14:textId="33C0652E" w:rsidR="00E947E7" w:rsidRDefault="00342837" w:rsidP="00342837">
      <w:pPr>
        <w:spacing w:line="520" w:lineRule="exact"/>
        <w:ind w:firstLineChars="200" w:firstLine="640"/>
        <w:rPr>
          <w:rFonts w:ascii="仿宋_GB2312" w:eastAsia="仿宋_GB2312"/>
          <w:color w:val="000000" w:themeColor="text1"/>
          <w:sz w:val="32"/>
          <w:szCs w:val="32"/>
        </w:rPr>
      </w:pPr>
      <w:r w:rsidRPr="00342837">
        <w:rPr>
          <w:rFonts w:ascii="仿宋_GB2312" w:eastAsia="仿宋_GB2312" w:hint="eastAsia"/>
          <w:color w:val="000000" w:themeColor="text1"/>
          <w:sz w:val="32"/>
          <w:szCs w:val="32"/>
        </w:rPr>
        <w:t>钙镁配施显著影响甘蔗的糖分积累（图5）。Ca3处理组的蔗糖锤度整体高于Ca1和Ca2处理组，表明适量提高钙肥用量有利于提高甘蔗品质。在相同钙水平下，镁肥用量的增加对蔗糖锤度具有促进作用，这种促进作用在Ca3水平下表现最为显著。Ca3Mg3处理的蔗糖锤度最高，显著高于CK和Ca1Mg1处理，较CK提高约15%，表明高钙配合高镁处理能够显著提高甘蔗的糖分积累能力。</w:t>
      </w:r>
    </w:p>
    <w:p w14:paraId="46C805DA" w14:textId="3F48D0E4" w:rsidR="00E947E7" w:rsidRDefault="00342837" w:rsidP="00342837">
      <w:pPr>
        <w:jc w:val="center"/>
        <w:rPr>
          <w:rFonts w:ascii="仿宋_GB2312" w:eastAsia="仿宋_GB2312"/>
          <w:color w:val="000000" w:themeColor="text1"/>
          <w:sz w:val="32"/>
          <w:szCs w:val="32"/>
        </w:rPr>
      </w:pPr>
      <w:r>
        <w:rPr>
          <w:rFonts w:ascii="仿宋_GB2312" w:eastAsia="仿宋_GB2312"/>
          <w:noProof/>
          <w:color w:val="000000" w:themeColor="text1"/>
          <w:sz w:val="32"/>
          <w:szCs w:val="32"/>
        </w:rPr>
        <w:drawing>
          <wp:inline distT="0" distB="0" distL="0" distR="0" wp14:anchorId="4CC9CFD2" wp14:editId="75367EE8">
            <wp:extent cx="5279390" cy="2950845"/>
            <wp:effectExtent l="0" t="0" r="0" b="19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9390" cy="2950845"/>
                    </a:xfrm>
                    <a:prstGeom prst="rect">
                      <a:avLst/>
                    </a:prstGeom>
                    <a:noFill/>
                  </pic:spPr>
                </pic:pic>
              </a:graphicData>
            </a:graphic>
          </wp:inline>
        </w:drawing>
      </w:r>
    </w:p>
    <w:p w14:paraId="2AE1EEDD" w14:textId="74770F3E" w:rsidR="00E947E7" w:rsidRPr="00650557" w:rsidRDefault="00342837" w:rsidP="00650557">
      <w:pPr>
        <w:spacing w:line="360" w:lineRule="auto"/>
        <w:jc w:val="center"/>
        <w:rPr>
          <w:rFonts w:ascii="Times New Roman" w:eastAsia="仿宋" w:hAnsi="Times New Roman" w:cs="Times New Roman"/>
          <w:color w:val="000000"/>
          <w:kern w:val="0"/>
          <w:sz w:val="24"/>
          <w:szCs w:val="21"/>
        </w:rPr>
      </w:pPr>
      <w:r w:rsidRPr="00650557">
        <w:rPr>
          <w:rFonts w:ascii="Times New Roman" w:eastAsia="仿宋" w:hAnsi="Times New Roman" w:cs="Times New Roman" w:hint="eastAsia"/>
          <w:color w:val="000000"/>
          <w:kern w:val="0"/>
          <w:sz w:val="24"/>
          <w:szCs w:val="21"/>
        </w:rPr>
        <w:t>图</w:t>
      </w:r>
      <w:r w:rsidRPr="00650557">
        <w:rPr>
          <w:rFonts w:ascii="Times New Roman" w:eastAsia="仿宋" w:hAnsi="Times New Roman" w:cs="Times New Roman" w:hint="eastAsia"/>
          <w:color w:val="000000"/>
          <w:kern w:val="0"/>
          <w:sz w:val="24"/>
          <w:szCs w:val="21"/>
        </w:rPr>
        <w:t>5</w:t>
      </w:r>
      <w:r w:rsidRPr="00650557">
        <w:rPr>
          <w:rFonts w:ascii="Times New Roman" w:eastAsia="仿宋" w:hAnsi="Times New Roman" w:cs="Times New Roman"/>
          <w:color w:val="000000"/>
          <w:kern w:val="0"/>
          <w:sz w:val="24"/>
          <w:szCs w:val="21"/>
        </w:rPr>
        <w:t xml:space="preserve">  </w:t>
      </w:r>
      <w:r w:rsidRPr="00650557">
        <w:rPr>
          <w:rFonts w:ascii="Times New Roman" w:eastAsia="仿宋" w:hAnsi="Times New Roman" w:cs="Times New Roman" w:hint="eastAsia"/>
          <w:color w:val="000000"/>
          <w:kern w:val="0"/>
          <w:sz w:val="24"/>
          <w:szCs w:val="21"/>
        </w:rPr>
        <w:t>蔗茎蔗糖的锤度</w:t>
      </w:r>
    </w:p>
    <w:p w14:paraId="306B4ADD" w14:textId="77777777" w:rsidR="001E72E4" w:rsidRPr="001E72E4" w:rsidRDefault="001E72E4" w:rsidP="001E72E4">
      <w:pPr>
        <w:spacing w:line="520" w:lineRule="exact"/>
        <w:ind w:firstLineChars="200" w:firstLine="640"/>
        <w:rPr>
          <w:rFonts w:ascii="仿宋_GB2312" w:eastAsia="仿宋_GB2312"/>
          <w:color w:val="000000" w:themeColor="text1"/>
          <w:sz w:val="32"/>
          <w:szCs w:val="32"/>
        </w:rPr>
      </w:pPr>
      <w:r w:rsidRPr="001E72E4">
        <w:rPr>
          <w:rFonts w:ascii="仿宋_GB2312" w:eastAsia="仿宋_GB2312" w:hint="eastAsia"/>
          <w:color w:val="000000" w:themeColor="text1"/>
          <w:sz w:val="32"/>
          <w:szCs w:val="32"/>
        </w:rPr>
        <w:t>（6）甘蔗株高</w:t>
      </w:r>
    </w:p>
    <w:p w14:paraId="556C771D" w14:textId="2AD5A75B" w:rsidR="00E947E7" w:rsidRDefault="001E72E4" w:rsidP="001E72E4">
      <w:pPr>
        <w:spacing w:line="520" w:lineRule="exact"/>
        <w:ind w:firstLineChars="200" w:firstLine="640"/>
        <w:rPr>
          <w:rFonts w:ascii="仿宋_GB2312" w:eastAsia="仿宋_GB2312"/>
          <w:color w:val="000000" w:themeColor="text1"/>
          <w:sz w:val="32"/>
          <w:szCs w:val="32"/>
        </w:rPr>
      </w:pPr>
      <w:r w:rsidRPr="001E72E4">
        <w:rPr>
          <w:rFonts w:ascii="仿宋_GB2312" w:eastAsia="仿宋_GB2312" w:hint="eastAsia"/>
          <w:color w:val="000000" w:themeColor="text1"/>
          <w:sz w:val="32"/>
          <w:szCs w:val="32"/>
        </w:rPr>
        <w:t>钙镁肥的施用对甘蔗株高有积极影响，所有施肥处理的平均株高均高于CK对照。整体来看（图6），高钙（Ca3）水平下的处理（Ca3Mg1, Ca3Mg2, Ca3Mg3）表现出轻微的生长优势。在各处理中，Ca3Mg1处理的株高达到最高，约270 cm，较CK对照（约255 cm）有明显提升。在低钙（Ca1）和中钙（Ca2）水平下，不同镁肥用量的影响无明显规律，但均优于CK。</w:t>
      </w:r>
    </w:p>
    <w:p w14:paraId="6954572B" w14:textId="0D61FB55" w:rsidR="00E947E7" w:rsidRDefault="001E72E4" w:rsidP="001E72E4">
      <w:pPr>
        <w:jc w:val="center"/>
        <w:rPr>
          <w:rFonts w:ascii="仿宋_GB2312" w:eastAsia="仿宋_GB2312"/>
          <w:color w:val="000000" w:themeColor="text1"/>
          <w:sz w:val="32"/>
          <w:szCs w:val="32"/>
        </w:rPr>
      </w:pPr>
      <w:r>
        <w:rPr>
          <w:rFonts w:ascii="仿宋_GB2312" w:eastAsia="仿宋_GB2312"/>
          <w:noProof/>
          <w:color w:val="000000" w:themeColor="text1"/>
          <w:sz w:val="32"/>
          <w:szCs w:val="32"/>
        </w:rPr>
        <w:lastRenderedPageBreak/>
        <w:drawing>
          <wp:inline distT="0" distB="0" distL="0" distR="0" wp14:anchorId="21A1D231" wp14:editId="580965C2">
            <wp:extent cx="5279390" cy="3499485"/>
            <wp:effectExtent l="0" t="0" r="0" b="57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9390" cy="3499485"/>
                    </a:xfrm>
                    <a:prstGeom prst="rect">
                      <a:avLst/>
                    </a:prstGeom>
                    <a:noFill/>
                  </pic:spPr>
                </pic:pic>
              </a:graphicData>
            </a:graphic>
          </wp:inline>
        </w:drawing>
      </w:r>
    </w:p>
    <w:p w14:paraId="4798AA27" w14:textId="486374AC" w:rsidR="00E947E7" w:rsidRPr="001E72E4" w:rsidRDefault="001E72E4" w:rsidP="001E72E4">
      <w:pPr>
        <w:spacing w:line="360" w:lineRule="auto"/>
        <w:jc w:val="center"/>
        <w:rPr>
          <w:rFonts w:ascii="Times New Roman" w:eastAsia="仿宋" w:hAnsi="Times New Roman" w:cs="Times New Roman"/>
          <w:color w:val="000000"/>
          <w:kern w:val="0"/>
          <w:sz w:val="24"/>
          <w:szCs w:val="21"/>
        </w:rPr>
      </w:pPr>
      <w:r w:rsidRPr="001E72E4">
        <w:rPr>
          <w:rFonts w:ascii="Times New Roman" w:eastAsia="仿宋" w:hAnsi="Times New Roman" w:cs="Times New Roman" w:hint="eastAsia"/>
          <w:color w:val="000000"/>
          <w:kern w:val="0"/>
          <w:sz w:val="24"/>
          <w:szCs w:val="21"/>
        </w:rPr>
        <w:t>图</w:t>
      </w:r>
      <w:r w:rsidRPr="001E72E4">
        <w:rPr>
          <w:rFonts w:ascii="Times New Roman" w:eastAsia="仿宋" w:hAnsi="Times New Roman" w:cs="Times New Roman" w:hint="eastAsia"/>
          <w:color w:val="000000"/>
          <w:kern w:val="0"/>
          <w:sz w:val="24"/>
          <w:szCs w:val="21"/>
        </w:rPr>
        <w:t>6</w:t>
      </w:r>
      <w:r w:rsidRPr="001E72E4">
        <w:rPr>
          <w:rFonts w:ascii="Times New Roman" w:eastAsia="仿宋" w:hAnsi="Times New Roman" w:cs="Times New Roman"/>
          <w:color w:val="000000"/>
          <w:kern w:val="0"/>
          <w:sz w:val="24"/>
          <w:szCs w:val="21"/>
        </w:rPr>
        <w:t xml:space="preserve"> </w:t>
      </w:r>
      <w:r w:rsidRPr="001E72E4">
        <w:rPr>
          <w:rFonts w:ascii="Times New Roman" w:eastAsia="仿宋" w:hAnsi="Times New Roman" w:cs="Times New Roman" w:hint="eastAsia"/>
          <w:color w:val="000000"/>
          <w:kern w:val="0"/>
          <w:sz w:val="24"/>
          <w:szCs w:val="21"/>
        </w:rPr>
        <w:t>甘蔗株高</w:t>
      </w:r>
    </w:p>
    <w:p w14:paraId="7EEEAF5D" w14:textId="77777777" w:rsidR="00451B0D" w:rsidRPr="00451B0D" w:rsidRDefault="00451B0D" w:rsidP="00451B0D">
      <w:pPr>
        <w:spacing w:line="520" w:lineRule="exact"/>
        <w:ind w:firstLineChars="200" w:firstLine="640"/>
        <w:rPr>
          <w:rFonts w:ascii="仿宋_GB2312" w:eastAsia="仿宋_GB2312"/>
          <w:color w:val="000000" w:themeColor="text1"/>
          <w:sz w:val="32"/>
          <w:szCs w:val="32"/>
        </w:rPr>
      </w:pPr>
      <w:r w:rsidRPr="00451B0D">
        <w:rPr>
          <w:rFonts w:ascii="仿宋_GB2312" w:eastAsia="仿宋_GB2312" w:hint="eastAsia"/>
          <w:color w:val="000000" w:themeColor="text1"/>
          <w:sz w:val="32"/>
          <w:szCs w:val="32"/>
        </w:rPr>
        <w:t>（7）甘蔗单茎重</w:t>
      </w:r>
    </w:p>
    <w:p w14:paraId="0AE852F3" w14:textId="78830266" w:rsidR="001E72E4" w:rsidRDefault="00451B0D" w:rsidP="00451B0D">
      <w:pPr>
        <w:spacing w:line="520" w:lineRule="exact"/>
        <w:ind w:firstLineChars="200" w:firstLine="640"/>
        <w:rPr>
          <w:rFonts w:ascii="仿宋_GB2312" w:eastAsia="仿宋_GB2312"/>
          <w:color w:val="000000" w:themeColor="text1"/>
          <w:sz w:val="32"/>
          <w:szCs w:val="32"/>
        </w:rPr>
      </w:pPr>
      <w:r w:rsidRPr="00451B0D">
        <w:rPr>
          <w:rFonts w:ascii="仿宋_GB2312" w:eastAsia="仿宋_GB2312" w:hint="eastAsia"/>
          <w:color w:val="000000" w:themeColor="text1"/>
          <w:sz w:val="32"/>
          <w:szCs w:val="32"/>
        </w:rPr>
        <w:t>施用钙镁肥料显著提升了甘蔗的单茎重（图7）。随着钙肥施用量的增加，单茎重呈现出清晰的上升趋势，表现为 Ca3 &gt; Ca2 &gt; Ca1。在相同钙水平下，镁肥的影响在高钙（Ca3）水平下最为明显，Ca3Mg3处理的单茎重达到最高，约为 2150 g。此值显著高于CK对照（约 1650 g），增幅超过 30%，表明高钙高镁配施对促进蔗茎增重效果最佳。</w:t>
      </w:r>
    </w:p>
    <w:p w14:paraId="3931C064" w14:textId="6DD43FDF" w:rsidR="001E72E4" w:rsidRDefault="00451B0D" w:rsidP="00451B0D">
      <w:pPr>
        <w:jc w:val="center"/>
        <w:rPr>
          <w:rFonts w:ascii="仿宋_GB2312" w:eastAsia="仿宋_GB2312"/>
          <w:color w:val="000000" w:themeColor="text1"/>
          <w:sz w:val="32"/>
          <w:szCs w:val="32"/>
        </w:rPr>
      </w:pPr>
      <w:r>
        <w:rPr>
          <w:rFonts w:ascii="仿宋_GB2312" w:eastAsia="仿宋_GB2312"/>
          <w:noProof/>
          <w:color w:val="000000" w:themeColor="text1"/>
          <w:sz w:val="32"/>
          <w:szCs w:val="32"/>
        </w:rPr>
        <w:lastRenderedPageBreak/>
        <w:drawing>
          <wp:inline distT="0" distB="0" distL="0" distR="0" wp14:anchorId="6362655B" wp14:editId="50D73D08">
            <wp:extent cx="5279390" cy="35052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9390" cy="3505200"/>
                    </a:xfrm>
                    <a:prstGeom prst="rect">
                      <a:avLst/>
                    </a:prstGeom>
                    <a:noFill/>
                  </pic:spPr>
                </pic:pic>
              </a:graphicData>
            </a:graphic>
          </wp:inline>
        </w:drawing>
      </w:r>
    </w:p>
    <w:p w14:paraId="6B5586C6" w14:textId="509B18CC" w:rsidR="001E72E4" w:rsidRPr="00451B0D" w:rsidRDefault="00451B0D" w:rsidP="00451B0D">
      <w:pPr>
        <w:spacing w:line="360" w:lineRule="auto"/>
        <w:jc w:val="center"/>
        <w:rPr>
          <w:rFonts w:ascii="Times New Roman" w:eastAsia="仿宋" w:hAnsi="Times New Roman" w:cs="Times New Roman"/>
          <w:color w:val="000000"/>
          <w:kern w:val="0"/>
          <w:sz w:val="24"/>
          <w:szCs w:val="21"/>
        </w:rPr>
      </w:pPr>
      <w:r w:rsidRPr="00451B0D">
        <w:rPr>
          <w:rFonts w:ascii="Times New Roman" w:eastAsia="仿宋" w:hAnsi="Times New Roman" w:cs="Times New Roman" w:hint="eastAsia"/>
          <w:color w:val="000000"/>
          <w:kern w:val="0"/>
          <w:sz w:val="24"/>
          <w:szCs w:val="21"/>
        </w:rPr>
        <w:t>图</w:t>
      </w:r>
      <w:r w:rsidRPr="00451B0D">
        <w:rPr>
          <w:rFonts w:ascii="Times New Roman" w:eastAsia="仿宋" w:hAnsi="Times New Roman" w:cs="Times New Roman" w:hint="eastAsia"/>
          <w:color w:val="000000"/>
          <w:kern w:val="0"/>
          <w:sz w:val="24"/>
          <w:szCs w:val="21"/>
        </w:rPr>
        <w:t xml:space="preserve">7 </w:t>
      </w:r>
      <w:r w:rsidRPr="00451B0D">
        <w:rPr>
          <w:rFonts w:ascii="Times New Roman" w:eastAsia="仿宋" w:hAnsi="Times New Roman" w:cs="Times New Roman" w:hint="eastAsia"/>
          <w:color w:val="000000"/>
          <w:kern w:val="0"/>
          <w:sz w:val="24"/>
          <w:szCs w:val="21"/>
        </w:rPr>
        <w:t>甘蔗单茎重</w:t>
      </w:r>
    </w:p>
    <w:p w14:paraId="527E222A" w14:textId="77777777" w:rsidR="00454E8F" w:rsidRPr="00454E8F" w:rsidRDefault="00454E8F" w:rsidP="00454E8F">
      <w:pPr>
        <w:spacing w:line="520" w:lineRule="exact"/>
        <w:ind w:firstLineChars="200" w:firstLine="640"/>
        <w:rPr>
          <w:rFonts w:ascii="仿宋_GB2312" w:eastAsia="仿宋_GB2312"/>
          <w:color w:val="000000" w:themeColor="text1"/>
          <w:sz w:val="32"/>
          <w:szCs w:val="32"/>
        </w:rPr>
      </w:pPr>
      <w:r w:rsidRPr="00454E8F">
        <w:rPr>
          <w:rFonts w:ascii="仿宋_GB2312" w:eastAsia="仿宋_GB2312" w:hint="eastAsia"/>
          <w:color w:val="000000" w:themeColor="text1"/>
          <w:sz w:val="32"/>
          <w:szCs w:val="32"/>
        </w:rPr>
        <w:t>（8）甘蔗有效茎</w:t>
      </w:r>
    </w:p>
    <w:p w14:paraId="4AA8EAA5" w14:textId="4166DE8C" w:rsidR="001E72E4" w:rsidRDefault="00454E8F" w:rsidP="007C2011">
      <w:pPr>
        <w:spacing w:line="520" w:lineRule="exact"/>
        <w:ind w:firstLineChars="200" w:firstLine="640"/>
        <w:rPr>
          <w:rFonts w:ascii="仿宋_GB2312" w:eastAsia="仿宋_GB2312"/>
          <w:color w:val="000000" w:themeColor="text1"/>
          <w:sz w:val="32"/>
          <w:szCs w:val="32"/>
        </w:rPr>
      </w:pPr>
      <w:r w:rsidRPr="00454E8F">
        <w:rPr>
          <w:rFonts w:ascii="仿宋_GB2312" w:eastAsia="仿宋_GB2312" w:hint="eastAsia"/>
          <w:color w:val="000000" w:themeColor="text1"/>
          <w:sz w:val="32"/>
          <w:szCs w:val="32"/>
        </w:rPr>
        <w:t>与CK对照相比（图8），施用钙镁肥料对甘蔗的有效茎数未产生显著影响。各处理（包括CK）的有效茎数均在 110-130 stick/行 的范围内波动，且无明显规律。Ca1Mg3和 Ca3Mg3处理的有效茎数相对较高，但其他处理与CK差异不明显，表明钙镁配施对产量的影响主要不体现在改变分蘖数量上。</w:t>
      </w:r>
    </w:p>
    <w:p w14:paraId="4AE6DFB3" w14:textId="2DFAB59A" w:rsidR="00451B0D" w:rsidRDefault="007C2011" w:rsidP="007C2011">
      <w:pPr>
        <w:ind w:firstLineChars="200" w:firstLine="640"/>
        <w:rPr>
          <w:rFonts w:ascii="仿宋_GB2312" w:eastAsia="仿宋_GB2312"/>
          <w:color w:val="000000" w:themeColor="text1"/>
          <w:sz w:val="32"/>
          <w:szCs w:val="32"/>
        </w:rPr>
      </w:pPr>
      <w:r>
        <w:rPr>
          <w:rFonts w:ascii="仿宋_GB2312" w:eastAsia="仿宋_GB2312"/>
          <w:noProof/>
          <w:color w:val="000000" w:themeColor="text1"/>
          <w:sz w:val="32"/>
          <w:szCs w:val="32"/>
        </w:rPr>
        <w:lastRenderedPageBreak/>
        <w:drawing>
          <wp:inline distT="0" distB="0" distL="0" distR="0" wp14:anchorId="2894D3FD" wp14:editId="70955FE2">
            <wp:extent cx="5279390" cy="35052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9390" cy="3505200"/>
                    </a:xfrm>
                    <a:prstGeom prst="rect">
                      <a:avLst/>
                    </a:prstGeom>
                    <a:noFill/>
                  </pic:spPr>
                </pic:pic>
              </a:graphicData>
            </a:graphic>
          </wp:inline>
        </w:drawing>
      </w:r>
    </w:p>
    <w:p w14:paraId="6F71A0D0" w14:textId="194EA66C" w:rsidR="00451B0D" w:rsidRPr="007C2011" w:rsidRDefault="007C2011" w:rsidP="007C2011">
      <w:pPr>
        <w:spacing w:line="360" w:lineRule="auto"/>
        <w:jc w:val="center"/>
        <w:rPr>
          <w:rFonts w:ascii="Times New Roman" w:eastAsia="仿宋" w:hAnsi="Times New Roman" w:cs="Times New Roman"/>
          <w:color w:val="000000"/>
          <w:kern w:val="0"/>
          <w:sz w:val="24"/>
          <w:szCs w:val="21"/>
        </w:rPr>
      </w:pPr>
      <w:r w:rsidRPr="007C2011">
        <w:rPr>
          <w:rFonts w:ascii="Times New Roman" w:eastAsia="仿宋" w:hAnsi="Times New Roman" w:cs="Times New Roman" w:hint="eastAsia"/>
          <w:color w:val="000000"/>
          <w:kern w:val="0"/>
          <w:sz w:val="24"/>
          <w:szCs w:val="21"/>
        </w:rPr>
        <w:t>图</w:t>
      </w:r>
      <w:r w:rsidRPr="007C2011">
        <w:rPr>
          <w:rFonts w:ascii="Times New Roman" w:eastAsia="仿宋" w:hAnsi="Times New Roman" w:cs="Times New Roman" w:hint="eastAsia"/>
          <w:color w:val="000000"/>
          <w:kern w:val="0"/>
          <w:sz w:val="24"/>
          <w:szCs w:val="21"/>
        </w:rPr>
        <w:t xml:space="preserve">8 </w:t>
      </w:r>
      <w:r w:rsidRPr="007C2011">
        <w:rPr>
          <w:rFonts w:ascii="Times New Roman" w:eastAsia="仿宋" w:hAnsi="Times New Roman" w:cs="Times New Roman" w:hint="eastAsia"/>
          <w:color w:val="000000"/>
          <w:kern w:val="0"/>
          <w:sz w:val="24"/>
          <w:szCs w:val="21"/>
        </w:rPr>
        <w:t>甘蔗有效茎数</w:t>
      </w:r>
    </w:p>
    <w:p w14:paraId="5563856B" w14:textId="77777777" w:rsidR="00D218A9" w:rsidRPr="00D218A9" w:rsidRDefault="00D218A9" w:rsidP="00D218A9">
      <w:pPr>
        <w:spacing w:line="520" w:lineRule="exact"/>
        <w:ind w:firstLineChars="200" w:firstLine="640"/>
        <w:rPr>
          <w:rFonts w:ascii="仿宋_GB2312" w:eastAsia="仿宋_GB2312"/>
          <w:color w:val="000000" w:themeColor="text1"/>
          <w:sz w:val="32"/>
          <w:szCs w:val="32"/>
        </w:rPr>
      </w:pPr>
      <w:r w:rsidRPr="00D218A9">
        <w:rPr>
          <w:rFonts w:ascii="仿宋_GB2312" w:eastAsia="仿宋_GB2312" w:hint="eastAsia"/>
          <w:color w:val="000000" w:themeColor="text1"/>
          <w:sz w:val="32"/>
          <w:szCs w:val="32"/>
        </w:rPr>
        <w:t>（9）甘蔗理论产量</w:t>
      </w:r>
    </w:p>
    <w:p w14:paraId="6751BC18" w14:textId="2A7F65BC" w:rsidR="00454E8F" w:rsidRDefault="00D218A9" w:rsidP="00D218A9">
      <w:pPr>
        <w:spacing w:line="520" w:lineRule="exact"/>
        <w:ind w:firstLineChars="200" w:firstLine="640"/>
        <w:rPr>
          <w:rFonts w:ascii="仿宋_GB2312" w:eastAsia="仿宋_GB2312"/>
          <w:color w:val="000000" w:themeColor="text1"/>
          <w:sz w:val="32"/>
          <w:szCs w:val="32"/>
        </w:rPr>
      </w:pPr>
      <w:r w:rsidRPr="00D218A9">
        <w:rPr>
          <w:rFonts w:ascii="仿宋_GB2312" w:eastAsia="仿宋_GB2312" w:hint="eastAsia"/>
          <w:color w:val="000000" w:themeColor="text1"/>
          <w:sz w:val="32"/>
          <w:szCs w:val="32"/>
        </w:rPr>
        <w:t>钙镁配施对甘蔗理论产量的促进效应极其显著（图9）。产量的变化趋势与单茎重高度一致，随着钙肥施用量的增加，理论产量显著提高（Ca3 &gt; Ca2 &gt; Ca1）。高钙高镁（Ca3Mg3）处理的理论产量最高，达到约 9500 kg/亩，与CK对照（约 7250 kg/亩）相比，增产幅度高达 31% 以上。这充分说明，充足的钙镁供应是实现甘蔗大幅增产的关键。</w:t>
      </w:r>
    </w:p>
    <w:p w14:paraId="2C2D2447" w14:textId="77777777" w:rsidR="00454E8F" w:rsidRDefault="00454E8F" w:rsidP="00587B66">
      <w:pPr>
        <w:spacing w:line="520" w:lineRule="exact"/>
        <w:ind w:firstLineChars="200" w:firstLine="640"/>
        <w:rPr>
          <w:rFonts w:ascii="仿宋_GB2312" w:eastAsia="仿宋_GB2312"/>
          <w:color w:val="000000" w:themeColor="text1"/>
          <w:sz w:val="32"/>
          <w:szCs w:val="32"/>
        </w:rPr>
      </w:pPr>
    </w:p>
    <w:p w14:paraId="369A9D95" w14:textId="64ED5A67" w:rsidR="00454E8F" w:rsidRDefault="00F85254" w:rsidP="00F85254">
      <w:pPr>
        <w:jc w:val="center"/>
        <w:rPr>
          <w:rFonts w:ascii="仿宋_GB2312" w:eastAsia="仿宋_GB2312"/>
          <w:color w:val="000000" w:themeColor="text1"/>
          <w:sz w:val="32"/>
          <w:szCs w:val="32"/>
        </w:rPr>
      </w:pPr>
      <w:r>
        <w:rPr>
          <w:rFonts w:ascii="仿宋_GB2312" w:eastAsia="仿宋_GB2312"/>
          <w:noProof/>
          <w:color w:val="000000" w:themeColor="text1"/>
          <w:sz w:val="32"/>
          <w:szCs w:val="32"/>
        </w:rPr>
        <w:lastRenderedPageBreak/>
        <w:drawing>
          <wp:inline distT="0" distB="0" distL="0" distR="0" wp14:anchorId="01B88F8B" wp14:editId="206776A1">
            <wp:extent cx="5279390" cy="35052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9390" cy="3505200"/>
                    </a:xfrm>
                    <a:prstGeom prst="rect">
                      <a:avLst/>
                    </a:prstGeom>
                    <a:noFill/>
                  </pic:spPr>
                </pic:pic>
              </a:graphicData>
            </a:graphic>
          </wp:inline>
        </w:drawing>
      </w:r>
    </w:p>
    <w:p w14:paraId="092F5CE8" w14:textId="4E9B32A9" w:rsidR="00454E8F" w:rsidRPr="00F85254" w:rsidRDefault="00F85254" w:rsidP="00F85254">
      <w:pPr>
        <w:spacing w:line="360" w:lineRule="auto"/>
        <w:jc w:val="center"/>
        <w:rPr>
          <w:rFonts w:ascii="Times New Roman" w:eastAsia="仿宋" w:hAnsi="Times New Roman" w:cs="Times New Roman"/>
          <w:color w:val="000000"/>
          <w:kern w:val="0"/>
          <w:sz w:val="24"/>
          <w:szCs w:val="21"/>
        </w:rPr>
      </w:pPr>
      <w:r w:rsidRPr="00F85254">
        <w:rPr>
          <w:rFonts w:ascii="Times New Roman" w:eastAsia="仿宋" w:hAnsi="Times New Roman" w:cs="Times New Roman" w:hint="eastAsia"/>
          <w:color w:val="000000"/>
          <w:kern w:val="0"/>
          <w:sz w:val="24"/>
          <w:szCs w:val="21"/>
        </w:rPr>
        <w:t>图</w:t>
      </w:r>
      <w:r w:rsidRPr="00F85254">
        <w:rPr>
          <w:rFonts w:ascii="Times New Roman" w:eastAsia="仿宋" w:hAnsi="Times New Roman" w:cs="Times New Roman" w:hint="eastAsia"/>
          <w:color w:val="000000"/>
          <w:kern w:val="0"/>
          <w:sz w:val="24"/>
          <w:szCs w:val="21"/>
        </w:rPr>
        <w:t xml:space="preserve">9 </w:t>
      </w:r>
      <w:r w:rsidRPr="00F85254">
        <w:rPr>
          <w:rFonts w:ascii="Times New Roman" w:eastAsia="仿宋" w:hAnsi="Times New Roman" w:cs="Times New Roman" w:hint="eastAsia"/>
          <w:color w:val="000000"/>
          <w:kern w:val="0"/>
          <w:sz w:val="24"/>
          <w:szCs w:val="21"/>
        </w:rPr>
        <w:t>甘蔗理论产量</w:t>
      </w:r>
    </w:p>
    <w:p w14:paraId="6020FC46" w14:textId="77777777" w:rsidR="00F85254" w:rsidRPr="00F85254" w:rsidRDefault="00F85254" w:rsidP="00F85254">
      <w:pPr>
        <w:spacing w:line="520" w:lineRule="exact"/>
        <w:ind w:firstLineChars="200" w:firstLine="640"/>
        <w:rPr>
          <w:rFonts w:ascii="仿宋_GB2312" w:eastAsia="仿宋_GB2312"/>
          <w:color w:val="000000" w:themeColor="text1"/>
          <w:sz w:val="32"/>
          <w:szCs w:val="32"/>
        </w:rPr>
      </w:pPr>
      <w:r w:rsidRPr="00F85254">
        <w:rPr>
          <w:rFonts w:ascii="仿宋_GB2312" w:eastAsia="仿宋_GB2312" w:hint="eastAsia"/>
          <w:color w:val="000000" w:themeColor="text1"/>
          <w:sz w:val="32"/>
          <w:szCs w:val="32"/>
        </w:rPr>
        <w:t>（10）甘蔗糖分</w:t>
      </w:r>
    </w:p>
    <w:p w14:paraId="4437F106" w14:textId="11FA2417" w:rsidR="00F85254" w:rsidRDefault="00F85254" w:rsidP="00F85254">
      <w:pPr>
        <w:spacing w:line="520" w:lineRule="exact"/>
        <w:ind w:firstLineChars="200" w:firstLine="640"/>
        <w:rPr>
          <w:rFonts w:ascii="仿宋_GB2312" w:eastAsia="仿宋_GB2312"/>
          <w:color w:val="000000" w:themeColor="text1"/>
          <w:sz w:val="32"/>
          <w:szCs w:val="32"/>
        </w:rPr>
      </w:pPr>
      <w:r w:rsidRPr="00F85254">
        <w:rPr>
          <w:rFonts w:ascii="仿宋_GB2312" w:eastAsia="仿宋_GB2312" w:hint="eastAsia"/>
          <w:color w:val="000000" w:themeColor="text1"/>
          <w:sz w:val="32"/>
          <w:szCs w:val="32"/>
        </w:rPr>
        <w:t>钙镁肥料同样对甘蔗的糖分积累有明显的促进作用（图10）。与CK对照相比，大部分施肥处理的糖分含量（%）均有提高。高钙（Ca3）处理组的糖分积累能力最强，其中 Ca3Mg3处理的糖分含量达到最高值，约为 13.8%。这显著高于CK对照（约 11.5%），表明高钙高镁配施不仅能提高产量，还能有效改善甘蔗品质。</w:t>
      </w:r>
    </w:p>
    <w:p w14:paraId="760CB206" w14:textId="4DBFBB43" w:rsidR="00F85254" w:rsidRDefault="00F85254" w:rsidP="00F85254">
      <w:pPr>
        <w:jc w:val="center"/>
        <w:rPr>
          <w:rFonts w:ascii="仿宋_GB2312" w:eastAsia="仿宋_GB2312"/>
          <w:color w:val="000000" w:themeColor="text1"/>
          <w:sz w:val="32"/>
          <w:szCs w:val="32"/>
        </w:rPr>
      </w:pPr>
      <w:r>
        <w:rPr>
          <w:rFonts w:ascii="仿宋_GB2312" w:eastAsia="仿宋_GB2312"/>
          <w:noProof/>
          <w:color w:val="000000" w:themeColor="text1"/>
          <w:sz w:val="32"/>
          <w:szCs w:val="32"/>
        </w:rPr>
        <w:lastRenderedPageBreak/>
        <w:drawing>
          <wp:inline distT="0" distB="0" distL="0" distR="0" wp14:anchorId="3475E6C0" wp14:editId="2A22329C">
            <wp:extent cx="5279390" cy="3499485"/>
            <wp:effectExtent l="0" t="0" r="0" b="57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9390" cy="3499485"/>
                    </a:xfrm>
                    <a:prstGeom prst="rect">
                      <a:avLst/>
                    </a:prstGeom>
                    <a:noFill/>
                  </pic:spPr>
                </pic:pic>
              </a:graphicData>
            </a:graphic>
          </wp:inline>
        </w:drawing>
      </w:r>
    </w:p>
    <w:p w14:paraId="4F7FE277" w14:textId="7DA5457D" w:rsidR="00F85254" w:rsidRPr="00F85254" w:rsidRDefault="00F85254" w:rsidP="00F85254">
      <w:pPr>
        <w:spacing w:line="360" w:lineRule="auto"/>
        <w:jc w:val="center"/>
        <w:rPr>
          <w:rFonts w:ascii="Times New Roman" w:eastAsia="仿宋" w:hAnsi="Times New Roman" w:cs="Times New Roman"/>
          <w:color w:val="000000"/>
          <w:kern w:val="0"/>
          <w:sz w:val="24"/>
          <w:szCs w:val="21"/>
        </w:rPr>
      </w:pPr>
      <w:r w:rsidRPr="00F85254">
        <w:rPr>
          <w:rFonts w:ascii="Times New Roman" w:eastAsia="仿宋" w:hAnsi="Times New Roman" w:cs="Times New Roman" w:hint="eastAsia"/>
          <w:color w:val="000000"/>
          <w:kern w:val="0"/>
          <w:sz w:val="24"/>
          <w:szCs w:val="21"/>
        </w:rPr>
        <w:t>图</w:t>
      </w:r>
      <w:r w:rsidRPr="00F85254">
        <w:rPr>
          <w:rFonts w:ascii="Times New Roman" w:eastAsia="仿宋" w:hAnsi="Times New Roman" w:cs="Times New Roman" w:hint="eastAsia"/>
          <w:color w:val="000000"/>
          <w:kern w:val="0"/>
          <w:sz w:val="24"/>
          <w:szCs w:val="21"/>
        </w:rPr>
        <w:t xml:space="preserve">10 </w:t>
      </w:r>
      <w:r w:rsidRPr="00F85254">
        <w:rPr>
          <w:rFonts w:ascii="Times New Roman" w:eastAsia="仿宋" w:hAnsi="Times New Roman" w:cs="Times New Roman" w:hint="eastAsia"/>
          <w:color w:val="000000"/>
          <w:kern w:val="0"/>
          <w:sz w:val="24"/>
          <w:szCs w:val="21"/>
        </w:rPr>
        <w:t>甘蔗糖分</w:t>
      </w:r>
    </w:p>
    <w:p w14:paraId="6454EA20" w14:textId="730EB466" w:rsidR="000A5CC4" w:rsidRDefault="000A5CC4" w:rsidP="00587B66">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3.结论</w:t>
      </w:r>
    </w:p>
    <w:p w14:paraId="3C17914B" w14:textId="09B0975C" w:rsidR="00587B66" w:rsidRDefault="00F85254" w:rsidP="00587B66">
      <w:pPr>
        <w:spacing w:line="520" w:lineRule="exact"/>
        <w:ind w:firstLineChars="200" w:firstLine="640"/>
        <w:rPr>
          <w:rFonts w:ascii="仿宋_GB2312" w:eastAsia="仿宋_GB2312"/>
          <w:color w:val="000000" w:themeColor="text1"/>
          <w:sz w:val="32"/>
          <w:szCs w:val="32"/>
        </w:rPr>
      </w:pPr>
      <w:r w:rsidRPr="00F85254">
        <w:rPr>
          <w:rFonts w:ascii="仿宋_GB2312" w:eastAsia="仿宋_GB2312" w:hint="eastAsia"/>
          <w:color w:val="000000" w:themeColor="text1"/>
          <w:sz w:val="32"/>
          <w:szCs w:val="32"/>
        </w:rPr>
        <w:t>甘蔗施肥管理中适当补充钙镁肥，对土壤养分和甘蔗产能均有显著的综合效应。研究结果表明，钙镁肥的施用不仅显著提高了土壤交换性钙 和交换性镁的含量 ，还对甘蔗的农艺性状产生了积极影响。钙镁配施显著促进了甘蔗生长，提高了株高、单茎重、理论产量及最终的糖分含量。与对照（CK）相比，产量的提升主要得益于单茎重的显著增加，而有效茎数在各处理间未表现出显著差异。综合考虑土壤养分改良效果、甘蔗生长指标及最终产量品质，高钙用量（Ca3, 2250 kg/ha）配合中等或较高镁用量（Mg2-Mg3, 300</w:t>
      </w:r>
      <w:r>
        <w:rPr>
          <w:rFonts w:ascii="仿宋_GB2312" w:eastAsia="仿宋_GB2312" w:hint="eastAsia"/>
          <w:color w:val="000000" w:themeColor="text1"/>
          <w:sz w:val="32"/>
          <w:szCs w:val="32"/>
        </w:rPr>
        <w:t>～</w:t>
      </w:r>
      <w:r w:rsidRPr="00F85254">
        <w:rPr>
          <w:rFonts w:ascii="仿宋_GB2312" w:eastAsia="仿宋_GB2312" w:hint="eastAsia"/>
          <w:color w:val="000000" w:themeColor="text1"/>
          <w:sz w:val="32"/>
          <w:szCs w:val="32"/>
        </w:rPr>
        <w:t>450 kg/ha）的效果最佳。其中，Ca3Mg3（钙 2250 kg/ha, 镁 450 kg/ha）处理在单茎重、理论产量和糖分三项关键指标上均表现最优，是实现甘蔗产量与品质协同提升的理想配比。</w:t>
      </w:r>
    </w:p>
    <w:p w14:paraId="56AB47A3" w14:textId="0618FFCA" w:rsidR="00EA6EC8" w:rsidRDefault="00EA6EC8" w:rsidP="00EA6EC8">
      <w:pPr>
        <w:pStyle w:val="BodyText2"/>
      </w:pPr>
    </w:p>
    <w:p w14:paraId="466BCD29" w14:textId="6B980651" w:rsidR="00EA6EC8" w:rsidRPr="00EA6EC8" w:rsidRDefault="00EA6EC8" w:rsidP="00EA6EC8">
      <w:pPr>
        <w:spacing w:line="520" w:lineRule="exact"/>
        <w:ind w:firstLineChars="200" w:firstLine="640"/>
        <w:rPr>
          <w:rFonts w:ascii="仿宋_GB2312" w:eastAsia="仿宋_GB2312"/>
          <w:color w:val="000000" w:themeColor="text1"/>
          <w:sz w:val="32"/>
          <w:szCs w:val="32"/>
        </w:rPr>
      </w:pPr>
      <w:r w:rsidRPr="00EA6EC8">
        <w:rPr>
          <w:rFonts w:ascii="仿宋_GB2312" w:eastAsia="仿宋_GB2312" w:hint="eastAsia"/>
          <w:color w:val="000000" w:themeColor="text1"/>
          <w:sz w:val="32"/>
          <w:szCs w:val="32"/>
        </w:rPr>
        <w:lastRenderedPageBreak/>
        <w:t>4.钙镁有机肥增效机制</w:t>
      </w:r>
      <w:r>
        <w:rPr>
          <w:rFonts w:ascii="仿宋_GB2312" w:eastAsia="仿宋_GB2312" w:hint="eastAsia"/>
          <w:color w:val="000000" w:themeColor="text1"/>
          <w:sz w:val="32"/>
          <w:szCs w:val="32"/>
        </w:rPr>
        <w:t>研究</w:t>
      </w:r>
      <w:r>
        <w:rPr>
          <w:rFonts w:ascii="仿宋_GB2312" w:eastAsia="仿宋_GB2312"/>
          <w:color w:val="000000" w:themeColor="text1"/>
          <w:sz w:val="32"/>
          <w:szCs w:val="32"/>
        </w:rPr>
        <w:t>结论</w:t>
      </w:r>
    </w:p>
    <w:p w14:paraId="0EB0CF02" w14:textId="40EA6C40" w:rsidR="00EA6EC8" w:rsidRDefault="00EA6EC8" w:rsidP="00EA6EC8">
      <w:pPr>
        <w:spacing w:line="520" w:lineRule="exact"/>
        <w:ind w:firstLineChars="200" w:firstLine="640"/>
        <w:rPr>
          <w:rFonts w:ascii="仿宋_GB2312" w:eastAsia="仿宋_GB2312"/>
          <w:color w:val="000000" w:themeColor="text1"/>
          <w:sz w:val="32"/>
          <w:szCs w:val="32"/>
        </w:rPr>
      </w:pPr>
      <w:r w:rsidRPr="00EA6EC8">
        <w:rPr>
          <w:rFonts w:ascii="仿宋_GB2312" w:eastAsia="仿宋_GB2312" w:hint="eastAsia"/>
          <w:color w:val="000000" w:themeColor="text1"/>
          <w:sz w:val="32"/>
          <w:szCs w:val="32"/>
        </w:rPr>
        <w:t>基于氮肥偏生产力临界点的发现，进一步开展了钙镁有机肥增效机制研究，以探索在优化氮肥管理基础上，通过钙镁营养调控实现甘蔗产量品质同步提升的技术路径。研究表明，钙镁有机肥可精准提升土壤有效</w:t>
      </w:r>
      <w:r w:rsidRPr="00EA6EC8">
        <w:rPr>
          <w:rFonts w:ascii="仿宋_GB2312" w:eastAsia="仿宋_GB2312"/>
          <w:color w:val="000000" w:themeColor="text1"/>
          <w:sz w:val="32"/>
          <w:szCs w:val="32"/>
        </w:rPr>
        <w:t>Ca</w:t>
      </w:r>
      <w:r w:rsidRPr="00EA6EC8">
        <w:rPr>
          <w:rFonts w:ascii="仿宋_GB2312" w:eastAsia="仿宋_GB2312" w:hint="eastAsia"/>
          <w:color w:val="000000" w:themeColor="text1"/>
          <w:sz w:val="32"/>
          <w:szCs w:val="32"/>
        </w:rPr>
        <w:t>、</w:t>
      </w:r>
      <w:r w:rsidRPr="00EA6EC8">
        <w:rPr>
          <w:rFonts w:ascii="仿宋_GB2312" w:eastAsia="仿宋_GB2312"/>
          <w:color w:val="000000" w:themeColor="text1"/>
          <w:sz w:val="32"/>
          <w:szCs w:val="32"/>
        </w:rPr>
        <w:t>Mg</w:t>
      </w:r>
      <w:r w:rsidRPr="00EA6EC8">
        <w:rPr>
          <w:rFonts w:ascii="仿宋_GB2312" w:eastAsia="仿宋_GB2312" w:hint="eastAsia"/>
          <w:color w:val="000000" w:themeColor="text1"/>
          <w:sz w:val="32"/>
          <w:szCs w:val="32"/>
        </w:rPr>
        <w:t>供应能力，促进甘蔗植株对</w:t>
      </w:r>
      <w:r w:rsidRPr="00EA6EC8">
        <w:rPr>
          <w:rFonts w:ascii="仿宋_GB2312" w:eastAsia="仿宋_GB2312"/>
          <w:color w:val="000000" w:themeColor="text1"/>
          <w:sz w:val="32"/>
          <w:szCs w:val="32"/>
        </w:rPr>
        <w:t>Ca</w:t>
      </w:r>
      <w:r w:rsidRPr="00EA6EC8">
        <w:rPr>
          <w:rFonts w:ascii="仿宋_GB2312" w:eastAsia="仿宋_GB2312" w:hint="eastAsia"/>
          <w:color w:val="000000" w:themeColor="text1"/>
          <w:sz w:val="32"/>
          <w:szCs w:val="32"/>
        </w:rPr>
        <w:t>、</w:t>
      </w:r>
      <w:r w:rsidRPr="00EA6EC8">
        <w:rPr>
          <w:rFonts w:ascii="仿宋_GB2312" w:eastAsia="仿宋_GB2312"/>
          <w:color w:val="000000" w:themeColor="text1"/>
          <w:sz w:val="32"/>
          <w:szCs w:val="32"/>
        </w:rPr>
        <w:t>Mg</w:t>
      </w:r>
      <w:r w:rsidRPr="00EA6EC8">
        <w:rPr>
          <w:rFonts w:ascii="仿宋_GB2312" w:eastAsia="仿宋_GB2312" w:hint="eastAsia"/>
          <w:color w:val="000000" w:themeColor="text1"/>
          <w:sz w:val="32"/>
          <w:szCs w:val="32"/>
        </w:rPr>
        <w:t>的积累，当根层总</w:t>
      </w:r>
      <w:r w:rsidRPr="00EA6EC8">
        <w:rPr>
          <w:rFonts w:ascii="仿宋_GB2312" w:eastAsia="仿宋_GB2312"/>
          <w:color w:val="000000" w:themeColor="text1"/>
          <w:sz w:val="32"/>
          <w:szCs w:val="32"/>
        </w:rPr>
        <w:t>Mg</w:t>
      </w:r>
      <w:r w:rsidRPr="00EA6EC8">
        <w:rPr>
          <w:rFonts w:ascii="仿宋_GB2312" w:eastAsia="仿宋_GB2312" w:hint="eastAsia"/>
          <w:color w:val="000000" w:themeColor="text1"/>
          <w:sz w:val="32"/>
          <w:szCs w:val="32"/>
        </w:rPr>
        <w:t>达到≥</w:t>
      </w:r>
      <w:r w:rsidRPr="00EA6EC8">
        <w:rPr>
          <w:rFonts w:ascii="仿宋_GB2312" w:eastAsia="仿宋_GB2312"/>
          <w:color w:val="000000" w:themeColor="text1"/>
          <w:sz w:val="32"/>
          <w:szCs w:val="32"/>
        </w:rPr>
        <w:t>1.35 g kg</w:t>
      </w:r>
      <w:r w:rsidRPr="00EA6EC8">
        <w:rPr>
          <w:rFonts w:ascii="仿宋_GB2312" w:eastAsia="仿宋_GB2312"/>
          <w:color w:val="000000" w:themeColor="text1"/>
          <w:sz w:val="32"/>
          <w:szCs w:val="32"/>
        </w:rPr>
        <w:t>⁻¹</w:t>
      </w:r>
      <w:r w:rsidRPr="00EA6EC8">
        <w:rPr>
          <w:rFonts w:ascii="仿宋_GB2312" w:eastAsia="仿宋_GB2312" w:hint="eastAsia"/>
          <w:color w:val="000000" w:themeColor="text1"/>
          <w:sz w:val="32"/>
          <w:szCs w:val="32"/>
        </w:rPr>
        <w:t>、全株</w:t>
      </w:r>
      <w:r w:rsidRPr="00EA6EC8">
        <w:rPr>
          <w:rFonts w:ascii="仿宋_GB2312" w:eastAsia="仿宋_GB2312"/>
          <w:color w:val="000000" w:themeColor="text1"/>
          <w:sz w:val="32"/>
          <w:szCs w:val="32"/>
        </w:rPr>
        <w:t>Ca</w:t>
      </w:r>
      <w:r w:rsidRPr="00EA6EC8">
        <w:rPr>
          <w:rFonts w:ascii="仿宋_GB2312" w:eastAsia="仿宋_GB2312" w:hint="eastAsia"/>
          <w:color w:val="000000" w:themeColor="text1"/>
          <w:sz w:val="32"/>
          <w:szCs w:val="32"/>
        </w:rPr>
        <w:t>累积量≥</w:t>
      </w:r>
      <w:r w:rsidRPr="00EA6EC8">
        <w:rPr>
          <w:rFonts w:ascii="仿宋_GB2312" w:eastAsia="仿宋_GB2312"/>
          <w:color w:val="000000" w:themeColor="text1"/>
          <w:sz w:val="32"/>
          <w:szCs w:val="32"/>
        </w:rPr>
        <w:t>16.75 g</w:t>
      </w:r>
      <w:r w:rsidRPr="00EA6EC8">
        <w:rPr>
          <w:rFonts w:ascii="仿宋_GB2312" w:eastAsia="仿宋_GB2312" w:hint="eastAsia"/>
          <w:color w:val="000000" w:themeColor="text1"/>
          <w:sz w:val="32"/>
          <w:szCs w:val="32"/>
        </w:rPr>
        <w:t>时，甘蔗产量均能越过</w:t>
      </w:r>
      <w:r w:rsidRPr="00EA6EC8">
        <w:rPr>
          <w:rFonts w:ascii="仿宋_GB2312" w:eastAsia="仿宋_GB2312"/>
          <w:color w:val="000000" w:themeColor="text1"/>
          <w:sz w:val="32"/>
          <w:szCs w:val="32"/>
        </w:rPr>
        <w:t>Logistic</w:t>
      </w:r>
      <w:r>
        <w:rPr>
          <w:rFonts w:ascii="仿宋_GB2312" w:eastAsia="仿宋_GB2312" w:hint="eastAsia"/>
          <w:color w:val="000000" w:themeColor="text1"/>
          <w:sz w:val="32"/>
          <w:szCs w:val="32"/>
        </w:rPr>
        <w:t>生长曲线的拐点，实现快速增长</w:t>
      </w:r>
      <w:r w:rsidRPr="00EA6EC8">
        <w:rPr>
          <w:rFonts w:ascii="仿宋_GB2312" w:eastAsia="仿宋_GB2312" w:hint="eastAsia"/>
          <w:color w:val="000000" w:themeColor="text1"/>
          <w:sz w:val="32"/>
          <w:szCs w:val="32"/>
        </w:rPr>
        <w:t>。具体而言，在根层总</w:t>
      </w:r>
      <w:r w:rsidRPr="00EA6EC8">
        <w:rPr>
          <w:rFonts w:ascii="仿宋_GB2312" w:eastAsia="仿宋_GB2312"/>
          <w:color w:val="000000" w:themeColor="text1"/>
          <w:sz w:val="32"/>
          <w:szCs w:val="32"/>
        </w:rPr>
        <w:t>Mg</w:t>
      </w:r>
      <w:r w:rsidRPr="00EA6EC8">
        <w:rPr>
          <w:rFonts w:ascii="仿宋_GB2312" w:eastAsia="仿宋_GB2312" w:hint="eastAsia"/>
          <w:color w:val="000000" w:themeColor="text1"/>
          <w:sz w:val="32"/>
          <w:szCs w:val="32"/>
        </w:rPr>
        <w:t>≥</w:t>
      </w:r>
      <w:r w:rsidRPr="00EA6EC8">
        <w:rPr>
          <w:rFonts w:ascii="仿宋_GB2312" w:eastAsia="仿宋_GB2312"/>
          <w:color w:val="000000" w:themeColor="text1"/>
          <w:sz w:val="32"/>
          <w:szCs w:val="32"/>
        </w:rPr>
        <w:t>1.35 g kg</w:t>
      </w:r>
      <w:r w:rsidRPr="00EA6EC8">
        <w:rPr>
          <w:rFonts w:ascii="仿宋_GB2312" w:eastAsia="仿宋_GB2312"/>
          <w:color w:val="000000" w:themeColor="text1"/>
          <w:sz w:val="32"/>
          <w:szCs w:val="32"/>
        </w:rPr>
        <w:t>⁻¹</w:t>
      </w:r>
      <w:r w:rsidRPr="00EA6EC8">
        <w:rPr>
          <w:rFonts w:ascii="仿宋_GB2312" w:eastAsia="仿宋_GB2312" w:hint="eastAsia"/>
          <w:color w:val="000000" w:themeColor="text1"/>
          <w:sz w:val="32"/>
          <w:szCs w:val="32"/>
        </w:rPr>
        <w:t>条件下，甘蔗产量从对照的</w:t>
      </w:r>
      <w:r w:rsidRPr="00EA6EC8">
        <w:rPr>
          <w:rFonts w:ascii="仿宋_GB2312" w:eastAsia="仿宋_GB2312"/>
          <w:color w:val="000000" w:themeColor="text1"/>
          <w:sz w:val="32"/>
          <w:szCs w:val="32"/>
        </w:rPr>
        <w:t>6.1 t/</w:t>
      </w:r>
      <w:r w:rsidRPr="00EA6EC8">
        <w:rPr>
          <w:rFonts w:ascii="仿宋_GB2312" w:eastAsia="仿宋_GB2312" w:hint="eastAsia"/>
          <w:color w:val="000000" w:themeColor="text1"/>
          <w:sz w:val="32"/>
          <w:szCs w:val="32"/>
        </w:rPr>
        <w:t>亩快速提升至</w:t>
      </w:r>
      <w:r w:rsidRPr="00EA6EC8">
        <w:rPr>
          <w:rFonts w:ascii="仿宋_GB2312" w:eastAsia="仿宋_GB2312"/>
          <w:color w:val="000000" w:themeColor="text1"/>
          <w:sz w:val="32"/>
          <w:szCs w:val="32"/>
        </w:rPr>
        <w:t>9.5</w:t>
      </w:r>
      <w:r w:rsidRPr="00EA6EC8">
        <w:rPr>
          <w:rFonts w:ascii="仿宋_GB2312" w:eastAsia="仿宋_GB2312" w:hint="eastAsia"/>
          <w:color w:val="000000" w:themeColor="text1"/>
          <w:sz w:val="32"/>
          <w:szCs w:val="32"/>
        </w:rPr>
        <w:t xml:space="preserve"> t/亩，增产幅度达到56%；在全株Ca累积量≥16.75 g条件下，甘蔗产量从对照的6.5 t/亩提升至8.7 t/亩，增产幅度达到34%。这种显著的增产效应主要归因于钙镁元素在甘蔗糖分形成与积累过程中的协同调控作用，钙元素通过维持细胞壁结构稳定、调节酶活性来影响糖分合成，镁元素作为叶绿素分子的核心组分直接参与光合作用和糖分形成，两者的协同作用显著提升了甘蔗的"源-库-流"系统效率，实现了产量和品质的双重提升</w:t>
      </w:r>
      <w:r>
        <w:rPr>
          <w:rFonts w:ascii="仿宋_GB2312" w:eastAsia="仿宋_GB2312" w:hint="eastAsia"/>
          <w:color w:val="000000" w:themeColor="text1"/>
          <w:sz w:val="32"/>
          <w:szCs w:val="32"/>
        </w:rPr>
        <w:t>。</w:t>
      </w:r>
    </w:p>
    <w:p w14:paraId="37103321" w14:textId="662DD79C" w:rsidR="00EA6EC8" w:rsidRDefault="00EA6EC8" w:rsidP="00EA6EC8">
      <w:pPr>
        <w:jc w:val="center"/>
        <w:rPr>
          <w:rFonts w:ascii="仿宋_GB2312" w:eastAsia="仿宋_GB2312"/>
          <w:color w:val="000000" w:themeColor="text1"/>
          <w:sz w:val="32"/>
          <w:szCs w:val="32"/>
        </w:rPr>
      </w:pPr>
      <w:r>
        <w:rPr>
          <w:noProof/>
        </w:rPr>
        <w:drawing>
          <wp:inline distT="0" distB="0" distL="0" distR="0" wp14:anchorId="07B55870" wp14:editId="79329693">
            <wp:extent cx="3949002" cy="2962275"/>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3962688" cy="2972541"/>
                    </a:xfrm>
                    <a:prstGeom prst="rect">
                      <a:avLst/>
                    </a:prstGeom>
                    <a:noFill/>
                  </pic:spPr>
                </pic:pic>
              </a:graphicData>
            </a:graphic>
          </wp:inline>
        </w:drawing>
      </w:r>
    </w:p>
    <w:p w14:paraId="750076A4" w14:textId="2B451F5A" w:rsidR="00EA6EC8" w:rsidRDefault="00EA6EC8" w:rsidP="00EA6EC8">
      <w:pPr>
        <w:widowControl/>
        <w:jc w:val="center"/>
        <w:rPr>
          <w:kern w:val="0"/>
        </w:rPr>
      </w:pPr>
      <w:r>
        <w:rPr>
          <w:noProof/>
        </w:rPr>
        <w:lastRenderedPageBreak/>
        <w:drawing>
          <wp:inline distT="0" distB="0" distL="0" distR="0" wp14:anchorId="6DC56617" wp14:editId="034B347C">
            <wp:extent cx="3857625" cy="2892961"/>
            <wp:effectExtent l="0" t="0" r="0" b="3175"/>
            <wp:docPr id="13726863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686361" name="图片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3868664" cy="2901240"/>
                    </a:xfrm>
                    <a:prstGeom prst="rect">
                      <a:avLst/>
                    </a:prstGeom>
                    <a:noFill/>
                  </pic:spPr>
                </pic:pic>
              </a:graphicData>
            </a:graphic>
          </wp:inline>
        </w:drawing>
      </w:r>
    </w:p>
    <w:p w14:paraId="1D24D261" w14:textId="2E2E3E99" w:rsidR="00EA6EC8" w:rsidRPr="00EA6EC8" w:rsidRDefault="00EA6EC8" w:rsidP="00EA6EC8">
      <w:pPr>
        <w:spacing w:line="360" w:lineRule="auto"/>
        <w:jc w:val="center"/>
        <w:rPr>
          <w:rFonts w:ascii="Times New Roman" w:eastAsia="仿宋" w:hAnsi="Times New Roman" w:cs="Times New Roman"/>
          <w:color w:val="000000"/>
          <w:kern w:val="0"/>
          <w:sz w:val="24"/>
          <w:szCs w:val="21"/>
        </w:rPr>
      </w:pPr>
      <w:r w:rsidRPr="00EA6EC8">
        <w:rPr>
          <w:rFonts w:ascii="Times New Roman" w:eastAsia="仿宋" w:hAnsi="Times New Roman" w:cs="Times New Roman" w:hint="eastAsia"/>
          <w:color w:val="000000"/>
          <w:kern w:val="0"/>
          <w:sz w:val="24"/>
          <w:szCs w:val="21"/>
        </w:rPr>
        <w:t>叶片镁与钙累积量与甘蔗产量的</w:t>
      </w:r>
      <w:r w:rsidRPr="00EA6EC8">
        <w:rPr>
          <w:rFonts w:ascii="Times New Roman" w:eastAsia="仿宋" w:hAnsi="Times New Roman" w:cs="Times New Roman" w:hint="eastAsia"/>
          <w:color w:val="000000"/>
          <w:kern w:val="0"/>
          <w:sz w:val="24"/>
          <w:szCs w:val="21"/>
        </w:rPr>
        <w:t>Logistic</w:t>
      </w:r>
      <w:r w:rsidRPr="00EA6EC8">
        <w:rPr>
          <w:rFonts w:ascii="Times New Roman" w:eastAsia="仿宋" w:hAnsi="Times New Roman" w:cs="Times New Roman" w:hint="eastAsia"/>
          <w:color w:val="000000"/>
          <w:kern w:val="0"/>
          <w:sz w:val="24"/>
          <w:szCs w:val="21"/>
        </w:rPr>
        <w:t>生长曲线</w:t>
      </w:r>
    </w:p>
    <w:p w14:paraId="08106F0E"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六、重大意见分歧的处理依据和结果</w:t>
      </w:r>
    </w:p>
    <w:p w14:paraId="798124BB"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本标准研制过程中无重大分歧意见。</w:t>
      </w:r>
    </w:p>
    <w:p w14:paraId="6A6B000F"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七、实施标准的措施</w:t>
      </w:r>
    </w:p>
    <w:p w14:paraId="25EE2F78"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（一）标准报批发布后，成立标准宣贯工作组</w:t>
      </w:r>
    </w:p>
    <w:p w14:paraId="3D9FD746"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3812799D"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（二）组织开展标准宣贯培训</w:t>
      </w:r>
    </w:p>
    <w:p w14:paraId="37D04611" w14:textId="4BB115E3" w:rsidR="00D634F2" w:rsidRDefault="008854C0">
      <w:pPr>
        <w:spacing w:line="520" w:lineRule="exact"/>
        <w:ind w:firstLineChars="200" w:firstLine="640"/>
        <w:rPr>
          <w:rFonts w:ascii="仿宋" w:eastAsia="仿宋" w:hAnsi="仿宋"/>
          <w:color w:val="000000" w:themeColor="text1"/>
          <w:sz w:val="32"/>
          <w:szCs w:val="32"/>
        </w:rPr>
      </w:pPr>
      <w:r>
        <w:rPr>
          <w:rFonts w:ascii="仿宋_GB2312" w:eastAsia="仿宋_GB2312" w:hint="eastAsia"/>
          <w:color w:val="000000" w:themeColor="text1"/>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促进</w:t>
      </w:r>
      <w:r w:rsidR="00C57BEA" w:rsidRPr="00C57BEA">
        <w:rPr>
          <w:rFonts w:ascii="仿宋_GB2312" w:eastAsia="仿宋_GB2312" w:hint="eastAsia"/>
          <w:color w:val="000000" w:themeColor="text1"/>
          <w:sz w:val="32"/>
          <w:szCs w:val="32"/>
        </w:rPr>
        <w:t>蔗区农业</w:t>
      </w:r>
      <w:r>
        <w:rPr>
          <w:rFonts w:ascii="仿宋_GB2312" w:eastAsia="仿宋_GB2312" w:hint="eastAsia"/>
          <w:color w:val="000000" w:themeColor="text1"/>
          <w:sz w:val="32"/>
          <w:szCs w:val="32"/>
        </w:rPr>
        <w:t>健康发展。</w:t>
      </w:r>
    </w:p>
    <w:p w14:paraId="4C1CBF56"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（三）开展标准实施交流会，收集标准实施反馈信息</w:t>
      </w:r>
    </w:p>
    <w:p w14:paraId="05E512D3" w14:textId="43D220ED"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标准起草小组深入各市县相关机构技术人员召开标准实施</w:t>
      </w:r>
      <w:r>
        <w:rPr>
          <w:rFonts w:ascii="仿宋_GB2312" w:eastAsia="仿宋_GB2312" w:hint="eastAsia"/>
          <w:color w:val="000000" w:themeColor="text1"/>
          <w:sz w:val="32"/>
          <w:szCs w:val="32"/>
        </w:rPr>
        <w:lastRenderedPageBreak/>
        <w:t>交流会，听取标准实施过程中存在的问题并做好记录和解答，对存在的问题组织专家团队进行研讨，为标准的复审修订做准备。</w:t>
      </w:r>
    </w:p>
    <w:p w14:paraId="400FCE31"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（四）开展标准实施效果评估</w:t>
      </w:r>
    </w:p>
    <w:p w14:paraId="396607B7"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1A42D020"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八、其他应当说明的事项</w:t>
      </w:r>
    </w:p>
    <w:p w14:paraId="10370A89"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无。</w:t>
      </w:r>
    </w:p>
    <w:p w14:paraId="36D45EF5" w14:textId="77777777" w:rsidR="00D634F2" w:rsidRDefault="00D634F2">
      <w:pPr>
        <w:pStyle w:val="-1"/>
        <w:rPr>
          <w:rFonts w:ascii="仿宋_GB2312" w:eastAsia="仿宋_GB2312"/>
          <w:color w:val="000000" w:themeColor="text1"/>
          <w:sz w:val="28"/>
          <w:szCs w:val="28"/>
        </w:rPr>
      </w:pPr>
    </w:p>
    <w:p w14:paraId="0C4BBABE" w14:textId="77777777" w:rsidR="00D634F2" w:rsidRDefault="00D634F2">
      <w:pPr>
        <w:pStyle w:val="-1"/>
        <w:rPr>
          <w:rFonts w:ascii="仿宋_GB2312" w:eastAsia="仿宋_GB2312"/>
          <w:color w:val="000000" w:themeColor="text1"/>
          <w:sz w:val="28"/>
          <w:szCs w:val="28"/>
        </w:rPr>
      </w:pPr>
    </w:p>
    <w:p w14:paraId="5047C76A" w14:textId="10FF98A6" w:rsidR="00D634F2" w:rsidRDefault="008854C0">
      <w:pPr>
        <w:spacing w:line="520" w:lineRule="exact"/>
        <w:ind w:firstLineChars="200" w:firstLine="640"/>
        <w:jc w:val="righ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2577E1">
        <w:rPr>
          <w:rFonts w:ascii="仿宋_GB2312" w:eastAsia="仿宋_GB2312" w:hint="eastAsia"/>
          <w:color w:val="000000" w:themeColor="text1"/>
          <w:sz w:val="32"/>
          <w:szCs w:val="32"/>
        </w:rPr>
        <w:t>赤红壤蔗田钙镁肥降酸技术规程</w:t>
      </w:r>
      <w:r>
        <w:rPr>
          <w:rFonts w:ascii="仿宋_GB2312" w:eastAsia="仿宋_GB2312" w:hint="eastAsia"/>
          <w:color w:val="000000" w:themeColor="text1"/>
          <w:sz w:val="32"/>
          <w:szCs w:val="32"/>
        </w:rPr>
        <w:t>》</w:t>
      </w:r>
    </w:p>
    <w:p w14:paraId="6CBA16C8"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标准编制工作组</w:t>
      </w:r>
    </w:p>
    <w:p w14:paraId="3A08D85D" w14:textId="379B477D"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202</w:t>
      </w:r>
      <w:r>
        <w:rPr>
          <w:rFonts w:ascii="仿宋_GB2312" w:eastAsia="仿宋_GB2312"/>
          <w:color w:val="000000" w:themeColor="text1"/>
          <w:sz w:val="32"/>
          <w:szCs w:val="32"/>
        </w:rPr>
        <w:t>5</w:t>
      </w:r>
      <w:r>
        <w:rPr>
          <w:rFonts w:ascii="仿宋_GB2312" w:eastAsia="仿宋_GB2312" w:hint="eastAsia"/>
          <w:color w:val="000000" w:themeColor="text1"/>
          <w:sz w:val="32"/>
          <w:szCs w:val="32"/>
        </w:rPr>
        <w:t>年</w:t>
      </w:r>
      <w:r w:rsidR="000C3F40">
        <w:rPr>
          <w:rFonts w:ascii="仿宋_GB2312" w:eastAsia="仿宋_GB2312"/>
          <w:color w:val="000000" w:themeColor="text1"/>
          <w:sz w:val="32"/>
          <w:szCs w:val="32"/>
        </w:rPr>
        <w:t>11</w:t>
      </w:r>
      <w:r>
        <w:rPr>
          <w:rFonts w:ascii="仿宋_GB2312" w:eastAsia="仿宋_GB2312" w:hint="eastAsia"/>
          <w:color w:val="000000" w:themeColor="text1"/>
          <w:sz w:val="32"/>
          <w:szCs w:val="32"/>
        </w:rPr>
        <w:t>月</w:t>
      </w:r>
      <w:r w:rsidR="000C3F40">
        <w:rPr>
          <w:rFonts w:ascii="仿宋_GB2312" w:eastAsia="仿宋_GB2312"/>
          <w:color w:val="000000" w:themeColor="text1"/>
          <w:sz w:val="32"/>
          <w:szCs w:val="32"/>
        </w:rPr>
        <w:t>24</w:t>
      </w:r>
      <w:r>
        <w:rPr>
          <w:rFonts w:ascii="仿宋_GB2312" w:eastAsia="仿宋_GB2312" w:hint="eastAsia"/>
          <w:color w:val="000000" w:themeColor="text1"/>
          <w:sz w:val="32"/>
          <w:szCs w:val="32"/>
        </w:rPr>
        <w:t>日</w:t>
      </w:r>
    </w:p>
    <w:p w14:paraId="3443FBC0" w14:textId="77777777" w:rsidR="00D157EE" w:rsidRPr="00D157EE" w:rsidRDefault="00D157EE" w:rsidP="000C3F40">
      <w:pPr>
        <w:pStyle w:val="BodyText2"/>
        <w:jc w:val="center"/>
      </w:pPr>
    </w:p>
    <w:sectPr w:rsidR="00D157EE" w:rsidRPr="00D157EE">
      <w:footerReference w:type="default" r:id="rId21"/>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EB3301" w14:textId="77777777" w:rsidR="00CE2646" w:rsidRDefault="00CE2646">
      <w:r>
        <w:separator/>
      </w:r>
    </w:p>
  </w:endnote>
  <w:endnote w:type="continuationSeparator" w:id="0">
    <w:p w14:paraId="787303CF" w14:textId="77777777" w:rsidR="00CE2646" w:rsidRDefault="00CE26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BCE3858B-0FDB-45FA-89EC-64500B43D876}"/>
  </w:font>
  <w:font w:name="Calibri">
    <w:panose1 w:val="020F0502020204030204"/>
    <w:charset w:val="00"/>
    <w:family w:val="swiss"/>
    <w:pitch w:val="variable"/>
    <w:sig w:usb0="E00002FF" w:usb1="4000ACFF" w:usb2="00000001" w:usb3="00000000" w:csb0="0000019F" w:csb1="00000000"/>
    <w:embedRegular r:id="rId2" w:subsetted="1" w:fontKey="{A61D81A7-F700-4182-A38C-66B918542D91}"/>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embedRegular r:id="rId3" w:subsetted="1" w:fontKey="{CF7DF150-38AE-4EFD-A1CF-D5489E513B97}"/>
  </w:font>
  <w:font w:name="等线">
    <w:altName w:val="DengXian"/>
    <w:panose1 w:val="02010600030101010101"/>
    <w:charset w:val="86"/>
    <w:family w:val="auto"/>
    <w:pitch w:val="variable"/>
    <w:sig w:usb0="A00002BF" w:usb1="38CF7CFA" w:usb2="00000016" w:usb3="00000000" w:csb0="0004000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4" w:subsetted="1" w:fontKey="{3E8FE94D-B6E3-473C-A9F4-50947BDF63FD}"/>
    <w:embedBold r:id="rId5" w:subsetted="1" w:fontKey="{B5A0BDEF-9AD1-41AD-B12C-046A0B253ED8}"/>
  </w:font>
  <w:font w:name="楷体">
    <w:panose1 w:val="02010609060101010101"/>
    <w:charset w:val="86"/>
    <w:family w:val="modern"/>
    <w:pitch w:val="fixed"/>
    <w:sig w:usb0="800002BF" w:usb1="38CF7CFA" w:usb2="00000016" w:usb3="00000000" w:csb0="00040001" w:csb1="00000000"/>
    <w:embedBold r:id="rId6" w:subsetted="1" w:fontKey="{88834FD6-019E-404C-851E-D319D61A23A0}"/>
  </w:font>
  <w:font w:name="Cambria Math">
    <w:panose1 w:val="02040503050406030204"/>
    <w:charset w:val="00"/>
    <w:family w:val="roman"/>
    <w:pitch w:val="variable"/>
    <w:sig w:usb0="E00002FF" w:usb1="420024FF" w:usb2="00000000" w:usb3="00000000" w:csb0="0000019F" w:csb1="00000000"/>
    <w:embedRegular r:id="rId7" w:subsetted="1" w:fontKey="{568A17D1-D6FC-4A96-BE29-9704CFCD89D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765792" w14:textId="77777777" w:rsidR="00AC1923" w:rsidRDefault="00AC1923">
    <w:pPr>
      <w:pStyle w:val="af8"/>
      <w:ind w:firstLine="378"/>
    </w:pPr>
    <w:r>
      <w:rPr>
        <w:noProof/>
      </w:rPr>
      <mc:AlternateContent>
        <mc:Choice Requires="wps">
          <w:drawing>
            <wp:anchor distT="0" distB="0" distL="114300" distR="114300" simplePos="0" relativeHeight="251659264" behindDoc="0" locked="0" layoutInCell="1" allowOverlap="1" wp14:anchorId="26AD30D5" wp14:editId="5D371AB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2607E4CD" w14:textId="130FB031" w:rsidR="00AC1923" w:rsidRDefault="00AC1923">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CC2F42">
                            <w:rPr>
                              <w:rFonts w:ascii="宋体" w:hAnsi="宋体"/>
                              <w:noProof/>
                              <w:sz w:val="21"/>
                            </w:rPr>
                            <w:t>10</w:t>
                          </w:r>
                          <w:r>
                            <w:rPr>
                              <w:rFonts w:ascii="宋体" w:hAnsi="宋体" w:hint="eastAsia"/>
                              <w:sz w:val="21"/>
                            </w:rPr>
                            <w:fldChar w:fldCharType="end"/>
                          </w:r>
                        </w:p>
                      </w:txbxContent>
                    </wps:txbx>
                    <wps:bodyPr wrap="none" lIns="0" tIns="0" rIns="0" bIns="0" upright="1">
                      <a:spAutoFit/>
                    </wps:bodyPr>
                  </wps:wsp>
                </a:graphicData>
              </a:graphic>
            </wp:anchor>
          </w:drawing>
        </mc:Choice>
        <mc:Fallback>
          <w:pict>
            <v:shapetype w14:anchorId="26AD30D5"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2607E4CD" w14:textId="130FB031" w:rsidR="00AC1923" w:rsidRDefault="00AC1923">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CC2F42">
                      <w:rPr>
                        <w:rFonts w:ascii="宋体" w:hAnsi="宋体"/>
                        <w:noProof/>
                        <w:sz w:val="21"/>
                      </w:rPr>
                      <w:t>10</w:t>
                    </w:r>
                    <w:r>
                      <w:rPr>
                        <w:rFonts w:ascii="宋体" w:hAnsi="宋体" w:hint="eastAsia"/>
                        <w:sz w:val="21"/>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20E1FE" w14:textId="77777777" w:rsidR="00CE2646" w:rsidRDefault="00CE2646">
      <w:r>
        <w:separator/>
      </w:r>
    </w:p>
  </w:footnote>
  <w:footnote w:type="continuationSeparator" w:id="0">
    <w:p w14:paraId="2DC29E95" w14:textId="77777777" w:rsidR="00CE2646" w:rsidRDefault="00CE26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CF5396"/>
    <w:multiLevelType w:val="singleLevel"/>
    <w:tmpl w:val="81CF5396"/>
    <w:lvl w:ilvl="0">
      <w:start w:val="1"/>
      <w:numFmt w:val="decimal"/>
      <w:suff w:val="nothing"/>
      <w:lvlText w:val="%1）"/>
      <w:lvlJc w:val="left"/>
    </w:lvl>
  </w:abstractNum>
  <w:abstractNum w:abstractNumId="1"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2" w15:restartNumberingAfterBreak="0">
    <w:nsid w:val="A1098D4C"/>
    <w:multiLevelType w:val="singleLevel"/>
    <w:tmpl w:val="A1098D4C"/>
    <w:lvl w:ilvl="0">
      <w:start w:val="1"/>
      <w:numFmt w:val="decimal"/>
      <w:suff w:val="nothing"/>
      <w:lvlText w:val="%1、"/>
      <w:lvlJc w:val="left"/>
    </w:lvl>
  </w:abstractNum>
  <w:abstractNum w:abstractNumId="3"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15:restartNumberingAfterBreak="0">
    <w:nsid w:val="2C5917C3"/>
    <w:multiLevelType w:val="multilevel"/>
    <w:tmpl w:val="2C5917C3"/>
    <w:lvl w:ilvl="0">
      <w:start w:val="1"/>
      <w:numFmt w:val="none"/>
      <w:pStyle w:val="a1"/>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5" w15:restartNumberingAfterBreak="0">
    <w:nsid w:val="44C50F90"/>
    <w:multiLevelType w:val="multilevel"/>
    <w:tmpl w:val="44C50F90"/>
    <w:lvl w:ilvl="0">
      <w:start w:val="1"/>
      <w:numFmt w:val="lowerLetter"/>
      <w:pStyle w:val="a2"/>
      <w:lvlText w:val="%1)"/>
      <w:lvlJc w:val="left"/>
      <w:pPr>
        <w:tabs>
          <w:tab w:val="left" w:pos="851"/>
        </w:tabs>
        <w:ind w:left="851" w:hanging="426"/>
      </w:pPr>
      <w:rPr>
        <w:rFonts w:ascii="宋体" w:eastAsia="宋体" w:hAnsi="Times New Roman" w:hint="eastAsia"/>
        <w:sz w:val="21"/>
      </w:rPr>
    </w:lvl>
    <w:lvl w:ilvl="1">
      <w:start w:val="1"/>
      <w:numFmt w:val="decimal"/>
      <w:pStyle w:val="a3"/>
      <w:lvlText w:val="%2)"/>
      <w:lvlJc w:val="left"/>
      <w:pPr>
        <w:tabs>
          <w:tab w:val="left" w:pos="1276"/>
        </w:tabs>
        <w:ind w:left="1276" w:hanging="425"/>
      </w:pPr>
      <w:rPr>
        <w:rFonts w:ascii="宋体" w:eastAsia="宋体" w:hAnsi="Times New Roman" w:hint="eastAsia"/>
        <w:sz w:val="21"/>
      </w:rPr>
    </w:lvl>
    <w:lvl w:ilvl="2">
      <w:start w:val="1"/>
      <w:numFmt w:val="decimal"/>
      <w:pStyle w:val="a4"/>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6" w15:restartNumberingAfterBreak="0">
    <w:nsid w:val="5A9B6960"/>
    <w:multiLevelType w:val="multilevel"/>
    <w:tmpl w:val="5A9B6960"/>
    <w:lvl w:ilvl="0">
      <w:start w:val="1"/>
      <w:numFmt w:val="none"/>
      <w:pStyle w:val="a5"/>
      <w:suff w:val="nothing"/>
      <w:lvlText w:val="%1"/>
      <w:legacy w:legacy="1" w:legacySpace="0" w:legacyIndent="0"/>
      <w:lvlJc w:val="left"/>
      <w:pPr>
        <w:ind w:left="0" w:firstLine="0"/>
      </w:pPr>
      <w:rPr>
        <w:rFonts w:hint="eastAsia"/>
      </w:rPr>
    </w:lvl>
    <w:lvl w:ilvl="1">
      <w:start w:val="1"/>
      <w:numFmt w:val="decimal"/>
      <w:pStyle w:val="a6"/>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7"/>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8"/>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9"/>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a"/>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7"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6"/>
  </w:num>
  <w:num w:numId="2">
    <w:abstractNumId w:val="1"/>
  </w:num>
  <w:num w:numId="3">
    <w:abstractNumId w:val="5"/>
  </w:num>
  <w:num w:numId="4">
    <w:abstractNumId w:val="4"/>
  </w:num>
  <w:num w:numId="5">
    <w:abstractNumId w:val="7"/>
  </w:num>
  <w:num w:numId="6">
    <w:abstractNumId w:val="3"/>
  </w:num>
  <w:num w:numId="7">
    <w:abstractNumId w:val="2"/>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000026B4"/>
    <w:rsid w:val="000068A2"/>
    <w:rsid w:val="00014983"/>
    <w:rsid w:val="00014F92"/>
    <w:rsid w:val="000171F6"/>
    <w:rsid w:val="000178C8"/>
    <w:rsid w:val="00021AEF"/>
    <w:rsid w:val="00024C52"/>
    <w:rsid w:val="0004185E"/>
    <w:rsid w:val="00041CA7"/>
    <w:rsid w:val="000424C0"/>
    <w:rsid w:val="000513F3"/>
    <w:rsid w:val="00051A80"/>
    <w:rsid w:val="00051C74"/>
    <w:rsid w:val="00051F5E"/>
    <w:rsid w:val="000540AB"/>
    <w:rsid w:val="00055442"/>
    <w:rsid w:val="00061BDC"/>
    <w:rsid w:val="0006459C"/>
    <w:rsid w:val="000671D8"/>
    <w:rsid w:val="000709A1"/>
    <w:rsid w:val="00071CAA"/>
    <w:rsid w:val="00072103"/>
    <w:rsid w:val="000743B4"/>
    <w:rsid w:val="00075653"/>
    <w:rsid w:val="00076330"/>
    <w:rsid w:val="00082613"/>
    <w:rsid w:val="00092E1F"/>
    <w:rsid w:val="00094B6B"/>
    <w:rsid w:val="000968C6"/>
    <w:rsid w:val="000969BE"/>
    <w:rsid w:val="00097E01"/>
    <w:rsid w:val="000A2616"/>
    <w:rsid w:val="000A5CC4"/>
    <w:rsid w:val="000A77F5"/>
    <w:rsid w:val="000B2F3C"/>
    <w:rsid w:val="000B3320"/>
    <w:rsid w:val="000B3E65"/>
    <w:rsid w:val="000B4242"/>
    <w:rsid w:val="000B6E76"/>
    <w:rsid w:val="000C3C30"/>
    <w:rsid w:val="000C3F40"/>
    <w:rsid w:val="000C517B"/>
    <w:rsid w:val="000C6800"/>
    <w:rsid w:val="000C7685"/>
    <w:rsid w:val="000D1FCA"/>
    <w:rsid w:val="000D211A"/>
    <w:rsid w:val="000D2C09"/>
    <w:rsid w:val="000D35F1"/>
    <w:rsid w:val="000D47AC"/>
    <w:rsid w:val="000D688C"/>
    <w:rsid w:val="000D6AA8"/>
    <w:rsid w:val="000D75AA"/>
    <w:rsid w:val="000E0C0E"/>
    <w:rsid w:val="000E53EA"/>
    <w:rsid w:val="000F03C9"/>
    <w:rsid w:val="000F21F0"/>
    <w:rsid w:val="000F2317"/>
    <w:rsid w:val="000F2861"/>
    <w:rsid w:val="000F7AED"/>
    <w:rsid w:val="00101040"/>
    <w:rsid w:val="00110AC2"/>
    <w:rsid w:val="001121F0"/>
    <w:rsid w:val="001133E6"/>
    <w:rsid w:val="001133EF"/>
    <w:rsid w:val="001143BC"/>
    <w:rsid w:val="00116CEA"/>
    <w:rsid w:val="0012345E"/>
    <w:rsid w:val="00132D8B"/>
    <w:rsid w:val="001334A1"/>
    <w:rsid w:val="00133F3E"/>
    <w:rsid w:val="0013596D"/>
    <w:rsid w:val="00141D5D"/>
    <w:rsid w:val="00141D9D"/>
    <w:rsid w:val="001437B3"/>
    <w:rsid w:val="00152CB3"/>
    <w:rsid w:val="001530FB"/>
    <w:rsid w:val="001548F8"/>
    <w:rsid w:val="001655CC"/>
    <w:rsid w:val="0018012C"/>
    <w:rsid w:val="001821C9"/>
    <w:rsid w:val="00183018"/>
    <w:rsid w:val="00190E01"/>
    <w:rsid w:val="00192A37"/>
    <w:rsid w:val="001968C3"/>
    <w:rsid w:val="001A3825"/>
    <w:rsid w:val="001A7570"/>
    <w:rsid w:val="001B0030"/>
    <w:rsid w:val="001B3580"/>
    <w:rsid w:val="001B6B04"/>
    <w:rsid w:val="001C21D4"/>
    <w:rsid w:val="001C4C8F"/>
    <w:rsid w:val="001C7DE8"/>
    <w:rsid w:val="001D03FF"/>
    <w:rsid w:val="001D0584"/>
    <w:rsid w:val="001D3156"/>
    <w:rsid w:val="001D4971"/>
    <w:rsid w:val="001D7386"/>
    <w:rsid w:val="001E1206"/>
    <w:rsid w:val="001E130D"/>
    <w:rsid w:val="001E1CA6"/>
    <w:rsid w:val="001E29C4"/>
    <w:rsid w:val="001E2D73"/>
    <w:rsid w:val="001E72E4"/>
    <w:rsid w:val="001F251A"/>
    <w:rsid w:val="001F2A8F"/>
    <w:rsid w:val="001F4D35"/>
    <w:rsid w:val="001F5F5D"/>
    <w:rsid w:val="00200252"/>
    <w:rsid w:val="0020127F"/>
    <w:rsid w:val="00204829"/>
    <w:rsid w:val="00205352"/>
    <w:rsid w:val="00205D69"/>
    <w:rsid w:val="00210FD3"/>
    <w:rsid w:val="00212227"/>
    <w:rsid w:val="0021503F"/>
    <w:rsid w:val="00215478"/>
    <w:rsid w:val="002209F0"/>
    <w:rsid w:val="002210B4"/>
    <w:rsid w:val="00221DEA"/>
    <w:rsid w:val="0022236C"/>
    <w:rsid w:val="0022377B"/>
    <w:rsid w:val="002251A3"/>
    <w:rsid w:val="00226607"/>
    <w:rsid w:val="002324B6"/>
    <w:rsid w:val="00234F7D"/>
    <w:rsid w:val="00235F58"/>
    <w:rsid w:val="00236909"/>
    <w:rsid w:val="00236EB4"/>
    <w:rsid w:val="00237A0A"/>
    <w:rsid w:val="00241F8A"/>
    <w:rsid w:val="00242A75"/>
    <w:rsid w:val="00242E52"/>
    <w:rsid w:val="0024606D"/>
    <w:rsid w:val="00246E41"/>
    <w:rsid w:val="00251C09"/>
    <w:rsid w:val="0025373A"/>
    <w:rsid w:val="00253845"/>
    <w:rsid w:val="002546EF"/>
    <w:rsid w:val="002577E1"/>
    <w:rsid w:val="00262001"/>
    <w:rsid w:val="00263E80"/>
    <w:rsid w:val="002679F0"/>
    <w:rsid w:val="00271E05"/>
    <w:rsid w:val="00280BDB"/>
    <w:rsid w:val="00281F39"/>
    <w:rsid w:val="0028500C"/>
    <w:rsid w:val="0028575C"/>
    <w:rsid w:val="002879F6"/>
    <w:rsid w:val="00291CD8"/>
    <w:rsid w:val="002920DE"/>
    <w:rsid w:val="00292F73"/>
    <w:rsid w:val="0029554A"/>
    <w:rsid w:val="00297734"/>
    <w:rsid w:val="002A1166"/>
    <w:rsid w:val="002A2DDC"/>
    <w:rsid w:val="002A3479"/>
    <w:rsid w:val="002A3683"/>
    <w:rsid w:val="002B7B10"/>
    <w:rsid w:val="002B7C92"/>
    <w:rsid w:val="002C0F07"/>
    <w:rsid w:val="002C176B"/>
    <w:rsid w:val="002C3627"/>
    <w:rsid w:val="002D005F"/>
    <w:rsid w:val="002D0B78"/>
    <w:rsid w:val="002D2273"/>
    <w:rsid w:val="002D4342"/>
    <w:rsid w:val="002D5597"/>
    <w:rsid w:val="002E1B63"/>
    <w:rsid w:val="002E357A"/>
    <w:rsid w:val="002E3B58"/>
    <w:rsid w:val="002E4234"/>
    <w:rsid w:val="002E5273"/>
    <w:rsid w:val="002F03C6"/>
    <w:rsid w:val="002F0D8E"/>
    <w:rsid w:val="002F4C45"/>
    <w:rsid w:val="002F5C0C"/>
    <w:rsid w:val="00300FDB"/>
    <w:rsid w:val="00302739"/>
    <w:rsid w:val="00302A1F"/>
    <w:rsid w:val="00312804"/>
    <w:rsid w:val="00313922"/>
    <w:rsid w:val="00315D1F"/>
    <w:rsid w:val="003160CF"/>
    <w:rsid w:val="00317091"/>
    <w:rsid w:val="00317530"/>
    <w:rsid w:val="00320CB4"/>
    <w:rsid w:val="00321E92"/>
    <w:rsid w:val="00322535"/>
    <w:rsid w:val="003259AF"/>
    <w:rsid w:val="00325F9F"/>
    <w:rsid w:val="0032620D"/>
    <w:rsid w:val="0033062D"/>
    <w:rsid w:val="003306DD"/>
    <w:rsid w:val="00330A4E"/>
    <w:rsid w:val="00332242"/>
    <w:rsid w:val="003329C7"/>
    <w:rsid w:val="003332BA"/>
    <w:rsid w:val="003348AA"/>
    <w:rsid w:val="00340D9B"/>
    <w:rsid w:val="00340FDE"/>
    <w:rsid w:val="00342837"/>
    <w:rsid w:val="003460F3"/>
    <w:rsid w:val="00346534"/>
    <w:rsid w:val="003479E3"/>
    <w:rsid w:val="003517E7"/>
    <w:rsid w:val="00351C4B"/>
    <w:rsid w:val="00357BDF"/>
    <w:rsid w:val="00360A67"/>
    <w:rsid w:val="00360BAF"/>
    <w:rsid w:val="00361596"/>
    <w:rsid w:val="003618D0"/>
    <w:rsid w:val="00362C01"/>
    <w:rsid w:val="00367D5E"/>
    <w:rsid w:val="00371B5F"/>
    <w:rsid w:val="00372E66"/>
    <w:rsid w:val="00373160"/>
    <w:rsid w:val="00375933"/>
    <w:rsid w:val="0037633C"/>
    <w:rsid w:val="00382E35"/>
    <w:rsid w:val="00384168"/>
    <w:rsid w:val="003872E4"/>
    <w:rsid w:val="00390AD8"/>
    <w:rsid w:val="00390C14"/>
    <w:rsid w:val="00391F54"/>
    <w:rsid w:val="00393447"/>
    <w:rsid w:val="00396F2C"/>
    <w:rsid w:val="003A3F27"/>
    <w:rsid w:val="003A49FF"/>
    <w:rsid w:val="003A5862"/>
    <w:rsid w:val="003B0042"/>
    <w:rsid w:val="003B0E61"/>
    <w:rsid w:val="003B45A7"/>
    <w:rsid w:val="003B4F42"/>
    <w:rsid w:val="003B4FCF"/>
    <w:rsid w:val="003B6088"/>
    <w:rsid w:val="003C0E61"/>
    <w:rsid w:val="003D3CB2"/>
    <w:rsid w:val="003D485E"/>
    <w:rsid w:val="003D5559"/>
    <w:rsid w:val="003D5741"/>
    <w:rsid w:val="003D7E9E"/>
    <w:rsid w:val="003E080C"/>
    <w:rsid w:val="003E2B4C"/>
    <w:rsid w:val="00400A69"/>
    <w:rsid w:val="00400B2B"/>
    <w:rsid w:val="00400F75"/>
    <w:rsid w:val="004012D1"/>
    <w:rsid w:val="00405301"/>
    <w:rsid w:val="00406CA3"/>
    <w:rsid w:val="00411EFB"/>
    <w:rsid w:val="00417593"/>
    <w:rsid w:val="00422CC8"/>
    <w:rsid w:val="00424FB3"/>
    <w:rsid w:val="00426402"/>
    <w:rsid w:val="0042686B"/>
    <w:rsid w:val="00426DC5"/>
    <w:rsid w:val="00430411"/>
    <w:rsid w:val="004314F4"/>
    <w:rsid w:val="00432DC4"/>
    <w:rsid w:val="004373E9"/>
    <w:rsid w:val="00440265"/>
    <w:rsid w:val="0044036C"/>
    <w:rsid w:val="0044048B"/>
    <w:rsid w:val="0044065E"/>
    <w:rsid w:val="00444679"/>
    <w:rsid w:val="004458BB"/>
    <w:rsid w:val="0045095B"/>
    <w:rsid w:val="00451B0D"/>
    <w:rsid w:val="00454E8F"/>
    <w:rsid w:val="00455701"/>
    <w:rsid w:val="00460660"/>
    <w:rsid w:val="00460A36"/>
    <w:rsid w:val="004612C5"/>
    <w:rsid w:val="00461AA3"/>
    <w:rsid w:val="00462FF9"/>
    <w:rsid w:val="00471CEC"/>
    <w:rsid w:val="00473D8F"/>
    <w:rsid w:val="00474293"/>
    <w:rsid w:val="0047786D"/>
    <w:rsid w:val="004805DB"/>
    <w:rsid w:val="00480B2B"/>
    <w:rsid w:val="0048511D"/>
    <w:rsid w:val="00495AFE"/>
    <w:rsid w:val="00496185"/>
    <w:rsid w:val="00496EA4"/>
    <w:rsid w:val="004A18D9"/>
    <w:rsid w:val="004A4C72"/>
    <w:rsid w:val="004A75FF"/>
    <w:rsid w:val="004B0877"/>
    <w:rsid w:val="004B4D68"/>
    <w:rsid w:val="004C181C"/>
    <w:rsid w:val="004C445A"/>
    <w:rsid w:val="004C4477"/>
    <w:rsid w:val="004C4F1D"/>
    <w:rsid w:val="004C6673"/>
    <w:rsid w:val="004C7096"/>
    <w:rsid w:val="004C78DD"/>
    <w:rsid w:val="004C78FD"/>
    <w:rsid w:val="004C7CD6"/>
    <w:rsid w:val="004D3C4E"/>
    <w:rsid w:val="004D70EE"/>
    <w:rsid w:val="004D7C66"/>
    <w:rsid w:val="004E0167"/>
    <w:rsid w:val="004E152E"/>
    <w:rsid w:val="004E2983"/>
    <w:rsid w:val="004E5371"/>
    <w:rsid w:val="004E77D0"/>
    <w:rsid w:val="004F29B4"/>
    <w:rsid w:val="004F3228"/>
    <w:rsid w:val="004F6DB3"/>
    <w:rsid w:val="005020DE"/>
    <w:rsid w:val="005051BE"/>
    <w:rsid w:val="00506D43"/>
    <w:rsid w:val="00507297"/>
    <w:rsid w:val="00510DCF"/>
    <w:rsid w:val="00510F10"/>
    <w:rsid w:val="00511151"/>
    <w:rsid w:val="005124A3"/>
    <w:rsid w:val="00512A66"/>
    <w:rsid w:val="00515B82"/>
    <w:rsid w:val="0051608A"/>
    <w:rsid w:val="0051755E"/>
    <w:rsid w:val="005208D0"/>
    <w:rsid w:val="00524029"/>
    <w:rsid w:val="00524E15"/>
    <w:rsid w:val="00527354"/>
    <w:rsid w:val="00533B2A"/>
    <w:rsid w:val="0053400A"/>
    <w:rsid w:val="0053501E"/>
    <w:rsid w:val="0053635F"/>
    <w:rsid w:val="00536C3C"/>
    <w:rsid w:val="00537853"/>
    <w:rsid w:val="00537E5F"/>
    <w:rsid w:val="00540C2F"/>
    <w:rsid w:val="00540ED5"/>
    <w:rsid w:val="0054119B"/>
    <w:rsid w:val="00542F30"/>
    <w:rsid w:val="00544407"/>
    <w:rsid w:val="0054736C"/>
    <w:rsid w:val="00547941"/>
    <w:rsid w:val="00547AAF"/>
    <w:rsid w:val="005505FD"/>
    <w:rsid w:val="00554B7D"/>
    <w:rsid w:val="00564A0C"/>
    <w:rsid w:val="00564F91"/>
    <w:rsid w:val="00565DC9"/>
    <w:rsid w:val="0056706B"/>
    <w:rsid w:val="00571433"/>
    <w:rsid w:val="00571BCB"/>
    <w:rsid w:val="005734DC"/>
    <w:rsid w:val="00573DE7"/>
    <w:rsid w:val="00575956"/>
    <w:rsid w:val="00575C51"/>
    <w:rsid w:val="005777D1"/>
    <w:rsid w:val="00583E03"/>
    <w:rsid w:val="005873FB"/>
    <w:rsid w:val="00587B66"/>
    <w:rsid w:val="005910DC"/>
    <w:rsid w:val="00594F6B"/>
    <w:rsid w:val="0059544C"/>
    <w:rsid w:val="00597C52"/>
    <w:rsid w:val="005A067E"/>
    <w:rsid w:val="005A7C01"/>
    <w:rsid w:val="005B304B"/>
    <w:rsid w:val="005B6868"/>
    <w:rsid w:val="005C07C8"/>
    <w:rsid w:val="005C2C71"/>
    <w:rsid w:val="005C5910"/>
    <w:rsid w:val="005C5B2E"/>
    <w:rsid w:val="005C68B4"/>
    <w:rsid w:val="005C6BB1"/>
    <w:rsid w:val="005D2ABC"/>
    <w:rsid w:val="005D3003"/>
    <w:rsid w:val="005D616B"/>
    <w:rsid w:val="005D6C2D"/>
    <w:rsid w:val="005E3C13"/>
    <w:rsid w:val="005E47AA"/>
    <w:rsid w:val="005E5F8F"/>
    <w:rsid w:val="005E7B33"/>
    <w:rsid w:val="005F09D2"/>
    <w:rsid w:val="005F1668"/>
    <w:rsid w:val="005F2769"/>
    <w:rsid w:val="005F2AD0"/>
    <w:rsid w:val="005F2FD2"/>
    <w:rsid w:val="005F4961"/>
    <w:rsid w:val="005F529E"/>
    <w:rsid w:val="0060186C"/>
    <w:rsid w:val="00605A2E"/>
    <w:rsid w:val="0060769D"/>
    <w:rsid w:val="00611B2F"/>
    <w:rsid w:val="006121F4"/>
    <w:rsid w:val="00617539"/>
    <w:rsid w:val="00617590"/>
    <w:rsid w:val="00617B08"/>
    <w:rsid w:val="006260BB"/>
    <w:rsid w:val="00627AB4"/>
    <w:rsid w:val="00631D1E"/>
    <w:rsid w:val="006335ED"/>
    <w:rsid w:val="00633E53"/>
    <w:rsid w:val="006342DB"/>
    <w:rsid w:val="006343EC"/>
    <w:rsid w:val="0063539D"/>
    <w:rsid w:val="006371EA"/>
    <w:rsid w:val="00637F53"/>
    <w:rsid w:val="006477EC"/>
    <w:rsid w:val="00650557"/>
    <w:rsid w:val="00650F3D"/>
    <w:rsid w:val="00650FD7"/>
    <w:rsid w:val="006511A8"/>
    <w:rsid w:val="00653CD9"/>
    <w:rsid w:val="00654C80"/>
    <w:rsid w:val="00660ECB"/>
    <w:rsid w:val="00661F06"/>
    <w:rsid w:val="00664AC8"/>
    <w:rsid w:val="0066650C"/>
    <w:rsid w:val="0066728E"/>
    <w:rsid w:val="0067031D"/>
    <w:rsid w:val="0067378F"/>
    <w:rsid w:val="0067489E"/>
    <w:rsid w:val="006773E1"/>
    <w:rsid w:val="0068386A"/>
    <w:rsid w:val="00685738"/>
    <w:rsid w:val="00691000"/>
    <w:rsid w:val="00695D34"/>
    <w:rsid w:val="006A0FCD"/>
    <w:rsid w:val="006A4226"/>
    <w:rsid w:val="006A4FC1"/>
    <w:rsid w:val="006A5636"/>
    <w:rsid w:val="006A6711"/>
    <w:rsid w:val="006A6CB4"/>
    <w:rsid w:val="006B0BA0"/>
    <w:rsid w:val="006B12C0"/>
    <w:rsid w:val="006B71A8"/>
    <w:rsid w:val="006C0607"/>
    <w:rsid w:val="006C3771"/>
    <w:rsid w:val="006C5213"/>
    <w:rsid w:val="006C5D9F"/>
    <w:rsid w:val="006D0AF0"/>
    <w:rsid w:val="006D35DC"/>
    <w:rsid w:val="006D4F09"/>
    <w:rsid w:val="006E0874"/>
    <w:rsid w:val="006E1443"/>
    <w:rsid w:val="006E2C64"/>
    <w:rsid w:val="006E4C07"/>
    <w:rsid w:val="006E6BFD"/>
    <w:rsid w:val="006E746B"/>
    <w:rsid w:val="006F3E35"/>
    <w:rsid w:val="006F55FA"/>
    <w:rsid w:val="007016D6"/>
    <w:rsid w:val="00702EF2"/>
    <w:rsid w:val="00704968"/>
    <w:rsid w:val="00707BC6"/>
    <w:rsid w:val="007105C4"/>
    <w:rsid w:val="0071134C"/>
    <w:rsid w:val="007125F7"/>
    <w:rsid w:val="00714DDE"/>
    <w:rsid w:val="00720AF6"/>
    <w:rsid w:val="00726FA5"/>
    <w:rsid w:val="00727802"/>
    <w:rsid w:val="00731B29"/>
    <w:rsid w:val="00732724"/>
    <w:rsid w:val="00733795"/>
    <w:rsid w:val="00734E08"/>
    <w:rsid w:val="007351D6"/>
    <w:rsid w:val="00737200"/>
    <w:rsid w:val="00737872"/>
    <w:rsid w:val="00737D62"/>
    <w:rsid w:val="007400B5"/>
    <w:rsid w:val="0074491A"/>
    <w:rsid w:val="00747D22"/>
    <w:rsid w:val="00754349"/>
    <w:rsid w:val="00754D85"/>
    <w:rsid w:val="007557E4"/>
    <w:rsid w:val="00756356"/>
    <w:rsid w:val="00757FD8"/>
    <w:rsid w:val="007605F1"/>
    <w:rsid w:val="00763D7D"/>
    <w:rsid w:val="0076553F"/>
    <w:rsid w:val="00774434"/>
    <w:rsid w:val="007756AB"/>
    <w:rsid w:val="00777833"/>
    <w:rsid w:val="007811F6"/>
    <w:rsid w:val="00781D6C"/>
    <w:rsid w:val="007845E1"/>
    <w:rsid w:val="00785759"/>
    <w:rsid w:val="007936EA"/>
    <w:rsid w:val="007940A9"/>
    <w:rsid w:val="007940BF"/>
    <w:rsid w:val="00795EA0"/>
    <w:rsid w:val="00796DF7"/>
    <w:rsid w:val="007A149B"/>
    <w:rsid w:val="007B1EA3"/>
    <w:rsid w:val="007C08A9"/>
    <w:rsid w:val="007C2011"/>
    <w:rsid w:val="007C244C"/>
    <w:rsid w:val="007C66E4"/>
    <w:rsid w:val="007D641F"/>
    <w:rsid w:val="007D725F"/>
    <w:rsid w:val="007E18F0"/>
    <w:rsid w:val="007E608C"/>
    <w:rsid w:val="007F2B8D"/>
    <w:rsid w:val="007F3206"/>
    <w:rsid w:val="007F44C1"/>
    <w:rsid w:val="007F6D75"/>
    <w:rsid w:val="00801A7F"/>
    <w:rsid w:val="0080563C"/>
    <w:rsid w:val="00806BAC"/>
    <w:rsid w:val="008105E1"/>
    <w:rsid w:val="00812DC4"/>
    <w:rsid w:val="00813A84"/>
    <w:rsid w:val="00814260"/>
    <w:rsid w:val="00814DA3"/>
    <w:rsid w:val="00815F39"/>
    <w:rsid w:val="008206EE"/>
    <w:rsid w:val="008216E8"/>
    <w:rsid w:val="008247C4"/>
    <w:rsid w:val="00825F04"/>
    <w:rsid w:val="00826611"/>
    <w:rsid w:val="00826BFA"/>
    <w:rsid w:val="00831A18"/>
    <w:rsid w:val="0083680B"/>
    <w:rsid w:val="00836EA3"/>
    <w:rsid w:val="00840B0D"/>
    <w:rsid w:val="00850053"/>
    <w:rsid w:val="00853F5C"/>
    <w:rsid w:val="00854417"/>
    <w:rsid w:val="00856862"/>
    <w:rsid w:val="00856A9B"/>
    <w:rsid w:val="00860AE3"/>
    <w:rsid w:val="008653C3"/>
    <w:rsid w:val="008715CA"/>
    <w:rsid w:val="00874BB5"/>
    <w:rsid w:val="00875B83"/>
    <w:rsid w:val="008779C2"/>
    <w:rsid w:val="0088204E"/>
    <w:rsid w:val="00882F78"/>
    <w:rsid w:val="008854C0"/>
    <w:rsid w:val="0088596D"/>
    <w:rsid w:val="00885A19"/>
    <w:rsid w:val="00886CE3"/>
    <w:rsid w:val="00887632"/>
    <w:rsid w:val="00890AB3"/>
    <w:rsid w:val="00893A2E"/>
    <w:rsid w:val="00895F4A"/>
    <w:rsid w:val="008973E6"/>
    <w:rsid w:val="008A010A"/>
    <w:rsid w:val="008B22AA"/>
    <w:rsid w:val="008B3416"/>
    <w:rsid w:val="008B3930"/>
    <w:rsid w:val="008B422F"/>
    <w:rsid w:val="008B4863"/>
    <w:rsid w:val="008B579D"/>
    <w:rsid w:val="008B6B5F"/>
    <w:rsid w:val="008B744A"/>
    <w:rsid w:val="008C0D0B"/>
    <w:rsid w:val="008C1022"/>
    <w:rsid w:val="008C2552"/>
    <w:rsid w:val="008C50FF"/>
    <w:rsid w:val="008D00AC"/>
    <w:rsid w:val="008D02D8"/>
    <w:rsid w:val="008D1A38"/>
    <w:rsid w:val="008D7187"/>
    <w:rsid w:val="008D78B0"/>
    <w:rsid w:val="008E1EB5"/>
    <w:rsid w:val="008E63DC"/>
    <w:rsid w:val="008E7ADB"/>
    <w:rsid w:val="008E7C88"/>
    <w:rsid w:val="008F0233"/>
    <w:rsid w:val="008F0327"/>
    <w:rsid w:val="008F3A33"/>
    <w:rsid w:val="008F77D3"/>
    <w:rsid w:val="008F7B61"/>
    <w:rsid w:val="00901A8D"/>
    <w:rsid w:val="009029CF"/>
    <w:rsid w:val="009031D1"/>
    <w:rsid w:val="00905E4B"/>
    <w:rsid w:val="00907D3C"/>
    <w:rsid w:val="00913E57"/>
    <w:rsid w:val="00917DDE"/>
    <w:rsid w:val="00920F97"/>
    <w:rsid w:val="00921E53"/>
    <w:rsid w:val="0092324A"/>
    <w:rsid w:val="00923402"/>
    <w:rsid w:val="00923653"/>
    <w:rsid w:val="00924305"/>
    <w:rsid w:val="00926112"/>
    <w:rsid w:val="00926E1B"/>
    <w:rsid w:val="00927696"/>
    <w:rsid w:val="009317D5"/>
    <w:rsid w:val="00932BA3"/>
    <w:rsid w:val="00933182"/>
    <w:rsid w:val="00933571"/>
    <w:rsid w:val="00940E07"/>
    <w:rsid w:val="009411E1"/>
    <w:rsid w:val="009425CD"/>
    <w:rsid w:val="00943727"/>
    <w:rsid w:val="0094544E"/>
    <w:rsid w:val="00947EBA"/>
    <w:rsid w:val="00952A6C"/>
    <w:rsid w:val="00953891"/>
    <w:rsid w:val="00954DC7"/>
    <w:rsid w:val="00954FD2"/>
    <w:rsid w:val="0096388F"/>
    <w:rsid w:val="00963992"/>
    <w:rsid w:val="009642E4"/>
    <w:rsid w:val="00966431"/>
    <w:rsid w:val="00966E03"/>
    <w:rsid w:val="009706A4"/>
    <w:rsid w:val="00970FC4"/>
    <w:rsid w:val="00971556"/>
    <w:rsid w:val="009718CC"/>
    <w:rsid w:val="009750C1"/>
    <w:rsid w:val="00975641"/>
    <w:rsid w:val="00985F7F"/>
    <w:rsid w:val="00991C98"/>
    <w:rsid w:val="00994827"/>
    <w:rsid w:val="00997F40"/>
    <w:rsid w:val="009A13B3"/>
    <w:rsid w:val="009A4141"/>
    <w:rsid w:val="009A5CFB"/>
    <w:rsid w:val="009A62C4"/>
    <w:rsid w:val="009B36FD"/>
    <w:rsid w:val="009B795D"/>
    <w:rsid w:val="009C0BDB"/>
    <w:rsid w:val="009C174F"/>
    <w:rsid w:val="009C2645"/>
    <w:rsid w:val="009C5B24"/>
    <w:rsid w:val="009D1C9B"/>
    <w:rsid w:val="009D2D7E"/>
    <w:rsid w:val="009D5100"/>
    <w:rsid w:val="009D6865"/>
    <w:rsid w:val="009E3161"/>
    <w:rsid w:val="009F0F09"/>
    <w:rsid w:val="009F33B1"/>
    <w:rsid w:val="009F7D99"/>
    <w:rsid w:val="00A0200B"/>
    <w:rsid w:val="00A05C7B"/>
    <w:rsid w:val="00A065E9"/>
    <w:rsid w:val="00A11DCA"/>
    <w:rsid w:val="00A12161"/>
    <w:rsid w:val="00A1234F"/>
    <w:rsid w:val="00A1372A"/>
    <w:rsid w:val="00A16A3E"/>
    <w:rsid w:val="00A16D74"/>
    <w:rsid w:val="00A204FE"/>
    <w:rsid w:val="00A22171"/>
    <w:rsid w:val="00A22C63"/>
    <w:rsid w:val="00A23C1F"/>
    <w:rsid w:val="00A24C55"/>
    <w:rsid w:val="00A263D3"/>
    <w:rsid w:val="00A2656A"/>
    <w:rsid w:val="00A30314"/>
    <w:rsid w:val="00A324C0"/>
    <w:rsid w:val="00A356AD"/>
    <w:rsid w:val="00A365A2"/>
    <w:rsid w:val="00A37FDF"/>
    <w:rsid w:val="00A42C5E"/>
    <w:rsid w:val="00A4360A"/>
    <w:rsid w:val="00A43914"/>
    <w:rsid w:val="00A449BB"/>
    <w:rsid w:val="00A467C0"/>
    <w:rsid w:val="00A511A6"/>
    <w:rsid w:val="00A52D71"/>
    <w:rsid w:val="00A52E40"/>
    <w:rsid w:val="00A5377E"/>
    <w:rsid w:val="00A55696"/>
    <w:rsid w:val="00A602E9"/>
    <w:rsid w:val="00A72EA5"/>
    <w:rsid w:val="00A73E5A"/>
    <w:rsid w:val="00A75476"/>
    <w:rsid w:val="00A80798"/>
    <w:rsid w:val="00A84390"/>
    <w:rsid w:val="00A86090"/>
    <w:rsid w:val="00A865BA"/>
    <w:rsid w:val="00A877C5"/>
    <w:rsid w:val="00A87F41"/>
    <w:rsid w:val="00A87F8B"/>
    <w:rsid w:val="00A93EC6"/>
    <w:rsid w:val="00A94D0D"/>
    <w:rsid w:val="00AA112C"/>
    <w:rsid w:val="00AA4E65"/>
    <w:rsid w:val="00AA703E"/>
    <w:rsid w:val="00AB10F4"/>
    <w:rsid w:val="00AB565E"/>
    <w:rsid w:val="00AC1923"/>
    <w:rsid w:val="00AC3575"/>
    <w:rsid w:val="00AC57C3"/>
    <w:rsid w:val="00AC63CF"/>
    <w:rsid w:val="00AD0169"/>
    <w:rsid w:val="00AD0172"/>
    <w:rsid w:val="00AD2BF7"/>
    <w:rsid w:val="00AD4D17"/>
    <w:rsid w:val="00AD5449"/>
    <w:rsid w:val="00AD6E16"/>
    <w:rsid w:val="00AE261F"/>
    <w:rsid w:val="00AE277B"/>
    <w:rsid w:val="00AE2D3E"/>
    <w:rsid w:val="00AE2DC3"/>
    <w:rsid w:val="00AE3954"/>
    <w:rsid w:val="00AE3AD9"/>
    <w:rsid w:val="00AE5727"/>
    <w:rsid w:val="00AE6AA1"/>
    <w:rsid w:val="00AE7155"/>
    <w:rsid w:val="00AE7B31"/>
    <w:rsid w:val="00AF11A3"/>
    <w:rsid w:val="00AF1EF8"/>
    <w:rsid w:val="00B02088"/>
    <w:rsid w:val="00B0340D"/>
    <w:rsid w:val="00B03636"/>
    <w:rsid w:val="00B046DF"/>
    <w:rsid w:val="00B0506E"/>
    <w:rsid w:val="00B05BC1"/>
    <w:rsid w:val="00B07A8A"/>
    <w:rsid w:val="00B11249"/>
    <w:rsid w:val="00B11CC1"/>
    <w:rsid w:val="00B122F4"/>
    <w:rsid w:val="00B13D72"/>
    <w:rsid w:val="00B144D3"/>
    <w:rsid w:val="00B1480E"/>
    <w:rsid w:val="00B20DB1"/>
    <w:rsid w:val="00B213D1"/>
    <w:rsid w:val="00B233CC"/>
    <w:rsid w:val="00B23C80"/>
    <w:rsid w:val="00B258C7"/>
    <w:rsid w:val="00B339D7"/>
    <w:rsid w:val="00B37157"/>
    <w:rsid w:val="00B37261"/>
    <w:rsid w:val="00B429E8"/>
    <w:rsid w:val="00B43752"/>
    <w:rsid w:val="00B50F8B"/>
    <w:rsid w:val="00B53F5C"/>
    <w:rsid w:val="00B54989"/>
    <w:rsid w:val="00B5537F"/>
    <w:rsid w:val="00B55800"/>
    <w:rsid w:val="00B56568"/>
    <w:rsid w:val="00B63784"/>
    <w:rsid w:val="00B65AE9"/>
    <w:rsid w:val="00B66676"/>
    <w:rsid w:val="00B6740B"/>
    <w:rsid w:val="00B708B2"/>
    <w:rsid w:val="00B73416"/>
    <w:rsid w:val="00B77477"/>
    <w:rsid w:val="00B81E53"/>
    <w:rsid w:val="00B82470"/>
    <w:rsid w:val="00B8532C"/>
    <w:rsid w:val="00B938A5"/>
    <w:rsid w:val="00B94E0B"/>
    <w:rsid w:val="00B94EFE"/>
    <w:rsid w:val="00B954B8"/>
    <w:rsid w:val="00B95769"/>
    <w:rsid w:val="00B95AA9"/>
    <w:rsid w:val="00BA1E45"/>
    <w:rsid w:val="00BA33F4"/>
    <w:rsid w:val="00BA570D"/>
    <w:rsid w:val="00BA5A89"/>
    <w:rsid w:val="00BA67F2"/>
    <w:rsid w:val="00BB0302"/>
    <w:rsid w:val="00BB0578"/>
    <w:rsid w:val="00BB14F3"/>
    <w:rsid w:val="00BB2599"/>
    <w:rsid w:val="00BB4557"/>
    <w:rsid w:val="00BB4A60"/>
    <w:rsid w:val="00BB6932"/>
    <w:rsid w:val="00BB7B52"/>
    <w:rsid w:val="00BC09B1"/>
    <w:rsid w:val="00BC0AE7"/>
    <w:rsid w:val="00BC0EBE"/>
    <w:rsid w:val="00BC2838"/>
    <w:rsid w:val="00BC3A80"/>
    <w:rsid w:val="00BC75E3"/>
    <w:rsid w:val="00BD0462"/>
    <w:rsid w:val="00BD049A"/>
    <w:rsid w:val="00BD1C9B"/>
    <w:rsid w:val="00BD2990"/>
    <w:rsid w:val="00BD46AC"/>
    <w:rsid w:val="00BD50BC"/>
    <w:rsid w:val="00BD58F8"/>
    <w:rsid w:val="00BE1405"/>
    <w:rsid w:val="00BE2434"/>
    <w:rsid w:val="00BE4828"/>
    <w:rsid w:val="00BE5408"/>
    <w:rsid w:val="00BE7E1C"/>
    <w:rsid w:val="00BF1BCD"/>
    <w:rsid w:val="00BF2633"/>
    <w:rsid w:val="00C01697"/>
    <w:rsid w:val="00C0404B"/>
    <w:rsid w:val="00C07069"/>
    <w:rsid w:val="00C10DDC"/>
    <w:rsid w:val="00C11840"/>
    <w:rsid w:val="00C123EE"/>
    <w:rsid w:val="00C13CB6"/>
    <w:rsid w:val="00C16960"/>
    <w:rsid w:val="00C20386"/>
    <w:rsid w:val="00C24084"/>
    <w:rsid w:val="00C240EA"/>
    <w:rsid w:val="00C24E08"/>
    <w:rsid w:val="00C25A1B"/>
    <w:rsid w:val="00C3071D"/>
    <w:rsid w:val="00C32608"/>
    <w:rsid w:val="00C3263C"/>
    <w:rsid w:val="00C34527"/>
    <w:rsid w:val="00C34EF5"/>
    <w:rsid w:val="00C353E2"/>
    <w:rsid w:val="00C370DD"/>
    <w:rsid w:val="00C417EA"/>
    <w:rsid w:val="00C43474"/>
    <w:rsid w:val="00C452A4"/>
    <w:rsid w:val="00C45AB0"/>
    <w:rsid w:val="00C4615A"/>
    <w:rsid w:val="00C47943"/>
    <w:rsid w:val="00C53DA6"/>
    <w:rsid w:val="00C556A8"/>
    <w:rsid w:val="00C5603B"/>
    <w:rsid w:val="00C57BEA"/>
    <w:rsid w:val="00C6357F"/>
    <w:rsid w:val="00C63CAC"/>
    <w:rsid w:val="00C63F98"/>
    <w:rsid w:val="00C6457A"/>
    <w:rsid w:val="00C65F66"/>
    <w:rsid w:val="00C7120B"/>
    <w:rsid w:val="00C7355C"/>
    <w:rsid w:val="00C75439"/>
    <w:rsid w:val="00C76192"/>
    <w:rsid w:val="00C76CBA"/>
    <w:rsid w:val="00C77C01"/>
    <w:rsid w:val="00C83F05"/>
    <w:rsid w:val="00C84144"/>
    <w:rsid w:val="00C84726"/>
    <w:rsid w:val="00C8714F"/>
    <w:rsid w:val="00C873BB"/>
    <w:rsid w:val="00C877FA"/>
    <w:rsid w:val="00C91BC6"/>
    <w:rsid w:val="00C94DE6"/>
    <w:rsid w:val="00CA061C"/>
    <w:rsid w:val="00CA42EE"/>
    <w:rsid w:val="00CA4819"/>
    <w:rsid w:val="00CA66D2"/>
    <w:rsid w:val="00CB1526"/>
    <w:rsid w:val="00CB15D9"/>
    <w:rsid w:val="00CB4195"/>
    <w:rsid w:val="00CB4AE0"/>
    <w:rsid w:val="00CC2D94"/>
    <w:rsid w:val="00CC2F42"/>
    <w:rsid w:val="00CC3BA7"/>
    <w:rsid w:val="00CC657B"/>
    <w:rsid w:val="00CC6C27"/>
    <w:rsid w:val="00CC71EF"/>
    <w:rsid w:val="00CD1247"/>
    <w:rsid w:val="00CD39C3"/>
    <w:rsid w:val="00CD641B"/>
    <w:rsid w:val="00CD7D4C"/>
    <w:rsid w:val="00CE2646"/>
    <w:rsid w:val="00CE3911"/>
    <w:rsid w:val="00CE4310"/>
    <w:rsid w:val="00CE618C"/>
    <w:rsid w:val="00CE6464"/>
    <w:rsid w:val="00CE7CD2"/>
    <w:rsid w:val="00CF1134"/>
    <w:rsid w:val="00CF2652"/>
    <w:rsid w:val="00CF4569"/>
    <w:rsid w:val="00CF7A2A"/>
    <w:rsid w:val="00D01B13"/>
    <w:rsid w:val="00D0457A"/>
    <w:rsid w:val="00D04C1F"/>
    <w:rsid w:val="00D056CC"/>
    <w:rsid w:val="00D07689"/>
    <w:rsid w:val="00D12C1A"/>
    <w:rsid w:val="00D157EE"/>
    <w:rsid w:val="00D218A9"/>
    <w:rsid w:val="00D244E8"/>
    <w:rsid w:val="00D25186"/>
    <w:rsid w:val="00D26FDE"/>
    <w:rsid w:val="00D32A78"/>
    <w:rsid w:val="00D32D33"/>
    <w:rsid w:val="00D35977"/>
    <w:rsid w:val="00D40471"/>
    <w:rsid w:val="00D41B12"/>
    <w:rsid w:val="00D43F5A"/>
    <w:rsid w:val="00D46122"/>
    <w:rsid w:val="00D46946"/>
    <w:rsid w:val="00D47978"/>
    <w:rsid w:val="00D51137"/>
    <w:rsid w:val="00D51397"/>
    <w:rsid w:val="00D63277"/>
    <w:rsid w:val="00D63378"/>
    <w:rsid w:val="00D634F2"/>
    <w:rsid w:val="00D64597"/>
    <w:rsid w:val="00D65554"/>
    <w:rsid w:val="00D6558E"/>
    <w:rsid w:val="00D67816"/>
    <w:rsid w:val="00D742F6"/>
    <w:rsid w:val="00D75133"/>
    <w:rsid w:val="00D76935"/>
    <w:rsid w:val="00D779E8"/>
    <w:rsid w:val="00D82669"/>
    <w:rsid w:val="00D830DE"/>
    <w:rsid w:val="00D85995"/>
    <w:rsid w:val="00D87A69"/>
    <w:rsid w:val="00D87F07"/>
    <w:rsid w:val="00D90E31"/>
    <w:rsid w:val="00D9142A"/>
    <w:rsid w:val="00D9558F"/>
    <w:rsid w:val="00D960EC"/>
    <w:rsid w:val="00D9735E"/>
    <w:rsid w:val="00D97782"/>
    <w:rsid w:val="00DA50C3"/>
    <w:rsid w:val="00DA7438"/>
    <w:rsid w:val="00DB0788"/>
    <w:rsid w:val="00DB7F6F"/>
    <w:rsid w:val="00DC0ACB"/>
    <w:rsid w:val="00DC55D0"/>
    <w:rsid w:val="00DC5BB0"/>
    <w:rsid w:val="00DD0BAD"/>
    <w:rsid w:val="00DD0DE2"/>
    <w:rsid w:val="00DD2CE2"/>
    <w:rsid w:val="00DD60DE"/>
    <w:rsid w:val="00DD642A"/>
    <w:rsid w:val="00DD71A7"/>
    <w:rsid w:val="00DE1406"/>
    <w:rsid w:val="00DE14F6"/>
    <w:rsid w:val="00DE35BE"/>
    <w:rsid w:val="00DF2589"/>
    <w:rsid w:val="00DF360F"/>
    <w:rsid w:val="00DF36CA"/>
    <w:rsid w:val="00DF4FB8"/>
    <w:rsid w:val="00DF63E3"/>
    <w:rsid w:val="00DF7385"/>
    <w:rsid w:val="00E00473"/>
    <w:rsid w:val="00E02F0D"/>
    <w:rsid w:val="00E1061C"/>
    <w:rsid w:val="00E10692"/>
    <w:rsid w:val="00E14738"/>
    <w:rsid w:val="00E1479A"/>
    <w:rsid w:val="00E15A16"/>
    <w:rsid w:val="00E206A3"/>
    <w:rsid w:val="00E20C64"/>
    <w:rsid w:val="00E24DB8"/>
    <w:rsid w:val="00E26EB0"/>
    <w:rsid w:val="00E27034"/>
    <w:rsid w:val="00E32D4B"/>
    <w:rsid w:val="00E33957"/>
    <w:rsid w:val="00E41116"/>
    <w:rsid w:val="00E414EF"/>
    <w:rsid w:val="00E424DA"/>
    <w:rsid w:val="00E45390"/>
    <w:rsid w:val="00E455A5"/>
    <w:rsid w:val="00E56CCD"/>
    <w:rsid w:val="00E5722D"/>
    <w:rsid w:val="00E62643"/>
    <w:rsid w:val="00E62938"/>
    <w:rsid w:val="00E642D3"/>
    <w:rsid w:val="00E702F6"/>
    <w:rsid w:val="00E7387C"/>
    <w:rsid w:val="00E73C17"/>
    <w:rsid w:val="00E768B8"/>
    <w:rsid w:val="00E778AE"/>
    <w:rsid w:val="00E77A0F"/>
    <w:rsid w:val="00E82D4E"/>
    <w:rsid w:val="00E835A1"/>
    <w:rsid w:val="00E83E2D"/>
    <w:rsid w:val="00E85164"/>
    <w:rsid w:val="00E8739B"/>
    <w:rsid w:val="00E90652"/>
    <w:rsid w:val="00E947E7"/>
    <w:rsid w:val="00E948B4"/>
    <w:rsid w:val="00E95C43"/>
    <w:rsid w:val="00E96570"/>
    <w:rsid w:val="00EA31DB"/>
    <w:rsid w:val="00EA68E9"/>
    <w:rsid w:val="00EA6EC8"/>
    <w:rsid w:val="00EA7D7F"/>
    <w:rsid w:val="00EB3C38"/>
    <w:rsid w:val="00EC12A0"/>
    <w:rsid w:val="00EC1E5F"/>
    <w:rsid w:val="00EC64A8"/>
    <w:rsid w:val="00EC78B7"/>
    <w:rsid w:val="00ED14BD"/>
    <w:rsid w:val="00ED24F1"/>
    <w:rsid w:val="00ED41E5"/>
    <w:rsid w:val="00ED49B5"/>
    <w:rsid w:val="00EE332B"/>
    <w:rsid w:val="00EE6C01"/>
    <w:rsid w:val="00EF1519"/>
    <w:rsid w:val="00EF2896"/>
    <w:rsid w:val="00EF2C61"/>
    <w:rsid w:val="00EF4610"/>
    <w:rsid w:val="00EF6CB2"/>
    <w:rsid w:val="00EF7939"/>
    <w:rsid w:val="00F01A5C"/>
    <w:rsid w:val="00F04DE2"/>
    <w:rsid w:val="00F076E3"/>
    <w:rsid w:val="00F11CFC"/>
    <w:rsid w:val="00F1463A"/>
    <w:rsid w:val="00F15936"/>
    <w:rsid w:val="00F20B68"/>
    <w:rsid w:val="00F23DBE"/>
    <w:rsid w:val="00F31085"/>
    <w:rsid w:val="00F31737"/>
    <w:rsid w:val="00F329A7"/>
    <w:rsid w:val="00F40513"/>
    <w:rsid w:val="00F41C5C"/>
    <w:rsid w:val="00F424A9"/>
    <w:rsid w:val="00F4459F"/>
    <w:rsid w:val="00F44F99"/>
    <w:rsid w:val="00F508C7"/>
    <w:rsid w:val="00F52F72"/>
    <w:rsid w:val="00F5729F"/>
    <w:rsid w:val="00F60524"/>
    <w:rsid w:val="00F65587"/>
    <w:rsid w:val="00F656A1"/>
    <w:rsid w:val="00F65B62"/>
    <w:rsid w:val="00F72DC7"/>
    <w:rsid w:val="00F74B26"/>
    <w:rsid w:val="00F772DD"/>
    <w:rsid w:val="00F776C3"/>
    <w:rsid w:val="00F77E06"/>
    <w:rsid w:val="00F8101C"/>
    <w:rsid w:val="00F850F4"/>
    <w:rsid w:val="00F85254"/>
    <w:rsid w:val="00F85AD8"/>
    <w:rsid w:val="00F9021F"/>
    <w:rsid w:val="00F93464"/>
    <w:rsid w:val="00F95594"/>
    <w:rsid w:val="00F973A7"/>
    <w:rsid w:val="00FA0C54"/>
    <w:rsid w:val="00FA35E2"/>
    <w:rsid w:val="00FA5DE1"/>
    <w:rsid w:val="00FA6CB8"/>
    <w:rsid w:val="00FA7D60"/>
    <w:rsid w:val="00FB260A"/>
    <w:rsid w:val="00FB2B02"/>
    <w:rsid w:val="00FB4897"/>
    <w:rsid w:val="00FB6664"/>
    <w:rsid w:val="00FC2464"/>
    <w:rsid w:val="00FC3224"/>
    <w:rsid w:val="00FC60C3"/>
    <w:rsid w:val="00FC6311"/>
    <w:rsid w:val="00FC7CE6"/>
    <w:rsid w:val="00FD0795"/>
    <w:rsid w:val="00FD0A4E"/>
    <w:rsid w:val="00FD3A37"/>
    <w:rsid w:val="00FD577E"/>
    <w:rsid w:val="00FD6497"/>
    <w:rsid w:val="00FD73BD"/>
    <w:rsid w:val="00FE14B4"/>
    <w:rsid w:val="00FE1EBE"/>
    <w:rsid w:val="00FE46CE"/>
    <w:rsid w:val="00FE4E43"/>
    <w:rsid w:val="00FF1103"/>
    <w:rsid w:val="00FF2EC3"/>
    <w:rsid w:val="00FF462C"/>
    <w:rsid w:val="00FF66DC"/>
    <w:rsid w:val="00FF7CD6"/>
    <w:rsid w:val="012A4E2C"/>
    <w:rsid w:val="02DC2156"/>
    <w:rsid w:val="03CC3F79"/>
    <w:rsid w:val="05CD222A"/>
    <w:rsid w:val="06084616"/>
    <w:rsid w:val="06A9292B"/>
    <w:rsid w:val="08EF7A39"/>
    <w:rsid w:val="0A5844F0"/>
    <w:rsid w:val="0DFF0ECB"/>
    <w:rsid w:val="0EE41D10"/>
    <w:rsid w:val="11386E78"/>
    <w:rsid w:val="11B73ED3"/>
    <w:rsid w:val="12277661"/>
    <w:rsid w:val="133D4C82"/>
    <w:rsid w:val="138D4967"/>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5D63DB0"/>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7B34D4F7"/>
  <w15:docId w15:val="{6ED72273-B959-4277-9FE0-EF6A35E8C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next w:val="BodyText2"/>
    <w:qFormat/>
    <w:pPr>
      <w:widowControl w:val="0"/>
      <w:jc w:val="both"/>
    </w:pPr>
    <w:rPr>
      <w:rFonts w:ascii="Calibri" w:hAnsi="Calibri" w:cs="Calibri"/>
      <w:kern w:val="2"/>
      <w:sz w:val="21"/>
      <w:szCs w:val="24"/>
    </w:rPr>
  </w:style>
  <w:style w:type="paragraph" w:styleId="1">
    <w:name w:val="heading 1"/>
    <w:basedOn w:val="ac"/>
    <w:next w:val="ac"/>
    <w:qFormat/>
    <w:pPr>
      <w:keepNext/>
      <w:keepLines/>
      <w:spacing w:before="340" w:after="330" w:line="578" w:lineRule="auto"/>
      <w:outlineLvl w:val="0"/>
    </w:pPr>
    <w:rPr>
      <w:b/>
      <w:bCs/>
      <w:kern w:val="44"/>
      <w:sz w:val="44"/>
    </w:rPr>
  </w:style>
  <w:style w:type="paragraph" w:styleId="2">
    <w:name w:val="heading 2"/>
    <w:basedOn w:val="ac"/>
    <w:next w:val="ac"/>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qFormat/>
    <w:pPr>
      <w:keepNext/>
      <w:keepLines/>
      <w:spacing w:before="260" w:after="260" w:line="415" w:lineRule="auto"/>
      <w:outlineLvl w:val="2"/>
    </w:pPr>
    <w:rPr>
      <w:b/>
      <w:sz w:val="32"/>
    </w:rPr>
  </w:style>
  <w:style w:type="paragraph" w:styleId="7">
    <w:name w:val="heading 7"/>
    <w:basedOn w:val="ac"/>
    <w:next w:val="ac"/>
    <w:link w:val="70"/>
    <w:uiPriority w:val="9"/>
    <w:qFormat/>
    <w:pPr>
      <w:keepNext/>
      <w:keepLines/>
      <w:spacing w:before="240" w:after="64" w:line="320" w:lineRule="auto"/>
      <w:outlineLvl w:val="6"/>
    </w:pPr>
    <w:rPr>
      <w:b/>
      <w:bCs/>
      <w:sz w:val="24"/>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qFormat/>
    <w:pPr>
      <w:spacing w:after="120" w:line="480" w:lineRule="auto"/>
      <w:textAlignment w:val="baseline"/>
    </w:pPr>
    <w:rPr>
      <w:rFonts w:cs="Times New Roman"/>
      <w:sz w:val="32"/>
      <w:szCs w:val="32"/>
    </w:rPr>
  </w:style>
  <w:style w:type="paragraph" w:styleId="af0">
    <w:name w:val="annotation text"/>
    <w:basedOn w:val="ac"/>
    <w:link w:val="af1"/>
    <w:uiPriority w:val="99"/>
    <w:unhideWhenUsed/>
    <w:qFormat/>
    <w:pPr>
      <w:adjustRightInd w:val="0"/>
      <w:spacing w:line="400" w:lineRule="exact"/>
      <w:jc w:val="left"/>
    </w:pPr>
    <w:rPr>
      <w:szCs w:val="21"/>
    </w:rPr>
  </w:style>
  <w:style w:type="paragraph" w:styleId="af2">
    <w:name w:val="Date"/>
    <w:basedOn w:val="ac"/>
    <w:next w:val="ac"/>
    <w:link w:val="af3"/>
    <w:uiPriority w:val="99"/>
    <w:semiHidden/>
    <w:unhideWhenUsed/>
    <w:qFormat/>
    <w:pPr>
      <w:ind w:leftChars="2500" w:left="100"/>
    </w:pPr>
  </w:style>
  <w:style w:type="paragraph" w:styleId="af4">
    <w:name w:val="endnote text"/>
    <w:basedOn w:val="ac"/>
    <w:link w:val="af5"/>
    <w:uiPriority w:val="99"/>
    <w:semiHidden/>
    <w:unhideWhenUsed/>
    <w:qFormat/>
    <w:pPr>
      <w:snapToGrid w:val="0"/>
      <w:jc w:val="left"/>
    </w:pPr>
  </w:style>
  <w:style w:type="paragraph" w:styleId="af6">
    <w:name w:val="Balloon Text"/>
    <w:basedOn w:val="ac"/>
    <w:link w:val="af7"/>
    <w:uiPriority w:val="99"/>
    <w:unhideWhenUsed/>
    <w:qFormat/>
    <w:rPr>
      <w:sz w:val="18"/>
      <w:szCs w:val="18"/>
    </w:rPr>
  </w:style>
  <w:style w:type="paragraph" w:styleId="af8">
    <w:name w:val="footer"/>
    <w:basedOn w:val="ac"/>
    <w:link w:val="af9"/>
    <w:uiPriority w:val="99"/>
    <w:qFormat/>
    <w:pPr>
      <w:tabs>
        <w:tab w:val="center" w:pos="4153"/>
        <w:tab w:val="right" w:pos="8306"/>
      </w:tabs>
      <w:snapToGrid w:val="0"/>
      <w:jc w:val="left"/>
    </w:pPr>
    <w:rPr>
      <w:sz w:val="18"/>
      <w:szCs w:val="18"/>
    </w:rPr>
  </w:style>
  <w:style w:type="paragraph" w:styleId="afa">
    <w:name w:val="envelope return"/>
    <w:basedOn w:val="ac"/>
    <w:qFormat/>
    <w:pPr>
      <w:snapToGrid w:val="0"/>
    </w:pPr>
    <w:rPr>
      <w:rFonts w:ascii="Times New Roman" w:hAnsi="Times New Roman"/>
    </w:rPr>
  </w:style>
  <w:style w:type="paragraph" w:styleId="afb">
    <w:name w:val="header"/>
    <w:basedOn w:val="ac"/>
    <w:link w:val="afc"/>
    <w:qFormat/>
    <w:pPr>
      <w:pBdr>
        <w:bottom w:val="single" w:sz="6" w:space="1" w:color="auto"/>
      </w:pBdr>
      <w:tabs>
        <w:tab w:val="center" w:pos="4153"/>
        <w:tab w:val="right" w:pos="8306"/>
      </w:tabs>
      <w:snapToGrid w:val="0"/>
      <w:jc w:val="center"/>
    </w:pPr>
    <w:rPr>
      <w:sz w:val="18"/>
      <w:szCs w:val="18"/>
    </w:rPr>
  </w:style>
  <w:style w:type="paragraph" w:styleId="4">
    <w:name w:val="toc 4"/>
    <w:basedOn w:val="ac"/>
    <w:next w:val="ac"/>
    <w:uiPriority w:val="39"/>
    <w:unhideWhenUsed/>
    <w:qFormat/>
    <w:pPr>
      <w:tabs>
        <w:tab w:val="right" w:leader="dot" w:pos="9344"/>
      </w:tabs>
      <w:adjustRightInd w:val="0"/>
      <w:spacing w:line="300" w:lineRule="exact"/>
      <w:ind w:left="629"/>
    </w:pPr>
    <w:rPr>
      <w:rFonts w:ascii="宋体"/>
      <w:szCs w:val="21"/>
    </w:rPr>
  </w:style>
  <w:style w:type="paragraph" w:styleId="afd">
    <w:name w:val="Normal (Web)"/>
    <w:basedOn w:val="ac"/>
    <w:uiPriority w:val="99"/>
    <w:semiHidden/>
    <w:unhideWhenUsed/>
    <w:qFormat/>
    <w:rPr>
      <w:sz w:val="24"/>
    </w:rPr>
  </w:style>
  <w:style w:type="paragraph" w:styleId="afe">
    <w:name w:val="Title"/>
    <w:basedOn w:val="ac"/>
    <w:next w:val="ac"/>
    <w:link w:val="aff"/>
    <w:uiPriority w:val="10"/>
    <w:qFormat/>
    <w:pPr>
      <w:spacing w:before="240" w:after="60"/>
      <w:jc w:val="center"/>
      <w:outlineLvl w:val="0"/>
    </w:pPr>
    <w:rPr>
      <w:rFonts w:asciiTheme="majorHAnsi" w:eastAsiaTheme="majorEastAsia" w:hAnsiTheme="majorHAnsi" w:cstheme="majorBidi"/>
      <w:b/>
      <w:bCs/>
      <w:sz w:val="32"/>
      <w:szCs w:val="32"/>
    </w:rPr>
  </w:style>
  <w:style w:type="paragraph" w:styleId="aff0">
    <w:name w:val="annotation subject"/>
    <w:basedOn w:val="af0"/>
    <w:next w:val="af0"/>
    <w:link w:val="aff1"/>
    <w:uiPriority w:val="99"/>
    <w:semiHidden/>
    <w:unhideWhenUsed/>
    <w:qFormat/>
    <w:pPr>
      <w:adjustRightInd/>
      <w:spacing w:line="240" w:lineRule="auto"/>
    </w:pPr>
    <w:rPr>
      <w:b/>
      <w:bCs/>
      <w:szCs w:val="24"/>
    </w:rPr>
  </w:style>
  <w:style w:type="table" w:styleId="aff2">
    <w:name w:val="Table Grid"/>
    <w:basedOn w:val="ae"/>
    <w:uiPriority w:val="39"/>
    <w:qFormat/>
    <w:pPr>
      <w:widowControl w:val="0"/>
      <w:jc w:val="both"/>
    </w:pPr>
    <w:tblPr>
      <w:tblBorders>
        <w:top w:val="single" w:sz="4" w:space="0" w:color="auto"/>
        <w:bottom w:val="single" w:sz="4" w:space="0" w:color="auto"/>
      </w:tblBorders>
    </w:tblPr>
  </w:style>
  <w:style w:type="character" w:styleId="aff3">
    <w:name w:val="Strong"/>
    <w:basedOn w:val="ad"/>
    <w:uiPriority w:val="22"/>
    <w:qFormat/>
    <w:rPr>
      <w:b/>
    </w:rPr>
  </w:style>
  <w:style w:type="character" w:styleId="aff4">
    <w:name w:val="endnote reference"/>
    <w:basedOn w:val="ad"/>
    <w:uiPriority w:val="99"/>
    <w:semiHidden/>
    <w:unhideWhenUsed/>
    <w:qFormat/>
    <w:rPr>
      <w:vertAlign w:val="superscript"/>
    </w:rPr>
  </w:style>
  <w:style w:type="character" w:styleId="aff5">
    <w:name w:val="line number"/>
    <w:qFormat/>
  </w:style>
  <w:style w:type="character" w:styleId="aff6">
    <w:name w:val="Hyperlink"/>
    <w:qFormat/>
    <w:rPr>
      <w:rFonts w:ascii="宋体" w:eastAsia="宋体"/>
      <w:color w:val="auto"/>
      <w:spacing w:val="0"/>
      <w:w w:val="100"/>
      <w:position w:val="0"/>
      <w:sz w:val="21"/>
      <w:u w:val="none"/>
      <w:vertAlign w:val="baseline"/>
    </w:rPr>
  </w:style>
  <w:style w:type="character" w:styleId="aff7">
    <w:name w:val="annotation reference"/>
    <w:uiPriority w:val="99"/>
    <w:qFormat/>
    <w:rPr>
      <w:sz w:val="21"/>
    </w:rPr>
  </w:style>
  <w:style w:type="character" w:styleId="aff8">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1">
    <w:name w:val="批注文字 字符"/>
    <w:link w:val="af0"/>
    <w:uiPriority w:val="99"/>
    <w:semiHidden/>
    <w:qFormat/>
    <w:rPr>
      <w:rFonts w:ascii="Calibri" w:eastAsia="宋体" w:hAnsi="Calibri"/>
      <w:kern w:val="2"/>
      <w:sz w:val="21"/>
      <w:szCs w:val="21"/>
    </w:rPr>
  </w:style>
  <w:style w:type="character" w:customStyle="1" w:styleId="af7">
    <w:name w:val="批注框文本 字符"/>
    <w:link w:val="af6"/>
    <w:uiPriority w:val="99"/>
    <w:semiHidden/>
    <w:qFormat/>
    <w:rPr>
      <w:rFonts w:eastAsia="宋体"/>
      <w:kern w:val="2"/>
      <w:sz w:val="18"/>
      <w:szCs w:val="18"/>
    </w:rPr>
  </w:style>
  <w:style w:type="character" w:customStyle="1" w:styleId="af9">
    <w:name w:val="页脚 字符"/>
    <w:link w:val="af8"/>
    <w:uiPriority w:val="99"/>
    <w:qFormat/>
    <w:locked/>
    <w:rPr>
      <w:rFonts w:eastAsia="宋体"/>
      <w:kern w:val="2"/>
      <w:sz w:val="18"/>
      <w:szCs w:val="18"/>
    </w:rPr>
  </w:style>
  <w:style w:type="paragraph" w:customStyle="1" w:styleId="aff9">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a">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a"/>
    <w:qFormat/>
    <w:rPr>
      <w:rFonts w:ascii="仿宋" w:eastAsia="仿宋" w:hAnsi="仿宋" w:cs="Calibri"/>
      <w:kern w:val="2"/>
      <w:sz w:val="32"/>
      <w:szCs w:val="32"/>
    </w:rPr>
  </w:style>
  <w:style w:type="paragraph" w:customStyle="1" w:styleId="a6">
    <w:name w:val="标准文件_章标题"/>
    <w:next w:val="affa"/>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b">
    <w:name w:val="标准文件_二级条标题"/>
    <w:next w:val="affa"/>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a"/>
    <w:qFormat/>
    <w:pPr>
      <w:numPr>
        <w:ilvl w:val="2"/>
      </w:numPr>
      <w:spacing w:beforeLines="0" w:before="50" w:afterLines="0" w:after="50"/>
      <w:outlineLvl w:val="1"/>
    </w:pPr>
  </w:style>
  <w:style w:type="paragraph" w:customStyle="1" w:styleId="affc">
    <w:name w:val="标准文件_三级条标题"/>
    <w:basedOn w:val="affb"/>
    <w:next w:val="affa"/>
    <w:qFormat/>
    <w:pPr>
      <w:outlineLvl w:val="3"/>
    </w:pPr>
  </w:style>
  <w:style w:type="paragraph" w:customStyle="1" w:styleId="affd">
    <w:name w:val="标准文件_四级条标题"/>
    <w:next w:val="affa"/>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b"/>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d"/>
    <w:qFormat/>
    <w:pPr>
      <w:numPr>
        <w:ilvl w:val="5"/>
        <w:numId w:val="1"/>
      </w:numPr>
    </w:pPr>
    <w:rPr>
      <w:rFonts w:ascii="宋体" w:eastAsia="宋体"/>
      <w:szCs w:val="52"/>
    </w:rPr>
  </w:style>
  <w:style w:type="paragraph" w:customStyle="1" w:styleId="a8">
    <w:name w:val="标准文件_三级无标题"/>
    <w:basedOn w:val="affc"/>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e">
    <w:name w:val="段"/>
    <w:qFormat/>
    <w:pPr>
      <w:autoSpaceDE w:val="0"/>
      <w:autoSpaceDN w:val="0"/>
      <w:ind w:firstLineChars="200" w:firstLine="200"/>
      <w:jc w:val="both"/>
    </w:pPr>
    <w:rPr>
      <w:rFonts w:ascii="宋体" w:hAnsi="Calibri" w:cs="Calibri"/>
      <w:sz w:val="21"/>
    </w:rPr>
  </w:style>
  <w:style w:type="paragraph" w:customStyle="1" w:styleId="afff">
    <w:name w:val="二级无"/>
    <w:basedOn w:val="ac"/>
    <w:qFormat/>
    <w:pPr>
      <w:widowControl/>
      <w:tabs>
        <w:tab w:val="left" w:pos="780"/>
      </w:tabs>
      <w:ind w:left="780" w:hanging="360"/>
      <w:jc w:val="left"/>
      <w:outlineLvl w:val="3"/>
    </w:pPr>
    <w:rPr>
      <w:rFonts w:ascii="宋体"/>
      <w:kern w:val="0"/>
      <w:szCs w:val="21"/>
    </w:rPr>
  </w:style>
  <w:style w:type="paragraph" w:customStyle="1" w:styleId="afff0">
    <w:name w:val="标准文件_二级无标题"/>
    <w:basedOn w:val="affb"/>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qFormat/>
  </w:style>
  <w:style w:type="paragraph" w:customStyle="1" w:styleId="a3">
    <w:name w:val="标准文件_数字编号列项（二级）"/>
    <w:qFormat/>
    <w:pPr>
      <w:numPr>
        <w:ilvl w:val="1"/>
        <w:numId w:val="3"/>
      </w:numPr>
      <w:jc w:val="both"/>
    </w:pPr>
    <w:rPr>
      <w:rFonts w:ascii="宋体" w:hAnsi="Calibri" w:cs="Calibri"/>
      <w:sz w:val="21"/>
    </w:rPr>
  </w:style>
  <w:style w:type="paragraph" w:customStyle="1" w:styleId="a4">
    <w:name w:val="标准文件_编号列项（三级）"/>
    <w:qFormat/>
    <w:pPr>
      <w:numPr>
        <w:ilvl w:val="2"/>
        <w:numId w:val="3"/>
      </w:numPr>
    </w:pPr>
    <w:rPr>
      <w:rFonts w:ascii="宋体" w:hAnsi="Calibri" w:cs="Calibri"/>
      <w:sz w:val="21"/>
    </w:rPr>
  </w:style>
  <w:style w:type="paragraph" w:customStyle="1" w:styleId="a2">
    <w:name w:val="标准文件_字母编号列项（一级）"/>
    <w:qFormat/>
    <w:pPr>
      <w:numPr>
        <w:numId w:val="3"/>
      </w:numPr>
      <w:jc w:val="both"/>
    </w:pPr>
    <w:rPr>
      <w:rFonts w:ascii="宋体" w:hAnsi="Calibri" w:cs="Calibri"/>
      <w:sz w:val="21"/>
    </w:rPr>
  </w:style>
  <w:style w:type="paragraph" w:customStyle="1" w:styleId="afff1">
    <w:name w:val="标准文件_术语条一"/>
    <w:basedOn w:val="ac"/>
    <w:next w:val="affa"/>
    <w:qFormat/>
    <w:pPr>
      <w:widowControl/>
    </w:pPr>
    <w:rPr>
      <w:rFonts w:ascii="宋体"/>
      <w:kern w:val="0"/>
      <w:szCs w:val="20"/>
    </w:rPr>
  </w:style>
  <w:style w:type="paragraph" w:customStyle="1" w:styleId="abstract">
    <w:name w:val="abstract"/>
    <w:basedOn w:val="ac"/>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qFormat/>
    <w:pPr>
      <w:widowControl/>
      <w:spacing w:before="100" w:beforeAutospacing="1" w:after="100" w:afterAutospacing="1"/>
      <w:jc w:val="left"/>
    </w:pPr>
    <w:rPr>
      <w:rFonts w:ascii="宋体" w:hAnsi="宋体" w:cs="宋体"/>
      <w:kern w:val="0"/>
      <w:sz w:val="24"/>
    </w:rPr>
  </w:style>
  <w:style w:type="paragraph" w:styleId="afff2">
    <w:name w:val="No Spacing"/>
    <w:uiPriority w:val="99"/>
    <w:qFormat/>
    <w:pPr>
      <w:widowControl w:val="0"/>
      <w:jc w:val="both"/>
    </w:pPr>
    <w:rPr>
      <w:rFonts w:ascii="Calibri" w:hAnsi="Calibri"/>
      <w:kern w:val="2"/>
      <w:sz w:val="21"/>
      <w:szCs w:val="24"/>
    </w:rPr>
  </w:style>
  <w:style w:type="paragraph" w:customStyle="1" w:styleId="a1">
    <w:name w:val="标准文件_一级项"/>
    <w:qFormat/>
    <w:pPr>
      <w:numPr>
        <w:numId w:val="4"/>
      </w:numPr>
    </w:pPr>
    <w:rPr>
      <w:rFonts w:ascii="宋体"/>
      <w:sz w:val="21"/>
    </w:rPr>
  </w:style>
  <w:style w:type="paragraph" w:customStyle="1" w:styleId="ab">
    <w:name w:val="附录表标题"/>
    <w:basedOn w:val="ac"/>
    <w:next w:val="affe"/>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f3">
    <w:name w:val="List Paragraph"/>
    <w:basedOn w:val="ac"/>
    <w:uiPriority w:val="99"/>
    <w:unhideWhenUsed/>
    <w:qFormat/>
    <w:pPr>
      <w:ind w:firstLineChars="200" w:firstLine="420"/>
    </w:pPr>
    <w:rPr>
      <w:rFonts w:ascii="Times New Roman" w:hAnsi="Times New Roman" w:cs="Times New Roman"/>
    </w:rPr>
  </w:style>
  <w:style w:type="character" w:customStyle="1" w:styleId="afc">
    <w:name w:val="页眉 字符"/>
    <w:basedOn w:val="ad"/>
    <w:link w:val="afb"/>
    <w:qFormat/>
    <w:rPr>
      <w:rFonts w:ascii="Calibri" w:hAnsi="Calibri" w:cs="Calibri"/>
      <w:kern w:val="2"/>
      <w:sz w:val="18"/>
      <w:szCs w:val="18"/>
    </w:rPr>
  </w:style>
  <w:style w:type="character" w:customStyle="1" w:styleId="aff1">
    <w:name w:val="批注主题 字符"/>
    <w:basedOn w:val="af1"/>
    <w:link w:val="aff0"/>
    <w:uiPriority w:val="99"/>
    <w:semiHidden/>
    <w:qFormat/>
    <w:rPr>
      <w:rFonts w:ascii="Calibri" w:eastAsia="宋体" w:hAnsi="Calibri" w:cs="Calibri"/>
      <w:b/>
      <w:bCs/>
      <w:kern w:val="2"/>
      <w:sz w:val="21"/>
      <w:szCs w:val="24"/>
    </w:rPr>
  </w:style>
  <w:style w:type="character" w:customStyle="1" w:styleId="af5">
    <w:name w:val="尾注文本 字符"/>
    <w:basedOn w:val="ad"/>
    <w:link w:val="af4"/>
    <w:uiPriority w:val="99"/>
    <w:semiHidden/>
    <w:qFormat/>
    <w:rPr>
      <w:rFonts w:ascii="Calibri" w:hAnsi="Calibri" w:cs="Calibri"/>
      <w:kern w:val="2"/>
      <w:sz w:val="21"/>
      <w:szCs w:val="24"/>
    </w:rPr>
  </w:style>
  <w:style w:type="paragraph" w:customStyle="1" w:styleId="a0">
    <w:name w:val="标准文件_方框数字列项"/>
    <w:basedOn w:val="affa"/>
    <w:qFormat/>
    <w:pPr>
      <w:numPr>
        <w:numId w:val="6"/>
      </w:numPr>
      <w:spacing w:line="240" w:lineRule="auto"/>
      <w:ind w:firstLineChars="0" w:firstLine="0"/>
    </w:pPr>
    <w:rPr>
      <w:rFonts w:ascii="宋体" w:eastAsia="宋体" w:hAnsi="Times New Roman" w:cs="Times New Roman"/>
      <w:kern w:val="0"/>
      <w:sz w:val="21"/>
      <w:szCs w:val="20"/>
    </w:rPr>
  </w:style>
  <w:style w:type="character" w:customStyle="1" w:styleId="af3">
    <w:name w:val="日期 字符"/>
    <w:basedOn w:val="ad"/>
    <w:link w:val="af2"/>
    <w:uiPriority w:val="99"/>
    <w:semiHidden/>
    <w:qFormat/>
    <w:rPr>
      <w:rFonts w:ascii="Calibri" w:hAnsi="Calibri" w:cs="Calibri"/>
      <w:kern w:val="2"/>
      <w:sz w:val="21"/>
      <w:szCs w:val="24"/>
    </w:rPr>
  </w:style>
  <w:style w:type="character" w:customStyle="1" w:styleId="aff">
    <w:name w:val="标题 字符"/>
    <w:basedOn w:val="ad"/>
    <w:link w:val="afe"/>
    <w:uiPriority w:val="10"/>
    <w:qFormat/>
    <w:rPr>
      <w:rFonts w:asciiTheme="majorHAnsi" w:eastAsiaTheme="majorEastAsia" w:hAnsiTheme="majorHAnsi" w:cstheme="majorBidi"/>
      <w:b/>
      <w:bCs/>
      <w:kern w:val="2"/>
      <w:sz w:val="32"/>
      <w:szCs w:val="32"/>
    </w:rPr>
  </w:style>
  <w:style w:type="table" w:customStyle="1" w:styleId="11">
    <w:name w:val="网格型1"/>
    <w:basedOn w:val="ae"/>
    <w:next w:val="aff2"/>
    <w:uiPriority w:val="39"/>
    <w:qFormat/>
    <w:rsid w:val="00D157EE"/>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网格型11"/>
    <w:basedOn w:val="ae"/>
    <w:uiPriority w:val="99"/>
    <w:qFormat/>
    <w:rsid w:val="00BE5408"/>
    <w:rPr>
      <w:rFonts w:ascii="Calibri" w:hAnsi="Calibri"/>
      <w:kern w:val="2"/>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A557EB5-8859-439F-820A-EC3DE90F6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1103</TotalTime>
  <Pages>1</Pages>
  <Words>1526</Words>
  <Characters>8699</Characters>
  <Application>Microsoft Office Word</Application>
  <DocSecurity>0</DocSecurity>
  <Lines>72</Lines>
  <Paragraphs>20</Paragraphs>
  <ScaleCrop>false</ScaleCrop>
  <Company>微软中国</Company>
  <LinksUpToDate>false</LinksUpToDate>
  <CharactersWithSpaces>10205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406</cp:revision>
  <cp:lastPrinted>2025-05-09T02:21:00Z</cp:lastPrinted>
  <dcterms:created xsi:type="dcterms:W3CDTF">2024-09-29T09:06:00Z</dcterms:created>
  <dcterms:modified xsi:type="dcterms:W3CDTF">2025-11-30T03:24:00Z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A922D90BF3B641DA8C66AE267C36FA1E_13</vt:lpwstr>
  </property>
  <property fmtid="{D5CDD505-2E9C-101B-9397-08002B2CF9AE}" pid="4" name="KSOTemplateDocerSaveRecord">
    <vt:lpwstr>eyJoZGlkIjoiNmQ1ZTAxODgwYWQ1NjFmNGMzNjRlNmY2MTk2ZjA3M2MiLCJ1c2VySWQiOiI1NjkwODQ0OTAifQ==</vt:lpwstr>
  </property>
</Properties>
</file>