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27.140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 59</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4NJltgAAAAMAQAADwAAAAAAAAABACAAAAAiAAAA&#10;ZHJzL2Rvd25yZXYueG1sUEsBAhQAFAAAAAgAh07iQCAX8V/OAQAAbAMAAA4AAAAAAAAAAQAgAAAA&#10;JwEAAGRycy9lMm9Eb2MueG1sUEsFBgAAAAAGAAYAWQEAAGcFA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水下岩塞爆破施工规范</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Construction specification for underwater rock plug blasting</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（本草案完成时间：</w:t>
      </w:r>
      <w:r>
        <w:rPr>
          <w:rFonts w:hint="eastAsia"/>
          <w:sz w:val="21"/>
          <w:szCs w:val="28"/>
        </w:rPr>
        <w:t>2025年11月</w:t>
      </w:r>
      <w:r>
        <w:rPr>
          <w:sz w:val="21"/>
          <w:szCs w:val="28"/>
        </w:rPr>
        <w:t>）</w:t>
      </w:r>
      <w:r>
        <w:rPr>
          <w:sz w:val="21"/>
          <w:szCs w:val="28"/>
        </w:rPr>
        <w:fldChar w:fldCharType="end"/>
      </w:r>
      <w:bookmarkEnd w:id="11"/>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szHPvXAAAADgEAAA8AAAAAAAAAAQAgAAAAIgAAAGRy&#10;cy9kb3ducmV2LnhtbFBLAQIUABQAAAAIAIdO4kCcmq9QzQEAAGoDAAAOAAAAAAAAAAEAIAAAACYB&#10;AABkcnMvZTJvRG9jLnhtbFBLBQYAAAAABgAGAFkBAABlBQAAAAA=&#10;">
                <v:fill on="f" focussize="0,0"/>
                <v:stroke color="#000000" joinstyle="round"/>
                <v:imagedata o:title=""/>
                <o:lock v:ext="edit" aspectratio="f"/>
                <w10:anchorlock/>
              </v:line>
            </w:pict>
          </mc:Fallback>
        </mc:AlternateContent>
      </w:r>
    </w:p>
    <w:p>
      <w:pPr>
        <w:pStyle w:val="91"/>
        <w:spacing w:after="360"/>
        <w:rPr>
          <w:rFonts w:hint="eastAsia"/>
        </w:rPr>
      </w:pPr>
      <w:bookmarkStart w:id="20" w:name="BookMark1"/>
      <w:bookmarkStart w:id="21" w:name="_Toc21167"/>
      <w:bookmarkStart w:id="22" w:name="_Toc17208"/>
      <w:bookmarkStart w:id="23" w:name="_Toc24645"/>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w:instrText>
      </w:r>
      <w:r>
        <w:instrText xml:space="preserve"> </w:instrText>
      </w:r>
      <w:r>
        <w:fldChar w:fldCharType="separate"/>
      </w:r>
      <w:r>
        <w:fldChar w:fldCharType="begin"/>
      </w:r>
      <w:r>
        <w:instrText xml:space="preserve"> HYPERLINK \l "_Toc214290945" </w:instrText>
      </w:r>
      <w:r>
        <w:fldChar w:fldCharType="separate"/>
      </w:r>
      <w:r>
        <w:rPr>
          <w:rStyle w:val="32"/>
          <w:rFonts w:hint="eastAsia"/>
        </w:rPr>
        <w:t>前言</w:t>
      </w:r>
      <w:r>
        <w:tab/>
      </w:r>
      <w:r>
        <w:fldChar w:fldCharType="begin"/>
      </w:r>
      <w:r>
        <w:instrText xml:space="preserve"> PAGEREF _Toc214290945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"_Toc214290946" </w:instrText>
      </w:r>
      <w:r>
        <w:fldChar w:fldCharType="separate"/>
      </w:r>
      <w:r>
        <w:rPr>
          <w:rStyle w:val="32"/>
        </w:rPr>
        <w:t xml:space="preserve">1 </w:t>
      </w:r>
      <w:r>
        <w:rPr>
          <w:rStyle w:val="32"/>
          <w:rFonts w:hint="eastAsia"/>
        </w:rPr>
        <w:t xml:space="preserve"> 范围</w:t>
      </w:r>
      <w:r>
        <w:tab/>
      </w:r>
      <w:r>
        <w:fldChar w:fldCharType="begin"/>
      </w:r>
      <w:r>
        <w:instrText xml:space="preserve"> PAGEREF _Toc214290946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"_Toc214290947"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_Toc214290947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"_Toc214290948"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_Toc214290948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"_Toc214290949" </w:instrText>
      </w:r>
      <w:r>
        <w:fldChar w:fldCharType="separate"/>
      </w:r>
      <w:r>
        <w:rPr>
          <w:rStyle w:val="32"/>
        </w:rPr>
        <w:t xml:space="preserve">4 </w:t>
      </w:r>
      <w:r>
        <w:rPr>
          <w:rStyle w:val="32"/>
          <w:rFonts w:hint="eastAsia"/>
        </w:rPr>
        <w:t xml:space="preserve"> 总体要求和原则</w:t>
      </w:r>
      <w:r>
        <w:tab/>
      </w:r>
      <w:r>
        <w:fldChar w:fldCharType="begin"/>
      </w:r>
      <w:r>
        <w:instrText xml:space="preserve"> PAGEREF _Toc214290949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"_Toc214290950" </w:instrText>
      </w:r>
      <w:r>
        <w:fldChar w:fldCharType="separate"/>
      </w:r>
      <w:r>
        <w:rPr>
          <w:rStyle w:val="32"/>
        </w:rPr>
        <w:t xml:space="preserve">5 </w:t>
      </w:r>
      <w:r>
        <w:rPr>
          <w:rStyle w:val="32"/>
          <w:rFonts w:hint="eastAsia"/>
        </w:rPr>
        <w:t xml:space="preserve"> 测量与勘察</w:t>
      </w:r>
      <w:r>
        <w:tab/>
      </w:r>
      <w:r>
        <w:fldChar w:fldCharType="begin"/>
      </w:r>
      <w:r>
        <w:instrText xml:space="preserve"> PAGEREF _Toc214290950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"_Toc214290951" </w:instrText>
      </w:r>
      <w:r>
        <w:fldChar w:fldCharType="separate"/>
      </w:r>
      <w:r>
        <w:rPr>
          <w:rStyle w:val="32"/>
        </w:rPr>
        <w:t xml:space="preserve">6 </w:t>
      </w:r>
      <w:r>
        <w:rPr>
          <w:rStyle w:val="32"/>
          <w:rFonts w:hint="eastAsia"/>
        </w:rPr>
        <w:t xml:space="preserve"> 爆破器材</w:t>
      </w:r>
      <w:r>
        <w:tab/>
      </w:r>
      <w:r>
        <w:fldChar w:fldCharType="begin"/>
      </w:r>
      <w:r>
        <w:instrText xml:space="preserve"> PAGEREF _Toc214290951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"_Toc214290952" </w:instrText>
      </w:r>
      <w:r>
        <w:fldChar w:fldCharType="separate"/>
      </w:r>
      <w:r>
        <w:rPr>
          <w:rStyle w:val="32"/>
        </w:rPr>
        <w:t xml:space="preserve">7 </w:t>
      </w:r>
      <w:r>
        <w:rPr>
          <w:rStyle w:val="32"/>
          <w:rFonts w:hint="eastAsia"/>
        </w:rPr>
        <w:t xml:space="preserve"> 生产性试验</w:t>
      </w:r>
      <w:r>
        <w:tab/>
      </w:r>
      <w:r>
        <w:fldChar w:fldCharType="begin"/>
      </w:r>
      <w:r>
        <w:instrText xml:space="preserve"> PAGEREF _Toc214290952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"_Toc214290953" </w:instrText>
      </w:r>
      <w:r>
        <w:fldChar w:fldCharType="separate"/>
      </w:r>
      <w:r>
        <w:rPr>
          <w:rStyle w:val="32"/>
        </w:rPr>
        <w:t xml:space="preserve">8 </w:t>
      </w:r>
      <w:r>
        <w:rPr>
          <w:rStyle w:val="32"/>
          <w:rFonts w:hint="eastAsia"/>
        </w:rPr>
        <w:t xml:space="preserve"> 水下岩塞爆破施工</w:t>
      </w:r>
      <w:r>
        <w:tab/>
      </w:r>
      <w:r>
        <w:fldChar w:fldCharType="begin"/>
      </w:r>
      <w:r>
        <w:instrText xml:space="preserve"> PAGEREF _Toc214290953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"_Toc214290954" </w:instrText>
      </w:r>
      <w:r>
        <w:fldChar w:fldCharType="separate"/>
      </w:r>
      <w:r>
        <w:rPr>
          <w:rStyle w:val="32"/>
        </w:rPr>
        <w:t xml:space="preserve">9 </w:t>
      </w:r>
      <w:r>
        <w:rPr>
          <w:rStyle w:val="32"/>
          <w:rFonts w:hint="eastAsia"/>
        </w:rPr>
        <w:t xml:space="preserve"> 爆破安全监测</w:t>
      </w:r>
      <w:r>
        <w:tab/>
      </w:r>
      <w:r>
        <w:fldChar w:fldCharType="begin"/>
      </w:r>
      <w:r>
        <w:instrText xml:space="preserve"> PAGEREF _Toc214290954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"_Toc214290955" </w:instrText>
      </w:r>
      <w:r>
        <w:fldChar w:fldCharType="separate"/>
      </w:r>
      <w:r>
        <w:rPr>
          <w:rStyle w:val="32"/>
        </w:rPr>
        <w:t xml:space="preserve">10 </w:t>
      </w:r>
      <w:r>
        <w:rPr>
          <w:rStyle w:val="32"/>
          <w:rFonts w:hint="eastAsia"/>
        </w:rPr>
        <w:t xml:space="preserve"> 爆破后检查</w:t>
      </w:r>
      <w:r>
        <w:tab/>
      </w:r>
      <w:r>
        <w:fldChar w:fldCharType="begin"/>
      </w:r>
      <w:r>
        <w:instrText xml:space="preserve"> PAGEREF _Toc214290955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"_Toc214290956" </w:instrText>
      </w:r>
      <w:r>
        <w:fldChar w:fldCharType="separate"/>
      </w:r>
      <w:r>
        <w:rPr>
          <w:rStyle w:val="32"/>
          <w:rFonts w:hint="eastAsia"/>
        </w:rPr>
        <w:t>附录A（资料性）</w:t>
      </w:r>
      <w:r>
        <w:rPr>
          <w:rStyle w:val="32"/>
        </w:rPr>
        <w:t xml:space="preserve">  </w:t>
      </w:r>
      <w:r>
        <w:rPr>
          <w:rStyle w:val="32"/>
          <w:rFonts w:hint="eastAsia"/>
        </w:rPr>
        <w:t>取水口水下岩塞爆破工程施工组织设计编写目录</w:t>
      </w:r>
      <w:r>
        <w:tab/>
      </w:r>
      <w:r>
        <w:fldChar w:fldCharType="begin"/>
      </w:r>
      <w:r>
        <w:instrText xml:space="preserve"> PAGEREF _Toc214290956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"_Toc214290957" </w:instrText>
      </w:r>
      <w:r>
        <w:fldChar w:fldCharType="separate"/>
      </w:r>
      <w:r>
        <w:rPr>
          <w:rStyle w:val="32"/>
          <w:rFonts w:hint="eastAsia"/>
        </w:rPr>
        <w:t>参考文献</w:t>
      </w:r>
      <w:r>
        <w:tab/>
      </w:r>
      <w:r>
        <w:fldChar w:fldCharType="begin"/>
      </w:r>
      <w:r>
        <w:instrText xml:space="preserve"> PAGEREF _Toc214290957 \h </w:instrText>
      </w:r>
      <w:r>
        <w:fldChar w:fldCharType="separate"/>
      </w:r>
      <w:r>
        <w:t>13</w:t>
      </w:r>
      <w:r>
        <w:fldChar w:fldCharType="end"/>
      </w:r>
      <w:r>
        <w:fldChar w:fldCharType="end"/>
      </w:r>
    </w:p>
    <w:p>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pPr>
        <w:pStyle w:val="89"/>
        <w:spacing w:before="560" w:after="360"/>
      </w:pPr>
      <w:bookmarkStart w:id="24" w:name="_Toc214290945"/>
      <w:bookmarkStart w:id="25" w:name="BookMark2"/>
      <w:r>
        <w:rPr>
          <w:rFonts w:hint="eastAsia"/>
          <w:spacing w:val="320"/>
        </w:rPr>
        <w:t>前</w:t>
      </w:r>
      <w:r>
        <w:rPr>
          <w:rFonts w:hint="eastAsia"/>
        </w:rPr>
        <w:t>言</w:t>
      </w:r>
      <w:bookmarkEnd w:id="21"/>
      <w:bookmarkEnd w:id="22"/>
      <w:bookmarkEnd w:id="23"/>
      <w:bookmarkEnd w:id="24"/>
    </w:p>
    <w:p>
      <w:pPr>
        <w:pStyle w:val="56"/>
        <w:ind w:firstLine="420"/>
        <w:rPr>
          <w:rFonts w:ascii="宋体" w:hAnsi="宋体"/>
        </w:rPr>
      </w:pPr>
      <w:r>
        <w:rPr>
          <w:rFonts w:hint="eastAsia" w:ascii="宋体" w:hAnsi="宋体"/>
        </w:rPr>
        <w:t>本文件参照GB/T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本文件由广西爆破行业协会提出并宣贯。</w:t>
      </w:r>
    </w:p>
    <w:p>
      <w:pPr>
        <w:pStyle w:val="56"/>
        <w:ind w:firstLine="420"/>
      </w:pPr>
      <w:r>
        <w:rPr>
          <w:rFonts w:hint="eastAsia"/>
        </w:rPr>
        <w:t>本文件由广西标准化协会归口。</w:t>
      </w:r>
    </w:p>
    <w:p>
      <w:pPr>
        <w:pStyle w:val="56"/>
        <w:ind w:firstLine="420"/>
      </w:pPr>
      <w:r>
        <w:rPr>
          <w:rFonts w:hint="eastAsia"/>
        </w:rPr>
        <w:t>本文件起草单位：中国能源建设集团广西水电工程局有限公司、中水珠江规划勘测设计有限公司、长江水利委员会长江科学院、中国葛洲坝集团第一工程有限公司、浙江省正邦水电建设有限公司、广西爆破行业协会。</w:t>
      </w:r>
    </w:p>
    <w:p>
      <w:pPr>
        <w:pStyle w:val="56"/>
        <w:ind w:firstLine="420"/>
      </w:pPr>
      <w:r>
        <w:rPr>
          <w:rFonts w:hint="eastAsia"/>
        </w:rPr>
        <w:t>本文件主要起草人：卢山、郎伟平、黎卫超、詹杰、王盟、涂胜、郑靖、徐清、戴龙才、张焱光、罗远耀、王士发、谢红祥、武巧焕、张淑芳、李晓旭、刘美山、杨正贵、郭坚、姚二雷、蔡祈泉、</w:t>
      </w:r>
    </w:p>
    <w:p>
      <w:pPr>
        <w:pStyle w:val="56"/>
        <w:ind w:firstLine="0" w:firstLineChars="0"/>
      </w:pPr>
      <w:r>
        <w:rPr>
          <w:rFonts w:hint="eastAsia"/>
        </w:rPr>
        <w:t>潘祥弟、周发贵、熊建武、黄高僚、王英、黄朝俭、李果龙、莫国恒、吴恒和、赵明特、赖才贵、</w:t>
      </w:r>
    </w:p>
    <w:p>
      <w:pPr>
        <w:pStyle w:val="56"/>
        <w:ind w:firstLine="0" w:firstLineChars="0"/>
      </w:pPr>
      <w:r>
        <w:rPr>
          <w:rFonts w:hint="eastAsia"/>
        </w:rPr>
        <w:t>胡珊</w:t>
      </w:r>
      <w:r>
        <w:rPr>
          <w:rFonts w:hint="eastAsia"/>
          <w:lang w:eastAsia="zh-CN"/>
        </w:rPr>
        <w:t>、</w:t>
      </w:r>
      <w:bookmarkStart w:id="271" w:name="_GoBack"/>
      <w:bookmarkEnd w:id="271"/>
      <w:r>
        <w:rPr>
          <w:rFonts w:hint="eastAsia"/>
        </w:rPr>
        <w:t>龚成波、陈毅珍。</w:t>
      </w:r>
    </w:p>
    <w:p>
      <w:pPr>
        <w:pStyle w:val="56"/>
        <w:ind w:firstLine="420"/>
      </w:pPr>
    </w:p>
    <w:p>
      <w:pPr>
        <w:pStyle w:val="56"/>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linePitch="312" w:charSpace="0"/>
        </w:sectPr>
      </w:pPr>
    </w:p>
    <w:bookmarkEnd w:id="25"/>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9B3BEDB4F2724F9D81F4444A5CCE266D"/>
        </w:placeholder>
      </w:sdtPr>
      <w:sdtContent>
        <w:p>
          <w:pPr>
            <w:pStyle w:val="177"/>
            <w:spacing w:beforeLines="100" w:afterLines="220"/>
          </w:pPr>
          <w:bookmarkStart w:id="27" w:name="NEW_STAND_NAME"/>
          <w:r>
            <w:rPr>
              <w:rFonts w:hint="eastAsia"/>
            </w:rPr>
            <w:t>水下岩塞爆破施工规范</w:t>
          </w:r>
        </w:p>
      </w:sdtContent>
    </w:sdt>
    <w:bookmarkEnd w:id="27"/>
    <w:p>
      <w:pPr>
        <w:pStyle w:val="104"/>
        <w:spacing w:before="240" w:after="240"/>
        <w:rPr>
          <w:color w:val="FF0000"/>
        </w:rPr>
      </w:pPr>
      <w:bookmarkStart w:id="28" w:name="_Toc24884211"/>
      <w:bookmarkStart w:id="29" w:name="_Toc26986530"/>
      <w:bookmarkStart w:id="30" w:name="_Toc17233333"/>
      <w:bookmarkStart w:id="31" w:name="_Toc26648465"/>
      <w:bookmarkStart w:id="32" w:name="_Toc97192964"/>
      <w:bookmarkStart w:id="33" w:name="_Toc11006"/>
      <w:bookmarkStart w:id="34" w:name="_Toc22680"/>
      <w:bookmarkStart w:id="35" w:name="_Toc26986771"/>
      <w:bookmarkStart w:id="36" w:name="_Toc24884218"/>
      <w:bookmarkStart w:id="37" w:name="_Toc26718930"/>
      <w:bookmarkStart w:id="38" w:name="_Toc17233325"/>
      <w:bookmarkStart w:id="39" w:name="_Toc25201"/>
      <w:bookmarkStart w:id="40" w:name="_Toc21559"/>
      <w:bookmarkStart w:id="41" w:name="_Toc28126"/>
      <w:bookmarkStart w:id="42" w:name="_Toc214290946"/>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6"/>
        <w:ind w:firstLine="420"/>
        <w:rPr>
          <w:color w:val="0070C0"/>
        </w:rPr>
      </w:pPr>
      <w:bookmarkStart w:id="43" w:name="_Toc17233334"/>
      <w:bookmarkStart w:id="44" w:name="_Toc17233326"/>
      <w:bookmarkStart w:id="45" w:name="_Toc24884212"/>
      <w:bookmarkStart w:id="46" w:name="_Toc26648466"/>
      <w:bookmarkStart w:id="47" w:name="_Toc24884219"/>
      <w:r>
        <w:rPr>
          <w:rFonts w:hint="eastAsia"/>
          <w:color w:val="0070C0"/>
        </w:rPr>
        <w:t>本文件界定了水下岩塞爆破施工相关的术语和定义，规定了总体要求和原则、测量与勘察、爆破器材、生产性试验、水下岩塞爆破施工要求、爆破安全监测、爆破后检查等内容。</w:t>
      </w:r>
    </w:p>
    <w:p>
      <w:pPr>
        <w:pStyle w:val="56"/>
        <w:tabs>
          <w:tab w:val="left" w:pos="4140"/>
        </w:tabs>
        <w:ind w:firstLine="420"/>
      </w:pPr>
      <w:r>
        <w:rPr>
          <w:rFonts w:hint="eastAsia"/>
        </w:rPr>
        <w:t>本文件适用于水下岩塞爆破施工。</w:t>
      </w:r>
      <w:r>
        <w:tab/>
      </w:r>
    </w:p>
    <w:p>
      <w:pPr>
        <w:pStyle w:val="104"/>
        <w:spacing w:before="240" w:after="240"/>
      </w:pPr>
      <w:bookmarkStart w:id="48" w:name="_Toc1288"/>
      <w:bookmarkStart w:id="49" w:name="_Toc26718931"/>
      <w:bookmarkStart w:id="50" w:name="_Toc26986531"/>
      <w:bookmarkStart w:id="51" w:name="_Toc26986772"/>
      <w:bookmarkStart w:id="52" w:name="_Toc97192965"/>
      <w:bookmarkStart w:id="53" w:name="_Toc23276"/>
      <w:bookmarkStart w:id="54" w:name="_Toc8735"/>
      <w:bookmarkStart w:id="55" w:name="_Toc22045"/>
      <w:bookmarkStart w:id="56" w:name="_Toc1718"/>
      <w:bookmarkStart w:id="57" w:name="_Toc214290947"/>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6"/>
        <w:ind w:firstLine="420"/>
        <w:rPr>
          <w:rFonts w:ascii="宋体" w:hAnsi="宋体"/>
        </w:rPr>
      </w:pPr>
      <w:r>
        <w:rPr>
          <w:rFonts w:hint="eastAsia" w:ascii="宋体" w:hAnsi="宋体"/>
        </w:rPr>
        <w:t>GB/T 9786  工业导爆索</w:t>
      </w:r>
    </w:p>
    <w:p>
      <w:pPr>
        <w:pStyle w:val="56"/>
        <w:ind w:firstLine="420"/>
        <w:rPr>
          <w:rFonts w:ascii="宋体" w:hAnsi="宋体"/>
        </w:rPr>
      </w:pPr>
      <w:r>
        <w:rPr>
          <w:rFonts w:hint="eastAsia" w:ascii="宋体" w:hAnsi="宋体"/>
        </w:rPr>
        <w:t xml:space="preserve">GB </w:t>
      </w:r>
      <w:r>
        <w:rPr>
          <w:rFonts w:hint="eastAsia" w:ascii="宋体" w:hAnsi="宋体"/>
          <w:color w:val="0070C0"/>
        </w:rPr>
        <w:t>28286</w:t>
      </w:r>
      <w:r>
        <w:rPr>
          <w:rFonts w:hint="eastAsia" w:ascii="宋体" w:hAnsi="宋体"/>
        </w:rPr>
        <w:t xml:space="preserve">  工业炸药通用技术条件</w:t>
      </w:r>
    </w:p>
    <w:p>
      <w:pPr>
        <w:pStyle w:val="56"/>
        <w:ind w:firstLine="420"/>
        <w:rPr>
          <w:rFonts w:ascii="宋体" w:hAnsi="宋体"/>
        </w:rPr>
      </w:pPr>
      <w:r>
        <w:rPr>
          <w:rFonts w:hint="eastAsia" w:ascii="宋体" w:hAnsi="宋体"/>
        </w:rPr>
        <w:t xml:space="preserve">DL/T </w:t>
      </w:r>
      <w:r>
        <w:rPr>
          <w:rFonts w:hint="eastAsia" w:ascii="宋体" w:hAnsi="宋体"/>
          <w:color w:val="0070C0"/>
        </w:rPr>
        <w:t>5333</w:t>
      </w:r>
      <w:r>
        <w:rPr>
          <w:rFonts w:hint="eastAsia" w:ascii="宋体" w:hAnsi="宋体"/>
        </w:rPr>
        <w:t xml:space="preserve">  水电水利工程爆破安全监测规程</w:t>
      </w:r>
    </w:p>
    <w:p>
      <w:pPr>
        <w:pStyle w:val="56"/>
        <w:ind w:firstLine="420"/>
        <w:rPr>
          <w:rFonts w:ascii="宋体" w:hAnsi="宋体"/>
        </w:rPr>
      </w:pPr>
      <w:r>
        <w:rPr>
          <w:rFonts w:hint="eastAsia" w:ascii="宋体" w:hAnsi="宋体"/>
        </w:rPr>
        <w:t xml:space="preserve">WJ/T </w:t>
      </w:r>
      <w:r>
        <w:rPr>
          <w:rFonts w:hint="eastAsia" w:ascii="宋体" w:hAnsi="宋体"/>
          <w:color w:val="0070C0"/>
        </w:rPr>
        <w:t>9085</w:t>
      </w:r>
      <w:r>
        <w:rPr>
          <w:rFonts w:hint="eastAsia" w:ascii="宋体" w:hAnsi="宋体"/>
        </w:rPr>
        <w:t xml:space="preserve">  工业电子雷管</w:t>
      </w:r>
    </w:p>
    <w:p>
      <w:pPr>
        <w:pStyle w:val="104"/>
        <w:spacing w:before="240" w:after="240"/>
      </w:pPr>
      <w:bookmarkStart w:id="58" w:name="_Toc97192966"/>
      <w:bookmarkStart w:id="59" w:name="_Toc10047"/>
      <w:bookmarkStart w:id="60" w:name="_Toc28641"/>
      <w:bookmarkStart w:id="61" w:name="_Toc12797"/>
      <w:bookmarkStart w:id="62" w:name="_Toc2172"/>
      <w:bookmarkStart w:id="63" w:name="_Toc4008"/>
      <w:bookmarkStart w:id="64" w:name="_Toc214290948"/>
      <w:r>
        <w:rPr>
          <w:rFonts w:hint="eastAsia"/>
          <w:szCs w:val="21"/>
        </w:rPr>
        <w:t>术语和定义</w:t>
      </w:r>
      <w:bookmarkEnd w:id="58"/>
      <w:bookmarkEnd w:id="59"/>
      <w:bookmarkEnd w:id="60"/>
      <w:bookmarkEnd w:id="61"/>
      <w:bookmarkEnd w:id="62"/>
      <w:bookmarkEnd w:id="63"/>
      <w:bookmarkEnd w:id="64"/>
    </w:p>
    <w:sdt>
      <w:sdtPr>
        <w:id w:val="-1909835108"/>
        <w:placeholder>
          <w:docPart w:val="DD487E154D8B46B1811108614A1131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65" w:name="_Toc26986532"/>
          <w:bookmarkEnd w:id="65"/>
          <w:r>
            <w:t>下列术语和定义适用于本文件。</w:t>
          </w:r>
        </w:p>
      </w:sdtContent>
    </w:sdt>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水下岩塞  underwater rock-plug</w:t>
      </w:r>
    </w:p>
    <w:p>
      <w:pPr>
        <w:pStyle w:val="56"/>
        <w:ind w:firstLine="420"/>
      </w:pPr>
      <w:r>
        <w:rPr>
          <w:rFonts w:hint="eastAsia"/>
        </w:rPr>
        <w:t>在已建水库或天然河湖中修建水下进/出水口时，在进/出水口迎水面预留一定厚度的岩体，替代围堰临时挡水、度汛，该预留部分的岩体称为水下岩塞。</w:t>
      </w:r>
    </w:p>
    <w:p>
      <w:pPr>
        <w:pStyle w:val="223"/>
        <w:ind w:left="420" w:hanging="420" w:hangingChars="200"/>
        <w:rPr>
          <w:rFonts w:ascii="黑体" w:hAnsi="黑体" w:eastAsia="黑体" w:cs="黑体"/>
        </w:rPr>
      </w:pPr>
    </w:p>
    <w:p>
      <w:pPr>
        <w:pStyle w:val="223"/>
        <w:numPr>
          <w:ilvl w:val="0"/>
          <w:numId w:val="0"/>
        </w:numPr>
        <w:ind w:left="420"/>
        <w:rPr>
          <w:rFonts w:ascii="黑体" w:hAnsi="黑体" w:eastAsia="黑体" w:cs="黑体"/>
        </w:rPr>
      </w:pPr>
      <w:r>
        <w:rPr>
          <w:rFonts w:hint="eastAsia" w:ascii="黑体" w:hAnsi="黑体" w:eastAsia="黑体" w:cs="黑体"/>
        </w:rPr>
        <w:t>水下岩塞爆破  underwater rockplug blasting</w:t>
      </w:r>
    </w:p>
    <w:p>
      <w:pPr>
        <w:pStyle w:val="56"/>
        <w:ind w:firstLine="420"/>
      </w:pPr>
      <w:r>
        <w:rPr>
          <w:rFonts w:hint="eastAsia"/>
        </w:rPr>
        <w:t>水下进/出水口建筑物修建完成后,在隧洞内对预留的水下岩塞一次性爆破贯通的作业。</w:t>
      </w:r>
    </w:p>
    <w:p>
      <w:pPr>
        <w:pStyle w:val="223"/>
        <w:ind w:left="420" w:hanging="420" w:hangingChars="200"/>
        <w:rPr>
          <w:rFonts w:ascii="黑体" w:hAnsi="黑体" w:eastAsia="黑体" w:cs="黑体"/>
        </w:rPr>
      </w:pPr>
    </w:p>
    <w:p>
      <w:pPr>
        <w:pStyle w:val="223"/>
        <w:numPr>
          <w:ilvl w:val="0"/>
          <w:numId w:val="0"/>
        </w:numPr>
        <w:ind w:left="420"/>
        <w:rPr>
          <w:rFonts w:ascii="黑体" w:hAnsi="黑体" w:eastAsia="黑体" w:cs="黑体"/>
        </w:rPr>
      </w:pPr>
      <w:r>
        <w:rPr>
          <w:rFonts w:hint="eastAsia" w:ascii="黑体" w:hAnsi="黑体" w:eastAsia="黑体" w:cs="黑体"/>
        </w:rPr>
        <w:t>排孔岩塞爆破  drilling rockplug blasting</w:t>
      </w:r>
    </w:p>
    <w:p>
      <w:pPr>
        <w:pStyle w:val="56"/>
        <w:ind w:firstLine="420"/>
      </w:pPr>
      <w:r>
        <w:rPr>
          <w:rFonts w:hint="eastAsia"/>
        </w:rPr>
        <w:t>全部采用钻孔法进行的岩塞爆破。</w:t>
      </w:r>
    </w:p>
    <w:p>
      <w:pPr>
        <w:pStyle w:val="223"/>
        <w:ind w:left="420" w:hanging="420" w:hangingChars="200"/>
        <w:rPr>
          <w:rFonts w:ascii="黑体" w:hAnsi="黑体" w:eastAsia="黑体" w:cs="黑体"/>
        </w:rPr>
      </w:pPr>
    </w:p>
    <w:p>
      <w:pPr>
        <w:pStyle w:val="223"/>
        <w:numPr>
          <w:ilvl w:val="0"/>
          <w:numId w:val="0"/>
        </w:numPr>
        <w:ind w:left="420"/>
        <w:rPr>
          <w:rFonts w:ascii="黑体" w:hAnsi="黑体" w:eastAsia="黑体" w:cs="黑体"/>
        </w:rPr>
      </w:pPr>
      <w:r>
        <w:rPr>
          <w:rFonts w:hint="eastAsia" w:ascii="黑体" w:hAnsi="黑体" w:eastAsia="黑体" w:cs="黑体"/>
        </w:rPr>
        <w:t>硐室与排孔联合岩塞爆破  rockplug blasting combined chambers and boreholes</w:t>
      </w:r>
    </w:p>
    <w:p>
      <w:pPr>
        <w:pStyle w:val="56"/>
        <w:ind w:firstLine="420"/>
      </w:pPr>
      <w:r>
        <w:rPr>
          <w:rFonts w:hint="eastAsia"/>
        </w:rPr>
        <w:t>轮廓面采用光面爆破或预裂爆破，岩塞体采用硐室与排孔联合进行的水下岩塞爆破。</w:t>
      </w:r>
    </w:p>
    <w:p>
      <w:pPr>
        <w:pStyle w:val="223"/>
        <w:ind w:left="420" w:hanging="420" w:hangingChars="200"/>
        <w:rPr>
          <w:rFonts w:ascii="黑体" w:hAnsi="黑体" w:eastAsia="黑体" w:cs="黑体"/>
        </w:rPr>
      </w:pPr>
    </w:p>
    <w:p>
      <w:pPr>
        <w:pStyle w:val="223"/>
        <w:numPr>
          <w:ilvl w:val="0"/>
          <w:numId w:val="0"/>
        </w:numPr>
        <w:ind w:left="420"/>
        <w:rPr>
          <w:rFonts w:ascii="黑体" w:hAnsi="黑体" w:eastAsia="黑体" w:cs="黑体"/>
        </w:rPr>
      </w:pPr>
      <w:r>
        <w:rPr>
          <w:rFonts w:hint="eastAsia" w:ascii="黑体" w:hAnsi="黑体" w:eastAsia="黑体" w:cs="黑体"/>
        </w:rPr>
        <w:t>硐室岩塞爆破  rockplug blasting using chambers</w:t>
      </w:r>
    </w:p>
    <w:p>
      <w:pPr>
        <w:pStyle w:val="56"/>
        <w:ind w:firstLine="420"/>
      </w:pPr>
      <w:r>
        <w:rPr>
          <w:rFonts w:hint="eastAsia"/>
        </w:rPr>
        <w:t>轮廓面预裂爆破，岩塞体采用硐室法进行的水下岩塞爆破。</w:t>
      </w:r>
    </w:p>
    <w:p>
      <w:pPr>
        <w:pStyle w:val="223"/>
        <w:ind w:left="420" w:hanging="420" w:hangingChars="200"/>
        <w:rPr>
          <w:rFonts w:ascii="黑体" w:hAnsi="黑体" w:eastAsia="黑体" w:cs="黑体"/>
        </w:rPr>
      </w:pPr>
    </w:p>
    <w:p>
      <w:pPr>
        <w:pStyle w:val="223"/>
        <w:numPr>
          <w:ilvl w:val="0"/>
          <w:numId w:val="0"/>
        </w:numPr>
        <w:ind w:left="420"/>
        <w:rPr>
          <w:rFonts w:ascii="黑体" w:hAnsi="黑体" w:eastAsia="黑体" w:cs="黑体"/>
        </w:rPr>
      </w:pPr>
      <w:r>
        <w:rPr>
          <w:rFonts w:hint="eastAsia" w:ascii="黑体" w:hAnsi="黑体" w:eastAsia="黑体" w:cs="黑体"/>
        </w:rPr>
        <w:t>集渣坑  slag collecting pit</w:t>
      </w:r>
    </w:p>
    <w:p>
      <w:pPr>
        <w:pStyle w:val="56"/>
        <w:ind w:firstLine="420"/>
      </w:pPr>
      <w:r>
        <w:rPr>
          <w:rFonts w:hint="eastAsia"/>
        </w:rPr>
        <w:t>在预留岩塞后部设置的用于收纳爆破岩渣的坑体。</w:t>
      </w:r>
    </w:p>
    <w:p>
      <w:pPr>
        <w:pStyle w:val="223"/>
        <w:ind w:left="420" w:hanging="420" w:hangingChars="200"/>
        <w:rPr>
          <w:rFonts w:ascii="黑体" w:hAnsi="黑体" w:eastAsia="黑体" w:cs="黑体"/>
        </w:rPr>
      </w:pPr>
    </w:p>
    <w:p>
      <w:pPr>
        <w:pStyle w:val="223"/>
        <w:numPr>
          <w:ilvl w:val="0"/>
          <w:numId w:val="0"/>
        </w:numPr>
        <w:ind w:left="420"/>
        <w:rPr>
          <w:rFonts w:ascii="黑体" w:hAnsi="黑体" w:eastAsia="黑体" w:cs="黑体"/>
        </w:rPr>
      </w:pPr>
      <w:r>
        <w:rPr>
          <w:rFonts w:hint="eastAsia" w:ascii="黑体" w:hAnsi="黑体" w:eastAsia="黑体" w:cs="黑体"/>
        </w:rPr>
        <w:t>导洞  guidance tunnel</w:t>
      </w:r>
    </w:p>
    <w:p>
      <w:pPr>
        <w:pStyle w:val="56"/>
        <w:ind w:firstLine="420"/>
      </w:pPr>
      <w:r>
        <w:rPr>
          <w:rFonts w:hint="eastAsia"/>
        </w:rPr>
        <w:t>为便于药室开挖，先在岩塞岩体上开挖的小坑道。</w:t>
      </w:r>
    </w:p>
    <w:p>
      <w:pPr>
        <w:pStyle w:val="223"/>
        <w:ind w:left="420" w:hanging="420" w:hangingChars="200"/>
        <w:rPr>
          <w:rFonts w:ascii="黑体" w:hAnsi="黑体" w:eastAsia="黑体" w:cs="黑体"/>
        </w:rPr>
      </w:pPr>
    </w:p>
    <w:p>
      <w:pPr>
        <w:pStyle w:val="223"/>
        <w:numPr>
          <w:ilvl w:val="0"/>
          <w:numId w:val="0"/>
        </w:numPr>
        <w:ind w:left="420"/>
        <w:rPr>
          <w:rFonts w:ascii="黑体" w:hAnsi="黑体" w:eastAsia="黑体" w:cs="黑体"/>
        </w:rPr>
      </w:pPr>
      <w:r>
        <w:rPr>
          <w:rFonts w:hint="eastAsia" w:ascii="黑体" w:hAnsi="黑体" w:eastAsia="黑体" w:cs="黑体"/>
        </w:rPr>
        <w:t>连接洞  connection tunnel联系洞</w:t>
      </w:r>
    </w:p>
    <w:p>
      <w:pPr>
        <w:pStyle w:val="56"/>
        <w:ind w:firstLine="420"/>
      </w:pPr>
      <w:r>
        <w:rPr>
          <w:rFonts w:hint="eastAsia"/>
        </w:rPr>
        <w:t>药室与导洞之间联系的洞室。</w:t>
      </w:r>
    </w:p>
    <w:p>
      <w:pPr>
        <w:pStyle w:val="56"/>
        <w:ind w:firstLine="420"/>
      </w:pPr>
    </w:p>
    <w:p>
      <w:pPr>
        <w:pStyle w:val="223"/>
        <w:ind w:left="420" w:hanging="420" w:hangingChars="200"/>
        <w:rPr>
          <w:rFonts w:ascii="黑体" w:hAnsi="黑体" w:eastAsia="黑体" w:cs="黑体"/>
        </w:rPr>
      </w:pPr>
    </w:p>
    <w:p>
      <w:pPr>
        <w:pStyle w:val="223"/>
        <w:numPr>
          <w:ilvl w:val="0"/>
          <w:numId w:val="0"/>
        </w:numPr>
        <w:ind w:left="420"/>
        <w:rPr>
          <w:rFonts w:ascii="黑体" w:hAnsi="黑体" w:eastAsia="黑体" w:cs="黑体"/>
        </w:rPr>
      </w:pPr>
      <w:r>
        <w:rPr>
          <w:rFonts w:hint="eastAsia" w:ascii="黑体" w:hAnsi="黑体" w:eastAsia="黑体" w:cs="黑体"/>
        </w:rPr>
        <w:t>药室  blasting chamber</w:t>
      </w:r>
    </w:p>
    <w:p>
      <w:pPr>
        <w:pStyle w:val="56"/>
        <w:ind w:firstLine="420"/>
      </w:pPr>
      <w:r>
        <w:rPr>
          <w:rFonts w:hint="eastAsia"/>
        </w:rPr>
        <w:t>用于硐室爆破时装填和起爆大量炸药的硐室或巷道。</w:t>
      </w:r>
    </w:p>
    <w:p>
      <w:pPr>
        <w:pStyle w:val="223"/>
        <w:ind w:left="420" w:hanging="420" w:hangingChars="200"/>
        <w:rPr>
          <w:rFonts w:ascii="黑体" w:hAnsi="黑体" w:eastAsia="黑体" w:cs="黑体"/>
        </w:rPr>
      </w:pPr>
    </w:p>
    <w:p>
      <w:pPr>
        <w:pStyle w:val="223"/>
        <w:numPr>
          <w:ilvl w:val="0"/>
          <w:numId w:val="0"/>
        </w:numPr>
        <w:ind w:left="420"/>
        <w:rPr>
          <w:rFonts w:ascii="黑体" w:hAnsi="黑体" w:eastAsia="黑体" w:cs="黑体"/>
        </w:rPr>
      </w:pPr>
      <w:r>
        <w:rPr>
          <w:rFonts w:hint="eastAsia" w:ascii="黑体" w:hAnsi="黑体" w:eastAsia="黑体" w:cs="黑体"/>
        </w:rPr>
        <w:t>水上作业平台  floating platforms for drilling blast</w:t>
      </w:r>
    </w:p>
    <w:p>
      <w:pPr>
        <w:pStyle w:val="56"/>
        <w:ind w:firstLine="420"/>
      </w:pPr>
      <w:r>
        <w:rPr>
          <w:rFonts w:hint="eastAsia"/>
        </w:rPr>
        <w:t>为便于水下钻孔、水下清淤作业而构建的施工作业平台。</w:t>
      </w:r>
    </w:p>
    <w:p>
      <w:pPr>
        <w:pStyle w:val="104"/>
        <w:spacing w:before="240" w:after="240"/>
      </w:pPr>
      <w:bookmarkStart w:id="66" w:name="_Toc3495"/>
      <w:bookmarkStart w:id="67" w:name="_Toc25351"/>
      <w:bookmarkStart w:id="68" w:name="_Toc14586"/>
      <w:bookmarkStart w:id="69" w:name="_Toc27411"/>
      <w:bookmarkStart w:id="70" w:name="_Toc629"/>
      <w:bookmarkStart w:id="71" w:name="_Toc214290949"/>
      <w:r>
        <w:rPr>
          <w:rFonts w:hint="eastAsia"/>
        </w:rPr>
        <w:t>总体要求和原则</w:t>
      </w:r>
      <w:bookmarkEnd w:id="66"/>
      <w:bookmarkEnd w:id="67"/>
      <w:bookmarkEnd w:id="68"/>
      <w:bookmarkEnd w:id="69"/>
      <w:bookmarkEnd w:id="70"/>
      <w:bookmarkEnd w:id="71"/>
    </w:p>
    <w:p>
      <w:pPr>
        <w:pStyle w:val="162"/>
      </w:pPr>
      <w:bookmarkStart w:id="72" w:name="_Toc9896"/>
      <w:bookmarkStart w:id="73" w:name="_Toc22227"/>
      <w:bookmarkStart w:id="74" w:name="_Toc28201"/>
      <w:bookmarkStart w:id="75" w:name="_Toc2777"/>
      <w:r>
        <w:rPr>
          <w:rFonts w:hint="eastAsia"/>
        </w:rPr>
        <w:t>水下岩塞爆破应根据工程特点、具体要求和施工条件，并结合工程地形、地质、周边环境等实际情况，选择安全可靠、技术先进、经济合理、节能高效和绿色环保的施工方法和工艺流程，确保一次爆通、安全可靠、成型良好。</w:t>
      </w:r>
      <w:bookmarkEnd w:id="72"/>
      <w:bookmarkEnd w:id="73"/>
      <w:bookmarkEnd w:id="74"/>
      <w:bookmarkEnd w:id="75"/>
    </w:p>
    <w:p>
      <w:pPr>
        <w:pStyle w:val="162"/>
      </w:pPr>
      <w:bookmarkStart w:id="76" w:name="_Toc6734"/>
      <w:bookmarkStart w:id="77" w:name="_Toc7046"/>
      <w:bookmarkStart w:id="78" w:name="_Toc29059"/>
      <w:bookmarkStart w:id="79" w:name="_Toc31912"/>
      <w:r>
        <w:rPr>
          <w:rFonts w:hint="eastAsia"/>
        </w:rPr>
        <w:t>水下岩塞施工前，应搜集与水下岩塞爆破有关的设计文件、水下地形、地质情况及爆破周边影响区域等资料，包括：</w:t>
      </w:r>
      <w:bookmarkEnd w:id="76"/>
      <w:bookmarkEnd w:id="77"/>
      <w:bookmarkEnd w:id="78"/>
      <w:bookmarkEnd w:id="79"/>
    </w:p>
    <w:p>
      <w:pPr>
        <w:pStyle w:val="132"/>
      </w:pPr>
      <w:r>
        <w:rPr>
          <w:rFonts w:hint="eastAsia"/>
        </w:rPr>
        <w:t>岩塞口2</w:t>
      </w:r>
      <w:r>
        <w:rPr>
          <w:rFonts w:hint="eastAsia"/>
          <w:vertAlign w:val="superscript"/>
        </w:rPr>
        <w:t xml:space="preserve"> </w:t>
      </w:r>
      <w:r>
        <w:rPr>
          <w:rFonts w:hint="eastAsia"/>
        </w:rPr>
        <w:t>km范围内水上交通、水产养殖、水生生物、潜水作业等情况；</w:t>
      </w:r>
    </w:p>
    <w:p>
      <w:pPr>
        <w:pStyle w:val="132"/>
      </w:pPr>
      <w:r>
        <w:rPr>
          <w:rFonts w:hint="eastAsia"/>
        </w:rPr>
        <w:t>岩塞口水深、水下地形、岩面线、覆盖层或淤泥层状态；</w:t>
      </w:r>
    </w:p>
    <w:p>
      <w:pPr>
        <w:pStyle w:val="132"/>
      </w:pPr>
      <w:r>
        <w:rPr>
          <w:rFonts w:hint="eastAsia"/>
        </w:rPr>
        <w:t>洞脸边坡、岩塞体、集渣坑等部位的地质资料；</w:t>
      </w:r>
    </w:p>
    <w:p>
      <w:pPr>
        <w:pStyle w:val="132"/>
      </w:pPr>
      <w:r>
        <w:rPr>
          <w:rFonts w:hint="eastAsia"/>
        </w:rPr>
        <w:t>进口段结构布置、体型及结构尺寸的设计图纸和设计说明书等设计文件；</w:t>
      </w:r>
    </w:p>
    <w:p>
      <w:pPr>
        <w:pStyle w:val="132"/>
      </w:pPr>
      <w:r>
        <w:rPr>
          <w:rFonts w:hint="eastAsia"/>
        </w:rPr>
        <w:t>集渣、泄渣或集渣和泄渣相结合方案；</w:t>
      </w:r>
    </w:p>
    <w:p>
      <w:pPr>
        <w:pStyle w:val="132"/>
      </w:pPr>
      <w:r>
        <w:rPr>
          <w:rFonts w:hint="eastAsia"/>
        </w:rPr>
        <w:t>爆破有害效应对周边建（构）筑物的影响及各保护对象的安全允许振速、水击波压力值等保护要求；</w:t>
      </w:r>
    </w:p>
    <w:p>
      <w:pPr>
        <w:pStyle w:val="132"/>
      </w:pPr>
      <w:r>
        <w:rPr>
          <w:rFonts w:hint="eastAsia"/>
        </w:rPr>
        <w:t>与工程有关的物资和爆破器材供应情况；</w:t>
      </w:r>
    </w:p>
    <w:p>
      <w:pPr>
        <w:pStyle w:val="132"/>
      </w:pPr>
      <w:r>
        <w:rPr>
          <w:rFonts w:hint="eastAsia"/>
        </w:rPr>
        <w:t>其它有关资料。</w:t>
      </w:r>
    </w:p>
    <w:p>
      <w:pPr>
        <w:pStyle w:val="162"/>
      </w:pPr>
      <w:bookmarkStart w:id="80" w:name="_Toc5562"/>
      <w:bookmarkStart w:id="81" w:name="_Toc6879"/>
      <w:bookmarkStart w:id="82" w:name="_Toc6308"/>
      <w:bookmarkStart w:id="83" w:name="_Toc23844"/>
      <w:r>
        <w:rPr>
          <w:rFonts w:hint="eastAsia"/>
        </w:rPr>
        <w:t>水下岩塞爆破施工前，应对岩塞体地质和水下地形情况进行复核，必要时进行补充勘测。当地质条件较差或渗水量较大时，应进行灌浆加固等预处理；当覆盖层较厚或水下洞脸边坡存在乱石时，应进行水下清淤处理；当岩塞体上部岸坡存在不良地质，必要时采取锚杆、锚索加固措施。</w:t>
      </w:r>
      <w:bookmarkEnd w:id="80"/>
      <w:bookmarkEnd w:id="81"/>
      <w:bookmarkEnd w:id="82"/>
      <w:bookmarkEnd w:id="83"/>
    </w:p>
    <w:p>
      <w:pPr>
        <w:pStyle w:val="162"/>
      </w:pPr>
      <w:bookmarkStart w:id="84" w:name="_Toc29034"/>
      <w:bookmarkStart w:id="85" w:name="_Toc5480"/>
      <w:bookmarkStart w:id="86" w:name="_Toc4960"/>
      <w:bookmarkStart w:id="87" w:name="_Toc23182"/>
      <w:r>
        <w:rPr>
          <w:rFonts w:hint="eastAsia"/>
        </w:rPr>
        <w:t>应进行爆破参数试验、爆破器材试验及水工模型试验，宜开展水下岩塞爆破三维数值仿真反演分析，为岩塞爆破优化设计提供可靠资料。</w:t>
      </w:r>
      <w:bookmarkEnd w:id="84"/>
      <w:bookmarkEnd w:id="85"/>
      <w:bookmarkEnd w:id="86"/>
      <w:bookmarkEnd w:id="87"/>
    </w:p>
    <w:p>
      <w:pPr>
        <w:pStyle w:val="162"/>
      </w:pPr>
      <w:bookmarkStart w:id="88" w:name="_Toc17948"/>
      <w:bookmarkStart w:id="89" w:name="_Toc7048"/>
      <w:bookmarkStart w:id="90" w:name="_Toc6025"/>
      <w:bookmarkStart w:id="91" w:name="_Toc11556"/>
      <w:r>
        <w:rPr>
          <w:rFonts w:hint="eastAsia"/>
        </w:rPr>
        <w:t>施工单位应根据岩塞爆破设计报告编制取水口水下岩塞爆破工程施工组织设计，并经专家评审。其编写目录详见附录A。</w:t>
      </w:r>
      <w:bookmarkEnd w:id="88"/>
      <w:bookmarkEnd w:id="89"/>
      <w:bookmarkEnd w:id="90"/>
      <w:bookmarkEnd w:id="91"/>
    </w:p>
    <w:p>
      <w:pPr>
        <w:pStyle w:val="162"/>
      </w:pPr>
      <w:bookmarkStart w:id="92" w:name="_Toc19448"/>
      <w:bookmarkStart w:id="93" w:name="_Toc6548"/>
      <w:bookmarkStart w:id="94" w:name="_Toc775"/>
      <w:bookmarkStart w:id="95" w:name="_Toc31556"/>
      <w:r>
        <w:rPr>
          <w:rFonts w:hint="eastAsia"/>
        </w:rPr>
        <w:t>施工单位应根据工程规模、进度和质量等要求，结合具体情况，选择适应的设备型号，尽量使其配套，提高机械化施工水平，并应加强机械设备的管理和维修，使其保持良好的状态，并积极推广使用通过试验和鉴定的各项新技术、新工艺、新材料、新设备。</w:t>
      </w:r>
      <w:bookmarkEnd w:id="92"/>
      <w:bookmarkEnd w:id="93"/>
      <w:bookmarkEnd w:id="94"/>
      <w:bookmarkEnd w:id="95"/>
    </w:p>
    <w:p>
      <w:pPr>
        <w:pStyle w:val="162"/>
      </w:pPr>
      <w:bookmarkStart w:id="96" w:name="_Toc6511"/>
      <w:bookmarkStart w:id="97" w:name="_Toc3093"/>
      <w:bookmarkStart w:id="98" w:name="_Toc17984"/>
      <w:bookmarkStart w:id="99" w:name="_Toc20504"/>
      <w:r>
        <w:rPr>
          <w:rFonts w:hint="eastAsia"/>
        </w:rPr>
        <w:t>施工单位应根据专项施工方案编制各工序作业指导书，进行全员技术交底，全过程跟踪技术指导。</w:t>
      </w:r>
      <w:bookmarkEnd w:id="96"/>
      <w:bookmarkEnd w:id="97"/>
      <w:bookmarkEnd w:id="98"/>
      <w:bookmarkEnd w:id="99"/>
    </w:p>
    <w:p>
      <w:pPr>
        <w:pStyle w:val="162"/>
      </w:pPr>
      <w:bookmarkStart w:id="100" w:name="_Toc17299"/>
      <w:bookmarkStart w:id="101" w:name="_Toc13375"/>
      <w:bookmarkStart w:id="102" w:name="_Toc30336"/>
      <w:bookmarkStart w:id="103" w:name="_Toc32250"/>
      <w:r>
        <w:rPr>
          <w:rFonts w:hint="eastAsia"/>
        </w:rPr>
        <w:t>水下岩塞爆破实施，建设方应牵头成立爆破指挥部，全面指挥和协调岩塞爆破工程施工的各项工作。</w:t>
      </w:r>
      <w:bookmarkEnd w:id="100"/>
      <w:bookmarkEnd w:id="101"/>
      <w:bookmarkEnd w:id="102"/>
      <w:bookmarkEnd w:id="103"/>
    </w:p>
    <w:p>
      <w:pPr>
        <w:pStyle w:val="162"/>
      </w:pPr>
      <w:bookmarkStart w:id="104" w:name="_Toc6729"/>
      <w:bookmarkStart w:id="105" w:name="_Toc20388"/>
      <w:bookmarkStart w:id="106" w:name="_Toc30039"/>
      <w:bookmarkStart w:id="107" w:name="_Toc4985"/>
      <w:r>
        <w:rPr>
          <w:rFonts w:hint="eastAsia"/>
        </w:rPr>
        <w:t>爆破作业前应对闸门井等相关设施做好防护。</w:t>
      </w:r>
      <w:bookmarkEnd w:id="104"/>
      <w:bookmarkEnd w:id="105"/>
      <w:bookmarkEnd w:id="106"/>
      <w:bookmarkEnd w:id="107"/>
    </w:p>
    <w:p>
      <w:pPr>
        <w:pStyle w:val="162"/>
      </w:pPr>
      <w:bookmarkStart w:id="108" w:name="_Toc12425"/>
      <w:bookmarkStart w:id="109" w:name="_Toc26662"/>
      <w:bookmarkStart w:id="110" w:name="_Toc16506"/>
      <w:bookmarkStart w:id="111" w:name="_Toc31547"/>
      <w:r>
        <w:rPr>
          <w:rFonts w:hint="eastAsia"/>
        </w:rPr>
        <w:t>岩塞爆破后，应检查爆破贯通效果、竖井涌水、渣堆状态、闸门井和堵头安全状态及隧洞过流情况等，结合安全监测数据对爆破效果进行评价。</w:t>
      </w:r>
      <w:bookmarkEnd w:id="108"/>
      <w:bookmarkEnd w:id="109"/>
      <w:bookmarkEnd w:id="110"/>
      <w:bookmarkEnd w:id="111"/>
    </w:p>
    <w:p>
      <w:pPr>
        <w:pStyle w:val="162"/>
      </w:pPr>
      <w:bookmarkStart w:id="112" w:name="_Toc31270"/>
      <w:bookmarkStart w:id="113" w:name="_Toc5124"/>
      <w:bookmarkStart w:id="114" w:name="_Toc19279"/>
      <w:bookmarkStart w:id="115" w:name="_Toc16968"/>
      <w:r>
        <w:rPr>
          <w:rFonts w:hint="eastAsia"/>
        </w:rPr>
        <w:t>水下岩塞爆破除应符合本文件的规定外，尚应符合国家现行有关标准的规定。</w:t>
      </w:r>
      <w:bookmarkEnd w:id="112"/>
      <w:bookmarkEnd w:id="113"/>
      <w:bookmarkEnd w:id="114"/>
      <w:bookmarkEnd w:id="115"/>
    </w:p>
    <w:p>
      <w:pPr>
        <w:pStyle w:val="104"/>
        <w:spacing w:before="240" w:after="240"/>
      </w:pPr>
      <w:bookmarkStart w:id="116" w:name="_Toc7259"/>
      <w:bookmarkStart w:id="117" w:name="_Toc20460"/>
      <w:bookmarkStart w:id="118" w:name="_Toc9390"/>
      <w:bookmarkStart w:id="119" w:name="_Toc29781"/>
      <w:bookmarkStart w:id="120" w:name="_Toc3582"/>
      <w:bookmarkStart w:id="121" w:name="_Toc214290950"/>
      <w:r>
        <w:rPr>
          <w:rFonts w:hint="eastAsia"/>
        </w:rPr>
        <w:t>测量与勘察</w:t>
      </w:r>
      <w:bookmarkEnd w:id="116"/>
      <w:bookmarkEnd w:id="117"/>
      <w:bookmarkEnd w:id="118"/>
      <w:bookmarkEnd w:id="119"/>
      <w:bookmarkEnd w:id="120"/>
      <w:bookmarkEnd w:id="121"/>
    </w:p>
    <w:p>
      <w:pPr>
        <w:pStyle w:val="105"/>
        <w:spacing w:before="120" w:after="120"/>
      </w:pPr>
      <w:bookmarkStart w:id="122" w:name="_Toc18208"/>
      <w:bookmarkStart w:id="123" w:name="_Toc20924"/>
      <w:bookmarkStart w:id="124" w:name="_Toc22347"/>
      <w:bookmarkStart w:id="125" w:name="_Toc16027"/>
      <w:r>
        <w:rPr>
          <w:rFonts w:hint="eastAsia"/>
        </w:rPr>
        <w:t>一般规定</w:t>
      </w:r>
      <w:bookmarkEnd w:id="122"/>
      <w:bookmarkEnd w:id="123"/>
      <w:bookmarkEnd w:id="124"/>
      <w:bookmarkEnd w:id="125"/>
    </w:p>
    <w:p>
      <w:pPr>
        <w:pStyle w:val="165"/>
      </w:pPr>
      <w:r>
        <w:rPr>
          <w:rFonts w:hint="eastAsia"/>
        </w:rPr>
        <w:t>水下岩塞爆破施工应建立专用平面和高程控制网，控制网点应布置在爆破影响区外（距离岩塞边缘≥50</w:t>
      </w:r>
      <w:r>
        <w:rPr>
          <w:rFonts w:hint="eastAsia"/>
          <w:vertAlign w:val="superscript"/>
        </w:rPr>
        <w:t xml:space="preserve"> </w:t>
      </w:r>
      <w:r>
        <w:rPr>
          <w:rFonts w:hint="eastAsia"/>
        </w:rPr>
        <w:t>m），且不易受水流、振动破坏，定期或钻孔前进行复核，确保稳定性。</w:t>
      </w:r>
    </w:p>
    <w:p>
      <w:pPr>
        <w:pStyle w:val="165"/>
      </w:pPr>
      <w:r>
        <w:rPr>
          <w:rFonts w:hint="eastAsia"/>
        </w:rPr>
        <w:t>水下岩塞爆破施工前应进行水下地形复测，重点复测岩塞轴线、进/出口边界，若地形有浅滩、深潭、反坡等复杂区域，宜派潜水员进行补充修订测量。</w:t>
      </w:r>
    </w:p>
    <w:p>
      <w:pPr>
        <w:pStyle w:val="165"/>
      </w:pPr>
      <w:r>
        <w:rPr>
          <w:rFonts w:hint="eastAsia"/>
        </w:rPr>
        <w:t>岩塞爆破作业前应对周边建筑物（如大坝、隧洞衬砌）、边坡、水位观测点等设置监测标志，测量初始坐标及高程。</w:t>
      </w:r>
    </w:p>
    <w:p>
      <w:pPr>
        <w:pStyle w:val="165"/>
      </w:pPr>
      <w:r>
        <w:rPr>
          <w:rFonts w:hint="eastAsia"/>
        </w:rPr>
        <w:t>水下岩塞爆破施工前需对岩塞预留岩体的实际轮廓进行测量，与设计轮廓对比，偏差超过10</w:t>
      </w:r>
      <w:r>
        <w:rPr>
          <w:rFonts w:hint="eastAsia"/>
          <w:vertAlign w:val="superscript"/>
        </w:rPr>
        <w:t xml:space="preserve"> </w:t>
      </w:r>
      <w:r>
        <w:rPr>
          <w:rFonts w:hint="eastAsia"/>
        </w:rPr>
        <w:t>cm时需调整爆破参数。</w:t>
      </w:r>
    </w:p>
    <w:p>
      <w:pPr>
        <w:pStyle w:val="105"/>
        <w:spacing w:before="120" w:after="120"/>
      </w:pPr>
      <w:r>
        <w:rPr>
          <w:rFonts w:hint="eastAsia"/>
        </w:rPr>
        <w:t xml:space="preserve"> </w:t>
      </w:r>
      <w:bookmarkStart w:id="126" w:name="_Toc9648"/>
      <w:bookmarkStart w:id="127" w:name="_Toc27323"/>
      <w:bookmarkStart w:id="128" w:name="_Toc2664"/>
      <w:bookmarkStart w:id="129" w:name="_Toc10380"/>
      <w:r>
        <w:rPr>
          <w:rFonts w:hint="eastAsia"/>
        </w:rPr>
        <w:t>钻孔定位测量</w:t>
      </w:r>
      <w:bookmarkEnd w:id="126"/>
      <w:bookmarkEnd w:id="127"/>
      <w:bookmarkEnd w:id="128"/>
      <w:bookmarkEnd w:id="129"/>
    </w:p>
    <w:p>
      <w:pPr>
        <w:pStyle w:val="165"/>
      </w:pPr>
      <w:r>
        <w:rPr>
          <w:rFonts w:hint="eastAsia"/>
        </w:rPr>
        <w:t>按爆破设计的钻孔布置图，精确测设每个爆破孔的平面位置、孔口高程、孔深及倾角。</w:t>
      </w:r>
    </w:p>
    <w:p>
      <w:pPr>
        <w:pStyle w:val="165"/>
      </w:pPr>
      <w:r>
        <w:rPr>
          <w:rFonts w:hint="eastAsia"/>
        </w:rPr>
        <w:t>钻孔定位精度要求：平面位置中误差≤3</w:t>
      </w:r>
      <w:r>
        <w:rPr>
          <w:rFonts w:hint="eastAsia"/>
          <w:vertAlign w:val="superscript"/>
        </w:rPr>
        <w:t xml:space="preserve"> </w:t>
      </w:r>
      <w:r>
        <w:rPr>
          <w:rFonts w:hint="eastAsia"/>
        </w:rPr>
        <w:t>cm，孔口高程中误差≤2</w:t>
      </w:r>
      <w:r>
        <w:rPr>
          <w:rFonts w:hint="eastAsia"/>
          <w:vertAlign w:val="superscript"/>
        </w:rPr>
        <w:t xml:space="preserve"> </w:t>
      </w:r>
      <w:r>
        <w:rPr>
          <w:rFonts w:hint="eastAsia"/>
        </w:rPr>
        <w:t>cm，倾角误差≤0.5°，确保孔位符合设计要求。</w:t>
      </w:r>
    </w:p>
    <w:p>
      <w:pPr>
        <w:pStyle w:val="165"/>
      </w:pPr>
      <w:r>
        <w:rPr>
          <w:rFonts w:hint="eastAsia"/>
        </w:rPr>
        <w:t>测量成果需经监理单位复核，关键数据（如岩塞轮廓、钻孔定位）需通过第三方检测验证，确保满足设计及相关测量规范要求。</w:t>
      </w:r>
    </w:p>
    <w:p>
      <w:pPr>
        <w:pStyle w:val="105"/>
        <w:spacing w:before="120" w:after="120"/>
      </w:pPr>
      <w:bookmarkStart w:id="130" w:name="_Toc24722"/>
      <w:bookmarkStart w:id="131" w:name="_Toc10357"/>
      <w:bookmarkStart w:id="132" w:name="_Toc12586"/>
      <w:bookmarkStart w:id="133" w:name="_Toc20087"/>
      <w:r>
        <w:rPr>
          <w:rFonts w:hint="eastAsia"/>
        </w:rPr>
        <w:t>地质复勘</w:t>
      </w:r>
      <w:bookmarkEnd w:id="130"/>
      <w:bookmarkEnd w:id="131"/>
      <w:bookmarkEnd w:id="132"/>
      <w:bookmarkEnd w:id="133"/>
    </w:p>
    <w:p>
      <w:pPr>
        <w:pStyle w:val="165"/>
      </w:pPr>
      <w:r>
        <w:rPr>
          <w:rFonts w:hint="eastAsia"/>
        </w:rPr>
        <w:t>在岩塞锁口段施工时，应布置由内向外辐射的超前勘探钻孔，孔数不少于5个，宜辐射上、下、左、右、中五个区域，复核岩塞体和覆盖层厚度以及地质情况，检测岩塞体灌浆效果及透水性。</w:t>
      </w:r>
    </w:p>
    <w:p>
      <w:pPr>
        <w:pStyle w:val="165"/>
      </w:pPr>
      <w:r>
        <w:rPr>
          <w:rFonts w:hint="eastAsia"/>
        </w:rPr>
        <w:t>超前勘探孔应穿透岩塞体，并做好防涌水措施，包括埋设孔口管，布设抽排水措施。</w:t>
      </w:r>
    </w:p>
    <w:p>
      <w:pPr>
        <w:pStyle w:val="165"/>
      </w:pPr>
      <w:r>
        <w:rPr>
          <w:rFonts w:hint="eastAsia"/>
        </w:rPr>
        <w:t>勘察工作完成后，勘探钻孔应灌浆封堵密实。</w:t>
      </w:r>
    </w:p>
    <w:p>
      <w:pPr>
        <w:pStyle w:val="104"/>
        <w:spacing w:before="240" w:after="240"/>
      </w:pPr>
      <w:bookmarkStart w:id="134" w:name="_Toc22931"/>
      <w:bookmarkStart w:id="135" w:name="_Toc2757"/>
      <w:bookmarkStart w:id="136" w:name="_Toc4779"/>
      <w:bookmarkStart w:id="137" w:name="_Toc19114"/>
      <w:bookmarkStart w:id="138" w:name="_Toc9807"/>
      <w:bookmarkStart w:id="139" w:name="_Toc214290951"/>
      <w:r>
        <w:rPr>
          <w:rFonts w:hint="eastAsia"/>
        </w:rPr>
        <w:t>爆破器材</w:t>
      </w:r>
      <w:bookmarkEnd w:id="134"/>
      <w:bookmarkEnd w:id="135"/>
      <w:bookmarkEnd w:id="136"/>
      <w:bookmarkEnd w:id="137"/>
      <w:bookmarkEnd w:id="138"/>
      <w:bookmarkEnd w:id="139"/>
    </w:p>
    <w:p>
      <w:pPr>
        <w:pStyle w:val="105"/>
        <w:spacing w:before="120" w:after="120"/>
      </w:pPr>
      <w:bookmarkStart w:id="140" w:name="_Toc4109"/>
      <w:bookmarkStart w:id="141" w:name="_Toc14852"/>
      <w:bookmarkStart w:id="142" w:name="_Toc5459"/>
      <w:bookmarkStart w:id="143" w:name="_Toc26073"/>
      <w:r>
        <w:rPr>
          <w:rFonts w:hint="eastAsia"/>
        </w:rPr>
        <w:t>一般规定</w:t>
      </w:r>
      <w:bookmarkEnd w:id="140"/>
      <w:bookmarkEnd w:id="141"/>
      <w:bookmarkEnd w:id="142"/>
      <w:bookmarkEnd w:id="143"/>
    </w:p>
    <w:p>
      <w:pPr>
        <w:pStyle w:val="165"/>
      </w:pPr>
      <w:r>
        <w:rPr>
          <w:rFonts w:hint="eastAsia"/>
        </w:rPr>
        <w:t>爆破器材进场前应进行验收，包括包装、产品外观、产品合格证、性能检测报告及防水性能专项检验记录。</w:t>
      </w:r>
    </w:p>
    <w:p>
      <w:pPr>
        <w:pStyle w:val="165"/>
      </w:pPr>
      <w:r>
        <w:rPr>
          <w:rFonts w:hint="eastAsia"/>
        </w:rPr>
        <w:t>水下岩塞爆破应选择符合国家标准和行业标准的爆破器材，并满足水下抗压要求：</w:t>
      </w:r>
    </w:p>
    <w:p>
      <w:pPr>
        <w:pStyle w:val="132"/>
      </w:pPr>
      <w:r>
        <w:rPr>
          <w:rFonts w:hint="eastAsia"/>
        </w:rPr>
        <w:t>耐水抗压的设计水压力不应低于承受的最大静水压力的1.1倍，耐水抗压时长应大于装药至起爆总时长，且不宜小于7</w:t>
      </w:r>
      <w:r>
        <w:rPr>
          <w:rFonts w:hint="eastAsia"/>
          <w:vertAlign w:val="superscript"/>
        </w:rPr>
        <w:t xml:space="preserve"> </w:t>
      </w:r>
      <w:r>
        <w:rPr>
          <w:rFonts w:hint="eastAsia"/>
        </w:rPr>
        <w:t>d；</w:t>
      </w:r>
    </w:p>
    <w:p>
      <w:pPr>
        <w:pStyle w:val="132"/>
      </w:pPr>
      <w:r>
        <w:rPr>
          <w:rFonts w:hint="eastAsia"/>
        </w:rPr>
        <w:t>炸药在设计水压力和耐水时长条件下应能正常被同等条件下的雷管和导爆索起爆并连续传爆，且爆速不宜低于4</w:t>
      </w:r>
      <w:r>
        <w:rPr>
          <w:rFonts w:hint="eastAsia"/>
          <w:vertAlign w:val="superscript"/>
        </w:rPr>
        <w:t xml:space="preserve"> </w:t>
      </w:r>
      <w:r>
        <w:rPr>
          <w:rFonts w:hint="eastAsia"/>
        </w:rPr>
        <w:t>500</w:t>
      </w:r>
      <w:r>
        <w:rPr>
          <w:rFonts w:hint="eastAsia"/>
          <w:vertAlign w:val="superscript"/>
        </w:rPr>
        <w:t xml:space="preserve"> </w:t>
      </w:r>
      <w:r>
        <w:rPr>
          <w:rFonts w:hint="eastAsia"/>
        </w:rPr>
        <w:t>m/s、爆力不宜低于</w:t>
      </w:r>
      <w:r>
        <w:rPr>
          <w:rFonts w:hint="eastAsia"/>
          <w:color w:val="000000" w:themeColor="text1"/>
        </w:rPr>
        <w:t>280</w:t>
      </w:r>
      <w:r>
        <w:rPr>
          <w:rFonts w:hint="eastAsia"/>
          <w:color w:val="000000" w:themeColor="text1"/>
          <w:vertAlign w:val="superscript"/>
        </w:rPr>
        <w:t xml:space="preserve"> </w:t>
      </w:r>
      <w:r>
        <w:rPr>
          <w:rFonts w:hint="eastAsia"/>
          <w:color w:val="000000" w:themeColor="text1"/>
        </w:rPr>
        <w:t>mL、</w:t>
      </w:r>
      <w:r>
        <w:rPr>
          <w:rFonts w:hint="eastAsia"/>
        </w:rPr>
        <w:t>猛度达到</w:t>
      </w:r>
      <w:r>
        <w:rPr>
          <w:rFonts w:hint="eastAsia"/>
          <w:color w:val="000000" w:themeColor="text1"/>
        </w:rPr>
        <w:t>12</w:t>
      </w:r>
      <w:r>
        <w:rPr>
          <w:rFonts w:hint="eastAsia"/>
          <w:color w:val="000000" w:themeColor="text1"/>
          <w:vertAlign w:val="superscript"/>
        </w:rPr>
        <w:t xml:space="preserve"> </w:t>
      </w:r>
      <w:r>
        <w:rPr>
          <w:rFonts w:hint="eastAsia"/>
          <w:color w:val="000000" w:themeColor="text1"/>
        </w:rPr>
        <w:t>mm～16</w:t>
      </w:r>
      <w:r>
        <w:rPr>
          <w:rFonts w:hint="eastAsia"/>
          <w:color w:val="000000" w:themeColor="text1"/>
          <w:vertAlign w:val="superscript"/>
        </w:rPr>
        <w:t xml:space="preserve"> </w:t>
      </w:r>
      <w:r>
        <w:rPr>
          <w:rFonts w:hint="eastAsia"/>
          <w:color w:val="000000" w:themeColor="text1"/>
        </w:rPr>
        <w:t>mm；</w:t>
      </w:r>
    </w:p>
    <w:p>
      <w:pPr>
        <w:pStyle w:val="132"/>
      </w:pPr>
      <w:r>
        <w:rPr>
          <w:rFonts w:hint="eastAsia"/>
        </w:rPr>
        <w:t>导爆索在设计水压力和耐水时长条件下应能正常被同等条件下的雷管起爆并传爆，对切口部位应进行防水处理；</w:t>
      </w:r>
    </w:p>
    <w:p>
      <w:pPr>
        <w:pStyle w:val="132"/>
      </w:pPr>
      <w:r>
        <w:rPr>
          <w:rFonts w:hint="eastAsia"/>
        </w:rPr>
        <w:t>雷管在设计水压力和耐水时长条件下应能正常起爆同等条件下的炸药和导爆索，单发准爆率应在99.99%以上，且延时精度满足要求，电子雷管还应满足抗冲击波强度不小于100</w:t>
      </w:r>
      <w:r>
        <w:rPr>
          <w:rFonts w:hint="eastAsia"/>
          <w:vertAlign w:val="superscript"/>
        </w:rPr>
        <w:t xml:space="preserve"> </w:t>
      </w:r>
      <w:r>
        <w:rPr>
          <w:rFonts w:hint="eastAsia"/>
        </w:rPr>
        <w:t>MPa。</w:t>
      </w:r>
    </w:p>
    <w:p>
      <w:pPr>
        <w:pStyle w:val="165"/>
      </w:pPr>
      <w:r>
        <w:rPr>
          <w:rFonts w:hint="eastAsia"/>
        </w:rPr>
        <w:t>严禁使用过期、受潮、变形或性能不明的爆破器材。</w:t>
      </w:r>
    </w:p>
    <w:p>
      <w:pPr>
        <w:pStyle w:val="165"/>
      </w:pPr>
      <w:r>
        <w:rPr>
          <w:rFonts w:hint="eastAsia"/>
        </w:rPr>
        <w:t>岩塞爆破施工前应通过专项试验验证爆破器材的防水抗压性能。</w:t>
      </w:r>
    </w:p>
    <w:p>
      <w:pPr>
        <w:pStyle w:val="165"/>
      </w:pPr>
      <w:r>
        <w:rPr>
          <w:rFonts w:hint="eastAsia"/>
        </w:rPr>
        <w:t>起爆主线应按实际长度进行定制，中间不应有接头。</w:t>
      </w:r>
    </w:p>
    <w:p>
      <w:pPr>
        <w:pStyle w:val="105"/>
        <w:spacing w:before="120" w:after="120"/>
      </w:pPr>
      <w:bookmarkStart w:id="144" w:name="_Toc16111"/>
      <w:bookmarkStart w:id="145" w:name="_Toc18033"/>
      <w:bookmarkStart w:id="146" w:name="_Toc25926"/>
      <w:bookmarkStart w:id="147" w:name="_Toc26709"/>
      <w:r>
        <w:rPr>
          <w:rFonts w:hint="eastAsia"/>
        </w:rPr>
        <w:t>爆破器材性能试验</w:t>
      </w:r>
      <w:bookmarkEnd w:id="144"/>
      <w:bookmarkEnd w:id="145"/>
      <w:bookmarkEnd w:id="146"/>
      <w:bookmarkEnd w:id="147"/>
    </w:p>
    <w:p>
      <w:pPr>
        <w:pStyle w:val="165"/>
      </w:pPr>
      <w:r>
        <w:rPr>
          <w:rFonts w:hint="eastAsia"/>
        </w:rPr>
        <w:t>应在现场对生产性试验和水下岩塞爆破选用的爆破器材分别进行性能检验试验。</w:t>
      </w:r>
    </w:p>
    <w:p>
      <w:pPr>
        <w:pStyle w:val="165"/>
      </w:pPr>
      <w:r>
        <w:rPr>
          <w:rFonts w:hint="eastAsia"/>
        </w:rPr>
        <w:t>炸药除应按照GB 28286的有关规定对药卷密度、殉爆距离、猛度、爆速、做功能力等基本性能进行检验，还应按设计水头和耐水时长进行被雷管或导爆索起爆、连续传爆的耐水抗压试验。</w:t>
      </w:r>
    </w:p>
    <w:p>
      <w:pPr>
        <w:pStyle w:val="165"/>
      </w:pPr>
      <w:r>
        <w:rPr>
          <w:rFonts w:hint="eastAsia"/>
        </w:rPr>
        <w:t>雷管除应按照WJ/T 9085的有关规定对起爆能力、延期时间、起爆网路可靠性等基本性能进行检验，还应按设计水头和耐水时长进行起爆炸药与导爆索的耐水抗压试验。</w:t>
      </w:r>
    </w:p>
    <w:p>
      <w:pPr>
        <w:pStyle w:val="165"/>
      </w:pPr>
      <w:r>
        <w:rPr>
          <w:rFonts w:hint="eastAsia"/>
        </w:rPr>
        <w:t>导爆索除应按照GB/T 9786的有关规定检测其爆速、传爆性，还应按设计水头和耐水时长进行被雷管或炸药起爆、连续传爆的耐水抗压试验。</w:t>
      </w:r>
    </w:p>
    <w:p>
      <w:pPr>
        <w:pStyle w:val="104"/>
        <w:spacing w:before="240" w:after="240"/>
      </w:pPr>
      <w:bookmarkStart w:id="148" w:name="_Toc30738"/>
      <w:bookmarkStart w:id="149" w:name="_Toc17906"/>
      <w:bookmarkStart w:id="150" w:name="_Toc6824"/>
      <w:bookmarkStart w:id="151" w:name="_Toc1599"/>
      <w:bookmarkStart w:id="152" w:name="_Toc6928"/>
      <w:bookmarkStart w:id="153" w:name="_Toc214290952"/>
      <w:r>
        <w:rPr>
          <w:rFonts w:hint="eastAsia"/>
        </w:rPr>
        <w:t>生产性试验</w:t>
      </w:r>
      <w:bookmarkEnd w:id="148"/>
      <w:bookmarkEnd w:id="149"/>
      <w:bookmarkEnd w:id="150"/>
      <w:bookmarkEnd w:id="151"/>
      <w:bookmarkEnd w:id="152"/>
      <w:bookmarkEnd w:id="153"/>
    </w:p>
    <w:p>
      <w:pPr>
        <w:pStyle w:val="105"/>
        <w:spacing w:before="120" w:after="120"/>
      </w:pPr>
      <w:bookmarkStart w:id="154" w:name="_Toc25605"/>
      <w:bookmarkStart w:id="155" w:name="_Toc14219"/>
      <w:bookmarkStart w:id="156" w:name="_Toc21376"/>
      <w:bookmarkStart w:id="157" w:name="_Toc2740"/>
      <w:r>
        <w:rPr>
          <w:rFonts w:hint="eastAsia"/>
        </w:rPr>
        <w:t>生产性试验</w:t>
      </w:r>
      <w:bookmarkEnd w:id="154"/>
      <w:bookmarkEnd w:id="155"/>
      <w:bookmarkEnd w:id="156"/>
      <w:bookmarkEnd w:id="157"/>
    </w:p>
    <w:p>
      <w:pPr>
        <w:pStyle w:val="165"/>
      </w:pPr>
      <w:r>
        <w:rPr>
          <w:rFonts w:hint="eastAsia"/>
        </w:rPr>
        <w:t>生产性试验包括爆破参数试验、贯通试验（原位模型试验）、爆破工艺试验等，试验前应编制岩塞爆破生产性试验大纲。</w:t>
      </w:r>
    </w:p>
    <w:p>
      <w:pPr>
        <w:pStyle w:val="165"/>
      </w:pPr>
      <w:r>
        <w:rPr>
          <w:rFonts w:hint="eastAsia"/>
        </w:rPr>
        <w:t>生产性试验应选择与岩塞地质条件相似的洞室。一般情况下，生产性试验可结合引水隧洞开挖同步进行；有条件或采用硐室爆破时，应进行原位模型试验。</w:t>
      </w:r>
    </w:p>
    <w:p>
      <w:pPr>
        <w:pStyle w:val="165"/>
      </w:pPr>
      <w:r>
        <w:rPr>
          <w:rFonts w:hint="eastAsia"/>
        </w:rPr>
        <w:t>生产性试验应考虑对周围环境、水生物等的影响，并进行爆破安全监测。</w:t>
      </w:r>
    </w:p>
    <w:p>
      <w:pPr>
        <w:pStyle w:val="165"/>
      </w:pPr>
      <w:r>
        <w:rPr>
          <w:rFonts w:hint="eastAsia"/>
        </w:rPr>
        <w:t>生产性试验的施工质量控制标准与正式岩塞爆破要求一致。</w:t>
      </w:r>
    </w:p>
    <w:p>
      <w:pPr>
        <w:pStyle w:val="105"/>
        <w:spacing w:before="120" w:after="120"/>
      </w:pPr>
      <w:bookmarkStart w:id="158" w:name="_Toc28216"/>
      <w:bookmarkStart w:id="159" w:name="_Toc14557"/>
      <w:bookmarkStart w:id="160" w:name="_Toc25021"/>
      <w:bookmarkStart w:id="161" w:name="_Toc21304"/>
      <w:r>
        <w:rPr>
          <w:rFonts w:hint="eastAsia"/>
        </w:rPr>
        <w:t>爆破参数试验</w:t>
      </w:r>
      <w:bookmarkEnd w:id="158"/>
      <w:bookmarkEnd w:id="159"/>
      <w:bookmarkEnd w:id="160"/>
      <w:bookmarkEnd w:id="161"/>
    </w:p>
    <w:p>
      <w:pPr>
        <w:pStyle w:val="65"/>
        <w:spacing w:before="120" w:afterLines="0"/>
      </w:pPr>
      <w:r>
        <w:rPr>
          <w:rFonts w:hint="eastAsia" w:ascii="宋体" w:hAnsi="宋体" w:eastAsia="宋体" w:cs="宋体"/>
          <w:szCs w:val="21"/>
        </w:rPr>
        <w:t>水下岩塞采用钻孔爆破方案时，应根据需要进行下列爆破参数试验：</w:t>
      </w:r>
    </w:p>
    <w:p>
      <w:pPr>
        <w:pStyle w:val="132"/>
      </w:pPr>
      <w:r>
        <w:rPr>
          <w:rFonts w:hint="eastAsia"/>
        </w:rPr>
        <w:t>单临空面开挖爆破试验；</w:t>
      </w:r>
    </w:p>
    <w:p>
      <w:pPr>
        <w:pStyle w:val="132"/>
      </w:pPr>
      <w:r>
        <w:rPr>
          <w:rFonts w:hint="eastAsia"/>
        </w:rPr>
        <w:t>周边孔光面爆破或预裂爆破参数试验；</w:t>
      </w:r>
    </w:p>
    <w:p>
      <w:pPr>
        <w:pStyle w:val="132"/>
      </w:pPr>
      <w:r>
        <w:rPr>
          <w:rFonts w:hint="eastAsia"/>
        </w:rPr>
        <w:t>爆破漏斗试验；</w:t>
      </w:r>
    </w:p>
    <w:p>
      <w:pPr>
        <w:pStyle w:val="132"/>
      </w:pPr>
      <w:r>
        <w:rPr>
          <w:rFonts w:hint="eastAsia"/>
        </w:rPr>
        <w:t>爆破与网路连接参数试验。</w:t>
      </w:r>
    </w:p>
    <w:p>
      <w:pPr>
        <w:pStyle w:val="165"/>
      </w:pPr>
      <w:r>
        <w:rPr>
          <w:rFonts w:hint="eastAsia"/>
        </w:rPr>
        <w:t>水下岩塞采用硐室或硐室与钻孔相结合的爆破方案时，应根据需要进行下列爆破参数试验：</w:t>
      </w:r>
    </w:p>
    <w:p>
      <w:pPr>
        <w:pStyle w:val="132"/>
      </w:pPr>
      <w:r>
        <w:rPr>
          <w:rFonts w:hint="eastAsia"/>
        </w:rPr>
        <w:t>超前导洞、导洞、药室开挖的爆破试验；</w:t>
      </w:r>
    </w:p>
    <w:p>
      <w:pPr>
        <w:pStyle w:val="132"/>
      </w:pPr>
      <w:r>
        <w:rPr>
          <w:rFonts w:hint="eastAsia"/>
        </w:rPr>
        <w:t>周边孔光面爆破或预裂爆破参数试验；</w:t>
      </w:r>
    </w:p>
    <w:p>
      <w:pPr>
        <w:pStyle w:val="132"/>
      </w:pPr>
      <w:r>
        <w:rPr>
          <w:rFonts w:hint="eastAsia"/>
        </w:rPr>
        <w:t>爆破漏斗试验；</w:t>
      </w:r>
    </w:p>
    <w:p>
      <w:pPr>
        <w:pStyle w:val="132"/>
      </w:pPr>
      <w:r>
        <w:rPr>
          <w:rFonts w:hint="eastAsia"/>
        </w:rPr>
        <w:t>药室堵塞试验。</w:t>
      </w:r>
    </w:p>
    <w:p>
      <w:pPr>
        <w:pStyle w:val="165"/>
      </w:pPr>
      <w:r>
        <w:rPr>
          <w:rFonts w:hint="eastAsia"/>
        </w:rPr>
        <w:t>单临空面、超前导洞、导洞、药室开挖爆破试验主要包括掏槽区及扩大区的炮孔布置，钻孔深度，装药结构，起爆网路等爆破参数。</w:t>
      </w:r>
    </w:p>
    <w:p>
      <w:pPr>
        <w:pStyle w:val="165"/>
      </w:pPr>
      <w:r>
        <w:rPr>
          <w:rFonts w:hint="eastAsia"/>
        </w:rPr>
        <w:t>掏槽孔宜采用直孔掏槽方式，并在中间布置空孔。掏槽孔与空孔均平行于岩塞轴线布置，并通过掏槽试验验证确定。</w:t>
      </w:r>
    </w:p>
    <w:p>
      <w:pPr>
        <w:pStyle w:val="165"/>
      </w:pPr>
      <w:r>
        <w:rPr>
          <w:rFonts w:hint="eastAsia"/>
        </w:rPr>
        <w:t>爆破参数试验频次应满足爆破设计要求，且爆破漏斗试验不少于3组、每组不少于3次；周边孔光面爆破孔或预裂孔试验不少于3组、每组不少于5孔，单临空面爆破试验不少于2次。</w:t>
      </w:r>
    </w:p>
    <w:p>
      <w:pPr>
        <w:pStyle w:val="165"/>
      </w:pPr>
      <w:r>
        <w:rPr>
          <w:rFonts w:hint="eastAsia"/>
        </w:rPr>
        <w:t>对于有深厚覆盖层的岩塞爆破，还应进行覆盖层的爆破扰动试验。</w:t>
      </w:r>
    </w:p>
    <w:p>
      <w:pPr>
        <w:pStyle w:val="105"/>
        <w:spacing w:before="120" w:after="120"/>
      </w:pPr>
      <w:bookmarkStart w:id="162" w:name="_Toc23846"/>
      <w:bookmarkStart w:id="163" w:name="_Toc19532"/>
      <w:bookmarkStart w:id="164" w:name="_Toc19269"/>
      <w:bookmarkStart w:id="165" w:name="_Toc23455"/>
      <w:r>
        <w:rPr>
          <w:rFonts w:hint="eastAsia"/>
        </w:rPr>
        <w:t>贯通与爆破工艺试验</w:t>
      </w:r>
      <w:bookmarkEnd w:id="162"/>
      <w:bookmarkEnd w:id="163"/>
      <w:bookmarkEnd w:id="164"/>
      <w:bookmarkEnd w:id="165"/>
    </w:p>
    <w:p>
      <w:pPr>
        <w:pStyle w:val="165"/>
      </w:pPr>
      <w:r>
        <w:rPr>
          <w:rFonts w:hint="eastAsia"/>
        </w:rPr>
        <w:t>水下岩塞采用钻孔爆破方案时，应进行不少于1次贯通试验，模型比尺宜采用1:1。</w:t>
      </w:r>
    </w:p>
    <w:p>
      <w:pPr>
        <w:pStyle w:val="165"/>
      </w:pPr>
      <w:r>
        <w:rPr>
          <w:rFonts w:hint="eastAsia"/>
        </w:rPr>
        <w:t>水下岩塞采用硐室或硐室与钻孔相结合的爆破方案时，宜选择靠近岩塞，地形与地质相似，且爆破时不影响岩塞的部位进行原位试验，模型比尺宜采用1:1～1:2。水下岩塞采用硐室或硐室与钻孔相结合的爆破方案时，宜选择靠近岩塞，地形与地质相似，且爆破时不影响岩塞的部位进行原位试验，模型比尺宜采用1:1～1:2。</w:t>
      </w:r>
    </w:p>
    <w:p>
      <w:pPr>
        <w:pStyle w:val="165"/>
      </w:pPr>
      <w:r>
        <w:rPr>
          <w:rFonts w:hint="eastAsia"/>
        </w:rPr>
        <w:t>贯通试验（原位模型试验）的施工布置应充分利用现有试验条件，保证出渣安全、快捷，尽量减少开挖工程量。</w:t>
      </w:r>
    </w:p>
    <w:p>
      <w:pPr>
        <w:pStyle w:val="165"/>
      </w:pPr>
      <w:r>
        <w:rPr>
          <w:rFonts w:hint="eastAsia"/>
        </w:rPr>
        <w:t>爆破工艺试验宜结合贯通试验进行，主要验证爆破器材的耐压防水工艺、爆破钻孔控制施工工艺、药室开挖工艺、爆破器材的装填工艺、堵塞工艺、网路连接工艺、起爆工艺等。</w:t>
      </w:r>
    </w:p>
    <w:p>
      <w:pPr>
        <w:pStyle w:val="104"/>
        <w:spacing w:before="240" w:after="240"/>
      </w:pPr>
      <w:bookmarkStart w:id="166" w:name="_Toc29070"/>
      <w:bookmarkStart w:id="167" w:name="_Toc25660"/>
      <w:bookmarkStart w:id="168" w:name="_Toc7879"/>
      <w:bookmarkStart w:id="169" w:name="_Toc3412"/>
      <w:bookmarkStart w:id="170" w:name="_Toc22081"/>
      <w:bookmarkStart w:id="171" w:name="_Toc214290953"/>
      <w:r>
        <w:rPr>
          <w:rFonts w:hint="eastAsia"/>
        </w:rPr>
        <w:t>水下岩塞爆破施工</w:t>
      </w:r>
      <w:bookmarkEnd w:id="166"/>
      <w:bookmarkEnd w:id="167"/>
      <w:bookmarkEnd w:id="168"/>
      <w:bookmarkEnd w:id="169"/>
      <w:bookmarkEnd w:id="170"/>
      <w:bookmarkEnd w:id="171"/>
    </w:p>
    <w:p>
      <w:pPr>
        <w:pStyle w:val="105"/>
        <w:spacing w:before="120" w:after="120"/>
        <w:rPr>
          <w:color w:val="00B0F0"/>
        </w:rPr>
      </w:pPr>
      <w:r>
        <w:rPr>
          <w:rFonts w:hint="eastAsia"/>
          <w:color w:val="00B0F0"/>
        </w:rPr>
        <w:t>一般规定</w:t>
      </w:r>
    </w:p>
    <w:p>
      <w:pPr>
        <w:pStyle w:val="165"/>
      </w:pPr>
      <w:r>
        <w:rPr>
          <w:rFonts w:hint="eastAsia"/>
        </w:rPr>
        <w:t>应通过生产性试验确定钻孔、药室开挖、装药及联网等施工工艺，制订贯穿孔和渗涌水封堵措施和排水措施。</w:t>
      </w:r>
    </w:p>
    <w:p>
      <w:pPr>
        <w:pStyle w:val="165"/>
      </w:pPr>
      <w:r>
        <w:rPr>
          <w:rFonts w:hint="eastAsia"/>
        </w:rPr>
        <w:t>应编制装药、封堵施工任务分解图，作业指导书，明确精度控制方法、质量检查和安全注意事项，并进行技术交底。</w:t>
      </w:r>
    </w:p>
    <w:p>
      <w:pPr>
        <w:pStyle w:val="165"/>
      </w:pPr>
      <w:r>
        <w:rPr>
          <w:rFonts w:hint="eastAsia"/>
        </w:rPr>
        <w:t>钻孔工作平台应牢固可靠且方便钻机移动。</w:t>
      </w:r>
    </w:p>
    <w:p>
      <w:pPr>
        <w:pStyle w:val="165"/>
      </w:pPr>
      <w:r>
        <w:rPr>
          <w:rFonts w:hint="eastAsia"/>
        </w:rPr>
        <w:t>编制装药、封堵施工任务分解图，编制作业指导书，进行技术交底。</w:t>
      </w:r>
    </w:p>
    <w:p>
      <w:pPr>
        <w:pStyle w:val="165"/>
      </w:pPr>
      <w:r>
        <w:rPr>
          <w:rFonts w:hint="eastAsia"/>
        </w:rPr>
        <w:t>参加药包加工和爆破作业的人员，宜穿戴防静电的衣物。</w:t>
      </w:r>
    </w:p>
    <w:p>
      <w:pPr>
        <w:pStyle w:val="165"/>
      </w:pPr>
      <w:r>
        <w:rPr>
          <w:rFonts w:hint="eastAsia"/>
        </w:rPr>
        <w:t>人力往药室搬运炸药时，每次搬运数量不超过两箱（袋）。搬运工人行进中，应保持1</w:t>
      </w:r>
      <w:r>
        <w:rPr>
          <w:rFonts w:hint="eastAsia"/>
          <w:vertAlign w:val="superscript"/>
        </w:rPr>
        <w:t xml:space="preserve"> </w:t>
      </w:r>
      <w:r>
        <w:rPr>
          <w:rFonts w:hint="eastAsia"/>
        </w:rPr>
        <w:t>m以上的间距；上下坡时，应保持5</w:t>
      </w:r>
      <w:r>
        <w:rPr>
          <w:rFonts w:hint="eastAsia"/>
          <w:vertAlign w:val="superscript"/>
        </w:rPr>
        <w:t xml:space="preserve"> </w:t>
      </w:r>
      <w:r>
        <w:rPr>
          <w:rFonts w:hint="eastAsia"/>
        </w:rPr>
        <w:t>m的间距。</w:t>
      </w:r>
    </w:p>
    <w:p>
      <w:pPr>
        <w:pStyle w:val="165"/>
      </w:pPr>
      <w:r>
        <w:rPr>
          <w:rFonts w:hint="eastAsia"/>
        </w:rPr>
        <w:t>炸药与雷管不应混合运送；起爆体、起爆药包或已经接好的起爆雷管，应由爆破员携带运送。</w:t>
      </w:r>
    </w:p>
    <w:p>
      <w:pPr>
        <w:pStyle w:val="165"/>
      </w:pPr>
      <w:r>
        <w:rPr>
          <w:rFonts w:hint="eastAsia"/>
        </w:rPr>
        <w:t>药柱或起爆体加工、装填应在爆破技术人员指导下及爆破监理工程师的监督下进行。</w:t>
      </w:r>
    </w:p>
    <w:p>
      <w:pPr>
        <w:pStyle w:val="165"/>
      </w:pPr>
      <w:r>
        <w:rPr>
          <w:rFonts w:hint="eastAsia"/>
        </w:rPr>
        <w:t>配备抽排水设备，排水量与单个贯通孔涌水量相匹配，保持集渣坑水位不上涨。</w:t>
      </w:r>
    </w:p>
    <w:p>
      <w:pPr>
        <w:pStyle w:val="105"/>
        <w:spacing w:before="120" w:after="120"/>
      </w:pPr>
      <w:bookmarkStart w:id="172" w:name="_Toc30066"/>
      <w:bookmarkStart w:id="173" w:name="_Toc1337"/>
      <w:bookmarkStart w:id="174" w:name="_Toc7877"/>
      <w:bookmarkStart w:id="175" w:name="_Toc19799"/>
      <w:r>
        <w:rPr>
          <w:rFonts w:hint="eastAsia"/>
        </w:rPr>
        <w:t>钻孔与硐室开挖施工</w:t>
      </w:r>
      <w:bookmarkEnd w:id="172"/>
      <w:bookmarkEnd w:id="173"/>
      <w:bookmarkEnd w:id="174"/>
      <w:bookmarkEnd w:id="175"/>
    </w:p>
    <w:p>
      <w:pPr>
        <w:pStyle w:val="165"/>
      </w:pPr>
      <w:r>
        <w:rPr>
          <w:rFonts w:hint="eastAsia"/>
        </w:rPr>
        <w:t>炮孔应统一编号，根据设计孔位布置进行放样，将每个炮孔位置标注到掌子面上。</w:t>
      </w:r>
    </w:p>
    <w:p>
      <w:pPr>
        <w:pStyle w:val="165"/>
      </w:pPr>
      <w:r>
        <w:rPr>
          <w:rFonts w:hint="eastAsia"/>
        </w:rPr>
        <w:t>每个炮孔开孔前应进行开孔验收，主要内容包括：预钻孔孔位、摆钻角度、钻机固定情况等，将验收数据填入钻孔情况验收表中，验收合格方可开钻。</w:t>
      </w:r>
    </w:p>
    <w:p>
      <w:pPr>
        <w:pStyle w:val="165"/>
      </w:pPr>
      <w:r>
        <w:rPr>
          <w:rFonts w:hint="eastAsia"/>
        </w:rPr>
        <w:t>炮孔直径宜在60</w:t>
      </w:r>
      <w:r>
        <w:rPr>
          <w:rFonts w:hint="eastAsia"/>
          <w:vertAlign w:val="superscript"/>
        </w:rPr>
        <w:t xml:space="preserve"> </w:t>
      </w:r>
      <w:r>
        <w:rPr>
          <w:rFonts w:hint="eastAsia"/>
        </w:rPr>
        <w:t>mm～100</w:t>
      </w:r>
      <w:r>
        <w:rPr>
          <w:rFonts w:hint="eastAsia"/>
          <w:vertAlign w:val="superscript"/>
        </w:rPr>
        <w:t xml:space="preserve"> </w:t>
      </w:r>
      <w:r>
        <w:rPr>
          <w:rFonts w:hint="eastAsia"/>
        </w:rPr>
        <w:t>mm范围内选取，空孔孔径不宜小于90</w:t>
      </w:r>
      <w:r>
        <w:rPr>
          <w:rFonts w:hint="eastAsia"/>
          <w:vertAlign w:val="superscript"/>
        </w:rPr>
        <w:t xml:space="preserve"> </w:t>
      </w:r>
      <w:r>
        <w:rPr>
          <w:rFonts w:hint="eastAsia"/>
        </w:rPr>
        <w:t>mm。</w:t>
      </w:r>
    </w:p>
    <w:p>
      <w:pPr>
        <w:pStyle w:val="165"/>
      </w:pPr>
      <w:r>
        <w:rPr>
          <w:rFonts w:hint="eastAsia"/>
        </w:rPr>
        <w:t>爆破孔宜采用轻型潜孔钻机钻孔，并采取有效措施保证孔位、孔向、孔深满足设计要求。</w:t>
      </w:r>
    </w:p>
    <w:p>
      <w:pPr>
        <w:pStyle w:val="165"/>
      </w:pPr>
      <w:r>
        <w:rPr>
          <w:rFonts w:hint="eastAsia"/>
        </w:rPr>
        <w:t>严格按设计要求进行布孔、造孔,控制好孔位、孔向和孔深，并满足下列要求：</w:t>
      </w:r>
    </w:p>
    <w:p>
      <w:pPr>
        <w:pStyle w:val="132"/>
      </w:pPr>
      <w:r>
        <w:rPr>
          <w:rFonts w:hint="eastAsia"/>
        </w:rPr>
        <w:t>掏槽孔开孔误差控制在±2</w:t>
      </w:r>
      <w:r>
        <w:rPr>
          <w:rFonts w:hint="eastAsia"/>
          <w:vertAlign w:val="superscript"/>
        </w:rPr>
        <w:t xml:space="preserve"> </w:t>
      </w:r>
      <w:r>
        <w:rPr>
          <w:rFonts w:hint="eastAsia"/>
        </w:rPr>
        <w:t>cm；孔底误差控制在±3</w:t>
      </w:r>
      <w:r>
        <w:rPr>
          <w:rFonts w:hint="eastAsia"/>
          <w:vertAlign w:val="superscript"/>
        </w:rPr>
        <w:t xml:space="preserve"> </w:t>
      </w:r>
      <w:r>
        <w:rPr>
          <w:rFonts w:hint="eastAsia"/>
        </w:rPr>
        <w:t>cm；深度误差控制在±3</w:t>
      </w:r>
      <w:r>
        <w:rPr>
          <w:rFonts w:hint="eastAsia"/>
          <w:vertAlign w:val="superscript"/>
        </w:rPr>
        <w:t xml:space="preserve"> </w:t>
      </w:r>
      <w:r>
        <w:rPr>
          <w:rFonts w:hint="eastAsia"/>
        </w:rPr>
        <w:t>cm；</w:t>
      </w:r>
    </w:p>
    <w:p>
      <w:pPr>
        <w:pStyle w:val="132"/>
      </w:pPr>
      <w:r>
        <w:rPr>
          <w:rFonts w:hint="eastAsia"/>
        </w:rPr>
        <w:t>掏槽孔孔方向与设计倾角一致，钻孔偏斜误差不大于0.5°；孔底不能出现两个串通；</w:t>
      </w:r>
    </w:p>
    <w:p>
      <w:pPr>
        <w:pStyle w:val="132"/>
      </w:pPr>
      <w:r>
        <w:rPr>
          <w:rFonts w:hint="eastAsia"/>
        </w:rPr>
        <w:t>主爆孔孔底偏斜误差控制在±10</w:t>
      </w:r>
      <w:r>
        <w:rPr>
          <w:rFonts w:hint="eastAsia"/>
          <w:vertAlign w:val="superscript"/>
        </w:rPr>
        <w:t xml:space="preserve"> </w:t>
      </w:r>
      <w:r>
        <w:rPr>
          <w:rFonts w:hint="eastAsia"/>
        </w:rPr>
        <w:t>cm，开孔误差小于3</w:t>
      </w:r>
      <w:r>
        <w:rPr>
          <w:rFonts w:hint="eastAsia"/>
          <w:vertAlign w:val="superscript"/>
        </w:rPr>
        <w:t xml:space="preserve"> </w:t>
      </w:r>
      <w:r>
        <w:rPr>
          <w:rFonts w:hint="eastAsia"/>
        </w:rPr>
        <w:t>cm，在不透水条件下孔深误差小于20</w:t>
      </w:r>
      <w:r>
        <w:rPr>
          <w:rFonts w:hint="eastAsia"/>
          <w:vertAlign w:val="superscript"/>
        </w:rPr>
        <w:t xml:space="preserve"> </w:t>
      </w:r>
      <w:r>
        <w:rPr>
          <w:rFonts w:hint="eastAsia"/>
        </w:rPr>
        <w:t>cm；</w:t>
      </w:r>
    </w:p>
    <w:p>
      <w:pPr>
        <w:pStyle w:val="132"/>
      </w:pPr>
      <w:r>
        <w:rPr>
          <w:rFonts w:hint="eastAsia"/>
        </w:rPr>
        <w:t>周边轮廓孔口中心位置偏差距设计开挖边线不大于30</w:t>
      </w:r>
      <w:r>
        <w:rPr>
          <w:rFonts w:hint="eastAsia"/>
          <w:vertAlign w:val="superscript"/>
        </w:rPr>
        <w:t xml:space="preserve"> </w:t>
      </w:r>
      <w:r>
        <w:rPr>
          <w:rFonts w:hint="eastAsia"/>
        </w:rPr>
        <w:t>mm；钻孔方向与设计扩散角一致，钻孔偏斜误差不大于0.5°；孔底中心偏离设计坡面垂直开挖面方向，不大于孔深的2%；孔底在达到设计抵抗线；</w:t>
      </w:r>
    </w:p>
    <w:p>
      <w:pPr>
        <w:pStyle w:val="132"/>
      </w:pPr>
      <w:r>
        <w:rPr>
          <w:rFonts w:hint="eastAsia"/>
        </w:rPr>
        <w:t>设置钻孔样架，样架上布置钻孔后视点，采用激光控制钻孔方向。样架距离掌子面应适宜，应固定在钻孔平台或混凝土衬砌面上；</w:t>
      </w:r>
    </w:p>
    <w:p>
      <w:pPr>
        <w:pStyle w:val="132"/>
      </w:pPr>
      <w:r>
        <w:rPr>
          <w:rFonts w:hint="eastAsia"/>
        </w:rPr>
        <w:t>开孔后每钻进0.2</w:t>
      </w:r>
      <w:r>
        <w:rPr>
          <w:rFonts w:hint="eastAsia"/>
          <w:vertAlign w:val="superscript"/>
        </w:rPr>
        <w:t xml:space="preserve"> </w:t>
      </w:r>
      <w:r>
        <w:rPr>
          <w:rFonts w:hint="eastAsia"/>
        </w:rPr>
        <w:t>m校核一次，钻进1</w:t>
      </w:r>
      <w:r>
        <w:rPr>
          <w:rFonts w:hint="eastAsia"/>
          <w:vertAlign w:val="superscript"/>
        </w:rPr>
        <w:t xml:space="preserve"> </w:t>
      </w:r>
      <w:r>
        <w:rPr>
          <w:rFonts w:hint="eastAsia"/>
        </w:rPr>
        <w:t>m至少校核3次；当钻进至1.5</w:t>
      </w:r>
      <w:r>
        <w:rPr>
          <w:rFonts w:hint="eastAsia"/>
          <w:vertAlign w:val="superscript"/>
        </w:rPr>
        <w:t xml:space="preserve"> </w:t>
      </w:r>
      <w:r>
        <w:rPr>
          <w:rFonts w:hint="eastAsia"/>
        </w:rPr>
        <w:t>m～2.0</w:t>
      </w:r>
      <w:r>
        <w:rPr>
          <w:rFonts w:hint="eastAsia"/>
          <w:vertAlign w:val="superscript"/>
        </w:rPr>
        <w:t xml:space="preserve"> </w:t>
      </w:r>
      <w:r>
        <w:rPr>
          <w:rFonts w:hint="eastAsia"/>
        </w:rPr>
        <w:t>m时，再进行1次校核，确认无误后，采用正常速度钻进。</w:t>
      </w:r>
    </w:p>
    <w:p>
      <w:pPr>
        <w:pStyle w:val="165"/>
      </w:pPr>
      <w:r>
        <w:rPr>
          <w:rFonts w:hint="eastAsia"/>
        </w:rPr>
        <w:t>钻孔过程中发生渗涌时，应根据水量大小采取相应措施：</w:t>
      </w:r>
    </w:p>
    <w:p>
      <w:pPr>
        <w:pStyle w:val="132"/>
      </w:pPr>
      <w:r>
        <w:rPr>
          <w:rFonts w:hint="eastAsia"/>
        </w:rPr>
        <w:t>掏槽孔开孔误差控制在±2</w:t>
      </w:r>
      <w:r>
        <w:rPr>
          <w:rFonts w:hint="eastAsia"/>
          <w:vertAlign w:val="superscript"/>
        </w:rPr>
        <w:t xml:space="preserve"> </w:t>
      </w:r>
      <w:r>
        <w:rPr>
          <w:rFonts w:hint="eastAsia"/>
        </w:rPr>
        <w:t>cm；孔底误差控制在±3</w:t>
      </w:r>
      <w:r>
        <w:rPr>
          <w:rFonts w:hint="eastAsia"/>
          <w:vertAlign w:val="superscript"/>
        </w:rPr>
        <w:t xml:space="preserve"> </w:t>
      </w:r>
      <w:r>
        <w:rPr>
          <w:rFonts w:hint="eastAsia"/>
        </w:rPr>
        <w:t>cm；深度误差控制在±3</w:t>
      </w:r>
      <w:r>
        <w:rPr>
          <w:rFonts w:hint="eastAsia"/>
          <w:vertAlign w:val="superscript"/>
        </w:rPr>
        <w:t xml:space="preserve"> </w:t>
      </w:r>
      <w:r>
        <w:rPr>
          <w:rFonts w:hint="eastAsia"/>
        </w:rPr>
        <w:t>cm；</w:t>
      </w:r>
    </w:p>
    <w:p>
      <w:pPr>
        <w:pStyle w:val="132"/>
      </w:pPr>
      <w:r>
        <w:rPr>
          <w:rFonts w:hint="eastAsia"/>
        </w:rPr>
        <w:t>掏槽孔孔方向与设计倾角一致，钻孔偏斜误差不大于0.5°；孔底不能出现两个串通；</w:t>
      </w:r>
    </w:p>
    <w:p>
      <w:pPr>
        <w:pStyle w:val="132"/>
      </w:pPr>
      <w:r>
        <w:rPr>
          <w:rFonts w:hint="eastAsia"/>
        </w:rPr>
        <w:t>主爆孔孔底偏斜误差控制在±10</w:t>
      </w:r>
      <w:r>
        <w:rPr>
          <w:rFonts w:hint="eastAsia"/>
          <w:vertAlign w:val="superscript"/>
        </w:rPr>
        <w:t xml:space="preserve"> </w:t>
      </w:r>
      <w:r>
        <w:rPr>
          <w:rFonts w:hint="eastAsia"/>
        </w:rPr>
        <w:t>cm，开孔误差小于3</w:t>
      </w:r>
      <w:r>
        <w:rPr>
          <w:rFonts w:hint="eastAsia"/>
          <w:vertAlign w:val="superscript"/>
        </w:rPr>
        <w:t xml:space="preserve"> </w:t>
      </w:r>
      <w:r>
        <w:rPr>
          <w:rFonts w:hint="eastAsia"/>
        </w:rPr>
        <w:t>cm，在不透水条件下孔深误差小于20</w:t>
      </w:r>
      <w:r>
        <w:rPr>
          <w:rFonts w:hint="eastAsia"/>
          <w:vertAlign w:val="superscript"/>
        </w:rPr>
        <w:t xml:space="preserve"> </w:t>
      </w:r>
      <w:r>
        <w:rPr>
          <w:rFonts w:hint="eastAsia"/>
        </w:rPr>
        <w:t>cm；</w:t>
      </w:r>
    </w:p>
    <w:p>
      <w:pPr>
        <w:pStyle w:val="132"/>
      </w:pPr>
      <w:r>
        <w:rPr>
          <w:rFonts w:hint="eastAsia"/>
        </w:rPr>
        <w:t>周边轮廓孔口中心位置偏差距设计开挖边线不大于30</w:t>
      </w:r>
      <w:r>
        <w:rPr>
          <w:rFonts w:hint="eastAsia"/>
          <w:vertAlign w:val="superscript"/>
        </w:rPr>
        <w:t xml:space="preserve"> </w:t>
      </w:r>
      <w:r>
        <w:rPr>
          <w:rFonts w:hint="eastAsia"/>
        </w:rPr>
        <w:t>mm；钻孔方向与设计扩散角一致，钻孔偏斜误差不大于0.5°；孔底中心偏离设计坡面垂直开挖面方向，不大于孔深的2%；孔底在达到设计抵抗线；</w:t>
      </w:r>
    </w:p>
    <w:p>
      <w:pPr>
        <w:pStyle w:val="132"/>
      </w:pPr>
      <w:r>
        <w:rPr>
          <w:rFonts w:hint="eastAsia"/>
        </w:rPr>
        <w:t>设置钻孔样架，样架上布置钻孔后视点，采用激光控制钻孔方向。样架距离掌子面应适宜，应固定在钻孔平台或混凝土衬砌面上；</w:t>
      </w:r>
    </w:p>
    <w:p>
      <w:pPr>
        <w:pStyle w:val="132"/>
      </w:pPr>
      <w:r>
        <w:rPr>
          <w:rFonts w:hint="eastAsia"/>
        </w:rPr>
        <w:t>开孔后每钻进0.2</w:t>
      </w:r>
      <w:r>
        <w:rPr>
          <w:rFonts w:hint="eastAsia"/>
          <w:vertAlign w:val="superscript"/>
        </w:rPr>
        <w:t xml:space="preserve"> </w:t>
      </w:r>
      <w:r>
        <w:rPr>
          <w:rFonts w:hint="eastAsia"/>
        </w:rPr>
        <w:t>m校核一次，钻进1</w:t>
      </w:r>
      <w:r>
        <w:rPr>
          <w:rFonts w:hint="eastAsia"/>
          <w:vertAlign w:val="superscript"/>
        </w:rPr>
        <w:t xml:space="preserve"> </w:t>
      </w:r>
      <w:r>
        <w:rPr>
          <w:rFonts w:hint="eastAsia"/>
        </w:rPr>
        <w:t>m至少校核3次；当钻进至1.5</w:t>
      </w:r>
      <w:r>
        <w:rPr>
          <w:rFonts w:hint="eastAsia"/>
          <w:vertAlign w:val="superscript"/>
        </w:rPr>
        <w:t xml:space="preserve"> </w:t>
      </w:r>
      <w:r>
        <w:rPr>
          <w:rFonts w:hint="eastAsia"/>
        </w:rPr>
        <w:t>m～2.0</w:t>
      </w:r>
      <w:r>
        <w:rPr>
          <w:rFonts w:hint="eastAsia"/>
          <w:vertAlign w:val="superscript"/>
        </w:rPr>
        <w:t xml:space="preserve"> </w:t>
      </w:r>
      <w:r>
        <w:rPr>
          <w:rFonts w:hint="eastAsia"/>
        </w:rPr>
        <w:t>m时，再进行1次校核，确认无误后，采用正常速度钻进。</w:t>
      </w:r>
    </w:p>
    <w:p>
      <w:pPr>
        <w:pStyle w:val="165"/>
      </w:pPr>
      <w:r>
        <w:rPr>
          <w:rFonts w:hint="eastAsia"/>
        </w:rPr>
        <w:t>钻孔过程中发生渗涌时，应根据水量大小采取相应措施：</w:t>
      </w:r>
    </w:p>
    <w:p>
      <w:pPr>
        <w:pStyle w:val="132"/>
      </w:pPr>
      <w:r>
        <w:rPr>
          <w:rFonts w:hint="eastAsia"/>
        </w:rPr>
        <w:t>当渗水时，根据渗水量大小，间断性启用抽排水设备，抽排渗漏水。渗漏水抽排设备应按钻穿一个孔时涌水量进行配置；</w:t>
      </w:r>
    </w:p>
    <w:p>
      <w:pPr>
        <w:pStyle w:val="132"/>
      </w:pPr>
      <w:r>
        <w:rPr>
          <w:rFonts w:hint="eastAsia"/>
        </w:rPr>
        <w:t>当渗、涌水较严重时,应立即启动应急预案，采用化学灌浆堵水，再进行灌浆加固围岩；</w:t>
      </w:r>
    </w:p>
    <w:p>
      <w:pPr>
        <w:pStyle w:val="132"/>
      </w:pPr>
      <w:r>
        <w:rPr>
          <w:rFonts w:hint="eastAsia"/>
        </w:rPr>
        <w:t>当两个及以上炮孔连通时，采用水泥灌浆封堵，待凝固结后再重新钻孔。</w:t>
      </w:r>
    </w:p>
    <w:p>
      <w:pPr>
        <w:pStyle w:val="165"/>
      </w:pPr>
      <w:r>
        <w:rPr>
          <w:rFonts w:hint="eastAsia"/>
        </w:rPr>
        <w:t>硐室开挖宜采用手风钻钻孔，严格控制装药量，单孔装药量应≤100</w:t>
      </w:r>
      <w:r>
        <w:rPr>
          <w:rFonts w:hint="eastAsia"/>
          <w:vertAlign w:val="superscript"/>
        </w:rPr>
        <w:t xml:space="preserve"> </w:t>
      </w:r>
      <w:r>
        <w:rPr>
          <w:rFonts w:hint="eastAsia"/>
        </w:rPr>
        <w:t>g，最大单段药量</w:t>
      </w:r>
      <w:r>
        <w:rPr>
          <w:rFonts w:hint="eastAsia"/>
          <w:color w:val="0070C0"/>
        </w:rPr>
        <w:t>应</w:t>
      </w:r>
      <w:r>
        <w:rPr>
          <w:rFonts w:hint="eastAsia"/>
        </w:rPr>
        <w:t>≤0.4</w:t>
      </w:r>
      <w:r>
        <w:rPr>
          <w:rFonts w:hint="eastAsia"/>
          <w:vertAlign w:val="superscript"/>
        </w:rPr>
        <w:t xml:space="preserve"> </w:t>
      </w:r>
      <w:r>
        <w:rPr>
          <w:rFonts w:hint="eastAsia"/>
        </w:rPr>
        <w:t>kg。</w:t>
      </w:r>
    </w:p>
    <w:p>
      <w:pPr>
        <w:pStyle w:val="165"/>
      </w:pPr>
      <w:r>
        <w:rPr>
          <w:rFonts w:hint="eastAsia"/>
        </w:rPr>
        <w:t>硐室开挖断面应按设计断面尺寸施工，严格控制超欠挖，并满足以下要求：</w:t>
      </w:r>
    </w:p>
    <w:p>
      <w:pPr>
        <w:pStyle w:val="132"/>
      </w:pPr>
      <w:r>
        <w:rPr>
          <w:rFonts w:hint="eastAsia"/>
        </w:rPr>
        <w:t>导洞、连通洞和药室掘进方向朝向水体时，最后一循环不应超挖；</w:t>
      </w:r>
    </w:p>
    <w:p>
      <w:pPr>
        <w:pStyle w:val="132"/>
      </w:pPr>
      <w:r>
        <w:rPr>
          <w:rFonts w:hint="eastAsia"/>
        </w:rPr>
        <w:t>离水体最近的药室，不应超挖；</w:t>
      </w:r>
    </w:p>
    <w:p>
      <w:pPr>
        <w:pStyle w:val="132"/>
      </w:pPr>
      <w:r>
        <w:rPr>
          <w:rFonts w:hint="eastAsia"/>
        </w:rPr>
        <w:t>其余部位超欠挖</w:t>
      </w:r>
      <w:r>
        <w:rPr>
          <w:rFonts w:hint="eastAsia"/>
          <w:color w:val="0070C0"/>
        </w:rPr>
        <w:t>应</w:t>
      </w:r>
      <w:r>
        <w:rPr>
          <w:rFonts w:hint="eastAsia"/>
        </w:rPr>
        <w:t>控制在±10</w:t>
      </w:r>
      <w:r>
        <w:rPr>
          <w:rFonts w:hint="eastAsia"/>
          <w:vertAlign w:val="superscript"/>
        </w:rPr>
        <w:t xml:space="preserve"> </w:t>
      </w:r>
      <w:r>
        <w:rPr>
          <w:rFonts w:hint="eastAsia"/>
        </w:rPr>
        <w:t>cm以内。</w:t>
      </w:r>
    </w:p>
    <w:p>
      <w:pPr>
        <w:pStyle w:val="165"/>
      </w:pPr>
      <w:r>
        <w:rPr>
          <w:rFonts w:hint="eastAsia"/>
        </w:rPr>
        <w:t>导洞、连通洞和药室开挖宜采用中心预留空孔、直孔掏槽、周边光面爆破的方法。</w:t>
      </w:r>
    </w:p>
    <w:p>
      <w:pPr>
        <w:pStyle w:val="165"/>
      </w:pPr>
      <w:r>
        <w:rPr>
          <w:rFonts w:hint="eastAsia"/>
        </w:rPr>
        <w:t>超前导洞开挖可采用一次钻孔到设计孔深，分次进行爆破。每次爆破前，孔底未装药部分采用柔性填充物防护。</w:t>
      </w:r>
    </w:p>
    <w:p>
      <w:pPr>
        <w:pStyle w:val="105"/>
        <w:spacing w:before="120" w:after="120"/>
      </w:pPr>
      <w:bookmarkStart w:id="176" w:name="_Toc14433"/>
      <w:bookmarkStart w:id="177" w:name="_Toc2110"/>
      <w:bookmarkStart w:id="178" w:name="_Toc9652"/>
      <w:bookmarkStart w:id="179" w:name="_Toc4082"/>
      <w:r>
        <w:rPr>
          <w:rFonts w:hint="eastAsia"/>
        </w:rPr>
        <w:t>装药与封堵</w:t>
      </w:r>
      <w:bookmarkEnd w:id="176"/>
      <w:bookmarkEnd w:id="177"/>
      <w:bookmarkEnd w:id="178"/>
      <w:bookmarkEnd w:id="179"/>
    </w:p>
    <w:p>
      <w:pPr>
        <w:pStyle w:val="165"/>
      </w:pPr>
      <w:r>
        <w:rPr>
          <w:rFonts w:hint="eastAsia"/>
        </w:rPr>
        <w:t>药柱应严格按照爆破设计中炮孔的编号、装药量、炸药规格进行加工，并与钻孔的孔号相互匹配，统一编号并做好原始记录。记录应包括药柱加工情况、出现的问题及其处理措施。</w:t>
      </w:r>
    </w:p>
    <w:p>
      <w:pPr>
        <w:pStyle w:val="165"/>
      </w:pPr>
      <w:r>
        <w:rPr>
          <w:rFonts w:hint="eastAsia"/>
        </w:rPr>
        <w:t>每个炮孔的药柱宜设置两根防水导爆索、两发电子雷管，并用竹片将药包绑扎牢固。电子雷管应按设计要求分别安装在孔底和孔口附近，采用高压防水胶布将雷管脚线与药卷相交处密封严实，并缠绕牢固。端部的电子雷管脚线应理顺盘好装入塑料袋内，系在药包端部竹片上。</w:t>
      </w:r>
    </w:p>
    <w:p>
      <w:pPr>
        <w:pStyle w:val="165"/>
      </w:pPr>
      <w:r>
        <w:rPr>
          <w:rFonts w:hint="eastAsia"/>
        </w:rPr>
        <w:t>起爆体宜采用防水乳化炸药，应按设计要求安装电子雷管、防水导爆索。电子雷管插入药卷时应保护好数码电子雷管及脚线，采用高压防水胶布将雷管脚线与药卷相交处密封严实，再用胶布或绷绳将雷管脚线、导爆索与乳化炸药药卷绑扎牢固。</w:t>
      </w:r>
    </w:p>
    <w:p>
      <w:pPr>
        <w:pStyle w:val="165"/>
      </w:pPr>
      <w:r>
        <w:rPr>
          <w:rFonts w:hint="eastAsia"/>
        </w:rPr>
        <w:t>药室装药应遵循先下后上、先里后外的原则，并满足以下要求：</w:t>
      </w:r>
    </w:p>
    <w:p>
      <w:pPr>
        <w:pStyle w:val="132"/>
      </w:pPr>
      <w:r>
        <w:rPr>
          <w:rFonts w:hint="eastAsia"/>
        </w:rPr>
        <w:t>根据药室布置，自下而上分成相对独立的体系进行装药；</w:t>
      </w:r>
    </w:p>
    <w:p>
      <w:pPr>
        <w:pStyle w:val="132"/>
      </w:pPr>
      <w:r>
        <w:rPr>
          <w:rFonts w:hint="eastAsia"/>
        </w:rPr>
        <w:t>装药前做好药室排水通道，装药完成后用防水塑料布整体覆盖保护，起爆前炸药不应受潮变质；</w:t>
      </w:r>
    </w:p>
    <w:p>
      <w:pPr>
        <w:pStyle w:val="132"/>
      </w:pPr>
      <w:r>
        <w:rPr>
          <w:rFonts w:hint="eastAsia"/>
        </w:rPr>
        <w:t>每个药室的药量分别堆放；</w:t>
      </w:r>
    </w:p>
    <w:p>
      <w:pPr>
        <w:pStyle w:val="132"/>
      </w:pPr>
      <w:r>
        <w:rPr>
          <w:rFonts w:hint="eastAsia"/>
        </w:rPr>
        <w:t>药室中宜整箱（袋）均匀装填，按设计要求的位置、数量码放整齐；</w:t>
      </w:r>
    </w:p>
    <w:p>
      <w:pPr>
        <w:pStyle w:val="132"/>
      </w:pPr>
      <w:r>
        <w:rPr>
          <w:rFonts w:hint="eastAsia"/>
        </w:rPr>
        <w:t>起爆体周围应用散装炸药卷（原包装）填满；</w:t>
      </w:r>
    </w:p>
    <w:p>
      <w:pPr>
        <w:pStyle w:val="132"/>
      </w:pPr>
      <w:r>
        <w:rPr>
          <w:rFonts w:hint="eastAsia"/>
        </w:rPr>
        <w:t>起爆体引出导线应理顺，可用夹布输水胶管等予以保护；</w:t>
      </w:r>
    </w:p>
    <w:p>
      <w:pPr>
        <w:pStyle w:val="132"/>
      </w:pPr>
      <w:r>
        <w:rPr>
          <w:rFonts w:hint="eastAsia"/>
        </w:rPr>
        <w:t>起爆体安装完毕后脚线应沿药室和导洞岩壁引出接入相对应的起爆网路中；</w:t>
      </w:r>
    </w:p>
    <w:p>
      <w:pPr>
        <w:pStyle w:val="132"/>
      </w:pPr>
      <w:r>
        <w:rPr>
          <w:rFonts w:hint="eastAsia"/>
        </w:rPr>
        <w:t>雷管脚线出口端、导爆索端头以及起爆体引出线部位的防水、防潮处理。</w:t>
      </w:r>
    </w:p>
    <w:p>
      <w:pPr>
        <w:pStyle w:val="165"/>
      </w:pPr>
      <w:r>
        <w:rPr>
          <w:rFonts w:hint="eastAsia"/>
        </w:rPr>
        <w:t>药室、导洞、连通洞封堵前，应对以下内容进行专项检查：</w:t>
      </w:r>
    </w:p>
    <w:p>
      <w:pPr>
        <w:pStyle w:val="132"/>
      </w:pPr>
      <w:r>
        <w:rPr>
          <w:rFonts w:hint="eastAsia"/>
        </w:rPr>
        <w:t>装药是否完成，是否满足设计要求；</w:t>
      </w:r>
    </w:p>
    <w:p>
      <w:pPr>
        <w:pStyle w:val="132"/>
      </w:pPr>
      <w:r>
        <w:rPr>
          <w:rFonts w:hint="eastAsia"/>
        </w:rPr>
        <w:t>爆破网路的布设是否完成，线路的检测是否合格；</w:t>
      </w:r>
    </w:p>
    <w:p>
      <w:pPr>
        <w:pStyle w:val="132"/>
      </w:pPr>
      <w:r>
        <w:rPr>
          <w:rFonts w:hint="eastAsia"/>
        </w:rPr>
        <w:t>各灌区灌浆管路的布设是否到位，管路是否通畅。</w:t>
      </w:r>
    </w:p>
    <w:p>
      <w:pPr>
        <w:pStyle w:val="165"/>
      </w:pPr>
      <w:r>
        <w:rPr>
          <w:rFonts w:hint="eastAsia"/>
        </w:rPr>
        <w:t>炮孔堵塞应满足以下要求：</w:t>
      </w:r>
    </w:p>
    <w:p>
      <w:pPr>
        <w:pStyle w:val="132"/>
      </w:pPr>
      <w:r>
        <w:rPr>
          <w:rFonts w:hint="eastAsia"/>
        </w:rPr>
        <w:t>堵塞材料宜选用锚固剂或规范允许的其它材料；</w:t>
      </w:r>
    </w:p>
    <w:p>
      <w:pPr>
        <w:pStyle w:val="132"/>
      </w:pPr>
      <w:r>
        <w:rPr>
          <w:rFonts w:hint="eastAsia"/>
        </w:rPr>
        <w:t>堵塞材料用竹（木）炮棍捣实，不应捣固直接接触药柱的填塞材料或用填塞材料冲击药柱；</w:t>
      </w:r>
    </w:p>
    <w:p>
      <w:pPr>
        <w:pStyle w:val="132"/>
      </w:pPr>
      <w:r>
        <w:rPr>
          <w:rFonts w:hint="eastAsia"/>
        </w:rPr>
        <w:t>分段装药间隔填塞的炮孔，应按设计要求的间隔填塞位置和长度进行填塞；</w:t>
      </w:r>
    </w:p>
    <w:p>
      <w:pPr>
        <w:pStyle w:val="132"/>
      </w:pPr>
      <w:r>
        <w:rPr>
          <w:rFonts w:hint="eastAsia"/>
        </w:rPr>
        <w:t>填塞作业应避免夹扁、挤压和拉扯电子雷管脚线、导爆索，并应保护电子雷管脚线；</w:t>
      </w:r>
    </w:p>
    <w:p>
      <w:pPr>
        <w:pStyle w:val="132"/>
      </w:pPr>
      <w:r>
        <w:rPr>
          <w:rFonts w:hint="eastAsia"/>
        </w:rPr>
        <w:t>填塞出水孔时，应设置小直径塑料导流管让水排出孔外。</w:t>
      </w:r>
    </w:p>
    <w:p>
      <w:pPr>
        <w:pStyle w:val="165"/>
      </w:pPr>
      <w:r>
        <w:rPr>
          <w:rFonts w:hint="eastAsia"/>
        </w:rPr>
        <w:t>各药室口处宜采用掺砂黄泥或粘土封堵，紧临掺砂黄泥或粘土封堵处采用砂浆砖砌体（墙体错缝砌筑）封口，并满足以下要求：</w:t>
      </w:r>
    </w:p>
    <w:p>
      <w:pPr>
        <w:pStyle w:val="132"/>
      </w:pPr>
      <w:r>
        <w:rPr>
          <w:rFonts w:hint="eastAsia"/>
        </w:rPr>
        <w:t>药室口第一道封堵宜采用掺砂黄泥或粘土封堵，由人工码平，并用橡皮锤逐层夯实；</w:t>
      </w:r>
    </w:p>
    <w:p>
      <w:pPr>
        <w:pStyle w:val="132"/>
      </w:pPr>
      <w:r>
        <w:rPr>
          <w:rFonts w:hint="eastAsia"/>
        </w:rPr>
        <w:t>掺砂黄泥或粘土码筑可在第二道砂浆砖砌体的保护下上升，直至洞顶；</w:t>
      </w:r>
    </w:p>
    <w:p>
      <w:pPr>
        <w:pStyle w:val="132"/>
      </w:pPr>
      <w:r>
        <w:rPr>
          <w:rFonts w:hint="eastAsia"/>
        </w:rPr>
        <w:t>黄泥或粘土封堵密实、检查合格后，用砂浆砖砌体封口；</w:t>
      </w:r>
    </w:p>
    <w:p>
      <w:pPr>
        <w:pStyle w:val="132"/>
      </w:pPr>
      <w:r>
        <w:rPr>
          <w:rFonts w:hint="eastAsia"/>
        </w:rPr>
        <w:t>砂浆砖砌体采用错缝砌筑，砌体与药室周边岩壁应紧密结合；</w:t>
      </w:r>
    </w:p>
    <w:p>
      <w:pPr>
        <w:pStyle w:val="132"/>
      </w:pPr>
      <w:r>
        <w:rPr>
          <w:rFonts w:hint="eastAsia"/>
        </w:rPr>
        <w:t>黄泥或粘土与药室口应封闭密实、不透气。</w:t>
      </w:r>
    </w:p>
    <w:p>
      <w:pPr>
        <w:pStyle w:val="165"/>
      </w:pPr>
      <w:r>
        <w:rPr>
          <w:rFonts w:hint="eastAsia"/>
        </w:rPr>
        <w:t>导洞和连接洞采用快硬水泥灌浆封堵，并遵守以下规定：</w:t>
      </w:r>
    </w:p>
    <w:p>
      <w:pPr>
        <w:pStyle w:val="132"/>
      </w:pPr>
      <w:r>
        <w:rPr>
          <w:rFonts w:hint="eastAsia"/>
        </w:rPr>
        <w:t>在每条主导洞的中、下部宜各设置两道钢锁口门，封闭主导洞的出口。门框与开挖轮廓之间的缝隙用水泥砂浆填塞密实；</w:t>
      </w:r>
    </w:p>
    <w:p>
      <w:pPr>
        <w:pStyle w:val="132"/>
      </w:pPr>
      <w:r>
        <w:rPr>
          <w:rFonts w:hint="eastAsia"/>
        </w:rPr>
        <w:t>封堵前应检查各灌区的灌浆管路是否顺畅；</w:t>
      </w:r>
    </w:p>
    <w:p>
      <w:pPr>
        <w:pStyle w:val="132"/>
      </w:pPr>
      <w:r>
        <w:rPr>
          <w:rFonts w:hint="eastAsia"/>
        </w:rPr>
        <w:t>灌浆管路外侧与砖砌体接合处，应采用速凝砂浆进行密闭；</w:t>
      </w:r>
    </w:p>
    <w:p>
      <w:pPr>
        <w:pStyle w:val="132"/>
      </w:pPr>
      <w:r>
        <w:rPr>
          <w:rFonts w:hint="eastAsia"/>
        </w:rPr>
        <w:t>灌浆采用纯水泥浆灌注，灌浆压力及浆液1</w:t>
      </w:r>
      <w:r>
        <w:rPr>
          <w:rFonts w:hint="eastAsia"/>
          <w:vertAlign w:val="superscript"/>
        </w:rPr>
        <w:t xml:space="preserve"> </w:t>
      </w:r>
      <w:r>
        <w:rPr>
          <w:rFonts w:hint="eastAsia"/>
        </w:rPr>
        <w:t>d强度应满足爆破设计要求；</w:t>
      </w:r>
    </w:p>
    <w:p>
      <w:pPr>
        <w:pStyle w:val="132"/>
      </w:pPr>
      <w:r>
        <w:rPr>
          <w:rFonts w:hint="eastAsia"/>
        </w:rPr>
        <w:t>灌浆完成并经检查合格后方能将灌浆管路进行封堵。</w:t>
      </w:r>
    </w:p>
    <w:p>
      <w:pPr>
        <w:pStyle w:val="105"/>
        <w:spacing w:before="120" w:after="120"/>
      </w:pPr>
      <w:bookmarkStart w:id="180" w:name="_Toc17524"/>
      <w:bookmarkStart w:id="181" w:name="_Toc24117"/>
      <w:bookmarkStart w:id="182" w:name="_Toc3565"/>
      <w:bookmarkStart w:id="183" w:name="_Toc23633"/>
      <w:r>
        <w:rPr>
          <w:rFonts w:hint="eastAsia"/>
        </w:rPr>
        <w:t>起爆网路与起爆</w:t>
      </w:r>
      <w:bookmarkEnd w:id="180"/>
      <w:bookmarkEnd w:id="181"/>
      <w:bookmarkEnd w:id="182"/>
      <w:bookmarkEnd w:id="183"/>
    </w:p>
    <w:p>
      <w:pPr>
        <w:pStyle w:val="165"/>
      </w:pPr>
      <w:r>
        <w:rPr>
          <w:rFonts w:hint="eastAsia"/>
        </w:rPr>
        <w:t>应采用电子雷管复式起爆网路，宜采用高精度导爆管雷管与电子雷管双复试起爆网路。</w:t>
      </w:r>
    </w:p>
    <w:p>
      <w:pPr>
        <w:pStyle w:val="165"/>
      </w:pPr>
      <w:r>
        <w:rPr>
          <w:rFonts w:hint="eastAsia"/>
        </w:rPr>
        <w:t>电子雷管脚线、导爆索端头均应做好防水防潮处理，光爆孔中的导爆索宜为一整根，中间不应有接头，并与起爆药卷及其它药卷紧密结合。</w:t>
      </w:r>
    </w:p>
    <w:p>
      <w:pPr>
        <w:pStyle w:val="165"/>
      </w:pPr>
      <w:r>
        <w:rPr>
          <w:rFonts w:hint="eastAsia"/>
        </w:rPr>
        <w:t>网路敷设应满足以下要求：</w:t>
      </w:r>
    </w:p>
    <w:p>
      <w:pPr>
        <w:pStyle w:val="132"/>
      </w:pPr>
      <w:r>
        <w:rPr>
          <w:rFonts w:hint="eastAsia"/>
        </w:rPr>
        <w:t>使用前应对电子雷管进行检测、时间设置并做好相应记录，记录应包括孔号、延期时间及雷管编码；</w:t>
      </w:r>
    </w:p>
    <w:p>
      <w:pPr>
        <w:pStyle w:val="132"/>
      </w:pPr>
      <w:r>
        <w:rPr>
          <w:rFonts w:hint="eastAsia"/>
        </w:rPr>
        <w:t>网路敷设人员应具有相应资质及类似工程经验，实行双人作业制，一人连接，一人监督检查并作好记录；</w:t>
      </w:r>
    </w:p>
    <w:p>
      <w:pPr>
        <w:pStyle w:val="132"/>
      </w:pPr>
      <w:r>
        <w:rPr>
          <w:rFonts w:hint="eastAsia"/>
        </w:rPr>
        <w:t>敷设后、起爆母线引出至洞外后及充水补气后应对电子雷管起爆网路进行检查；</w:t>
      </w:r>
    </w:p>
    <w:p>
      <w:pPr>
        <w:pStyle w:val="132"/>
      </w:pPr>
      <w:r>
        <w:rPr>
          <w:rFonts w:hint="eastAsia"/>
        </w:rPr>
        <w:t>在装药过程中，应对雷管起爆网路和雷管脚线进行保护和固定；</w:t>
      </w:r>
    </w:p>
    <w:p>
      <w:pPr>
        <w:pStyle w:val="132"/>
      </w:pPr>
      <w:r>
        <w:rPr>
          <w:rFonts w:hint="eastAsia"/>
        </w:rPr>
        <w:t>采用硐室或硐室与钻孔相结合的爆破方案时，药室内爆破网路布线应紧贴岩壁。</w:t>
      </w:r>
    </w:p>
    <w:p>
      <w:pPr>
        <w:pStyle w:val="165"/>
      </w:pPr>
      <w:r>
        <w:rPr>
          <w:rFonts w:hint="eastAsia"/>
        </w:rPr>
        <w:t>装药、联网、封堵和充水补气工作完成后，参建各方联合对整个网路进行最后联网检测，网路检测合格后，进入起爆工作准备阶段。</w:t>
      </w:r>
    </w:p>
    <w:p>
      <w:pPr>
        <w:pStyle w:val="165"/>
      </w:pPr>
      <w:r>
        <w:rPr>
          <w:rFonts w:hint="eastAsia"/>
        </w:rPr>
        <w:t>爆破前，应制定爆破警戒专项方案，确定警戒范围和警戒点，进行警戒演练，并向当地的公安、海事部门备案或报批：</w:t>
      </w:r>
    </w:p>
    <w:p>
      <w:pPr>
        <w:pStyle w:val="132"/>
      </w:pPr>
      <w:r>
        <w:rPr>
          <w:rFonts w:hint="eastAsia"/>
        </w:rPr>
        <w:t>爆破警戒范围由爆破设计确定；</w:t>
      </w:r>
    </w:p>
    <w:p>
      <w:pPr>
        <w:pStyle w:val="132"/>
      </w:pPr>
      <w:r>
        <w:rPr>
          <w:rFonts w:hint="eastAsia"/>
        </w:rPr>
        <w:t>危险区边界应设置明显标识，派出岗哨；</w:t>
      </w:r>
    </w:p>
    <w:p>
      <w:pPr>
        <w:pStyle w:val="132"/>
      </w:pPr>
      <w:r>
        <w:rPr>
          <w:rFonts w:hint="eastAsia"/>
        </w:rPr>
        <w:t>警戒点应设公告栏，每个警戒点设置2个人，由指挥中心统一指挥；</w:t>
      </w:r>
    </w:p>
    <w:p>
      <w:pPr>
        <w:pStyle w:val="132"/>
      </w:pPr>
      <w:r>
        <w:rPr>
          <w:rFonts w:hint="eastAsia"/>
        </w:rPr>
        <w:t>水域警戒应配备指挥船和巡逻船；</w:t>
      </w:r>
    </w:p>
    <w:p>
      <w:pPr>
        <w:pStyle w:val="132"/>
      </w:pPr>
      <w:r>
        <w:rPr>
          <w:rFonts w:hint="eastAsia"/>
        </w:rPr>
        <w:t>警戒人员应按指令到达指定地点并坚守工作岗位，相互之间应使用同一类通讯设备联络；</w:t>
      </w:r>
    </w:p>
    <w:p>
      <w:pPr>
        <w:pStyle w:val="132"/>
      </w:pPr>
      <w:r>
        <w:rPr>
          <w:rFonts w:hint="eastAsia"/>
        </w:rPr>
        <w:t>爆破时应同时发出音响和视觉信号，危险区内的人员应能清楚地听到或看到。</w:t>
      </w:r>
    </w:p>
    <w:p>
      <w:pPr>
        <w:pStyle w:val="105"/>
        <w:spacing w:before="120" w:after="120"/>
      </w:pPr>
      <w:bookmarkStart w:id="184" w:name="_Toc3978"/>
      <w:bookmarkStart w:id="185" w:name="_Toc21420"/>
      <w:bookmarkStart w:id="186" w:name="_Toc20692"/>
      <w:bookmarkStart w:id="187" w:name="_Toc8413"/>
      <w:r>
        <w:rPr>
          <w:rFonts w:hint="eastAsia"/>
        </w:rPr>
        <w:t>充水补气</w:t>
      </w:r>
      <w:bookmarkEnd w:id="184"/>
      <w:bookmarkEnd w:id="185"/>
      <w:bookmarkEnd w:id="186"/>
      <w:bookmarkEnd w:id="187"/>
    </w:p>
    <w:p>
      <w:pPr>
        <w:pStyle w:val="165"/>
      </w:pPr>
      <w:r>
        <w:rPr>
          <w:rFonts w:hint="eastAsia"/>
        </w:rPr>
        <w:t>采用气垫式岩塞爆破时，应根据设计气垫体积的大小，结合库水位确定充水水位。</w:t>
      </w:r>
    </w:p>
    <w:p>
      <w:pPr>
        <w:pStyle w:val="165"/>
        <w:tabs>
          <w:tab w:val="left" w:pos="3969"/>
        </w:tabs>
      </w:pPr>
      <w:r>
        <w:rPr>
          <w:rFonts w:hint="eastAsia"/>
        </w:rPr>
        <w:t>当下游充水位较高时，应增加有压的补气量使岩塞底部与下游水体分开，补气的流量和压力</w:t>
      </w:r>
      <w:r>
        <w:rPr>
          <w:rFonts w:hint="eastAsia"/>
          <w:color w:val="0070C0"/>
        </w:rPr>
        <w:t>应</w:t>
      </w:r>
      <w:r>
        <w:rPr>
          <w:rFonts w:hint="eastAsia"/>
        </w:rPr>
        <w:t>与闸门井充水水位上涨速率、气室大小相匹配；当充水水位上升快时，有压的补气量应能保证气垫水面不上升。</w:t>
      </w:r>
    </w:p>
    <w:p>
      <w:pPr>
        <w:pStyle w:val="165"/>
      </w:pPr>
      <w:r>
        <w:rPr>
          <w:rFonts w:hint="eastAsia"/>
        </w:rPr>
        <w:t>应设置集渣坑水位视频监测系统，随时调控补气的速率，确保维持设计的气室体积。</w:t>
      </w:r>
    </w:p>
    <w:p>
      <w:pPr>
        <w:pStyle w:val="165"/>
      </w:pPr>
      <w:r>
        <w:rPr>
          <w:rFonts w:hint="eastAsia"/>
        </w:rPr>
        <w:t>在集渣坑充水过程中所有数码电子雷管接头应高于水面，起爆网路不被水淹没。</w:t>
      </w:r>
    </w:p>
    <w:p>
      <w:pPr>
        <w:pStyle w:val="165"/>
      </w:pPr>
      <w:r>
        <w:rPr>
          <w:rFonts w:hint="eastAsia"/>
        </w:rPr>
        <w:t>必须在岩塞体爆破装药及联网完成并检查无误后，才能开始充水。</w:t>
      </w:r>
    </w:p>
    <w:p>
      <w:pPr>
        <w:pStyle w:val="165"/>
      </w:pPr>
      <w:r>
        <w:rPr>
          <w:rFonts w:hint="eastAsia"/>
        </w:rPr>
        <w:t>充水前应对临时堵头进行验收，包括临时堵头周边的防渗漏灌浆处理，充水过程遇到临时堵头渗漏量较大时需及时处理。</w:t>
      </w:r>
    </w:p>
    <w:p>
      <w:pPr>
        <w:pStyle w:val="104"/>
        <w:spacing w:before="240" w:after="240"/>
      </w:pPr>
      <w:bookmarkStart w:id="188" w:name="_Toc2806"/>
      <w:bookmarkStart w:id="189" w:name="_Toc7771"/>
      <w:bookmarkStart w:id="190" w:name="_Toc12527"/>
      <w:bookmarkStart w:id="191" w:name="_Toc25562"/>
      <w:bookmarkStart w:id="192" w:name="_Toc10164"/>
      <w:bookmarkStart w:id="193" w:name="_Toc214290954"/>
      <w:r>
        <w:rPr>
          <w:rFonts w:hint="eastAsia"/>
        </w:rPr>
        <w:t>爆破安全监测</w:t>
      </w:r>
      <w:bookmarkEnd w:id="188"/>
      <w:bookmarkEnd w:id="189"/>
      <w:bookmarkEnd w:id="190"/>
      <w:bookmarkEnd w:id="191"/>
      <w:bookmarkEnd w:id="192"/>
      <w:bookmarkEnd w:id="193"/>
    </w:p>
    <w:p>
      <w:pPr>
        <w:pStyle w:val="162"/>
      </w:pPr>
      <w:bookmarkStart w:id="194" w:name="_Toc6847"/>
      <w:bookmarkStart w:id="195" w:name="_Toc30838"/>
      <w:bookmarkStart w:id="196" w:name="_Toc8396"/>
      <w:bookmarkStart w:id="197" w:name="_Toc4456"/>
      <w:r>
        <w:rPr>
          <w:rFonts w:hint="eastAsia"/>
        </w:rPr>
        <w:t>岩塞爆破安全监测部位包括岩塞口边坡、进/出水口段混凝土及钢筋、断层、隧洞进/出水口段岩体、闸门井及设备、附近建筑物、发电厂房主要设备、大坝等。</w:t>
      </w:r>
      <w:bookmarkEnd w:id="194"/>
      <w:bookmarkEnd w:id="195"/>
      <w:bookmarkEnd w:id="196"/>
      <w:bookmarkEnd w:id="197"/>
    </w:p>
    <w:p>
      <w:pPr>
        <w:pStyle w:val="162"/>
      </w:pPr>
      <w:bookmarkStart w:id="198" w:name="_Toc28885"/>
      <w:bookmarkStart w:id="199" w:name="_Toc8782"/>
      <w:bookmarkStart w:id="200" w:name="_Toc26819"/>
      <w:bookmarkStart w:id="201" w:name="_Toc12046"/>
      <w:r>
        <w:rPr>
          <w:rFonts w:hint="eastAsia"/>
        </w:rPr>
        <w:t>监测项目应包括宏观调查与巡视检查，爆破质点振动监测，爆破动应变监测，爆破水击波、动水压力及涌浪监测，空气冲击波及噪声监测。监测方法、监测断面及点位布置、监测技术要求应满足</w:t>
      </w:r>
    </w:p>
    <w:p>
      <w:pPr>
        <w:pStyle w:val="162"/>
        <w:numPr>
          <w:ilvl w:val="0"/>
          <w:numId w:val="0"/>
        </w:numPr>
      </w:pPr>
      <w:r>
        <w:rPr>
          <w:rFonts w:hint="eastAsia"/>
        </w:rPr>
        <w:t>DL/T 5333的要求。</w:t>
      </w:r>
      <w:bookmarkEnd w:id="198"/>
      <w:bookmarkEnd w:id="199"/>
      <w:bookmarkEnd w:id="200"/>
      <w:bookmarkEnd w:id="201"/>
    </w:p>
    <w:p>
      <w:pPr>
        <w:pStyle w:val="162"/>
      </w:pPr>
      <w:bookmarkStart w:id="202" w:name="_Toc27531"/>
      <w:bookmarkStart w:id="203" w:name="_Toc29004"/>
      <w:bookmarkStart w:id="204" w:name="_Toc8808"/>
      <w:bookmarkStart w:id="205" w:name="_Toc15371"/>
      <w:r>
        <w:rPr>
          <w:rFonts w:hint="eastAsia"/>
        </w:rPr>
        <w:t>爆破动应变监测测点应布置于结构体关键部位内部或表面，对洞室衬砌结构等爆后充水部位，测点及监测设施应布置于结构体内部。</w:t>
      </w:r>
      <w:bookmarkEnd w:id="202"/>
      <w:bookmarkEnd w:id="203"/>
      <w:bookmarkEnd w:id="204"/>
      <w:bookmarkEnd w:id="205"/>
    </w:p>
    <w:p>
      <w:pPr>
        <w:pStyle w:val="162"/>
      </w:pPr>
      <w:bookmarkStart w:id="206" w:name="_Toc20131"/>
      <w:bookmarkStart w:id="207" w:name="_Toc11049"/>
      <w:bookmarkStart w:id="208" w:name="_Toc1447"/>
      <w:bookmarkStart w:id="209" w:name="_Toc10811"/>
      <w:r>
        <w:rPr>
          <w:rFonts w:hint="eastAsia"/>
        </w:rPr>
        <w:t>监测仪器线缆保护套管宜为镀锌钢管，应做好保护套管接头密封处理和线缆接头防水处理，并进行标记标识。埋设在钢筋混凝土内时，应固定在钢筋网内侧。</w:t>
      </w:r>
      <w:bookmarkEnd w:id="206"/>
      <w:bookmarkEnd w:id="207"/>
      <w:bookmarkEnd w:id="208"/>
      <w:bookmarkEnd w:id="209"/>
    </w:p>
    <w:p>
      <w:pPr>
        <w:pStyle w:val="162"/>
      </w:pPr>
      <w:bookmarkStart w:id="210" w:name="_Toc13415"/>
      <w:bookmarkStart w:id="211" w:name="_Toc18713"/>
      <w:bookmarkStart w:id="212" w:name="_Toc23539"/>
      <w:bookmarkStart w:id="213" w:name="_Toc30"/>
      <w:r>
        <w:rPr>
          <w:rFonts w:hint="eastAsia"/>
        </w:rPr>
        <w:t>宏观调查与巡视检查应采取爆前、爆后对比检测方法，对建（构）筑物外观、岩土结构裂隙、洞室衬砌结构接缝以及其他设施进行检查。</w:t>
      </w:r>
      <w:bookmarkEnd w:id="210"/>
      <w:bookmarkEnd w:id="211"/>
      <w:bookmarkEnd w:id="212"/>
      <w:bookmarkEnd w:id="213"/>
    </w:p>
    <w:p>
      <w:pPr>
        <w:pStyle w:val="162"/>
      </w:pPr>
      <w:bookmarkStart w:id="214" w:name="_Toc17090"/>
      <w:bookmarkStart w:id="215" w:name="_Toc17119"/>
      <w:bookmarkStart w:id="216" w:name="_Toc28967"/>
      <w:bookmarkStart w:id="217" w:name="_Toc22068"/>
      <w:r>
        <w:rPr>
          <w:rFonts w:hint="eastAsia"/>
        </w:rPr>
        <w:t>岩塞口水域、爆破危害可能影响区域、邻近重要建构筑物以及爆后无法进入检查的重要部位，应进行全程视频监控。监控设备及线路应布设在安全可靠位置，监控时段应延伸至爆破影响消除后一段时间，监测视频资料应进行对比分析后留档备查。</w:t>
      </w:r>
      <w:bookmarkEnd w:id="214"/>
      <w:bookmarkEnd w:id="215"/>
      <w:bookmarkEnd w:id="216"/>
      <w:bookmarkEnd w:id="217"/>
    </w:p>
    <w:p>
      <w:pPr>
        <w:pStyle w:val="104"/>
        <w:spacing w:before="240" w:after="240"/>
      </w:pPr>
      <w:bookmarkStart w:id="218" w:name="_Toc32001"/>
      <w:bookmarkStart w:id="219" w:name="_Toc24756"/>
      <w:bookmarkStart w:id="220" w:name="_Toc23969"/>
      <w:bookmarkStart w:id="221" w:name="_Toc20851"/>
      <w:bookmarkStart w:id="222" w:name="_Toc11659"/>
      <w:bookmarkStart w:id="223" w:name="_Toc214290955"/>
      <w:r>
        <w:rPr>
          <w:rFonts w:hint="eastAsia"/>
        </w:rPr>
        <w:t>爆破后检查</w:t>
      </w:r>
      <w:bookmarkEnd w:id="218"/>
      <w:bookmarkEnd w:id="219"/>
      <w:bookmarkEnd w:id="220"/>
      <w:bookmarkEnd w:id="221"/>
      <w:bookmarkEnd w:id="222"/>
      <w:bookmarkEnd w:id="223"/>
    </w:p>
    <w:p>
      <w:pPr>
        <w:pStyle w:val="162"/>
      </w:pPr>
      <w:bookmarkStart w:id="224" w:name="_Toc13236"/>
      <w:bookmarkStart w:id="225" w:name="_Toc3727"/>
      <w:bookmarkStart w:id="226" w:name="_Toc29934"/>
      <w:bookmarkStart w:id="227" w:name="_Toc24125"/>
      <w:r>
        <w:rPr>
          <w:rFonts w:hint="eastAsia"/>
        </w:rPr>
        <w:t>在确认现场安全后方可解除警戒，进行爆破后检查。爆破后检查需严格落实安全措施，确保人员、设备及工程安全。</w:t>
      </w:r>
      <w:bookmarkEnd w:id="224"/>
      <w:bookmarkEnd w:id="225"/>
      <w:bookmarkEnd w:id="226"/>
      <w:bookmarkEnd w:id="227"/>
    </w:p>
    <w:p>
      <w:pPr>
        <w:pStyle w:val="162"/>
      </w:pPr>
      <w:bookmarkStart w:id="228" w:name="_Toc27603"/>
      <w:bookmarkStart w:id="229" w:name="_Toc23414"/>
      <w:bookmarkStart w:id="230" w:name="_Toc25928"/>
      <w:bookmarkStart w:id="231" w:name="_Toc13314"/>
      <w:r>
        <w:rPr>
          <w:rFonts w:hint="eastAsia"/>
        </w:rPr>
        <w:t>爆破后检查的范围应包括岩塞口边坡、洞脸、岩塞口、隧洞渐变段、集渣坑及堆渣体、闸门井、堵头段、岩塞爆口周边临近的建（构）筑物、金结及机电设备、地下管线、水域水质、水生物等。</w:t>
      </w:r>
      <w:bookmarkEnd w:id="228"/>
      <w:bookmarkEnd w:id="229"/>
      <w:bookmarkEnd w:id="230"/>
      <w:bookmarkEnd w:id="231"/>
    </w:p>
    <w:p>
      <w:pPr>
        <w:pStyle w:val="162"/>
      </w:pPr>
      <w:bookmarkStart w:id="232" w:name="_Toc27275"/>
      <w:bookmarkStart w:id="233" w:name="_Toc28356"/>
      <w:bookmarkStart w:id="234" w:name="_Toc19470"/>
      <w:bookmarkStart w:id="235" w:name="_Toc29387"/>
      <w:r>
        <w:rPr>
          <w:rFonts w:hint="eastAsia"/>
        </w:rPr>
        <w:t>爆破后检查内容包括：</w:t>
      </w:r>
      <w:bookmarkEnd w:id="232"/>
      <w:bookmarkEnd w:id="233"/>
      <w:bookmarkEnd w:id="234"/>
      <w:bookmarkEnd w:id="235"/>
    </w:p>
    <w:p>
      <w:pPr>
        <w:pStyle w:val="132"/>
      </w:pPr>
      <w:r>
        <w:rPr>
          <w:rFonts w:hint="eastAsia"/>
        </w:rPr>
        <w:t>岩塞口的形状及尺寸；</w:t>
      </w:r>
    </w:p>
    <w:p>
      <w:pPr>
        <w:pStyle w:val="132"/>
      </w:pPr>
      <w:r>
        <w:rPr>
          <w:rFonts w:hint="eastAsia"/>
        </w:rPr>
        <w:t>爆破后岩塞口周边区域的地形变化情况；</w:t>
      </w:r>
    </w:p>
    <w:p>
      <w:pPr>
        <w:pStyle w:val="132"/>
      </w:pPr>
      <w:r>
        <w:rPr>
          <w:rFonts w:hint="eastAsia"/>
        </w:rPr>
        <w:t>集渣高程、形态和分布；</w:t>
      </w:r>
    </w:p>
    <w:p>
      <w:pPr>
        <w:pStyle w:val="132"/>
      </w:pPr>
      <w:r>
        <w:rPr>
          <w:rFonts w:hint="eastAsia"/>
        </w:rPr>
        <w:t>爆破残留物；</w:t>
      </w:r>
    </w:p>
    <w:p>
      <w:pPr>
        <w:pStyle w:val="132"/>
      </w:pPr>
      <w:r>
        <w:rPr>
          <w:rFonts w:hint="eastAsia"/>
        </w:rPr>
        <w:t>爆破区周围的防护目标受爆破影响程度；</w:t>
      </w:r>
    </w:p>
    <w:p>
      <w:pPr>
        <w:pStyle w:val="132"/>
      </w:pPr>
      <w:r>
        <w:rPr>
          <w:rFonts w:hint="eastAsia"/>
        </w:rPr>
        <w:t>爆破飞石、水击波、噪音、涌浪对人员、生物及相关设施的影响。</w:t>
      </w:r>
    </w:p>
    <w:p>
      <w:pPr>
        <w:pStyle w:val="162"/>
      </w:pPr>
      <w:bookmarkStart w:id="236" w:name="_Toc21695"/>
      <w:bookmarkStart w:id="237" w:name="_Toc8289"/>
      <w:bookmarkStart w:id="238" w:name="_Toc25533"/>
      <w:bookmarkStart w:id="239" w:name="_Toc29899"/>
      <w:r>
        <w:rPr>
          <w:rFonts w:hint="eastAsia"/>
        </w:rPr>
        <w:t>爆破后检查采用宏观调查、巡视检查、测量、视频摄像等方式。应采取爆前和爆后对比检测方法检查，宜采用声纳或水下激光扫描仪进行三维精确测量。</w:t>
      </w:r>
      <w:bookmarkEnd w:id="236"/>
      <w:bookmarkEnd w:id="237"/>
      <w:bookmarkEnd w:id="238"/>
      <w:bookmarkEnd w:id="239"/>
    </w:p>
    <w:p>
      <w:pPr>
        <w:pStyle w:val="162"/>
      </w:pPr>
      <w:bookmarkStart w:id="240" w:name="_Toc16573"/>
      <w:bookmarkStart w:id="241" w:name="_Toc31083"/>
      <w:bookmarkStart w:id="242" w:name="_Toc4229"/>
      <w:bookmarkStart w:id="243" w:name="_Toc22528"/>
      <w:r>
        <w:rPr>
          <w:rFonts w:hint="eastAsia"/>
        </w:rPr>
        <w:t>水下岩塞爆破前应对水下机器人（ROV）、视频摄像采集系统等进行预演、测试，保证镜头拍摄清晰、数据传输、存储正常。洞内预先安装的高清摄像头应做好防水防爆保护。</w:t>
      </w:r>
      <w:bookmarkEnd w:id="240"/>
      <w:bookmarkEnd w:id="241"/>
      <w:bookmarkEnd w:id="242"/>
      <w:bookmarkEnd w:id="243"/>
    </w:p>
    <w:p>
      <w:pPr>
        <w:pStyle w:val="162"/>
      </w:pPr>
      <w:bookmarkStart w:id="244" w:name="_Toc8196"/>
      <w:bookmarkStart w:id="245" w:name="_Toc16614"/>
      <w:bookmarkStart w:id="246" w:name="_Toc25813"/>
      <w:bookmarkStart w:id="247" w:name="_Toc24200"/>
      <w:r>
        <w:rPr>
          <w:rFonts w:hint="eastAsia"/>
        </w:rPr>
        <w:t>水下岩塞爆破后检查时间及频次应根据工程等级、地质条件、爆破规模、岩塞特性及周边环境敏感程度等具体情况确定。</w:t>
      </w:r>
      <w:bookmarkEnd w:id="244"/>
      <w:bookmarkEnd w:id="245"/>
      <w:bookmarkEnd w:id="246"/>
      <w:bookmarkEnd w:id="247"/>
    </w:p>
    <w:p>
      <w:pPr>
        <w:pStyle w:val="162"/>
      </w:pPr>
      <w:bookmarkStart w:id="248" w:name="_Toc23087"/>
      <w:bookmarkStart w:id="249" w:name="_Toc8498"/>
      <w:bookmarkStart w:id="250" w:name="_Toc2908"/>
      <w:bookmarkStart w:id="251" w:name="_Toc29439"/>
      <w:r>
        <w:rPr>
          <w:rFonts w:hint="eastAsia"/>
        </w:rPr>
        <w:t>对爆破后检查结果进行综合分析，提出专项检查报告，对检查发现的异常情况提出分析意见及处理建议。</w:t>
      </w:r>
      <w:bookmarkEnd w:id="248"/>
      <w:bookmarkEnd w:id="249"/>
      <w:bookmarkEnd w:id="250"/>
      <w:bookmarkEnd w:id="251"/>
    </w:p>
    <w:p>
      <w:pPr>
        <w:pStyle w:val="162"/>
      </w:pPr>
      <w:bookmarkStart w:id="252" w:name="_Toc27822"/>
      <w:bookmarkStart w:id="253" w:name="_Toc8083"/>
      <w:bookmarkStart w:id="254" w:name="_Toc31521"/>
      <w:bookmarkStart w:id="255" w:name="_Toc20085"/>
      <w:r>
        <w:rPr>
          <w:rFonts w:hint="eastAsia"/>
        </w:rPr>
        <w:t>爆破后检查记录应真实、完整，并留档备查，便于追溯和安全评估。</w:t>
      </w:r>
      <w:bookmarkEnd w:id="252"/>
      <w:bookmarkEnd w:id="253"/>
      <w:bookmarkEnd w:id="254"/>
      <w:bookmarkEnd w:id="255"/>
    </w:p>
    <w:p>
      <w:pPr>
        <w:pStyle w:val="56"/>
        <w:ind w:firstLine="420"/>
      </w:pPr>
    </w:p>
    <w:p>
      <w:pPr>
        <w:pStyle w:val="56"/>
        <w:ind w:firstLine="420"/>
      </w:pPr>
    </w:p>
    <w:p>
      <w:pPr>
        <w:pStyle w:val="56"/>
        <w:ind w:firstLine="420"/>
      </w:pPr>
    </w:p>
    <w:p>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linePitch="312" w:charSpace="0"/>
        </w:sectPr>
      </w:pPr>
    </w:p>
    <w:p>
      <w:pPr>
        <w:pStyle w:val="198"/>
      </w:pPr>
    </w:p>
    <w:p>
      <w:pPr>
        <w:pStyle w:val="199"/>
      </w:pPr>
    </w:p>
    <w:p>
      <w:pPr>
        <w:pStyle w:val="198"/>
      </w:pPr>
    </w:p>
    <w:p>
      <w:pPr>
        <w:pStyle w:val="199"/>
      </w:pPr>
    </w:p>
    <w:bookmarkEnd w:id="26"/>
    <w:p>
      <w:pPr>
        <w:pStyle w:val="198"/>
      </w:pPr>
      <w:bookmarkStart w:id="256" w:name="BookMark5"/>
    </w:p>
    <w:p>
      <w:pPr>
        <w:pStyle w:val="199"/>
      </w:pPr>
    </w:p>
    <w:p>
      <w:pPr>
        <w:pStyle w:val="76"/>
        <w:spacing w:after="120"/>
      </w:pPr>
      <w:bookmarkStart w:id="257" w:name="_Toc18669"/>
      <w:bookmarkStart w:id="258" w:name="_Toc13563"/>
      <w:bookmarkStart w:id="259" w:name="_Toc23011"/>
      <w:bookmarkStart w:id="260" w:name="_Toc4845"/>
      <w:bookmarkStart w:id="261" w:name="_Toc22913"/>
      <w:r>
        <w:rPr>
          <w:rFonts w:hint="eastAsia"/>
        </w:rPr>
        <w:br w:type="textWrapping"/>
      </w:r>
      <w:bookmarkStart w:id="262" w:name="_Toc214290956"/>
      <w:r>
        <w:rPr>
          <w:rFonts w:hint="eastAsia"/>
        </w:rPr>
        <w:t>（资料性）</w:t>
      </w:r>
      <w:r>
        <w:rPr>
          <w:rFonts w:hint="eastAsia"/>
        </w:rPr>
        <w:br w:type="textWrapping"/>
      </w:r>
      <w:r>
        <w:rPr>
          <w:rFonts w:hint="eastAsia"/>
        </w:rPr>
        <w:t>取水口水下岩塞爆破工程施工组织设计编写目录</w:t>
      </w:r>
      <w:bookmarkEnd w:id="257"/>
      <w:bookmarkEnd w:id="258"/>
      <w:bookmarkEnd w:id="259"/>
      <w:bookmarkEnd w:id="260"/>
      <w:bookmarkEnd w:id="261"/>
      <w:bookmarkEnd w:id="262"/>
    </w:p>
    <w:p>
      <w:pPr>
        <w:pStyle w:val="56"/>
        <w:ind w:firstLine="422"/>
        <w:rPr>
          <w:rFonts w:ascii="宋体" w:hAnsi="宋体"/>
          <w:b/>
        </w:rPr>
      </w:pPr>
    </w:p>
    <w:p>
      <w:pPr>
        <w:pStyle w:val="56"/>
        <w:ind w:firstLine="422"/>
        <w:rPr>
          <w:rFonts w:ascii="宋体" w:hAnsi="宋体"/>
          <w:b/>
        </w:rPr>
      </w:pPr>
      <w:r>
        <w:rPr>
          <w:rFonts w:hint="eastAsia" w:ascii="宋体" w:hAnsi="宋体"/>
          <w:b/>
        </w:rPr>
        <w:t>第1章  工程综合说明</w:t>
      </w:r>
    </w:p>
    <w:p>
      <w:pPr>
        <w:pStyle w:val="56"/>
        <w:ind w:firstLine="420"/>
        <w:rPr>
          <w:rFonts w:ascii="宋体" w:hAnsi="宋体"/>
        </w:rPr>
      </w:pPr>
      <w:r>
        <w:rPr>
          <w:rFonts w:hint="eastAsia" w:ascii="宋体" w:hAnsi="宋体"/>
        </w:rPr>
        <w:t>1.1工程概况</w:t>
      </w:r>
    </w:p>
    <w:p>
      <w:pPr>
        <w:pStyle w:val="56"/>
        <w:ind w:firstLine="420"/>
        <w:rPr>
          <w:rFonts w:ascii="宋体" w:hAnsi="宋体"/>
        </w:rPr>
      </w:pPr>
      <w:r>
        <w:rPr>
          <w:rFonts w:hint="eastAsia" w:ascii="宋体" w:hAnsi="宋体"/>
        </w:rPr>
        <w:t>1.2岩塞爆破工程特点</w:t>
      </w:r>
    </w:p>
    <w:p>
      <w:pPr>
        <w:pStyle w:val="56"/>
        <w:ind w:firstLine="420"/>
        <w:rPr>
          <w:rFonts w:ascii="宋体" w:hAnsi="宋体"/>
        </w:rPr>
      </w:pPr>
      <w:r>
        <w:rPr>
          <w:rFonts w:hint="eastAsia" w:ascii="宋体" w:hAnsi="宋体"/>
        </w:rPr>
        <w:t>1.3工程自然条件</w:t>
      </w:r>
    </w:p>
    <w:p>
      <w:pPr>
        <w:pStyle w:val="56"/>
        <w:ind w:firstLine="420"/>
        <w:rPr>
          <w:rFonts w:ascii="宋体" w:hAnsi="宋体"/>
        </w:rPr>
      </w:pPr>
      <w:r>
        <w:rPr>
          <w:rFonts w:hint="eastAsia" w:ascii="宋体" w:hAnsi="宋体"/>
        </w:rPr>
        <w:t>1.3.1气象特征</w:t>
      </w:r>
    </w:p>
    <w:p>
      <w:pPr>
        <w:pStyle w:val="56"/>
        <w:ind w:firstLine="420"/>
        <w:rPr>
          <w:rFonts w:ascii="宋体" w:hAnsi="宋体"/>
        </w:rPr>
      </w:pPr>
      <w:r>
        <w:rPr>
          <w:rFonts w:hint="eastAsia" w:ascii="宋体" w:hAnsi="宋体"/>
        </w:rPr>
        <w:t>1.3.2工程地质</w:t>
      </w:r>
    </w:p>
    <w:p>
      <w:pPr>
        <w:pStyle w:val="56"/>
        <w:ind w:firstLine="420"/>
        <w:rPr>
          <w:rFonts w:ascii="宋体" w:hAnsi="宋体"/>
        </w:rPr>
      </w:pPr>
      <w:r>
        <w:rPr>
          <w:rFonts w:hint="eastAsia" w:ascii="宋体" w:hAnsi="宋体"/>
        </w:rPr>
        <w:t>1.3.3工程地质评价</w:t>
      </w:r>
    </w:p>
    <w:p>
      <w:pPr>
        <w:pStyle w:val="56"/>
        <w:ind w:firstLine="420"/>
        <w:rPr>
          <w:rFonts w:ascii="宋体" w:hAnsi="宋体"/>
        </w:rPr>
      </w:pPr>
      <w:r>
        <w:rPr>
          <w:rFonts w:hint="eastAsia" w:ascii="宋体" w:hAnsi="宋体"/>
        </w:rPr>
        <w:t>1.3.4水库特征水位</w:t>
      </w:r>
    </w:p>
    <w:p>
      <w:pPr>
        <w:pStyle w:val="56"/>
        <w:ind w:firstLine="420"/>
        <w:rPr>
          <w:rFonts w:ascii="宋体" w:hAnsi="宋体"/>
        </w:rPr>
      </w:pPr>
      <w:r>
        <w:rPr>
          <w:rFonts w:hint="eastAsia" w:ascii="宋体" w:hAnsi="宋体"/>
        </w:rPr>
        <w:t>1.4岩塞形状尺寸</w:t>
      </w:r>
    </w:p>
    <w:p>
      <w:pPr>
        <w:pStyle w:val="56"/>
        <w:ind w:firstLine="420"/>
        <w:rPr>
          <w:rFonts w:ascii="宋体" w:hAnsi="宋体"/>
        </w:rPr>
      </w:pPr>
      <w:r>
        <w:rPr>
          <w:rFonts w:hint="eastAsia" w:ascii="宋体" w:hAnsi="宋体"/>
        </w:rPr>
        <w:t>1.4.1进口段洞轴线</w:t>
      </w:r>
    </w:p>
    <w:p>
      <w:pPr>
        <w:pStyle w:val="56"/>
        <w:ind w:firstLine="420"/>
        <w:rPr>
          <w:rFonts w:ascii="宋体" w:hAnsi="宋体"/>
        </w:rPr>
      </w:pPr>
      <w:r>
        <w:rPr>
          <w:rFonts w:hint="eastAsia" w:ascii="宋体" w:hAnsi="宋体"/>
        </w:rPr>
        <w:t>1.4.2岩塞进口高程</w:t>
      </w:r>
    </w:p>
    <w:p>
      <w:pPr>
        <w:pStyle w:val="56"/>
        <w:ind w:firstLine="420"/>
        <w:rPr>
          <w:rFonts w:ascii="宋体" w:hAnsi="宋体"/>
        </w:rPr>
      </w:pPr>
      <w:r>
        <w:rPr>
          <w:rFonts w:hint="eastAsia" w:ascii="宋体" w:hAnsi="宋体"/>
        </w:rPr>
        <w:t>1.4.3岩塞体尺寸和厚度</w:t>
      </w:r>
    </w:p>
    <w:p>
      <w:pPr>
        <w:pStyle w:val="56"/>
        <w:ind w:firstLine="420"/>
        <w:rPr>
          <w:rFonts w:ascii="宋体" w:hAnsi="宋体"/>
        </w:rPr>
      </w:pPr>
      <w:r>
        <w:rPr>
          <w:rFonts w:hint="eastAsia" w:ascii="宋体" w:hAnsi="宋体"/>
        </w:rPr>
        <w:t>1.5工程施工条件</w:t>
      </w:r>
    </w:p>
    <w:p>
      <w:pPr>
        <w:pStyle w:val="56"/>
        <w:ind w:firstLine="420"/>
        <w:rPr>
          <w:rFonts w:ascii="宋体" w:hAnsi="宋体"/>
        </w:rPr>
      </w:pPr>
      <w:r>
        <w:rPr>
          <w:rFonts w:hint="eastAsia" w:ascii="宋体" w:hAnsi="宋体"/>
        </w:rPr>
        <w:t>1.6工作范围</w:t>
      </w:r>
    </w:p>
    <w:p>
      <w:pPr>
        <w:pStyle w:val="56"/>
        <w:ind w:firstLine="420"/>
        <w:rPr>
          <w:rFonts w:ascii="宋体" w:hAnsi="宋体"/>
        </w:rPr>
      </w:pPr>
      <w:r>
        <w:rPr>
          <w:rFonts w:hint="eastAsia" w:ascii="宋体" w:hAnsi="宋体"/>
        </w:rPr>
        <w:t>1.7适用的规程规范及标准</w:t>
      </w:r>
    </w:p>
    <w:p>
      <w:pPr>
        <w:pStyle w:val="56"/>
        <w:ind w:firstLine="422"/>
        <w:rPr>
          <w:rFonts w:ascii="宋体" w:hAnsi="宋体"/>
          <w:b/>
        </w:rPr>
      </w:pPr>
      <w:r>
        <w:rPr>
          <w:rFonts w:hint="eastAsia" w:ascii="宋体" w:hAnsi="宋体"/>
          <w:b/>
        </w:rPr>
        <w:t>第2章  施工规划</w:t>
      </w:r>
    </w:p>
    <w:p>
      <w:pPr>
        <w:pStyle w:val="56"/>
        <w:ind w:firstLine="420"/>
        <w:rPr>
          <w:rFonts w:ascii="宋体" w:hAnsi="宋体"/>
        </w:rPr>
      </w:pPr>
      <w:r>
        <w:rPr>
          <w:rFonts w:hint="eastAsia" w:ascii="宋体" w:hAnsi="宋体"/>
        </w:rPr>
        <w:t>2.1施工总体目标</w:t>
      </w:r>
    </w:p>
    <w:p>
      <w:pPr>
        <w:pStyle w:val="56"/>
        <w:ind w:firstLine="420"/>
        <w:rPr>
          <w:rFonts w:ascii="宋体" w:hAnsi="宋体"/>
        </w:rPr>
      </w:pPr>
      <w:r>
        <w:rPr>
          <w:rFonts w:hint="eastAsia" w:ascii="宋体" w:hAnsi="宋体"/>
        </w:rPr>
        <w:t>2.2施工难点、重点及主要措施</w:t>
      </w:r>
    </w:p>
    <w:p>
      <w:pPr>
        <w:pStyle w:val="56"/>
        <w:ind w:firstLine="420"/>
        <w:rPr>
          <w:rFonts w:ascii="宋体" w:hAnsi="宋体"/>
        </w:rPr>
      </w:pPr>
      <w:r>
        <w:rPr>
          <w:rFonts w:hint="eastAsia" w:ascii="宋体" w:hAnsi="宋体"/>
        </w:rPr>
        <w:t>2.3总体施工程序</w:t>
      </w:r>
    </w:p>
    <w:p>
      <w:pPr>
        <w:pStyle w:val="56"/>
        <w:ind w:firstLine="422"/>
        <w:rPr>
          <w:rFonts w:ascii="宋体" w:hAnsi="宋体"/>
          <w:b/>
        </w:rPr>
      </w:pPr>
      <w:r>
        <w:rPr>
          <w:rFonts w:hint="eastAsia" w:ascii="宋体" w:hAnsi="宋体"/>
          <w:b/>
        </w:rPr>
        <w:t>第3章  施工布置</w:t>
      </w:r>
    </w:p>
    <w:p>
      <w:pPr>
        <w:pStyle w:val="56"/>
        <w:ind w:firstLine="420"/>
        <w:rPr>
          <w:rFonts w:ascii="宋体" w:hAnsi="宋体"/>
        </w:rPr>
      </w:pPr>
      <w:r>
        <w:rPr>
          <w:rFonts w:hint="eastAsia" w:ascii="宋体" w:hAnsi="宋体"/>
        </w:rPr>
        <w:t>3.1取水口施工平面图</w:t>
      </w:r>
    </w:p>
    <w:p>
      <w:pPr>
        <w:pStyle w:val="56"/>
        <w:ind w:firstLine="420"/>
        <w:rPr>
          <w:rFonts w:ascii="宋体" w:hAnsi="宋体"/>
        </w:rPr>
      </w:pPr>
      <w:r>
        <w:rPr>
          <w:rFonts w:hint="eastAsia" w:ascii="宋体" w:hAnsi="宋体"/>
        </w:rPr>
        <w:t>3.2施工交通</w:t>
      </w:r>
    </w:p>
    <w:p>
      <w:pPr>
        <w:pStyle w:val="56"/>
        <w:ind w:firstLine="420"/>
        <w:rPr>
          <w:rFonts w:ascii="宋体" w:hAnsi="宋体"/>
        </w:rPr>
      </w:pPr>
      <w:r>
        <w:rPr>
          <w:rFonts w:hint="eastAsia" w:ascii="宋体" w:hAnsi="宋体"/>
        </w:rPr>
        <w:t>3.3施工通讯</w:t>
      </w:r>
    </w:p>
    <w:p>
      <w:pPr>
        <w:pStyle w:val="56"/>
        <w:ind w:firstLine="420"/>
        <w:rPr>
          <w:rFonts w:ascii="宋体" w:hAnsi="宋体"/>
        </w:rPr>
      </w:pPr>
      <w:r>
        <w:rPr>
          <w:rFonts w:hint="eastAsia" w:ascii="宋体" w:hAnsi="宋体"/>
        </w:rPr>
        <w:t>3.4施工用风、用水、用电布置</w:t>
      </w:r>
    </w:p>
    <w:p>
      <w:pPr>
        <w:pStyle w:val="56"/>
        <w:ind w:firstLine="420"/>
        <w:rPr>
          <w:rFonts w:ascii="宋体" w:hAnsi="宋体"/>
        </w:rPr>
      </w:pPr>
      <w:r>
        <w:rPr>
          <w:rFonts w:hint="eastAsia" w:ascii="宋体" w:hAnsi="宋体"/>
        </w:rPr>
        <w:t>3.5施工通风、排水</w:t>
      </w:r>
    </w:p>
    <w:p>
      <w:pPr>
        <w:pStyle w:val="56"/>
        <w:ind w:firstLine="422"/>
        <w:rPr>
          <w:rFonts w:ascii="宋体" w:hAnsi="宋体"/>
          <w:b/>
        </w:rPr>
      </w:pPr>
      <w:r>
        <w:rPr>
          <w:rFonts w:hint="eastAsia" w:ascii="宋体" w:hAnsi="宋体"/>
          <w:b/>
        </w:rPr>
        <w:t>第4章  施工管理组织</w:t>
      </w:r>
    </w:p>
    <w:p>
      <w:pPr>
        <w:pStyle w:val="56"/>
        <w:ind w:firstLine="420"/>
        <w:rPr>
          <w:rFonts w:ascii="宋体" w:hAnsi="宋体"/>
        </w:rPr>
      </w:pPr>
      <w:r>
        <w:rPr>
          <w:rFonts w:hint="eastAsia" w:ascii="宋体" w:hAnsi="宋体"/>
        </w:rPr>
        <w:t>4.1施工组织机构</w:t>
      </w:r>
    </w:p>
    <w:p>
      <w:pPr>
        <w:pStyle w:val="56"/>
        <w:ind w:firstLine="420"/>
        <w:rPr>
          <w:rFonts w:ascii="宋体" w:hAnsi="宋体"/>
        </w:rPr>
      </w:pPr>
      <w:r>
        <w:rPr>
          <w:rFonts w:hint="eastAsia" w:ascii="宋体" w:hAnsi="宋体"/>
        </w:rPr>
        <w:t>4.2项目管理职责</w:t>
      </w:r>
    </w:p>
    <w:p>
      <w:pPr>
        <w:pStyle w:val="56"/>
        <w:ind w:firstLine="420"/>
        <w:rPr>
          <w:rFonts w:ascii="宋体" w:hAnsi="宋体"/>
        </w:rPr>
      </w:pPr>
      <w:r>
        <w:rPr>
          <w:rFonts w:hint="eastAsia" w:ascii="宋体" w:hAnsi="宋体"/>
        </w:rPr>
        <w:t>4.3主要作业班组职责</w:t>
      </w:r>
    </w:p>
    <w:p>
      <w:pPr>
        <w:pStyle w:val="56"/>
        <w:ind w:firstLine="422"/>
        <w:rPr>
          <w:rFonts w:ascii="宋体" w:hAnsi="宋体"/>
          <w:b/>
        </w:rPr>
      </w:pPr>
      <w:r>
        <w:rPr>
          <w:rFonts w:hint="eastAsia" w:ascii="宋体" w:hAnsi="宋体"/>
          <w:b/>
        </w:rPr>
        <w:t>第5章  施工进度计划</w:t>
      </w:r>
    </w:p>
    <w:p>
      <w:pPr>
        <w:pStyle w:val="56"/>
        <w:ind w:firstLine="420"/>
        <w:rPr>
          <w:rFonts w:ascii="宋体" w:hAnsi="宋体"/>
        </w:rPr>
      </w:pPr>
      <w:r>
        <w:rPr>
          <w:rFonts w:hint="eastAsia" w:ascii="宋体" w:hAnsi="宋体"/>
        </w:rPr>
        <w:t>5.1施工计划</w:t>
      </w:r>
    </w:p>
    <w:p>
      <w:pPr>
        <w:pStyle w:val="56"/>
        <w:ind w:firstLine="420"/>
        <w:rPr>
          <w:rFonts w:ascii="宋体" w:hAnsi="宋体"/>
        </w:rPr>
      </w:pPr>
      <w:r>
        <w:rPr>
          <w:rFonts w:hint="eastAsia" w:ascii="宋体" w:hAnsi="宋体"/>
        </w:rPr>
        <w:t>5.2施工关键线路</w:t>
      </w:r>
    </w:p>
    <w:p>
      <w:pPr>
        <w:pStyle w:val="56"/>
        <w:ind w:firstLine="420"/>
        <w:rPr>
          <w:rFonts w:ascii="宋体" w:hAnsi="宋体"/>
        </w:rPr>
      </w:pPr>
      <w:r>
        <w:rPr>
          <w:rFonts w:hint="eastAsia" w:ascii="宋体" w:hAnsi="宋体"/>
        </w:rPr>
        <w:t>5.3主要项目施工进度及强度分析</w:t>
      </w:r>
    </w:p>
    <w:p>
      <w:pPr>
        <w:pStyle w:val="56"/>
        <w:ind w:firstLine="420"/>
        <w:rPr>
          <w:rFonts w:ascii="宋体" w:hAnsi="宋体"/>
        </w:rPr>
      </w:pPr>
      <w:r>
        <w:rPr>
          <w:rFonts w:hint="eastAsia" w:ascii="宋体" w:hAnsi="宋体"/>
        </w:rPr>
        <w:t>5.4工期保证措施</w:t>
      </w:r>
    </w:p>
    <w:p>
      <w:pPr>
        <w:pStyle w:val="56"/>
        <w:ind w:firstLine="420"/>
        <w:rPr>
          <w:rFonts w:ascii="宋体" w:hAnsi="宋体"/>
        </w:rPr>
      </w:pPr>
      <w:r>
        <w:rPr>
          <w:rFonts w:hint="eastAsia" w:ascii="宋体" w:hAnsi="宋体"/>
        </w:rPr>
        <w:t>5.4.1 施工组织保证措施</w:t>
      </w:r>
    </w:p>
    <w:p>
      <w:pPr>
        <w:pStyle w:val="56"/>
        <w:ind w:firstLine="420"/>
        <w:rPr>
          <w:rFonts w:ascii="宋体" w:hAnsi="宋体"/>
        </w:rPr>
      </w:pPr>
      <w:r>
        <w:rPr>
          <w:rFonts w:hint="eastAsia" w:ascii="宋体" w:hAnsi="宋体"/>
        </w:rPr>
        <w:t>5.4.2 管理保证措施</w:t>
      </w:r>
    </w:p>
    <w:p>
      <w:pPr>
        <w:pStyle w:val="56"/>
        <w:ind w:firstLine="420"/>
        <w:rPr>
          <w:rFonts w:ascii="宋体" w:hAnsi="宋体"/>
        </w:rPr>
      </w:pPr>
      <w:r>
        <w:rPr>
          <w:rFonts w:hint="eastAsia" w:ascii="宋体" w:hAnsi="宋体"/>
        </w:rPr>
        <w:t>5.4.3 技术保证措施</w:t>
      </w:r>
    </w:p>
    <w:p>
      <w:pPr>
        <w:pStyle w:val="56"/>
        <w:ind w:firstLine="422"/>
        <w:rPr>
          <w:rFonts w:ascii="宋体" w:hAnsi="宋体"/>
          <w:b/>
        </w:rPr>
      </w:pPr>
      <w:r>
        <w:rPr>
          <w:rFonts w:hint="eastAsia" w:ascii="宋体" w:hAnsi="宋体"/>
          <w:b/>
        </w:rPr>
        <w:t>第6章  现场生产性试验</w:t>
      </w:r>
    </w:p>
    <w:p>
      <w:pPr>
        <w:pStyle w:val="56"/>
        <w:ind w:firstLine="420"/>
        <w:rPr>
          <w:rFonts w:ascii="宋体" w:hAnsi="宋体"/>
        </w:rPr>
      </w:pPr>
      <w:r>
        <w:rPr>
          <w:rFonts w:hint="eastAsia" w:ascii="宋体" w:hAnsi="宋体"/>
        </w:rPr>
        <w:t>6.1试验目的和内容</w:t>
      </w:r>
    </w:p>
    <w:p>
      <w:pPr>
        <w:pStyle w:val="56"/>
        <w:ind w:firstLine="420"/>
        <w:rPr>
          <w:rFonts w:ascii="宋体" w:hAnsi="宋体"/>
        </w:rPr>
      </w:pPr>
      <w:r>
        <w:rPr>
          <w:rFonts w:hint="eastAsia" w:ascii="宋体" w:hAnsi="宋体"/>
        </w:rPr>
        <w:t>6.1.1研究试验目的</w:t>
      </w:r>
    </w:p>
    <w:p>
      <w:pPr>
        <w:pStyle w:val="56"/>
        <w:ind w:firstLine="420"/>
        <w:rPr>
          <w:rFonts w:ascii="宋体" w:hAnsi="宋体"/>
        </w:rPr>
      </w:pPr>
      <w:r>
        <w:rPr>
          <w:rFonts w:hint="eastAsia" w:ascii="宋体" w:hAnsi="宋体"/>
        </w:rPr>
        <w:t>6.1.2研究实验内容</w:t>
      </w:r>
    </w:p>
    <w:p>
      <w:pPr>
        <w:pStyle w:val="56"/>
        <w:ind w:firstLine="420"/>
        <w:rPr>
          <w:rFonts w:ascii="宋体" w:hAnsi="宋体"/>
        </w:rPr>
      </w:pPr>
      <w:r>
        <w:rPr>
          <w:rFonts w:hint="eastAsia" w:ascii="宋体" w:hAnsi="宋体"/>
        </w:rPr>
        <w:t>6.2试验方法</w:t>
      </w:r>
    </w:p>
    <w:p>
      <w:pPr>
        <w:pStyle w:val="56"/>
        <w:ind w:firstLine="420"/>
        <w:rPr>
          <w:rFonts w:ascii="宋体" w:hAnsi="宋体"/>
        </w:rPr>
      </w:pPr>
      <w:r>
        <w:rPr>
          <w:rFonts w:hint="eastAsia" w:ascii="宋体" w:hAnsi="宋体"/>
        </w:rPr>
        <w:t>6.3试验成果应用</w:t>
      </w:r>
    </w:p>
    <w:p>
      <w:pPr>
        <w:pStyle w:val="56"/>
        <w:ind w:firstLine="420"/>
        <w:rPr>
          <w:rFonts w:ascii="宋体" w:hAnsi="宋体"/>
        </w:rPr>
      </w:pPr>
      <w:r>
        <w:rPr>
          <w:rFonts w:hint="eastAsia" w:ascii="宋体" w:hAnsi="宋体"/>
        </w:rPr>
        <w:t>6.4 岩塞爆破器材的性能指标检验与抗水性试验</w:t>
      </w:r>
    </w:p>
    <w:p>
      <w:pPr>
        <w:pStyle w:val="56"/>
        <w:ind w:firstLine="420"/>
        <w:rPr>
          <w:rFonts w:ascii="宋体" w:hAnsi="宋体"/>
        </w:rPr>
      </w:pPr>
      <w:r>
        <w:rPr>
          <w:rFonts w:hint="eastAsia" w:ascii="宋体" w:hAnsi="宋体"/>
        </w:rPr>
        <w:t>6.4.1岩塞爆破器材质量要求</w:t>
      </w:r>
    </w:p>
    <w:p>
      <w:pPr>
        <w:pStyle w:val="56"/>
        <w:ind w:firstLine="420"/>
        <w:rPr>
          <w:rFonts w:ascii="宋体" w:hAnsi="宋体"/>
        </w:rPr>
      </w:pPr>
      <w:r>
        <w:rPr>
          <w:rFonts w:hint="eastAsia" w:ascii="宋体" w:hAnsi="宋体"/>
        </w:rPr>
        <w:t>6.4.2 岩塞爆破器材质量检测</w:t>
      </w:r>
    </w:p>
    <w:p>
      <w:pPr>
        <w:pStyle w:val="56"/>
        <w:ind w:firstLine="420"/>
        <w:rPr>
          <w:rFonts w:ascii="宋体" w:hAnsi="宋体"/>
        </w:rPr>
      </w:pPr>
      <w:r>
        <w:rPr>
          <w:rFonts w:hint="eastAsia" w:ascii="宋体" w:hAnsi="宋体"/>
        </w:rPr>
        <w:t>6.4.3起爆网路模拟试验</w:t>
      </w:r>
    </w:p>
    <w:p>
      <w:pPr>
        <w:pStyle w:val="56"/>
        <w:ind w:firstLine="422"/>
        <w:rPr>
          <w:rFonts w:ascii="宋体" w:hAnsi="宋体"/>
          <w:b/>
        </w:rPr>
      </w:pPr>
      <w:r>
        <w:rPr>
          <w:rFonts w:hint="eastAsia" w:ascii="宋体" w:hAnsi="宋体"/>
          <w:b/>
        </w:rPr>
        <w:t>第7章  岩塞爆破方案设计</w:t>
      </w:r>
    </w:p>
    <w:p>
      <w:pPr>
        <w:pStyle w:val="56"/>
        <w:ind w:firstLine="420"/>
        <w:rPr>
          <w:rFonts w:ascii="宋体" w:hAnsi="宋体"/>
        </w:rPr>
      </w:pPr>
      <w:r>
        <w:rPr>
          <w:rFonts w:hint="eastAsia" w:ascii="宋体" w:hAnsi="宋体"/>
        </w:rPr>
        <w:t>7.1岩塞形状尺寸</w:t>
      </w:r>
    </w:p>
    <w:p>
      <w:pPr>
        <w:pStyle w:val="56"/>
        <w:ind w:firstLine="420"/>
        <w:rPr>
          <w:rFonts w:ascii="宋体" w:hAnsi="宋体"/>
        </w:rPr>
      </w:pPr>
      <w:r>
        <w:rPr>
          <w:rFonts w:hint="eastAsia" w:ascii="宋体" w:hAnsi="宋体"/>
        </w:rPr>
        <w:t>7.2工程地质评价</w:t>
      </w:r>
    </w:p>
    <w:p>
      <w:pPr>
        <w:pStyle w:val="56"/>
        <w:ind w:firstLine="420"/>
        <w:rPr>
          <w:rFonts w:ascii="宋体" w:hAnsi="宋体"/>
        </w:rPr>
      </w:pPr>
      <w:r>
        <w:rPr>
          <w:rFonts w:hint="eastAsia" w:ascii="宋体" w:hAnsi="宋体"/>
        </w:rPr>
        <w:t>7.2.1工程地质</w:t>
      </w:r>
    </w:p>
    <w:p>
      <w:pPr>
        <w:pStyle w:val="56"/>
        <w:ind w:firstLine="420"/>
        <w:rPr>
          <w:rFonts w:ascii="宋体" w:hAnsi="宋体"/>
        </w:rPr>
      </w:pPr>
      <w:r>
        <w:rPr>
          <w:rFonts w:hint="eastAsia" w:ascii="宋体" w:hAnsi="宋体"/>
        </w:rPr>
        <w:t>7.2.2工程地质评价</w:t>
      </w:r>
    </w:p>
    <w:p>
      <w:pPr>
        <w:pStyle w:val="56"/>
        <w:ind w:firstLine="420"/>
        <w:rPr>
          <w:rFonts w:ascii="宋体" w:hAnsi="宋体"/>
        </w:rPr>
      </w:pPr>
      <w:r>
        <w:rPr>
          <w:rFonts w:hint="eastAsia" w:ascii="宋体" w:hAnsi="宋体"/>
        </w:rPr>
        <w:t>7.3岩塞爆破设计依据和原则</w:t>
      </w:r>
    </w:p>
    <w:p>
      <w:pPr>
        <w:pStyle w:val="56"/>
        <w:ind w:firstLine="420"/>
        <w:rPr>
          <w:rFonts w:ascii="宋体" w:hAnsi="宋体"/>
        </w:rPr>
      </w:pPr>
      <w:r>
        <w:rPr>
          <w:rFonts w:hint="eastAsia" w:ascii="宋体" w:hAnsi="宋体"/>
        </w:rPr>
        <w:t>7.3.1设计依据</w:t>
      </w:r>
    </w:p>
    <w:p>
      <w:pPr>
        <w:pStyle w:val="56"/>
        <w:ind w:firstLine="420"/>
        <w:rPr>
          <w:rFonts w:ascii="宋体" w:hAnsi="宋体"/>
        </w:rPr>
      </w:pPr>
      <w:r>
        <w:rPr>
          <w:rFonts w:hint="eastAsia" w:ascii="宋体" w:hAnsi="宋体"/>
        </w:rPr>
        <w:t>7.3.2 设计原则</w:t>
      </w:r>
    </w:p>
    <w:p>
      <w:pPr>
        <w:pStyle w:val="56"/>
        <w:ind w:firstLine="420"/>
        <w:rPr>
          <w:rFonts w:ascii="宋体" w:hAnsi="宋体"/>
        </w:rPr>
      </w:pPr>
      <w:r>
        <w:rPr>
          <w:rFonts w:hint="eastAsia" w:ascii="宋体" w:hAnsi="宋体"/>
        </w:rPr>
        <w:t>7.4岩塞爆破方案</w:t>
      </w:r>
    </w:p>
    <w:p>
      <w:pPr>
        <w:pStyle w:val="56"/>
        <w:ind w:firstLine="420"/>
        <w:rPr>
          <w:rFonts w:ascii="宋体" w:hAnsi="宋体"/>
        </w:rPr>
      </w:pPr>
      <w:r>
        <w:rPr>
          <w:rFonts w:hint="eastAsia" w:ascii="宋体" w:hAnsi="宋体"/>
        </w:rPr>
        <w:t>7.5岩塞爆破参数设计</w:t>
      </w:r>
    </w:p>
    <w:p>
      <w:pPr>
        <w:pStyle w:val="56"/>
        <w:ind w:firstLine="420"/>
        <w:rPr>
          <w:rFonts w:ascii="宋体" w:hAnsi="宋体"/>
        </w:rPr>
      </w:pPr>
      <w:r>
        <w:rPr>
          <w:rFonts w:hint="eastAsia" w:ascii="宋体" w:hAnsi="宋体"/>
        </w:rPr>
        <w:t>7.5.1基本技术参数选择</w:t>
      </w:r>
    </w:p>
    <w:p>
      <w:pPr>
        <w:pStyle w:val="56"/>
        <w:ind w:firstLine="420"/>
        <w:rPr>
          <w:rFonts w:ascii="宋体" w:hAnsi="宋体"/>
        </w:rPr>
      </w:pPr>
      <w:r>
        <w:rPr>
          <w:rFonts w:hint="eastAsia" w:ascii="宋体" w:hAnsi="宋体"/>
        </w:rPr>
        <w:t>7.5.2 炮孔布置</w:t>
      </w:r>
    </w:p>
    <w:p>
      <w:pPr>
        <w:pStyle w:val="56"/>
        <w:ind w:firstLine="420"/>
        <w:rPr>
          <w:rFonts w:ascii="宋体" w:hAnsi="宋体"/>
        </w:rPr>
      </w:pPr>
      <w:r>
        <w:rPr>
          <w:rFonts w:hint="eastAsia" w:ascii="宋体" w:hAnsi="宋体"/>
        </w:rPr>
        <w:t>7.5.3装药结构设计</w:t>
      </w:r>
    </w:p>
    <w:p>
      <w:pPr>
        <w:pStyle w:val="56"/>
        <w:ind w:firstLine="420"/>
        <w:rPr>
          <w:rFonts w:ascii="宋体" w:hAnsi="宋体"/>
        </w:rPr>
      </w:pPr>
      <w:r>
        <w:rPr>
          <w:rFonts w:hint="eastAsia" w:ascii="宋体" w:hAnsi="宋体"/>
        </w:rPr>
        <w:t>7.6岩塞爆破起爆网路</w:t>
      </w:r>
    </w:p>
    <w:p>
      <w:pPr>
        <w:pStyle w:val="56"/>
        <w:ind w:firstLine="420"/>
        <w:rPr>
          <w:rFonts w:ascii="宋体" w:hAnsi="宋体"/>
        </w:rPr>
      </w:pPr>
      <w:r>
        <w:rPr>
          <w:rFonts w:hint="eastAsia" w:ascii="宋体" w:hAnsi="宋体"/>
        </w:rPr>
        <w:t>7.6.1起爆网路设计原则</w:t>
      </w:r>
    </w:p>
    <w:p>
      <w:pPr>
        <w:pStyle w:val="56"/>
        <w:ind w:firstLine="420"/>
        <w:rPr>
          <w:rFonts w:ascii="宋体" w:hAnsi="宋体"/>
        </w:rPr>
      </w:pPr>
      <w:r>
        <w:rPr>
          <w:rFonts w:hint="eastAsia" w:ascii="宋体" w:hAnsi="宋体"/>
        </w:rPr>
        <w:t>7.6.2高精度导爆管复式起爆系统设计</w:t>
      </w:r>
    </w:p>
    <w:p>
      <w:pPr>
        <w:pStyle w:val="56"/>
        <w:ind w:firstLine="420"/>
        <w:rPr>
          <w:rFonts w:ascii="宋体" w:hAnsi="宋体"/>
        </w:rPr>
      </w:pPr>
      <w:r>
        <w:rPr>
          <w:rFonts w:hint="eastAsia" w:ascii="宋体" w:hAnsi="宋体"/>
        </w:rPr>
        <w:t>7.6.3电子雷管复式起爆系统设计</w:t>
      </w:r>
    </w:p>
    <w:p>
      <w:pPr>
        <w:pStyle w:val="56"/>
        <w:ind w:firstLine="420"/>
        <w:rPr>
          <w:rFonts w:ascii="宋体" w:hAnsi="宋体"/>
        </w:rPr>
      </w:pPr>
      <w:r>
        <w:rPr>
          <w:rFonts w:hint="eastAsia" w:ascii="宋体" w:hAnsi="宋体"/>
        </w:rPr>
        <w:t>7.6.4 高精度非电+电子雷管复复式起爆网路设计</w:t>
      </w:r>
    </w:p>
    <w:p>
      <w:pPr>
        <w:pStyle w:val="56"/>
        <w:ind w:firstLine="420"/>
        <w:rPr>
          <w:rFonts w:ascii="宋体" w:hAnsi="宋体"/>
        </w:rPr>
      </w:pPr>
      <w:r>
        <w:rPr>
          <w:rFonts w:hint="eastAsia" w:ascii="宋体" w:hAnsi="宋体"/>
        </w:rPr>
        <w:t>7.6.5 总起爆网路设计</w:t>
      </w:r>
    </w:p>
    <w:p>
      <w:pPr>
        <w:pStyle w:val="56"/>
        <w:ind w:firstLine="420"/>
        <w:rPr>
          <w:rFonts w:ascii="宋体" w:hAnsi="宋体"/>
        </w:rPr>
      </w:pPr>
      <w:r>
        <w:rPr>
          <w:rFonts w:hint="eastAsia" w:ascii="宋体" w:hAnsi="宋体"/>
        </w:rPr>
        <w:t>7.6.6网路连接和保护</w:t>
      </w:r>
    </w:p>
    <w:p>
      <w:pPr>
        <w:pStyle w:val="56"/>
        <w:ind w:firstLine="420"/>
        <w:rPr>
          <w:rFonts w:ascii="宋体" w:hAnsi="宋体"/>
        </w:rPr>
      </w:pPr>
      <w:r>
        <w:rPr>
          <w:rFonts w:hint="eastAsia" w:ascii="宋体" w:hAnsi="宋体"/>
        </w:rPr>
        <w:t>7.7爆破器材用量及采购</w:t>
      </w:r>
    </w:p>
    <w:p>
      <w:pPr>
        <w:pStyle w:val="56"/>
        <w:ind w:firstLine="420"/>
        <w:rPr>
          <w:rFonts w:ascii="宋体" w:hAnsi="宋体"/>
        </w:rPr>
      </w:pPr>
      <w:r>
        <w:rPr>
          <w:rFonts w:hint="eastAsia" w:ascii="宋体" w:hAnsi="宋体"/>
        </w:rPr>
        <w:t>7.8爆破安全校核</w:t>
      </w:r>
    </w:p>
    <w:p>
      <w:pPr>
        <w:pStyle w:val="56"/>
        <w:ind w:firstLine="420"/>
        <w:rPr>
          <w:rFonts w:ascii="宋体" w:hAnsi="宋体"/>
        </w:rPr>
      </w:pPr>
      <w:r>
        <w:rPr>
          <w:rFonts w:hint="eastAsia" w:ascii="宋体" w:hAnsi="宋体"/>
        </w:rPr>
        <w:t>7.8.1 边坡</w:t>
      </w:r>
    </w:p>
    <w:p>
      <w:pPr>
        <w:pStyle w:val="56"/>
        <w:ind w:firstLine="420"/>
        <w:rPr>
          <w:rFonts w:ascii="宋体" w:hAnsi="宋体"/>
        </w:rPr>
      </w:pPr>
      <w:r>
        <w:rPr>
          <w:rFonts w:hint="eastAsia" w:ascii="宋体" w:hAnsi="宋体"/>
        </w:rPr>
        <w:t>7.8.2 锁口段、集渣坑及连接段</w:t>
      </w:r>
    </w:p>
    <w:p>
      <w:pPr>
        <w:pStyle w:val="56"/>
        <w:ind w:firstLine="420"/>
        <w:rPr>
          <w:rFonts w:ascii="宋体" w:hAnsi="宋体"/>
        </w:rPr>
      </w:pPr>
      <w:r>
        <w:rPr>
          <w:rFonts w:hint="eastAsia" w:ascii="宋体" w:hAnsi="宋体"/>
        </w:rPr>
        <w:t>7.8.3 闸门及检修竖井</w:t>
      </w:r>
    </w:p>
    <w:p>
      <w:pPr>
        <w:pStyle w:val="56"/>
        <w:ind w:firstLine="420"/>
        <w:rPr>
          <w:rFonts w:ascii="宋体" w:hAnsi="宋体"/>
        </w:rPr>
      </w:pPr>
      <w:r>
        <w:rPr>
          <w:rFonts w:hint="eastAsia" w:ascii="宋体" w:hAnsi="宋体"/>
        </w:rPr>
        <w:t>7.8.4 安全防护措施</w:t>
      </w:r>
    </w:p>
    <w:p>
      <w:pPr>
        <w:pStyle w:val="56"/>
        <w:ind w:firstLine="420"/>
        <w:rPr>
          <w:rFonts w:ascii="宋体" w:hAnsi="宋体"/>
        </w:rPr>
      </w:pPr>
      <w:r>
        <w:rPr>
          <w:rFonts w:hint="eastAsia" w:ascii="宋体" w:hAnsi="宋体"/>
        </w:rPr>
        <w:t>7.9 小结</w:t>
      </w:r>
    </w:p>
    <w:p>
      <w:pPr>
        <w:pStyle w:val="56"/>
        <w:ind w:firstLine="422"/>
        <w:rPr>
          <w:rFonts w:ascii="宋体" w:hAnsi="宋体"/>
          <w:b/>
        </w:rPr>
      </w:pPr>
      <w:r>
        <w:rPr>
          <w:rFonts w:hint="eastAsia" w:ascii="宋体" w:hAnsi="宋体"/>
          <w:b/>
        </w:rPr>
        <w:t>第8章  分项工程施工方案</w:t>
      </w:r>
    </w:p>
    <w:p>
      <w:pPr>
        <w:pStyle w:val="56"/>
        <w:ind w:firstLine="420"/>
        <w:rPr>
          <w:rFonts w:ascii="宋体" w:hAnsi="宋体"/>
        </w:rPr>
      </w:pPr>
      <w:r>
        <w:rPr>
          <w:rFonts w:hint="eastAsia" w:ascii="宋体" w:hAnsi="宋体"/>
        </w:rPr>
        <w:t>8.1 作业平台及聚渣坑交通栈道</w:t>
      </w:r>
    </w:p>
    <w:p>
      <w:pPr>
        <w:pStyle w:val="56"/>
        <w:ind w:firstLine="420"/>
        <w:rPr>
          <w:rFonts w:ascii="宋体" w:hAnsi="宋体"/>
        </w:rPr>
      </w:pPr>
      <w:r>
        <w:rPr>
          <w:rFonts w:hint="eastAsia" w:ascii="宋体" w:hAnsi="宋体"/>
        </w:rPr>
        <w:t>8.2 竖井通风孔升降机安装及拆除</w:t>
      </w:r>
    </w:p>
    <w:p>
      <w:pPr>
        <w:pStyle w:val="56"/>
        <w:ind w:firstLine="420"/>
        <w:rPr>
          <w:rFonts w:ascii="宋体" w:hAnsi="宋体"/>
        </w:rPr>
      </w:pPr>
      <w:r>
        <w:rPr>
          <w:rFonts w:hint="eastAsia" w:ascii="宋体" w:hAnsi="宋体"/>
        </w:rPr>
        <w:t>8.3 岩塞口灌浆及围岩加固施工</w:t>
      </w:r>
    </w:p>
    <w:p>
      <w:pPr>
        <w:pStyle w:val="56"/>
        <w:ind w:firstLine="420"/>
        <w:rPr>
          <w:rFonts w:ascii="宋体" w:hAnsi="宋体"/>
        </w:rPr>
      </w:pPr>
      <w:r>
        <w:rPr>
          <w:rFonts w:hint="eastAsia" w:ascii="宋体" w:hAnsi="宋体"/>
        </w:rPr>
        <w:t>8.3.1 岩塞口及围岩情况和加固要求</w:t>
      </w:r>
    </w:p>
    <w:p>
      <w:pPr>
        <w:pStyle w:val="56"/>
        <w:ind w:firstLine="420"/>
        <w:rPr>
          <w:rFonts w:ascii="宋体" w:hAnsi="宋体"/>
        </w:rPr>
      </w:pPr>
      <w:r>
        <w:rPr>
          <w:rFonts w:hint="eastAsia" w:ascii="宋体" w:hAnsi="宋体"/>
        </w:rPr>
        <w:t>8.3.2 岩塞口及围岩灌浆加固施工</w:t>
      </w:r>
    </w:p>
    <w:p>
      <w:pPr>
        <w:pStyle w:val="56"/>
        <w:ind w:firstLine="420"/>
        <w:rPr>
          <w:rFonts w:ascii="宋体" w:hAnsi="宋体"/>
        </w:rPr>
      </w:pPr>
      <w:r>
        <w:rPr>
          <w:rFonts w:hint="eastAsia" w:ascii="宋体" w:hAnsi="宋体"/>
        </w:rPr>
        <w:t>8.3.3 围岩锚杆加固施工</w:t>
      </w:r>
    </w:p>
    <w:p>
      <w:pPr>
        <w:pStyle w:val="56"/>
        <w:ind w:firstLine="420"/>
        <w:rPr>
          <w:rFonts w:ascii="宋体" w:hAnsi="宋体"/>
        </w:rPr>
      </w:pPr>
      <w:r>
        <w:rPr>
          <w:rFonts w:hint="eastAsia" w:ascii="宋体" w:hAnsi="宋体"/>
        </w:rPr>
        <w:t>8.3.4 岩塞体迎水面上部堆渣的清理</w:t>
      </w:r>
    </w:p>
    <w:p>
      <w:pPr>
        <w:pStyle w:val="56"/>
        <w:ind w:firstLine="420"/>
        <w:rPr>
          <w:rFonts w:ascii="宋体" w:hAnsi="宋体"/>
        </w:rPr>
      </w:pPr>
      <w:r>
        <w:rPr>
          <w:rFonts w:hint="eastAsia" w:ascii="宋体" w:hAnsi="宋体"/>
        </w:rPr>
        <w:t>8.4混凝土堵头施工及拆除</w:t>
      </w:r>
    </w:p>
    <w:p>
      <w:pPr>
        <w:pStyle w:val="56"/>
        <w:ind w:firstLine="420"/>
        <w:rPr>
          <w:rFonts w:ascii="宋体" w:hAnsi="宋体"/>
        </w:rPr>
      </w:pPr>
      <w:r>
        <w:rPr>
          <w:rFonts w:hint="eastAsia" w:ascii="宋体" w:hAnsi="宋体"/>
        </w:rPr>
        <w:t>8.5岩塞爆破火工材料准备</w:t>
      </w:r>
    </w:p>
    <w:p>
      <w:pPr>
        <w:pStyle w:val="56"/>
        <w:ind w:firstLine="420"/>
        <w:rPr>
          <w:rFonts w:ascii="宋体" w:hAnsi="宋体"/>
        </w:rPr>
      </w:pPr>
      <w:r>
        <w:rPr>
          <w:rFonts w:hint="eastAsia" w:ascii="宋体" w:hAnsi="宋体"/>
        </w:rPr>
        <w:t>8.6岩塞体钻孔</w:t>
      </w:r>
    </w:p>
    <w:p>
      <w:pPr>
        <w:pStyle w:val="56"/>
        <w:ind w:firstLine="420"/>
        <w:rPr>
          <w:rFonts w:ascii="宋体" w:hAnsi="宋体"/>
        </w:rPr>
      </w:pPr>
      <w:r>
        <w:rPr>
          <w:rFonts w:hint="eastAsia" w:ascii="宋体" w:hAnsi="宋体"/>
        </w:rPr>
        <w:t>8.6.1 工艺流程</w:t>
      </w:r>
    </w:p>
    <w:p>
      <w:pPr>
        <w:pStyle w:val="56"/>
        <w:ind w:firstLine="420"/>
        <w:rPr>
          <w:rFonts w:ascii="宋体" w:hAnsi="宋体"/>
        </w:rPr>
      </w:pPr>
      <w:r>
        <w:rPr>
          <w:rFonts w:hint="eastAsia" w:ascii="宋体" w:hAnsi="宋体"/>
        </w:rPr>
        <w:t>8.6.2 测量放样</w:t>
      </w:r>
    </w:p>
    <w:p>
      <w:pPr>
        <w:pStyle w:val="56"/>
        <w:ind w:firstLine="420"/>
        <w:rPr>
          <w:rFonts w:ascii="宋体" w:hAnsi="宋体"/>
        </w:rPr>
      </w:pPr>
      <w:r>
        <w:rPr>
          <w:rFonts w:hint="eastAsia" w:ascii="宋体" w:hAnsi="宋体"/>
        </w:rPr>
        <w:t>8.6.3 钻孔</w:t>
      </w:r>
    </w:p>
    <w:p>
      <w:pPr>
        <w:pStyle w:val="56"/>
        <w:ind w:firstLine="420"/>
        <w:rPr>
          <w:rFonts w:ascii="宋体" w:hAnsi="宋体"/>
        </w:rPr>
      </w:pPr>
      <w:r>
        <w:rPr>
          <w:rFonts w:hint="eastAsia" w:ascii="宋体" w:hAnsi="宋体"/>
        </w:rPr>
        <w:t>8.6.4 后视样架布设</w:t>
      </w:r>
    </w:p>
    <w:p>
      <w:pPr>
        <w:pStyle w:val="56"/>
        <w:ind w:firstLine="420"/>
        <w:rPr>
          <w:rFonts w:ascii="宋体" w:hAnsi="宋体"/>
        </w:rPr>
      </w:pPr>
      <w:r>
        <w:rPr>
          <w:rFonts w:hint="eastAsia" w:ascii="宋体" w:hAnsi="宋体"/>
        </w:rPr>
        <w:t>8.6.5 装药及堵塞施工注意事项</w:t>
      </w:r>
    </w:p>
    <w:p>
      <w:pPr>
        <w:pStyle w:val="56"/>
        <w:ind w:firstLine="420"/>
        <w:rPr>
          <w:rFonts w:ascii="宋体" w:hAnsi="宋体"/>
        </w:rPr>
      </w:pPr>
      <w:r>
        <w:rPr>
          <w:rFonts w:hint="eastAsia" w:ascii="宋体" w:hAnsi="宋体"/>
        </w:rPr>
        <w:t>8.7爆破前充水加压方案</w:t>
      </w:r>
    </w:p>
    <w:p>
      <w:pPr>
        <w:pStyle w:val="56"/>
        <w:ind w:firstLine="420"/>
        <w:rPr>
          <w:rFonts w:ascii="宋体" w:hAnsi="宋体"/>
        </w:rPr>
      </w:pPr>
      <w:r>
        <w:rPr>
          <w:rFonts w:hint="eastAsia" w:ascii="宋体" w:hAnsi="宋体"/>
        </w:rPr>
        <w:t>8.8闸门井及其附属设施防护措施</w:t>
      </w:r>
    </w:p>
    <w:p>
      <w:pPr>
        <w:pStyle w:val="56"/>
        <w:ind w:firstLine="420"/>
        <w:rPr>
          <w:rFonts w:ascii="宋体" w:hAnsi="宋体"/>
        </w:rPr>
      </w:pPr>
      <w:r>
        <w:rPr>
          <w:rFonts w:hint="eastAsia" w:ascii="宋体" w:hAnsi="宋体"/>
        </w:rPr>
        <w:t>8.9爆破的信息收集及视频调试</w:t>
      </w:r>
    </w:p>
    <w:p>
      <w:pPr>
        <w:pStyle w:val="56"/>
        <w:ind w:firstLine="420"/>
        <w:rPr>
          <w:rFonts w:ascii="宋体" w:hAnsi="宋体"/>
        </w:rPr>
      </w:pPr>
      <w:r>
        <w:rPr>
          <w:rFonts w:hint="eastAsia" w:ascii="宋体" w:hAnsi="宋体"/>
        </w:rPr>
        <w:t>8.9.1 堆渣测量</w:t>
      </w:r>
    </w:p>
    <w:p>
      <w:pPr>
        <w:pStyle w:val="56"/>
        <w:ind w:firstLine="420"/>
        <w:rPr>
          <w:rFonts w:ascii="宋体" w:hAnsi="宋体"/>
        </w:rPr>
      </w:pPr>
      <w:r>
        <w:rPr>
          <w:rFonts w:hint="eastAsia" w:ascii="宋体" w:hAnsi="宋体"/>
        </w:rPr>
        <w:t>8.9.2 爆破影像</w:t>
      </w:r>
    </w:p>
    <w:p>
      <w:pPr>
        <w:pStyle w:val="56"/>
        <w:ind w:firstLine="420"/>
        <w:rPr>
          <w:rFonts w:ascii="宋体" w:hAnsi="宋体"/>
        </w:rPr>
      </w:pPr>
      <w:r>
        <w:rPr>
          <w:rFonts w:hint="eastAsia" w:ascii="宋体" w:hAnsi="宋体"/>
        </w:rPr>
        <w:t>8.9.3 调试监控设备</w:t>
      </w:r>
    </w:p>
    <w:p>
      <w:pPr>
        <w:pStyle w:val="56"/>
        <w:ind w:firstLine="420"/>
        <w:rPr>
          <w:rFonts w:ascii="宋体" w:hAnsi="宋体"/>
        </w:rPr>
      </w:pPr>
      <w:r>
        <w:rPr>
          <w:rFonts w:hint="eastAsia" w:ascii="宋体" w:hAnsi="宋体"/>
        </w:rPr>
        <w:t>8.10爆破后的检查与处理</w:t>
      </w:r>
    </w:p>
    <w:p>
      <w:pPr>
        <w:pStyle w:val="56"/>
        <w:ind w:firstLine="422"/>
        <w:rPr>
          <w:rFonts w:ascii="宋体" w:hAnsi="宋体"/>
          <w:b/>
        </w:rPr>
      </w:pPr>
      <w:r>
        <w:rPr>
          <w:rFonts w:hint="eastAsia" w:ascii="宋体" w:hAnsi="宋体"/>
          <w:b/>
        </w:rPr>
        <w:t>第9章  岩塞爆破安全监测</w:t>
      </w:r>
    </w:p>
    <w:p>
      <w:pPr>
        <w:pStyle w:val="56"/>
        <w:ind w:firstLine="420"/>
        <w:rPr>
          <w:rFonts w:ascii="宋体" w:hAnsi="宋体"/>
        </w:rPr>
      </w:pPr>
      <w:r>
        <w:rPr>
          <w:rFonts w:hint="eastAsia" w:ascii="宋体" w:hAnsi="宋体"/>
        </w:rPr>
        <w:t>9.1 爆破安全监测设计</w:t>
      </w:r>
    </w:p>
    <w:p>
      <w:pPr>
        <w:pStyle w:val="56"/>
        <w:ind w:firstLine="420"/>
        <w:rPr>
          <w:rFonts w:ascii="宋体" w:hAnsi="宋体"/>
        </w:rPr>
      </w:pPr>
      <w:r>
        <w:rPr>
          <w:rFonts w:hint="eastAsia" w:ascii="宋体" w:hAnsi="宋体"/>
        </w:rPr>
        <w:t>9.1.1设计原则</w:t>
      </w:r>
    </w:p>
    <w:p>
      <w:pPr>
        <w:pStyle w:val="56"/>
        <w:ind w:firstLine="420"/>
        <w:rPr>
          <w:rFonts w:ascii="宋体" w:hAnsi="宋体"/>
        </w:rPr>
      </w:pPr>
      <w:r>
        <w:rPr>
          <w:rFonts w:hint="eastAsia" w:ascii="宋体" w:hAnsi="宋体"/>
        </w:rPr>
        <w:t>9.1.2设计依据</w:t>
      </w:r>
    </w:p>
    <w:p>
      <w:pPr>
        <w:pStyle w:val="56"/>
        <w:ind w:firstLine="420"/>
        <w:rPr>
          <w:rFonts w:ascii="宋体" w:hAnsi="宋体"/>
        </w:rPr>
      </w:pPr>
      <w:r>
        <w:rPr>
          <w:rFonts w:hint="eastAsia" w:ascii="宋体" w:hAnsi="宋体"/>
        </w:rPr>
        <w:t>9.1.3 爆破安全监测项目的选择</w:t>
      </w:r>
    </w:p>
    <w:p>
      <w:pPr>
        <w:pStyle w:val="56"/>
        <w:ind w:firstLine="420"/>
        <w:rPr>
          <w:rFonts w:ascii="宋体" w:hAnsi="宋体"/>
        </w:rPr>
      </w:pPr>
      <w:r>
        <w:rPr>
          <w:rFonts w:hint="eastAsia" w:ascii="宋体" w:hAnsi="宋体"/>
        </w:rPr>
        <w:t>9.2 宏观调查及人工巡视</w:t>
      </w:r>
    </w:p>
    <w:p>
      <w:pPr>
        <w:pStyle w:val="56"/>
        <w:ind w:firstLine="420"/>
        <w:rPr>
          <w:rFonts w:ascii="宋体" w:hAnsi="宋体"/>
        </w:rPr>
      </w:pPr>
      <w:r>
        <w:rPr>
          <w:rFonts w:hint="eastAsia" w:ascii="宋体" w:hAnsi="宋体"/>
        </w:rPr>
        <w:t>9.2.1调查与巡视工作内容</w:t>
      </w:r>
    </w:p>
    <w:p>
      <w:pPr>
        <w:pStyle w:val="56"/>
        <w:ind w:firstLine="420"/>
        <w:rPr>
          <w:rFonts w:ascii="宋体" w:hAnsi="宋体"/>
        </w:rPr>
      </w:pPr>
      <w:r>
        <w:rPr>
          <w:rFonts w:hint="eastAsia" w:ascii="宋体" w:hAnsi="宋体"/>
        </w:rPr>
        <w:t>9.2.2 宏观调查和人工巡视要求及方法</w:t>
      </w:r>
    </w:p>
    <w:p>
      <w:pPr>
        <w:pStyle w:val="56"/>
        <w:ind w:firstLine="420"/>
        <w:rPr>
          <w:rFonts w:ascii="宋体" w:hAnsi="宋体"/>
        </w:rPr>
      </w:pPr>
      <w:r>
        <w:rPr>
          <w:rFonts w:hint="eastAsia" w:ascii="宋体" w:hAnsi="宋体"/>
        </w:rPr>
        <w:t>9.2.3 评估防护目标受爆破影响程度</w:t>
      </w:r>
    </w:p>
    <w:p>
      <w:pPr>
        <w:pStyle w:val="56"/>
        <w:ind w:firstLine="420"/>
        <w:rPr>
          <w:rFonts w:ascii="宋体" w:hAnsi="宋体"/>
        </w:rPr>
      </w:pPr>
      <w:r>
        <w:rPr>
          <w:rFonts w:hint="eastAsia" w:ascii="宋体" w:hAnsi="宋体"/>
        </w:rPr>
        <w:t>9.3 爆破质点振动监测</w:t>
      </w:r>
    </w:p>
    <w:p>
      <w:pPr>
        <w:pStyle w:val="56"/>
        <w:ind w:firstLine="420"/>
        <w:rPr>
          <w:rFonts w:ascii="宋体" w:hAnsi="宋体"/>
        </w:rPr>
      </w:pPr>
      <w:r>
        <w:rPr>
          <w:rFonts w:hint="eastAsia" w:ascii="宋体" w:hAnsi="宋体"/>
        </w:rPr>
        <w:t>9.3.1 测点布置</w:t>
      </w:r>
    </w:p>
    <w:p>
      <w:pPr>
        <w:pStyle w:val="56"/>
        <w:ind w:firstLine="420"/>
        <w:rPr>
          <w:rFonts w:ascii="宋体" w:hAnsi="宋体"/>
        </w:rPr>
      </w:pPr>
      <w:r>
        <w:rPr>
          <w:rFonts w:hint="eastAsia" w:ascii="宋体" w:hAnsi="宋体"/>
        </w:rPr>
        <w:t>9.3.2 仪器设备指标</w:t>
      </w:r>
    </w:p>
    <w:p>
      <w:pPr>
        <w:pStyle w:val="56"/>
        <w:ind w:firstLine="420"/>
        <w:rPr>
          <w:rFonts w:ascii="宋体" w:hAnsi="宋体"/>
        </w:rPr>
      </w:pPr>
      <w:r>
        <w:rPr>
          <w:rFonts w:hint="eastAsia" w:ascii="宋体" w:hAnsi="宋体"/>
        </w:rPr>
        <w:t>9.3.3 测试成果</w:t>
      </w:r>
    </w:p>
    <w:p>
      <w:pPr>
        <w:pStyle w:val="56"/>
        <w:ind w:firstLine="420"/>
        <w:rPr>
          <w:rFonts w:ascii="宋体" w:hAnsi="宋体"/>
        </w:rPr>
      </w:pPr>
      <w:r>
        <w:rPr>
          <w:rFonts w:hint="eastAsia" w:ascii="宋体" w:hAnsi="宋体"/>
        </w:rPr>
        <w:t>9.4 水中冲击波压力监测</w:t>
      </w:r>
    </w:p>
    <w:p>
      <w:pPr>
        <w:pStyle w:val="56"/>
        <w:ind w:firstLine="420"/>
        <w:rPr>
          <w:rFonts w:ascii="宋体" w:hAnsi="宋体"/>
        </w:rPr>
      </w:pPr>
      <w:r>
        <w:rPr>
          <w:rFonts w:hint="eastAsia" w:ascii="宋体" w:hAnsi="宋体"/>
        </w:rPr>
        <w:t>9.4.1 测点布置</w:t>
      </w:r>
    </w:p>
    <w:p>
      <w:pPr>
        <w:pStyle w:val="56"/>
        <w:ind w:firstLine="420"/>
        <w:rPr>
          <w:rFonts w:ascii="宋体" w:hAnsi="宋体"/>
        </w:rPr>
      </w:pPr>
      <w:r>
        <w:rPr>
          <w:rFonts w:hint="eastAsia" w:ascii="宋体" w:hAnsi="宋体"/>
        </w:rPr>
        <w:t>9.4.2 仪器设备指标</w:t>
      </w:r>
    </w:p>
    <w:p>
      <w:pPr>
        <w:pStyle w:val="56"/>
        <w:ind w:firstLine="420"/>
        <w:rPr>
          <w:rFonts w:ascii="宋体" w:hAnsi="宋体"/>
        </w:rPr>
      </w:pPr>
      <w:r>
        <w:rPr>
          <w:rFonts w:hint="eastAsia" w:ascii="宋体" w:hAnsi="宋体"/>
        </w:rPr>
        <w:t>9.4.3 测试成果</w:t>
      </w:r>
    </w:p>
    <w:p>
      <w:pPr>
        <w:pStyle w:val="56"/>
        <w:ind w:firstLine="420"/>
        <w:rPr>
          <w:rFonts w:ascii="宋体" w:hAnsi="宋体"/>
        </w:rPr>
      </w:pPr>
      <w:r>
        <w:rPr>
          <w:rFonts w:hint="eastAsia" w:ascii="宋体" w:hAnsi="宋体"/>
        </w:rPr>
        <w:t>9.5 洞内压力监测</w:t>
      </w:r>
    </w:p>
    <w:p>
      <w:pPr>
        <w:pStyle w:val="56"/>
        <w:ind w:firstLine="420"/>
        <w:rPr>
          <w:rFonts w:ascii="宋体" w:hAnsi="宋体"/>
        </w:rPr>
      </w:pPr>
      <w:r>
        <w:rPr>
          <w:rFonts w:hint="eastAsia" w:ascii="宋体" w:hAnsi="宋体"/>
        </w:rPr>
        <w:t>9.5.1 测点布置</w:t>
      </w:r>
    </w:p>
    <w:p>
      <w:pPr>
        <w:pStyle w:val="56"/>
        <w:ind w:firstLine="420"/>
        <w:rPr>
          <w:rFonts w:ascii="宋体" w:hAnsi="宋体"/>
        </w:rPr>
      </w:pPr>
      <w:r>
        <w:rPr>
          <w:rFonts w:hint="eastAsia" w:ascii="宋体" w:hAnsi="宋体"/>
        </w:rPr>
        <w:t>9.5.2 仪器设备安装要求</w:t>
      </w:r>
    </w:p>
    <w:p>
      <w:pPr>
        <w:pStyle w:val="56"/>
        <w:ind w:firstLine="420"/>
        <w:rPr>
          <w:rFonts w:ascii="宋体" w:hAnsi="宋体"/>
        </w:rPr>
      </w:pPr>
      <w:r>
        <w:rPr>
          <w:rFonts w:hint="eastAsia" w:ascii="宋体" w:hAnsi="宋体"/>
        </w:rPr>
        <w:t>9.5.3 测试成果</w:t>
      </w:r>
    </w:p>
    <w:p>
      <w:pPr>
        <w:pStyle w:val="56"/>
        <w:ind w:firstLine="420"/>
        <w:rPr>
          <w:rFonts w:ascii="宋体" w:hAnsi="宋体"/>
        </w:rPr>
      </w:pPr>
      <w:r>
        <w:rPr>
          <w:rFonts w:hint="eastAsia" w:ascii="宋体" w:hAnsi="宋体"/>
        </w:rPr>
        <w:t>9.6 顶拱衬砌应力应变测量</w:t>
      </w:r>
    </w:p>
    <w:p>
      <w:pPr>
        <w:pStyle w:val="56"/>
        <w:ind w:firstLine="420"/>
        <w:rPr>
          <w:rFonts w:ascii="宋体" w:hAnsi="宋体"/>
        </w:rPr>
      </w:pPr>
      <w:r>
        <w:rPr>
          <w:rFonts w:hint="eastAsia" w:ascii="宋体" w:hAnsi="宋体"/>
        </w:rPr>
        <w:t>9.6.1 测点布置</w:t>
      </w:r>
    </w:p>
    <w:p>
      <w:pPr>
        <w:pStyle w:val="56"/>
        <w:ind w:firstLine="420"/>
        <w:rPr>
          <w:rFonts w:ascii="宋体" w:hAnsi="宋体"/>
        </w:rPr>
      </w:pPr>
      <w:r>
        <w:rPr>
          <w:rFonts w:hint="eastAsia" w:ascii="宋体" w:hAnsi="宋体"/>
        </w:rPr>
        <w:t>9.6.2 仪器设备指标</w:t>
      </w:r>
    </w:p>
    <w:p>
      <w:pPr>
        <w:pStyle w:val="56"/>
        <w:ind w:firstLine="420"/>
        <w:rPr>
          <w:rFonts w:ascii="宋体" w:hAnsi="宋体"/>
        </w:rPr>
      </w:pPr>
      <w:r>
        <w:rPr>
          <w:rFonts w:hint="eastAsia" w:ascii="宋体" w:hAnsi="宋体"/>
        </w:rPr>
        <w:t>9.6.3 测试成果</w:t>
      </w:r>
    </w:p>
    <w:p>
      <w:pPr>
        <w:pStyle w:val="56"/>
        <w:ind w:firstLine="420"/>
        <w:rPr>
          <w:rFonts w:ascii="宋体" w:hAnsi="宋体"/>
        </w:rPr>
      </w:pPr>
      <w:r>
        <w:rPr>
          <w:rFonts w:hint="eastAsia" w:ascii="宋体" w:hAnsi="宋体"/>
        </w:rPr>
        <w:t>9.7 水面运动现象观测</w:t>
      </w:r>
    </w:p>
    <w:p>
      <w:pPr>
        <w:pStyle w:val="56"/>
        <w:ind w:firstLine="420"/>
        <w:rPr>
          <w:rFonts w:ascii="宋体" w:hAnsi="宋体"/>
        </w:rPr>
      </w:pPr>
      <w:r>
        <w:rPr>
          <w:rFonts w:hint="eastAsia" w:ascii="宋体" w:hAnsi="宋体"/>
        </w:rPr>
        <w:t>9.7.1 测点布置</w:t>
      </w:r>
    </w:p>
    <w:p>
      <w:pPr>
        <w:pStyle w:val="56"/>
        <w:ind w:firstLine="420"/>
        <w:rPr>
          <w:rFonts w:ascii="宋体" w:hAnsi="宋体"/>
        </w:rPr>
      </w:pPr>
      <w:r>
        <w:rPr>
          <w:rFonts w:hint="eastAsia" w:ascii="宋体" w:hAnsi="宋体"/>
        </w:rPr>
        <w:t>9.7.2 观测要求</w:t>
      </w:r>
    </w:p>
    <w:p>
      <w:pPr>
        <w:pStyle w:val="56"/>
        <w:ind w:firstLine="420"/>
        <w:rPr>
          <w:rFonts w:ascii="宋体" w:hAnsi="宋体"/>
        </w:rPr>
      </w:pPr>
      <w:r>
        <w:rPr>
          <w:rFonts w:hint="eastAsia" w:ascii="宋体" w:hAnsi="宋体"/>
        </w:rPr>
        <w:t>9.7.3 测试成果</w:t>
      </w:r>
    </w:p>
    <w:p>
      <w:pPr>
        <w:pStyle w:val="56"/>
        <w:ind w:firstLine="420"/>
        <w:rPr>
          <w:rFonts w:ascii="宋体" w:hAnsi="宋体"/>
        </w:rPr>
      </w:pPr>
      <w:r>
        <w:rPr>
          <w:rFonts w:hint="eastAsia" w:ascii="宋体" w:hAnsi="宋体"/>
        </w:rPr>
        <w:t>9.8 小结</w:t>
      </w:r>
    </w:p>
    <w:p>
      <w:pPr>
        <w:pStyle w:val="56"/>
        <w:ind w:firstLine="420"/>
        <w:rPr>
          <w:rFonts w:ascii="宋体" w:hAnsi="宋体"/>
        </w:rPr>
      </w:pPr>
      <w:r>
        <w:rPr>
          <w:rFonts w:hint="eastAsia" w:ascii="宋体" w:hAnsi="宋体"/>
        </w:rPr>
        <w:t>9.9 岩塞爆破施工期安全监测设备仪器清单</w:t>
      </w:r>
    </w:p>
    <w:p>
      <w:pPr>
        <w:pStyle w:val="56"/>
        <w:ind w:firstLine="422"/>
        <w:rPr>
          <w:rFonts w:ascii="宋体" w:hAnsi="宋体"/>
          <w:b/>
        </w:rPr>
      </w:pPr>
      <w:r>
        <w:rPr>
          <w:rFonts w:hint="eastAsia" w:ascii="宋体" w:hAnsi="宋体"/>
          <w:b/>
        </w:rPr>
        <w:t>第10章  防洪度汛及特殊气候施工措施</w:t>
      </w:r>
    </w:p>
    <w:p>
      <w:pPr>
        <w:pStyle w:val="56"/>
        <w:ind w:firstLine="422"/>
        <w:rPr>
          <w:rFonts w:ascii="宋体" w:hAnsi="宋体"/>
          <w:b/>
        </w:rPr>
      </w:pPr>
      <w:r>
        <w:rPr>
          <w:rFonts w:hint="eastAsia" w:ascii="宋体" w:hAnsi="宋体"/>
          <w:b/>
        </w:rPr>
        <w:t>第11章  资源配置计划</w:t>
      </w:r>
    </w:p>
    <w:p>
      <w:pPr>
        <w:pStyle w:val="56"/>
        <w:ind w:firstLine="420"/>
        <w:rPr>
          <w:rFonts w:ascii="宋体" w:hAnsi="宋体"/>
        </w:rPr>
      </w:pPr>
      <w:r>
        <w:rPr>
          <w:rFonts w:hint="eastAsia" w:ascii="宋体" w:hAnsi="宋体"/>
        </w:rPr>
        <w:t>11.1主要材料需求计划</w:t>
      </w:r>
    </w:p>
    <w:p>
      <w:pPr>
        <w:pStyle w:val="56"/>
        <w:ind w:firstLine="420"/>
        <w:rPr>
          <w:rFonts w:ascii="宋体" w:hAnsi="宋体"/>
        </w:rPr>
      </w:pPr>
      <w:r>
        <w:rPr>
          <w:rFonts w:hint="eastAsia" w:ascii="宋体" w:hAnsi="宋体"/>
        </w:rPr>
        <w:t>11.2主要施工机械设备配置计划</w:t>
      </w:r>
    </w:p>
    <w:p>
      <w:pPr>
        <w:pStyle w:val="56"/>
        <w:ind w:firstLine="420"/>
        <w:rPr>
          <w:rFonts w:ascii="宋体" w:hAnsi="宋体"/>
        </w:rPr>
      </w:pPr>
      <w:r>
        <w:rPr>
          <w:rFonts w:hint="eastAsia" w:ascii="宋体" w:hAnsi="宋体"/>
        </w:rPr>
        <w:t>11.3劳动力配置计划</w:t>
      </w:r>
    </w:p>
    <w:p>
      <w:pPr>
        <w:pStyle w:val="56"/>
        <w:ind w:firstLine="420"/>
        <w:rPr>
          <w:rFonts w:ascii="宋体" w:hAnsi="宋体"/>
        </w:rPr>
      </w:pPr>
      <w:r>
        <w:rPr>
          <w:rFonts w:hint="eastAsia" w:ascii="宋体" w:hAnsi="宋体"/>
        </w:rPr>
        <w:t>11.4 特种作业人员岗位职责</w:t>
      </w:r>
    </w:p>
    <w:p>
      <w:pPr>
        <w:pStyle w:val="56"/>
        <w:ind w:firstLine="422"/>
        <w:rPr>
          <w:rFonts w:ascii="宋体" w:hAnsi="宋体"/>
          <w:b/>
        </w:rPr>
      </w:pPr>
      <w:r>
        <w:rPr>
          <w:rFonts w:hint="eastAsia" w:ascii="宋体" w:hAnsi="宋体"/>
          <w:b/>
        </w:rPr>
        <w:t>第12章  职业健康安全保障措施</w:t>
      </w:r>
    </w:p>
    <w:p>
      <w:pPr>
        <w:pStyle w:val="56"/>
        <w:ind w:firstLine="420"/>
        <w:rPr>
          <w:rFonts w:ascii="宋体" w:hAnsi="宋体"/>
        </w:rPr>
      </w:pPr>
      <w:r>
        <w:rPr>
          <w:rFonts w:hint="eastAsia" w:ascii="宋体" w:hAnsi="宋体"/>
        </w:rPr>
        <w:t>12.1安全管理组织机构及安全保证体系</w:t>
      </w:r>
    </w:p>
    <w:p>
      <w:pPr>
        <w:pStyle w:val="56"/>
        <w:ind w:firstLine="420"/>
        <w:rPr>
          <w:rFonts w:ascii="宋体" w:hAnsi="宋体"/>
        </w:rPr>
      </w:pPr>
      <w:r>
        <w:rPr>
          <w:rFonts w:hint="eastAsia" w:ascii="宋体" w:hAnsi="宋体"/>
        </w:rPr>
        <w:t>12.1.1 安全管理组织机构</w:t>
      </w:r>
    </w:p>
    <w:p>
      <w:pPr>
        <w:pStyle w:val="56"/>
        <w:ind w:firstLine="420"/>
        <w:rPr>
          <w:rFonts w:ascii="宋体" w:hAnsi="宋体"/>
        </w:rPr>
      </w:pPr>
      <w:r>
        <w:rPr>
          <w:rFonts w:hint="eastAsia" w:ascii="宋体" w:hAnsi="宋体"/>
        </w:rPr>
        <w:t>12.1.2安全保证体系</w:t>
      </w:r>
    </w:p>
    <w:p>
      <w:pPr>
        <w:pStyle w:val="56"/>
        <w:ind w:firstLine="420"/>
        <w:rPr>
          <w:rFonts w:ascii="宋体" w:hAnsi="宋体"/>
        </w:rPr>
      </w:pPr>
      <w:r>
        <w:rPr>
          <w:rFonts w:hint="eastAsia" w:ascii="宋体" w:hAnsi="宋体"/>
        </w:rPr>
        <w:t>12.1.3 安全保证体系及相应人员的安全职责</w:t>
      </w:r>
    </w:p>
    <w:p>
      <w:pPr>
        <w:pStyle w:val="56"/>
        <w:ind w:firstLine="420"/>
        <w:rPr>
          <w:rFonts w:ascii="宋体" w:hAnsi="宋体"/>
        </w:rPr>
      </w:pPr>
      <w:r>
        <w:rPr>
          <w:rFonts w:hint="eastAsia" w:ascii="宋体" w:hAnsi="宋体"/>
        </w:rPr>
        <w:t>12.2危险源辨识及风险防控</w:t>
      </w:r>
    </w:p>
    <w:p>
      <w:pPr>
        <w:pStyle w:val="56"/>
        <w:ind w:firstLine="420"/>
        <w:rPr>
          <w:rFonts w:ascii="宋体" w:hAnsi="宋体"/>
        </w:rPr>
      </w:pPr>
      <w:r>
        <w:rPr>
          <w:rFonts w:hint="eastAsia" w:ascii="宋体" w:hAnsi="宋体"/>
        </w:rPr>
        <w:t>12.3钻爆作业施工安全技术措施</w:t>
      </w:r>
    </w:p>
    <w:p>
      <w:pPr>
        <w:pStyle w:val="56"/>
        <w:ind w:firstLine="420"/>
        <w:rPr>
          <w:rFonts w:ascii="宋体" w:hAnsi="宋体"/>
        </w:rPr>
      </w:pPr>
      <w:r>
        <w:rPr>
          <w:rFonts w:hint="eastAsia" w:ascii="宋体" w:hAnsi="宋体"/>
        </w:rPr>
        <w:t>12.4突涌水安全防护措施</w:t>
      </w:r>
    </w:p>
    <w:p>
      <w:pPr>
        <w:pStyle w:val="56"/>
        <w:ind w:firstLine="420"/>
        <w:rPr>
          <w:rFonts w:ascii="宋体" w:hAnsi="宋体"/>
        </w:rPr>
      </w:pPr>
      <w:r>
        <w:rPr>
          <w:rFonts w:hint="eastAsia" w:ascii="宋体" w:hAnsi="宋体"/>
        </w:rPr>
        <w:t>12.5高空作业安全措施</w:t>
      </w:r>
    </w:p>
    <w:p>
      <w:pPr>
        <w:pStyle w:val="56"/>
        <w:ind w:firstLine="420"/>
        <w:rPr>
          <w:rFonts w:ascii="宋体" w:hAnsi="宋体"/>
        </w:rPr>
      </w:pPr>
      <w:r>
        <w:rPr>
          <w:rFonts w:hint="eastAsia" w:ascii="宋体" w:hAnsi="宋体"/>
        </w:rPr>
        <w:t>12.6用电安全措施</w:t>
      </w:r>
    </w:p>
    <w:p>
      <w:pPr>
        <w:pStyle w:val="56"/>
        <w:ind w:firstLine="420"/>
        <w:rPr>
          <w:rFonts w:ascii="宋体" w:hAnsi="宋体"/>
        </w:rPr>
      </w:pPr>
      <w:r>
        <w:rPr>
          <w:rFonts w:hint="eastAsia" w:ascii="宋体" w:hAnsi="宋体"/>
        </w:rPr>
        <w:t>12.7爆破安全措施</w:t>
      </w:r>
    </w:p>
    <w:p>
      <w:pPr>
        <w:pStyle w:val="56"/>
        <w:ind w:firstLine="420"/>
        <w:rPr>
          <w:rFonts w:ascii="宋体" w:hAnsi="宋体"/>
        </w:rPr>
      </w:pPr>
      <w:r>
        <w:rPr>
          <w:rFonts w:hint="eastAsia" w:ascii="宋体" w:hAnsi="宋体"/>
        </w:rPr>
        <w:t>12.7.1爆破器材管理</w:t>
      </w:r>
    </w:p>
    <w:p>
      <w:pPr>
        <w:pStyle w:val="56"/>
        <w:ind w:firstLine="420"/>
        <w:rPr>
          <w:rFonts w:ascii="宋体" w:hAnsi="宋体"/>
        </w:rPr>
      </w:pPr>
      <w:r>
        <w:rPr>
          <w:rFonts w:hint="eastAsia" w:ascii="宋体" w:hAnsi="宋体"/>
        </w:rPr>
        <w:t>12.7.2爆破安全管理</w:t>
      </w:r>
    </w:p>
    <w:p>
      <w:pPr>
        <w:pStyle w:val="56"/>
        <w:ind w:firstLine="420"/>
        <w:rPr>
          <w:rFonts w:ascii="宋体" w:hAnsi="宋体"/>
        </w:rPr>
      </w:pPr>
      <w:r>
        <w:rPr>
          <w:rFonts w:hint="eastAsia" w:ascii="宋体" w:hAnsi="宋体"/>
        </w:rPr>
        <w:t>12.7.3爆破警戒范围</w:t>
      </w:r>
    </w:p>
    <w:p>
      <w:pPr>
        <w:pStyle w:val="56"/>
        <w:ind w:firstLine="420"/>
        <w:rPr>
          <w:rFonts w:ascii="宋体" w:hAnsi="宋体"/>
        </w:rPr>
      </w:pPr>
      <w:r>
        <w:rPr>
          <w:rFonts w:hint="eastAsia" w:ascii="宋体" w:hAnsi="宋体"/>
        </w:rPr>
        <w:t>12.7.5爆破时采取以下措施</w:t>
      </w:r>
    </w:p>
    <w:p>
      <w:pPr>
        <w:pStyle w:val="56"/>
        <w:ind w:firstLine="420"/>
        <w:rPr>
          <w:rFonts w:ascii="宋体" w:hAnsi="宋体"/>
        </w:rPr>
      </w:pPr>
      <w:r>
        <w:rPr>
          <w:rFonts w:hint="eastAsia" w:ascii="宋体" w:hAnsi="宋体"/>
        </w:rPr>
        <w:t>12.7.5爆破安全应急预案</w:t>
      </w:r>
    </w:p>
    <w:p>
      <w:pPr>
        <w:pStyle w:val="56"/>
        <w:ind w:firstLine="420"/>
        <w:rPr>
          <w:rFonts w:ascii="宋体" w:hAnsi="宋体"/>
        </w:rPr>
      </w:pPr>
      <w:r>
        <w:rPr>
          <w:rFonts w:hint="eastAsia" w:ascii="宋体" w:hAnsi="宋体"/>
        </w:rPr>
        <w:t>12.8机械作业安全措施</w:t>
      </w:r>
    </w:p>
    <w:p>
      <w:pPr>
        <w:pStyle w:val="56"/>
        <w:ind w:firstLine="420"/>
        <w:rPr>
          <w:rFonts w:ascii="宋体" w:hAnsi="宋体"/>
        </w:rPr>
      </w:pPr>
      <w:r>
        <w:rPr>
          <w:rFonts w:hint="eastAsia" w:ascii="宋体" w:hAnsi="宋体"/>
        </w:rPr>
        <w:t>12.9 灌浆安全措施</w:t>
      </w:r>
    </w:p>
    <w:p>
      <w:pPr>
        <w:pStyle w:val="56"/>
        <w:ind w:firstLine="420"/>
        <w:rPr>
          <w:rFonts w:ascii="宋体" w:hAnsi="宋体"/>
        </w:rPr>
      </w:pPr>
      <w:r>
        <w:rPr>
          <w:rFonts w:hint="eastAsia" w:ascii="宋体" w:hAnsi="宋体"/>
        </w:rPr>
        <w:t>12.9 潜水(水下)作业安全措施</w:t>
      </w:r>
    </w:p>
    <w:p>
      <w:pPr>
        <w:pStyle w:val="56"/>
        <w:ind w:firstLine="422"/>
        <w:rPr>
          <w:rFonts w:ascii="宋体" w:hAnsi="宋体"/>
          <w:b/>
        </w:rPr>
      </w:pPr>
      <w:r>
        <w:rPr>
          <w:rFonts w:hint="eastAsia" w:ascii="宋体" w:hAnsi="宋体"/>
          <w:b/>
        </w:rPr>
        <w:t>第13章  施工质量保障措施</w:t>
      </w:r>
    </w:p>
    <w:p>
      <w:pPr>
        <w:pStyle w:val="56"/>
        <w:ind w:firstLine="420"/>
        <w:rPr>
          <w:rFonts w:ascii="宋体" w:hAnsi="宋体"/>
        </w:rPr>
      </w:pPr>
      <w:r>
        <w:rPr>
          <w:rFonts w:hint="eastAsia" w:ascii="宋体" w:hAnsi="宋体"/>
        </w:rPr>
        <w:t>13.1 质量管理组织机构和人员</w:t>
      </w:r>
    </w:p>
    <w:p>
      <w:pPr>
        <w:pStyle w:val="56"/>
        <w:ind w:firstLine="420"/>
        <w:rPr>
          <w:rFonts w:ascii="宋体" w:hAnsi="宋体"/>
        </w:rPr>
      </w:pPr>
      <w:r>
        <w:rPr>
          <w:rFonts w:hint="eastAsia" w:ascii="宋体" w:hAnsi="宋体"/>
        </w:rPr>
        <w:t>13.1.1质量管理机构</w:t>
      </w:r>
    </w:p>
    <w:p>
      <w:pPr>
        <w:pStyle w:val="56"/>
        <w:ind w:firstLine="420"/>
        <w:rPr>
          <w:rFonts w:ascii="宋体" w:hAnsi="宋体"/>
        </w:rPr>
      </w:pPr>
      <w:r>
        <w:rPr>
          <w:rFonts w:hint="eastAsia" w:ascii="宋体" w:hAnsi="宋体"/>
        </w:rPr>
        <w:t>13.2 爆破施工质量保证措施</w:t>
      </w:r>
    </w:p>
    <w:p>
      <w:pPr>
        <w:pStyle w:val="56"/>
        <w:ind w:firstLine="420"/>
        <w:rPr>
          <w:rFonts w:ascii="宋体" w:hAnsi="宋体"/>
        </w:rPr>
      </w:pPr>
      <w:r>
        <w:rPr>
          <w:rFonts w:hint="eastAsia" w:ascii="宋体" w:hAnsi="宋体"/>
        </w:rPr>
        <w:t>13.2.1 岩塞体迎水面上部堆渣的清理</w:t>
      </w:r>
    </w:p>
    <w:p>
      <w:pPr>
        <w:pStyle w:val="56"/>
        <w:ind w:firstLine="420"/>
        <w:rPr>
          <w:rFonts w:ascii="宋体" w:hAnsi="宋体"/>
        </w:rPr>
      </w:pPr>
      <w:r>
        <w:rPr>
          <w:rFonts w:hint="eastAsia" w:ascii="宋体" w:hAnsi="宋体"/>
        </w:rPr>
        <w:t>13.2.2 地形复核</w:t>
      </w:r>
    </w:p>
    <w:p>
      <w:pPr>
        <w:pStyle w:val="56"/>
        <w:ind w:firstLine="420"/>
        <w:rPr>
          <w:rFonts w:ascii="宋体" w:hAnsi="宋体"/>
        </w:rPr>
      </w:pPr>
      <w:r>
        <w:rPr>
          <w:rFonts w:hint="eastAsia" w:ascii="宋体" w:hAnsi="宋体"/>
        </w:rPr>
        <w:t>13.3 施工过程质量控制</w:t>
      </w:r>
    </w:p>
    <w:p>
      <w:pPr>
        <w:pStyle w:val="56"/>
        <w:ind w:firstLine="420"/>
        <w:rPr>
          <w:rFonts w:ascii="宋体" w:hAnsi="宋体"/>
        </w:rPr>
      </w:pPr>
      <w:r>
        <w:rPr>
          <w:rFonts w:hint="eastAsia" w:ascii="宋体" w:hAnsi="宋体"/>
        </w:rPr>
        <w:t>13.3.1 施工准备工作</w:t>
      </w:r>
    </w:p>
    <w:p>
      <w:pPr>
        <w:pStyle w:val="56"/>
        <w:ind w:firstLine="420"/>
        <w:rPr>
          <w:rFonts w:ascii="宋体" w:hAnsi="宋体"/>
        </w:rPr>
      </w:pPr>
      <w:r>
        <w:rPr>
          <w:rFonts w:hint="eastAsia" w:ascii="宋体" w:hAnsi="宋体"/>
        </w:rPr>
        <w:t>13.3.2 钻孔技术要求及质量检查</w:t>
      </w:r>
    </w:p>
    <w:p>
      <w:pPr>
        <w:pStyle w:val="56"/>
        <w:ind w:firstLine="420"/>
        <w:rPr>
          <w:rFonts w:ascii="宋体" w:hAnsi="宋体"/>
        </w:rPr>
      </w:pPr>
      <w:r>
        <w:rPr>
          <w:rFonts w:hint="eastAsia" w:ascii="宋体" w:hAnsi="宋体"/>
        </w:rPr>
        <w:t>13.3.3 提高钻孔精度的主要措施</w:t>
      </w:r>
    </w:p>
    <w:p>
      <w:pPr>
        <w:pStyle w:val="56"/>
        <w:ind w:firstLine="420"/>
        <w:rPr>
          <w:rFonts w:ascii="宋体" w:hAnsi="宋体"/>
        </w:rPr>
      </w:pPr>
      <w:r>
        <w:rPr>
          <w:rFonts w:hint="eastAsia" w:ascii="宋体" w:hAnsi="宋体"/>
        </w:rPr>
        <w:t>13.3.4  装药和联网</w:t>
      </w:r>
    </w:p>
    <w:p>
      <w:pPr>
        <w:pStyle w:val="56"/>
        <w:ind w:firstLine="420"/>
        <w:rPr>
          <w:rFonts w:ascii="宋体" w:hAnsi="宋体"/>
        </w:rPr>
      </w:pPr>
      <w:r>
        <w:rPr>
          <w:rFonts w:hint="eastAsia" w:ascii="宋体" w:hAnsi="宋体"/>
        </w:rPr>
        <w:t>13.3.5 爆破施工</w:t>
      </w:r>
    </w:p>
    <w:p>
      <w:pPr>
        <w:pStyle w:val="56"/>
        <w:ind w:firstLine="422"/>
        <w:rPr>
          <w:rFonts w:ascii="宋体" w:hAnsi="宋体"/>
          <w:b/>
        </w:rPr>
      </w:pPr>
      <w:r>
        <w:rPr>
          <w:rFonts w:hint="eastAsia" w:ascii="宋体" w:hAnsi="宋体"/>
          <w:b/>
        </w:rPr>
        <w:t>第14章  文明施工与环境保护措施</w:t>
      </w:r>
    </w:p>
    <w:p>
      <w:pPr>
        <w:pStyle w:val="56"/>
        <w:ind w:firstLine="422"/>
        <w:rPr>
          <w:rFonts w:ascii="宋体" w:hAnsi="宋体"/>
          <w:b/>
        </w:rPr>
      </w:pPr>
      <w:r>
        <w:rPr>
          <w:rFonts w:hint="eastAsia" w:ascii="宋体" w:hAnsi="宋体"/>
          <w:b/>
        </w:rPr>
        <w:t>第15章  事故应急预案</w:t>
      </w:r>
    </w:p>
    <w:p>
      <w:pPr>
        <w:pStyle w:val="56"/>
        <w:ind w:firstLine="420"/>
        <w:rPr>
          <w:rFonts w:ascii="宋体" w:hAnsi="宋体"/>
        </w:rPr>
      </w:pPr>
      <w:r>
        <w:rPr>
          <w:rFonts w:hint="eastAsia" w:ascii="宋体" w:hAnsi="宋体"/>
        </w:rPr>
        <w:t>15.1事故应急组织机构与职责</w:t>
      </w:r>
    </w:p>
    <w:p>
      <w:pPr>
        <w:pStyle w:val="56"/>
        <w:ind w:firstLine="420"/>
        <w:rPr>
          <w:rFonts w:ascii="宋体" w:hAnsi="宋体"/>
        </w:rPr>
      </w:pPr>
      <w:r>
        <w:rPr>
          <w:rFonts w:hint="eastAsia" w:ascii="宋体" w:hAnsi="宋体"/>
        </w:rPr>
        <w:t>15.2应急处置</w:t>
      </w:r>
    </w:p>
    <w:p>
      <w:pPr>
        <w:pStyle w:val="56"/>
        <w:ind w:firstLine="420"/>
        <w:rPr>
          <w:rFonts w:ascii="宋体" w:hAnsi="宋体"/>
        </w:rPr>
      </w:pPr>
      <w:r>
        <w:rPr>
          <w:rFonts w:hint="eastAsia" w:ascii="宋体" w:hAnsi="宋体"/>
        </w:rPr>
        <w:t>15.2.1现场应急处置程序</w:t>
      </w:r>
    </w:p>
    <w:p>
      <w:pPr>
        <w:pStyle w:val="56"/>
        <w:ind w:firstLine="420"/>
        <w:rPr>
          <w:rFonts w:ascii="宋体" w:hAnsi="宋体"/>
        </w:rPr>
      </w:pPr>
      <w:r>
        <w:rPr>
          <w:rFonts w:hint="eastAsia" w:ascii="宋体" w:hAnsi="宋体"/>
        </w:rPr>
        <w:t>15.2.2现场应急处置措施</w:t>
      </w:r>
    </w:p>
    <w:p>
      <w:pPr>
        <w:pStyle w:val="56"/>
        <w:ind w:firstLine="420"/>
        <w:rPr>
          <w:rFonts w:ascii="宋体" w:hAnsi="宋体"/>
        </w:rPr>
      </w:pPr>
      <w:r>
        <w:rPr>
          <w:rFonts w:hint="eastAsia" w:ascii="宋体" w:hAnsi="宋体"/>
        </w:rPr>
        <w:t>15.2.3处置结束</w:t>
      </w:r>
    </w:p>
    <w:p>
      <w:pPr>
        <w:pStyle w:val="56"/>
        <w:ind w:firstLine="420"/>
        <w:rPr>
          <w:rFonts w:ascii="宋体" w:hAnsi="宋体"/>
        </w:rPr>
      </w:pPr>
      <w:r>
        <w:rPr>
          <w:rFonts w:hint="eastAsia" w:ascii="宋体" w:hAnsi="宋体"/>
        </w:rPr>
        <w:t>15.3应急物资</w:t>
      </w:r>
    </w:p>
    <w:p>
      <w:pPr>
        <w:pStyle w:val="56"/>
        <w:ind w:firstLine="420"/>
        <w:rPr>
          <w:rFonts w:ascii="宋体" w:hAnsi="宋体"/>
        </w:rPr>
      </w:pPr>
      <w:r>
        <w:rPr>
          <w:rFonts w:hint="eastAsia" w:ascii="宋体" w:hAnsi="宋体"/>
        </w:rPr>
        <w:t>15.4应急报告</w:t>
      </w:r>
    </w:p>
    <w:p>
      <w:pPr>
        <w:pStyle w:val="56"/>
        <w:ind w:firstLine="420"/>
        <w:rPr>
          <w:rFonts w:ascii="宋体" w:hAnsi="宋体"/>
        </w:rPr>
      </w:pPr>
      <w:r>
        <w:rPr>
          <w:rFonts w:hint="eastAsia" w:ascii="宋体" w:hAnsi="宋体"/>
        </w:rPr>
        <w:t>15.5救急路线</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bookmarkEnd w:id="256"/>
    <w:p>
      <w:pPr>
        <w:pStyle w:val="56"/>
        <w:ind w:firstLine="420"/>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linePitch="312" w:charSpace="0"/>
        </w:sectPr>
      </w:pPr>
      <w:bookmarkStart w:id="263" w:name="BookMark6"/>
    </w:p>
    <w:p>
      <w:pPr>
        <w:pStyle w:val="63"/>
        <w:spacing w:after="120"/>
      </w:pPr>
      <w:bookmarkStart w:id="264" w:name="_Toc17417"/>
      <w:bookmarkStart w:id="265" w:name="_Toc214290957"/>
      <w:bookmarkStart w:id="266" w:name="_Toc25786"/>
      <w:bookmarkStart w:id="267" w:name="_Toc31761"/>
      <w:bookmarkStart w:id="268" w:name="_Toc586"/>
      <w:bookmarkStart w:id="269" w:name="_Toc19609"/>
      <w:r>
        <w:rPr>
          <w:rFonts w:hint="eastAsia"/>
          <w:spacing w:val="105"/>
        </w:rPr>
        <w:t>参考文</w:t>
      </w:r>
      <w:r>
        <w:rPr>
          <w:rFonts w:hint="eastAsia"/>
        </w:rPr>
        <w:t>献</w:t>
      </w:r>
      <w:bookmarkEnd w:id="264"/>
      <w:bookmarkEnd w:id="265"/>
      <w:bookmarkEnd w:id="266"/>
      <w:bookmarkEnd w:id="267"/>
      <w:bookmarkEnd w:id="268"/>
      <w:bookmarkEnd w:id="269"/>
    </w:p>
    <w:p>
      <w:pPr>
        <w:pStyle w:val="56"/>
        <w:ind w:firstLine="420"/>
        <w:rPr>
          <w:rFonts w:ascii="宋体" w:hAnsi="宋体"/>
        </w:rPr>
      </w:pPr>
      <w:r>
        <w:rPr>
          <w:rFonts w:hint="eastAsia" w:ascii="宋体" w:hAnsi="宋体"/>
        </w:rPr>
        <w:t>[1] GB 6722  爆破安全规程</w:t>
      </w:r>
    </w:p>
    <w:p>
      <w:pPr>
        <w:pStyle w:val="56"/>
        <w:ind w:firstLine="420"/>
        <w:rPr>
          <w:rFonts w:ascii="宋体" w:hAnsi="宋体"/>
        </w:rPr>
      </w:pPr>
      <w:r>
        <w:rPr>
          <w:rFonts w:hint="eastAsia" w:ascii="宋体" w:hAnsi="宋体"/>
        </w:rPr>
        <w:t>[2] GB/T 20257.1  国家基本比例尺地图图式</w:t>
      </w:r>
    </w:p>
    <w:p>
      <w:pPr>
        <w:pStyle w:val="56"/>
        <w:ind w:firstLine="420"/>
        <w:rPr>
          <w:rFonts w:ascii="宋体" w:hAnsi="宋体"/>
        </w:rPr>
      </w:pPr>
      <w:r>
        <w:rPr>
          <w:rFonts w:hint="eastAsia" w:ascii="宋体" w:hAnsi="宋体"/>
        </w:rPr>
        <w:t>[3] GB 50287  水力发电工程地质勘察规范</w:t>
      </w:r>
    </w:p>
    <w:p>
      <w:pPr>
        <w:pStyle w:val="56"/>
        <w:ind w:firstLine="420"/>
        <w:rPr>
          <w:rFonts w:ascii="宋体" w:hAnsi="宋体"/>
        </w:rPr>
      </w:pPr>
      <w:r>
        <w:rPr>
          <w:rFonts w:hint="eastAsia" w:ascii="宋体" w:hAnsi="宋体"/>
        </w:rPr>
        <w:t>[4] GB 50487  水利水电工程地质勘察规范</w:t>
      </w:r>
    </w:p>
    <w:p>
      <w:pPr>
        <w:pStyle w:val="56"/>
        <w:ind w:firstLine="420"/>
        <w:rPr>
          <w:rFonts w:ascii="宋体" w:hAnsi="宋体"/>
        </w:rPr>
      </w:pPr>
      <w:r>
        <w:rPr>
          <w:rFonts w:hint="eastAsia" w:ascii="宋体" w:hAnsi="宋体"/>
        </w:rPr>
        <w:t>[5] DL/T 5135  水电水利工程爆破施工技术规范</w:t>
      </w:r>
    </w:p>
    <w:p>
      <w:pPr>
        <w:pStyle w:val="56"/>
        <w:ind w:firstLine="420"/>
        <w:rPr>
          <w:rFonts w:ascii="宋体" w:hAnsi="宋体"/>
        </w:rPr>
      </w:pPr>
      <w:r>
        <w:rPr>
          <w:rFonts w:hint="eastAsia" w:ascii="宋体" w:hAnsi="宋体"/>
        </w:rPr>
        <w:t>[6] GA 991  爆破作业项目管理要求</w:t>
      </w:r>
    </w:p>
    <w:p>
      <w:pPr>
        <w:pStyle w:val="56"/>
        <w:ind w:firstLine="420"/>
        <w:rPr>
          <w:rFonts w:ascii="宋体" w:hAnsi="宋体"/>
        </w:rPr>
      </w:pPr>
      <w:r>
        <w:rPr>
          <w:rFonts w:hint="eastAsia" w:ascii="宋体" w:hAnsi="宋体"/>
        </w:rPr>
        <w:t>[7] JTS 204  水运工程爆破技术规范</w:t>
      </w:r>
    </w:p>
    <w:p>
      <w:pPr>
        <w:pStyle w:val="56"/>
        <w:ind w:firstLine="420"/>
        <w:rPr>
          <w:rFonts w:ascii="宋体" w:hAnsi="宋体"/>
        </w:rPr>
      </w:pPr>
      <w:r>
        <w:rPr>
          <w:rFonts w:hint="eastAsia" w:ascii="宋体" w:hAnsi="宋体"/>
        </w:rPr>
        <w:t>[8] NB/T 11667  水下岩塞爆破设计规范</w:t>
      </w:r>
    </w:p>
    <w:p>
      <w:pPr>
        <w:pStyle w:val="56"/>
        <w:ind w:firstLine="420"/>
        <w:rPr>
          <w:rFonts w:ascii="宋体" w:hAnsi="宋体"/>
        </w:rPr>
      </w:pPr>
      <w:r>
        <w:rPr>
          <w:rFonts w:hint="eastAsia" w:ascii="宋体" w:hAnsi="宋体"/>
        </w:rPr>
        <w:t>[9] NB/T 35029  水电工程测量规范</w:t>
      </w:r>
    </w:p>
    <w:p>
      <w:pPr>
        <w:pStyle w:val="56"/>
        <w:ind w:firstLine="420"/>
        <w:rPr>
          <w:rFonts w:ascii="宋体" w:hAnsi="宋体"/>
        </w:rPr>
      </w:pPr>
      <w:r>
        <w:rPr>
          <w:rFonts w:hint="eastAsia" w:ascii="宋体" w:hAnsi="宋体"/>
        </w:rPr>
        <w:t>[10] SL 197  水利水电工程测量规范</w:t>
      </w:r>
    </w:p>
    <w:p>
      <w:pPr>
        <w:pStyle w:val="56"/>
        <w:ind w:firstLine="420"/>
        <w:rPr>
          <w:rFonts w:ascii="宋体" w:hAnsi="宋体"/>
        </w:rPr>
      </w:pPr>
      <w:r>
        <w:rPr>
          <w:rFonts w:hint="eastAsia" w:ascii="宋体" w:hAnsi="宋体"/>
        </w:rPr>
        <w:t>[11] SL 378  水工建筑物地下开挖工程施工规范</w:t>
      </w:r>
    </w:p>
    <w:p>
      <w:pPr>
        <w:pStyle w:val="56"/>
        <w:ind w:firstLine="420"/>
        <w:rPr>
          <w:rFonts w:ascii="宋体" w:hAnsi="宋体"/>
        </w:rPr>
      </w:pPr>
      <w:r>
        <w:rPr>
          <w:rFonts w:hint="eastAsia" w:ascii="宋体" w:hAnsi="宋体"/>
        </w:rPr>
        <w:t>[12] SL 764  水工隧洞安全监测技术规范</w:t>
      </w:r>
    </w:p>
    <w:p>
      <w:pPr>
        <w:pStyle w:val="56"/>
        <w:ind w:firstLine="420"/>
        <w:rPr>
          <w:rFonts w:ascii="宋体" w:hAnsi="宋体"/>
        </w:rPr>
      </w:pPr>
      <w:r>
        <w:rPr>
          <w:rFonts w:hint="eastAsia" w:ascii="宋体" w:hAnsi="宋体"/>
        </w:rPr>
        <w:t>[13] 刘美山.水下岩塞爆破施工技术[M].长江出版社:202406</w:t>
      </w:r>
    </w:p>
    <w:p>
      <w:pPr>
        <w:pStyle w:val="56"/>
        <w:ind w:firstLine="420"/>
        <w:rPr>
          <w:rFonts w:ascii="宋体" w:hAnsi="宋体"/>
        </w:rPr>
      </w:pPr>
      <w:r>
        <w:rPr>
          <w:rFonts w:hint="eastAsia" w:ascii="宋体" w:hAnsi="宋体"/>
        </w:rPr>
        <w:t>[14] 吴新霞.水利水电工程爆破手册[M].中国水利水电出社:202202</w:t>
      </w:r>
    </w:p>
    <w:p>
      <w:pPr>
        <w:pStyle w:val="56"/>
        <w:ind w:firstLine="420"/>
        <w:rPr>
          <w:rFonts w:ascii="宋体" w:hAnsi="宋体"/>
        </w:rPr>
      </w:pPr>
      <w:r>
        <w:rPr>
          <w:rFonts w:hint="eastAsia" w:ascii="宋体" w:hAnsi="宋体"/>
        </w:rPr>
        <w:t>[15] 金正浩,苏加林,王福运,等.水下岩塞爆破新技术与实践[M].中国水利水电出版社:202212</w:t>
      </w:r>
    </w:p>
    <w:p>
      <w:pPr>
        <w:pStyle w:val="56"/>
        <w:wordWrap w:val="0"/>
        <w:ind w:firstLine="420"/>
        <w:rPr>
          <w:rFonts w:ascii="宋体" w:hAnsi="宋体"/>
        </w:rPr>
      </w:pPr>
      <w:r>
        <w:rPr>
          <w:rFonts w:hint="eastAsia" w:ascii="宋体" w:hAnsi="宋体"/>
        </w:rPr>
        <w:t>[16] 黎卫超,赵根,周先平,等.中心致裂掏槽岩塞爆破设计与实践[J].工程爆破,2022,28(05):52-59</w:t>
      </w:r>
    </w:p>
    <w:p>
      <w:pPr>
        <w:pStyle w:val="56"/>
        <w:ind w:firstLine="420"/>
        <w:rPr>
          <w:rFonts w:ascii="宋体" w:hAnsi="宋体"/>
        </w:rPr>
      </w:pPr>
      <w:r>
        <w:rPr>
          <w:rFonts w:hint="eastAsia" w:ascii="宋体" w:hAnsi="宋体"/>
        </w:rPr>
        <w:t>[17] 苏加林.水下岩塞爆破技术进展[J].水利水电术,2019,50(08):110-115</w:t>
      </w:r>
    </w:p>
    <w:p>
      <w:pPr>
        <w:pStyle w:val="56"/>
        <w:ind w:firstLine="420"/>
        <w:rPr>
          <w:rFonts w:ascii="宋体" w:hAnsi="宋体"/>
        </w:rPr>
      </w:pPr>
    </w:p>
    <w:p>
      <w:pPr>
        <w:pStyle w:val="56"/>
        <w:ind w:firstLine="420"/>
        <w:rPr>
          <w:rFonts w:ascii="宋体" w:hAnsi="宋体"/>
        </w:rPr>
      </w:pPr>
    </w:p>
    <w:p>
      <w:pPr>
        <w:pStyle w:val="56"/>
        <w:ind w:firstLine="420"/>
      </w:pPr>
    </w:p>
    <w:bookmarkEnd w:id="263"/>
    <w:p>
      <w:pPr>
        <w:pStyle w:val="56"/>
        <w:ind w:firstLine="0" w:firstLineChars="0"/>
        <w:jc w:val="center"/>
      </w:pPr>
      <w:bookmarkStart w:id="270"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2"/>
                    <a:stretch>
                      <a:fillRect/>
                    </a:stretch>
                  </pic:blipFill>
                  <pic:spPr>
                    <a:xfrm>
                      <a:off x="0" y="0"/>
                      <a:ext cx="1485900" cy="317500"/>
                    </a:xfrm>
                    <a:prstGeom prst="rect">
                      <a:avLst/>
                    </a:prstGeom>
                  </pic:spPr>
                </pic:pic>
              </a:graphicData>
            </a:graphic>
          </wp:inline>
        </w:drawing>
      </w:r>
      <w:bookmarkEnd w:id="270"/>
    </w:p>
    <w:sectPr>
      <w:headerReference r:id="rId25" w:type="default"/>
      <w:footerReference r:id="rId27" w:type="default"/>
      <w:headerReference r:id="rId26" w:type="even"/>
      <w:footerReference r:id="rId28" w:type="even"/>
      <w:pgSz w:w="11906" w:h="16838"/>
      <w:pgMar w:top="1928"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13</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rPr>
        <w:rFonts w:ascii="MS Mincho" w:hAnsi="MS Mincho" w:eastAsia="MS Mincho" w:cs="MS Mincho"/>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rPr>
        <w:rFonts w:ascii="MS Mincho" w:hAnsi="MS Mincho" w:eastAsia="MS Mincho" w:cs="MS Mincho"/>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color w:val="000000" w:themeColor="text1"/>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themeColor="text1"/>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F634C"/>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A8D"/>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282"/>
    <w:rsid w:val="00165434"/>
    <w:rsid w:val="0016580B"/>
    <w:rsid w:val="00165F49"/>
    <w:rsid w:val="00166B88"/>
    <w:rsid w:val="0016770A"/>
    <w:rsid w:val="001702B6"/>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0540"/>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F05"/>
    <w:rsid w:val="002031F7"/>
    <w:rsid w:val="002040E6"/>
    <w:rsid w:val="0020527B"/>
    <w:rsid w:val="00205F2C"/>
    <w:rsid w:val="00210B15"/>
    <w:rsid w:val="002142EA"/>
    <w:rsid w:val="00215ADD"/>
    <w:rsid w:val="002204BB"/>
    <w:rsid w:val="00221B79"/>
    <w:rsid w:val="00221C6B"/>
    <w:rsid w:val="002253A1"/>
    <w:rsid w:val="00225C6A"/>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04E"/>
    <w:rsid w:val="002563C6"/>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3DF5"/>
    <w:rsid w:val="00294D34"/>
    <w:rsid w:val="00294E3B"/>
    <w:rsid w:val="002959E3"/>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4D7C"/>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3F26"/>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B16"/>
    <w:rsid w:val="003872FC"/>
    <w:rsid w:val="00387586"/>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D702D"/>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07E"/>
    <w:rsid w:val="0041477A"/>
    <w:rsid w:val="004167A3"/>
    <w:rsid w:val="00432DAA"/>
    <w:rsid w:val="00434305"/>
    <w:rsid w:val="00435DF7"/>
    <w:rsid w:val="0043741A"/>
    <w:rsid w:val="0044083F"/>
    <w:rsid w:val="00441AE7"/>
    <w:rsid w:val="0044273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4975"/>
    <w:rsid w:val="00485C89"/>
    <w:rsid w:val="00486BE3"/>
    <w:rsid w:val="004905E4"/>
    <w:rsid w:val="00490A89"/>
    <w:rsid w:val="00490AB4"/>
    <w:rsid w:val="00492F02"/>
    <w:rsid w:val="004939AE"/>
    <w:rsid w:val="004A12DF"/>
    <w:rsid w:val="004A1BA8"/>
    <w:rsid w:val="004A4B57"/>
    <w:rsid w:val="004A63FA"/>
    <w:rsid w:val="004A6A3D"/>
    <w:rsid w:val="004A6F0E"/>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CDA"/>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207"/>
    <w:rsid w:val="005A7830"/>
    <w:rsid w:val="005A7FCE"/>
    <w:rsid w:val="005B0F3F"/>
    <w:rsid w:val="005B191C"/>
    <w:rsid w:val="005B4903"/>
    <w:rsid w:val="005B51CE"/>
    <w:rsid w:val="005B5885"/>
    <w:rsid w:val="005B5CD7"/>
    <w:rsid w:val="005B6CF6"/>
    <w:rsid w:val="005B7422"/>
    <w:rsid w:val="005C1419"/>
    <w:rsid w:val="005C29B8"/>
    <w:rsid w:val="005C5F21"/>
    <w:rsid w:val="005C7156"/>
    <w:rsid w:val="005D0C75"/>
    <w:rsid w:val="005D4171"/>
    <w:rsid w:val="005D6A95"/>
    <w:rsid w:val="005D6B2C"/>
    <w:rsid w:val="005D6D9C"/>
    <w:rsid w:val="005D778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21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3F55"/>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15BC2"/>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10D0"/>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501"/>
    <w:rsid w:val="008115CB"/>
    <w:rsid w:val="00815419"/>
    <w:rsid w:val="008163C8"/>
    <w:rsid w:val="008164A1"/>
    <w:rsid w:val="00817325"/>
    <w:rsid w:val="008209E6"/>
    <w:rsid w:val="00821D19"/>
    <w:rsid w:val="00823303"/>
    <w:rsid w:val="008233B2"/>
    <w:rsid w:val="00823A9F"/>
    <w:rsid w:val="00823C85"/>
    <w:rsid w:val="00825138"/>
    <w:rsid w:val="008269DD"/>
    <w:rsid w:val="00827481"/>
    <w:rsid w:val="008274C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149C"/>
    <w:rsid w:val="0087767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023"/>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12B9"/>
    <w:rsid w:val="00975727"/>
    <w:rsid w:val="00977010"/>
    <w:rsid w:val="00977D02"/>
    <w:rsid w:val="00977FF9"/>
    <w:rsid w:val="009809BB"/>
    <w:rsid w:val="0098364B"/>
    <w:rsid w:val="009908A3"/>
    <w:rsid w:val="009911AF"/>
    <w:rsid w:val="00991875"/>
    <w:rsid w:val="00991F92"/>
    <w:rsid w:val="00992985"/>
    <w:rsid w:val="00993889"/>
    <w:rsid w:val="00994A19"/>
    <w:rsid w:val="0099551B"/>
    <w:rsid w:val="00996BD2"/>
    <w:rsid w:val="00997BF1"/>
    <w:rsid w:val="009A089C"/>
    <w:rsid w:val="009A118E"/>
    <w:rsid w:val="009A21CD"/>
    <w:rsid w:val="009A278C"/>
    <w:rsid w:val="009A2AD5"/>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72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357"/>
    <w:rsid w:val="00AB6309"/>
    <w:rsid w:val="00AB6C5F"/>
    <w:rsid w:val="00AB6ED3"/>
    <w:rsid w:val="00AB7129"/>
    <w:rsid w:val="00AB7F17"/>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EAD"/>
    <w:rsid w:val="00B21F61"/>
    <w:rsid w:val="00B261F1"/>
    <w:rsid w:val="00B265BC"/>
    <w:rsid w:val="00B31FB1"/>
    <w:rsid w:val="00B33952"/>
    <w:rsid w:val="00B33C5E"/>
    <w:rsid w:val="00B342F4"/>
    <w:rsid w:val="00B34369"/>
    <w:rsid w:val="00B34604"/>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801"/>
    <w:rsid w:val="00B76980"/>
    <w:rsid w:val="00B77EC8"/>
    <w:rsid w:val="00B827A6"/>
    <w:rsid w:val="00B831CE"/>
    <w:rsid w:val="00B8525F"/>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252"/>
    <w:rsid w:val="00C34C20"/>
    <w:rsid w:val="00C35A3E"/>
    <w:rsid w:val="00C36C63"/>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140"/>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9BF"/>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2950"/>
    <w:rsid w:val="00D66846"/>
    <w:rsid w:val="00D675FB"/>
    <w:rsid w:val="00D71F25"/>
    <w:rsid w:val="00D72A9C"/>
    <w:rsid w:val="00D77031"/>
    <w:rsid w:val="00D77F07"/>
    <w:rsid w:val="00D83305"/>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26F4"/>
    <w:rsid w:val="00DC3067"/>
    <w:rsid w:val="00DC370B"/>
    <w:rsid w:val="00DC5B90"/>
    <w:rsid w:val="00DD00FF"/>
    <w:rsid w:val="00DD0619"/>
    <w:rsid w:val="00DD07FB"/>
    <w:rsid w:val="00DD25C6"/>
    <w:rsid w:val="00DD3450"/>
    <w:rsid w:val="00DD4FE5"/>
    <w:rsid w:val="00DD54B0"/>
    <w:rsid w:val="00DD57EE"/>
    <w:rsid w:val="00DD6BCC"/>
    <w:rsid w:val="00DE0A4B"/>
    <w:rsid w:val="00DE2410"/>
    <w:rsid w:val="00DE2939"/>
    <w:rsid w:val="00DE6E81"/>
    <w:rsid w:val="00DE703F"/>
    <w:rsid w:val="00DE7595"/>
    <w:rsid w:val="00DF1961"/>
    <w:rsid w:val="00DF44DE"/>
    <w:rsid w:val="00E01138"/>
    <w:rsid w:val="00E02DD3"/>
    <w:rsid w:val="00E02DFB"/>
    <w:rsid w:val="00E030F9"/>
    <w:rsid w:val="00E0311A"/>
    <w:rsid w:val="00E03138"/>
    <w:rsid w:val="00E06404"/>
    <w:rsid w:val="00E11A85"/>
    <w:rsid w:val="00E12495"/>
    <w:rsid w:val="00E15CCD"/>
    <w:rsid w:val="00E15E3F"/>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3D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07D60"/>
    <w:rsid w:val="00F11586"/>
    <w:rsid w:val="00F1183B"/>
    <w:rsid w:val="00F11C9F"/>
    <w:rsid w:val="00F12263"/>
    <w:rsid w:val="00F1409D"/>
    <w:rsid w:val="00F14214"/>
    <w:rsid w:val="00F157A9"/>
    <w:rsid w:val="00F16F00"/>
    <w:rsid w:val="00F207C7"/>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D17"/>
    <w:rsid w:val="00F81164"/>
    <w:rsid w:val="00F833BA"/>
    <w:rsid w:val="00F84FD0"/>
    <w:rsid w:val="00F859A8"/>
    <w:rsid w:val="00F86D87"/>
    <w:rsid w:val="00F9108B"/>
    <w:rsid w:val="00F91349"/>
    <w:rsid w:val="00F916BC"/>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C3D"/>
    <w:rsid w:val="00FD7299"/>
    <w:rsid w:val="00FE1FBE"/>
    <w:rsid w:val="00FE3901"/>
    <w:rsid w:val="00FE39D3"/>
    <w:rsid w:val="00FE4BCE"/>
    <w:rsid w:val="00FE54AE"/>
    <w:rsid w:val="00FE576A"/>
    <w:rsid w:val="00FE7E79"/>
    <w:rsid w:val="00FF3E7D"/>
    <w:rsid w:val="00FF5B99"/>
    <w:rsid w:val="00FF730C"/>
    <w:rsid w:val="00FF73F4"/>
    <w:rsid w:val="00FF7CE4"/>
    <w:rsid w:val="00FF7E39"/>
    <w:rsid w:val="07975BC4"/>
    <w:rsid w:val="086A5D0D"/>
    <w:rsid w:val="08A94275"/>
    <w:rsid w:val="0ABC5428"/>
    <w:rsid w:val="0CDF06B3"/>
    <w:rsid w:val="0D142104"/>
    <w:rsid w:val="0D165607"/>
    <w:rsid w:val="10347723"/>
    <w:rsid w:val="137B38E3"/>
    <w:rsid w:val="14596B6E"/>
    <w:rsid w:val="15B413A8"/>
    <w:rsid w:val="1C391ECC"/>
    <w:rsid w:val="1D9E6FA7"/>
    <w:rsid w:val="1DF216F1"/>
    <w:rsid w:val="22327521"/>
    <w:rsid w:val="2B004405"/>
    <w:rsid w:val="324032FC"/>
    <w:rsid w:val="41A549A6"/>
    <w:rsid w:val="41B43480"/>
    <w:rsid w:val="470558C3"/>
    <w:rsid w:val="5DA928D0"/>
    <w:rsid w:val="5FA025C7"/>
    <w:rsid w:val="5FC209B5"/>
    <w:rsid w:val="6043627C"/>
    <w:rsid w:val="6682703B"/>
    <w:rsid w:val="66D1483C"/>
    <w:rsid w:val="670B371C"/>
    <w:rsid w:val="6B9F634C"/>
    <w:rsid w:val="6E320540"/>
    <w:rsid w:val="719A7C6D"/>
    <w:rsid w:val="735A0201"/>
    <w:rsid w:val="737658DF"/>
    <w:rsid w:val="77E31623"/>
    <w:rsid w:val="7D1D4C69"/>
    <w:rsid w:val="7F862CC7"/>
    <w:rsid w:val="7F9C15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glossaryDocument" Target="glossary/document.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3.jpeg"/><Relationship Id="rId31" Type="http://schemas.openxmlformats.org/officeDocument/2006/relationships/image" Target="media/image2.png"/><Relationship Id="rId30" Type="http://schemas.openxmlformats.org/officeDocument/2006/relationships/image" Target="media/image1.png"/><Relationship Id="rId3" Type="http://schemas.openxmlformats.org/officeDocument/2006/relationships/header" Target="header1.xml"/><Relationship Id="rId29" Type="http://schemas.openxmlformats.org/officeDocument/2006/relationships/theme" Target="theme/theme1.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6631;&#20934;&#21270;&#25991;&#20214;&#32534;&#20889;&#24037;&#20855;&#36719;&#20214;2025\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pPr>
            <w:pStyle w:val="5"/>
          </w:pPr>
          <w:r>
            <w:rPr>
              <w:rStyle w:val="4"/>
              <w:rFonts w:hint="eastAsia"/>
            </w:rPr>
            <w:t>单击或点击此处输入文字。</w:t>
          </w:r>
        </w:p>
      </w:docPartBody>
    </w:docPart>
    <w:docPart>
      <w:docPartPr>
        <w:name w:val="DD487E154D8B46B1811108614A11313A"/>
        <w:style w:val=""/>
        <w:category>
          <w:name w:val="常规"/>
          <w:gallery w:val="placeholder"/>
        </w:category>
        <w:types>
          <w:type w:val="bbPlcHdr"/>
        </w:types>
        <w:behaviors>
          <w:behavior w:val="content"/>
        </w:behaviors>
        <w:description w:val=""/>
        <w:guid w:val="{BDA84726-025B-4CC9-AFA0-B8C5A34685A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5D70EA"/>
    <w:rsid w:val="002816B2"/>
    <w:rsid w:val="005D70EA"/>
    <w:rsid w:val="0062535F"/>
    <w:rsid w:val="006E28E0"/>
    <w:rsid w:val="00757FCE"/>
    <w:rsid w:val="009D5A37"/>
    <w:rsid w:val="00A077F1"/>
    <w:rsid w:val="00A37D98"/>
    <w:rsid w:val="00BF4D10"/>
    <w:rsid w:val="00F339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7">
    <w:name w:val="DD487E154D8B46B1811108614A11313A"/>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8">
    <w:name w:val="7E697CA9AF8F47DBB38A7AD3E72CEFA2"/>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0F755D-27C0-4E8C-86C0-FA0209EDB0F8}">
  <ds:schemaRefs/>
</ds:datastoreItem>
</file>

<file path=docProps/app.xml><?xml version="1.0" encoding="utf-8"?>
<Properties xmlns="http://schemas.openxmlformats.org/officeDocument/2006/extended-properties" xmlns:vt="http://schemas.openxmlformats.org/officeDocument/2006/docPropsVTypes">
  <Template>团体标准.dotx</Template>
  <Company>葛洲坝集团</Company>
  <Pages>17</Pages>
  <Words>2054</Words>
  <Characters>11711</Characters>
  <Lines>97</Lines>
  <Paragraphs>27</Paragraphs>
  <TotalTime>150</TotalTime>
  <ScaleCrop>false</ScaleCrop>
  <LinksUpToDate>false</LinksUpToDate>
  <CharactersWithSpaces>13738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2025-11-10T02:41:00Z</dcterms:created>
  <dc:creator>韦子明</dc:creator>
  <cp:lastModifiedBy>武巧焕</cp:lastModifiedBy>
  <dcterms:modified xsi:type="dcterms:W3CDTF">2025-11-18T07:26:02Z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763B0A04BF8F4B07A20448EC941C63AD</vt:lpwstr>
  </property>
  <property fmtid="{D5CDD505-2E9C-101B-9397-08002B2CF9AE}" pid="15" name="KSOProductBuildVer">
    <vt:lpwstr>2052-11.8.2.9022</vt:lpwstr>
  </property>
  <property fmtid="{D5CDD505-2E9C-101B-9397-08002B2CF9AE}" pid="16" name="DoublePage">
    <vt:lpwstr>true</vt:lpwstr>
  </property>
</Properties>
</file>