
<file path=[Content_Types].xml><?xml version="1.0" encoding="utf-8"?>
<Types xmlns="http://schemas.openxmlformats.org/package/2006/content-types">
  <Default Extension="xml" ContentType="application/xml"/>
  <Default Extension="wmf" ContentType="image/x-wmf"/>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00" w:lineRule="exact"/>
        <w:jc w:val="center"/>
        <w:rPr>
          <w:rFonts w:ascii="Times New Roman" w:hAnsi="Times New Roman" w:eastAsia="方正小标宋简体" w:cs="Times New Roman"/>
          <w:bCs/>
          <w:sz w:val="44"/>
          <w:szCs w:val="44"/>
        </w:rPr>
      </w:pPr>
      <w:bookmarkStart w:id="0" w:name="OLE_LINK3"/>
      <w:r>
        <w:rPr>
          <w:rFonts w:ascii="Times New Roman" w:hAnsi="Times New Roman" w:eastAsia="方正小标宋简体" w:cs="Times New Roman"/>
          <w:bCs/>
          <w:sz w:val="44"/>
          <w:szCs w:val="44"/>
        </w:rPr>
        <w:t>团体标准《</w:t>
      </w:r>
      <w:bookmarkStart w:id="1" w:name="OLE_LINK10"/>
      <w:r>
        <w:rPr>
          <w:rFonts w:ascii="Times New Roman" w:hAnsi="Times New Roman" w:eastAsia="方正小标宋简体" w:cs="Times New Roman"/>
          <w:bCs/>
          <w:sz w:val="44"/>
          <w:szCs w:val="44"/>
        </w:rPr>
        <w:t>水下岩塞爆破施工规范</w:t>
      </w:r>
      <w:bookmarkEnd w:id="1"/>
      <w:r>
        <w:rPr>
          <w:rFonts w:ascii="Times New Roman" w:hAnsi="Times New Roman" w:eastAsia="方正小标宋简体" w:cs="Times New Roman"/>
          <w:bCs/>
          <w:sz w:val="44"/>
          <w:szCs w:val="44"/>
        </w:rPr>
        <w:t>》（征求意见稿）编制说明</w:t>
      </w:r>
    </w:p>
    <w:bookmarkEnd w:id="0"/>
    <w:p>
      <w:pPr>
        <w:rPr>
          <w:rFonts w:ascii="Times New Roman" w:hAnsi="Times New Roman" w:eastAsia="仿宋_GB2312" w:cs="Times New Roman"/>
          <w:b/>
          <w:bCs/>
          <w:sz w:val="32"/>
          <w:szCs w:val="32"/>
        </w:rPr>
      </w:pPr>
      <w:r>
        <w:rPr>
          <w:rFonts w:ascii="Times New Roman" w:hAnsi="Times New Roman" w:eastAsia="仿宋_GB2312" w:cs="Times New Roman"/>
          <w:b/>
          <w:bCs/>
          <w:sz w:val="32"/>
          <w:szCs w:val="32"/>
        </w:rPr>
        <w:t>一、任务来源、起草单位、主要起草人（姓名、单位、职务/职称、参与编制标准分工情况）等</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本标准由广西爆破行业协会提出，2025年3月13日，广西标准化协会下达关于</w:t>
      </w:r>
      <w:bookmarkStart w:id="2" w:name="OLE_LINK1"/>
      <w:r>
        <w:rPr>
          <w:rFonts w:ascii="Times New Roman" w:hAnsi="Times New Roman" w:eastAsia="仿宋_GB2312" w:cs="Times New Roman"/>
          <w:sz w:val="32"/>
          <w:szCs w:val="32"/>
        </w:rPr>
        <w:t>《水下岩塞爆破施工规范》</w:t>
      </w:r>
      <w:bookmarkEnd w:id="2"/>
      <w:r>
        <w:rPr>
          <w:rFonts w:ascii="Times New Roman" w:hAnsi="Times New Roman" w:eastAsia="仿宋_GB2312" w:cs="Times New Roman"/>
          <w:sz w:val="32"/>
          <w:szCs w:val="32"/>
        </w:rPr>
        <w:t>团体标准制修订项目计划的通知，《水下岩塞爆破施工规范》团体标准正式立项。该标准由中国能源建设集团广西水电工程局有限公司、中水珠江规划勘测设计有限公司、长江水利委员会长江科学院、中国葛洲坝集团第一工程有限公司、浙江省正邦水电建设有限公司、广西爆破行业协会共同起草。</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为高质量编制团体标准《水下岩塞爆破施工规范》，成立标准起草小组并进行如下分工</w:t>
      </w:r>
      <w:r>
        <w:rPr>
          <w:rFonts w:hint="eastAsia" w:ascii="Times New Roman" w:hAnsi="Times New Roman" w:eastAsia="仿宋_GB2312" w:cs="Times New Roman"/>
          <w:sz w:val="32"/>
          <w:szCs w:val="32"/>
          <w:lang w:eastAsia="zh-CN"/>
        </w:rPr>
        <w:t>（见表</w:t>
      </w:r>
      <w:r>
        <w:rPr>
          <w:rFonts w:hint="eastAsia" w:ascii="Times New Roman" w:hAnsi="Times New Roman" w:eastAsia="仿宋_GB2312" w:cs="Times New Roman"/>
          <w:sz w:val="32"/>
          <w:szCs w:val="32"/>
          <w:lang w:val="en-US" w:eastAsia="zh-CN"/>
        </w:rPr>
        <w:t>1</w:t>
      </w:r>
      <w:r>
        <w:rPr>
          <w:rFonts w:hint="eastAsia" w:ascii="Times New Roman" w:hAnsi="Times New Roman" w:eastAsia="仿宋_GB2312" w:cs="Times New Roman"/>
          <w:sz w:val="32"/>
          <w:szCs w:val="32"/>
          <w:lang w:eastAsia="zh-CN"/>
        </w:rPr>
        <w:t>）</w:t>
      </w:r>
      <w:r>
        <w:rPr>
          <w:rFonts w:ascii="Times New Roman" w:hAnsi="Times New Roman" w:eastAsia="仿宋_GB2312" w:cs="Times New Roman"/>
          <w:sz w:val="32"/>
          <w:szCs w:val="32"/>
        </w:rPr>
        <w:t>：</w:t>
      </w:r>
    </w:p>
    <w:p>
      <w:pPr>
        <w:pStyle w:val="20"/>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center"/>
        <w:textAlignment w:val="auto"/>
        <w:rPr>
          <w:rFonts w:hint="eastAsia"/>
          <w:b/>
          <w:bCs/>
          <w:sz w:val="21"/>
          <w:szCs w:val="21"/>
          <w:lang w:val="en-US" w:eastAsia="zh-CN"/>
        </w:rPr>
      </w:pPr>
      <w:r>
        <w:rPr>
          <w:rFonts w:hint="eastAsia"/>
          <w:b/>
          <w:bCs/>
          <w:sz w:val="21"/>
          <w:szCs w:val="21"/>
          <w:lang w:eastAsia="zh-CN"/>
        </w:rPr>
        <w:t>表</w:t>
      </w:r>
      <w:r>
        <w:rPr>
          <w:rFonts w:hint="eastAsia"/>
          <w:b/>
          <w:bCs/>
          <w:sz w:val="21"/>
          <w:szCs w:val="21"/>
          <w:lang w:val="en-US" w:eastAsia="zh-CN"/>
        </w:rPr>
        <w:t xml:space="preserve">1                       </w:t>
      </w:r>
      <w:r>
        <w:rPr>
          <w:rFonts w:hint="eastAsia"/>
          <w:b/>
          <w:bCs/>
          <w:sz w:val="21"/>
          <w:szCs w:val="21"/>
          <w:lang w:eastAsia="zh-CN"/>
        </w:rPr>
        <w:t>标准起草小组及分工</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5"/>
        <w:gridCol w:w="1829"/>
        <w:gridCol w:w="1514"/>
        <w:gridCol w:w="2014"/>
        <w:gridCol w:w="2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
                <w:sz w:val="21"/>
                <w:szCs w:val="21"/>
              </w:rPr>
              <w:t>姓名</w:t>
            </w:r>
          </w:p>
        </w:tc>
        <w:tc>
          <w:tcPr>
            <w:tcW w:w="1829"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
                <w:sz w:val="21"/>
                <w:szCs w:val="21"/>
              </w:rPr>
              <w:t>职务/职称</w:t>
            </w:r>
          </w:p>
        </w:tc>
        <w:tc>
          <w:tcPr>
            <w:tcW w:w="1514" w:type="dxa"/>
            <w:vAlign w:val="center"/>
          </w:tcPr>
          <w:p>
            <w:pPr>
              <w:jc w:val="center"/>
              <w:rPr>
                <w:rFonts w:hint="eastAsia" w:ascii="宋体" w:hAnsi="宋体" w:eastAsia="宋体" w:cs="宋体"/>
                <w:b/>
                <w:sz w:val="21"/>
                <w:szCs w:val="21"/>
              </w:rPr>
            </w:pPr>
            <w:r>
              <w:rPr>
                <w:rFonts w:hint="eastAsia" w:ascii="宋体" w:hAnsi="宋体" w:eastAsia="宋体" w:cs="宋体"/>
                <w:b/>
                <w:sz w:val="21"/>
                <w:szCs w:val="21"/>
              </w:rPr>
              <w:t>从事</w:t>
            </w:r>
          </w:p>
          <w:p>
            <w:pPr>
              <w:jc w:val="center"/>
              <w:rPr>
                <w:rFonts w:ascii="Times New Roman" w:hAnsi="Times New Roman" w:eastAsia="仿宋_GB2312" w:cs="Times New Roman"/>
                <w:b/>
                <w:bCs/>
                <w:sz w:val="32"/>
                <w:szCs w:val="32"/>
                <w:vertAlign w:val="baseline"/>
              </w:rPr>
            </w:pPr>
            <w:r>
              <w:rPr>
                <w:rFonts w:hint="eastAsia" w:ascii="宋体" w:hAnsi="宋体" w:eastAsia="宋体" w:cs="宋体"/>
                <w:b/>
                <w:sz w:val="21"/>
                <w:szCs w:val="21"/>
              </w:rPr>
              <w:t>专业</w:t>
            </w:r>
          </w:p>
        </w:tc>
        <w:tc>
          <w:tcPr>
            <w:tcW w:w="2014"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
                <w:sz w:val="21"/>
                <w:szCs w:val="21"/>
              </w:rPr>
              <w:t>工作单位</w:t>
            </w:r>
          </w:p>
        </w:tc>
        <w:tc>
          <w:tcPr>
            <w:tcW w:w="2160"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
                <w:sz w:val="21"/>
                <w:szCs w:val="21"/>
              </w:rPr>
              <w:t>主要负责工作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卢山</w:t>
            </w:r>
          </w:p>
        </w:tc>
        <w:tc>
          <w:tcPr>
            <w:tcW w:w="1829"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科技信息事业部总经理/正高级工程师</w:t>
            </w:r>
          </w:p>
        </w:tc>
        <w:tc>
          <w:tcPr>
            <w:tcW w:w="1514"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水利水电工程</w:t>
            </w:r>
          </w:p>
        </w:tc>
        <w:tc>
          <w:tcPr>
            <w:tcW w:w="2014"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lang w:bidi="ar"/>
              </w:rPr>
              <w:t>统筹主持标准编制工作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郎伟平</w:t>
            </w:r>
          </w:p>
        </w:tc>
        <w:tc>
          <w:tcPr>
            <w:tcW w:w="1829"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副总经理兼总工程师/高级工程师</w:t>
            </w:r>
          </w:p>
        </w:tc>
        <w:tc>
          <w:tcPr>
            <w:tcW w:w="1514"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公路工程</w:t>
            </w:r>
          </w:p>
        </w:tc>
        <w:tc>
          <w:tcPr>
            <w:tcW w:w="2014"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sz w:val="21"/>
                <w:szCs w:val="21"/>
                <w:lang w:bidi="ar"/>
              </w:rPr>
              <w:t>参与标准编制工作，组织人员进行标准发布后的宣贯培训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黎卫超</w:t>
            </w:r>
          </w:p>
        </w:tc>
        <w:tc>
          <w:tcPr>
            <w:tcW w:w="1829"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学科副主任/高级工程师</w:t>
            </w:r>
          </w:p>
        </w:tc>
        <w:tc>
          <w:tcPr>
            <w:tcW w:w="1514"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工程爆破</w:t>
            </w:r>
          </w:p>
        </w:tc>
        <w:tc>
          <w:tcPr>
            <w:tcW w:w="2014"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长江水利委员会长江科学院</w:t>
            </w:r>
          </w:p>
        </w:tc>
        <w:tc>
          <w:tcPr>
            <w:tcW w:w="2160"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lang w:bidi="ar"/>
              </w:rPr>
              <w:t>参与标准文本编写，</w:t>
            </w:r>
            <w:r>
              <w:rPr>
                <w:rFonts w:hint="eastAsia" w:ascii="宋体" w:hAnsi="宋体" w:eastAsia="宋体" w:cs="宋体"/>
                <w:sz w:val="21"/>
                <w:szCs w:val="21"/>
                <w:lang w:bidi="ar"/>
              </w:rPr>
              <w:t>组织开展标准征求意见会；对标准实施情况进行总结分析，不断对地方标准提出修正意见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詹杰</w:t>
            </w:r>
          </w:p>
        </w:tc>
        <w:tc>
          <w:tcPr>
            <w:tcW w:w="1829"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施工设计所副所长、三亚水中调工程设计负责人/高级工程师</w:t>
            </w:r>
          </w:p>
        </w:tc>
        <w:tc>
          <w:tcPr>
            <w:tcW w:w="1514"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水电工程施工组织设计</w:t>
            </w:r>
          </w:p>
        </w:tc>
        <w:tc>
          <w:tcPr>
            <w:tcW w:w="2014"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中水珠江规划勘测设计有限公司</w:t>
            </w:r>
          </w:p>
        </w:tc>
        <w:tc>
          <w:tcPr>
            <w:tcW w:w="2160"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lang w:bidi="ar"/>
              </w:rPr>
              <w:t>参与标准文本编写，</w:t>
            </w:r>
            <w:r>
              <w:rPr>
                <w:rFonts w:hint="eastAsia" w:ascii="宋体" w:hAnsi="宋体" w:eastAsia="宋体" w:cs="宋体"/>
                <w:sz w:val="21"/>
                <w:szCs w:val="21"/>
                <w:lang w:bidi="ar"/>
              </w:rPr>
              <w:t>组织开展标准征求意见会；对标准实施情况进行总结分析，不断对地方标准提出修正意见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王盟</w:t>
            </w:r>
          </w:p>
        </w:tc>
        <w:tc>
          <w:tcPr>
            <w:tcW w:w="1829"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公司副总经理、三亚市西水中调工程分管领导/正高级工程师</w:t>
            </w:r>
          </w:p>
        </w:tc>
        <w:tc>
          <w:tcPr>
            <w:tcW w:w="1514"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水工结构工程</w:t>
            </w:r>
          </w:p>
        </w:tc>
        <w:tc>
          <w:tcPr>
            <w:tcW w:w="2014"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中水珠江规划勘测设计有限公司</w:t>
            </w:r>
          </w:p>
        </w:tc>
        <w:tc>
          <w:tcPr>
            <w:tcW w:w="2160"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lang w:bidi="ar"/>
              </w:rPr>
              <w:t>参与标准文本编写，</w:t>
            </w:r>
            <w:r>
              <w:rPr>
                <w:rFonts w:hint="eastAsia" w:ascii="宋体" w:hAnsi="宋体" w:eastAsia="宋体" w:cs="宋体"/>
                <w:sz w:val="21"/>
                <w:szCs w:val="21"/>
                <w:lang w:bidi="ar"/>
              </w:rPr>
              <w:t>查询、收集和整理资料，协助指导标准文本及编写说明的编写、实施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涂胜</w:t>
            </w:r>
          </w:p>
        </w:tc>
        <w:tc>
          <w:tcPr>
            <w:tcW w:w="1829"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爆破技术咨询公司总工/正高级工程师</w:t>
            </w:r>
          </w:p>
        </w:tc>
        <w:tc>
          <w:tcPr>
            <w:tcW w:w="1514"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 xml:space="preserve">水利水电工程/爆破工程 </w:t>
            </w:r>
          </w:p>
        </w:tc>
        <w:tc>
          <w:tcPr>
            <w:tcW w:w="2014"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rPr>
              <w:t>中国葛洲坝集团第一工程有限公司</w:t>
            </w:r>
          </w:p>
        </w:tc>
        <w:tc>
          <w:tcPr>
            <w:tcW w:w="2160" w:type="dxa"/>
            <w:vAlign w:val="center"/>
          </w:tcPr>
          <w:p>
            <w:pPr>
              <w:jc w:val="center"/>
              <w:rPr>
                <w:rFonts w:ascii="Times New Roman" w:hAnsi="Times New Roman" w:eastAsia="仿宋_GB2312" w:cs="Times New Roman"/>
                <w:b/>
                <w:bCs/>
                <w:sz w:val="32"/>
                <w:szCs w:val="32"/>
                <w:vertAlign w:val="baseline"/>
              </w:rPr>
            </w:pPr>
            <w:r>
              <w:rPr>
                <w:rFonts w:hint="eastAsia" w:ascii="宋体" w:hAnsi="宋体" w:eastAsia="宋体" w:cs="宋体"/>
                <w:bCs/>
                <w:sz w:val="21"/>
                <w:szCs w:val="21"/>
                <w:lang w:bidi="ar"/>
              </w:rPr>
              <w:t>参与标准文本编写，</w:t>
            </w:r>
            <w:r>
              <w:rPr>
                <w:rFonts w:hint="eastAsia" w:ascii="宋体" w:hAnsi="宋体" w:eastAsia="宋体" w:cs="宋体"/>
                <w:sz w:val="21"/>
                <w:szCs w:val="21"/>
                <w:lang w:bidi="ar"/>
              </w:rPr>
              <w:t>组织开展标准征求意见会；对标准实施情况进行总结分析，不断对地方标准提出修正意见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郑靖</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公司总工程师、丽水市滩坑引水工程爆破技术负责人/正高级工程师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水利水电工程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浙江省正邦水电建设有限公司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r>
              <w:rPr>
                <w:rFonts w:hint="eastAsia" w:ascii="宋体" w:hAnsi="宋体" w:eastAsia="宋体" w:cs="宋体"/>
                <w:sz w:val="21"/>
                <w:szCs w:val="21"/>
                <w:lang w:bidi="ar"/>
              </w:rPr>
              <w:t>组织开展标准征求意见会；对标准实施情况进行总结分析，不断对地方标准提出修正意见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徐清</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总经理、党委副书记/高级工程师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项目管理</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戴龙才</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公司副总经理/高级工程师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水利水电工程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张焱光</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三亚市西水中调工程项目总工/高级工程师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水利水电工程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罗远耀</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科技信息事业部专家/正高级工程师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水利水电工程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王士发</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安全总监/正高级工程师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水利水电工程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谢红祥</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科技信息事业部副总经理/高级工程师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机械设计及制造</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武巧焕</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科技信息事业部科研攻关岗（五级技术专家）/高级工程师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水利水电程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标准编制说明编写。查询、收集和整理资料，协助指导标准文本的编写、实施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张淑芳</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三亚市西水中调工程施工专业负责人/高级工程师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水电工程施工组织设计</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中水珠江规划勘测设计有限公司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李晓旭</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水利院工程仿真与安全监测中心副总工/高级工程师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安全监测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中水珠江规划勘测设计有限公司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刘美山</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爆破所所长/正高级工程师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工程爆破</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长江水利委员会长江科学院</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杨正贵</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公司总工程师/正高级工程师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水利水电工程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中国葛洲坝集团第一工程有限公司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郭坚</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丽水市滩坑引水工程项目总工、爆破技术主管/高级工程师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水利水电工程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浙江省正邦水电建设有限公司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姚二雷</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学科副主任/高级工程师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岩土工程抗震</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长江水利委员会长江科学院</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蔡祈泉</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丽水市滩坑引水工程爆破工程技术人员/高级工程师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水利水电工程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浙江省正邦水电建设有限公司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潘祥弟</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科技信息事业部技术管理岗（五级技术专家）/技术管理岗</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水利水电工程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周发贵</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科技信息事业部工程技术研究院（五级技术专家）/正高级工程师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土木工程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熊建武</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科技信息部副主任/高级工程师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水利水电工程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中国葛洲坝集团第一工程有限公司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黄高僚</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安全监察岗/工程师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安全管理</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王 英</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质量管理岗/高级工程师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水利水电工程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bCs/>
                <w:sz w:val="21"/>
                <w:szCs w:val="21"/>
                <w:lang w:bidi="ar"/>
              </w:rPr>
              <w:t>参与标准文本编写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黄朝俭</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三亚市西水中调工程项目经理/高级工程师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土木工程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sz w:val="21"/>
                <w:szCs w:val="21"/>
                <w:lang w:bidi="ar"/>
              </w:rPr>
              <w:t>查询、收集和整理资料，协助指导标准文本及编写说明的编写、实施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李果龙</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三亚市西水中调工程项目工程部主任/工程师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水利水电工程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sz w:val="21"/>
                <w:szCs w:val="21"/>
                <w:lang w:bidi="ar"/>
              </w:rPr>
              <w:t>查询、收集和整理资料，协助指导标准文本及编写说明的编写、实施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莫国恒</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三亚市西水中调工程项目副经理/高级工程师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工程测量</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sz w:val="21"/>
                <w:szCs w:val="21"/>
                <w:lang w:bidi="ar"/>
              </w:rPr>
              <w:t>查询、收集和整理资料，协助指导标准文本及编写说明的编写、实施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吴恒和</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副总工程师/正高级工程师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水利水电工程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bCs/>
                <w:sz w:val="21"/>
                <w:szCs w:val="21"/>
                <w:lang w:bidi="ar"/>
              </w:rPr>
            </w:pPr>
            <w:r>
              <w:rPr>
                <w:rFonts w:hint="eastAsia" w:ascii="宋体" w:hAnsi="宋体" w:eastAsia="宋体" w:cs="宋体"/>
                <w:sz w:val="21"/>
                <w:szCs w:val="21"/>
                <w:lang w:bidi="ar"/>
              </w:rPr>
              <w:t>查询、收集和整理资料，协助指导标准文本及编写说明的编写、实施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赵明特</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会长/教授级高级工程师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lang w:eastAsia="zh-CN"/>
              </w:rPr>
              <w:t>工程</w:t>
            </w:r>
            <w:r>
              <w:rPr>
                <w:rFonts w:hint="eastAsia" w:ascii="宋体" w:hAnsi="宋体" w:eastAsia="宋体" w:cs="宋体"/>
                <w:bCs/>
                <w:sz w:val="21"/>
                <w:szCs w:val="21"/>
              </w:rPr>
              <w:t>爆破</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广西爆破行业协会</w:t>
            </w:r>
          </w:p>
        </w:tc>
        <w:tc>
          <w:tcPr>
            <w:tcW w:w="2160" w:type="dxa"/>
            <w:vAlign w:val="center"/>
          </w:tcPr>
          <w:p>
            <w:pPr>
              <w:jc w:val="center"/>
              <w:rPr>
                <w:rFonts w:hint="eastAsia" w:ascii="宋体" w:hAnsi="宋体" w:eastAsia="宋体" w:cs="宋体"/>
                <w:sz w:val="21"/>
                <w:szCs w:val="21"/>
                <w:lang w:bidi="ar"/>
              </w:rPr>
            </w:pPr>
            <w:r>
              <w:rPr>
                <w:rFonts w:hint="eastAsia" w:ascii="宋体" w:hAnsi="宋体" w:eastAsia="宋体" w:cs="宋体"/>
                <w:sz w:val="21"/>
                <w:szCs w:val="21"/>
                <w:lang w:bidi="ar"/>
              </w:rPr>
              <w:t>查询、收集和整理资料，协助指导标准文本及编写说明的编写、实施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赖才贵</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科技信息事业部知识产权岗</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土木工程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sz w:val="21"/>
                <w:szCs w:val="21"/>
                <w:lang w:bidi="ar"/>
              </w:rPr>
            </w:pPr>
            <w:r>
              <w:rPr>
                <w:rFonts w:hint="eastAsia" w:ascii="宋体" w:hAnsi="宋体" w:eastAsia="宋体" w:cs="宋体"/>
                <w:sz w:val="21"/>
                <w:szCs w:val="21"/>
                <w:lang w:bidi="ar"/>
              </w:rPr>
              <w:t>查询、收集和整理资料，协助指导标准文本及编写说明的编写、实施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胡珊</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秘书长/工程师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工民建</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广西爆破行业协会</w:t>
            </w:r>
          </w:p>
        </w:tc>
        <w:tc>
          <w:tcPr>
            <w:tcW w:w="2160" w:type="dxa"/>
            <w:vAlign w:val="center"/>
          </w:tcPr>
          <w:p>
            <w:pPr>
              <w:jc w:val="center"/>
              <w:rPr>
                <w:rFonts w:hint="eastAsia" w:ascii="宋体" w:hAnsi="宋体" w:eastAsia="宋体" w:cs="宋体"/>
                <w:sz w:val="21"/>
                <w:szCs w:val="21"/>
                <w:lang w:bidi="ar"/>
              </w:rPr>
            </w:pPr>
            <w:r>
              <w:rPr>
                <w:rFonts w:hint="eastAsia" w:ascii="宋体" w:hAnsi="宋体" w:eastAsia="宋体" w:cs="宋体"/>
                <w:sz w:val="21"/>
                <w:szCs w:val="21"/>
                <w:lang w:bidi="ar"/>
              </w:rPr>
              <w:t>查询、收集和整理资料，协助指导标准文本及编写说明的编写、实施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龚成波</w:t>
            </w:r>
          </w:p>
        </w:tc>
        <w:tc>
          <w:tcPr>
            <w:tcW w:w="1829" w:type="dxa"/>
            <w:vAlign w:val="center"/>
          </w:tcPr>
          <w:p>
            <w:pPr>
              <w:rPr>
                <w:rFonts w:hint="eastAsia" w:ascii="宋体" w:hAnsi="宋体" w:eastAsia="宋体" w:cs="宋体"/>
                <w:bCs/>
                <w:sz w:val="21"/>
                <w:szCs w:val="21"/>
              </w:rPr>
            </w:pPr>
            <w:r>
              <w:rPr>
                <w:rFonts w:hint="eastAsia" w:ascii="宋体" w:hAnsi="宋体" w:eastAsia="宋体" w:cs="宋体"/>
                <w:bCs/>
                <w:sz w:val="21"/>
                <w:szCs w:val="21"/>
              </w:rPr>
              <w:t>生产与项目管理事业部总经理/高级工程师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市政公用 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sz w:val="21"/>
                <w:szCs w:val="21"/>
                <w:lang w:bidi="ar"/>
              </w:rPr>
            </w:pPr>
            <w:r>
              <w:rPr>
                <w:rFonts w:hint="eastAsia" w:ascii="宋体" w:hAnsi="宋体" w:eastAsia="宋体" w:cs="宋体"/>
                <w:sz w:val="21"/>
                <w:szCs w:val="21"/>
                <w:lang w:bidi="ar"/>
              </w:rPr>
              <w:t>查询、收集和整理资料，协助指导标准文本及编写说明的编写、实施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陈毅珍</w:t>
            </w:r>
          </w:p>
        </w:tc>
        <w:tc>
          <w:tcPr>
            <w:tcW w:w="1829"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生产与项目管理事业部副总经理/高级工程师</w:t>
            </w:r>
          </w:p>
        </w:tc>
        <w:tc>
          <w:tcPr>
            <w:tcW w:w="15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水利水电工程</w:t>
            </w:r>
          </w:p>
        </w:tc>
        <w:tc>
          <w:tcPr>
            <w:tcW w:w="2014" w:type="dxa"/>
            <w:vAlign w:val="center"/>
          </w:tcPr>
          <w:p>
            <w:pPr>
              <w:jc w:val="center"/>
              <w:rPr>
                <w:rFonts w:hint="eastAsia" w:ascii="宋体" w:hAnsi="宋体" w:eastAsia="宋体" w:cs="宋体"/>
                <w:bCs/>
                <w:sz w:val="21"/>
                <w:szCs w:val="21"/>
              </w:rPr>
            </w:pPr>
            <w:r>
              <w:rPr>
                <w:rFonts w:hint="eastAsia" w:ascii="宋体" w:hAnsi="宋体" w:eastAsia="宋体" w:cs="宋体"/>
                <w:bCs/>
                <w:sz w:val="21"/>
                <w:szCs w:val="21"/>
              </w:rPr>
              <w:t>中国能源建设集团广西水电工程局有限公司</w:t>
            </w:r>
          </w:p>
        </w:tc>
        <w:tc>
          <w:tcPr>
            <w:tcW w:w="2160" w:type="dxa"/>
            <w:vAlign w:val="center"/>
          </w:tcPr>
          <w:p>
            <w:pPr>
              <w:jc w:val="center"/>
              <w:rPr>
                <w:rFonts w:hint="eastAsia" w:ascii="宋体" w:hAnsi="宋体" w:eastAsia="宋体" w:cs="宋体"/>
                <w:sz w:val="21"/>
                <w:szCs w:val="21"/>
                <w:lang w:bidi="ar"/>
              </w:rPr>
            </w:pPr>
            <w:r>
              <w:rPr>
                <w:rFonts w:hint="eastAsia" w:ascii="宋体" w:hAnsi="宋体" w:eastAsia="宋体" w:cs="宋体"/>
                <w:sz w:val="21"/>
                <w:szCs w:val="21"/>
                <w:lang w:bidi="ar"/>
              </w:rPr>
              <w:t>查询、收集和整理资料，协助指导标准文本及编写说明的编写、实施</w:t>
            </w:r>
          </w:p>
        </w:tc>
      </w:tr>
    </w:tbl>
    <w:p>
      <w:pPr>
        <w:rPr>
          <w:rFonts w:ascii="Times New Roman" w:hAnsi="Times New Roman" w:eastAsia="仿宋_GB2312" w:cs="Times New Roman"/>
          <w:b/>
          <w:bCs/>
          <w:sz w:val="32"/>
          <w:szCs w:val="32"/>
        </w:rPr>
      </w:pPr>
      <w:r>
        <w:rPr>
          <w:rFonts w:ascii="Times New Roman" w:hAnsi="Times New Roman" w:eastAsia="仿宋_GB2312" w:cs="Times New Roman"/>
          <w:b/>
          <w:bCs/>
          <w:sz w:val="32"/>
          <w:szCs w:val="32"/>
        </w:rPr>
        <w:t>二、制定标准编制的必要性和意义</w:t>
      </w:r>
    </w:p>
    <w:p>
      <w:pPr>
        <w:pStyle w:val="16"/>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color w:val="auto"/>
          <w:sz w:val="32"/>
          <w:szCs w:val="32"/>
        </w:rPr>
      </w:pPr>
      <w:r>
        <w:rPr>
          <w:rFonts w:ascii="Times New Roman" w:hAnsi="Times New Roman" w:eastAsia="仿宋_GB2312" w:cs="Times New Roman"/>
          <w:color w:val="auto"/>
          <w:sz w:val="32"/>
          <w:szCs w:val="32"/>
        </w:rPr>
        <w:t>近年来，国家水网建设突飞猛进，为我国引调水工程技术发展带来了前所未有的契机，特别是长距离引调水工程，根据当前水利工程发展的趋势，长江勘测规划设计研究院院长钮新强院士2019年在隧道建设期刊上发表的《复杂地质条件下跨流域调水超长深埋隧洞建设需研究的关键技术问题》一文中指出，未来10年将是我国长距离调水工程隧洞建设的高峰期。</w:t>
      </w:r>
    </w:p>
    <w:p>
      <w:pPr>
        <w:pStyle w:val="16"/>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color w:val="auto"/>
          <w:sz w:val="32"/>
          <w:szCs w:val="32"/>
        </w:rPr>
      </w:pPr>
      <w:r>
        <w:rPr>
          <w:rFonts w:ascii="Times New Roman" w:hAnsi="Times New Roman" w:eastAsia="仿宋_GB2312" w:cs="Times New Roman"/>
          <w:color w:val="auto"/>
          <w:sz w:val="32"/>
          <w:szCs w:val="32"/>
        </w:rPr>
        <w:t>引调水工程是国家水网之“纲”，是国家水网的主骨架。随着《国家水网建设规划纲要》的印发，我国当前和今后一段时期内，引调水工程及管网工程建设方兴未艾，水库联网迫在眉睫，在现状水库库区内取水，采取水下岩塞爆破修筑隧洞水下进水口，是经济、快捷、有效的手段和途径，特别是当进水口位于水下较深处，其优越性越加明显。利用水下岩塞爆破的施工方法，对于开发我国西南、西北地区天然湖泊的水利资源，增加已有工程发电能力和重大引调水、增建泄洪或放空水库以及排沙延长水库运用年限等，都可提供有效的技术途径。因此，亟需对国内已实施的水下岩塞爆破技术进行总结，以为接下来的类似工程提供宝贵工程经验。</w:t>
      </w:r>
    </w:p>
    <w:p>
      <w:pPr>
        <w:pStyle w:val="16"/>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ascii="Times New Roman" w:hAnsi="Times New Roman" w:eastAsia="仿宋_GB2312" w:cs="Times New Roman"/>
          <w:color w:val="auto"/>
          <w:sz w:val="32"/>
          <w:szCs w:val="32"/>
        </w:rPr>
      </w:pPr>
      <w:r>
        <w:rPr>
          <w:rFonts w:ascii="Times New Roman" w:hAnsi="Times New Roman" w:eastAsia="仿宋_GB2312" w:cs="Times New Roman"/>
          <w:color w:val="auto"/>
          <w:sz w:val="32"/>
          <w:szCs w:val="32"/>
        </w:rPr>
        <w:t>水下岩塞爆破是一项多学科综合运用的复杂技术，难度极大，目前国内有这方面设计能力和经验的单位很少，中水东北勘测设计研究有限责任公司对水下岩塞爆破技术有较多的经验和积累。国内浙江滩坑水库引水工程和三亚大隆水库西水中调工程都采用了水下岩塞爆破方案。目前浙江滩坑水库、三亚市西水中调工程岩塞已成功爆破，通过两项工程水下岩塞爆破技术系统的理论研究、机理研究、数值仿真研究、试验研究、工程设计研究、施工技术研究、工程实践研究、安全监测分析、和技术交流等全过程系统研究和经验总结，将极大提升水下岩塞爆破领域施工技术，为后续类似工程提供系统性指导和参考，意义重大。</w:t>
      </w:r>
    </w:p>
    <w:p>
      <w:pPr>
        <w:spacing w:line="600" w:lineRule="exact"/>
        <w:outlineLvl w:val="0"/>
        <w:rPr>
          <w:rFonts w:ascii="Times New Roman" w:hAnsi="Times New Roman" w:eastAsia="黑体" w:cs="Times New Roman"/>
          <w:sz w:val="32"/>
          <w:szCs w:val="32"/>
        </w:rPr>
      </w:pPr>
      <w:r>
        <w:rPr>
          <w:rFonts w:ascii="Times New Roman" w:hAnsi="Times New Roman" w:eastAsia="黑体" w:cs="Times New Roman"/>
          <w:sz w:val="32"/>
          <w:szCs w:val="32"/>
        </w:rPr>
        <w:t>三、标准编制过程</w:t>
      </w:r>
    </w:p>
    <w:p>
      <w:pPr>
        <w:spacing w:line="520" w:lineRule="exact"/>
        <w:outlineLvl w:val="1"/>
        <w:rPr>
          <w:rFonts w:ascii="Times New Roman" w:hAnsi="Times New Roman" w:eastAsia="仿宋_GB2312" w:cs="Times New Roman"/>
          <w:b/>
          <w:sz w:val="32"/>
          <w:szCs w:val="32"/>
        </w:rPr>
      </w:pPr>
      <w:r>
        <w:rPr>
          <w:rFonts w:ascii="Times New Roman" w:hAnsi="Times New Roman" w:eastAsia="仿宋_GB2312" w:cs="Times New Roman"/>
          <w:b/>
          <w:sz w:val="32"/>
          <w:szCs w:val="32"/>
        </w:rPr>
        <w:t>（一）成立标准编制工作组</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团体标准《水下岩塞爆破施工规范》项目任务下达后，中国能源建设集团广西水电工程局有限公司牵头成立了标准编制工作组，制定了起草编写方案与进度安排，明确任务职责，确定工作技术路线，开展标准研制工作。编制工作组下设三个组，分别是资料收集组、草案编写组、标准实施组。资料收集组负责国内外有关水下岩塞爆破施工技术资料的查询、收集和整理工作，对水下岩塞爆破施工技术要求进行系统总结，了解目前水下岩塞爆破施工技术的情况，并总结其特点。</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草案编写组负责起草标准草案、征求意见稿和标准编制说明、送审稿及编制说明的编写工作，包括后期召开征求意见会、网上征求意见，以及标准的不断修改和完善。</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28"/>
          <w:szCs w:val="28"/>
        </w:rPr>
      </w:pPr>
      <w:r>
        <w:rPr>
          <w:rFonts w:ascii="Times New Roman" w:hAnsi="Times New Roman" w:eastAsia="仿宋_GB2312" w:cs="Times New Roman"/>
          <w:sz w:val="32"/>
          <w:szCs w:val="32"/>
        </w:rPr>
        <w:t>标准实施组负责《水下岩塞爆破施工规范》团体标准发布后，组织工程相关的单位开展标准宣贯培训会，对标准进行详细解读，让相关技术人员了解标准，并根据标准对水下岩塞爆破施工进行指导，保证施工技术的顺利执行，并对标准实施情况进行总结分析，不断对团体标准提出修正意见。</w:t>
      </w:r>
    </w:p>
    <w:p>
      <w:pPr>
        <w:spacing w:line="520" w:lineRule="exact"/>
        <w:outlineLvl w:val="1"/>
        <w:rPr>
          <w:rFonts w:ascii="Times New Roman" w:hAnsi="Times New Roman" w:eastAsia="仿宋_GB2312" w:cs="Times New Roman"/>
          <w:b/>
          <w:sz w:val="32"/>
          <w:szCs w:val="32"/>
        </w:rPr>
      </w:pPr>
      <w:r>
        <w:rPr>
          <w:rFonts w:ascii="Times New Roman" w:hAnsi="Times New Roman" w:eastAsia="仿宋_GB2312" w:cs="Times New Roman"/>
          <w:b/>
          <w:sz w:val="32"/>
          <w:szCs w:val="32"/>
        </w:rPr>
        <w:t>（二）收集整理文献资料</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标准编制工作组收集了国内有关水下岩塞爆破施工相关文献资料。主要有：</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GB/T 20257.1 国家基本比例尺地图图式</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GB50487 水利水电工程地质勘察规范</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GB50287水力发电工程地质勘察规范</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GB 6722 爆破安全规程</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GB28286 工业炸药通用技术条件</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WJ/T 9085 工业电子雷管</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GA991爆破作业项目管理要求</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SL197水利水电工程测量规范</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SL 378水工建筑物地下开挖工程施工规范</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SL 764水工隧洞安全监测技术规范</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DL/T 5135 水电水利工程爆破施工技术规范</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DL/T5333水电水利工程爆破安全监测规程</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NB/T35029 水电工程测量规范</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NB/T 11667 水下岩塞爆破设计规范</w:t>
      </w:r>
    </w:p>
    <w:p>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ascii="Times New Roman" w:hAnsi="Times New Roman" w:eastAsia="仿宋_GB2312" w:cs="Times New Roman"/>
          <w:sz w:val="32"/>
          <w:szCs w:val="32"/>
        </w:rPr>
      </w:pPr>
      <w:r>
        <w:rPr>
          <w:rFonts w:ascii="Times New Roman" w:hAnsi="Times New Roman" w:eastAsia="仿宋_GB2312" w:cs="Times New Roman"/>
          <w:sz w:val="32"/>
          <w:szCs w:val="32"/>
        </w:rPr>
        <w:t>JTS 204水运工程爆破技术规范</w:t>
      </w:r>
    </w:p>
    <w:p>
      <w:pPr>
        <w:spacing w:line="520" w:lineRule="exact"/>
        <w:outlineLvl w:val="1"/>
        <w:rPr>
          <w:rFonts w:ascii="Times New Roman" w:hAnsi="Times New Roman" w:eastAsia="仿宋_GB2312" w:cs="Times New Roman"/>
          <w:b/>
          <w:sz w:val="32"/>
          <w:szCs w:val="32"/>
        </w:rPr>
      </w:pPr>
      <w:r>
        <w:rPr>
          <w:rFonts w:ascii="Times New Roman" w:hAnsi="Times New Roman" w:eastAsia="仿宋_GB2312" w:cs="Times New Roman"/>
          <w:b/>
          <w:sz w:val="32"/>
          <w:szCs w:val="32"/>
        </w:rPr>
        <w:t>（三）研讨确定标准特色、创新点和主体内容</w:t>
      </w:r>
    </w:p>
    <w:p>
      <w:pPr>
        <w:pStyle w:val="17"/>
        <w:spacing w:line="520" w:lineRule="exact"/>
        <w:ind w:firstLine="643"/>
        <w:outlineLvl w:val="2"/>
        <w:rPr>
          <w:rFonts w:ascii="Times New Roman" w:eastAsia="仿宋_GB2312"/>
          <w:b/>
          <w:sz w:val="32"/>
          <w:szCs w:val="32"/>
        </w:rPr>
      </w:pPr>
      <w:r>
        <w:rPr>
          <w:rFonts w:ascii="Times New Roman" w:eastAsia="仿宋_GB2312"/>
          <w:b/>
          <w:sz w:val="32"/>
          <w:szCs w:val="32"/>
        </w:rPr>
        <w:t>（1）标准特色、创新点</w:t>
      </w:r>
    </w:p>
    <w:p>
      <w:pPr>
        <w:pStyle w:val="17"/>
        <w:keepNext w:val="0"/>
        <w:keepLines w:val="0"/>
        <w:pageBreakBefore w:val="0"/>
        <w:widowControl/>
        <w:kinsoku/>
        <w:wordWrap/>
        <w:overflowPunct/>
        <w:topLinePunct w:val="0"/>
        <w:autoSpaceDE w:val="0"/>
        <w:autoSpaceDN w:val="0"/>
        <w:bidi w:val="0"/>
        <w:adjustRightInd/>
        <w:snapToGrid/>
        <w:spacing w:line="520" w:lineRule="exact"/>
        <w:ind w:firstLine="640"/>
        <w:textAlignment w:val="auto"/>
        <w:outlineLvl w:val="2"/>
        <w:rPr>
          <w:rFonts w:ascii="Times New Roman" w:eastAsia="仿宋_GB2312"/>
          <w:b/>
          <w:sz w:val="32"/>
          <w:szCs w:val="32"/>
        </w:rPr>
      </w:pPr>
      <w:r>
        <w:rPr>
          <w:rFonts w:ascii="Times New Roman" w:eastAsia="仿宋_GB2312"/>
          <w:kern w:val="2"/>
          <w:sz w:val="32"/>
          <w:szCs w:val="32"/>
        </w:rPr>
        <w:t>本标准规定了</w:t>
      </w:r>
      <w:r>
        <w:rPr>
          <w:rFonts w:ascii="Times New Roman" w:eastAsia="仿宋_GB2312"/>
          <w:color w:val="auto"/>
          <w:kern w:val="2"/>
          <w:sz w:val="32"/>
          <w:szCs w:val="32"/>
        </w:rPr>
        <w:t>水下岩塞爆破地质与测量，爆破器材、岩塞钻孔爆破、硐室与排孔结合爆破、爆破安全监测</w:t>
      </w:r>
      <w:r>
        <w:rPr>
          <w:rFonts w:ascii="Times New Roman" w:eastAsia="仿宋_GB2312"/>
          <w:kern w:val="2"/>
          <w:sz w:val="32"/>
          <w:szCs w:val="32"/>
        </w:rPr>
        <w:t>等主要内容，内容</w:t>
      </w:r>
      <w:r>
        <w:rPr>
          <w:rFonts w:ascii="Times New Roman" w:eastAsia="仿宋_GB2312"/>
          <w:bCs/>
          <w:sz w:val="32"/>
          <w:szCs w:val="32"/>
        </w:rPr>
        <w:t>全面且具有指导意义，有助于实现水下岩塞爆破的精准施工，有效保证施工质量。</w:t>
      </w:r>
    </w:p>
    <w:p>
      <w:pPr>
        <w:pStyle w:val="17"/>
        <w:spacing w:line="520" w:lineRule="exact"/>
        <w:ind w:firstLine="643"/>
        <w:outlineLvl w:val="2"/>
        <w:rPr>
          <w:rFonts w:ascii="Times New Roman" w:eastAsia="仿宋_GB2312"/>
          <w:b/>
          <w:sz w:val="32"/>
          <w:szCs w:val="32"/>
        </w:rPr>
      </w:pPr>
      <w:r>
        <w:rPr>
          <w:rFonts w:ascii="Times New Roman" w:eastAsia="仿宋_GB2312"/>
          <w:b/>
          <w:sz w:val="32"/>
          <w:szCs w:val="32"/>
        </w:rPr>
        <w:t>（2）主体内容</w:t>
      </w:r>
    </w:p>
    <w:p>
      <w:pPr>
        <w:pStyle w:val="17"/>
        <w:keepNext w:val="0"/>
        <w:keepLines w:val="0"/>
        <w:pageBreakBefore w:val="0"/>
        <w:widowControl/>
        <w:kinsoku/>
        <w:wordWrap/>
        <w:overflowPunct/>
        <w:topLinePunct w:val="0"/>
        <w:autoSpaceDE w:val="0"/>
        <w:autoSpaceDN w:val="0"/>
        <w:bidi w:val="0"/>
        <w:adjustRightInd/>
        <w:snapToGrid/>
        <w:spacing w:line="520" w:lineRule="exact"/>
        <w:ind w:firstLine="640"/>
        <w:textAlignment w:val="auto"/>
        <w:outlineLvl w:val="2"/>
        <w:rPr>
          <w:rFonts w:ascii="Times New Roman" w:eastAsia="仿宋_GB2312"/>
          <w:kern w:val="2"/>
          <w:sz w:val="32"/>
          <w:szCs w:val="32"/>
        </w:rPr>
      </w:pPr>
      <w:r>
        <w:rPr>
          <w:rFonts w:ascii="Times New Roman" w:eastAsia="仿宋_GB2312"/>
          <w:kern w:val="2"/>
          <w:sz w:val="32"/>
          <w:szCs w:val="32"/>
        </w:rPr>
        <w:t>标准编制工作组在对收集的资料进行整理研究之后，召开了标准编制会议，对标准的整体框架结构进行了研究，并对标准的关键性内容进行了初步探讨。经过研究，标准的主体内容确定为测量与勘察、爆破器材、生产性试验、水下岩塞爆破施工、爆破安全监测、爆破后检查等。</w:t>
      </w:r>
    </w:p>
    <w:p>
      <w:pPr>
        <w:spacing w:line="520" w:lineRule="exact"/>
        <w:outlineLvl w:val="1"/>
        <w:rPr>
          <w:rFonts w:ascii="Times New Roman" w:hAnsi="Times New Roman" w:eastAsia="仿宋_GB2312" w:cs="Times New Roman"/>
          <w:b/>
          <w:sz w:val="32"/>
          <w:szCs w:val="32"/>
        </w:rPr>
      </w:pPr>
      <w:r>
        <w:rPr>
          <w:rFonts w:hint="eastAsia" w:ascii="Times New Roman" w:hAnsi="Times New Roman" w:eastAsia="仿宋_GB2312" w:cs="Times New Roman"/>
          <w:b/>
          <w:sz w:val="32"/>
          <w:szCs w:val="32"/>
          <w:lang w:eastAsia="zh-CN"/>
        </w:rPr>
        <w:t>（四）</w:t>
      </w:r>
      <w:r>
        <w:rPr>
          <w:rFonts w:ascii="Times New Roman" w:hAnsi="Times New Roman" w:eastAsia="仿宋_GB2312" w:cs="Times New Roman"/>
          <w:b/>
          <w:sz w:val="32"/>
          <w:szCs w:val="32"/>
        </w:rPr>
        <w:t>调研、形成文本草案、征求意见稿</w:t>
      </w:r>
    </w:p>
    <w:p>
      <w:pPr>
        <w:pStyle w:val="17"/>
        <w:keepNext w:val="0"/>
        <w:keepLines w:val="0"/>
        <w:pageBreakBefore w:val="0"/>
        <w:widowControl/>
        <w:kinsoku/>
        <w:wordWrap/>
        <w:overflowPunct/>
        <w:topLinePunct w:val="0"/>
        <w:autoSpaceDE w:val="0"/>
        <w:autoSpaceDN w:val="0"/>
        <w:bidi w:val="0"/>
        <w:adjustRightInd/>
        <w:snapToGrid/>
        <w:spacing w:line="520" w:lineRule="exact"/>
        <w:ind w:firstLine="640"/>
        <w:textAlignment w:val="auto"/>
        <w:outlineLvl w:val="2"/>
        <w:rPr>
          <w:rFonts w:ascii="Times New Roman" w:eastAsia="仿宋_GB2312"/>
          <w:kern w:val="2"/>
          <w:sz w:val="32"/>
          <w:szCs w:val="32"/>
        </w:rPr>
      </w:pPr>
      <w:r>
        <w:rPr>
          <w:rFonts w:ascii="Times New Roman" w:eastAsia="仿宋_GB2312"/>
          <w:kern w:val="2"/>
          <w:sz w:val="32"/>
          <w:szCs w:val="32"/>
        </w:rPr>
        <w:t>2025年2月，标准编制工作组查阅了大量的国内文献资料，并实地调研了中国能源建设集团广西水电工程局有限公司、中水珠江规划勘测设计有限公司、长江水利委员会长江科学院、中国葛洲坝集团第一工程有限公司、浙江省正邦水电建设有限公司、广西爆破行业协会，对水下岩塞爆破施工技术进行系统总结。形成了标准的基本构架，对主要内容进行了讨论并对标准的工作进行了部署和安排。</w:t>
      </w:r>
    </w:p>
    <w:p>
      <w:pPr>
        <w:pStyle w:val="17"/>
        <w:keepNext w:val="0"/>
        <w:keepLines w:val="0"/>
        <w:pageBreakBefore w:val="0"/>
        <w:widowControl/>
        <w:kinsoku/>
        <w:wordWrap/>
        <w:overflowPunct/>
        <w:topLinePunct w:val="0"/>
        <w:autoSpaceDE w:val="0"/>
        <w:autoSpaceDN w:val="0"/>
        <w:bidi w:val="0"/>
        <w:adjustRightInd/>
        <w:snapToGrid/>
        <w:spacing w:after="0" w:line="520" w:lineRule="exact"/>
        <w:ind w:firstLine="640"/>
        <w:textAlignment w:val="auto"/>
        <w:outlineLvl w:val="2"/>
        <w:rPr>
          <w:rFonts w:ascii="Times New Roman" w:eastAsia="仿宋_GB2312"/>
          <w:kern w:val="2"/>
          <w:sz w:val="32"/>
          <w:szCs w:val="32"/>
        </w:rPr>
      </w:pPr>
      <w:r>
        <w:rPr>
          <w:rFonts w:ascii="Times New Roman" w:eastAsia="仿宋_GB2312"/>
          <w:kern w:val="2"/>
          <w:sz w:val="32"/>
          <w:szCs w:val="32"/>
        </w:rPr>
        <w:t>2025年7月，在前期工作的基础之上，通过理清逻辑脉络，整合已有参考资料中有水下岩塞爆破施工的要求，并在结合起草单位多年工程项目经验的基础上，按照简化、统一等原则编制完成团体标准《水下岩塞爆破施工》（草案）。</w:t>
      </w:r>
    </w:p>
    <w:p>
      <w:pPr>
        <w:pStyle w:val="17"/>
        <w:keepNext w:val="0"/>
        <w:keepLines w:val="0"/>
        <w:pageBreakBefore w:val="0"/>
        <w:widowControl/>
        <w:kinsoku/>
        <w:wordWrap/>
        <w:overflowPunct/>
        <w:topLinePunct w:val="0"/>
        <w:autoSpaceDE w:val="0"/>
        <w:autoSpaceDN w:val="0"/>
        <w:bidi w:val="0"/>
        <w:adjustRightInd/>
        <w:snapToGrid/>
        <w:spacing w:after="0" w:line="520" w:lineRule="exact"/>
        <w:ind w:firstLine="640"/>
        <w:textAlignment w:val="auto"/>
        <w:outlineLvl w:val="2"/>
        <w:rPr>
          <w:rFonts w:ascii="Times New Roman" w:eastAsia="仿宋_GB2312"/>
          <w:kern w:val="2"/>
          <w:sz w:val="32"/>
          <w:szCs w:val="32"/>
        </w:rPr>
      </w:pPr>
      <w:r>
        <w:rPr>
          <w:rFonts w:ascii="Times New Roman" w:eastAsia="仿宋_GB2312"/>
          <w:kern w:val="2"/>
          <w:sz w:val="32"/>
          <w:szCs w:val="32"/>
        </w:rPr>
        <w:t>2025年8月8日标准编制工作组中国能源建设集团广西水电工程局有限公司、中水珠江规划勘测设计有限公司、长江水利委员会长江科学院、中国葛洲坝集团第一工程有限公司、浙江省正邦水电建设有限公司、广西爆破行业协会等单位召开了标准草案的讨论会，就水下岩塞爆破的测量与勘察、爆破器材、生产性试验、水下岩塞爆破施工、爆破安全监测、爆破后检查等内容进行了讨论，汇总了大量反馈意见，对《水下岩塞爆破施工》（草案）进行修改完善。2025年11月4日，针对修改完善后的《水下岩塞爆破施工》（草案），标准编制工作组结合多年工程项目经验，进行多次深入讨论，根据讨论意见进行修改，并形成团体标准《水下岩塞爆破施工》（征求意见稿）和编制说明。</w:t>
      </w:r>
    </w:p>
    <w:p>
      <w:pPr>
        <w:spacing w:line="520" w:lineRule="exact"/>
        <w:ind w:firstLine="640" w:firstLineChars="200"/>
        <w:outlineLvl w:val="0"/>
        <w:rPr>
          <w:rFonts w:ascii="Times New Roman" w:hAnsi="Times New Roman" w:eastAsia="黑体" w:cs="Times New Roman"/>
          <w:sz w:val="32"/>
          <w:szCs w:val="32"/>
        </w:rPr>
      </w:pPr>
      <w:r>
        <w:rPr>
          <w:rFonts w:ascii="Times New Roman" w:hAnsi="Times New Roman" w:eastAsia="黑体" w:cs="Times New Roman"/>
          <w:sz w:val="32"/>
          <w:szCs w:val="32"/>
        </w:rPr>
        <w:t>四、制定标准的原则和依据，</w:t>
      </w:r>
      <w:bookmarkStart w:id="3" w:name="OLE_LINK2"/>
      <w:r>
        <w:rPr>
          <w:rFonts w:ascii="Times New Roman" w:hAnsi="Times New Roman" w:eastAsia="黑体" w:cs="Times New Roman"/>
          <w:sz w:val="32"/>
          <w:szCs w:val="32"/>
        </w:rPr>
        <w:t>与现行法律、法规的关系，与有关国家标准、行业标准的协调情况</w:t>
      </w:r>
    </w:p>
    <w:bookmarkEnd w:id="3"/>
    <w:p>
      <w:pPr>
        <w:spacing w:line="520" w:lineRule="exact"/>
        <w:outlineLvl w:val="1"/>
        <w:rPr>
          <w:rFonts w:ascii="Times New Roman" w:hAnsi="Times New Roman" w:eastAsia="仿宋_GB2312" w:cs="Times New Roman"/>
          <w:b/>
          <w:sz w:val="32"/>
          <w:szCs w:val="32"/>
        </w:rPr>
      </w:pPr>
      <w:r>
        <w:rPr>
          <w:rFonts w:ascii="Times New Roman" w:hAnsi="Times New Roman" w:eastAsia="仿宋_GB2312" w:cs="Times New Roman"/>
          <w:b/>
          <w:sz w:val="32"/>
          <w:szCs w:val="32"/>
        </w:rPr>
        <w:t>（一）制定标准的原则。</w:t>
      </w:r>
    </w:p>
    <w:p>
      <w:pPr>
        <w:spacing w:line="52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按</w:t>
      </w:r>
      <w:r>
        <w:rPr>
          <w:rFonts w:ascii="Times New Roman" w:hAnsi="Times New Roman" w:eastAsia="仿宋_GB2312" w:cs="Times New Roman"/>
          <w:kern w:val="2"/>
          <w:sz w:val="32"/>
          <w:szCs w:val="32"/>
          <w:lang w:val="en-US" w:eastAsia="zh-CN" w:bidi="ar-SA"/>
        </w:rPr>
        <w:t>照 GB/T 1.1—2020《标准化工作导则 第 1 部分：标准化文件的结构和起草规则》的要求进行编写。遵照相关法律、法规和强制性标准的要求，在编制过程中着重考虑了科学性、适用性和可操作性。此外，工作组在制定标准过程中遵循“高起点、严要求、适宜性、及时修订、不断完善”的原则，推动水下岩塞爆破施工技术的发展。</w:t>
      </w:r>
    </w:p>
    <w:p>
      <w:pPr>
        <w:spacing w:line="520" w:lineRule="exact"/>
        <w:outlineLvl w:val="1"/>
        <w:rPr>
          <w:rFonts w:ascii="Times New Roman" w:hAnsi="Times New Roman" w:eastAsia="仿宋_GB2312" w:cs="Times New Roman"/>
          <w:b/>
          <w:sz w:val="32"/>
          <w:szCs w:val="32"/>
        </w:rPr>
      </w:pPr>
      <w:r>
        <w:rPr>
          <w:rFonts w:ascii="Times New Roman" w:hAnsi="Times New Roman" w:eastAsia="仿宋_GB2312" w:cs="Times New Roman"/>
          <w:b/>
          <w:sz w:val="32"/>
          <w:szCs w:val="32"/>
        </w:rPr>
        <w:t>（二）制定标准的依据</w:t>
      </w:r>
    </w:p>
    <w:p>
      <w:pPr>
        <w:pStyle w:val="17"/>
        <w:keepNext w:val="0"/>
        <w:keepLines w:val="0"/>
        <w:pageBreakBefore w:val="0"/>
        <w:widowControl/>
        <w:kinsoku/>
        <w:wordWrap/>
        <w:overflowPunct/>
        <w:topLinePunct w:val="0"/>
        <w:autoSpaceDE w:val="0"/>
        <w:autoSpaceDN w:val="0"/>
        <w:bidi w:val="0"/>
        <w:adjustRightInd/>
        <w:snapToGrid/>
        <w:spacing w:after="0" w:line="520" w:lineRule="exact"/>
        <w:ind w:firstLine="640"/>
        <w:textAlignment w:val="auto"/>
        <w:outlineLvl w:val="2"/>
        <w:rPr>
          <w:rFonts w:ascii="Times New Roman" w:eastAsia="仿宋_GB2312"/>
          <w:kern w:val="2"/>
          <w:sz w:val="32"/>
          <w:szCs w:val="32"/>
        </w:rPr>
      </w:pPr>
      <w:r>
        <w:rPr>
          <w:rFonts w:ascii="Times New Roman" w:eastAsia="仿宋_GB2312"/>
          <w:kern w:val="2"/>
          <w:sz w:val="32"/>
          <w:szCs w:val="32"/>
        </w:rPr>
        <w:t>标准的制定严格按照标准制定的相关要求，参照 GB/T 1.1—2020《标准化工作导则 第1 部分：标准化文件的结构和起草规则》的要求和规定，确定标准的组成要素。在制定过程中还主要遵循了以下标准：</w:t>
      </w:r>
    </w:p>
    <w:p>
      <w:pPr>
        <w:pStyle w:val="17"/>
        <w:keepNext w:val="0"/>
        <w:keepLines w:val="0"/>
        <w:pageBreakBefore w:val="0"/>
        <w:widowControl/>
        <w:kinsoku/>
        <w:wordWrap/>
        <w:overflowPunct/>
        <w:topLinePunct w:val="0"/>
        <w:autoSpaceDE w:val="0"/>
        <w:autoSpaceDN w:val="0"/>
        <w:bidi w:val="0"/>
        <w:adjustRightInd/>
        <w:snapToGrid/>
        <w:spacing w:after="0" w:line="520" w:lineRule="exact"/>
        <w:ind w:firstLine="640"/>
        <w:textAlignment w:val="auto"/>
        <w:outlineLvl w:val="2"/>
        <w:rPr>
          <w:rFonts w:ascii="Times New Roman" w:eastAsia="仿宋_GB2312"/>
          <w:kern w:val="2"/>
          <w:sz w:val="32"/>
          <w:szCs w:val="32"/>
        </w:rPr>
      </w:pPr>
      <w:r>
        <w:rPr>
          <w:rFonts w:ascii="Times New Roman" w:eastAsia="仿宋_GB2312"/>
          <w:kern w:val="2"/>
          <w:sz w:val="32"/>
          <w:szCs w:val="32"/>
        </w:rPr>
        <w:t>GB 6722-2014 爆破安全规程</w:t>
      </w:r>
    </w:p>
    <w:p>
      <w:pPr>
        <w:pStyle w:val="17"/>
        <w:keepNext w:val="0"/>
        <w:keepLines w:val="0"/>
        <w:pageBreakBefore w:val="0"/>
        <w:widowControl/>
        <w:kinsoku/>
        <w:wordWrap/>
        <w:overflowPunct/>
        <w:topLinePunct w:val="0"/>
        <w:autoSpaceDE w:val="0"/>
        <w:autoSpaceDN w:val="0"/>
        <w:bidi w:val="0"/>
        <w:adjustRightInd/>
        <w:snapToGrid/>
        <w:spacing w:after="0" w:line="520" w:lineRule="exact"/>
        <w:ind w:firstLine="640"/>
        <w:textAlignment w:val="auto"/>
        <w:outlineLvl w:val="2"/>
        <w:rPr>
          <w:rFonts w:ascii="Times New Roman" w:eastAsia="仿宋_GB2312"/>
          <w:kern w:val="2"/>
          <w:sz w:val="32"/>
          <w:szCs w:val="32"/>
        </w:rPr>
      </w:pPr>
      <w:r>
        <w:rPr>
          <w:rFonts w:ascii="Times New Roman" w:eastAsia="仿宋_GB2312"/>
          <w:kern w:val="2"/>
          <w:sz w:val="32"/>
          <w:szCs w:val="32"/>
        </w:rPr>
        <w:t>NB/T 11667-2024 水下岩塞爆破设计规范</w:t>
      </w:r>
    </w:p>
    <w:p>
      <w:pPr>
        <w:pStyle w:val="17"/>
        <w:keepNext w:val="0"/>
        <w:keepLines w:val="0"/>
        <w:pageBreakBefore w:val="0"/>
        <w:widowControl/>
        <w:kinsoku/>
        <w:wordWrap/>
        <w:overflowPunct/>
        <w:topLinePunct w:val="0"/>
        <w:autoSpaceDE w:val="0"/>
        <w:autoSpaceDN w:val="0"/>
        <w:bidi w:val="0"/>
        <w:adjustRightInd/>
        <w:snapToGrid/>
        <w:spacing w:after="0" w:line="520" w:lineRule="exact"/>
        <w:ind w:firstLine="640"/>
        <w:textAlignment w:val="auto"/>
        <w:outlineLvl w:val="2"/>
        <w:rPr>
          <w:rFonts w:ascii="Times New Roman" w:eastAsia="仿宋_GB2312"/>
          <w:kern w:val="2"/>
          <w:sz w:val="32"/>
          <w:szCs w:val="32"/>
        </w:rPr>
      </w:pPr>
      <w:r>
        <w:rPr>
          <w:rFonts w:ascii="Times New Roman" w:eastAsia="仿宋_GB2312"/>
          <w:kern w:val="2"/>
          <w:sz w:val="32"/>
          <w:szCs w:val="32"/>
        </w:rPr>
        <w:t>JTS 204-2023 水运工程爆破技术规范</w:t>
      </w:r>
    </w:p>
    <w:p>
      <w:pPr>
        <w:pStyle w:val="17"/>
        <w:keepNext w:val="0"/>
        <w:keepLines w:val="0"/>
        <w:pageBreakBefore w:val="0"/>
        <w:widowControl/>
        <w:kinsoku/>
        <w:wordWrap/>
        <w:overflowPunct/>
        <w:topLinePunct w:val="0"/>
        <w:autoSpaceDE w:val="0"/>
        <w:autoSpaceDN w:val="0"/>
        <w:bidi w:val="0"/>
        <w:adjustRightInd/>
        <w:snapToGrid/>
        <w:spacing w:after="0" w:line="520" w:lineRule="exact"/>
        <w:ind w:firstLine="640"/>
        <w:textAlignment w:val="auto"/>
        <w:outlineLvl w:val="2"/>
        <w:rPr>
          <w:rFonts w:ascii="Times New Roman" w:eastAsia="仿宋_GB2312"/>
          <w:kern w:val="2"/>
          <w:sz w:val="32"/>
          <w:szCs w:val="32"/>
        </w:rPr>
      </w:pPr>
      <w:r>
        <w:rPr>
          <w:rFonts w:ascii="Times New Roman" w:eastAsia="仿宋_GB2312"/>
          <w:kern w:val="2"/>
          <w:sz w:val="32"/>
          <w:szCs w:val="32"/>
        </w:rPr>
        <w:t>DLT 5135-2013《水电水利工程爆破施工技术规范</w:t>
      </w:r>
    </w:p>
    <w:p>
      <w:pPr>
        <w:spacing w:line="520" w:lineRule="exact"/>
        <w:outlineLvl w:val="1"/>
        <w:rPr>
          <w:rFonts w:ascii="Times New Roman" w:hAnsi="Times New Roman" w:eastAsia="仿宋_GB2312" w:cs="Times New Roman"/>
          <w:b/>
          <w:sz w:val="32"/>
          <w:szCs w:val="32"/>
        </w:rPr>
      </w:pPr>
      <w:r>
        <w:rPr>
          <w:rFonts w:ascii="Times New Roman" w:hAnsi="Times New Roman" w:eastAsia="仿宋_GB2312" w:cs="Times New Roman"/>
          <w:b/>
          <w:sz w:val="32"/>
          <w:szCs w:val="32"/>
        </w:rPr>
        <w:t>（三）与现行法律、法规的关系，与有关国家标准、行业标准的协调</w:t>
      </w:r>
    </w:p>
    <w:p>
      <w:pPr>
        <w:pStyle w:val="17"/>
        <w:keepNext w:val="0"/>
        <w:keepLines w:val="0"/>
        <w:pageBreakBefore w:val="0"/>
        <w:widowControl/>
        <w:kinsoku/>
        <w:wordWrap/>
        <w:overflowPunct/>
        <w:topLinePunct w:val="0"/>
        <w:autoSpaceDE w:val="0"/>
        <w:autoSpaceDN w:val="0"/>
        <w:bidi w:val="0"/>
        <w:adjustRightInd/>
        <w:snapToGrid/>
        <w:spacing w:line="520" w:lineRule="exact"/>
        <w:ind w:firstLine="640"/>
        <w:textAlignment w:val="auto"/>
        <w:outlineLvl w:val="2"/>
        <w:rPr>
          <w:rFonts w:ascii="Times New Roman" w:eastAsia="仿宋_GB2312"/>
          <w:kern w:val="2"/>
          <w:sz w:val="32"/>
          <w:szCs w:val="32"/>
        </w:rPr>
      </w:pPr>
      <w:r>
        <w:rPr>
          <w:rFonts w:ascii="Times New Roman" w:eastAsia="仿宋_GB2312"/>
          <w:kern w:val="2"/>
          <w:sz w:val="32"/>
          <w:szCs w:val="32"/>
        </w:rPr>
        <w:t>现阶段，国内暂无水下岩塞爆破施工技术的国家标准、行业标准及其他省市地方标准，在对水下岩塞爆破施工工艺、钻爆施工设计、爆破安全等内容与现行的GB 6722-2014《爆破安全规程》、NB/T11667-2024《水下岩塞爆破设计规范》、JTS 204-2023《水运工程爆破技术规范》、DLT 5135-2013《水电水利工程爆破施工技术规范》，保持兼容和一致，便于参考实施。</w:t>
      </w:r>
    </w:p>
    <w:p>
      <w:pPr>
        <w:numPr>
          <w:ilvl w:val="0"/>
          <w:numId w:val="1"/>
        </w:numPr>
        <w:spacing w:line="520" w:lineRule="exact"/>
        <w:outlineLvl w:val="0"/>
        <w:rPr>
          <w:rFonts w:ascii="Times New Roman" w:hAnsi="Times New Roman" w:eastAsia="黑体" w:cs="Times New Roman"/>
          <w:sz w:val="32"/>
          <w:szCs w:val="32"/>
        </w:rPr>
      </w:pPr>
      <w:r>
        <w:rPr>
          <w:rFonts w:ascii="Times New Roman" w:hAnsi="Times New Roman" w:eastAsia="黑体" w:cs="Times New Roman"/>
          <w:sz w:val="32"/>
          <w:szCs w:val="32"/>
        </w:rPr>
        <w:t>主要条款说明</w:t>
      </w:r>
    </w:p>
    <w:p>
      <w:pPr>
        <w:pStyle w:val="17"/>
        <w:keepNext w:val="0"/>
        <w:keepLines w:val="0"/>
        <w:pageBreakBefore w:val="0"/>
        <w:widowControl/>
        <w:kinsoku/>
        <w:wordWrap/>
        <w:overflowPunct/>
        <w:topLinePunct w:val="0"/>
        <w:autoSpaceDE w:val="0"/>
        <w:autoSpaceDN w:val="0"/>
        <w:bidi w:val="0"/>
        <w:adjustRightInd/>
        <w:snapToGrid/>
        <w:spacing w:line="520" w:lineRule="exact"/>
        <w:ind w:firstLine="640"/>
        <w:textAlignment w:val="auto"/>
        <w:outlineLvl w:val="2"/>
        <w:rPr>
          <w:rFonts w:ascii="Times New Roman" w:eastAsia="仿宋_GB2312"/>
          <w:kern w:val="2"/>
          <w:sz w:val="32"/>
          <w:szCs w:val="32"/>
        </w:rPr>
      </w:pPr>
      <w:r>
        <w:rPr>
          <w:rFonts w:ascii="Times New Roman" w:eastAsia="仿宋_GB2312"/>
          <w:kern w:val="2"/>
          <w:sz w:val="32"/>
          <w:szCs w:val="32"/>
          <w:lang w:val="zh-CN"/>
        </w:rPr>
        <w:t>团体标准《水下岩塞爆破施工》主要内容</w:t>
      </w:r>
      <w:r>
        <w:rPr>
          <w:rFonts w:ascii="Times New Roman" w:eastAsia="仿宋_GB2312"/>
          <w:kern w:val="2"/>
          <w:sz w:val="32"/>
          <w:szCs w:val="32"/>
        </w:rPr>
        <w:t>为地质与测量、爆破器材、岩塞钻孔爆破、硐室与排孔结合爆破、爆破安全监测、质量与安全、爆破后检查等内容。标准主要条款的说明如下：</w:t>
      </w:r>
    </w:p>
    <w:p>
      <w:pPr>
        <w:spacing w:line="520" w:lineRule="exact"/>
        <w:outlineLvl w:val="1"/>
        <w:rPr>
          <w:rFonts w:ascii="Times New Roman" w:hAnsi="Times New Roman" w:eastAsia="仿宋_GB2312" w:cs="Times New Roman"/>
          <w:b/>
          <w:sz w:val="32"/>
          <w:szCs w:val="32"/>
        </w:rPr>
      </w:pPr>
      <w:r>
        <w:rPr>
          <w:rFonts w:ascii="Times New Roman" w:hAnsi="Times New Roman" w:eastAsia="仿宋_GB2312" w:cs="Times New Roman"/>
          <w:b/>
          <w:sz w:val="32"/>
          <w:szCs w:val="32"/>
        </w:rPr>
        <w:t>（一）测量与勘察</w:t>
      </w:r>
    </w:p>
    <w:p>
      <w:pPr>
        <w:pStyle w:val="15"/>
        <w:keepNext w:val="0"/>
        <w:keepLines w:val="0"/>
        <w:pageBreakBefore w:val="0"/>
        <w:widowControl w:val="0"/>
        <w:kinsoku/>
        <w:wordWrap/>
        <w:overflowPunct/>
        <w:topLinePunct w:val="0"/>
        <w:autoSpaceDE w:val="0"/>
        <w:autoSpaceDN w:val="0"/>
        <w:bidi w:val="0"/>
        <w:adjustRightInd w:val="0"/>
        <w:snapToGrid/>
        <w:spacing w:after="0" w:line="520" w:lineRule="exact"/>
        <w:ind w:firstLine="640" w:firstLineChars="200"/>
        <w:textAlignment w:val="auto"/>
        <w:rPr>
          <w:rFonts w:ascii="Times New Roman" w:eastAsia="仿宋_GB2312" w:cs="Times New Roman"/>
          <w:color w:val="auto"/>
          <w:kern w:val="2"/>
          <w:sz w:val="32"/>
          <w:szCs w:val="32"/>
        </w:rPr>
      </w:pPr>
      <w:r>
        <w:rPr>
          <w:rFonts w:ascii="Times New Roman" w:eastAsia="仿宋_GB2312" w:cs="Times New Roman"/>
          <w:color w:val="auto"/>
          <w:kern w:val="2"/>
          <w:sz w:val="32"/>
          <w:szCs w:val="32"/>
        </w:rPr>
        <w:t>水下岩塞爆破施工，需建立专用控制网并复核，复测地形、监测周边、核对预留岩体轮廓；精确钻孔定位，成果经监理复核、关键数据第三方检测；锁口段</w:t>
      </w:r>
      <w:r>
        <w:rPr>
          <w:rFonts w:hint="eastAsia" w:ascii="Times New Roman" w:eastAsia="仿宋_GB2312" w:cs="Times New Roman"/>
          <w:color w:val="auto"/>
          <w:kern w:val="2"/>
          <w:sz w:val="32"/>
          <w:szCs w:val="32"/>
          <w:lang w:val="en-US" w:eastAsia="zh-CN"/>
        </w:rPr>
        <w:t>施工对岩塞</w:t>
      </w:r>
      <w:r>
        <w:rPr>
          <w:rFonts w:ascii="Times New Roman" w:eastAsia="仿宋_GB2312" w:cs="Times New Roman"/>
          <w:color w:val="auto"/>
          <w:kern w:val="2"/>
          <w:sz w:val="32"/>
          <w:szCs w:val="32"/>
        </w:rPr>
        <w:t>不少于5个超前勘探孔，做好防涌水，勘察后灌浆封堵。</w:t>
      </w:r>
    </w:p>
    <w:p>
      <w:pPr>
        <w:pStyle w:val="15"/>
        <w:keepNext w:val="0"/>
        <w:keepLines w:val="0"/>
        <w:pageBreakBefore w:val="0"/>
        <w:widowControl w:val="0"/>
        <w:kinsoku/>
        <w:wordWrap/>
        <w:overflowPunct/>
        <w:topLinePunct w:val="0"/>
        <w:autoSpaceDE w:val="0"/>
        <w:autoSpaceDN w:val="0"/>
        <w:bidi w:val="0"/>
        <w:adjustRightInd w:val="0"/>
        <w:snapToGrid/>
        <w:spacing w:after="0" w:line="52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rPr>
        <w:t>说明：</w:t>
      </w:r>
      <w:r>
        <w:rPr>
          <w:rFonts w:hint="eastAsia" w:ascii="仿宋" w:hAnsi="仿宋" w:eastAsia="仿宋" w:cs="仿宋"/>
          <w:b w:val="0"/>
          <w:bCs w:val="0"/>
          <w:color w:val="auto"/>
          <w:sz w:val="32"/>
          <w:szCs w:val="32"/>
          <w:lang w:val="en-US" w:eastAsia="zh-CN"/>
        </w:rPr>
        <w:t>掏槽孔</w:t>
      </w:r>
      <w:r>
        <w:rPr>
          <w:rFonts w:hint="eastAsia" w:ascii="仿宋" w:hAnsi="仿宋" w:eastAsia="仿宋" w:cs="仿宋"/>
          <w:color w:val="auto"/>
          <w:sz w:val="32"/>
          <w:szCs w:val="32"/>
          <w:lang w:val="en-US" w:eastAsia="zh-CN"/>
        </w:rPr>
        <w:t>钻孔定位精度要求，是因为掏槽孔的孔距小，为了保证掏槽孔钻孔时不发生串孔，提出孔位的定位和钻孔方向的要求。一般掏槽孔中心距是20cm，孔径是9cm，孔壁间只有11cm，岩塞厚度7~8m，孔向偏差0.8°时，会发生串孔。（如图1和图2）</w:t>
      </w:r>
    </w:p>
    <w:p>
      <w:pPr>
        <w:pStyle w:val="15"/>
        <w:keepNext w:val="0"/>
        <w:keepLines w:val="0"/>
        <w:pageBreakBefore w:val="0"/>
        <w:widowControl w:val="0"/>
        <w:kinsoku/>
        <w:wordWrap/>
        <w:overflowPunct/>
        <w:topLinePunct w:val="0"/>
        <w:autoSpaceDE w:val="0"/>
        <w:autoSpaceDN w:val="0"/>
        <w:bidi w:val="0"/>
        <w:adjustRightInd w:val="0"/>
        <w:snapToGrid/>
        <w:spacing w:after="0" w:line="520" w:lineRule="exact"/>
        <w:ind w:firstLine="640" w:firstLineChars="200"/>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rPr>
        <w:t>为了</w:t>
      </w:r>
      <w:r>
        <w:rPr>
          <w:rFonts w:hint="eastAsia" w:ascii="仿宋" w:hAnsi="仿宋" w:eastAsia="仿宋" w:cs="仿宋"/>
          <w:color w:val="auto"/>
          <w:sz w:val="32"/>
          <w:szCs w:val="32"/>
          <w:lang w:val="en-US" w:eastAsia="zh-CN"/>
        </w:rPr>
        <w:t>复核岩塞的厚度、地形和围岩情况，施工期水下岩塞部位有必要布置由内向外辐射的超前勘探钻孔，孔数多于5个。探孔数量根据岩塞大小确定，大的岩塞宜采用多于5个孔，小的岩塞</w:t>
      </w:r>
      <w:r>
        <w:rPr>
          <w:rFonts w:hint="eastAsia" w:ascii="仿宋" w:hAnsi="仿宋" w:eastAsia="仿宋" w:cs="仿宋"/>
          <w:color w:val="auto"/>
          <w:sz w:val="32"/>
          <w:szCs w:val="32"/>
        </w:rPr>
        <w:t>应在岩塞体上、下、左、右及中部布置5个超前勘探孔</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rPr>
        <w:t>根据这5个勘探孔取芯成果</w:t>
      </w:r>
      <w:r>
        <w:rPr>
          <w:rFonts w:hint="eastAsia" w:ascii="仿宋" w:hAnsi="仿宋" w:eastAsia="仿宋" w:cs="仿宋"/>
          <w:color w:val="auto"/>
          <w:sz w:val="32"/>
          <w:szCs w:val="32"/>
          <w:lang w:val="en-US" w:eastAsia="zh-CN"/>
        </w:rPr>
        <w:t>与水下地形测量成果及勘察成果对比，为水下岩塞爆破提供技术支撑</w:t>
      </w:r>
      <w:r>
        <w:rPr>
          <w:rFonts w:hint="eastAsia" w:ascii="仿宋" w:hAnsi="仿宋" w:eastAsia="仿宋" w:cs="仿宋"/>
          <w:color w:val="auto"/>
          <w:sz w:val="32"/>
          <w:szCs w:val="32"/>
        </w:rPr>
        <w:t>。</w:t>
      </w:r>
      <w:r>
        <w:rPr>
          <w:rFonts w:hint="eastAsia" w:ascii="仿宋" w:hAnsi="仿宋" w:eastAsia="仿宋" w:cs="仿宋"/>
          <w:color w:val="auto"/>
          <w:sz w:val="32"/>
          <w:szCs w:val="32"/>
          <w:lang w:val="en-US" w:eastAsia="zh-CN"/>
        </w:rPr>
        <w:t>水下地形测量存在偏差，采用测量船测量时，当水库底部有一层浓混蚀水层时，无法测到地面，产生偏差，采用</w:t>
      </w:r>
      <w:r>
        <w:rPr>
          <w:rFonts w:hint="eastAsia" w:ascii="仿宋" w:hAnsi="仿宋" w:eastAsia="仿宋" w:cs="仿宋"/>
          <w:color w:val="auto"/>
          <w:sz w:val="32"/>
          <w:szCs w:val="32"/>
        </w:rPr>
        <w:t>在岩塞体上、下、左、右及中部布置5个超前勘探孔</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lang w:val="en-US" w:eastAsia="zh-CN"/>
        </w:rPr>
        <w:t>可以准确复核岩</w:t>
      </w:r>
      <w:r>
        <w:rPr>
          <w:rFonts w:hint="eastAsia" w:ascii="仿宋" w:hAnsi="仿宋" w:eastAsia="仿宋" w:cs="仿宋"/>
          <w:b w:val="0"/>
          <w:bCs w:val="0"/>
          <w:color w:val="auto"/>
          <w:sz w:val="32"/>
          <w:szCs w:val="32"/>
        </w:rPr>
        <w:t>面线</w:t>
      </w:r>
      <w:r>
        <w:rPr>
          <w:rFonts w:hint="eastAsia" w:ascii="仿宋" w:hAnsi="仿宋" w:eastAsia="仿宋" w:cs="仿宋"/>
          <w:color w:val="auto"/>
          <w:sz w:val="32"/>
          <w:szCs w:val="32"/>
          <w:lang w:val="en-US" w:eastAsia="zh-CN"/>
        </w:rPr>
        <w:t>，保证钻孔的施工安全。</w:t>
      </w:r>
      <w:r>
        <w:rPr>
          <w:rFonts w:hint="eastAsia" w:ascii="仿宋" w:hAnsi="仿宋" w:eastAsia="仿宋" w:cs="仿宋"/>
          <w:b w:val="0"/>
          <w:bCs/>
          <w:color w:val="auto"/>
          <w:sz w:val="32"/>
          <w:szCs w:val="32"/>
          <w:lang w:val="en-US" w:eastAsia="zh-CN"/>
        </w:rPr>
        <w:t>在三亚西水中调</w:t>
      </w:r>
      <w:r>
        <w:rPr>
          <w:rFonts w:hint="eastAsia" w:ascii="仿宋" w:hAnsi="仿宋" w:eastAsia="仿宋" w:cs="仿宋"/>
          <w:b w:val="0"/>
          <w:bCs/>
          <w:color w:val="auto"/>
          <w:sz w:val="32"/>
          <w:szCs w:val="32"/>
        </w:rPr>
        <w:t>工程岩塞爆破</w:t>
      </w:r>
      <w:r>
        <w:rPr>
          <w:rFonts w:hint="eastAsia" w:ascii="仿宋" w:hAnsi="仿宋" w:eastAsia="仿宋" w:cs="仿宋"/>
          <w:b w:val="0"/>
          <w:bCs/>
          <w:color w:val="auto"/>
          <w:sz w:val="32"/>
          <w:szCs w:val="32"/>
          <w:lang w:val="en-US" w:eastAsia="zh-CN"/>
        </w:rPr>
        <w:t>钻孔，钻孔前钻了5个探孔，复核了</w:t>
      </w:r>
      <w:r>
        <w:rPr>
          <w:rFonts w:hint="eastAsia" w:ascii="仿宋" w:hAnsi="仿宋" w:eastAsia="仿宋" w:cs="仿宋"/>
          <w:color w:val="auto"/>
          <w:sz w:val="32"/>
          <w:szCs w:val="32"/>
          <w:lang w:val="en-US" w:eastAsia="zh-CN"/>
        </w:rPr>
        <w:t>岩</w:t>
      </w:r>
      <w:r>
        <w:rPr>
          <w:rFonts w:hint="eastAsia" w:ascii="仿宋" w:hAnsi="仿宋" w:eastAsia="仿宋" w:cs="仿宋"/>
          <w:b w:val="0"/>
          <w:bCs w:val="0"/>
          <w:color w:val="auto"/>
          <w:sz w:val="32"/>
          <w:szCs w:val="32"/>
        </w:rPr>
        <w:t>面线</w:t>
      </w:r>
      <w:r>
        <w:rPr>
          <w:rFonts w:hint="eastAsia" w:ascii="仿宋" w:hAnsi="仿宋" w:eastAsia="仿宋" w:cs="仿宋"/>
          <w:b w:val="0"/>
          <w:bCs/>
          <w:color w:val="auto"/>
          <w:sz w:val="32"/>
          <w:szCs w:val="32"/>
          <w:lang w:val="en-US" w:eastAsia="zh-CN"/>
        </w:rPr>
        <w:t>，在钻炮孔过程中，有一个钻通到水库，造成无防备的大涌水，影响施工安全和施工进度。</w:t>
      </w:r>
      <w:r>
        <w:rPr>
          <w:rFonts w:hint="eastAsia" w:ascii="仿宋" w:hAnsi="仿宋" w:eastAsia="仿宋" w:cs="仿宋"/>
          <w:color w:val="auto"/>
          <w:sz w:val="32"/>
          <w:szCs w:val="32"/>
          <w:lang w:val="en-US" w:eastAsia="zh-CN"/>
        </w:rPr>
        <w:t xml:space="preserve"> </w:t>
      </w:r>
    </w:p>
    <w:p>
      <w:pPr>
        <w:pStyle w:val="15"/>
        <w:keepNext w:val="0"/>
        <w:keepLines w:val="0"/>
        <w:pageBreakBefore w:val="0"/>
        <w:widowControl w:val="0"/>
        <w:kinsoku/>
        <w:wordWrap/>
        <w:overflowPunct/>
        <w:topLinePunct w:val="0"/>
        <w:autoSpaceDE w:val="0"/>
        <w:autoSpaceDN w:val="0"/>
        <w:bidi w:val="0"/>
        <w:adjustRightInd w:val="0"/>
        <w:snapToGrid/>
        <w:spacing w:after="0" w:line="520"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参照《水下岩塞爆破设计规范》(NB/T 11667-2024)条文说明4.3.4给出的解释。</w:t>
      </w:r>
    </w:p>
    <w:p>
      <w:pPr>
        <w:pStyle w:val="15"/>
        <w:rPr>
          <w:rFonts w:ascii="宋体" w:hAnsi="宋体" w:eastAsia="宋体" w:cs="宋体"/>
          <w:sz w:val="24"/>
          <w:szCs w:val="24"/>
        </w:rPr>
      </w:pPr>
      <w:r>
        <w:rPr>
          <w:rFonts w:ascii="宋体" w:hAnsi="宋体" w:eastAsia="宋体" w:cs="宋体"/>
          <w:sz w:val="24"/>
          <w:szCs w:val="24"/>
        </w:rPr>
        <w:drawing>
          <wp:inline distT="0" distB="0" distL="114300" distR="114300">
            <wp:extent cx="5243830" cy="2880995"/>
            <wp:effectExtent l="0" t="0" r="13970" b="1460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6"/>
                    <a:stretch>
                      <a:fillRect/>
                    </a:stretch>
                  </pic:blipFill>
                  <pic:spPr>
                    <a:xfrm>
                      <a:off x="0" y="0"/>
                      <a:ext cx="5243830" cy="2880995"/>
                    </a:xfrm>
                    <a:prstGeom prst="rect">
                      <a:avLst/>
                    </a:prstGeom>
                    <a:noFill/>
                    <a:ln w="9525">
                      <a:noFill/>
                    </a:ln>
                  </pic:spPr>
                </pic:pic>
              </a:graphicData>
            </a:graphic>
          </wp:inline>
        </w:drawing>
      </w:r>
    </w:p>
    <w:p>
      <w:pPr>
        <w:pStyle w:val="15"/>
        <w:rPr>
          <w:rFonts w:hint="default" w:ascii="宋体" w:hAnsi="宋体" w:eastAsia="宋体" w:cs="宋体"/>
          <w:sz w:val="24"/>
          <w:szCs w:val="24"/>
          <w:lang w:val="en-US" w:eastAsia="zh-CN"/>
        </w:rPr>
      </w:pPr>
      <w:r>
        <w:drawing>
          <wp:inline distT="0" distB="0" distL="114300" distR="114300">
            <wp:extent cx="2887980" cy="2834640"/>
            <wp:effectExtent l="0" t="0" r="762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887980" cy="283464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070100" cy="2628900"/>
            <wp:effectExtent l="0" t="0" r="254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2070100" cy="2628900"/>
                    </a:xfrm>
                    <a:prstGeom prst="rect">
                      <a:avLst/>
                    </a:prstGeom>
                    <a:noFill/>
                    <a:ln>
                      <a:noFill/>
                    </a:ln>
                  </pic:spPr>
                </pic:pic>
              </a:graphicData>
            </a:graphic>
          </wp:inline>
        </w:drawing>
      </w:r>
    </w:p>
    <w:p>
      <w:pPr>
        <w:pStyle w:val="15"/>
        <w:ind w:firstLine="960" w:firstLineChars="400"/>
        <w:jc w:val="both"/>
        <w:rPr>
          <w:rFonts w:ascii="宋体" w:hAnsi="宋体" w:eastAsia="宋体" w:cs="宋体"/>
          <w:sz w:val="24"/>
          <w:szCs w:val="24"/>
        </w:rPr>
      </w:pPr>
      <w:r>
        <w:rPr>
          <w:rFonts w:hint="eastAsia" w:ascii="黑体" w:hAnsi="宋体" w:eastAsia="黑体" w:cs="黑体"/>
          <w:b w:val="0"/>
          <w:bCs w:val="0"/>
          <w:color w:val="000000"/>
          <w:sz w:val="24"/>
          <w:szCs w:val="24"/>
          <w:lang w:eastAsia="zh-CN"/>
        </w:rPr>
        <w:t>图</w:t>
      </w:r>
      <w:r>
        <w:rPr>
          <w:rFonts w:hint="eastAsia" w:ascii="黑体" w:hAnsi="宋体" w:eastAsia="黑体" w:cs="黑体"/>
          <w:b w:val="0"/>
          <w:bCs w:val="0"/>
          <w:color w:val="000000"/>
          <w:sz w:val="24"/>
          <w:szCs w:val="24"/>
          <w:lang w:val="en-US" w:eastAsia="zh-CN"/>
        </w:rPr>
        <w:t xml:space="preserve">1   </w:t>
      </w:r>
      <w:r>
        <w:rPr>
          <w:rFonts w:ascii="黑体" w:hAnsi="宋体" w:eastAsia="黑体" w:cs="黑体"/>
          <w:b w:val="0"/>
          <w:bCs w:val="0"/>
          <w:color w:val="000000"/>
          <w:sz w:val="24"/>
          <w:szCs w:val="24"/>
        </w:rPr>
        <w:t>炮孔布置图</w:t>
      </w:r>
      <w:r>
        <w:rPr>
          <w:rFonts w:hint="eastAsia" w:ascii="黑体" w:hAnsi="宋体" w:eastAsia="黑体" w:cs="黑体"/>
          <w:b w:val="0"/>
          <w:bCs w:val="0"/>
          <w:color w:val="000000"/>
          <w:sz w:val="24"/>
          <w:szCs w:val="24"/>
          <w:lang w:val="en-US" w:eastAsia="zh-CN"/>
        </w:rPr>
        <w:t xml:space="preserve">                         图2   </w:t>
      </w:r>
      <w:r>
        <w:rPr>
          <w:rFonts w:ascii="黑体" w:hAnsi="宋体" w:eastAsia="黑体" w:cs="黑体"/>
          <w:b w:val="0"/>
          <w:bCs w:val="0"/>
          <w:color w:val="000000"/>
          <w:sz w:val="24"/>
          <w:szCs w:val="24"/>
        </w:rPr>
        <w:t>示意图</w:t>
      </w:r>
    </w:p>
    <w:p>
      <w:pPr>
        <w:spacing w:line="520" w:lineRule="exact"/>
        <w:outlineLvl w:val="1"/>
        <w:rPr>
          <w:rFonts w:ascii="Times New Roman" w:hAnsi="Times New Roman" w:eastAsia="仿宋_GB2312" w:cs="Times New Roman"/>
          <w:b/>
          <w:sz w:val="32"/>
          <w:szCs w:val="32"/>
        </w:rPr>
      </w:pPr>
      <w:r>
        <w:rPr>
          <w:rFonts w:hint="eastAsia" w:ascii="Times New Roman" w:hAnsi="Times New Roman" w:eastAsia="仿宋_GB2312" w:cs="Times New Roman"/>
          <w:b/>
          <w:sz w:val="32"/>
          <w:szCs w:val="32"/>
          <w:lang w:eastAsia="zh-CN"/>
        </w:rPr>
        <w:t>（二）</w:t>
      </w:r>
      <w:r>
        <w:rPr>
          <w:rFonts w:ascii="Times New Roman" w:hAnsi="Times New Roman" w:eastAsia="仿宋_GB2312" w:cs="Times New Roman"/>
          <w:b/>
          <w:sz w:val="32"/>
          <w:szCs w:val="32"/>
        </w:rPr>
        <w:t>爆破器材</w:t>
      </w:r>
    </w:p>
    <w:p>
      <w:pPr>
        <w:pStyle w:val="17"/>
        <w:keepNext w:val="0"/>
        <w:keepLines w:val="0"/>
        <w:pageBreakBefore w:val="0"/>
        <w:kinsoku/>
        <w:wordWrap/>
        <w:overflowPunct/>
        <w:topLinePunct w:val="0"/>
        <w:bidi w:val="0"/>
        <w:spacing w:after="0" w:line="520" w:lineRule="exact"/>
        <w:ind w:firstLine="640"/>
        <w:jc w:val="left"/>
        <w:textAlignment w:val="auto"/>
        <w:outlineLvl w:val="1"/>
        <w:rPr>
          <w:rFonts w:hint="eastAsia" w:ascii="仿宋" w:hAnsi="仿宋" w:eastAsia="仿宋" w:cs="仿宋"/>
          <w:kern w:val="2"/>
          <w:sz w:val="32"/>
          <w:szCs w:val="32"/>
        </w:rPr>
      </w:pPr>
      <w:r>
        <w:rPr>
          <w:rFonts w:ascii="Times New Roman" w:eastAsia="仿宋_GB2312"/>
          <w:kern w:val="2"/>
          <w:sz w:val="32"/>
          <w:szCs w:val="32"/>
        </w:rPr>
        <w:t>水下岩塞爆破器材进场验收合格，选用符合标准、满足水下抗压要求的器材，严禁使用不合格品，施工前专项试验验证，起爆主线定制</w:t>
      </w:r>
      <w:r>
        <w:rPr>
          <w:rFonts w:ascii="Times New Roman" w:eastAsia="仿宋_GB2312"/>
          <w:kern w:val="2"/>
          <w:sz w:val="32"/>
          <w:szCs w:val="32"/>
          <w:highlight w:val="none"/>
        </w:rPr>
        <w:t>无接头</w:t>
      </w:r>
      <w:r>
        <w:rPr>
          <w:rFonts w:ascii="Times New Roman" w:eastAsia="仿宋_GB2312"/>
          <w:kern w:val="2"/>
          <w:sz w:val="32"/>
          <w:szCs w:val="32"/>
        </w:rPr>
        <w:t>；现场检验器材基本性能及耐水抗</w:t>
      </w:r>
      <w:r>
        <w:rPr>
          <w:rFonts w:hint="eastAsia" w:ascii="仿宋" w:hAnsi="仿宋" w:eastAsia="仿宋" w:cs="仿宋"/>
          <w:kern w:val="2"/>
          <w:sz w:val="32"/>
          <w:szCs w:val="32"/>
        </w:rPr>
        <w:t>压起爆传爆性能。</w:t>
      </w:r>
    </w:p>
    <w:p>
      <w:pPr>
        <w:keepNext w:val="0"/>
        <w:keepLines w:val="0"/>
        <w:pageBreakBefore w:val="0"/>
        <w:widowControl w:val="0"/>
        <w:kinsoku/>
        <w:wordWrap/>
        <w:overflowPunct/>
        <w:topLinePunct w:val="0"/>
        <w:autoSpaceDE/>
        <w:autoSpaceDN/>
        <w:bidi w:val="0"/>
        <w:adjustRightInd w:val="0"/>
        <w:snapToGrid w:val="0"/>
        <w:spacing w:after="0" w:line="520" w:lineRule="exact"/>
        <w:ind w:firstLine="640" w:firstLineChars="200"/>
        <w:jc w:val="left"/>
        <w:textAlignment w:val="auto"/>
        <w:rPr>
          <w:rFonts w:hint="eastAsia" w:ascii="仿宋" w:hAnsi="仿宋" w:eastAsia="仿宋" w:cs="仿宋"/>
          <w:color w:val="auto"/>
          <w:sz w:val="32"/>
          <w:szCs w:val="32"/>
          <w:highlight w:val="yellow"/>
        </w:rPr>
      </w:pPr>
      <w:r>
        <w:rPr>
          <w:rFonts w:hint="eastAsia" w:ascii="仿宋" w:hAnsi="仿宋" w:eastAsia="仿宋" w:cs="仿宋"/>
          <w:color w:val="auto"/>
          <w:sz w:val="32"/>
          <w:szCs w:val="32"/>
        </w:rPr>
        <w:t>参照《水下岩塞爆破设计规范》(NB/T 11667-2024)第7.6节爆破器材及第8.2节爆破器材性能试验的相关规定，并结合三亚西水中调工程岩塞爆破</w:t>
      </w:r>
      <w:r>
        <w:rPr>
          <w:rFonts w:hint="eastAsia" w:ascii="仿宋" w:hAnsi="仿宋" w:eastAsia="仿宋" w:cs="仿宋"/>
          <w:color w:val="auto"/>
          <w:sz w:val="32"/>
          <w:szCs w:val="32"/>
          <w:lang w:val="en-US" w:eastAsia="zh-CN"/>
        </w:rPr>
        <w:t>时水库水位，装药过程，材料设备撤退和充水充气的时间，专项试验了</w:t>
      </w:r>
      <w:r>
        <w:rPr>
          <w:rFonts w:hint="eastAsia" w:ascii="仿宋" w:hAnsi="仿宋" w:eastAsia="仿宋" w:cs="仿宋"/>
          <w:color w:val="auto"/>
          <w:kern w:val="2"/>
          <w:sz w:val="32"/>
          <w:szCs w:val="32"/>
        </w:rPr>
        <w:t>爆破器材</w:t>
      </w:r>
      <w:r>
        <w:rPr>
          <w:rFonts w:hint="eastAsia" w:ascii="仿宋" w:hAnsi="仿宋" w:eastAsia="仿宋" w:cs="仿宋"/>
          <w:color w:val="auto"/>
          <w:sz w:val="32"/>
          <w:szCs w:val="32"/>
        </w:rPr>
        <w:t>耐水抗压</w:t>
      </w:r>
      <w:r>
        <w:rPr>
          <w:rFonts w:hint="eastAsia" w:ascii="仿宋" w:hAnsi="仿宋" w:eastAsia="仿宋" w:cs="仿宋"/>
          <w:color w:val="auto"/>
          <w:sz w:val="32"/>
          <w:szCs w:val="32"/>
          <w:lang w:val="en-US" w:eastAsia="zh-CN"/>
        </w:rPr>
        <w:t>性能</w:t>
      </w:r>
      <w:r>
        <w:rPr>
          <w:rFonts w:hint="eastAsia" w:ascii="仿宋" w:hAnsi="仿宋" w:eastAsia="仿宋" w:cs="仿宋"/>
          <w:color w:val="auto"/>
          <w:sz w:val="32"/>
          <w:szCs w:val="32"/>
          <w:lang w:eastAsia="zh-CN"/>
        </w:rPr>
        <w:t>。</w:t>
      </w:r>
      <w:r>
        <w:rPr>
          <w:rFonts w:hint="eastAsia" w:ascii="仿宋" w:hAnsi="仿宋" w:eastAsia="仿宋" w:cs="仿宋"/>
          <w:color w:val="auto"/>
          <w:kern w:val="2"/>
          <w:sz w:val="32"/>
          <w:szCs w:val="32"/>
        </w:rPr>
        <w:t>爆破器材</w:t>
      </w:r>
      <w:r>
        <w:rPr>
          <w:rFonts w:hint="eastAsia" w:ascii="仿宋" w:hAnsi="仿宋" w:eastAsia="仿宋" w:cs="仿宋"/>
          <w:color w:val="auto"/>
          <w:sz w:val="32"/>
          <w:szCs w:val="32"/>
        </w:rPr>
        <w:t>设计水压力不应低于承受的最大静水压力的1.1倍，耐水抗压时长应大于装药至起爆总时长，</w:t>
      </w:r>
      <w:r>
        <w:rPr>
          <w:rFonts w:hint="eastAsia" w:ascii="仿宋" w:hAnsi="仿宋" w:eastAsia="仿宋" w:cs="仿宋"/>
          <w:color w:val="auto"/>
          <w:sz w:val="32"/>
          <w:szCs w:val="32"/>
          <w:highlight w:val="none"/>
        </w:rPr>
        <w:t>且不宜小于7d。</w:t>
      </w:r>
    </w:p>
    <w:p>
      <w:pPr>
        <w:pStyle w:val="15"/>
        <w:keepNext w:val="0"/>
        <w:keepLines w:val="0"/>
        <w:pageBreakBefore w:val="0"/>
        <w:widowControl w:val="0"/>
        <w:kinsoku/>
        <w:wordWrap/>
        <w:overflowPunct/>
        <w:topLinePunct w:val="0"/>
        <w:autoSpaceDE w:val="0"/>
        <w:autoSpaceDN w:val="0"/>
        <w:bidi w:val="0"/>
        <w:adjustRightInd w:val="0"/>
        <w:snapToGrid/>
        <w:spacing w:after="0" w:line="520" w:lineRule="exact"/>
        <w:ind w:firstLine="640" w:firstLineChars="200"/>
        <w:jc w:val="left"/>
        <w:textAlignment w:val="auto"/>
        <w:rPr>
          <w:rFonts w:hint="eastAsia" w:ascii="仿宋" w:hAnsi="仿宋" w:eastAsia="仿宋" w:cs="仿宋"/>
          <w:color w:val="auto"/>
          <w:kern w:val="2"/>
          <w:sz w:val="32"/>
          <w:szCs w:val="32"/>
          <w:lang w:val="en-US" w:eastAsia="zh-CN" w:bidi="ar-SA"/>
        </w:rPr>
      </w:pPr>
      <w:r>
        <w:rPr>
          <w:rFonts w:hint="eastAsia" w:ascii="仿宋" w:hAnsi="仿宋" w:eastAsia="仿宋" w:cs="仿宋"/>
          <w:color w:val="auto"/>
          <w:sz w:val="32"/>
          <w:szCs w:val="32"/>
        </w:rPr>
        <w:t>专项试验规定了</w:t>
      </w:r>
      <w:r>
        <w:rPr>
          <w:rFonts w:hint="eastAsia" w:ascii="仿宋" w:hAnsi="仿宋" w:eastAsia="仿宋" w:cs="仿宋"/>
          <w:color w:val="auto"/>
          <w:kern w:val="2"/>
          <w:sz w:val="32"/>
          <w:szCs w:val="32"/>
        </w:rPr>
        <w:t>爆破器材</w:t>
      </w:r>
      <w:r>
        <w:rPr>
          <w:rFonts w:hint="eastAsia" w:ascii="仿宋" w:hAnsi="仿宋" w:eastAsia="仿宋" w:cs="仿宋"/>
          <w:color w:val="auto"/>
          <w:sz w:val="32"/>
          <w:szCs w:val="32"/>
        </w:rPr>
        <w:t>水下抗压要求</w:t>
      </w:r>
      <w:r>
        <w:rPr>
          <w:rFonts w:hint="eastAsia" w:ascii="仿宋" w:hAnsi="仿宋" w:eastAsia="仿宋" w:cs="仿宋"/>
          <w:color w:val="auto"/>
          <w:sz w:val="32"/>
          <w:szCs w:val="32"/>
          <w:lang w:val="en-US" w:eastAsia="zh-CN"/>
        </w:rPr>
        <w:t>和</w:t>
      </w:r>
      <w:r>
        <w:rPr>
          <w:rFonts w:hint="eastAsia" w:ascii="仿宋" w:hAnsi="仿宋" w:eastAsia="仿宋" w:cs="仿宋"/>
          <w:color w:val="auto"/>
          <w:sz w:val="32"/>
          <w:szCs w:val="32"/>
        </w:rPr>
        <w:t>耐水抗压时长</w:t>
      </w:r>
      <w:r>
        <w:rPr>
          <w:rFonts w:hint="eastAsia" w:ascii="仿宋" w:hAnsi="仿宋" w:eastAsia="仿宋" w:cs="仿宋"/>
          <w:color w:val="auto"/>
          <w:sz w:val="32"/>
          <w:szCs w:val="32"/>
          <w:lang w:val="en-US" w:eastAsia="zh-CN"/>
        </w:rPr>
        <w:t>的</w:t>
      </w:r>
      <w:r>
        <w:rPr>
          <w:rFonts w:hint="eastAsia" w:ascii="仿宋" w:hAnsi="仿宋" w:eastAsia="仿宋" w:cs="仿宋"/>
          <w:color w:val="auto"/>
          <w:sz w:val="32"/>
          <w:szCs w:val="32"/>
        </w:rPr>
        <w:t>性能检测要求</w:t>
      </w:r>
      <w:r>
        <w:rPr>
          <w:rFonts w:hint="eastAsia" w:ascii="仿宋" w:hAnsi="仿宋" w:eastAsia="仿宋" w:cs="仿宋"/>
          <w:color w:val="auto"/>
          <w:kern w:val="2"/>
          <w:sz w:val="32"/>
          <w:szCs w:val="32"/>
          <w:lang w:val="en-US" w:eastAsia="zh-CN" w:bidi="ar-SA"/>
        </w:rPr>
        <w:t>，应能正常被同等条件下的雷管和导爆索起爆并连续传爆。</w:t>
      </w:r>
    </w:p>
    <w:p>
      <w:pPr>
        <w:spacing w:line="520" w:lineRule="exact"/>
        <w:outlineLvl w:val="1"/>
        <w:rPr>
          <w:rFonts w:hint="eastAsia" w:ascii="Times New Roman" w:hAnsi="Times New Roman" w:eastAsia="仿宋_GB2312" w:cs="Times New Roman"/>
          <w:b/>
          <w:sz w:val="32"/>
          <w:szCs w:val="32"/>
          <w:lang w:eastAsia="zh-CN"/>
        </w:rPr>
      </w:pPr>
      <w:r>
        <w:rPr>
          <w:rFonts w:hint="eastAsia" w:ascii="Times New Roman" w:hAnsi="Times New Roman" w:eastAsia="仿宋_GB2312" w:cs="Times New Roman"/>
          <w:b/>
          <w:sz w:val="32"/>
          <w:szCs w:val="32"/>
          <w:lang w:eastAsia="zh-CN"/>
        </w:rPr>
        <w:t>（三）生产性试验</w:t>
      </w:r>
    </w:p>
    <w:p>
      <w:pPr>
        <w:pStyle w:val="17"/>
        <w:keepNext w:val="0"/>
        <w:keepLines w:val="0"/>
        <w:pageBreakBefore w:val="0"/>
        <w:widowControl/>
        <w:kinsoku/>
        <w:wordWrap/>
        <w:overflowPunct/>
        <w:topLinePunct w:val="0"/>
        <w:autoSpaceDE w:val="0"/>
        <w:autoSpaceDN w:val="0"/>
        <w:bidi w:val="0"/>
        <w:adjustRightInd/>
        <w:snapToGrid/>
        <w:spacing w:after="0" w:line="520" w:lineRule="exact"/>
        <w:ind w:firstLine="640"/>
        <w:jc w:val="left"/>
        <w:textAlignment w:val="auto"/>
        <w:outlineLvl w:val="1"/>
        <w:rPr>
          <w:rFonts w:ascii="Times New Roman" w:eastAsia="仿宋_GB2312"/>
          <w:kern w:val="2"/>
          <w:sz w:val="32"/>
          <w:szCs w:val="32"/>
        </w:rPr>
      </w:pPr>
      <w:r>
        <w:rPr>
          <w:rFonts w:ascii="Times New Roman" w:eastAsia="仿宋_GB2312"/>
          <w:kern w:val="2"/>
          <w:sz w:val="32"/>
          <w:szCs w:val="32"/>
        </w:rPr>
        <w:t>水下岩塞爆破生产性试验编大纲，选地质相似洞室，控质量、做监测；按爆破方案做参数试验（含掏槽、覆盖层扰动试验），达标频次；钻孔爆破贯通试验≥1 次（1:1 比尺），硐室类宜原位试验（1:1~1:2比尺），工艺试验结合贯通试验验证。</w:t>
      </w:r>
    </w:p>
    <w:p>
      <w:pPr>
        <w:pStyle w:val="15"/>
        <w:keepNext w:val="0"/>
        <w:keepLines w:val="0"/>
        <w:pageBreakBefore w:val="0"/>
        <w:widowControl w:val="0"/>
        <w:kinsoku/>
        <w:wordWrap/>
        <w:overflowPunct/>
        <w:topLinePunct w:val="0"/>
        <w:autoSpaceDE w:val="0"/>
        <w:autoSpaceDN w:val="0"/>
        <w:bidi w:val="0"/>
        <w:adjustRightInd w:val="0"/>
        <w:snapToGrid/>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说明：采用钻孔爆破时，应</w:t>
      </w:r>
      <w:r>
        <w:rPr>
          <w:rFonts w:hint="eastAsia" w:ascii="仿宋" w:hAnsi="仿宋" w:eastAsia="仿宋" w:cs="仿宋"/>
          <w:color w:val="auto"/>
          <w:sz w:val="32"/>
          <w:szCs w:val="32"/>
          <w:lang w:val="en-US" w:eastAsia="zh-CN"/>
        </w:rPr>
        <w:t>进行</w:t>
      </w:r>
      <w:r>
        <w:rPr>
          <w:rFonts w:hint="eastAsia" w:ascii="仿宋" w:hAnsi="仿宋" w:eastAsia="仿宋" w:cs="仿宋"/>
          <w:color w:val="auto"/>
          <w:spacing w:val="7"/>
          <w:sz w:val="32"/>
          <w:szCs w:val="32"/>
        </w:rPr>
        <w:t>全断面岩塞爆破试验</w:t>
      </w:r>
      <w:r>
        <w:rPr>
          <w:rFonts w:hint="eastAsia" w:ascii="仿宋" w:hAnsi="仿宋" w:eastAsia="仿宋" w:cs="仿宋"/>
          <w:color w:val="auto"/>
          <w:spacing w:val="9"/>
          <w:sz w:val="32"/>
          <w:szCs w:val="32"/>
        </w:rPr>
        <w:t>、爆破参数试验</w:t>
      </w:r>
      <w:r>
        <w:rPr>
          <w:rFonts w:hint="eastAsia" w:ascii="仿宋" w:hAnsi="仿宋" w:eastAsia="仿宋" w:cs="仿宋"/>
          <w:color w:val="auto"/>
          <w:spacing w:val="7"/>
          <w:sz w:val="32"/>
          <w:szCs w:val="32"/>
          <w:lang w:eastAsia="zh-CN"/>
        </w:rPr>
        <w:t>，</w:t>
      </w:r>
      <w:r>
        <w:rPr>
          <w:rFonts w:hint="eastAsia" w:ascii="仿宋" w:hAnsi="仿宋" w:eastAsia="仿宋" w:cs="仿宋"/>
          <w:color w:val="auto"/>
          <w:sz w:val="32"/>
          <w:szCs w:val="32"/>
        </w:rPr>
        <w:t>通过</w:t>
      </w:r>
      <w:r>
        <w:rPr>
          <w:rFonts w:hint="eastAsia" w:ascii="仿宋" w:hAnsi="仿宋" w:eastAsia="仿宋" w:cs="仿宋"/>
          <w:color w:val="auto"/>
          <w:spacing w:val="7"/>
          <w:sz w:val="32"/>
          <w:szCs w:val="32"/>
        </w:rPr>
        <w:t>全断面岩塞爆破试验</w:t>
      </w:r>
      <w:r>
        <w:rPr>
          <w:rFonts w:hint="eastAsia" w:ascii="仿宋" w:hAnsi="仿宋" w:eastAsia="仿宋" w:cs="仿宋"/>
          <w:color w:val="auto"/>
          <w:sz w:val="32"/>
          <w:szCs w:val="32"/>
        </w:rPr>
        <w:t>验证岩塞体孔网参数布置的合理性，确保达到一次“贯通、成型、稳定”的爆破效果</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lang w:val="en-US" w:eastAsia="zh-CN"/>
        </w:rPr>
        <w:t>应进行</w:t>
      </w:r>
      <w:r>
        <w:rPr>
          <w:rFonts w:hint="eastAsia" w:ascii="仿宋" w:hAnsi="仿宋" w:eastAsia="仿宋" w:cs="仿宋"/>
          <w:color w:val="auto"/>
          <w:spacing w:val="7"/>
          <w:sz w:val="32"/>
          <w:szCs w:val="32"/>
        </w:rPr>
        <w:t>全断面</w:t>
      </w:r>
      <w:r>
        <w:rPr>
          <w:rFonts w:hint="eastAsia" w:ascii="仿宋" w:hAnsi="仿宋" w:eastAsia="仿宋" w:cs="仿宋"/>
          <w:color w:val="auto"/>
          <w:sz w:val="32"/>
          <w:szCs w:val="32"/>
          <w:lang w:val="en-US" w:eastAsia="zh-CN"/>
        </w:rPr>
        <w:t>单临空面试验和</w:t>
      </w:r>
      <w:r>
        <w:rPr>
          <w:rFonts w:hint="eastAsia" w:ascii="仿宋" w:hAnsi="仿宋" w:eastAsia="仿宋" w:cs="仿宋"/>
          <w:color w:val="auto"/>
          <w:sz w:val="32"/>
          <w:szCs w:val="32"/>
        </w:rPr>
        <w:t>最少需要进行一次</w:t>
      </w:r>
      <w:r>
        <w:rPr>
          <w:rFonts w:hint="eastAsia" w:ascii="仿宋" w:hAnsi="仿宋" w:eastAsia="仿宋" w:cs="仿宋"/>
          <w:color w:val="auto"/>
          <w:spacing w:val="7"/>
          <w:sz w:val="32"/>
          <w:szCs w:val="32"/>
        </w:rPr>
        <w:t>全断面</w:t>
      </w:r>
      <w:r>
        <w:rPr>
          <w:rFonts w:hint="eastAsia" w:ascii="仿宋" w:hAnsi="仿宋" w:eastAsia="仿宋" w:cs="仿宋"/>
          <w:color w:val="auto"/>
          <w:sz w:val="32"/>
          <w:szCs w:val="32"/>
        </w:rPr>
        <w:t>贯通试验</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lang w:val="en-US" w:eastAsia="zh-CN"/>
        </w:rPr>
        <w:t>验证爆破方案可行性，为岩塞爆破提供技术上支撑</w:t>
      </w:r>
      <w:r>
        <w:rPr>
          <w:rFonts w:hint="eastAsia" w:ascii="仿宋" w:hAnsi="仿宋" w:eastAsia="仿宋" w:cs="仿宋"/>
          <w:color w:val="auto"/>
          <w:sz w:val="32"/>
          <w:szCs w:val="32"/>
        </w:rPr>
        <w:t>。</w:t>
      </w:r>
      <w:r>
        <w:rPr>
          <w:rFonts w:hint="eastAsia" w:ascii="仿宋" w:hAnsi="仿宋" w:eastAsia="仿宋" w:cs="仿宋"/>
          <w:color w:val="auto"/>
          <w:spacing w:val="0"/>
          <w:sz w:val="32"/>
          <w:szCs w:val="32"/>
        </w:rPr>
        <w:t>水下岩塞爆破形成的进水口处于深水运行状态，一般情况下无法对取水口采取其他加固措施</w:t>
      </w:r>
      <w:r>
        <w:rPr>
          <w:rFonts w:hint="eastAsia" w:ascii="仿宋" w:hAnsi="仿宋" w:eastAsia="仿宋" w:cs="仿宋"/>
          <w:color w:val="auto"/>
          <w:spacing w:val="0"/>
          <w:sz w:val="32"/>
          <w:szCs w:val="32"/>
          <w:lang w:eastAsia="zh-CN"/>
        </w:rPr>
        <w:t>，</w:t>
      </w:r>
      <w:r>
        <w:rPr>
          <w:rFonts w:hint="eastAsia" w:ascii="仿宋" w:hAnsi="仿宋" w:eastAsia="仿宋" w:cs="仿宋"/>
          <w:color w:val="auto"/>
          <w:spacing w:val="0"/>
          <w:sz w:val="32"/>
          <w:szCs w:val="32"/>
        </w:rPr>
        <w:t>因此，水下岩塞爆破必须一次爆通成型，不允许出现拒爆或爆破不完全。</w:t>
      </w:r>
      <w:r>
        <w:rPr>
          <w:rFonts w:hint="eastAsia" w:ascii="仿宋" w:hAnsi="仿宋" w:eastAsia="仿宋" w:cs="仿宋"/>
          <w:color w:val="auto"/>
          <w:sz w:val="32"/>
          <w:szCs w:val="32"/>
        </w:rPr>
        <w:t>若贯通试验不成功，应该调整爆破参数后再进行第二次贯通试验，甚至是第三次贯通试验，确保至少有一次能够成功贯通。采用硐室爆破时，为避免爆破漏斗破裂线不可控造成引水隧洞的塌方等次生危害，宜在取水口附近进行原位试验，同时为减少试验规模和费用，最小可按1：2进行缩尺试验，岩塞体积较小或条件允许宜进行1：1进行原位试验。</w:t>
      </w:r>
    </w:p>
    <w:p>
      <w:pPr>
        <w:pStyle w:val="5"/>
        <w:keepNext w:val="0"/>
        <w:keepLines w:val="0"/>
        <w:pageBreakBefore w:val="0"/>
        <w:widowControl w:val="0"/>
        <w:numPr>
          <w:ilvl w:val="0"/>
          <w:numId w:val="0"/>
        </w:numPr>
        <w:kinsoku/>
        <w:wordWrap/>
        <w:overflowPunct/>
        <w:topLinePunct w:val="0"/>
        <w:autoSpaceDE/>
        <w:autoSpaceDN/>
        <w:bidi w:val="0"/>
        <w:adjustRightInd w:val="0"/>
        <w:snapToGrid w:val="0"/>
        <w:spacing w:before="0" w:after="0" w:line="520" w:lineRule="exact"/>
        <w:ind w:leftChars="0" w:firstLine="640" w:firstLineChars="200"/>
        <w:jc w:val="left"/>
        <w:textAlignment w:val="auto"/>
        <w:rPr>
          <w:rFonts w:hint="eastAsia" w:ascii="仿宋" w:hAnsi="仿宋" w:eastAsia="仿宋" w:cs="仿宋"/>
          <w:b w:val="0"/>
          <w:bCs/>
          <w:color w:val="auto"/>
          <w:sz w:val="32"/>
          <w:szCs w:val="32"/>
          <w:lang w:val="en-US" w:eastAsia="zh-CN"/>
        </w:rPr>
      </w:pPr>
      <w:r>
        <w:rPr>
          <w:rFonts w:hint="eastAsia" w:ascii="仿宋" w:hAnsi="仿宋" w:eastAsia="仿宋" w:cs="仿宋"/>
          <w:b w:val="0"/>
          <w:bCs/>
          <w:color w:val="auto"/>
          <w:sz w:val="32"/>
          <w:szCs w:val="32"/>
        </w:rPr>
        <w:t>参照《水下岩塞爆破设计规范》(NB/T 11667-2024)第8.3.2条、8.3.6条及条文说明8.3.1中“对</w:t>
      </w:r>
      <w:r>
        <w:rPr>
          <w:rFonts w:hint="eastAsia" w:ascii="仿宋" w:hAnsi="仿宋" w:eastAsia="仿宋" w:cs="仿宋"/>
          <w:b w:val="0"/>
          <w:bCs/>
          <w:color w:val="auto"/>
          <w:sz w:val="32"/>
          <w:szCs w:val="32"/>
          <w:lang w:val="en-US" w:eastAsia="zh-CN"/>
        </w:rPr>
        <w:t>于</w:t>
      </w:r>
      <w:r>
        <w:rPr>
          <w:rFonts w:hint="eastAsia" w:ascii="仿宋" w:hAnsi="仿宋" w:eastAsia="仿宋" w:cs="仿宋"/>
          <w:b w:val="0"/>
          <w:bCs/>
          <w:color w:val="auto"/>
          <w:sz w:val="32"/>
          <w:szCs w:val="32"/>
        </w:rPr>
        <w:t>地质条件、周边环境复杂下的重要工程的水下岩塞，为了爆破原型安全爆通，在现场条件相似的部位专项开展的现场水下岩塞模型1:1~1:2爆破试验。”</w:t>
      </w:r>
      <w:r>
        <w:rPr>
          <w:rFonts w:hint="eastAsia" w:ascii="仿宋" w:hAnsi="仿宋" w:eastAsia="仿宋" w:cs="仿宋"/>
          <w:b w:val="0"/>
          <w:bCs/>
          <w:color w:val="auto"/>
          <w:sz w:val="32"/>
          <w:szCs w:val="32"/>
          <w:lang w:val="en-US" w:eastAsia="zh-CN"/>
        </w:rPr>
        <w:t>在</w:t>
      </w:r>
      <w:r>
        <w:rPr>
          <w:rFonts w:hint="eastAsia" w:ascii="仿宋" w:hAnsi="仿宋" w:eastAsia="仿宋" w:cs="仿宋"/>
          <w:b w:val="0"/>
          <w:bCs/>
          <w:color w:val="auto"/>
          <w:sz w:val="32"/>
          <w:szCs w:val="32"/>
        </w:rPr>
        <w:t>三亚西水中调工程岩塞爆破生产性试验</w:t>
      </w:r>
      <w:r>
        <w:rPr>
          <w:rFonts w:hint="eastAsia" w:ascii="仿宋" w:hAnsi="仿宋" w:eastAsia="仿宋" w:cs="仿宋"/>
          <w:b w:val="0"/>
          <w:bCs/>
          <w:color w:val="auto"/>
          <w:sz w:val="32"/>
          <w:szCs w:val="32"/>
          <w:lang w:val="en-US" w:eastAsia="zh-CN"/>
        </w:rPr>
        <w:t>时，总共做了三次</w:t>
      </w:r>
      <w:r>
        <w:rPr>
          <w:rFonts w:hint="eastAsia" w:ascii="仿宋" w:hAnsi="仿宋" w:eastAsia="仿宋" w:cs="仿宋"/>
          <w:b w:val="0"/>
          <w:bCs/>
          <w:color w:val="auto"/>
          <w:spacing w:val="7"/>
          <w:sz w:val="32"/>
          <w:szCs w:val="32"/>
        </w:rPr>
        <w:t>全断面岩塞爆破试验</w:t>
      </w:r>
      <w:r>
        <w:rPr>
          <w:rFonts w:hint="eastAsia" w:ascii="仿宋" w:hAnsi="仿宋" w:eastAsia="仿宋" w:cs="仿宋"/>
          <w:b w:val="0"/>
          <w:bCs/>
          <w:color w:val="auto"/>
          <w:spacing w:val="7"/>
          <w:sz w:val="32"/>
          <w:szCs w:val="32"/>
          <w:lang w:eastAsia="zh-CN"/>
        </w:rPr>
        <w:t>，</w:t>
      </w:r>
      <w:r>
        <w:rPr>
          <w:rFonts w:hint="eastAsia" w:ascii="仿宋" w:hAnsi="仿宋" w:eastAsia="仿宋" w:cs="仿宋"/>
          <w:b w:val="0"/>
          <w:bCs/>
          <w:color w:val="auto"/>
          <w:spacing w:val="7"/>
          <w:sz w:val="32"/>
          <w:szCs w:val="32"/>
          <w:lang w:val="en-US" w:eastAsia="zh-CN"/>
        </w:rPr>
        <w:t>第一次采用当地民爆公司提供的炸药，按拟定设计的爆破参数进行试验，</w:t>
      </w:r>
      <w:r>
        <w:rPr>
          <w:rFonts w:hint="eastAsia" w:ascii="仿宋" w:hAnsi="仿宋" w:eastAsia="仿宋" w:cs="仿宋"/>
          <w:b w:val="0"/>
          <w:bCs/>
          <w:color w:val="auto"/>
          <w:spacing w:val="7"/>
          <w:sz w:val="32"/>
          <w:szCs w:val="32"/>
        </w:rPr>
        <w:t>全断面</w:t>
      </w:r>
      <w:r>
        <w:rPr>
          <w:rFonts w:hint="eastAsia" w:ascii="仿宋" w:hAnsi="仿宋" w:eastAsia="仿宋" w:cs="仿宋"/>
          <w:b w:val="0"/>
          <w:bCs/>
          <w:color w:val="auto"/>
          <w:sz w:val="32"/>
          <w:szCs w:val="32"/>
          <w:lang w:val="en-US" w:eastAsia="zh-CN"/>
        </w:rPr>
        <w:t>单临空面5m深的炮孔，只炸出0.5m。第二次调整装药量和结构，</w:t>
      </w:r>
      <w:r>
        <w:rPr>
          <w:rFonts w:hint="eastAsia" w:ascii="仿宋" w:hAnsi="仿宋" w:eastAsia="仿宋" w:cs="仿宋"/>
          <w:b w:val="0"/>
          <w:bCs/>
          <w:color w:val="auto"/>
          <w:spacing w:val="7"/>
          <w:sz w:val="32"/>
          <w:szCs w:val="32"/>
        </w:rPr>
        <w:t>全断面</w:t>
      </w:r>
      <w:r>
        <w:rPr>
          <w:rFonts w:hint="eastAsia" w:ascii="仿宋" w:hAnsi="仿宋" w:eastAsia="仿宋" w:cs="仿宋"/>
          <w:b w:val="0"/>
          <w:bCs/>
          <w:color w:val="auto"/>
          <w:sz w:val="32"/>
          <w:szCs w:val="32"/>
          <w:lang w:val="en-US" w:eastAsia="zh-CN"/>
        </w:rPr>
        <w:t>单临空面试验，</w:t>
      </w:r>
      <w:r>
        <w:rPr>
          <w:rFonts w:hint="eastAsia" w:ascii="仿宋" w:hAnsi="仿宋" w:eastAsia="仿宋" w:cs="仿宋"/>
          <w:b w:val="0"/>
          <w:bCs/>
          <w:color w:val="auto"/>
          <w:sz w:val="32"/>
          <w:szCs w:val="32"/>
        </w:rPr>
        <w:t>中心区域内已经形成空腔，G圈进尺率90%以上；扩大区进尺率85%以上</w:t>
      </w:r>
      <w:r>
        <w:rPr>
          <w:rFonts w:hint="eastAsia" w:ascii="仿宋" w:hAnsi="仿宋" w:eastAsia="仿宋" w:cs="仿宋"/>
          <w:b w:val="0"/>
          <w:bCs/>
          <w:color w:val="auto"/>
          <w:sz w:val="32"/>
          <w:szCs w:val="32"/>
          <w:lang w:eastAsia="zh-CN"/>
        </w:rPr>
        <w:t>，</w:t>
      </w:r>
      <w:r>
        <w:rPr>
          <w:rFonts w:hint="eastAsia" w:ascii="仿宋" w:hAnsi="仿宋" w:eastAsia="仿宋" w:cs="仿宋"/>
          <w:b w:val="0"/>
          <w:bCs/>
          <w:color w:val="auto"/>
          <w:sz w:val="32"/>
          <w:szCs w:val="32"/>
        </w:rPr>
        <w:t>达到了预期效果。</w:t>
      </w:r>
      <w:r>
        <w:rPr>
          <w:rFonts w:hint="eastAsia" w:ascii="仿宋" w:hAnsi="仿宋" w:eastAsia="仿宋" w:cs="仿宋"/>
          <w:b w:val="0"/>
          <w:bCs/>
          <w:color w:val="auto"/>
          <w:sz w:val="32"/>
          <w:szCs w:val="32"/>
          <w:lang w:val="en-US" w:eastAsia="zh-CN"/>
        </w:rPr>
        <w:t>第三次</w:t>
      </w:r>
      <w:r>
        <w:rPr>
          <w:rFonts w:hint="eastAsia" w:ascii="仿宋" w:hAnsi="仿宋" w:eastAsia="仿宋" w:cs="仿宋"/>
          <w:b w:val="0"/>
          <w:bCs/>
          <w:color w:val="auto"/>
          <w:sz w:val="32"/>
          <w:szCs w:val="32"/>
        </w:rPr>
        <w:t>贯通爆破试验</w:t>
      </w:r>
      <w:r>
        <w:rPr>
          <w:rFonts w:hint="eastAsia" w:ascii="仿宋" w:hAnsi="仿宋" w:eastAsia="仿宋" w:cs="仿宋"/>
          <w:b w:val="0"/>
          <w:bCs/>
          <w:color w:val="auto"/>
          <w:sz w:val="32"/>
          <w:szCs w:val="32"/>
          <w:lang w:eastAsia="zh-CN"/>
        </w:rPr>
        <w:t>，</w:t>
      </w:r>
      <w:r>
        <w:rPr>
          <w:rFonts w:hint="eastAsia" w:ascii="仿宋" w:hAnsi="仿宋" w:eastAsia="仿宋" w:cs="仿宋"/>
          <w:b w:val="0"/>
          <w:bCs/>
          <w:color w:val="auto"/>
          <w:sz w:val="32"/>
          <w:szCs w:val="32"/>
        </w:rPr>
        <w:t>起爆后所有炮孔均起爆，没有发现雷管拒爆现象，起爆网路可靠；8m长的贯通试验段一次性成功爆通、成型，达到了预期效果。</w:t>
      </w:r>
    </w:p>
    <w:p>
      <w:pPr>
        <w:keepNext w:val="0"/>
        <w:keepLines w:val="0"/>
        <w:pageBreakBefore w:val="0"/>
        <w:widowControl w:val="0"/>
        <w:kinsoku/>
        <w:wordWrap/>
        <w:overflowPunct/>
        <w:topLinePunct w:val="0"/>
        <w:autoSpaceDE/>
        <w:autoSpaceDN/>
        <w:bidi w:val="0"/>
        <w:adjustRightInd w:val="0"/>
        <w:snapToGrid w:val="0"/>
        <w:spacing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2021年4月29日第一次岩塞爆破试验起爆，雷管、炸药全部准爆，未发现拒爆的雷管及残药。掏槽区仅中心孔与F5孔爆通（图1），掏槽不成功，致使炸药冲孔，产生了强烈的冲击波，并未对炮孔产生破坏（图2）。中心区域平均进尺仅0.5m，周边进尺0.8m（钻孔前周边区域欠挖），整体效果如</w:t>
      </w:r>
      <w:r>
        <w:rPr>
          <w:rFonts w:hint="eastAsia" w:ascii="仿宋" w:hAnsi="仿宋" w:eastAsia="仿宋" w:cs="仿宋"/>
          <w:color w:val="auto"/>
          <w:sz w:val="32"/>
          <w:szCs w:val="32"/>
          <w:highlight w:val="none"/>
        </w:rPr>
        <w:t>图3</w:t>
      </w:r>
      <w:r>
        <w:rPr>
          <w:rFonts w:hint="eastAsia" w:ascii="仿宋" w:hAnsi="仿宋" w:eastAsia="仿宋" w:cs="仿宋"/>
          <w:color w:val="auto"/>
          <w:sz w:val="32"/>
          <w:szCs w:val="32"/>
        </w:rPr>
        <w:t>所示。由于冲击波强烈，致使近区的</w:t>
      </w:r>
      <w:r>
        <w:rPr>
          <w:rFonts w:hint="eastAsia" w:ascii="仿宋" w:hAnsi="仿宋" w:eastAsia="仿宋" w:cs="仿宋"/>
          <w:color w:val="auto"/>
          <w:sz w:val="32"/>
          <w:szCs w:val="32"/>
          <w:lang w:eastAsia="zh-CN"/>
        </w:rPr>
        <w:t>爆破振动监测</w:t>
      </w:r>
      <w:r>
        <w:rPr>
          <w:rFonts w:hint="eastAsia" w:ascii="仿宋" w:hAnsi="仿宋" w:eastAsia="仿宋" w:cs="仿宋"/>
          <w:color w:val="auto"/>
          <w:sz w:val="32"/>
          <w:szCs w:val="32"/>
        </w:rPr>
        <w:t>前三个测点的记录仪损坏，其他部位的测点传感器脱离洞壁，未能获得有效数据。</w:t>
      </w:r>
    </w:p>
    <w:p>
      <w:pPr>
        <w:spacing w:line="360" w:lineRule="auto"/>
        <w:jc w:val="center"/>
        <w:rPr>
          <w:rFonts w:eastAsia="仿宋_GB2312"/>
          <w:sz w:val="24"/>
        </w:rPr>
      </w:pPr>
      <w:r>
        <w:drawing>
          <wp:inline distT="0" distB="0" distL="0" distR="0">
            <wp:extent cx="5363210" cy="2771775"/>
            <wp:effectExtent l="0" t="0" r="127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9" cstate="print"/>
                    <a:srcRect/>
                    <a:stretch>
                      <a:fillRect/>
                    </a:stretch>
                  </pic:blipFill>
                  <pic:spPr>
                    <a:xfrm>
                      <a:off x="0" y="0"/>
                      <a:ext cx="5363353" cy="2772000"/>
                    </a:xfrm>
                    <a:prstGeom prst="rect">
                      <a:avLst/>
                    </a:prstGeom>
                    <a:ln>
                      <a:noFill/>
                    </a:ln>
                  </pic:spPr>
                </pic:pic>
              </a:graphicData>
            </a:graphic>
          </wp:inline>
        </w:drawing>
      </w:r>
    </w:p>
    <w:p>
      <w:pPr>
        <w:spacing w:line="360" w:lineRule="auto"/>
        <w:jc w:val="center"/>
        <w:rPr>
          <w:b/>
          <w:szCs w:val="21"/>
        </w:rPr>
      </w:pPr>
      <w:r>
        <w:rPr>
          <w:b/>
          <w:szCs w:val="21"/>
        </w:rPr>
        <w:t>图1  第一次岩塞爆破试验中心区域效果</w:t>
      </w:r>
    </w:p>
    <w:p>
      <w:pPr>
        <w:spacing w:line="360" w:lineRule="auto"/>
        <w:jc w:val="center"/>
        <w:rPr>
          <w:rFonts w:eastAsia="仿宋_GB2312"/>
          <w:sz w:val="24"/>
        </w:rPr>
      </w:pPr>
      <w:r>
        <w:drawing>
          <wp:inline distT="0" distB="0" distL="0" distR="0">
            <wp:extent cx="5337175" cy="2951480"/>
            <wp:effectExtent l="0" t="0" r="12065" b="508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0"/>
                    <a:stretch>
                      <a:fillRect/>
                    </a:stretch>
                  </pic:blipFill>
                  <pic:spPr>
                    <a:xfrm>
                      <a:off x="0" y="0"/>
                      <a:ext cx="5337289" cy="2952000"/>
                    </a:xfrm>
                    <a:prstGeom prst="rect">
                      <a:avLst/>
                    </a:prstGeom>
                  </pic:spPr>
                </pic:pic>
              </a:graphicData>
            </a:graphic>
          </wp:inline>
        </w:drawing>
      </w:r>
    </w:p>
    <w:p>
      <w:pPr>
        <w:pageBreakBefore w:val="0"/>
        <w:widowControl w:val="0"/>
        <w:kinsoku/>
        <w:wordWrap/>
        <w:overflowPunct/>
        <w:topLinePunct w:val="0"/>
        <w:autoSpaceDE/>
        <w:autoSpaceDN/>
        <w:bidi w:val="0"/>
        <w:adjustRightInd/>
        <w:snapToGrid/>
        <w:spacing w:after="0" w:line="240" w:lineRule="auto"/>
        <w:ind w:firstLine="0" w:firstLineChars="0"/>
        <w:jc w:val="center"/>
        <w:textAlignment w:val="auto"/>
        <w:outlineLvl w:val="9"/>
        <w:rPr>
          <w:b/>
          <w:szCs w:val="21"/>
        </w:rPr>
      </w:pPr>
      <w:r>
        <w:rPr>
          <w:b/>
          <w:szCs w:val="21"/>
        </w:rPr>
        <w:t>图2  第一次岩塞爆破试验炮孔图</w:t>
      </w:r>
    </w:p>
    <w:p>
      <w:pPr>
        <w:pStyle w:val="15"/>
      </w:pPr>
      <w:r>
        <w:drawing>
          <wp:inline distT="0" distB="0" distL="0" distR="0">
            <wp:extent cx="5186045" cy="4730750"/>
            <wp:effectExtent l="0" t="0" r="8255"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1" cstate="print"/>
                    <a:srcRect/>
                    <a:stretch>
                      <a:fillRect/>
                    </a:stretch>
                  </pic:blipFill>
                  <pic:spPr>
                    <a:xfrm>
                      <a:off x="0" y="0"/>
                      <a:ext cx="5186412" cy="4731085"/>
                    </a:xfrm>
                    <a:prstGeom prst="rect">
                      <a:avLst/>
                    </a:prstGeom>
                    <a:noFill/>
                    <a:ln>
                      <a:noFill/>
                    </a:ln>
                  </pic:spPr>
                </pic:pic>
              </a:graphicData>
            </a:graphic>
          </wp:inline>
        </w:drawing>
      </w:r>
    </w:p>
    <w:p>
      <w:pPr>
        <w:spacing w:line="360" w:lineRule="auto"/>
        <w:jc w:val="center"/>
      </w:pPr>
      <w:r>
        <w:rPr>
          <w:b/>
          <w:szCs w:val="21"/>
        </w:rPr>
        <w:t>图3  第一次岩塞爆破试验效果</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520" w:lineRule="exact"/>
        <w:ind w:leftChars="0" w:firstLine="640" w:firstLineChars="200"/>
        <w:jc w:val="left"/>
        <w:textAlignment w:val="auto"/>
        <w:outlineLvl w:val="9"/>
        <w:rPr>
          <w:rFonts w:hint="eastAsia" w:ascii="仿宋" w:hAnsi="仿宋" w:eastAsia="仿宋" w:cs="仿宋"/>
          <w:b w:val="0"/>
          <w:bCs/>
          <w:color w:val="EE0000"/>
          <w:sz w:val="32"/>
          <w:szCs w:val="32"/>
          <w:lang w:val="en-US" w:eastAsia="zh-CN"/>
        </w:rPr>
      </w:pPr>
      <w:r>
        <w:rPr>
          <w:rFonts w:hint="eastAsia" w:ascii="仿宋" w:hAnsi="仿宋" w:eastAsia="仿宋" w:cs="仿宋"/>
          <w:b w:val="0"/>
          <w:bCs/>
          <w:sz w:val="32"/>
          <w:szCs w:val="32"/>
        </w:rPr>
        <w:t>2021年5月3日</w:t>
      </w:r>
      <w:r>
        <w:rPr>
          <w:rFonts w:hint="eastAsia" w:ascii="仿宋" w:hAnsi="仿宋" w:eastAsia="仿宋" w:cs="仿宋"/>
          <w:b w:val="0"/>
          <w:bCs/>
          <w:sz w:val="32"/>
          <w:szCs w:val="32"/>
          <w:lang w:eastAsia="zh-CN"/>
        </w:rPr>
        <w:t>，</w:t>
      </w:r>
      <w:bookmarkStart w:id="4" w:name="_Toc71266636"/>
      <w:r>
        <w:rPr>
          <w:rFonts w:hint="eastAsia" w:ascii="仿宋" w:hAnsi="仿宋" w:eastAsia="仿宋" w:cs="仿宋"/>
          <w:b w:val="0"/>
          <w:bCs/>
          <w:sz w:val="32"/>
          <w:szCs w:val="32"/>
        </w:rPr>
        <w:t>优化爆破参数</w:t>
      </w:r>
      <w:r>
        <w:rPr>
          <w:rFonts w:hint="eastAsia" w:ascii="仿宋" w:hAnsi="仿宋" w:eastAsia="仿宋" w:cs="仿宋"/>
          <w:b w:val="0"/>
          <w:bCs/>
          <w:sz w:val="32"/>
          <w:szCs w:val="32"/>
          <w:lang w:eastAsia="zh-CN"/>
        </w:rPr>
        <w:t>，</w:t>
      </w:r>
      <w:r>
        <w:rPr>
          <w:rFonts w:hint="eastAsia" w:ascii="仿宋" w:hAnsi="仿宋" w:eastAsia="仿宋" w:cs="仿宋"/>
          <w:b w:val="0"/>
          <w:bCs/>
          <w:color w:val="000000"/>
          <w:kern w:val="0"/>
          <w:sz w:val="32"/>
          <w:szCs w:val="32"/>
          <w:lang w:val="en-US" w:eastAsia="zh-CN" w:bidi="ar-SA"/>
        </w:rPr>
        <w:t>对残孔进行爆破试验</w:t>
      </w:r>
      <w:bookmarkEnd w:id="4"/>
      <w:r>
        <w:rPr>
          <w:rFonts w:hint="eastAsia" w:ascii="仿宋" w:hAnsi="仿宋" w:eastAsia="仿宋" w:cs="仿宋"/>
          <w:b w:val="0"/>
          <w:bCs/>
          <w:sz w:val="32"/>
          <w:szCs w:val="32"/>
          <w:lang w:eastAsia="zh-CN"/>
        </w:rPr>
        <w:t>。</w:t>
      </w:r>
      <w:r>
        <w:rPr>
          <w:rFonts w:hint="eastAsia" w:ascii="仿宋" w:hAnsi="仿宋" w:eastAsia="仿宋" w:cs="仿宋"/>
          <w:b w:val="0"/>
          <w:bCs/>
          <w:sz w:val="32"/>
          <w:szCs w:val="32"/>
        </w:rPr>
        <w:t>起爆。爆后所有炮孔均起爆，没有发现雷管拒爆现象，起爆网路可靠；但爆后发现爆堆中有个别炸药未起爆，个别残孔中发现未爆炸药。中心F圈区域内已经形成空腔（如图</w:t>
      </w:r>
      <w:r>
        <w:rPr>
          <w:rFonts w:hint="eastAsia" w:ascii="仿宋" w:hAnsi="仿宋" w:eastAsia="仿宋" w:cs="仿宋"/>
          <w:b w:val="0"/>
          <w:bCs/>
          <w:sz w:val="32"/>
          <w:szCs w:val="32"/>
          <w:lang w:val="en-US" w:eastAsia="zh-CN"/>
        </w:rPr>
        <w:t>4</w:t>
      </w:r>
      <w:r>
        <w:rPr>
          <w:rFonts w:hint="eastAsia" w:ascii="仿宋" w:hAnsi="仿宋" w:eastAsia="仿宋" w:cs="仿宋"/>
          <w:b w:val="0"/>
          <w:bCs/>
          <w:sz w:val="32"/>
          <w:szCs w:val="32"/>
        </w:rPr>
        <w:t>），</w:t>
      </w:r>
      <w:bookmarkStart w:id="5" w:name="_Hlk71359476"/>
      <w:r>
        <w:rPr>
          <w:rFonts w:hint="eastAsia" w:ascii="仿宋" w:hAnsi="仿宋" w:eastAsia="仿宋" w:cs="仿宋"/>
          <w:b w:val="0"/>
          <w:bCs/>
          <w:sz w:val="32"/>
          <w:szCs w:val="32"/>
        </w:rPr>
        <w:t>G圈剩下的残孔仅20~30cm，进尺率90%以上；扩大区的残孔在20~50cm，进尺率85%以上；</w:t>
      </w:r>
      <w:bookmarkEnd w:id="5"/>
      <w:r>
        <w:rPr>
          <w:rFonts w:hint="eastAsia" w:ascii="仿宋" w:hAnsi="仿宋" w:eastAsia="仿宋" w:cs="仿宋"/>
          <w:b w:val="0"/>
          <w:bCs/>
          <w:color w:val="auto"/>
          <w:sz w:val="32"/>
          <w:szCs w:val="32"/>
        </w:rPr>
        <w:t>周边孔底部留有根底，进尺仅3.5m左右，整体效果见图</w:t>
      </w:r>
      <w:r>
        <w:rPr>
          <w:rFonts w:hint="eastAsia" w:ascii="仿宋" w:hAnsi="仿宋" w:eastAsia="仿宋" w:cs="仿宋"/>
          <w:b w:val="0"/>
          <w:bCs/>
          <w:color w:val="auto"/>
          <w:sz w:val="32"/>
          <w:szCs w:val="32"/>
          <w:lang w:val="en-US" w:eastAsia="zh-CN"/>
        </w:rPr>
        <w:t>5</w:t>
      </w:r>
      <w:r>
        <w:rPr>
          <w:rFonts w:hint="eastAsia" w:ascii="仿宋" w:hAnsi="仿宋" w:eastAsia="仿宋" w:cs="仿宋"/>
          <w:b w:val="0"/>
          <w:bCs/>
          <w:color w:val="auto"/>
          <w:sz w:val="32"/>
          <w:szCs w:val="32"/>
          <w:lang w:eastAsia="zh-CN"/>
        </w:rPr>
        <w:t>、图</w:t>
      </w:r>
      <w:r>
        <w:rPr>
          <w:rFonts w:hint="eastAsia" w:ascii="仿宋" w:hAnsi="仿宋" w:eastAsia="仿宋" w:cs="仿宋"/>
          <w:b w:val="0"/>
          <w:bCs/>
          <w:color w:val="auto"/>
          <w:sz w:val="32"/>
          <w:szCs w:val="32"/>
          <w:lang w:val="en-US" w:eastAsia="zh-CN"/>
        </w:rPr>
        <w:t>6</w:t>
      </w:r>
      <w:r>
        <w:rPr>
          <w:rFonts w:hint="eastAsia" w:ascii="仿宋" w:hAnsi="仿宋" w:eastAsia="仿宋" w:cs="仿宋"/>
          <w:b w:val="0"/>
          <w:bCs/>
          <w:color w:val="auto"/>
          <w:sz w:val="32"/>
          <w:szCs w:val="32"/>
        </w:rPr>
        <w:t>；本次试验是成功的，达到</w:t>
      </w:r>
      <w:r>
        <w:rPr>
          <w:rFonts w:hint="eastAsia" w:ascii="仿宋" w:hAnsi="仿宋" w:eastAsia="仿宋" w:cs="仿宋"/>
          <w:b w:val="0"/>
          <w:bCs/>
          <w:sz w:val="32"/>
          <w:szCs w:val="32"/>
        </w:rPr>
        <w:t>了预期效果。</w:t>
      </w:r>
    </w:p>
    <w:p>
      <w:pPr>
        <w:adjustRightInd w:val="0"/>
        <w:snapToGrid w:val="0"/>
        <w:spacing w:line="300" w:lineRule="auto"/>
        <w:ind w:firstLine="560" w:firstLineChars="200"/>
        <w:rPr>
          <w:rFonts w:hint="eastAsia" w:ascii="仿宋_GB2312" w:hAnsi="仿宋_GB2312" w:eastAsia="仿宋_GB2312" w:cs="仿宋_GB2312"/>
          <w:sz w:val="28"/>
          <w:szCs w:val="28"/>
        </w:rPr>
      </w:pPr>
    </w:p>
    <w:p>
      <w:pPr>
        <w:adjustRightInd w:val="0"/>
        <w:snapToGrid w:val="0"/>
        <w:spacing w:line="360" w:lineRule="auto"/>
        <w:jc w:val="center"/>
        <w:rPr>
          <w:rFonts w:eastAsia="仿宋_GB2312"/>
          <w:sz w:val="24"/>
        </w:rPr>
      </w:pPr>
      <w:r>
        <w:drawing>
          <wp:inline distT="0" distB="0" distL="0" distR="0">
            <wp:extent cx="3872230" cy="4679950"/>
            <wp:effectExtent l="0" t="0" r="13970" b="1397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2" cstate="email"/>
                    <a:srcRect/>
                    <a:stretch>
                      <a:fillRect/>
                    </a:stretch>
                  </pic:blipFill>
                  <pic:spPr>
                    <a:xfrm>
                      <a:off x="0" y="0"/>
                      <a:ext cx="3872684" cy="4680000"/>
                    </a:xfrm>
                    <a:prstGeom prst="rect">
                      <a:avLst/>
                    </a:prstGeom>
                    <a:ln>
                      <a:noFill/>
                    </a:ln>
                  </pic:spPr>
                </pic:pic>
              </a:graphicData>
            </a:graphic>
          </wp:inline>
        </w:drawing>
      </w:r>
    </w:p>
    <w:p>
      <w:pPr>
        <w:adjustRightInd w:val="0"/>
        <w:snapToGrid w:val="0"/>
        <w:spacing w:line="300" w:lineRule="auto"/>
        <w:jc w:val="center"/>
        <w:rPr>
          <w:rFonts w:eastAsia="黑体"/>
          <w:b/>
          <w:sz w:val="24"/>
        </w:rPr>
      </w:pPr>
      <w:r>
        <w:rPr>
          <w:rFonts w:eastAsia="黑体"/>
          <w:b/>
          <w:sz w:val="24"/>
        </w:rPr>
        <w:t>图</w:t>
      </w:r>
      <w:r>
        <w:rPr>
          <w:rFonts w:hint="eastAsia" w:eastAsia="黑体"/>
          <w:b/>
          <w:sz w:val="24"/>
          <w:lang w:val="en-US" w:eastAsia="zh-CN"/>
        </w:rPr>
        <w:t>4</w:t>
      </w:r>
      <w:r>
        <w:rPr>
          <w:rFonts w:eastAsia="黑体"/>
          <w:b/>
          <w:sz w:val="24"/>
        </w:rPr>
        <w:t xml:space="preserve">  中心空腔</w:t>
      </w:r>
    </w:p>
    <w:p>
      <w:pPr>
        <w:adjustRightInd w:val="0"/>
        <w:snapToGrid w:val="0"/>
        <w:spacing w:line="360" w:lineRule="auto"/>
        <w:jc w:val="center"/>
        <w:rPr>
          <w:rFonts w:eastAsia="仿宋_GB2312"/>
          <w:sz w:val="24"/>
        </w:rPr>
      </w:pPr>
      <w:r>
        <w:drawing>
          <wp:inline distT="0" distB="0" distL="0" distR="0">
            <wp:extent cx="4899025" cy="3455670"/>
            <wp:effectExtent l="0" t="0" r="8255" b="38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3" cstate="email"/>
                    <a:srcRect/>
                    <a:stretch>
                      <a:fillRect/>
                    </a:stretch>
                  </pic:blipFill>
                  <pic:spPr>
                    <a:xfrm>
                      <a:off x="0" y="0"/>
                      <a:ext cx="4899071" cy="3456000"/>
                    </a:xfrm>
                    <a:prstGeom prst="rect">
                      <a:avLst/>
                    </a:prstGeom>
                    <a:noFill/>
                    <a:ln>
                      <a:noFill/>
                    </a:ln>
                  </pic:spPr>
                </pic:pic>
              </a:graphicData>
            </a:graphic>
          </wp:inline>
        </w:drawing>
      </w:r>
    </w:p>
    <w:p>
      <w:pPr>
        <w:adjustRightInd w:val="0"/>
        <w:snapToGrid w:val="0"/>
        <w:spacing w:line="300" w:lineRule="auto"/>
        <w:jc w:val="center"/>
        <w:rPr>
          <w:rFonts w:eastAsia="黑体"/>
          <w:b/>
          <w:sz w:val="24"/>
        </w:rPr>
      </w:pPr>
      <w:r>
        <w:rPr>
          <w:rFonts w:eastAsia="黑体"/>
          <w:b/>
          <w:sz w:val="24"/>
        </w:rPr>
        <w:t>图</w:t>
      </w:r>
      <w:r>
        <w:rPr>
          <w:rFonts w:hint="eastAsia" w:eastAsia="黑体"/>
          <w:b/>
          <w:sz w:val="24"/>
          <w:lang w:val="en-US" w:eastAsia="zh-CN"/>
        </w:rPr>
        <w:t>5</w:t>
      </w:r>
      <w:r>
        <w:rPr>
          <w:rFonts w:eastAsia="黑体"/>
          <w:b/>
          <w:sz w:val="24"/>
        </w:rPr>
        <w:t xml:space="preserve">  爆破后局部堆渣</w:t>
      </w:r>
    </w:p>
    <w:p>
      <w:pPr>
        <w:pStyle w:val="15"/>
        <w:rPr>
          <w:rFonts w:eastAsia="仿宋_GB2312"/>
          <w:sz w:val="24"/>
        </w:rPr>
      </w:pPr>
      <w:r>
        <w:rPr>
          <w:rFonts w:eastAsia="仿宋_GB2312"/>
          <w:sz w:val="24"/>
        </w:rPr>
        <w:drawing>
          <wp:inline distT="0" distB="0" distL="114300" distR="114300">
            <wp:extent cx="5375275" cy="4031615"/>
            <wp:effectExtent l="0" t="0" r="4445" b="6985"/>
            <wp:docPr id="51" name="图片 51" descr="94641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946416644"/>
                    <pic:cNvPicPr>
                      <a:picLocks noChangeAspect="1"/>
                    </pic:cNvPicPr>
                  </pic:nvPicPr>
                  <pic:blipFill>
                    <a:blip r:embed="rId14" cstate="print"/>
                    <a:stretch>
                      <a:fillRect/>
                    </a:stretch>
                  </pic:blipFill>
                  <pic:spPr>
                    <a:xfrm>
                      <a:off x="0" y="0"/>
                      <a:ext cx="5375795" cy="4032000"/>
                    </a:xfrm>
                    <a:prstGeom prst="rect">
                      <a:avLst/>
                    </a:prstGeom>
                  </pic:spPr>
                </pic:pic>
              </a:graphicData>
            </a:graphic>
          </wp:inline>
        </w:drawing>
      </w:r>
    </w:p>
    <w:p>
      <w:pPr>
        <w:pStyle w:val="15"/>
        <w:jc w:val="center"/>
        <w:rPr>
          <w:rFonts w:eastAsia="仿宋_GB2312"/>
          <w:sz w:val="24"/>
        </w:rPr>
      </w:pPr>
      <w:r>
        <w:rPr>
          <w:rFonts w:eastAsia="黑体"/>
          <w:b/>
          <w:sz w:val="24"/>
        </w:rPr>
        <w:t>图</w:t>
      </w:r>
      <w:r>
        <w:rPr>
          <w:rFonts w:hint="eastAsia" w:eastAsia="黑体"/>
          <w:b/>
          <w:sz w:val="24"/>
          <w:lang w:val="en-US" w:eastAsia="zh-CN"/>
        </w:rPr>
        <w:t>6</w:t>
      </w:r>
      <w:r>
        <w:rPr>
          <w:rFonts w:eastAsia="黑体"/>
          <w:b/>
          <w:sz w:val="24"/>
        </w:rPr>
        <w:t xml:space="preserve">  轮廓面半孔</w:t>
      </w:r>
    </w:p>
    <w:p>
      <w:pPr>
        <w:pStyle w:val="15"/>
        <w:keepNext w:val="0"/>
        <w:keepLines w:val="0"/>
        <w:pageBreakBefore w:val="0"/>
        <w:widowControl w:val="0"/>
        <w:kinsoku/>
        <w:wordWrap/>
        <w:overflowPunct/>
        <w:topLinePunct w:val="0"/>
        <w:autoSpaceDE w:val="0"/>
        <w:autoSpaceDN w:val="0"/>
        <w:bidi w:val="0"/>
        <w:adjustRightInd w:val="0"/>
        <w:snapToGrid/>
        <w:spacing w:after="0" w:line="520" w:lineRule="exact"/>
        <w:ind w:firstLine="640" w:firstLineChars="200"/>
        <w:textAlignment w:val="auto"/>
        <w:rPr>
          <w:rFonts w:hint="eastAsia" w:ascii="仿宋" w:hAnsi="仿宋" w:eastAsia="仿宋" w:cs="仿宋"/>
          <w:b w:val="0"/>
          <w:bCs/>
          <w:color w:val="auto"/>
          <w:kern w:val="2"/>
          <w:sz w:val="32"/>
          <w:szCs w:val="32"/>
          <w:lang w:val="en-US" w:eastAsia="zh-CN" w:bidi="ar-SA"/>
        </w:rPr>
      </w:pPr>
      <w:r>
        <w:rPr>
          <w:rFonts w:hint="eastAsia" w:ascii="仿宋" w:hAnsi="仿宋" w:eastAsia="仿宋" w:cs="仿宋"/>
          <w:b w:val="0"/>
          <w:bCs/>
          <w:color w:val="auto"/>
          <w:kern w:val="2"/>
          <w:sz w:val="32"/>
          <w:szCs w:val="32"/>
          <w:lang w:val="en-US" w:eastAsia="zh-CN" w:bidi="ar-SA"/>
        </w:rPr>
        <w:t>2021年6月8日贯通爆破试验，起爆。爆后所有炮孔均起爆，没有发现雷管拒爆现象，起爆网路可靠；8m长的贯通试验段一次性成功爆通、成型（图7、图8、图9），达到了预期效果。</w:t>
      </w:r>
    </w:p>
    <w:p>
      <w:pPr>
        <w:adjustRightInd w:val="0"/>
        <w:snapToGrid w:val="0"/>
        <w:spacing w:line="360" w:lineRule="auto"/>
        <w:jc w:val="center"/>
        <w:rPr>
          <w:rFonts w:eastAsia="仿宋_GB2312"/>
          <w:sz w:val="24"/>
        </w:rPr>
      </w:pPr>
      <w:r>
        <w:rPr>
          <w:rFonts w:eastAsia="仿宋_GB2312"/>
          <w:sz w:val="24"/>
        </w:rPr>
        <w:drawing>
          <wp:inline distT="0" distB="0" distL="0" distR="0">
            <wp:extent cx="4221480" cy="3167380"/>
            <wp:effectExtent l="0" t="0" r="7620" b="0"/>
            <wp:docPr id="1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5"/>
                    <pic:cNvPicPr>
                      <a:picLocks noChangeAspect="1"/>
                    </pic:cNvPicPr>
                  </pic:nvPicPr>
                  <pic:blipFill>
                    <a:blip r:embed="rId15" cstate="email"/>
                    <a:stretch>
                      <a:fillRect/>
                    </a:stretch>
                  </pic:blipFill>
                  <pic:spPr>
                    <a:xfrm>
                      <a:off x="0" y="0"/>
                      <a:ext cx="4221896" cy="3168000"/>
                    </a:xfrm>
                    <a:prstGeom prst="rect">
                      <a:avLst/>
                    </a:prstGeom>
                  </pic:spPr>
                </pic:pic>
              </a:graphicData>
            </a:graphic>
          </wp:inline>
        </w:drawing>
      </w:r>
    </w:p>
    <w:p>
      <w:pPr>
        <w:adjustRightInd w:val="0"/>
        <w:snapToGrid w:val="0"/>
        <w:spacing w:line="300" w:lineRule="auto"/>
        <w:jc w:val="center"/>
        <w:rPr>
          <w:rFonts w:eastAsia="黑体"/>
          <w:b/>
          <w:sz w:val="24"/>
        </w:rPr>
      </w:pPr>
      <w:r>
        <w:rPr>
          <w:rFonts w:eastAsia="黑体"/>
          <w:b/>
          <w:sz w:val="24"/>
        </w:rPr>
        <w:t>图7  贯通爆破效果</w:t>
      </w:r>
    </w:p>
    <w:p>
      <w:pPr>
        <w:adjustRightInd w:val="0"/>
        <w:snapToGrid w:val="0"/>
        <w:spacing w:line="300" w:lineRule="auto"/>
        <w:jc w:val="center"/>
        <w:rPr>
          <w:rFonts w:eastAsia="黑体"/>
          <w:b/>
          <w:sz w:val="24"/>
        </w:rPr>
      </w:pPr>
      <w:r>
        <w:rPr>
          <w:rFonts w:eastAsia="黑体"/>
          <w:b/>
          <w:sz w:val="24"/>
        </w:rPr>
        <w:drawing>
          <wp:inline distT="0" distB="0" distL="0" distR="0">
            <wp:extent cx="3818255" cy="410337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16" cstate="email"/>
                    <a:srcRect/>
                    <a:stretch>
                      <a:fillRect/>
                    </a:stretch>
                  </pic:blipFill>
                  <pic:spPr>
                    <a:xfrm>
                      <a:off x="0" y="0"/>
                      <a:ext cx="3818833" cy="4104000"/>
                    </a:xfrm>
                    <a:prstGeom prst="rect">
                      <a:avLst/>
                    </a:prstGeom>
                    <a:noFill/>
                  </pic:spPr>
                </pic:pic>
              </a:graphicData>
            </a:graphic>
          </wp:inline>
        </w:drawing>
      </w:r>
    </w:p>
    <w:p>
      <w:pPr>
        <w:adjustRightInd w:val="0"/>
        <w:snapToGrid w:val="0"/>
        <w:spacing w:line="300" w:lineRule="auto"/>
        <w:jc w:val="center"/>
        <w:rPr>
          <w:rFonts w:eastAsia="黑体"/>
          <w:b/>
          <w:sz w:val="24"/>
        </w:rPr>
      </w:pPr>
      <w:r>
        <w:rPr>
          <w:rFonts w:eastAsia="黑体"/>
          <w:b/>
          <w:sz w:val="24"/>
        </w:rPr>
        <w:t>图</w:t>
      </w:r>
      <w:r>
        <w:rPr>
          <w:rFonts w:hint="eastAsia" w:eastAsia="黑体"/>
          <w:b/>
          <w:sz w:val="24"/>
          <w:lang w:val="en-US" w:eastAsia="zh-CN"/>
        </w:rPr>
        <w:t>8</w:t>
      </w:r>
      <w:r>
        <w:rPr>
          <w:rFonts w:eastAsia="黑体"/>
          <w:b/>
          <w:sz w:val="24"/>
        </w:rPr>
        <w:t xml:space="preserve">  整体效果</w:t>
      </w:r>
    </w:p>
    <w:p>
      <w:pPr>
        <w:adjustRightInd w:val="0"/>
        <w:snapToGrid w:val="0"/>
        <w:spacing w:line="300" w:lineRule="auto"/>
        <w:jc w:val="center"/>
        <w:rPr>
          <w:rFonts w:eastAsia="黑体"/>
          <w:b/>
          <w:sz w:val="24"/>
        </w:rPr>
      </w:pPr>
      <w:r>
        <w:drawing>
          <wp:inline distT="0" distB="0" distL="0" distR="0">
            <wp:extent cx="4022090" cy="3016885"/>
            <wp:effectExtent l="0" t="0" r="1270" b="63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7" cstate="email"/>
                    <a:srcRect/>
                    <a:stretch>
                      <a:fillRect/>
                    </a:stretch>
                  </pic:blipFill>
                  <pic:spPr>
                    <a:xfrm>
                      <a:off x="0" y="0"/>
                      <a:ext cx="4022090" cy="3016885"/>
                    </a:xfrm>
                    <a:prstGeom prst="rect">
                      <a:avLst/>
                    </a:prstGeom>
                    <a:noFill/>
                    <a:ln>
                      <a:noFill/>
                    </a:ln>
                  </pic:spPr>
                </pic:pic>
              </a:graphicData>
            </a:graphic>
          </wp:inline>
        </w:drawing>
      </w:r>
    </w:p>
    <w:p>
      <w:pPr>
        <w:adjustRightInd w:val="0"/>
        <w:snapToGrid w:val="0"/>
        <w:spacing w:line="300" w:lineRule="auto"/>
        <w:jc w:val="center"/>
        <w:rPr>
          <w:rFonts w:ascii="Times New Roman" w:cs="Times New Roman"/>
          <w:color w:val="EE0000"/>
        </w:rPr>
      </w:pPr>
      <w:r>
        <w:rPr>
          <w:rFonts w:eastAsia="黑体"/>
          <w:b/>
          <w:sz w:val="24"/>
        </w:rPr>
        <w:t>图</w:t>
      </w:r>
      <w:r>
        <w:rPr>
          <w:rFonts w:hint="eastAsia" w:eastAsia="黑体"/>
          <w:b/>
          <w:sz w:val="24"/>
          <w:lang w:val="en-US" w:eastAsia="zh-CN"/>
        </w:rPr>
        <w:t>9</w:t>
      </w:r>
      <w:r>
        <w:rPr>
          <w:rFonts w:eastAsia="黑体"/>
          <w:b/>
          <w:sz w:val="24"/>
        </w:rPr>
        <w:t xml:space="preserve">  轮廓面半孔</w:t>
      </w:r>
    </w:p>
    <w:p>
      <w:pPr>
        <w:pStyle w:val="17"/>
        <w:numPr>
          <w:ilvl w:val="0"/>
          <w:numId w:val="0"/>
        </w:numPr>
        <w:spacing w:line="520" w:lineRule="exact"/>
        <w:outlineLvl w:val="1"/>
        <w:rPr>
          <w:rFonts w:ascii="Times New Roman" w:eastAsia="仿宋_GB2312"/>
          <w:b/>
          <w:sz w:val="32"/>
          <w:szCs w:val="32"/>
        </w:rPr>
      </w:pPr>
      <w:r>
        <w:rPr>
          <w:rFonts w:hint="eastAsia" w:ascii="Times New Roman" w:eastAsia="仿宋_GB2312"/>
          <w:b/>
          <w:sz w:val="32"/>
          <w:szCs w:val="32"/>
          <w:lang w:eastAsia="zh-CN"/>
        </w:rPr>
        <w:t>（四）</w:t>
      </w:r>
      <w:r>
        <w:rPr>
          <w:rFonts w:ascii="Times New Roman" w:eastAsia="仿宋_GB2312"/>
          <w:b/>
          <w:sz w:val="32"/>
          <w:szCs w:val="32"/>
        </w:rPr>
        <w:t>水下岩塞爆破施工</w:t>
      </w:r>
    </w:p>
    <w:p>
      <w:pPr>
        <w:keepNext w:val="0"/>
        <w:keepLines w:val="0"/>
        <w:pageBreakBefore w:val="0"/>
        <w:kinsoku/>
        <w:wordWrap/>
        <w:overflowPunct/>
        <w:topLinePunct w:val="0"/>
        <w:bidi w:val="0"/>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4.1硐室及炮孔开挖：炮孔编号放样标注，开孔前验收孔位、角度及钻机，合格开钻；炮孔直径60-100mm，空孔≥90mm，爆破孔用轻型潜孔钻机，保证孔位、孔向、孔深达标。掏槽孔、主爆孔、周边轮廓孔按规定控制误差，设样架激光控向，钻进中多次校核。遇渗涌水按需抽排、灌浆堵水或封堵连通孔。硐室用手风钻，单孔装药量≤100g，最大单段药量≤0.4kg，控制超欠挖，采用预留空孔掏槽、光面爆破，超前导洞分次爆破，孔底未装药部分柔性防护。</w:t>
      </w:r>
    </w:p>
    <w:p>
      <w:pPr>
        <w:pStyle w:val="15"/>
        <w:keepNext w:val="0"/>
        <w:keepLines w:val="0"/>
        <w:pageBreakBefore w:val="0"/>
        <w:kinsoku/>
        <w:wordWrap/>
        <w:overflowPunct/>
        <w:topLinePunct w:val="0"/>
        <w:bidi w:val="0"/>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说明：岩塞爆破受施工通道限制，不具备大型钻孔设备进行钻孔施工的条件，只能采用手风钻或者100B轻型潜孔钻机进行钻孔施工，100B型潜孔钻机钻孔直径为76mm~130mm，手风钻钻孔直径最大为60mm；常用的大直径成品乳化炸药有Φ60、Φ70两种，为了避免不耦合系数偏大，一般90mm直径的炮孔装Φ60的炸药，100mm直径的炮孔装Φ70的炸药，因此，炮孔直径选60~100mm。为了给掏槽孔提供更多的补偿空间，空孔的直径越大越好，同时考虑到整个岩塞钻孔的一致性，空孔直径一般≥90mm。</w:t>
      </w:r>
    </w:p>
    <w:p>
      <w:pPr>
        <w:pStyle w:val="15"/>
        <w:keepNext w:val="0"/>
        <w:keepLines w:val="0"/>
        <w:pageBreakBefore w:val="0"/>
        <w:kinsoku/>
        <w:wordWrap/>
        <w:overflowPunct/>
        <w:topLinePunct w:val="0"/>
        <w:bidi w:val="0"/>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采用硐室爆破，药室和导洞开挖时，均采用小直径药卷，一次开挖的进尺一般不超过30cm，装药长度一般不超过10cm，按Φ32直径的炸药即为100g；</w:t>
      </w:r>
      <w:r>
        <w:rPr>
          <w:rFonts w:hint="eastAsia" w:ascii="仿宋" w:hAnsi="仿宋" w:eastAsia="仿宋" w:cs="仿宋"/>
          <w:color w:val="auto"/>
          <w:sz w:val="32"/>
          <w:szCs w:val="32"/>
          <w:highlight w:val="none"/>
        </w:rPr>
        <w:t>为保证掏槽效果，一般多孔同时起爆，但</w:t>
      </w:r>
      <w:r>
        <w:rPr>
          <w:rFonts w:hint="eastAsia" w:ascii="仿宋" w:hAnsi="仿宋" w:eastAsia="仿宋" w:cs="仿宋"/>
          <w:color w:val="auto"/>
          <w:sz w:val="32"/>
          <w:szCs w:val="32"/>
          <w:highlight w:val="none"/>
          <w:lang w:val="en-US" w:eastAsia="zh-CN"/>
        </w:rPr>
        <w:t>要控制最大单响的药量，</w:t>
      </w:r>
      <w:r>
        <w:rPr>
          <w:rFonts w:hint="eastAsia" w:ascii="仿宋" w:hAnsi="仿宋" w:eastAsia="仿宋" w:cs="仿宋"/>
          <w:color w:val="auto"/>
          <w:sz w:val="32"/>
          <w:szCs w:val="32"/>
          <w:highlight w:val="none"/>
        </w:rPr>
        <w:t>不宜超过4孔，</w:t>
      </w:r>
      <w:r>
        <w:rPr>
          <w:rFonts w:hint="eastAsia" w:ascii="仿宋" w:hAnsi="仿宋" w:eastAsia="仿宋" w:cs="仿宋"/>
          <w:color w:val="auto"/>
          <w:sz w:val="32"/>
          <w:szCs w:val="32"/>
        </w:rPr>
        <w:t>因此最大单段药量应控制在≤0.4kg。</w:t>
      </w:r>
    </w:p>
    <w:p>
      <w:pPr>
        <w:keepNext w:val="0"/>
        <w:keepLines w:val="0"/>
        <w:pageBreakBefore w:val="0"/>
        <w:kinsoku/>
        <w:wordWrap/>
        <w:overflowPunct/>
        <w:topLinePunct w:val="0"/>
        <w:bidi w:val="0"/>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4.2药柱按爆破设计编号、药量、规格加工，与炮孔匹配并做好记录；每个炮孔设两根防水导爆索和两发电子雷管，起爆体用防水乳化炸药，均做好防水密封与绑扎。药室装药遵循先下后上、先里后外原则，做好排水、防护与布线，起爆体导线保护后接入起爆网路。封堵前专项检查装药、爆破网路及灌浆管路。炮孔用锚固剂等材料堵塞，捣实不碰药柱，保护管线，出水孔设导流管。药室口先以掺砂黄泥夯实，再用砂浆砖砌体错缝封口并密合岩壁；导洞、连接洞设钢锁口门，灌浆管路密闭后灌注纯水泥浆，合格后封堵管路。</w:t>
      </w:r>
    </w:p>
    <w:p>
      <w:pPr>
        <w:pStyle w:val="15"/>
        <w:keepNext w:val="0"/>
        <w:keepLines w:val="0"/>
        <w:pageBreakBefore w:val="0"/>
        <w:kinsoku/>
        <w:wordWrap/>
        <w:overflowPunct/>
        <w:topLinePunct w:val="0"/>
        <w:bidi w:val="0"/>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lang w:val="en-US" w:eastAsia="zh-CN"/>
        </w:rPr>
        <w:t>说明：保证装药按照爆破设计方案进行，避免装药混乱，装错孔，起爆网络防护和保护达不到要求，影响岩塞爆破的效果或者爆破不成功。</w:t>
      </w:r>
    </w:p>
    <w:p>
      <w:pPr>
        <w:keepNext w:val="0"/>
        <w:keepLines w:val="0"/>
        <w:pageBreakBefore w:val="0"/>
        <w:kinsoku/>
        <w:wordWrap/>
        <w:overflowPunct/>
        <w:topLinePunct w:val="0"/>
        <w:bidi w:val="0"/>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4.3药柱应严格按照爆破设计加工和记录，每个炮孔的药柱宜设置两根防水导爆索、两发电子雷管，并用竹片将药包绑扎牢固，起爆体宜采用防水乳化炸药，药室装药应遵循先下后上、先里后外的原则，药室、导洞、连通洞封堵前应做好专项检查，各药室口处宜采用掺砂黄泥或粘土封堵，导洞和连接洞采用快硬水泥灌浆封堵。</w:t>
      </w:r>
    </w:p>
    <w:p>
      <w:pPr>
        <w:pStyle w:val="15"/>
        <w:keepNext w:val="0"/>
        <w:keepLines w:val="0"/>
        <w:pageBreakBefore w:val="0"/>
        <w:kinsoku/>
        <w:wordWrap/>
        <w:overflowPunct/>
        <w:topLinePunct w:val="0"/>
        <w:bidi w:val="0"/>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说明：为了保</w:t>
      </w:r>
      <w:r>
        <w:rPr>
          <w:rFonts w:hint="eastAsia" w:ascii="仿宋" w:hAnsi="仿宋" w:eastAsia="仿宋" w:cs="仿宋"/>
          <w:color w:val="auto"/>
          <w:sz w:val="32"/>
          <w:szCs w:val="32"/>
          <w:lang w:val="en-US" w:eastAsia="zh-CN"/>
        </w:rPr>
        <w:t>证爆破起爆的成功率，采用两发雷管复式起爆网络。</w:t>
      </w:r>
      <w:r>
        <w:rPr>
          <w:rFonts w:hint="eastAsia" w:ascii="仿宋" w:hAnsi="仿宋" w:eastAsia="仿宋" w:cs="仿宋"/>
          <w:color w:val="auto"/>
          <w:sz w:val="32"/>
          <w:szCs w:val="32"/>
        </w:rPr>
        <w:t>岩塞能够准爆，增加可靠度，每个炮孔应不少于两发雷管，组成复</w:t>
      </w:r>
      <w:r>
        <w:rPr>
          <w:rFonts w:hint="eastAsia" w:ascii="仿宋" w:hAnsi="仿宋" w:eastAsia="仿宋" w:cs="仿宋"/>
          <w:color w:val="auto"/>
          <w:sz w:val="32"/>
          <w:szCs w:val="32"/>
          <w:lang w:val="en-US" w:eastAsia="zh-CN"/>
        </w:rPr>
        <w:t>式</w:t>
      </w:r>
      <w:r>
        <w:rPr>
          <w:rFonts w:hint="eastAsia" w:ascii="仿宋" w:hAnsi="仿宋" w:eastAsia="仿宋" w:cs="仿宋"/>
          <w:color w:val="auto"/>
          <w:sz w:val="32"/>
          <w:szCs w:val="32"/>
        </w:rPr>
        <w:t>起爆网路。</w:t>
      </w:r>
      <w:r>
        <w:rPr>
          <w:rFonts w:hint="eastAsia" w:ascii="仿宋" w:hAnsi="仿宋" w:eastAsia="仿宋" w:cs="仿宋"/>
          <w:color w:val="auto"/>
          <w:sz w:val="32"/>
          <w:szCs w:val="32"/>
          <w:lang w:val="en-US" w:eastAsia="zh-CN"/>
        </w:rPr>
        <w:t>每个</w:t>
      </w:r>
      <w:r>
        <w:rPr>
          <w:rFonts w:hint="eastAsia" w:ascii="仿宋" w:hAnsi="仿宋" w:eastAsia="仿宋" w:cs="仿宋"/>
          <w:color w:val="auto"/>
          <w:sz w:val="32"/>
          <w:szCs w:val="32"/>
        </w:rPr>
        <w:t>药包</w:t>
      </w:r>
      <w:r>
        <w:rPr>
          <w:rFonts w:hint="eastAsia" w:ascii="仿宋" w:hAnsi="仿宋" w:eastAsia="仿宋" w:cs="仿宋"/>
          <w:color w:val="auto"/>
          <w:sz w:val="32"/>
          <w:szCs w:val="32"/>
          <w:lang w:val="en-US" w:eastAsia="zh-CN"/>
        </w:rPr>
        <w:t>采用</w:t>
      </w:r>
      <w:r>
        <w:rPr>
          <w:rFonts w:hint="eastAsia" w:ascii="仿宋" w:hAnsi="仿宋" w:eastAsia="仿宋" w:cs="仿宋"/>
          <w:color w:val="auto"/>
          <w:sz w:val="32"/>
          <w:szCs w:val="32"/>
        </w:rPr>
        <w:t>两发电子雷管</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highlight w:val="none"/>
        </w:rPr>
        <w:t>1发位置于靠近孔口的端部正向起爆，1发位置于孔底反向起爆。</w:t>
      </w:r>
    </w:p>
    <w:p>
      <w:pPr>
        <w:pStyle w:val="15"/>
        <w:keepNext w:val="0"/>
        <w:keepLines w:val="0"/>
        <w:pageBreakBefore w:val="0"/>
        <w:kinsoku/>
        <w:wordWrap/>
        <w:overflowPunct/>
        <w:topLinePunct w:val="0"/>
        <w:bidi w:val="0"/>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highlight w:val="none"/>
        </w:rPr>
        <w:t>堵塞长度与孔底抵抗线基本一致，使炮孔爆破时能够向孔两端作用，防止炮孔向一端爆破。</w:t>
      </w:r>
    </w:p>
    <w:p>
      <w:pPr>
        <w:keepNext w:val="0"/>
        <w:keepLines w:val="0"/>
        <w:pageBreakBefore w:val="0"/>
        <w:tabs>
          <w:tab w:val="center" w:pos="4080"/>
          <w:tab w:val="right" w:pos="8160"/>
        </w:tabs>
        <w:kinsoku/>
        <w:wordWrap/>
        <w:overflowPunct/>
        <w:topLinePunct w:val="0"/>
        <w:bidi w:val="0"/>
        <w:adjustRightInd w:val="0"/>
        <w:snapToGrid w:val="0"/>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参照《水下岩塞爆破设计规范》(NB/T 11667-2024)第7.5.1条“水下岩塞爆破工程起爆网路不应少于2套”并结合三亚西水中调工程岩塞爆破等工程实例做出的相关规定。</w:t>
      </w:r>
      <w:r>
        <w:rPr>
          <w:rFonts w:hint="eastAsia" w:ascii="仿宋" w:hAnsi="仿宋" w:eastAsia="仿宋" w:cs="仿宋"/>
          <w:color w:val="auto"/>
          <w:sz w:val="32"/>
          <w:szCs w:val="32"/>
          <w:lang w:val="en-US" w:eastAsia="zh-CN"/>
        </w:rPr>
        <w:t>三亚西水中调工程岩塞爆破每个</w:t>
      </w:r>
      <w:r>
        <w:rPr>
          <w:rFonts w:hint="eastAsia" w:ascii="仿宋" w:hAnsi="仿宋" w:eastAsia="仿宋" w:cs="仿宋"/>
          <w:color w:val="auto"/>
          <w:sz w:val="32"/>
          <w:szCs w:val="32"/>
        </w:rPr>
        <w:t>药包</w:t>
      </w:r>
      <w:r>
        <w:rPr>
          <w:rFonts w:hint="eastAsia" w:ascii="仿宋" w:hAnsi="仿宋" w:eastAsia="仿宋" w:cs="仿宋"/>
          <w:color w:val="auto"/>
          <w:sz w:val="32"/>
          <w:szCs w:val="32"/>
          <w:lang w:val="en-US" w:eastAsia="zh-CN"/>
        </w:rPr>
        <w:t>采用</w:t>
      </w:r>
      <w:r>
        <w:rPr>
          <w:rFonts w:hint="eastAsia" w:ascii="仿宋" w:hAnsi="仿宋" w:eastAsia="仿宋" w:cs="仿宋"/>
          <w:color w:val="auto"/>
          <w:sz w:val="32"/>
          <w:szCs w:val="32"/>
        </w:rPr>
        <w:t>两发电子雷管</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highlight w:val="none"/>
        </w:rPr>
        <w:t>1发位置于靠近孔口的端部正向起爆，1发位置于孔底反向起爆。</w:t>
      </w:r>
    </w:p>
    <w:p>
      <w:pPr>
        <w:keepNext w:val="0"/>
        <w:keepLines w:val="0"/>
        <w:pageBreakBefore w:val="0"/>
        <w:kinsoku/>
        <w:wordWrap/>
        <w:overflowPunct/>
        <w:topLinePunct w:val="0"/>
        <w:bidi w:val="0"/>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4.4应采用电子雷管复式起爆网路，电子雷管脚线、导爆索端头均应做好防水防潮处理，装药、联网、封堵和充水补气工作完成后进行最后联网检测，爆破前，应制定爆破警戒专项方案。</w:t>
      </w:r>
    </w:p>
    <w:p>
      <w:pPr>
        <w:pStyle w:val="15"/>
        <w:keepNext w:val="0"/>
        <w:keepLines w:val="0"/>
        <w:pageBreakBefore w:val="0"/>
        <w:kinsoku/>
        <w:wordWrap/>
        <w:overflowPunct/>
        <w:topLinePunct w:val="0"/>
        <w:bidi w:val="0"/>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lang w:val="en-US" w:eastAsia="zh-CN"/>
        </w:rPr>
        <w:t>说明：在</w:t>
      </w:r>
      <w:r>
        <w:rPr>
          <w:rFonts w:hint="eastAsia" w:ascii="仿宋" w:hAnsi="仿宋" w:eastAsia="仿宋" w:cs="仿宋"/>
          <w:color w:val="auto"/>
          <w:sz w:val="32"/>
          <w:szCs w:val="32"/>
        </w:rPr>
        <w:t>三亚西水中调工程岩塞爆破</w:t>
      </w:r>
      <w:r>
        <w:rPr>
          <w:rFonts w:hint="eastAsia" w:ascii="仿宋" w:hAnsi="仿宋" w:eastAsia="仿宋" w:cs="仿宋"/>
          <w:color w:val="auto"/>
          <w:sz w:val="32"/>
          <w:szCs w:val="32"/>
          <w:lang w:val="en-US" w:eastAsia="zh-CN"/>
        </w:rPr>
        <w:t>中</w:t>
      </w:r>
      <w:r>
        <w:rPr>
          <w:rFonts w:hint="eastAsia" w:ascii="仿宋" w:hAnsi="仿宋" w:eastAsia="仿宋" w:cs="仿宋"/>
          <w:color w:val="auto"/>
          <w:sz w:val="32"/>
          <w:szCs w:val="32"/>
        </w:rPr>
        <w:t>由于受到高端材料进口管控的限制，不能正常采购进口的电子雷管，只能采购国产电子雷管。为了确保起爆可靠性，</w:t>
      </w:r>
      <w:r>
        <w:rPr>
          <w:rFonts w:hint="eastAsia" w:ascii="仿宋" w:hAnsi="仿宋" w:eastAsia="仿宋" w:cs="仿宋"/>
          <w:color w:val="auto"/>
          <w:sz w:val="32"/>
          <w:szCs w:val="32"/>
          <w:lang w:eastAsia="zh-CN"/>
        </w:rPr>
        <w:t>采用</w:t>
      </w:r>
      <w:r>
        <w:rPr>
          <w:rFonts w:hint="eastAsia" w:ascii="仿宋" w:hAnsi="仿宋" w:eastAsia="仿宋" w:cs="仿宋"/>
          <w:color w:val="auto"/>
          <w:sz w:val="32"/>
          <w:szCs w:val="32"/>
        </w:rPr>
        <w:t>高精度非电及电子雷管复复式起爆系统。</w:t>
      </w:r>
    </w:p>
    <w:p>
      <w:pPr>
        <w:pStyle w:val="17"/>
        <w:keepNext w:val="0"/>
        <w:keepLines w:val="0"/>
        <w:pageBreakBefore w:val="0"/>
        <w:kinsoku/>
        <w:wordWrap/>
        <w:overflowPunct/>
        <w:topLinePunct w:val="0"/>
        <w:bidi w:val="0"/>
        <w:spacing w:after="0" w:line="520" w:lineRule="exact"/>
        <w:ind w:firstLine="640" w:firstLineChars="200"/>
        <w:jc w:val="left"/>
        <w:textAlignment w:val="auto"/>
        <w:outlineLvl w:val="1"/>
        <w:rPr>
          <w:rFonts w:hint="eastAsia" w:ascii="仿宋" w:hAnsi="仿宋" w:eastAsia="仿宋" w:cs="仿宋"/>
          <w:color w:val="auto"/>
          <w:kern w:val="2"/>
          <w:sz w:val="32"/>
          <w:szCs w:val="32"/>
        </w:rPr>
      </w:pPr>
      <w:r>
        <w:rPr>
          <w:rFonts w:hint="eastAsia" w:ascii="仿宋" w:hAnsi="仿宋" w:eastAsia="仿宋" w:cs="仿宋"/>
          <w:color w:val="auto"/>
          <w:kern w:val="2"/>
          <w:sz w:val="32"/>
          <w:szCs w:val="32"/>
        </w:rPr>
        <w:t>4.5采用气垫式岩塞爆破时，应根据设计气垫体积的大小，结合库水位确定充水水位。应设置集渣坑水位视频监测系统，随时调控补气的速率，确保维持设计的气室体积。</w:t>
      </w:r>
    </w:p>
    <w:p>
      <w:pPr>
        <w:pStyle w:val="15"/>
        <w:keepNext w:val="0"/>
        <w:keepLines w:val="0"/>
        <w:pageBreakBefore w:val="0"/>
        <w:kinsoku/>
        <w:wordWrap/>
        <w:overflowPunct/>
        <w:topLinePunct w:val="0"/>
        <w:bidi w:val="0"/>
        <w:spacing w:after="0" w:line="520" w:lineRule="exact"/>
        <w:ind w:firstLine="640" w:firstLineChars="200"/>
        <w:jc w:val="left"/>
        <w:textAlignment w:val="auto"/>
        <w:rPr>
          <w:rFonts w:hint="eastAsia" w:ascii="仿宋" w:hAnsi="仿宋" w:eastAsia="仿宋" w:cs="仿宋"/>
          <w:color w:val="auto"/>
          <w:sz w:val="32"/>
          <w:szCs w:val="32"/>
        </w:rPr>
      </w:pPr>
      <w:bookmarkStart w:id="6" w:name="_Hlk214616076"/>
      <w:r>
        <w:rPr>
          <w:rFonts w:hint="eastAsia" w:ascii="仿宋" w:hAnsi="仿宋" w:eastAsia="仿宋" w:cs="仿宋"/>
          <w:color w:val="auto"/>
          <w:sz w:val="32"/>
          <w:szCs w:val="32"/>
        </w:rPr>
        <w:t>参照《水下岩塞爆破设计规范》(NB/T 11667-2024)第11.0.6条“采用水垫或气垫方式进行水下岩塞爆破，应对充水水位误差、水位自动监测系统、泄漏补救措施等提出技术要求。”并结合三亚西水中调工程岩塞爆破等工程实例做出的相关规定。</w:t>
      </w:r>
      <w:r>
        <w:rPr>
          <w:rFonts w:hint="eastAsia" w:ascii="仿宋" w:hAnsi="仿宋" w:eastAsia="仿宋" w:cs="仿宋"/>
          <w:color w:val="auto"/>
          <w:sz w:val="32"/>
          <w:szCs w:val="32"/>
          <w:lang w:val="en-US" w:eastAsia="zh-CN"/>
        </w:rPr>
        <w:t>在</w:t>
      </w:r>
      <w:r>
        <w:rPr>
          <w:rFonts w:hint="eastAsia" w:ascii="仿宋" w:hAnsi="仿宋" w:eastAsia="仿宋" w:cs="仿宋"/>
          <w:color w:val="auto"/>
          <w:sz w:val="32"/>
          <w:szCs w:val="32"/>
        </w:rPr>
        <w:t>三亚西水中调工程岩塞爆破</w:t>
      </w:r>
      <w:r>
        <w:rPr>
          <w:rFonts w:hint="eastAsia" w:ascii="仿宋" w:hAnsi="仿宋" w:eastAsia="仿宋" w:cs="仿宋"/>
          <w:color w:val="auto"/>
          <w:sz w:val="32"/>
          <w:szCs w:val="32"/>
          <w:lang w:val="en-US" w:eastAsia="zh-CN"/>
        </w:rPr>
        <w:t>中，</w:t>
      </w:r>
      <w:r>
        <w:rPr>
          <w:rFonts w:hint="eastAsia" w:ascii="仿宋" w:hAnsi="仿宋" w:eastAsia="仿宋" w:cs="仿宋"/>
          <w:color w:val="auto"/>
          <w:kern w:val="0"/>
          <w:sz w:val="32"/>
          <w:szCs w:val="32"/>
          <w:lang w:val="en-US" w:eastAsia="zh-CN"/>
        </w:rPr>
        <w:t>根据岩塞爆破设计，岩塞爆破是在有压工况下进行爆破，需要向聚渣坑和闸门井充水。岩塞爆破前，集渣坑充水的同时，空压机也向集渣坑内充气，在岩塞底部与集渣坑之间形成一个气囊，使岩塞爆破时岩塞底部与下游水体分隔开。</w:t>
      </w:r>
      <w:r>
        <w:rPr>
          <w:rFonts w:hint="eastAsia" w:ascii="仿宋" w:hAnsi="仿宋" w:eastAsia="仿宋" w:cs="仿宋"/>
          <w:b w:val="0"/>
          <w:bCs w:val="0"/>
          <w:color w:val="auto"/>
          <w:kern w:val="0"/>
          <w:sz w:val="32"/>
          <w:szCs w:val="32"/>
          <w:lang w:val="en-US" w:eastAsia="zh-CN"/>
        </w:rPr>
        <w:t>充水加压是为了爆破后，岩渣在集渣坑堆积形态满足要求，且基本无岩渣进入聚渣坑后的主洞内，防止闸门井涌浪水位喷出闸门井口外。</w:t>
      </w:r>
      <w:r>
        <w:rPr>
          <w:rFonts w:hint="eastAsia" w:ascii="仿宋" w:hAnsi="仿宋" w:eastAsia="仿宋" w:cs="仿宋"/>
          <w:color w:val="auto"/>
          <w:kern w:val="0"/>
          <w:sz w:val="32"/>
          <w:szCs w:val="32"/>
          <w:lang w:val="en-US" w:eastAsia="zh-CN"/>
        </w:rPr>
        <w:t>进行了集渣坑充水及集渣坑充水同时充气，保持岩塞底部水位控制在预定的高程范围内。</w:t>
      </w:r>
    </w:p>
    <w:p>
      <w:pPr>
        <w:keepNext w:val="0"/>
        <w:keepLines w:val="0"/>
        <w:pageBreakBefore w:val="0"/>
        <w:kinsoku/>
        <w:wordWrap/>
        <w:overflowPunct/>
        <w:topLinePunct w:val="0"/>
        <w:bidi w:val="0"/>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在气垫区域内安装摄像装置，在岩塞爆破前的充水充气期间，动态监测气垫水位监测，对工程爆破顺</w:t>
      </w:r>
      <w:bookmarkStart w:id="10" w:name="_GoBack"/>
      <w:bookmarkEnd w:id="10"/>
      <w:r>
        <w:rPr>
          <w:rFonts w:hint="eastAsia" w:ascii="仿宋" w:hAnsi="仿宋" w:eastAsia="仿宋" w:cs="仿宋"/>
          <w:color w:val="auto"/>
          <w:sz w:val="32"/>
          <w:szCs w:val="32"/>
        </w:rPr>
        <w:t>利实施提供可靠依据（见图</w:t>
      </w:r>
      <w:r>
        <w:rPr>
          <w:rFonts w:hint="eastAsia" w:ascii="仿宋" w:hAnsi="仿宋" w:eastAsia="仿宋" w:cs="仿宋"/>
          <w:color w:val="auto"/>
          <w:sz w:val="32"/>
          <w:szCs w:val="32"/>
          <w:lang w:val="en-US" w:eastAsia="zh-CN"/>
        </w:rPr>
        <w:t>10</w:t>
      </w:r>
      <w:r>
        <w:rPr>
          <w:rFonts w:hint="eastAsia" w:ascii="仿宋" w:hAnsi="仿宋" w:eastAsia="仿宋" w:cs="仿宋"/>
          <w:color w:val="auto"/>
          <w:sz w:val="32"/>
          <w:szCs w:val="32"/>
        </w:rPr>
        <w:t>和图</w:t>
      </w:r>
      <w:r>
        <w:rPr>
          <w:rFonts w:hint="eastAsia" w:ascii="仿宋" w:hAnsi="仿宋" w:eastAsia="仿宋" w:cs="仿宋"/>
          <w:color w:val="auto"/>
          <w:sz w:val="32"/>
          <w:szCs w:val="32"/>
          <w:lang w:val="en-US" w:eastAsia="zh-CN"/>
        </w:rPr>
        <w:t>11</w:t>
      </w:r>
      <w:r>
        <w:rPr>
          <w:rFonts w:hint="eastAsia" w:ascii="仿宋" w:hAnsi="仿宋" w:eastAsia="仿宋" w:cs="仿宋"/>
          <w:color w:val="auto"/>
          <w:sz w:val="32"/>
          <w:szCs w:val="32"/>
        </w:rPr>
        <w:t>）。</w:t>
      </w:r>
    </w:p>
    <w:p>
      <w:pPr>
        <w:spacing w:line="360" w:lineRule="auto"/>
        <w:ind w:right="-141" w:rightChars="-67"/>
        <w:jc w:val="center"/>
        <w:rPr>
          <w:rFonts w:hint="eastAsia" w:ascii="宋体" w:hAnsi="宋体"/>
          <w:b/>
          <w:bCs/>
          <w:szCs w:val="21"/>
        </w:rPr>
      </w:pPr>
      <w:r>
        <w:drawing>
          <wp:inline distT="0" distB="0" distL="114300" distR="114300">
            <wp:extent cx="2284095" cy="1661795"/>
            <wp:effectExtent l="0" t="0" r="1905" b="1460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8"/>
                    <a:stretch>
                      <a:fillRect/>
                    </a:stretch>
                  </pic:blipFill>
                  <pic:spPr>
                    <a:xfrm>
                      <a:off x="0" y="0"/>
                      <a:ext cx="2284095" cy="1661795"/>
                    </a:xfrm>
                    <a:prstGeom prst="rect">
                      <a:avLst/>
                    </a:prstGeom>
                    <a:noFill/>
                    <a:ln>
                      <a:noFill/>
                    </a:ln>
                  </pic:spPr>
                </pic:pic>
              </a:graphicData>
            </a:graphic>
          </wp:inline>
        </w:drawing>
      </w:r>
      <w:r>
        <w:rPr>
          <w:rFonts w:hint="eastAsia"/>
        </w:rPr>
        <w:t xml:space="preserve">  </w:t>
      </w:r>
      <w:r>
        <w:drawing>
          <wp:inline distT="0" distB="0" distL="114300" distR="114300">
            <wp:extent cx="2253615" cy="1702435"/>
            <wp:effectExtent l="0" t="0" r="1905" b="444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9"/>
                    <a:stretch>
                      <a:fillRect/>
                    </a:stretch>
                  </pic:blipFill>
                  <pic:spPr>
                    <a:xfrm>
                      <a:off x="0" y="0"/>
                      <a:ext cx="2253615" cy="1702435"/>
                    </a:xfrm>
                    <a:prstGeom prst="rect">
                      <a:avLst/>
                    </a:prstGeom>
                    <a:noFill/>
                    <a:ln>
                      <a:noFill/>
                    </a:ln>
                  </pic:spPr>
                </pic:pic>
              </a:graphicData>
            </a:graphic>
          </wp:inline>
        </w:drawing>
      </w:r>
    </w:p>
    <w:p>
      <w:pPr>
        <w:spacing w:line="360" w:lineRule="auto"/>
        <w:jc w:val="center"/>
        <w:rPr>
          <w:rFonts w:hint="eastAsia" w:ascii="Times New Roman" w:cs="Times New Roman"/>
          <w:color w:val="70AD47" w:themeColor="accent6"/>
          <w14:textFill>
            <w14:solidFill>
              <w14:schemeClr w14:val="accent6"/>
            </w14:solidFill>
          </w14:textFill>
        </w:rPr>
      </w:pPr>
      <w:r>
        <w:rPr>
          <w:rFonts w:hint="eastAsia" w:ascii="宋体" w:hAnsi="宋体"/>
          <w:b/>
          <w:bCs/>
          <w:szCs w:val="21"/>
        </w:rPr>
        <w:t>图</w:t>
      </w:r>
      <w:r>
        <w:rPr>
          <w:rFonts w:hint="eastAsia" w:ascii="宋体" w:hAnsi="宋体"/>
          <w:b/>
          <w:bCs/>
          <w:szCs w:val="21"/>
          <w:lang w:val="en-US" w:eastAsia="zh-CN"/>
        </w:rPr>
        <w:t>10</w:t>
      </w:r>
      <w:r>
        <w:rPr>
          <w:rFonts w:hint="eastAsia" w:ascii="宋体" w:hAnsi="宋体"/>
          <w:b/>
          <w:bCs/>
          <w:szCs w:val="21"/>
        </w:rPr>
        <w:t xml:space="preserve">  1月8日17:20时气垫水位（20m）  图</w:t>
      </w:r>
      <w:r>
        <w:rPr>
          <w:rFonts w:hint="eastAsia" w:ascii="宋体" w:hAnsi="宋体"/>
          <w:b/>
          <w:bCs/>
          <w:szCs w:val="21"/>
          <w:lang w:val="en-US" w:eastAsia="zh-CN"/>
        </w:rPr>
        <w:t xml:space="preserve">11  </w:t>
      </w:r>
      <w:r>
        <w:rPr>
          <w:rFonts w:hint="eastAsia" w:ascii="宋体" w:hAnsi="宋体"/>
          <w:b/>
          <w:bCs/>
          <w:szCs w:val="21"/>
        </w:rPr>
        <w:t>临爆前的气垫水位（20.2m）</w:t>
      </w:r>
    </w:p>
    <w:bookmarkEnd w:id="6"/>
    <w:p>
      <w:pPr>
        <w:pStyle w:val="17"/>
        <w:numPr>
          <w:ilvl w:val="0"/>
          <w:numId w:val="0"/>
        </w:numPr>
        <w:spacing w:line="520" w:lineRule="exact"/>
        <w:outlineLvl w:val="1"/>
        <w:rPr>
          <w:rFonts w:ascii="Times New Roman" w:eastAsia="仿宋_GB2312"/>
          <w:b/>
          <w:sz w:val="32"/>
          <w:szCs w:val="32"/>
        </w:rPr>
      </w:pPr>
      <w:r>
        <w:rPr>
          <w:rFonts w:hint="eastAsia" w:ascii="Times New Roman" w:eastAsia="仿宋_GB2312"/>
          <w:b/>
          <w:sz w:val="32"/>
          <w:szCs w:val="32"/>
          <w:lang w:eastAsia="zh-CN"/>
        </w:rPr>
        <w:t>（五）</w:t>
      </w:r>
      <w:r>
        <w:rPr>
          <w:rFonts w:ascii="Times New Roman" w:eastAsia="仿宋_GB2312"/>
          <w:b/>
          <w:sz w:val="32"/>
          <w:szCs w:val="32"/>
        </w:rPr>
        <w:t>爆破安全监测</w:t>
      </w:r>
    </w:p>
    <w:p>
      <w:pPr>
        <w:pStyle w:val="17"/>
        <w:keepNext w:val="0"/>
        <w:keepLines w:val="0"/>
        <w:pageBreakBefore w:val="0"/>
        <w:kinsoku/>
        <w:wordWrap/>
        <w:overflowPunct/>
        <w:topLinePunct w:val="0"/>
        <w:bidi w:val="0"/>
        <w:adjustRightInd/>
        <w:snapToGrid/>
        <w:spacing w:after="0" w:line="520" w:lineRule="exact"/>
        <w:ind w:firstLine="640"/>
        <w:textAlignment w:val="auto"/>
        <w:outlineLvl w:val="1"/>
        <w:rPr>
          <w:rFonts w:hint="eastAsia" w:ascii="仿宋" w:hAnsi="仿宋" w:eastAsia="仿宋" w:cs="仿宋"/>
          <w:color w:val="auto"/>
          <w:kern w:val="2"/>
          <w:sz w:val="32"/>
          <w:szCs w:val="32"/>
        </w:rPr>
      </w:pPr>
      <w:r>
        <w:rPr>
          <w:rFonts w:hint="eastAsia" w:ascii="仿宋" w:hAnsi="仿宋" w:eastAsia="仿宋" w:cs="仿宋"/>
          <w:color w:val="auto"/>
          <w:kern w:val="2"/>
          <w:sz w:val="32"/>
          <w:szCs w:val="32"/>
        </w:rPr>
        <w:t>岩塞爆破安全监测部位包括岩塞口边坡、进/出水口段混凝土及钢筋、断层、隧洞进/出水口段岩体、闸门井及设备、附近建筑物、发电厂房主要设备、大坝等。监测技术要求应满足现行行业标准《水电水利工程爆破安全监测规程》DL/T5333的要求。爆破动应变监测测点应布置于结构体关键部位内部或表面，监测仪器线缆保护套管宜为镀锌钢管，宏观调查与巡视检查应采取爆前、爆后对比检测方法，岩塞口水域、爆破危害可能影响区域等应进行全程视频监控。</w:t>
      </w:r>
    </w:p>
    <w:p>
      <w:pPr>
        <w:keepNext w:val="0"/>
        <w:keepLines w:val="0"/>
        <w:pageBreakBefore w:val="0"/>
        <w:kinsoku/>
        <w:wordWrap/>
        <w:overflowPunct/>
        <w:topLinePunct w:val="0"/>
        <w:bidi w:val="0"/>
        <w:adjustRightInd/>
        <w:snapToGrid/>
        <w:spacing w:after="0" w:line="520"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color w:val="auto"/>
          <w:sz w:val="32"/>
          <w:szCs w:val="32"/>
          <w:lang w:val="en-US" w:eastAsia="zh-CN"/>
        </w:rPr>
        <w:t>说明：</w:t>
      </w:r>
      <w:r>
        <w:rPr>
          <w:rFonts w:hint="eastAsia" w:ascii="仿宋" w:hAnsi="仿宋" w:eastAsia="仿宋" w:cs="仿宋"/>
          <w:color w:val="auto"/>
          <w:sz w:val="32"/>
          <w:szCs w:val="32"/>
        </w:rPr>
        <w:t>三亚西水中调工程岩塞爆破期间</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rPr>
        <w:t>在岩塞口附近的衬砌、闸门井及机电控制设施、水库、大坝布设振动速度、动应变、水中冲击波压力等传感器及视频（含照明）装置，观察岩塞爆破振动速度、水中冲击波压力、动应变、水面运动及爆通情况等</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lang w:val="en-US" w:eastAsia="zh-CN"/>
        </w:rPr>
        <w:t>如图12）</w:t>
      </w:r>
      <w:r>
        <w:rPr>
          <w:rFonts w:hint="eastAsia" w:ascii="仿宋" w:hAnsi="仿宋" w:eastAsia="仿宋" w:cs="仿宋"/>
          <w:color w:val="auto"/>
          <w:sz w:val="32"/>
          <w:szCs w:val="32"/>
        </w:rPr>
        <w:t>，并以此分析岩塞爆破现象及影响情况。</w:t>
      </w:r>
    </w:p>
    <w:p>
      <w:pPr>
        <w:spacing w:line="360" w:lineRule="auto"/>
        <w:jc w:val="center"/>
        <w:rPr>
          <w:rFonts w:hint="eastAsia"/>
          <w:sz w:val="24"/>
        </w:rPr>
      </w:pPr>
      <w:r>
        <w:rPr>
          <w:rFonts w:hint="eastAsia"/>
          <w:sz w:val="24"/>
        </w:rPr>
        <w:drawing>
          <wp:inline distT="0" distB="0" distL="114300" distR="114300">
            <wp:extent cx="3382010" cy="3350895"/>
            <wp:effectExtent l="0" t="0" r="1270"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0"/>
                    <a:stretch>
                      <a:fillRect/>
                    </a:stretch>
                  </pic:blipFill>
                  <pic:spPr>
                    <a:xfrm>
                      <a:off x="0" y="0"/>
                      <a:ext cx="3382010" cy="3350895"/>
                    </a:xfrm>
                    <a:prstGeom prst="rect">
                      <a:avLst/>
                    </a:prstGeom>
                    <a:noFill/>
                    <a:ln>
                      <a:noFill/>
                    </a:ln>
                  </pic:spPr>
                </pic:pic>
              </a:graphicData>
            </a:graphic>
          </wp:inline>
        </w:drawing>
      </w:r>
    </w:p>
    <w:p>
      <w:pPr>
        <w:spacing w:line="360" w:lineRule="auto"/>
        <w:jc w:val="center"/>
        <w:rPr>
          <w:rFonts w:hint="eastAsia" w:ascii="宋体" w:hAnsi="宋体"/>
          <w:b/>
          <w:bCs/>
          <w:szCs w:val="21"/>
        </w:rPr>
      </w:pPr>
      <w:r>
        <w:rPr>
          <w:rFonts w:hint="eastAsia" w:ascii="宋体" w:hAnsi="宋体"/>
          <w:b/>
          <w:bCs/>
          <w:szCs w:val="21"/>
        </w:rPr>
        <w:t>图</w:t>
      </w:r>
      <w:r>
        <w:rPr>
          <w:rFonts w:hint="eastAsia" w:ascii="宋体" w:hAnsi="宋体"/>
          <w:b/>
          <w:bCs/>
          <w:szCs w:val="21"/>
          <w:lang w:val="en-US" w:eastAsia="zh-CN"/>
        </w:rPr>
        <w:t>12</w:t>
      </w:r>
      <w:r>
        <w:rPr>
          <w:rFonts w:hint="eastAsia" w:ascii="宋体" w:hAnsi="宋体"/>
          <w:b/>
          <w:bCs/>
          <w:szCs w:val="21"/>
        </w:rPr>
        <w:t xml:space="preserve">  工程区位置示意图</w:t>
      </w:r>
    </w:p>
    <w:p>
      <w:pPr>
        <w:pStyle w:val="15"/>
        <w:keepNext w:val="0"/>
        <w:keepLines w:val="0"/>
        <w:pageBreakBefore w:val="0"/>
        <w:widowControl w:val="0"/>
        <w:kinsoku/>
        <w:wordWrap/>
        <w:overflowPunct/>
        <w:topLinePunct w:val="0"/>
        <w:bidi w:val="0"/>
        <w:snapToGrid/>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三亚市西水中调工程岩塞爆破现场测试项目的主要内容包括爆破地震效应、对周围已有重要建（构）筑物的振动影响、水中冲击波压力、洞内冲击波压力、混凝土顶拱结构动应变与振动监测、岩塞爆通现象、水面运动现象及宏观调查等观测观察项目。</w:t>
      </w:r>
    </w:p>
    <w:p>
      <w:pPr>
        <w:pStyle w:val="3"/>
        <w:keepNext w:val="0"/>
        <w:keepLines w:val="0"/>
        <w:pageBreakBefore w:val="0"/>
        <w:widowControl w:val="0"/>
        <w:kinsoku/>
        <w:wordWrap/>
        <w:overflowPunct/>
        <w:topLinePunct w:val="0"/>
        <w:bidi w:val="0"/>
        <w:snapToGrid/>
        <w:spacing w:after="0" w:line="520" w:lineRule="exact"/>
        <w:ind w:left="0" w:leftChars="0"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三亚市西水中调工程岩塞爆破采用充水爆破方案，且保气效果较好，临爆前的充水水位达到了设计指标，因此本次岩塞爆破的闸门井井喷现象很弱，并未有水柱喷出，仅有少量白烟从井口溢出（见图</w:t>
      </w:r>
      <w:r>
        <w:rPr>
          <w:rFonts w:hint="eastAsia" w:ascii="仿宋" w:hAnsi="仿宋" w:eastAsia="仿宋" w:cs="仿宋"/>
          <w:color w:val="auto"/>
          <w:sz w:val="32"/>
          <w:szCs w:val="32"/>
          <w:lang w:val="en-US" w:eastAsia="zh-CN"/>
        </w:rPr>
        <w:t>13</w:t>
      </w:r>
      <w:r>
        <w:rPr>
          <w:rFonts w:hint="eastAsia" w:ascii="仿宋" w:hAnsi="仿宋" w:eastAsia="仿宋" w:cs="仿宋"/>
          <w:color w:val="auto"/>
          <w:sz w:val="32"/>
          <w:szCs w:val="32"/>
        </w:rPr>
        <w:t>）。岩塞起爆后大约4s白烟开始喷出，一直持续了大约12s，然后趋于平静。</w:t>
      </w:r>
    </w:p>
    <w:p>
      <w:pPr>
        <w:pStyle w:val="3"/>
        <w:spacing w:after="0" w:line="360" w:lineRule="auto"/>
        <w:ind w:left="0" w:leftChars="0" w:firstLine="123" w:firstLineChars="59"/>
        <w:jc w:val="center"/>
        <w:rPr>
          <w:rFonts w:hint="eastAsia"/>
          <w:sz w:val="24"/>
        </w:rPr>
      </w:pPr>
      <w:r>
        <mc:AlternateContent>
          <mc:Choice Requires="wps">
            <w:drawing>
              <wp:anchor distT="0" distB="0" distL="114300" distR="114300" simplePos="0" relativeHeight="251661312" behindDoc="0" locked="0" layoutInCell="1" allowOverlap="1">
                <wp:simplePos x="0" y="0"/>
                <wp:positionH relativeFrom="column">
                  <wp:posOffset>1648460</wp:posOffset>
                </wp:positionH>
                <wp:positionV relativeFrom="paragraph">
                  <wp:posOffset>1220470</wp:posOffset>
                </wp:positionV>
                <wp:extent cx="682625" cy="436880"/>
                <wp:effectExtent l="10160" t="0" r="8255" b="20320"/>
                <wp:wrapNone/>
                <wp:docPr id="8" name="直接箭头连接符 8"/>
                <wp:cNvGraphicFramePr/>
                <a:graphic xmlns:a="http://schemas.openxmlformats.org/drawingml/2006/main">
                  <a:graphicData uri="http://schemas.microsoft.com/office/word/2010/wordprocessingShape">
                    <wps:wsp>
                      <wps:cNvCnPr/>
                      <wps:spPr>
                        <a:xfrm flipV="1">
                          <a:off x="0" y="0"/>
                          <a:ext cx="682625" cy="436880"/>
                        </a:xfrm>
                        <a:prstGeom prst="straightConnector1">
                          <a:avLst/>
                        </a:prstGeom>
                        <a:ln w="38100" cap="flat" cmpd="sng">
                          <a:solidFill>
                            <a:srgbClr val="FF0000"/>
                          </a:solidFill>
                          <a:prstDash val="dashDot"/>
                          <a:headEnd type="none" w="med" len="med"/>
                          <a:tailEnd type="triangle" w="med" len="med"/>
                        </a:ln>
                      </wps:spPr>
                      <wps:bodyPr/>
                    </wps:wsp>
                  </a:graphicData>
                </a:graphic>
              </wp:anchor>
            </w:drawing>
          </mc:Choice>
          <mc:Fallback>
            <w:pict>
              <v:shape id="_x0000_s1026" o:spid="_x0000_s1026" o:spt="32" type="#_x0000_t32" style="position:absolute;left:0pt;flip:y;margin-left:129.8pt;margin-top:96.1pt;height:34.4pt;width:53.75pt;z-index:251661312;mso-width-relative:page;mso-height-relative:page;" filled="f" stroked="t" coordsize="21600,21600" o:gfxdata="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safve2gAAAAsBAAAP&#10;AAAAAAAAAAEAIAAAACIAAABkcnMvZG93bnJldi54bWxQSwECFAAUAAAACACHTuJAijQvhhYCAAAB&#10;BAAADgAAAAAAAAABACAAAAApAQAAZHJzL2Uyb0RvYy54bWxQSwUGAAAAAAYABgBZAQAAsQUAAAAA&#10;">
                <v:fill on="f" focussize="0,0"/>
                <v:stroke weight="3pt" color="#FF0000" joinstyle="round" dashstyle="dashDot" endarrow="block"/>
                <v:imagedata o:title=""/>
                <o:lock v:ext="edit" aspectratio="f"/>
              </v:shap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1397635</wp:posOffset>
                </wp:positionH>
                <wp:positionV relativeFrom="paragraph">
                  <wp:posOffset>1656715</wp:posOffset>
                </wp:positionV>
                <wp:extent cx="1137920" cy="635"/>
                <wp:effectExtent l="0" t="56515" r="5080" b="64770"/>
                <wp:wrapNone/>
                <wp:docPr id="9" name="直接箭头连接符 9"/>
                <wp:cNvGraphicFramePr/>
                <a:graphic xmlns:a="http://schemas.openxmlformats.org/drawingml/2006/main">
                  <a:graphicData uri="http://schemas.microsoft.com/office/word/2010/wordprocessingShape">
                    <wps:wsp>
                      <wps:cNvCnPr/>
                      <wps:spPr>
                        <a:xfrm>
                          <a:off x="0" y="0"/>
                          <a:ext cx="1137920" cy="635"/>
                        </a:xfrm>
                        <a:prstGeom prst="straightConnector1">
                          <a:avLst/>
                        </a:prstGeom>
                        <a:ln w="38100" cap="flat" cmpd="sng">
                          <a:solidFill>
                            <a:srgbClr val="FF0000"/>
                          </a:solidFill>
                          <a:prstDash val="dashDot"/>
                          <a:headEnd type="none" w="med" len="med"/>
                          <a:tailEnd type="triangle" w="med" len="med"/>
                        </a:ln>
                      </wps:spPr>
                      <wps:bodyPr/>
                    </wps:wsp>
                  </a:graphicData>
                </a:graphic>
              </wp:anchor>
            </w:drawing>
          </mc:Choice>
          <mc:Fallback>
            <w:pict>
              <v:shape id="_x0000_s1026" o:spid="_x0000_s1026" o:spt="32" type="#_x0000_t32" style="position:absolute;left:0pt;margin-left:110.05pt;margin-top:130.45pt;height:0.05pt;width:89.6pt;z-index:251660288;mso-width-relative:page;mso-height-relative:page;" filled="f" stroked="t" coordsize="21600,21600" o:gfxdata="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3LIji9gAAAALAQAADwAAAAAAAAABACAAAAAi&#10;AAAAZHJzL2Rvd25yZXYueG1sUEsBAhQAFAAAAAgAh07iQH7abVEKAgAA9QMAAA4AAAAAAAAAAQAg&#10;AAAAJwEAAGRycy9lMm9Eb2MueG1sUEsFBgAAAAAGAAYAWQEAAKMFAAAAAA==&#10;">
                <v:fill on="f" focussize="0,0"/>
                <v:stroke weight="3pt" color="#FF0000" joinstyle="round" dashstyle="dashDot"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745490</wp:posOffset>
                </wp:positionH>
                <wp:positionV relativeFrom="paragraph">
                  <wp:posOffset>1575435</wp:posOffset>
                </wp:positionV>
                <wp:extent cx="652145" cy="210185"/>
                <wp:effectExtent l="4445" t="4445" r="13970" b="13970"/>
                <wp:wrapNone/>
                <wp:docPr id="11" name="文本框 11"/>
                <wp:cNvGraphicFramePr/>
                <a:graphic xmlns:a="http://schemas.openxmlformats.org/drawingml/2006/main">
                  <a:graphicData uri="http://schemas.microsoft.com/office/word/2010/wordprocessingShape">
                    <wps:wsp>
                      <wps:cNvSpPr txBox="1"/>
                      <wps:spPr>
                        <a:xfrm>
                          <a:off x="0" y="0"/>
                          <a:ext cx="652145" cy="21018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color w:val="FF0000"/>
                                <w:szCs w:val="21"/>
                              </w:rPr>
                            </w:pPr>
                            <w:r>
                              <w:rPr>
                                <w:rFonts w:hint="eastAsia"/>
                                <w:color w:val="FF0000"/>
                                <w:szCs w:val="21"/>
                              </w:rPr>
                              <w:t>白色烟雾</w:t>
                            </w:r>
                          </w:p>
                        </w:txbxContent>
                      </wps:txbx>
                      <wps:bodyPr lIns="0" tIns="0" rIns="0" bIns="0" upright="1"/>
                    </wps:wsp>
                  </a:graphicData>
                </a:graphic>
              </wp:anchor>
            </w:drawing>
          </mc:Choice>
          <mc:Fallback>
            <w:pict>
              <v:shape id="_x0000_s1026" o:spid="_x0000_s1026" o:spt="202" type="#_x0000_t202" style="position:absolute;left:0pt;margin-left:58.7pt;margin-top:124.05pt;height:16.55pt;width:51.35pt;z-index:251659264;mso-width-relative:page;mso-height-relative:page;" fillcolor="#FFFFFF" filled="t" stroked="t" coordsize="21600,21600" o:gfxdata="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ESXVp2AAAAAsBAAAP&#10;AAAAAAAAAAEAIAAAACIAAABkcnMvZG93bnJldi54bWxQSwECFAAUAAAACACHTuJAUgxn1RgCAABb&#10;BAAADgAAAAAAAAABACAAAAAnAQAAZHJzL2Uyb0RvYy54bWxQSwUGAAAAAAYABgBZAQAAsQUAAAAA&#10;">
                <v:fill on="t" focussize="0,0"/>
                <v:stroke color="#000000" joinstyle="miter"/>
                <v:imagedata o:title=""/>
                <o:lock v:ext="edit" aspectratio="f"/>
                <v:textbox inset="0mm,0mm,0mm,0mm">
                  <w:txbxContent>
                    <w:p>
                      <w:pPr>
                        <w:jc w:val="center"/>
                        <w:rPr>
                          <w:color w:val="FF0000"/>
                          <w:szCs w:val="21"/>
                        </w:rPr>
                      </w:pPr>
                      <w:r>
                        <w:rPr>
                          <w:rFonts w:hint="eastAsia"/>
                          <w:color w:val="FF0000"/>
                          <w:szCs w:val="21"/>
                        </w:rPr>
                        <w:t>白色烟雾</w:t>
                      </w:r>
                    </w:p>
                  </w:txbxContent>
                </v:textbox>
              </v:shape>
            </w:pict>
          </mc:Fallback>
        </mc:AlternateContent>
      </w:r>
      <w:r>
        <w:rPr>
          <w:sz w:val="24"/>
        </w:rPr>
        <w:drawing>
          <wp:inline distT="0" distB="0" distL="114300" distR="114300">
            <wp:extent cx="3054350" cy="2667000"/>
            <wp:effectExtent l="0" t="0" r="8890" b="0"/>
            <wp:docPr id="7" name="图片 7" descr="1740357804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740357804432"/>
                    <pic:cNvPicPr>
                      <a:picLocks noChangeAspect="1"/>
                    </pic:cNvPicPr>
                  </pic:nvPicPr>
                  <pic:blipFill>
                    <a:blip r:embed="rId21"/>
                    <a:stretch>
                      <a:fillRect/>
                    </a:stretch>
                  </pic:blipFill>
                  <pic:spPr>
                    <a:xfrm>
                      <a:off x="0" y="0"/>
                      <a:ext cx="3054350" cy="2667000"/>
                    </a:xfrm>
                    <a:prstGeom prst="rect">
                      <a:avLst/>
                    </a:prstGeom>
                    <a:noFill/>
                    <a:ln>
                      <a:noFill/>
                    </a:ln>
                  </pic:spPr>
                </pic:pic>
              </a:graphicData>
            </a:graphic>
          </wp:inline>
        </w:drawing>
      </w:r>
    </w:p>
    <w:p>
      <w:pPr>
        <w:pStyle w:val="15"/>
        <w:ind w:firstLine="482" w:firstLineChars="200"/>
        <w:jc w:val="center"/>
        <w:rPr>
          <w:rFonts w:ascii="Times New Roman" w:eastAsia="仿宋_GB2312"/>
          <w:kern w:val="2"/>
          <w:sz w:val="32"/>
          <w:szCs w:val="32"/>
        </w:rPr>
      </w:pPr>
      <w:r>
        <w:rPr>
          <w:rFonts w:hint="eastAsia" w:ascii="宋体" w:hAnsi="宋体"/>
          <w:b/>
          <w:bCs/>
          <w:szCs w:val="21"/>
        </w:rPr>
        <w:t>图</w:t>
      </w:r>
      <w:r>
        <w:rPr>
          <w:rFonts w:hint="eastAsia" w:hAnsi="宋体"/>
          <w:b/>
          <w:bCs/>
          <w:szCs w:val="21"/>
          <w:lang w:val="en-US" w:eastAsia="zh-CN"/>
        </w:rPr>
        <w:t>13</w:t>
      </w:r>
      <w:r>
        <w:rPr>
          <w:rFonts w:hint="eastAsia" w:ascii="宋体" w:hAnsi="宋体"/>
          <w:b/>
          <w:bCs/>
          <w:szCs w:val="21"/>
        </w:rPr>
        <w:t xml:space="preserve">  闸门井口白烟溢出（0.52s）</w:t>
      </w:r>
    </w:p>
    <w:p>
      <w:pPr>
        <w:pStyle w:val="17"/>
        <w:numPr>
          <w:ilvl w:val="0"/>
          <w:numId w:val="0"/>
        </w:numPr>
        <w:spacing w:line="520" w:lineRule="exact"/>
        <w:outlineLvl w:val="1"/>
        <w:rPr>
          <w:rFonts w:ascii="Times New Roman" w:eastAsia="仿宋_GB2312"/>
          <w:b/>
          <w:sz w:val="32"/>
          <w:szCs w:val="32"/>
        </w:rPr>
      </w:pPr>
      <w:r>
        <w:rPr>
          <w:rFonts w:hint="eastAsia" w:ascii="Times New Roman" w:eastAsia="仿宋_GB2312"/>
          <w:b/>
          <w:sz w:val="32"/>
          <w:szCs w:val="32"/>
          <w:lang w:eastAsia="zh-CN"/>
        </w:rPr>
        <w:t>（六）</w:t>
      </w:r>
      <w:r>
        <w:rPr>
          <w:rFonts w:ascii="Times New Roman" w:eastAsia="仿宋_GB2312"/>
          <w:b/>
          <w:sz w:val="32"/>
          <w:szCs w:val="32"/>
        </w:rPr>
        <w:t>爆后检查</w:t>
      </w:r>
    </w:p>
    <w:p>
      <w:pPr>
        <w:keepNext w:val="0"/>
        <w:keepLines w:val="0"/>
        <w:pageBreakBefore w:val="0"/>
        <w:widowControl w:val="0"/>
        <w:kinsoku/>
        <w:wordWrap/>
        <w:overflowPunct/>
        <w:topLinePunct w:val="0"/>
        <w:bidi w:val="0"/>
        <w:snapToGrid/>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在确认现场安全后方可解除警戒，进行爆破后检查。爆破后检查的范围应包括岩塞口边坡、洞脸、岩塞口、隧洞渐变段、集渣坑及堆渣体、闸门井、堵头段、岩塞爆口周边临近的建（构）筑物、金结及机电设备、地下管线、水域水质、水生物等。爆破后检查采用宏观调查、巡视检查、测量、视频摄像等方式。水下岩塞爆破前应对水下机器人（ROV）、视频摄像采集系统等进行预演、测试，保证镜头拍摄清晰、数据传输、存储正常。水下岩塞爆破后检查时间及频次应根据工程等级、地质条件、爆破规模、岩塞特性及周边环境敏感程度等具体情况确定。对爆破后检查结果进行综合分析，提出专项检查报告，对检查发现的异常情况提出分析意见及处理建议。爆破后检查记录应真实、完整，并留档备查，便于追溯和安全评估。</w:t>
      </w:r>
    </w:p>
    <w:p>
      <w:pPr>
        <w:pStyle w:val="15"/>
        <w:keepNext w:val="0"/>
        <w:keepLines w:val="0"/>
        <w:pageBreakBefore w:val="0"/>
        <w:widowControl w:val="0"/>
        <w:kinsoku/>
        <w:wordWrap/>
        <w:overflowPunct/>
        <w:topLinePunct w:val="0"/>
        <w:bidi w:val="0"/>
        <w:snapToGrid/>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参照《水下岩塞爆破设计规范》(NB/T 11667-2024)第11.0.8条“水下岩塞爆破后应进行水下地形测量、岩塞成型断面测量、集渣坑堆渣曲线测量、混凝土建（构）筑物裂缝检测等工作，分析和评价爆破效果；应对岩塞口形状、尺寸、集渣高程和形态、集渣坑、连接段、闸门井结构等提出水下检查技术要求和处理措施。”并结合三亚西水中调工程岩塞爆破等工程实例做出的相关规定。</w:t>
      </w:r>
    </w:p>
    <w:p>
      <w:pPr>
        <w:pStyle w:val="3"/>
        <w:keepNext w:val="0"/>
        <w:keepLines w:val="0"/>
        <w:pageBreakBefore w:val="0"/>
        <w:widowControl w:val="0"/>
        <w:kinsoku/>
        <w:wordWrap/>
        <w:overflowPunct/>
        <w:topLinePunct w:val="0"/>
        <w:autoSpaceDE/>
        <w:autoSpaceDN/>
        <w:bidi w:val="0"/>
        <w:adjustRightInd/>
        <w:snapToGrid/>
        <w:spacing w:after="0" w:line="520" w:lineRule="exact"/>
        <w:ind w:left="0" w:leftChars="0" w:firstLine="482"/>
        <w:textAlignment w:val="auto"/>
        <w:rPr>
          <w:rFonts w:hint="eastAsia" w:ascii="仿宋" w:hAnsi="仿宋" w:eastAsia="仿宋" w:cs="仿宋"/>
          <w:color w:val="auto"/>
          <w:sz w:val="32"/>
          <w:szCs w:val="32"/>
          <w:highlight w:val="none"/>
          <w:lang w:val="en-US" w:eastAsia="zh-CN" w:bidi="ar-SA"/>
        </w:rPr>
      </w:pPr>
      <w:r>
        <w:rPr>
          <w:rFonts w:hint="eastAsia" w:ascii="仿宋" w:hAnsi="仿宋" w:eastAsia="仿宋" w:cs="仿宋"/>
          <w:color w:val="auto"/>
          <w:sz w:val="32"/>
          <w:szCs w:val="32"/>
          <w:highlight w:val="none"/>
          <w:lang w:val="en-US" w:eastAsia="zh-CN" w:bidi="ar-SA"/>
        </w:rPr>
        <w:t>三亚市西水中调工程岩塞爆破后对岩塞口现场进行检查，岩塞口现场主要包括闸门井及周围边坡。其中，闸门井为钢筋混凝土衬砌结构，地表以下全部浇筑完成，闸门井口表面未见裂缝。闸门井背侧山坡由喷混凝土防护，上游侧边坡为自然边坡，上下游边坡及两侧绿色植被发育，地表未见明显裂缝。在闸门井周围施工平台的料堆隔墙上发现几处裂缝（见图14），其调查尺寸数据见表2。</w:t>
      </w:r>
    </w:p>
    <w:p>
      <w:pPr>
        <w:pStyle w:val="3"/>
        <w:keepNext w:val="0"/>
        <w:keepLines w:val="0"/>
        <w:pageBreakBefore w:val="0"/>
        <w:widowControl w:val="0"/>
        <w:kinsoku/>
        <w:wordWrap/>
        <w:overflowPunct/>
        <w:topLinePunct w:val="0"/>
        <w:autoSpaceDE/>
        <w:autoSpaceDN/>
        <w:bidi w:val="0"/>
        <w:adjustRightInd/>
        <w:snapToGrid/>
        <w:spacing w:after="0" w:line="520" w:lineRule="exact"/>
        <w:ind w:left="0" w:leftChars="0" w:firstLine="482"/>
        <w:textAlignment w:val="auto"/>
        <w:rPr>
          <w:rFonts w:hint="eastAsia" w:ascii="仿宋" w:hAnsi="仿宋" w:eastAsia="仿宋" w:cs="仿宋"/>
          <w:color w:val="auto"/>
          <w:sz w:val="32"/>
          <w:szCs w:val="32"/>
          <w:highlight w:val="none"/>
          <w:lang w:val="en-US" w:eastAsia="zh-CN" w:bidi="ar-SA"/>
        </w:rPr>
      </w:pPr>
      <w:r>
        <w:rPr>
          <w:rFonts w:hint="eastAsia" w:ascii="仿宋" w:hAnsi="仿宋" w:eastAsia="仿宋" w:cs="仿宋"/>
          <w:color w:val="auto"/>
          <w:sz w:val="32"/>
          <w:szCs w:val="32"/>
          <w:highlight w:val="none"/>
          <w:lang w:val="en-US" w:eastAsia="zh-CN" w:bidi="ar-SA"/>
        </w:rPr>
        <w:t>爆破后，再次对上述裂缝进行对比测试，数据亦见表2。观察及实测结果显示，闸门井周围挡坎混凝土裂缝爆破后没有进一步加宽，其表面涂抹的石膏标识未见开裂，说明本次岩塞爆破对闸门井及周围建（构）筑物没有破坏影响。</w:t>
      </w:r>
    </w:p>
    <w:p>
      <w:pPr>
        <w:pStyle w:val="3"/>
        <w:keepNext w:val="0"/>
        <w:keepLines w:val="0"/>
        <w:pageBreakBefore w:val="0"/>
        <w:widowControl w:val="0"/>
        <w:kinsoku/>
        <w:wordWrap/>
        <w:overflowPunct/>
        <w:topLinePunct w:val="0"/>
        <w:bidi w:val="0"/>
        <w:snapToGrid/>
        <w:spacing w:after="0" w:line="520" w:lineRule="exact"/>
        <w:ind w:left="0" w:leftChars="0" w:firstLine="480" w:firstLineChars="200"/>
        <w:jc w:val="left"/>
        <w:textAlignment w:val="auto"/>
        <w:rPr>
          <w:rFonts w:hint="eastAsia"/>
          <w:color w:val="auto"/>
          <w:sz w:val="24"/>
        </w:rPr>
      </w:pPr>
    </w:p>
    <w:p>
      <w:pPr>
        <w:pStyle w:val="3"/>
        <w:spacing w:after="0" w:line="360" w:lineRule="auto"/>
        <w:ind w:left="0" w:leftChars="0" w:firstLine="0" w:firstLineChars="0"/>
      </w:pPr>
      <w:r>
        <mc:AlternateContent>
          <mc:Choice Requires="wps">
            <w:drawing>
              <wp:anchor distT="0" distB="0" distL="114300" distR="114300" simplePos="0" relativeHeight="251662336" behindDoc="0" locked="0" layoutInCell="1" allowOverlap="1">
                <wp:simplePos x="0" y="0"/>
                <wp:positionH relativeFrom="column">
                  <wp:posOffset>155575</wp:posOffset>
                </wp:positionH>
                <wp:positionV relativeFrom="paragraph">
                  <wp:posOffset>76200</wp:posOffset>
                </wp:positionV>
                <wp:extent cx="542290" cy="470535"/>
                <wp:effectExtent l="0" t="0" r="0" b="0"/>
                <wp:wrapNone/>
                <wp:docPr id="15" name="文本框 15"/>
                <wp:cNvGraphicFramePr/>
                <a:graphic xmlns:a="http://schemas.openxmlformats.org/drawingml/2006/main">
                  <a:graphicData uri="http://schemas.microsoft.com/office/word/2010/wordprocessingShape">
                    <wps:wsp>
                      <wps:cNvSpPr txBox="1"/>
                      <wps:spPr>
                        <a:xfrm>
                          <a:off x="1706245" y="4405630"/>
                          <a:ext cx="914400" cy="914400"/>
                        </a:xfrm>
                        <a:prstGeom prst="rect">
                          <a:avLst/>
                        </a:prstGeom>
                        <a:noFill/>
                        <a:ln w="6350">
                          <a:noFill/>
                        </a:ln>
                        <a:effectLst/>
                      </wps:spPr>
                      <wps:txbx>
                        <w:txbxContent>
                          <w:p>
                            <w:pPr>
                              <w:rPr>
                                <w:b/>
                                <w:bCs/>
                                <w:color w:val="FF0000"/>
                                <w:sz w:val="36"/>
                                <w:szCs w:val="36"/>
                              </w:rPr>
                            </w:pPr>
                            <w:r>
                              <w:rPr>
                                <w:rFonts w:hint="eastAsia"/>
                                <w:b/>
                                <w:bCs/>
                                <w:color w:val="FF0000"/>
                                <w:sz w:val="36"/>
                                <w:szCs w:val="36"/>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5pt;margin-top:6pt;height:37.05pt;width:42.7pt;z-index:251662336;mso-width-relative:page;mso-height-relative:page;" filled="f" stroked="f" coordsize="21600,21600" o:gfxdata="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oPK5PZAAAACAEAAA8AAAAAAAAAAQAg&#10;AAAAIgAAAGRycy9kb3ducmV2LnhtbFBLAQIUABQAAAAIAIdO4kD2cJrjRgIAAIEEAAAOAAAAAAAA&#10;AAEAIAAAACgBAABkcnMvZTJvRG9jLnhtbFBLBQYAAAAABgAGAFkBAADgBQAAAAA=&#10;">
                <v:fill on="f" focussize="0,0"/>
                <v:stroke on="f" weight="0.5pt"/>
                <v:imagedata o:title=""/>
                <o:lock v:ext="edit" aspectratio="f"/>
                <v:textbox>
                  <w:txbxContent>
                    <w:p>
                      <w:pPr>
                        <w:rPr>
                          <w:b/>
                          <w:bCs/>
                          <w:color w:val="FF0000"/>
                          <w:sz w:val="36"/>
                          <w:szCs w:val="36"/>
                        </w:rPr>
                      </w:pPr>
                      <w:r>
                        <w:rPr>
                          <w:rFonts w:hint="eastAsia"/>
                          <w:b/>
                          <w:bCs/>
                          <w:color w:val="FF0000"/>
                          <w:sz w:val="36"/>
                          <w:szCs w:val="36"/>
                        </w:rPr>
                        <w:t>#1</w:t>
                      </w:r>
                    </w:p>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3057525</wp:posOffset>
                </wp:positionH>
                <wp:positionV relativeFrom="paragraph">
                  <wp:posOffset>76200</wp:posOffset>
                </wp:positionV>
                <wp:extent cx="542290" cy="470535"/>
                <wp:effectExtent l="0" t="0" r="0" b="0"/>
                <wp:wrapNone/>
                <wp:docPr id="12" name="文本框 12"/>
                <wp:cNvGraphicFramePr/>
                <a:graphic xmlns:a="http://schemas.openxmlformats.org/drawingml/2006/main">
                  <a:graphicData uri="http://schemas.microsoft.com/office/word/2010/wordprocessingShape">
                    <wps:wsp>
                      <wps:cNvSpPr txBox="1"/>
                      <wps:spPr>
                        <a:xfrm>
                          <a:off x="1706245" y="4405630"/>
                          <a:ext cx="914400" cy="914400"/>
                        </a:xfrm>
                        <a:prstGeom prst="rect">
                          <a:avLst/>
                        </a:prstGeom>
                        <a:noFill/>
                        <a:ln w="6350">
                          <a:noFill/>
                        </a:ln>
                        <a:effectLst/>
                      </wps:spPr>
                      <wps:txbx>
                        <w:txbxContent>
                          <w:p>
                            <w:pPr>
                              <w:rPr>
                                <w:b/>
                                <w:bCs/>
                                <w:color w:val="FF0000"/>
                                <w:sz w:val="36"/>
                                <w:szCs w:val="36"/>
                              </w:rPr>
                            </w:pPr>
                            <w:r>
                              <w:rPr>
                                <w:rFonts w:hint="eastAsia"/>
                                <w:b/>
                                <w:bCs/>
                                <w:color w:val="FF0000"/>
                                <w:sz w:val="36"/>
                                <w:szCs w:val="36"/>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0.75pt;margin-top:6pt;height:37.05pt;width:42.7pt;z-index:251663360;mso-width-relative:page;mso-height-relative:page;" filled="f" stroked="f" coordsize="21600,21600" o:gfxdata="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R9VE72gAAAAkBAAAPAAAAAAAAAAEA&#10;IAAAACIAAABkcnMvZG93bnJldi54bWxQSwECFAAUAAAACACHTuJAL2VrN0YCAACBBAAADgAAAAAA&#10;AAABACAAAAApAQAAZHJzL2Uyb0RvYy54bWxQSwUGAAAAAAYABgBZAQAA4QUAAAAA&#10;">
                <v:fill on="f" focussize="0,0"/>
                <v:stroke on="f" weight="0.5pt"/>
                <v:imagedata o:title=""/>
                <o:lock v:ext="edit" aspectratio="f"/>
                <v:textbox>
                  <w:txbxContent>
                    <w:p>
                      <w:pPr>
                        <w:rPr>
                          <w:b/>
                          <w:bCs/>
                          <w:color w:val="FF0000"/>
                          <w:sz w:val="36"/>
                          <w:szCs w:val="36"/>
                        </w:rPr>
                      </w:pPr>
                      <w:r>
                        <w:rPr>
                          <w:rFonts w:hint="eastAsia"/>
                          <w:b/>
                          <w:bCs/>
                          <w:color w:val="FF0000"/>
                          <w:sz w:val="36"/>
                          <w:szCs w:val="36"/>
                        </w:rPr>
                        <w:t>#2</w:t>
                      </w:r>
                    </w:p>
                  </w:txbxContent>
                </v:textbox>
              </v:shape>
            </w:pict>
          </mc:Fallback>
        </mc:AlternateContent>
      </w:r>
      <w:r>
        <w:drawing>
          <wp:inline distT="0" distB="0" distL="114300" distR="114300">
            <wp:extent cx="2586990" cy="2010410"/>
            <wp:effectExtent l="0" t="0" r="3810" b="127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22"/>
                    <a:stretch>
                      <a:fillRect/>
                    </a:stretch>
                  </pic:blipFill>
                  <pic:spPr>
                    <a:xfrm>
                      <a:off x="0" y="0"/>
                      <a:ext cx="2586990" cy="2010410"/>
                    </a:xfrm>
                    <a:prstGeom prst="rect">
                      <a:avLst/>
                    </a:prstGeom>
                    <a:noFill/>
                    <a:ln>
                      <a:noFill/>
                    </a:ln>
                  </pic:spPr>
                </pic:pic>
              </a:graphicData>
            </a:graphic>
          </wp:inline>
        </w:drawing>
      </w:r>
      <w:r>
        <w:rPr>
          <w:rFonts w:hint="eastAsia"/>
        </w:rPr>
        <w:t xml:space="preserve">    </w:t>
      </w:r>
      <w:r>
        <w:drawing>
          <wp:inline distT="0" distB="0" distL="114300" distR="114300">
            <wp:extent cx="2244725" cy="1985645"/>
            <wp:effectExtent l="0" t="0" r="10795" b="10795"/>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23"/>
                    <a:stretch>
                      <a:fillRect/>
                    </a:stretch>
                  </pic:blipFill>
                  <pic:spPr>
                    <a:xfrm>
                      <a:off x="0" y="0"/>
                      <a:ext cx="2244725" cy="1985645"/>
                    </a:xfrm>
                    <a:prstGeom prst="rect">
                      <a:avLst/>
                    </a:prstGeom>
                    <a:noFill/>
                    <a:ln>
                      <a:noFill/>
                    </a:ln>
                  </pic:spPr>
                </pic:pic>
              </a:graphicData>
            </a:graphic>
          </wp:inline>
        </w:drawing>
      </w:r>
    </w:p>
    <w:p>
      <w:pPr>
        <w:spacing w:line="360" w:lineRule="auto"/>
        <w:jc w:val="center"/>
        <w:rPr>
          <w:rFonts w:hint="eastAsia" w:ascii="宋体" w:hAnsi="宋体" w:eastAsia="宋体" w:cs="宋体"/>
          <w:b/>
          <w:bCs/>
          <w:color w:val="000000"/>
          <w:kern w:val="0"/>
          <w:sz w:val="24"/>
          <w:szCs w:val="21"/>
          <w:lang w:val="en-US" w:eastAsia="zh-CN" w:bidi="ar-SA"/>
        </w:rPr>
      </w:pPr>
      <w:r>
        <w:rPr>
          <w:rFonts w:hint="eastAsia" w:ascii="宋体" w:hAnsi="宋体" w:eastAsia="宋体" w:cs="宋体"/>
          <w:b/>
          <w:bCs/>
          <w:color w:val="000000"/>
          <w:kern w:val="0"/>
          <w:sz w:val="24"/>
          <w:szCs w:val="21"/>
          <w:lang w:val="en-US" w:eastAsia="zh-CN" w:bidi="ar-SA"/>
        </w:rPr>
        <w:t>图14  闸门井四周挡水坎典型裂缝（爆前）</w:t>
      </w:r>
    </w:p>
    <w:p>
      <w:pPr>
        <w:pStyle w:val="20"/>
        <w:ind w:firstLine="0" w:firstLineChars="0"/>
        <w:jc w:val="center"/>
        <w:rPr>
          <w:b/>
          <w:bCs/>
          <w:sz w:val="21"/>
          <w:szCs w:val="21"/>
        </w:rPr>
      </w:pPr>
      <w:r>
        <w:rPr>
          <w:rFonts w:hint="eastAsia"/>
          <w:b/>
          <w:bCs/>
          <w:sz w:val="21"/>
          <w:szCs w:val="21"/>
        </w:rPr>
        <w:t>表</w:t>
      </w:r>
      <w:r>
        <w:rPr>
          <w:rFonts w:hint="eastAsia"/>
          <w:b/>
          <w:bCs/>
          <w:sz w:val="21"/>
          <w:szCs w:val="21"/>
          <w:lang w:val="en-US" w:eastAsia="zh-CN"/>
        </w:rPr>
        <w:t>2</w:t>
      </w:r>
      <w:r>
        <w:rPr>
          <w:rFonts w:hint="eastAsia"/>
          <w:b/>
          <w:bCs/>
          <w:sz w:val="21"/>
          <w:szCs w:val="21"/>
        </w:rPr>
        <w:t xml:space="preserve">  岩塞口现场爆破前后宏观调查记录表</w:t>
      </w:r>
    </w:p>
    <w:tbl>
      <w:tblPr>
        <w:tblStyle w:val="11"/>
        <w:tblW w:w="0" w:type="auto"/>
        <w:tblInd w:w="250" w:type="dxa"/>
        <w:tblLayout w:type="fixed"/>
        <w:tblCellMar>
          <w:top w:w="0" w:type="dxa"/>
          <w:left w:w="108" w:type="dxa"/>
          <w:bottom w:w="0" w:type="dxa"/>
          <w:right w:w="108" w:type="dxa"/>
        </w:tblCellMar>
      </w:tblPr>
      <w:tblGrid>
        <w:gridCol w:w="851"/>
        <w:gridCol w:w="1182"/>
        <w:gridCol w:w="1229"/>
        <w:gridCol w:w="1080"/>
        <w:gridCol w:w="1229"/>
        <w:gridCol w:w="1565"/>
        <w:gridCol w:w="993"/>
      </w:tblGrid>
      <w:tr>
        <w:tblPrEx>
          <w:tblCellMar>
            <w:top w:w="0" w:type="dxa"/>
            <w:left w:w="108" w:type="dxa"/>
            <w:bottom w:w="0" w:type="dxa"/>
            <w:right w:w="108" w:type="dxa"/>
          </w:tblCellMar>
        </w:tblPrEx>
        <w:trPr>
          <w:trHeight w:val="285" w:hRule="atLeast"/>
        </w:trPr>
        <w:tc>
          <w:tcPr>
            <w:tcW w:w="851" w:type="dxa"/>
            <w:vMerge w:val="restart"/>
            <w:tcBorders>
              <w:top w:val="single" w:color="auto" w:sz="4" w:space="0"/>
              <w:left w:val="single" w:color="auto" w:sz="4" w:space="0"/>
              <w:bottom w:val="single" w:color="auto" w:sz="4" w:space="0"/>
              <w:right w:val="single" w:color="auto" w:sz="4" w:space="0"/>
            </w:tcBorders>
            <w:noWrap w:val="0"/>
            <w:vAlign w:val="center"/>
          </w:tcPr>
          <w:p>
            <w:pPr>
              <w:widowControl/>
              <w:ind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编号</w:t>
            </w:r>
          </w:p>
        </w:tc>
        <w:tc>
          <w:tcPr>
            <w:tcW w:w="1182" w:type="dxa"/>
            <w:vMerge w:val="restart"/>
            <w:tcBorders>
              <w:top w:val="single" w:color="auto" w:sz="4" w:space="0"/>
              <w:left w:val="single" w:color="auto" w:sz="4" w:space="0"/>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位 置</w:t>
            </w:r>
          </w:p>
        </w:tc>
        <w:tc>
          <w:tcPr>
            <w:tcW w:w="2309" w:type="dxa"/>
            <w:gridSpan w:val="2"/>
            <w:tcBorders>
              <w:top w:val="single" w:color="auto" w:sz="4" w:space="0"/>
              <w:left w:val="nil"/>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爆前</w:t>
            </w:r>
          </w:p>
        </w:tc>
        <w:tc>
          <w:tcPr>
            <w:tcW w:w="2794" w:type="dxa"/>
            <w:gridSpan w:val="2"/>
            <w:tcBorders>
              <w:top w:val="single" w:color="auto" w:sz="4" w:space="0"/>
              <w:left w:val="nil"/>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爆后</w:t>
            </w:r>
          </w:p>
        </w:tc>
        <w:tc>
          <w:tcPr>
            <w:tcW w:w="993" w:type="dxa"/>
            <w:vMerge w:val="restart"/>
            <w:tcBorders>
              <w:top w:val="single" w:color="auto" w:sz="4" w:space="0"/>
              <w:left w:val="single" w:color="auto" w:sz="4" w:space="0"/>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备 注</w:t>
            </w:r>
          </w:p>
        </w:tc>
      </w:tr>
      <w:tr>
        <w:tblPrEx>
          <w:tblCellMar>
            <w:top w:w="0" w:type="dxa"/>
            <w:left w:w="108" w:type="dxa"/>
            <w:bottom w:w="0" w:type="dxa"/>
            <w:right w:w="108" w:type="dxa"/>
          </w:tblCellMar>
        </w:tblPrEx>
        <w:trPr>
          <w:trHeight w:val="285" w:hRule="atLeast"/>
        </w:trPr>
        <w:tc>
          <w:tcPr>
            <w:tcW w:w="851" w:type="dxa"/>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p>
        </w:tc>
        <w:tc>
          <w:tcPr>
            <w:tcW w:w="1182" w:type="dxa"/>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p>
        </w:tc>
        <w:tc>
          <w:tcPr>
            <w:tcW w:w="1229" w:type="dxa"/>
            <w:tcBorders>
              <w:top w:val="nil"/>
              <w:left w:val="nil"/>
              <w:bottom w:val="single" w:color="auto" w:sz="4" w:space="0"/>
              <w:right w:val="single" w:color="auto" w:sz="4" w:space="0"/>
            </w:tcBorders>
            <w:shd w:val="clear" w:color="auto" w:fill="auto"/>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缝宽(mm)</w:t>
            </w:r>
          </w:p>
        </w:tc>
        <w:tc>
          <w:tcPr>
            <w:tcW w:w="1080" w:type="dxa"/>
            <w:tcBorders>
              <w:top w:val="nil"/>
              <w:left w:val="nil"/>
              <w:bottom w:val="single" w:color="auto" w:sz="4" w:space="0"/>
              <w:right w:val="single" w:color="auto" w:sz="4" w:space="0"/>
            </w:tcBorders>
            <w:shd w:val="clear" w:color="000000" w:fill="FFFFFF"/>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石膏抹缝</w:t>
            </w:r>
          </w:p>
        </w:tc>
        <w:tc>
          <w:tcPr>
            <w:tcW w:w="1229" w:type="dxa"/>
            <w:tcBorders>
              <w:top w:val="nil"/>
              <w:left w:val="nil"/>
              <w:bottom w:val="single" w:color="auto" w:sz="4" w:space="0"/>
              <w:right w:val="single" w:color="auto" w:sz="4" w:space="0"/>
            </w:tcBorders>
            <w:shd w:val="clear" w:color="auto" w:fill="auto"/>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缝宽(mm)</w:t>
            </w:r>
          </w:p>
        </w:tc>
        <w:tc>
          <w:tcPr>
            <w:tcW w:w="1565" w:type="dxa"/>
            <w:tcBorders>
              <w:top w:val="nil"/>
              <w:left w:val="nil"/>
              <w:bottom w:val="single" w:color="auto" w:sz="4" w:space="0"/>
              <w:right w:val="single" w:color="auto" w:sz="4" w:space="0"/>
            </w:tcBorders>
            <w:shd w:val="clear" w:color="000000" w:fill="FFFFFF"/>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现 象</w:t>
            </w:r>
          </w:p>
        </w:tc>
        <w:tc>
          <w:tcPr>
            <w:tcW w:w="993"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p>
        </w:tc>
      </w:tr>
      <w:tr>
        <w:tblPrEx>
          <w:tblCellMar>
            <w:top w:w="0" w:type="dxa"/>
            <w:left w:w="108" w:type="dxa"/>
            <w:bottom w:w="0" w:type="dxa"/>
            <w:right w:w="108" w:type="dxa"/>
          </w:tblCellMar>
        </w:tblPrEx>
        <w:trPr>
          <w:trHeight w:val="285" w:hRule="atLeast"/>
        </w:trPr>
        <w:tc>
          <w:tcPr>
            <w:tcW w:w="851" w:type="dxa"/>
            <w:tcBorders>
              <w:top w:val="nil"/>
              <w:left w:val="single" w:color="auto" w:sz="4" w:space="0"/>
              <w:bottom w:val="single" w:color="auto" w:sz="4" w:space="0"/>
              <w:right w:val="single" w:color="auto" w:sz="4" w:space="0"/>
            </w:tcBorders>
            <w:shd w:val="clear" w:color="000000" w:fill="FFFFFF"/>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#1</w:t>
            </w:r>
          </w:p>
        </w:tc>
        <w:tc>
          <w:tcPr>
            <w:tcW w:w="1182" w:type="dxa"/>
            <w:tcBorders>
              <w:top w:val="nil"/>
              <w:left w:val="nil"/>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sz w:val="21"/>
                <w:szCs w:val="21"/>
              </w:rPr>
              <w:t>料堆隔墙</w:t>
            </w:r>
          </w:p>
        </w:tc>
        <w:tc>
          <w:tcPr>
            <w:tcW w:w="1229" w:type="dxa"/>
            <w:tcBorders>
              <w:top w:val="nil"/>
              <w:left w:val="nil"/>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1.2</w:t>
            </w:r>
          </w:p>
        </w:tc>
        <w:tc>
          <w:tcPr>
            <w:tcW w:w="1080" w:type="dxa"/>
            <w:tcBorders>
              <w:top w:val="nil"/>
              <w:left w:val="nil"/>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有</w:t>
            </w:r>
          </w:p>
        </w:tc>
        <w:tc>
          <w:tcPr>
            <w:tcW w:w="1229" w:type="dxa"/>
            <w:tcBorders>
              <w:top w:val="nil"/>
              <w:left w:val="nil"/>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1.2</w:t>
            </w:r>
          </w:p>
        </w:tc>
        <w:tc>
          <w:tcPr>
            <w:tcW w:w="1565" w:type="dxa"/>
            <w:tcBorders>
              <w:top w:val="nil"/>
              <w:left w:val="nil"/>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没变化</w:t>
            </w:r>
          </w:p>
        </w:tc>
        <w:tc>
          <w:tcPr>
            <w:tcW w:w="993" w:type="dxa"/>
            <w:tcBorders>
              <w:top w:val="nil"/>
              <w:left w:val="nil"/>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p>
        </w:tc>
      </w:tr>
      <w:tr>
        <w:tblPrEx>
          <w:tblCellMar>
            <w:top w:w="0" w:type="dxa"/>
            <w:left w:w="108" w:type="dxa"/>
            <w:bottom w:w="0" w:type="dxa"/>
            <w:right w:w="108" w:type="dxa"/>
          </w:tblCellMar>
        </w:tblPrEx>
        <w:trPr>
          <w:trHeight w:val="285" w:hRule="atLeast"/>
        </w:trPr>
        <w:tc>
          <w:tcPr>
            <w:tcW w:w="851" w:type="dxa"/>
            <w:tcBorders>
              <w:top w:val="nil"/>
              <w:left w:val="single" w:color="auto" w:sz="4" w:space="0"/>
              <w:bottom w:val="single" w:color="auto" w:sz="4" w:space="0"/>
              <w:right w:val="single" w:color="auto" w:sz="4" w:space="0"/>
            </w:tcBorders>
            <w:shd w:val="clear" w:color="000000" w:fill="FFFFFF"/>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#2</w:t>
            </w:r>
          </w:p>
        </w:tc>
        <w:tc>
          <w:tcPr>
            <w:tcW w:w="1182" w:type="dxa"/>
            <w:tcBorders>
              <w:top w:val="nil"/>
              <w:left w:val="nil"/>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sz w:val="21"/>
                <w:szCs w:val="21"/>
              </w:rPr>
              <w:t>料堆隔墙</w:t>
            </w:r>
          </w:p>
        </w:tc>
        <w:tc>
          <w:tcPr>
            <w:tcW w:w="1229" w:type="dxa"/>
            <w:tcBorders>
              <w:top w:val="nil"/>
              <w:left w:val="nil"/>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5.5</w:t>
            </w:r>
          </w:p>
        </w:tc>
        <w:tc>
          <w:tcPr>
            <w:tcW w:w="1080" w:type="dxa"/>
            <w:tcBorders>
              <w:top w:val="nil"/>
              <w:left w:val="nil"/>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无</w:t>
            </w:r>
          </w:p>
        </w:tc>
        <w:tc>
          <w:tcPr>
            <w:tcW w:w="1229" w:type="dxa"/>
            <w:tcBorders>
              <w:top w:val="nil"/>
              <w:left w:val="nil"/>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5.5</w:t>
            </w:r>
          </w:p>
        </w:tc>
        <w:tc>
          <w:tcPr>
            <w:tcW w:w="1565" w:type="dxa"/>
            <w:tcBorders>
              <w:top w:val="nil"/>
              <w:left w:val="nil"/>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没变化</w:t>
            </w:r>
          </w:p>
        </w:tc>
        <w:tc>
          <w:tcPr>
            <w:tcW w:w="993" w:type="dxa"/>
            <w:tcBorders>
              <w:top w:val="nil"/>
              <w:left w:val="nil"/>
              <w:bottom w:val="single" w:color="auto" w:sz="4" w:space="0"/>
              <w:right w:val="single" w:color="auto" w:sz="4" w:space="0"/>
            </w:tcBorders>
            <w:noWrap w:val="0"/>
            <w:vAlign w:val="center"/>
          </w:tcPr>
          <w:p>
            <w:pPr>
              <w:widowControl/>
              <w:ind w:left="-88" w:leftChars="-42" w:right="-40" w:rightChars="-19"/>
              <w:jc w:val="center"/>
              <w:rPr>
                <w:rFonts w:hint="eastAsia" w:asciiTheme="minorEastAsia" w:hAnsiTheme="minorEastAsia" w:eastAsiaTheme="minorEastAsia" w:cstheme="minorEastAsia"/>
                <w:kern w:val="0"/>
                <w:sz w:val="21"/>
                <w:szCs w:val="21"/>
              </w:rPr>
            </w:pPr>
          </w:p>
        </w:tc>
      </w:tr>
    </w:tbl>
    <w:p>
      <w:pPr>
        <w:pStyle w:val="4"/>
        <w:keepNext/>
        <w:keepLines/>
        <w:pageBreakBefore w:val="0"/>
        <w:widowControl w:val="0"/>
        <w:numPr>
          <w:ilvl w:val="0"/>
          <w:numId w:val="0"/>
        </w:numPr>
        <w:kinsoku/>
        <w:wordWrap/>
        <w:overflowPunct/>
        <w:topLinePunct w:val="0"/>
        <w:autoSpaceDE/>
        <w:autoSpaceDN/>
        <w:bidi w:val="0"/>
        <w:adjustRightInd/>
        <w:snapToGrid/>
        <w:spacing w:before="0" w:after="0" w:line="520" w:lineRule="exact"/>
        <w:ind w:firstLine="640" w:firstLineChars="200"/>
        <w:jc w:val="left"/>
        <w:textAlignment w:val="auto"/>
        <w:rPr>
          <w:rFonts w:hint="eastAsia" w:ascii="仿宋" w:hAnsi="仿宋" w:eastAsia="仿宋" w:cs="仿宋"/>
          <w:b w:val="0"/>
          <w:bCs w:val="0"/>
          <w:color w:val="auto"/>
          <w:sz w:val="32"/>
          <w:szCs w:val="32"/>
        </w:rPr>
      </w:pPr>
      <w:r>
        <w:rPr>
          <w:rFonts w:hint="eastAsia" w:ascii="仿宋" w:hAnsi="仿宋" w:eastAsia="仿宋" w:cs="仿宋"/>
          <w:b w:val="0"/>
          <w:bCs w:val="0"/>
          <w:color w:val="auto"/>
          <w:sz w:val="32"/>
          <w:szCs w:val="32"/>
        </w:rPr>
        <w:t>大隆水库大坝目前仅有渗流监测项目，现有完好仪器49支渗压计，分别在爆破当天的早8:00（爆破前）和晚16:57（爆破后）进行测试，两次测值及变化情况见表</w:t>
      </w:r>
      <w:r>
        <w:rPr>
          <w:rFonts w:hint="eastAsia" w:ascii="仿宋" w:hAnsi="仿宋" w:eastAsia="仿宋" w:cs="仿宋"/>
          <w:b w:val="0"/>
          <w:bCs w:val="0"/>
          <w:color w:val="auto"/>
          <w:sz w:val="32"/>
          <w:szCs w:val="32"/>
          <w:lang w:val="en-US" w:eastAsia="zh-CN"/>
        </w:rPr>
        <w:t>3</w:t>
      </w:r>
      <w:r>
        <w:rPr>
          <w:rFonts w:hint="eastAsia" w:ascii="仿宋" w:hAnsi="仿宋" w:eastAsia="仿宋" w:cs="仿宋"/>
          <w:b w:val="0"/>
          <w:bCs w:val="0"/>
          <w:color w:val="auto"/>
          <w:sz w:val="32"/>
          <w:szCs w:val="32"/>
        </w:rPr>
        <w:t>。</w:t>
      </w:r>
      <w:bookmarkStart w:id="7" w:name="_Toc191471392"/>
      <w:bookmarkStart w:id="8" w:name="_Toc191363789"/>
      <w:bookmarkStart w:id="9" w:name="_Toc191127373"/>
    </w:p>
    <w:p>
      <w:pPr>
        <w:pStyle w:val="20"/>
        <w:ind w:firstLine="0" w:firstLineChars="0"/>
        <w:jc w:val="center"/>
        <w:rPr>
          <w:rFonts w:hint="eastAsia"/>
          <w:b/>
          <w:bCs/>
          <w:sz w:val="21"/>
          <w:szCs w:val="21"/>
          <w:lang w:eastAsia="zh-CN"/>
        </w:rPr>
      </w:pPr>
      <w:r>
        <w:rPr>
          <w:rFonts w:hint="eastAsia"/>
          <w:b/>
          <w:bCs/>
          <w:sz w:val="21"/>
          <w:szCs w:val="21"/>
          <w:lang w:eastAsia="zh-CN"/>
        </w:rPr>
        <w:t>附表</w:t>
      </w:r>
      <w:r>
        <w:rPr>
          <w:rFonts w:hint="eastAsia"/>
          <w:b/>
          <w:bCs/>
          <w:sz w:val="21"/>
          <w:szCs w:val="21"/>
          <w:lang w:val="en-US" w:eastAsia="zh-CN"/>
        </w:rPr>
        <w:t>3</w:t>
      </w:r>
      <w:r>
        <w:rPr>
          <w:rFonts w:hint="eastAsia"/>
          <w:b/>
          <w:bCs/>
          <w:sz w:val="21"/>
          <w:szCs w:val="21"/>
          <w:lang w:eastAsia="zh-CN"/>
        </w:rPr>
        <w:t xml:space="preserve">  西水中调工程取水口岩塞爆破大隆水库坝体渗流监测统计表  单位：m</w:t>
      </w:r>
      <w:bookmarkEnd w:id="7"/>
      <w:bookmarkEnd w:id="8"/>
      <w:bookmarkEnd w:id="9"/>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0"/>
        <w:gridCol w:w="1669"/>
        <w:gridCol w:w="1656"/>
        <w:gridCol w:w="1746"/>
        <w:gridCol w:w="1260"/>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测点编号</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埋设高程（m）</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2025-1-10 8:00</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2025-1-12 16:57</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水位变化差</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K1</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12.60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15.82</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15.82</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P1-02</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44.42</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57.82</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57.82</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P1-03</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46.34</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55.24</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55.24</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P1-04</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44.90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45.60</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45.60</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P1-06</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43.80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52.46</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52.57</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0.11</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P2-01</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35.80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62.13</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62.11</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-0.02</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P2-02</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50.80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65.66</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65.63</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-0.03</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P2-03</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29.71</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57.37</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57.39</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0.02</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P2-04</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45.80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59.86</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59.85</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-0.01</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P2-05</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60.80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65.00</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64.99</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-0.01</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P2-07</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28.40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42.18</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42.12</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-0.06</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P2-08</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17.60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17.69</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17.69</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P2-09</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21.29</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30.31</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30.32</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0.01</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P2-10</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32.80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39.10</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39.10</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P2-11</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45.80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46.41</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46.35</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-0.06</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P2-12</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55.80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57.80</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57.80</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P2-13</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30.80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32.75</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32.75</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P2-15</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22.83</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23.38</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23.38</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P3-01</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35.82</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61.46</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61.45</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-0.01</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P3-02</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50.80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64.80</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64.80</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P3-03</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30.80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57.67</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57.68</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0.01</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P3-04</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45.83</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60.36</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60.36</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P3-05</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60.80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65.11</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65.11</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P3-07</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27.60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45.27</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45.28</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0.01</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P3-08</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18.18</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44.19</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44.15</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-0.04</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P3-09</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20.90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32.42</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32.43</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0.01</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P3-12</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55.80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57.02</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57.02</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P3-13</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30.80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31.74</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31.74</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P3-15</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23.06</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23.99</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24.00</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0.01</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P4-01</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35.80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64.05</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64.06</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0.01</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P4-02</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50.80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64.86</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64.88</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0.02</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P4-03</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30.80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61.71</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61.77</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0.06</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P4-04</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45.82</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57.06</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57.07</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0.01</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P4-05</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60.80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65.17</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65.17</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P4-06</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20.94</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55.44</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55.44</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P4-07</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27.52</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45.62</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45.62</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P4-08</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17.85</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21.13</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21.13</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P4-11</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45.80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49.84</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49.84</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P4-14</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40.80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42.53</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42.42</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-0.11</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P4-15</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22.80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27.55</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27.55</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P5-01</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48.85</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64.10</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64.08</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-0.02</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P5-02</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42.21</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60.56</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60.55</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-0.01</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P5-04</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42.65</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58.30</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58.30</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UP02</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66.10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66.16</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66.15</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-0.01</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UP03</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71.12</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72.10</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72.07</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-0.03</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UP09</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64.50</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69.37</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69.36</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-0.01</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UP10</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67.38</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68.67</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68.59</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-0.08</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UP11</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62.43</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64.37</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64.44</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0.07</w:t>
            </w:r>
          </w:p>
        </w:tc>
        <w:tc>
          <w:tcPr>
            <w:tcW w:w="1260" w:type="dxa"/>
            <w:noWrap w:val="0"/>
            <w:vAlign w:val="center"/>
          </w:tcPr>
          <w:p>
            <w:pPr>
              <w:widowControl/>
              <w:jc w:val="center"/>
              <w:rPr>
                <w:rFonts w:hint="eastAsia" w:ascii="宋体" w:hAnsi="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040"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UP13</w:t>
            </w:r>
          </w:p>
        </w:tc>
        <w:tc>
          <w:tcPr>
            <w:tcW w:w="1669" w:type="dxa"/>
            <w:shd w:val="clear" w:color="auto" w:fill="auto"/>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43.91</w:t>
            </w:r>
          </w:p>
        </w:tc>
        <w:tc>
          <w:tcPr>
            <w:tcW w:w="165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48.53</w:t>
            </w:r>
          </w:p>
        </w:tc>
        <w:tc>
          <w:tcPr>
            <w:tcW w:w="1746" w:type="dxa"/>
            <w:shd w:val="clear" w:color="000000" w:fill="FFFFFF"/>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48.53</w:t>
            </w:r>
          </w:p>
        </w:tc>
        <w:tc>
          <w:tcPr>
            <w:tcW w:w="1260" w:type="dxa"/>
            <w:noWrap w:val="0"/>
            <w:vAlign w:val="center"/>
          </w:tcPr>
          <w:p>
            <w:pPr>
              <w:widowControl/>
              <w:jc w:val="center"/>
              <w:rPr>
                <w:rFonts w:ascii="宋体" w:hAnsi="宋体" w:cs="宋体"/>
                <w:kern w:val="0"/>
                <w:sz w:val="18"/>
                <w:szCs w:val="18"/>
              </w:rPr>
            </w:pPr>
            <w:r>
              <w:rPr>
                <w:rFonts w:hint="eastAsia" w:ascii="宋体" w:hAnsi="宋体" w:cs="宋体"/>
                <w:kern w:val="0"/>
                <w:sz w:val="18"/>
                <w:szCs w:val="18"/>
              </w:rPr>
              <w:t>0.00</w:t>
            </w:r>
          </w:p>
        </w:tc>
        <w:tc>
          <w:tcPr>
            <w:tcW w:w="1260" w:type="dxa"/>
            <w:noWrap w:val="0"/>
            <w:vAlign w:val="center"/>
          </w:tcPr>
          <w:p>
            <w:pPr>
              <w:widowControl/>
              <w:jc w:val="center"/>
              <w:rPr>
                <w:rFonts w:hint="eastAsia" w:ascii="宋体" w:hAnsi="宋体" w:cs="宋体"/>
                <w:kern w:val="0"/>
                <w:sz w:val="18"/>
                <w:szCs w:val="18"/>
              </w:rPr>
            </w:pPr>
          </w:p>
        </w:tc>
      </w:tr>
    </w:tbl>
    <w:p>
      <w:pPr>
        <w:pStyle w:val="3"/>
        <w:spacing w:after="0" w:line="312" w:lineRule="auto"/>
        <w:ind w:left="0" w:leftChars="0"/>
        <w:jc w:val="left"/>
        <w:rPr>
          <w:rFonts w:hint="eastAsia" w:ascii="楷体" w:hAnsi="楷体" w:eastAsia="楷体"/>
          <w:szCs w:val="21"/>
        </w:rPr>
      </w:pPr>
      <w:r>
        <w:rPr>
          <w:rFonts w:hint="eastAsia" w:ascii="楷体" w:hAnsi="楷体" w:eastAsia="楷体"/>
          <w:szCs w:val="21"/>
        </w:rPr>
        <w:t>注：仪器安装高程及水位均按85高程计，爆破前后水位基本持平。</w:t>
      </w:r>
    </w:p>
    <w:p>
      <w:pPr>
        <w:pStyle w:val="15"/>
        <w:keepNext w:val="0"/>
        <w:keepLines w:val="0"/>
        <w:pageBreakBefore w:val="0"/>
        <w:widowControl w:val="0"/>
        <w:kinsoku/>
        <w:wordWrap/>
        <w:overflowPunct/>
        <w:topLinePunct w:val="0"/>
        <w:bidi w:val="0"/>
        <w:snapToGrid/>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比对结果表明，爆破前、后各仪器的水位观测差值绝大多数为零，个别偏大的也在±0.11mm以内，处于测试误差范围，即大坝内各项渗流监测指标均为发生变化，表明岩塞爆破未对大坝渗流造成影响。</w:t>
      </w:r>
    </w:p>
    <w:p>
      <w:pPr>
        <w:pStyle w:val="15"/>
        <w:keepNext w:val="0"/>
        <w:keepLines w:val="0"/>
        <w:pageBreakBefore w:val="0"/>
        <w:widowControl w:val="0"/>
        <w:kinsoku/>
        <w:wordWrap/>
        <w:overflowPunct/>
        <w:topLinePunct w:val="0"/>
        <w:bidi w:val="0"/>
        <w:snapToGrid/>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库区内的水中冲击波和隧洞内的压力测值均不高，不会对周围水工建筑物造成破坏影响。</w:t>
      </w:r>
    </w:p>
    <w:p>
      <w:pPr>
        <w:keepNext w:val="0"/>
        <w:keepLines w:val="0"/>
        <w:pageBreakBefore w:val="0"/>
        <w:widowControl w:val="0"/>
        <w:kinsoku/>
        <w:wordWrap/>
        <w:overflowPunct/>
        <w:topLinePunct w:val="0"/>
        <w:bidi w:val="0"/>
        <w:snapToGrid/>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三亚大隆水库水下岩塞爆破三维勘测</w:t>
      </w:r>
      <w:r>
        <w:rPr>
          <w:rFonts w:hint="eastAsia" w:ascii="仿宋" w:hAnsi="仿宋" w:eastAsia="仿宋" w:cs="仿宋"/>
          <w:color w:val="auto"/>
          <w:sz w:val="32"/>
          <w:szCs w:val="32"/>
          <w:lang w:val="en-US" w:eastAsia="zh-CN"/>
        </w:rPr>
        <w:t>结果，</w:t>
      </w:r>
      <w:r>
        <w:rPr>
          <w:rFonts w:hint="eastAsia" w:ascii="仿宋" w:hAnsi="仿宋" w:eastAsia="仿宋" w:cs="仿宋"/>
          <w:color w:val="auto"/>
          <w:sz w:val="32"/>
          <w:szCs w:val="32"/>
        </w:rPr>
        <w:t>本次工作主要采用最新研发的隧洞检测专用水下机器人系统Dive T_scaner以及潜蛟P200水下高清光学摄影水下机器人两个设备进行检测。根据水下测量结果显示，</w:t>
      </w:r>
      <w:r>
        <w:rPr>
          <w:rFonts w:hint="eastAsia" w:ascii="仿宋" w:hAnsi="仿宋" w:eastAsia="仿宋" w:cs="仿宋"/>
          <w:color w:val="auto"/>
          <w:sz w:val="32"/>
          <w:szCs w:val="32"/>
          <w:lang w:val="en-US" w:eastAsia="zh-CN"/>
        </w:rPr>
        <w:t>岩塞</w:t>
      </w:r>
      <w:r>
        <w:rPr>
          <w:rFonts w:hint="eastAsia" w:ascii="仿宋" w:hAnsi="仿宋" w:eastAsia="仿宋" w:cs="仿宋"/>
          <w:color w:val="auto"/>
          <w:sz w:val="32"/>
          <w:szCs w:val="32"/>
        </w:rPr>
        <w:t>口形态较为平坦光滑，洞口呈略微不规则圆形，直径约为8.97-9.21米之间，正对洞口右上角以及右下角分别有一个较大的石头清晰可见，右上角石头出露体积约为3.36×2.04×0.75米，右下角石头出露体积约为2.07×1.27×0.49米。洞口正下方河床有明显爆破后形成的堆渣，堆渣体宽约8.62米，长5.87米，最大堆积高度约为0.6米。</w:t>
      </w:r>
    </w:p>
    <w:p>
      <w:pPr>
        <w:keepNext w:val="0"/>
        <w:keepLines w:val="0"/>
        <w:pageBreakBefore w:val="0"/>
        <w:widowControl w:val="0"/>
        <w:kinsoku/>
        <w:wordWrap/>
        <w:overflowPunct/>
        <w:topLinePunct w:val="0"/>
        <w:bidi w:val="0"/>
        <w:snapToGrid/>
        <w:spacing w:after="0" w:line="520" w:lineRule="exact"/>
        <w:ind w:firstLine="640" w:firstLineChars="200"/>
        <w:jc w:val="left"/>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爆破实际产生的洞口直径为9m左右，大于岩塞口设计直径（</w:t>
      </w:r>
      <w:r>
        <w:rPr>
          <w:rFonts w:hint="eastAsia" w:ascii="仿宋" w:hAnsi="仿宋" w:eastAsia="仿宋" w:cs="仿宋"/>
          <w:color w:val="auto"/>
          <w:sz w:val="32"/>
          <w:szCs w:val="32"/>
          <w:highlight w:val="none"/>
          <w:lang w:val="en-US" w:eastAsia="zh-CN"/>
        </w:rPr>
        <w:t>8.0</w:t>
      </w:r>
      <w:r>
        <w:rPr>
          <w:rFonts w:hint="eastAsia" w:ascii="仿宋" w:hAnsi="仿宋" w:eastAsia="仿宋" w:cs="仿宋"/>
          <w:color w:val="auto"/>
          <w:sz w:val="32"/>
          <w:szCs w:val="32"/>
          <w:highlight w:val="none"/>
        </w:rPr>
        <w:t>m~</w:t>
      </w:r>
      <w:r>
        <w:rPr>
          <w:rFonts w:hint="eastAsia" w:ascii="仿宋" w:hAnsi="仿宋" w:eastAsia="仿宋" w:cs="仿宋"/>
          <w:color w:val="auto"/>
          <w:sz w:val="32"/>
          <w:szCs w:val="32"/>
        </w:rPr>
        <w:t>5m），满足设计要求。在洞口附近聚集的较大石块与堆渣可能局部</w:t>
      </w:r>
      <w:r>
        <w:rPr>
          <w:rFonts w:hint="eastAsia" w:ascii="仿宋" w:hAnsi="仿宋" w:eastAsia="仿宋" w:cs="仿宋"/>
          <w:color w:val="auto"/>
          <w:sz w:val="32"/>
          <w:szCs w:val="32"/>
          <w:highlight w:val="none"/>
        </w:rPr>
        <w:t>遮挡洞口</w:t>
      </w:r>
      <w:r>
        <w:rPr>
          <w:rFonts w:hint="eastAsia" w:ascii="仿宋" w:hAnsi="仿宋" w:eastAsia="仿宋" w:cs="仿宋"/>
          <w:color w:val="auto"/>
          <w:sz w:val="32"/>
          <w:szCs w:val="32"/>
        </w:rPr>
        <w:t>，但因岩塞口实际成洞面积较大，遮挡面积有限，不会对隧洞的过流能力产生影响；根据聚渣坑内堆</w:t>
      </w:r>
      <w:r>
        <w:rPr>
          <w:rFonts w:hint="eastAsia" w:ascii="仿宋" w:hAnsi="仿宋" w:eastAsia="仿宋" w:cs="仿宋"/>
          <w:color w:val="auto"/>
          <w:sz w:val="32"/>
          <w:szCs w:val="32"/>
          <w:highlight w:val="none"/>
        </w:rPr>
        <w:t>渣的测量结果</w:t>
      </w:r>
      <w:r>
        <w:rPr>
          <w:rFonts w:hint="eastAsia" w:ascii="仿宋" w:hAnsi="仿宋" w:eastAsia="仿宋" w:cs="仿宋"/>
          <w:color w:val="auto"/>
          <w:sz w:val="32"/>
          <w:szCs w:val="32"/>
        </w:rPr>
        <w:t>，爆破产生的岩渣未超出桩号ZD0－93.600处的</w:t>
      </w:r>
      <w:r>
        <w:rPr>
          <w:rFonts w:hint="eastAsia" w:ascii="仿宋" w:hAnsi="仿宋" w:eastAsia="仿宋" w:cs="仿宋"/>
          <w:color w:val="auto"/>
          <w:sz w:val="32"/>
          <w:szCs w:val="32"/>
          <w:highlight w:val="none"/>
          <w:lang w:val="en-US" w:eastAsia="zh-CN"/>
        </w:rPr>
        <w:t>混凝土挡渣</w:t>
      </w:r>
      <w:r>
        <w:rPr>
          <w:rFonts w:hint="eastAsia" w:ascii="仿宋" w:hAnsi="仿宋" w:eastAsia="仿宋" w:cs="仿宋"/>
          <w:color w:val="auto"/>
          <w:sz w:val="32"/>
          <w:szCs w:val="32"/>
          <w:highlight w:val="none"/>
        </w:rPr>
        <w:t>坎</w:t>
      </w:r>
      <w:r>
        <w:rPr>
          <w:rFonts w:hint="eastAsia" w:ascii="仿宋" w:hAnsi="仿宋" w:eastAsia="仿宋" w:cs="仿宋"/>
          <w:color w:val="auto"/>
          <w:sz w:val="32"/>
          <w:szCs w:val="32"/>
        </w:rPr>
        <w:t>，岩渣没有进入主洞，同时因运行时水流流速很小，小于0.5m</w:t>
      </w:r>
      <w:r>
        <w:rPr>
          <w:rFonts w:hint="eastAsia" w:ascii="仿宋" w:hAnsi="仿宋" w:eastAsia="仿宋" w:cs="仿宋"/>
          <w:color w:val="auto"/>
          <w:sz w:val="32"/>
          <w:szCs w:val="32"/>
          <w:vertAlign w:val="superscript"/>
        </w:rPr>
        <w:t>3</w:t>
      </w:r>
      <w:r>
        <w:rPr>
          <w:rFonts w:hint="eastAsia" w:ascii="仿宋" w:hAnsi="仿宋" w:eastAsia="仿宋" w:cs="仿宋"/>
          <w:color w:val="auto"/>
          <w:sz w:val="32"/>
          <w:szCs w:val="32"/>
        </w:rPr>
        <w:t>/s，可保证岩渣在运行时也不会进入主洞；岩渣堆积后形成的</w:t>
      </w:r>
      <w:r>
        <w:rPr>
          <w:rFonts w:hint="eastAsia" w:ascii="仿宋" w:hAnsi="仿宋" w:eastAsia="仿宋" w:cs="仿宋"/>
          <w:color w:val="auto"/>
          <w:sz w:val="32"/>
          <w:szCs w:val="32"/>
          <w:highlight w:val="none"/>
        </w:rPr>
        <w:t>最小净空高度约为4.7m</w:t>
      </w:r>
      <w:r>
        <w:rPr>
          <w:rFonts w:hint="eastAsia" w:ascii="仿宋" w:hAnsi="仿宋" w:eastAsia="仿宋" w:cs="仿宋"/>
          <w:color w:val="auto"/>
          <w:sz w:val="32"/>
          <w:szCs w:val="32"/>
        </w:rPr>
        <w:t>，没有堵塞主洞输水断面，满足过流要求。</w:t>
      </w:r>
    </w:p>
    <w:p>
      <w:pPr>
        <w:numPr>
          <w:ilvl w:val="0"/>
          <w:numId w:val="1"/>
        </w:numPr>
        <w:spacing w:line="520" w:lineRule="exact"/>
        <w:outlineLvl w:val="0"/>
        <w:rPr>
          <w:rFonts w:ascii="Times New Roman" w:hAnsi="Times New Roman" w:eastAsia="黑体" w:cs="Times New Roman"/>
          <w:sz w:val="32"/>
          <w:szCs w:val="32"/>
        </w:rPr>
      </w:pPr>
      <w:r>
        <w:rPr>
          <w:rFonts w:ascii="Times New Roman" w:hAnsi="Times New Roman" w:eastAsia="黑体" w:cs="Times New Roman"/>
          <w:sz w:val="32"/>
          <w:szCs w:val="32"/>
        </w:rPr>
        <w:t>重大意见分歧的处理依据和结果</w:t>
      </w:r>
    </w:p>
    <w:p>
      <w:pPr>
        <w:spacing w:line="520" w:lineRule="exact"/>
        <w:ind w:firstLine="640" w:firstLineChars="200"/>
        <w:rPr>
          <w:rFonts w:ascii="Times New Roman" w:hAnsi="Times New Roman" w:eastAsia="仿宋_GB2312" w:cs="Times New Roman"/>
          <w:bCs/>
          <w:sz w:val="32"/>
          <w:szCs w:val="32"/>
        </w:rPr>
      </w:pPr>
      <w:r>
        <w:rPr>
          <w:rFonts w:ascii="Times New Roman" w:hAnsi="Times New Roman" w:eastAsia="仿宋_GB2312" w:cs="Times New Roman"/>
          <w:bCs/>
          <w:sz w:val="32"/>
          <w:szCs w:val="32"/>
        </w:rPr>
        <w:t>本标准研制过程中无重大分歧意见。</w:t>
      </w:r>
    </w:p>
    <w:p>
      <w:pPr>
        <w:numPr>
          <w:ilvl w:val="0"/>
          <w:numId w:val="1"/>
        </w:numPr>
        <w:spacing w:line="520" w:lineRule="exact"/>
        <w:outlineLvl w:val="0"/>
        <w:rPr>
          <w:rFonts w:ascii="Times New Roman" w:hAnsi="Times New Roman" w:eastAsia="黑体" w:cs="Times New Roman"/>
          <w:sz w:val="32"/>
          <w:szCs w:val="32"/>
        </w:rPr>
      </w:pPr>
      <w:r>
        <w:rPr>
          <w:rFonts w:ascii="Times New Roman" w:hAnsi="Times New Roman" w:eastAsia="黑体" w:cs="Times New Roman"/>
          <w:sz w:val="32"/>
          <w:szCs w:val="32"/>
        </w:rPr>
        <w:t>实施标准的措施</w:t>
      </w:r>
    </w:p>
    <w:p>
      <w:pPr>
        <w:pStyle w:val="17"/>
        <w:numPr>
          <w:ilvl w:val="0"/>
          <w:numId w:val="0"/>
        </w:numPr>
        <w:spacing w:line="520" w:lineRule="exact"/>
        <w:outlineLvl w:val="1"/>
        <w:rPr>
          <w:rFonts w:hint="eastAsia" w:ascii="Times New Roman" w:eastAsia="仿宋_GB2312"/>
          <w:b/>
          <w:sz w:val="32"/>
          <w:szCs w:val="32"/>
          <w:lang w:eastAsia="zh-CN"/>
        </w:rPr>
      </w:pPr>
      <w:r>
        <w:rPr>
          <w:rFonts w:hint="eastAsia" w:ascii="Times New Roman" w:eastAsia="仿宋_GB2312"/>
          <w:b/>
          <w:sz w:val="32"/>
          <w:szCs w:val="32"/>
          <w:lang w:eastAsia="zh-CN"/>
        </w:rPr>
        <w:t>（一）标准报批发布后，成立标准宣贯工作组</w:t>
      </w:r>
    </w:p>
    <w:p>
      <w:pPr>
        <w:autoSpaceDE w:val="0"/>
        <w:autoSpaceDN w:val="0"/>
        <w:adjustRightInd w:val="0"/>
        <w:spacing w:line="520" w:lineRule="exact"/>
        <w:ind w:firstLine="640" w:firstLineChars="200"/>
        <w:jc w:val="left"/>
        <w:rPr>
          <w:rFonts w:ascii="Times New Roman" w:hAnsi="Times New Roman" w:eastAsia="仿宋_GB2312" w:cs="Times New Roman"/>
          <w:kern w:val="0"/>
          <w:sz w:val="32"/>
          <w:szCs w:val="32"/>
        </w:rPr>
      </w:pPr>
      <w:r>
        <w:rPr>
          <w:rFonts w:ascii="Times New Roman" w:hAnsi="Times New Roman" w:eastAsia="仿宋_GB2312" w:cs="Times New Roman"/>
          <w:kern w:val="0"/>
          <w:sz w:val="32"/>
          <w:szCs w:val="32"/>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pPr>
        <w:pStyle w:val="17"/>
        <w:numPr>
          <w:ilvl w:val="0"/>
          <w:numId w:val="0"/>
        </w:numPr>
        <w:spacing w:line="520" w:lineRule="exact"/>
        <w:outlineLvl w:val="1"/>
        <w:rPr>
          <w:rFonts w:hint="eastAsia" w:ascii="Times New Roman" w:eastAsia="仿宋_GB2312"/>
          <w:b/>
          <w:sz w:val="32"/>
          <w:szCs w:val="32"/>
          <w:lang w:eastAsia="zh-CN"/>
        </w:rPr>
      </w:pPr>
      <w:r>
        <w:rPr>
          <w:rFonts w:hint="eastAsia" w:ascii="Times New Roman" w:eastAsia="仿宋_GB2312"/>
          <w:b/>
          <w:sz w:val="32"/>
          <w:szCs w:val="32"/>
          <w:lang w:eastAsia="zh-CN"/>
        </w:rPr>
        <w:t>（二）组织开展标准宣贯培训</w:t>
      </w:r>
    </w:p>
    <w:p>
      <w:pPr>
        <w:autoSpaceDE w:val="0"/>
        <w:autoSpaceDN w:val="0"/>
        <w:adjustRightInd w:val="0"/>
        <w:spacing w:line="520" w:lineRule="exact"/>
        <w:ind w:firstLine="640" w:firstLineChars="200"/>
        <w:jc w:val="left"/>
        <w:rPr>
          <w:rFonts w:ascii="Times New Roman" w:hAnsi="Times New Roman" w:eastAsia="仿宋_GB2312" w:cs="Times New Roman"/>
          <w:kern w:val="0"/>
          <w:sz w:val="32"/>
          <w:szCs w:val="32"/>
        </w:rPr>
      </w:pPr>
      <w:r>
        <w:rPr>
          <w:rFonts w:ascii="Times New Roman" w:hAnsi="Times New Roman" w:eastAsia="仿宋_GB2312" w:cs="Times New Roman"/>
          <w:kern w:val="0"/>
          <w:sz w:val="32"/>
          <w:szCs w:val="32"/>
        </w:rPr>
        <w:t>标准发布实施后，标准宣贯工作小组制作标准解读宣贯培训PPT课件和标准核心技术明白书，并按标准宣贯培训计划深入广西区内工程施工相关单位组织技术人员开展标准宣贯培训，对标准进行逐条解读，让技术人员掌握标准核心技术内容，助力标准实施落地。</w:t>
      </w:r>
    </w:p>
    <w:p>
      <w:pPr>
        <w:pStyle w:val="17"/>
        <w:numPr>
          <w:ilvl w:val="0"/>
          <w:numId w:val="0"/>
        </w:numPr>
        <w:spacing w:line="520" w:lineRule="exact"/>
        <w:outlineLvl w:val="1"/>
        <w:rPr>
          <w:rFonts w:hint="eastAsia" w:ascii="Times New Roman" w:eastAsia="仿宋_GB2312"/>
          <w:b/>
          <w:sz w:val="32"/>
          <w:szCs w:val="32"/>
          <w:lang w:eastAsia="zh-CN"/>
        </w:rPr>
      </w:pPr>
      <w:r>
        <w:rPr>
          <w:rFonts w:hint="eastAsia" w:ascii="Times New Roman" w:eastAsia="仿宋_GB2312"/>
          <w:b/>
          <w:sz w:val="32"/>
          <w:szCs w:val="32"/>
          <w:lang w:eastAsia="zh-CN"/>
        </w:rPr>
        <w:t>（三）开展标准实施交流会，收集标准实施反馈信息</w:t>
      </w:r>
    </w:p>
    <w:p>
      <w:pPr>
        <w:autoSpaceDE w:val="0"/>
        <w:autoSpaceDN w:val="0"/>
        <w:adjustRightInd w:val="0"/>
        <w:spacing w:line="520" w:lineRule="exact"/>
        <w:ind w:firstLine="640" w:firstLineChars="200"/>
        <w:jc w:val="left"/>
        <w:rPr>
          <w:rFonts w:ascii="Times New Roman" w:hAnsi="Times New Roman" w:eastAsia="仿宋_GB2312" w:cs="Times New Roman"/>
          <w:kern w:val="0"/>
          <w:sz w:val="32"/>
          <w:szCs w:val="32"/>
        </w:rPr>
      </w:pPr>
      <w:r>
        <w:rPr>
          <w:rFonts w:ascii="Times New Roman" w:hAnsi="Times New Roman" w:eastAsia="仿宋_GB2312" w:cs="Times New Roman"/>
          <w:kern w:val="0"/>
          <w:sz w:val="32"/>
          <w:szCs w:val="32"/>
        </w:rPr>
        <w:t>标准起草小组深入广西区内工程施工相关单位组织技术人员召开标准实施交流会，听取标准实施过程中存在的问题并做好记录和解答，对存在的问题组织专家团队进行研讨，为标准的复审修订做准备。</w:t>
      </w:r>
    </w:p>
    <w:p>
      <w:pPr>
        <w:pStyle w:val="17"/>
        <w:numPr>
          <w:ilvl w:val="0"/>
          <w:numId w:val="0"/>
        </w:numPr>
        <w:spacing w:line="520" w:lineRule="exact"/>
        <w:outlineLvl w:val="1"/>
        <w:rPr>
          <w:rFonts w:hint="eastAsia" w:ascii="Times New Roman" w:eastAsia="仿宋_GB2312"/>
          <w:b/>
          <w:sz w:val="32"/>
          <w:szCs w:val="32"/>
          <w:lang w:eastAsia="zh-CN"/>
        </w:rPr>
      </w:pPr>
      <w:r>
        <w:rPr>
          <w:rFonts w:hint="eastAsia" w:ascii="Times New Roman" w:eastAsia="仿宋_GB2312"/>
          <w:b/>
          <w:sz w:val="32"/>
          <w:szCs w:val="32"/>
          <w:lang w:eastAsia="zh-CN"/>
        </w:rPr>
        <w:t>（四）开展标准实施效果评估</w:t>
      </w:r>
    </w:p>
    <w:p>
      <w:pPr>
        <w:autoSpaceDE w:val="0"/>
        <w:autoSpaceDN w:val="0"/>
        <w:adjustRightInd w:val="0"/>
        <w:spacing w:line="520" w:lineRule="exact"/>
        <w:ind w:firstLine="640" w:firstLineChars="200"/>
        <w:jc w:val="left"/>
        <w:rPr>
          <w:rFonts w:ascii="Times New Roman" w:hAnsi="Times New Roman" w:eastAsia="宋体" w:cs="Times New Roman"/>
          <w:color w:val="000000"/>
          <w:sz w:val="28"/>
          <w:szCs w:val="28"/>
        </w:rPr>
      </w:pPr>
      <w:r>
        <w:rPr>
          <w:rFonts w:ascii="Times New Roman" w:hAnsi="Times New Roman" w:eastAsia="仿宋_GB2312" w:cs="Times New Roman"/>
          <w:kern w:val="0"/>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pPr>
        <w:numPr>
          <w:ilvl w:val="0"/>
          <w:numId w:val="1"/>
        </w:numPr>
        <w:spacing w:line="520" w:lineRule="exact"/>
        <w:outlineLvl w:val="0"/>
        <w:rPr>
          <w:rFonts w:ascii="Times New Roman" w:hAnsi="Times New Roman" w:eastAsia="黑体" w:cs="Times New Roman"/>
          <w:sz w:val="32"/>
          <w:szCs w:val="32"/>
        </w:rPr>
      </w:pPr>
      <w:r>
        <w:rPr>
          <w:rFonts w:ascii="Times New Roman" w:hAnsi="Times New Roman" w:eastAsia="黑体" w:cs="Times New Roman"/>
          <w:sz w:val="32"/>
          <w:szCs w:val="32"/>
        </w:rPr>
        <w:t>其他应当说明的事项</w:t>
      </w:r>
    </w:p>
    <w:p>
      <w:pPr>
        <w:spacing w:line="52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无。</w:t>
      </w:r>
    </w:p>
    <w:p>
      <w:pPr>
        <w:jc w:val="left"/>
        <w:rPr>
          <w:rFonts w:ascii="Times New Roman" w:hAnsi="Times New Roman" w:eastAsia="仿宋_GB2312" w:cs="Times New Roman"/>
          <w:sz w:val="28"/>
          <w:szCs w:val="28"/>
        </w:rPr>
      </w:pPr>
    </w:p>
    <w:p>
      <w:pPr>
        <w:autoSpaceDE w:val="0"/>
        <w:autoSpaceDN w:val="0"/>
        <w:adjustRightInd w:val="0"/>
        <w:spacing w:before="156" w:beforeLines="50" w:after="156" w:afterLines="50" w:line="560" w:lineRule="exact"/>
        <w:jc w:val="left"/>
        <w:rPr>
          <w:rFonts w:ascii="Times New Roman" w:hAnsi="Times New Roman" w:eastAsia="仿宋_GB2312" w:cs="Times New Roman"/>
          <w:kern w:val="0"/>
          <w:sz w:val="32"/>
          <w:szCs w:val="32"/>
        </w:rPr>
      </w:pPr>
      <w:r>
        <w:rPr>
          <w:rFonts w:ascii="Times New Roman" w:hAnsi="Times New Roman" w:eastAsia="仿宋_GB2312" w:cs="Times New Roman"/>
          <w:kern w:val="0"/>
          <w:sz w:val="32"/>
          <w:szCs w:val="32"/>
        </w:rPr>
        <w:t>自我承诺：本标准内容与各项指标不低于强制性标准要求。</w:t>
      </w:r>
    </w:p>
    <w:p>
      <w:pPr>
        <w:spacing w:line="520" w:lineRule="exact"/>
        <w:jc w:val="right"/>
        <w:rPr>
          <w:rFonts w:ascii="Times New Roman" w:hAnsi="Times New Roman" w:eastAsia="仿宋_GB2312" w:cs="Times New Roman"/>
          <w:sz w:val="32"/>
          <w:szCs w:val="32"/>
        </w:rPr>
      </w:pPr>
      <w:r>
        <w:rPr>
          <w:rFonts w:ascii="Times New Roman" w:hAnsi="Times New Roman" w:eastAsia="仿宋_GB2312" w:cs="Times New Roman"/>
          <w:sz w:val="32"/>
          <w:szCs w:val="32"/>
        </w:rPr>
        <w:t>团体标准《水下岩塞爆破施工》</w:t>
      </w:r>
    </w:p>
    <w:p>
      <w:pPr>
        <w:spacing w:line="520" w:lineRule="exact"/>
        <w:jc w:val="center"/>
        <w:rPr>
          <w:rFonts w:ascii="Times New Roman" w:hAnsi="Times New Roman" w:eastAsia="仿宋_GB2312" w:cs="Times New Roman"/>
          <w:sz w:val="32"/>
          <w:szCs w:val="32"/>
        </w:rPr>
      </w:pPr>
      <w:r>
        <w:rPr>
          <w:rFonts w:ascii="Times New Roman" w:hAnsi="Times New Roman" w:eastAsia="仿宋_GB2312" w:cs="Times New Roman"/>
          <w:sz w:val="32"/>
          <w:szCs w:val="32"/>
        </w:rPr>
        <w:t xml:space="preserve">                          标准编制工作组</w:t>
      </w:r>
    </w:p>
    <w:p>
      <w:pPr>
        <w:pStyle w:val="15"/>
        <w:jc w:val="center"/>
        <w:rPr>
          <w:rFonts w:ascii="Times New Roman" w:eastAsia="仿宋_GB2312" w:cs="Times New Roman"/>
        </w:rPr>
      </w:pPr>
      <w:r>
        <w:rPr>
          <w:rFonts w:ascii="Times New Roman" w:eastAsia="仿宋_GB2312" w:cs="Times New Roman"/>
          <w:sz w:val="32"/>
          <w:szCs w:val="32"/>
        </w:rPr>
        <w:t xml:space="preserve">                          2025年11月5日</w:t>
      </w:r>
    </w:p>
    <w:p>
      <w:pPr>
        <w:pStyle w:val="15"/>
        <w:rPr>
          <w:rFonts w:ascii="Times New Roman" w:cs="Times New Roman"/>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A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 w:name="方正小标宋简体">
    <w:panose1 w:val="02000000000000000000"/>
    <w:charset w:val="86"/>
    <w:family w:val="script"/>
    <w:pitch w:val="default"/>
    <w:sig w:usb0="A00002BF" w:usb1="184F6CFA" w:usb2="00000012"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BF2C6C1"/>
    <w:multiLevelType w:val="singleLevel"/>
    <w:tmpl w:val="CBF2C6C1"/>
    <w:lvl w:ilvl="0" w:tentative="0">
      <w:start w:val="5"/>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DF81F56"/>
    <w:rsid w:val="00050F42"/>
    <w:rsid w:val="00074E3B"/>
    <w:rsid w:val="001176DB"/>
    <w:rsid w:val="0025652F"/>
    <w:rsid w:val="002641BB"/>
    <w:rsid w:val="002E1005"/>
    <w:rsid w:val="0035756D"/>
    <w:rsid w:val="006371C2"/>
    <w:rsid w:val="006B105F"/>
    <w:rsid w:val="007A70A1"/>
    <w:rsid w:val="007B2975"/>
    <w:rsid w:val="00845879"/>
    <w:rsid w:val="00B403D1"/>
    <w:rsid w:val="00B40FE1"/>
    <w:rsid w:val="00B7681D"/>
    <w:rsid w:val="00B90D87"/>
    <w:rsid w:val="00C32FF4"/>
    <w:rsid w:val="00CC1F6E"/>
    <w:rsid w:val="00EC6BC9"/>
    <w:rsid w:val="00F415AD"/>
    <w:rsid w:val="00F657FC"/>
    <w:rsid w:val="00FE4A42"/>
    <w:rsid w:val="0195467F"/>
    <w:rsid w:val="02672EED"/>
    <w:rsid w:val="04F5776F"/>
    <w:rsid w:val="05545D21"/>
    <w:rsid w:val="059E183E"/>
    <w:rsid w:val="08E40D30"/>
    <w:rsid w:val="0A3B5890"/>
    <w:rsid w:val="0AC96282"/>
    <w:rsid w:val="0B742B3E"/>
    <w:rsid w:val="0C1C50F5"/>
    <w:rsid w:val="0C357793"/>
    <w:rsid w:val="0CD82D51"/>
    <w:rsid w:val="0D003464"/>
    <w:rsid w:val="0D847E39"/>
    <w:rsid w:val="0DD52630"/>
    <w:rsid w:val="0F1727CE"/>
    <w:rsid w:val="0F220B5F"/>
    <w:rsid w:val="113121AE"/>
    <w:rsid w:val="12E0589E"/>
    <w:rsid w:val="13F960BC"/>
    <w:rsid w:val="17206612"/>
    <w:rsid w:val="18FF308F"/>
    <w:rsid w:val="197656DD"/>
    <w:rsid w:val="1B7D322D"/>
    <w:rsid w:val="1BD25A58"/>
    <w:rsid w:val="1CEA6E7C"/>
    <w:rsid w:val="1D70551D"/>
    <w:rsid w:val="1E0C0259"/>
    <w:rsid w:val="1E1D0DB9"/>
    <w:rsid w:val="1F273990"/>
    <w:rsid w:val="204979F0"/>
    <w:rsid w:val="20E942F0"/>
    <w:rsid w:val="2264620D"/>
    <w:rsid w:val="22954539"/>
    <w:rsid w:val="230F431E"/>
    <w:rsid w:val="25B71EEF"/>
    <w:rsid w:val="268D5D4F"/>
    <w:rsid w:val="27525CC9"/>
    <w:rsid w:val="276E4CAC"/>
    <w:rsid w:val="27C32548"/>
    <w:rsid w:val="282A6021"/>
    <w:rsid w:val="2989517B"/>
    <w:rsid w:val="29CF5515"/>
    <w:rsid w:val="2A914C65"/>
    <w:rsid w:val="2C0D20AE"/>
    <w:rsid w:val="2C420D66"/>
    <w:rsid w:val="2CAA1AE8"/>
    <w:rsid w:val="2DB6715A"/>
    <w:rsid w:val="2EE57BD0"/>
    <w:rsid w:val="30821871"/>
    <w:rsid w:val="32361BEB"/>
    <w:rsid w:val="34346374"/>
    <w:rsid w:val="345B33B7"/>
    <w:rsid w:val="357F5CAB"/>
    <w:rsid w:val="366A75F1"/>
    <w:rsid w:val="371A47F4"/>
    <w:rsid w:val="37227682"/>
    <w:rsid w:val="37976EE9"/>
    <w:rsid w:val="37A0785A"/>
    <w:rsid w:val="37B17833"/>
    <w:rsid w:val="37DB3C36"/>
    <w:rsid w:val="37FD2868"/>
    <w:rsid w:val="3BAC1DDC"/>
    <w:rsid w:val="3BF77204"/>
    <w:rsid w:val="3C091182"/>
    <w:rsid w:val="3C7E0907"/>
    <w:rsid w:val="3CF46868"/>
    <w:rsid w:val="3E194B33"/>
    <w:rsid w:val="3E2171FA"/>
    <w:rsid w:val="3F344D02"/>
    <w:rsid w:val="413C283F"/>
    <w:rsid w:val="414F3ECF"/>
    <w:rsid w:val="430E14D9"/>
    <w:rsid w:val="43834520"/>
    <w:rsid w:val="43860493"/>
    <w:rsid w:val="442A16C8"/>
    <w:rsid w:val="44B51DA5"/>
    <w:rsid w:val="44E677C4"/>
    <w:rsid w:val="46686AE8"/>
    <w:rsid w:val="477B2925"/>
    <w:rsid w:val="48250E12"/>
    <w:rsid w:val="4830126A"/>
    <w:rsid w:val="4868099F"/>
    <w:rsid w:val="48886BAC"/>
    <w:rsid w:val="48D21DE6"/>
    <w:rsid w:val="49C01525"/>
    <w:rsid w:val="49E93EEE"/>
    <w:rsid w:val="4A0C33F7"/>
    <w:rsid w:val="4A413BF4"/>
    <w:rsid w:val="4A6E64B3"/>
    <w:rsid w:val="4E00111A"/>
    <w:rsid w:val="4EEA3ECF"/>
    <w:rsid w:val="4F0F3B03"/>
    <w:rsid w:val="4F115128"/>
    <w:rsid w:val="4F2C31F9"/>
    <w:rsid w:val="4FD07525"/>
    <w:rsid w:val="505A05EC"/>
    <w:rsid w:val="508B3937"/>
    <w:rsid w:val="518979CC"/>
    <w:rsid w:val="51AA1345"/>
    <w:rsid w:val="520F31F9"/>
    <w:rsid w:val="528732A6"/>
    <w:rsid w:val="52B20439"/>
    <w:rsid w:val="52BC3553"/>
    <w:rsid w:val="53190CB4"/>
    <w:rsid w:val="535104E3"/>
    <w:rsid w:val="53BF7CDC"/>
    <w:rsid w:val="54617E32"/>
    <w:rsid w:val="54B446CA"/>
    <w:rsid w:val="55206C5C"/>
    <w:rsid w:val="55E660C3"/>
    <w:rsid w:val="57782C90"/>
    <w:rsid w:val="578F4AB4"/>
    <w:rsid w:val="579209CA"/>
    <w:rsid w:val="581F5514"/>
    <w:rsid w:val="5B231846"/>
    <w:rsid w:val="5BAF4E87"/>
    <w:rsid w:val="5C3B776B"/>
    <w:rsid w:val="5DB37248"/>
    <w:rsid w:val="5DFD0AD1"/>
    <w:rsid w:val="5F462902"/>
    <w:rsid w:val="60085712"/>
    <w:rsid w:val="60BA36F7"/>
    <w:rsid w:val="60DC3DB6"/>
    <w:rsid w:val="63260061"/>
    <w:rsid w:val="65777137"/>
    <w:rsid w:val="664C3839"/>
    <w:rsid w:val="669A0FE5"/>
    <w:rsid w:val="670E090A"/>
    <w:rsid w:val="673F4E70"/>
    <w:rsid w:val="68422696"/>
    <w:rsid w:val="69826627"/>
    <w:rsid w:val="6ABF15AE"/>
    <w:rsid w:val="6B912323"/>
    <w:rsid w:val="703130F6"/>
    <w:rsid w:val="72C519FF"/>
    <w:rsid w:val="72E4580E"/>
    <w:rsid w:val="73114BAD"/>
    <w:rsid w:val="73C2417B"/>
    <w:rsid w:val="73E50D6B"/>
    <w:rsid w:val="74102759"/>
    <w:rsid w:val="756044BE"/>
    <w:rsid w:val="763B3A90"/>
    <w:rsid w:val="76A123CC"/>
    <w:rsid w:val="7732170D"/>
    <w:rsid w:val="78904237"/>
    <w:rsid w:val="78A90DFF"/>
    <w:rsid w:val="79114660"/>
    <w:rsid w:val="7DBD17A2"/>
    <w:rsid w:val="7DF344C3"/>
    <w:rsid w:val="7DF81F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after="160" w:line="278" w:lineRule="auto"/>
      <w:jc w:val="both"/>
    </w:pPr>
    <w:rPr>
      <w:rFonts w:asciiTheme="minorHAnsi" w:hAnsiTheme="minorHAnsi" w:eastAsiaTheme="minorEastAsia" w:cstheme="minorBidi"/>
      <w:kern w:val="2"/>
      <w:sz w:val="21"/>
      <w:szCs w:val="24"/>
      <w:lang w:val="en-US" w:eastAsia="zh-CN" w:bidi="ar-SA"/>
    </w:rPr>
  </w:style>
  <w:style w:type="paragraph" w:styleId="4">
    <w:name w:val="heading 1"/>
    <w:basedOn w:val="1"/>
    <w:next w:val="1"/>
    <w:qFormat/>
    <w:uiPriority w:val="0"/>
    <w:pPr>
      <w:keepNext/>
      <w:keepLines/>
      <w:spacing w:before="340" w:after="330" w:line="576" w:lineRule="auto"/>
      <w:outlineLvl w:val="0"/>
    </w:pPr>
    <w:rPr>
      <w:b/>
      <w:kern w:val="44"/>
      <w:sz w:val="44"/>
    </w:rPr>
  </w:style>
  <w:style w:type="paragraph" w:styleId="5">
    <w:name w:val="heading 2"/>
    <w:basedOn w:val="1"/>
    <w:next w:val="1"/>
    <w:unhideWhenUsed/>
    <w:qFormat/>
    <w:uiPriority w:val="0"/>
    <w:pPr>
      <w:keepNext/>
      <w:keepLines/>
      <w:spacing w:before="260" w:after="260" w:line="413" w:lineRule="auto"/>
      <w:outlineLvl w:val="1"/>
    </w:pPr>
    <w:rPr>
      <w:rFonts w:ascii="Arial" w:hAnsi="Arial" w:eastAsia="黑体"/>
      <w:b/>
      <w:sz w:val="32"/>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qFormat/>
    <w:uiPriority w:val="0"/>
    <w:pPr>
      <w:ind w:firstLine="420" w:firstLineChars="200"/>
    </w:pPr>
    <w:rPr>
      <w:rFonts w:ascii="Times New Roman" w:hAnsi="Times New Roman" w:eastAsia="宋体"/>
    </w:rPr>
  </w:style>
  <w:style w:type="paragraph" w:styleId="3">
    <w:name w:val="Body Text Indent"/>
    <w:basedOn w:val="1"/>
    <w:qFormat/>
    <w:uiPriority w:val="0"/>
    <w:pPr>
      <w:ind w:firstLine="480"/>
    </w:pPr>
  </w:style>
  <w:style w:type="paragraph" w:styleId="6">
    <w:name w:val="annotation text"/>
    <w:basedOn w:val="1"/>
    <w:qFormat/>
    <w:uiPriority w:val="0"/>
    <w:pPr>
      <w:jc w:val="left"/>
    </w:pPr>
  </w:style>
  <w:style w:type="paragraph" w:styleId="7">
    <w:name w:val="Body Text"/>
    <w:basedOn w:val="1"/>
    <w:next w:val="8"/>
    <w:qFormat/>
    <w:uiPriority w:val="0"/>
    <w:pPr>
      <w:spacing w:after="120"/>
    </w:pPr>
  </w:style>
  <w:style w:type="paragraph" w:styleId="8">
    <w:name w:val="Body Text 2"/>
    <w:basedOn w:val="1"/>
    <w:qFormat/>
    <w:uiPriority w:val="0"/>
    <w:pPr>
      <w:spacing w:after="120" w:line="480" w:lineRule="auto"/>
    </w:pPr>
  </w:style>
  <w:style w:type="paragraph" w:styleId="9">
    <w:name w:val="footer"/>
    <w:basedOn w:val="1"/>
    <w:link w:val="19"/>
    <w:qFormat/>
    <w:uiPriority w:val="0"/>
    <w:pPr>
      <w:tabs>
        <w:tab w:val="center" w:pos="4153"/>
        <w:tab w:val="right" w:pos="8306"/>
      </w:tabs>
      <w:snapToGrid w:val="0"/>
      <w:spacing w:line="240" w:lineRule="auto"/>
      <w:jc w:val="left"/>
    </w:pPr>
    <w:rPr>
      <w:sz w:val="18"/>
      <w:szCs w:val="18"/>
    </w:rPr>
  </w:style>
  <w:style w:type="paragraph" w:styleId="10">
    <w:name w:val="header"/>
    <w:basedOn w:val="1"/>
    <w:link w:val="18"/>
    <w:qFormat/>
    <w:uiPriority w:val="0"/>
    <w:pPr>
      <w:tabs>
        <w:tab w:val="center" w:pos="4153"/>
        <w:tab w:val="right" w:pos="8306"/>
      </w:tabs>
      <w:snapToGrid w:val="0"/>
      <w:spacing w:line="240" w:lineRule="auto"/>
      <w:jc w:val="center"/>
    </w:pPr>
    <w:rPr>
      <w:sz w:val="18"/>
      <w:szCs w:val="18"/>
    </w:rPr>
  </w:style>
  <w:style w:type="table" w:styleId="12">
    <w:name w:val="Table Grid"/>
    <w:basedOn w:val="11"/>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Hyperlink"/>
    <w:basedOn w:val="13"/>
    <w:qFormat/>
    <w:uiPriority w:val="99"/>
    <w:rPr>
      <w:color w:val="0000FF"/>
      <w:u w:val="single"/>
    </w:rPr>
  </w:style>
  <w:style w:type="paragraph" w:customStyle="1" w:styleId="15">
    <w:name w:val="Default"/>
    <w:qFormat/>
    <w:uiPriority w:val="0"/>
    <w:pPr>
      <w:widowControl w:val="0"/>
      <w:autoSpaceDE w:val="0"/>
      <w:autoSpaceDN w:val="0"/>
      <w:adjustRightInd w:val="0"/>
      <w:spacing w:after="160" w:line="278" w:lineRule="auto"/>
    </w:pPr>
    <w:rPr>
      <w:rFonts w:ascii="宋体" w:hAnsi="Times New Roman" w:eastAsia="宋体" w:cs="宋体"/>
      <w:color w:val="000000"/>
      <w:sz w:val="24"/>
      <w:szCs w:val="24"/>
      <w:lang w:val="en-US" w:eastAsia="zh-CN" w:bidi="ar-SA"/>
    </w:rPr>
  </w:style>
  <w:style w:type="paragraph" w:customStyle="1" w:styleId="16">
    <w:name w:val="wz样式1"/>
    <w:basedOn w:val="1"/>
    <w:qFormat/>
    <w:uiPriority w:val="0"/>
    <w:pPr>
      <w:spacing w:line="360" w:lineRule="auto"/>
    </w:pPr>
    <w:rPr>
      <w:rFonts w:ascii="仿宋" w:hAnsi="仿宋" w:eastAsia="仿宋"/>
      <w:color w:val="0070C0"/>
    </w:rPr>
  </w:style>
  <w:style w:type="paragraph" w:customStyle="1" w:styleId="17">
    <w:name w:val="标准文件_段"/>
    <w:qFormat/>
    <w:uiPriority w:val="0"/>
    <w:pPr>
      <w:autoSpaceDE w:val="0"/>
      <w:autoSpaceDN w:val="0"/>
      <w:spacing w:after="160" w:line="278" w:lineRule="auto"/>
      <w:ind w:firstLine="200" w:firstLineChars="200"/>
      <w:jc w:val="both"/>
    </w:pPr>
    <w:rPr>
      <w:rFonts w:ascii="宋体" w:hAnsi="Times New Roman" w:eastAsia="宋体" w:cs="Times New Roman"/>
      <w:sz w:val="21"/>
      <w:lang w:val="en-US" w:eastAsia="zh-CN" w:bidi="ar-SA"/>
    </w:rPr>
  </w:style>
  <w:style w:type="character" w:customStyle="1" w:styleId="18">
    <w:name w:val="页眉 字符"/>
    <w:basedOn w:val="13"/>
    <w:link w:val="10"/>
    <w:uiPriority w:val="0"/>
    <w:rPr>
      <w:rFonts w:asciiTheme="minorHAnsi" w:hAnsiTheme="minorHAnsi" w:eastAsiaTheme="minorEastAsia" w:cstheme="minorBidi"/>
      <w:kern w:val="2"/>
      <w:sz w:val="18"/>
      <w:szCs w:val="18"/>
    </w:rPr>
  </w:style>
  <w:style w:type="character" w:customStyle="1" w:styleId="19">
    <w:name w:val="页脚 字符"/>
    <w:basedOn w:val="13"/>
    <w:link w:val="9"/>
    <w:uiPriority w:val="0"/>
    <w:rPr>
      <w:rFonts w:asciiTheme="minorHAnsi" w:hAnsiTheme="minorHAnsi" w:eastAsiaTheme="minorEastAsia" w:cstheme="minorBidi"/>
      <w:kern w:val="2"/>
      <w:sz w:val="18"/>
      <w:szCs w:val="18"/>
    </w:rPr>
  </w:style>
  <w:style w:type="paragraph" w:customStyle="1" w:styleId="20">
    <w:name w:val="DTX-WZ"/>
    <w:qFormat/>
    <w:uiPriority w:val="0"/>
    <w:pPr>
      <w:widowControl w:val="0"/>
      <w:adjustRightInd w:val="0"/>
      <w:snapToGrid w:val="0"/>
      <w:spacing w:line="480" w:lineRule="exact"/>
      <w:ind w:firstLine="200" w:firstLineChars="200"/>
      <w:jc w:val="both"/>
    </w:pPr>
    <w:rPr>
      <w:rFonts w:ascii="Times New Roman" w:hAnsi="Times New Roman" w:eastAsia="宋体" w:cs="Times New Roman"/>
      <w:kern w:val="2"/>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emf"/><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jpe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28</Pages>
  <Words>1429</Words>
  <Characters>8151</Characters>
  <Lines>67</Lines>
  <Paragraphs>19</Paragraphs>
  <TotalTime>3</TotalTime>
  <ScaleCrop>false</ScaleCrop>
  <LinksUpToDate>false</LinksUpToDate>
  <CharactersWithSpaces>9561</CharactersWithSpaces>
  <Application>WPS Office_11.8.2.12118_F1E327BC-269C-435d-A152-05C5408002CA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2025-04-10T06:41:00Z</dcterms:created>
  <dc:creator>武巧焕</dc:creator>
  <cp:lastModifiedBy>武巧焕</cp:lastModifiedBy>
  <dcterms:modified xsi:type="dcterms:W3CDTF">2025-12-05T02:57:05Z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2052-11.8.2.12118</vt:lpwstr>
  </property>
  <property fmtid="{D5CDD505-2E9C-101B-9397-08002B2CF9AE}" pid="3" name="ICV">
    <vt:lpwstr>52E6616D1C57497792DB454F31D5C89F</vt:lpwstr>
  </property>
</Properties>
</file>